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theme/themeOverride3.xml" ContentType="application/vnd.openxmlformats-officedocument.themeOverrid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xml" ContentType="application/vnd.openxmlformats-officedocument.themeOverrid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5.xml" ContentType="application/vnd.openxmlformats-officedocument.themeOverride+xml"/>
  <Override PartName="/word/drawings/drawing4.xml" ContentType="application/vnd.openxmlformats-officedocument.drawingml.chartshapes+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6.xml" ContentType="application/vnd.openxmlformats-officedocument.themeOverride+xml"/>
  <Override PartName="/word/charts/chart13.xml" ContentType="application/vnd.openxmlformats-officedocument.drawingml.chart+xml"/>
  <Override PartName="/word/theme/themeOverride7.xml" ContentType="application/vnd.openxmlformats-officedocument.themeOverride+xml"/>
  <Override PartName="/word/drawings/drawing5.xml" ContentType="application/vnd.openxmlformats-officedocument.drawingml.chartshapes+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8.xml" ContentType="application/vnd.openxmlformats-officedocument.themeOverride+xml"/>
  <Override PartName="/word/drawings/drawing6.xml" ContentType="application/vnd.openxmlformats-officedocument.drawingml.chartshapes+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7.xml" ContentType="application/vnd.openxmlformats-officedocument.drawingml.chartshapes+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drawings/drawing8.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261C28" w14:textId="0D691FFD" w:rsidR="00487D96" w:rsidRPr="008F421B" w:rsidRDefault="00487D96" w:rsidP="008F421B">
      <w:pPr>
        <w:spacing w:afterLines="20" w:after="72" w:line="460" w:lineRule="exact"/>
        <w:outlineLvl w:val="1"/>
        <w:rPr>
          <w:rFonts w:ascii="標楷體" w:eastAsia="標楷體" w:hAnsi="標楷體"/>
          <w:b/>
          <w:bCs/>
          <w:sz w:val="36"/>
          <w:szCs w:val="36"/>
        </w:rPr>
      </w:pPr>
      <w:r w:rsidRPr="008F421B">
        <w:rPr>
          <w:rFonts w:ascii="標楷體" w:eastAsia="標楷體" w:hAnsi="標楷體" w:hint="eastAsia"/>
          <w:b/>
          <w:bCs/>
          <w:sz w:val="36"/>
          <w:szCs w:val="36"/>
        </w:rPr>
        <w:t>壹、市議會主管</w:t>
      </w:r>
    </w:p>
    <w:p w14:paraId="32130C77" w14:textId="19C839F0" w:rsidR="00487D96" w:rsidRPr="00B474B8" w:rsidRDefault="00487D96" w:rsidP="0023124E">
      <w:pPr>
        <w:overflowPunct w:val="0"/>
        <w:spacing w:beforeLines="30" w:before="108" w:line="46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市議會主管僅市議會1個機關，負責議決市法規、市預算、市稅課、市財產之處分、市政府及市屬事業機構之組織規程、市政府及市議員提案，審議市決算之審核報告，及接受人民請願等業務。茲將</w:t>
      </w:r>
      <w:proofErr w:type="gramStart"/>
      <w:r w:rsidRPr="00B474B8">
        <w:rPr>
          <w:rFonts w:ascii="標楷體" w:eastAsia="標楷體" w:hAnsi="標楷體" w:cs="Times New Roman" w:hint="eastAsia"/>
          <w:szCs w:val="24"/>
        </w:rPr>
        <w:t>11</w:t>
      </w:r>
      <w:r w:rsidR="00536D76" w:rsidRPr="00B474B8">
        <w:rPr>
          <w:rFonts w:ascii="標楷體" w:eastAsia="標楷體" w:hAnsi="標楷體" w:cs="Times New Roman" w:hint="eastAsia"/>
          <w:szCs w:val="24"/>
        </w:rPr>
        <w:t>3</w:t>
      </w:r>
      <w:proofErr w:type="gramEnd"/>
      <w:r w:rsidRPr="00B474B8">
        <w:rPr>
          <w:rFonts w:ascii="標楷體" w:eastAsia="標楷體" w:hAnsi="標楷體" w:cs="Times New Roman" w:hint="eastAsia"/>
          <w:szCs w:val="24"/>
        </w:rPr>
        <w:t>年度決算審核結果說明如次：</w:t>
      </w:r>
    </w:p>
    <w:p w14:paraId="1FD1F438" w14:textId="77777777" w:rsidR="00487D96" w:rsidRPr="00B474B8" w:rsidRDefault="00487D96" w:rsidP="008466B3">
      <w:pPr>
        <w:suppressAutoHyphens/>
        <w:overflowPunct w:val="0"/>
        <w:spacing w:beforeLines="50" w:before="180" w:afterLines="20" w:after="72" w:line="46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（一）計畫實施之查核</w:t>
      </w:r>
    </w:p>
    <w:p w14:paraId="5492CAA8" w14:textId="5CDF2735" w:rsidR="00487D96" w:rsidRPr="00B474B8" w:rsidRDefault="00487D96" w:rsidP="00B240D0">
      <w:pPr>
        <w:overflowPunct w:val="0"/>
        <w:spacing w:beforeLines="20" w:before="72" w:line="460" w:lineRule="exact"/>
        <w:ind w:firstLineChars="200" w:firstLine="472"/>
        <w:jc w:val="both"/>
        <w:rPr>
          <w:rFonts w:ascii="標楷體" w:eastAsia="標楷體" w:hAnsi="標楷體" w:cs="Times New Roman"/>
          <w:snapToGrid w:val="0"/>
          <w:spacing w:val="-2"/>
          <w:kern w:val="0"/>
          <w:szCs w:val="24"/>
        </w:rPr>
      </w:pPr>
      <w:r w:rsidRPr="00B474B8">
        <w:rPr>
          <w:rFonts w:ascii="標楷體" w:eastAsia="標楷體" w:hAnsi="標楷體" w:cs="Times New Roman" w:hint="eastAsia"/>
          <w:snapToGrid w:val="0"/>
          <w:spacing w:val="-2"/>
          <w:kern w:val="0"/>
          <w:szCs w:val="24"/>
        </w:rPr>
        <w:t>業務計畫</w:t>
      </w:r>
      <w:r w:rsidR="00536D76" w:rsidRPr="00B474B8">
        <w:rPr>
          <w:rFonts w:ascii="標楷體" w:eastAsia="標楷體" w:hAnsi="標楷體" w:cs="Times New Roman" w:hint="eastAsia"/>
          <w:snapToGrid w:val="0"/>
          <w:spacing w:val="-2"/>
          <w:kern w:val="0"/>
          <w:szCs w:val="24"/>
        </w:rPr>
        <w:t>5</w:t>
      </w:r>
      <w:r w:rsidRPr="00B474B8">
        <w:rPr>
          <w:rFonts w:ascii="標楷體" w:eastAsia="標楷體" w:hAnsi="標楷體" w:cs="Times New Roman" w:hint="eastAsia"/>
          <w:snapToGrid w:val="0"/>
          <w:spacing w:val="-2"/>
          <w:kern w:val="0"/>
          <w:szCs w:val="24"/>
        </w:rPr>
        <w:t>項，下分工作計畫7項，包括議決市法規、預算案及辦理人民陳情等重要施政事項，其中已執行完成者</w:t>
      </w:r>
      <w:r w:rsidR="00536D76" w:rsidRPr="00B474B8">
        <w:rPr>
          <w:rFonts w:ascii="標楷體" w:eastAsia="標楷體" w:hAnsi="標楷體" w:cs="Times New Roman" w:hint="eastAsia"/>
          <w:snapToGrid w:val="0"/>
          <w:spacing w:val="-2"/>
          <w:kern w:val="0"/>
          <w:szCs w:val="24"/>
        </w:rPr>
        <w:t>5</w:t>
      </w:r>
      <w:r w:rsidRPr="00B474B8">
        <w:rPr>
          <w:rFonts w:ascii="標楷體" w:eastAsia="標楷體" w:hAnsi="標楷體" w:cs="Times New Roman" w:hint="eastAsia"/>
          <w:snapToGrid w:val="0"/>
          <w:spacing w:val="-2"/>
          <w:kern w:val="0"/>
          <w:szCs w:val="24"/>
        </w:rPr>
        <w:t>項，尚在執行者</w:t>
      </w:r>
      <w:r w:rsidR="00536D76" w:rsidRPr="00B474B8">
        <w:rPr>
          <w:rFonts w:ascii="標楷體" w:eastAsia="標楷體" w:hAnsi="標楷體" w:cs="Times New Roman" w:hint="eastAsia"/>
          <w:snapToGrid w:val="0"/>
          <w:spacing w:val="-2"/>
          <w:kern w:val="0"/>
          <w:szCs w:val="24"/>
        </w:rPr>
        <w:t>2</w:t>
      </w:r>
      <w:r w:rsidRPr="00B474B8">
        <w:rPr>
          <w:rFonts w:ascii="標楷體" w:eastAsia="標楷體" w:hAnsi="標楷體" w:cs="Times New Roman" w:hint="eastAsia"/>
          <w:snapToGrid w:val="0"/>
          <w:spacing w:val="-2"/>
          <w:kern w:val="0"/>
          <w:szCs w:val="24"/>
        </w:rPr>
        <w:t>項，主要係</w:t>
      </w:r>
      <w:r w:rsidR="008027D6" w:rsidRPr="00B474B8">
        <w:rPr>
          <w:rFonts w:ascii="標楷體" w:eastAsia="標楷體" w:hAnsi="標楷體" w:cs="Times New Roman" w:hint="eastAsia"/>
          <w:snapToGrid w:val="0"/>
          <w:spacing w:val="-2"/>
          <w:kern w:val="0"/>
          <w:szCs w:val="24"/>
        </w:rPr>
        <w:t>無線網路設</w:t>
      </w:r>
      <w:r w:rsidR="00B240D0" w:rsidRPr="00B474B8">
        <w:rPr>
          <w:rFonts w:ascii="標楷體" w:eastAsia="標楷體" w:hAnsi="標楷體" w:cs="Times New Roman" w:hint="eastAsia"/>
          <w:snapToGrid w:val="0"/>
          <w:spacing w:val="-2"/>
          <w:kern w:val="0"/>
          <w:szCs w:val="24"/>
        </w:rPr>
        <w:t>備</w:t>
      </w:r>
      <w:proofErr w:type="gramStart"/>
      <w:r w:rsidR="008027D6" w:rsidRPr="00B474B8">
        <w:rPr>
          <w:rFonts w:ascii="標楷體" w:eastAsia="標楷體" w:hAnsi="標楷體" w:cs="Times New Roman" w:hint="eastAsia"/>
          <w:snapToGrid w:val="0"/>
          <w:spacing w:val="-2"/>
          <w:kern w:val="0"/>
          <w:szCs w:val="24"/>
        </w:rPr>
        <w:t>汰</w:t>
      </w:r>
      <w:proofErr w:type="gramEnd"/>
      <w:r w:rsidR="008027D6" w:rsidRPr="00B474B8">
        <w:rPr>
          <w:rFonts w:ascii="標楷體" w:eastAsia="標楷體" w:hAnsi="標楷體" w:cs="Times New Roman" w:hint="eastAsia"/>
          <w:snapToGrid w:val="0"/>
          <w:spacing w:val="-2"/>
          <w:kern w:val="0"/>
          <w:szCs w:val="24"/>
        </w:rPr>
        <w:t>換、議員及助理人事管理系統建置，暨</w:t>
      </w:r>
      <w:r w:rsidR="005954A6" w:rsidRPr="00B474B8">
        <w:rPr>
          <w:rFonts w:ascii="標楷體" w:eastAsia="標楷體" w:hAnsi="標楷體" w:cs="Times New Roman" w:hint="eastAsia"/>
          <w:snapToGrid w:val="0"/>
          <w:spacing w:val="-2"/>
          <w:kern w:val="0"/>
          <w:szCs w:val="24"/>
        </w:rPr>
        <w:t>電梯鋼索</w:t>
      </w:r>
      <w:proofErr w:type="gramStart"/>
      <w:r w:rsidR="005954A6" w:rsidRPr="00B474B8">
        <w:rPr>
          <w:rFonts w:ascii="標楷體" w:eastAsia="標楷體" w:hAnsi="標楷體" w:cs="Times New Roman" w:hint="eastAsia"/>
          <w:snapToGrid w:val="0"/>
          <w:spacing w:val="-2"/>
          <w:kern w:val="0"/>
          <w:szCs w:val="24"/>
        </w:rPr>
        <w:t>及主鋼輪</w:t>
      </w:r>
      <w:proofErr w:type="gramEnd"/>
      <w:r w:rsidR="005954A6" w:rsidRPr="00B474B8">
        <w:rPr>
          <w:rFonts w:ascii="標楷體" w:eastAsia="標楷體" w:hAnsi="標楷體" w:cs="Times New Roman" w:hint="eastAsia"/>
          <w:snapToGrid w:val="0"/>
          <w:spacing w:val="-2"/>
          <w:kern w:val="0"/>
          <w:szCs w:val="24"/>
        </w:rPr>
        <w:t>更換工程</w:t>
      </w:r>
      <w:r w:rsidR="00B240D0" w:rsidRPr="00B474B8">
        <w:rPr>
          <w:rFonts w:ascii="標楷體" w:eastAsia="標楷體" w:hAnsi="標楷體" w:cs="Times New Roman" w:hint="eastAsia"/>
          <w:snapToGrid w:val="0"/>
          <w:spacing w:val="-2"/>
          <w:kern w:val="0"/>
          <w:szCs w:val="24"/>
        </w:rPr>
        <w:t>等案</w:t>
      </w:r>
      <w:r w:rsidR="006E5FA0" w:rsidRPr="00B474B8">
        <w:rPr>
          <w:rFonts w:ascii="標楷體" w:eastAsia="標楷體" w:hAnsi="標楷體" w:cs="Times New Roman" w:hint="eastAsia"/>
          <w:snapToGrid w:val="0"/>
          <w:spacing w:val="-2"/>
          <w:kern w:val="0"/>
          <w:szCs w:val="24"/>
        </w:rPr>
        <w:t>，</w:t>
      </w:r>
      <w:r w:rsidR="00B240D0" w:rsidRPr="00B474B8">
        <w:rPr>
          <w:rFonts w:ascii="標楷體" w:eastAsia="標楷體" w:hAnsi="標楷體" w:cs="Times New Roman" w:hint="eastAsia"/>
          <w:snapToGrid w:val="0"/>
          <w:spacing w:val="-2"/>
          <w:kern w:val="0"/>
          <w:szCs w:val="24"/>
        </w:rPr>
        <w:t>尚在執行中</w:t>
      </w:r>
      <w:r w:rsidRPr="00B474B8">
        <w:rPr>
          <w:rFonts w:ascii="標楷體" w:eastAsia="標楷體" w:hAnsi="標楷體" w:cs="Times New Roman" w:hint="eastAsia"/>
          <w:snapToGrid w:val="0"/>
          <w:spacing w:val="-2"/>
          <w:kern w:val="0"/>
          <w:szCs w:val="24"/>
        </w:rPr>
        <w:t>，須</w:t>
      </w:r>
      <w:r w:rsidR="005954A6" w:rsidRPr="00B474B8">
        <w:rPr>
          <w:rFonts w:ascii="標楷體" w:eastAsia="標楷體" w:hAnsi="標楷體" w:cs="Times New Roman" w:hint="eastAsia"/>
          <w:snapToGrid w:val="0"/>
          <w:spacing w:val="-2"/>
          <w:kern w:val="0"/>
          <w:szCs w:val="24"/>
        </w:rPr>
        <w:t>保留</w:t>
      </w:r>
      <w:r w:rsidRPr="00B474B8">
        <w:rPr>
          <w:rFonts w:ascii="標楷體" w:eastAsia="標楷體" w:hAnsi="標楷體" w:cs="Times New Roman" w:hint="eastAsia"/>
          <w:snapToGrid w:val="0"/>
          <w:spacing w:val="-2"/>
          <w:kern w:val="0"/>
          <w:szCs w:val="24"/>
        </w:rPr>
        <w:t>繼續執行。</w:t>
      </w:r>
    </w:p>
    <w:p w14:paraId="1E755F5B" w14:textId="77777777" w:rsidR="00487D96" w:rsidRPr="00B474B8" w:rsidRDefault="00487D96" w:rsidP="008466B3">
      <w:pPr>
        <w:suppressAutoHyphens/>
        <w:overflowPunct w:val="0"/>
        <w:spacing w:beforeLines="50" w:before="180" w:afterLines="20" w:after="72" w:line="46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（二）預算執行之審核</w:t>
      </w:r>
    </w:p>
    <w:p w14:paraId="17D7F51C" w14:textId="564BC74F" w:rsidR="00487D96" w:rsidRPr="00B474B8" w:rsidRDefault="00487D96" w:rsidP="00F241B6">
      <w:pPr>
        <w:overflowPunct w:val="0"/>
        <w:spacing w:beforeLines="20" w:before="72" w:line="46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1.歲入</w:t>
      </w:r>
      <w:r w:rsidR="00536D76" w:rsidRPr="00B474B8">
        <w:rPr>
          <w:rFonts w:ascii="標楷體" w:eastAsia="標楷體" w:hAnsi="標楷體" w:cs="Times New Roman" w:hint="eastAsia"/>
          <w:szCs w:val="24"/>
        </w:rPr>
        <w:t>原編列預算數276萬餘元，經追加預算51萬餘元，合計328萬餘元</w:t>
      </w:r>
      <w:r w:rsidRPr="00B474B8">
        <w:rPr>
          <w:rFonts w:ascii="標楷體" w:eastAsia="標楷體" w:hAnsi="標楷體" w:cs="Times New Roman" w:hint="eastAsia"/>
          <w:szCs w:val="24"/>
        </w:rPr>
        <w:t>，決算審核結果，審定</w:t>
      </w:r>
      <w:r w:rsidRPr="00B474B8">
        <w:rPr>
          <w:rFonts w:ascii="標楷體" w:eastAsia="標楷體" w:hAnsi="標楷體" w:cs="Times New Roman" w:hint="eastAsia"/>
          <w:snapToGrid w:val="0"/>
          <w:spacing w:val="-2"/>
          <w:kern w:val="0"/>
          <w:szCs w:val="24"/>
        </w:rPr>
        <w:t>實現</w:t>
      </w:r>
      <w:r w:rsidRPr="00B474B8">
        <w:rPr>
          <w:rFonts w:ascii="標楷體" w:eastAsia="標楷體" w:hAnsi="標楷體" w:cs="Times New Roman" w:hint="eastAsia"/>
          <w:szCs w:val="24"/>
        </w:rPr>
        <w:t>數</w:t>
      </w:r>
      <w:r w:rsidR="00536D76" w:rsidRPr="00B474B8">
        <w:rPr>
          <w:rFonts w:ascii="標楷體" w:eastAsia="標楷體" w:hAnsi="標楷體" w:cs="Times New Roman"/>
          <w:szCs w:val="24"/>
        </w:rPr>
        <w:t>439</w:t>
      </w:r>
      <w:r w:rsidRPr="00B474B8">
        <w:rPr>
          <w:rFonts w:ascii="標楷體" w:eastAsia="標楷體" w:hAnsi="標楷體" w:cs="Times New Roman" w:hint="eastAsia"/>
          <w:szCs w:val="24"/>
        </w:rPr>
        <w:t>萬餘元，決算審定數為</w:t>
      </w:r>
      <w:r w:rsidR="00536D76" w:rsidRPr="00B474B8">
        <w:rPr>
          <w:rFonts w:ascii="標楷體" w:eastAsia="標楷體" w:hAnsi="標楷體" w:cs="Times New Roman"/>
          <w:szCs w:val="24"/>
        </w:rPr>
        <w:t>439</w:t>
      </w:r>
      <w:r w:rsidRPr="00B474B8">
        <w:rPr>
          <w:rFonts w:ascii="標楷體" w:eastAsia="標楷體" w:hAnsi="標楷體" w:cs="Times New Roman" w:hint="eastAsia"/>
          <w:szCs w:val="24"/>
        </w:rPr>
        <w:t>萬餘元，較預算增加</w:t>
      </w:r>
      <w:r w:rsidR="00536D76" w:rsidRPr="00B474B8">
        <w:rPr>
          <w:rFonts w:ascii="標楷體" w:eastAsia="標楷體" w:hAnsi="標楷體" w:cs="Times New Roman"/>
          <w:szCs w:val="24"/>
        </w:rPr>
        <w:t>111</w:t>
      </w:r>
      <w:r w:rsidRPr="00B474B8">
        <w:rPr>
          <w:rFonts w:ascii="標楷體" w:eastAsia="標楷體" w:hAnsi="標楷體" w:cs="Times New Roman" w:hint="eastAsia"/>
          <w:szCs w:val="24"/>
        </w:rPr>
        <w:t>萬餘元（</w:t>
      </w:r>
      <w:r w:rsidR="00536D76" w:rsidRPr="00B474B8">
        <w:rPr>
          <w:rFonts w:ascii="標楷體" w:eastAsia="標楷體" w:hAnsi="標楷體" w:cs="Times New Roman"/>
          <w:szCs w:val="24"/>
        </w:rPr>
        <w:t>33.91</w:t>
      </w:r>
      <w:r w:rsidRPr="00B474B8">
        <w:rPr>
          <w:rFonts w:ascii="標楷體" w:eastAsia="標楷體" w:hAnsi="標楷體" w:cs="Times New Roman" w:hint="eastAsia"/>
          <w:szCs w:val="24"/>
        </w:rPr>
        <w:t>％），主要係</w:t>
      </w:r>
      <w:r w:rsidR="00C40A10" w:rsidRPr="00B474B8">
        <w:rPr>
          <w:rFonts w:ascii="標楷體" w:eastAsia="標楷體" w:hAnsi="標楷體" w:cs="Times New Roman" w:hint="eastAsia"/>
          <w:szCs w:val="24"/>
        </w:rPr>
        <w:t>廠商違約罰鍰及廢舊物資變賣等</w:t>
      </w:r>
      <w:r w:rsidRPr="00B474B8">
        <w:rPr>
          <w:rFonts w:ascii="標楷體" w:eastAsia="標楷體" w:hAnsi="標楷體" w:cs="Times New Roman" w:hint="eastAsia"/>
          <w:szCs w:val="24"/>
        </w:rPr>
        <w:t>收入較預計增加。</w:t>
      </w:r>
    </w:p>
    <w:p w14:paraId="52E2FED9" w14:textId="0EBA220E" w:rsidR="00487D96" w:rsidRPr="00B474B8" w:rsidRDefault="00487D96" w:rsidP="0023124E">
      <w:pPr>
        <w:overflowPunct w:val="0"/>
        <w:spacing w:beforeLines="30" w:before="108" w:line="460" w:lineRule="exact"/>
        <w:ind w:firstLineChars="200" w:firstLine="480"/>
        <w:jc w:val="both"/>
        <w:rPr>
          <w:rFonts w:ascii="標楷體" w:eastAsia="標楷體" w:hAnsi="標楷體" w:cs="Times New Roman"/>
          <w:snapToGrid w:val="0"/>
          <w:kern w:val="0"/>
          <w:szCs w:val="24"/>
        </w:rPr>
      </w:pPr>
      <w:r w:rsidRPr="00B474B8">
        <w:rPr>
          <w:rFonts w:ascii="標楷體" w:eastAsia="標楷體" w:hAnsi="標楷體" w:cs="Times New Roman" w:hint="eastAsia"/>
          <w:szCs w:val="24"/>
        </w:rPr>
        <w:t>2.</w:t>
      </w:r>
      <w:r w:rsidRPr="00B474B8">
        <w:rPr>
          <w:rFonts w:ascii="標楷體" w:eastAsia="標楷體" w:hAnsi="標楷體" w:cs="Times New Roman" w:hint="eastAsia"/>
          <w:snapToGrid w:val="0"/>
          <w:kern w:val="0"/>
          <w:szCs w:val="24"/>
        </w:rPr>
        <w:t>歲出</w:t>
      </w:r>
      <w:r w:rsidR="00F406A4" w:rsidRPr="00B474B8">
        <w:rPr>
          <w:rFonts w:ascii="標楷體" w:eastAsia="標楷體" w:hAnsi="標楷體" w:cs="Times New Roman" w:hint="eastAsia"/>
          <w:snapToGrid w:val="0"/>
          <w:kern w:val="0"/>
          <w:szCs w:val="24"/>
        </w:rPr>
        <w:t>原編列預算數9億1,440萬餘元，經追加預算51萬餘元，合計</w:t>
      </w:r>
      <w:r w:rsidR="00F406A4" w:rsidRPr="00B474B8">
        <w:rPr>
          <w:rFonts w:ascii="標楷體" w:eastAsia="標楷體" w:hAnsi="標楷體"/>
          <w:kern w:val="0"/>
          <w:szCs w:val="24"/>
        </w:rPr>
        <w:t>9億1,492萬元</w:t>
      </w:r>
      <w:r w:rsidRPr="00B474B8">
        <w:rPr>
          <w:rFonts w:ascii="標楷體" w:eastAsia="標楷體" w:hAnsi="標楷體" w:cs="Times New Roman" w:hint="eastAsia"/>
          <w:snapToGrid w:val="0"/>
          <w:kern w:val="0"/>
          <w:szCs w:val="24"/>
        </w:rPr>
        <w:t>，</w:t>
      </w:r>
      <w:r w:rsidRPr="00B474B8">
        <w:rPr>
          <w:rFonts w:ascii="標楷體" w:eastAsia="標楷體" w:hAnsi="標楷體" w:cs="Times New Roman" w:hint="eastAsia"/>
          <w:snapToGrid w:val="0"/>
          <w:spacing w:val="-2"/>
          <w:kern w:val="0"/>
          <w:szCs w:val="24"/>
        </w:rPr>
        <w:t>決算</w:t>
      </w:r>
      <w:r w:rsidRPr="00B474B8">
        <w:rPr>
          <w:rFonts w:ascii="標楷體" w:eastAsia="標楷體" w:hAnsi="標楷體" w:cs="Times New Roman" w:hint="eastAsia"/>
          <w:snapToGrid w:val="0"/>
          <w:kern w:val="0"/>
          <w:szCs w:val="24"/>
        </w:rPr>
        <w:t>審核結果，審定實現數7億</w:t>
      </w:r>
      <w:r w:rsidR="00F406A4" w:rsidRPr="00B474B8">
        <w:rPr>
          <w:rFonts w:ascii="標楷體" w:eastAsia="標楷體" w:hAnsi="標楷體" w:cs="Times New Roman"/>
          <w:snapToGrid w:val="0"/>
          <w:kern w:val="0"/>
          <w:szCs w:val="24"/>
        </w:rPr>
        <w:t>6,410</w:t>
      </w:r>
      <w:r w:rsidRPr="00B474B8">
        <w:rPr>
          <w:rFonts w:ascii="標楷體" w:eastAsia="標楷體" w:hAnsi="標楷體" w:cs="Times New Roman" w:hint="eastAsia"/>
          <w:snapToGrid w:val="0"/>
          <w:kern w:val="0"/>
          <w:szCs w:val="24"/>
        </w:rPr>
        <w:t>萬餘元（</w:t>
      </w:r>
      <w:r w:rsidR="00F406A4" w:rsidRPr="00B474B8">
        <w:rPr>
          <w:rFonts w:ascii="標楷體" w:eastAsia="標楷體" w:hAnsi="標楷體" w:cs="Times New Roman"/>
          <w:snapToGrid w:val="0"/>
          <w:kern w:val="0"/>
          <w:szCs w:val="24"/>
        </w:rPr>
        <w:t>83.52</w:t>
      </w:r>
      <w:r w:rsidRPr="00B474B8">
        <w:rPr>
          <w:rFonts w:ascii="標楷體" w:eastAsia="標楷體" w:hAnsi="標楷體" w:cs="Times New Roman" w:hint="eastAsia"/>
          <w:snapToGrid w:val="0"/>
          <w:kern w:val="0"/>
          <w:szCs w:val="24"/>
        </w:rPr>
        <w:t>％），應付保留數</w:t>
      </w:r>
      <w:r w:rsidR="00F406A4" w:rsidRPr="00B474B8">
        <w:rPr>
          <w:rFonts w:ascii="標楷體" w:eastAsia="標楷體" w:hAnsi="標楷體" w:cs="Times New Roman"/>
          <w:snapToGrid w:val="0"/>
          <w:kern w:val="0"/>
          <w:szCs w:val="24"/>
        </w:rPr>
        <w:t>826</w:t>
      </w:r>
      <w:r w:rsidRPr="00B474B8">
        <w:rPr>
          <w:rFonts w:ascii="標楷體" w:eastAsia="標楷體" w:hAnsi="標楷體" w:cs="Times New Roman" w:hint="eastAsia"/>
          <w:snapToGrid w:val="0"/>
          <w:kern w:val="0"/>
          <w:szCs w:val="24"/>
        </w:rPr>
        <w:t>萬元（</w:t>
      </w:r>
      <w:r w:rsidR="00F406A4" w:rsidRPr="00B474B8">
        <w:rPr>
          <w:rFonts w:ascii="標楷體" w:eastAsia="標楷體" w:hAnsi="標楷體" w:cs="Times New Roman"/>
          <w:snapToGrid w:val="0"/>
          <w:kern w:val="0"/>
          <w:szCs w:val="24"/>
        </w:rPr>
        <w:t>0.90</w:t>
      </w:r>
      <w:r w:rsidRPr="00B474B8">
        <w:rPr>
          <w:rFonts w:ascii="標楷體" w:eastAsia="標楷體" w:hAnsi="標楷體" w:cs="Times New Roman" w:hint="eastAsia"/>
          <w:snapToGrid w:val="0"/>
          <w:kern w:val="0"/>
          <w:szCs w:val="24"/>
        </w:rPr>
        <w:t>％），保留原因詳「（一）計畫實施之查核」說明；合計決算審定數為7億</w:t>
      </w:r>
      <w:r w:rsidR="00F406A4" w:rsidRPr="00B474B8">
        <w:rPr>
          <w:rFonts w:ascii="標楷體" w:eastAsia="標楷體" w:hAnsi="標楷體" w:cs="Times New Roman"/>
          <w:snapToGrid w:val="0"/>
          <w:kern w:val="0"/>
          <w:szCs w:val="24"/>
        </w:rPr>
        <w:t>7,236</w:t>
      </w:r>
      <w:r w:rsidRPr="00B474B8">
        <w:rPr>
          <w:rFonts w:ascii="標楷體" w:eastAsia="標楷體" w:hAnsi="標楷體" w:cs="Times New Roman" w:hint="eastAsia"/>
          <w:snapToGrid w:val="0"/>
          <w:kern w:val="0"/>
          <w:szCs w:val="24"/>
        </w:rPr>
        <w:t>萬餘元，預算賸餘1億</w:t>
      </w:r>
      <w:r w:rsidR="00F406A4" w:rsidRPr="00B474B8">
        <w:rPr>
          <w:rFonts w:ascii="標楷體" w:eastAsia="標楷體" w:hAnsi="標楷體" w:cs="Times New Roman"/>
          <w:snapToGrid w:val="0"/>
          <w:kern w:val="0"/>
          <w:szCs w:val="24"/>
        </w:rPr>
        <w:t>4,255</w:t>
      </w:r>
      <w:r w:rsidRPr="00B474B8">
        <w:rPr>
          <w:rFonts w:ascii="標楷體" w:eastAsia="標楷體" w:hAnsi="標楷體" w:cs="Times New Roman" w:hint="eastAsia"/>
          <w:snapToGrid w:val="0"/>
          <w:kern w:val="0"/>
          <w:szCs w:val="24"/>
        </w:rPr>
        <w:t>萬餘元（</w:t>
      </w:r>
      <w:r w:rsidR="00F406A4" w:rsidRPr="00B474B8">
        <w:rPr>
          <w:rFonts w:ascii="標楷體" w:eastAsia="標楷體" w:hAnsi="標楷體" w:cs="Times New Roman"/>
          <w:snapToGrid w:val="0"/>
          <w:kern w:val="0"/>
          <w:szCs w:val="24"/>
        </w:rPr>
        <w:t>15.58</w:t>
      </w:r>
      <w:r w:rsidRPr="00B474B8">
        <w:rPr>
          <w:rFonts w:ascii="標楷體" w:eastAsia="標楷體" w:hAnsi="標楷體" w:cs="Times New Roman" w:hint="eastAsia"/>
          <w:snapToGrid w:val="0"/>
          <w:kern w:val="0"/>
          <w:szCs w:val="24"/>
        </w:rPr>
        <w:t>％），主要係</w:t>
      </w:r>
      <w:r w:rsidR="00C40A10" w:rsidRPr="00B474B8">
        <w:rPr>
          <w:rFonts w:ascii="標楷體" w:eastAsia="標楷體" w:hAnsi="標楷體" w:cs="Times New Roman" w:hint="eastAsia"/>
          <w:snapToGrid w:val="0"/>
          <w:kern w:val="0"/>
          <w:szCs w:val="24"/>
        </w:rPr>
        <w:t>公費助理適用勞動基準法所需經費未獲內政部同意支用，全數未執行</w:t>
      </w:r>
      <w:r w:rsidR="00B240D0" w:rsidRPr="00B474B8">
        <w:rPr>
          <w:rFonts w:ascii="標楷體" w:eastAsia="標楷體" w:hAnsi="標楷體" w:cs="Times New Roman" w:hint="eastAsia"/>
          <w:snapToGrid w:val="0"/>
          <w:kern w:val="0"/>
          <w:szCs w:val="24"/>
        </w:rPr>
        <w:t>，暨</w:t>
      </w:r>
      <w:r w:rsidR="00C40A10" w:rsidRPr="00B474B8">
        <w:rPr>
          <w:rFonts w:ascii="標楷體" w:eastAsia="標楷體" w:hAnsi="標楷體" w:cs="Times New Roman" w:hint="eastAsia"/>
          <w:snapToGrid w:val="0"/>
          <w:kern w:val="0"/>
          <w:szCs w:val="24"/>
        </w:rPr>
        <w:t>部分議員轉任立法委員及臨時大會依實際需求開會等經費賸餘</w:t>
      </w:r>
      <w:r w:rsidRPr="00B474B8">
        <w:rPr>
          <w:rFonts w:ascii="標楷體" w:eastAsia="標楷體" w:hAnsi="標楷體" w:cs="Times New Roman" w:hint="eastAsia"/>
          <w:snapToGrid w:val="0"/>
          <w:kern w:val="0"/>
          <w:szCs w:val="24"/>
        </w:rPr>
        <w:t>。</w:t>
      </w:r>
    </w:p>
    <w:p w14:paraId="6957B634" w14:textId="18265636" w:rsidR="004551F8" w:rsidRPr="00B474B8" w:rsidRDefault="00487D96" w:rsidP="0023124E">
      <w:pPr>
        <w:overflowPunct w:val="0"/>
        <w:spacing w:beforeLines="30" w:before="108" w:line="460" w:lineRule="exact"/>
        <w:ind w:firstLineChars="200" w:firstLine="480"/>
        <w:jc w:val="both"/>
        <w:rPr>
          <w:rFonts w:ascii="標楷體" w:eastAsia="標楷體" w:hAnsi="標楷體" w:cs="Times New Roman"/>
          <w:spacing w:val="-2"/>
          <w:szCs w:val="24"/>
        </w:rPr>
      </w:pPr>
      <w:r w:rsidRPr="00B474B8">
        <w:rPr>
          <w:rFonts w:ascii="標楷體" w:eastAsia="標楷體" w:hAnsi="標楷體" w:cs="Times New Roman"/>
          <w:szCs w:val="24"/>
        </w:rPr>
        <w:t>3.</w:t>
      </w:r>
      <w:r w:rsidRPr="00B474B8">
        <w:rPr>
          <w:rFonts w:ascii="標楷體" w:eastAsia="標楷體" w:hAnsi="標楷體" w:cs="Times New Roman" w:hint="eastAsia"/>
          <w:spacing w:val="-2"/>
          <w:szCs w:val="24"/>
        </w:rPr>
        <w:t>以前年度歲出轉入數計</w:t>
      </w:r>
      <w:r w:rsidR="00F406A4" w:rsidRPr="00B474B8">
        <w:rPr>
          <w:rFonts w:ascii="標楷體" w:eastAsia="標楷體" w:hAnsi="標楷體" w:cs="Times New Roman"/>
          <w:spacing w:val="-2"/>
          <w:szCs w:val="24"/>
        </w:rPr>
        <w:t>1,236</w:t>
      </w:r>
      <w:r w:rsidRPr="00B474B8">
        <w:rPr>
          <w:rFonts w:ascii="標楷體" w:eastAsia="標楷體" w:hAnsi="標楷體" w:cs="Times New Roman" w:hint="eastAsia"/>
          <w:spacing w:val="-2"/>
          <w:szCs w:val="24"/>
        </w:rPr>
        <w:t>萬餘元，決算審核結果，審定實現數</w:t>
      </w:r>
      <w:r w:rsidR="00F406A4" w:rsidRPr="00B474B8">
        <w:rPr>
          <w:rFonts w:ascii="標楷體" w:eastAsia="標楷體" w:hAnsi="標楷體" w:cs="Times New Roman"/>
          <w:spacing w:val="-2"/>
          <w:szCs w:val="24"/>
        </w:rPr>
        <w:t>1,038</w:t>
      </w:r>
      <w:r w:rsidRPr="00B474B8">
        <w:rPr>
          <w:rFonts w:ascii="標楷體" w:eastAsia="標楷體" w:hAnsi="標楷體" w:cs="Times New Roman" w:hint="eastAsia"/>
          <w:spacing w:val="-2"/>
          <w:szCs w:val="24"/>
        </w:rPr>
        <w:t>萬餘元（</w:t>
      </w:r>
      <w:r w:rsidR="00F406A4" w:rsidRPr="00B474B8">
        <w:rPr>
          <w:rFonts w:ascii="標楷體" w:eastAsia="標楷體" w:hAnsi="標楷體" w:cs="Times New Roman"/>
          <w:spacing w:val="-2"/>
          <w:szCs w:val="24"/>
        </w:rPr>
        <w:t>83.96</w:t>
      </w:r>
      <w:r w:rsidRPr="00B474B8">
        <w:rPr>
          <w:rFonts w:ascii="標楷體" w:eastAsia="標楷體" w:hAnsi="標楷體" w:cs="Times New Roman" w:hint="eastAsia"/>
          <w:spacing w:val="-2"/>
          <w:szCs w:val="24"/>
        </w:rPr>
        <w:t>％）；減免（註銷）數</w:t>
      </w:r>
      <w:r w:rsidR="00F406A4" w:rsidRPr="00B474B8">
        <w:rPr>
          <w:rFonts w:ascii="標楷體" w:eastAsia="標楷體" w:hAnsi="標楷體" w:cs="Times New Roman"/>
          <w:spacing w:val="-2"/>
          <w:szCs w:val="24"/>
        </w:rPr>
        <w:t>198</w:t>
      </w:r>
      <w:r w:rsidRPr="00B474B8">
        <w:rPr>
          <w:rFonts w:ascii="標楷體" w:eastAsia="標楷體" w:hAnsi="標楷體" w:cs="Times New Roman" w:hint="eastAsia"/>
          <w:spacing w:val="-2"/>
          <w:szCs w:val="24"/>
        </w:rPr>
        <w:t>萬餘元（</w:t>
      </w:r>
      <w:r w:rsidR="00F406A4" w:rsidRPr="00B474B8">
        <w:rPr>
          <w:rFonts w:ascii="標楷體" w:eastAsia="標楷體" w:hAnsi="標楷體" w:cs="Times New Roman"/>
          <w:spacing w:val="-2"/>
          <w:szCs w:val="24"/>
        </w:rPr>
        <w:t>16.04</w:t>
      </w:r>
      <w:r w:rsidRPr="00B474B8">
        <w:rPr>
          <w:rFonts w:ascii="標楷體" w:eastAsia="標楷體" w:hAnsi="標楷體" w:cs="Times New Roman" w:hint="eastAsia"/>
          <w:spacing w:val="-2"/>
          <w:szCs w:val="24"/>
        </w:rPr>
        <w:t>％），主要係議員出國考察訪問旅費，實際執行之賸餘。</w:t>
      </w:r>
    </w:p>
    <w:p w14:paraId="577FB848" w14:textId="77777777" w:rsidR="008466B3" w:rsidRPr="0029756E" w:rsidRDefault="008466B3" w:rsidP="008466B3">
      <w:pPr>
        <w:overflowPunct w:val="0"/>
        <w:spacing w:before="320" w:afterLines="50" w:after="180" w:line="460" w:lineRule="exact"/>
        <w:outlineLvl w:val="1"/>
        <w:rPr>
          <w:rFonts w:ascii="標楷體" w:eastAsia="標楷體" w:hAnsi="標楷體" w:cs="Times New Roman"/>
          <w:b/>
          <w:color w:val="000000" w:themeColor="text1"/>
          <w:sz w:val="36"/>
          <w:szCs w:val="36"/>
        </w:rPr>
      </w:pPr>
      <w:r w:rsidRPr="00EF38EE">
        <w:rPr>
          <w:rFonts w:ascii="標楷體" w:eastAsia="標楷體" w:hAnsi="標楷體" w:cs="Times New Roman" w:hint="eastAsia"/>
          <w:b/>
          <w:color w:val="000000" w:themeColor="text1"/>
          <w:sz w:val="36"/>
          <w:szCs w:val="36"/>
        </w:rPr>
        <w:t>貳、</w:t>
      </w:r>
      <w:r w:rsidRPr="0029756E">
        <w:rPr>
          <w:rFonts w:ascii="標楷體" w:eastAsia="標楷體" w:hAnsi="標楷體" w:cs="Times New Roman" w:hint="eastAsia"/>
          <w:b/>
          <w:color w:val="000000" w:themeColor="text1"/>
          <w:sz w:val="36"/>
          <w:szCs w:val="36"/>
        </w:rPr>
        <w:t>市政府主管</w:t>
      </w:r>
    </w:p>
    <w:p w14:paraId="59CD7806" w14:textId="77777777" w:rsidR="008466B3" w:rsidRPr="0029756E" w:rsidRDefault="008466B3" w:rsidP="008466B3">
      <w:pPr>
        <w:overflowPunct w:val="0"/>
        <w:spacing w:beforeLines="20" w:before="72" w:line="460" w:lineRule="exact"/>
        <w:ind w:firstLineChars="200" w:firstLine="480"/>
        <w:jc w:val="both"/>
        <w:rPr>
          <w:rFonts w:ascii="標楷體" w:eastAsia="標楷體" w:hAnsi="標楷體" w:cs="Times New Roman"/>
          <w:color w:val="000000" w:themeColor="text1"/>
          <w:szCs w:val="24"/>
        </w:rPr>
      </w:pPr>
      <w:r w:rsidRPr="0029756E">
        <w:rPr>
          <w:rFonts w:ascii="標楷體" w:eastAsia="標楷體" w:hAnsi="標楷體" w:cs="Times New Roman" w:hint="eastAsia"/>
          <w:color w:val="000000" w:themeColor="text1"/>
          <w:szCs w:val="24"/>
        </w:rPr>
        <w:t>臺北市政府主管計有</w:t>
      </w:r>
      <w:r w:rsidRPr="0029756E">
        <w:rPr>
          <w:rFonts w:ascii="標楷體" w:eastAsia="標楷體" w:hAnsi="標楷體" w:cs="Times New Roman" w:hint="eastAsia"/>
          <w:color w:val="000000" w:themeColor="text1"/>
          <w:spacing w:val="-2"/>
          <w:szCs w:val="24"/>
        </w:rPr>
        <w:t>公務</w:t>
      </w:r>
      <w:r w:rsidRPr="0029756E">
        <w:rPr>
          <w:rFonts w:ascii="標楷體" w:eastAsia="標楷體" w:hAnsi="標楷體" w:cs="Times New Roman" w:hint="eastAsia"/>
          <w:color w:val="000000" w:themeColor="text1"/>
          <w:szCs w:val="24"/>
        </w:rPr>
        <w:t>機關22個，非營業特種基金單位1個，各該單位決算及附屬單位決算非營業部分之審核情形如次：</w:t>
      </w:r>
    </w:p>
    <w:p w14:paraId="3A825E2A" w14:textId="77777777" w:rsidR="008466B3" w:rsidRPr="0029756E" w:rsidRDefault="008466B3" w:rsidP="008466B3">
      <w:pPr>
        <w:widowControl/>
        <w:overflowPunct w:val="0"/>
        <w:spacing w:beforeLines="50" w:before="180" w:afterLines="10" w:after="36" w:line="460" w:lineRule="exact"/>
        <w:outlineLvl w:val="2"/>
        <w:rPr>
          <w:rFonts w:ascii="標楷體" w:eastAsia="標楷體" w:hAnsi="標楷體" w:cs="Times New Roman"/>
          <w:b/>
          <w:bCs/>
          <w:color w:val="000000" w:themeColor="text1"/>
          <w:kern w:val="52"/>
          <w:sz w:val="32"/>
          <w:szCs w:val="52"/>
        </w:rPr>
      </w:pPr>
      <w:r w:rsidRPr="0029756E">
        <w:rPr>
          <w:rFonts w:ascii="標楷體" w:eastAsia="標楷體" w:hAnsi="標楷體" w:cs="Times New Roman" w:hint="eastAsia"/>
          <w:b/>
          <w:bCs/>
          <w:color w:val="000000" w:themeColor="text1"/>
          <w:kern w:val="52"/>
          <w:sz w:val="32"/>
          <w:szCs w:val="52"/>
        </w:rPr>
        <w:t>一、單位決算部分</w:t>
      </w:r>
    </w:p>
    <w:p w14:paraId="36633EE2" w14:textId="77777777" w:rsidR="008466B3" w:rsidRPr="0029756E" w:rsidRDefault="008466B3" w:rsidP="008466B3">
      <w:pPr>
        <w:overflowPunct w:val="0"/>
        <w:spacing w:beforeLines="20" w:before="72" w:line="460" w:lineRule="exact"/>
        <w:ind w:firstLineChars="200" w:firstLine="480"/>
        <w:jc w:val="both"/>
        <w:rPr>
          <w:rFonts w:ascii="標楷體" w:eastAsia="標楷體" w:hAnsi="標楷體" w:cs="Times New Roman"/>
          <w:color w:val="000000" w:themeColor="text1"/>
          <w:szCs w:val="24"/>
        </w:rPr>
      </w:pPr>
      <w:r w:rsidRPr="0029756E">
        <w:rPr>
          <w:rFonts w:ascii="標楷體" w:eastAsia="標楷體" w:hAnsi="標楷體" w:cs="Times New Roman" w:hint="eastAsia"/>
          <w:color w:val="000000" w:themeColor="text1"/>
          <w:szCs w:val="24"/>
        </w:rPr>
        <w:t>臺北市政府主管包括秘書處、市政大樓公共事務管理中心、主計處、人事處、政風處、公務人員訓練處、研究發展考核委員會、都市計畫委員會、原住民族事務委員會、客家事務委員會及松山、信義、大安、中山、中正、大同、萬華、文山、南港、內湖、士林、北投區公所等22個機關，掌理市政綜理及公共聯繫、指揮監督市政大樓公共事務管理、歲計及會計、人事管理、政</w:t>
      </w:r>
      <w:r w:rsidRPr="0029756E">
        <w:rPr>
          <w:rFonts w:ascii="標楷體" w:eastAsia="標楷體" w:hAnsi="標楷體" w:cs="Times New Roman" w:hint="eastAsia"/>
          <w:color w:val="000000" w:themeColor="text1"/>
          <w:szCs w:val="24"/>
        </w:rPr>
        <w:lastRenderedPageBreak/>
        <w:t>風查處、公務人員訓練、研究發展考核、都市計畫審議、原住民社區及文教發展、客家文化保存及推廣、自治行政等業務。茲將</w:t>
      </w:r>
      <w:proofErr w:type="gramStart"/>
      <w:r w:rsidRPr="0029756E">
        <w:rPr>
          <w:rFonts w:ascii="標楷體" w:eastAsia="標楷體" w:hAnsi="標楷體" w:cs="Times New Roman" w:hint="eastAsia"/>
          <w:color w:val="000000" w:themeColor="text1"/>
          <w:szCs w:val="24"/>
        </w:rPr>
        <w:t>113</w:t>
      </w:r>
      <w:proofErr w:type="gramEnd"/>
      <w:r w:rsidRPr="0029756E">
        <w:rPr>
          <w:rFonts w:ascii="標楷體" w:eastAsia="標楷體" w:hAnsi="標楷體" w:cs="Times New Roman" w:hint="eastAsia"/>
          <w:color w:val="000000" w:themeColor="text1"/>
          <w:szCs w:val="24"/>
        </w:rPr>
        <w:t>年度決算審核結果說明如次：</w:t>
      </w:r>
    </w:p>
    <w:p w14:paraId="187044D6" w14:textId="77777777" w:rsidR="008466B3" w:rsidRPr="0029756E" w:rsidRDefault="008466B3" w:rsidP="008466B3">
      <w:pPr>
        <w:suppressAutoHyphens/>
        <w:overflowPunct w:val="0"/>
        <w:spacing w:beforeLines="50" w:before="180" w:afterLines="20" w:after="72" w:line="460" w:lineRule="exact"/>
        <w:ind w:firstLineChars="100" w:firstLine="280"/>
        <w:jc w:val="both"/>
        <w:rPr>
          <w:rFonts w:ascii="標楷體" w:eastAsia="標楷體" w:hAnsi="標楷體" w:cs="Times New Roman"/>
          <w:b/>
          <w:bCs/>
          <w:color w:val="000000" w:themeColor="text1"/>
          <w:kern w:val="52"/>
          <w:sz w:val="28"/>
          <w:szCs w:val="52"/>
        </w:rPr>
      </w:pPr>
      <w:r w:rsidRPr="0029756E">
        <w:rPr>
          <w:rFonts w:ascii="標楷體" w:eastAsia="標楷體" w:hAnsi="標楷體" w:cs="Times New Roman" w:hint="eastAsia"/>
          <w:b/>
          <w:bCs/>
          <w:color w:val="000000" w:themeColor="text1"/>
          <w:kern w:val="52"/>
          <w:sz w:val="28"/>
          <w:szCs w:val="52"/>
        </w:rPr>
        <w:t>（一）計畫實施之查核</w:t>
      </w:r>
    </w:p>
    <w:p w14:paraId="260D8C54" w14:textId="77777777" w:rsidR="008466B3" w:rsidRPr="0029756E" w:rsidRDefault="008466B3" w:rsidP="008466B3">
      <w:pPr>
        <w:widowControl/>
        <w:overflowPunct w:val="0"/>
        <w:spacing w:line="460" w:lineRule="exact"/>
        <w:ind w:firstLineChars="200" w:firstLine="472"/>
        <w:jc w:val="both"/>
        <w:rPr>
          <w:rFonts w:ascii="標楷體" w:eastAsia="標楷體" w:hAnsi="標楷體" w:cs="Times New Roman"/>
          <w:noProof/>
          <w:color w:val="000000" w:themeColor="text1"/>
          <w:spacing w:val="-2"/>
          <w:szCs w:val="24"/>
        </w:rPr>
      </w:pPr>
      <w:r w:rsidRPr="0029756E">
        <w:rPr>
          <w:rFonts w:ascii="標楷體" w:eastAsia="標楷體" w:hAnsi="標楷體" w:cs="Times New Roman" w:hint="eastAsia"/>
          <w:color w:val="000000" w:themeColor="text1"/>
          <w:spacing w:val="-2"/>
          <w:szCs w:val="24"/>
        </w:rPr>
        <w:t>業務計畫9</w:t>
      </w:r>
      <w:r w:rsidRPr="0029756E">
        <w:rPr>
          <w:rFonts w:ascii="標楷體" w:eastAsia="標楷體" w:hAnsi="標楷體" w:cs="Times New Roman"/>
          <w:color w:val="000000" w:themeColor="text1"/>
          <w:spacing w:val="-2"/>
          <w:szCs w:val="24"/>
        </w:rPr>
        <w:t>6</w:t>
      </w:r>
      <w:r w:rsidRPr="0029756E">
        <w:rPr>
          <w:rFonts w:ascii="標楷體" w:eastAsia="標楷體" w:hAnsi="標楷體" w:cs="Times New Roman" w:hint="eastAsia"/>
          <w:color w:val="000000" w:themeColor="text1"/>
          <w:spacing w:val="-2"/>
          <w:szCs w:val="24"/>
        </w:rPr>
        <w:t>項，下分工作計畫118項，包括積極參與國際城市組織及活動、持續為民服務、推動基北</w:t>
      </w:r>
      <w:proofErr w:type="gramStart"/>
      <w:r w:rsidRPr="0029756E">
        <w:rPr>
          <w:rFonts w:ascii="標楷體" w:eastAsia="標楷體" w:hAnsi="標楷體" w:cs="Times New Roman" w:hint="eastAsia"/>
          <w:color w:val="000000" w:themeColor="text1"/>
          <w:spacing w:val="-2"/>
          <w:szCs w:val="24"/>
        </w:rPr>
        <w:t>北</w:t>
      </w:r>
      <w:proofErr w:type="gramEnd"/>
      <w:r w:rsidRPr="0029756E">
        <w:rPr>
          <w:rFonts w:ascii="標楷體" w:eastAsia="標楷體" w:hAnsi="標楷體" w:cs="Times New Roman" w:hint="eastAsia"/>
          <w:color w:val="000000" w:themeColor="text1"/>
          <w:spacing w:val="-2"/>
          <w:szCs w:val="24"/>
        </w:rPr>
        <w:t>桃合作交流、</w:t>
      </w:r>
      <w:proofErr w:type="gramStart"/>
      <w:r w:rsidRPr="0029756E">
        <w:rPr>
          <w:rFonts w:ascii="標楷體" w:eastAsia="標楷體" w:hAnsi="標楷體" w:cs="Times New Roman" w:hint="eastAsia"/>
          <w:color w:val="000000" w:themeColor="text1"/>
          <w:spacing w:val="-2"/>
          <w:szCs w:val="24"/>
        </w:rPr>
        <w:t>賡</w:t>
      </w:r>
      <w:proofErr w:type="gramEnd"/>
      <w:r w:rsidRPr="0029756E">
        <w:rPr>
          <w:rFonts w:ascii="標楷體" w:eastAsia="標楷體" w:hAnsi="標楷體" w:cs="Times New Roman" w:hint="eastAsia"/>
          <w:color w:val="000000" w:themeColor="text1"/>
          <w:spacing w:val="-2"/>
          <w:szCs w:val="24"/>
        </w:rPr>
        <w:t>續辦理重大計畫管理暨考評作業、推動臺北市陳情系統1999之優化，配合市政建設需要辦理組織法規修正、依重要政策推動公務人員前瞻培訓及推廣原住民與客家族群文化等重要施政項目，其中已執行完成者10</w:t>
      </w:r>
      <w:r w:rsidRPr="0029756E">
        <w:rPr>
          <w:rFonts w:ascii="標楷體" w:eastAsia="標楷體" w:hAnsi="標楷體" w:cs="Times New Roman"/>
          <w:color w:val="000000" w:themeColor="text1"/>
          <w:spacing w:val="-2"/>
          <w:szCs w:val="24"/>
        </w:rPr>
        <w:t>4</w:t>
      </w:r>
      <w:r w:rsidRPr="0029756E">
        <w:rPr>
          <w:rFonts w:ascii="標楷體" w:eastAsia="標楷體" w:hAnsi="標楷體" w:cs="Times New Roman" w:hint="eastAsia"/>
          <w:color w:val="000000" w:themeColor="text1"/>
          <w:spacing w:val="-2"/>
          <w:szCs w:val="24"/>
        </w:rPr>
        <w:t>項，尚在執行者14項，主要係原住民族事務委員會辦理臺北市原住民族</w:t>
      </w:r>
      <w:proofErr w:type="gramStart"/>
      <w:r w:rsidRPr="0029756E">
        <w:rPr>
          <w:rFonts w:ascii="標楷體" w:eastAsia="標楷體" w:hAnsi="標楷體" w:cs="Times New Roman" w:hint="eastAsia"/>
          <w:color w:val="000000" w:themeColor="text1"/>
          <w:spacing w:val="-2"/>
          <w:szCs w:val="24"/>
        </w:rPr>
        <w:t>文化創生基地</w:t>
      </w:r>
      <w:proofErr w:type="gramEnd"/>
      <w:r w:rsidRPr="0029756E">
        <w:rPr>
          <w:rFonts w:ascii="標楷體" w:eastAsia="標楷體" w:hAnsi="標楷體" w:cs="Times New Roman" w:hint="eastAsia"/>
          <w:color w:val="000000" w:themeColor="text1"/>
          <w:spacing w:val="-2"/>
          <w:szCs w:val="24"/>
        </w:rPr>
        <w:t>整體修繕工程，契約期程跨年度，暨內湖、中山、文山等</w:t>
      </w:r>
      <w:proofErr w:type="gramStart"/>
      <w:r w:rsidRPr="0029756E">
        <w:rPr>
          <w:rFonts w:ascii="標楷體" w:eastAsia="標楷體" w:hAnsi="標楷體" w:cs="Times New Roman" w:hint="eastAsia"/>
          <w:color w:val="000000" w:themeColor="text1"/>
          <w:spacing w:val="-2"/>
          <w:szCs w:val="24"/>
        </w:rPr>
        <w:t>區公所參建區</w:t>
      </w:r>
      <w:proofErr w:type="gramEnd"/>
      <w:r w:rsidRPr="0029756E">
        <w:rPr>
          <w:rFonts w:ascii="標楷體" w:eastAsia="標楷體" w:hAnsi="標楷體" w:cs="Times New Roman" w:hint="eastAsia"/>
          <w:color w:val="000000" w:themeColor="text1"/>
          <w:spacing w:val="-2"/>
          <w:szCs w:val="24"/>
        </w:rPr>
        <w:t>民活動中心新建工程及室內裝修工程，配合主辦機關執行進度，須保留繼續執行。</w:t>
      </w:r>
      <w:r w:rsidRPr="0029756E">
        <w:rPr>
          <w:rFonts w:ascii="標楷體" w:eastAsia="標楷體" w:hAnsi="標楷體" w:cs="Times New Roman"/>
          <w:noProof/>
          <w:color w:val="000000" w:themeColor="text1"/>
          <w:spacing w:val="-2"/>
          <w:szCs w:val="24"/>
        </w:rPr>
        <w:t xml:space="preserve"> </w:t>
      </w:r>
    </w:p>
    <w:p w14:paraId="70CD2A09" w14:textId="77777777" w:rsidR="008466B3" w:rsidRPr="0029756E" w:rsidRDefault="008466B3" w:rsidP="008466B3">
      <w:pPr>
        <w:suppressAutoHyphens/>
        <w:overflowPunct w:val="0"/>
        <w:spacing w:beforeLines="50" w:before="180" w:afterLines="20" w:after="72" w:line="460" w:lineRule="exact"/>
        <w:ind w:firstLineChars="100" w:firstLine="280"/>
        <w:jc w:val="both"/>
        <w:rPr>
          <w:rFonts w:ascii="標楷體" w:eastAsia="標楷體" w:hAnsi="標楷體" w:cs="Times New Roman"/>
          <w:b/>
          <w:bCs/>
          <w:color w:val="000000" w:themeColor="text1"/>
          <w:kern w:val="52"/>
          <w:sz w:val="28"/>
          <w:szCs w:val="52"/>
        </w:rPr>
      </w:pPr>
      <w:r w:rsidRPr="0029756E">
        <w:rPr>
          <w:rFonts w:ascii="標楷體" w:eastAsia="標楷體" w:hAnsi="標楷體" w:cs="Times New Roman" w:hint="eastAsia"/>
          <w:b/>
          <w:bCs/>
          <w:color w:val="000000" w:themeColor="text1"/>
          <w:kern w:val="52"/>
          <w:sz w:val="28"/>
          <w:szCs w:val="52"/>
        </w:rPr>
        <w:t>（二）預算執行之審核</w:t>
      </w:r>
    </w:p>
    <w:p w14:paraId="09D28BF7" w14:textId="77777777" w:rsidR="008466B3" w:rsidRPr="0029756E" w:rsidRDefault="008466B3" w:rsidP="0023124E">
      <w:pPr>
        <w:overflowPunct w:val="0"/>
        <w:spacing w:beforeLines="30" w:before="108" w:line="460" w:lineRule="exact"/>
        <w:ind w:firstLineChars="200" w:firstLine="476"/>
        <w:jc w:val="both"/>
        <w:rPr>
          <w:rFonts w:ascii="標楷體" w:eastAsia="標楷體" w:hAnsi="標楷體" w:cs="Times New Roman"/>
          <w:noProof/>
          <w:color w:val="000000" w:themeColor="text1"/>
          <w:spacing w:val="-1"/>
          <w:szCs w:val="24"/>
        </w:rPr>
      </w:pPr>
      <w:r w:rsidRPr="0029756E">
        <w:rPr>
          <w:rFonts w:ascii="標楷體" w:eastAsia="標楷體" w:hAnsi="標楷體" w:cs="Times New Roman" w:hint="eastAsia"/>
          <w:color w:val="000000" w:themeColor="text1"/>
          <w:spacing w:val="-1"/>
          <w:szCs w:val="24"/>
        </w:rPr>
        <w:t>1.</w:t>
      </w:r>
      <w:r w:rsidRPr="0029756E">
        <w:rPr>
          <w:rFonts w:ascii="標楷體" w:eastAsia="標楷體" w:hAnsi="標楷體" w:cs="Times New Roman"/>
          <w:color w:val="000000" w:themeColor="text1"/>
          <w:spacing w:val="-1"/>
          <w:szCs w:val="24"/>
        </w:rPr>
        <w:t>歲入原編列預算數1億8,188萬餘元，經追加預算1億7,555萬餘元，合計3億5,743萬餘元，決算審核結果，審定實現數3億8,018萬餘元，應收保留數204萬餘元，主要係</w:t>
      </w:r>
      <w:r w:rsidRPr="0029756E">
        <w:rPr>
          <w:rFonts w:ascii="標楷體" w:eastAsia="標楷體" w:hAnsi="標楷體" w:cs="Times New Roman" w:hint="eastAsia"/>
          <w:color w:val="000000" w:themeColor="text1"/>
          <w:spacing w:val="-1"/>
          <w:szCs w:val="24"/>
        </w:rPr>
        <w:t>內政部以特別統籌分配稅補助大安區公所辦理通安區民活動中心裝修整建計畫經費，依執行進度申撥款項等</w:t>
      </w:r>
      <w:r w:rsidRPr="0029756E">
        <w:rPr>
          <w:rFonts w:ascii="標楷體" w:eastAsia="標楷體" w:hAnsi="標楷體" w:cs="Times New Roman"/>
          <w:color w:val="000000" w:themeColor="text1"/>
          <w:spacing w:val="-1"/>
          <w:szCs w:val="24"/>
        </w:rPr>
        <w:t>；合計決算審定數為3億8,</w:t>
      </w:r>
      <w:r w:rsidRPr="0029756E">
        <w:rPr>
          <w:rFonts w:ascii="標楷體" w:eastAsia="標楷體" w:hAnsi="標楷體" w:cs="Times New Roman"/>
          <w:snapToGrid w:val="0"/>
          <w:color w:val="000000" w:themeColor="text1"/>
          <w:kern w:val="0"/>
          <w:szCs w:val="24"/>
        </w:rPr>
        <w:t>222</w:t>
      </w:r>
      <w:r w:rsidRPr="0029756E">
        <w:rPr>
          <w:rFonts w:ascii="標楷體" w:eastAsia="標楷體" w:hAnsi="標楷體" w:cs="Times New Roman"/>
          <w:color w:val="000000" w:themeColor="text1"/>
          <w:spacing w:val="-1"/>
          <w:szCs w:val="24"/>
        </w:rPr>
        <w:t>萬餘元，較預算增加2,478萬餘元（6.93％），主要係</w:t>
      </w:r>
      <w:r w:rsidRPr="0029756E">
        <w:rPr>
          <w:rFonts w:ascii="標楷體" w:eastAsia="標楷體" w:hAnsi="標楷體" w:cs="Times New Roman" w:hint="eastAsia"/>
          <w:color w:val="000000" w:themeColor="text1"/>
          <w:spacing w:val="-1"/>
          <w:szCs w:val="24"/>
        </w:rPr>
        <w:t>萬華、士林、內湖、松山、信義、北投、南港區公所區民活動中心場地出借收入較預計增加等</w:t>
      </w:r>
      <w:r w:rsidRPr="0029756E">
        <w:rPr>
          <w:rFonts w:ascii="標楷體" w:eastAsia="標楷體" w:hAnsi="標楷體" w:cs="Times New Roman"/>
          <w:color w:val="000000" w:themeColor="text1"/>
          <w:spacing w:val="-1"/>
          <w:szCs w:val="24"/>
        </w:rPr>
        <w:t>。</w:t>
      </w:r>
    </w:p>
    <w:p w14:paraId="6D503D66" w14:textId="77777777" w:rsidR="008466B3" w:rsidRPr="0029756E" w:rsidRDefault="008466B3" w:rsidP="0023124E">
      <w:pPr>
        <w:overflowPunct w:val="0"/>
        <w:spacing w:beforeLines="30" w:before="108" w:line="460" w:lineRule="exact"/>
        <w:ind w:firstLineChars="200" w:firstLine="480"/>
        <w:jc w:val="both"/>
        <w:rPr>
          <w:rFonts w:ascii="標楷體" w:eastAsia="標楷體" w:hAnsi="標楷體" w:cs="Times New Roman"/>
          <w:color w:val="000000" w:themeColor="text1"/>
          <w:szCs w:val="24"/>
        </w:rPr>
      </w:pPr>
      <w:r w:rsidRPr="0029756E">
        <w:rPr>
          <w:rFonts w:ascii="標楷體" w:eastAsia="標楷體" w:hAnsi="標楷體" w:cs="Times New Roman" w:hint="eastAsia"/>
          <w:color w:val="000000" w:themeColor="text1"/>
          <w:szCs w:val="24"/>
        </w:rPr>
        <w:t>2.</w:t>
      </w:r>
      <w:r w:rsidRPr="0029756E">
        <w:rPr>
          <w:rFonts w:ascii="標楷體" w:eastAsia="標楷體" w:hAnsi="標楷體" w:cs="Times New Roman"/>
          <w:color w:val="000000" w:themeColor="text1"/>
          <w:spacing w:val="-1"/>
          <w:szCs w:val="24"/>
        </w:rPr>
        <w:t>以前年度歲入轉入數計3,313萬餘元，決算審核結果，審定實現數1,609萬餘元（48.58％）；減免（註銷）數99萬餘元（3.01％），主要係</w:t>
      </w:r>
      <w:r w:rsidRPr="0029756E">
        <w:rPr>
          <w:rFonts w:ascii="標楷體" w:eastAsia="標楷體" w:hAnsi="標楷體" w:cs="Times New Roman" w:hint="eastAsia"/>
          <w:color w:val="000000" w:themeColor="text1"/>
          <w:spacing w:val="-1"/>
          <w:szCs w:val="24"/>
        </w:rPr>
        <w:t>大同、大安、文山、中山、信義、松山區公所對廠商違反政府採購法應沒入之押標金，已取得執行憑證後辦理註銷</w:t>
      </w:r>
      <w:r w:rsidRPr="0029756E">
        <w:rPr>
          <w:rFonts w:ascii="標楷體" w:eastAsia="標楷體" w:hAnsi="標楷體" w:cs="Times New Roman"/>
          <w:color w:val="000000" w:themeColor="text1"/>
          <w:spacing w:val="-1"/>
          <w:szCs w:val="24"/>
        </w:rPr>
        <w:t>；應收保留數1,603萬餘元（48.41％），主要係</w:t>
      </w:r>
      <w:r w:rsidRPr="0029756E">
        <w:rPr>
          <w:rFonts w:ascii="標楷體" w:eastAsia="標楷體" w:hAnsi="標楷體" w:cs="Times New Roman" w:hint="eastAsia"/>
          <w:color w:val="000000" w:themeColor="text1"/>
          <w:spacing w:val="-1"/>
          <w:szCs w:val="24"/>
        </w:rPr>
        <w:t>前新聞處（96年5月改制為觀光傳播局）88年度動支第二預備金辦理</w:t>
      </w:r>
      <w:proofErr w:type="gramStart"/>
      <w:r w:rsidRPr="0029756E">
        <w:rPr>
          <w:rFonts w:ascii="標楷體" w:eastAsia="標楷體" w:hAnsi="標楷體" w:cs="Times New Roman" w:hint="eastAsia"/>
          <w:color w:val="000000" w:themeColor="text1"/>
          <w:spacing w:val="-1"/>
          <w:szCs w:val="24"/>
        </w:rPr>
        <w:t>臺</w:t>
      </w:r>
      <w:proofErr w:type="gramEnd"/>
      <w:r w:rsidRPr="0029756E">
        <w:rPr>
          <w:rFonts w:ascii="標楷體" w:eastAsia="標楷體" w:hAnsi="標楷體" w:cs="Times New Roman" w:hint="eastAsia"/>
          <w:color w:val="000000" w:themeColor="text1"/>
          <w:spacing w:val="-1"/>
          <w:szCs w:val="24"/>
        </w:rPr>
        <w:t>北電影節費用，未獲市議會同意動支，尚待收回。</w:t>
      </w:r>
    </w:p>
    <w:p w14:paraId="3A505483" w14:textId="77777777" w:rsidR="008466B3" w:rsidRPr="0029756E" w:rsidRDefault="008466B3" w:rsidP="008466B3">
      <w:pPr>
        <w:widowControl/>
        <w:overflowPunct w:val="0"/>
        <w:spacing w:line="460" w:lineRule="exact"/>
        <w:ind w:firstLineChars="200" w:firstLine="476"/>
        <w:jc w:val="both"/>
        <w:rPr>
          <w:rFonts w:ascii="標楷體" w:eastAsia="標楷體" w:hAnsi="標楷體" w:cs="Times New Roman"/>
          <w:color w:val="000000" w:themeColor="text1"/>
          <w:spacing w:val="-1"/>
          <w:szCs w:val="24"/>
        </w:rPr>
      </w:pPr>
      <w:r w:rsidRPr="0029756E">
        <w:rPr>
          <w:rFonts w:ascii="標楷體" w:eastAsia="標楷體" w:hAnsi="標楷體" w:cs="Times New Roman" w:hint="eastAsia"/>
          <w:color w:val="000000" w:themeColor="text1"/>
          <w:spacing w:val="-1"/>
          <w:szCs w:val="24"/>
        </w:rPr>
        <w:t>3.</w:t>
      </w:r>
      <w:r w:rsidRPr="0029756E">
        <w:rPr>
          <w:rFonts w:ascii="標楷體" w:eastAsia="標楷體" w:hAnsi="標楷體" w:cs="Times New Roman"/>
          <w:color w:val="000000" w:themeColor="text1"/>
          <w:spacing w:val="-1"/>
          <w:szCs w:val="24"/>
        </w:rPr>
        <w:t>歲出原編列預算數49億1,398萬餘元，經追加預算1,864</w:t>
      </w:r>
      <w:r w:rsidRPr="0029756E">
        <w:rPr>
          <w:rFonts w:ascii="標楷體" w:eastAsia="標楷體" w:hAnsi="標楷體" w:cs="Times New Roman" w:hint="eastAsia"/>
          <w:color w:val="000000" w:themeColor="text1"/>
          <w:spacing w:val="-1"/>
          <w:szCs w:val="24"/>
        </w:rPr>
        <w:t>萬餘元</w:t>
      </w:r>
      <w:r w:rsidRPr="0029756E">
        <w:rPr>
          <w:rFonts w:ascii="標楷體" w:eastAsia="標楷體" w:hAnsi="標楷體" w:cs="Times New Roman"/>
          <w:color w:val="000000" w:themeColor="text1"/>
          <w:spacing w:val="-1"/>
          <w:szCs w:val="24"/>
        </w:rPr>
        <w:t>，並</w:t>
      </w:r>
      <w:r w:rsidRPr="0029756E">
        <w:rPr>
          <w:rFonts w:ascii="標楷體" w:eastAsia="標楷體" w:hAnsi="標楷體" w:cs="Times New Roman" w:hint="eastAsia"/>
          <w:color w:val="000000" w:themeColor="text1"/>
          <w:spacing w:val="-1"/>
          <w:szCs w:val="24"/>
        </w:rPr>
        <w:t>因文山區公所辦理文山區行政中心外牆修繕及檢測所需經費</w:t>
      </w:r>
      <w:r w:rsidRPr="0029756E">
        <w:rPr>
          <w:rFonts w:ascii="標楷體" w:eastAsia="標楷體" w:hAnsi="標楷體" w:cs="Times New Roman"/>
          <w:color w:val="000000" w:themeColor="text1"/>
          <w:spacing w:val="-1"/>
          <w:szCs w:val="24"/>
        </w:rPr>
        <w:t>，經動支第二預備金451萬餘元，</w:t>
      </w:r>
      <w:proofErr w:type="gramStart"/>
      <w:r w:rsidRPr="0029756E">
        <w:rPr>
          <w:rFonts w:ascii="標楷體" w:eastAsia="標楷體" w:hAnsi="標楷體" w:cs="Times New Roman"/>
          <w:color w:val="000000" w:themeColor="text1"/>
          <w:spacing w:val="-1"/>
          <w:szCs w:val="24"/>
        </w:rPr>
        <w:t>暨因</w:t>
      </w:r>
      <w:r w:rsidRPr="0029756E">
        <w:rPr>
          <w:rFonts w:ascii="標楷體" w:eastAsia="標楷體" w:hAnsi="標楷體" w:cs="Times New Roman" w:hint="eastAsia"/>
          <w:color w:val="000000" w:themeColor="text1"/>
          <w:spacing w:val="-1"/>
          <w:szCs w:val="24"/>
        </w:rPr>
        <w:t>秘書處</w:t>
      </w:r>
      <w:proofErr w:type="gramEnd"/>
      <w:r w:rsidRPr="0029756E">
        <w:rPr>
          <w:rFonts w:ascii="標楷體" w:eastAsia="標楷體" w:hAnsi="標楷體" w:cs="Times New Roman" w:hint="eastAsia"/>
          <w:color w:val="000000" w:themeColor="text1"/>
          <w:spacing w:val="-1"/>
          <w:szCs w:val="24"/>
        </w:rPr>
        <w:t>等19個機關人事費不足</w:t>
      </w:r>
      <w:r w:rsidRPr="0029756E">
        <w:rPr>
          <w:rFonts w:ascii="標楷體" w:eastAsia="標楷體" w:hAnsi="標楷體" w:cs="Times New Roman"/>
          <w:color w:val="000000" w:themeColor="text1"/>
          <w:spacing w:val="-1"/>
          <w:szCs w:val="24"/>
        </w:rPr>
        <w:t>等事由，動支各類員工待遇準備9,649萬餘元，合計50億3,364萬餘元，決算審核結果，審定實現數48億6,697萬餘元（96.69％），應付保留數7,962萬餘元（1.58％），保留原因詳「（一）計畫實施之查核」說明；合計決算審定數為49億4,659萬餘元，預算賸餘8,704萬餘元（1.73％），主要係</w:t>
      </w:r>
      <w:r w:rsidRPr="0029756E">
        <w:rPr>
          <w:rFonts w:ascii="標楷體" w:eastAsia="標楷體" w:hAnsi="標楷體" w:cs="Times New Roman" w:hint="eastAsia"/>
          <w:color w:val="000000" w:themeColor="text1"/>
          <w:spacing w:val="-1"/>
          <w:szCs w:val="24"/>
        </w:rPr>
        <w:t>按業務實際需要減少支付之賸餘及補（捐）</w:t>
      </w:r>
      <w:proofErr w:type="gramStart"/>
      <w:r w:rsidRPr="0029756E">
        <w:rPr>
          <w:rFonts w:ascii="標楷體" w:eastAsia="標楷體" w:hAnsi="標楷體" w:cs="Times New Roman" w:hint="eastAsia"/>
          <w:color w:val="000000" w:themeColor="text1"/>
          <w:spacing w:val="-1"/>
          <w:szCs w:val="24"/>
        </w:rPr>
        <w:t>助或委</w:t>
      </w:r>
      <w:proofErr w:type="gramEnd"/>
      <w:r w:rsidRPr="0029756E">
        <w:rPr>
          <w:rFonts w:ascii="標楷體" w:eastAsia="標楷體" w:hAnsi="標楷體" w:cs="Times New Roman" w:hint="eastAsia"/>
          <w:color w:val="000000" w:themeColor="text1"/>
          <w:spacing w:val="-1"/>
          <w:szCs w:val="24"/>
        </w:rPr>
        <w:t>辦計畫經費賸餘。</w:t>
      </w:r>
    </w:p>
    <w:p w14:paraId="36C6F324" w14:textId="77777777" w:rsidR="008466B3" w:rsidRPr="0029756E" w:rsidRDefault="008466B3" w:rsidP="008466B3">
      <w:pPr>
        <w:widowControl/>
        <w:overflowPunct w:val="0"/>
        <w:spacing w:line="460" w:lineRule="exact"/>
        <w:ind w:firstLineChars="200" w:firstLine="476"/>
        <w:jc w:val="both"/>
        <w:rPr>
          <w:rFonts w:ascii="標楷體" w:eastAsia="標楷體" w:hAnsi="標楷體" w:cs="Times New Roman"/>
          <w:color w:val="000000" w:themeColor="text1"/>
          <w:szCs w:val="24"/>
        </w:rPr>
      </w:pPr>
      <w:r w:rsidRPr="0029756E">
        <w:rPr>
          <w:rFonts w:ascii="標楷體" w:eastAsia="標楷體" w:hAnsi="標楷體" w:cs="Times New Roman" w:hint="eastAsia"/>
          <w:noProof/>
          <w:color w:val="000000" w:themeColor="text1"/>
          <w:spacing w:val="-1"/>
          <w:szCs w:val="24"/>
        </w:rPr>
        <w:t>4.</w:t>
      </w:r>
      <w:r w:rsidRPr="0029756E">
        <w:rPr>
          <w:rFonts w:ascii="標楷體" w:eastAsia="標楷體" w:hAnsi="標楷體" w:cs="Times New Roman"/>
          <w:noProof/>
          <w:color w:val="000000" w:themeColor="text1"/>
          <w:spacing w:val="-1"/>
          <w:szCs w:val="24"/>
        </w:rPr>
        <w:t>以前年度歲出轉入數計1億6,105萬餘元，決算審核結果，審定實現數8,311萬餘元</w:t>
      </w:r>
      <w:r w:rsidRPr="0029756E">
        <w:rPr>
          <w:rFonts w:ascii="標楷體" w:eastAsia="標楷體" w:hAnsi="標楷體" w:cs="Times New Roman" w:hint="eastAsia"/>
          <w:noProof/>
          <w:color w:val="000000" w:themeColor="text1"/>
          <w:spacing w:val="-1"/>
          <w:szCs w:val="24"/>
        </w:rPr>
        <w:t>（</w:t>
      </w:r>
      <w:r w:rsidRPr="0029756E">
        <w:rPr>
          <w:rFonts w:ascii="標楷體" w:eastAsia="標楷體" w:hAnsi="標楷體" w:cs="Times New Roman"/>
          <w:noProof/>
          <w:color w:val="000000" w:themeColor="text1"/>
          <w:spacing w:val="-1"/>
          <w:szCs w:val="24"/>
        </w:rPr>
        <w:t>51.61％）；減免（註銷）數215萬餘元（1.34％），主要係</w:t>
      </w:r>
      <w:r w:rsidRPr="0029756E">
        <w:rPr>
          <w:rFonts w:ascii="標楷體" w:eastAsia="標楷體" w:hAnsi="標楷體" w:cs="Times New Roman" w:hint="eastAsia"/>
          <w:noProof/>
          <w:color w:val="000000" w:themeColor="text1"/>
          <w:spacing w:val="-1"/>
          <w:szCs w:val="24"/>
        </w:rPr>
        <w:t>文山區公所參建文山區和興水岸社會住宅統包工程分攤款，配合主辦機關執行進度，無須保留，及試院區民活動中心室內裝修工程之結餘</w:t>
      </w:r>
      <w:r w:rsidRPr="0029756E">
        <w:rPr>
          <w:rFonts w:ascii="標楷體" w:eastAsia="標楷體" w:hAnsi="標楷體" w:cs="Times New Roman"/>
          <w:noProof/>
          <w:color w:val="000000" w:themeColor="text1"/>
          <w:spacing w:val="-1"/>
          <w:szCs w:val="24"/>
        </w:rPr>
        <w:t>；</w:t>
      </w:r>
      <w:r w:rsidRPr="0029756E">
        <w:rPr>
          <w:rFonts w:ascii="標楷體" w:eastAsia="標楷體" w:hAnsi="標楷體" w:cs="Times New Roman"/>
          <w:noProof/>
          <w:color w:val="000000" w:themeColor="text1"/>
          <w:spacing w:val="-1"/>
          <w:szCs w:val="24"/>
        </w:rPr>
        <w:lastRenderedPageBreak/>
        <w:t>應付保留數7,578萬餘元（47.06％），主要係</w:t>
      </w:r>
      <w:r w:rsidRPr="0029756E">
        <w:rPr>
          <w:rFonts w:ascii="標楷體" w:eastAsia="標楷體" w:hAnsi="標楷體" w:cs="Times New Roman" w:hint="eastAsia"/>
          <w:noProof/>
          <w:color w:val="000000" w:themeColor="text1"/>
          <w:spacing w:val="-1"/>
          <w:szCs w:val="24"/>
        </w:rPr>
        <w:t>信義區公所參建廣慈博愛園區新建工程，配合主辦機關辦理進度，暨萬華區公所辦理日祥區民活動中心尚待完成價購程序等，須保留繼續執行。</w:t>
      </w:r>
    </w:p>
    <w:p w14:paraId="096A85D9" w14:textId="77777777" w:rsidR="008466B3" w:rsidRPr="0029756E" w:rsidRDefault="008466B3" w:rsidP="0029756E">
      <w:pPr>
        <w:widowControl/>
        <w:overflowPunct w:val="0"/>
        <w:spacing w:beforeLines="20" w:before="72" w:afterLines="10" w:after="36" w:line="440" w:lineRule="exact"/>
        <w:outlineLvl w:val="2"/>
        <w:rPr>
          <w:rFonts w:ascii="標楷體" w:eastAsia="標楷體" w:hAnsi="標楷體" w:cs="Times New Roman"/>
          <w:b/>
          <w:bCs/>
          <w:color w:val="000000" w:themeColor="text1"/>
          <w:kern w:val="52"/>
          <w:sz w:val="32"/>
          <w:szCs w:val="32"/>
        </w:rPr>
      </w:pPr>
      <w:r w:rsidRPr="0029756E">
        <w:rPr>
          <w:rFonts w:ascii="標楷體" w:eastAsia="標楷體" w:hAnsi="標楷體" w:cs="Times New Roman" w:hint="eastAsia"/>
          <w:b/>
          <w:bCs/>
          <w:color w:val="000000" w:themeColor="text1"/>
          <w:kern w:val="52"/>
          <w:sz w:val="32"/>
          <w:szCs w:val="32"/>
        </w:rPr>
        <w:t>二、附屬單位決算非營業部分</w:t>
      </w:r>
    </w:p>
    <w:p w14:paraId="569D7A2C" w14:textId="77777777" w:rsidR="008466B3" w:rsidRPr="0029756E" w:rsidRDefault="008466B3" w:rsidP="008466B3">
      <w:pPr>
        <w:widowControl/>
        <w:overflowPunct w:val="0"/>
        <w:spacing w:line="460" w:lineRule="exact"/>
        <w:ind w:firstLineChars="200" w:firstLine="480"/>
        <w:jc w:val="both"/>
        <w:rPr>
          <w:rFonts w:ascii="標楷體" w:eastAsia="標楷體" w:hAnsi="標楷體" w:cs="Times New Roman"/>
          <w:color w:val="000000" w:themeColor="text1"/>
          <w:szCs w:val="24"/>
        </w:rPr>
      </w:pPr>
      <w:r w:rsidRPr="0029756E">
        <w:rPr>
          <w:rFonts w:ascii="標楷體" w:eastAsia="標楷體" w:hAnsi="標楷體" w:cs="Times New Roman" w:hint="eastAsia"/>
          <w:color w:val="000000" w:themeColor="text1"/>
          <w:szCs w:val="24"/>
        </w:rPr>
        <w:t>臺北市政府主管僅作業基金－臺北市輔助公教人員購置住宅及急難貸款基金1個單位，茲將</w:t>
      </w:r>
      <w:proofErr w:type="gramStart"/>
      <w:r w:rsidRPr="0029756E">
        <w:rPr>
          <w:rFonts w:ascii="標楷體" w:eastAsia="標楷體" w:hAnsi="標楷體" w:cs="Times New Roman" w:hint="eastAsia"/>
          <w:color w:val="000000" w:themeColor="text1"/>
          <w:szCs w:val="24"/>
        </w:rPr>
        <w:t>11</w:t>
      </w:r>
      <w:r w:rsidRPr="0029756E">
        <w:rPr>
          <w:rFonts w:ascii="標楷體" w:eastAsia="標楷體" w:hAnsi="標楷體" w:cs="Times New Roman"/>
          <w:color w:val="000000" w:themeColor="text1"/>
          <w:szCs w:val="24"/>
        </w:rPr>
        <w:t>3</w:t>
      </w:r>
      <w:proofErr w:type="gramEnd"/>
      <w:r w:rsidRPr="0029756E">
        <w:rPr>
          <w:rFonts w:ascii="標楷體" w:eastAsia="標楷體" w:hAnsi="標楷體" w:cs="Times New Roman" w:hint="eastAsia"/>
          <w:color w:val="000000" w:themeColor="text1"/>
          <w:szCs w:val="24"/>
        </w:rPr>
        <w:t>年度決算審核結果說明如次：</w:t>
      </w:r>
    </w:p>
    <w:p w14:paraId="7264C77E" w14:textId="77777777" w:rsidR="008466B3" w:rsidRPr="0029756E" w:rsidRDefault="008466B3" w:rsidP="008466B3">
      <w:pPr>
        <w:widowControl/>
        <w:overflowPunct w:val="0"/>
        <w:spacing w:beforeLines="10" w:before="36" w:afterLines="10" w:after="36" w:line="460" w:lineRule="exact"/>
        <w:ind w:firstLineChars="100" w:firstLine="280"/>
        <w:rPr>
          <w:rFonts w:ascii="標楷體" w:eastAsia="標楷體" w:hAnsi="標楷體" w:cs="Times New Roman"/>
          <w:b/>
          <w:bCs/>
          <w:color w:val="000000" w:themeColor="text1"/>
          <w:kern w:val="52"/>
          <w:sz w:val="28"/>
          <w:szCs w:val="28"/>
        </w:rPr>
      </w:pPr>
      <w:r w:rsidRPr="0029756E">
        <w:rPr>
          <w:rFonts w:ascii="標楷體" w:eastAsia="標楷體" w:hAnsi="標楷體" w:cs="Times New Roman" w:hint="eastAsia"/>
          <w:b/>
          <w:bCs/>
          <w:color w:val="000000" w:themeColor="text1"/>
          <w:kern w:val="52"/>
          <w:sz w:val="28"/>
          <w:szCs w:val="28"/>
        </w:rPr>
        <w:t>（一）計畫實施之查核</w:t>
      </w:r>
    </w:p>
    <w:p w14:paraId="1F4620FD" w14:textId="77777777" w:rsidR="008466B3" w:rsidRPr="0029756E" w:rsidRDefault="008466B3" w:rsidP="008466B3">
      <w:pPr>
        <w:widowControl/>
        <w:overflowPunct w:val="0"/>
        <w:spacing w:line="460" w:lineRule="exact"/>
        <w:ind w:firstLineChars="200" w:firstLine="480"/>
        <w:jc w:val="both"/>
        <w:rPr>
          <w:rFonts w:ascii="標楷體" w:eastAsia="標楷體" w:hAnsi="標楷體" w:cs="Times New Roman"/>
          <w:color w:val="000000" w:themeColor="text1"/>
          <w:szCs w:val="24"/>
        </w:rPr>
      </w:pPr>
      <w:r w:rsidRPr="0029756E">
        <w:rPr>
          <w:rFonts w:ascii="標楷體" w:eastAsia="標楷體" w:hAnsi="標楷體" w:cs="Times New Roman" w:hint="eastAsia"/>
          <w:color w:val="000000" w:themeColor="text1"/>
          <w:szCs w:val="24"/>
        </w:rPr>
        <w:t>業務計畫</w:t>
      </w:r>
      <w:r w:rsidRPr="0029756E">
        <w:rPr>
          <w:rFonts w:ascii="標楷體" w:eastAsia="標楷體" w:hAnsi="標楷體" w:hint="eastAsia"/>
          <w:color w:val="000000" w:themeColor="text1"/>
          <w:szCs w:val="32"/>
        </w:rPr>
        <w:t>係辦理公教人員購置住宅貸款利息補助等</w:t>
      </w:r>
      <w:r w:rsidRPr="0029756E">
        <w:rPr>
          <w:rFonts w:ascii="標楷體" w:eastAsia="標楷體" w:hAnsi="標楷體" w:cs="Times New Roman" w:hint="eastAsia"/>
          <w:color w:val="000000" w:themeColor="text1"/>
          <w:szCs w:val="24"/>
        </w:rPr>
        <w:t>，實施結果，因依實際需求</w:t>
      </w:r>
      <w:r w:rsidRPr="0029756E">
        <w:rPr>
          <w:rFonts w:ascii="標楷體" w:eastAsia="標楷體" w:hAnsi="標楷體" w:hint="eastAsia"/>
          <w:color w:val="000000" w:themeColor="text1"/>
          <w:szCs w:val="32"/>
        </w:rPr>
        <w:t>補貼公教人員住宅貸款差額利息較預計減少</w:t>
      </w:r>
      <w:r w:rsidRPr="0029756E">
        <w:rPr>
          <w:rFonts w:ascii="標楷體" w:eastAsia="標楷體" w:hAnsi="標楷體" w:cs="Times New Roman" w:hint="eastAsia"/>
          <w:color w:val="000000" w:themeColor="text1"/>
          <w:szCs w:val="24"/>
        </w:rPr>
        <w:t>，致未達預計目標。</w:t>
      </w:r>
    </w:p>
    <w:p w14:paraId="606C5942" w14:textId="77777777" w:rsidR="008466B3" w:rsidRPr="0029756E" w:rsidRDefault="008466B3" w:rsidP="008466B3">
      <w:pPr>
        <w:widowControl/>
        <w:overflowPunct w:val="0"/>
        <w:spacing w:beforeLines="10" w:before="36" w:afterLines="10" w:after="36" w:line="460" w:lineRule="exact"/>
        <w:ind w:firstLineChars="100" w:firstLine="280"/>
        <w:rPr>
          <w:rFonts w:ascii="標楷體" w:eastAsia="標楷體" w:hAnsi="標楷體" w:cs="Times New Roman"/>
          <w:b/>
          <w:bCs/>
          <w:color w:val="000000" w:themeColor="text1"/>
          <w:kern w:val="52"/>
          <w:sz w:val="28"/>
          <w:szCs w:val="28"/>
        </w:rPr>
      </w:pPr>
      <w:r w:rsidRPr="0029756E">
        <w:rPr>
          <w:rFonts w:ascii="標楷體" w:eastAsia="標楷體" w:hAnsi="標楷體" w:cs="Times New Roman" w:hint="eastAsia"/>
          <w:b/>
          <w:bCs/>
          <w:color w:val="000000" w:themeColor="text1"/>
          <w:kern w:val="52"/>
          <w:sz w:val="28"/>
          <w:szCs w:val="28"/>
        </w:rPr>
        <w:t>（二）餘</w:t>
      </w:r>
      <w:proofErr w:type="gramStart"/>
      <w:r w:rsidRPr="0029756E">
        <w:rPr>
          <w:rFonts w:ascii="標楷體" w:eastAsia="標楷體" w:hAnsi="標楷體" w:cs="Times New Roman" w:hint="eastAsia"/>
          <w:b/>
          <w:bCs/>
          <w:color w:val="000000" w:themeColor="text1"/>
          <w:kern w:val="52"/>
          <w:sz w:val="28"/>
          <w:szCs w:val="28"/>
        </w:rPr>
        <w:t>絀</w:t>
      </w:r>
      <w:proofErr w:type="gramEnd"/>
      <w:r w:rsidRPr="0029756E">
        <w:rPr>
          <w:rFonts w:ascii="標楷體" w:eastAsia="標楷體" w:hAnsi="標楷體" w:cs="Times New Roman" w:hint="eastAsia"/>
          <w:b/>
          <w:bCs/>
          <w:color w:val="000000" w:themeColor="text1"/>
          <w:kern w:val="52"/>
          <w:sz w:val="28"/>
          <w:szCs w:val="28"/>
        </w:rPr>
        <w:t>之審定</w:t>
      </w:r>
    </w:p>
    <w:p w14:paraId="37A92087" w14:textId="77777777" w:rsidR="008466B3" w:rsidRPr="0029756E" w:rsidRDefault="008466B3" w:rsidP="008466B3">
      <w:pPr>
        <w:widowControl/>
        <w:overflowPunct w:val="0"/>
        <w:spacing w:line="460" w:lineRule="exact"/>
        <w:ind w:firstLineChars="200" w:firstLine="480"/>
        <w:jc w:val="both"/>
        <w:rPr>
          <w:rFonts w:ascii="標楷體" w:eastAsia="標楷體" w:hAnsi="標楷體" w:cs="Times New Roman"/>
          <w:color w:val="000000" w:themeColor="text1"/>
          <w:szCs w:val="24"/>
        </w:rPr>
      </w:pPr>
      <w:r w:rsidRPr="0029756E">
        <w:rPr>
          <w:rFonts w:ascii="標楷體" w:eastAsia="標楷體" w:hAnsi="標楷體" w:cs="Times New Roman" w:hint="eastAsia"/>
          <w:color w:val="000000" w:themeColor="text1"/>
          <w:szCs w:val="24"/>
        </w:rPr>
        <w:t>決算審核結果，審定</w:t>
      </w:r>
      <w:r w:rsidRPr="0029756E">
        <w:rPr>
          <w:rFonts w:ascii="標楷體" w:eastAsia="標楷體" w:hAnsi="標楷體" w:hint="eastAsia"/>
          <w:color w:val="000000" w:themeColor="text1"/>
          <w:szCs w:val="32"/>
        </w:rPr>
        <w:t>賸餘6萬餘元</w:t>
      </w:r>
      <w:r w:rsidRPr="0029756E">
        <w:rPr>
          <w:rFonts w:ascii="標楷體" w:eastAsia="標楷體" w:hAnsi="標楷體" w:cs="Times New Roman" w:hint="eastAsia"/>
          <w:color w:val="000000" w:themeColor="text1"/>
          <w:szCs w:val="24"/>
        </w:rPr>
        <w:t>，與預算短</w:t>
      </w:r>
      <w:proofErr w:type="gramStart"/>
      <w:r w:rsidRPr="0029756E">
        <w:rPr>
          <w:rFonts w:ascii="標楷體" w:eastAsia="標楷體" w:hAnsi="標楷體" w:cs="Times New Roman" w:hint="eastAsia"/>
          <w:color w:val="000000" w:themeColor="text1"/>
          <w:szCs w:val="24"/>
        </w:rPr>
        <w:t>絀</w:t>
      </w:r>
      <w:proofErr w:type="gramEnd"/>
      <w:r w:rsidRPr="0029756E">
        <w:rPr>
          <w:rFonts w:ascii="標楷體" w:eastAsia="標楷體" w:hAnsi="標楷體" w:cs="Times New Roman"/>
          <w:color w:val="000000" w:themeColor="text1"/>
          <w:szCs w:val="24"/>
        </w:rPr>
        <w:t>30</w:t>
      </w:r>
      <w:r w:rsidRPr="0029756E">
        <w:rPr>
          <w:rFonts w:ascii="標楷體" w:eastAsia="標楷體" w:hAnsi="標楷體" w:cs="Times New Roman" w:hint="eastAsia"/>
          <w:color w:val="000000" w:themeColor="text1"/>
          <w:szCs w:val="24"/>
        </w:rPr>
        <w:t>萬餘元，相距36萬餘元，</w:t>
      </w:r>
      <w:r w:rsidRPr="0029756E">
        <w:rPr>
          <w:rFonts w:ascii="標楷體" w:eastAsia="標楷體" w:hAnsi="標楷體" w:hint="eastAsia"/>
          <w:color w:val="000000" w:themeColor="text1"/>
          <w:szCs w:val="32"/>
        </w:rPr>
        <w:t>主要係收取公教人員購置住宅戶違約金較預計增加，及補貼公教人員住宅貸款差額利息較預計減少所致</w:t>
      </w:r>
      <w:r w:rsidRPr="0029756E">
        <w:rPr>
          <w:rFonts w:ascii="標楷體" w:eastAsia="標楷體" w:hAnsi="標楷體" w:cs="Times New Roman" w:hint="eastAsia"/>
          <w:color w:val="000000" w:themeColor="text1"/>
          <w:szCs w:val="32"/>
        </w:rPr>
        <w:t>。</w:t>
      </w:r>
    </w:p>
    <w:p w14:paraId="6E51B5EE" w14:textId="77777777" w:rsidR="008466B3" w:rsidRPr="0029756E" w:rsidRDefault="008466B3" w:rsidP="0029756E">
      <w:pPr>
        <w:widowControl/>
        <w:overflowPunct w:val="0"/>
        <w:spacing w:beforeLines="40" w:before="144" w:afterLines="10" w:after="36" w:line="440" w:lineRule="exact"/>
        <w:outlineLvl w:val="2"/>
        <w:rPr>
          <w:rFonts w:ascii="標楷體" w:eastAsia="標楷體" w:hAnsi="標楷體" w:cs="Times New Roman"/>
          <w:b/>
          <w:bCs/>
          <w:color w:val="000000" w:themeColor="text1"/>
          <w:kern w:val="52"/>
          <w:sz w:val="32"/>
          <w:szCs w:val="32"/>
        </w:rPr>
      </w:pPr>
      <w:r w:rsidRPr="0029756E">
        <w:rPr>
          <w:rFonts w:ascii="標楷體" w:eastAsia="標楷體" w:hAnsi="標楷體" w:cs="Times New Roman" w:hint="eastAsia"/>
          <w:b/>
          <w:bCs/>
          <w:color w:val="000000" w:themeColor="text1"/>
          <w:kern w:val="52"/>
          <w:sz w:val="32"/>
          <w:szCs w:val="32"/>
        </w:rPr>
        <w:t>三、提供臺北市政府決定施政方針之建議意見</w:t>
      </w:r>
    </w:p>
    <w:p w14:paraId="4FBD51F6" w14:textId="77777777" w:rsidR="008466B3" w:rsidRPr="0029756E" w:rsidRDefault="008466B3" w:rsidP="008466B3">
      <w:pPr>
        <w:widowControl/>
        <w:overflowPunct w:val="0"/>
        <w:spacing w:line="460" w:lineRule="exact"/>
        <w:ind w:firstLineChars="200" w:firstLine="480"/>
        <w:jc w:val="both"/>
        <w:rPr>
          <w:rFonts w:ascii="標楷體" w:eastAsia="標楷體" w:hAnsi="標楷體" w:cs="Times New Roman"/>
          <w:color w:val="000000" w:themeColor="text1"/>
          <w:szCs w:val="24"/>
        </w:rPr>
      </w:pPr>
      <w:r w:rsidRPr="0029756E">
        <w:rPr>
          <w:rFonts w:ascii="標楷體" w:eastAsia="標楷體" w:hAnsi="標楷體" w:cs="Times New Roman" w:hint="eastAsia"/>
          <w:color w:val="000000" w:themeColor="text1"/>
          <w:szCs w:val="24"/>
        </w:rPr>
        <w:t>依審計法第70條及預算法第28條規定，本處應提供審核臺北市政府以前年度歲入、歲出、財務（物）經營管理、附屬單位預算（包含營業及非營業）等預算執行之有關資料，及財務上增進效能與減少不經濟支出之建議，以供臺北市政府作為決定</w:t>
      </w:r>
      <w:proofErr w:type="gramStart"/>
      <w:r w:rsidRPr="0029756E">
        <w:rPr>
          <w:rFonts w:ascii="標楷體" w:eastAsia="標楷體" w:hAnsi="標楷體" w:cs="Times New Roman" w:hint="eastAsia"/>
          <w:color w:val="000000" w:themeColor="text1"/>
          <w:szCs w:val="24"/>
        </w:rPr>
        <w:t>115</w:t>
      </w:r>
      <w:proofErr w:type="gramEnd"/>
      <w:r w:rsidRPr="0029756E">
        <w:rPr>
          <w:rFonts w:ascii="標楷體" w:eastAsia="標楷體" w:hAnsi="標楷體" w:cs="Times New Roman" w:hint="eastAsia"/>
          <w:color w:val="000000" w:themeColor="text1"/>
          <w:szCs w:val="24"/>
        </w:rPr>
        <w:t>年度施政方針之參考。茲將所提建議意見，</w:t>
      </w:r>
      <w:proofErr w:type="gramStart"/>
      <w:r w:rsidRPr="0029756E">
        <w:rPr>
          <w:rFonts w:ascii="標楷體" w:eastAsia="標楷體" w:hAnsi="標楷體" w:cs="Times New Roman" w:hint="eastAsia"/>
          <w:color w:val="000000" w:themeColor="text1"/>
          <w:szCs w:val="24"/>
        </w:rPr>
        <w:t>摘述如次</w:t>
      </w:r>
      <w:proofErr w:type="gramEnd"/>
      <w:r w:rsidRPr="0029756E">
        <w:rPr>
          <w:rFonts w:ascii="標楷體" w:eastAsia="標楷體" w:hAnsi="標楷體" w:cs="Times New Roman" w:hint="eastAsia"/>
          <w:color w:val="000000" w:themeColor="text1"/>
          <w:szCs w:val="24"/>
        </w:rPr>
        <w:t>：</w:t>
      </w:r>
    </w:p>
    <w:p w14:paraId="2CFE36CA" w14:textId="77777777" w:rsidR="008466B3" w:rsidRPr="0029756E" w:rsidRDefault="008466B3" w:rsidP="0029756E">
      <w:pPr>
        <w:widowControl/>
        <w:overflowPunct w:val="0"/>
        <w:spacing w:beforeLines="10" w:before="36" w:afterLines="10" w:after="36" w:line="440" w:lineRule="exact"/>
        <w:ind w:firstLineChars="100" w:firstLine="280"/>
        <w:jc w:val="both"/>
        <w:rPr>
          <w:rFonts w:ascii="標楷體" w:eastAsia="標楷體" w:hAnsi="標楷體" w:cs="Arial"/>
          <w:b/>
          <w:color w:val="000000" w:themeColor="text1"/>
          <w:kern w:val="0"/>
          <w:sz w:val="28"/>
          <w:szCs w:val="28"/>
        </w:rPr>
      </w:pPr>
      <w:r w:rsidRPr="0029756E">
        <w:rPr>
          <w:rFonts w:ascii="標楷體" w:eastAsia="標楷體" w:hAnsi="標楷體" w:cs="Arial" w:hint="eastAsia"/>
          <w:b/>
          <w:color w:val="000000" w:themeColor="text1"/>
          <w:kern w:val="0"/>
          <w:sz w:val="28"/>
          <w:szCs w:val="28"/>
        </w:rPr>
        <w:t>（一）持續辦理施政計畫管考</w:t>
      </w:r>
      <w:r w:rsidRPr="0029756E">
        <w:rPr>
          <w:rFonts w:ascii="標楷體" w:eastAsia="標楷體" w:hAnsi="標楷體" w:cs="Arial" w:hint="eastAsia"/>
          <w:b/>
          <w:bCs/>
          <w:color w:val="000000" w:themeColor="text1"/>
          <w:kern w:val="0"/>
          <w:sz w:val="28"/>
          <w:szCs w:val="28"/>
        </w:rPr>
        <w:t>掌握</w:t>
      </w:r>
      <w:r w:rsidRPr="0029756E">
        <w:rPr>
          <w:rFonts w:ascii="標楷體" w:eastAsia="標楷體" w:hAnsi="標楷體" w:cs="Arial" w:hint="eastAsia"/>
          <w:b/>
          <w:color w:val="000000" w:themeColor="text1"/>
          <w:kern w:val="0"/>
          <w:sz w:val="28"/>
          <w:szCs w:val="28"/>
        </w:rPr>
        <w:t>執行進度，惟部分計畫預算執行率欠佳或執行進度落後，</w:t>
      </w:r>
      <w:proofErr w:type="gramStart"/>
      <w:r w:rsidRPr="0029756E">
        <w:rPr>
          <w:rFonts w:ascii="標楷體" w:eastAsia="標楷體" w:hAnsi="標楷體" w:cs="Arial" w:hint="eastAsia"/>
          <w:b/>
          <w:color w:val="000000" w:themeColor="text1"/>
          <w:kern w:val="0"/>
          <w:sz w:val="28"/>
          <w:szCs w:val="28"/>
        </w:rPr>
        <w:t>允待注意</w:t>
      </w:r>
      <w:proofErr w:type="gramEnd"/>
      <w:r w:rsidRPr="0029756E">
        <w:rPr>
          <w:rFonts w:ascii="標楷體" w:eastAsia="標楷體" w:hAnsi="標楷體" w:cs="Arial" w:hint="eastAsia"/>
          <w:b/>
          <w:color w:val="000000" w:themeColor="text1"/>
          <w:kern w:val="0"/>
          <w:sz w:val="28"/>
          <w:szCs w:val="28"/>
        </w:rPr>
        <w:t>改善，以提升施政績效。</w:t>
      </w:r>
    </w:p>
    <w:p w14:paraId="2F88B6DB" w14:textId="77777777" w:rsidR="008466B3" w:rsidRPr="0029756E" w:rsidRDefault="008466B3" w:rsidP="0029756E">
      <w:pPr>
        <w:widowControl/>
        <w:overflowPunct w:val="0"/>
        <w:spacing w:beforeLines="10" w:before="36" w:afterLines="10" w:after="36" w:line="480" w:lineRule="exact"/>
        <w:ind w:firstLineChars="200" w:firstLine="480"/>
        <w:jc w:val="both"/>
        <w:rPr>
          <w:rFonts w:ascii="標楷體" w:eastAsia="標楷體" w:hAnsi="標楷體" w:cs="Times New Roman"/>
          <w:color w:val="000000" w:themeColor="text1"/>
          <w:szCs w:val="24"/>
        </w:rPr>
      </w:pPr>
      <w:r w:rsidRPr="0029756E">
        <w:rPr>
          <w:rFonts w:ascii="標楷體" w:eastAsia="標楷體" w:hAnsi="標楷體" w:cs="Times New Roman" w:hint="eastAsia"/>
          <w:color w:val="000000" w:themeColor="text1"/>
          <w:szCs w:val="24"/>
        </w:rPr>
        <w:t>臺北市政府為落實列管所屬各機關年度重要個案計畫，訂有「臺北市政府年度個案計畫管制考核作業要點」，以提升施政績效。</w:t>
      </w:r>
      <w:proofErr w:type="gramStart"/>
      <w:r w:rsidRPr="0029756E">
        <w:rPr>
          <w:rFonts w:ascii="標楷體" w:eastAsia="標楷體" w:hAnsi="標楷體" w:cs="Times New Roman"/>
          <w:color w:val="000000" w:themeColor="text1"/>
          <w:szCs w:val="24"/>
        </w:rPr>
        <w:t>11</w:t>
      </w:r>
      <w:r w:rsidRPr="0029756E">
        <w:rPr>
          <w:rFonts w:ascii="標楷體" w:eastAsia="標楷體" w:hAnsi="標楷體" w:cs="Times New Roman" w:hint="eastAsia"/>
          <w:color w:val="000000" w:themeColor="text1"/>
          <w:szCs w:val="24"/>
        </w:rPr>
        <w:t>2</w:t>
      </w:r>
      <w:proofErr w:type="gramEnd"/>
      <w:r w:rsidRPr="0029756E">
        <w:rPr>
          <w:rFonts w:ascii="標楷體" w:eastAsia="標楷體" w:hAnsi="標楷體" w:cs="Times New Roman" w:hint="eastAsia"/>
          <w:color w:val="000000" w:themeColor="text1"/>
          <w:szCs w:val="24"/>
        </w:rPr>
        <w:t>年度列管個案計畫計有59項，年度可支用預算260億6,629萬餘元，由17個主管機關執行。經查執行情形，核有：</w:t>
      </w:r>
      <w:r w:rsidRPr="0029756E">
        <w:rPr>
          <w:rFonts w:ascii="標楷體" w:eastAsia="標楷體" w:hAnsi="標楷體" w:cs="Times New Roman"/>
          <w:color w:val="000000" w:themeColor="text1"/>
          <w:szCs w:val="24"/>
        </w:rPr>
        <w:t>1.</w:t>
      </w:r>
      <w:r w:rsidRPr="0029756E">
        <w:rPr>
          <w:rFonts w:ascii="標楷體" w:eastAsia="標楷體" w:hAnsi="標楷體" w:cs="Times New Roman" w:hint="eastAsia"/>
          <w:color w:val="000000" w:themeColor="text1"/>
          <w:szCs w:val="24"/>
        </w:rPr>
        <w:t>59項個案計畫，預算年度最終支用率未達</w:t>
      </w:r>
      <w:r w:rsidRPr="0029756E">
        <w:rPr>
          <w:rFonts w:ascii="標楷體" w:eastAsia="標楷體" w:hAnsi="標楷體" w:cs="Times New Roman"/>
          <w:color w:val="000000" w:themeColor="text1"/>
          <w:szCs w:val="24"/>
        </w:rPr>
        <w:t>80</w:t>
      </w:r>
      <w:r w:rsidRPr="0029756E">
        <w:rPr>
          <w:rFonts w:ascii="標楷體" w:eastAsia="標楷體" w:hAnsi="標楷體" w:cs="Times New Roman" w:hint="eastAsia"/>
          <w:color w:val="000000" w:themeColor="text1"/>
          <w:szCs w:val="24"/>
        </w:rPr>
        <w:t>％者，計有9項，其中111及</w:t>
      </w:r>
      <w:proofErr w:type="gramStart"/>
      <w:r w:rsidRPr="0029756E">
        <w:rPr>
          <w:rFonts w:ascii="標楷體" w:eastAsia="標楷體" w:hAnsi="標楷體" w:cs="Times New Roman" w:hint="eastAsia"/>
          <w:color w:val="000000" w:themeColor="text1"/>
          <w:szCs w:val="24"/>
        </w:rPr>
        <w:t>112</w:t>
      </w:r>
      <w:proofErr w:type="gramEnd"/>
      <w:r w:rsidRPr="0029756E">
        <w:rPr>
          <w:rFonts w:ascii="標楷體" w:eastAsia="標楷體" w:hAnsi="標楷體" w:cs="Times New Roman" w:hint="eastAsia"/>
          <w:color w:val="000000" w:themeColor="text1"/>
          <w:szCs w:val="24"/>
        </w:rPr>
        <w:t>年度預算年度最終支用</w:t>
      </w:r>
      <w:proofErr w:type="gramStart"/>
      <w:r w:rsidRPr="0029756E">
        <w:rPr>
          <w:rFonts w:ascii="標楷體" w:eastAsia="標楷體" w:hAnsi="標楷體" w:cs="Times New Roman" w:hint="eastAsia"/>
          <w:color w:val="000000" w:themeColor="text1"/>
          <w:szCs w:val="24"/>
        </w:rPr>
        <w:t>率均未達</w:t>
      </w:r>
      <w:proofErr w:type="gramEnd"/>
      <w:r w:rsidRPr="0029756E">
        <w:rPr>
          <w:rFonts w:ascii="標楷體" w:eastAsia="標楷體" w:hAnsi="標楷體" w:cs="Times New Roman"/>
          <w:color w:val="000000" w:themeColor="text1"/>
          <w:szCs w:val="24"/>
        </w:rPr>
        <w:t>80</w:t>
      </w:r>
      <w:r w:rsidRPr="0029756E">
        <w:rPr>
          <w:rFonts w:ascii="標楷體" w:eastAsia="標楷體" w:hAnsi="標楷體" w:cs="Times New Roman" w:hint="eastAsia"/>
          <w:color w:val="000000" w:themeColor="text1"/>
          <w:szCs w:val="24"/>
        </w:rPr>
        <w:t>％者，計有2項；復查截至</w:t>
      </w:r>
      <w:r w:rsidRPr="0029756E">
        <w:rPr>
          <w:rFonts w:ascii="標楷體" w:eastAsia="標楷體" w:hAnsi="標楷體" w:cs="Times New Roman"/>
          <w:color w:val="000000" w:themeColor="text1"/>
          <w:szCs w:val="24"/>
        </w:rPr>
        <w:t>11</w:t>
      </w:r>
      <w:r w:rsidRPr="0029756E">
        <w:rPr>
          <w:rFonts w:ascii="標楷體" w:eastAsia="標楷體" w:hAnsi="標楷體" w:cs="Times New Roman" w:hint="eastAsia"/>
          <w:color w:val="000000" w:themeColor="text1"/>
          <w:szCs w:val="24"/>
        </w:rPr>
        <w:t>2年底止，累計執行進度較預定進度落後者，計有16項，其中落後達</w:t>
      </w:r>
      <w:r w:rsidRPr="0029756E">
        <w:rPr>
          <w:rFonts w:ascii="標楷體" w:eastAsia="標楷體" w:hAnsi="標楷體" w:cs="Times New Roman"/>
          <w:color w:val="000000" w:themeColor="text1"/>
          <w:szCs w:val="24"/>
        </w:rPr>
        <w:t>5</w:t>
      </w:r>
      <w:r w:rsidRPr="0029756E">
        <w:rPr>
          <w:rFonts w:ascii="標楷體" w:eastAsia="標楷體" w:hAnsi="標楷體" w:cs="Times New Roman" w:hint="eastAsia"/>
          <w:color w:val="000000" w:themeColor="text1"/>
          <w:szCs w:val="24"/>
        </w:rPr>
        <w:t>個百分點以上者，計有2項。</w:t>
      </w:r>
      <w:r w:rsidRPr="0029756E">
        <w:rPr>
          <w:rFonts w:ascii="標楷體" w:eastAsia="標楷體" w:hAnsi="標楷體" w:cs="Times New Roman"/>
          <w:color w:val="000000" w:themeColor="text1"/>
          <w:szCs w:val="24"/>
        </w:rPr>
        <w:t>2.</w:t>
      </w:r>
      <w:r w:rsidRPr="0029756E">
        <w:rPr>
          <w:rFonts w:ascii="標楷體" w:eastAsia="標楷體" w:hAnsi="標楷體" w:cs="Times New Roman" w:hint="eastAsia"/>
          <w:color w:val="000000" w:themeColor="text1"/>
          <w:szCs w:val="24"/>
        </w:rPr>
        <w:t>列管施政計畫59項中，除因計畫撤銷、改提執行概要、執行未逾6個月等10項免</w:t>
      </w:r>
      <w:proofErr w:type="gramStart"/>
      <w:r w:rsidRPr="0029756E">
        <w:rPr>
          <w:rFonts w:ascii="標楷體" w:eastAsia="標楷體" w:hAnsi="標楷體" w:cs="Times New Roman" w:hint="eastAsia"/>
          <w:color w:val="000000" w:themeColor="text1"/>
          <w:szCs w:val="24"/>
        </w:rPr>
        <w:t>予考評外</w:t>
      </w:r>
      <w:proofErr w:type="gramEnd"/>
      <w:r w:rsidRPr="0029756E">
        <w:rPr>
          <w:rFonts w:ascii="標楷體" w:eastAsia="標楷體" w:hAnsi="標楷體" w:cs="Times New Roman" w:hint="eastAsia"/>
          <w:color w:val="000000" w:themeColor="text1"/>
          <w:szCs w:val="24"/>
        </w:rPr>
        <w:t>，餘</w:t>
      </w:r>
      <w:r w:rsidRPr="0029756E">
        <w:rPr>
          <w:rFonts w:ascii="標楷體" w:eastAsia="標楷體" w:hAnsi="標楷體" w:cs="Times New Roman"/>
          <w:color w:val="000000" w:themeColor="text1"/>
          <w:szCs w:val="24"/>
        </w:rPr>
        <w:t>4</w:t>
      </w:r>
      <w:r w:rsidRPr="0029756E">
        <w:rPr>
          <w:rFonts w:ascii="標楷體" w:eastAsia="標楷體" w:hAnsi="標楷體" w:cs="Times New Roman" w:hint="eastAsia"/>
          <w:color w:val="000000" w:themeColor="text1"/>
          <w:szCs w:val="24"/>
        </w:rPr>
        <w:t>9項經考評結果，優等1項（2.04％）、甲等27項（55.10％）、乙等18項（36.73％）及丙等3項（6.12％），其中評等乙等以下者21項，比率</w:t>
      </w:r>
      <w:r w:rsidRPr="0029756E">
        <w:rPr>
          <w:rFonts w:ascii="標楷體" w:eastAsia="標楷體" w:hAnsi="標楷體" w:cs="Times New Roman"/>
          <w:color w:val="000000" w:themeColor="text1"/>
          <w:szCs w:val="24"/>
        </w:rPr>
        <w:t>42.</w:t>
      </w:r>
      <w:r w:rsidRPr="0029756E">
        <w:rPr>
          <w:rFonts w:ascii="標楷體" w:eastAsia="標楷體" w:hAnsi="標楷體" w:cs="Times New Roman" w:hint="eastAsia"/>
          <w:color w:val="000000" w:themeColor="text1"/>
          <w:szCs w:val="24"/>
        </w:rPr>
        <w:t>86％，較</w:t>
      </w:r>
      <w:proofErr w:type="gramStart"/>
      <w:r w:rsidRPr="0029756E">
        <w:rPr>
          <w:rFonts w:ascii="標楷體" w:eastAsia="標楷體" w:hAnsi="標楷體" w:cs="Times New Roman" w:hint="eastAsia"/>
          <w:color w:val="000000" w:themeColor="text1"/>
          <w:szCs w:val="24"/>
        </w:rPr>
        <w:t>111</w:t>
      </w:r>
      <w:proofErr w:type="gramEnd"/>
      <w:r w:rsidRPr="0029756E">
        <w:rPr>
          <w:rFonts w:ascii="標楷體" w:eastAsia="標楷體" w:hAnsi="標楷體" w:cs="Times New Roman" w:hint="eastAsia"/>
          <w:color w:val="000000" w:themeColor="text1"/>
          <w:szCs w:val="24"/>
        </w:rPr>
        <w:t>年度評核乙等以下者23項，比率42.59％，項數減少2項，比率微增0.27個百分點；又其中8項計畫</w:t>
      </w:r>
      <w:proofErr w:type="gramStart"/>
      <w:r w:rsidRPr="0029756E">
        <w:rPr>
          <w:rFonts w:ascii="標楷體" w:eastAsia="標楷體" w:hAnsi="標楷體" w:cs="Times New Roman" w:hint="eastAsia"/>
          <w:color w:val="000000" w:themeColor="text1"/>
          <w:szCs w:val="24"/>
        </w:rPr>
        <w:t>112</w:t>
      </w:r>
      <w:proofErr w:type="gramEnd"/>
      <w:r w:rsidRPr="0029756E">
        <w:rPr>
          <w:rFonts w:ascii="標楷體" w:eastAsia="標楷體" w:hAnsi="標楷體" w:cs="Times New Roman" w:hint="eastAsia"/>
          <w:color w:val="000000" w:themeColor="text1"/>
          <w:szCs w:val="24"/>
        </w:rPr>
        <w:t>年度評核等第較</w:t>
      </w:r>
      <w:proofErr w:type="gramStart"/>
      <w:r w:rsidRPr="0029756E">
        <w:rPr>
          <w:rFonts w:ascii="標楷體" w:eastAsia="標楷體" w:hAnsi="標楷體" w:cs="Times New Roman" w:hint="eastAsia"/>
          <w:color w:val="000000" w:themeColor="text1"/>
          <w:szCs w:val="24"/>
        </w:rPr>
        <w:t>111</w:t>
      </w:r>
      <w:proofErr w:type="gramEnd"/>
      <w:r w:rsidRPr="0029756E">
        <w:rPr>
          <w:rFonts w:ascii="標楷體" w:eastAsia="標楷體" w:hAnsi="標楷體" w:cs="Times New Roman" w:hint="eastAsia"/>
          <w:color w:val="000000" w:themeColor="text1"/>
          <w:szCs w:val="24"/>
        </w:rPr>
        <w:t>年度退步，另有10項計畫連續2個年度評核結果皆為乙等以下，計畫執行情形仍有改善空間，允待</w:t>
      </w:r>
      <w:proofErr w:type="gramStart"/>
      <w:r w:rsidRPr="0029756E">
        <w:rPr>
          <w:rFonts w:ascii="標楷體" w:eastAsia="標楷體" w:hAnsi="標楷體" w:cs="Times New Roman" w:hint="eastAsia"/>
          <w:color w:val="000000" w:themeColor="text1"/>
          <w:szCs w:val="24"/>
        </w:rPr>
        <w:t>研謀善策，俾</w:t>
      </w:r>
      <w:proofErr w:type="gramEnd"/>
      <w:r w:rsidRPr="0029756E">
        <w:rPr>
          <w:rFonts w:ascii="標楷體" w:eastAsia="標楷體" w:hAnsi="標楷體" w:cs="Times New Roman" w:hint="eastAsia"/>
          <w:color w:val="000000" w:themeColor="text1"/>
          <w:szCs w:val="24"/>
        </w:rPr>
        <w:t>提升施政績效。</w:t>
      </w:r>
    </w:p>
    <w:p w14:paraId="2ADBB060" w14:textId="77777777" w:rsidR="008466B3" w:rsidRPr="0029756E" w:rsidRDefault="008466B3" w:rsidP="008466B3">
      <w:pPr>
        <w:widowControl/>
        <w:overflowPunct w:val="0"/>
        <w:spacing w:beforeLines="20" w:before="72" w:afterLines="20" w:after="72" w:line="460" w:lineRule="exact"/>
        <w:ind w:firstLineChars="100" w:firstLine="280"/>
        <w:jc w:val="both"/>
        <w:rPr>
          <w:rFonts w:ascii="標楷體" w:eastAsia="標楷體" w:hAnsi="標楷體" w:cs="Arial"/>
          <w:b/>
          <w:color w:val="000000" w:themeColor="text1"/>
          <w:kern w:val="0"/>
          <w:sz w:val="28"/>
          <w:szCs w:val="28"/>
        </w:rPr>
      </w:pPr>
      <w:r w:rsidRPr="0029756E">
        <w:rPr>
          <w:rFonts w:ascii="標楷體" w:eastAsia="標楷體" w:hAnsi="標楷體" w:cs="Arial" w:hint="eastAsia"/>
          <w:b/>
          <w:color w:val="000000" w:themeColor="text1"/>
          <w:kern w:val="0"/>
          <w:sz w:val="28"/>
          <w:szCs w:val="28"/>
        </w:rPr>
        <w:lastRenderedPageBreak/>
        <w:t>（二）作業基金</w:t>
      </w:r>
      <w:proofErr w:type="gramStart"/>
      <w:r w:rsidRPr="0029756E">
        <w:rPr>
          <w:rFonts w:ascii="標楷體" w:eastAsia="標楷體" w:hAnsi="標楷體" w:cs="Arial" w:hint="eastAsia"/>
          <w:b/>
          <w:color w:val="000000" w:themeColor="text1"/>
          <w:kern w:val="0"/>
          <w:sz w:val="28"/>
          <w:szCs w:val="28"/>
        </w:rPr>
        <w:t>112</w:t>
      </w:r>
      <w:proofErr w:type="gramEnd"/>
      <w:r w:rsidRPr="0029756E">
        <w:rPr>
          <w:rFonts w:ascii="標楷體" w:eastAsia="標楷體" w:hAnsi="標楷體" w:cs="Arial" w:hint="eastAsia"/>
          <w:b/>
          <w:color w:val="000000" w:themeColor="text1"/>
          <w:kern w:val="0"/>
          <w:sz w:val="28"/>
          <w:szCs w:val="28"/>
        </w:rPr>
        <w:t>年度賸餘</w:t>
      </w:r>
      <w:proofErr w:type="gramStart"/>
      <w:r w:rsidRPr="0029756E">
        <w:rPr>
          <w:rFonts w:ascii="標楷體" w:eastAsia="標楷體" w:hAnsi="標楷體" w:cs="Arial" w:hint="eastAsia"/>
          <w:b/>
          <w:color w:val="000000" w:themeColor="text1"/>
          <w:kern w:val="0"/>
          <w:sz w:val="28"/>
          <w:szCs w:val="28"/>
        </w:rPr>
        <w:t>解繳市庫</w:t>
      </w:r>
      <w:proofErr w:type="gramEnd"/>
      <w:r w:rsidRPr="0029756E">
        <w:rPr>
          <w:rFonts w:ascii="標楷體" w:eastAsia="標楷體" w:hAnsi="標楷體" w:cs="Arial" w:hint="eastAsia"/>
          <w:b/>
          <w:color w:val="000000" w:themeColor="text1"/>
          <w:kern w:val="0"/>
          <w:sz w:val="28"/>
          <w:szCs w:val="28"/>
        </w:rPr>
        <w:t>金額占年度賸餘之比率較上年度降低，</w:t>
      </w:r>
      <w:proofErr w:type="gramStart"/>
      <w:r w:rsidRPr="0029756E">
        <w:rPr>
          <w:rFonts w:ascii="標楷體" w:eastAsia="標楷體" w:hAnsi="標楷體" w:cs="Arial" w:hint="eastAsia"/>
          <w:b/>
          <w:color w:val="000000" w:themeColor="text1"/>
          <w:kern w:val="0"/>
          <w:sz w:val="28"/>
          <w:szCs w:val="28"/>
        </w:rPr>
        <w:t>鑑</w:t>
      </w:r>
      <w:proofErr w:type="gramEnd"/>
      <w:r w:rsidRPr="0029756E">
        <w:rPr>
          <w:rFonts w:ascii="標楷體" w:eastAsia="標楷體" w:hAnsi="標楷體" w:cs="Arial" w:hint="eastAsia"/>
          <w:b/>
          <w:color w:val="000000" w:themeColor="text1"/>
          <w:kern w:val="0"/>
          <w:sz w:val="28"/>
          <w:szCs w:val="28"/>
        </w:rPr>
        <w:t>於持有現金及約當現金數額龐鉅，尚待規劃加強運用或</w:t>
      </w:r>
      <w:proofErr w:type="gramStart"/>
      <w:r w:rsidRPr="0029756E">
        <w:rPr>
          <w:rFonts w:ascii="標楷體" w:eastAsia="標楷體" w:hAnsi="標楷體" w:cs="Arial" w:hint="eastAsia"/>
          <w:b/>
          <w:color w:val="000000" w:themeColor="text1"/>
          <w:kern w:val="0"/>
          <w:sz w:val="28"/>
          <w:szCs w:val="28"/>
        </w:rPr>
        <w:t>研</w:t>
      </w:r>
      <w:proofErr w:type="gramEnd"/>
      <w:r w:rsidRPr="0029756E">
        <w:rPr>
          <w:rFonts w:ascii="標楷體" w:eastAsia="標楷體" w:hAnsi="標楷體" w:cs="Arial" w:hint="eastAsia"/>
          <w:b/>
          <w:color w:val="000000" w:themeColor="text1"/>
          <w:kern w:val="0"/>
          <w:sz w:val="28"/>
          <w:szCs w:val="28"/>
        </w:rPr>
        <w:t>酌增加繳庫數額，</w:t>
      </w:r>
      <w:proofErr w:type="gramStart"/>
      <w:r w:rsidRPr="0029756E">
        <w:rPr>
          <w:rFonts w:ascii="標楷體" w:eastAsia="標楷體" w:hAnsi="標楷體" w:cs="Arial" w:hint="eastAsia"/>
          <w:b/>
          <w:color w:val="000000" w:themeColor="text1"/>
          <w:kern w:val="0"/>
          <w:sz w:val="28"/>
          <w:szCs w:val="28"/>
        </w:rPr>
        <w:t>俾</w:t>
      </w:r>
      <w:proofErr w:type="gramEnd"/>
      <w:r w:rsidRPr="0029756E">
        <w:rPr>
          <w:rFonts w:ascii="標楷體" w:eastAsia="標楷體" w:hAnsi="標楷體" w:cs="Arial" w:hint="eastAsia"/>
          <w:b/>
          <w:color w:val="000000" w:themeColor="text1"/>
          <w:kern w:val="0"/>
          <w:sz w:val="28"/>
          <w:szCs w:val="28"/>
        </w:rPr>
        <w:t>使資源有效配置。</w:t>
      </w:r>
    </w:p>
    <w:p w14:paraId="490A0AEC" w14:textId="77777777" w:rsidR="008466B3" w:rsidRPr="0029756E" w:rsidRDefault="008466B3" w:rsidP="008466B3">
      <w:pPr>
        <w:widowControl/>
        <w:overflowPunct w:val="0"/>
        <w:spacing w:line="460" w:lineRule="exact"/>
        <w:ind w:firstLineChars="200" w:firstLine="480"/>
        <w:jc w:val="both"/>
        <w:rPr>
          <w:rFonts w:ascii="標楷體" w:eastAsia="標楷體" w:hAnsi="標楷體" w:cs="Arial"/>
          <w:b/>
          <w:color w:val="000000" w:themeColor="text1"/>
          <w:kern w:val="0"/>
          <w:sz w:val="28"/>
          <w:szCs w:val="28"/>
        </w:rPr>
      </w:pPr>
      <w:r w:rsidRPr="0029756E">
        <w:rPr>
          <w:rFonts w:ascii="標楷體" w:eastAsia="標楷體" w:hAnsi="標楷體" w:cs="Times New Roman" w:hint="eastAsia"/>
          <w:color w:val="000000" w:themeColor="text1"/>
          <w:szCs w:val="24"/>
        </w:rPr>
        <w:t>臺北市政府</w:t>
      </w:r>
      <w:proofErr w:type="gramStart"/>
      <w:r w:rsidRPr="0029756E">
        <w:rPr>
          <w:rFonts w:ascii="標楷體" w:eastAsia="標楷體" w:hAnsi="標楷體" w:cs="Times New Roman" w:hint="eastAsia"/>
          <w:color w:val="000000" w:themeColor="text1"/>
          <w:szCs w:val="24"/>
        </w:rPr>
        <w:t>112</w:t>
      </w:r>
      <w:proofErr w:type="gramEnd"/>
      <w:r w:rsidRPr="0029756E">
        <w:rPr>
          <w:rFonts w:ascii="標楷體" w:eastAsia="標楷體" w:hAnsi="標楷體" w:cs="Times New Roman" w:hint="eastAsia"/>
          <w:color w:val="000000" w:themeColor="text1"/>
          <w:szCs w:val="24"/>
        </w:rPr>
        <w:t>年度計有11個作業基金，預算執行結果，獲有賸餘之基金共8個、賸餘共71億84萬餘元；短</w:t>
      </w:r>
      <w:proofErr w:type="gramStart"/>
      <w:r w:rsidRPr="0029756E">
        <w:rPr>
          <w:rFonts w:ascii="標楷體" w:eastAsia="標楷體" w:hAnsi="標楷體" w:cs="Times New Roman" w:hint="eastAsia"/>
          <w:color w:val="000000" w:themeColor="text1"/>
          <w:szCs w:val="24"/>
        </w:rPr>
        <w:t>絀</w:t>
      </w:r>
      <w:proofErr w:type="gramEnd"/>
      <w:r w:rsidRPr="0029756E">
        <w:rPr>
          <w:rFonts w:ascii="標楷體" w:eastAsia="標楷體" w:hAnsi="標楷體" w:cs="Times New Roman" w:hint="eastAsia"/>
          <w:color w:val="000000" w:themeColor="text1"/>
          <w:szCs w:val="24"/>
        </w:rPr>
        <w:t>之基金共3個、短</w:t>
      </w:r>
      <w:proofErr w:type="gramStart"/>
      <w:r w:rsidRPr="0029756E">
        <w:rPr>
          <w:rFonts w:ascii="標楷體" w:eastAsia="標楷體" w:hAnsi="標楷體" w:cs="Times New Roman" w:hint="eastAsia"/>
          <w:color w:val="000000" w:themeColor="text1"/>
          <w:szCs w:val="24"/>
        </w:rPr>
        <w:t>絀</w:t>
      </w:r>
      <w:proofErr w:type="gramEnd"/>
      <w:r w:rsidRPr="0029756E">
        <w:rPr>
          <w:rFonts w:ascii="標楷體" w:eastAsia="標楷體" w:hAnsi="標楷體" w:cs="Times New Roman" w:hint="eastAsia"/>
          <w:color w:val="000000" w:themeColor="text1"/>
          <w:szCs w:val="24"/>
        </w:rPr>
        <w:t>共4億8,377萬餘元，合計決算賸餘66億</w:t>
      </w:r>
      <w:r w:rsidRPr="0029756E">
        <w:rPr>
          <w:rFonts w:ascii="標楷體" w:eastAsia="標楷體" w:hAnsi="標楷體" w:cs="Times New Roman"/>
          <w:color w:val="000000" w:themeColor="text1"/>
          <w:szCs w:val="24"/>
        </w:rPr>
        <w:t>1,706</w:t>
      </w:r>
      <w:r w:rsidRPr="0029756E">
        <w:rPr>
          <w:rFonts w:ascii="標楷體" w:eastAsia="標楷體" w:hAnsi="標楷體" w:cs="Times New Roman" w:hint="eastAsia"/>
          <w:color w:val="000000" w:themeColor="text1"/>
          <w:szCs w:val="24"/>
        </w:rPr>
        <w:t>萬餘元，繳庫金額42億</w:t>
      </w:r>
      <w:r w:rsidRPr="0029756E">
        <w:rPr>
          <w:rFonts w:ascii="標楷體" w:eastAsia="標楷體" w:hAnsi="標楷體" w:cs="Times New Roman"/>
          <w:color w:val="000000" w:themeColor="text1"/>
          <w:szCs w:val="24"/>
        </w:rPr>
        <w:t>2,148</w:t>
      </w:r>
      <w:r w:rsidRPr="0029756E">
        <w:rPr>
          <w:rFonts w:ascii="標楷體" w:eastAsia="標楷體" w:hAnsi="標楷體" w:cs="Times New Roman" w:hint="eastAsia"/>
          <w:color w:val="000000" w:themeColor="text1"/>
          <w:szCs w:val="24"/>
        </w:rPr>
        <w:t>萬餘元，占年度賸餘比率63.80％，且較</w:t>
      </w:r>
      <w:proofErr w:type="gramStart"/>
      <w:r w:rsidRPr="0029756E">
        <w:rPr>
          <w:rFonts w:ascii="標楷體" w:eastAsia="標楷體" w:hAnsi="標楷體" w:cs="Times New Roman" w:hint="eastAsia"/>
          <w:color w:val="000000" w:themeColor="text1"/>
          <w:szCs w:val="24"/>
        </w:rPr>
        <w:t>111</w:t>
      </w:r>
      <w:proofErr w:type="gramEnd"/>
      <w:r w:rsidRPr="0029756E">
        <w:rPr>
          <w:rFonts w:ascii="標楷體" w:eastAsia="標楷體" w:hAnsi="標楷體" w:cs="Times New Roman" w:hint="eastAsia"/>
          <w:color w:val="000000" w:themeColor="text1"/>
          <w:szCs w:val="24"/>
        </w:rPr>
        <w:t>年度</w:t>
      </w:r>
      <w:proofErr w:type="gramStart"/>
      <w:r w:rsidRPr="0029756E">
        <w:rPr>
          <w:rFonts w:ascii="標楷體" w:eastAsia="標楷體" w:hAnsi="標楷體" w:cs="Times New Roman" w:hint="eastAsia"/>
          <w:color w:val="000000" w:themeColor="text1"/>
          <w:szCs w:val="24"/>
        </w:rPr>
        <w:t>解繳市庫</w:t>
      </w:r>
      <w:proofErr w:type="gramEnd"/>
      <w:r w:rsidRPr="0029756E">
        <w:rPr>
          <w:rFonts w:ascii="標楷體" w:eastAsia="標楷體" w:hAnsi="標楷體" w:cs="Times New Roman" w:hint="eastAsia"/>
          <w:color w:val="000000" w:themeColor="text1"/>
          <w:szCs w:val="24"/>
        </w:rPr>
        <w:t>數58億8,427萬餘元、占年度賸餘比率85.20％，降低21.40個百分點。</w:t>
      </w:r>
      <w:proofErr w:type="gramStart"/>
      <w:r w:rsidRPr="0029756E">
        <w:rPr>
          <w:rFonts w:ascii="標楷體" w:eastAsia="標楷體" w:hAnsi="標楷體" w:cs="Times New Roman" w:hint="eastAsia"/>
          <w:color w:val="000000" w:themeColor="text1"/>
          <w:szCs w:val="24"/>
        </w:rPr>
        <w:t>鑑</w:t>
      </w:r>
      <w:proofErr w:type="gramEnd"/>
      <w:r w:rsidRPr="0029756E">
        <w:rPr>
          <w:rFonts w:ascii="標楷體" w:eastAsia="標楷體" w:hAnsi="標楷體" w:cs="Times New Roman" w:hint="eastAsia"/>
          <w:color w:val="000000" w:themeColor="text1"/>
          <w:szCs w:val="24"/>
        </w:rPr>
        <w:t>於臺北市政府作業基金截至112年底</w:t>
      </w:r>
      <w:proofErr w:type="gramStart"/>
      <w:r w:rsidRPr="0029756E">
        <w:rPr>
          <w:rFonts w:ascii="標楷體" w:eastAsia="標楷體" w:hAnsi="標楷體" w:cs="Times New Roman" w:hint="eastAsia"/>
          <w:color w:val="000000" w:themeColor="text1"/>
          <w:szCs w:val="24"/>
        </w:rPr>
        <w:t>止</w:t>
      </w:r>
      <w:proofErr w:type="gramEnd"/>
      <w:r w:rsidRPr="0029756E">
        <w:rPr>
          <w:rFonts w:ascii="標楷體" w:eastAsia="標楷體" w:hAnsi="標楷體" w:cs="Times New Roman" w:hint="eastAsia"/>
          <w:color w:val="000000" w:themeColor="text1"/>
          <w:szCs w:val="24"/>
        </w:rPr>
        <w:t>累積賸餘達1,028億58萬餘元；持有之現金及約當現金數額，自108年底之369億2,074萬餘元，至112年底已增加為733億8,319萬餘元，金額龐鉅，仍請督促規劃加強運用，或在不影響基金運作下，</w:t>
      </w:r>
      <w:proofErr w:type="gramStart"/>
      <w:r w:rsidRPr="0029756E">
        <w:rPr>
          <w:rFonts w:ascii="標楷體" w:eastAsia="標楷體" w:hAnsi="標楷體" w:cs="Times New Roman" w:hint="eastAsia"/>
          <w:color w:val="000000" w:themeColor="text1"/>
          <w:szCs w:val="24"/>
        </w:rPr>
        <w:t>研</w:t>
      </w:r>
      <w:proofErr w:type="gramEnd"/>
      <w:r w:rsidRPr="0029756E">
        <w:rPr>
          <w:rFonts w:ascii="標楷體" w:eastAsia="標楷體" w:hAnsi="標楷體" w:cs="Times New Roman" w:hint="eastAsia"/>
          <w:color w:val="000000" w:themeColor="text1"/>
          <w:szCs w:val="24"/>
        </w:rPr>
        <w:t>酌增加各基金繳庫數可行性，</w:t>
      </w:r>
      <w:proofErr w:type="gramStart"/>
      <w:r w:rsidRPr="0029756E">
        <w:rPr>
          <w:rFonts w:ascii="標楷體" w:eastAsia="標楷體" w:hAnsi="標楷體" w:cs="Times New Roman" w:hint="eastAsia"/>
          <w:color w:val="000000" w:themeColor="text1"/>
          <w:szCs w:val="24"/>
        </w:rPr>
        <w:t>俾</w:t>
      </w:r>
      <w:proofErr w:type="gramEnd"/>
      <w:r w:rsidRPr="0029756E">
        <w:rPr>
          <w:rFonts w:ascii="標楷體" w:eastAsia="標楷體" w:hAnsi="標楷體" w:cs="Times New Roman" w:hint="eastAsia"/>
          <w:color w:val="000000" w:themeColor="text1"/>
          <w:szCs w:val="24"/>
        </w:rPr>
        <w:t>使政府資源作最有效配置。</w:t>
      </w:r>
    </w:p>
    <w:p w14:paraId="2151D47B" w14:textId="77777777" w:rsidR="008466B3" w:rsidRPr="0029756E" w:rsidRDefault="008466B3" w:rsidP="008466B3">
      <w:pPr>
        <w:widowControl/>
        <w:overflowPunct w:val="0"/>
        <w:spacing w:beforeLines="20" w:before="72" w:afterLines="20" w:after="72" w:line="460" w:lineRule="exact"/>
        <w:ind w:firstLineChars="100" w:firstLine="280"/>
        <w:jc w:val="both"/>
        <w:rPr>
          <w:rFonts w:ascii="標楷體" w:eastAsia="標楷體" w:hAnsi="標楷體" w:cs="Arial"/>
          <w:b/>
          <w:color w:val="000000" w:themeColor="text1"/>
          <w:kern w:val="0"/>
          <w:sz w:val="28"/>
          <w:szCs w:val="28"/>
        </w:rPr>
      </w:pPr>
      <w:r w:rsidRPr="0029756E">
        <w:rPr>
          <w:rFonts w:ascii="標楷體" w:eastAsia="標楷體" w:hAnsi="標楷體" w:cs="Arial" w:hint="eastAsia"/>
          <w:b/>
          <w:color w:val="000000" w:themeColor="text1"/>
          <w:kern w:val="0"/>
          <w:sz w:val="28"/>
          <w:szCs w:val="28"/>
        </w:rPr>
        <w:t>（三）為提供民眾優質環境，</w:t>
      </w:r>
      <w:proofErr w:type="gramStart"/>
      <w:r w:rsidRPr="0029756E">
        <w:rPr>
          <w:rFonts w:ascii="標楷體" w:eastAsia="標楷體" w:hAnsi="標楷體" w:cs="Arial" w:hint="eastAsia"/>
          <w:b/>
          <w:color w:val="000000" w:themeColor="text1"/>
          <w:kern w:val="0"/>
          <w:sz w:val="28"/>
          <w:szCs w:val="28"/>
        </w:rPr>
        <w:t>賡</w:t>
      </w:r>
      <w:proofErr w:type="gramEnd"/>
      <w:r w:rsidRPr="0029756E">
        <w:rPr>
          <w:rFonts w:ascii="標楷體" w:eastAsia="標楷體" w:hAnsi="標楷體" w:cs="Arial" w:hint="eastAsia"/>
          <w:b/>
          <w:color w:val="000000" w:themeColor="text1"/>
          <w:kern w:val="0"/>
          <w:sz w:val="28"/>
          <w:szCs w:val="28"/>
        </w:rPr>
        <w:t>續推動重大公共建設計畫，惟部分案件產生履約爭議，</w:t>
      </w:r>
      <w:proofErr w:type="gramStart"/>
      <w:r w:rsidRPr="0029756E">
        <w:rPr>
          <w:rFonts w:ascii="標楷體" w:eastAsia="標楷體" w:hAnsi="標楷體" w:cs="Arial" w:hint="eastAsia"/>
          <w:b/>
          <w:color w:val="000000" w:themeColor="text1"/>
          <w:kern w:val="0"/>
          <w:sz w:val="28"/>
          <w:szCs w:val="28"/>
        </w:rPr>
        <w:t>間有涉訟</w:t>
      </w:r>
      <w:proofErr w:type="gramEnd"/>
      <w:r w:rsidRPr="0029756E">
        <w:rPr>
          <w:rFonts w:ascii="標楷體" w:eastAsia="標楷體" w:hAnsi="標楷體" w:cs="Arial" w:hint="eastAsia"/>
          <w:b/>
          <w:color w:val="000000" w:themeColor="text1"/>
          <w:kern w:val="0"/>
          <w:sz w:val="28"/>
          <w:szCs w:val="28"/>
        </w:rPr>
        <w:t>及須依爭議處理結果支付鉅額款項等情，亟待檢討癥結原因，</w:t>
      </w:r>
      <w:proofErr w:type="gramStart"/>
      <w:r w:rsidRPr="0029756E">
        <w:rPr>
          <w:rFonts w:ascii="標楷體" w:eastAsia="標楷體" w:hAnsi="標楷體" w:cs="Arial" w:hint="eastAsia"/>
          <w:b/>
          <w:color w:val="000000" w:themeColor="text1"/>
          <w:kern w:val="0"/>
          <w:sz w:val="28"/>
          <w:szCs w:val="28"/>
        </w:rPr>
        <w:t>研</w:t>
      </w:r>
      <w:proofErr w:type="gramEnd"/>
      <w:r w:rsidRPr="0029756E">
        <w:rPr>
          <w:rFonts w:ascii="標楷體" w:eastAsia="標楷體" w:hAnsi="標楷體" w:cs="Arial" w:hint="eastAsia"/>
          <w:b/>
          <w:color w:val="000000" w:themeColor="text1"/>
          <w:kern w:val="0"/>
          <w:sz w:val="28"/>
          <w:szCs w:val="28"/>
        </w:rPr>
        <w:t>謀改善。</w:t>
      </w:r>
    </w:p>
    <w:p w14:paraId="5B5136DE" w14:textId="77777777" w:rsidR="008466B3" w:rsidRPr="0029756E" w:rsidRDefault="008466B3" w:rsidP="008466B3">
      <w:pPr>
        <w:widowControl/>
        <w:overflowPunct w:val="0"/>
        <w:spacing w:line="460" w:lineRule="exact"/>
        <w:ind w:firstLineChars="200" w:firstLine="480"/>
        <w:jc w:val="both"/>
        <w:rPr>
          <w:rFonts w:ascii="標楷體" w:eastAsia="標楷體" w:hAnsi="標楷體" w:cs="Arial"/>
          <w:b/>
          <w:color w:val="000000" w:themeColor="text1"/>
          <w:kern w:val="0"/>
          <w:sz w:val="28"/>
          <w:szCs w:val="28"/>
        </w:rPr>
      </w:pPr>
      <w:r w:rsidRPr="0029756E">
        <w:rPr>
          <w:rFonts w:ascii="標楷體" w:eastAsia="標楷體" w:hAnsi="標楷體" w:cs="Times New Roman" w:hint="eastAsia"/>
          <w:color w:val="000000" w:themeColor="text1"/>
          <w:szCs w:val="24"/>
        </w:rPr>
        <w:t>臺北市政府長年推動重大公共建設計畫以厚實國家基礎建設、提供市民優質生活環境，惟重大公共建設計畫推動過程，部分案件與承攬廠商產生履約爭議，甚有涉訟情事，經統計截至112年底計有25件爭議案件，除</w:t>
      </w:r>
      <w:proofErr w:type="gramStart"/>
      <w:r w:rsidRPr="0029756E">
        <w:rPr>
          <w:rFonts w:ascii="標楷體" w:eastAsia="標楷體" w:hAnsi="標楷體" w:cs="Times New Roman" w:hint="eastAsia"/>
          <w:color w:val="000000" w:themeColor="text1"/>
          <w:szCs w:val="24"/>
        </w:rPr>
        <w:t>臺</w:t>
      </w:r>
      <w:proofErr w:type="gramEnd"/>
      <w:r w:rsidRPr="0029756E">
        <w:rPr>
          <w:rFonts w:ascii="標楷體" w:eastAsia="標楷體" w:hAnsi="標楷體" w:cs="Times New Roman" w:hint="eastAsia"/>
          <w:color w:val="000000" w:themeColor="text1"/>
          <w:szCs w:val="24"/>
        </w:rPr>
        <w:t>北藝術中心、</w:t>
      </w:r>
      <w:proofErr w:type="gramStart"/>
      <w:r w:rsidRPr="0029756E">
        <w:rPr>
          <w:rFonts w:ascii="標楷體" w:eastAsia="標楷體" w:hAnsi="標楷體" w:cs="Times New Roman" w:hint="eastAsia"/>
          <w:color w:val="000000" w:themeColor="text1"/>
          <w:szCs w:val="24"/>
        </w:rPr>
        <w:t>臺</w:t>
      </w:r>
      <w:proofErr w:type="gramEnd"/>
      <w:r w:rsidRPr="0029756E">
        <w:rPr>
          <w:rFonts w:ascii="標楷體" w:eastAsia="標楷體" w:hAnsi="標楷體" w:cs="Times New Roman" w:hint="eastAsia"/>
          <w:color w:val="000000" w:themeColor="text1"/>
          <w:szCs w:val="24"/>
        </w:rPr>
        <w:t>北流行音樂中心及北投纜車等5件爭</w:t>
      </w:r>
      <w:proofErr w:type="gramStart"/>
      <w:r w:rsidRPr="0029756E">
        <w:rPr>
          <w:rFonts w:ascii="標楷體" w:eastAsia="標楷體" w:hAnsi="標楷體" w:cs="Times New Roman" w:hint="eastAsia"/>
          <w:color w:val="000000" w:themeColor="text1"/>
          <w:szCs w:val="24"/>
        </w:rPr>
        <w:t>訟</w:t>
      </w:r>
      <w:proofErr w:type="gramEnd"/>
      <w:r w:rsidRPr="0029756E">
        <w:rPr>
          <w:rFonts w:ascii="標楷體" w:eastAsia="標楷體" w:hAnsi="標楷體" w:cs="Times New Roman" w:hint="eastAsia"/>
          <w:color w:val="000000" w:themeColor="text1"/>
          <w:szCs w:val="24"/>
        </w:rPr>
        <w:t>已結束，合計應給付承攬廠商6億6,308萬餘元，另有捷運木柵延伸（內湖）線CB410區段標工程及廣慈博愛園區整體開發計畫委託專案管理技術服務案等20件爭</w:t>
      </w:r>
      <w:proofErr w:type="gramStart"/>
      <w:r w:rsidRPr="0029756E">
        <w:rPr>
          <w:rFonts w:ascii="標楷體" w:eastAsia="標楷體" w:hAnsi="標楷體" w:cs="Times New Roman" w:hint="eastAsia"/>
          <w:color w:val="000000" w:themeColor="text1"/>
          <w:szCs w:val="24"/>
        </w:rPr>
        <w:t>訟</w:t>
      </w:r>
      <w:proofErr w:type="gramEnd"/>
      <w:r w:rsidRPr="0029756E">
        <w:rPr>
          <w:rFonts w:ascii="標楷體" w:eastAsia="標楷體" w:hAnsi="標楷體" w:cs="Times New Roman" w:hint="eastAsia"/>
          <w:color w:val="000000" w:themeColor="text1"/>
          <w:szCs w:val="24"/>
        </w:rPr>
        <w:t>結果仍未確定，承攬廠商請求金額高達26億7,413萬餘元，倘敗訴或調解成立，該府預估須負擔金額達8億751萬餘元。經查執行情形，核有因招標過程多次流標、設計特殊及施工難度高、原承攬廠商財務問題倒閉、環境影響評估爭議等因素，致工期大幅展延，且因機關未及早就廠商財務不良狀況妥為因應，或未對於增加服務費用預謀財源，衍生額外服務費用及工程款項等風險。另部分重大公共建設計畫執行過程，或有契約單價低於市場行情，或有現場狀況與設計狀況不符、責任不清，或與承攬廠商就履約執行狀況及扣罰款額度認知歧異等，多有爭議，亟待就制度面</w:t>
      </w:r>
      <w:proofErr w:type="gramStart"/>
      <w:r w:rsidRPr="0029756E">
        <w:rPr>
          <w:rFonts w:ascii="標楷體" w:eastAsia="標楷體" w:hAnsi="標楷體" w:cs="Times New Roman" w:hint="eastAsia"/>
          <w:color w:val="000000" w:themeColor="text1"/>
          <w:szCs w:val="24"/>
        </w:rPr>
        <w:t>研</w:t>
      </w:r>
      <w:proofErr w:type="gramEnd"/>
      <w:r w:rsidRPr="0029756E">
        <w:rPr>
          <w:rFonts w:ascii="標楷體" w:eastAsia="標楷體" w:hAnsi="標楷體" w:cs="Times New Roman" w:hint="eastAsia"/>
          <w:color w:val="000000" w:themeColor="text1"/>
          <w:szCs w:val="24"/>
        </w:rPr>
        <w:t>謀具體改善措施，</w:t>
      </w:r>
      <w:proofErr w:type="gramStart"/>
      <w:r w:rsidRPr="0029756E">
        <w:rPr>
          <w:rFonts w:ascii="標楷體" w:eastAsia="標楷體" w:hAnsi="標楷體" w:cs="Times New Roman" w:hint="eastAsia"/>
          <w:color w:val="000000" w:themeColor="text1"/>
          <w:szCs w:val="24"/>
        </w:rPr>
        <w:t>俾</w:t>
      </w:r>
      <w:proofErr w:type="gramEnd"/>
      <w:r w:rsidRPr="0029756E">
        <w:rPr>
          <w:rFonts w:ascii="標楷體" w:eastAsia="標楷體" w:hAnsi="標楷體" w:cs="Times New Roman" w:hint="eastAsia"/>
          <w:color w:val="000000" w:themeColor="text1"/>
          <w:szCs w:val="24"/>
        </w:rPr>
        <w:t>有效進行損害控制，並督促各主辦機關落實執行，確保機關權益。</w:t>
      </w:r>
    </w:p>
    <w:p w14:paraId="55B2C7BA" w14:textId="77777777" w:rsidR="008466B3" w:rsidRPr="0029756E" w:rsidRDefault="008466B3" w:rsidP="008466B3">
      <w:pPr>
        <w:widowControl/>
        <w:overflowPunct w:val="0"/>
        <w:spacing w:beforeLines="10" w:before="36" w:afterLines="10" w:after="36" w:line="440" w:lineRule="exact"/>
        <w:ind w:firstLineChars="100" w:firstLine="280"/>
        <w:jc w:val="both"/>
        <w:rPr>
          <w:rFonts w:ascii="標楷體" w:eastAsia="標楷體" w:hAnsi="標楷體" w:cs="Arial"/>
          <w:b/>
          <w:color w:val="000000" w:themeColor="text1"/>
          <w:kern w:val="0"/>
          <w:sz w:val="28"/>
          <w:szCs w:val="28"/>
        </w:rPr>
      </w:pPr>
      <w:r w:rsidRPr="0029756E">
        <w:rPr>
          <w:rFonts w:ascii="標楷體" w:eastAsia="標楷體" w:hAnsi="標楷體" w:cs="Arial" w:hint="eastAsia"/>
          <w:b/>
          <w:color w:val="000000" w:themeColor="text1"/>
          <w:kern w:val="0"/>
          <w:sz w:val="28"/>
          <w:szCs w:val="28"/>
        </w:rPr>
        <w:t>（四）</w:t>
      </w:r>
      <w:bookmarkStart w:id="0" w:name="_Hlk75769500"/>
      <w:r w:rsidRPr="0029756E">
        <w:rPr>
          <w:rFonts w:ascii="標楷體" w:eastAsia="標楷體" w:hAnsi="標楷體" w:cs="Arial" w:hint="eastAsia"/>
          <w:b/>
          <w:color w:val="000000" w:themeColor="text1"/>
          <w:kern w:val="0"/>
          <w:sz w:val="28"/>
          <w:szCs w:val="28"/>
        </w:rPr>
        <w:t>為促進市有資產效益，建立供需媒合機制已略具成效，惟仍有部分市有餘</w:t>
      </w:r>
      <w:proofErr w:type="gramStart"/>
      <w:r w:rsidRPr="0029756E">
        <w:rPr>
          <w:rFonts w:ascii="標楷體" w:eastAsia="標楷體" w:hAnsi="標楷體" w:cs="Arial" w:hint="eastAsia"/>
          <w:b/>
          <w:color w:val="000000" w:themeColor="text1"/>
          <w:kern w:val="0"/>
          <w:sz w:val="28"/>
          <w:szCs w:val="28"/>
        </w:rPr>
        <w:t>裕</w:t>
      </w:r>
      <w:proofErr w:type="gramEnd"/>
      <w:r w:rsidRPr="0029756E">
        <w:rPr>
          <w:rFonts w:ascii="標楷體" w:eastAsia="標楷體" w:hAnsi="標楷體" w:cs="Arial" w:hint="eastAsia"/>
          <w:b/>
          <w:color w:val="000000" w:themeColor="text1"/>
          <w:kern w:val="0"/>
          <w:sz w:val="28"/>
          <w:szCs w:val="28"/>
        </w:rPr>
        <w:t>建物未能運用，允宜</w:t>
      </w:r>
      <w:proofErr w:type="gramStart"/>
      <w:r w:rsidRPr="0029756E">
        <w:rPr>
          <w:rFonts w:ascii="標楷體" w:eastAsia="標楷體" w:hAnsi="標楷體" w:cs="Arial" w:hint="eastAsia"/>
          <w:b/>
          <w:color w:val="000000" w:themeColor="text1"/>
          <w:kern w:val="0"/>
          <w:sz w:val="28"/>
          <w:szCs w:val="28"/>
        </w:rPr>
        <w:t>研</w:t>
      </w:r>
      <w:proofErr w:type="gramEnd"/>
      <w:r w:rsidRPr="0029756E">
        <w:rPr>
          <w:rFonts w:ascii="標楷體" w:eastAsia="標楷體" w:hAnsi="標楷體" w:cs="Arial" w:hint="eastAsia"/>
          <w:b/>
          <w:color w:val="000000" w:themeColor="text1"/>
          <w:kern w:val="0"/>
          <w:sz w:val="28"/>
          <w:szCs w:val="28"/>
        </w:rPr>
        <w:t>謀改善。</w:t>
      </w:r>
    </w:p>
    <w:bookmarkEnd w:id="0"/>
    <w:p w14:paraId="1F39874A" w14:textId="77777777" w:rsidR="00DC3EAD" w:rsidRDefault="008466B3" w:rsidP="008466B3">
      <w:pPr>
        <w:widowControl/>
        <w:overflowPunct w:val="0"/>
        <w:spacing w:line="440" w:lineRule="exact"/>
        <w:ind w:firstLineChars="200" w:firstLine="480"/>
        <w:jc w:val="both"/>
        <w:rPr>
          <w:rFonts w:ascii="標楷體" w:eastAsia="標楷體" w:hAnsi="標楷體" w:cs="Times New Roman"/>
          <w:color w:val="000000" w:themeColor="text1"/>
          <w:szCs w:val="24"/>
        </w:rPr>
      </w:pPr>
      <w:r w:rsidRPr="0029756E">
        <w:rPr>
          <w:rFonts w:ascii="標楷體" w:eastAsia="標楷體" w:hAnsi="標楷體" w:cs="Times New Roman" w:hint="eastAsia"/>
          <w:color w:val="000000" w:themeColor="text1"/>
          <w:szCs w:val="24"/>
        </w:rPr>
        <w:t>臺北市政府為強化市有資產運用效益，自</w:t>
      </w:r>
      <w:r w:rsidRPr="0029756E">
        <w:rPr>
          <w:rFonts w:ascii="標楷體" w:eastAsia="標楷體" w:hAnsi="標楷體" w:cs="Times New Roman"/>
          <w:color w:val="000000" w:themeColor="text1"/>
          <w:szCs w:val="24"/>
        </w:rPr>
        <w:t>105</w:t>
      </w:r>
      <w:r w:rsidRPr="0029756E">
        <w:rPr>
          <w:rFonts w:ascii="標楷體" w:eastAsia="標楷體" w:hAnsi="標楷體" w:cs="Times New Roman" w:hint="eastAsia"/>
          <w:color w:val="000000" w:themeColor="text1"/>
          <w:szCs w:val="24"/>
        </w:rPr>
        <w:t>年起成立市有資產活化及運用小組，積極督導清理檢討閒置、低度利用及不經濟使用之市有房地，透過多元方式活化運用，</w:t>
      </w:r>
      <w:r w:rsidRPr="0029756E">
        <w:rPr>
          <w:rFonts w:ascii="標楷體" w:eastAsia="標楷體" w:hAnsi="標楷體" w:cs="Times New Roman"/>
          <w:color w:val="000000" w:themeColor="text1"/>
          <w:szCs w:val="24"/>
        </w:rPr>
        <w:t>108</w:t>
      </w:r>
      <w:r w:rsidRPr="0029756E">
        <w:rPr>
          <w:rFonts w:ascii="標楷體" w:eastAsia="標楷體" w:hAnsi="標楷體" w:cs="Times New Roman" w:hint="eastAsia"/>
          <w:color w:val="000000" w:themeColor="text1"/>
          <w:szCs w:val="24"/>
        </w:rPr>
        <w:t>至</w:t>
      </w:r>
      <w:r w:rsidRPr="0029756E">
        <w:rPr>
          <w:rFonts w:ascii="標楷體" w:eastAsia="標楷體" w:hAnsi="標楷體" w:cs="Times New Roman"/>
          <w:color w:val="000000" w:themeColor="text1"/>
          <w:szCs w:val="24"/>
        </w:rPr>
        <w:t>111</w:t>
      </w:r>
      <w:r w:rsidRPr="0029756E">
        <w:rPr>
          <w:rFonts w:ascii="標楷體" w:eastAsia="標楷體" w:hAnsi="標楷體" w:cs="Times New Roman" w:hint="eastAsia"/>
          <w:color w:val="000000" w:themeColor="text1"/>
          <w:szCs w:val="24"/>
        </w:rPr>
        <w:t>年度成功媒合土地</w:t>
      </w:r>
      <w:r w:rsidRPr="0029756E">
        <w:rPr>
          <w:rFonts w:ascii="標楷體" w:eastAsia="標楷體" w:hAnsi="標楷體" w:cs="Times New Roman"/>
          <w:color w:val="000000" w:themeColor="text1"/>
          <w:szCs w:val="24"/>
        </w:rPr>
        <w:t>1</w:t>
      </w:r>
      <w:r w:rsidRPr="0029756E">
        <w:rPr>
          <w:rFonts w:ascii="標楷體" w:eastAsia="標楷體" w:hAnsi="標楷體" w:cs="Times New Roman" w:hint="eastAsia"/>
          <w:color w:val="000000" w:themeColor="text1"/>
          <w:szCs w:val="24"/>
        </w:rPr>
        <w:t>案、建物</w:t>
      </w:r>
      <w:r w:rsidRPr="0029756E">
        <w:rPr>
          <w:rFonts w:ascii="標楷體" w:eastAsia="標楷體" w:hAnsi="標楷體" w:cs="Times New Roman"/>
          <w:color w:val="000000" w:themeColor="text1"/>
          <w:szCs w:val="24"/>
        </w:rPr>
        <w:t>24</w:t>
      </w:r>
      <w:r w:rsidRPr="0029756E">
        <w:rPr>
          <w:rFonts w:ascii="標楷體" w:eastAsia="標楷體" w:hAnsi="標楷體" w:cs="Times New Roman" w:hint="eastAsia"/>
          <w:color w:val="000000" w:themeColor="text1"/>
          <w:szCs w:val="24"/>
        </w:rPr>
        <w:t>案。</w:t>
      </w:r>
      <w:proofErr w:type="gramStart"/>
      <w:r w:rsidRPr="0029756E">
        <w:rPr>
          <w:rFonts w:ascii="標楷體" w:eastAsia="標楷體" w:hAnsi="標楷體" w:cs="Times New Roman" w:hint="eastAsia"/>
          <w:color w:val="000000" w:themeColor="text1"/>
          <w:szCs w:val="24"/>
        </w:rPr>
        <w:t>嗣</w:t>
      </w:r>
      <w:proofErr w:type="gramEnd"/>
      <w:r w:rsidRPr="0029756E">
        <w:rPr>
          <w:rFonts w:ascii="標楷體" w:eastAsia="標楷體" w:hAnsi="標楷體" w:cs="Times New Roman" w:hint="eastAsia"/>
          <w:color w:val="000000" w:themeColor="text1"/>
          <w:szCs w:val="24"/>
        </w:rPr>
        <w:t>為精進原</w:t>
      </w:r>
      <w:proofErr w:type="gramStart"/>
      <w:r w:rsidRPr="0029756E">
        <w:rPr>
          <w:rFonts w:ascii="標楷體" w:eastAsia="標楷體" w:hAnsi="標楷體" w:cs="Times New Roman" w:hint="eastAsia"/>
          <w:color w:val="000000" w:themeColor="text1"/>
          <w:szCs w:val="24"/>
        </w:rPr>
        <w:t>採</w:t>
      </w:r>
      <w:proofErr w:type="gramEnd"/>
      <w:r w:rsidRPr="0029756E">
        <w:rPr>
          <w:rFonts w:ascii="標楷體" w:eastAsia="標楷體" w:hAnsi="標楷體" w:cs="Times New Roman" w:hint="eastAsia"/>
          <w:color w:val="000000" w:themeColor="text1"/>
          <w:szCs w:val="24"/>
        </w:rPr>
        <w:t>單一需求對單一供給之媒合方式，於</w:t>
      </w:r>
      <w:r w:rsidRPr="0029756E">
        <w:rPr>
          <w:rFonts w:ascii="標楷體" w:eastAsia="標楷體" w:hAnsi="標楷體" w:cs="Times New Roman"/>
          <w:color w:val="000000" w:themeColor="text1"/>
          <w:szCs w:val="24"/>
        </w:rPr>
        <w:t>112</w:t>
      </w:r>
      <w:r w:rsidRPr="0029756E">
        <w:rPr>
          <w:rFonts w:ascii="標楷體" w:eastAsia="標楷體" w:hAnsi="標楷體" w:cs="Times New Roman" w:hint="eastAsia"/>
          <w:color w:val="000000" w:themeColor="text1"/>
          <w:szCs w:val="24"/>
        </w:rPr>
        <w:t>年</w:t>
      </w:r>
      <w:r w:rsidRPr="0029756E">
        <w:rPr>
          <w:rFonts w:ascii="標楷體" w:eastAsia="標楷體" w:hAnsi="標楷體" w:cs="Times New Roman"/>
          <w:color w:val="000000" w:themeColor="text1"/>
          <w:szCs w:val="24"/>
        </w:rPr>
        <w:t>3</w:t>
      </w:r>
      <w:r w:rsidRPr="0029756E">
        <w:rPr>
          <w:rFonts w:ascii="標楷體" w:eastAsia="標楷體" w:hAnsi="標楷體" w:cs="Times New Roman" w:hint="eastAsia"/>
          <w:color w:val="000000" w:themeColor="text1"/>
          <w:szCs w:val="24"/>
        </w:rPr>
        <w:t>月</w:t>
      </w:r>
    </w:p>
    <w:p w14:paraId="46A505AF" w14:textId="3DD493DE" w:rsidR="008466B3" w:rsidRPr="00DC3EAD" w:rsidRDefault="008466B3" w:rsidP="00DC3EAD">
      <w:pPr>
        <w:widowControl/>
        <w:overflowPunct w:val="0"/>
        <w:spacing w:line="440" w:lineRule="exact"/>
        <w:jc w:val="both"/>
        <w:rPr>
          <w:rFonts w:ascii="標楷體" w:eastAsia="標楷體" w:hAnsi="標楷體" w:cs="Times New Roman"/>
          <w:color w:val="000000" w:themeColor="text1"/>
          <w:szCs w:val="24"/>
        </w:rPr>
      </w:pPr>
      <w:r w:rsidRPr="00DC3EAD">
        <w:rPr>
          <w:rFonts w:ascii="標楷體" w:eastAsia="標楷體" w:hAnsi="標楷體" w:cs="Times New Roman" w:hint="eastAsia"/>
          <w:color w:val="000000" w:themeColor="text1"/>
          <w:szCs w:val="24"/>
        </w:rPr>
        <w:lastRenderedPageBreak/>
        <w:t>擴大建立市有資產供需整合機制，並訂定臺北市市有不動產供需調配計畫等相關規定，截至</w:t>
      </w:r>
      <w:r w:rsidRPr="00DC3EAD">
        <w:rPr>
          <w:rFonts w:ascii="標楷體" w:eastAsia="標楷體" w:hAnsi="標楷體" w:cs="Times New Roman"/>
          <w:color w:val="000000" w:themeColor="text1"/>
          <w:szCs w:val="24"/>
        </w:rPr>
        <w:t>112</w:t>
      </w:r>
      <w:r w:rsidRPr="00DC3EAD">
        <w:rPr>
          <w:rFonts w:ascii="標楷體" w:eastAsia="標楷體" w:hAnsi="標楷體" w:cs="Times New Roman" w:hint="eastAsia"/>
          <w:color w:val="000000" w:themeColor="text1"/>
          <w:szCs w:val="24"/>
        </w:rPr>
        <w:t>年底止，已召開</w:t>
      </w:r>
      <w:r w:rsidRPr="00DC3EAD">
        <w:rPr>
          <w:rFonts w:ascii="標楷體" w:eastAsia="標楷體" w:hAnsi="標楷體" w:cs="Times New Roman"/>
          <w:color w:val="000000" w:themeColor="text1"/>
          <w:szCs w:val="24"/>
        </w:rPr>
        <w:t>10</w:t>
      </w:r>
      <w:r w:rsidRPr="00DC3EAD">
        <w:rPr>
          <w:rFonts w:ascii="標楷體" w:eastAsia="標楷體" w:hAnsi="標楷體" w:cs="Times New Roman" w:hint="eastAsia"/>
          <w:color w:val="000000" w:themeColor="text1"/>
          <w:szCs w:val="24"/>
        </w:rPr>
        <w:t>次市有資產供需整合會議。經查截至</w:t>
      </w:r>
      <w:r w:rsidRPr="00DC3EAD">
        <w:rPr>
          <w:rFonts w:ascii="標楷體" w:eastAsia="標楷體" w:hAnsi="標楷體" w:cs="Times New Roman"/>
          <w:color w:val="000000" w:themeColor="text1"/>
          <w:szCs w:val="24"/>
        </w:rPr>
        <w:t>112</w:t>
      </w:r>
      <w:r w:rsidRPr="00DC3EAD">
        <w:rPr>
          <w:rFonts w:ascii="標楷體" w:eastAsia="標楷體" w:hAnsi="標楷體" w:cs="Times New Roman" w:hint="eastAsia"/>
          <w:color w:val="000000" w:themeColor="text1"/>
          <w:szCs w:val="24"/>
        </w:rPr>
        <w:t>年底供給面共有</w:t>
      </w:r>
      <w:r w:rsidRPr="00DC3EAD">
        <w:rPr>
          <w:rFonts w:ascii="標楷體" w:eastAsia="標楷體" w:hAnsi="標楷體" w:cs="Times New Roman"/>
          <w:color w:val="000000" w:themeColor="text1"/>
          <w:szCs w:val="24"/>
        </w:rPr>
        <w:t>66</w:t>
      </w:r>
      <w:r w:rsidRPr="00DC3EAD">
        <w:rPr>
          <w:rFonts w:ascii="標楷體" w:eastAsia="標楷體" w:hAnsi="標楷體" w:cs="Times New Roman" w:hint="eastAsia"/>
          <w:color w:val="000000" w:themeColor="text1"/>
          <w:szCs w:val="24"/>
        </w:rPr>
        <w:t>處土地、</w:t>
      </w:r>
      <w:r w:rsidRPr="00DC3EAD">
        <w:rPr>
          <w:rFonts w:ascii="標楷體" w:eastAsia="標楷體" w:hAnsi="標楷體" w:cs="Times New Roman"/>
          <w:color w:val="000000" w:themeColor="text1"/>
          <w:szCs w:val="24"/>
        </w:rPr>
        <w:t>158</w:t>
      </w:r>
      <w:r w:rsidRPr="00DC3EAD">
        <w:rPr>
          <w:rFonts w:ascii="標楷體" w:eastAsia="標楷體" w:hAnsi="標楷體" w:cs="Times New Roman" w:hint="eastAsia"/>
          <w:color w:val="000000" w:themeColor="text1"/>
          <w:szCs w:val="24"/>
        </w:rPr>
        <w:t>筆建物；需求面則有</w:t>
      </w:r>
      <w:r w:rsidRPr="00DC3EAD">
        <w:rPr>
          <w:rFonts w:ascii="標楷體" w:eastAsia="標楷體" w:hAnsi="標楷體" w:cs="Times New Roman"/>
          <w:color w:val="000000" w:themeColor="text1"/>
          <w:szCs w:val="24"/>
        </w:rPr>
        <w:t>6</w:t>
      </w:r>
      <w:r w:rsidRPr="00DC3EAD">
        <w:rPr>
          <w:rFonts w:ascii="標楷體" w:eastAsia="標楷體" w:hAnsi="標楷體" w:cs="Times New Roman" w:hint="eastAsia"/>
          <w:color w:val="000000" w:themeColor="text1"/>
          <w:szCs w:val="24"/>
        </w:rPr>
        <w:t>處土地、</w:t>
      </w:r>
      <w:r w:rsidRPr="00DC3EAD">
        <w:rPr>
          <w:rFonts w:ascii="標楷體" w:eastAsia="標楷體" w:hAnsi="標楷體" w:cs="Times New Roman"/>
          <w:color w:val="000000" w:themeColor="text1"/>
          <w:szCs w:val="24"/>
        </w:rPr>
        <w:t>211</w:t>
      </w:r>
      <w:r w:rsidRPr="00DC3EAD">
        <w:rPr>
          <w:rFonts w:ascii="標楷體" w:eastAsia="標楷體" w:hAnsi="標楷體" w:cs="Times New Roman" w:hint="eastAsia"/>
          <w:color w:val="000000" w:themeColor="text1"/>
          <w:szCs w:val="24"/>
        </w:rPr>
        <w:t>筆建物，成功媒合之土地有</w:t>
      </w:r>
      <w:r w:rsidRPr="00DC3EAD">
        <w:rPr>
          <w:rFonts w:ascii="標楷體" w:eastAsia="標楷體" w:hAnsi="標楷體" w:cs="Times New Roman"/>
          <w:color w:val="000000" w:themeColor="text1"/>
          <w:szCs w:val="24"/>
        </w:rPr>
        <w:t>2</w:t>
      </w:r>
      <w:r w:rsidRPr="00DC3EAD">
        <w:rPr>
          <w:rFonts w:ascii="標楷體" w:eastAsia="標楷體" w:hAnsi="標楷體" w:cs="Times New Roman" w:hint="eastAsia"/>
          <w:color w:val="000000" w:themeColor="text1"/>
          <w:szCs w:val="24"/>
        </w:rPr>
        <w:t>處、建物</w:t>
      </w:r>
      <w:r w:rsidRPr="00DC3EAD">
        <w:rPr>
          <w:rFonts w:ascii="標楷體" w:eastAsia="標楷體" w:hAnsi="標楷體" w:cs="Times New Roman"/>
          <w:color w:val="000000" w:themeColor="text1"/>
          <w:szCs w:val="24"/>
        </w:rPr>
        <w:t>11</w:t>
      </w:r>
      <w:r w:rsidRPr="00DC3EAD">
        <w:rPr>
          <w:rFonts w:ascii="標楷體" w:eastAsia="標楷體" w:hAnsi="標楷體" w:cs="Times New Roman" w:hint="eastAsia"/>
          <w:color w:val="000000" w:themeColor="text1"/>
          <w:szCs w:val="24"/>
        </w:rPr>
        <w:t>筆，已略具成效，</w:t>
      </w:r>
      <w:proofErr w:type="gramStart"/>
      <w:r w:rsidRPr="00DC3EAD">
        <w:rPr>
          <w:rFonts w:ascii="標楷體" w:eastAsia="標楷體" w:hAnsi="標楷體" w:cs="Times New Roman" w:hint="eastAsia"/>
          <w:color w:val="000000" w:themeColor="text1"/>
          <w:szCs w:val="24"/>
        </w:rPr>
        <w:t>鑑</w:t>
      </w:r>
      <w:proofErr w:type="gramEnd"/>
      <w:r w:rsidRPr="00DC3EAD">
        <w:rPr>
          <w:rFonts w:ascii="標楷體" w:eastAsia="標楷體" w:hAnsi="標楷體" w:cs="Times New Roman" w:hint="eastAsia"/>
          <w:color w:val="000000" w:themeColor="text1"/>
          <w:szCs w:val="24"/>
        </w:rPr>
        <w:t>於市有餘</w:t>
      </w:r>
      <w:proofErr w:type="gramStart"/>
      <w:r w:rsidRPr="00DC3EAD">
        <w:rPr>
          <w:rFonts w:ascii="標楷體" w:eastAsia="標楷體" w:hAnsi="標楷體" w:cs="Times New Roman" w:hint="eastAsia"/>
          <w:color w:val="000000" w:themeColor="text1"/>
          <w:szCs w:val="24"/>
        </w:rPr>
        <w:t>裕</w:t>
      </w:r>
      <w:proofErr w:type="gramEnd"/>
      <w:r w:rsidRPr="00DC3EAD">
        <w:rPr>
          <w:rFonts w:ascii="標楷體" w:eastAsia="標楷體" w:hAnsi="標楷體" w:cs="Times New Roman" w:hint="eastAsia"/>
          <w:color w:val="000000" w:themeColor="text1"/>
          <w:szCs w:val="24"/>
        </w:rPr>
        <w:t>建物仍多，尚</w:t>
      </w:r>
      <w:proofErr w:type="gramStart"/>
      <w:r w:rsidRPr="00DC3EAD">
        <w:rPr>
          <w:rFonts w:ascii="標楷體" w:eastAsia="標楷體" w:hAnsi="標楷體" w:cs="Times New Roman" w:hint="eastAsia"/>
          <w:color w:val="000000" w:themeColor="text1"/>
          <w:szCs w:val="24"/>
        </w:rPr>
        <w:t>待精進媒</w:t>
      </w:r>
      <w:proofErr w:type="gramEnd"/>
      <w:r w:rsidRPr="00DC3EAD">
        <w:rPr>
          <w:rFonts w:ascii="標楷體" w:eastAsia="標楷體" w:hAnsi="標楷體" w:cs="Times New Roman" w:hint="eastAsia"/>
          <w:color w:val="000000" w:themeColor="text1"/>
          <w:szCs w:val="24"/>
        </w:rPr>
        <w:t>合機制。另市場處、警察局、教育局暨所屬學校等機關提報之餘</w:t>
      </w:r>
      <w:proofErr w:type="gramStart"/>
      <w:r w:rsidRPr="00DC3EAD">
        <w:rPr>
          <w:rFonts w:ascii="標楷體" w:eastAsia="標楷體" w:hAnsi="標楷體" w:cs="Times New Roman" w:hint="eastAsia"/>
          <w:color w:val="000000" w:themeColor="text1"/>
          <w:szCs w:val="24"/>
        </w:rPr>
        <w:t>裕</w:t>
      </w:r>
      <w:proofErr w:type="gramEnd"/>
      <w:r w:rsidRPr="00DC3EAD">
        <w:rPr>
          <w:rFonts w:ascii="標楷體" w:eastAsia="標楷體" w:hAnsi="標楷體" w:cs="Times New Roman" w:hint="eastAsia"/>
          <w:color w:val="000000" w:themeColor="text1"/>
          <w:szCs w:val="24"/>
        </w:rPr>
        <w:t>建物，部分屋齡已逾</w:t>
      </w:r>
      <w:r w:rsidRPr="00DC3EAD">
        <w:rPr>
          <w:rFonts w:ascii="標楷體" w:eastAsia="標楷體" w:hAnsi="標楷體" w:cs="Times New Roman"/>
          <w:color w:val="000000" w:themeColor="text1"/>
          <w:szCs w:val="24"/>
        </w:rPr>
        <w:t>50</w:t>
      </w:r>
      <w:r w:rsidRPr="00DC3EAD">
        <w:rPr>
          <w:rFonts w:ascii="標楷體" w:eastAsia="標楷體" w:hAnsi="標楷體" w:cs="Times New Roman" w:hint="eastAsia"/>
          <w:color w:val="000000" w:themeColor="text1"/>
          <w:szCs w:val="24"/>
        </w:rPr>
        <w:t>年，或稱屋</w:t>
      </w:r>
      <w:proofErr w:type="gramStart"/>
      <w:r w:rsidRPr="00DC3EAD">
        <w:rPr>
          <w:rFonts w:ascii="標楷體" w:eastAsia="標楷體" w:hAnsi="標楷體" w:cs="Times New Roman" w:hint="eastAsia"/>
          <w:color w:val="000000" w:themeColor="text1"/>
          <w:szCs w:val="24"/>
        </w:rPr>
        <w:t>況</w:t>
      </w:r>
      <w:proofErr w:type="gramEnd"/>
      <w:r w:rsidRPr="00DC3EAD">
        <w:rPr>
          <w:rFonts w:ascii="標楷體" w:eastAsia="標楷體" w:hAnsi="標楷體" w:cs="Times New Roman" w:hint="eastAsia"/>
          <w:color w:val="000000" w:themeColor="text1"/>
          <w:szCs w:val="24"/>
        </w:rPr>
        <w:t>漏水嚴重等，</w:t>
      </w:r>
      <w:proofErr w:type="gramStart"/>
      <w:r w:rsidRPr="00DC3EAD">
        <w:rPr>
          <w:rFonts w:ascii="標楷體" w:eastAsia="標楷體" w:hAnsi="標楷體" w:cs="Times New Roman" w:hint="eastAsia"/>
          <w:color w:val="000000" w:themeColor="text1"/>
          <w:szCs w:val="24"/>
        </w:rPr>
        <w:t>惟皆未</w:t>
      </w:r>
      <w:proofErr w:type="gramEnd"/>
      <w:r w:rsidRPr="00DC3EAD">
        <w:rPr>
          <w:rFonts w:ascii="標楷體" w:eastAsia="標楷體" w:hAnsi="標楷體" w:cs="Times New Roman" w:hint="eastAsia"/>
          <w:color w:val="000000" w:themeColor="text1"/>
          <w:szCs w:val="24"/>
        </w:rPr>
        <w:t>辦理建物結構安全鑑定，核與市有資產供需整合會議第</w:t>
      </w:r>
      <w:r w:rsidRPr="00DC3EAD">
        <w:rPr>
          <w:rFonts w:ascii="標楷體" w:eastAsia="標楷體" w:hAnsi="標楷體" w:cs="Times New Roman"/>
          <w:color w:val="000000" w:themeColor="text1"/>
          <w:szCs w:val="24"/>
        </w:rPr>
        <w:t>1</w:t>
      </w:r>
      <w:r w:rsidRPr="00DC3EAD">
        <w:rPr>
          <w:rFonts w:ascii="標楷體" w:eastAsia="標楷體" w:hAnsi="標楷體" w:cs="Times New Roman" w:hint="eastAsia"/>
          <w:color w:val="000000" w:themeColor="text1"/>
          <w:szCs w:val="24"/>
        </w:rPr>
        <w:t>次會議結論，有關不動產供給資料庫之提報原則如有建物老舊或結構安全有疑慮不堪使用之情形，應辦理建物結構安全鑑定之規範未合，允宜</w:t>
      </w:r>
      <w:proofErr w:type="gramStart"/>
      <w:r w:rsidRPr="00DC3EAD">
        <w:rPr>
          <w:rFonts w:ascii="標楷體" w:eastAsia="標楷體" w:hAnsi="標楷體" w:cs="Times New Roman" w:hint="eastAsia"/>
          <w:color w:val="000000" w:themeColor="text1"/>
          <w:szCs w:val="24"/>
        </w:rPr>
        <w:t>研</w:t>
      </w:r>
      <w:proofErr w:type="gramEnd"/>
      <w:r w:rsidRPr="00DC3EAD">
        <w:rPr>
          <w:rFonts w:ascii="標楷體" w:eastAsia="標楷體" w:hAnsi="標楷體" w:cs="Times New Roman" w:hint="eastAsia"/>
          <w:color w:val="000000" w:themeColor="text1"/>
          <w:szCs w:val="24"/>
        </w:rPr>
        <w:t>謀改善。</w:t>
      </w:r>
    </w:p>
    <w:p w14:paraId="43D7DF9E" w14:textId="77777777" w:rsidR="008466B3" w:rsidRPr="00DC3EAD" w:rsidRDefault="008466B3" w:rsidP="00DC3EAD">
      <w:pPr>
        <w:widowControl/>
        <w:overflowPunct w:val="0"/>
        <w:spacing w:beforeLines="20" w:before="72" w:afterLines="10" w:after="36" w:line="460" w:lineRule="exact"/>
        <w:ind w:firstLineChars="100" w:firstLine="272"/>
        <w:jc w:val="both"/>
        <w:rPr>
          <w:rFonts w:ascii="標楷體" w:eastAsia="標楷體" w:hAnsi="標楷體" w:cs="Arial"/>
          <w:b/>
          <w:color w:val="000000" w:themeColor="text1"/>
          <w:spacing w:val="-4"/>
          <w:kern w:val="0"/>
          <w:sz w:val="28"/>
          <w:szCs w:val="28"/>
        </w:rPr>
      </w:pPr>
      <w:r w:rsidRPr="00DC3EAD">
        <w:rPr>
          <w:rFonts w:ascii="標楷體" w:eastAsia="標楷體" w:hAnsi="標楷體" w:cs="Arial" w:hint="eastAsia"/>
          <w:b/>
          <w:color w:val="000000" w:themeColor="text1"/>
          <w:spacing w:val="-4"/>
          <w:kern w:val="0"/>
          <w:sz w:val="28"/>
          <w:szCs w:val="28"/>
        </w:rPr>
        <w:t>（五）</w:t>
      </w:r>
      <w:proofErr w:type="gramStart"/>
      <w:r w:rsidRPr="00DC3EAD">
        <w:rPr>
          <w:rFonts w:ascii="標楷體" w:eastAsia="標楷體" w:hAnsi="標楷體" w:cs="Arial" w:hint="eastAsia"/>
          <w:b/>
          <w:color w:val="000000" w:themeColor="text1"/>
          <w:spacing w:val="-4"/>
          <w:kern w:val="0"/>
          <w:sz w:val="28"/>
          <w:szCs w:val="28"/>
        </w:rPr>
        <w:t>臺</w:t>
      </w:r>
      <w:proofErr w:type="gramEnd"/>
      <w:r w:rsidRPr="00DC3EAD">
        <w:rPr>
          <w:rFonts w:ascii="標楷體" w:eastAsia="標楷體" w:hAnsi="標楷體" w:cs="Arial" w:hint="eastAsia"/>
          <w:b/>
          <w:color w:val="000000" w:themeColor="text1"/>
          <w:spacing w:val="-4"/>
          <w:kern w:val="0"/>
          <w:sz w:val="28"/>
          <w:szCs w:val="28"/>
        </w:rPr>
        <w:t>北翡翠水庫管理局為充分利用水資源，出售翡翠發電廠電力予台灣電力股份有限公司，</w:t>
      </w:r>
      <w:proofErr w:type="gramStart"/>
      <w:r w:rsidRPr="00DC3EAD">
        <w:rPr>
          <w:rFonts w:ascii="標楷體" w:eastAsia="標楷體" w:hAnsi="標楷體" w:cs="Arial" w:hint="eastAsia"/>
          <w:b/>
          <w:color w:val="000000" w:themeColor="text1"/>
          <w:spacing w:val="-4"/>
          <w:kern w:val="0"/>
          <w:sz w:val="28"/>
          <w:szCs w:val="28"/>
        </w:rPr>
        <w:t>惟售電</w:t>
      </w:r>
      <w:proofErr w:type="gramEnd"/>
      <w:r w:rsidRPr="00DC3EAD">
        <w:rPr>
          <w:rFonts w:ascii="標楷體" w:eastAsia="標楷體" w:hAnsi="標楷體" w:cs="Arial" w:hint="eastAsia"/>
          <w:b/>
          <w:color w:val="000000" w:themeColor="text1"/>
          <w:spacing w:val="-4"/>
          <w:kern w:val="0"/>
          <w:sz w:val="28"/>
          <w:szCs w:val="28"/>
        </w:rPr>
        <w:t>契約所訂躉售費率偏低，影響市庫收入，有待</w:t>
      </w:r>
      <w:proofErr w:type="gramStart"/>
      <w:r w:rsidRPr="00DC3EAD">
        <w:rPr>
          <w:rFonts w:ascii="標楷體" w:eastAsia="標楷體" w:hAnsi="標楷體" w:cs="Arial" w:hint="eastAsia"/>
          <w:b/>
          <w:color w:val="000000" w:themeColor="text1"/>
          <w:spacing w:val="-4"/>
          <w:kern w:val="0"/>
          <w:sz w:val="28"/>
          <w:szCs w:val="28"/>
        </w:rPr>
        <w:t>研</w:t>
      </w:r>
      <w:proofErr w:type="gramEnd"/>
      <w:r w:rsidRPr="00DC3EAD">
        <w:rPr>
          <w:rFonts w:ascii="標楷體" w:eastAsia="標楷體" w:hAnsi="標楷體" w:cs="Arial" w:hint="eastAsia"/>
          <w:b/>
          <w:color w:val="000000" w:themeColor="text1"/>
          <w:spacing w:val="-4"/>
          <w:kern w:val="0"/>
          <w:sz w:val="28"/>
          <w:szCs w:val="28"/>
        </w:rPr>
        <w:t>謀改善。</w:t>
      </w:r>
    </w:p>
    <w:p w14:paraId="08E515D2" w14:textId="45ACCDB5" w:rsidR="00DC3EAD" w:rsidRDefault="008466B3" w:rsidP="00DC3EAD">
      <w:pPr>
        <w:widowControl/>
        <w:overflowPunct w:val="0"/>
        <w:spacing w:line="430" w:lineRule="exact"/>
        <w:ind w:firstLineChars="200" w:firstLine="480"/>
        <w:jc w:val="both"/>
        <w:rPr>
          <w:rFonts w:ascii="標楷體" w:eastAsia="標楷體" w:hAnsi="標楷體" w:cs="Times New Roman"/>
          <w:color w:val="000000" w:themeColor="text1"/>
          <w:szCs w:val="24"/>
        </w:rPr>
      </w:pPr>
      <w:proofErr w:type="gramStart"/>
      <w:r w:rsidRPr="00DC3EAD">
        <w:rPr>
          <w:rFonts w:ascii="標楷體" w:eastAsia="標楷體" w:hAnsi="標楷體" w:cs="Times New Roman" w:hint="eastAsia"/>
          <w:color w:val="000000" w:themeColor="text1"/>
          <w:szCs w:val="24"/>
        </w:rPr>
        <w:t>臺</w:t>
      </w:r>
      <w:proofErr w:type="gramEnd"/>
      <w:r w:rsidRPr="00DC3EAD">
        <w:rPr>
          <w:rFonts w:ascii="標楷體" w:eastAsia="標楷體" w:hAnsi="標楷體" w:cs="Times New Roman" w:hint="eastAsia"/>
          <w:color w:val="000000" w:themeColor="text1"/>
          <w:szCs w:val="24"/>
        </w:rPr>
        <w:t>北翡翠水庫管理局（下稱</w:t>
      </w:r>
      <w:proofErr w:type="gramStart"/>
      <w:r w:rsidRPr="00DC3EAD">
        <w:rPr>
          <w:rFonts w:ascii="標楷體" w:eastAsia="標楷體" w:hAnsi="標楷體" w:cs="Times New Roman" w:hint="eastAsia"/>
          <w:color w:val="000000" w:themeColor="text1"/>
          <w:szCs w:val="24"/>
        </w:rPr>
        <w:t>翡</w:t>
      </w:r>
      <w:proofErr w:type="gramEnd"/>
      <w:r w:rsidRPr="00DC3EAD">
        <w:rPr>
          <w:rFonts w:ascii="標楷體" w:eastAsia="標楷體" w:hAnsi="標楷體" w:cs="Times New Roman" w:hint="eastAsia"/>
          <w:color w:val="000000" w:themeColor="text1"/>
          <w:szCs w:val="24"/>
        </w:rPr>
        <w:t>管局）為充分利用水資源，於翡翠水庫大壩下方設置翡翠發電廠1座，完工後於77年開始營運，</w:t>
      </w:r>
      <w:proofErr w:type="gramStart"/>
      <w:r w:rsidRPr="00DC3EAD">
        <w:rPr>
          <w:rFonts w:ascii="標楷體" w:eastAsia="標楷體" w:hAnsi="標楷體" w:cs="Times New Roman" w:hint="eastAsia"/>
          <w:color w:val="000000" w:themeColor="text1"/>
          <w:szCs w:val="24"/>
        </w:rPr>
        <w:t>翡</w:t>
      </w:r>
      <w:proofErr w:type="gramEnd"/>
      <w:r w:rsidRPr="00DC3EAD">
        <w:rPr>
          <w:rFonts w:ascii="標楷體" w:eastAsia="標楷體" w:hAnsi="標楷體" w:cs="Times New Roman" w:hint="eastAsia"/>
          <w:color w:val="000000" w:themeColor="text1"/>
          <w:szCs w:val="24"/>
        </w:rPr>
        <w:t>管局並與台灣電力股份有限公司（下稱台電公司）簽訂「翡翠發電廠購售電契約」，將翡翠發電廠所發電能售予該公司迄今。依現行「翡翠發電廠購售電契約」（契約期間為109至113年）第9條規定略</w:t>
      </w:r>
      <w:proofErr w:type="gramStart"/>
      <w:r w:rsidRPr="00DC3EAD">
        <w:rPr>
          <w:rFonts w:ascii="標楷體" w:eastAsia="標楷體" w:hAnsi="標楷體" w:cs="Times New Roman" w:hint="eastAsia"/>
          <w:color w:val="000000" w:themeColor="text1"/>
          <w:szCs w:val="24"/>
        </w:rPr>
        <w:t>以</w:t>
      </w:r>
      <w:proofErr w:type="gramEnd"/>
      <w:r w:rsidRPr="00DC3EAD">
        <w:rPr>
          <w:rFonts w:ascii="標楷體" w:eastAsia="標楷體" w:hAnsi="標楷體" w:cs="Times New Roman" w:hint="eastAsia"/>
          <w:color w:val="000000" w:themeColor="text1"/>
          <w:szCs w:val="24"/>
        </w:rPr>
        <w:t>，台電公司支付</w:t>
      </w:r>
      <w:proofErr w:type="gramStart"/>
      <w:r w:rsidRPr="00DC3EAD">
        <w:rPr>
          <w:rFonts w:ascii="標楷體" w:eastAsia="標楷體" w:hAnsi="標楷體" w:cs="Times New Roman" w:hint="eastAsia"/>
          <w:color w:val="000000" w:themeColor="text1"/>
          <w:szCs w:val="24"/>
        </w:rPr>
        <w:t>翡</w:t>
      </w:r>
      <w:proofErr w:type="gramEnd"/>
      <w:r w:rsidRPr="00DC3EAD">
        <w:rPr>
          <w:rFonts w:ascii="標楷體" w:eastAsia="標楷體" w:hAnsi="標楷體" w:cs="Times New Roman" w:hint="eastAsia"/>
          <w:color w:val="000000" w:themeColor="text1"/>
          <w:szCs w:val="24"/>
        </w:rPr>
        <w:t>管局之電費為容量電費與能量電費之</w:t>
      </w:r>
      <w:proofErr w:type="gramStart"/>
      <w:r w:rsidRPr="00DC3EAD">
        <w:rPr>
          <w:rFonts w:ascii="標楷體" w:eastAsia="標楷體" w:hAnsi="標楷體" w:cs="Times New Roman" w:hint="eastAsia"/>
          <w:color w:val="000000" w:themeColor="text1"/>
          <w:szCs w:val="24"/>
        </w:rPr>
        <w:t>和</w:t>
      </w:r>
      <w:proofErr w:type="gramEnd"/>
      <w:r w:rsidRPr="00DC3EAD">
        <w:rPr>
          <w:rFonts w:ascii="標楷體" w:eastAsia="標楷體" w:hAnsi="標楷體" w:cs="Times New Roman" w:hint="eastAsia"/>
          <w:color w:val="000000" w:themeColor="text1"/>
          <w:szCs w:val="24"/>
        </w:rPr>
        <w:t>，其中容量費率每</w:t>
      </w:r>
      <w:proofErr w:type="gramStart"/>
      <w:r w:rsidRPr="00DC3EAD">
        <w:rPr>
          <w:rFonts w:ascii="標楷體" w:eastAsia="標楷體" w:hAnsi="標楷體" w:cs="Times New Roman" w:hint="eastAsia"/>
          <w:color w:val="000000" w:themeColor="text1"/>
          <w:szCs w:val="24"/>
        </w:rPr>
        <w:t>瓩</w:t>
      </w:r>
      <w:proofErr w:type="gramEnd"/>
      <w:r w:rsidRPr="00DC3EAD">
        <w:rPr>
          <w:rFonts w:ascii="標楷體" w:eastAsia="標楷體" w:hAnsi="標楷體" w:cs="Times New Roman" w:hint="eastAsia"/>
          <w:color w:val="000000" w:themeColor="text1"/>
          <w:szCs w:val="24"/>
        </w:rPr>
        <w:t>每年為1,808.9730元、能量費率為每度0.9597元；同契約第11條規定略</w:t>
      </w:r>
      <w:proofErr w:type="gramStart"/>
      <w:r w:rsidRPr="00DC3EAD">
        <w:rPr>
          <w:rFonts w:ascii="標楷體" w:eastAsia="標楷體" w:hAnsi="標楷體" w:cs="Times New Roman" w:hint="eastAsia"/>
          <w:color w:val="000000" w:themeColor="text1"/>
          <w:szCs w:val="24"/>
        </w:rPr>
        <w:t>以</w:t>
      </w:r>
      <w:proofErr w:type="gramEnd"/>
      <w:r w:rsidRPr="00DC3EAD">
        <w:rPr>
          <w:rFonts w:ascii="標楷體" w:eastAsia="標楷體" w:hAnsi="標楷體" w:cs="Times New Roman" w:hint="eastAsia"/>
          <w:color w:val="000000" w:themeColor="text1"/>
          <w:szCs w:val="24"/>
        </w:rPr>
        <w:t>，台電公司售電價格調整時，翡翠發電廠之售電電價隨同調整，其調整幅度按該公司電價調整幅度80％計算。截至112年8月底止，本案契約已2度調整售電電價，分別為111年7月1日調高售電價格6.72％（為台電公司當次調漲電價8.4％之80％）；112年4月1日調高售電價格8.8％（為台電公司當次調漲電價11％之80％），調整後容量費率每</w:t>
      </w:r>
      <w:proofErr w:type="gramStart"/>
      <w:r w:rsidRPr="00DC3EAD">
        <w:rPr>
          <w:rFonts w:ascii="標楷體" w:eastAsia="標楷體" w:hAnsi="標楷體" w:cs="Times New Roman" w:hint="eastAsia"/>
          <w:color w:val="000000" w:themeColor="text1"/>
          <w:szCs w:val="24"/>
        </w:rPr>
        <w:t>瓩</w:t>
      </w:r>
      <w:proofErr w:type="gramEnd"/>
      <w:r w:rsidRPr="00DC3EAD">
        <w:rPr>
          <w:rFonts w:ascii="標楷體" w:eastAsia="標楷體" w:hAnsi="標楷體" w:cs="Times New Roman" w:hint="eastAsia"/>
          <w:color w:val="000000" w:themeColor="text1"/>
          <w:szCs w:val="24"/>
        </w:rPr>
        <w:t>每年為2,100.4232元、能量費率每度1.1143元。查「翡翠發電廠購售電契約」第11條雖</w:t>
      </w:r>
      <w:proofErr w:type="gramStart"/>
      <w:r w:rsidRPr="00DC3EAD">
        <w:rPr>
          <w:rFonts w:ascii="標楷體" w:eastAsia="標楷體" w:hAnsi="標楷體" w:cs="Times New Roman" w:hint="eastAsia"/>
          <w:color w:val="000000" w:themeColor="text1"/>
          <w:szCs w:val="24"/>
        </w:rPr>
        <w:t>有翡翠</w:t>
      </w:r>
      <w:proofErr w:type="gramEnd"/>
      <w:r w:rsidRPr="00DC3EAD">
        <w:rPr>
          <w:rFonts w:ascii="標楷體" w:eastAsia="標楷體" w:hAnsi="標楷體" w:cs="Times New Roman" w:hint="eastAsia"/>
          <w:color w:val="000000" w:themeColor="text1"/>
          <w:szCs w:val="24"/>
        </w:rPr>
        <w:t>發電廠售電價格按台電公司調整電價而隨同調整之約定，惟其每次調整幅度僅係該公司當次電價調整幅度之80％，且該條文自77年沿用迄今，未曾進行調整修訂，契約條文亦未</w:t>
      </w:r>
      <w:proofErr w:type="gramStart"/>
      <w:r w:rsidRPr="00DC3EAD">
        <w:rPr>
          <w:rFonts w:ascii="標楷體" w:eastAsia="標楷體" w:hAnsi="標楷體" w:cs="Times New Roman" w:hint="eastAsia"/>
          <w:color w:val="000000" w:themeColor="text1"/>
          <w:szCs w:val="24"/>
        </w:rPr>
        <w:t>見夏月售</w:t>
      </w:r>
      <w:proofErr w:type="gramEnd"/>
      <w:r w:rsidRPr="00DC3EAD">
        <w:rPr>
          <w:rFonts w:ascii="標楷體" w:eastAsia="標楷體" w:hAnsi="標楷體" w:cs="Times New Roman" w:hint="eastAsia"/>
          <w:color w:val="000000" w:themeColor="text1"/>
          <w:szCs w:val="24"/>
        </w:rPr>
        <w:t>電價格</w:t>
      </w:r>
      <w:proofErr w:type="gramStart"/>
      <w:r w:rsidRPr="00DC3EAD">
        <w:rPr>
          <w:rFonts w:ascii="標楷體" w:eastAsia="標楷體" w:hAnsi="標楷體" w:cs="Times New Roman" w:hint="eastAsia"/>
          <w:color w:val="000000" w:themeColor="text1"/>
          <w:szCs w:val="24"/>
        </w:rPr>
        <w:t>併</w:t>
      </w:r>
      <w:proofErr w:type="gramEnd"/>
      <w:r w:rsidRPr="00DC3EAD">
        <w:rPr>
          <w:rFonts w:ascii="標楷體" w:eastAsia="標楷體" w:hAnsi="標楷體" w:cs="Times New Roman" w:hint="eastAsia"/>
          <w:color w:val="000000" w:themeColor="text1"/>
          <w:szCs w:val="24"/>
        </w:rPr>
        <w:t>同調整之相關約定。</w:t>
      </w:r>
      <w:proofErr w:type="gramStart"/>
      <w:r w:rsidRPr="00DC3EAD">
        <w:rPr>
          <w:rFonts w:ascii="標楷體" w:eastAsia="標楷體" w:hAnsi="標楷體" w:cs="Times New Roman" w:hint="eastAsia"/>
          <w:color w:val="000000" w:themeColor="text1"/>
          <w:szCs w:val="24"/>
        </w:rPr>
        <w:t>又翡翠</w:t>
      </w:r>
      <w:proofErr w:type="gramEnd"/>
      <w:r w:rsidRPr="00DC3EAD">
        <w:rPr>
          <w:rFonts w:ascii="標楷體" w:eastAsia="標楷體" w:hAnsi="標楷體" w:cs="Times New Roman" w:hint="eastAsia"/>
          <w:color w:val="000000" w:themeColor="text1"/>
          <w:szCs w:val="24"/>
        </w:rPr>
        <w:t>發電廠以水力發電，屬再生能源之一種，惟因其裝置容量達7萬</w:t>
      </w:r>
      <w:proofErr w:type="gramStart"/>
      <w:r w:rsidRPr="00DC3EAD">
        <w:rPr>
          <w:rFonts w:ascii="標楷體" w:eastAsia="標楷體" w:hAnsi="標楷體" w:cs="Times New Roman" w:hint="eastAsia"/>
          <w:color w:val="000000" w:themeColor="text1"/>
          <w:szCs w:val="24"/>
        </w:rPr>
        <w:t>瓩</w:t>
      </w:r>
      <w:proofErr w:type="gramEnd"/>
      <w:r w:rsidRPr="00DC3EAD">
        <w:rPr>
          <w:rFonts w:ascii="標楷體" w:eastAsia="標楷體" w:hAnsi="標楷體" w:cs="Times New Roman" w:hint="eastAsia"/>
          <w:color w:val="000000" w:themeColor="text1"/>
          <w:szCs w:val="24"/>
        </w:rPr>
        <w:t>，不符合再生能源發展條例第3條規定裝置容量未達2萬</w:t>
      </w:r>
      <w:proofErr w:type="gramStart"/>
      <w:r w:rsidRPr="00DC3EAD">
        <w:rPr>
          <w:rFonts w:ascii="標楷體" w:eastAsia="標楷體" w:hAnsi="標楷體" w:cs="Times New Roman" w:hint="eastAsia"/>
          <w:color w:val="000000" w:themeColor="text1"/>
          <w:szCs w:val="24"/>
        </w:rPr>
        <w:t>瓩</w:t>
      </w:r>
      <w:proofErr w:type="gramEnd"/>
      <w:r w:rsidRPr="00DC3EAD">
        <w:rPr>
          <w:rFonts w:ascii="標楷體" w:eastAsia="標楷體" w:hAnsi="標楷體" w:cs="Times New Roman" w:hint="eastAsia"/>
          <w:color w:val="000000" w:themeColor="text1"/>
          <w:szCs w:val="24"/>
        </w:rPr>
        <w:t>之小水力發電，致其售電時未能由台電公司以經濟部審定之小</w:t>
      </w:r>
      <w:proofErr w:type="gramStart"/>
      <w:r w:rsidRPr="00DC3EAD">
        <w:rPr>
          <w:rFonts w:ascii="標楷體" w:eastAsia="標楷體" w:hAnsi="標楷體" w:cs="Times New Roman" w:hint="eastAsia"/>
          <w:color w:val="000000" w:themeColor="text1"/>
          <w:szCs w:val="24"/>
        </w:rPr>
        <w:t>水力發電躉購費率</w:t>
      </w:r>
      <w:proofErr w:type="gramEnd"/>
      <w:r w:rsidRPr="00DC3EAD">
        <w:rPr>
          <w:rFonts w:ascii="標楷體" w:eastAsia="標楷體" w:hAnsi="標楷體" w:cs="Times New Roman" w:hint="eastAsia"/>
          <w:color w:val="000000" w:themeColor="text1"/>
          <w:szCs w:val="24"/>
        </w:rPr>
        <w:t>（112年每度為2.86元）進行收購；經以</w:t>
      </w:r>
      <w:proofErr w:type="gramStart"/>
      <w:r w:rsidRPr="00DC3EAD">
        <w:rPr>
          <w:rFonts w:ascii="標楷體" w:eastAsia="標楷體" w:hAnsi="標楷體" w:cs="Times New Roman" w:hint="eastAsia"/>
          <w:color w:val="000000" w:themeColor="text1"/>
          <w:szCs w:val="24"/>
        </w:rPr>
        <w:t>翡</w:t>
      </w:r>
      <w:proofErr w:type="gramEnd"/>
      <w:r w:rsidRPr="00DC3EAD">
        <w:rPr>
          <w:rFonts w:ascii="標楷體" w:eastAsia="標楷體" w:hAnsi="標楷體" w:cs="Times New Roman" w:hint="eastAsia"/>
          <w:color w:val="000000" w:themeColor="text1"/>
          <w:szCs w:val="24"/>
        </w:rPr>
        <w:t>管局111至112年度（截至6月底止）售電予台電公司之平均價格每度1.62元，與前</w:t>
      </w:r>
      <w:proofErr w:type="gramStart"/>
      <w:r w:rsidRPr="00DC3EAD">
        <w:rPr>
          <w:rFonts w:ascii="標楷體" w:eastAsia="標楷體" w:hAnsi="標楷體" w:cs="Times New Roman" w:hint="eastAsia"/>
          <w:color w:val="000000" w:themeColor="text1"/>
          <w:szCs w:val="24"/>
        </w:rPr>
        <w:t>揭小水力發電躉購</w:t>
      </w:r>
      <w:proofErr w:type="gramEnd"/>
      <w:r w:rsidRPr="00DC3EAD">
        <w:rPr>
          <w:rFonts w:ascii="標楷體" w:eastAsia="標楷體" w:hAnsi="標楷體" w:cs="Times New Roman" w:hint="eastAsia"/>
          <w:color w:val="000000" w:themeColor="text1"/>
          <w:szCs w:val="24"/>
        </w:rPr>
        <w:t>費率每度2.86元相較，</w:t>
      </w:r>
      <w:proofErr w:type="gramStart"/>
      <w:r w:rsidRPr="00DC3EAD">
        <w:rPr>
          <w:rFonts w:ascii="標楷體" w:eastAsia="標楷體" w:hAnsi="標楷體" w:cs="Times New Roman" w:hint="eastAsia"/>
          <w:color w:val="000000" w:themeColor="text1"/>
          <w:szCs w:val="24"/>
        </w:rPr>
        <w:t>其差值達</w:t>
      </w:r>
      <w:proofErr w:type="gramEnd"/>
      <w:r w:rsidRPr="00DC3EAD">
        <w:rPr>
          <w:rFonts w:ascii="標楷體" w:eastAsia="標楷體" w:hAnsi="標楷體" w:cs="Times New Roman" w:hint="eastAsia"/>
          <w:color w:val="000000" w:themeColor="text1"/>
          <w:szCs w:val="24"/>
        </w:rPr>
        <w:t>每度1.24元，若按</w:t>
      </w:r>
      <w:proofErr w:type="gramStart"/>
      <w:r w:rsidRPr="00DC3EAD">
        <w:rPr>
          <w:rFonts w:ascii="標楷體" w:eastAsia="標楷體" w:hAnsi="標楷體" w:cs="Times New Roman" w:hint="eastAsia"/>
          <w:color w:val="000000" w:themeColor="text1"/>
          <w:szCs w:val="24"/>
        </w:rPr>
        <w:t>111</w:t>
      </w:r>
      <w:proofErr w:type="gramEnd"/>
      <w:r w:rsidRPr="00DC3EAD">
        <w:rPr>
          <w:rFonts w:ascii="標楷體" w:eastAsia="標楷體" w:hAnsi="標楷體" w:cs="Times New Roman" w:hint="eastAsia"/>
          <w:color w:val="000000" w:themeColor="text1"/>
          <w:szCs w:val="24"/>
        </w:rPr>
        <w:t>年度翡翠發電廠實際售電度數2億2,347萬餘度估算，</w:t>
      </w:r>
      <w:proofErr w:type="gramStart"/>
      <w:r w:rsidRPr="00DC3EAD">
        <w:rPr>
          <w:rFonts w:ascii="標楷體" w:eastAsia="標楷體" w:hAnsi="標楷體" w:cs="Times New Roman" w:hint="eastAsia"/>
          <w:color w:val="000000" w:themeColor="text1"/>
          <w:szCs w:val="24"/>
        </w:rPr>
        <w:t>翡</w:t>
      </w:r>
      <w:proofErr w:type="gramEnd"/>
      <w:r w:rsidRPr="00DC3EAD">
        <w:rPr>
          <w:rFonts w:ascii="標楷體" w:eastAsia="標楷體" w:hAnsi="標楷體" w:cs="Times New Roman" w:hint="eastAsia"/>
          <w:color w:val="000000" w:themeColor="text1"/>
          <w:szCs w:val="24"/>
        </w:rPr>
        <w:t>管局1年可增加售電收入達2億7,711萬餘元。再查，</w:t>
      </w:r>
      <w:proofErr w:type="gramStart"/>
      <w:r w:rsidRPr="00DC3EAD">
        <w:rPr>
          <w:rFonts w:ascii="標楷體" w:eastAsia="標楷體" w:hAnsi="標楷體" w:cs="Times New Roman" w:hint="eastAsia"/>
          <w:color w:val="000000" w:themeColor="text1"/>
          <w:szCs w:val="24"/>
        </w:rPr>
        <w:t>翡</w:t>
      </w:r>
      <w:proofErr w:type="gramEnd"/>
      <w:r w:rsidRPr="00DC3EAD">
        <w:rPr>
          <w:rFonts w:ascii="標楷體" w:eastAsia="標楷體" w:hAnsi="標楷體" w:cs="Times New Roman" w:hint="eastAsia"/>
          <w:color w:val="000000" w:themeColor="text1"/>
          <w:szCs w:val="24"/>
        </w:rPr>
        <w:t>管局</w:t>
      </w:r>
      <w:proofErr w:type="gramStart"/>
      <w:r w:rsidRPr="00DC3EAD">
        <w:rPr>
          <w:rFonts w:ascii="標楷體" w:eastAsia="標楷體" w:hAnsi="標楷體" w:cs="Times New Roman" w:hint="eastAsia"/>
          <w:color w:val="000000" w:themeColor="text1"/>
          <w:szCs w:val="24"/>
        </w:rPr>
        <w:t>109</w:t>
      </w:r>
      <w:proofErr w:type="gramEnd"/>
      <w:r w:rsidRPr="00DC3EAD">
        <w:rPr>
          <w:rFonts w:ascii="標楷體" w:eastAsia="標楷體" w:hAnsi="標楷體" w:cs="Times New Roman" w:hint="eastAsia"/>
          <w:color w:val="000000" w:themeColor="text1"/>
          <w:szCs w:val="24"/>
        </w:rPr>
        <w:t>年度至</w:t>
      </w:r>
      <w:proofErr w:type="gramStart"/>
      <w:r w:rsidRPr="00DC3EAD">
        <w:rPr>
          <w:rFonts w:ascii="標楷體" w:eastAsia="標楷體" w:hAnsi="標楷體" w:cs="Times New Roman" w:hint="eastAsia"/>
          <w:color w:val="000000" w:themeColor="text1"/>
          <w:szCs w:val="24"/>
        </w:rPr>
        <w:t>112</w:t>
      </w:r>
      <w:proofErr w:type="gramEnd"/>
      <w:r w:rsidRPr="00DC3EAD">
        <w:rPr>
          <w:rFonts w:ascii="標楷體" w:eastAsia="標楷體" w:hAnsi="標楷體" w:cs="Times New Roman" w:hint="eastAsia"/>
          <w:color w:val="000000" w:themeColor="text1"/>
          <w:szCs w:val="24"/>
        </w:rPr>
        <w:t>年度（截至6月底止）實際售電予台電公司之價格，每年每度為1.53元～1.86元不等，亦低於台電公司各該年度之最低購電成本（慣常水力，1.57～1.95元），</w:t>
      </w:r>
      <w:proofErr w:type="gramStart"/>
      <w:r w:rsidRPr="00DC3EAD">
        <w:rPr>
          <w:rFonts w:ascii="標楷體" w:eastAsia="標楷體" w:hAnsi="標楷體" w:cs="Times New Roman" w:hint="eastAsia"/>
          <w:color w:val="000000" w:themeColor="text1"/>
          <w:szCs w:val="24"/>
        </w:rPr>
        <w:t>其差值每</w:t>
      </w:r>
      <w:proofErr w:type="gramEnd"/>
      <w:r w:rsidRPr="00DC3EAD">
        <w:rPr>
          <w:rFonts w:ascii="標楷體" w:eastAsia="標楷體" w:hAnsi="標楷體" w:cs="Times New Roman" w:hint="eastAsia"/>
          <w:color w:val="000000" w:themeColor="text1"/>
          <w:szCs w:val="24"/>
        </w:rPr>
        <w:t>度為0.04～0.15元，若按該等最低購電成本計算，</w:t>
      </w:r>
      <w:proofErr w:type="gramStart"/>
      <w:r w:rsidRPr="00DC3EAD">
        <w:rPr>
          <w:rFonts w:ascii="標楷體" w:eastAsia="標楷體" w:hAnsi="標楷體" w:cs="Times New Roman" w:hint="eastAsia"/>
          <w:color w:val="000000" w:themeColor="text1"/>
          <w:szCs w:val="24"/>
        </w:rPr>
        <w:t>翡</w:t>
      </w:r>
      <w:proofErr w:type="gramEnd"/>
      <w:r w:rsidRPr="00DC3EAD">
        <w:rPr>
          <w:rFonts w:ascii="標楷體" w:eastAsia="標楷體" w:hAnsi="標楷體" w:cs="Times New Roman" w:hint="eastAsia"/>
          <w:color w:val="000000" w:themeColor="text1"/>
          <w:szCs w:val="24"/>
        </w:rPr>
        <w:t>管局</w:t>
      </w:r>
      <w:proofErr w:type="gramStart"/>
      <w:r w:rsidRPr="00DC3EAD">
        <w:rPr>
          <w:rFonts w:ascii="標楷體" w:eastAsia="標楷體" w:hAnsi="標楷體" w:cs="Times New Roman" w:hint="eastAsia"/>
          <w:color w:val="000000" w:themeColor="text1"/>
          <w:szCs w:val="24"/>
        </w:rPr>
        <w:t>109</w:t>
      </w:r>
      <w:proofErr w:type="gramEnd"/>
      <w:r w:rsidRPr="00DC3EAD">
        <w:rPr>
          <w:rFonts w:ascii="標楷體" w:eastAsia="標楷體" w:hAnsi="標楷體" w:cs="Times New Roman" w:hint="eastAsia"/>
          <w:color w:val="000000" w:themeColor="text1"/>
          <w:szCs w:val="24"/>
        </w:rPr>
        <w:t>年度至</w:t>
      </w:r>
      <w:proofErr w:type="gramStart"/>
      <w:r w:rsidRPr="00DC3EAD">
        <w:rPr>
          <w:rFonts w:ascii="標楷體" w:eastAsia="標楷體" w:hAnsi="標楷體" w:cs="Times New Roman" w:hint="eastAsia"/>
          <w:color w:val="000000" w:themeColor="text1"/>
          <w:szCs w:val="24"/>
        </w:rPr>
        <w:t>112</w:t>
      </w:r>
      <w:proofErr w:type="gramEnd"/>
      <w:r w:rsidRPr="00DC3EAD">
        <w:rPr>
          <w:rFonts w:ascii="標楷體" w:eastAsia="標楷體" w:hAnsi="標楷體" w:cs="Times New Roman" w:hint="eastAsia"/>
          <w:color w:val="000000" w:themeColor="text1"/>
          <w:szCs w:val="24"/>
        </w:rPr>
        <w:t>年度（截至6月底止）可增加</w:t>
      </w:r>
      <w:r w:rsidR="00DC3EAD" w:rsidRPr="00DC3EAD">
        <w:rPr>
          <w:rFonts w:ascii="標楷體" w:eastAsia="標楷體" w:hAnsi="標楷體" w:cs="Times New Roman" w:hint="eastAsia"/>
          <w:color w:val="000000" w:themeColor="text1"/>
          <w:szCs w:val="24"/>
        </w:rPr>
        <w:t>售電收入達6,198萬餘元，顯示現行「翡翠發電廠購售電契約」規定之躉</w:t>
      </w:r>
      <w:proofErr w:type="gramStart"/>
      <w:r w:rsidR="00DC3EAD" w:rsidRPr="00DC3EAD">
        <w:rPr>
          <w:rFonts w:ascii="標楷體" w:eastAsia="標楷體" w:hAnsi="標楷體" w:cs="Times New Roman" w:hint="eastAsia"/>
          <w:color w:val="000000" w:themeColor="text1"/>
          <w:szCs w:val="24"/>
        </w:rPr>
        <w:t>售價格偏低</w:t>
      </w:r>
      <w:proofErr w:type="gramEnd"/>
      <w:r w:rsidR="00DC3EAD" w:rsidRPr="00DC3EAD">
        <w:rPr>
          <w:rFonts w:ascii="標楷體" w:eastAsia="標楷體" w:hAnsi="標楷體" w:cs="Times New Roman" w:hint="eastAsia"/>
          <w:color w:val="000000" w:themeColor="text1"/>
          <w:szCs w:val="24"/>
        </w:rPr>
        <w:t>，有待</w:t>
      </w:r>
      <w:proofErr w:type="gramStart"/>
      <w:r w:rsidR="00DC3EAD" w:rsidRPr="00DC3EAD">
        <w:rPr>
          <w:rFonts w:ascii="標楷體" w:eastAsia="標楷體" w:hAnsi="標楷體" w:cs="Times New Roman" w:hint="eastAsia"/>
          <w:color w:val="000000" w:themeColor="text1"/>
          <w:szCs w:val="24"/>
        </w:rPr>
        <w:t>研</w:t>
      </w:r>
      <w:proofErr w:type="gramEnd"/>
      <w:r w:rsidR="00DC3EAD" w:rsidRPr="00DC3EAD">
        <w:rPr>
          <w:rFonts w:ascii="標楷體" w:eastAsia="標楷體" w:hAnsi="標楷體" w:cs="Times New Roman" w:hint="eastAsia"/>
          <w:color w:val="000000" w:themeColor="text1"/>
          <w:szCs w:val="24"/>
        </w:rPr>
        <w:t>謀改善，以充裕市庫收入</w:t>
      </w:r>
      <w:r w:rsidR="00DC3EAD">
        <w:rPr>
          <w:rFonts w:ascii="標楷體" w:eastAsia="標楷體" w:hAnsi="標楷體" w:cs="Times New Roman" w:hint="eastAsia"/>
          <w:color w:val="000000" w:themeColor="text1"/>
          <w:szCs w:val="24"/>
        </w:rPr>
        <w:t>。</w:t>
      </w:r>
    </w:p>
    <w:p w14:paraId="6974AD19" w14:textId="77777777" w:rsidR="008466B3" w:rsidRPr="00DC3EAD" w:rsidRDefault="008466B3" w:rsidP="008466B3">
      <w:pPr>
        <w:widowControl/>
        <w:overflowPunct w:val="0"/>
        <w:spacing w:beforeLines="20" w:before="72" w:afterLines="20" w:after="72" w:line="460" w:lineRule="exact"/>
        <w:ind w:firstLineChars="100" w:firstLine="280"/>
        <w:jc w:val="both"/>
        <w:rPr>
          <w:rFonts w:ascii="標楷體" w:eastAsia="標楷體" w:hAnsi="標楷體" w:cs="Arial"/>
          <w:b/>
          <w:color w:val="000000" w:themeColor="text1"/>
          <w:kern w:val="0"/>
          <w:sz w:val="28"/>
          <w:szCs w:val="28"/>
        </w:rPr>
      </w:pPr>
      <w:r w:rsidRPr="00DC3EAD">
        <w:rPr>
          <w:rFonts w:ascii="標楷體" w:eastAsia="標楷體" w:hAnsi="標楷體" w:cs="Arial" w:hint="eastAsia"/>
          <w:b/>
          <w:color w:val="000000" w:themeColor="text1"/>
          <w:kern w:val="0"/>
          <w:sz w:val="28"/>
          <w:szCs w:val="28"/>
        </w:rPr>
        <w:lastRenderedPageBreak/>
        <w:t>（六）</w:t>
      </w:r>
      <w:r w:rsidRPr="00DC3EAD">
        <w:rPr>
          <w:rFonts w:ascii="標楷體" w:eastAsia="標楷體" w:hAnsi="標楷體" w:cs="Arial" w:hint="eastAsia"/>
          <w:b/>
          <w:bCs/>
          <w:color w:val="000000" w:themeColor="text1"/>
          <w:kern w:val="0"/>
          <w:sz w:val="28"/>
          <w:szCs w:val="28"/>
        </w:rPr>
        <w:t>積極布建多元社福設施，惟部分建物已取得使用執照</w:t>
      </w:r>
      <w:proofErr w:type="gramStart"/>
      <w:r w:rsidRPr="00DC3EAD">
        <w:rPr>
          <w:rFonts w:ascii="標楷體" w:eastAsia="標楷體" w:hAnsi="標楷體" w:cs="Arial" w:hint="eastAsia"/>
          <w:b/>
          <w:bCs/>
          <w:color w:val="000000" w:themeColor="text1"/>
          <w:kern w:val="0"/>
          <w:sz w:val="28"/>
          <w:szCs w:val="28"/>
        </w:rPr>
        <w:t>多時，</w:t>
      </w:r>
      <w:proofErr w:type="gramEnd"/>
      <w:r w:rsidRPr="00DC3EAD">
        <w:rPr>
          <w:rFonts w:ascii="標楷體" w:eastAsia="標楷體" w:hAnsi="標楷體" w:cs="Arial" w:hint="eastAsia"/>
          <w:b/>
          <w:bCs/>
          <w:color w:val="000000" w:themeColor="text1"/>
          <w:kern w:val="0"/>
          <w:sz w:val="28"/>
          <w:szCs w:val="28"/>
        </w:rPr>
        <w:t>仍未能開辦業務；且部分建物預定於112或113年底前竣工並委外經營，尚未完成委託經營案招標作業，有待積極</w:t>
      </w:r>
      <w:proofErr w:type="gramStart"/>
      <w:r w:rsidRPr="00DC3EAD">
        <w:rPr>
          <w:rFonts w:ascii="標楷體" w:eastAsia="標楷體" w:hAnsi="標楷體" w:cs="Arial" w:hint="eastAsia"/>
          <w:b/>
          <w:bCs/>
          <w:color w:val="000000" w:themeColor="text1"/>
          <w:kern w:val="0"/>
          <w:sz w:val="28"/>
          <w:szCs w:val="28"/>
        </w:rPr>
        <w:t>研</w:t>
      </w:r>
      <w:proofErr w:type="gramEnd"/>
      <w:r w:rsidRPr="00DC3EAD">
        <w:rPr>
          <w:rFonts w:ascii="標楷體" w:eastAsia="標楷體" w:hAnsi="標楷體" w:cs="Arial" w:hint="eastAsia"/>
          <w:b/>
          <w:bCs/>
          <w:color w:val="000000" w:themeColor="text1"/>
          <w:kern w:val="0"/>
          <w:sz w:val="28"/>
          <w:szCs w:val="28"/>
        </w:rPr>
        <w:t>謀改善。</w:t>
      </w:r>
    </w:p>
    <w:p w14:paraId="3C2174B2" w14:textId="77777777" w:rsidR="008466B3" w:rsidRPr="00DC3EAD" w:rsidRDefault="008466B3" w:rsidP="00DC3EAD">
      <w:pPr>
        <w:widowControl/>
        <w:overflowPunct w:val="0"/>
        <w:spacing w:line="440" w:lineRule="exact"/>
        <w:ind w:firstLineChars="200" w:firstLine="480"/>
        <w:jc w:val="both"/>
        <w:rPr>
          <w:rFonts w:ascii="標楷體" w:eastAsia="標楷體" w:hAnsi="標楷體" w:cs="Arial"/>
          <w:b/>
          <w:color w:val="000000" w:themeColor="text1"/>
          <w:kern w:val="0"/>
          <w:sz w:val="28"/>
          <w:szCs w:val="28"/>
        </w:rPr>
      </w:pPr>
      <w:r w:rsidRPr="00DC3EAD">
        <w:rPr>
          <w:rFonts w:ascii="標楷體" w:eastAsia="標楷體" w:hAnsi="標楷體" w:cs="Times New Roman" w:hint="eastAsia"/>
          <w:bCs/>
          <w:color w:val="000000" w:themeColor="text1"/>
          <w:szCs w:val="24"/>
        </w:rPr>
        <w:t>近年社會局為完善臺北市福利據點之建置，於108至112年度累計編列</w:t>
      </w:r>
      <w:r w:rsidRPr="00DC3EAD">
        <w:rPr>
          <w:rFonts w:ascii="標楷體" w:eastAsia="標楷體" w:hAnsi="標楷體" w:cs="Times New Roman" w:hint="eastAsia"/>
          <w:color w:val="000000" w:themeColor="text1"/>
          <w:szCs w:val="24"/>
        </w:rPr>
        <w:t>預算64</w:t>
      </w:r>
      <w:r w:rsidRPr="00DC3EAD">
        <w:rPr>
          <w:rFonts w:ascii="標楷體" w:eastAsia="標楷體" w:hAnsi="標楷體" w:cs="Times New Roman" w:hint="eastAsia"/>
          <w:bCs/>
          <w:color w:val="000000" w:themeColor="text1"/>
          <w:szCs w:val="24"/>
        </w:rPr>
        <w:t>億9,744萬餘元，</w:t>
      </w:r>
      <w:proofErr w:type="gramStart"/>
      <w:r w:rsidRPr="00DC3EAD">
        <w:rPr>
          <w:rFonts w:ascii="標楷體" w:eastAsia="標楷體" w:hAnsi="標楷體" w:cs="Times New Roman" w:hint="eastAsia"/>
          <w:bCs/>
          <w:color w:val="000000" w:themeColor="text1"/>
          <w:szCs w:val="24"/>
        </w:rPr>
        <w:t>以參建</w:t>
      </w:r>
      <w:proofErr w:type="gramEnd"/>
      <w:r w:rsidRPr="00DC3EAD">
        <w:rPr>
          <w:rFonts w:ascii="標楷體" w:eastAsia="標楷體" w:hAnsi="標楷體" w:cs="Times New Roman" w:hint="eastAsia"/>
          <w:bCs/>
          <w:color w:val="000000" w:themeColor="text1"/>
          <w:szCs w:val="24"/>
        </w:rPr>
        <w:t>、自建或價購等模式，設置多元社會福利設施（下稱社福設施），以滿足區域需求。經查執行情形，核有：1.該局於104至112年度規劃</w:t>
      </w:r>
      <w:proofErr w:type="gramStart"/>
      <w:r w:rsidRPr="00DC3EAD">
        <w:rPr>
          <w:rFonts w:ascii="標楷體" w:eastAsia="標楷體" w:hAnsi="標楷體" w:cs="Times New Roman" w:hint="eastAsia"/>
          <w:bCs/>
          <w:color w:val="000000" w:themeColor="text1"/>
          <w:szCs w:val="24"/>
        </w:rPr>
        <w:t>採</w:t>
      </w:r>
      <w:proofErr w:type="gramEnd"/>
      <w:r w:rsidRPr="00DC3EAD">
        <w:rPr>
          <w:rFonts w:ascii="標楷體" w:eastAsia="標楷體" w:hAnsi="標楷體" w:cs="Times New Roman" w:hint="eastAsia"/>
          <w:bCs/>
          <w:color w:val="000000" w:themeColor="text1"/>
          <w:szCs w:val="24"/>
        </w:rPr>
        <w:t>前開方式設置社福設施者，計有43處基地，截至112年9月底止，建物已完工並取得使用執照者計23處，預計將設置96項社福設施，</w:t>
      </w:r>
      <w:proofErr w:type="gramStart"/>
      <w:r w:rsidRPr="00DC3EAD">
        <w:rPr>
          <w:rFonts w:ascii="標楷體" w:eastAsia="標楷體" w:hAnsi="標楷體" w:cs="Times New Roman" w:hint="eastAsia"/>
          <w:bCs/>
          <w:color w:val="000000" w:themeColor="text1"/>
          <w:szCs w:val="24"/>
        </w:rPr>
        <w:t>惟查其中</w:t>
      </w:r>
      <w:proofErr w:type="gramEnd"/>
      <w:r w:rsidRPr="00DC3EAD">
        <w:rPr>
          <w:rFonts w:ascii="標楷體" w:eastAsia="標楷體" w:hAnsi="標楷體" w:cs="Times New Roman" w:hint="eastAsia"/>
          <w:bCs/>
          <w:color w:val="000000" w:themeColor="text1"/>
          <w:szCs w:val="24"/>
        </w:rPr>
        <w:t>有4處基地、18項社福設施，業已取得建物使用執照，並與工程興建單位完成房地設施點移交2至8個月不等，仍未開辦相關業務；2.依該局「臺北市市有社會福利設施委託經營及勞務委託管理作業流程說明」規定，新案及重新招標之社福設施委託經營案件，應視個案性質至少提前18個月辦理委託計畫或要點函送臺北市議會審議。</w:t>
      </w:r>
      <w:proofErr w:type="gramStart"/>
      <w:r w:rsidRPr="00DC3EAD">
        <w:rPr>
          <w:rFonts w:ascii="標楷體" w:eastAsia="標楷體" w:hAnsi="標楷體" w:cs="Times New Roman" w:hint="eastAsia"/>
          <w:bCs/>
          <w:color w:val="000000" w:themeColor="text1"/>
          <w:szCs w:val="24"/>
        </w:rPr>
        <w:t>惟查該</w:t>
      </w:r>
      <w:proofErr w:type="gramEnd"/>
      <w:r w:rsidRPr="00DC3EAD">
        <w:rPr>
          <w:rFonts w:ascii="標楷體" w:eastAsia="標楷體" w:hAnsi="標楷體" w:cs="Times New Roman" w:hint="eastAsia"/>
          <w:bCs/>
          <w:color w:val="000000" w:themeColor="text1"/>
          <w:szCs w:val="24"/>
        </w:rPr>
        <w:t>局</w:t>
      </w:r>
      <w:proofErr w:type="gramStart"/>
      <w:r w:rsidRPr="00DC3EAD">
        <w:rPr>
          <w:rFonts w:ascii="標楷體" w:eastAsia="標楷體" w:hAnsi="標楷體" w:cs="Times New Roman" w:hint="eastAsia"/>
          <w:bCs/>
          <w:color w:val="000000" w:themeColor="text1"/>
          <w:szCs w:val="24"/>
        </w:rPr>
        <w:t>112</w:t>
      </w:r>
      <w:proofErr w:type="gramEnd"/>
      <w:r w:rsidRPr="00DC3EAD">
        <w:rPr>
          <w:rFonts w:ascii="標楷體" w:eastAsia="標楷體" w:hAnsi="標楷體" w:cs="Times New Roman" w:hint="eastAsia"/>
          <w:bCs/>
          <w:color w:val="000000" w:themeColor="text1"/>
          <w:szCs w:val="24"/>
        </w:rPr>
        <w:t>年度自建</w:t>
      </w:r>
      <w:proofErr w:type="gramStart"/>
      <w:r w:rsidRPr="00DC3EAD">
        <w:rPr>
          <w:rFonts w:ascii="標楷體" w:eastAsia="標楷體" w:hAnsi="標楷體" w:cs="Times New Roman" w:hint="eastAsia"/>
          <w:bCs/>
          <w:color w:val="000000" w:themeColor="text1"/>
          <w:szCs w:val="24"/>
        </w:rPr>
        <w:t>或參建之</w:t>
      </w:r>
      <w:proofErr w:type="gramEnd"/>
      <w:r w:rsidRPr="00DC3EAD">
        <w:rPr>
          <w:rFonts w:ascii="標楷體" w:eastAsia="標楷體" w:hAnsi="標楷體" w:cs="Times New Roman" w:hint="eastAsia"/>
          <w:bCs/>
          <w:color w:val="000000" w:themeColor="text1"/>
          <w:szCs w:val="24"/>
        </w:rPr>
        <w:t>21處基地，原預定於112或</w:t>
      </w:r>
      <w:proofErr w:type="gramStart"/>
      <w:r w:rsidRPr="00DC3EAD">
        <w:rPr>
          <w:rFonts w:ascii="標楷體" w:eastAsia="標楷體" w:hAnsi="標楷體" w:cs="Times New Roman" w:hint="eastAsia"/>
          <w:bCs/>
          <w:color w:val="000000" w:themeColor="text1"/>
          <w:szCs w:val="24"/>
        </w:rPr>
        <w:t>113</w:t>
      </w:r>
      <w:proofErr w:type="gramEnd"/>
      <w:r w:rsidRPr="00DC3EAD">
        <w:rPr>
          <w:rFonts w:ascii="標楷體" w:eastAsia="標楷體" w:hAnsi="標楷體" w:cs="Times New Roman" w:hint="eastAsia"/>
          <w:bCs/>
          <w:color w:val="000000" w:themeColor="text1"/>
          <w:szCs w:val="24"/>
        </w:rPr>
        <w:t>年度竣工並規劃委外經營者，計有6處基地、11項社福設施，截至112年9月底止，仍未完成委託經營案招標作業，亟待積極規劃辦理，</w:t>
      </w:r>
      <w:proofErr w:type="gramStart"/>
      <w:r w:rsidRPr="00DC3EAD">
        <w:rPr>
          <w:rFonts w:ascii="標楷體" w:eastAsia="標楷體" w:hAnsi="標楷體" w:cs="Times New Roman" w:hint="eastAsia"/>
          <w:bCs/>
          <w:color w:val="000000" w:themeColor="text1"/>
          <w:szCs w:val="24"/>
        </w:rPr>
        <w:t>俾</w:t>
      </w:r>
      <w:proofErr w:type="gramEnd"/>
      <w:r w:rsidRPr="00DC3EAD">
        <w:rPr>
          <w:rFonts w:ascii="標楷體" w:eastAsia="標楷體" w:hAnsi="標楷體" w:cs="Times New Roman" w:hint="eastAsia"/>
          <w:bCs/>
          <w:color w:val="000000" w:themeColor="text1"/>
          <w:szCs w:val="24"/>
        </w:rPr>
        <w:t>建物完工</w:t>
      </w:r>
      <w:proofErr w:type="gramStart"/>
      <w:r w:rsidRPr="00DC3EAD">
        <w:rPr>
          <w:rFonts w:ascii="標楷體" w:eastAsia="標楷體" w:hAnsi="標楷體" w:cs="Times New Roman" w:hint="eastAsia"/>
          <w:bCs/>
          <w:color w:val="000000" w:themeColor="text1"/>
          <w:szCs w:val="24"/>
        </w:rPr>
        <w:t>點交後</w:t>
      </w:r>
      <w:proofErr w:type="gramEnd"/>
      <w:r w:rsidRPr="00DC3EAD">
        <w:rPr>
          <w:rFonts w:ascii="標楷體" w:eastAsia="標楷體" w:hAnsi="標楷體" w:cs="Times New Roman" w:hint="eastAsia"/>
          <w:bCs/>
          <w:color w:val="000000" w:themeColor="text1"/>
          <w:szCs w:val="24"/>
        </w:rPr>
        <w:t>，得儘速交付受託經營機構進行後續裝修作業，以滿足該區域社會福利需求等情事，有待積極</w:t>
      </w:r>
      <w:proofErr w:type="gramStart"/>
      <w:r w:rsidRPr="00DC3EAD">
        <w:rPr>
          <w:rFonts w:ascii="標楷體" w:eastAsia="標楷體" w:hAnsi="標楷體" w:cs="Times New Roman" w:hint="eastAsia"/>
          <w:bCs/>
          <w:color w:val="000000" w:themeColor="text1"/>
          <w:szCs w:val="24"/>
        </w:rPr>
        <w:t>研</w:t>
      </w:r>
      <w:proofErr w:type="gramEnd"/>
      <w:r w:rsidRPr="00DC3EAD">
        <w:rPr>
          <w:rFonts w:ascii="標楷體" w:eastAsia="標楷體" w:hAnsi="標楷體" w:cs="Times New Roman" w:hint="eastAsia"/>
          <w:bCs/>
          <w:color w:val="000000" w:themeColor="text1"/>
          <w:szCs w:val="24"/>
        </w:rPr>
        <w:t>謀改善。</w:t>
      </w:r>
    </w:p>
    <w:p w14:paraId="6A86979E" w14:textId="77777777" w:rsidR="008466B3" w:rsidRPr="00DC3EAD" w:rsidRDefault="008466B3" w:rsidP="008466B3">
      <w:pPr>
        <w:widowControl/>
        <w:overflowPunct w:val="0"/>
        <w:spacing w:beforeLines="20" w:before="72" w:afterLines="20" w:after="72" w:line="460" w:lineRule="exact"/>
        <w:ind w:firstLineChars="100" w:firstLine="280"/>
        <w:jc w:val="both"/>
        <w:rPr>
          <w:rFonts w:ascii="標楷體" w:eastAsia="標楷體" w:hAnsi="標楷體" w:cs="Arial"/>
          <w:b/>
          <w:color w:val="000000" w:themeColor="text1"/>
          <w:kern w:val="0"/>
          <w:sz w:val="28"/>
          <w:szCs w:val="28"/>
        </w:rPr>
      </w:pPr>
      <w:r w:rsidRPr="00DC3EAD">
        <w:rPr>
          <w:rFonts w:ascii="標楷體" w:eastAsia="標楷體" w:hAnsi="標楷體" w:cs="Arial" w:hint="eastAsia"/>
          <w:b/>
          <w:color w:val="000000" w:themeColor="text1"/>
          <w:kern w:val="0"/>
          <w:sz w:val="28"/>
          <w:szCs w:val="28"/>
        </w:rPr>
        <w:t>（七）賦稅業務實施稅單繳款書電子化政策及推動多元繳納稅款，惟電子化稅單占比偏低，且e化繳稅程度亦待提升，允宜</w:t>
      </w:r>
      <w:proofErr w:type="gramStart"/>
      <w:r w:rsidRPr="00DC3EAD">
        <w:rPr>
          <w:rFonts w:ascii="標楷體" w:eastAsia="標楷體" w:hAnsi="標楷體" w:cs="Arial" w:hint="eastAsia"/>
          <w:b/>
          <w:color w:val="000000" w:themeColor="text1"/>
          <w:kern w:val="0"/>
          <w:sz w:val="28"/>
          <w:szCs w:val="28"/>
        </w:rPr>
        <w:t>研謀精</w:t>
      </w:r>
      <w:proofErr w:type="gramEnd"/>
      <w:r w:rsidRPr="00DC3EAD">
        <w:rPr>
          <w:rFonts w:ascii="標楷體" w:eastAsia="標楷體" w:hAnsi="標楷體" w:cs="Arial" w:hint="eastAsia"/>
          <w:b/>
          <w:color w:val="000000" w:themeColor="text1"/>
          <w:kern w:val="0"/>
          <w:sz w:val="28"/>
          <w:szCs w:val="28"/>
        </w:rPr>
        <w:t>進。</w:t>
      </w:r>
    </w:p>
    <w:p w14:paraId="48738920" w14:textId="77777777" w:rsidR="008466B3" w:rsidRPr="00DC3EAD" w:rsidRDefault="008466B3" w:rsidP="00DC3EAD">
      <w:pPr>
        <w:widowControl/>
        <w:overflowPunct w:val="0"/>
        <w:spacing w:line="440" w:lineRule="exact"/>
        <w:ind w:firstLineChars="200" w:firstLine="480"/>
        <w:jc w:val="both"/>
        <w:rPr>
          <w:rFonts w:ascii="標楷體" w:eastAsia="標楷體" w:hAnsi="標楷體" w:cs="Arial"/>
          <w:b/>
          <w:color w:val="000000" w:themeColor="text1"/>
          <w:kern w:val="0"/>
          <w:sz w:val="28"/>
          <w:szCs w:val="28"/>
        </w:rPr>
      </w:pPr>
      <w:bookmarkStart w:id="1" w:name="_Hlk150325206"/>
      <w:r w:rsidRPr="00DC3EAD">
        <w:rPr>
          <w:rFonts w:ascii="標楷體" w:eastAsia="標楷體" w:hAnsi="標楷體" w:cs="Times New Roman" w:hint="eastAsia"/>
          <w:color w:val="000000" w:themeColor="text1"/>
          <w:szCs w:val="24"/>
        </w:rPr>
        <w:t>稅捐稽徵處為辦理財產稅及機會稅</w:t>
      </w:r>
      <w:proofErr w:type="gramStart"/>
      <w:r w:rsidRPr="00DC3EAD">
        <w:rPr>
          <w:rFonts w:ascii="標楷體" w:eastAsia="標楷體" w:hAnsi="標楷體" w:cs="Times New Roman" w:hint="eastAsia"/>
          <w:color w:val="000000" w:themeColor="text1"/>
          <w:szCs w:val="24"/>
        </w:rPr>
        <w:t>稽</w:t>
      </w:r>
      <w:proofErr w:type="gramEnd"/>
      <w:r w:rsidRPr="00DC3EAD">
        <w:rPr>
          <w:rFonts w:ascii="標楷體" w:eastAsia="標楷體" w:hAnsi="標楷體" w:cs="Times New Roman" w:hint="eastAsia"/>
          <w:color w:val="000000" w:themeColor="text1"/>
          <w:szCs w:val="24"/>
        </w:rPr>
        <w:t>徵作業，</w:t>
      </w:r>
      <w:proofErr w:type="gramStart"/>
      <w:r w:rsidRPr="00DC3EAD">
        <w:rPr>
          <w:rFonts w:ascii="標楷體" w:eastAsia="標楷體" w:hAnsi="標楷體" w:cs="Times New Roman"/>
          <w:color w:val="000000" w:themeColor="text1"/>
          <w:szCs w:val="24"/>
        </w:rPr>
        <w:t>112</w:t>
      </w:r>
      <w:proofErr w:type="gramEnd"/>
      <w:r w:rsidRPr="00DC3EAD">
        <w:rPr>
          <w:rFonts w:ascii="標楷體" w:eastAsia="標楷體" w:hAnsi="標楷體" w:cs="Times New Roman" w:hint="eastAsia"/>
          <w:color w:val="000000" w:themeColor="text1"/>
          <w:szCs w:val="24"/>
        </w:rPr>
        <w:t>年度編列「稅捐</w:t>
      </w:r>
      <w:proofErr w:type="gramStart"/>
      <w:r w:rsidRPr="00DC3EAD">
        <w:rPr>
          <w:rFonts w:ascii="標楷體" w:eastAsia="標楷體" w:hAnsi="標楷體" w:cs="Times New Roman" w:hint="eastAsia"/>
          <w:color w:val="000000" w:themeColor="text1"/>
          <w:szCs w:val="24"/>
        </w:rPr>
        <w:t>稽</w:t>
      </w:r>
      <w:proofErr w:type="gramEnd"/>
      <w:r w:rsidRPr="00DC3EAD">
        <w:rPr>
          <w:rFonts w:ascii="標楷體" w:eastAsia="標楷體" w:hAnsi="標楷體" w:cs="Times New Roman" w:hint="eastAsia"/>
          <w:color w:val="000000" w:themeColor="text1"/>
          <w:szCs w:val="24"/>
        </w:rPr>
        <w:t>徵業務－稅捐</w:t>
      </w:r>
      <w:proofErr w:type="gramStart"/>
      <w:r w:rsidRPr="00DC3EAD">
        <w:rPr>
          <w:rFonts w:ascii="標楷體" w:eastAsia="標楷體" w:hAnsi="標楷體" w:cs="Times New Roman" w:hint="eastAsia"/>
          <w:color w:val="000000" w:themeColor="text1"/>
          <w:szCs w:val="24"/>
        </w:rPr>
        <w:t>稽</w:t>
      </w:r>
      <w:proofErr w:type="gramEnd"/>
      <w:r w:rsidRPr="00DC3EAD">
        <w:rPr>
          <w:rFonts w:ascii="標楷體" w:eastAsia="標楷體" w:hAnsi="標楷體" w:cs="Times New Roman" w:hint="eastAsia"/>
          <w:color w:val="000000" w:themeColor="text1"/>
          <w:szCs w:val="24"/>
        </w:rPr>
        <w:t>徵」預算</w:t>
      </w:r>
      <w:r w:rsidRPr="00DC3EAD">
        <w:rPr>
          <w:rFonts w:ascii="標楷體" w:eastAsia="標楷體" w:hAnsi="標楷體" w:cs="Times New Roman"/>
          <w:color w:val="000000" w:themeColor="text1"/>
          <w:szCs w:val="24"/>
        </w:rPr>
        <w:t>7,630</w:t>
      </w:r>
      <w:r w:rsidRPr="00DC3EAD">
        <w:rPr>
          <w:rFonts w:ascii="標楷體" w:eastAsia="標楷體" w:hAnsi="標楷體" w:cs="Times New Roman" w:hint="eastAsia"/>
          <w:color w:val="000000" w:themeColor="text1"/>
          <w:szCs w:val="24"/>
        </w:rPr>
        <w:t>萬元，用以加強繳款書送達作業，及支付便利超商代收稅款等代收手續費。</w:t>
      </w:r>
      <w:proofErr w:type="gramStart"/>
      <w:r w:rsidRPr="00DC3EAD">
        <w:rPr>
          <w:rFonts w:ascii="標楷體" w:eastAsia="標楷體" w:hAnsi="標楷體" w:cs="Times New Roman" w:hint="eastAsia"/>
          <w:color w:val="000000" w:themeColor="text1"/>
          <w:szCs w:val="24"/>
        </w:rPr>
        <w:t>經查上開</w:t>
      </w:r>
      <w:proofErr w:type="gramEnd"/>
      <w:r w:rsidRPr="00DC3EAD">
        <w:rPr>
          <w:rFonts w:ascii="標楷體" w:eastAsia="標楷體" w:hAnsi="標楷體" w:cs="Times New Roman" w:hint="eastAsia"/>
          <w:color w:val="000000" w:themeColor="text1"/>
          <w:szCs w:val="24"/>
        </w:rPr>
        <w:t>業務執行情形，核有：</w:t>
      </w:r>
      <w:r w:rsidRPr="00DC3EAD">
        <w:rPr>
          <w:rFonts w:ascii="標楷體" w:eastAsia="標楷體" w:hAnsi="標楷體" w:cs="Times New Roman"/>
          <w:color w:val="000000" w:themeColor="text1"/>
          <w:szCs w:val="24"/>
        </w:rPr>
        <w:t>1.</w:t>
      </w:r>
      <w:r w:rsidRPr="00DC3EAD">
        <w:rPr>
          <w:rFonts w:ascii="標楷體" w:eastAsia="標楷體" w:hAnsi="標楷體" w:cs="Times New Roman" w:hint="eastAsia"/>
          <w:color w:val="000000" w:themeColor="text1"/>
          <w:szCs w:val="24"/>
        </w:rPr>
        <w:t>每年均委託中華郵政股份有限公司辦理地方稅繳款書列印及郵寄等業務，</w:t>
      </w:r>
      <w:proofErr w:type="gramStart"/>
      <w:r w:rsidRPr="00DC3EAD">
        <w:rPr>
          <w:rFonts w:ascii="標楷體" w:eastAsia="標楷體" w:hAnsi="標楷體" w:cs="Times New Roman"/>
          <w:color w:val="000000" w:themeColor="text1"/>
          <w:szCs w:val="24"/>
        </w:rPr>
        <w:t>112</w:t>
      </w:r>
      <w:proofErr w:type="gramEnd"/>
      <w:r w:rsidRPr="00DC3EAD">
        <w:rPr>
          <w:rFonts w:ascii="標楷體" w:eastAsia="標楷體" w:hAnsi="標楷體" w:cs="Times New Roman" w:hint="eastAsia"/>
          <w:color w:val="000000" w:themeColor="text1"/>
          <w:szCs w:val="24"/>
        </w:rPr>
        <w:t>年度採購契約金額為</w:t>
      </w:r>
      <w:r w:rsidRPr="00DC3EAD">
        <w:rPr>
          <w:rFonts w:ascii="標楷體" w:eastAsia="標楷體" w:hAnsi="標楷體" w:cs="Times New Roman"/>
          <w:color w:val="000000" w:themeColor="text1"/>
          <w:szCs w:val="24"/>
        </w:rPr>
        <w:t>3,662</w:t>
      </w:r>
      <w:r w:rsidRPr="00DC3EAD">
        <w:rPr>
          <w:rFonts w:ascii="標楷體" w:eastAsia="標楷體" w:hAnsi="標楷體" w:cs="Times New Roman" w:hint="eastAsia"/>
          <w:color w:val="000000" w:themeColor="text1"/>
          <w:szCs w:val="24"/>
        </w:rPr>
        <w:t>萬餘元。經統計使用牌照稅、房屋稅及地價稅以電子方式傳送繳款書累計寄發件數，自</w:t>
      </w:r>
      <w:proofErr w:type="gramStart"/>
      <w:r w:rsidRPr="00DC3EAD">
        <w:rPr>
          <w:rFonts w:ascii="標楷體" w:eastAsia="標楷體" w:hAnsi="標楷體" w:cs="Times New Roman"/>
          <w:color w:val="000000" w:themeColor="text1"/>
          <w:szCs w:val="24"/>
        </w:rPr>
        <w:t>108</w:t>
      </w:r>
      <w:proofErr w:type="gramEnd"/>
      <w:r w:rsidRPr="00DC3EAD">
        <w:rPr>
          <w:rFonts w:ascii="標楷體" w:eastAsia="標楷體" w:hAnsi="標楷體" w:cs="Times New Roman" w:hint="eastAsia"/>
          <w:color w:val="000000" w:themeColor="text1"/>
          <w:szCs w:val="24"/>
        </w:rPr>
        <w:t>年度之</w:t>
      </w:r>
      <w:r w:rsidRPr="00DC3EAD">
        <w:rPr>
          <w:rFonts w:ascii="標楷體" w:eastAsia="標楷體" w:hAnsi="標楷體" w:cs="Times New Roman"/>
          <w:color w:val="000000" w:themeColor="text1"/>
          <w:szCs w:val="24"/>
        </w:rPr>
        <w:t>2</w:t>
      </w:r>
      <w:r w:rsidRPr="00DC3EAD">
        <w:rPr>
          <w:rFonts w:ascii="標楷體" w:eastAsia="標楷體" w:hAnsi="標楷體" w:cs="Times New Roman" w:hint="eastAsia"/>
          <w:color w:val="000000" w:themeColor="text1"/>
          <w:szCs w:val="24"/>
        </w:rPr>
        <w:t>千餘件增加至</w:t>
      </w:r>
      <w:proofErr w:type="gramStart"/>
      <w:r w:rsidRPr="00DC3EAD">
        <w:rPr>
          <w:rFonts w:ascii="標楷體" w:eastAsia="標楷體" w:hAnsi="標楷體" w:cs="Times New Roman"/>
          <w:color w:val="000000" w:themeColor="text1"/>
          <w:szCs w:val="24"/>
        </w:rPr>
        <w:t>112</w:t>
      </w:r>
      <w:proofErr w:type="gramEnd"/>
      <w:r w:rsidRPr="00DC3EAD">
        <w:rPr>
          <w:rFonts w:ascii="標楷體" w:eastAsia="標楷體" w:hAnsi="標楷體" w:cs="Times New Roman" w:hint="eastAsia"/>
          <w:color w:val="000000" w:themeColor="text1"/>
          <w:szCs w:val="24"/>
        </w:rPr>
        <w:t>年度之</w:t>
      </w:r>
      <w:r w:rsidRPr="00DC3EAD">
        <w:rPr>
          <w:rFonts w:ascii="標楷體" w:eastAsia="標楷體" w:hAnsi="標楷體" w:cs="Times New Roman"/>
          <w:color w:val="000000" w:themeColor="text1"/>
          <w:szCs w:val="24"/>
        </w:rPr>
        <w:t>3</w:t>
      </w:r>
      <w:r w:rsidRPr="00DC3EAD">
        <w:rPr>
          <w:rFonts w:ascii="標楷體" w:eastAsia="標楷體" w:hAnsi="標楷體" w:cs="Times New Roman" w:hint="eastAsia"/>
          <w:color w:val="000000" w:themeColor="text1"/>
          <w:szCs w:val="24"/>
        </w:rPr>
        <w:t>萬餘件，已逐年增長，據該處估算</w:t>
      </w:r>
      <w:r w:rsidRPr="00DC3EAD">
        <w:rPr>
          <w:rFonts w:ascii="標楷體" w:eastAsia="標楷體" w:hAnsi="標楷體" w:cs="Times New Roman"/>
          <w:color w:val="000000" w:themeColor="text1"/>
          <w:szCs w:val="24"/>
        </w:rPr>
        <w:t>108</w:t>
      </w:r>
      <w:r w:rsidRPr="00DC3EAD">
        <w:rPr>
          <w:rFonts w:ascii="標楷體" w:eastAsia="標楷體" w:hAnsi="標楷體" w:cs="Times New Roman" w:hint="eastAsia"/>
          <w:color w:val="000000" w:themeColor="text1"/>
          <w:szCs w:val="24"/>
        </w:rPr>
        <w:t>至</w:t>
      </w:r>
      <w:r w:rsidRPr="00DC3EAD">
        <w:rPr>
          <w:rFonts w:ascii="標楷體" w:eastAsia="標楷體" w:hAnsi="標楷體" w:cs="Times New Roman"/>
          <w:color w:val="000000" w:themeColor="text1"/>
          <w:szCs w:val="24"/>
        </w:rPr>
        <w:t>112</w:t>
      </w:r>
      <w:r w:rsidRPr="00DC3EAD">
        <w:rPr>
          <w:rFonts w:ascii="標楷體" w:eastAsia="標楷體" w:hAnsi="標楷體" w:cs="Times New Roman" w:hint="eastAsia"/>
          <w:color w:val="000000" w:themeColor="text1"/>
          <w:szCs w:val="24"/>
        </w:rPr>
        <w:t>年節省郵資共</w:t>
      </w:r>
      <w:r w:rsidRPr="00DC3EAD">
        <w:rPr>
          <w:rFonts w:ascii="標楷體" w:eastAsia="標楷體" w:hAnsi="標楷體" w:cs="Times New Roman"/>
          <w:color w:val="000000" w:themeColor="text1"/>
          <w:szCs w:val="24"/>
        </w:rPr>
        <w:t>101</w:t>
      </w:r>
      <w:r w:rsidRPr="00DC3EAD">
        <w:rPr>
          <w:rFonts w:ascii="標楷體" w:eastAsia="標楷體" w:hAnsi="標楷體" w:cs="Times New Roman" w:hint="eastAsia"/>
          <w:color w:val="000000" w:themeColor="text1"/>
          <w:szCs w:val="24"/>
        </w:rPr>
        <w:t>萬餘元，惟電子化稅單件數占總開徵件數之比率，自</w:t>
      </w:r>
      <w:proofErr w:type="gramStart"/>
      <w:r w:rsidRPr="00DC3EAD">
        <w:rPr>
          <w:rFonts w:ascii="標楷體" w:eastAsia="標楷體" w:hAnsi="標楷體" w:cs="Times New Roman"/>
          <w:color w:val="000000" w:themeColor="text1"/>
          <w:szCs w:val="24"/>
        </w:rPr>
        <w:t>108</w:t>
      </w:r>
      <w:proofErr w:type="gramEnd"/>
      <w:r w:rsidRPr="00DC3EAD">
        <w:rPr>
          <w:rFonts w:ascii="標楷體" w:eastAsia="標楷體" w:hAnsi="標楷體" w:cs="Times New Roman" w:hint="eastAsia"/>
          <w:color w:val="000000" w:themeColor="text1"/>
          <w:szCs w:val="24"/>
        </w:rPr>
        <w:t>年度</w:t>
      </w:r>
      <w:r w:rsidRPr="00DC3EAD">
        <w:rPr>
          <w:rFonts w:ascii="標楷體" w:eastAsia="標楷體" w:hAnsi="標楷體" w:cs="Times New Roman"/>
          <w:color w:val="000000" w:themeColor="text1"/>
          <w:szCs w:val="24"/>
        </w:rPr>
        <w:t>281</w:t>
      </w:r>
      <w:r w:rsidRPr="00DC3EAD">
        <w:rPr>
          <w:rFonts w:ascii="標楷體" w:eastAsia="標楷體" w:hAnsi="標楷體" w:cs="Times New Roman" w:hint="eastAsia"/>
          <w:color w:val="000000" w:themeColor="text1"/>
          <w:szCs w:val="24"/>
        </w:rPr>
        <w:t>萬餘件之</w:t>
      </w:r>
      <w:r w:rsidRPr="00DC3EAD">
        <w:rPr>
          <w:rFonts w:ascii="標楷體" w:eastAsia="標楷體" w:hAnsi="標楷體" w:cs="Times New Roman"/>
          <w:color w:val="000000" w:themeColor="text1"/>
          <w:szCs w:val="24"/>
        </w:rPr>
        <w:t>0.11</w:t>
      </w:r>
      <w:r w:rsidRPr="00DC3EAD">
        <w:rPr>
          <w:rFonts w:ascii="標楷體" w:eastAsia="標楷體" w:hAnsi="標楷體" w:cs="Times New Roman" w:hint="eastAsia"/>
          <w:color w:val="000000" w:themeColor="text1"/>
          <w:szCs w:val="24"/>
        </w:rPr>
        <w:t>％，僅增加至</w:t>
      </w:r>
      <w:proofErr w:type="gramStart"/>
      <w:r w:rsidRPr="00DC3EAD">
        <w:rPr>
          <w:rFonts w:ascii="標楷體" w:eastAsia="標楷體" w:hAnsi="標楷體" w:cs="Times New Roman"/>
          <w:color w:val="000000" w:themeColor="text1"/>
          <w:szCs w:val="24"/>
        </w:rPr>
        <w:t>112</w:t>
      </w:r>
      <w:proofErr w:type="gramEnd"/>
      <w:r w:rsidRPr="00DC3EAD">
        <w:rPr>
          <w:rFonts w:ascii="標楷體" w:eastAsia="標楷體" w:hAnsi="標楷體" w:cs="Times New Roman" w:hint="eastAsia"/>
          <w:color w:val="000000" w:themeColor="text1"/>
          <w:szCs w:val="24"/>
        </w:rPr>
        <w:t>年度</w:t>
      </w:r>
      <w:r w:rsidRPr="00DC3EAD">
        <w:rPr>
          <w:rFonts w:ascii="標楷體" w:eastAsia="標楷體" w:hAnsi="標楷體" w:cs="Times New Roman"/>
          <w:color w:val="000000" w:themeColor="text1"/>
          <w:szCs w:val="24"/>
        </w:rPr>
        <w:t>290</w:t>
      </w:r>
      <w:r w:rsidRPr="00DC3EAD">
        <w:rPr>
          <w:rFonts w:ascii="標楷體" w:eastAsia="標楷體" w:hAnsi="標楷體" w:cs="Times New Roman" w:hint="eastAsia"/>
          <w:color w:val="000000" w:themeColor="text1"/>
          <w:szCs w:val="24"/>
        </w:rPr>
        <w:t>萬餘件之</w:t>
      </w:r>
      <w:r w:rsidRPr="00DC3EAD">
        <w:rPr>
          <w:rFonts w:ascii="標楷體" w:eastAsia="標楷體" w:hAnsi="標楷體" w:cs="Times New Roman"/>
          <w:color w:val="000000" w:themeColor="text1"/>
          <w:szCs w:val="24"/>
        </w:rPr>
        <w:t>1.07</w:t>
      </w:r>
      <w:r w:rsidRPr="00DC3EAD">
        <w:rPr>
          <w:rFonts w:ascii="標楷體" w:eastAsia="標楷體" w:hAnsi="標楷體" w:cs="Times New Roman" w:hint="eastAsia"/>
          <w:color w:val="000000" w:themeColor="text1"/>
          <w:szCs w:val="24"/>
        </w:rPr>
        <w:t>％，且其中</w:t>
      </w:r>
      <w:r w:rsidRPr="00DC3EAD">
        <w:rPr>
          <w:rFonts w:ascii="標楷體" w:eastAsia="標楷體" w:hAnsi="標楷體" w:cs="Times New Roman"/>
          <w:color w:val="000000" w:themeColor="text1"/>
          <w:szCs w:val="24"/>
        </w:rPr>
        <w:t>112</w:t>
      </w:r>
      <w:r w:rsidRPr="00DC3EAD">
        <w:rPr>
          <w:rFonts w:ascii="標楷體" w:eastAsia="標楷體" w:hAnsi="標楷體" w:cs="Times New Roman" w:hint="eastAsia"/>
          <w:color w:val="000000" w:themeColor="text1"/>
          <w:szCs w:val="24"/>
        </w:rPr>
        <w:t>年使用牌照稅電子化稅單件數占比仍未達</w:t>
      </w:r>
      <w:r w:rsidRPr="00DC3EAD">
        <w:rPr>
          <w:rFonts w:ascii="標楷體" w:eastAsia="標楷體" w:hAnsi="標楷體" w:cs="Times New Roman"/>
          <w:color w:val="000000" w:themeColor="text1"/>
          <w:szCs w:val="24"/>
        </w:rPr>
        <w:t>1</w:t>
      </w:r>
      <w:r w:rsidRPr="00DC3EAD">
        <w:rPr>
          <w:rFonts w:ascii="標楷體" w:eastAsia="標楷體" w:hAnsi="標楷體" w:cs="Times New Roman" w:hint="eastAsia"/>
          <w:color w:val="000000" w:themeColor="text1"/>
          <w:szCs w:val="24"/>
        </w:rPr>
        <w:t>％，顯有電子化稅單占比偏低情事；</w:t>
      </w:r>
      <w:r w:rsidRPr="00DC3EAD">
        <w:rPr>
          <w:rFonts w:ascii="標楷體" w:eastAsia="標楷體" w:hAnsi="標楷體" w:cs="Times New Roman"/>
          <w:color w:val="000000" w:themeColor="text1"/>
          <w:szCs w:val="24"/>
        </w:rPr>
        <w:t>2.</w:t>
      </w:r>
      <w:r w:rsidRPr="00DC3EAD">
        <w:rPr>
          <w:rFonts w:ascii="標楷體" w:eastAsia="標楷體" w:hAnsi="標楷體" w:cs="Times New Roman" w:hint="eastAsia"/>
          <w:color w:val="000000" w:themeColor="text1"/>
          <w:szCs w:val="24"/>
        </w:rPr>
        <w:t>為便利納稅義務人繳納稅款，並降低人工作業及等待時間，提供</w:t>
      </w:r>
      <w:proofErr w:type="gramStart"/>
      <w:r w:rsidRPr="00DC3EAD">
        <w:rPr>
          <w:rFonts w:ascii="標楷體" w:eastAsia="標楷體" w:hAnsi="標楷體" w:cs="Times New Roman" w:hint="eastAsia"/>
          <w:color w:val="000000" w:themeColor="text1"/>
          <w:szCs w:val="24"/>
        </w:rPr>
        <w:t>多元線上繳稅</w:t>
      </w:r>
      <w:proofErr w:type="gramEnd"/>
      <w:r w:rsidRPr="00DC3EAD">
        <w:rPr>
          <w:rFonts w:ascii="標楷體" w:eastAsia="標楷體" w:hAnsi="標楷體" w:cs="Times New Roman" w:hint="eastAsia"/>
          <w:color w:val="000000" w:themeColor="text1"/>
          <w:szCs w:val="24"/>
        </w:rPr>
        <w:t>方式，以提供納稅義務人簡便與及時之全方位納稅服務。據該處</w:t>
      </w:r>
      <w:proofErr w:type="gramStart"/>
      <w:r w:rsidRPr="00DC3EAD">
        <w:rPr>
          <w:rFonts w:ascii="標楷體" w:eastAsia="標楷體" w:hAnsi="標楷體" w:cs="Times New Roman" w:hint="eastAsia"/>
          <w:color w:val="000000" w:themeColor="text1"/>
          <w:szCs w:val="24"/>
        </w:rPr>
        <w:t>統計各稅多元</w:t>
      </w:r>
      <w:proofErr w:type="gramEnd"/>
      <w:r w:rsidRPr="00DC3EAD">
        <w:rPr>
          <w:rFonts w:ascii="標楷體" w:eastAsia="標楷體" w:hAnsi="標楷體" w:cs="Times New Roman" w:hint="eastAsia"/>
          <w:color w:val="000000" w:themeColor="text1"/>
          <w:szCs w:val="24"/>
        </w:rPr>
        <w:t>繳納方式，透過由約定轉帳、網路繳款或電子支付等</w:t>
      </w:r>
      <w:r w:rsidRPr="00DC3EAD">
        <w:rPr>
          <w:rFonts w:ascii="標楷體" w:eastAsia="標楷體" w:hAnsi="標楷體" w:cs="Times New Roman"/>
          <w:color w:val="000000" w:themeColor="text1"/>
          <w:szCs w:val="24"/>
        </w:rPr>
        <w:t>e</w:t>
      </w:r>
      <w:r w:rsidRPr="00DC3EAD">
        <w:rPr>
          <w:rFonts w:ascii="標楷體" w:eastAsia="標楷體" w:hAnsi="標楷體" w:cs="Times New Roman" w:hint="eastAsia"/>
          <w:color w:val="000000" w:themeColor="text1"/>
          <w:szCs w:val="24"/>
        </w:rPr>
        <w:t>化繳稅方式案件之比率，雖已由</w:t>
      </w:r>
      <w:proofErr w:type="gramStart"/>
      <w:r w:rsidRPr="00DC3EAD">
        <w:rPr>
          <w:rFonts w:ascii="標楷體" w:eastAsia="標楷體" w:hAnsi="標楷體" w:cs="Times New Roman"/>
          <w:color w:val="000000" w:themeColor="text1"/>
          <w:szCs w:val="24"/>
        </w:rPr>
        <w:t>108</w:t>
      </w:r>
      <w:proofErr w:type="gramEnd"/>
      <w:r w:rsidRPr="00DC3EAD">
        <w:rPr>
          <w:rFonts w:ascii="標楷體" w:eastAsia="標楷體" w:hAnsi="標楷體" w:cs="Times New Roman" w:hint="eastAsia"/>
          <w:color w:val="000000" w:themeColor="text1"/>
          <w:szCs w:val="24"/>
        </w:rPr>
        <w:t>年度之</w:t>
      </w:r>
      <w:r w:rsidRPr="00DC3EAD">
        <w:rPr>
          <w:rFonts w:ascii="標楷體" w:eastAsia="標楷體" w:hAnsi="標楷體" w:cs="Times New Roman"/>
          <w:color w:val="000000" w:themeColor="text1"/>
          <w:szCs w:val="24"/>
        </w:rPr>
        <w:t>27.48</w:t>
      </w:r>
      <w:r w:rsidRPr="00DC3EAD">
        <w:rPr>
          <w:rFonts w:ascii="標楷體" w:eastAsia="標楷體" w:hAnsi="標楷體" w:cs="Times New Roman" w:hint="eastAsia"/>
          <w:color w:val="000000" w:themeColor="text1"/>
          <w:szCs w:val="24"/>
        </w:rPr>
        <w:t>％，逐年緩增至</w:t>
      </w:r>
      <w:proofErr w:type="gramStart"/>
      <w:r w:rsidRPr="00DC3EAD">
        <w:rPr>
          <w:rFonts w:ascii="標楷體" w:eastAsia="標楷體" w:hAnsi="標楷體" w:cs="Times New Roman"/>
          <w:color w:val="000000" w:themeColor="text1"/>
          <w:szCs w:val="24"/>
        </w:rPr>
        <w:t>112</w:t>
      </w:r>
      <w:proofErr w:type="gramEnd"/>
      <w:r w:rsidRPr="00DC3EAD">
        <w:rPr>
          <w:rFonts w:ascii="標楷體" w:eastAsia="標楷體" w:hAnsi="標楷體" w:cs="Times New Roman" w:hint="eastAsia"/>
          <w:color w:val="000000" w:themeColor="text1"/>
          <w:szCs w:val="24"/>
        </w:rPr>
        <w:t>年度（截至</w:t>
      </w:r>
      <w:r w:rsidRPr="00DC3EAD">
        <w:rPr>
          <w:rFonts w:ascii="標楷體" w:eastAsia="標楷體" w:hAnsi="標楷體" w:cs="Times New Roman"/>
          <w:color w:val="000000" w:themeColor="text1"/>
          <w:szCs w:val="24"/>
        </w:rPr>
        <w:t>11</w:t>
      </w:r>
      <w:r w:rsidRPr="00DC3EAD">
        <w:rPr>
          <w:rFonts w:ascii="標楷體" w:eastAsia="標楷體" w:hAnsi="標楷體" w:cs="Times New Roman" w:hint="eastAsia"/>
          <w:color w:val="000000" w:themeColor="text1"/>
          <w:szCs w:val="24"/>
        </w:rPr>
        <w:t>月底止）之</w:t>
      </w:r>
      <w:r w:rsidRPr="00DC3EAD">
        <w:rPr>
          <w:rFonts w:ascii="標楷體" w:eastAsia="標楷體" w:hAnsi="標楷體" w:cs="Times New Roman"/>
          <w:color w:val="000000" w:themeColor="text1"/>
          <w:szCs w:val="24"/>
        </w:rPr>
        <w:t>34.94</w:t>
      </w:r>
      <w:r w:rsidRPr="00DC3EAD">
        <w:rPr>
          <w:rFonts w:ascii="標楷體" w:eastAsia="標楷體" w:hAnsi="標楷體" w:cs="Times New Roman" w:hint="eastAsia"/>
          <w:color w:val="000000" w:themeColor="text1"/>
          <w:szCs w:val="24"/>
        </w:rPr>
        <w:t>％，惟</w:t>
      </w:r>
      <w:proofErr w:type="gramStart"/>
      <w:r w:rsidRPr="00DC3EAD">
        <w:rPr>
          <w:rFonts w:ascii="標楷體" w:eastAsia="標楷體" w:hAnsi="標楷體" w:cs="Times New Roman"/>
          <w:color w:val="000000" w:themeColor="text1"/>
          <w:szCs w:val="24"/>
        </w:rPr>
        <w:t>112</w:t>
      </w:r>
      <w:proofErr w:type="gramEnd"/>
      <w:r w:rsidRPr="00DC3EAD">
        <w:rPr>
          <w:rFonts w:ascii="標楷體" w:eastAsia="標楷體" w:hAnsi="標楷體" w:cs="Times New Roman" w:hint="eastAsia"/>
          <w:color w:val="000000" w:themeColor="text1"/>
          <w:szCs w:val="24"/>
        </w:rPr>
        <w:t>年度仍有約</w:t>
      </w:r>
      <w:r w:rsidRPr="00DC3EAD">
        <w:rPr>
          <w:rFonts w:ascii="標楷體" w:eastAsia="標楷體" w:hAnsi="標楷體" w:cs="Times New Roman"/>
          <w:color w:val="000000" w:themeColor="text1"/>
          <w:szCs w:val="24"/>
        </w:rPr>
        <w:t>65.06</w:t>
      </w:r>
      <w:r w:rsidRPr="00DC3EAD">
        <w:rPr>
          <w:rFonts w:ascii="標楷體" w:eastAsia="標楷體" w:hAnsi="標楷體" w:cs="Times New Roman" w:hint="eastAsia"/>
          <w:color w:val="000000" w:themeColor="text1"/>
          <w:szCs w:val="24"/>
        </w:rPr>
        <w:t>％、估計超過</w:t>
      </w:r>
      <w:r w:rsidRPr="00DC3EAD">
        <w:rPr>
          <w:rFonts w:ascii="標楷體" w:eastAsia="標楷體" w:hAnsi="標楷體" w:cs="Times New Roman"/>
          <w:color w:val="000000" w:themeColor="text1"/>
          <w:szCs w:val="24"/>
        </w:rPr>
        <w:t>200</w:t>
      </w:r>
      <w:r w:rsidRPr="00DC3EAD">
        <w:rPr>
          <w:rFonts w:ascii="標楷體" w:eastAsia="標楷體" w:hAnsi="標楷體" w:cs="Times New Roman" w:hint="eastAsia"/>
          <w:color w:val="000000" w:themeColor="text1"/>
          <w:szCs w:val="24"/>
        </w:rPr>
        <w:t>萬件係</w:t>
      </w:r>
      <w:proofErr w:type="gramStart"/>
      <w:r w:rsidRPr="00DC3EAD">
        <w:rPr>
          <w:rFonts w:ascii="標楷體" w:eastAsia="標楷體" w:hAnsi="標楷體" w:cs="Times New Roman" w:hint="eastAsia"/>
          <w:color w:val="000000" w:themeColor="text1"/>
          <w:szCs w:val="24"/>
        </w:rPr>
        <w:t>採</w:t>
      </w:r>
      <w:proofErr w:type="gramEnd"/>
      <w:r w:rsidRPr="00DC3EAD">
        <w:rPr>
          <w:rFonts w:ascii="標楷體" w:eastAsia="標楷體" w:hAnsi="標楷體" w:cs="Times New Roman" w:hint="eastAsia"/>
          <w:color w:val="000000" w:themeColor="text1"/>
          <w:szCs w:val="24"/>
        </w:rPr>
        <w:t>金融機構臨櫃或便利超商代收等方式繳納稅款，</w:t>
      </w:r>
      <w:r w:rsidRPr="00DC3EAD">
        <w:rPr>
          <w:rFonts w:ascii="標楷體" w:eastAsia="標楷體" w:hAnsi="標楷體" w:cs="Times New Roman"/>
          <w:color w:val="000000" w:themeColor="text1"/>
          <w:szCs w:val="24"/>
        </w:rPr>
        <w:t>e</w:t>
      </w:r>
      <w:r w:rsidRPr="00DC3EAD">
        <w:rPr>
          <w:rFonts w:ascii="標楷體" w:eastAsia="標楷體" w:hAnsi="標楷體" w:cs="Times New Roman" w:hint="eastAsia"/>
          <w:color w:val="000000" w:themeColor="text1"/>
          <w:szCs w:val="24"/>
        </w:rPr>
        <w:t>化程度尚待普及。為節省繳款書列印及郵寄等開徵經費、落實</w:t>
      </w:r>
      <w:proofErr w:type="gramStart"/>
      <w:r w:rsidRPr="00DC3EAD">
        <w:rPr>
          <w:rFonts w:ascii="標楷體" w:eastAsia="標楷體" w:hAnsi="標楷體" w:cs="Times New Roman" w:hint="eastAsia"/>
          <w:color w:val="000000" w:themeColor="text1"/>
          <w:szCs w:val="24"/>
        </w:rPr>
        <w:t>節能減碳政策</w:t>
      </w:r>
      <w:proofErr w:type="gramEnd"/>
      <w:r w:rsidRPr="00DC3EAD">
        <w:rPr>
          <w:rFonts w:ascii="標楷體" w:eastAsia="標楷體" w:hAnsi="標楷體" w:cs="Times New Roman" w:hint="eastAsia"/>
          <w:color w:val="000000" w:themeColor="text1"/>
          <w:szCs w:val="24"/>
        </w:rPr>
        <w:t>，並降低人工作業等待時間，允宜</w:t>
      </w:r>
      <w:proofErr w:type="gramStart"/>
      <w:r w:rsidRPr="00DC3EAD">
        <w:rPr>
          <w:rFonts w:ascii="標楷體" w:eastAsia="標楷體" w:hAnsi="標楷體" w:cs="Times New Roman" w:hint="eastAsia"/>
          <w:color w:val="000000" w:themeColor="text1"/>
          <w:szCs w:val="24"/>
        </w:rPr>
        <w:t>研</w:t>
      </w:r>
      <w:proofErr w:type="gramEnd"/>
      <w:r w:rsidRPr="00DC3EAD">
        <w:rPr>
          <w:rFonts w:ascii="標楷體" w:eastAsia="標楷體" w:hAnsi="標楷體" w:cs="Times New Roman" w:hint="eastAsia"/>
          <w:color w:val="000000" w:themeColor="text1"/>
          <w:szCs w:val="24"/>
        </w:rPr>
        <w:t>謀改善。</w:t>
      </w:r>
      <w:bookmarkEnd w:id="1"/>
    </w:p>
    <w:p w14:paraId="13606CB7" w14:textId="77777777" w:rsidR="008466B3" w:rsidRPr="00DC3EAD" w:rsidRDefault="008466B3" w:rsidP="008466B3">
      <w:pPr>
        <w:widowControl/>
        <w:overflowPunct w:val="0"/>
        <w:spacing w:beforeLines="20" w:before="72" w:afterLines="20" w:after="72" w:line="460" w:lineRule="exact"/>
        <w:ind w:firstLineChars="100" w:firstLine="280"/>
        <w:jc w:val="both"/>
        <w:rPr>
          <w:rFonts w:ascii="標楷體" w:eastAsia="標楷體" w:hAnsi="標楷體" w:cs="Arial"/>
          <w:b/>
          <w:color w:val="000000" w:themeColor="text1"/>
          <w:kern w:val="0"/>
          <w:sz w:val="28"/>
          <w:szCs w:val="28"/>
        </w:rPr>
      </w:pPr>
      <w:r w:rsidRPr="00DC3EAD">
        <w:rPr>
          <w:rFonts w:ascii="標楷體" w:eastAsia="標楷體" w:hAnsi="標楷體" w:cs="Arial" w:hint="eastAsia"/>
          <w:b/>
          <w:color w:val="000000" w:themeColor="text1"/>
          <w:kern w:val="0"/>
          <w:sz w:val="28"/>
          <w:szCs w:val="28"/>
        </w:rPr>
        <w:lastRenderedPageBreak/>
        <w:t>（八）</w:t>
      </w:r>
      <w:r w:rsidRPr="00DC3EAD">
        <w:rPr>
          <w:rFonts w:ascii="標楷體" w:eastAsia="標楷體" w:hAnsi="標楷體" w:cs="Arial" w:hint="eastAsia"/>
          <w:b/>
          <w:bCs/>
          <w:color w:val="000000" w:themeColor="text1"/>
          <w:kern w:val="0"/>
          <w:sz w:val="28"/>
          <w:szCs w:val="28"/>
        </w:rPr>
        <w:t>教育局及所屬學校經管數位學習設備情形，</w:t>
      </w:r>
      <w:proofErr w:type="gramStart"/>
      <w:r w:rsidRPr="00DC3EAD">
        <w:rPr>
          <w:rFonts w:ascii="標楷體" w:eastAsia="標楷體" w:hAnsi="標楷體" w:cs="Arial" w:hint="eastAsia"/>
          <w:b/>
          <w:bCs/>
          <w:color w:val="000000" w:themeColor="text1"/>
          <w:kern w:val="0"/>
          <w:sz w:val="28"/>
          <w:szCs w:val="28"/>
        </w:rPr>
        <w:t>間有購</w:t>
      </w:r>
      <w:proofErr w:type="gramEnd"/>
      <w:r w:rsidRPr="00DC3EAD">
        <w:rPr>
          <w:rFonts w:ascii="標楷體" w:eastAsia="標楷體" w:hAnsi="標楷體" w:cs="Arial" w:hint="eastAsia"/>
          <w:b/>
          <w:bCs/>
          <w:color w:val="000000" w:themeColor="text1"/>
          <w:kern w:val="0"/>
          <w:sz w:val="28"/>
          <w:szCs w:val="28"/>
        </w:rPr>
        <w:t>入（租賃）學習載具及充電車後長期未拆封使用，或管理未</w:t>
      </w:r>
      <w:proofErr w:type="gramStart"/>
      <w:r w:rsidRPr="00DC3EAD">
        <w:rPr>
          <w:rFonts w:ascii="標楷體" w:eastAsia="標楷體" w:hAnsi="標楷體" w:cs="Arial" w:hint="eastAsia"/>
          <w:b/>
          <w:bCs/>
          <w:color w:val="000000" w:themeColor="text1"/>
          <w:kern w:val="0"/>
          <w:sz w:val="28"/>
          <w:szCs w:val="28"/>
        </w:rPr>
        <w:t>臻</w:t>
      </w:r>
      <w:proofErr w:type="gramEnd"/>
      <w:r w:rsidRPr="00DC3EAD">
        <w:rPr>
          <w:rFonts w:ascii="標楷體" w:eastAsia="標楷體" w:hAnsi="標楷體" w:cs="Arial" w:hint="eastAsia"/>
          <w:b/>
          <w:bCs/>
          <w:color w:val="000000" w:themeColor="text1"/>
          <w:kern w:val="0"/>
          <w:sz w:val="28"/>
          <w:szCs w:val="28"/>
        </w:rPr>
        <w:t>周妥等情事，有待督促檢討改善。</w:t>
      </w:r>
    </w:p>
    <w:p w14:paraId="75376505" w14:textId="31D90872" w:rsidR="008466B3" w:rsidRPr="00DC3EAD" w:rsidRDefault="008466B3" w:rsidP="005417EB">
      <w:pPr>
        <w:widowControl/>
        <w:overflowPunct w:val="0"/>
        <w:spacing w:line="450" w:lineRule="exact"/>
        <w:ind w:firstLineChars="200" w:firstLine="480"/>
        <w:jc w:val="both"/>
        <w:rPr>
          <w:rFonts w:ascii="標楷體" w:eastAsia="標楷體" w:hAnsi="標楷體" w:cs="Arial"/>
          <w:b/>
          <w:color w:val="000000" w:themeColor="text1"/>
          <w:kern w:val="0"/>
          <w:sz w:val="28"/>
          <w:szCs w:val="28"/>
        </w:rPr>
      </w:pPr>
      <w:r w:rsidRPr="00DC3EAD">
        <w:rPr>
          <w:rFonts w:ascii="標楷體" w:eastAsia="標楷體" w:hAnsi="標楷體" w:cs="Times New Roman" w:hint="eastAsia"/>
          <w:color w:val="000000" w:themeColor="text1"/>
          <w:szCs w:val="24"/>
        </w:rPr>
        <w:t>近年教育局致力推動智慧教育，自</w:t>
      </w:r>
      <w:proofErr w:type="gramStart"/>
      <w:r w:rsidRPr="00DC3EAD">
        <w:rPr>
          <w:rFonts w:ascii="標楷體" w:eastAsia="標楷體" w:hAnsi="標楷體" w:cs="Times New Roman" w:hint="eastAsia"/>
          <w:color w:val="000000" w:themeColor="text1"/>
          <w:szCs w:val="24"/>
        </w:rPr>
        <w:t>105</w:t>
      </w:r>
      <w:proofErr w:type="gramEnd"/>
      <w:r w:rsidRPr="00DC3EAD">
        <w:rPr>
          <w:rFonts w:ascii="標楷體" w:eastAsia="標楷體" w:hAnsi="標楷體" w:cs="Times New Roman" w:hint="eastAsia"/>
          <w:color w:val="000000" w:themeColor="text1"/>
          <w:szCs w:val="24"/>
        </w:rPr>
        <w:t>年度起配合中央核定計畫及整合該局補助經費，陸續以採購或租賃等方式，於各校建置智慧未來教室，並提供平板電腦等教育載具，鼓勵教師運用科技創新教學，及培養學生資訊應用素養等能力，截至</w:t>
      </w:r>
      <w:proofErr w:type="gramStart"/>
      <w:r w:rsidRPr="00DC3EAD">
        <w:rPr>
          <w:rFonts w:ascii="標楷體" w:eastAsia="標楷體" w:hAnsi="標楷體" w:cs="Times New Roman" w:hint="eastAsia"/>
          <w:color w:val="000000" w:themeColor="text1"/>
          <w:szCs w:val="24"/>
        </w:rPr>
        <w:t>112</w:t>
      </w:r>
      <w:proofErr w:type="gramEnd"/>
      <w:r w:rsidRPr="00DC3EAD">
        <w:rPr>
          <w:rFonts w:ascii="標楷體" w:eastAsia="標楷體" w:hAnsi="標楷體" w:cs="Times New Roman" w:hint="eastAsia"/>
          <w:color w:val="000000" w:themeColor="text1"/>
          <w:szCs w:val="24"/>
        </w:rPr>
        <w:t>年度</w:t>
      </w:r>
      <w:proofErr w:type="gramStart"/>
      <w:r w:rsidRPr="00DC3EAD">
        <w:rPr>
          <w:rFonts w:ascii="標楷體" w:eastAsia="標楷體" w:hAnsi="標楷體" w:cs="Times New Roman" w:hint="eastAsia"/>
          <w:color w:val="000000" w:themeColor="text1"/>
          <w:szCs w:val="24"/>
        </w:rPr>
        <w:t>止</w:t>
      </w:r>
      <w:proofErr w:type="gramEnd"/>
      <w:r w:rsidRPr="00DC3EAD">
        <w:rPr>
          <w:rFonts w:ascii="標楷體" w:eastAsia="標楷體" w:hAnsi="標楷體" w:cs="Times New Roman" w:hint="eastAsia"/>
          <w:color w:val="000000" w:themeColor="text1"/>
          <w:szCs w:val="24"/>
        </w:rPr>
        <w:t>累計建置85吋觸控螢幕6,863</w:t>
      </w:r>
      <w:proofErr w:type="gramStart"/>
      <w:r w:rsidRPr="00DC3EAD">
        <w:rPr>
          <w:rFonts w:ascii="標楷體" w:eastAsia="標楷體" w:hAnsi="標楷體" w:cs="Times New Roman" w:hint="eastAsia"/>
          <w:color w:val="000000" w:themeColor="text1"/>
          <w:szCs w:val="24"/>
        </w:rPr>
        <w:t>臺</w:t>
      </w:r>
      <w:proofErr w:type="gramEnd"/>
      <w:r w:rsidRPr="00DC3EAD">
        <w:rPr>
          <w:rFonts w:ascii="標楷體" w:eastAsia="標楷體" w:hAnsi="標楷體" w:cs="Times New Roman" w:hint="eastAsia"/>
          <w:color w:val="000000" w:themeColor="text1"/>
          <w:szCs w:val="24"/>
        </w:rPr>
        <w:t>、補助各校學習載具及充電車等設備各162,616</w:t>
      </w:r>
      <w:proofErr w:type="gramStart"/>
      <w:r w:rsidRPr="00DC3EAD">
        <w:rPr>
          <w:rFonts w:ascii="標楷體" w:eastAsia="標楷體" w:hAnsi="標楷體" w:cs="Times New Roman" w:hint="eastAsia"/>
          <w:color w:val="000000" w:themeColor="text1"/>
          <w:szCs w:val="24"/>
        </w:rPr>
        <w:t>臺</w:t>
      </w:r>
      <w:proofErr w:type="gramEnd"/>
      <w:r w:rsidRPr="00DC3EAD">
        <w:rPr>
          <w:rFonts w:ascii="標楷體" w:eastAsia="標楷體" w:hAnsi="標楷體" w:cs="Times New Roman" w:hint="eastAsia"/>
          <w:color w:val="000000" w:themeColor="text1"/>
          <w:szCs w:val="24"/>
        </w:rPr>
        <w:t>及2,084</w:t>
      </w:r>
      <w:proofErr w:type="gramStart"/>
      <w:r w:rsidRPr="00DC3EAD">
        <w:rPr>
          <w:rFonts w:ascii="標楷體" w:eastAsia="標楷體" w:hAnsi="標楷體" w:cs="Times New Roman" w:hint="eastAsia"/>
          <w:color w:val="000000" w:themeColor="text1"/>
          <w:szCs w:val="24"/>
        </w:rPr>
        <w:t>臺</w:t>
      </w:r>
      <w:proofErr w:type="gramEnd"/>
      <w:r w:rsidRPr="00DC3EAD">
        <w:rPr>
          <w:rFonts w:ascii="標楷體" w:eastAsia="標楷體" w:hAnsi="標楷體" w:cs="Times New Roman" w:hint="eastAsia"/>
          <w:color w:val="000000" w:themeColor="text1"/>
          <w:szCs w:val="24"/>
        </w:rPr>
        <w:t>，完善校園數位學習環境。經查該局及所屬學校辦理資訊設備採購案及使用管理情形，核有：1.該局於</w:t>
      </w:r>
      <w:proofErr w:type="gramStart"/>
      <w:r w:rsidRPr="00DC3EAD">
        <w:rPr>
          <w:rFonts w:ascii="標楷體" w:eastAsia="標楷體" w:hAnsi="標楷體" w:cs="Times New Roman" w:hint="eastAsia"/>
          <w:color w:val="000000" w:themeColor="text1"/>
          <w:szCs w:val="24"/>
        </w:rPr>
        <w:t>111</w:t>
      </w:r>
      <w:proofErr w:type="gramEnd"/>
      <w:r w:rsidRPr="00DC3EAD">
        <w:rPr>
          <w:rFonts w:ascii="標楷體" w:eastAsia="標楷體" w:hAnsi="標楷體" w:cs="Times New Roman" w:hint="eastAsia"/>
          <w:color w:val="000000" w:themeColor="text1"/>
          <w:szCs w:val="24"/>
        </w:rPr>
        <w:t>年度統一採購49,018</w:t>
      </w:r>
      <w:proofErr w:type="gramStart"/>
      <w:r w:rsidRPr="00DC3EAD">
        <w:rPr>
          <w:rFonts w:ascii="標楷體" w:eastAsia="標楷體" w:hAnsi="標楷體" w:cs="Times New Roman" w:hint="eastAsia"/>
          <w:color w:val="000000" w:themeColor="text1"/>
          <w:szCs w:val="24"/>
        </w:rPr>
        <w:t>臺</w:t>
      </w:r>
      <w:proofErr w:type="gramEnd"/>
      <w:r w:rsidRPr="00DC3EAD">
        <w:rPr>
          <w:rFonts w:ascii="標楷體" w:eastAsia="標楷體" w:hAnsi="標楷體" w:cs="Times New Roman" w:hint="eastAsia"/>
          <w:color w:val="000000" w:themeColor="text1"/>
          <w:szCs w:val="24"/>
        </w:rPr>
        <w:t>學習載具（含學習載具管理系統）提供臺北市公私立高中職以下學校推動數位學習使用，惟其中有2,298</w:t>
      </w:r>
      <w:proofErr w:type="gramStart"/>
      <w:r w:rsidRPr="00DC3EAD">
        <w:rPr>
          <w:rFonts w:ascii="標楷體" w:eastAsia="標楷體" w:hAnsi="標楷體" w:cs="Times New Roman" w:hint="eastAsia"/>
          <w:color w:val="000000" w:themeColor="text1"/>
          <w:szCs w:val="24"/>
        </w:rPr>
        <w:t>臺</w:t>
      </w:r>
      <w:proofErr w:type="gramEnd"/>
      <w:r w:rsidRPr="00DC3EAD">
        <w:rPr>
          <w:rFonts w:ascii="標楷體" w:eastAsia="標楷體" w:hAnsi="標楷體" w:cs="Times New Roman" w:hint="eastAsia"/>
          <w:color w:val="000000" w:themeColor="text1"/>
          <w:szCs w:val="24"/>
        </w:rPr>
        <w:t>載具（占4.69％，採購金額2,282萬餘元）因遲無配發對象，自111年6或7月底購入後逾1年未拆封使用，除未能充分發揮該設備原購置效益外，並造成附加載具管理系統授權費用28萬餘元之浪費；又該局於本處查核發現前開缺失後，雖已陸續於112年11月及12月間完成配發作業，惟檢討配發基準亦未</w:t>
      </w:r>
      <w:proofErr w:type="gramStart"/>
      <w:r w:rsidRPr="00DC3EAD">
        <w:rPr>
          <w:rFonts w:ascii="標楷體" w:eastAsia="標楷體" w:hAnsi="標楷體" w:cs="Times New Roman" w:hint="eastAsia"/>
          <w:color w:val="000000" w:themeColor="text1"/>
          <w:szCs w:val="24"/>
        </w:rPr>
        <w:t>臻</w:t>
      </w:r>
      <w:proofErr w:type="gramEnd"/>
      <w:r w:rsidRPr="00DC3EAD">
        <w:rPr>
          <w:rFonts w:ascii="標楷體" w:eastAsia="標楷體" w:hAnsi="標楷體" w:cs="Times New Roman" w:hint="eastAsia"/>
          <w:color w:val="000000" w:themeColor="text1"/>
          <w:szCs w:val="24"/>
        </w:rPr>
        <w:t>周妥；2.臺北市立建國高中於108至111年間陸續自購或獲配（租賃）充電車共39</w:t>
      </w:r>
      <w:proofErr w:type="gramStart"/>
      <w:r w:rsidRPr="00DC3EAD">
        <w:rPr>
          <w:rFonts w:ascii="標楷體" w:eastAsia="標楷體" w:hAnsi="標楷體" w:cs="Times New Roman" w:hint="eastAsia"/>
          <w:color w:val="000000" w:themeColor="text1"/>
          <w:szCs w:val="24"/>
        </w:rPr>
        <w:t>臺</w:t>
      </w:r>
      <w:proofErr w:type="gramEnd"/>
      <w:r w:rsidRPr="00DC3EAD">
        <w:rPr>
          <w:rFonts w:ascii="標楷體" w:eastAsia="標楷體" w:hAnsi="標楷體" w:cs="Times New Roman" w:hint="eastAsia"/>
          <w:color w:val="000000" w:themeColor="text1"/>
          <w:szCs w:val="24"/>
        </w:rPr>
        <w:t>，惟截至112年11月9日止仍有逾半數設備未拆封使用，亦未申請釋出，肇致新購（租賃）財產長期閒置；3.臺北市公私立高中職以下學校辦理中小學數位學習精進方案，</w:t>
      </w:r>
      <w:proofErr w:type="gramStart"/>
      <w:r w:rsidRPr="00DC3EAD">
        <w:rPr>
          <w:rFonts w:ascii="標楷體" w:eastAsia="標楷體" w:hAnsi="標楷體" w:cs="Times New Roman" w:hint="eastAsia"/>
          <w:color w:val="000000" w:themeColor="text1"/>
          <w:szCs w:val="24"/>
        </w:rPr>
        <w:t>間有獲</w:t>
      </w:r>
      <w:proofErr w:type="gramEnd"/>
      <w:r w:rsidRPr="00DC3EAD">
        <w:rPr>
          <w:rFonts w:ascii="標楷體" w:eastAsia="標楷體" w:hAnsi="標楷體" w:cs="Times New Roman" w:hint="eastAsia"/>
          <w:color w:val="000000" w:themeColor="text1"/>
          <w:szCs w:val="24"/>
        </w:rPr>
        <w:t>配或自購學習載具後，漏未登錄至教育部學習載具管理系統列管等情事，均有待督促檢討改善。</w:t>
      </w:r>
    </w:p>
    <w:p w14:paraId="692B6806" w14:textId="77777777" w:rsidR="008466B3" w:rsidRPr="00DC3EAD" w:rsidRDefault="008466B3" w:rsidP="005417EB">
      <w:pPr>
        <w:widowControl/>
        <w:overflowPunct w:val="0"/>
        <w:spacing w:beforeLines="50" w:before="180" w:afterLines="25" w:after="90" w:line="460" w:lineRule="exact"/>
        <w:ind w:firstLineChars="100" w:firstLine="280"/>
        <w:jc w:val="both"/>
        <w:rPr>
          <w:rFonts w:ascii="標楷體" w:eastAsia="標楷體" w:hAnsi="標楷體" w:cs="Arial"/>
          <w:b/>
          <w:color w:val="000000" w:themeColor="text1"/>
          <w:kern w:val="0"/>
          <w:sz w:val="28"/>
          <w:szCs w:val="28"/>
        </w:rPr>
      </w:pPr>
      <w:r w:rsidRPr="00DC3EAD">
        <w:rPr>
          <w:rFonts w:ascii="標楷體" w:eastAsia="標楷體" w:hAnsi="標楷體" w:cs="Arial" w:hint="eastAsia"/>
          <w:b/>
          <w:color w:val="000000" w:themeColor="text1"/>
          <w:kern w:val="0"/>
          <w:sz w:val="28"/>
          <w:szCs w:val="28"/>
        </w:rPr>
        <w:t>（九）</w:t>
      </w:r>
      <w:proofErr w:type="gramStart"/>
      <w:r w:rsidRPr="00DC3EAD">
        <w:rPr>
          <w:rFonts w:ascii="標楷體" w:eastAsia="標楷體" w:hAnsi="標楷體" w:cs="Arial" w:hint="eastAsia"/>
          <w:b/>
          <w:color w:val="000000" w:themeColor="text1"/>
          <w:kern w:val="0"/>
          <w:sz w:val="28"/>
          <w:szCs w:val="28"/>
        </w:rPr>
        <w:t>臺</w:t>
      </w:r>
      <w:proofErr w:type="gramEnd"/>
      <w:r w:rsidRPr="00DC3EAD">
        <w:rPr>
          <w:rFonts w:ascii="標楷體" w:eastAsia="標楷體" w:hAnsi="標楷體" w:cs="Arial" w:hint="eastAsia"/>
          <w:b/>
          <w:color w:val="000000" w:themeColor="text1"/>
          <w:kern w:val="0"/>
          <w:sz w:val="28"/>
          <w:szCs w:val="28"/>
        </w:rPr>
        <w:t>北自來水事業處辦理士林區凱旋路房舍改建工程計畫可行性評估有欠周詳且未與民眾充分溝通，終因公益性不足等原因而停辦，肇致設計費等不經濟支出，有待檢討改善。</w:t>
      </w:r>
    </w:p>
    <w:p w14:paraId="4142AE15" w14:textId="77777777" w:rsidR="008466B3" w:rsidRPr="00DC3EAD" w:rsidRDefault="008466B3" w:rsidP="005417EB">
      <w:pPr>
        <w:widowControl/>
        <w:overflowPunct w:val="0"/>
        <w:spacing w:beforeLines="25" w:before="90" w:afterLines="25" w:after="90" w:line="460" w:lineRule="exact"/>
        <w:ind w:firstLineChars="200" w:firstLine="480"/>
        <w:jc w:val="both"/>
        <w:rPr>
          <w:rFonts w:ascii="標楷體" w:eastAsia="標楷體" w:hAnsi="標楷體" w:cs="Arial"/>
          <w:b/>
          <w:color w:val="000000" w:themeColor="text1"/>
          <w:kern w:val="0"/>
          <w:sz w:val="28"/>
          <w:szCs w:val="28"/>
        </w:rPr>
      </w:pPr>
      <w:proofErr w:type="gramStart"/>
      <w:r w:rsidRPr="00DC3EAD">
        <w:rPr>
          <w:rFonts w:ascii="標楷體" w:eastAsia="標楷體" w:hAnsi="標楷體" w:cs="Times New Roman" w:hint="eastAsia"/>
          <w:color w:val="000000" w:themeColor="text1"/>
          <w:szCs w:val="24"/>
        </w:rPr>
        <w:t>臺</w:t>
      </w:r>
      <w:proofErr w:type="gramEnd"/>
      <w:r w:rsidRPr="00DC3EAD">
        <w:rPr>
          <w:rFonts w:ascii="標楷體" w:eastAsia="標楷體" w:hAnsi="標楷體" w:cs="Times New Roman" w:hint="eastAsia"/>
          <w:color w:val="000000" w:themeColor="text1"/>
          <w:szCs w:val="24"/>
        </w:rPr>
        <w:t>北自來水事業處為改善經管士林區凱旋路2處老舊房舍並同時增加附近租屋供給，落實「居住正義2.0計畫」，經規劃整</w:t>
      </w:r>
      <w:proofErr w:type="gramStart"/>
      <w:r w:rsidRPr="00DC3EAD">
        <w:rPr>
          <w:rFonts w:ascii="標楷體" w:eastAsia="標楷體" w:hAnsi="標楷體" w:cs="Times New Roman" w:hint="eastAsia"/>
          <w:color w:val="000000" w:themeColor="text1"/>
          <w:szCs w:val="24"/>
        </w:rPr>
        <w:t>併</w:t>
      </w:r>
      <w:proofErr w:type="gramEnd"/>
      <w:r w:rsidRPr="00DC3EAD">
        <w:rPr>
          <w:rFonts w:ascii="標楷體" w:eastAsia="標楷體" w:hAnsi="標楷體" w:cs="Times New Roman" w:hint="eastAsia"/>
          <w:color w:val="000000" w:themeColor="text1"/>
          <w:szCs w:val="24"/>
        </w:rPr>
        <w:t>鄰接國有</w:t>
      </w:r>
      <w:proofErr w:type="gramStart"/>
      <w:r w:rsidRPr="00DC3EAD">
        <w:rPr>
          <w:rFonts w:ascii="標楷體" w:eastAsia="標楷體" w:hAnsi="標楷體" w:cs="Times New Roman" w:hint="eastAsia"/>
          <w:color w:val="000000" w:themeColor="text1"/>
          <w:szCs w:val="24"/>
        </w:rPr>
        <w:t>畸</w:t>
      </w:r>
      <w:proofErr w:type="gramEnd"/>
      <w:r w:rsidRPr="00DC3EAD">
        <w:rPr>
          <w:rFonts w:ascii="標楷體" w:eastAsia="標楷體" w:hAnsi="標楷體" w:cs="Times New Roman" w:hint="eastAsia"/>
          <w:color w:val="000000" w:themeColor="text1"/>
          <w:szCs w:val="24"/>
        </w:rPr>
        <w:t>零地，辦理「士林區凱旋路房舍改建工程計畫」，預計完成後作為多元居住空間出租，期程110至114年，總經費6億5,695萬元；又其房舍設計監造委託技術服務案於110年2月3日決標（決標價1,950萬元），同年辦理公開說明會，向當地民眾說明本案改建計畫，經當地民眾反對興辦，並因外界關切公益性不足等疑義，案經111年1月重新檢討結果，發現公益可行方案僅文化藝術工作室及日間照護，用途與規模受限，且適值</w:t>
      </w:r>
      <w:proofErr w:type="gramStart"/>
      <w:r w:rsidRPr="00DC3EAD">
        <w:rPr>
          <w:rFonts w:ascii="標楷體" w:eastAsia="標楷體" w:hAnsi="標楷體" w:cs="Times New Roman" w:hint="eastAsia"/>
          <w:color w:val="000000" w:themeColor="text1"/>
          <w:szCs w:val="24"/>
        </w:rPr>
        <w:t>新型冠</w:t>
      </w:r>
      <w:proofErr w:type="gramEnd"/>
      <w:r w:rsidRPr="00DC3EAD">
        <w:rPr>
          <w:rFonts w:ascii="標楷體" w:eastAsia="標楷體" w:hAnsi="標楷體" w:cs="Times New Roman" w:hint="eastAsia"/>
          <w:color w:val="000000" w:themeColor="text1"/>
          <w:szCs w:val="24"/>
        </w:rPr>
        <w:t>狀病毒肺炎（COVID－19）</w:t>
      </w:r>
      <w:proofErr w:type="gramStart"/>
      <w:r w:rsidRPr="00DC3EAD">
        <w:rPr>
          <w:rFonts w:ascii="標楷體" w:eastAsia="標楷體" w:hAnsi="標楷體" w:cs="Times New Roman" w:hint="eastAsia"/>
          <w:color w:val="000000" w:themeColor="text1"/>
          <w:szCs w:val="24"/>
        </w:rPr>
        <w:t>疫</w:t>
      </w:r>
      <w:proofErr w:type="gramEnd"/>
      <w:r w:rsidRPr="00DC3EAD">
        <w:rPr>
          <w:rFonts w:ascii="標楷體" w:eastAsia="標楷體" w:hAnsi="標楷體" w:cs="Times New Roman" w:hint="eastAsia"/>
          <w:color w:val="000000" w:themeColor="text1"/>
          <w:szCs w:val="24"/>
        </w:rPr>
        <w:t>情影響</w:t>
      </w:r>
      <w:proofErr w:type="gramStart"/>
      <w:r w:rsidRPr="00DC3EAD">
        <w:rPr>
          <w:rFonts w:ascii="標楷體" w:eastAsia="標楷體" w:hAnsi="標楷體" w:cs="Times New Roman" w:hint="eastAsia"/>
          <w:color w:val="000000" w:themeColor="text1"/>
          <w:szCs w:val="24"/>
        </w:rPr>
        <w:t>缺工缺料</w:t>
      </w:r>
      <w:proofErr w:type="gramEnd"/>
      <w:r w:rsidRPr="00DC3EAD">
        <w:rPr>
          <w:rFonts w:ascii="標楷體" w:eastAsia="標楷體" w:hAnsi="標楷體" w:cs="Times New Roman" w:hint="eastAsia"/>
          <w:color w:val="000000" w:themeColor="text1"/>
          <w:szCs w:val="24"/>
        </w:rPr>
        <w:t>，加以計畫核定前未事先加強與民眾溝通，經推動後或因文史工作者主張景觀保留而反對興辦，里長及當地居民亦反對改建帶來交通壅塞等，</w:t>
      </w:r>
      <w:proofErr w:type="gramStart"/>
      <w:r w:rsidRPr="00DC3EAD">
        <w:rPr>
          <w:rFonts w:ascii="標楷體" w:eastAsia="標楷體" w:hAnsi="標楷體" w:cs="Times New Roman" w:hint="eastAsia"/>
          <w:color w:val="000000" w:themeColor="text1"/>
          <w:szCs w:val="24"/>
        </w:rPr>
        <w:t>爰</w:t>
      </w:r>
      <w:proofErr w:type="gramEnd"/>
      <w:r w:rsidRPr="00DC3EAD">
        <w:rPr>
          <w:rFonts w:ascii="標楷體" w:eastAsia="標楷體" w:hAnsi="標楷體" w:cs="Times New Roman" w:hint="eastAsia"/>
          <w:color w:val="000000" w:themeColor="text1"/>
          <w:szCs w:val="24"/>
        </w:rPr>
        <w:t>重新簽報計畫已不具可行性，獲臺北市政府111年7月21日及市議會111年10月5日同意停辦，致原於110年2月決標辦理房舍設計監造委託技術服務案因故提前解約，</w:t>
      </w:r>
      <w:proofErr w:type="gramStart"/>
      <w:r w:rsidRPr="00DC3EAD">
        <w:rPr>
          <w:rFonts w:ascii="標楷體" w:eastAsia="標楷體" w:hAnsi="標楷體" w:cs="Times New Roman" w:hint="eastAsia"/>
          <w:color w:val="000000" w:themeColor="text1"/>
          <w:szCs w:val="24"/>
        </w:rPr>
        <w:t>徒耗委</w:t>
      </w:r>
      <w:proofErr w:type="gramEnd"/>
      <w:r w:rsidRPr="00DC3EAD">
        <w:rPr>
          <w:rFonts w:ascii="標楷體" w:eastAsia="標楷體" w:hAnsi="標楷體" w:cs="Times New Roman" w:hint="eastAsia"/>
          <w:color w:val="000000" w:themeColor="text1"/>
          <w:szCs w:val="24"/>
        </w:rPr>
        <w:t>外設計費支出761萬餘元，有待檢討改善。</w:t>
      </w:r>
    </w:p>
    <w:p w14:paraId="361D37CB" w14:textId="77777777" w:rsidR="008466B3" w:rsidRPr="00DC3EAD" w:rsidRDefault="008466B3" w:rsidP="008466B3">
      <w:pPr>
        <w:widowControl/>
        <w:overflowPunct w:val="0"/>
        <w:spacing w:beforeLines="50" w:before="180" w:afterLines="50" w:after="180" w:line="460" w:lineRule="exact"/>
        <w:ind w:firstLineChars="100" w:firstLine="280"/>
        <w:jc w:val="both"/>
        <w:rPr>
          <w:rFonts w:ascii="標楷體" w:eastAsia="標楷體" w:hAnsi="標楷體" w:cs="Arial"/>
          <w:b/>
          <w:color w:val="000000" w:themeColor="text1"/>
          <w:kern w:val="0"/>
          <w:sz w:val="28"/>
          <w:szCs w:val="28"/>
        </w:rPr>
      </w:pPr>
      <w:r w:rsidRPr="00DC3EAD">
        <w:rPr>
          <w:rFonts w:ascii="標楷體" w:eastAsia="標楷體" w:hAnsi="標楷體" w:cs="Arial" w:hint="eastAsia"/>
          <w:b/>
          <w:color w:val="000000" w:themeColor="text1"/>
          <w:kern w:val="0"/>
          <w:sz w:val="28"/>
          <w:szCs w:val="28"/>
        </w:rPr>
        <w:lastRenderedPageBreak/>
        <w:t>（十）為提升全市降雨容受力及強化都市防洪韌性，辦理排水防洪設施管理維護與興建，惟雨水</w:t>
      </w:r>
      <w:proofErr w:type="gramStart"/>
      <w:r w:rsidRPr="00DC3EAD">
        <w:rPr>
          <w:rFonts w:ascii="標楷體" w:eastAsia="標楷體" w:hAnsi="標楷體" w:cs="Arial" w:hint="eastAsia"/>
          <w:b/>
          <w:color w:val="000000" w:themeColor="text1"/>
          <w:kern w:val="0"/>
          <w:sz w:val="28"/>
          <w:szCs w:val="28"/>
        </w:rPr>
        <w:t>下水道間有管線</w:t>
      </w:r>
      <w:proofErr w:type="gramEnd"/>
      <w:r w:rsidRPr="00DC3EAD">
        <w:rPr>
          <w:rFonts w:ascii="標楷體" w:eastAsia="標楷體" w:hAnsi="標楷體" w:cs="Arial" w:hint="eastAsia"/>
          <w:b/>
          <w:color w:val="000000" w:themeColor="text1"/>
          <w:kern w:val="0"/>
          <w:sz w:val="28"/>
          <w:szCs w:val="28"/>
        </w:rPr>
        <w:t>橫越影響水流，經列管多年尚待改善等情，有待加速辦理。</w:t>
      </w:r>
    </w:p>
    <w:p w14:paraId="6D941698" w14:textId="77777777" w:rsidR="0029756E" w:rsidRPr="00DC3EAD" w:rsidRDefault="008466B3" w:rsidP="005417EB">
      <w:pPr>
        <w:widowControl/>
        <w:overflowPunct w:val="0"/>
        <w:spacing w:line="450" w:lineRule="exact"/>
        <w:ind w:firstLineChars="200" w:firstLine="480"/>
        <w:jc w:val="both"/>
        <w:rPr>
          <w:rFonts w:ascii="標楷體" w:eastAsia="標楷體" w:hAnsi="標楷體" w:cs="Times New Roman"/>
          <w:color w:val="000000" w:themeColor="text1"/>
          <w:szCs w:val="24"/>
        </w:rPr>
      </w:pPr>
      <w:r w:rsidRPr="00DC3EAD">
        <w:rPr>
          <w:rFonts w:ascii="標楷體" w:eastAsia="標楷體" w:hAnsi="標楷體" w:cs="Times New Roman" w:hint="eastAsia"/>
          <w:color w:val="000000" w:themeColor="text1"/>
          <w:szCs w:val="24"/>
        </w:rPr>
        <w:t>工務局水利工程處</w:t>
      </w:r>
      <w:proofErr w:type="gramStart"/>
      <w:r w:rsidRPr="00DC3EAD">
        <w:rPr>
          <w:rFonts w:ascii="標楷體" w:eastAsia="標楷體" w:hAnsi="標楷體" w:cs="Times New Roman" w:hint="eastAsia"/>
          <w:color w:val="000000" w:themeColor="text1"/>
          <w:szCs w:val="24"/>
        </w:rPr>
        <w:t>鑑</w:t>
      </w:r>
      <w:proofErr w:type="gramEnd"/>
      <w:r w:rsidRPr="00DC3EAD">
        <w:rPr>
          <w:rFonts w:ascii="標楷體" w:eastAsia="標楷體" w:hAnsi="標楷體" w:cs="Times New Roman" w:hint="eastAsia"/>
          <w:color w:val="000000" w:themeColor="text1"/>
          <w:szCs w:val="24"/>
        </w:rPr>
        <w:t>於氣候變遷導致災害風險增加，為降低水患發生，</w:t>
      </w:r>
      <w:proofErr w:type="gramStart"/>
      <w:r w:rsidRPr="00DC3EAD">
        <w:rPr>
          <w:rFonts w:ascii="標楷體" w:eastAsia="標楷體" w:hAnsi="標楷體" w:cs="Times New Roman" w:hint="eastAsia"/>
          <w:color w:val="000000" w:themeColor="text1"/>
          <w:szCs w:val="24"/>
        </w:rPr>
        <w:t>112</w:t>
      </w:r>
      <w:proofErr w:type="gramEnd"/>
      <w:r w:rsidRPr="00DC3EAD">
        <w:rPr>
          <w:rFonts w:ascii="標楷體" w:eastAsia="標楷體" w:hAnsi="標楷體" w:cs="Times New Roman" w:hint="eastAsia"/>
          <w:color w:val="000000" w:themeColor="text1"/>
          <w:szCs w:val="24"/>
        </w:rPr>
        <w:t>年度編列20億7,610萬餘元，</w:t>
      </w:r>
      <w:proofErr w:type="gramStart"/>
      <w:r w:rsidRPr="00DC3EAD">
        <w:rPr>
          <w:rFonts w:ascii="標楷體" w:eastAsia="標楷體" w:hAnsi="標楷體" w:cs="Times New Roman" w:hint="eastAsia"/>
          <w:color w:val="000000" w:themeColor="text1"/>
          <w:szCs w:val="24"/>
        </w:rPr>
        <w:t>賡</w:t>
      </w:r>
      <w:proofErr w:type="gramEnd"/>
      <w:r w:rsidRPr="00DC3EAD">
        <w:rPr>
          <w:rFonts w:ascii="標楷體" w:eastAsia="標楷體" w:hAnsi="標楷體" w:cs="Times New Roman" w:hint="eastAsia"/>
          <w:color w:val="000000" w:themeColor="text1"/>
          <w:szCs w:val="24"/>
        </w:rPr>
        <w:t>續推動</w:t>
      </w:r>
      <w:proofErr w:type="gramStart"/>
      <w:r w:rsidRPr="00DC3EAD">
        <w:rPr>
          <w:rFonts w:ascii="標楷體" w:eastAsia="標楷體" w:hAnsi="標楷體" w:cs="Times New Roman" w:hint="eastAsia"/>
          <w:color w:val="000000" w:themeColor="text1"/>
          <w:szCs w:val="24"/>
        </w:rPr>
        <w:t>滯洪池及</w:t>
      </w:r>
      <w:proofErr w:type="gramEnd"/>
      <w:r w:rsidRPr="00DC3EAD">
        <w:rPr>
          <w:rFonts w:ascii="標楷體" w:eastAsia="標楷體" w:hAnsi="標楷體" w:cs="Times New Roman" w:hint="eastAsia"/>
          <w:color w:val="000000" w:themeColor="text1"/>
          <w:szCs w:val="24"/>
        </w:rPr>
        <w:t>抽水站興建、更新及維護、雨水下水道縱走調查、</w:t>
      </w:r>
      <w:proofErr w:type="gramStart"/>
      <w:r w:rsidRPr="00DC3EAD">
        <w:rPr>
          <w:rFonts w:ascii="標楷體" w:eastAsia="標楷體" w:hAnsi="標楷體" w:cs="Times New Roman" w:hint="eastAsia"/>
          <w:color w:val="000000" w:themeColor="text1"/>
          <w:szCs w:val="24"/>
        </w:rPr>
        <w:t>沉</w:t>
      </w:r>
      <w:proofErr w:type="gramEnd"/>
      <w:r w:rsidRPr="00DC3EAD">
        <w:rPr>
          <w:rFonts w:ascii="標楷體" w:eastAsia="標楷體" w:hAnsi="標楷體" w:cs="Times New Roman" w:hint="eastAsia"/>
          <w:color w:val="000000" w:themeColor="text1"/>
          <w:szCs w:val="24"/>
        </w:rPr>
        <w:t>砂</w:t>
      </w:r>
      <w:proofErr w:type="gramStart"/>
      <w:r w:rsidRPr="00DC3EAD">
        <w:rPr>
          <w:rFonts w:ascii="標楷體" w:eastAsia="標楷體" w:hAnsi="標楷體" w:cs="Times New Roman" w:hint="eastAsia"/>
          <w:color w:val="000000" w:themeColor="text1"/>
          <w:szCs w:val="24"/>
        </w:rPr>
        <w:t>池清疏與</w:t>
      </w:r>
      <w:proofErr w:type="gramEnd"/>
      <w:r w:rsidRPr="00DC3EAD">
        <w:rPr>
          <w:rFonts w:ascii="標楷體" w:eastAsia="標楷體" w:hAnsi="標楷體" w:cs="Times New Roman" w:hint="eastAsia"/>
          <w:color w:val="000000" w:themeColor="text1"/>
          <w:szCs w:val="24"/>
        </w:rPr>
        <w:t>維護及水情監測等措施。經查排水防洪設施興建及管理維護情形，核有：1.臺北市下水道管理自治條例第4條規定，任何設施不得穿越雨水下水道及其附屬設施。臺北市雨水下水道建設總長度達716公里，截至112年9月止，工務局水利</w:t>
      </w:r>
      <w:proofErr w:type="gramStart"/>
      <w:r w:rsidRPr="00DC3EAD">
        <w:rPr>
          <w:rFonts w:ascii="標楷體" w:eastAsia="標楷體" w:hAnsi="標楷體" w:cs="Times New Roman" w:hint="eastAsia"/>
          <w:color w:val="000000" w:themeColor="text1"/>
          <w:szCs w:val="24"/>
        </w:rPr>
        <w:t>工程處錄案之</w:t>
      </w:r>
      <w:proofErr w:type="gramEnd"/>
      <w:r w:rsidRPr="00DC3EAD">
        <w:rPr>
          <w:rFonts w:ascii="標楷體" w:eastAsia="標楷體" w:hAnsi="標楷體" w:cs="Times New Roman" w:hint="eastAsia"/>
          <w:color w:val="000000" w:themeColor="text1"/>
          <w:szCs w:val="24"/>
        </w:rPr>
        <w:t>管線橫越案件有18件尚未改善完成仍在列管中或</w:t>
      </w:r>
      <w:proofErr w:type="gramStart"/>
      <w:r w:rsidRPr="00DC3EAD">
        <w:rPr>
          <w:rFonts w:ascii="標楷體" w:eastAsia="標楷體" w:hAnsi="標楷體" w:cs="Times New Roman" w:hint="eastAsia"/>
          <w:color w:val="000000" w:themeColor="text1"/>
          <w:szCs w:val="24"/>
        </w:rPr>
        <w:t>提報解列中</w:t>
      </w:r>
      <w:proofErr w:type="gramEnd"/>
      <w:r w:rsidRPr="00DC3EAD">
        <w:rPr>
          <w:rFonts w:ascii="標楷體" w:eastAsia="標楷體" w:hAnsi="標楷體" w:cs="Times New Roman" w:hint="eastAsia"/>
          <w:color w:val="000000" w:themeColor="text1"/>
          <w:szCs w:val="24"/>
        </w:rPr>
        <w:t>，其中7件係於109及</w:t>
      </w:r>
      <w:proofErr w:type="gramStart"/>
      <w:r w:rsidRPr="00DC3EAD">
        <w:rPr>
          <w:rFonts w:ascii="標楷體" w:eastAsia="標楷體" w:hAnsi="標楷體" w:cs="Times New Roman" w:hint="eastAsia"/>
          <w:color w:val="000000" w:themeColor="text1"/>
          <w:szCs w:val="24"/>
        </w:rPr>
        <w:t>110年錄案</w:t>
      </w:r>
      <w:proofErr w:type="gramEnd"/>
      <w:r w:rsidRPr="00DC3EAD">
        <w:rPr>
          <w:rFonts w:ascii="標楷體" w:eastAsia="標楷體" w:hAnsi="標楷體" w:cs="Times New Roman" w:hint="eastAsia"/>
          <w:color w:val="000000" w:themeColor="text1"/>
          <w:szCs w:val="24"/>
        </w:rPr>
        <w:t>，歷時多年</w:t>
      </w:r>
      <w:proofErr w:type="gramStart"/>
      <w:r w:rsidRPr="00DC3EAD">
        <w:rPr>
          <w:rFonts w:ascii="標楷體" w:eastAsia="標楷體" w:hAnsi="標楷體" w:cs="Times New Roman" w:hint="eastAsia"/>
          <w:color w:val="000000" w:themeColor="text1"/>
          <w:szCs w:val="24"/>
        </w:rPr>
        <w:t>迄</w:t>
      </w:r>
      <w:proofErr w:type="gramEnd"/>
      <w:r w:rsidRPr="00DC3EAD">
        <w:rPr>
          <w:rFonts w:ascii="標楷體" w:eastAsia="標楷體" w:hAnsi="標楷體" w:cs="Times New Roman" w:hint="eastAsia"/>
          <w:color w:val="000000" w:themeColor="text1"/>
          <w:szCs w:val="24"/>
        </w:rPr>
        <w:t>未完成改善解除列管；2.據臺北市積水資訊網所載，112年截至11月底止，臺北市因暴雨而發生積淹水15公分以上者計有41次，其中有4處經常發生積淹水，分別有2至3次，又經常發生積淹水地點之中山區中山北路錦西街口及大同區延平北路1段136號等處，係屬水利工程處興建之中山錦州人行地下道滯</w:t>
      </w:r>
      <w:proofErr w:type="gramStart"/>
      <w:r w:rsidRPr="00DC3EAD">
        <w:rPr>
          <w:rFonts w:ascii="標楷體" w:eastAsia="標楷體" w:hAnsi="標楷體" w:cs="Times New Roman" w:hint="eastAsia"/>
          <w:color w:val="000000" w:themeColor="text1"/>
          <w:szCs w:val="24"/>
        </w:rPr>
        <w:t>洪池集</w:t>
      </w:r>
      <w:proofErr w:type="gramEnd"/>
      <w:r w:rsidRPr="00DC3EAD">
        <w:rPr>
          <w:rFonts w:ascii="標楷體" w:eastAsia="標楷體" w:hAnsi="標楷體" w:cs="Times New Roman" w:hint="eastAsia"/>
          <w:color w:val="000000" w:themeColor="text1"/>
          <w:szCs w:val="24"/>
        </w:rPr>
        <w:t>水範圍內，</w:t>
      </w:r>
      <w:proofErr w:type="gramStart"/>
      <w:r w:rsidRPr="00DC3EAD">
        <w:rPr>
          <w:rFonts w:ascii="標楷體" w:eastAsia="標楷體" w:hAnsi="標楷體" w:cs="Times New Roman" w:hint="eastAsia"/>
          <w:color w:val="000000" w:themeColor="text1"/>
          <w:szCs w:val="24"/>
        </w:rPr>
        <w:t>該滯洪池已</w:t>
      </w:r>
      <w:proofErr w:type="gramEnd"/>
      <w:r w:rsidRPr="00DC3EAD">
        <w:rPr>
          <w:rFonts w:ascii="標楷體" w:eastAsia="標楷體" w:hAnsi="標楷體" w:cs="Times New Roman" w:hint="eastAsia"/>
          <w:color w:val="000000" w:themeColor="text1"/>
          <w:szCs w:val="24"/>
        </w:rPr>
        <w:t>於110年6月17日完工啟用，惟經運用地理資訊系統將該集水範圍區域與臺北市積水資訊網所載</w:t>
      </w:r>
      <w:proofErr w:type="gramStart"/>
      <w:r w:rsidRPr="00DC3EAD">
        <w:rPr>
          <w:rFonts w:ascii="標楷體" w:eastAsia="標楷體" w:hAnsi="標楷體" w:cs="Times New Roman" w:hint="eastAsia"/>
          <w:color w:val="000000" w:themeColor="text1"/>
          <w:szCs w:val="24"/>
        </w:rPr>
        <w:t>112</w:t>
      </w:r>
      <w:proofErr w:type="gramEnd"/>
      <w:r w:rsidRPr="00DC3EAD">
        <w:rPr>
          <w:rFonts w:ascii="標楷體" w:eastAsia="標楷體" w:hAnsi="標楷體" w:cs="Times New Roman" w:hint="eastAsia"/>
          <w:color w:val="000000" w:themeColor="text1"/>
          <w:szCs w:val="24"/>
        </w:rPr>
        <w:t>年度積淹水</w:t>
      </w:r>
      <w:proofErr w:type="gramStart"/>
      <w:r w:rsidRPr="00DC3EAD">
        <w:rPr>
          <w:rFonts w:ascii="標楷體" w:eastAsia="標楷體" w:hAnsi="標楷體" w:cs="Times New Roman" w:hint="eastAsia"/>
          <w:color w:val="000000" w:themeColor="text1"/>
          <w:szCs w:val="24"/>
        </w:rPr>
        <w:t>地點套疊結果</w:t>
      </w:r>
      <w:proofErr w:type="gramEnd"/>
      <w:r w:rsidRPr="00DC3EAD">
        <w:rPr>
          <w:rFonts w:ascii="標楷體" w:eastAsia="標楷體" w:hAnsi="標楷體" w:cs="Times New Roman" w:hint="eastAsia"/>
          <w:color w:val="000000" w:themeColor="text1"/>
          <w:szCs w:val="24"/>
        </w:rPr>
        <w:t>，集水範圍內因暴雨而發生積淹水事件計有7次，有待</w:t>
      </w:r>
      <w:proofErr w:type="gramStart"/>
      <w:r w:rsidRPr="00DC3EAD">
        <w:rPr>
          <w:rFonts w:ascii="標楷體" w:eastAsia="標楷體" w:hAnsi="標楷體" w:cs="Times New Roman" w:hint="eastAsia"/>
          <w:color w:val="000000" w:themeColor="text1"/>
          <w:szCs w:val="24"/>
        </w:rPr>
        <w:t>研謀策</w:t>
      </w:r>
      <w:proofErr w:type="gramEnd"/>
      <w:r w:rsidRPr="00DC3EAD">
        <w:rPr>
          <w:rFonts w:ascii="標楷體" w:eastAsia="標楷體" w:hAnsi="標楷體" w:cs="Times New Roman" w:hint="eastAsia"/>
          <w:color w:val="000000" w:themeColor="text1"/>
          <w:szCs w:val="24"/>
        </w:rPr>
        <w:t>進，針對易淹水區域強化排水防洪效能，以達成防災韌性目標。</w:t>
      </w:r>
    </w:p>
    <w:p w14:paraId="0F4B1C2D" w14:textId="77777777" w:rsidR="0029756E" w:rsidRPr="00430D32" w:rsidRDefault="0029756E" w:rsidP="0029756E">
      <w:pPr>
        <w:widowControl/>
        <w:spacing w:before="200" w:after="200" w:line="440" w:lineRule="exact"/>
        <w:rPr>
          <w:rFonts w:ascii="Cambria" w:eastAsia="標楷體" w:hAnsi="Cambria" w:cs="Times New Roman"/>
          <w:b/>
          <w:bCs/>
          <w:kern w:val="52"/>
          <w:sz w:val="32"/>
          <w:szCs w:val="52"/>
        </w:rPr>
      </w:pPr>
      <w:r w:rsidRPr="00430D32">
        <w:rPr>
          <w:rFonts w:ascii="Cambria" w:eastAsia="標楷體" w:hAnsi="Cambria" w:cs="Times New Roman" w:hint="eastAsia"/>
          <w:b/>
          <w:bCs/>
          <w:kern w:val="52"/>
          <w:sz w:val="32"/>
          <w:szCs w:val="52"/>
        </w:rPr>
        <w:t>四、重要審核意見</w:t>
      </w:r>
    </w:p>
    <w:p w14:paraId="4F84A2D8" w14:textId="23AF2548" w:rsidR="0029756E" w:rsidRPr="00430D32" w:rsidRDefault="0029756E" w:rsidP="005B73B0">
      <w:pPr>
        <w:spacing w:beforeLines="20" w:before="72" w:afterLines="20" w:after="72" w:line="480" w:lineRule="exact"/>
        <w:ind w:firstLineChars="100" w:firstLine="290"/>
        <w:jc w:val="both"/>
        <w:rPr>
          <w:rFonts w:ascii="標楷體" w:eastAsia="標楷體" w:hAnsi="標楷體" w:cs="Times New Roman"/>
          <w:b/>
          <w:spacing w:val="5"/>
          <w:sz w:val="28"/>
          <w:szCs w:val="28"/>
        </w:rPr>
      </w:pPr>
      <w:bookmarkStart w:id="2" w:name="_Hlk170905047"/>
      <w:r w:rsidRPr="00430D32">
        <w:rPr>
          <w:rFonts w:ascii="標楷體" w:eastAsia="標楷體" w:hAnsi="標楷體" w:cs="Times New Roman" w:hint="eastAsia"/>
          <w:b/>
          <w:bCs/>
          <w:spacing w:val="5"/>
          <w:kern w:val="52"/>
          <w:sz w:val="28"/>
          <w:szCs w:val="28"/>
        </w:rPr>
        <w:t>（一）近</w:t>
      </w:r>
      <w:proofErr w:type="gramStart"/>
      <w:r w:rsidRPr="00430D32">
        <w:rPr>
          <w:rFonts w:ascii="標楷體" w:eastAsia="標楷體" w:hAnsi="標楷體" w:cs="Times New Roman" w:hint="eastAsia"/>
          <w:b/>
          <w:bCs/>
          <w:spacing w:val="5"/>
          <w:kern w:val="52"/>
          <w:sz w:val="28"/>
          <w:szCs w:val="28"/>
        </w:rPr>
        <w:t>5</w:t>
      </w:r>
      <w:proofErr w:type="gramEnd"/>
      <w:r w:rsidRPr="00430D32">
        <w:rPr>
          <w:rFonts w:ascii="標楷體" w:eastAsia="標楷體" w:hAnsi="標楷體" w:cs="Times New Roman" w:hint="eastAsia"/>
          <w:b/>
          <w:bCs/>
          <w:spacing w:val="5"/>
          <w:kern w:val="52"/>
          <w:sz w:val="28"/>
          <w:szCs w:val="28"/>
        </w:rPr>
        <w:t>年度歲入決算審定數成長率高於歲出決算審定數，歲計賸餘數呈遞增趨勢，</w:t>
      </w:r>
      <w:proofErr w:type="gramStart"/>
      <w:r w:rsidRPr="00430D32">
        <w:rPr>
          <w:rFonts w:ascii="標楷體" w:eastAsia="標楷體" w:hAnsi="標楷體" w:cs="Times New Roman" w:hint="eastAsia"/>
          <w:b/>
          <w:bCs/>
          <w:spacing w:val="5"/>
          <w:kern w:val="52"/>
          <w:sz w:val="28"/>
          <w:szCs w:val="28"/>
        </w:rPr>
        <w:t>惟稅課</w:t>
      </w:r>
      <w:proofErr w:type="gramEnd"/>
      <w:r w:rsidRPr="00430D32">
        <w:rPr>
          <w:rFonts w:ascii="標楷體" w:eastAsia="標楷體" w:hAnsi="標楷體" w:cs="Times New Roman" w:hint="eastAsia"/>
          <w:b/>
          <w:bCs/>
          <w:spacing w:val="5"/>
          <w:kern w:val="52"/>
          <w:sz w:val="28"/>
          <w:szCs w:val="28"/>
        </w:rPr>
        <w:t>收入執行結果與預測存有落差，</w:t>
      </w:r>
      <w:proofErr w:type="gramStart"/>
      <w:r w:rsidRPr="00430D32">
        <w:rPr>
          <w:rFonts w:ascii="標楷體" w:eastAsia="標楷體" w:hAnsi="標楷體" w:cs="Times New Roman" w:hint="eastAsia"/>
          <w:b/>
          <w:bCs/>
          <w:spacing w:val="5"/>
          <w:kern w:val="52"/>
          <w:sz w:val="28"/>
          <w:szCs w:val="28"/>
        </w:rPr>
        <w:t>且歲出</w:t>
      </w:r>
      <w:proofErr w:type="gramEnd"/>
      <w:r w:rsidRPr="00430D32">
        <w:rPr>
          <w:rFonts w:ascii="標楷體" w:eastAsia="標楷體" w:hAnsi="標楷體" w:cs="Times New Roman" w:hint="eastAsia"/>
          <w:b/>
          <w:bCs/>
          <w:spacing w:val="5"/>
          <w:kern w:val="52"/>
          <w:sz w:val="28"/>
          <w:szCs w:val="28"/>
        </w:rPr>
        <w:t>規模成長逾</w:t>
      </w:r>
      <w:proofErr w:type="gramStart"/>
      <w:r w:rsidRPr="00430D32">
        <w:rPr>
          <w:rFonts w:ascii="標楷體" w:eastAsia="標楷體" w:hAnsi="標楷體" w:cs="Times New Roman" w:hint="eastAsia"/>
          <w:b/>
          <w:bCs/>
          <w:spacing w:val="5"/>
          <w:kern w:val="52"/>
          <w:sz w:val="28"/>
          <w:szCs w:val="28"/>
        </w:rPr>
        <w:t>6成</w:t>
      </w:r>
      <w:proofErr w:type="gramEnd"/>
      <w:r w:rsidRPr="00430D32">
        <w:rPr>
          <w:rFonts w:ascii="標楷體" w:eastAsia="標楷體" w:hAnsi="標楷體" w:cs="Times New Roman" w:hint="eastAsia"/>
          <w:b/>
          <w:bCs/>
          <w:spacing w:val="5"/>
          <w:kern w:val="52"/>
          <w:sz w:val="28"/>
          <w:szCs w:val="28"/>
        </w:rPr>
        <w:t>配置於經常支出，制約資本支出增長，仍待</w:t>
      </w:r>
      <w:proofErr w:type="gramStart"/>
      <w:r w:rsidRPr="00430D32">
        <w:rPr>
          <w:rFonts w:ascii="標楷體" w:eastAsia="標楷體" w:hAnsi="標楷體" w:cs="Times New Roman" w:hint="eastAsia"/>
          <w:b/>
          <w:bCs/>
          <w:spacing w:val="5"/>
          <w:kern w:val="52"/>
          <w:sz w:val="28"/>
          <w:szCs w:val="28"/>
        </w:rPr>
        <w:t>研謀善策</w:t>
      </w:r>
      <w:proofErr w:type="gramEnd"/>
      <w:r w:rsidRPr="00430D32">
        <w:rPr>
          <w:rFonts w:ascii="標楷體" w:eastAsia="標楷體" w:hAnsi="標楷體" w:cs="Times New Roman" w:hint="eastAsia"/>
          <w:b/>
          <w:bCs/>
          <w:spacing w:val="5"/>
          <w:kern w:val="52"/>
          <w:sz w:val="28"/>
          <w:szCs w:val="28"/>
        </w:rPr>
        <w:t>，審慎規劃資源配置。</w:t>
      </w:r>
    </w:p>
    <w:bookmarkEnd w:id="2"/>
    <w:p w14:paraId="2E6810A9" w14:textId="47C00E52" w:rsidR="0029756E" w:rsidRDefault="0029756E" w:rsidP="005B73B0">
      <w:pPr>
        <w:spacing w:beforeLines="40" w:before="144" w:line="460" w:lineRule="exact"/>
        <w:ind w:firstLineChars="200" w:firstLine="480"/>
        <w:jc w:val="both"/>
        <w:rPr>
          <w:rFonts w:ascii="標楷體" w:eastAsia="標楷體" w:hAnsi="標楷體" w:cs="Times New Roman"/>
          <w:bCs/>
          <w:szCs w:val="24"/>
        </w:rPr>
      </w:pPr>
      <w:r w:rsidRPr="00430D32">
        <w:rPr>
          <w:rFonts w:ascii="標楷體" w:eastAsia="標楷體" w:hAnsi="標楷體" w:cs="Times New Roman" w:hint="eastAsia"/>
          <w:bCs/>
          <w:szCs w:val="24"/>
        </w:rPr>
        <w:t>臺北市政府</w:t>
      </w:r>
      <w:proofErr w:type="gramStart"/>
      <w:r w:rsidRPr="00430D32">
        <w:rPr>
          <w:rFonts w:ascii="標楷體" w:eastAsia="標楷體" w:hAnsi="標楷體" w:cs="Times New Roman" w:hint="eastAsia"/>
          <w:bCs/>
          <w:szCs w:val="24"/>
        </w:rPr>
        <w:t>113</w:t>
      </w:r>
      <w:proofErr w:type="gramEnd"/>
      <w:r w:rsidRPr="00430D32">
        <w:rPr>
          <w:rFonts w:ascii="標楷體" w:eastAsia="標楷體" w:hAnsi="標楷體" w:cs="Times New Roman" w:hint="eastAsia"/>
          <w:bCs/>
          <w:szCs w:val="24"/>
        </w:rPr>
        <w:t>年度總預算執行結果，歲入決算審定數2,252億8,799萬餘元，歲出決算審定數1,983億6,932萬餘元，歲入歲出相抵賸餘269億1,867萬餘元，經債務還本99億1,358萬餘元後，收支賸餘170億508萬餘元。經查臺北市政府執行總預算情形，核有下列事項：</w:t>
      </w:r>
    </w:p>
    <w:p w14:paraId="30FC70E0" w14:textId="2265BB72" w:rsidR="005B73B0" w:rsidRDefault="005B73B0" w:rsidP="005B73B0">
      <w:pPr>
        <w:spacing w:beforeLines="20" w:before="72" w:line="450" w:lineRule="exact"/>
        <w:ind w:firstLineChars="200" w:firstLine="480"/>
        <w:jc w:val="both"/>
        <w:rPr>
          <w:rFonts w:ascii="標楷體" w:eastAsia="標楷體" w:hAnsi="標楷體"/>
          <w:bCs/>
          <w:szCs w:val="24"/>
        </w:rPr>
      </w:pPr>
      <w:r w:rsidRPr="00430D32">
        <w:rPr>
          <w:rFonts w:ascii="標楷體" w:eastAsia="標楷體" w:hAnsi="標楷體" w:cs="Times New Roman"/>
          <w:b/>
          <w:bCs/>
          <w:szCs w:val="24"/>
        </w:rPr>
        <w:t>1.</w:t>
      </w:r>
      <w:r w:rsidRPr="00430D32">
        <w:rPr>
          <w:rFonts w:ascii="標楷體" w:eastAsia="標楷體" w:hAnsi="標楷體" w:hint="eastAsia"/>
          <w:b/>
          <w:snapToGrid w:val="0"/>
          <w:kern w:val="0"/>
          <w:szCs w:val="24"/>
        </w:rPr>
        <w:t>近</w:t>
      </w:r>
      <w:proofErr w:type="gramStart"/>
      <w:r w:rsidRPr="00430D32">
        <w:rPr>
          <w:rFonts w:ascii="標楷體" w:eastAsia="標楷體" w:hAnsi="標楷體" w:hint="eastAsia"/>
          <w:b/>
          <w:snapToGrid w:val="0"/>
          <w:kern w:val="0"/>
          <w:szCs w:val="24"/>
        </w:rPr>
        <w:t>5</w:t>
      </w:r>
      <w:proofErr w:type="gramEnd"/>
      <w:r w:rsidRPr="00430D32">
        <w:rPr>
          <w:rFonts w:ascii="標楷體" w:eastAsia="標楷體" w:hAnsi="標楷體" w:hint="eastAsia"/>
          <w:b/>
          <w:snapToGrid w:val="0"/>
          <w:kern w:val="0"/>
          <w:szCs w:val="24"/>
        </w:rPr>
        <w:t>年度歲入決算審定數呈遞增趨勢，其中稅課收</w:t>
      </w:r>
      <w:proofErr w:type="gramStart"/>
      <w:r w:rsidRPr="00430D32">
        <w:rPr>
          <w:rFonts w:ascii="標楷體" w:eastAsia="標楷體" w:hAnsi="標楷體" w:hint="eastAsia"/>
          <w:b/>
          <w:snapToGrid w:val="0"/>
          <w:kern w:val="0"/>
          <w:szCs w:val="24"/>
        </w:rPr>
        <w:t>入超收數占</w:t>
      </w:r>
      <w:proofErr w:type="gramEnd"/>
      <w:r w:rsidRPr="00430D32">
        <w:rPr>
          <w:rFonts w:ascii="標楷體" w:eastAsia="標楷體" w:hAnsi="標楷體" w:hint="eastAsia"/>
          <w:b/>
          <w:snapToGrid w:val="0"/>
          <w:kern w:val="0"/>
          <w:szCs w:val="24"/>
        </w:rPr>
        <w:t>歲</w:t>
      </w:r>
      <w:proofErr w:type="gramStart"/>
      <w:r w:rsidRPr="00430D32">
        <w:rPr>
          <w:rFonts w:ascii="標楷體" w:eastAsia="標楷體" w:hAnsi="標楷體" w:hint="eastAsia"/>
          <w:b/>
          <w:snapToGrid w:val="0"/>
          <w:kern w:val="0"/>
          <w:szCs w:val="24"/>
        </w:rPr>
        <w:t>入超收數之</w:t>
      </w:r>
      <w:proofErr w:type="gramEnd"/>
      <w:r w:rsidRPr="00430D32">
        <w:rPr>
          <w:rFonts w:ascii="標楷體" w:eastAsia="標楷體" w:hAnsi="標楷體" w:hint="eastAsia"/>
          <w:b/>
          <w:snapToGrid w:val="0"/>
          <w:kern w:val="0"/>
          <w:szCs w:val="24"/>
        </w:rPr>
        <w:t>比率已逾</w:t>
      </w:r>
      <w:proofErr w:type="gramStart"/>
      <w:r w:rsidRPr="00430D32">
        <w:rPr>
          <w:rFonts w:ascii="標楷體" w:eastAsia="標楷體" w:hAnsi="標楷體" w:hint="eastAsia"/>
          <w:b/>
          <w:snapToGrid w:val="0"/>
          <w:kern w:val="0"/>
          <w:szCs w:val="24"/>
        </w:rPr>
        <w:t>7成</w:t>
      </w:r>
      <w:proofErr w:type="gramEnd"/>
      <w:r w:rsidRPr="00430D32">
        <w:rPr>
          <w:rFonts w:ascii="標楷體" w:eastAsia="標楷體" w:hAnsi="標楷體" w:hint="eastAsia"/>
          <w:b/>
          <w:snapToGrid w:val="0"/>
          <w:kern w:val="0"/>
          <w:szCs w:val="24"/>
        </w:rPr>
        <w:t>，執行結果與預測存有落差：</w:t>
      </w:r>
      <w:r w:rsidRPr="00430D32">
        <w:rPr>
          <w:rFonts w:ascii="標楷體" w:eastAsia="標楷體" w:hAnsi="標楷體" w:cs="Times New Roman" w:hint="eastAsia"/>
          <w:bCs/>
          <w:szCs w:val="24"/>
        </w:rPr>
        <w:t>臺北市政府</w:t>
      </w:r>
      <w:r w:rsidRPr="00430D32">
        <w:rPr>
          <w:rFonts w:ascii="標楷體" w:eastAsia="標楷體" w:hAnsi="標楷體" w:hint="eastAsia"/>
          <w:bCs/>
          <w:szCs w:val="24"/>
        </w:rPr>
        <w:t>編列</w:t>
      </w:r>
      <w:proofErr w:type="gramStart"/>
      <w:r w:rsidRPr="00430D32">
        <w:rPr>
          <w:rFonts w:ascii="標楷體" w:eastAsia="標楷體" w:hAnsi="標楷體" w:hint="eastAsia"/>
          <w:bCs/>
          <w:szCs w:val="24"/>
        </w:rPr>
        <w:t>113</w:t>
      </w:r>
      <w:proofErr w:type="gramEnd"/>
      <w:r w:rsidRPr="00430D32">
        <w:rPr>
          <w:rFonts w:ascii="標楷體" w:eastAsia="標楷體" w:hAnsi="標楷體" w:hint="eastAsia"/>
          <w:bCs/>
          <w:szCs w:val="24"/>
        </w:rPr>
        <w:t>年度歲入預算係以108至112年度數據為推估基準，參酌稅課</w:t>
      </w:r>
      <w:proofErr w:type="gramStart"/>
      <w:r w:rsidRPr="00430D32">
        <w:rPr>
          <w:rFonts w:ascii="標楷體" w:eastAsia="標楷體" w:hAnsi="標楷體" w:hint="eastAsia"/>
          <w:bCs/>
          <w:szCs w:val="24"/>
        </w:rPr>
        <w:t>稽</w:t>
      </w:r>
      <w:proofErr w:type="gramEnd"/>
      <w:r w:rsidRPr="00430D32">
        <w:rPr>
          <w:rFonts w:ascii="標楷體" w:eastAsia="標楷體" w:hAnsi="標楷體" w:hint="eastAsia"/>
          <w:bCs/>
          <w:szCs w:val="24"/>
        </w:rPr>
        <w:t>徵實績及稅外收入執行情形，並考量政策變動、法規修正及未來經濟變動趨勢等因素審慎估計編列。經統計</w:t>
      </w:r>
      <w:proofErr w:type="gramStart"/>
      <w:r w:rsidRPr="00430D32">
        <w:rPr>
          <w:rFonts w:ascii="標楷體" w:eastAsia="標楷體" w:hAnsi="標楷體" w:hint="eastAsia"/>
          <w:bCs/>
          <w:szCs w:val="24"/>
        </w:rPr>
        <w:t>該府近</w:t>
      </w:r>
      <w:proofErr w:type="gramEnd"/>
      <w:r w:rsidRPr="00430D32">
        <w:rPr>
          <w:rFonts w:ascii="標楷體" w:eastAsia="標楷體" w:hAnsi="標楷體" w:hint="eastAsia"/>
          <w:bCs/>
          <w:szCs w:val="24"/>
        </w:rPr>
        <w:t>5（109至113，下同）年度歲入決算審定數超逾預算數（下稱超收）共計356億9,224萬餘元（表1），主要係遺產及贈與稅、印花稅等稅課收入較</w:t>
      </w:r>
    </w:p>
    <w:p w14:paraId="23D5A912" w14:textId="77777777" w:rsidR="005B73B0" w:rsidRDefault="005B73B0" w:rsidP="005B73B0">
      <w:pPr>
        <w:spacing w:line="460" w:lineRule="exact"/>
        <w:jc w:val="both"/>
        <w:rPr>
          <w:rFonts w:ascii="標楷體" w:eastAsia="標楷體" w:hAnsi="標楷體"/>
          <w:bCs/>
          <w:szCs w:val="24"/>
        </w:rPr>
      </w:pPr>
      <w:r w:rsidRPr="005B73B0">
        <w:rPr>
          <w:rFonts w:ascii="標楷體" w:eastAsia="標楷體" w:hAnsi="標楷體" w:hint="eastAsia"/>
          <w:bCs/>
          <w:szCs w:val="24"/>
        </w:rPr>
        <w:t>預算數增加275億3,915萬餘元，占歲入超收合計數之77.16％；另以近</w:t>
      </w:r>
      <w:proofErr w:type="gramStart"/>
      <w:r w:rsidRPr="005B73B0">
        <w:rPr>
          <w:rFonts w:ascii="標楷體" w:eastAsia="標楷體" w:hAnsi="標楷體" w:hint="eastAsia"/>
          <w:bCs/>
          <w:szCs w:val="24"/>
        </w:rPr>
        <w:t>5</w:t>
      </w:r>
      <w:proofErr w:type="gramEnd"/>
      <w:r w:rsidRPr="005B73B0">
        <w:rPr>
          <w:rFonts w:ascii="標楷體" w:eastAsia="標楷體" w:hAnsi="標楷體" w:hint="eastAsia"/>
          <w:bCs/>
          <w:szCs w:val="24"/>
        </w:rPr>
        <w:t>年度遺產及贈與稅等</w:t>
      </w:r>
    </w:p>
    <w:p w14:paraId="47443002" w14:textId="4C44A48E" w:rsidR="0029756E" w:rsidRPr="00430D32" w:rsidRDefault="005B73B0" w:rsidP="005B73B0">
      <w:pPr>
        <w:spacing w:line="430" w:lineRule="exact"/>
        <w:jc w:val="both"/>
        <w:rPr>
          <w:rFonts w:ascii="標楷體" w:eastAsia="標楷體" w:hAnsi="標楷體"/>
          <w:bCs/>
          <w:szCs w:val="24"/>
        </w:rPr>
      </w:pPr>
      <w:r w:rsidRPr="00430D32">
        <w:rPr>
          <w:rFonts w:ascii="標楷體" w:hAnsi="標楷體"/>
          <w:noProof/>
        </w:rPr>
        <w:lastRenderedPageBreak/>
        <w:drawing>
          <wp:anchor distT="0" distB="0" distL="114300" distR="114300" simplePos="0" relativeHeight="251802624" behindDoc="1" locked="0" layoutInCell="1" allowOverlap="1" wp14:anchorId="48A4E001" wp14:editId="08D79218">
            <wp:simplePos x="0" y="0"/>
            <wp:positionH relativeFrom="margin">
              <wp:posOffset>2655570</wp:posOffset>
            </wp:positionH>
            <wp:positionV relativeFrom="page">
              <wp:posOffset>3915709</wp:posOffset>
            </wp:positionV>
            <wp:extent cx="3633470" cy="2012950"/>
            <wp:effectExtent l="0" t="0" r="5080" b="6350"/>
            <wp:wrapTight wrapText="bothSides">
              <wp:wrapPolygon edited="0">
                <wp:start x="0" y="0"/>
                <wp:lineTo x="0" y="21464"/>
                <wp:lineTo x="21517" y="21464"/>
                <wp:lineTo x="21517" y="0"/>
                <wp:lineTo x="0" y="0"/>
              </wp:wrapPolygon>
            </wp:wrapTight>
            <wp:docPr id="34" name="圖表 34">
              <a:extLst xmlns:a="http://schemas.openxmlformats.org/drawingml/2006/main">
                <a:ext uri="{FF2B5EF4-FFF2-40B4-BE49-F238E27FC236}">
                  <a16:creationId xmlns:a16="http://schemas.microsoft.com/office/drawing/2014/main" id="{780E2488-93BA-4FFF-BE2D-79F47A5E8A5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10816" behindDoc="1" locked="0" layoutInCell="1" allowOverlap="1" wp14:anchorId="3B1BC672" wp14:editId="31561F51">
                <wp:simplePos x="0" y="0"/>
                <wp:positionH relativeFrom="column">
                  <wp:posOffset>2251710</wp:posOffset>
                </wp:positionH>
                <wp:positionV relativeFrom="page">
                  <wp:posOffset>979230</wp:posOffset>
                </wp:positionV>
                <wp:extent cx="4114800" cy="2743200"/>
                <wp:effectExtent l="0" t="0" r="0" b="0"/>
                <wp:wrapTight wrapText="bothSides">
                  <wp:wrapPolygon edited="0">
                    <wp:start x="0" y="0"/>
                    <wp:lineTo x="0" y="21450"/>
                    <wp:lineTo x="21500" y="21450"/>
                    <wp:lineTo x="21500" y="0"/>
                    <wp:lineTo x="0" y="0"/>
                  </wp:wrapPolygon>
                </wp:wrapTight>
                <wp:docPr id="45" name="文字方塊 45"/>
                <wp:cNvGraphicFramePr/>
                <a:graphic xmlns:a="http://schemas.openxmlformats.org/drawingml/2006/main">
                  <a:graphicData uri="http://schemas.microsoft.com/office/word/2010/wordprocessingShape">
                    <wps:wsp>
                      <wps:cNvSpPr txBox="1"/>
                      <wps:spPr>
                        <a:xfrm>
                          <a:off x="0" y="0"/>
                          <a:ext cx="4114800" cy="2743200"/>
                        </a:xfrm>
                        <a:prstGeom prst="rect">
                          <a:avLst/>
                        </a:prstGeom>
                        <a:solidFill>
                          <a:schemeClr val="lt1"/>
                        </a:solidFill>
                        <a:ln w="6350">
                          <a:noFill/>
                        </a:ln>
                      </wps:spPr>
                      <wps:txbx>
                        <w:txbxContent>
                          <w:tbl>
                            <w:tblPr>
                              <w:tblStyle w:val="a6"/>
                              <w:tblW w:w="0" w:type="auto"/>
                              <w:tblLook w:val="04A0" w:firstRow="1" w:lastRow="0" w:firstColumn="1" w:lastColumn="0" w:noHBand="0" w:noVBand="1"/>
                            </w:tblPr>
                            <w:tblGrid>
                              <w:gridCol w:w="789"/>
                              <w:gridCol w:w="1218"/>
                              <w:gridCol w:w="1268"/>
                              <w:gridCol w:w="869"/>
                              <w:gridCol w:w="1226"/>
                              <w:gridCol w:w="827"/>
                            </w:tblGrid>
                            <w:tr w:rsidR="007B70B7" w14:paraId="080257E7" w14:textId="77777777" w:rsidTr="00AD37CC">
                              <w:tc>
                                <w:tcPr>
                                  <w:tcW w:w="6628" w:type="dxa"/>
                                  <w:gridSpan w:val="6"/>
                                  <w:tcBorders>
                                    <w:top w:val="nil"/>
                                    <w:left w:val="nil"/>
                                    <w:bottom w:val="nil"/>
                                    <w:right w:val="nil"/>
                                  </w:tcBorders>
                                </w:tcPr>
                                <w:p w14:paraId="5758E2D1" w14:textId="08E82446" w:rsidR="007B70B7" w:rsidRPr="0017194E" w:rsidRDefault="007B70B7" w:rsidP="00AD37CC">
                                  <w:pPr>
                                    <w:jc w:val="center"/>
                                    <w:rPr>
                                      <w:sz w:val="24"/>
                                      <w:szCs w:val="24"/>
                                    </w:rPr>
                                  </w:pPr>
                                  <w:r w:rsidRPr="0017194E">
                                    <w:rPr>
                                      <w:rFonts w:ascii="標楷體" w:eastAsia="標楷體" w:hAnsi="標楷體" w:hint="eastAsia"/>
                                      <w:b/>
                                      <w:bCs/>
                                      <w:sz w:val="24"/>
                                      <w:szCs w:val="24"/>
                                    </w:rPr>
                                    <w:t>表</w:t>
                                  </w:r>
                                  <w:r w:rsidRPr="0017194E">
                                    <w:rPr>
                                      <w:rFonts w:ascii="標楷體" w:eastAsia="標楷體" w:hAnsi="標楷體"/>
                                      <w:b/>
                                      <w:bCs/>
                                      <w:sz w:val="24"/>
                                      <w:szCs w:val="24"/>
                                    </w:rPr>
                                    <w:t>1</w:t>
                                  </w:r>
                                  <w:r w:rsidRPr="0017194E">
                                    <w:rPr>
                                      <w:rFonts w:ascii="標楷體" w:eastAsia="標楷體" w:hAnsi="標楷體" w:hint="eastAsia"/>
                                      <w:b/>
                                      <w:bCs/>
                                      <w:sz w:val="24"/>
                                      <w:szCs w:val="24"/>
                                    </w:rPr>
                                    <w:t xml:space="preserve">  歲入超收情形</w:t>
                                  </w:r>
                                </w:p>
                              </w:tc>
                            </w:tr>
                            <w:tr w:rsidR="007B70B7" w14:paraId="6EA2ED84" w14:textId="77777777" w:rsidTr="00AD37CC">
                              <w:tc>
                                <w:tcPr>
                                  <w:tcW w:w="6628" w:type="dxa"/>
                                  <w:gridSpan w:val="6"/>
                                  <w:tcBorders>
                                    <w:top w:val="nil"/>
                                    <w:left w:val="nil"/>
                                    <w:bottom w:val="single" w:sz="4" w:space="0" w:color="auto"/>
                                    <w:right w:val="nil"/>
                                  </w:tcBorders>
                                </w:tcPr>
                                <w:p w14:paraId="5CF2EE0A" w14:textId="77777777" w:rsidR="007B70B7" w:rsidRDefault="007B70B7" w:rsidP="00AD37CC">
                                  <w:pPr>
                                    <w:spacing w:line="240" w:lineRule="exact"/>
                                    <w:jc w:val="right"/>
                                  </w:pPr>
                                  <w:r w:rsidRPr="00430D32">
                                    <w:rPr>
                                      <w:rFonts w:ascii="標楷體" w:eastAsia="標楷體" w:hAnsi="標楷體" w:hint="eastAsia"/>
                                    </w:rPr>
                                    <w:t>單位：新臺幣千元、％</w:t>
                                  </w:r>
                                </w:p>
                              </w:tc>
                            </w:tr>
                            <w:tr w:rsidR="007B70B7" w14:paraId="168D4F84" w14:textId="77777777" w:rsidTr="00AD37CC">
                              <w:tc>
                                <w:tcPr>
                                  <w:tcW w:w="988" w:type="dxa"/>
                                  <w:vMerge w:val="restart"/>
                                  <w:tcBorders>
                                    <w:top w:val="single" w:sz="4" w:space="0" w:color="auto"/>
                                    <w:tl2br w:val="single" w:sz="4" w:space="0" w:color="auto"/>
                                  </w:tcBorders>
                                </w:tcPr>
                                <w:p w14:paraId="7B7ED2C4" w14:textId="77777777" w:rsidR="007B70B7" w:rsidRPr="00430D32" w:rsidRDefault="007B70B7" w:rsidP="00AD37CC">
                                  <w:pPr>
                                    <w:spacing w:line="240" w:lineRule="exact"/>
                                    <w:jc w:val="right"/>
                                    <w:rPr>
                                      <w:rFonts w:ascii="標楷體" w:eastAsia="標楷體" w:hAnsi="標楷體"/>
                                    </w:rPr>
                                  </w:pPr>
                                  <w:r w:rsidRPr="00430D32">
                                    <w:rPr>
                                      <w:rFonts w:ascii="標楷體" w:eastAsia="標楷體" w:hAnsi="標楷體" w:hint="eastAsia"/>
                                    </w:rPr>
                                    <w:t>項目</w:t>
                                  </w:r>
                                </w:p>
                                <w:p w14:paraId="4B68A61C" w14:textId="77777777" w:rsidR="007B70B7" w:rsidRDefault="007B70B7" w:rsidP="00AD37CC">
                                  <w:pPr>
                                    <w:spacing w:line="240" w:lineRule="exact"/>
                                    <w:rPr>
                                      <w:rFonts w:ascii="標楷體" w:eastAsia="標楷體" w:hAnsi="標楷體"/>
                                    </w:rPr>
                                  </w:pPr>
                                </w:p>
                                <w:p w14:paraId="08B95239" w14:textId="77777777" w:rsidR="007B70B7" w:rsidRDefault="007B70B7" w:rsidP="00AD37CC">
                                  <w:pPr>
                                    <w:spacing w:line="360" w:lineRule="exact"/>
                                  </w:pPr>
                                  <w:r w:rsidRPr="00430D32">
                                    <w:rPr>
                                      <w:rFonts w:ascii="標楷體" w:eastAsia="標楷體" w:hAnsi="標楷體" w:hint="eastAsia"/>
                                    </w:rPr>
                                    <w:t>年度</w:t>
                                  </w:r>
                                </w:p>
                              </w:tc>
                              <w:tc>
                                <w:tcPr>
                                  <w:tcW w:w="1218" w:type="dxa"/>
                                  <w:vMerge w:val="restart"/>
                                  <w:tcBorders>
                                    <w:top w:val="single" w:sz="4" w:space="0" w:color="auto"/>
                                  </w:tcBorders>
                                  <w:vAlign w:val="center"/>
                                </w:tcPr>
                                <w:p w14:paraId="48940436" w14:textId="77777777" w:rsidR="007B70B7" w:rsidRPr="00430D32" w:rsidRDefault="007B70B7" w:rsidP="00AD37CC">
                                  <w:pPr>
                                    <w:spacing w:line="240" w:lineRule="exact"/>
                                    <w:jc w:val="center"/>
                                    <w:rPr>
                                      <w:rFonts w:ascii="標楷體" w:eastAsia="標楷體" w:hAnsi="標楷體"/>
                                    </w:rPr>
                                  </w:pPr>
                                  <w:r w:rsidRPr="00430D32">
                                    <w:rPr>
                                      <w:rFonts w:ascii="標楷體" w:eastAsia="標楷體" w:hAnsi="標楷體" w:hint="eastAsia"/>
                                    </w:rPr>
                                    <w:t>歲入超收</w:t>
                                  </w:r>
                                </w:p>
                                <w:p w14:paraId="71726B99" w14:textId="77777777" w:rsidR="007B70B7" w:rsidRDefault="007B70B7" w:rsidP="00AD37CC">
                                  <w:pPr>
                                    <w:spacing w:line="240" w:lineRule="exact"/>
                                    <w:jc w:val="center"/>
                                  </w:pPr>
                                  <w:r w:rsidRPr="00430D32">
                                    <w:rPr>
                                      <w:rFonts w:ascii="標楷體" w:eastAsia="標楷體" w:hAnsi="標楷體" w:hint="eastAsia"/>
                                    </w:rPr>
                                    <w:t>合計數</w:t>
                                  </w:r>
                                </w:p>
                              </w:tc>
                              <w:tc>
                                <w:tcPr>
                                  <w:tcW w:w="2211" w:type="dxa"/>
                                  <w:gridSpan w:val="2"/>
                                  <w:tcBorders>
                                    <w:top w:val="single" w:sz="4" w:space="0" w:color="auto"/>
                                  </w:tcBorders>
                                  <w:vAlign w:val="center"/>
                                </w:tcPr>
                                <w:p w14:paraId="4D96C092" w14:textId="77777777" w:rsidR="007B70B7" w:rsidRDefault="007B70B7" w:rsidP="00AD37CC">
                                  <w:pPr>
                                    <w:spacing w:line="240" w:lineRule="exact"/>
                                    <w:jc w:val="center"/>
                                  </w:pPr>
                                  <w:r w:rsidRPr="00430D32">
                                    <w:rPr>
                                      <w:rFonts w:ascii="標楷體" w:eastAsia="標楷體" w:hAnsi="標楷體" w:hint="eastAsia"/>
                                    </w:rPr>
                                    <w:t>稅課收</w:t>
                                  </w:r>
                                  <w:proofErr w:type="gramStart"/>
                                  <w:r w:rsidRPr="00430D32">
                                    <w:rPr>
                                      <w:rFonts w:ascii="標楷體" w:eastAsia="標楷體" w:hAnsi="標楷體" w:hint="eastAsia"/>
                                    </w:rPr>
                                    <w:t>入超收數</w:t>
                                  </w:r>
                                  <w:proofErr w:type="gramEnd"/>
                                </w:p>
                              </w:tc>
                              <w:tc>
                                <w:tcPr>
                                  <w:tcW w:w="2211" w:type="dxa"/>
                                  <w:gridSpan w:val="2"/>
                                  <w:tcBorders>
                                    <w:top w:val="single" w:sz="4" w:space="0" w:color="auto"/>
                                  </w:tcBorders>
                                  <w:vAlign w:val="center"/>
                                </w:tcPr>
                                <w:p w14:paraId="2B6681C6" w14:textId="77777777" w:rsidR="007B70B7" w:rsidRDefault="007B70B7" w:rsidP="00AD37CC">
                                  <w:pPr>
                                    <w:spacing w:line="240" w:lineRule="exact"/>
                                    <w:jc w:val="center"/>
                                  </w:pPr>
                                  <w:proofErr w:type="gramStart"/>
                                  <w:r w:rsidRPr="00430D32">
                                    <w:rPr>
                                      <w:rFonts w:ascii="標楷體" w:eastAsia="標楷體" w:hAnsi="標楷體" w:hint="eastAsia"/>
                                    </w:rPr>
                                    <w:t>非稅課</w:t>
                                  </w:r>
                                  <w:proofErr w:type="gramEnd"/>
                                  <w:r w:rsidRPr="00430D32">
                                    <w:rPr>
                                      <w:rFonts w:ascii="標楷體" w:eastAsia="標楷體" w:hAnsi="標楷體" w:hint="eastAsia"/>
                                    </w:rPr>
                                    <w:t>收</w:t>
                                  </w:r>
                                  <w:proofErr w:type="gramStart"/>
                                  <w:r w:rsidRPr="00430D32">
                                    <w:rPr>
                                      <w:rFonts w:ascii="標楷體" w:eastAsia="標楷體" w:hAnsi="標楷體" w:hint="eastAsia"/>
                                    </w:rPr>
                                    <w:t>入超收數</w:t>
                                  </w:r>
                                  <w:proofErr w:type="gramEnd"/>
                                </w:p>
                              </w:tc>
                            </w:tr>
                            <w:tr w:rsidR="007B70B7" w14:paraId="69CA5932" w14:textId="77777777" w:rsidTr="00AD37CC">
                              <w:tc>
                                <w:tcPr>
                                  <w:tcW w:w="988" w:type="dxa"/>
                                  <w:vMerge/>
                                  <w:tcBorders>
                                    <w:tl2br w:val="single" w:sz="4" w:space="0" w:color="auto"/>
                                  </w:tcBorders>
                                </w:tcPr>
                                <w:p w14:paraId="4630327A" w14:textId="77777777" w:rsidR="007B70B7" w:rsidRDefault="007B70B7" w:rsidP="00AD37CC">
                                  <w:pPr>
                                    <w:spacing w:line="240" w:lineRule="exact"/>
                                  </w:pPr>
                                </w:p>
                              </w:tc>
                              <w:tc>
                                <w:tcPr>
                                  <w:tcW w:w="1218" w:type="dxa"/>
                                  <w:vMerge/>
                                </w:tcPr>
                                <w:p w14:paraId="420D3CA6" w14:textId="77777777" w:rsidR="007B70B7" w:rsidRDefault="007B70B7" w:rsidP="00AD37CC">
                                  <w:pPr>
                                    <w:spacing w:line="240" w:lineRule="exact"/>
                                  </w:pPr>
                                </w:p>
                              </w:tc>
                              <w:tc>
                                <w:tcPr>
                                  <w:tcW w:w="1304" w:type="dxa"/>
                                  <w:vAlign w:val="center"/>
                                </w:tcPr>
                                <w:p w14:paraId="10DC8D57" w14:textId="77777777" w:rsidR="007B70B7" w:rsidRDefault="007B70B7" w:rsidP="00AD37CC">
                                  <w:pPr>
                                    <w:spacing w:line="240" w:lineRule="exact"/>
                                    <w:jc w:val="center"/>
                                  </w:pPr>
                                  <w:r w:rsidRPr="00430D32">
                                    <w:rPr>
                                      <w:rFonts w:ascii="標楷體" w:eastAsia="標楷體" w:hAnsi="標楷體" w:hint="eastAsia"/>
                                    </w:rPr>
                                    <w:t>金額</w:t>
                                  </w:r>
                                </w:p>
                              </w:tc>
                              <w:tc>
                                <w:tcPr>
                                  <w:tcW w:w="907" w:type="dxa"/>
                                  <w:vAlign w:val="center"/>
                                </w:tcPr>
                                <w:p w14:paraId="7826FEB2" w14:textId="77777777" w:rsidR="007B70B7" w:rsidRDefault="007B70B7" w:rsidP="00AD37CC">
                                  <w:pPr>
                                    <w:spacing w:line="240" w:lineRule="exact"/>
                                    <w:jc w:val="center"/>
                                  </w:pPr>
                                  <w:r w:rsidRPr="00430D32">
                                    <w:rPr>
                                      <w:rFonts w:ascii="標楷體" w:eastAsia="標楷體" w:hAnsi="標楷體" w:hint="eastAsia"/>
                                    </w:rPr>
                                    <w:t>占歲入超收合計數％</w:t>
                                  </w:r>
                                </w:p>
                              </w:tc>
                              <w:tc>
                                <w:tcPr>
                                  <w:tcW w:w="1304" w:type="dxa"/>
                                  <w:vAlign w:val="center"/>
                                </w:tcPr>
                                <w:p w14:paraId="0B05E66F" w14:textId="77777777" w:rsidR="007B70B7" w:rsidRDefault="007B70B7" w:rsidP="00AD37CC">
                                  <w:pPr>
                                    <w:spacing w:line="240" w:lineRule="exact"/>
                                    <w:jc w:val="center"/>
                                  </w:pPr>
                                  <w:r w:rsidRPr="00430D32">
                                    <w:rPr>
                                      <w:rFonts w:ascii="標楷體" w:eastAsia="標楷體" w:hAnsi="標楷體" w:hint="eastAsia"/>
                                    </w:rPr>
                                    <w:t>金額</w:t>
                                  </w:r>
                                </w:p>
                              </w:tc>
                              <w:tc>
                                <w:tcPr>
                                  <w:tcW w:w="907" w:type="dxa"/>
                                  <w:vAlign w:val="center"/>
                                </w:tcPr>
                                <w:p w14:paraId="7C65D5DC" w14:textId="77777777" w:rsidR="007B70B7" w:rsidRDefault="007B70B7" w:rsidP="00AD37CC">
                                  <w:pPr>
                                    <w:spacing w:line="240" w:lineRule="exact"/>
                                    <w:jc w:val="center"/>
                                  </w:pPr>
                                  <w:r w:rsidRPr="00430D32">
                                    <w:rPr>
                                      <w:rFonts w:ascii="標楷體" w:eastAsia="標楷體" w:hAnsi="標楷體" w:hint="eastAsia"/>
                                    </w:rPr>
                                    <w:t>占歲入超收合計數％</w:t>
                                  </w:r>
                                </w:p>
                              </w:tc>
                            </w:tr>
                            <w:tr w:rsidR="007B70B7" w14:paraId="741A09F3" w14:textId="77777777" w:rsidTr="00AD37CC">
                              <w:tc>
                                <w:tcPr>
                                  <w:tcW w:w="988" w:type="dxa"/>
                                  <w:vAlign w:val="center"/>
                                </w:tcPr>
                                <w:p w14:paraId="12CCD22C" w14:textId="77777777" w:rsidR="007B70B7" w:rsidRDefault="007B70B7" w:rsidP="00AD37CC">
                                  <w:r w:rsidRPr="00430D32">
                                    <w:rPr>
                                      <w:rFonts w:ascii="標楷體" w:eastAsia="標楷體" w:hAnsi="標楷體" w:hint="eastAsia"/>
                                      <w:b/>
                                    </w:rPr>
                                    <w:t>合計</w:t>
                                  </w:r>
                                </w:p>
                              </w:tc>
                              <w:tc>
                                <w:tcPr>
                                  <w:tcW w:w="1218" w:type="dxa"/>
                                  <w:vAlign w:val="center"/>
                                </w:tcPr>
                                <w:p w14:paraId="56A790E3" w14:textId="77777777" w:rsidR="007B70B7" w:rsidRDefault="007B70B7" w:rsidP="00AD37CC">
                                  <w:pPr>
                                    <w:jc w:val="right"/>
                                  </w:pPr>
                                  <w:r w:rsidRPr="00430D32">
                                    <w:rPr>
                                      <w:rFonts w:ascii="標楷體" w:eastAsia="標楷體" w:hAnsi="標楷體"/>
                                      <w:b/>
                                    </w:rPr>
                                    <w:t>35,692,246</w:t>
                                  </w:r>
                                </w:p>
                              </w:tc>
                              <w:tc>
                                <w:tcPr>
                                  <w:tcW w:w="1304" w:type="dxa"/>
                                  <w:vAlign w:val="center"/>
                                </w:tcPr>
                                <w:p w14:paraId="756E496D" w14:textId="77777777" w:rsidR="007B70B7" w:rsidRDefault="007B70B7" w:rsidP="00AD37CC">
                                  <w:pPr>
                                    <w:jc w:val="right"/>
                                  </w:pPr>
                                  <w:r w:rsidRPr="00430D32">
                                    <w:rPr>
                                      <w:rFonts w:ascii="標楷體" w:eastAsia="標楷體" w:hAnsi="標楷體"/>
                                      <w:b/>
                                    </w:rPr>
                                    <w:t>27,539,156</w:t>
                                  </w:r>
                                </w:p>
                              </w:tc>
                              <w:tc>
                                <w:tcPr>
                                  <w:tcW w:w="907" w:type="dxa"/>
                                  <w:vAlign w:val="center"/>
                                </w:tcPr>
                                <w:p w14:paraId="2303C932" w14:textId="77777777" w:rsidR="007B70B7" w:rsidRDefault="007B70B7" w:rsidP="00AD37CC">
                                  <w:pPr>
                                    <w:jc w:val="right"/>
                                  </w:pPr>
                                  <w:r w:rsidRPr="00430D32">
                                    <w:rPr>
                                      <w:rFonts w:ascii="標楷體" w:eastAsia="標楷體" w:hAnsi="標楷體"/>
                                      <w:b/>
                                    </w:rPr>
                                    <w:t>77.16</w:t>
                                  </w:r>
                                </w:p>
                              </w:tc>
                              <w:tc>
                                <w:tcPr>
                                  <w:tcW w:w="1304" w:type="dxa"/>
                                  <w:vAlign w:val="center"/>
                                </w:tcPr>
                                <w:p w14:paraId="634A3A89" w14:textId="77777777" w:rsidR="007B70B7" w:rsidRDefault="007B70B7" w:rsidP="00AD37CC">
                                  <w:pPr>
                                    <w:jc w:val="right"/>
                                  </w:pPr>
                                  <w:r w:rsidRPr="00430D32">
                                    <w:rPr>
                                      <w:rFonts w:ascii="標楷體" w:eastAsia="標楷體" w:hAnsi="標楷體"/>
                                      <w:b/>
                                    </w:rPr>
                                    <w:t>8,153,090</w:t>
                                  </w:r>
                                </w:p>
                              </w:tc>
                              <w:tc>
                                <w:tcPr>
                                  <w:tcW w:w="907" w:type="dxa"/>
                                  <w:vAlign w:val="center"/>
                                </w:tcPr>
                                <w:p w14:paraId="31B47C87" w14:textId="77777777" w:rsidR="007B70B7" w:rsidRDefault="007B70B7" w:rsidP="00AD37CC">
                                  <w:pPr>
                                    <w:jc w:val="right"/>
                                  </w:pPr>
                                  <w:r w:rsidRPr="00430D32">
                                    <w:rPr>
                                      <w:rFonts w:ascii="標楷體" w:eastAsia="標楷體" w:hAnsi="標楷體"/>
                                      <w:b/>
                                    </w:rPr>
                                    <w:t>22.84</w:t>
                                  </w:r>
                                </w:p>
                              </w:tc>
                            </w:tr>
                            <w:tr w:rsidR="007B70B7" w14:paraId="61168BE1" w14:textId="77777777" w:rsidTr="00AD37CC">
                              <w:tc>
                                <w:tcPr>
                                  <w:tcW w:w="988" w:type="dxa"/>
                                  <w:vAlign w:val="center"/>
                                </w:tcPr>
                                <w:p w14:paraId="25FCB759" w14:textId="77777777" w:rsidR="007B70B7" w:rsidRDefault="007B70B7" w:rsidP="0017194E">
                                  <w:pPr>
                                    <w:jc w:val="center"/>
                                  </w:pPr>
                                  <w:r w:rsidRPr="00430D32">
                                    <w:rPr>
                                      <w:rFonts w:ascii="標楷體" w:eastAsia="標楷體" w:hAnsi="標楷體" w:hint="eastAsia"/>
                                    </w:rPr>
                                    <w:t>109</w:t>
                                  </w:r>
                                </w:p>
                              </w:tc>
                              <w:tc>
                                <w:tcPr>
                                  <w:tcW w:w="1218" w:type="dxa"/>
                                  <w:vAlign w:val="center"/>
                                </w:tcPr>
                                <w:p w14:paraId="6B12A5C6" w14:textId="77777777" w:rsidR="007B70B7" w:rsidRDefault="007B70B7" w:rsidP="00AD37CC">
                                  <w:pPr>
                                    <w:jc w:val="right"/>
                                  </w:pPr>
                                  <w:r w:rsidRPr="00430D32">
                                    <w:rPr>
                                      <w:rFonts w:ascii="標楷體" w:eastAsia="標楷體" w:hAnsi="標楷體" w:hint="eastAsia"/>
                                      <w:b/>
                                    </w:rPr>
                                    <w:t>4,962,422</w:t>
                                  </w:r>
                                </w:p>
                              </w:tc>
                              <w:tc>
                                <w:tcPr>
                                  <w:tcW w:w="1304" w:type="dxa"/>
                                  <w:vAlign w:val="center"/>
                                </w:tcPr>
                                <w:p w14:paraId="456E91F8" w14:textId="77777777" w:rsidR="007B70B7" w:rsidRDefault="007B70B7" w:rsidP="00AD37CC">
                                  <w:pPr>
                                    <w:jc w:val="right"/>
                                  </w:pPr>
                                  <w:r w:rsidRPr="00430D32">
                                    <w:rPr>
                                      <w:rFonts w:ascii="標楷體" w:eastAsia="標楷體" w:hAnsi="標楷體" w:hint="eastAsia"/>
                                    </w:rPr>
                                    <w:t>1,424,515</w:t>
                                  </w:r>
                                </w:p>
                              </w:tc>
                              <w:tc>
                                <w:tcPr>
                                  <w:tcW w:w="907" w:type="dxa"/>
                                  <w:vAlign w:val="center"/>
                                </w:tcPr>
                                <w:p w14:paraId="3DE2A671" w14:textId="77777777" w:rsidR="007B70B7" w:rsidRDefault="007B70B7" w:rsidP="00AD37CC">
                                  <w:pPr>
                                    <w:jc w:val="right"/>
                                  </w:pPr>
                                  <w:r w:rsidRPr="00430D32">
                                    <w:rPr>
                                      <w:rFonts w:ascii="標楷體" w:eastAsia="標楷體" w:hAnsi="標楷體" w:hint="eastAsia"/>
                                    </w:rPr>
                                    <w:t>28.71</w:t>
                                  </w:r>
                                </w:p>
                              </w:tc>
                              <w:tc>
                                <w:tcPr>
                                  <w:tcW w:w="1304" w:type="dxa"/>
                                  <w:vAlign w:val="center"/>
                                </w:tcPr>
                                <w:p w14:paraId="3B18249A" w14:textId="77777777" w:rsidR="007B70B7" w:rsidRDefault="007B70B7" w:rsidP="00AD37CC">
                                  <w:pPr>
                                    <w:jc w:val="right"/>
                                  </w:pPr>
                                  <w:r w:rsidRPr="00430D32">
                                    <w:rPr>
                                      <w:rFonts w:ascii="標楷體" w:eastAsia="標楷體" w:hAnsi="標楷體" w:hint="eastAsia"/>
                                    </w:rPr>
                                    <w:t>3,537,906</w:t>
                                  </w:r>
                                </w:p>
                              </w:tc>
                              <w:tc>
                                <w:tcPr>
                                  <w:tcW w:w="907" w:type="dxa"/>
                                  <w:vAlign w:val="center"/>
                                </w:tcPr>
                                <w:p w14:paraId="284102D6" w14:textId="77777777" w:rsidR="007B70B7" w:rsidRDefault="007B70B7" w:rsidP="00AD37CC">
                                  <w:pPr>
                                    <w:jc w:val="right"/>
                                  </w:pPr>
                                  <w:r w:rsidRPr="00430D32">
                                    <w:rPr>
                                      <w:rFonts w:ascii="標楷體" w:eastAsia="標楷體" w:hAnsi="標楷體" w:hint="eastAsia"/>
                                    </w:rPr>
                                    <w:t>71.29</w:t>
                                  </w:r>
                                </w:p>
                              </w:tc>
                            </w:tr>
                            <w:tr w:rsidR="007B70B7" w14:paraId="54F6C719" w14:textId="77777777" w:rsidTr="00AD37CC">
                              <w:tc>
                                <w:tcPr>
                                  <w:tcW w:w="988" w:type="dxa"/>
                                  <w:vAlign w:val="center"/>
                                </w:tcPr>
                                <w:p w14:paraId="39012329" w14:textId="77777777" w:rsidR="007B70B7" w:rsidRDefault="007B70B7" w:rsidP="0017194E">
                                  <w:pPr>
                                    <w:jc w:val="center"/>
                                  </w:pPr>
                                  <w:r w:rsidRPr="00430D32">
                                    <w:rPr>
                                      <w:rFonts w:ascii="標楷體" w:eastAsia="標楷體" w:hAnsi="標楷體" w:hint="eastAsia"/>
                                    </w:rPr>
                                    <w:t>110</w:t>
                                  </w:r>
                                </w:p>
                              </w:tc>
                              <w:tc>
                                <w:tcPr>
                                  <w:tcW w:w="1218" w:type="dxa"/>
                                  <w:vAlign w:val="center"/>
                                </w:tcPr>
                                <w:p w14:paraId="7BAEAF5D" w14:textId="77777777" w:rsidR="007B70B7" w:rsidRDefault="007B70B7" w:rsidP="00AD37CC">
                                  <w:pPr>
                                    <w:jc w:val="right"/>
                                  </w:pPr>
                                  <w:r w:rsidRPr="00430D32">
                                    <w:rPr>
                                      <w:rFonts w:ascii="標楷體" w:eastAsia="標楷體" w:hAnsi="標楷體" w:hint="eastAsia"/>
                                      <w:b/>
                                    </w:rPr>
                                    <w:t>10,531,199</w:t>
                                  </w:r>
                                </w:p>
                              </w:tc>
                              <w:tc>
                                <w:tcPr>
                                  <w:tcW w:w="1304" w:type="dxa"/>
                                  <w:vAlign w:val="center"/>
                                </w:tcPr>
                                <w:p w14:paraId="778A69F5" w14:textId="77777777" w:rsidR="007B70B7" w:rsidRDefault="007B70B7" w:rsidP="00AD37CC">
                                  <w:pPr>
                                    <w:jc w:val="right"/>
                                  </w:pPr>
                                  <w:r w:rsidRPr="00430D32">
                                    <w:rPr>
                                      <w:rFonts w:ascii="標楷體" w:eastAsia="標楷體" w:hAnsi="標楷體" w:hint="eastAsia"/>
                                    </w:rPr>
                                    <w:t>11,408,341</w:t>
                                  </w:r>
                                </w:p>
                              </w:tc>
                              <w:tc>
                                <w:tcPr>
                                  <w:tcW w:w="907" w:type="dxa"/>
                                  <w:vAlign w:val="center"/>
                                </w:tcPr>
                                <w:p w14:paraId="140FE0DB" w14:textId="77777777" w:rsidR="007B70B7" w:rsidRDefault="007B70B7" w:rsidP="00AD37CC">
                                  <w:pPr>
                                    <w:jc w:val="right"/>
                                  </w:pPr>
                                  <w:r w:rsidRPr="00430D32">
                                    <w:rPr>
                                      <w:rFonts w:ascii="標楷體" w:eastAsia="標楷體" w:hAnsi="標楷體" w:hint="eastAsia"/>
                                    </w:rPr>
                                    <w:t>108.33</w:t>
                                  </w:r>
                                </w:p>
                              </w:tc>
                              <w:tc>
                                <w:tcPr>
                                  <w:tcW w:w="1304" w:type="dxa"/>
                                  <w:vAlign w:val="center"/>
                                </w:tcPr>
                                <w:p w14:paraId="4031E6FC" w14:textId="77777777" w:rsidR="007B70B7" w:rsidRDefault="007B70B7" w:rsidP="00AD37CC">
                                  <w:pPr>
                                    <w:jc w:val="right"/>
                                  </w:pPr>
                                  <w:r w:rsidRPr="00430D32">
                                    <w:rPr>
                                      <w:rFonts w:ascii="標楷體" w:eastAsia="標楷體" w:hAnsi="標楷體" w:hint="eastAsia"/>
                                    </w:rPr>
                                    <w:t>-</w:t>
                                  </w:r>
                                  <w:r w:rsidRPr="00430D32">
                                    <w:rPr>
                                      <w:rFonts w:ascii="標楷體" w:eastAsia="標楷體" w:hAnsi="標楷體"/>
                                    </w:rPr>
                                    <w:t xml:space="preserve"> </w:t>
                                  </w:r>
                                  <w:r w:rsidRPr="00430D32">
                                    <w:rPr>
                                      <w:rFonts w:ascii="標楷體" w:eastAsia="標楷體" w:hAnsi="標楷體" w:hint="eastAsia"/>
                                    </w:rPr>
                                    <w:t>877,142</w:t>
                                  </w:r>
                                </w:p>
                              </w:tc>
                              <w:tc>
                                <w:tcPr>
                                  <w:tcW w:w="907" w:type="dxa"/>
                                  <w:vAlign w:val="center"/>
                                </w:tcPr>
                                <w:p w14:paraId="55771894" w14:textId="77777777" w:rsidR="007B70B7" w:rsidRDefault="007B70B7" w:rsidP="00AD37CC">
                                  <w:pPr>
                                    <w:jc w:val="right"/>
                                  </w:pPr>
                                  <w:r w:rsidRPr="00430D32">
                                    <w:rPr>
                                      <w:rFonts w:ascii="標楷體" w:eastAsia="標楷體" w:hAnsi="標楷體" w:hint="eastAsia"/>
                                    </w:rPr>
                                    <w:t>-</w:t>
                                  </w:r>
                                  <w:r w:rsidRPr="00430D32">
                                    <w:rPr>
                                      <w:rFonts w:ascii="標楷體" w:eastAsia="標楷體" w:hAnsi="標楷體"/>
                                    </w:rPr>
                                    <w:t xml:space="preserve"> </w:t>
                                  </w:r>
                                  <w:r w:rsidRPr="00430D32">
                                    <w:rPr>
                                      <w:rFonts w:ascii="標楷體" w:eastAsia="標楷體" w:hAnsi="標楷體" w:hint="eastAsia"/>
                                    </w:rPr>
                                    <w:t>8.33</w:t>
                                  </w:r>
                                </w:p>
                              </w:tc>
                            </w:tr>
                            <w:tr w:rsidR="007B70B7" w14:paraId="69EE466E" w14:textId="77777777" w:rsidTr="00AD37CC">
                              <w:tc>
                                <w:tcPr>
                                  <w:tcW w:w="988" w:type="dxa"/>
                                  <w:vAlign w:val="center"/>
                                </w:tcPr>
                                <w:p w14:paraId="1A40E20D" w14:textId="77777777" w:rsidR="007B70B7" w:rsidRDefault="007B70B7" w:rsidP="0017194E">
                                  <w:pPr>
                                    <w:jc w:val="center"/>
                                  </w:pPr>
                                  <w:r w:rsidRPr="00430D32">
                                    <w:rPr>
                                      <w:rFonts w:ascii="標楷體" w:eastAsia="標楷體" w:hAnsi="標楷體" w:hint="eastAsia"/>
                                    </w:rPr>
                                    <w:t>111</w:t>
                                  </w:r>
                                </w:p>
                              </w:tc>
                              <w:tc>
                                <w:tcPr>
                                  <w:tcW w:w="1218" w:type="dxa"/>
                                  <w:vAlign w:val="center"/>
                                </w:tcPr>
                                <w:p w14:paraId="462CC9A4" w14:textId="77777777" w:rsidR="007B70B7" w:rsidRDefault="007B70B7" w:rsidP="00AD37CC">
                                  <w:pPr>
                                    <w:jc w:val="right"/>
                                  </w:pPr>
                                  <w:r w:rsidRPr="00430D32">
                                    <w:rPr>
                                      <w:rFonts w:ascii="標楷體" w:eastAsia="標楷體" w:hAnsi="標楷體" w:hint="eastAsia"/>
                                      <w:b/>
                                    </w:rPr>
                                    <w:t>4,550,613</w:t>
                                  </w:r>
                                </w:p>
                              </w:tc>
                              <w:tc>
                                <w:tcPr>
                                  <w:tcW w:w="1304" w:type="dxa"/>
                                  <w:vAlign w:val="center"/>
                                </w:tcPr>
                                <w:p w14:paraId="3F4065E8" w14:textId="77777777" w:rsidR="007B70B7" w:rsidRDefault="007B70B7" w:rsidP="00AD37CC">
                                  <w:pPr>
                                    <w:jc w:val="right"/>
                                  </w:pPr>
                                  <w:r w:rsidRPr="00430D32">
                                    <w:rPr>
                                      <w:rFonts w:ascii="標楷體" w:eastAsia="標楷體" w:hAnsi="標楷體" w:hint="eastAsia"/>
                                    </w:rPr>
                                    <w:t>3,539,841</w:t>
                                  </w:r>
                                </w:p>
                              </w:tc>
                              <w:tc>
                                <w:tcPr>
                                  <w:tcW w:w="907" w:type="dxa"/>
                                  <w:vAlign w:val="center"/>
                                </w:tcPr>
                                <w:p w14:paraId="24923A24" w14:textId="77777777" w:rsidR="007B70B7" w:rsidRDefault="007B70B7" w:rsidP="00AD37CC">
                                  <w:pPr>
                                    <w:jc w:val="right"/>
                                  </w:pPr>
                                  <w:r w:rsidRPr="00430D32">
                                    <w:rPr>
                                      <w:rFonts w:ascii="標楷體" w:eastAsia="標楷體" w:hAnsi="標楷體" w:hint="eastAsia"/>
                                    </w:rPr>
                                    <w:t>77.79</w:t>
                                  </w:r>
                                </w:p>
                              </w:tc>
                              <w:tc>
                                <w:tcPr>
                                  <w:tcW w:w="1304" w:type="dxa"/>
                                  <w:vAlign w:val="center"/>
                                </w:tcPr>
                                <w:p w14:paraId="18CD4E26" w14:textId="77777777" w:rsidR="007B70B7" w:rsidRDefault="007B70B7" w:rsidP="00AD37CC">
                                  <w:pPr>
                                    <w:jc w:val="right"/>
                                  </w:pPr>
                                  <w:r w:rsidRPr="00430D32">
                                    <w:rPr>
                                      <w:rFonts w:ascii="標楷體" w:eastAsia="標楷體" w:hAnsi="標楷體" w:hint="eastAsia"/>
                                    </w:rPr>
                                    <w:t>1,010,772</w:t>
                                  </w:r>
                                </w:p>
                              </w:tc>
                              <w:tc>
                                <w:tcPr>
                                  <w:tcW w:w="907" w:type="dxa"/>
                                  <w:vAlign w:val="center"/>
                                </w:tcPr>
                                <w:p w14:paraId="173BBDD5" w14:textId="77777777" w:rsidR="007B70B7" w:rsidRDefault="007B70B7" w:rsidP="00AD37CC">
                                  <w:pPr>
                                    <w:jc w:val="right"/>
                                  </w:pPr>
                                  <w:r w:rsidRPr="00430D32">
                                    <w:rPr>
                                      <w:rFonts w:ascii="標楷體" w:eastAsia="標楷體" w:hAnsi="標楷體" w:hint="eastAsia"/>
                                    </w:rPr>
                                    <w:t>22.21</w:t>
                                  </w:r>
                                </w:p>
                              </w:tc>
                            </w:tr>
                            <w:tr w:rsidR="007B70B7" w14:paraId="0E436072" w14:textId="77777777" w:rsidTr="00AD37CC">
                              <w:tc>
                                <w:tcPr>
                                  <w:tcW w:w="988" w:type="dxa"/>
                                  <w:vAlign w:val="center"/>
                                </w:tcPr>
                                <w:p w14:paraId="7510D0AF" w14:textId="77777777" w:rsidR="007B70B7" w:rsidRDefault="007B70B7" w:rsidP="0017194E">
                                  <w:pPr>
                                    <w:jc w:val="center"/>
                                  </w:pPr>
                                  <w:r w:rsidRPr="00430D32">
                                    <w:rPr>
                                      <w:rFonts w:ascii="標楷體" w:eastAsia="標楷體" w:hAnsi="標楷體" w:hint="eastAsia"/>
                                    </w:rPr>
                                    <w:t>112</w:t>
                                  </w:r>
                                </w:p>
                              </w:tc>
                              <w:tc>
                                <w:tcPr>
                                  <w:tcW w:w="1218" w:type="dxa"/>
                                  <w:vAlign w:val="center"/>
                                </w:tcPr>
                                <w:p w14:paraId="2122CAE7" w14:textId="77777777" w:rsidR="007B70B7" w:rsidRDefault="007B70B7" w:rsidP="00AD37CC">
                                  <w:pPr>
                                    <w:jc w:val="right"/>
                                  </w:pPr>
                                  <w:r w:rsidRPr="00430D32">
                                    <w:rPr>
                                      <w:rFonts w:ascii="標楷體" w:eastAsia="標楷體" w:hAnsi="標楷體" w:hint="eastAsia"/>
                                      <w:b/>
                                    </w:rPr>
                                    <w:t>5,629,289</w:t>
                                  </w:r>
                                </w:p>
                              </w:tc>
                              <w:tc>
                                <w:tcPr>
                                  <w:tcW w:w="1304" w:type="dxa"/>
                                  <w:vAlign w:val="center"/>
                                </w:tcPr>
                                <w:p w14:paraId="4ECEC72D" w14:textId="77777777" w:rsidR="007B70B7" w:rsidRDefault="007B70B7" w:rsidP="00AD37CC">
                                  <w:pPr>
                                    <w:jc w:val="right"/>
                                  </w:pPr>
                                  <w:r w:rsidRPr="00430D32">
                                    <w:rPr>
                                      <w:rFonts w:ascii="標楷體" w:eastAsia="標楷體" w:hAnsi="標楷體" w:hint="eastAsia"/>
                                    </w:rPr>
                                    <w:t>3,315,453</w:t>
                                  </w:r>
                                </w:p>
                              </w:tc>
                              <w:tc>
                                <w:tcPr>
                                  <w:tcW w:w="907" w:type="dxa"/>
                                  <w:vAlign w:val="center"/>
                                </w:tcPr>
                                <w:p w14:paraId="6DBBD938" w14:textId="77777777" w:rsidR="007B70B7" w:rsidRDefault="007B70B7" w:rsidP="00AD37CC">
                                  <w:pPr>
                                    <w:jc w:val="right"/>
                                  </w:pPr>
                                  <w:r w:rsidRPr="00430D32">
                                    <w:rPr>
                                      <w:rFonts w:ascii="標楷體" w:eastAsia="標楷體" w:hAnsi="標楷體" w:hint="eastAsia"/>
                                    </w:rPr>
                                    <w:t>58.90</w:t>
                                  </w:r>
                                </w:p>
                              </w:tc>
                              <w:tc>
                                <w:tcPr>
                                  <w:tcW w:w="1304" w:type="dxa"/>
                                  <w:vAlign w:val="center"/>
                                </w:tcPr>
                                <w:p w14:paraId="5A892B4F" w14:textId="77777777" w:rsidR="007B70B7" w:rsidRDefault="007B70B7" w:rsidP="00AD37CC">
                                  <w:pPr>
                                    <w:jc w:val="right"/>
                                  </w:pPr>
                                  <w:r w:rsidRPr="00430D32">
                                    <w:rPr>
                                      <w:rFonts w:ascii="標楷體" w:eastAsia="標楷體" w:hAnsi="標楷體" w:hint="eastAsia"/>
                                    </w:rPr>
                                    <w:t>2,313,835</w:t>
                                  </w:r>
                                </w:p>
                              </w:tc>
                              <w:tc>
                                <w:tcPr>
                                  <w:tcW w:w="907" w:type="dxa"/>
                                  <w:vAlign w:val="center"/>
                                </w:tcPr>
                                <w:p w14:paraId="5B4F5A2D" w14:textId="77777777" w:rsidR="007B70B7" w:rsidRDefault="007B70B7" w:rsidP="00AD37CC">
                                  <w:pPr>
                                    <w:jc w:val="right"/>
                                  </w:pPr>
                                  <w:r w:rsidRPr="00430D32">
                                    <w:rPr>
                                      <w:rFonts w:ascii="標楷體" w:eastAsia="標楷體" w:hAnsi="標楷體" w:hint="eastAsia"/>
                                    </w:rPr>
                                    <w:t>41.10</w:t>
                                  </w:r>
                                </w:p>
                              </w:tc>
                            </w:tr>
                            <w:tr w:rsidR="007B70B7" w14:paraId="29D601B6" w14:textId="77777777" w:rsidTr="00AD37CC">
                              <w:tc>
                                <w:tcPr>
                                  <w:tcW w:w="988" w:type="dxa"/>
                                  <w:tcBorders>
                                    <w:bottom w:val="single" w:sz="4" w:space="0" w:color="auto"/>
                                  </w:tcBorders>
                                  <w:vAlign w:val="center"/>
                                </w:tcPr>
                                <w:p w14:paraId="49D79EB3" w14:textId="77777777" w:rsidR="007B70B7" w:rsidRDefault="007B70B7" w:rsidP="0017194E">
                                  <w:pPr>
                                    <w:jc w:val="center"/>
                                  </w:pPr>
                                  <w:r w:rsidRPr="00430D32">
                                    <w:rPr>
                                      <w:rFonts w:ascii="標楷體" w:eastAsia="標楷體" w:hAnsi="標楷體" w:hint="eastAsia"/>
                                    </w:rPr>
                                    <w:t>113</w:t>
                                  </w:r>
                                </w:p>
                              </w:tc>
                              <w:tc>
                                <w:tcPr>
                                  <w:tcW w:w="1218" w:type="dxa"/>
                                  <w:tcBorders>
                                    <w:bottom w:val="single" w:sz="4" w:space="0" w:color="auto"/>
                                  </w:tcBorders>
                                  <w:vAlign w:val="center"/>
                                </w:tcPr>
                                <w:p w14:paraId="6FF01616" w14:textId="77777777" w:rsidR="007B70B7" w:rsidRDefault="007B70B7" w:rsidP="00AD37CC">
                                  <w:pPr>
                                    <w:jc w:val="right"/>
                                  </w:pPr>
                                  <w:r w:rsidRPr="00430D32">
                                    <w:rPr>
                                      <w:rFonts w:ascii="標楷體" w:eastAsia="標楷體" w:hAnsi="標楷體"/>
                                      <w:b/>
                                      <w:bCs/>
                                    </w:rPr>
                                    <w:t>10,018,721</w:t>
                                  </w:r>
                                </w:p>
                              </w:tc>
                              <w:tc>
                                <w:tcPr>
                                  <w:tcW w:w="1304" w:type="dxa"/>
                                  <w:tcBorders>
                                    <w:bottom w:val="single" w:sz="4" w:space="0" w:color="auto"/>
                                  </w:tcBorders>
                                  <w:vAlign w:val="center"/>
                                </w:tcPr>
                                <w:p w14:paraId="688C3AC2" w14:textId="77777777" w:rsidR="007B70B7" w:rsidRDefault="007B70B7" w:rsidP="00AD37CC">
                                  <w:pPr>
                                    <w:jc w:val="right"/>
                                  </w:pPr>
                                  <w:r w:rsidRPr="00430D32">
                                    <w:rPr>
                                      <w:rFonts w:ascii="標楷體" w:eastAsia="標楷體" w:hAnsi="標楷體"/>
                                    </w:rPr>
                                    <w:t>7,851,004</w:t>
                                  </w:r>
                                </w:p>
                              </w:tc>
                              <w:tc>
                                <w:tcPr>
                                  <w:tcW w:w="907" w:type="dxa"/>
                                  <w:tcBorders>
                                    <w:bottom w:val="single" w:sz="4" w:space="0" w:color="auto"/>
                                  </w:tcBorders>
                                  <w:vAlign w:val="center"/>
                                </w:tcPr>
                                <w:p w14:paraId="66B70C8D" w14:textId="77777777" w:rsidR="007B70B7" w:rsidRDefault="007B70B7" w:rsidP="00AD37CC">
                                  <w:pPr>
                                    <w:jc w:val="right"/>
                                  </w:pPr>
                                  <w:r w:rsidRPr="00430D32">
                                    <w:rPr>
                                      <w:rFonts w:ascii="標楷體" w:eastAsia="標楷體" w:hAnsi="標楷體"/>
                                    </w:rPr>
                                    <w:t>78.36</w:t>
                                  </w:r>
                                </w:p>
                              </w:tc>
                              <w:tc>
                                <w:tcPr>
                                  <w:tcW w:w="1304" w:type="dxa"/>
                                  <w:tcBorders>
                                    <w:bottom w:val="single" w:sz="4" w:space="0" w:color="auto"/>
                                  </w:tcBorders>
                                  <w:vAlign w:val="center"/>
                                </w:tcPr>
                                <w:p w14:paraId="17696287" w14:textId="77777777" w:rsidR="007B70B7" w:rsidRDefault="007B70B7" w:rsidP="00AD37CC">
                                  <w:pPr>
                                    <w:jc w:val="right"/>
                                  </w:pPr>
                                  <w:r w:rsidRPr="00430D32">
                                    <w:rPr>
                                      <w:rFonts w:ascii="標楷體" w:eastAsia="標楷體" w:hAnsi="標楷體"/>
                                    </w:rPr>
                                    <w:t>2,167,717</w:t>
                                  </w:r>
                                </w:p>
                              </w:tc>
                              <w:tc>
                                <w:tcPr>
                                  <w:tcW w:w="907" w:type="dxa"/>
                                  <w:tcBorders>
                                    <w:bottom w:val="single" w:sz="4" w:space="0" w:color="auto"/>
                                  </w:tcBorders>
                                  <w:vAlign w:val="center"/>
                                </w:tcPr>
                                <w:p w14:paraId="40F59EB3" w14:textId="77777777" w:rsidR="007B70B7" w:rsidRDefault="007B70B7" w:rsidP="00AD37CC">
                                  <w:pPr>
                                    <w:jc w:val="right"/>
                                  </w:pPr>
                                  <w:r w:rsidRPr="00430D32">
                                    <w:rPr>
                                      <w:rFonts w:ascii="標楷體" w:eastAsia="標楷體" w:hAnsi="標楷體"/>
                                    </w:rPr>
                                    <w:t>21.64</w:t>
                                  </w:r>
                                </w:p>
                              </w:tc>
                            </w:tr>
                            <w:tr w:rsidR="007B70B7" w14:paraId="7F7C8A37" w14:textId="77777777" w:rsidTr="00AD37CC">
                              <w:tc>
                                <w:tcPr>
                                  <w:tcW w:w="6628" w:type="dxa"/>
                                  <w:gridSpan w:val="6"/>
                                  <w:tcBorders>
                                    <w:top w:val="single" w:sz="4" w:space="0" w:color="auto"/>
                                    <w:left w:val="nil"/>
                                    <w:bottom w:val="nil"/>
                                    <w:right w:val="nil"/>
                                  </w:tcBorders>
                                </w:tcPr>
                                <w:p w14:paraId="120C5DF0" w14:textId="77777777" w:rsidR="007B70B7" w:rsidRDefault="007B70B7" w:rsidP="00AD37CC">
                                  <w:pPr>
                                    <w:spacing w:line="240" w:lineRule="exact"/>
                                  </w:pPr>
                                  <w:r w:rsidRPr="00430D32">
                                    <w:rPr>
                                      <w:rFonts w:ascii="標楷體" w:eastAsia="標楷體" w:hAnsi="標楷體" w:hint="eastAsia"/>
                                      <w:sz w:val="18"/>
                                      <w:szCs w:val="18"/>
                                    </w:rPr>
                                    <w:t>資料來源：整理自歷年審核報告。</w:t>
                                  </w:r>
                                </w:p>
                              </w:tc>
                            </w:tr>
                          </w:tbl>
                          <w:p w14:paraId="67CF4B80" w14:textId="77777777" w:rsidR="007B70B7" w:rsidRDefault="007B70B7" w:rsidP="007B70B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1BC672" id="_x0000_t202" coordsize="21600,21600" o:spt="202" path="m,l,21600r21600,l21600,xe">
                <v:stroke joinstyle="miter"/>
                <v:path gradientshapeok="t" o:connecttype="rect"/>
              </v:shapetype>
              <v:shape id="文字方塊 45" o:spid="_x0000_s1026" type="#_x0000_t202" style="position:absolute;left:0;text-align:left;margin-left:177.3pt;margin-top:77.1pt;width:324pt;height:3in;z-index:-2515056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" fillcolor="white [3201]" stroked="f" strokeweight=".5pt">
                <v:textbox>
                  <w:txbxContent>
                    <w:tbl>
                      <w:tblPr>
                        <w:tblStyle w:val="a6"/>
                        <w:tblW w:w="0" w:type="auto"/>
                        <w:tblLook w:val="04A0" w:firstRow="1" w:lastRow="0" w:firstColumn="1" w:lastColumn="0" w:noHBand="0" w:noVBand="1"/>
                      </w:tblPr>
                      <w:tblGrid>
                        <w:gridCol w:w="789"/>
                        <w:gridCol w:w="1218"/>
                        <w:gridCol w:w="1268"/>
                        <w:gridCol w:w="869"/>
                        <w:gridCol w:w="1226"/>
                        <w:gridCol w:w="827"/>
                      </w:tblGrid>
                      <w:tr w:rsidR="007B70B7" w14:paraId="080257E7" w14:textId="77777777" w:rsidTr="00AD37CC">
                        <w:tc>
                          <w:tcPr>
                            <w:tcW w:w="6628" w:type="dxa"/>
                            <w:gridSpan w:val="6"/>
                            <w:tcBorders>
                              <w:top w:val="nil"/>
                              <w:left w:val="nil"/>
                              <w:bottom w:val="nil"/>
                              <w:right w:val="nil"/>
                            </w:tcBorders>
                          </w:tcPr>
                          <w:p w14:paraId="5758E2D1" w14:textId="08E82446" w:rsidR="007B70B7" w:rsidRPr="0017194E" w:rsidRDefault="007B70B7" w:rsidP="00AD37CC">
                            <w:pPr>
                              <w:jc w:val="center"/>
                              <w:rPr>
                                <w:sz w:val="24"/>
                                <w:szCs w:val="24"/>
                              </w:rPr>
                            </w:pPr>
                            <w:r w:rsidRPr="0017194E">
                              <w:rPr>
                                <w:rFonts w:ascii="標楷體" w:eastAsia="標楷體" w:hAnsi="標楷體" w:hint="eastAsia"/>
                                <w:b/>
                                <w:bCs/>
                                <w:sz w:val="24"/>
                                <w:szCs w:val="24"/>
                              </w:rPr>
                              <w:t>表</w:t>
                            </w:r>
                            <w:r w:rsidRPr="0017194E">
                              <w:rPr>
                                <w:rFonts w:ascii="標楷體" w:eastAsia="標楷體" w:hAnsi="標楷體"/>
                                <w:b/>
                                <w:bCs/>
                                <w:sz w:val="24"/>
                                <w:szCs w:val="24"/>
                              </w:rPr>
                              <w:t>1</w:t>
                            </w:r>
                            <w:r w:rsidRPr="0017194E">
                              <w:rPr>
                                <w:rFonts w:ascii="標楷體" w:eastAsia="標楷體" w:hAnsi="標楷體" w:hint="eastAsia"/>
                                <w:b/>
                                <w:bCs/>
                                <w:sz w:val="24"/>
                                <w:szCs w:val="24"/>
                              </w:rPr>
                              <w:t xml:space="preserve">  歲入超收情形</w:t>
                            </w:r>
                          </w:p>
                        </w:tc>
                      </w:tr>
                      <w:tr w:rsidR="007B70B7" w14:paraId="6EA2ED84" w14:textId="77777777" w:rsidTr="00AD37CC">
                        <w:tc>
                          <w:tcPr>
                            <w:tcW w:w="6628" w:type="dxa"/>
                            <w:gridSpan w:val="6"/>
                            <w:tcBorders>
                              <w:top w:val="nil"/>
                              <w:left w:val="nil"/>
                              <w:bottom w:val="single" w:sz="4" w:space="0" w:color="auto"/>
                              <w:right w:val="nil"/>
                            </w:tcBorders>
                          </w:tcPr>
                          <w:p w14:paraId="5CF2EE0A" w14:textId="77777777" w:rsidR="007B70B7" w:rsidRDefault="007B70B7" w:rsidP="00AD37CC">
                            <w:pPr>
                              <w:spacing w:line="240" w:lineRule="exact"/>
                              <w:jc w:val="right"/>
                            </w:pPr>
                            <w:r w:rsidRPr="00430D32">
                              <w:rPr>
                                <w:rFonts w:ascii="標楷體" w:eastAsia="標楷體" w:hAnsi="標楷體" w:hint="eastAsia"/>
                              </w:rPr>
                              <w:t>單位：新臺幣千元、％</w:t>
                            </w:r>
                          </w:p>
                        </w:tc>
                      </w:tr>
                      <w:tr w:rsidR="007B70B7" w14:paraId="168D4F84" w14:textId="77777777" w:rsidTr="00AD37CC">
                        <w:tc>
                          <w:tcPr>
                            <w:tcW w:w="988" w:type="dxa"/>
                            <w:vMerge w:val="restart"/>
                            <w:tcBorders>
                              <w:top w:val="single" w:sz="4" w:space="0" w:color="auto"/>
                              <w:tl2br w:val="single" w:sz="4" w:space="0" w:color="auto"/>
                            </w:tcBorders>
                          </w:tcPr>
                          <w:p w14:paraId="7B7ED2C4" w14:textId="77777777" w:rsidR="007B70B7" w:rsidRPr="00430D32" w:rsidRDefault="007B70B7" w:rsidP="00AD37CC">
                            <w:pPr>
                              <w:spacing w:line="240" w:lineRule="exact"/>
                              <w:jc w:val="right"/>
                              <w:rPr>
                                <w:rFonts w:ascii="標楷體" w:eastAsia="標楷體" w:hAnsi="標楷體"/>
                              </w:rPr>
                            </w:pPr>
                            <w:r w:rsidRPr="00430D32">
                              <w:rPr>
                                <w:rFonts w:ascii="標楷體" w:eastAsia="標楷體" w:hAnsi="標楷體" w:hint="eastAsia"/>
                              </w:rPr>
                              <w:t>項目</w:t>
                            </w:r>
                          </w:p>
                          <w:p w14:paraId="4B68A61C" w14:textId="77777777" w:rsidR="007B70B7" w:rsidRDefault="007B70B7" w:rsidP="00AD37CC">
                            <w:pPr>
                              <w:spacing w:line="240" w:lineRule="exact"/>
                              <w:rPr>
                                <w:rFonts w:ascii="標楷體" w:eastAsia="標楷體" w:hAnsi="標楷體"/>
                              </w:rPr>
                            </w:pPr>
                          </w:p>
                          <w:p w14:paraId="08B95239" w14:textId="77777777" w:rsidR="007B70B7" w:rsidRDefault="007B70B7" w:rsidP="00AD37CC">
                            <w:pPr>
                              <w:spacing w:line="360" w:lineRule="exact"/>
                            </w:pPr>
                            <w:r w:rsidRPr="00430D32">
                              <w:rPr>
                                <w:rFonts w:ascii="標楷體" w:eastAsia="標楷體" w:hAnsi="標楷體" w:hint="eastAsia"/>
                              </w:rPr>
                              <w:t>年度</w:t>
                            </w:r>
                          </w:p>
                        </w:tc>
                        <w:tc>
                          <w:tcPr>
                            <w:tcW w:w="1218" w:type="dxa"/>
                            <w:vMerge w:val="restart"/>
                            <w:tcBorders>
                              <w:top w:val="single" w:sz="4" w:space="0" w:color="auto"/>
                            </w:tcBorders>
                            <w:vAlign w:val="center"/>
                          </w:tcPr>
                          <w:p w14:paraId="48940436" w14:textId="77777777" w:rsidR="007B70B7" w:rsidRPr="00430D32" w:rsidRDefault="007B70B7" w:rsidP="00AD37CC">
                            <w:pPr>
                              <w:spacing w:line="240" w:lineRule="exact"/>
                              <w:jc w:val="center"/>
                              <w:rPr>
                                <w:rFonts w:ascii="標楷體" w:eastAsia="標楷體" w:hAnsi="標楷體"/>
                              </w:rPr>
                            </w:pPr>
                            <w:r w:rsidRPr="00430D32">
                              <w:rPr>
                                <w:rFonts w:ascii="標楷體" w:eastAsia="標楷體" w:hAnsi="標楷體" w:hint="eastAsia"/>
                              </w:rPr>
                              <w:t>歲入超收</w:t>
                            </w:r>
                          </w:p>
                          <w:p w14:paraId="71726B99" w14:textId="77777777" w:rsidR="007B70B7" w:rsidRDefault="007B70B7" w:rsidP="00AD37CC">
                            <w:pPr>
                              <w:spacing w:line="240" w:lineRule="exact"/>
                              <w:jc w:val="center"/>
                            </w:pPr>
                            <w:r w:rsidRPr="00430D32">
                              <w:rPr>
                                <w:rFonts w:ascii="標楷體" w:eastAsia="標楷體" w:hAnsi="標楷體" w:hint="eastAsia"/>
                              </w:rPr>
                              <w:t>合計數</w:t>
                            </w:r>
                          </w:p>
                        </w:tc>
                        <w:tc>
                          <w:tcPr>
                            <w:tcW w:w="2211" w:type="dxa"/>
                            <w:gridSpan w:val="2"/>
                            <w:tcBorders>
                              <w:top w:val="single" w:sz="4" w:space="0" w:color="auto"/>
                            </w:tcBorders>
                            <w:vAlign w:val="center"/>
                          </w:tcPr>
                          <w:p w14:paraId="4D96C092" w14:textId="77777777" w:rsidR="007B70B7" w:rsidRDefault="007B70B7" w:rsidP="00AD37CC">
                            <w:pPr>
                              <w:spacing w:line="240" w:lineRule="exact"/>
                              <w:jc w:val="center"/>
                            </w:pPr>
                            <w:r w:rsidRPr="00430D32">
                              <w:rPr>
                                <w:rFonts w:ascii="標楷體" w:eastAsia="標楷體" w:hAnsi="標楷體" w:hint="eastAsia"/>
                              </w:rPr>
                              <w:t>稅課收</w:t>
                            </w:r>
                            <w:proofErr w:type="gramStart"/>
                            <w:r w:rsidRPr="00430D32">
                              <w:rPr>
                                <w:rFonts w:ascii="標楷體" w:eastAsia="標楷體" w:hAnsi="標楷體" w:hint="eastAsia"/>
                              </w:rPr>
                              <w:t>入超收數</w:t>
                            </w:r>
                            <w:proofErr w:type="gramEnd"/>
                          </w:p>
                        </w:tc>
                        <w:tc>
                          <w:tcPr>
                            <w:tcW w:w="2211" w:type="dxa"/>
                            <w:gridSpan w:val="2"/>
                            <w:tcBorders>
                              <w:top w:val="single" w:sz="4" w:space="0" w:color="auto"/>
                            </w:tcBorders>
                            <w:vAlign w:val="center"/>
                          </w:tcPr>
                          <w:p w14:paraId="2B6681C6" w14:textId="77777777" w:rsidR="007B70B7" w:rsidRDefault="007B70B7" w:rsidP="00AD37CC">
                            <w:pPr>
                              <w:spacing w:line="240" w:lineRule="exact"/>
                              <w:jc w:val="center"/>
                            </w:pPr>
                            <w:proofErr w:type="gramStart"/>
                            <w:r w:rsidRPr="00430D32">
                              <w:rPr>
                                <w:rFonts w:ascii="標楷體" w:eastAsia="標楷體" w:hAnsi="標楷體" w:hint="eastAsia"/>
                              </w:rPr>
                              <w:t>非稅課</w:t>
                            </w:r>
                            <w:proofErr w:type="gramEnd"/>
                            <w:r w:rsidRPr="00430D32">
                              <w:rPr>
                                <w:rFonts w:ascii="標楷體" w:eastAsia="標楷體" w:hAnsi="標楷體" w:hint="eastAsia"/>
                              </w:rPr>
                              <w:t>收</w:t>
                            </w:r>
                            <w:proofErr w:type="gramStart"/>
                            <w:r w:rsidRPr="00430D32">
                              <w:rPr>
                                <w:rFonts w:ascii="標楷體" w:eastAsia="標楷體" w:hAnsi="標楷體" w:hint="eastAsia"/>
                              </w:rPr>
                              <w:t>入超收數</w:t>
                            </w:r>
                            <w:proofErr w:type="gramEnd"/>
                          </w:p>
                        </w:tc>
                      </w:tr>
                      <w:tr w:rsidR="007B70B7" w14:paraId="69CA5932" w14:textId="77777777" w:rsidTr="00AD37CC">
                        <w:tc>
                          <w:tcPr>
                            <w:tcW w:w="988" w:type="dxa"/>
                            <w:vMerge/>
                            <w:tcBorders>
                              <w:tl2br w:val="single" w:sz="4" w:space="0" w:color="auto"/>
                            </w:tcBorders>
                          </w:tcPr>
                          <w:p w14:paraId="4630327A" w14:textId="77777777" w:rsidR="007B70B7" w:rsidRDefault="007B70B7" w:rsidP="00AD37CC">
                            <w:pPr>
                              <w:spacing w:line="240" w:lineRule="exact"/>
                            </w:pPr>
                          </w:p>
                        </w:tc>
                        <w:tc>
                          <w:tcPr>
                            <w:tcW w:w="1218" w:type="dxa"/>
                            <w:vMerge/>
                          </w:tcPr>
                          <w:p w14:paraId="420D3CA6" w14:textId="77777777" w:rsidR="007B70B7" w:rsidRDefault="007B70B7" w:rsidP="00AD37CC">
                            <w:pPr>
                              <w:spacing w:line="240" w:lineRule="exact"/>
                            </w:pPr>
                          </w:p>
                        </w:tc>
                        <w:tc>
                          <w:tcPr>
                            <w:tcW w:w="1304" w:type="dxa"/>
                            <w:vAlign w:val="center"/>
                          </w:tcPr>
                          <w:p w14:paraId="10DC8D57" w14:textId="77777777" w:rsidR="007B70B7" w:rsidRDefault="007B70B7" w:rsidP="00AD37CC">
                            <w:pPr>
                              <w:spacing w:line="240" w:lineRule="exact"/>
                              <w:jc w:val="center"/>
                            </w:pPr>
                            <w:r w:rsidRPr="00430D32">
                              <w:rPr>
                                <w:rFonts w:ascii="標楷體" w:eastAsia="標楷體" w:hAnsi="標楷體" w:hint="eastAsia"/>
                              </w:rPr>
                              <w:t>金額</w:t>
                            </w:r>
                          </w:p>
                        </w:tc>
                        <w:tc>
                          <w:tcPr>
                            <w:tcW w:w="907" w:type="dxa"/>
                            <w:vAlign w:val="center"/>
                          </w:tcPr>
                          <w:p w14:paraId="7826FEB2" w14:textId="77777777" w:rsidR="007B70B7" w:rsidRDefault="007B70B7" w:rsidP="00AD37CC">
                            <w:pPr>
                              <w:spacing w:line="240" w:lineRule="exact"/>
                              <w:jc w:val="center"/>
                            </w:pPr>
                            <w:r w:rsidRPr="00430D32">
                              <w:rPr>
                                <w:rFonts w:ascii="標楷體" w:eastAsia="標楷體" w:hAnsi="標楷體" w:hint="eastAsia"/>
                              </w:rPr>
                              <w:t>占歲入超收合計數％</w:t>
                            </w:r>
                          </w:p>
                        </w:tc>
                        <w:tc>
                          <w:tcPr>
                            <w:tcW w:w="1304" w:type="dxa"/>
                            <w:vAlign w:val="center"/>
                          </w:tcPr>
                          <w:p w14:paraId="0B05E66F" w14:textId="77777777" w:rsidR="007B70B7" w:rsidRDefault="007B70B7" w:rsidP="00AD37CC">
                            <w:pPr>
                              <w:spacing w:line="240" w:lineRule="exact"/>
                              <w:jc w:val="center"/>
                            </w:pPr>
                            <w:r w:rsidRPr="00430D32">
                              <w:rPr>
                                <w:rFonts w:ascii="標楷體" w:eastAsia="標楷體" w:hAnsi="標楷體" w:hint="eastAsia"/>
                              </w:rPr>
                              <w:t>金額</w:t>
                            </w:r>
                          </w:p>
                        </w:tc>
                        <w:tc>
                          <w:tcPr>
                            <w:tcW w:w="907" w:type="dxa"/>
                            <w:vAlign w:val="center"/>
                          </w:tcPr>
                          <w:p w14:paraId="7C65D5DC" w14:textId="77777777" w:rsidR="007B70B7" w:rsidRDefault="007B70B7" w:rsidP="00AD37CC">
                            <w:pPr>
                              <w:spacing w:line="240" w:lineRule="exact"/>
                              <w:jc w:val="center"/>
                            </w:pPr>
                            <w:r w:rsidRPr="00430D32">
                              <w:rPr>
                                <w:rFonts w:ascii="標楷體" w:eastAsia="標楷體" w:hAnsi="標楷體" w:hint="eastAsia"/>
                              </w:rPr>
                              <w:t>占歲入超收合計數％</w:t>
                            </w:r>
                          </w:p>
                        </w:tc>
                      </w:tr>
                      <w:tr w:rsidR="007B70B7" w14:paraId="741A09F3" w14:textId="77777777" w:rsidTr="00AD37CC">
                        <w:tc>
                          <w:tcPr>
                            <w:tcW w:w="988" w:type="dxa"/>
                            <w:vAlign w:val="center"/>
                          </w:tcPr>
                          <w:p w14:paraId="12CCD22C" w14:textId="77777777" w:rsidR="007B70B7" w:rsidRDefault="007B70B7" w:rsidP="00AD37CC">
                            <w:r w:rsidRPr="00430D32">
                              <w:rPr>
                                <w:rFonts w:ascii="標楷體" w:eastAsia="標楷體" w:hAnsi="標楷體" w:hint="eastAsia"/>
                                <w:b/>
                              </w:rPr>
                              <w:t>合計</w:t>
                            </w:r>
                          </w:p>
                        </w:tc>
                        <w:tc>
                          <w:tcPr>
                            <w:tcW w:w="1218" w:type="dxa"/>
                            <w:vAlign w:val="center"/>
                          </w:tcPr>
                          <w:p w14:paraId="56A790E3" w14:textId="77777777" w:rsidR="007B70B7" w:rsidRDefault="007B70B7" w:rsidP="00AD37CC">
                            <w:pPr>
                              <w:jc w:val="right"/>
                            </w:pPr>
                            <w:r w:rsidRPr="00430D32">
                              <w:rPr>
                                <w:rFonts w:ascii="標楷體" w:eastAsia="標楷體" w:hAnsi="標楷體"/>
                                <w:b/>
                              </w:rPr>
                              <w:t>35,692,246</w:t>
                            </w:r>
                          </w:p>
                        </w:tc>
                        <w:tc>
                          <w:tcPr>
                            <w:tcW w:w="1304" w:type="dxa"/>
                            <w:vAlign w:val="center"/>
                          </w:tcPr>
                          <w:p w14:paraId="756E496D" w14:textId="77777777" w:rsidR="007B70B7" w:rsidRDefault="007B70B7" w:rsidP="00AD37CC">
                            <w:pPr>
                              <w:jc w:val="right"/>
                            </w:pPr>
                            <w:r w:rsidRPr="00430D32">
                              <w:rPr>
                                <w:rFonts w:ascii="標楷體" w:eastAsia="標楷體" w:hAnsi="標楷體"/>
                                <w:b/>
                              </w:rPr>
                              <w:t>27,539,156</w:t>
                            </w:r>
                          </w:p>
                        </w:tc>
                        <w:tc>
                          <w:tcPr>
                            <w:tcW w:w="907" w:type="dxa"/>
                            <w:vAlign w:val="center"/>
                          </w:tcPr>
                          <w:p w14:paraId="2303C932" w14:textId="77777777" w:rsidR="007B70B7" w:rsidRDefault="007B70B7" w:rsidP="00AD37CC">
                            <w:pPr>
                              <w:jc w:val="right"/>
                            </w:pPr>
                            <w:r w:rsidRPr="00430D32">
                              <w:rPr>
                                <w:rFonts w:ascii="標楷體" w:eastAsia="標楷體" w:hAnsi="標楷體"/>
                                <w:b/>
                              </w:rPr>
                              <w:t>77.16</w:t>
                            </w:r>
                          </w:p>
                        </w:tc>
                        <w:tc>
                          <w:tcPr>
                            <w:tcW w:w="1304" w:type="dxa"/>
                            <w:vAlign w:val="center"/>
                          </w:tcPr>
                          <w:p w14:paraId="634A3A89" w14:textId="77777777" w:rsidR="007B70B7" w:rsidRDefault="007B70B7" w:rsidP="00AD37CC">
                            <w:pPr>
                              <w:jc w:val="right"/>
                            </w:pPr>
                            <w:r w:rsidRPr="00430D32">
                              <w:rPr>
                                <w:rFonts w:ascii="標楷體" w:eastAsia="標楷體" w:hAnsi="標楷體"/>
                                <w:b/>
                              </w:rPr>
                              <w:t>8,153,090</w:t>
                            </w:r>
                          </w:p>
                        </w:tc>
                        <w:tc>
                          <w:tcPr>
                            <w:tcW w:w="907" w:type="dxa"/>
                            <w:vAlign w:val="center"/>
                          </w:tcPr>
                          <w:p w14:paraId="31B47C87" w14:textId="77777777" w:rsidR="007B70B7" w:rsidRDefault="007B70B7" w:rsidP="00AD37CC">
                            <w:pPr>
                              <w:jc w:val="right"/>
                            </w:pPr>
                            <w:r w:rsidRPr="00430D32">
                              <w:rPr>
                                <w:rFonts w:ascii="標楷體" w:eastAsia="標楷體" w:hAnsi="標楷體"/>
                                <w:b/>
                              </w:rPr>
                              <w:t>22.84</w:t>
                            </w:r>
                          </w:p>
                        </w:tc>
                      </w:tr>
                      <w:tr w:rsidR="007B70B7" w14:paraId="61168BE1" w14:textId="77777777" w:rsidTr="00AD37CC">
                        <w:tc>
                          <w:tcPr>
                            <w:tcW w:w="988" w:type="dxa"/>
                            <w:vAlign w:val="center"/>
                          </w:tcPr>
                          <w:p w14:paraId="25FCB759" w14:textId="77777777" w:rsidR="007B70B7" w:rsidRDefault="007B70B7" w:rsidP="0017194E">
                            <w:pPr>
                              <w:jc w:val="center"/>
                            </w:pPr>
                            <w:r w:rsidRPr="00430D32">
                              <w:rPr>
                                <w:rFonts w:ascii="標楷體" w:eastAsia="標楷體" w:hAnsi="標楷體" w:hint="eastAsia"/>
                              </w:rPr>
                              <w:t>109</w:t>
                            </w:r>
                          </w:p>
                        </w:tc>
                        <w:tc>
                          <w:tcPr>
                            <w:tcW w:w="1218" w:type="dxa"/>
                            <w:vAlign w:val="center"/>
                          </w:tcPr>
                          <w:p w14:paraId="6B12A5C6" w14:textId="77777777" w:rsidR="007B70B7" w:rsidRDefault="007B70B7" w:rsidP="00AD37CC">
                            <w:pPr>
                              <w:jc w:val="right"/>
                            </w:pPr>
                            <w:r w:rsidRPr="00430D32">
                              <w:rPr>
                                <w:rFonts w:ascii="標楷體" w:eastAsia="標楷體" w:hAnsi="標楷體" w:hint="eastAsia"/>
                                <w:b/>
                              </w:rPr>
                              <w:t>4,962,422</w:t>
                            </w:r>
                          </w:p>
                        </w:tc>
                        <w:tc>
                          <w:tcPr>
                            <w:tcW w:w="1304" w:type="dxa"/>
                            <w:vAlign w:val="center"/>
                          </w:tcPr>
                          <w:p w14:paraId="456E91F8" w14:textId="77777777" w:rsidR="007B70B7" w:rsidRDefault="007B70B7" w:rsidP="00AD37CC">
                            <w:pPr>
                              <w:jc w:val="right"/>
                            </w:pPr>
                            <w:r w:rsidRPr="00430D32">
                              <w:rPr>
                                <w:rFonts w:ascii="標楷體" w:eastAsia="標楷體" w:hAnsi="標楷體" w:hint="eastAsia"/>
                              </w:rPr>
                              <w:t>1,424,515</w:t>
                            </w:r>
                          </w:p>
                        </w:tc>
                        <w:tc>
                          <w:tcPr>
                            <w:tcW w:w="907" w:type="dxa"/>
                            <w:vAlign w:val="center"/>
                          </w:tcPr>
                          <w:p w14:paraId="3DE2A671" w14:textId="77777777" w:rsidR="007B70B7" w:rsidRDefault="007B70B7" w:rsidP="00AD37CC">
                            <w:pPr>
                              <w:jc w:val="right"/>
                            </w:pPr>
                            <w:r w:rsidRPr="00430D32">
                              <w:rPr>
                                <w:rFonts w:ascii="標楷體" w:eastAsia="標楷體" w:hAnsi="標楷體" w:hint="eastAsia"/>
                              </w:rPr>
                              <w:t>28.71</w:t>
                            </w:r>
                          </w:p>
                        </w:tc>
                        <w:tc>
                          <w:tcPr>
                            <w:tcW w:w="1304" w:type="dxa"/>
                            <w:vAlign w:val="center"/>
                          </w:tcPr>
                          <w:p w14:paraId="3B18249A" w14:textId="77777777" w:rsidR="007B70B7" w:rsidRDefault="007B70B7" w:rsidP="00AD37CC">
                            <w:pPr>
                              <w:jc w:val="right"/>
                            </w:pPr>
                            <w:r w:rsidRPr="00430D32">
                              <w:rPr>
                                <w:rFonts w:ascii="標楷體" w:eastAsia="標楷體" w:hAnsi="標楷體" w:hint="eastAsia"/>
                              </w:rPr>
                              <w:t>3,537,906</w:t>
                            </w:r>
                          </w:p>
                        </w:tc>
                        <w:tc>
                          <w:tcPr>
                            <w:tcW w:w="907" w:type="dxa"/>
                            <w:vAlign w:val="center"/>
                          </w:tcPr>
                          <w:p w14:paraId="284102D6" w14:textId="77777777" w:rsidR="007B70B7" w:rsidRDefault="007B70B7" w:rsidP="00AD37CC">
                            <w:pPr>
                              <w:jc w:val="right"/>
                            </w:pPr>
                            <w:r w:rsidRPr="00430D32">
                              <w:rPr>
                                <w:rFonts w:ascii="標楷體" w:eastAsia="標楷體" w:hAnsi="標楷體" w:hint="eastAsia"/>
                              </w:rPr>
                              <w:t>71.29</w:t>
                            </w:r>
                          </w:p>
                        </w:tc>
                      </w:tr>
                      <w:tr w:rsidR="007B70B7" w14:paraId="54F6C719" w14:textId="77777777" w:rsidTr="00AD37CC">
                        <w:tc>
                          <w:tcPr>
                            <w:tcW w:w="988" w:type="dxa"/>
                            <w:vAlign w:val="center"/>
                          </w:tcPr>
                          <w:p w14:paraId="39012329" w14:textId="77777777" w:rsidR="007B70B7" w:rsidRDefault="007B70B7" w:rsidP="0017194E">
                            <w:pPr>
                              <w:jc w:val="center"/>
                            </w:pPr>
                            <w:r w:rsidRPr="00430D32">
                              <w:rPr>
                                <w:rFonts w:ascii="標楷體" w:eastAsia="標楷體" w:hAnsi="標楷體" w:hint="eastAsia"/>
                              </w:rPr>
                              <w:t>110</w:t>
                            </w:r>
                          </w:p>
                        </w:tc>
                        <w:tc>
                          <w:tcPr>
                            <w:tcW w:w="1218" w:type="dxa"/>
                            <w:vAlign w:val="center"/>
                          </w:tcPr>
                          <w:p w14:paraId="7BAEAF5D" w14:textId="77777777" w:rsidR="007B70B7" w:rsidRDefault="007B70B7" w:rsidP="00AD37CC">
                            <w:pPr>
                              <w:jc w:val="right"/>
                            </w:pPr>
                            <w:r w:rsidRPr="00430D32">
                              <w:rPr>
                                <w:rFonts w:ascii="標楷體" w:eastAsia="標楷體" w:hAnsi="標楷體" w:hint="eastAsia"/>
                                <w:b/>
                              </w:rPr>
                              <w:t>10,531,199</w:t>
                            </w:r>
                          </w:p>
                        </w:tc>
                        <w:tc>
                          <w:tcPr>
                            <w:tcW w:w="1304" w:type="dxa"/>
                            <w:vAlign w:val="center"/>
                          </w:tcPr>
                          <w:p w14:paraId="778A69F5" w14:textId="77777777" w:rsidR="007B70B7" w:rsidRDefault="007B70B7" w:rsidP="00AD37CC">
                            <w:pPr>
                              <w:jc w:val="right"/>
                            </w:pPr>
                            <w:r w:rsidRPr="00430D32">
                              <w:rPr>
                                <w:rFonts w:ascii="標楷體" w:eastAsia="標楷體" w:hAnsi="標楷體" w:hint="eastAsia"/>
                              </w:rPr>
                              <w:t>11,408,341</w:t>
                            </w:r>
                          </w:p>
                        </w:tc>
                        <w:tc>
                          <w:tcPr>
                            <w:tcW w:w="907" w:type="dxa"/>
                            <w:vAlign w:val="center"/>
                          </w:tcPr>
                          <w:p w14:paraId="140FE0DB" w14:textId="77777777" w:rsidR="007B70B7" w:rsidRDefault="007B70B7" w:rsidP="00AD37CC">
                            <w:pPr>
                              <w:jc w:val="right"/>
                            </w:pPr>
                            <w:r w:rsidRPr="00430D32">
                              <w:rPr>
                                <w:rFonts w:ascii="標楷體" w:eastAsia="標楷體" w:hAnsi="標楷體" w:hint="eastAsia"/>
                              </w:rPr>
                              <w:t>108.33</w:t>
                            </w:r>
                          </w:p>
                        </w:tc>
                        <w:tc>
                          <w:tcPr>
                            <w:tcW w:w="1304" w:type="dxa"/>
                            <w:vAlign w:val="center"/>
                          </w:tcPr>
                          <w:p w14:paraId="4031E6FC" w14:textId="77777777" w:rsidR="007B70B7" w:rsidRDefault="007B70B7" w:rsidP="00AD37CC">
                            <w:pPr>
                              <w:jc w:val="right"/>
                            </w:pPr>
                            <w:r w:rsidRPr="00430D32">
                              <w:rPr>
                                <w:rFonts w:ascii="標楷體" w:eastAsia="標楷體" w:hAnsi="標楷體" w:hint="eastAsia"/>
                              </w:rPr>
                              <w:t>-</w:t>
                            </w:r>
                            <w:r w:rsidRPr="00430D32">
                              <w:rPr>
                                <w:rFonts w:ascii="標楷體" w:eastAsia="標楷體" w:hAnsi="標楷體"/>
                              </w:rPr>
                              <w:t xml:space="preserve"> </w:t>
                            </w:r>
                            <w:r w:rsidRPr="00430D32">
                              <w:rPr>
                                <w:rFonts w:ascii="標楷體" w:eastAsia="標楷體" w:hAnsi="標楷體" w:hint="eastAsia"/>
                              </w:rPr>
                              <w:t>877,142</w:t>
                            </w:r>
                          </w:p>
                        </w:tc>
                        <w:tc>
                          <w:tcPr>
                            <w:tcW w:w="907" w:type="dxa"/>
                            <w:vAlign w:val="center"/>
                          </w:tcPr>
                          <w:p w14:paraId="55771894" w14:textId="77777777" w:rsidR="007B70B7" w:rsidRDefault="007B70B7" w:rsidP="00AD37CC">
                            <w:pPr>
                              <w:jc w:val="right"/>
                            </w:pPr>
                            <w:r w:rsidRPr="00430D32">
                              <w:rPr>
                                <w:rFonts w:ascii="標楷體" w:eastAsia="標楷體" w:hAnsi="標楷體" w:hint="eastAsia"/>
                              </w:rPr>
                              <w:t>-</w:t>
                            </w:r>
                            <w:r w:rsidRPr="00430D32">
                              <w:rPr>
                                <w:rFonts w:ascii="標楷體" w:eastAsia="標楷體" w:hAnsi="標楷體"/>
                              </w:rPr>
                              <w:t xml:space="preserve"> </w:t>
                            </w:r>
                            <w:r w:rsidRPr="00430D32">
                              <w:rPr>
                                <w:rFonts w:ascii="標楷體" w:eastAsia="標楷體" w:hAnsi="標楷體" w:hint="eastAsia"/>
                              </w:rPr>
                              <w:t>8.33</w:t>
                            </w:r>
                          </w:p>
                        </w:tc>
                      </w:tr>
                      <w:tr w:rsidR="007B70B7" w14:paraId="69EE466E" w14:textId="77777777" w:rsidTr="00AD37CC">
                        <w:tc>
                          <w:tcPr>
                            <w:tcW w:w="988" w:type="dxa"/>
                            <w:vAlign w:val="center"/>
                          </w:tcPr>
                          <w:p w14:paraId="1A40E20D" w14:textId="77777777" w:rsidR="007B70B7" w:rsidRDefault="007B70B7" w:rsidP="0017194E">
                            <w:pPr>
                              <w:jc w:val="center"/>
                            </w:pPr>
                            <w:r w:rsidRPr="00430D32">
                              <w:rPr>
                                <w:rFonts w:ascii="標楷體" w:eastAsia="標楷體" w:hAnsi="標楷體" w:hint="eastAsia"/>
                              </w:rPr>
                              <w:t>111</w:t>
                            </w:r>
                          </w:p>
                        </w:tc>
                        <w:tc>
                          <w:tcPr>
                            <w:tcW w:w="1218" w:type="dxa"/>
                            <w:vAlign w:val="center"/>
                          </w:tcPr>
                          <w:p w14:paraId="462CC9A4" w14:textId="77777777" w:rsidR="007B70B7" w:rsidRDefault="007B70B7" w:rsidP="00AD37CC">
                            <w:pPr>
                              <w:jc w:val="right"/>
                            </w:pPr>
                            <w:r w:rsidRPr="00430D32">
                              <w:rPr>
                                <w:rFonts w:ascii="標楷體" w:eastAsia="標楷體" w:hAnsi="標楷體" w:hint="eastAsia"/>
                                <w:b/>
                              </w:rPr>
                              <w:t>4,550,613</w:t>
                            </w:r>
                          </w:p>
                        </w:tc>
                        <w:tc>
                          <w:tcPr>
                            <w:tcW w:w="1304" w:type="dxa"/>
                            <w:vAlign w:val="center"/>
                          </w:tcPr>
                          <w:p w14:paraId="3F4065E8" w14:textId="77777777" w:rsidR="007B70B7" w:rsidRDefault="007B70B7" w:rsidP="00AD37CC">
                            <w:pPr>
                              <w:jc w:val="right"/>
                            </w:pPr>
                            <w:r w:rsidRPr="00430D32">
                              <w:rPr>
                                <w:rFonts w:ascii="標楷體" w:eastAsia="標楷體" w:hAnsi="標楷體" w:hint="eastAsia"/>
                              </w:rPr>
                              <w:t>3,539,841</w:t>
                            </w:r>
                          </w:p>
                        </w:tc>
                        <w:tc>
                          <w:tcPr>
                            <w:tcW w:w="907" w:type="dxa"/>
                            <w:vAlign w:val="center"/>
                          </w:tcPr>
                          <w:p w14:paraId="24923A24" w14:textId="77777777" w:rsidR="007B70B7" w:rsidRDefault="007B70B7" w:rsidP="00AD37CC">
                            <w:pPr>
                              <w:jc w:val="right"/>
                            </w:pPr>
                            <w:r w:rsidRPr="00430D32">
                              <w:rPr>
                                <w:rFonts w:ascii="標楷體" w:eastAsia="標楷體" w:hAnsi="標楷體" w:hint="eastAsia"/>
                              </w:rPr>
                              <w:t>77.79</w:t>
                            </w:r>
                          </w:p>
                        </w:tc>
                        <w:tc>
                          <w:tcPr>
                            <w:tcW w:w="1304" w:type="dxa"/>
                            <w:vAlign w:val="center"/>
                          </w:tcPr>
                          <w:p w14:paraId="18CD4E26" w14:textId="77777777" w:rsidR="007B70B7" w:rsidRDefault="007B70B7" w:rsidP="00AD37CC">
                            <w:pPr>
                              <w:jc w:val="right"/>
                            </w:pPr>
                            <w:r w:rsidRPr="00430D32">
                              <w:rPr>
                                <w:rFonts w:ascii="標楷體" w:eastAsia="標楷體" w:hAnsi="標楷體" w:hint="eastAsia"/>
                              </w:rPr>
                              <w:t>1,010,772</w:t>
                            </w:r>
                          </w:p>
                        </w:tc>
                        <w:tc>
                          <w:tcPr>
                            <w:tcW w:w="907" w:type="dxa"/>
                            <w:vAlign w:val="center"/>
                          </w:tcPr>
                          <w:p w14:paraId="173BBDD5" w14:textId="77777777" w:rsidR="007B70B7" w:rsidRDefault="007B70B7" w:rsidP="00AD37CC">
                            <w:pPr>
                              <w:jc w:val="right"/>
                            </w:pPr>
                            <w:r w:rsidRPr="00430D32">
                              <w:rPr>
                                <w:rFonts w:ascii="標楷體" w:eastAsia="標楷體" w:hAnsi="標楷體" w:hint="eastAsia"/>
                              </w:rPr>
                              <w:t>22.21</w:t>
                            </w:r>
                          </w:p>
                        </w:tc>
                      </w:tr>
                      <w:tr w:rsidR="007B70B7" w14:paraId="0E436072" w14:textId="77777777" w:rsidTr="00AD37CC">
                        <w:tc>
                          <w:tcPr>
                            <w:tcW w:w="988" w:type="dxa"/>
                            <w:vAlign w:val="center"/>
                          </w:tcPr>
                          <w:p w14:paraId="7510D0AF" w14:textId="77777777" w:rsidR="007B70B7" w:rsidRDefault="007B70B7" w:rsidP="0017194E">
                            <w:pPr>
                              <w:jc w:val="center"/>
                            </w:pPr>
                            <w:r w:rsidRPr="00430D32">
                              <w:rPr>
                                <w:rFonts w:ascii="標楷體" w:eastAsia="標楷體" w:hAnsi="標楷體" w:hint="eastAsia"/>
                              </w:rPr>
                              <w:t>112</w:t>
                            </w:r>
                          </w:p>
                        </w:tc>
                        <w:tc>
                          <w:tcPr>
                            <w:tcW w:w="1218" w:type="dxa"/>
                            <w:vAlign w:val="center"/>
                          </w:tcPr>
                          <w:p w14:paraId="2122CAE7" w14:textId="77777777" w:rsidR="007B70B7" w:rsidRDefault="007B70B7" w:rsidP="00AD37CC">
                            <w:pPr>
                              <w:jc w:val="right"/>
                            </w:pPr>
                            <w:r w:rsidRPr="00430D32">
                              <w:rPr>
                                <w:rFonts w:ascii="標楷體" w:eastAsia="標楷體" w:hAnsi="標楷體" w:hint="eastAsia"/>
                                <w:b/>
                              </w:rPr>
                              <w:t>5,629,289</w:t>
                            </w:r>
                          </w:p>
                        </w:tc>
                        <w:tc>
                          <w:tcPr>
                            <w:tcW w:w="1304" w:type="dxa"/>
                            <w:vAlign w:val="center"/>
                          </w:tcPr>
                          <w:p w14:paraId="4ECEC72D" w14:textId="77777777" w:rsidR="007B70B7" w:rsidRDefault="007B70B7" w:rsidP="00AD37CC">
                            <w:pPr>
                              <w:jc w:val="right"/>
                            </w:pPr>
                            <w:r w:rsidRPr="00430D32">
                              <w:rPr>
                                <w:rFonts w:ascii="標楷體" w:eastAsia="標楷體" w:hAnsi="標楷體" w:hint="eastAsia"/>
                              </w:rPr>
                              <w:t>3,315,453</w:t>
                            </w:r>
                          </w:p>
                        </w:tc>
                        <w:tc>
                          <w:tcPr>
                            <w:tcW w:w="907" w:type="dxa"/>
                            <w:vAlign w:val="center"/>
                          </w:tcPr>
                          <w:p w14:paraId="6DBBD938" w14:textId="77777777" w:rsidR="007B70B7" w:rsidRDefault="007B70B7" w:rsidP="00AD37CC">
                            <w:pPr>
                              <w:jc w:val="right"/>
                            </w:pPr>
                            <w:r w:rsidRPr="00430D32">
                              <w:rPr>
                                <w:rFonts w:ascii="標楷體" w:eastAsia="標楷體" w:hAnsi="標楷體" w:hint="eastAsia"/>
                              </w:rPr>
                              <w:t>58.90</w:t>
                            </w:r>
                          </w:p>
                        </w:tc>
                        <w:tc>
                          <w:tcPr>
                            <w:tcW w:w="1304" w:type="dxa"/>
                            <w:vAlign w:val="center"/>
                          </w:tcPr>
                          <w:p w14:paraId="5A892B4F" w14:textId="77777777" w:rsidR="007B70B7" w:rsidRDefault="007B70B7" w:rsidP="00AD37CC">
                            <w:pPr>
                              <w:jc w:val="right"/>
                            </w:pPr>
                            <w:r w:rsidRPr="00430D32">
                              <w:rPr>
                                <w:rFonts w:ascii="標楷體" w:eastAsia="標楷體" w:hAnsi="標楷體" w:hint="eastAsia"/>
                              </w:rPr>
                              <w:t>2,313,835</w:t>
                            </w:r>
                          </w:p>
                        </w:tc>
                        <w:tc>
                          <w:tcPr>
                            <w:tcW w:w="907" w:type="dxa"/>
                            <w:vAlign w:val="center"/>
                          </w:tcPr>
                          <w:p w14:paraId="5B4F5A2D" w14:textId="77777777" w:rsidR="007B70B7" w:rsidRDefault="007B70B7" w:rsidP="00AD37CC">
                            <w:pPr>
                              <w:jc w:val="right"/>
                            </w:pPr>
                            <w:r w:rsidRPr="00430D32">
                              <w:rPr>
                                <w:rFonts w:ascii="標楷體" w:eastAsia="標楷體" w:hAnsi="標楷體" w:hint="eastAsia"/>
                              </w:rPr>
                              <w:t>41.10</w:t>
                            </w:r>
                          </w:p>
                        </w:tc>
                      </w:tr>
                      <w:tr w:rsidR="007B70B7" w14:paraId="29D601B6" w14:textId="77777777" w:rsidTr="00AD37CC">
                        <w:tc>
                          <w:tcPr>
                            <w:tcW w:w="988" w:type="dxa"/>
                            <w:tcBorders>
                              <w:bottom w:val="single" w:sz="4" w:space="0" w:color="auto"/>
                            </w:tcBorders>
                            <w:vAlign w:val="center"/>
                          </w:tcPr>
                          <w:p w14:paraId="49D79EB3" w14:textId="77777777" w:rsidR="007B70B7" w:rsidRDefault="007B70B7" w:rsidP="0017194E">
                            <w:pPr>
                              <w:jc w:val="center"/>
                            </w:pPr>
                            <w:r w:rsidRPr="00430D32">
                              <w:rPr>
                                <w:rFonts w:ascii="標楷體" w:eastAsia="標楷體" w:hAnsi="標楷體" w:hint="eastAsia"/>
                              </w:rPr>
                              <w:t>113</w:t>
                            </w:r>
                          </w:p>
                        </w:tc>
                        <w:tc>
                          <w:tcPr>
                            <w:tcW w:w="1218" w:type="dxa"/>
                            <w:tcBorders>
                              <w:bottom w:val="single" w:sz="4" w:space="0" w:color="auto"/>
                            </w:tcBorders>
                            <w:vAlign w:val="center"/>
                          </w:tcPr>
                          <w:p w14:paraId="6FF01616" w14:textId="77777777" w:rsidR="007B70B7" w:rsidRDefault="007B70B7" w:rsidP="00AD37CC">
                            <w:pPr>
                              <w:jc w:val="right"/>
                            </w:pPr>
                            <w:r w:rsidRPr="00430D32">
                              <w:rPr>
                                <w:rFonts w:ascii="標楷體" w:eastAsia="標楷體" w:hAnsi="標楷體"/>
                                <w:b/>
                                <w:bCs/>
                              </w:rPr>
                              <w:t>10,018,721</w:t>
                            </w:r>
                          </w:p>
                        </w:tc>
                        <w:tc>
                          <w:tcPr>
                            <w:tcW w:w="1304" w:type="dxa"/>
                            <w:tcBorders>
                              <w:bottom w:val="single" w:sz="4" w:space="0" w:color="auto"/>
                            </w:tcBorders>
                            <w:vAlign w:val="center"/>
                          </w:tcPr>
                          <w:p w14:paraId="688C3AC2" w14:textId="77777777" w:rsidR="007B70B7" w:rsidRDefault="007B70B7" w:rsidP="00AD37CC">
                            <w:pPr>
                              <w:jc w:val="right"/>
                            </w:pPr>
                            <w:r w:rsidRPr="00430D32">
                              <w:rPr>
                                <w:rFonts w:ascii="標楷體" w:eastAsia="標楷體" w:hAnsi="標楷體"/>
                              </w:rPr>
                              <w:t>7,851,004</w:t>
                            </w:r>
                          </w:p>
                        </w:tc>
                        <w:tc>
                          <w:tcPr>
                            <w:tcW w:w="907" w:type="dxa"/>
                            <w:tcBorders>
                              <w:bottom w:val="single" w:sz="4" w:space="0" w:color="auto"/>
                            </w:tcBorders>
                            <w:vAlign w:val="center"/>
                          </w:tcPr>
                          <w:p w14:paraId="66B70C8D" w14:textId="77777777" w:rsidR="007B70B7" w:rsidRDefault="007B70B7" w:rsidP="00AD37CC">
                            <w:pPr>
                              <w:jc w:val="right"/>
                            </w:pPr>
                            <w:r w:rsidRPr="00430D32">
                              <w:rPr>
                                <w:rFonts w:ascii="標楷體" w:eastAsia="標楷體" w:hAnsi="標楷體"/>
                              </w:rPr>
                              <w:t>78.36</w:t>
                            </w:r>
                          </w:p>
                        </w:tc>
                        <w:tc>
                          <w:tcPr>
                            <w:tcW w:w="1304" w:type="dxa"/>
                            <w:tcBorders>
                              <w:bottom w:val="single" w:sz="4" w:space="0" w:color="auto"/>
                            </w:tcBorders>
                            <w:vAlign w:val="center"/>
                          </w:tcPr>
                          <w:p w14:paraId="17696287" w14:textId="77777777" w:rsidR="007B70B7" w:rsidRDefault="007B70B7" w:rsidP="00AD37CC">
                            <w:pPr>
                              <w:jc w:val="right"/>
                            </w:pPr>
                            <w:r w:rsidRPr="00430D32">
                              <w:rPr>
                                <w:rFonts w:ascii="標楷體" w:eastAsia="標楷體" w:hAnsi="標楷體"/>
                              </w:rPr>
                              <w:t>2,167,717</w:t>
                            </w:r>
                          </w:p>
                        </w:tc>
                        <w:tc>
                          <w:tcPr>
                            <w:tcW w:w="907" w:type="dxa"/>
                            <w:tcBorders>
                              <w:bottom w:val="single" w:sz="4" w:space="0" w:color="auto"/>
                            </w:tcBorders>
                            <w:vAlign w:val="center"/>
                          </w:tcPr>
                          <w:p w14:paraId="40F59EB3" w14:textId="77777777" w:rsidR="007B70B7" w:rsidRDefault="007B70B7" w:rsidP="00AD37CC">
                            <w:pPr>
                              <w:jc w:val="right"/>
                            </w:pPr>
                            <w:r w:rsidRPr="00430D32">
                              <w:rPr>
                                <w:rFonts w:ascii="標楷體" w:eastAsia="標楷體" w:hAnsi="標楷體"/>
                              </w:rPr>
                              <w:t>21.64</w:t>
                            </w:r>
                          </w:p>
                        </w:tc>
                      </w:tr>
                      <w:tr w:rsidR="007B70B7" w14:paraId="7F7C8A37" w14:textId="77777777" w:rsidTr="00AD37CC">
                        <w:tc>
                          <w:tcPr>
                            <w:tcW w:w="6628" w:type="dxa"/>
                            <w:gridSpan w:val="6"/>
                            <w:tcBorders>
                              <w:top w:val="single" w:sz="4" w:space="0" w:color="auto"/>
                              <w:left w:val="nil"/>
                              <w:bottom w:val="nil"/>
                              <w:right w:val="nil"/>
                            </w:tcBorders>
                          </w:tcPr>
                          <w:p w14:paraId="120C5DF0" w14:textId="77777777" w:rsidR="007B70B7" w:rsidRDefault="007B70B7" w:rsidP="00AD37CC">
                            <w:pPr>
                              <w:spacing w:line="240" w:lineRule="exact"/>
                            </w:pPr>
                            <w:r w:rsidRPr="00430D32">
                              <w:rPr>
                                <w:rFonts w:ascii="標楷體" w:eastAsia="標楷體" w:hAnsi="標楷體" w:hint="eastAsia"/>
                                <w:sz w:val="18"/>
                                <w:szCs w:val="18"/>
                              </w:rPr>
                              <w:t>資料來源：整理自歷年審核報告。</w:t>
                            </w:r>
                          </w:p>
                        </w:tc>
                      </w:tr>
                    </w:tbl>
                    <w:p w14:paraId="67CF4B80" w14:textId="77777777" w:rsidR="007B70B7" w:rsidRDefault="007B70B7" w:rsidP="007B70B7"/>
                  </w:txbxContent>
                </v:textbox>
                <w10:wrap type="tight" anchory="page"/>
              </v:shape>
            </w:pict>
          </mc:Fallback>
        </mc:AlternateContent>
      </w:r>
      <w:r w:rsidRPr="005B73B0">
        <w:rPr>
          <w:rFonts w:ascii="標楷體" w:eastAsia="標楷體" w:hAnsi="標楷體" w:hint="eastAsia"/>
          <w:bCs/>
          <w:szCs w:val="24"/>
        </w:rPr>
        <w:t>各稅目預算執行情形觀之，</w:t>
      </w:r>
      <w:bookmarkStart w:id="3" w:name="_Hlk170905068"/>
      <w:r w:rsidR="005A7C75">
        <w:rPr>
          <w:rFonts w:ascii="標楷體" w:eastAsia="標楷體" w:hAnsi="標楷體" w:hint="eastAsia"/>
          <w:bCs/>
          <w:szCs w:val="24"/>
        </w:rPr>
        <w:t>各稅目</w:t>
      </w:r>
      <w:r w:rsidR="0029756E" w:rsidRPr="00430D32">
        <w:rPr>
          <w:rFonts w:ascii="標楷體" w:eastAsia="標楷體" w:hAnsi="標楷體" w:hint="eastAsia"/>
          <w:bCs/>
          <w:szCs w:val="24"/>
        </w:rPr>
        <w:t>較預算增減金額逾10億元者，計有遺產及贈與稅4個年度、土地稅3個年度、印花稅及統籌</w:t>
      </w:r>
      <w:proofErr w:type="gramStart"/>
      <w:r w:rsidR="0029756E" w:rsidRPr="00430D32">
        <w:rPr>
          <w:rFonts w:ascii="標楷體" w:eastAsia="標楷體" w:hAnsi="標楷體" w:hint="eastAsia"/>
          <w:bCs/>
          <w:szCs w:val="24"/>
        </w:rPr>
        <w:t>分配稅各2個年度</w:t>
      </w:r>
      <w:proofErr w:type="gramEnd"/>
      <w:r w:rsidR="0029756E" w:rsidRPr="00430D32">
        <w:rPr>
          <w:rFonts w:ascii="標楷體" w:eastAsia="標楷體" w:hAnsi="標楷體" w:hint="eastAsia"/>
          <w:bCs/>
          <w:szCs w:val="24"/>
        </w:rPr>
        <w:t>、房屋稅1個年度，執行結果與預測存有相當落差。經分析</w:t>
      </w:r>
      <w:proofErr w:type="gramStart"/>
      <w:r w:rsidR="0029756E" w:rsidRPr="00430D32">
        <w:rPr>
          <w:rFonts w:ascii="標楷體" w:eastAsia="標楷體" w:hAnsi="標楷體" w:hint="eastAsia"/>
          <w:bCs/>
          <w:szCs w:val="24"/>
        </w:rPr>
        <w:t>該府稅課</w:t>
      </w:r>
      <w:proofErr w:type="gramEnd"/>
      <w:r w:rsidR="0029756E" w:rsidRPr="00430D32">
        <w:rPr>
          <w:rFonts w:ascii="標楷體" w:eastAsia="標楷體" w:hAnsi="標楷體" w:hint="eastAsia"/>
          <w:bCs/>
          <w:szCs w:val="24"/>
        </w:rPr>
        <w:t>收入占歲出決算審定數之賦稅依存度，由</w:t>
      </w:r>
      <w:proofErr w:type="gramStart"/>
      <w:r w:rsidR="0029756E" w:rsidRPr="00430D32">
        <w:rPr>
          <w:rFonts w:ascii="標楷體" w:eastAsia="標楷體" w:hAnsi="標楷體" w:hint="eastAsia"/>
          <w:bCs/>
          <w:szCs w:val="24"/>
        </w:rPr>
        <w:t>109</w:t>
      </w:r>
      <w:proofErr w:type="gramEnd"/>
      <w:r w:rsidR="0029756E" w:rsidRPr="00430D32">
        <w:rPr>
          <w:rFonts w:ascii="標楷體" w:eastAsia="標楷體" w:hAnsi="標楷體" w:hint="eastAsia"/>
          <w:bCs/>
          <w:szCs w:val="24"/>
        </w:rPr>
        <w:t>年度之75.73％增加至</w:t>
      </w:r>
      <w:proofErr w:type="gramStart"/>
      <w:r w:rsidR="0029756E" w:rsidRPr="00430D32">
        <w:rPr>
          <w:rFonts w:ascii="標楷體" w:eastAsia="標楷體" w:hAnsi="標楷體" w:hint="eastAsia"/>
          <w:bCs/>
          <w:szCs w:val="24"/>
        </w:rPr>
        <w:t>113</w:t>
      </w:r>
      <w:proofErr w:type="gramEnd"/>
      <w:r w:rsidR="0029756E" w:rsidRPr="00430D32">
        <w:rPr>
          <w:rFonts w:ascii="標楷體" w:eastAsia="標楷體" w:hAnsi="標楷體" w:hint="eastAsia"/>
          <w:bCs/>
          <w:szCs w:val="24"/>
        </w:rPr>
        <w:t>年度之81.41％（圖1），顯示該府逐漸仰賴稅收籌措施政計畫所需資金，惟近</w:t>
      </w:r>
      <w:proofErr w:type="gramStart"/>
      <w:r w:rsidR="0029756E" w:rsidRPr="00430D32">
        <w:rPr>
          <w:rFonts w:ascii="標楷體" w:eastAsia="標楷體" w:hAnsi="標楷體" w:hint="eastAsia"/>
          <w:bCs/>
          <w:szCs w:val="24"/>
        </w:rPr>
        <w:t>5</w:t>
      </w:r>
      <w:proofErr w:type="gramEnd"/>
      <w:r w:rsidR="0029756E" w:rsidRPr="00430D32">
        <w:rPr>
          <w:rFonts w:ascii="標楷體" w:eastAsia="標楷體" w:hAnsi="標楷體" w:hint="eastAsia"/>
          <w:bCs/>
          <w:szCs w:val="24"/>
        </w:rPr>
        <w:t>年度稅課收入決算審定</w:t>
      </w:r>
      <w:proofErr w:type="gramStart"/>
      <w:r w:rsidR="0029756E" w:rsidRPr="00430D32">
        <w:rPr>
          <w:rFonts w:ascii="標楷體" w:eastAsia="標楷體" w:hAnsi="標楷體" w:hint="eastAsia"/>
          <w:bCs/>
          <w:szCs w:val="24"/>
        </w:rPr>
        <w:t>數均較預算</w:t>
      </w:r>
      <w:proofErr w:type="gramEnd"/>
      <w:r w:rsidR="0029756E" w:rsidRPr="00430D32">
        <w:rPr>
          <w:rFonts w:ascii="標楷體" w:eastAsia="標楷體" w:hAnsi="標楷體" w:hint="eastAsia"/>
          <w:bCs/>
          <w:szCs w:val="24"/>
        </w:rPr>
        <w:t>數大幅增加，</w:t>
      </w:r>
      <w:proofErr w:type="gramStart"/>
      <w:r w:rsidR="0029756E" w:rsidRPr="00430D32">
        <w:rPr>
          <w:rFonts w:ascii="標楷體" w:eastAsia="標楷體" w:hAnsi="標楷體" w:hint="eastAsia"/>
          <w:bCs/>
          <w:szCs w:val="24"/>
        </w:rPr>
        <w:t>亟宜精進</w:t>
      </w:r>
      <w:proofErr w:type="gramEnd"/>
      <w:r w:rsidR="0029756E" w:rsidRPr="00430D32">
        <w:rPr>
          <w:rFonts w:ascii="標楷體" w:eastAsia="標楷體" w:hAnsi="標楷體" w:hint="eastAsia"/>
          <w:bCs/>
          <w:szCs w:val="24"/>
        </w:rPr>
        <w:t>稅收預測準確性，以免影響政府財政收支平衡之籌劃、施政計畫延續性及整體資源之妥適配置，經函請</w:t>
      </w:r>
      <w:proofErr w:type="gramStart"/>
      <w:r w:rsidR="0029756E" w:rsidRPr="00430D32">
        <w:rPr>
          <w:rFonts w:ascii="標楷體" w:eastAsia="標楷體" w:hAnsi="標楷體" w:hint="eastAsia"/>
          <w:bCs/>
          <w:szCs w:val="24"/>
        </w:rPr>
        <w:t>研</w:t>
      </w:r>
      <w:proofErr w:type="gramEnd"/>
      <w:r w:rsidR="0029756E" w:rsidRPr="00430D32">
        <w:rPr>
          <w:rFonts w:ascii="標楷體" w:eastAsia="標楷體" w:hAnsi="標楷體" w:hint="eastAsia"/>
          <w:bCs/>
          <w:szCs w:val="24"/>
        </w:rPr>
        <w:t>謀改善。據復：爾後編列地方稅歲入預算時，將</w:t>
      </w:r>
      <w:proofErr w:type="gramStart"/>
      <w:r w:rsidR="0029756E" w:rsidRPr="00430D32">
        <w:rPr>
          <w:rFonts w:ascii="標楷體" w:eastAsia="標楷體" w:hAnsi="標楷體" w:hint="eastAsia"/>
          <w:bCs/>
          <w:szCs w:val="24"/>
        </w:rPr>
        <w:t>賡</w:t>
      </w:r>
      <w:proofErr w:type="gramEnd"/>
      <w:r w:rsidR="0029756E" w:rsidRPr="00430D32">
        <w:rPr>
          <w:rFonts w:ascii="標楷體" w:eastAsia="標楷體" w:hAnsi="標楷體" w:hint="eastAsia"/>
          <w:bCs/>
          <w:szCs w:val="24"/>
        </w:rPr>
        <w:t>續參酌以前年度數據作為推估基準，排除各年度特殊因素，且與稅課收入</w:t>
      </w:r>
      <w:proofErr w:type="gramStart"/>
      <w:r w:rsidR="0029756E" w:rsidRPr="00430D32">
        <w:rPr>
          <w:rFonts w:ascii="標楷體" w:eastAsia="標楷體" w:hAnsi="標楷體" w:hint="eastAsia"/>
          <w:bCs/>
          <w:szCs w:val="24"/>
        </w:rPr>
        <w:t>稽</w:t>
      </w:r>
      <w:proofErr w:type="gramEnd"/>
      <w:r w:rsidR="0029756E" w:rsidRPr="00430D32">
        <w:rPr>
          <w:rFonts w:ascii="標楷體" w:eastAsia="標楷體" w:hAnsi="標楷體" w:hint="eastAsia"/>
          <w:bCs/>
          <w:szCs w:val="24"/>
        </w:rPr>
        <w:t>徵、執行情形調整，並考量政策變動、法規修正及未來經濟變動趨勢等因素，妥為估列預算。</w:t>
      </w:r>
    </w:p>
    <w:p w14:paraId="1DF2A375" w14:textId="60333745" w:rsidR="0029756E" w:rsidRPr="00430D32" w:rsidRDefault="0029756E" w:rsidP="00B1612D">
      <w:pPr>
        <w:overflowPunct w:val="0"/>
        <w:spacing w:beforeLines="30" w:before="108" w:line="440" w:lineRule="exact"/>
        <w:ind w:firstLineChars="200" w:firstLine="480"/>
        <w:jc w:val="both"/>
        <w:rPr>
          <w:rFonts w:ascii="標楷體" w:hAnsi="標楷體"/>
        </w:rPr>
      </w:pPr>
      <w:r w:rsidRPr="00430D32">
        <w:rPr>
          <w:rFonts w:ascii="標楷體" w:eastAsia="標楷體" w:hAnsi="標楷體" w:cs="Times New Roman"/>
          <w:b/>
          <w:kern w:val="0"/>
          <w:szCs w:val="24"/>
        </w:rPr>
        <w:t>2.</w:t>
      </w:r>
      <w:r w:rsidRPr="00430D32">
        <w:rPr>
          <w:rFonts w:ascii="標楷體" w:eastAsia="標楷體" w:hAnsi="標楷體" w:cs="Times New Roman" w:hint="eastAsia"/>
          <w:b/>
          <w:kern w:val="0"/>
          <w:szCs w:val="24"/>
        </w:rPr>
        <w:t>近</w:t>
      </w:r>
      <w:proofErr w:type="gramStart"/>
      <w:r w:rsidRPr="00430D32">
        <w:rPr>
          <w:rFonts w:ascii="標楷體" w:eastAsia="標楷體" w:hAnsi="標楷體" w:cs="Times New Roman" w:hint="eastAsia"/>
          <w:b/>
          <w:kern w:val="0"/>
          <w:szCs w:val="24"/>
        </w:rPr>
        <w:t>5</w:t>
      </w:r>
      <w:proofErr w:type="gramEnd"/>
      <w:r w:rsidRPr="00430D32">
        <w:rPr>
          <w:rFonts w:ascii="標楷體" w:eastAsia="標楷體" w:hAnsi="標楷體" w:cs="Times New Roman" w:hint="eastAsia"/>
          <w:b/>
          <w:kern w:val="0"/>
          <w:szCs w:val="24"/>
        </w:rPr>
        <w:t>年度經常支出占歲出規模約</w:t>
      </w:r>
      <w:proofErr w:type="gramStart"/>
      <w:r w:rsidRPr="00430D32">
        <w:rPr>
          <w:rFonts w:ascii="標楷體" w:eastAsia="標楷體" w:hAnsi="標楷體" w:cs="Times New Roman" w:hint="eastAsia"/>
          <w:b/>
          <w:kern w:val="0"/>
          <w:szCs w:val="24"/>
        </w:rPr>
        <w:t>8成</w:t>
      </w:r>
      <w:proofErr w:type="gramEnd"/>
      <w:r w:rsidRPr="00430D32">
        <w:rPr>
          <w:rFonts w:ascii="標楷體" w:eastAsia="標楷體" w:hAnsi="標楷體" w:cs="Times New Roman" w:hint="eastAsia"/>
          <w:b/>
          <w:kern w:val="0"/>
          <w:szCs w:val="24"/>
        </w:rPr>
        <w:t>，</w:t>
      </w:r>
      <w:proofErr w:type="gramStart"/>
      <w:r w:rsidRPr="00430D32">
        <w:rPr>
          <w:rFonts w:ascii="標楷體" w:eastAsia="標楷體" w:hAnsi="標楷體" w:cs="Times New Roman" w:hint="eastAsia"/>
          <w:b/>
          <w:kern w:val="0"/>
          <w:szCs w:val="24"/>
        </w:rPr>
        <w:t>且歲出</w:t>
      </w:r>
      <w:proofErr w:type="gramEnd"/>
      <w:r w:rsidRPr="00430D32">
        <w:rPr>
          <w:rFonts w:ascii="標楷體" w:eastAsia="標楷體" w:hAnsi="標楷體" w:cs="Times New Roman" w:hint="eastAsia"/>
          <w:b/>
          <w:kern w:val="0"/>
          <w:szCs w:val="24"/>
        </w:rPr>
        <w:t>規模增加數逾</w:t>
      </w:r>
      <w:proofErr w:type="gramStart"/>
      <w:r w:rsidRPr="00430D32">
        <w:rPr>
          <w:rFonts w:ascii="標楷體" w:eastAsia="標楷體" w:hAnsi="標楷體" w:cs="Times New Roman" w:hint="eastAsia"/>
          <w:b/>
          <w:kern w:val="0"/>
          <w:szCs w:val="24"/>
        </w:rPr>
        <w:t>6成</w:t>
      </w:r>
      <w:proofErr w:type="gramEnd"/>
      <w:r w:rsidRPr="00430D32">
        <w:rPr>
          <w:rFonts w:ascii="標楷體" w:eastAsia="標楷體" w:hAnsi="標楷體" w:cs="Times New Roman" w:hint="eastAsia"/>
          <w:b/>
          <w:kern w:val="0"/>
          <w:szCs w:val="24"/>
        </w:rPr>
        <w:t>配置於經常門支出，壓縮資本支出成長，不易發揮長期經濟效益：</w:t>
      </w:r>
      <w:r w:rsidRPr="00430D32">
        <w:rPr>
          <w:rFonts w:ascii="標楷體" w:eastAsia="標楷體" w:hAnsi="標楷體" w:cs="Times New Roman" w:hint="eastAsia"/>
          <w:bCs/>
          <w:szCs w:val="24"/>
        </w:rPr>
        <w:t>臺北市政府</w:t>
      </w:r>
      <w:r w:rsidRPr="00430D32">
        <w:rPr>
          <w:rFonts w:ascii="標楷體" w:eastAsia="標楷體" w:hAnsi="標楷體" w:hint="eastAsia"/>
          <w:bCs/>
          <w:szCs w:val="24"/>
        </w:rPr>
        <w:t>歲出決算審定數由</w:t>
      </w:r>
      <w:proofErr w:type="gramStart"/>
      <w:r w:rsidRPr="00430D32">
        <w:rPr>
          <w:rFonts w:ascii="標楷體" w:eastAsia="標楷體" w:hAnsi="標楷體" w:hint="eastAsia"/>
          <w:bCs/>
          <w:szCs w:val="24"/>
        </w:rPr>
        <w:t>109</w:t>
      </w:r>
      <w:proofErr w:type="gramEnd"/>
      <w:r w:rsidRPr="00430D32">
        <w:rPr>
          <w:rFonts w:ascii="標楷體" w:eastAsia="標楷體" w:hAnsi="標楷體" w:hint="eastAsia"/>
          <w:bCs/>
          <w:szCs w:val="24"/>
        </w:rPr>
        <w:t>年度1,655億172萬餘元逐年增長至</w:t>
      </w:r>
      <w:proofErr w:type="gramStart"/>
      <w:r w:rsidRPr="00430D32">
        <w:rPr>
          <w:rFonts w:ascii="標楷體" w:eastAsia="標楷體" w:hAnsi="標楷體" w:hint="eastAsia"/>
          <w:bCs/>
          <w:szCs w:val="24"/>
        </w:rPr>
        <w:t>113</w:t>
      </w:r>
      <w:proofErr w:type="gramEnd"/>
      <w:r w:rsidRPr="00430D32">
        <w:rPr>
          <w:rFonts w:ascii="標楷體" w:eastAsia="標楷體" w:hAnsi="標楷體" w:hint="eastAsia"/>
          <w:bCs/>
          <w:szCs w:val="24"/>
        </w:rPr>
        <w:t>年度1,983億6,932萬餘元，</w:t>
      </w:r>
      <w:proofErr w:type="gramStart"/>
      <w:r w:rsidRPr="00430D32">
        <w:rPr>
          <w:rFonts w:ascii="標楷體" w:eastAsia="標楷體" w:hAnsi="標楷體" w:hint="eastAsia"/>
          <w:bCs/>
          <w:szCs w:val="24"/>
        </w:rPr>
        <w:t>113</w:t>
      </w:r>
      <w:proofErr w:type="gramEnd"/>
      <w:r w:rsidRPr="00430D32">
        <w:rPr>
          <w:rFonts w:ascii="標楷體" w:eastAsia="標楷體" w:hAnsi="標楷體" w:hint="eastAsia"/>
          <w:bCs/>
          <w:szCs w:val="24"/>
        </w:rPr>
        <w:t>年度較</w:t>
      </w:r>
      <w:proofErr w:type="gramStart"/>
      <w:r w:rsidRPr="00430D32">
        <w:rPr>
          <w:rFonts w:ascii="標楷體" w:eastAsia="標楷體" w:hAnsi="標楷體" w:hint="eastAsia"/>
          <w:bCs/>
          <w:szCs w:val="24"/>
        </w:rPr>
        <w:t>109</w:t>
      </w:r>
      <w:proofErr w:type="gramEnd"/>
      <w:r w:rsidRPr="00430D32">
        <w:rPr>
          <w:rFonts w:ascii="標楷體" w:eastAsia="標楷體" w:hAnsi="標楷體" w:hint="eastAsia"/>
          <w:bCs/>
          <w:szCs w:val="24"/>
        </w:rPr>
        <w:t>年度增加328億6,760萬餘元，成長率19.86％。</w:t>
      </w:r>
      <w:proofErr w:type="gramStart"/>
      <w:r w:rsidRPr="00430D32">
        <w:rPr>
          <w:rFonts w:ascii="標楷體" w:eastAsia="標楷體" w:hAnsi="標楷體" w:hint="eastAsia"/>
          <w:bCs/>
          <w:szCs w:val="24"/>
        </w:rPr>
        <w:t>經依歲出</w:t>
      </w:r>
      <w:proofErr w:type="gramEnd"/>
      <w:r w:rsidRPr="00430D32">
        <w:rPr>
          <w:rFonts w:ascii="標楷體" w:eastAsia="標楷體" w:hAnsi="標楷體" w:hint="eastAsia"/>
          <w:bCs/>
          <w:szCs w:val="24"/>
        </w:rPr>
        <w:t>預算性質分析近5年歲出</w:t>
      </w:r>
      <w:proofErr w:type="gramStart"/>
      <w:r w:rsidRPr="00430D32">
        <w:rPr>
          <w:rFonts w:ascii="標楷體" w:eastAsia="標楷體" w:hAnsi="標楷體" w:hint="eastAsia"/>
          <w:bCs/>
          <w:szCs w:val="24"/>
        </w:rPr>
        <w:t>經資門規模</w:t>
      </w:r>
      <w:proofErr w:type="gramEnd"/>
      <w:r w:rsidRPr="00430D32">
        <w:rPr>
          <w:rFonts w:ascii="標楷體" w:eastAsia="標楷體" w:hAnsi="標楷體" w:hint="eastAsia"/>
          <w:bCs/>
          <w:szCs w:val="24"/>
        </w:rPr>
        <w:t>及成長情形，其中經常支出由</w:t>
      </w:r>
      <w:proofErr w:type="gramStart"/>
      <w:r w:rsidRPr="00430D32">
        <w:rPr>
          <w:rFonts w:ascii="標楷體" w:eastAsia="標楷體" w:hAnsi="標楷體" w:hint="eastAsia"/>
          <w:bCs/>
          <w:szCs w:val="24"/>
        </w:rPr>
        <w:t>109</w:t>
      </w:r>
      <w:proofErr w:type="gramEnd"/>
      <w:r w:rsidRPr="00430D32">
        <w:rPr>
          <w:rFonts w:ascii="標楷體" w:eastAsia="標楷體" w:hAnsi="標楷體" w:hint="eastAsia"/>
          <w:bCs/>
          <w:szCs w:val="24"/>
        </w:rPr>
        <w:t>年度之1,360億5,485萬餘元增加至</w:t>
      </w:r>
      <w:proofErr w:type="gramStart"/>
      <w:r w:rsidRPr="00430D32">
        <w:rPr>
          <w:rFonts w:ascii="標楷體" w:eastAsia="標楷體" w:hAnsi="標楷體" w:hint="eastAsia"/>
          <w:bCs/>
          <w:szCs w:val="24"/>
        </w:rPr>
        <w:t>113</w:t>
      </w:r>
      <w:proofErr w:type="gramEnd"/>
      <w:r w:rsidRPr="00430D32">
        <w:rPr>
          <w:rFonts w:ascii="標楷體" w:eastAsia="標楷體" w:hAnsi="標楷體" w:hint="eastAsia"/>
          <w:bCs/>
          <w:szCs w:val="24"/>
        </w:rPr>
        <w:t>年度之1,586億6,841萬餘元，各年度經常支出占歲出規模約</w:t>
      </w:r>
      <w:proofErr w:type="gramStart"/>
      <w:r w:rsidRPr="00430D32">
        <w:rPr>
          <w:rFonts w:ascii="標楷體" w:eastAsia="標楷體" w:hAnsi="標楷體" w:hint="eastAsia"/>
          <w:bCs/>
          <w:szCs w:val="24"/>
        </w:rPr>
        <w:t>8成</w:t>
      </w:r>
      <w:proofErr w:type="gramEnd"/>
      <w:r w:rsidRPr="00430D32">
        <w:rPr>
          <w:rFonts w:ascii="標楷體" w:eastAsia="標楷體" w:hAnsi="標楷體" w:hint="eastAsia"/>
          <w:bCs/>
          <w:szCs w:val="24"/>
        </w:rPr>
        <w:t>（表2）；另</w:t>
      </w:r>
      <w:proofErr w:type="gramStart"/>
      <w:r w:rsidRPr="00430D32">
        <w:rPr>
          <w:rFonts w:ascii="標楷體" w:eastAsia="標楷體" w:hAnsi="標楷體" w:hint="eastAsia"/>
          <w:bCs/>
          <w:szCs w:val="24"/>
        </w:rPr>
        <w:t>113</w:t>
      </w:r>
      <w:proofErr w:type="gramEnd"/>
      <w:r w:rsidRPr="00430D32">
        <w:rPr>
          <w:rFonts w:ascii="標楷體" w:eastAsia="標楷體" w:hAnsi="標楷體" w:hint="eastAsia"/>
          <w:bCs/>
          <w:szCs w:val="24"/>
        </w:rPr>
        <w:t>年度經常支出較</w:t>
      </w:r>
      <w:proofErr w:type="gramStart"/>
      <w:r w:rsidRPr="00430D32">
        <w:rPr>
          <w:rFonts w:ascii="標楷體" w:eastAsia="標楷體" w:hAnsi="標楷體" w:hint="eastAsia"/>
          <w:bCs/>
          <w:szCs w:val="24"/>
        </w:rPr>
        <w:t>109</w:t>
      </w:r>
      <w:proofErr w:type="gramEnd"/>
      <w:r w:rsidRPr="00430D32">
        <w:rPr>
          <w:rFonts w:ascii="標楷體" w:eastAsia="標楷體" w:hAnsi="標楷體" w:hint="eastAsia"/>
          <w:bCs/>
          <w:szCs w:val="24"/>
        </w:rPr>
        <w:t>年度增加226億1,356萬餘元，且占</w:t>
      </w:r>
      <w:proofErr w:type="gramStart"/>
      <w:r w:rsidRPr="00430D32">
        <w:rPr>
          <w:rFonts w:ascii="標楷體" w:eastAsia="標楷體" w:hAnsi="標楷體" w:hint="eastAsia"/>
          <w:bCs/>
          <w:szCs w:val="24"/>
        </w:rPr>
        <w:t>113</w:t>
      </w:r>
      <w:proofErr w:type="gramEnd"/>
      <w:r w:rsidRPr="00430D32">
        <w:rPr>
          <w:rFonts w:ascii="標楷體" w:eastAsia="標楷體" w:hAnsi="標楷體" w:hint="eastAsia"/>
          <w:bCs/>
          <w:szCs w:val="24"/>
        </w:rPr>
        <w:t>年度歲出決算審定增加數328億6,760萬餘元之68.80％，在有限預算資源下，該府增加投入資本支出之預算空間相對有限，影響公共建設與長期發展，不易發揮長期經濟效益，可能削弱城市競爭力與財政可持續性。值此歲入規模屢創新高之際，經函請衡酌財政狀況，妥為規劃資源配置，期使有限資源作</w:t>
      </w:r>
      <w:proofErr w:type="gramStart"/>
      <w:r w:rsidRPr="00430D32">
        <w:rPr>
          <w:rFonts w:ascii="標楷體" w:eastAsia="標楷體" w:hAnsi="標楷體" w:hint="eastAsia"/>
          <w:bCs/>
          <w:szCs w:val="24"/>
        </w:rPr>
        <w:t>最</w:t>
      </w:r>
      <w:proofErr w:type="gramEnd"/>
      <w:r w:rsidRPr="00430D32">
        <w:rPr>
          <w:rFonts w:ascii="標楷體" w:eastAsia="標楷體" w:hAnsi="標楷體" w:hint="eastAsia"/>
          <w:bCs/>
          <w:szCs w:val="24"/>
        </w:rPr>
        <w:t>妥適之分配運用。據復：爾後籌編年</w:t>
      </w:r>
      <w:proofErr w:type="gramStart"/>
      <w:r w:rsidRPr="00430D32">
        <w:rPr>
          <w:rFonts w:ascii="標楷體" w:eastAsia="標楷體" w:hAnsi="標楷體" w:hint="eastAsia"/>
          <w:bCs/>
          <w:szCs w:val="24"/>
        </w:rPr>
        <w:t>度概（</w:t>
      </w:r>
      <w:proofErr w:type="gramEnd"/>
      <w:r w:rsidRPr="00430D32">
        <w:rPr>
          <w:rFonts w:ascii="標楷體" w:eastAsia="標楷體" w:hAnsi="標楷體" w:hint="eastAsia"/>
          <w:bCs/>
          <w:szCs w:val="24"/>
        </w:rPr>
        <w:t>預）算時，將審慎規劃資源配置，依市府政策，持續建構完善基礎建設，及</w:t>
      </w:r>
      <w:proofErr w:type="gramStart"/>
      <w:r w:rsidRPr="00430D32">
        <w:rPr>
          <w:rFonts w:ascii="標楷體" w:eastAsia="標楷體" w:hAnsi="標楷體" w:hint="eastAsia"/>
          <w:bCs/>
          <w:szCs w:val="24"/>
        </w:rPr>
        <w:t>賡</w:t>
      </w:r>
      <w:proofErr w:type="gramEnd"/>
      <w:r w:rsidRPr="00430D32">
        <w:rPr>
          <w:rFonts w:ascii="標楷體" w:eastAsia="標楷體" w:hAnsi="標楷體" w:hint="eastAsia"/>
          <w:bCs/>
          <w:szCs w:val="24"/>
        </w:rPr>
        <w:t>續推動捷運等多項重大公共工程建設，期使有限資源作</w:t>
      </w:r>
      <w:proofErr w:type="gramStart"/>
      <w:r w:rsidRPr="00430D32">
        <w:rPr>
          <w:rFonts w:ascii="標楷體" w:eastAsia="標楷體" w:hAnsi="標楷體" w:hint="eastAsia"/>
          <w:bCs/>
          <w:szCs w:val="24"/>
        </w:rPr>
        <w:t>最</w:t>
      </w:r>
      <w:proofErr w:type="gramEnd"/>
      <w:r w:rsidRPr="00430D32">
        <w:rPr>
          <w:rFonts w:ascii="標楷體" w:eastAsia="標楷體" w:hAnsi="標楷體" w:hint="eastAsia"/>
          <w:bCs/>
          <w:szCs w:val="24"/>
        </w:rPr>
        <w:t>妥適之分配運用，並提升預算執行績效。</w:t>
      </w:r>
    </w:p>
    <w:tbl>
      <w:tblPr>
        <w:tblpPr w:leftFromText="181" w:rightFromText="181" w:vertAnchor="page" w:horzAnchor="margin" w:tblpY="1414"/>
        <w:tblW w:w="9923" w:type="dxa"/>
        <w:tblLayout w:type="fixed"/>
        <w:tblCellMar>
          <w:left w:w="28" w:type="dxa"/>
          <w:right w:w="28" w:type="dxa"/>
        </w:tblCellMar>
        <w:tblLook w:val="04A0" w:firstRow="1" w:lastRow="0" w:firstColumn="1" w:lastColumn="0" w:noHBand="0" w:noVBand="1"/>
      </w:tblPr>
      <w:tblGrid>
        <w:gridCol w:w="1560"/>
        <w:gridCol w:w="1304"/>
        <w:gridCol w:w="1304"/>
        <w:gridCol w:w="1304"/>
        <w:gridCol w:w="1304"/>
        <w:gridCol w:w="1304"/>
        <w:gridCol w:w="1134"/>
        <w:gridCol w:w="709"/>
      </w:tblGrid>
      <w:tr w:rsidR="004E77ED" w:rsidRPr="00430D32" w14:paraId="1E77E6FB" w14:textId="77777777" w:rsidTr="004E77ED">
        <w:trPr>
          <w:trHeight w:val="227"/>
        </w:trPr>
        <w:tc>
          <w:tcPr>
            <w:tcW w:w="9923" w:type="dxa"/>
            <w:gridSpan w:val="8"/>
            <w:tcBorders>
              <w:top w:val="nil"/>
              <w:left w:val="nil"/>
              <w:bottom w:val="nil"/>
              <w:right w:val="nil"/>
            </w:tcBorders>
            <w:shd w:val="clear" w:color="auto" w:fill="auto"/>
            <w:noWrap/>
            <w:vAlign w:val="center"/>
            <w:hideMark/>
          </w:tcPr>
          <w:p w14:paraId="6A10B836" w14:textId="6605026A" w:rsidR="004E77ED" w:rsidRPr="00430D32" w:rsidRDefault="004E77ED" w:rsidP="004E77ED">
            <w:pPr>
              <w:spacing w:line="240" w:lineRule="exact"/>
              <w:jc w:val="center"/>
              <w:rPr>
                <w:rFonts w:ascii="標楷體" w:eastAsia="標楷體" w:hAnsi="標楷體"/>
                <w:b/>
                <w:bCs/>
                <w:szCs w:val="24"/>
              </w:rPr>
            </w:pPr>
            <w:r w:rsidRPr="00430D32">
              <w:rPr>
                <w:rFonts w:ascii="標楷體" w:eastAsia="標楷體" w:hAnsi="標楷體" w:hint="eastAsia"/>
                <w:b/>
                <w:bCs/>
                <w:szCs w:val="24"/>
              </w:rPr>
              <w:lastRenderedPageBreak/>
              <w:t>表</w:t>
            </w:r>
            <w:r w:rsidRPr="00430D32">
              <w:rPr>
                <w:rFonts w:ascii="標楷體" w:eastAsia="標楷體" w:hAnsi="標楷體"/>
                <w:b/>
                <w:bCs/>
                <w:szCs w:val="24"/>
              </w:rPr>
              <w:t xml:space="preserve">2  </w:t>
            </w:r>
            <w:r w:rsidRPr="00430D32">
              <w:rPr>
                <w:rFonts w:ascii="標楷體" w:eastAsia="標楷體" w:hAnsi="標楷體" w:hint="eastAsia"/>
                <w:b/>
                <w:bCs/>
                <w:szCs w:val="24"/>
              </w:rPr>
              <w:t>歲出</w:t>
            </w:r>
            <w:proofErr w:type="gramStart"/>
            <w:r w:rsidRPr="00430D32">
              <w:rPr>
                <w:rFonts w:ascii="標楷體" w:eastAsia="標楷體" w:hAnsi="標楷體" w:hint="eastAsia"/>
                <w:b/>
                <w:bCs/>
                <w:szCs w:val="24"/>
              </w:rPr>
              <w:t>經資門決算</w:t>
            </w:r>
            <w:proofErr w:type="gramEnd"/>
            <w:r w:rsidRPr="00430D32">
              <w:rPr>
                <w:rFonts w:ascii="標楷體" w:eastAsia="標楷體" w:hAnsi="標楷體" w:hint="eastAsia"/>
                <w:b/>
                <w:bCs/>
                <w:szCs w:val="24"/>
              </w:rPr>
              <w:t>審定數及占比情形</w:t>
            </w:r>
          </w:p>
        </w:tc>
      </w:tr>
      <w:tr w:rsidR="004E77ED" w:rsidRPr="00430D32" w14:paraId="014713AA" w14:textId="77777777" w:rsidTr="004E77ED">
        <w:trPr>
          <w:trHeight w:val="227"/>
        </w:trPr>
        <w:tc>
          <w:tcPr>
            <w:tcW w:w="9923" w:type="dxa"/>
            <w:gridSpan w:val="8"/>
            <w:tcBorders>
              <w:top w:val="nil"/>
              <w:left w:val="nil"/>
              <w:bottom w:val="single" w:sz="4" w:space="0" w:color="auto"/>
              <w:right w:val="nil"/>
            </w:tcBorders>
            <w:shd w:val="clear" w:color="auto" w:fill="auto"/>
            <w:noWrap/>
            <w:vAlign w:val="center"/>
            <w:hideMark/>
          </w:tcPr>
          <w:p w14:paraId="78E4EC38" w14:textId="77777777" w:rsidR="004E77ED" w:rsidRPr="00430D32" w:rsidRDefault="004E77ED" w:rsidP="004E77ED">
            <w:pPr>
              <w:spacing w:line="280" w:lineRule="exact"/>
              <w:jc w:val="right"/>
              <w:rPr>
                <w:rFonts w:ascii="標楷體" w:eastAsia="標楷體" w:hAnsi="標楷體"/>
                <w:sz w:val="20"/>
                <w:szCs w:val="20"/>
              </w:rPr>
            </w:pPr>
            <w:r w:rsidRPr="00430D32">
              <w:rPr>
                <w:rFonts w:ascii="標楷體" w:eastAsia="標楷體" w:hAnsi="標楷體" w:hint="eastAsia"/>
                <w:sz w:val="20"/>
                <w:szCs w:val="20"/>
              </w:rPr>
              <w:t>單位：新臺幣千元、％</w:t>
            </w:r>
          </w:p>
        </w:tc>
      </w:tr>
      <w:tr w:rsidR="004E77ED" w:rsidRPr="00430D32" w14:paraId="5D34EDBB" w14:textId="77777777" w:rsidTr="00AD1316">
        <w:trPr>
          <w:trHeight w:val="227"/>
        </w:trPr>
        <w:tc>
          <w:tcPr>
            <w:tcW w:w="1560" w:type="dxa"/>
            <w:vMerge w:val="restart"/>
            <w:tcBorders>
              <w:top w:val="nil"/>
              <w:left w:val="single" w:sz="4" w:space="0" w:color="auto"/>
              <w:bottom w:val="single" w:sz="4" w:space="0" w:color="auto"/>
              <w:right w:val="single" w:sz="4" w:space="0" w:color="auto"/>
              <w:tl2br w:val="single" w:sz="4" w:space="0" w:color="auto"/>
            </w:tcBorders>
            <w:shd w:val="clear" w:color="auto" w:fill="auto"/>
            <w:noWrap/>
            <w:vAlign w:val="center"/>
            <w:hideMark/>
          </w:tcPr>
          <w:p w14:paraId="3C328AC5" w14:textId="77777777" w:rsidR="004E77ED" w:rsidRDefault="004E77ED" w:rsidP="00AD1316">
            <w:pPr>
              <w:spacing w:line="240" w:lineRule="exact"/>
              <w:ind w:rightChars="100" w:right="240"/>
              <w:jc w:val="right"/>
              <w:rPr>
                <w:rFonts w:ascii="標楷體" w:eastAsia="標楷體" w:hAnsi="標楷體"/>
                <w:sz w:val="20"/>
                <w:szCs w:val="20"/>
              </w:rPr>
            </w:pPr>
            <w:r w:rsidRPr="00430D32">
              <w:rPr>
                <w:rFonts w:ascii="標楷體" w:eastAsia="標楷體" w:hAnsi="標楷體" w:hint="eastAsia"/>
                <w:sz w:val="20"/>
                <w:szCs w:val="20"/>
              </w:rPr>
              <w:t>年度</w:t>
            </w:r>
          </w:p>
          <w:p w14:paraId="1ECA02DA" w14:textId="7A7893B7" w:rsidR="00AD1316" w:rsidRPr="00430D32" w:rsidRDefault="00AD1316" w:rsidP="00AD1316">
            <w:pPr>
              <w:spacing w:line="240" w:lineRule="exact"/>
              <w:ind w:leftChars="50" w:left="120"/>
              <w:rPr>
                <w:rFonts w:ascii="標楷體" w:eastAsia="標楷體" w:hAnsi="標楷體"/>
                <w:sz w:val="20"/>
                <w:szCs w:val="20"/>
              </w:rPr>
            </w:pPr>
            <w:r>
              <w:rPr>
                <w:rFonts w:ascii="標楷體" w:eastAsia="標楷體" w:hAnsi="標楷體" w:hint="eastAsia"/>
                <w:sz w:val="20"/>
                <w:szCs w:val="20"/>
              </w:rPr>
              <w:t>項目</w:t>
            </w:r>
          </w:p>
        </w:tc>
        <w:tc>
          <w:tcPr>
            <w:tcW w:w="1304" w:type="dxa"/>
            <w:vMerge w:val="restart"/>
            <w:tcBorders>
              <w:top w:val="nil"/>
              <w:left w:val="nil"/>
              <w:right w:val="single" w:sz="4" w:space="0" w:color="auto"/>
            </w:tcBorders>
            <w:shd w:val="clear" w:color="auto" w:fill="auto"/>
            <w:noWrap/>
            <w:vAlign w:val="center"/>
            <w:hideMark/>
          </w:tcPr>
          <w:p w14:paraId="46DC3179" w14:textId="77777777" w:rsidR="004E77ED" w:rsidRPr="00430D32" w:rsidRDefault="004E77ED" w:rsidP="004E77ED">
            <w:pPr>
              <w:spacing w:line="240" w:lineRule="exact"/>
              <w:jc w:val="center"/>
              <w:rPr>
                <w:rFonts w:ascii="標楷體" w:eastAsia="標楷體" w:hAnsi="標楷體"/>
                <w:sz w:val="20"/>
                <w:szCs w:val="20"/>
              </w:rPr>
            </w:pPr>
            <w:r w:rsidRPr="00430D32">
              <w:rPr>
                <w:rFonts w:ascii="標楷體" w:eastAsia="標楷體" w:hAnsi="標楷體" w:hint="eastAsia"/>
                <w:sz w:val="20"/>
                <w:szCs w:val="20"/>
              </w:rPr>
              <w:t>109</w:t>
            </w:r>
          </w:p>
        </w:tc>
        <w:tc>
          <w:tcPr>
            <w:tcW w:w="1304" w:type="dxa"/>
            <w:vMerge w:val="restart"/>
            <w:tcBorders>
              <w:top w:val="nil"/>
              <w:left w:val="nil"/>
              <w:right w:val="single" w:sz="4" w:space="0" w:color="auto"/>
            </w:tcBorders>
            <w:shd w:val="clear" w:color="auto" w:fill="auto"/>
            <w:noWrap/>
            <w:vAlign w:val="center"/>
            <w:hideMark/>
          </w:tcPr>
          <w:p w14:paraId="0862D0DB" w14:textId="77777777" w:rsidR="004E77ED" w:rsidRPr="00430D32" w:rsidRDefault="004E77ED" w:rsidP="004E77ED">
            <w:pPr>
              <w:spacing w:line="240" w:lineRule="exact"/>
              <w:jc w:val="center"/>
              <w:rPr>
                <w:rFonts w:ascii="標楷體" w:eastAsia="標楷體" w:hAnsi="標楷體"/>
                <w:sz w:val="20"/>
                <w:szCs w:val="20"/>
              </w:rPr>
            </w:pPr>
            <w:r w:rsidRPr="00430D32">
              <w:rPr>
                <w:rFonts w:ascii="標楷體" w:eastAsia="標楷體" w:hAnsi="標楷體" w:hint="eastAsia"/>
                <w:sz w:val="20"/>
                <w:szCs w:val="20"/>
              </w:rPr>
              <w:t>110</w:t>
            </w:r>
          </w:p>
        </w:tc>
        <w:tc>
          <w:tcPr>
            <w:tcW w:w="1304" w:type="dxa"/>
            <w:vMerge w:val="restart"/>
            <w:tcBorders>
              <w:top w:val="nil"/>
              <w:left w:val="nil"/>
              <w:right w:val="single" w:sz="4" w:space="0" w:color="auto"/>
            </w:tcBorders>
            <w:shd w:val="clear" w:color="auto" w:fill="auto"/>
            <w:noWrap/>
            <w:vAlign w:val="center"/>
            <w:hideMark/>
          </w:tcPr>
          <w:p w14:paraId="51F30DEA" w14:textId="77777777" w:rsidR="004E77ED" w:rsidRPr="00430D32" w:rsidRDefault="004E77ED" w:rsidP="004E77ED">
            <w:pPr>
              <w:spacing w:line="240" w:lineRule="exact"/>
              <w:jc w:val="center"/>
              <w:rPr>
                <w:rFonts w:ascii="標楷體" w:eastAsia="標楷體" w:hAnsi="標楷體"/>
                <w:sz w:val="20"/>
                <w:szCs w:val="20"/>
              </w:rPr>
            </w:pPr>
            <w:r w:rsidRPr="00430D32">
              <w:rPr>
                <w:rFonts w:ascii="標楷體" w:eastAsia="標楷體" w:hAnsi="標楷體" w:hint="eastAsia"/>
                <w:sz w:val="20"/>
                <w:szCs w:val="20"/>
              </w:rPr>
              <w:t>111</w:t>
            </w:r>
          </w:p>
        </w:tc>
        <w:tc>
          <w:tcPr>
            <w:tcW w:w="1304" w:type="dxa"/>
            <w:vMerge w:val="restart"/>
            <w:tcBorders>
              <w:top w:val="nil"/>
              <w:left w:val="nil"/>
              <w:right w:val="single" w:sz="4" w:space="0" w:color="auto"/>
            </w:tcBorders>
            <w:shd w:val="clear" w:color="auto" w:fill="auto"/>
            <w:noWrap/>
            <w:vAlign w:val="center"/>
            <w:hideMark/>
          </w:tcPr>
          <w:p w14:paraId="7469B839" w14:textId="77777777" w:rsidR="004E77ED" w:rsidRPr="00430D32" w:rsidRDefault="004E77ED" w:rsidP="004E77ED">
            <w:pPr>
              <w:spacing w:line="240" w:lineRule="exact"/>
              <w:jc w:val="center"/>
              <w:rPr>
                <w:rFonts w:ascii="標楷體" w:eastAsia="標楷體" w:hAnsi="標楷體"/>
                <w:sz w:val="20"/>
                <w:szCs w:val="20"/>
              </w:rPr>
            </w:pPr>
            <w:r w:rsidRPr="00430D32">
              <w:rPr>
                <w:rFonts w:ascii="標楷體" w:eastAsia="標楷體" w:hAnsi="標楷體" w:hint="eastAsia"/>
                <w:sz w:val="20"/>
                <w:szCs w:val="20"/>
              </w:rPr>
              <w:t>112</w:t>
            </w:r>
          </w:p>
        </w:tc>
        <w:tc>
          <w:tcPr>
            <w:tcW w:w="1304" w:type="dxa"/>
            <w:vMerge w:val="restart"/>
            <w:tcBorders>
              <w:top w:val="nil"/>
              <w:left w:val="nil"/>
              <w:right w:val="single" w:sz="4" w:space="0" w:color="auto"/>
            </w:tcBorders>
            <w:shd w:val="clear" w:color="auto" w:fill="auto"/>
            <w:noWrap/>
            <w:vAlign w:val="center"/>
            <w:hideMark/>
          </w:tcPr>
          <w:p w14:paraId="16CD6A55" w14:textId="77777777" w:rsidR="004E77ED" w:rsidRPr="00430D32" w:rsidRDefault="004E77ED" w:rsidP="004E77ED">
            <w:pPr>
              <w:spacing w:line="240" w:lineRule="exact"/>
              <w:jc w:val="center"/>
              <w:rPr>
                <w:rFonts w:ascii="標楷體" w:eastAsia="標楷體" w:hAnsi="標楷體"/>
                <w:sz w:val="20"/>
                <w:szCs w:val="20"/>
              </w:rPr>
            </w:pPr>
            <w:r w:rsidRPr="00430D32">
              <w:rPr>
                <w:rFonts w:ascii="標楷體" w:eastAsia="標楷體" w:hAnsi="標楷體" w:hint="eastAsia"/>
                <w:sz w:val="20"/>
                <w:szCs w:val="20"/>
              </w:rPr>
              <w:t>113</w:t>
            </w:r>
          </w:p>
        </w:tc>
        <w:tc>
          <w:tcPr>
            <w:tcW w:w="1843" w:type="dxa"/>
            <w:gridSpan w:val="2"/>
            <w:tcBorders>
              <w:top w:val="nil"/>
              <w:left w:val="nil"/>
              <w:bottom w:val="single" w:sz="4" w:space="0" w:color="auto"/>
              <w:right w:val="single" w:sz="4" w:space="0" w:color="auto"/>
            </w:tcBorders>
            <w:shd w:val="clear" w:color="auto" w:fill="auto"/>
            <w:noWrap/>
            <w:vAlign w:val="center"/>
            <w:hideMark/>
          </w:tcPr>
          <w:p w14:paraId="6174E9A9" w14:textId="77777777" w:rsidR="004E77ED" w:rsidRPr="00430D32" w:rsidRDefault="004E77ED" w:rsidP="004E77ED">
            <w:pPr>
              <w:spacing w:line="240" w:lineRule="exact"/>
              <w:jc w:val="center"/>
              <w:rPr>
                <w:rFonts w:ascii="標楷體" w:eastAsia="標楷體" w:hAnsi="標楷體"/>
                <w:sz w:val="20"/>
                <w:szCs w:val="20"/>
              </w:rPr>
            </w:pPr>
            <w:proofErr w:type="gramStart"/>
            <w:r w:rsidRPr="00430D32">
              <w:rPr>
                <w:rFonts w:ascii="標楷體" w:eastAsia="標楷體" w:hAnsi="標楷體" w:hint="eastAsia"/>
                <w:sz w:val="20"/>
                <w:szCs w:val="20"/>
              </w:rPr>
              <w:t>113</w:t>
            </w:r>
            <w:proofErr w:type="gramEnd"/>
            <w:r w:rsidRPr="00430D32">
              <w:rPr>
                <w:rFonts w:ascii="標楷體" w:eastAsia="標楷體" w:hAnsi="標楷體" w:hint="eastAsia"/>
                <w:sz w:val="20"/>
                <w:szCs w:val="20"/>
              </w:rPr>
              <w:t>年度與</w:t>
            </w:r>
            <w:proofErr w:type="gramStart"/>
            <w:r w:rsidRPr="00430D32">
              <w:rPr>
                <w:rFonts w:ascii="標楷體" w:eastAsia="標楷體" w:hAnsi="標楷體" w:hint="eastAsia"/>
                <w:sz w:val="20"/>
                <w:szCs w:val="20"/>
              </w:rPr>
              <w:t>109</w:t>
            </w:r>
            <w:proofErr w:type="gramEnd"/>
            <w:r w:rsidRPr="00430D32">
              <w:rPr>
                <w:rFonts w:ascii="標楷體" w:eastAsia="標楷體" w:hAnsi="標楷體" w:hint="eastAsia"/>
                <w:sz w:val="20"/>
                <w:szCs w:val="20"/>
              </w:rPr>
              <w:t>年度比較增減</w:t>
            </w:r>
          </w:p>
        </w:tc>
      </w:tr>
      <w:tr w:rsidR="004E77ED" w:rsidRPr="00430D32" w14:paraId="0AB70EA8" w14:textId="77777777" w:rsidTr="00AD1316">
        <w:trPr>
          <w:trHeight w:val="227"/>
        </w:trPr>
        <w:tc>
          <w:tcPr>
            <w:tcW w:w="1560" w:type="dxa"/>
            <w:vMerge/>
            <w:tcBorders>
              <w:left w:val="single" w:sz="4" w:space="0" w:color="auto"/>
              <w:bottom w:val="single" w:sz="4" w:space="0" w:color="auto"/>
              <w:right w:val="single" w:sz="4" w:space="0" w:color="auto"/>
              <w:tl2br w:val="single" w:sz="4" w:space="0" w:color="auto"/>
            </w:tcBorders>
            <w:shd w:val="clear" w:color="auto" w:fill="auto"/>
            <w:noWrap/>
            <w:vAlign w:val="center"/>
          </w:tcPr>
          <w:p w14:paraId="52910A01" w14:textId="77777777" w:rsidR="004E77ED" w:rsidRPr="00430D32" w:rsidRDefault="004E77ED" w:rsidP="004E77ED">
            <w:pPr>
              <w:spacing w:line="240" w:lineRule="exact"/>
              <w:jc w:val="center"/>
              <w:rPr>
                <w:rFonts w:ascii="標楷體" w:eastAsia="標楷體" w:hAnsi="標楷體"/>
                <w:sz w:val="20"/>
                <w:szCs w:val="20"/>
              </w:rPr>
            </w:pPr>
          </w:p>
        </w:tc>
        <w:tc>
          <w:tcPr>
            <w:tcW w:w="1304" w:type="dxa"/>
            <w:vMerge/>
            <w:tcBorders>
              <w:left w:val="nil"/>
              <w:bottom w:val="single" w:sz="4" w:space="0" w:color="auto"/>
              <w:right w:val="single" w:sz="4" w:space="0" w:color="auto"/>
            </w:tcBorders>
            <w:shd w:val="clear" w:color="auto" w:fill="auto"/>
            <w:noWrap/>
            <w:vAlign w:val="center"/>
          </w:tcPr>
          <w:p w14:paraId="2139B7DC" w14:textId="77777777" w:rsidR="004E77ED" w:rsidRPr="00430D32" w:rsidRDefault="004E77ED" w:rsidP="004E77ED">
            <w:pPr>
              <w:spacing w:line="240" w:lineRule="exact"/>
              <w:jc w:val="center"/>
              <w:rPr>
                <w:rFonts w:ascii="標楷體" w:eastAsia="標楷體" w:hAnsi="標楷體"/>
                <w:sz w:val="20"/>
                <w:szCs w:val="20"/>
              </w:rPr>
            </w:pPr>
          </w:p>
        </w:tc>
        <w:tc>
          <w:tcPr>
            <w:tcW w:w="1304" w:type="dxa"/>
            <w:vMerge/>
            <w:tcBorders>
              <w:left w:val="nil"/>
              <w:bottom w:val="single" w:sz="4" w:space="0" w:color="auto"/>
              <w:right w:val="single" w:sz="4" w:space="0" w:color="auto"/>
            </w:tcBorders>
            <w:shd w:val="clear" w:color="auto" w:fill="auto"/>
            <w:noWrap/>
            <w:vAlign w:val="center"/>
          </w:tcPr>
          <w:p w14:paraId="3E4F3130" w14:textId="77777777" w:rsidR="004E77ED" w:rsidRPr="00430D32" w:rsidRDefault="004E77ED" w:rsidP="004E77ED">
            <w:pPr>
              <w:spacing w:line="240" w:lineRule="exact"/>
              <w:jc w:val="center"/>
              <w:rPr>
                <w:rFonts w:ascii="標楷體" w:eastAsia="標楷體" w:hAnsi="標楷體"/>
                <w:sz w:val="20"/>
                <w:szCs w:val="20"/>
              </w:rPr>
            </w:pPr>
          </w:p>
        </w:tc>
        <w:tc>
          <w:tcPr>
            <w:tcW w:w="1304" w:type="dxa"/>
            <w:vMerge/>
            <w:tcBorders>
              <w:left w:val="nil"/>
              <w:bottom w:val="single" w:sz="4" w:space="0" w:color="auto"/>
              <w:right w:val="single" w:sz="4" w:space="0" w:color="auto"/>
            </w:tcBorders>
            <w:shd w:val="clear" w:color="auto" w:fill="auto"/>
            <w:noWrap/>
            <w:vAlign w:val="center"/>
          </w:tcPr>
          <w:p w14:paraId="7F1ED61A" w14:textId="77777777" w:rsidR="004E77ED" w:rsidRPr="00430D32" w:rsidRDefault="004E77ED" w:rsidP="004E77ED">
            <w:pPr>
              <w:spacing w:line="240" w:lineRule="exact"/>
              <w:jc w:val="center"/>
              <w:rPr>
                <w:rFonts w:ascii="標楷體" w:eastAsia="標楷體" w:hAnsi="標楷體"/>
                <w:sz w:val="20"/>
                <w:szCs w:val="20"/>
              </w:rPr>
            </w:pPr>
          </w:p>
        </w:tc>
        <w:tc>
          <w:tcPr>
            <w:tcW w:w="1304" w:type="dxa"/>
            <w:vMerge/>
            <w:tcBorders>
              <w:left w:val="nil"/>
              <w:bottom w:val="single" w:sz="4" w:space="0" w:color="auto"/>
              <w:right w:val="single" w:sz="4" w:space="0" w:color="auto"/>
            </w:tcBorders>
            <w:shd w:val="clear" w:color="auto" w:fill="auto"/>
            <w:noWrap/>
            <w:vAlign w:val="center"/>
          </w:tcPr>
          <w:p w14:paraId="5D089137" w14:textId="77777777" w:rsidR="004E77ED" w:rsidRPr="00430D32" w:rsidRDefault="004E77ED" w:rsidP="004E77ED">
            <w:pPr>
              <w:spacing w:line="240" w:lineRule="exact"/>
              <w:jc w:val="center"/>
              <w:rPr>
                <w:rFonts w:ascii="標楷體" w:eastAsia="標楷體" w:hAnsi="標楷體"/>
                <w:sz w:val="20"/>
                <w:szCs w:val="20"/>
              </w:rPr>
            </w:pPr>
          </w:p>
        </w:tc>
        <w:tc>
          <w:tcPr>
            <w:tcW w:w="1304" w:type="dxa"/>
            <w:vMerge/>
            <w:tcBorders>
              <w:left w:val="nil"/>
              <w:bottom w:val="single" w:sz="4" w:space="0" w:color="auto"/>
              <w:right w:val="single" w:sz="4" w:space="0" w:color="auto"/>
            </w:tcBorders>
            <w:shd w:val="clear" w:color="auto" w:fill="auto"/>
            <w:noWrap/>
            <w:vAlign w:val="center"/>
          </w:tcPr>
          <w:p w14:paraId="2CB7C8DE" w14:textId="77777777" w:rsidR="004E77ED" w:rsidRPr="00430D32" w:rsidRDefault="004E77ED" w:rsidP="004E77ED">
            <w:pPr>
              <w:spacing w:line="240" w:lineRule="exact"/>
              <w:jc w:val="center"/>
              <w:rPr>
                <w:rFonts w:ascii="標楷體" w:eastAsia="標楷體" w:hAnsi="標楷體"/>
                <w:sz w:val="20"/>
                <w:szCs w:val="20"/>
              </w:rPr>
            </w:pPr>
          </w:p>
        </w:tc>
        <w:tc>
          <w:tcPr>
            <w:tcW w:w="1134" w:type="dxa"/>
            <w:tcBorders>
              <w:top w:val="nil"/>
              <w:left w:val="nil"/>
              <w:bottom w:val="single" w:sz="4" w:space="0" w:color="auto"/>
              <w:right w:val="single" w:sz="4" w:space="0" w:color="auto"/>
            </w:tcBorders>
            <w:shd w:val="clear" w:color="auto" w:fill="auto"/>
            <w:noWrap/>
            <w:vAlign w:val="center"/>
          </w:tcPr>
          <w:p w14:paraId="21A1B6FB" w14:textId="77777777" w:rsidR="004E77ED" w:rsidRPr="00430D32" w:rsidRDefault="004E77ED" w:rsidP="004E77ED">
            <w:pPr>
              <w:spacing w:line="240" w:lineRule="exact"/>
              <w:jc w:val="center"/>
              <w:rPr>
                <w:rFonts w:ascii="標楷體" w:eastAsia="標楷體" w:hAnsi="標楷體"/>
                <w:sz w:val="20"/>
                <w:szCs w:val="20"/>
              </w:rPr>
            </w:pPr>
            <w:r w:rsidRPr="00430D32">
              <w:rPr>
                <w:rFonts w:ascii="標楷體" w:eastAsia="標楷體" w:hAnsi="標楷體" w:hint="eastAsia"/>
                <w:sz w:val="20"/>
                <w:szCs w:val="20"/>
              </w:rPr>
              <w:t>增減數</w:t>
            </w:r>
          </w:p>
        </w:tc>
        <w:tc>
          <w:tcPr>
            <w:tcW w:w="709" w:type="dxa"/>
            <w:tcBorders>
              <w:top w:val="nil"/>
              <w:left w:val="nil"/>
              <w:bottom w:val="single" w:sz="4" w:space="0" w:color="auto"/>
              <w:right w:val="single" w:sz="4" w:space="0" w:color="auto"/>
            </w:tcBorders>
            <w:shd w:val="clear" w:color="auto" w:fill="auto"/>
            <w:noWrap/>
            <w:vAlign w:val="center"/>
          </w:tcPr>
          <w:p w14:paraId="53F575DA" w14:textId="77777777" w:rsidR="004E77ED" w:rsidRPr="00430D32" w:rsidRDefault="004E77ED" w:rsidP="004E77ED">
            <w:pPr>
              <w:spacing w:line="240" w:lineRule="exact"/>
              <w:jc w:val="center"/>
              <w:rPr>
                <w:rFonts w:ascii="標楷體" w:eastAsia="標楷體" w:hAnsi="標楷體"/>
                <w:sz w:val="20"/>
                <w:szCs w:val="20"/>
              </w:rPr>
            </w:pPr>
            <w:r w:rsidRPr="00430D32">
              <w:rPr>
                <w:rFonts w:ascii="標楷體" w:eastAsia="標楷體" w:hAnsi="標楷體" w:hint="eastAsia"/>
                <w:sz w:val="20"/>
                <w:szCs w:val="20"/>
              </w:rPr>
              <w:t>占比</w:t>
            </w:r>
          </w:p>
        </w:tc>
      </w:tr>
      <w:tr w:rsidR="004E77ED" w:rsidRPr="00430D32" w14:paraId="7AF179BD" w14:textId="77777777" w:rsidTr="004E77ED">
        <w:trPr>
          <w:trHeight w:val="227"/>
        </w:trPr>
        <w:tc>
          <w:tcPr>
            <w:tcW w:w="1560" w:type="dxa"/>
            <w:tcBorders>
              <w:top w:val="nil"/>
              <w:left w:val="single" w:sz="4" w:space="0" w:color="auto"/>
              <w:bottom w:val="single" w:sz="4" w:space="0" w:color="auto"/>
              <w:right w:val="single" w:sz="4" w:space="0" w:color="auto"/>
            </w:tcBorders>
            <w:shd w:val="clear" w:color="auto" w:fill="auto"/>
            <w:noWrap/>
            <w:vAlign w:val="center"/>
            <w:hideMark/>
          </w:tcPr>
          <w:p w14:paraId="2BB9EA12" w14:textId="77777777" w:rsidR="004E77ED" w:rsidRPr="00430D32" w:rsidRDefault="004E77ED" w:rsidP="004E77ED">
            <w:pPr>
              <w:spacing w:line="280" w:lineRule="exact"/>
              <w:rPr>
                <w:rFonts w:ascii="標楷體" w:eastAsia="標楷體" w:hAnsi="標楷體"/>
                <w:b/>
                <w:bCs/>
                <w:sz w:val="20"/>
                <w:szCs w:val="20"/>
              </w:rPr>
            </w:pPr>
            <w:r w:rsidRPr="00430D32">
              <w:rPr>
                <w:rFonts w:ascii="標楷體" w:eastAsia="標楷體" w:hAnsi="標楷體" w:hint="eastAsia"/>
                <w:b/>
                <w:bCs/>
                <w:sz w:val="20"/>
                <w:szCs w:val="20"/>
              </w:rPr>
              <w:t>歲出合計數（</w:t>
            </w:r>
            <w:r w:rsidRPr="00430D32">
              <w:rPr>
                <w:rFonts w:ascii="標楷體" w:eastAsia="標楷體" w:hAnsi="標楷體"/>
                <w:b/>
                <w:bCs/>
                <w:sz w:val="20"/>
                <w:szCs w:val="20"/>
              </w:rPr>
              <w:t>A</w:t>
            </w:r>
            <w:r w:rsidRPr="00430D32">
              <w:rPr>
                <w:rFonts w:ascii="標楷體" w:eastAsia="標楷體" w:hAnsi="標楷體" w:hint="eastAsia"/>
                <w:b/>
                <w:bCs/>
                <w:sz w:val="20"/>
                <w:szCs w:val="20"/>
              </w:rPr>
              <w:t>）</w:t>
            </w:r>
          </w:p>
        </w:tc>
        <w:tc>
          <w:tcPr>
            <w:tcW w:w="1304" w:type="dxa"/>
            <w:tcBorders>
              <w:top w:val="nil"/>
              <w:left w:val="nil"/>
              <w:bottom w:val="single" w:sz="4" w:space="0" w:color="auto"/>
              <w:right w:val="single" w:sz="4" w:space="0" w:color="auto"/>
            </w:tcBorders>
            <w:shd w:val="clear" w:color="auto" w:fill="auto"/>
            <w:noWrap/>
            <w:vAlign w:val="center"/>
            <w:hideMark/>
          </w:tcPr>
          <w:p w14:paraId="1655805F" w14:textId="77777777" w:rsidR="004E77ED" w:rsidRPr="00430D32" w:rsidRDefault="004E77ED" w:rsidP="004E77ED">
            <w:pPr>
              <w:spacing w:line="280" w:lineRule="exact"/>
              <w:ind w:rightChars="10" w:right="24"/>
              <w:jc w:val="right"/>
              <w:rPr>
                <w:rFonts w:ascii="標楷體" w:eastAsia="標楷體" w:hAnsi="標楷體"/>
                <w:b/>
                <w:bCs/>
                <w:sz w:val="20"/>
                <w:szCs w:val="20"/>
              </w:rPr>
            </w:pPr>
            <w:r w:rsidRPr="00430D32">
              <w:rPr>
                <w:rFonts w:ascii="標楷體" w:eastAsia="標楷體" w:hAnsi="標楷體" w:hint="eastAsia"/>
                <w:b/>
                <w:bCs/>
                <w:sz w:val="20"/>
                <w:szCs w:val="20"/>
              </w:rPr>
              <w:t>165,501,729</w:t>
            </w:r>
          </w:p>
        </w:tc>
        <w:tc>
          <w:tcPr>
            <w:tcW w:w="1304" w:type="dxa"/>
            <w:tcBorders>
              <w:top w:val="nil"/>
              <w:left w:val="nil"/>
              <w:bottom w:val="single" w:sz="4" w:space="0" w:color="auto"/>
              <w:right w:val="single" w:sz="4" w:space="0" w:color="auto"/>
            </w:tcBorders>
            <w:shd w:val="clear" w:color="auto" w:fill="auto"/>
            <w:noWrap/>
            <w:vAlign w:val="center"/>
            <w:hideMark/>
          </w:tcPr>
          <w:p w14:paraId="692A6918" w14:textId="77777777" w:rsidR="004E77ED" w:rsidRPr="00430D32" w:rsidRDefault="004E77ED" w:rsidP="004E77ED">
            <w:pPr>
              <w:spacing w:line="280" w:lineRule="exact"/>
              <w:ind w:rightChars="10" w:right="24"/>
              <w:jc w:val="right"/>
              <w:rPr>
                <w:rFonts w:ascii="標楷體" w:eastAsia="標楷體" w:hAnsi="標楷體"/>
                <w:b/>
                <w:bCs/>
                <w:sz w:val="20"/>
                <w:szCs w:val="20"/>
              </w:rPr>
            </w:pPr>
            <w:r w:rsidRPr="00430D32">
              <w:rPr>
                <w:rFonts w:ascii="標楷體" w:eastAsia="標楷體" w:hAnsi="標楷體" w:hint="eastAsia"/>
                <w:b/>
                <w:bCs/>
                <w:sz w:val="20"/>
                <w:szCs w:val="20"/>
              </w:rPr>
              <w:t>181,225,548</w:t>
            </w:r>
          </w:p>
        </w:tc>
        <w:tc>
          <w:tcPr>
            <w:tcW w:w="1304" w:type="dxa"/>
            <w:tcBorders>
              <w:top w:val="nil"/>
              <w:left w:val="nil"/>
              <w:bottom w:val="single" w:sz="4" w:space="0" w:color="auto"/>
              <w:right w:val="single" w:sz="4" w:space="0" w:color="auto"/>
            </w:tcBorders>
            <w:shd w:val="clear" w:color="auto" w:fill="auto"/>
            <w:noWrap/>
            <w:vAlign w:val="center"/>
            <w:hideMark/>
          </w:tcPr>
          <w:p w14:paraId="1B0E9A7C" w14:textId="77777777" w:rsidR="004E77ED" w:rsidRPr="00430D32" w:rsidRDefault="004E77ED" w:rsidP="004E77ED">
            <w:pPr>
              <w:spacing w:line="280" w:lineRule="exact"/>
              <w:ind w:rightChars="10" w:right="24"/>
              <w:jc w:val="right"/>
              <w:rPr>
                <w:rFonts w:ascii="標楷體" w:eastAsia="標楷體" w:hAnsi="標楷體"/>
                <w:b/>
                <w:bCs/>
                <w:sz w:val="20"/>
                <w:szCs w:val="20"/>
              </w:rPr>
            </w:pPr>
            <w:r w:rsidRPr="00430D32">
              <w:rPr>
                <w:rFonts w:ascii="標楷體" w:eastAsia="標楷體" w:hAnsi="標楷體" w:hint="eastAsia"/>
                <w:b/>
                <w:bCs/>
                <w:sz w:val="20"/>
                <w:szCs w:val="20"/>
              </w:rPr>
              <w:t>179,508,222</w:t>
            </w:r>
          </w:p>
        </w:tc>
        <w:tc>
          <w:tcPr>
            <w:tcW w:w="1304" w:type="dxa"/>
            <w:tcBorders>
              <w:top w:val="nil"/>
              <w:left w:val="nil"/>
              <w:bottom w:val="single" w:sz="4" w:space="0" w:color="auto"/>
              <w:right w:val="single" w:sz="4" w:space="0" w:color="auto"/>
            </w:tcBorders>
            <w:shd w:val="clear" w:color="auto" w:fill="auto"/>
            <w:noWrap/>
            <w:vAlign w:val="center"/>
            <w:hideMark/>
          </w:tcPr>
          <w:p w14:paraId="1A493594" w14:textId="77777777" w:rsidR="004E77ED" w:rsidRPr="00430D32" w:rsidRDefault="004E77ED" w:rsidP="004E77ED">
            <w:pPr>
              <w:spacing w:line="280" w:lineRule="exact"/>
              <w:ind w:rightChars="10" w:right="24"/>
              <w:jc w:val="right"/>
              <w:rPr>
                <w:rFonts w:ascii="標楷體" w:eastAsia="標楷體" w:hAnsi="標楷體"/>
                <w:b/>
                <w:bCs/>
                <w:sz w:val="20"/>
                <w:szCs w:val="20"/>
              </w:rPr>
            </w:pPr>
            <w:r w:rsidRPr="00430D32">
              <w:rPr>
                <w:rFonts w:ascii="標楷體" w:eastAsia="標楷體" w:hAnsi="標楷體" w:hint="eastAsia"/>
                <w:b/>
                <w:bCs/>
                <w:sz w:val="20"/>
                <w:szCs w:val="20"/>
              </w:rPr>
              <w:t>185,078,134</w:t>
            </w:r>
          </w:p>
        </w:tc>
        <w:tc>
          <w:tcPr>
            <w:tcW w:w="1304" w:type="dxa"/>
            <w:tcBorders>
              <w:top w:val="nil"/>
              <w:left w:val="nil"/>
              <w:bottom w:val="single" w:sz="4" w:space="0" w:color="auto"/>
              <w:right w:val="single" w:sz="4" w:space="0" w:color="auto"/>
            </w:tcBorders>
            <w:shd w:val="clear" w:color="auto" w:fill="auto"/>
            <w:noWrap/>
            <w:hideMark/>
          </w:tcPr>
          <w:p w14:paraId="059940E4" w14:textId="77777777" w:rsidR="004E77ED" w:rsidRPr="00430D32" w:rsidRDefault="004E77ED" w:rsidP="004E77ED">
            <w:pPr>
              <w:spacing w:line="280" w:lineRule="exact"/>
              <w:ind w:rightChars="10" w:right="24"/>
              <w:jc w:val="right"/>
              <w:rPr>
                <w:rFonts w:ascii="標楷體" w:eastAsia="標楷體" w:hAnsi="標楷體"/>
                <w:b/>
                <w:bCs/>
                <w:sz w:val="20"/>
                <w:szCs w:val="20"/>
              </w:rPr>
            </w:pPr>
            <w:r w:rsidRPr="00430D32">
              <w:rPr>
                <w:rFonts w:ascii="標楷體" w:eastAsia="標楷體" w:hAnsi="標楷體"/>
                <w:b/>
                <w:bCs/>
                <w:sz w:val="20"/>
                <w:szCs w:val="20"/>
              </w:rPr>
              <w:t>198,369,329</w:t>
            </w:r>
          </w:p>
        </w:tc>
        <w:tc>
          <w:tcPr>
            <w:tcW w:w="1134" w:type="dxa"/>
            <w:tcBorders>
              <w:top w:val="nil"/>
              <w:left w:val="nil"/>
              <w:bottom w:val="single" w:sz="4" w:space="0" w:color="auto"/>
              <w:right w:val="single" w:sz="4" w:space="0" w:color="auto"/>
            </w:tcBorders>
            <w:shd w:val="clear" w:color="auto" w:fill="auto"/>
            <w:noWrap/>
            <w:hideMark/>
          </w:tcPr>
          <w:p w14:paraId="635B214D" w14:textId="77777777" w:rsidR="004E77ED" w:rsidRPr="00430D32" w:rsidRDefault="004E77ED" w:rsidP="004E77ED">
            <w:pPr>
              <w:spacing w:line="280" w:lineRule="exact"/>
              <w:ind w:rightChars="10" w:right="24"/>
              <w:jc w:val="right"/>
              <w:rPr>
                <w:rFonts w:ascii="標楷體" w:eastAsia="標楷體" w:hAnsi="標楷體"/>
                <w:b/>
                <w:bCs/>
                <w:sz w:val="20"/>
                <w:szCs w:val="20"/>
              </w:rPr>
            </w:pPr>
            <w:r w:rsidRPr="00430D32">
              <w:rPr>
                <w:rFonts w:ascii="標楷體" w:eastAsia="標楷體" w:hAnsi="標楷體"/>
                <w:b/>
                <w:bCs/>
                <w:sz w:val="20"/>
                <w:szCs w:val="20"/>
              </w:rPr>
              <w:t>32,867,600</w:t>
            </w:r>
          </w:p>
        </w:tc>
        <w:tc>
          <w:tcPr>
            <w:tcW w:w="709" w:type="dxa"/>
            <w:tcBorders>
              <w:top w:val="nil"/>
              <w:left w:val="nil"/>
              <w:bottom w:val="single" w:sz="4" w:space="0" w:color="auto"/>
              <w:right w:val="single" w:sz="4" w:space="0" w:color="auto"/>
            </w:tcBorders>
            <w:shd w:val="clear" w:color="auto" w:fill="auto"/>
            <w:noWrap/>
            <w:vAlign w:val="center"/>
            <w:hideMark/>
          </w:tcPr>
          <w:p w14:paraId="3A1962D6" w14:textId="77777777" w:rsidR="004E77ED" w:rsidRPr="00430D32" w:rsidRDefault="004E77ED" w:rsidP="004E77ED">
            <w:pPr>
              <w:spacing w:line="280" w:lineRule="exact"/>
              <w:ind w:rightChars="10" w:right="24"/>
              <w:jc w:val="right"/>
              <w:rPr>
                <w:rFonts w:ascii="標楷體" w:eastAsia="標楷體" w:hAnsi="標楷體"/>
                <w:b/>
                <w:bCs/>
                <w:sz w:val="20"/>
                <w:szCs w:val="20"/>
              </w:rPr>
            </w:pPr>
            <w:r w:rsidRPr="00430D32">
              <w:rPr>
                <w:rFonts w:ascii="標楷體" w:eastAsia="標楷體" w:hAnsi="標楷體"/>
                <w:b/>
                <w:bCs/>
                <w:sz w:val="20"/>
                <w:szCs w:val="20"/>
              </w:rPr>
              <w:t>100.00</w:t>
            </w:r>
          </w:p>
        </w:tc>
      </w:tr>
      <w:tr w:rsidR="004E77ED" w:rsidRPr="00430D32" w14:paraId="1C7CAAB0" w14:textId="77777777" w:rsidTr="004E77ED">
        <w:trPr>
          <w:trHeight w:val="227"/>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1CD84B3D" w14:textId="77777777" w:rsidR="004E77ED" w:rsidRPr="00430D32" w:rsidRDefault="004E77ED" w:rsidP="004E77ED">
            <w:pPr>
              <w:spacing w:line="280" w:lineRule="exact"/>
              <w:rPr>
                <w:rFonts w:ascii="標楷體" w:eastAsia="標楷體" w:hAnsi="標楷體"/>
                <w:sz w:val="20"/>
                <w:szCs w:val="20"/>
              </w:rPr>
            </w:pPr>
            <w:r w:rsidRPr="00430D32">
              <w:rPr>
                <w:rFonts w:ascii="標楷體" w:eastAsia="標楷體" w:hAnsi="標楷體" w:hint="eastAsia"/>
                <w:sz w:val="20"/>
                <w:szCs w:val="20"/>
              </w:rPr>
              <w:t>經常支出（</w:t>
            </w:r>
            <w:r w:rsidRPr="00430D32">
              <w:rPr>
                <w:rFonts w:ascii="標楷體" w:eastAsia="標楷體" w:hAnsi="標楷體"/>
                <w:sz w:val="20"/>
                <w:szCs w:val="20"/>
              </w:rPr>
              <w:t>B</w:t>
            </w:r>
            <w:r w:rsidRPr="00430D32">
              <w:rPr>
                <w:rFonts w:ascii="標楷體" w:eastAsia="標楷體" w:hAnsi="標楷體" w:hint="eastAsia"/>
                <w:sz w:val="20"/>
                <w:szCs w:val="20"/>
              </w:rPr>
              <w:t>）</w:t>
            </w:r>
          </w:p>
        </w:tc>
        <w:tc>
          <w:tcPr>
            <w:tcW w:w="1304" w:type="dxa"/>
            <w:tcBorders>
              <w:top w:val="nil"/>
              <w:left w:val="nil"/>
              <w:bottom w:val="single" w:sz="4" w:space="0" w:color="auto"/>
              <w:right w:val="single" w:sz="4" w:space="0" w:color="auto"/>
            </w:tcBorders>
            <w:shd w:val="clear" w:color="auto" w:fill="auto"/>
            <w:noWrap/>
            <w:vAlign w:val="center"/>
            <w:hideMark/>
          </w:tcPr>
          <w:p w14:paraId="30CB1523"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136,054,851</w:t>
            </w:r>
          </w:p>
        </w:tc>
        <w:tc>
          <w:tcPr>
            <w:tcW w:w="1304" w:type="dxa"/>
            <w:tcBorders>
              <w:top w:val="nil"/>
              <w:left w:val="nil"/>
              <w:bottom w:val="single" w:sz="4" w:space="0" w:color="auto"/>
              <w:right w:val="single" w:sz="4" w:space="0" w:color="auto"/>
            </w:tcBorders>
            <w:shd w:val="clear" w:color="auto" w:fill="auto"/>
            <w:noWrap/>
            <w:vAlign w:val="center"/>
            <w:hideMark/>
          </w:tcPr>
          <w:p w14:paraId="79F6BF78"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140,123,142</w:t>
            </w:r>
          </w:p>
        </w:tc>
        <w:tc>
          <w:tcPr>
            <w:tcW w:w="1304" w:type="dxa"/>
            <w:tcBorders>
              <w:top w:val="nil"/>
              <w:left w:val="nil"/>
              <w:bottom w:val="single" w:sz="4" w:space="0" w:color="auto"/>
              <w:right w:val="single" w:sz="4" w:space="0" w:color="auto"/>
            </w:tcBorders>
            <w:shd w:val="clear" w:color="auto" w:fill="auto"/>
            <w:noWrap/>
            <w:vAlign w:val="center"/>
            <w:hideMark/>
          </w:tcPr>
          <w:p w14:paraId="0A1C640B"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144,079,029</w:t>
            </w:r>
          </w:p>
        </w:tc>
        <w:tc>
          <w:tcPr>
            <w:tcW w:w="1304" w:type="dxa"/>
            <w:tcBorders>
              <w:top w:val="nil"/>
              <w:left w:val="nil"/>
              <w:bottom w:val="single" w:sz="4" w:space="0" w:color="auto"/>
              <w:right w:val="single" w:sz="4" w:space="0" w:color="auto"/>
            </w:tcBorders>
            <w:shd w:val="clear" w:color="auto" w:fill="auto"/>
            <w:noWrap/>
            <w:vAlign w:val="center"/>
            <w:hideMark/>
          </w:tcPr>
          <w:p w14:paraId="7E36C0CD"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149,763,765</w:t>
            </w:r>
          </w:p>
        </w:tc>
        <w:tc>
          <w:tcPr>
            <w:tcW w:w="1304" w:type="dxa"/>
            <w:tcBorders>
              <w:top w:val="nil"/>
              <w:left w:val="nil"/>
              <w:bottom w:val="single" w:sz="4" w:space="0" w:color="auto"/>
              <w:right w:val="single" w:sz="4" w:space="0" w:color="auto"/>
            </w:tcBorders>
            <w:shd w:val="clear" w:color="auto" w:fill="auto"/>
            <w:noWrap/>
            <w:hideMark/>
          </w:tcPr>
          <w:p w14:paraId="158F6B44"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sz w:val="20"/>
                <w:szCs w:val="20"/>
              </w:rPr>
              <w:t>158,668,413</w:t>
            </w:r>
          </w:p>
        </w:tc>
        <w:tc>
          <w:tcPr>
            <w:tcW w:w="1134" w:type="dxa"/>
            <w:tcBorders>
              <w:top w:val="nil"/>
              <w:left w:val="nil"/>
              <w:bottom w:val="single" w:sz="4" w:space="0" w:color="auto"/>
              <w:right w:val="single" w:sz="4" w:space="0" w:color="auto"/>
            </w:tcBorders>
            <w:shd w:val="clear" w:color="auto" w:fill="auto"/>
            <w:noWrap/>
            <w:hideMark/>
          </w:tcPr>
          <w:p w14:paraId="3A12CDAB"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sz w:val="20"/>
                <w:szCs w:val="20"/>
              </w:rPr>
              <w:t>22,613,562</w:t>
            </w:r>
          </w:p>
        </w:tc>
        <w:tc>
          <w:tcPr>
            <w:tcW w:w="709" w:type="dxa"/>
            <w:tcBorders>
              <w:top w:val="nil"/>
              <w:left w:val="nil"/>
              <w:bottom w:val="single" w:sz="4" w:space="0" w:color="auto"/>
              <w:right w:val="single" w:sz="4" w:space="0" w:color="auto"/>
            </w:tcBorders>
            <w:shd w:val="clear" w:color="auto" w:fill="auto"/>
            <w:noWrap/>
            <w:vAlign w:val="center"/>
            <w:hideMark/>
          </w:tcPr>
          <w:p w14:paraId="7E68FB46"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sz w:val="20"/>
                <w:szCs w:val="20"/>
              </w:rPr>
              <w:t>68.80</w:t>
            </w:r>
          </w:p>
        </w:tc>
      </w:tr>
      <w:tr w:rsidR="004E77ED" w:rsidRPr="00430D32" w14:paraId="6927A162" w14:textId="77777777" w:rsidTr="004E77ED">
        <w:trPr>
          <w:trHeight w:val="227"/>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75ACD7F5" w14:textId="77777777" w:rsidR="004E77ED" w:rsidRPr="00430D32" w:rsidRDefault="004E77ED" w:rsidP="004E77ED">
            <w:pPr>
              <w:spacing w:line="280" w:lineRule="exact"/>
              <w:rPr>
                <w:rFonts w:ascii="標楷體" w:eastAsia="標楷體" w:hAnsi="標楷體"/>
                <w:sz w:val="20"/>
                <w:szCs w:val="20"/>
              </w:rPr>
            </w:pPr>
            <w:r w:rsidRPr="00430D32">
              <w:rPr>
                <w:rFonts w:ascii="標楷體" w:eastAsia="標楷體" w:hAnsi="標楷體" w:hint="eastAsia"/>
                <w:sz w:val="20"/>
                <w:szCs w:val="20"/>
              </w:rPr>
              <w:t>資本支出（</w:t>
            </w:r>
            <w:r w:rsidRPr="00430D32">
              <w:rPr>
                <w:rFonts w:ascii="標楷體" w:eastAsia="標楷體" w:hAnsi="標楷體"/>
                <w:sz w:val="20"/>
                <w:szCs w:val="20"/>
              </w:rPr>
              <w:t>C</w:t>
            </w:r>
            <w:r w:rsidRPr="00430D32">
              <w:rPr>
                <w:rFonts w:ascii="標楷體" w:eastAsia="標楷體" w:hAnsi="標楷體" w:hint="eastAsia"/>
                <w:sz w:val="20"/>
                <w:szCs w:val="20"/>
              </w:rPr>
              <w:t>）</w:t>
            </w:r>
          </w:p>
        </w:tc>
        <w:tc>
          <w:tcPr>
            <w:tcW w:w="1304" w:type="dxa"/>
            <w:tcBorders>
              <w:top w:val="nil"/>
              <w:left w:val="nil"/>
              <w:bottom w:val="single" w:sz="4" w:space="0" w:color="auto"/>
              <w:right w:val="single" w:sz="4" w:space="0" w:color="auto"/>
            </w:tcBorders>
            <w:shd w:val="clear" w:color="auto" w:fill="auto"/>
            <w:noWrap/>
            <w:vAlign w:val="center"/>
            <w:hideMark/>
          </w:tcPr>
          <w:p w14:paraId="02E5D0C9"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29,446,877</w:t>
            </w:r>
          </w:p>
        </w:tc>
        <w:tc>
          <w:tcPr>
            <w:tcW w:w="1304" w:type="dxa"/>
            <w:tcBorders>
              <w:top w:val="nil"/>
              <w:left w:val="nil"/>
              <w:bottom w:val="single" w:sz="4" w:space="0" w:color="auto"/>
              <w:right w:val="single" w:sz="4" w:space="0" w:color="auto"/>
            </w:tcBorders>
            <w:shd w:val="clear" w:color="auto" w:fill="auto"/>
            <w:noWrap/>
            <w:vAlign w:val="center"/>
            <w:hideMark/>
          </w:tcPr>
          <w:p w14:paraId="45876F62"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41,102,406</w:t>
            </w:r>
          </w:p>
        </w:tc>
        <w:tc>
          <w:tcPr>
            <w:tcW w:w="1304" w:type="dxa"/>
            <w:tcBorders>
              <w:top w:val="nil"/>
              <w:left w:val="nil"/>
              <w:bottom w:val="single" w:sz="4" w:space="0" w:color="auto"/>
              <w:right w:val="single" w:sz="4" w:space="0" w:color="auto"/>
            </w:tcBorders>
            <w:shd w:val="clear" w:color="auto" w:fill="auto"/>
            <w:noWrap/>
            <w:vAlign w:val="center"/>
            <w:hideMark/>
          </w:tcPr>
          <w:p w14:paraId="77C8DD90"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35,429,192</w:t>
            </w:r>
          </w:p>
        </w:tc>
        <w:tc>
          <w:tcPr>
            <w:tcW w:w="1304" w:type="dxa"/>
            <w:tcBorders>
              <w:top w:val="nil"/>
              <w:left w:val="nil"/>
              <w:bottom w:val="single" w:sz="4" w:space="0" w:color="auto"/>
              <w:right w:val="single" w:sz="4" w:space="0" w:color="auto"/>
            </w:tcBorders>
            <w:shd w:val="clear" w:color="auto" w:fill="auto"/>
            <w:noWrap/>
            <w:vAlign w:val="center"/>
            <w:hideMark/>
          </w:tcPr>
          <w:p w14:paraId="6FE8E1C8"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35,314,368</w:t>
            </w:r>
          </w:p>
        </w:tc>
        <w:tc>
          <w:tcPr>
            <w:tcW w:w="1304" w:type="dxa"/>
            <w:tcBorders>
              <w:top w:val="nil"/>
              <w:left w:val="nil"/>
              <w:bottom w:val="single" w:sz="4" w:space="0" w:color="auto"/>
              <w:right w:val="single" w:sz="4" w:space="0" w:color="auto"/>
            </w:tcBorders>
            <w:shd w:val="clear" w:color="auto" w:fill="auto"/>
            <w:noWrap/>
            <w:hideMark/>
          </w:tcPr>
          <w:p w14:paraId="542ABB41"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sz w:val="20"/>
                <w:szCs w:val="20"/>
              </w:rPr>
              <w:t>39,700,915</w:t>
            </w:r>
          </w:p>
        </w:tc>
        <w:tc>
          <w:tcPr>
            <w:tcW w:w="1134" w:type="dxa"/>
            <w:tcBorders>
              <w:top w:val="nil"/>
              <w:left w:val="nil"/>
              <w:bottom w:val="single" w:sz="4" w:space="0" w:color="auto"/>
              <w:right w:val="single" w:sz="4" w:space="0" w:color="auto"/>
            </w:tcBorders>
            <w:shd w:val="clear" w:color="auto" w:fill="auto"/>
            <w:noWrap/>
            <w:hideMark/>
          </w:tcPr>
          <w:p w14:paraId="065E815C"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sz w:val="20"/>
                <w:szCs w:val="20"/>
              </w:rPr>
              <w:t>10,254,037</w:t>
            </w:r>
          </w:p>
        </w:tc>
        <w:tc>
          <w:tcPr>
            <w:tcW w:w="709" w:type="dxa"/>
            <w:tcBorders>
              <w:top w:val="nil"/>
              <w:left w:val="nil"/>
              <w:bottom w:val="single" w:sz="4" w:space="0" w:color="auto"/>
              <w:right w:val="single" w:sz="4" w:space="0" w:color="auto"/>
            </w:tcBorders>
            <w:shd w:val="clear" w:color="auto" w:fill="auto"/>
            <w:noWrap/>
            <w:vAlign w:val="center"/>
            <w:hideMark/>
          </w:tcPr>
          <w:p w14:paraId="72956A9B" w14:textId="77777777" w:rsidR="004E77ED" w:rsidRPr="00430D32" w:rsidRDefault="004E77ED" w:rsidP="004E77ED">
            <w:pPr>
              <w:spacing w:line="280" w:lineRule="exact"/>
              <w:ind w:rightChars="10" w:right="24"/>
              <w:jc w:val="right"/>
              <w:rPr>
                <w:rFonts w:ascii="標楷體" w:eastAsia="標楷體" w:hAnsi="標楷體"/>
                <w:sz w:val="20"/>
                <w:szCs w:val="20"/>
              </w:rPr>
            </w:pPr>
            <w:r w:rsidRPr="00430D32">
              <w:rPr>
                <w:rFonts w:ascii="標楷體" w:eastAsia="標楷體" w:hAnsi="標楷體"/>
                <w:sz w:val="20"/>
                <w:szCs w:val="20"/>
              </w:rPr>
              <w:t>31.20</w:t>
            </w:r>
          </w:p>
        </w:tc>
      </w:tr>
      <w:tr w:rsidR="004E77ED" w:rsidRPr="00430D32" w14:paraId="465232B5" w14:textId="77777777" w:rsidTr="004E77ED">
        <w:trPr>
          <w:trHeight w:val="227"/>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30672E27" w14:textId="77777777" w:rsidR="004E77ED" w:rsidRPr="00430D32" w:rsidRDefault="004E77ED" w:rsidP="004E77ED">
            <w:pPr>
              <w:spacing w:line="260" w:lineRule="exact"/>
              <w:rPr>
                <w:rFonts w:ascii="標楷體" w:eastAsia="標楷體" w:hAnsi="標楷體"/>
                <w:sz w:val="20"/>
                <w:szCs w:val="20"/>
              </w:rPr>
            </w:pPr>
            <w:r w:rsidRPr="00430D32">
              <w:rPr>
                <w:rFonts w:ascii="標楷體" w:eastAsia="標楷體" w:hAnsi="標楷體" w:hint="eastAsia"/>
                <w:sz w:val="20"/>
                <w:szCs w:val="20"/>
              </w:rPr>
              <w:t>經常支出占比</w:t>
            </w:r>
          </w:p>
          <w:p w14:paraId="01626A2F" w14:textId="77777777" w:rsidR="004E77ED" w:rsidRPr="00430D32" w:rsidRDefault="004E77ED" w:rsidP="004E77ED">
            <w:pPr>
              <w:spacing w:line="260" w:lineRule="exac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B/A×100</w:t>
            </w:r>
            <w:r w:rsidRPr="00430D32">
              <w:rPr>
                <w:rFonts w:ascii="標楷體" w:eastAsia="標楷體" w:hAnsi="標楷體" w:hint="eastAsia"/>
                <w:sz w:val="20"/>
                <w:szCs w:val="20"/>
              </w:rPr>
              <w:t>）</w:t>
            </w:r>
          </w:p>
        </w:tc>
        <w:tc>
          <w:tcPr>
            <w:tcW w:w="1304" w:type="dxa"/>
            <w:tcBorders>
              <w:top w:val="nil"/>
              <w:left w:val="nil"/>
              <w:bottom w:val="single" w:sz="4" w:space="0" w:color="auto"/>
              <w:right w:val="single" w:sz="4" w:space="0" w:color="auto"/>
            </w:tcBorders>
            <w:shd w:val="clear" w:color="auto" w:fill="auto"/>
            <w:noWrap/>
            <w:vAlign w:val="center"/>
            <w:hideMark/>
          </w:tcPr>
          <w:p w14:paraId="379042A6"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82.21</w:t>
            </w:r>
          </w:p>
        </w:tc>
        <w:tc>
          <w:tcPr>
            <w:tcW w:w="1304" w:type="dxa"/>
            <w:tcBorders>
              <w:top w:val="nil"/>
              <w:left w:val="nil"/>
              <w:bottom w:val="single" w:sz="4" w:space="0" w:color="auto"/>
              <w:right w:val="single" w:sz="4" w:space="0" w:color="auto"/>
            </w:tcBorders>
            <w:shd w:val="clear" w:color="auto" w:fill="auto"/>
            <w:noWrap/>
            <w:vAlign w:val="center"/>
            <w:hideMark/>
          </w:tcPr>
          <w:p w14:paraId="3459AF47"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77.32</w:t>
            </w:r>
          </w:p>
        </w:tc>
        <w:tc>
          <w:tcPr>
            <w:tcW w:w="1304" w:type="dxa"/>
            <w:tcBorders>
              <w:top w:val="nil"/>
              <w:left w:val="nil"/>
              <w:bottom w:val="single" w:sz="4" w:space="0" w:color="auto"/>
              <w:right w:val="single" w:sz="4" w:space="0" w:color="auto"/>
            </w:tcBorders>
            <w:shd w:val="clear" w:color="auto" w:fill="auto"/>
            <w:noWrap/>
            <w:vAlign w:val="center"/>
            <w:hideMark/>
          </w:tcPr>
          <w:p w14:paraId="6FA5F4FB"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80.26</w:t>
            </w:r>
          </w:p>
        </w:tc>
        <w:tc>
          <w:tcPr>
            <w:tcW w:w="1304" w:type="dxa"/>
            <w:tcBorders>
              <w:top w:val="nil"/>
              <w:left w:val="nil"/>
              <w:bottom w:val="single" w:sz="4" w:space="0" w:color="auto"/>
              <w:right w:val="single" w:sz="4" w:space="0" w:color="auto"/>
            </w:tcBorders>
            <w:shd w:val="clear" w:color="auto" w:fill="auto"/>
            <w:noWrap/>
            <w:vAlign w:val="center"/>
            <w:hideMark/>
          </w:tcPr>
          <w:p w14:paraId="4CB4383F"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80.92</w:t>
            </w:r>
          </w:p>
        </w:tc>
        <w:tc>
          <w:tcPr>
            <w:tcW w:w="1304" w:type="dxa"/>
            <w:tcBorders>
              <w:top w:val="nil"/>
              <w:left w:val="nil"/>
              <w:bottom w:val="single" w:sz="4" w:space="0" w:color="auto"/>
              <w:right w:val="single" w:sz="4" w:space="0" w:color="auto"/>
            </w:tcBorders>
            <w:shd w:val="clear" w:color="auto" w:fill="auto"/>
            <w:noWrap/>
            <w:vAlign w:val="center"/>
            <w:hideMark/>
          </w:tcPr>
          <w:p w14:paraId="38DE947D"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sz w:val="20"/>
                <w:szCs w:val="20"/>
              </w:rPr>
              <w:t xml:space="preserve"> 79.99 </w:t>
            </w:r>
          </w:p>
        </w:tc>
        <w:tc>
          <w:tcPr>
            <w:tcW w:w="1134" w:type="dxa"/>
            <w:tcBorders>
              <w:top w:val="nil"/>
              <w:left w:val="nil"/>
              <w:bottom w:val="single" w:sz="4" w:space="0" w:color="auto"/>
              <w:right w:val="single" w:sz="4" w:space="0" w:color="auto"/>
            </w:tcBorders>
            <w:shd w:val="clear" w:color="auto" w:fill="auto"/>
            <w:noWrap/>
            <w:vAlign w:val="center"/>
            <w:hideMark/>
          </w:tcPr>
          <w:p w14:paraId="4DF363D0"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0D490BB1"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w:t>
            </w:r>
          </w:p>
        </w:tc>
      </w:tr>
      <w:tr w:rsidR="004E77ED" w:rsidRPr="00430D32" w14:paraId="3E70C55A" w14:textId="77777777" w:rsidTr="004E77ED">
        <w:trPr>
          <w:trHeight w:val="227"/>
        </w:trPr>
        <w:tc>
          <w:tcPr>
            <w:tcW w:w="1560" w:type="dxa"/>
            <w:tcBorders>
              <w:top w:val="nil"/>
              <w:left w:val="single" w:sz="4" w:space="0" w:color="auto"/>
              <w:bottom w:val="single" w:sz="4" w:space="0" w:color="auto"/>
              <w:right w:val="single" w:sz="4" w:space="0" w:color="auto"/>
            </w:tcBorders>
            <w:shd w:val="clear" w:color="auto" w:fill="auto"/>
            <w:vAlign w:val="center"/>
            <w:hideMark/>
          </w:tcPr>
          <w:p w14:paraId="5A702670" w14:textId="77777777" w:rsidR="004E77ED" w:rsidRPr="00430D32" w:rsidRDefault="004E77ED" w:rsidP="004E77ED">
            <w:pPr>
              <w:spacing w:line="260" w:lineRule="exact"/>
              <w:rPr>
                <w:rFonts w:ascii="標楷體" w:eastAsia="標楷體" w:hAnsi="標楷體"/>
                <w:sz w:val="20"/>
                <w:szCs w:val="20"/>
              </w:rPr>
            </w:pPr>
            <w:r w:rsidRPr="00430D32">
              <w:rPr>
                <w:rFonts w:ascii="標楷體" w:eastAsia="標楷體" w:hAnsi="標楷體" w:hint="eastAsia"/>
                <w:sz w:val="20"/>
                <w:szCs w:val="20"/>
              </w:rPr>
              <w:t>資本支出占比</w:t>
            </w:r>
          </w:p>
          <w:p w14:paraId="1B7F8AFB" w14:textId="77777777" w:rsidR="004E77ED" w:rsidRPr="00430D32" w:rsidRDefault="004E77ED" w:rsidP="004E77ED">
            <w:pPr>
              <w:spacing w:line="260" w:lineRule="exac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C/A×100</w:t>
            </w:r>
            <w:r w:rsidRPr="00430D32">
              <w:rPr>
                <w:rFonts w:ascii="標楷體" w:eastAsia="標楷體" w:hAnsi="標楷體" w:hint="eastAsia"/>
                <w:sz w:val="20"/>
                <w:szCs w:val="20"/>
              </w:rPr>
              <w:t>）</w:t>
            </w:r>
          </w:p>
        </w:tc>
        <w:tc>
          <w:tcPr>
            <w:tcW w:w="1304" w:type="dxa"/>
            <w:tcBorders>
              <w:top w:val="nil"/>
              <w:left w:val="nil"/>
              <w:bottom w:val="single" w:sz="4" w:space="0" w:color="auto"/>
              <w:right w:val="single" w:sz="4" w:space="0" w:color="auto"/>
            </w:tcBorders>
            <w:shd w:val="clear" w:color="auto" w:fill="auto"/>
            <w:noWrap/>
            <w:vAlign w:val="center"/>
            <w:hideMark/>
          </w:tcPr>
          <w:p w14:paraId="07036F11"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17.79</w:t>
            </w:r>
          </w:p>
        </w:tc>
        <w:tc>
          <w:tcPr>
            <w:tcW w:w="1304" w:type="dxa"/>
            <w:tcBorders>
              <w:top w:val="nil"/>
              <w:left w:val="nil"/>
              <w:bottom w:val="single" w:sz="4" w:space="0" w:color="auto"/>
              <w:right w:val="single" w:sz="4" w:space="0" w:color="auto"/>
            </w:tcBorders>
            <w:shd w:val="clear" w:color="auto" w:fill="auto"/>
            <w:noWrap/>
            <w:vAlign w:val="center"/>
            <w:hideMark/>
          </w:tcPr>
          <w:p w14:paraId="29C89547"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22.68</w:t>
            </w:r>
          </w:p>
        </w:tc>
        <w:tc>
          <w:tcPr>
            <w:tcW w:w="1304" w:type="dxa"/>
            <w:tcBorders>
              <w:top w:val="nil"/>
              <w:left w:val="nil"/>
              <w:bottom w:val="single" w:sz="4" w:space="0" w:color="auto"/>
              <w:right w:val="single" w:sz="4" w:space="0" w:color="auto"/>
            </w:tcBorders>
            <w:shd w:val="clear" w:color="auto" w:fill="auto"/>
            <w:noWrap/>
            <w:vAlign w:val="center"/>
            <w:hideMark/>
          </w:tcPr>
          <w:p w14:paraId="0F137DD1"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19.74</w:t>
            </w:r>
          </w:p>
        </w:tc>
        <w:tc>
          <w:tcPr>
            <w:tcW w:w="1304" w:type="dxa"/>
            <w:tcBorders>
              <w:top w:val="nil"/>
              <w:left w:val="nil"/>
              <w:bottom w:val="single" w:sz="4" w:space="0" w:color="auto"/>
              <w:right w:val="single" w:sz="4" w:space="0" w:color="auto"/>
            </w:tcBorders>
            <w:shd w:val="clear" w:color="auto" w:fill="auto"/>
            <w:noWrap/>
            <w:vAlign w:val="center"/>
            <w:hideMark/>
          </w:tcPr>
          <w:p w14:paraId="79CE772A"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19.08</w:t>
            </w:r>
          </w:p>
        </w:tc>
        <w:tc>
          <w:tcPr>
            <w:tcW w:w="1304" w:type="dxa"/>
            <w:tcBorders>
              <w:top w:val="nil"/>
              <w:left w:val="nil"/>
              <w:bottom w:val="single" w:sz="4" w:space="0" w:color="auto"/>
              <w:right w:val="single" w:sz="4" w:space="0" w:color="auto"/>
            </w:tcBorders>
            <w:shd w:val="clear" w:color="auto" w:fill="auto"/>
            <w:noWrap/>
            <w:vAlign w:val="center"/>
            <w:hideMark/>
          </w:tcPr>
          <w:p w14:paraId="00BE87F6"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sz w:val="20"/>
                <w:szCs w:val="20"/>
              </w:rPr>
              <w:t xml:space="preserve"> 20.01 </w:t>
            </w:r>
          </w:p>
        </w:tc>
        <w:tc>
          <w:tcPr>
            <w:tcW w:w="1134" w:type="dxa"/>
            <w:tcBorders>
              <w:top w:val="nil"/>
              <w:left w:val="nil"/>
              <w:bottom w:val="single" w:sz="4" w:space="0" w:color="auto"/>
              <w:right w:val="single" w:sz="4" w:space="0" w:color="auto"/>
            </w:tcBorders>
            <w:shd w:val="clear" w:color="auto" w:fill="auto"/>
            <w:noWrap/>
            <w:vAlign w:val="center"/>
            <w:hideMark/>
          </w:tcPr>
          <w:p w14:paraId="2872AC07"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523E6335" w14:textId="77777777" w:rsidR="004E77ED" w:rsidRPr="00430D32" w:rsidRDefault="004E77ED" w:rsidP="004E77ED">
            <w:pPr>
              <w:spacing w:line="260" w:lineRule="exact"/>
              <w:ind w:rightChars="10" w:right="24"/>
              <w:jc w:val="right"/>
              <w:rPr>
                <w:rFonts w:ascii="標楷體" w:eastAsia="標楷體" w:hAnsi="標楷體"/>
                <w:sz w:val="20"/>
                <w:szCs w:val="20"/>
              </w:rPr>
            </w:pPr>
            <w:r w:rsidRPr="00430D32">
              <w:rPr>
                <w:rFonts w:ascii="標楷體" w:eastAsia="標楷體" w:hAnsi="標楷體" w:hint="eastAsia"/>
                <w:sz w:val="20"/>
                <w:szCs w:val="20"/>
              </w:rPr>
              <w:t>－</w:t>
            </w:r>
          </w:p>
        </w:tc>
      </w:tr>
      <w:tr w:rsidR="004E77ED" w:rsidRPr="00430D32" w14:paraId="208917E6" w14:textId="77777777" w:rsidTr="004E77ED">
        <w:trPr>
          <w:trHeight w:val="227"/>
        </w:trPr>
        <w:tc>
          <w:tcPr>
            <w:tcW w:w="9923" w:type="dxa"/>
            <w:gridSpan w:val="8"/>
            <w:tcBorders>
              <w:top w:val="single" w:sz="4" w:space="0" w:color="auto"/>
            </w:tcBorders>
            <w:shd w:val="clear" w:color="auto" w:fill="auto"/>
            <w:vAlign w:val="center"/>
          </w:tcPr>
          <w:p w14:paraId="074FEECE" w14:textId="77777777" w:rsidR="004E77ED" w:rsidRPr="00430D32" w:rsidRDefault="004E77ED" w:rsidP="004E77ED">
            <w:pPr>
              <w:spacing w:line="240" w:lineRule="exact"/>
              <w:rPr>
                <w:rFonts w:ascii="標楷體" w:eastAsia="標楷體" w:hAnsi="標楷體"/>
                <w:sz w:val="20"/>
                <w:szCs w:val="20"/>
              </w:rPr>
            </w:pPr>
            <w:r w:rsidRPr="00430D32">
              <w:rPr>
                <w:rFonts w:ascii="標楷體" w:eastAsia="標楷體" w:hAnsi="標楷體" w:hint="eastAsia"/>
                <w:sz w:val="18"/>
                <w:szCs w:val="18"/>
              </w:rPr>
              <w:t>資料來源：整理自歷年審核報告。</w:t>
            </w:r>
          </w:p>
        </w:tc>
      </w:tr>
    </w:tbl>
    <w:p w14:paraId="6864E127" w14:textId="77777777" w:rsidR="0029756E" w:rsidRPr="00430D32" w:rsidRDefault="0029756E" w:rsidP="00B9064D">
      <w:pPr>
        <w:overflowPunct w:val="0"/>
        <w:spacing w:line="440" w:lineRule="exact"/>
        <w:ind w:firstLineChars="100" w:firstLine="280"/>
        <w:jc w:val="both"/>
        <w:rPr>
          <w:rFonts w:ascii="標楷體" w:eastAsia="標楷體" w:hAnsi="標楷體" w:cs="DFKaiShu-SB-Estd-BF"/>
          <w:b/>
          <w:sz w:val="28"/>
          <w:szCs w:val="24"/>
        </w:rPr>
      </w:pPr>
      <w:r w:rsidRPr="00430D32">
        <w:rPr>
          <w:rFonts w:ascii="標楷體" w:eastAsia="標楷體" w:hAnsi="標楷體" w:cs="DFKaiShu-SB-Estd-BF" w:hint="eastAsia"/>
          <w:b/>
          <w:sz w:val="28"/>
          <w:szCs w:val="24"/>
        </w:rPr>
        <w:t>（二）持續推動重大計畫分級管考掌握計畫辦理進度，以提升計畫執行成效，惟部分計畫有執行進度落後、預算執行率欠佳或評核等第較上年度下降等情，有</w:t>
      </w:r>
      <w:r w:rsidRPr="00430D32">
        <w:rPr>
          <w:rFonts w:ascii="標楷體" w:eastAsia="標楷體" w:hAnsi="標楷體" w:cs="DFKaiShu-SB-Estd-BF"/>
          <w:b/>
          <w:sz w:val="28"/>
          <w:szCs w:val="24"/>
        </w:rPr>
        <w:t>待</w:t>
      </w:r>
      <w:r w:rsidRPr="00430D32">
        <w:rPr>
          <w:rFonts w:ascii="標楷體" w:eastAsia="標楷體" w:hAnsi="標楷體" w:cs="DFKaiShu-SB-Estd-BF" w:hint="eastAsia"/>
          <w:b/>
          <w:sz w:val="28"/>
          <w:szCs w:val="24"/>
        </w:rPr>
        <w:t>督促</w:t>
      </w:r>
      <w:r w:rsidRPr="00430D32">
        <w:rPr>
          <w:rFonts w:ascii="標楷體" w:eastAsia="標楷體" w:hAnsi="標楷體" w:cs="DFKaiShu-SB-Estd-BF"/>
          <w:b/>
          <w:sz w:val="28"/>
          <w:szCs w:val="24"/>
        </w:rPr>
        <w:t>檢討</w:t>
      </w:r>
      <w:r w:rsidRPr="00430D32">
        <w:rPr>
          <w:rFonts w:ascii="標楷體" w:eastAsia="標楷體" w:hAnsi="標楷體" w:cs="DFKaiShu-SB-Estd-BF" w:hint="eastAsia"/>
          <w:b/>
          <w:sz w:val="28"/>
          <w:szCs w:val="24"/>
        </w:rPr>
        <w:t>改善，以提升整體施政績效及品質。</w:t>
      </w:r>
    </w:p>
    <w:p w14:paraId="509E0A5A" w14:textId="4C4E86BB" w:rsidR="00B9064D" w:rsidRPr="00B9064D" w:rsidRDefault="0029756E" w:rsidP="00B9064D">
      <w:pPr>
        <w:overflowPunct w:val="0"/>
        <w:spacing w:line="420" w:lineRule="exact"/>
        <w:ind w:firstLineChars="200" w:firstLine="480"/>
        <w:jc w:val="both"/>
        <w:rPr>
          <w:rFonts w:ascii="標楷體" w:eastAsia="標楷體" w:hAnsi="標楷體" w:cs="DFKaiShu-SB-Estd-BF"/>
          <w:szCs w:val="24"/>
        </w:rPr>
      </w:pPr>
      <w:r w:rsidRPr="00430D32">
        <w:rPr>
          <w:rFonts w:ascii="標楷體" w:eastAsia="標楷體" w:hAnsi="標楷體" w:cs="DFKaiShu-SB-Estd-BF" w:hint="eastAsia"/>
          <w:szCs w:val="24"/>
        </w:rPr>
        <w:t>臺北市政府為落實所屬機關個案計畫執行作業及評核制度，提升施政績效，原訂定「臺北市政府年度個案計畫管制考核作業要點」，規範計畫執行階段選案、管理及考評等作業，</w:t>
      </w:r>
      <w:proofErr w:type="gramStart"/>
      <w:r w:rsidRPr="00430D32">
        <w:rPr>
          <w:rFonts w:ascii="標楷體" w:eastAsia="標楷體" w:hAnsi="標楷體" w:cs="DFKaiShu-SB-Estd-BF" w:hint="eastAsia"/>
          <w:szCs w:val="24"/>
        </w:rPr>
        <w:t>嗣</w:t>
      </w:r>
      <w:proofErr w:type="gramEnd"/>
      <w:r w:rsidRPr="00430D32">
        <w:rPr>
          <w:rFonts w:ascii="標楷體" w:eastAsia="標楷體" w:hAnsi="標楷體" w:cs="DFKaiShu-SB-Estd-BF" w:hint="eastAsia"/>
          <w:szCs w:val="24"/>
        </w:rPr>
        <w:t>考量計畫規劃階段具高度不確定性及變動性，易影響計畫總體期程，亦應納入管制機制，</w:t>
      </w:r>
      <w:proofErr w:type="gramStart"/>
      <w:r w:rsidRPr="00430D32">
        <w:rPr>
          <w:rFonts w:ascii="標楷體" w:eastAsia="標楷體" w:hAnsi="標楷體" w:cs="DFKaiShu-SB-Estd-BF" w:hint="eastAsia"/>
          <w:szCs w:val="24"/>
        </w:rPr>
        <w:t>爰</w:t>
      </w:r>
      <w:proofErr w:type="gramEnd"/>
      <w:r w:rsidRPr="00430D32">
        <w:rPr>
          <w:rFonts w:ascii="標楷體" w:eastAsia="標楷體" w:hAnsi="標楷體" w:cs="DFKaiShu-SB-Estd-BF" w:hint="eastAsia"/>
          <w:szCs w:val="24"/>
        </w:rPr>
        <w:t>於</w:t>
      </w:r>
      <w:r w:rsidRPr="00430D32">
        <w:rPr>
          <w:rFonts w:ascii="標楷體" w:eastAsia="標楷體" w:hAnsi="標楷體" w:cs="DFKaiShu-SB-Estd-BF"/>
          <w:szCs w:val="24"/>
        </w:rPr>
        <w:t>112</w:t>
      </w:r>
      <w:r w:rsidRPr="00430D32">
        <w:rPr>
          <w:rFonts w:ascii="標楷體" w:eastAsia="標楷體" w:hAnsi="標楷體" w:cs="DFKaiShu-SB-Estd-BF" w:hint="eastAsia"/>
          <w:szCs w:val="24"/>
        </w:rPr>
        <w:t>年</w:t>
      </w:r>
      <w:r w:rsidRPr="00430D32">
        <w:rPr>
          <w:rFonts w:ascii="標楷體" w:eastAsia="標楷體" w:hAnsi="標楷體" w:cs="DFKaiShu-SB-Estd-BF"/>
          <w:szCs w:val="24"/>
        </w:rPr>
        <w:t>10</w:t>
      </w:r>
      <w:r w:rsidRPr="00430D32">
        <w:rPr>
          <w:rFonts w:ascii="標楷體" w:eastAsia="標楷體" w:hAnsi="標楷體" w:cs="DFKaiShu-SB-Estd-BF" w:hint="eastAsia"/>
          <w:szCs w:val="24"/>
        </w:rPr>
        <w:t>月</w:t>
      </w:r>
      <w:r w:rsidRPr="00430D32">
        <w:rPr>
          <w:rFonts w:ascii="標楷體" w:eastAsia="標楷體" w:hAnsi="標楷體" w:cs="DFKaiShu-SB-Estd-BF"/>
          <w:szCs w:val="24"/>
        </w:rPr>
        <w:t>5</w:t>
      </w:r>
      <w:r w:rsidRPr="00430D32">
        <w:rPr>
          <w:rFonts w:ascii="標楷體" w:eastAsia="標楷體" w:hAnsi="標楷體" w:cs="DFKaiShu-SB-Estd-BF" w:hint="eastAsia"/>
          <w:szCs w:val="24"/>
        </w:rPr>
        <w:t>日停止適用前揭要點，並於同日</w:t>
      </w:r>
      <w:proofErr w:type="gramStart"/>
      <w:r w:rsidRPr="00430D32">
        <w:rPr>
          <w:rFonts w:ascii="標楷體" w:eastAsia="標楷體" w:hAnsi="標楷體" w:cs="DFKaiShu-SB-Estd-BF" w:hint="eastAsia"/>
          <w:szCs w:val="24"/>
        </w:rPr>
        <w:t>函頒「</w:t>
      </w:r>
      <w:proofErr w:type="gramEnd"/>
      <w:r w:rsidRPr="00430D32">
        <w:rPr>
          <w:rFonts w:ascii="標楷體" w:eastAsia="標楷體" w:hAnsi="標楷體" w:cs="DFKaiShu-SB-Estd-BF" w:hint="eastAsia"/>
          <w:szCs w:val="24"/>
        </w:rPr>
        <w:t>臺北市政府重大計畫管理暨考評作業要點」，整合重大計畫規劃階段及執行階段之管理及考評作業，管制層級分為專案追蹤管制及府管制兩類，並自</w:t>
      </w:r>
      <w:proofErr w:type="gramStart"/>
      <w:r w:rsidRPr="00430D32">
        <w:rPr>
          <w:rFonts w:ascii="標楷體" w:eastAsia="標楷體" w:hAnsi="標楷體" w:cs="DFKaiShu-SB-Estd-BF" w:hint="eastAsia"/>
          <w:szCs w:val="24"/>
        </w:rPr>
        <w:t>113</w:t>
      </w:r>
      <w:proofErr w:type="gramEnd"/>
      <w:r w:rsidRPr="00430D32">
        <w:rPr>
          <w:rFonts w:ascii="標楷體" w:eastAsia="標楷體" w:hAnsi="標楷體" w:cs="DFKaiShu-SB-Estd-BF" w:hint="eastAsia"/>
          <w:szCs w:val="24"/>
        </w:rPr>
        <w:t>年度起適用。臺北市政府</w:t>
      </w:r>
      <w:proofErr w:type="gramStart"/>
      <w:r w:rsidRPr="00430D32">
        <w:rPr>
          <w:rFonts w:ascii="標楷體" w:eastAsia="標楷體" w:hAnsi="標楷體" w:cs="DFKaiShu-SB-Estd-BF" w:hint="eastAsia"/>
          <w:szCs w:val="24"/>
        </w:rPr>
        <w:t>113</w:t>
      </w:r>
      <w:proofErr w:type="gramEnd"/>
      <w:r w:rsidRPr="00430D32">
        <w:rPr>
          <w:rFonts w:ascii="標楷體" w:eastAsia="標楷體" w:hAnsi="標楷體" w:cs="DFKaiShu-SB-Estd-BF" w:hint="eastAsia"/>
          <w:szCs w:val="24"/>
        </w:rPr>
        <w:t>年度列管重大計畫計有8</w:t>
      </w:r>
      <w:r w:rsidRPr="00430D32">
        <w:rPr>
          <w:rFonts w:ascii="標楷體" w:eastAsia="標楷體" w:hAnsi="標楷體" w:cs="DFKaiShu-SB-Estd-BF"/>
          <w:szCs w:val="24"/>
        </w:rPr>
        <w:t>2</w:t>
      </w:r>
      <w:r w:rsidRPr="00430D32">
        <w:rPr>
          <w:rFonts w:ascii="標楷體" w:eastAsia="標楷體" w:hAnsi="標楷體" w:cs="DFKaiShu-SB-Estd-BF" w:hint="eastAsia"/>
          <w:szCs w:val="24"/>
        </w:rPr>
        <w:t>項，包括專案追蹤管制計畫3</w:t>
      </w:r>
      <w:r w:rsidRPr="00430D32">
        <w:rPr>
          <w:rFonts w:ascii="標楷體" w:eastAsia="標楷體" w:hAnsi="標楷體" w:cs="DFKaiShu-SB-Estd-BF"/>
          <w:szCs w:val="24"/>
        </w:rPr>
        <w:t>3</w:t>
      </w:r>
      <w:r w:rsidRPr="00430D32">
        <w:rPr>
          <w:rFonts w:ascii="標楷體" w:eastAsia="標楷體" w:hAnsi="標楷體" w:cs="DFKaiShu-SB-Estd-BF" w:hint="eastAsia"/>
          <w:szCs w:val="24"/>
        </w:rPr>
        <w:t>項，府管制計畫4</w:t>
      </w:r>
      <w:r w:rsidRPr="00430D32">
        <w:rPr>
          <w:rFonts w:ascii="標楷體" w:eastAsia="標楷體" w:hAnsi="標楷體" w:cs="DFKaiShu-SB-Estd-BF"/>
          <w:szCs w:val="24"/>
        </w:rPr>
        <w:t>9</w:t>
      </w:r>
      <w:r w:rsidRPr="00430D32">
        <w:rPr>
          <w:rFonts w:ascii="標楷體" w:eastAsia="標楷體" w:hAnsi="標楷體" w:cs="DFKaiShu-SB-Estd-BF" w:hint="eastAsia"/>
          <w:szCs w:val="24"/>
        </w:rPr>
        <w:t>項，經查該府對重大計畫執行之管制及考評情形，核有：1.屬專案追蹤管制計畫而執行進度落後者，計有殯葬管理處辦理「富德納骨設施擴建工程」等11項；</w:t>
      </w:r>
      <w:proofErr w:type="gramStart"/>
      <w:r w:rsidRPr="00430D32">
        <w:rPr>
          <w:rFonts w:ascii="標楷體" w:eastAsia="標楷體" w:hAnsi="標楷體" w:cs="DFKaiShu-SB-Estd-BF" w:hint="eastAsia"/>
          <w:szCs w:val="24"/>
        </w:rPr>
        <w:t>屬府管制</w:t>
      </w:r>
      <w:proofErr w:type="gramEnd"/>
      <w:r w:rsidRPr="00430D32">
        <w:rPr>
          <w:rFonts w:ascii="標楷體" w:eastAsia="標楷體" w:hAnsi="標楷體" w:cs="DFKaiShu-SB-Estd-BF" w:hint="eastAsia"/>
          <w:szCs w:val="24"/>
        </w:rPr>
        <w:t>計畫而執行進度落後者，計有工務局</w:t>
      </w:r>
      <w:r w:rsidRPr="00430D32">
        <w:rPr>
          <w:rFonts w:ascii="標楷體" w:eastAsia="標楷體" w:hAnsi="標楷體" w:cs="DFKaiShu-SB-Estd-BF"/>
          <w:szCs w:val="24"/>
        </w:rPr>
        <w:t>水利工程處</w:t>
      </w:r>
      <w:r w:rsidRPr="00430D32">
        <w:rPr>
          <w:rFonts w:ascii="標楷體" w:eastAsia="標楷體" w:hAnsi="標楷體" w:cs="DFKaiShu-SB-Estd-BF" w:hint="eastAsia"/>
          <w:szCs w:val="24"/>
        </w:rPr>
        <w:t>辦理「士林官邸北</w:t>
      </w:r>
      <w:proofErr w:type="gramStart"/>
      <w:r w:rsidRPr="00430D32">
        <w:rPr>
          <w:rFonts w:ascii="標楷體" w:eastAsia="標楷體" w:hAnsi="標楷體" w:cs="DFKaiShu-SB-Estd-BF" w:hint="eastAsia"/>
          <w:szCs w:val="24"/>
        </w:rPr>
        <w:t>側滯洪池</w:t>
      </w:r>
      <w:proofErr w:type="gramEnd"/>
      <w:r w:rsidRPr="00430D32">
        <w:rPr>
          <w:rFonts w:ascii="標楷體" w:eastAsia="標楷體" w:hAnsi="標楷體" w:cs="DFKaiShu-SB-Estd-BF" w:hint="eastAsia"/>
          <w:szCs w:val="24"/>
        </w:rPr>
        <w:t>新建工程」等9項；</w:t>
      </w:r>
      <w:proofErr w:type="gramStart"/>
      <w:r w:rsidRPr="00430D32">
        <w:rPr>
          <w:rFonts w:ascii="標楷體" w:eastAsia="標楷體" w:hAnsi="標楷體" w:cs="DFKaiShu-SB-Estd-BF" w:hint="eastAsia"/>
          <w:szCs w:val="24"/>
        </w:rPr>
        <w:t>次查府管制</w:t>
      </w:r>
      <w:proofErr w:type="gramEnd"/>
      <w:r w:rsidRPr="00430D32">
        <w:rPr>
          <w:rFonts w:ascii="標楷體" w:eastAsia="標楷體" w:hAnsi="標楷體" w:cs="DFKaiShu-SB-Estd-BF" w:hint="eastAsia"/>
          <w:szCs w:val="24"/>
        </w:rPr>
        <w:t>計畫4</w:t>
      </w:r>
      <w:r w:rsidRPr="00430D32">
        <w:rPr>
          <w:rFonts w:ascii="標楷體" w:eastAsia="標楷體" w:hAnsi="標楷體" w:cs="DFKaiShu-SB-Estd-BF"/>
          <w:szCs w:val="24"/>
        </w:rPr>
        <w:t>9</w:t>
      </w:r>
      <w:r w:rsidRPr="00430D32">
        <w:rPr>
          <w:rFonts w:ascii="標楷體" w:eastAsia="標楷體" w:hAnsi="標楷體" w:cs="DFKaiShu-SB-Estd-BF" w:hint="eastAsia"/>
          <w:szCs w:val="24"/>
        </w:rPr>
        <w:t>項，扣除殯葬管理處辦理「第二殯儀館第二期整建計畫」等6項執行期間未達6個月且已完成，免予考評，及財政局辦理「動物園生態園區地下共構工程」等3項，</w:t>
      </w:r>
      <w:proofErr w:type="gramStart"/>
      <w:r w:rsidRPr="00430D32">
        <w:rPr>
          <w:rFonts w:ascii="標楷體" w:eastAsia="標楷體" w:hAnsi="標楷體" w:cs="DFKaiShu-SB-Estd-BF" w:hint="eastAsia"/>
          <w:szCs w:val="24"/>
        </w:rPr>
        <w:t>113</w:t>
      </w:r>
      <w:proofErr w:type="gramEnd"/>
      <w:r w:rsidRPr="00430D32">
        <w:rPr>
          <w:rFonts w:ascii="標楷體" w:eastAsia="標楷體" w:hAnsi="標楷體" w:cs="DFKaiShu-SB-Estd-BF" w:hint="eastAsia"/>
          <w:szCs w:val="24"/>
        </w:rPr>
        <w:t>年度未編列預算外，餘40項之年度預算執行率，其中未達80％者，計有市場處辦理「環南市場改建工程」等15項，其中9項年度預算</w:t>
      </w:r>
      <w:proofErr w:type="gramStart"/>
      <w:r w:rsidRPr="00430D32">
        <w:rPr>
          <w:rFonts w:ascii="標楷體" w:eastAsia="標楷體" w:hAnsi="標楷體" w:cs="DFKaiShu-SB-Estd-BF" w:hint="eastAsia"/>
          <w:szCs w:val="24"/>
        </w:rPr>
        <w:t>執行率甚未達</w:t>
      </w:r>
      <w:proofErr w:type="gramEnd"/>
      <w:r w:rsidRPr="00430D32">
        <w:rPr>
          <w:rFonts w:ascii="標楷體" w:eastAsia="標楷體" w:hAnsi="標楷體" w:cs="DFKaiShu-SB-Estd-BF" w:hint="eastAsia"/>
          <w:szCs w:val="24"/>
        </w:rPr>
        <w:t>50％；2.府管制計畫49項，扣除前揭6項免予考評外，餘43項經臺北市政府考評結果，優等9項（20.93％）、甲等21項（48.84％）、乙等12項（27.91％）、丙等1項（2.32％），其中評核乙等以下者13項、比率30.23％，較</w:t>
      </w:r>
      <w:proofErr w:type="gramStart"/>
      <w:r w:rsidRPr="00430D32">
        <w:rPr>
          <w:rFonts w:ascii="標楷體" w:eastAsia="標楷體" w:hAnsi="標楷體" w:cs="DFKaiShu-SB-Estd-BF" w:hint="eastAsia"/>
          <w:szCs w:val="24"/>
        </w:rPr>
        <w:t>112</w:t>
      </w:r>
      <w:proofErr w:type="gramEnd"/>
      <w:r w:rsidRPr="00430D32">
        <w:rPr>
          <w:rFonts w:ascii="標楷體" w:eastAsia="標楷體" w:hAnsi="標楷體" w:cs="DFKaiShu-SB-Estd-BF" w:hint="eastAsia"/>
          <w:szCs w:val="24"/>
        </w:rPr>
        <w:t>年度評核乙等以下者21項、比率42.86％，項數及比率均減少，惟市場處辦理環南市場改建工程等7項計畫（表</w:t>
      </w:r>
      <w:r w:rsidRPr="00430D32">
        <w:rPr>
          <w:rFonts w:ascii="標楷體" w:eastAsia="標楷體" w:hAnsi="標楷體" w:cs="DFKaiShu-SB-Estd-BF"/>
          <w:szCs w:val="24"/>
        </w:rPr>
        <w:t>3</w:t>
      </w:r>
      <w:r w:rsidRPr="00430D32">
        <w:rPr>
          <w:rFonts w:ascii="標楷體" w:eastAsia="標楷體" w:hAnsi="標楷體" w:cs="DFKaiShu-SB-Estd-BF" w:hint="eastAsia"/>
          <w:szCs w:val="24"/>
        </w:rPr>
        <w:t>），</w:t>
      </w:r>
      <w:proofErr w:type="gramStart"/>
      <w:r w:rsidRPr="00430D32">
        <w:rPr>
          <w:rFonts w:ascii="標楷體" w:eastAsia="標楷體" w:hAnsi="標楷體" w:cs="DFKaiShu-SB-Estd-BF" w:hint="eastAsia"/>
          <w:szCs w:val="24"/>
        </w:rPr>
        <w:t>113</w:t>
      </w:r>
      <w:proofErr w:type="gramEnd"/>
      <w:r w:rsidRPr="00430D32">
        <w:rPr>
          <w:rFonts w:ascii="標楷體" w:eastAsia="標楷體" w:hAnsi="標楷體" w:cs="DFKaiShu-SB-Estd-BF" w:hint="eastAsia"/>
          <w:szCs w:val="24"/>
        </w:rPr>
        <w:t>年度評核等第較</w:t>
      </w:r>
      <w:proofErr w:type="gramStart"/>
      <w:r w:rsidRPr="00430D32">
        <w:rPr>
          <w:rFonts w:ascii="標楷體" w:eastAsia="標楷體" w:hAnsi="標楷體" w:cs="DFKaiShu-SB-Estd-BF" w:hint="eastAsia"/>
          <w:szCs w:val="24"/>
        </w:rPr>
        <w:t>112</w:t>
      </w:r>
      <w:proofErr w:type="gramEnd"/>
      <w:r w:rsidRPr="00430D32">
        <w:rPr>
          <w:rFonts w:ascii="標楷體" w:eastAsia="標楷體" w:hAnsi="標楷體" w:cs="DFKaiShu-SB-Estd-BF" w:hint="eastAsia"/>
          <w:szCs w:val="24"/>
        </w:rPr>
        <w:t>年度退步；另都市發展局辦理信義區三興段資源回收廠社會住宅新建工程等5項計畫，連續2個年度評核結果皆為乙等或未達乙等（表</w:t>
      </w:r>
      <w:r w:rsidRPr="00430D32">
        <w:rPr>
          <w:rFonts w:ascii="標楷體" w:eastAsia="標楷體" w:hAnsi="標楷體" w:cs="DFKaiShu-SB-Estd-BF"/>
          <w:szCs w:val="24"/>
        </w:rPr>
        <w:t>4</w:t>
      </w:r>
      <w:r w:rsidRPr="00430D32">
        <w:rPr>
          <w:rFonts w:ascii="標楷體" w:eastAsia="標楷體" w:hAnsi="標楷體" w:cs="DFKaiShu-SB-Estd-BF" w:hint="eastAsia"/>
          <w:szCs w:val="24"/>
        </w:rPr>
        <w:t>），經函請臺北市政府督促檢討改善。據復：1.</w:t>
      </w:r>
      <w:r w:rsidRPr="00430D32">
        <w:rPr>
          <w:rFonts w:ascii="標楷體" w:eastAsia="標楷體" w:hAnsi="標楷體" w:cs="DFKaiShu-SB-Estd-BF" w:hint="eastAsia"/>
        </w:rPr>
        <w:t>就執行進度落後或預算執行欠佳計畫，將敦促計畫主辦機關積極檢討改善，以提升施政效能</w:t>
      </w:r>
      <w:r w:rsidRPr="00430D32">
        <w:rPr>
          <w:rFonts w:ascii="標楷體" w:eastAsia="標楷體" w:hAnsi="標楷體" w:cs="DFKaiShu-SB-Estd-BF" w:hint="eastAsia"/>
          <w:szCs w:val="24"/>
        </w:rPr>
        <w:t>；2.將持續依權責</w:t>
      </w:r>
      <w:proofErr w:type="gramStart"/>
      <w:r w:rsidRPr="00430D32">
        <w:rPr>
          <w:rFonts w:ascii="標楷體" w:eastAsia="標楷體" w:hAnsi="標楷體" w:cs="DFKaiShu-SB-Estd-BF" w:hint="eastAsia"/>
          <w:szCs w:val="24"/>
        </w:rPr>
        <w:t>於列管期間，</w:t>
      </w:r>
      <w:proofErr w:type="gramEnd"/>
      <w:r w:rsidRPr="00430D32">
        <w:rPr>
          <w:rFonts w:ascii="標楷體" w:eastAsia="標楷體" w:hAnsi="標楷體" w:cs="DFKaiShu-SB-Estd-BF" w:hint="eastAsia"/>
          <w:szCs w:val="24"/>
        </w:rPr>
        <w:t>建立三級管考機制、里程碑管制機制、落後會議檢討作為，並納入前期作業、施工作業及營運作業階段之管制範圍，以期確</w:t>
      </w:r>
      <w:r w:rsidR="00B9064D" w:rsidRPr="00430D32">
        <w:rPr>
          <w:rFonts w:ascii="標楷體" w:eastAsia="標楷體" w:hAnsi="標楷體" w:cs="DFKaiShu-SB-Estd-BF" w:hint="eastAsia"/>
          <w:szCs w:val="24"/>
        </w:rPr>
        <w:t>保計畫如期如質完工，提升執行成效</w:t>
      </w:r>
      <w:r w:rsidR="00B9064D">
        <w:rPr>
          <w:rFonts w:ascii="標楷體" w:eastAsia="標楷體" w:hAnsi="標楷體" w:cs="DFKaiShu-SB-Estd-BF" w:hint="eastAsia"/>
          <w:szCs w:val="24"/>
        </w:rPr>
        <w:t>。</w:t>
      </w:r>
    </w:p>
    <w:p w14:paraId="08C343D3" w14:textId="016AFA24" w:rsidR="0029756E" w:rsidRPr="00430D32" w:rsidRDefault="00CE13E2" w:rsidP="002F0729">
      <w:pPr>
        <w:overflowPunct w:val="0"/>
        <w:spacing w:line="460" w:lineRule="exact"/>
        <w:ind w:firstLineChars="100" w:firstLine="320"/>
        <w:jc w:val="both"/>
        <w:rPr>
          <w:rFonts w:ascii="標楷體" w:eastAsia="標楷體" w:hAnsi="標楷體"/>
          <w:b/>
          <w:sz w:val="28"/>
          <w:szCs w:val="32"/>
        </w:rPr>
      </w:pPr>
      <w:r w:rsidRPr="00430D32">
        <w:rPr>
          <w:rFonts w:hAnsi="標楷體"/>
          <w:b/>
          <w:noProof/>
          <w:spacing w:val="-12"/>
          <w:sz w:val="32"/>
          <w:szCs w:val="32"/>
        </w:rPr>
        <w:lastRenderedPageBreak/>
        <mc:AlternateContent>
          <mc:Choice Requires="wps">
            <w:drawing>
              <wp:anchor distT="45720" distB="45720" distL="114300" distR="114300" simplePos="0" relativeHeight="251803648" behindDoc="0" locked="0" layoutInCell="1" allowOverlap="1" wp14:anchorId="3DF7C42C" wp14:editId="26C237F7">
                <wp:simplePos x="0" y="0"/>
                <wp:positionH relativeFrom="column">
                  <wp:posOffset>-172720</wp:posOffset>
                </wp:positionH>
                <wp:positionV relativeFrom="page">
                  <wp:posOffset>3484880</wp:posOffset>
                </wp:positionV>
                <wp:extent cx="6711315" cy="2130425"/>
                <wp:effectExtent l="0" t="0" r="0" b="3175"/>
                <wp:wrapTopAndBottom/>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1315" cy="2130425"/>
                        </a:xfrm>
                        <a:prstGeom prst="rect">
                          <a:avLst/>
                        </a:prstGeom>
                        <a:solidFill>
                          <a:srgbClr val="FFFFFF"/>
                        </a:solidFill>
                        <a:ln w="9525">
                          <a:noFill/>
                          <a:miter lim="800000"/>
                          <a:headEnd/>
                          <a:tailEnd/>
                        </a:ln>
                      </wps:spPr>
                      <wps:txbx>
                        <w:txbxContent>
                          <w:p w14:paraId="0FEA75DC" w14:textId="77777777" w:rsidR="0029756E" w:rsidRPr="003307CD" w:rsidRDefault="0029756E" w:rsidP="0029756E">
                            <w:pPr>
                              <w:jc w:val="center"/>
                              <w:rPr>
                                <w:rFonts w:ascii="標楷體" w:eastAsia="標楷體" w:hAnsi="標楷體"/>
                                <w:b/>
                              </w:rPr>
                            </w:pPr>
                            <w:r w:rsidRPr="003307CD">
                              <w:rPr>
                                <w:rFonts w:ascii="標楷體" w:eastAsia="標楷體" w:hAnsi="標楷體" w:hint="eastAsia"/>
                                <w:b/>
                              </w:rPr>
                              <w:t>表</w:t>
                            </w:r>
                            <w:r>
                              <w:rPr>
                                <w:rFonts w:ascii="標楷體" w:eastAsia="標楷體" w:hAnsi="標楷體"/>
                                <w:b/>
                              </w:rPr>
                              <w:t>4</w:t>
                            </w:r>
                            <w:r w:rsidRPr="003307CD">
                              <w:rPr>
                                <w:rFonts w:ascii="標楷體" w:eastAsia="標楷體" w:hAnsi="標楷體"/>
                                <w:b/>
                              </w:rPr>
                              <w:t xml:space="preserve">  </w:t>
                            </w:r>
                            <w:r w:rsidRPr="003307CD">
                              <w:rPr>
                                <w:rFonts w:ascii="標楷體" w:eastAsia="標楷體" w:hAnsi="標楷體" w:hint="eastAsia"/>
                                <w:b/>
                              </w:rPr>
                              <w:t>府管制</w:t>
                            </w:r>
                            <w:r>
                              <w:rPr>
                                <w:rFonts w:ascii="標楷體" w:eastAsia="標楷體" w:hAnsi="標楷體" w:hint="eastAsia"/>
                                <w:b/>
                              </w:rPr>
                              <w:t>計畫連續</w:t>
                            </w:r>
                            <w:proofErr w:type="gramStart"/>
                            <w:r>
                              <w:rPr>
                                <w:rFonts w:ascii="標楷體" w:eastAsia="標楷體" w:hAnsi="標楷體" w:hint="eastAsia"/>
                                <w:b/>
                              </w:rPr>
                              <w:t>2</w:t>
                            </w:r>
                            <w:proofErr w:type="gramEnd"/>
                            <w:r w:rsidRPr="003307CD">
                              <w:rPr>
                                <w:rFonts w:ascii="標楷體" w:eastAsia="標楷體" w:hAnsi="標楷體" w:hint="eastAsia"/>
                                <w:b/>
                              </w:rPr>
                              <w:t>年度考</w:t>
                            </w:r>
                            <w:r>
                              <w:rPr>
                                <w:rFonts w:ascii="標楷體" w:eastAsia="標楷體" w:hAnsi="標楷體" w:hint="eastAsia"/>
                                <w:b/>
                              </w:rPr>
                              <w:t>列乙等以下情形</w:t>
                            </w:r>
                          </w:p>
                          <w:tbl>
                            <w:tblPr>
                              <w:tblStyle w:val="a6"/>
                              <w:tblW w:w="10318" w:type="dxa"/>
                              <w:tblInd w:w="-89" w:type="dxa"/>
                              <w:tblLook w:val="04A0" w:firstRow="1" w:lastRow="0" w:firstColumn="1" w:lastColumn="0" w:noHBand="0" w:noVBand="1"/>
                            </w:tblPr>
                            <w:tblGrid>
                              <w:gridCol w:w="567"/>
                              <w:gridCol w:w="1304"/>
                              <w:gridCol w:w="2268"/>
                              <w:gridCol w:w="4365"/>
                              <w:gridCol w:w="907"/>
                              <w:gridCol w:w="907"/>
                            </w:tblGrid>
                            <w:tr w:rsidR="00B9064D" w14:paraId="6618941B" w14:textId="77777777" w:rsidTr="00CE13E2">
                              <w:trPr>
                                <w:trHeight w:val="20"/>
                              </w:trPr>
                              <w:tc>
                                <w:tcPr>
                                  <w:tcW w:w="567" w:type="dxa"/>
                                  <w:vMerge w:val="restart"/>
                                  <w:vAlign w:val="center"/>
                                </w:tcPr>
                                <w:p w14:paraId="30B83A56"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項次</w:t>
                                  </w:r>
                                </w:p>
                              </w:tc>
                              <w:tc>
                                <w:tcPr>
                                  <w:tcW w:w="1304" w:type="dxa"/>
                                  <w:vMerge w:val="restart"/>
                                  <w:vAlign w:val="center"/>
                                </w:tcPr>
                                <w:p w14:paraId="26A2BEAC"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主管機關</w:t>
                                  </w:r>
                                </w:p>
                              </w:tc>
                              <w:tc>
                                <w:tcPr>
                                  <w:tcW w:w="2268" w:type="dxa"/>
                                  <w:vMerge w:val="restart"/>
                                  <w:vAlign w:val="center"/>
                                </w:tcPr>
                                <w:p w14:paraId="4C79A69F"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主辦機關單位</w:t>
                                  </w:r>
                                </w:p>
                              </w:tc>
                              <w:tc>
                                <w:tcPr>
                                  <w:tcW w:w="4365" w:type="dxa"/>
                                  <w:vMerge w:val="restart"/>
                                  <w:vAlign w:val="center"/>
                                </w:tcPr>
                                <w:p w14:paraId="71FA0F4E"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計畫名稱</w:t>
                                  </w:r>
                                </w:p>
                              </w:tc>
                              <w:tc>
                                <w:tcPr>
                                  <w:tcW w:w="1814" w:type="dxa"/>
                                  <w:gridSpan w:val="2"/>
                                  <w:vAlign w:val="center"/>
                                </w:tcPr>
                                <w:p w14:paraId="212A129B"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評核等第</w:t>
                                  </w:r>
                                </w:p>
                              </w:tc>
                            </w:tr>
                            <w:tr w:rsidR="00CE13E2" w14:paraId="1FD4C6B8" w14:textId="77777777" w:rsidTr="00CE13E2">
                              <w:trPr>
                                <w:trHeight w:val="20"/>
                              </w:trPr>
                              <w:tc>
                                <w:tcPr>
                                  <w:tcW w:w="567" w:type="dxa"/>
                                  <w:vMerge/>
                                  <w:vAlign w:val="center"/>
                                </w:tcPr>
                                <w:p w14:paraId="57F6BACE" w14:textId="77777777" w:rsidR="0029756E" w:rsidRPr="00B9064D" w:rsidRDefault="0029756E" w:rsidP="00B9064D">
                                  <w:pPr>
                                    <w:spacing w:line="240" w:lineRule="exact"/>
                                    <w:jc w:val="center"/>
                                    <w:rPr>
                                      <w:rFonts w:ascii="標楷體" w:eastAsia="標楷體" w:hAnsi="標楷體"/>
                                    </w:rPr>
                                  </w:pPr>
                                </w:p>
                              </w:tc>
                              <w:tc>
                                <w:tcPr>
                                  <w:tcW w:w="1304" w:type="dxa"/>
                                  <w:vMerge/>
                                  <w:vAlign w:val="center"/>
                                </w:tcPr>
                                <w:p w14:paraId="2F69595D" w14:textId="77777777" w:rsidR="0029756E" w:rsidRPr="00B9064D" w:rsidRDefault="0029756E" w:rsidP="00B9064D">
                                  <w:pPr>
                                    <w:spacing w:line="240" w:lineRule="exact"/>
                                    <w:jc w:val="center"/>
                                    <w:rPr>
                                      <w:rFonts w:ascii="標楷體" w:eastAsia="標楷體" w:hAnsi="標楷體"/>
                                    </w:rPr>
                                  </w:pPr>
                                </w:p>
                              </w:tc>
                              <w:tc>
                                <w:tcPr>
                                  <w:tcW w:w="2268" w:type="dxa"/>
                                  <w:vMerge/>
                                  <w:vAlign w:val="center"/>
                                </w:tcPr>
                                <w:p w14:paraId="7796072B" w14:textId="77777777" w:rsidR="0029756E" w:rsidRPr="00B9064D" w:rsidRDefault="0029756E" w:rsidP="00B9064D">
                                  <w:pPr>
                                    <w:spacing w:line="240" w:lineRule="exact"/>
                                    <w:jc w:val="center"/>
                                    <w:rPr>
                                      <w:rFonts w:ascii="標楷體" w:eastAsia="標楷體" w:hAnsi="標楷體"/>
                                    </w:rPr>
                                  </w:pPr>
                                </w:p>
                              </w:tc>
                              <w:tc>
                                <w:tcPr>
                                  <w:tcW w:w="4365" w:type="dxa"/>
                                  <w:vMerge/>
                                  <w:vAlign w:val="center"/>
                                </w:tcPr>
                                <w:p w14:paraId="519DFA46" w14:textId="77777777" w:rsidR="0029756E" w:rsidRPr="00B9064D" w:rsidRDefault="0029756E" w:rsidP="00B9064D">
                                  <w:pPr>
                                    <w:spacing w:line="240" w:lineRule="exact"/>
                                    <w:jc w:val="center"/>
                                    <w:rPr>
                                      <w:rFonts w:ascii="標楷體" w:eastAsia="標楷體" w:hAnsi="標楷體"/>
                                    </w:rPr>
                                  </w:pPr>
                                </w:p>
                              </w:tc>
                              <w:tc>
                                <w:tcPr>
                                  <w:tcW w:w="907" w:type="dxa"/>
                                  <w:vAlign w:val="center"/>
                                </w:tcPr>
                                <w:p w14:paraId="349740CC" w14:textId="77777777" w:rsidR="0029756E" w:rsidRPr="00B9064D" w:rsidRDefault="0029756E" w:rsidP="00B9064D">
                                  <w:pPr>
                                    <w:spacing w:line="240" w:lineRule="exact"/>
                                    <w:jc w:val="center"/>
                                    <w:rPr>
                                      <w:rFonts w:ascii="標楷體" w:eastAsia="標楷體" w:hAnsi="標楷體"/>
                                      <w:spacing w:val="-14"/>
                                    </w:rPr>
                                  </w:pPr>
                                  <w:proofErr w:type="gramStart"/>
                                  <w:r w:rsidRPr="00B9064D">
                                    <w:rPr>
                                      <w:rFonts w:ascii="標楷體" w:eastAsia="標楷體" w:hAnsi="標楷體" w:hint="eastAsia"/>
                                      <w:spacing w:val="-14"/>
                                    </w:rPr>
                                    <w:t>1</w:t>
                                  </w:r>
                                  <w:r w:rsidRPr="00B9064D">
                                    <w:rPr>
                                      <w:rFonts w:ascii="標楷體" w:eastAsia="標楷體" w:hAnsi="標楷體"/>
                                      <w:spacing w:val="-14"/>
                                    </w:rPr>
                                    <w:t>12</w:t>
                                  </w:r>
                                  <w:proofErr w:type="gramEnd"/>
                                  <w:r w:rsidRPr="00B9064D">
                                    <w:rPr>
                                      <w:rFonts w:ascii="標楷體" w:eastAsia="標楷體" w:hAnsi="標楷體" w:hint="eastAsia"/>
                                      <w:spacing w:val="-14"/>
                                    </w:rPr>
                                    <w:t>年度</w:t>
                                  </w:r>
                                </w:p>
                              </w:tc>
                              <w:tc>
                                <w:tcPr>
                                  <w:tcW w:w="907" w:type="dxa"/>
                                  <w:vAlign w:val="center"/>
                                </w:tcPr>
                                <w:p w14:paraId="299DA522" w14:textId="77777777" w:rsidR="0029756E" w:rsidRPr="00B9064D" w:rsidRDefault="0029756E" w:rsidP="00B9064D">
                                  <w:pPr>
                                    <w:spacing w:line="240" w:lineRule="exact"/>
                                    <w:jc w:val="center"/>
                                    <w:rPr>
                                      <w:rFonts w:ascii="標楷體" w:eastAsia="標楷體" w:hAnsi="標楷體"/>
                                      <w:spacing w:val="-14"/>
                                    </w:rPr>
                                  </w:pPr>
                                  <w:proofErr w:type="gramStart"/>
                                  <w:r w:rsidRPr="00B9064D">
                                    <w:rPr>
                                      <w:rFonts w:ascii="標楷體" w:eastAsia="標楷體" w:hAnsi="標楷體" w:hint="eastAsia"/>
                                      <w:spacing w:val="-14"/>
                                    </w:rPr>
                                    <w:t>1</w:t>
                                  </w:r>
                                  <w:r w:rsidRPr="00B9064D">
                                    <w:rPr>
                                      <w:rFonts w:ascii="標楷體" w:eastAsia="標楷體" w:hAnsi="標楷體"/>
                                      <w:spacing w:val="-14"/>
                                    </w:rPr>
                                    <w:t>13</w:t>
                                  </w:r>
                                  <w:proofErr w:type="gramEnd"/>
                                  <w:r w:rsidRPr="00B9064D">
                                    <w:rPr>
                                      <w:rFonts w:ascii="標楷體" w:eastAsia="標楷體" w:hAnsi="標楷體" w:hint="eastAsia"/>
                                      <w:spacing w:val="-14"/>
                                    </w:rPr>
                                    <w:t>年度</w:t>
                                  </w:r>
                                </w:p>
                              </w:tc>
                            </w:tr>
                            <w:tr w:rsidR="00CE13E2" w14:paraId="1D04AA8A" w14:textId="77777777" w:rsidTr="00CE13E2">
                              <w:trPr>
                                <w:trHeight w:val="20"/>
                              </w:trPr>
                              <w:tc>
                                <w:tcPr>
                                  <w:tcW w:w="567" w:type="dxa"/>
                                  <w:vAlign w:val="center"/>
                                </w:tcPr>
                                <w:p w14:paraId="40D8519E"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1</w:t>
                                  </w:r>
                                </w:p>
                              </w:tc>
                              <w:tc>
                                <w:tcPr>
                                  <w:tcW w:w="1304" w:type="dxa"/>
                                  <w:vAlign w:val="center"/>
                                </w:tcPr>
                                <w:p w14:paraId="45BFECE5" w14:textId="77777777" w:rsidR="0029756E" w:rsidRPr="00B9064D" w:rsidRDefault="0029756E" w:rsidP="00B9064D">
                                  <w:pPr>
                                    <w:spacing w:line="240" w:lineRule="exact"/>
                                    <w:jc w:val="both"/>
                                    <w:rPr>
                                      <w:rFonts w:ascii="標楷體" w:eastAsia="標楷體" w:hAnsi="標楷體"/>
                                      <w:color w:val="000000"/>
                                      <w:spacing w:val="-4"/>
                                    </w:rPr>
                                  </w:pPr>
                                  <w:r w:rsidRPr="00B9064D">
                                    <w:rPr>
                                      <w:rFonts w:ascii="標楷體" w:eastAsia="標楷體" w:hAnsi="標楷體" w:hint="eastAsia"/>
                                      <w:color w:val="000000"/>
                                      <w:spacing w:val="-4"/>
                                    </w:rPr>
                                    <w:t>都市發展局</w:t>
                                  </w:r>
                                </w:p>
                              </w:tc>
                              <w:tc>
                                <w:tcPr>
                                  <w:tcW w:w="2268" w:type="dxa"/>
                                  <w:vAlign w:val="center"/>
                                </w:tcPr>
                                <w:p w14:paraId="6EEFE681"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都市發展局</w:t>
                                  </w:r>
                                </w:p>
                              </w:tc>
                              <w:tc>
                                <w:tcPr>
                                  <w:tcW w:w="4365" w:type="dxa"/>
                                  <w:vAlign w:val="center"/>
                                </w:tcPr>
                                <w:p w14:paraId="046AD07D" w14:textId="77777777" w:rsidR="0029756E" w:rsidRPr="00B9064D" w:rsidRDefault="0029756E" w:rsidP="00B9064D">
                                  <w:pPr>
                                    <w:spacing w:line="240" w:lineRule="exact"/>
                                    <w:jc w:val="both"/>
                                    <w:rPr>
                                      <w:rFonts w:ascii="標楷體" w:eastAsia="標楷體" w:hAnsi="標楷體"/>
                                    </w:rPr>
                                  </w:pPr>
                                  <w:r w:rsidRPr="00B9064D">
                                    <w:rPr>
                                      <w:rFonts w:ascii="標楷體" w:eastAsia="標楷體" w:hAnsi="標楷體" w:hint="eastAsia"/>
                                      <w:color w:val="000000"/>
                                    </w:rPr>
                                    <w:t>信義區三興段資源回收廠社會住宅新建工程</w:t>
                                  </w:r>
                                </w:p>
                              </w:tc>
                              <w:tc>
                                <w:tcPr>
                                  <w:tcW w:w="907" w:type="dxa"/>
                                  <w:vAlign w:val="center"/>
                                </w:tcPr>
                                <w:p w14:paraId="10CCF500"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c>
                                <w:tcPr>
                                  <w:tcW w:w="907" w:type="dxa"/>
                                  <w:vAlign w:val="center"/>
                                </w:tcPr>
                                <w:p w14:paraId="21DFAD36"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r>
                            <w:tr w:rsidR="00CE13E2" w14:paraId="4F443B77" w14:textId="77777777" w:rsidTr="00CE13E2">
                              <w:trPr>
                                <w:trHeight w:val="20"/>
                              </w:trPr>
                              <w:tc>
                                <w:tcPr>
                                  <w:tcW w:w="567" w:type="dxa"/>
                                  <w:vAlign w:val="center"/>
                                </w:tcPr>
                                <w:p w14:paraId="570F3344"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2</w:t>
                                  </w:r>
                                </w:p>
                              </w:tc>
                              <w:tc>
                                <w:tcPr>
                                  <w:tcW w:w="1304" w:type="dxa"/>
                                  <w:vAlign w:val="center"/>
                                </w:tcPr>
                                <w:p w14:paraId="7D2EAE50"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文化局</w:t>
                                  </w:r>
                                </w:p>
                              </w:tc>
                              <w:tc>
                                <w:tcPr>
                                  <w:tcW w:w="2268" w:type="dxa"/>
                                  <w:vAlign w:val="center"/>
                                </w:tcPr>
                                <w:p w14:paraId="02E22183"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市立美術館</w:t>
                                  </w:r>
                                </w:p>
                              </w:tc>
                              <w:tc>
                                <w:tcPr>
                                  <w:tcW w:w="4365" w:type="dxa"/>
                                  <w:vAlign w:val="center"/>
                                </w:tcPr>
                                <w:p w14:paraId="382C482D" w14:textId="77777777" w:rsidR="0029756E" w:rsidRPr="00B9064D" w:rsidRDefault="0029756E" w:rsidP="00B9064D">
                                  <w:pPr>
                                    <w:spacing w:line="240" w:lineRule="exact"/>
                                    <w:jc w:val="both"/>
                                    <w:rPr>
                                      <w:rFonts w:ascii="標楷體" w:eastAsia="標楷體" w:hAnsi="標楷體"/>
                                    </w:rPr>
                                  </w:pPr>
                                  <w:r w:rsidRPr="00B9064D">
                                    <w:rPr>
                                      <w:rFonts w:ascii="標楷體" w:eastAsia="標楷體" w:hAnsi="標楷體" w:hint="eastAsia"/>
                                      <w:color w:val="000000"/>
                                    </w:rPr>
                                    <w:t>臺北市立美術館典藏庫房新建暨南進門改善統包工程</w:t>
                                  </w:r>
                                </w:p>
                              </w:tc>
                              <w:tc>
                                <w:tcPr>
                                  <w:tcW w:w="907" w:type="dxa"/>
                                  <w:vAlign w:val="center"/>
                                </w:tcPr>
                                <w:p w14:paraId="15D9B8ED"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c>
                                <w:tcPr>
                                  <w:tcW w:w="907" w:type="dxa"/>
                                  <w:vAlign w:val="center"/>
                                </w:tcPr>
                                <w:p w14:paraId="5C9806A8"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r>
                            <w:tr w:rsidR="00CE13E2" w14:paraId="5ABCDCEF" w14:textId="77777777" w:rsidTr="00CE13E2">
                              <w:trPr>
                                <w:trHeight w:val="20"/>
                              </w:trPr>
                              <w:tc>
                                <w:tcPr>
                                  <w:tcW w:w="567" w:type="dxa"/>
                                  <w:vAlign w:val="center"/>
                                </w:tcPr>
                                <w:p w14:paraId="07AA154F"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3</w:t>
                                  </w:r>
                                </w:p>
                              </w:tc>
                              <w:tc>
                                <w:tcPr>
                                  <w:tcW w:w="1304" w:type="dxa"/>
                                  <w:vAlign w:val="center"/>
                                </w:tcPr>
                                <w:p w14:paraId="23001958"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體育局</w:t>
                                  </w:r>
                                </w:p>
                              </w:tc>
                              <w:tc>
                                <w:tcPr>
                                  <w:tcW w:w="2268" w:type="dxa"/>
                                  <w:vAlign w:val="center"/>
                                </w:tcPr>
                                <w:p w14:paraId="55D90DCC"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體育局</w:t>
                                  </w:r>
                                </w:p>
                              </w:tc>
                              <w:tc>
                                <w:tcPr>
                                  <w:tcW w:w="4365" w:type="dxa"/>
                                  <w:vAlign w:val="center"/>
                                </w:tcPr>
                                <w:p w14:paraId="02F33A3B" w14:textId="77777777" w:rsidR="0029756E" w:rsidRPr="00B9064D" w:rsidRDefault="0029756E" w:rsidP="00B9064D">
                                  <w:pPr>
                                    <w:spacing w:line="240" w:lineRule="exact"/>
                                    <w:jc w:val="both"/>
                                    <w:rPr>
                                      <w:rFonts w:ascii="標楷體" w:eastAsia="標楷體" w:hAnsi="標楷體"/>
                                    </w:rPr>
                                  </w:pPr>
                                  <w:r w:rsidRPr="00B9064D">
                                    <w:rPr>
                                      <w:rFonts w:ascii="標楷體" w:eastAsia="標楷體" w:hAnsi="標楷體" w:hint="eastAsia"/>
                                      <w:color w:val="000000"/>
                                    </w:rPr>
                                    <w:t>克強公園游泳池改建全民</w:t>
                                  </w:r>
                                  <w:proofErr w:type="gramStart"/>
                                  <w:r w:rsidRPr="00B9064D">
                                    <w:rPr>
                                      <w:rFonts w:ascii="標楷體" w:eastAsia="標楷體" w:hAnsi="標楷體" w:hint="eastAsia"/>
                                      <w:color w:val="000000"/>
                                    </w:rPr>
                                    <w:t>運動館統包</w:t>
                                  </w:r>
                                  <w:proofErr w:type="gramEnd"/>
                                  <w:r w:rsidRPr="00B9064D">
                                    <w:rPr>
                                      <w:rFonts w:ascii="標楷體" w:eastAsia="標楷體" w:hAnsi="標楷體" w:hint="eastAsia"/>
                                      <w:color w:val="000000"/>
                                    </w:rPr>
                                    <w:t>工程</w:t>
                                  </w:r>
                                </w:p>
                              </w:tc>
                              <w:tc>
                                <w:tcPr>
                                  <w:tcW w:w="907" w:type="dxa"/>
                                  <w:vAlign w:val="center"/>
                                </w:tcPr>
                                <w:p w14:paraId="480DAB38"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c>
                                <w:tcPr>
                                  <w:tcW w:w="907" w:type="dxa"/>
                                  <w:vAlign w:val="center"/>
                                </w:tcPr>
                                <w:p w14:paraId="4F6E6F9E"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r>
                            <w:tr w:rsidR="00CE13E2" w14:paraId="047B38A5" w14:textId="77777777" w:rsidTr="00CE13E2">
                              <w:trPr>
                                <w:trHeight w:val="20"/>
                              </w:trPr>
                              <w:tc>
                                <w:tcPr>
                                  <w:tcW w:w="567" w:type="dxa"/>
                                  <w:vAlign w:val="center"/>
                                </w:tcPr>
                                <w:p w14:paraId="1A74A32E"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4</w:t>
                                  </w:r>
                                </w:p>
                              </w:tc>
                              <w:tc>
                                <w:tcPr>
                                  <w:tcW w:w="1304" w:type="dxa"/>
                                  <w:vAlign w:val="center"/>
                                </w:tcPr>
                                <w:p w14:paraId="07A4D3D6"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體育局</w:t>
                                  </w:r>
                                </w:p>
                              </w:tc>
                              <w:tc>
                                <w:tcPr>
                                  <w:tcW w:w="2268" w:type="dxa"/>
                                  <w:vAlign w:val="center"/>
                                </w:tcPr>
                                <w:p w14:paraId="595F6E17"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體育局</w:t>
                                  </w:r>
                                </w:p>
                              </w:tc>
                              <w:tc>
                                <w:tcPr>
                                  <w:tcW w:w="4365" w:type="dxa"/>
                                  <w:vAlign w:val="center"/>
                                </w:tcPr>
                                <w:p w14:paraId="3D0F4EC8" w14:textId="77777777" w:rsidR="0029756E" w:rsidRPr="00B9064D" w:rsidRDefault="0029756E" w:rsidP="00B9064D">
                                  <w:pPr>
                                    <w:spacing w:line="240" w:lineRule="exact"/>
                                    <w:jc w:val="both"/>
                                    <w:rPr>
                                      <w:rFonts w:ascii="標楷體" w:eastAsia="標楷體" w:hAnsi="標楷體"/>
                                    </w:rPr>
                                  </w:pPr>
                                  <w:r w:rsidRPr="00B9064D">
                                    <w:rPr>
                                      <w:rFonts w:ascii="標楷體" w:eastAsia="標楷體" w:hAnsi="標楷體" w:hint="eastAsia"/>
                                      <w:color w:val="000000"/>
                                    </w:rPr>
                                    <w:t>新生公園網球場改建全民</w:t>
                                  </w:r>
                                  <w:proofErr w:type="gramStart"/>
                                  <w:r w:rsidRPr="00B9064D">
                                    <w:rPr>
                                      <w:rFonts w:ascii="標楷體" w:eastAsia="標楷體" w:hAnsi="標楷體" w:hint="eastAsia"/>
                                      <w:color w:val="000000"/>
                                    </w:rPr>
                                    <w:t>運動館統包</w:t>
                                  </w:r>
                                  <w:proofErr w:type="gramEnd"/>
                                  <w:r w:rsidRPr="00B9064D">
                                    <w:rPr>
                                      <w:rFonts w:ascii="標楷體" w:eastAsia="標楷體" w:hAnsi="標楷體" w:hint="eastAsia"/>
                                      <w:color w:val="000000"/>
                                    </w:rPr>
                                    <w:t>工程</w:t>
                                  </w:r>
                                </w:p>
                              </w:tc>
                              <w:tc>
                                <w:tcPr>
                                  <w:tcW w:w="907" w:type="dxa"/>
                                  <w:vAlign w:val="center"/>
                                </w:tcPr>
                                <w:p w14:paraId="0F4E341D"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c>
                                <w:tcPr>
                                  <w:tcW w:w="907" w:type="dxa"/>
                                  <w:vAlign w:val="center"/>
                                </w:tcPr>
                                <w:p w14:paraId="4631EDC3"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丙</w:t>
                                  </w:r>
                                </w:p>
                              </w:tc>
                            </w:tr>
                            <w:tr w:rsidR="00CE13E2" w14:paraId="29203040" w14:textId="77777777" w:rsidTr="00CE13E2">
                              <w:trPr>
                                <w:trHeight w:val="20"/>
                              </w:trPr>
                              <w:tc>
                                <w:tcPr>
                                  <w:tcW w:w="567" w:type="dxa"/>
                                  <w:vAlign w:val="center"/>
                                </w:tcPr>
                                <w:p w14:paraId="0638CD83"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5</w:t>
                                  </w:r>
                                </w:p>
                              </w:tc>
                              <w:tc>
                                <w:tcPr>
                                  <w:tcW w:w="1304" w:type="dxa"/>
                                  <w:vAlign w:val="center"/>
                                </w:tcPr>
                                <w:p w14:paraId="4C30DD93" w14:textId="77777777" w:rsidR="0029756E" w:rsidRPr="00B9064D" w:rsidRDefault="0029756E" w:rsidP="00B9064D">
                                  <w:pPr>
                                    <w:spacing w:line="240" w:lineRule="exact"/>
                                    <w:jc w:val="both"/>
                                    <w:rPr>
                                      <w:rFonts w:ascii="標楷體" w:eastAsia="標楷體" w:hAnsi="標楷體"/>
                                      <w:color w:val="000000"/>
                                      <w:spacing w:val="-4"/>
                                    </w:rPr>
                                  </w:pPr>
                                  <w:r w:rsidRPr="00B9064D">
                                    <w:rPr>
                                      <w:rFonts w:ascii="標楷體" w:eastAsia="標楷體" w:hAnsi="標楷體" w:hint="eastAsia"/>
                                      <w:color w:val="000000"/>
                                      <w:spacing w:val="-4"/>
                                    </w:rPr>
                                    <w:t>交通局</w:t>
                                  </w:r>
                                </w:p>
                              </w:tc>
                              <w:tc>
                                <w:tcPr>
                                  <w:tcW w:w="2268" w:type="dxa"/>
                                  <w:vAlign w:val="center"/>
                                </w:tcPr>
                                <w:p w14:paraId="09B13915" w14:textId="77777777" w:rsidR="0029756E" w:rsidRPr="00CE13E2" w:rsidRDefault="0029756E" w:rsidP="00B9064D">
                                  <w:pPr>
                                    <w:spacing w:line="240" w:lineRule="exact"/>
                                    <w:jc w:val="both"/>
                                    <w:rPr>
                                      <w:rFonts w:ascii="標楷體" w:eastAsia="標楷體" w:hAnsi="標楷體"/>
                                      <w:color w:val="000000"/>
                                    </w:rPr>
                                  </w:pPr>
                                  <w:proofErr w:type="gramStart"/>
                                  <w:r w:rsidRPr="00CE13E2">
                                    <w:rPr>
                                      <w:rFonts w:ascii="標楷體" w:eastAsia="標楷體" w:hAnsi="標楷體"/>
                                      <w:color w:val="000000"/>
                                    </w:rPr>
                                    <w:t>臺</w:t>
                                  </w:r>
                                  <w:proofErr w:type="gramEnd"/>
                                  <w:r w:rsidRPr="00CE13E2">
                                    <w:rPr>
                                      <w:rFonts w:ascii="標楷體" w:eastAsia="標楷體" w:hAnsi="標楷體"/>
                                      <w:color w:val="000000"/>
                                    </w:rPr>
                                    <w:t>北大眾捷運股份有限公司</w:t>
                                  </w:r>
                                </w:p>
                              </w:tc>
                              <w:tc>
                                <w:tcPr>
                                  <w:tcW w:w="4365" w:type="dxa"/>
                                  <w:vAlign w:val="center"/>
                                </w:tcPr>
                                <w:p w14:paraId="6EE78496" w14:textId="77777777" w:rsidR="0029756E" w:rsidRPr="00B9064D" w:rsidRDefault="0029756E" w:rsidP="00B9064D">
                                  <w:pPr>
                                    <w:spacing w:line="240" w:lineRule="exact"/>
                                    <w:jc w:val="both"/>
                                    <w:rPr>
                                      <w:rFonts w:ascii="標楷體" w:eastAsia="標楷體" w:hAnsi="標楷體"/>
                                    </w:rPr>
                                  </w:pPr>
                                  <w:r w:rsidRPr="00B9064D">
                                    <w:rPr>
                                      <w:rFonts w:ascii="標楷體" w:eastAsia="標楷體" w:hAnsi="標楷體" w:hint="eastAsia"/>
                                      <w:color w:val="000000"/>
                                    </w:rPr>
                                    <w:t>捷運士林站TOD轉乘設施空間活化及多元服務建置案</w:t>
                                  </w:r>
                                </w:p>
                              </w:tc>
                              <w:tc>
                                <w:tcPr>
                                  <w:tcW w:w="907" w:type="dxa"/>
                                  <w:vAlign w:val="center"/>
                                </w:tcPr>
                                <w:p w14:paraId="42D663E8"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c>
                                <w:tcPr>
                                  <w:tcW w:w="907" w:type="dxa"/>
                                  <w:vAlign w:val="center"/>
                                </w:tcPr>
                                <w:p w14:paraId="35C38709"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r>
                          </w:tbl>
                          <w:p w14:paraId="52E7C1C5" w14:textId="77777777" w:rsidR="0029756E" w:rsidRDefault="0029756E" w:rsidP="0029756E">
                            <w:pPr>
                              <w:spacing w:line="200" w:lineRule="exact"/>
                              <w:ind w:left="495" w:rightChars="45" w:right="108" w:hangingChars="275" w:hanging="495"/>
                              <w:jc w:val="both"/>
                              <w:rPr>
                                <w:rFonts w:ascii="標楷體" w:eastAsia="標楷體" w:hAnsi="標楷體"/>
                                <w:sz w:val="18"/>
                                <w:szCs w:val="18"/>
                              </w:rPr>
                            </w:pPr>
                            <w:proofErr w:type="gramStart"/>
                            <w:r w:rsidRPr="00635A0D">
                              <w:rPr>
                                <w:rFonts w:ascii="標楷體" w:eastAsia="標楷體" w:hAnsi="標楷體" w:hint="eastAsia"/>
                                <w:sz w:val="18"/>
                                <w:szCs w:val="18"/>
                              </w:rPr>
                              <w:t>註</w:t>
                            </w:r>
                            <w:proofErr w:type="gramEnd"/>
                            <w:r w:rsidRPr="00635A0D">
                              <w:rPr>
                                <w:rFonts w:ascii="標楷體" w:eastAsia="標楷體" w:hAnsi="標楷體" w:hint="eastAsia"/>
                                <w:sz w:val="18"/>
                                <w:szCs w:val="18"/>
                              </w:rPr>
                              <w:t>：1</w:t>
                            </w:r>
                            <w:r w:rsidRPr="00635A0D">
                              <w:rPr>
                                <w:rFonts w:ascii="標楷體" w:eastAsia="標楷體" w:hAnsi="標楷體"/>
                                <w:sz w:val="18"/>
                                <w:szCs w:val="18"/>
                              </w:rPr>
                              <w:t>.</w:t>
                            </w:r>
                            <w:r w:rsidRPr="00635A0D">
                              <w:rPr>
                                <w:rFonts w:ascii="標楷體" w:eastAsia="標楷體" w:hAnsi="標楷體" w:hint="eastAsia"/>
                                <w:sz w:val="18"/>
                                <w:szCs w:val="18"/>
                              </w:rPr>
                              <w:t>112年度之考評項目、配分權重與評分標準係依「臺北市政府</w:t>
                            </w:r>
                            <w:proofErr w:type="gramStart"/>
                            <w:r w:rsidRPr="00635A0D">
                              <w:rPr>
                                <w:rFonts w:ascii="標楷體" w:eastAsia="標楷體" w:hAnsi="標楷體" w:hint="eastAsia"/>
                                <w:sz w:val="18"/>
                                <w:szCs w:val="18"/>
                              </w:rPr>
                              <w:t>由府列管</w:t>
                            </w:r>
                            <w:proofErr w:type="gramEnd"/>
                            <w:r w:rsidRPr="00635A0D">
                              <w:rPr>
                                <w:rFonts w:ascii="標楷體" w:eastAsia="標楷體" w:hAnsi="標楷體" w:hint="eastAsia"/>
                                <w:sz w:val="18"/>
                                <w:szCs w:val="18"/>
                              </w:rPr>
                              <w:t>年度個案計畫成效考評項目及評分標準表」；</w:t>
                            </w:r>
                            <w:proofErr w:type="gramStart"/>
                            <w:r w:rsidRPr="00635A0D">
                              <w:rPr>
                                <w:rFonts w:ascii="標楷體" w:eastAsia="標楷體" w:hAnsi="標楷體" w:hint="eastAsia"/>
                                <w:sz w:val="18"/>
                                <w:szCs w:val="18"/>
                              </w:rPr>
                              <w:t>1</w:t>
                            </w:r>
                            <w:r w:rsidRPr="00635A0D">
                              <w:rPr>
                                <w:rFonts w:ascii="標楷體" w:eastAsia="標楷體" w:hAnsi="標楷體"/>
                                <w:sz w:val="18"/>
                                <w:szCs w:val="18"/>
                              </w:rPr>
                              <w:t>13</w:t>
                            </w:r>
                            <w:proofErr w:type="gramEnd"/>
                            <w:r w:rsidRPr="00635A0D">
                              <w:rPr>
                                <w:rFonts w:ascii="標楷體" w:eastAsia="標楷體" w:hAnsi="標楷體" w:hint="eastAsia"/>
                                <w:sz w:val="18"/>
                                <w:szCs w:val="18"/>
                              </w:rPr>
                              <w:t>年度依「臺北市政府</w:t>
                            </w:r>
                            <w:proofErr w:type="gramStart"/>
                            <w:r w:rsidRPr="00635A0D">
                              <w:rPr>
                                <w:rFonts w:ascii="標楷體" w:eastAsia="標楷體" w:hAnsi="標楷體" w:hint="eastAsia"/>
                                <w:sz w:val="18"/>
                                <w:szCs w:val="18"/>
                              </w:rPr>
                              <w:t>府</w:t>
                            </w:r>
                            <w:proofErr w:type="gramEnd"/>
                            <w:r w:rsidRPr="00635A0D">
                              <w:rPr>
                                <w:rFonts w:ascii="標楷體" w:eastAsia="標楷體" w:hAnsi="標楷體" w:hint="eastAsia"/>
                                <w:sz w:val="18"/>
                                <w:szCs w:val="18"/>
                              </w:rPr>
                              <w:t>管制計畫成效考評項目及評分標準表」。</w:t>
                            </w:r>
                          </w:p>
                          <w:p w14:paraId="20017716" w14:textId="77777777" w:rsidR="0029756E" w:rsidRPr="00D96BA3" w:rsidRDefault="0029756E" w:rsidP="0029756E">
                            <w:pPr>
                              <w:spacing w:line="200" w:lineRule="exact"/>
                              <w:ind w:rightChars="115" w:right="276" w:firstLineChars="180" w:firstLine="324"/>
                              <w:jc w:val="both"/>
                              <w:rPr>
                                <w:sz w:val="18"/>
                                <w:szCs w:val="18"/>
                              </w:rPr>
                            </w:pPr>
                            <w:r w:rsidRPr="00635A0D">
                              <w:rPr>
                                <w:rFonts w:ascii="標楷體" w:eastAsia="標楷體" w:hAnsi="標楷體"/>
                                <w:sz w:val="18"/>
                                <w:szCs w:val="18"/>
                              </w:rPr>
                              <w:t>2.</w:t>
                            </w:r>
                            <w:r w:rsidRPr="00635A0D">
                              <w:rPr>
                                <w:rFonts w:ascii="標楷體" w:eastAsia="標楷體" w:hAnsi="標楷體" w:hint="eastAsia"/>
                                <w:sz w:val="18"/>
                                <w:szCs w:val="18"/>
                              </w:rPr>
                              <w:t>資料來源：整理自</w:t>
                            </w:r>
                            <w:r>
                              <w:rPr>
                                <w:rFonts w:ascii="標楷體" w:eastAsia="標楷體" w:hAnsi="標楷體" w:hint="eastAsia"/>
                                <w:sz w:val="18"/>
                                <w:szCs w:val="18"/>
                              </w:rPr>
                              <w:t>臺北</w:t>
                            </w:r>
                            <w:r w:rsidRPr="00635A0D">
                              <w:rPr>
                                <w:rFonts w:ascii="標楷體" w:eastAsia="標楷體" w:hAnsi="標楷體" w:hint="eastAsia"/>
                                <w:sz w:val="18"/>
                                <w:szCs w:val="18"/>
                              </w:rPr>
                              <w:t>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F7C42C" id="文字方塊 2" o:spid="_x0000_s1027" type="#_x0000_t202" style="position:absolute;left:0;text-align:left;margin-left:-13.6pt;margin-top:274.4pt;width:528.45pt;height:167.75pt;z-index:2518036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" stroked="f">
                <v:textbox>
                  <w:txbxContent>
                    <w:p w14:paraId="0FEA75DC" w14:textId="77777777" w:rsidR="0029756E" w:rsidRPr="003307CD" w:rsidRDefault="0029756E" w:rsidP="0029756E">
                      <w:pPr>
                        <w:jc w:val="center"/>
                        <w:rPr>
                          <w:rFonts w:ascii="標楷體" w:eastAsia="標楷體" w:hAnsi="標楷體"/>
                          <w:b/>
                        </w:rPr>
                      </w:pPr>
                      <w:r w:rsidRPr="003307CD">
                        <w:rPr>
                          <w:rFonts w:ascii="標楷體" w:eastAsia="標楷體" w:hAnsi="標楷體" w:hint="eastAsia"/>
                          <w:b/>
                        </w:rPr>
                        <w:t>表</w:t>
                      </w:r>
                      <w:r>
                        <w:rPr>
                          <w:rFonts w:ascii="標楷體" w:eastAsia="標楷體" w:hAnsi="標楷體"/>
                          <w:b/>
                        </w:rPr>
                        <w:t>4</w:t>
                      </w:r>
                      <w:r w:rsidRPr="003307CD">
                        <w:rPr>
                          <w:rFonts w:ascii="標楷體" w:eastAsia="標楷體" w:hAnsi="標楷體"/>
                          <w:b/>
                        </w:rPr>
                        <w:t xml:space="preserve">  </w:t>
                      </w:r>
                      <w:r w:rsidRPr="003307CD">
                        <w:rPr>
                          <w:rFonts w:ascii="標楷體" w:eastAsia="標楷體" w:hAnsi="標楷體" w:hint="eastAsia"/>
                          <w:b/>
                        </w:rPr>
                        <w:t>府管制</w:t>
                      </w:r>
                      <w:r>
                        <w:rPr>
                          <w:rFonts w:ascii="標楷體" w:eastAsia="標楷體" w:hAnsi="標楷體" w:hint="eastAsia"/>
                          <w:b/>
                        </w:rPr>
                        <w:t>計畫連續</w:t>
                      </w:r>
                      <w:proofErr w:type="gramStart"/>
                      <w:r>
                        <w:rPr>
                          <w:rFonts w:ascii="標楷體" w:eastAsia="標楷體" w:hAnsi="標楷體" w:hint="eastAsia"/>
                          <w:b/>
                        </w:rPr>
                        <w:t>2</w:t>
                      </w:r>
                      <w:proofErr w:type="gramEnd"/>
                      <w:r w:rsidRPr="003307CD">
                        <w:rPr>
                          <w:rFonts w:ascii="標楷體" w:eastAsia="標楷體" w:hAnsi="標楷體" w:hint="eastAsia"/>
                          <w:b/>
                        </w:rPr>
                        <w:t>年度考</w:t>
                      </w:r>
                      <w:r>
                        <w:rPr>
                          <w:rFonts w:ascii="標楷體" w:eastAsia="標楷體" w:hAnsi="標楷體" w:hint="eastAsia"/>
                          <w:b/>
                        </w:rPr>
                        <w:t>列乙等以下情形</w:t>
                      </w:r>
                    </w:p>
                    <w:tbl>
                      <w:tblPr>
                        <w:tblStyle w:val="a6"/>
                        <w:tblW w:w="10318" w:type="dxa"/>
                        <w:tblInd w:w="-89" w:type="dxa"/>
                        <w:tblLook w:val="04A0" w:firstRow="1" w:lastRow="0" w:firstColumn="1" w:lastColumn="0" w:noHBand="0" w:noVBand="1"/>
                      </w:tblPr>
                      <w:tblGrid>
                        <w:gridCol w:w="567"/>
                        <w:gridCol w:w="1304"/>
                        <w:gridCol w:w="2268"/>
                        <w:gridCol w:w="4365"/>
                        <w:gridCol w:w="907"/>
                        <w:gridCol w:w="907"/>
                      </w:tblGrid>
                      <w:tr w:rsidR="00B9064D" w14:paraId="6618941B" w14:textId="77777777" w:rsidTr="00CE13E2">
                        <w:trPr>
                          <w:trHeight w:val="20"/>
                        </w:trPr>
                        <w:tc>
                          <w:tcPr>
                            <w:tcW w:w="567" w:type="dxa"/>
                            <w:vMerge w:val="restart"/>
                            <w:vAlign w:val="center"/>
                          </w:tcPr>
                          <w:p w14:paraId="30B83A56"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項次</w:t>
                            </w:r>
                          </w:p>
                        </w:tc>
                        <w:tc>
                          <w:tcPr>
                            <w:tcW w:w="1304" w:type="dxa"/>
                            <w:vMerge w:val="restart"/>
                            <w:vAlign w:val="center"/>
                          </w:tcPr>
                          <w:p w14:paraId="26A2BEAC"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主管機關</w:t>
                            </w:r>
                          </w:p>
                        </w:tc>
                        <w:tc>
                          <w:tcPr>
                            <w:tcW w:w="2268" w:type="dxa"/>
                            <w:vMerge w:val="restart"/>
                            <w:vAlign w:val="center"/>
                          </w:tcPr>
                          <w:p w14:paraId="4C79A69F"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主辦機關單位</w:t>
                            </w:r>
                          </w:p>
                        </w:tc>
                        <w:tc>
                          <w:tcPr>
                            <w:tcW w:w="4365" w:type="dxa"/>
                            <w:vMerge w:val="restart"/>
                            <w:vAlign w:val="center"/>
                          </w:tcPr>
                          <w:p w14:paraId="71FA0F4E"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計畫名稱</w:t>
                            </w:r>
                          </w:p>
                        </w:tc>
                        <w:tc>
                          <w:tcPr>
                            <w:tcW w:w="1814" w:type="dxa"/>
                            <w:gridSpan w:val="2"/>
                            <w:vAlign w:val="center"/>
                          </w:tcPr>
                          <w:p w14:paraId="212A129B"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評核等第</w:t>
                            </w:r>
                          </w:p>
                        </w:tc>
                      </w:tr>
                      <w:tr w:rsidR="00CE13E2" w14:paraId="1FD4C6B8" w14:textId="77777777" w:rsidTr="00CE13E2">
                        <w:trPr>
                          <w:trHeight w:val="20"/>
                        </w:trPr>
                        <w:tc>
                          <w:tcPr>
                            <w:tcW w:w="567" w:type="dxa"/>
                            <w:vMerge/>
                            <w:vAlign w:val="center"/>
                          </w:tcPr>
                          <w:p w14:paraId="57F6BACE" w14:textId="77777777" w:rsidR="0029756E" w:rsidRPr="00B9064D" w:rsidRDefault="0029756E" w:rsidP="00B9064D">
                            <w:pPr>
                              <w:spacing w:line="240" w:lineRule="exact"/>
                              <w:jc w:val="center"/>
                              <w:rPr>
                                <w:rFonts w:ascii="標楷體" w:eastAsia="標楷體" w:hAnsi="標楷體"/>
                              </w:rPr>
                            </w:pPr>
                          </w:p>
                        </w:tc>
                        <w:tc>
                          <w:tcPr>
                            <w:tcW w:w="1304" w:type="dxa"/>
                            <w:vMerge/>
                            <w:vAlign w:val="center"/>
                          </w:tcPr>
                          <w:p w14:paraId="2F69595D" w14:textId="77777777" w:rsidR="0029756E" w:rsidRPr="00B9064D" w:rsidRDefault="0029756E" w:rsidP="00B9064D">
                            <w:pPr>
                              <w:spacing w:line="240" w:lineRule="exact"/>
                              <w:jc w:val="center"/>
                              <w:rPr>
                                <w:rFonts w:ascii="標楷體" w:eastAsia="標楷體" w:hAnsi="標楷體"/>
                              </w:rPr>
                            </w:pPr>
                          </w:p>
                        </w:tc>
                        <w:tc>
                          <w:tcPr>
                            <w:tcW w:w="2268" w:type="dxa"/>
                            <w:vMerge/>
                            <w:vAlign w:val="center"/>
                          </w:tcPr>
                          <w:p w14:paraId="7796072B" w14:textId="77777777" w:rsidR="0029756E" w:rsidRPr="00B9064D" w:rsidRDefault="0029756E" w:rsidP="00B9064D">
                            <w:pPr>
                              <w:spacing w:line="240" w:lineRule="exact"/>
                              <w:jc w:val="center"/>
                              <w:rPr>
                                <w:rFonts w:ascii="標楷體" w:eastAsia="標楷體" w:hAnsi="標楷體"/>
                              </w:rPr>
                            </w:pPr>
                          </w:p>
                        </w:tc>
                        <w:tc>
                          <w:tcPr>
                            <w:tcW w:w="4365" w:type="dxa"/>
                            <w:vMerge/>
                            <w:vAlign w:val="center"/>
                          </w:tcPr>
                          <w:p w14:paraId="519DFA46" w14:textId="77777777" w:rsidR="0029756E" w:rsidRPr="00B9064D" w:rsidRDefault="0029756E" w:rsidP="00B9064D">
                            <w:pPr>
                              <w:spacing w:line="240" w:lineRule="exact"/>
                              <w:jc w:val="center"/>
                              <w:rPr>
                                <w:rFonts w:ascii="標楷體" w:eastAsia="標楷體" w:hAnsi="標楷體"/>
                              </w:rPr>
                            </w:pPr>
                          </w:p>
                        </w:tc>
                        <w:tc>
                          <w:tcPr>
                            <w:tcW w:w="907" w:type="dxa"/>
                            <w:vAlign w:val="center"/>
                          </w:tcPr>
                          <w:p w14:paraId="349740CC" w14:textId="77777777" w:rsidR="0029756E" w:rsidRPr="00B9064D" w:rsidRDefault="0029756E" w:rsidP="00B9064D">
                            <w:pPr>
                              <w:spacing w:line="240" w:lineRule="exact"/>
                              <w:jc w:val="center"/>
                              <w:rPr>
                                <w:rFonts w:ascii="標楷體" w:eastAsia="標楷體" w:hAnsi="標楷體"/>
                                <w:spacing w:val="-14"/>
                              </w:rPr>
                            </w:pPr>
                            <w:proofErr w:type="gramStart"/>
                            <w:r w:rsidRPr="00B9064D">
                              <w:rPr>
                                <w:rFonts w:ascii="標楷體" w:eastAsia="標楷體" w:hAnsi="標楷體" w:hint="eastAsia"/>
                                <w:spacing w:val="-14"/>
                              </w:rPr>
                              <w:t>1</w:t>
                            </w:r>
                            <w:r w:rsidRPr="00B9064D">
                              <w:rPr>
                                <w:rFonts w:ascii="標楷體" w:eastAsia="標楷體" w:hAnsi="標楷體"/>
                                <w:spacing w:val="-14"/>
                              </w:rPr>
                              <w:t>12</w:t>
                            </w:r>
                            <w:proofErr w:type="gramEnd"/>
                            <w:r w:rsidRPr="00B9064D">
                              <w:rPr>
                                <w:rFonts w:ascii="標楷體" w:eastAsia="標楷體" w:hAnsi="標楷體" w:hint="eastAsia"/>
                                <w:spacing w:val="-14"/>
                              </w:rPr>
                              <w:t>年度</w:t>
                            </w:r>
                          </w:p>
                        </w:tc>
                        <w:tc>
                          <w:tcPr>
                            <w:tcW w:w="907" w:type="dxa"/>
                            <w:vAlign w:val="center"/>
                          </w:tcPr>
                          <w:p w14:paraId="299DA522" w14:textId="77777777" w:rsidR="0029756E" w:rsidRPr="00B9064D" w:rsidRDefault="0029756E" w:rsidP="00B9064D">
                            <w:pPr>
                              <w:spacing w:line="240" w:lineRule="exact"/>
                              <w:jc w:val="center"/>
                              <w:rPr>
                                <w:rFonts w:ascii="標楷體" w:eastAsia="標楷體" w:hAnsi="標楷體"/>
                                <w:spacing w:val="-14"/>
                              </w:rPr>
                            </w:pPr>
                            <w:proofErr w:type="gramStart"/>
                            <w:r w:rsidRPr="00B9064D">
                              <w:rPr>
                                <w:rFonts w:ascii="標楷體" w:eastAsia="標楷體" w:hAnsi="標楷體" w:hint="eastAsia"/>
                                <w:spacing w:val="-14"/>
                              </w:rPr>
                              <w:t>1</w:t>
                            </w:r>
                            <w:r w:rsidRPr="00B9064D">
                              <w:rPr>
                                <w:rFonts w:ascii="標楷體" w:eastAsia="標楷體" w:hAnsi="標楷體"/>
                                <w:spacing w:val="-14"/>
                              </w:rPr>
                              <w:t>13</w:t>
                            </w:r>
                            <w:proofErr w:type="gramEnd"/>
                            <w:r w:rsidRPr="00B9064D">
                              <w:rPr>
                                <w:rFonts w:ascii="標楷體" w:eastAsia="標楷體" w:hAnsi="標楷體" w:hint="eastAsia"/>
                                <w:spacing w:val="-14"/>
                              </w:rPr>
                              <w:t>年度</w:t>
                            </w:r>
                          </w:p>
                        </w:tc>
                      </w:tr>
                      <w:tr w:rsidR="00CE13E2" w14:paraId="1D04AA8A" w14:textId="77777777" w:rsidTr="00CE13E2">
                        <w:trPr>
                          <w:trHeight w:val="20"/>
                        </w:trPr>
                        <w:tc>
                          <w:tcPr>
                            <w:tcW w:w="567" w:type="dxa"/>
                            <w:vAlign w:val="center"/>
                          </w:tcPr>
                          <w:p w14:paraId="40D8519E"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1</w:t>
                            </w:r>
                          </w:p>
                        </w:tc>
                        <w:tc>
                          <w:tcPr>
                            <w:tcW w:w="1304" w:type="dxa"/>
                            <w:vAlign w:val="center"/>
                          </w:tcPr>
                          <w:p w14:paraId="45BFECE5" w14:textId="77777777" w:rsidR="0029756E" w:rsidRPr="00B9064D" w:rsidRDefault="0029756E" w:rsidP="00B9064D">
                            <w:pPr>
                              <w:spacing w:line="240" w:lineRule="exact"/>
                              <w:jc w:val="both"/>
                              <w:rPr>
                                <w:rFonts w:ascii="標楷體" w:eastAsia="標楷體" w:hAnsi="標楷體"/>
                                <w:color w:val="000000"/>
                                <w:spacing w:val="-4"/>
                              </w:rPr>
                            </w:pPr>
                            <w:r w:rsidRPr="00B9064D">
                              <w:rPr>
                                <w:rFonts w:ascii="標楷體" w:eastAsia="標楷體" w:hAnsi="標楷體" w:hint="eastAsia"/>
                                <w:color w:val="000000"/>
                                <w:spacing w:val="-4"/>
                              </w:rPr>
                              <w:t>都市發展局</w:t>
                            </w:r>
                          </w:p>
                        </w:tc>
                        <w:tc>
                          <w:tcPr>
                            <w:tcW w:w="2268" w:type="dxa"/>
                            <w:vAlign w:val="center"/>
                          </w:tcPr>
                          <w:p w14:paraId="6EEFE681"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都市發展局</w:t>
                            </w:r>
                          </w:p>
                        </w:tc>
                        <w:tc>
                          <w:tcPr>
                            <w:tcW w:w="4365" w:type="dxa"/>
                            <w:vAlign w:val="center"/>
                          </w:tcPr>
                          <w:p w14:paraId="046AD07D" w14:textId="77777777" w:rsidR="0029756E" w:rsidRPr="00B9064D" w:rsidRDefault="0029756E" w:rsidP="00B9064D">
                            <w:pPr>
                              <w:spacing w:line="240" w:lineRule="exact"/>
                              <w:jc w:val="both"/>
                              <w:rPr>
                                <w:rFonts w:ascii="標楷體" w:eastAsia="標楷體" w:hAnsi="標楷體"/>
                              </w:rPr>
                            </w:pPr>
                            <w:r w:rsidRPr="00B9064D">
                              <w:rPr>
                                <w:rFonts w:ascii="標楷體" w:eastAsia="標楷體" w:hAnsi="標楷體" w:hint="eastAsia"/>
                                <w:color w:val="000000"/>
                              </w:rPr>
                              <w:t>信義區三興段資源回收廠社會住宅新建工程</w:t>
                            </w:r>
                          </w:p>
                        </w:tc>
                        <w:tc>
                          <w:tcPr>
                            <w:tcW w:w="907" w:type="dxa"/>
                            <w:vAlign w:val="center"/>
                          </w:tcPr>
                          <w:p w14:paraId="10CCF500"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c>
                          <w:tcPr>
                            <w:tcW w:w="907" w:type="dxa"/>
                            <w:vAlign w:val="center"/>
                          </w:tcPr>
                          <w:p w14:paraId="21DFAD36"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r>
                      <w:tr w:rsidR="00CE13E2" w14:paraId="4F443B77" w14:textId="77777777" w:rsidTr="00CE13E2">
                        <w:trPr>
                          <w:trHeight w:val="20"/>
                        </w:trPr>
                        <w:tc>
                          <w:tcPr>
                            <w:tcW w:w="567" w:type="dxa"/>
                            <w:vAlign w:val="center"/>
                          </w:tcPr>
                          <w:p w14:paraId="570F3344"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2</w:t>
                            </w:r>
                          </w:p>
                        </w:tc>
                        <w:tc>
                          <w:tcPr>
                            <w:tcW w:w="1304" w:type="dxa"/>
                            <w:vAlign w:val="center"/>
                          </w:tcPr>
                          <w:p w14:paraId="7D2EAE50"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文化局</w:t>
                            </w:r>
                          </w:p>
                        </w:tc>
                        <w:tc>
                          <w:tcPr>
                            <w:tcW w:w="2268" w:type="dxa"/>
                            <w:vAlign w:val="center"/>
                          </w:tcPr>
                          <w:p w14:paraId="02E22183"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市立美術館</w:t>
                            </w:r>
                          </w:p>
                        </w:tc>
                        <w:tc>
                          <w:tcPr>
                            <w:tcW w:w="4365" w:type="dxa"/>
                            <w:vAlign w:val="center"/>
                          </w:tcPr>
                          <w:p w14:paraId="382C482D" w14:textId="77777777" w:rsidR="0029756E" w:rsidRPr="00B9064D" w:rsidRDefault="0029756E" w:rsidP="00B9064D">
                            <w:pPr>
                              <w:spacing w:line="240" w:lineRule="exact"/>
                              <w:jc w:val="both"/>
                              <w:rPr>
                                <w:rFonts w:ascii="標楷體" w:eastAsia="標楷體" w:hAnsi="標楷體"/>
                              </w:rPr>
                            </w:pPr>
                            <w:r w:rsidRPr="00B9064D">
                              <w:rPr>
                                <w:rFonts w:ascii="標楷體" w:eastAsia="標楷體" w:hAnsi="標楷體" w:hint="eastAsia"/>
                                <w:color w:val="000000"/>
                              </w:rPr>
                              <w:t>臺北市立美術館典藏庫房新建暨南進門改善統包工程</w:t>
                            </w:r>
                          </w:p>
                        </w:tc>
                        <w:tc>
                          <w:tcPr>
                            <w:tcW w:w="907" w:type="dxa"/>
                            <w:vAlign w:val="center"/>
                          </w:tcPr>
                          <w:p w14:paraId="15D9B8ED"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c>
                          <w:tcPr>
                            <w:tcW w:w="907" w:type="dxa"/>
                            <w:vAlign w:val="center"/>
                          </w:tcPr>
                          <w:p w14:paraId="5C9806A8"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r>
                      <w:tr w:rsidR="00CE13E2" w14:paraId="5ABCDCEF" w14:textId="77777777" w:rsidTr="00CE13E2">
                        <w:trPr>
                          <w:trHeight w:val="20"/>
                        </w:trPr>
                        <w:tc>
                          <w:tcPr>
                            <w:tcW w:w="567" w:type="dxa"/>
                            <w:vAlign w:val="center"/>
                          </w:tcPr>
                          <w:p w14:paraId="07AA154F"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3</w:t>
                            </w:r>
                          </w:p>
                        </w:tc>
                        <w:tc>
                          <w:tcPr>
                            <w:tcW w:w="1304" w:type="dxa"/>
                            <w:vAlign w:val="center"/>
                          </w:tcPr>
                          <w:p w14:paraId="23001958"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體育局</w:t>
                            </w:r>
                          </w:p>
                        </w:tc>
                        <w:tc>
                          <w:tcPr>
                            <w:tcW w:w="2268" w:type="dxa"/>
                            <w:vAlign w:val="center"/>
                          </w:tcPr>
                          <w:p w14:paraId="55D90DCC"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體育局</w:t>
                            </w:r>
                          </w:p>
                        </w:tc>
                        <w:tc>
                          <w:tcPr>
                            <w:tcW w:w="4365" w:type="dxa"/>
                            <w:vAlign w:val="center"/>
                          </w:tcPr>
                          <w:p w14:paraId="02F33A3B" w14:textId="77777777" w:rsidR="0029756E" w:rsidRPr="00B9064D" w:rsidRDefault="0029756E" w:rsidP="00B9064D">
                            <w:pPr>
                              <w:spacing w:line="240" w:lineRule="exact"/>
                              <w:jc w:val="both"/>
                              <w:rPr>
                                <w:rFonts w:ascii="標楷體" w:eastAsia="標楷體" w:hAnsi="標楷體"/>
                              </w:rPr>
                            </w:pPr>
                            <w:r w:rsidRPr="00B9064D">
                              <w:rPr>
                                <w:rFonts w:ascii="標楷體" w:eastAsia="標楷體" w:hAnsi="標楷體" w:hint="eastAsia"/>
                                <w:color w:val="000000"/>
                              </w:rPr>
                              <w:t>克強公園游泳池改建全民</w:t>
                            </w:r>
                            <w:proofErr w:type="gramStart"/>
                            <w:r w:rsidRPr="00B9064D">
                              <w:rPr>
                                <w:rFonts w:ascii="標楷體" w:eastAsia="標楷體" w:hAnsi="標楷體" w:hint="eastAsia"/>
                                <w:color w:val="000000"/>
                              </w:rPr>
                              <w:t>運動館統包</w:t>
                            </w:r>
                            <w:proofErr w:type="gramEnd"/>
                            <w:r w:rsidRPr="00B9064D">
                              <w:rPr>
                                <w:rFonts w:ascii="標楷體" w:eastAsia="標楷體" w:hAnsi="標楷體" w:hint="eastAsia"/>
                                <w:color w:val="000000"/>
                              </w:rPr>
                              <w:t>工程</w:t>
                            </w:r>
                          </w:p>
                        </w:tc>
                        <w:tc>
                          <w:tcPr>
                            <w:tcW w:w="907" w:type="dxa"/>
                            <w:vAlign w:val="center"/>
                          </w:tcPr>
                          <w:p w14:paraId="480DAB38"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c>
                          <w:tcPr>
                            <w:tcW w:w="907" w:type="dxa"/>
                            <w:vAlign w:val="center"/>
                          </w:tcPr>
                          <w:p w14:paraId="4F6E6F9E"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r>
                      <w:tr w:rsidR="00CE13E2" w14:paraId="047B38A5" w14:textId="77777777" w:rsidTr="00CE13E2">
                        <w:trPr>
                          <w:trHeight w:val="20"/>
                        </w:trPr>
                        <w:tc>
                          <w:tcPr>
                            <w:tcW w:w="567" w:type="dxa"/>
                            <w:vAlign w:val="center"/>
                          </w:tcPr>
                          <w:p w14:paraId="1A74A32E"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4</w:t>
                            </w:r>
                          </w:p>
                        </w:tc>
                        <w:tc>
                          <w:tcPr>
                            <w:tcW w:w="1304" w:type="dxa"/>
                            <w:vAlign w:val="center"/>
                          </w:tcPr>
                          <w:p w14:paraId="07A4D3D6"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體育局</w:t>
                            </w:r>
                          </w:p>
                        </w:tc>
                        <w:tc>
                          <w:tcPr>
                            <w:tcW w:w="2268" w:type="dxa"/>
                            <w:vAlign w:val="center"/>
                          </w:tcPr>
                          <w:p w14:paraId="595F6E17" w14:textId="77777777" w:rsidR="0029756E" w:rsidRPr="00B9064D" w:rsidRDefault="0029756E" w:rsidP="00B9064D">
                            <w:pPr>
                              <w:spacing w:line="240" w:lineRule="exact"/>
                              <w:jc w:val="both"/>
                              <w:rPr>
                                <w:rFonts w:ascii="標楷體" w:eastAsia="標楷體" w:hAnsi="標楷體"/>
                                <w:color w:val="000000"/>
                              </w:rPr>
                            </w:pPr>
                            <w:r w:rsidRPr="00B9064D">
                              <w:rPr>
                                <w:rFonts w:ascii="標楷體" w:eastAsia="標楷體" w:hAnsi="標楷體" w:hint="eastAsia"/>
                                <w:color w:val="000000"/>
                              </w:rPr>
                              <w:t>體育局</w:t>
                            </w:r>
                          </w:p>
                        </w:tc>
                        <w:tc>
                          <w:tcPr>
                            <w:tcW w:w="4365" w:type="dxa"/>
                            <w:vAlign w:val="center"/>
                          </w:tcPr>
                          <w:p w14:paraId="3D0F4EC8" w14:textId="77777777" w:rsidR="0029756E" w:rsidRPr="00B9064D" w:rsidRDefault="0029756E" w:rsidP="00B9064D">
                            <w:pPr>
                              <w:spacing w:line="240" w:lineRule="exact"/>
                              <w:jc w:val="both"/>
                              <w:rPr>
                                <w:rFonts w:ascii="標楷體" w:eastAsia="標楷體" w:hAnsi="標楷體"/>
                              </w:rPr>
                            </w:pPr>
                            <w:r w:rsidRPr="00B9064D">
                              <w:rPr>
                                <w:rFonts w:ascii="標楷體" w:eastAsia="標楷體" w:hAnsi="標楷體" w:hint="eastAsia"/>
                                <w:color w:val="000000"/>
                              </w:rPr>
                              <w:t>新生公園網球場改建全民</w:t>
                            </w:r>
                            <w:proofErr w:type="gramStart"/>
                            <w:r w:rsidRPr="00B9064D">
                              <w:rPr>
                                <w:rFonts w:ascii="標楷體" w:eastAsia="標楷體" w:hAnsi="標楷體" w:hint="eastAsia"/>
                                <w:color w:val="000000"/>
                              </w:rPr>
                              <w:t>運動館統包</w:t>
                            </w:r>
                            <w:proofErr w:type="gramEnd"/>
                            <w:r w:rsidRPr="00B9064D">
                              <w:rPr>
                                <w:rFonts w:ascii="標楷體" w:eastAsia="標楷體" w:hAnsi="標楷體" w:hint="eastAsia"/>
                                <w:color w:val="000000"/>
                              </w:rPr>
                              <w:t>工程</w:t>
                            </w:r>
                          </w:p>
                        </w:tc>
                        <w:tc>
                          <w:tcPr>
                            <w:tcW w:w="907" w:type="dxa"/>
                            <w:vAlign w:val="center"/>
                          </w:tcPr>
                          <w:p w14:paraId="0F4E341D"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c>
                          <w:tcPr>
                            <w:tcW w:w="907" w:type="dxa"/>
                            <w:vAlign w:val="center"/>
                          </w:tcPr>
                          <w:p w14:paraId="4631EDC3"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丙</w:t>
                            </w:r>
                          </w:p>
                        </w:tc>
                      </w:tr>
                      <w:tr w:rsidR="00CE13E2" w14:paraId="29203040" w14:textId="77777777" w:rsidTr="00CE13E2">
                        <w:trPr>
                          <w:trHeight w:val="20"/>
                        </w:trPr>
                        <w:tc>
                          <w:tcPr>
                            <w:tcW w:w="567" w:type="dxa"/>
                            <w:vAlign w:val="center"/>
                          </w:tcPr>
                          <w:p w14:paraId="0638CD83"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rPr>
                              <w:t>5</w:t>
                            </w:r>
                          </w:p>
                        </w:tc>
                        <w:tc>
                          <w:tcPr>
                            <w:tcW w:w="1304" w:type="dxa"/>
                            <w:vAlign w:val="center"/>
                          </w:tcPr>
                          <w:p w14:paraId="4C30DD93" w14:textId="77777777" w:rsidR="0029756E" w:rsidRPr="00B9064D" w:rsidRDefault="0029756E" w:rsidP="00B9064D">
                            <w:pPr>
                              <w:spacing w:line="240" w:lineRule="exact"/>
                              <w:jc w:val="both"/>
                              <w:rPr>
                                <w:rFonts w:ascii="標楷體" w:eastAsia="標楷體" w:hAnsi="標楷體"/>
                                <w:color w:val="000000"/>
                                <w:spacing w:val="-4"/>
                              </w:rPr>
                            </w:pPr>
                            <w:r w:rsidRPr="00B9064D">
                              <w:rPr>
                                <w:rFonts w:ascii="標楷體" w:eastAsia="標楷體" w:hAnsi="標楷體" w:hint="eastAsia"/>
                                <w:color w:val="000000"/>
                                <w:spacing w:val="-4"/>
                              </w:rPr>
                              <w:t>交通局</w:t>
                            </w:r>
                          </w:p>
                        </w:tc>
                        <w:tc>
                          <w:tcPr>
                            <w:tcW w:w="2268" w:type="dxa"/>
                            <w:vAlign w:val="center"/>
                          </w:tcPr>
                          <w:p w14:paraId="09B13915" w14:textId="77777777" w:rsidR="0029756E" w:rsidRPr="00CE13E2" w:rsidRDefault="0029756E" w:rsidP="00B9064D">
                            <w:pPr>
                              <w:spacing w:line="240" w:lineRule="exact"/>
                              <w:jc w:val="both"/>
                              <w:rPr>
                                <w:rFonts w:ascii="標楷體" w:eastAsia="標楷體" w:hAnsi="標楷體"/>
                                <w:color w:val="000000"/>
                              </w:rPr>
                            </w:pPr>
                            <w:proofErr w:type="gramStart"/>
                            <w:r w:rsidRPr="00CE13E2">
                              <w:rPr>
                                <w:rFonts w:ascii="標楷體" w:eastAsia="標楷體" w:hAnsi="標楷體"/>
                                <w:color w:val="000000"/>
                              </w:rPr>
                              <w:t>臺</w:t>
                            </w:r>
                            <w:proofErr w:type="gramEnd"/>
                            <w:r w:rsidRPr="00CE13E2">
                              <w:rPr>
                                <w:rFonts w:ascii="標楷體" w:eastAsia="標楷體" w:hAnsi="標楷體"/>
                                <w:color w:val="000000"/>
                              </w:rPr>
                              <w:t>北大眾捷運股份有限公司</w:t>
                            </w:r>
                          </w:p>
                        </w:tc>
                        <w:tc>
                          <w:tcPr>
                            <w:tcW w:w="4365" w:type="dxa"/>
                            <w:vAlign w:val="center"/>
                          </w:tcPr>
                          <w:p w14:paraId="6EE78496" w14:textId="77777777" w:rsidR="0029756E" w:rsidRPr="00B9064D" w:rsidRDefault="0029756E" w:rsidP="00B9064D">
                            <w:pPr>
                              <w:spacing w:line="240" w:lineRule="exact"/>
                              <w:jc w:val="both"/>
                              <w:rPr>
                                <w:rFonts w:ascii="標楷體" w:eastAsia="標楷體" w:hAnsi="標楷體"/>
                              </w:rPr>
                            </w:pPr>
                            <w:r w:rsidRPr="00B9064D">
                              <w:rPr>
                                <w:rFonts w:ascii="標楷體" w:eastAsia="標楷體" w:hAnsi="標楷體" w:hint="eastAsia"/>
                                <w:color w:val="000000"/>
                              </w:rPr>
                              <w:t>捷運士林站TOD轉乘設施空間活化及多元服務建置案</w:t>
                            </w:r>
                          </w:p>
                        </w:tc>
                        <w:tc>
                          <w:tcPr>
                            <w:tcW w:w="907" w:type="dxa"/>
                            <w:vAlign w:val="center"/>
                          </w:tcPr>
                          <w:p w14:paraId="42D663E8"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c>
                          <w:tcPr>
                            <w:tcW w:w="907" w:type="dxa"/>
                            <w:vAlign w:val="center"/>
                          </w:tcPr>
                          <w:p w14:paraId="35C38709" w14:textId="77777777" w:rsidR="0029756E" w:rsidRPr="00B9064D" w:rsidRDefault="0029756E" w:rsidP="00B9064D">
                            <w:pPr>
                              <w:spacing w:line="240" w:lineRule="exact"/>
                              <w:jc w:val="center"/>
                              <w:rPr>
                                <w:rFonts w:ascii="標楷體" w:eastAsia="標楷體" w:hAnsi="標楷體"/>
                              </w:rPr>
                            </w:pPr>
                            <w:r w:rsidRPr="00B9064D">
                              <w:rPr>
                                <w:rFonts w:ascii="標楷體" w:eastAsia="標楷體" w:hAnsi="標楷體" w:hint="eastAsia"/>
                                <w:color w:val="000000"/>
                              </w:rPr>
                              <w:t>乙</w:t>
                            </w:r>
                          </w:p>
                        </w:tc>
                      </w:tr>
                    </w:tbl>
                    <w:p w14:paraId="52E7C1C5" w14:textId="77777777" w:rsidR="0029756E" w:rsidRDefault="0029756E" w:rsidP="0029756E">
                      <w:pPr>
                        <w:spacing w:line="200" w:lineRule="exact"/>
                        <w:ind w:left="495" w:rightChars="45" w:right="108" w:hangingChars="275" w:hanging="495"/>
                        <w:jc w:val="both"/>
                        <w:rPr>
                          <w:rFonts w:ascii="標楷體" w:eastAsia="標楷體" w:hAnsi="標楷體"/>
                          <w:sz w:val="18"/>
                          <w:szCs w:val="18"/>
                        </w:rPr>
                      </w:pPr>
                      <w:proofErr w:type="gramStart"/>
                      <w:r w:rsidRPr="00635A0D">
                        <w:rPr>
                          <w:rFonts w:ascii="標楷體" w:eastAsia="標楷體" w:hAnsi="標楷體" w:hint="eastAsia"/>
                          <w:sz w:val="18"/>
                          <w:szCs w:val="18"/>
                        </w:rPr>
                        <w:t>註</w:t>
                      </w:r>
                      <w:proofErr w:type="gramEnd"/>
                      <w:r w:rsidRPr="00635A0D">
                        <w:rPr>
                          <w:rFonts w:ascii="標楷體" w:eastAsia="標楷體" w:hAnsi="標楷體" w:hint="eastAsia"/>
                          <w:sz w:val="18"/>
                          <w:szCs w:val="18"/>
                        </w:rPr>
                        <w:t>：1</w:t>
                      </w:r>
                      <w:r w:rsidRPr="00635A0D">
                        <w:rPr>
                          <w:rFonts w:ascii="標楷體" w:eastAsia="標楷體" w:hAnsi="標楷體"/>
                          <w:sz w:val="18"/>
                          <w:szCs w:val="18"/>
                        </w:rPr>
                        <w:t>.</w:t>
                      </w:r>
                      <w:r w:rsidRPr="00635A0D">
                        <w:rPr>
                          <w:rFonts w:ascii="標楷體" w:eastAsia="標楷體" w:hAnsi="標楷體" w:hint="eastAsia"/>
                          <w:sz w:val="18"/>
                          <w:szCs w:val="18"/>
                        </w:rPr>
                        <w:t>112年度之考評項目、配分權重與評分標準係依「臺北市政府</w:t>
                      </w:r>
                      <w:proofErr w:type="gramStart"/>
                      <w:r w:rsidRPr="00635A0D">
                        <w:rPr>
                          <w:rFonts w:ascii="標楷體" w:eastAsia="標楷體" w:hAnsi="標楷體" w:hint="eastAsia"/>
                          <w:sz w:val="18"/>
                          <w:szCs w:val="18"/>
                        </w:rPr>
                        <w:t>由府列管</w:t>
                      </w:r>
                      <w:proofErr w:type="gramEnd"/>
                      <w:r w:rsidRPr="00635A0D">
                        <w:rPr>
                          <w:rFonts w:ascii="標楷體" w:eastAsia="標楷體" w:hAnsi="標楷體" w:hint="eastAsia"/>
                          <w:sz w:val="18"/>
                          <w:szCs w:val="18"/>
                        </w:rPr>
                        <w:t>年度個案計畫成效考評項目及評分標準表」；</w:t>
                      </w:r>
                      <w:proofErr w:type="gramStart"/>
                      <w:r w:rsidRPr="00635A0D">
                        <w:rPr>
                          <w:rFonts w:ascii="標楷體" w:eastAsia="標楷體" w:hAnsi="標楷體" w:hint="eastAsia"/>
                          <w:sz w:val="18"/>
                          <w:szCs w:val="18"/>
                        </w:rPr>
                        <w:t>1</w:t>
                      </w:r>
                      <w:r w:rsidRPr="00635A0D">
                        <w:rPr>
                          <w:rFonts w:ascii="標楷體" w:eastAsia="標楷體" w:hAnsi="標楷體"/>
                          <w:sz w:val="18"/>
                          <w:szCs w:val="18"/>
                        </w:rPr>
                        <w:t>13</w:t>
                      </w:r>
                      <w:proofErr w:type="gramEnd"/>
                      <w:r w:rsidRPr="00635A0D">
                        <w:rPr>
                          <w:rFonts w:ascii="標楷體" w:eastAsia="標楷體" w:hAnsi="標楷體" w:hint="eastAsia"/>
                          <w:sz w:val="18"/>
                          <w:szCs w:val="18"/>
                        </w:rPr>
                        <w:t>年度依「臺北市政府</w:t>
                      </w:r>
                      <w:proofErr w:type="gramStart"/>
                      <w:r w:rsidRPr="00635A0D">
                        <w:rPr>
                          <w:rFonts w:ascii="標楷體" w:eastAsia="標楷體" w:hAnsi="標楷體" w:hint="eastAsia"/>
                          <w:sz w:val="18"/>
                          <w:szCs w:val="18"/>
                        </w:rPr>
                        <w:t>府</w:t>
                      </w:r>
                      <w:proofErr w:type="gramEnd"/>
                      <w:r w:rsidRPr="00635A0D">
                        <w:rPr>
                          <w:rFonts w:ascii="標楷體" w:eastAsia="標楷體" w:hAnsi="標楷體" w:hint="eastAsia"/>
                          <w:sz w:val="18"/>
                          <w:szCs w:val="18"/>
                        </w:rPr>
                        <w:t>管制計畫成效考評項目及評分標準表」。</w:t>
                      </w:r>
                    </w:p>
                    <w:p w14:paraId="20017716" w14:textId="77777777" w:rsidR="0029756E" w:rsidRPr="00D96BA3" w:rsidRDefault="0029756E" w:rsidP="0029756E">
                      <w:pPr>
                        <w:spacing w:line="200" w:lineRule="exact"/>
                        <w:ind w:rightChars="115" w:right="276" w:firstLineChars="180" w:firstLine="324"/>
                        <w:jc w:val="both"/>
                        <w:rPr>
                          <w:sz w:val="18"/>
                          <w:szCs w:val="18"/>
                        </w:rPr>
                      </w:pPr>
                      <w:r w:rsidRPr="00635A0D">
                        <w:rPr>
                          <w:rFonts w:ascii="標楷體" w:eastAsia="標楷體" w:hAnsi="標楷體"/>
                          <w:sz w:val="18"/>
                          <w:szCs w:val="18"/>
                        </w:rPr>
                        <w:t>2.</w:t>
                      </w:r>
                      <w:r w:rsidRPr="00635A0D">
                        <w:rPr>
                          <w:rFonts w:ascii="標楷體" w:eastAsia="標楷體" w:hAnsi="標楷體" w:hint="eastAsia"/>
                          <w:sz w:val="18"/>
                          <w:szCs w:val="18"/>
                        </w:rPr>
                        <w:t>資料來源：整理自</w:t>
                      </w:r>
                      <w:r>
                        <w:rPr>
                          <w:rFonts w:ascii="標楷體" w:eastAsia="標楷體" w:hAnsi="標楷體" w:hint="eastAsia"/>
                          <w:sz w:val="18"/>
                          <w:szCs w:val="18"/>
                        </w:rPr>
                        <w:t>臺北</w:t>
                      </w:r>
                      <w:r w:rsidRPr="00635A0D">
                        <w:rPr>
                          <w:rFonts w:ascii="標楷體" w:eastAsia="標楷體" w:hAnsi="標楷體" w:hint="eastAsia"/>
                          <w:sz w:val="18"/>
                          <w:szCs w:val="18"/>
                        </w:rPr>
                        <w:t>市政府提供資料。</w:t>
                      </w:r>
                    </w:p>
                  </w:txbxContent>
                </v:textbox>
                <w10:wrap type="topAndBottom" anchory="page"/>
              </v:shape>
            </w:pict>
          </mc:Fallback>
        </mc:AlternateContent>
      </w:r>
      <w:r w:rsidRPr="00430D32">
        <w:rPr>
          <w:rFonts w:hAnsi="標楷體"/>
          <w:b/>
          <w:noProof/>
          <w:spacing w:val="-12"/>
          <w:sz w:val="32"/>
          <w:szCs w:val="32"/>
        </w:rPr>
        <mc:AlternateContent>
          <mc:Choice Requires="wps">
            <w:drawing>
              <wp:anchor distT="45720" distB="45720" distL="114300" distR="114300" simplePos="0" relativeHeight="251804672" behindDoc="1" locked="0" layoutInCell="1" allowOverlap="1" wp14:anchorId="3F2BA1DD" wp14:editId="387BD6E8">
                <wp:simplePos x="0" y="0"/>
                <wp:positionH relativeFrom="column">
                  <wp:posOffset>-293933</wp:posOffset>
                </wp:positionH>
                <wp:positionV relativeFrom="page">
                  <wp:posOffset>888473</wp:posOffset>
                </wp:positionV>
                <wp:extent cx="6909435" cy="2604770"/>
                <wp:effectExtent l="0" t="0" r="5715" b="5080"/>
                <wp:wrapTopAndBottom/>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9435" cy="2604770"/>
                        </a:xfrm>
                        <a:prstGeom prst="rect">
                          <a:avLst/>
                        </a:prstGeom>
                        <a:solidFill>
                          <a:srgbClr val="FFFFFF"/>
                        </a:solidFill>
                        <a:ln w="9525">
                          <a:noFill/>
                          <a:miter lim="800000"/>
                          <a:headEnd/>
                          <a:tailEnd/>
                        </a:ln>
                      </wps:spPr>
                      <wps:txbx>
                        <w:txbxContent>
                          <w:p w14:paraId="6533C904" w14:textId="77777777" w:rsidR="0029756E" w:rsidRPr="003307CD" w:rsidRDefault="0029756E" w:rsidP="0029756E">
                            <w:pPr>
                              <w:spacing w:beforeLines="50" w:before="180" w:afterLines="50" w:after="180"/>
                              <w:jc w:val="center"/>
                              <w:rPr>
                                <w:rFonts w:ascii="標楷體" w:eastAsia="標楷體" w:hAnsi="標楷體"/>
                                <w:b/>
                              </w:rPr>
                            </w:pPr>
                            <w:r w:rsidRPr="003307CD">
                              <w:rPr>
                                <w:rFonts w:ascii="標楷體" w:eastAsia="標楷體" w:hAnsi="標楷體" w:hint="eastAsia"/>
                                <w:b/>
                              </w:rPr>
                              <w:t>表</w:t>
                            </w:r>
                            <w:r>
                              <w:rPr>
                                <w:rFonts w:ascii="標楷體" w:eastAsia="標楷體" w:hAnsi="標楷體"/>
                                <w:b/>
                              </w:rPr>
                              <w:t>3</w:t>
                            </w:r>
                            <w:r w:rsidRPr="003307CD">
                              <w:rPr>
                                <w:rFonts w:ascii="標楷體" w:eastAsia="標楷體" w:hAnsi="標楷體"/>
                                <w:b/>
                              </w:rPr>
                              <w:t xml:space="preserve">  </w:t>
                            </w:r>
                            <w:r w:rsidRPr="003307CD">
                              <w:rPr>
                                <w:rFonts w:ascii="標楷體" w:eastAsia="標楷體" w:hAnsi="標楷體" w:hint="eastAsia"/>
                                <w:b/>
                              </w:rPr>
                              <w:t>府管制</w:t>
                            </w:r>
                            <w:r>
                              <w:rPr>
                                <w:rFonts w:ascii="標楷體" w:eastAsia="標楷體" w:hAnsi="標楷體" w:hint="eastAsia"/>
                                <w:b/>
                              </w:rPr>
                              <w:t>計畫</w:t>
                            </w:r>
                            <w:proofErr w:type="gramStart"/>
                            <w:r w:rsidRPr="003307CD">
                              <w:rPr>
                                <w:rFonts w:ascii="標楷體" w:eastAsia="標楷體" w:hAnsi="標楷體"/>
                                <w:b/>
                              </w:rPr>
                              <w:t>113</w:t>
                            </w:r>
                            <w:proofErr w:type="gramEnd"/>
                            <w:r w:rsidRPr="003307CD">
                              <w:rPr>
                                <w:rFonts w:ascii="標楷體" w:eastAsia="標楷體" w:hAnsi="標楷體" w:hint="eastAsia"/>
                                <w:b/>
                              </w:rPr>
                              <w:t>年度考評等第退步情形</w:t>
                            </w:r>
                          </w:p>
                          <w:tbl>
                            <w:tblPr>
                              <w:tblStyle w:val="a6"/>
                              <w:tblW w:w="10318" w:type="dxa"/>
                              <w:tblInd w:w="137" w:type="dxa"/>
                              <w:tblLook w:val="04A0" w:firstRow="1" w:lastRow="0" w:firstColumn="1" w:lastColumn="0" w:noHBand="0" w:noVBand="1"/>
                            </w:tblPr>
                            <w:tblGrid>
                              <w:gridCol w:w="567"/>
                              <w:gridCol w:w="1304"/>
                              <w:gridCol w:w="2268"/>
                              <w:gridCol w:w="4365"/>
                              <w:gridCol w:w="907"/>
                              <w:gridCol w:w="907"/>
                            </w:tblGrid>
                            <w:tr w:rsidR="00CE13E2" w:rsidRPr="004E77ED" w14:paraId="1BAF5A1E" w14:textId="77777777" w:rsidTr="00CE13E2">
                              <w:trPr>
                                <w:trHeight w:val="113"/>
                              </w:trPr>
                              <w:tc>
                                <w:tcPr>
                                  <w:tcW w:w="567" w:type="dxa"/>
                                  <w:vMerge w:val="restart"/>
                                  <w:vAlign w:val="center"/>
                                </w:tcPr>
                                <w:p w14:paraId="0EB38BC7"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項次</w:t>
                                  </w:r>
                                </w:p>
                              </w:tc>
                              <w:tc>
                                <w:tcPr>
                                  <w:tcW w:w="1304" w:type="dxa"/>
                                  <w:vMerge w:val="restart"/>
                                  <w:vAlign w:val="center"/>
                                </w:tcPr>
                                <w:p w14:paraId="1906054C"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主管機關</w:t>
                                  </w:r>
                                </w:p>
                              </w:tc>
                              <w:tc>
                                <w:tcPr>
                                  <w:tcW w:w="2268" w:type="dxa"/>
                                  <w:vMerge w:val="restart"/>
                                  <w:vAlign w:val="center"/>
                                </w:tcPr>
                                <w:p w14:paraId="1705EA56"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主辦機關單位</w:t>
                                  </w:r>
                                </w:p>
                              </w:tc>
                              <w:tc>
                                <w:tcPr>
                                  <w:tcW w:w="4365" w:type="dxa"/>
                                  <w:vMerge w:val="restart"/>
                                  <w:vAlign w:val="center"/>
                                </w:tcPr>
                                <w:p w14:paraId="58FBA1C8"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計畫名稱</w:t>
                                  </w:r>
                                </w:p>
                              </w:tc>
                              <w:tc>
                                <w:tcPr>
                                  <w:tcW w:w="1814" w:type="dxa"/>
                                  <w:gridSpan w:val="2"/>
                                  <w:vAlign w:val="center"/>
                                </w:tcPr>
                                <w:p w14:paraId="487A6CDE"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評核等第</w:t>
                                  </w:r>
                                </w:p>
                              </w:tc>
                            </w:tr>
                            <w:tr w:rsidR="00CE13E2" w:rsidRPr="004E77ED" w14:paraId="0873ABEB" w14:textId="77777777" w:rsidTr="00CE13E2">
                              <w:trPr>
                                <w:trHeight w:val="113"/>
                              </w:trPr>
                              <w:tc>
                                <w:tcPr>
                                  <w:tcW w:w="567" w:type="dxa"/>
                                  <w:vMerge/>
                                  <w:vAlign w:val="center"/>
                                </w:tcPr>
                                <w:p w14:paraId="3120DFBB" w14:textId="77777777" w:rsidR="0029756E" w:rsidRPr="004E77ED" w:rsidRDefault="0029756E" w:rsidP="004E77ED">
                                  <w:pPr>
                                    <w:spacing w:line="240" w:lineRule="exact"/>
                                    <w:jc w:val="center"/>
                                    <w:rPr>
                                      <w:rFonts w:ascii="標楷體" w:eastAsia="標楷體" w:hAnsi="標楷體"/>
                                    </w:rPr>
                                  </w:pPr>
                                </w:p>
                              </w:tc>
                              <w:tc>
                                <w:tcPr>
                                  <w:tcW w:w="1304" w:type="dxa"/>
                                  <w:vMerge/>
                                  <w:vAlign w:val="center"/>
                                </w:tcPr>
                                <w:p w14:paraId="5533D090" w14:textId="77777777" w:rsidR="0029756E" w:rsidRPr="004E77ED" w:rsidRDefault="0029756E" w:rsidP="004E77ED">
                                  <w:pPr>
                                    <w:spacing w:line="240" w:lineRule="exact"/>
                                    <w:jc w:val="center"/>
                                    <w:rPr>
                                      <w:rFonts w:ascii="標楷體" w:eastAsia="標楷體" w:hAnsi="標楷體"/>
                                    </w:rPr>
                                  </w:pPr>
                                </w:p>
                              </w:tc>
                              <w:tc>
                                <w:tcPr>
                                  <w:tcW w:w="2268" w:type="dxa"/>
                                  <w:vMerge/>
                                  <w:vAlign w:val="center"/>
                                </w:tcPr>
                                <w:p w14:paraId="3FD51707" w14:textId="77777777" w:rsidR="0029756E" w:rsidRPr="004E77ED" w:rsidRDefault="0029756E" w:rsidP="004E77ED">
                                  <w:pPr>
                                    <w:spacing w:line="240" w:lineRule="exact"/>
                                    <w:jc w:val="center"/>
                                    <w:rPr>
                                      <w:rFonts w:ascii="標楷體" w:eastAsia="標楷體" w:hAnsi="標楷體"/>
                                    </w:rPr>
                                  </w:pPr>
                                </w:p>
                              </w:tc>
                              <w:tc>
                                <w:tcPr>
                                  <w:tcW w:w="4365" w:type="dxa"/>
                                  <w:vMerge/>
                                  <w:vAlign w:val="center"/>
                                </w:tcPr>
                                <w:p w14:paraId="6CE144E7" w14:textId="77777777" w:rsidR="0029756E" w:rsidRPr="004E77ED" w:rsidRDefault="0029756E" w:rsidP="004E77ED">
                                  <w:pPr>
                                    <w:spacing w:line="240" w:lineRule="exact"/>
                                    <w:jc w:val="center"/>
                                    <w:rPr>
                                      <w:rFonts w:ascii="標楷體" w:eastAsia="標楷體" w:hAnsi="標楷體"/>
                                    </w:rPr>
                                  </w:pPr>
                                </w:p>
                              </w:tc>
                              <w:tc>
                                <w:tcPr>
                                  <w:tcW w:w="907" w:type="dxa"/>
                                  <w:vAlign w:val="center"/>
                                </w:tcPr>
                                <w:p w14:paraId="191D3833" w14:textId="77777777" w:rsidR="0029756E" w:rsidRPr="004E77ED" w:rsidRDefault="0029756E" w:rsidP="004E77ED">
                                  <w:pPr>
                                    <w:spacing w:line="240" w:lineRule="exact"/>
                                    <w:jc w:val="center"/>
                                    <w:rPr>
                                      <w:rFonts w:ascii="標楷體" w:eastAsia="標楷體" w:hAnsi="標楷體"/>
                                      <w:spacing w:val="-10"/>
                                    </w:rPr>
                                  </w:pPr>
                                  <w:proofErr w:type="gramStart"/>
                                  <w:r w:rsidRPr="004E77ED">
                                    <w:rPr>
                                      <w:rFonts w:ascii="標楷體" w:eastAsia="標楷體" w:hAnsi="標楷體" w:hint="eastAsia"/>
                                      <w:spacing w:val="-10"/>
                                    </w:rPr>
                                    <w:t>1</w:t>
                                  </w:r>
                                  <w:r w:rsidRPr="004E77ED">
                                    <w:rPr>
                                      <w:rFonts w:ascii="標楷體" w:eastAsia="標楷體" w:hAnsi="標楷體"/>
                                      <w:spacing w:val="-10"/>
                                    </w:rPr>
                                    <w:t>12</w:t>
                                  </w:r>
                                  <w:proofErr w:type="gramEnd"/>
                                  <w:r w:rsidRPr="004E77ED">
                                    <w:rPr>
                                      <w:rFonts w:ascii="標楷體" w:eastAsia="標楷體" w:hAnsi="標楷體" w:hint="eastAsia"/>
                                      <w:spacing w:val="-10"/>
                                    </w:rPr>
                                    <w:t>年度</w:t>
                                  </w:r>
                                </w:p>
                              </w:tc>
                              <w:tc>
                                <w:tcPr>
                                  <w:tcW w:w="907" w:type="dxa"/>
                                  <w:vAlign w:val="center"/>
                                </w:tcPr>
                                <w:p w14:paraId="1101ADC2" w14:textId="77777777" w:rsidR="0029756E" w:rsidRPr="004E77ED" w:rsidRDefault="0029756E" w:rsidP="004E77ED">
                                  <w:pPr>
                                    <w:spacing w:line="240" w:lineRule="exact"/>
                                    <w:jc w:val="center"/>
                                    <w:rPr>
                                      <w:rFonts w:ascii="標楷體" w:eastAsia="標楷體" w:hAnsi="標楷體"/>
                                      <w:spacing w:val="-10"/>
                                    </w:rPr>
                                  </w:pPr>
                                  <w:proofErr w:type="gramStart"/>
                                  <w:r w:rsidRPr="004E77ED">
                                    <w:rPr>
                                      <w:rFonts w:ascii="標楷體" w:eastAsia="標楷體" w:hAnsi="標楷體" w:hint="eastAsia"/>
                                      <w:spacing w:val="-10"/>
                                    </w:rPr>
                                    <w:t>1</w:t>
                                  </w:r>
                                  <w:r w:rsidRPr="004E77ED">
                                    <w:rPr>
                                      <w:rFonts w:ascii="標楷體" w:eastAsia="標楷體" w:hAnsi="標楷體"/>
                                      <w:spacing w:val="-10"/>
                                    </w:rPr>
                                    <w:t>13</w:t>
                                  </w:r>
                                  <w:proofErr w:type="gramEnd"/>
                                  <w:r w:rsidRPr="004E77ED">
                                    <w:rPr>
                                      <w:rFonts w:ascii="標楷體" w:eastAsia="標楷體" w:hAnsi="標楷體" w:hint="eastAsia"/>
                                      <w:spacing w:val="-10"/>
                                    </w:rPr>
                                    <w:t>年度</w:t>
                                  </w:r>
                                </w:p>
                              </w:tc>
                            </w:tr>
                            <w:tr w:rsidR="00CE13E2" w:rsidRPr="004E77ED" w14:paraId="0483D76B" w14:textId="77777777" w:rsidTr="00CE13E2">
                              <w:trPr>
                                <w:trHeight w:val="113"/>
                              </w:trPr>
                              <w:tc>
                                <w:tcPr>
                                  <w:tcW w:w="567" w:type="dxa"/>
                                  <w:vAlign w:val="center"/>
                                </w:tcPr>
                                <w:p w14:paraId="589711F0"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1</w:t>
                                  </w:r>
                                </w:p>
                              </w:tc>
                              <w:tc>
                                <w:tcPr>
                                  <w:tcW w:w="1304" w:type="dxa"/>
                                  <w:vAlign w:val="center"/>
                                </w:tcPr>
                                <w:p w14:paraId="36980D8A"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產業發展局</w:t>
                                  </w:r>
                                </w:p>
                              </w:tc>
                              <w:tc>
                                <w:tcPr>
                                  <w:tcW w:w="2268" w:type="dxa"/>
                                  <w:vAlign w:val="center"/>
                                </w:tcPr>
                                <w:p w14:paraId="024C2973"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市場處</w:t>
                                  </w:r>
                                </w:p>
                              </w:tc>
                              <w:tc>
                                <w:tcPr>
                                  <w:tcW w:w="4365" w:type="dxa"/>
                                  <w:vAlign w:val="center"/>
                                </w:tcPr>
                                <w:p w14:paraId="3EDECABD"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環南市場改建工程</w:t>
                                  </w:r>
                                </w:p>
                              </w:tc>
                              <w:tc>
                                <w:tcPr>
                                  <w:tcW w:w="907" w:type="dxa"/>
                                  <w:vAlign w:val="center"/>
                                </w:tcPr>
                                <w:p w14:paraId="041483B7"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220DBFCD"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r w:rsidR="00CE13E2" w:rsidRPr="004E77ED" w14:paraId="6C0878A6" w14:textId="77777777" w:rsidTr="00CE13E2">
                              <w:trPr>
                                <w:trHeight w:val="113"/>
                              </w:trPr>
                              <w:tc>
                                <w:tcPr>
                                  <w:tcW w:w="567" w:type="dxa"/>
                                  <w:vAlign w:val="center"/>
                                </w:tcPr>
                                <w:p w14:paraId="50EBE356"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2</w:t>
                                  </w:r>
                                </w:p>
                              </w:tc>
                              <w:tc>
                                <w:tcPr>
                                  <w:tcW w:w="1304" w:type="dxa"/>
                                  <w:vAlign w:val="center"/>
                                </w:tcPr>
                                <w:p w14:paraId="047D2E51"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產業發展局</w:t>
                                  </w:r>
                                </w:p>
                              </w:tc>
                              <w:tc>
                                <w:tcPr>
                                  <w:tcW w:w="2268" w:type="dxa"/>
                                  <w:vAlign w:val="center"/>
                                </w:tcPr>
                                <w:p w14:paraId="51668542"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市場處</w:t>
                                  </w:r>
                                </w:p>
                              </w:tc>
                              <w:tc>
                                <w:tcPr>
                                  <w:tcW w:w="4365" w:type="dxa"/>
                                  <w:vAlign w:val="center"/>
                                </w:tcPr>
                                <w:p w14:paraId="651318C7"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南門大樓暨市場改建工程</w:t>
                                  </w:r>
                                </w:p>
                              </w:tc>
                              <w:tc>
                                <w:tcPr>
                                  <w:tcW w:w="907" w:type="dxa"/>
                                  <w:vAlign w:val="center"/>
                                </w:tcPr>
                                <w:p w14:paraId="28AA8866"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313F7F6E"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r w:rsidR="00CE13E2" w:rsidRPr="004E77ED" w14:paraId="7949FF5F" w14:textId="77777777" w:rsidTr="00CE13E2">
                              <w:trPr>
                                <w:trHeight w:val="113"/>
                              </w:trPr>
                              <w:tc>
                                <w:tcPr>
                                  <w:tcW w:w="567" w:type="dxa"/>
                                  <w:vAlign w:val="center"/>
                                </w:tcPr>
                                <w:p w14:paraId="1C096268"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3</w:t>
                                  </w:r>
                                </w:p>
                              </w:tc>
                              <w:tc>
                                <w:tcPr>
                                  <w:tcW w:w="1304" w:type="dxa"/>
                                  <w:vAlign w:val="center"/>
                                </w:tcPr>
                                <w:p w14:paraId="2F10EB0D"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交通局</w:t>
                                  </w:r>
                                </w:p>
                              </w:tc>
                              <w:tc>
                                <w:tcPr>
                                  <w:tcW w:w="2268" w:type="dxa"/>
                                  <w:vAlign w:val="center"/>
                                </w:tcPr>
                                <w:p w14:paraId="37161F33"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rPr>
                                    <w:t>停車管理工程處</w:t>
                                  </w:r>
                                </w:p>
                              </w:tc>
                              <w:tc>
                                <w:tcPr>
                                  <w:tcW w:w="4365" w:type="dxa"/>
                                  <w:vAlign w:val="center"/>
                                </w:tcPr>
                                <w:p w14:paraId="66B7BA52"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內湖321K01停車場新建工程</w:t>
                                  </w:r>
                                </w:p>
                              </w:tc>
                              <w:tc>
                                <w:tcPr>
                                  <w:tcW w:w="907" w:type="dxa"/>
                                  <w:vAlign w:val="center"/>
                                </w:tcPr>
                                <w:p w14:paraId="3173D0FA"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4324E3F5"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r w:rsidR="00CE13E2" w:rsidRPr="004E77ED" w14:paraId="4FE968B8" w14:textId="77777777" w:rsidTr="00CE13E2">
                              <w:trPr>
                                <w:trHeight w:val="113"/>
                              </w:trPr>
                              <w:tc>
                                <w:tcPr>
                                  <w:tcW w:w="567" w:type="dxa"/>
                                  <w:vAlign w:val="center"/>
                                </w:tcPr>
                                <w:p w14:paraId="26D6E9C2"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4</w:t>
                                  </w:r>
                                </w:p>
                              </w:tc>
                              <w:tc>
                                <w:tcPr>
                                  <w:tcW w:w="1304" w:type="dxa"/>
                                  <w:vAlign w:val="center"/>
                                </w:tcPr>
                                <w:p w14:paraId="1DD26FE6"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交通局</w:t>
                                  </w:r>
                                </w:p>
                              </w:tc>
                              <w:tc>
                                <w:tcPr>
                                  <w:tcW w:w="2268" w:type="dxa"/>
                                  <w:vAlign w:val="center"/>
                                </w:tcPr>
                                <w:p w14:paraId="2D1B9BC7"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rPr>
                                    <w:t>停車管理工程處</w:t>
                                  </w:r>
                                </w:p>
                              </w:tc>
                              <w:tc>
                                <w:tcPr>
                                  <w:tcW w:w="4365" w:type="dxa"/>
                                  <w:vAlign w:val="center"/>
                                </w:tcPr>
                                <w:p w14:paraId="1733F73D"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公1公園附建地下停車場新建工程</w:t>
                                  </w:r>
                                </w:p>
                              </w:tc>
                              <w:tc>
                                <w:tcPr>
                                  <w:tcW w:w="907" w:type="dxa"/>
                                  <w:vAlign w:val="center"/>
                                </w:tcPr>
                                <w:p w14:paraId="3FA09FC0"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101D5242"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r w:rsidR="00CE13E2" w:rsidRPr="004E77ED" w14:paraId="2C187D77" w14:textId="77777777" w:rsidTr="00CE13E2">
                              <w:trPr>
                                <w:trHeight w:val="113"/>
                              </w:trPr>
                              <w:tc>
                                <w:tcPr>
                                  <w:tcW w:w="567" w:type="dxa"/>
                                  <w:vAlign w:val="center"/>
                                </w:tcPr>
                                <w:p w14:paraId="48634445"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5</w:t>
                                  </w:r>
                                </w:p>
                              </w:tc>
                              <w:tc>
                                <w:tcPr>
                                  <w:tcW w:w="1304" w:type="dxa"/>
                                  <w:vAlign w:val="center"/>
                                </w:tcPr>
                                <w:p w14:paraId="233ED459"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rPr>
                                    <w:t>都市發展局</w:t>
                                  </w:r>
                                </w:p>
                              </w:tc>
                              <w:tc>
                                <w:tcPr>
                                  <w:tcW w:w="2268" w:type="dxa"/>
                                  <w:vAlign w:val="center"/>
                                </w:tcPr>
                                <w:p w14:paraId="3C652689"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rPr>
                                    <w:t>都市發展局</w:t>
                                  </w:r>
                                </w:p>
                              </w:tc>
                              <w:tc>
                                <w:tcPr>
                                  <w:tcW w:w="4365" w:type="dxa"/>
                                  <w:vAlign w:val="center"/>
                                </w:tcPr>
                                <w:p w14:paraId="0F842532"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信義區六張犁A、B區社會住宅新建工程</w:t>
                                  </w:r>
                                </w:p>
                              </w:tc>
                              <w:tc>
                                <w:tcPr>
                                  <w:tcW w:w="907" w:type="dxa"/>
                                  <w:vAlign w:val="center"/>
                                </w:tcPr>
                                <w:p w14:paraId="5B93B752"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4CEC9B8E"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r w:rsidR="00CE13E2" w:rsidRPr="004E77ED" w14:paraId="3968F231" w14:textId="77777777" w:rsidTr="00CE13E2">
                              <w:trPr>
                                <w:trHeight w:val="113"/>
                              </w:trPr>
                              <w:tc>
                                <w:tcPr>
                                  <w:tcW w:w="567" w:type="dxa"/>
                                  <w:vAlign w:val="center"/>
                                </w:tcPr>
                                <w:p w14:paraId="429200C4"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6</w:t>
                                  </w:r>
                                </w:p>
                              </w:tc>
                              <w:tc>
                                <w:tcPr>
                                  <w:tcW w:w="1304" w:type="dxa"/>
                                  <w:vAlign w:val="center"/>
                                </w:tcPr>
                                <w:p w14:paraId="7634446E"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體育局</w:t>
                                  </w:r>
                                </w:p>
                              </w:tc>
                              <w:tc>
                                <w:tcPr>
                                  <w:tcW w:w="2268" w:type="dxa"/>
                                  <w:vAlign w:val="center"/>
                                </w:tcPr>
                                <w:p w14:paraId="4E321903"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體育局</w:t>
                                  </w:r>
                                </w:p>
                              </w:tc>
                              <w:tc>
                                <w:tcPr>
                                  <w:tcW w:w="4365" w:type="dxa"/>
                                  <w:vAlign w:val="center"/>
                                </w:tcPr>
                                <w:p w14:paraId="72F6550A"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新生公園網球場改建全民</w:t>
                                  </w:r>
                                  <w:proofErr w:type="gramStart"/>
                                  <w:r w:rsidRPr="004E77ED">
                                    <w:rPr>
                                      <w:rFonts w:ascii="標楷體" w:eastAsia="標楷體" w:hAnsi="標楷體" w:hint="eastAsia"/>
                                      <w:color w:val="000000"/>
                                    </w:rPr>
                                    <w:t>運動館統包</w:t>
                                  </w:r>
                                  <w:proofErr w:type="gramEnd"/>
                                  <w:r w:rsidRPr="004E77ED">
                                    <w:rPr>
                                      <w:rFonts w:ascii="標楷體" w:eastAsia="標楷體" w:hAnsi="標楷體" w:hint="eastAsia"/>
                                      <w:color w:val="000000"/>
                                    </w:rPr>
                                    <w:t>工程</w:t>
                                  </w:r>
                                </w:p>
                              </w:tc>
                              <w:tc>
                                <w:tcPr>
                                  <w:tcW w:w="907" w:type="dxa"/>
                                  <w:vAlign w:val="center"/>
                                </w:tcPr>
                                <w:p w14:paraId="6F294F60"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c>
                                <w:tcPr>
                                  <w:tcW w:w="907" w:type="dxa"/>
                                  <w:vAlign w:val="center"/>
                                </w:tcPr>
                                <w:p w14:paraId="1ED701B3"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丙</w:t>
                                  </w:r>
                                </w:p>
                              </w:tc>
                            </w:tr>
                            <w:tr w:rsidR="00CE13E2" w:rsidRPr="004E77ED" w14:paraId="3D8674CF" w14:textId="77777777" w:rsidTr="00CE13E2">
                              <w:trPr>
                                <w:trHeight w:val="113"/>
                              </w:trPr>
                              <w:tc>
                                <w:tcPr>
                                  <w:tcW w:w="567" w:type="dxa"/>
                                  <w:vAlign w:val="center"/>
                                </w:tcPr>
                                <w:p w14:paraId="0A200431"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7</w:t>
                                  </w:r>
                                </w:p>
                              </w:tc>
                              <w:tc>
                                <w:tcPr>
                                  <w:tcW w:w="1304" w:type="dxa"/>
                                  <w:vAlign w:val="center"/>
                                </w:tcPr>
                                <w:p w14:paraId="094D7CBC"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rPr>
                                    <w:t>交通局</w:t>
                                  </w:r>
                                </w:p>
                              </w:tc>
                              <w:tc>
                                <w:tcPr>
                                  <w:tcW w:w="2268" w:type="dxa"/>
                                  <w:vAlign w:val="center"/>
                                </w:tcPr>
                                <w:p w14:paraId="7CB6DCDC" w14:textId="77777777" w:rsidR="0029756E" w:rsidRPr="004E77ED" w:rsidRDefault="0029756E" w:rsidP="004E77ED">
                                  <w:pPr>
                                    <w:spacing w:line="240" w:lineRule="exact"/>
                                    <w:jc w:val="both"/>
                                    <w:rPr>
                                      <w:rFonts w:ascii="標楷體" w:eastAsia="標楷體" w:hAnsi="標楷體"/>
                                    </w:rPr>
                                  </w:pPr>
                                  <w:proofErr w:type="gramStart"/>
                                  <w:r w:rsidRPr="004E77ED">
                                    <w:rPr>
                                      <w:rFonts w:ascii="標楷體" w:eastAsia="標楷體" w:hAnsi="標楷體"/>
                                    </w:rPr>
                                    <w:t>臺</w:t>
                                  </w:r>
                                  <w:proofErr w:type="gramEnd"/>
                                  <w:r w:rsidRPr="004E77ED">
                                    <w:rPr>
                                      <w:rFonts w:ascii="標楷體" w:eastAsia="標楷體" w:hAnsi="標楷體"/>
                                    </w:rPr>
                                    <w:t>北大眾捷運股份有限公司</w:t>
                                  </w:r>
                                </w:p>
                              </w:tc>
                              <w:tc>
                                <w:tcPr>
                                  <w:tcW w:w="4365" w:type="dxa"/>
                                  <w:vAlign w:val="center"/>
                                </w:tcPr>
                                <w:p w14:paraId="0E43D657" w14:textId="77777777" w:rsidR="0029756E" w:rsidRPr="00CE13E2" w:rsidRDefault="0029756E" w:rsidP="004E77ED">
                                  <w:pPr>
                                    <w:spacing w:line="240" w:lineRule="exact"/>
                                    <w:jc w:val="both"/>
                                    <w:rPr>
                                      <w:rFonts w:ascii="標楷體" w:eastAsia="標楷體" w:hAnsi="標楷體"/>
                                      <w:spacing w:val="-4"/>
                                    </w:rPr>
                                  </w:pPr>
                                  <w:r w:rsidRPr="00CE13E2">
                                    <w:rPr>
                                      <w:rFonts w:ascii="標楷體" w:eastAsia="標楷體" w:hAnsi="標楷體" w:hint="eastAsia"/>
                                      <w:color w:val="000000"/>
                                      <w:spacing w:val="-4"/>
                                    </w:rPr>
                                    <w:t>捷運中山地下街出入口暨線形公園整體改造工程第1期</w:t>
                                  </w:r>
                                </w:p>
                              </w:tc>
                              <w:tc>
                                <w:tcPr>
                                  <w:tcW w:w="907" w:type="dxa"/>
                                  <w:vAlign w:val="center"/>
                                </w:tcPr>
                                <w:p w14:paraId="5B82892B"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39D50DFD"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bl>
                          <w:p w14:paraId="6A3BF121" w14:textId="77777777" w:rsidR="0029756E" w:rsidRDefault="0029756E" w:rsidP="0029756E">
                            <w:pPr>
                              <w:spacing w:line="220" w:lineRule="exact"/>
                              <w:ind w:leftChars="60" w:left="639" w:rightChars="115" w:right="276" w:hangingChars="275" w:hanging="495"/>
                              <w:jc w:val="both"/>
                              <w:rPr>
                                <w:rFonts w:ascii="標楷體" w:eastAsia="標楷體" w:hAnsi="標楷體"/>
                                <w:sz w:val="18"/>
                                <w:szCs w:val="18"/>
                              </w:rPr>
                            </w:pPr>
                            <w:proofErr w:type="gramStart"/>
                            <w:r w:rsidRPr="00635A0D">
                              <w:rPr>
                                <w:rFonts w:ascii="標楷體" w:eastAsia="標楷體" w:hAnsi="標楷體" w:hint="eastAsia"/>
                                <w:sz w:val="18"/>
                                <w:szCs w:val="18"/>
                              </w:rPr>
                              <w:t>註</w:t>
                            </w:r>
                            <w:proofErr w:type="gramEnd"/>
                            <w:r w:rsidRPr="00635A0D">
                              <w:rPr>
                                <w:rFonts w:ascii="標楷體" w:eastAsia="標楷體" w:hAnsi="標楷體" w:hint="eastAsia"/>
                                <w:sz w:val="18"/>
                                <w:szCs w:val="18"/>
                              </w:rPr>
                              <w:t>：1</w:t>
                            </w:r>
                            <w:r w:rsidRPr="00635A0D">
                              <w:rPr>
                                <w:rFonts w:ascii="標楷體" w:eastAsia="標楷體" w:hAnsi="標楷體"/>
                                <w:sz w:val="18"/>
                                <w:szCs w:val="18"/>
                              </w:rPr>
                              <w:t>.</w:t>
                            </w:r>
                            <w:r w:rsidRPr="00635A0D">
                              <w:rPr>
                                <w:rFonts w:ascii="標楷體" w:eastAsia="標楷體" w:hAnsi="標楷體" w:hint="eastAsia"/>
                                <w:sz w:val="18"/>
                                <w:szCs w:val="18"/>
                              </w:rPr>
                              <w:t>112年度之考評項目、配分權重與評分標準係依「臺北市政府</w:t>
                            </w:r>
                            <w:proofErr w:type="gramStart"/>
                            <w:r w:rsidRPr="00635A0D">
                              <w:rPr>
                                <w:rFonts w:ascii="標楷體" w:eastAsia="標楷體" w:hAnsi="標楷體" w:hint="eastAsia"/>
                                <w:sz w:val="18"/>
                                <w:szCs w:val="18"/>
                              </w:rPr>
                              <w:t>由府列管</w:t>
                            </w:r>
                            <w:proofErr w:type="gramEnd"/>
                            <w:r w:rsidRPr="00635A0D">
                              <w:rPr>
                                <w:rFonts w:ascii="標楷體" w:eastAsia="標楷體" w:hAnsi="標楷體" w:hint="eastAsia"/>
                                <w:sz w:val="18"/>
                                <w:szCs w:val="18"/>
                              </w:rPr>
                              <w:t>年度個案計畫成效考評項目及評分標準表」；</w:t>
                            </w:r>
                            <w:proofErr w:type="gramStart"/>
                            <w:r w:rsidRPr="00635A0D">
                              <w:rPr>
                                <w:rFonts w:ascii="標楷體" w:eastAsia="標楷體" w:hAnsi="標楷體" w:hint="eastAsia"/>
                                <w:sz w:val="18"/>
                                <w:szCs w:val="18"/>
                              </w:rPr>
                              <w:t>1</w:t>
                            </w:r>
                            <w:r w:rsidRPr="00635A0D">
                              <w:rPr>
                                <w:rFonts w:ascii="標楷體" w:eastAsia="標楷體" w:hAnsi="標楷體"/>
                                <w:sz w:val="18"/>
                                <w:szCs w:val="18"/>
                              </w:rPr>
                              <w:t>13</w:t>
                            </w:r>
                            <w:proofErr w:type="gramEnd"/>
                            <w:r w:rsidRPr="00635A0D">
                              <w:rPr>
                                <w:rFonts w:ascii="標楷體" w:eastAsia="標楷體" w:hAnsi="標楷體" w:hint="eastAsia"/>
                                <w:sz w:val="18"/>
                                <w:szCs w:val="18"/>
                              </w:rPr>
                              <w:t>年度依「臺北市政府</w:t>
                            </w:r>
                            <w:proofErr w:type="gramStart"/>
                            <w:r w:rsidRPr="00635A0D">
                              <w:rPr>
                                <w:rFonts w:ascii="標楷體" w:eastAsia="標楷體" w:hAnsi="標楷體" w:hint="eastAsia"/>
                                <w:sz w:val="18"/>
                                <w:szCs w:val="18"/>
                              </w:rPr>
                              <w:t>府</w:t>
                            </w:r>
                            <w:proofErr w:type="gramEnd"/>
                            <w:r w:rsidRPr="00635A0D">
                              <w:rPr>
                                <w:rFonts w:ascii="標楷體" w:eastAsia="標楷體" w:hAnsi="標楷體" w:hint="eastAsia"/>
                                <w:sz w:val="18"/>
                                <w:szCs w:val="18"/>
                              </w:rPr>
                              <w:t>管制計畫成效考評項目及評分標準表」。</w:t>
                            </w:r>
                          </w:p>
                          <w:p w14:paraId="189E6737" w14:textId="77777777" w:rsidR="0029756E" w:rsidRPr="00635A0D" w:rsidRDefault="0029756E" w:rsidP="0029756E">
                            <w:pPr>
                              <w:spacing w:line="240" w:lineRule="exact"/>
                              <w:ind w:leftChars="60" w:left="144" w:rightChars="115" w:right="276" w:firstLineChars="175" w:firstLine="315"/>
                              <w:jc w:val="both"/>
                              <w:rPr>
                                <w:rFonts w:ascii="標楷體" w:eastAsia="標楷體" w:hAnsi="標楷體"/>
                                <w:sz w:val="18"/>
                                <w:szCs w:val="18"/>
                              </w:rPr>
                            </w:pPr>
                            <w:r w:rsidRPr="00635A0D">
                              <w:rPr>
                                <w:rFonts w:ascii="標楷體" w:eastAsia="標楷體" w:hAnsi="標楷體"/>
                                <w:sz w:val="18"/>
                                <w:szCs w:val="18"/>
                              </w:rPr>
                              <w:t>2.</w:t>
                            </w:r>
                            <w:r w:rsidRPr="00635A0D">
                              <w:rPr>
                                <w:rFonts w:ascii="標楷體" w:eastAsia="標楷體" w:hAnsi="標楷體" w:hint="eastAsia"/>
                                <w:sz w:val="18"/>
                                <w:szCs w:val="18"/>
                              </w:rPr>
                              <w:t>資料來源：整理自</w:t>
                            </w:r>
                            <w:r>
                              <w:rPr>
                                <w:rFonts w:ascii="標楷體" w:eastAsia="標楷體" w:hAnsi="標楷體" w:hint="eastAsia"/>
                                <w:sz w:val="18"/>
                                <w:szCs w:val="18"/>
                              </w:rPr>
                              <w:t>臺北</w:t>
                            </w:r>
                            <w:r w:rsidRPr="00635A0D">
                              <w:rPr>
                                <w:rFonts w:ascii="標楷體" w:eastAsia="標楷體" w:hAnsi="標楷體" w:hint="eastAsia"/>
                                <w:sz w:val="18"/>
                                <w:szCs w:val="18"/>
                              </w:rPr>
                              <w:t>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2BA1DD" id="_x0000_s1028" type="#_x0000_t202" style="position:absolute;left:0;text-align:left;margin-left:-23.15pt;margin-top:69.95pt;width:544.05pt;height:205.1pt;z-index:-25151180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" stroked="f">
                <v:textbox>
                  <w:txbxContent>
                    <w:p w14:paraId="6533C904" w14:textId="77777777" w:rsidR="0029756E" w:rsidRPr="003307CD" w:rsidRDefault="0029756E" w:rsidP="0029756E">
                      <w:pPr>
                        <w:spacing w:beforeLines="50" w:before="180" w:afterLines="50" w:after="180"/>
                        <w:jc w:val="center"/>
                        <w:rPr>
                          <w:rFonts w:ascii="標楷體" w:eastAsia="標楷體" w:hAnsi="標楷體"/>
                          <w:b/>
                        </w:rPr>
                      </w:pPr>
                      <w:r w:rsidRPr="003307CD">
                        <w:rPr>
                          <w:rFonts w:ascii="標楷體" w:eastAsia="標楷體" w:hAnsi="標楷體" w:hint="eastAsia"/>
                          <w:b/>
                        </w:rPr>
                        <w:t>表</w:t>
                      </w:r>
                      <w:r>
                        <w:rPr>
                          <w:rFonts w:ascii="標楷體" w:eastAsia="標楷體" w:hAnsi="標楷體"/>
                          <w:b/>
                        </w:rPr>
                        <w:t>3</w:t>
                      </w:r>
                      <w:r w:rsidRPr="003307CD">
                        <w:rPr>
                          <w:rFonts w:ascii="標楷體" w:eastAsia="標楷體" w:hAnsi="標楷體"/>
                          <w:b/>
                        </w:rPr>
                        <w:t xml:space="preserve">  </w:t>
                      </w:r>
                      <w:r w:rsidRPr="003307CD">
                        <w:rPr>
                          <w:rFonts w:ascii="標楷體" w:eastAsia="標楷體" w:hAnsi="標楷體" w:hint="eastAsia"/>
                          <w:b/>
                        </w:rPr>
                        <w:t>府管制</w:t>
                      </w:r>
                      <w:r>
                        <w:rPr>
                          <w:rFonts w:ascii="標楷體" w:eastAsia="標楷體" w:hAnsi="標楷體" w:hint="eastAsia"/>
                          <w:b/>
                        </w:rPr>
                        <w:t>計畫</w:t>
                      </w:r>
                      <w:proofErr w:type="gramStart"/>
                      <w:r w:rsidRPr="003307CD">
                        <w:rPr>
                          <w:rFonts w:ascii="標楷體" w:eastAsia="標楷體" w:hAnsi="標楷體"/>
                          <w:b/>
                        </w:rPr>
                        <w:t>113</w:t>
                      </w:r>
                      <w:proofErr w:type="gramEnd"/>
                      <w:r w:rsidRPr="003307CD">
                        <w:rPr>
                          <w:rFonts w:ascii="標楷體" w:eastAsia="標楷體" w:hAnsi="標楷體" w:hint="eastAsia"/>
                          <w:b/>
                        </w:rPr>
                        <w:t>年度考評等第退步情形</w:t>
                      </w:r>
                    </w:p>
                    <w:tbl>
                      <w:tblPr>
                        <w:tblStyle w:val="a6"/>
                        <w:tblW w:w="10318" w:type="dxa"/>
                        <w:tblInd w:w="137" w:type="dxa"/>
                        <w:tblLook w:val="04A0" w:firstRow="1" w:lastRow="0" w:firstColumn="1" w:lastColumn="0" w:noHBand="0" w:noVBand="1"/>
                      </w:tblPr>
                      <w:tblGrid>
                        <w:gridCol w:w="567"/>
                        <w:gridCol w:w="1304"/>
                        <w:gridCol w:w="2268"/>
                        <w:gridCol w:w="4365"/>
                        <w:gridCol w:w="907"/>
                        <w:gridCol w:w="907"/>
                      </w:tblGrid>
                      <w:tr w:rsidR="00CE13E2" w:rsidRPr="004E77ED" w14:paraId="1BAF5A1E" w14:textId="77777777" w:rsidTr="00CE13E2">
                        <w:trPr>
                          <w:trHeight w:val="113"/>
                        </w:trPr>
                        <w:tc>
                          <w:tcPr>
                            <w:tcW w:w="567" w:type="dxa"/>
                            <w:vMerge w:val="restart"/>
                            <w:vAlign w:val="center"/>
                          </w:tcPr>
                          <w:p w14:paraId="0EB38BC7"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項次</w:t>
                            </w:r>
                          </w:p>
                        </w:tc>
                        <w:tc>
                          <w:tcPr>
                            <w:tcW w:w="1304" w:type="dxa"/>
                            <w:vMerge w:val="restart"/>
                            <w:vAlign w:val="center"/>
                          </w:tcPr>
                          <w:p w14:paraId="1906054C"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主管機關</w:t>
                            </w:r>
                          </w:p>
                        </w:tc>
                        <w:tc>
                          <w:tcPr>
                            <w:tcW w:w="2268" w:type="dxa"/>
                            <w:vMerge w:val="restart"/>
                            <w:vAlign w:val="center"/>
                          </w:tcPr>
                          <w:p w14:paraId="1705EA56"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主辦機關單位</w:t>
                            </w:r>
                          </w:p>
                        </w:tc>
                        <w:tc>
                          <w:tcPr>
                            <w:tcW w:w="4365" w:type="dxa"/>
                            <w:vMerge w:val="restart"/>
                            <w:vAlign w:val="center"/>
                          </w:tcPr>
                          <w:p w14:paraId="58FBA1C8"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計畫名稱</w:t>
                            </w:r>
                          </w:p>
                        </w:tc>
                        <w:tc>
                          <w:tcPr>
                            <w:tcW w:w="1814" w:type="dxa"/>
                            <w:gridSpan w:val="2"/>
                            <w:vAlign w:val="center"/>
                          </w:tcPr>
                          <w:p w14:paraId="487A6CDE"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評核等第</w:t>
                            </w:r>
                          </w:p>
                        </w:tc>
                      </w:tr>
                      <w:tr w:rsidR="00CE13E2" w:rsidRPr="004E77ED" w14:paraId="0873ABEB" w14:textId="77777777" w:rsidTr="00CE13E2">
                        <w:trPr>
                          <w:trHeight w:val="113"/>
                        </w:trPr>
                        <w:tc>
                          <w:tcPr>
                            <w:tcW w:w="567" w:type="dxa"/>
                            <w:vMerge/>
                            <w:vAlign w:val="center"/>
                          </w:tcPr>
                          <w:p w14:paraId="3120DFBB" w14:textId="77777777" w:rsidR="0029756E" w:rsidRPr="004E77ED" w:rsidRDefault="0029756E" w:rsidP="004E77ED">
                            <w:pPr>
                              <w:spacing w:line="240" w:lineRule="exact"/>
                              <w:jc w:val="center"/>
                              <w:rPr>
                                <w:rFonts w:ascii="標楷體" w:eastAsia="標楷體" w:hAnsi="標楷體"/>
                              </w:rPr>
                            </w:pPr>
                          </w:p>
                        </w:tc>
                        <w:tc>
                          <w:tcPr>
                            <w:tcW w:w="1304" w:type="dxa"/>
                            <w:vMerge/>
                            <w:vAlign w:val="center"/>
                          </w:tcPr>
                          <w:p w14:paraId="5533D090" w14:textId="77777777" w:rsidR="0029756E" w:rsidRPr="004E77ED" w:rsidRDefault="0029756E" w:rsidP="004E77ED">
                            <w:pPr>
                              <w:spacing w:line="240" w:lineRule="exact"/>
                              <w:jc w:val="center"/>
                              <w:rPr>
                                <w:rFonts w:ascii="標楷體" w:eastAsia="標楷體" w:hAnsi="標楷體"/>
                              </w:rPr>
                            </w:pPr>
                          </w:p>
                        </w:tc>
                        <w:tc>
                          <w:tcPr>
                            <w:tcW w:w="2268" w:type="dxa"/>
                            <w:vMerge/>
                            <w:vAlign w:val="center"/>
                          </w:tcPr>
                          <w:p w14:paraId="3FD51707" w14:textId="77777777" w:rsidR="0029756E" w:rsidRPr="004E77ED" w:rsidRDefault="0029756E" w:rsidP="004E77ED">
                            <w:pPr>
                              <w:spacing w:line="240" w:lineRule="exact"/>
                              <w:jc w:val="center"/>
                              <w:rPr>
                                <w:rFonts w:ascii="標楷體" w:eastAsia="標楷體" w:hAnsi="標楷體"/>
                              </w:rPr>
                            </w:pPr>
                          </w:p>
                        </w:tc>
                        <w:tc>
                          <w:tcPr>
                            <w:tcW w:w="4365" w:type="dxa"/>
                            <w:vMerge/>
                            <w:vAlign w:val="center"/>
                          </w:tcPr>
                          <w:p w14:paraId="6CE144E7" w14:textId="77777777" w:rsidR="0029756E" w:rsidRPr="004E77ED" w:rsidRDefault="0029756E" w:rsidP="004E77ED">
                            <w:pPr>
                              <w:spacing w:line="240" w:lineRule="exact"/>
                              <w:jc w:val="center"/>
                              <w:rPr>
                                <w:rFonts w:ascii="標楷體" w:eastAsia="標楷體" w:hAnsi="標楷體"/>
                              </w:rPr>
                            </w:pPr>
                          </w:p>
                        </w:tc>
                        <w:tc>
                          <w:tcPr>
                            <w:tcW w:w="907" w:type="dxa"/>
                            <w:vAlign w:val="center"/>
                          </w:tcPr>
                          <w:p w14:paraId="191D3833" w14:textId="77777777" w:rsidR="0029756E" w:rsidRPr="004E77ED" w:rsidRDefault="0029756E" w:rsidP="004E77ED">
                            <w:pPr>
                              <w:spacing w:line="240" w:lineRule="exact"/>
                              <w:jc w:val="center"/>
                              <w:rPr>
                                <w:rFonts w:ascii="標楷體" w:eastAsia="標楷體" w:hAnsi="標楷體"/>
                                <w:spacing w:val="-10"/>
                              </w:rPr>
                            </w:pPr>
                            <w:proofErr w:type="gramStart"/>
                            <w:r w:rsidRPr="004E77ED">
                              <w:rPr>
                                <w:rFonts w:ascii="標楷體" w:eastAsia="標楷體" w:hAnsi="標楷體" w:hint="eastAsia"/>
                                <w:spacing w:val="-10"/>
                              </w:rPr>
                              <w:t>1</w:t>
                            </w:r>
                            <w:r w:rsidRPr="004E77ED">
                              <w:rPr>
                                <w:rFonts w:ascii="標楷體" w:eastAsia="標楷體" w:hAnsi="標楷體"/>
                                <w:spacing w:val="-10"/>
                              </w:rPr>
                              <w:t>12</w:t>
                            </w:r>
                            <w:proofErr w:type="gramEnd"/>
                            <w:r w:rsidRPr="004E77ED">
                              <w:rPr>
                                <w:rFonts w:ascii="標楷體" w:eastAsia="標楷體" w:hAnsi="標楷體" w:hint="eastAsia"/>
                                <w:spacing w:val="-10"/>
                              </w:rPr>
                              <w:t>年度</w:t>
                            </w:r>
                          </w:p>
                        </w:tc>
                        <w:tc>
                          <w:tcPr>
                            <w:tcW w:w="907" w:type="dxa"/>
                            <w:vAlign w:val="center"/>
                          </w:tcPr>
                          <w:p w14:paraId="1101ADC2" w14:textId="77777777" w:rsidR="0029756E" w:rsidRPr="004E77ED" w:rsidRDefault="0029756E" w:rsidP="004E77ED">
                            <w:pPr>
                              <w:spacing w:line="240" w:lineRule="exact"/>
                              <w:jc w:val="center"/>
                              <w:rPr>
                                <w:rFonts w:ascii="標楷體" w:eastAsia="標楷體" w:hAnsi="標楷體"/>
                                <w:spacing w:val="-10"/>
                              </w:rPr>
                            </w:pPr>
                            <w:proofErr w:type="gramStart"/>
                            <w:r w:rsidRPr="004E77ED">
                              <w:rPr>
                                <w:rFonts w:ascii="標楷體" w:eastAsia="標楷體" w:hAnsi="標楷體" w:hint="eastAsia"/>
                                <w:spacing w:val="-10"/>
                              </w:rPr>
                              <w:t>1</w:t>
                            </w:r>
                            <w:r w:rsidRPr="004E77ED">
                              <w:rPr>
                                <w:rFonts w:ascii="標楷體" w:eastAsia="標楷體" w:hAnsi="標楷體"/>
                                <w:spacing w:val="-10"/>
                              </w:rPr>
                              <w:t>13</w:t>
                            </w:r>
                            <w:proofErr w:type="gramEnd"/>
                            <w:r w:rsidRPr="004E77ED">
                              <w:rPr>
                                <w:rFonts w:ascii="標楷體" w:eastAsia="標楷體" w:hAnsi="標楷體" w:hint="eastAsia"/>
                                <w:spacing w:val="-10"/>
                              </w:rPr>
                              <w:t>年度</w:t>
                            </w:r>
                          </w:p>
                        </w:tc>
                      </w:tr>
                      <w:tr w:rsidR="00CE13E2" w:rsidRPr="004E77ED" w14:paraId="0483D76B" w14:textId="77777777" w:rsidTr="00CE13E2">
                        <w:trPr>
                          <w:trHeight w:val="113"/>
                        </w:trPr>
                        <w:tc>
                          <w:tcPr>
                            <w:tcW w:w="567" w:type="dxa"/>
                            <w:vAlign w:val="center"/>
                          </w:tcPr>
                          <w:p w14:paraId="589711F0"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1</w:t>
                            </w:r>
                          </w:p>
                        </w:tc>
                        <w:tc>
                          <w:tcPr>
                            <w:tcW w:w="1304" w:type="dxa"/>
                            <w:vAlign w:val="center"/>
                          </w:tcPr>
                          <w:p w14:paraId="36980D8A"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產業發展局</w:t>
                            </w:r>
                          </w:p>
                        </w:tc>
                        <w:tc>
                          <w:tcPr>
                            <w:tcW w:w="2268" w:type="dxa"/>
                            <w:vAlign w:val="center"/>
                          </w:tcPr>
                          <w:p w14:paraId="024C2973"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市場處</w:t>
                            </w:r>
                          </w:p>
                        </w:tc>
                        <w:tc>
                          <w:tcPr>
                            <w:tcW w:w="4365" w:type="dxa"/>
                            <w:vAlign w:val="center"/>
                          </w:tcPr>
                          <w:p w14:paraId="3EDECABD"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環南市場改建工程</w:t>
                            </w:r>
                          </w:p>
                        </w:tc>
                        <w:tc>
                          <w:tcPr>
                            <w:tcW w:w="907" w:type="dxa"/>
                            <w:vAlign w:val="center"/>
                          </w:tcPr>
                          <w:p w14:paraId="041483B7"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220DBFCD"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r w:rsidR="00CE13E2" w:rsidRPr="004E77ED" w14:paraId="6C0878A6" w14:textId="77777777" w:rsidTr="00CE13E2">
                        <w:trPr>
                          <w:trHeight w:val="113"/>
                        </w:trPr>
                        <w:tc>
                          <w:tcPr>
                            <w:tcW w:w="567" w:type="dxa"/>
                            <w:vAlign w:val="center"/>
                          </w:tcPr>
                          <w:p w14:paraId="50EBE356"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2</w:t>
                            </w:r>
                          </w:p>
                        </w:tc>
                        <w:tc>
                          <w:tcPr>
                            <w:tcW w:w="1304" w:type="dxa"/>
                            <w:vAlign w:val="center"/>
                          </w:tcPr>
                          <w:p w14:paraId="047D2E51"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產業發展局</w:t>
                            </w:r>
                          </w:p>
                        </w:tc>
                        <w:tc>
                          <w:tcPr>
                            <w:tcW w:w="2268" w:type="dxa"/>
                            <w:vAlign w:val="center"/>
                          </w:tcPr>
                          <w:p w14:paraId="51668542"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市場處</w:t>
                            </w:r>
                          </w:p>
                        </w:tc>
                        <w:tc>
                          <w:tcPr>
                            <w:tcW w:w="4365" w:type="dxa"/>
                            <w:vAlign w:val="center"/>
                          </w:tcPr>
                          <w:p w14:paraId="651318C7"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南門大樓暨市場改建工程</w:t>
                            </w:r>
                          </w:p>
                        </w:tc>
                        <w:tc>
                          <w:tcPr>
                            <w:tcW w:w="907" w:type="dxa"/>
                            <w:vAlign w:val="center"/>
                          </w:tcPr>
                          <w:p w14:paraId="28AA8866"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313F7F6E"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r w:rsidR="00CE13E2" w:rsidRPr="004E77ED" w14:paraId="7949FF5F" w14:textId="77777777" w:rsidTr="00CE13E2">
                        <w:trPr>
                          <w:trHeight w:val="113"/>
                        </w:trPr>
                        <w:tc>
                          <w:tcPr>
                            <w:tcW w:w="567" w:type="dxa"/>
                            <w:vAlign w:val="center"/>
                          </w:tcPr>
                          <w:p w14:paraId="1C096268"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3</w:t>
                            </w:r>
                          </w:p>
                        </w:tc>
                        <w:tc>
                          <w:tcPr>
                            <w:tcW w:w="1304" w:type="dxa"/>
                            <w:vAlign w:val="center"/>
                          </w:tcPr>
                          <w:p w14:paraId="2F10EB0D"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交通局</w:t>
                            </w:r>
                          </w:p>
                        </w:tc>
                        <w:tc>
                          <w:tcPr>
                            <w:tcW w:w="2268" w:type="dxa"/>
                            <w:vAlign w:val="center"/>
                          </w:tcPr>
                          <w:p w14:paraId="37161F33"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rPr>
                              <w:t>停車管理工程處</w:t>
                            </w:r>
                          </w:p>
                        </w:tc>
                        <w:tc>
                          <w:tcPr>
                            <w:tcW w:w="4365" w:type="dxa"/>
                            <w:vAlign w:val="center"/>
                          </w:tcPr>
                          <w:p w14:paraId="66B7BA52"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內湖321K01停車場新建工程</w:t>
                            </w:r>
                          </w:p>
                        </w:tc>
                        <w:tc>
                          <w:tcPr>
                            <w:tcW w:w="907" w:type="dxa"/>
                            <w:vAlign w:val="center"/>
                          </w:tcPr>
                          <w:p w14:paraId="3173D0FA"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4324E3F5"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r w:rsidR="00CE13E2" w:rsidRPr="004E77ED" w14:paraId="4FE968B8" w14:textId="77777777" w:rsidTr="00CE13E2">
                        <w:trPr>
                          <w:trHeight w:val="113"/>
                        </w:trPr>
                        <w:tc>
                          <w:tcPr>
                            <w:tcW w:w="567" w:type="dxa"/>
                            <w:vAlign w:val="center"/>
                          </w:tcPr>
                          <w:p w14:paraId="26D6E9C2"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4</w:t>
                            </w:r>
                          </w:p>
                        </w:tc>
                        <w:tc>
                          <w:tcPr>
                            <w:tcW w:w="1304" w:type="dxa"/>
                            <w:vAlign w:val="center"/>
                          </w:tcPr>
                          <w:p w14:paraId="1DD26FE6"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交通局</w:t>
                            </w:r>
                          </w:p>
                        </w:tc>
                        <w:tc>
                          <w:tcPr>
                            <w:tcW w:w="2268" w:type="dxa"/>
                            <w:vAlign w:val="center"/>
                          </w:tcPr>
                          <w:p w14:paraId="2D1B9BC7"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rPr>
                              <w:t>停車管理工程處</w:t>
                            </w:r>
                          </w:p>
                        </w:tc>
                        <w:tc>
                          <w:tcPr>
                            <w:tcW w:w="4365" w:type="dxa"/>
                            <w:vAlign w:val="center"/>
                          </w:tcPr>
                          <w:p w14:paraId="1733F73D"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公1公園附建地下停車場新建工程</w:t>
                            </w:r>
                          </w:p>
                        </w:tc>
                        <w:tc>
                          <w:tcPr>
                            <w:tcW w:w="907" w:type="dxa"/>
                            <w:vAlign w:val="center"/>
                          </w:tcPr>
                          <w:p w14:paraId="3FA09FC0"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101D5242"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r w:rsidR="00CE13E2" w:rsidRPr="004E77ED" w14:paraId="2C187D77" w14:textId="77777777" w:rsidTr="00CE13E2">
                        <w:trPr>
                          <w:trHeight w:val="113"/>
                        </w:trPr>
                        <w:tc>
                          <w:tcPr>
                            <w:tcW w:w="567" w:type="dxa"/>
                            <w:vAlign w:val="center"/>
                          </w:tcPr>
                          <w:p w14:paraId="48634445"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5</w:t>
                            </w:r>
                          </w:p>
                        </w:tc>
                        <w:tc>
                          <w:tcPr>
                            <w:tcW w:w="1304" w:type="dxa"/>
                            <w:vAlign w:val="center"/>
                          </w:tcPr>
                          <w:p w14:paraId="233ED459"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rPr>
                              <w:t>都市發展局</w:t>
                            </w:r>
                          </w:p>
                        </w:tc>
                        <w:tc>
                          <w:tcPr>
                            <w:tcW w:w="2268" w:type="dxa"/>
                            <w:vAlign w:val="center"/>
                          </w:tcPr>
                          <w:p w14:paraId="3C652689"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rPr>
                              <w:t>都市發展局</w:t>
                            </w:r>
                          </w:p>
                        </w:tc>
                        <w:tc>
                          <w:tcPr>
                            <w:tcW w:w="4365" w:type="dxa"/>
                            <w:vAlign w:val="center"/>
                          </w:tcPr>
                          <w:p w14:paraId="0F842532"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信義區六張犁A、B區社會住宅新建工程</w:t>
                            </w:r>
                          </w:p>
                        </w:tc>
                        <w:tc>
                          <w:tcPr>
                            <w:tcW w:w="907" w:type="dxa"/>
                            <w:vAlign w:val="center"/>
                          </w:tcPr>
                          <w:p w14:paraId="5B93B752"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4CEC9B8E"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r w:rsidR="00CE13E2" w:rsidRPr="004E77ED" w14:paraId="3968F231" w14:textId="77777777" w:rsidTr="00CE13E2">
                        <w:trPr>
                          <w:trHeight w:val="113"/>
                        </w:trPr>
                        <w:tc>
                          <w:tcPr>
                            <w:tcW w:w="567" w:type="dxa"/>
                            <w:vAlign w:val="center"/>
                          </w:tcPr>
                          <w:p w14:paraId="429200C4"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6</w:t>
                            </w:r>
                          </w:p>
                        </w:tc>
                        <w:tc>
                          <w:tcPr>
                            <w:tcW w:w="1304" w:type="dxa"/>
                            <w:vAlign w:val="center"/>
                          </w:tcPr>
                          <w:p w14:paraId="7634446E"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體育局</w:t>
                            </w:r>
                          </w:p>
                        </w:tc>
                        <w:tc>
                          <w:tcPr>
                            <w:tcW w:w="2268" w:type="dxa"/>
                            <w:vAlign w:val="center"/>
                          </w:tcPr>
                          <w:p w14:paraId="4E321903"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體育局</w:t>
                            </w:r>
                          </w:p>
                        </w:tc>
                        <w:tc>
                          <w:tcPr>
                            <w:tcW w:w="4365" w:type="dxa"/>
                            <w:vAlign w:val="center"/>
                          </w:tcPr>
                          <w:p w14:paraId="72F6550A"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color w:val="000000"/>
                              </w:rPr>
                              <w:t>新生公園網球場改建全民</w:t>
                            </w:r>
                            <w:proofErr w:type="gramStart"/>
                            <w:r w:rsidRPr="004E77ED">
                              <w:rPr>
                                <w:rFonts w:ascii="標楷體" w:eastAsia="標楷體" w:hAnsi="標楷體" w:hint="eastAsia"/>
                                <w:color w:val="000000"/>
                              </w:rPr>
                              <w:t>運動館統包</w:t>
                            </w:r>
                            <w:proofErr w:type="gramEnd"/>
                            <w:r w:rsidRPr="004E77ED">
                              <w:rPr>
                                <w:rFonts w:ascii="標楷體" w:eastAsia="標楷體" w:hAnsi="標楷體" w:hint="eastAsia"/>
                                <w:color w:val="000000"/>
                              </w:rPr>
                              <w:t>工程</w:t>
                            </w:r>
                          </w:p>
                        </w:tc>
                        <w:tc>
                          <w:tcPr>
                            <w:tcW w:w="907" w:type="dxa"/>
                            <w:vAlign w:val="center"/>
                          </w:tcPr>
                          <w:p w14:paraId="6F294F60"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c>
                          <w:tcPr>
                            <w:tcW w:w="907" w:type="dxa"/>
                            <w:vAlign w:val="center"/>
                          </w:tcPr>
                          <w:p w14:paraId="1ED701B3"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丙</w:t>
                            </w:r>
                          </w:p>
                        </w:tc>
                      </w:tr>
                      <w:tr w:rsidR="00CE13E2" w:rsidRPr="004E77ED" w14:paraId="3D8674CF" w14:textId="77777777" w:rsidTr="00CE13E2">
                        <w:trPr>
                          <w:trHeight w:val="113"/>
                        </w:trPr>
                        <w:tc>
                          <w:tcPr>
                            <w:tcW w:w="567" w:type="dxa"/>
                            <w:vAlign w:val="center"/>
                          </w:tcPr>
                          <w:p w14:paraId="0A200431"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rPr>
                              <w:t>7</w:t>
                            </w:r>
                          </w:p>
                        </w:tc>
                        <w:tc>
                          <w:tcPr>
                            <w:tcW w:w="1304" w:type="dxa"/>
                            <w:vAlign w:val="center"/>
                          </w:tcPr>
                          <w:p w14:paraId="094D7CBC" w14:textId="77777777" w:rsidR="0029756E" w:rsidRPr="004E77ED" w:rsidRDefault="0029756E" w:rsidP="004E77ED">
                            <w:pPr>
                              <w:spacing w:line="240" w:lineRule="exact"/>
                              <w:jc w:val="both"/>
                              <w:rPr>
                                <w:rFonts w:ascii="標楷體" w:eastAsia="標楷體" w:hAnsi="標楷體"/>
                              </w:rPr>
                            </w:pPr>
                            <w:r w:rsidRPr="004E77ED">
                              <w:rPr>
                                <w:rFonts w:ascii="標楷體" w:eastAsia="標楷體" w:hAnsi="標楷體" w:hint="eastAsia"/>
                              </w:rPr>
                              <w:t>交通局</w:t>
                            </w:r>
                          </w:p>
                        </w:tc>
                        <w:tc>
                          <w:tcPr>
                            <w:tcW w:w="2268" w:type="dxa"/>
                            <w:vAlign w:val="center"/>
                          </w:tcPr>
                          <w:p w14:paraId="7CB6DCDC" w14:textId="77777777" w:rsidR="0029756E" w:rsidRPr="004E77ED" w:rsidRDefault="0029756E" w:rsidP="004E77ED">
                            <w:pPr>
                              <w:spacing w:line="240" w:lineRule="exact"/>
                              <w:jc w:val="both"/>
                              <w:rPr>
                                <w:rFonts w:ascii="標楷體" w:eastAsia="標楷體" w:hAnsi="標楷體"/>
                              </w:rPr>
                            </w:pPr>
                            <w:proofErr w:type="gramStart"/>
                            <w:r w:rsidRPr="004E77ED">
                              <w:rPr>
                                <w:rFonts w:ascii="標楷體" w:eastAsia="標楷體" w:hAnsi="標楷體"/>
                              </w:rPr>
                              <w:t>臺</w:t>
                            </w:r>
                            <w:proofErr w:type="gramEnd"/>
                            <w:r w:rsidRPr="004E77ED">
                              <w:rPr>
                                <w:rFonts w:ascii="標楷體" w:eastAsia="標楷體" w:hAnsi="標楷體"/>
                              </w:rPr>
                              <w:t>北大眾捷運股份有限公司</w:t>
                            </w:r>
                          </w:p>
                        </w:tc>
                        <w:tc>
                          <w:tcPr>
                            <w:tcW w:w="4365" w:type="dxa"/>
                            <w:vAlign w:val="center"/>
                          </w:tcPr>
                          <w:p w14:paraId="0E43D657" w14:textId="77777777" w:rsidR="0029756E" w:rsidRPr="00CE13E2" w:rsidRDefault="0029756E" w:rsidP="004E77ED">
                            <w:pPr>
                              <w:spacing w:line="240" w:lineRule="exact"/>
                              <w:jc w:val="both"/>
                              <w:rPr>
                                <w:rFonts w:ascii="標楷體" w:eastAsia="標楷體" w:hAnsi="標楷體"/>
                                <w:spacing w:val="-4"/>
                              </w:rPr>
                            </w:pPr>
                            <w:r w:rsidRPr="00CE13E2">
                              <w:rPr>
                                <w:rFonts w:ascii="標楷體" w:eastAsia="標楷體" w:hAnsi="標楷體" w:hint="eastAsia"/>
                                <w:color w:val="000000"/>
                                <w:spacing w:val="-4"/>
                              </w:rPr>
                              <w:t>捷運中山地下街出入口暨線形公園整體改造工程第1期</w:t>
                            </w:r>
                          </w:p>
                        </w:tc>
                        <w:tc>
                          <w:tcPr>
                            <w:tcW w:w="907" w:type="dxa"/>
                            <w:vAlign w:val="center"/>
                          </w:tcPr>
                          <w:p w14:paraId="5B82892B"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甲</w:t>
                            </w:r>
                          </w:p>
                        </w:tc>
                        <w:tc>
                          <w:tcPr>
                            <w:tcW w:w="907" w:type="dxa"/>
                            <w:vAlign w:val="center"/>
                          </w:tcPr>
                          <w:p w14:paraId="39D50DFD" w14:textId="77777777" w:rsidR="0029756E" w:rsidRPr="004E77ED" w:rsidRDefault="0029756E" w:rsidP="004E77ED">
                            <w:pPr>
                              <w:spacing w:line="240" w:lineRule="exact"/>
                              <w:jc w:val="center"/>
                              <w:rPr>
                                <w:rFonts w:ascii="標楷體" w:eastAsia="標楷體" w:hAnsi="標楷體"/>
                              </w:rPr>
                            </w:pPr>
                            <w:r w:rsidRPr="004E77ED">
                              <w:rPr>
                                <w:rFonts w:ascii="標楷體" w:eastAsia="標楷體" w:hAnsi="標楷體" w:hint="eastAsia"/>
                                <w:color w:val="000000"/>
                              </w:rPr>
                              <w:t>乙</w:t>
                            </w:r>
                          </w:p>
                        </w:tc>
                      </w:tr>
                    </w:tbl>
                    <w:p w14:paraId="6A3BF121" w14:textId="77777777" w:rsidR="0029756E" w:rsidRDefault="0029756E" w:rsidP="0029756E">
                      <w:pPr>
                        <w:spacing w:line="220" w:lineRule="exact"/>
                        <w:ind w:leftChars="60" w:left="639" w:rightChars="115" w:right="276" w:hangingChars="275" w:hanging="495"/>
                        <w:jc w:val="both"/>
                        <w:rPr>
                          <w:rFonts w:ascii="標楷體" w:eastAsia="標楷體" w:hAnsi="標楷體"/>
                          <w:sz w:val="18"/>
                          <w:szCs w:val="18"/>
                        </w:rPr>
                      </w:pPr>
                      <w:proofErr w:type="gramStart"/>
                      <w:r w:rsidRPr="00635A0D">
                        <w:rPr>
                          <w:rFonts w:ascii="標楷體" w:eastAsia="標楷體" w:hAnsi="標楷體" w:hint="eastAsia"/>
                          <w:sz w:val="18"/>
                          <w:szCs w:val="18"/>
                        </w:rPr>
                        <w:t>註</w:t>
                      </w:r>
                      <w:proofErr w:type="gramEnd"/>
                      <w:r w:rsidRPr="00635A0D">
                        <w:rPr>
                          <w:rFonts w:ascii="標楷體" w:eastAsia="標楷體" w:hAnsi="標楷體" w:hint="eastAsia"/>
                          <w:sz w:val="18"/>
                          <w:szCs w:val="18"/>
                        </w:rPr>
                        <w:t>：1</w:t>
                      </w:r>
                      <w:r w:rsidRPr="00635A0D">
                        <w:rPr>
                          <w:rFonts w:ascii="標楷體" w:eastAsia="標楷體" w:hAnsi="標楷體"/>
                          <w:sz w:val="18"/>
                          <w:szCs w:val="18"/>
                        </w:rPr>
                        <w:t>.</w:t>
                      </w:r>
                      <w:r w:rsidRPr="00635A0D">
                        <w:rPr>
                          <w:rFonts w:ascii="標楷體" w:eastAsia="標楷體" w:hAnsi="標楷體" w:hint="eastAsia"/>
                          <w:sz w:val="18"/>
                          <w:szCs w:val="18"/>
                        </w:rPr>
                        <w:t>112年度之考評項目、配分權重與評分標準係依「臺北市政府</w:t>
                      </w:r>
                      <w:proofErr w:type="gramStart"/>
                      <w:r w:rsidRPr="00635A0D">
                        <w:rPr>
                          <w:rFonts w:ascii="標楷體" w:eastAsia="標楷體" w:hAnsi="標楷體" w:hint="eastAsia"/>
                          <w:sz w:val="18"/>
                          <w:szCs w:val="18"/>
                        </w:rPr>
                        <w:t>由府列管</w:t>
                      </w:r>
                      <w:proofErr w:type="gramEnd"/>
                      <w:r w:rsidRPr="00635A0D">
                        <w:rPr>
                          <w:rFonts w:ascii="標楷體" w:eastAsia="標楷體" w:hAnsi="標楷體" w:hint="eastAsia"/>
                          <w:sz w:val="18"/>
                          <w:szCs w:val="18"/>
                        </w:rPr>
                        <w:t>年度個案計畫成效考評項目及評分標準表」；</w:t>
                      </w:r>
                      <w:proofErr w:type="gramStart"/>
                      <w:r w:rsidRPr="00635A0D">
                        <w:rPr>
                          <w:rFonts w:ascii="標楷體" w:eastAsia="標楷體" w:hAnsi="標楷體" w:hint="eastAsia"/>
                          <w:sz w:val="18"/>
                          <w:szCs w:val="18"/>
                        </w:rPr>
                        <w:t>1</w:t>
                      </w:r>
                      <w:r w:rsidRPr="00635A0D">
                        <w:rPr>
                          <w:rFonts w:ascii="標楷體" w:eastAsia="標楷體" w:hAnsi="標楷體"/>
                          <w:sz w:val="18"/>
                          <w:szCs w:val="18"/>
                        </w:rPr>
                        <w:t>13</w:t>
                      </w:r>
                      <w:proofErr w:type="gramEnd"/>
                      <w:r w:rsidRPr="00635A0D">
                        <w:rPr>
                          <w:rFonts w:ascii="標楷體" w:eastAsia="標楷體" w:hAnsi="標楷體" w:hint="eastAsia"/>
                          <w:sz w:val="18"/>
                          <w:szCs w:val="18"/>
                        </w:rPr>
                        <w:t>年度依「臺北市政府</w:t>
                      </w:r>
                      <w:proofErr w:type="gramStart"/>
                      <w:r w:rsidRPr="00635A0D">
                        <w:rPr>
                          <w:rFonts w:ascii="標楷體" w:eastAsia="標楷體" w:hAnsi="標楷體" w:hint="eastAsia"/>
                          <w:sz w:val="18"/>
                          <w:szCs w:val="18"/>
                        </w:rPr>
                        <w:t>府</w:t>
                      </w:r>
                      <w:proofErr w:type="gramEnd"/>
                      <w:r w:rsidRPr="00635A0D">
                        <w:rPr>
                          <w:rFonts w:ascii="標楷體" w:eastAsia="標楷體" w:hAnsi="標楷體" w:hint="eastAsia"/>
                          <w:sz w:val="18"/>
                          <w:szCs w:val="18"/>
                        </w:rPr>
                        <w:t>管制計畫成效考評項目及評分標準表」。</w:t>
                      </w:r>
                    </w:p>
                    <w:p w14:paraId="189E6737" w14:textId="77777777" w:rsidR="0029756E" w:rsidRPr="00635A0D" w:rsidRDefault="0029756E" w:rsidP="0029756E">
                      <w:pPr>
                        <w:spacing w:line="240" w:lineRule="exact"/>
                        <w:ind w:leftChars="60" w:left="144" w:rightChars="115" w:right="276" w:firstLineChars="175" w:firstLine="315"/>
                        <w:jc w:val="both"/>
                        <w:rPr>
                          <w:rFonts w:ascii="標楷體" w:eastAsia="標楷體" w:hAnsi="標楷體"/>
                          <w:sz w:val="18"/>
                          <w:szCs w:val="18"/>
                        </w:rPr>
                      </w:pPr>
                      <w:r w:rsidRPr="00635A0D">
                        <w:rPr>
                          <w:rFonts w:ascii="標楷體" w:eastAsia="標楷體" w:hAnsi="標楷體"/>
                          <w:sz w:val="18"/>
                          <w:szCs w:val="18"/>
                        </w:rPr>
                        <w:t>2.</w:t>
                      </w:r>
                      <w:r w:rsidRPr="00635A0D">
                        <w:rPr>
                          <w:rFonts w:ascii="標楷體" w:eastAsia="標楷體" w:hAnsi="標楷體" w:hint="eastAsia"/>
                          <w:sz w:val="18"/>
                          <w:szCs w:val="18"/>
                        </w:rPr>
                        <w:t>資料來源：整理自</w:t>
                      </w:r>
                      <w:r>
                        <w:rPr>
                          <w:rFonts w:ascii="標楷體" w:eastAsia="標楷體" w:hAnsi="標楷體" w:hint="eastAsia"/>
                          <w:sz w:val="18"/>
                          <w:szCs w:val="18"/>
                        </w:rPr>
                        <w:t>臺北</w:t>
                      </w:r>
                      <w:r w:rsidRPr="00635A0D">
                        <w:rPr>
                          <w:rFonts w:ascii="標楷體" w:eastAsia="標楷體" w:hAnsi="標楷體" w:hint="eastAsia"/>
                          <w:sz w:val="18"/>
                          <w:szCs w:val="18"/>
                        </w:rPr>
                        <w:t>市政府提供資料。</w:t>
                      </w:r>
                    </w:p>
                  </w:txbxContent>
                </v:textbox>
                <w10:wrap type="topAndBottom" anchory="page"/>
              </v:shape>
            </w:pict>
          </mc:Fallback>
        </mc:AlternateContent>
      </w:r>
      <w:r w:rsidR="0029756E" w:rsidRPr="00430D32">
        <w:rPr>
          <w:rFonts w:ascii="標楷體" w:eastAsia="標楷體" w:hAnsi="標楷體" w:hint="eastAsia"/>
          <w:b/>
          <w:sz w:val="28"/>
          <w:szCs w:val="32"/>
        </w:rPr>
        <w:t>（三）</w:t>
      </w:r>
      <w:r w:rsidR="0029756E" w:rsidRPr="00430D32">
        <w:rPr>
          <w:rFonts w:ascii="標楷體" w:eastAsia="標楷體" w:hAnsi="標楷體" w:hint="eastAsia"/>
          <w:b/>
          <w:sz w:val="28"/>
          <w:szCs w:val="28"/>
        </w:rPr>
        <w:t>整</w:t>
      </w:r>
      <w:r w:rsidR="0029756E" w:rsidRPr="00430D32">
        <w:rPr>
          <w:rFonts w:ascii="標楷體" w:eastAsia="標楷體" w:hAnsi="標楷體" w:hint="eastAsia"/>
          <w:b/>
          <w:sz w:val="28"/>
          <w:szCs w:val="32"/>
        </w:rPr>
        <w:t>體營業及非營業基金收支預算執行結果，雖獲有盈（</w:t>
      </w:r>
      <w:proofErr w:type="gramStart"/>
      <w:r w:rsidR="0029756E" w:rsidRPr="00430D32">
        <w:rPr>
          <w:rFonts w:ascii="標楷體" w:eastAsia="標楷體" w:hAnsi="標楷體" w:hint="eastAsia"/>
          <w:b/>
          <w:sz w:val="28"/>
          <w:szCs w:val="32"/>
        </w:rPr>
        <w:t>賸</w:t>
      </w:r>
      <w:proofErr w:type="gramEnd"/>
      <w:r w:rsidR="0029756E" w:rsidRPr="00430D32">
        <w:rPr>
          <w:rFonts w:ascii="標楷體" w:eastAsia="標楷體" w:hAnsi="標楷體" w:hint="eastAsia"/>
          <w:b/>
          <w:sz w:val="28"/>
          <w:szCs w:val="32"/>
        </w:rPr>
        <w:t>）餘，惟仍未達預算目標，且部分</w:t>
      </w:r>
      <w:proofErr w:type="gramStart"/>
      <w:r w:rsidR="0029756E" w:rsidRPr="00430D32">
        <w:rPr>
          <w:rFonts w:ascii="標楷體" w:eastAsia="標楷體" w:hAnsi="標楷體" w:hint="eastAsia"/>
          <w:b/>
          <w:sz w:val="28"/>
          <w:szCs w:val="32"/>
        </w:rPr>
        <w:t>基金間有盈</w:t>
      </w:r>
      <w:proofErr w:type="gramEnd"/>
      <w:r w:rsidR="0029756E" w:rsidRPr="00430D32">
        <w:rPr>
          <w:rFonts w:ascii="標楷體" w:eastAsia="標楷體" w:hAnsi="標楷體" w:hint="eastAsia"/>
          <w:b/>
          <w:sz w:val="28"/>
          <w:szCs w:val="32"/>
        </w:rPr>
        <w:t>（</w:t>
      </w:r>
      <w:proofErr w:type="gramStart"/>
      <w:r w:rsidR="0029756E" w:rsidRPr="00430D32">
        <w:rPr>
          <w:rFonts w:ascii="標楷體" w:eastAsia="標楷體" w:hAnsi="標楷體" w:hint="eastAsia"/>
          <w:b/>
          <w:sz w:val="28"/>
          <w:szCs w:val="32"/>
        </w:rPr>
        <w:t>賸</w:t>
      </w:r>
      <w:proofErr w:type="gramEnd"/>
      <w:r w:rsidR="0029756E" w:rsidRPr="00430D32">
        <w:rPr>
          <w:rFonts w:ascii="標楷體" w:eastAsia="標楷體" w:hAnsi="標楷體" w:hint="eastAsia"/>
          <w:b/>
          <w:sz w:val="28"/>
          <w:szCs w:val="32"/>
        </w:rPr>
        <w:t>）餘低於預算數或短</w:t>
      </w:r>
      <w:proofErr w:type="gramStart"/>
      <w:r w:rsidR="0029756E" w:rsidRPr="00430D32">
        <w:rPr>
          <w:rFonts w:ascii="標楷體" w:eastAsia="標楷體" w:hAnsi="標楷體" w:hint="eastAsia"/>
          <w:b/>
          <w:sz w:val="28"/>
          <w:szCs w:val="32"/>
        </w:rPr>
        <w:t>絀</w:t>
      </w:r>
      <w:proofErr w:type="gramEnd"/>
      <w:r w:rsidR="0029756E" w:rsidRPr="00430D32">
        <w:rPr>
          <w:rFonts w:ascii="標楷體" w:eastAsia="標楷體" w:hAnsi="標楷體" w:hint="eastAsia"/>
          <w:b/>
          <w:sz w:val="28"/>
          <w:szCs w:val="32"/>
        </w:rPr>
        <w:t>加劇，另營運（業務）計畫執行結果亦有未達目標情形，有待督促改善，以提升運作效能。</w:t>
      </w:r>
    </w:p>
    <w:bookmarkEnd w:id="3"/>
    <w:p w14:paraId="1DA018CF" w14:textId="77777777" w:rsidR="00600DD6" w:rsidRDefault="0029756E" w:rsidP="005A7C75">
      <w:pPr>
        <w:overflowPunct w:val="0"/>
        <w:spacing w:beforeLines="50" w:before="180" w:line="446" w:lineRule="exact"/>
        <w:ind w:firstLineChars="200" w:firstLine="480"/>
        <w:jc w:val="both"/>
        <w:rPr>
          <w:rFonts w:ascii="標楷體" w:eastAsia="標楷體" w:hAnsi="標楷體"/>
          <w:szCs w:val="24"/>
        </w:rPr>
      </w:pPr>
      <w:r w:rsidRPr="00430D32">
        <w:rPr>
          <w:rFonts w:ascii="標楷體" w:eastAsia="標楷體" w:hAnsi="標楷體" w:hint="eastAsia"/>
        </w:rPr>
        <w:t>臺</w:t>
      </w:r>
      <w:r w:rsidRPr="00430D32">
        <w:rPr>
          <w:rFonts w:ascii="標楷體" w:eastAsia="標楷體" w:hAnsi="標楷體" w:hint="eastAsia"/>
          <w:szCs w:val="24"/>
        </w:rPr>
        <w:t>北市政府為因應經濟、交通、教育、社會福利、環境保護、農業及住宅正義等施政需要，依預算法及相關法律規定，設置27個非營業特種基金及4個營業特種基金，</w:t>
      </w:r>
      <w:proofErr w:type="gramStart"/>
      <w:r w:rsidRPr="00430D32">
        <w:rPr>
          <w:rFonts w:ascii="標楷體" w:eastAsia="標楷體" w:hAnsi="標楷體" w:hint="eastAsia"/>
          <w:szCs w:val="24"/>
        </w:rPr>
        <w:t>1</w:t>
      </w:r>
      <w:r w:rsidRPr="00430D32">
        <w:rPr>
          <w:rFonts w:ascii="標楷體" w:eastAsia="標楷體" w:hAnsi="標楷體"/>
          <w:szCs w:val="24"/>
        </w:rPr>
        <w:t>1</w:t>
      </w:r>
      <w:r w:rsidRPr="00430D32">
        <w:rPr>
          <w:rFonts w:ascii="標楷體" w:eastAsia="標楷體" w:hAnsi="標楷體" w:hint="eastAsia"/>
          <w:szCs w:val="24"/>
        </w:rPr>
        <w:t>3</w:t>
      </w:r>
      <w:proofErr w:type="gramEnd"/>
      <w:r w:rsidRPr="00430D32">
        <w:rPr>
          <w:rFonts w:ascii="標楷體" w:eastAsia="標楷體" w:hAnsi="標楷體"/>
          <w:szCs w:val="24"/>
        </w:rPr>
        <w:t>年度預算執行結果，</w:t>
      </w:r>
      <w:r w:rsidRPr="00430D32">
        <w:rPr>
          <w:rFonts w:ascii="標楷體" w:eastAsia="標楷體" w:hAnsi="標楷體" w:hint="eastAsia"/>
          <w:szCs w:val="24"/>
        </w:rPr>
        <w:t>解繳臺北市政府</w:t>
      </w:r>
      <w:proofErr w:type="gramStart"/>
      <w:r w:rsidRPr="00430D32">
        <w:rPr>
          <w:rFonts w:ascii="標楷體" w:eastAsia="標楷體" w:hAnsi="標楷體" w:hint="eastAsia"/>
          <w:szCs w:val="24"/>
        </w:rPr>
        <w:t>公庫股</w:t>
      </w:r>
      <w:proofErr w:type="gramEnd"/>
      <w:r w:rsidRPr="00430D32">
        <w:rPr>
          <w:rFonts w:ascii="標楷體" w:eastAsia="標楷體" w:hAnsi="標楷體" w:hint="eastAsia"/>
          <w:szCs w:val="24"/>
        </w:rPr>
        <w:t>（官）息紅利及公庫數計78</w:t>
      </w:r>
      <w:r w:rsidRPr="00430D32">
        <w:rPr>
          <w:rFonts w:ascii="標楷體" w:eastAsia="標楷體" w:hAnsi="標楷體"/>
          <w:szCs w:val="24"/>
        </w:rPr>
        <w:t>億</w:t>
      </w:r>
      <w:r w:rsidRPr="00430D32">
        <w:rPr>
          <w:rFonts w:ascii="標楷體" w:eastAsia="標楷體" w:hAnsi="標楷體" w:hint="eastAsia"/>
          <w:szCs w:val="24"/>
        </w:rPr>
        <w:t>5</w:t>
      </w:r>
      <w:r w:rsidRPr="00430D32">
        <w:rPr>
          <w:rFonts w:ascii="標楷體" w:eastAsia="標楷體" w:hAnsi="標楷體"/>
          <w:szCs w:val="24"/>
        </w:rPr>
        <w:t>,</w:t>
      </w:r>
      <w:r w:rsidRPr="00430D32">
        <w:rPr>
          <w:rFonts w:ascii="標楷體" w:eastAsia="標楷體" w:hAnsi="標楷體" w:hint="eastAsia"/>
          <w:szCs w:val="24"/>
        </w:rPr>
        <w:t>927萬餘元，較預算增加3億9,519</w:t>
      </w:r>
      <w:r w:rsidRPr="00430D32">
        <w:rPr>
          <w:rFonts w:ascii="標楷體" w:eastAsia="標楷體" w:hAnsi="標楷體"/>
          <w:szCs w:val="24"/>
        </w:rPr>
        <w:t>萬餘元，約</w:t>
      </w:r>
      <w:r w:rsidRPr="00430D32">
        <w:rPr>
          <w:rFonts w:ascii="標楷體" w:eastAsia="標楷體" w:hAnsi="標楷體" w:hint="eastAsia"/>
          <w:szCs w:val="24"/>
        </w:rPr>
        <w:t>5.29</w:t>
      </w:r>
      <w:r w:rsidRPr="00430D32">
        <w:rPr>
          <w:rFonts w:ascii="標楷體" w:eastAsia="標楷體" w:hAnsi="標楷體"/>
          <w:szCs w:val="24"/>
        </w:rPr>
        <w:t>％</w:t>
      </w:r>
      <w:r w:rsidRPr="00430D32">
        <w:rPr>
          <w:rFonts w:ascii="標楷體" w:eastAsia="標楷體" w:hAnsi="標楷體" w:hint="eastAsia"/>
          <w:szCs w:val="24"/>
        </w:rPr>
        <w:t>；</w:t>
      </w:r>
      <w:r w:rsidRPr="00430D32">
        <w:rPr>
          <w:rFonts w:ascii="標楷體" w:eastAsia="標楷體" w:hAnsi="標楷體"/>
          <w:szCs w:val="24"/>
        </w:rPr>
        <w:t>本期淨利</w:t>
      </w:r>
      <w:r w:rsidRPr="00430D32">
        <w:rPr>
          <w:rFonts w:ascii="標楷體" w:eastAsia="標楷體" w:hAnsi="標楷體" w:hint="eastAsia"/>
          <w:szCs w:val="24"/>
        </w:rPr>
        <w:t>（賸餘）111</w:t>
      </w:r>
      <w:r w:rsidRPr="00430D32">
        <w:rPr>
          <w:rFonts w:ascii="標楷體" w:eastAsia="標楷體" w:hAnsi="標楷體"/>
          <w:szCs w:val="24"/>
        </w:rPr>
        <w:t>億</w:t>
      </w:r>
      <w:r w:rsidRPr="00430D32">
        <w:rPr>
          <w:rFonts w:ascii="標楷體" w:eastAsia="標楷體" w:hAnsi="標楷體" w:hint="eastAsia"/>
          <w:szCs w:val="24"/>
        </w:rPr>
        <w:t>9</w:t>
      </w:r>
      <w:r w:rsidRPr="00430D32">
        <w:rPr>
          <w:rFonts w:ascii="標楷體" w:eastAsia="標楷體" w:hAnsi="標楷體"/>
          <w:szCs w:val="24"/>
        </w:rPr>
        <w:t>,</w:t>
      </w:r>
      <w:r w:rsidRPr="00430D32">
        <w:rPr>
          <w:rFonts w:ascii="標楷體" w:eastAsia="標楷體" w:hAnsi="標楷體" w:hint="eastAsia"/>
          <w:szCs w:val="24"/>
        </w:rPr>
        <w:t>104</w:t>
      </w:r>
      <w:r w:rsidRPr="00430D32">
        <w:rPr>
          <w:rFonts w:ascii="標楷體" w:eastAsia="標楷體" w:hAnsi="標楷體"/>
          <w:szCs w:val="24"/>
        </w:rPr>
        <w:t>萬餘元，較</w:t>
      </w:r>
      <w:r w:rsidRPr="00430D32">
        <w:rPr>
          <w:rFonts w:ascii="標楷體" w:eastAsia="標楷體" w:hAnsi="標楷體" w:hint="eastAsia"/>
          <w:szCs w:val="24"/>
        </w:rPr>
        <w:t>預算減少7</w:t>
      </w:r>
      <w:r w:rsidRPr="00430D32">
        <w:rPr>
          <w:rFonts w:ascii="標楷體" w:eastAsia="標楷體" w:hAnsi="標楷體"/>
          <w:szCs w:val="24"/>
        </w:rPr>
        <w:t>億</w:t>
      </w:r>
      <w:r w:rsidRPr="00430D32">
        <w:rPr>
          <w:rFonts w:ascii="標楷體" w:eastAsia="標楷體" w:hAnsi="標楷體" w:hint="eastAsia"/>
          <w:szCs w:val="24"/>
        </w:rPr>
        <w:t>7</w:t>
      </w:r>
      <w:r w:rsidRPr="00430D32">
        <w:rPr>
          <w:rFonts w:ascii="標楷體" w:eastAsia="標楷體" w:hAnsi="標楷體"/>
          <w:szCs w:val="24"/>
        </w:rPr>
        <w:t>,</w:t>
      </w:r>
      <w:r w:rsidRPr="00430D32">
        <w:rPr>
          <w:rFonts w:ascii="標楷體" w:eastAsia="標楷體" w:hAnsi="標楷體" w:hint="eastAsia"/>
          <w:szCs w:val="24"/>
        </w:rPr>
        <w:t>050</w:t>
      </w:r>
      <w:r w:rsidRPr="00430D32">
        <w:rPr>
          <w:rFonts w:ascii="標楷體" w:eastAsia="標楷體" w:hAnsi="標楷體"/>
          <w:szCs w:val="24"/>
        </w:rPr>
        <w:t>萬餘元</w:t>
      </w:r>
      <w:r w:rsidRPr="00430D32">
        <w:rPr>
          <w:rFonts w:ascii="標楷體" w:eastAsia="標楷體" w:hAnsi="標楷體" w:hint="eastAsia"/>
          <w:szCs w:val="24"/>
        </w:rPr>
        <w:t>，約6.44</w:t>
      </w:r>
      <w:r w:rsidRPr="00430D32">
        <w:rPr>
          <w:rFonts w:ascii="標楷體" w:eastAsia="標楷體" w:hAnsi="標楷體"/>
          <w:szCs w:val="24"/>
        </w:rPr>
        <w:t>％，</w:t>
      </w:r>
      <w:r w:rsidRPr="00430D32">
        <w:rPr>
          <w:rFonts w:ascii="標楷體" w:eastAsia="標楷體" w:hAnsi="標楷體" w:hint="eastAsia"/>
          <w:szCs w:val="24"/>
        </w:rPr>
        <w:t>未達預算盈（</w:t>
      </w:r>
      <w:proofErr w:type="gramStart"/>
      <w:r w:rsidRPr="00430D32">
        <w:rPr>
          <w:rFonts w:ascii="標楷體" w:eastAsia="標楷體" w:hAnsi="標楷體" w:hint="eastAsia"/>
          <w:szCs w:val="24"/>
        </w:rPr>
        <w:t>賸</w:t>
      </w:r>
      <w:proofErr w:type="gramEnd"/>
      <w:r w:rsidRPr="00430D32">
        <w:rPr>
          <w:rFonts w:ascii="標楷體" w:eastAsia="標楷體" w:hAnsi="標楷體" w:hint="eastAsia"/>
          <w:szCs w:val="24"/>
        </w:rPr>
        <w:t>）餘目標，如按個別基金分析，除臺北市溫泉資源管理基金</w:t>
      </w:r>
      <w:r w:rsidRPr="00430D32">
        <w:rPr>
          <w:rFonts w:ascii="標楷體" w:eastAsia="標楷體" w:hAnsi="標楷體"/>
          <w:szCs w:val="24"/>
        </w:rPr>
        <w:t>等</w:t>
      </w:r>
      <w:r w:rsidRPr="00430D32">
        <w:rPr>
          <w:rFonts w:ascii="標楷體" w:eastAsia="標楷體" w:hAnsi="標楷體" w:hint="eastAsia"/>
          <w:szCs w:val="24"/>
        </w:rPr>
        <w:t>15個基金</w:t>
      </w:r>
      <w:proofErr w:type="gramStart"/>
      <w:r w:rsidRPr="00430D32">
        <w:rPr>
          <w:rFonts w:ascii="標楷體" w:eastAsia="標楷體" w:hAnsi="標楷體" w:hint="eastAsia"/>
          <w:szCs w:val="24"/>
        </w:rPr>
        <w:t>實際盈（賸）餘</w:t>
      </w:r>
      <w:r w:rsidRPr="00430D32">
        <w:rPr>
          <w:rFonts w:ascii="標楷體" w:eastAsia="標楷體" w:hAnsi="標楷體"/>
          <w:szCs w:val="24"/>
        </w:rPr>
        <w:t>較</w:t>
      </w:r>
      <w:proofErr w:type="gramEnd"/>
      <w:r w:rsidRPr="00430D32">
        <w:rPr>
          <w:rFonts w:ascii="標楷體" w:eastAsia="標楷體" w:hAnsi="標楷體"/>
          <w:szCs w:val="24"/>
        </w:rPr>
        <w:t>預算數增加</w:t>
      </w:r>
      <w:r w:rsidRPr="00430D32">
        <w:rPr>
          <w:rFonts w:ascii="標楷體" w:eastAsia="標楷體" w:hAnsi="標楷體" w:hint="eastAsia"/>
          <w:szCs w:val="24"/>
        </w:rPr>
        <w:t>、臺北市市場發展基金等3個基金實際短</w:t>
      </w:r>
      <w:proofErr w:type="gramStart"/>
      <w:r w:rsidRPr="00430D32">
        <w:rPr>
          <w:rFonts w:ascii="標楷體" w:eastAsia="標楷體" w:hAnsi="標楷體" w:hint="eastAsia"/>
          <w:szCs w:val="24"/>
        </w:rPr>
        <w:t>絀</w:t>
      </w:r>
      <w:proofErr w:type="gramEnd"/>
      <w:r w:rsidRPr="00430D32">
        <w:rPr>
          <w:rFonts w:ascii="標楷體" w:eastAsia="標楷體" w:hAnsi="標楷體" w:hint="eastAsia"/>
          <w:szCs w:val="24"/>
        </w:rPr>
        <w:t>較預算短</w:t>
      </w:r>
      <w:proofErr w:type="gramStart"/>
      <w:r w:rsidRPr="00430D32">
        <w:rPr>
          <w:rFonts w:ascii="標楷體" w:eastAsia="標楷體" w:hAnsi="標楷體" w:hint="eastAsia"/>
          <w:szCs w:val="24"/>
        </w:rPr>
        <w:t>絀</w:t>
      </w:r>
      <w:proofErr w:type="gramEnd"/>
      <w:r w:rsidRPr="00430D32">
        <w:rPr>
          <w:rFonts w:ascii="標楷體" w:eastAsia="標楷體" w:hAnsi="標楷體" w:hint="eastAsia"/>
          <w:szCs w:val="24"/>
        </w:rPr>
        <w:t>減少、臺北市輔助公教人員購置住宅及急難貸款基金等3個基金</w:t>
      </w:r>
      <w:r w:rsidRPr="00430D32">
        <w:rPr>
          <w:rFonts w:ascii="標楷體" w:eastAsia="標楷體" w:hAnsi="標楷體" w:cs="DFKaiShu-SB-Estd-BF" w:hint="eastAsia"/>
          <w:szCs w:val="24"/>
        </w:rPr>
        <w:t>預算</w:t>
      </w:r>
      <w:r w:rsidRPr="00430D32">
        <w:rPr>
          <w:rFonts w:ascii="標楷體" w:eastAsia="標楷體" w:hAnsi="標楷體" w:hint="eastAsia"/>
          <w:szCs w:val="24"/>
        </w:rPr>
        <w:t>短</w:t>
      </w:r>
      <w:proofErr w:type="gramStart"/>
      <w:r w:rsidRPr="00430D32">
        <w:rPr>
          <w:rFonts w:ascii="標楷體" w:eastAsia="標楷體" w:hAnsi="標楷體" w:hint="eastAsia"/>
          <w:szCs w:val="24"/>
        </w:rPr>
        <w:t>絀</w:t>
      </w:r>
      <w:proofErr w:type="gramEnd"/>
      <w:r w:rsidRPr="00430D32">
        <w:rPr>
          <w:rFonts w:ascii="標楷體" w:eastAsia="標楷體" w:hAnsi="標楷體" w:hint="eastAsia"/>
          <w:szCs w:val="24"/>
        </w:rPr>
        <w:t>而實際賸餘外，其餘10</w:t>
      </w:r>
      <w:r w:rsidRPr="00430D32">
        <w:rPr>
          <w:rFonts w:ascii="標楷體" w:eastAsia="標楷體" w:hAnsi="標楷體"/>
          <w:szCs w:val="24"/>
        </w:rPr>
        <w:t>個基金（表5）獲利較預算</w:t>
      </w:r>
      <w:proofErr w:type="gramStart"/>
      <w:r w:rsidRPr="00430D32">
        <w:rPr>
          <w:rFonts w:ascii="標楷體" w:eastAsia="標楷體" w:hAnsi="標楷體"/>
          <w:szCs w:val="24"/>
        </w:rPr>
        <w:t>為遜或</w:t>
      </w:r>
      <w:r w:rsidRPr="00430D32">
        <w:rPr>
          <w:rFonts w:ascii="標楷體" w:eastAsia="標楷體" w:hAnsi="標楷體" w:hint="eastAsia"/>
          <w:szCs w:val="24"/>
        </w:rPr>
        <w:t>短絀</w:t>
      </w:r>
      <w:proofErr w:type="gramEnd"/>
      <w:r w:rsidRPr="00430D32">
        <w:rPr>
          <w:rFonts w:ascii="標楷體" w:eastAsia="標楷體" w:hAnsi="標楷體"/>
          <w:szCs w:val="24"/>
        </w:rPr>
        <w:t>增加</w:t>
      </w:r>
      <w:r w:rsidRPr="00430D32">
        <w:rPr>
          <w:rFonts w:ascii="標楷體" w:eastAsia="標楷體" w:hAnsi="標楷體" w:hint="eastAsia"/>
          <w:szCs w:val="24"/>
        </w:rPr>
        <w:t>如次：1.實際短</w:t>
      </w:r>
      <w:proofErr w:type="gramStart"/>
      <w:r w:rsidRPr="00430D32">
        <w:rPr>
          <w:rFonts w:ascii="標楷體" w:eastAsia="標楷體" w:hAnsi="標楷體" w:hint="eastAsia"/>
          <w:szCs w:val="24"/>
        </w:rPr>
        <w:t>絀</w:t>
      </w:r>
      <w:proofErr w:type="gramEnd"/>
      <w:r w:rsidRPr="00430D32">
        <w:rPr>
          <w:rFonts w:ascii="標楷體" w:eastAsia="標楷體" w:hAnsi="標楷體" w:hint="eastAsia"/>
          <w:szCs w:val="24"/>
        </w:rPr>
        <w:t>較預算短</w:t>
      </w:r>
      <w:proofErr w:type="gramStart"/>
      <w:r w:rsidRPr="00430D32">
        <w:rPr>
          <w:rFonts w:ascii="標楷體" w:eastAsia="標楷體" w:hAnsi="標楷體" w:hint="eastAsia"/>
          <w:szCs w:val="24"/>
        </w:rPr>
        <w:t>絀</w:t>
      </w:r>
      <w:proofErr w:type="gramEnd"/>
      <w:r w:rsidRPr="00430D32">
        <w:rPr>
          <w:rFonts w:ascii="標楷體" w:eastAsia="標楷體" w:hAnsi="標楷體" w:hint="eastAsia"/>
          <w:szCs w:val="24"/>
        </w:rPr>
        <w:t>增加者</w:t>
      </w:r>
      <w:r w:rsidRPr="00430D32">
        <w:rPr>
          <w:rFonts w:ascii="標楷體" w:eastAsia="標楷體" w:hAnsi="標楷體"/>
          <w:szCs w:val="24"/>
        </w:rPr>
        <w:t>為</w:t>
      </w:r>
      <w:r w:rsidRPr="00430D32">
        <w:rPr>
          <w:rFonts w:ascii="標楷體" w:eastAsia="標楷體" w:hAnsi="標楷體" w:hint="eastAsia"/>
          <w:szCs w:val="24"/>
        </w:rPr>
        <w:t>臺北市容積代金基金等3個基金</w:t>
      </w:r>
      <w:r w:rsidRPr="00430D32">
        <w:rPr>
          <w:rFonts w:ascii="標楷體" w:eastAsia="標楷體" w:hAnsi="標楷體"/>
          <w:szCs w:val="24"/>
        </w:rPr>
        <w:t>，</w:t>
      </w:r>
      <w:r w:rsidRPr="00430D32">
        <w:rPr>
          <w:rFonts w:ascii="標楷體" w:eastAsia="標楷體" w:hAnsi="標楷體" w:hint="eastAsia"/>
          <w:szCs w:val="24"/>
        </w:rPr>
        <w:t>各基金實際短</w:t>
      </w:r>
      <w:proofErr w:type="gramStart"/>
      <w:r w:rsidRPr="00430D32">
        <w:rPr>
          <w:rFonts w:ascii="標楷體" w:eastAsia="標楷體" w:hAnsi="標楷體"/>
          <w:szCs w:val="24"/>
        </w:rPr>
        <w:t>絀</w:t>
      </w:r>
      <w:proofErr w:type="gramEnd"/>
      <w:r w:rsidRPr="00430D32">
        <w:rPr>
          <w:rFonts w:ascii="標楷體" w:eastAsia="標楷體" w:hAnsi="標楷體" w:hint="eastAsia"/>
          <w:szCs w:val="24"/>
        </w:rPr>
        <w:t>分別較預算增加21萬餘元至5億3</w:t>
      </w:r>
      <w:r w:rsidRPr="00430D32">
        <w:rPr>
          <w:rFonts w:ascii="標楷體" w:eastAsia="標楷體" w:hAnsi="標楷體"/>
          <w:szCs w:val="24"/>
        </w:rPr>
        <w:t>,</w:t>
      </w:r>
      <w:r w:rsidRPr="00430D32">
        <w:rPr>
          <w:rFonts w:ascii="標楷體" w:eastAsia="標楷體" w:hAnsi="標楷體" w:hint="eastAsia"/>
          <w:szCs w:val="24"/>
        </w:rPr>
        <w:t>513</w:t>
      </w:r>
      <w:r w:rsidRPr="00430D32">
        <w:rPr>
          <w:rFonts w:ascii="標楷體" w:eastAsia="標楷體" w:hAnsi="標楷體"/>
          <w:szCs w:val="24"/>
        </w:rPr>
        <w:t>萬餘元</w:t>
      </w:r>
      <w:r w:rsidRPr="00430D32">
        <w:rPr>
          <w:rFonts w:ascii="標楷體" w:eastAsia="標楷體" w:hAnsi="標楷體" w:hint="eastAsia"/>
          <w:szCs w:val="24"/>
        </w:rPr>
        <w:t>不等；2.</w:t>
      </w:r>
      <w:proofErr w:type="gramStart"/>
      <w:r w:rsidRPr="00430D32">
        <w:rPr>
          <w:rFonts w:ascii="標楷體" w:eastAsia="標楷體" w:hAnsi="標楷體" w:hint="eastAsia"/>
          <w:szCs w:val="24"/>
        </w:rPr>
        <w:t>實際盈（</w:t>
      </w:r>
      <w:r w:rsidRPr="00430D32">
        <w:rPr>
          <w:rFonts w:ascii="標楷體" w:eastAsia="標楷體" w:hAnsi="標楷體"/>
          <w:szCs w:val="24"/>
        </w:rPr>
        <w:t>賸</w:t>
      </w:r>
      <w:r w:rsidRPr="00430D32">
        <w:rPr>
          <w:rFonts w:ascii="標楷體" w:eastAsia="標楷體" w:hAnsi="標楷體" w:hint="eastAsia"/>
          <w:szCs w:val="24"/>
        </w:rPr>
        <w:t>）</w:t>
      </w:r>
      <w:r w:rsidRPr="00430D32">
        <w:rPr>
          <w:rFonts w:ascii="標楷體" w:eastAsia="標楷體" w:hAnsi="標楷體"/>
          <w:szCs w:val="24"/>
        </w:rPr>
        <w:t>餘較</w:t>
      </w:r>
      <w:proofErr w:type="gramEnd"/>
      <w:r w:rsidRPr="00430D32">
        <w:rPr>
          <w:rFonts w:ascii="標楷體" w:eastAsia="標楷體" w:hAnsi="標楷體"/>
          <w:szCs w:val="24"/>
        </w:rPr>
        <w:t>預算減少者</w:t>
      </w:r>
      <w:r w:rsidRPr="00430D32">
        <w:rPr>
          <w:rFonts w:ascii="標楷體" w:eastAsia="標楷體" w:hAnsi="標楷體" w:hint="eastAsia"/>
          <w:szCs w:val="24"/>
        </w:rPr>
        <w:t>為臺北市立聯合醫院醫療基金等7個基金，各基金</w:t>
      </w:r>
      <w:proofErr w:type="gramStart"/>
      <w:r w:rsidRPr="00430D32">
        <w:rPr>
          <w:rFonts w:ascii="標楷體" w:eastAsia="標楷體" w:hAnsi="標楷體" w:hint="eastAsia"/>
          <w:szCs w:val="24"/>
        </w:rPr>
        <w:t>實際盈（</w:t>
      </w:r>
      <w:r w:rsidRPr="00430D32">
        <w:rPr>
          <w:rFonts w:ascii="標楷體" w:eastAsia="標楷體" w:hAnsi="標楷體"/>
          <w:szCs w:val="24"/>
        </w:rPr>
        <w:t>賸</w:t>
      </w:r>
      <w:proofErr w:type="gramEnd"/>
      <w:r w:rsidRPr="00430D32">
        <w:rPr>
          <w:rFonts w:ascii="標楷體" w:eastAsia="標楷體" w:hAnsi="標楷體" w:hint="eastAsia"/>
          <w:szCs w:val="24"/>
        </w:rPr>
        <w:t>）餘分別</w:t>
      </w:r>
      <w:r w:rsidRPr="00430D32">
        <w:rPr>
          <w:rFonts w:ascii="標楷體" w:eastAsia="標楷體" w:hAnsi="標楷體"/>
          <w:szCs w:val="24"/>
        </w:rPr>
        <w:t>較預算減少</w:t>
      </w:r>
      <w:r w:rsidRPr="00430D32">
        <w:rPr>
          <w:rFonts w:ascii="標楷體" w:eastAsia="標楷體" w:hAnsi="標楷體" w:hint="eastAsia"/>
          <w:szCs w:val="24"/>
        </w:rPr>
        <w:t>248</w:t>
      </w:r>
      <w:r w:rsidRPr="00430D32">
        <w:rPr>
          <w:rFonts w:ascii="標楷體" w:eastAsia="標楷體" w:hAnsi="標楷體"/>
          <w:szCs w:val="24"/>
        </w:rPr>
        <w:t>萬餘元</w:t>
      </w:r>
      <w:r w:rsidRPr="00430D32">
        <w:rPr>
          <w:rFonts w:ascii="標楷體" w:eastAsia="標楷體" w:hAnsi="標楷體" w:hint="eastAsia"/>
          <w:szCs w:val="24"/>
        </w:rPr>
        <w:t>至19億9</w:t>
      </w:r>
      <w:r w:rsidRPr="00430D32">
        <w:rPr>
          <w:rFonts w:ascii="標楷體" w:eastAsia="標楷體" w:hAnsi="標楷體"/>
          <w:szCs w:val="24"/>
        </w:rPr>
        <w:t>,</w:t>
      </w:r>
      <w:r w:rsidRPr="00430D32">
        <w:rPr>
          <w:rFonts w:ascii="標楷體" w:eastAsia="標楷體" w:hAnsi="標楷體" w:hint="eastAsia"/>
          <w:szCs w:val="24"/>
        </w:rPr>
        <w:t>479</w:t>
      </w:r>
      <w:r w:rsidRPr="00430D32">
        <w:rPr>
          <w:rFonts w:ascii="標楷體" w:eastAsia="標楷體" w:hAnsi="標楷體"/>
          <w:szCs w:val="24"/>
        </w:rPr>
        <w:t>萬餘元</w:t>
      </w:r>
      <w:r w:rsidRPr="00430D32">
        <w:rPr>
          <w:rFonts w:ascii="標楷體" w:eastAsia="標楷體" w:hAnsi="標楷體" w:hint="eastAsia"/>
          <w:szCs w:val="24"/>
        </w:rPr>
        <w:t>不等，以臺北市住宅基金減少19億9</w:t>
      </w:r>
      <w:r w:rsidRPr="00430D32">
        <w:rPr>
          <w:rFonts w:ascii="標楷體" w:eastAsia="標楷體" w:hAnsi="標楷體"/>
          <w:szCs w:val="24"/>
        </w:rPr>
        <w:t>,</w:t>
      </w:r>
      <w:r w:rsidRPr="00430D32">
        <w:rPr>
          <w:rFonts w:ascii="標楷體" w:eastAsia="標楷體" w:hAnsi="標楷體" w:hint="eastAsia"/>
          <w:szCs w:val="24"/>
        </w:rPr>
        <w:t>479</w:t>
      </w:r>
    </w:p>
    <w:p w14:paraId="50D3D6AC" w14:textId="108D99CA" w:rsidR="0029756E" w:rsidRPr="00430D32" w:rsidRDefault="00600DD6" w:rsidP="00600DD6">
      <w:pPr>
        <w:overflowPunct w:val="0"/>
        <w:spacing w:line="420" w:lineRule="exact"/>
        <w:jc w:val="both"/>
        <w:rPr>
          <w:rFonts w:ascii="標楷體" w:eastAsia="標楷體" w:hAnsi="標楷體"/>
          <w:szCs w:val="24"/>
        </w:rPr>
      </w:pPr>
      <w:r>
        <w:rPr>
          <w:rFonts w:ascii="標楷體" w:eastAsia="標楷體" w:hAnsi="標楷體" w:hint="eastAsia"/>
          <w:noProof/>
          <w:szCs w:val="24"/>
        </w:rPr>
        <w:lastRenderedPageBreak/>
        <mc:AlternateContent>
          <mc:Choice Requires="wps">
            <w:drawing>
              <wp:anchor distT="0" distB="0" distL="114300" distR="114300" simplePos="0" relativeHeight="251811840" behindDoc="1" locked="0" layoutInCell="1" allowOverlap="1" wp14:anchorId="0875297D" wp14:editId="78830CC9">
                <wp:simplePos x="0" y="0"/>
                <wp:positionH relativeFrom="column">
                  <wp:posOffset>966470</wp:posOffset>
                </wp:positionH>
                <wp:positionV relativeFrom="page">
                  <wp:posOffset>894344</wp:posOffset>
                </wp:positionV>
                <wp:extent cx="5438775" cy="3225800"/>
                <wp:effectExtent l="0" t="0" r="9525" b="0"/>
                <wp:wrapTight wrapText="bothSides">
                  <wp:wrapPolygon edited="0">
                    <wp:start x="0" y="0"/>
                    <wp:lineTo x="0" y="21430"/>
                    <wp:lineTo x="21562" y="21430"/>
                    <wp:lineTo x="21562" y="0"/>
                    <wp:lineTo x="0" y="0"/>
                  </wp:wrapPolygon>
                </wp:wrapTight>
                <wp:docPr id="927419589" name="文字方塊 927419589"/>
                <wp:cNvGraphicFramePr/>
                <a:graphic xmlns:a="http://schemas.openxmlformats.org/drawingml/2006/main">
                  <a:graphicData uri="http://schemas.microsoft.com/office/word/2010/wordprocessingShape">
                    <wps:wsp>
                      <wps:cNvSpPr txBox="1"/>
                      <wps:spPr>
                        <a:xfrm>
                          <a:off x="0" y="0"/>
                          <a:ext cx="5438775" cy="3225800"/>
                        </a:xfrm>
                        <a:prstGeom prst="rect">
                          <a:avLst/>
                        </a:prstGeom>
                        <a:solidFill>
                          <a:schemeClr val="lt1"/>
                        </a:solidFill>
                        <a:ln w="6350">
                          <a:noFill/>
                        </a:ln>
                      </wps:spPr>
                      <wps:txbx>
                        <w:txbxContent>
                          <w:tbl>
                            <w:tblPr>
                              <w:tblStyle w:val="13"/>
                              <w:tblW w:w="0" w:type="auto"/>
                              <w:tblInd w:w="0" w:type="dxa"/>
                              <w:tblLook w:val="04A0" w:firstRow="1" w:lastRow="0" w:firstColumn="1" w:lastColumn="0" w:noHBand="0" w:noVBand="1"/>
                            </w:tblPr>
                            <w:tblGrid>
                              <w:gridCol w:w="3534"/>
                              <w:gridCol w:w="1183"/>
                              <w:gridCol w:w="1183"/>
                              <w:gridCol w:w="1395"/>
                              <w:gridCol w:w="971"/>
                            </w:tblGrid>
                            <w:tr w:rsidR="00600DD6" w:rsidRPr="00430D32" w14:paraId="7234D608" w14:textId="77777777" w:rsidTr="00520D58">
                              <w:trPr>
                                <w:trHeight w:val="227"/>
                              </w:trPr>
                              <w:tc>
                                <w:tcPr>
                                  <w:tcW w:w="0" w:type="auto"/>
                                  <w:gridSpan w:val="5"/>
                                  <w:tcBorders>
                                    <w:top w:val="nil"/>
                                    <w:left w:val="nil"/>
                                    <w:bottom w:val="nil"/>
                                    <w:right w:val="nil"/>
                                  </w:tcBorders>
                                  <w:shd w:val="clear" w:color="auto" w:fill="auto"/>
                                </w:tcPr>
                                <w:p w14:paraId="3C610CCD" w14:textId="77777777" w:rsidR="00600DD6" w:rsidRPr="00430D32" w:rsidRDefault="00600DD6" w:rsidP="00600DD6">
                                  <w:pPr>
                                    <w:spacing w:line="240" w:lineRule="exact"/>
                                    <w:jc w:val="center"/>
                                    <w:rPr>
                                      <w:rFonts w:ascii="標楷體" w:eastAsia="標楷體" w:hAnsi="標楷體"/>
                                      <w:b/>
                                      <w:szCs w:val="24"/>
                                    </w:rPr>
                                  </w:pPr>
                                  <w:r w:rsidRPr="00430D32">
                                    <w:rPr>
                                      <w:rFonts w:ascii="標楷體" w:eastAsia="標楷體" w:hAnsi="標楷體" w:hint="eastAsia"/>
                                      <w:b/>
                                      <w:szCs w:val="24"/>
                                    </w:rPr>
                                    <w:t xml:space="preserve">表5　</w:t>
                                  </w:r>
                                  <w:proofErr w:type="gramStart"/>
                                  <w:r w:rsidRPr="00430D32">
                                    <w:rPr>
                                      <w:rFonts w:ascii="標楷體" w:eastAsia="標楷體" w:hAnsi="標楷體" w:hint="eastAsia"/>
                                      <w:b/>
                                      <w:szCs w:val="24"/>
                                    </w:rPr>
                                    <w:t>1</w:t>
                                  </w:r>
                                  <w:r w:rsidRPr="00430D32">
                                    <w:rPr>
                                      <w:rFonts w:ascii="標楷體" w:eastAsia="標楷體" w:hAnsi="標楷體"/>
                                      <w:b/>
                                      <w:szCs w:val="24"/>
                                    </w:rPr>
                                    <w:t>13</w:t>
                                  </w:r>
                                  <w:proofErr w:type="gramEnd"/>
                                  <w:r w:rsidRPr="00430D32">
                                    <w:rPr>
                                      <w:rFonts w:ascii="標楷體" w:eastAsia="標楷體" w:hAnsi="標楷體"/>
                                      <w:b/>
                                      <w:szCs w:val="24"/>
                                    </w:rPr>
                                    <w:t>年度營業及非營業特種基金</w:t>
                                  </w:r>
                                  <w:r w:rsidRPr="00430D32">
                                    <w:rPr>
                                      <w:rFonts w:ascii="標楷體" w:eastAsia="標楷體" w:hAnsi="標楷體" w:hint="eastAsia"/>
                                      <w:b/>
                                      <w:szCs w:val="24"/>
                                    </w:rPr>
                                    <w:t>盈（</w:t>
                                  </w:r>
                                  <w:proofErr w:type="gramStart"/>
                                  <w:r w:rsidRPr="00430D32">
                                    <w:rPr>
                                      <w:rFonts w:ascii="標楷體" w:eastAsia="標楷體" w:hAnsi="標楷體" w:hint="eastAsia"/>
                                      <w:b/>
                                      <w:szCs w:val="24"/>
                                    </w:rPr>
                                    <w:t>賸</w:t>
                                  </w:r>
                                  <w:proofErr w:type="gramEnd"/>
                                  <w:r w:rsidRPr="00430D32">
                                    <w:rPr>
                                      <w:rFonts w:ascii="標楷體" w:eastAsia="標楷體" w:hAnsi="標楷體" w:hint="eastAsia"/>
                                      <w:b/>
                                      <w:szCs w:val="24"/>
                                    </w:rPr>
                                    <w:t>）</w:t>
                                  </w:r>
                                  <w:proofErr w:type="gramStart"/>
                                  <w:r w:rsidRPr="00430D32">
                                    <w:rPr>
                                      <w:rFonts w:ascii="標楷體" w:eastAsia="標楷體" w:hAnsi="標楷體" w:hint="eastAsia"/>
                                      <w:b/>
                                      <w:szCs w:val="24"/>
                                    </w:rPr>
                                    <w:t>餘較預算</w:t>
                                  </w:r>
                                  <w:proofErr w:type="gramEnd"/>
                                  <w:r w:rsidRPr="00430D32">
                                    <w:rPr>
                                      <w:rFonts w:ascii="標楷體" w:eastAsia="標楷體" w:hAnsi="標楷體" w:hint="eastAsia"/>
                                      <w:b/>
                                      <w:szCs w:val="24"/>
                                    </w:rPr>
                                    <w:t>減少或短</w:t>
                                  </w:r>
                                  <w:proofErr w:type="gramStart"/>
                                  <w:r w:rsidRPr="00430D32">
                                    <w:rPr>
                                      <w:rFonts w:ascii="標楷體" w:eastAsia="標楷體" w:hAnsi="標楷體" w:hint="eastAsia"/>
                                      <w:b/>
                                      <w:szCs w:val="24"/>
                                    </w:rPr>
                                    <w:t>絀</w:t>
                                  </w:r>
                                  <w:proofErr w:type="gramEnd"/>
                                  <w:r w:rsidRPr="00430D32">
                                    <w:rPr>
                                      <w:rFonts w:ascii="標楷體" w:eastAsia="標楷體" w:hAnsi="標楷體" w:hint="eastAsia"/>
                                      <w:b/>
                                      <w:szCs w:val="24"/>
                                    </w:rPr>
                                    <w:t>增加情形</w:t>
                                  </w:r>
                                </w:p>
                              </w:tc>
                            </w:tr>
                            <w:tr w:rsidR="00600DD6" w:rsidRPr="00430D32" w14:paraId="61E6B542" w14:textId="77777777" w:rsidTr="00520D58">
                              <w:trPr>
                                <w:trHeight w:val="227"/>
                              </w:trPr>
                              <w:tc>
                                <w:tcPr>
                                  <w:tcW w:w="0" w:type="auto"/>
                                  <w:gridSpan w:val="5"/>
                                  <w:tcBorders>
                                    <w:top w:val="nil"/>
                                    <w:left w:val="nil"/>
                                    <w:bottom w:val="single" w:sz="4" w:space="0" w:color="auto"/>
                                    <w:right w:val="nil"/>
                                  </w:tcBorders>
                                  <w:shd w:val="clear" w:color="auto" w:fill="auto"/>
                                </w:tcPr>
                                <w:p w14:paraId="7003EEA2"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rPr>
                                    <w:t>單位</w:t>
                                  </w:r>
                                  <w:r w:rsidRPr="00430D32">
                                    <w:rPr>
                                      <w:rFonts w:ascii="標楷體" w:eastAsia="標楷體" w:hAnsi="標楷體" w:hint="eastAsia"/>
                                      <w:sz w:val="20"/>
                                      <w:szCs w:val="20"/>
                                    </w:rPr>
                                    <w:t>：新臺幣千元、％</w:t>
                                  </w:r>
                                </w:p>
                              </w:tc>
                            </w:tr>
                            <w:tr w:rsidR="00600DD6" w:rsidRPr="00430D32" w14:paraId="1D68EC11" w14:textId="77777777" w:rsidTr="003178C0">
                              <w:trPr>
                                <w:trHeight w:hRule="exact" w:val="340"/>
                                <w:tblHeader/>
                              </w:trPr>
                              <w:tc>
                                <w:tcPr>
                                  <w:tcW w:w="0" w:type="auto"/>
                                  <w:vMerge w:val="restart"/>
                                  <w:tcBorders>
                                    <w:top w:val="single" w:sz="4" w:space="0" w:color="auto"/>
                                  </w:tcBorders>
                                  <w:shd w:val="clear" w:color="auto" w:fill="auto"/>
                                  <w:vAlign w:val="center"/>
                                </w:tcPr>
                                <w:p w14:paraId="6AC4A148"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類型及基金名稱</w:t>
                                  </w:r>
                                </w:p>
                              </w:tc>
                              <w:tc>
                                <w:tcPr>
                                  <w:tcW w:w="0" w:type="auto"/>
                                  <w:vMerge w:val="restart"/>
                                  <w:tcBorders>
                                    <w:top w:val="single" w:sz="4" w:space="0" w:color="auto"/>
                                  </w:tcBorders>
                                  <w:shd w:val="clear" w:color="auto" w:fill="auto"/>
                                  <w:vAlign w:val="center"/>
                                </w:tcPr>
                                <w:p w14:paraId="146C2E1C"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預算數</w:t>
                                  </w:r>
                                </w:p>
                              </w:tc>
                              <w:tc>
                                <w:tcPr>
                                  <w:tcW w:w="0" w:type="auto"/>
                                  <w:vMerge w:val="restart"/>
                                  <w:tcBorders>
                                    <w:top w:val="single" w:sz="4" w:space="0" w:color="auto"/>
                                  </w:tcBorders>
                                  <w:shd w:val="clear" w:color="auto" w:fill="auto"/>
                                  <w:vAlign w:val="center"/>
                                </w:tcPr>
                                <w:p w14:paraId="1531B1AE"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決算數</w:t>
                                  </w:r>
                                </w:p>
                              </w:tc>
                              <w:tc>
                                <w:tcPr>
                                  <w:tcW w:w="0" w:type="auto"/>
                                  <w:gridSpan w:val="2"/>
                                  <w:tcBorders>
                                    <w:top w:val="single" w:sz="4" w:space="0" w:color="auto"/>
                                  </w:tcBorders>
                                  <w:shd w:val="clear" w:color="auto" w:fill="auto"/>
                                  <w:vAlign w:val="center"/>
                                </w:tcPr>
                                <w:p w14:paraId="2E7A1AF5"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比較增減</w:t>
                                  </w:r>
                                </w:p>
                              </w:tc>
                            </w:tr>
                            <w:tr w:rsidR="00600DD6" w:rsidRPr="00430D32" w14:paraId="4EF7ABE3" w14:textId="77777777" w:rsidTr="003178C0">
                              <w:trPr>
                                <w:trHeight w:hRule="exact" w:val="340"/>
                                <w:tblHeader/>
                              </w:trPr>
                              <w:tc>
                                <w:tcPr>
                                  <w:tcW w:w="0" w:type="auto"/>
                                  <w:vMerge/>
                                  <w:tcBorders>
                                    <w:bottom w:val="single" w:sz="4" w:space="0" w:color="auto"/>
                                  </w:tcBorders>
                                  <w:shd w:val="clear" w:color="auto" w:fill="auto"/>
                                </w:tcPr>
                                <w:p w14:paraId="5D351174"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p>
                              </w:tc>
                              <w:tc>
                                <w:tcPr>
                                  <w:tcW w:w="0" w:type="auto"/>
                                  <w:vMerge/>
                                  <w:tcBorders>
                                    <w:bottom w:val="single" w:sz="4" w:space="0" w:color="auto"/>
                                  </w:tcBorders>
                                  <w:shd w:val="clear" w:color="auto" w:fill="auto"/>
                                </w:tcPr>
                                <w:p w14:paraId="57EB81B4"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p>
                              </w:tc>
                              <w:tc>
                                <w:tcPr>
                                  <w:tcW w:w="0" w:type="auto"/>
                                  <w:vMerge/>
                                  <w:tcBorders>
                                    <w:bottom w:val="single" w:sz="4" w:space="0" w:color="auto"/>
                                  </w:tcBorders>
                                  <w:shd w:val="clear" w:color="auto" w:fill="auto"/>
                                </w:tcPr>
                                <w:p w14:paraId="00DBCC2F"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p>
                              </w:tc>
                              <w:tc>
                                <w:tcPr>
                                  <w:tcW w:w="0" w:type="auto"/>
                                  <w:tcBorders>
                                    <w:bottom w:val="single" w:sz="4" w:space="0" w:color="auto"/>
                                  </w:tcBorders>
                                  <w:shd w:val="clear" w:color="auto" w:fill="auto"/>
                                  <w:vAlign w:val="center"/>
                                </w:tcPr>
                                <w:p w14:paraId="0B34C8DF"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金額</w:t>
                                  </w:r>
                                </w:p>
                              </w:tc>
                              <w:tc>
                                <w:tcPr>
                                  <w:tcW w:w="0" w:type="auto"/>
                                  <w:tcBorders>
                                    <w:bottom w:val="single" w:sz="4" w:space="0" w:color="auto"/>
                                  </w:tcBorders>
                                  <w:shd w:val="clear" w:color="auto" w:fill="auto"/>
                                  <w:vAlign w:val="center"/>
                                </w:tcPr>
                                <w:p w14:paraId="030AC36C"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w:t>
                                  </w:r>
                                </w:p>
                              </w:tc>
                            </w:tr>
                            <w:tr w:rsidR="00600DD6" w:rsidRPr="00430D32" w14:paraId="6793691E" w14:textId="77777777" w:rsidTr="003178C0">
                              <w:trPr>
                                <w:trHeight w:val="284"/>
                              </w:trPr>
                              <w:tc>
                                <w:tcPr>
                                  <w:tcW w:w="0" w:type="auto"/>
                                  <w:tcBorders>
                                    <w:top w:val="single" w:sz="4" w:space="0" w:color="auto"/>
                                    <w:bottom w:val="single" w:sz="4" w:space="0" w:color="auto"/>
                                    <w:right w:val="single" w:sz="4" w:space="0" w:color="auto"/>
                                  </w:tcBorders>
                                  <w:shd w:val="clear" w:color="auto" w:fill="auto"/>
                                  <w:vAlign w:val="center"/>
                                </w:tcPr>
                                <w:p w14:paraId="0E89F4A8" w14:textId="77777777" w:rsidR="00600DD6" w:rsidRPr="00430D32" w:rsidRDefault="00600DD6" w:rsidP="00600DD6">
                                  <w:pPr>
                                    <w:overflowPunct w:val="0"/>
                                    <w:spacing w:line="240" w:lineRule="exact"/>
                                    <w:ind w:leftChars="-10" w:left="-24"/>
                                    <w:contextualSpacing/>
                                    <w:rPr>
                                      <w:rFonts w:ascii="標楷體" w:eastAsia="標楷體" w:hAnsi="標楷體"/>
                                      <w:b/>
                                      <w:sz w:val="20"/>
                                      <w:szCs w:val="20"/>
                                    </w:rPr>
                                  </w:pPr>
                                  <w:r w:rsidRPr="00430D32">
                                    <w:rPr>
                                      <w:rFonts w:ascii="標楷體" w:eastAsia="標楷體" w:hAnsi="標楷體" w:hint="eastAsia"/>
                                      <w:b/>
                                      <w:sz w:val="20"/>
                                      <w:szCs w:val="20"/>
                                    </w:rPr>
                                    <w:t>實際短</w:t>
                                  </w:r>
                                  <w:proofErr w:type="gramStart"/>
                                  <w:r w:rsidRPr="00430D32">
                                    <w:rPr>
                                      <w:rFonts w:ascii="標楷體" w:eastAsia="標楷體" w:hAnsi="標楷體" w:hint="eastAsia"/>
                                      <w:b/>
                                      <w:sz w:val="20"/>
                                      <w:szCs w:val="20"/>
                                    </w:rPr>
                                    <w:t>絀</w:t>
                                  </w:r>
                                  <w:proofErr w:type="gramEnd"/>
                                  <w:r w:rsidRPr="00430D32">
                                    <w:rPr>
                                      <w:rFonts w:ascii="標楷體" w:eastAsia="標楷體" w:hAnsi="標楷體" w:hint="eastAsia"/>
                                      <w:b/>
                                      <w:sz w:val="20"/>
                                      <w:szCs w:val="20"/>
                                    </w:rPr>
                                    <w:t>較預算短</w:t>
                                  </w:r>
                                  <w:proofErr w:type="gramStart"/>
                                  <w:r w:rsidRPr="00430D32">
                                    <w:rPr>
                                      <w:rFonts w:ascii="標楷體" w:eastAsia="標楷體" w:hAnsi="標楷體" w:hint="eastAsia"/>
                                      <w:b/>
                                      <w:sz w:val="20"/>
                                      <w:szCs w:val="20"/>
                                    </w:rPr>
                                    <w:t>絀</w:t>
                                  </w:r>
                                  <w:proofErr w:type="gramEnd"/>
                                  <w:r w:rsidRPr="00430D32">
                                    <w:rPr>
                                      <w:rFonts w:ascii="標楷體" w:eastAsia="標楷體" w:hAnsi="標楷體" w:hint="eastAsia"/>
                                      <w:b/>
                                      <w:sz w:val="20"/>
                                      <w:szCs w:val="20"/>
                                    </w:rPr>
                                    <w:t>增加者</w:t>
                                  </w:r>
                                </w:p>
                              </w:tc>
                              <w:tc>
                                <w:tcPr>
                                  <w:tcW w:w="0" w:type="auto"/>
                                  <w:tcBorders>
                                    <w:top w:val="single" w:sz="4" w:space="0" w:color="auto"/>
                                    <w:bottom w:val="single" w:sz="4" w:space="0" w:color="auto"/>
                                  </w:tcBorders>
                                  <w:shd w:val="clear" w:color="auto" w:fill="auto"/>
                                  <w:vAlign w:val="center"/>
                                </w:tcPr>
                                <w:p w14:paraId="5D7B80E9" w14:textId="77777777" w:rsidR="00600DD6" w:rsidRPr="00430D32" w:rsidRDefault="00600DD6" w:rsidP="00600DD6">
                                  <w:pPr>
                                    <w:widowControl/>
                                    <w:spacing w:line="240" w:lineRule="exact"/>
                                    <w:jc w:val="right"/>
                                    <w:rPr>
                                      <w:rFonts w:ascii="標楷體" w:eastAsia="標楷體" w:hAnsi="標楷體"/>
                                      <w:b/>
                                      <w:sz w:val="20"/>
                                      <w:szCs w:val="20"/>
                                    </w:rPr>
                                  </w:pPr>
                                  <w:r w:rsidRPr="00430D32">
                                    <w:rPr>
                                      <w:rFonts w:ascii="標楷體" w:eastAsia="標楷體" w:hAnsi="標楷體" w:hint="eastAsia"/>
                                      <w:b/>
                                      <w:sz w:val="20"/>
                                      <w:szCs w:val="20"/>
                                    </w:rPr>
                                    <w:t>-</w:t>
                                  </w:r>
                                  <w:r w:rsidRPr="00430D32">
                                    <w:rPr>
                                      <w:rFonts w:ascii="標楷體" w:eastAsia="標楷體" w:hAnsi="標楷體"/>
                                      <w:b/>
                                      <w:sz w:val="20"/>
                                      <w:szCs w:val="20"/>
                                    </w:rPr>
                                    <w:t xml:space="preserve"> </w:t>
                                  </w:r>
                                  <w:r w:rsidRPr="00430D32">
                                    <w:rPr>
                                      <w:rFonts w:ascii="標楷體" w:eastAsia="標楷體" w:hAnsi="標楷體" w:hint="eastAsia"/>
                                      <w:b/>
                                      <w:sz w:val="20"/>
                                      <w:szCs w:val="20"/>
                                    </w:rPr>
                                    <w:t>2</w:t>
                                  </w:r>
                                  <w:r w:rsidRPr="00430D32">
                                    <w:rPr>
                                      <w:rFonts w:ascii="標楷體" w:eastAsia="標楷體" w:hAnsi="標楷體"/>
                                      <w:b/>
                                      <w:sz w:val="20"/>
                                      <w:szCs w:val="20"/>
                                    </w:rPr>
                                    <w:t>03,9</w:t>
                                  </w:r>
                                  <w:r w:rsidRPr="00430D32">
                                    <w:rPr>
                                      <w:rFonts w:ascii="標楷體" w:eastAsia="標楷體" w:hAnsi="標楷體" w:hint="eastAsia"/>
                                      <w:b/>
                                      <w:sz w:val="20"/>
                                      <w:szCs w:val="20"/>
                                    </w:rPr>
                                    <w:t>5</w:t>
                                  </w:r>
                                  <w:r w:rsidRPr="00430D32">
                                    <w:rPr>
                                      <w:rFonts w:ascii="標楷體" w:eastAsia="標楷體" w:hAnsi="標楷體"/>
                                      <w:b/>
                                      <w:sz w:val="20"/>
                                      <w:szCs w:val="20"/>
                                    </w:rPr>
                                    <w:t>1</w:t>
                                  </w:r>
                                  <w:r w:rsidRPr="00430D32">
                                    <w:rPr>
                                      <w:rFonts w:ascii="標楷體" w:eastAsia="標楷體" w:hAnsi="標楷體" w:hint="eastAsia"/>
                                      <w:b/>
                                      <w:sz w:val="20"/>
                                      <w:szCs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D471B" w14:textId="77777777" w:rsidR="00600DD6" w:rsidRPr="00430D32" w:rsidRDefault="00600DD6" w:rsidP="00600DD6">
                                  <w:pPr>
                                    <w:spacing w:line="240" w:lineRule="exact"/>
                                    <w:jc w:val="right"/>
                                    <w:rPr>
                                      <w:rFonts w:ascii="標楷體" w:eastAsia="標楷體" w:hAnsi="標楷體"/>
                                      <w:b/>
                                      <w:sz w:val="20"/>
                                      <w:szCs w:val="20"/>
                                    </w:rPr>
                                  </w:pPr>
                                  <w:r w:rsidRPr="00430D32">
                                    <w:rPr>
                                      <w:rFonts w:ascii="標楷體" w:eastAsia="標楷體" w:hAnsi="標楷體" w:hint="eastAsia"/>
                                      <w:b/>
                                      <w:sz w:val="20"/>
                                      <w:szCs w:val="20"/>
                                    </w:rPr>
                                    <w:t>-</w:t>
                                  </w:r>
                                  <w:r w:rsidRPr="00430D32">
                                    <w:rPr>
                                      <w:rFonts w:ascii="標楷體" w:eastAsia="標楷體" w:hAnsi="標楷體"/>
                                      <w:b/>
                                      <w:sz w:val="20"/>
                                      <w:szCs w:val="20"/>
                                    </w:rPr>
                                    <w:t xml:space="preserve"> 739,650</w:t>
                                  </w:r>
                                  <w:r w:rsidRPr="00430D32">
                                    <w:rPr>
                                      <w:rFonts w:ascii="標楷體" w:eastAsia="標楷體" w:hAnsi="標楷體" w:hint="eastAsia"/>
                                      <w:b/>
                                      <w:sz w:val="20"/>
                                      <w:szCs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DB632" w14:textId="77777777" w:rsidR="00600DD6" w:rsidRPr="00430D32" w:rsidRDefault="00600DD6" w:rsidP="00600DD6">
                                  <w:pPr>
                                    <w:spacing w:line="240" w:lineRule="exact"/>
                                    <w:jc w:val="right"/>
                                    <w:rPr>
                                      <w:rFonts w:ascii="標楷體" w:eastAsia="標楷體" w:hAnsi="標楷體"/>
                                      <w:b/>
                                      <w:sz w:val="20"/>
                                      <w:szCs w:val="20"/>
                                    </w:rPr>
                                  </w:pPr>
                                  <w:r w:rsidRPr="00430D32">
                                    <w:rPr>
                                      <w:rFonts w:ascii="標楷體" w:eastAsia="標楷體" w:hAnsi="標楷體" w:hint="eastAsia"/>
                                      <w:b/>
                                      <w:sz w:val="20"/>
                                      <w:szCs w:val="20"/>
                                    </w:rPr>
                                    <w:t>-</w:t>
                                  </w:r>
                                  <w:r w:rsidRPr="00430D32">
                                    <w:rPr>
                                      <w:rFonts w:ascii="標楷體" w:eastAsia="標楷體" w:hAnsi="標楷體"/>
                                      <w:b/>
                                      <w:sz w:val="20"/>
                                      <w:szCs w:val="20"/>
                                    </w:rPr>
                                    <w:t xml:space="preserve"> 535,699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F35868" w14:textId="77777777" w:rsidR="00600DD6" w:rsidRPr="00430D32" w:rsidRDefault="00600DD6" w:rsidP="00600DD6">
                                  <w:pPr>
                                    <w:spacing w:line="240" w:lineRule="exact"/>
                                    <w:jc w:val="right"/>
                                    <w:rPr>
                                      <w:rFonts w:ascii="標楷體" w:eastAsia="標楷體" w:hAnsi="標楷體"/>
                                      <w:b/>
                                      <w:bCs/>
                                      <w:sz w:val="20"/>
                                      <w:szCs w:val="20"/>
                                    </w:rPr>
                                  </w:pPr>
                                  <w:r w:rsidRPr="00430D32">
                                    <w:rPr>
                                      <w:rFonts w:ascii="標楷體" w:eastAsia="標楷體" w:hAnsi="標楷體"/>
                                      <w:b/>
                                      <w:bCs/>
                                      <w:sz w:val="20"/>
                                      <w:szCs w:val="20"/>
                                    </w:rPr>
                                    <w:t>262</w:t>
                                  </w:r>
                                  <w:r w:rsidRPr="00430D32">
                                    <w:rPr>
                                      <w:rFonts w:ascii="標楷體" w:eastAsia="標楷體" w:hAnsi="標楷體" w:hint="eastAsia"/>
                                      <w:b/>
                                      <w:bCs/>
                                      <w:sz w:val="20"/>
                                      <w:szCs w:val="20"/>
                                    </w:rPr>
                                    <w:t>.6</w:t>
                                  </w:r>
                                  <w:r w:rsidRPr="00430D32">
                                    <w:rPr>
                                      <w:rFonts w:ascii="標楷體" w:eastAsia="標楷體" w:hAnsi="標楷體"/>
                                      <w:b/>
                                      <w:bCs/>
                                      <w:sz w:val="20"/>
                                      <w:szCs w:val="20"/>
                                    </w:rPr>
                                    <w:t>6</w:t>
                                  </w:r>
                                </w:p>
                              </w:tc>
                            </w:tr>
                            <w:tr w:rsidR="00600DD6" w:rsidRPr="00430D32" w14:paraId="34A359DD" w14:textId="77777777" w:rsidTr="003178C0">
                              <w:trPr>
                                <w:trHeight w:val="284"/>
                              </w:trPr>
                              <w:tc>
                                <w:tcPr>
                                  <w:tcW w:w="0" w:type="auto"/>
                                  <w:shd w:val="clear" w:color="auto" w:fill="auto"/>
                                  <w:vAlign w:val="center"/>
                                </w:tcPr>
                                <w:p w14:paraId="1D348DD9"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shd w:val="clear" w:color="auto" w:fill="FFFFFF" w:themeFill="background1"/>
                                    </w:rPr>
                                    <w:t>1</w:t>
                                  </w:r>
                                  <w:r w:rsidRPr="00430D32">
                                    <w:rPr>
                                      <w:rFonts w:ascii="標楷體" w:eastAsia="標楷體" w:hAnsi="標楷體"/>
                                      <w:sz w:val="20"/>
                                      <w:szCs w:val="20"/>
                                      <w:shd w:val="clear" w:color="auto" w:fill="FFFFFF" w:themeFill="background1"/>
                                    </w:rPr>
                                    <w:t>.</w:t>
                                  </w:r>
                                  <w:r w:rsidRPr="00430D32">
                                    <w:rPr>
                                      <w:rFonts w:ascii="標楷體" w:eastAsia="標楷體" w:hAnsi="標楷體" w:hint="eastAsia"/>
                                      <w:sz w:val="20"/>
                                      <w:szCs w:val="20"/>
                                      <w:shd w:val="clear" w:color="auto" w:fill="FFFFFF" w:themeFill="background1"/>
                                    </w:rPr>
                                    <w:t>臺北市容積代金基金</w:t>
                                  </w:r>
                                </w:p>
                              </w:tc>
                              <w:tc>
                                <w:tcPr>
                                  <w:tcW w:w="0" w:type="auto"/>
                                  <w:shd w:val="clear" w:color="auto" w:fill="auto"/>
                                  <w:vAlign w:val="center"/>
                                </w:tcPr>
                                <w:p w14:paraId="04329188"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172,</w:t>
                                  </w:r>
                                  <w:r w:rsidRPr="00430D32">
                                    <w:rPr>
                                      <w:rFonts w:ascii="標楷體" w:eastAsia="標楷體" w:hAnsi="標楷體"/>
                                      <w:sz w:val="20"/>
                                      <w:szCs w:val="20"/>
                                    </w:rPr>
                                    <w:t>274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05BDC3"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707,410</w:t>
                                  </w:r>
                                </w:p>
                              </w:tc>
                              <w:tc>
                                <w:tcPr>
                                  <w:tcW w:w="0" w:type="auto"/>
                                  <w:tcBorders>
                                    <w:top w:val="single" w:sz="4" w:space="0" w:color="auto"/>
                                    <w:left w:val="nil"/>
                                    <w:bottom w:val="single" w:sz="4" w:space="0" w:color="auto"/>
                                    <w:right w:val="single" w:sz="4" w:space="0" w:color="auto"/>
                                  </w:tcBorders>
                                  <w:shd w:val="clear" w:color="auto" w:fill="auto"/>
                                  <w:vAlign w:val="center"/>
                                </w:tcPr>
                                <w:p w14:paraId="2E4DB3E3"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535,136</w:t>
                                  </w:r>
                                </w:p>
                              </w:tc>
                              <w:tc>
                                <w:tcPr>
                                  <w:tcW w:w="0" w:type="auto"/>
                                  <w:tcBorders>
                                    <w:top w:val="single" w:sz="4" w:space="0" w:color="auto"/>
                                    <w:left w:val="nil"/>
                                    <w:bottom w:val="single" w:sz="4" w:space="0" w:color="auto"/>
                                    <w:right w:val="single" w:sz="4" w:space="0" w:color="auto"/>
                                  </w:tcBorders>
                                  <w:shd w:val="clear" w:color="auto" w:fill="auto"/>
                                  <w:vAlign w:val="center"/>
                                </w:tcPr>
                                <w:p w14:paraId="75FAE15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3</w:t>
                                  </w:r>
                                  <w:r w:rsidRPr="00430D32">
                                    <w:rPr>
                                      <w:rFonts w:ascii="標楷體" w:eastAsia="標楷體" w:hAnsi="標楷體"/>
                                      <w:sz w:val="20"/>
                                      <w:szCs w:val="20"/>
                                    </w:rPr>
                                    <w:t>10.63</w:t>
                                  </w:r>
                                </w:p>
                              </w:tc>
                            </w:tr>
                            <w:tr w:rsidR="00600DD6" w:rsidRPr="00430D32" w14:paraId="576F84C9" w14:textId="77777777" w:rsidTr="003178C0">
                              <w:trPr>
                                <w:trHeight w:val="284"/>
                              </w:trPr>
                              <w:tc>
                                <w:tcPr>
                                  <w:tcW w:w="0" w:type="auto"/>
                                  <w:shd w:val="clear" w:color="auto" w:fill="auto"/>
                                  <w:vAlign w:val="center"/>
                                </w:tcPr>
                                <w:p w14:paraId="79BB40FC"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shd w:val="clear" w:color="auto" w:fill="FFFFFF" w:themeFill="background1"/>
                                    </w:rPr>
                                    <w:t>2</w:t>
                                  </w:r>
                                  <w:r w:rsidRPr="00430D32">
                                    <w:rPr>
                                      <w:rFonts w:ascii="標楷體" w:eastAsia="標楷體" w:hAnsi="標楷體"/>
                                      <w:sz w:val="20"/>
                                      <w:szCs w:val="20"/>
                                      <w:shd w:val="clear" w:color="auto" w:fill="FFFFFF" w:themeFill="background1"/>
                                    </w:rPr>
                                    <w:t>.</w:t>
                                  </w:r>
                                  <w:r w:rsidRPr="00430D32">
                                    <w:rPr>
                                      <w:rFonts w:ascii="標楷體" w:eastAsia="標楷體" w:hAnsi="標楷體" w:hint="eastAsia"/>
                                      <w:sz w:val="20"/>
                                      <w:szCs w:val="20"/>
                                      <w:shd w:val="clear" w:color="auto" w:fill="FFFFFF" w:themeFill="background1"/>
                                    </w:rPr>
                                    <w:t>臺北市公共藝術基金</w:t>
                                  </w:r>
                                </w:p>
                              </w:tc>
                              <w:tc>
                                <w:tcPr>
                                  <w:tcW w:w="0" w:type="auto"/>
                                  <w:shd w:val="clear" w:color="auto" w:fill="auto"/>
                                  <w:vAlign w:val="center"/>
                                </w:tcPr>
                                <w:p w14:paraId="1FB8EB40"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rPr>
                                    <w:t xml:space="preserve">- </w:t>
                                  </w:r>
                                  <w:r w:rsidRPr="00430D32">
                                    <w:rPr>
                                      <w:rFonts w:ascii="標楷體" w:eastAsia="標楷體" w:hAnsi="標楷體" w:hint="eastAsia"/>
                                      <w:sz w:val="20"/>
                                      <w:szCs w:val="20"/>
                                    </w:rPr>
                                    <w:t>3</w:t>
                                  </w:r>
                                  <w:r w:rsidRPr="00430D32">
                                    <w:rPr>
                                      <w:rFonts w:ascii="標楷體" w:eastAsia="標楷體" w:hAnsi="標楷體"/>
                                      <w:sz w:val="20"/>
                                      <w:szCs w:val="20"/>
                                    </w:rPr>
                                    <w:t>1,469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5B8B7"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rPr>
                                    <w:t xml:space="preserve">- </w:t>
                                  </w:r>
                                  <w:r w:rsidRPr="00430D32">
                                    <w:rPr>
                                      <w:rFonts w:ascii="標楷體" w:eastAsia="標楷體" w:hAnsi="標楷體" w:hint="eastAsia"/>
                                      <w:sz w:val="20"/>
                                      <w:szCs w:val="20"/>
                                    </w:rPr>
                                    <w:t>3</w:t>
                                  </w:r>
                                  <w:r w:rsidRPr="00430D32">
                                    <w:rPr>
                                      <w:rFonts w:ascii="標楷體" w:eastAsia="標楷體" w:hAnsi="標楷體"/>
                                      <w:sz w:val="20"/>
                                      <w:szCs w:val="20"/>
                                    </w:rPr>
                                    <w:t>1,679</w:t>
                                  </w:r>
                                </w:p>
                              </w:tc>
                              <w:tc>
                                <w:tcPr>
                                  <w:tcW w:w="0" w:type="auto"/>
                                  <w:tcBorders>
                                    <w:top w:val="single" w:sz="4" w:space="0" w:color="auto"/>
                                    <w:left w:val="nil"/>
                                    <w:bottom w:val="single" w:sz="4" w:space="0" w:color="auto"/>
                                    <w:right w:val="single" w:sz="4" w:space="0" w:color="auto"/>
                                  </w:tcBorders>
                                  <w:shd w:val="clear" w:color="auto" w:fill="auto"/>
                                  <w:vAlign w:val="center"/>
                                </w:tcPr>
                                <w:p w14:paraId="062BFC61"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210</w:t>
                                  </w:r>
                                </w:p>
                              </w:tc>
                              <w:tc>
                                <w:tcPr>
                                  <w:tcW w:w="0" w:type="auto"/>
                                  <w:tcBorders>
                                    <w:top w:val="single" w:sz="4" w:space="0" w:color="auto"/>
                                    <w:left w:val="nil"/>
                                    <w:bottom w:val="single" w:sz="4" w:space="0" w:color="auto"/>
                                    <w:right w:val="single" w:sz="4" w:space="0" w:color="auto"/>
                                  </w:tcBorders>
                                  <w:shd w:val="clear" w:color="auto" w:fill="auto"/>
                                  <w:vAlign w:val="center"/>
                                </w:tcPr>
                                <w:p w14:paraId="607DDC0B"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0</w:t>
                                  </w:r>
                                  <w:r w:rsidRPr="00430D32">
                                    <w:rPr>
                                      <w:rFonts w:ascii="標楷體" w:eastAsia="標楷體" w:hAnsi="標楷體"/>
                                      <w:sz w:val="20"/>
                                      <w:szCs w:val="20"/>
                                    </w:rPr>
                                    <w:t>.67</w:t>
                                  </w:r>
                                </w:p>
                              </w:tc>
                            </w:tr>
                            <w:tr w:rsidR="00600DD6" w:rsidRPr="00430D32" w14:paraId="6C17040E" w14:textId="77777777" w:rsidTr="003178C0">
                              <w:trPr>
                                <w:trHeight w:val="284"/>
                              </w:trPr>
                              <w:tc>
                                <w:tcPr>
                                  <w:tcW w:w="0" w:type="auto"/>
                                  <w:shd w:val="clear" w:color="auto" w:fill="auto"/>
                                  <w:vAlign w:val="center"/>
                                </w:tcPr>
                                <w:p w14:paraId="6C45F759"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shd w:val="clear" w:color="auto" w:fill="FFFFFF" w:themeFill="background1"/>
                                    </w:rPr>
                                    <w:t>3</w:t>
                                  </w:r>
                                  <w:r w:rsidRPr="00430D32">
                                    <w:rPr>
                                      <w:rFonts w:ascii="標楷體" w:eastAsia="標楷體" w:hAnsi="標楷體"/>
                                      <w:sz w:val="20"/>
                                      <w:szCs w:val="20"/>
                                      <w:shd w:val="clear" w:color="auto" w:fill="FFFFFF" w:themeFill="background1"/>
                                    </w:rPr>
                                    <w:t>.</w:t>
                                  </w:r>
                                  <w:r w:rsidRPr="00430D32">
                                    <w:rPr>
                                      <w:rFonts w:ascii="標楷體" w:eastAsia="標楷體" w:hAnsi="標楷體" w:hint="eastAsia"/>
                                      <w:sz w:val="20"/>
                                      <w:szCs w:val="20"/>
                                      <w:shd w:val="clear" w:color="auto" w:fill="FFFFFF" w:themeFill="background1"/>
                                    </w:rPr>
                                    <w:t>臺北市農業發展基金</w:t>
                                  </w:r>
                                </w:p>
                              </w:tc>
                              <w:tc>
                                <w:tcPr>
                                  <w:tcW w:w="0" w:type="auto"/>
                                  <w:shd w:val="clear" w:color="auto" w:fill="auto"/>
                                  <w:vAlign w:val="center"/>
                                </w:tcPr>
                                <w:p w14:paraId="532EF37D"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 xml:space="preserve">208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3FDA73"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 xml:space="preserve">559 </w:t>
                                  </w:r>
                                </w:p>
                              </w:tc>
                              <w:tc>
                                <w:tcPr>
                                  <w:tcW w:w="0" w:type="auto"/>
                                  <w:tcBorders>
                                    <w:top w:val="single" w:sz="4" w:space="0" w:color="auto"/>
                                    <w:left w:val="nil"/>
                                    <w:bottom w:val="single" w:sz="4" w:space="0" w:color="auto"/>
                                    <w:right w:val="single" w:sz="4" w:space="0" w:color="auto"/>
                                  </w:tcBorders>
                                  <w:shd w:val="clear" w:color="auto" w:fill="auto"/>
                                  <w:vAlign w:val="center"/>
                                </w:tcPr>
                                <w:p w14:paraId="6BAC5806"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351</w:t>
                                  </w:r>
                                </w:p>
                              </w:tc>
                              <w:tc>
                                <w:tcPr>
                                  <w:tcW w:w="0" w:type="auto"/>
                                  <w:tcBorders>
                                    <w:top w:val="single" w:sz="4" w:space="0" w:color="auto"/>
                                    <w:left w:val="nil"/>
                                    <w:bottom w:val="single" w:sz="4" w:space="0" w:color="auto"/>
                                    <w:right w:val="single" w:sz="4" w:space="0" w:color="auto"/>
                                  </w:tcBorders>
                                  <w:shd w:val="clear" w:color="auto" w:fill="auto"/>
                                  <w:vAlign w:val="center"/>
                                </w:tcPr>
                                <w:p w14:paraId="4DB9CDBF"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169.22</w:t>
                                  </w:r>
                                </w:p>
                              </w:tc>
                            </w:tr>
                            <w:tr w:rsidR="00600DD6" w:rsidRPr="00430D32" w14:paraId="5C4C74AB" w14:textId="77777777" w:rsidTr="003178C0">
                              <w:trPr>
                                <w:trHeight w:val="284"/>
                              </w:trPr>
                              <w:tc>
                                <w:tcPr>
                                  <w:tcW w:w="0" w:type="auto"/>
                                  <w:tcBorders>
                                    <w:top w:val="single" w:sz="4" w:space="0" w:color="auto"/>
                                    <w:bottom w:val="single" w:sz="4" w:space="0" w:color="auto"/>
                                    <w:right w:val="single" w:sz="4" w:space="0" w:color="auto"/>
                                  </w:tcBorders>
                                  <w:shd w:val="clear" w:color="auto" w:fill="auto"/>
                                  <w:vAlign w:val="center"/>
                                </w:tcPr>
                                <w:p w14:paraId="4A038DF6" w14:textId="77777777" w:rsidR="00600DD6" w:rsidRPr="00430D32" w:rsidRDefault="00600DD6" w:rsidP="00600DD6">
                                  <w:pPr>
                                    <w:overflowPunct w:val="0"/>
                                    <w:spacing w:line="240" w:lineRule="exact"/>
                                    <w:ind w:leftChars="-10" w:left="-24"/>
                                    <w:contextualSpacing/>
                                    <w:rPr>
                                      <w:rFonts w:ascii="標楷體" w:eastAsia="標楷體" w:hAnsi="標楷體"/>
                                      <w:b/>
                                      <w:sz w:val="20"/>
                                      <w:szCs w:val="20"/>
                                    </w:rPr>
                                  </w:pPr>
                                  <w:proofErr w:type="gramStart"/>
                                  <w:r w:rsidRPr="00430D32">
                                    <w:rPr>
                                      <w:rFonts w:ascii="標楷體" w:eastAsia="標楷體" w:hAnsi="標楷體" w:hint="eastAsia"/>
                                      <w:b/>
                                      <w:sz w:val="20"/>
                                      <w:szCs w:val="20"/>
                                    </w:rPr>
                                    <w:t>實際盈（賸）餘較</w:t>
                                  </w:r>
                                  <w:proofErr w:type="gramEnd"/>
                                  <w:r w:rsidRPr="00430D32">
                                    <w:rPr>
                                      <w:rFonts w:ascii="標楷體" w:eastAsia="標楷體" w:hAnsi="標楷體" w:hint="eastAsia"/>
                                      <w:b/>
                                      <w:sz w:val="20"/>
                                      <w:szCs w:val="20"/>
                                    </w:rPr>
                                    <w:t>預算減少者</w:t>
                                  </w:r>
                                </w:p>
                              </w:tc>
                              <w:tc>
                                <w:tcPr>
                                  <w:tcW w:w="0" w:type="auto"/>
                                  <w:tcBorders>
                                    <w:top w:val="single" w:sz="4" w:space="0" w:color="auto"/>
                                    <w:bottom w:val="single" w:sz="4" w:space="0" w:color="auto"/>
                                  </w:tcBorders>
                                  <w:shd w:val="clear" w:color="auto" w:fill="auto"/>
                                  <w:vAlign w:val="center"/>
                                </w:tcPr>
                                <w:p w14:paraId="056A0065" w14:textId="77777777" w:rsidR="00600DD6" w:rsidRPr="00430D32" w:rsidRDefault="00600DD6" w:rsidP="00600DD6">
                                  <w:pPr>
                                    <w:widowControl/>
                                    <w:spacing w:line="240" w:lineRule="exact"/>
                                    <w:jc w:val="right"/>
                                    <w:rPr>
                                      <w:rFonts w:ascii="標楷體" w:eastAsia="標楷體" w:hAnsi="標楷體"/>
                                      <w:b/>
                                      <w:sz w:val="20"/>
                                      <w:szCs w:val="20"/>
                                    </w:rPr>
                                  </w:pPr>
                                  <w:r w:rsidRPr="00430D32">
                                    <w:rPr>
                                      <w:rFonts w:ascii="標楷體" w:eastAsia="標楷體" w:hAnsi="標楷體" w:hint="eastAsia"/>
                                      <w:b/>
                                      <w:sz w:val="20"/>
                                      <w:szCs w:val="20"/>
                                    </w:rPr>
                                    <w:t xml:space="preserve">6,638,076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9DD6FE" w14:textId="77777777" w:rsidR="00600DD6" w:rsidRPr="00430D32" w:rsidRDefault="00600DD6" w:rsidP="00600DD6">
                                  <w:pPr>
                                    <w:widowControl/>
                                    <w:spacing w:line="240" w:lineRule="exact"/>
                                    <w:jc w:val="right"/>
                                    <w:rPr>
                                      <w:rFonts w:ascii="標楷體" w:eastAsia="標楷體" w:hAnsi="標楷體"/>
                                      <w:b/>
                                      <w:sz w:val="20"/>
                                      <w:szCs w:val="20"/>
                                    </w:rPr>
                                  </w:pPr>
                                  <w:r w:rsidRPr="00430D32">
                                    <w:rPr>
                                      <w:rFonts w:ascii="標楷體" w:eastAsia="標楷體" w:hAnsi="標楷體" w:hint="eastAsia"/>
                                      <w:b/>
                                      <w:sz w:val="20"/>
                                      <w:szCs w:val="20"/>
                                    </w:rPr>
                                    <w:t xml:space="preserve">1,717,819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D9FE0" w14:textId="77777777" w:rsidR="00600DD6" w:rsidRPr="00430D32" w:rsidRDefault="00600DD6" w:rsidP="00600DD6">
                                  <w:pPr>
                                    <w:spacing w:line="240" w:lineRule="exact"/>
                                    <w:jc w:val="right"/>
                                    <w:rPr>
                                      <w:rFonts w:ascii="標楷體" w:eastAsia="標楷體" w:hAnsi="標楷體"/>
                                      <w:b/>
                                      <w:bCs/>
                                      <w:sz w:val="20"/>
                                      <w:szCs w:val="20"/>
                                    </w:rPr>
                                  </w:pPr>
                                  <w:r w:rsidRPr="00430D32">
                                    <w:rPr>
                                      <w:rFonts w:ascii="標楷體" w:eastAsia="標楷體" w:hAnsi="標楷體" w:hint="eastAsia"/>
                                      <w:b/>
                                      <w:bCs/>
                                      <w:sz w:val="20"/>
                                      <w:szCs w:val="20"/>
                                    </w:rPr>
                                    <w:t xml:space="preserve">- 4,920,256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B006E" w14:textId="77777777" w:rsidR="00600DD6" w:rsidRPr="00430D32" w:rsidRDefault="00600DD6" w:rsidP="00600DD6">
                                  <w:pPr>
                                    <w:spacing w:line="240" w:lineRule="exact"/>
                                    <w:jc w:val="right"/>
                                    <w:rPr>
                                      <w:rFonts w:ascii="標楷體" w:eastAsia="標楷體" w:hAnsi="標楷體"/>
                                      <w:b/>
                                      <w:bCs/>
                                      <w:sz w:val="20"/>
                                      <w:szCs w:val="20"/>
                                    </w:rPr>
                                  </w:pPr>
                                  <w:r w:rsidRPr="00430D32">
                                    <w:rPr>
                                      <w:rFonts w:ascii="標楷體" w:eastAsia="標楷體" w:hAnsi="標楷體" w:hint="eastAsia"/>
                                      <w:b/>
                                      <w:bCs/>
                                      <w:sz w:val="20"/>
                                      <w:szCs w:val="20"/>
                                    </w:rPr>
                                    <w:t>-</w:t>
                                  </w:r>
                                  <w:r w:rsidRPr="00430D32">
                                    <w:rPr>
                                      <w:rFonts w:ascii="標楷體" w:eastAsia="標楷體" w:hAnsi="標楷體"/>
                                      <w:b/>
                                      <w:bCs/>
                                      <w:sz w:val="20"/>
                                      <w:szCs w:val="20"/>
                                    </w:rPr>
                                    <w:t xml:space="preserve"> </w:t>
                                  </w:r>
                                  <w:r w:rsidRPr="00430D32">
                                    <w:rPr>
                                      <w:rFonts w:ascii="標楷體" w:eastAsia="標楷體" w:hAnsi="標楷體" w:hint="eastAsia"/>
                                      <w:b/>
                                      <w:bCs/>
                                      <w:sz w:val="20"/>
                                      <w:szCs w:val="20"/>
                                    </w:rPr>
                                    <w:t>74.12</w:t>
                                  </w:r>
                                </w:p>
                              </w:tc>
                            </w:tr>
                            <w:tr w:rsidR="00600DD6" w:rsidRPr="00430D32" w14:paraId="08E31C38" w14:textId="77777777" w:rsidTr="003178C0">
                              <w:trPr>
                                <w:trHeight w:val="284"/>
                              </w:trPr>
                              <w:tc>
                                <w:tcPr>
                                  <w:tcW w:w="0" w:type="auto"/>
                                  <w:shd w:val="clear" w:color="auto" w:fill="auto"/>
                                  <w:vAlign w:val="center"/>
                                </w:tcPr>
                                <w:p w14:paraId="7C24B5EF"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1</w:t>
                                  </w:r>
                                  <w:r w:rsidRPr="00430D32">
                                    <w:rPr>
                                      <w:rFonts w:ascii="標楷體" w:eastAsia="標楷體" w:hAnsi="標楷體" w:hint="eastAsia"/>
                                      <w:sz w:val="20"/>
                                      <w:szCs w:val="20"/>
                                      <w:shd w:val="clear" w:color="auto" w:fill="FFFFFF" w:themeFill="background1"/>
                                    </w:rPr>
                                    <w:t>.臺北市文化設施發展基金</w:t>
                                  </w:r>
                                </w:p>
                              </w:tc>
                              <w:tc>
                                <w:tcPr>
                                  <w:tcW w:w="0" w:type="auto"/>
                                  <w:shd w:val="clear" w:color="auto" w:fill="auto"/>
                                  <w:vAlign w:val="center"/>
                                </w:tcPr>
                                <w:p w14:paraId="27648EA8"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28,009</w:t>
                                  </w:r>
                                </w:p>
                              </w:tc>
                              <w:tc>
                                <w:tcPr>
                                  <w:tcW w:w="0" w:type="auto"/>
                                  <w:shd w:val="clear" w:color="auto" w:fill="auto"/>
                                  <w:vAlign w:val="center"/>
                                </w:tcPr>
                                <w:p w14:paraId="57C18E2F"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25,527</w:t>
                                  </w:r>
                                </w:p>
                              </w:tc>
                              <w:tc>
                                <w:tcPr>
                                  <w:tcW w:w="0" w:type="auto"/>
                                  <w:shd w:val="clear" w:color="auto" w:fill="auto"/>
                                  <w:vAlign w:val="center"/>
                                </w:tcPr>
                                <w:p w14:paraId="37788208"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2,481</w:t>
                                  </w:r>
                                </w:p>
                              </w:tc>
                              <w:tc>
                                <w:tcPr>
                                  <w:tcW w:w="0" w:type="auto"/>
                                  <w:shd w:val="clear" w:color="auto" w:fill="auto"/>
                                  <w:vAlign w:val="center"/>
                                </w:tcPr>
                                <w:p w14:paraId="25214865"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8.86</w:t>
                                  </w:r>
                                </w:p>
                              </w:tc>
                            </w:tr>
                            <w:tr w:rsidR="00600DD6" w:rsidRPr="00430D32" w14:paraId="1458C876" w14:textId="77777777" w:rsidTr="003178C0">
                              <w:trPr>
                                <w:trHeight w:val="284"/>
                              </w:trPr>
                              <w:tc>
                                <w:tcPr>
                                  <w:tcW w:w="0" w:type="auto"/>
                                  <w:vAlign w:val="center"/>
                                </w:tcPr>
                                <w:p w14:paraId="0BBE3570"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2.</w:t>
                                  </w:r>
                                  <w:r w:rsidRPr="00430D32">
                                    <w:rPr>
                                      <w:rFonts w:ascii="標楷體" w:eastAsia="標楷體" w:hAnsi="標楷體" w:hint="eastAsia"/>
                                      <w:sz w:val="20"/>
                                      <w:szCs w:val="20"/>
                                      <w:shd w:val="clear" w:color="auto" w:fill="FFFFFF" w:themeFill="background1"/>
                                    </w:rPr>
                                    <w:t>臺北市環境保護基金</w:t>
                                  </w:r>
                                </w:p>
                              </w:tc>
                              <w:tc>
                                <w:tcPr>
                                  <w:tcW w:w="0" w:type="auto"/>
                                  <w:vAlign w:val="center"/>
                                </w:tcPr>
                                <w:p w14:paraId="1B14B9CB"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100,474</w:t>
                                  </w:r>
                                </w:p>
                              </w:tc>
                              <w:tc>
                                <w:tcPr>
                                  <w:tcW w:w="0" w:type="auto"/>
                                  <w:vAlign w:val="center"/>
                                </w:tcPr>
                                <w:p w14:paraId="05286BC1"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31,197</w:t>
                                  </w:r>
                                </w:p>
                              </w:tc>
                              <w:tc>
                                <w:tcPr>
                                  <w:tcW w:w="0" w:type="auto"/>
                                  <w:vAlign w:val="center"/>
                                </w:tcPr>
                                <w:p w14:paraId="7ABA77C4"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69,276</w:t>
                                  </w:r>
                                </w:p>
                              </w:tc>
                              <w:tc>
                                <w:tcPr>
                                  <w:tcW w:w="0" w:type="auto"/>
                                  <w:vAlign w:val="center"/>
                                </w:tcPr>
                                <w:p w14:paraId="5E91A44B"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68.95</w:t>
                                  </w:r>
                                </w:p>
                              </w:tc>
                            </w:tr>
                            <w:tr w:rsidR="00600DD6" w:rsidRPr="00430D32" w14:paraId="15B1D9F2" w14:textId="77777777" w:rsidTr="003178C0">
                              <w:trPr>
                                <w:trHeight w:val="284"/>
                              </w:trPr>
                              <w:tc>
                                <w:tcPr>
                                  <w:tcW w:w="0" w:type="auto"/>
                                  <w:tcBorders>
                                    <w:bottom w:val="single" w:sz="4" w:space="0" w:color="auto"/>
                                  </w:tcBorders>
                                  <w:shd w:val="clear" w:color="auto" w:fill="FFFFFF" w:themeFill="background1"/>
                                  <w:vAlign w:val="center"/>
                                </w:tcPr>
                                <w:p w14:paraId="2D0F09F8" w14:textId="77777777" w:rsidR="00600DD6" w:rsidRPr="00430D32" w:rsidRDefault="00600DD6" w:rsidP="0017194E">
                                  <w:pPr>
                                    <w:overflowPunct w:val="0"/>
                                    <w:spacing w:line="240" w:lineRule="exact"/>
                                    <w:ind w:rightChars="-85" w:right="-204"/>
                                    <w:contextualSpacing/>
                                    <w:jc w:val="both"/>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3</w:t>
                                  </w:r>
                                  <w:r w:rsidRPr="00430D32">
                                    <w:rPr>
                                      <w:rFonts w:ascii="標楷體" w:eastAsia="標楷體" w:hAnsi="標楷體" w:hint="eastAsia"/>
                                      <w:sz w:val="20"/>
                                      <w:szCs w:val="20"/>
                                      <w:shd w:val="clear" w:color="auto" w:fill="FFFFFF" w:themeFill="background1"/>
                                    </w:rPr>
                                    <w:t>.臺北市大眾捷運系統建設基金</w:t>
                                  </w:r>
                                </w:p>
                              </w:tc>
                              <w:tc>
                                <w:tcPr>
                                  <w:tcW w:w="0" w:type="auto"/>
                                  <w:tcBorders>
                                    <w:bottom w:val="single" w:sz="4" w:space="0" w:color="auto"/>
                                  </w:tcBorders>
                                  <w:shd w:val="clear" w:color="auto" w:fill="FFFFFF" w:themeFill="background1"/>
                                  <w:vAlign w:val="center"/>
                                </w:tcPr>
                                <w:p w14:paraId="34FE444A"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644,903</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8E928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59,530</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D979E4F"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- 585,372</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CA0F3B3"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- 90.77</w:t>
                                  </w:r>
                                </w:p>
                              </w:tc>
                            </w:tr>
                            <w:tr w:rsidR="00600DD6" w:rsidRPr="00430D32" w14:paraId="7D2F5743" w14:textId="77777777" w:rsidTr="003178C0">
                              <w:trPr>
                                <w:trHeight w:val="284"/>
                              </w:trPr>
                              <w:tc>
                                <w:tcPr>
                                  <w:tcW w:w="0" w:type="auto"/>
                                  <w:shd w:val="clear" w:color="auto" w:fill="FFFFFF" w:themeFill="background1"/>
                                  <w:vAlign w:val="center"/>
                                </w:tcPr>
                                <w:p w14:paraId="6302CA11"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4.</w:t>
                                  </w:r>
                                  <w:r w:rsidRPr="00430D32">
                                    <w:rPr>
                                      <w:rFonts w:ascii="標楷體" w:eastAsia="標楷體" w:hAnsi="標楷體" w:hint="eastAsia"/>
                                      <w:sz w:val="20"/>
                                      <w:szCs w:val="20"/>
                                      <w:shd w:val="clear" w:color="auto" w:fill="FFFFFF" w:themeFill="background1"/>
                                    </w:rPr>
                                    <w:t>臺北市都市更新基金</w:t>
                                  </w:r>
                                </w:p>
                              </w:tc>
                              <w:tc>
                                <w:tcPr>
                                  <w:tcW w:w="0" w:type="auto"/>
                                  <w:shd w:val="clear" w:color="auto" w:fill="FFFFFF" w:themeFill="background1"/>
                                  <w:vAlign w:val="center"/>
                                </w:tcPr>
                                <w:p w14:paraId="7D0ECE01"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1,818,554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0208C8"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88,165</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3517A36B"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1,730,388</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6E513A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95.15</w:t>
                                  </w:r>
                                </w:p>
                              </w:tc>
                            </w:tr>
                            <w:tr w:rsidR="00600DD6" w:rsidRPr="00430D32" w14:paraId="422734DC" w14:textId="77777777" w:rsidTr="003178C0">
                              <w:trPr>
                                <w:trHeight w:val="284"/>
                              </w:trPr>
                              <w:tc>
                                <w:tcPr>
                                  <w:tcW w:w="0" w:type="auto"/>
                                  <w:tcBorders>
                                    <w:bottom w:val="single" w:sz="4" w:space="0" w:color="auto"/>
                                  </w:tcBorders>
                                  <w:shd w:val="clear" w:color="auto" w:fill="FFFFFF" w:themeFill="background1"/>
                                  <w:vAlign w:val="center"/>
                                </w:tcPr>
                                <w:p w14:paraId="1C3399A2"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5.</w:t>
                                  </w:r>
                                  <w:r w:rsidRPr="00430D32">
                                    <w:rPr>
                                      <w:rFonts w:ascii="標楷體" w:eastAsia="標楷體" w:hAnsi="標楷體" w:hint="eastAsia"/>
                                      <w:sz w:val="20"/>
                                      <w:szCs w:val="20"/>
                                      <w:shd w:val="clear" w:color="auto" w:fill="FFFFFF" w:themeFill="background1"/>
                                    </w:rPr>
                                    <w:t>臺北市住宅基金</w:t>
                                  </w:r>
                                </w:p>
                              </w:tc>
                              <w:tc>
                                <w:tcPr>
                                  <w:tcW w:w="0" w:type="auto"/>
                                  <w:tcBorders>
                                    <w:bottom w:val="single" w:sz="4" w:space="0" w:color="auto"/>
                                  </w:tcBorders>
                                  <w:shd w:val="clear" w:color="auto" w:fill="FFFFFF" w:themeFill="background1"/>
                                  <w:vAlign w:val="center"/>
                                </w:tcPr>
                                <w:p w14:paraId="02998BBC"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rPr>
                                    <w:t>2,181</w:t>
                                  </w:r>
                                  <w:r w:rsidRPr="00430D32">
                                    <w:rPr>
                                      <w:rFonts w:ascii="標楷體" w:eastAsia="標楷體" w:hAnsi="標楷體" w:hint="eastAsia"/>
                                      <w:sz w:val="20"/>
                                      <w:szCs w:val="20"/>
                                    </w:rPr>
                                    <w:t>,</w:t>
                                  </w:r>
                                  <w:r w:rsidRPr="00430D32">
                                    <w:rPr>
                                      <w:rFonts w:ascii="標楷體" w:eastAsia="標楷體" w:hAnsi="標楷體"/>
                                      <w:sz w:val="20"/>
                                      <w:szCs w:val="20"/>
                                    </w:rPr>
                                    <w:t>106</w:t>
                                  </w:r>
                                  <w:r w:rsidRPr="00430D32">
                                    <w:rPr>
                                      <w:rFonts w:ascii="標楷體" w:eastAsia="標楷體" w:hAnsi="標楷體" w:hint="eastAsia"/>
                                      <w:sz w:val="20"/>
                                      <w:szCs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926165"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rPr>
                                    <w:t>18</w:t>
                                  </w:r>
                                  <w:r w:rsidRPr="00430D32">
                                    <w:rPr>
                                      <w:rFonts w:ascii="標楷體" w:eastAsia="標楷體" w:hAnsi="標楷體" w:hint="eastAsia"/>
                                      <w:sz w:val="20"/>
                                      <w:szCs w:val="20"/>
                                    </w:rPr>
                                    <w:t>6,</w:t>
                                  </w:r>
                                  <w:r w:rsidRPr="00430D32">
                                    <w:rPr>
                                      <w:rFonts w:ascii="標楷體" w:eastAsia="標楷體" w:hAnsi="標楷體"/>
                                      <w:sz w:val="20"/>
                                      <w:szCs w:val="20"/>
                                    </w:rPr>
                                    <w:t>307</w:t>
                                  </w:r>
                                  <w:r w:rsidRPr="00430D32">
                                    <w:rPr>
                                      <w:rFonts w:ascii="標楷體" w:eastAsia="標楷體" w:hAnsi="標楷體" w:hint="eastAsia"/>
                                      <w:sz w:val="20"/>
                                      <w:szCs w:val="20"/>
                                    </w:rPr>
                                    <w:t xml:space="preserve">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25AF3F1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1,994</w:t>
                                  </w:r>
                                  <w:r w:rsidRPr="00430D32">
                                    <w:rPr>
                                      <w:rFonts w:ascii="標楷體" w:eastAsia="標楷體" w:hAnsi="標楷體" w:hint="eastAsia"/>
                                      <w:sz w:val="20"/>
                                      <w:szCs w:val="20"/>
                                    </w:rPr>
                                    <w:t>,</w:t>
                                  </w:r>
                                  <w:r w:rsidRPr="00430D32">
                                    <w:rPr>
                                      <w:rFonts w:ascii="標楷體" w:eastAsia="標楷體" w:hAnsi="標楷體"/>
                                      <w:sz w:val="20"/>
                                      <w:szCs w:val="20"/>
                                    </w:rPr>
                                    <w:t>798</w:t>
                                  </w:r>
                                  <w:r w:rsidRPr="00430D32">
                                    <w:rPr>
                                      <w:rFonts w:ascii="標楷體" w:eastAsia="標楷體" w:hAnsi="標楷體" w:hint="eastAsia"/>
                                      <w:sz w:val="20"/>
                                      <w:szCs w:val="20"/>
                                    </w:rPr>
                                    <w:t xml:space="preserve">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4F13B583"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9</w:t>
                                  </w:r>
                                  <w:r w:rsidRPr="00430D32">
                                    <w:rPr>
                                      <w:rFonts w:ascii="標楷體" w:eastAsia="標楷體" w:hAnsi="標楷體" w:hint="eastAsia"/>
                                      <w:sz w:val="20"/>
                                      <w:szCs w:val="20"/>
                                    </w:rPr>
                                    <w:t>1.</w:t>
                                  </w:r>
                                  <w:r w:rsidRPr="00430D32">
                                    <w:rPr>
                                      <w:rFonts w:ascii="標楷體" w:eastAsia="標楷體" w:hAnsi="標楷體"/>
                                      <w:sz w:val="20"/>
                                      <w:szCs w:val="20"/>
                                    </w:rPr>
                                    <w:t>46</w:t>
                                  </w:r>
                                </w:p>
                              </w:tc>
                            </w:tr>
                            <w:tr w:rsidR="00600DD6" w:rsidRPr="00430D32" w14:paraId="6F00C925" w14:textId="77777777" w:rsidTr="003178C0">
                              <w:trPr>
                                <w:trHeight w:val="284"/>
                              </w:trPr>
                              <w:tc>
                                <w:tcPr>
                                  <w:tcW w:w="0" w:type="auto"/>
                                  <w:shd w:val="clear" w:color="auto" w:fill="FFFFFF" w:themeFill="background1"/>
                                  <w:vAlign w:val="center"/>
                                </w:tcPr>
                                <w:p w14:paraId="7523C6B1"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6</w:t>
                                  </w:r>
                                  <w:r w:rsidRPr="00430D32">
                                    <w:rPr>
                                      <w:rFonts w:ascii="標楷體" w:eastAsia="標楷體" w:hAnsi="標楷體" w:hint="eastAsia"/>
                                      <w:sz w:val="20"/>
                                      <w:szCs w:val="20"/>
                                      <w:shd w:val="clear" w:color="auto" w:fill="FFFFFF" w:themeFill="background1"/>
                                    </w:rPr>
                                    <w:t>.臺北市立聯合醫院醫療基金</w:t>
                                  </w:r>
                                </w:p>
                              </w:tc>
                              <w:tc>
                                <w:tcPr>
                                  <w:tcW w:w="0" w:type="auto"/>
                                  <w:shd w:val="clear" w:color="auto" w:fill="FFFFFF" w:themeFill="background1"/>
                                  <w:vAlign w:val="center"/>
                                </w:tcPr>
                                <w:p w14:paraId="788A6E48"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shd w:val="clear" w:color="auto" w:fill="FFFFFF" w:themeFill="background1"/>
                                    </w:rPr>
                                    <w:t>718,396</w:t>
                                  </w:r>
                                  <w:r w:rsidRPr="00430D32">
                                    <w:rPr>
                                      <w:rFonts w:ascii="標楷體" w:eastAsia="標楷體" w:hAnsi="標楷體" w:hint="eastAsia"/>
                                      <w:sz w:val="20"/>
                                      <w:szCs w:val="20"/>
                                      <w:shd w:val="clear" w:color="auto" w:fill="FFFFFF" w:themeFill="background1"/>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B5B54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shd w:val="clear" w:color="auto" w:fill="FFFFFF" w:themeFill="background1"/>
                                    </w:rPr>
                                    <w:t>396</w:t>
                                  </w:r>
                                  <w:r w:rsidRPr="00430D32">
                                    <w:rPr>
                                      <w:rFonts w:ascii="標楷體" w:eastAsia="標楷體" w:hAnsi="標楷體"/>
                                      <w:sz w:val="20"/>
                                      <w:szCs w:val="20"/>
                                      <w:shd w:val="clear" w:color="auto" w:fill="FFFFFF" w:themeFill="background1"/>
                                    </w:rPr>
                                    <w:t>,</w:t>
                                  </w:r>
                                  <w:r w:rsidRPr="00430D32">
                                    <w:rPr>
                                      <w:rFonts w:ascii="標楷體" w:eastAsia="標楷體" w:hAnsi="標楷體" w:hint="eastAsia"/>
                                      <w:sz w:val="20"/>
                                      <w:szCs w:val="20"/>
                                      <w:shd w:val="clear" w:color="auto" w:fill="FFFFFF" w:themeFill="background1"/>
                                    </w:rPr>
                                    <w:t xml:space="preserve">760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2F7EE4F"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shd w:val="clear" w:color="auto" w:fill="FFFFFF" w:themeFill="background1"/>
                                    </w:rPr>
                                    <w:t>-</w:t>
                                  </w:r>
                                  <w:r w:rsidRPr="00430D32">
                                    <w:rPr>
                                      <w:rFonts w:ascii="標楷體" w:eastAsia="標楷體" w:hAnsi="標楷體"/>
                                      <w:sz w:val="20"/>
                                      <w:szCs w:val="20"/>
                                      <w:shd w:val="clear" w:color="auto" w:fill="FFFFFF" w:themeFill="background1"/>
                                    </w:rPr>
                                    <w:t xml:space="preserve"> 3</w:t>
                                  </w:r>
                                  <w:r w:rsidRPr="00430D32">
                                    <w:rPr>
                                      <w:rFonts w:ascii="標楷體" w:eastAsia="標楷體" w:hAnsi="標楷體" w:hint="eastAsia"/>
                                      <w:sz w:val="20"/>
                                      <w:szCs w:val="20"/>
                                      <w:shd w:val="clear" w:color="auto" w:fill="FFFFFF" w:themeFill="background1"/>
                                    </w:rPr>
                                    <w:t>21</w:t>
                                  </w:r>
                                  <w:r w:rsidRPr="00430D32">
                                    <w:rPr>
                                      <w:rFonts w:ascii="標楷體" w:eastAsia="標楷體" w:hAnsi="標楷體"/>
                                      <w:sz w:val="20"/>
                                      <w:szCs w:val="20"/>
                                      <w:shd w:val="clear" w:color="auto" w:fill="FFFFFF" w:themeFill="background1"/>
                                    </w:rPr>
                                    <w:t>,</w:t>
                                  </w:r>
                                  <w:r w:rsidRPr="00430D32">
                                    <w:rPr>
                                      <w:rFonts w:ascii="標楷體" w:eastAsia="標楷體" w:hAnsi="標楷體" w:hint="eastAsia"/>
                                      <w:sz w:val="20"/>
                                      <w:szCs w:val="20"/>
                                      <w:shd w:val="clear" w:color="auto" w:fill="FFFFFF" w:themeFill="background1"/>
                                    </w:rPr>
                                    <w:t xml:space="preserve">635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5C7E293C"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- 44.77</w:t>
                                  </w:r>
                                </w:p>
                              </w:tc>
                            </w:tr>
                            <w:tr w:rsidR="00600DD6" w:rsidRPr="00430D32" w14:paraId="5203157A" w14:textId="77777777" w:rsidTr="003178C0">
                              <w:trPr>
                                <w:trHeight w:val="284"/>
                              </w:trPr>
                              <w:tc>
                                <w:tcPr>
                                  <w:tcW w:w="0" w:type="auto"/>
                                  <w:shd w:val="clear" w:color="auto" w:fill="FFFFFF" w:themeFill="background1"/>
                                  <w:vAlign w:val="center"/>
                                </w:tcPr>
                                <w:p w14:paraId="0C31954B" w14:textId="77777777" w:rsidR="00600DD6" w:rsidRPr="00430D32" w:rsidRDefault="00600DD6" w:rsidP="00600DD6">
                                  <w:pPr>
                                    <w:overflowPunct w:val="0"/>
                                    <w:spacing w:line="240" w:lineRule="exact"/>
                                    <w:ind w:left="200" w:hangingChars="100" w:hanging="200"/>
                                    <w:contextualSpacing/>
                                    <w:jc w:val="both"/>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shd w:val="clear" w:color="auto" w:fill="FFFFFF" w:themeFill="background1"/>
                                    </w:rPr>
                                    <w:t>7</w:t>
                                  </w:r>
                                  <w:r w:rsidRPr="00430D32">
                                    <w:rPr>
                                      <w:rFonts w:ascii="標楷體" w:eastAsia="標楷體" w:hAnsi="標楷體"/>
                                      <w:sz w:val="20"/>
                                      <w:szCs w:val="20"/>
                                      <w:shd w:val="clear" w:color="auto" w:fill="FFFFFF" w:themeFill="background1"/>
                                    </w:rPr>
                                    <w:t>.</w:t>
                                  </w:r>
                                  <w:proofErr w:type="gramStart"/>
                                  <w:r w:rsidRPr="005A7C75">
                                    <w:rPr>
                                      <w:rFonts w:ascii="標楷體" w:eastAsia="標楷體" w:hAnsi="標楷體" w:hint="eastAsia"/>
                                      <w:spacing w:val="-14"/>
                                      <w:sz w:val="20"/>
                                      <w:szCs w:val="20"/>
                                      <w:shd w:val="clear" w:color="auto" w:fill="FFFFFF" w:themeFill="background1"/>
                                    </w:rPr>
                                    <w:t>臺</w:t>
                                  </w:r>
                                  <w:proofErr w:type="gramEnd"/>
                                  <w:r w:rsidRPr="005A7C75">
                                    <w:rPr>
                                      <w:rFonts w:ascii="標楷體" w:eastAsia="標楷體" w:hAnsi="標楷體" w:hint="eastAsia"/>
                                      <w:spacing w:val="-14"/>
                                      <w:sz w:val="20"/>
                                      <w:szCs w:val="20"/>
                                      <w:shd w:val="clear" w:color="auto" w:fill="FFFFFF" w:themeFill="background1"/>
                                    </w:rPr>
                                    <w:t>北都會區大眾捷運系統土地開發基金</w:t>
                                  </w:r>
                                </w:p>
                              </w:tc>
                              <w:tc>
                                <w:tcPr>
                                  <w:tcW w:w="0" w:type="auto"/>
                                  <w:shd w:val="clear" w:color="auto" w:fill="FFFFFF" w:themeFill="background1"/>
                                  <w:vAlign w:val="center"/>
                                </w:tcPr>
                                <w:p w14:paraId="653913AB"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1,146,634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B4748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930,330</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7AE6CD48"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- 216,303</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35E417D"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- 18.86</w:t>
                                  </w:r>
                                </w:p>
                              </w:tc>
                            </w:tr>
                            <w:tr w:rsidR="00600DD6" w:rsidRPr="00430D32" w14:paraId="6A916B1B" w14:textId="77777777" w:rsidTr="003178C0">
                              <w:tc>
                                <w:tcPr>
                                  <w:tcW w:w="0" w:type="auto"/>
                                  <w:gridSpan w:val="5"/>
                                  <w:tcBorders>
                                    <w:top w:val="single" w:sz="4" w:space="0" w:color="auto"/>
                                    <w:left w:val="nil"/>
                                    <w:bottom w:val="nil"/>
                                    <w:right w:val="nil"/>
                                  </w:tcBorders>
                                  <w:shd w:val="clear" w:color="auto" w:fill="FFFFFF" w:themeFill="background1"/>
                                </w:tcPr>
                                <w:p w14:paraId="5B5BC495" w14:textId="77777777" w:rsidR="00600DD6" w:rsidRPr="00430D32" w:rsidRDefault="00600DD6" w:rsidP="00600DD6">
                                  <w:pPr>
                                    <w:overflowPunct w:val="0"/>
                                    <w:spacing w:beforeLines="50" w:before="180" w:line="240" w:lineRule="exact"/>
                                    <w:ind w:leftChars="-57" w:left="-112" w:hangingChars="14" w:hanging="25"/>
                                    <w:contextualSpacing/>
                                    <w:rPr>
                                      <w:rFonts w:ascii="標楷體" w:eastAsia="標楷體" w:hAnsi="標楷體"/>
                                      <w:sz w:val="18"/>
                                      <w:szCs w:val="18"/>
                                      <w:shd w:val="clear" w:color="auto" w:fill="FFFFFF" w:themeFill="background1"/>
                                    </w:rPr>
                                  </w:pPr>
                                  <w:r w:rsidRPr="00430D32">
                                    <w:rPr>
                                      <w:rFonts w:ascii="標楷體" w:eastAsia="標楷體" w:hAnsi="標楷體"/>
                                      <w:sz w:val="18"/>
                                      <w:szCs w:val="18"/>
                                      <w:shd w:val="clear" w:color="auto" w:fill="FFFFFF" w:themeFill="background1"/>
                                    </w:rPr>
                                    <w:t>資料來源</w:t>
                                  </w:r>
                                  <w:r w:rsidRPr="00430D32">
                                    <w:rPr>
                                      <w:rFonts w:ascii="標楷體" w:eastAsia="標楷體" w:hAnsi="標楷體" w:hint="eastAsia"/>
                                      <w:sz w:val="18"/>
                                      <w:szCs w:val="18"/>
                                      <w:shd w:val="clear" w:color="auto" w:fill="FFFFFF" w:themeFill="background1"/>
                                    </w:rPr>
                                    <w:t>：整理自</w:t>
                                  </w:r>
                                  <w:proofErr w:type="gramStart"/>
                                  <w:r w:rsidRPr="00430D32">
                                    <w:rPr>
                                      <w:rFonts w:ascii="標楷體" w:eastAsia="標楷體" w:hAnsi="標楷體" w:hint="eastAsia"/>
                                      <w:sz w:val="18"/>
                                      <w:szCs w:val="18"/>
                                      <w:shd w:val="clear" w:color="auto" w:fill="FFFFFF" w:themeFill="background1"/>
                                    </w:rPr>
                                    <w:t>1</w:t>
                                  </w:r>
                                  <w:r w:rsidRPr="00430D32">
                                    <w:rPr>
                                      <w:rFonts w:ascii="標楷體" w:eastAsia="標楷體" w:hAnsi="標楷體"/>
                                      <w:sz w:val="18"/>
                                      <w:szCs w:val="18"/>
                                      <w:shd w:val="clear" w:color="auto" w:fill="FFFFFF" w:themeFill="background1"/>
                                    </w:rPr>
                                    <w:t>1</w:t>
                                  </w:r>
                                  <w:r w:rsidRPr="00430D32">
                                    <w:rPr>
                                      <w:rFonts w:ascii="標楷體" w:eastAsia="標楷體" w:hAnsi="標楷體" w:hint="eastAsia"/>
                                      <w:sz w:val="18"/>
                                      <w:szCs w:val="18"/>
                                      <w:shd w:val="clear" w:color="auto" w:fill="FFFFFF" w:themeFill="background1"/>
                                    </w:rPr>
                                    <w:t>3</w:t>
                                  </w:r>
                                  <w:proofErr w:type="gramEnd"/>
                                  <w:r w:rsidRPr="00430D32">
                                    <w:rPr>
                                      <w:rFonts w:ascii="標楷體" w:eastAsia="標楷體" w:hAnsi="標楷體" w:hint="eastAsia"/>
                                      <w:sz w:val="18"/>
                                      <w:szCs w:val="18"/>
                                      <w:shd w:val="clear" w:color="auto" w:fill="FFFFFF" w:themeFill="background1"/>
                                    </w:rPr>
                                    <w:t>年度審核報告。</w:t>
                                  </w:r>
                                </w:p>
                              </w:tc>
                            </w:tr>
                          </w:tbl>
                          <w:p w14:paraId="5BA88C32" w14:textId="77777777" w:rsidR="00600DD6" w:rsidRPr="00600DD6" w:rsidRDefault="00600DD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75297D" id="文字方塊 927419589" o:spid="_x0000_s1029" type="#_x0000_t202" style="position:absolute;left:0;text-align:left;margin-left:76.1pt;margin-top:70.4pt;width:428.25pt;height:254pt;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" fillcolor="white [3201]" stroked="f" strokeweight=".5pt">
                <v:textbox>
                  <w:txbxContent>
                    <w:tbl>
                      <w:tblPr>
                        <w:tblStyle w:val="13"/>
                        <w:tblW w:w="0" w:type="auto"/>
                        <w:tblInd w:w="0" w:type="dxa"/>
                        <w:tblLook w:val="04A0" w:firstRow="1" w:lastRow="0" w:firstColumn="1" w:lastColumn="0" w:noHBand="0" w:noVBand="1"/>
                      </w:tblPr>
                      <w:tblGrid>
                        <w:gridCol w:w="3534"/>
                        <w:gridCol w:w="1183"/>
                        <w:gridCol w:w="1183"/>
                        <w:gridCol w:w="1395"/>
                        <w:gridCol w:w="971"/>
                      </w:tblGrid>
                      <w:tr w:rsidR="00600DD6" w:rsidRPr="00430D32" w14:paraId="7234D608" w14:textId="77777777" w:rsidTr="00520D58">
                        <w:trPr>
                          <w:trHeight w:val="227"/>
                        </w:trPr>
                        <w:tc>
                          <w:tcPr>
                            <w:tcW w:w="0" w:type="auto"/>
                            <w:gridSpan w:val="5"/>
                            <w:tcBorders>
                              <w:top w:val="nil"/>
                              <w:left w:val="nil"/>
                              <w:bottom w:val="nil"/>
                              <w:right w:val="nil"/>
                            </w:tcBorders>
                            <w:shd w:val="clear" w:color="auto" w:fill="auto"/>
                          </w:tcPr>
                          <w:p w14:paraId="3C610CCD" w14:textId="77777777" w:rsidR="00600DD6" w:rsidRPr="00430D32" w:rsidRDefault="00600DD6" w:rsidP="00600DD6">
                            <w:pPr>
                              <w:spacing w:line="240" w:lineRule="exact"/>
                              <w:jc w:val="center"/>
                              <w:rPr>
                                <w:rFonts w:ascii="標楷體" w:eastAsia="標楷體" w:hAnsi="標楷體"/>
                                <w:b/>
                                <w:szCs w:val="24"/>
                              </w:rPr>
                            </w:pPr>
                            <w:r w:rsidRPr="00430D32">
                              <w:rPr>
                                <w:rFonts w:ascii="標楷體" w:eastAsia="標楷體" w:hAnsi="標楷體" w:hint="eastAsia"/>
                                <w:b/>
                                <w:szCs w:val="24"/>
                              </w:rPr>
                              <w:t xml:space="preserve">表5　</w:t>
                            </w:r>
                            <w:proofErr w:type="gramStart"/>
                            <w:r w:rsidRPr="00430D32">
                              <w:rPr>
                                <w:rFonts w:ascii="標楷體" w:eastAsia="標楷體" w:hAnsi="標楷體" w:hint="eastAsia"/>
                                <w:b/>
                                <w:szCs w:val="24"/>
                              </w:rPr>
                              <w:t>1</w:t>
                            </w:r>
                            <w:r w:rsidRPr="00430D32">
                              <w:rPr>
                                <w:rFonts w:ascii="標楷體" w:eastAsia="標楷體" w:hAnsi="標楷體"/>
                                <w:b/>
                                <w:szCs w:val="24"/>
                              </w:rPr>
                              <w:t>13</w:t>
                            </w:r>
                            <w:proofErr w:type="gramEnd"/>
                            <w:r w:rsidRPr="00430D32">
                              <w:rPr>
                                <w:rFonts w:ascii="標楷體" w:eastAsia="標楷體" w:hAnsi="標楷體"/>
                                <w:b/>
                                <w:szCs w:val="24"/>
                              </w:rPr>
                              <w:t>年度營業及非營業特種基金</w:t>
                            </w:r>
                            <w:r w:rsidRPr="00430D32">
                              <w:rPr>
                                <w:rFonts w:ascii="標楷體" w:eastAsia="標楷體" w:hAnsi="標楷體" w:hint="eastAsia"/>
                                <w:b/>
                                <w:szCs w:val="24"/>
                              </w:rPr>
                              <w:t>盈（</w:t>
                            </w:r>
                            <w:proofErr w:type="gramStart"/>
                            <w:r w:rsidRPr="00430D32">
                              <w:rPr>
                                <w:rFonts w:ascii="標楷體" w:eastAsia="標楷體" w:hAnsi="標楷體" w:hint="eastAsia"/>
                                <w:b/>
                                <w:szCs w:val="24"/>
                              </w:rPr>
                              <w:t>賸</w:t>
                            </w:r>
                            <w:proofErr w:type="gramEnd"/>
                            <w:r w:rsidRPr="00430D32">
                              <w:rPr>
                                <w:rFonts w:ascii="標楷體" w:eastAsia="標楷體" w:hAnsi="標楷體" w:hint="eastAsia"/>
                                <w:b/>
                                <w:szCs w:val="24"/>
                              </w:rPr>
                              <w:t>）</w:t>
                            </w:r>
                            <w:proofErr w:type="gramStart"/>
                            <w:r w:rsidRPr="00430D32">
                              <w:rPr>
                                <w:rFonts w:ascii="標楷體" w:eastAsia="標楷體" w:hAnsi="標楷體" w:hint="eastAsia"/>
                                <w:b/>
                                <w:szCs w:val="24"/>
                              </w:rPr>
                              <w:t>餘較預算</w:t>
                            </w:r>
                            <w:proofErr w:type="gramEnd"/>
                            <w:r w:rsidRPr="00430D32">
                              <w:rPr>
                                <w:rFonts w:ascii="標楷體" w:eastAsia="標楷體" w:hAnsi="標楷體" w:hint="eastAsia"/>
                                <w:b/>
                                <w:szCs w:val="24"/>
                              </w:rPr>
                              <w:t>減少或短</w:t>
                            </w:r>
                            <w:proofErr w:type="gramStart"/>
                            <w:r w:rsidRPr="00430D32">
                              <w:rPr>
                                <w:rFonts w:ascii="標楷體" w:eastAsia="標楷體" w:hAnsi="標楷體" w:hint="eastAsia"/>
                                <w:b/>
                                <w:szCs w:val="24"/>
                              </w:rPr>
                              <w:t>絀</w:t>
                            </w:r>
                            <w:proofErr w:type="gramEnd"/>
                            <w:r w:rsidRPr="00430D32">
                              <w:rPr>
                                <w:rFonts w:ascii="標楷體" w:eastAsia="標楷體" w:hAnsi="標楷體" w:hint="eastAsia"/>
                                <w:b/>
                                <w:szCs w:val="24"/>
                              </w:rPr>
                              <w:t>增加情形</w:t>
                            </w:r>
                          </w:p>
                        </w:tc>
                      </w:tr>
                      <w:tr w:rsidR="00600DD6" w:rsidRPr="00430D32" w14:paraId="61E6B542" w14:textId="77777777" w:rsidTr="00520D58">
                        <w:trPr>
                          <w:trHeight w:val="227"/>
                        </w:trPr>
                        <w:tc>
                          <w:tcPr>
                            <w:tcW w:w="0" w:type="auto"/>
                            <w:gridSpan w:val="5"/>
                            <w:tcBorders>
                              <w:top w:val="nil"/>
                              <w:left w:val="nil"/>
                              <w:bottom w:val="single" w:sz="4" w:space="0" w:color="auto"/>
                              <w:right w:val="nil"/>
                            </w:tcBorders>
                            <w:shd w:val="clear" w:color="auto" w:fill="auto"/>
                          </w:tcPr>
                          <w:p w14:paraId="7003EEA2"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rPr>
                              <w:t>單位</w:t>
                            </w:r>
                            <w:r w:rsidRPr="00430D32">
                              <w:rPr>
                                <w:rFonts w:ascii="標楷體" w:eastAsia="標楷體" w:hAnsi="標楷體" w:hint="eastAsia"/>
                                <w:sz w:val="20"/>
                                <w:szCs w:val="20"/>
                              </w:rPr>
                              <w:t>：新臺幣千元、％</w:t>
                            </w:r>
                          </w:p>
                        </w:tc>
                      </w:tr>
                      <w:tr w:rsidR="00600DD6" w:rsidRPr="00430D32" w14:paraId="1D68EC11" w14:textId="77777777" w:rsidTr="003178C0">
                        <w:trPr>
                          <w:trHeight w:hRule="exact" w:val="340"/>
                          <w:tblHeader/>
                        </w:trPr>
                        <w:tc>
                          <w:tcPr>
                            <w:tcW w:w="0" w:type="auto"/>
                            <w:vMerge w:val="restart"/>
                            <w:tcBorders>
                              <w:top w:val="single" w:sz="4" w:space="0" w:color="auto"/>
                            </w:tcBorders>
                            <w:shd w:val="clear" w:color="auto" w:fill="auto"/>
                            <w:vAlign w:val="center"/>
                          </w:tcPr>
                          <w:p w14:paraId="6AC4A148"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類型及基金名稱</w:t>
                            </w:r>
                          </w:p>
                        </w:tc>
                        <w:tc>
                          <w:tcPr>
                            <w:tcW w:w="0" w:type="auto"/>
                            <w:vMerge w:val="restart"/>
                            <w:tcBorders>
                              <w:top w:val="single" w:sz="4" w:space="0" w:color="auto"/>
                            </w:tcBorders>
                            <w:shd w:val="clear" w:color="auto" w:fill="auto"/>
                            <w:vAlign w:val="center"/>
                          </w:tcPr>
                          <w:p w14:paraId="146C2E1C"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預算數</w:t>
                            </w:r>
                          </w:p>
                        </w:tc>
                        <w:tc>
                          <w:tcPr>
                            <w:tcW w:w="0" w:type="auto"/>
                            <w:vMerge w:val="restart"/>
                            <w:tcBorders>
                              <w:top w:val="single" w:sz="4" w:space="0" w:color="auto"/>
                            </w:tcBorders>
                            <w:shd w:val="clear" w:color="auto" w:fill="auto"/>
                            <w:vAlign w:val="center"/>
                          </w:tcPr>
                          <w:p w14:paraId="1531B1AE"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決算數</w:t>
                            </w:r>
                          </w:p>
                        </w:tc>
                        <w:tc>
                          <w:tcPr>
                            <w:tcW w:w="0" w:type="auto"/>
                            <w:gridSpan w:val="2"/>
                            <w:tcBorders>
                              <w:top w:val="single" w:sz="4" w:space="0" w:color="auto"/>
                            </w:tcBorders>
                            <w:shd w:val="clear" w:color="auto" w:fill="auto"/>
                            <w:vAlign w:val="center"/>
                          </w:tcPr>
                          <w:p w14:paraId="2E7A1AF5"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比較增減</w:t>
                            </w:r>
                          </w:p>
                        </w:tc>
                      </w:tr>
                      <w:tr w:rsidR="00600DD6" w:rsidRPr="00430D32" w14:paraId="4EF7ABE3" w14:textId="77777777" w:rsidTr="003178C0">
                        <w:trPr>
                          <w:trHeight w:hRule="exact" w:val="340"/>
                          <w:tblHeader/>
                        </w:trPr>
                        <w:tc>
                          <w:tcPr>
                            <w:tcW w:w="0" w:type="auto"/>
                            <w:vMerge/>
                            <w:tcBorders>
                              <w:bottom w:val="single" w:sz="4" w:space="0" w:color="auto"/>
                            </w:tcBorders>
                            <w:shd w:val="clear" w:color="auto" w:fill="auto"/>
                          </w:tcPr>
                          <w:p w14:paraId="5D351174"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p>
                        </w:tc>
                        <w:tc>
                          <w:tcPr>
                            <w:tcW w:w="0" w:type="auto"/>
                            <w:vMerge/>
                            <w:tcBorders>
                              <w:bottom w:val="single" w:sz="4" w:space="0" w:color="auto"/>
                            </w:tcBorders>
                            <w:shd w:val="clear" w:color="auto" w:fill="auto"/>
                          </w:tcPr>
                          <w:p w14:paraId="57EB81B4"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p>
                        </w:tc>
                        <w:tc>
                          <w:tcPr>
                            <w:tcW w:w="0" w:type="auto"/>
                            <w:vMerge/>
                            <w:tcBorders>
                              <w:bottom w:val="single" w:sz="4" w:space="0" w:color="auto"/>
                            </w:tcBorders>
                            <w:shd w:val="clear" w:color="auto" w:fill="auto"/>
                          </w:tcPr>
                          <w:p w14:paraId="00DBCC2F"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p>
                        </w:tc>
                        <w:tc>
                          <w:tcPr>
                            <w:tcW w:w="0" w:type="auto"/>
                            <w:tcBorders>
                              <w:bottom w:val="single" w:sz="4" w:space="0" w:color="auto"/>
                            </w:tcBorders>
                            <w:shd w:val="clear" w:color="auto" w:fill="auto"/>
                            <w:vAlign w:val="center"/>
                          </w:tcPr>
                          <w:p w14:paraId="0B34C8DF"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金額</w:t>
                            </w:r>
                          </w:p>
                        </w:tc>
                        <w:tc>
                          <w:tcPr>
                            <w:tcW w:w="0" w:type="auto"/>
                            <w:tcBorders>
                              <w:bottom w:val="single" w:sz="4" w:space="0" w:color="auto"/>
                            </w:tcBorders>
                            <w:shd w:val="clear" w:color="auto" w:fill="auto"/>
                            <w:vAlign w:val="center"/>
                          </w:tcPr>
                          <w:p w14:paraId="030AC36C" w14:textId="77777777" w:rsidR="00600DD6" w:rsidRPr="00430D32" w:rsidRDefault="00600DD6" w:rsidP="00600DD6">
                            <w:pPr>
                              <w:overflowPunct w:val="0"/>
                              <w:spacing w:line="240" w:lineRule="exact"/>
                              <w:contextualSpacing/>
                              <w:jc w:val="center"/>
                              <w:rPr>
                                <w:rFonts w:ascii="標楷體" w:eastAsia="標楷體" w:hAnsi="標楷體"/>
                                <w:sz w:val="20"/>
                                <w:szCs w:val="20"/>
                              </w:rPr>
                            </w:pPr>
                            <w:r w:rsidRPr="00430D32">
                              <w:rPr>
                                <w:rFonts w:ascii="標楷體" w:eastAsia="標楷體" w:hAnsi="標楷體" w:hint="eastAsia"/>
                                <w:sz w:val="20"/>
                                <w:szCs w:val="20"/>
                              </w:rPr>
                              <w:t>％</w:t>
                            </w:r>
                          </w:p>
                        </w:tc>
                      </w:tr>
                      <w:tr w:rsidR="00600DD6" w:rsidRPr="00430D32" w14:paraId="6793691E" w14:textId="77777777" w:rsidTr="003178C0">
                        <w:trPr>
                          <w:trHeight w:val="284"/>
                        </w:trPr>
                        <w:tc>
                          <w:tcPr>
                            <w:tcW w:w="0" w:type="auto"/>
                            <w:tcBorders>
                              <w:top w:val="single" w:sz="4" w:space="0" w:color="auto"/>
                              <w:bottom w:val="single" w:sz="4" w:space="0" w:color="auto"/>
                              <w:right w:val="single" w:sz="4" w:space="0" w:color="auto"/>
                            </w:tcBorders>
                            <w:shd w:val="clear" w:color="auto" w:fill="auto"/>
                            <w:vAlign w:val="center"/>
                          </w:tcPr>
                          <w:p w14:paraId="0E89F4A8" w14:textId="77777777" w:rsidR="00600DD6" w:rsidRPr="00430D32" w:rsidRDefault="00600DD6" w:rsidP="00600DD6">
                            <w:pPr>
                              <w:overflowPunct w:val="0"/>
                              <w:spacing w:line="240" w:lineRule="exact"/>
                              <w:ind w:leftChars="-10" w:left="-24"/>
                              <w:contextualSpacing/>
                              <w:rPr>
                                <w:rFonts w:ascii="標楷體" w:eastAsia="標楷體" w:hAnsi="標楷體"/>
                                <w:b/>
                                <w:sz w:val="20"/>
                                <w:szCs w:val="20"/>
                              </w:rPr>
                            </w:pPr>
                            <w:r w:rsidRPr="00430D32">
                              <w:rPr>
                                <w:rFonts w:ascii="標楷體" w:eastAsia="標楷體" w:hAnsi="標楷體" w:hint="eastAsia"/>
                                <w:b/>
                                <w:sz w:val="20"/>
                                <w:szCs w:val="20"/>
                              </w:rPr>
                              <w:t>實際短</w:t>
                            </w:r>
                            <w:proofErr w:type="gramStart"/>
                            <w:r w:rsidRPr="00430D32">
                              <w:rPr>
                                <w:rFonts w:ascii="標楷體" w:eastAsia="標楷體" w:hAnsi="標楷體" w:hint="eastAsia"/>
                                <w:b/>
                                <w:sz w:val="20"/>
                                <w:szCs w:val="20"/>
                              </w:rPr>
                              <w:t>絀</w:t>
                            </w:r>
                            <w:proofErr w:type="gramEnd"/>
                            <w:r w:rsidRPr="00430D32">
                              <w:rPr>
                                <w:rFonts w:ascii="標楷體" w:eastAsia="標楷體" w:hAnsi="標楷體" w:hint="eastAsia"/>
                                <w:b/>
                                <w:sz w:val="20"/>
                                <w:szCs w:val="20"/>
                              </w:rPr>
                              <w:t>較預算短</w:t>
                            </w:r>
                            <w:proofErr w:type="gramStart"/>
                            <w:r w:rsidRPr="00430D32">
                              <w:rPr>
                                <w:rFonts w:ascii="標楷體" w:eastAsia="標楷體" w:hAnsi="標楷體" w:hint="eastAsia"/>
                                <w:b/>
                                <w:sz w:val="20"/>
                                <w:szCs w:val="20"/>
                              </w:rPr>
                              <w:t>絀</w:t>
                            </w:r>
                            <w:proofErr w:type="gramEnd"/>
                            <w:r w:rsidRPr="00430D32">
                              <w:rPr>
                                <w:rFonts w:ascii="標楷體" w:eastAsia="標楷體" w:hAnsi="標楷體" w:hint="eastAsia"/>
                                <w:b/>
                                <w:sz w:val="20"/>
                                <w:szCs w:val="20"/>
                              </w:rPr>
                              <w:t>增加者</w:t>
                            </w:r>
                          </w:p>
                        </w:tc>
                        <w:tc>
                          <w:tcPr>
                            <w:tcW w:w="0" w:type="auto"/>
                            <w:tcBorders>
                              <w:top w:val="single" w:sz="4" w:space="0" w:color="auto"/>
                              <w:bottom w:val="single" w:sz="4" w:space="0" w:color="auto"/>
                            </w:tcBorders>
                            <w:shd w:val="clear" w:color="auto" w:fill="auto"/>
                            <w:vAlign w:val="center"/>
                          </w:tcPr>
                          <w:p w14:paraId="5D7B80E9" w14:textId="77777777" w:rsidR="00600DD6" w:rsidRPr="00430D32" w:rsidRDefault="00600DD6" w:rsidP="00600DD6">
                            <w:pPr>
                              <w:widowControl/>
                              <w:spacing w:line="240" w:lineRule="exact"/>
                              <w:jc w:val="right"/>
                              <w:rPr>
                                <w:rFonts w:ascii="標楷體" w:eastAsia="標楷體" w:hAnsi="標楷體"/>
                                <w:b/>
                                <w:sz w:val="20"/>
                                <w:szCs w:val="20"/>
                              </w:rPr>
                            </w:pPr>
                            <w:r w:rsidRPr="00430D32">
                              <w:rPr>
                                <w:rFonts w:ascii="標楷體" w:eastAsia="標楷體" w:hAnsi="標楷體" w:hint="eastAsia"/>
                                <w:b/>
                                <w:sz w:val="20"/>
                                <w:szCs w:val="20"/>
                              </w:rPr>
                              <w:t>-</w:t>
                            </w:r>
                            <w:r w:rsidRPr="00430D32">
                              <w:rPr>
                                <w:rFonts w:ascii="標楷體" w:eastAsia="標楷體" w:hAnsi="標楷體"/>
                                <w:b/>
                                <w:sz w:val="20"/>
                                <w:szCs w:val="20"/>
                              </w:rPr>
                              <w:t xml:space="preserve"> </w:t>
                            </w:r>
                            <w:r w:rsidRPr="00430D32">
                              <w:rPr>
                                <w:rFonts w:ascii="標楷體" w:eastAsia="標楷體" w:hAnsi="標楷體" w:hint="eastAsia"/>
                                <w:b/>
                                <w:sz w:val="20"/>
                                <w:szCs w:val="20"/>
                              </w:rPr>
                              <w:t>2</w:t>
                            </w:r>
                            <w:r w:rsidRPr="00430D32">
                              <w:rPr>
                                <w:rFonts w:ascii="標楷體" w:eastAsia="標楷體" w:hAnsi="標楷體"/>
                                <w:b/>
                                <w:sz w:val="20"/>
                                <w:szCs w:val="20"/>
                              </w:rPr>
                              <w:t>03,9</w:t>
                            </w:r>
                            <w:r w:rsidRPr="00430D32">
                              <w:rPr>
                                <w:rFonts w:ascii="標楷體" w:eastAsia="標楷體" w:hAnsi="標楷體" w:hint="eastAsia"/>
                                <w:b/>
                                <w:sz w:val="20"/>
                                <w:szCs w:val="20"/>
                              </w:rPr>
                              <w:t>5</w:t>
                            </w:r>
                            <w:r w:rsidRPr="00430D32">
                              <w:rPr>
                                <w:rFonts w:ascii="標楷體" w:eastAsia="標楷體" w:hAnsi="標楷體"/>
                                <w:b/>
                                <w:sz w:val="20"/>
                                <w:szCs w:val="20"/>
                              </w:rPr>
                              <w:t>1</w:t>
                            </w:r>
                            <w:r w:rsidRPr="00430D32">
                              <w:rPr>
                                <w:rFonts w:ascii="標楷體" w:eastAsia="標楷體" w:hAnsi="標楷體" w:hint="eastAsia"/>
                                <w:b/>
                                <w:sz w:val="20"/>
                                <w:szCs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D471B" w14:textId="77777777" w:rsidR="00600DD6" w:rsidRPr="00430D32" w:rsidRDefault="00600DD6" w:rsidP="00600DD6">
                            <w:pPr>
                              <w:spacing w:line="240" w:lineRule="exact"/>
                              <w:jc w:val="right"/>
                              <w:rPr>
                                <w:rFonts w:ascii="標楷體" w:eastAsia="標楷體" w:hAnsi="標楷體"/>
                                <w:b/>
                                <w:sz w:val="20"/>
                                <w:szCs w:val="20"/>
                              </w:rPr>
                            </w:pPr>
                            <w:r w:rsidRPr="00430D32">
                              <w:rPr>
                                <w:rFonts w:ascii="標楷體" w:eastAsia="標楷體" w:hAnsi="標楷體" w:hint="eastAsia"/>
                                <w:b/>
                                <w:sz w:val="20"/>
                                <w:szCs w:val="20"/>
                              </w:rPr>
                              <w:t>-</w:t>
                            </w:r>
                            <w:r w:rsidRPr="00430D32">
                              <w:rPr>
                                <w:rFonts w:ascii="標楷體" w:eastAsia="標楷體" w:hAnsi="標楷體"/>
                                <w:b/>
                                <w:sz w:val="20"/>
                                <w:szCs w:val="20"/>
                              </w:rPr>
                              <w:t xml:space="preserve"> 739,650</w:t>
                            </w:r>
                            <w:r w:rsidRPr="00430D32">
                              <w:rPr>
                                <w:rFonts w:ascii="標楷體" w:eastAsia="標楷體" w:hAnsi="標楷體" w:hint="eastAsia"/>
                                <w:b/>
                                <w:sz w:val="20"/>
                                <w:szCs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DB632" w14:textId="77777777" w:rsidR="00600DD6" w:rsidRPr="00430D32" w:rsidRDefault="00600DD6" w:rsidP="00600DD6">
                            <w:pPr>
                              <w:spacing w:line="240" w:lineRule="exact"/>
                              <w:jc w:val="right"/>
                              <w:rPr>
                                <w:rFonts w:ascii="標楷體" w:eastAsia="標楷體" w:hAnsi="標楷體"/>
                                <w:b/>
                                <w:sz w:val="20"/>
                                <w:szCs w:val="20"/>
                              </w:rPr>
                            </w:pPr>
                            <w:r w:rsidRPr="00430D32">
                              <w:rPr>
                                <w:rFonts w:ascii="標楷體" w:eastAsia="標楷體" w:hAnsi="標楷體" w:hint="eastAsia"/>
                                <w:b/>
                                <w:sz w:val="20"/>
                                <w:szCs w:val="20"/>
                              </w:rPr>
                              <w:t>-</w:t>
                            </w:r>
                            <w:r w:rsidRPr="00430D32">
                              <w:rPr>
                                <w:rFonts w:ascii="標楷體" w:eastAsia="標楷體" w:hAnsi="標楷體"/>
                                <w:b/>
                                <w:sz w:val="20"/>
                                <w:szCs w:val="20"/>
                              </w:rPr>
                              <w:t xml:space="preserve"> 535,699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F35868" w14:textId="77777777" w:rsidR="00600DD6" w:rsidRPr="00430D32" w:rsidRDefault="00600DD6" w:rsidP="00600DD6">
                            <w:pPr>
                              <w:spacing w:line="240" w:lineRule="exact"/>
                              <w:jc w:val="right"/>
                              <w:rPr>
                                <w:rFonts w:ascii="標楷體" w:eastAsia="標楷體" w:hAnsi="標楷體"/>
                                <w:b/>
                                <w:bCs/>
                                <w:sz w:val="20"/>
                                <w:szCs w:val="20"/>
                              </w:rPr>
                            </w:pPr>
                            <w:r w:rsidRPr="00430D32">
                              <w:rPr>
                                <w:rFonts w:ascii="標楷體" w:eastAsia="標楷體" w:hAnsi="標楷體"/>
                                <w:b/>
                                <w:bCs/>
                                <w:sz w:val="20"/>
                                <w:szCs w:val="20"/>
                              </w:rPr>
                              <w:t>262</w:t>
                            </w:r>
                            <w:r w:rsidRPr="00430D32">
                              <w:rPr>
                                <w:rFonts w:ascii="標楷體" w:eastAsia="標楷體" w:hAnsi="標楷體" w:hint="eastAsia"/>
                                <w:b/>
                                <w:bCs/>
                                <w:sz w:val="20"/>
                                <w:szCs w:val="20"/>
                              </w:rPr>
                              <w:t>.6</w:t>
                            </w:r>
                            <w:r w:rsidRPr="00430D32">
                              <w:rPr>
                                <w:rFonts w:ascii="標楷體" w:eastAsia="標楷體" w:hAnsi="標楷體"/>
                                <w:b/>
                                <w:bCs/>
                                <w:sz w:val="20"/>
                                <w:szCs w:val="20"/>
                              </w:rPr>
                              <w:t>6</w:t>
                            </w:r>
                          </w:p>
                        </w:tc>
                      </w:tr>
                      <w:tr w:rsidR="00600DD6" w:rsidRPr="00430D32" w14:paraId="34A359DD" w14:textId="77777777" w:rsidTr="003178C0">
                        <w:trPr>
                          <w:trHeight w:val="284"/>
                        </w:trPr>
                        <w:tc>
                          <w:tcPr>
                            <w:tcW w:w="0" w:type="auto"/>
                            <w:shd w:val="clear" w:color="auto" w:fill="auto"/>
                            <w:vAlign w:val="center"/>
                          </w:tcPr>
                          <w:p w14:paraId="1D348DD9"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shd w:val="clear" w:color="auto" w:fill="FFFFFF" w:themeFill="background1"/>
                              </w:rPr>
                              <w:t>1</w:t>
                            </w:r>
                            <w:r w:rsidRPr="00430D32">
                              <w:rPr>
                                <w:rFonts w:ascii="標楷體" w:eastAsia="標楷體" w:hAnsi="標楷體"/>
                                <w:sz w:val="20"/>
                                <w:szCs w:val="20"/>
                                <w:shd w:val="clear" w:color="auto" w:fill="FFFFFF" w:themeFill="background1"/>
                              </w:rPr>
                              <w:t>.</w:t>
                            </w:r>
                            <w:r w:rsidRPr="00430D32">
                              <w:rPr>
                                <w:rFonts w:ascii="標楷體" w:eastAsia="標楷體" w:hAnsi="標楷體" w:hint="eastAsia"/>
                                <w:sz w:val="20"/>
                                <w:szCs w:val="20"/>
                                <w:shd w:val="clear" w:color="auto" w:fill="FFFFFF" w:themeFill="background1"/>
                              </w:rPr>
                              <w:t>臺北市容積代金基金</w:t>
                            </w:r>
                          </w:p>
                        </w:tc>
                        <w:tc>
                          <w:tcPr>
                            <w:tcW w:w="0" w:type="auto"/>
                            <w:shd w:val="clear" w:color="auto" w:fill="auto"/>
                            <w:vAlign w:val="center"/>
                          </w:tcPr>
                          <w:p w14:paraId="04329188"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172,</w:t>
                            </w:r>
                            <w:r w:rsidRPr="00430D32">
                              <w:rPr>
                                <w:rFonts w:ascii="標楷體" w:eastAsia="標楷體" w:hAnsi="標楷體"/>
                                <w:sz w:val="20"/>
                                <w:szCs w:val="20"/>
                              </w:rPr>
                              <w:t>274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05BDC3"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707,410</w:t>
                            </w:r>
                          </w:p>
                        </w:tc>
                        <w:tc>
                          <w:tcPr>
                            <w:tcW w:w="0" w:type="auto"/>
                            <w:tcBorders>
                              <w:top w:val="single" w:sz="4" w:space="0" w:color="auto"/>
                              <w:left w:val="nil"/>
                              <w:bottom w:val="single" w:sz="4" w:space="0" w:color="auto"/>
                              <w:right w:val="single" w:sz="4" w:space="0" w:color="auto"/>
                            </w:tcBorders>
                            <w:shd w:val="clear" w:color="auto" w:fill="auto"/>
                            <w:vAlign w:val="center"/>
                          </w:tcPr>
                          <w:p w14:paraId="2E4DB3E3"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535,136</w:t>
                            </w:r>
                          </w:p>
                        </w:tc>
                        <w:tc>
                          <w:tcPr>
                            <w:tcW w:w="0" w:type="auto"/>
                            <w:tcBorders>
                              <w:top w:val="single" w:sz="4" w:space="0" w:color="auto"/>
                              <w:left w:val="nil"/>
                              <w:bottom w:val="single" w:sz="4" w:space="0" w:color="auto"/>
                              <w:right w:val="single" w:sz="4" w:space="0" w:color="auto"/>
                            </w:tcBorders>
                            <w:shd w:val="clear" w:color="auto" w:fill="auto"/>
                            <w:vAlign w:val="center"/>
                          </w:tcPr>
                          <w:p w14:paraId="75FAE15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3</w:t>
                            </w:r>
                            <w:r w:rsidRPr="00430D32">
                              <w:rPr>
                                <w:rFonts w:ascii="標楷體" w:eastAsia="標楷體" w:hAnsi="標楷體"/>
                                <w:sz w:val="20"/>
                                <w:szCs w:val="20"/>
                              </w:rPr>
                              <w:t>10.63</w:t>
                            </w:r>
                          </w:p>
                        </w:tc>
                      </w:tr>
                      <w:tr w:rsidR="00600DD6" w:rsidRPr="00430D32" w14:paraId="576F84C9" w14:textId="77777777" w:rsidTr="003178C0">
                        <w:trPr>
                          <w:trHeight w:val="284"/>
                        </w:trPr>
                        <w:tc>
                          <w:tcPr>
                            <w:tcW w:w="0" w:type="auto"/>
                            <w:shd w:val="clear" w:color="auto" w:fill="auto"/>
                            <w:vAlign w:val="center"/>
                          </w:tcPr>
                          <w:p w14:paraId="79BB40FC"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shd w:val="clear" w:color="auto" w:fill="FFFFFF" w:themeFill="background1"/>
                              </w:rPr>
                              <w:t>2</w:t>
                            </w:r>
                            <w:r w:rsidRPr="00430D32">
                              <w:rPr>
                                <w:rFonts w:ascii="標楷體" w:eastAsia="標楷體" w:hAnsi="標楷體"/>
                                <w:sz w:val="20"/>
                                <w:szCs w:val="20"/>
                                <w:shd w:val="clear" w:color="auto" w:fill="FFFFFF" w:themeFill="background1"/>
                              </w:rPr>
                              <w:t>.</w:t>
                            </w:r>
                            <w:r w:rsidRPr="00430D32">
                              <w:rPr>
                                <w:rFonts w:ascii="標楷體" w:eastAsia="標楷體" w:hAnsi="標楷體" w:hint="eastAsia"/>
                                <w:sz w:val="20"/>
                                <w:szCs w:val="20"/>
                                <w:shd w:val="clear" w:color="auto" w:fill="FFFFFF" w:themeFill="background1"/>
                              </w:rPr>
                              <w:t>臺北市公共藝術基金</w:t>
                            </w:r>
                          </w:p>
                        </w:tc>
                        <w:tc>
                          <w:tcPr>
                            <w:tcW w:w="0" w:type="auto"/>
                            <w:shd w:val="clear" w:color="auto" w:fill="auto"/>
                            <w:vAlign w:val="center"/>
                          </w:tcPr>
                          <w:p w14:paraId="1FB8EB40"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rPr>
                              <w:t xml:space="preserve">- </w:t>
                            </w:r>
                            <w:r w:rsidRPr="00430D32">
                              <w:rPr>
                                <w:rFonts w:ascii="標楷體" w:eastAsia="標楷體" w:hAnsi="標楷體" w:hint="eastAsia"/>
                                <w:sz w:val="20"/>
                                <w:szCs w:val="20"/>
                              </w:rPr>
                              <w:t>3</w:t>
                            </w:r>
                            <w:r w:rsidRPr="00430D32">
                              <w:rPr>
                                <w:rFonts w:ascii="標楷體" w:eastAsia="標楷體" w:hAnsi="標楷體"/>
                                <w:sz w:val="20"/>
                                <w:szCs w:val="20"/>
                              </w:rPr>
                              <w:t>1,469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5B8B7"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rPr>
                              <w:t xml:space="preserve">- </w:t>
                            </w:r>
                            <w:r w:rsidRPr="00430D32">
                              <w:rPr>
                                <w:rFonts w:ascii="標楷體" w:eastAsia="標楷體" w:hAnsi="標楷體" w:hint="eastAsia"/>
                                <w:sz w:val="20"/>
                                <w:szCs w:val="20"/>
                              </w:rPr>
                              <w:t>3</w:t>
                            </w:r>
                            <w:r w:rsidRPr="00430D32">
                              <w:rPr>
                                <w:rFonts w:ascii="標楷體" w:eastAsia="標楷體" w:hAnsi="標楷體"/>
                                <w:sz w:val="20"/>
                                <w:szCs w:val="20"/>
                              </w:rPr>
                              <w:t>1,679</w:t>
                            </w:r>
                          </w:p>
                        </w:tc>
                        <w:tc>
                          <w:tcPr>
                            <w:tcW w:w="0" w:type="auto"/>
                            <w:tcBorders>
                              <w:top w:val="single" w:sz="4" w:space="0" w:color="auto"/>
                              <w:left w:val="nil"/>
                              <w:bottom w:val="single" w:sz="4" w:space="0" w:color="auto"/>
                              <w:right w:val="single" w:sz="4" w:space="0" w:color="auto"/>
                            </w:tcBorders>
                            <w:shd w:val="clear" w:color="auto" w:fill="auto"/>
                            <w:vAlign w:val="center"/>
                          </w:tcPr>
                          <w:p w14:paraId="062BFC61"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210</w:t>
                            </w:r>
                          </w:p>
                        </w:tc>
                        <w:tc>
                          <w:tcPr>
                            <w:tcW w:w="0" w:type="auto"/>
                            <w:tcBorders>
                              <w:top w:val="single" w:sz="4" w:space="0" w:color="auto"/>
                              <w:left w:val="nil"/>
                              <w:bottom w:val="single" w:sz="4" w:space="0" w:color="auto"/>
                              <w:right w:val="single" w:sz="4" w:space="0" w:color="auto"/>
                            </w:tcBorders>
                            <w:shd w:val="clear" w:color="auto" w:fill="auto"/>
                            <w:vAlign w:val="center"/>
                          </w:tcPr>
                          <w:p w14:paraId="607DDC0B"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0</w:t>
                            </w:r>
                            <w:r w:rsidRPr="00430D32">
                              <w:rPr>
                                <w:rFonts w:ascii="標楷體" w:eastAsia="標楷體" w:hAnsi="標楷體"/>
                                <w:sz w:val="20"/>
                                <w:szCs w:val="20"/>
                              </w:rPr>
                              <w:t>.67</w:t>
                            </w:r>
                          </w:p>
                        </w:tc>
                      </w:tr>
                      <w:tr w:rsidR="00600DD6" w:rsidRPr="00430D32" w14:paraId="6C17040E" w14:textId="77777777" w:rsidTr="003178C0">
                        <w:trPr>
                          <w:trHeight w:val="284"/>
                        </w:trPr>
                        <w:tc>
                          <w:tcPr>
                            <w:tcW w:w="0" w:type="auto"/>
                            <w:shd w:val="clear" w:color="auto" w:fill="auto"/>
                            <w:vAlign w:val="center"/>
                          </w:tcPr>
                          <w:p w14:paraId="6C45F759"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shd w:val="clear" w:color="auto" w:fill="FFFFFF" w:themeFill="background1"/>
                              </w:rPr>
                              <w:t>3</w:t>
                            </w:r>
                            <w:r w:rsidRPr="00430D32">
                              <w:rPr>
                                <w:rFonts w:ascii="標楷體" w:eastAsia="標楷體" w:hAnsi="標楷體"/>
                                <w:sz w:val="20"/>
                                <w:szCs w:val="20"/>
                                <w:shd w:val="clear" w:color="auto" w:fill="FFFFFF" w:themeFill="background1"/>
                              </w:rPr>
                              <w:t>.</w:t>
                            </w:r>
                            <w:r w:rsidRPr="00430D32">
                              <w:rPr>
                                <w:rFonts w:ascii="標楷體" w:eastAsia="標楷體" w:hAnsi="標楷體" w:hint="eastAsia"/>
                                <w:sz w:val="20"/>
                                <w:szCs w:val="20"/>
                                <w:shd w:val="clear" w:color="auto" w:fill="FFFFFF" w:themeFill="background1"/>
                              </w:rPr>
                              <w:t>臺北市農業發展基金</w:t>
                            </w:r>
                          </w:p>
                        </w:tc>
                        <w:tc>
                          <w:tcPr>
                            <w:tcW w:w="0" w:type="auto"/>
                            <w:shd w:val="clear" w:color="auto" w:fill="auto"/>
                            <w:vAlign w:val="center"/>
                          </w:tcPr>
                          <w:p w14:paraId="532EF37D"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 xml:space="preserve">208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3FDA73"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 xml:space="preserve">559 </w:t>
                            </w:r>
                          </w:p>
                        </w:tc>
                        <w:tc>
                          <w:tcPr>
                            <w:tcW w:w="0" w:type="auto"/>
                            <w:tcBorders>
                              <w:top w:val="single" w:sz="4" w:space="0" w:color="auto"/>
                              <w:left w:val="nil"/>
                              <w:bottom w:val="single" w:sz="4" w:space="0" w:color="auto"/>
                              <w:right w:val="single" w:sz="4" w:space="0" w:color="auto"/>
                            </w:tcBorders>
                            <w:shd w:val="clear" w:color="auto" w:fill="auto"/>
                            <w:vAlign w:val="center"/>
                          </w:tcPr>
                          <w:p w14:paraId="6BAC5806"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351</w:t>
                            </w:r>
                          </w:p>
                        </w:tc>
                        <w:tc>
                          <w:tcPr>
                            <w:tcW w:w="0" w:type="auto"/>
                            <w:tcBorders>
                              <w:top w:val="single" w:sz="4" w:space="0" w:color="auto"/>
                              <w:left w:val="nil"/>
                              <w:bottom w:val="single" w:sz="4" w:space="0" w:color="auto"/>
                              <w:right w:val="single" w:sz="4" w:space="0" w:color="auto"/>
                            </w:tcBorders>
                            <w:shd w:val="clear" w:color="auto" w:fill="auto"/>
                            <w:vAlign w:val="center"/>
                          </w:tcPr>
                          <w:p w14:paraId="4DB9CDBF"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169.22</w:t>
                            </w:r>
                          </w:p>
                        </w:tc>
                      </w:tr>
                      <w:tr w:rsidR="00600DD6" w:rsidRPr="00430D32" w14:paraId="5C4C74AB" w14:textId="77777777" w:rsidTr="003178C0">
                        <w:trPr>
                          <w:trHeight w:val="284"/>
                        </w:trPr>
                        <w:tc>
                          <w:tcPr>
                            <w:tcW w:w="0" w:type="auto"/>
                            <w:tcBorders>
                              <w:top w:val="single" w:sz="4" w:space="0" w:color="auto"/>
                              <w:bottom w:val="single" w:sz="4" w:space="0" w:color="auto"/>
                              <w:right w:val="single" w:sz="4" w:space="0" w:color="auto"/>
                            </w:tcBorders>
                            <w:shd w:val="clear" w:color="auto" w:fill="auto"/>
                            <w:vAlign w:val="center"/>
                          </w:tcPr>
                          <w:p w14:paraId="4A038DF6" w14:textId="77777777" w:rsidR="00600DD6" w:rsidRPr="00430D32" w:rsidRDefault="00600DD6" w:rsidP="00600DD6">
                            <w:pPr>
                              <w:overflowPunct w:val="0"/>
                              <w:spacing w:line="240" w:lineRule="exact"/>
                              <w:ind w:leftChars="-10" w:left="-24"/>
                              <w:contextualSpacing/>
                              <w:rPr>
                                <w:rFonts w:ascii="標楷體" w:eastAsia="標楷體" w:hAnsi="標楷體"/>
                                <w:b/>
                                <w:sz w:val="20"/>
                                <w:szCs w:val="20"/>
                              </w:rPr>
                            </w:pPr>
                            <w:proofErr w:type="gramStart"/>
                            <w:r w:rsidRPr="00430D32">
                              <w:rPr>
                                <w:rFonts w:ascii="標楷體" w:eastAsia="標楷體" w:hAnsi="標楷體" w:hint="eastAsia"/>
                                <w:b/>
                                <w:sz w:val="20"/>
                                <w:szCs w:val="20"/>
                              </w:rPr>
                              <w:t>實際盈（賸）餘較</w:t>
                            </w:r>
                            <w:proofErr w:type="gramEnd"/>
                            <w:r w:rsidRPr="00430D32">
                              <w:rPr>
                                <w:rFonts w:ascii="標楷體" w:eastAsia="標楷體" w:hAnsi="標楷體" w:hint="eastAsia"/>
                                <w:b/>
                                <w:sz w:val="20"/>
                                <w:szCs w:val="20"/>
                              </w:rPr>
                              <w:t>預算減少者</w:t>
                            </w:r>
                          </w:p>
                        </w:tc>
                        <w:tc>
                          <w:tcPr>
                            <w:tcW w:w="0" w:type="auto"/>
                            <w:tcBorders>
                              <w:top w:val="single" w:sz="4" w:space="0" w:color="auto"/>
                              <w:bottom w:val="single" w:sz="4" w:space="0" w:color="auto"/>
                            </w:tcBorders>
                            <w:shd w:val="clear" w:color="auto" w:fill="auto"/>
                            <w:vAlign w:val="center"/>
                          </w:tcPr>
                          <w:p w14:paraId="056A0065" w14:textId="77777777" w:rsidR="00600DD6" w:rsidRPr="00430D32" w:rsidRDefault="00600DD6" w:rsidP="00600DD6">
                            <w:pPr>
                              <w:widowControl/>
                              <w:spacing w:line="240" w:lineRule="exact"/>
                              <w:jc w:val="right"/>
                              <w:rPr>
                                <w:rFonts w:ascii="標楷體" w:eastAsia="標楷體" w:hAnsi="標楷體"/>
                                <w:b/>
                                <w:sz w:val="20"/>
                                <w:szCs w:val="20"/>
                              </w:rPr>
                            </w:pPr>
                            <w:r w:rsidRPr="00430D32">
                              <w:rPr>
                                <w:rFonts w:ascii="標楷體" w:eastAsia="標楷體" w:hAnsi="標楷體" w:hint="eastAsia"/>
                                <w:b/>
                                <w:sz w:val="20"/>
                                <w:szCs w:val="20"/>
                              </w:rPr>
                              <w:t xml:space="preserve">6,638,076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9DD6FE" w14:textId="77777777" w:rsidR="00600DD6" w:rsidRPr="00430D32" w:rsidRDefault="00600DD6" w:rsidP="00600DD6">
                            <w:pPr>
                              <w:widowControl/>
                              <w:spacing w:line="240" w:lineRule="exact"/>
                              <w:jc w:val="right"/>
                              <w:rPr>
                                <w:rFonts w:ascii="標楷體" w:eastAsia="標楷體" w:hAnsi="標楷體"/>
                                <w:b/>
                                <w:sz w:val="20"/>
                                <w:szCs w:val="20"/>
                              </w:rPr>
                            </w:pPr>
                            <w:r w:rsidRPr="00430D32">
                              <w:rPr>
                                <w:rFonts w:ascii="標楷體" w:eastAsia="標楷體" w:hAnsi="標楷體" w:hint="eastAsia"/>
                                <w:b/>
                                <w:sz w:val="20"/>
                                <w:szCs w:val="20"/>
                              </w:rPr>
                              <w:t xml:space="preserve">1,717,819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D9FE0" w14:textId="77777777" w:rsidR="00600DD6" w:rsidRPr="00430D32" w:rsidRDefault="00600DD6" w:rsidP="00600DD6">
                            <w:pPr>
                              <w:spacing w:line="240" w:lineRule="exact"/>
                              <w:jc w:val="right"/>
                              <w:rPr>
                                <w:rFonts w:ascii="標楷體" w:eastAsia="標楷體" w:hAnsi="標楷體"/>
                                <w:b/>
                                <w:bCs/>
                                <w:sz w:val="20"/>
                                <w:szCs w:val="20"/>
                              </w:rPr>
                            </w:pPr>
                            <w:r w:rsidRPr="00430D32">
                              <w:rPr>
                                <w:rFonts w:ascii="標楷體" w:eastAsia="標楷體" w:hAnsi="標楷體" w:hint="eastAsia"/>
                                <w:b/>
                                <w:bCs/>
                                <w:sz w:val="20"/>
                                <w:szCs w:val="20"/>
                              </w:rPr>
                              <w:t xml:space="preserve">- 4,920,256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B006E" w14:textId="77777777" w:rsidR="00600DD6" w:rsidRPr="00430D32" w:rsidRDefault="00600DD6" w:rsidP="00600DD6">
                            <w:pPr>
                              <w:spacing w:line="240" w:lineRule="exact"/>
                              <w:jc w:val="right"/>
                              <w:rPr>
                                <w:rFonts w:ascii="標楷體" w:eastAsia="標楷體" w:hAnsi="標楷體"/>
                                <w:b/>
                                <w:bCs/>
                                <w:sz w:val="20"/>
                                <w:szCs w:val="20"/>
                              </w:rPr>
                            </w:pPr>
                            <w:r w:rsidRPr="00430D32">
                              <w:rPr>
                                <w:rFonts w:ascii="標楷體" w:eastAsia="標楷體" w:hAnsi="標楷體" w:hint="eastAsia"/>
                                <w:b/>
                                <w:bCs/>
                                <w:sz w:val="20"/>
                                <w:szCs w:val="20"/>
                              </w:rPr>
                              <w:t>-</w:t>
                            </w:r>
                            <w:r w:rsidRPr="00430D32">
                              <w:rPr>
                                <w:rFonts w:ascii="標楷體" w:eastAsia="標楷體" w:hAnsi="標楷體"/>
                                <w:b/>
                                <w:bCs/>
                                <w:sz w:val="20"/>
                                <w:szCs w:val="20"/>
                              </w:rPr>
                              <w:t xml:space="preserve"> </w:t>
                            </w:r>
                            <w:r w:rsidRPr="00430D32">
                              <w:rPr>
                                <w:rFonts w:ascii="標楷體" w:eastAsia="標楷體" w:hAnsi="標楷體" w:hint="eastAsia"/>
                                <w:b/>
                                <w:bCs/>
                                <w:sz w:val="20"/>
                                <w:szCs w:val="20"/>
                              </w:rPr>
                              <w:t>74.12</w:t>
                            </w:r>
                          </w:p>
                        </w:tc>
                      </w:tr>
                      <w:tr w:rsidR="00600DD6" w:rsidRPr="00430D32" w14:paraId="08E31C38" w14:textId="77777777" w:rsidTr="003178C0">
                        <w:trPr>
                          <w:trHeight w:val="284"/>
                        </w:trPr>
                        <w:tc>
                          <w:tcPr>
                            <w:tcW w:w="0" w:type="auto"/>
                            <w:shd w:val="clear" w:color="auto" w:fill="auto"/>
                            <w:vAlign w:val="center"/>
                          </w:tcPr>
                          <w:p w14:paraId="7C24B5EF"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1</w:t>
                            </w:r>
                            <w:r w:rsidRPr="00430D32">
                              <w:rPr>
                                <w:rFonts w:ascii="標楷體" w:eastAsia="標楷體" w:hAnsi="標楷體" w:hint="eastAsia"/>
                                <w:sz w:val="20"/>
                                <w:szCs w:val="20"/>
                                <w:shd w:val="clear" w:color="auto" w:fill="FFFFFF" w:themeFill="background1"/>
                              </w:rPr>
                              <w:t>.臺北市文化設施發展基金</w:t>
                            </w:r>
                          </w:p>
                        </w:tc>
                        <w:tc>
                          <w:tcPr>
                            <w:tcW w:w="0" w:type="auto"/>
                            <w:shd w:val="clear" w:color="auto" w:fill="auto"/>
                            <w:vAlign w:val="center"/>
                          </w:tcPr>
                          <w:p w14:paraId="27648EA8"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28,009</w:t>
                            </w:r>
                          </w:p>
                        </w:tc>
                        <w:tc>
                          <w:tcPr>
                            <w:tcW w:w="0" w:type="auto"/>
                            <w:shd w:val="clear" w:color="auto" w:fill="auto"/>
                            <w:vAlign w:val="center"/>
                          </w:tcPr>
                          <w:p w14:paraId="57C18E2F"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25,527</w:t>
                            </w:r>
                          </w:p>
                        </w:tc>
                        <w:tc>
                          <w:tcPr>
                            <w:tcW w:w="0" w:type="auto"/>
                            <w:shd w:val="clear" w:color="auto" w:fill="auto"/>
                            <w:vAlign w:val="center"/>
                          </w:tcPr>
                          <w:p w14:paraId="37788208"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2,481</w:t>
                            </w:r>
                          </w:p>
                        </w:tc>
                        <w:tc>
                          <w:tcPr>
                            <w:tcW w:w="0" w:type="auto"/>
                            <w:shd w:val="clear" w:color="auto" w:fill="auto"/>
                            <w:vAlign w:val="center"/>
                          </w:tcPr>
                          <w:p w14:paraId="25214865"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8.86</w:t>
                            </w:r>
                          </w:p>
                        </w:tc>
                      </w:tr>
                      <w:tr w:rsidR="00600DD6" w:rsidRPr="00430D32" w14:paraId="1458C876" w14:textId="77777777" w:rsidTr="003178C0">
                        <w:trPr>
                          <w:trHeight w:val="284"/>
                        </w:trPr>
                        <w:tc>
                          <w:tcPr>
                            <w:tcW w:w="0" w:type="auto"/>
                            <w:vAlign w:val="center"/>
                          </w:tcPr>
                          <w:p w14:paraId="0BBE3570"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2.</w:t>
                            </w:r>
                            <w:r w:rsidRPr="00430D32">
                              <w:rPr>
                                <w:rFonts w:ascii="標楷體" w:eastAsia="標楷體" w:hAnsi="標楷體" w:hint="eastAsia"/>
                                <w:sz w:val="20"/>
                                <w:szCs w:val="20"/>
                                <w:shd w:val="clear" w:color="auto" w:fill="FFFFFF" w:themeFill="background1"/>
                              </w:rPr>
                              <w:t>臺北市環境保護基金</w:t>
                            </w:r>
                          </w:p>
                        </w:tc>
                        <w:tc>
                          <w:tcPr>
                            <w:tcW w:w="0" w:type="auto"/>
                            <w:vAlign w:val="center"/>
                          </w:tcPr>
                          <w:p w14:paraId="1B14B9CB"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100,474</w:t>
                            </w:r>
                          </w:p>
                        </w:tc>
                        <w:tc>
                          <w:tcPr>
                            <w:tcW w:w="0" w:type="auto"/>
                            <w:vAlign w:val="center"/>
                          </w:tcPr>
                          <w:p w14:paraId="05286BC1"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31,197</w:t>
                            </w:r>
                          </w:p>
                        </w:tc>
                        <w:tc>
                          <w:tcPr>
                            <w:tcW w:w="0" w:type="auto"/>
                            <w:vAlign w:val="center"/>
                          </w:tcPr>
                          <w:p w14:paraId="7ABA77C4"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69,276</w:t>
                            </w:r>
                          </w:p>
                        </w:tc>
                        <w:tc>
                          <w:tcPr>
                            <w:tcW w:w="0" w:type="auto"/>
                            <w:vAlign w:val="center"/>
                          </w:tcPr>
                          <w:p w14:paraId="5E91A44B" w14:textId="77777777" w:rsidR="00600DD6" w:rsidRPr="00430D32" w:rsidRDefault="00600DD6" w:rsidP="00600DD6">
                            <w:pPr>
                              <w:spacing w:line="240" w:lineRule="exact"/>
                              <w:jc w:val="right"/>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68.95</w:t>
                            </w:r>
                          </w:p>
                        </w:tc>
                      </w:tr>
                      <w:tr w:rsidR="00600DD6" w:rsidRPr="00430D32" w14:paraId="15B1D9F2" w14:textId="77777777" w:rsidTr="003178C0">
                        <w:trPr>
                          <w:trHeight w:val="284"/>
                        </w:trPr>
                        <w:tc>
                          <w:tcPr>
                            <w:tcW w:w="0" w:type="auto"/>
                            <w:tcBorders>
                              <w:bottom w:val="single" w:sz="4" w:space="0" w:color="auto"/>
                            </w:tcBorders>
                            <w:shd w:val="clear" w:color="auto" w:fill="FFFFFF" w:themeFill="background1"/>
                            <w:vAlign w:val="center"/>
                          </w:tcPr>
                          <w:p w14:paraId="2D0F09F8" w14:textId="77777777" w:rsidR="00600DD6" w:rsidRPr="00430D32" w:rsidRDefault="00600DD6" w:rsidP="0017194E">
                            <w:pPr>
                              <w:overflowPunct w:val="0"/>
                              <w:spacing w:line="240" w:lineRule="exact"/>
                              <w:ind w:rightChars="-85" w:right="-204"/>
                              <w:contextualSpacing/>
                              <w:jc w:val="both"/>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3</w:t>
                            </w:r>
                            <w:r w:rsidRPr="00430D32">
                              <w:rPr>
                                <w:rFonts w:ascii="標楷體" w:eastAsia="標楷體" w:hAnsi="標楷體" w:hint="eastAsia"/>
                                <w:sz w:val="20"/>
                                <w:szCs w:val="20"/>
                                <w:shd w:val="clear" w:color="auto" w:fill="FFFFFF" w:themeFill="background1"/>
                              </w:rPr>
                              <w:t>.臺北市大眾捷運系統建設基金</w:t>
                            </w:r>
                          </w:p>
                        </w:tc>
                        <w:tc>
                          <w:tcPr>
                            <w:tcW w:w="0" w:type="auto"/>
                            <w:tcBorders>
                              <w:bottom w:val="single" w:sz="4" w:space="0" w:color="auto"/>
                            </w:tcBorders>
                            <w:shd w:val="clear" w:color="auto" w:fill="FFFFFF" w:themeFill="background1"/>
                            <w:vAlign w:val="center"/>
                          </w:tcPr>
                          <w:p w14:paraId="34FE444A"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644,903</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8E928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59,530</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D979E4F"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- 585,372</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CA0F3B3"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- 90.77</w:t>
                            </w:r>
                          </w:p>
                        </w:tc>
                      </w:tr>
                      <w:tr w:rsidR="00600DD6" w:rsidRPr="00430D32" w14:paraId="7D2F5743" w14:textId="77777777" w:rsidTr="003178C0">
                        <w:trPr>
                          <w:trHeight w:val="284"/>
                        </w:trPr>
                        <w:tc>
                          <w:tcPr>
                            <w:tcW w:w="0" w:type="auto"/>
                            <w:shd w:val="clear" w:color="auto" w:fill="FFFFFF" w:themeFill="background1"/>
                            <w:vAlign w:val="center"/>
                          </w:tcPr>
                          <w:p w14:paraId="6302CA11"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4.</w:t>
                            </w:r>
                            <w:r w:rsidRPr="00430D32">
                              <w:rPr>
                                <w:rFonts w:ascii="標楷體" w:eastAsia="標楷體" w:hAnsi="標楷體" w:hint="eastAsia"/>
                                <w:sz w:val="20"/>
                                <w:szCs w:val="20"/>
                                <w:shd w:val="clear" w:color="auto" w:fill="FFFFFF" w:themeFill="background1"/>
                              </w:rPr>
                              <w:t>臺北市都市更新基金</w:t>
                            </w:r>
                          </w:p>
                        </w:tc>
                        <w:tc>
                          <w:tcPr>
                            <w:tcW w:w="0" w:type="auto"/>
                            <w:shd w:val="clear" w:color="auto" w:fill="FFFFFF" w:themeFill="background1"/>
                            <w:vAlign w:val="center"/>
                          </w:tcPr>
                          <w:p w14:paraId="7D0ECE01"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1,818,554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0208C8"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88,165</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3517A36B"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1,730,388</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6E513A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w:t>
                            </w:r>
                            <w:r w:rsidRPr="00430D32">
                              <w:rPr>
                                <w:rFonts w:ascii="標楷體" w:eastAsia="標楷體" w:hAnsi="標楷體" w:hint="eastAsia"/>
                                <w:sz w:val="20"/>
                                <w:szCs w:val="20"/>
                              </w:rPr>
                              <w:t>95.15</w:t>
                            </w:r>
                          </w:p>
                        </w:tc>
                      </w:tr>
                      <w:tr w:rsidR="00600DD6" w:rsidRPr="00430D32" w14:paraId="422734DC" w14:textId="77777777" w:rsidTr="003178C0">
                        <w:trPr>
                          <w:trHeight w:val="284"/>
                        </w:trPr>
                        <w:tc>
                          <w:tcPr>
                            <w:tcW w:w="0" w:type="auto"/>
                            <w:tcBorders>
                              <w:bottom w:val="single" w:sz="4" w:space="0" w:color="auto"/>
                            </w:tcBorders>
                            <w:shd w:val="clear" w:color="auto" w:fill="FFFFFF" w:themeFill="background1"/>
                            <w:vAlign w:val="center"/>
                          </w:tcPr>
                          <w:p w14:paraId="1C3399A2"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5.</w:t>
                            </w:r>
                            <w:r w:rsidRPr="00430D32">
                              <w:rPr>
                                <w:rFonts w:ascii="標楷體" w:eastAsia="標楷體" w:hAnsi="標楷體" w:hint="eastAsia"/>
                                <w:sz w:val="20"/>
                                <w:szCs w:val="20"/>
                                <w:shd w:val="clear" w:color="auto" w:fill="FFFFFF" w:themeFill="background1"/>
                              </w:rPr>
                              <w:t>臺北市住宅基金</w:t>
                            </w:r>
                          </w:p>
                        </w:tc>
                        <w:tc>
                          <w:tcPr>
                            <w:tcW w:w="0" w:type="auto"/>
                            <w:tcBorders>
                              <w:bottom w:val="single" w:sz="4" w:space="0" w:color="auto"/>
                            </w:tcBorders>
                            <w:shd w:val="clear" w:color="auto" w:fill="FFFFFF" w:themeFill="background1"/>
                            <w:vAlign w:val="center"/>
                          </w:tcPr>
                          <w:p w14:paraId="02998BBC"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rPr>
                              <w:t>2,181</w:t>
                            </w:r>
                            <w:r w:rsidRPr="00430D32">
                              <w:rPr>
                                <w:rFonts w:ascii="標楷體" w:eastAsia="標楷體" w:hAnsi="標楷體" w:hint="eastAsia"/>
                                <w:sz w:val="20"/>
                                <w:szCs w:val="20"/>
                              </w:rPr>
                              <w:t>,</w:t>
                            </w:r>
                            <w:r w:rsidRPr="00430D32">
                              <w:rPr>
                                <w:rFonts w:ascii="標楷體" w:eastAsia="標楷體" w:hAnsi="標楷體"/>
                                <w:sz w:val="20"/>
                                <w:szCs w:val="20"/>
                              </w:rPr>
                              <w:t>106</w:t>
                            </w:r>
                            <w:r w:rsidRPr="00430D32">
                              <w:rPr>
                                <w:rFonts w:ascii="標楷體" w:eastAsia="標楷體" w:hAnsi="標楷體" w:hint="eastAsia"/>
                                <w:sz w:val="20"/>
                                <w:szCs w:val="20"/>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926165"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rPr>
                              <w:t>18</w:t>
                            </w:r>
                            <w:r w:rsidRPr="00430D32">
                              <w:rPr>
                                <w:rFonts w:ascii="標楷體" w:eastAsia="標楷體" w:hAnsi="標楷體" w:hint="eastAsia"/>
                                <w:sz w:val="20"/>
                                <w:szCs w:val="20"/>
                              </w:rPr>
                              <w:t>6,</w:t>
                            </w:r>
                            <w:r w:rsidRPr="00430D32">
                              <w:rPr>
                                <w:rFonts w:ascii="標楷體" w:eastAsia="標楷體" w:hAnsi="標楷體"/>
                                <w:sz w:val="20"/>
                                <w:szCs w:val="20"/>
                              </w:rPr>
                              <w:t>307</w:t>
                            </w:r>
                            <w:r w:rsidRPr="00430D32">
                              <w:rPr>
                                <w:rFonts w:ascii="標楷體" w:eastAsia="標楷體" w:hAnsi="標楷體" w:hint="eastAsia"/>
                                <w:sz w:val="20"/>
                                <w:szCs w:val="20"/>
                              </w:rPr>
                              <w:t xml:space="preserve">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25AF3F1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1,994</w:t>
                            </w:r>
                            <w:r w:rsidRPr="00430D32">
                              <w:rPr>
                                <w:rFonts w:ascii="標楷體" w:eastAsia="標楷體" w:hAnsi="標楷體" w:hint="eastAsia"/>
                                <w:sz w:val="20"/>
                                <w:szCs w:val="20"/>
                              </w:rPr>
                              <w:t>,</w:t>
                            </w:r>
                            <w:r w:rsidRPr="00430D32">
                              <w:rPr>
                                <w:rFonts w:ascii="標楷體" w:eastAsia="標楷體" w:hAnsi="標楷體"/>
                                <w:sz w:val="20"/>
                                <w:szCs w:val="20"/>
                              </w:rPr>
                              <w:t>798</w:t>
                            </w:r>
                            <w:r w:rsidRPr="00430D32">
                              <w:rPr>
                                <w:rFonts w:ascii="標楷體" w:eastAsia="標楷體" w:hAnsi="標楷體" w:hint="eastAsia"/>
                                <w:sz w:val="20"/>
                                <w:szCs w:val="20"/>
                              </w:rPr>
                              <w:t xml:space="preserve">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4F13B583"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w:t>
                            </w:r>
                            <w:r w:rsidRPr="00430D32">
                              <w:rPr>
                                <w:rFonts w:ascii="標楷體" w:eastAsia="標楷體" w:hAnsi="標楷體"/>
                                <w:sz w:val="20"/>
                                <w:szCs w:val="20"/>
                              </w:rPr>
                              <w:t xml:space="preserve"> 9</w:t>
                            </w:r>
                            <w:r w:rsidRPr="00430D32">
                              <w:rPr>
                                <w:rFonts w:ascii="標楷體" w:eastAsia="標楷體" w:hAnsi="標楷體" w:hint="eastAsia"/>
                                <w:sz w:val="20"/>
                                <w:szCs w:val="20"/>
                              </w:rPr>
                              <w:t>1.</w:t>
                            </w:r>
                            <w:r w:rsidRPr="00430D32">
                              <w:rPr>
                                <w:rFonts w:ascii="標楷體" w:eastAsia="標楷體" w:hAnsi="標楷體"/>
                                <w:sz w:val="20"/>
                                <w:szCs w:val="20"/>
                              </w:rPr>
                              <w:t>46</w:t>
                            </w:r>
                          </w:p>
                        </w:tc>
                      </w:tr>
                      <w:tr w:rsidR="00600DD6" w:rsidRPr="00430D32" w14:paraId="6F00C925" w14:textId="77777777" w:rsidTr="003178C0">
                        <w:trPr>
                          <w:trHeight w:val="284"/>
                        </w:trPr>
                        <w:tc>
                          <w:tcPr>
                            <w:tcW w:w="0" w:type="auto"/>
                            <w:shd w:val="clear" w:color="auto" w:fill="FFFFFF" w:themeFill="background1"/>
                            <w:vAlign w:val="center"/>
                          </w:tcPr>
                          <w:p w14:paraId="7523C6B1" w14:textId="77777777" w:rsidR="00600DD6" w:rsidRPr="00430D32" w:rsidRDefault="00600DD6" w:rsidP="00600DD6">
                            <w:pPr>
                              <w:overflowPunct w:val="0"/>
                              <w:spacing w:line="240" w:lineRule="exact"/>
                              <w:contextualSpacing/>
                              <w:rPr>
                                <w:rFonts w:ascii="標楷體" w:eastAsia="標楷體" w:hAnsi="標楷體"/>
                                <w:sz w:val="20"/>
                                <w:szCs w:val="20"/>
                                <w:shd w:val="clear" w:color="auto" w:fill="FFFFFF" w:themeFill="background1"/>
                              </w:rPr>
                            </w:pPr>
                            <w:r w:rsidRPr="00430D32">
                              <w:rPr>
                                <w:rFonts w:ascii="標楷體" w:eastAsia="標楷體" w:hAnsi="標楷體"/>
                                <w:sz w:val="20"/>
                                <w:szCs w:val="20"/>
                                <w:shd w:val="clear" w:color="auto" w:fill="FFFFFF" w:themeFill="background1"/>
                              </w:rPr>
                              <w:t>6</w:t>
                            </w:r>
                            <w:r w:rsidRPr="00430D32">
                              <w:rPr>
                                <w:rFonts w:ascii="標楷體" w:eastAsia="標楷體" w:hAnsi="標楷體" w:hint="eastAsia"/>
                                <w:sz w:val="20"/>
                                <w:szCs w:val="20"/>
                                <w:shd w:val="clear" w:color="auto" w:fill="FFFFFF" w:themeFill="background1"/>
                              </w:rPr>
                              <w:t>.臺北市立聯合醫院醫療基金</w:t>
                            </w:r>
                          </w:p>
                        </w:tc>
                        <w:tc>
                          <w:tcPr>
                            <w:tcW w:w="0" w:type="auto"/>
                            <w:shd w:val="clear" w:color="auto" w:fill="FFFFFF" w:themeFill="background1"/>
                            <w:vAlign w:val="center"/>
                          </w:tcPr>
                          <w:p w14:paraId="788A6E48"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sz w:val="20"/>
                                <w:szCs w:val="20"/>
                                <w:shd w:val="clear" w:color="auto" w:fill="FFFFFF" w:themeFill="background1"/>
                              </w:rPr>
                              <w:t>718,396</w:t>
                            </w:r>
                            <w:r w:rsidRPr="00430D32">
                              <w:rPr>
                                <w:rFonts w:ascii="標楷體" w:eastAsia="標楷體" w:hAnsi="標楷體" w:hint="eastAsia"/>
                                <w:sz w:val="20"/>
                                <w:szCs w:val="20"/>
                                <w:shd w:val="clear" w:color="auto" w:fill="FFFFFF" w:themeFill="background1"/>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B5B54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shd w:val="clear" w:color="auto" w:fill="FFFFFF" w:themeFill="background1"/>
                              </w:rPr>
                              <w:t>396</w:t>
                            </w:r>
                            <w:r w:rsidRPr="00430D32">
                              <w:rPr>
                                <w:rFonts w:ascii="標楷體" w:eastAsia="標楷體" w:hAnsi="標楷體"/>
                                <w:sz w:val="20"/>
                                <w:szCs w:val="20"/>
                                <w:shd w:val="clear" w:color="auto" w:fill="FFFFFF" w:themeFill="background1"/>
                              </w:rPr>
                              <w:t>,</w:t>
                            </w:r>
                            <w:r w:rsidRPr="00430D32">
                              <w:rPr>
                                <w:rFonts w:ascii="標楷體" w:eastAsia="標楷體" w:hAnsi="標楷體" w:hint="eastAsia"/>
                                <w:sz w:val="20"/>
                                <w:szCs w:val="20"/>
                                <w:shd w:val="clear" w:color="auto" w:fill="FFFFFF" w:themeFill="background1"/>
                              </w:rPr>
                              <w:t xml:space="preserve">760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62F7EE4F"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shd w:val="clear" w:color="auto" w:fill="FFFFFF" w:themeFill="background1"/>
                              </w:rPr>
                              <w:t>-</w:t>
                            </w:r>
                            <w:r w:rsidRPr="00430D32">
                              <w:rPr>
                                <w:rFonts w:ascii="標楷體" w:eastAsia="標楷體" w:hAnsi="標楷體"/>
                                <w:sz w:val="20"/>
                                <w:szCs w:val="20"/>
                                <w:shd w:val="clear" w:color="auto" w:fill="FFFFFF" w:themeFill="background1"/>
                              </w:rPr>
                              <w:t xml:space="preserve"> 3</w:t>
                            </w:r>
                            <w:r w:rsidRPr="00430D32">
                              <w:rPr>
                                <w:rFonts w:ascii="標楷體" w:eastAsia="標楷體" w:hAnsi="標楷體" w:hint="eastAsia"/>
                                <w:sz w:val="20"/>
                                <w:szCs w:val="20"/>
                                <w:shd w:val="clear" w:color="auto" w:fill="FFFFFF" w:themeFill="background1"/>
                              </w:rPr>
                              <w:t>21</w:t>
                            </w:r>
                            <w:r w:rsidRPr="00430D32">
                              <w:rPr>
                                <w:rFonts w:ascii="標楷體" w:eastAsia="標楷體" w:hAnsi="標楷體"/>
                                <w:sz w:val="20"/>
                                <w:szCs w:val="20"/>
                                <w:shd w:val="clear" w:color="auto" w:fill="FFFFFF" w:themeFill="background1"/>
                              </w:rPr>
                              <w:t>,</w:t>
                            </w:r>
                            <w:r w:rsidRPr="00430D32">
                              <w:rPr>
                                <w:rFonts w:ascii="標楷體" w:eastAsia="標楷體" w:hAnsi="標楷體" w:hint="eastAsia"/>
                                <w:sz w:val="20"/>
                                <w:szCs w:val="20"/>
                                <w:shd w:val="clear" w:color="auto" w:fill="FFFFFF" w:themeFill="background1"/>
                              </w:rPr>
                              <w:t xml:space="preserve">635 </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5C7E293C"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- 44.77</w:t>
                            </w:r>
                          </w:p>
                        </w:tc>
                      </w:tr>
                      <w:tr w:rsidR="00600DD6" w:rsidRPr="00430D32" w14:paraId="5203157A" w14:textId="77777777" w:rsidTr="003178C0">
                        <w:trPr>
                          <w:trHeight w:val="284"/>
                        </w:trPr>
                        <w:tc>
                          <w:tcPr>
                            <w:tcW w:w="0" w:type="auto"/>
                            <w:shd w:val="clear" w:color="auto" w:fill="FFFFFF" w:themeFill="background1"/>
                            <w:vAlign w:val="center"/>
                          </w:tcPr>
                          <w:p w14:paraId="0C31954B" w14:textId="77777777" w:rsidR="00600DD6" w:rsidRPr="00430D32" w:rsidRDefault="00600DD6" w:rsidP="00600DD6">
                            <w:pPr>
                              <w:overflowPunct w:val="0"/>
                              <w:spacing w:line="240" w:lineRule="exact"/>
                              <w:ind w:left="200" w:hangingChars="100" w:hanging="200"/>
                              <w:contextualSpacing/>
                              <w:jc w:val="both"/>
                              <w:rPr>
                                <w:rFonts w:ascii="標楷體" w:eastAsia="標楷體" w:hAnsi="標楷體"/>
                                <w:sz w:val="20"/>
                                <w:szCs w:val="20"/>
                                <w:shd w:val="clear" w:color="auto" w:fill="FFFFFF" w:themeFill="background1"/>
                              </w:rPr>
                            </w:pPr>
                            <w:r w:rsidRPr="00430D32">
                              <w:rPr>
                                <w:rFonts w:ascii="標楷體" w:eastAsia="標楷體" w:hAnsi="標楷體" w:hint="eastAsia"/>
                                <w:sz w:val="20"/>
                                <w:szCs w:val="20"/>
                                <w:shd w:val="clear" w:color="auto" w:fill="FFFFFF" w:themeFill="background1"/>
                              </w:rPr>
                              <w:t>7</w:t>
                            </w:r>
                            <w:r w:rsidRPr="00430D32">
                              <w:rPr>
                                <w:rFonts w:ascii="標楷體" w:eastAsia="標楷體" w:hAnsi="標楷體"/>
                                <w:sz w:val="20"/>
                                <w:szCs w:val="20"/>
                                <w:shd w:val="clear" w:color="auto" w:fill="FFFFFF" w:themeFill="background1"/>
                              </w:rPr>
                              <w:t>.</w:t>
                            </w:r>
                            <w:proofErr w:type="gramStart"/>
                            <w:r w:rsidRPr="005A7C75">
                              <w:rPr>
                                <w:rFonts w:ascii="標楷體" w:eastAsia="標楷體" w:hAnsi="標楷體" w:hint="eastAsia"/>
                                <w:spacing w:val="-14"/>
                                <w:sz w:val="20"/>
                                <w:szCs w:val="20"/>
                                <w:shd w:val="clear" w:color="auto" w:fill="FFFFFF" w:themeFill="background1"/>
                              </w:rPr>
                              <w:t>臺</w:t>
                            </w:r>
                            <w:proofErr w:type="gramEnd"/>
                            <w:r w:rsidRPr="005A7C75">
                              <w:rPr>
                                <w:rFonts w:ascii="標楷體" w:eastAsia="標楷體" w:hAnsi="標楷體" w:hint="eastAsia"/>
                                <w:spacing w:val="-14"/>
                                <w:sz w:val="20"/>
                                <w:szCs w:val="20"/>
                                <w:shd w:val="clear" w:color="auto" w:fill="FFFFFF" w:themeFill="background1"/>
                              </w:rPr>
                              <w:t>北都會區大眾捷運系統土地開發基金</w:t>
                            </w:r>
                          </w:p>
                        </w:tc>
                        <w:tc>
                          <w:tcPr>
                            <w:tcW w:w="0" w:type="auto"/>
                            <w:shd w:val="clear" w:color="auto" w:fill="FFFFFF" w:themeFill="background1"/>
                            <w:vAlign w:val="center"/>
                          </w:tcPr>
                          <w:p w14:paraId="653913AB"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1,146,634</w:t>
                            </w:r>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9B47484"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930,330</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7AE6CD48"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- 216,303</w:t>
                            </w:r>
                          </w:p>
                        </w:tc>
                        <w:tc>
                          <w:tcPr>
                            <w:tcW w:w="0" w:type="auto"/>
                            <w:tcBorders>
                              <w:top w:val="single" w:sz="4" w:space="0" w:color="auto"/>
                              <w:left w:val="nil"/>
                              <w:bottom w:val="single" w:sz="4" w:space="0" w:color="auto"/>
                              <w:right w:val="single" w:sz="4" w:space="0" w:color="auto"/>
                            </w:tcBorders>
                            <w:shd w:val="clear" w:color="auto" w:fill="FFFFFF" w:themeFill="background1"/>
                            <w:vAlign w:val="center"/>
                          </w:tcPr>
                          <w:p w14:paraId="035E417D" w14:textId="77777777" w:rsidR="00600DD6" w:rsidRPr="00430D32" w:rsidRDefault="00600DD6" w:rsidP="00600DD6">
                            <w:pPr>
                              <w:spacing w:line="240" w:lineRule="exact"/>
                              <w:jc w:val="right"/>
                              <w:rPr>
                                <w:rFonts w:ascii="標楷體" w:eastAsia="標楷體" w:hAnsi="標楷體"/>
                                <w:sz w:val="20"/>
                                <w:szCs w:val="20"/>
                              </w:rPr>
                            </w:pPr>
                            <w:r w:rsidRPr="00430D32">
                              <w:rPr>
                                <w:rFonts w:ascii="標楷體" w:eastAsia="標楷體" w:hAnsi="標楷體" w:hint="eastAsia"/>
                                <w:sz w:val="20"/>
                                <w:szCs w:val="20"/>
                              </w:rPr>
                              <w:t>- 18.86</w:t>
                            </w:r>
                          </w:p>
                        </w:tc>
                      </w:tr>
                      <w:tr w:rsidR="00600DD6" w:rsidRPr="00430D32" w14:paraId="6A916B1B" w14:textId="77777777" w:rsidTr="003178C0">
                        <w:tc>
                          <w:tcPr>
                            <w:tcW w:w="0" w:type="auto"/>
                            <w:gridSpan w:val="5"/>
                            <w:tcBorders>
                              <w:top w:val="single" w:sz="4" w:space="0" w:color="auto"/>
                              <w:left w:val="nil"/>
                              <w:bottom w:val="nil"/>
                              <w:right w:val="nil"/>
                            </w:tcBorders>
                            <w:shd w:val="clear" w:color="auto" w:fill="FFFFFF" w:themeFill="background1"/>
                          </w:tcPr>
                          <w:p w14:paraId="5B5BC495" w14:textId="77777777" w:rsidR="00600DD6" w:rsidRPr="00430D32" w:rsidRDefault="00600DD6" w:rsidP="00600DD6">
                            <w:pPr>
                              <w:overflowPunct w:val="0"/>
                              <w:spacing w:beforeLines="50" w:before="180" w:line="240" w:lineRule="exact"/>
                              <w:ind w:leftChars="-57" w:left="-112" w:hangingChars="14" w:hanging="25"/>
                              <w:contextualSpacing/>
                              <w:rPr>
                                <w:rFonts w:ascii="標楷體" w:eastAsia="標楷體" w:hAnsi="標楷體"/>
                                <w:sz w:val="18"/>
                                <w:szCs w:val="18"/>
                                <w:shd w:val="clear" w:color="auto" w:fill="FFFFFF" w:themeFill="background1"/>
                              </w:rPr>
                            </w:pPr>
                            <w:r w:rsidRPr="00430D32">
                              <w:rPr>
                                <w:rFonts w:ascii="標楷體" w:eastAsia="標楷體" w:hAnsi="標楷體"/>
                                <w:sz w:val="18"/>
                                <w:szCs w:val="18"/>
                                <w:shd w:val="clear" w:color="auto" w:fill="FFFFFF" w:themeFill="background1"/>
                              </w:rPr>
                              <w:t>資料來源</w:t>
                            </w:r>
                            <w:r w:rsidRPr="00430D32">
                              <w:rPr>
                                <w:rFonts w:ascii="標楷體" w:eastAsia="標楷體" w:hAnsi="標楷體" w:hint="eastAsia"/>
                                <w:sz w:val="18"/>
                                <w:szCs w:val="18"/>
                                <w:shd w:val="clear" w:color="auto" w:fill="FFFFFF" w:themeFill="background1"/>
                              </w:rPr>
                              <w:t>：整理自</w:t>
                            </w:r>
                            <w:proofErr w:type="gramStart"/>
                            <w:r w:rsidRPr="00430D32">
                              <w:rPr>
                                <w:rFonts w:ascii="標楷體" w:eastAsia="標楷體" w:hAnsi="標楷體" w:hint="eastAsia"/>
                                <w:sz w:val="18"/>
                                <w:szCs w:val="18"/>
                                <w:shd w:val="clear" w:color="auto" w:fill="FFFFFF" w:themeFill="background1"/>
                              </w:rPr>
                              <w:t>1</w:t>
                            </w:r>
                            <w:r w:rsidRPr="00430D32">
                              <w:rPr>
                                <w:rFonts w:ascii="標楷體" w:eastAsia="標楷體" w:hAnsi="標楷體"/>
                                <w:sz w:val="18"/>
                                <w:szCs w:val="18"/>
                                <w:shd w:val="clear" w:color="auto" w:fill="FFFFFF" w:themeFill="background1"/>
                              </w:rPr>
                              <w:t>1</w:t>
                            </w:r>
                            <w:r w:rsidRPr="00430D32">
                              <w:rPr>
                                <w:rFonts w:ascii="標楷體" w:eastAsia="標楷體" w:hAnsi="標楷體" w:hint="eastAsia"/>
                                <w:sz w:val="18"/>
                                <w:szCs w:val="18"/>
                                <w:shd w:val="clear" w:color="auto" w:fill="FFFFFF" w:themeFill="background1"/>
                              </w:rPr>
                              <w:t>3</w:t>
                            </w:r>
                            <w:proofErr w:type="gramEnd"/>
                            <w:r w:rsidRPr="00430D32">
                              <w:rPr>
                                <w:rFonts w:ascii="標楷體" w:eastAsia="標楷體" w:hAnsi="標楷體" w:hint="eastAsia"/>
                                <w:sz w:val="18"/>
                                <w:szCs w:val="18"/>
                                <w:shd w:val="clear" w:color="auto" w:fill="FFFFFF" w:themeFill="background1"/>
                              </w:rPr>
                              <w:t>年度審核報告。</w:t>
                            </w:r>
                          </w:p>
                        </w:tc>
                      </w:tr>
                    </w:tbl>
                    <w:p w14:paraId="5BA88C32" w14:textId="77777777" w:rsidR="00600DD6" w:rsidRPr="00600DD6" w:rsidRDefault="00600DD6"/>
                  </w:txbxContent>
                </v:textbox>
                <w10:wrap type="tight" anchory="page"/>
              </v:shape>
            </w:pict>
          </mc:Fallback>
        </mc:AlternateContent>
      </w:r>
      <w:r w:rsidR="0029756E" w:rsidRPr="00430D32">
        <w:rPr>
          <w:rFonts w:ascii="標楷體" w:eastAsia="標楷體" w:hAnsi="標楷體" w:hint="eastAsia"/>
          <w:szCs w:val="24"/>
        </w:rPr>
        <w:t>萬餘元（91.46％）最</w:t>
      </w:r>
      <w:proofErr w:type="gramStart"/>
      <w:r w:rsidR="0029756E" w:rsidRPr="00430D32">
        <w:rPr>
          <w:rFonts w:ascii="標楷體" w:eastAsia="標楷體" w:hAnsi="標楷體" w:hint="eastAsia"/>
          <w:szCs w:val="24"/>
        </w:rPr>
        <w:t>鉅</w:t>
      </w:r>
      <w:proofErr w:type="gramEnd"/>
      <w:r w:rsidR="0029756E" w:rsidRPr="00430D32">
        <w:rPr>
          <w:rFonts w:ascii="標楷體" w:eastAsia="標楷體" w:hAnsi="標楷體" w:hint="eastAsia"/>
          <w:szCs w:val="24"/>
        </w:rPr>
        <w:t>、臺北市都市更新基金減少17億3,038萬餘元（95.15％）次之、臺北市大眾捷運系統建設基金減少5億8</w:t>
      </w:r>
      <w:r w:rsidR="0029756E" w:rsidRPr="00430D32">
        <w:rPr>
          <w:rFonts w:ascii="標楷體" w:eastAsia="標楷體" w:hAnsi="標楷體"/>
          <w:szCs w:val="24"/>
        </w:rPr>
        <w:t>,</w:t>
      </w:r>
      <w:r w:rsidR="0029756E" w:rsidRPr="00430D32">
        <w:rPr>
          <w:rFonts w:ascii="標楷體" w:eastAsia="標楷體" w:hAnsi="標楷體" w:hint="eastAsia"/>
          <w:szCs w:val="24"/>
        </w:rPr>
        <w:t>537萬餘元（90.77％）再次之；另</w:t>
      </w:r>
      <w:proofErr w:type="gramStart"/>
      <w:r w:rsidR="0029756E" w:rsidRPr="00430D32">
        <w:rPr>
          <w:rFonts w:ascii="標楷體" w:eastAsia="標楷體" w:hAnsi="標楷體" w:hint="eastAsia"/>
          <w:szCs w:val="24"/>
        </w:rPr>
        <w:t>1</w:t>
      </w:r>
      <w:r w:rsidR="0029756E" w:rsidRPr="00430D32">
        <w:rPr>
          <w:rFonts w:ascii="標楷體" w:eastAsia="標楷體" w:hAnsi="標楷體"/>
          <w:szCs w:val="24"/>
        </w:rPr>
        <w:t>13</w:t>
      </w:r>
      <w:proofErr w:type="gramEnd"/>
      <w:r w:rsidR="0029756E" w:rsidRPr="00430D32">
        <w:rPr>
          <w:rFonts w:ascii="標楷體" w:eastAsia="標楷體" w:hAnsi="標楷體" w:hint="eastAsia"/>
          <w:szCs w:val="24"/>
        </w:rPr>
        <w:t>年度整體營業及非營業基金營運（業務）計畫主要項目列有6</w:t>
      </w:r>
      <w:r w:rsidR="0029756E" w:rsidRPr="00430D32">
        <w:rPr>
          <w:rFonts w:ascii="標楷體" w:eastAsia="標楷體" w:hAnsi="標楷體"/>
          <w:szCs w:val="24"/>
        </w:rPr>
        <w:t>3</w:t>
      </w:r>
      <w:r w:rsidR="0029756E" w:rsidRPr="00430D32">
        <w:rPr>
          <w:rFonts w:ascii="標楷體" w:eastAsia="標楷體" w:hAnsi="標楷體" w:hint="eastAsia"/>
          <w:szCs w:val="24"/>
        </w:rPr>
        <w:t>項，執行結果，有</w:t>
      </w:r>
      <w:r w:rsidR="0029756E" w:rsidRPr="00430D32">
        <w:rPr>
          <w:rFonts w:ascii="標楷體" w:eastAsia="標楷體" w:hAnsi="標楷體"/>
          <w:szCs w:val="24"/>
        </w:rPr>
        <w:t>39</w:t>
      </w:r>
      <w:r w:rsidR="0029756E" w:rsidRPr="00430D32">
        <w:rPr>
          <w:rFonts w:ascii="標楷體" w:eastAsia="標楷體" w:hAnsi="標楷體" w:hint="eastAsia"/>
          <w:szCs w:val="24"/>
        </w:rPr>
        <w:t>項（61.90％）未達預算目標等情事，經函請臺北市政府督促各該基金主管機關</w:t>
      </w:r>
      <w:proofErr w:type="gramStart"/>
      <w:r w:rsidR="0029756E" w:rsidRPr="00430D32">
        <w:rPr>
          <w:rFonts w:ascii="標楷體" w:eastAsia="標楷體" w:hAnsi="標楷體" w:hint="eastAsia"/>
          <w:szCs w:val="24"/>
        </w:rPr>
        <w:t>研</w:t>
      </w:r>
      <w:proofErr w:type="gramEnd"/>
      <w:r w:rsidR="0029756E" w:rsidRPr="00430D32">
        <w:rPr>
          <w:rFonts w:ascii="標楷體" w:eastAsia="標楷體" w:hAnsi="標楷體" w:hint="eastAsia"/>
          <w:szCs w:val="24"/>
        </w:rPr>
        <w:t>謀改善。據復：將持續加強審核各基金預算編列，督促各基金於預算執行時確實辦理，並將各基金預算執行績效作為核列以後年度預算之參考；另針對</w:t>
      </w:r>
      <w:proofErr w:type="gramStart"/>
      <w:r w:rsidR="0029756E" w:rsidRPr="00430D32">
        <w:rPr>
          <w:rFonts w:ascii="標楷體" w:eastAsia="標楷體" w:hAnsi="標楷體" w:hint="eastAsia"/>
          <w:szCs w:val="24"/>
        </w:rPr>
        <w:t>1</w:t>
      </w:r>
      <w:r w:rsidR="0029756E" w:rsidRPr="00430D32">
        <w:rPr>
          <w:rFonts w:ascii="標楷體" w:eastAsia="標楷體" w:hAnsi="標楷體"/>
          <w:szCs w:val="24"/>
        </w:rPr>
        <w:t>13</w:t>
      </w:r>
      <w:proofErr w:type="gramEnd"/>
      <w:r w:rsidR="0029756E" w:rsidRPr="00430D32">
        <w:rPr>
          <w:rFonts w:ascii="標楷體" w:eastAsia="標楷體" w:hAnsi="標楷體" w:hint="eastAsia"/>
          <w:szCs w:val="24"/>
        </w:rPr>
        <w:t>年度盈（</w:t>
      </w:r>
      <w:proofErr w:type="gramStart"/>
      <w:r w:rsidR="0029756E" w:rsidRPr="00430D32">
        <w:rPr>
          <w:rFonts w:ascii="標楷體" w:eastAsia="標楷體" w:hAnsi="標楷體" w:hint="eastAsia"/>
          <w:szCs w:val="24"/>
        </w:rPr>
        <w:t>賸</w:t>
      </w:r>
      <w:proofErr w:type="gramEnd"/>
      <w:r w:rsidR="0029756E" w:rsidRPr="00430D32">
        <w:rPr>
          <w:rFonts w:ascii="標楷體" w:eastAsia="標楷體" w:hAnsi="標楷體" w:hint="eastAsia"/>
          <w:szCs w:val="24"/>
        </w:rPr>
        <w:t>）</w:t>
      </w:r>
      <w:proofErr w:type="gramStart"/>
      <w:r w:rsidR="0029756E" w:rsidRPr="00430D32">
        <w:rPr>
          <w:rFonts w:ascii="標楷體" w:eastAsia="標楷體" w:hAnsi="標楷體" w:hint="eastAsia"/>
          <w:szCs w:val="24"/>
        </w:rPr>
        <w:t>餘較預算</w:t>
      </w:r>
      <w:proofErr w:type="gramEnd"/>
      <w:r w:rsidR="0029756E" w:rsidRPr="00430D32">
        <w:rPr>
          <w:rFonts w:ascii="標楷體" w:eastAsia="標楷體" w:hAnsi="標楷體" w:hint="eastAsia"/>
          <w:szCs w:val="24"/>
        </w:rPr>
        <w:t>減少或短</w:t>
      </w:r>
      <w:proofErr w:type="gramStart"/>
      <w:r w:rsidR="0029756E" w:rsidRPr="00430D32">
        <w:rPr>
          <w:rFonts w:ascii="標楷體" w:eastAsia="標楷體" w:hAnsi="標楷體" w:hint="eastAsia"/>
          <w:szCs w:val="24"/>
        </w:rPr>
        <w:t>絀</w:t>
      </w:r>
      <w:proofErr w:type="gramEnd"/>
      <w:r w:rsidR="0029756E" w:rsidRPr="00430D32">
        <w:rPr>
          <w:rFonts w:ascii="標楷體" w:eastAsia="標楷體" w:hAnsi="標楷體" w:hint="eastAsia"/>
          <w:szCs w:val="24"/>
        </w:rPr>
        <w:t>增加、營運（業務）計畫未達目標等情形，已請相關基金主管機關檢討處理中。</w:t>
      </w:r>
    </w:p>
    <w:p w14:paraId="69DF5A6D" w14:textId="24CD19ED" w:rsidR="0029756E" w:rsidRPr="00430D32" w:rsidRDefault="0029756E" w:rsidP="002F0729">
      <w:pPr>
        <w:overflowPunct w:val="0"/>
        <w:spacing w:beforeLines="50" w:before="180" w:line="460" w:lineRule="exact"/>
        <w:ind w:firstLineChars="100" w:firstLine="280"/>
        <w:jc w:val="both"/>
        <w:rPr>
          <w:rFonts w:ascii="標楷體" w:eastAsia="標楷體" w:hAnsi="標楷體"/>
          <w:b/>
          <w:sz w:val="28"/>
          <w:szCs w:val="28"/>
        </w:rPr>
      </w:pPr>
      <w:r w:rsidRPr="00430D32">
        <w:rPr>
          <w:rFonts w:ascii="標楷體" w:eastAsia="標楷體" w:hAnsi="標楷體" w:hint="eastAsia"/>
          <w:b/>
          <w:sz w:val="28"/>
          <w:szCs w:val="32"/>
        </w:rPr>
        <w:t>（四）</w:t>
      </w:r>
      <w:r w:rsidRPr="00430D32">
        <w:rPr>
          <w:rFonts w:ascii="標楷體" w:eastAsia="標楷體" w:hAnsi="標楷體" w:hint="eastAsia"/>
          <w:b/>
          <w:sz w:val="28"/>
          <w:szCs w:val="28"/>
        </w:rPr>
        <w:t>部分非營業特種基金未依基金運作情形及實際需要</w:t>
      </w:r>
      <w:proofErr w:type="gramStart"/>
      <w:r w:rsidRPr="00430D32">
        <w:rPr>
          <w:rFonts w:ascii="標楷體" w:eastAsia="標楷體" w:hAnsi="標楷體" w:hint="eastAsia"/>
          <w:b/>
          <w:sz w:val="28"/>
          <w:szCs w:val="28"/>
        </w:rPr>
        <w:t>覈</w:t>
      </w:r>
      <w:proofErr w:type="gramEnd"/>
      <w:r w:rsidRPr="00430D32">
        <w:rPr>
          <w:rFonts w:ascii="標楷體" w:eastAsia="標楷體" w:hAnsi="標楷體" w:hint="eastAsia"/>
          <w:b/>
          <w:sz w:val="28"/>
          <w:szCs w:val="28"/>
        </w:rPr>
        <w:t>實編列預算，</w:t>
      </w:r>
      <w:proofErr w:type="gramStart"/>
      <w:r w:rsidRPr="00430D32">
        <w:rPr>
          <w:rFonts w:ascii="標楷體" w:eastAsia="標楷體" w:hAnsi="標楷體" w:hint="eastAsia"/>
          <w:b/>
          <w:sz w:val="28"/>
          <w:szCs w:val="28"/>
        </w:rPr>
        <w:t>致屢有</w:t>
      </w:r>
      <w:proofErr w:type="gramEnd"/>
      <w:r w:rsidRPr="00430D32">
        <w:rPr>
          <w:rFonts w:ascii="標楷體" w:eastAsia="標楷體" w:hAnsi="標楷體" w:hint="eastAsia"/>
          <w:b/>
          <w:sz w:val="28"/>
          <w:szCs w:val="28"/>
        </w:rPr>
        <w:t>超支</w:t>
      </w:r>
      <w:proofErr w:type="gramStart"/>
      <w:r w:rsidRPr="00430D32">
        <w:rPr>
          <w:rFonts w:ascii="標楷體" w:eastAsia="標楷體" w:hAnsi="標楷體" w:hint="eastAsia"/>
          <w:b/>
          <w:sz w:val="28"/>
          <w:szCs w:val="28"/>
        </w:rPr>
        <w:t>併</w:t>
      </w:r>
      <w:proofErr w:type="gramEnd"/>
      <w:r w:rsidRPr="00430D32">
        <w:rPr>
          <w:rFonts w:ascii="標楷體" w:eastAsia="標楷體" w:hAnsi="標楷體" w:hint="eastAsia"/>
          <w:b/>
          <w:sz w:val="28"/>
          <w:szCs w:val="28"/>
        </w:rPr>
        <w:t>決算之情事，</w:t>
      </w:r>
      <w:r w:rsidRPr="00520D58">
        <w:rPr>
          <w:rFonts w:ascii="標楷體" w:eastAsia="標楷體" w:hAnsi="標楷體" w:hint="eastAsia"/>
          <w:b/>
          <w:sz w:val="28"/>
          <w:szCs w:val="32"/>
        </w:rPr>
        <w:t>允宜督促</w:t>
      </w:r>
      <w:proofErr w:type="gramStart"/>
      <w:r w:rsidRPr="00520D58">
        <w:rPr>
          <w:rFonts w:ascii="標楷體" w:eastAsia="標楷體" w:hAnsi="標楷體" w:hint="eastAsia"/>
          <w:b/>
          <w:sz w:val="28"/>
          <w:szCs w:val="32"/>
        </w:rPr>
        <w:t>覈</w:t>
      </w:r>
      <w:proofErr w:type="gramEnd"/>
      <w:r w:rsidRPr="00520D58">
        <w:rPr>
          <w:rFonts w:ascii="標楷體" w:eastAsia="標楷體" w:hAnsi="標楷體" w:hint="eastAsia"/>
          <w:b/>
          <w:sz w:val="28"/>
          <w:szCs w:val="32"/>
        </w:rPr>
        <w:t>實</w:t>
      </w:r>
      <w:r w:rsidRPr="00430D32">
        <w:rPr>
          <w:rFonts w:ascii="標楷體" w:eastAsia="標楷體" w:hAnsi="標楷體" w:hint="eastAsia"/>
          <w:b/>
          <w:sz w:val="28"/>
          <w:szCs w:val="28"/>
        </w:rPr>
        <w:t>編列預算，以強化</w:t>
      </w:r>
      <w:r w:rsidRPr="00430D32">
        <w:rPr>
          <w:rFonts w:ascii="標楷體" w:eastAsia="標楷體" w:hAnsi="標楷體"/>
          <w:b/>
          <w:sz w:val="28"/>
          <w:szCs w:val="28"/>
        </w:rPr>
        <w:t>預算及計畫管理</w:t>
      </w:r>
      <w:r w:rsidRPr="00430D32">
        <w:rPr>
          <w:rFonts w:ascii="標楷體" w:eastAsia="標楷體" w:hAnsi="標楷體" w:hint="eastAsia"/>
          <w:b/>
          <w:sz w:val="28"/>
          <w:szCs w:val="28"/>
        </w:rPr>
        <w:t>功能。</w:t>
      </w:r>
    </w:p>
    <w:p w14:paraId="389CEE8D" w14:textId="0ACB2726" w:rsidR="0029756E" w:rsidRPr="00430D32" w:rsidRDefault="0029756E" w:rsidP="00F67ECA">
      <w:pPr>
        <w:widowControl/>
        <w:overflowPunct w:val="0"/>
        <w:spacing w:beforeLines="20" w:before="72" w:line="470" w:lineRule="exact"/>
        <w:ind w:firstLineChars="200" w:firstLine="480"/>
        <w:jc w:val="both"/>
        <w:rPr>
          <w:rFonts w:ascii="標楷體" w:eastAsia="標楷體" w:hAnsi="標楷體" w:cs="Times New Roman"/>
          <w:szCs w:val="24"/>
        </w:rPr>
      </w:pPr>
      <w:r w:rsidRPr="00430D32">
        <w:rPr>
          <w:rFonts w:ascii="標楷體" w:eastAsia="標楷體" w:hAnsi="標楷體" w:cs="Times New Roman" w:hint="eastAsia"/>
          <w:szCs w:val="24"/>
        </w:rPr>
        <w:t>臺北市政府所屬11個作業基金總支出預算數由</w:t>
      </w:r>
      <w:proofErr w:type="gramStart"/>
      <w:r w:rsidRPr="00430D32">
        <w:rPr>
          <w:rFonts w:ascii="標楷體" w:eastAsia="標楷體" w:hAnsi="標楷體" w:cs="Times New Roman" w:hint="eastAsia"/>
          <w:szCs w:val="24"/>
        </w:rPr>
        <w:t>112</w:t>
      </w:r>
      <w:proofErr w:type="gramEnd"/>
      <w:r w:rsidRPr="00430D32">
        <w:rPr>
          <w:rFonts w:ascii="標楷體" w:eastAsia="標楷體" w:hAnsi="標楷體" w:cs="Times New Roman" w:hint="eastAsia"/>
          <w:szCs w:val="24"/>
        </w:rPr>
        <w:t>年度之265億4</w:t>
      </w:r>
      <w:r w:rsidRPr="00430D32">
        <w:rPr>
          <w:rFonts w:ascii="標楷體" w:eastAsia="標楷體" w:hAnsi="標楷體" w:cs="Times New Roman"/>
          <w:szCs w:val="24"/>
        </w:rPr>
        <w:t>,</w:t>
      </w:r>
      <w:r w:rsidRPr="00430D32">
        <w:rPr>
          <w:rFonts w:ascii="標楷體" w:eastAsia="標楷體" w:hAnsi="標楷體" w:cs="Times New Roman" w:hint="eastAsia"/>
          <w:szCs w:val="24"/>
        </w:rPr>
        <w:t>461萬元，降至</w:t>
      </w:r>
      <w:proofErr w:type="gramStart"/>
      <w:r w:rsidRPr="00430D32">
        <w:rPr>
          <w:rFonts w:ascii="標楷體" w:eastAsia="標楷體" w:hAnsi="標楷體" w:cs="Times New Roman" w:hint="eastAsia"/>
          <w:szCs w:val="24"/>
        </w:rPr>
        <w:t>113</w:t>
      </w:r>
      <w:proofErr w:type="gramEnd"/>
      <w:r w:rsidRPr="00430D32">
        <w:rPr>
          <w:rFonts w:ascii="標楷體" w:eastAsia="標楷體" w:hAnsi="標楷體" w:cs="Times New Roman" w:hint="eastAsia"/>
          <w:szCs w:val="24"/>
        </w:rPr>
        <w:t>年度之263億1</w:t>
      </w:r>
      <w:r w:rsidRPr="00430D32">
        <w:rPr>
          <w:rFonts w:ascii="標楷體" w:eastAsia="標楷體" w:hAnsi="標楷體" w:cs="Times New Roman"/>
          <w:szCs w:val="24"/>
        </w:rPr>
        <w:t>,121</w:t>
      </w:r>
      <w:r w:rsidRPr="00430D32">
        <w:rPr>
          <w:rFonts w:ascii="標楷體" w:eastAsia="標楷體" w:hAnsi="標楷體" w:cs="Times New Roman" w:hint="eastAsia"/>
          <w:szCs w:val="24"/>
        </w:rPr>
        <w:t>萬餘元，惟決算數由</w:t>
      </w:r>
      <w:proofErr w:type="gramStart"/>
      <w:r w:rsidRPr="00430D32">
        <w:rPr>
          <w:rFonts w:ascii="標楷體" w:eastAsia="標楷體" w:hAnsi="標楷體" w:cs="Times New Roman" w:hint="eastAsia"/>
          <w:szCs w:val="24"/>
        </w:rPr>
        <w:t>112</w:t>
      </w:r>
      <w:proofErr w:type="gramEnd"/>
      <w:r w:rsidRPr="00430D32">
        <w:rPr>
          <w:rFonts w:ascii="標楷體" w:eastAsia="標楷體" w:hAnsi="標楷體" w:cs="Times New Roman" w:hint="eastAsia"/>
          <w:szCs w:val="24"/>
        </w:rPr>
        <w:t>年度之252億2</w:t>
      </w:r>
      <w:r w:rsidRPr="00430D32">
        <w:rPr>
          <w:rFonts w:ascii="標楷體" w:eastAsia="標楷體" w:hAnsi="標楷體" w:cs="Times New Roman"/>
          <w:szCs w:val="24"/>
        </w:rPr>
        <w:t>,932</w:t>
      </w:r>
      <w:r w:rsidRPr="00430D32">
        <w:rPr>
          <w:rFonts w:ascii="標楷體" w:eastAsia="標楷體" w:hAnsi="標楷體" w:cs="Times New Roman" w:hint="eastAsia"/>
          <w:szCs w:val="24"/>
        </w:rPr>
        <w:t>萬餘元，增至</w:t>
      </w:r>
      <w:proofErr w:type="gramStart"/>
      <w:r w:rsidRPr="00430D32">
        <w:rPr>
          <w:rFonts w:ascii="標楷體" w:eastAsia="標楷體" w:hAnsi="標楷體" w:cs="Times New Roman" w:hint="eastAsia"/>
          <w:szCs w:val="24"/>
        </w:rPr>
        <w:t>113</w:t>
      </w:r>
      <w:proofErr w:type="gramEnd"/>
      <w:r w:rsidRPr="00430D32">
        <w:rPr>
          <w:rFonts w:ascii="標楷體" w:eastAsia="標楷體" w:hAnsi="標楷體" w:cs="Times New Roman" w:hint="eastAsia"/>
          <w:szCs w:val="24"/>
        </w:rPr>
        <w:t>年度之278億9</w:t>
      </w:r>
      <w:r w:rsidRPr="00430D32">
        <w:rPr>
          <w:rFonts w:ascii="標楷體" w:eastAsia="標楷體" w:hAnsi="標楷體" w:cs="Times New Roman"/>
          <w:szCs w:val="24"/>
        </w:rPr>
        <w:t>,</w:t>
      </w:r>
      <w:r w:rsidRPr="00430D32">
        <w:rPr>
          <w:rFonts w:ascii="標楷體" w:eastAsia="標楷體" w:hAnsi="標楷體" w:cs="Times New Roman" w:hint="eastAsia"/>
          <w:szCs w:val="24"/>
        </w:rPr>
        <w:t>540萬餘元，並較</w:t>
      </w:r>
      <w:proofErr w:type="gramStart"/>
      <w:r w:rsidRPr="00430D32">
        <w:rPr>
          <w:rFonts w:ascii="標楷體" w:eastAsia="標楷體" w:hAnsi="標楷體" w:cs="Times New Roman" w:hint="eastAsia"/>
          <w:szCs w:val="24"/>
        </w:rPr>
        <w:t>113</w:t>
      </w:r>
      <w:proofErr w:type="gramEnd"/>
      <w:r w:rsidRPr="00430D32">
        <w:rPr>
          <w:rFonts w:ascii="標楷體" w:eastAsia="標楷體" w:hAnsi="標楷體" w:cs="Times New Roman" w:hint="eastAsia"/>
          <w:szCs w:val="24"/>
        </w:rPr>
        <w:t>年度預算數增加15億8</w:t>
      </w:r>
      <w:r w:rsidRPr="00430D32">
        <w:rPr>
          <w:rFonts w:ascii="標楷體" w:eastAsia="標楷體" w:hAnsi="標楷體" w:cs="Times New Roman"/>
          <w:szCs w:val="24"/>
        </w:rPr>
        <w:t>,</w:t>
      </w:r>
      <w:r w:rsidRPr="00430D32">
        <w:rPr>
          <w:rFonts w:ascii="標楷體" w:eastAsia="標楷體" w:hAnsi="標楷體" w:cs="Times New Roman" w:hint="eastAsia"/>
          <w:szCs w:val="24"/>
        </w:rPr>
        <w:t>418萬餘元，其中臺北市都市更新基金及臺北市立聯合醫院醫療基金等</w:t>
      </w:r>
      <w:r w:rsidRPr="00430D32">
        <w:rPr>
          <w:rFonts w:ascii="標楷體" w:eastAsia="標楷體" w:hAnsi="標楷體" w:cs="Times New Roman"/>
          <w:szCs w:val="24"/>
        </w:rPr>
        <w:t>2</w:t>
      </w:r>
      <w:r w:rsidRPr="00430D32">
        <w:rPr>
          <w:rFonts w:ascii="標楷體" w:eastAsia="標楷體" w:hAnsi="標楷體" w:cs="Times New Roman" w:hint="eastAsia"/>
          <w:szCs w:val="24"/>
        </w:rPr>
        <w:t>個作業基金，</w:t>
      </w:r>
      <w:proofErr w:type="gramStart"/>
      <w:r w:rsidRPr="00430D32">
        <w:rPr>
          <w:rFonts w:ascii="標楷體" w:eastAsia="標楷體" w:hAnsi="標楷體" w:cs="Times New Roman" w:hint="eastAsia"/>
          <w:szCs w:val="24"/>
        </w:rPr>
        <w:t>113</w:t>
      </w:r>
      <w:proofErr w:type="gramEnd"/>
      <w:r w:rsidRPr="00430D32">
        <w:rPr>
          <w:rFonts w:ascii="標楷體" w:eastAsia="標楷體" w:hAnsi="標楷體" w:cs="Times New Roman" w:hint="eastAsia"/>
          <w:szCs w:val="24"/>
        </w:rPr>
        <w:t>年度因配合業務需要，調整之業務及業務外支出均併入決算辦理，金額各為1</w:t>
      </w:r>
      <w:r w:rsidRPr="00430D32">
        <w:rPr>
          <w:rFonts w:ascii="標楷體" w:eastAsia="標楷體" w:hAnsi="標楷體" w:cs="Times New Roman"/>
          <w:szCs w:val="24"/>
        </w:rPr>
        <w:t>,626</w:t>
      </w:r>
      <w:r w:rsidRPr="00430D32">
        <w:rPr>
          <w:rFonts w:ascii="標楷體" w:eastAsia="標楷體" w:hAnsi="標楷體" w:cs="Times New Roman" w:hint="eastAsia"/>
          <w:szCs w:val="24"/>
        </w:rPr>
        <w:t>萬餘元</w:t>
      </w:r>
      <w:r w:rsidRPr="00430D32">
        <w:rPr>
          <w:rFonts w:hAnsi="標楷體" w:hint="eastAsia"/>
          <w:szCs w:val="24"/>
        </w:rPr>
        <w:t>（</w:t>
      </w:r>
      <w:r w:rsidRPr="00430D32">
        <w:rPr>
          <w:rFonts w:ascii="標楷體" w:eastAsia="標楷體" w:hAnsi="標楷體" w:cs="Times New Roman" w:hint="eastAsia"/>
          <w:szCs w:val="24"/>
        </w:rPr>
        <w:t>占預算數6</w:t>
      </w:r>
      <w:r w:rsidRPr="00430D32">
        <w:rPr>
          <w:rFonts w:ascii="標楷體" w:eastAsia="標楷體" w:hAnsi="標楷體" w:cs="Times New Roman"/>
          <w:szCs w:val="24"/>
        </w:rPr>
        <w:t>.21</w:t>
      </w:r>
      <w:r w:rsidRPr="00430D32">
        <w:rPr>
          <w:rFonts w:ascii="標楷體" w:eastAsia="標楷體" w:hAnsi="標楷體" w:cs="Times New Roman" w:hint="eastAsia"/>
          <w:szCs w:val="24"/>
        </w:rPr>
        <w:t>％</w:t>
      </w:r>
      <w:r w:rsidRPr="00430D32">
        <w:rPr>
          <w:rFonts w:hAnsi="標楷體" w:hint="eastAsia"/>
          <w:szCs w:val="24"/>
        </w:rPr>
        <w:t>）</w:t>
      </w:r>
      <w:r w:rsidRPr="00430D32">
        <w:rPr>
          <w:rFonts w:ascii="標楷體" w:eastAsia="標楷體" w:hAnsi="標楷體" w:cs="Times New Roman" w:hint="eastAsia"/>
          <w:szCs w:val="24"/>
        </w:rPr>
        <w:t>、13億1</w:t>
      </w:r>
      <w:r w:rsidRPr="00430D32">
        <w:rPr>
          <w:rFonts w:ascii="標楷體" w:eastAsia="標楷體" w:hAnsi="標楷體" w:cs="Times New Roman"/>
          <w:szCs w:val="24"/>
        </w:rPr>
        <w:t>,</w:t>
      </w:r>
      <w:r w:rsidRPr="00430D32">
        <w:rPr>
          <w:rFonts w:ascii="標楷體" w:eastAsia="標楷體" w:hAnsi="標楷體" w:cs="Times New Roman" w:hint="eastAsia"/>
          <w:szCs w:val="24"/>
        </w:rPr>
        <w:t>448萬餘元</w:t>
      </w:r>
      <w:r w:rsidRPr="00430D32">
        <w:rPr>
          <w:rFonts w:hAnsi="標楷體" w:hint="eastAsia"/>
          <w:szCs w:val="24"/>
        </w:rPr>
        <w:t>（</w:t>
      </w:r>
      <w:r w:rsidRPr="00430D32">
        <w:rPr>
          <w:rFonts w:ascii="標楷體" w:eastAsia="標楷體" w:hAnsi="標楷體" w:cs="Times New Roman" w:hint="eastAsia"/>
          <w:szCs w:val="24"/>
        </w:rPr>
        <w:t>占預算數8</w:t>
      </w:r>
      <w:r w:rsidRPr="00430D32">
        <w:rPr>
          <w:rFonts w:ascii="標楷體" w:eastAsia="標楷體" w:hAnsi="標楷體" w:cs="Times New Roman"/>
          <w:szCs w:val="24"/>
        </w:rPr>
        <w:t>.08</w:t>
      </w:r>
      <w:r w:rsidRPr="00430D32">
        <w:rPr>
          <w:rFonts w:ascii="標楷體" w:eastAsia="標楷體" w:hAnsi="標楷體" w:cs="Times New Roman" w:hint="eastAsia"/>
          <w:szCs w:val="24"/>
        </w:rPr>
        <w:t>％</w:t>
      </w:r>
      <w:r w:rsidRPr="00430D32">
        <w:rPr>
          <w:rFonts w:hAnsi="標楷體" w:hint="eastAsia"/>
          <w:szCs w:val="24"/>
        </w:rPr>
        <w:t>）</w:t>
      </w:r>
      <w:r w:rsidRPr="00430D32">
        <w:rPr>
          <w:rFonts w:ascii="標楷體" w:eastAsia="標楷體" w:hAnsi="標楷體" w:cs="Times New Roman" w:hint="eastAsia"/>
          <w:szCs w:val="24"/>
        </w:rPr>
        <w:t>，</w:t>
      </w:r>
      <w:r w:rsidRPr="00430D32">
        <w:rPr>
          <w:rFonts w:ascii="標楷體" w:eastAsia="標楷體" w:hAnsi="標楷體" w:cs="Times New Roman"/>
          <w:szCs w:val="24"/>
        </w:rPr>
        <w:t>惟</w:t>
      </w:r>
      <w:r w:rsidRPr="00430D32">
        <w:rPr>
          <w:rFonts w:ascii="標楷體" w:eastAsia="標楷體" w:hAnsi="標楷體" w:cs="Times New Roman" w:hint="eastAsia"/>
          <w:szCs w:val="24"/>
        </w:rPr>
        <w:t>因</w:t>
      </w:r>
      <w:r w:rsidRPr="00430D32">
        <w:rPr>
          <w:rFonts w:ascii="標楷體" w:eastAsia="標楷體" w:hAnsi="標楷體" w:cs="Times New Roman"/>
          <w:szCs w:val="24"/>
        </w:rPr>
        <w:t>收入較預計減少，或收入增加數額不及超支數額，致</w:t>
      </w:r>
      <w:r w:rsidRPr="00430D32">
        <w:rPr>
          <w:rFonts w:ascii="標楷體" w:eastAsia="標楷體" w:hAnsi="標楷體" w:cs="Times New Roman" w:hint="eastAsia"/>
          <w:szCs w:val="24"/>
        </w:rPr>
        <w:t>本期</w:t>
      </w:r>
      <w:r w:rsidRPr="00430D32">
        <w:rPr>
          <w:rFonts w:ascii="標楷體" w:eastAsia="標楷體" w:hAnsi="標楷體" w:cs="Times New Roman"/>
          <w:szCs w:val="24"/>
        </w:rPr>
        <w:t>賸餘較預算減少</w:t>
      </w:r>
      <w:r w:rsidRPr="00430D32">
        <w:rPr>
          <w:rFonts w:ascii="標楷體" w:eastAsia="標楷體" w:hAnsi="標楷體" w:cs="Times New Roman" w:hint="eastAsia"/>
          <w:szCs w:val="24"/>
        </w:rPr>
        <w:t>；臺北市立聯合醫院醫療基金</w:t>
      </w:r>
      <w:r w:rsidRPr="00430D32">
        <w:rPr>
          <w:rFonts w:ascii="標楷體" w:eastAsia="標楷體" w:hAnsi="標楷體" w:cs="Times New Roman"/>
          <w:szCs w:val="24"/>
        </w:rPr>
        <w:t>超支</w:t>
      </w:r>
      <w:proofErr w:type="gramStart"/>
      <w:r w:rsidRPr="00430D32">
        <w:rPr>
          <w:rFonts w:ascii="標楷體" w:eastAsia="標楷體" w:hAnsi="標楷體" w:cs="Times New Roman"/>
          <w:szCs w:val="24"/>
        </w:rPr>
        <w:t>併</w:t>
      </w:r>
      <w:proofErr w:type="gramEnd"/>
      <w:r w:rsidRPr="00430D32">
        <w:rPr>
          <w:rFonts w:ascii="標楷體" w:eastAsia="標楷體" w:hAnsi="標楷體" w:cs="Times New Roman"/>
          <w:szCs w:val="24"/>
        </w:rPr>
        <w:t>決算</w:t>
      </w:r>
      <w:r w:rsidRPr="00430D32">
        <w:rPr>
          <w:rFonts w:ascii="標楷體" w:eastAsia="標楷體" w:hAnsi="標楷體" w:cs="Times New Roman" w:hint="eastAsia"/>
          <w:szCs w:val="24"/>
        </w:rPr>
        <w:t>金額13億1</w:t>
      </w:r>
      <w:r w:rsidRPr="00430D32">
        <w:rPr>
          <w:rFonts w:ascii="標楷體" w:eastAsia="標楷體" w:hAnsi="標楷體" w:cs="Times New Roman"/>
          <w:szCs w:val="24"/>
        </w:rPr>
        <w:t>,</w:t>
      </w:r>
      <w:r w:rsidRPr="00430D32">
        <w:rPr>
          <w:rFonts w:ascii="標楷體" w:eastAsia="標楷體" w:hAnsi="標楷體" w:cs="Times New Roman" w:hint="eastAsia"/>
          <w:szCs w:val="24"/>
        </w:rPr>
        <w:t>448萬餘元及其</w:t>
      </w:r>
      <w:r w:rsidRPr="00430D32">
        <w:rPr>
          <w:rFonts w:ascii="標楷體" w:eastAsia="標楷體" w:hAnsi="標楷體" w:cs="Times New Roman"/>
          <w:szCs w:val="24"/>
        </w:rPr>
        <w:t>占預算數之比率</w:t>
      </w:r>
      <w:r w:rsidRPr="00430D32">
        <w:rPr>
          <w:rFonts w:ascii="標楷體" w:eastAsia="標楷體" w:hAnsi="標楷體" w:cs="Times New Roman" w:hint="eastAsia"/>
          <w:szCs w:val="24"/>
        </w:rPr>
        <w:t>8</w:t>
      </w:r>
      <w:r w:rsidRPr="00430D32">
        <w:rPr>
          <w:rFonts w:ascii="標楷體" w:eastAsia="標楷體" w:hAnsi="標楷體" w:cs="Times New Roman"/>
          <w:szCs w:val="24"/>
        </w:rPr>
        <w:t>.08</w:t>
      </w:r>
      <w:r w:rsidRPr="00430D32">
        <w:rPr>
          <w:rFonts w:ascii="標楷體" w:eastAsia="標楷體" w:hAnsi="標楷體" w:cs="Times New Roman" w:hint="eastAsia"/>
          <w:szCs w:val="24"/>
        </w:rPr>
        <w:t>％，已較</w:t>
      </w:r>
      <w:proofErr w:type="gramStart"/>
      <w:r w:rsidRPr="00430D32">
        <w:rPr>
          <w:rFonts w:ascii="標楷體" w:eastAsia="標楷體" w:hAnsi="標楷體" w:cs="Times New Roman" w:hint="eastAsia"/>
          <w:szCs w:val="24"/>
        </w:rPr>
        <w:t>1</w:t>
      </w:r>
      <w:r w:rsidRPr="00430D32">
        <w:rPr>
          <w:rFonts w:ascii="標楷體" w:eastAsia="標楷體" w:hAnsi="標楷體" w:cs="Times New Roman"/>
          <w:szCs w:val="24"/>
        </w:rPr>
        <w:t>12</w:t>
      </w:r>
      <w:proofErr w:type="gramEnd"/>
      <w:r w:rsidRPr="00430D32">
        <w:rPr>
          <w:rFonts w:ascii="標楷體" w:eastAsia="標楷體" w:hAnsi="標楷體" w:cs="Times New Roman" w:hint="eastAsia"/>
          <w:szCs w:val="24"/>
        </w:rPr>
        <w:t>年度</w:t>
      </w:r>
      <w:r w:rsidRPr="00430D32">
        <w:rPr>
          <w:rFonts w:hAnsi="標楷體" w:hint="eastAsia"/>
          <w:szCs w:val="24"/>
        </w:rPr>
        <w:t>（</w:t>
      </w:r>
      <w:r w:rsidRPr="00430D32">
        <w:rPr>
          <w:rFonts w:ascii="標楷體" w:eastAsia="標楷體" w:hAnsi="標楷體" w:cs="Times New Roman"/>
          <w:szCs w:val="24"/>
        </w:rPr>
        <w:t>5</w:t>
      </w:r>
      <w:r w:rsidRPr="00430D32">
        <w:rPr>
          <w:rFonts w:ascii="標楷體" w:eastAsia="標楷體" w:hAnsi="標楷體" w:cs="Times New Roman" w:hint="eastAsia"/>
          <w:szCs w:val="24"/>
        </w:rPr>
        <w:t>億7</w:t>
      </w:r>
      <w:r w:rsidRPr="00430D32">
        <w:rPr>
          <w:rFonts w:ascii="標楷體" w:eastAsia="標楷體" w:hAnsi="標楷體" w:cs="Times New Roman"/>
          <w:szCs w:val="24"/>
        </w:rPr>
        <w:t>,653</w:t>
      </w:r>
      <w:r w:rsidRPr="00430D32">
        <w:rPr>
          <w:rFonts w:ascii="標楷體" w:eastAsia="標楷體" w:hAnsi="標楷體" w:cs="Times New Roman" w:hint="eastAsia"/>
          <w:szCs w:val="24"/>
        </w:rPr>
        <w:t>萬餘元、3</w:t>
      </w:r>
      <w:r w:rsidRPr="00430D32">
        <w:rPr>
          <w:rFonts w:ascii="標楷體" w:eastAsia="標楷體" w:hAnsi="標楷體" w:cs="Times New Roman"/>
          <w:szCs w:val="24"/>
        </w:rPr>
        <w:t>.60</w:t>
      </w:r>
      <w:r w:rsidRPr="00430D32">
        <w:rPr>
          <w:rFonts w:ascii="標楷體" w:eastAsia="標楷體" w:hAnsi="標楷體" w:cs="Times New Roman" w:hint="eastAsia"/>
          <w:szCs w:val="24"/>
        </w:rPr>
        <w:t>％</w:t>
      </w:r>
      <w:r w:rsidRPr="00430D32">
        <w:rPr>
          <w:rFonts w:hAnsi="標楷體" w:hint="eastAsia"/>
          <w:szCs w:val="24"/>
        </w:rPr>
        <w:t>）</w:t>
      </w:r>
      <w:r w:rsidRPr="00430D32">
        <w:rPr>
          <w:rFonts w:ascii="標楷體" w:eastAsia="標楷體" w:hAnsi="標楷體" w:cs="Times New Roman" w:hint="eastAsia"/>
          <w:szCs w:val="24"/>
        </w:rPr>
        <w:t>增加</w:t>
      </w:r>
      <w:r w:rsidRPr="00430D32">
        <w:rPr>
          <w:rFonts w:ascii="標楷體" w:eastAsia="標楷體" w:hAnsi="標楷體" w:cs="Times New Roman"/>
          <w:szCs w:val="24"/>
        </w:rPr>
        <w:t>。另</w:t>
      </w:r>
      <w:r w:rsidRPr="00430D32">
        <w:rPr>
          <w:rFonts w:ascii="標楷體" w:eastAsia="標楷體" w:hAnsi="標楷體" w:cs="Times New Roman" w:hint="eastAsia"/>
          <w:szCs w:val="24"/>
        </w:rPr>
        <w:t>臺北市政府所屬15個</w:t>
      </w:r>
      <w:r w:rsidRPr="00430D32">
        <w:rPr>
          <w:rFonts w:ascii="標楷體" w:eastAsia="標楷體" w:hAnsi="標楷體" w:cs="Times New Roman"/>
          <w:szCs w:val="24"/>
        </w:rPr>
        <w:t>特別收入基金總支出預算數由</w:t>
      </w:r>
      <w:proofErr w:type="gramStart"/>
      <w:r w:rsidRPr="00430D32">
        <w:rPr>
          <w:rFonts w:ascii="標楷體" w:eastAsia="標楷體" w:hAnsi="標楷體" w:cs="Times New Roman"/>
          <w:szCs w:val="24"/>
        </w:rPr>
        <w:t>11</w:t>
      </w:r>
      <w:r w:rsidRPr="00430D32">
        <w:rPr>
          <w:rFonts w:ascii="標楷體" w:eastAsia="標楷體" w:hAnsi="標楷體" w:cs="Times New Roman" w:hint="eastAsia"/>
          <w:szCs w:val="24"/>
        </w:rPr>
        <w:t>2</w:t>
      </w:r>
      <w:proofErr w:type="gramEnd"/>
      <w:r w:rsidRPr="00430D32">
        <w:rPr>
          <w:rFonts w:ascii="標楷體" w:eastAsia="標楷體" w:hAnsi="標楷體" w:cs="Times New Roman"/>
          <w:szCs w:val="24"/>
        </w:rPr>
        <w:t>年度之75</w:t>
      </w:r>
      <w:r w:rsidRPr="00430D32">
        <w:rPr>
          <w:rFonts w:ascii="標楷體" w:eastAsia="標楷體" w:hAnsi="標楷體" w:cs="Times New Roman" w:hint="eastAsia"/>
          <w:szCs w:val="24"/>
        </w:rPr>
        <w:t>1</w:t>
      </w:r>
      <w:r w:rsidRPr="00430D32">
        <w:rPr>
          <w:rFonts w:ascii="標楷體" w:eastAsia="標楷體" w:hAnsi="標楷體" w:cs="Times New Roman"/>
          <w:szCs w:val="24"/>
        </w:rPr>
        <w:t>億</w:t>
      </w:r>
      <w:r w:rsidRPr="00430D32">
        <w:rPr>
          <w:rFonts w:ascii="標楷體" w:eastAsia="標楷體" w:hAnsi="標楷體" w:cs="Times New Roman" w:hint="eastAsia"/>
          <w:szCs w:val="24"/>
        </w:rPr>
        <w:t>439萬</w:t>
      </w:r>
      <w:r w:rsidRPr="00430D32">
        <w:rPr>
          <w:rFonts w:ascii="標楷體" w:eastAsia="標楷體" w:hAnsi="標楷體" w:cs="Times New Roman"/>
          <w:szCs w:val="24"/>
        </w:rPr>
        <w:t>元，成長至</w:t>
      </w:r>
      <w:proofErr w:type="gramStart"/>
      <w:r w:rsidRPr="00430D32">
        <w:rPr>
          <w:rFonts w:ascii="標楷體" w:eastAsia="標楷體" w:hAnsi="標楷體" w:cs="Times New Roman"/>
          <w:szCs w:val="24"/>
        </w:rPr>
        <w:t>11</w:t>
      </w:r>
      <w:r w:rsidRPr="00430D32">
        <w:rPr>
          <w:rFonts w:ascii="標楷體" w:eastAsia="標楷體" w:hAnsi="標楷體" w:cs="Times New Roman" w:hint="eastAsia"/>
          <w:szCs w:val="24"/>
        </w:rPr>
        <w:t>3</w:t>
      </w:r>
      <w:proofErr w:type="gramEnd"/>
      <w:r w:rsidRPr="00430D32">
        <w:rPr>
          <w:rFonts w:ascii="標楷體" w:eastAsia="標楷體" w:hAnsi="標楷體" w:cs="Times New Roman"/>
          <w:szCs w:val="24"/>
        </w:rPr>
        <w:t>年度之</w:t>
      </w:r>
      <w:r w:rsidRPr="00430D32">
        <w:rPr>
          <w:rFonts w:ascii="標楷體" w:eastAsia="標楷體" w:hAnsi="標楷體" w:cs="Times New Roman" w:hint="eastAsia"/>
          <w:szCs w:val="24"/>
        </w:rPr>
        <w:t>996</w:t>
      </w:r>
      <w:r w:rsidRPr="00430D32">
        <w:rPr>
          <w:rFonts w:ascii="標楷體" w:eastAsia="標楷體" w:hAnsi="標楷體" w:cs="Times New Roman"/>
          <w:szCs w:val="24"/>
        </w:rPr>
        <w:t>億</w:t>
      </w:r>
      <w:r w:rsidRPr="00430D32">
        <w:rPr>
          <w:rFonts w:ascii="標楷體" w:eastAsia="標楷體" w:hAnsi="標楷體" w:cs="Times New Roman" w:hint="eastAsia"/>
          <w:szCs w:val="24"/>
        </w:rPr>
        <w:t>585萬</w:t>
      </w:r>
      <w:r w:rsidRPr="00430D32">
        <w:rPr>
          <w:rFonts w:ascii="標楷體" w:eastAsia="標楷體" w:hAnsi="標楷體" w:cs="Times New Roman"/>
          <w:szCs w:val="24"/>
        </w:rPr>
        <w:t>餘元，決算數亦由</w:t>
      </w:r>
      <w:proofErr w:type="gramStart"/>
      <w:r w:rsidRPr="00430D32">
        <w:rPr>
          <w:rFonts w:ascii="標楷體" w:eastAsia="標楷體" w:hAnsi="標楷體" w:cs="Times New Roman"/>
          <w:szCs w:val="24"/>
        </w:rPr>
        <w:t>11</w:t>
      </w:r>
      <w:r w:rsidRPr="00430D32">
        <w:rPr>
          <w:rFonts w:ascii="標楷體" w:eastAsia="標楷體" w:hAnsi="標楷體" w:cs="Times New Roman" w:hint="eastAsia"/>
          <w:szCs w:val="24"/>
        </w:rPr>
        <w:t>2</w:t>
      </w:r>
      <w:proofErr w:type="gramEnd"/>
      <w:r w:rsidRPr="00430D32">
        <w:rPr>
          <w:rFonts w:ascii="標楷體" w:eastAsia="標楷體" w:hAnsi="標楷體" w:cs="Times New Roman"/>
          <w:szCs w:val="24"/>
        </w:rPr>
        <w:t>年度之</w:t>
      </w:r>
      <w:r w:rsidRPr="00430D32">
        <w:rPr>
          <w:rFonts w:ascii="標楷體" w:eastAsia="標楷體" w:hAnsi="標楷體" w:cs="Times New Roman" w:hint="eastAsia"/>
          <w:szCs w:val="24"/>
        </w:rPr>
        <w:t>877</w:t>
      </w:r>
      <w:r w:rsidRPr="00430D32">
        <w:rPr>
          <w:rFonts w:ascii="標楷體" w:eastAsia="標楷體" w:hAnsi="標楷體" w:cs="Times New Roman"/>
          <w:szCs w:val="24"/>
        </w:rPr>
        <w:t>億</w:t>
      </w:r>
      <w:r w:rsidRPr="00430D32">
        <w:rPr>
          <w:rFonts w:ascii="標楷體" w:eastAsia="標楷體" w:hAnsi="標楷體" w:cs="Times New Roman" w:hint="eastAsia"/>
          <w:szCs w:val="24"/>
        </w:rPr>
        <w:t>2</w:t>
      </w:r>
      <w:r w:rsidRPr="00430D32">
        <w:rPr>
          <w:rFonts w:ascii="標楷體" w:eastAsia="標楷體" w:hAnsi="標楷體" w:cs="Times New Roman"/>
          <w:szCs w:val="24"/>
        </w:rPr>
        <w:t>,110</w:t>
      </w:r>
      <w:r w:rsidRPr="00430D32">
        <w:rPr>
          <w:rFonts w:ascii="標楷體" w:eastAsia="標楷體" w:hAnsi="標楷體" w:cs="Times New Roman" w:hint="eastAsia"/>
          <w:szCs w:val="24"/>
        </w:rPr>
        <w:t>萬</w:t>
      </w:r>
      <w:r w:rsidRPr="00430D32">
        <w:rPr>
          <w:rFonts w:ascii="標楷體" w:eastAsia="標楷體" w:hAnsi="標楷體" w:cs="Times New Roman"/>
          <w:szCs w:val="24"/>
        </w:rPr>
        <w:t>餘元，增加至</w:t>
      </w:r>
      <w:proofErr w:type="gramStart"/>
      <w:r w:rsidRPr="00430D32">
        <w:rPr>
          <w:rFonts w:ascii="標楷體" w:eastAsia="標楷體" w:hAnsi="標楷體" w:cs="Times New Roman"/>
          <w:szCs w:val="24"/>
        </w:rPr>
        <w:t>11</w:t>
      </w:r>
      <w:r w:rsidRPr="00430D32">
        <w:rPr>
          <w:rFonts w:ascii="標楷體" w:eastAsia="標楷體" w:hAnsi="標楷體" w:cs="Times New Roman" w:hint="eastAsia"/>
          <w:szCs w:val="24"/>
        </w:rPr>
        <w:t>3</w:t>
      </w:r>
      <w:proofErr w:type="gramEnd"/>
      <w:r w:rsidRPr="00430D32">
        <w:rPr>
          <w:rFonts w:ascii="標楷體" w:eastAsia="標楷體" w:hAnsi="標楷體" w:cs="Times New Roman"/>
          <w:szCs w:val="24"/>
        </w:rPr>
        <w:t>年度之</w:t>
      </w:r>
      <w:r w:rsidRPr="00430D32">
        <w:rPr>
          <w:rFonts w:ascii="標楷體" w:eastAsia="標楷體" w:hAnsi="標楷體" w:cs="Times New Roman" w:hint="eastAsia"/>
          <w:szCs w:val="24"/>
        </w:rPr>
        <w:t>1</w:t>
      </w:r>
      <w:r w:rsidRPr="00430D32">
        <w:rPr>
          <w:rFonts w:ascii="標楷體" w:eastAsia="標楷體" w:hAnsi="標楷體" w:cs="Times New Roman"/>
          <w:szCs w:val="24"/>
        </w:rPr>
        <w:t>,048 億</w:t>
      </w:r>
      <w:proofErr w:type="gramStart"/>
      <w:r w:rsidRPr="00430D32">
        <w:rPr>
          <w:rFonts w:ascii="標楷體" w:eastAsia="標楷體" w:hAnsi="標楷體" w:cs="Times New Roman" w:hint="eastAsia"/>
          <w:szCs w:val="24"/>
        </w:rPr>
        <w:t>8</w:t>
      </w:r>
      <w:proofErr w:type="gramEnd"/>
      <w:r w:rsidRPr="00430D32">
        <w:rPr>
          <w:rFonts w:ascii="標楷體" w:eastAsia="標楷體" w:hAnsi="標楷體" w:cs="Times New Roman"/>
          <w:szCs w:val="24"/>
        </w:rPr>
        <w:t>,675</w:t>
      </w:r>
      <w:r w:rsidRPr="00430D32">
        <w:rPr>
          <w:rFonts w:ascii="標楷體" w:eastAsia="標楷體" w:hAnsi="標楷體" w:cs="Times New Roman" w:hint="eastAsia"/>
          <w:szCs w:val="24"/>
        </w:rPr>
        <w:t>萬</w:t>
      </w:r>
      <w:r w:rsidRPr="00430D32">
        <w:rPr>
          <w:rFonts w:ascii="標楷體" w:eastAsia="標楷體" w:hAnsi="標楷體" w:cs="Times New Roman"/>
          <w:szCs w:val="24"/>
        </w:rPr>
        <w:t>餘元</w:t>
      </w:r>
      <w:r w:rsidRPr="00430D32">
        <w:rPr>
          <w:rFonts w:ascii="標楷體" w:eastAsia="標楷體" w:hAnsi="標楷體" w:cs="Times New Roman" w:hint="eastAsia"/>
          <w:szCs w:val="24"/>
        </w:rPr>
        <w:t>，並較</w:t>
      </w:r>
      <w:proofErr w:type="gramStart"/>
      <w:r w:rsidRPr="00430D32">
        <w:rPr>
          <w:rFonts w:ascii="標楷體" w:eastAsia="標楷體" w:hAnsi="標楷體" w:cs="Times New Roman" w:hint="eastAsia"/>
          <w:szCs w:val="24"/>
        </w:rPr>
        <w:t>113</w:t>
      </w:r>
      <w:proofErr w:type="gramEnd"/>
      <w:r w:rsidRPr="00430D32">
        <w:rPr>
          <w:rFonts w:ascii="標楷體" w:eastAsia="標楷體" w:hAnsi="標楷體" w:cs="Times New Roman" w:hint="eastAsia"/>
          <w:szCs w:val="24"/>
        </w:rPr>
        <w:t>年度預算數增加52億8</w:t>
      </w:r>
      <w:r w:rsidRPr="00430D32">
        <w:rPr>
          <w:rFonts w:ascii="標楷體" w:eastAsia="標楷體" w:hAnsi="標楷體" w:cs="Times New Roman"/>
          <w:szCs w:val="24"/>
        </w:rPr>
        <w:t>,</w:t>
      </w:r>
      <w:r w:rsidRPr="00430D32">
        <w:rPr>
          <w:rFonts w:ascii="標楷體" w:eastAsia="標楷體" w:hAnsi="標楷體" w:cs="Times New Roman" w:hint="eastAsia"/>
          <w:szCs w:val="24"/>
        </w:rPr>
        <w:t>089萬餘元；又</w:t>
      </w:r>
      <w:proofErr w:type="gramStart"/>
      <w:r w:rsidRPr="00430D32">
        <w:rPr>
          <w:rFonts w:ascii="標楷體" w:eastAsia="標楷體" w:hAnsi="標楷體" w:cs="Times New Roman" w:hint="eastAsia"/>
          <w:szCs w:val="24"/>
        </w:rPr>
        <w:t>1</w:t>
      </w:r>
      <w:r w:rsidRPr="00430D32">
        <w:rPr>
          <w:rFonts w:ascii="標楷體" w:eastAsia="標楷體" w:hAnsi="標楷體" w:cs="Times New Roman"/>
          <w:szCs w:val="24"/>
        </w:rPr>
        <w:t>13</w:t>
      </w:r>
      <w:proofErr w:type="gramEnd"/>
      <w:r w:rsidRPr="00430D32">
        <w:rPr>
          <w:rFonts w:ascii="標楷體" w:eastAsia="標楷體" w:hAnsi="標楷體" w:cs="Times New Roman" w:hint="eastAsia"/>
          <w:szCs w:val="24"/>
        </w:rPr>
        <w:t>年度主要業務計畫超支</w:t>
      </w:r>
      <w:proofErr w:type="gramStart"/>
      <w:r w:rsidRPr="00430D32">
        <w:rPr>
          <w:rFonts w:ascii="標楷體" w:eastAsia="標楷體" w:hAnsi="標楷體" w:cs="Times New Roman" w:hint="eastAsia"/>
          <w:szCs w:val="24"/>
        </w:rPr>
        <w:t>併</w:t>
      </w:r>
      <w:proofErr w:type="gramEnd"/>
      <w:r w:rsidRPr="00430D32">
        <w:rPr>
          <w:rFonts w:ascii="標楷體" w:eastAsia="標楷體" w:hAnsi="標楷體" w:cs="Times New Roman" w:hint="eastAsia"/>
          <w:szCs w:val="24"/>
        </w:rPr>
        <w:t>決算辦理者，計有臺北市道路基金</w:t>
      </w:r>
      <w:r w:rsidRPr="00430D32">
        <w:rPr>
          <w:rFonts w:ascii="標楷體" w:eastAsia="標楷體" w:hAnsi="標楷體" w:cs="Times New Roman"/>
          <w:szCs w:val="24"/>
        </w:rPr>
        <w:t>等</w:t>
      </w:r>
      <w:r w:rsidRPr="00430D32">
        <w:rPr>
          <w:rFonts w:ascii="標楷體" w:eastAsia="標楷體" w:hAnsi="標楷體" w:cs="Times New Roman" w:hint="eastAsia"/>
          <w:szCs w:val="24"/>
        </w:rPr>
        <w:t>4</w:t>
      </w:r>
      <w:r w:rsidRPr="00430D32">
        <w:rPr>
          <w:rFonts w:ascii="標楷體" w:eastAsia="標楷體" w:hAnsi="標楷體" w:cs="Times New Roman"/>
          <w:szCs w:val="24"/>
        </w:rPr>
        <w:t>個基金</w:t>
      </w:r>
      <w:r w:rsidRPr="00430D32">
        <w:rPr>
          <w:rFonts w:ascii="標楷體" w:eastAsia="標楷體" w:hAnsi="標楷體" w:cs="Times New Roman" w:hint="eastAsia"/>
          <w:szCs w:val="24"/>
        </w:rPr>
        <w:t>之1</w:t>
      </w:r>
      <w:r w:rsidRPr="00430D32">
        <w:rPr>
          <w:rFonts w:ascii="標楷體" w:eastAsia="標楷體" w:hAnsi="標楷體" w:cs="Times New Roman"/>
          <w:szCs w:val="24"/>
        </w:rPr>
        <w:t>2</w:t>
      </w:r>
      <w:r w:rsidRPr="00430D32">
        <w:rPr>
          <w:rFonts w:ascii="標楷體" w:eastAsia="標楷體" w:hAnsi="標楷體" w:cs="Times New Roman" w:hint="eastAsia"/>
          <w:szCs w:val="24"/>
        </w:rPr>
        <w:t>項主要業務計畫，各計畫超支</w:t>
      </w:r>
      <w:proofErr w:type="gramStart"/>
      <w:r w:rsidRPr="00430D32">
        <w:rPr>
          <w:rFonts w:ascii="標楷體" w:eastAsia="標楷體" w:hAnsi="標楷體" w:cs="Times New Roman" w:hint="eastAsia"/>
          <w:szCs w:val="24"/>
        </w:rPr>
        <w:t>併</w:t>
      </w:r>
      <w:proofErr w:type="gramEnd"/>
      <w:r w:rsidRPr="00430D32">
        <w:rPr>
          <w:rFonts w:ascii="標楷體" w:eastAsia="標楷體" w:hAnsi="標楷體" w:cs="Times New Roman" w:hint="eastAsia"/>
          <w:szCs w:val="24"/>
        </w:rPr>
        <w:t>決算金額為</w:t>
      </w:r>
      <w:r w:rsidRPr="00430D32">
        <w:rPr>
          <w:rFonts w:ascii="標楷體" w:eastAsia="標楷體" w:hAnsi="標楷體" w:cs="Times New Roman"/>
          <w:szCs w:val="24"/>
        </w:rPr>
        <w:t>40</w:t>
      </w:r>
      <w:r w:rsidRPr="00430D32">
        <w:rPr>
          <w:rFonts w:ascii="標楷體" w:eastAsia="標楷體" w:hAnsi="標楷體" w:cs="Times New Roman" w:hint="eastAsia"/>
          <w:szCs w:val="24"/>
        </w:rPr>
        <w:t>萬餘元至2</w:t>
      </w:r>
      <w:r w:rsidRPr="00430D32">
        <w:rPr>
          <w:rFonts w:ascii="標楷體" w:eastAsia="標楷體" w:hAnsi="標楷體" w:cs="Times New Roman"/>
          <w:szCs w:val="24"/>
        </w:rPr>
        <w:t>7</w:t>
      </w:r>
      <w:r w:rsidRPr="00430D32">
        <w:rPr>
          <w:rFonts w:ascii="標楷體" w:eastAsia="標楷體" w:hAnsi="標楷體" w:cs="Times New Roman" w:hint="eastAsia"/>
          <w:szCs w:val="24"/>
        </w:rPr>
        <w:t>億6</w:t>
      </w:r>
      <w:r w:rsidRPr="00430D32">
        <w:rPr>
          <w:rFonts w:ascii="標楷體" w:eastAsia="標楷體" w:hAnsi="標楷體" w:cs="Times New Roman"/>
          <w:szCs w:val="24"/>
        </w:rPr>
        <w:t>,016</w:t>
      </w:r>
      <w:r w:rsidRPr="00430D32">
        <w:rPr>
          <w:rFonts w:ascii="標楷體" w:eastAsia="標楷體" w:hAnsi="標楷體" w:cs="Times New Roman" w:hint="eastAsia"/>
          <w:szCs w:val="24"/>
        </w:rPr>
        <w:t>萬餘元不等，</w:t>
      </w:r>
      <w:r w:rsidRPr="00430D32">
        <w:rPr>
          <w:rFonts w:ascii="標楷體" w:eastAsia="標楷體" w:hAnsi="標楷體" w:cs="Times New Roman" w:hint="eastAsia"/>
          <w:szCs w:val="24"/>
        </w:rPr>
        <w:lastRenderedPageBreak/>
        <w:t>渠等計畫於</w:t>
      </w:r>
      <w:proofErr w:type="gramStart"/>
      <w:r w:rsidRPr="00430D32">
        <w:rPr>
          <w:rFonts w:ascii="標楷體" w:eastAsia="標楷體" w:hAnsi="標楷體" w:cs="Times New Roman" w:hint="eastAsia"/>
          <w:szCs w:val="24"/>
        </w:rPr>
        <w:t>1</w:t>
      </w:r>
      <w:r w:rsidRPr="00430D32">
        <w:rPr>
          <w:rFonts w:ascii="標楷體" w:eastAsia="標楷體" w:hAnsi="標楷體" w:cs="Times New Roman"/>
          <w:szCs w:val="24"/>
        </w:rPr>
        <w:t>13</w:t>
      </w:r>
      <w:proofErr w:type="gramEnd"/>
      <w:r w:rsidRPr="00430D32">
        <w:rPr>
          <w:rFonts w:ascii="標楷體" w:eastAsia="標楷體" w:hAnsi="標楷體" w:cs="Times New Roman" w:hint="eastAsia"/>
          <w:szCs w:val="24"/>
        </w:rPr>
        <w:t>年度超支</w:t>
      </w:r>
      <w:proofErr w:type="gramStart"/>
      <w:r w:rsidRPr="00430D32">
        <w:rPr>
          <w:rFonts w:ascii="標楷體" w:eastAsia="標楷體" w:hAnsi="標楷體" w:cs="Times New Roman" w:hint="eastAsia"/>
          <w:szCs w:val="24"/>
        </w:rPr>
        <w:t>併</w:t>
      </w:r>
      <w:proofErr w:type="gramEnd"/>
      <w:r w:rsidRPr="00430D32">
        <w:rPr>
          <w:rFonts w:ascii="標楷體" w:eastAsia="標楷體" w:hAnsi="標楷體" w:cs="Times New Roman" w:hint="eastAsia"/>
          <w:szCs w:val="24"/>
        </w:rPr>
        <w:t>決算事由均與</w:t>
      </w:r>
      <w:proofErr w:type="gramStart"/>
      <w:r w:rsidRPr="00430D32">
        <w:rPr>
          <w:rFonts w:ascii="標楷體" w:eastAsia="標楷體" w:hAnsi="標楷體" w:cs="Times New Roman" w:hint="eastAsia"/>
          <w:szCs w:val="24"/>
        </w:rPr>
        <w:t>1</w:t>
      </w:r>
      <w:r w:rsidRPr="00430D32">
        <w:rPr>
          <w:rFonts w:ascii="標楷體" w:eastAsia="標楷體" w:hAnsi="標楷體" w:cs="Times New Roman"/>
          <w:szCs w:val="24"/>
        </w:rPr>
        <w:t>12</w:t>
      </w:r>
      <w:proofErr w:type="gramEnd"/>
      <w:r w:rsidRPr="00430D32">
        <w:rPr>
          <w:rFonts w:ascii="標楷體" w:eastAsia="標楷體" w:hAnsi="標楷體" w:cs="Times New Roman" w:hint="eastAsia"/>
          <w:szCs w:val="24"/>
        </w:rPr>
        <w:t>年度雷同；其中超支</w:t>
      </w:r>
      <w:proofErr w:type="gramStart"/>
      <w:r w:rsidRPr="00430D32">
        <w:rPr>
          <w:rFonts w:ascii="標楷體" w:eastAsia="標楷體" w:hAnsi="標楷體" w:cs="Times New Roman" w:hint="eastAsia"/>
          <w:szCs w:val="24"/>
        </w:rPr>
        <w:t>併</w:t>
      </w:r>
      <w:proofErr w:type="gramEnd"/>
      <w:r w:rsidRPr="00430D32">
        <w:rPr>
          <w:rFonts w:ascii="標楷體" w:eastAsia="標楷體" w:hAnsi="標楷體" w:cs="Times New Roman" w:hint="eastAsia"/>
          <w:szCs w:val="24"/>
        </w:rPr>
        <w:t>決算金額及比率較</w:t>
      </w:r>
      <w:proofErr w:type="gramStart"/>
      <w:r w:rsidRPr="00430D32">
        <w:rPr>
          <w:rFonts w:ascii="標楷體" w:eastAsia="標楷體" w:hAnsi="標楷體" w:cs="Times New Roman" w:hint="eastAsia"/>
          <w:szCs w:val="24"/>
        </w:rPr>
        <w:t>112</w:t>
      </w:r>
      <w:proofErr w:type="gramEnd"/>
      <w:r w:rsidRPr="00430D32">
        <w:rPr>
          <w:rFonts w:ascii="標楷體" w:eastAsia="標楷體" w:hAnsi="標楷體" w:cs="Times New Roman" w:hint="eastAsia"/>
          <w:szCs w:val="24"/>
        </w:rPr>
        <w:t>年度增加者，計有臺北市地方教育發展基金及臺北市環境保護基金等2個基金之</w:t>
      </w:r>
      <w:r w:rsidRPr="00430D32">
        <w:rPr>
          <w:rFonts w:ascii="標楷體" w:eastAsia="標楷體" w:hAnsi="標楷體" w:cs="Times New Roman"/>
          <w:szCs w:val="24"/>
        </w:rPr>
        <w:t>7</w:t>
      </w:r>
      <w:r w:rsidRPr="00430D32">
        <w:rPr>
          <w:rFonts w:ascii="標楷體" w:eastAsia="標楷體" w:hAnsi="標楷體" w:cs="Times New Roman" w:hint="eastAsia"/>
          <w:szCs w:val="24"/>
        </w:rPr>
        <w:t>項業務計畫</w:t>
      </w:r>
      <w:r w:rsidRPr="00430D32">
        <w:rPr>
          <w:rFonts w:hAnsi="標楷體" w:hint="eastAsia"/>
          <w:szCs w:val="24"/>
        </w:rPr>
        <w:t>（</w:t>
      </w:r>
      <w:r w:rsidRPr="00430D32">
        <w:rPr>
          <w:rFonts w:ascii="標楷體" w:eastAsia="標楷體" w:hAnsi="標楷體" w:cs="Times New Roman"/>
          <w:szCs w:val="24"/>
        </w:rPr>
        <w:t>表6</w:t>
      </w:r>
      <w:r w:rsidRPr="00430D32">
        <w:rPr>
          <w:rFonts w:hAnsi="標楷體" w:hint="eastAsia"/>
          <w:szCs w:val="24"/>
        </w:rPr>
        <w:t>）</w:t>
      </w:r>
      <w:r w:rsidRPr="00430D32">
        <w:rPr>
          <w:rFonts w:ascii="標楷體" w:eastAsia="標楷體" w:hAnsi="標楷體" w:cs="Times New Roman" w:hint="eastAsia"/>
          <w:szCs w:val="24"/>
        </w:rPr>
        <w:t>。顯示部分基金未依基金運作情形及實際需要</w:t>
      </w:r>
      <w:proofErr w:type="gramStart"/>
      <w:r w:rsidRPr="00430D32">
        <w:rPr>
          <w:rFonts w:ascii="標楷體" w:eastAsia="標楷體" w:hAnsi="標楷體" w:cs="Times New Roman" w:hint="eastAsia"/>
          <w:szCs w:val="24"/>
        </w:rPr>
        <w:t>覈</w:t>
      </w:r>
      <w:proofErr w:type="gramEnd"/>
      <w:r w:rsidRPr="00430D32">
        <w:rPr>
          <w:rFonts w:ascii="標楷體" w:eastAsia="標楷體" w:hAnsi="標楷體" w:cs="Times New Roman" w:hint="eastAsia"/>
          <w:szCs w:val="24"/>
        </w:rPr>
        <w:t>實編列預算，</w:t>
      </w:r>
      <w:proofErr w:type="gramStart"/>
      <w:r w:rsidRPr="00430D32">
        <w:rPr>
          <w:rFonts w:ascii="標楷體" w:eastAsia="標楷體" w:hAnsi="標楷體" w:cs="Times New Roman" w:hint="eastAsia"/>
          <w:szCs w:val="24"/>
        </w:rPr>
        <w:t>致屢有</w:t>
      </w:r>
      <w:proofErr w:type="gramEnd"/>
      <w:r w:rsidRPr="00430D32">
        <w:rPr>
          <w:rFonts w:ascii="標楷體" w:eastAsia="標楷體" w:hAnsi="標楷體" w:cs="Times New Roman" w:hint="eastAsia"/>
          <w:szCs w:val="24"/>
        </w:rPr>
        <w:t>超支</w:t>
      </w:r>
      <w:proofErr w:type="gramStart"/>
      <w:r w:rsidRPr="00430D32">
        <w:rPr>
          <w:rFonts w:ascii="標楷體" w:eastAsia="標楷體" w:hAnsi="標楷體" w:cs="Times New Roman" w:hint="eastAsia"/>
          <w:szCs w:val="24"/>
        </w:rPr>
        <w:t>併</w:t>
      </w:r>
      <w:proofErr w:type="gramEnd"/>
      <w:r w:rsidRPr="00430D32">
        <w:rPr>
          <w:rFonts w:ascii="標楷體" w:eastAsia="標楷體" w:hAnsi="標楷體" w:cs="Times New Roman" w:hint="eastAsia"/>
          <w:szCs w:val="24"/>
        </w:rPr>
        <w:t>決算之情事，經函請臺北市政府督促各該基金主管機關</w:t>
      </w:r>
      <w:proofErr w:type="gramStart"/>
      <w:r w:rsidRPr="00430D32">
        <w:rPr>
          <w:rFonts w:ascii="標楷體" w:eastAsia="標楷體" w:hAnsi="標楷體" w:cs="Times New Roman" w:hint="eastAsia"/>
          <w:szCs w:val="24"/>
        </w:rPr>
        <w:t>研</w:t>
      </w:r>
      <w:proofErr w:type="gramEnd"/>
      <w:r w:rsidRPr="00430D32">
        <w:rPr>
          <w:rFonts w:ascii="標楷體" w:eastAsia="標楷體" w:hAnsi="標楷體" w:cs="Times New Roman" w:hint="eastAsia"/>
          <w:szCs w:val="24"/>
        </w:rPr>
        <w:t>謀改善，以強化</w:t>
      </w:r>
      <w:r w:rsidRPr="00430D32">
        <w:rPr>
          <w:rFonts w:ascii="標楷體" w:eastAsia="標楷體" w:hAnsi="標楷體" w:cs="Times New Roman"/>
          <w:szCs w:val="24"/>
        </w:rPr>
        <w:t>預算及計畫管理</w:t>
      </w:r>
      <w:r w:rsidRPr="00430D32">
        <w:rPr>
          <w:rFonts w:ascii="標楷體" w:eastAsia="標楷體" w:hAnsi="標楷體" w:cs="Times New Roman" w:hint="eastAsia"/>
          <w:szCs w:val="24"/>
        </w:rPr>
        <w:t>功能，發揮財務運用效益。據復：針對各基金超支</w:t>
      </w:r>
      <w:proofErr w:type="gramStart"/>
      <w:r w:rsidRPr="00430D32">
        <w:rPr>
          <w:rFonts w:ascii="標楷體" w:eastAsia="標楷體" w:hAnsi="標楷體" w:cs="Times New Roman" w:hint="eastAsia"/>
          <w:szCs w:val="24"/>
        </w:rPr>
        <w:t>併</w:t>
      </w:r>
      <w:proofErr w:type="gramEnd"/>
      <w:r w:rsidRPr="00430D32">
        <w:rPr>
          <w:rFonts w:ascii="標楷體" w:eastAsia="標楷體" w:hAnsi="標楷體" w:cs="Times New Roman" w:hint="eastAsia"/>
          <w:szCs w:val="24"/>
        </w:rPr>
        <w:t>決算情形，已請相關基金主管機關進行檢討；未來於籌編年</w:t>
      </w:r>
      <w:proofErr w:type="gramStart"/>
      <w:r w:rsidRPr="00430D32">
        <w:rPr>
          <w:rFonts w:ascii="標楷體" w:eastAsia="標楷體" w:hAnsi="標楷體" w:cs="Times New Roman" w:hint="eastAsia"/>
          <w:szCs w:val="24"/>
        </w:rPr>
        <w:t>度概</w:t>
      </w:r>
      <w:r w:rsidRPr="00430D32">
        <w:rPr>
          <w:rFonts w:hAnsi="標楷體" w:hint="eastAsia"/>
          <w:szCs w:val="24"/>
        </w:rPr>
        <w:t>（</w:t>
      </w:r>
      <w:proofErr w:type="gramEnd"/>
      <w:r w:rsidRPr="00430D32">
        <w:rPr>
          <w:rFonts w:ascii="標楷體" w:eastAsia="標楷體" w:hAnsi="標楷體" w:cs="Times New Roman" w:hint="eastAsia"/>
          <w:szCs w:val="24"/>
        </w:rPr>
        <w:t>預</w:t>
      </w:r>
      <w:r w:rsidRPr="00430D32">
        <w:rPr>
          <w:rFonts w:hAnsi="標楷體" w:hint="eastAsia"/>
          <w:szCs w:val="24"/>
        </w:rPr>
        <w:t>）</w:t>
      </w:r>
      <w:r w:rsidRPr="00430D32">
        <w:rPr>
          <w:rFonts w:ascii="標楷體" w:eastAsia="標楷體" w:hAnsi="標楷體" w:cs="Times New Roman" w:hint="eastAsia"/>
          <w:szCs w:val="24"/>
        </w:rPr>
        <w:t>算時，亦將持續督促各基金依基金運作情形及實際需要核實編列預算，以強化預算及計畫管理。</w:t>
      </w:r>
    </w:p>
    <w:p w14:paraId="777860B9" w14:textId="77777777" w:rsidR="0029756E" w:rsidRPr="00430D32" w:rsidRDefault="0029756E" w:rsidP="0029756E">
      <w:pPr>
        <w:widowControl/>
        <w:spacing w:line="400" w:lineRule="exact"/>
        <w:ind w:leftChars="295" w:left="708" w:firstLineChars="40" w:firstLine="96"/>
        <w:jc w:val="center"/>
        <w:rPr>
          <w:rFonts w:ascii="標楷體" w:eastAsia="標楷體" w:hAnsi="標楷體"/>
          <w:b/>
          <w:szCs w:val="24"/>
        </w:rPr>
      </w:pPr>
      <w:r w:rsidRPr="00430D32">
        <w:rPr>
          <w:rFonts w:ascii="標楷體" w:eastAsia="標楷體" w:hAnsi="標楷體" w:hint="eastAsia"/>
          <w:b/>
          <w:szCs w:val="24"/>
        </w:rPr>
        <w:t>表</w:t>
      </w:r>
      <w:r w:rsidRPr="00430D32">
        <w:rPr>
          <w:rFonts w:ascii="標楷體" w:eastAsia="標楷體" w:hAnsi="標楷體"/>
          <w:b/>
          <w:szCs w:val="24"/>
        </w:rPr>
        <w:t>6</w:t>
      </w:r>
      <w:r w:rsidRPr="00430D32">
        <w:rPr>
          <w:rFonts w:ascii="標楷體" w:eastAsia="標楷體" w:hAnsi="標楷體" w:hint="eastAsia"/>
          <w:b/>
          <w:szCs w:val="24"/>
        </w:rPr>
        <w:t xml:space="preserve">　</w:t>
      </w:r>
      <w:r w:rsidRPr="00430D32">
        <w:rPr>
          <w:rFonts w:ascii="標楷體" w:eastAsia="標楷體" w:hAnsi="標楷體"/>
          <w:b/>
          <w:szCs w:val="24"/>
        </w:rPr>
        <w:t>特別收入基金</w:t>
      </w:r>
      <w:r w:rsidRPr="00430D32">
        <w:rPr>
          <w:rFonts w:ascii="標楷體" w:eastAsia="標楷體" w:hAnsi="標楷體" w:hint="eastAsia"/>
          <w:b/>
          <w:szCs w:val="24"/>
        </w:rPr>
        <w:t>主要業務計畫執行結果</w:t>
      </w:r>
      <w:proofErr w:type="gramStart"/>
      <w:r w:rsidRPr="00430D32">
        <w:rPr>
          <w:rFonts w:ascii="標楷體" w:eastAsia="標楷體" w:hAnsi="標楷體" w:hint="eastAsia"/>
          <w:b/>
          <w:szCs w:val="24"/>
        </w:rPr>
        <w:t>採</w:t>
      </w:r>
      <w:proofErr w:type="gramEnd"/>
      <w:r w:rsidRPr="00430D32">
        <w:rPr>
          <w:rFonts w:ascii="標楷體" w:eastAsia="標楷體" w:hAnsi="標楷體"/>
          <w:b/>
          <w:szCs w:val="24"/>
        </w:rPr>
        <w:t>超支</w:t>
      </w:r>
      <w:proofErr w:type="gramStart"/>
      <w:r w:rsidRPr="00430D32">
        <w:rPr>
          <w:rFonts w:ascii="標楷體" w:eastAsia="標楷體" w:hAnsi="標楷體"/>
          <w:b/>
          <w:szCs w:val="24"/>
        </w:rPr>
        <w:t>併</w:t>
      </w:r>
      <w:proofErr w:type="gramEnd"/>
      <w:r w:rsidRPr="00430D32">
        <w:rPr>
          <w:rFonts w:ascii="標楷體" w:eastAsia="標楷體" w:hAnsi="標楷體"/>
          <w:b/>
          <w:szCs w:val="24"/>
        </w:rPr>
        <w:t>決算</w:t>
      </w:r>
      <w:r w:rsidRPr="00430D32">
        <w:rPr>
          <w:rFonts w:ascii="標楷體" w:eastAsia="標楷體" w:hAnsi="標楷體" w:hint="eastAsia"/>
          <w:b/>
          <w:szCs w:val="24"/>
        </w:rPr>
        <w:t>辦理概況</w:t>
      </w:r>
    </w:p>
    <w:p w14:paraId="6023A0AD" w14:textId="77777777" w:rsidR="0029756E" w:rsidRPr="00430D32" w:rsidRDefault="0029756E" w:rsidP="002801ED">
      <w:pPr>
        <w:widowControl/>
        <w:spacing w:line="400" w:lineRule="exact"/>
        <w:ind w:leftChars="100" w:left="240" w:rightChars="150" w:right="360"/>
        <w:jc w:val="right"/>
        <w:rPr>
          <w:rFonts w:ascii="標楷體" w:eastAsia="標楷體" w:hAnsi="標楷體"/>
          <w:sz w:val="20"/>
          <w:szCs w:val="20"/>
        </w:rPr>
      </w:pPr>
      <w:r w:rsidRPr="00430D32">
        <w:rPr>
          <w:rFonts w:ascii="標楷體" w:eastAsia="標楷體" w:hAnsi="標楷體"/>
          <w:sz w:val="20"/>
          <w:szCs w:val="20"/>
        </w:rPr>
        <w:t>單位</w:t>
      </w:r>
      <w:r w:rsidRPr="00430D32">
        <w:rPr>
          <w:rFonts w:ascii="標楷體" w:eastAsia="標楷體" w:hAnsi="標楷體" w:hint="eastAsia"/>
          <w:sz w:val="20"/>
          <w:szCs w:val="20"/>
        </w:rPr>
        <w:t>：新臺幣千元、％</w:t>
      </w:r>
    </w:p>
    <w:tbl>
      <w:tblPr>
        <w:tblStyle w:val="a6"/>
        <w:tblW w:w="9491" w:type="dxa"/>
        <w:jc w:val="center"/>
        <w:tblLook w:val="04A0" w:firstRow="1" w:lastRow="0" w:firstColumn="1" w:lastColumn="0" w:noHBand="0" w:noVBand="1"/>
      </w:tblPr>
      <w:tblGrid>
        <w:gridCol w:w="2268"/>
        <w:gridCol w:w="2268"/>
        <w:gridCol w:w="2202"/>
        <w:gridCol w:w="592"/>
        <w:gridCol w:w="1345"/>
        <w:gridCol w:w="816"/>
      </w:tblGrid>
      <w:tr w:rsidR="0029756E" w:rsidRPr="00430D32" w14:paraId="3592E9ED" w14:textId="77777777" w:rsidTr="00464B21">
        <w:trPr>
          <w:tblHeader/>
          <w:jc w:val="center"/>
        </w:trPr>
        <w:tc>
          <w:tcPr>
            <w:tcW w:w="2268" w:type="dxa"/>
            <w:vAlign w:val="center"/>
          </w:tcPr>
          <w:p w14:paraId="51D7F645" w14:textId="77777777" w:rsidR="0029756E" w:rsidRPr="00430D32" w:rsidRDefault="0029756E" w:rsidP="00520D58">
            <w:pPr>
              <w:overflowPunct w:val="0"/>
              <w:spacing w:line="240" w:lineRule="exact"/>
              <w:contextualSpacing/>
              <w:jc w:val="center"/>
              <w:rPr>
                <w:rFonts w:ascii="標楷體" w:eastAsia="標楷體" w:hAnsi="標楷體"/>
                <w:shd w:val="clear" w:color="auto" w:fill="FFFFFF" w:themeFill="background1"/>
              </w:rPr>
            </w:pPr>
            <w:r w:rsidRPr="00430D32">
              <w:rPr>
                <w:rFonts w:ascii="標楷體" w:eastAsia="標楷體" w:hAnsi="標楷體" w:hint="eastAsia"/>
                <w:shd w:val="clear" w:color="auto" w:fill="FFFFFF" w:themeFill="background1"/>
              </w:rPr>
              <w:t>附屬單位預算名稱</w:t>
            </w:r>
          </w:p>
        </w:tc>
        <w:tc>
          <w:tcPr>
            <w:tcW w:w="2268" w:type="dxa"/>
            <w:tcBorders>
              <w:bottom w:val="single" w:sz="4" w:space="0" w:color="auto"/>
            </w:tcBorders>
            <w:vAlign w:val="center"/>
          </w:tcPr>
          <w:p w14:paraId="650FA4B5" w14:textId="77777777" w:rsidR="0029756E" w:rsidRPr="00430D32" w:rsidRDefault="0029756E" w:rsidP="00520D58">
            <w:pPr>
              <w:overflowPunct w:val="0"/>
              <w:spacing w:line="240" w:lineRule="exact"/>
              <w:contextualSpacing/>
              <w:jc w:val="center"/>
              <w:rPr>
                <w:rFonts w:ascii="標楷體" w:eastAsia="標楷體" w:hAnsi="標楷體"/>
                <w:shd w:val="clear" w:color="auto" w:fill="FFFFFF" w:themeFill="background1"/>
              </w:rPr>
            </w:pPr>
            <w:r w:rsidRPr="00430D32">
              <w:rPr>
                <w:rFonts w:ascii="標楷體" w:eastAsia="標楷體" w:hAnsi="標楷體"/>
                <w:shd w:val="clear" w:color="auto" w:fill="FFFFFF" w:themeFill="background1"/>
              </w:rPr>
              <w:t>附屬單位預算之分預算</w:t>
            </w:r>
          </w:p>
        </w:tc>
        <w:tc>
          <w:tcPr>
            <w:tcW w:w="2202" w:type="dxa"/>
            <w:vAlign w:val="center"/>
          </w:tcPr>
          <w:p w14:paraId="242EA652" w14:textId="77777777" w:rsidR="0029756E" w:rsidRPr="00430D32" w:rsidRDefault="0029756E" w:rsidP="00520D58">
            <w:pPr>
              <w:overflowPunct w:val="0"/>
              <w:spacing w:line="240" w:lineRule="exact"/>
              <w:contextualSpacing/>
              <w:jc w:val="center"/>
              <w:rPr>
                <w:rFonts w:ascii="標楷體" w:eastAsia="標楷體" w:hAnsi="標楷體"/>
                <w:spacing w:val="-8"/>
                <w:shd w:val="clear" w:color="auto" w:fill="FFFFFF" w:themeFill="background1"/>
              </w:rPr>
            </w:pPr>
            <w:r w:rsidRPr="00430D32">
              <w:rPr>
                <w:rFonts w:ascii="標楷體" w:eastAsia="標楷體" w:hAnsi="標楷體" w:hint="eastAsia"/>
                <w:spacing w:val="-8"/>
                <w:shd w:val="clear" w:color="auto" w:fill="FFFFFF" w:themeFill="background1"/>
              </w:rPr>
              <w:t>主要</w:t>
            </w:r>
            <w:r w:rsidRPr="00430D32">
              <w:rPr>
                <w:rFonts w:ascii="標楷體" w:eastAsia="標楷體" w:hAnsi="標楷體"/>
                <w:spacing w:val="-8"/>
                <w:shd w:val="clear" w:color="auto" w:fill="FFFFFF" w:themeFill="background1"/>
              </w:rPr>
              <w:t>業務計畫名稱</w:t>
            </w:r>
            <w:r w:rsidRPr="00430D32">
              <w:rPr>
                <w:rFonts w:ascii="標楷體" w:eastAsia="標楷體" w:hAnsi="標楷體" w:hint="eastAsia"/>
                <w:spacing w:val="-8"/>
                <w:shd w:val="clear" w:color="auto" w:fill="FFFFFF" w:themeFill="background1"/>
              </w:rPr>
              <w:t>(</w:t>
            </w:r>
            <w:proofErr w:type="gramStart"/>
            <w:r w:rsidRPr="00430D32">
              <w:rPr>
                <w:rFonts w:ascii="標楷體" w:eastAsia="標楷體" w:hAnsi="標楷體" w:hint="eastAsia"/>
                <w:spacing w:val="-8"/>
                <w:shd w:val="clear" w:color="auto" w:fill="FFFFFF" w:themeFill="background1"/>
              </w:rPr>
              <w:t>註</w:t>
            </w:r>
            <w:proofErr w:type="gramEnd"/>
            <w:r w:rsidRPr="00430D32">
              <w:rPr>
                <w:rFonts w:ascii="標楷體" w:eastAsia="標楷體" w:hAnsi="標楷體" w:hint="eastAsia"/>
                <w:spacing w:val="-8"/>
                <w:shd w:val="clear" w:color="auto" w:fill="FFFFFF" w:themeFill="background1"/>
              </w:rPr>
              <w:t>1</w:t>
            </w:r>
            <w:r w:rsidRPr="00430D32">
              <w:rPr>
                <w:rFonts w:ascii="標楷體" w:eastAsia="標楷體" w:hAnsi="標楷體"/>
                <w:spacing w:val="-8"/>
                <w:shd w:val="clear" w:color="auto" w:fill="FFFFFF" w:themeFill="background1"/>
              </w:rPr>
              <w:t>)</w:t>
            </w:r>
          </w:p>
        </w:tc>
        <w:tc>
          <w:tcPr>
            <w:tcW w:w="592" w:type="dxa"/>
            <w:vAlign w:val="center"/>
          </w:tcPr>
          <w:p w14:paraId="2CAF6737" w14:textId="77777777" w:rsidR="0029756E" w:rsidRPr="00430D32" w:rsidRDefault="0029756E" w:rsidP="00520D58">
            <w:pPr>
              <w:overflowPunct w:val="0"/>
              <w:spacing w:line="240" w:lineRule="exact"/>
              <w:contextualSpacing/>
              <w:jc w:val="center"/>
              <w:rPr>
                <w:rFonts w:ascii="標楷體" w:eastAsia="標楷體" w:hAnsi="標楷體"/>
                <w:spacing w:val="-8"/>
                <w:shd w:val="clear" w:color="auto" w:fill="FFFFFF" w:themeFill="background1"/>
              </w:rPr>
            </w:pPr>
            <w:r w:rsidRPr="00430D32">
              <w:rPr>
                <w:rFonts w:ascii="標楷體" w:eastAsia="標楷體" w:hAnsi="標楷體" w:hint="eastAsia"/>
                <w:spacing w:val="-8"/>
                <w:shd w:val="clear" w:color="auto" w:fill="FFFFFF" w:themeFill="background1"/>
              </w:rPr>
              <w:t>年度</w:t>
            </w:r>
          </w:p>
        </w:tc>
        <w:tc>
          <w:tcPr>
            <w:tcW w:w="1345" w:type="dxa"/>
            <w:vAlign w:val="center"/>
          </w:tcPr>
          <w:p w14:paraId="60177123" w14:textId="77777777" w:rsidR="0029756E" w:rsidRPr="00430D32" w:rsidRDefault="0029756E" w:rsidP="00520D58">
            <w:pPr>
              <w:overflowPunct w:val="0"/>
              <w:spacing w:line="240" w:lineRule="exact"/>
              <w:contextualSpacing/>
              <w:jc w:val="center"/>
              <w:rPr>
                <w:rFonts w:ascii="標楷體" w:eastAsia="標楷體" w:hAnsi="標楷體"/>
                <w:spacing w:val="-8"/>
                <w:shd w:val="clear" w:color="auto" w:fill="FFFFFF" w:themeFill="background1"/>
              </w:rPr>
            </w:pPr>
            <w:r w:rsidRPr="00430D32">
              <w:rPr>
                <w:rFonts w:ascii="標楷體" w:eastAsia="標楷體" w:hAnsi="標楷體" w:hint="eastAsia"/>
                <w:spacing w:val="-8"/>
                <w:shd w:val="clear" w:color="auto" w:fill="FFFFFF" w:themeFill="background1"/>
              </w:rPr>
              <w:t>超支</w:t>
            </w:r>
            <w:proofErr w:type="gramStart"/>
            <w:r w:rsidRPr="00430D32">
              <w:rPr>
                <w:rFonts w:ascii="標楷體" w:eastAsia="標楷體" w:hAnsi="標楷體" w:hint="eastAsia"/>
                <w:spacing w:val="-8"/>
                <w:shd w:val="clear" w:color="auto" w:fill="FFFFFF" w:themeFill="background1"/>
              </w:rPr>
              <w:t>併</w:t>
            </w:r>
            <w:proofErr w:type="gramEnd"/>
            <w:r w:rsidRPr="00430D32">
              <w:rPr>
                <w:rFonts w:ascii="標楷體" w:eastAsia="標楷體" w:hAnsi="標楷體" w:hint="eastAsia"/>
                <w:spacing w:val="-8"/>
                <w:shd w:val="clear" w:color="auto" w:fill="FFFFFF" w:themeFill="background1"/>
              </w:rPr>
              <w:t>決算數</w:t>
            </w:r>
          </w:p>
        </w:tc>
        <w:tc>
          <w:tcPr>
            <w:tcW w:w="0" w:type="auto"/>
            <w:vAlign w:val="center"/>
          </w:tcPr>
          <w:p w14:paraId="7E5C227A" w14:textId="77777777" w:rsidR="0029756E" w:rsidRPr="00430D32" w:rsidRDefault="0029756E" w:rsidP="00520D58">
            <w:pPr>
              <w:overflowPunct w:val="0"/>
              <w:spacing w:line="240" w:lineRule="exact"/>
              <w:contextualSpacing/>
              <w:jc w:val="center"/>
              <w:rPr>
                <w:rFonts w:ascii="標楷體" w:eastAsia="標楷體" w:hAnsi="標楷體"/>
                <w:shd w:val="clear" w:color="auto" w:fill="FFFFFF" w:themeFill="background1"/>
              </w:rPr>
            </w:pPr>
            <w:r w:rsidRPr="00430D32">
              <w:rPr>
                <w:rFonts w:ascii="標楷體" w:eastAsia="標楷體" w:hAnsi="標楷體" w:hint="eastAsia"/>
                <w:shd w:val="clear" w:color="auto" w:fill="FFFFFF" w:themeFill="background1"/>
              </w:rPr>
              <w:t>超支</w:t>
            </w:r>
          </w:p>
          <w:p w14:paraId="2FA3AF90" w14:textId="77777777" w:rsidR="0029756E" w:rsidRPr="00430D32" w:rsidRDefault="0029756E" w:rsidP="00520D58">
            <w:pPr>
              <w:overflowPunct w:val="0"/>
              <w:spacing w:line="240" w:lineRule="exact"/>
              <w:contextualSpacing/>
              <w:jc w:val="center"/>
              <w:rPr>
                <w:rFonts w:ascii="標楷體" w:eastAsia="標楷體" w:hAnsi="標楷體"/>
                <w:shd w:val="clear" w:color="auto" w:fill="FFFFFF" w:themeFill="background1"/>
              </w:rPr>
            </w:pPr>
            <w:r w:rsidRPr="00430D32">
              <w:rPr>
                <w:rFonts w:ascii="標楷體" w:eastAsia="標楷體" w:hAnsi="標楷體" w:hint="eastAsia"/>
                <w:shd w:val="clear" w:color="auto" w:fill="FFFFFF" w:themeFill="background1"/>
              </w:rPr>
              <w:t>比率</w:t>
            </w:r>
          </w:p>
        </w:tc>
      </w:tr>
      <w:tr w:rsidR="00464B21" w:rsidRPr="00430D32" w14:paraId="09DEE886" w14:textId="77777777" w:rsidTr="00464B21">
        <w:trPr>
          <w:jc w:val="center"/>
        </w:trPr>
        <w:tc>
          <w:tcPr>
            <w:tcW w:w="2268" w:type="dxa"/>
            <w:vMerge w:val="restart"/>
            <w:vAlign w:val="center"/>
          </w:tcPr>
          <w:p w14:paraId="6024EEEE"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r w:rsidRPr="00430D32">
              <w:rPr>
                <w:rFonts w:ascii="標楷體" w:eastAsia="標楷體" w:hAnsi="標楷體" w:hint="eastAsia"/>
                <w:shd w:val="clear" w:color="auto" w:fill="FFFFFF" w:themeFill="background1"/>
              </w:rPr>
              <w:t>1.臺北市道路基金</w:t>
            </w:r>
          </w:p>
        </w:tc>
        <w:tc>
          <w:tcPr>
            <w:tcW w:w="2268" w:type="dxa"/>
            <w:vMerge w:val="restart"/>
            <w:tcBorders>
              <w:tl2br w:val="single" w:sz="4" w:space="0" w:color="auto"/>
            </w:tcBorders>
            <w:vAlign w:val="center"/>
          </w:tcPr>
          <w:p w14:paraId="03EF0565" w14:textId="75BFCEDC" w:rsidR="00464B21" w:rsidRPr="00430D32" w:rsidRDefault="00464B21" w:rsidP="00520D58">
            <w:pPr>
              <w:spacing w:line="240" w:lineRule="exact"/>
              <w:jc w:val="center"/>
              <w:rPr>
                <w:rFonts w:ascii="標楷體" w:eastAsia="標楷體" w:hAnsi="標楷體"/>
              </w:rPr>
            </w:pPr>
          </w:p>
        </w:tc>
        <w:tc>
          <w:tcPr>
            <w:tcW w:w="2202" w:type="dxa"/>
            <w:vMerge w:val="restart"/>
            <w:vAlign w:val="center"/>
          </w:tcPr>
          <w:p w14:paraId="03AE9A82" w14:textId="77777777" w:rsidR="00464B21" w:rsidRPr="00430D32" w:rsidRDefault="00464B21" w:rsidP="00520D58">
            <w:pPr>
              <w:spacing w:line="240" w:lineRule="exact"/>
              <w:rPr>
                <w:rFonts w:ascii="標楷體" w:eastAsia="標楷體" w:hAnsi="標楷體"/>
              </w:rPr>
            </w:pPr>
            <w:r w:rsidRPr="00430D32">
              <w:rPr>
                <w:rFonts w:ascii="標楷體" w:eastAsia="標楷體" w:hAnsi="標楷體" w:hint="eastAsia"/>
              </w:rPr>
              <w:t>道路修復計畫</w:t>
            </w:r>
          </w:p>
        </w:tc>
        <w:tc>
          <w:tcPr>
            <w:tcW w:w="592" w:type="dxa"/>
            <w:vAlign w:val="center"/>
          </w:tcPr>
          <w:p w14:paraId="5C6A2426"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112</w:t>
            </w:r>
          </w:p>
        </w:tc>
        <w:tc>
          <w:tcPr>
            <w:tcW w:w="1345" w:type="dxa"/>
            <w:vAlign w:val="center"/>
          </w:tcPr>
          <w:p w14:paraId="6EF9A51C" w14:textId="77777777" w:rsidR="00464B21" w:rsidRPr="00430D32" w:rsidRDefault="00464B21" w:rsidP="00520D58">
            <w:pPr>
              <w:spacing w:line="240" w:lineRule="exact"/>
              <w:jc w:val="right"/>
              <w:rPr>
                <w:rFonts w:ascii="標楷體" w:eastAsia="標楷體" w:hAnsi="標楷體"/>
              </w:rPr>
            </w:pPr>
            <w:r w:rsidRPr="00430D32">
              <w:rPr>
                <w:rFonts w:ascii="標楷體" w:eastAsia="標楷體" w:hAnsi="標楷體" w:hint="eastAsia"/>
              </w:rPr>
              <w:t xml:space="preserve">    2,672 </w:t>
            </w:r>
          </w:p>
        </w:tc>
        <w:tc>
          <w:tcPr>
            <w:tcW w:w="0" w:type="auto"/>
            <w:vAlign w:val="center"/>
          </w:tcPr>
          <w:p w14:paraId="7A40252B" w14:textId="77777777" w:rsidR="00464B21" w:rsidRPr="00430D32" w:rsidRDefault="00464B21" w:rsidP="00520D58">
            <w:pPr>
              <w:spacing w:line="240" w:lineRule="exact"/>
              <w:jc w:val="right"/>
              <w:rPr>
                <w:rFonts w:ascii="標楷體" w:eastAsia="標楷體" w:hAnsi="標楷體"/>
              </w:rPr>
            </w:pPr>
            <w:r w:rsidRPr="00430D32">
              <w:rPr>
                <w:rFonts w:ascii="標楷體" w:eastAsia="標楷體" w:hAnsi="標楷體" w:hint="eastAsia"/>
              </w:rPr>
              <w:t>3.94</w:t>
            </w:r>
          </w:p>
        </w:tc>
      </w:tr>
      <w:tr w:rsidR="00464B21" w:rsidRPr="00430D32" w14:paraId="6973FC2C" w14:textId="77777777" w:rsidTr="000151BD">
        <w:trPr>
          <w:jc w:val="center"/>
        </w:trPr>
        <w:tc>
          <w:tcPr>
            <w:tcW w:w="2268" w:type="dxa"/>
            <w:vMerge/>
            <w:vAlign w:val="center"/>
          </w:tcPr>
          <w:p w14:paraId="478B0092"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vAlign w:val="center"/>
          </w:tcPr>
          <w:p w14:paraId="3AA1BB1B" w14:textId="77777777" w:rsidR="00464B21" w:rsidRPr="00430D32" w:rsidRDefault="00464B21" w:rsidP="00520D58">
            <w:pPr>
              <w:spacing w:line="240" w:lineRule="exact"/>
              <w:jc w:val="center"/>
              <w:rPr>
                <w:rFonts w:ascii="標楷體" w:eastAsia="標楷體" w:hAnsi="標楷體"/>
              </w:rPr>
            </w:pPr>
          </w:p>
        </w:tc>
        <w:tc>
          <w:tcPr>
            <w:tcW w:w="2202" w:type="dxa"/>
            <w:vMerge/>
          </w:tcPr>
          <w:p w14:paraId="6993BB05" w14:textId="77777777" w:rsidR="00464B21" w:rsidRPr="00430D32" w:rsidRDefault="00464B21" w:rsidP="00520D58">
            <w:pPr>
              <w:spacing w:line="240" w:lineRule="exact"/>
              <w:rPr>
                <w:rFonts w:ascii="標楷體" w:eastAsia="標楷體" w:hAnsi="標楷體"/>
              </w:rPr>
            </w:pPr>
          </w:p>
        </w:tc>
        <w:tc>
          <w:tcPr>
            <w:tcW w:w="592" w:type="dxa"/>
            <w:vAlign w:val="center"/>
          </w:tcPr>
          <w:p w14:paraId="637AA234"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113</w:t>
            </w:r>
          </w:p>
        </w:tc>
        <w:tc>
          <w:tcPr>
            <w:tcW w:w="1345" w:type="dxa"/>
            <w:vAlign w:val="center"/>
          </w:tcPr>
          <w:p w14:paraId="72AD9A9A" w14:textId="77777777" w:rsidR="00464B21" w:rsidRPr="00430D32" w:rsidRDefault="00464B21" w:rsidP="00520D58">
            <w:pPr>
              <w:spacing w:line="240" w:lineRule="exact"/>
              <w:jc w:val="right"/>
              <w:rPr>
                <w:rFonts w:ascii="標楷體" w:eastAsia="標楷體" w:hAnsi="標楷體"/>
              </w:rPr>
            </w:pPr>
            <w:r w:rsidRPr="00430D32">
              <w:rPr>
                <w:rFonts w:ascii="標楷體" w:eastAsia="標楷體" w:hAnsi="標楷體" w:hint="eastAsia"/>
              </w:rPr>
              <w:t xml:space="preserve">      742 </w:t>
            </w:r>
          </w:p>
        </w:tc>
        <w:tc>
          <w:tcPr>
            <w:tcW w:w="0" w:type="auto"/>
            <w:vAlign w:val="center"/>
          </w:tcPr>
          <w:p w14:paraId="0910ED80" w14:textId="77777777" w:rsidR="00464B21" w:rsidRPr="00430D32" w:rsidRDefault="00464B21" w:rsidP="00520D58">
            <w:pPr>
              <w:spacing w:line="240" w:lineRule="exact"/>
              <w:jc w:val="right"/>
              <w:rPr>
                <w:rFonts w:ascii="標楷體" w:eastAsia="標楷體" w:hAnsi="標楷體"/>
              </w:rPr>
            </w:pPr>
            <w:r w:rsidRPr="00430D32">
              <w:rPr>
                <w:rFonts w:ascii="標楷體" w:eastAsia="標楷體" w:hAnsi="標楷體" w:hint="eastAsia"/>
              </w:rPr>
              <w:t>1.02</w:t>
            </w:r>
          </w:p>
        </w:tc>
      </w:tr>
      <w:tr w:rsidR="00464B21" w:rsidRPr="00430D32" w14:paraId="02E1B8B0" w14:textId="77777777" w:rsidTr="00464B21">
        <w:trPr>
          <w:jc w:val="center"/>
        </w:trPr>
        <w:tc>
          <w:tcPr>
            <w:tcW w:w="2268" w:type="dxa"/>
            <w:vMerge w:val="restart"/>
            <w:vAlign w:val="center"/>
          </w:tcPr>
          <w:p w14:paraId="219E186D"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r w:rsidRPr="00430D32">
              <w:rPr>
                <w:rFonts w:ascii="標楷體" w:eastAsia="標楷體" w:hAnsi="標楷體" w:hint="eastAsia"/>
                <w:shd w:val="clear" w:color="auto" w:fill="FFFFFF" w:themeFill="background1"/>
              </w:rPr>
              <w:t>2</w:t>
            </w:r>
            <w:r w:rsidRPr="00430D32">
              <w:rPr>
                <w:rFonts w:ascii="標楷體" w:eastAsia="標楷體" w:hAnsi="標楷體"/>
                <w:shd w:val="clear" w:color="auto" w:fill="FFFFFF" w:themeFill="background1"/>
              </w:rPr>
              <w:t>.</w:t>
            </w:r>
            <w:r w:rsidRPr="00430D32">
              <w:rPr>
                <w:rFonts w:ascii="標楷體" w:eastAsia="標楷體" w:hAnsi="標楷體" w:hint="eastAsia"/>
                <w:shd w:val="clear" w:color="auto" w:fill="FFFFFF" w:themeFill="background1"/>
              </w:rPr>
              <w:t>臺北市容積代金基金</w:t>
            </w:r>
          </w:p>
        </w:tc>
        <w:tc>
          <w:tcPr>
            <w:tcW w:w="2268" w:type="dxa"/>
            <w:vMerge/>
            <w:tcBorders>
              <w:tl2br w:val="single" w:sz="4" w:space="0" w:color="auto"/>
            </w:tcBorders>
            <w:vAlign w:val="center"/>
          </w:tcPr>
          <w:p w14:paraId="491BCB6A" w14:textId="5A6FC428" w:rsidR="00464B21" w:rsidRPr="00430D32" w:rsidRDefault="00464B21" w:rsidP="00520D58">
            <w:pPr>
              <w:spacing w:line="240" w:lineRule="exact"/>
              <w:jc w:val="center"/>
              <w:rPr>
                <w:rFonts w:ascii="標楷體" w:eastAsia="標楷體" w:hAnsi="標楷體"/>
              </w:rPr>
            </w:pPr>
          </w:p>
        </w:tc>
        <w:tc>
          <w:tcPr>
            <w:tcW w:w="2202" w:type="dxa"/>
            <w:vMerge w:val="restart"/>
            <w:vAlign w:val="center"/>
          </w:tcPr>
          <w:p w14:paraId="4A5775BA" w14:textId="77777777" w:rsidR="00464B21" w:rsidRPr="00430D32" w:rsidRDefault="00464B21" w:rsidP="00520D58">
            <w:pPr>
              <w:spacing w:line="240" w:lineRule="exact"/>
              <w:rPr>
                <w:rFonts w:ascii="標楷體" w:eastAsia="標楷體" w:hAnsi="標楷體"/>
                <w:spacing w:val="-14"/>
              </w:rPr>
            </w:pPr>
            <w:r w:rsidRPr="00430D32">
              <w:rPr>
                <w:rFonts w:ascii="標楷體" w:eastAsia="標楷體" w:hAnsi="標楷體" w:hint="eastAsia"/>
                <w:spacing w:val="-14"/>
              </w:rPr>
              <w:t>取得公共設施保留地計畫</w:t>
            </w:r>
          </w:p>
        </w:tc>
        <w:tc>
          <w:tcPr>
            <w:tcW w:w="592" w:type="dxa"/>
            <w:vAlign w:val="center"/>
          </w:tcPr>
          <w:p w14:paraId="184C40B5"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112</w:t>
            </w:r>
          </w:p>
        </w:tc>
        <w:tc>
          <w:tcPr>
            <w:tcW w:w="1345" w:type="dxa"/>
            <w:vAlign w:val="center"/>
          </w:tcPr>
          <w:p w14:paraId="405B14F4" w14:textId="77777777" w:rsidR="00464B21" w:rsidRPr="00430D32" w:rsidRDefault="00464B21" w:rsidP="00520D58">
            <w:pPr>
              <w:spacing w:line="240" w:lineRule="exact"/>
              <w:jc w:val="right"/>
              <w:rPr>
                <w:rFonts w:ascii="標楷體" w:eastAsia="標楷體" w:hAnsi="標楷體"/>
              </w:rPr>
            </w:pPr>
            <w:r w:rsidRPr="00430D32">
              <w:rPr>
                <w:rFonts w:ascii="標楷體" w:eastAsia="標楷體" w:hAnsi="標楷體" w:hint="eastAsia"/>
              </w:rPr>
              <w:t>5,506,599</w:t>
            </w:r>
          </w:p>
        </w:tc>
        <w:tc>
          <w:tcPr>
            <w:tcW w:w="0" w:type="auto"/>
            <w:vAlign w:val="center"/>
          </w:tcPr>
          <w:p w14:paraId="013FAD23" w14:textId="77777777" w:rsidR="00464B21" w:rsidRPr="00430D32" w:rsidRDefault="00464B21" w:rsidP="00520D58">
            <w:pPr>
              <w:spacing w:line="240" w:lineRule="exact"/>
              <w:jc w:val="right"/>
              <w:rPr>
                <w:rFonts w:ascii="標楷體" w:eastAsia="標楷體" w:hAnsi="標楷體"/>
              </w:rPr>
            </w:pPr>
            <w:r w:rsidRPr="00430D32">
              <w:rPr>
                <w:rFonts w:ascii="標楷體" w:eastAsia="標楷體" w:hAnsi="標楷體" w:hint="eastAsia"/>
              </w:rPr>
              <w:t>272.42</w:t>
            </w:r>
          </w:p>
        </w:tc>
      </w:tr>
      <w:tr w:rsidR="00464B21" w:rsidRPr="00430D32" w14:paraId="019F1F62" w14:textId="77777777" w:rsidTr="000151BD">
        <w:trPr>
          <w:jc w:val="center"/>
        </w:trPr>
        <w:tc>
          <w:tcPr>
            <w:tcW w:w="2268" w:type="dxa"/>
            <w:vMerge/>
            <w:vAlign w:val="center"/>
          </w:tcPr>
          <w:p w14:paraId="2876E86B"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vAlign w:val="center"/>
          </w:tcPr>
          <w:p w14:paraId="74BF23D9" w14:textId="77777777" w:rsidR="00464B21" w:rsidRPr="00430D32" w:rsidRDefault="00464B21" w:rsidP="00520D58">
            <w:pPr>
              <w:spacing w:line="240" w:lineRule="exact"/>
              <w:jc w:val="center"/>
              <w:rPr>
                <w:rFonts w:ascii="標楷體" w:eastAsia="標楷體" w:hAnsi="標楷體"/>
              </w:rPr>
            </w:pPr>
          </w:p>
        </w:tc>
        <w:tc>
          <w:tcPr>
            <w:tcW w:w="2202" w:type="dxa"/>
            <w:vMerge/>
          </w:tcPr>
          <w:p w14:paraId="63CF3E9E" w14:textId="77777777" w:rsidR="00464B21" w:rsidRPr="00430D32" w:rsidRDefault="00464B21" w:rsidP="00520D58">
            <w:pPr>
              <w:spacing w:line="240" w:lineRule="exact"/>
              <w:rPr>
                <w:rFonts w:ascii="標楷體" w:eastAsia="標楷體" w:hAnsi="標楷體"/>
              </w:rPr>
            </w:pPr>
          </w:p>
        </w:tc>
        <w:tc>
          <w:tcPr>
            <w:tcW w:w="592" w:type="dxa"/>
            <w:vAlign w:val="center"/>
          </w:tcPr>
          <w:p w14:paraId="20A22285"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113</w:t>
            </w:r>
          </w:p>
        </w:tc>
        <w:tc>
          <w:tcPr>
            <w:tcW w:w="1345" w:type="dxa"/>
            <w:vAlign w:val="center"/>
          </w:tcPr>
          <w:p w14:paraId="07130A1B" w14:textId="77777777" w:rsidR="00464B21" w:rsidRPr="00430D32" w:rsidRDefault="00464B21" w:rsidP="00520D58">
            <w:pPr>
              <w:spacing w:line="240" w:lineRule="exact"/>
              <w:jc w:val="right"/>
              <w:rPr>
                <w:rFonts w:ascii="標楷體" w:eastAsia="標楷體" w:hAnsi="標楷體"/>
              </w:rPr>
            </w:pPr>
            <w:r w:rsidRPr="00430D32">
              <w:rPr>
                <w:rFonts w:ascii="標楷體" w:eastAsia="標楷體" w:hAnsi="標楷體" w:hint="eastAsia"/>
              </w:rPr>
              <w:t>769,298</w:t>
            </w:r>
          </w:p>
        </w:tc>
        <w:tc>
          <w:tcPr>
            <w:tcW w:w="0" w:type="auto"/>
            <w:vAlign w:val="center"/>
          </w:tcPr>
          <w:p w14:paraId="007773B9" w14:textId="77777777" w:rsidR="00464B21" w:rsidRPr="00430D32" w:rsidRDefault="00464B21" w:rsidP="00520D58">
            <w:pPr>
              <w:spacing w:line="240" w:lineRule="exact"/>
              <w:jc w:val="right"/>
              <w:rPr>
                <w:rFonts w:ascii="標楷體" w:eastAsia="標楷體" w:hAnsi="標楷體"/>
              </w:rPr>
            </w:pPr>
            <w:r w:rsidRPr="00430D32">
              <w:rPr>
                <w:rFonts w:ascii="標楷體" w:eastAsia="標楷體" w:hAnsi="標楷體" w:hint="eastAsia"/>
              </w:rPr>
              <w:t>12.77</w:t>
            </w:r>
          </w:p>
        </w:tc>
      </w:tr>
      <w:tr w:rsidR="00464B21" w:rsidRPr="00430D32" w14:paraId="7F99A123" w14:textId="77777777" w:rsidTr="00464B21">
        <w:trPr>
          <w:jc w:val="center"/>
        </w:trPr>
        <w:tc>
          <w:tcPr>
            <w:tcW w:w="2268" w:type="dxa"/>
            <w:vMerge w:val="restart"/>
            <w:vAlign w:val="center"/>
          </w:tcPr>
          <w:p w14:paraId="5083954B" w14:textId="77777777" w:rsidR="00464B21" w:rsidRPr="00430D32" w:rsidRDefault="00464B21" w:rsidP="005A7C75">
            <w:pPr>
              <w:overflowPunct w:val="0"/>
              <w:spacing w:line="240" w:lineRule="exact"/>
              <w:ind w:left="200" w:hangingChars="100" w:hanging="200"/>
              <w:contextualSpacing/>
              <w:rPr>
                <w:rFonts w:ascii="標楷體" w:eastAsia="標楷體" w:hAnsi="標楷體"/>
                <w:shd w:val="clear" w:color="auto" w:fill="FFFFFF" w:themeFill="background1"/>
              </w:rPr>
            </w:pPr>
            <w:r w:rsidRPr="00430D32">
              <w:rPr>
                <w:rFonts w:ascii="標楷體" w:eastAsia="標楷體" w:hAnsi="標楷體" w:hint="eastAsia"/>
                <w:shd w:val="clear" w:color="auto" w:fill="FFFFFF" w:themeFill="background1"/>
              </w:rPr>
              <w:t>3</w:t>
            </w:r>
            <w:r w:rsidRPr="00430D32">
              <w:rPr>
                <w:rFonts w:ascii="標楷體" w:eastAsia="標楷體" w:hAnsi="標楷體"/>
                <w:shd w:val="clear" w:color="auto" w:fill="FFFFFF" w:themeFill="background1"/>
              </w:rPr>
              <w:t>.</w:t>
            </w:r>
            <w:r w:rsidRPr="00430D32">
              <w:rPr>
                <w:rFonts w:ascii="標楷體" w:eastAsia="標楷體" w:hAnsi="標楷體" w:hint="eastAsia"/>
                <w:shd w:val="clear" w:color="auto" w:fill="FFFFFF" w:themeFill="background1"/>
              </w:rPr>
              <w:t>臺北市地方教育發展基金</w:t>
            </w:r>
          </w:p>
        </w:tc>
        <w:tc>
          <w:tcPr>
            <w:tcW w:w="2268" w:type="dxa"/>
            <w:vMerge/>
            <w:tcBorders>
              <w:tl2br w:val="single" w:sz="4" w:space="0" w:color="auto"/>
            </w:tcBorders>
            <w:vAlign w:val="center"/>
          </w:tcPr>
          <w:p w14:paraId="63034767" w14:textId="0CC524A7" w:rsidR="00464B21" w:rsidRPr="00430D32" w:rsidRDefault="00464B21" w:rsidP="00520D58">
            <w:pPr>
              <w:spacing w:line="240" w:lineRule="exact"/>
              <w:jc w:val="center"/>
            </w:pPr>
          </w:p>
        </w:tc>
        <w:tc>
          <w:tcPr>
            <w:tcW w:w="2202" w:type="dxa"/>
            <w:vMerge w:val="restart"/>
            <w:shd w:val="clear" w:color="auto" w:fill="FBE4D5" w:themeFill="accent2" w:themeFillTint="33"/>
            <w:vAlign w:val="center"/>
          </w:tcPr>
          <w:p w14:paraId="0FD73441" w14:textId="77777777" w:rsidR="00464B21" w:rsidRPr="00430D32" w:rsidRDefault="00464B21" w:rsidP="00520D58">
            <w:pPr>
              <w:spacing w:line="240" w:lineRule="exact"/>
              <w:rPr>
                <w:rFonts w:ascii="標楷體" w:eastAsia="標楷體" w:hAnsi="標楷體"/>
              </w:rPr>
            </w:pPr>
            <w:r w:rsidRPr="00430D32">
              <w:rPr>
                <w:rFonts w:ascii="標楷體" w:eastAsia="標楷體" w:hAnsi="標楷體" w:hint="eastAsia"/>
              </w:rPr>
              <w:t>高中及高職教育計畫</w:t>
            </w:r>
          </w:p>
        </w:tc>
        <w:tc>
          <w:tcPr>
            <w:tcW w:w="592" w:type="dxa"/>
            <w:vAlign w:val="center"/>
          </w:tcPr>
          <w:p w14:paraId="4DFC626D"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112</w:t>
            </w:r>
          </w:p>
        </w:tc>
        <w:tc>
          <w:tcPr>
            <w:tcW w:w="1345" w:type="dxa"/>
            <w:vAlign w:val="center"/>
          </w:tcPr>
          <w:p w14:paraId="6658CE01"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132,781</w:t>
            </w:r>
          </w:p>
        </w:tc>
        <w:tc>
          <w:tcPr>
            <w:tcW w:w="0" w:type="auto"/>
            <w:vAlign w:val="center"/>
          </w:tcPr>
          <w:p w14:paraId="77E3F778"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 xml:space="preserve">1.01 </w:t>
            </w:r>
          </w:p>
        </w:tc>
      </w:tr>
      <w:tr w:rsidR="00464B21" w:rsidRPr="00430D32" w14:paraId="54D2AC94" w14:textId="77777777" w:rsidTr="00464B21">
        <w:trPr>
          <w:jc w:val="center"/>
        </w:trPr>
        <w:tc>
          <w:tcPr>
            <w:tcW w:w="2268" w:type="dxa"/>
            <w:vMerge/>
            <w:vAlign w:val="center"/>
          </w:tcPr>
          <w:p w14:paraId="43C7C74E"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vAlign w:val="center"/>
          </w:tcPr>
          <w:p w14:paraId="6235E475" w14:textId="77777777" w:rsidR="00464B21" w:rsidRPr="00430D32" w:rsidRDefault="00464B21" w:rsidP="00520D58">
            <w:pPr>
              <w:spacing w:line="240" w:lineRule="exact"/>
              <w:jc w:val="center"/>
            </w:pPr>
          </w:p>
        </w:tc>
        <w:tc>
          <w:tcPr>
            <w:tcW w:w="2202" w:type="dxa"/>
            <w:vMerge/>
            <w:shd w:val="clear" w:color="auto" w:fill="FBE4D5" w:themeFill="accent2" w:themeFillTint="33"/>
            <w:vAlign w:val="center"/>
          </w:tcPr>
          <w:p w14:paraId="488A56A3" w14:textId="77777777" w:rsidR="00464B21" w:rsidRPr="00430D32" w:rsidRDefault="00464B21" w:rsidP="00520D58">
            <w:pPr>
              <w:spacing w:line="240" w:lineRule="exact"/>
              <w:rPr>
                <w:rFonts w:ascii="標楷體" w:eastAsia="標楷體" w:hAnsi="標楷體"/>
              </w:rPr>
            </w:pPr>
          </w:p>
        </w:tc>
        <w:tc>
          <w:tcPr>
            <w:tcW w:w="592" w:type="dxa"/>
            <w:vAlign w:val="center"/>
          </w:tcPr>
          <w:p w14:paraId="7E2A87E6"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113</w:t>
            </w:r>
          </w:p>
        </w:tc>
        <w:tc>
          <w:tcPr>
            <w:tcW w:w="1345" w:type="dxa"/>
            <w:vAlign w:val="center"/>
          </w:tcPr>
          <w:p w14:paraId="40AC76D8"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796,197</w:t>
            </w:r>
          </w:p>
        </w:tc>
        <w:tc>
          <w:tcPr>
            <w:tcW w:w="0" w:type="auto"/>
            <w:vAlign w:val="center"/>
          </w:tcPr>
          <w:p w14:paraId="335812B6"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 xml:space="preserve">5.99 </w:t>
            </w:r>
          </w:p>
        </w:tc>
      </w:tr>
      <w:tr w:rsidR="00464B21" w:rsidRPr="00430D32" w14:paraId="4C4F5DD0" w14:textId="77777777" w:rsidTr="00464B21">
        <w:trPr>
          <w:jc w:val="center"/>
        </w:trPr>
        <w:tc>
          <w:tcPr>
            <w:tcW w:w="2268" w:type="dxa"/>
            <w:vMerge/>
            <w:vAlign w:val="center"/>
          </w:tcPr>
          <w:p w14:paraId="31338927"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vAlign w:val="center"/>
          </w:tcPr>
          <w:p w14:paraId="2121596A" w14:textId="77777777" w:rsidR="00464B21" w:rsidRPr="00430D32" w:rsidRDefault="00464B21" w:rsidP="00520D58">
            <w:pPr>
              <w:spacing w:line="240" w:lineRule="exact"/>
              <w:jc w:val="center"/>
              <w:rPr>
                <w:rFonts w:ascii="標楷體" w:eastAsia="標楷體" w:hAnsi="標楷體"/>
              </w:rPr>
            </w:pPr>
          </w:p>
        </w:tc>
        <w:tc>
          <w:tcPr>
            <w:tcW w:w="2202" w:type="dxa"/>
            <w:vMerge w:val="restart"/>
            <w:vAlign w:val="center"/>
          </w:tcPr>
          <w:p w14:paraId="176FEC7C" w14:textId="77777777" w:rsidR="00464B21" w:rsidRPr="00430D32" w:rsidRDefault="00464B21" w:rsidP="00520D58">
            <w:pPr>
              <w:spacing w:line="240" w:lineRule="exact"/>
              <w:rPr>
                <w:rFonts w:ascii="標楷體" w:eastAsia="標楷體" w:hAnsi="標楷體"/>
              </w:rPr>
            </w:pPr>
            <w:r w:rsidRPr="00430D32">
              <w:rPr>
                <w:rFonts w:ascii="標楷體" w:eastAsia="標楷體" w:hAnsi="標楷體" w:hint="eastAsia"/>
              </w:rPr>
              <w:t>學前教育計畫</w:t>
            </w:r>
          </w:p>
        </w:tc>
        <w:tc>
          <w:tcPr>
            <w:tcW w:w="592" w:type="dxa"/>
            <w:vAlign w:val="center"/>
          </w:tcPr>
          <w:p w14:paraId="3BD014A2"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112</w:t>
            </w:r>
          </w:p>
        </w:tc>
        <w:tc>
          <w:tcPr>
            <w:tcW w:w="1345" w:type="dxa"/>
            <w:vAlign w:val="center"/>
          </w:tcPr>
          <w:p w14:paraId="38B45E8C"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3,725,960</w:t>
            </w:r>
          </w:p>
        </w:tc>
        <w:tc>
          <w:tcPr>
            <w:tcW w:w="0" w:type="auto"/>
            <w:vAlign w:val="center"/>
          </w:tcPr>
          <w:p w14:paraId="7A9BF693"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 xml:space="preserve">107.59 </w:t>
            </w:r>
          </w:p>
        </w:tc>
      </w:tr>
      <w:tr w:rsidR="00464B21" w:rsidRPr="00430D32" w14:paraId="3A04D846" w14:textId="77777777" w:rsidTr="00464B21">
        <w:trPr>
          <w:jc w:val="center"/>
        </w:trPr>
        <w:tc>
          <w:tcPr>
            <w:tcW w:w="2268" w:type="dxa"/>
            <w:vMerge/>
            <w:vAlign w:val="center"/>
          </w:tcPr>
          <w:p w14:paraId="1BCECA82"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vAlign w:val="center"/>
          </w:tcPr>
          <w:p w14:paraId="673B9DD0" w14:textId="77777777" w:rsidR="00464B21" w:rsidRPr="00430D32" w:rsidRDefault="00464B21" w:rsidP="00520D58">
            <w:pPr>
              <w:spacing w:line="240" w:lineRule="exact"/>
              <w:jc w:val="center"/>
              <w:rPr>
                <w:rFonts w:ascii="標楷體" w:eastAsia="標楷體" w:hAnsi="標楷體"/>
              </w:rPr>
            </w:pPr>
          </w:p>
        </w:tc>
        <w:tc>
          <w:tcPr>
            <w:tcW w:w="2202" w:type="dxa"/>
            <w:vMerge/>
            <w:vAlign w:val="center"/>
          </w:tcPr>
          <w:p w14:paraId="7522246D" w14:textId="77777777" w:rsidR="00464B21" w:rsidRPr="00430D32" w:rsidRDefault="00464B21" w:rsidP="00520D58">
            <w:pPr>
              <w:spacing w:line="240" w:lineRule="exact"/>
              <w:rPr>
                <w:rFonts w:ascii="標楷體" w:eastAsia="標楷體" w:hAnsi="標楷體"/>
              </w:rPr>
            </w:pPr>
          </w:p>
        </w:tc>
        <w:tc>
          <w:tcPr>
            <w:tcW w:w="592" w:type="dxa"/>
            <w:vAlign w:val="center"/>
          </w:tcPr>
          <w:p w14:paraId="39DC7112"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113</w:t>
            </w:r>
          </w:p>
        </w:tc>
        <w:tc>
          <w:tcPr>
            <w:tcW w:w="1345" w:type="dxa"/>
            <w:vAlign w:val="center"/>
          </w:tcPr>
          <w:p w14:paraId="58EA8299"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2,760,164</w:t>
            </w:r>
          </w:p>
        </w:tc>
        <w:tc>
          <w:tcPr>
            <w:tcW w:w="0" w:type="auto"/>
            <w:vAlign w:val="center"/>
          </w:tcPr>
          <w:p w14:paraId="37A1173A"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 xml:space="preserve">70.93 </w:t>
            </w:r>
          </w:p>
        </w:tc>
      </w:tr>
      <w:tr w:rsidR="00464B21" w:rsidRPr="00430D32" w14:paraId="07A50085" w14:textId="77777777" w:rsidTr="00464B21">
        <w:trPr>
          <w:jc w:val="center"/>
        </w:trPr>
        <w:tc>
          <w:tcPr>
            <w:tcW w:w="2268" w:type="dxa"/>
            <w:vMerge/>
            <w:vAlign w:val="center"/>
          </w:tcPr>
          <w:p w14:paraId="66E9C4DA"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vAlign w:val="center"/>
          </w:tcPr>
          <w:p w14:paraId="3131CDB7" w14:textId="77777777" w:rsidR="00464B21" w:rsidRPr="00430D32" w:rsidRDefault="00464B21" w:rsidP="00520D58">
            <w:pPr>
              <w:spacing w:line="240" w:lineRule="exact"/>
              <w:jc w:val="center"/>
              <w:rPr>
                <w:rFonts w:ascii="標楷體" w:eastAsia="標楷體" w:hAnsi="標楷體"/>
              </w:rPr>
            </w:pPr>
          </w:p>
        </w:tc>
        <w:tc>
          <w:tcPr>
            <w:tcW w:w="2202" w:type="dxa"/>
            <w:vMerge w:val="restart"/>
            <w:vAlign w:val="center"/>
          </w:tcPr>
          <w:p w14:paraId="5EADBC3F" w14:textId="77777777" w:rsidR="00464B21" w:rsidRPr="00430D32" w:rsidRDefault="00464B21" w:rsidP="00520D58">
            <w:pPr>
              <w:spacing w:line="240" w:lineRule="exact"/>
              <w:rPr>
                <w:rFonts w:ascii="標楷體" w:eastAsia="標楷體" w:hAnsi="標楷體"/>
              </w:rPr>
            </w:pPr>
            <w:r w:rsidRPr="00430D32">
              <w:rPr>
                <w:rFonts w:ascii="標楷體" w:eastAsia="標楷體" w:hAnsi="標楷體" w:hint="eastAsia"/>
              </w:rPr>
              <w:t>特殊教育計畫</w:t>
            </w:r>
          </w:p>
        </w:tc>
        <w:tc>
          <w:tcPr>
            <w:tcW w:w="592" w:type="dxa"/>
            <w:vAlign w:val="center"/>
          </w:tcPr>
          <w:p w14:paraId="4A1BA3C3"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112</w:t>
            </w:r>
          </w:p>
        </w:tc>
        <w:tc>
          <w:tcPr>
            <w:tcW w:w="1345" w:type="dxa"/>
            <w:vAlign w:val="center"/>
          </w:tcPr>
          <w:p w14:paraId="216658BE"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135,852</w:t>
            </w:r>
          </w:p>
        </w:tc>
        <w:tc>
          <w:tcPr>
            <w:tcW w:w="0" w:type="auto"/>
            <w:vAlign w:val="center"/>
          </w:tcPr>
          <w:p w14:paraId="6E672FE3"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12.06</w:t>
            </w:r>
          </w:p>
        </w:tc>
      </w:tr>
      <w:tr w:rsidR="00464B21" w:rsidRPr="00430D32" w14:paraId="0186AA82" w14:textId="77777777" w:rsidTr="00464B21">
        <w:trPr>
          <w:jc w:val="center"/>
        </w:trPr>
        <w:tc>
          <w:tcPr>
            <w:tcW w:w="2268" w:type="dxa"/>
            <w:vMerge/>
            <w:vAlign w:val="center"/>
          </w:tcPr>
          <w:p w14:paraId="601194E7"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tcPr>
          <w:p w14:paraId="1D8A50AA" w14:textId="77777777" w:rsidR="00464B21" w:rsidRPr="00430D32" w:rsidRDefault="00464B21" w:rsidP="00520D58">
            <w:pPr>
              <w:spacing w:line="240" w:lineRule="exact"/>
              <w:jc w:val="center"/>
              <w:rPr>
                <w:rFonts w:ascii="標楷體" w:eastAsia="標楷體" w:hAnsi="標楷體"/>
              </w:rPr>
            </w:pPr>
          </w:p>
        </w:tc>
        <w:tc>
          <w:tcPr>
            <w:tcW w:w="2202" w:type="dxa"/>
            <w:vMerge/>
            <w:vAlign w:val="center"/>
          </w:tcPr>
          <w:p w14:paraId="5E454F11" w14:textId="77777777" w:rsidR="00464B21" w:rsidRPr="00430D32" w:rsidRDefault="00464B21" w:rsidP="00520D58">
            <w:pPr>
              <w:spacing w:line="240" w:lineRule="exact"/>
              <w:rPr>
                <w:rFonts w:ascii="標楷體" w:eastAsia="標楷體" w:hAnsi="標楷體"/>
              </w:rPr>
            </w:pPr>
          </w:p>
        </w:tc>
        <w:tc>
          <w:tcPr>
            <w:tcW w:w="592" w:type="dxa"/>
            <w:vAlign w:val="center"/>
          </w:tcPr>
          <w:p w14:paraId="23F719B1"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113</w:t>
            </w:r>
          </w:p>
        </w:tc>
        <w:tc>
          <w:tcPr>
            <w:tcW w:w="1345" w:type="dxa"/>
            <w:vAlign w:val="center"/>
          </w:tcPr>
          <w:p w14:paraId="59A15EF6"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115,539</w:t>
            </w:r>
          </w:p>
        </w:tc>
        <w:tc>
          <w:tcPr>
            <w:tcW w:w="0" w:type="auto"/>
            <w:vAlign w:val="center"/>
          </w:tcPr>
          <w:p w14:paraId="1EC4DE08"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9.34</w:t>
            </w:r>
          </w:p>
        </w:tc>
      </w:tr>
      <w:tr w:rsidR="00464B21" w:rsidRPr="00430D32" w14:paraId="5FC43C82" w14:textId="77777777" w:rsidTr="00464B21">
        <w:trPr>
          <w:jc w:val="center"/>
        </w:trPr>
        <w:tc>
          <w:tcPr>
            <w:tcW w:w="2268" w:type="dxa"/>
            <w:vMerge/>
            <w:vAlign w:val="center"/>
          </w:tcPr>
          <w:p w14:paraId="2647E949"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tcPr>
          <w:p w14:paraId="2FCD67DE" w14:textId="77777777" w:rsidR="00464B21" w:rsidRPr="00430D32" w:rsidRDefault="00464B21" w:rsidP="00520D58">
            <w:pPr>
              <w:spacing w:line="240" w:lineRule="exact"/>
              <w:jc w:val="center"/>
              <w:rPr>
                <w:rFonts w:ascii="標楷體" w:eastAsia="標楷體" w:hAnsi="標楷體"/>
              </w:rPr>
            </w:pPr>
          </w:p>
        </w:tc>
        <w:tc>
          <w:tcPr>
            <w:tcW w:w="2202" w:type="dxa"/>
            <w:vMerge w:val="restart"/>
            <w:shd w:val="clear" w:color="auto" w:fill="FBE4D5" w:themeFill="accent2" w:themeFillTint="33"/>
            <w:vAlign w:val="center"/>
          </w:tcPr>
          <w:p w14:paraId="76168686" w14:textId="77777777" w:rsidR="00464B21" w:rsidRPr="00430D32" w:rsidRDefault="00464B21" w:rsidP="00520D58">
            <w:pPr>
              <w:spacing w:line="240" w:lineRule="exact"/>
              <w:rPr>
                <w:rFonts w:ascii="標楷體" w:eastAsia="標楷體" w:hAnsi="標楷體"/>
              </w:rPr>
            </w:pPr>
            <w:r w:rsidRPr="00430D32">
              <w:rPr>
                <w:rFonts w:ascii="標楷體" w:eastAsia="標楷體" w:hAnsi="標楷體" w:hint="eastAsia"/>
              </w:rPr>
              <w:t>國民教育計畫</w:t>
            </w:r>
          </w:p>
        </w:tc>
        <w:tc>
          <w:tcPr>
            <w:tcW w:w="592" w:type="dxa"/>
            <w:vAlign w:val="center"/>
          </w:tcPr>
          <w:p w14:paraId="5933C730"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112</w:t>
            </w:r>
          </w:p>
        </w:tc>
        <w:tc>
          <w:tcPr>
            <w:tcW w:w="1345" w:type="dxa"/>
            <w:vAlign w:val="center"/>
          </w:tcPr>
          <w:p w14:paraId="326D7273"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642,393</w:t>
            </w:r>
          </w:p>
        </w:tc>
        <w:tc>
          <w:tcPr>
            <w:tcW w:w="0" w:type="auto"/>
            <w:vAlign w:val="center"/>
          </w:tcPr>
          <w:p w14:paraId="2BCC82D7"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 xml:space="preserve">1.93 </w:t>
            </w:r>
          </w:p>
        </w:tc>
      </w:tr>
      <w:tr w:rsidR="00464B21" w:rsidRPr="00430D32" w14:paraId="1CDCF02D" w14:textId="77777777" w:rsidTr="00464B21">
        <w:trPr>
          <w:jc w:val="center"/>
        </w:trPr>
        <w:tc>
          <w:tcPr>
            <w:tcW w:w="2268" w:type="dxa"/>
            <w:vMerge/>
            <w:vAlign w:val="center"/>
          </w:tcPr>
          <w:p w14:paraId="06522F3B"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tcPr>
          <w:p w14:paraId="19EAA268" w14:textId="77777777" w:rsidR="00464B21" w:rsidRPr="00430D32" w:rsidRDefault="00464B21" w:rsidP="00520D58">
            <w:pPr>
              <w:spacing w:line="240" w:lineRule="exact"/>
              <w:jc w:val="center"/>
              <w:rPr>
                <w:rFonts w:ascii="標楷體" w:eastAsia="標楷體" w:hAnsi="標楷體"/>
              </w:rPr>
            </w:pPr>
          </w:p>
        </w:tc>
        <w:tc>
          <w:tcPr>
            <w:tcW w:w="2202" w:type="dxa"/>
            <w:vMerge/>
            <w:shd w:val="clear" w:color="auto" w:fill="FBE4D5" w:themeFill="accent2" w:themeFillTint="33"/>
            <w:vAlign w:val="center"/>
          </w:tcPr>
          <w:p w14:paraId="59653D8E" w14:textId="77777777" w:rsidR="00464B21" w:rsidRPr="00430D32" w:rsidRDefault="00464B21" w:rsidP="00520D58">
            <w:pPr>
              <w:spacing w:line="240" w:lineRule="exact"/>
              <w:rPr>
                <w:rFonts w:ascii="標楷體" w:eastAsia="標楷體" w:hAnsi="標楷體"/>
              </w:rPr>
            </w:pPr>
          </w:p>
        </w:tc>
        <w:tc>
          <w:tcPr>
            <w:tcW w:w="592" w:type="dxa"/>
            <w:vAlign w:val="center"/>
          </w:tcPr>
          <w:p w14:paraId="1BF75F42"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113</w:t>
            </w:r>
          </w:p>
        </w:tc>
        <w:tc>
          <w:tcPr>
            <w:tcW w:w="1345" w:type="dxa"/>
            <w:vAlign w:val="center"/>
          </w:tcPr>
          <w:p w14:paraId="7C0E2550"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1,399,781</w:t>
            </w:r>
          </w:p>
        </w:tc>
        <w:tc>
          <w:tcPr>
            <w:tcW w:w="0" w:type="auto"/>
            <w:vAlign w:val="center"/>
          </w:tcPr>
          <w:p w14:paraId="45BA730F"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 xml:space="preserve">4.14 </w:t>
            </w:r>
          </w:p>
        </w:tc>
      </w:tr>
      <w:tr w:rsidR="00464B21" w:rsidRPr="00430D32" w14:paraId="09409D41" w14:textId="77777777" w:rsidTr="00464B21">
        <w:trPr>
          <w:jc w:val="center"/>
        </w:trPr>
        <w:tc>
          <w:tcPr>
            <w:tcW w:w="2268" w:type="dxa"/>
            <w:vMerge/>
            <w:vAlign w:val="center"/>
          </w:tcPr>
          <w:p w14:paraId="62F6AD23"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tcPr>
          <w:p w14:paraId="2C5CF9CC" w14:textId="77777777" w:rsidR="00464B21" w:rsidRPr="00430D32" w:rsidRDefault="00464B21" w:rsidP="00520D58">
            <w:pPr>
              <w:spacing w:line="240" w:lineRule="exact"/>
              <w:jc w:val="center"/>
              <w:rPr>
                <w:rFonts w:ascii="標楷體" w:eastAsia="標楷體" w:hAnsi="標楷體"/>
              </w:rPr>
            </w:pPr>
          </w:p>
        </w:tc>
        <w:tc>
          <w:tcPr>
            <w:tcW w:w="2202" w:type="dxa"/>
            <w:vMerge w:val="restart"/>
            <w:shd w:val="clear" w:color="auto" w:fill="FBE4D5" w:themeFill="accent2" w:themeFillTint="33"/>
            <w:vAlign w:val="center"/>
          </w:tcPr>
          <w:p w14:paraId="05E7D809" w14:textId="77777777" w:rsidR="00464B21" w:rsidRPr="00430D32" w:rsidRDefault="00464B21" w:rsidP="00520D58">
            <w:pPr>
              <w:spacing w:line="240" w:lineRule="exact"/>
              <w:rPr>
                <w:rFonts w:ascii="標楷體" w:eastAsia="標楷體" w:hAnsi="標楷體"/>
              </w:rPr>
            </w:pPr>
            <w:r w:rsidRPr="00430D32">
              <w:rPr>
                <w:rFonts w:ascii="標楷體" w:eastAsia="標楷體" w:hAnsi="標楷體" w:hint="eastAsia"/>
              </w:rPr>
              <w:t>體育及衛生教育計畫</w:t>
            </w:r>
          </w:p>
        </w:tc>
        <w:tc>
          <w:tcPr>
            <w:tcW w:w="592" w:type="dxa"/>
            <w:vAlign w:val="center"/>
          </w:tcPr>
          <w:p w14:paraId="2A578B57"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112</w:t>
            </w:r>
          </w:p>
        </w:tc>
        <w:tc>
          <w:tcPr>
            <w:tcW w:w="1345" w:type="dxa"/>
            <w:vAlign w:val="center"/>
          </w:tcPr>
          <w:p w14:paraId="7B8959AD"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313,566</w:t>
            </w:r>
          </w:p>
        </w:tc>
        <w:tc>
          <w:tcPr>
            <w:tcW w:w="0" w:type="auto"/>
            <w:vAlign w:val="center"/>
          </w:tcPr>
          <w:p w14:paraId="5F423037"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 xml:space="preserve">73.29 </w:t>
            </w:r>
          </w:p>
        </w:tc>
      </w:tr>
      <w:tr w:rsidR="00464B21" w:rsidRPr="00430D32" w14:paraId="6CA84FA3" w14:textId="77777777" w:rsidTr="00464B21">
        <w:trPr>
          <w:jc w:val="center"/>
        </w:trPr>
        <w:tc>
          <w:tcPr>
            <w:tcW w:w="2268" w:type="dxa"/>
            <w:vMerge/>
            <w:vAlign w:val="center"/>
          </w:tcPr>
          <w:p w14:paraId="0EDD6FFA"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tcPr>
          <w:p w14:paraId="601D877C" w14:textId="77777777" w:rsidR="00464B21" w:rsidRPr="00430D32" w:rsidRDefault="00464B21" w:rsidP="00520D58">
            <w:pPr>
              <w:spacing w:line="240" w:lineRule="exact"/>
              <w:jc w:val="center"/>
              <w:rPr>
                <w:rFonts w:ascii="標楷體" w:eastAsia="標楷體" w:hAnsi="標楷體"/>
              </w:rPr>
            </w:pPr>
          </w:p>
        </w:tc>
        <w:tc>
          <w:tcPr>
            <w:tcW w:w="2202" w:type="dxa"/>
            <w:vMerge/>
            <w:shd w:val="clear" w:color="auto" w:fill="FBE4D5" w:themeFill="accent2" w:themeFillTint="33"/>
            <w:vAlign w:val="center"/>
          </w:tcPr>
          <w:p w14:paraId="67E38CB1" w14:textId="77777777" w:rsidR="00464B21" w:rsidRPr="00430D32" w:rsidRDefault="00464B21" w:rsidP="00520D58">
            <w:pPr>
              <w:spacing w:line="240" w:lineRule="exact"/>
              <w:rPr>
                <w:rFonts w:ascii="標楷體" w:eastAsia="標楷體" w:hAnsi="標楷體"/>
              </w:rPr>
            </w:pPr>
          </w:p>
        </w:tc>
        <w:tc>
          <w:tcPr>
            <w:tcW w:w="592" w:type="dxa"/>
            <w:vAlign w:val="center"/>
          </w:tcPr>
          <w:p w14:paraId="1F994AAE"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113</w:t>
            </w:r>
          </w:p>
        </w:tc>
        <w:tc>
          <w:tcPr>
            <w:tcW w:w="1345" w:type="dxa"/>
            <w:vAlign w:val="center"/>
          </w:tcPr>
          <w:p w14:paraId="56D2A9A9"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377,028</w:t>
            </w:r>
          </w:p>
        </w:tc>
        <w:tc>
          <w:tcPr>
            <w:tcW w:w="0" w:type="auto"/>
            <w:vAlign w:val="center"/>
          </w:tcPr>
          <w:p w14:paraId="6AC397ED"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 xml:space="preserve">85.97 </w:t>
            </w:r>
          </w:p>
        </w:tc>
      </w:tr>
      <w:tr w:rsidR="00464B21" w:rsidRPr="00430D32" w14:paraId="23894198" w14:textId="77777777" w:rsidTr="00464B21">
        <w:trPr>
          <w:jc w:val="center"/>
        </w:trPr>
        <w:tc>
          <w:tcPr>
            <w:tcW w:w="2268" w:type="dxa"/>
            <w:vMerge/>
            <w:vAlign w:val="center"/>
          </w:tcPr>
          <w:p w14:paraId="100419AD"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tcPr>
          <w:p w14:paraId="0859C643" w14:textId="77777777" w:rsidR="00464B21" w:rsidRPr="00430D32" w:rsidRDefault="00464B21" w:rsidP="00520D58">
            <w:pPr>
              <w:spacing w:line="240" w:lineRule="exact"/>
              <w:jc w:val="center"/>
              <w:rPr>
                <w:rFonts w:ascii="標楷體" w:eastAsia="標楷體" w:hAnsi="標楷體"/>
              </w:rPr>
            </w:pPr>
          </w:p>
        </w:tc>
        <w:tc>
          <w:tcPr>
            <w:tcW w:w="2202" w:type="dxa"/>
            <w:vMerge w:val="restart"/>
            <w:shd w:val="clear" w:color="auto" w:fill="FBE4D5" w:themeFill="accent2" w:themeFillTint="33"/>
            <w:vAlign w:val="center"/>
          </w:tcPr>
          <w:p w14:paraId="7717A598" w14:textId="77777777" w:rsidR="00464B21" w:rsidRPr="00430D32" w:rsidRDefault="00464B21" w:rsidP="00520D58">
            <w:pPr>
              <w:spacing w:line="240" w:lineRule="exact"/>
              <w:rPr>
                <w:rFonts w:ascii="標楷體" w:eastAsia="標楷體" w:hAnsi="標楷體"/>
              </w:rPr>
            </w:pPr>
            <w:r w:rsidRPr="00430D32">
              <w:rPr>
                <w:rFonts w:ascii="標楷體" w:eastAsia="標楷體" w:hAnsi="標楷體" w:hint="eastAsia"/>
              </w:rPr>
              <w:t>其他教育計畫</w:t>
            </w:r>
          </w:p>
        </w:tc>
        <w:tc>
          <w:tcPr>
            <w:tcW w:w="592" w:type="dxa"/>
            <w:vAlign w:val="center"/>
          </w:tcPr>
          <w:p w14:paraId="6138AD54"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112</w:t>
            </w:r>
          </w:p>
        </w:tc>
        <w:tc>
          <w:tcPr>
            <w:tcW w:w="1345" w:type="dxa"/>
            <w:vAlign w:val="center"/>
          </w:tcPr>
          <w:p w14:paraId="565E6C1F"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3,185</w:t>
            </w:r>
          </w:p>
        </w:tc>
        <w:tc>
          <w:tcPr>
            <w:tcW w:w="0" w:type="auto"/>
            <w:vAlign w:val="center"/>
          </w:tcPr>
          <w:p w14:paraId="7F66BDB8"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14.93</w:t>
            </w:r>
          </w:p>
        </w:tc>
      </w:tr>
      <w:tr w:rsidR="00464B21" w:rsidRPr="00430D32" w14:paraId="40A89ACC" w14:textId="77777777" w:rsidTr="00464B21">
        <w:trPr>
          <w:jc w:val="center"/>
        </w:trPr>
        <w:tc>
          <w:tcPr>
            <w:tcW w:w="2268" w:type="dxa"/>
            <w:vMerge/>
            <w:vAlign w:val="center"/>
          </w:tcPr>
          <w:p w14:paraId="63A62089" w14:textId="77777777" w:rsidR="00464B21" w:rsidRPr="00430D32" w:rsidRDefault="00464B21" w:rsidP="00520D58">
            <w:pPr>
              <w:overflowPunct w:val="0"/>
              <w:spacing w:line="240" w:lineRule="exact"/>
              <w:contextualSpacing/>
              <w:rPr>
                <w:rFonts w:ascii="標楷體" w:eastAsia="標楷體" w:hAnsi="標楷體"/>
                <w:shd w:val="clear" w:color="auto" w:fill="FFFFFF" w:themeFill="background1"/>
              </w:rPr>
            </w:pPr>
          </w:p>
        </w:tc>
        <w:tc>
          <w:tcPr>
            <w:tcW w:w="2268" w:type="dxa"/>
            <w:vMerge/>
            <w:tcBorders>
              <w:tl2br w:val="single" w:sz="4" w:space="0" w:color="auto"/>
            </w:tcBorders>
          </w:tcPr>
          <w:p w14:paraId="773B0A13" w14:textId="77777777" w:rsidR="00464B21" w:rsidRPr="00430D32" w:rsidRDefault="00464B21" w:rsidP="00520D58">
            <w:pPr>
              <w:spacing w:line="240" w:lineRule="exact"/>
              <w:jc w:val="center"/>
              <w:rPr>
                <w:rFonts w:ascii="標楷體" w:eastAsia="標楷體" w:hAnsi="標楷體"/>
              </w:rPr>
            </w:pPr>
          </w:p>
        </w:tc>
        <w:tc>
          <w:tcPr>
            <w:tcW w:w="2202" w:type="dxa"/>
            <w:vMerge/>
            <w:shd w:val="clear" w:color="auto" w:fill="FBE4D5" w:themeFill="accent2" w:themeFillTint="33"/>
          </w:tcPr>
          <w:p w14:paraId="2EFE60BB" w14:textId="77777777" w:rsidR="00464B21" w:rsidRPr="00430D32" w:rsidRDefault="00464B21" w:rsidP="00520D58">
            <w:pPr>
              <w:spacing w:line="240" w:lineRule="exact"/>
              <w:rPr>
                <w:rFonts w:ascii="標楷體" w:eastAsia="標楷體" w:hAnsi="標楷體"/>
              </w:rPr>
            </w:pPr>
          </w:p>
        </w:tc>
        <w:tc>
          <w:tcPr>
            <w:tcW w:w="592" w:type="dxa"/>
            <w:vAlign w:val="center"/>
          </w:tcPr>
          <w:p w14:paraId="6FD1BA13" w14:textId="77777777" w:rsidR="00464B21" w:rsidRPr="00430D32" w:rsidRDefault="00464B21" w:rsidP="00520D58">
            <w:pPr>
              <w:spacing w:line="240" w:lineRule="exact"/>
              <w:jc w:val="center"/>
              <w:rPr>
                <w:rFonts w:ascii="標楷體" w:eastAsia="標楷體" w:hAnsi="標楷體"/>
              </w:rPr>
            </w:pPr>
            <w:r w:rsidRPr="00430D32">
              <w:rPr>
                <w:rFonts w:ascii="標楷體" w:eastAsia="標楷體" w:hAnsi="標楷體" w:hint="eastAsia"/>
              </w:rPr>
              <w:t>113</w:t>
            </w:r>
          </w:p>
        </w:tc>
        <w:tc>
          <w:tcPr>
            <w:tcW w:w="1345" w:type="dxa"/>
            <w:vAlign w:val="center"/>
          </w:tcPr>
          <w:p w14:paraId="5BDC6A6E"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32,256</w:t>
            </w:r>
          </w:p>
        </w:tc>
        <w:tc>
          <w:tcPr>
            <w:tcW w:w="0" w:type="auto"/>
            <w:vAlign w:val="center"/>
          </w:tcPr>
          <w:p w14:paraId="31EBDDCC" w14:textId="77777777" w:rsidR="00464B21" w:rsidRPr="00430D32" w:rsidRDefault="00464B21" w:rsidP="00520D58">
            <w:pPr>
              <w:widowControl/>
              <w:spacing w:line="240" w:lineRule="exact"/>
              <w:jc w:val="right"/>
              <w:rPr>
                <w:rFonts w:ascii="標楷體" w:eastAsia="標楷體" w:hAnsi="標楷體"/>
              </w:rPr>
            </w:pPr>
            <w:r w:rsidRPr="00430D32">
              <w:rPr>
                <w:rFonts w:ascii="標楷體" w:eastAsia="標楷體" w:hAnsi="標楷體" w:hint="eastAsia"/>
              </w:rPr>
              <w:t>129.90</w:t>
            </w:r>
          </w:p>
        </w:tc>
      </w:tr>
      <w:tr w:rsidR="0029756E" w:rsidRPr="00430D32" w14:paraId="244C17F6" w14:textId="77777777" w:rsidTr="005A7C75">
        <w:trPr>
          <w:jc w:val="center"/>
        </w:trPr>
        <w:tc>
          <w:tcPr>
            <w:tcW w:w="2268" w:type="dxa"/>
            <w:vMerge w:val="restart"/>
            <w:vAlign w:val="center"/>
          </w:tcPr>
          <w:p w14:paraId="1F476D16" w14:textId="77777777" w:rsidR="0029756E" w:rsidRPr="00430D32" w:rsidRDefault="0029756E" w:rsidP="00520D58">
            <w:pPr>
              <w:overflowPunct w:val="0"/>
              <w:spacing w:line="240" w:lineRule="exact"/>
              <w:contextualSpacing/>
              <w:rPr>
                <w:rFonts w:ascii="標楷體" w:eastAsia="標楷體" w:hAnsi="標楷體"/>
                <w:shd w:val="clear" w:color="auto" w:fill="FFFFFF" w:themeFill="background1"/>
              </w:rPr>
            </w:pPr>
            <w:r w:rsidRPr="00430D32">
              <w:rPr>
                <w:rFonts w:ascii="標楷體" w:eastAsia="標楷體" w:hAnsi="標楷體" w:hint="eastAsia"/>
                <w:shd w:val="clear" w:color="auto" w:fill="FFFFFF" w:themeFill="background1"/>
              </w:rPr>
              <w:t>4</w:t>
            </w:r>
            <w:r w:rsidRPr="00430D32">
              <w:rPr>
                <w:rFonts w:ascii="標楷體" w:eastAsia="標楷體" w:hAnsi="標楷體"/>
                <w:shd w:val="clear" w:color="auto" w:fill="FFFFFF" w:themeFill="background1"/>
              </w:rPr>
              <w:t>.</w:t>
            </w:r>
            <w:r w:rsidRPr="00430D32">
              <w:rPr>
                <w:rFonts w:ascii="標楷體" w:eastAsia="標楷體" w:hAnsi="標楷體" w:hint="eastAsia"/>
                <w:shd w:val="clear" w:color="auto" w:fill="FFFFFF" w:themeFill="background1"/>
              </w:rPr>
              <w:t>臺北市環境保護基金</w:t>
            </w:r>
          </w:p>
        </w:tc>
        <w:tc>
          <w:tcPr>
            <w:tcW w:w="2268" w:type="dxa"/>
            <w:vMerge w:val="restart"/>
            <w:vAlign w:val="center"/>
          </w:tcPr>
          <w:p w14:paraId="1230AAD4" w14:textId="77777777" w:rsidR="0029756E" w:rsidRPr="00430D32" w:rsidRDefault="0029756E" w:rsidP="00520D58">
            <w:pPr>
              <w:spacing w:line="240" w:lineRule="exact"/>
              <w:jc w:val="both"/>
              <w:rPr>
                <w:rFonts w:ascii="標楷體" w:eastAsia="標楷體" w:hAnsi="標楷體"/>
              </w:rPr>
            </w:pPr>
            <w:r w:rsidRPr="00430D32">
              <w:rPr>
                <w:rFonts w:ascii="標楷體" w:eastAsia="標楷體" w:hAnsi="標楷體" w:hint="eastAsia"/>
              </w:rPr>
              <w:t>臺北市資源回收基金</w:t>
            </w:r>
          </w:p>
        </w:tc>
        <w:tc>
          <w:tcPr>
            <w:tcW w:w="2202" w:type="dxa"/>
            <w:vMerge w:val="restart"/>
            <w:vAlign w:val="center"/>
          </w:tcPr>
          <w:p w14:paraId="70164594" w14:textId="77777777" w:rsidR="0029756E" w:rsidRPr="00430D32" w:rsidRDefault="0029756E" w:rsidP="00520D58">
            <w:pPr>
              <w:spacing w:line="240" w:lineRule="exact"/>
              <w:rPr>
                <w:rFonts w:ascii="標楷體" w:eastAsia="標楷體" w:hAnsi="標楷體"/>
              </w:rPr>
            </w:pPr>
            <w:r w:rsidRPr="00430D32">
              <w:rPr>
                <w:rFonts w:ascii="標楷體" w:eastAsia="標楷體" w:hAnsi="標楷體" w:hint="eastAsia"/>
              </w:rPr>
              <w:t>資源回收計畫</w:t>
            </w:r>
          </w:p>
        </w:tc>
        <w:tc>
          <w:tcPr>
            <w:tcW w:w="592" w:type="dxa"/>
            <w:vAlign w:val="center"/>
          </w:tcPr>
          <w:p w14:paraId="2178324F" w14:textId="77777777" w:rsidR="0029756E" w:rsidRPr="00430D32" w:rsidRDefault="0029756E" w:rsidP="00520D58">
            <w:pPr>
              <w:spacing w:line="240" w:lineRule="exact"/>
              <w:jc w:val="center"/>
              <w:rPr>
                <w:rFonts w:ascii="標楷體" w:eastAsia="標楷體" w:hAnsi="標楷體"/>
              </w:rPr>
            </w:pPr>
            <w:r w:rsidRPr="00430D32">
              <w:rPr>
                <w:rFonts w:ascii="標楷體" w:eastAsia="標楷體" w:hAnsi="標楷體" w:hint="eastAsia"/>
              </w:rPr>
              <w:t>112</w:t>
            </w:r>
          </w:p>
        </w:tc>
        <w:tc>
          <w:tcPr>
            <w:tcW w:w="1345" w:type="dxa"/>
            <w:vAlign w:val="center"/>
          </w:tcPr>
          <w:p w14:paraId="1B2EB7C6"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 xml:space="preserve">    33,829 </w:t>
            </w:r>
          </w:p>
        </w:tc>
        <w:tc>
          <w:tcPr>
            <w:tcW w:w="0" w:type="auto"/>
            <w:vAlign w:val="center"/>
          </w:tcPr>
          <w:p w14:paraId="6A4CEDCF"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62.09</w:t>
            </w:r>
          </w:p>
        </w:tc>
      </w:tr>
      <w:tr w:rsidR="0029756E" w:rsidRPr="00430D32" w14:paraId="4CCC5D78" w14:textId="77777777" w:rsidTr="005A7C75">
        <w:trPr>
          <w:jc w:val="center"/>
        </w:trPr>
        <w:tc>
          <w:tcPr>
            <w:tcW w:w="2268" w:type="dxa"/>
            <w:vMerge/>
            <w:vAlign w:val="center"/>
          </w:tcPr>
          <w:p w14:paraId="163FF237" w14:textId="77777777" w:rsidR="0029756E" w:rsidRPr="00430D32" w:rsidRDefault="0029756E" w:rsidP="00520D58">
            <w:pPr>
              <w:overflowPunct w:val="0"/>
              <w:spacing w:line="240" w:lineRule="exact"/>
              <w:contextualSpacing/>
              <w:rPr>
                <w:rFonts w:ascii="標楷體" w:eastAsia="標楷體" w:hAnsi="標楷體"/>
                <w:shd w:val="clear" w:color="auto" w:fill="FFFFFF" w:themeFill="background1"/>
              </w:rPr>
            </w:pPr>
          </w:p>
        </w:tc>
        <w:tc>
          <w:tcPr>
            <w:tcW w:w="2268" w:type="dxa"/>
            <w:vMerge/>
            <w:vAlign w:val="center"/>
          </w:tcPr>
          <w:p w14:paraId="2E3BE426" w14:textId="77777777" w:rsidR="0029756E" w:rsidRPr="00430D32" w:rsidRDefault="0029756E" w:rsidP="00520D58">
            <w:pPr>
              <w:spacing w:line="240" w:lineRule="exact"/>
              <w:jc w:val="center"/>
              <w:rPr>
                <w:rFonts w:ascii="標楷體" w:eastAsia="標楷體" w:hAnsi="標楷體"/>
              </w:rPr>
            </w:pPr>
          </w:p>
        </w:tc>
        <w:tc>
          <w:tcPr>
            <w:tcW w:w="2202" w:type="dxa"/>
            <w:vMerge/>
            <w:vAlign w:val="center"/>
          </w:tcPr>
          <w:p w14:paraId="4AAC5A2C" w14:textId="77777777" w:rsidR="0029756E" w:rsidRPr="00430D32" w:rsidRDefault="0029756E" w:rsidP="00520D58">
            <w:pPr>
              <w:spacing w:line="240" w:lineRule="exact"/>
              <w:rPr>
                <w:rFonts w:ascii="標楷體" w:eastAsia="標楷體" w:hAnsi="標楷體"/>
              </w:rPr>
            </w:pPr>
          </w:p>
        </w:tc>
        <w:tc>
          <w:tcPr>
            <w:tcW w:w="592" w:type="dxa"/>
            <w:vAlign w:val="center"/>
          </w:tcPr>
          <w:p w14:paraId="510C380E" w14:textId="77777777" w:rsidR="0029756E" w:rsidRPr="00430D32" w:rsidRDefault="0029756E" w:rsidP="00520D58">
            <w:pPr>
              <w:spacing w:line="240" w:lineRule="exact"/>
              <w:jc w:val="center"/>
              <w:rPr>
                <w:rFonts w:ascii="標楷體" w:eastAsia="標楷體" w:hAnsi="標楷體"/>
              </w:rPr>
            </w:pPr>
            <w:r w:rsidRPr="00430D32">
              <w:rPr>
                <w:rFonts w:ascii="標楷體" w:eastAsia="標楷體" w:hAnsi="標楷體" w:hint="eastAsia"/>
              </w:rPr>
              <w:t>113</w:t>
            </w:r>
          </w:p>
        </w:tc>
        <w:tc>
          <w:tcPr>
            <w:tcW w:w="1345" w:type="dxa"/>
            <w:vAlign w:val="center"/>
          </w:tcPr>
          <w:p w14:paraId="5CCF4468"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 xml:space="preserve">    23,650 </w:t>
            </w:r>
          </w:p>
        </w:tc>
        <w:tc>
          <w:tcPr>
            <w:tcW w:w="0" w:type="auto"/>
            <w:vAlign w:val="center"/>
          </w:tcPr>
          <w:p w14:paraId="16802306"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43.16</w:t>
            </w:r>
          </w:p>
        </w:tc>
      </w:tr>
      <w:tr w:rsidR="0029756E" w:rsidRPr="00430D32" w14:paraId="130F250A" w14:textId="77777777" w:rsidTr="005A7C75">
        <w:trPr>
          <w:jc w:val="center"/>
        </w:trPr>
        <w:tc>
          <w:tcPr>
            <w:tcW w:w="2268" w:type="dxa"/>
            <w:vMerge/>
            <w:vAlign w:val="center"/>
          </w:tcPr>
          <w:p w14:paraId="572A9896" w14:textId="77777777" w:rsidR="0029756E" w:rsidRPr="00430D32" w:rsidRDefault="0029756E" w:rsidP="00520D58">
            <w:pPr>
              <w:overflowPunct w:val="0"/>
              <w:spacing w:line="240" w:lineRule="exact"/>
              <w:contextualSpacing/>
              <w:rPr>
                <w:rFonts w:ascii="標楷體" w:eastAsia="標楷體" w:hAnsi="標楷體"/>
                <w:shd w:val="clear" w:color="auto" w:fill="FFFFFF" w:themeFill="background1"/>
              </w:rPr>
            </w:pPr>
          </w:p>
        </w:tc>
        <w:tc>
          <w:tcPr>
            <w:tcW w:w="2268" w:type="dxa"/>
            <w:vMerge w:val="restart"/>
            <w:vAlign w:val="center"/>
          </w:tcPr>
          <w:p w14:paraId="182CA416" w14:textId="77777777" w:rsidR="0029756E" w:rsidRPr="00430D32" w:rsidRDefault="0029756E" w:rsidP="00520D58">
            <w:pPr>
              <w:spacing w:line="240" w:lineRule="exact"/>
              <w:jc w:val="both"/>
              <w:rPr>
                <w:rFonts w:ascii="標楷體" w:eastAsia="標楷體" w:hAnsi="標楷體"/>
              </w:rPr>
            </w:pPr>
            <w:r w:rsidRPr="00430D32">
              <w:rPr>
                <w:rFonts w:ascii="標楷體" w:eastAsia="標楷體" w:hAnsi="標楷體" w:hint="eastAsia"/>
              </w:rPr>
              <w:t>臺北市一般廢棄物清除處理基金</w:t>
            </w:r>
          </w:p>
        </w:tc>
        <w:tc>
          <w:tcPr>
            <w:tcW w:w="2202" w:type="dxa"/>
            <w:vMerge w:val="restart"/>
            <w:shd w:val="clear" w:color="auto" w:fill="FBE4D5" w:themeFill="accent2" w:themeFillTint="33"/>
            <w:vAlign w:val="center"/>
          </w:tcPr>
          <w:p w14:paraId="039FA18F" w14:textId="77777777" w:rsidR="0029756E" w:rsidRPr="00430D32" w:rsidRDefault="0029756E" w:rsidP="00520D58">
            <w:pPr>
              <w:spacing w:line="240" w:lineRule="exact"/>
              <w:rPr>
                <w:rFonts w:ascii="標楷體" w:eastAsia="標楷體" w:hAnsi="標楷體"/>
              </w:rPr>
            </w:pPr>
            <w:r w:rsidRPr="00430D32">
              <w:rPr>
                <w:rFonts w:ascii="標楷體" w:eastAsia="標楷體" w:hAnsi="標楷體" w:hint="eastAsia"/>
              </w:rPr>
              <w:t>廢棄物清理計畫</w:t>
            </w:r>
          </w:p>
        </w:tc>
        <w:tc>
          <w:tcPr>
            <w:tcW w:w="592" w:type="dxa"/>
            <w:vAlign w:val="center"/>
          </w:tcPr>
          <w:p w14:paraId="1E059BF4" w14:textId="77777777" w:rsidR="0029756E" w:rsidRPr="00430D32" w:rsidRDefault="0029756E" w:rsidP="00520D58">
            <w:pPr>
              <w:spacing w:line="240" w:lineRule="exact"/>
              <w:jc w:val="center"/>
              <w:rPr>
                <w:rFonts w:ascii="標楷體" w:eastAsia="標楷體" w:hAnsi="標楷體"/>
              </w:rPr>
            </w:pPr>
            <w:r w:rsidRPr="00430D32">
              <w:rPr>
                <w:rFonts w:ascii="標楷體" w:eastAsia="標楷體" w:hAnsi="標楷體" w:hint="eastAsia"/>
              </w:rPr>
              <w:t>112</w:t>
            </w:r>
          </w:p>
        </w:tc>
        <w:tc>
          <w:tcPr>
            <w:tcW w:w="1345" w:type="dxa"/>
            <w:vAlign w:val="center"/>
          </w:tcPr>
          <w:p w14:paraId="583CB189"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 xml:space="preserve">   136,318 </w:t>
            </w:r>
          </w:p>
        </w:tc>
        <w:tc>
          <w:tcPr>
            <w:tcW w:w="0" w:type="auto"/>
            <w:vAlign w:val="center"/>
          </w:tcPr>
          <w:p w14:paraId="2B73C311"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30.25</w:t>
            </w:r>
          </w:p>
        </w:tc>
      </w:tr>
      <w:tr w:rsidR="0029756E" w:rsidRPr="00430D32" w14:paraId="5EB2AD3B" w14:textId="77777777" w:rsidTr="005A7C75">
        <w:trPr>
          <w:jc w:val="center"/>
        </w:trPr>
        <w:tc>
          <w:tcPr>
            <w:tcW w:w="2268" w:type="dxa"/>
            <w:vMerge/>
            <w:vAlign w:val="center"/>
          </w:tcPr>
          <w:p w14:paraId="470CBD82" w14:textId="77777777" w:rsidR="0029756E" w:rsidRPr="00430D32" w:rsidRDefault="0029756E" w:rsidP="00520D58">
            <w:pPr>
              <w:overflowPunct w:val="0"/>
              <w:spacing w:line="240" w:lineRule="exact"/>
              <w:contextualSpacing/>
              <w:rPr>
                <w:rFonts w:ascii="標楷體" w:eastAsia="標楷體" w:hAnsi="標楷體"/>
                <w:shd w:val="clear" w:color="auto" w:fill="FFFFFF" w:themeFill="background1"/>
              </w:rPr>
            </w:pPr>
          </w:p>
        </w:tc>
        <w:tc>
          <w:tcPr>
            <w:tcW w:w="2268" w:type="dxa"/>
            <w:vMerge/>
            <w:vAlign w:val="center"/>
          </w:tcPr>
          <w:p w14:paraId="4ECF0C00" w14:textId="77777777" w:rsidR="0029756E" w:rsidRPr="00430D32" w:rsidRDefault="0029756E" w:rsidP="00520D58">
            <w:pPr>
              <w:spacing w:line="240" w:lineRule="exact"/>
              <w:jc w:val="center"/>
              <w:rPr>
                <w:rFonts w:ascii="標楷體" w:eastAsia="標楷體" w:hAnsi="標楷體"/>
              </w:rPr>
            </w:pPr>
          </w:p>
        </w:tc>
        <w:tc>
          <w:tcPr>
            <w:tcW w:w="2202" w:type="dxa"/>
            <w:vMerge/>
            <w:shd w:val="clear" w:color="auto" w:fill="FBE4D5" w:themeFill="accent2" w:themeFillTint="33"/>
            <w:vAlign w:val="center"/>
          </w:tcPr>
          <w:p w14:paraId="780C4BCA" w14:textId="77777777" w:rsidR="0029756E" w:rsidRPr="00430D32" w:rsidRDefault="0029756E" w:rsidP="00520D58">
            <w:pPr>
              <w:spacing w:line="240" w:lineRule="exact"/>
              <w:rPr>
                <w:rFonts w:ascii="標楷體" w:eastAsia="標楷體" w:hAnsi="標楷體"/>
              </w:rPr>
            </w:pPr>
          </w:p>
        </w:tc>
        <w:tc>
          <w:tcPr>
            <w:tcW w:w="592" w:type="dxa"/>
            <w:vAlign w:val="center"/>
          </w:tcPr>
          <w:p w14:paraId="0AC484E3" w14:textId="77777777" w:rsidR="0029756E" w:rsidRPr="00430D32" w:rsidRDefault="0029756E" w:rsidP="00520D58">
            <w:pPr>
              <w:spacing w:line="240" w:lineRule="exact"/>
              <w:jc w:val="center"/>
              <w:rPr>
                <w:rFonts w:ascii="標楷體" w:eastAsia="標楷體" w:hAnsi="標楷體"/>
              </w:rPr>
            </w:pPr>
            <w:r w:rsidRPr="00430D32">
              <w:rPr>
                <w:rFonts w:ascii="標楷體" w:eastAsia="標楷體" w:hAnsi="標楷體" w:hint="eastAsia"/>
              </w:rPr>
              <w:t>113</w:t>
            </w:r>
          </w:p>
        </w:tc>
        <w:tc>
          <w:tcPr>
            <w:tcW w:w="1345" w:type="dxa"/>
            <w:vAlign w:val="center"/>
          </w:tcPr>
          <w:p w14:paraId="302ABFB9"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181,999</w:t>
            </w:r>
          </w:p>
        </w:tc>
        <w:tc>
          <w:tcPr>
            <w:tcW w:w="0" w:type="auto"/>
            <w:vAlign w:val="center"/>
          </w:tcPr>
          <w:p w14:paraId="7309EC14"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3</w:t>
            </w:r>
            <w:r w:rsidRPr="00430D32">
              <w:rPr>
                <w:rFonts w:ascii="標楷體" w:eastAsia="標楷體" w:hAnsi="標楷體"/>
              </w:rPr>
              <w:t>4.63</w:t>
            </w:r>
          </w:p>
        </w:tc>
      </w:tr>
      <w:tr w:rsidR="0029756E" w:rsidRPr="00430D32" w14:paraId="2C9D6557" w14:textId="77777777" w:rsidTr="005A7C75">
        <w:trPr>
          <w:jc w:val="center"/>
        </w:trPr>
        <w:tc>
          <w:tcPr>
            <w:tcW w:w="2268" w:type="dxa"/>
            <w:vMerge/>
            <w:vAlign w:val="center"/>
          </w:tcPr>
          <w:p w14:paraId="07AC94EB" w14:textId="77777777" w:rsidR="0029756E" w:rsidRPr="00430D32" w:rsidRDefault="0029756E" w:rsidP="00520D58">
            <w:pPr>
              <w:overflowPunct w:val="0"/>
              <w:spacing w:line="240" w:lineRule="exact"/>
              <w:contextualSpacing/>
              <w:rPr>
                <w:rFonts w:ascii="標楷體" w:eastAsia="標楷體" w:hAnsi="標楷體"/>
                <w:shd w:val="clear" w:color="auto" w:fill="FFFFFF" w:themeFill="background1"/>
              </w:rPr>
            </w:pPr>
          </w:p>
        </w:tc>
        <w:tc>
          <w:tcPr>
            <w:tcW w:w="2268" w:type="dxa"/>
            <w:vMerge w:val="restart"/>
            <w:vAlign w:val="center"/>
          </w:tcPr>
          <w:p w14:paraId="02D99EBE" w14:textId="77777777" w:rsidR="0029756E" w:rsidRPr="00430D32" w:rsidRDefault="0029756E" w:rsidP="00520D58">
            <w:pPr>
              <w:spacing w:line="240" w:lineRule="exact"/>
              <w:jc w:val="both"/>
              <w:rPr>
                <w:rFonts w:ascii="標楷體" w:eastAsia="標楷體" w:hAnsi="標楷體"/>
              </w:rPr>
            </w:pPr>
            <w:r w:rsidRPr="00430D32">
              <w:rPr>
                <w:rFonts w:ascii="標楷體" w:eastAsia="標楷體" w:hAnsi="標楷體" w:hint="eastAsia"/>
              </w:rPr>
              <w:t>環境教育基金</w:t>
            </w:r>
          </w:p>
        </w:tc>
        <w:tc>
          <w:tcPr>
            <w:tcW w:w="2202" w:type="dxa"/>
            <w:vMerge w:val="restart"/>
            <w:shd w:val="clear" w:color="auto" w:fill="FBE4D5" w:themeFill="accent2" w:themeFillTint="33"/>
            <w:vAlign w:val="center"/>
          </w:tcPr>
          <w:p w14:paraId="71AB884E" w14:textId="77777777" w:rsidR="0029756E" w:rsidRPr="00430D32" w:rsidRDefault="0029756E" w:rsidP="00520D58">
            <w:pPr>
              <w:spacing w:line="240" w:lineRule="exact"/>
              <w:rPr>
                <w:rFonts w:ascii="標楷體" w:eastAsia="標楷體" w:hAnsi="標楷體"/>
              </w:rPr>
            </w:pPr>
            <w:r w:rsidRPr="00430D32">
              <w:rPr>
                <w:rFonts w:ascii="標楷體" w:eastAsia="標楷體" w:hAnsi="標楷體" w:hint="eastAsia"/>
              </w:rPr>
              <w:t>環境教育計畫</w:t>
            </w:r>
          </w:p>
        </w:tc>
        <w:tc>
          <w:tcPr>
            <w:tcW w:w="592" w:type="dxa"/>
            <w:vAlign w:val="center"/>
          </w:tcPr>
          <w:p w14:paraId="5C991BC3" w14:textId="77777777" w:rsidR="0029756E" w:rsidRPr="00430D32" w:rsidRDefault="0029756E" w:rsidP="00520D58">
            <w:pPr>
              <w:spacing w:line="240" w:lineRule="exact"/>
              <w:jc w:val="center"/>
              <w:rPr>
                <w:rFonts w:ascii="標楷體" w:eastAsia="標楷體" w:hAnsi="標楷體"/>
              </w:rPr>
            </w:pPr>
            <w:r w:rsidRPr="00430D32">
              <w:rPr>
                <w:rFonts w:ascii="標楷體" w:eastAsia="標楷體" w:hAnsi="標楷體" w:hint="eastAsia"/>
              </w:rPr>
              <w:t>112</w:t>
            </w:r>
          </w:p>
        </w:tc>
        <w:tc>
          <w:tcPr>
            <w:tcW w:w="1345" w:type="dxa"/>
            <w:vAlign w:val="center"/>
          </w:tcPr>
          <w:p w14:paraId="78CAE952"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 xml:space="preserve">    12,032 </w:t>
            </w:r>
          </w:p>
        </w:tc>
        <w:tc>
          <w:tcPr>
            <w:tcW w:w="0" w:type="auto"/>
            <w:vAlign w:val="center"/>
          </w:tcPr>
          <w:p w14:paraId="1B65D4B2"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23.17</w:t>
            </w:r>
          </w:p>
        </w:tc>
      </w:tr>
      <w:tr w:rsidR="0029756E" w:rsidRPr="00430D32" w14:paraId="1BBB4F35" w14:textId="77777777" w:rsidTr="005A7C75">
        <w:trPr>
          <w:jc w:val="center"/>
        </w:trPr>
        <w:tc>
          <w:tcPr>
            <w:tcW w:w="2268" w:type="dxa"/>
            <w:vMerge/>
            <w:vAlign w:val="center"/>
          </w:tcPr>
          <w:p w14:paraId="2D4588AF" w14:textId="77777777" w:rsidR="0029756E" w:rsidRPr="00430D32" w:rsidRDefault="0029756E" w:rsidP="00520D58">
            <w:pPr>
              <w:overflowPunct w:val="0"/>
              <w:spacing w:line="240" w:lineRule="exact"/>
              <w:contextualSpacing/>
              <w:rPr>
                <w:rFonts w:ascii="標楷體" w:eastAsia="標楷體" w:hAnsi="標楷體"/>
                <w:shd w:val="clear" w:color="auto" w:fill="FFFFFF" w:themeFill="background1"/>
              </w:rPr>
            </w:pPr>
          </w:p>
        </w:tc>
        <w:tc>
          <w:tcPr>
            <w:tcW w:w="2268" w:type="dxa"/>
            <w:vMerge/>
            <w:vAlign w:val="center"/>
          </w:tcPr>
          <w:p w14:paraId="5F995F63" w14:textId="77777777" w:rsidR="0029756E" w:rsidRPr="00430D32" w:rsidRDefault="0029756E" w:rsidP="00520D58">
            <w:pPr>
              <w:spacing w:line="240" w:lineRule="exact"/>
              <w:jc w:val="center"/>
              <w:rPr>
                <w:rFonts w:ascii="標楷體" w:eastAsia="標楷體" w:hAnsi="標楷體"/>
              </w:rPr>
            </w:pPr>
          </w:p>
        </w:tc>
        <w:tc>
          <w:tcPr>
            <w:tcW w:w="2202" w:type="dxa"/>
            <w:vMerge/>
            <w:shd w:val="clear" w:color="auto" w:fill="FBE4D5" w:themeFill="accent2" w:themeFillTint="33"/>
            <w:vAlign w:val="center"/>
          </w:tcPr>
          <w:p w14:paraId="19ED538D" w14:textId="77777777" w:rsidR="0029756E" w:rsidRPr="00430D32" w:rsidRDefault="0029756E" w:rsidP="00520D58">
            <w:pPr>
              <w:spacing w:line="240" w:lineRule="exact"/>
              <w:rPr>
                <w:rFonts w:ascii="標楷體" w:eastAsia="標楷體" w:hAnsi="標楷體"/>
              </w:rPr>
            </w:pPr>
          </w:p>
        </w:tc>
        <w:tc>
          <w:tcPr>
            <w:tcW w:w="592" w:type="dxa"/>
            <w:vAlign w:val="center"/>
          </w:tcPr>
          <w:p w14:paraId="40AB01FE" w14:textId="77777777" w:rsidR="0029756E" w:rsidRPr="00430D32" w:rsidRDefault="0029756E" w:rsidP="00520D58">
            <w:pPr>
              <w:spacing w:line="240" w:lineRule="exact"/>
              <w:jc w:val="center"/>
              <w:rPr>
                <w:rFonts w:ascii="標楷體" w:eastAsia="標楷體" w:hAnsi="標楷體"/>
              </w:rPr>
            </w:pPr>
            <w:r w:rsidRPr="00430D32">
              <w:rPr>
                <w:rFonts w:ascii="標楷體" w:eastAsia="標楷體" w:hAnsi="標楷體" w:hint="eastAsia"/>
              </w:rPr>
              <w:t>113</w:t>
            </w:r>
          </w:p>
        </w:tc>
        <w:tc>
          <w:tcPr>
            <w:tcW w:w="1345" w:type="dxa"/>
            <w:vAlign w:val="center"/>
          </w:tcPr>
          <w:p w14:paraId="7B7848D5"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 xml:space="preserve">    17,122 </w:t>
            </w:r>
          </w:p>
        </w:tc>
        <w:tc>
          <w:tcPr>
            <w:tcW w:w="0" w:type="auto"/>
            <w:vAlign w:val="center"/>
          </w:tcPr>
          <w:p w14:paraId="508F123B"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36.80</w:t>
            </w:r>
          </w:p>
        </w:tc>
      </w:tr>
      <w:tr w:rsidR="0029756E" w:rsidRPr="00430D32" w14:paraId="03F22580" w14:textId="77777777" w:rsidTr="005A7C75">
        <w:trPr>
          <w:jc w:val="center"/>
        </w:trPr>
        <w:tc>
          <w:tcPr>
            <w:tcW w:w="2268" w:type="dxa"/>
            <w:vMerge/>
            <w:vAlign w:val="center"/>
          </w:tcPr>
          <w:p w14:paraId="7BDA5BB3" w14:textId="77777777" w:rsidR="0029756E" w:rsidRPr="00430D32" w:rsidRDefault="0029756E" w:rsidP="00520D58">
            <w:pPr>
              <w:overflowPunct w:val="0"/>
              <w:spacing w:line="240" w:lineRule="exact"/>
              <w:contextualSpacing/>
              <w:rPr>
                <w:rFonts w:ascii="標楷體" w:eastAsia="標楷體" w:hAnsi="標楷體"/>
                <w:shd w:val="clear" w:color="auto" w:fill="FFFFFF" w:themeFill="background1"/>
              </w:rPr>
            </w:pPr>
          </w:p>
        </w:tc>
        <w:tc>
          <w:tcPr>
            <w:tcW w:w="2268" w:type="dxa"/>
            <w:vMerge w:val="restart"/>
            <w:vAlign w:val="center"/>
          </w:tcPr>
          <w:p w14:paraId="02FCCBC1" w14:textId="77777777" w:rsidR="0029756E" w:rsidRPr="00430D32" w:rsidRDefault="0029756E" w:rsidP="00520D58">
            <w:pPr>
              <w:spacing w:line="240" w:lineRule="exact"/>
              <w:jc w:val="both"/>
              <w:rPr>
                <w:rFonts w:ascii="標楷體" w:eastAsia="標楷體" w:hAnsi="標楷體"/>
              </w:rPr>
            </w:pPr>
            <w:r w:rsidRPr="00430D32">
              <w:rPr>
                <w:rFonts w:ascii="標楷體" w:eastAsia="標楷體" w:hAnsi="標楷體" w:hint="eastAsia"/>
              </w:rPr>
              <w:t>水污染防治基金</w:t>
            </w:r>
          </w:p>
        </w:tc>
        <w:tc>
          <w:tcPr>
            <w:tcW w:w="2202" w:type="dxa"/>
            <w:vMerge w:val="restart"/>
            <w:shd w:val="clear" w:color="auto" w:fill="FBE4D5" w:themeFill="accent2" w:themeFillTint="33"/>
            <w:vAlign w:val="center"/>
          </w:tcPr>
          <w:p w14:paraId="372169FB" w14:textId="77777777" w:rsidR="0029756E" w:rsidRPr="00430D32" w:rsidRDefault="0029756E" w:rsidP="00520D58">
            <w:pPr>
              <w:spacing w:line="240" w:lineRule="exact"/>
              <w:rPr>
                <w:rFonts w:ascii="標楷體" w:eastAsia="標楷體" w:hAnsi="標楷體"/>
              </w:rPr>
            </w:pPr>
            <w:r w:rsidRPr="00430D32">
              <w:rPr>
                <w:rFonts w:ascii="標楷體" w:eastAsia="標楷體" w:hAnsi="標楷體" w:hint="eastAsia"/>
              </w:rPr>
              <w:t>水污染防治計畫</w:t>
            </w:r>
          </w:p>
        </w:tc>
        <w:tc>
          <w:tcPr>
            <w:tcW w:w="592" w:type="dxa"/>
            <w:vAlign w:val="center"/>
          </w:tcPr>
          <w:p w14:paraId="17EB84E0" w14:textId="77777777" w:rsidR="0029756E" w:rsidRPr="00430D32" w:rsidRDefault="0029756E" w:rsidP="00520D58">
            <w:pPr>
              <w:spacing w:line="240" w:lineRule="exact"/>
              <w:jc w:val="center"/>
              <w:rPr>
                <w:rFonts w:ascii="標楷體" w:eastAsia="標楷體" w:hAnsi="標楷體"/>
              </w:rPr>
            </w:pPr>
            <w:r w:rsidRPr="00430D32">
              <w:rPr>
                <w:rFonts w:ascii="標楷體" w:eastAsia="標楷體" w:hAnsi="標楷體" w:hint="eastAsia"/>
              </w:rPr>
              <w:t>1</w:t>
            </w:r>
            <w:r w:rsidRPr="00430D32">
              <w:rPr>
                <w:rFonts w:ascii="標楷體" w:eastAsia="標楷體" w:hAnsi="標楷體"/>
              </w:rPr>
              <w:t>12</w:t>
            </w:r>
          </w:p>
        </w:tc>
        <w:tc>
          <w:tcPr>
            <w:tcW w:w="1345" w:type="dxa"/>
            <w:vAlign w:val="center"/>
          </w:tcPr>
          <w:p w14:paraId="415542D1"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1</w:t>
            </w:r>
            <w:r w:rsidRPr="00430D32">
              <w:rPr>
                <w:rFonts w:ascii="標楷體" w:eastAsia="標楷體" w:hAnsi="標楷體"/>
              </w:rPr>
              <w:t>26</w:t>
            </w:r>
          </w:p>
        </w:tc>
        <w:tc>
          <w:tcPr>
            <w:tcW w:w="0" w:type="auto"/>
            <w:vAlign w:val="center"/>
          </w:tcPr>
          <w:p w14:paraId="7EF123AA"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1</w:t>
            </w:r>
            <w:r w:rsidRPr="00430D32">
              <w:rPr>
                <w:rFonts w:ascii="標楷體" w:eastAsia="標楷體" w:hAnsi="標楷體"/>
              </w:rPr>
              <w:t>29.04</w:t>
            </w:r>
          </w:p>
        </w:tc>
      </w:tr>
      <w:tr w:rsidR="0029756E" w:rsidRPr="00430D32" w14:paraId="71F6F165" w14:textId="77777777" w:rsidTr="005A7C75">
        <w:trPr>
          <w:jc w:val="center"/>
        </w:trPr>
        <w:tc>
          <w:tcPr>
            <w:tcW w:w="2268" w:type="dxa"/>
            <w:vMerge/>
            <w:vAlign w:val="center"/>
          </w:tcPr>
          <w:p w14:paraId="7B9552F9" w14:textId="77777777" w:rsidR="0029756E" w:rsidRPr="00430D32" w:rsidRDefault="0029756E" w:rsidP="00520D58">
            <w:pPr>
              <w:overflowPunct w:val="0"/>
              <w:spacing w:line="240" w:lineRule="exact"/>
              <w:contextualSpacing/>
              <w:rPr>
                <w:rFonts w:ascii="標楷體" w:eastAsia="標楷體" w:hAnsi="標楷體"/>
                <w:shd w:val="clear" w:color="auto" w:fill="FFFFFF" w:themeFill="background1"/>
              </w:rPr>
            </w:pPr>
          </w:p>
        </w:tc>
        <w:tc>
          <w:tcPr>
            <w:tcW w:w="2268" w:type="dxa"/>
            <w:vMerge/>
          </w:tcPr>
          <w:p w14:paraId="2A9D127E" w14:textId="77777777" w:rsidR="0029756E" w:rsidRPr="00430D32" w:rsidRDefault="0029756E" w:rsidP="00520D58">
            <w:pPr>
              <w:spacing w:line="240" w:lineRule="exact"/>
              <w:jc w:val="center"/>
              <w:rPr>
                <w:rFonts w:ascii="標楷體" w:eastAsia="標楷體" w:hAnsi="標楷體"/>
              </w:rPr>
            </w:pPr>
          </w:p>
        </w:tc>
        <w:tc>
          <w:tcPr>
            <w:tcW w:w="2202" w:type="dxa"/>
            <w:vMerge/>
            <w:shd w:val="clear" w:color="auto" w:fill="FBE4D5" w:themeFill="accent2" w:themeFillTint="33"/>
          </w:tcPr>
          <w:p w14:paraId="66DB4550" w14:textId="77777777" w:rsidR="0029756E" w:rsidRPr="00430D32" w:rsidRDefault="0029756E" w:rsidP="00520D58">
            <w:pPr>
              <w:spacing w:line="240" w:lineRule="exact"/>
              <w:rPr>
                <w:rFonts w:ascii="標楷體" w:eastAsia="標楷體" w:hAnsi="標楷體"/>
              </w:rPr>
            </w:pPr>
          </w:p>
        </w:tc>
        <w:tc>
          <w:tcPr>
            <w:tcW w:w="592" w:type="dxa"/>
            <w:vAlign w:val="center"/>
          </w:tcPr>
          <w:p w14:paraId="04FEEA3A" w14:textId="77777777" w:rsidR="0029756E" w:rsidRPr="00430D32" w:rsidRDefault="0029756E" w:rsidP="00520D58">
            <w:pPr>
              <w:spacing w:line="240" w:lineRule="exact"/>
              <w:jc w:val="center"/>
              <w:rPr>
                <w:rFonts w:ascii="標楷體" w:eastAsia="標楷體" w:hAnsi="標楷體"/>
              </w:rPr>
            </w:pPr>
            <w:r w:rsidRPr="00430D32">
              <w:rPr>
                <w:rFonts w:ascii="標楷體" w:eastAsia="標楷體" w:hAnsi="標楷體" w:hint="eastAsia"/>
              </w:rPr>
              <w:t>1</w:t>
            </w:r>
            <w:r w:rsidRPr="00430D32">
              <w:rPr>
                <w:rFonts w:ascii="標楷體" w:eastAsia="標楷體" w:hAnsi="標楷體"/>
              </w:rPr>
              <w:t>13</w:t>
            </w:r>
          </w:p>
        </w:tc>
        <w:tc>
          <w:tcPr>
            <w:tcW w:w="1345" w:type="dxa"/>
            <w:vAlign w:val="center"/>
          </w:tcPr>
          <w:p w14:paraId="426C7695"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4</w:t>
            </w:r>
            <w:r w:rsidRPr="00430D32">
              <w:rPr>
                <w:rFonts w:ascii="標楷體" w:eastAsia="標楷體" w:hAnsi="標楷體"/>
              </w:rPr>
              <w:t>08</w:t>
            </w:r>
          </w:p>
        </w:tc>
        <w:tc>
          <w:tcPr>
            <w:tcW w:w="0" w:type="auto"/>
            <w:vAlign w:val="center"/>
          </w:tcPr>
          <w:p w14:paraId="560DFEDB" w14:textId="77777777" w:rsidR="0029756E" w:rsidRPr="00430D32" w:rsidRDefault="0029756E" w:rsidP="00520D58">
            <w:pPr>
              <w:widowControl/>
              <w:spacing w:line="240" w:lineRule="exact"/>
              <w:jc w:val="right"/>
              <w:rPr>
                <w:rFonts w:ascii="標楷體" w:eastAsia="標楷體" w:hAnsi="標楷體"/>
              </w:rPr>
            </w:pPr>
            <w:r w:rsidRPr="00430D32">
              <w:rPr>
                <w:rFonts w:ascii="標楷體" w:eastAsia="標楷體" w:hAnsi="標楷體" w:hint="eastAsia"/>
              </w:rPr>
              <w:t>4</w:t>
            </w:r>
            <w:r w:rsidRPr="00430D32">
              <w:rPr>
                <w:rFonts w:ascii="標楷體" w:eastAsia="標楷體" w:hAnsi="標楷體"/>
              </w:rPr>
              <w:t>74.87</w:t>
            </w:r>
          </w:p>
        </w:tc>
      </w:tr>
    </w:tbl>
    <w:p w14:paraId="2997A7BA" w14:textId="77777777" w:rsidR="0029756E" w:rsidRPr="00430D32" w:rsidRDefault="0029756E" w:rsidP="0017194E">
      <w:pPr>
        <w:widowControl/>
        <w:spacing w:line="240" w:lineRule="exact"/>
        <w:ind w:leftChars="95" w:left="678" w:hangingChars="250" w:hanging="450"/>
        <w:rPr>
          <w:rFonts w:ascii="標楷體" w:eastAsia="標楷體" w:hAnsi="標楷體"/>
          <w:sz w:val="18"/>
          <w:szCs w:val="18"/>
          <w:shd w:val="clear" w:color="auto" w:fill="FFFFFF" w:themeFill="background1"/>
        </w:rPr>
      </w:pPr>
      <w:proofErr w:type="gramStart"/>
      <w:r w:rsidRPr="00430D32">
        <w:rPr>
          <w:rFonts w:ascii="標楷體" w:eastAsia="標楷體" w:hAnsi="標楷體" w:hint="eastAsia"/>
          <w:sz w:val="18"/>
          <w:szCs w:val="18"/>
          <w:shd w:val="clear" w:color="auto" w:fill="FFFFFF" w:themeFill="background1"/>
        </w:rPr>
        <w:t>註</w:t>
      </w:r>
      <w:proofErr w:type="gramEnd"/>
      <w:r w:rsidRPr="00430D32">
        <w:rPr>
          <w:rFonts w:ascii="標楷體" w:eastAsia="標楷體" w:hAnsi="標楷體" w:hint="eastAsia"/>
          <w:sz w:val="18"/>
          <w:szCs w:val="18"/>
          <w:shd w:val="clear" w:color="auto" w:fill="FFFFFF" w:themeFill="background1"/>
        </w:rPr>
        <w:t>：</w:t>
      </w:r>
      <w:r w:rsidRPr="00430D32">
        <w:rPr>
          <w:rFonts w:ascii="標楷體" w:eastAsia="標楷體" w:hAnsi="標楷體"/>
          <w:sz w:val="18"/>
          <w:szCs w:val="18"/>
          <w:shd w:val="clear" w:color="auto" w:fill="FFFFFF" w:themeFill="background1"/>
        </w:rPr>
        <w:t>1.</w:t>
      </w:r>
      <w:r w:rsidRPr="00430D32">
        <w:rPr>
          <w:rFonts w:ascii="標楷體" w:eastAsia="標楷體" w:hAnsi="標楷體" w:hint="eastAsia"/>
          <w:sz w:val="18"/>
          <w:szCs w:val="18"/>
          <w:shd w:val="clear" w:color="auto" w:fill="FFFFFF" w:themeFill="background1"/>
        </w:rPr>
        <w:t>網底部分為</w:t>
      </w:r>
      <w:proofErr w:type="gramStart"/>
      <w:r w:rsidRPr="00430D32">
        <w:rPr>
          <w:rFonts w:ascii="標楷體" w:eastAsia="標楷體" w:hAnsi="標楷體" w:hint="eastAsia"/>
          <w:sz w:val="18"/>
          <w:szCs w:val="18"/>
          <w:shd w:val="clear" w:color="auto" w:fill="FFFFFF" w:themeFill="background1"/>
        </w:rPr>
        <w:t>1</w:t>
      </w:r>
      <w:r w:rsidRPr="00430D32">
        <w:rPr>
          <w:rFonts w:ascii="標楷體" w:eastAsia="標楷體" w:hAnsi="標楷體"/>
          <w:sz w:val="18"/>
          <w:szCs w:val="18"/>
          <w:shd w:val="clear" w:color="auto" w:fill="FFFFFF" w:themeFill="background1"/>
        </w:rPr>
        <w:t>13</w:t>
      </w:r>
      <w:proofErr w:type="gramEnd"/>
      <w:r w:rsidRPr="00430D32">
        <w:rPr>
          <w:rFonts w:ascii="標楷體" w:eastAsia="標楷體" w:hAnsi="標楷體" w:hint="eastAsia"/>
          <w:sz w:val="18"/>
          <w:szCs w:val="18"/>
          <w:shd w:val="clear" w:color="auto" w:fill="FFFFFF" w:themeFill="background1"/>
        </w:rPr>
        <w:t>年度超支</w:t>
      </w:r>
      <w:proofErr w:type="gramStart"/>
      <w:r w:rsidRPr="00430D32">
        <w:rPr>
          <w:rFonts w:ascii="標楷體" w:eastAsia="標楷體" w:hAnsi="標楷體" w:hint="eastAsia"/>
          <w:sz w:val="18"/>
          <w:szCs w:val="18"/>
          <w:shd w:val="clear" w:color="auto" w:fill="FFFFFF" w:themeFill="background1"/>
        </w:rPr>
        <w:t>併</w:t>
      </w:r>
      <w:proofErr w:type="gramEnd"/>
      <w:r w:rsidRPr="00430D32">
        <w:rPr>
          <w:rFonts w:ascii="標楷體" w:eastAsia="標楷體" w:hAnsi="標楷體" w:hint="eastAsia"/>
          <w:sz w:val="18"/>
          <w:szCs w:val="18"/>
          <w:shd w:val="clear" w:color="auto" w:fill="FFFFFF" w:themeFill="background1"/>
        </w:rPr>
        <w:t>決算金額及比率均較</w:t>
      </w:r>
      <w:proofErr w:type="gramStart"/>
      <w:r w:rsidRPr="00430D32">
        <w:rPr>
          <w:rFonts w:ascii="標楷體" w:eastAsia="標楷體" w:hAnsi="標楷體" w:hint="eastAsia"/>
          <w:sz w:val="18"/>
          <w:szCs w:val="18"/>
          <w:shd w:val="clear" w:color="auto" w:fill="FFFFFF" w:themeFill="background1"/>
        </w:rPr>
        <w:t>1</w:t>
      </w:r>
      <w:r w:rsidRPr="00430D32">
        <w:rPr>
          <w:rFonts w:ascii="標楷體" w:eastAsia="標楷體" w:hAnsi="標楷體"/>
          <w:sz w:val="18"/>
          <w:szCs w:val="18"/>
          <w:shd w:val="clear" w:color="auto" w:fill="FFFFFF" w:themeFill="background1"/>
        </w:rPr>
        <w:t>12</w:t>
      </w:r>
      <w:proofErr w:type="gramEnd"/>
      <w:r w:rsidRPr="00430D32">
        <w:rPr>
          <w:rFonts w:ascii="標楷體" w:eastAsia="標楷體" w:hAnsi="標楷體" w:hint="eastAsia"/>
          <w:sz w:val="18"/>
          <w:szCs w:val="18"/>
          <w:shd w:val="clear" w:color="auto" w:fill="FFFFFF" w:themeFill="background1"/>
        </w:rPr>
        <w:t>年度增加者，計7項。</w:t>
      </w:r>
    </w:p>
    <w:p w14:paraId="3A0A641C" w14:textId="77777777" w:rsidR="0029756E" w:rsidRPr="00430D32" w:rsidRDefault="0029756E" w:rsidP="0017194E">
      <w:pPr>
        <w:widowControl/>
        <w:spacing w:line="240" w:lineRule="exact"/>
        <w:ind w:leftChars="245" w:left="588"/>
        <w:rPr>
          <w:rFonts w:ascii="標楷體" w:eastAsia="標楷體" w:hAnsi="標楷體"/>
          <w:sz w:val="18"/>
          <w:szCs w:val="18"/>
          <w:shd w:val="clear" w:color="auto" w:fill="FFFFFF" w:themeFill="background1"/>
        </w:rPr>
      </w:pPr>
      <w:r w:rsidRPr="00430D32">
        <w:rPr>
          <w:rFonts w:ascii="標楷體" w:eastAsia="標楷體" w:hAnsi="標楷體" w:hint="eastAsia"/>
          <w:sz w:val="18"/>
          <w:szCs w:val="18"/>
          <w:shd w:val="clear" w:color="auto" w:fill="FFFFFF" w:themeFill="background1"/>
        </w:rPr>
        <w:t>2</w:t>
      </w:r>
      <w:r w:rsidRPr="00430D32">
        <w:rPr>
          <w:rFonts w:ascii="標楷體" w:eastAsia="標楷體" w:hAnsi="標楷體"/>
          <w:sz w:val="18"/>
          <w:szCs w:val="18"/>
          <w:shd w:val="clear" w:color="auto" w:fill="FFFFFF" w:themeFill="background1"/>
        </w:rPr>
        <w:t>.資料來源</w:t>
      </w:r>
      <w:r w:rsidRPr="00430D32">
        <w:rPr>
          <w:rFonts w:ascii="標楷體" w:eastAsia="標楷體" w:hAnsi="標楷體" w:hint="eastAsia"/>
          <w:sz w:val="18"/>
          <w:szCs w:val="18"/>
          <w:shd w:val="clear" w:color="auto" w:fill="FFFFFF" w:themeFill="background1"/>
        </w:rPr>
        <w:t>：整理自</w:t>
      </w:r>
      <w:r w:rsidRPr="00430D32">
        <w:rPr>
          <w:rFonts w:ascii="標楷體" w:eastAsia="標楷體" w:hAnsi="標楷體"/>
          <w:sz w:val="18"/>
          <w:szCs w:val="18"/>
          <w:shd w:val="clear" w:color="auto" w:fill="FFFFFF" w:themeFill="background1"/>
        </w:rPr>
        <w:t>各基金管</w:t>
      </w:r>
      <w:r w:rsidRPr="00430D32">
        <w:rPr>
          <w:rFonts w:ascii="標楷體" w:eastAsia="標楷體" w:hAnsi="標楷體" w:hint="eastAsia"/>
          <w:sz w:val="18"/>
          <w:szCs w:val="18"/>
          <w:shd w:val="clear" w:color="auto" w:fill="FFFFFF" w:themeFill="background1"/>
        </w:rPr>
        <w:t>理</w:t>
      </w:r>
      <w:r w:rsidRPr="00430D32">
        <w:rPr>
          <w:rFonts w:ascii="標楷體" w:eastAsia="標楷體" w:hAnsi="標楷體"/>
          <w:sz w:val="18"/>
          <w:szCs w:val="18"/>
          <w:shd w:val="clear" w:color="auto" w:fill="FFFFFF" w:themeFill="background1"/>
        </w:rPr>
        <w:t>機關提供資料</w:t>
      </w:r>
      <w:r w:rsidRPr="00430D32">
        <w:rPr>
          <w:rFonts w:ascii="標楷體" w:eastAsia="標楷體" w:hAnsi="標楷體" w:hint="eastAsia"/>
          <w:sz w:val="18"/>
          <w:szCs w:val="18"/>
          <w:shd w:val="clear" w:color="auto" w:fill="FFFFFF" w:themeFill="background1"/>
        </w:rPr>
        <w:t>。</w:t>
      </w:r>
    </w:p>
    <w:p w14:paraId="3BAF6256" w14:textId="77777777" w:rsidR="0029756E" w:rsidRPr="00430D32" w:rsidRDefault="0029756E" w:rsidP="0029756E">
      <w:pPr>
        <w:spacing w:beforeLines="40" w:before="144" w:line="460" w:lineRule="exact"/>
        <w:ind w:firstLineChars="100" w:firstLine="280"/>
        <w:jc w:val="both"/>
        <w:rPr>
          <w:rFonts w:ascii="標楷體" w:eastAsia="標楷體" w:hAnsi="標楷體"/>
          <w:b/>
          <w:sz w:val="28"/>
          <w:szCs w:val="32"/>
        </w:rPr>
      </w:pPr>
      <w:bookmarkStart w:id="4" w:name="_Hlk170905078"/>
      <w:r w:rsidRPr="00430D32">
        <w:rPr>
          <w:rFonts w:ascii="標楷體" w:eastAsia="標楷體" w:hAnsi="標楷體" w:hint="eastAsia"/>
          <w:b/>
          <w:sz w:val="28"/>
          <w:szCs w:val="32"/>
        </w:rPr>
        <w:t>（五）為解決舊南門市場</w:t>
      </w:r>
      <w:proofErr w:type="gramStart"/>
      <w:r w:rsidRPr="00430D32">
        <w:rPr>
          <w:rFonts w:ascii="標楷體" w:eastAsia="標楷體" w:hAnsi="標楷體" w:hint="eastAsia"/>
          <w:b/>
          <w:sz w:val="28"/>
          <w:szCs w:val="32"/>
        </w:rPr>
        <w:t>大樓氯</w:t>
      </w:r>
      <w:proofErr w:type="gramEnd"/>
      <w:r w:rsidRPr="00430D32">
        <w:rPr>
          <w:rFonts w:ascii="標楷體" w:eastAsia="標楷體" w:hAnsi="標楷體" w:hint="eastAsia"/>
          <w:b/>
          <w:sz w:val="28"/>
          <w:szCs w:val="32"/>
        </w:rPr>
        <w:t>離子過高問題，辦理拆除重建計畫，惟耗時4年始完成辦公廳舍進駐機關整合事宜，致改建工程完成後須再依各進駐機關使用需求辦理改善，影響機關進駐期程，並衍生額外支付他處辦公場地租賃費用等不經濟支出。</w:t>
      </w:r>
    </w:p>
    <w:bookmarkEnd w:id="4"/>
    <w:p w14:paraId="58D888BA" w14:textId="77777777" w:rsidR="00496E9E" w:rsidRDefault="0029756E" w:rsidP="0029756E">
      <w:pPr>
        <w:spacing w:line="460" w:lineRule="exact"/>
        <w:ind w:firstLineChars="200" w:firstLine="480"/>
        <w:jc w:val="both"/>
        <w:rPr>
          <w:rFonts w:ascii="標楷體" w:eastAsia="標楷體" w:hAnsi="標楷體"/>
          <w:noProof/>
        </w:rPr>
      </w:pPr>
      <w:r w:rsidRPr="00430D32">
        <w:rPr>
          <w:rFonts w:ascii="標楷體" w:eastAsia="標楷體" w:hAnsi="標楷體" w:hint="eastAsia"/>
        </w:rPr>
        <w:t>臺</w:t>
      </w:r>
      <w:bookmarkStart w:id="5" w:name="_Hlk170905186"/>
      <w:bookmarkStart w:id="6" w:name="_Hlk170490898"/>
      <w:bookmarkStart w:id="7" w:name="_Hlk137915027"/>
      <w:r w:rsidRPr="00430D32">
        <w:rPr>
          <w:rFonts w:ascii="標楷體" w:eastAsia="標楷體" w:hAnsi="標楷體" w:hint="eastAsia"/>
          <w:noProof/>
        </w:rPr>
        <w:t>北市政府考量南門大樓氯離子過高、結構老化且管線老舊，決議辦理拆除重建，由臺北市市場處（下稱市場處）委託工務局新建工程處（下稱新工處）辦理「南門大樓暨市場改建統包工</w:t>
      </w:r>
    </w:p>
    <w:p w14:paraId="525C40C0" w14:textId="618C279C" w:rsidR="0029756E" w:rsidRPr="00430D32" w:rsidRDefault="0029756E" w:rsidP="00496E9E">
      <w:pPr>
        <w:spacing w:line="460" w:lineRule="exact"/>
        <w:jc w:val="both"/>
        <w:rPr>
          <w:rFonts w:ascii="標楷體" w:eastAsia="標楷體" w:hAnsi="標楷體"/>
        </w:rPr>
      </w:pPr>
      <w:r w:rsidRPr="00430D32">
        <w:rPr>
          <w:rFonts w:ascii="標楷體" w:eastAsia="標楷體" w:hAnsi="標楷體" w:hint="eastAsia"/>
          <w:noProof/>
        </w:rPr>
        <w:lastRenderedPageBreak/>
        <w:t>程」（下稱改建統包工程，</w:t>
      </w:r>
      <w:r w:rsidRPr="00430D32">
        <w:rPr>
          <w:rFonts w:ascii="標楷體" w:eastAsia="標楷體" w:hAnsi="標楷體"/>
          <w:noProof/>
        </w:rPr>
        <w:t>108</w:t>
      </w:r>
      <w:r w:rsidRPr="00430D32">
        <w:rPr>
          <w:rFonts w:ascii="標楷體" w:eastAsia="標楷體" w:hAnsi="標楷體" w:hint="eastAsia"/>
          <w:noProof/>
        </w:rPr>
        <w:t>年</w:t>
      </w:r>
      <w:r w:rsidRPr="00430D32">
        <w:rPr>
          <w:rFonts w:ascii="標楷體" w:eastAsia="標楷體" w:hAnsi="標楷體"/>
          <w:noProof/>
        </w:rPr>
        <w:t>5</w:t>
      </w:r>
      <w:r w:rsidRPr="00430D32">
        <w:rPr>
          <w:rFonts w:ascii="標楷體" w:eastAsia="標楷體" w:hAnsi="標楷體" w:hint="eastAsia"/>
          <w:noProof/>
        </w:rPr>
        <w:t>月</w:t>
      </w:r>
      <w:r w:rsidRPr="00430D32">
        <w:rPr>
          <w:rFonts w:ascii="標楷體" w:eastAsia="標楷體" w:hAnsi="標楷體"/>
          <w:noProof/>
        </w:rPr>
        <w:t>31</w:t>
      </w:r>
      <w:r w:rsidRPr="00430D32">
        <w:rPr>
          <w:rFonts w:ascii="標楷體" w:eastAsia="標楷體" w:hAnsi="標楷體" w:hint="eastAsia"/>
          <w:noProof/>
        </w:rPr>
        <w:t>日決標，契約金額</w:t>
      </w:r>
      <w:r w:rsidRPr="00430D32">
        <w:rPr>
          <w:rFonts w:ascii="標楷體" w:eastAsia="標楷體" w:hAnsi="標楷體"/>
          <w:noProof/>
        </w:rPr>
        <w:t>26</w:t>
      </w:r>
      <w:r w:rsidRPr="00430D32">
        <w:rPr>
          <w:rFonts w:ascii="標楷體" w:eastAsia="標楷體" w:hAnsi="標楷體" w:hint="eastAsia"/>
          <w:noProof/>
        </w:rPr>
        <w:t>億</w:t>
      </w:r>
      <w:r w:rsidRPr="00430D32">
        <w:rPr>
          <w:rFonts w:ascii="標楷體" w:eastAsia="標楷體" w:hAnsi="標楷體"/>
          <w:noProof/>
        </w:rPr>
        <w:t>8,570</w:t>
      </w:r>
      <w:r w:rsidRPr="00430D32">
        <w:rPr>
          <w:rFonts w:ascii="標楷體" w:eastAsia="標楷體" w:hAnsi="標楷體" w:hint="eastAsia"/>
          <w:noProof/>
        </w:rPr>
        <w:t>萬元），將南門大樓改建為地上</w:t>
      </w:r>
      <w:r w:rsidRPr="00430D32">
        <w:rPr>
          <w:rFonts w:ascii="標楷體" w:eastAsia="標楷體" w:hAnsi="標楷體"/>
          <w:noProof/>
        </w:rPr>
        <w:t>12</w:t>
      </w:r>
      <w:r w:rsidRPr="00430D32">
        <w:rPr>
          <w:rFonts w:ascii="標楷體" w:eastAsia="標楷體" w:hAnsi="標楷體" w:hint="eastAsia"/>
          <w:noProof/>
        </w:rPr>
        <w:t>層、地下</w:t>
      </w:r>
      <w:r w:rsidRPr="00430D32">
        <w:rPr>
          <w:rFonts w:ascii="標楷體" w:eastAsia="標楷體" w:hAnsi="標楷體"/>
          <w:noProof/>
        </w:rPr>
        <w:t>5</w:t>
      </w:r>
      <w:r w:rsidRPr="00430D32">
        <w:rPr>
          <w:rFonts w:ascii="標楷體" w:eastAsia="標楷體" w:hAnsi="標楷體" w:hint="eastAsia"/>
          <w:noProof/>
        </w:rPr>
        <w:t>層之鋼骨鋼筋混凝土建築物，其中地下</w:t>
      </w:r>
      <w:r w:rsidRPr="00430D32">
        <w:rPr>
          <w:rFonts w:ascii="標楷體" w:eastAsia="標楷體" w:hAnsi="標楷體"/>
          <w:noProof/>
        </w:rPr>
        <w:t>2</w:t>
      </w:r>
      <w:r w:rsidRPr="00430D32">
        <w:rPr>
          <w:rFonts w:ascii="標楷體" w:eastAsia="標楷體" w:hAnsi="標楷體" w:hint="eastAsia"/>
          <w:noProof/>
        </w:rPr>
        <w:t>樓至地上</w:t>
      </w:r>
      <w:r w:rsidRPr="00430D32">
        <w:rPr>
          <w:rFonts w:ascii="標楷體" w:eastAsia="標楷體" w:hAnsi="標楷體"/>
          <w:noProof/>
        </w:rPr>
        <w:t>2</w:t>
      </w:r>
      <w:r w:rsidRPr="00430D32">
        <w:rPr>
          <w:rFonts w:ascii="標楷體" w:eastAsia="標楷體" w:hAnsi="標楷體" w:hint="eastAsia"/>
          <w:noProof/>
        </w:rPr>
        <w:t>樓為南門市場，地上</w:t>
      </w:r>
      <w:r w:rsidRPr="00430D32">
        <w:rPr>
          <w:rFonts w:ascii="標楷體" w:eastAsia="標楷體" w:hAnsi="標楷體"/>
          <w:noProof/>
        </w:rPr>
        <w:t>3</w:t>
      </w:r>
      <w:r w:rsidRPr="00430D32">
        <w:rPr>
          <w:rFonts w:ascii="標楷體" w:eastAsia="標楷體" w:hAnsi="標楷體" w:hint="eastAsia"/>
          <w:noProof/>
        </w:rPr>
        <w:t>至</w:t>
      </w:r>
      <w:r w:rsidRPr="00430D32">
        <w:rPr>
          <w:rFonts w:ascii="標楷體" w:eastAsia="標楷體" w:hAnsi="標楷體"/>
          <w:noProof/>
        </w:rPr>
        <w:t>12</w:t>
      </w:r>
      <w:r w:rsidRPr="00430D32">
        <w:rPr>
          <w:rFonts w:ascii="標楷體" w:eastAsia="標楷體" w:hAnsi="標楷體" w:hint="eastAsia"/>
          <w:noProof/>
        </w:rPr>
        <w:t>樓由政府機關進駐辦公，地下</w:t>
      </w:r>
      <w:r w:rsidRPr="00430D32">
        <w:rPr>
          <w:rFonts w:ascii="標楷體" w:eastAsia="標楷體" w:hAnsi="標楷體"/>
          <w:noProof/>
        </w:rPr>
        <w:t>2</w:t>
      </w:r>
      <w:r w:rsidRPr="00430D32">
        <w:rPr>
          <w:rFonts w:ascii="標楷體" w:eastAsia="標楷體" w:hAnsi="標楷體" w:hint="eastAsia"/>
          <w:noProof/>
        </w:rPr>
        <w:t>至</w:t>
      </w:r>
      <w:r w:rsidRPr="00430D32">
        <w:rPr>
          <w:rFonts w:ascii="標楷體" w:eastAsia="標楷體" w:hAnsi="標楷體"/>
          <w:noProof/>
        </w:rPr>
        <w:t>5</w:t>
      </w:r>
      <w:r w:rsidRPr="00430D32">
        <w:rPr>
          <w:rFonts w:ascii="標楷體" w:eastAsia="標楷體" w:hAnsi="標楷體" w:hint="eastAsia"/>
          <w:noProof/>
        </w:rPr>
        <w:t>樓則為停車場空間。改建統包工程於</w:t>
      </w:r>
      <w:r w:rsidRPr="00430D32">
        <w:rPr>
          <w:rFonts w:ascii="標楷體" w:eastAsia="標楷體" w:hAnsi="標楷體"/>
          <w:noProof/>
        </w:rPr>
        <w:t>112</w:t>
      </w:r>
      <w:r w:rsidRPr="00430D32">
        <w:rPr>
          <w:rFonts w:ascii="標楷體" w:eastAsia="標楷體" w:hAnsi="標楷體" w:hint="eastAsia"/>
          <w:noProof/>
        </w:rPr>
        <w:t>年</w:t>
      </w:r>
      <w:r w:rsidRPr="00430D32">
        <w:rPr>
          <w:rFonts w:ascii="標楷體" w:eastAsia="標楷體" w:hAnsi="標楷體"/>
          <w:noProof/>
        </w:rPr>
        <w:t>10</w:t>
      </w:r>
      <w:r w:rsidRPr="00430D32">
        <w:rPr>
          <w:rFonts w:ascii="標楷體" w:eastAsia="標楷體" w:hAnsi="標楷體" w:hint="eastAsia"/>
          <w:noProof/>
        </w:rPr>
        <w:t>月</w:t>
      </w:r>
      <w:r w:rsidRPr="00430D32">
        <w:rPr>
          <w:rFonts w:ascii="標楷體" w:eastAsia="標楷體" w:hAnsi="標楷體"/>
          <w:noProof/>
        </w:rPr>
        <w:t>4</w:t>
      </w:r>
      <w:r w:rsidRPr="00430D32">
        <w:rPr>
          <w:rFonts w:ascii="標楷體" w:eastAsia="標楷體" w:hAnsi="標楷體" w:hint="eastAsia"/>
          <w:noProof/>
        </w:rPr>
        <w:t>日完工，改建完成之新南門市場已於同年月</w:t>
      </w:r>
      <w:r w:rsidRPr="00430D32">
        <w:rPr>
          <w:rFonts w:ascii="標楷體" w:eastAsia="標楷體" w:hAnsi="標楷體"/>
          <w:noProof/>
        </w:rPr>
        <w:t>7</w:t>
      </w:r>
      <w:r w:rsidRPr="00430D32">
        <w:rPr>
          <w:rFonts w:ascii="標楷體" w:eastAsia="標楷體" w:hAnsi="標楷體" w:hint="eastAsia"/>
          <w:noProof/>
        </w:rPr>
        <w:t>日營運；辦公區域中，財政部臺北國稅局中正分局於113年3月11日進駐3樓，其餘4至12樓規劃由該府所屬機關進駐，因配電不足及尚待完成辦公室裝修事項，由市場處統籌辦理「南門大樓辦公廳舍裝修工程」（113年4月30日決標，契約金額2億1,850萬元）。經查執行情形，核有：1.市場處委託新工處改建南門大樓供南門市場及政府機關辦公使用，惟負責進駐規劃之財政局未及早確認進駐機關，致新工處辦理改建統包工程招標時未能納入實際使用需求；復財政局未慮及社會福利設施進駐牽涉建築物使用類組變更，新工處亦未即時提出專業意見，致因社會福利設施不符都市設計審議通過之建築物使用類組，需再費時調整進駐機關規劃，迄新工處核定細部設計成果前，尚未能確定全部進駐機關，最終耗時4年始完成進駐機關整合事宜，且依該工程設計施工結果無法符合進駐機關需求，後續須再辦理改善，除增加施工介面，亦耽延機關進駐時程；2.財政局未考量臺北市稅捐稽徵處（下稱稅捐處）業務特性之高電力需求，即擇定其進駐以一般辦公室標配之新南門大樓，而該處亦未即時反應相關用電事宜，致甫興建完成辦公處所無法符合該處電力需求；復市場處對於稅捐處提出高電力需求，未即時因應處理，嗣其餘</w:t>
      </w:r>
      <w:r w:rsidR="00496E9E" w:rsidRPr="00430D32">
        <w:rPr>
          <w:rFonts w:ascii="標楷體" w:eastAsia="標楷體" w:hAnsi="標楷體"/>
          <w:noProof/>
        </w:rPr>
        <mc:AlternateContent>
          <mc:Choice Requires="wps">
            <w:drawing>
              <wp:anchor distT="0" distB="0" distL="114300" distR="114300" simplePos="0" relativeHeight="251805696" behindDoc="0" locked="0" layoutInCell="1" allowOverlap="1" wp14:anchorId="24E8CE30" wp14:editId="66A2F6C2">
                <wp:simplePos x="0" y="0"/>
                <wp:positionH relativeFrom="margin">
                  <wp:posOffset>3316605</wp:posOffset>
                </wp:positionH>
                <wp:positionV relativeFrom="margin">
                  <wp:posOffset>4681220</wp:posOffset>
                </wp:positionV>
                <wp:extent cx="3032760" cy="2514600"/>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2760" cy="2514600"/>
                        </a:xfrm>
                        <a:prstGeom prst="rect">
                          <a:avLst/>
                        </a:prstGeom>
                        <a:solidFill>
                          <a:srgbClr val="FFFFFF"/>
                        </a:solidFill>
                        <a:ln w="9525">
                          <a:noFill/>
                          <a:miter lim="800000"/>
                          <a:headEnd/>
                          <a:tailEnd/>
                        </a:ln>
                      </wps:spPr>
                      <wps:txbx>
                        <w:txbxContent>
                          <w:p w14:paraId="73425CA2" w14:textId="77777777" w:rsidR="0029756E" w:rsidRDefault="0029756E" w:rsidP="0029756E">
                            <w:pPr>
                              <w:rPr>
                                <w:rFonts w:ascii="標楷體" w:eastAsia="標楷體" w:hAnsi="標楷體"/>
                                <w:b/>
                                <w:szCs w:val="24"/>
                              </w:rPr>
                            </w:pPr>
                            <w:r w:rsidRPr="005C07C5">
                              <w:rPr>
                                <w:noProof/>
                              </w:rPr>
                              <w:drawing>
                                <wp:inline distT="0" distB="0" distL="0" distR="0" wp14:anchorId="0502BC27" wp14:editId="54F8C6B5">
                                  <wp:extent cx="2747010" cy="1891030"/>
                                  <wp:effectExtent l="19050" t="19050" r="15240" b="1397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r="3308"/>
                                          <a:stretch/>
                                        </pic:blipFill>
                                        <pic:spPr bwMode="auto">
                                          <a:xfrm>
                                            <a:off x="0" y="0"/>
                                            <a:ext cx="2747010" cy="1891030"/>
                                          </a:xfrm>
                                          <a:prstGeom prst="rect">
                                            <a:avLst/>
                                          </a:prstGeom>
                                          <a:ln w="9525"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53E8A44B" w14:textId="77777777" w:rsidR="0029756E" w:rsidRPr="00752046" w:rsidRDefault="0029756E" w:rsidP="0029756E">
                            <w:pPr>
                              <w:spacing w:line="240" w:lineRule="exact"/>
                              <w:jc w:val="center"/>
                              <w:rPr>
                                <w:rFonts w:ascii="標楷體" w:eastAsia="標楷體" w:hAnsi="標楷體"/>
                                <w:b/>
                                <w:szCs w:val="24"/>
                              </w:rPr>
                            </w:pPr>
                            <w:r w:rsidRPr="005C07C5">
                              <w:rPr>
                                <w:rFonts w:ascii="標楷體" w:eastAsia="標楷體" w:hAnsi="標楷體" w:hint="eastAsia"/>
                                <w:b/>
                                <w:szCs w:val="24"/>
                              </w:rPr>
                              <w:t>臺北市南門市場大樓</w:t>
                            </w:r>
                          </w:p>
                          <w:p w14:paraId="1EF3AB63" w14:textId="77777777" w:rsidR="0029756E" w:rsidRPr="00206409" w:rsidRDefault="0029756E" w:rsidP="0029756E">
                            <w:pPr>
                              <w:spacing w:line="240" w:lineRule="exact"/>
                              <w:jc w:val="center"/>
                              <w:rPr>
                                <w:rFonts w:ascii="標楷體" w:eastAsia="標楷體" w:hAnsi="標楷體"/>
                                <w:b/>
                                <w:szCs w:val="24"/>
                              </w:rPr>
                            </w:pPr>
                            <w:proofErr w:type="gramStart"/>
                            <w:r>
                              <w:rPr>
                                <w:rFonts w:ascii="標楷體" w:eastAsia="標楷體" w:hAnsi="標楷體" w:hint="eastAsia"/>
                                <w:sz w:val="18"/>
                              </w:rPr>
                              <w:t>（</w:t>
                            </w:r>
                            <w:proofErr w:type="gramEnd"/>
                            <w:r w:rsidRPr="00752046">
                              <w:rPr>
                                <w:rFonts w:ascii="標楷體" w:eastAsia="標楷體" w:hAnsi="標楷體" w:hint="eastAsia"/>
                                <w:sz w:val="18"/>
                                <w:szCs w:val="18"/>
                              </w:rPr>
                              <w:t>圖</w:t>
                            </w:r>
                            <w:r w:rsidRPr="00752046">
                              <w:rPr>
                                <w:rFonts w:ascii="標楷體" w:eastAsia="標楷體" w:hAnsi="標楷體"/>
                                <w:sz w:val="18"/>
                                <w:szCs w:val="18"/>
                              </w:rPr>
                              <w:t>片</w:t>
                            </w:r>
                            <w:r w:rsidRPr="00752046">
                              <w:rPr>
                                <w:rFonts w:ascii="標楷體" w:eastAsia="標楷體" w:hAnsi="標楷體" w:hint="eastAsia"/>
                                <w:sz w:val="18"/>
                                <w:szCs w:val="18"/>
                              </w:rPr>
                              <w:t>來源：</w:t>
                            </w:r>
                            <w:r>
                              <w:rPr>
                                <w:rFonts w:ascii="標楷體" w:eastAsia="標楷體" w:hAnsi="標楷體" w:hint="eastAsia"/>
                                <w:sz w:val="18"/>
                                <w:szCs w:val="18"/>
                              </w:rPr>
                              <w:t>工務局新建工程處</w:t>
                            </w:r>
                            <w:r>
                              <w:rPr>
                                <w:rFonts w:ascii="標楷體" w:eastAsia="標楷體" w:hAnsi="標楷體"/>
                                <w:sz w:val="18"/>
                                <w:szCs w:val="18"/>
                              </w:rPr>
                              <w:t>提供</w:t>
                            </w:r>
                            <w:proofErr w:type="gramStart"/>
                            <w:r w:rsidRPr="001E2040">
                              <w:rPr>
                                <w:rFonts w:ascii="標楷體" w:eastAsia="標楷體" w:hAnsi="標楷體" w:hint="eastAsia"/>
                                <w:sz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E8CE30" id="_x0000_s1030" type="#_x0000_t202" style="position:absolute;left:0;text-align:left;margin-left:261.15pt;margin-top:368.6pt;width:238.8pt;height:198pt;z-index:251805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" stroked="f">
                <v:textbox>
                  <w:txbxContent>
                    <w:p w14:paraId="73425CA2" w14:textId="77777777" w:rsidR="0029756E" w:rsidRDefault="0029756E" w:rsidP="0029756E">
                      <w:pPr>
                        <w:rPr>
                          <w:rFonts w:ascii="標楷體" w:eastAsia="標楷體" w:hAnsi="標楷體"/>
                          <w:b/>
                          <w:szCs w:val="24"/>
                        </w:rPr>
                      </w:pPr>
                      <w:r w:rsidRPr="005C07C5">
                        <w:rPr>
                          <w:noProof/>
                        </w:rPr>
                        <w:drawing>
                          <wp:inline distT="0" distB="0" distL="0" distR="0" wp14:anchorId="0502BC27" wp14:editId="54F8C6B5">
                            <wp:extent cx="2747010" cy="1891030"/>
                            <wp:effectExtent l="19050" t="19050" r="15240" b="13970"/>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r="3308"/>
                                    <a:stretch/>
                                  </pic:blipFill>
                                  <pic:spPr bwMode="auto">
                                    <a:xfrm>
                                      <a:off x="0" y="0"/>
                                      <a:ext cx="2747010" cy="1891030"/>
                                    </a:xfrm>
                                    <a:prstGeom prst="rect">
                                      <a:avLst/>
                                    </a:prstGeom>
                                    <a:ln w="9525" cap="sq"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53E8A44B" w14:textId="77777777" w:rsidR="0029756E" w:rsidRPr="00752046" w:rsidRDefault="0029756E" w:rsidP="0029756E">
                      <w:pPr>
                        <w:spacing w:line="240" w:lineRule="exact"/>
                        <w:jc w:val="center"/>
                        <w:rPr>
                          <w:rFonts w:ascii="標楷體" w:eastAsia="標楷體" w:hAnsi="標楷體"/>
                          <w:b/>
                          <w:szCs w:val="24"/>
                        </w:rPr>
                      </w:pPr>
                      <w:r w:rsidRPr="005C07C5">
                        <w:rPr>
                          <w:rFonts w:ascii="標楷體" w:eastAsia="標楷體" w:hAnsi="標楷體" w:hint="eastAsia"/>
                          <w:b/>
                          <w:szCs w:val="24"/>
                        </w:rPr>
                        <w:t>臺北市南門市場大樓</w:t>
                      </w:r>
                    </w:p>
                    <w:p w14:paraId="1EF3AB63" w14:textId="77777777" w:rsidR="0029756E" w:rsidRPr="00206409" w:rsidRDefault="0029756E" w:rsidP="0029756E">
                      <w:pPr>
                        <w:spacing w:line="240" w:lineRule="exact"/>
                        <w:jc w:val="center"/>
                        <w:rPr>
                          <w:rFonts w:ascii="標楷體" w:eastAsia="標楷體" w:hAnsi="標楷體"/>
                          <w:b/>
                          <w:szCs w:val="24"/>
                        </w:rPr>
                      </w:pPr>
                      <w:proofErr w:type="gramStart"/>
                      <w:r>
                        <w:rPr>
                          <w:rFonts w:ascii="標楷體" w:eastAsia="標楷體" w:hAnsi="標楷體" w:hint="eastAsia"/>
                          <w:sz w:val="18"/>
                        </w:rPr>
                        <w:t>（</w:t>
                      </w:r>
                      <w:proofErr w:type="gramEnd"/>
                      <w:r w:rsidRPr="00752046">
                        <w:rPr>
                          <w:rFonts w:ascii="標楷體" w:eastAsia="標楷體" w:hAnsi="標楷體" w:hint="eastAsia"/>
                          <w:sz w:val="18"/>
                          <w:szCs w:val="18"/>
                        </w:rPr>
                        <w:t>圖</w:t>
                      </w:r>
                      <w:r w:rsidRPr="00752046">
                        <w:rPr>
                          <w:rFonts w:ascii="標楷體" w:eastAsia="標楷體" w:hAnsi="標楷體"/>
                          <w:sz w:val="18"/>
                          <w:szCs w:val="18"/>
                        </w:rPr>
                        <w:t>片</w:t>
                      </w:r>
                      <w:r w:rsidRPr="00752046">
                        <w:rPr>
                          <w:rFonts w:ascii="標楷體" w:eastAsia="標楷體" w:hAnsi="標楷體" w:hint="eastAsia"/>
                          <w:sz w:val="18"/>
                          <w:szCs w:val="18"/>
                        </w:rPr>
                        <w:t>來源：</w:t>
                      </w:r>
                      <w:r>
                        <w:rPr>
                          <w:rFonts w:ascii="標楷體" w:eastAsia="標楷體" w:hAnsi="標楷體" w:hint="eastAsia"/>
                          <w:sz w:val="18"/>
                          <w:szCs w:val="18"/>
                        </w:rPr>
                        <w:t>工務局新建工程處</w:t>
                      </w:r>
                      <w:r>
                        <w:rPr>
                          <w:rFonts w:ascii="標楷體" w:eastAsia="標楷體" w:hAnsi="標楷體"/>
                          <w:sz w:val="18"/>
                          <w:szCs w:val="18"/>
                        </w:rPr>
                        <w:t>提供</w:t>
                      </w:r>
                      <w:proofErr w:type="gramStart"/>
                      <w:r w:rsidRPr="001E2040">
                        <w:rPr>
                          <w:rFonts w:ascii="標楷體" w:eastAsia="標楷體" w:hAnsi="標楷體" w:hint="eastAsia"/>
                          <w:sz w:val="18"/>
                        </w:rPr>
                        <w:t>）</w:t>
                      </w:r>
                      <w:proofErr w:type="gramEnd"/>
                    </w:p>
                  </w:txbxContent>
                </v:textbox>
                <w10:wrap type="square" anchorx="margin" anchory="margin"/>
              </v:shape>
            </w:pict>
          </mc:Fallback>
        </mc:AlternateContent>
      </w:r>
      <w:r w:rsidRPr="00430D32">
        <w:rPr>
          <w:rFonts w:ascii="標楷體" w:eastAsia="標楷體" w:hAnsi="標楷體" w:hint="eastAsia"/>
          <w:noProof/>
        </w:rPr>
        <w:t>進駐機關相繼提出電力改善需求後，市場處及新工處亦未能共同研議統包工程辦理變更，甚作成不辦理電力改善之結論，最終雖由市政府決定由市場處主責改善，惟因再延宕6個月餘，僅能採裝修工程後續擴充方式進行改善，除影響機關進駐期程外，並衍生進駐機關額外支付辦公場地租賃、水電、物業管理、外線補助費，及更換原已施作之受電箱開關費用等不經濟支出等情事，經函請臺北市政府查明妥適處理。本處將賡續注意列管其後續辦理情形</w:t>
      </w:r>
      <w:r w:rsidRPr="00430D32">
        <w:rPr>
          <w:rFonts w:ascii="標楷體" w:eastAsia="標楷體" w:hAnsi="標楷體" w:hint="eastAsia"/>
        </w:rPr>
        <w:t>。</w:t>
      </w:r>
    </w:p>
    <w:p w14:paraId="382CF8D7" w14:textId="77777777" w:rsidR="0029756E" w:rsidRPr="00430D32" w:rsidRDefault="0029756E" w:rsidP="0029756E">
      <w:pPr>
        <w:spacing w:beforeLines="50" w:before="180" w:line="460" w:lineRule="exact"/>
        <w:ind w:firstLineChars="100" w:firstLine="274"/>
        <w:jc w:val="both"/>
        <w:rPr>
          <w:rFonts w:ascii="標楷體" w:eastAsia="標楷體" w:hAnsi="標楷體"/>
          <w:b/>
          <w:sz w:val="28"/>
          <w:szCs w:val="28"/>
        </w:rPr>
      </w:pPr>
      <w:r w:rsidRPr="00430D32">
        <w:rPr>
          <w:rFonts w:ascii="標楷體" w:eastAsia="標楷體" w:hAnsi="標楷體" w:cs="Times New Roman" w:hint="eastAsia"/>
          <w:b/>
          <w:spacing w:val="-3"/>
          <w:sz w:val="28"/>
          <w:szCs w:val="28"/>
        </w:rPr>
        <w:t>（六）</w:t>
      </w:r>
      <w:r w:rsidRPr="00430D32">
        <w:rPr>
          <w:rFonts w:ascii="標楷體" w:eastAsia="標楷體" w:hAnsi="標楷體" w:hint="eastAsia"/>
          <w:b/>
          <w:sz w:val="28"/>
          <w:szCs w:val="28"/>
        </w:rPr>
        <w:t>部分機關近年委託專案管理廠商負責審查及管理統包工程案件，並將專案管理與監造服務項目</w:t>
      </w:r>
      <w:proofErr w:type="gramStart"/>
      <w:r w:rsidRPr="00430D32">
        <w:rPr>
          <w:rFonts w:ascii="標楷體" w:eastAsia="標楷體" w:hAnsi="標楷體" w:hint="eastAsia"/>
          <w:b/>
          <w:sz w:val="28"/>
          <w:szCs w:val="28"/>
        </w:rPr>
        <w:t>併</w:t>
      </w:r>
      <w:proofErr w:type="gramEnd"/>
      <w:r w:rsidRPr="00430D32">
        <w:rPr>
          <w:rFonts w:ascii="標楷體" w:eastAsia="標楷體" w:hAnsi="標楷體" w:hint="eastAsia"/>
          <w:b/>
          <w:sz w:val="28"/>
          <w:szCs w:val="28"/>
        </w:rPr>
        <w:t>案辦理招、決標，惟未依規定排除重複及利益衝突情形，致工程施工階段專案管理廠商未能落實監督屬同一團隊之監造廠商，亟待檢討改善。</w:t>
      </w:r>
      <w:bookmarkEnd w:id="5"/>
    </w:p>
    <w:p w14:paraId="3594906D" w14:textId="77777777" w:rsidR="00496E9E" w:rsidRDefault="0029756E" w:rsidP="002F0729">
      <w:pPr>
        <w:overflowPunct w:val="0"/>
        <w:spacing w:beforeLines="20" w:before="72" w:line="400" w:lineRule="exact"/>
        <w:ind w:firstLineChars="200" w:firstLine="480"/>
        <w:jc w:val="distribute"/>
        <w:rPr>
          <w:rFonts w:ascii="標楷體" w:eastAsia="標楷體" w:hAnsi="標楷體"/>
        </w:rPr>
      </w:pPr>
      <w:r w:rsidRPr="00430D32">
        <w:rPr>
          <w:rFonts w:ascii="標楷體" w:eastAsia="標楷體" w:hAnsi="標楷體" w:hint="eastAsia"/>
        </w:rPr>
        <w:t>依據機關委託技術服務廠商評選及計費辦法第9條第2項規定，機關委託廠商辦理專案管理，得視工程性質及實際需要，將該辦法第7條第1項之「履約進度查證與履約估驗計價之審</w:t>
      </w:r>
    </w:p>
    <w:p w14:paraId="305329F2" w14:textId="24A9F618" w:rsidR="0029756E" w:rsidRPr="00430D32" w:rsidRDefault="0029756E" w:rsidP="00496E9E">
      <w:pPr>
        <w:overflowPunct w:val="0"/>
        <w:spacing w:line="400" w:lineRule="exact"/>
        <w:jc w:val="distribute"/>
        <w:rPr>
          <w:rFonts w:ascii="標楷體" w:eastAsia="標楷體" w:hAnsi="標楷體"/>
        </w:rPr>
      </w:pPr>
      <w:r w:rsidRPr="00430D32">
        <w:rPr>
          <w:rFonts w:ascii="標楷體" w:eastAsia="標楷體" w:hAnsi="標楷體" w:hint="eastAsia"/>
        </w:rPr>
        <w:lastRenderedPageBreak/>
        <w:t>查」等</w:t>
      </w:r>
      <w:r w:rsidRPr="00430D32">
        <w:rPr>
          <w:rFonts w:ascii="標楷體" w:eastAsia="標楷體" w:hAnsi="標楷體"/>
        </w:rPr>
        <w:t>15款</w:t>
      </w:r>
      <w:r w:rsidRPr="00430D32">
        <w:rPr>
          <w:rFonts w:ascii="標楷體" w:eastAsia="標楷體" w:hAnsi="標楷體" w:hint="eastAsia"/>
        </w:rPr>
        <w:t>監造服務項目，與該辦法第</w:t>
      </w:r>
      <w:r w:rsidRPr="00430D32">
        <w:rPr>
          <w:rFonts w:ascii="標楷體" w:eastAsia="標楷體" w:hAnsi="標楷體"/>
        </w:rPr>
        <w:t>9條</w:t>
      </w:r>
      <w:r w:rsidRPr="00430D32">
        <w:rPr>
          <w:rFonts w:ascii="標楷體" w:eastAsia="標楷體" w:hAnsi="標楷體" w:hint="eastAsia"/>
        </w:rPr>
        <w:t>第</w:t>
      </w:r>
      <w:r w:rsidRPr="00430D32">
        <w:rPr>
          <w:rFonts w:ascii="標楷體" w:eastAsia="標楷體" w:hAnsi="標楷體"/>
        </w:rPr>
        <w:t>1</w:t>
      </w:r>
      <w:r w:rsidRPr="00430D32">
        <w:rPr>
          <w:rFonts w:ascii="標楷體" w:eastAsia="標楷體" w:hAnsi="標楷體" w:hint="eastAsia"/>
        </w:rPr>
        <w:t>項第5款之「施工估驗計價之審查或複核」等17目專案管理服務項目整合，並排除重複及利益衝突情形後，一併委託辦理。臺北市政府所屬機關近年執行重大公共建設計畫，基於由得標廠商負責細部設計，並將設計成果履行實現，具有貫徹設計理念、發揮廠商履約能力等優點，</w:t>
      </w:r>
      <w:proofErr w:type="gramStart"/>
      <w:r w:rsidRPr="00430D32">
        <w:rPr>
          <w:rFonts w:ascii="標楷體" w:eastAsia="標楷體" w:hAnsi="標楷體" w:hint="eastAsia"/>
        </w:rPr>
        <w:t>爰</w:t>
      </w:r>
      <w:proofErr w:type="gramEnd"/>
      <w:r w:rsidRPr="00430D32">
        <w:rPr>
          <w:rFonts w:ascii="標楷體" w:eastAsia="標楷體" w:hAnsi="標楷體" w:hint="eastAsia"/>
        </w:rPr>
        <w:t>以統包方式辦理工程採購，惟考量機關人力或專業能力不足，委託監造廠商辦理監造作業，另委託專案管理廠商對統包廠商、監造廠商進行工程管理及督導。經查本處於</w:t>
      </w:r>
      <w:r w:rsidRPr="00430D32">
        <w:rPr>
          <w:rFonts w:ascii="標楷體" w:eastAsia="標楷體" w:hAnsi="標楷體"/>
        </w:rPr>
        <w:t>111</w:t>
      </w:r>
      <w:r w:rsidRPr="00430D32">
        <w:rPr>
          <w:rFonts w:ascii="標楷體" w:eastAsia="標楷體" w:hAnsi="標楷體" w:hint="eastAsia"/>
        </w:rPr>
        <w:t>年</w:t>
      </w:r>
      <w:r w:rsidRPr="00430D32">
        <w:rPr>
          <w:rFonts w:ascii="標楷體" w:eastAsia="標楷體" w:hAnsi="標楷體"/>
        </w:rPr>
        <w:t>7月至113年4月間抽查</w:t>
      </w:r>
      <w:r w:rsidRPr="00430D32">
        <w:rPr>
          <w:rFonts w:ascii="標楷體" w:eastAsia="標楷體" w:hAnsi="標楷體" w:hint="eastAsia"/>
        </w:rPr>
        <w:t>工務局新建工程處、大眾捷運股份有限公司及都市發展局等機關辦理委託專案管理案件執行情形，發現該等機關未依機關委託技術服務廠商評選及計費辦法第</w:t>
      </w:r>
      <w:r w:rsidRPr="00430D32">
        <w:rPr>
          <w:rFonts w:ascii="標楷體" w:eastAsia="標楷體" w:hAnsi="標楷體"/>
        </w:rPr>
        <w:t>9條第2項規定</w:t>
      </w:r>
      <w:r w:rsidRPr="00430D32">
        <w:rPr>
          <w:rFonts w:ascii="標楷體" w:eastAsia="標楷體" w:hAnsi="標楷體" w:hint="eastAsia"/>
        </w:rPr>
        <w:t>，</w:t>
      </w:r>
      <w:r w:rsidRPr="00430D32">
        <w:rPr>
          <w:rFonts w:ascii="標楷體" w:eastAsia="標楷體" w:hAnsi="標楷體"/>
        </w:rPr>
        <w:t>排除</w:t>
      </w:r>
      <w:r w:rsidRPr="00430D32">
        <w:rPr>
          <w:rFonts w:ascii="標楷體" w:eastAsia="標楷體" w:hAnsi="標楷體" w:hint="eastAsia"/>
        </w:rPr>
        <w:t>服務</w:t>
      </w:r>
      <w:r w:rsidRPr="00430D32">
        <w:rPr>
          <w:rFonts w:ascii="標楷體" w:eastAsia="標楷體" w:hAnsi="標楷體"/>
        </w:rPr>
        <w:t>重複</w:t>
      </w:r>
      <w:r w:rsidRPr="00430D32">
        <w:rPr>
          <w:rFonts w:ascii="標楷體" w:eastAsia="標楷體" w:hAnsi="標楷體" w:hint="eastAsia"/>
        </w:rPr>
        <w:t>及</w:t>
      </w:r>
      <w:r w:rsidRPr="00430D32">
        <w:rPr>
          <w:rFonts w:ascii="標楷體" w:eastAsia="標楷體" w:hAnsi="標楷體"/>
        </w:rPr>
        <w:t>利益衝突情形</w:t>
      </w:r>
      <w:r w:rsidRPr="00430D32">
        <w:rPr>
          <w:rFonts w:ascii="標楷體" w:eastAsia="標楷體" w:hAnsi="標楷體" w:hint="eastAsia"/>
        </w:rPr>
        <w:t>，即</w:t>
      </w:r>
      <w:proofErr w:type="gramStart"/>
      <w:r w:rsidRPr="00430D32">
        <w:rPr>
          <w:rFonts w:ascii="標楷體" w:eastAsia="標楷體" w:hAnsi="標楷體" w:hint="eastAsia"/>
        </w:rPr>
        <w:t>逕</w:t>
      </w:r>
      <w:proofErr w:type="gramEnd"/>
      <w:r w:rsidRPr="00430D32">
        <w:rPr>
          <w:rFonts w:ascii="標楷體" w:eastAsia="標楷體" w:hAnsi="標楷體" w:hint="eastAsia"/>
        </w:rPr>
        <w:t>將委託專案管理及監造服務項目</w:t>
      </w:r>
      <w:proofErr w:type="gramStart"/>
      <w:r w:rsidRPr="00430D32">
        <w:rPr>
          <w:rFonts w:ascii="標楷體" w:eastAsia="標楷體" w:hAnsi="標楷體" w:hint="eastAsia"/>
        </w:rPr>
        <w:t>併案招</w:t>
      </w:r>
      <w:proofErr w:type="gramEnd"/>
      <w:r w:rsidRPr="00430D32">
        <w:rPr>
          <w:rFonts w:ascii="標楷體" w:eastAsia="標楷體" w:hAnsi="標楷體" w:hint="eastAsia"/>
        </w:rPr>
        <w:t>、決標</w:t>
      </w:r>
      <w:r w:rsidRPr="00430D32">
        <w:rPr>
          <w:rFonts w:ascii="標楷體" w:eastAsia="標楷體" w:hAnsi="標楷體"/>
        </w:rPr>
        <w:t>，</w:t>
      </w:r>
      <w:r w:rsidRPr="00430D32">
        <w:rPr>
          <w:rFonts w:ascii="標楷體" w:eastAsia="標楷體" w:hAnsi="標楷體" w:hint="eastAsia"/>
        </w:rPr>
        <w:t>復因各該機關未自行監督專案管理廠商之監造工作，使專案管理廠商之工作範圍同時包括相關監造服務，及對於監造廠商（同為專案管理廠商）之履約監督管理。</w:t>
      </w:r>
      <w:proofErr w:type="gramStart"/>
      <w:r w:rsidRPr="00430D32">
        <w:rPr>
          <w:rFonts w:ascii="標楷體" w:eastAsia="標楷體" w:hAnsi="標楷體" w:hint="eastAsia"/>
        </w:rPr>
        <w:t>惟於統包</w:t>
      </w:r>
      <w:proofErr w:type="gramEnd"/>
      <w:r w:rsidRPr="00430D32">
        <w:rPr>
          <w:rFonts w:ascii="標楷體" w:eastAsia="標楷體" w:hAnsi="標楷體" w:hint="eastAsia"/>
        </w:rPr>
        <w:t>工程施工階段，因專案管理廠商及監造廠商皆為同一團隊，造成專案管理廠商未能落實監督屬同一團隊之監造廠商，相關案件（表</w:t>
      </w:r>
      <w:r w:rsidRPr="00430D32">
        <w:rPr>
          <w:rFonts w:ascii="標楷體" w:eastAsia="標楷體" w:hAnsi="標楷體"/>
        </w:rPr>
        <w:t>7</w:t>
      </w:r>
      <w:r w:rsidR="0017194E">
        <w:rPr>
          <w:rFonts w:ascii="標楷體" w:eastAsia="標楷體" w:hAnsi="標楷體" w:hint="eastAsia"/>
        </w:rPr>
        <w:t>，</w:t>
      </w:r>
      <w:r w:rsidRPr="00430D32">
        <w:rPr>
          <w:rFonts w:ascii="標楷體" w:eastAsia="標楷體" w:hAnsi="標楷體" w:hint="eastAsia"/>
        </w:rPr>
        <w:t>序號1至3</w:t>
      </w:r>
      <w:r w:rsidRPr="00430D32">
        <w:rPr>
          <w:rFonts w:ascii="標楷體" w:eastAsia="標楷體" w:hAnsi="標楷體"/>
        </w:rPr>
        <w:t>）</w:t>
      </w:r>
      <w:r w:rsidR="00CF1B20">
        <w:rPr>
          <w:rFonts w:ascii="標楷體" w:eastAsia="標楷體" w:hAnsi="標楷體" w:hint="eastAsia"/>
        </w:rPr>
        <w:t>之缺失，</w:t>
      </w:r>
      <w:r w:rsidRPr="00430D32">
        <w:rPr>
          <w:rFonts w:ascii="標楷體" w:eastAsia="標楷體" w:hAnsi="標楷體" w:hint="eastAsia"/>
        </w:rPr>
        <w:t>本處前已個別通知機關檢討改善在案。</w:t>
      </w:r>
      <w:proofErr w:type="gramStart"/>
      <w:r w:rsidRPr="00430D32">
        <w:rPr>
          <w:rFonts w:ascii="標楷體" w:eastAsia="標楷體" w:hAnsi="標楷體" w:hint="eastAsia"/>
        </w:rPr>
        <w:t>嗣</w:t>
      </w:r>
      <w:proofErr w:type="gramEnd"/>
      <w:r w:rsidRPr="00430D32">
        <w:rPr>
          <w:rFonts w:ascii="標楷體" w:eastAsia="標楷體" w:hAnsi="標楷體" w:hint="eastAsia"/>
        </w:rPr>
        <w:t>經本處於</w:t>
      </w:r>
      <w:r w:rsidRPr="00430D32">
        <w:rPr>
          <w:rFonts w:ascii="標楷體" w:eastAsia="標楷體" w:hAnsi="標楷體"/>
        </w:rPr>
        <w:t>113年9月間</w:t>
      </w:r>
      <w:r w:rsidRPr="00430D32">
        <w:rPr>
          <w:rFonts w:ascii="標楷體" w:eastAsia="標楷體" w:hAnsi="標楷體" w:hint="eastAsia"/>
        </w:rPr>
        <w:t>擴大調查臺北市政府所屬機關於</w:t>
      </w:r>
      <w:proofErr w:type="gramStart"/>
      <w:r w:rsidRPr="00430D32">
        <w:rPr>
          <w:rFonts w:ascii="標楷體" w:eastAsia="標楷體" w:hAnsi="標楷體"/>
        </w:rPr>
        <w:t>113年1至8月</w:t>
      </w:r>
      <w:r w:rsidRPr="00430D32">
        <w:rPr>
          <w:rFonts w:ascii="標楷體" w:eastAsia="標楷體" w:hAnsi="標楷體" w:hint="eastAsia"/>
        </w:rPr>
        <w:t>間以委託</w:t>
      </w:r>
      <w:proofErr w:type="gramEnd"/>
      <w:r w:rsidRPr="00430D32">
        <w:rPr>
          <w:rFonts w:ascii="標楷體" w:eastAsia="標楷體" w:hAnsi="標楷體" w:hint="eastAsia"/>
        </w:rPr>
        <w:t>專案管理與監造服務</w:t>
      </w:r>
      <w:proofErr w:type="gramStart"/>
      <w:r w:rsidRPr="00430D32">
        <w:rPr>
          <w:rFonts w:ascii="標楷體" w:eastAsia="標楷體" w:hAnsi="標楷體" w:hint="eastAsia"/>
        </w:rPr>
        <w:t>併</w:t>
      </w:r>
      <w:proofErr w:type="gramEnd"/>
      <w:r w:rsidRPr="00430D32">
        <w:rPr>
          <w:rFonts w:ascii="標楷體" w:eastAsia="標楷體" w:hAnsi="標楷體" w:hint="eastAsia"/>
        </w:rPr>
        <w:t>同招（決）標方式辦理，且未排除重複及利益衝突情形者，發現計有4件委託專案管理案件，亦有類同情事（表</w:t>
      </w:r>
      <w:r w:rsidRPr="00430D32">
        <w:rPr>
          <w:rFonts w:ascii="標楷體" w:eastAsia="標楷體" w:hAnsi="標楷體"/>
        </w:rPr>
        <w:t>7</w:t>
      </w:r>
      <w:r w:rsidR="0017194E">
        <w:rPr>
          <w:rFonts w:ascii="標楷體" w:eastAsia="標楷體" w:hAnsi="標楷體" w:hint="eastAsia"/>
        </w:rPr>
        <w:t>，</w:t>
      </w:r>
      <w:r w:rsidRPr="00430D32">
        <w:rPr>
          <w:rFonts w:ascii="標楷體" w:eastAsia="標楷體" w:hAnsi="標楷體" w:hint="eastAsia"/>
        </w:rPr>
        <w:t>序號4至7），經函請臺北市政府</w:t>
      </w:r>
      <w:proofErr w:type="gramStart"/>
      <w:r w:rsidRPr="00430D32">
        <w:rPr>
          <w:rFonts w:ascii="標楷體" w:eastAsia="標楷體" w:hAnsi="標楷體" w:hint="eastAsia"/>
        </w:rPr>
        <w:t>研</w:t>
      </w:r>
      <w:proofErr w:type="gramEnd"/>
      <w:r w:rsidRPr="00430D32">
        <w:rPr>
          <w:rFonts w:ascii="標楷體" w:eastAsia="標楷體" w:hAnsi="標楷體" w:hint="eastAsia"/>
        </w:rPr>
        <w:t>謀改善。據復：該府</w:t>
      </w:r>
      <w:proofErr w:type="gramStart"/>
      <w:r w:rsidRPr="00430D32">
        <w:rPr>
          <w:rFonts w:ascii="標楷體" w:eastAsia="標楷體" w:hAnsi="標楷體" w:hint="eastAsia"/>
        </w:rPr>
        <w:t>業已修頒新版</w:t>
      </w:r>
      <w:proofErr w:type="gramEnd"/>
      <w:r w:rsidRPr="00430D32">
        <w:rPr>
          <w:rFonts w:ascii="標楷體" w:eastAsia="標楷體" w:hAnsi="標楷體" w:hint="eastAsia"/>
        </w:rPr>
        <w:t>「公共工程施工階段契約約定權責分工表」</w:t>
      </w:r>
      <w:r w:rsidRPr="00430D32">
        <w:rPr>
          <w:rFonts w:ascii="標楷體" w:eastAsia="標楷體" w:hAnsi="標楷體"/>
        </w:rPr>
        <w:t>（下稱</w:t>
      </w:r>
      <w:r w:rsidRPr="00430D32">
        <w:rPr>
          <w:rFonts w:ascii="標楷體" w:eastAsia="標楷體" w:hAnsi="標楷體" w:hint="eastAsia"/>
        </w:rPr>
        <w:t>權責分工表</w:t>
      </w:r>
      <w:r w:rsidRPr="00430D32">
        <w:rPr>
          <w:rFonts w:ascii="標楷體" w:eastAsia="標楷體" w:hAnsi="標楷體"/>
        </w:rPr>
        <w:t>）</w:t>
      </w:r>
      <w:r w:rsidRPr="00430D32">
        <w:rPr>
          <w:rFonts w:ascii="標楷體" w:eastAsia="標楷體" w:hAnsi="標楷體" w:hint="eastAsia"/>
        </w:rPr>
        <w:t>，將原權責分工表（有、</w:t>
      </w:r>
      <w:r w:rsidRPr="005A7C75">
        <w:rPr>
          <w:rFonts w:ascii="標楷體" w:eastAsia="標楷體" w:hAnsi="標楷體" w:hint="eastAsia"/>
          <w:spacing w:val="-4"/>
        </w:rPr>
        <w:t>無委託專案管理廠商）</w:t>
      </w:r>
      <w:r w:rsidRPr="005A7C75">
        <w:rPr>
          <w:rFonts w:ascii="標楷體" w:eastAsia="標楷體" w:hAnsi="標楷體"/>
          <w:spacing w:val="-4"/>
        </w:rPr>
        <w:t>2表，改依委託技術服務工作內容，分為「權責</w:t>
      </w:r>
      <w:r w:rsidR="005A7C75" w:rsidRPr="005A7C75">
        <w:rPr>
          <w:rFonts w:ascii="標楷體" w:eastAsia="標楷體" w:hAnsi="標楷體"/>
          <w:spacing w:val="-4"/>
        </w:rPr>
        <w:t>分工表</w:t>
      </w:r>
    </w:p>
    <w:tbl>
      <w:tblPr>
        <w:tblStyle w:val="a6"/>
        <w:tblpPr w:leftFromText="180" w:rightFromText="180" w:vertAnchor="text" w:horzAnchor="margin" w:tblpY="277"/>
        <w:tblW w:w="9923" w:type="dxa"/>
        <w:tblLayout w:type="fixed"/>
        <w:tblLook w:val="04A0" w:firstRow="1" w:lastRow="0" w:firstColumn="1" w:lastColumn="0" w:noHBand="0" w:noVBand="1"/>
      </w:tblPr>
      <w:tblGrid>
        <w:gridCol w:w="431"/>
        <w:gridCol w:w="1412"/>
        <w:gridCol w:w="2977"/>
        <w:gridCol w:w="992"/>
        <w:gridCol w:w="851"/>
        <w:gridCol w:w="3260"/>
      </w:tblGrid>
      <w:tr w:rsidR="0029756E" w:rsidRPr="00496E9E" w14:paraId="32A625E2" w14:textId="77777777" w:rsidTr="00496E9E">
        <w:tc>
          <w:tcPr>
            <w:tcW w:w="9923" w:type="dxa"/>
            <w:gridSpan w:val="6"/>
            <w:tcBorders>
              <w:top w:val="nil"/>
              <w:left w:val="nil"/>
              <w:bottom w:val="nil"/>
              <w:right w:val="nil"/>
            </w:tcBorders>
            <w:vAlign w:val="center"/>
          </w:tcPr>
          <w:p w14:paraId="017CFA97" w14:textId="77777777" w:rsidR="0029756E" w:rsidRPr="005A7C75" w:rsidRDefault="0029756E" w:rsidP="00496E9E">
            <w:pPr>
              <w:kinsoku w:val="0"/>
              <w:overflowPunct w:val="0"/>
              <w:autoSpaceDE w:val="0"/>
              <w:autoSpaceDN w:val="0"/>
              <w:spacing w:line="240" w:lineRule="exact"/>
              <w:jc w:val="center"/>
              <w:textAlignment w:val="center"/>
              <w:rPr>
                <w:rFonts w:ascii="標楷體" w:eastAsia="標楷體" w:hAnsi="標楷體"/>
                <w:sz w:val="24"/>
                <w:szCs w:val="24"/>
              </w:rPr>
            </w:pPr>
            <w:r w:rsidRPr="005A7C75">
              <w:rPr>
                <w:rFonts w:ascii="標楷體" w:eastAsia="標楷體" w:hAnsi="標楷體" w:hint="eastAsia"/>
                <w:b/>
                <w:sz w:val="24"/>
                <w:szCs w:val="24"/>
              </w:rPr>
              <w:t>表</w:t>
            </w:r>
            <w:r w:rsidRPr="005A7C75">
              <w:rPr>
                <w:rFonts w:ascii="標楷體" w:eastAsia="標楷體" w:hAnsi="標楷體"/>
                <w:b/>
                <w:sz w:val="24"/>
                <w:szCs w:val="24"/>
              </w:rPr>
              <w:t>7</w:t>
            </w:r>
            <w:r w:rsidRPr="005A7C75">
              <w:rPr>
                <w:rFonts w:ascii="標楷體" w:eastAsia="標楷體" w:hAnsi="標楷體" w:hint="eastAsia"/>
                <w:b/>
                <w:sz w:val="24"/>
                <w:szCs w:val="24"/>
              </w:rPr>
              <w:t xml:space="preserve"> 委託專案管理與監造</w:t>
            </w:r>
            <w:proofErr w:type="gramStart"/>
            <w:r w:rsidRPr="005A7C75">
              <w:rPr>
                <w:rFonts w:ascii="標楷體" w:eastAsia="標楷體" w:hAnsi="標楷體" w:hint="eastAsia"/>
                <w:b/>
                <w:sz w:val="24"/>
                <w:szCs w:val="24"/>
              </w:rPr>
              <w:t>併</w:t>
            </w:r>
            <w:proofErr w:type="gramEnd"/>
            <w:r w:rsidRPr="005A7C75">
              <w:rPr>
                <w:rFonts w:ascii="標楷體" w:eastAsia="標楷體" w:hAnsi="標楷體" w:hint="eastAsia"/>
                <w:b/>
                <w:sz w:val="24"/>
                <w:szCs w:val="24"/>
              </w:rPr>
              <w:t>案招標案件抽查情形</w:t>
            </w:r>
          </w:p>
        </w:tc>
      </w:tr>
      <w:tr w:rsidR="0029756E" w:rsidRPr="00496E9E" w14:paraId="7159F6C4" w14:textId="77777777" w:rsidTr="00496E9E">
        <w:tc>
          <w:tcPr>
            <w:tcW w:w="9923" w:type="dxa"/>
            <w:gridSpan w:val="6"/>
            <w:tcBorders>
              <w:top w:val="nil"/>
              <w:left w:val="nil"/>
              <w:bottom w:val="single" w:sz="4" w:space="0" w:color="auto"/>
              <w:right w:val="nil"/>
            </w:tcBorders>
            <w:vAlign w:val="center"/>
          </w:tcPr>
          <w:p w14:paraId="2B081D54" w14:textId="77777777" w:rsidR="0029756E" w:rsidRPr="00496E9E" w:rsidRDefault="0029756E" w:rsidP="00496E9E">
            <w:pPr>
              <w:widowControl/>
              <w:spacing w:line="240" w:lineRule="exact"/>
              <w:jc w:val="right"/>
              <w:rPr>
                <w:rFonts w:ascii="標楷體" w:eastAsia="標楷體" w:hAnsi="標楷體"/>
              </w:rPr>
            </w:pPr>
            <w:r w:rsidRPr="00496E9E">
              <w:rPr>
                <w:rFonts w:ascii="標楷體" w:eastAsia="標楷體" w:hAnsi="標楷體" w:hint="eastAsia"/>
                <w:bCs/>
              </w:rPr>
              <w:t>單位：新臺幣千元</w:t>
            </w:r>
          </w:p>
        </w:tc>
      </w:tr>
      <w:tr w:rsidR="0029756E" w:rsidRPr="00496E9E" w14:paraId="4FFA16E9" w14:textId="77777777" w:rsidTr="00496E9E">
        <w:tc>
          <w:tcPr>
            <w:tcW w:w="431" w:type="dxa"/>
            <w:tcBorders>
              <w:bottom w:val="single" w:sz="4" w:space="0" w:color="auto"/>
            </w:tcBorders>
            <w:vAlign w:val="center"/>
          </w:tcPr>
          <w:p w14:paraId="235CBE32" w14:textId="77777777" w:rsidR="0029756E" w:rsidRPr="00496E9E" w:rsidRDefault="0029756E" w:rsidP="00496E9E">
            <w:pPr>
              <w:spacing w:line="240" w:lineRule="exact"/>
              <w:jc w:val="center"/>
              <w:rPr>
                <w:rFonts w:ascii="標楷體" w:eastAsia="標楷體" w:hAnsi="標楷體"/>
                <w:spacing w:val="-10"/>
              </w:rPr>
            </w:pPr>
            <w:r w:rsidRPr="00496E9E">
              <w:rPr>
                <w:rFonts w:ascii="標楷體" w:eastAsia="標楷體" w:hAnsi="標楷體" w:hint="eastAsia"/>
                <w:spacing w:val="-10"/>
              </w:rPr>
              <w:t>序號</w:t>
            </w:r>
          </w:p>
        </w:tc>
        <w:tc>
          <w:tcPr>
            <w:tcW w:w="1412" w:type="dxa"/>
            <w:tcBorders>
              <w:left w:val="single" w:sz="4" w:space="0" w:color="auto"/>
              <w:bottom w:val="single" w:sz="4" w:space="0" w:color="auto"/>
            </w:tcBorders>
            <w:vAlign w:val="center"/>
          </w:tcPr>
          <w:p w14:paraId="37F93F22" w14:textId="77777777" w:rsidR="0029756E" w:rsidRPr="00496E9E" w:rsidDel="00EF3D30" w:rsidRDefault="0029756E" w:rsidP="00496E9E">
            <w:pPr>
              <w:spacing w:line="240" w:lineRule="exact"/>
              <w:jc w:val="center"/>
              <w:rPr>
                <w:rFonts w:ascii="標楷體" w:eastAsia="標楷體" w:hAnsi="標楷體"/>
                <w:spacing w:val="-10"/>
              </w:rPr>
            </w:pPr>
            <w:r w:rsidRPr="00496E9E">
              <w:rPr>
                <w:rFonts w:ascii="標楷體" w:eastAsia="標楷體" w:hAnsi="標楷體"/>
                <w:spacing w:val="-10"/>
              </w:rPr>
              <w:t>機關別</w:t>
            </w:r>
          </w:p>
        </w:tc>
        <w:tc>
          <w:tcPr>
            <w:tcW w:w="2977" w:type="dxa"/>
            <w:tcBorders>
              <w:bottom w:val="single" w:sz="4" w:space="0" w:color="auto"/>
            </w:tcBorders>
            <w:vAlign w:val="center"/>
          </w:tcPr>
          <w:p w14:paraId="6FF7D351"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案件名稱</w:t>
            </w:r>
          </w:p>
        </w:tc>
        <w:tc>
          <w:tcPr>
            <w:tcW w:w="992" w:type="dxa"/>
            <w:tcBorders>
              <w:left w:val="single" w:sz="4" w:space="0" w:color="auto"/>
              <w:right w:val="single" w:sz="4" w:space="0" w:color="auto"/>
            </w:tcBorders>
            <w:vAlign w:val="center"/>
          </w:tcPr>
          <w:p w14:paraId="1172ADB5"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決標日期</w:t>
            </w:r>
          </w:p>
        </w:tc>
        <w:tc>
          <w:tcPr>
            <w:tcW w:w="851" w:type="dxa"/>
            <w:tcBorders>
              <w:left w:val="single" w:sz="4" w:space="0" w:color="auto"/>
              <w:right w:val="single" w:sz="4" w:space="0" w:color="auto"/>
            </w:tcBorders>
            <w:vAlign w:val="center"/>
          </w:tcPr>
          <w:p w14:paraId="777EC627"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決標</w:t>
            </w:r>
          </w:p>
          <w:p w14:paraId="5584B85C"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金額</w:t>
            </w:r>
          </w:p>
        </w:tc>
        <w:tc>
          <w:tcPr>
            <w:tcW w:w="3260" w:type="dxa"/>
            <w:tcBorders>
              <w:left w:val="single" w:sz="4" w:space="0" w:color="auto"/>
            </w:tcBorders>
            <w:vAlign w:val="center"/>
          </w:tcPr>
          <w:p w14:paraId="5FA1745E" w14:textId="77777777" w:rsidR="0029756E" w:rsidRPr="00496E9E" w:rsidRDefault="0029756E" w:rsidP="00496E9E">
            <w:pPr>
              <w:widowControl/>
              <w:spacing w:line="240" w:lineRule="exact"/>
              <w:jc w:val="center"/>
              <w:rPr>
                <w:rFonts w:ascii="標楷體" w:eastAsia="標楷體" w:hAnsi="標楷體"/>
              </w:rPr>
            </w:pPr>
            <w:r w:rsidRPr="00496E9E">
              <w:rPr>
                <w:rFonts w:ascii="標楷體" w:eastAsia="標楷體" w:hAnsi="標楷體" w:hint="eastAsia"/>
              </w:rPr>
              <w:t>抽查發現缺失</w:t>
            </w:r>
          </w:p>
        </w:tc>
      </w:tr>
      <w:tr w:rsidR="0029756E" w:rsidRPr="00496E9E" w14:paraId="08823C2A" w14:textId="77777777" w:rsidTr="00496E9E">
        <w:tc>
          <w:tcPr>
            <w:tcW w:w="431" w:type="dxa"/>
            <w:vAlign w:val="center"/>
          </w:tcPr>
          <w:p w14:paraId="484DBD8A"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spacing w:val="-10"/>
              </w:rPr>
              <w:t>1</w:t>
            </w:r>
          </w:p>
        </w:tc>
        <w:tc>
          <w:tcPr>
            <w:tcW w:w="1412" w:type="dxa"/>
            <w:tcBorders>
              <w:left w:val="single" w:sz="4" w:space="0" w:color="auto"/>
            </w:tcBorders>
            <w:vAlign w:val="center"/>
          </w:tcPr>
          <w:p w14:paraId="696D2941" w14:textId="77777777" w:rsidR="0029756E" w:rsidRPr="00496E9E" w:rsidDel="000055A5" w:rsidRDefault="0029756E" w:rsidP="00496E9E">
            <w:pPr>
              <w:spacing w:line="240" w:lineRule="exact"/>
              <w:jc w:val="center"/>
              <w:rPr>
                <w:rFonts w:ascii="標楷體" w:eastAsia="標楷體" w:hAnsi="標楷體"/>
                <w:spacing w:val="-10"/>
              </w:rPr>
            </w:pPr>
            <w:r w:rsidRPr="00496E9E">
              <w:rPr>
                <w:rFonts w:ascii="標楷體" w:eastAsia="標楷體" w:hAnsi="標楷體" w:hint="eastAsia"/>
                <w:spacing w:val="-10"/>
              </w:rPr>
              <w:t>都市發展局</w:t>
            </w:r>
          </w:p>
        </w:tc>
        <w:tc>
          <w:tcPr>
            <w:tcW w:w="2977" w:type="dxa"/>
            <w:tcBorders>
              <w:bottom w:val="single" w:sz="4" w:space="0" w:color="auto"/>
            </w:tcBorders>
            <w:vAlign w:val="center"/>
          </w:tcPr>
          <w:p w14:paraId="1BD47F74" w14:textId="77777777" w:rsidR="0029756E" w:rsidRPr="00496E9E" w:rsidRDefault="0029756E" w:rsidP="00496E9E">
            <w:pPr>
              <w:widowControl/>
              <w:spacing w:line="240" w:lineRule="exact"/>
              <w:jc w:val="both"/>
              <w:rPr>
                <w:rFonts w:ascii="標楷體" w:eastAsia="標楷體" w:hAnsi="標楷體"/>
                <w:spacing w:val="-10"/>
              </w:rPr>
            </w:pPr>
            <w:r w:rsidRPr="00496E9E">
              <w:rPr>
                <w:rFonts w:ascii="標楷體" w:eastAsia="標楷體" w:hAnsi="標楷體" w:hint="eastAsia"/>
                <w:spacing w:val="-10"/>
              </w:rPr>
              <w:t>臺北市公共住宅新建工程第</w:t>
            </w:r>
            <w:r w:rsidRPr="00496E9E">
              <w:rPr>
                <w:rFonts w:ascii="標楷體" w:eastAsia="標楷體" w:hAnsi="標楷體"/>
                <w:spacing w:val="-10"/>
              </w:rPr>
              <w:t>2標(第2-2項文山區景美女中調車場基地)委託專案管理(</w:t>
            </w:r>
            <w:proofErr w:type="gramStart"/>
            <w:r w:rsidRPr="00496E9E">
              <w:rPr>
                <w:rFonts w:ascii="標楷體" w:eastAsia="標楷體" w:hAnsi="標楷體"/>
                <w:spacing w:val="-10"/>
              </w:rPr>
              <w:t>含監造</w:t>
            </w:r>
            <w:proofErr w:type="gramEnd"/>
            <w:r w:rsidRPr="00496E9E">
              <w:rPr>
                <w:rFonts w:ascii="標楷體" w:eastAsia="標楷體" w:hAnsi="標楷體"/>
                <w:spacing w:val="-10"/>
              </w:rPr>
              <w:t>)技術服務案</w:t>
            </w:r>
          </w:p>
        </w:tc>
        <w:tc>
          <w:tcPr>
            <w:tcW w:w="992" w:type="dxa"/>
            <w:tcBorders>
              <w:left w:val="single" w:sz="4" w:space="0" w:color="auto"/>
              <w:right w:val="single" w:sz="4" w:space="0" w:color="auto"/>
            </w:tcBorders>
            <w:vAlign w:val="center"/>
          </w:tcPr>
          <w:p w14:paraId="422A3AA4"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105.1.29</w:t>
            </w:r>
          </w:p>
        </w:tc>
        <w:tc>
          <w:tcPr>
            <w:tcW w:w="851" w:type="dxa"/>
            <w:tcBorders>
              <w:left w:val="single" w:sz="4" w:space="0" w:color="auto"/>
              <w:right w:val="single" w:sz="4" w:space="0" w:color="auto"/>
            </w:tcBorders>
            <w:vAlign w:val="center"/>
          </w:tcPr>
          <w:p w14:paraId="69187394" w14:textId="77777777" w:rsidR="0029756E" w:rsidRPr="00496E9E" w:rsidRDefault="0029756E" w:rsidP="00496E9E">
            <w:pPr>
              <w:widowControl/>
              <w:spacing w:line="240" w:lineRule="exact"/>
              <w:jc w:val="right"/>
              <w:rPr>
                <w:rFonts w:ascii="標楷體" w:eastAsia="標楷體" w:hAnsi="標楷體"/>
                <w:spacing w:val="-10"/>
              </w:rPr>
            </w:pPr>
            <w:r w:rsidRPr="00496E9E">
              <w:rPr>
                <w:rFonts w:ascii="標楷體" w:eastAsia="標楷體" w:hAnsi="標楷體"/>
                <w:spacing w:val="-10"/>
              </w:rPr>
              <w:t>41,020</w:t>
            </w:r>
          </w:p>
        </w:tc>
        <w:tc>
          <w:tcPr>
            <w:tcW w:w="3260" w:type="dxa"/>
            <w:tcBorders>
              <w:left w:val="single" w:sz="4" w:space="0" w:color="auto"/>
            </w:tcBorders>
            <w:vAlign w:val="center"/>
          </w:tcPr>
          <w:p w14:paraId="6A16D1F9" w14:textId="77777777" w:rsidR="0029756E" w:rsidRPr="00496E9E" w:rsidRDefault="0029756E" w:rsidP="00496E9E">
            <w:pPr>
              <w:widowControl/>
              <w:spacing w:line="240" w:lineRule="exact"/>
              <w:jc w:val="both"/>
              <w:rPr>
                <w:rFonts w:ascii="標楷體" w:eastAsia="標楷體" w:hAnsi="標楷體"/>
              </w:rPr>
            </w:pPr>
            <w:r w:rsidRPr="00496E9E">
              <w:rPr>
                <w:rFonts w:ascii="標楷體" w:eastAsia="標楷體" w:hAnsi="標楷體" w:hint="eastAsia"/>
              </w:rPr>
              <w:t>本工程工期檢討過程，專案管理（含監造）廠商均同意不符規定之展延工期計136日。</w:t>
            </w:r>
          </w:p>
        </w:tc>
      </w:tr>
      <w:tr w:rsidR="0029756E" w:rsidRPr="00496E9E" w14:paraId="2B792FC1" w14:textId="77777777" w:rsidTr="00496E9E">
        <w:trPr>
          <w:trHeight w:val="1185"/>
        </w:trPr>
        <w:tc>
          <w:tcPr>
            <w:tcW w:w="431" w:type="dxa"/>
            <w:vAlign w:val="center"/>
          </w:tcPr>
          <w:p w14:paraId="074AD0A8"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spacing w:val="-10"/>
              </w:rPr>
              <w:t>2</w:t>
            </w:r>
          </w:p>
        </w:tc>
        <w:tc>
          <w:tcPr>
            <w:tcW w:w="1412" w:type="dxa"/>
            <w:tcBorders>
              <w:left w:val="single" w:sz="4" w:space="0" w:color="auto"/>
            </w:tcBorders>
            <w:vAlign w:val="center"/>
          </w:tcPr>
          <w:p w14:paraId="5C3375C0" w14:textId="77777777" w:rsidR="0029756E" w:rsidRPr="00496E9E" w:rsidRDefault="0029756E" w:rsidP="00496E9E">
            <w:pPr>
              <w:spacing w:line="240" w:lineRule="exact"/>
              <w:jc w:val="center"/>
              <w:rPr>
                <w:rFonts w:ascii="標楷體" w:eastAsia="標楷體" w:hAnsi="標楷體"/>
                <w:spacing w:val="-10"/>
              </w:rPr>
            </w:pPr>
            <w:r w:rsidRPr="00496E9E">
              <w:rPr>
                <w:rFonts w:ascii="標楷體" w:eastAsia="標楷體" w:hAnsi="標楷體" w:hint="eastAsia"/>
                <w:spacing w:val="-10"/>
              </w:rPr>
              <w:t>工務局</w:t>
            </w:r>
          </w:p>
          <w:p w14:paraId="3D3933D9" w14:textId="77777777" w:rsidR="0029756E" w:rsidRPr="00496E9E" w:rsidRDefault="0029756E" w:rsidP="00496E9E">
            <w:pPr>
              <w:spacing w:line="240" w:lineRule="exact"/>
              <w:jc w:val="center"/>
              <w:rPr>
                <w:rFonts w:ascii="標楷體" w:eastAsia="標楷體" w:hAnsi="標楷體"/>
                <w:spacing w:val="-10"/>
              </w:rPr>
            </w:pPr>
            <w:r w:rsidRPr="00496E9E">
              <w:rPr>
                <w:rFonts w:ascii="標楷體" w:eastAsia="標楷體" w:hAnsi="標楷體" w:hint="eastAsia"/>
                <w:spacing w:val="-10"/>
              </w:rPr>
              <w:t>新建工程處</w:t>
            </w:r>
          </w:p>
        </w:tc>
        <w:tc>
          <w:tcPr>
            <w:tcW w:w="2977" w:type="dxa"/>
            <w:tcBorders>
              <w:top w:val="single" w:sz="4" w:space="0" w:color="auto"/>
            </w:tcBorders>
            <w:vAlign w:val="center"/>
          </w:tcPr>
          <w:p w14:paraId="5686D14A" w14:textId="77777777" w:rsidR="0029756E" w:rsidRPr="00496E9E" w:rsidRDefault="0029756E" w:rsidP="00496E9E">
            <w:pPr>
              <w:spacing w:line="240" w:lineRule="exact"/>
              <w:jc w:val="both"/>
              <w:rPr>
                <w:rFonts w:ascii="標楷體" w:eastAsia="標楷體" w:hAnsi="標楷體"/>
                <w:spacing w:val="-10"/>
              </w:rPr>
            </w:pPr>
            <w:r w:rsidRPr="00496E9E">
              <w:rPr>
                <w:rFonts w:ascii="標楷體" w:eastAsia="標楷體" w:hAnsi="標楷體" w:hint="eastAsia"/>
                <w:spacing w:val="-10"/>
              </w:rPr>
              <w:t>萬大第一果菜及魚類批發市場</w:t>
            </w:r>
            <w:r w:rsidRPr="00496E9E">
              <w:rPr>
                <w:rFonts w:ascii="標楷體" w:eastAsia="標楷體" w:hAnsi="標楷體"/>
                <w:spacing w:val="-10"/>
              </w:rPr>
              <w:t>(</w:t>
            </w:r>
            <w:proofErr w:type="gramStart"/>
            <w:r w:rsidRPr="00496E9E">
              <w:rPr>
                <w:rFonts w:ascii="標楷體" w:eastAsia="標楷體" w:hAnsi="標楷體" w:hint="eastAsia"/>
                <w:spacing w:val="-10"/>
              </w:rPr>
              <w:t>含堤內中</w:t>
            </w:r>
            <w:proofErr w:type="gramEnd"/>
            <w:r w:rsidRPr="00496E9E">
              <w:rPr>
                <w:rFonts w:ascii="標楷體" w:eastAsia="標楷體" w:hAnsi="標楷體" w:hint="eastAsia"/>
                <w:spacing w:val="-10"/>
              </w:rPr>
              <w:t>繼</w:t>
            </w:r>
            <w:r w:rsidRPr="00496E9E">
              <w:rPr>
                <w:rFonts w:ascii="標楷體" w:eastAsia="標楷體" w:hAnsi="標楷體"/>
                <w:spacing w:val="-10"/>
              </w:rPr>
              <w:t>)</w:t>
            </w:r>
            <w:r w:rsidRPr="00496E9E">
              <w:rPr>
                <w:rFonts w:ascii="標楷體" w:eastAsia="標楷體" w:hAnsi="標楷體" w:hint="eastAsia"/>
                <w:spacing w:val="-10"/>
              </w:rPr>
              <w:t>改建工程委託專案管理及監造技術服務</w:t>
            </w:r>
          </w:p>
        </w:tc>
        <w:tc>
          <w:tcPr>
            <w:tcW w:w="992" w:type="dxa"/>
            <w:tcBorders>
              <w:left w:val="single" w:sz="4" w:space="0" w:color="auto"/>
              <w:right w:val="single" w:sz="4" w:space="0" w:color="auto"/>
            </w:tcBorders>
            <w:vAlign w:val="center"/>
          </w:tcPr>
          <w:p w14:paraId="0D17EC56"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107.1.12</w:t>
            </w:r>
          </w:p>
        </w:tc>
        <w:tc>
          <w:tcPr>
            <w:tcW w:w="851" w:type="dxa"/>
            <w:tcBorders>
              <w:left w:val="single" w:sz="4" w:space="0" w:color="auto"/>
              <w:right w:val="single" w:sz="4" w:space="0" w:color="auto"/>
            </w:tcBorders>
            <w:vAlign w:val="center"/>
          </w:tcPr>
          <w:p w14:paraId="69D25AA8" w14:textId="77777777" w:rsidR="0029756E" w:rsidRPr="00496E9E" w:rsidRDefault="0029756E" w:rsidP="00496E9E">
            <w:pPr>
              <w:widowControl/>
              <w:spacing w:line="240" w:lineRule="exact"/>
              <w:jc w:val="right"/>
              <w:rPr>
                <w:rFonts w:ascii="標楷體" w:eastAsia="標楷體" w:hAnsi="標楷體"/>
                <w:spacing w:val="-10"/>
              </w:rPr>
            </w:pPr>
            <w:r w:rsidRPr="00496E9E">
              <w:rPr>
                <w:rFonts w:ascii="標楷體" w:eastAsia="標楷體" w:hAnsi="標楷體"/>
                <w:spacing w:val="-10"/>
              </w:rPr>
              <w:t>273,001</w:t>
            </w:r>
          </w:p>
        </w:tc>
        <w:tc>
          <w:tcPr>
            <w:tcW w:w="3260" w:type="dxa"/>
            <w:tcBorders>
              <w:left w:val="single" w:sz="4" w:space="0" w:color="auto"/>
            </w:tcBorders>
            <w:vAlign w:val="center"/>
          </w:tcPr>
          <w:p w14:paraId="45ECE0CF" w14:textId="77777777" w:rsidR="0029756E" w:rsidRPr="00496E9E" w:rsidDel="00CE2100" w:rsidRDefault="0029756E" w:rsidP="00496E9E">
            <w:pPr>
              <w:widowControl/>
              <w:spacing w:line="240" w:lineRule="exact"/>
              <w:jc w:val="both"/>
              <w:rPr>
                <w:rFonts w:ascii="標楷體" w:eastAsia="標楷體" w:hAnsi="標楷體"/>
              </w:rPr>
            </w:pPr>
            <w:r w:rsidRPr="00496E9E">
              <w:rPr>
                <w:rFonts w:ascii="標楷體" w:eastAsia="標楷體" w:hAnsi="標楷體" w:hint="eastAsia"/>
              </w:rPr>
              <w:t>施工廠商計算工程物價指數調整款有誤，致機關</w:t>
            </w:r>
            <w:proofErr w:type="gramStart"/>
            <w:r w:rsidRPr="00496E9E">
              <w:rPr>
                <w:rFonts w:ascii="標楷體" w:eastAsia="標楷體" w:hAnsi="標楷體" w:hint="eastAsia"/>
              </w:rPr>
              <w:t>溢付逾千萬元</w:t>
            </w:r>
            <w:proofErr w:type="gramEnd"/>
            <w:r w:rsidRPr="00496E9E">
              <w:rPr>
                <w:rFonts w:ascii="標楷體" w:eastAsia="標楷體" w:hAnsi="標楷體" w:hint="eastAsia"/>
              </w:rPr>
              <w:t>，惟專案管理（含監造）廠商歷次</w:t>
            </w:r>
            <w:proofErr w:type="gramStart"/>
            <w:r w:rsidRPr="00496E9E">
              <w:rPr>
                <w:rFonts w:ascii="標楷體" w:eastAsia="標楷體" w:hAnsi="標楷體" w:hint="eastAsia"/>
              </w:rPr>
              <w:t>審查均未查察</w:t>
            </w:r>
            <w:proofErr w:type="gramEnd"/>
            <w:r w:rsidRPr="00496E9E">
              <w:rPr>
                <w:rFonts w:ascii="標楷體" w:eastAsia="標楷體" w:hAnsi="標楷體" w:hint="eastAsia"/>
              </w:rPr>
              <w:t>發現。</w:t>
            </w:r>
          </w:p>
        </w:tc>
      </w:tr>
      <w:tr w:rsidR="0029756E" w:rsidRPr="00496E9E" w14:paraId="23DE62A8" w14:textId="77777777" w:rsidTr="00496E9E">
        <w:trPr>
          <w:trHeight w:val="1185"/>
        </w:trPr>
        <w:tc>
          <w:tcPr>
            <w:tcW w:w="431" w:type="dxa"/>
            <w:vAlign w:val="center"/>
          </w:tcPr>
          <w:p w14:paraId="6329CEAF"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spacing w:val="-10"/>
              </w:rPr>
              <w:t>3</w:t>
            </w:r>
          </w:p>
        </w:tc>
        <w:tc>
          <w:tcPr>
            <w:tcW w:w="1412" w:type="dxa"/>
            <w:tcBorders>
              <w:left w:val="single" w:sz="4" w:space="0" w:color="auto"/>
            </w:tcBorders>
            <w:vAlign w:val="center"/>
          </w:tcPr>
          <w:p w14:paraId="55EB0C07" w14:textId="77777777" w:rsidR="0029756E" w:rsidRPr="00496E9E" w:rsidRDefault="0029756E" w:rsidP="00496E9E">
            <w:pPr>
              <w:spacing w:line="240" w:lineRule="exact"/>
              <w:jc w:val="center"/>
              <w:rPr>
                <w:rFonts w:ascii="標楷體" w:eastAsia="標楷體" w:hAnsi="標楷體"/>
                <w:spacing w:val="-10"/>
              </w:rPr>
            </w:pPr>
            <w:proofErr w:type="gramStart"/>
            <w:r w:rsidRPr="00496E9E">
              <w:rPr>
                <w:rFonts w:ascii="標楷體" w:eastAsia="標楷體" w:hAnsi="標楷體" w:hint="eastAsia"/>
                <w:spacing w:val="-10"/>
              </w:rPr>
              <w:t>臺</w:t>
            </w:r>
            <w:proofErr w:type="gramEnd"/>
            <w:r w:rsidRPr="00496E9E">
              <w:rPr>
                <w:rFonts w:ascii="標楷體" w:eastAsia="標楷體" w:hAnsi="標楷體" w:hint="eastAsia"/>
                <w:spacing w:val="-10"/>
              </w:rPr>
              <w:t>北大眾捷運股份有限公司</w:t>
            </w:r>
          </w:p>
        </w:tc>
        <w:tc>
          <w:tcPr>
            <w:tcW w:w="2977" w:type="dxa"/>
            <w:tcBorders>
              <w:top w:val="single" w:sz="4" w:space="0" w:color="auto"/>
            </w:tcBorders>
            <w:vAlign w:val="center"/>
          </w:tcPr>
          <w:p w14:paraId="35395D6F" w14:textId="77777777" w:rsidR="0029756E" w:rsidRPr="00496E9E" w:rsidRDefault="0029756E" w:rsidP="00496E9E">
            <w:pPr>
              <w:spacing w:line="240" w:lineRule="exact"/>
              <w:jc w:val="both"/>
              <w:rPr>
                <w:rFonts w:ascii="標楷體" w:eastAsia="標楷體" w:hAnsi="標楷體"/>
                <w:spacing w:val="-10"/>
              </w:rPr>
            </w:pPr>
            <w:r w:rsidRPr="00496E9E">
              <w:rPr>
                <w:rFonts w:ascii="標楷體" w:eastAsia="標楷體" w:hAnsi="標楷體" w:hint="eastAsia"/>
                <w:spacing w:val="-10"/>
              </w:rPr>
              <w:t>捷運士林站</w:t>
            </w:r>
            <w:r w:rsidRPr="00496E9E">
              <w:rPr>
                <w:rFonts w:ascii="標楷體" w:eastAsia="標楷體" w:hAnsi="標楷體"/>
                <w:spacing w:val="-10"/>
              </w:rPr>
              <w:t>TOD</w:t>
            </w:r>
            <w:r w:rsidRPr="00496E9E">
              <w:rPr>
                <w:rFonts w:ascii="標楷體" w:eastAsia="標楷體" w:hAnsi="標楷體" w:hint="eastAsia"/>
                <w:spacing w:val="-10"/>
              </w:rPr>
              <w:t>轉乘設施空間活化及多元服務建置案委託專案管理</w:t>
            </w:r>
            <w:r w:rsidRPr="00496E9E">
              <w:rPr>
                <w:rFonts w:ascii="標楷體" w:eastAsia="標楷體" w:hAnsi="標楷體"/>
                <w:spacing w:val="-10"/>
              </w:rPr>
              <w:t>(</w:t>
            </w:r>
            <w:proofErr w:type="gramStart"/>
            <w:r w:rsidRPr="00496E9E">
              <w:rPr>
                <w:rFonts w:ascii="標楷體" w:eastAsia="標楷體" w:hAnsi="標楷體"/>
                <w:spacing w:val="-10"/>
              </w:rPr>
              <w:t>含監造</w:t>
            </w:r>
            <w:proofErr w:type="gramEnd"/>
            <w:r w:rsidRPr="00496E9E">
              <w:rPr>
                <w:rFonts w:ascii="標楷體" w:eastAsia="標楷體" w:hAnsi="標楷體"/>
                <w:spacing w:val="-10"/>
              </w:rPr>
              <w:t>)技術服務案</w:t>
            </w:r>
          </w:p>
        </w:tc>
        <w:tc>
          <w:tcPr>
            <w:tcW w:w="992" w:type="dxa"/>
            <w:tcBorders>
              <w:left w:val="single" w:sz="4" w:space="0" w:color="auto"/>
              <w:right w:val="single" w:sz="4" w:space="0" w:color="auto"/>
            </w:tcBorders>
            <w:vAlign w:val="center"/>
          </w:tcPr>
          <w:p w14:paraId="74C22C95"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109.1.31</w:t>
            </w:r>
          </w:p>
        </w:tc>
        <w:tc>
          <w:tcPr>
            <w:tcW w:w="851" w:type="dxa"/>
            <w:tcBorders>
              <w:left w:val="single" w:sz="4" w:space="0" w:color="auto"/>
              <w:right w:val="single" w:sz="4" w:space="0" w:color="auto"/>
            </w:tcBorders>
            <w:vAlign w:val="center"/>
          </w:tcPr>
          <w:p w14:paraId="58355859" w14:textId="77777777" w:rsidR="0029756E" w:rsidRPr="00496E9E" w:rsidRDefault="0029756E" w:rsidP="00496E9E">
            <w:pPr>
              <w:widowControl/>
              <w:spacing w:line="240" w:lineRule="exact"/>
              <w:jc w:val="right"/>
              <w:rPr>
                <w:rFonts w:ascii="標楷體" w:eastAsia="標楷體" w:hAnsi="標楷體"/>
                <w:spacing w:val="-10"/>
              </w:rPr>
            </w:pPr>
            <w:r w:rsidRPr="00496E9E">
              <w:rPr>
                <w:rFonts w:ascii="標楷體" w:eastAsia="標楷體" w:hAnsi="標楷體"/>
                <w:spacing w:val="-10"/>
              </w:rPr>
              <w:t>53,000</w:t>
            </w:r>
          </w:p>
        </w:tc>
        <w:tc>
          <w:tcPr>
            <w:tcW w:w="3260" w:type="dxa"/>
            <w:tcBorders>
              <w:left w:val="single" w:sz="4" w:space="0" w:color="auto"/>
            </w:tcBorders>
            <w:vAlign w:val="center"/>
          </w:tcPr>
          <w:p w14:paraId="118B30DE" w14:textId="77777777" w:rsidR="0029756E" w:rsidRPr="00496E9E" w:rsidRDefault="0029756E" w:rsidP="00496E9E">
            <w:pPr>
              <w:widowControl/>
              <w:spacing w:line="240" w:lineRule="exact"/>
              <w:jc w:val="both"/>
              <w:rPr>
                <w:rFonts w:ascii="標楷體" w:eastAsia="標楷體" w:hAnsi="標楷體"/>
              </w:rPr>
            </w:pPr>
            <w:r w:rsidRPr="00496E9E">
              <w:rPr>
                <w:rFonts w:ascii="標楷體" w:eastAsia="標楷體" w:hAnsi="標楷體" w:hint="eastAsia"/>
              </w:rPr>
              <w:t>新建大樓與捷運士林站間之連通道，其</w:t>
            </w:r>
            <w:proofErr w:type="gramStart"/>
            <w:r w:rsidRPr="00496E9E">
              <w:rPr>
                <w:rFonts w:ascii="標楷體" w:eastAsia="標楷體" w:hAnsi="標楷體" w:hint="eastAsia"/>
              </w:rPr>
              <w:t>鋼柱外露</w:t>
            </w:r>
            <w:proofErr w:type="gramEnd"/>
            <w:r w:rsidRPr="00496E9E">
              <w:rPr>
                <w:rFonts w:ascii="標楷體" w:eastAsia="標楷體" w:hAnsi="標楷體" w:hint="eastAsia"/>
              </w:rPr>
              <w:t>部分未依約以熱浸鍍鋅進行防鏽處理，惟專案管理（含監造）</w:t>
            </w:r>
            <w:proofErr w:type="gramStart"/>
            <w:r w:rsidRPr="00496E9E">
              <w:rPr>
                <w:rFonts w:ascii="標楷體" w:eastAsia="標楷體" w:hAnsi="標楷體" w:hint="eastAsia"/>
              </w:rPr>
              <w:t>廠商均未查察</w:t>
            </w:r>
            <w:proofErr w:type="gramEnd"/>
            <w:r w:rsidRPr="00496E9E">
              <w:rPr>
                <w:rFonts w:ascii="標楷體" w:eastAsia="標楷體" w:hAnsi="標楷體" w:hint="eastAsia"/>
              </w:rPr>
              <w:t>發現。</w:t>
            </w:r>
          </w:p>
        </w:tc>
      </w:tr>
      <w:tr w:rsidR="0029756E" w:rsidRPr="00496E9E" w14:paraId="35D848A5" w14:textId="77777777" w:rsidTr="00496E9E">
        <w:tc>
          <w:tcPr>
            <w:tcW w:w="431" w:type="dxa"/>
            <w:tcBorders>
              <w:top w:val="double" w:sz="4" w:space="0" w:color="auto"/>
            </w:tcBorders>
            <w:vAlign w:val="center"/>
          </w:tcPr>
          <w:p w14:paraId="257B8EBD" w14:textId="77777777" w:rsidR="0029756E" w:rsidRPr="00496E9E" w:rsidRDefault="0029756E" w:rsidP="00496E9E">
            <w:pPr>
              <w:spacing w:line="240" w:lineRule="exact"/>
              <w:jc w:val="center"/>
              <w:rPr>
                <w:rFonts w:ascii="標楷體" w:eastAsia="標楷體" w:hAnsi="標楷體"/>
                <w:spacing w:val="-10"/>
              </w:rPr>
            </w:pPr>
            <w:r w:rsidRPr="00496E9E">
              <w:rPr>
                <w:rFonts w:ascii="標楷體" w:eastAsia="標楷體" w:hAnsi="標楷體" w:hint="eastAsia"/>
                <w:spacing w:val="-10"/>
              </w:rPr>
              <w:t>4</w:t>
            </w:r>
          </w:p>
        </w:tc>
        <w:tc>
          <w:tcPr>
            <w:tcW w:w="1412" w:type="dxa"/>
            <w:tcBorders>
              <w:top w:val="double" w:sz="4" w:space="0" w:color="auto"/>
              <w:left w:val="single" w:sz="4" w:space="0" w:color="auto"/>
            </w:tcBorders>
            <w:vAlign w:val="center"/>
          </w:tcPr>
          <w:p w14:paraId="101FBBFC" w14:textId="77777777" w:rsidR="0029756E" w:rsidRPr="00496E9E" w:rsidRDefault="0029756E" w:rsidP="00496E9E">
            <w:pPr>
              <w:spacing w:line="240" w:lineRule="exact"/>
              <w:jc w:val="center"/>
              <w:rPr>
                <w:rFonts w:ascii="標楷體" w:eastAsia="標楷體" w:hAnsi="標楷體"/>
                <w:spacing w:val="-10"/>
              </w:rPr>
            </w:pPr>
            <w:proofErr w:type="gramStart"/>
            <w:r w:rsidRPr="00496E9E">
              <w:rPr>
                <w:rFonts w:ascii="標楷體" w:eastAsia="標楷體" w:hAnsi="標楷體" w:hint="eastAsia"/>
                <w:spacing w:val="-10"/>
              </w:rPr>
              <w:t>臺</w:t>
            </w:r>
            <w:proofErr w:type="gramEnd"/>
            <w:r w:rsidRPr="00496E9E">
              <w:rPr>
                <w:rFonts w:ascii="標楷體" w:eastAsia="標楷體" w:hAnsi="標楷體" w:hint="eastAsia"/>
                <w:spacing w:val="-10"/>
              </w:rPr>
              <w:t>北大眾捷運股份有限公司</w:t>
            </w:r>
          </w:p>
        </w:tc>
        <w:tc>
          <w:tcPr>
            <w:tcW w:w="2977" w:type="dxa"/>
            <w:tcBorders>
              <w:top w:val="double" w:sz="4" w:space="0" w:color="auto"/>
              <w:bottom w:val="single" w:sz="4" w:space="0" w:color="auto"/>
            </w:tcBorders>
            <w:vAlign w:val="center"/>
          </w:tcPr>
          <w:p w14:paraId="2C7B656D" w14:textId="38E69C69" w:rsidR="0029756E" w:rsidRPr="00496E9E" w:rsidRDefault="0029756E" w:rsidP="00496E9E">
            <w:pPr>
              <w:widowControl/>
              <w:spacing w:line="240" w:lineRule="exact"/>
              <w:jc w:val="both"/>
              <w:rPr>
                <w:rFonts w:ascii="標楷體" w:eastAsia="標楷體" w:hAnsi="標楷體"/>
                <w:spacing w:val="-10"/>
              </w:rPr>
            </w:pPr>
            <w:r w:rsidRPr="00496E9E">
              <w:rPr>
                <w:rFonts w:ascii="標楷體" w:eastAsia="標楷體" w:hAnsi="標楷體" w:hint="eastAsia"/>
                <w:spacing w:val="-10"/>
              </w:rPr>
              <w:t>跨市民大道</w:t>
            </w:r>
            <w:proofErr w:type="gramStart"/>
            <w:r w:rsidRPr="00496E9E">
              <w:rPr>
                <w:rFonts w:ascii="標楷體" w:eastAsia="標楷體" w:hAnsi="標楷體" w:hint="eastAsia"/>
                <w:spacing w:val="-10"/>
              </w:rPr>
              <w:t>空廊暨</w:t>
            </w:r>
            <w:proofErr w:type="gramEnd"/>
            <w:r w:rsidRPr="00496E9E">
              <w:rPr>
                <w:rFonts w:ascii="標楷體" w:eastAsia="標楷體" w:hAnsi="標楷體" w:hint="eastAsia"/>
                <w:spacing w:val="-10"/>
              </w:rPr>
              <w:t>線形公園及出入口改造第2期工程委託專案管理</w:t>
            </w:r>
            <w:r w:rsidR="002F0729">
              <w:rPr>
                <w:rFonts w:ascii="標楷體" w:eastAsia="標楷體" w:hAnsi="標楷體" w:hint="eastAsia"/>
                <w:spacing w:val="-10"/>
              </w:rPr>
              <w:t>(</w:t>
            </w:r>
            <w:proofErr w:type="gramStart"/>
            <w:r w:rsidRPr="00496E9E">
              <w:rPr>
                <w:rFonts w:ascii="標楷體" w:eastAsia="標楷體" w:hAnsi="標楷體" w:hint="eastAsia"/>
                <w:spacing w:val="-10"/>
              </w:rPr>
              <w:t>含監造</w:t>
            </w:r>
            <w:proofErr w:type="gramEnd"/>
            <w:r w:rsidR="002F0729">
              <w:rPr>
                <w:rFonts w:ascii="標楷體" w:eastAsia="標楷體" w:hAnsi="標楷體" w:hint="eastAsia"/>
                <w:spacing w:val="-10"/>
              </w:rPr>
              <w:t>)</w:t>
            </w:r>
            <w:r w:rsidRPr="00496E9E">
              <w:rPr>
                <w:rFonts w:ascii="標楷體" w:eastAsia="標楷體" w:hAnsi="標楷體" w:hint="eastAsia"/>
                <w:spacing w:val="-10"/>
              </w:rPr>
              <w:t>技術服務工作</w:t>
            </w:r>
          </w:p>
        </w:tc>
        <w:tc>
          <w:tcPr>
            <w:tcW w:w="992" w:type="dxa"/>
            <w:tcBorders>
              <w:top w:val="double" w:sz="4" w:space="0" w:color="auto"/>
              <w:left w:val="single" w:sz="4" w:space="0" w:color="auto"/>
              <w:right w:val="single" w:sz="4" w:space="0" w:color="auto"/>
            </w:tcBorders>
            <w:vAlign w:val="center"/>
          </w:tcPr>
          <w:p w14:paraId="14EEC6E4"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113.3.4</w:t>
            </w:r>
          </w:p>
        </w:tc>
        <w:tc>
          <w:tcPr>
            <w:tcW w:w="851" w:type="dxa"/>
            <w:tcBorders>
              <w:top w:val="double" w:sz="4" w:space="0" w:color="auto"/>
              <w:left w:val="single" w:sz="4" w:space="0" w:color="auto"/>
              <w:right w:val="single" w:sz="4" w:space="0" w:color="auto"/>
            </w:tcBorders>
            <w:vAlign w:val="center"/>
          </w:tcPr>
          <w:p w14:paraId="2750C676" w14:textId="77777777" w:rsidR="0029756E" w:rsidRPr="00496E9E" w:rsidRDefault="0029756E" w:rsidP="00496E9E">
            <w:pPr>
              <w:widowControl/>
              <w:spacing w:line="240" w:lineRule="exact"/>
              <w:jc w:val="right"/>
              <w:rPr>
                <w:rFonts w:ascii="標楷體" w:eastAsia="標楷體" w:hAnsi="標楷體"/>
                <w:spacing w:val="-10"/>
              </w:rPr>
            </w:pPr>
            <w:r w:rsidRPr="00496E9E">
              <w:rPr>
                <w:rFonts w:ascii="標楷體" w:eastAsia="標楷體" w:hAnsi="標楷體"/>
                <w:spacing w:val="-10"/>
              </w:rPr>
              <w:t>32,696</w:t>
            </w:r>
          </w:p>
        </w:tc>
        <w:tc>
          <w:tcPr>
            <w:tcW w:w="3260" w:type="dxa"/>
            <w:vMerge w:val="restart"/>
            <w:tcBorders>
              <w:top w:val="double" w:sz="4" w:space="0" w:color="auto"/>
              <w:left w:val="single" w:sz="4" w:space="0" w:color="auto"/>
            </w:tcBorders>
            <w:vAlign w:val="center"/>
          </w:tcPr>
          <w:p w14:paraId="60DA6818" w14:textId="77777777" w:rsidR="0029756E" w:rsidRPr="00496E9E" w:rsidRDefault="0029756E" w:rsidP="00496E9E">
            <w:pPr>
              <w:widowControl/>
              <w:spacing w:line="240" w:lineRule="exact"/>
              <w:jc w:val="both"/>
              <w:rPr>
                <w:rFonts w:ascii="標楷體" w:eastAsia="標楷體" w:hAnsi="標楷體"/>
              </w:rPr>
            </w:pPr>
            <w:r w:rsidRPr="00496E9E">
              <w:rPr>
                <w:rFonts w:ascii="標楷體" w:eastAsia="標楷體" w:hAnsi="標楷體" w:hint="eastAsia"/>
              </w:rPr>
              <w:t>將專案管理與監造服務</w:t>
            </w:r>
            <w:proofErr w:type="gramStart"/>
            <w:r w:rsidRPr="00496E9E">
              <w:rPr>
                <w:rFonts w:ascii="標楷體" w:eastAsia="標楷體" w:hAnsi="標楷體" w:hint="eastAsia"/>
              </w:rPr>
              <w:t>併案招</w:t>
            </w:r>
            <w:proofErr w:type="gramEnd"/>
            <w:r w:rsidRPr="00496E9E">
              <w:rPr>
                <w:rFonts w:ascii="標楷體" w:eastAsia="標楷體" w:hAnsi="標楷體" w:hint="eastAsia"/>
              </w:rPr>
              <w:t>、決標，惟未排除服務項目重複及利益衝突情形，仍由專案管理廠商監督管理屬同一團隊之監造廠商。</w:t>
            </w:r>
          </w:p>
        </w:tc>
      </w:tr>
      <w:tr w:rsidR="0029756E" w:rsidRPr="00496E9E" w14:paraId="4CC7D96C" w14:textId="77777777" w:rsidTr="00496E9E">
        <w:tc>
          <w:tcPr>
            <w:tcW w:w="431" w:type="dxa"/>
            <w:vAlign w:val="center"/>
          </w:tcPr>
          <w:p w14:paraId="4567B94F"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5</w:t>
            </w:r>
          </w:p>
        </w:tc>
        <w:tc>
          <w:tcPr>
            <w:tcW w:w="1412" w:type="dxa"/>
            <w:tcBorders>
              <w:left w:val="single" w:sz="4" w:space="0" w:color="auto"/>
            </w:tcBorders>
            <w:vAlign w:val="center"/>
          </w:tcPr>
          <w:p w14:paraId="373CDD99" w14:textId="77777777" w:rsidR="0029756E" w:rsidRPr="00496E9E" w:rsidDel="00EF3D30" w:rsidRDefault="0029756E" w:rsidP="00496E9E">
            <w:pPr>
              <w:spacing w:line="240" w:lineRule="exact"/>
              <w:jc w:val="center"/>
              <w:rPr>
                <w:rFonts w:ascii="標楷體" w:eastAsia="標楷體" w:hAnsi="標楷體"/>
                <w:spacing w:val="-10"/>
              </w:rPr>
            </w:pPr>
            <w:r w:rsidRPr="00496E9E">
              <w:rPr>
                <w:rFonts w:ascii="標楷體" w:eastAsia="標楷體" w:hAnsi="標楷體" w:hint="eastAsia"/>
                <w:spacing w:val="-10"/>
              </w:rPr>
              <w:t>市場處</w:t>
            </w:r>
          </w:p>
        </w:tc>
        <w:tc>
          <w:tcPr>
            <w:tcW w:w="2977" w:type="dxa"/>
            <w:tcBorders>
              <w:top w:val="single" w:sz="4" w:space="0" w:color="auto"/>
              <w:bottom w:val="single" w:sz="4" w:space="0" w:color="auto"/>
            </w:tcBorders>
            <w:vAlign w:val="center"/>
          </w:tcPr>
          <w:p w14:paraId="350DFE84" w14:textId="01DB95A8" w:rsidR="0029756E" w:rsidRPr="00496E9E" w:rsidRDefault="0029756E" w:rsidP="00496E9E">
            <w:pPr>
              <w:spacing w:line="240" w:lineRule="exact"/>
              <w:jc w:val="both"/>
              <w:rPr>
                <w:rFonts w:ascii="標楷體" w:eastAsia="標楷體" w:hAnsi="標楷體"/>
                <w:spacing w:val="-10"/>
              </w:rPr>
            </w:pPr>
            <w:r w:rsidRPr="00496E9E">
              <w:rPr>
                <w:rFonts w:ascii="標楷體" w:eastAsia="標楷體" w:hAnsi="標楷體" w:hint="eastAsia"/>
                <w:spacing w:val="-10"/>
              </w:rPr>
              <w:t>113~</w:t>
            </w:r>
            <w:proofErr w:type="gramStart"/>
            <w:r w:rsidRPr="00496E9E">
              <w:rPr>
                <w:rFonts w:ascii="標楷體" w:eastAsia="標楷體" w:hAnsi="標楷體" w:hint="eastAsia"/>
                <w:spacing w:val="-10"/>
              </w:rPr>
              <w:t>114</w:t>
            </w:r>
            <w:proofErr w:type="gramEnd"/>
            <w:r w:rsidRPr="00496E9E">
              <w:rPr>
                <w:rFonts w:ascii="標楷體" w:eastAsia="標楷體" w:hAnsi="標楷體" w:hint="eastAsia"/>
                <w:spacing w:val="-10"/>
              </w:rPr>
              <w:t>年度第二果菜批發市場太陽能設備建置統包工程委託專案管理</w:t>
            </w:r>
            <w:r w:rsidR="002F0729">
              <w:rPr>
                <w:rFonts w:ascii="標楷體" w:eastAsia="標楷體" w:hAnsi="標楷體" w:hint="eastAsia"/>
                <w:spacing w:val="-10"/>
              </w:rPr>
              <w:t>(</w:t>
            </w:r>
            <w:proofErr w:type="gramStart"/>
            <w:r w:rsidRPr="00496E9E">
              <w:rPr>
                <w:rFonts w:ascii="標楷體" w:eastAsia="標楷體" w:hAnsi="標楷體" w:hint="eastAsia"/>
                <w:spacing w:val="-10"/>
              </w:rPr>
              <w:t>含監造</w:t>
            </w:r>
            <w:proofErr w:type="gramEnd"/>
            <w:r w:rsidR="002F0729">
              <w:rPr>
                <w:rFonts w:ascii="標楷體" w:eastAsia="標楷體" w:hAnsi="標楷體" w:hint="eastAsia"/>
                <w:spacing w:val="-10"/>
              </w:rPr>
              <w:t>)</w:t>
            </w:r>
            <w:r w:rsidRPr="00496E9E">
              <w:rPr>
                <w:rFonts w:ascii="標楷體" w:eastAsia="標楷體" w:hAnsi="標楷體" w:hint="eastAsia"/>
                <w:spacing w:val="-10"/>
              </w:rPr>
              <w:t>技術服務</w:t>
            </w:r>
          </w:p>
        </w:tc>
        <w:tc>
          <w:tcPr>
            <w:tcW w:w="992" w:type="dxa"/>
            <w:tcBorders>
              <w:left w:val="single" w:sz="4" w:space="0" w:color="auto"/>
              <w:right w:val="single" w:sz="4" w:space="0" w:color="auto"/>
            </w:tcBorders>
            <w:vAlign w:val="center"/>
          </w:tcPr>
          <w:p w14:paraId="74E9CFD0"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113.3.29</w:t>
            </w:r>
          </w:p>
        </w:tc>
        <w:tc>
          <w:tcPr>
            <w:tcW w:w="851" w:type="dxa"/>
            <w:tcBorders>
              <w:left w:val="single" w:sz="4" w:space="0" w:color="auto"/>
              <w:right w:val="single" w:sz="4" w:space="0" w:color="auto"/>
            </w:tcBorders>
            <w:vAlign w:val="center"/>
          </w:tcPr>
          <w:p w14:paraId="48D651CD" w14:textId="77777777" w:rsidR="0029756E" w:rsidRPr="00496E9E" w:rsidRDefault="0029756E" w:rsidP="00496E9E">
            <w:pPr>
              <w:widowControl/>
              <w:spacing w:line="240" w:lineRule="exact"/>
              <w:jc w:val="right"/>
              <w:rPr>
                <w:rFonts w:ascii="標楷體" w:eastAsia="標楷體" w:hAnsi="標楷體"/>
                <w:spacing w:val="-10"/>
              </w:rPr>
            </w:pPr>
            <w:r w:rsidRPr="00496E9E">
              <w:rPr>
                <w:rFonts w:ascii="標楷體" w:eastAsia="標楷體" w:hAnsi="標楷體"/>
                <w:spacing w:val="-10"/>
              </w:rPr>
              <w:t>1,373</w:t>
            </w:r>
          </w:p>
        </w:tc>
        <w:tc>
          <w:tcPr>
            <w:tcW w:w="3260" w:type="dxa"/>
            <w:vMerge/>
            <w:tcBorders>
              <w:left w:val="single" w:sz="4" w:space="0" w:color="auto"/>
            </w:tcBorders>
            <w:vAlign w:val="center"/>
          </w:tcPr>
          <w:p w14:paraId="610D0D66" w14:textId="77777777" w:rsidR="0029756E" w:rsidRPr="00496E9E" w:rsidRDefault="0029756E" w:rsidP="00496E9E">
            <w:pPr>
              <w:widowControl/>
              <w:spacing w:line="240" w:lineRule="exact"/>
              <w:jc w:val="both"/>
              <w:rPr>
                <w:rFonts w:ascii="標楷體" w:eastAsia="標楷體" w:hAnsi="標楷體"/>
              </w:rPr>
            </w:pPr>
          </w:p>
        </w:tc>
      </w:tr>
      <w:tr w:rsidR="0029756E" w:rsidRPr="00496E9E" w14:paraId="48F7E802" w14:textId="77777777" w:rsidTr="00496E9E">
        <w:tc>
          <w:tcPr>
            <w:tcW w:w="431" w:type="dxa"/>
            <w:vAlign w:val="center"/>
          </w:tcPr>
          <w:p w14:paraId="29ECD622"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6</w:t>
            </w:r>
          </w:p>
        </w:tc>
        <w:tc>
          <w:tcPr>
            <w:tcW w:w="1412" w:type="dxa"/>
            <w:tcBorders>
              <w:left w:val="single" w:sz="4" w:space="0" w:color="auto"/>
            </w:tcBorders>
            <w:vAlign w:val="center"/>
          </w:tcPr>
          <w:p w14:paraId="7DDF9E47" w14:textId="77777777" w:rsidR="0029756E" w:rsidRPr="00496E9E" w:rsidRDefault="0029756E" w:rsidP="00496E9E">
            <w:pPr>
              <w:spacing w:line="240" w:lineRule="exact"/>
              <w:jc w:val="center"/>
              <w:rPr>
                <w:rFonts w:ascii="標楷體" w:eastAsia="標楷體" w:hAnsi="標楷體"/>
                <w:spacing w:val="-10"/>
              </w:rPr>
            </w:pPr>
            <w:r w:rsidRPr="00496E9E">
              <w:rPr>
                <w:rFonts w:ascii="標楷體" w:eastAsia="標楷體" w:hAnsi="標楷體" w:hint="eastAsia"/>
                <w:spacing w:val="-10"/>
              </w:rPr>
              <w:t>殯葬管理處</w:t>
            </w:r>
          </w:p>
        </w:tc>
        <w:tc>
          <w:tcPr>
            <w:tcW w:w="2977" w:type="dxa"/>
            <w:tcBorders>
              <w:top w:val="single" w:sz="4" w:space="0" w:color="auto"/>
              <w:bottom w:val="single" w:sz="4" w:space="0" w:color="auto"/>
            </w:tcBorders>
            <w:vAlign w:val="center"/>
          </w:tcPr>
          <w:p w14:paraId="06C81863" w14:textId="77777777" w:rsidR="0029756E" w:rsidRPr="00496E9E" w:rsidRDefault="0029756E" w:rsidP="00496E9E">
            <w:pPr>
              <w:spacing w:line="240" w:lineRule="exact"/>
              <w:jc w:val="both"/>
              <w:rPr>
                <w:rFonts w:ascii="標楷體" w:eastAsia="標楷體" w:hAnsi="標楷體"/>
                <w:spacing w:val="-10"/>
              </w:rPr>
            </w:pPr>
            <w:r w:rsidRPr="00496E9E">
              <w:rPr>
                <w:rFonts w:ascii="標楷體" w:eastAsia="標楷體" w:hAnsi="標楷體" w:hint="eastAsia"/>
                <w:spacing w:val="-10"/>
              </w:rPr>
              <w:t>113-114年火化爐設備</w:t>
            </w:r>
            <w:proofErr w:type="gramStart"/>
            <w:r w:rsidRPr="00496E9E">
              <w:rPr>
                <w:rFonts w:ascii="標楷體" w:eastAsia="標楷體" w:hAnsi="標楷體" w:hint="eastAsia"/>
                <w:spacing w:val="-10"/>
              </w:rPr>
              <w:t>汰換統</w:t>
            </w:r>
            <w:proofErr w:type="gramEnd"/>
            <w:r w:rsidRPr="00496E9E">
              <w:rPr>
                <w:rFonts w:ascii="標楷體" w:eastAsia="標楷體" w:hAnsi="標楷體" w:hint="eastAsia"/>
                <w:spacing w:val="-10"/>
              </w:rPr>
              <w:t>包工程委託專案管理及監造技術服務</w:t>
            </w:r>
          </w:p>
        </w:tc>
        <w:tc>
          <w:tcPr>
            <w:tcW w:w="992" w:type="dxa"/>
            <w:tcBorders>
              <w:left w:val="single" w:sz="4" w:space="0" w:color="auto"/>
              <w:right w:val="single" w:sz="4" w:space="0" w:color="auto"/>
            </w:tcBorders>
            <w:vAlign w:val="center"/>
          </w:tcPr>
          <w:p w14:paraId="455C348E"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113.5.23</w:t>
            </w:r>
          </w:p>
        </w:tc>
        <w:tc>
          <w:tcPr>
            <w:tcW w:w="851" w:type="dxa"/>
            <w:tcBorders>
              <w:left w:val="single" w:sz="4" w:space="0" w:color="auto"/>
              <w:right w:val="single" w:sz="4" w:space="0" w:color="auto"/>
            </w:tcBorders>
            <w:vAlign w:val="center"/>
          </w:tcPr>
          <w:p w14:paraId="7D58F3F7" w14:textId="77777777" w:rsidR="0029756E" w:rsidRPr="00496E9E" w:rsidRDefault="0029756E" w:rsidP="00496E9E">
            <w:pPr>
              <w:widowControl/>
              <w:spacing w:line="240" w:lineRule="exact"/>
              <w:jc w:val="right"/>
              <w:rPr>
                <w:rFonts w:ascii="標楷體" w:eastAsia="標楷體" w:hAnsi="標楷體"/>
                <w:spacing w:val="-10"/>
              </w:rPr>
            </w:pPr>
            <w:r w:rsidRPr="00496E9E">
              <w:rPr>
                <w:rFonts w:ascii="標楷體" w:eastAsia="標楷體" w:hAnsi="標楷體"/>
                <w:spacing w:val="-10"/>
              </w:rPr>
              <w:t>4,060</w:t>
            </w:r>
          </w:p>
        </w:tc>
        <w:tc>
          <w:tcPr>
            <w:tcW w:w="3260" w:type="dxa"/>
            <w:vMerge/>
            <w:tcBorders>
              <w:left w:val="single" w:sz="4" w:space="0" w:color="auto"/>
            </w:tcBorders>
            <w:vAlign w:val="center"/>
          </w:tcPr>
          <w:p w14:paraId="58943667" w14:textId="77777777" w:rsidR="0029756E" w:rsidRPr="00496E9E" w:rsidRDefault="0029756E" w:rsidP="00496E9E">
            <w:pPr>
              <w:widowControl/>
              <w:spacing w:line="240" w:lineRule="exact"/>
              <w:jc w:val="both"/>
              <w:rPr>
                <w:rFonts w:ascii="標楷體" w:eastAsia="標楷體" w:hAnsi="標楷體"/>
              </w:rPr>
            </w:pPr>
          </w:p>
        </w:tc>
      </w:tr>
      <w:tr w:rsidR="0029756E" w:rsidRPr="00496E9E" w14:paraId="7840450C" w14:textId="77777777" w:rsidTr="00496E9E">
        <w:tc>
          <w:tcPr>
            <w:tcW w:w="431" w:type="dxa"/>
            <w:tcBorders>
              <w:bottom w:val="single" w:sz="4" w:space="0" w:color="auto"/>
            </w:tcBorders>
            <w:vAlign w:val="center"/>
          </w:tcPr>
          <w:p w14:paraId="698C5F5A"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7</w:t>
            </w:r>
          </w:p>
        </w:tc>
        <w:tc>
          <w:tcPr>
            <w:tcW w:w="1412" w:type="dxa"/>
            <w:tcBorders>
              <w:left w:val="single" w:sz="4" w:space="0" w:color="auto"/>
              <w:bottom w:val="single" w:sz="4" w:space="0" w:color="auto"/>
            </w:tcBorders>
            <w:vAlign w:val="center"/>
          </w:tcPr>
          <w:p w14:paraId="4932FC9A" w14:textId="77777777" w:rsidR="0029756E" w:rsidRPr="00496E9E" w:rsidRDefault="0029756E" w:rsidP="00496E9E">
            <w:pPr>
              <w:spacing w:line="240" w:lineRule="exact"/>
              <w:jc w:val="center"/>
              <w:rPr>
                <w:rFonts w:ascii="標楷體" w:eastAsia="標楷體" w:hAnsi="標楷體"/>
                <w:spacing w:val="-16"/>
              </w:rPr>
            </w:pPr>
            <w:r w:rsidRPr="00496E9E">
              <w:rPr>
                <w:rFonts w:ascii="標楷體" w:eastAsia="標楷體" w:hAnsi="標楷體" w:hint="eastAsia"/>
                <w:spacing w:val="-16"/>
              </w:rPr>
              <w:t>客家事務委員會</w:t>
            </w:r>
          </w:p>
        </w:tc>
        <w:tc>
          <w:tcPr>
            <w:tcW w:w="2977" w:type="dxa"/>
            <w:tcBorders>
              <w:top w:val="single" w:sz="4" w:space="0" w:color="auto"/>
              <w:bottom w:val="single" w:sz="4" w:space="0" w:color="auto"/>
            </w:tcBorders>
            <w:vAlign w:val="center"/>
          </w:tcPr>
          <w:p w14:paraId="441171EB" w14:textId="77777777" w:rsidR="0029756E" w:rsidRPr="00496E9E" w:rsidRDefault="0029756E" w:rsidP="00496E9E">
            <w:pPr>
              <w:widowControl/>
              <w:spacing w:line="240" w:lineRule="exact"/>
              <w:jc w:val="both"/>
              <w:rPr>
                <w:rFonts w:ascii="標楷體" w:eastAsia="標楷體" w:hAnsi="標楷體"/>
                <w:spacing w:val="-10"/>
              </w:rPr>
            </w:pPr>
            <w:r w:rsidRPr="00496E9E">
              <w:rPr>
                <w:rFonts w:ascii="標楷體" w:eastAsia="標楷體" w:hAnsi="標楷體" w:hint="eastAsia"/>
                <w:spacing w:val="-10"/>
              </w:rPr>
              <w:t>科技</w:t>
            </w:r>
            <w:proofErr w:type="gramStart"/>
            <w:r w:rsidRPr="00496E9E">
              <w:rPr>
                <w:rFonts w:ascii="標楷體" w:eastAsia="標楷體" w:hAnsi="標楷體" w:hint="eastAsia"/>
                <w:spacing w:val="-10"/>
              </w:rPr>
              <w:t>大樓站育成</w:t>
            </w:r>
            <w:proofErr w:type="gramEnd"/>
            <w:r w:rsidRPr="00496E9E">
              <w:rPr>
                <w:rFonts w:ascii="標楷體" w:eastAsia="標楷體" w:hAnsi="標楷體" w:hint="eastAsia"/>
                <w:spacing w:val="-10"/>
              </w:rPr>
              <w:t>中心室內裝修工程專案管理及監造委託技術服務案</w:t>
            </w:r>
          </w:p>
        </w:tc>
        <w:tc>
          <w:tcPr>
            <w:tcW w:w="992" w:type="dxa"/>
            <w:tcBorders>
              <w:left w:val="single" w:sz="4" w:space="0" w:color="auto"/>
              <w:bottom w:val="single" w:sz="4" w:space="0" w:color="auto"/>
              <w:right w:val="single" w:sz="4" w:space="0" w:color="auto"/>
            </w:tcBorders>
            <w:vAlign w:val="center"/>
          </w:tcPr>
          <w:p w14:paraId="6C4C1345" w14:textId="77777777" w:rsidR="0029756E" w:rsidRPr="00496E9E" w:rsidRDefault="0029756E" w:rsidP="00496E9E">
            <w:pPr>
              <w:widowControl/>
              <w:spacing w:line="240" w:lineRule="exact"/>
              <w:jc w:val="center"/>
              <w:rPr>
                <w:rFonts w:ascii="標楷體" w:eastAsia="標楷體" w:hAnsi="標楷體"/>
                <w:spacing w:val="-10"/>
              </w:rPr>
            </w:pPr>
            <w:r w:rsidRPr="00496E9E">
              <w:rPr>
                <w:rFonts w:ascii="標楷體" w:eastAsia="標楷體" w:hAnsi="標楷體" w:hint="eastAsia"/>
                <w:spacing w:val="-10"/>
              </w:rPr>
              <w:t>1</w:t>
            </w:r>
            <w:r w:rsidRPr="00496E9E">
              <w:rPr>
                <w:rFonts w:ascii="標楷體" w:eastAsia="標楷體" w:hAnsi="標楷體"/>
                <w:spacing w:val="-10"/>
              </w:rPr>
              <w:t>13</w:t>
            </w:r>
            <w:r w:rsidRPr="00496E9E">
              <w:rPr>
                <w:rFonts w:ascii="標楷體" w:eastAsia="標楷體" w:hAnsi="標楷體" w:hint="eastAsia"/>
                <w:spacing w:val="-10"/>
              </w:rPr>
              <w:t>.</w:t>
            </w:r>
            <w:r w:rsidRPr="00496E9E">
              <w:rPr>
                <w:rFonts w:ascii="標楷體" w:eastAsia="標楷體" w:hAnsi="標楷體"/>
                <w:spacing w:val="-10"/>
              </w:rPr>
              <w:t>8</w:t>
            </w:r>
            <w:r w:rsidRPr="00496E9E">
              <w:rPr>
                <w:rFonts w:ascii="標楷體" w:eastAsia="標楷體" w:hAnsi="標楷體" w:hint="eastAsia"/>
                <w:spacing w:val="-10"/>
              </w:rPr>
              <w:t>.</w:t>
            </w:r>
            <w:r w:rsidRPr="00496E9E">
              <w:rPr>
                <w:rFonts w:ascii="標楷體" w:eastAsia="標楷體" w:hAnsi="標楷體"/>
                <w:spacing w:val="-10"/>
              </w:rPr>
              <w:t>19</w:t>
            </w:r>
          </w:p>
        </w:tc>
        <w:tc>
          <w:tcPr>
            <w:tcW w:w="851" w:type="dxa"/>
            <w:tcBorders>
              <w:left w:val="single" w:sz="4" w:space="0" w:color="auto"/>
              <w:bottom w:val="single" w:sz="4" w:space="0" w:color="auto"/>
              <w:right w:val="single" w:sz="4" w:space="0" w:color="auto"/>
            </w:tcBorders>
            <w:vAlign w:val="center"/>
          </w:tcPr>
          <w:p w14:paraId="3D8C222C" w14:textId="77777777" w:rsidR="0029756E" w:rsidRPr="00496E9E" w:rsidRDefault="0029756E" w:rsidP="00496E9E">
            <w:pPr>
              <w:widowControl/>
              <w:spacing w:line="240" w:lineRule="exact"/>
              <w:jc w:val="right"/>
              <w:rPr>
                <w:rFonts w:ascii="標楷體" w:eastAsia="標楷體" w:hAnsi="標楷體"/>
                <w:spacing w:val="-10"/>
              </w:rPr>
            </w:pPr>
            <w:r w:rsidRPr="00496E9E">
              <w:rPr>
                <w:rFonts w:ascii="標楷體" w:eastAsia="標楷體" w:hAnsi="標楷體"/>
                <w:spacing w:val="-10"/>
              </w:rPr>
              <w:t>1,900</w:t>
            </w:r>
          </w:p>
        </w:tc>
        <w:tc>
          <w:tcPr>
            <w:tcW w:w="3260" w:type="dxa"/>
            <w:vMerge/>
            <w:tcBorders>
              <w:left w:val="single" w:sz="4" w:space="0" w:color="auto"/>
              <w:bottom w:val="single" w:sz="4" w:space="0" w:color="auto"/>
            </w:tcBorders>
            <w:vAlign w:val="center"/>
          </w:tcPr>
          <w:p w14:paraId="4407BF3C" w14:textId="77777777" w:rsidR="0029756E" w:rsidRPr="00496E9E" w:rsidRDefault="0029756E" w:rsidP="00496E9E">
            <w:pPr>
              <w:widowControl/>
              <w:spacing w:line="240" w:lineRule="exact"/>
              <w:jc w:val="both"/>
              <w:rPr>
                <w:rFonts w:ascii="標楷體" w:eastAsia="標楷體" w:hAnsi="標楷體"/>
              </w:rPr>
            </w:pPr>
          </w:p>
        </w:tc>
      </w:tr>
      <w:tr w:rsidR="0029756E" w:rsidRPr="00496E9E" w14:paraId="7A656CBA" w14:textId="77777777" w:rsidTr="00496E9E">
        <w:tc>
          <w:tcPr>
            <w:tcW w:w="9923" w:type="dxa"/>
            <w:gridSpan w:val="6"/>
            <w:tcBorders>
              <w:left w:val="nil"/>
              <w:bottom w:val="nil"/>
              <w:right w:val="nil"/>
            </w:tcBorders>
            <w:vAlign w:val="center"/>
          </w:tcPr>
          <w:p w14:paraId="54A5DEE9" w14:textId="77777777" w:rsidR="0029756E" w:rsidRPr="00164A20" w:rsidRDefault="0029756E" w:rsidP="00164A20">
            <w:pPr>
              <w:widowControl/>
              <w:spacing w:line="240" w:lineRule="exact"/>
              <w:ind w:leftChars="-50" w:left="-120"/>
              <w:rPr>
                <w:rFonts w:ascii="標楷體" w:eastAsia="標楷體" w:hAnsi="標楷體"/>
                <w:sz w:val="18"/>
                <w:szCs w:val="18"/>
              </w:rPr>
            </w:pPr>
            <w:r w:rsidRPr="00164A20">
              <w:rPr>
                <w:rFonts w:ascii="標楷體" w:eastAsia="標楷體" w:hAnsi="標楷體" w:hint="eastAsia"/>
                <w:sz w:val="18"/>
                <w:szCs w:val="18"/>
              </w:rPr>
              <w:t>資料來源：整理自本處截至</w:t>
            </w:r>
            <w:r w:rsidRPr="00164A20">
              <w:rPr>
                <w:rFonts w:ascii="標楷體" w:eastAsia="標楷體" w:hAnsi="標楷體"/>
                <w:sz w:val="18"/>
                <w:szCs w:val="18"/>
              </w:rPr>
              <w:t>11</w:t>
            </w:r>
            <w:r w:rsidRPr="00164A20">
              <w:rPr>
                <w:rFonts w:ascii="標楷體" w:eastAsia="標楷體" w:hAnsi="標楷體" w:hint="eastAsia"/>
                <w:sz w:val="18"/>
                <w:szCs w:val="18"/>
              </w:rPr>
              <w:t>3</w:t>
            </w:r>
            <w:r w:rsidRPr="00164A20">
              <w:rPr>
                <w:rFonts w:ascii="標楷體" w:eastAsia="標楷體" w:hAnsi="標楷體"/>
                <w:sz w:val="18"/>
                <w:szCs w:val="18"/>
              </w:rPr>
              <w:t>年</w:t>
            </w:r>
            <w:r w:rsidRPr="00164A20">
              <w:rPr>
                <w:rFonts w:ascii="標楷體" w:eastAsia="標楷體" w:hAnsi="標楷體" w:hint="eastAsia"/>
                <w:sz w:val="18"/>
                <w:szCs w:val="18"/>
              </w:rPr>
              <w:t>9月</w:t>
            </w:r>
            <w:r w:rsidRPr="00164A20">
              <w:rPr>
                <w:rFonts w:ascii="標楷體" w:eastAsia="標楷體" w:hAnsi="標楷體"/>
                <w:sz w:val="18"/>
                <w:szCs w:val="18"/>
              </w:rPr>
              <w:t>之調查結果</w:t>
            </w:r>
            <w:r w:rsidRPr="00164A20">
              <w:rPr>
                <w:rFonts w:ascii="標楷體" w:eastAsia="標楷體" w:hAnsi="標楷體" w:hint="eastAsia"/>
                <w:sz w:val="18"/>
                <w:szCs w:val="18"/>
              </w:rPr>
              <w:t>。</w:t>
            </w:r>
          </w:p>
        </w:tc>
      </w:tr>
    </w:tbl>
    <w:p w14:paraId="200924D7" w14:textId="75CBDB96" w:rsidR="0029756E" w:rsidRPr="00430D32" w:rsidRDefault="0029756E" w:rsidP="0029756E">
      <w:pPr>
        <w:overflowPunct w:val="0"/>
        <w:spacing w:line="460" w:lineRule="exact"/>
        <w:jc w:val="both"/>
        <w:rPr>
          <w:rFonts w:ascii="標楷體" w:eastAsia="標楷體" w:hAnsi="標楷體"/>
        </w:rPr>
      </w:pPr>
      <w:r w:rsidRPr="00430D32">
        <w:rPr>
          <w:rFonts w:ascii="標楷體" w:eastAsia="標楷體" w:hAnsi="標楷體"/>
        </w:rPr>
        <w:lastRenderedPageBreak/>
        <w:t>【分別委託專案管理及監造】」、「權責分工表【委託監造（無專案管理）或專案管理（含監造）】」2表，</w:t>
      </w:r>
      <w:proofErr w:type="gramStart"/>
      <w:r w:rsidRPr="00430D32">
        <w:rPr>
          <w:rFonts w:ascii="標楷體" w:eastAsia="標楷體" w:hAnsi="標楷體" w:hint="eastAsia"/>
        </w:rPr>
        <w:t>俾</w:t>
      </w:r>
      <w:proofErr w:type="gramEnd"/>
      <w:r w:rsidRPr="00430D32">
        <w:rPr>
          <w:rFonts w:ascii="標楷體" w:eastAsia="標楷體" w:hAnsi="標楷體" w:hint="eastAsia"/>
        </w:rPr>
        <w:t>利輔助機關於委託專案管理廠商從事監造工作時，排除重複及利益衝突情形，確實監督監造工作；另該</w:t>
      </w:r>
      <w:r w:rsidRPr="00430D32">
        <w:rPr>
          <w:rFonts w:ascii="標楷體" w:eastAsia="標楷體" w:hAnsi="標楷體"/>
        </w:rPr>
        <w:t>4</w:t>
      </w:r>
      <w:r w:rsidRPr="00430D32">
        <w:rPr>
          <w:rFonts w:ascii="標楷體" w:eastAsia="標楷體" w:hAnsi="標楷體" w:hint="eastAsia"/>
        </w:rPr>
        <w:t>件採購</w:t>
      </w:r>
      <w:r w:rsidRPr="00430D32">
        <w:rPr>
          <w:rFonts w:ascii="標楷體" w:eastAsia="標楷體" w:hAnsi="標楷體"/>
        </w:rPr>
        <w:t>機關</w:t>
      </w:r>
      <w:r w:rsidRPr="00430D32">
        <w:rPr>
          <w:rFonts w:ascii="標楷體" w:eastAsia="標楷體" w:hAnsi="標楷體" w:hint="eastAsia"/>
        </w:rPr>
        <w:t>後續將會同專案管理單位辦理施工督導與履約管理，並針對專案管理廠商及監造廠商工作執行情形進行稽核，</w:t>
      </w:r>
      <w:proofErr w:type="gramStart"/>
      <w:r w:rsidRPr="00430D32">
        <w:rPr>
          <w:rFonts w:ascii="標楷體" w:eastAsia="標楷體" w:hAnsi="標楷體" w:hint="eastAsia"/>
        </w:rPr>
        <w:t>覈</w:t>
      </w:r>
      <w:proofErr w:type="gramEnd"/>
      <w:r w:rsidRPr="00430D32">
        <w:rPr>
          <w:rFonts w:ascii="標楷體" w:eastAsia="標楷體" w:hAnsi="標楷體" w:hint="eastAsia"/>
        </w:rPr>
        <w:t>實檢核其應負責任，若發現廠商怠忽職守者，則依約</w:t>
      </w:r>
      <w:proofErr w:type="gramStart"/>
      <w:r w:rsidRPr="00430D32">
        <w:rPr>
          <w:rFonts w:ascii="標楷體" w:eastAsia="標楷體" w:hAnsi="標楷體" w:hint="eastAsia"/>
        </w:rPr>
        <w:t>檢討計罰</w:t>
      </w:r>
      <w:proofErr w:type="gramEnd"/>
      <w:r w:rsidRPr="00430D32">
        <w:rPr>
          <w:rFonts w:ascii="標楷體" w:eastAsia="標楷體" w:hAnsi="標楷體" w:hint="eastAsia"/>
        </w:rPr>
        <w:t>，以利後續落實管理監造廠商，妥善維護機關權益。</w:t>
      </w:r>
    </w:p>
    <w:p w14:paraId="19D71CF5" w14:textId="77777777" w:rsidR="0029756E" w:rsidRPr="00430D32" w:rsidRDefault="0029756E" w:rsidP="0029756E">
      <w:pPr>
        <w:spacing w:beforeLines="50" w:before="180" w:line="460" w:lineRule="exact"/>
        <w:ind w:firstLineChars="100" w:firstLine="280"/>
        <w:jc w:val="both"/>
        <w:rPr>
          <w:rFonts w:ascii="標楷體" w:eastAsia="標楷體" w:hAnsi="標楷體"/>
          <w:b/>
          <w:sz w:val="28"/>
          <w:szCs w:val="28"/>
        </w:rPr>
      </w:pPr>
      <w:r w:rsidRPr="00430D32">
        <w:rPr>
          <w:rFonts w:ascii="標楷體" w:eastAsia="標楷體" w:hAnsi="標楷體" w:hint="eastAsia"/>
          <w:b/>
          <w:sz w:val="28"/>
          <w:szCs w:val="28"/>
        </w:rPr>
        <w:t>（七）善用科技以提升政府水災防救服務，惟監測設備建置作業未</w:t>
      </w:r>
      <w:proofErr w:type="gramStart"/>
      <w:r w:rsidRPr="00430D32">
        <w:rPr>
          <w:rFonts w:ascii="標楷體" w:eastAsia="標楷體" w:hAnsi="標楷體" w:hint="eastAsia"/>
          <w:b/>
          <w:sz w:val="28"/>
          <w:szCs w:val="28"/>
        </w:rPr>
        <w:t>臻</w:t>
      </w:r>
      <w:proofErr w:type="gramEnd"/>
      <w:r w:rsidRPr="00430D32">
        <w:rPr>
          <w:rFonts w:ascii="標楷體" w:eastAsia="標楷體" w:hAnsi="標楷體" w:hint="eastAsia"/>
          <w:b/>
          <w:sz w:val="28"/>
          <w:szCs w:val="28"/>
        </w:rPr>
        <w:t>周全，且未優先針對歷史高風險區域設立防災社區及補助裝設防水閘門，又公開避難資訊</w:t>
      </w:r>
      <w:proofErr w:type="gramStart"/>
      <w:r w:rsidRPr="00430D32">
        <w:rPr>
          <w:rFonts w:ascii="標楷體" w:eastAsia="標楷體" w:hAnsi="標楷體" w:hint="eastAsia"/>
          <w:b/>
          <w:sz w:val="28"/>
          <w:szCs w:val="28"/>
        </w:rPr>
        <w:t>亦間有錯誤</w:t>
      </w:r>
      <w:proofErr w:type="gramEnd"/>
      <w:r w:rsidRPr="00430D32">
        <w:rPr>
          <w:rFonts w:ascii="標楷體" w:eastAsia="標楷體" w:hAnsi="標楷體" w:hint="eastAsia"/>
          <w:b/>
          <w:sz w:val="28"/>
          <w:szCs w:val="28"/>
        </w:rPr>
        <w:t>等情，亟待檢討改善。</w:t>
      </w:r>
    </w:p>
    <w:p w14:paraId="6133F25C" w14:textId="0C83B3E8" w:rsidR="00496E9E" w:rsidRDefault="0029756E" w:rsidP="0029756E">
      <w:pPr>
        <w:spacing w:line="460" w:lineRule="exact"/>
        <w:ind w:firstLineChars="200" w:firstLine="480"/>
        <w:jc w:val="both"/>
        <w:rPr>
          <w:rFonts w:ascii="標楷體" w:eastAsia="標楷體" w:hAnsi="標楷體"/>
          <w:noProof/>
        </w:rPr>
      </w:pPr>
      <w:r w:rsidRPr="00430D32">
        <w:rPr>
          <w:rFonts w:ascii="標楷體" w:eastAsia="標楷體" w:hAnsi="標楷體" w:hint="eastAsia"/>
          <w:noProof/>
        </w:rPr>
        <w:t>工務局水利工程</w:t>
      </w:r>
      <w:r w:rsidRPr="00430D32">
        <w:rPr>
          <w:rFonts w:ascii="標楷體" w:eastAsia="標楷體" w:hAnsi="標楷體"/>
          <w:noProof/>
        </w:rPr>
        <w:t>處</w:t>
      </w:r>
      <w:r w:rsidRPr="00430D32">
        <w:rPr>
          <w:rFonts w:ascii="標楷體" w:eastAsia="標楷體" w:hAnsi="標楷體" w:hint="eastAsia"/>
          <w:noProof/>
        </w:rPr>
        <w:t>（下稱水利處）近年來強化「智慧洪災管理」，以資通訊技術的優勢，包括內水、外水之監測（視）、預報與控制、水情資訊管理與災害決策支援、資訊公開與回饋決策等，彌補傳統都市洪災管理應變能力之不足，並獲經濟部水利署水災智慧防災計畫（109-113年）補助，設立水患自主防災社區，及代辦內政部國土管理署雨水下水道即時水情監測系統建置計畫（111-115年），據以建置相關監測系統；截至1</w:t>
      </w:r>
      <w:r w:rsidRPr="00430D32">
        <w:rPr>
          <w:rFonts w:ascii="標楷體" w:eastAsia="標楷體" w:hAnsi="標楷體"/>
          <w:noProof/>
        </w:rPr>
        <w:t>13</w:t>
      </w:r>
      <w:r w:rsidRPr="00430D32">
        <w:rPr>
          <w:rFonts w:ascii="標楷體" w:eastAsia="標楷體" w:hAnsi="標楷體" w:hint="eastAsia"/>
          <w:noProof/>
        </w:rPr>
        <w:t>年底，累計編列預算數4,670萬餘元，累計執行數2</w:t>
      </w:r>
      <w:r w:rsidRPr="00430D32">
        <w:rPr>
          <w:rFonts w:ascii="標楷體" w:eastAsia="標楷體" w:hAnsi="標楷體"/>
          <w:noProof/>
        </w:rPr>
        <w:t>,676</w:t>
      </w:r>
      <w:r w:rsidRPr="00430D32">
        <w:rPr>
          <w:rFonts w:ascii="標楷體" w:eastAsia="標楷體" w:hAnsi="標楷體" w:hint="eastAsia"/>
          <w:noProof/>
        </w:rPr>
        <w:t>萬餘元。另民政局訂定防水閘門補助計畫，由各區公所執行，鼓勵市民設置防水閘門以減少積淹水造成生命財產之損失，1</w:t>
      </w:r>
      <w:r w:rsidRPr="00430D32">
        <w:rPr>
          <w:rFonts w:ascii="標楷體" w:eastAsia="標楷體" w:hAnsi="標楷體"/>
          <w:noProof/>
        </w:rPr>
        <w:t>13</w:t>
      </w:r>
      <w:r w:rsidRPr="00430D32">
        <w:rPr>
          <w:rFonts w:ascii="標楷體" w:eastAsia="標楷體" w:hAnsi="標楷體" w:hint="eastAsia"/>
          <w:noProof/>
        </w:rPr>
        <w:t>年補助金額合計5</w:t>
      </w:r>
      <w:r w:rsidRPr="00430D32">
        <w:rPr>
          <w:rFonts w:ascii="標楷體" w:eastAsia="標楷體" w:hAnsi="標楷體"/>
          <w:noProof/>
        </w:rPr>
        <w:t>,327</w:t>
      </w:r>
      <w:r w:rsidRPr="00430D32">
        <w:rPr>
          <w:rFonts w:ascii="標楷體" w:eastAsia="標楷體" w:hAnsi="標楷體" w:hint="eastAsia"/>
          <w:noProof/>
        </w:rPr>
        <w:t>萬餘元。</w:t>
      </w:r>
      <w:r w:rsidRPr="00430D32">
        <w:rPr>
          <w:rFonts w:ascii="標楷體" w:eastAsia="標楷體" w:hAnsi="標楷體" w:hint="eastAsia"/>
        </w:rPr>
        <w:t>經查</w:t>
      </w:r>
      <w:r w:rsidRPr="00430D32">
        <w:rPr>
          <w:rFonts w:ascii="標楷體" w:eastAsia="標楷體" w:hAnsi="標楷體"/>
        </w:rPr>
        <w:t>執行情</w:t>
      </w:r>
      <w:r w:rsidRPr="00430D32">
        <w:rPr>
          <w:rFonts w:ascii="標楷體" w:eastAsia="標楷體" w:hAnsi="標楷體" w:hint="eastAsia"/>
        </w:rPr>
        <w:t>形，核有：1.</w:t>
      </w:r>
      <w:r w:rsidRPr="00430D32">
        <w:rPr>
          <w:rFonts w:ascii="標楷體" w:eastAsia="標楷體" w:hAnsi="標楷體" w:hint="eastAsia"/>
          <w:noProof/>
        </w:rPr>
        <w:t>路面淹水感測器僅設置3處，相較於經濟部水利署全臺補助建置2千餘處，數量偏少，又部分下水道水位計量測結果與設置地區淹水與否情形存有差異，且部分淹水區域附近尚未設置路面淹水感測器或下水道水位計，有待滾動式檢討感測器設置類別、位置及準確度之妥適性；</w:t>
      </w:r>
    </w:p>
    <w:p w14:paraId="4D6E092F" w14:textId="4D2B7F09" w:rsidR="00711183" w:rsidRPr="00113ACD" w:rsidRDefault="00113ACD" w:rsidP="00496E9E">
      <w:pPr>
        <w:spacing w:line="460" w:lineRule="exact"/>
        <w:jc w:val="both"/>
        <w:rPr>
          <w:rFonts w:ascii="標楷體" w:eastAsia="標楷體" w:hAnsi="標楷體"/>
          <w:spacing w:val="-2"/>
        </w:rPr>
      </w:pPr>
      <w:r w:rsidRPr="00113ACD">
        <w:rPr>
          <w:rFonts w:ascii="標楷體" w:eastAsia="標楷體" w:hAnsi="標楷體"/>
          <w:noProof/>
          <w:spacing w:val="-2"/>
        </w:rPr>
        <mc:AlternateContent>
          <mc:Choice Requires="wps">
            <w:drawing>
              <wp:anchor distT="0" distB="0" distL="114300" distR="114300" simplePos="0" relativeHeight="251836416" behindDoc="0" locked="0" layoutInCell="1" allowOverlap="1" wp14:anchorId="18B556DC" wp14:editId="4F5819A9">
                <wp:simplePos x="0" y="0"/>
                <wp:positionH relativeFrom="margin">
                  <wp:posOffset>3234801</wp:posOffset>
                </wp:positionH>
                <wp:positionV relativeFrom="margin">
                  <wp:posOffset>5420498</wp:posOffset>
                </wp:positionV>
                <wp:extent cx="3060700" cy="3468370"/>
                <wp:effectExtent l="0" t="0" r="6350" b="0"/>
                <wp:wrapSquare wrapText="bothSides"/>
                <wp:docPr id="60" name="文字方塊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0" cy="3468370"/>
                        </a:xfrm>
                        <a:prstGeom prst="rect">
                          <a:avLst/>
                        </a:prstGeom>
                        <a:solidFill>
                          <a:srgbClr val="FFFFFF"/>
                        </a:solidFill>
                        <a:ln w="9525">
                          <a:noFill/>
                          <a:miter lim="800000"/>
                          <a:headEnd/>
                          <a:tailEnd/>
                        </a:ln>
                      </wps:spPr>
                      <wps:txbx>
                        <w:txbxContent>
                          <w:p w14:paraId="2B623CFA" w14:textId="77777777" w:rsidR="00113ACD" w:rsidRDefault="00113ACD" w:rsidP="00113ACD">
                            <w:pPr>
                              <w:spacing w:line="240" w:lineRule="exact"/>
                              <w:ind w:left="721" w:hangingChars="300" w:hanging="721"/>
                              <w:jc w:val="both"/>
                              <w:rPr>
                                <w:rFonts w:ascii="標楷體" w:eastAsia="標楷體" w:hAnsi="標楷體"/>
                                <w:b/>
                                <w:szCs w:val="24"/>
                              </w:rPr>
                            </w:pPr>
                            <w:r>
                              <w:rPr>
                                <w:rFonts w:ascii="標楷體" w:eastAsia="標楷體" w:hAnsi="標楷體" w:hint="eastAsia"/>
                                <w:b/>
                                <w:szCs w:val="24"/>
                              </w:rPr>
                              <w:t xml:space="preserve">圖2　</w:t>
                            </w:r>
                            <w:r w:rsidRPr="0084411A">
                              <w:rPr>
                                <w:rFonts w:ascii="標楷體" w:eastAsia="標楷體" w:hAnsi="標楷體" w:hint="eastAsia"/>
                                <w:b/>
                                <w:szCs w:val="24"/>
                              </w:rPr>
                              <w:t>水利處官方LINE之防災功能</w:t>
                            </w:r>
                            <w:r>
                              <w:rPr>
                                <w:rFonts w:ascii="標楷體" w:eastAsia="標楷體" w:hAnsi="標楷體" w:hint="eastAsia"/>
                                <w:b/>
                                <w:szCs w:val="24"/>
                              </w:rPr>
                              <w:t>避難資訊錯誤情形</w:t>
                            </w:r>
                          </w:p>
                          <w:tbl>
                            <w:tblPr>
                              <w:tblStyle w:val="a6"/>
                              <w:tblW w:w="4997"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71"/>
                              <w:gridCol w:w="2526"/>
                            </w:tblGrid>
                            <w:tr w:rsidR="00113ACD" w14:paraId="027E41BD" w14:textId="77777777" w:rsidTr="00113ACD">
                              <w:tc>
                                <w:tcPr>
                                  <w:tcW w:w="2471" w:type="dxa"/>
                                </w:tcPr>
                                <w:p w14:paraId="72C9FC97" w14:textId="10C2F6ED" w:rsidR="00113ACD" w:rsidRDefault="00113ACD" w:rsidP="00113ACD">
                                  <w:pPr>
                                    <w:jc w:val="both"/>
                                    <w:rPr>
                                      <w:rFonts w:ascii="標楷體" w:eastAsia="標楷體" w:hAnsi="標楷體"/>
                                      <w:b/>
                                      <w:szCs w:val="24"/>
                                    </w:rPr>
                                  </w:pPr>
                                  <w:r>
                                    <w:rPr>
                                      <w:rFonts w:ascii="標楷體" w:eastAsia="標楷體"/>
                                      <w:noProof/>
                                      <w:sz w:val="32"/>
                                    </w:rPr>
                                    <w:drawing>
                                      <wp:inline distT="0" distB="0" distL="0" distR="0" wp14:anchorId="22879FD7" wp14:editId="480BC85B">
                                        <wp:extent cx="1440180" cy="2561659"/>
                                        <wp:effectExtent l="19050" t="19050" r="26670" b="10160"/>
                                        <wp:docPr id="927419630" name="圖片 927419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046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78144" cy="2629186"/>
                                                </a:xfrm>
                                                <a:prstGeom prst="rect">
                                                  <a:avLst/>
                                                </a:prstGeom>
                                                <a:ln w="9525">
                                                  <a:solidFill>
                                                    <a:schemeClr val="tx1"/>
                                                  </a:solidFill>
                                                </a:ln>
                                              </pic:spPr>
                                            </pic:pic>
                                          </a:graphicData>
                                        </a:graphic>
                                      </wp:inline>
                                    </w:drawing>
                                  </w:r>
                                </w:p>
                              </w:tc>
                              <w:tc>
                                <w:tcPr>
                                  <w:tcW w:w="2526" w:type="dxa"/>
                                </w:tcPr>
                                <w:p w14:paraId="49EC1F6C" w14:textId="77777777" w:rsidR="00113ACD" w:rsidRDefault="00113ACD" w:rsidP="00113ACD">
                                  <w:pPr>
                                    <w:jc w:val="both"/>
                                    <w:rPr>
                                      <w:rFonts w:ascii="標楷體" w:eastAsia="標楷體" w:hAnsi="標楷體"/>
                                      <w:b/>
                                      <w:szCs w:val="24"/>
                                    </w:rPr>
                                  </w:pPr>
                                  <w:r>
                                    <w:rPr>
                                      <w:rFonts w:hint="eastAsia"/>
                                      <w:noProof/>
                                    </w:rPr>
                                    <w:drawing>
                                      <wp:inline distT="0" distB="0" distL="0" distR="0" wp14:anchorId="3EAA6E96" wp14:editId="0F64A6F0">
                                        <wp:extent cx="1332672" cy="2547181"/>
                                        <wp:effectExtent l="19050" t="19050" r="20320" b="24765"/>
                                        <wp:docPr id="927419625" name="圖片 927419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0436.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66959" cy="2612716"/>
                                                </a:xfrm>
                                                <a:prstGeom prst="rect">
                                                  <a:avLst/>
                                                </a:prstGeom>
                                                <a:ln>
                                                  <a:solidFill>
                                                    <a:schemeClr val="tx1"/>
                                                  </a:solidFill>
                                                </a:ln>
                                              </pic:spPr>
                                            </pic:pic>
                                          </a:graphicData>
                                        </a:graphic>
                                      </wp:inline>
                                    </w:drawing>
                                  </w:r>
                                </w:p>
                              </w:tc>
                            </w:tr>
                          </w:tbl>
                          <w:p w14:paraId="40AC986C" w14:textId="2EEE4371" w:rsidR="00113ACD" w:rsidRPr="00206409" w:rsidRDefault="00113ACD" w:rsidP="00113ACD">
                            <w:pPr>
                              <w:spacing w:line="240" w:lineRule="exact"/>
                              <w:ind w:left="895" w:hangingChars="497" w:hanging="895"/>
                              <w:rPr>
                                <w:rFonts w:ascii="標楷體" w:eastAsia="標楷體" w:hAnsi="標楷體"/>
                                <w:b/>
                                <w:szCs w:val="24"/>
                              </w:rPr>
                            </w:pPr>
                            <w:r w:rsidRPr="0084411A">
                              <w:rPr>
                                <w:rFonts w:ascii="標楷體" w:eastAsia="標楷體" w:hAnsi="標楷體" w:hint="eastAsia"/>
                                <w:sz w:val="18"/>
                                <w:szCs w:val="18"/>
                              </w:rPr>
                              <w:t>資料來源：整理自</w:t>
                            </w:r>
                            <w:r w:rsidR="00164A20">
                              <w:rPr>
                                <w:rFonts w:ascii="標楷體" w:eastAsia="標楷體" w:hAnsi="標楷體" w:hint="eastAsia"/>
                                <w:sz w:val="18"/>
                                <w:szCs w:val="18"/>
                              </w:rPr>
                              <w:t>工務局</w:t>
                            </w:r>
                            <w:r w:rsidRPr="0084411A">
                              <w:rPr>
                                <w:rFonts w:ascii="標楷體" w:eastAsia="標楷體" w:hAnsi="標楷體" w:hint="eastAsia"/>
                                <w:sz w:val="18"/>
                                <w:szCs w:val="18"/>
                              </w:rPr>
                              <w:t>水利</w:t>
                            </w:r>
                            <w:r>
                              <w:rPr>
                                <w:rFonts w:ascii="標楷體" w:eastAsia="標楷體" w:hAnsi="標楷體" w:hint="eastAsia"/>
                                <w:sz w:val="18"/>
                                <w:szCs w:val="18"/>
                              </w:rPr>
                              <w:t>工程</w:t>
                            </w:r>
                            <w:r w:rsidRPr="0084411A">
                              <w:rPr>
                                <w:rFonts w:ascii="標楷體" w:eastAsia="標楷體" w:hAnsi="標楷體" w:hint="eastAsia"/>
                                <w:sz w:val="18"/>
                                <w:szCs w:val="18"/>
                              </w:rPr>
                              <w:t>處</w:t>
                            </w:r>
                            <w:r>
                              <w:rPr>
                                <w:rFonts w:ascii="標楷體" w:eastAsia="標楷體" w:hAnsi="標楷體" w:hint="eastAsia"/>
                                <w:sz w:val="18"/>
                                <w:szCs w:val="18"/>
                              </w:rPr>
                              <w:t>「戀</w:t>
                            </w:r>
                            <w:proofErr w:type="gramStart"/>
                            <w:r>
                              <w:rPr>
                                <w:rFonts w:ascii="標楷體" w:eastAsia="標楷體" w:hAnsi="標楷體" w:hint="eastAsia"/>
                                <w:sz w:val="18"/>
                                <w:szCs w:val="18"/>
                              </w:rPr>
                              <w:t>戀</w:t>
                            </w:r>
                            <w:proofErr w:type="gramEnd"/>
                            <w:r>
                              <w:rPr>
                                <w:rFonts w:ascii="標楷體" w:eastAsia="標楷體" w:hAnsi="標楷體" w:hint="eastAsia"/>
                                <w:sz w:val="18"/>
                                <w:szCs w:val="18"/>
                              </w:rPr>
                              <w:t xml:space="preserve">水綠 </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北水利」</w:t>
                            </w:r>
                            <w:r w:rsidRPr="0084411A">
                              <w:rPr>
                                <w:rFonts w:ascii="標楷體" w:eastAsia="標楷體" w:hAnsi="標楷體" w:hint="eastAsia"/>
                                <w:sz w:val="18"/>
                                <w:szCs w:val="18"/>
                              </w:rPr>
                              <w:t>官方LINE資料。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B556DC" id="文字方塊 60" o:spid="_x0000_s1031" type="#_x0000_t202" style="position:absolute;left:0;text-align:left;margin-left:254.7pt;margin-top:426.8pt;width:241pt;height:273.1pt;z-index:2518364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" stroked="f">
                <v:textbox>
                  <w:txbxContent>
                    <w:p w14:paraId="2B623CFA" w14:textId="77777777" w:rsidR="00113ACD" w:rsidRDefault="00113ACD" w:rsidP="00113ACD">
                      <w:pPr>
                        <w:spacing w:line="240" w:lineRule="exact"/>
                        <w:ind w:left="721" w:hangingChars="300" w:hanging="721"/>
                        <w:jc w:val="both"/>
                        <w:rPr>
                          <w:rFonts w:ascii="標楷體" w:eastAsia="標楷體" w:hAnsi="標楷體"/>
                          <w:b/>
                          <w:szCs w:val="24"/>
                        </w:rPr>
                      </w:pPr>
                      <w:r>
                        <w:rPr>
                          <w:rFonts w:ascii="標楷體" w:eastAsia="標楷體" w:hAnsi="標楷體" w:hint="eastAsia"/>
                          <w:b/>
                          <w:szCs w:val="24"/>
                        </w:rPr>
                        <w:t xml:space="preserve">圖2　</w:t>
                      </w:r>
                      <w:r w:rsidRPr="0084411A">
                        <w:rPr>
                          <w:rFonts w:ascii="標楷體" w:eastAsia="標楷體" w:hAnsi="標楷體" w:hint="eastAsia"/>
                          <w:b/>
                          <w:szCs w:val="24"/>
                        </w:rPr>
                        <w:t>水利處官方LINE之防災功能</w:t>
                      </w:r>
                      <w:r>
                        <w:rPr>
                          <w:rFonts w:ascii="標楷體" w:eastAsia="標楷體" w:hAnsi="標楷體" w:hint="eastAsia"/>
                          <w:b/>
                          <w:szCs w:val="24"/>
                        </w:rPr>
                        <w:t>避難資訊錯誤情形</w:t>
                      </w:r>
                    </w:p>
                    <w:tbl>
                      <w:tblPr>
                        <w:tblStyle w:val="a6"/>
                        <w:tblW w:w="4997"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71"/>
                        <w:gridCol w:w="2526"/>
                      </w:tblGrid>
                      <w:tr w:rsidR="00113ACD" w14:paraId="027E41BD" w14:textId="77777777" w:rsidTr="00113ACD">
                        <w:tc>
                          <w:tcPr>
                            <w:tcW w:w="2471" w:type="dxa"/>
                          </w:tcPr>
                          <w:p w14:paraId="72C9FC97" w14:textId="10C2F6ED" w:rsidR="00113ACD" w:rsidRDefault="00113ACD" w:rsidP="00113ACD">
                            <w:pPr>
                              <w:jc w:val="both"/>
                              <w:rPr>
                                <w:rFonts w:ascii="標楷體" w:eastAsia="標楷體" w:hAnsi="標楷體"/>
                                <w:b/>
                                <w:szCs w:val="24"/>
                              </w:rPr>
                            </w:pPr>
                            <w:r>
                              <w:rPr>
                                <w:rFonts w:ascii="標楷體" w:eastAsia="標楷體"/>
                                <w:noProof/>
                                <w:sz w:val="32"/>
                              </w:rPr>
                              <w:drawing>
                                <wp:inline distT="0" distB="0" distL="0" distR="0" wp14:anchorId="22879FD7" wp14:editId="480BC85B">
                                  <wp:extent cx="1440180" cy="2561659"/>
                                  <wp:effectExtent l="19050" t="19050" r="26670" b="10160"/>
                                  <wp:docPr id="927419630" name="圖片 927419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046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78144" cy="2629186"/>
                                          </a:xfrm>
                                          <a:prstGeom prst="rect">
                                            <a:avLst/>
                                          </a:prstGeom>
                                          <a:ln w="9525">
                                            <a:solidFill>
                                              <a:schemeClr val="tx1"/>
                                            </a:solidFill>
                                          </a:ln>
                                        </pic:spPr>
                                      </pic:pic>
                                    </a:graphicData>
                                  </a:graphic>
                                </wp:inline>
                              </w:drawing>
                            </w:r>
                          </w:p>
                        </w:tc>
                        <w:tc>
                          <w:tcPr>
                            <w:tcW w:w="2526" w:type="dxa"/>
                          </w:tcPr>
                          <w:p w14:paraId="49EC1F6C" w14:textId="77777777" w:rsidR="00113ACD" w:rsidRDefault="00113ACD" w:rsidP="00113ACD">
                            <w:pPr>
                              <w:jc w:val="both"/>
                              <w:rPr>
                                <w:rFonts w:ascii="標楷體" w:eastAsia="標楷體" w:hAnsi="標楷體"/>
                                <w:b/>
                                <w:szCs w:val="24"/>
                              </w:rPr>
                            </w:pPr>
                            <w:r>
                              <w:rPr>
                                <w:rFonts w:hint="eastAsia"/>
                                <w:noProof/>
                              </w:rPr>
                              <w:drawing>
                                <wp:inline distT="0" distB="0" distL="0" distR="0" wp14:anchorId="3EAA6E96" wp14:editId="0F64A6F0">
                                  <wp:extent cx="1332672" cy="2547181"/>
                                  <wp:effectExtent l="19050" t="19050" r="20320" b="24765"/>
                                  <wp:docPr id="927419625" name="圖片 927419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0436.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66959" cy="2612716"/>
                                          </a:xfrm>
                                          <a:prstGeom prst="rect">
                                            <a:avLst/>
                                          </a:prstGeom>
                                          <a:ln>
                                            <a:solidFill>
                                              <a:schemeClr val="tx1"/>
                                            </a:solidFill>
                                          </a:ln>
                                        </pic:spPr>
                                      </pic:pic>
                                    </a:graphicData>
                                  </a:graphic>
                                </wp:inline>
                              </w:drawing>
                            </w:r>
                          </w:p>
                        </w:tc>
                      </w:tr>
                    </w:tbl>
                    <w:p w14:paraId="40AC986C" w14:textId="2EEE4371" w:rsidR="00113ACD" w:rsidRPr="00206409" w:rsidRDefault="00113ACD" w:rsidP="00113ACD">
                      <w:pPr>
                        <w:spacing w:line="240" w:lineRule="exact"/>
                        <w:ind w:left="895" w:hangingChars="497" w:hanging="895"/>
                        <w:rPr>
                          <w:rFonts w:ascii="標楷體" w:eastAsia="標楷體" w:hAnsi="標楷體"/>
                          <w:b/>
                          <w:szCs w:val="24"/>
                        </w:rPr>
                      </w:pPr>
                      <w:r w:rsidRPr="0084411A">
                        <w:rPr>
                          <w:rFonts w:ascii="標楷體" w:eastAsia="標楷體" w:hAnsi="標楷體" w:hint="eastAsia"/>
                          <w:sz w:val="18"/>
                          <w:szCs w:val="18"/>
                        </w:rPr>
                        <w:t>資料來源：整理自</w:t>
                      </w:r>
                      <w:r w:rsidR="00164A20">
                        <w:rPr>
                          <w:rFonts w:ascii="標楷體" w:eastAsia="標楷體" w:hAnsi="標楷體" w:hint="eastAsia"/>
                          <w:sz w:val="18"/>
                          <w:szCs w:val="18"/>
                        </w:rPr>
                        <w:t>工務局</w:t>
                      </w:r>
                      <w:r w:rsidRPr="0084411A">
                        <w:rPr>
                          <w:rFonts w:ascii="標楷體" w:eastAsia="標楷體" w:hAnsi="標楷體" w:hint="eastAsia"/>
                          <w:sz w:val="18"/>
                          <w:szCs w:val="18"/>
                        </w:rPr>
                        <w:t>水利</w:t>
                      </w:r>
                      <w:r>
                        <w:rPr>
                          <w:rFonts w:ascii="標楷體" w:eastAsia="標楷體" w:hAnsi="標楷體" w:hint="eastAsia"/>
                          <w:sz w:val="18"/>
                          <w:szCs w:val="18"/>
                        </w:rPr>
                        <w:t>工程</w:t>
                      </w:r>
                      <w:r w:rsidRPr="0084411A">
                        <w:rPr>
                          <w:rFonts w:ascii="標楷體" w:eastAsia="標楷體" w:hAnsi="標楷體" w:hint="eastAsia"/>
                          <w:sz w:val="18"/>
                          <w:szCs w:val="18"/>
                        </w:rPr>
                        <w:t>處</w:t>
                      </w:r>
                      <w:r>
                        <w:rPr>
                          <w:rFonts w:ascii="標楷體" w:eastAsia="標楷體" w:hAnsi="標楷體" w:hint="eastAsia"/>
                          <w:sz w:val="18"/>
                          <w:szCs w:val="18"/>
                        </w:rPr>
                        <w:t>「戀</w:t>
                      </w:r>
                      <w:proofErr w:type="gramStart"/>
                      <w:r>
                        <w:rPr>
                          <w:rFonts w:ascii="標楷體" w:eastAsia="標楷體" w:hAnsi="標楷體" w:hint="eastAsia"/>
                          <w:sz w:val="18"/>
                          <w:szCs w:val="18"/>
                        </w:rPr>
                        <w:t>戀</w:t>
                      </w:r>
                      <w:proofErr w:type="gramEnd"/>
                      <w:r>
                        <w:rPr>
                          <w:rFonts w:ascii="標楷體" w:eastAsia="標楷體" w:hAnsi="標楷體" w:hint="eastAsia"/>
                          <w:sz w:val="18"/>
                          <w:szCs w:val="18"/>
                        </w:rPr>
                        <w:t xml:space="preserve">水綠 </w:t>
                      </w:r>
                      <w:proofErr w:type="gramStart"/>
                      <w:r>
                        <w:rPr>
                          <w:rFonts w:ascii="標楷體" w:eastAsia="標楷體" w:hAnsi="標楷體" w:hint="eastAsia"/>
                          <w:sz w:val="18"/>
                          <w:szCs w:val="18"/>
                        </w:rPr>
                        <w:t>臺</w:t>
                      </w:r>
                      <w:proofErr w:type="gramEnd"/>
                      <w:r>
                        <w:rPr>
                          <w:rFonts w:ascii="標楷體" w:eastAsia="標楷體" w:hAnsi="標楷體" w:hint="eastAsia"/>
                          <w:sz w:val="18"/>
                          <w:szCs w:val="18"/>
                        </w:rPr>
                        <w:t>北水利」</w:t>
                      </w:r>
                      <w:r w:rsidRPr="0084411A">
                        <w:rPr>
                          <w:rFonts w:ascii="標楷體" w:eastAsia="標楷體" w:hAnsi="標楷體" w:hint="eastAsia"/>
                          <w:sz w:val="18"/>
                          <w:szCs w:val="18"/>
                        </w:rPr>
                        <w:t>官方LINE資料。</w:t>
                      </w:r>
                    </w:p>
                  </w:txbxContent>
                </v:textbox>
                <w10:wrap type="square" anchorx="margin" anchory="margin"/>
              </v:shape>
            </w:pict>
          </mc:Fallback>
        </mc:AlternateContent>
      </w:r>
      <w:r w:rsidR="0029756E" w:rsidRPr="00113ACD">
        <w:rPr>
          <w:rFonts w:ascii="標楷體" w:eastAsia="標楷體" w:hAnsi="標楷體" w:hint="eastAsia"/>
          <w:noProof/>
          <w:spacing w:val="-2"/>
        </w:rPr>
        <w:t>2</w:t>
      </w:r>
      <w:r w:rsidR="0029756E" w:rsidRPr="00113ACD">
        <w:rPr>
          <w:rFonts w:ascii="標楷體" w:eastAsia="標楷體" w:hAnsi="標楷體"/>
          <w:noProof/>
          <w:spacing w:val="-2"/>
        </w:rPr>
        <w:t>.</w:t>
      </w:r>
      <w:r w:rsidR="0029756E" w:rsidRPr="00113ACD">
        <w:rPr>
          <w:rFonts w:ascii="標楷體" w:eastAsia="標楷體" w:hAnsi="標楷體" w:hint="eastAsia"/>
          <w:noProof/>
          <w:spacing w:val="-2"/>
        </w:rPr>
        <w:t>部分下水道水位站及獨立閘門等監測設備未能與水情展示系統正常連線，且異常情事遲未排除，亟待檢核修正；</w:t>
      </w:r>
      <w:r w:rsidR="0029756E" w:rsidRPr="00113ACD">
        <w:rPr>
          <w:rFonts w:ascii="標楷體" w:eastAsia="標楷體" w:hAnsi="標楷體"/>
          <w:noProof/>
          <w:spacing w:val="-2"/>
        </w:rPr>
        <w:t>3.</w:t>
      </w:r>
      <w:r w:rsidR="0029756E" w:rsidRPr="00113ACD">
        <w:rPr>
          <w:rFonts w:ascii="標楷體" w:eastAsia="標楷體" w:hAnsi="標楷體" w:hint="eastAsia"/>
          <w:noProof/>
          <w:spacing w:val="-2"/>
        </w:rPr>
        <w:t>未針對歷史淹水次數較多地區優先設立水患自主防災韌性社區，且預計設立標的於執行過程中多有調整，有待檢討先期評估作業，並研謀</w:t>
      </w:r>
      <w:r w:rsidR="0029756E" w:rsidRPr="00113ACD">
        <w:rPr>
          <w:rFonts w:ascii="標楷體" w:eastAsia="標楷體" w:hAnsi="標楷體"/>
          <w:noProof/>
          <w:spacing w:val="-2"/>
        </w:rPr>
        <w:t>提高社區參與之意願</w:t>
      </w:r>
      <w:r w:rsidR="0029756E" w:rsidRPr="00113ACD">
        <w:rPr>
          <w:rFonts w:ascii="標楷體" w:eastAsia="標楷體" w:hAnsi="標楷體" w:hint="eastAsia"/>
          <w:noProof/>
          <w:spacing w:val="-2"/>
        </w:rPr>
        <w:t>；</w:t>
      </w:r>
      <w:r w:rsidR="0029756E" w:rsidRPr="00113ACD">
        <w:rPr>
          <w:rFonts w:ascii="標楷體" w:eastAsia="標楷體" w:hAnsi="標楷體"/>
          <w:noProof/>
          <w:spacing w:val="-2"/>
        </w:rPr>
        <w:t>4.</w:t>
      </w:r>
      <w:r w:rsidR="0029756E" w:rsidRPr="00113ACD">
        <w:rPr>
          <w:rFonts w:ascii="標楷體" w:eastAsia="標楷體" w:hAnsi="標楷體" w:hint="eastAsia"/>
          <w:noProof/>
          <w:spacing w:val="-2"/>
        </w:rPr>
        <w:t>經將防水閘門補助位置套疊淹水模擬圖，發現模擬淹水範圍內大部分區域之居民未申請設置防水閘門，且已補助施作地點尚非淹水潛勢較高區域；</w:t>
      </w:r>
      <w:r w:rsidR="0029756E" w:rsidRPr="00113ACD">
        <w:rPr>
          <w:rFonts w:ascii="標楷體" w:eastAsia="標楷體" w:hAnsi="標楷體"/>
          <w:noProof/>
          <w:spacing w:val="-2"/>
        </w:rPr>
        <w:t>5.</w:t>
      </w:r>
      <w:r w:rsidR="0029756E" w:rsidRPr="00113ACD">
        <w:rPr>
          <w:rFonts w:ascii="標楷體" w:eastAsia="標楷體" w:hAnsi="標楷體" w:hint="eastAsia"/>
          <w:noProof/>
          <w:spacing w:val="-2"/>
        </w:rPr>
        <w:t>水利</w:t>
      </w:r>
      <w:r w:rsidR="0029756E" w:rsidRPr="00113ACD">
        <w:rPr>
          <w:rFonts w:ascii="標楷體" w:eastAsia="標楷體" w:hAnsi="標楷體"/>
          <w:noProof/>
          <w:spacing w:val="-2"/>
        </w:rPr>
        <w:t>處</w:t>
      </w:r>
      <w:r w:rsidR="0029756E" w:rsidRPr="00113ACD">
        <w:rPr>
          <w:rFonts w:ascii="標楷體" w:eastAsia="標楷體" w:hAnsi="標楷體" w:hint="eastAsia"/>
          <w:noProof/>
          <w:spacing w:val="-2"/>
        </w:rPr>
        <w:t>「戀戀水綠 臺北水利」</w:t>
      </w:r>
      <w:r w:rsidR="0029756E" w:rsidRPr="00113ACD">
        <w:rPr>
          <w:rFonts w:ascii="標楷體" w:eastAsia="標楷體" w:hAnsi="標楷體"/>
          <w:noProof/>
          <w:spacing w:val="-2"/>
        </w:rPr>
        <w:t>官方</w:t>
      </w:r>
      <w:r w:rsidR="0029756E" w:rsidRPr="00113ACD">
        <w:rPr>
          <w:rFonts w:ascii="標楷體" w:eastAsia="標楷體" w:hAnsi="標楷體" w:hint="eastAsia"/>
          <w:noProof/>
          <w:spacing w:val="-2"/>
        </w:rPr>
        <w:t>LINE群</w:t>
      </w:r>
      <w:r w:rsidR="0029756E" w:rsidRPr="00113ACD">
        <w:rPr>
          <w:rFonts w:ascii="標楷體" w:eastAsia="標楷體" w:hAnsi="標楷體"/>
          <w:noProof/>
          <w:spacing w:val="-2"/>
        </w:rPr>
        <w:t>組</w:t>
      </w:r>
      <w:r w:rsidR="0029756E" w:rsidRPr="00113ACD">
        <w:rPr>
          <w:rFonts w:ascii="標楷體" w:eastAsia="標楷體" w:hAnsi="標楷體" w:hint="eastAsia"/>
          <w:noProof/>
          <w:spacing w:val="-2"/>
        </w:rPr>
        <w:t>啟</w:t>
      </w:r>
      <w:r w:rsidR="0029756E" w:rsidRPr="00113ACD">
        <w:rPr>
          <w:rFonts w:ascii="標楷體" w:eastAsia="標楷體" w:hAnsi="標楷體"/>
          <w:noProof/>
          <w:spacing w:val="-2"/>
        </w:rPr>
        <w:t>用智慧防汛功能</w:t>
      </w:r>
      <w:r w:rsidR="0029756E" w:rsidRPr="00113ACD">
        <w:rPr>
          <w:rFonts w:ascii="標楷體" w:eastAsia="標楷體" w:hAnsi="標楷體" w:hint="eastAsia"/>
          <w:noProof/>
          <w:spacing w:val="-2"/>
        </w:rPr>
        <w:t>，惟</w:t>
      </w:r>
      <w:r w:rsidR="0029756E" w:rsidRPr="00113ACD">
        <w:rPr>
          <w:rFonts w:ascii="標楷體" w:eastAsia="標楷體" w:hAnsi="標楷體"/>
          <w:noProof/>
          <w:spacing w:val="-2"/>
        </w:rPr>
        <w:t>使用率仍有成長空間</w:t>
      </w:r>
      <w:r w:rsidR="0029756E" w:rsidRPr="00113ACD">
        <w:rPr>
          <w:rFonts w:ascii="標楷體" w:eastAsia="標楷體" w:hAnsi="標楷體" w:hint="eastAsia"/>
          <w:noProof/>
          <w:spacing w:val="-2"/>
        </w:rPr>
        <w:t>，且避</w:t>
      </w:r>
      <w:r w:rsidR="0029756E" w:rsidRPr="00113ACD">
        <w:rPr>
          <w:rFonts w:ascii="標楷體" w:eastAsia="標楷體" w:hAnsi="標楷體"/>
          <w:noProof/>
          <w:spacing w:val="-2"/>
        </w:rPr>
        <w:t>難</w:t>
      </w:r>
      <w:r w:rsidR="0029756E" w:rsidRPr="00113ACD">
        <w:rPr>
          <w:rFonts w:ascii="標楷體" w:eastAsia="標楷體" w:hAnsi="標楷體" w:hint="eastAsia"/>
          <w:noProof/>
          <w:spacing w:val="-2"/>
        </w:rPr>
        <w:t>處所</w:t>
      </w:r>
      <w:r w:rsidR="0029756E" w:rsidRPr="00113ACD">
        <w:rPr>
          <w:rFonts w:ascii="標楷體" w:eastAsia="標楷體" w:hAnsi="標楷體"/>
          <w:noProof/>
          <w:spacing w:val="-2"/>
        </w:rPr>
        <w:t>資訊未盡</w:t>
      </w:r>
      <w:r w:rsidR="0029756E" w:rsidRPr="00113ACD">
        <w:rPr>
          <w:rFonts w:ascii="標楷體" w:eastAsia="標楷體" w:hAnsi="標楷體" w:hint="eastAsia"/>
          <w:noProof/>
          <w:spacing w:val="-2"/>
        </w:rPr>
        <w:t>正</w:t>
      </w:r>
      <w:r w:rsidR="0029756E" w:rsidRPr="00113ACD">
        <w:rPr>
          <w:rFonts w:ascii="標楷體" w:eastAsia="標楷體" w:hAnsi="標楷體"/>
          <w:noProof/>
          <w:spacing w:val="-2"/>
        </w:rPr>
        <w:t>確</w:t>
      </w:r>
      <w:r w:rsidR="0029756E" w:rsidRPr="00113ACD">
        <w:rPr>
          <w:rFonts w:ascii="標楷體" w:eastAsia="標楷體" w:hAnsi="標楷體" w:hint="eastAsia"/>
          <w:noProof/>
          <w:spacing w:val="-2"/>
        </w:rPr>
        <w:t>（圖2）等情</w:t>
      </w:r>
      <w:r w:rsidR="0029756E" w:rsidRPr="00113ACD">
        <w:rPr>
          <w:rFonts w:ascii="標楷體" w:eastAsia="標楷體" w:hAnsi="標楷體" w:hint="eastAsia"/>
          <w:spacing w:val="-2"/>
        </w:rPr>
        <w:t>事，經函請檢討</w:t>
      </w:r>
    </w:p>
    <w:p w14:paraId="6C7E961A" w14:textId="1F81B0F2" w:rsidR="0029756E" w:rsidRPr="00430D32" w:rsidRDefault="0029756E" w:rsidP="00496E9E">
      <w:pPr>
        <w:spacing w:line="460" w:lineRule="exact"/>
        <w:jc w:val="both"/>
        <w:rPr>
          <w:rFonts w:ascii="標楷體" w:eastAsia="標楷體" w:hAnsi="標楷體"/>
        </w:rPr>
      </w:pPr>
      <w:r w:rsidRPr="00430D32">
        <w:rPr>
          <w:rFonts w:ascii="標楷體" w:eastAsia="標楷體" w:hAnsi="標楷體" w:hint="eastAsia"/>
        </w:rPr>
        <w:lastRenderedPageBreak/>
        <w:t>改善。</w:t>
      </w:r>
      <w:r w:rsidRPr="00430D32">
        <w:rPr>
          <w:rFonts w:ascii="標楷體" w:eastAsia="標楷體" w:hAnsi="標楷體"/>
        </w:rPr>
        <w:t>據復：</w:t>
      </w:r>
      <w:r w:rsidRPr="00430D32">
        <w:rPr>
          <w:rFonts w:ascii="標楷體" w:eastAsia="標楷體" w:hAnsi="標楷體" w:hint="eastAsia"/>
        </w:rPr>
        <w:t>1</w:t>
      </w:r>
      <w:r w:rsidRPr="00430D32">
        <w:rPr>
          <w:rFonts w:ascii="標楷體" w:eastAsia="標楷體" w:hAnsi="標楷體"/>
        </w:rPr>
        <w:t>.</w:t>
      </w:r>
      <w:r w:rsidRPr="00430D32">
        <w:rPr>
          <w:rFonts w:ascii="標楷體" w:eastAsia="標楷體" w:hAnsi="標楷體" w:hint="eastAsia"/>
        </w:rPr>
        <w:t>考量臺北市水患防災策略著重於預防及預警，將於代辦</w:t>
      </w:r>
      <w:r w:rsidRPr="00430D32">
        <w:rPr>
          <w:rFonts w:ascii="標楷體" w:eastAsia="標楷體" w:hAnsi="標楷體" w:hint="eastAsia"/>
          <w:noProof/>
        </w:rPr>
        <w:t>內政部國土管理署</w:t>
      </w:r>
      <w:r w:rsidRPr="00430D32">
        <w:rPr>
          <w:rFonts w:ascii="標楷體" w:eastAsia="標楷體" w:hAnsi="標楷體" w:hint="eastAsia"/>
        </w:rPr>
        <w:t>計畫時檢討新增壓力式水位計，並針對無建置雨水下水道區域</w:t>
      </w:r>
      <w:proofErr w:type="gramStart"/>
      <w:r w:rsidRPr="00430D32">
        <w:rPr>
          <w:rFonts w:ascii="標楷體" w:eastAsia="標楷體" w:hAnsi="標楷體" w:hint="eastAsia"/>
        </w:rPr>
        <w:t>研</w:t>
      </w:r>
      <w:proofErr w:type="gramEnd"/>
      <w:r w:rsidRPr="00430D32">
        <w:rPr>
          <w:rFonts w:ascii="標楷體" w:eastAsia="標楷體" w:hAnsi="標楷體" w:hint="eastAsia"/>
        </w:rPr>
        <w:t>議設置路面淹水感測器之可行性，且將持續滾動式檢討水情監測設備之妥適性，以確保臺北市防洪預警需求並降低洪災威脅；2</w:t>
      </w:r>
      <w:r w:rsidRPr="00430D32">
        <w:rPr>
          <w:rFonts w:ascii="標楷體" w:eastAsia="標楷體" w:hAnsi="標楷體"/>
        </w:rPr>
        <w:t>.已</w:t>
      </w:r>
      <w:r w:rsidRPr="00430D32">
        <w:rPr>
          <w:rFonts w:ascii="標楷體" w:eastAsia="標楷體" w:hAnsi="標楷體" w:hint="eastAsia"/>
        </w:rPr>
        <w:t>完成監測設備維修或通報設備所屬管轄單位（新北市政府），確保</w:t>
      </w:r>
      <w:r w:rsidRPr="00430D32">
        <w:rPr>
          <w:rFonts w:ascii="標楷體" w:eastAsia="標楷體" w:hAnsi="標楷體" w:hint="eastAsia"/>
          <w:noProof/>
        </w:rPr>
        <w:t>監測設備與水情展示系統正常連線</w:t>
      </w:r>
      <w:r w:rsidRPr="00430D32">
        <w:rPr>
          <w:rFonts w:ascii="標楷體" w:eastAsia="標楷體" w:hAnsi="標楷體" w:hint="eastAsia"/>
        </w:rPr>
        <w:t>；3</w:t>
      </w:r>
      <w:r w:rsidRPr="00430D32">
        <w:rPr>
          <w:rFonts w:ascii="標楷體" w:eastAsia="標楷體" w:hAnsi="標楷體"/>
        </w:rPr>
        <w:t>.</w:t>
      </w:r>
      <w:proofErr w:type="gramStart"/>
      <w:r w:rsidRPr="00430D32">
        <w:rPr>
          <w:rFonts w:ascii="標楷體" w:eastAsia="標楷體" w:hAnsi="標楷體"/>
        </w:rPr>
        <w:t>囿</w:t>
      </w:r>
      <w:proofErr w:type="gramEnd"/>
      <w:r w:rsidRPr="00430D32">
        <w:rPr>
          <w:rFonts w:ascii="標楷體" w:eastAsia="標楷體" w:hAnsi="標楷體"/>
        </w:rPr>
        <w:t>於</w:t>
      </w:r>
      <w:r w:rsidRPr="00430D32">
        <w:rPr>
          <w:rFonts w:ascii="標楷體" w:eastAsia="標楷體" w:hAnsi="標楷體" w:hint="eastAsia"/>
        </w:rPr>
        <w:t>里長推動意願，致無法針對高風險社區設立</w:t>
      </w:r>
      <w:r w:rsidRPr="00430D32">
        <w:rPr>
          <w:rFonts w:ascii="標楷體" w:eastAsia="標楷體" w:hAnsi="標楷體" w:hint="eastAsia"/>
          <w:noProof/>
        </w:rPr>
        <w:t>水患自主防災韌性社區</w:t>
      </w:r>
      <w:r w:rsidRPr="00430D32">
        <w:rPr>
          <w:rFonts w:ascii="標楷體" w:eastAsia="標楷體" w:hAnsi="標楷體" w:hint="eastAsia"/>
        </w:rPr>
        <w:t>，嗣後針對高風險社區將加強辦理水患自主防災相關教育訓練及宣導，</w:t>
      </w:r>
      <w:proofErr w:type="gramStart"/>
      <w:r w:rsidRPr="00430D32">
        <w:rPr>
          <w:rFonts w:ascii="標楷體" w:eastAsia="標楷體" w:hAnsi="標楷體" w:hint="eastAsia"/>
        </w:rPr>
        <w:t>俾</w:t>
      </w:r>
      <w:proofErr w:type="gramEnd"/>
      <w:r w:rsidRPr="00430D32">
        <w:rPr>
          <w:rFonts w:ascii="標楷體" w:eastAsia="標楷體" w:hAnsi="標楷體" w:hint="eastAsia"/>
        </w:rPr>
        <w:t>利具備防災知識及應變能力，使社區災害損失降至最低；</w:t>
      </w:r>
      <w:r w:rsidRPr="00430D32">
        <w:rPr>
          <w:rFonts w:ascii="標楷體" w:eastAsia="標楷體" w:hAnsi="標楷體"/>
        </w:rPr>
        <w:t>4.</w:t>
      </w:r>
      <w:r w:rsidRPr="00430D32">
        <w:rPr>
          <w:rFonts w:ascii="標楷體" w:eastAsia="標楷體" w:hAnsi="標楷體" w:hint="eastAsia"/>
        </w:rPr>
        <w:t>為鼓勵並優先補助淹水潛勢較高區域居民，將督導各區公所於災害應變中心成立後，針對淹水潛勢較高區域進行訪視或書面通知，加強宣導力度，以發揮補助經費最高效益；5</w:t>
      </w:r>
      <w:r w:rsidRPr="00430D32">
        <w:rPr>
          <w:rFonts w:ascii="標楷體" w:eastAsia="標楷體" w:hAnsi="標楷體"/>
        </w:rPr>
        <w:t>.</w:t>
      </w:r>
      <w:r w:rsidRPr="00430D32">
        <w:rPr>
          <w:rFonts w:ascii="標楷體" w:eastAsia="標楷體" w:hAnsi="標楷體" w:hint="eastAsia"/>
        </w:rPr>
        <w:t>已更正水利</w:t>
      </w:r>
      <w:r w:rsidRPr="00430D32">
        <w:rPr>
          <w:rFonts w:ascii="標楷體" w:eastAsia="標楷體" w:hAnsi="標楷體"/>
        </w:rPr>
        <w:t>處</w:t>
      </w:r>
      <w:r w:rsidRPr="00430D32">
        <w:rPr>
          <w:rFonts w:ascii="標楷體" w:eastAsia="標楷體" w:hAnsi="標楷體" w:hint="eastAsia"/>
        </w:rPr>
        <w:t>「戀</w:t>
      </w:r>
      <w:proofErr w:type="gramStart"/>
      <w:r w:rsidRPr="00430D32">
        <w:rPr>
          <w:rFonts w:ascii="標楷體" w:eastAsia="標楷體" w:hAnsi="標楷體" w:hint="eastAsia"/>
        </w:rPr>
        <w:t>戀</w:t>
      </w:r>
      <w:proofErr w:type="gramEnd"/>
      <w:r w:rsidRPr="00430D32">
        <w:rPr>
          <w:rFonts w:ascii="標楷體" w:eastAsia="標楷體" w:hAnsi="標楷體" w:hint="eastAsia"/>
        </w:rPr>
        <w:t xml:space="preserve">水綠 </w:t>
      </w:r>
      <w:proofErr w:type="gramStart"/>
      <w:r w:rsidRPr="00430D32">
        <w:rPr>
          <w:rFonts w:ascii="標楷體" w:eastAsia="標楷體" w:hAnsi="標楷體" w:hint="eastAsia"/>
        </w:rPr>
        <w:t>臺</w:t>
      </w:r>
      <w:proofErr w:type="gramEnd"/>
      <w:r w:rsidRPr="00430D32">
        <w:rPr>
          <w:rFonts w:ascii="標楷體" w:eastAsia="標楷體" w:hAnsi="標楷體" w:hint="eastAsia"/>
        </w:rPr>
        <w:t>北水利」</w:t>
      </w:r>
      <w:r w:rsidRPr="00430D32">
        <w:rPr>
          <w:rFonts w:ascii="標楷體" w:eastAsia="標楷體" w:hAnsi="標楷體"/>
        </w:rPr>
        <w:t>官方</w:t>
      </w:r>
      <w:r w:rsidRPr="00430D32">
        <w:rPr>
          <w:rFonts w:ascii="標楷體" w:eastAsia="標楷體" w:hAnsi="標楷體" w:hint="eastAsia"/>
        </w:rPr>
        <w:t>LINE群</w:t>
      </w:r>
      <w:r w:rsidRPr="00430D32">
        <w:rPr>
          <w:rFonts w:ascii="標楷體" w:eastAsia="標楷體" w:hAnsi="標楷體"/>
        </w:rPr>
        <w:t>組</w:t>
      </w:r>
      <w:r w:rsidRPr="00430D32">
        <w:rPr>
          <w:rFonts w:ascii="標楷體" w:eastAsia="標楷體" w:hAnsi="標楷體" w:hint="eastAsia"/>
        </w:rPr>
        <w:t>中避難地點錯誤資訊，並經加強宣導使用，好友人數已逐漸提升。</w:t>
      </w:r>
    </w:p>
    <w:p w14:paraId="4F515F00" w14:textId="77777777" w:rsidR="0029756E" w:rsidRPr="00430D32" w:rsidRDefault="0029756E" w:rsidP="0029756E">
      <w:pPr>
        <w:spacing w:beforeLines="50" w:before="180" w:line="460" w:lineRule="exact"/>
        <w:ind w:firstLineChars="100" w:firstLine="280"/>
        <w:jc w:val="both"/>
        <w:rPr>
          <w:rFonts w:ascii="標楷體" w:eastAsia="標楷體" w:hAnsi="標楷體"/>
          <w:b/>
          <w:kern w:val="0"/>
          <w:sz w:val="28"/>
          <w:szCs w:val="28"/>
        </w:rPr>
      </w:pPr>
      <w:bookmarkStart w:id="8" w:name="_Hlk170905213"/>
      <w:r w:rsidRPr="00430D32">
        <w:rPr>
          <w:rFonts w:ascii="標楷體" w:eastAsia="標楷體" w:hAnsi="標楷體" w:hint="eastAsia"/>
          <w:b/>
          <w:kern w:val="0"/>
          <w:sz w:val="28"/>
          <w:szCs w:val="28"/>
        </w:rPr>
        <w:t>（八）為提升社會住宅經營成效，委託臺北市住宅及都市更新中心管理社會住宅，並由該中心委由廠商執行管理維護工作，惟部分社會住宅之管理維護作業仍欠周妥，允待</w:t>
      </w:r>
      <w:proofErr w:type="gramStart"/>
      <w:r w:rsidRPr="00430D32">
        <w:rPr>
          <w:rFonts w:ascii="標楷體" w:eastAsia="標楷體" w:hAnsi="標楷體" w:hint="eastAsia"/>
          <w:b/>
          <w:kern w:val="0"/>
          <w:sz w:val="28"/>
          <w:szCs w:val="28"/>
        </w:rPr>
        <w:t>研謀妥處</w:t>
      </w:r>
      <w:proofErr w:type="gramEnd"/>
      <w:r w:rsidRPr="00430D32">
        <w:rPr>
          <w:rFonts w:ascii="標楷體" w:eastAsia="標楷體" w:hAnsi="標楷體" w:hint="eastAsia"/>
          <w:b/>
          <w:kern w:val="0"/>
          <w:sz w:val="28"/>
          <w:szCs w:val="28"/>
        </w:rPr>
        <w:t>。</w:t>
      </w:r>
    </w:p>
    <w:p w14:paraId="4FAE75D7" w14:textId="77777777" w:rsidR="00496E9E" w:rsidRDefault="0029756E" w:rsidP="0029756E">
      <w:pPr>
        <w:spacing w:line="460" w:lineRule="exact"/>
        <w:ind w:firstLineChars="200" w:firstLine="480"/>
        <w:jc w:val="both"/>
        <w:rPr>
          <w:rFonts w:ascii="標楷體" w:eastAsia="標楷體" w:hAnsi="標楷體" w:cs="標楷體"/>
          <w:bCs/>
          <w:szCs w:val="32"/>
        </w:rPr>
      </w:pPr>
      <w:r w:rsidRPr="00430D32">
        <w:rPr>
          <w:rFonts w:ascii="標楷體" w:eastAsia="標楷體" w:hAnsi="標楷體" w:cs="標楷體"/>
          <w:bCs/>
          <w:noProof/>
          <w:szCs w:val="32"/>
          <w:lang w:val="zh-TW"/>
        </w:rPr>
        <mc:AlternateContent>
          <mc:Choice Requires="wpg">
            <w:drawing>
              <wp:anchor distT="0" distB="0" distL="114300" distR="114300" simplePos="0" relativeHeight="251807744" behindDoc="1" locked="0" layoutInCell="1" allowOverlap="1" wp14:anchorId="31EE1B93" wp14:editId="6059E063">
                <wp:simplePos x="0" y="0"/>
                <wp:positionH relativeFrom="column">
                  <wp:posOffset>3845560</wp:posOffset>
                </wp:positionH>
                <wp:positionV relativeFrom="page">
                  <wp:posOffset>5764099</wp:posOffset>
                </wp:positionV>
                <wp:extent cx="2381250" cy="2577465"/>
                <wp:effectExtent l="0" t="19050" r="19050" b="0"/>
                <wp:wrapTight wrapText="bothSides">
                  <wp:wrapPolygon edited="0">
                    <wp:start x="0" y="-160"/>
                    <wp:lineTo x="0" y="21392"/>
                    <wp:lineTo x="21600" y="21392"/>
                    <wp:lineTo x="21600" y="-160"/>
                    <wp:lineTo x="0" y="-160"/>
                  </wp:wrapPolygon>
                </wp:wrapTight>
                <wp:docPr id="19" name="群組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1250" cy="2577465"/>
                          <a:chOff x="6955" y="4395"/>
                          <a:chExt cx="3750" cy="3766"/>
                        </a:xfrm>
                      </wpg:grpSpPr>
                      <pic:pic xmlns:pic="http://schemas.openxmlformats.org/drawingml/2006/picture">
                        <pic:nvPicPr>
                          <pic:cNvPr id="20" name="圖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980" y="4395"/>
                            <a:ext cx="3725" cy="3063"/>
                          </a:xfrm>
                          <a:prstGeom prst="rect">
                            <a:avLst/>
                          </a:prstGeom>
                          <a:noFill/>
                          <a:ln w="9525">
                            <a:solidFill>
                              <a:schemeClr val="tx1">
                                <a:lumMod val="95000"/>
                                <a:lumOff val="5000"/>
                              </a:schemeClr>
                            </a:solidFill>
                            <a:miter lim="800000"/>
                            <a:headEnd/>
                            <a:tailEnd/>
                          </a:ln>
                          <a:extLst>
                            <a:ext uri="{909E8E84-426E-40DD-AFC4-6F175D3DCCD1}">
                              <a14:hiddenFill xmlns:a14="http://schemas.microsoft.com/office/drawing/2010/main">
                                <a:solidFill>
                                  <a:srgbClr val="FFFFFF"/>
                                </a:solidFill>
                              </a14:hiddenFill>
                            </a:ext>
                          </a:extLst>
                        </pic:spPr>
                      </pic:pic>
                      <wps:wsp>
                        <wps:cNvPr id="29" name="文字方塊 2"/>
                        <wps:cNvSpPr txBox="1">
                          <a:spLocks noChangeArrowheads="1"/>
                        </wps:cNvSpPr>
                        <wps:spPr bwMode="auto">
                          <a:xfrm>
                            <a:off x="6955" y="7486"/>
                            <a:ext cx="3750" cy="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6F0C09" w14:textId="77777777" w:rsidR="0029756E" w:rsidRPr="000764E3" w:rsidRDefault="0029756E" w:rsidP="0029756E">
                              <w:pPr>
                                <w:spacing w:line="240" w:lineRule="exact"/>
                                <w:jc w:val="center"/>
                                <w:rPr>
                                  <w:rFonts w:ascii="標楷體" w:eastAsia="標楷體" w:hAnsi="標楷體"/>
                                  <w:b/>
                                  <w:bCs/>
                                </w:rPr>
                              </w:pPr>
                              <w:r w:rsidRPr="000764E3">
                                <w:rPr>
                                  <w:rFonts w:ascii="標楷體" w:eastAsia="標楷體" w:hAnsi="標楷體" w:hint="eastAsia"/>
                                  <w:b/>
                                  <w:bCs/>
                                  <w:color w:val="000000" w:themeColor="text1"/>
                                </w:rPr>
                                <w:t>臺北市</w:t>
                              </w:r>
                              <w:proofErr w:type="gramStart"/>
                              <w:r w:rsidRPr="000764E3">
                                <w:rPr>
                                  <w:rFonts w:ascii="標楷體" w:eastAsia="標楷體" w:hAnsi="標楷體" w:hint="eastAsia"/>
                                  <w:b/>
                                  <w:bCs/>
                                </w:rPr>
                                <w:t>健康社宅外觀</w:t>
                              </w:r>
                              <w:proofErr w:type="gramEnd"/>
                            </w:p>
                            <w:p w14:paraId="602D63A6" w14:textId="77777777" w:rsidR="0029756E" w:rsidRPr="000764E3" w:rsidRDefault="0029756E" w:rsidP="0029756E">
                              <w:pPr>
                                <w:spacing w:line="240" w:lineRule="exact"/>
                                <w:jc w:val="center"/>
                                <w:rPr>
                                  <w:rFonts w:ascii="標楷體" w:eastAsia="標楷體" w:hAnsi="標楷體"/>
                                  <w:sz w:val="20"/>
                                </w:rPr>
                              </w:pPr>
                              <w:r w:rsidRPr="000764E3">
                                <w:rPr>
                                  <w:rFonts w:ascii="標楷體" w:eastAsia="標楷體" w:hAnsi="標楷體" w:hint="eastAsia"/>
                                  <w:sz w:val="20"/>
                                </w:rPr>
                                <w:t>(圖片來源：臺北市政府安心</w:t>
                              </w:r>
                              <w:proofErr w:type="gramStart"/>
                              <w:r w:rsidRPr="000764E3">
                                <w:rPr>
                                  <w:rFonts w:ascii="標楷體" w:eastAsia="標楷體" w:hAnsi="標楷體" w:hint="eastAsia"/>
                                  <w:sz w:val="20"/>
                                </w:rPr>
                                <w:t>樂租網</w:t>
                              </w:r>
                              <w:proofErr w:type="gramEnd"/>
                              <w:r w:rsidRPr="000764E3">
                                <w:rPr>
                                  <w:rFonts w:ascii="標楷體" w:eastAsia="標楷體" w:hAnsi="標楷體" w:hint="eastAsia"/>
                                  <w:sz w:val="20"/>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EE1B93" id="群組 19" o:spid="_x0000_s1032" style="position:absolute;left:0;text-align:left;margin-left:302.8pt;margin-top:453.85pt;width:187.5pt;height:202.95pt;z-index:-251508736;mso-position-vertical-relative:page" coordorigin="6955,4395" coordsize="3750,37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33" type="#_x0000_t75" style="position:absolute;left:6980;top:4395;width:3725;height:3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" stroked="t" strokecolor="#0d0d0d [3069]">
                  <v:imagedata r:id="rId14" o:title=""/>
                </v:shape>
                <v:shape id="_x0000_s1034" type="#_x0000_t202" style="position:absolute;left:6955;top:7486;width:3750;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" stroked="f">
                  <v:textbox>
                    <w:txbxContent>
                      <w:p w14:paraId="156F0C09" w14:textId="77777777" w:rsidR="0029756E" w:rsidRPr="000764E3" w:rsidRDefault="0029756E" w:rsidP="0029756E">
                        <w:pPr>
                          <w:spacing w:line="240" w:lineRule="exact"/>
                          <w:jc w:val="center"/>
                          <w:rPr>
                            <w:rFonts w:ascii="標楷體" w:eastAsia="標楷體" w:hAnsi="標楷體"/>
                            <w:b/>
                            <w:bCs/>
                          </w:rPr>
                        </w:pPr>
                        <w:r w:rsidRPr="000764E3">
                          <w:rPr>
                            <w:rFonts w:ascii="標楷體" w:eastAsia="標楷體" w:hAnsi="標楷體" w:hint="eastAsia"/>
                            <w:b/>
                            <w:bCs/>
                            <w:color w:val="000000" w:themeColor="text1"/>
                          </w:rPr>
                          <w:t>臺北市</w:t>
                        </w:r>
                        <w:proofErr w:type="gramStart"/>
                        <w:r w:rsidRPr="000764E3">
                          <w:rPr>
                            <w:rFonts w:ascii="標楷體" w:eastAsia="標楷體" w:hAnsi="標楷體" w:hint="eastAsia"/>
                            <w:b/>
                            <w:bCs/>
                          </w:rPr>
                          <w:t>健康社宅外觀</w:t>
                        </w:r>
                        <w:proofErr w:type="gramEnd"/>
                      </w:p>
                      <w:p w14:paraId="602D63A6" w14:textId="77777777" w:rsidR="0029756E" w:rsidRPr="000764E3" w:rsidRDefault="0029756E" w:rsidP="0029756E">
                        <w:pPr>
                          <w:spacing w:line="240" w:lineRule="exact"/>
                          <w:jc w:val="center"/>
                          <w:rPr>
                            <w:rFonts w:ascii="標楷體" w:eastAsia="標楷體" w:hAnsi="標楷體"/>
                            <w:sz w:val="20"/>
                          </w:rPr>
                        </w:pPr>
                        <w:r w:rsidRPr="000764E3">
                          <w:rPr>
                            <w:rFonts w:ascii="標楷體" w:eastAsia="標楷體" w:hAnsi="標楷體" w:hint="eastAsia"/>
                            <w:sz w:val="20"/>
                          </w:rPr>
                          <w:t>(圖片來源：臺北市政府安心</w:t>
                        </w:r>
                        <w:proofErr w:type="gramStart"/>
                        <w:r w:rsidRPr="000764E3">
                          <w:rPr>
                            <w:rFonts w:ascii="標楷體" w:eastAsia="標楷體" w:hAnsi="標楷體" w:hint="eastAsia"/>
                            <w:sz w:val="20"/>
                          </w:rPr>
                          <w:t>樂租網</w:t>
                        </w:r>
                        <w:proofErr w:type="gramEnd"/>
                        <w:r w:rsidRPr="000764E3">
                          <w:rPr>
                            <w:rFonts w:ascii="標楷體" w:eastAsia="標楷體" w:hAnsi="標楷體" w:hint="eastAsia"/>
                            <w:sz w:val="20"/>
                          </w:rPr>
                          <w:t>)</w:t>
                        </w:r>
                      </w:p>
                    </w:txbxContent>
                  </v:textbox>
                </v:shape>
                <w10:wrap type="tight" anchory="page"/>
              </v:group>
            </w:pict>
          </mc:Fallback>
        </mc:AlternateContent>
      </w:r>
      <w:r w:rsidRPr="00430D32">
        <w:rPr>
          <w:rFonts w:ascii="標楷體" w:eastAsia="標楷體" w:hAnsi="標楷體" w:cs="標楷體" w:hint="eastAsia"/>
          <w:bCs/>
          <w:szCs w:val="32"/>
        </w:rPr>
        <w:t>臺北市政府為推動臺北市住宅及都市更新政策，保障居住權益，改善生活環境，依據行政法人法第41條第2項規定，於110年12月20日制定公布「臺北市住宅及都市更新中心設置自治條例」，並於111年5月成立臺北市住宅及都市更新中心（下稱住都中心），</w:t>
      </w:r>
      <w:proofErr w:type="gramStart"/>
      <w:r w:rsidRPr="00430D32">
        <w:rPr>
          <w:rFonts w:ascii="標楷體" w:eastAsia="標楷體" w:hAnsi="標楷體" w:cs="標楷體" w:hint="eastAsia"/>
          <w:bCs/>
          <w:szCs w:val="32"/>
        </w:rPr>
        <w:t>嗣</w:t>
      </w:r>
      <w:proofErr w:type="gramEnd"/>
      <w:r w:rsidRPr="00430D32">
        <w:rPr>
          <w:rFonts w:ascii="標楷體" w:eastAsia="標楷體" w:hAnsi="標楷體" w:cs="標楷體" w:hint="eastAsia"/>
          <w:bCs/>
          <w:szCs w:val="32"/>
        </w:rPr>
        <w:t>將已興建完成27處社會住宅，擇選16處於111年6月起陸續委託該中心管理。另住都中心將受託管理之社會住宅按其屬性及區位劃分為東、西、南、北4區，並於111年11月分別辦理4件勞務採購案，委託廠商（下稱管理維護廠商）執行社會住宅管理維護工作，契約金額合計1億1,021萬元，履約期間為112年1至12月。經查執行情形，核有：1</w:t>
      </w:r>
      <w:r w:rsidRPr="00430D32">
        <w:rPr>
          <w:rFonts w:ascii="標楷體" w:eastAsia="標楷體" w:hAnsi="標楷體" w:cs="標楷體"/>
          <w:bCs/>
          <w:szCs w:val="32"/>
        </w:rPr>
        <w:t>.</w:t>
      </w:r>
      <w:r w:rsidRPr="00430D32">
        <w:rPr>
          <w:rFonts w:ascii="標楷體" w:eastAsia="標楷體" w:hAnsi="標楷體" w:cs="標楷體" w:hint="eastAsia"/>
          <w:bCs/>
          <w:szCs w:val="32"/>
        </w:rPr>
        <w:t>明</w:t>
      </w:r>
      <w:proofErr w:type="gramStart"/>
      <w:r w:rsidRPr="00430D32">
        <w:rPr>
          <w:rFonts w:ascii="標楷體" w:eastAsia="標楷體" w:hAnsi="標楷體" w:cs="標楷體" w:hint="eastAsia"/>
          <w:bCs/>
          <w:szCs w:val="32"/>
        </w:rPr>
        <w:t>倫社宅</w:t>
      </w:r>
      <w:proofErr w:type="gramEnd"/>
      <w:r w:rsidRPr="00430D32">
        <w:rPr>
          <w:rFonts w:ascii="標楷體" w:eastAsia="標楷體" w:hAnsi="標楷體" w:cs="標楷體" w:hint="eastAsia"/>
          <w:bCs/>
          <w:szCs w:val="32"/>
        </w:rPr>
        <w:t>管理維護廠商於112年6至10月間辦理免治馬桶主機版更換等1</w:t>
      </w:r>
      <w:r w:rsidRPr="00430D32">
        <w:rPr>
          <w:rFonts w:ascii="標楷體" w:eastAsia="標楷體" w:hAnsi="標楷體" w:cs="標楷體"/>
          <w:bCs/>
          <w:szCs w:val="32"/>
        </w:rPr>
        <w:t>1</w:t>
      </w:r>
      <w:r w:rsidRPr="00430D32">
        <w:rPr>
          <w:rFonts w:ascii="標楷體" w:eastAsia="標楷體" w:hAnsi="標楷體" w:cs="標楷體" w:hint="eastAsia"/>
          <w:bCs/>
          <w:szCs w:val="32"/>
        </w:rPr>
        <w:t>項檢修項目，屬原新建工程廠商保固範圍，卻以該社會住宅維護經費支應檢修經費；2.</w:t>
      </w:r>
      <w:proofErr w:type="gramStart"/>
      <w:r w:rsidRPr="00430D32">
        <w:rPr>
          <w:rFonts w:ascii="標楷體" w:eastAsia="標楷體" w:hAnsi="標楷體" w:cs="標楷體" w:hint="eastAsia"/>
          <w:bCs/>
          <w:szCs w:val="32"/>
        </w:rPr>
        <w:t>健康社宅前</w:t>
      </w:r>
      <w:proofErr w:type="gramEnd"/>
      <w:r w:rsidRPr="00430D32">
        <w:rPr>
          <w:rFonts w:ascii="標楷體" w:eastAsia="標楷體" w:hAnsi="標楷體" w:cs="標楷體" w:hint="eastAsia"/>
          <w:bCs/>
          <w:szCs w:val="32"/>
        </w:rPr>
        <w:t>於111年2月至</w:t>
      </w:r>
      <w:proofErr w:type="gramStart"/>
      <w:r w:rsidRPr="00430D32">
        <w:rPr>
          <w:rFonts w:ascii="標楷體" w:eastAsia="標楷體" w:hAnsi="標楷體" w:cs="標楷體" w:hint="eastAsia"/>
          <w:bCs/>
          <w:szCs w:val="32"/>
        </w:rPr>
        <w:t>12月間報修</w:t>
      </w:r>
      <w:proofErr w:type="gramEnd"/>
      <w:r w:rsidRPr="00430D32">
        <w:rPr>
          <w:rFonts w:ascii="標楷體" w:eastAsia="標楷體" w:hAnsi="標楷體" w:cs="標楷體" w:hint="eastAsia"/>
          <w:bCs/>
          <w:szCs w:val="32"/>
        </w:rPr>
        <w:t>之房舍漏水案，據</w:t>
      </w:r>
      <w:proofErr w:type="gramStart"/>
      <w:r w:rsidRPr="00430D32">
        <w:rPr>
          <w:rFonts w:ascii="標楷體" w:eastAsia="標楷體" w:hAnsi="標楷體" w:cs="標楷體" w:hint="eastAsia"/>
          <w:bCs/>
          <w:szCs w:val="32"/>
        </w:rPr>
        <w:t>該社宅112年2月</w:t>
      </w:r>
      <w:proofErr w:type="gramEnd"/>
      <w:r w:rsidRPr="00430D32">
        <w:rPr>
          <w:rFonts w:ascii="標楷體" w:eastAsia="標楷體" w:hAnsi="標楷體" w:cs="標楷體" w:hint="eastAsia"/>
          <w:bCs/>
          <w:szCs w:val="32"/>
        </w:rPr>
        <w:t>定期檢討會議紀錄</w:t>
      </w:r>
      <w:proofErr w:type="gramStart"/>
      <w:r w:rsidRPr="00430D32">
        <w:rPr>
          <w:rFonts w:ascii="標楷體" w:eastAsia="標楷體" w:hAnsi="標楷體" w:cs="標楷體" w:hint="eastAsia"/>
          <w:bCs/>
          <w:szCs w:val="32"/>
        </w:rPr>
        <w:t>所列仍持續</w:t>
      </w:r>
      <w:proofErr w:type="gramEnd"/>
      <w:r w:rsidRPr="00430D32">
        <w:rPr>
          <w:rFonts w:ascii="標楷體" w:eastAsia="標楷體" w:hAnsi="標楷體" w:cs="標楷體" w:hint="eastAsia"/>
          <w:bCs/>
          <w:szCs w:val="32"/>
        </w:rPr>
        <w:t>列管中，顯示</w:t>
      </w:r>
      <w:proofErr w:type="gramStart"/>
      <w:r w:rsidRPr="00430D32">
        <w:rPr>
          <w:rFonts w:ascii="標楷體" w:eastAsia="標楷體" w:hAnsi="標楷體" w:cs="標楷體" w:hint="eastAsia"/>
          <w:bCs/>
          <w:szCs w:val="32"/>
        </w:rPr>
        <w:t>前揭報修</w:t>
      </w:r>
      <w:proofErr w:type="gramEnd"/>
      <w:r w:rsidRPr="00430D32">
        <w:rPr>
          <w:rFonts w:ascii="標楷體" w:eastAsia="標楷體" w:hAnsi="標楷體" w:cs="標楷體" w:hint="eastAsia"/>
          <w:bCs/>
          <w:szCs w:val="32"/>
        </w:rPr>
        <w:t>案件修繕期程長達數月，甚已逾1年仍未改善完成，影響住戶權益；3</w:t>
      </w:r>
      <w:r w:rsidRPr="00430D32">
        <w:rPr>
          <w:rFonts w:ascii="標楷體" w:eastAsia="標楷體" w:hAnsi="標楷體" w:cs="標楷體"/>
          <w:bCs/>
          <w:szCs w:val="32"/>
        </w:rPr>
        <w:t>.</w:t>
      </w:r>
      <w:proofErr w:type="gramStart"/>
      <w:r w:rsidRPr="00430D32">
        <w:rPr>
          <w:rFonts w:ascii="標楷體" w:eastAsia="標楷體" w:hAnsi="標楷體" w:cs="標楷體" w:hint="eastAsia"/>
          <w:bCs/>
          <w:szCs w:val="32"/>
        </w:rPr>
        <w:t>健康社宅管理</w:t>
      </w:r>
      <w:proofErr w:type="gramEnd"/>
      <w:r w:rsidRPr="00430D32">
        <w:rPr>
          <w:rFonts w:ascii="標楷體" w:eastAsia="標楷體" w:hAnsi="標楷體" w:cs="標楷體" w:hint="eastAsia"/>
          <w:bCs/>
          <w:szCs w:val="32"/>
        </w:rPr>
        <w:t>維護廠商於履約期間</w:t>
      </w:r>
      <w:proofErr w:type="gramStart"/>
      <w:r w:rsidRPr="00430D32">
        <w:rPr>
          <w:rFonts w:ascii="標楷體" w:eastAsia="標楷體" w:hAnsi="標楷體" w:cs="標楷體" w:hint="eastAsia"/>
          <w:bCs/>
          <w:szCs w:val="32"/>
        </w:rPr>
        <w:t>未派足清潔</w:t>
      </w:r>
      <w:proofErr w:type="gramEnd"/>
      <w:r w:rsidRPr="00430D32">
        <w:rPr>
          <w:rFonts w:ascii="標楷體" w:eastAsia="標楷體" w:hAnsi="標楷體" w:cs="標楷體" w:hint="eastAsia"/>
          <w:bCs/>
          <w:szCs w:val="32"/>
        </w:rPr>
        <w:t>人員及駐點行政助理，</w:t>
      </w:r>
      <w:proofErr w:type="gramStart"/>
      <w:r w:rsidRPr="00430D32">
        <w:rPr>
          <w:rFonts w:ascii="標楷體" w:eastAsia="標楷體" w:hAnsi="標楷體" w:cs="標楷體" w:hint="eastAsia"/>
          <w:bCs/>
          <w:szCs w:val="32"/>
        </w:rPr>
        <w:t>惟住都</w:t>
      </w:r>
      <w:proofErr w:type="gramEnd"/>
      <w:r w:rsidRPr="00430D32">
        <w:rPr>
          <w:rFonts w:ascii="標楷體" w:eastAsia="標楷體" w:hAnsi="標楷體" w:cs="標楷體" w:hint="eastAsia"/>
          <w:bCs/>
          <w:szCs w:val="32"/>
        </w:rPr>
        <w:t>中心僅依實際派員狀況減少價金給付，而未督促管理維護廠商即時補足人力並依約扣罰，有</w:t>
      </w:r>
      <w:proofErr w:type="gramStart"/>
      <w:r w:rsidRPr="00430D32">
        <w:rPr>
          <w:rFonts w:ascii="標楷體" w:eastAsia="標楷體" w:hAnsi="標楷體" w:cs="標楷體" w:hint="eastAsia"/>
          <w:bCs/>
          <w:szCs w:val="32"/>
        </w:rPr>
        <w:t>降低公宅整體</w:t>
      </w:r>
      <w:proofErr w:type="gramEnd"/>
      <w:r w:rsidRPr="00430D32">
        <w:rPr>
          <w:rFonts w:ascii="標楷體" w:eastAsia="標楷體" w:hAnsi="標楷體" w:cs="標楷體" w:hint="eastAsia"/>
          <w:bCs/>
          <w:szCs w:val="32"/>
        </w:rPr>
        <w:t>服務品質之虞等情事，經函請臺北市政府</w:t>
      </w:r>
      <w:proofErr w:type="gramStart"/>
      <w:r w:rsidRPr="00430D32">
        <w:rPr>
          <w:rFonts w:ascii="標楷體" w:eastAsia="標楷體" w:hAnsi="標楷體" w:cs="標楷體" w:hint="eastAsia"/>
          <w:bCs/>
          <w:szCs w:val="32"/>
        </w:rPr>
        <w:t>研謀妥處</w:t>
      </w:r>
      <w:proofErr w:type="gramEnd"/>
      <w:r w:rsidRPr="00430D32">
        <w:rPr>
          <w:rFonts w:ascii="標楷體" w:eastAsia="標楷體" w:hAnsi="標楷體" w:cs="標楷體" w:hint="eastAsia"/>
          <w:bCs/>
          <w:szCs w:val="32"/>
        </w:rPr>
        <w:t>。據復：</w:t>
      </w:r>
      <w:r w:rsidRPr="00430D32">
        <w:rPr>
          <w:rFonts w:ascii="標楷體" w:eastAsia="標楷體" w:hAnsi="標楷體" w:cs="標楷體"/>
          <w:bCs/>
          <w:szCs w:val="32"/>
        </w:rPr>
        <w:t>1</w:t>
      </w:r>
      <w:r w:rsidRPr="00430D32">
        <w:rPr>
          <w:rFonts w:ascii="標楷體" w:eastAsia="標楷體" w:hAnsi="標楷體" w:cs="標楷體" w:hint="eastAsia"/>
          <w:bCs/>
          <w:szCs w:val="32"/>
        </w:rPr>
        <w:t>.都市發展局已偕同住都中心及管理維護</w:t>
      </w:r>
    </w:p>
    <w:p w14:paraId="7FB67111" w14:textId="29E84BBE" w:rsidR="0029756E" w:rsidRPr="00430D32" w:rsidRDefault="0029756E" w:rsidP="00496E9E">
      <w:pPr>
        <w:spacing w:line="460" w:lineRule="exact"/>
        <w:jc w:val="both"/>
        <w:rPr>
          <w:rFonts w:ascii="標楷體" w:eastAsia="標楷體" w:hAnsi="標楷體"/>
          <w:szCs w:val="24"/>
        </w:rPr>
      </w:pPr>
      <w:r w:rsidRPr="00430D32">
        <w:rPr>
          <w:rFonts w:ascii="標楷體" w:eastAsia="標楷體" w:hAnsi="標楷體" w:cs="標楷體" w:hint="eastAsia"/>
          <w:bCs/>
          <w:szCs w:val="32"/>
        </w:rPr>
        <w:lastRenderedPageBreak/>
        <w:t>廠商檢視明</w:t>
      </w:r>
      <w:proofErr w:type="gramStart"/>
      <w:r w:rsidRPr="00430D32">
        <w:rPr>
          <w:rFonts w:ascii="標楷體" w:eastAsia="標楷體" w:hAnsi="標楷體" w:cs="標楷體" w:hint="eastAsia"/>
          <w:bCs/>
          <w:szCs w:val="32"/>
        </w:rPr>
        <w:t>倫社宅</w:t>
      </w:r>
      <w:proofErr w:type="gramEnd"/>
      <w:r w:rsidRPr="00430D32">
        <w:rPr>
          <w:rFonts w:ascii="標楷體" w:eastAsia="標楷體" w:hAnsi="標楷體" w:cs="標楷體" w:hint="eastAsia"/>
          <w:bCs/>
          <w:szCs w:val="32"/>
        </w:rPr>
        <w:t>檢修紀錄，並要求新建工程廠商繳還檢修款5萬餘元，另於113年12月制定「修繕</w:t>
      </w:r>
      <w:proofErr w:type="gramStart"/>
      <w:r w:rsidRPr="00430D32">
        <w:rPr>
          <w:rFonts w:ascii="標楷體" w:eastAsia="標楷體" w:hAnsi="標楷體" w:cs="標楷體" w:hint="eastAsia"/>
          <w:bCs/>
          <w:szCs w:val="32"/>
        </w:rPr>
        <w:t>維護及肇因</w:t>
      </w:r>
      <w:proofErr w:type="gramEnd"/>
      <w:r w:rsidRPr="00430D32">
        <w:rPr>
          <w:rFonts w:ascii="標楷體" w:eastAsia="標楷體" w:hAnsi="標楷體" w:cs="標楷體" w:hint="eastAsia"/>
          <w:bCs/>
          <w:szCs w:val="32"/>
        </w:rPr>
        <w:t>認定流程」之內部控制程序，將</w:t>
      </w:r>
      <w:proofErr w:type="gramStart"/>
      <w:r w:rsidRPr="00430D32">
        <w:rPr>
          <w:rFonts w:ascii="標楷體" w:eastAsia="標楷體" w:hAnsi="標楷體" w:cs="標楷體" w:hint="eastAsia"/>
          <w:bCs/>
          <w:szCs w:val="32"/>
        </w:rPr>
        <w:t>併</w:t>
      </w:r>
      <w:proofErr w:type="gramEnd"/>
      <w:r w:rsidRPr="00430D32">
        <w:rPr>
          <w:rFonts w:ascii="標楷體" w:eastAsia="標楷體" w:hAnsi="標楷體" w:cs="標楷體" w:hint="eastAsia"/>
          <w:bCs/>
          <w:szCs w:val="32"/>
        </w:rPr>
        <w:t>同列入物業管理培訓課程，提升第一線處理承租戶反映房舍檢修之判斷依據；</w:t>
      </w:r>
      <w:r w:rsidRPr="00430D32">
        <w:rPr>
          <w:rFonts w:ascii="標楷體" w:eastAsia="標楷體" w:hAnsi="標楷體" w:cs="標楷體"/>
          <w:bCs/>
          <w:szCs w:val="32"/>
        </w:rPr>
        <w:t>2</w:t>
      </w:r>
      <w:r w:rsidRPr="00430D32">
        <w:rPr>
          <w:rFonts w:ascii="標楷體" w:eastAsia="標楷體" w:hAnsi="標楷體" w:cs="標楷體" w:hint="eastAsia"/>
          <w:bCs/>
          <w:szCs w:val="32"/>
        </w:rPr>
        <w:t>.已制定「漏水案件處理流程」之內部控制程序，要求一般性漏水案件需於3個月內修復完畢，若屬重大漏水案件則依各案情形督導修繕時間或啟動更換房舍等補救措施，以維住戶居住權益；3</w:t>
      </w:r>
      <w:r w:rsidRPr="00430D32">
        <w:rPr>
          <w:rFonts w:ascii="標楷體" w:eastAsia="標楷體" w:hAnsi="標楷體" w:cs="標楷體"/>
          <w:bCs/>
          <w:szCs w:val="32"/>
        </w:rPr>
        <w:t>.</w:t>
      </w:r>
      <w:r w:rsidRPr="00430D32">
        <w:rPr>
          <w:rFonts w:ascii="標楷體" w:eastAsia="標楷體" w:hAnsi="標楷體" w:cs="標楷體" w:hint="eastAsia"/>
          <w:bCs/>
          <w:szCs w:val="32"/>
        </w:rPr>
        <w:t>住都中心已依約扣罰管理維護廠商22萬餘元違約金，並自113年1月起於內控機制新增廠商每月提交履約請款文件（月報）之「重點檢核表」，</w:t>
      </w:r>
      <w:proofErr w:type="gramStart"/>
      <w:r w:rsidRPr="00430D32">
        <w:rPr>
          <w:rFonts w:ascii="標楷體" w:eastAsia="標楷體" w:hAnsi="標楷體" w:cs="標楷體" w:hint="eastAsia"/>
          <w:bCs/>
          <w:szCs w:val="32"/>
        </w:rPr>
        <w:t>俾</w:t>
      </w:r>
      <w:proofErr w:type="gramEnd"/>
      <w:r w:rsidRPr="00430D32">
        <w:rPr>
          <w:rFonts w:ascii="標楷體" w:eastAsia="標楷體" w:hAnsi="標楷體" w:cs="標楷體" w:hint="eastAsia"/>
          <w:bCs/>
          <w:szCs w:val="32"/>
        </w:rPr>
        <w:t>加強履約資料審核作業。</w:t>
      </w:r>
    </w:p>
    <w:p w14:paraId="151C92DD" w14:textId="77777777" w:rsidR="0029756E" w:rsidRPr="00430D32" w:rsidRDefault="0029756E" w:rsidP="00711183">
      <w:pPr>
        <w:widowControl/>
        <w:tabs>
          <w:tab w:val="left" w:pos="1560"/>
        </w:tabs>
        <w:kinsoku w:val="0"/>
        <w:overflowPunct w:val="0"/>
        <w:spacing w:beforeLines="50" w:before="180" w:line="440" w:lineRule="exact"/>
        <w:ind w:firstLineChars="100" w:firstLine="280"/>
        <w:jc w:val="both"/>
        <w:rPr>
          <w:rFonts w:ascii="標楷體" w:eastAsia="標楷體" w:hAnsi="標楷體"/>
          <w:b/>
          <w:sz w:val="28"/>
          <w:szCs w:val="28"/>
        </w:rPr>
      </w:pPr>
      <w:bookmarkStart w:id="9" w:name="_Hlk170905227"/>
      <w:bookmarkStart w:id="10" w:name="_Hlk170905220"/>
      <w:bookmarkEnd w:id="8"/>
      <w:r w:rsidRPr="00430D32">
        <w:rPr>
          <w:rFonts w:ascii="標楷體" w:eastAsia="標楷體" w:hAnsi="標楷體" w:hint="eastAsia"/>
          <w:b/>
          <w:sz w:val="28"/>
          <w:szCs w:val="28"/>
        </w:rPr>
        <w:t>（九）訂定公共工程施工安全衛生須知，督促廠商加強施工安全衛生管理及防止職業災害，惟</w:t>
      </w:r>
      <w:bookmarkStart w:id="11" w:name="_Hlk201132479"/>
      <w:r w:rsidRPr="00430D32">
        <w:rPr>
          <w:rFonts w:ascii="標楷體" w:eastAsia="標楷體" w:hAnsi="標楷體" w:hint="eastAsia"/>
          <w:b/>
          <w:sz w:val="28"/>
          <w:szCs w:val="28"/>
        </w:rPr>
        <w:t>部分機關對於廠商施工過程因違規經勞動檢查機關通知停工者，未依規定扣罰違約金，或部分施工廠商所設置職業安全衛生人員於施工期間違規兼任其他工地職務情事</w:t>
      </w:r>
      <w:bookmarkEnd w:id="11"/>
      <w:r w:rsidRPr="00430D32">
        <w:rPr>
          <w:rFonts w:ascii="標楷體" w:eastAsia="標楷體" w:hAnsi="標楷體" w:hint="eastAsia"/>
          <w:b/>
          <w:sz w:val="28"/>
          <w:szCs w:val="28"/>
        </w:rPr>
        <w:t>，有待</w:t>
      </w:r>
      <w:proofErr w:type="gramStart"/>
      <w:r w:rsidRPr="00430D32">
        <w:rPr>
          <w:rFonts w:ascii="標楷體" w:eastAsia="標楷體" w:hAnsi="標楷體" w:hint="eastAsia"/>
          <w:b/>
          <w:sz w:val="28"/>
          <w:szCs w:val="28"/>
        </w:rPr>
        <w:t>檢討妥處</w:t>
      </w:r>
      <w:proofErr w:type="gramEnd"/>
      <w:r w:rsidRPr="00430D32">
        <w:rPr>
          <w:rFonts w:ascii="標楷體" w:eastAsia="標楷體" w:hAnsi="標楷體" w:hint="eastAsia"/>
          <w:b/>
          <w:sz w:val="28"/>
          <w:szCs w:val="28"/>
        </w:rPr>
        <w:t>。</w:t>
      </w:r>
    </w:p>
    <w:p w14:paraId="043ADB2A" w14:textId="71D66BD0" w:rsidR="0029756E" w:rsidRPr="00430D32" w:rsidRDefault="0029756E" w:rsidP="009D0DEC">
      <w:pPr>
        <w:widowControl/>
        <w:tabs>
          <w:tab w:val="left" w:pos="1560"/>
        </w:tabs>
        <w:kinsoku w:val="0"/>
        <w:overflowPunct w:val="0"/>
        <w:spacing w:beforeLines="20" w:before="72" w:line="400" w:lineRule="exact"/>
        <w:ind w:firstLineChars="200" w:firstLine="480"/>
        <w:jc w:val="both"/>
        <w:rPr>
          <w:rFonts w:ascii="標楷體" w:eastAsia="標楷體" w:hAnsi="標楷體"/>
        </w:rPr>
      </w:pPr>
      <w:r w:rsidRPr="00430D32">
        <w:rPr>
          <w:rFonts w:ascii="標楷體" w:eastAsia="標楷體" w:hAnsi="標楷體" w:hint="eastAsia"/>
        </w:rPr>
        <w:t>臺北市政府為加強公共工程施工安全衛生，防止職業災害，訂定「臺北市政府所屬各機關公共工程施工安全衛生須知」（下稱工程安全衛生須知），規範所屬機關、學校及公營事業機構（下稱機關）興辦之公共工程，其施工安全衛生管理作業依該須知規定辦理。經查該府所屬機關辦理公共工程施工安全衛生管理情形，核有下列事項：</w:t>
      </w:r>
    </w:p>
    <w:p w14:paraId="06613DFD" w14:textId="5BF267A4" w:rsidR="00711183" w:rsidRDefault="0029756E" w:rsidP="009D0DEC">
      <w:pPr>
        <w:widowControl/>
        <w:tabs>
          <w:tab w:val="left" w:pos="1560"/>
        </w:tabs>
        <w:kinsoku w:val="0"/>
        <w:overflowPunct w:val="0"/>
        <w:spacing w:line="440" w:lineRule="exact"/>
        <w:ind w:firstLineChars="200" w:firstLine="480"/>
        <w:jc w:val="both"/>
        <w:rPr>
          <w:rFonts w:ascii="標楷體" w:eastAsia="標楷體" w:hAnsi="標楷體"/>
        </w:rPr>
      </w:pPr>
      <w:r w:rsidRPr="00430D32">
        <w:rPr>
          <w:rFonts w:ascii="標楷體" w:eastAsia="標楷體" w:hAnsi="標楷體" w:hint="eastAsia"/>
          <w:b/>
          <w:bCs/>
        </w:rPr>
        <w:t>1.部分機關對於廠商施工過程因違規經勞動檢查機關通知停工者，未依工程安全衛生須知規定扣罰違約金：</w:t>
      </w:r>
      <w:r w:rsidRPr="00430D32">
        <w:rPr>
          <w:rFonts w:ascii="標楷體" w:eastAsia="標楷體" w:hAnsi="標楷體" w:hint="eastAsia"/>
        </w:rPr>
        <w:t>依工程安全衛生須知第10點第1項第1款規定略</w:t>
      </w:r>
      <w:proofErr w:type="gramStart"/>
      <w:r w:rsidRPr="00430D32">
        <w:rPr>
          <w:rFonts w:ascii="標楷體" w:eastAsia="標楷體" w:hAnsi="標楷體" w:hint="eastAsia"/>
        </w:rPr>
        <w:t>以</w:t>
      </w:r>
      <w:proofErr w:type="gramEnd"/>
      <w:r w:rsidRPr="00430D32">
        <w:rPr>
          <w:rFonts w:ascii="標楷體" w:eastAsia="標楷體" w:hAnsi="標楷體" w:hint="eastAsia"/>
        </w:rPr>
        <w:t>，廠商有經勞動檢查機關</w:t>
      </w:r>
    </w:p>
    <w:p w14:paraId="1E359F59" w14:textId="7D7EDB43" w:rsidR="009E385C" w:rsidRDefault="00464B21" w:rsidP="00711183">
      <w:pPr>
        <w:widowControl/>
        <w:tabs>
          <w:tab w:val="left" w:pos="1560"/>
        </w:tabs>
        <w:kinsoku w:val="0"/>
        <w:overflowPunct w:val="0"/>
        <w:spacing w:line="480" w:lineRule="exact"/>
        <w:jc w:val="both"/>
        <w:rPr>
          <w:rFonts w:ascii="標楷體" w:eastAsia="標楷體" w:hAnsi="標楷體"/>
        </w:rPr>
      </w:pPr>
      <w:r w:rsidRPr="00430D32">
        <w:rPr>
          <w:rFonts w:ascii="標楷體" w:eastAsia="標楷體" w:hAnsi="標楷體" w:hint="eastAsia"/>
          <w:noProof/>
        </w:rPr>
        <mc:AlternateContent>
          <mc:Choice Requires="wps">
            <w:drawing>
              <wp:anchor distT="0" distB="0" distL="114300" distR="114300" simplePos="0" relativeHeight="251808768" behindDoc="1" locked="0" layoutInCell="1" allowOverlap="1" wp14:anchorId="44B14739" wp14:editId="6F4EC3BB">
                <wp:simplePos x="0" y="0"/>
                <wp:positionH relativeFrom="column">
                  <wp:posOffset>3122930</wp:posOffset>
                </wp:positionH>
                <wp:positionV relativeFrom="page">
                  <wp:posOffset>5800725</wp:posOffset>
                </wp:positionV>
                <wp:extent cx="3174365" cy="4031615"/>
                <wp:effectExtent l="0" t="0" r="6985" b="6985"/>
                <wp:wrapTight wrapText="bothSides">
                  <wp:wrapPolygon edited="0">
                    <wp:start x="0" y="0"/>
                    <wp:lineTo x="0" y="21535"/>
                    <wp:lineTo x="21518" y="21535"/>
                    <wp:lineTo x="21518" y="0"/>
                    <wp:lineTo x="0" y="0"/>
                  </wp:wrapPolygon>
                </wp:wrapTight>
                <wp:docPr id="31" name="文字方塊 31"/>
                <wp:cNvGraphicFramePr/>
                <a:graphic xmlns:a="http://schemas.openxmlformats.org/drawingml/2006/main">
                  <a:graphicData uri="http://schemas.microsoft.com/office/word/2010/wordprocessingShape">
                    <wps:wsp>
                      <wps:cNvSpPr txBox="1"/>
                      <wps:spPr>
                        <a:xfrm>
                          <a:off x="0" y="0"/>
                          <a:ext cx="3174365" cy="4031615"/>
                        </a:xfrm>
                        <a:prstGeom prst="rect">
                          <a:avLst/>
                        </a:prstGeom>
                        <a:solidFill>
                          <a:schemeClr val="lt1"/>
                        </a:solidFill>
                        <a:ln w="6350">
                          <a:noFill/>
                        </a:ln>
                      </wps:spPr>
                      <wps:txbx>
                        <w:txbxContent>
                          <w:tbl>
                            <w:tblPr>
                              <w:tblStyle w:val="a6"/>
                              <w:tblW w:w="5102" w:type="dxa"/>
                              <w:tblLook w:val="04A0" w:firstRow="1" w:lastRow="0" w:firstColumn="1" w:lastColumn="0" w:noHBand="0" w:noVBand="1"/>
                            </w:tblPr>
                            <w:tblGrid>
                              <w:gridCol w:w="3119"/>
                              <w:gridCol w:w="1676"/>
                              <w:gridCol w:w="307"/>
                            </w:tblGrid>
                            <w:tr w:rsidR="0029756E" w:rsidRPr="00496E9E" w14:paraId="1A0D318C" w14:textId="77777777" w:rsidTr="009E385C">
                              <w:trPr>
                                <w:gridAfter w:val="1"/>
                                <w:wAfter w:w="307" w:type="dxa"/>
                              </w:trPr>
                              <w:tc>
                                <w:tcPr>
                                  <w:tcW w:w="4795" w:type="dxa"/>
                                  <w:gridSpan w:val="2"/>
                                  <w:tcBorders>
                                    <w:top w:val="nil"/>
                                    <w:left w:val="nil"/>
                                    <w:bottom w:val="nil"/>
                                    <w:right w:val="nil"/>
                                  </w:tcBorders>
                                  <w:vAlign w:val="center"/>
                                </w:tcPr>
                                <w:p w14:paraId="769DAD45" w14:textId="77777777" w:rsidR="0029756E" w:rsidRPr="00711183" w:rsidRDefault="0029756E" w:rsidP="00164A20">
                                  <w:pPr>
                                    <w:pStyle w:val="a4"/>
                                    <w:overflowPunct w:val="0"/>
                                    <w:snapToGrid w:val="0"/>
                                    <w:spacing w:line="240" w:lineRule="exact"/>
                                    <w:ind w:leftChars="0" w:left="673" w:hangingChars="280" w:hanging="673"/>
                                    <w:jc w:val="both"/>
                                    <w:rPr>
                                      <w:rFonts w:ascii="標楷體" w:eastAsia="標楷體" w:hAnsi="標楷體"/>
                                      <w:sz w:val="24"/>
                                    </w:rPr>
                                  </w:pPr>
                                  <w:r w:rsidRPr="00711183">
                                    <w:rPr>
                                      <w:rFonts w:ascii="標楷體" w:eastAsia="標楷體" w:hAnsi="標楷體" w:hint="eastAsia"/>
                                      <w:b/>
                                      <w:sz w:val="24"/>
                                    </w:rPr>
                                    <w:t>表</w:t>
                                  </w:r>
                                  <w:r w:rsidRPr="00711183">
                                    <w:rPr>
                                      <w:rFonts w:ascii="標楷體" w:eastAsia="標楷體" w:hAnsi="標楷體"/>
                                      <w:b/>
                                      <w:sz w:val="24"/>
                                    </w:rPr>
                                    <w:t>8</w:t>
                                  </w:r>
                                  <w:r w:rsidRPr="00711183">
                                    <w:rPr>
                                      <w:rFonts w:ascii="標楷體" w:eastAsia="標楷體" w:hAnsi="標楷體" w:hint="eastAsia"/>
                                      <w:b/>
                                      <w:sz w:val="24"/>
                                    </w:rPr>
                                    <w:t xml:space="preserve">　</w:t>
                                  </w:r>
                                  <w:r w:rsidRPr="00711183">
                                    <w:rPr>
                                      <w:rFonts w:ascii="標楷體" w:eastAsia="標楷體" w:hAnsi="標楷體" w:hint="eastAsia"/>
                                      <w:b/>
                                      <w:spacing w:val="-6"/>
                                      <w:sz w:val="24"/>
                                    </w:rPr>
                                    <w:t>1</w:t>
                                  </w:r>
                                  <w:r w:rsidRPr="00711183">
                                    <w:rPr>
                                      <w:rFonts w:ascii="標楷體" w:eastAsia="標楷體" w:hAnsi="標楷體"/>
                                      <w:b/>
                                      <w:spacing w:val="-6"/>
                                      <w:sz w:val="24"/>
                                    </w:rPr>
                                    <w:t>05</w:t>
                                  </w:r>
                                  <w:r w:rsidRPr="00711183">
                                    <w:rPr>
                                      <w:rFonts w:ascii="標楷體" w:eastAsia="標楷體" w:hAnsi="標楷體" w:hint="eastAsia"/>
                                      <w:b/>
                                      <w:spacing w:val="-6"/>
                                      <w:sz w:val="24"/>
                                    </w:rPr>
                                    <w:t>年10月至1</w:t>
                                  </w:r>
                                  <w:r w:rsidRPr="00711183">
                                    <w:rPr>
                                      <w:rFonts w:ascii="標楷體" w:eastAsia="標楷體" w:hAnsi="標楷體"/>
                                      <w:b/>
                                      <w:spacing w:val="-6"/>
                                      <w:sz w:val="24"/>
                                    </w:rPr>
                                    <w:t>13</w:t>
                                  </w:r>
                                  <w:r w:rsidRPr="00711183">
                                    <w:rPr>
                                      <w:rFonts w:ascii="標楷體" w:eastAsia="標楷體" w:hAnsi="標楷體" w:hint="eastAsia"/>
                                      <w:b/>
                                      <w:spacing w:val="-6"/>
                                      <w:sz w:val="24"/>
                                    </w:rPr>
                                    <w:t>年11月臺北市政府</w:t>
                                  </w:r>
                                  <w:r w:rsidRPr="00164A20">
                                    <w:rPr>
                                      <w:rFonts w:ascii="標楷體" w:eastAsia="標楷體" w:hAnsi="標楷體" w:hint="eastAsia"/>
                                      <w:b/>
                                      <w:spacing w:val="-2"/>
                                      <w:sz w:val="24"/>
                                    </w:rPr>
                                    <w:t>所屬機關辦理工程因施工廠商違規經</w:t>
                                  </w:r>
                                  <w:proofErr w:type="gramStart"/>
                                  <w:r w:rsidRPr="00164A20">
                                    <w:rPr>
                                      <w:rFonts w:ascii="標楷體" w:eastAsia="標楷體" w:hAnsi="標楷體" w:hint="eastAsia"/>
                                      <w:b/>
                                      <w:spacing w:val="-2"/>
                                      <w:sz w:val="24"/>
                                    </w:rPr>
                                    <w:t>勞</w:t>
                                  </w:r>
                                  <w:proofErr w:type="gramEnd"/>
                                  <w:r w:rsidRPr="00164A20">
                                    <w:rPr>
                                      <w:rFonts w:ascii="標楷體" w:eastAsia="標楷體" w:hAnsi="標楷體" w:hint="eastAsia"/>
                                      <w:b/>
                                      <w:spacing w:val="-2"/>
                                      <w:sz w:val="24"/>
                                    </w:rPr>
                                    <w:t>檢處通知停工次數</w:t>
                                  </w:r>
                                </w:p>
                              </w:tc>
                            </w:tr>
                            <w:tr w:rsidR="0029756E" w:rsidRPr="00496E9E" w14:paraId="35FA6C31" w14:textId="77777777" w:rsidTr="009E385C">
                              <w:trPr>
                                <w:gridAfter w:val="1"/>
                                <w:wAfter w:w="307" w:type="dxa"/>
                              </w:trPr>
                              <w:tc>
                                <w:tcPr>
                                  <w:tcW w:w="4795" w:type="dxa"/>
                                  <w:gridSpan w:val="2"/>
                                  <w:tcBorders>
                                    <w:top w:val="nil"/>
                                    <w:left w:val="nil"/>
                                    <w:right w:val="nil"/>
                                  </w:tcBorders>
                                  <w:vAlign w:val="center"/>
                                </w:tcPr>
                                <w:p w14:paraId="0732768B"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hint="eastAsia"/>
                                    </w:rPr>
                                    <w:t>單位：次</w:t>
                                  </w:r>
                                </w:p>
                              </w:tc>
                            </w:tr>
                            <w:tr w:rsidR="0029756E" w:rsidRPr="00496E9E" w14:paraId="2A8E919C" w14:textId="77777777" w:rsidTr="009E385C">
                              <w:trPr>
                                <w:gridAfter w:val="1"/>
                                <w:wAfter w:w="307" w:type="dxa"/>
                                <w:trHeight w:val="227"/>
                              </w:trPr>
                              <w:tc>
                                <w:tcPr>
                                  <w:tcW w:w="3119" w:type="dxa"/>
                                  <w:vAlign w:val="center"/>
                                </w:tcPr>
                                <w:p w14:paraId="63156865" w14:textId="77777777" w:rsidR="0029756E" w:rsidRPr="00496E9E" w:rsidRDefault="0029756E" w:rsidP="00496E9E">
                                  <w:pPr>
                                    <w:spacing w:line="240" w:lineRule="exact"/>
                                    <w:jc w:val="center"/>
                                    <w:rPr>
                                      <w:rFonts w:ascii="標楷體" w:eastAsia="標楷體" w:hAnsi="標楷體"/>
                                    </w:rPr>
                                  </w:pPr>
                                  <w:r w:rsidRPr="00496E9E">
                                    <w:rPr>
                                      <w:rFonts w:ascii="標楷體" w:eastAsia="標楷體" w:hAnsi="標楷體" w:hint="eastAsia"/>
                                    </w:rPr>
                                    <w:t>工程主辦機關</w:t>
                                  </w:r>
                                </w:p>
                              </w:tc>
                              <w:tc>
                                <w:tcPr>
                                  <w:tcW w:w="1676" w:type="dxa"/>
                                  <w:vAlign w:val="center"/>
                                </w:tcPr>
                                <w:p w14:paraId="4752C74D" w14:textId="77777777" w:rsidR="0029756E" w:rsidRPr="009E385C" w:rsidRDefault="0029756E" w:rsidP="00496E9E">
                                  <w:pPr>
                                    <w:spacing w:line="240" w:lineRule="exact"/>
                                    <w:jc w:val="center"/>
                                    <w:rPr>
                                      <w:rFonts w:ascii="標楷體" w:eastAsia="標楷體" w:hAnsi="標楷體"/>
                                      <w:spacing w:val="-10"/>
                                    </w:rPr>
                                  </w:pPr>
                                  <w:r w:rsidRPr="009E385C">
                                    <w:rPr>
                                      <w:rFonts w:ascii="標楷體" w:eastAsia="標楷體" w:hAnsi="標楷體" w:hint="eastAsia"/>
                                      <w:spacing w:val="-10"/>
                                    </w:rPr>
                                    <w:t>辦理工程經</w:t>
                                  </w:r>
                                  <w:proofErr w:type="gramStart"/>
                                  <w:r w:rsidRPr="009E385C">
                                    <w:rPr>
                                      <w:rFonts w:ascii="標楷體" w:eastAsia="標楷體" w:hAnsi="標楷體" w:hint="eastAsia"/>
                                      <w:spacing w:val="-10"/>
                                    </w:rPr>
                                    <w:t>勞</w:t>
                                  </w:r>
                                  <w:proofErr w:type="gramEnd"/>
                                  <w:r w:rsidRPr="009E385C">
                                    <w:rPr>
                                      <w:rFonts w:ascii="標楷體" w:eastAsia="標楷體" w:hAnsi="標楷體" w:hint="eastAsia"/>
                                      <w:spacing w:val="-10"/>
                                    </w:rPr>
                                    <w:t>檢處</w:t>
                                  </w:r>
                                </w:p>
                                <w:p w14:paraId="4DB4C24B" w14:textId="77777777" w:rsidR="0029756E" w:rsidRPr="00496E9E" w:rsidRDefault="0029756E" w:rsidP="00496E9E">
                                  <w:pPr>
                                    <w:spacing w:line="240" w:lineRule="exact"/>
                                    <w:jc w:val="center"/>
                                    <w:rPr>
                                      <w:rFonts w:ascii="標楷體" w:eastAsia="標楷體" w:hAnsi="標楷體"/>
                                    </w:rPr>
                                  </w:pPr>
                                  <w:r w:rsidRPr="00496E9E">
                                    <w:rPr>
                                      <w:rFonts w:ascii="標楷體" w:eastAsia="標楷體" w:hAnsi="標楷體" w:hint="eastAsia"/>
                                      <w:spacing w:val="-4"/>
                                    </w:rPr>
                                    <w:t>通知停工次數</w:t>
                                  </w:r>
                                </w:p>
                              </w:tc>
                            </w:tr>
                            <w:tr w:rsidR="0029756E" w:rsidRPr="00496E9E" w14:paraId="40877273" w14:textId="77777777" w:rsidTr="009E385C">
                              <w:trPr>
                                <w:gridAfter w:val="1"/>
                                <w:wAfter w:w="307" w:type="dxa"/>
                              </w:trPr>
                              <w:tc>
                                <w:tcPr>
                                  <w:tcW w:w="3119" w:type="dxa"/>
                                  <w:vAlign w:val="center"/>
                                </w:tcPr>
                                <w:p w14:paraId="3A74E9C2" w14:textId="77777777" w:rsidR="0029756E" w:rsidRPr="00496E9E" w:rsidRDefault="0029756E" w:rsidP="00496E9E">
                                  <w:pPr>
                                    <w:spacing w:line="240" w:lineRule="exact"/>
                                    <w:jc w:val="center"/>
                                    <w:rPr>
                                      <w:rFonts w:ascii="標楷體" w:eastAsia="標楷體" w:hAnsi="標楷體"/>
                                      <w:b/>
                                      <w:bCs/>
                                    </w:rPr>
                                  </w:pPr>
                                  <w:r w:rsidRPr="00496E9E">
                                    <w:rPr>
                                      <w:rFonts w:ascii="標楷體" w:eastAsia="標楷體" w:hAnsi="標楷體" w:hint="eastAsia"/>
                                      <w:b/>
                                      <w:bCs/>
                                      <w:spacing w:val="400"/>
                                      <w:fitText w:val="1200" w:id="-703874816"/>
                                    </w:rPr>
                                    <w:t>合</w:t>
                                  </w:r>
                                  <w:r w:rsidRPr="00496E9E">
                                    <w:rPr>
                                      <w:rFonts w:ascii="標楷體" w:eastAsia="標楷體" w:hAnsi="標楷體" w:hint="eastAsia"/>
                                      <w:b/>
                                      <w:bCs/>
                                      <w:fitText w:val="1200" w:id="-703874816"/>
                                    </w:rPr>
                                    <w:t>計</w:t>
                                  </w:r>
                                </w:p>
                              </w:tc>
                              <w:tc>
                                <w:tcPr>
                                  <w:tcW w:w="1676" w:type="dxa"/>
                                  <w:vAlign w:val="center"/>
                                </w:tcPr>
                                <w:p w14:paraId="32389A62" w14:textId="77777777" w:rsidR="0029756E" w:rsidRPr="00496E9E" w:rsidRDefault="0029756E" w:rsidP="00496E9E">
                                  <w:pPr>
                                    <w:spacing w:line="240" w:lineRule="exact"/>
                                    <w:jc w:val="right"/>
                                    <w:rPr>
                                      <w:rFonts w:ascii="標楷體" w:eastAsia="標楷體" w:hAnsi="標楷體"/>
                                      <w:b/>
                                      <w:bCs/>
                                    </w:rPr>
                                  </w:pPr>
                                  <w:r w:rsidRPr="00496E9E">
                                    <w:rPr>
                                      <w:rFonts w:ascii="標楷體" w:eastAsia="標楷體" w:hAnsi="標楷體" w:hint="eastAsia"/>
                                      <w:b/>
                                      <w:bCs/>
                                    </w:rPr>
                                    <w:t>2</w:t>
                                  </w:r>
                                  <w:r w:rsidRPr="00496E9E">
                                    <w:rPr>
                                      <w:rFonts w:ascii="標楷體" w:eastAsia="標楷體" w:hAnsi="標楷體"/>
                                      <w:b/>
                                      <w:bCs/>
                                    </w:rPr>
                                    <w:t>62</w:t>
                                  </w:r>
                                </w:p>
                              </w:tc>
                            </w:tr>
                            <w:tr w:rsidR="0029756E" w:rsidRPr="00496E9E" w14:paraId="6FA05479" w14:textId="77777777" w:rsidTr="009E385C">
                              <w:trPr>
                                <w:gridAfter w:val="1"/>
                                <w:wAfter w:w="307" w:type="dxa"/>
                              </w:trPr>
                              <w:tc>
                                <w:tcPr>
                                  <w:tcW w:w="3119" w:type="dxa"/>
                                </w:tcPr>
                                <w:p w14:paraId="273E7F3E"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工務局新建工程處</w:t>
                                  </w:r>
                                </w:p>
                              </w:tc>
                              <w:tc>
                                <w:tcPr>
                                  <w:tcW w:w="1676" w:type="dxa"/>
                                </w:tcPr>
                                <w:p w14:paraId="23A442B8"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73</w:t>
                                  </w:r>
                                </w:p>
                              </w:tc>
                            </w:tr>
                            <w:tr w:rsidR="0029756E" w:rsidRPr="00496E9E" w14:paraId="0957B3B2" w14:textId="77777777" w:rsidTr="009E385C">
                              <w:trPr>
                                <w:gridAfter w:val="1"/>
                                <w:wAfter w:w="307" w:type="dxa"/>
                              </w:trPr>
                              <w:tc>
                                <w:tcPr>
                                  <w:tcW w:w="3119" w:type="dxa"/>
                                </w:tcPr>
                                <w:p w14:paraId="74D598AB"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都市發展局</w:t>
                                  </w:r>
                                </w:p>
                              </w:tc>
                              <w:tc>
                                <w:tcPr>
                                  <w:tcW w:w="1676" w:type="dxa"/>
                                </w:tcPr>
                                <w:p w14:paraId="414EDBEC"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60</w:t>
                                  </w:r>
                                </w:p>
                              </w:tc>
                            </w:tr>
                            <w:tr w:rsidR="0029756E" w:rsidRPr="00496E9E" w14:paraId="6811015F" w14:textId="77777777" w:rsidTr="009E385C">
                              <w:trPr>
                                <w:gridAfter w:val="1"/>
                                <w:wAfter w:w="307" w:type="dxa"/>
                              </w:trPr>
                              <w:tc>
                                <w:tcPr>
                                  <w:tcW w:w="3119" w:type="dxa"/>
                                </w:tcPr>
                                <w:p w14:paraId="049567AB"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教育局所屬機關學校</w:t>
                                  </w:r>
                                </w:p>
                              </w:tc>
                              <w:tc>
                                <w:tcPr>
                                  <w:tcW w:w="1676" w:type="dxa"/>
                                </w:tcPr>
                                <w:p w14:paraId="72B6C0D8"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33</w:t>
                                  </w:r>
                                </w:p>
                              </w:tc>
                            </w:tr>
                            <w:tr w:rsidR="0029756E" w:rsidRPr="00496E9E" w14:paraId="0CAEB5D5" w14:textId="77777777" w:rsidTr="009E385C">
                              <w:trPr>
                                <w:gridAfter w:val="1"/>
                                <w:wAfter w:w="307" w:type="dxa"/>
                              </w:trPr>
                              <w:tc>
                                <w:tcPr>
                                  <w:tcW w:w="3119" w:type="dxa"/>
                                </w:tcPr>
                                <w:p w14:paraId="6F6E90B8"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臺北市停車管理工程處</w:t>
                                  </w:r>
                                </w:p>
                              </w:tc>
                              <w:tc>
                                <w:tcPr>
                                  <w:tcW w:w="1676" w:type="dxa"/>
                                </w:tcPr>
                                <w:p w14:paraId="7FB2E2AB"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15</w:t>
                                  </w:r>
                                </w:p>
                              </w:tc>
                            </w:tr>
                            <w:tr w:rsidR="0029756E" w:rsidRPr="00496E9E" w14:paraId="35F454F2" w14:textId="77777777" w:rsidTr="009E385C">
                              <w:trPr>
                                <w:gridAfter w:val="1"/>
                                <w:wAfter w:w="307" w:type="dxa"/>
                              </w:trPr>
                              <w:tc>
                                <w:tcPr>
                                  <w:tcW w:w="3119" w:type="dxa"/>
                                </w:tcPr>
                                <w:p w14:paraId="25825BA9"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工務局公園路燈工程管理處</w:t>
                                  </w:r>
                                </w:p>
                              </w:tc>
                              <w:tc>
                                <w:tcPr>
                                  <w:tcW w:w="1676" w:type="dxa"/>
                                </w:tcPr>
                                <w:p w14:paraId="15032D7A"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14</w:t>
                                  </w:r>
                                </w:p>
                              </w:tc>
                            </w:tr>
                            <w:tr w:rsidR="0029756E" w:rsidRPr="00496E9E" w14:paraId="40EEE411" w14:textId="77777777" w:rsidTr="009E385C">
                              <w:trPr>
                                <w:gridAfter w:val="1"/>
                                <w:wAfter w:w="307" w:type="dxa"/>
                              </w:trPr>
                              <w:tc>
                                <w:tcPr>
                                  <w:tcW w:w="3119" w:type="dxa"/>
                                </w:tcPr>
                                <w:p w14:paraId="796BA785"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工務局水利工程處</w:t>
                                  </w:r>
                                </w:p>
                              </w:tc>
                              <w:tc>
                                <w:tcPr>
                                  <w:tcW w:w="1676" w:type="dxa"/>
                                </w:tcPr>
                                <w:p w14:paraId="320690D4"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13</w:t>
                                  </w:r>
                                </w:p>
                              </w:tc>
                            </w:tr>
                            <w:tr w:rsidR="0029756E" w:rsidRPr="00496E9E" w14:paraId="0D06E0AF" w14:textId="77777777" w:rsidTr="009E385C">
                              <w:trPr>
                                <w:gridAfter w:val="1"/>
                                <w:wAfter w:w="307" w:type="dxa"/>
                              </w:trPr>
                              <w:tc>
                                <w:tcPr>
                                  <w:tcW w:w="3119" w:type="dxa"/>
                                </w:tcPr>
                                <w:p w14:paraId="27B02BDB"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捷運工程局第二區工程處</w:t>
                                  </w:r>
                                </w:p>
                              </w:tc>
                              <w:tc>
                                <w:tcPr>
                                  <w:tcW w:w="1676" w:type="dxa"/>
                                </w:tcPr>
                                <w:p w14:paraId="2C8F3592"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10</w:t>
                                  </w:r>
                                </w:p>
                              </w:tc>
                            </w:tr>
                            <w:tr w:rsidR="0029756E" w:rsidRPr="00496E9E" w14:paraId="05553565" w14:textId="77777777" w:rsidTr="009E385C">
                              <w:trPr>
                                <w:gridAfter w:val="1"/>
                                <w:wAfter w:w="307" w:type="dxa"/>
                              </w:trPr>
                              <w:tc>
                                <w:tcPr>
                                  <w:tcW w:w="3119" w:type="dxa"/>
                                </w:tcPr>
                                <w:p w14:paraId="5BE6475B"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捷運工程局第一區工程處</w:t>
                                  </w:r>
                                </w:p>
                              </w:tc>
                              <w:tc>
                                <w:tcPr>
                                  <w:tcW w:w="1676" w:type="dxa"/>
                                </w:tcPr>
                                <w:p w14:paraId="2C4C473A"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8</w:t>
                                  </w:r>
                                </w:p>
                              </w:tc>
                            </w:tr>
                            <w:tr w:rsidR="0029756E" w:rsidRPr="00496E9E" w14:paraId="3FA0F927" w14:textId="77777777" w:rsidTr="009E385C">
                              <w:trPr>
                                <w:gridAfter w:val="1"/>
                                <w:wAfter w:w="307" w:type="dxa"/>
                              </w:trPr>
                              <w:tc>
                                <w:tcPr>
                                  <w:tcW w:w="3119" w:type="dxa"/>
                                </w:tcPr>
                                <w:p w14:paraId="30EE1572" w14:textId="77777777" w:rsidR="0029756E" w:rsidRPr="00496E9E" w:rsidRDefault="0029756E" w:rsidP="00496E9E">
                                  <w:pPr>
                                    <w:spacing w:line="240" w:lineRule="exact"/>
                                    <w:rPr>
                                      <w:rFonts w:ascii="標楷體" w:eastAsia="標楷體" w:hAnsi="標楷體"/>
                                    </w:rPr>
                                  </w:pPr>
                                  <w:proofErr w:type="gramStart"/>
                                  <w:r w:rsidRPr="00496E9E">
                                    <w:rPr>
                                      <w:rFonts w:ascii="標楷體" w:eastAsia="標楷體" w:hAnsi="標楷體" w:hint="eastAsia"/>
                                    </w:rPr>
                                    <w:t>臺</w:t>
                                  </w:r>
                                  <w:proofErr w:type="gramEnd"/>
                                  <w:r w:rsidRPr="00496E9E">
                                    <w:rPr>
                                      <w:rFonts w:ascii="標楷體" w:eastAsia="標楷體" w:hAnsi="標楷體" w:hint="eastAsia"/>
                                    </w:rPr>
                                    <w:t>北自來水事業處暨所屬單位</w:t>
                                  </w:r>
                                </w:p>
                              </w:tc>
                              <w:tc>
                                <w:tcPr>
                                  <w:tcW w:w="1676" w:type="dxa"/>
                                </w:tcPr>
                                <w:p w14:paraId="38B98145"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8</w:t>
                                  </w:r>
                                </w:p>
                              </w:tc>
                            </w:tr>
                            <w:tr w:rsidR="0029756E" w:rsidRPr="00496E9E" w14:paraId="2BD4F8F7" w14:textId="77777777" w:rsidTr="009E385C">
                              <w:trPr>
                                <w:gridAfter w:val="1"/>
                                <w:wAfter w:w="307" w:type="dxa"/>
                              </w:trPr>
                              <w:tc>
                                <w:tcPr>
                                  <w:tcW w:w="3119" w:type="dxa"/>
                                </w:tcPr>
                                <w:p w14:paraId="1D8312C7"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文化局</w:t>
                                  </w:r>
                                </w:p>
                              </w:tc>
                              <w:tc>
                                <w:tcPr>
                                  <w:tcW w:w="1676" w:type="dxa"/>
                                </w:tcPr>
                                <w:p w14:paraId="48742C51"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7</w:t>
                                  </w:r>
                                </w:p>
                              </w:tc>
                            </w:tr>
                            <w:tr w:rsidR="0029756E" w:rsidRPr="00496E9E" w14:paraId="29EDF91E" w14:textId="77777777" w:rsidTr="009E385C">
                              <w:trPr>
                                <w:gridAfter w:val="1"/>
                                <w:wAfter w:w="307" w:type="dxa"/>
                              </w:trPr>
                              <w:tc>
                                <w:tcPr>
                                  <w:tcW w:w="3119" w:type="dxa"/>
                                </w:tcPr>
                                <w:p w14:paraId="245FF7E5"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工務局衛生下水道工程處</w:t>
                                  </w:r>
                                </w:p>
                              </w:tc>
                              <w:tc>
                                <w:tcPr>
                                  <w:tcW w:w="1676" w:type="dxa"/>
                                </w:tcPr>
                                <w:p w14:paraId="10B5CFB4"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6</w:t>
                                  </w:r>
                                </w:p>
                              </w:tc>
                            </w:tr>
                            <w:tr w:rsidR="0029756E" w:rsidRPr="00496E9E" w14:paraId="42279F45" w14:textId="77777777" w:rsidTr="009E385C">
                              <w:trPr>
                                <w:gridAfter w:val="1"/>
                                <w:wAfter w:w="307" w:type="dxa"/>
                              </w:trPr>
                              <w:tc>
                                <w:tcPr>
                                  <w:tcW w:w="3119" w:type="dxa"/>
                                </w:tcPr>
                                <w:p w14:paraId="297ACDBD" w14:textId="77777777" w:rsidR="0029756E" w:rsidRPr="00496E9E" w:rsidRDefault="0029756E" w:rsidP="00496E9E">
                                  <w:pPr>
                                    <w:spacing w:line="240" w:lineRule="exact"/>
                                    <w:rPr>
                                      <w:rFonts w:ascii="標楷體" w:eastAsia="標楷體" w:hAnsi="標楷體"/>
                                    </w:rPr>
                                  </w:pPr>
                                  <w:proofErr w:type="gramStart"/>
                                  <w:r w:rsidRPr="00496E9E">
                                    <w:rPr>
                                      <w:rFonts w:ascii="標楷體" w:eastAsia="標楷體" w:hAnsi="標楷體" w:hint="eastAsia"/>
                                    </w:rPr>
                                    <w:t>臺</w:t>
                                  </w:r>
                                  <w:proofErr w:type="gramEnd"/>
                                  <w:r w:rsidRPr="00496E9E">
                                    <w:rPr>
                                      <w:rFonts w:ascii="標楷體" w:eastAsia="標楷體" w:hAnsi="標楷體" w:hint="eastAsia"/>
                                    </w:rPr>
                                    <w:t>北大眾捷運股份有限公司</w:t>
                                  </w:r>
                                </w:p>
                              </w:tc>
                              <w:tc>
                                <w:tcPr>
                                  <w:tcW w:w="1676" w:type="dxa"/>
                                </w:tcPr>
                                <w:p w14:paraId="67339D54"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4</w:t>
                                  </w:r>
                                </w:p>
                              </w:tc>
                            </w:tr>
                            <w:tr w:rsidR="0029756E" w:rsidRPr="00496E9E" w14:paraId="469938FA" w14:textId="77777777" w:rsidTr="009E385C">
                              <w:trPr>
                                <w:gridAfter w:val="1"/>
                                <w:wAfter w:w="307" w:type="dxa"/>
                              </w:trPr>
                              <w:tc>
                                <w:tcPr>
                                  <w:tcW w:w="3119" w:type="dxa"/>
                                </w:tcPr>
                                <w:p w14:paraId="0515E84C"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工務局大地工程處</w:t>
                                  </w:r>
                                </w:p>
                              </w:tc>
                              <w:tc>
                                <w:tcPr>
                                  <w:tcW w:w="1676" w:type="dxa"/>
                                </w:tcPr>
                                <w:p w14:paraId="347D5100"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4</w:t>
                                  </w:r>
                                </w:p>
                              </w:tc>
                            </w:tr>
                            <w:tr w:rsidR="0029756E" w:rsidRPr="00496E9E" w14:paraId="0B92A04B" w14:textId="77777777" w:rsidTr="009E385C">
                              <w:trPr>
                                <w:gridAfter w:val="1"/>
                                <w:wAfter w:w="307" w:type="dxa"/>
                              </w:trPr>
                              <w:tc>
                                <w:tcPr>
                                  <w:tcW w:w="3119" w:type="dxa"/>
                                </w:tcPr>
                                <w:p w14:paraId="7F2BAFB3"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社會局</w:t>
                                  </w:r>
                                </w:p>
                              </w:tc>
                              <w:tc>
                                <w:tcPr>
                                  <w:tcW w:w="1676" w:type="dxa"/>
                                </w:tcPr>
                                <w:p w14:paraId="4A0060E9"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3</w:t>
                                  </w:r>
                                </w:p>
                              </w:tc>
                            </w:tr>
                            <w:tr w:rsidR="0029756E" w:rsidRPr="00496E9E" w14:paraId="4A0DC6AB" w14:textId="77777777" w:rsidTr="009E385C">
                              <w:trPr>
                                <w:gridAfter w:val="1"/>
                                <w:wAfter w:w="307" w:type="dxa"/>
                              </w:trPr>
                              <w:tc>
                                <w:tcPr>
                                  <w:tcW w:w="3119" w:type="dxa"/>
                                </w:tcPr>
                                <w:p w14:paraId="131C01F7"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消防局</w:t>
                                  </w:r>
                                </w:p>
                              </w:tc>
                              <w:tc>
                                <w:tcPr>
                                  <w:tcW w:w="1676" w:type="dxa"/>
                                </w:tcPr>
                                <w:p w14:paraId="3484145B"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2</w:t>
                                  </w:r>
                                </w:p>
                              </w:tc>
                            </w:tr>
                            <w:tr w:rsidR="0029756E" w:rsidRPr="00496E9E" w14:paraId="4AABCFB4" w14:textId="77777777" w:rsidTr="009E385C">
                              <w:trPr>
                                <w:gridAfter w:val="1"/>
                                <w:wAfter w:w="307" w:type="dxa"/>
                              </w:trPr>
                              <w:tc>
                                <w:tcPr>
                                  <w:tcW w:w="3119" w:type="dxa"/>
                                </w:tcPr>
                                <w:p w14:paraId="0D8B5F46"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臺北市市場處</w:t>
                                  </w:r>
                                </w:p>
                              </w:tc>
                              <w:tc>
                                <w:tcPr>
                                  <w:tcW w:w="1676" w:type="dxa"/>
                                </w:tcPr>
                                <w:p w14:paraId="36D2A90B"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w:t>
                                  </w:r>
                                </w:p>
                              </w:tc>
                            </w:tr>
                            <w:tr w:rsidR="0029756E" w:rsidRPr="00496E9E" w14:paraId="18A18A9A" w14:textId="77777777" w:rsidTr="009E385C">
                              <w:trPr>
                                <w:gridAfter w:val="1"/>
                                <w:wAfter w:w="307" w:type="dxa"/>
                              </w:trPr>
                              <w:tc>
                                <w:tcPr>
                                  <w:tcW w:w="3119" w:type="dxa"/>
                                  <w:tcBorders>
                                    <w:bottom w:val="single" w:sz="4" w:space="0" w:color="auto"/>
                                  </w:tcBorders>
                                </w:tcPr>
                                <w:p w14:paraId="3C4C1BE2"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臺北市藝文推廣處</w:t>
                                  </w:r>
                                </w:p>
                              </w:tc>
                              <w:tc>
                                <w:tcPr>
                                  <w:tcW w:w="1676" w:type="dxa"/>
                                  <w:tcBorders>
                                    <w:bottom w:val="single" w:sz="4" w:space="0" w:color="auto"/>
                                  </w:tcBorders>
                                </w:tcPr>
                                <w:p w14:paraId="4ED691BB"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w:t>
                                  </w:r>
                                </w:p>
                              </w:tc>
                            </w:tr>
                            <w:tr w:rsidR="0029756E" w:rsidRPr="00496E9E" w14:paraId="595A4381" w14:textId="77777777" w:rsidTr="009E385C">
                              <w:trPr>
                                <w:trHeight w:val="397"/>
                              </w:trPr>
                              <w:tc>
                                <w:tcPr>
                                  <w:tcW w:w="5102" w:type="dxa"/>
                                  <w:gridSpan w:val="3"/>
                                  <w:tcBorders>
                                    <w:left w:val="nil"/>
                                    <w:bottom w:val="nil"/>
                                    <w:right w:val="nil"/>
                                  </w:tcBorders>
                                </w:tcPr>
                                <w:p w14:paraId="084EFD5B" w14:textId="5EC77790" w:rsidR="0029756E" w:rsidRPr="00464B21" w:rsidRDefault="0029756E" w:rsidP="009E385C">
                                  <w:pPr>
                                    <w:spacing w:line="240" w:lineRule="exact"/>
                                    <w:ind w:leftChars="-50" w:left="-120" w:rightChars="200" w:right="480"/>
                                    <w:jc w:val="both"/>
                                    <w:rPr>
                                      <w:rFonts w:ascii="標楷體" w:eastAsia="標楷體" w:hAnsi="標楷體"/>
                                      <w:spacing w:val="-18"/>
                                      <w:sz w:val="18"/>
                                      <w:szCs w:val="18"/>
                                    </w:rPr>
                                  </w:pPr>
                                  <w:r w:rsidRPr="00464B21">
                                    <w:rPr>
                                      <w:rFonts w:ascii="標楷體" w:eastAsia="標楷體" w:hAnsi="標楷體" w:hint="eastAsia"/>
                                      <w:spacing w:val="-18"/>
                                      <w:sz w:val="18"/>
                                      <w:szCs w:val="18"/>
                                    </w:rPr>
                                    <w:t>資料來源：整理自</w:t>
                                  </w:r>
                                  <w:r w:rsidR="00464B21" w:rsidRPr="00464B21">
                                    <w:rPr>
                                      <w:rFonts w:ascii="標楷體" w:eastAsia="標楷體" w:hAnsi="標楷體" w:hint="eastAsia"/>
                                      <w:spacing w:val="-18"/>
                                      <w:sz w:val="18"/>
                                      <w:szCs w:val="18"/>
                                    </w:rPr>
                                    <w:t>臺北市勞動檢查處</w:t>
                                  </w:r>
                                  <w:r w:rsidRPr="00464B21">
                                    <w:rPr>
                                      <w:rFonts w:ascii="標楷體" w:eastAsia="標楷體" w:hAnsi="標楷體" w:hint="eastAsia"/>
                                      <w:spacing w:val="-18"/>
                                      <w:sz w:val="18"/>
                                      <w:szCs w:val="18"/>
                                    </w:rPr>
                                    <w:t>網站之臺北市工程停復工公開資訊。</w:t>
                                  </w:r>
                                </w:p>
                              </w:tc>
                            </w:tr>
                          </w:tbl>
                          <w:p w14:paraId="76DC9596" w14:textId="77777777" w:rsidR="0029756E" w:rsidRDefault="0029756E" w:rsidP="0029756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B14739" id="文字方塊 31" o:spid="_x0000_s1035" type="#_x0000_t202" style="position:absolute;left:0;text-align:left;margin-left:245.9pt;margin-top:456.75pt;width:249.95pt;height:317.45pt;z-index:-2515077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" fillcolor="white [3201]" stroked="f" strokeweight=".5pt">
                <v:textbox>
                  <w:txbxContent>
                    <w:tbl>
                      <w:tblPr>
                        <w:tblStyle w:val="a6"/>
                        <w:tblW w:w="5102" w:type="dxa"/>
                        <w:tblLook w:val="04A0" w:firstRow="1" w:lastRow="0" w:firstColumn="1" w:lastColumn="0" w:noHBand="0" w:noVBand="1"/>
                      </w:tblPr>
                      <w:tblGrid>
                        <w:gridCol w:w="3119"/>
                        <w:gridCol w:w="1676"/>
                        <w:gridCol w:w="307"/>
                      </w:tblGrid>
                      <w:tr w:rsidR="0029756E" w:rsidRPr="00496E9E" w14:paraId="1A0D318C" w14:textId="77777777" w:rsidTr="009E385C">
                        <w:trPr>
                          <w:gridAfter w:val="1"/>
                          <w:wAfter w:w="307" w:type="dxa"/>
                        </w:trPr>
                        <w:tc>
                          <w:tcPr>
                            <w:tcW w:w="4795" w:type="dxa"/>
                            <w:gridSpan w:val="2"/>
                            <w:tcBorders>
                              <w:top w:val="nil"/>
                              <w:left w:val="nil"/>
                              <w:bottom w:val="nil"/>
                              <w:right w:val="nil"/>
                            </w:tcBorders>
                            <w:vAlign w:val="center"/>
                          </w:tcPr>
                          <w:p w14:paraId="769DAD45" w14:textId="77777777" w:rsidR="0029756E" w:rsidRPr="00711183" w:rsidRDefault="0029756E" w:rsidP="00164A20">
                            <w:pPr>
                              <w:pStyle w:val="a4"/>
                              <w:overflowPunct w:val="0"/>
                              <w:snapToGrid w:val="0"/>
                              <w:spacing w:line="240" w:lineRule="exact"/>
                              <w:ind w:leftChars="0" w:left="673" w:hangingChars="280" w:hanging="673"/>
                              <w:jc w:val="both"/>
                              <w:rPr>
                                <w:rFonts w:ascii="標楷體" w:eastAsia="標楷體" w:hAnsi="標楷體"/>
                                <w:sz w:val="24"/>
                              </w:rPr>
                            </w:pPr>
                            <w:r w:rsidRPr="00711183">
                              <w:rPr>
                                <w:rFonts w:ascii="標楷體" w:eastAsia="標楷體" w:hAnsi="標楷體" w:hint="eastAsia"/>
                                <w:b/>
                                <w:sz w:val="24"/>
                              </w:rPr>
                              <w:t>表</w:t>
                            </w:r>
                            <w:r w:rsidRPr="00711183">
                              <w:rPr>
                                <w:rFonts w:ascii="標楷體" w:eastAsia="標楷體" w:hAnsi="標楷體"/>
                                <w:b/>
                                <w:sz w:val="24"/>
                              </w:rPr>
                              <w:t>8</w:t>
                            </w:r>
                            <w:r w:rsidRPr="00711183">
                              <w:rPr>
                                <w:rFonts w:ascii="標楷體" w:eastAsia="標楷體" w:hAnsi="標楷體" w:hint="eastAsia"/>
                                <w:b/>
                                <w:sz w:val="24"/>
                              </w:rPr>
                              <w:t xml:space="preserve">　</w:t>
                            </w:r>
                            <w:r w:rsidRPr="00711183">
                              <w:rPr>
                                <w:rFonts w:ascii="標楷體" w:eastAsia="標楷體" w:hAnsi="標楷體" w:hint="eastAsia"/>
                                <w:b/>
                                <w:spacing w:val="-6"/>
                                <w:sz w:val="24"/>
                              </w:rPr>
                              <w:t>1</w:t>
                            </w:r>
                            <w:r w:rsidRPr="00711183">
                              <w:rPr>
                                <w:rFonts w:ascii="標楷體" w:eastAsia="標楷體" w:hAnsi="標楷體"/>
                                <w:b/>
                                <w:spacing w:val="-6"/>
                                <w:sz w:val="24"/>
                              </w:rPr>
                              <w:t>05</w:t>
                            </w:r>
                            <w:r w:rsidRPr="00711183">
                              <w:rPr>
                                <w:rFonts w:ascii="標楷體" w:eastAsia="標楷體" w:hAnsi="標楷體" w:hint="eastAsia"/>
                                <w:b/>
                                <w:spacing w:val="-6"/>
                                <w:sz w:val="24"/>
                              </w:rPr>
                              <w:t>年10月至1</w:t>
                            </w:r>
                            <w:r w:rsidRPr="00711183">
                              <w:rPr>
                                <w:rFonts w:ascii="標楷體" w:eastAsia="標楷體" w:hAnsi="標楷體"/>
                                <w:b/>
                                <w:spacing w:val="-6"/>
                                <w:sz w:val="24"/>
                              </w:rPr>
                              <w:t>13</w:t>
                            </w:r>
                            <w:r w:rsidRPr="00711183">
                              <w:rPr>
                                <w:rFonts w:ascii="標楷體" w:eastAsia="標楷體" w:hAnsi="標楷體" w:hint="eastAsia"/>
                                <w:b/>
                                <w:spacing w:val="-6"/>
                                <w:sz w:val="24"/>
                              </w:rPr>
                              <w:t>年11月臺北市政府</w:t>
                            </w:r>
                            <w:r w:rsidRPr="00164A20">
                              <w:rPr>
                                <w:rFonts w:ascii="標楷體" w:eastAsia="標楷體" w:hAnsi="標楷體" w:hint="eastAsia"/>
                                <w:b/>
                                <w:spacing w:val="-2"/>
                                <w:sz w:val="24"/>
                              </w:rPr>
                              <w:t>所屬機關辦理工程因施工廠商違規經</w:t>
                            </w:r>
                            <w:proofErr w:type="gramStart"/>
                            <w:r w:rsidRPr="00164A20">
                              <w:rPr>
                                <w:rFonts w:ascii="標楷體" w:eastAsia="標楷體" w:hAnsi="標楷體" w:hint="eastAsia"/>
                                <w:b/>
                                <w:spacing w:val="-2"/>
                                <w:sz w:val="24"/>
                              </w:rPr>
                              <w:t>勞</w:t>
                            </w:r>
                            <w:proofErr w:type="gramEnd"/>
                            <w:r w:rsidRPr="00164A20">
                              <w:rPr>
                                <w:rFonts w:ascii="標楷體" w:eastAsia="標楷體" w:hAnsi="標楷體" w:hint="eastAsia"/>
                                <w:b/>
                                <w:spacing w:val="-2"/>
                                <w:sz w:val="24"/>
                              </w:rPr>
                              <w:t>檢處通知停工次數</w:t>
                            </w:r>
                          </w:p>
                        </w:tc>
                      </w:tr>
                      <w:tr w:rsidR="0029756E" w:rsidRPr="00496E9E" w14:paraId="35FA6C31" w14:textId="77777777" w:rsidTr="009E385C">
                        <w:trPr>
                          <w:gridAfter w:val="1"/>
                          <w:wAfter w:w="307" w:type="dxa"/>
                        </w:trPr>
                        <w:tc>
                          <w:tcPr>
                            <w:tcW w:w="4795" w:type="dxa"/>
                            <w:gridSpan w:val="2"/>
                            <w:tcBorders>
                              <w:top w:val="nil"/>
                              <w:left w:val="nil"/>
                              <w:right w:val="nil"/>
                            </w:tcBorders>
                            <w:vAlign w:val="center"/>
                          </w:tcPr>
                          <w:p w14:paraId="0732768B"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hint="eastAsia"/>
                              </w:rPr>
                              <w:t>單位：次</w:t>
                            </w:r>
                          </w:p>
                        </w:tc>
                      </w:tr>
                      <w:tr w:rsidR="0029756E" w:rsidRPr="00496E9E" w14:paraId="2A8E919C" w14:textId="77777777" w:rsidTr="009E385C">
                        <w:trPr>
                          <w:gridAfter w:val="1"/>
                          <w:wAfter w:w="307" w:type="dxa"/>
                          <w:trHeight w:val="227"/>
                        </w:trPr>
                        <w:tc>
                          <w:tcPr>
                            <w:tcW w:w="3119" w:type="dxa"/>
                            <w:vAlign w:val="center"/>
                          </w:tcPr>
                          <w:p w14:paraId="63156865" w14:textId="77777777" w:rsidR="0029756E" w:rsidRPr="00496E9E" w:rsidRDefault="0029756E" w:rsidP="00496E9E">
                            <w:pPr>
                              <w:spacing w:line="240" w:lineRule="exact"/>
                              <w:jc w:val="center"/>
                              <w:rPr>
                                <w:rFonts w:ascii="標楷體" w:eastAsia="標楷體" w:hAnsi="標楷體"/>
                              </w:rPr>
                            </w:pPr>
                            <w:r w:rsidRPr="00496E9E">
                              <w:rPr>
                                <w:rFonts w:ascii="標楷體" w:eastAsia="標楷體" w:hAnsi="標楷體" w:hint="eastAsia"/>
                              </w:rPr>
                              <w:t>工程主辦機關</w:t>
                            </w:r>
                          </w:p>
                        </w:tc>
                        <w:tc>
                          <w:tcPr>
                            <w:tcW w:w="1676" w:type="dxa"/>
                            <w:vAlign w:val="center"/>
                          </w:tcPr>
                          <w:p w14:paraId="4752C74D" w14:textId="77777777" w:rsidR="0029756E" w:rsidRPr="009E385C" w:rsidRDefault="0029756E" w:rsidP="00496E9E">
                            <w:pPr>
                              <w:spacing w:line="240" w:lineRule="exact"/>
                              <w:jc w:val="center"/>
                              <w:rPr>
                                <w:rFonts w:ascii="標楷體" w:eastAsia="標楷體" w:hAnsi="標楷體"/>
                                <w:spacing w:val="-10"/>
                              </w:rPr>
                            </w:pPr>
                            <w:r w:rsidRPr="009E385C">
                              <w:rPr>
                                <w:rFonts w:ascii="標楷體" w:eastAsia="標楷體" w:hAnsi="標楷體" w:hint="eastAsia"/>
                                <w:spacing w:val="-10"/>
                              </w:rPr>
                              <w:t>辦理工程經</w:t>
                            </w:r>
                            <w:proofErr w:type="gramStart"/>
                            <w:r w:rsidRPr="009E385C">
                              <w:rPr>
                                <w:rFonts w:ascii="標楷體" w:eastAsia="標楷體" w:hAnsi="標楷體" w:hint="eastAsia"/>
                                <w:spacing w:val="-10"/>
                              </w:rPr>
                              <w:t>勞</w:t>
                            </w:r>
                            <w:proofErr w:type="gramEnd"/>
                            <w:r w:rsidRPr="009E385C">
                              <w:rPr>
                                <w:rFonts w:ascii="標楷體" w:eastAsia="標楷體" w:hAnsi="標楷體" w:hint="eastAsia"/>
                                <w:spacing w:val="-10"/>
                              </w:rPr>
                              <w:t>檢處</w:t>
                            </w:r>
                          </w:p>
                          <w:p w14:paraId="4DB4C24B" w14:textId="77777777" w:rsidR="0029756E" w:rsidRPr="00496E9E" w:rsidRDefault="0029756E" w:rsidP="00496E9E">
                            <w:pPr>
                              <w:spacing w:line="240" w:lineRule="exact"/>
                              <w:jc w:val="center"/>
                              <w:rPr>
                                <w:rFonts w:ascii="標楷體" w:eastAsia="標楷體" w:hAnsi="標楷體"/>
                              </w:rPr>
                            </w:pPr>
                            <w:r w:rsidRPr="00496E9E">
                              <w:rPr>
                                <w:rFonts w:ascii="標楷體" w:eastAsia="標楷體" w:hAnsi="標楷體" w:hint="eastAsia"/>
                                <w:spacing w:val="-4"/>
                              </w:rPr>
                              <w:t>通知停工次數</w:t>
                            </w:r>
                          </w:p>
                        </w:tc>
                      </w:tr>
                      <w:tr w:rsidR="0029756E" w:rsidRPr="00496E9E" w14:paraId="40877273" w14:textId="77777777" w:rsidTr="009E385C">
                        <w:trPr>
                          <w:gridAfter w:val="1"/>
                          <w:wAfter w:w="307" w:type="dxa"/>
                        </w:trPr>
                        <w:tc>
                          <w:tcPr>
                            <w:tcW w:w="3119" w:type="dxa"/>
                            <w:vAlign w:val="center"/>
                          </w:tcPr>
                          <w:p w14:paraId="3A74E9C2" w14:textId="77777777" w:rsidR="0029756E" w:rsidRPr="00496E9E" w:rsidRDefault="0029756E" w:rsidP="00496E9E">
                            <w:pPr>
                              <w:spacing w:line="240" w:lineRule="exact"/>
                              <w:jc w:val="center"/>
                              <w:rPr>
                                <w:rFonts w:ascii="標楷體" w:eastAsia="標楷體" w:hAnsi="標楷體"/>
                                <w:b/>
                                <w:bCs/>
                              </w:rPr>
                            </w:pPr>
                            <w:r w:rsidRPr="00496E9E">
                              <w:rPr>
                                <w:rFonts w:ascii="標楷體" w:eastAsia="標楷體" w:hAnsi="標楷體" w:hint="eastAsia"/>
                                <w:b/>
                                <w:bCs/>
                                <w:spacing w:val="400"/>
                                <w:fitText w:val="1200" w:id="-703874816"/>
                              </w:rPr>
                              <w:t>合</w:t>
                            </w:r>
                            <w:r w:rsidRPr="00496E9E">
                              <w:rPr>
                                <w:rFonts w:ascii="標楷體" w:eastAsia="標楷體" w:hAnsi="標楷體" w:hint="eastAsia"/>
                                <w:b/>
                                <w:bCs/>
                                <w:fitText w:val="1200" w:id="-703874816"/>
                              </w:rPr>
                              <w:t>計</w:t>
                            </w:r>
                          </w:p>
                        </w:tc>
                        <w:tc>
                          <w:tcPr>
                            <w:tcW w:w="1676" w:type="dxa"/>
                            <w:vAlign w:val="center"/>
                          </w:tcPr>
                          <w:p w14:paraId="32389A62" w14:textId="77777777" w:rsidR="0029756E" w:rsidRPr="00496E9E" w:rsidRDefault="0029756E" w:rsidP="00496E9E">
                            <w:pPr>
                              <w:spacing w:line="240" w:lineRule="exact"/>
                              <w:jc w:val="right"/>
                              <w:rPr>
                                <w:rFonts w:ascii="標楷體" w:eastAsia="標楷體" w:hAnsi="標楷體"/>
                                <w:b/>
                                <w:bCs/>
                              </w:rPr>
                            </w:pPr>
                            <w:r w:rsidRPr="00496E9E">
                              <w:rPr>
                                <w:rFonts w:ascii="標楷體" w:eastAsia="標楷體" w:hAnsi="標楷體" w:hint="eastAsia"/>
                                <w:b/>
                                <w:bCs/>
                              </w:rPr>
                              <w:t>2</w:t>
                            </w:r>
                            <w:r w:rsidRPr="00496E9E">
                              <w:rPr>
                                <w:rFonts w:ascii="標楷體" w:eastAsia="標楷體" w:hAnsi="標楷體"/>
                                <w:b/>
                                <w:bCs/>
                              </w:rPr>
                              <w:t>62</w:t>
                            </w:r>
                          </w:p>
                        </w:tc>
                      </w:tr>
                      <w:tr w:rsidR="0029756E" w:rsidRPr="00496E9E" w14:paraId="6FA05479" w14:textId="77777777" w:rsidTr="009E385C">
                        <w:trPr>
                          <w:gridAfter w:val="1"/>
                          <w:wAfter w:w="307" w:type="dxa"/>
                        </w:trPr>
                        <w:tc>
                          <w:tcPr>
                            <w:tcW w:w="3119" w:type="dxa"/>
                          </w:tcPr>
                          <w:p w14:paraId="273E7F3E"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工務局新建工程處</w:t>
                            </w:r>
                          </w:p>
                        </w:tc>
                        <w:tc>
                          <w:tcPr>
                            <w:tcW w:w="1676" w:type="dxa"/>
                          </w:tcPr>
                          <w:p w14:paraId="23A442B8"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73</w:t>
                            </w:r>
                          </w:p>
                        </w:tc>
                      </w:tr>
                      <w:tr w:rsidR="0029756E" w:rsidRPr="00496E9E" w14:paraId="0957B3B2" w14:textId="77777777" w:rsidTr="009E385C">
                        <w:trPr>
                          <w:gridAfter w:val="1"/>
                          <w:wAfter w:w="307" w:type="dxa"/>
                        </w:trPr>
                        <w:tc>
                          <w:tcPr>
                            <w:tcW w:w="3119" w:type="dxa"/>
                          </w:tcPr>
                          <w:p w14:paraId="74D598AB"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都市發展局</w:t>
                            </w:r>
                          </w:p>
                        </w:tc>
                        <w:tc>
                          <w:tcPr>
                            <w:tcW w:w="1676" w:type="dxa"/>
                          </w:tcPr>
                          <w:p w14:paraId="414EDBEC"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60</w:t>
                            </w:r>
                          </w:p>
                        </w:tc>
                      </w:tr>
                      <w:tr w:rsidR="0029756E" w:rsidRPr="00496E9E" w14:paraId="6811015F" w14:textId="77777777" w:rsidTr="009E385C">
                        <w:trPr>
                          <w:gridAfter w:val="1"/>
                          <w:wAfter w:w="307" w:type="dxa"/>
                        </w:trPr>
                        <w:tc>
                          <w:tcPr>
                            <w:tcW w:w="3119" w:type="dxa"/>
                          </w:tcPr>
                          <w:p w14:paraId="049567AB"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教育局所屬機關學校</w:t>
                            </w:r>
                          </w:p>
                        </w:tc>
                        <w:tc>
                          <w:tcPr>
                            <w:tcW w:w="1676" w:type="dxa"/>
                          </w:tcPr>
                          <w:p w14:paraId="72B6C0D8"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33</w:t>
                            </w:r>
                          </w:p>
                        </w:tc>
                      </w:tr>
                      <w:tr w:rsidR="0029756E" w:rsidRPr="00496E9E" w14:paraId="0CAEB5D5" w14:textId="77777777" w:rsidTr="009E385C">
                        <w:trPr>
                          <w:gridAfter w:val="1"/>
                          <w:wAfter w:w="307" w:type="dxa"/>
                        </w:trPr>
                        <w:tc>
                          <w:tcPr>
                            <w:tcW w:w="3119" w:type="dxa"/>
                          </w:tcPr>
                          <w:p w14:paraId="6F6E90B8"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臺北市停車管理工程處</w:t>
                            </w:r>
                          </w:p>
                        </w:tc>
                        <w:tc>
                          <w:tcPr>
                            <w:tcW w:w="1676" w:type="dxa"/>
                          </w:tcPr>
                          <w:p w14:paraId="7FB2E2AB"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15</w:t>
                            </w:r>
                          </w:p>
                        </w:tc>
                      </w:tr>
                      <w:tr w:rsidR="0029756E" w:rsidRPr="00496E9E" w14:paraId="35F454F2" w14:textId="77777777" w:rsidTr="009E385C">
                        <w:trPr>
                          <w:gridAfter w:val="1"/>
                          <w:wAfter w:w="307" w:type="dxa"/>
                        </w:trPr>
                        <w:tc>
                          <w:tcPr>
                            <w:tcW w:w="3119" w:type="dxa"/>
                          </w:tcPr>
                          <w:p w14:paraId="25825BA9"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工務局公園路燈工程管理處</w:t>
                            </w:r>
                          </w:p>
                        </w:tc>
                        <w:tc>
                          <w:tcPr>
                            <w:tcW w:w="1676" w:type="dxa"/>
                          </w:tcPr>
                          <w:p w14:paraId="15032D7A"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14</w:t>
                            </w:r>
                          </w:p>
                        </w:tc>
                      </w:tr>
                      <w:tr w:rsidR="0029756E" w:rsidRPr="00496E9E" w14:paraId="40EEE411" w14:textId="77777777" w:rsidTr="009E385C">
                        <w:trPr>
                          <w:gridAfter w:val="1"/>
                          <w:wAfter w:w="307" w:type="dxa"/>
                        </w:trPr>
                        <w:tc>
                          <w:tcPr>
                            <w:tcW w:w="3119" w:type="dxa"/>
                          </w:tcPr>
                          <w:p w14:paraId="796BA785"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工務局水利工程處</w:t>
                            </w:r>
                          </w:p>
                        </w:tc>
                        <w:tc>
                          <w:tcPr>
                            <w:tcW w:w="1676" w:type="dxa"/>
                          </w:tcPr>
                          <w:p w14:paraId="320690D4"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13</w:t>
                            </w:r>
                          </w:p>
                        </w:tc>
                      </w:tr>
                      <w:tr w:rsidR="0029756E" w:rsidRPr="00496E9E" w14:paraId="0D06E0AF" w14:textId="77777777" w:rsidTr="009E385C">
                        <w:trPr>
                          <w:gridAfter w:val="1"/>
                          <w:wAfter w:w="307" w:type="dxa"/>
                        </w:trPr>
                        <w:tc>
                          <w:tcPr>
                            <w:tcW w:w="3119" w:type="dxa"/>
                          </w:tcPr>
                          <w:p w14:paraId="27B02BDB"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捷運工程局第二區工程處</w:t>
                            </w:r>
                          </w:p>
                        </w:tc>
                        <w:tc>
                          <w:tcPr>
                            <w:tcW w:w="1676" w:type="dxa"/>
                          </w:tcPr>
                          <w:p w14:paraId="2C8F3592"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10</w:t>
                            </w:r>
                          </w:p>
                        </w:tc>
                      </w:tr>
                      <w:tr w:rsidR="0029756E" w:rsidRPr="00496E9E" w14:paraId="05553565" w14:textId="77777777" w:rsidTr="009E385C">
                        <w:trPr>
                          <w:gridAfter w:val="1"/>
                          <w:wAfter w:w="307" w:type="dxa"/>
                        </w:trPr>
                        <w:tc>
                          <w:tcPr>
                            <w:tcW w:w="3119" w:type="dxa"/>
                          </w:tcPr>
                          <w:p w14:paraId="5BE6475B"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捷運工程局第一區工程處</w:t>
                            </w:r>
                          </w:p>
                        </w:tc>
                        <w:tc>
                          <w:tcPr>
                            <w:tcW w:w="1676" w:type="dxa"/>
                          </w:tcPr>
                          <w:p w14:paraId="2C4C473A"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8</w:t>
                            </w:r>
                          </w:p>
                        </w:tc>
                      </w:tr>
                      <w:tr w:rsidR="0029756E" w:rsidRPr="00496E9E" w14:paraId="3FA0F927" w14:textId="77777777" w:rsidTr="009E385C">
                        <w:trPr>
                          <w:gridAfter w:val="1"/>
                          <w:wAfter w:w="307" w:type="dxa"/>
                        </w:trPr>
                        <w:tc>
                          <w:tcPr>
                            <w:tcW w:w="3119" w:type="dxa"/>
                          </w:tcPr>
                          <w:p w14:paraId="30EE1572" w14:textId="77777777" w:rsidR="0029756E" w:rsidRPr="00496E9E" w:rsidRDefault="0029756E" w:rsidP="00496E9E">
                            <w:pPr>
                              <w:spacing w:line="240" w:lineRule="exact"/>
                              <w:rPr>
                                <w:rFonts w:ascii="標楷體" w:eastAsia="標楷體" w:hAnsi="標楷體"/>
                              </w:rPr>
                            </w:pPr>
                            <w:proofErr w:type="gramStart"/>
                            <w:r w:rsidRPr="00496E9E">
                              <w:rPr>
                                <w:rFonts w:ascii="標楷體" w:eastAsia="標楷體" w:hAnsi="標楷體" w:hint="eastAsia"/>
                              </w:rPr>
                              <w:t>臺</w:t>
                            </w:r>
                            <w:proofErr w:type="gramEnd"/>
                            <w:r w:rsidRPr="00496E9E">
                              <w:rPr>
                                <w:rFonts w:ascii="標楷體" w:eastAsia="標楷體" w:hAnsi="標楷體" w:hint="eastAsia"/>
                              </w:rPr>
                              <w:t>北自來水事業處暨所屬單位</w:t>
                            </w:r>
                          </w:p>
                        </w:tc>
                        <w:tc>
                          <w:tcPr>
                            <w:tcW w:w="1676" w:type="dxa"/>
                          </w:tcPr>
                          <w:p w14:paraId="38B98145"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8</w:t>
                            </w:r>
                          </w:p>
                        </w:tc>
                      </w:tr>
                      <w:tr w:rsidR="0029756E" w:rsidRPr="00496E9E" w14:paraId="2BD4F8F7" w14:textId="77777777" w:rsidTr="009E385C">
                        <w:trPr>
                          <w:gridAfter w:val="1"/>
                          <w:wAfter w:w="307" w:type="dxa"/>
                        </w:trPr>
                        <w:tc>
                          <w:tcPr>
                            <w:tcW w:w="3119" w:type="dxa"/>
                          </w:tcPr>
                          <w:p w14:paraId="1D8312C7"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文化局</w:t>
                            </w:r>
                          </w:p>
                        </w:tc>
                        <w:tc>
                          <w:tcPr>
                            <w:tcW w:w="1676" w:type="dxa"/>
                          </w:tcPr>
                          <w:p w14:paraId="48742C51"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7</w:t>
                            </w:r>
                          </w:p>
                        </w:tc>
                      </w:tr>
                      <w:tr w:rsidR="0029756E" w:rsidRPr="00496E9E" w14:paraId="29EDF91E" w14:textId="77777777" w:rsidTr="009E385C">
                        <w:trPr>
                          <w:gridAfter w:val="1"/>
                          <w:wAfter w:w="307" w:type="dxa"/>
                        </w:trPr>
                        <w:tc>
                          <w:tcPr>
                            <w:tcW w:w="3119" w:type="dxa"/>
                          </w:tcPr>
                          <w:p w14:paraId="245FF7E5"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工務局衛生下水道工程處</w:t>
                            </w:r>
                          </w:p>
                        </w:tc>
                        <w:tc>
                          <w:tcPr>
                            <w:tcW w:w="1676" w:type="dxa"/>
                          </w:tcPr>
                          <w:p w14:paraId="10B5CFB4"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6</w:t>
                            </w:r>
                          </w:p>
                        </w:tc>
                      </w:tr>
                      <w:tr w:rsidR="0029756E" w:rsidRPr="00496E9E" w14:paraId="42279F45" w14:textId="77777777" w:rsidTr="009E385C">
                        <w:trPr>
                          <w:gridAfter w:val="1"/>
                          <w:wAfter w:w="307" w:type="dxa"/>
                        </w:trPr>
                        <w:tc>
                          <w:tcPr>
                            <w:tcW w:w="3119" w:type="dxa"/>
                          </w:tcPr>
                          <w:p w14:paraId="297ACDBD" w14:textId="77777777" w:rsidR="0029756E" w:rsidRPr="00496E9E" w:rsidRDefault="0029756E" w:rsidP="00496E9E">
                            <w:pPr>
                              <w:spacing w:line="240" w:lineRule="exact"/>
                              <w:rPr>
                                <w:rFonts w:ascii="標楷體" w:eastAsia="標楷體" w:hAnsi="標楷體"/>
                              </w:rPr>
                            </w:pPr>
                            <w:proofErr w:type="gramStart"/>
                            <w:r w:rsidRPr="00496E9E">
                              <w:rPr>
                                <w:rFonts w:ascii="標楷體" w:eastAsia="標楷體" w:hAnsi="標楷體" w:hint="eastAsia"/>
                              </w:rPr>
                              <w:t>臺</w:t>
                            </w:r>
                            <w:proofErr w:type="gramEnd"/>
                            <w:r w:rsidRPr="00496E9E">
                              <w:rPr>
                                <w:rFonts w:ascii="標楷體" w:eastAsia="標楷體" w:hAnsi="標楷體" w:hint="eastAsia"/>
                              </w:rPr>
                              <w:t>北大眾捷運股份有限公司</w:t>
                            </w:r>
                          </w:p>
                        </w:tc>
                        <w:tc>
                          <w:tcPr>
                            <w:tcW w:w="1676" w:type="dxa"/>
                          </w:tcPr>
                          <w:p w14:paraId="67339D54"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4</w:t>
                            </w:r>
                          </w:p>
                        </w:tc>
                      </w:tr>
                      <w:tr w:rsidR="0029756E" w:rsidRPr="00496E9E" w14:paraId="469938FA" w14:textId="77777777" w:rsidTr="009E385C">
                        <w:trPr>
                          <w:gridAfter w:val="1"/>
                          <w:wAfter w:w="307" w:type="dxa"/>
                        </w:trPr>
                        <w:tc>
                          <w:tcPr>
                            <w:tcW w:w="3119" w:type="dxa"/>
                          </w:tcPr>
                          <w:p w14:paraId="0515E84C"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工務局大地工程處</w:t>
                            </w:r>
                          </w:p>
                        </w:tc>
                        <w:tc>
                          <w:tcPr>
                            <w:tcW w:w="1676" w:type="dxa"/>
                          </w:tcPr>
                          <w:p w14:paraId="347D5100"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4</w:t>
                            </w:r>
                          </w:p>
                        </w:tc>
                      </w:tr>
                      <w:tr w:rsidR="0029756E" w:rsidRPr="00496E9E" w14:paraId="0B92A04B" w14:textId="77777777" w:rsidTr="009E385C">
                        <w:trPr>
                          <w:gridAfter w:val="1"/>
                          <w:wAfter w:w="307" w:type="dxa"/>
                        </w:trPr>
                        <w:tc>
                          <w:tcPr>
                            <w:tcW w:w="3119" w:type="dxa"/>
                          </w:tcPr>
                          <w:p w14:paraId="7F2BAFB3"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社會局</w:t>
                            </w:r>
                          </w:p>
                        </w:tc>
                        <w:tc>
                          <w:tcPr>
                            <w:tcW w:w="1676" w:type="dxa"/>
                          </w:tcPr>
                          <w:p w14:paraId="4A0060E9"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3</w:t>
                            </w:r>
                          </w:p>
                        </w:tc>
                      </w:tr>
                      <w:tr w:rsidR="0029756E" w:rsidRPr="00496E9E" w14:paraId="4A0DC6AB" w14:textId="77777777" w:rsidTr="009E385C">
                        <w:trPr>
                          <w:gridAfter w:val="1"/>
                          <w:wAfter w:w="307" w:type="dxa"/>
                        </w:trPr>
                        <w:tc>
                          <w:tcPr>
                            <w:tcW w:w="3119" w:type="dxa"/>
                          </w:tcPr>
                          <w:p w14:paraId="131C01F7"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消防局</w:t>
                            </w:r>
                          </w:p>
                        </w:tc>
                        <w:tc>
                          <w:tcPr>
                            <w:tcW w:w="1676" w:type="dxa"/>
                          </w:tcPr>
                          <w:p w14:paraId="3484145B"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2</w:t>
                            </w:r>
                          </w:p>
                        </w:tc>
                      </w:tr>
                      <w:tr w:rsidR="0029756E" w:rsidRPr="00496E9E" w14:paraId="4AABCFB4" w14:textId="77777777" w:rsidTr="009E385C">
                        <w:trPr>
                          <w:gridAfter w:val="1"/>
                          <w:wAfter w:w="307" w:type="dxa"/>
                        </w:trPr>
                        <w:tc>
                          <w:tcPr>
                            <w:tcW w:w="3119" w:type="dxa"/>
                          </w:tcPr>
                          <w:p w14:paraId="0D8B5F46"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臺北市市場處</w:t>
                            </w:r>
                          </w:p>
                        </w:tc>
                        <w:tc>
                          <w:tcPr>
                            <w:tcW w:w="1676" w:type="dxa"/>
                          </w:tcPr>
                          <w:p w14:paraId="36D2A90B"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w:t>
                            </w:r>
                          </w:p>
                        </w:tc>
                      </w:tr>
                      <w:tr w:rsidR="0029756E" w:rsidRPr="00496E9E" w14:paraId="18A18A9A" w14:textId="77777777" w:rsidTr="009E385C">
                        <w:trPr>
                          <w:gridAfter w:val="1"/>
                          <w:wAfter w:w="307" w:type="dxa"/>
                        </w:trPr>
                        <w:tc>
                          <w:tcPr>
                            <w:tcW w:w="3119" w:type="dxa"/>
                            <w:tcBorders>
                              <w:bottom w:val="single" w:sz="4" w:space="0" w:color="auto"/>
                            </w:tcBorders>
                          </w:tcPr>
                          <w:p w14:paraId="3C4C1BE2" w14:textId="77777777" w:rsidR="0029756E" w:rsidRPr="00496E9E" w:rsidRDefault="0029756E" w:rsidP="00496E9E">
                            <w:pPr>
                              <w:spacing w:line="240" w:lineRule="exact"/>
                              <w:rPr>
                                <w:rFonts w:ascii="標楷體" w:eastAsia="標楷體" w:hAnsi="標楷體"/>
                              </w:rPr>
                            </w:pPr>
                            <w:r w:rsidRPr="00496E9E">
                              <w:rPr>
                                <w:rFonts w:ascii="標楷體" w:eastAsia="標楷體" w:hAnsi="標楷體" w:hint="eastAsia"/>
                              </w:rPr>
                              <w:t>臺北市藝文推廣處</w:t>
                            </w:r>
                          </w:p>
                        </w:tc>
                        <w:tc>
                          <w:tcPr>
                            <w:tcW w:w="1676" w:type="dxa"/>
                            <w:tcBorders>
                              <w:bottom w:val="single" w:sz="4" w:space="0" w:color="auto"/>
                            </w:tcBorders>
                          </w:tcPr>
                          <w:p w14:paraId="4ED691BB" w14:textId="77777777" w:rsidR="0029756E" w:rsidRPr="00496E9E" w:rsidRDefault="0029756E" w:rsidP="00496E9E">
                            <w:pPr>
                              <w:spacing w:line="240" w:lineRule="exact"/>
                              <w:jc w:val="right"/>
                              <w:rPr>
                                <w:rFonts w:ascii="標楷體" w:eastAsia="標楷體" w:hAnsi="標楷體"/>
                              </w:rPr>
                            </w:pPr>
                            <w:r w:rsidRPr="00496E9E">
                              <w:rPr>
                                <w:rFonts w:ascii="標楷體" w:eastAsia="標楷體" w:hAnsi="標楷體"/>
                              </w:rPr>
                              <w:t>1</w:t>
                            </w:r>
                          </w:p>
                        </w:tc>
                      </w:tr>
                      <w:tr w:rsidR="0029756E" w:rsidRPr="00496E9E" w14:paraId="595A4381" w14:textId="77777777" w:rsidTr="009E385C">
                        <w:trPr>
                          <w:trHeight w:val="397"/>
                        </w:trPr>
                        <w:tc>
                          <w:tcPr>
                            <w:tcW w:w="5102" w:type="dxa"/>
                            <w:gridSpan w:val="3"/>
                            <w:tcBorders>
                              <w:left w:val="nil"/>
                              <w:bottom w:val="nil"/>
                              <w:right w:val="nil"/>
                            </w:tcBorders>
                          </w:tcPr>
                          <w:p w14:paraId="084EFD5B" w14:textId="5EC77790" w:rsidR="0029756E" w:rsidRPr="00464B21" w:rsidRDefault="0029756E" w:rsidP="009E385C">
                            <w:pPr>
                              <w:spacing w:line="240" w:lineRule="exact"/>
                              <w:ind w:leftChars="-50" w:left="-120" w:rightChars="200" w:right="480"/>
                              <w:jc w:val="both"/>
                              <w:rPr>
                                <w:rFonts w:ascii="標楷體" w:eastAsia="標楷體" w:hAnsi="標楷體"/>
                                <w:spacing w:val="-18"/>
                                <w:sz w:val="18"/>
                                <w:szCs w:val="18"/>
                              </w:rPr>
                            </w:pPr>
                            <w:r w:rsidRPr="00464B21">
                              <w:rPr>
                                <w:rFonts w:ascii="標楷體" w:eastAsia="標楷體" w:hAnsi="標楷體" w:hint="eastAsia"/>
                                <w:spacing w:val="-18"/>
                                <w:sz w:val="18"/>
                                <w:szCs w:val="18"/>
                              </w:rPr>
                              <w:t>資料來源：整理自</w:t>
                            </w:r>
                            <w:r w:rsidR="00464B21" w:rsidRPr="00464B21">
                              <w:rPr>
                                <w:rFonts w:ascii="標楷體" w:eastAsia="標楷體" w:hAnsi="標楷體" w:hint="eastAsia"/>
                                <w:spacing w:val="-18"/>
                                <w:sz w:val="18"/>
                                <w:szCs w:val="18"/>
                              </w:rPr>
                              <w:t>臺北市勞動檢查處</w:t>
                            </w:r>
                            <w:r w:rsidRPr="00464B21">
                              <w:rPr>
                                <w:rFonts w:ascii="標楷體" w:eastAsia="標楷體" w:hAnsi="標楷體" w:hint="eastAsia"/>
                                <w:spacing w:val="-18"/>
                                <w:sz w:val="18"/>
                                <w:szCs w:val="18"/>
                              </w:rPr>
                              <w:t>網站之臺北市工程停復工公開資訊。</w:t>
                            </w:r>
                          </w:p>
                        </w:tc>
                      </w:tr>
                    </w:tbl>
                    <w:p w14:paraId="76DC9596" w14:textId="77777777" w:rsidR="0029756E" w:rsidRDefault="0029756E" w:rsidP="0029756E"/>
                  </w:txbxContent>
                </v:textbox>
                <w10:wrap type="tight" anchory="page"/>
              </v:shape>
            </w:pict>
          </mc:Fallback>
        </mc:AlternateContent>
      </w:r>
      <w:r w:rsidR="0029756E" w:rsidRPr="00430D32">
        <w:rPr>
          <w:rFonts w:ascii="標楷體" w:eastAsia="標楷體" w:hAnsi="標楷體" w:hint="eastAsia"/>
        </w:rPr>
        <w:t>（構）函令全部停工者，每次扣罰懲罰性違約金5萬元整；部分停工者，每次扣罰懲罰性違約金3萬元整。</w:t>
      </w:r>
      <w:proofErr w:type="gramStart"/>
      <w:r w:rsidR="0029756E" w:rsidRPr="00430D32">
        <w:rPr>
          <w:rFonts w:ascii="標楷體" w:eastAsia="標楷體" w:hAnsi="標楷體" w:hint="eastAsia"/>
        </w:rPr>
        <w:t>次依臺北市</w:t>
      </w:r>
      <w:proofErr w:type="gramEnd"/>
      <w:r w:rsidR="0029756E" w:rsidRPr="00430D32">
        <w:rPr>
          <w:rFonts w:ascii="標楷體" w:eastAsia="標楷體" w:hAnsi="標楷體" w:hint="eastAsia"/>
        </w:rPr>
        <w:t>政府採購契約廠商分包管理要點第3點第4項第3款規定略</w:t>
      </w:r>
      <w:proofErr w:type="gramStart"/>
      <w:r w:rsidR="0029756E" w:rsidRPr="00430D32">
        <w:rPr>
          <w:rFonts w:ascii="標楷體" w:eastAsia="標楷體" w:hAnsi="標楷體" w:hint="eastAsia"/>
        </w:rPr>
        <w:t>以</w:t>
      </w:r>
      <w:proofErr w:type="gramEnd"/>
      <w:r w:rsidR="0029756E" w:rsidRPr="00430D32">
        <w:rPr>
          <w:rFonts w:ascii="標楷體" w:eastAsia="標楷體" w:hAnsi="標楷體" w:hint="eastAsia"/>
        </w:rPr>
        <w:t>，得標廠商對於分包廠商履約之部分，仍應負完全責任；分包契約報備於機關者，亦同。據臺北市勞動檢查處（下稱</w:t>
      </w:r>
      <w:proofErr w:type="gramStart"/>
      <w:r w:rsidR="0029756E" w:rsidRPr="00430D32">
        <w:rPr>
          <w:rFonts w:ascii="標楷體" w:eastAsia="標楷體" w:hAnsi="標楷體" w:hint="eastAsia"/>
        </w:rPr>
        <w:t>勞</w:t>
      </w:r>
      <w:proofErr w:type="gramEnd"/>
      <w:r w:rsidR="0029756E" w:rsidRPr="00430D32">
        <w:rPr>
          <w:rFonts w:ascii="標楷體" w:eastAsia="標楷體" w:hAnsi="標楷體" w:hint="eastAsia"/>
        </w:rPr>
        <w:t>檢處）網站之臺北市工程停復工公開資訊，自105年10月至113年11月止，臺北市政府所屬機關辦理工程因施工廠商（含分包廠商）有違反職業安全衛生相關規定之情形，經</w:t>
      </w:r>
      <w:proofErr w:type="gramStart"/>
      <w:r w:rsidR="0029756E" w:rsidRPr="00430D32">
        <w:rPr>
          <w:rFonts w:ascii="標楷體" w:eastAsia="標楷體" w:hAnsi="標楷體" w:hint="eastAsia"/>
        </w:rPr>
        <w:t>勞</w:t>
      </w:r>
      <w:proofErr w:type="gramEnd"/>
      <w:r w:rsidR="0029756E" w:rsidRPr="00430D32">
        <w:rPr>
          <w:rFonts w:ascii="標楷體" w:eastAsia="標楷體" w:hAnsi="標楷體" w:hint="eastAsia"/>
        </w:rPr>
        <w:t>檢處通知停工者，計有工務局新建工程處等機關辦理之155件工程，共計262次停工事件（表</w:t>
      </w:r>
      <w:r w:rsidR="0029756E" w:rsidRPr="00430D32">
        <w:rPr>
          <w:rFonts w:ascii="標楷體" w:eastAsia="標楷體" w:hAnsi="標楷體"/>
        </w:rPr>
        <w:t>8</w:t>
      </w:r>
      <w:r w:rsidR="0029756E" w:rsidRPr="00430D32">
        <w:rPr>
          <w:rFonts w:ascii="標楷體" w:eastAsia="標楷體" w:hAnsi="標楷體" w:hint="eastAsia"/>
        </w:rPr>
        <w:t>）。截至113年12</w:t>
      </w:r>
    </w:p>
    <w:p w14:paraId="60F69A8B" w14:textId="16538C2F" w:rsidR="0029756E" w:rsidRPr="00430D32" w:rsidRDefault="0029756E" w:rsidP="00DA4047">
      <w:pPr>
        <w:widowControl/>
        <w:tabs>
          <w:tab w:val="left" w:pos="1560"/>
        </w:tabs>
        <w:kinsoku w:val="0"/>
        <w:overflowPunct w:val="0"/>
        <w:spacing w:line="460" w:lineRule="exact"/>
        <w:jc w:val="both"/>
        <w:rPr>
          <w:rFonts w:ascii="標楷體" w:eastAsia="標楷體" w:hAnsi="標楷體"/>
        </w:rPr>
      </w:pPr>
      <w:r w:rsidRPr="00430D32">
        <w:rPr>
          <w:rFonts w:ascii="標楷體" w:eastAsia="標楷體" w:hAnsi="標楷體" w:hint="eastAsia"/>
        </w:rPr>
        <w:lastRenderedPageBreak/>
        <w:t>月底止，各工程主辦機關對停工事件未依契約及工程安全衛生須知規定，扣罰違規廠商懲罰性違約金情形者，計87次；已通知違規</w:t>
      </w:r>
      <w:proofErr w:type="gramStart"/>
      <w:r w:rsidRPr="00430D32">
        <w:rPr>
          <w:rFonts w:ascii="標楷體" w:eastAsia="標楷體" w:hAnsi="標楷體" w:hint="eastAsia"/>
        </w:rPr>
        <w:t>廠商計罰</w:t>
      </w:r>
      <w:proofErr w:type="gramEnd"/>
      <w:r w:rsidRPr="00430D32">
        <w:rPr>
          <w:rFonts w:ascii="標楷體" w:eastAsia="標楷體" w:hAnsi="標楷體" w:hint="eastAsia"/>
        </w:rPr>
        <w:t>，迄未收繳懲罰性違約金情形者，計7次；另有12次停工事件，工程主辦機關</w:t>
      </w:r>
      <w:proofErr w:type="gramStart"/>
      <w:r w:rsidRPr="00430D32">
        <w:rPr>
          <w:rFonts w:ascii="標楷體" w:eastAsia="標楷體" w:hAnsi="標楷體" w:hint="eastAsia"/>
        </w:rPr>
        <w:t>實際扣</w:t>
      </w:r>
      <w:proofErr w:type="gramEnd"/>
      <w:r w:rsidRPr="00430D32">
        <w:rPr>
          <w:rFonts w:ascii="標楷體" w:eastAsia="標楷體" w:hAnsi="標楷體" w:hint="eastAsia"/>
        </w:rPr>
        <w:t>罰違規廠商之懲罰性違約金數額，低於工程安全衛生須知第10點第1項第1款規定懲罰性違約金最低數額3萬元，核有未落實執行工程安全衛生須知規定之情事，經函請</w:t>
      </w:r>
      <w:proofErr w:type="gramStart"/>
      <w:r w:rsidRPr="00430D32">
        <w:rPr>
          <w:rFonts w:ascii="標楷體" w:eastAsia="標楷體" w:hAnsi="標楷體" w:hint="eastAsia"/>
        </w:rPr>
        <w:t>檢討妥處</w:t>
      </w:r>
      <w:proofErr w:type="gramEnd"/>
      <w:r w:rsidRPr="00430D32">
        <w:rPr>
          <w:rFonts w:ascii="標楷體" w:eastAsia="標楷體" w:hAnsi="標楷體" w:hint="eastAsia"/>
        </w:rPr>
        <w:t>。據復：經通知各工程主辦機關依規定扣罰違規廠商懲罰性違約金，截至114年6月13日，</w:t>
      </w:r>
      <w:proofErr w:type="gramStart"/>
      <w:r w:rsidRPr="00430D32">
        <w:rPr>
          <w:rFonts w:ascii="標楷體" w:eastAsia="標楷體" w:hAnsi="標楷體" w:hint="eastAsia"/>
        </w:rPr>
        <w:t>已扣回懲罰</w:t>
      </w:r>
      <w:proofErr w:type="gramEnd"/>
      <w:r w:rsidRPr="00430D32">
        <w:rPr>
          <w:rFonts w:ascii="標楷體" w:eastAsia="標楷體" w:hAnsi="標楷體" w:hint="eastAsia"/>
        </w:rPr>
        <w:t>性違約金計161萬元，另</w:t>
      </w:r>
      <w:proofErr w:type="gramStart"/>
      <w:r w:rsidRPr="00430D32">
        <w:rPr>
          <w:rFonts w:ascii="標楷體" w:eastAsia="標楷體" w:hAnsi="標楷體" w:hint="eastAsia"/>
        </w:rPr>
        <w:t>勞</w:t>
      </w:r>
      <w:proofErr w:type="gramEnd"/>
      <w:r w:rsidRPr="00430D32">
        <w:rPr>
          <w:rFonts w:ascii="標楷體" w:eastAsia="標楷體" w:hAnsi="標楷體" w:hint="eastAsia"/>
        </w:rPr>
        <w:t>檢處於每月提供停工資訊予各工程主辦機關及其上級機關等機關，一併提供工程停復工資訊系統之查詢路徑方式，函請配合辦理，避免類此情事再次發生。</w:t>
      </w:r>
    </w:p>
    <w:p w14:paraId="6F93C0DA" w14:textId="3B7FA861" w:rsidR="0029756E" w:rsidRPr="00430D32" w:rsidRDefault="0029756E" w:rsidP="00DA4047">
      <w:pPr>
        <w:widowControl/>
        <w:tabs>
          <w:tab w:val="left" w:pos="1560"/>
        </w:tabs>
        <w:kinsoku w:val="0"/>
        <w:overflowPunct w:val="0"/>
        <w:spacing w:beforeLines="20" w:before="72" w:line="450" w:lineRule="exact"/>
        <w:ind w:firstLineChars="200" w:firstLine="480"/>
        <w:jc w:val="both"/>
        <w:rPr>
          <w:rFonts w:ascii="標楷體" w:eastAsia="標楷體" w:hAnsi="標楷體"/>
        </w:rPr>
      </w:pPr>
      <w:r w:rsidRPr="00430D32">
        <w:rPr>
          <w:rFonts w:ascii="標楷體" w:eastAsia="標楷體" w:hAnsi="標楷體" w:hint="eastAsia"/>
          <w:b/>
          <w:bCs/>
        </w:rPr>
        <w:t>2.部分機關辦理工程之施工廠商</w:t>
      </w:r>
      <w:proofErr w:type="gramStart"/>
      <w:r w:rsidRPr="00430D32">
        <w:rPr>
          <w:rFonts w:ascii="標楷體" w:eastAsia="標楷體" w:hAnsi="標楷體" w:hint="eastAsia"/>
          <w:b/>
          <w:bCs/>
        </w:rPr>
        <w:t>遴</w:t>
      </w:r>
      <w:proofErr w:type="gramEnd"/>
      <w:r w:rsidRPr="00430D32">
        <w:rPr>
          <w:rFonts w:ascii="標楷體" w:eastAsia="標楷體" w:hAnsi="標楷體" w:hint="eastAsia"/>
          <w:b/>
          <w:bCs/>
        </w:rPr>
        <w:t>派之職業安全衛生人員，於施工期間違規兼任其他工地職務：</w:t>
      </w:r>
      <w:r w:rsidRPr="00430D32">
        <w:rPr>
          <w:rFonts w:ascii="標楷體" w:eastAsia="標楷體" w:hAnsi="標楷體" w:hint="eastAsia"/>
        </w:rPr>
        <w:t>依工程安全衛生須知第3點第3款第1目規定略</w:t>
      </w:r>
      <w:proofErr w:type="gramStart"/>
      <w:r w:rsidRPr="00430D32">
        <w:rPr>
          <w:rFonts w:ascii="標楷體" w:eastAsia="標楷體" w:hAnsi="標楷體" w:hint="eastAsia"/>
        </w:rPr>
        <w:t>以</w:t>
      </w:r>
      <w:proofErr w:type="gramEnd"/>
      <w:r w:rsidRPr="00430D32">
        <w:rPr>
          <w:rFonts w:ascii="標楷體" w:eastAsia="標楷體" w:hAnsi="標楷體" w:hint="eastAsia"/>
        </w:rPr>
        <w:t>，廠商應於開工前依法設置職業安全衛生人員，檢具相關資料報請監造單位審查。同須知第10點第1項第6款第3目規定略</w:t>
      </w:r>
      <w:proofErr w:type="gramStart"/>
      <w:r w:rsidRPr="00430D32">
        <w:rPr>
          <w:rFonts w:ascii="標楷體" w:eastAsia="標楷體" w:hAnsi="標楷體" w:hint="eastAsia"/>
        </w:rPr>
        <w:t>以</w:t>
      </w:r>
      <w:proofErr w:type="gramEnd"/>
      <w:r w:rsidRPr="00430D32">
        <w:rPr>
          <w:rFonts w:ascii="標楷體" w:eastAsia="標楷體" w:hAnsi="標楷體" w:hint="eastAsia"/>
        </w:rPr>
        <w:t>，廠商有未依規定期限</w:t>
      </w:r>
      <w:proofErr w:type="gramStart"/>
      <w:r w:rsidRPr="00430D32">
        <w:rPr>
          <w:rFonts w:ascii="標楷體" w:eastAsia="標楷體" w:hAnsi="標楷體" w:hint="eastAsia"/>
        </w:rPr>
        <w:t>遴</w:t>
      </w:r>
      <w:proofErr w:type="gramEnd"/>
      <w:r w:rsidRPr="00430D32">
        <w:rPr>
          <w:rFonts w:ascii="標楷體" w:eastAsia="標楷體" w:hAnsi="標楷體" w:hint="eastAsia"/>
        </w:rPr>
        <w:t>派合格職業安全衛生人員、擅自改派職業安全衛生人員或違反職業安全衛生人員專職（或非專職）設置規定，機關應就其違規日數，每人次按日扣罰懲罰性違約金2,500元整。</w:t>
      </w:r>
      <w:proofErr w:type="gramStart"/>
      <w:r w:rsidRPr="00430D32">
        <w:rPr>
          <w:rFonts w:ascii="標楷體" w:eastAsia="標楷體" w:hAnsi="標楷體" w:hint="eastAsia"/>
        </w:rPr>
        <w:t>次依勞動</w:t>
      </w:r>
      <w:proofErr w:type="gramEnd"/>
      <w:r w:rsidRPr="00430D32">
        <w:rPr>
          <w:rFonts w:ascii="標楷體" w:eastAsia="標楷體" w:hAnsi="標楷體" w:hint="eastAsia"/>
        </w:rPr>
        <w:t>部職業</w:t>
      </w:r>
      <w:proofErr w:type="gramStart"/>
      <w:r w:rsidRPr="00430D32">
        <w:rPr>
          <w:rFonts w:ascii="標楷體" w:eastAsia="標楷體" w:hAnsi="標楷體" w:hint="eastAsia"/>
        </w:rPr>
        <w:t>安全衛生署107年3月13日勞職安</w:t>
      </w:r>
      <w:proofErr w:type="gramEnd"/>
      <w:r w:rsidRPr="00430D32">
        <w:rPr>
          <w:rFonts w:ascii="標楷體" w:eastAsia="標楷體" w:hAnsi="標楷體" w:hint="eastAsia"/>
        </w:rPr>
        <w:t>2字第1071008862號函（下稱職安署107年3月13日函釋）所述，營造事業單位所屬營造工地勞工人數如未達100人，職業安全衛生人員得兼任該工地其他職務，惟不得同時兼任多個營造工地（工程標案）之職業安全衛生人員。</w:t>
      </w:r>
      <w:proofErr w:type="gramStart"/>
      <w:r w:rsidRPr="00430D32">
        <w:rPr>
          <w:rFonts w:ascii="標楷體" w:eastAsia="標楷體" w:hAnsi="標楷體" w:hint="eastAsia"/>
        </w:rPr>
        <w:t>嗣</w:t>
      </w:r>
      <w:proofErr w:type="gramEnd"/>
      <w:r w:rsidRPr="00430D32">
        <w:rPr>
          <w:rFonts w:ascii="標楷體" w:eastAsia="標楷體" w:hAnsi="標楷體" w:hint="eastAsia"/>
        </w:rPr>
        <w:t>臺北市政府於107年8月20日以</w:t>
      </w:r>
      <w:proofErr w:type="gramStart"/>
      <w:r w:rsidRPr="00430D32">
        <w:rPr>
          <w:rFonts w:ascii="標楷體" w:eastAsia="標楷體" w:hAnsi="標楷體" w:hint="eastAsia"/>
        </w:rPr>
        <w:t>府授工</w:t>
      </w:r>
      <w:proofErr w:type="gramEnd"/>
      <w:r w:rsidRPr="00430D32">
        <w:rPr>
          <w:rFonts w:ascii="標楷體" w:eastAsia="標楷體" w:hAnsi="標楷體" w:hint="eastAsia"/>
        </w:rPr>
        <w:t>品字第1076007752號函將前</w:t>
      </w:r>
      <w:proofErr w:type="gramStart"/>
      <w:r w:rsidRPr="00430D32">
        <w:rPr>
          <w:rFonts w:ascii="標楷體" w:eastAsia="標楷體" w:hAnsi="標楷體" w:hint="eastAsia"/>
        </w:rPr>
        <w:t>述職安署107年3月13日</w:t>
      </w:r>
      <w:proofErr w:type="gramEnd"/>
      <w:r w:rsidRPr="00430D32">
        <w:rPr>
          <w:rFonts w:ascii="標楷體" w:eastAsia="標楷體" w:hAnsi="標楷體" w:hint="eastAsia"/>
        </w:rPr>
        <w:t>函釋事項通知所屬機關。經抽查臺北市政府機關辦理工程之施工廠商設置職業安全衛生人員情形，發現施工廠商所設置非專職職業安全衛生人員計有32名，於所屬工程施工期間兼任其他工地之品質管理人員、工地負責人、工地主任或技術士等職務，核與前</w:t>
      </w:r>
      <w:proofErr w:type="gramStart"/>
      <w:r w:rsidRPr="00430D32">
        <w:rPr>
          <w:rFonts w:ascii="標楷體" w:eastAsia="標楷體" w:hAnsi="標楷體" w:hint="eastAsia"/>
        </w:rPr>
        <w:t>揭職安署</w:t>
      </w:r>
      <w:proofErr w:type="gramEnd"/>
      <w:r w:rsidRPr="00430D32">
        <w:rPr>
          <w:rFonts w:ascii="標楷體" w:eastAsia="標楷體" w:hAnsi="標楷體" w:hint="eastAsia"/>
        </w:rPr>
        <w:t>107年3月13日函釋不符；另有1名專職職業安全衛生人員，於所屬工程施工期間有兼任其他工地專職工地負責人之情形，</w:t>
      </w:r>
      <w:proofErr w:type="gramStart"/>
      <w:r w:rsidRPr="00430D32">
        <w:rPr>
          <w:rFonts w:ascii="標楷體" w:eastAsia="標楷體" w:hAnsi="標楷體" w:hint="eastAsia"/>
        </w:rPr>
        <w:t>均有違規</w:t>
      </w:r>
      <w:proofErr w:type="gramEnd"/>
      <w:r w:rsidRPr="00430D32">
        <w:rPr>
          <w:rFonts w:ascii="標楷體" w:eastAsia="標楷體" w:hAnsi="標楷體" w:hint="eastAsia"/>
        </w:rPr>
        <w:t>兼職情事，經函請</w:t>
      </w:r>
      <w:proofErr w:type="gramStart"/>
      <w:r w:rsidRPr="00430D32">
        <w:rPr>
          <w:rFonts w:ascii="標楷體" w:eastAsia="標楷體" w:hAnsi="標楷體" w:hint="eastAsia"/>
        </w:rPr>
        <w:t>檢討妥處</w:t>
      </w:r>
      <w:proofErr w:type="gramEnd"/>
      <w:r w:rsidRPr="00430D32">
        <w:rPr>
          <w:rFonts w:ascii="標楷體" w:eastAsia="標楷體" w:hAnsi="標楷體" w:hint="eastAsia"/>
        </w:rPr>
        <w:t>。據復：經通知各工程主辦機關依約扣罰違規廠商懲罰性違約金，截至114年6月13日，</w:t>
      </w:r>
      <w:proofErr w:type="gramStart"/>
      <w:r w:rsidRPr="00430D32">
        <w:rPr>
          <w:rFonts w:ascii="標楷體" w:eastAsia="標楷體" w:hAnsi="標楷體" w:hint="eastAsia"/>
        </w:rPr>
        <w:t>已扣回懲罰</w:t>
      </w:r>
      <w:proofErr w:type="gramEnd"/>
      <w:r w:rsidRPr="00430D32">
        <w:rPr>
          <w:rFonts w:ascii="標楷體" w:eastAsia="標楷體" w:hAnsi="標楷體" w:hint="eastAsia"/>
        </w:rPr>
        <w:t>性違約金計47萬餘元，另已於114年5月9日通函所屬各機關應每月審視廠商設置職業安全衛生人員專（兼）職執業情形是否符合規定，並製作「公共工程雲端系統（標案管理模組）工程人員履歷查詢及登錄監造現場人員、品管人員、安衛人員專（兼）職注意事項」供各機關參考運用，以落實工地相關人員查察管控，避免類此情事再次發生。</w:t>
      </w:r>
    </w:p>
    <w:p w14:paraId="2FA672F2" w14:textId="710A7036" w:rsidR="0029756E" w:rsidRPr="00430D32" w:rsidRDefault="0029756E" w:rsidP="00DA4047">
      <w:pPr>
        <w:spacing w:beforeLines="50" w:before="180" w:line="500" w:lineRule="exact"/>
        <w:ind w:firstLineChars="100" w:firstLine="280"/>
        <w:jc w:val="both"/>
        <w:rPr>
          <w:rFonts w:ascii="標楷體" w:eastAsia="標楷體" w:hAnsi="標楷體"/>
          <w:b/>
          <w:sz w:val="28"/>
          <w:szCs w:val="28"/>
        </w:rPr>
      </w:pPr>
      <w:r w:rsidRPr="00430D32">
        <w:rPr>
          <w:rFonts w:ascii="標楷體" w:eastAsia="標楷體" w:hAnsi="標楷體" w:hint="eastAsia"/>
          <w:b/>
          <w:sz w:val="28"/>
          <w:szCs w:val="28"/>
        </w:rPr>
        <w:t>（十）為帶動流行音樂發展及開展表演藝術產業發展，</w:t>
      </w:r>
      <w:proofErr w:type="gramStart"/>
      <w:r w:rsidRPr="00430D32">
        <w:rPr>
          <w:rFonts w:ascii="標楷體" w:eastAsia="標楷體" w:hAnsi="標楷體" w:hint="eastAsia"/>
          <w:b/>
          <w:sz w:val="28"/>
          <w:szCs w:val="28"/>
        </w:rPr>
        <w:t>成立北流中心及北藝中心</w:t>
      </w:r>
      <w:proofErr w:type="gramEnd"/>
      <w:r w:rsidRPr="00430D32">
        <w:rPr>
          <w:rFonts w:ascii="標楷體" w:eastAsia="標楷體" w:hAnsi="標楷體" w:hint="eastAsia"/>
          <w:b/>
          <w:sz w:val="28"/>
          <w:szCs w:val="28"/>
        </w:rPr>
        <w:t>，惟未訂定該兩中心辦理採購作業原則性規範，且該兩中心自訂之採購作業規章仍欠嚴謹，及採購作業未按規定程序辦理等情事，有待檢討改善。</w:t>
      </w:r>
    </w:p>
    <w:p w14:paraId="1F948548" w14:textId="77777777" w:rsidR="0029756E" w:rsidRPr="00430D32" w:rsidRDefault="0029756E" w:rsidP="0029756E">
      <w:pPr>
        <w:widowControl/>
        <w:tabs>
          <w:tab w:val="left" w:pos="1560"/>
        </w:tabs>
        <w:kinsoku w:val="0"/>
        <w:overflowPunct w:val="0"/>
        <w:spacing w:line="460" w:lineRule="exact"/>
        <w:ind w:firstLineChars="200" w:firstLine="480"/>
        <w:jc w:val="both"/>
        <w:rPr>
          <w:rFonts w:ascii="標楷體" w:eastAsia="標楷體" w:hAnsi="標楷體"/>
          <w:szCs w:val="20"/>
        </w:rPr>
      </w:pPr>
      <w:bookmarkStart w:id="12" w:name="_Hlk170905239"/>
      <w:bookmarkEnd w:id="9"/>
      <w:bookmarkEnd w:id="10"/>
      <w:r w:rsidRPr="00430D32">
        <w:rPr>
          <w:rFonts w:ascii="標楷體" w:eastAsia="標楷體" w:hAnsi="標楷體" w:hint="eastAsia"/>
        </w:rPr>
        <w:lastRenderedPageBreak/>
        <w:t>政府為使行政法人執行公共任務更具彈性，鬆綁現行政府採購法（下稱採購法）等法令限制，除符合採購法第4條規定狀況，以及其它法律對行政法人辦理採購另為規範情形，應依各該法令辦理外，不適用採購法規定，而係由個別行政法人依其設置自治條例規定擬訂採購作業實施規章，提經董事會通過後，報請監督機關核定或備查，作為辦理採購作業之依循規範。臺北市政府為經營管理</w:t>
      </w:r>
      <w:proofErr w:type="gramStart"/>
      <w:r w:rsidRPr="00430D32">
        <w:rPr>
          <w:rFonts w:ascii="標楷體" w:eastAsia="標楷體" w:hAnsi="標楷體" w:hint="eastAsia"/>
        </w:rPr>
        <w:t>臺</w:t>
      </w:r>
      <w:proofErr w:type="gramEnd"/>
      <w:r w:rsidRPr="00430D32">
        <w:rPr>
          <w:rFonts w:ascii="標楷體" w:eastAsia="標楷體" w:hAnsi="標楷體" w:hint="eastAsia"/>
        </w:rPr>
        <w:t>北流行音樂中心及</w:t>
      </w:r>
      <w:proofErr w:type="gramStart"/>
      <w:r w:rsidRPr="00430D32">
        <w:rPr>
          <w:rFonts w:ascii="標楷體" w:eastAsia="標楷體" w:hAnsi="標楷體" w:hint="eastAsia"/>
        </w:rPr>
        <w:t>臺</w:t>
      </w:r>
      <w:proofErr w:type="gramEnd"/>
      <w:r w:rsidRPr="00430D32">
        <w:rPr>
          <w:rFonts w:ascii="標楷體" w:eastAsia="標楷體" w:hAnsi="標楷體" w:hint="eastAsia"/>
        </w:rPr>
        <w:t>北表演藝術</w:t>
      </w:r>
      <w:proofErr w:type="gramStart"/>
      <w:r w:rsidRPr="00430D32">
        <w:rPr>
          <w:rFonts w:ascii="標楷體" w:eastAsia="標楷體" w:hAnsi="標楷體" w:hint="eastAsia"/>
        </w:rPr>
        <w:t>中心等場館</w:t>
      </w:r>
      <w:proofErr w:type="gramEnd"/>
      <w:r w:rsidRPr="00430D32">
        <w:rPr>
          <w:rFonts w:ascii="標楷體" w:eastAsia="標楷體" w:hAnsi="標楷體" w:hint="eastAsia"/>
        </w:rPr>
        <w:t>，設立</w:t>
      </w:r>
      <w:proofErr w:type="gramStart"/>
      <w:r w:rsidRPr="00430D32">
        <w:rPr>
          <w:rFonts w:ascii="標楷體" w:eastAsia="標楷體" w:hAnsi="標楷體" w:hint="eastAsia"/>
        </w:rPr>
        <w:t>臺</w:t>
      </w:r>
      <w:proofErr w:type="gramEnd"/>
      <w:r w:rsidRPr="00430D32">
        <w:rPr>
          <w:rFonts w:ascii="標楷體" w:eastAsia="標楷體" w:hAnsi="標楷體" w:hint="eastAsia"/>
        </w:rPr>
        <w:t>北流行音樂中心（下稱北流中心）及</w:t>
      </w:r>
      <w:proofErr w:type="gramStart"/>
      <w:r w:rsidRPr="00430D32">
        <w:rPr>
          <w:rFonts w:ascii="標楷體" w:eastAsia="標楷體" w:hAnsi="標楷體" w:hint="eastAsia"/>
        </w:rPr>
        <w:t>臺</w:t>
      </w:r>
      <w:proofErr w:type="gramEnd"/>
      <w:r w:rsidRPr="00430D32">
        <w:rPr>
          <w:rFonts w:ascii="標楷體" w:eastAsia="標楷體" w:hAnsi="標楷體" w:hint="eastAsia"/>
        </w:rPr>
        <w:t>北表演藝術中心（下稱北藝中心）等2個行政法人，由文化局監督該等行政法人業務推動情形。經</w:t>
      </w:r>
      <w:proofErr w:type="gramStart"/>
      <w:r w:rsidRPr="00430D32">
        <w:rPr>
          <w:rFonts w:ascii="標楷體" w:eastAsia="標楷體" w:hAnsi="標楷體" w:hint="eastAsia"/>
        </w:rPr>
        <w:t>查北流</w:t>
      </w:r>
      <w:proofErr w:type="gramEnd"/>
      <w:r w:rsidRPr="00430D32">
        <w:rPr>
          <w:rFonts w:ascii="標楷體" w:eastAsia="標楷體" w:hAnsi="標楷體" w:hint="eastAsia"/>
        </w:rPr>
        <w:t>中心</w:t>
      </w:r>
      <w:proofErr w:type="gramStart"/>
      <w:r w:rsidRPr="00430D32">
        <w:rPr>
          <w:rFonts w:ascii="標楷體" w:eastAsia="標楷體" w:hAnsi="標楷體" w:hint="eastAsia"/>
        </w:rPr>
        <w:t>與北藝中心</w:t>
      </w:r>
      <w:proofErr w:type="gramEnd"/>
      <w:r w:rsidRPr="00430D32">
        <w:rPr>
          <w:rFonts w:ascii="標楷體" w:eastAsia="標楷體" w:hAnsi="標楷體" w:hint="eastAsia"/>
        </w:rPr>
        <w:t>辦理採購作業情形，核有：1.臺北市政府及文化局未依行政院110年10月29日</w:t>
      </w:r>
      <w:proofErr w:type="gramStart"/>
      <w:r w:rsidRPr="00430D32">
        <w:rPr>
          <w:rFonts w:ascii="標楷體" w:eastAsia="標楷體" w:hAnsi="標楷體" w:hint="eastAsia"/>
        </w:rPr>
        <w:t>函頒「</w:t>
      </w:r>
      <w:proofErr w:type="gramEnd"/>
      <w:r w:rsidRPr="00430D32">
        <w:rPr>
          <w:rFonts w:ascii="標楷體" w:eastAsia="標楷體" w:hAnsi="標楷體" w:hint="eastAsia"/>
        </w:rPr>
        <w:t>行政法人採購作業規章訂定參考原則」（下稱參考原則）訂定行政法人辦理採購作業之原則性規範，</w:t>
      </w:r>
      <w:proofErr w:type="gramStart"/>
      <w:r w:rsidRPr="00430D32">
        <w:rPr>
          <w:rFonts w:ascii="標楷體" w:eastAsia="標楷體" w:hAnsi="標楷體" w:hint="eastAsia"/>
        </w:rPr>
        <w:t>且北流中心</w:t>
      </w:r>
      <w:proofErr w:type="gramEnd"/>
      <w:r w:rsidRPr="00430D32">
        <w:rPr>
          <w:rFonts w:ascii="標楷體" w:eastAsia="標楷體" w:hAnsi="標楷體" w:hint="eastAsia"/>
        </w:rPr>
        <w:t>自訂採購作業規章，未按參考原則規定訂定採購金額未達150萬元以公開方式徵求廠商提供書面報價或企劃書者之公告內容、公告日數及公告方法等事項，</w:t>
      </w:r>
      <w:proofErr w:type="gramStart"/>
      <w:r w:rsidRPr="00430D32">
        <w:rPr>
          <w:rFonts w:ascii="標楷體" w:eastAsia="標楷體" w:hAnsi="標楷體" w:hint="eastAsia"/>
        </w:rPr>
        <w:t>另北藝中心</w:t>
      </w:r>
      <w:proofErr w:type="gramEnd"/>
      <w:r w:rsidRPr="00430D32">
        <w:rPr>
          <w:rFonts w:ascii="標楷體" w:eastAsia="標楷體" w:hAnsi="標楷體" w:hint="eastAsia"/>
        </w:rPr>
        <w:t>雖於採購作業規章訂有利益迴避規定，惟於採購招標過程並無相關查證或檢核紀錄可</w:t>
      </w:r>
      <w:proofErr w:type="gramStart"/>
      <w:r w:rsidRPr="00430D32">
        <w:rPr>
          <w:rFonts w:ascii="標楷體" w:eastAsia="標楷體" w:hAnsi="標楷體" w:hint="eastAsia"/>
        </w:rPr>
        <w:t>稽</w:t>
      </w:r>
      <w:proofErr w:type="gramEnd"/>
      <w:r w:rsidRPr="00430D32">
        <w:rPr>
          <w:rFonts w:ascii="標楷體" w:eastAsia="標楷體" w:hAnsi="標楷體" w:hint="eastAsia"/>
        </w:rPr>
        <w:t>；2.</w:t>
      </w:r>
      <w:proofErr w:type="gramStart"/>
      <w:r w:rsidRPr="00430D32">
        <w:rPr>
          <w:rFonts w:ascii="標楷體" w:eastAsia="標楷體" w:hAnsi="標楷體" w:hint="eastAsia"/>
        </w:rPr>
        <w:t>北流中心及北藝中心</w:t>
      </w:r>
      <w:proofErr w:type="gramEnd"/>
      <w:r w:rsidRPr="00430D32">
        <w:rPr>
          <w:rFonts w:ascii="標楷體" w:eastAsia="標楷體" w:hAnsi="標楷體" w:hint="eastAsia"/>
        </w:rPr>
        <w:t>辦理採購案，</w:t>
      </w:r>
      <w:proofErr w:type="gramStart"/>
      <w:r w:rsidRPr="00430D32">
        <w:rPr>
          <w:rFonts w:ascii="標楷體" w:eastAsia="標楷體" w:hAnsi="標楷體" w:hint="eastAsia"/>
        </w:rPr>
        <w:t>間有於</w:t>
      </w:r>
      <w:proofErr w:type="gramEnd"/>
      <w:r w:rsidRPr="00430D32">
        <w:rPr>
          <w:rFonts w:ascii="標楷體" w:eastAsia="標楷體" w:hAnsi="標楷體" w:hint="eastAsia"/>
        </w:rPr>
        <w:t>採購前</w:t>
      </w:r>
      <w:proofErr w:type="gramStart"/>
      <w:r w:rsidRPr="00430D32">
        <w:rPr>
          <w:rFonts w:ascii="標楷體" w:eastAsia="標楷體" w:hAnsi="標楷體" w:hint="eastAsia"/>
        </w:rPr>
        <w:t>未完成簽核</w:t>
      </w:r>
      <w:proofErr w:type="gramEnd"/>
      <w:r w:rsidRPr="00430D32">
        <w:rPr>
          <w:rFonts w:ascii="標楷體" w:eastAsia="標楷體" w:hAnsi="標楷體" w:hint="eastAsia"/>
        </w:rPr>
        <w:t>程序，且未先送</w:t>
      </w:r>
      <w:proofErr w:type="gramStart"/>
      <w:r w:rsidRPr="00430D32">
        <w:rPr>
          <w:rFonts w:ascii="標楷體" w:eastAsia="標楷體" w:hAnsi="標楷體" w:hint="eastAsia"/>
        </w:rPr>
        <w:t>請核決</w:t>
      </w:r>
      <w:proofErr w:type="gramEnd"/>
      <w:r w:rsidRPr="00430D32">
        <w:rPr>
          <w:rFonts w:ascii="標楷體" w:eastAsia="標楷體" w:hAnsi="標楷體" w:hint="eastAsia"/>
        </w:rPr>
        <w:t>權責主管核定採購價格或底價，即</w:t>
      </w:r>
      <w:proofErr w:type="gramStart"/>
      <w:r w:rsidRPr="00430D32">
        <w:rPr>
          <w:rFonts w:ascii="標楷體" w:eastAsia="標楷體" w:hAnsi="標楷體" w:hint="eastAsia"/>
        </w:rPr>
        <w:t>逕</w:t>
      </w:r>
      <w:proofErr w:type="gramEnd"/>
      <w:r w:rsidRPr="00430D32">
        <w:rPr>
          <w:rFonts w:ascii="標楷體" w:eastAsia="標楷體" w:hAnsi="標楷體" w:hint="eastAsia"/>
        </w:rPr>
        <w:t>由請購單位指定廠商辦理比價、議價作業，</w:t>
      </w:r>
      <w:proofErr w:type="gramStart"/>
      <w:r w:rsidRPr="00430D32">
        <w:rPr>
          <w:rFonts w:ascii="標楷體" w:eastAsia="標楷體" w:hAnsi="標楷體" w:hint="eastAsia"/>
        </w:rPr>
        <w:t>迨</w:t>
      </w:r>
      <w:proofErr w:type="gramEnd"/>
      <w:r w:rsidRPr="00430D32">
        <w:rPr>
          <w:rFonts w:ascii="標楷體" w:eastAsia="標楷體" w:hAnsi="標楷體" w:hint="eastAsia"/>
        </w:rPr>
        <w:t>至相關作業完成</w:t>
      </w:r>
      <w:proofErr w:type="gramStart"/>
      <w:r w:rsidRPr="00430D32">
        <w:rPr>
          <w:rFonts w:ascii="標楷體" w:eastAsia="標楷體" w:hAnsi="標楷體" w:hint="eastAsia"/>
        </w:rPr>
        <w:t>後始補行</w:t>
      </w:r>
      <w:proofErr w:type="gramEnd"/>
      <w:r w:rsidRPr="00430D32">
        <w:rPr>
          <w:rFonts w:ascii="標楷體" w:eastAsia="標楷體" w:hAnsi="標楷體" w:hint="eastAsia"/>
        </w:rPr>
        <w:t>簽核；3.</w:t>
      </w:r>
      <w:proofErr w:type="gramStart"/>
      <w:r w:rsidRPr="00430D32">
        <w:rPr>
          <w:rFonts w:ascii="標楷體" w:eastAsia="標楷體" w:hAnsi="標楷體" w:hint="eastAsia"/>
        </w:rPr>
        <w:t>北藝中心</w:t>
      </w:r>
      <w:proofErr w:type="gramEnd"/>
      <w:r w:rsidRPr="00430D32">
        <w:rPr>
          <w:rFonts w:ascii="標楷體" w:eastAsia="標楷體" w:hAnsi="標楷體" w:hint="eastAsia"/>
        </w:rPr>
        <w:t>接受文化局全額補助，辦理「2023台灣燈會-表演</w:t>
      </w:r>
      <w:proofErr w:type="gramStart"/>
      <w:r w:rsidRPr="00430D32">
        <w:rPr>
          <w:rFonts w:ascii="標楷體" w:eastAsia="標楷體" w:hAnsi="標楷體" w:hint="eastAsia"/>
        </w:rPr>
        <w:t>節目及踩街</w:t>
      </w:r>
      <w:proofErr w:type="gramEnd"/>
      <w:r w:rsidRPr="00430D32">
        <w:rPr>
          <w:rFonts w:ascii="標楷體" w:eastAsia="標楷體" w:hAnsi="標楷體" w:hint="eastAsia"/>
        </w:rPr>
        <w:t>遊行規劃執行」採購案（決標金額3,260萬元），應適用採購法規定，惟實際於該採購案議價、決標及驗收過程，</w:t>
      </w:r>
      <w:proofErr w:type="gramStart"/>
      <w:r w:rsidRPr="00430D32">
        <w:rPr>
          <w:rFonts w:ascii="標楷體" w:eastAsia="標楷體" w:hAnsi="標楷體" w:hint="eastAsia"/>
        </w:rPr>
        <w:t>均未依</w:t>
      </w:r>
      <w:proofErr w:type="gramEnd"/>
      <w:r w:rsidRPr="00430D32">
        <w:rPr>
          <w:rFonts w:ascii="標楷體" w:eastAsia="標楷體" w:hAnsi="標楷體" w:hint="eastAsia"/>
        </w:rPr>
        <w:t>採購法施行細則第2條等規定報請該局派員監辦；又辦理「2022</w:t>
      </w:r>
      <w:proofErr w:type="gramStart"/>
      <w:r w:rsidRPr="00430D32">
        <w:rPr>
          <w:rFonts w:ascii="標楷體" w:eastAsia="標楷體" w:hAnsi="標楷體" w:hint="eastAsia"/>
        </w:rPr>
        <w:t>臺北藝</w:t>
      </w:r>
      <w:proofErr w:type="gramEnd"/>
      <w:r w:rsidRPr="00430D32">
        <w:rPr>
          <w:rFonts w:ascii="標楷體" w:eastAsia="標楷體" w:hAnsi="標楷體" w:hint="eastAsia"/>
        </w:rPr>
        <w:t>穗節行銷統籌勞務採購案」（決標金額228萬餘元）、「</w:t>
      </w:r>
      <w:proofErr w:type="gramStart"/>
      <w:r w:rsidRPr="00430D32">
        <w:rPr>
          <w:rFonts w:ascii="標楷體" w:eastAsia="標楷體" w:hAnsi="標楷體" w:hint="eastAsia"/>
        </w:rPr>
        <w:t>臺</w:t>
      </w:r>
      <w:proofErr w:type="gramEnd"/>
      <w:r w:rsidRPr="00430D32">
        <w:rPr>
          <w:rFonts w:ascii="標楷體" w:eastAsia="標楷體" w:hAnsi="標楷體" w:hint="eastAsia"/>
        </w:rPr>
        <w:t>北表演藝術中心公播系統全區管線布建案」（決標金額497萬餘元，經契約變更後增加90萬餘元）等適用採購法案件，核有未依採購法第61條、第62條及其施行細則第84條第3項規定自決標日起30日內刊登決標公告，或漏未就契約變更增加之金額辦理決標資料彙送主管機關等情，經函請檢討改善。據復：1.已於114年2月訂定「</w:t>
      </w:r>
      <w:proofErr w:type="gramStart"/>
      <w:r w:rsidRPr="00430D32">
        <w:rPr>
          <w:rFonts w:ascii="標楷體" w:eastAsia="標楷體" w:hAnsi="標楷體" w:hint="eastAsia"/>
        </w:rPr>
        <w:t>臺</w:t>
      </w:r>
      <w:proofErr w:type="gramEnd"/>
      <w:r w:rsidRPr="00430D32">
        <w:rPr>
          <w:rFonts w:ascii="標楷體" w:eastAsia="標楷體" w:hAnsi="標楷體" w:hint="eastAsia"/>
        </w:rPr>
        <w:t>北流行音樂中心及</w:t>
      </w:r>
      <w:proofErr w:type="gramStart"/>
      <w:r w:rsidRPr="00430D32">
        <w:rPr>
          <w:rFonts w:ascii="標楷體" w:eastAsia="標楷體" w:hAnsi="標楷體" w:hint="eastAsia"/>
        </w:rPr>
        <w:t>臺</w:t>
      </w:r>
      <w:proofErr w:type="gramEnd"/>
      <w:r w:rsidRPr="00430D32">
        <w:rPr>
          <w:rFonts w:ascii="標楷體" w:eastAsia="標楷體" w:hAnsi="標楷體" w:hint="eastAsia"/>
        </w:rPr>
        <w:t>北表演藝術中心辦理採購作業原則性規範」，並將</w:t>
      </w:r>
      <w:proofErr w:type="gramStart"/>
      <w:r w:rsidRPr="00430D32">
        <w:rPr>
          <w:rFonts w:ascii="標楷體" w:eastAsia="標楷體" w:hAnsi="標楷體" w:hint="eastAsia"/>
        </w:rPr>
        <w:t>督責北流中心</w:t>
      </w:r>
      <w:proofErr w:type="gramEnd"/>
      <w:r w:rsidRPr="00430D32">
        <w:rPr>
          <w:rFonts w:ascii="標楷體" w:eastAsia="標楷體" w:hAnsi="標楷體" w:hint="eastAsia"/>
        </w:rPr>
        <w:t>將採購金額未達150萬元案件之公告方式等納入規章修正或訂定施行細則等相關規定，及</w:t>
      </w:r>
      <w:proofErr w:type="gramStart"/>
      <w:r w:rsidRPr="00430D32">
        <w:rPr>
          <w:rFonts w:ascii="標楷體" w:eastAsia="標楷體" w:hAnsi="標楷體" w:hint="eastAsia"/>
        </w:rPr>
        <w:t>督責北藝中心</w:t>
      </w:r>
      <w:proofErr w:type="gramEnd"/>
      <w:r w:rsidRPr="00430D32">
        <w:rPr>
          <w:rFonts w:ascii="標楷體" w:eastAsia="標楷體" w:hAnsi="標楷體" w:hint="eastAsia"/>
        </w:rPr>
        <w:t>建立採購利益迴避檢核機制，以強化行政法人採購作業之資訊公開與防弊措施；2.文化局將</w:t>
      </w:r>
      <w:proofErr w:type="gramStart"/>
      <w:r w:rsidRPr="00430D32">
        <w:rPr>
          <w:rFonts w:ascii="標楷體" w:eastAsia="標楷體" w:hAnsi="標楷體" w:hint="eastAsia"/>
        </w:rPr>
        <w:t>督責北流中心及北藝中心</w:t>
      </w:r>
      <w:proofErr w:type="gramEnd"/>
      <w:r w:rsidRPr="00430D32">
        <w:rPr>
          <w:rFonts w:ascii="標楷體" w:eastAsia="標楷體" w:hAnsi="標楷體" w:hint="eastAsia"/>
        </w:rPr>
        <w:t>加強內部人員採購知能，</w:t>
      </w:r>
      <w:proofErr w:type="gramStart"/>
      <w:r w:rsidRPr="00430D32">
        <w:rPr>
          <w:rFonts w:ascii="標楷體" w:eastAsia="標楷體" w:hAnsi="標楷體" w:hint="eastAsia"/>
        </w:rPr>
        <w:t>確依規定</w:t>
      </w:r>
      <w:proofErr w:type="gramEnd"/>
      <w:r w:rsidRPr="00430D32">
        <w:rPr>
          <w:rFonts w:ascii="標楷體" w:eastAsia="標楷體" w:hAnsi="標楷體" w:hint="eastAsia"/>
        </w:rPr>
        <w:t>辦理採購作業，並納入追蹤考核項目；3.</w:t>
      </w:r>
      <w:proofErr w:type="gramStart"/>
      <w:r w:rsidRPr="00430D32">
        <w:rPr>
          <w:rFonts w:ascii="標楷體" w:eastAsia="標楷體" w:hAnsi="標楷體" w:hint="eastAsia"/>
        </w:rPr>
        <w:t>北藝中心</w:t>
      </w:r>
      <w:proofErr w:type="gramEnd"/>
      <w:r w:rsidRPr="00430D32">
        <w:rPr>
          <w:rFonts w:ascii="標楷體" w:eastAsia="標楷體" w:hAnsi="標楷體" w:hint="eastAsia"/>
        </w:rPr>
        <w:t>已完成內部控制制度流程紀錄專案，後續將遵循採購標準作業程序及相關法令規定辦理，以避免類似情事再度發生。</w:t>
      </w:r>
    </w:p>
    <w:p w14:paraId="1FC9ED0E" w14:textId="77777777" w:rsidR="0029756E" w:rsidRPr="00430D32" w:rsidRDefault="0029756E" w:rsidP="00F67ECA">
      <w:pPr>
        <w:overflowPunct w:val="0"/>
        <w:spacing w:beforeLines="50" w:before="180" w:line="464" w:lineRule="exact"/>
        <w:ind w:firstLineChars="100" w:firstLine="274"/>
        <w:jc w:val="both"/>
        <w:rPr>
          <w:b/>
        </w:rPr>
      </w:pPr>
      <w:bookmarkStart w:id="13" w:name="_Hlk170905267"/>
      <w:bookmarkEnd w:id="6"/>
      <w:bookmarkEnd w:id="12"/>
      <w:r w:rsidRPr="00430D32">
        <w:rPr>
          <w:rFonts w:ascii="標楷體" w:eastAsia="標楷體" w:hAnsi="標楷體" w:cs="Times New Roman" w:hint="eastAsia"/>
          <w:b/>
          <w:spacing w:val="-3"/>
          <w:sz w:val="28"/>
          <w:szCs w:val="28"/>
        </w:rPr>
        <w:t>（十一）</w:t>
      </w:r>
      <w:r w:rsidRPr="00430D32">
        <w:rPr>
          <w:rFonts w:ascii="標楷體" w:eastAsia="標楷體" w:hAnsi="標楷體" w:hint="eastAsia"/>
          <w:b/>
          <w:sz w:val="28"/>
          <w:szCs w:val="28"/>
        </w:rPr>
        <w:t>辦理政府基層機關資通安全主動防禦計畫，加速建構國家資通安全環境，</w:t>
      </w:r>
      <w:proofErr w:type="gramStart"/>
      <w:r w:rsidRPr="00430D32">
        <w:rPr>
          <w:rFonts w:ascii="標楷體" w:eastAsia="標楷體" w:hAnsi="標楷體" w:hint="eastAsia"/>
          <w:b/>
          <w:sz w:val="28"/>
          <w:szCs w:val="28"/>
        </w:rPr>
        <w:t>惟間有部分</w:t>
      </w:r>
      <w:proofErr w:type="gramEnd"/>
      <w:r w:rsidRPr="00430D32">
        <w:rPr>
          <w:rFonts w:ascii="標楷體" w:eastAsia="標楷體" w:hAnsi="標楷體" w:hint="eastAsia"/>
          <w:b/>
          <w:sz w:val="28"/>
          <w:szCs w:val="28"/>
        </w:rPr>
        <w:t>機關迄未</w:t>
      </w:r>
      <w:proofErr w:type="gramStart"/>
      <w:r w:rsidRPr="00430D32">
        <w:rPr>
          <w:rFonts w:ascii="標楷體" w:eastAsia="標楷體" w:hAnsi="標楷體" w:hint="eastAsia"/>
          <w:b/>
          <w:sz w:val="28"/>
          <w:szCs w:val="28"/>
        </w:rPr>
        <w:t>受府級或</w:t>
      </w:r>
      <w:proofErr w:type="gramEnd"/>
      <w:r w:rsidRPr="00430D32">
        <w:rPr>
          <w:rFonts w:ascii="標楷體" w:eastAsia="標楷體" w:hAnsi="標楷體" w:hint="eastAsia"/>
          <w:b/>
          <w:sz w:val="28"/>
          <w:szCs w:val="28"/>
        </w:rPr>
        <w:t>一級機關資通安全稽核，又部分機關仍使用已終止支援之舊版作業系統，及電腦設備安裝行政院禁用之視訊軟體或非公務用資通訊軟體等情，</w:t>
      </w:r>
      <w:proofErr w:type="gramStart"/>
      <w:r w:rsidRPr="00430D32">
        <w:rPr>
          <w:rFonts w:ascii="標楷體" w:eastAsia="標楷體" w:hAnsi="標楷體" w:hint="eastAsia"/>
          <w:b/>
          <w:sz w:val="28"/>
          <w:szCs w:val="28"/>
        </w:rPr>
        <w:t>均待檢討妥處</w:t>
      </w:r>
      <w:proofErr w:type="gramEnd"/>
      <w:r w:rsidRPr="00430D32">
        <w:rPr>
          <w:rFonts w:ascii="標楷體" w:eastAsia="標楷體" w:hAnsi="標楷體" w:hint="eastAsia"/>
          <w:b/>
          <w:sz w:val="28"/>
          <w:szCs w:val="28"/>
        </w:rPr>
        <w:t>。</w:t>
      </w:r>
    </w:p>
    <w:bookmarkEnd w:id="13"/>
    <w:p w14:paraId="2097FA05" w14:textId="77777777" w:rsidR="0029756E" w:rsidRPr="00430D32" w:rsidRDefault="0029756E" w:rsidP="0056173F">
      <w:pPr>
        <w:spacing w:line="420" w:lineRule="exact"/>
        <w:ind w:firstLineChars="200" w:firstLine="480"/>
        <w:jc w:val="both"/>
        <w:rPr>
          <w:rFonts w:ascii="標楷體" w:eastAsia="標楷體" w:hAnsi="標楷體"/>
          <w:bCs/>
          <w:szCs w:val="24"/>
        </w:rPr>
      </w:pPr>
      <w:r w:rsidRPr="00430D32">
        <w:rPr>
          <w:rFonts w:ascii="標楷體" w:eastAsia="標楷體" w:hAnsi="標楷體" w:hint="eastAsia"/>
          <w:szCs w:val="24"/>
        </w:rPr>
        <w:lastRenderedPageBreak/>
        <w:t>臺</w:t>
      </w:r>
      <w:bookmarkEnd w:id="7"/>
      <w:r w:rsidRPr="00430D32">
        <w:rPr>
          <w:rFonts w:ascii="標楷體" w:eastAsia="標楷體" w:hAnsi="標楷體" w:hint="eastAsia"/>
          <w:bCs/>
          <w:szCs w:val="24"/>
        </w:rPr>
        <w:t>北市政府為配合行政院推動國家資通安全政策，加速建構國家資通安全環境，辦理「政府基層機關資通安全主動防禦計畫」，執行期程自112至113年度，獲中央補助2,709萬餘元，並自籌經費2,709萬餘元，共計5,418萬餘元，推動以精進資通安全防護能量等為目標。經查臺北市政府推動資通安全維護計畫執行情形，核有下列事項：</w:t>
      </w:r>
    </w:p>
    <w:p w14:paraId="015F53AF" w14:textId="77777777" w:rsidR="0029756E" w:rsidRPr="00430D32" w:rsidRDefault="0029756E" w:rsidP="0056173F">
      <w:pPr>
        <w:spacing w:line="420" w:lineRule="exact"/>
        <w:ind w:firstLineChars="200" w:firstLine="480"/>
        <w:jc w:val="both"/>
        <w:rPr>
          <w:rFonts w:ascii="標楷體" w:eastAsia="標楷體" w:hAnsi="標楷體"/>
          <w:bCs/>
          <w:spacing w:val="-2"/>
          <w:szCs w:val="24"/>
        </w:rPr>
      </w:pPr>
      <w:r w:rsidRPr="00430D32">
        <w:rPr>
          <w:rFonts w:ascii="標楷體" w:eastAsia="標楷體" w:hAnsi="標楷體" w:hint="eastAsia"/>
          <w:b/>
          <w:szCs w:val="24"/>
        </w:rPr>
        <w:t>1.部分機關迄未</w:t>
      </w:r>
      <w:proofErr w:type="gramStart"/>
      <w:r w:rsidRPr="00430D32">
        <w:rPr>
          <w:rFonts w:ascii="標楷體" w:eastAsia="標楷體" w:hAnsi="標楷體" w:hint="eastAsia"/>
          <w:b/>
          <w:szCs w:val="24"/>
        </w:rPr>
        <w:t>受府級或</w:t>
      </w:r>
      <w:proofErr w:type="gramEnd"/>
      <w:r w:rsidRPr="00430D32">
        <w:rPr>
          <w:rFonts w:ascii="標楷體" w:eastAsia="標楷體" w:hAnsi="標楷體" w:hint="eastAsia"/>
          <w:b/>
          <w:szCs w:val="24"/>
        </w:rPr>
        <w:t>一級機關資通安全稽核，且近</w:t>
      </w:r>
      <w:proofErr w:type="gramStart"/>
      <w:r w:rsidRPr="00430D32">
        <w:rPr>
          <w:rFonts w:ascii="標楷體" w:eastAsia="標楷體" w:hAnsi="標楷體" w:hint="eastAsia"/>
          <w:b/>
          <w:szCs w:val="24"/>
        </w:rPr>
        <w:t>3</w:t>
      </w:r>
      <w:proofErr w:type="gramEnd"/>
      <w:r w:rsidRPr="00430D32">
        <w:rPr>
          <w:rFonts w:ascii="標楷體" w:eastAsia="標楷體" w:hAnsi="標楷體" w:hint="eastAsia"/>
          <w:b/>
          <w:szCs w:val="24"/>
        </w:rPr>
        <w:t>年度</w:t>
      </w:r>
      <w:proofErr w:type="gramStart"/>
      <w:r w:rsidRPr="00430D32">
        <w:rPr>
          <w:rFonts w:ascii="標楷體" w:eastAsia="標楷體" w:hAnsi="標楷體" w:hint="eastAsia"/>
          <w:b/>
          <w:szCs w:val="24"/>
        </w:rPr>
        <w:t>曾發生資安事件</w:t>
      </w:r>
      <w:proofErr w:type="gramEnd"/>
      <w:r w:rsidRPr="00430D32">
        <w:rPr>
          <w:rFonts w:ascii="標楷體" w:eastAsia="標楷體" w:hAnsi="標楷體" w:hint="eastAsia"/>
          <w:b/>
          <w:szCs w:val="24"/>
        </w:rPr>
        <w:t>：</w:t>
      </w:r>
      <w:r w:rsidRPr="00430D32">
        <w:rPr>
          <w:rFonts w:ascii="標楷體" w:eastAsia="標楷體" w:hAnsi="標楷體" w:hint="eastAsia"/>
          <w:bCs/>
          <w:spacing w:val="-2"/>
          <w:szCs w:val="24"/>
        </w:rPr>
        <w:t>依據資通安全管理法第13條第1項規定略</w:t>
      </w:r>
      <w:proofErr w:type="gramStart"/>
      <w:r w:rsidRPr="00430D32">
        <w:rPr>
          <w:rFonts w:ascii="標楷體" w:eastAsia="標楷體" w:hAnsi="標楷體" w:hint="eastAsia"/>
          <w:bCs/>
          <w:spacing w:val="-2"/>
          <w:szCs w:val="24"/>
        </w:rPr>
        <w:t>以</w:t>
      </w:r>
      <w:proofErr w:type="gramEnd"/>
      <w:r w:rsidRPr="00430D32">
        <w:rPr>
          <w:rFonts w:ascii="標楷體" w:eastAsia="標楷體" w:hAnsi="標楷體" w:hint="eastAsia"/>
          <w:bCs/>
          <w:spacing w:val="-2"/>
          <w:szCs w:val="24"/>
        </w:rPr>
        <w:t>，公務機關應稽核其所屬或監督機關之資通安全維護計畫實施情形。</w:t>
      </w:r>
      <w:proofErr w:type="gramStart"/>
      <w:r w:rsidRPr="00430D32">
        <w:rPr>
          <w:rFonts w:ascii="標楷體" w:eastAsia="標楷體" w:hAnsi="標楷體" w:hint="eastAsia"/>
          <w:bCs/>
          <w:spacing w:val="-2"/>
          <w:szCs w:val="24"/>
        </w:rPr>
        <w:t>113</w:t>
      </w:r>
      <w:proofErr w:type="gramEnd"/>
      <w:r w:rsidRPr="00430D32">
        <w:rPr>
          <w:rFonts w:ascii="標楷體" w:eastAsia="標楷體" w:hAnsi="標楷體" w:hint="eastAsia"/>
          <w:bCs/>
          <w:spacing w:val="-2"/>
          <w:szCs w:val="24"/>
        </w:rPr>
        <w:t>年度臺北市政府及所屬各機關之資通安全責任等級，計有</w:t>
      </w:r>
      <w:proofErr w:type="gramStart"/>
      <w:r w:rsidRPr="00430D32">
        <w:rPr>
          <w:rFonts w:ascii="標楷體" w:eastAsia="標楷體" w:hAnsi="標楷體" w:hint="eastAsia"/>
          <w:bCs/>
          <w:spacing w:val="-2"/>
          <w:szCs w:val="24"/>
        </w:rPr>
        <w:t>398個屬資通</w:t>
      </w:r>
      <w:proofErr w:type="gramEnd"/>
      <w:r w:rsidRPr="00430D32">
        <w:rPr>
          <w:rFonts w:ascii="標楷體" w:eastAsia="標楷體" w:hAnsi="標楷體" w:hint="eastAsia"/>
          <w:bCs/>
          <w:spacing w:val="-2"/>
          <w:szCs w:val="24"/>
        </w:rPr>
        <w:t>安全管理法規範之機關，屬於B級27個、C級46個、D級310個機關</w:t>
      </w:r>
      <w:proofErr w:type="gramStart"/>
      <w:r w:rsidRPr="00430D32">
        <w:rPr>
          <w:rFonts w:ascii="標楷體" w:eastAsia="標楷體" w:hAnsi="標楷體" w:hint="eastAsia"/>
          <w:bCs/>
          <w:spacing w:val="-2"/>
          <w:szCs w:val="24"/>
        </w:rPr>
        <w:t>（</w:t>
      </w:r>
      <w:proofErr w:type="gramEnd"/>
      <w:r w:rsidRPr="00430D32">
        <w:rPr>
          <w:rFonts w:ascii="標楷體" w:eastAsia="標楷體" w:hAnsi="標楷體" w:hint="eastAsia"/>
          <w:bCs/>
          <w:spacing w:val="-2"/>
          <w:szCs w:val="24"/>
        </w:rPr>
        <w:t>無A級機關；E級15個機關，</w:t>
      </w:r>
      <w:proofErr w:type="gramStart"/>
      <w:r w:rsidRPr="00430D32">
        <w:rPr>
          <w:rFonts w:ascii="標楷體" w:eastAsia="標楷體" w:hAnsi="標楷體" w:hint="eastAsia"/>
          <w:bCs/>
          <w:spacing w:val="-2"/>
          <w:szCs w:val="24"/>
        </w:rPr>
        <w:t>均為學校）</w:t>
      </w:r>
      <w:proofErr w:type="gramEnd"/>
      <w:r w:rsidRPr="00430D32">
        <w:rPr>
          <w:rFonts w:ascii="標楷體" w:eastAsia="標楷體" w:hAnsi="標楷體" w:hint="eastAsia"/>
          <w:bCs/>
          <w:spacing w:val="-2"/>
          <w:szCs w:val="24"/>
        </w:rPr>
        <w:t>。查C級機關中，臺北市住宅及都市更新中心等2個機關，及D級機關中，環境保護局北投垃圾焚化廠1個機關，自108年1月1日資通安全管理法施行迄至</w:t>
      </w:r>
      <w:proofErr w:type="gramStart"/>
      <w:r w:rsidRPr="00430D32">
        <w:rPr>
          <w:rFonts w:ascii="標楷體" w:eastAsia="標楷體" w:hAnsi="標楷體" w:hint="eastAsia"/>
          <w:bCs/>
          <w:spacing w:val="-2"/>
          <w:szCs w:val="24"/>
        </w:rPr>
        <w:t>113</w:t>
      </w:r>
      <w:proofErr w:type="gramEnd"/>
      <w:r w:rsidRPr="00430D32">
        <w:rPr>
          <w:rFonts w:ascii="標楷體" w:eastAsia="標楷體" w:hAnsi="標楷體" w:hint="eastAsia"/>
          <w:bCs/>
          <w:spacing w:val="-2"/>
          <w:szCs w:val="24"/>
        </w:rPr>
        <w:t>年度，仍未</w:t>
      </w:r>
      <w:proofErr w:type="gramStart"/>
      <w:r w:rsidRPr="00430D32">
        <w:rPr>
          <w:rFonts w:ascii="標楷體" w:eastAsia="標楷體" w:hAnsi="標楷體" w:hint="eastAsia"/>
          <w:bCs/>
          <w:spacing w:val="-2"/>
          <w:szCs w:val="24"/>
        </w:rPr>
        <w:t>受府級或</w:t>
      </w:r>
      <w:proofErr w:type="gramEnd"/>
      <w:r w:rsidRPr="00430D32">
        <w:rPr>
          <w:rFonts w:ascii="標楷體" w:eastAsia="標楷體" w:hAnsi="標楷體" w:hint="eastAsia"/>
          <w:bCs/>
          <w:spacing w:val="-2"/>
          <w:szCs w:val="24"/>
        </w:rPr>
        <w:t>一級機關資通安全稽核，且該等機關於111至113年度均</w:t>
      </w:r>
      <w:proofErr w:type="gramStart"/>
      <w:r w:rsidRPr="00430D32">
        <w:rPr>
          <w:rFonts w:ascii="標楷體" w:eastAsia="標楷體" w:hAnsi="標楷體" w:hint="eastAsia"/>
          <w:bCs/>
          <w:spacing w:val="-2"/>
          <w:szCs w:val="24"/>
        </w:rPr>
        <w:t>曾發生資安事件</w:t>
      </w:r>
      <w:proofErr w:type="gramEnd"/>
      <w:r w:rsidRPr="00430D32">
        <w:rPr>
          <w:rFonts w:ascii="標楷體" w:eastAsia="標楷體" w:hAnsi="標楷體" w:hint="eastAsia"/>
          <w:bCs/>
          <w:spacing w:val="-2"/>
          <w:szCs w:val="24"/>
        </w:rPr>
        <w:t>，經函請</w:t>
      </w:r>
      <w:proofErr w:type="gramStart"/>
      <w:r w:rsidRPr="00430D32">
        <w:rPr>
          <w:rFonts w:ascii="標楷體" w:eastAsia="標楷體" w:hAnsi="標楷體" w:hint="eastAsia"/>
          <w:bCs/>
          <w:spacing w:val="-2"/>
          <w:szCs w:val="24"/>
        </w:rPr>
        <w:t>檢討妥處</w:t>
      </w:r>
      <w:proofErr w:type="gramEnd"/>
      <w:r w:rsidRPr="00430D32">
        <w:rPr>
          <w:rFonts w:ascii="標楷體" w:eastAsia="標楷體" w:hAnsi="標楷體" w:hint="eastAsia"/>
          <w:bCs/>
          <w:spacing w:val="-2"/>
          <w:szCs w:val="24"/>
        </w:rPr>
        <w:t>。據復：已安排於</w:t>
      </w:r>
      <w:proofErr w:type="gramStart"/>
      <w:r w:rsidRPr="00430D32">
        <w:rPr>
          <w:rFonts w:ascii="標楷體" w:eastAsia="標楷體" w:hAnsi="標楷體" w:hint="eastAsia"/>
          <w:bCs/>
          <w:spacing w:val="-2"/>
          <w:szCs w:val="24"/>
        </w:rPr>
        <w:t>114</w:t>
      </w:r>
      <w:proofErr w:type="gramEnd"/>
      <w:r w:rsidRPr="00430D32">
        <w:rPr>
          <w:rFonts w:ascii="標楷體" w:eastAsia="標楷體" w:hAnsi="標楷體" w:hint="eastAsia"/>
          <w:bCs/>
          <w:spacing w:val="-2"/>
          <w:szCs w:val="24"/>
        </w:rPr>
        <w:t>年度辦理</w:t>
      </w:r>
      <w:proofErr w:type="gramStart"/>
      <w:r w:rsidRPr="00430D32">
        <w:rPr>
          <w:rFonts w:ascii="標楷體" w:eastAsia="標楷體" w:hAnsi="標楷體" w:hint="eastAsia"/>
          <w:bCs/>
          <w:spacing w:val="-2"/>
          <w:szCs w:val="24"/>
        </w:rPr>
        <w:t>府級資</w:t>
      </w:r>
      <w:proofErr w:type="gramEnd"/>
      <w:r w:rsidRPr="00430D32">
        <w:rPr>
          <w:rFonts w:ascii="標楷體" w:eastAsia="標楷體" w:hAnsi="標楷體" w:hint="eastAsia"/>
          <w:bCs/>
          <w:spacing w:val="-2"/>
          <w:szCs w:val="24"/>
        </w:rPr>
        <w:t>通安全稽核臺北市住宅及都市更新中心及</w:t>
      </w:r>
      <w:proofErr w:type="gramStart"/>
      <w:r w:rsidRPr="00430D32">
        <w:rPr>
          <w:rFonts w:ascii="標楷體" w:eastAsia="標楷體" w:hAnsi="標楷體" w:hint="eastAsia"/>
          <w:bCs/>
          <w:spacing w:val="-2"/>
          <w:szCs w:val="24"/>
        </w:rPr>
        <w:t>臺</w:t>
      </w:r>
      <w:proofErr w:type="gramEnd"/>
      <w:r w:rsidRPr="00430D32">
        <w:rPr>
          <w:rFonts w:ascii="標楷體" w:eastAsia="標楷體" w:hAnsi="標楷體" w:hint="eastAsia"/>
          <w:bCs/>
          <w:spacing w:val="-2"/>
          <w:szCs w:val="24"/>
        </w:rPr>
        <w:t>北表演藝術中心等2個機關，並將於</w:t>
      </w:r>
      <w:proofErr w:type="gramStart"/>
      <w:r w:rsidRPr="00430D32">
        <w:rPr>
          <w:rFonts w:ascii="標楷體" w:eastAsia="標楷體" w:hAnsi="標楷體" w:hint="eastAsia"/>
          <w:bCs/>
          <w:spacing w:val="-2"/>
          <w:szCs w:val="24"/>
        </w:rPr>
        <w:t>府級資安長</w:t>
      </w:r>
      <w:proofErr w:type="gramEnd"/>
      <w:r w:rsidRPr="00430D32">
        <w:rPr>
          <w:rFonts w:ascii="標楷體" w:eastAsia="標楷體" w:hAnsi="標楷體" w:hint="eastAsia"/>
          <w:bCs/>
          <w:spacing w:val="-2"/>
          <w:szCs w:val="24"/>
        </w:rPr>
        <w:t>會議要求各一級機關應稽核其所屬，持續管考追蹤。</w:t>
      </w:r>
    </w:p>
    <w:p w14:paraId="411A0716" w14:textId="77777777" w:rsidR="0029756E" w:rsidRPr="00430D32" w:rsidRDefault="0029756E" w:rsidP="0056173F">
      <w:pPr>
        <w:spacing w:line="420" w:lineRule="exact"/>
        <w:ind w:firstLineChars="200" w:firstLine="472"/>
        <w:jc w:val="both"/>
        <w:rPr>
          <w:rFonts w:ascii="標楷體" w:eastAsia="標楷體" w:hAnsi="標楷體"/>
          <w:bCs/>
          <w:spacing w:val="-2"/>
          <w:szCs w:val="24"/>
        </w:rPr>
      </w:pPr>
      <w:r w:rsidRPr="00430D32">
        <w:rPr>
          <w:rFonts w:ascii="標楷體" w:eastAsia="標楷體" w:hAnsi="標楷體" w:hint="eastAsia"/>
          <w:b/>
          <w:spacing w:val="-2"/>
          <w:szCs w:val="24"/>
        </w:rPr>
        <w:t>2.部分機關仍使用已終止支援之舊版作業系統：</w:t>
      </w:r>
      <w:r w:rsidRPr="00430D32">
        <w:rPr>
          <w:rFonts w:ascii="標楷體" w:eastAsia="標楷體" w:hAnsi="標楷體" w:hint="eastAsia"/>
          <w:bCs/>
          <w:spacing w:val="-2"/>
          <w:szCs w:val="24"/>
        </w:rPr>
        <w:t>據微軟及CentOS官方網站公告，Windows 8、Windows 7及CentOS</w:t>
      </w:r>
      <w:r w:rsidRPr="00430D32">
        <w:rPr>
          <w:rFonts w:ascii="標楷體" w:eastAsia="標楷體" w:hAnsi="標楷體"/>
          <w:bCs/>
          <w:spacing w:val="-2"/>
          <w:szCs w:val="24"/>
        </w:rPr>
        <w:t xml:space="preserve"> </w:t>
      </w:r>
      <w:r w:rsidRPr="00430D32">
        <w:rPr>
          <w:rFonts w:ascii="標楷體" w:eastAsia="標楷體" w:hAnsi="標楷體" w:hint="eastAsia"/>
          <w:bCs/>
          <w:spacing w:val="-2"/>
          <w:szCs w:val="24"/>
        </w:rPr>
        <w:t>6等版本作業系統已陸續自105年1月12日至113年6月30日間終止服務，不再提供系統安全性支援與更新服務。復據國家資通安全研究院於110年11月10日至113年8月14日間陸續發布之「漏洞警訊公告」指出，微軟公司Windows Server 2012、Windows</w:t>
      </w:r>
      <w:r w:rsidRPr="00430D32">
        <w:rPr>
          <w:rFonts w:ascii="標楷體" w:eastAsia="標楷體" w:hAnsi="標楷體"/>
          <w:bCs/>
          <w:spacing w:val="-2"/>
          <w:szCs w:val="24"/>
        </w:rPr>
        <w:t xml:space="preserve"> </w:t>
      </w:r>
      <w:r w:rsidRPr="00430D32">
        <w:rPr>
          <w:rFonts w:ascii="標楷體" w:eastAsia="標楷體" w:hAnsi="標楷體" w:hint="eastAsia"/>
          <w:bCs/>
          <w:spacing w:val="-2"/>
          <w:szCs w:val="24"/>
        </w:rPr>
        <w:t>7及Windows</w:t>
      </w:r>
      <w:r w:rsidRPr="00430D32">
        <w:rPr>
          <w:rFonts w:ascii="標楷體" w:eastAsia="標楷體" w:hAnsi="標楷體"/>
          <w:bCs/>
          <w:spacing w:val="-2"/>
          <w:szCs w:val="24"/>
        </w:rPr>
        <w:t xml:space="preserve"> </w:t>
      </w:r>
      <w:r w:rsidRPr="00430D32">
        <w:rPr>
          <w:rFonts w:ascii="標楷體" w:eastAsia="標楷體" w:hAnsi="標楷體" w:hint="eastAsia"/>
          <w:bCs/>
          <w:spacing w:val="-2"/>
          <w:szCs w:val="24"/>
        </w:rPr>
        <w:t>10等作業系統存有高風險安全漏洞，已遭駭客利用，建議儘速確認並進行修復更新等。查截至114年4月9日止，臺北市政府有18個機關經管之381</w:t>
      </w:r>
      <w:proofErr w:type="gramStart"/>
      <w:r w:rsidRPr="00430D32">
        <w:rPr>
          <w:rFonts w:ascii="標楷體" w:eastAsia="標楷體" w:hAnsi="標楷體" w:hint="eastAsia"/>
          <w:bCs/>
          <w:spacing w:val="-2"/>
          <w:szCs w:val="24"/>
        </w:rPr>
        <w:t>臺</w:t>
      </w:r>
      <w:proofErr w:type="gramEnd"/>
      <w:r w:rsidRPr="00430D32">
        <w:rPr>
          <w:rFonts w:ascii="標楷體" w:eastAsia="標楷體" w:hAnsi="標楷體" w:hint="eastAsia"/>
          <w:bCs/>
          <w:spacing w:val="-2"/>
          <w:szCs w:val="24"/>
        </w:rPr>
        <w:t>電腦因經費不足未即</w:t>
      </w:r>
      <w:proofErr w:type="gramStart"/>
      <w:r w:rsidRPr="00430D32">
        <w:rPr>
          <w:rFonts w:ascii="標楷體" w:eastAsia="標楷體" w:hAnsi="標楷體" w:hint="eastAsia"/>
          <w:bCs/>
          <w:spacing w:val="-2"/>
          <w:szCs w:val="24"/>
        </w:rPr>
        <w:t>汰</w:t>
      </w:r>
      <w:proofErr w:type="gramEnd"/>
      <w:r w:rsidRPr="00430D32">
        <w:rPr>
          <w:rFonts w:ascii="標楷體" w:eastAsia="標楷體" w:hAnsi="標楷體" w:hint="eastAsia"/>
          <w:bCs/>
          <w:spacing w:val="-2"/>
          <w:szCs w:val="24"/>
        </w:rPr>
        <w:t>換、更新</w:t>
      </w:r>
      <w:proofErr w:type="gramStart"/>
      <w:r w:rsidRPr="00430D32">
        <w:rPr>
          <w:rFonts w:ascii="標楷體" w:eastAsia="標楷體" w:hAnsi="標楷體" w:hint="eastAsia"/>
          <w:bCs/>
          <w:spacing w:val="-2"/>
          <w:szCs w:val="24"/>
        </w:rPr>
        <w:t>等情為由</w:t>
      </w:r>
      <w:proofErr w:type="gramEnd"/>
      <w:r w:rsidRPr="00430D32">
        <w:rPr>
          <w:rFonts w:ascii="標楷體" w:eastAsia="標楷體" w:hAnsi="標楷體" w:hint="eastAsia"/>
          <w:bCs/>
          <w:spacing w:val="-2"/>
          <w:szCs w:val="24"/>
        </w:rPr>
        <w:t>，仍持續使用Windows 8、Windows 7及CentOS 6等舊版作業系統電腦設備，潛</w:t>
      </w:r>
      <w:proofErr w:type="gramStart"/>
      <w:r w:rsidRPr="00430D32">
        <w:rPr>
          <w:rFonts w:ascii="標楷體" w:eastAsia="標楷體" w:hAnsi="標楷體" w:hint="eastAsia"/>
          <w:bCs/>
          <w:spacing w:val="-2"/>
          <w:szCs w:val="24"/>
        </w:rPr>
        <w:t>存資安</w:t>
      </w:r>
      <w:proofErr w:type="gramEnd"/>
      <w:r w:rsidRPr="00430D32">
        <w:rPr>
          <w:rFonts w:ascii="標楷體" w:eastAsia="標楷體" w:hAnsi="標楷體" w:hint="eastAsia"/>
          <w:bCs/>
          <w:spacing w:val="-2"/>
          <w:szCs w:val="24"/>
        </w:rPr>
        <w:t>風險，經函請</w:t>
      </w:r>
      <w:proofErr w:type="gramStart"/>
      <w:r w:rsidRPr="00430D32">
        <w:rPr>
          <w:rFonts w:ascii="標楷體" w:eastAsia="標楷體" w:hAnsi="標楷體" w:hint="eastAsia"/>
          <w:bCs/>
          <w:spacing w:val="-2"/>
          <w:szCs w:val="24"/>
        </w:rPr>
        <w:t>檢討妥處</w:t>
      </w:r>
      <w:proofErr w:type="gramEnd"/>
      <w:r w:rsidRPr="00430D32">
        <w:rPr>
          <w:rFonts w:ascii="標楷體" w:eastAsia="標楷體" w:hAnsi="標楷體" w:hint="eastAsia"/>
          <w:bCs/>
          <w:spacing w:val="-2"/>
          <w:szCs w:val="24"/>
        </w:rPr>
        <w:t>。據復：將持續於</w:t>
      </w:r>
      <w:proofErr w:type="gramStart"/>
      <w:r w:rsidRPr="00430D32">
        <w:rPr>
          <w:rFonts w:ascii="標楷體" w:eastAsia="標楷體" w:hAnsi="標楷體" w:hint="eastAsia"/>
          <w:bCs/>
          <w:spacing w:val="-2"/>
          <w:szCs w:val="24"/>
        </w:rPr>
        <w:t>府級資安長</w:t>
      </w:r>
      <w:proofErr w:type="gramEnd"/>
      <w:r w:rsidRPr="00430D32">
        <w:rPr>
          <w:rFonts w:ascii="標楷體" w:eastAsia="標楷體" w:hAnsi="標楷體" w:hint="eastAsia"/>
          <w:bCs/>
          <w:spacing w:val="-2"/>
          <w:szCs w:val="24"/>
        </w:rPr>
        <w:t>會議</w:t>
      </w:r>
      <w:proofErr w:type="gramStart"/>
      <w:r w:rsidRPr="00430D32">
        <w:rPr>
          <w:rFonts w:ascii="標楷體" w:eastAsia="標楷體" w:hAnsi="標楷體" w:hint="eastAsia"/>
          <w:bCs/>
          <w:spacing w:val="-2"/>
          <w:szCs w:val="24"/>
        </w:rPr>
        <w:t>列管舊版</w:t>
      </w:r>
      <w:proofErr w:type="gramEnd"/>
      <w:r w:rsidRPr="00430D32">
        <w:rPr>
          <w:rFonts w:ascii="標楷體" w:eastAsia="標楷體" w:hAnsi="標楷體" w:hint="eastAsia"/>
          <w:bCs/>
          <w:spacing w:val="-2"/>
          <w:szCs w:val="24"/>
        </w:rPr>
        <w:t>作業系統，並要求列管機關更新及</w:t>
      </w:r>
      <w:proofErr w:type="gramStart"/>
      <w:r w:rsidRPr="00430D32">
        <w:rPr>
          <w:rFonts w:ascii="標楷體" w:eastAsia="標楷體" w:hAnsi="標楷體" w:hint="eastAsia"/>
          <w:bCs/>
          <w:spacing w:val="-2"/>
          <w:szCs w:val="24"/>
        </w:rPr>
        <w:t>汰</w:t>
      </w:r>
      <w:proofErr w:type="gramEnd"/>
      <w:r w:rsidRPr="00430D32">
        <w:rPr>
          <w:rFonts w:ascii="標楷體" w:eastAsia="標楷體" w:hAnsi="標楷體" w:hint="eastAsia"/>
          <w:bCs/>
          <w:spacing w:val="-2"/>
          <w:szCs w:val="24"/>
        </w:rPr>
        <w:t>換。</w:t>
      </w:r>
    </w:p>
    <w:p w14:paraId="33CFA73F" w14:textId="77777777" w:rsidR="00DA4047" w:rsidRDefault="0029756E" w:rsidP="00F67ECA">
      <w:pPr>
        <w:spacing w:line="430" w:lineRule="exact"/>
        <w:ind w:firstLineChars="200" w:firstLine="472"/>
        <w:jc w:val="both"/>
        <w:rPr>
          <w:rFonts w:ascii="標楷體" w:eastAsia="標楷體" w:hAnsi="標楷體"/>
          <w:bCs/>
          <w:spacing w:val="-4"/>
          <w:szCs w:val="24"/>
        </w:rPr>
      </w:pPr>
      <w:r w:rsidRPr="00430D32">
        <w:rPr>
          <w:rFonts w:ascii="標楷體" w:eastAsia="標楷體" w:hAnsi="標楷體" w:hint="eastAsia"/>
          <w:b/>
          <w:spacing w:val="-2"/>
          <w:szCs w:val="24"/>
        </w:rPr>
        <w:t>3.</w:t>
      </w:r>
      <w:r w:rsidRPr="00430D32">
        <w:rPr>
          <w:rFonts w:ascii="標楷體" w:eastAsia="標楷體" w:hAnsi="標楷體" w:hint="eastAsia"/>
          <w:b/>
          <w:spacing w:val="-4"/>
          <w:szCs w:val="24"/>
        </w:rPr>
        <w:t>部分機關之電腦設備安裝行政院禁用之視訊軟體或非公務用資通訊軟體：</w:t>
      </w:r>
      <w:r w:rsidRPr="00430D32">
        <w:rPr>
          <w:rFonts w:ascii="標楷體" w:eastAsia="標楷體" w:hAnsi="標楷體" w:hint="eastAsia"/>
          <w:bCs/>
          <w:spacing w:val="-4"/>
          <w:szCs w:val="24"/>
        </w:rPr>
        <w:t>依行政院秘書長於109年12月18日院</w:t>
      </w:r>
      <w:proofErr w:type="gramStart"/>
      <w:r w:rsidRPr="00430D32">
        <w:rPr>
          <w:rFonts w:ascii="標楷體" w:eastAsia="標楷體" w:hAnsi="標楷體" w:hint="eastAsia"/>
          <w:bCs/>
          <w:spacing w:val="-4"/>
          <w:szCs w:val="24"/>
        </w:rPr>
        <w:t>臺護長</w:t>
      </w:r>
      <w:proofErr w:type="gramEnd"/>
      <w:r w:rsidRPr="00430D32">
        <w:rPr>
          <w:rFonts w:ascii="標楷體" w:eastAsia="標楷體" w:hAnsi="標楷體" w:hint="eastAsia"/>
          <w:bCs/>
          <w:spacing w:val="-4"/>
          <w:szCs w:val="24"/>
        </w:rPr>
        <w:t>字第1090201804A號函示略</w:t>
      </w:r>
      <w:proofErr w:type="gramStart"/>
      <w:r w:rsidRPr="00430D32">
        <w:rPr>
          <w:rFonts w:ascii="標楷體" w:eastAsia="標楷體" w:hAnsi="標楷體" w:hint="eastAsia"/>
          <w:bCs/>
          <w:spacing w:val="-4"/>
          <w:szCs w:val="24"/>
        </w:rPr>
        <w:t>以</w:t>
      </w:r>
      <w:proofErr w:type="gramEnd"/>
      <w:r w:rsidRPr="00430D32">
        <w:rPr>
          <w:rFonts w:ascii="標楷體" w:eastAsia="標楷體" w:hAnsi="標楷體" w:hint="eastAsia"/>
          <w:bCs/>
          <w:spacing w:val="-4"/>
          <w:szCs w:val="24"/>
        </w:rPr>
        <w:t>，各公務機關之公務用資通訊產品不得使用大陸廠牌，且不得安裝非公務用軟體，以避免公務及機敏資料遭不當竊取，導致機關機敏公務資訊外</w:t>
      </w:r>
      <w:proofErr w:type="gramStart"/>
      <w:r w:rsidRPr="00430D32">
        <w:rPr>
          <w:rFonts w:ascii="標楷體" w:eastAsia="標楷體" w:hAnsi="標楷體" w:hint="eastAsia"/>
          <w:bCs/>
          <w:spacing w:val="-4"/>
          <w:szCs w:val="24"/>
        </w:rPr>
        <w:t>洩</w:t>
      </w:r>
      <w:proofErr w:type="gramEnd"/>
      <w:r w:rsidRPr="00430D32">
        <w:rPr>
          <w:rFonts w:ascii="標楷體" w:eastAsia="標楷體" w:hAnsi="標楷體" w:hint="eastAsia"/>
          <w:bCs/>
          <w:spacing w:val="-4"/>
          <w:szCs w:val="24"/>
        </w:rPr>
        <w:t>或造成國家資通安全危害風險。有關該府各機關辦理</w:t>
      </w:r>
      <w:proofErr w:type="gramStart"/>
      <w:r w:rsidRPr="00430D32">
        <w:rPr>
          <w:rFonts w:ascii="標楷體" w:eastAsia="標楷體" w:hAnsi="標楷體" w:hint="eastAsia"/>
          <w:bCs/>
          <w:spacing w:val="-4"/>
          <w:szCs w:val="24"/>
        </w:rPr>
        <w:t>資安防護暨管</w:t>
      </w:r>
      <w:proofErr w:type="gramEnd"/>
      <w:r w:rsidRPr="00430D32">
        <w:rPr>
          <w:rFonts w:ascii="標楷體" w:eastAsia="標楷體" w:hAnsi="標楷體" w:hint="eastAsia"/>
          <w:bCs/>
          <w:spacing w:val="-4"/>
          <w:szCs w:val="24"/>
        </w:rPr>
        <w:t>考作業，核有部分資通安全責任等級B級機關之電腦設備安裝行政院禁用之視訊軟體或非公務用資通訊軟體等情事，前經本處函請臺北市政府督促檢討改善，據復：已發函督促各機關應遵照行政院函文及臺北市政府員工使用資通訊裝置應注意事項，移除或禁用非公務用軟體，並強化相關資通安全管理措施。經追蹤查核結果，迄114年4月9日止，仍有17個機關之電腦設備安裝行政院禁用之視訊軟體或非公務用資</w:t>
      </w:r>
    </w:p>
    <w:p w14:paraId="1E8EBEC5" w14:textId="2F28303F" w:rsidR="0029756E" w:rsidRPr="00430D32" w:rsidRDefault="0029756E" w:rsidP="00DA4047">
      <w:pPr>
        <w:overflowPunct w:val="0"/>
        <w:spacing w:line="440" w:lineRule="atLeast"/>
        <w:jc w:val="both"/>
        <w:rPr>
          <w:rFonts w:ascii="標楷體" w:eastAsia="標楷體" w:hAnsi="標楷體"/>
          <w:bCs/>
          <w:spacing w:val="-4"/>
          <w:szCs w:val="24"/>
        </w:rPr>
      </w:pPr>
      <w:r w:rsidRPr="00430D32">
        <w:rPr>
          <w:rFonts w:ascii="標楷體" w:eastAsia="標楷體" w:hAnsi="標楷體" w:hint="eastAsia"/>
          <w:bCs/>
          <w:spacing w:val="-4"/>
          <w:szCs w:val="24"/>
        </w:rPr>
        <w:t>通訊軟體，核與上開行政院函示內容未合，恐有公務及機敏資料遭不當竊取之疑慮，導致機關機敏公務資訊外</w:t>
      </w:r>
      <w:proofErr w:type="gramStart"/>
      <w:r w:rsidRPr="00430D32">
        <w:rPr>
          <w:rFonts w:ascii="標楷體" w:eastAsia="標楷體" w:hAnsi="標楷體" w:hint="eastAsia"/>
          <w:bCs/>
          <w:spacing w:val="-4"/>
          <w:szCs w:val="24"/>
        </w:rPr>
        <w:t>洩</w:t>
      </w:r>
      <w:proofErr w:type="gramEnd"/>
      <w:r w:rsidRPr="00430D32">
        <w:rPr>
          <w:rFonts w:ascii="標楷體" w:eastAsia="標楷體" w:hAnsi="標楷體" w:hint="eastAsia"/>
          <w:bCs/>
          <w:spacing w:val="-4"/>
          <w:szCs w:val="24"/>
        </w:rPr>
        <w:t>或造成國家資通安全危害等風險，經函請</w:t>
      </w:r>
      <w:proofErr w:type="gramStart"/>
      <w:r w:rsidRPr="00430D32">
        <w:rPr>
          <w:rFonts w:ascii="標楷體" w:eastAsia="標楷體" w:hAnsi="標楷體" w:hint="eastAsia"/>
          <w:bCs/>
          <w:spacing w:val="-4"/>
          <w:szCs w:val="24"/>
        </w:rPr>
        <w:t>檢討妥處</w:t>
      </w:r>
      <w:proofErr w:type="gramEnd"/>
      <w:r w:rsidRPr="00430D32">
        <w:rPr>
          <w:rFonts w:ascii="標楷體" w:eastAsia="標楷體" w:hAnsi="標楷體" w:hint="eastAsia"/>
          <w:bCs/>
          <w:spacing w:val="-4"/>
          <w:szCs w:val="24"/>
        </w:rPr>
        <w:t>。據復：將定期盤點市府各機關軟體清單並函文檢討，以降低資通安全風險。</w:t>
      </w:r>
    </w:p>
    <w:p w14:paraId="65396075" w14:textId="77777777" w:rsidR="0029756E" w:rsidRPr="00430D32" w:rsidRDefault="0029756E" w:rsidP="0029756E">
      <w:pPr>
        <w:suppressAutoHyphens/>
        <w:overflowPunct w:val="0"/>
        <w:spacing w:line="460" w:lineRule="atLeast"/>
        <w:jc w:val="both"/>
        <w:rPr>
          <w:rFonts w:ascii="標楷體" w:eastAsia="標楷體" w:hAnsi="標楷體" w:cs="Times New Roman"/>
          <w:b/>
          <w:bCs/>
          <w:kern w:val="52"/>
          <w:sz w:val="32"/>
          <w:szCs w:val="52"/>
        </w:rPr>
      </w:pPr>
      <w:r w:rsidRPr="00430D32">
        <w:rPr>
          <w:rFonts w:ascii="標楷體" w:eastAsia="標楷體" w:hAnsi="標楷體" w:cs="Times New Roman" w:hint="eastAsia"/>
          <w:b/>
          <w:bCs/>
          <w:kern w:val="52"/>
          <w:sz w:val="32"/>
          <w:szCs w:val="52"/>
        </w:rPr>
        <w:lastRenderedPageBreak/>
        <w:t>五、</w:t>
      </w:r>
      <w:proofErr w:type="gramStart"/>
      <w:r w:rsidRPr="00430D32">
        <w:rPr>
          <w:rFonts w:ascii="標楷體" w:eastAsia="標楷體" w:hAnsi="標楷體" w:cs="Times New Roman" w:hint="eastAsia"/>
          <w:b/>
          <w:bCs/>
          <w:kern w:val="52"/>
          <w:sz w:val="32"/>
          <w:szCs w:val="52"/>
        </w:rPr>
        <w:t>11</w:t>
      </w:r>
      <w:r w:rsidRPr="00430D32">
        <w:rPr>
          <w:rFonts w:ascii="標楷體" w:eastAsia="標楷體" w:hAnsi="標楷體" w:cs="Times New Roman"/>
          <w:b/>
          <w:bCs/>
          <w:kern w:val="52"/>
          <w:sz w:val="32"/>
          <w:szCs w:val="52"/>
        </w:rPr>
        <w:t>2</w:t>
      </w:r>
      <w:proofErr w:type="gramEnd"/>
      <w:r w:rsidRPr="00430D32">
        <w:rPr>
          <w:rFonts w:ascii="標楷體" w:eastAsia="標楷體" w:hAnsi="標楷體" w:cs="Times New Roman" w:hint="eastAsia"/>
          <w:b/>
          <w:bCs/>
          <w:kern w:val="52"/>
          <w:sz w:val="32"/>
          <w:szCs w:val="52"/>
        </w:rPr>
        <w:t>年度重要審核意見追蹤查核情形</w:t>
      </w:r>
    </w:p>
    <w:p w14:paraId="653660FD" w14:textId="77777777" w:rsidR="0029756E" w:rsidRPr="00430D32" w:rsidRDefault="0029756E" w:rsidP="0056173F">
      <w:pPr>
        <w:widowControl/>
        <w:overflowPunct w:val="0"/>
        <w:spacing w:beforeLines="20" w:before="72" w:line="460" w:lineRule="atLeast"/>
        <w:ind w:firstLineChars="200" w:firstLine="480"/>
        <w:jc w:val="both"/>
        <w:rPr>
          <w:rFonts w:ascii="標楷體" w:eastAsia="標楷體" w:hAnsi="Times New Roman" w:cs="Times New Roman"/>
          <w:snapToGrid w:val="0"/>
          <w:szCs w:val="24"/>
        </w:rPr>
      </w:pPr>
      <w:r w:rsidRPr="00430D32">
        <w:rPr>
          <w:rFonts w:ascii="標楷體" w:eastAsia="標楷體" w:hAnsi="Times New Roman" w:cs="Times New Roman" w:hint="eastAsia"/>
          <w:snapToGrid w:val="0"/>
          <w:szCs w:val="24"/>
        </w:rPr>
        <w:t>本處於</w:t>
      </w:r>
      <w:proofErr w:type="gramStart"/>
      <w:r w:rsidRPr="00430D32">
        <w:rPr>
          <w:rFonts w:ascii="標楷體" w:eastAsia="標楷體" w:hAnsi="Times New Roman" w:cs="Times New Roman" w:hint="eastAsia"/>
          <w:snapToGrid w:val="0"/>
          <w:szCs w:val="24"/>
        </w:rPr>
        <w:t>11</w:t>
      </w:r>
      <w:r w:rsidRPr="00430D32">
        <w:rPr>
          <w:rFonts w:ascii="標楷體" w:eastAsia="標楷體" w:hAnsi="Times New Roman" w:cs="Times New Roman"/>
          <w:snapToGrid w:val="0"/>
          <w:szCs w:val="24"/>
        </w:rPr>
        <w:t>2</w:t>
      </w:r>
      <w:proofErr w:type="gramEnd"/>
      <w:r w:rsidRPr="00430D32">
        <w:rPr>
          <w:rFonts w:ascii="標楷體" w:eastAsia="標楷體" w:hAnsi="Times New Roman" w:cs="Times New Roman" w:hint="eastAsia"/>
          <w:snapToGrid w:val="0"/>
          <w:szCs w:val="24"/>
        </w:rPr>
        <w:t>年度審核報告內列重要審核意見</w:t>
      </w:r>
      <w:r w:rsidRPr="00430D32">
        <w:rPr>
          <w:rFonts w:ascii="標楷體" w:eastAsia="標楷體" w:hAnsi="Times New Roman" w:cs="Times New Roman"/>
          <w:snapToGrid w:val="0"/>
          <w:szCs w:val="24"/>
        </w:rPr>
        <w:t>14</w:t>
      </w:r>
      <w:r w:rsidRPr="00430D32">
        <w:rPr>
          <w:rFonts w:ascii="標楷體" w:eastAsia="標楷體" w:hAnsi="Times New Roman" w:cs="Times New Roman" w:hint="eastAsia"/>
          <w:snapToGrid w:val="0"/>
          <w:szCs w:val="24"/>
        </w:rPr>
        <w:t>項，經</w:t>
      </w:r>
      <w:proofErr w:type="gramStart"/>
      <w:r w:rsidRPr="00430D32">
        <w:rPr>
          <w:rFonts w:ascii="標楷體" w:eastAsia="標楷體" w:hAnsi="Times New Roman" w:cs="Times New Roman" w:hint="eastAsia"/>
          <w:snapToGrid w:val="0"/>
          <w:szCs w:val="24"/>
        </w:rPr>
        <w:t>賡</w:t>
      </w:r>
      <w:proofErr w:type="gramEnd"/>
      <w:r w:rsidRPr="00430D32">
        <w:rPr>
          <w:rFonts w:ascii="標楷體" w:eastAsia="標楷體" w:hAnsi="Times New Roman" w:cs="Times New Roman" w:hint="eastAsia"/>
          <w:snapToGrid w:val="0"/>
          <w:szCs w:val="24"/>
        </w:rPr>
        <w:t>續追蹤查核實際辦理結果，仍待繼續改善者</w:t>
      </w:r>
      <w:r w:rsidRPr="00430D32">
        <w:rPr>
          <w:rFonts w:ascii="標楷體" w:eastAsia="標楷體" w:hAnsi="Times New Roman" w:cs="Times New Roman"/>
          <w:snapToGrid w:val="0"/>
          <w:szCs w:val="24"/>
        </w:rPr>
        <w:t>3</w:t>
      </w:r>
      <w:r w:rsidRPr="00430D32">
        <w:rPr>
          <w:rFonts w:ascii="標楷體" w:eastAsia="標楷體" w:hAnsi="Times New Roman" w:cs="Times New Roman" w:hint="eastAsia"/>
          <w:snapToGrid w:val="0"/>
          <w:szCs w:val="24"/>
        </w:rPr>
        <w:t>項、已</w:t>
      </w:r>
      <w:proofErr w:type="gramStart"/>
      <w:r w:rsidRPr="00430D32">
        <w:rPr>
          <w:rFonts w:ascii="標楷體" w:eastAsia="標楷體" w:hAnsi="Times New Roman" w:cs="Times New Roman" w:hint="eastAsia"/>
          <w:snapToGrid w:val="0"/>
          <w:szCs w:val="24"/>
        </w:rPr>
        <w:t>研</w:t>
      </w:r>
      <w:proofErr w:type="gramEnd"/>
      <w:r w:rsidRPr="00430D32">
        <w:rPr>
          <w:rFonts w:ascii="標楷體" w:eastAsia="標楷體" w:hAnsi="Times New Roman" w:cs="Times New Roman" w:hint="eastAsia"/>
          <w:snapToGrid w:val="0"/>
          <w:szCs w:val="24"/>
        </w:rPr>
        <w:t>謀改善或依改善措施持續辦理者</w:t>
      </w:r>
      <w:r w:rsidRPr="00430D32">
        <w:rPr>
          <w:rFonts w:ascii="標楷體" w:eastAsia="標楷體" w:hAnsi="Times New Roman" w:cs="Times New Roman"/>
          <w:snapToGrid w:val="0"/>
          <w:szCs w:val="24"/>
        </w:rPr>
        <w:t>11</w:t>
      </w:r>
      <w:r w:rsidRPr="00430D32">
        <w:rPr>
          <w:rFonts w:ascii="標楷體" w:eastAsia="標楷體" w:hAnsi="Times New Roman" w:cs="Times New Roman" w:hint="eastAsia"/>
          <w:snapToGrid w:val="0"/>
          <w:szCs w:val="24"/>
        </w:rPr>
        <w:t>項（表</w:t>
      </w:r>
      <w:r w:rsidRPr="00430D32">
        <w:rPr>
          <w:rFonts w:ascii="標楷體" w:eastAsia="標楷體" w:hAnsi="Times New Roman" w:cs="Times New Roman"/>
          <w:snapToGrid w:val="0"/>
          <w:szCs w:val="24"/>
        </w:rPr>
        <w:t>9</w:t>
      </w:r>
      <w:r w:rsidRPr="00430D32">
        <w:rPr>
          <w:rFonts w:ascii="標楷體" w:eastAsia="標楷體" w:hAnsi="Times New Roman" w:cs="Times New Roman" w:hint="eastAsia"/>
          <w:snapToGrid w:val="0"/>
          <w:szCs w:val="24"/>
        </w:rPr>
        <w:t>），其中仍待繼續改善者，經再</w:t>
      </w:r>
      <w:proofErr w:type="gramStart"/>
      <w:r w:rsidRPr="00430D32">
        <w:rPr>
          <w:rFonts w:ascii="標楷體" w:eastAsia="標楷體" w:hAnsi="Times New Roman" w:cs="Times New Roman" w:hint="eastAsia"/>
          <w:snapToGrid w:val="0"/>
          <w:szCs w:val="24"/>
        </w:rPr>
        <w:t>研</w:t>
      </w:r>
      <w:proofErr w:type="gramEnd"/>
      <w:r w:rsidRPr="00430D32">
        <w:rPr>
          <w:rFonts w:ascii="標楷體" w:eastAsia="標楷體" w:hAnsi="Times New Roman" w:cs="Times New Roman" w:hint="eastAsia"/>
          <w:snapToGrid w:val="0"/>
          <w:szCs w:val="24"/>
        </w:rPr>
        <w:t>提審核意見</w:t>
      </w:r>
      <w:r w:rsidRPr="00430D32">
        <w:rPr>
          <w:rFonts w:ascii="標楷體" w:eastAsia="標楷體" w:hAnsi="Times New Roman" w:cs="Times New Roman"/>
          <w:snapToGrid w:val="0"/>
          <w:szCs w:val="24"/>
        </w:rPr>
        <w:t>3</w:t>
      </w:r>
      <w:r w:rsidRPr="00430D32">
        <w:rPr>
          <w:rFonts w:ascii="標楷體" w:eastAsia="標楷體" w:hAnsi="Times New Roman" w:cs="Times New Roman" w:hint="eastAsia"/>
          <w:snapToGrid w:val="0"/>
          <w:szCs w:val="24"/>
        </w:rPr>
        <w:t>項通知檢討改善。</w:t>
      </w:r>
    </w:p>
    <w:p w14:paraId="7233A6BE" w14:textId="77777777" w:rsidR="0029756E" w:rsidRPr="00430D32" w:rsidRDefault="0029756E" w:rsidP="0029756E">
      <w:pPr>
        <w:widowControl/>
        <w:overflowPunct w:val="0"/>
        <w:spacing w:beforeLines="20" w:before="72" w:line="460" w:lineRule="exact"/>
        <w:jc w:val="center"/>
        <w:rPr>
          <w:rFonts w:ascii="標楷體" w:eastAsia="標楷體" w:hAnsi="Times New Roman" w:cs="Times New Roman"/>
          <w:snapToGrid w:val="0"/>
          <w:szCs w:val="24"/>
        </w:rPr>
      </w:pPr>
      <w:r w:rsidRPr="00430D32">
        <w:rPr>
          <w:rFonts w:ascii="標楷體" w:eastAsia="標楷體" w:hAnsi="標楷體" w:cs="Times New Roman" w:hint="eastAsia"/>
          <w:b/>
        </w:rPr>
        <w:t>表</w:t>
      </w:r>
      <w:r w:rsidRPr="00430D32">
        <w:rPr>
          <w:rFonts w:ascii="標楷體" w:eastAsia="標楷體" w:hAnsi="標楷體" w:cs="Times New Roman"/>
          <w:b/>
        </w:rPr>
        <w:t>9</w:t>
      </w:r>
      <w:r w:rsidRPr="00430D32">
        <w:rPr>
          <w:rFonts w:ascii="標楷體" w:eastAsia="標楷體" w:hAnsi="標楷體" w:cs="Times New Roman" w:hint="eastAsia"/>
          <w:b/>
        </w:rPr>
        <w:t xml:space="preserve">　</w:t>
      </w:r>
      <w:proofErr w:type="gramStart"/>
      <w:r w:rsidRPr="00430D32">
        <w:rPr>
          <w:rFonts w:ascii="標楷體" w:eastAsia="標楷體" w:hAnsi="標楷體" w:cs="Times New Roman"/>
          <w:b/>
        </w:rPr>
        <w:t>112</w:t>
      </w:r>
      <w:proofErr w:type="gramEnd"/>
      <w:r w:rsidRPr="00430D32">
        <w:rPr>
          <w:rFonts w:ascii="標楷體" w:eastAsia="標楷體" w:hAnsi="標楷體" w:cs="Times New Roman" w:hint="eastAsia"/>
          <w:b/>
        </w:rPr>
        <w:t>年度審核報告所列市政府主管重要審核意見覆核辦理情形</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80"/>
        <w:gridCol w:w="2853"/>
      </w:tblGrid>
      <w:tr w:rsidR="0029756E" w:rsidRPr="00430D32" w14:paraId="644FB633" w14:textId="77777777" w:rsidTr="0056173F">
        <w:trPr>
          <w:trHeight w:val="397"/>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4290C940" w14:textId="77777777" w:rsidR="0029756E" w:rsidRPr="00430D32" w:rsidRDefault="0029756E" w:rsidP="003178C0">
            <w:pPr>
              <w:widowControl/>
              <w:spacing w:line="200" w:lineRule="exact"/>
              <w:jc w:val="center"/>
              <w:rPr>
                <w:rFonts w:ascii="標楷體" w:eastAsia="標楷體" w:hAnsi="標楷體" w:cs="Times New Roman"/>
                <w:sz w:val="20"/>
                <w:szCs w:val="24"/>
              </w:rPr>
            </w:pPr>
            <w:r w:rsidRPr="00430D32">
              <w:rPr>
                <w:rFonts w:ascii="標楷體" w:eastAsia="標楷體" w:hAnsi="標楷體" w:cs="Times New Roman" w:hint="eastAsia"/>
                <w:sz w:val="20"/>
                <w:szCs w:val="24"/>
              </w:rPr>
              <w:t>重要審核意見標題</w:t>
            </w:r>
          </w:p>
        </w:tc>
        <w:tc>
          <w:tcPr>
            <w:tcW w:w="1436" w:type="pct"/>
            <w:tcBorders>
              <w:top w:val="single" w:sz="4" w:space="0" w:color="auto"/>
              <w:left w:val="single" w:sz="4" w:space="0" w:color="auto"/>
              <w:bottom w:val="single" w:sz="4" w:space="0" w:color="auto"/>
              <w:right w:val="single" w:sz="4" w:space="0" w:color="auto"/>
              <w:tl2br w:val="nil"/>
            </w:tcBorders>
            <w:vAlign w:val="center"/>
          </w:tcPr>
          <w:p w14:paraId="47856A66" w14:textId="77777777" w:rsidR="0029756E" w:rsidRPr="00430D32" w:rsidRDefault="0029756E" w:rsidP="003178C0">
            <w:pPr>
              <w:widowControl/>
              <w:spacing w:line="200" w:lineRule="exact"/>
              <w:jc w:val="center"/>
              <w:rPr>
                <w:rFonts w:ascii="標楷體" w:eastAsia="標楷體" w:hAnsi="標楷體" w:cs="Times New Roman"/>
                <w:sz w:val="20"/>
                <w:szCs w:val="24"/>
              </w:rPr>
            </w:pPr>
            <w:r w:rsidRPr="00430D32">
              <w:rPr>
                <w:rFonts w:ascii="標楷體" w:eastAsia="標楷體" w:hAnsi="標楷體" w:cs="Times New Roman" w:hint="eastAsia"/>
                <w:sz w:val="20"/>
                <w:szCs w:val="24"/>
              </w:rPr>
              <w:t>說明</w:t>
            </w:r>
          </w:p>
        </w:tc>
      </w:tr>
      <w:tr w:rsidR="0029756E" w:rsidRPr="00430D32" w14:paraId="2329BAEA" w14:textId="77777777" w:rsidTr="00DA4047">
        <w:trPr>
          <w:trHeight w:hRule="exact" w:val="454"/>
          <w:jc w:val="center"/>
        </w:trPr>
        <w:tc>
          <w:tcPr>
            <w:tcW w:w="3564" w:type="pct"/>
            <w:tcBorders>
              <w:top w:val="single" w:sz="4" w:space="0" w:color="auto"/>
              <w:left w:val="single" w:sz="4" w:space="0" w:color="auto"/>
              <w:bottom w:val="single" w:sz="4" w:space="0" w:color="auto"/>
              <w:right w:val="nil"/>
              <w:tl2br w:val="nil"/>
            </w:tcBorders>
            <w:vAlign w:val="center"/>
            <w:hideMark/>
          </w:tcPr>
          <w:p w14:paraId="610DB8FD" w14:textId="77777777" w:rsidR="0029756E" w:rsidRPr="00430D32" w:rsidRDefault="0029756E" w:rsidP="003178C0">
            <w:pPr>
              <w:widowControl/>
              <w:spacing w:line="200" w:lineRule="exact"/>
              <w:ind w:left="200" w:hangingChars="100" w:hanging="200"/>
              <w:jc w:val="both"/>
              <w:rPr>
                <w:rFonts w:ascii="標楷體" w:eastAsia="標楷體" w:hAnsi="標楷體" w:cs="Times New Roman"/>
                <w:b/>
                <w:sz w:val="20"/>
                <w:szCs w:val="24"/>
              </w:rPr>
            </w:pPr>
            <w:r w:rsidRPr="00430D32">
              <w:rPr>
                <w:rFonts w:ascii="標楷體" w:eastAsia="標楷體" w:hAnsi="標楷體" w:cs="Times New Roman" w:hint="eastAsia"/>
                <w:b/>
                <w:sz w:val="20"/>
                <w:szCs w:val="24"/>
              </w:rPr>
              <w:t>仍待繼續改善</w:t>
            </w:r>
          </w:p>
        </w:tc>
        <w:tc>
          <w:tcPr>
            <w:tcW w:w="1436" w:type="pct"/>
            <w:tcBorders>
              <w:top w:val="single" w:sz="4" w:space="0" w:color="auto"/>
              <w:left w:val="nil"/>
              <w:bottom w:val="single" w:sz="4" w:space="0" w:color="auto"/>
              <w:right w:val="single" w:sz="4" w:space="0" w:color="auto"/>
              <w:tl2br w:val="nil"/>
            </w:tcBorders>
          </w:tcPr>
          <w:p w14:paraId="667EA26A" w14:textId="77777777" w:rsidR="0029756E" w:rsidRPr="00430D32" w:rsidRDefault="0029756E" w:rsidP="003178C0">
            <w:pPr>
              <w:widowControl/>
              <w:spacing w:line="320" w:lineRule="exact"/>
              <w:jc w:val="both"/>
              <w:rPr>
                <w:rFonts w:ascii="標楷體" w:eastAsia="標楷體" w:hAnsi="標楷體" w:cs="Times New Roman"/>
                <w:sz w:val="20"/>
                <w:szCs w:val="24"/>
              </w:rPr>
            </w:pPr>
          </w:p>
        </w:tc>
      </w:tr>
      <w:tr w:rsidR="0029756E" w:rsidRPr="00430D32" w14:paraId="64469649" w14:textId="77777777" w:rsidTr="003178C0">
        <w:trPr>
          <w:trHeight w:val="170"/>
          <w:jc w:val="center"/>
        </w:trPr>
        <w:tc>
          <w:tcPr>
            <w:tcW w:w="3564" w:type="pct"/>
            <w:tcBorders>
              <w:top w:val="single" w:sz="4" w:space="0" w:color="auto"/>
              <w:left w:val="single" w:sz="4" w:space="0" w:color="auto"/>
              <w:bottom w:val="single" w:sz="4" w:space="0" w:color="auto"/>
              <w:right w:val="single" w:sz="4" w:space="0" w:color="auto"/>
              <w:tl2br w:val="nil"/>
            </w:tcBorders>
          </w:tcPr>
          <w:p w14:paraId="12F466E5" w14:textId="77777777" w:rsidR="0029756E" w:rsidRPr="00430D32" w:rsidRDefault="0029756E" w:rsidP="003178C0">
            <w:pPr>
              <w:spacing w:line="240" w:lineRule="exact"/>
              <w:ind w:left="560" w:hangingChars="280" w:hanging="56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（一）持續辦理施政計畫管考掌握執行進度，惟部分計畫預算執行率欠佳或執行進度落後，</w:t>
            </w:r>
            <w:proofErr w:type="gramStart"/>
            <w:r w:rsidRPr="00430D32">
              <w:rPr>
                <w:rFonts w:ascii="標楷體" w:eastAsia="標楷體" w:hAnsi="標楷體" w:cs="Times New Roman" w:hint="eastAsia"/>
                <w:sz w:val="20"/>
                <w:szCs w:val="24"/>
              </w:rPr>
              <w:t>允待注意</w:t>
            </w:r>
            <w:proofErr w:type="gramEnd"/>
            <w:r w:rsidRPr="00430D32">
              <w:rPr>
                <w:rFonts w:ascii="標楷體" w:eastAsia="標楷體" w:hAnsi="標楷體" w:cs="Times New Roman" w:hint="eastAsia"/>
                <w:sz w:val="20"/>
                <w:szCs w:val="24"/>
              </w:rPr>
              <w:t>改善，以提升施政績效。</w:t>
            </w:r>
          </w:p>
        </w:tc>
        <w:tc>
          <w:tcPr>
            <w:tcW w:w="1436" w:type="pct"/>
            <w:tcBorders>
              <w:top w:val="single" w:sz="4" w:space="0" w:color="auto"/>
              <w:left w:val="single" w:sz="4" w:space="0" w:color="auto"/>
              <w:bottom w:val="single" w:sz="4" w:space="0" w:color="auto"/>
              <w:right w:val="single" w:sz="4" w:space="0" w:color="auto"/>
              <w:tl2br w:val="nil"/>
            </w:tcBorders>
          </w:tcPr>
          <w:p w14:paraId="451C2865" w14:textId="77777777" w:rsidR="0029756E" w:rsidRPr="00430D32" w:rsidRDefault="0029756E" w:rsidP="003178C0">
            <w:pPr>
              <w:widowControl/>
              <w:spacing w:afterLines="10" w:after="36" w:line="240" w:lineRule="exact"/>
              <w:jc w:val="both"/>
              <w:rPr>
                <w:rFonts w:ascii="標楷體" w:eastAsia="標楷體" w:hAnsi="標楷體" w:cs="Times New Roman"/>
                <w:sz w:val="20"/>
                <w:szCs w:val="24"/>
              </w:rPr>
            </w:pPr>
            <w:r w:rsidRPr="00430D32">
              <w:rPr>
                <w:rFonts w:ascii="標楷體" w:eastAsia="標楷體" w:hAnsi="標楷體" w:cs="Times New Roman" w:hint="eastAsia"/>
                <w:sz w:val="20"/>
                <w:szCs w:val="24"/>
              </w:rPr>
              <w:t>因部分列管計畫執行進度未如預期，或未能依改善措施落實辦理，業再</w:t>
            </w:r>
            <w:proofErr w:type="gramStart"/>
            <w:r w:rsidRPr="00430D32">
              <w:rPr>
                <w:rFonts w:ascii="標楷體" w:eastAsia="標楷體" w:hAnsi="標楷體" w:cs="Times New Roman" w:hint="eastAsia"/>
                <w:sz w:val="20"/>
                <w:szCs w:val="24"/>
              </w:rPr>
              <w:t>研</w:t>
            </w:r>
            <w:proofErr w:type="gramEnd"/>
            <w:r w:rsidRPr="00430D32">
              <w:rPr>
                <w:rFonts w:ascii="標楷體" w:eastAsia="標楷體" w:hAnsi="標楷體" w:cs="Times New Roman" w:hint="eastAsia"/>
                <w:sz w:val="20"/>
                <w:szCs w:val="24"/>
              </w:rPr>
              <w:t>提審核意見詳「四、重要審核意見（二）」。</w:t>
            </w:r>
          </w:p>
        </w:tc>
      </w:tr>
      <w:tr w:rsidR="0029756E" w:rsidRPr="00430D32" w14:paraId="0CD65251" w14:textId="77777777" w:rsidTr="003178C0">
        <w:trPr>
          <w:trHeight w:val="794"/>
          <w:jc w:val="center"/>
        </w:trPr>
        <w:tc>
          <w:tcPr>
            <w:tcW w:w="3564" w:type="pct"/>
            <w:tcBorders>
              <w:top w:val="single" w:sz="4" w:space="0" w:color="auto"/>
              <w:left w:val="single" w:sz="4" w:space="0" w:color="auto"/>
              <w:bottom w:val="single" w:sz="4" w:space="0" w:color="auto"/>
              <w:right w:val="single" w:sz="4" w:space="0" w:color="auto"/>
              <w:tl2br w:val="nil"/>
            </w:tcBorders>
          </w:tcPr>
          <w:p w14:paraId="0300686F" w14:textId="77777777" w:rsidR="0029756E" w:rsidRPr="00430D32" w:rsidRDefault="0029756E" w:rsidP="003178C0">
            <w:pPr>
              <w:spacing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（二）整體營業及非營業基金獲有盈（</w:t>
            </w:r>
            <w:proofErr w:type="gramStart"/>
            <w:r w:rsidRPr="00430D32">
              <w:rPr>
                <w:rFonts w:ascii="標楷體" w:eastAsia="標楷體" w:hAnsi="標楷體" w:cs="Times New Roman" w:hint="eastAsia"/>
                <w:sz w:val="20"/>
                <w:szCs w:val="24"/>
              </w:rPr>
              <w:t>賸</w:t>
            </w:r>
            <w:proofErr w:type="gramEnd"/>
            <w:r w:rsidRPr="00430D32">
              <w:rPr>
                <w:rFonts w:ascii="標楷體" w:eastAsia="標楷體" w:hAnsi="標楷體" w:cs="Times New Roman" w:hint="eastAsia"/>
                <w:sz w:val="20"/>
                <w:szCs w:val="24"/>
              </w:rPr>
              <w:t>）餘，</w:t>
            </w:r>
            <w:proofErr w:type="gramStart"/>
            <w:r w:rsidRPr="00430D32">
              <w:rPr>
                <w:rFonts w:ascii="標楷體" w:eastAsia="標楷體" w:hAnsi="標楷體" w:cs="Times New Roman" w:hint="eastAsia"/>
                <w:sz w:val="20"/>
                <w:szCs w:val="24"/>
              </w:rPr>
              <w:t>惟間有部分</w:t>
            </w:r>
            <w:proofErr w:type="gramEnd"/>
            <w:r w:rsidRPr="00430D32">
              <w:rPr>
                <w:rFonts w:ascii="標楷體" w:eastAsia="標楷體" w:hAnsi="標楷體" w:cs="Times New Roman" w:hint="eastAsia"/>
                <w:sz w:val="20"/>
                <w:szCs w:val="24"/>
              </w:rPr>
              <w:t>基金盈（</w:t>
            </w:r>
            <w:proofErr w:type="gramStart"/>
            <w:r w:rsidRPr="00430D32">
              <w:rPr>
                <w:rFonts w:ascii="標楷體" w:eastAsia="標楷體" w:hAnsi="標楷體" w:cs="Times New Roman" w:hint="eastAsia"/>
                <w:sz w:val="20"/>
                <w:szCs w:val="24"/>
              </w:rPr>
              <w:t>賸</w:t>
            </w:r>
            <w:proofErr w:type="gramEnd"/>
            <w:r w:rsidRPr="00430D32">
              <w:rPr>
                <w:rFonts w:ascii="標楷體" w:eastAsia="標楷體" w:hAnsi="標楷體" w:cs="Times New Roman" w:hint="eastAsia"/>
                <w:sz w:val="20"/>
                <w:szCs w:val="24"/>
              </w:rPr>
              <w:t>）餘低於預算數或短</w:t>
            </w:r>
            <w:proofErr w:type="gramStart"/>
            <w:r w:rsidRPr="00430D32">
              <w:rPr>
                <w:rFonts w:ascii="標楷體" w:eastAsia="標楷體" w:hAnsi="標楷體" w:cs="Times New Roman" w:hint="eastAsia"/>
                <w:sz w:val="20"/>
                <w:szCs w:val="24"/>
              </w:rPr>
              <w:t>絀</w:t>
            </w:r>
            <w:proofErr w:type="gramEnd"/>
            <w:r w:rsidRPr="00430D32">
              <w:rPr>
                <w:rFonts w:ascii="標楷體" w:eastAsia="標楷體" w:hAnsi="標楷體" w:cs="Times New Roman" w:hint="eastAsia"/>
                <w:sz w:val="20"/>
                <w:szCs w:val="24"/>
              </w:rPr>
              <w:t>加劇，</w:t>
            </w:r>
            <w:proofErr w:type="gramStart"/>
            <w:r w:rsidRPr="00430D32">
              <w:rPr>
                <w:rFonts w:ascii="標楷體" w:eastAsia="標楷體" w:hAnsi="標楷體" w:cs="Times New Roman" w:hint="eastAsia"/>
                <w:sz w:val="20"/>
                <w:szCs w:val="24"/>
              </w:rPr>
              <w:t>另產銷</w:t>
            </w:r>
            <w:proofErr w:type="gramEnd"/>
            <w:r w:rsidRPr="00430D32">
              <w:rPr>
                <w:rFonts w:ascii="標楷體" w:eastAsia="標楷體" w:hAnsi="標楷體" w:cs="Times New Roman" w:hint="eastAsia"/>
                <w:sz w:val="20"/>
                <w:szCs w:val="24"/>
              </w:rPr>
              <w:t>（營運）計畫</w:t>
            </w:r>
            <w:proofErr w:type="gramStart"/>
            <w:r w:rsidRPr="00430D32">
              <w:rPr>
                <w:rFonts w:ascii="標楷體" w:eastAsia="標楷體" w:hAnsi="標楷體" w:cs="Times New Roman" w:hint="eastAsia"/>
                <w:sz w:val="20"/>
                <w:szCs w:val="24"/>
              </w:rPr>
              <w:t>亦間有未</w:t>
            </w:r>
            <w:proofErr w:type="gramEnd"/>
            <w:r w:rsidRPr="00430D32">
              <w:rPr>
                <w:rFonts w:ascii="標楷體" w:eastAsia="標楷體" w:hAnsi="標楷體" w:cs="Times New Roman" w:hint="eastAsia"/>
                <w:sz w:val="20"/>
                <w:szCs w:val="24"/>
              </w:rPr>
              <w:t>達目標情形，有待改善，以提升經營效能。</w:t>
            </w:r>
          </w:p>
        </w:tc>
        <w:tc>
          <w:tcPr>
            <w:tcW w:w="1436" w:type="pct"/>
            <w:tcBorders>
              <w:top w:val="single" w:sz="4" w:space="0" w:color="auto"/>
              <w:left w:val="single" w:sz="4" w:space="0" w:color="auto"/>
              <w:bottom w:val="single" w:sz="4" w:space="0" w:color="auto"/>
              <w:right w:val="single" w:sz="4" w:space="0" w:color="auto"/>
              <w:tl2br w:val="nil"/>
            </w:tcBorders>
          </w:tcPr>
          <w:p w14:paraId="41B30BBE" w14:textId="77777777" w:rsidR="0029756E" w:rsidRPr="00430D32" w:rsidRDefault="0029756E" w:rsidP="003178C0">
            <w:pPr>
              <w:widowControl/>
              <w:spacing w:afterLines="10" w:after="36" w:line="240" w:lineRule="exact"/>
              <w:jc w:val="both"/>
              <w:rPr>
                <w:rFonts w:ascii="標楷體" w:eastAsia="標楷體" w:hAnsi="標楷體" w:cs="Times New Roman"/>
                <w:spacing w:val="-4"/>
                <w:sz w:val="20"/>
                <w:szCs w:val="24"/>
              </w:rPr>
            </w:pPr>
            <w:r w:rsidRPr="00430D32">
              <w:rPr>
                <w:rFonts w:ascii="標楷體" w:eastAsia="標楷體" w:hAnsi="標楷體" w:cs="Times New Roman" w:hint="eastAsia"/>
                <w:spacing w:val="-4"/>
                <w:sz w:val="20"/>
                <w:szCs w:val="24"/>
              </w:rPr>
              <w:t>因部分基金收支預算及產銷（營運）計畫之執行結果未如預期，或未能依改善措施落實辦理，業再</w:t>
            </w:r>
            <w:proofErr w:type="gramStart"/>
            <w:r w:rsidRPr="00430D32">
              <w:rPr>
                <w:rFonts w:ascii="標楷體" w:eastAsia="標楷體" w:hAnsi="標楷體" w:cs="Times New Roman" w:hint="eastAsia"/>
                <w:spacing w:val="-4"/>
                <w:sz w:val="20"/>
                <w:szCs w:val="24"/>
              </w:rPr>
              <w:t>研</w:t>
            </w:r>
            <w:proofErr w:type="gramEnd"/>
            <w:r w:rsidRPr="00430D32">
              <w:rPr>
                <w:rFonts w:ascii="標楷體" w:eastAsia="標楷體" w:hAnsi="標楷體" w:cs="Times New Roman" w:hint="eastAsia"/>
                <w:spacing w:val="-4"/>
                <w:sz w:val="20"/>
                <w:szCs w:val="24"/>
              </w:rPr>
              <w:t>提審核意見詳「四、重要審核意見（三）」。</w:t>
            </w:r>
          </w:p>
        </w:tc>
      </w:tr>
      <w:tr w:rsidR="0029756E" w:rsidRPr="00430D32" w14:paraId="2DB35A91" w14:textId="77777777" w:rsidTr="003178C0">
        <w:trPr>
          <w:trHeight w:val="964"/>
          <w:jc w:val="center"/>
        </w:trPr>
        <w:tc>
          <w:tcPr>
            <w:tcW w:w="3564" w:type="pct"/>
            <w:tcBorders>
              <w:top w:val="single" w:sz="4" w:space="0" w:color="auto"/>
              <w:left w:val="single" w:sz="4" w:space="0" w:color="auto"/>
              <w:bottom w:val="single" w:sz="4" w:space="0" w:color="auto"/>
              <w:right w:val="single" w:sz="4" w:space="0" w:color="auto"/>
              <w:tl2br w:val="nil"/>
            </w:tcBorders>
          </w:tcPr>
          <w:p w14:paraId="1520B330" w14:textId="77777777" w:rsidR="0029756E" w:rsidRPr="00430D32" w:rsidRDefault="0029756E" w:rsidP="003178C0">
            <w:pPr>
              <w:spacing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（三）為推動資訊資源向上</w:t>
            </w:r>
            <w:proofErr w:type="gramStart"/>
            <w:r w:rsidRPr="00430D32">
              <w:rPr>
                <w:rFonts w:ascii="標楷體" w:eastAsia="標楷體" w:hAnsi="標楷體" w:cs="Times New Roman" w:hint="eastAsia"/>
                <w:sz w:val="20"/>
                <w:szCs w:val="24"/>
              </w:rPr>
              <w:t>集中並精進</w:t>
            </w:r>
            <w:proofErr w:type="gramEnd"/>
            <w:r w:rsidRPr="00430D32">
              <w:rPr>
                <w:rFonts w:ascii="標楷體" w:eastAsia="標楷體" w:hAnsi="標楷體" w:cs="Times New Roman" w:hint="eastAsia"/>
                <w:sz w:val="20"/>
                <w:szCs w:val="24"/>
              </w:rPr>
              <w:t>資通安全防護能量，執行政府基層機關資通安全主動防禦計畫，</w:t>
            </w:r>
            <w:proofErr w:type="gramStart"/>
            <w:r w:rsidRPr="00430D32">
              <w:rPr>
                <w:rFonts w:ascii="標楷體" w:eastAsia="標楷體" w:hAnsi="標楷體" w:cs="Times New Roman" w:hint="eastAsia"/>
                <w:sz w:val="20"/>
                <w:szCs w:val="24"/>
              </w:rPr>
              <w:t>惟間有機關</w:t>
            </w:r>
            <w:proofErr w:type="gramEnd"/>
            <w:r w:rsidRPr="00430D32">
              <w:rPr>
                <w:rFonts w:ascii="標楷體" w:eastAsia="標楷體" w:hAnsi="標楷體" w:cs="Times New Roman" w:hint="eastAsia"/>
                <w:sz w:val="20"/>
                <w:szCs w:val="24"/>
              </w:rPr>
              <w:t>資訊資產載有非公務用資通訊軟體、資通安全事件逾限未結百餘</w:t>
            </w:r>
            <w:proofErr w:type="gramStart"/>
            <w:r w:rsidRPr="00430D32">
              <w:rPr>
                <w:rFonts w:ascii="標楷體" w:eastAsia="標楷體" w:hAnsi="標楷體" w:cs="Times New Roman" w:hint="eastAsia"/>
                <w:sz w:val="20"/>
                <w:szCs w:val="24"/>
              </w:rPr>
              <w:t>筆等情，均待</w:t>
            </w:r>
            <w:proofErr w:type="gramEnd"/>
            <w:r w:rsidRPr="00430D32">
              <w:rPr>
                <w:rFonts w:ascii="標楷體" w:eastAsia="標楷體" w:hAnsi="標楷體" w:cs="Times New Roman" w:hint="eastAsia"/>
                <w:sz w:val="20"/>
                <w:szCs w:val="24"/>
              </w:rPr>
              <w:t>檢討改善。</w:t>
            </w:r>
          </w:p>
        </w:tc>
        <w:tc>
          <w:tcPr>
            <w:tcW w:w="1436" w:type="pct"/>
            <w:tcBorders>
              <w:top w:val="single" w:sz="4" w:space="0" w:color="auto"/>
              <w:left w:val="single" w:sz="4" w:space="0" w:color="auto"/>
              <w:bottom w:val="single" w:sz="4" w:space="0" w:color="auto"/>
              <w:right w:val="single" w:sz="4" w:space="0" w:color="auto"/>
              <w:tl2br w:val="nil"/>
            </w:tcBorders>
          </w:tcPr>
          <w:p w14:paraId="2286F009" w14:textId="77777777" w:rsidR="0029756E" w:rsidRPr="00430D32" w:rsidRDefault="0029756E" w:rsidP="003178C0">
            <w:pPr>
              <w:widowControl/>
              <w:spacing w:afterLines="10" w:after="36" w:line="240" w:lineRule="exact"/>
              <w:jc w:val="both"/>
              <w:rPr>
                <w:rFonts w:ascii="標楷體" w:eastAsia="標楷體" w:hAnsi="標楷體" w:cs="Times New Roman"/>
                <w:spacing w:val="-4"/>
                <w:sz w:val="20"/>
                <w:szCs w:val="24"/>
              </w:rPr>
            </w:pPr>
            <w:r w:rsidRPr="00430D32">
              <w:rPr>
                <w:rFonts w:ascii="標楷體" w:eastAsia="標楷體" w:hAnsi="標楷體" w:cs="Times New Roman" w:hint="eastAsia"/>
                <w:spacing w:val="-4"/>
                <w:sz w:val="20"/>
                <w:szCs w:val="24"/>
              </w:rPr>
              <w:t>因部分機關仍安裝行政院禁用之視訊軟體或非公務用資通訊軟體，業再</w:t>
            </w:r>
            <w:proofErr w:type="gramStart"/>
            <w:r w:rsidRPr="00430D32">
              <w:rPr>
                <w:rFonts w:ascii="標楷體" w:eastAsia="標楷體" w:hAnsi="標楷體" w:cs="Times New Roman" w:hint="eastAsia"/>
                <w:spacing w:val="-4"/>
                <w:sz w:val="20"/>
                <w:szCs w:val="24"/>
              </w:rPr>
              <w:t>研</w:t>
            </w:r>
            <w:proofErr w:type="gramEnd"/>
            <w:r w:rsidRPr="00430D32">
              <w:rPr>
                <w:rFonts w:ascii="標楷體" w:eastAsia="標楷體" w:hAnsi="標楷體" w:cs="Times New Roman" w:hint="eastAsia"/>
                <w:spacing w:val="-4"/>
                <w:sz w:val="20"/>
                <w:szCs w:val="24"/>
              </w:rPr>
              <w:t>提審核意見詳「四、重要審核意見（十一）」。</w:t>
            </w:r>
          </w:p>
        </w:tc>
      </w:tr>
      <w:tr w:rsidR="0029756E" w:rsidRPr="00430D32" w14:paraId="0A61E254" w14:textId="77777777" w:rsidTr="00DA4047">
        <w:trPr>
          <w:trHeight w:hRule="exact" w:val="454"/>
          <w:jc w:val="center"/>
        </w:trPr>
        <w:tc>
          <w:tcPr>
            <w:tcW w:w="5000" w:type="pct"/>
            <w:gridSpan w:val="2"/>
            <w:tcBorders>
              <w:top w:val="single" w:sz="4" w:space="0" w:color="auto"/>
              <w:left w:val="single" w:sz="4" w:space="0" w:color="auto"/>
              <w:bottom w:val="single" w:sz="4" w:space="0" w:color="auto"/>
              <w:right w:val="single" w:sz="4" w:space="0" w:color="auto"/>
              <w:tl2br w:val="nil"/>
            </w:tcBorders>
            <w:vAlign w:val="center"/>
            <w:hideMark/>
          </w:tcPr>
          <w:p w14:paraId="54A64996" w14:textId="77777777" w:rsidR="0029756E" w:rsidRPr="00430D32" w:rsidRDefault="0029756E" w:rsidP="003178C0">
            <w:pPr>
              <w:widowControl/>
              <w:spacing w:line="242" w:lineRule="exact"/>
              <w:ind w:left="200" w:hangingChars="100" w:hanging="200"/>
              <w:jc w:val="both"/>
              <w:rPr>
                <w:rFonts w:ascii="標楷體" w:eastAsia="標楷體" w:hAnsi="標楷體" w:cs="Times New Roman"/>
                <w:sz w:val="20"/>
                <w:szCs w:val="24"/>
              </w:rPr>
            </w:pPr>
            <w:r w:rsidRPr="00430D32">
              <w:rPr>
                <w:rFonts w:ascii="標楷體" w:eastAsia="標楷體" w:hAnsi="標楷體" w:cs="Times New Roman" w:hint="eastAsia"/>
                <w:b/>
                <w:sz w:val="20"/>
                <w:szCs w:val="24"/>
              </w:rPr>
              <w:t>已</w:t>
            </w:r>
            <w:proofErr w:type="gramStart"/>
            <w:r w:rsidRPr="00430D32">
              <w:rPr>
                <w:rFonts w:ascii="標楷體" w:eastAsia="標楷體" w:hAnsi="標楷體" w:cs="Times New Roman" w:hint="eastAsia"/>
                <w:b/>
                <w:sz w:val="20"/>
                <w:szCs w:val="24"/>
              </w:rPr>
              <w:t>研</w:t>
            </w:r>
            <w:proofErr w:type="gramEnd"/>
            <w:r w:rsidRPr="00430D32">
              <w:rPr>
                <w:rFonts w:ascii="標楷體" w:eastAsia="標楷體" w:hAnsi="標楷體" w:cs="Times New Roman" w:hint="eastAsia"/>
                <w:b/>
                <w:sz w:val="20"/>
                <w:szCs w:val="24"/>
              </w:rPr>
              <w:t>謀改善或依改善措施持續辦理</w:t>
            </w:r>
          </w:p>
        </w:tc>
      </w:tr>
      <w:tr w:rsidR="0056173F" w:rsidRPr="00430D32" w14:paraId="24B57A98" w14:textId="77777777" w:rsidTr="0056173F">
        <w:trPr>
          <w:trHeight w:val="794"/>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68345408" w14:textId="77777777" w:rsidR="0056173F" w:rsidRPr="00430D32" w:rsidRDefault="0056173F" w:rsidP="003178C0">
            <w:pPr>
              <w:kinsoku w:val="0"/>
              <w:overflowPunct w:val="0"/>
              <w:spacing w:afterLines="10" w:after="36"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（一）近年度歲入決算審定數持續成長，自籌財源亦有增長，惟占歲入決算審定數比率略降，又以前年度應收、應付保留金額與保留年數仍高，有待</w:t>
            </w:r>
            <w:proofErr w:type="gramStart"/>
            <w:r w:rsidRPr="00430D32">
              <w:rPr>
                <w:rFonts w:ascii="標楷體" w:eastAsia="標楷體" w:hAnsi="標楷體" w:cs="Times New Roman" w:hint="eastAsia"/>
                <w:sz w:val="20"/>
                <w:szCs w:val="24"/>
              </w:rPr>
              <w:t>賡續精</w:t>
            </w:r>
            <w:proofErr w:type="gramEnd"/>
            <w:r w:rsidRPr="00430D32">
              <w:rPr>
                <w:rFonts w:ascii="標楷體" w:eastAsia="標楷體" w:hAnsi="標楷體" w:cs="Times New Roman" w:hint="eastAsia"/>
                <w:sz w:val="20"/>
                <w:szCs w:val="24"/>
              </w:rPr>
              <w:t>進財務管理及預算執行。</w:t>
            </w:r>
          </w:p>
        </w:tc>
        <w:tc>
          <w:tcPr>
            <w:tcW w:w="1436" w:type="pct"/>
            <w:vMerge w:val="restart"/>
            <w:tcBorders>
              <w:left w:val="single" w:sz="4" w:space="0" w:color="auto"/>
              <w:right w:val="single" w:sz="4" w:space="0" w:color="auto"/>
              <w:tl2br w:val="single" w:sz="4" w:space="0" w:color="auto"/>
            </w:tcBorders>
            <w:vAlign w:val="center"/>
            <w:hideMark/>
          </w:tcPr>
          <w:p w14:paraId="3A88947E" w14:textId="77777777" w:rsidR="0056173F" w:rsidRPr="00430D32" w:rsidRDefault="0056173F" w:rsidP="003178C0">
            <w:pPr>
              <w:widowControl/>
              <w:spacing w:line="242" w:lineRule="exact"/>
              <w:rPr>
                <w:rFonts w:ascii="標楷體" w:eastAsia="標楷體" w:hAnsi="標楷體" w:cs="Times New Roman"/>
                <w:b/>
                <w:sz w:val="20"/>
                <w:szCs w:val="24"/>
              </w:rPr>
            </w:pPr>
          </w:p>
        </w:tc>
      </w:tr>
      <w:tr w:rsidR="0056173F" w:rsidRPr="00430D32" w14:paraId="06D96416" w14:textId="77777777" w:rsidTr="00A12C1B">
        <w:trPr>
          <w:trHeight w:val="765"/>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612CE45F" w14:textId="77777777" w:rsidR="0056173F" w:rsidRPr="00430D32" w:rsidRDefault="0056173F" w:rsidP="003178C0">
            <w:pPr>
              <w:kinsoku w:val="0"/>
              <w:overflowPunct w:val="0"/>
              <w:spacing w:afterLines="10" w:after="36"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（二）作業基金持有現金及約當現金數額龐鉅，尚待運用或</w:t>
            </w:r>
            <w:proofErr w:type="gramStart"/>
            <w:r w:rsidRPr="00430D32">
              <w:rPr>
                <w:rFonts w:ascii="標楷體" w:eastAsia="標楷體" w:hAnsi="標楷體" w:cs="Times New Roman" w:hint="eastAsia"/>
                <w:sz w:val="20"/>
                <w:szCs w:val="24"/>
              </w:rPr>
              <w:t>研</w:t>
            </w:r>
            <w:proofErr w:type="gramEnd"/>
            <w:r w:rsidRPr="00430D32">
              <w:rPr>
                <w:rFonts w:ascii="標楷體" w:eastAsia="標楷體" w:hAnsi="標楷體" w:cs="Times New Roman" w:hint="eastAsia"/>
                <w:sz w:val="20"/>
                <w:szCs w:val="24"/>
              </w:rPr>
              <w:t>酌增加繳庫數額；另整體營業及非營業特種基金固定資產建設改良擴充執行率多年未及</w:t>
            </w:r>
            <w:proofErr w:type="gramStart"/>
            <w:r w:rsidRPr="00430D32">
              <w:rPr>
                <w:rFonts w:ascii="標楷體" w:eastAsia="標楷體" w:hAnsi="標楷體" w:cs="Times New Roman" w:hint="eastAsia"/>
                <w:sz w:val="20"/>
                <w:szCs w:val="24"/>
              </w:rPr>
              <w:t>8成</w:t>
            </w:r>
            <w:proofErr w:type="gramEnd"/>
            <w:r w:rsidRPr="00430D32">
              <w:rPr>
                <w:rFonts w:ascii="標楷體" w:eastAsia="標楷體" w:hAnsi="標楷體" w:cs="Times New Roman" w:hint="eastAsia"/>
                <w:sz w:val="20"/>
                <w:szCs w:val="24"/>
              </w:rPr>
              <w:t>，</w:t>
            </w:r>
            <w:proofErr w:type="gramStart"/>
            <w:r w:rsidRPr="00430D32">
              <w:rPr>
                <w:rFonts w:ascii="標楷體" w:eastAsia="標楷體" w:hAnsi="標楷體" w:cs="Times New Roman" w:hint="eastAsia"/>
                <w:sz w:val="20"/>
                <w:szCs w:val="24"/>
              </w:rPr>
              <w:t>均待檢討</w:t>
            </w:r>
            <w:proofErr w:type="gramEnd"/>
            <w:r w:rsidRPr="00430D32">
              <w:rPr>
                <w:rFonts w:ascii="標楷體" w:eastAsia="標楷體" w:hAnsi="標楷體" w:cs="Times New Roman" w:hint="eastAsia"/>
                <w:sz w:val="20"/>
                <w:szCs w:val="24"/>
              </w:rPr>
              <w:t>改善。</w:t>
            </w:r>
          </w:p>
        </w:tc>
        <w:tc>
          <w:tcPr>
            <w:tcW w:w="1436" w:type="pct"/>
            <w:vMerge/>
            <w:tcBorders>
              <w:left w:val="single" w:sz="4" w:space="0" w:color="auto"/>
              <w:right w:val="single" w:sz="4" w:space="0" w:color="auto"/>
              <w:tl2br w:val="single" w:sz="4" w:space="0" w:color="auto"/>
            </w:tcBorders>
            <w:vAlign w:val="center"/>
          </w:tcPr>
          <w:p w14:paraId="1241F179" w14:textId="77777777" w:rsidR="0056173F" w:rsidRPr="00430D32" w:rsidRDefault="0056173F" w:rsidP="003178C0">
            <w:pPr>
              <w:widowControl/>
              <w:spacing w:line="242" w:lineRule="exact"/>
              <w:rPr>
                <w:rFonts w:ascii="標楷體" w:eastAsia="標楷體" w:hAnsi="標楷體" w:cs="Times New Roman"/>
                <w:b/>
                <w:sz w:val="20"/>
                <w:szCs w:val="24"/>
              </w:rPr>
            </w:pPr>
          </w:p>
        </w:tc>
      </w:tr>
      <w:tr w:rsidR="0056173F" w:rsidRPr="00430D32" w14:paraId="6B5EC43A" w14:textId="77777777" w:rsidTr="00A12C1B">
        <w:trPr>
          <w:trHeight w:val="397"/>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5CE14B26" w14:textId="77777777" w:rsidR="0056173F" w:rsidRPr="00430D32" w:rsidRDefault="0056173F" w:rsidP="003178C0">
            <w:pPr>
              <w:spacing w:afterLines="10" w:after="36"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（三）為改善老舊市場空間不敷使用以符現代化經營需求，推動第一果菜及萬大魚類批發市場改建計畫，</w:t>
            </w:r>
            <w:proofErr w:type="gramStart"/>
            <w:r w:rsidRPr="00430D32">
              <w:rPr>
                <w:rFonts w:ascii="標楷體" w:eastAsia="標楷體" w:hAnsi="標楷體" w:cs="Times New Roman" w:hint="eastAsia"/>
                <w:sz w:val="20"/>
                <w:szCs w:val="24"/>
              </w:rPr>
              <w:t>惟統包</w:t>
            </w:r>
            <w:proofErr w:type="gramEnd"/>
            <w:r w:rsidRPr="00430D32">
              <w:rPr>
                <w:rFonts w:ascii="標楷體" w:eastAsia="標楷體" w:hAnsi="標楷體" w:cs="Times New Roman" w:hint="eastAsia"/>
                <w:sz w:val="20"/>
                <w:szCs w:val="24"/>
              </w:rPr>
              <w:t>工程履約管理等作業核有欠當，亟待檢討改善。</w:t>
            </w:r>
          </w:p>
        </w:tc>
        <w:tc>
          <w:tcPr>
            <w:tcW w:w="1436" w:type="pct"/>
            <w:vMerge/>
            <w:tcBorders>
              <w:left w:val="single" w:sz="4" w:space="0" w:color="auto"/>
              <w:right w:val="single" w:sz="4" w:space="0" w:color="auto"/>
              <w:tl2br w:val="single" w:sz="4" w:space="0" w:color="auto"/>
            </w:tcBorders>
            <w:vAlign w:val="center"/>
          </w:tcPr>
          <w:p w14:paraId="4A0CE29F" w14:textId="77777777" w:rsidR="0056173F" w:rsidRPr="00430D32" w:rsidRDefault="0056173F" w:rsidP="003178C0">
            <w:pPr>
              <w:widowControl/>
              <w:spacing w:line="242" w:lineRule="exact"/>
              <w:rPr>
                <w:rFonts w:ascii="標楷體" w:eastAsia="標楷體" w:hAnsi="標楷體" w:cs="Times New Roman"/>
                <w:b/>
                <w:sz w:val="20"/>
                <w:szCs w:val="24"/>
              </w:rPr>
            </w:pPr>
          </w:p>
        </w:tc>
      </w:tr>
      <w:tr w:rsidR="0056173F" w:rsidRPr="00430D32" w14:paraId="227E385B" w14:textId="77777777" w:rsidTr="0056173F">
        <w:trPr>
          <w:trHeight w:val="1020"/>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2D9AD670" w14:textId="77777777" w:rsidR="0056173F" w:rsidRPr="00430D32" w:rsidRDefault="0056173F" w:rsidP="003178C0">
            <w:pPr>
              <w:spacing w:afterLines="10" w:after="36"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（四）為提升公共設施服務品質，部分機關定期辦理維護管理勞務採購案件，惟廠商於履約期間</w:t>
            </w:r>
            <w:proofErr w:type="gramStart"/>
            <w:r w:rsidRPr="00430D32">
              <w:rPr>
                <w:rFonts w:ascii="標楷體" w:eastAsia="標楷體" w:hAnsi="標楷體" w:cs="Times New Roman" w:hint="eastAsia"/>
                <w:sz w:val="20"/>
                <w:szCs w:val="24"/>
              </w:rPr>
              <w:t>提送估驗</w:t>
            </w:r>
            <w:proofErr w:type="gramEnd"/>
            <w:r w:rsidRPr="00430D32">
              <w:rPr>
                <w:rFonts w:ascii="標楷體" w:eastAsia="標楷體" w:hAnsi="標楷體" w:cs="Times New Roman" w:hint="eastAsia"/>
                <w:sz w:val="20"/>
                <w:szCs w:val="24"/>
              </w:rPr>
              <w:t>計價文件，於不同時間、地點之環境清潔、巡檢照片涉有高度雷同者，達千餘張，或以舊有履約照片請款，有待通盤檢討改善。</w:t>
            </w:r>
          </w:p>
        </w:tc>
        <w:tc>
          <w:tcPr>
            <w:tcW w:w="1436" w:type="pct"/>
            <w:vMerge/>
            <w:tcBorders>
              <w:left w:val="single" w:sz="4" w:space="0" w:color="auto"/>
              <w:right w:val="single" w:sz="4" w:space="0" w:color="auto"/>
              <w:tl2br w:val="single" w:sz="4" w:space="0" w:color="auto"/>
            </w:tcBorders>
            <w:vAlign w:val="center"/>
            <w:hideMark/>
          </w:tcPr>
          <w:p w14:paraId="282159C9" w14:textId="77777777" w:rsidR="0056173F" w:rsidRPr="00430D32" w:rsidRDefault="0056173F" w:rsidP="003178C0">
            <w:pPr>
              <w:widowControl/>
              <w:spacing w:line="242" w:lineRule="exact"/>
              <w:rPr>
                <w:rFonts w:ascii="標楷體" w:eastAsia="標楷體" w:hAnsi="標楷體" w:cs="Times New Roman"/>
                <w:b/>
                <w:sz w:val="20"/>
                <w:szCs w:val="24"/>
              </w:rPr>
            </w:pPr>
          </w:p>
        </w:tc>
      </w:tr>
      <w:tr w:rsidR="0056173F" w:rsidRPr="00430D32" w14:paraId="793EB6B3" w14:textId="77777777" w:rsidTr="00A12C1B">
        <w:trPr>
          <w:trHeight w:val="794"/>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5F44C7B5" w14:textId="77777777" w:rsidR="0056173F" w:rsidRPr="00430D32" w:rsidRDefault="0056173F" w:rsidP="003178C0">
            <w:pPr>
              <w:spacing w:afterLines="10" w:after="36"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（五）為提供民眾優質環境，</w:t>
            </w:r>
            <w:proofErr w:type="gramStart"/>
            <w:r w:rsidRPr="00430D32">
              <w:rPr>
                <w:rFonts w:ascii="標楷體" w:eastAsia="標楷體" w:hAnsi="標楷體" w:cs="Times New Roman" w:hint="eastAsia"/>
                <w:sz w:val="20"/>
                <w:szCs w:val="24"/>
              </w:rPr>
              <w:t>賡</w:t>
            </w:r>
            <w:proofErr w:type="gramEnd"/>
            <w:r w:rsidRPr="00430D32">
              <w:rPr>
                <w:rFonts w:ascii="標楷體" w:eastAsia="標楷體" w:hAnsi="標楷體" w:cs="Times New Roman" w:hint="eastAsia"/>
                <w:sz w:val="20"/>
                <w:szCs w:val="24"/>
              </w:rPr>
              <w:t>續推動重大公共建設計畫，惟部分案件產生履約爭議，</w:t>
            </w:r>
            <w:proofErr w:type="gramStart"/>
            <w:r w:rsidRPr="00430D32">
              <w:rPr>
                <w:rFonts w:ascii="標楷體" w:eastAsia="標楷體" w:hAnsi="標楷體" w:cs="Times New Roman" w:hint="eastAsia"/>
                <w:sz w:val="20"/>
                <w:szCs w:val="24"/>
              </w:rPr>
              <w:t>間有涉訟</w:t>
            </w:r>
            <w:proofErr w:type="gramEnd"/>
            <w:r w:rsidRPr="00430D32">
              <w:rPr>
                <w:rFonts w:ascii="標楷體" w:eastAsia="標楷體" w:hAnsi="標楷體" w:cs="Times New Roman" w:hint="eastAsia"/>
                <w:sz w:val="20"/>
                <w:szCs w:val="24"/>
              </w:rPr>
              <w:t>及須依爭議處理結果支付鉅額款項者，亟待檢討癥結原因，</w:t>
            </w:r>
            <w:proofErr w:type="gramStart"/>
            <w:r w:rsidRPr="00430D32">
              <w:rPr>
                <w:rFonts w:ascii="標楷體" w:eastAsia="標楷體" w:hAnsi="標楷體" w:cs="Times New Roman" w:hint="eastAsia"/>
                <w:sz w:val="20"/>
                <w:szCs w:val="24"/>
              </w:rPr>
              <w:t>研</w:t>
            </w:r>
            <w:proofErr w:type="gramEnd"/>
            <w:r w:rsidRPr="00430D32">
              <w:rPr>
                <w:rFonts w:ascii="標楷體" w:eastAsia="標楷體" w:hAnsi="標楷體" w:cs="Times New Roman" w:hint="eastAsia"/>
                <w:sz w:val="20"/>
                <w:szCs w:val="24"/>
              </w:rPr>
              <w:t>謀改善。</w:t>
            </w:r>
          </w:p>
        </w:tc>
        <w:tc>
          <w:tcPr>
            <w:tcW w:w="1436" w:type="pct"/>
            <w:vMerge/>
            <w:tcBorders>
              <w:left w:val="single" w:sz="4" w:space="0" w:color="auto"/>
              <w:right w:val="single" w:sz="4" w:space="0" w:color="auto"/>
              <w:tl2br w:val="single" w:sz="4" w:space="0" w:color="auto"/>
            </w:tcBorders>
          </w:tcPr>
          <w:p w14:paraId="6CAE63FC" w14:textId="77777777" w:rsidR="0056173F" w:rsidRPr="00430D32" w:rsidRDefault="0056173F" w:rsidP="003178C0">
            <w:pPr>
              <w:widowControl/>
              <w:spacing w:line="242" w:lineRule="exact"/>
              <w:jc w:val="both"/>
              <w:rPr>
                <w:rFonts w:ascii="標楷體" w:eastAsia="標楷體" w:hAnsi="標楷體" w:cs="Times New Roman"/>
                <w:sz w:val="20"/>
                <w:szCs w:val="24"/>
              </w:rPr>
            </w:pPr>
          </w:p>
        </w:tc>
      </w:tr>
      <w:tr w:rsidR="0056173F" w:rsidRPr="00430D32" w14:paraId="5EBD403C" w14:textId="77777777" w:rsidTr="00A12C1B">
        <w:trPr>
          <w:trHeight w:val="794"/>
          <w:jc w:val="center"/>
        </w:trPr>
        <w:tc>
          <w:tcPr>
            <w:tcW w:w="3564" w:type="pct"/>
            <w:tcBorders>
              <w:top w:val="single" w:sz="4" w:space="0" w:color="auto"/>
              <w:left w:val="single" w:sz="4" w:space="0" w:color="auto"/>
              <w:bottom w:val="single" w:sz="4" w:space="0" w:color="auto"/>
              <w:right w:val="single" w:sz="4" w:space="0" w:color="auto"/>
              <w:tl2br w:val="nil"/>
            </w:tcBorders>
          </w:tcPr>
          <w:p w14:paraId="75F3F07A" w14:textId="77777777" w:rsidR="0056173F" w:rsidRPr="00430D32" w:rsidRDefault="0056173F" w:rsidP="003178C0">
            <w:pPr>
              <w:spacing w:afterLines="10" w:after="36"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（六）為因應社會發展需求興辦各項公共建設，惟部分工程之營建剩餘土石方處理及交換利用作業，</w:t>
            </w:r>
            <w:proofErr w:type="gramStart"/>
            <w:r w:rsidRPr="00430D32">
              <w:rPr>
                <w:rFonts w:ascii="標楷體" w:eastAsia="標楷體" w:hAnsi="標楷體" w:cs="Times New Roman" w:hint="eastAsia"/>
                <w:sz w:val="20"/>
                <w:szCs w:val="24"/>
              </w:rPr>
              <w:t>間有泥漿</w:t>
            </w:r>
            <w:proofErr w:type="gramEnd"/>
            <w:r w:rsidRPr="00430D32">
              <w:rPr>
                <w:rFonts w:ascii="標楷體" w:eastAsia="標楷體" w:hAnsi="標楷體" w:cs="Times New Roman" w:hint="eastAsia"/>
                <w:sz w:val="20"/>
                <w:szCs w:val="24"/>
              </w:rPr>
              <w:t>處理未落實審查及餘方處理計價錯誤情事，溢付剩餘土石方處理等費用共4,848萬餘元，</w:t>
            </w:r>
            <w:proofErr w:type="gramStart"/>
            <w:r w:rsidRPr="00430D32">
              <w:rPr>
                <w:rFonts w:ascii="標楷體" w:eastAsia="標楷體" w:hAnsi="標楷體" w:cs="Times New Roman" w:hint="eastAsia"/>
                <w:sz w:val="20"/>
                <w:szCs w:val="24"/>
              </w:rPr>
              <w:t>均待檢討</w:t>
            </w:r>
            <w:proofErr w:type="gramEnd"/>
            <w:r w:rsidRPr="00430D32">
              <w:rPr>
                <w:rFonts w:ascii="標楷體" w:eastAsia="標楷體" w:hAnsi="標楷體" w:cs="Times New Roman" w:hint="eastAsia"/>
                <w:sz w:val="20"/>
                <w:szCs w:val="24"/>
              </w:rPr>
              <w:t>改善。</w:t>
            </w:r>
          </w:p>
        </w:tc>
        <w:tc>
          <w:tcPr>
            <w:tcW w:w="1436" w:type="pct"/>
            <w:vMerge/>
            <w:tcBorders>
              <w:left w:val="single" w:sz="4" w:space="0" w:color="auto"/>
              <w:right w:val="single" w:sz="4" w:space="0" w:color="auto"/>
              <w:tl2br w:val="single" w:sz="4" w:space="0" w:color="auto"/>
            </w:tcBorders>
            <w:vAlign w:val="center"/>
          </w:tcPr>
          <w:p w14:paraId="2A5D777A" w14:textId="77777777" w:rsidR="0056173F" w:rsidRPr="00430D32" w:rsidRDefault="0056173F" w:rsidP="003178C0">
            <w:pPr>
              <w:widowControl/>
              <w:spacing w:line="242" w:lineRule="exact"/>
              <w:rPr>
                <w:rFonts w:ascii="標楷體" w:eastAsia="標楷體" w:hAnsi="標楷體" w:cs="Times New Roman"/>
                <w:sz w:val="20"/>
                <w:szCs w:val="24"/>
              </w:rPr>
            </w:pPr>
          </w:p>
        </w:tc>
      </w:tr>
      <w:tr w:rsidR="0056173F" w:rsidRPr="00430D32" w14:paraId="5C622722" w14:textId="77777777" w:rsidTr="0056173F">
        <w:trPr>
          <w:trHeight w:val="680"/>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1D56317D" w14:textId="77777777" w:rsidR="0056173F" w:rsidRPr="00430D32" w:rsidRDefault="0056173F" w:rsidP="003178C0">
            <w:pPr>
              <w:spacing w:afterLines="10" w:after="36"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（七）為維護政府採購秩序，規範機關辦理政府採購拒絕往來廠商刊登作業，惟部分機關未於規定期限內將不良廠商刊登政府採購公報，有待檢討改善。</w:t>
            </w:r>
          </w:p>
        </w:tc>
        <w:tc>
          <w:tcPr>
            <w:tcW w:w="1436" w:type="pct"/>
            <w:vMerge/>
            <w:tcBorders>
              <w:left w:val="single" w:sz="4" w:space="0" w:color="auto"/>
              <w:right w:val="single" w:sz="4" w:space="0" w:color="auto"/>
              <w:tl2br w:val="single" w:sz="4" w:space="0" w:color="auto"/>
            </w:tcBorders>
            <w:vAlign w:val="center"/>
            <w:hideMark/>
          </w:tcPr>
          <w:p w14:paraId="0EB54D46" w14:textId="77777777" w:rsidR="0056173F" w:rsidRPr="00430D32" w:rsidRDefault="0056173F" w:rsidP="003178C0">
            <w:pPr>
              <w:widowControl/>
              <w:spacing w:line="242" w:lineRule="exact"/>
              <w:rPr>
                <w:rFonts w:ascii="標楷體" w:eastAsia="標楷體" w:hAnsi="標楷體" w:cs="Times New Roman"/>
                <w:sz w:val="20"/>
                <w:szCs w:val="24"/>
              </w:rPr>
            </w:pPr>
          </w:p>
        </w:tc>
      </w:tr>
      <w:tr w:rsidR="0056173F" w:rsidRPr="00430D32" w14:paraId="52F3AF6F" w14:textId="77777777" w:rsidTr="00A12C1B">
        <w:trPr>
          <w:trHeight w:val="567"/>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52D1DEC3" w14:textId="10779A53" w:rsidR="0056173F" w:rsidRPr="00430D32" w:rsidRDefault="0056173F" w:rsidP="0056173F">
            <w:pPr>
              <w:spacing w:afterLines="10" w:after="36"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（八）為確保藝文類行政法人專業經營成效，已針對董</w:t>
            </w:r>
            <w:r w:rsidRPr="00430D32">
              <w:rPr>
                <w:rFonts w:ascii="標楷體" w:eastAsia="標楷體" w:hAnsi="標楷體" w:cs="Times New Roman"/>
                <w:sz w:val="20"/>
                <w:szCs w:val="24"/>
              </w:rPr>
              <w:t>（</w:t>
            </w:r>
            <w:r w:rsidRPr="00430D32">
              <w:rPr>
                <w:rFonts w:ascii="標楷體" w:eastAsia="標楷體" w:hAnsi="標楷體" w:cs="Times New Roman" w:hint="eastAsia"/>
                <w:sz w:val="20"/>
                <w:szCs w:val="24"/>
              </w:rPr>
              <w:t>監</w:t>
            </w:r>
            <w:r w:rsidRPr="00430D32">
              <w:rPr>
                <w:rFonts w:ascii="標楷體" w:eastAsia="標楷體" w:hAnsi="標楷體" w:cs="Times New Roman"/>
                <w:sz w:val="20"/>
                <w:szCs w:val="24"/>
              </w:rPr>
              <w:t>）</w:t>
            </w:r>
            <w:r w:rsidRPr="00430D32">
              <w:rPr>
                <w:rFonts w:ascii="標楷體" w:eastAsia="標楷體" w:hAnsi="標楷體" w:cs="Times New Roman" w:hint="eastAsia"/>
                <w:sz w:val="20"/>
                <w:szCs w:val="24"/>
              </w:rPr>
              <w:t>事會設計多元參與機制，並</w:t>
            </w:r>
            <w:proofErr w:type="gramStart"/>
            <w:r w:rsidRPr="00430D32">
              <w:rPr>
                <w:rFonts w:ascii="標楷體" w:eastAsia="標楷體" w:hAnsi="標楷體" w:cs="Times New Roman" w:hint="eastAsia"/>
                <w:sz w:val="20"/>
                <w:szCs w:val="24"/>
              </w:rPr>
              <w:t>踐行</w:t>
            </w:r>
            <w:proofErr w:type="gramEnd"/>
            <w:r w:rsidRPr="00430D32">
              <w:rPr>
                <w:rFonts w:ascii="標楷體" w:eastAsia="標楷體" w:hAnsi="標楷體" w:cs="Times New Roman" w:hint="eastAsia"/>
                <w:sz w:val="20"/>
                <w:szCs w:val="24"/>
              </w:rPr>
              <w:t>績效評鑑制度，惟辦理董事長、董（監）事及績效評鑑小組成員之聘任，與擬訂績效項目及目標等作業，</w:t>
            </w:r>
            <w:proofErr w:type="gramStart"/>
            <w:r w:rsidRPr="00430D32">
              <w:rPr>
                <w:rFonts w:ascii="標楷體" w:eastAsia="標楷體" w:hAnsi="標楷體" w:cs="Times New Roman" w:hint="eastAsia"/>
                <w:sz w:val="20"/>
                <w:szCs w:val="24"/>
              </w:rPr>
              <w:t>間有未臻</w:t>
            </w:r>
            <w:proofErr w:type="gramEnd"/>
            <w:r w:rsidRPr="00430D32">
              <w:rPr>
                <w:rFonts w:ascii="標楷體" w:eastAsia="標楷體" w:hAnsi="標楷體" w:cs="Times New Roman" w:hint="eastAsia"/>
                <w:sz w:val="20"/>
                <w:szCs w:val="24"/>
              </w:rPr>
              <w:t>周妥情事，均有待</w:t>
            </w:r>
            <w:proofErr w:type="gramStart"/>
            <w:r w:rsidRPr="00430D32">
              <w:rPr>
                <w:rFonts w:ascii="標楷體" w:eastAsia="標楷體" w:hAnsi="標楷體" w:cs="Times New Roman" w:hint="eastAsia"/>
                <w:sz w:val="20"/>
                <w:szCs w:val="24"/>
              </w:rPr>
              <w:t>研</w:t>
            </w:r>
            <w:proofErr w:type="gramEnd"/>
            <w:r w:rsidRPr="00430D32">
              <w:rPr>
                <w:rFonts w:ascii="標楷體" w:eastAsia="標楷體" w:hAnsi="標楷體" w:cs="Times New Roman" w:hint="eastAsia"/>
                <w:sz w:val="20"/>
                <w:szCs w:val="24"/>
              </w:rPr>
              <w:t>謀改善。</w:t>
            </w:r>
          </w:p>
        </w:tc>
        <w:tc>
          <w:tcPr>
            <w:tcW w:w="1436" w:type="pct"/>
            <w:vMerge/>
            <w:tcBorders>
              <w:left w:val="single" w:sz="4" w:space="0" w:color="auto"/>
              <w:right w:val="single" w:sz="4" w:space="0" w:color="auto"/>
              <w:tl2br w:val="single" w:sz="4" w:space="0" w:color="auto"/>
            </w:tcBorders>
            <w:vAlign w:val="center"/>
          </w:tcPr>
          <w:p w14:paraId="585BC078" w14:textId="77777777" w:rsidR="0056173F" w:rsidRPr="00430D32" w:rsidRDefault="0056173F" w:rsidP="0056173F">
            <w:pPr>
              <w:widowControl/>
              <w:spacing w:line="242" w:lineRule="exact"/>
              <w:rPr>
                <w:rFonts w:ascii="標楷體" w:eastAsia="標楷體" w:hAnsi="標楷體" w:cs="Times New Roman"/>
                <w:sz w:val="20"/>
                <w:szCs w:val="24"/>
              </w:rPr>
            </w:pPr>
          </w:p>
        </w:tc>
      </w:tr>
      <w:tr w:rsidR="0056173F" w:rsidRPr="00430D32" w14:paraId="4505B5A1" w14:textId="77777777" w:rsidTr="0056173F">
        <w:trPr>
          <w:trHeight w:val="340"/>
          <w:tblHeader/>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3C841FBD" w14:textId="77777777" w:rsidR="0056173F" w:rsidRPr="00430D32" w:rsidRDefault="0056173F" w:rsidP="0056173F">
            <w:pPr>
              <w:widowControl/>
              <w:spacing w:line="200" w:lineRule="exact"/>
              <w:jc w:val="center"/>
              <w:rPr>
                <w:rFonts w:ascii="標楷體" w:eastAsia="標楷體" w:hAnsi="標楷體" w:cs="Times New Roman"/>
                <w:sz w:val="20"/>
                <w:szCs w:val="24"/>
              </w:rPr>
            </w:pPr>
            <w:r w:rsidRPr="00430D32">
              <w:rPr>
                <w:rFonts w:ascii="標楷體" w:eastAsia="標楷體" w:hAnsi="標楷體" w:cs="Times New Roman" w:hint="eastAsia"/>
                <w:sz w:val="20"/>
                <w:szCs w:val="24"/>
              </w:rPr>
              <w:lastRenderedPageBreak/>
              <w:t>重要審核意見標題</w:t>
            </w:r>
          </w:p>
        </w:tc>
        <w:tc>
          <w:tcPr>
            <w:tcW w:w="1436" w:type="pct"/>
            <w:tcBorders>
              <w:top w:val="single" w:sz="4" w:space="0" w:color="auto"/>
              <w:left w:val="single" w:sz="4" w:space="0" w:color="auto"/>
              <w:bottom w:val="single" w:sz="4" w:space="0" w:color="auto"/>
              <w:right w:val="single" w:sz="4" w:space="0" w:color="auto"/>
              <w:tl2br w:val="nil"/>
            </w:tcBorders>
            <w:vAlign w:val="center"/>
          </w:tcPr>
          <w:p w14:paraId="33C26E14" w14:textId="77777777" w:rsidR="0056173F" w:rsidRPr="00430D32" w:rsidRDefault="0056173F" w:rsidP="0056173F">
            <w:pPr>
              <w:widowControl/>
              <w:spacing w:line="200" w:lineRule="exact"/>
              <w:jc w:val="center"/>
              <w:rPr>
                <w:rFonts w:ascii="標楷體" w:eastAsia="標楷體" w:hAnsi="標楷體" w:cs="Times New Roman"/>
                <w:sz w:val="20"/>
                <w:szCs w:val="24"/>
              </w:rPr>
            </w:pPr>
            <w:r w:rsidRPr="00430D32">
              <w:rPr>
                <w:rFonts w:ascii="標楷體" w:eastAsia="標楷體" w:hAnsi="標楷體" w:cs="Times New Roman" w:hint="eastAsia"/>
                <w:sz w:val="20"/>
                <w:szCs w:val="24"/>
              </w:rPr>
              <w:t>說明</w:t>
            </w:r>
          </w:p>
        </w:tc>
      </w:tr>
      <w:tr w:rsidR="0056173F" w:rsidRPr="00430D32" w14:paraId="4721FD84" w14:textId="77777777" w:rsidTr="0056173F">
        <w:trPr>
          <w:trHeight w:val="397"/>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7BA83747" w14:textId="77777777" w:rsidR="0056173F" w:rsidRPr="00430D32" w:rsidRDefault="0056173F" w:rsidP="0056173F">
            <w:pPr>
              <w:spacing w:afterLines="10" w:after="36"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（九）為推動市政建設、文資保存及社會福利，申請中央計畫型補助款，惟部分計畫執行進度或成效未如預期，或未落實依中央補助規定辦理，有待檢討改善。</w:t>
            </w:r>
          </w:p>
        </w:tc>
        <w:tc>
          <w:tcPr>
            <w:tcW w:w="1436" w:type="pct"/>
            <w:vMerge w:val="restart"/>
            <w:tcBorders>
              <w:left w:val="single" w:sz="4" w:space="0" w:color="auto"/>
              <w:right w:val="single" w:sz="4" w:space="0" w:color="auto"/>
              <w:tl2br w:val="single" w:sz="4" w:space="0" w:color="auto"/>
            </w:tcBorders>
            <w:vAlign w:val="center"/>
          </w:tcPr>
          <w:p w14:paraId="7F5DA8CF" w14:textId="77777777" w:rsidR="0056173F" w:rsidRPr="0056173F" w:rsidRDefault="0056173F" w:rsidP="0056173F">
            <w:pPr>
              <w:widowControl/>
              <w:spacing w:line="242" w:lineRule="exact"/>
              <w:rPr>
                <w:rFonts w:ascii="標楷體" w:eastAsia="標楷體" w:hAnsi="標楷體" w:cs="Times New Roman"/>
                <w:sz w:val="20"/>
                <w:szCs w:val="24"/>
              </w:rPr>
            </w:pPr>
          </w:p>
        </w:tc>
      </w:tr>
      <w:tr w:rsidR="0056173F" w:rsidRPr="00430D32" w14:paraId="6748F5AA" w14:textId="77777777" w:rsidTr="0056173F">
        <w:trPr>
          <w:trHeight w:val="397"/>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7E079594" w14:textId="77777777" w:rsidR="0056173F" w:rsidRPr="00430D32" w:rsidRDefault="0056173F" w:rsidP="0056173F">
            <w:pPr>
              <w:spacing w:afterLines="10" w:after="36" w:line="240" w:lineRule="exact"/>
              <w:ind w:left="600" w:hangingChars="300" w:hanging="6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（十）部分機關經管國有公用土地每年皆有新增被占用數，且</w:t>
            </w:r>
            <w:proofErr w:type="gramStart"/>
            <w:r w:rsidRPr="00430D32">
              <w:rPr>
                <w:rFonts w:ascii="標楷體" w:eastAsia="標楷體" w:hAnsi="標楷體" w:cs="Times New Roman" w:hint="eastAsia"/>
                <w:sz w:val="20"/>
                <w:szCs w:val="24"/>
              </w:rPr>
              <w:t>112</w:t>
            </w:r>
            <w:proofErr w:type="gramEnd"/>
            <w:r w:rsidRPr="00430D32">
              <w:rPr>
                <w:rFonts w:ascii="標楷體" w:eastAsia="標楷體" w:hAnsi="標楷體" w:cs="Times New Roman" w:hint="eastAsia"/>
                <w:sz w:val="20"/>
                <w:szCs w:val="24"/>
              </w:rPr>
              <w:t>年度錄數結案率僅2.29％，較</w:t>
            </w:r>
            <w:proofErr w:type="gramStart"/>
            <w:r w:rsidRPr="00430D32">
              <w:rPr>
                <w:rFonts w:ascii="標楷體" w:eastAsia="標楷體" w:hAnsi="標楷體" w:cs="Times New Roman" w:hint="eastAsia"/>
                <w:sz w:val="20"/>
                <w:szCs w:val="24"/>
              </w:rPr>
              <w:t>111</w:t>
            </w:r>
            <w:proofErr w:type="gramEnd"/>
            <w:r w:rsidRPr="00430D32">
              <w:rPr>
                <w:rFonts w:ascii="標楷體" w:eastAsia="標楷體" w:hAnsi="標楷體" w:cs="Times New Roman" w:hint="eastAsia"/>
                <w:sz w:val="20"/>
                <w:szCs w:val="24"/>
              </w:rPr>
              <w:t>年度降低4.47個百分點，有待積極處理，以維政府權益。</w:t>
            </w:r>
          </w:p>
        </w:tc>
        <w:tc>
          <w:tcPr>
            <w:tcW w:w="1436" w:type="pct"/>
            <w:vMerge/>
            <w:tcBorders>
              <w:left w:val="single" w:sz="4" w:space="0" w:color="auto"/>
              <w:right w:val="single" w:sz="4" w:space="0" w:color="auto"/>
              <w:tl2br w:val="single" w:sz="4" w:space="0" w:color="auto"/>
            </w:tcBorders>
            <w:vAlign w:val="center"/>
          </w:tcPr>
          <w:p w14:paraId="04024CCD" w14:textId="77777777" w:rsidR="0056173F" w:rsidRPr="00430D32" w:rsidRDefault="0056173F" w:rsidP="0056173F">
            <w:pPr>
              <w:widowControl/>
              <w:spacing w:line="242" w:lineRule="exact"/>
              <w:rPr>
                <w:rFonts w:ascii="標楷體" w:eastAsia="標楷體" w:hAnsi="標楷體" w:cs="Times New Roman"/>
                <w:sz w:val="20"/>
                <w:szCs w:val="24"/>
              </w:rPr>
            </w:pPr>
          </w:p>
        </w:tc>
      </w:tr>
      <w:tr w:rsidR="0056173F" w:rsidRPr="00430D32" w14:paraId="355CC9F2" w14:textId="77777777" w:rsidTr="00677678">
        <w:trPr>
          <w:trHeight w:val="539"/>
          <w:jc w:val="center"/>
        </w:trPr>
        <w:tc>
          <w:tcPr>
            <w:tcW w:w="3564" w:type="pct"/>
            <w:tcBorders>
              <w:top w:val="single" w:sz="4" w:space="0" w:color="auto"/>
              <w:left w:val="single" w:sz="4" w:space="0" w:color="auto"/>
              <w:bottom w:val="single" w:sz="4" w:space="0" w:color="auto"/>
              <w:right w:val="single" w:sz="4" w:space="0" w:color="auto"/>
              <w:tl2br w:val="nil"/>
            </w:tcBorders>
            <w:vAlign w:val="center"/>
          </w:tcPr>
          <w:p w14:paraId="75056680" w14:textId="77777777" w:rsidR="0056173F" w:rsidRPr="00430D32" w:rsidRDefault="0056173F" w:rsidP="0056173F">
            <w:pPr>
              <w:spacing w:afterLines="10" w:after="36" w:line="240" w:lineRule="exact"/>
              <w:ind w:left="800" w:hangingChars="400" w:hanging="800"/>
              <w:jc w:val="both"/>
              <w:rPr>
                <w:rFonts w:ascii="標楷體" w:eastAsia="標楷體" w:hAnsi="標楷體" w:cs="Times New Roman"/>
                <w:sz w:val="20"/>
                <w:szCs w:val="24"/>
              </w:rPr>
            </w:pPr>
            <w:r w:rsidRPr="00430D32">
              <w:rPr>
                <w:rFonts w:ascii="標楷體" w:eastAsia="標楷體" w:hAnsi="標楷體" w:cs="Times New Roman" w:hint="eastAsia"/>
                <w:sz w:val="20"/>
                <w:szCs w:val="24"/>
              </w:rPr>
              <w:t>（十一）</w:t>
            </w:r>
            <w:proofErr w:type="gramStart"/>
            <w:r w:rsidRPr="00430D32">
              <w:rPr>
                <w:rFonts w:ascii="標楷體" w:eastAsia="標楷體" w:hAnsi="標楷體" w:cs="Times New Roman" w:hint="eastAsia"/>
                <w:sz w:val="20"/>
                <w:szCs w:val="24"/>
              </w:rPr>
              <w:t>賡</w:t>
            </w:r>
            <w:proofErr w:type="gramEnd"/>
            <w:r w:rsidRPr="00430D32">
              <w:rPr>
                <w:rFonts w:ascii="標楷體" w:eastAsia="標楷體" w:hAnsi="標楷體" w:cs="Times New Roman" w:hint="eastAsia"/>
                <w:sz w:val="20"/>
                <w:szCs w:val="24"/>
              </w:rPr>
              <w:t>續推動節能措施，惟部分機關</w:t>
            </w:r>
            <w:proofErr w:type="gramStart"/>
            <w:r w:rsidRPr="00430D32">
              <w:rPr>
                <w:rFonts w:ascii="標楷體" w:eastAsia="標楷體" w:hAnsi="標楷體" w:cs="Times New Roman" w:hint="eastAsia"/>
                <w:sz w:val="20"/>
                <w:szCs w:val="24"/>
              </w:rPr>
              <w:t>單位間有超過</w:t>
            </w:r>
            <w:proofErr w:type="gramEnd"/>
            <w:r w:rsidRPr="00430D32">
              <w:rPr>
                <w:rFonts w:ascii="標楷體" w:eastAsia="標楷體" w:hAnsi="標楷體" w:cs="Times New Roman" w:hint="eastAsia"/>
                <w:sz w:val="20"/>
                <w:szCs w:val="24"/>
              </w:rPr>
              <w:t>契約容量用電、契約容量</w:t>
            </w:r>
            <w:proofErr w:type="gramStart"/>
            <w:r w:rsidRPr="00430D32">
              <w:rPr>
                <w:rFonts w:ascii="標楷體" w:eastAsia="標楷體" w:hAnsi="標楷體" w:cs="Times New Roman" w:hint="eastAsia"/>
                <w:sz w:val="20"/>
                <w:szCs w:val="24"/>
              </w:rPr>
              <w:t>訂定偏高</w:t>
            </w:r>
            <w:proofErr w:type="gramEnd"/>
            <w:r w:rsidRPr="00430D32">
              <w:rPr>
                <w:rFonts w:ascii="標楷體" w:eastAsia="標楷體" w:hAnsi="標楷體" w:cs="Times New Roman" w:hint="eastAsia"/>
                <w:sz w:val="20"/>
                <w:szCs w:val="24"/>
              </w:rPr>
              <w:t>、全年未用電或用電功率因數低於80％等情，有待檢討改善。</w:t>
            </w:r>
          </w:p>
        </w:tc>
        <w:tc>
          <w:tcPr>
            <w:tcW w:w="1436" w:type="pct"/>
            <w:vMerge/>
            <w:tcBorders>
              <w:left w:val="single" w:sz="4" w:space="0" w:color="auto"/>
              <w:bottom w:val="single" w:sz="4" w:space="0" w:color="auto"/>
              <w:right w:val="single" w:sz="4" w:space="0" w:color="auto"/>
              <w:tl2br w:val="single" w:sz="4" w:space="0" w:color="auto"/>
            </w:tcBorders>
            <w:vAlign w:val="center"/>
          </w:tcPr>
          <w:p w14:paraId="6B3A4458" w14:textId="77777777" w:rsidR="0056173F" w:rsidRPr="00430D32" w:rsidRDefault="0056173F" w:rsidP="0056173F">
            <w:pPr>
              <w:widowControl/>
              <w:spacing w:line="242" w:lineRule="exact"/>
              <w:rPr>
                <w:rFonts w:ascii="標楷體" w:eastAsia="標楷體" w:hAnsi="標楷體" w:cs="Times New Roman"/>
                <w:sz w:val="20"/>
                <w:szCs w:val="24"/>
              </w:rPr>
            </w:pPr>
          </w:p>
        </w:tc>
      </w:tr>
    </w:tbl>
    <w:p w14:paraId="43BC2AFF" w14:textId="77777777" w:rsidR="0029756E" w:rsidRPr="00430D32" w:rsidRDefault="0029756E" w:rsidP="0029756E">
      <w:pPr>
        <w:widowControl/>
        <w:spacing w:beforeLines="50" w:before="180" w:line="460" w:lineRule="exact"/>
        <w:rPr>
          <w:rFonts w:ascii="標楷體" w:eastAsia="標楷體" w:hAnsi="標楷體" w:cs="Times New Roman"/>
          <w:b/>
          <w:bCs/>
          <w:kern w:val="52"/>
          <w:sz w:val="32"/>
          <w:szCs w:val="52"/>
        </w:rPr>
      </w:pPr>
      <w:r w:rsidRPr="00430D32">
        <w:rPr>
          <w:rFonts w:ascii="標楷體" w:eastAsia="標楷體" w:hAnsi="標楷體" w:cs="Times New Roman" w:hint="eastAsia"/>
          <w:b/>
          <w:bCs/>
          <w:kern w:val="52"/>
          <w:sz w:val="32"/>
          <w:szCs w:val="52"/>
        </w:rPr>
        <w:t>六、其他事項</w:t>
      </w:r>
    </w:p>
    <w:p w14:paraId="24CA4990" w14:textId="7C099FC6" w:rsidR="0029756E" w:rsidRPr="00430D32" w:rsidRDefault="0029756E" w:rsidP="0056173F">
      <w:pPr>
        <w:overflowPunct w:val="0"/>
        <w:spacing w:line="420" w:lineRule="exact"/>
        <w:ind w:firstLineChars="200" w:firstLine="480"/>
        <w:jc w:val="both"/>
        <w:rPr>
          <w:rFonts w:ascii="標楷體" w:eastAsia="標楷體"/>
          <w:spacing w:val="-2"/>
          <w:szCs w:val="24"/>
        </w:rPr>
      </w:pPr>
      <w:r w:rsidRPr="00430D32">
        <w:rPr>
          <w:rFonts w:ascii="標楷體" w:eastAsia="標楷體" w:hint="eastAsia"/>
          <w:szCs w:val="24"/>
        </w:rPr>
        <w:t>臺北市政府推動施政計畫之執行結果，前經本處查核後於審核報告揭露，並依法陳報監察院，</w:t>
      </w:r>
      <w:proofErr w:type="gramStart"/>
      <w:r w:rsidRPr="00430D32">
        <w:rPr>
          <w:rFonts w:ascii="標楷體" w:eastAsia="標楷體" w:hint="eastAsia"/>
          <w:szCs w:val="24"/>
        </w:rPr>
        <w:t>嗣</w:t>
      </w:r>
      <w:proofErr w:type="gramEnd"/>
      <w:r w:rsidRPr="00430D32">
        <w:rPr>
          <w:rFonts w:ascii="標楷體" w:eastAsia="標楷體" w:hint="eastAsia"/>
          <w:szCs w:val="24"/>
        </w:rPr>
        <w:t>經監察院於11</w:t>
      </w:r>
      <w:r w:rsidRPr="00430D32">
        <w:rPr>
          <w:rFonts w:ascii="標楷體" w:eastAsia="標楷體"/>
          <w:szCs w:val="24"/>
        </w:rPr>
        <w:t>3</w:t>
      </w:r>
      <w:r w:rsidRPr="00430D32">
        <w:rPr>
          <w:rFonts w:ascii="標楷體" w:eastAsia="標楷體" w:hint="eastAsia"/>
          <w:szCs w:val="24"/>
        </w:rPr>
        <w:t>年7月1日至11</w:t>
      </w:r>
      <w:r w:rsidRPr="00430D32">
        <w:rPr>
          <w:rFonts w:ascii="標楷體" w:eastAsia="標楷體"/>
          <w:szCs w:val="24"/>
        </w:rPr>
        <w:t>4</w:t>
      </w:r>
      <w:r w:rsidRPr="00430D32">
        <w:rPr>
          <w:rFonts w:ascii="標楷體" w:eastAsia="標楷體" w:hint="eastAsia"/>
          <w:szCs w:val="24"/>
        </w:rPr>
        <w:t>年6月30日間</w:t>
      </w:r>
      <w:r w:rsidR="00F66517">
        <w:rPr>
          <w:rFonts w:ascii="標楷體" w:eastAsia="標楷體" w:hint="eastAsia"/>
          <w:szCs w:val="24"/>
        </w:rPr>
        <w:t>糾正、</w:t>
      </w:r>
      <w:r w:rsidRPr="00430D32">
        <w:rPr>
          <w:rFonts w:ascii="標楷體" w:eastAsia="標楷體" w:hint="eastAsia"/>
          <w:szCs w:val="24"/>
        </w:rPr>
        <w:t>同意備查者，</w:t>
      </w:r>
      <w:proofErr w:type="gramStart"/>
      <w:r w:rsidRPr="00430D32">
        <w:rPr>
          <w:rFonts w:ascii="標楷體" w:eastAsia="標楷體" w:hint="eastAsia"/>
          <w:szCs w:val="24"/>
        </w:rPr>
        <w:t>摘述如次</w:t>
      </w:r>
      <w:proofErr w:type="gramEnd"/>
      <w:r w:rsidRPr="00430D32">
        <w:rPr>
          <w:rFonts w:ascii="標楷體" w:eastAsia="標楷體" w:hint="eastAsia"/>
          <w:szCs w:val="24"/>
        </w:rPr>
        <w:t>：</w:t>
      </w:r>
    </w:p>
    <w:p w14:paraId="7F74D361" w14:textId="77777777" w:rsidR="0029756E" w:rsidRPr="00430D32" w:rsidRDefault="0029756E" w:rsidP="0056173F">
      <w:pPr>
        <w:overflowPunct w:val="0"/>
        <w:spacing w:beforeLines="10" w:before="36" w:line="400" w:lineRule="exact"/>
        <w:ind w:firstLineChars="200" w:firstLine="468"/>
        <w:jc w:val="both"/>
        <w:rPr>
          <w:rFonts w:ascii="標楷體" w:eastAsia="標楷體"/>
          <w:spacing w:val="-3"/>
          <w:szCs w:val="24"/>
        </w:rPr>
      </w:pPr>
      <w:r w:rsidRPr="00430D32">
        <w:rPr>
          <w:rFonts w:ascii="標楷體" w:eastAsia="標楷體" w:hint="eastAsia"/>
          <w:spacing w:val="-3"/>
          <w:szCs w:val="24"/>
        </w:rPr>
        <w:t>（一）研究發展考核委員會等機關辦理</w:t>
      </w:r>
      <w:r w:rsidRPr="00430D32">
        <w:rPr>
          <w:rFonts w:ascii="標楷體" w:eastAsia="標楷體" w:hint="eastAsia"/>
          <w:szCs w:val="24"/>
        </w:rPr>
        <w:t>2022</w:t>
      </w:r>
      <w:proofErr w:type="gramStart"/>
      <w:r w:rsidRPr="00430D32">
        <w:rPr>
          <w:rFonts w:ascii="標楷體" w:eastAsia="標楷體" w:hint="eastAsia"/>
          <w:spacing w:val="-3"/>
          <w:szCs w:val="24"/>
        </w:rPr>
        <w:t>臺</w:t>
      </w:r>
      <w:proofErr w:type="gramEnd"/>
      <w:r w:rsidRPr="00430D32">
        <w:rPr>
          <w:rFonts w:ascii="標楷體" w:eastAsia="標楷體" w:hint="eastAsia"/>
          <w:spacing w:val="-3"/>
          <w:szCs w:val="24"/>
        </w:rPr>
        <w:t>北城市博覽會，核有：採購標案加值項目評選作業欠當，致不當決標；巨額採購預期效益及</w:t>
      </w:r>
      <w:r w:rsidRPr="00DA4047">
        <w:rPr>
          <w:rFonts w:ascii="標楷體" w:eastAsia="標楷體" w:hint="eastAsia"/>
          <w:szCs w:val="24"/>
        </w:rPr>
        <w:t>目標值</w:t>
      </w:r>
      <w:r w:rsidRPr="00430D32">
        <w:rPr>
          <w:rFonts w:ascii="標楷體" w:eastAsia="標楷體" w:hint="eastAsia"/>
          <w:spacing w:val="-3"/>
          <w:szCs w:val="24"/>
        </w:rPr>
        <w:t>未列入招標文件規範，致廠商投標文件所提參與人次指標較預期為低，</w:t>
      </w:r>
      <w:proofErr w:type="gramStart"/>
      <w:r w:rsidRPr="00430D32">
        <w:rPr>
          <w:rFonts w:ascii="標楷體" w:eastAsia="標楷體" w:hint="eastAsia"/>
          <w:spacing w:val="-3"/>
          <w:szCs w:val="24"/>
        </w:rPr>
        <w:t>其策展</w:t>
      </w:r>
      <w:proofErr w:type="gramEnd"/>
      <w:r w:rsidRPr="00430D32">
        <w:rPr>
          <w:rFonts w:ascii="標楷體" w:eastAsia="標楷體" w:hint="eastAsia"/>
          <w:spacing w:val="-3"/>
          <w:szCs w:val="24"/>
        </w:rPr>
        <w:t>效益不明等，經本處函請臺北市政府查明妥適處理，惟未為負責之答復，</w:t>
      </w:r>
      <w:proofErr w:type="gramStart"/>
      <w:r w:rsidRPr="00430D32">
        <w:rPr>
          <w:rFonts w:ascii="標楷體" w:eastAsia="標楷體" w:hint="eastAsia"/>
          <w:spacing w:val="-3"/>
          <w:szCs w:val="24"/>
        </w:rPr>
        <w:t>爰</w:t>
      </w:r>
      <w:proofErr w:type="gramEnd"/>
      <w:r w:rsidRPr="00430D32">
        <w:rPr>
          <w:rFonts w:ascii="標楷體" w:eastAsia="標楷體" w:hint="eastAsia"/>
          <w:spacing w:val="-3"/>
          <w:szCs w:val="24"/>
        </w:rPr>
        <w:t>依審計法第 20 條第 2 項規定函報審計部呈請監察院核辦，經監察院糾正臺北市政府。（11</w:t>
      </w:r>
      <w:r w:rsidRPr="00430D32">
        <w:rPr>
          <w:rFonts w:ascii="標楷體" w:eastAsia="標楷體"/>
          <w:spacing w:val="-3"/>
          <w:szCs w:val="24"/>
        </w:rPr>
        <w:t>4</w:t>
      </w:r>
      <w:r w:rsidRPr="00430D32">
        <w:rPr>
          <w:rFonts w:ascii="標楷體" w:eastAsia="標楷體" w:hint="eastAsia"/>
          <w:spacing w:val="-3"/>
          <w:szCs w:val="24"/>
        </w:rPr>
        <w:t>.</w:t>
      </w:r>
      <w:r w:rsidRPr="00430D32">
        <w:rPr>
          <w:rFonts w:ascii="標楷體" w:eastAsia="標楷體"/>
          <w:spacing w:val="-3"/>
          <w:szCs w:val="24"/>
        </w:rPr>
        <w:t>1</w:t>
      </w:r>
      <w:r w:rsidRPr="00430D32">
        <w:rPr>
          <w:rFonts w:ascii="標楷體" w:eastAsia="標楷體" w:hint="eastAsia"/>
          <w:spacing w:val="-3"/>
          <w:szCs w:val="24"/>
        </w:rPr>
        <w:t>.</w:t>
      </w:r>
      <w:r w:rsidRPr="00430D32">
        <w:rPr>
          <w:rFonts w:ascii="標楷體" w:eastAsia="標楷體"/>
          <w:spacing w:val="-3"/>
          <w:szCs w:val="24"/>
        </w:rPr>
        <w:t>15</w:t>
      </w:r>
      <w:r w:rsidRPr="00430D32">
        <w:rPr>
          <w:rFonts w:ascii="標楷體" w:eastAsia="標楷體" w:hint="eastAsia"/>
          <w:spacing w:val="-3"/>
          <w:szCs w:val="24"/>
        </w:rPr>
        <w:t xml:space="preserve"> 監察院公報第 3</w:t>
      </w:r>
      <w:r w:rsidRPr="00430D32">
        <w:rPr>
          <w:rFonts w:ascii="標楷體" w:eastAsia="標楷體"/>
          <w:spacing w:val="-3"/>
          <w:szCs w:val="24"/>
        </w:rPr>
        <w:t>407</w:t>
      </w:r>
      <w:r w:rsidRPr="00430D32">
        <w:rPr>
          <w:rFonts w:ascii="標楷體" w:eastAsia="標楷體" w:hint="eastAsia"/>
          <w:spacing w:val="-3"/>
          <w:szCs w:val="24"/>
        </w:rPr>
        <w:t>期）</w:t>
      </w:r>
    </w:p>
    <w:p w14:paraId="01BA4FD6" w14:textId="3FDE27AD" w:rsidR="008B713D" w:rsidRPr="0056173F" w:rsidRDefault="0029756E" w:rsidP="0056173F">
      <w:pPr>
        <w:widowControl/>
        <w:spacing w:beforeLines="10" w:before="36" w:line="400" w:lineRule="exact"/>
        <w:ind w:firstLineChars="200" w:firstLine="480"/>
        <w:jc w:val="both"/>
        <w:rPr>
          <w:rFonts w:ascii="標楷體" w:eastAsia="標楷體" w:hAnsi="標楷體" w:cs="Times New Roman"/>
          <w:szCs w:val="24"/>
        </w:rPr>
      </w:pPr>
      <w:r w:rsidRPr="0056173F">
        <w:rPr>
          <w:rFonts w:ascii="標楷體" w:eastAsia="標楷體" w:hint="eastAsia"/>
          <w:szCs w:val="24"/>
        </w:rPr>
        <w:t>（二）教育局及工務局新建工程處等機關辦理萬華區新和國民小學校舍整體改建工程，核有：該校未考量新生樓及行政樓建物經初步評估耐震係數偏低，且未適時妥籌財源辦理詳細評估，即以保留建物方式辦理校舍改建先期規劃作業，致耐震評估完成後，因需拆除而重新規劃；教育局核定先期規劃成果後，又反覆質疑規劃內容，影響決策時效，</w:t>
      </w:r>
      <w:proofErr w:type="gramStart"/>
      <w:r w:rsidRPr="0056173F">
        <w:rPr>
          <w:rFonts w:ascii="標楷體" w:eastAsia="標楷體" w:hint="eastAsia"/>
          <w:szCs w:val="24"/>
        </w:rPr>
        <w:t>耽</w:t>
      </w:r>
      <w:proofErr w:type="gramEnd"/>
      <w:r w:rsidRPr="0056173F">
        <w:rPr>
          <w:rFonts w:ascii="標楷體" w:eastAsia="標楷體" w:hint="eastAsia"/>
          <w:szCs w:val="24"/>
        </w:rPr>
        <w:t>延計畫</w:t>
      </w:r>
      <w:proofErr w:type="gramStart"/>
      <w:r w:rsidRPr="0056173F">
        <w:rPr>
          <w:rFonts w:ascii="標楷體" w:eastAsia="標楷體" w:hint="eastAsia"/>
          <w:szCs w:val="24"/>
        </w:rPr>
        <w:t>期程計1年6個月</w:t>
      </w:r>
      <w:proofErr w:type="gramEnd"/>
      <w:r w:rsidRPr="0056173F">
        <w:rPr>
          <w:rFonts w:ascii="標楷體" w:eastAsia="標楷體" w:hint="eastAsia"/>
          <w:szCs w:val="24"/>
        </w:rPr>
        <w:t>；停車管理工程處未就該校探詢興建公共停車場之議題，評估興建需求，並辦理相關可行性評估作業，</w:t>
      </w:r>
      <w:proofErr w:type="gramStart"/>
      <w:r w:rsidRPr="0056173F">
        <w:rPr>
          <w:rFonts w:ascii="標楷體" w:eastAsia="標楷體" w:hint="eastAsia"/>
          <w:szCs w:val="24"/>
        </w:rPr>
        <w:t>迨</w:t>
      </w:r>
      <w:proofErr w:type="gramEnd"/>
      <w:r w:rsidRPr="0056173F">
        <w:rPr>
          <w:rFonts w:ascii="標楷體" w:eastAsia="標楷體" w:hint="eastAsia"/>
          <w:szCs w:val="24"/>
        </w:rPr>
        <w:t>里長陳情增設公共停車場，方將興建公共停車場事宜併入校舍整體改建計畫辦理，致計畫期程展延4年，影響政府施政效能；工務局新建工程處未確實掌握國宅占用萬大路277巷情形，並及時確認道路開闢範圍，致歷時3年餘，校舍整體改建工程方排除開闢道路，且已知該道路遭占用，卻未依規定檢討處理，未能確保公產權益等情事，經依審計法第</w:t>
      </w:r>
      <w:r w:rsidRPr="0056173F">
        <w:rPr>
          <w:rFonts w:ascii="標楷體" w:eastAsia="標楷體"/>
          <w:szCs w:val="24"/>
        </w:rPr>
        <w:t>69</w:t>
      </w:r>
      <w:r w:rsidRPr="0056173F">
        <w:rPr>
          <w:rFonts w:ascii="標楷體" w:eastAsia="標楷體" w:hint="eastAsia"/>
          <w:szCs w:val="24"/>
        </w:rPr>
        <w:t>條第1項規定，函請臺北市政</w:t>
      </w:r>
      <w:r w:rsidRPr="0056173F">
        <w:rPr>
          <w:rFonts w:ascii="標楷體" w:eastAsia="標楷體"/>
          <w:szCs w:val="24"/>
        </w:rPr>
        <w:t>府</w:t>
      </w:r>
      <w:proofErr w:type="gramStart"/>
      <w:r w:rsidRPr="0056173F">
        <w:rPr>
          <w:rFonts w:ascii="標楷體" w:eastAsia="標楷體" w:hint="eastAsia"/>
          <w:szCs w:val="24"/>
        </w:rPr>
        <w:t>查明妥處</w:t>
      </w:r>
      <w:proofErr w:type="gramEnd"/>
      <w:r w:rsidRPr="0056173F">
        <w:rPr>
          <w:rFonts w:ascii="標楷體" w:eastAsia="標楷體" w:hint="eastAsia"/>
          <w:szCs w:val="24"/>
        </w:rPr>
        <w:t>，並報告監察院。</w:t>
      </w:r>
      <w:proofErr w:type="gramStart"/>
      <w:r w:rsidRPr="0056173F">
        <w:rPr>
          <w:rFonts w:ascii="標楷體" w:eastAsia="標楷體" w:hint="eastAsia"/>
          <w:szCs w:val="24"/>
        </w:rPr>
        <w:t>嗣</w:t>
      </w:r>
      <w:proofErr w:type="gramEnd"/>
      <w:r w:rsidRPr="0056173F">
        <w:rPr>
          <w:rFonts w:ascii="標楷體" w:eastAsia="標楷體" w:hint="eastAsia"/>
          <w:szCs w:val="24"/>
        </w:rPr>
        <w:t>經該府</w:t>
      </w:r>
      <w:proofErr w:type="gramStart"/>
      <w:r w:rsidRPr="0056173F">
        <w:rPr>
          <w:rFonts w:ascii="標楷體" w:eastAsia="標楷體" w:hint="eastAsia"/>
          <w:szCs w:val="24"/>
        </w:rPr>
        <w:t>研</w:t>
      </w:r>
      <w:proofErr w:type="gramEnd"/>
      <w:r w:rsidRPr="0056173F">
        <w:rPr>
          <w:rFonts w:ascii="標楷體" w:eastAsia="標楷體" w:hint="eastAsia"/>
          <w:szCs w:val="24"/>
        </w:rPr>
        <w:t>提</w:t>
      </w:r>
      <w:r w:rsidRPr="0056173F">
        <w:rPr>
          <w:rFonts w:ascii="標楷體" w:eastAsia="標楷體" w:hAnsi="標楷體" w:hint="eastAsia"/>
          <w:szCs w:val="24"/>
        </w:rPr>
        <w:t>：</w:t>
      </w:r>
      <w:r w:rsidRPr="0056173F">
        <w:rPr>
          <w:rFonts w:ascii="標楷體" w:eastAsia="標楷體" w:hint="eastAsia"/>
          <w:szCs w:val="24"/>
        </w:rPr>
        <w:t>嗣後辦理校舍改建工程，學校與家長會及教師會將先行充分溝通達成共識，再召開跨局處需求討論會議，待初步完成規劃內容，亦將邀請專家學者審查，並辦理公民參與，期使規劃內容更</w:t>
      </w:r>
      <w:proofErr w:type="gramStart"/>
      <w:r w:rsidRPr="0056173F">
        <w:rPr>
          <w:rFonts w:ascii="標楷體" w:eastAsia="標楷體" w:hint="eastAsia"/>
          <w:szCs w:val="24"/>
        </w:rPr>
        <w:t>臻</w:t>
      </w:r>
      <w:proofErr w:type="gramEnd"/>
      <w:r w:rsidRPr="0056173F">
        <w:rPr>
          <w:rFonts w:ascii="標楷體" w:eastAsia="標楷體" w:hint="eastAsia"/>
          <w:szCs w:val="24"/>
        </w:rPr>
        <w:t>完備，避免類似情形再度發生；停車管理工程處參</w:t>
      </w:r>
      <w:proofErr w:type="gramStart"/>
      <w:r w:rsidRPr="0056173F">
        <w:rPr>
          <w:rFonts w:ascii="標楷體" w:eastAsia="標楷體" w:hint="eastAsia"/>
          <w:szCs w:val="24"/>
        </w:rPr>
        <w:t>採</w:t>
      </w:r>
      <w:proofErr w:type="gramEnd"/>
      <w:r w:rsidRPr="0056173F">
        <w:rPr>
          <w:rFonts w:ascii="標楷體" w:eastAsia="標楷體" w:hint="eastAsia"/>
          <w:szCs w:val="24"/>
        </w:rPr>
        <w:t>本案經驗，嗣後</w:t>
      </w:r>
      <w:proofErr w:type="gramStart"/>
      <w:r w:rsidRPr="0056173F">
        <w:rPr>
          <w:rFonts w:ascii="標楷體" w:eastAsia="標楷體" w:hint="eastAsia"/>
          <w:szCs w:val="24"/>
        </w:rPr>
        <w:t>闢</w:t>
      </w:r>
      <w:proofErr w:type="gramEnd"/>
      <w:r w:rsidRPr="0056173F">
        <w:rPr>
          <w:rFonts w:ascii="標楷體" w:eastAsia="標楷體" w:hint="eastAsia"/>
          <w:szCs w:val="24"/>
        </w:rPr>
        <w:t>（參）建停車場不再以營利、經濟效益為唯一考量，將就</w:t>
      </w:r>
      <w:proofErr w:type="gramStart"/>
      <w:r w:rsidRPr="0056173F">
        <w:rPr>
          <w:rFonts w:ascii="標楷體" w:eastAsia="標楷體" w:hint="eastAsia"/>
          <w:szCs w:val="24"/>
        </w:rPr>
        <w:t>停車需供情形</w:t>
      </w:r>
      <w:proofErr w:type="gramEnd"/>
      <w:r w:rsidRPr="0056173F">
        <w:rPr>
          <w:rFonts w:ascii="標楷體" w:eastAsia="標楷體" w:hint="eastAsia"/>
          <w:szCs w:val="24"/>
        </w:rPr>
        <w:t>及趨勢之市場面、用地取得及法律面、興建方案、財務分析、民眾接受度、開發後預期效益及影響等項目進行整體評估，擬訂綜合意見，再送臺北市路外停車場興建審議委員會審查，</w:t>
      </w:r>
      <w:proofErr w:type="gramStart"/>
      <w:r w:rsidRPr="0056173F">
        <w:rPr>
          <w:rFonts w:ascii="標楷體" w:eastAsia="標楷體" w:hint="eastAsia"/>
          <w:szCs w:val="24"/>
        </w:rPr>
        <w:t>另業與</w:t>
      </w:r>
      <w:proofErr w:type="gramEnd"/>
      <w:r w:rsidRPr="0056173F">
        <w:rPr>
          <w:rFonts w:ascii="標楷體" w:eastAsia="標楷體" w:hint="eastAsia"/>
          <w:szCs w:val="24"/>
        </w:rPr>
        <w:t>教育局訂定學校新興工程</w:t>
      </w:r>
      <w:proofErr w:type="gramStart"/>
      <w:r w:rsidRPr="0056173F">
        <w:rPr>
          <w:rFonts w:ascii="標楷體" w:eastAsia="標楷體" w:hint="eastAsia"/>
          <w:szCs w:val="24"/>
        </w:rPr>
        <w:t>未來參建停車場</w:t>
      </w:r>
      <w:proofErr w:type="gramEnd"/>
      <w:r w:rsidRPr="0056173F">
        <w:rPr>
          <w:rFonts w:ascii="標楷體" w:eastAsia="標楷體" w:hint="eastAsia"/>
          <w:szCs w:val="24"/>
        </w:rPr>
        <w:t>模式，規範學校提出停車場需求之時機及該處應辦事項及相關程序；工務局新建工程處已排除占用情事，並經檢討修正「臺北市政府辦理計畫道路開闢」作業流程，明列列入及不列入年度開闢之計畫道路範圍後續辦理拆除及排除占用之程序，藉由制度面防止錯誤再生，並強化橫向聯繫作為，確保公產權益等改善措施。案經本處函報</w:t>
      </w:r>
      <w:proofErr w:type="gramStart"/>
      <w:r w:rsidRPr="0056173F">
        <w:rPr>
          <w:rFonts w:ascii="標楷體" w:eastAsia="標楷體" w:hint="eastAsia"/>
          <w:szCs w:val="24"/>
        </w:rPr>
        <w:t>審計部陳報</w:t>
      </w:r>
      <w:proofErr w:type="gramEnd"/>
      <w:r w:rsidRPr="0056173F">
        <w:rPr>
          <w:rFonts w:ascii="標楷體" w:eastAsia="標楷體" w:hint="eastAsia"/>
          <w:szCs w:val="24"/>
        </w:rPr>
        <w:t>監察院，於</w:t>
      </w:r>
      <w:r w:rsidRPr="0056173F">
        <w:rPr>
          <w:rFonts w:ascii="標楷體" w:eastAsia="標楷體"/>
          <w:szCs w:val="24"/>
        </w:rPr>
        <w:t>113</w:t>
      </w:r>
      <w:r w:rsidRPr="0056173F">
        <w:rPr>
          <w:rFonts w:ascii="標楷體" w:eastAsia="標楷體" w:hint="eastAsia"/>
          <w:szCs w:val="24"/>
        </w:rPr>
        <w:t>年1</w:t>
      </w:r>
      <w:r w:rsidRPr="0056173F">
        <w:rPr>
          <w:rFonts w:ascii="標楷體" w:eastAsia="標楷體"/>
          <w:szCs w:val="24"/>
        </w:rPr>
        <w:t>2</w:t>
      </w:r>
      <w:r w:rsidRPr="0056173F">
        <w:rPr>
          <w:rFonts w:ascii="標楷體" w:eastAsia="標楷體" w:hint="eastAsia"/>
          <w:szCs w:val="24"/>
        </w:rPr>
        <w:t>月6日獲同意備查。</w:t>
      </w:r>
      <w:r w:rsidR="008B713D" w:rsidRPr="0056173F">
        <w:rPr>
          <w:rFonts w:ascii="標楷體" w:eastAsia="標楷體" w:hAnsi="標楷體" w:cs="Times New Roman"/>
          <w:szCs w:val="24"/>
        </w:rPr>
        <w:br w:type="page"/>
      </w:r>
    </w:p>
    <w:p w14:paraId="1A156560" w14:textId="77777777" w:rsidR="0097331E" w:rsidRPr="005E4C47" w:rsidRDefault="0097331E" w:rsidP="0097331E">
      <w:pPr>
        <w:widowControl/>
        <w:spacing w:afterLines="20" w:after="72" w:line="440" w:lineRule="exact"/>
        <w:rPr>
          <w:rFonts w:ascii="標楷體" w:eastAsia="標楷體" w:hAnsi="標楷體" w:cs="Times New Roman"/>
          <w:b/>
          <w:sz w:val="36"/>
          <w:szCs w:val="36"/>
        </w:rPr>
      </w:pPr>
      <w:bookmarkStart w:id="14" w:name="_Hlk200723176"/>
      <w:bookmarkEnd w:id="14"/>
      <w:r w:rsidRPr="005E4C47">
        <w:rPr>
          <w:rFonts w:ascii="標楷體" w:eastAsia="標楷體" w:hAnsi="標楷體" w:cs="Times New Roman" w:hint="eastAsia"/>
          <w:b/>
          <w:sz w:val="36"/>
          <w:szCs w:val="36"/>
        </w:rPr>
        <w:lastRenderedPageBreak/>
        <w:t xml:space="preserve">參、民政局主管 </w:t>
      </w:r>
    </w:p>
    <w:p w14:paraId="41DEC7F3" w14:textId="77777777" w:rsidR="0097331E" w:rsidRPr="005E4C47" w:rsidRDefault="0097331E" w:rsidP="0097331E">
      <w:pPr>
        <w:overflowPunct w:val="0"/>
        <w:spacing w:line="440" w:lineRule="exact"/>
        <w:ind w:firstLineChars="200" w:firstLine="480"/>
        <w:jc w:val="both"/>
        <w:rPr>
          <w:rFonts w:ascii="標楷體" w:eastAsia="標楷體" w:hAnsi="標楷體" w:cs="Times New Roman"/>
          <w:szCs w:val="24"/>
        </w:rPr>
      </w:pPr>
      <w:r w:rsidRPr="005E4C47">
        <w:rPr>
          <w:rFonts w:ascii="標楷體" w:eastAsia="標楷體" w:hAnsi="標楷體" w:cs="Times New Roman" w:hint="eastAsia"/>
          <w:szCs w:val="24"/>
        </w:rPr>
        <w:t>民政局主</w:t>
      </w:r>
      <w:r w:rsidRPr="005E4C47">
        <w:rPr>
          <w:rFonts w:ascii="標楷體" w:eastAsia="標楷體" w:hAnsi="標楷體" w:cs="Times New Roman"/>
          <w:szCs w:val="24"/>
        </w:rPr>
        <w:t>管</w:t>
      </w:r>
      <w:r w:rsidRPr="005E4C47">
        <w:rPr>
          <w:rFonts w:ascii="標楷體" w:eastAsia="標楷體" w:hAnsi="標楷體" w:cs="Times New Roman" w:hint="eastAsia"/>
          <w:szCs w:val="24"/>
        </w:rPr>
        <w:t>計有民政局、孔廟管理委員會、殯葬管理處，及松山區、信義區、大安區、中山區、中正區、大同區、南港區、內湖區、士林區、北投區、萬華區、文山區等戶政事務所共15個機關</w:t>
      </w:r>
      <w:r w:rsidRPr="005E4C47">
        <w:rPr>
          <w:rFonts w:ascii="標楷體" w:eastAsia="標楷體" w:hAnsi="標楷體" w:cs="Times New Roman" w:hint="eastAsia"/>
          <w:spacing w:val="-2"/>
          <w:szCs w:val="24"/>
        </w:rPr>
        <w:t>，掌理臺北市12個行政區之區政業務監督，推行自治行政及基層建設，辦理各項禮俗宗教業務、戶籍業務、人口政策、孔廟管理及殯葬業務等事項。茲將</w:t>
      </w:r>
      <w:proofErr w:type="gramStart"/>
      <w:r w:rsidRPr="005E4C47">
        <w:rPr>
          <w:rFonts w:ascii="標楷體" w:eastAsia="標楷體" w:hAnsi="標楷體" w:cs="Times New Roman" w:hint="eastAsia"/>
          <w:spacing w:val="-2"/>
          <w:szCs w:val="24"/>
        </w:rPr>
        <w:t>11</w:t>
      </w:r>
      <w:r>
        <w:rPr>
          <w:rFonts w:ascii="標楷體" w:eastAsia="標楷體" w:hAnsi="標楷體" w:cs="Times New Roman" w:hint="eastAsia"/>
          <w:spacing w:val="-2"/>
          <w:szCs w:val="24"/>
        </w:rPr>
        <w:t>3</w:t>
      </w:r>
      <w:proofErr w:type="gramEnd"/>
      <w:r w:rsidRPr="005E4C47">
        <w:rPr>
          <w:rFonts w:ascii="標楷體" w:eastAsia="標楷體" w:hAnsi="標楷體" w:cs="Times New Roman" w:hint="eastAsia"/>
          <w:spacing w:val="-2"/>
          <w:szCs w:val="24"/>
        </w:rPr>
        <w:t>年度決算審核結果說明如次：</w:t>
      </w:r>
    </w:p>
    <w:p w14:paraId="1AA99856" w14:textId="77777777" w:rsidR="0097331E" w:rsidRPr="005E4C47" w:rsidRDefault="0097331E" w:rsidP="0097331E">
      <w:pPr>
        <w:suppressAutoHyphens/>
        <w:overflowPunct w:val="0"/>
        <w:spacing w:beforeLines="20" w:before="72" w:afterLines="20" w:after="72" w:line="440" w:lineRule="exact"/>
        <w:ind w:firstLineChars="100" w:firstLine="280"/>
        <w:jc w:val="both"/>
        <w:rPr>
          <w:rFonts w:ascii="標楷體" w:eastAsia="標楷體" w:hAnsi="標楷體" w:cs="Times New Roman"/>
          <w:b/>
          <w:sz w:val="28"/>
          <w:szCs w:val="28"/>
        </w:rPr>
      </w:pPr>
      <w:r w:rsidRPr="005E4C47">
        <w:rPr>
          <w:rFonts w:ascii="標楷體" w:eastAsia="標楷體" w:hAnsi="標楷體" w:cs="Times New Roman" w:hint="eastAsia"/>
          <w:b/>
          <w:sz w:val="28"/>
          <w:szCs w:val="28"/>
        </w:rPr>
        <w:t>（一）計畫實施之查核</w:t>
      </w:r>
    </w:p>
    <w:p w14:paraId="7745D3A9" w14:textId="77777777" w:rsidR="0097331E" w:rsidRPr="005E4C47" w:rsidRDefault="0097331E" w:rsidP="0097331E">
      <w:pPr>
        <w:overflowPunct w:val="0"/>
        <w:spacing w:line="440" w:lineRule="exact"/>
        <w:ind w:firstLineChars="200" w:firstLine="480"/>
        <w:jc w:val="both"/>
        <w:rPr>
          <w:rFonts w:ascii="標楷體" w:eastAsia="標楷體" w:hAnsi="標楷體" w:cs="Times New Roman"/>
          <w:szCs w:val="24"/>
        </w:rPr>
      </w:pPr>
      <w:r w:rsidRPr="00DF4C06">
        <w:rPr>
          <w:rFonts w:ascii="標楷體" w:eastAsia="標楷體" w:hAnsi="標楷體" w:cs="Times New Roman" w:hint="eastAsia"/>
          <w:szCs w:val="24"/>
        </w:rPr>
        <w:t>業務計畫52項，下分工作計畫61項</w:t>
      </w:r>
      <w:r w:rsidRPr="005E4C47">
        <w:rPr>
          <w:rFonts w:ascii="標楷體" w:eastAsia="標楷體" w:hAnsi="標楷體" w:cs="Times New Roman" w:hint="eastAsia"/>
          <w:szCs w:val="24"/>
        </w:rPr>
        <w:t>，包括</w:t>
      </w:r>
      <w:r w:rsidRPr="00681C83">
        <w:rPr>
          <w:rFonts w:ascii="標楷體" w:eastAsia="標楷體" w:hAnsi="標楷體" w:cs="Times New Roman" w:hint="eastAsia"/>
          <w:szCs w:val="24"/>
        </w:rPr>
        <w:t>落實戶籍管理、推動數位印鑑比對系統及各項戶政便民服務；督導及考核區民活動中心使用管理情形並辦理整體修繕計畫；辦理祭典及孔廟管理；</w:t>
      </w:r>
      <w:proofErr w:type="gramStart"/>
      <w:r w:rsidRPr="00681C83">
        <w:rPr>
          <w:rFonts w:ascii="標楷體" w:eastAsia="標楷體" w:hAnsi="標楷體" w:cs="Times New Roman" w:hint="eastAsia"/>
          <w:szCs w:val="24"/>
        </w:rPr>
        <w:t>殯</w:t>
      </w:r>
      <w:proofErr w:type="gramEnd"/>
      <w:r w:rsidRPr="00681C83">
        <w:rPr>
          <w:rFonts w:ascii="標楷體" w:eastAsia="標楷體" w:hAnsi="標楷體" w:cs="Times New Roman" w:hint="eastAsia"/>
          <w:szCs w:val="24"/>
        </w:rPr>
        <w:t>儀服務設施更新、</w:t>
      </w:r>
      <w:proofErr w:type="gramStart"/>
      <w:r w:rsidRPr="00681C83">
        <w:rPr>
          <w:rFonts w:ascii="標楷體" w:eastAsia="標楷體" w:hAnsi="標楷體" w:cs="Times New Roman" w:hint="eastAsia"/>
          <w:szCs w:val="24"/>
        </w:rPr>
        <w:t>殯</w:t>
      </w:r>
      <w:proofErr w:type="gramEnd"/>
      <w:r w:rsidRPr="00681C83">
        <w:rPr>
          <w:rFonts w:ascii="標楷體" w:eastAsia="標楷體" w:hAnsi="標楷體" w:cs="Times New Roman" w:hint="eastAsia"/>
          <w:szCs w:val="24"/>
        </w:rPr>
        <w:t>儀業務及公墓</w:t>
      </w:r>
      <w:r w:rsidRPr="0097331E">
        <w:rPr>
          <w:rFonts w:ascii="標楷體" w:eastAsia="標楷體" w:hAnsi="標楷體" w:cs="Times New Roman" w:hint="eastAsia"/>
          <w:spacing w:val="-2"/>
          <w:szCs w:val="24"/>
        </w:rPr>
        <w:t>管理</w:t>
      </w:r>
      <w:r w:rsidRPr="00681C83">
        <w:rPr>
          <w:rFonts w:ascii="標楷體" w:eastAsia="標楷體" w:hAnsi="標楷體" w:cs="Times New Roman" w:hint="eastAsia"/>
          <w:szCs w:val="24"/>
        </w:rPr>
        <w:t>維護</w:t>
      </w:r>
      <w:r w:rsidRPr="005E4C47">
        <w:rPr>
          <w:rFonts w:ascii="標楷體" w:eastAsia="標楷體" w:hAnsi="標楷體" w:cs="Times New Roman" w:hint="eastAsia"/>
          <w:szCs w:val="24"/>
        </w:rPr>
        <w:t>等重要施政項目，</w:t>
      </w:r>
      <w:r w:rsidRPr="00DF4C06">
        <w:rPr>
          <w:rFonts w:ascii="標楷體" w:eastAsia="標楷體" w:hAnsi="標楷體" w:cs="Times New Roman" w:hint="eastAsia"/>
          <w:szCs w:val="24"/>
        </w:rPr>
        <w:t>其中</w:t>
      </w:r>
      <w:bookmarkStart w:id="15" w:name="_Hlk74319286"/>
      <w:r w:rsidRPr="00DF4C06">
        <w:rPr>
          <w:rFonts w:ascii="標楷體" w:eastAsia="標楷體" w:hAnsi="標楷體" w:cs="Times New Roman" w:hint="eastAsia"/>
          <w:szCs w:val="24"/>
        </w:rPr>
        <w:t>已執行完成者58項，尚在執行者3項</w:t>
      </w:r>
      <w:r w:rsidRPr="005E4C47">
        <w:rPr>
          <w:rFonts w:ascii="標楷體" w:eastAsia="標楷體" w:hAnsi="標楷體" w:cs="Times New Roman" w:hint="eastAsia"/>
          <w:szCs w:val="24"/>
        </w:rPr>
        <w:t>，主要係</w:t>
      </w:r>
      <w:r w:rsidRPr="00DF4C06">
        <w:rPr>
          <w:rFonts w:ascii="標楷體" w:eastAsia="標楷體" w:hAnsi="標楷體" w:cs="Times New Roman" w:hint="eastAsia"/>
          <w:szCs w:val="24"/>
        </w:rPr>
        <w:t>殯葬管理處</w:t>
      </w:r>
      <w:r>
        <w:rPr>
          <w:rFonts w:ascii="標楷體" w:eastAsia="標楷體" w:hAnsi="標楷體" w:cs="Times New Roman" w:hint="eastAsia"/>
          <w:szCs w:val="24"/>
        </w:rPr>
        <w:t>辦理富德納骨設施擴建工程等契約期程跨年度，及第</w:t>
      </w:r>
      <w:proofErr w:type="gramStart"/>
      <w:r>
        <w:rPr>
          <w:rFonts w:ascii="標楷體" w:eastAsia="標楷體" w:hAnsi="標楷體" w:cs="Times New Roman" w:hint="eastAsia"/>
          <w:szCs w:val="24"/>
        </w:rPr>
        <w:t>一</w:t>
      </w:r>
      <w:proofErr w:type="gramEnd"/>
      <w:r w:rsidRPr="00DF4C06">
        <w:rPr>
          <w:rFonts w:ascii="標楷體" w:eastAsia="標楷體" w:hAnsi="標楷體" w:cs="Times New Roman" w:hint="eastAsia"/>
          <w:szCs w:val="24"/>
        </w:rPr>
        <w:t>殯儀館拆除綠化工程辦理契約變更致工期展延，須保留繼續執行</w:t>
      </w:r>
      <w:r w:rsidRPr="005E4C47">
        <w:rPr>
          <w:rFonts w:ascii="標楷體" w:eastAsia="標楷體" w:hAnsi="標楷體" w:cs="Times New Roman" w:hint="eastAsia"/>
          <w:szCs w:val="24"/>
        </w:rPr>
        <w:t>。</w:t>
      </w:r>
      <w:bookmarkEnd w:id="15"/>
    </w:p>
    <w:p w14:paraId="4CD5F1FB" w14:textId="77777777" w:rsidR="0097331E" w:rsidRPr="005E4C47" w:rsidRDefault="0097331E" w:rsidP="0097331E">
      <w:pPr>
        <w:suppressAutoHyphens/>
        <w:overflowPunct w:val="0"/>
        <w:spacing w:beforeLines="20" w:before="72" w:afterLines="20" w:after="72" w:line="440" w:lineRule="exact"/>
        <w:ind w:firstLineChars="100" w:firstLine="280"/>
        <w:jc w:val="both"/>
        <w:rPr>
          <w:rFonts w:ascii="標楷體" w:eastAsia="標楷體" w:hAnsi="標楷體" w:cs="Times New Roman"/>
          <w:b/>
          <w:sz w:val="28"/>
          <w:szCs w:val="28"/>
        </w:rPr>
      </w:pPr>
      <w:r w:rsidRPr="005E4C47">
        <w:rPr>
          <w:rFonts w:ascii="標楷體" w:eastAsia="標楷體" w:hAnsi="標楷體" w:cs="Times New Roman"/>
          <w:b/>
          <w:sz w:val="28"/>
          <w:szCs w:val="28"/>
        </w:rPr>
        <w:t>（二）預算執行之審核</w:t>
      </w:r>
    </w:p>
    <w:p w14:paraId="46B10020" w14:textId="77777777" w:rsidR="0097331E" w:rsidRPr="005E4C47" w:rsidRDefault="0097331E" w:rsidP="0097331E">
      <w:pPr>
        <w:overflowPunct w:val="0"/>
        <w:spacing w:line="440" w:lineRule="exact"/>
        <w:ind w:firstLineChars="200" w:firstLine="480"/>
        <w:jc w:val="both"/>
        <w:rPr>
          <w:rFonts w:ascii="標楷體" w:eastAsia="標楷體" w:hAnsi="Times New Roman" w:cs="Times New Roman"/>
          <w:szCs w:val="24"/>
        </w:rPr>
      </w:pPr>
      <w:r w:rsidRPr="005E4C47">
        <w:rPr>
          <w:rFonts w:ascii="標楷體" w:eastAsia="標楷體" w:hAnsi="Times New Roman" w:cs="Times New Roman"/>
          <w:szCs w:val="24"/>
        </w:rPr>
        <w:t>1.歲入原編列預算數7億</w:t>
      </w:r>
      <w:r>
        <w:rPr>
          <w:rFonts w:ascii="標楷體" w:eastAsia="標楷體" w:hAnsi="Times New Roman" w:cs="Times New Roman" w:hint="eastAsia"/>
          <w:szCs w:val="24"/>
        </w:rPr>
        <w:t>8</w:t>
      </w:r>
      <w:r w:rsidRPr="005E4C47">
        <w:rPr>
          <w:rFonts w:ascii="標楷體" w:eastAsia="標楷體" w:hAnsi="Times New Roman" w:cs="Times New Roman"/>
          <w:szCs w:val="24"/>
        </w:rPr>
        <w:t>,0</w:t>
      </w:r>
      <w:r>
        <w:rPr>
          <w:rFonts w:ascii="標楷體" w:eastAsia="標楷體" w:hAnsi="Times New Roman" w:cs="Times New Roman" w:hint="eastAsia"/>
          <w:szCs w:val="24"/>
        </w:rPr>
        <w:t>08</w:t>
      </w:r>
      <w:r w:rsidRPr="005E4C47">
        <w:rPr>
          <w:rFonts w:ascii="標楷體" w:eastAsia="標楷體" w:hAnsi="Times New Roman" w:cs="Times New Roman"/>
          <w:szCs w:val="24"/>
        </w:rPr>
        <w:t>萬餘元，經</w:t>
      </w:r>
      <w:r w:rsidRPr="0097331E">
        <w:rPr>
          <w:rFonts w:ascii="標楷體" w:eastAsia="標楷體" w:hAnsi="標楷體" w:cs="Times New Roman"/>
          <w:spacing w:val="-2"/>
          <w:szCs w:val="24"/>
        </w:rPr>
        <w:t>追加預算</w:t>
      </w:r>
      <w:r w:rsidRPr="005E4C47">
        <w:rPr>
          <w:rFonts w:ascii="標楷體" w:eastAsia="標楷體" w:hAnsi="Times New Roman" w:cs="Times New Roman"/>
          <w:szCs w:val="24"/>
        </w:rPr>
        <w:t>11萬元，合計7億</w:t>
      </w:r>
      <w:r>
        <w:rPr>
          <w:rFonts w:ascii="標楷體" w:eastAsia="標楷體" w:hAnsi="Times New Roman" w:cs="Times New Roman" w:hint="eastAsia"/>
          <w:szCs w:val="24"/>
        </w:rPr>
        <w:t>8</w:t>
      </w:r>
      <w:r w:rsidRPr="005E4C47">
        <w:rPr>
          <w:rFonts w:ascii="標楷體" w:eastAsia="標楷體" w:hAnsi="Times New Roman" w:cs="Times New Roman"/>
          <w:szCs w:val="24"/>
        </w:rPr>
        <w:t>,</w:t>
      </w:r>
      <w:r>
        <w:rPr>
          <w:rFonts w:ascii="標楷體" w:eastAsia="標楷體" w:hAnsi="Times New Roman" w:cs="Times New Roman" w:hint="eastAsia"/>
          <w:szCs w:val="24"/>
        </w:rPr>
        <w:t>019</w:t>
      </w:r>
      <w:r w:rsidRPr="005E4C47">
        <w:rPr>
          <w:rFonts w:ascii="標楷體" w:eastAsia="標楷體" w:hAnsi="Times New Roman" w:cs="Times New Roman"/>
          <w:szCs w:val="24"/>
        </w:rPr>
        <w:t>萬餘元，決算審核結果，審定實現數7億</w:t>
      </w:r>
      <w:r>
        <w:rPr>
          <w:rFonts w:ascii="標楷體" w:eastAsia="標楷體" w:hAnsi="Times New Roman" w:cs="Times New Roman" w:hint="eastAsia"/>
          <w:szCs w:val="24"/>
        </w:rPr>
        <w:t>6</w:t>
      </w:r>
      <w:r w:rsidRPr="005E4C47">
        <w:rPr>
          <w:rFonts w:ascii="標楷體" w:eastAsia="標楷體" w:hAnsi="Times New Roman" w:cs="Times New Roman"/>
          <w:szCs w:val="24"/>
        </w:rPr>
        <w:t>,2</w:t>
      </w:r>
      <w:r>
        <w:rPr>
          <w:rFonts w:ascii="標楷體" w:eastAsia="標楷體" w:hAnsi="Times New Roman" w:cs="Times New Roman" w:hint="eastAsia"/>
          <w:szCs w:val="24"/>
        </w:rPr>
        <w:t>65</w:t>
      </w:r>
      <w:r w:rsidRPr="005E4C47">
        <w:rPr>
          <w:rFonts w:ascii="標楷體" w:eastAsia="標楷體" w:hAnsi="Times New Roman" w:cs="Times New Roman"/>
          <w:szCs w:val="24"/>
        </w:rPr>
        <w:t>萬餘元，應收</w:t>
      </w:r>
      <w:r w:rsidRPr="0097331E">
        <w:rPr>
          <w:rFonts w:ascii="標楷體" w:eastAsia="標楷體" w:hAnsi="標楷體" w:cs="Times New Roman"/>
          <w:szCs w:val="24"/>
        </w:rPr>
        <w:t>保留</w:t>
      </w:r>
      <w:r w:rsidRPr="005E4C47">
        <w:rPr>
          <w:rFonts w:ascii="標楷體" w:eastAsia="標楷體" w:hAnsi="Times New Roman" w:cs="Times New Roman"/>
          <w:szCs w:val="24"/>
        </w:rPr>
        <w:t>數</w:t>
      </w:r>
      <w:r>
        <w:rPr>
          <w:rFonts w:ascii="標楷體" w:eastAsia="標楷體" w:hAnsi="Times New Roman" w:cs="Times New Roman" w:hint="eastAsia"/>
          <w:szCs w:val="24"/>
        </w:rPr>
        <w:t>67</w:t>
      </w:r>
      <w:r w:rsidRPr="005E4C47">
        <w:rPr>
          <w:rFonts w:ascii="標楷體" w:eastAsia="標楷體" w:hAnsi="Times New Roman" w:cs="Times New Roman"/>
          <w:szCs w:val="24"/>
        </w:rPr>
        <w:t>萬餘元，</w:t>
      </w:r>
      <w:r w:rsidRPr="00587AFF">
        <w:rPr>
          <w:rFonts w:ascii="標楷體" w:eastAsia="標楷體" w:hAnsi="Times New Roman" w:cs="Times New Roman"/>
          <w:szCs w:val="24"/>
        </w:rPr>
        <w:t>係</w:t>
      </w:r>
      <w:r w:rsidRPr="00DF4C06">
        <w:rPr>
          <w:rFonts w:ascii="標楷體" w:eastAsia="標楷體" w:hAnsi="Times New Roman" w:cs="Times New Roman" w:hint="eastAsia"/>
          <w:szCs w:val="24"/>
        </w:rPr>
        <w:t>殯葬管理處</w:t>
      </w:r>
      <w:r>
        <w:rPr>
          <w:rFonts w:ascii="標楷體" w:eastAsia="標楷體" w:hAnsi="Times New Roman" w:cs="Times New Roman" w:hint="eastAsia"/>
          <w:szCs w:val="24"/>
        </w:rPr>
        <w:t>應收</w:t>
      </w:r>
      <w:r w:rsidRPr="004724B6">
        <w:rPr>
          <w:rFonts w:ascii="標楷體" w:eastAsia="標楷體" w:hAnsi="Times New Roman" w:cs="Times New Roman" w:hint="eastAsia"/>
          <w:szCs w:val="24"/>
        </w:rPr>
        <w:t>違反殯葬管理條例之罰鍰尚待收繳</w:t>
      </w:r>
      <w:r w:rsidRPr="005E4C47">
        <w:rPr>
          <w:rFonts w:ascii="標楷體" w:eastAsia="標楷體" w:hAnsi="Times New Roman" w:cs="Times New Roman"/>
          <w:szCs w:val="24"/>
        </w:rPr>
        <w:t>；合計決算審定數為7億</w:t>
      </w:r>
      <w:r>
        <w:rPr>
          <w:rFonts w:ascii="標楷體" w:eastAsia="標楷體" w:hAnsi="Times New Roman" w:cs="Times New Roman" w:hint="eastAsia"/>
          <w:szCs w:val="24"/>
        </w:rPr>
        <w:t>6</w:t>
      </w:r>
      <w:r w:rsidRPr="005E4C47">
        <w:rPr>
          <w:rFonts w:ascii="標楷體" w:eastAsia="標楷體" w:hAnsi="Times New Roman" w:cs="Times New Roman"/>
          <w:szCs w:val="24"/>
        </w:rPr>
        <w:t>,</w:t>
      </w:r>
      <w:r>
        <w:rPr>
          <w:rFonts w:ascii="標楷體" w:eastAsia="標楷體" w:hAnsi="Times New Roman" w:cs="Times New Roman" w:hint="eastAsia"/>
          <w:szCs w:val="24"/>
        </w:rPr>
        <w:t>332</w:t>
      </w:r>
      <w:r w:rsidRPr="005E4C47">
        <w:rPr>
          <w:rFonts w:ascii="標楷體" w:eastAsia="標楷體" w:hAnsi="Times New Roman" w:cs="Times New Roman"/>
          <w:szCs w:val="24"/>
        </w:rPr>
        <w:t>萬餘元，較預算</w:t>
      </w:r>
      <w:r>
        <w:rPr>
          <w:rFonts w:ascii="標楷體" w:eastAsia="標楷體" w:hAnsi="Times New Roman" w:cs="Times New Roman" w:hint="eastAsia"/>
          <w:szCs w:val="24"/>
        </w:rPr>
        <w:t>減少1</w:t>
      </w:r>
      <w:r w:rsidRPr="005E4C47">
        <w:rPr>
          <w:rFonts w:ascii="標楷體" w:eastAsia="標楷體" w:hAnsi="Times New Roman" w:cs="Times New Roman"/>
          <w:szCs w:val="24"/>
        </w:rPr>
        <w:t>,</w:t>
      </w:r>
      <w:r>
        <w:rPr>
          <w:rFonts w:ascii="標楷體" w:eastAsia="標楷體" w:hAnsi="Times New Roman" w:cs="Times New Roman" w:hint="eastAsia"/>
          <w:szCs w:val="24"/>
        </w:rPr>
        <w:t>6</w:t>
      </w:r>
      <w:r w:rsidRPr="005E4C47">
        <w:rPr>
          <w:rFonts w:ascii="標楷體" w:eastAsia="標楷體" w:hAnsi="Times New Roman" w:cs="Times New Roman"/>
          <w:szCs w:val="24"/>
        </w:rPr>
        <w:t>8</w:t>
      </w:r>
      <w:r>
        <w:rPr>
          <w:rFonts w:ascii="標楷體" w:eastAsia="標楷體" w:hAnsi="Times New Roman" w:cs="Times New Roman" w:hint="eastAsia"/>
          <w:szCs w:val="24"/>
        </w:rPr>
        <w:t>7</w:t>
      </w:r>
      <w:r w:rsidRPr="005E4C47">
        <w:rPr>
          <w:rFonts w:ascii="標楷體" w:eastAsia="標楷體" w:hAnsi="Times New Roman" w:cs="Times New Roman"/>
          <w:szCs w:val="24"/>
        </w:rPr>
        <w:t>萬餘元（2.</w:t>
      </w:r>
      <w:r>
        <w:rPr>
          <w:rFonts w:ascii="標楷體" w:eastAsia="標楷體" w:hAnsi="Times New Roman" w:cs="Times New Roman" w:hint="eastAsia"/>
          <w:szCs w:val="24"/>
        </w:rPr>
        <w:t>16</w:t>
      </w:r>
      <w:r w:rsidRPr="005E4C47">
        <w:rPr>
          <w:rFonts w:ascii="標楷體" w:eastAsia="標楷體" w:hAnsi="Times New Roman" w:cs="Times New Roman"/>
          <w:szCs w:val="24"/>
        </w:rPr>
        <w:t>％），</w:t>
      </w:r>
      <w:r w:rsidRPr="005E4C47">
        <w:rPr>
          <w:rFonts w:ascii="標楷體" w:eastAsia="標楷體" w:hAnsi="Times New Roman" w:cs="Times New Roman" w:hint="eastAsia"/>
          <w:szCs w:val="24"/>
        </w:rPr>
        <w:t>主要係</w:t>
      </w:r>
      <w:r w:rsidRPr="00F00D17">
        <w:rPr>
          <w:rFonts w:ascii="標楷體" w:eastAsia="標楷體" w:hAnsi="Times New Roman" w:cs="Times New Roman" w:hint="eastAsia"/>
          <w:szCs w:val="24"/>
        </w:rPr>
        <w:t>殯葬管理處</w:t>
      </w:r>
      <w:r w:rsidRPr="00783CA4">
        <w:rPr>
          <w:rFonts w:ascii="標楷體" w:eastAsia="標楷體" w:hAnsi="Times New Roman" w:cs="Times New Roman" w:hint="eastAsia"/>
          <w:szCs w:val="24"/>
        </w:rPr>
        <w:t>受理民眾申請遺體及骨灰罐寄存</w:t>
      </w:r>
      <w:r w:rsidRPr="00FA60C1">
        <w:rPr>
          <w:rFonts w:ascii="標楷體" w:eastAsia="標楷體" w:hAnsi="Times New Roman" w:cs="Times New Roman" w:hint="eastAsia"/>
          <w:szCs w:val="24"/>
        </w:rPr>
        <w:t>等</w:t>
      </w:r>
      <w:r w:rsidRPr="00FA60C1">
        <w:rPr>
          <w:rFonts w:ascii="標楷體" w:eastAsia="標楷體" w:hAnsi="Times New Roman" w:cs="Times New Roman"/>
          <w:szCs w:val="24"/>
        </w:rPr>
        <w:t>規費</w:t>
      </w:r>
      <w:r w:rsidRPr="00FA60C1">
        <w:rPr>
          <w:rFonts w:ascii="標楷體" w:eastAsia="標楷體" w:hAnsi="Times New Roman" w:cs="Times New Roman" w:hint="eastAsia"/>
          <w:szCs w:val="24"/>
        </w:rPr>
        <w:t>收入較預計減少</w:t>
      </w:r>
      <w:r w:rsidRPr="005E4C47">
        <w:rPr>
          <w:rFonts w:ascii="標楷體" w:eastAsia="標楷體" w:hAnsi="Times New Roman" w:cs="Times New Roman" w:hint="eastAsia"/>
          <w:szCs w:val="24"/>
        </w:rPr>
        <w:t>。</w:t>
      </w:r>
    </w:p>
    <w:p w14:paraId="0F5EB294" w14:textId="77777777" w:rsidR="0097331E" w:rsidRPr="005E4C47" w:rsidRDefault="0097331E" w:rsidP="0097331E">
      <w:pPr>
        <w:overflowPunct w:val="0"/>
        <w:spacing w:line="440" w:lineRule="exact"/>
        <w:ind w:firstLineChars="200" w:firstLine="480"/>
        <w:jc w:val="both"/>
        <w:rPr>
          <w:rFonts w:ascii="標楷體" w:eastAsia="標楷體" w:hAnsi="Times New Roman" w:cs="Times New Roman"/>
          <w:szCs w:val="24"/>
        </w:rPr>
      </w:pPr>
      <w:r w:rsidRPr="005E4C47">
        <w:rPr>
          <w:rFonts w:ascii="標楷體" w:eastAsia="標楷體" w:hAnsi="Times New Roman" w:cs="Times New Roman"/>
          <w:szCs w:val="24"/>
        </w:rPr>
        <w:t>2.以前年度歲入轉入數計</w:t>
      </w:r>
      <w:r>
        <w:rPr>
          <w:rFonts w:ascii="標楷體" w:eastAsia="標楷體" w:hAnsi="Times New Roman" w:cs="Times New Roman" w:hint="eastAsia"/>
          <w:szCs w:val="24"/>
        </w:rPr>
        <w:t>516萬</w:t>
      </w:r>
      <w:r w:rsidRPr="005E4C47">
        <w:rPr>
          <w:rFonts w:ascii="標楷體" w:eastAsia="標楷體" w:hAnsi="Times New Roman" w:cs="Times New Roman"/>
          <w:szCs w:val="24"/>
        </w:rPr>
        <w:t>餘元，決算審核結果，審定實現數</w:t>
      </w:r>
      <w:r>
        <w:rPr>
          <w:rFonts w:ascii="標楷體" w:eastAsia="標楷體" w:hAnsi="Times New Roman" w:cs="Times New Roman" w:hint="eastAsia"/>
          <w:szCs w:val="24"/>
        </w:rPr>
        <w:t>142</w:t>
      </w:r>
      <w:r w:rsidRPr="005E4C47">
        <w:rPr>
          <w:rFonts w:ascii="標楷體" w:eastAsia="標楷體" w:hAnsi="Times New Roman" w:cs="Times New Roman"/>
          <w:szCs w:val="24"/>
        </w:rPr>
        <w:t>萬餘元（</w:t>
      </w:r>
      <w:r>
        <w:rPr>
          <w:rFonts w:ascii="標楷體" w:eastAsia="標楷體" w:hAnsi="Times New Roman" w:cs="Times New Roman" w:hint="eastAsia"/>
          <w:szCs w:val="24"/>
        </w:rPr>
        <w:t>27</w:t>
      </w:r>
      <w:r w:rsidRPr="005E4C47">
        <w:rPr>
          <w:rFonts w:ascii="標楷體" w:eastAsia="標楷體" w:hAnsi="Times New Roman" w:cs="Times New Roman"/>
          <w:szCs w:val="24"/>
        </w:rPr>
        <w:t>.</w:t>
      </w:r>
      <w:r>
        <w:rPr>
          <w:rFonts w:ascii="標楷體" w:eastAsia="標楷體" w:hAnsi="Times New Roman" w:cs="Times New Roman" w:hint="eastAsia"/>
          <w:szCs w:val="24"/>
        </w:rPr>
        <w:t>62</w:t>
      </w:r>
      <w:r w:rsidRPr="005E4C47">
        <w:rPr>
          <w:rFonts w:ascii="標楷體" w:eastAsia="標楷體" w:hAnsi="Times New Roman" w:cs="Times New Roman"/>
          <w:szCs w:val="24"/>
        </w:rPr>
        <w:t>％）；減免（註銷）數</w:t>
      </w:r>
      <w:r>
        <w:rPr>
          <w:rFonts w:ascii="標楷體" w:eastAsia="標楷體" w:hAnsi="Times New Roman" w:cs="Times New Roman" w:hint="eastAsia"/>
          <w:szCs w:val="24"/>
        </w:rPr>
        <w:t>94</w:t>
      </w:r>
      <w:r w:rsidRPr="005E4C47">
        <w:rPr>
          <w:rFonts w:ascii="標楷體" w:eastAsia="標楷體" w:hAnsi="Times New Roman" w:cs="Times New Roman"/>
          <w:szCs w:val="24"/>
        </w:rPr>
        <w:t>萬餘元（</w:t>
      </w:r>
      <w:r>
        <w:rPr>
          <w:rFonts w:ascii="標楷體" w:eastAsia="標楷體" w:hAnsi="Times New Roman" w:cs="Times New Roman" w:hint="eastAsia"/>
          <w:szCs w:val="24"/>
        </w:rPr>
        <w:t>18</w:t>
      </w:r>
      <w:r w:rsidRPr="005E4C47">
        <w:rPr>
          <w:rFonts w:ascii="標楷體" w:eastAsia="標楷體" w:hAnsi="Times New Roman" w:cs="Times New Roman"/>
          <w:szCs w:val="24"/>
        </w:rPr>
        <w:t>.</w:t>
      </w:r>
      <w:r>
        <w:rPr>
          <w:rFonts w:ascii="標楷體" w:eastAsia="標楷體" w:hAnsi="Times New Roman" w:cs="Times New Roman" w:hint="eastAsia"/>
          <w:szCs w:val="24"/>
        </w:rPr>
        <w:t>36</w:t>
      </w:r>
      <w:r w:rsidRPr="005E4C47">
        <w:rPr>
          <w:rFonts w:ascii="標楷體" w:eastAsia="標楷體" w:hAnsi="Times New Roman" w:cs="Times New Roman"/>
          <w:szCs w:val="24"/>
        </w:rPr>
        <w:t>％），</w:t>
      </w:r>
      <w:r w:rsidRPr="00D80FD5">
        <w:rPr>
          <w:rFonts w:ascii="標楷體" w:eastAsia="標楷體" w:hAnsi="Times New Roman" w:cs="Times New Roman"/>
          <w:szCs w:val="24"/>
        </w:rPr>
        <w:t>係</w:t>
      </w:r>
      <w:r w:rsidRPr="004724B6">
        <w:rPr>
          <w:rFonts w:ascii="標楷體" w:eastAsia="標楷體" w:hAnsi="Times New Roman" w:cs="Times New Roman" w:hint="eastAsia"/>
          <w:szCs w:val="24"/>
        </w:rPr>
        <w:t>民政局應收違反</w:t>
      </w:r>
      <w:proofErr w:type="gramStart"/>
      <w:r w:rsidRPr="004724B6">
        <w:rPr>
          <w:rFonts w:ascii="標楷體" w:eastAsia="標楷體" w:hAnsi="Times New Roman" w:cs="Times New Roman" w:hint="eastAsia"/>
          <w:szCs w:val="24"/>
        </w:rPr>
        <w:t>新型冠</w:t>
      </w:r>
      <w:proofErr w:type="gramEnd"/>
      <w:r w:rsidRPr="004724B6">
        <w:rPr>
          <w:rFonts w:ascii="標楷體" w:eastAsia="標楷體" w:hAnsi="Times New Roman" w:cs="Times New Roman" w:hint="eastAsia"/>
          <w:szCs w:val="24"/>
        </w:rPr>
        <w:t>狀病毒肺炎（COVID－19）居家檢疫規定之罰鍰，已取得執行憑證後辦理註銷</w:t>
      </w:r>
      <w:r w:rsidRPr="005E4C47">
        <w:rPr>
          <w:rFonts w:ascii="標楷體" w:eastAsia="標楷體" w:hAnsi="Times New Roman" w:cs="Times New Roman"/>
          <w:szCs w:val="24"/>
        </w:rPr>
        <w:t>；應收保留數</w:t>
      </w:r>
      <w:r>
        <w:rPr>
          <w:rFonts w:ascii="標楷體" w:eastAsia="標楷體" w:hAnsi="Times New Roman" w:cs="Times New Roman" w:hint="eastAsia"/>
          <w:szCs w:val="24"/>
        </w:rPr>
        <w:t>278</w:t>
      </w:r>
      <w:r w:rsidRPr="005E4C47">
        <w:rPr>
          <w:rFonts w:ascii="標楷體" w:eastAsia="標楷體" w:hAnsi="Times New Roman" w:cs="Times New Roman"/>
          <w:szCs w:val="24"/>
        </w:rPr>
        <w:t>萬餘元（</w:t>
      </w:r>
      <w:r>
        <w:rPr>
          <w:rFonts w:ascii="標楷體" w:eastAsia="標楷體" w:hAnsi="Times New Roman" w:cs="Times New Roman" w:hint="eastAsia"/>
          <w:szCs w:val="24"/>
        </w:rPr>
        <w:t>54</w:t>
      </w:r>
      <w:r w:rsidRPr="005E4C47">
        <w:rPr>
          <w:rFonts w:ascii="標楷體" w:eastAsia="標楷體" w:hAnsi="Times New Roman" w:cs="Times New Roman"/>
          <w:szCs w:val="24"/>
        </w:rPr>
        <w:t>.</w:t>
      </w:r>
      <w:r>
        <w:rPr>
          <w:rFonts w:ascii="標楷體" w:eastAsia="標楷體" w:hAnsi="Times New Roman" w:cs="Times New Roman" w:hint="eastAsia"/>
          <w:szCs w:val="24"/>
        </w:rPr>
        <w:t>0</w:t>
      </w:r>
      <w:r w:rsidRPr="005E4C47">
        <w:rPr>
          <w:rFonts w:ascii="標楷體" w:eastAsia="標楷體" w:hAnsi="Times New Roman" w:cs="Times New Roman"/>
          <w:szCs w:val="24"/>
        </w:rPr>
        <w:t>2％），主要係</w:t>
      </w:r>
      <w:r w:rsidRPr="004724B6">
        <w:rPr>
          <w:rFonts w:ascii="標楷體" w:eastAsia="標楷體" w:hAnsi="Times New Roman" w:cs="Times New Roman" w:hint="eastAsia"/>
          <w:szCs w:val="24"/>
        </w:rPr>
        <w:t>民政局應收違反</w:t>
      </w:r>
      <w:proofErr w:type="gramStart"/>
      <w:r w:rsidRPr="004724B6">
        <w:rPr>
          <w:rFonts w:ascii="標楷體" w:eastAsia="標楷體" w:hAnsi="Times New Roman" w:cs="Times New Roman" w:hint="eastAsia"/>
          <w:szCs w:val="24"/>
        </w:rPr>
        <w:t>新型冠</w:t>
      </w:r>
      <w:proofErr w:type="gramEnd"/>
      <w:r w:rsidRPr="004724B6">
        <w:rPr>
          <w:rFonts w:ascii="標楷體" w:eastAsia="標楷體" w:hAnsi="Times New Roman" w:cs="Times New Roman" w:hint="eastAsia"/>
          <w:szCs w:val="24"/>
        </w:rPr>
        <w:t>狀病毒肺炎（COVID－19）居家檢疫規定之罰鍰</w:t>
      </w:r>
      <w:r>
        <w:rPr>
          <w:rFonts w:ascii="標楷體" w:eastAsia="標楷體" w:hAnsi="Times New Roman" w:cs="Times New Roman" w:hint="eastAsia"/>
          <w:szCs w:val="24"/>
        </w:rPr>
        <w:t>，及殯葬管理處應收違反殯葬管理條例之罰鍰</w:t>
      </w:r>
      <w:r w:rsidRPr="004724B6">
        <w:rPr>
          <w:rFonts w:ascii="標楷體" w:eastAsia="標楷體" w:hAnsi="Times New Roman" w:cs="Times New Roman" w:hint="eastAsia"/>
          <w:szCs w:val="24"/>
        </w:rPr>
        <w:t>尚待收繳</w:t>
      </w:r>
      <w:r w:rsidRPr="005E4C47">
        <w:rPr>
          <w:rFonts w:ascii="標楷體" w:eastAsia="標楷體" w:hAnsi="Times New Roman" w:cs="Times New Roman" w:hint="eastAsia"/>
          <w:szCs w:val="24"/>
        </w:rPr>
        <w:t>。</w:t>
      </w:r>
    </w:p>
    <w:p w14:paraId="3EF5A145" w14:textId="77777777" w:rsidR="0097331E" w:rsidRPr="005E4C47" w:rsidRDefault="0097331E" w:rsidP="0097331E">
      <w:pPr>
        <w:overflowPunct w:val="0"/>
        <w:spacing w:line="440" w:lineRule="exact"/>
        <w:ind w:firstLineChars="200" w:firstLine="480"/>
        <w:jc w:val="both"/>
        <w:rPr>
          <w:rFonts w:ascii="標楷體" w:eastAsia="標楷體" w:hAnsi="Times New Roman" w:cs="Times New Roman"/>
          <w:szCs w:val="24"/>
        </w:rPr>
      </w:pPr>
      <w:r w:rsidRPr="005E4C47">
        <w:rPr>
          <w:rFonts w:ascii="標楷體" w:eastAsia="標楷體" w:hAnsi="Times New Roman" w:cs="Times New Roman"/>
          <w:szCs w:val="24"/>
        </w:rPr>
        <w:t>3.歲出原編列預算數30億</w:t>
      </w:r>
      <w:r>
        <w:rPr>
          <w:rFonts w:ascii="標楷體" w:eastAsia="標楷體" w:hAnsi="Times New Roman" w:cs="Times New Roman" w:hint="eastAsia"/>
          <w:szCs w:val="24"/>
        </w:rPr>
        <w:t>3</w:t>
      </w:r>
      <w:r w:rsidRPr="005E4C47">
        <w:rPr>
          <w:rFonts w:ascii="標楷體" w:eastAsia="標楷體" w:hAnsi="Times New Roman" w:cs="Times New Roman"/>
          <w:szCs w:val="24"/>
        </w:rPr>
        <w:t>,2</w:t>
      </w:r>
      <w:r>
        <w:rPr>
          <w:rFonts w:ascii="標楷體" w:eastAsia="標楷體" w:hAnsi="Times New Roman" w:cs="Times New Roman" w:hint="eastAsia"/>
          <w:szCs w:val="24"/>
        </w:rPr>
        <w:t>66</w:t>
      </w:r>
      <w:r w:rsidRPr="005E4C47">
        <w:rPr>
          <w:rFonts w:ascii="標楷體" w:eastAsia="標楷體" w:hAnsi="Times New Roman" w:cs="Times New Roman"/>
          <w:szCs w:val="24"/>
        </w:rPr>
        <w:t>萬餘元，經追加預算</w:t>
      </w:r>
      <w:r>
        <w:rPr>
          <w:rFonts w:ascii="標楷體" w:eastAsia="標楷體" w:hAnsi="Times New Roman" w:cs="Times New Roman" w:hint="eastAsia"/>
          <w:szCs w:val="24"/>
        </w:rPr>
        <w:t>11</w:t>
      </w:r>
      <w:r w:rsidRPr="005E4C47">
        <w:rPr>
          <w:rFonts w:ascii="標楷體" w:eastAsia="標楷體" w:hAnsi="Times New Roman" w:cs="Times New Roman"/>
          <w:szCs w:val="24"/>
        </w:rPr>
        <w:t>萬元，並因</w:t>
      </w:r>
      <w:r w:rsidRPr="00587AFF">
        <w:rPr>
          <w:rFonts w:ascii="標楷體" w:eastAsia="標楷體" w:hAnsi="Times New Roman" w:cs="Times New Roman" w:hint="eastAsia"/>
          <w:szCs w:val="24"/>
        </w:rPr>
        <w:t>殯葬管理處辦理第一殯儀館拆除整地綠化工程、館區聯外道路通車增派義交協勤所需經費不敷，及大安區黎元停車場基地改建為禮儀服務園區可行性研究、</w:t>
      </w:r>
      <w:proofErr w:type="gramStart"/>
      <w:r w:rsidRPr="00587AFF">
        <w:rPr>
          <w:rFonts w:ascii="標楷體" w:eastAsia="標楷體" w:hAnsi="Times New Roman" w:cs="Times New Roman" w:hint="eastAsia"/>
          <w:szCs w:val="24"/>
        </w:rPr>
        <w:t>充實景行樓</w:t>
      </w:r>
      <w:proofErr w:type="gramEnd"/>
      <w:r w:rsidRPr="00587AFF">
        <w:rPr>
          <w:rFonts w:ascii="標楷體" w:eastAsia="標楷體" w:hAnsi="Times New Roman" w:cs="Times New Roman" w:hint="eastAsia"/>
          <w:szCs w:val="24"/>
        </w:rPr>
        <w:t>設施設備所需經費</w:t>
      </w:r>
      <w:r w:rsidRPr="005E4C47">
        <w:rPr>
          <w:rFonts w:ascii="標楷體" w:eastAsia="標楷體" w:hAnsi="Times New Roman" w:cs="Times New Roman"/>
          <w:szCs w:val="24"/>
        </w:rPr>
        <w:t>等事由，經動支第二預備金</w:t>
      </w:r>
      <w:r>
        <w:rPr>
          <w:rFonts w:ascii="標楷體" w:eastAsia="標楷體" w:hAnsi="Times New Roman" w:cs="Times New Roman" w:hint="eastAsia"/>
          <w:szCs w:val="24"/>
        </w:rPr>
        <w:t>1</w:t>
      </w:r>
      <w:r>
        <w:rPr>
          <w:rFonts w:ascii="標楷體" w:eastAsia="標楷體" w:hAnsi="Times New Roman" w:cs="Times New Roman"/>
          <w:szCs w:val="24"/>
        </w:rPr>
        <w:t>,450</w:t>
      </w:r>
      <w:r w:rsidRPr="005E4C47">
        <w:rPr>
          <w:rFonts w:ascii="標楷體" w:eastAsia="標楷體" w:hAnsi="Times New Roman" w:cs="Times New Roman"/>
          <w:szCs w:val="24"/>
        </w:rPr>
        <w:t>萬餘元，</w:t>
      </w:r>
      <w:proofErr w:type="gramStart"/>
      <w:r w:rsidRPr="005E4C47">
        <w:rPr>
          <w:rFonts w:ascii="標楷體" w:eastAsia="標楷體" w:hAnsi="Times New Roman" w:cs="Times New Roman"/>
          <w:szCs w:val="24"/>
        </w:rPr>
        <w:t>暨</w:t>
      </w:r>
      <w:r w:rsidRPr="00535EB7">
        <w:rPr>
          <w:rFonts w:ascii="標楷體" w:eastAsia="標楷體" w:hAnsi="標楷體" w:cs="Times New Roman" w:hint="eastAsia"/>
          <w:spacing w:val="-1"/>
          <w:kern w:val="0"/>
          <w:szCs w:val="24"/>
        </w:rPr>
        <w:t>因</w:t>
      </w:r>
      <w:r>
        <w:rPr>
          <w:rFonts w:ascii="標楷體" w:eastAsia="標楷體" w:hAnsi="標楷體" w:cs="Times New Roman" w:hint="eastAsia"/>
          <w:spacing w:val="-1"/>
          <w:kern w:val="0"/>
          <w:szCs w:val="24"/>
        </w:rPr>
        <w:t>民政局</w:t>
      </w:r>
      <w:proofErr w:type="gramEnd"/>
      <w:r>
        <w:rPr>
          <w:rFonts w:ascii="標楷體" w:eastAsia="標楷體" w:hAnsi="標楷體" w:cs="Times New Roman" w:hint="eastAsia"/>
          <w:spacing w:val="-1"/>
          <w:kern w:val="0"/>
          <w:szCs w:val="24"/>
        </w:rPr>
        <w:t>、孔廟管理委員會、殯葬管理處暨松山區等10個戶政事務所</w:t>
      </w:r>
      <w:r w:rsidRPr="00535EB7">
        <w:rPr>
          <w:rFonts w:ascii="標楷體" w:eastAsia="標楷體" w:hAnsi="標楷體" w:cs="Times New Roman" w:hint="eastAsia"/>
          <w:spacing w:val="-1"/>
          <w:kern w:val="0"/>
          <w:szCs w:val="24"/>
        </w:rPr>
        <w:t>人事費不足</w:t>
      </w:r>
      <w:r>
        <w:rPr>
          <w:rFonts w:ascii="標楷體" w:eastAsia="標楷體" w:hAnsi="標楷體" w:cs="Times New Roman" w:hint="eastAsia"/>
          <w:spacing w:val="-1"/>
          <w:kern w:val="0"/>
          <w:szCs w:val="24"/>
        </w:rPr>
        <w:t>，</w:t>
      </w:r>
      <w:r w:rsidRPr="00535EB7">
        <w:rPr>
          <w:rFonts w:ascii="標楷體" w:eastAsia="標楷體" w:hAnsi="標楷體" w:cs="Times New Roman" w:hint="eastAsia"/>
          <w:spacing w:val="-1"/>
          <w:kern w:val="0"/>
          <w:szCs w:val="24"/>
        </w:rPr>
        <w:t>申請</w:t>
      </w:r>
      <w:r w:rsidRPr="005E4C47">
        <w:rPr>
          <w:rFonts w:ascii="標楷體" w:eastAsia="標楷體" w:hAnsi="Times New Roman" w:cs="Times New Roman"/>
          <w:szCs w:val="24"/>
        </w:rPr>
        <w:t>動支各類員工待遇準備</w:t>
      </w:r>
      <w:r>
        <w:rPr>
          <w:rFonts w:ascii="標楷體" w:eastAsia="標楷體" w:hAnsi="Times New Roman" w:cs="Times New Roman" w:hint="eastAsia"/>
          <w:szCs w:val="24"/>
        </w:rPr>
        <w:t>2,</w:t>
      </w:r>
      <w:r>
        <w:rPr>
          <w:rFonts w:ascii="標楷體" w:eastAsia="標楷體" w:hAnsi="Times New Roman" w:cs="Times New Roman"/>
          <w:szCs w:val="24"/>
        </w:rPr>
        <w:t>2</w:t>
      </w:r>
      <w:r w:rsidRPr="005E4C47">
        <w:rPr>
          <w:rFonts w:ascii="標楷體" w:eastAsia="標楷體" w:hAnsi="Times New Roman" w:cs="Times New Roman"/>
          <w:szCs w:val="24"/>
        </w:rPr>
        <w:t>97萬餘元，合計3</w:t>
      </w:r>
      <w:r>
        <w:rPr>
          <w:rFonts w:ascii="標楷體" w:eastAsia="標楷體" w:hAnsi="Times New Roman" w:cs="Times New Roman"/>
          <w:szCs w:val="24"/>
        </w:rPr>
        <w:t>0</w:t>
      </w:r>
      <w:r w:rsidRPr="005E4C47">
        <w:rPr>
          <w:rFonts w:ascii="標楷體" w:eastAsia="標楷體" w:hAnsi="Times New Roman" w:cs="Times New Roman"/>
          <w:szCs w:val="24"/>
        </w:rPr>
        <w:t>億</w:t>
      </w:r>
      <w:r>
        <w:rPr>
          <w:rFonts w:ascii="標楷體" w:eastAsia="標楷體" w:hAnsi="Times New Roman" w:cs="Times New Roman"/>
          <w:szCs w:val="24"/>
        </w:rPr>
        <w:t>7</w:t>
      </w:r>
      <w:r w:rsidRPr="005E4C47">
        <w:rPr>
          <w:rFonts w:ascii="標楷體" w:eastAsia="標楷體" w:hAnsi="Times New Roman" w:cs="Times New Roman"/>
          <w:szCs w:val="24"/>
        </w:rPr>
        <w:t>,</w:t>
      </w:r>
      <w:r>
        <w:rPr>
          <w:rFonts w:ascii="標楷體" w:eastAsia="標楷體" w:hAnsi="Times New Roman" w:cs="Times New Roman"/>
          <w:szCs w:val="24"/>
        </w:rPr>
        <w:t>026</w:t>
      </w:r>
      <w:r w:rsidRPr="005E4C47">
        <w:rPr>
          <w:rFonts w:ascii="標楷體" w:eastAsia="標楷體" w:hAnsi="Times New Roman" w:cs="Times New Roman"/>
          <w:szCs w:val="24"/>
        </w:rPr>
        <w:t>萬餘元，決算審核結果，審定實現數</w:t>
      </w:r>
      <w:r>
        <w:rPr>
          <w:rFonts w:ascii="標楷體" w:eastAsia="標楷體" w:hAnsi="Times New Roman" w:cs="Times New Roman"/>
          <w:szCs w:val="24"/>
        </w:rPr>
        <w:t>27</w:t>
      </w:r>
      <w:r w:rsidRPr="005E4C47">
        <w:rPr>
          <w:rFonts w:ascii="標楷體" w:eastAsia="標楷體" w:hAnsi="Times New Roman" w:cs="Times New Roman"/>
          <w:szCs w:val="24"/>
        </w:rPr>
        <w:t>億</w:t>
      </w:r>
      <w:r>
        <w:rPr>
          <w:rFonts w:ascii="標楷體" w:eastAsia="標楷體" w:hAnsi="Times New Roman" w:cs="Times New Roman"/>
          <w:szCs w:val="24"/>
        </w:rPr>
        <w:t>7,162</w:t>
      </w:r>
      <w:r w:rsidRPr="005E4C47">
        <w:rPr>
          <w:rFonts w:ascii="標楷體" w:eastAsia="標楷體" w:hAnsi="Times New Roman" w:cs="Times New Roman"/>
          <w:szCs w:val="24"/>
        </w:rPr>
        <w:t>萬餘元（</w:t>
      </w:r>
      <w:r>
        <w:rPr>
          <w:rFonts w:ascii="標楷體" w:eastAsia="標楷體" w:hAnsi="Times New Roman" w:cs="Times New Roman"/>
          <w:szCs w:val="24"/>
        </w:rPr>
        <w:t>90</w:t>
      </w:r>
      <w:r w:rsidRPr="005E4C47">
        <w:rPr>
          <w:rFonts w:ascii="標楷體" w:eastAsia="標楷體" w:hAnsi="Times New Roman" w:cs="Times New Roman"/>
          <w:szCs w:val="24"/>
        </w:rPr>
        <w:t>.</w:t>
      </w:r>
      <w:r>
        <w:rPr>
          <w:rFonts w:ascii="標楷體" w:eastAsia="標楷體" w:hAnsi="Times New Roman" w:cs="Times New Roman"/>
          <w:szCs w:val="24"/>
        </w:rPr>
        <w:t>27</w:t>
      </w:r>
      <w:r w:rsidRPr="005E4C47">
        <w:rPr>
          <w:rFonts w:ascii="標楷體" w:eastAsia="標楷體" w:hAnsi="Times New Roman" w:cs="Times New Roman"/>
          <w:szCs w:val="24"/>
        </w:rPr>
        <w:t>％），應付保留數</w:t>
      </w:r>
      <w:r>
        <w:rPr>
          <w:rFonts w:ascii="標楷體" w:eastAsia="標楷體" w:hAnsi="Times New Roman" w:cs="Times New Roman" w:hint="eastAsia"/>
          <w:szCs w:val="24"/>
        </w:rPr>
        <w:t>7</w:t>
      </w:r>
      <w:r w:rsidRPr="005E4C47">
        <w:rPr>
          <w:rFonts w:ascii="標楷體" w:eastAsia="標楷體" w:hAnsi="Times New Roman" w:cs="Times New Roman"/>
          <w:szCs w:val="24"/>
        </w:rPr>
        <w:t>,3</w:t>
      </w:r>
      <w:r>
        <w:rPr>
          <w:rFonts w:ascii="標楷體" w:eastAsia="標楷體" w:hAnsi="Times New Roman" w:cs="Times New Roman"/>
          <w:szCs w:val="24"/>
        </w:rPr>
        <w:t>08</w:t>
      </w:r>
      <w:r w:rsidRPr="005E4C47">
        <w:rPr>
          <w:rFonts w:ascii="標楷體" w:eastAsia="標楷體" w:hAnsi="Times New Roman" w:cs="Times New Roman"/>
          <w:szCs w:val="24"/>
        </w:rPr>
        <w:t>萬餘元（</w:t>
      </w:r>
      <w:r>
        <w:rPr>
          <w:rFonts w:ascii="標楷體" w:eastAsia="標楷體" w:hAnsi="Times New Roman" w:cs="Times New Roman"/>
          <w:szCs w:val="24"/>
        </w:rPr>
        <w:t>2</w:t>
      </w:r>
      <w:r w:rsidRPr="005E4C47">
        <w:rPr>
          <w:rFonts w:ascii="標楷體" w:eastAsia="標楷體" w:hAnsi="Times New Roman" w:cs="Times New Roman"/>
          <w:szCs w:val="24"/>
        </w:rPr>
        <w:t>.</w:t>
      </w:r>
      <w:r>
        <w:rPr>
          <w:rFonts w:ascii="標楷體" w:eastAsia="標楷體" w:hAnsi="Times New Roman" w:cs="Times New Roman"/>
          <w:szCs w:val="24"/>
        </w:rPr>
        <w:t>38</w:t>
      </w:r>
      <w:r w:rsidRPr="005E4C47">
        <w:rPr>
          <w:rFonts w:ascii="標楷體" w:eastAsia="標楷體" w:hAnsi="Times New Roman" w:cs="Times New Roman"/>
          <w:szCs w:val="24"/>
        </w:rPr>
        <w:t>％），保留原因詳「（一）計畫實施之查核」說明；合計決算審定數為</w:t>
      </w:r>
      <w:r>
        <w:rPr>
          <w:rFonts w:ascii="標楷體" w:eastAsia="標楷體" w:hAnsi="Times New Roman" w:cs="Times New Roman"/>
          <w:szCs w:val="24"/>
        </w:rPr>
        <w:t>28</w:t>
      </w:r>
      <w:r w:rsidRPr="005E4C47">
        <w:rPr>
          <w:rFonts w:ascii="標楷體" w:eastAsia="標楷體" w:hAnsi="Times New Roman" w:cs="Times New Roman"/>
          <w:szCs w:val="24"/>
        </w:rPr>
        <w:t>億</w:t>
      </w:r>
      <w:r>
        <w:rPr>
          <w:rFonts w:ascii="標楷體" w:eastAsia="標楷體" w:hAnsi="Times New Roman" w:cs="Times New Roman"/>
          <w:szCs w:val="24"/>
        </w:rPr>
        <w:t>4</w:t>
      </w:r>
      <w:r w:rsidRPr="005E4C47">
        <w:rPr>
          <w:rFonts w:ascii="標楷體" w:eastAsia="標楷體" w:hAnsi="Times New Roman" w:cs="Times New Roman"/>
          <w:szCs w:val="24"/>
        </w:rPr>
        <w:t>,4</w:t>
      </w:r>
      <w:r>
        <w:rPr>
          <w:rFonts w:ascii="標楷體" w:eastAsia="標楷體" w:hAnsi="Times New Roman" w:cs="Times New Roman"/>
          <w:szCs w:val="24"/>
        </w:rPr>
        <w:t>70</w:t>
      </w:r>
      <w:r w:rsidRPr="005E4C47">
        <w:rPr>
          <w:rFonts w:ascii="標楷體" w:eastAsia="標楷體" w:hAnsi="Times New Roman" w:cs="Times New Roman"/>
          <w:szCs w:val="24"/>
        </w:rPr>
        <w:t>萬餘元，預算賸餘2億</w:t>
      </w:r>
      <w:r>
        <w:rPr>
          <w:rFonts w:ascii="標楷體" w:eastAsia="標楷體" w:hAnsi="Times New Roman" w:cs="Times New Roman"/>
          <w:szCs w:val="24"/>
        </w:rPr>
        <w:t>2</w:t>
      </w:r>
      <w:r w:rsidRPr="005E4C47">
        <w:rPr>
          <w:rFonts w:ascii="標楷體" w:eastAsia="標楷體" w:hAnsi="Times New Roman" w:cs="Times New Roman"/>
          <w:szCs w:val="24"/>
        </w:rPr>
        <w:t>,</w:t>
      </w:r>
      <w:r>
        <w:rPr>
          <w:rFonts w:ascii="標楷體" w:eastAsia="標楷體" w:hAnsi="Times New Roman" w:cs="Times New Roman"/>
          <w:szCs w:val="24"/>
        </w:rPr>
        <w:t>555</w:t>
      </w:r>
      <w:r w:rsidRPr="005E4C47">
        <w:rPr>
          <w:rFonts w:ascii="標楷體" w:eastAsia="標楷體" w:hAnsi="Times New Roman" w:cs="Times New Roman"/>
          <w:szCs w:val="24"/>
        </w:rPr>
        <w:t>萬餘元（</w:t>
      </w:r>
      <w:r>
        <w:rPr>
          <w:rFonts w:ascii="標楷體" w:eastAsia="標楷體" w:hAnsi="Times New Roman" w:cs="Times New Roman"/>
          <w:szCs w:val="24"/>
        </w:rPr>
        <w:t>7</w:t>
      </w:r>
      <w:r w:rsidRPr="005E4C47">
        <w:rPr>
          <w:rFonts w:ascii="標楷體" w:eastAsia="標楷體" w:hAnsi="Times New Roman" w:cs="Times New Roman"/>
          <w:szCs w:val="24"/>
        </w:rPr>
        <w:t>.35％），主要係</w:t>
      </w:r>
      <w:r w:rsidRPr="00375D88">
        <w:rPr>
          <w:rFonts w:ascii="標楷體" w:eastAsia="標楷體" w:hAnsi="Times New Roman" w:cs="Times New Roman" w:hint="eastAsia"/>
          <w:szCs w:val="24"/>
        </w:rPr>
        <w:t>民政局辦理生育獎勵金依實際申請案件撥付之賸餘</w:t>
      </w:r>
      <w:r w:rsidRPr="005E4C47">
        <w:rPr>
          <w:rFonts w:ascii="標楷體" w:eastAsia="標楷體" w:hAnsi="Times New Roman" w:cs="Times New Roman" w:hint="eastAsia"/>
          <w:szCs w:val="24"/>
        </w:rPr>
        <w:t>。</w:t>
      </w:r>
    </w:p>
    <w:p w14:paraId="2AA7BAE4" w14:textId="77777777" w:rsidR="0097331E" w:rsidRDefault="0097331E" w:rsidP="0097331E">
      <w:pPr>
        <w:overflowPunct w:val="0"/>
        <w:spacing w:line="440" w:lineRule="exact"/>
        <w:ind w:firstLineChars="200" w:firstLine="480"/>
        <w:jc w:val="both"/>
        <w:rPr>
          <w:rFonts w:ascii="標楷體" w:eastAsia="標楷體" w:hAnsi="Times New Roman" w:cs="Times New Roman"/>
          <w:szCs w:val="24"/>
        </w:rPr>
      </w:pPr>
      <w:r w:rsidRPr="005E4C47">
        <w:rPr>
          <w:rFonts w:ascii="標楷體" w:eastAsia="標楷體" w:hAnsi="Times New Roman" w:cs="Times New Roman"/>
          <w:szCs w:val="24"/>
        </w:rPr>
        <w:t>4.以前年度歲出轉入數計</w:t>
      </w:r>
      <w:r>
        <w:rPr>
          <w:rFonts w:ascii="標楷體" w:eastAsia="標楷體" w:hAnsi="Times New Roman" w:cs="Times New Roman"/>
          <w:szCs w:val="24"/>
        </w:rPr>
        <w:t>4</w:t>
      </w:r>
      <w:r w:rsidRPr="005E4C47">
        <w:rPr>
          <w:rFonts w:ascii="標楷體" w:eastAsia="標楷體" w:hAnsi="Times New Roman" w:cs="Times New Roman"/>
          <w:szCs w:val="24"/>
        </w:rPr>
        <w:t>億</w:t>
      </w:r>
      <w:r>
        <w:rPr>
          <w:rFonts w:ascii="標楷體" w:eastAsia="標楷體" w:hAnsi="Times New Roman" w:cs="Times New Roman"/>
          <w:szCs w:val="24"/>
        </w:rPr>
        <w:t>4</w:t>
      </w:r>
      <w:r w:rsidRPr="005E4C47">
        <w:rPr>
          <w:rFonts w:ascii="標楷體" w:eastAsia="標楷體" w:hAnsi="Times New Roman" w:cs="Times New Roman"/>
          <w:szCs w:val="24"/>
        </w:rPr>
        <w:t>,</w:t>
      </w:r>
      <w:r>
        <w:rPr>
          <w:rFonts w:ascii="標楷體" w:eastAsia="標楷體" w:hAnsi="Times New Roman" w:cs="Times New Roman"/>
          <w:szCs w:val="24"/>
        </w:rPr>
        <w:t>6</w:t>
      </w:r>
      <w:r w:rsidRPr="005E4C47">
        <w:rPr>
          <w:rFonts w:ascii="標楷體" w:eastAsia="標楷體" w:hAnsi="Times New Roman" w:cs="Times New Roman"/>
          <w:szCs w:val="24"/>
        </w:rPr>
        <w:t>5</w:t>
      </w:r>
      <w:r>
        <w:rPr>
          <w:rFonts w:ascii="標楷體" w:eastAsia="標楷體" w:hAnsi="Times New Roman" w:cs="Times New Roman"/>
          <w:szCs w:val="24"/>
        </w:rPr>
        <w:t>6</w:t>
      </w:r>
      <w:r w:rsidRPr="005E4C47">
        <w:rPr>
          <w:rFonts w:ascii="標楷體" w:eastAsia="標楷體" w:hAnsi="Times New Roman" w:cs="Times New Roman"/>
          <w:szCs w:val="24"/>
        </w:rPr>
        <w:t>萬餘元，決算審核結果，審定實現數3億</w:t>
      </w:r>
      <w:r>
        <w:rPr>
          <w:rFonts w:ascii="標楷體" w:eastAsia="標楷體" w:hAnsi="Times New Roman" w:cs="Times New Roman" w:hint="eastAsia"/>
          <w:szCs w:val="24"/>
        </w:rPr>
        <w:t>9</w:t>
      </w:r>
      <w:r w:rsidRPr="005E4C47">
        <w:rPr>
          <w:rFonts w:ascii="標楷體" w:eastAsia="標楷體" w:hAnsi="Times New Roman" w:cs="Times New Roman"/>
          <w:szCs w:val="24"/>
        </w:rPr>
        <w:t>,</w:t>
      </w:r>
      <w:r>
        <w:rPr>
          <w:rFonts w:ascii="標楷體" w:eastAsia="標楷體" w:hAnsi="Times New Roman" w:cs="Times New Roman"/>
          <w:szCs w:val="24"/>
        </w:rPr>
        <w:t>422</w:t>
      </w:r>
      <w:r w:rsidRPr="005E4C47">
        <w:rPr>
          <w:rFonts w:ascii="標楷體" w:eastAsia="標楷體" w:hAnsi="Times New Roman" w:cs="Times New Roman"/>
          <w:szCs w:val="24"/>
        </w:rPr>
        <w:t>萬餘元（</w:t>
      </w:r>
      <w:r>
        <w:rPr>
          <w:rFonts w:ascii="標楷體" w:eastAsia="標楷體" w:hAnsi="Times New Roman" w:cs="Times New Roman"/>
          <w:szCs w:val="24"/>
        </w:rPr>
        <w:t>88</w:t>
      </w:r>
      <w:r w:rsidRPr="005E4C47">
        <w:rPr>
          <w:rFonts w:ascii="標楷體" w:eastAsia="標楷體" w:hAnsi="Times New Roman" w:cs="Times New Roman"/>
          <w:szCs w:val="24"/>
        </w:rPr>
        <w:t>.</w:t>
      </w:r>
      <w:r>
        <w:rPr>
          <w:rFonts w:ascii="標楷體" w:eastAsia="標楷體" w:hAnsi="Times New Roman" w:cs="Times New Roman"/>
          <w:szCs w:val="24"/>
        </w:rPr>
        <w:t>28</w:t>
      </w:r>
      <w:r w:rsidRPr="005E4C47">
        <w:rPr>
          <w:rFonts w:ascii="標楷體" w:eastAsia="標楷體" w:hAnsi="Times New Roman" w:cs="Times New Roman"/>
          <w:szCs w:val="24"/>
        </w:rPr>
        <w:t>％</w:t>
      </w:r>
      <w:r w:rsidRPr="005E4C47">
        <w:rPr>
          <w:rFonts w:ascii="標楷體" w:eastAsia="標楷體" w:hAnsi="Times New Roman" w:cs="Times New Roman" w:hint="eastAsia"/>
          <w:szCs w:val="24"/>
        </w:rPr>
        <w:t>）</w:t>
      </w:r>
      <w:r w:rsidRPr="005E4C47">
        <w:rPr>
          <w:rFonts w:ascii="標楷體" w:eastAsia="標楷體" w:hAnsi="Times New Roman" w:cs="Times New Roman"/>
          <w:szCs w:val="24"/>
        </w:rPr>
        <w:t>；</w:t>
      </w:r>
      <w:r w:rsidRPr="00F00D17">
        <w:rPr>
          <w:rFonts w:ascii="標楷體" w:eastAsia="標楷體" w:hAnsi="Times New Roman" w:cs="Times New Roman"/>
          <w:szCs w:val="24"/>
        </w:rPr>
        <w:t>減免（註銷）數100萬餘元（0.22％），主要係</w:t>
      </w:r>
      <w:r w:rsidRPr="00F00D17">
        <w:rPr>
          <w:rFonts w:ascii="標楷體" w:eastAsia="標楷體" w:hAnsi="Times New Roman" w:cs="Times New Roman" w:hint="eastAsia"/>
          <w:szCs w:val="24"/>
        </w:rPr>
        <w:t>民政局</w:t>
      </w:r>
      <w:r>
        <w:rPr>
          <w:rFonts w:ascii="標楷體" w:eastAsia="標楷體" w:hAnsi="Times New Roman" w:cs="Times New Roman" w:hint="eastAsia"/>
          <w:szCs w:val="24"/>
        </w:rPr>
        <w:t>辦理</w:t>
      </w:r>
      <w:r w:rsidRPr="00944DB8">
        <w:rPr>
          <w:rFonts w:ascii="標楷體" w:eastAsia="標楷體" w:hAnsi="Times New Roman" w:cs="Times New Roman" w:hint="eastAsia"/>
          <w:szCs w:val="24"/>
        </w:rPr>
        <w:t>國民身分證安全防偽</w:t>
      </w:r>
    </w:p>
    <w:p w14:paraId="7038B52C" w14:textId="6D427C4E" w:rsidR="0097331E" w:rsidRPr="005E4C47" w:rsidRDefault="0097331E" w:rsidP="0097331E">
      <w:pPr>
        <w:overflowPunct w:val="0"/>
        <w:spacing w:line="460" w:lineRule="exact"/>
        <w:jc w:val="both"/>
        <w:rPr>
          <w:rFonts w:ascii="標楷體" w:eastAsia="標楷體" w:hAnsi="Times New Roman" w:cs="Times New Roman"/>
          <w:szCs w:val="24"/>
        </w:rPr>
      </w:pPr>
      <w:r w:rsidRPr="00944DB8">
        <w:rPr>
          <w:rFonts w:ascii="標楷體" w:eastAsia="標楷體" w:hAnsi="Times New Roman" w:cs="Times New Roman" w:hint="eastAsia"/>
          <w:szCs w:val="24"/>
        </w:rPr>
        <w:lastRenderedPageBreak/>
        <w:t>專用</w:t>
      </w:r>
      <w:proofErr w:type="gramStart"/>
      <w:r w:rsidRPr="00944DB8">
        <w:rPr>
          <w:rFonts w:ascii="標楷體" w:eastAsia="標楷體" w:hAnsi="Times New Roman" w:cs="Times New Roman" w:hint="eastAsia"/>
          <w:szCs w:val="24"/>
        </w:rPr>
        <w:t>膠膜案結餘</w:t>
      </w:r>
      <w:proofErr w:type="gramEnd"/>
      <w:r w:rsidRPr="00944DB8">
        <w:rPr>
          <w:rFonts w:ascii="標楷體" w:eastAsia="標楷體" w:hAnsi="Times New Roman" w:cs="Times New Roman" w:hint="eastAsia"/>
          <w:szCs w:val="24"/>
        </w:rPr>
        <w:t>款</w:t>
      </w:r>
      <w:r w:rsidRPr="005E4C47">
        <w:rPr>
          <w:rFonts w:ascii="標楷體" w:eastAsia="標楷體" w:hAnsi="Times New Roman" w:cs="Times New Roman"/>
          <w:szCs w:val="24"/>
        </w:rPr>
        <w:t>；應付保留數</w:t>
      </w:r>
      <w:r>
        <w:rPr>
          <w:rFonts w:ascii="標楷體" w:eastAsia="標楷體" w:hAnsi="Times New Roman" w:cs="Times New Roman"/>
          <w:szCs w:val="24"/>
        </w:rPr>
        <w:t>5</w:t>
      </w:r>
      <w:r w:rsidRPr="005E4C47">
        <w:rPr>
          <w:rFonts w:ascii="標楷體" w:eastAsia="標楷體" w:hAnsi="Times New Roman" w:cs="Times New Roman"/>
          <w:szCs w:val="24"/>
        </w:rPr>
        <w:t>,</w:t>
      </w:r>
      <w:r>
        <w:rPr>
          <w:rFonts w:ascii="標楷體" w:eastAsia="標楷體" w:hAnsi="Times New Roman" w:cs="Times New Roman"/>
          <w:szCs w:val="24"/>
        </w:rPr>
        <w:t>133</w:t>
      </w:r>
      <w:r w:rsidRPr="005E4C47">
        <w:rPr>
          <w:rFonts w:ascii="標楷體" w:eastAsia="標楷體" w:hAnsi="Times New Roman" w:cs="Times New Roman"/>
          <w:szCs w:val="24"/>
        </w:rPr>
        <w:t>萬餘元（</w:t>
      </w:r>
      <w:r>
        <w:rPr>
          <w:rFonts w:ascii="標楷體" w:eastAsia="標楷體" w:hAnsi="Times New Roman" w:cs="Times New Roman"/>
          <w:szCs w:val="24"/>
        </w:rPr>
        <w:t>11</w:t>
      </w:r>
      <w:r w:rsidRPr="005E4C47">
        <w:rPr>
          <w:rFonts w:ascii="標楷體" w:eastAsia="標楷體" w:hAnsi="Times New Roman" w:cs="Times New Roman"/>
          <w:szCs w:val="24"/>
        </w:rPr>
        <w:t>.</w:t>
      </w:r>
      <w:r>
        <w:rPr>
          <w:rFonts w:ascii="標楷體" w:eastAsia="標楷體" w:hAnsi="Times New Roman" w:cs="Times New Roman"/>
          <w:szCs w:val="24"/>
        </w:rPr>
        <w:t>50</w:t>
      </w:r>
      <w:r w:rsidRPr="005E4C47">
        <w:rPr>
          <w:rFonts w:ascii="標楷體" w:eastAsia="標楷體" w:hAnsi="Times New Roman" w:cs="Times New Roman"/>
          <w:szCs w:val="24"/>
        </w:rPr>
        <w:t>％），主要係</w:t>
      </w:r>
      <w:r w:rsidRPr="00375D88">
        <w:rPr>
          <w:rFonts w:ascii="標楷體" w:eastAsia="標楷體" w:hAnsi="標楷體" w:cs="Times New Roman" w:hint="eastAsia"/>
          <w:szCs w:val="24"/>
        </w:rPr>
        <w:t>殯葬管理處</w:t>
      </w:r>
      <w:r>
        <w:rPr>
          <w:rFonts w:ascii="標楷體" w:eastAsia="標楷體" w:hAnsi="標楷體" w:cs="Times New Roman" w:hint="eastAsia"/>
          <w:szCs w:val="24"/>
        </w:rPr>
        <w:t>辦理</w:t>
      </w:r>
      <w:r w:rsidRPr="007A15B8">
        <w:rPr>
          <w:rFonts w:ascii="標楷體" w:eastAsia="標楷體" w:hAnsi="標楷體" w:cs="Times New Roman" w:hint="eastAsia"/>
          <w:szCs w:val="24"/>
        </w:rPr>
        <w:t>第二殯儀館第二期整建工程</w:t>
      </w:r>
      <w:r>
        <w:rPr>
          <w:rFonts w:ascii="標楷體" w:eastAsia="標楷體" w:hAnsi="標楷體" w:cs="Times New Roman" w:hint="eastAsia"/>
          <w:szCs w:val="24"/>
        </w:rPr>
        <w:t>等尚在執行中</w:t>
      </w:r>
      <w:r w:rsidRPr="00E750F1">
        <w:rPr>
          <w:rFonts w:ascii="標楷體" w:eastAsia="標楷體" w:hAnsi="標楷體" w:cs="Times New Roman" w:hint="eastAsia"/>
          <w:szCs w:val="24"/>
        </w:rPr>
        <w:t>，</w:t>
      </w:r>
      <w:r>
        <w:rPr>
          <w:rFonts w:ascii="標楷體" w:eastAsia="標楷體" w:hAnsi="標楷體" w:cs="Times New Roman" w:hint="eastAsia"/>
          <w:szCs w:val="24"/>
        </w:rPr>
        <w:t>及信義區戶政事務所</w:t>
      </w:r>
      <w:proofErr w:type="gramStart"/>
      <w:r>
        <w:rPr>
          <w:rFonts w:ascii="標楷體" w:eastAsia="標楷體" w:hAnsi="標楷體" w:cs="Times New Roman" w:hint="eastAsia"/>
          <w:szCs w:val="24"/>
        </w:rPr>
        <w:t>參建廣</w:t>
      </w:r>
      <w:proofErr w:type="gramEnd"/>
      <w:r>
        <w:rPr>
          <w:rFonts w:ascii="標楷體" w:eastAsia="標楷體" w:hAnsi="標楷體" w:cs="Times New Roman" w:hint="eastAsia"/>
          <w:szCs w:val="24"/>
        </w:rPr>
        <w:t>慈博愛園區新建工程及室內裝修工程，</w:t>
      </w:r>
      <w:r w:rsidRPr="00E750F1">
        <w:rPr>
          <w:rFonts w:ascii="標楷體" w:eastAsia="標楷體" w:hAnsi="標楷體" w:cs="Times New Roman" w:hint="eastAsia"/>
          <w:szCs w:val="24"/>
        </w:rPr>
        <w:t>配合主</w:t>
      </w:r>
      <w:r>
        <w:rPr>
          <w:rFonts w:ascii="標楷體" w:eastAsia="標楷體" w:hAnsi="標楷體" w:cs="Times New Roman" w:hint="eastAsia"/>
          <w:szCs w:val="24"/>
        </w:rPr>
        <w:t>辦機關辦理</w:t>
      </w:r>
      <w:r w:rsidRPr="00E750F1">
        <w:rPr>
          <w:rFonts w:ascii="標楷體" w:eastAsia="標楷體" w:hAnsi="標楷體" w:cs="Times New Roman" w:hint="eastAsia"/>
          <w:szCs w:val="24"/>
        </w:rPr>
        <w:t>進度，須保留繼續執</w:t>
      </w:r>
      <w:r w:rsidRPr="00D2254A">
        <w:rPr>
          <w:rFonts w:ascii="標楷體" w:eastAsia="標楷體" w:hAnsi="標楷體" w:cs="Times New Roman" w:hint="eastAsia"/>
          <w:szCs w:val="24"/>
        </w:rPr>
        <w:t>行</w:t>
      </w:r>
      <w:r w:rsidRPr="00D2254A">
        <w:rPr>
          <w:rFonts w:ascii="標楷體" w:eastAsia="標楷體" w:hAnsi="Times New Roman" w:cs="Times New Roman"/>
          <w:szCs w:val="24"/>
        </w:rPr>
        <w:t>。</w:t>
      </w:r>
    </w:p>
    <w:p w14:paraId="4A8B4268" w14:textId="77777777" w:rsidR="0097331E" w:rsidRPr="005E4C47" w:rsidRDefault="0097331E" w:rsidP="0097331E">
      <w:pPr>
        <w:suppressAutoHyphens/>
        <w:overflowPunct w:val="0"/>
        <w:spacing w:beforeLines="50" w:before="180" w:afterLines="20" w:after="72" w:line="480" w:lineRule="exact"/>
        <w:ind w:firstLineChars="100" w:firstLine="280"/>
        <w:jc w:val="both"/>
        <w:rPr>
          <w:rFonts w:ascii="標楷體" w:eastAsia="標楷體" w:hAnsi="標楷體" w:cs="Times New Roman"/>
          <w:b/>
          <w:sz w:val="28"/>
          <w:szCs w:val="28"/>
        </w:rPr>
      </w:pPr>
      <w:r w:rsidRPr="005E4C47">
        <w:rPr>
          <w:rFonts w:ascii="標楷體" w:eastAsia="標楷體" w:hAnsi="標楷體" w:cs="Times New Roman" w:hint="eastAsia"/>
          <w:b/>
          <w:sz w:val="28"/>
          <w:szCs w:val="28"/>
        </w:rPr>
        <w:t>（三）重要審核意見</w:t>
      </w:r>
    </w:p>
    <w:p w14:paraId="5B7F7F7F" w14:textId="77777777" w:rsidR="0097331E" w:rsidRPr="00F002D4" w:rsidRDefault="0097331E" w:rsidP="0097331E">
      <w:pPr>
        <w:overflowPunct w:val="0"/>
        <w:spacing w:beforeLines="50" w:before="180" w:line="480" w:lineRule="exact"/>
        <w:ind w:firstLineChars="200" w:firstLine="553"/>
        <w:jc w:val="both"/>
        <w:rPr>
          <w:rFonts w:ascii="標楷體" w:eastAsia="標楷體" w:hAnsi="Times New Roman" w:cs="Times New Roman"/>
          <w:b/>
          <w:color w:val="FF0000"/>
          <w:spacing w:val="-2"/>
          <w:sz w:val="28"/>
          <w:szCs w:val="28"/>
        </w:rPr>
      </w:pPr>
      <w:bookmarkStart w:id="16" w:name="_Toc153392365"/>
      <w:r w:rsidRPr="000452C8">
        <w:rPr>
          <w:rFonts w:ascii="標楷體" w:eastAsia="標楷體" w:hAnsi="Times New Roman" w:cs="Times New Roman" w:hint="eastAsia"/>
          <w:b/>
          <w:color w:val="000000" w:themeColor="text1"/>
          <w:spacing w:val="-2"/>
          <w:sz w:val="28"/>
          <w:szCs w:val="28"/>
        </w:rPr>
        <w:t>1.為提供民眾休閒活動場地，將經管民生社區中心活動空間及設施開放民眾租借使用，惟部分活動場地使用率連年未及</w:t>
      </w:r>
      <w:proofErr w:type="gramStart"/>
      <w:r w:rsidRPr="000452C8">
        <w:rPr>
          <w:rFonts w:ascii="標楷體" w:eastAsia="標楷體" w:hAnsi="Times New Roman" w:cs="Times New Roman" w:hint="eastAsia"/>
          <w:b/>
          <w:color w:val="000000" w:themeColor="text1"/>
          <w:spacing w:val="-2"/>
          <w:sz w:val="28"/>
          <w:szCs w:val="28"/>
        </w:rPr>
        <w:t>5成</w:t>
      </w:r>
      <w:proofErr w:type="gramEnd"/>
      <w:r w:rsidRPr="000452C8">
        <w:rPr>
          <w:rFonts w:ascii="標楷體" w:eastAsia="標楷體" w:hAnsi="Times New Roman" w:cs="Times New Roman" w:hint="eastAsia"/>
          <w:b/>
          <w:color w:val="000000" w:themeColor="text1"/>
          <w:spacing w:val="-2"/>
          <w:sz w:val="28"/>
          <w:szCs w:val="28"/>
        </w:rPr>
        <w:t>，且僅有少數活動場地提供線上查詢租借服務，服務方式未盡多元便利，有待</w:t>
      </w:r>
      <w:proofErr w:type="gramStart"/>
      <w:r w:rsidRPr="000452C8">
        <w:rPr>
          <w:rFonts w:ascii="標楷體" w:eastAsia="標楷體" w:hAnsi="Times New Roman" w:cs="Times New Roman" w:hint="eastAsia"/>
          <w:b/>
          <w:color w:val="000000" w:themeColor="text1"/>
          <w:spacing w:val="-2"/>
          <w:sz w:val="28"/>
          <w:szCs w:val="28"/>
        </w:rPr>
        <w:t>研</w:t>
      </w:r>
      <w:proofErr w:type="gramEnd"/>
      <w:r w:rsidRPr="000452C8">
        <w:rPr>
          <w:rFonts w:ascii="標楷體" w:eastAsia="標楷體" w:hAnsi="Times New Roman" w:cs="Times New Roman" w:hint="eastAsia"/>
          <w:b/>
          <w:color w:val="000000" w:themeColor="text1"/>
          <w:spacing w:val="-2"/>
          <w:sz w:val="28"/>
          <w:szCs w:val="28"/>
        </w:rPr>
        <w:t>謀改善。</w:t>
      </w:r>
      <w:r w:rsidRPr="00F002D4">
        <w:rPr>
          <w:rFonts w:ascii="標楷體" w:eastAsia="標楷體" w:hAnsi="Times New Roman" w:cs="Times New Roman"/>
          <w:b/>
          <w:color w:val="FF0000"/>
          <w:spacing w:val="-2"/>
          <w:sz w:val="28"/>
          <w:szCs w:val="28"/>
        </w:rPr>
        <w:t xml:space="preserve"> </w:t>
      </w:r>
    </w:p>
    <w:bookmarkEnd w:id="16"/>
    <w:p w14:paraId="43420E3F" w14:textId="77777777" w:rsidR="0097331E" w:rsidRDefault="0097331E" w:rsidP="00D54B42">
      <w:pPr>
        <w:overflowPunct w:val="0"/>
        <w:spacing w:beforeLines="20" w:before="72" w:line="464" w:lineRule="exact"/>
        <w:ind w:firstLineChars="200" w:firstLine="480"/>
        <w:jc w:val="both"/>
        <w:rPr>
          <w:rFonts w:ascii="標楷體" w:eastAsia="標楷體" w:hAnsi="標楷體"/>
        </w:rPr>
      </w:pPr>
      <w:r w:rsidRPr="0079126D">
        <w:rPr>
          <w:rFonts w:ascii="標楷體" w:eastAsia="標楷體" w:hAnsi="標楷體" w:cs="新細明體"/>
          <w:noProof/>
          <w:color w:val="000000"/>
          <w:kern w:val="0"/>
          <w:highlight w:val="yellow"/>
        </w:rPr>
        <mc:AlternateContent>
          <mc:Choice Requires="wps">
            <w:drawing>
              <wp:anchor distT="45720" distB="45720" distL="114300" distR="114300" simplePos="0" relativeHeight="251787264" behindDoc="1" locked="0" layoutInCell="1" allowOverlap="1" wp14:anchorId="16114133" wp14:editId="18D5799F">
                <wp:simplePos x="0" y="0"/>
                <wp:positionH relativeFrom="column">
                  <wp:posOffset>2989580</wp:posOffset>
                </wp:positionH>
                <wp:positionV relativeFrom="page">
                  <wp:posOffset>4257675</wp:posOffset>
                </wp:positionV>
                <wp:extent cx="3354705" cy="4533900"/>
                <wp:effectExtent l="0" t="0" r="0" b="0"/>
                <wp:wrapTight wrapText="bothSides">
                  <wp:wrapPolygon edited="0">
                    <wp:start x="0" y="0"/>
                    <wp:lineTo x="0" y="21509"/>
                    <wp:lineTo x="21465" y="21509"/>
                    <wp:lineTo x="21465" y="0"/>
                    <wp:lineTo x="0" y="0"/>
                  </wp:wrapPolygon>
                </wp:wrapTight>
                <wp:docPr id="10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4705" cy="4533900"/>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1940"/>
                              <w:gridCol w:w="679"/>
                              <w:gridCol w:w="679"/>
                              <w:gridCol w:w="1743"/>
                            </w:tblGrid>
                            <w:tr w:rsidR="0097331E" w:rsidRPr="005A006D" w14:paraId="5B29932F" w14:textId="77777777" w:rsidTr="00824CD6">
                              <w:trPr>
                                <w:trHeight w:val="227"/>
                              </w:trPr>
                              <w:tc>
                                <w:tcPr>
                                  <w:tcW w:w="5041" w:type="dxa"/>
                                  <w:gridSpan w:val="4"/>
                                  <w:shd w:val="clear" w:color="auto" w:fill="auto"/>
                                  <w:vAlign w:val="center"/>
                                </w:tcPr>
                                <w:p w14:paraId="495BA083" w14:textId="77777777" w:rsidR="0097331E" w:rsidRPr="005A006D" w:rsidRDefault="0097331E" w:rsidP="00824CD6">
                                  <w:pPr>
                                    <w:jc w:val="center"/>
                                    <w:rPr>
                                      <w:rFonts w:ascii="標楷體" w:eastAsia="標楷體" w:hAnsi="標楷體"/>
                                      <w:b/>
                                    </w:rPr>
                                  </w:pPr>
                                  <w:bookmarkStart w:id="17" w:name="_Hlk179552025"/>
                                  <w:r w:rsidRPr="005A006D">
                                    <w:rPr>
                                      <w:rFonts w:ascii="標楷體" w:eastAsia="標楷體" w:hAnsi="標楷體" w:hint="eastAsia"/>
                                      <w:b/>
                                    </w:rPr>
                                    <w:t>表</w:t>
                                  </w:r>
                                  <w:r>
                                    <w:rPr>
                                      <w:rFonts w:ascii="標楷體" w:eastAsia="標楷體" w:hAnsi="標楷體"/>
                                      <w:b/>
                                    </w:rPr>
                                    <w:t>1</w:t>
                                  </w:r>
                                  <w:r w:rsidRPr="005A006D">
                                    <w:rPr>
                                      <w:rFonts w:ascii="標楷體" w:eastAsia="標楷體" w:hAnsi="標楷體" w:hint="eastAsia"/>
                                      <w:b/>
                                    </w:rPr>
                                    <w:t xml:space="preserve">　民生社區中心可供租借場地之使用率情形</w:t>
                                  </w:r>
                                </w:p>
                              </w:tc>
                            </w:tr>
                            <w:tr w:rsidR="0097331E" w:rsidRPr="005A006D" w14:paraId="5C104C44" w14:textId="77777777" w:rsidTr="0097331E">
                              <w:trPr>
                                <w:trHeight w:val="170"/>
                              </w:trPr>
                              <w:tc>
                                <w:tcPr>
                                  <w:tcW w:w="5041" w:type="dxa"/>
                                  <w:gridSpan w:val="4"/>
                                  <w:tcBorders>
                                    <w:bottom w:val="single" w:sz="4" w:space="0" w:color="auto"/>
                                  </w:tcBorders>
                                  <w:shd w:val="clear" w:color="auto" w:fill="auto"/>
                                  <w:vAlign w:val="center"/>
                                </w:tcPr>
                                <w:p w14:paraId="65006ADB" w14:textId="77777777" w:rsidR="0097331E" w:rsidRPr="005A006D" w:rsidRDefault="0097331E" w:rsidP="00824CD6">
                                  <w:pPr>
                                    <w:snapToGrid w:val="0"/>
                                    <w:spacing w:line="240" w:lineRule="exact"/>
                                    <w:jc w:val="right"/>
                                    <w:rPr>
                                      <w:rFonts w:ascii="標楷體" w:eastAsia="標楷體" w:hAnsi="標楷體"/>
                                    </w:rPr>
                                  </w:pPr>
                                  <w:r w:rsidRPr="005A006D">
                                    <w:rPr>
                                      <w:rFonts w:ascii="標楷體" w:eastAsia="標楷體" w:hAnsi="標楷體" w:hint="eastAsia"/>
                                      <w:sz w:val="20"/>
                                    </w:rPr>
                                    <w:t>單位：％</w:t>
                                  </w:r>
                                </w:p>
                              </w:tc>
                            </w:tr>
                            <w:tr w:rsidR="0097331E" w:rsidRPr="005A006D" w14:paraId="44F9E70C" w14:textId="77777777" w:rsidTr="0097331E">
                              <w:trPr>
                                <w:trHeight w:val="567"/>
                              </w:trPr>
                              <w:tc>
                                <w:tcPr>
                                  <w:tcW w:w="1940"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784ABE71" w14:textId="77777777" w:rsidR="0097331E" w:rsidRDefault="0097331E" w:rsidP="00824CD6">
                                  <w:pPr>
                                    <w:snapToGrid w:val="0"/>
                                    <w:jc w:val="right"/>
                                    <w:rPr>
                                      <w:rFonts w:ascii="標楷體" w:eastAsia="標楷體" w:hAnsi="標楷體"/>
                                      <w:sz w:val="20"/>
                                      <w:szCs w:val="20"/>
                                    </w:rPr>
                                  </w:pPr>
                                  <w:r>
                                    <w:rPr>
                                      <w:rFonts w:ascii="標楷體" w:eastAsia="標楷體" w:hAnsi="標楷體" w:hint="eastAsia"/>
                                      <w:sz w:val="20"/>
                                      <w:szCs w:val="20"/>
                                    </w:rPr>
                                    <w:t>年度</w:t>
                                  </w:r>
                                </w:p>
                                <w:p w14:paraId="6678EAE9" w14:textId="77777777" w:rsidR="0097331E" w:rsidRPr="0079126D" w:rsidRDefault="0097331E" w:rsidP="00824CD6">
                                  <w:pPr>
                                    <w:snapToGrid w:val="0"/>
                                    <w:ind w:right="400"/>
                                    <w:rPr>
                                      <w:rFonts w:ascii="標楷體" w:eastAsia="標楷體" w:hAnsi="標楷體"/>
                                      <w:sz w:val="20"/>
                                      <w:szCs w:val="20"/>
                                    </w:rPr>
                                  </w:pPr>
                                  <w:r w:rsidRPr="0079126D">
                                    <w:rPr>
                                      <w:rFonts w:ascii="標楷體" w:eastAsia="標楷體" w:hAnsi="標楷體" w:hint="eastAsia"/>
                                      <w:sz w:val="20"/>
                                      <w:szCs w:val="20"/>
                                    </w:rPr>
                                    <w:t>場地名稱</w:t>
                                  </w:r>
                                </w:p>
                              </w:tc>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D8E235" w14:textId="77777777" w:rsidR="0097331E" w:rsidRPr="0079126D" w:rsidRDefault="0097331E" w:rsidP="00824CD6">
                                  <w:pPr>
                                    <w:snapToGrid w:val="0"/>
                                    <w:jc w:val="center"/>
                                    <w:rPr>
                                      <w:rFonts w:ascii="標楷體" w:eastAsia="標楷體" w:hAnsi="標楷體"/>
                                      <w:sz w:val="20"/>
                                      <w:szCs w:val="20"/>
                                    </w:rPr>
                                  </w:pPr>
                                  <w:r w:rsidRPr="0079126D">
                                    <w:rPr>
                                      <w:rFonts w:ascii="標楷體" w:eastAsia="標楷體" w:hAnsi="標楷體" w:hint="eastAsia"/>
                                      <w:sz w:val="20"/>
                                      <w:szCs w:val="20"/>
                                    </w:rPr>
                                    <w:t>111</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666AE4DE" w14:textId="77777777" w:rsidR="0097331E" w:rsidRPr="0079126D" w:rsidRDefault="0097331E" w:rsidP="00824CD6">
                                  <w:pPr>
                                    <w:snapToGrid w:val="0"/>
                                    <w:jc w:val="center"/>
                                    <w:rPr>
                                      <w:rFonts w:ascii="標楷體" w:eastAsia="標楷體" w:hAnsi="標楷體"/>
                                      <w:sz w:val="20"/>
                                      <w:szCs w:val="20"/>
                                    </w:rPr>
                                  </w:pPr>
                                  <w:r w:rsidRPr="0079126D">
                                    <w:rPr>
                                      <w:rFonts w:ascii="標楷體" w:eastAsia="標楷體" w:hAnsi="標楷體" w:hint="eastAsia"/>
                                      <w:sz w:val="20"/>
                                      <w:szCs w:val="20"/>
                                    </w:rPr>
                                    <w:t>112</w:t>
                                  </w:r>
                                </w:p>
                              </w:tc>
                              <w:tc>
                                <w:tcPr>
                                  <w:tcW w:w="1743" w:type="dxa"/>
                                  <w:tcBorders>
                                    <w:top w:val="single" w:sz="4" w:space="0" w:color="auto"/>
                                    <w:left w:val="nil"/>
                                    <w:bottom w:val="single" w:sz="4" w:space="0" w:color="auto"/>
                                    <w:right w:val="single" w:sz="4" w:space="0" w:color="auto"/>
                                  </w:tcBorders>
                                  <w:shd w:val="clear" w:color="auto" w:fill="auto"/>
                                  <w:vAlign w:val="center"/>
                                  <w:hideMark/>
                                </w:tcPr>
                                <w:p w14:paraId="2DDAFBC8" w14:textId="77777777" w:rsidR="0097331E" w:rsidRPr="0079126D" w:rsidRDefault="0097331E" w:rsidP="00824CD6">
                                  <w:pPr>
                                    <w:snapToGrid w:val="0"/>
                                    <w:jc w:val="center"/>
                                    <w:rPr>
                                      <w:rFonts w:ascii="標楷體" w:eastAsia="標楷體" w:hAnsi="標楷體"/>
                                      <w:sz w:val="20"/>
                                      <w:szCs w:val="20"/>
                                    </w:rPr>
                                  </w:pPr>
                                  <w:r w:rsidRPr="0079126D">
                                    <w:rPr>
                                      <w:rFonts w:ascii="標楷體" w:eastAsia="標楷體" w:hAnsi="標楷體" w:hint="eastAsia"/>
                                      <w:sz w:val="20"/>
                                      <w:szCs w:val="20"/>
                                    </w:rPr>
                                    <w:t>113</w:t>
                                  </w:r>
                                  <w:r w:rsidRPr="0079126D">
                                    <w:rPr>
                                      <w:rFonts w:ascii="標楷體" w:eastAsia="標楷體" w:hAnsi="標楷體" w:hint="eastAsia"/>
                                      <w:sz w:val="20"/>
                                      <w:szCs w:val="20"/>
                                    </w:rPr>
                                    <w:br/>
                                    <w:t>（截至8月底止）</w:t>
                                  </w:r>
                                </w:p>
                              </w:tc>
                            </w:tr>
                            <w:tr w:rsidR="0097331E" w:rsidRPr="005A006D" w14:paraId="4038599B" w14:textId="77777777" w:rsidTr="00824CD6">
                              <w:trPr>
                                <w:trHeight w:val="312"/>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218476" w14:textId="77777777" w:rsidR="0097331E" w:rsidRPr="0079126D" w:rsidRDefault="0097331E" w:rsidP="00824CD6">
                                  <w:pPr>
                                    <w:adjustRightInd w:val="0"/>
                                    <w:snapToGrid w:val="0"/>
                                    <w:rPr>
                                      <w:rFonts w:ascii="標楷體" w:eastAsia="標楷體" w:hAnsi="標楷體"/>
                                      <w:color w:val="000000"/>
                                      <w:sz w:val="20"/>
                                      <w:szCs w:val="20"/>
                                    </w:rPr>
                                  </w:pPr>
                                  <w:r w:rsidRPr="0079126D">
                                    <w:rPr>
                                      <w:rFonts w:ascii="標楷體" w:eastAsia="標楷體" w:hAnsi="標楷體" w:hint="eastAsia"/>
                                      <w:color w:val="000000"/>
                                      <w:sz w:val="20"/>
                                      <w:szCs w:val="20"/>
                                    </w:rPr>
                                    <w:t>羽球場</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E37930" w14:textId="77777777" w:rsidR="0097331E" w:rsidRPr="0079126D" w:rsidRDefault="0097331E" w:rsidP="00824CD6">
                                  <w:pPr>
                                    <w:adjustRightInd w:val="0"/>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6.38</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ACE382" w14:textId="77777777" w:rsidR="0097331E" w:rsidRPr="0079126D" w:rsidRDefault="0097331E" w:rsidP="00824CD6">
                                  <w:pPr>
                                    <w:adjustRightInd w:val="0"/>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7.65</w:t>
                                  </w:r>
                                </w:p>
                              </w:tc>
                              <w:tc>
                                <w:tcPr>
                                  <w:tcW w:w="174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0A720" w14:textId="77777777" w:rsidR="0097331E" w:rsidRPr="0079126D" w:rsidRDefault="0097331E" w:rsidP="00824CD6">
                                  <w:pPr>
                                    <w:adjustRightInd w:val="0"/>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8.06</w:t>
                                  </w:r>
                                </w:p>
                              </w:tc>
                            </w:tr>
                            <w:tr w:rsidR="0097331E" w:rsidRPr="005A006D" w14:paraId="1533B9C3"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26720" w14:textId="77777777" w:rsidR="0097331E" w:rsidRPr="0079126D" w:rsidRDefault="0097331E" w:rsidP="00824CD6">
                                  <w:pPr>
                                    <w:snapToGrid w:val="0"/>
                                    <w:rPr>
                                      <w:rFonts w:ascii="標楷體" w:eastAsia="標楷體" w:hAnsi="標楷體"/>
                                      <w:color w:val="000000"/>
                                      <w:sz w:val="20"/>
                                      <w:szCs w:val="20"/>
                                    </w:rPr>
                                  </w:pPr>
                                  <w:r w:rsidRPr="0079126D">
                                    <w:rPr>
                                      <w:rFonts w:ascii="標楷體" w:eastAsia="標楷體" w:hAnsi="標楷體" w:hint="eastAsia"/>
                                      <w:color w:val="000000"/>
                                      <w:sz w:val="20"/>
                                      <w:szCs w:val="20"/>
                                    </w:rPr>
                                    <w:t>籃球場</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CB0BF8" w14:textId="77777777" w:rsidR="0097331E" w:rsidRPr="0079126D" w:rsidRDefault="0097331E" w:rsidP="00824CD6">
                                  <w:pPr>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7.74</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96FEAA" w14:textId="77777777" w:rsidR="0097331E" w:rsidRPr="0079126D" w:rsidRDefault="0097331E" w:rsidP="00824CD6">
                                  <w:pPr>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8.09</w:t>
                                  </w:r>
                                </w:p>
                              </w:tc>
                              <w:tc>
                                <w:tcPr>
                                  <w:tcW w:w="174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B483DE" w14:textId="77777777" w:rsidR="0097331E" w:rsidRPr="0079126D" w:rsidRDefault="0097331E" w:rsidP="00824CD6">
                                  <w:pPr>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9.22</w:t>
                                  </w:r>
                                </w:p>
                              </w:tc>
                            </w:tr>
                            <w:tr w:rsidR="0097331E" w:rsidRPr="005A006D" w14:paraId="0ACA7F2E"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7C6A26B5" w14:textId="77777777" w:rsidR="0097331E" w:rsidRPr="0079126D" w:rsidRDefault="0097331E" w:rsidP="00824CD6">
                                  <w:pPr>
                                    <w:snapToGrid w:val="0"/>
                                    <w:rPr>
                                      <w:rFonts w:ascii="標楷體" w:eastAsia="標楷體" w:hAnsi="標楷體"/>
                                      <w:color w:val="000000"/>
                                      <w:sz w:val="20"/>
                                      <w:szCs w:val="20"/>
                                    </w:rPr>
                                  </w:pPr>
                                  <w:r w:rsidRPr="0079126D">
                                    <w:rPr>
                                      <w:rFonts w:ascii="標楷體" w:eastAsia="標楷體" w:hAnsi="標楷體" w:hint="eastAsia"/>
                                      <w:color w:val="000000"/>
                                      <w:sz w:val="20"/>
                                      <w:szCs w:val="20"/>
                                    </w:rPr>
                                    <w:t>集會堂</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0F5BE8CA"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4.41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3FE4AC0"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27.12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D867885"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5.87 </w:t>
                                  </w:r>
                                </w:p>
                              </w:tc>
                            </w:tr>
                            <w:tr w:rsidR="0097331E" w:rsidRPr="005A006D" w14:paraId="11E48D4E"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57DBAAA"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401教室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36ED305"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32.13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DA21054"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37.81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6D59321E"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32.19 </w:t>
                                  </w:r>
                                </w:p>
                              </w:tc>
                            </w:tr>
                            <w:tr w:rsidR="0097331E" w:rsidRPr="005A006D" w14:paraId="77B4A3C8"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080DAC1A"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402教室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0F900EDB"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18.88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24969DE2"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19.02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133B507"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18.67 </w:t>
                                  </w:r>
                                </w:p>
                              </w:tc>
                            </w:tr>
                            <w:tr w:rsidR="0097331E" w:rsidRPr="005A006D" w14:paraId="748EF7A0"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67FC327B"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813教室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1297837"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28.61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3EF5C686"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31.59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75CDD5C6"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27.97 </w:t>
                                  </w:r>
                                </w:p>
                              </w:tc>
                            </w:tr>
                            <w:bookmarkEnd w:id="17"/>
                            <w:tr w:rsidR="0097331E" w:rsidRPr="005A006D" w14:paraId="3B336389"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2BBEA824"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814教室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C454006"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33.67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7B602F2"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35.69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3C9BAC72"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34.62 </w:t>
                                  </w:r>
                                </w:p>
                              </w:tc>
                            </w:tr>
                            <w:tr w:rsidR="0097331E" w:rsidRPr="005A006D" w14:paraId="34C310D1"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3D7E5B9B"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815教室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338D252C"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41.18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8D7D6FC"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40.35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B5F5EC3"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41.49 </w:t>
                                  </w:r>
                                </w:p>
                              </w:tc>
                            </w:tr>
                            <w:tr w:rsidR="0097331E" w:rsidRPr="005A006D" w14:paraId="53782BDD"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6901AF"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816教室</w:t>
                                  </w:r>
                                </w:p>
                              </w:tc>
                              <w:tc>
                                <w:tcPr>
                                  <w:tcW w:w="679" w:type="dxa"/>
                                  <w:tcBorders>
                                    <w:top w:val="nil"/>
                                    <w:left w:val="single" w:sz="4" w:space="0" w:color="auto"/>
                                    <w:bottom w:val="single" w:sz="4" w:space="0" w:color="auto"/>
                                    <w:right w:val="single" w:sz="4" w:space="0" w:color="auto"/>
                                  </w:tcBorders>
                                  <w:shd w:val="clear" w:color="auto" w:fill="auto"/>
                                  <w:noWrap/>
                                  <w:vAlign w:val="bottom"/>
                                  <w:hideMark/>
                                </w:tcPr>
                                <w:p w14:paraId="697275A8"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67.97 </w:t>
                                  </w:r>
                                </w:p>
                              </w:tc>
                              <w:tc>
                                <w:tcPr>
                                  <w:tcW w:w="679" w:type="dxa"/>
                                  <w:tcBorders>
                                    <w:top w:val="nil"/>
                                    <w:left w:val="nil"/>
                                    <w:bottom w:val="single" w:sz="4" w:space="0" w:color="auto"/>
                                    <w:right w:val="single" w:sz="4" w:space="0" w:color="auto"/>
                                  </w:tcBorders>
                                  <w:shd w:val="clear" w:color="auto" w:fill="auto"/>
                                  <w:noWrap/>
                                  <w:vAlign w:val="bottom"/>
                                  <w:hideMark/>
                                </w:tcPr>
                                <w:p w14:paraId="67189B20"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62.38 </w:t>
                                  </w:r>
                                </w:p>
                              </w:tc>
                              <w:tc>
                                <w:tcPr>
                                  <w:tcW w:w="1743" w:type="dxa"/>
                                  <w:tcBorders>
                                    <w:top w:val="nil"/>
                                    <w:left w:val="nil"/>
                                    <w:bottom w:val="single" w:sz="4" w:space="0" w:color="auto"/>
                                    <w:right w:val="single" w:sz="4" w:space="0" w:color="auto"/>
                                  </w:tcBorders>
                                  <w:shd w:val="clear" w:color="auto" w:fill="auto"/>
                                  <w:noWrap/>
                                  <w:vAlign w:val="bottom"/>
                                  <w:hideMark/>
                                </w:tcPr>
                                <w:p w14:paraId="36040673"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67.24 </w:t>
                                  </w:r>
                                </w:p>
                              </w:tc>
                            </w:tr>
                            <w:tr w:rsidR="0097331E" w:rsidRPr="005A006D" w14:paraId="621DBD16"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379F11"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跆拳道教室</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DE2A97"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46.92 </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14AD68"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47.18 </w:t>
                                  </w:r>
                                </w:p>
                              </w:tc>
                              <w:tc>
                                <w:tcPr>
                                  <w:tcW w:w="1743" w:type="dxa"/>
                                  <w:tcBorders>
                                    <w:top w:val="nil"/>
                                    <w:left w:val="nil"/>
                                    <w:bottom w:val="single" w:sz="4" w:space="0" w:color="auto"/>
                                    <w:right w:val="single" w:sz="4" w:space="0" w:color="auto"/>
                                  </w:tcBorders>
                                  <w:shd w:val="clear" w:color="auto" w:fill="auto"/>
                                  <w:noWrap/>
                                  <w:vAlign w:val="bottom"/>
                                  <w:hideMark/>
                                </w:tcPr>
                                <w:p w14:paraId="064D64B9"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50.93 </w:t>
                                  </w:r>
                                </w:p>
                              </w:tc>
                            </w:tr>
                            <w:tr w:rsidR="0097331E" w:rsidRPr="005A006D" w14:paraId="5F2D4F81"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EBD175"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空手道教室</w:t>
                                  </w:r>
                                </w:p>
                              </w:tc>
                              <w:tc>
                                <w:tcPr>
                                  <w:tcW w:w="679" w:type="dxa"/>
                                  <w:tcBorders>
                                    <w:top w:val="nil"/>
                                    <w:left w:val="single" w:sz="4" w:space="0" w:color="auto"/>
                                    <w:bottom w:val="single" w:sz="4" w:space="0" w:color="auto"/>
                                    <w:right w:val="single" w:sz="4" w:space="0" w:color="auto"/>
                                  </w:tcBorders>
                                  <w:shd w:val="clear" w:color="auto" w:fill="auto"/>
                                  <w:noWrap/>
                                  <w:vAlign w:val="bottom"/>
                                  <w:hideMark/>
                                </w:tcPr>
                                <w:p w14:paraId="56CF2E86"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64.55 </w:t>
                                  </w:r>
                                </w:p>
                              </w:tc>
                              <w:tc>
                                <w:tcPr>
                                  <w:tcW w:w="679" w:type="dxa"/>
                                  <w:tcBorders>
                                    <w:top w:val="nil"/>
                                    <w:left w:val="nil"/>
                                    <w:bottom w:val="single" w:sz="4" w:space="0" w:color="auto"/>
                                    <w:right w:val="single" w:sz="4" w:space="0" w:color="auto"/>
                                  </w:tcBorders>
                                  <w:shd w:val="clear" w:color="auto" w:fill="auto"/>
                                  <w:noWrap/>
                                  <w:vAlign w:val="bottom"/>
                                  <w:hideMark/>
                                </w:tcPr>
                                <w:p w14:paraId="6538AD49"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63.61 </w:t>
                                  </w:r>
                                </w:p>
                              </w:tc>
                              <w:tc>
                                <w:tcPr>
                                  <w:tcW w:w="1743" w:type="dxa"/>
                                  <w:tcBorders>
                                    <w:top w:val="nil"/>
                                    <w:left w:val="nil"/>
                                    <w:bottom w:val="single" w:sz="4" w:space="0" w:color="auto"/>
                                    <w:right w:val="single" w:sz="4" w:space="0" w:color="auto"/>
                                  </w:tcBorders>
                                  <w:shd w:val="clear" w:color="auto" w:fill="auto"/>
                                  <w:noWrap/>
                                  <w:vAlign w:val="bottom"/>
                                  <w:hideMark/>
                                </w:tcPr>
                                <w:p w14:paraId="4A5CA4DB"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65.24 </w:t>
                                  </w:r>
                                </w:p>
                              </w:tc>
                            </w:tr>
                            <w:tr w:rsidR="0097331E" w:rsidRPr="005A006D" w14:paraId="0004BF53"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685001EB"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柔道教室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60669073"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37.28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9C08430"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44.30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99BFB4E"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47.50 </w:t>
                                  </w:r>
                                </w:p>
                              </w:tc>
                            </w:tr>
                            <w:tr w:rsidR="0097331E" w:rsidRPr="005A006D" w14:paraId="04F263C5"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2C7A6A"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有氧舞蹈教室</w:t>
                                  </w:r>
                                </w:p>
                              </w:tc>
                              <w:tc>
                                <w:tcPr>
                                  <w:tcW w:w="679" w:type="dxa"/>
                                  <w:tcBorders>
                                    <w:top w:val="nil"/>
                                    <w:left w:val="single" w:sz="4" w:space="0" w:color="auto"/>
                                    <w:bottom w:val="single" w:sz="4" w:space="0" w:color="auto"/>
                                    <w:right w:val="single" w:sz="4" w:space="0" w:color="auto"/>
                                  </w:tcBorders>
                                  <w:shd w:val="clear" w:color="auto" w:fill="auto"/>
                                  <w:noWrap/>
                                  <w:vAlign w:val="bottom"/>
                                  <w:hideMark/>
                                </w:tcPr>
                                <w:p w14:paraId="3261153E"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69.94 </w:t>
                                  </w:r>
                                </w:p>
                              </w:tc>
                              <w:tc>
                                <w:tcPr>
                                  <w:tcW w:w="679" w:type="dxa"/>
                                  <w:tcBorders>
                                    <w:top w:val="nil"/>
                                    <w:left w:val="nil"/>
                                    <w:bottom w:val="single" w:sz="4" w:space="0" w:color="auto"/>
                                    <w:right w:val="single" w:sz="4" w:space="0" w:color="auto"/>
                                  </w:tcBorders>
                                  <w:shd w:val="clear" w:color="auto" w:fill="auto"/>
                                  <w:noWrap/>
                                  <w:vAlign w:val="bottom"/>
                                  <w:hideMark/>
                                </w:tcPr>
                                <w:p w14:paraId="5178BFF8"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71.94 </w:t>
                                  </w:r>
                                </w:p>
                              </w:tc>
                              <w:tc>
                                <w:tcPr>
                                  <w:tcW w:w="1743" w:type="dxa"/>
                                  <w:tcBorders>
                                    <w:top w:val="nil"/>
                                    <w:left w:val="nil"/>
                                    <w:bottom w:val="single" w:sz="4" w:space="0" w:color="auto"/>
                                    <w:right w:val="single" w:sz="4" w:space="0" w:color="auto"/>
                                  </w:tcBorders>
                                  <w:shd w:val="clear" w:color="auto" w:fill="auto"/>
                                  <w:noWrap/>
                                  <w:vAlign w:val="bottom"/>
                                  <w:hideMark/>
                                </w:tcPr>
                                <w:p w14:paraId="20695BC5"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69.60 </w:t>
                                  </w:r>
                                </w:p>
                              </w:tc>
                            </w:tr>
                            <w:tr w:rsidR="0097331E" w:rsidRPr="005A006D" w14:paraId="44DD2E50"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A2FD1"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綜合舞蹈教室</w:t>
                                  </w:r>
                                </w:p>
                              </w:tc>
                              <w:tc>
                                <w:tcPr>
                                  <w:tcW w:w="679" w:type="dxa"/>
                                  <w:tcBorders>
                                    <w:top w:val="nil"/>
                                    <w:left w:val="single" w:sz="4" w:space="0" w:color="auto"/>
                                    <w:bottom w:val="single" w:sz="4" w:space="0" w:color="auto"/>
                                    <w:right w:val="single" w:sz="4" w:space="0" w:color="auto"/>
                                  </w:tcBorders>
                                  <w:shd w:val="clear" w:color="auto" w:fill="auto"/>
                                  <w:noWrap/>
                                  <w:vAlign w:val="bottom"/>
                                  <w:hideMark/>
                                </w:tcPr>
                                <w:p w14:paraId="7039480E"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68.30 </w:t>
                                  </w:r>
                                </w:p>
                              </w:tc>
                              <w:tc>
                                <w:tcPr>
                                  <w:tcW w:w="679" w:type="dxa"/>
                                  <w:tcBorders>
                                    <w:top w:val="nil"/>
                                    <w:left w:val="nil"/>
                                    <w:bottom w:val="single" w:sz="4" w:space="0" w:color="auto"/>
                                    <w:right w:val="single" w:sz="4" w:space="0" w:color="auto"/>
                                  </w:tcBorders>
                                  <w:shd w:val="clear" w:color="auto" w:fill="auto"/>
                                  <w:noWrap/>
                                  <w:vAlign w:val="bottom"/>
                                  <w:hideMark/>
                                </w:tcPr>
                                <w:p w14:paraId="608E26D6"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69.44 </w:t>
                                  </w:r>
                                </w:p>
                              </w:tc>
                              <w:tc>
                                <w:tcPr>
                                  <w:tcW w:w="1743" w:type="dxa"/>
                                  <w:tcBorders>
                                    <w:top w:val="nil"/>
                                    <w:left w:val="nil"/>
                                    <w:bottom w:val="single" w:sz="4" w:space="0" w:color="auto"/>
                                    <w:right w:val="single" w:sz="4" w:space="0" w:color="auto"/>
                                  </w:tcBorders>
                                  <w:shd w:val="clear" w:color="auto" w:fill="auto"/>
                                  <w:noWrap/>
                                  <w:vAlign w:val="bottom"/>
                                  <w:hideMark/>
                                </w:tcPr>
                                <w:p w14:paraId="4874D35B"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65.45 </w:t>
                                  </w:r>
                                </w:p>
                              </w:tc>
                            </w:tr>
                            <w:tr w:rsidR="0097331E" w:rsidRPr="005A006D" w14:paraId="204D6CEF"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74468E3F"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多元教室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1CC0943"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3.37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B8C2B48"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13.94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6B6517C2"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28.11 </w:t>
                                  </w:r>
                                </w:p>
                              </w:tc>
                            </w:tr>
                            <w:tr w:rsidR="0097331E" w:rsidRPr="005A006D" w14:paraId="0E7C8166"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558BF40"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桌球教室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8ADDD74"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3.95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11597DC"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14.97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46FC244"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31.97 </w:t>
                                  </w:r>
                                </w:p>
                              </w:tc>
                            </w:tr>
                          </w:tbl>
                          <w:p w14:paraId="597CDF99" w14:textId="77777777" w:rsidR="0097331E" w:rsidRDefault="0097331E" w:rsidP="0097331E">
                            <w:pPr>
                              <w:spacing w:line="240" w:lineRule="exact"/>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w:t>
                            </w:r>
                            <w:r>
                              <w:rPr>
                                <w:rFonts w:ascii="標楷體" w:eastAsia="標楷體" w:hAnsi="標楷體"/>
                                <w:sz w:val="18"/>
                              </w:rPr>
                              <w:t>1.</w:t>
                            </w:r>
                            <w:r>
                              <w:rPr>
                                <w:rFonts w:ascii="標楷體" w:eastAsia="標楷體" w:hAnsi="標楷體" w:hint="eastAsia"/>
                                <w:sz w:val="18"/>
                              </w:rPr>
                              <w:t>標示灰底部分係場地使用率未及</w:t>
                            </w:r>
                            <w:proofErr w:type="gramStart"/>
                            <w:r>
                              <w:rPr>
                                <w:rFonts w:ascii="標楷體" w:eastAsia="標楷體" w:hAnsi="標楷體" w:hint="eastAsia"/>
                                <w:sz w:val="18"/>
                              </w:rPr>
                              <w:t>5成</w:t>
                            </w:r>
                            <w:proofErr w:type="gramEnd"/>
                            <w:r>
                              <w:rPr>
                                <w:rFonts w:ascii="標楷體" w:eastAsia="標楷體" w:hAnsi="標楷體" w:hint="eastAsia"/>
                                <w:sz w:val="18"/>
                              </w:rPr>
                              <w:t>者。</w:t>
                            </w:r>
                          </w:p>
                          <w:p w14:paraId="269ADD9B" w14:textId="77777777" w:rsidR="0097331E" w:rsidRPr="0059727A" w:rsidRDefault="0097331E" w:rsidP="0097331E">
                            <w:pPr>
                              <w:spacing w:line="240" w:lineRule="exact"/>
                              <w:ind w:firstLineChars="200" w:firstLine="360"/>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Pr>
                                <w:rFonts w:ascii="標楷體" w:eastAsia="標楷體" w:hAnsi="標楷體" w:hint="eastAsia"/>
                                <w:sz w:val="18"/>
                              </w:rPr>
                              <w:t>資料來源：</w:t>
                            </w:r>
                            <w:r w:rsidRPr="0059727A">
                              <w:rPr>
                                <w:rFonts w:ascii="標楷體" w:eastAsia="標楷體" w:hAnsi="標楷體" w:hint="eastAsia"/>
                                <w:sz w:val="18"/>
                              </w:rPr>
                              <w:t>整理自民政局提供資料。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6114133" id="_x0000_s1036" type="#_x0000_t202" style="position:absolute;left:0;text-align:left;margin-left:235.4pt;margin-top:335.25pt;width:264.15pt;height:357pt;z-index:-25152921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" stroked="f">
                <v:textbox inset="1mm,0,1mm,0">
                  <w:txbxContent>
                    <w:tbl>
                      <w:tblPr>
                        <w:tblW w:w="0" w:type="auto"/>
                        <w:tblLayout w:type="fixed"/>
                        <w:tblCellMar>
                          <w:left w:w="28" w:type="dxa"/>
                          <w:right w:w="28" w:type="dxa"/>
                        </w:tblCellMar>
                        <w:tblLook w:val="04A0" w:firstRow="1" w:lastRow="0" w:firstColumn="1" w:lastColumn="0" w:noHBand="0" w:noVBand="1"/>
                      </w:tblPr>
                      <w:tblGrid>
                        <w:gridCol w:w="1940"/>
                        <w:gridCol w:w="679"/>
                        <w:gridCol w:w="679"/>
                        <w:gridCol w:w="1743"/>
                      </w:tblGrid>
                      <w:tr w:rsidR="0097331E" w:rsidRPr="005A006D" w14:paraId="5B29932F" w14:textId="77777777" w:rsidTr="00824CD6">
                        <w:trPr>
                          <w:trHeight w:val="227"/>
                        </w:trPr>
                        <w:tc>
                          <w:tcPr>
                            <w:tcW w:w="5041" w:type="dxa"/>
                            <w:gridSpan w:val="4"/>
                            <w:shd w:val="clear" w:color="auto" w:fill="auto"/>
                            <w:vAlign w:val="center"/>
                          </w:tcPr>
                          <w:p w14:paraId="495BA083" w14:textId="77777777" w:rsidR="0097331E" w:rsidRPr="005A006D" w:rsidRDefault="0097331E" w:rsidP="00824CD6">
                            <w:pPr>
                              <w:jc w:val="center"/>
                              <w:rPr>
                                <w:rFonts w:ascii="標楷體" w:eastAsia="標楷體" w:hAnsi="標楷體"/>
                                <w:b/>
                              </w:rPr>
                            </w:pPr>
                            <w:bookmarkStart w:id="18" w:name="_Hlk179552025"/>
                            <w:r w:rsidRPr="005A006D">
                              <w:rPr>
                                <w:rFonts w:ascii="標楷體" w:eastAsia="標楷體" w:hAnsi="標楷體" w:hint="eastAsia"/>
                                <w:b/>
                              </w:rPr>
                              <w:t>表</w:t>
                            </w:r>
                            <w:r>
                              <w:rPr>
                                <w:rFonts w:ascii="標楷體" w:eastAsia="標楷體" w:hAnsi="標楷體"/>
                                <w:b/>
                              </w:rPr>
                              <w:t>1</w:t>
                            </w:r>
                            <w:r w:rsidRPr="005A006D">
                              <w:rPr>
                                <w:rFonts w:ascii="標楷體" w:eastAsia="標楷體" w:hAnsi="標楷體" w:hint="eastAsia"/>
                                <w:b/>
                              </w:rPr>
                              <w:t xml:space="preserve">　民生社區中心可供租借場地之使用率情形</w:t>
                            </w:r>
                          </w:p>
                        </w:tc>
                      </w:tr>
                      <w:tr w:rsidR="0097331E" w:rsidRPr="005A006D" w14:paraId="5C104C44" w14:textId="77777777" w:rsidTr="0097331E">
                        <w:trPr>
                          <w:trHeight w:val="170"/>
                        </w:trPr>
                        <w:tc>
                          <w:tcPr>
                            <w:tcW w:w="5041" w:type="dxa"/>
                            <w:gridSpan w:val="4"/>
                            <w:tcBorders>
                              <w:bottom w:val="single" w:sz="4" w:space="0" w:color="auto"/>
                            </w:tcBorders>
                            <w:shd w:val="clear" w:color="auto" w:fill="auto"/>
                            <w:vAlign w:val="center"/>
                          </w:tcPr>
                          <w:p w14:paraId="65006ADB" w14:textId="77777777" w:rsidR="0097331E" w:rsidRPr="005A006D" w:rsidRDefault="0097331E" w:rsidP="00824CD6">
                            <w:pPr>
                              <w:snapToGrid w:val="0"/>
                              <w:spacing w:line="240" w:lineRule="exact"/>
                              <w:jc w:val="right"/>
                              <w:rPr>
                                <w:rFonts w:ascii="標楷體" w:eastAsia="標楷體" w:hAnsi="標楷體"/>
                              </w:rPr>
                            </w:pPr>
                            <w:r w:rsidRPr="005A006D">
                              <w:rPr>
                                <w:rFonts w:ascii="標楷體" w:eastAsia="標楷體" w:hAnsi="標楷體" w:hint="eastAsia"/>
                                <w:sz w:val="20"/>
                              </w:rPr>
                              <w:t>單位：％</w:t>
                            </w:r>
                          </w:p>
                        </w:tc>
                      </w:tr>
                      <w:tr w:rsidR="0097331E" w:rsidRPr="005A006D" w14:paraId="44F9E70C" w14:textId="77777777" w:rsidTr="0097331E">
                        <w:trPr>
                          <w:trHeight w:val="567"/>
                        </w:trPr>
                        <w:tc>
                          <w:tcPr>
                            <w:tcW w:w="1940"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784ABE71" w14:textId="77777777" w:rsidR="0097331E" w:rsidRDefault="0097331E" w:rsidP="00824CD6">
                            <w:pPr>
                              <w:snapToGrid w:val="0"/>
                              <w:jc w:val="right"/>
                              <w:rPr>
                                <w:rFonts w:ascii="標楷體" w:eastAsia="標楷體" w:hAnsi="標楷體"/>
                                <w:sz w:val="20"/>
                                <w:szCs w:val="20"/>
                              </w:rPr>
                            </w:pPr>
                            <w:r>
                              <w:rPr>
                                <w:rFonts w:ascii="標楷體" w:eastAsia="標楷體" w:hAnsi="標楷體" w:hint="eastAsia"/>
                                <w:sz w:val="20"/>
                                <w:szCs w:val="20"/>
                              </w:rPr>
                              <w:t>年度</w:t>
                            </w:r>
                          </w:p>
                          <w:p w14:paraId="6678EAE9" w14:textId="77777777" w:rsidR="0097331E" w:rsidRPr="0079126D" w:rsidRDefault="0097331E" w:rsidP="00824CD6">
                            <w:pPr>
                              <w:snapToGrid w:val="0"/>
                              <w:ind w:right="400"/>
                              <w:rPr>
                                <w:rFonts w:ascii="標楷體" w:eastAsia="標楷體" w:hAnsi="標楷體"/>
                                <w:sz w:val="20"/>
                                <w:szCs w:val="20"/>
                              </w:rPr>
                            </w:pPr>
                            <w:r w:rsidRPr="0079126D">
                              <w:rPr>
                                <w:rFonts w:ascii="標楷體" w:eastAsia="標楷體" w:hAnsi="標楷體" w:hint="eastAsia"/>
                                <w:sz w:val="20"/>
                                <w:szCs w:val="20"/>
                              </w:rPr>
                              <w:t>場地名稱</w:t>
                            </w:r>
                          </w:p>
                        </w:tc>
                        <w:tc>
                          <w:tcPr>
                            <w:tcW w:w="6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D8E235" w14:textId="77777777" w:rsidR="0097331E" w:rsidRPr="0079126D" w:rsidRDefault="0097331E" w:rsidP="00824CD6">
                            <w:pPr>
                              <w:snapToGrid w:val="0"/>
                              <w:jc w:val="center"/>
                              <w:rPr>
                                <w:rFonts w:ascii="標楷體" w:eastAsia="標楷體" w:hAnsi="標楷體"/>
                                <w:sz w:val="20"/>
                                <w:szCs w:val="20"/>
                              </w:rPr>
                            </w:pPr>
                            <w:r w:rsidRPr="0079126D">
                              <w:rPr>
                                <w:rFonts w:ascii="標楷體" w:eastAsia="標楷體" w:hAnsi="標楷體" w:hint="eastAsia"/>
                                <w:sz w:val="20"/>
                                <w:szCs w:val="20"/>
                              </w:rPr>
                              <w:t>111</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666AE4DE" w14:textId="77777777" w:rsidR="0097331E" w:rsidRPr="0079126D" w:rsidRDefault="0097331E" w:rsidP="00824CD6">
                            <w:pPr>
                              <w:snapToGrid w:val="0"/>
                              <w:jc w:val="center"/>
                              <w:rPr>
                                <w:rFonts w:ascii="標楷體" w:eastAsia="標楷體" w:hAnsi="標楷體"/>
                                <w:sz w:val="20"/>
                                <w:szCs w:val="20"/>
                              </w:rPr>
                            </w:pPr>
                            <w:r w:rsidRPr="0079126D">
                              <w:rPr>
                                <w:rFonts w:ascii="標楷體" w:eastAsia="標楷體" w:hAnsi="標楷體" w:hint="eastAsia"/>
                                <w:sz w:val="20"/>
                                <w:szCs w:val="20"/>
                              </w:rPr>
                              <w:t>112</w:t>
                            </w:r>
                          </w:p>
                        </w:tc>
                        <w:tc>
                          <w:tcPr>
                            <w:tcW w:w="1743" w:type="dxa"/>
                            <w:tcBorders>
                              <w:top w:val="single" w:sz="4" w:space="0" w:color="auto"/>
                              <w:left w:val="nil"/>
                              <w:bottom w:val="single" w:sz="4" w:space="0" w:color="auto"/>
                              <w:right w:val="single" w:sz="4" w:space="0" w:color="auto"/>
                            </w:tcBorders>
                            <w:shd w:val="clear" w:color="auto" w:fill="auto"/>
                            <w:vAlign w:val="center"/>
                            <w:hideMark/>
                          </w:tcPr>
                          <w:p w14:paraId="2DDAFBC8" w14:textId="77777777" w:rsidR="0097331E" w:rsidRPr="0079126D" w:rsidRDefault="0097331E" w:rsidP="00824CD6">
                            <w:pPr>
                              <w:snapToGrid w:val="0"/>
                              <w:jc w:val="center"/>
                              <w:rPr>
                                <w:rFonts w:ascii="標楷體" w:eastAsia="標楷體" w:hAnsi="標楷體"/>
                                <w:sz w:val="20"/>
                                <w:szCs w:val="20"/>
                              </w:rPr>
                            </w:pPr>
                            <w:r w:rsidRPr="0079126D">
                              <w:rPr>
                                <w:rFonts w:ascii="標楷體" w:eastAsia="標楷體" w:hAnsi="標楷體" w:hint="eastAsia"/>
                                <w:sz w:val="20"/>
                                <w:szCs w:val="20"/>
                              </w:rPr>
                              <w:t>113</w:t>
                            </w:r>
                            <w:r w:rsidRPr="0079126D">
                              <w:rPr>
                                <w:rFonts w:ascii="標楷體" w:eastAsia="標楷體" w:hAnsi="標楷體" w:hint="eastAsia"/>
                                <w:sz w:val="20"/>
                                <w:szCs w:val="20"/>
                              </w:rPr>
                              <w:br/>
                              <w:t>（截至8月底止）</w:t>
                            </w:r>
                          </w:p>
                        </w:tc>
                      </w:tr>
                      <w:tr w:rsidR="0097331E" w:rsidRPr="005A006D" w14:paraId="4038599B" w14:textId="77777777" w:rsidTr="00824CD6">
                        <w:trPr>
                          <w:trHeight w:val="312"/>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2218476" w14:textId="77777777" w:rsidR="0097331E" w:rsidRPr="0079126D" w:rsidRDefault="0097331E" w:rsidP="00824CD6">
                            <w:pPr>
                              <w:adjustRightInd w:val="0"/>
                              <w:snapToGrid w:val="0"/>
                              <w:rPr>
                                <w:rFonts w:ascii="標楷體" w:eastAsia="標楷體" w:hAnsi="標楷體"/>
                                <w:color w:val="000000"/>
                                <w:sz w:val="20"/>
                                <w:szCs w:val="20"/>
                              </w:rPr>
                            </w:pPr>
                            <w:r w:rsidRPr="0079126D">
                              <w:rPr>
                                <w:rFonts w:ascii="標楷體" w:eastAsia="標楷體" w:hAnsi="標楷體" w:hint="eastAsia"/>
                                <w:color w:val="000000"/>
                                <w:sz w:val="20"/>
                                <w:szCs w:val="20"/>
                              </w:rPr>
                              <w:t>羽球場</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E37930" w14:textId="77777777" w:rsidR="0097331E" w:rsidRPr="0079126D" w:rsidRDefault="0097331E" w:rsidP="00824CD6">
                            <w:pPr>
                              <w:adjustRightInd w:val="0"/>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6.38</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ACE382" w14:textId="77777777" w:rsidR="0097331E" w:rsidRPr="0079126D" w:rsidRDefault="0097331E" w:rsidP="00824CD6">
                            <w:pPr>
                              <w:adjustRightInd w:val="0"/>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7.65</w:t>
                            </w:r>
                          </w:p>
                        </w:tc>
                        <w:tc>
                          <w:tcPr>
                            <w:tcW w:w="174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A0A720" w14:textId="77777777" w:rsidR="0097331E" w:rsidRPr="0079126D" w:rsidRDefault="0097331E" w:rsidP="00824CD6">
                            <w:pPr>
                              <w:adjustRightInd w:val="0"/>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8.06</w:t>
                            </w:r>
                          </w:p>
                        </w:tc>
                      </w:tr>
                      <w:tr w:rsidR="0097331E" w:rsidRPr="005A006D" w14:paraId="1533B9C3"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26720" w14:textId="77777777" w:rsidR="0097331E" w:rsidRPr="0079126D" w:rsidRDefault="0097331E" w:rsidP="00824CD6">
                            <w:pPr>
                              <w:snapToGrid w:val="0"/>
                              <w:rPr>
                                <w:rFonts w:ascii="標楷體" w:eastAsia="標楷體" w:hAnsi="標楷體"/>
                                <w:color w:val="000000"/>
                                <w:sz w:val="20"/>
                                <w:szCs w:val="20"/>
                              </w:rPr>
                            </w:pPr>
                            <w:r w:rsidRPr="0079126D">
                              <w:rPr>
                                <w:rFonts w:ascii="標楷體" w:eastAsia="標楷體" w:hAnsi="標楷體" w:hint="eastAsia"/>
                                <w:color w:val="000000"/>
                                <w:sz w:val="20"/>
                                <w:szCs w:val="20"/>
                              </w:rPr>
                              <w:t>籃球場</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CB0BF8" w14:textId="77777777" w:rsidR="0097331E" w:rsidRPr="0079126D" w:rsidRDefault="0097331E" w:rsidP="00824CD6">
                            <w:pPr>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7.74</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E96FEAA" w14:textId="77777777" w:rsidR="0097331E" w:rsidRPr="0079126D" w:rsidRDefault="0097331E" w:rsidP="00824CD6">
                            <w:pPr>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8.09</w:t>
                            </w:r>
                          </w:p>
                        </w:tc>
                        <w:tc>
                          <w:tcPr>
                            <w:tcW w:w="174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B483DE" w14:textId="77777777" w:rsidR="0097331E" w:rsidRPr="0079126D" w:rsidRDefault="0097331E" w:rsidP="00824CD6">
                            <w:pPr>
                              <w:snapToGrid w:val="0"/>
                              <w:jc w:val="right"/>
                              <w:rPr>
                                <w:rFonts w:ascii="標楷體" w:eastAsia="標楷體" w:hAnsi="標楷體"/>
                                <w:color w:val="000000"/>
                                <w:sz w:val="20"/>
                                <w:szCs w:val="20"/>
                              </w:rPr>
                            </w:pPr>
                            <w:r w:rsidRPr="0079126D">
                              <w:rPr>
                                <w:rFonts w:ascii="標楷體" w:eastAsia="標楷體" w:hAnsi="標楷體" w:hint="eastAsia"/>
                                <w:color w:val="000000"/>
                                <w:sz w:val="20"/>
                                <w:szCs w:val="20"/>
                              </w:rPr>
                              <w:t>9</w:t>
                            </w:r>
                            <w:r w:rsidRPr="0079126D">
                              <w:rPr>
                                <w:rFonts w:ascii="標楷體" w:eastAsia="標楷體" w:hAnsi="標楷體"/>
                                <w:color w:val="000000"/>
                                <w:sz w:val="20"/>
                                <w:szCs w:val="20"/>
                              </w:rPr>
                              <w:t>9.22</w:t>
                            </w:r>
                          </w:p>
                        </w:tc>
                      </w:tr>
                      <w:tr w:rsidR="0097331E" w:rsidRPr="005A006D" w14:paraId="0ACA7F2E"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7C6A26B5" w14:textId="77777777" w:rsidR="0097331E" w:rsidRPr="0079126D" w:rsidRDefault="0097331E" w:rsidP="00824CD6">
                            <w:pPr>
                              <w:snapToGrid w:val="0"/>
                              <w:rPr>
                                <w:rFonts w:ascii="標楷體" w:eastAsia="標楷體" w:hAnsi="標楷體"/>
                                <w:color w:val="000000"/>
                                <w:sz w:val="20"/>
                                <w:szCs w:val="20"/>
                              </w:rPr>
                            </w:pPr>
                            <w:r w:rsidRPr="0079126D">
                              <w:rPr>
                                <w:rFonts w:ascii="標楷體" w:eastAsia="標楷體" w:hAnsi="標楷體" w:hint="eastAsia"/>
                                <w:color w:val="000000"/>
                                <w:sz w:val="20"/>
                                <w:szCs w:val="20"/>
                              </w:rPr>
                              <w:t>集會堂</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0F5BE8CA"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4.41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3FE4AC0"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27.12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D867885"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5.87 </w:t>
                            </w:r>
                          </w:p>
                        </w:tc>
                      </w:tr>
                      <w:tr w:rsidR="0097331E" w:rsidRPr="005A006D" w14:paraId="11E48D4E"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57DBAAA"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401教室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36ED305"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32.13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DA21054"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37.81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6D59321E"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32.19 </w:t>
                            </w:r>
                          </w:p>
                        </w:tc>
                      </w:tr>
                      <w:tr w:rsidR="0097331E" w:rsidRPr="005A006D" w14:paraId="77B4A3C8"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080DAC1A"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402教室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0F900EDB"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18.88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24969DE2"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19.02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133B507"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18.67 </w:t>
                            </w:r>
                          </w:p>
                        </w:tc>
                      </w:tr>
                      <w:tr w:rsidR="0097331E" w:rsidRPr="005A006D" w14:paraId="748EF7A0"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67FC327B"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813教室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1297837"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28.61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3EF5C686"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31.59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75CDD5C6"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27.97 </w:t>
                            </w:r>
                          </w:p>
                        </w:tc>
                      </w:tr>
                      <w:bookmarkEnd w:id="18"/>
                      <w:tr w:rsidR="0097331E" w:rsidRPr="005A006D" w14:paraId="3B336389"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2BBEA824"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814教室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C454006"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33.67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7B602F2"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35.69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3C9BAC72"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34.62 </w:t>
                            </w:r>
                          </w:p>
                        </w:tc>
                      </w:tr>
                      <w:tr w:rsidR="0097331E" w:rsidRPr="005A006D" w14:paraId="34C310D1"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3D7E5B9B"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815教室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338D252C"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41.18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8D7D6FC"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40.35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B5F5EC3"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41.49 </w:t>
                            </w:r>
                          </w:p>
                        </w:tc>
                      </w:tr>
                      <w:tr w:rsidR="0097331E" w:rsidRPr="005A006D" w14:paraId="53782BDD"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6901AF"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816教室</w:t>
                            </w:r>
                          </w:p>
                        </w:tc>
                        <w:tc>
                          <w:tcPr>
                            <w:tcW w:w="679" w:type="dxa"/>
                            <w:tcBorders>
                              <w:top w:val="nil"/>
                              <w:left w:val="single" w:sz="4" w:space="0" w:color="auto"/>
                              <w:bottom w:val="single" w:sz="4" w:space="0" w:color="auto"/>
                              <w:right w:val="single" w:sz="4" w:space="0" w:color="auto"/>
                            </w:tcBorders>
                            <w:shd w:val="clear" w:color="auto" w:fill="auto"/>
                            <w:noWrap/>
                            <w:vAlign w:val="bottom"/>
                            <w:hideMark/>
                          </w:tcPr>
                          <w:p w14:paraId="697275A8"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67.97 </w:t>
                            </w:r>
                          </w:p>
                        </w:tc>
                        <w:tc>
                          <w:tcPr>
                            <w:tcW w:w="679" w:type="dxa"/>
                            <w:tcBorders>
                              <w:top w:val="nil"/>
                              <w:left w:val="nil"/>
                              <w:bottom w:val="single" w:sz="4" w:space="0" w:color="auto"/>
                              <w:right w:val="single" w:sz="4" w:space="0" w:color="auto"/>
                            </w:tcBorders>
                            <w:shd w:val="clear" w:color="auto" w:fill="auto"/>
                            <w:noWrap/>
                            <w:vAlign w:val="bottom"/>
                            <w:hideMark/>
                          </w:tcPr>
                          <w:p w14:paraId="67189B20"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62.38 </w:t>
                            </w:r>
                          </w:p>
                        </w:tc>
                        <w:tc>
                          <w:tcPr>
                            <w:tcW w:w="1743" w:type="dxa"/>
                            <w:tcBorders>
                              <w:top w:val="nil"/>
                              <w:left w:val="nil"/>
                              <w:bottom w:val="single" w:sz="4" w:space="0" w:color="auto"/>
                              <w:right w:val="single" w:sz="4" w:space="0" w:color="auto"/>
                            </w:tcBorders>
                            <w:shd w:val="clear" w:color="auto" w:fill="auto"/>
                            <w:noWrap/>
                            <w:vAlign w:val="bottom"/>
                            <w:hideMark/>
                          </w:tcPr>
                          <w:p w14:paraId="36040673"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67.24 </w:t>
                            </w:r>
                          </w:p>
                        </w:tc>
                      </w:tr>
                      <w:tr w:rsidR="0097331E" w:rsidRPr="005A006D" w14:paraId="621DBD16"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379F11"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跆拳道教室</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DE2A97"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46.92 </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14AD68"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47.18 </w:t>
                            </w:r>
                          </w:p>
                        </w:tc>
                        <w:tc>
                          <w:tcPr>
                            <w:tcW w:w="1743" w:type="dxa"/>
                            <w:tcBorders>
                              <w:top w:val="nil"/>
                              <w:left w:val="nil"/>
                              <w:bottom w:val="single" w:sz="4" w:space="0" w:color="auto"/>
                              <w:right w:val="single" w:sz="4" w:space="0" w:color="auto"/>
                            </w:tcBorders>
                            <w:shd w:val="clear" w:color="auto" w:fill="auto"/>
                            <w:noWrap/>
                            <w:vAlign w:val="bottom"/>
                            <w:hideMark/>
                          </w:tcPr>
                          <w:p w14:paraId="064D64B9"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50.93 </w:t>
                            </w:r>
                          </w:p>
                        </w:tc>
                      </w:tr>
                      <w:tr w:rsidR="0097331E" w:rsidRPr="005A006D" w14:paraId="5F2D4F81"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EBD175"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空手道教室</w:t>
                            </w:r>
                          </w:p>
                        </w:tc>
                        <w:tc>
                          <w:tcPr>
                            <w:tcW w:w="679" w:type="dxa"/>
                            <w:tcBorders>
                              <w:top w:val="nil"/>
                              <w:left w:val="single" w:sz="4" w:space="0" w:color="auto"/>
                              <w:bottom w:val="single" w:sz="4" w:space="0" w:color="auto"/>
                              <w:right w:val="single" w:sz="4" w:space="0" w:color="auto"/>
                            </w:tcBorders>
                            <w:shd w:val="clear" w:color="auto" w:fill="auto"/>
                            <w:noWrap/>
                            <w:vAlign w:val="bottom"/>
                            <w:hideMark/>
                          </w:tcPr>
                          <w:p w14:paraId="56CF2E86"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64.55 </w:t>
                            </w:r>
                          </w:p>
                        </w:tc>
                        <w:tc>
                          <w:tcPr>
                            <w:tcW w:w="679" w:type="dxa"/>
                            <w:tcBorders>
                              <w:top w:val="nil"/>
                              <w:left w:val="nil"/>
                              <w:bottom w:val="single" w:sz="4" w:space="0" w:color="auto"/>
                              <w:right w:val="single" w:sz="4" w:space="0" w:color="auto"/>
                            </w:tcBorders>
                            <w:shd w:val="clear" w:color="auto" w:fill="auto"/>
                            <w:noWrap/>
                            <w:vAlign w:val="bottom"/>
                            <w:hideMark/>
                          </w:tcPr>
                          <w:p w14:paraId="6538AD49"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63.61 </w:t>
                            </w:r>
                          </w:p>
                        </w:tc>
                        <w:tc>
                          <w:tcPr>
                            <w:tcW w:w="1743" w:type="dxa"/>
                            <w:tcBorders>
                              <w:top w:val="nil"/>
                              <w:left w:val="nil"/>
                              <w:bottom w:val="single" w:sz="4" w:space="0" w:color="auto"/>
                              <w:right w:val="single" w:sz="4" w:space="0" w:color="auto"/>
                            </w:tcBorders>
                            <w:shd w:val="clear" w:color="auto" w:fill="auto"/>
                            <w:noWrap/>
                            <w:vAlign w:val="bottom"/>
                            <w:hideMark/>
                          </w:tcPr>
                          <w:p w14:paraId="4A5CA4DB"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65.24 </w:t>
                            </w:r>
                          </w:p>
                        </w:tc>
                      </w:tr>
                      <w:tr w:rsidR="0097331E" w:rsidRPr="005A006D" w14:paraId="0004BF53"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685001EB"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柔道教室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60669073"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37.28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9C08430"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44.30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99BFB4E"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47.50 </w:t>
                            </w:r>
                          </w:p>
                        </w:tc>
                      </w:tr>
                      <w:tr w:rsidR="0097331E" w:rsidRPr="005A006D" w14:paraId="04F263C5"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2C7A6A"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有氧舞蹈教室</w:t>
                            </w:r>
                          </w:p>
                        </w:tc>
                        <w:tc>
                          <w:tcPr>
                            <w:tcW w:w="679" w:type="dxa"/>
                            <w:tcBorders>
                              <w:top w:val="nil"/>
                              <w:left w:val="single" w:sz="4" w:space="0" w:color="auto"/>
                              <w:bottom w:val="single" w:sz="4" w:space="0" w:color="auto"/>
                              <w:right w:val="single" w:sz="4" w:space="0" w:color="auto"/>
                            </w:tcBorders>
                            <w:shd w:val="clear" w:color="auto" w:fill="auto"/>
                            <w:noWrap/>
                            <w:vAlign w:val="bottom"/>
                            <w:hideMark/>
                          </w:tcPr>
                          <w:p w14:paraId="3261153E"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69.94 </w:t>
                            </w:r>
                          </w:p>
                        </w:tc>
                        <w:tc>
                          <w:tcPr>
                            <w:tcW w:w="679" w:type="dxa"/>
                            <w:tcBorders>
                              <w:top w:val="nil"/>
                              <w:left w:val="nil"/>
                              <w:bottom w:val="single" w:sz="4" w:space="0" w:color="auto"/>
                              <w:right w:val="single" w:sz="4" w:space="0" w:color="auto"/>
                            </w:tcBorders>
                            <w:shd w:val="clear" w:color="auto" w:fill="auto"/>
                            <w:noWrap/>
                            <w:vAlign w:val="bottom"/>
                            <w:hideMark/>
                          </w:tcPr>
                          <w:p w14:paraId="5178BFF8"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71.94 </w:t>
                            </w:r>
                          </w:p>
                        </w:tc>
                        <w:tc>
                          <w:tcPr>
                            <w:tcW w:w="1743" w:type="dxa"/>
                            <w:tcBorders>
                              <w:top w:val="nil"/>
                              <w:left w:val="nil"/>
                              <w:bottom w:val="single" w:sz="4" w:space="0" w:color="auto"/>
                              <w:right w:val="single" w:sz="4" w:space="0" w:color="auto"/>
                            </w:tcBorders>
                            <w:shd w:val="clear" w:color="auto" w:fill="auto"/>
                            <w:noWrap/>
                            <w:vAlign w:val="bottom"/>
                            <w:hideMark/>
                          </w:tcPr>
                          <w:p w14:paraId="20695BC5"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69.60 </w:t>
                            </w:r>
                          </w:p>
                        </w:tc>
                      </w:tr>
                      <w:tr w:rsidR="0097331E" w:rsidRPr="005A006D" w14:paraId="44DD2E50"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EA2FD1"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綜合舞蹈教室</w:t>
                            </w:r>
                          </w:p>
                        </w:tc>
                        <w:tc>
                          <w:tcPr>
                            <w:tcW w:w="679" w:type="dxa"/>
                            <w:tcBorders>
                              <w:top w:val="nil"/>
                              <w:left w:val="single" w:sz="4" w:space="0" w:color="auto"/>
                              <w:bottom w:val="single" w:sz="4" w:space="0" w:color="auto"/>
                              <w:right w:val="single" w:sz="4" w:space="0" w:color="auto"/>
                            </w:tcBorders>
                            <w:shd w:val="clear" w:color="auto" w:fill="auto"/>
                            <w:noWrap/>
                            <w:vAlign w:val="bottom"/>
                            <w:hideMark/>
                          </w:tcPr>
                          <w:p w14:paraId="7039480E"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68.30 </w:t>
                            </w:r>
                          </w:p>
                        </w:tc>
                        <w:tc>
                          <w:tcPr>
                            <w:tcW w:w="679" w:type="dxa"/>
                            <w:tcBorders>
                              <w:top w:val="nil"/>
                              <w:left w:val="nil"/>
                              <w:bottom w:val="single" w:sz="4" w:space="0" w:color="auto"/>
                              <w:right w:val="single" w:sz="4" w:space="0" w:color="auto"/>
                            </w:tcBorders>
                            <w:shd w:val="clear" w:color="auto" w:fill="auto"/>
                            <w:noWrap/>
                            <w:vAlign w:val="bottom"/>
                            <w:hideMark/>
                          </w:tcPr>
                          <w:p w14:paraId="608E26D6"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69.44 </w:t>
                            </w:r>
                          </w:p>
                        </w:tc>
                        <w:tc>
                          <w:tcPr>
                            <w:tcW w:w="1743" w:type="dxa"/>
                            <w:tcBorders>
                              <w:top w:val="nil"/>
                              <w:left w:val="nil"/>
                              <w:bottom w:val="single" w:sz="4" w:space="0" w:color="auto"/>
                              <w:right w:val="single" w:sz="4" w:space="0" w:color="auto"/>
                            </w:tcBorders>
                            <w:shd w:val="clear" w:color="auto" w:fill="auto"/>
                            <w:noWrap/>
                            <w:vAlign w:val="bottom"/>
                            <w:hideMark/>
                          </w:tcPr>
                          <w:p w14:paraId="4874D35B"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65.45 </w:t>
                            </w:r>
                          </w:p>
                        </w:tc>
                      </w:tr>
                      <w:tr w:rsidR="0097331E" w:rsidRPr="005A006D" w14:paraId="204D6CEF"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74468E3F"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多元教室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1CC0943"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3.37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1B8C2B48"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13.94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6B6517C2"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28.11 </w:t>
                            </w:r>
                          </w:p>
                        </w:tc>
                      </w:tr>
                      <w:tr w:rsidR="0097331E" w:rsidRPr="005A006D" w14:paraId="0E7C8166" w14:textId="77777777" w:rsidTr="00824CD6">
                        <w:trPr>
                          <w:trHeight w:val="324"/>
                        </w:trPr>
                        <w:tc>
                          <w:tcPr>
                            <w:tcW w:w="194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558BF40" w14:textId="77777777" w:rsidR="0097331E" w:rsidRPr="0079126D" w:rsidRDefault="0097331E" w:rsidP="00824CD6">
                            <w:pPr>
                              <w:snapToGrid w:val="0"/>
                              <w:rPr>
                                <w:rFonts w:ascii="標楷體" w:eastAsia="標楷體" w:hAnsi="標楷體"/>
                                <w:sz w:val="20"/>
                                <w:szCs w:val="20"/>
                              </w:rPr>
                            </w:pPr>
                            <w:r w:rsidRPr="0079126D">
                              <w:rPr>
                                <w:rFonts w:ascii="標楷體" w:eastAsia="標楷體" w:hAnsi="標楷體" w:hint="eastAsia"/>
                                <w:sz w:val="20"/>
                                <w:szCs w:val="20"/>
                              </w:rPr>
                              <w:t>桌球教室</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8ADDD74"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3.95 </w:t>
                            </w:r>
                          </w:p>
                        </w:tc>
                        <w:tc>
                          <w:tcPr>
                            <w:tcW w:w="679"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511597DC"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14.97 </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46FC244" w14:textId="77777777" w:rsidR="0097331E" w:rsidRPr="0079126D" w:rsidRDefault="0097331E" w:rsidP="00824CD6">
                            <w:pPr>
                              <w:snapToGrid w:val="0"/>
                              <w:jc w:val="right"/>
                              <w:rPr>
                                <w:rFonts w:ascii="標楷體" w:eastAsia="標楷體" w:hAnsi="標楷體"/>
                                <w:sz w:val="20"/>
                                <w:szCs w:val="20"/>
                              </w:rPr>
                            </w:pPr>
                            <w:r w:rsidRPr="0079126D">
                              <w:rPr>
                                <w:rFonts w:ascii="標楷體" w:eastAsia="標楷體" w:hAnsi="標楷體" w:hint="eastAsia"/>
                                <w:sz w:val="20"/>
                                <w:szCs w:val="20"/>
                              </w:rPr>
                              <w:t xml:space="preserve">31.97 </w:t>
                            </w:r>
                          </w:p>
                        </w:tc>
                      </w:tr>
                    </w:tbl>
                    <w:p w14:paraId="597CDF99" w14:textId="77777777" w:rsidR="0097331E" w:rsidRDefault="0097331E" w:rsidP="0097331E">
                      <w:pPr>
                        <w:spacing w:line="240" w:lineRule="exact"/>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w:t>
                      </w:r>
                      <w:r>
                        <w:rPr>
                          <w:rFonts w:ascii="標楷體" w:eastAsia="標楷體" w:hAnsi="標楷體"/>
                          <w:sz w:val="18"/>
                        </w:rPr>
                        <w:t>1.</w:t>
                      </w:r>
                      <w:r>
                        <w:rPr>
                          <w:rFonts w:ascii="標楷體" w:eastAsia="標楷體" w:hAnsi="標楷體" w:hint="eastAsia"/>
                          <w:sz w:val="18"/>
                        </w:rPr>
                        <w:t>標示灰底部分係場地使用率未及</w:t>
                      </w:r>
                      <w:proofErr w:type="gramStart"/>
                      <w:r>
                        <w:rPr>
                          <w:rFonts w:ascii="標楷體" w:eastAsia="標楷體" w:hAnsi="標楷體" w:hint="eastAsia"/>
                          <w:sz w:val="18"/>
                        </w:rPr>
                        <w:t>5成</w:t>
                      </w:r>
                      <w:proofErr w:type="gramEnd"/>
                      <w:r>
                        <w:rPr>
                          <w:rFonts w:ascii="標楷體" w:eastAsia="標楷體" w:hAnsi="標楷體" w:hint="eastAsia"/>
                          <w:sz w:val="18"/>
                        </w:rPr>
                        <w:t>者。</w:t>
                      </w:r>
                    </w:p>
                    <w:p w14:paraId="269ADD9B" w14:textId="77777777" w:rsidR="0097331E" w:rsidRPr="0059727A" w:rsidRDefault="0097331E" w:rsidP="0097331E">
                      <w:pPr>
                        <w:spacing w:line="240" w:lineRule="exact"/>
                        <w:ind w:firstLineChars="200" w:firstLine="360"/>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Pr>
                          <w:rFonts w:ascii="標楷體" w:eastAsia="標楷體" w:hAnsi="標楷體" w:hint="eastAsia"/>
                          <w:sz w:val="18"/>
                        </w:rPr>
                        <w:t>資料來源：</w:t>
                      </w:r>
                      <w:r w:rsidRPr="0059727A">
                        <w:rPr>
                          <w:rFonts w:ascii="標楷體" w:eastAsia="標楷體" w:hAnsi="標楷體" w:hint="eastAsia"/>
                          <w:sz w:val="18"/>
                        </w:rPr>
                        <w:t>整理自民政局提供資料。</w:t>
                      </w:r>
                    </w:p>
                  </w:txbxContent>
                </v:textbox>
                <w10:wrap type="tight" anchory="page"/>
              </v:shape>
            </w:pict>
          </mc:Fallback>
        </mc:AlternateContent>
      </w:r>
      <w:r w:rsidRPr="0079126D">
        <w:rPr>
          <w:rFonts w:ascii="標楷體" w:eastAsia="標楷體" w:hAnsi="標楷體" w:hint="eastAsia"/>
        </w:rPr>
        <w:t>民政局為提供民眾休閒活動場地，將經管民生社區中心活動空間及設施開放民眾使用，並舉辦各類技藝研習課程。</w:t>
      </w:r>
      <w:proofErr w:type="gramStart"/>
      <w:r w:rsidRPr="0079126D">
        <w:rPr>
          <w:rFonts w:ascii="標楷體" w:eastAsia="標楷體" w:hAnsi="標楷體" w:hint="eastAsia"/>
        </w:rPr>
        <w:t>113</w:t>
      </w:r>
      <w:proofErr w:type="gramEnd"/>
      <w:r w:rsidRPr="0079126D">
        <w:rPr>
          <w:rFonts w:ascii="標楷體" w:eastAsia="標楷體" w:hAnsi="標楷體" w:hint="eastAsia"/>
        </w:rPr>
        <w:t>年度預算編列民生社區中心管理業務經費1,952萬餘元。經查</w:t>
      </w:r>
      <w:r>
        <w:rPr>
          <w:rFonts w:ascii="標楷體" w:eastAsia="標楷體" w:hAnsi="標楷體" w:hint="eastAsia"/>
        </w:rPr>
        <w:t>民生社區中心使用管理情形，核有</w:t>
      </w:r>
      <w:r w:rsidRPr="0079126D">
        <w:rPr>
          <w:rFonts w:ascii="標楷體" w:eastAsia="標楷體" w:hAnsi="標楷體" w:hint="eastAsia"/>
        </w:rPr>
        <w:t>：（1）民政局經管</w:t>
      </w:r>
      <w:r>
        <w:rPr>
          <w:rFonts w:ascii="標楷體" w:eastAsia="標楷體" w:hAnsi="標楷體" w:hint="eastAsia"/>
        </w:rPr>
        <w:t>之</w:t>
      </w:r>
      <w:r w:rsidRPr="0079126D">
        <w:rPr>
          <w:rFonts w:ascii="標楷體" w:eastAsia="標楷體" w:hAnsi="標楷體" w:hint="eastAsia"/>
        </w:rPr>
        <w:t>民生社區中心活動空間及設施開放</w:t>
      </w:r>
      <w:r>
        <w:rPr>
          <w:rFonts w:ascii="標楷體" w:eastAsia="標楷體" w:hAnsi="標楷體" w:hint="eastAsia"/>
        </w:rPr>
        <w:t>予</w:t>
      </w:r>
      <w:r w:rsidRPr="0079126D">
        <w:rPr>
          <w:rFonts w:ascii="標楷體" w:eastAsia="標楷體" w:hAnsi="標楷體" w:hint="eastAsia"/>
        </w:rPr>
        <w:t>民眾使用</w:t>
      </w:r>
    </w:p>
    <w:p w14:paraId="64A358CA" w14:textId="77777777" w:rsidR="0097331E" w:rsidRDefault="0097331E" w:rsidP="00CF1B20">
      <w:pPr>
        <w:overflowPunct w:val="0"/>
        <w:spacing w:line="466" w:lineRule="exact"/>
        <w:jc w:val="both"/>
        <w:rPr>
          <w:rFonts w:ascii="標楷體" w:eastAsia="標楷體" w:hAnsi="標楷體"/>
        </w:rPr>
      </w:pPr>
      <w:r>
        <w:rPr>
          <w:rFonts w:ascii="標楷體" w:eastAsia="標楷體" w:hAnsi="標楷體" w:hint="eastAsia"/>
        </w:rPr>
        <w:t>者</w:t>
      </w:r>
      <w:r w:rsidRPr="0079126D">
        <w:rPr>
          <w:rFonts w:ascii="標楷體" w:eastAsia="標楷體" w:hAnsi="標楷體" w:hint="eastAsia"/>
        </w:rPr>
        <w:t>計有18處，除</w:t>
      </w:r>
      <w:r>
        <w:rPr>
          <w:rFonts w:ascii="標楷體" w:eastAsia="標楷體" w:hAnsi="標楷體" w:hint="eastAsia"/>
        </w:rPr>
        <w:t>8樓桌球室及9樓健身房等</w:t>
      </w:r>
      <w:r w:rsidRPr="0079126D">
        <w:rPr>
          <w:rFonts w:ascii="標楷體" w:eastAsia="標楷體" w:hAnsi="標楷體" w:hint="eastAsia"/>
        </w:rPr>
        <w:t>2處於開放時段供所有民眾使用並按時計費外，餘16處係分時段開放民眾申請租借。經分析111至113年度（截至8月底</w:t>
      </w:r>
      <w:r>
        <w:rPr>
          <w:rFonts w:ascii="標楷體" w:eastAsia="標楷體" w:hAnsi="標楷體" w:hint="eastAsia"/>
        </w:rPr>
        <w:t>止</w:t>
      </w:r>
      <w:r w:rsidRPr="0079126D">
        <w:rPr>
          <w:rFonts w:ascii="標楷體" w:eastAsia="標楷體" w:hAnsi="標楷體" w:hint="eastAsia"/>
        </w:rPr>
        <w:t>）</w:t>
      </w:r>
      <w:r>
        <w:rPr>
          <w:rFonts w:ascii="標楷體" w:eastAsia="標楷體" w:hAnsi="標楷體" w:hint="eastAsia"/>
        </w:rPr>
        <w:t>該</w:t>
      </w:r>
      <w:r w:rsidRPr="0079126D">
        <w:rPr>
          <w:rFonts w:ascii="標楷體" w:eastAsia="標楷體" w:hAnsi="標楷體" w:hint="eastAsia"/>
        </w:rPr>
        <w:t>16處可供租借場地之各年</w:t>
      </w:r>
      <w:r>
        <w:rPr>
          <w:rFonts w:ascii="標楷體" w:eastAsia="標楷體" w:hAnsi="標楷體" w:hint="eastAsia"/>
        </w:rPr>
        <w:t>度</w:t>
      </w:r>
      <w:r w:rsidRPr="0079126D">
        <w:rPr>
          <w:rFonts w:ascii="標楷體" w:eastAsia="標楷體" w:hAnsi="標楷體" w:hint="eastAsia"/>
        </w:rPr>
        <w:t>使用情形，其中有9處各年</w:t>
      </w:r>
      <w:r>
        <w:rPr>
          <w:rFonts w:ascii="標楷體" w:eastAsia="標楷體" w:hAnsi="標楷體" w:hint="eastAsia"/>
        </w:rPr>
        <w:t>度</w:t>
      </w:r>
      <w:proofErr w:type="gramStart"/>
      <w:r w:rsidRPr="0079126D">
        <w:rPr>
          <w:rFonts w:ascii="標楷體" w:eastAsia="標楷體" w:hAnsi="標楷體" w:hint="eastAsia"/>
        </w:rPr>
        <w:t>使用率均未及5成</w:t>
      </w:r>
      <w:proofErr w:type="gramEnd"/>
      <w:r w:rsidRPr="0079126D">
        <w:rPr>
          <w:rFonts w:ascii="標楷體" w:eastAsia="標楷體" w:hAnsi="標楷體" w:hint="eastAsia"/>
        </w:rPr>
        <w:t>（表1）；</w:t>
      </w:r>
      <w:r>
        <w:rPr>
          <w:rFonts w:ascii="標楷體" w:eastAsia="標楷體" w:hAnsi="標楷體" w:hint="eastAsia"/>
        </w:rPr>
        <w:t>復查該</w:t>
      </w:r>
      <w:r w:rsidRPr="0079126D">
        <w:rPr>
          <w:rFonts w:ascii="標楷體" w:eastAsia="標楷體" w:hAnsi="標楷體" w:hint="eastAsia"/>
        </w:rPr>
        <w:t>16處可供租借場地，該局僅將多元教室及桌球教室等2處</w:t>
      </w:r>
      <w:proofErr w:type="gramStart"/>
      <w:r w:rsidRPr="0079126D">
        <w:rPr>
          <w:rFonts w:ascii="標楷體" w:eastAsia="標楷體" w:hAnsi="標楷體" w:hint="eastAsia"/>
        </w:rPr>
        <w:t>上架於臺北市</w:t>
      </w:r>
      <w:proofErr w:type="gramEnd"/>
      <w:r w:rsidRPr="0079126D">
        <w:rPr>
          <w:rFonts w:ascii="標楷體" w:eastAsia="標楷體" w:hAnsi="標楷體" w:hint="eastAsia"/>
        </w:rPr>
        <w:t>政府市民服務大平</w:t>
      </w:r>
      <w:proofErr w:type="gramStart"/>
      <w:r w:rsidRPr="0079126D">
        <w:rPr>
          <w:rFonts w:ascii="標楷體" w:eastAsia="標楷體" w:hAnsi="標楷體" w:hint="eastAsia"/>
        </w:rPr>
        <w:t>臺</w:t>
      </w:r>
      <w:proofErr w:type="gramEnd"/>
      <w:r w:rsidRPr="0079126D">
        <w:rPr>
          <w:rFonts w:ascii="標楷體" w:eastAsia="標楷體" w:hAnsi="標楷體" w:hint="eastAsia"/>
        </w:rPr>
        <w:t>之「公有場地租用」網站，供民眾線上查詢申辦租借，餘14處</w:t>
      </w:r>
      <w:r>
        <w:rPr>
          <w:rFonts w:ascii="標楷體" w:eastAsia="標楷體" w:hAnsi="標楷體" w:hint="eastAsia"/>
        </w:rPr>
        <w:t>（87.50％）</w:t>
      </w:r>
      <w:r w:rsidRPr="0079126D">
        <w:rPr>
          <w:rFonts w:ascii="標楷體" w:eastAsia="標楷體" w:hAnsi="標楷體" w:hint="eastAsia"/>
        </w:rPr>
        <w:t>皆未</w:t>
      </w:r>
      <w:proofErr w:type="gramStart"/>
      <w:r w:rsidRPr="0079126D">
        <w:rPr>
          <w:rFonts w:ascii="標楷體" w:eastAsia="標楷體" w:hAnsi="標楷體" w:hint="eastAsia"/>
        </w:rPr>
        <w:t>開放線上申辦</w:t>
      </w:r>
      <w:proofErr w:type="gramEnd"/>
      <w:r w:rsidRPr="0079126D">
        <w:rPr>
          <w:rFonts w:ascii="標楷體" w:eastAsia="標楷體" w:hAnsi="標楷體" w:hint="eastAsia"/>
        </w:rPr>
        <w:t>服務，肇致潛在使用者需以電話洽詢或親臨民生社區中心1樓服務站，始能得知可租借之場地及時段以辦理後續申辦使用事宜，租借服務便利性尚稱不足</w:t>
      </w:r>
      <w:r>
        <w:rPr>
          <w:rFonts w:ascii="標楷體" w:eastAsia="標楷體" w:hAnsi="標楷體" w:hint="eastAsia"/>
        </w:rPr>
        <w:t>；（2）該局為活化利用空間，於110年</w:t>
      </w:r>
      <w:r>
        <w:rPr>
          <w:rFonts w:ascii="標楷體" w:eastAsia="標楷體" w:hAnsi="標楷體"/>
        </w:rPr>
        <w:t>10</w:t>
      </w:r>
      <w:r>
        <w:rPr>
          <w:rFonts w:ascii="標楷體" w:eastAsia="標楷體" w:hAnsi="標楷體" w:hint="eastAsia"/>
        </w:rPr>
        <w:t>月1</w:t>
      </w:r>
      <w:r>
        <w:rPr>
          <w:rFonts w:ascii="標楷體" w:eastAsia="標楷體" w:hAnsi="標楷體"/>
        </w:rPr>
        <w:t>6</w:t>
      </w:r>
      <w:r>
        <w:rPr>
          <w:rFonts w:ascii="標楷體" w:eastAsia="標楷體" w:hAnsi="標楷體" w:hint="eastAsia"/>
        </w:rPr>
        <w:t>日將民生社區中心10樓原</w:t>
      </w:r>
      <w:proofErr w:type="gramStart"/>
      <w:r>
        <w:rPr>
          <w:rFonts w:ascii="標楷體" w:eastAsia="標楷體" w:hAnsi="標楷體" w:hint="eastAsia"/>
        </w:rPr>
        <w:t>迴力球室空</w:t>
      </w:r>
      <w:proofErr w:type="gramEnd"/>
    </w:p>
    <w:p w14:paraId="289C88D3" w14:textId="77777777" w:rsidR="0097331E" w:rsidRDefault="0097331E" w:rsidP="00CF1B20">
      <w:pPr>
        <w:overflowPunct w:val="0"/>
        <w:spacing w:line="466" w:lineRule="exact"/>
        <w:jc w:val="both"/>
        <w:rPr>
          <w:rFonts w:ascii="標楷體" w:eastAsia="標楷體" w:hAnsi="標楷體"/>
        </w:rPr>
      </w:pPr>
      <w:proofErr w:type="gramStart"/>
      <w:r>
        <w:rPr>
          <w:rFonts w:ascii="標楷體" w:eastAsia="標楷體" w:hAnsi="標楷體" w:hint="eastAsia"/>
        </w:rPr>
        <w:t>間改置</w:t>
      </w:r>
      <w:proofErr w:type="gramEnd"/>
      <w:r>
        <w:rPr>
          <w:rFonts w:ascii="標楷體" w:eastAsia="標楷體" w:hAnsi="標楷體" w:hint="eastAsia"/>
        </w:rPr>
        <w:t>為多元教室及桌球教室等2處，</w:t>
      </w:r>
      <w:r w:rsidRPr="00E512B7">
        <w:rPr>
          <w:rFonts w:ascii="標楷體" w:eastAsia="標楷體" w:hAnsi="標楷體" w:hint="eastAsia"/>
        </w:rPr>
        <w:t>迄</w:t>
      </w:r>
      <w:proofErr w:type="gramStart"/>
      <w:r>
        <w:rPr>
          <w:rFonts w:ascii="標楷體" w:eastAsia="標楷體" w:hAnsi="標楷體" w:hint="eastAsia"/>
        </w:rPr>
        <w:t>1</w:t>
      </w:r>
      <w:r>
        <w:rPr>
          <w:rFonts w:ascii="標楷體" w:eastAsia="標楷體" w:hAnsi="標楷體"/>
        </w:rPr>
        <w:t>13</w:t>
      </w:r>
      <w:r>
        <w:rPr>
          <w:rFonts w:ascii="標楷體" w:eastAsia="標楷體" w:hAnsi="標楷體" w:hint="eastAsia"/>
        </w:rPr>
        <w:t>年9月9日止僅使用</w:t>
      </w:r>
      <w:proofErr w:type="gramEnd"/>
      <w:r>
        <w:rPr>
          <w:rFonts w:ascii="標楷體" w:eastAsia="標楷體" w:hAnsi="標楷體" w:hint="eastAsia"/>
        </w:rPr>
        <w:t>近3年，即因位處空調管線末端且無對外窗通風等既存事實，經評估不適合開放民眾申請使用並變更用途，顯示場地活化使用之規劃作業尚欠嚴謹</w:t>
      </w:r>
      <w:r w:rsidRPr="0079126D">
        <w:rPr>
          <w:rFonts w:ascii="標楷體" w:eastAsia="標楷體" w:hAnsi="標楷體" w:hint="eastAsia"/>
        </w:rPr>
        <w:t>等情事，經函請檢討改善。據復：</w:t>
      </w:r>
      <w:r>
        <w:rPr>
          <w:rFonts w:ascii="標楷體" w:eastAsia="標楷體" w:hAnsi="標楷體" w:hint="eastAsia"/>
        </w:rPr>
        <w:t>（</w:t>
      </w:r>
      <w:r>
        <w:rPr>
          <w:rFonts w:ascii="標楷體" w:eastAsia="標楷體" w:hAnsi="標楷體"/>
        </w:rPr>
        <w:t>1</w:t>
      </w:r>
      <w:r>
        <w:rPr>
          <w:rFonts w:ascii="標楷體" w:eastAsia="標楷體" w:hAnsi="標楷體" w:hint="eastAsia"/>
        </w:rPr>
        <w:t>）</w:t>
      </w:r>
      <w:r w:rsidRPr="0079126D">
        <w:rPr>
          <w:rFonts w:ascii="標楷體" w:eastAsia="標楷體" w:hAnsi="標楷體" w:hint="eastAsia"/>
        </w:rPr>
        <w:t>已建置「活動中心長期租借報名</w:t>
      </w:r>
    </w:p>
    <w:p w14:paraId="454B24AC" w14:textId="69923232" w:rsidR="0097331E" w:rsidRPr="005E4C47" w:rsidRDefault="0097331E" w:rsidP="0097331E">
      <w:pPr>
        <w:overflowPunct w:val="0"/>
        <w:spacing w:beforeLines="20" w:before="72" w:line="460" w:lineRule="exact"/>
        <w:jc w:val="both"/>
        <w:rPr>
          <w:rFonts w:ascii="標楷體" w:eastAsia="標楷體" w:hAnsi="Times New Roman" w:cs="Times New Roman"/>
          <w:b/>
          <w:bCs/>
          <w:spacing w:val="-2"/>
          <w:sz w:val="28"/>
          <w:szCs w:val="28"/>
        </w:rPr>
      </w:pPr>
      <w:r w:rsidRPr="0079126D">
        <w:rPr>
          <w:rFonts w:ascii="標楷體" w:eastAsia="標楷體" w:hAnsi="標楷體" w:hint="eastAsia"/>
        </w:rPr>
        <w:lastRenderedPageBreak/>
        <w:t>系統」，</w:t>
      </w:r>
      <w:r>
        <w:rPr>
          <w:rFonts w:ascii="標楷體" w:eastAsia="標楷體" w:hAnsi="標楷體" w:hint="eastAsia"/>
        </w:rPr>
        <w:t>將</w:t>
      </w:r>
      <w:r w:rsidRPr="0079126D">
        <w:rPr>
          <w:rFonts w:ascii="標楷體" w:eastAsia="標楷體" w:hAnsi="標楷體" w:hint="eastAsia"/>
        </w:rPr>
        <w:t>於辦理登記114年下半年場地長期租借時上線使用，</w:t>
      </w:r>
      <w:r>
        <w:rPr>
          <w:rFonts w:ascii="標楷體" w:eastAsia="標楷體" w:hAnsi="標楷體" w:hint="eastAsia"/>
        </w:rPr>
        <w:t>並辦理設施更新改善，及透過該</w:t>
      </w:r>
      <w:proofErr w:type="gramStart"/>
      <w:r>
        <w:rPr>
          <w:rFonts w:ascii="標楷體" w:eastAsia="標楷體" w:hAnsi="標楷體" w:hint="eastAsia"/>
        </w:rPr>
        <w:t>局官網</w:t>
      </w:r>
      <w:proofErr w:type="gramEnd"/>
      <w:r>
        <w:rPr>
          <w:rFonts w:ascii="標楷體" w:eastAsia="標楷體" w:hAnsi="標楷體" w:hint="eastAsia"/>
        </w:rPr>
        <w:t>加強宣傳，</w:t>
      </w:r>
      <w:r w:rsidRPr="0079126D">
        <w:rPr>
          <w:rFonts w:ascii="標楷體" w:eastAsia="標楷體" w:hAnsi="標楷體" w:hint="eastAsia"/>
        </w:rPr>
        <w:t>以提升服務品質</w:t>
      </w:r>
      <w:r>
        <w:rPr>
          <w:rFonts w:ascii="標楷體" w:eastAsia="標楷體" w:hAnsi="標楷體" w:hint="eastAsia"/>
        </w:rPr>
        <w:t>與</w:t>
      </w:r>
      <w:r w:rsidRPr="0079126D">
        <w:rPr>
          <w:rFonts w:ascii="標楷體" w:eastAsia="標楷體" w:hAnsi="標楷體" w:hint="eastAsia"/>
        </w:rPr>
        <w:t>增進場地使用效益</w:t>
      </w:r>
      <w:r>
        <w:rPr>
          <w:rFonts w:ascii="標楷體" w:eastAsia="標楷體" w:hAnsi="標楷體" w:hint="eastAsia"/>
        </w:rPr>
        <w:t>；（</w:t>
      </w:r>
      <w:r>
        <w:rPr>
          <w:rFonts w:ascii="標楷體" w:eastAsia="標楷體" w:hAnsi="標楷體"/>
        </w:rPr>
        <w:t>2</w:t>
      </w:r>
      <w:r>
        <w:rPr>
          <w:rFonts w:ascii="標楷體" w:eastAsia="標楷體" w:hAnsi="標楷體" w:hint="eastAsia"/>
        </w:rPr>
        <w:t>）爾後空間使用變更用途之規劃作業將更為嚴謹，以</w:t>
      </w:r>
      <w:r w:rsidRPr="00110C85">
        <w:rPr>
          <w:rFonts w:ascii="標楷體" w:eastAsia="標楷體" w:hAnsi="標楷體" w:hint="eastAsia"/>
        </w:rPr>
        <w:t>避免類此情事再度發生。</w:t>
      </w:r>
    </w:p>
    <w:p w14:paraId="6ECAA5C9" w14:textId="77777777" w:rsidR="0097331E" w:rsidRPr="005E4C47" w:rsidRDefault="0097331E" w:rsidP="0097331E">
      <w:pPr>
        <w:overflowPunct w:val="0"/>
        <w:spacing w:beforeLines="50" w:before="180" w:line="480" w:lineRule="exact"/>
        <w:ind w:firstLineChars="200" w:firstLine="553"/>
        <w:jc w:val="both"/>
        <w:rPr>
          <w:rFonts w:ascii="標楷體" w:eastAsia="標楷體" w:hAnsi="Times New Roman" w:cs="Times New Roman"/>
          <w:b/>
          <w:spacing w:val="-2"/>
          <w:sz w:val="28"/>
          <w:szCs w:val="28"/>
        </w:rPr>
      </w:pPr>
      <w:bookmarkStart w:id="19" w:name="_Hlk153530380"/>
      <w:bookmarkStart w:id="20" w:name="_Toc153392367"/>
      <w:bookmarkStart w:id="21" w:name="_Hlk153873653"/>
      <w:r w:rsidRPr="005E4C47">
        <w:rPr>
          <w:rFonts w:ascii="標楷體" w:eastAsia="標楷體" w:hAnsi="Times New Roman" w:cs="Times New Roman" w:hint="eastAsia"/>
          <w:b/>
          <w:spacing w:val="-2"/>
          <w:sz w:val="28"/>
          <w:szCs w:val="28"/>
        </w:rPr>
        <w:t>2.</w:t>
      </w:r>
      <w:bookmarkStart w:id="22" w:name="_Hlk199171191"/>
      <w:bookmarkEnd w:id="19"/>
      <w:bookmarkEnd w:id="20"/>
      <w:r w:rsidRPr="007340A9">
        <w:rPr>
          <w:rFonts w:ascii="標楷體" w:eastAsia="標楷體" w:hAnsi="標楷體" w:hint="eastAsia"/>
          <w:b/>
          <w:bCs/>
          <w:color w:val="000000" w:themeColor="text1"/>
          <w:sz w:val="28"/>
          <w:szCs w:val="28"/>
        </w:rPr>
        <w:t>促進公立靈骨塔</w:t>
      </w:r>
      <w:r>
        <w:rPr>
          <w:rFonts w:ascii="標楷體" w:eastAsia="標楷體" w:hAnsi="標楷體" w:hint="eastAsia"/>
          <w:b/>
          <w:bCs/>
          <w:color w:val="000000" w:themeColor="text1"/>
          <w:sz w:val="28"/>
          <w:szCs w:val="28"/>
        </w:rPr>
        <w:t>櫃</w:t>
      </w:r>
      <w:r w:rsidRPr="007340A9">
        <w:rPr>
          <w:rFonts w:ascii="標楷體" w:eastAsia="標楷體" w:hAnsi="標楷體" w:hint="eastAsia"/>
          <w:b/>
          <w:bCs/>
          <w:color w:val="000000" w:themeColor="text1"/>
          <w:sz w:val="28"/>
          <w:szCs w:val="28"/>
        </w:rPr>
        <w:t>位使用效益，訂定</w:t>
      </w:r>
      <w:r>
        <w:rPr>
          <w:rFonts w:ascii="標楷體" w:eastAsia="標楷體" w:hAnsi="標楷體" w:hint="eastAsia"/>
          <w:b/>
          <w:bCs/>
          <w:color w:val="000000" w:themeColor="text1"/>
          <w:sz w:val="28"/>
          <w:szCs w:val="28"/>
        </w:rPr>
        <w:t>應依限</w:t>
      </w:r>
      <w:r w:rsidRPr="007340A9">
        <w:rPr>
          <w:rFonts w:ascii="標楷體" w:eastAsia="標楷體" w:hAnsi="標楷體" w:hint="eastAsia"/>
          <w:b/>
          <w:bCs/>
          <w:color w:val="000000" w:themeColor="text1"/>
          <w:sz w:val="28"/>
          <w:szCs w:val="28"/>
        </w:rPr>
        <w:t>存放或寄存規定，惟對部分逾期未使用之申請人</w:t>
      </w:r>
      <w:r>
        <w:rPr>
          <w:rFonts w:ascii="標楷體" w:eastAsia="標楷體" w:hAnsi="標楷體" w:hint="eastAsia"/>
          <w:b/>
          <w:bCs/>
          <w:color w:val="000000" w:themeColor="text1"/>
          <w:sz w:val="28"/>
          <w:szCs w:val="28"/>
        </w:rPr>
        <w:t>迄未依規定</w:t>
      </w:r>
      <w:r w:rsidRPr="007340A9">
        <w:rPr>
          <w:rFonts w:ascii="標楷體" w:eastAsia="標楷體" w:hAnsi="標楷體" w:hint="eastAsia"/>
          <w:b/>
          <w:bCs/>
          <w:color w:val="000000" w:themeColor="text1"/>
          <w:sz w:val="28"/>
          <w:szCs w:val="28"/>
        </w:rPr>
        <w:t>辦理後續處置作業，或未配合</w:t>
      </w:r>
      <w:proofErr w:type="gramStart"/>
      <w:r>
        <w:rPr>
          <w:rFonts w:ascii="標楷體" w:eastAsia="標楷體" w:hAnsi="標楷體" w:hint="eastAsia"/>
          <w:b/>
          <w:bCs/>
          <w:color w:val="000000" w:themeColor="text1"/>
          <w:sz w:val="28"/>
          <w:szCs w:val="28"/>
        </w:rPr>
        <w:t>一櫃多罐</w:t>
      </w:r>
      <w:proofErr w:type="gramEnd"/>
      <w:r w:rsidRPr="007340A9">
        <w:rPr>
          <w:rFonts w:ascii="標楷體" w:eastAsia="標楷體" w:hAnsi="標楷體" w:hint="eastAsia"/>
          <w:b/>
          <w:bCs/>
          <w:color w:val="000000" w:themeColor="text1"/>
          <w:sz w:val="28"/>
          <w:szCs w:val="28"/>
        </w:rPr>
        <w:t>實際作業情形適時檢討</w:t>
      </w:r>
      <w:r>
        <w:rPr>
          <w:rFonts w:ascii="標楷體" w:eastAsia="標楷體" w:hAnsi="標楷體" w:hint="eastAsia"/>
          <w:b/>
          <w:bCs/>
          <w:color w:val="000000" w:themeColor="text1"/>
          <w:sz w:val="28"/>
          <w:szCs w:val="28"/>
        </w:rPr>
        <w:t>應具親屬關係之相關規定等情</w:t>
      </w:r>
      <w:r w:rsidRPr="007340A9">
        <w:rPr>
          <w:rFonts w:ascii="標楷體" w:eastAsia="標楷體" w:hAnsi="標楷體" w:hint="eastAsia"/>
          <w:b/>
          <w:bCs/>
          <w:color w:val="000000" w:themeColor="text1"/>
          <w:sz w:val="28"/>
          <w:szCs w:val="28"/>
        </w:rPr>
        <w:t>，有待檢討改善</w:t>
      </w:r>
      <w:bookmarkEnd w:id="22"/>
      <w:r w:rsidRPr="005E4C47">
        <w:rPr>
          <w:rFonts w:ascii="標楷體" w:eastAsia="標楷體" w:hAnsi="Times New Roman" w:cs="Times New Roman" w:hint="eastAsia"/>
          <w:b/>
          <w:spacing w:val="-2"/>
          <w:sz w:val="28"/>
          <w:szCs w:val="28"/>
        </w:rPr>
        <w:t>。</w:t>
      </w:r>
    </w:p>
    <w:bookmarkEnd w:id="21"/>
    <w:p w14:paraId="6F46FEE9" w14:textId="77777777" w:rsidR="0097331E" w:rsidRDefault="0097331E" w:rsidP="00A858C7">
      <w:pPr>
        <w:overflowPunct w:val="0"/>
        <w:spacing w:beforeLines="20" w:before="72" w:line="460" w:lineRule="exact"/>
        <w:ind w:firstLineChars="200" w:firstLine="480"/>
        <w:jc w:val="both"/>
        <w:rPr>
          <w:rFonts w:ascii="標楷體" w:eastAsia="標楷體" w:hAnsi="標楷體"/>
          <w:bCs/>
          <w:szCs w:val="24"/>
        </w:rPr>
      </w:pPr>
      <w:r w:rsidRPr="00783CA4">
        <w:rPr>
          <w:rFonts w:ascii="標楷體" w:eastAsia="標楷體" w:hAnsi="標楷體" w:hint="eastAsia"/>
          <w:color w:val="000000" w:themeColor="text1"/>
          <w:szCs w:val="24"/>
        </w:rPr>
        <w:t>殯葬管理處（下稱殯葬處</w:t>
      </w:r>
      <w:r w:rsidRPr="00783CA4">
        <w:rPr>
          <w:rFonts w:ascii="標楷體" w:eastAsia="標楷體" w:hAnsi="標楷體"/>
          <w:color w:val="000000" w:themeColor="text1"/>
          <w:szCs w:val="24"/>
        </w:rPr>
        <w:t>）</w:t>
      </w:r>
      <w:r w:rsidRPr="008F231B">
        <w:rPr>
          <w:rFonts w:ascii="標楷體" w:eastAsia="標楷體" w:hAnsi="標楷體" w:hint="eastAsia"/>
          <w:color w:val="000000" w:themeColor="text1"/>
          <w:szCs w:val="24"/>
        </w:rPr>
        <w:t>所管轄內公立靈骨樓（塔</w:t>
      </w:r>
      <w:r w:rsidRPr="008F231B">
        <w:rPr>
          <w:rFonts w:ascii="標楷體" w:eastAsia="標楷體" w:hAnsi="標楷體"/>
          <w:color w:val="000000" w:themeColor="text1"/>
          <w:szCs w:val="24"/>
        </w:rPr>
        <w:t>）</w:t>
      </w:r>
      <w:r w:rsidRPr="008F231B">
        <w:rPr>
          <w:rFonts w:ascii="標楷體" w:eastAsia="標楷體" w:hAnsi="標楷體" w:hint="eastAsia"/>
          <w:color w:val="000000" w:themeColor="text1"/>
          <w:szCs w:val="24"/>
        </w:rPr>
        <w:t>，計有陽明山靈骨塔、</w:t>
      </w:r>
      <w:r>
        <w:rPr>
          <w:rFonts w:ascii="標楷體" w:eastAsia="標楷體" w:hAnsi="標楷體" w:hint="eastAsia"/>
          <w:color w:val="000000" w:themeColor="text1"/>
          <w:szCs w:val="24"/>
        </w:rPr>
        <w:t>陽明山</w:t>
      </w:r>
      <w:proofErr w:type="gramStart"/>
      <w:r w:rsidRPr="008F231B">
        <w:rPr>
          <w:rFonts w:ascii="標楷體" w:eastAsia="標楷體" w:hAnsi="標楷體" w:hint="eastAsia"/>
          <w:color w:val="000000" w:themeColor="text1"/>
          <w:szCs w:val="24"/>
        </w:rPr>
        <w:t>臻</w:t>
      </w:r>
      <w:proofErr w:type="gramEnd"/>
      <w:r w:rsidRPr="008F231B">
        <w:rPr>
          <w:rFonts w:ascii="標楷體" w:eastAsia="標楷體" w:hAnsi="標楷體" w:hint="eastAsia"/>
          <w:color w:val="000000" w:themeColor="text1"/>
          <w:szCs w:val="24"/>
        </w:rPr>
        <w:t>愛樓及富德靈骨樓等3處。殯葬處考量市民對公立納骨設施之使用需求，並改善治喪環境，於</w:t>
      </w:r>
      <w:proofErr w:type="gramStart"/>
      <w:r w:rsidRPr="008F231B">
        <w:rPr>
          <w:rFonts w:ascii="標楷體" w:eastAsia="標楷體" w:hAnsi="標楷體" w:hint="eastAsia"/>
          <w:color w:val="000000" w:themeColor="text1"/>
          <w:szCs w:val="24"/>
        </w:rPr>
        <w:t>113</w:t>
      </w:r>
      <w:proofErr w:type="gramEnd"/>
      <w:r w:rsidRPr="008F231B">
        <w:rPr>
          <w:rFonts w:ascii="標楷體" w:eastAsia="標楷體" w:hAnsi="標楷體" w:hint="eastAsia"/>
          <w:color w:val="000000" w:themeColor="text1"/>
          <w:szCs w:val="24"/>
        </w:rPr>
        <w:t>年度編列預算1億344萬餘元，辦理富德納骨設施擴建、陽明山</w:t>
      </w:r>
      <w:proofErr w:type="gramStart"/>
      <w:r w:rsidRPr="008F231B">
        <w:rPr>
          <w:rFonts w:ascii="標楷體" w:eastAsia="標楷體" w:hAnsi="標楷體" w:hint="eastAsia"/>
          <w:color w:val="000000" w:themeColor="text1"/>
          <w:szCs w:val="24"/>
        </w:rPr>
        <w:t>臻愛樓貯骨櫃增</w:t>
      </w:r>
      <w:proofErr w:type="gramEnd"/>
      <w:r w:rsidRPr="008F231B">
        <w:rPr>
          <w:rFonts w:ascii="標楷體" w:eastAsia="標楷體" w:hAnsi="標楷體" w:hint="eastAsia"/>
          <w:color w:val="000000" w:themeColor="text1"/>
          <w:szCs w:val="24"/>
        </w:rPr>
        <w:t>設、富德靈骨樓</w:t>
      </w:r>
      <w:proofErr w:type="gramStart"/>
      <w:r w:rsidRPr="008F231B">
        <w:rPr>
          <w:rFonts w:ascii="標楷體" w:eastAsia="標楷體" w:hAnsi="標楷體" w:hint="eastAsia"/>
          <w:color w:val="000000" w:themeColor="text1"/>
          <w:szCs w:val="24"/>
        </w:rPr>
        <w:t>貯骨櫃汰</w:t>
      </w:r>
      <w:proofErr w:type="gramEnd"/>
      <w:r w:rsidRPr="008F231B">
        <w:rPr>
          <w:rFonts w:ascii="標楷體" w:eastAsia="標楷體" w:hAnsi="標楷體" w:hint="eastAsia"/>
          <w:color w:val="000000" w:themeColor="text1"/>
          <w:szCs w:val="24"/>
        </w:rPr>
        <w:t>換等工程，及續辦</w:t>
      </w:r>
      <w:proofErr w:type="gramStart"/>
      <w:r w:rsidRPr="008F231B">
        <w:rPr>
          <w:rFonts w:ascii="標楷體" w:eastAsia="標楷體" w:hAnsi="標楷體" w:hint="eastAsia"/>
          <w:color w:val="000000" w:themeColor="text1"/>
          <w:szCs w:val="24"/>
        </w:rPr>
        <w:t>貯骨櫃</w:t>
      </w:r>
      <w:proofErr w:type="gramEnd"/>
      <w:r w:rsidRPr="008F231B">
        <w:rPr>
          <w:rFonts w:ascii="標楷體" w:eastAsia="標楷體" w:hAnsi="標楷體" w:hint="eastAsia"/>
          <w:color w:val="000000" w:themeColor="text1"/>
          <w:szCs w:val="24"/>
        </w:rPr>
        <w:t>維修等事宜；另為服務治喪民眾，殯葬</w:t>
      </w:r>
      <w:r>
        <w:rPr>
          <w:rFonts w:ascii="標楷體" w:eastAsia="標楷體" w:hAnsi="標楷體" w:hint="eastAsia"/>
          <w:color w:val="000000" w:themeColor="text1"/>
          <w:szCs w:val="24"/>
        </w:rPr>
        <w:t>處</w:t>
      </w:r>
      <w:r w:rsidRPr="008F231B">
        <w:rPr>
          <w:rFonts w:ascii="標楷體" w:eastAsia="標楷體" w:hAnsi="標楷體" w:hint="eastAsia"/>
          <w:color w:val="000000" w:themeColor="text1"/>
          <w:szCs w:val="24"/>
        </w:rPr>
        <w:t>訂定臺北市市立殯葬設施使用管理辦法</w:t>
      </w:r>
      <w:r>
        <w:rPr>
          <w:rFonts w:ascii="標楷體" w:eastAsia="標楷體" w:hAnsi="標楷體" w:hint="eastAsia"/>
          <w:color w:val="000000" w:themeColor="text1"/>
          <w:szCs w:val="24"/>
        </w:rPr>
        <w:t>等規定</w:t>
      </w:r>
      <w:r w:rsidRPr="008F231B">
        <w:rPr>
          <w:rFonts w:ascii="標楷體" w:eastAsia="標楷體" w:hAnsi="標楷體" w:hint="eastAsia"/>
          <w:color w:val="000000" w:themeColor="text1"/>
          <w:szCs w:val="24"/>
        </w:rPr>
        <w:t>，以維護市立殯葬設施使用安全與秩序。</w:t>
      </w:r>
      <w:r w:rsidRPr="008F231B">
        <w:rPr>
          <w:rFonts w:ascii="標楷體" w:eastAsia="標楷體" w:hAnsi="標楷體" w:hint="eastAsia"/>
          <w:bCs/>
          <w:szCs w:val="24"/>
        </w:rPr>
        <w:t>截至113年</w:t>
      </w:r>
      <w:r>
        <w:rPr>
          <w:rFonts w:ascii="標楷體" w:eastAsia="標楷體" w:hAnsi="標楷體"/>
          <w:bCs/>
          <w:szCs w:val="24"/>
        </w:rPr>
        <w:t>12</w:t>
      </w:r>
      <w:r w:rsidRPr="008F231B">
        <w:rPr>
          <w:rFonts w:ascii="標楷體" w:eastAsia="標楷體" w:hAnsi="標楷體" w:hint="eastAsia"/>
          <w:bCs/>
          <w:szCs w:val="24"/>
        </w:rPr>
        <w:t>月底止，前開3處靈骨樓（塔）分別設置11萬餘</w:t>
      </w:r>
      <w:proofErr w:type="gramStart"/>
      <w:r w:rsidRPr="008F231B">
        <w:rPr>
          <w:rFonts w:ascii="標楷體" w:eastAsia="標楷體" w:hAnsi="標楷體" w:hint="eastAsia"/>
          <w:bCs/>
          <w:szCs w:val="24"/>
        </w:rPr>
        <w:t>個</w:t>
      </w:r>
      <w:proofErr w:type="gramEnd"/>
      <w:r w:rsidRPr="008F231B">
        <w:rPr>
          <w:rFonts w:ascii="標楷體" w:eastAsia="標楷體" w:hAnsi="標楷體" w:hint="eastAsia"/>
          <w:bCs/>
          <w:szCs w:val="24"/>
        </w:rPr>
        <w:t>、5萬餘</w:t>
      </w:r>
      <w:proofErr w:type="gramStart"/>
      <w:r w:rsidRPr="008F231B">
        <w:rPr>
          <w:rFonts w:ascii="標楷體" w:eastAsia="標楷體" w:hAnsi="標楷體" w:hint="eastAsia"/>
          <w:bCs/>
          <w:szCs w:val="24"/>
        </w:rPr>
        <w:t>個</w:t>
      </w:r>
      <w:proofErr w:type="gramEnd"/>
      <w:r w:rsidRPr="008F231B">
        <w:rPr>
          <w:rFonts w:ascii="標楷體" w:eastAsia="標楷體" w:hAnsi="標楷體" w:hint="eastAsia"/>
          <w:bCs/>
          <w:szCs w:val="24"/>
        </w:rPr>
        <w:t>及3萬餘</w:t>
      </w:r>
      <w:proofErr w:type="gramStart"/>
      <w:r w:rsidRPr="008F231B">
        <w:rPr>
          <w:rFonts w:ascii="標楷體" w:eastAsia="標楷體" w:hAnsi="標楷體" w:hint="eastAsia"/>
          <w:bCs/>
          <w:szCs w:val="24"/>
        </w:rPr>
        <w:t>個貯骨櫃</w:t>
      </w:r>
      <w:proofErr w:type="gramEnd"/>
      <w:r w:rsidRPr="008F231B">
        <w:rPr>
          <w:rFonts w:ascii="標楷體" w:eastAsia="標楷體" w:hAnsi="標楷體" w:hint="eastAsia"/>
          <w:bCs/>
          <w:szCs w:val="24"/>
        </w:rPr>
        <w:t>位，其中陽明山靈骨塔及富德靈骨樓皆已全數使用，陽明山</w:t>
      </w:r>
      <w:proofErr w:type="gramStart"/>
      <w:r w:rsidRPr="008F231B">
        <w:rPr>
          <w:rFonts w:ascii="標楷體" w:eastAsia="標楷體" w:hAnsi="標楷體" w:hint="eastAsia"/>
          <w:bCs/>
          <w:szCs w:val="24"/>
        </w:rPr>
        <w:t>臻愛樓</w:t>
      </w:r>
      <w:proofErr w:type="gramEnd"/>
      <w:r>
        <w:rPr>
          <w:rFonts w:ascii="標楷體" w:eastAsia="標楷體" w:hAnsi="標楷體" w:hint="eastAsia"/>
          <w:bCs/>
          <w:szCs w:val="24"/>
        </w:rPr>
        <w:t>已</w:t>
      </w:r>
      <w:r w:rsidRPr="008F231B">
        <w:rPr>
          <w:rFonts w:ascii="標楷體" w:eastAsia="標楷體" w:hAnsi="標楷體" w:hint="eastAsia"/>
          <w:bCs/>
          <w:szCs w:val="24"/>
        </w:rPr>
        <w:t>使用4萬餘</w:t>
      </w:r>
      <w:proofErr w:type="gramStart"/>
      <w:r w:rsidRPr="008F231B">
        <w:rPr>
          <w:rFonts w:ascii="標楷體" w:eastAsia="標楷體" w:hAnsi="標楷體" w:hint="eastAsia"/>
          <w:bCs/>
          <w:szCs w:val="24"/>
        </w:rPr>
        <w:t>個貯骨櫃</w:t>
      </w:r>
      <w:proofErr w:type="gramEnd"/>
      <w:r w:rsidRPr="008F231B">
        <w:rPr>
          <w:rFonts w:ascii="標楷體" w:eastAsia="標楷體" w:hAnsi="標楷體" w:hint="eastAsia"/>
          <w:bCs/>
          <w:szCs w:val="24"/>
        </w:rPr>
        <w:t>位，使用率約</w:t>
      </w:r>
      <w:r>
        <w:rPr>
          <w:rFonts w:ascii="標楷體" w:eastAsia="標楷體" w:hAnsi="標楷體"/>
          <w:bCs/>
          <w:szCs w:val="24"/>
        </w:rPr>
        <w:t>75</w:t>
      </w:r>
      <w:r w:rsidRPr="008F231B">
        <w:rPr>
          <w:rFonts w:ascii="標楷體" w:eastAsia="標楷體" w:hAnsi="標楷體" w:hint="eastAsia"/>
          <w:bCs/>
          <w:szCs w:val="24"/>
        </w:rPr>
        <w:t>.</w:t>
      </w:r>
      <w:r>
        <w:rPr>
          <w:rFonts w:ascii="標楷體" w:eastAsia="標楷體" w:hAnsi="標楷體"/>
          <w:bCs/>
          <w:szCs w:val="24"/>
        </w:rPr>
        <w:t>68</w:t>
      </w:r>
      <w:r w:rsidRPr="008F231B">
        <w:rPr>
          <w:rFonts w:ascii="標楷體" w:eastAsia="標楷體" w:hAnsi="標楷體" w:hint="eastAsia"/>
          <w:bCs/>
          <w:szCs w:val="24"/>
        </w:rPr>
        <w:t>％。經查臺北市公立靈骨樓（塔）管理使用情形，核有：（1</w:t>
      </w:r>
      <w:r w:rsidRPr="008F231B">
        <w:rPr>
          <w:rFonts w:ascii="標楷體" w:eastAsia="標楷體" w:hAnsi="標楷體"/>
          <w:bCs/>
          <w:szCs w:val="24"/>
        </w:rPr>
        <w:t>）</w:t>
      </w:r>
      <w:r w:rsidRPr="008F231B">
        <w:rPr>
          <w:rFonts w:ascii="標楷體" w:eastAsia="標楷體" w:hAnsi="標楷體" w:hint="eastAsia"/>
          <w:bCs/>
          <w:szCs w:val="24"/>
        </w:rPr>
        <w:t>依臺北市市立殯葬設施使用管理辦法第27條，</w:t>
      </w:r>
      <w:r>
        <w:rPr>
          <w:rFonts w:ascii="標楷體" w:eastAsia="標楷體" w:hAnsi="標楷體" w:hint="eastAsia"/>
          <w:bCs/>
          <w:szCs w:val="24"/>
        </w:rPr>
        <w:t>暨</w:t>
      </w:r>
      <w:r w:rsidRPr="008F231B">
        <w:rPr>
          <w:rFonts w:ascii="標楷體" w:eastAsia="標楷體" w:hAnsi="標楷體" w:hint="eastAsia"/>
          <w:bCs/>
          <w:szCs w:val="24"/>
        </w:rPr>
        <w:t>殯葬處所屬骨灰（</w:t>
      </w:r>
      <w:proofErr w:type="gramStart"/>
      <w:r w:rsidRPr="008F231B">
        <w:rPr>
          <w:rFonts w:ascii="標楷體" w:eastAsia="標楷體" w:hAnsi="標楷體" w:hint="eastAsia"/>
          <w:bCs/>
          <w:szCs w:val="24"/>
        </w:rPr>
        <w:t>骸</w:t>
      </w:r>
      <w:proofErr w:type="gramEnd"/>
      <w:r w:rsidRPr="008F231B">
        <w:rPr>
          <w:rFonts w:ascii="標楷體" w:eastAsia="標楷體" w:hAnsi="標楷體" w:hint="eastAsia"/>
          <w:bCs/>
          <w:szCs w:val="24"/>
        </w:rPr>
        <w:t>）存放設施之神主牌位使用規定及注意事項第3項等規定略</w:t>
      </w:r>
      <w:proofErr w:type="gramStart"/>
      <w:r w:rsidRPr="008F231B">
        <w:rPr>
          <w:rFonts w:ascii="標楷體" w:eastAsia="標楷體" w:hAnsi="標楷體" w:hint="eastAsia"/>
          <w:bCs/>
          <w:szCs w:val="24"/>
        </w:rPr>
        <w:t>以</w:t>
      </w:r>
      <w:proofErr w:type="gramEnd"/>
      <w:r w:rsidRPr="008F231B">
        <w:rPr>
          <w:rFonts w:ascii="標楷體" w:eastAsia="標楷體" w:hAnsi="標楷體" w:hint="eastAsia"/>
          <w:bCs/>
          <w:szCs w:val="24"/>
        </w:rPr>
        <w:t>，申請人應於繳納使用費後3個月內存放</w:t>
      </w:r>
      <w:r>
        <w:rPr>
          <w:rFonts w:ascii="標楷體" w:eastAsia="標楷體" w:hAnsi="標楷體" w:hint="eastAsia"/>
          <w:bCs/>
          <w:szCs w:val="24"/>
        </w:rPr>
        <w:t>骨灰</w:t>
      </w:r>
      <w:r w:rsidRPr="008F231B">
        <w:rPr>
          <w:rFonts w:ascii="標楷體" w:eastAsia="標楷體" w:hAnsi="標楷體" w:hint="eastAsia"/>
          <w:bCs/>
          <w:szCs w:val="24"/>
        </w:rPr>
        <w:t>（</w:t>
      </w:r>
      <w:proofErr w:type="gramStart"/>
      <w:r w:rsidRPr="008F231B">
        <w:rPr>
          <w:rFonts w:ascii="標楷體" w:eastAsia="標楷體" w:hAnsi="標楷體" w:hint="eastAsia"/>
          <w:bCs/>
          <w:szCs w:val="24"/>
        </w:rPr>
        <w:t>骸</w:t>
      </w:r>
      <w:proofErr w:type="gramEnd"/>
      <w:r w:rsidRPr="008F231B">
        <w:rPr>
          <w:rFonts w:ascii="標楷體" w:eastAsia="標楷體" w:hAnsi="標楷體" w:hint="eastAsia"/>
          <w:bCs/>
          <w:szCs w:val="24"/>
        </w:rPr>
        <w:t>）</w:t>
      </w:r>
      <w:r>
        <w:rPr>
          <w:rFonts w:ascii="標楷體" w:eastAsia="標楷體" w:hAnsi="標楷體" w:hint="eastAsia"/>
          <w:bCs/>
          <w:szCs w:val="24"/>
        </w:rPr>
        <w:t>或寄存神主牌</w:t>
      </w:r>
      <w:r w:rsidRPr="008F231B">
        <w:rPr>
          <w:rFonts w:ascii="標楷體" w:eastAsia="標楷體" w:hAnsi="標楷體" w:hint="eastAsia"/>
          <w:bCs/>
          <w:szCs w:val="24"/>
        </w:rPr>
        <w:t>，逾期未存放者，殯葬處得廢止其許可處分。</w:t>
      </w:r>
      <w:r>
        <w:rPr>
          <w:rFonts w:ascii="標楷體" w:eastAsia="標楷體" w:hAnsi="標楷體" w:hint="eastAsia"/>
          <w:bCs/>
          <w:szCs w:val="24"/>
        </w:rPr>
        <w:t>經查</w:t>
      </w:r>
      <w:r w:rsidRPr="008F231B">
        <w:rPr>
          <w:rFonts w:ascii="標楷體" w:eastAsia="標楷體" w:hAnsi="標楷體" w:hint="eastAsia"/>
          <w:bCs/>
          <w:szCs w:val="24"/>
        </w:rPr>
        <w:t>截至113年11月14日止，已繳納陽明山</w:t>
      </w:r>
      <w:proofErr w:type="gramStart"/>
      <w:r w:rsidRPr="008F231B">
        <w:rPr>
          <w:rFonts w:ascii="標楷體" w:eastAsia="標楷體" w:hAnsi="標楷體" w:hint="eastAsia"/>
          <w:bCs/>
          <w:szCs w:val="24"/>
        </w:rPr>
        <w:t>臻愛樓</w:t>
      </w:r>
      <w:proofErr w:type="gramEnd"/>
      <w:r w:rsidRPr="008F231B">
        <w:rPr>
          <w:rFonts w:ascii="標楷體" w:eastAsia="標楷體" w:hAnsi="標楷體" w:hint="eastAsia"/>
          <w:bCs/>
          <w:szCs w:val="24"/>
        </w:rPr>
        <w:t>使用費逾3個月仍未存放骨灰</w:t>
      </w:r>
      <w:proofErr w:type="gramStart"/>
      <w:r w:rsidRPr="008F231B">
        <w:rPr>
          <w:rFonts w:ascii="標楷體" w:eastAsia="標楷體" w:hAnsi="標楷體" w:hint="eastAsia"/>
          <w:bCs/>
          <w:szCs w:val="24"/>
        </w:rPr>
        <w:t>罈</w:t>
      </w:r>
      <w:proofErr w:type="gramEnd"/>
      <w:r w:rsidRPr="008F231B">
        <w:rPr>
          <w:rFonts w:ascii="標楷體" w:eastAsia="標楷體" w:hAnsi="標楷體" w:hint="eastAsia"/>
          <w:bCs/>
          <w:szCs w:val="24"/>
        </w:rPr>
        <w:t>及寄存神</w:t>
      </w:r>
      <w:proofErr w:type="gramStart"/>
      <w:r w:rsidRPr="008F231B">
        <w:rPr>
          <w:rFonts w:ascii="標楷體" w:eastAsia="標楷體" w:hAnsi="標楷體" w:hint="eastAsia"/>
          <w:bCs/>
          <w:szCs w:val="24"/>
        </w:rPr>
        <w:t>主牌者</w:t>
      </w:r>
      <w:proofErr w:type="gramEnd"/>
      <w:r w:rsidRPr="008F231B">
        <w:rPr>
          <w:rFonts w:ascii="標楷體" w:eastAsia="標楷體" w:hAnsi="標楷體" w:hint="eastAsia"/>
          <w:bCs/>
          <w:szCs w:val="24"/>
        </w:rPr>
        <w:t>，計有4案，惟</w:t>
      </w:r>
      <w:proofErr w:type="gramStart"/>
      <w:r w:rsidRPr="008F231B">
        <w:rPr>
          <w:rFonts w:ascii="標楷體" w:eastAsia="標楷體" w:hAnsi="標楷體" w:hint="eastAsia"/>
          <w:bCs/>
          <w:szCs w:val="24"/>
        </w:rPr>
        <w:t>殯葬處迄未</w:t>
      </w:r>
      <w:proofErr w:type="gramEnd"/>
      <w:r w:rsidRPr="008F231B">
        <w:rPr>
          <w:rFonts w:ascii="標楷體" w:eastAsia="標楷體" w:hAnsi="標楷體" w:hint="eastAsia"/>
          <w:bCs/>
          <w:szCs w:val="24"/>
        </w:rPr>
        <w:t>依規定廢止許可，並通知原申請人辦理退費作業；（2</w:t>
      </w:r>
      <w:r w:rsidRPr="008F231B">
        <w:rPr>
          <w:rFonts w:ascii="標楷體" w:eastAsia="標楷體" w:hAnsi="標楷體"/>
          <w:bCs/>
          <w:szCs w:val="24"/>
        </w:rPr>
        <w:t>）</w:t>
      </w:r>
      <w:r w:rsidRPr="008F231B">
        <w:rPr>
          <w:rFonts w:ascii="標楷體" w:eastAsia="標楷體" w:hAnsi="標楷體" w:hint="eastAsia"/>
          <w:bCs/>
          <w:szCs w:val="24"/>
        </w:rPr>
        <w:t>殯葬處於105年4月修訂臺北市市立殯葬設施使用管理辦法第24條</w:t>
      </w:r>
      <w:r>
        <w:rPr>
          <w:rFonts w:ascii="標楷體" w:eastAsia="標楷體" w:hAnsi="標楷體" w:hint="eastAsia"/>
          <w:bCs/>
          <w:szCs w:val="24"/>
        </w:rPr>
        <w:t>規定</w:t>
      </w:r>
      <w:r w:rsidRPr="008F231B">
        <w:rPr>
          <w:rFonts w:ascii="標楷體" w:eastAsia="標楷體" w:hAnsi="標楷體" w:hint="eastAsia"/>
          <w:bCs/>
          <w:szCs w:val="24"/>
        </w:rPr>
        <w:t>，開放陽明山</w:t>
      </w:r>
      <w:proofErr w:type="gramStart"/>
      <w:r w:rsidRPr="008F231B">
        <w:rPr>
          <w:rFonts w:ascii="標楷體" w:eastAsia="標楷體" w:hAnsi="標楷體" w:hint="eastAsia"/>
          <w:bCs/>
          <w:szCs w:val="24"/>
        </w:rPr>
        <w:t>臻愛樓</w:t>
      </w:r>
      <w:proofErr w:type="gramEnd"/>
      <w:r w:rsidRPr="008F231B">
        <w:rPr>
          <w:rFonts w:ascii="標楷體" w:eastAsia="標楷體" w:hAnsi="標楷體" w:hint="eastAsia"/>
          <w:bCs/>
          <w:szCs w:val="24"/>
        </w:rPr>
        <w:t>推動</w:t>
      </w:r>
      <w:proofErr w:type="gramStart"/>
      <w:r w:rsidRPr="008F231B">
        <w:rPr>
          <w:rFonts w:ascii="標楷體" w:eastAsia="標楷體" w:hAnsi="標楷體" w:hint="eastAsia"/>
          <w:bCs/>
          <w:szCs w:val="24"/>
        </w:rPr>
        <w:t>一櫃多罐</w:t>
      </w:r>
      <w:proofErr w:type="gramEnd"/>
      <w:r w:rsidRPr="008F231B">
        <w:rPr>
          <w:rFonts w:ascii="標楷體" w:eastAsia="標楷體" w:hAnsi="標楷體" w:hint="eastAsia"/>
          <w:bCs/>
          <w:szCs w:val="24"/>
        </w:rPr>
        <w:t>措施</w:t>
      </w:r>
      <w:r>
        <w:rPr>
          <w:rFonts w:ascii="標楷體" w:eastAsia="標楷體" w:hAnsi="標楷體" w:hint="eastAsia"/>
          <w:bCs/>
          <w:szCs w:val="24"/>
        </w:rPr>
        <w:t>，以具配偶或三親等之親屬關係為限，</w:t>
      </w:r>
      <w:proofErr w:type="gramStart"/>
      <w:r w:rsidRPr="008F231B">
        <w:rPr>
          <w:rFonts w:ascii="標楷體" w:eastAsia="標楷體" w:hAnsi="標楷體" w:hint="eastAsia"/>
          <w:bCs/>
          <w:szCs w:val="24"/>
        </w:rPr>
        <w:t>嗣</w:t>
      </w:r>
      <w:proofErr w:type="gramEnd"/>
      <w:r>
        <w:rPr>
          <w:rFonts w:ascii="標楷體" w:eastAsia="標楷體" w:hAnsi="標楷體" w:hint="eastAsia"/>
          <w:bCs/>
          <w:szCs w:val="24"/>
        </w:rPr>
        <w:t>為</w:t>
      </w:r>
      <w:r w:rsidRPr="008F231B">
        <w:rPr>
          <w:rFonts w:ascii="標楷體" w:eastAsia="標楷體" w:hAnsi="標楷體" w:hint="eastAsia"/>
          <w:bCs/>
          <w:szCs w:val="24"/>
        </w:rPr>
        <w:t>應民眾需求，放寬同一櫃位</w:t>
      </w:r>
      <w:proofErr w:type="gramStart"/>
      <w:r>
        <w:rPr>
          <w:rFonts w:ascii="標楷體" w:eastAsia="標楷體" w:hAnsi="標楷體" w:hint="eastAsia"/>
          <w:bCs/>
          <w:szCs w:val="24"/>
        </w:rPr>
        <w:t>不限親等</w:t>
      </w:r>
      <w:proofErr w:type="gramEnd"/>
      <w:r>
        <w:rPr>
          <w:rFonts w:ascii="標楷體" w:eastAsia="標楷體" w:hAnsi="標楷體" w:hint="eastAsia"/>
          <w:bCs/>
          <w:szCs w:val="24"/>
        </w:rPr>
        <w:t>或不限有親屬</w:t>
      </w:r>
      <w:proofErr w:type="gramStart"/>
      <w:r>
        <w:rPr>
          <w:rFonts w:ascii="標楷體" w:eastAsia="標楷體" w:hAnsi="標楷體" w:hint="eastAsia"/>
          <w:bCs/>
          <w:szCs w:val="24"/>
        </w:rPr>
        <w:t>關係均能存放</w:t>
      </w:r>
      <w:proofErr w:type="gramEnd"/>
      <w:r w:rsidRPr="008F231B">
        <w:rPr>
          <w:rFonts w:ascii="標楷體" w:eastAsia="標楷體" w:hAnsi="標楷體" w:hint="eastAsia"/>
          <w:bCs/>
          <w:szCs w:val="24"/>
        </w:rPr>
        <w:t>，並於113年1月公告民眾知悉，惟截至113年11月14日止，已歷時9個月，</w:t>
      </w:r>
      <w:r>
        <w:rPr>
          <w:rFonts w:ascii="標楷體" w:eastAsia="標楷體" w:hAnsi="標楷體" w:hint="eastAsia"/>
          <w:bCs/>
          <w:szCs w:val="24"/>
        </w:rPr>
        <w:t>上開使用管理辦法有關應具親屬關係之</w:t>
      </w:r>
      <w:r w:rsidRPr="008F231B">
        <w:rPr>
          <w:rFonts w:ascii="標楷體" w:eastAsia="標楷體" w:hAnsi="標楷體" w:hint="eastAsia"/>
          <w:bCs/>
          <w:szCs w:val="24"/>
        </w:rPr>
        <w:t>規定尚未隨實際作業情形檢討修正等情事，經函請檢討改</w:t>
      </w:r>
      <w:r>
        <w:rPr>
          <w:rFonts w:ascii="標楷體" w:eastAsia="標楷體" w:hAnsi="標楷體" w:hint="eastAsia"/>
          <w:bCs/>
          <w:szCs w:val="24"/>
        </w:rPr>
        <w:t>善</w:t>
      </w:r>
      <w:r w:rsidRPr="008F231B">
        <w:rPr>
          <w:rFonts w:ascii="標楷體" w:eastAsia="標楷體" w:hAnsi="標楷體" w:hint="eastAsia"/>
          <w:bCs/>
          <w:szCs w:val="24"/>
        </w:rPr>
        <w:t>。據復：（1</w:t>
      </w:r>
      <w:r w:rsidRPr="008F231B">
        <w:rPr>
          <w:rFonts w:ascii="標楷體" w:eastAsia="標楷體" w:hAnsi="標楷體"/>
          <w:bCs/>
          <w:szCs w:val="24"/>
        </w:rPr>
        <w:t>）</w:t>
      </w:r>
      <w:r>
        <w:rPr>
          <w:rFonts w:ascii="標楷體" w:eastAsia="標楷體" w:hAnsi="標楷體" w:hint="eastAsia"/>
          <w:bCs/>
          <w:szCs w:val="24"/>
        </w:rPr>
        <w:t>經依規定處理結果，</w:t>
      </w:r>
      <w:r w:rsidRPr="008F231B">
        <w:rPr>
          <w:rFonts w:ascii="標楷體" w:eastAsia="標楷體" w:hAnsi="標楷體" w:hint="eastAsia"/>
          <w:bCs/>
          <w:szCs w:val="24"/>
        </w:rPr>
        <w:t>1案已</w:t>
      </w:r>
      <w:proofErr w:type="gramStart"/>
      <w:r w:rsidRPr="008F231B">
        <w:rPr>
          <w:rFonts w:ascii="標楷體" w:eastAsia="標楷體" w:hAnsi="標楷體" w:hint="eastAsia"/>
          <w:bCs/>
          <w:szCs w:val="24"/>
        </w:rPr>
        <w:t>安奉入塔</w:t>
      </w:r>
      <w:proofErr w:type="gramEnd"/>
      <w:r>
        <w:rPr>
          <w:rFonts w:ascii="標楷體" w:eastAsia="標楷體" w:hAnsi="標楷體" w:hint="eastAsia"/>
          <w:bCs/>
          <w:szCs w:val="24"/>
        </w:rPr>
        <w:t>，</w:t>
      </w:r>
      <w:r w:rsidRPr="008F231B">
        <w:rPr>
          <w:rFonts w:ascii="標楷體" w:eastAsia="標楷體" w:hAnsi="標楷體" w:hint="eastAsia"/>
          <w:bCs/>
          <w:szCs w:val="24"/>
        </w:rPr>
        <w:t>2案已辦理退費</w:t>
      </w:r>
      <w:r>
        <w:rPr>
          <w:rFonts w:ascii="標楷體" w:eastAsia="標楷體" w:hAnsi="標楷體" w:hint="eastAsia"/>
          <w:bCs/>
          <w:szCs w:val="24"/>
        </w:rPr>
        <w:t>，另</w:t>
      </w:r>
      <w:r w:rsidRPr="008F231B">
        <w:rPr>
          <w:rFonts w:ascii="標楷體" w:eastAsia="標楷體" w:hAnsi="標楷體" w:hint="eastAsia"/>
          <w:bCs/>
          <w:szCs w:val="24"/>
        </w:rPr>
        <w:t>1案</w:t>
      </w:r>
      <w:r>
        <w:rPr>
          <w:rFonts w:ascii="標楷體" w:eastAsia="標楷體" w:hAnsi="標楷體" w:hint="eastAsia"/>
          <w:bCs/>
          <w:szCs w:val="24"/>
        </w:rPr>
        <w:t>因未能聯繫到家屬，</w:t>
      </w:r>
      <w:r w:rsidRPr="008F231B">
        <w:rPr>
          <w:rFonts w:ascii="標楷體" w:eastAsia="標楷體" w:hAnsi="標楷體" w:hint="eastAsia"/>
          <w:bCs/>
          <w:szCs w:val="24"/>
        </w:rPr>
        <w:t>已將</w:t>
      </w:r>
      <w:r>
        <w:rPr>
          <w:rFonts w:ascii="標楷體" w:eastAsia="標楷體" w:hAnsi="標楷體" w:hint="eastAsia"/>
          <w:bCs/>
          <w:szCs w:val="24"/>
        </w:rPr>
        <w:t>所</w:t>
      </w:r>
      <w:r w:rsidRPr="008F231B">
        <w:rPr>
          <w:rFonts w:ascii="標楷體" w:eastAsia="標楷體" w:hAnsi="標楷體" w:hint="eastAsia"/>
          <w:bCs/>
          <w:szCs w:val="24"/>
        </w:rPr>
        <w:t>繳納</w:t>
      </w:r>
      <w:r>
        <w:rPr>
          <w:rFonts w:ascii="標楷體" w:eastAsia="標楷體" w:hAnsi="標楷體" w:hint="eastAsia"/>
          <w:bCs/>
          <w:szCs w:val="24"/>
        </w:rPr>
        <w:t>之</w:t>
      </w:r>
      <w:r w:rsidRPr="008F231B">
        <w:rPr>
          <w:rFonts w:ascii="標楷體" w:eastAsia="標楷體" w:hAnsi="標楷體" w:hint="eastAsia"/>
          <w:bCs/>
          <w:szCs w:val="24"/>
        </w:rPr>
        <w:t>規費提存至臺灣</w:t>
      </w:r>
      <w:proofErr w:type="gramStart"/>
      <w:r w:rsidRPr="008F231B">
        <w:rPr>
          <w:rFonts w:ascii="標楷體" w:eastAsia="標楷體" w:hAnsi="標楷體" w:hint="eastAsia"/>
          <w:bCs/>
          <w:szCs w:val="24"/>
        </w:rPr>
        <w:t>臺</w:t>
      </w:r>
      <w:proofErr w:type="gramEnd"/>
      <w:r w:rsidRPr="008F231B">
        <w:rPr>
          <w:rFonts w:ascii="標楷體" w:eastAsia="標楷體" w:hAnsi="標楷體" w:hint="eastAsia"/>
          <w:bCs/>
          <w:szCs w:val="24"/>
        </w:rPr>
        <w:t>北地方法院；（2</w:t>
      </w:r>
      <w:r w:rsidRPr="008F231B">
        <w:rPr>
          <w:rFonts w:ascii="標楷體" w:eastAsia="標楷體" w:hAnsi="標楷體"/>
          <w:bCs/>
          <w:szCs w:val="24"/>
        </w:rPr>
        <w:t>）</w:t>
      </w:r>
      <w:r w:rsidRPr="008F231B">
        <w:rPr>
          <w:rFonts w:ascii="標楷體" w:eastAsia="標楷體" w:hAnsi="標楷體" w:hint="eastAsia"/>
          <w:bCs/>
          <w:szCs w:val="24"/>
        </w:rPr>
        <w:t>已辦理該辦法修正草案預告作業，預計於114年7月底函送臺北市政府法務局審核。</w:t>
      </w:r>
    </w:p>
    <w:p w14:paraId="11AE2A42" w14:textId="77777777" w:rsidR="0097331E" w:rsidRDefault="0097331E" w:rsidP="00BE30C9">
      <w:pPr>
        <w:overflowPunct w:val="0"/>
        <w:spacing w:beforeLines="50" w:before="180" w:line="500" w:lineRule="exact"/>
        <w:ind w:firstLineChars="200" w:firstLine="561"/>
        <w:jc w:val="both"/>
        <w:rPr>
          <w:rFonts w:ascii="標楷體" w:eastAsia="標楷體" w:hAnsi="標楷體"/>
          <w:b/>
          <w:bCs/>
          <w:spacing w:val="-4"/>
          <w:sz w:val="28"/>
          <w:szCs w:val="28"/>
        </w:rPr>
      </w:pPr>
      <w:r w:rsidRPr="001C4392">
        <w:rPr>
          <w:rFonts w:ascii="標楷體" w:eastAsia="標楷體" w:hAnsi="標楷體" w:hint="eastAsia"/>
          <w:b/>
          <w:bCs/>
          <w:sz w:val="28"/>
          <w:szCs w:val="28"/>
        </w:rPr>
        <w:t>3.</w:t>
      </w:r>
      <w:bookmarkStart w:id="23" w:name="_Hlk200007912"/>
      <w:bookmarkStart w:id="24" w:name="_Hlk199234773"/>
      <w:r w:rsidRPr="00AF4054">
        <w:rPr>
          <w:rFonts w:ascii="標楷體" w:eastAsia="標楷體" w:hAnsi="標楷體" w:hint="eastAsia"/>
          <w:b/>
          <w:bCs/>
          <w:sz w:val="28"/>
          <w:szCs w:val="28"/>
        </w:rPr>
        <w:t>持續辦理私立殯葬設施業者及殯葬禮儀服務業之監督管理，惟未依規定落實監督業者</w:t>
      </w:r>
      <w:proofErr w:type="gramStart"/>
      <w:r w:rsidRPr="00AF4054">
        <w:rPr>
          <w:rFonts w:ascii="標楷體" w:eastAsia="標楷體" w:hAnsi="標楷體" w:hint="eastAsia"/>
          <w:b/>
          <w:bCs/>
          <w:sz w:val="28"/>
          <w:szCs w:val="28"/>
        </w:rPr>
        <w:t>提撥</w:t>
      </w:r>
      <w:proofErr w:type="gramEnd"/>
      <w:r w:rsidRPr="00AF4054">
        <w:rPr>
          <w:rFonts w:ascii="標楷體" w:eastAsia="標楷體" w:hAnsi="標楷體" w:hint="eastAsia"/>
          <w:b/>
          <w:bCs/>
          <w:sz w:val="28"/>
          <w:szCs w:val="28"/>
        </w:rPr>
        <w:t>管理費以外之其他費用並</w:t>
      </w:r>
      <w:proofErr w:type="gramStart"/>
      <w:r w:rsidRPr="00AF4054">
        <w:rPr>
          <w:rFonts w:ascii="標楷體" w:eastAsia="標楷體" w:hAnsi="標楷體" w:hint="eastAsia"/>
          <w:b/>
          <w:bCs/>
          <w:sz w:val="28"/>
          <w:szCs w:val="28"/>
        </w:rPr>
        <w:t>繕</w:t>
      </w:r>
      <w:proofErr w:type="gramEnd"/>
      <w:r w:rsidRPr="00AF4054">
        <w:rPr>
          <w:rFonts w:ascii="標楷體" w:eastAsia="標楷體" w:hAnsi="標楷體" w:hint="eastAsia"/>
          <w:b/>
          <w:bCs/>
          <w:sz w:val="28"/>
          <w:szCs w:val="28"/>
        </w:rPr>
        <w:t>造及交付交易清冊，又部分具規定規模之殯葬禮儀服務業者，尚未設置專任禮儀師，且評鑑業者家數比率仍低，有待</w:t>
      </w:r>
      <w:proofErr w:type="gramStart"/>
      <w:r w:rsidRPr="00AF4054">
        <w:rPr>
          <w:rFonts w:ascii="標楷體" w:eastAsia="標楷體" w:hAnsi="標楷體" w:hint="eastAsia"/>
          <w:b/>
          <w:bCs/>
          <w:sz w:val="28"/>
          <w:szCs w:val="28"/>
        </w:rPr>
        <w:t>研</w:t>
      </w:r>
      <w:proofErr w:type="gramEnd"/>
      <w:r w:rsidRPr="00AF4054">
        <w:rPr>
          <w:rFonts w:ascii="標楷體" w:eastAsia="標楷體" w:hAnsi="標楷體" w:hint="eastAsia"/>
          <w:b/>
          <w:bCs/>
          <w:sz w:val="28"/>
          <w:szCs w:val="28"/>
        </w:rPr>
        <w:t>謀改善</w:t>
      </w:r>
      <w:bookmarkEnd w:id="23"/>
      <w:r w:rsidRPr="00AF4054">
        <w:rPr>
          <w:rFonts w:ascii="標楷體" w:eastAsia="標楷體" w:hAnsi="標楷體" w:hint="eastAsia"/>
          <w:b/>
          <w:bCs/>
          <w:sz w:val="28"/>
          <w:szCs w:val="28"/>
        </w:rPr>
        <w:t>。</w:t>
      </w:r>
      <w:bookmarkEnd w:id="24"/>
    </w:p>
    <w:p w14:paraId="6197D1F5" w14:textId="77777777" w:rsidR="0097331E" w:rsidRDefault="0097331E" w:rsidP="0097331E">
      <w:pPr>
        <w:overflowPunct w:val="0"/>
        <w:spacing w:line="440" w:lineRule="exact"/>
        <w:ind w:firstLineChars="200" w:firstLine="480"/>
        <w:jc w:val="both"/>
        <w:rPr>
          <w:rFonts w:ascii="標楷體" w:eastAsia="標楷體" w:hAnsi="標楷體"/>
        </w:rPr>
      </w:pPr>
      <w:r w:rsidRPr="00783CA4">
        <w:rPr>
          <w:rFonts w:ascii="標楷體" w:eastAsia="標楷體" w:hAnsi="標楷體" w:hint="eastAsia"/>
          <w:color w:val="000000" w:themeColor="text1"/>
          <w:szCs w:val="24"/>
        </w:rPr>
        <w:lastRenderedPageBreak/>
        <w:t>殯葬管理處（下稱殯葬處</w:t>
      </w:r>
      <w:r w:rsidRPr="00783CA4">
        <w:rPr>
          <w:rFonts w:ascii="標楷體" w:eastAsia="標楷體" w:hAnsi="標楷體"/>
          <w:color w:val="000000" w:themeColor="text1"/>
          <w:szCs w:val="24"/>
        </w:rPr>
        <w:t>）</w:t>
      </w:r>
      <w:r w:rsidRPr="001C4392">
        <w:rPr>
          <w:rFonts w:ascii="標楷體" w:eastAsia="標楷體" w:hAnsi="標楷體" w:hint="eastAsia"/>
        </w:rPr>
        <w:t>截至113年10月8日止，</w:t>
      </w:r>
      <w:r w:rsidRPr="00903363">
        <w:rPr>
          <w:rFonts w:ascii="標楷體" w:eastAsia="標楷體" w:hAnsi="標楷體" w:hint="eastAsia"/>
        </w:rPr>
        <w:t>列管轄內私立殯葬設施業者及殯葬禮儀服務業，</w:t>
      </w:r>
      <w:r w:rsidRPr="0022734F">
        <w:rPr>
          <w:rFonts w:ascii="標楷體" w:eastAsia="標楷體" w:hAnsi="標楷體" w:hint="eastAsia"/>
        </w:rPr>
        <w:t>分別計有2家及</w:t>
      </w:r>
      <w:r w:rsidRPr="001C4392">
        <w:rPr>
          <w:rFonts w:ascii="標楷體" w:eastAsia="標楷體" w:hAnsi="標楷體" w:hint="eastAsia"/>
        </w:rPr>
        <w:t>315家（未含停業中、廢止、解散等6家）</w:t>
      </w:r>
      <w:r>
        <w:rPr>
          <w:rFonts w:ascii="標楷體" w:eastAsia="標楷體" w:hAnsi="標楷體" w:hint="eastAsia"/>
        </w:rPr>
        <w:t>。該處</w:t>
      </w:r>
      <w:r w:rsidRPr="001C4392">
        <w:rPr>
          <w:rFonts w:ascii="標楷體" w:eastAsia="標楷體" w:hAnsi="標楷體" w:hint="eastAsia"/>
        </w:rPr>
        <w:t>為維護消費者權益，提升殯葬服務品質，</w:t>
      </w:r>
      <w:r>
        <w:rPr>
          <w:rFonts w:ascii="標楷體" w:eastAsia="標楷體" w:hAnsi="標楷體" w:hint="eastAsia"/>
        </w:rPr>
        <w:t>除依殯葬管理條例規定</w:t>
      </w:r>
      <w:r w:rsidRPr="001C4392">
        <w:rPr>
          <w:rFonts w:ascii="標楷體" w:eastAsia="標楷體" w:hAnsi="標楷體" w:hint="eastAsia"/>
        </w:rPr>
        <w:t>監督管理私立殯葬設施業者</w:t>
      </w:r>
      <w:proofErr w:type="gramStart"/>
      <w:r w:rsidRPr="001C4392">
        <w:rPr>
          <w:rFonts w:ascii="標楷體" w:eastAsia="標楷體" w:hAnsi="標楷體" w:hint="eastAsia"/>
        </w:rPr>
        <w:t>提撥</w:t>
      </w:r>
      <w:proofErr w:type="gramEnd"/>
      <w:r>
        <w:rPr>
          <w:rFonts w:ascii="標楷體" w:eastAsia="標楷體" w:hAnsi="標楷體" w:hint="eastAsia"/>
        </w:rPr>
        <w:t>管理費之外之其他</w:t>
      </w:r>
    </w:p>
    <w:p w14:paraId="185E95BF" w14:textId="77777777" w:rsidR="0097331E" w:rsidRDefault="0097331E" w:rsidP="0097331E">
      <w:pPr>
        <w:overflowPunct w:val="0"/>
        <w:spacing w:line="440" w:lineRule="exact"/>
        <w:jc w:val="both"/>
        <w:rPr>
          <w:rFonts w:ascii="標楷體" w:eastAsia="標楷體" w:hAnsi="標楷體"/>
        </w:rPr>
      </w:pPr>
      <w:r>
        <w:rPr>
          <w:rFonts w:ascii="標楷體" w:eastAsia="標楷體" w:hAnsi="標楷體" w:hint="eastAsia"/>
        </w:rPr>
        <w:t>費用</w:t>
      </w:r>
      <w:r w:rsidRPr="001C4392">
        <w:rPr>
          <w:rFonts w:ascii="標楷體" w:eastAsia="標楷體" w:hAnsi="標楷體" w:hint="eastAsia"/>
        </w:rPr>
        <w:t>情形</w:t>
      </w:r>
      <w:r>
        <w:rPr>
          <w:rFonts w:ascii="標楷體" w:eastAsia="標楷體" w:hAnsi="標楷體" w:hint="eastAsia"/>
        </w:rPr>
        <w:t>外</w:t>
      </w:r>
      <w:r w:rsidRPr="001C4392">
        <w:rPr>
          <w:rFonts w:ascii="標楷體" w:eastAsia="標楷體" w:hAnsi="標楷體" w:hint="eastAsia"/>
        </w:rPr>
        <w:t>，並定期執行殯葬服務業者評鑑作業，</w:t>
      </w:r>
      <w:proofErr w:type="gramStart"/>
      <w:r w:rsidRPr="001C4392">
        <w:rPr>
          <w:rFonts w:ascii="標楷體" w:eastAsia="標楷體" w:hAnsi="標楷體" w:hint="eastAsia"/>
        </w:rPr>
        <w:t>113</w:t>
      </w:r>
      <w:proofErr w:type="gramEnd"/>
      <w:r w:rsidRPr="001C4392">
        <w:rPr>
          <w:rFonts w:ascii="標楷體" w:eastAsia="標楷體" w:hAnsi="標楷體" w:hint="eastAsia"/>
        </w:rPr>
        <w:t>年度編列違反殯葬管理條例及臺北市殯葬管理自治條例規定之罰金罰鍰收入預算150萬元及殯葬業者相關評鑑與訓練等</w:t>
      </w:r>
      <w:r>
        <w:rPr>
          <w:rFonts w:ascii="標楷體" w:eastAsia="標楷體" w:hAnsi="標楷體" w:hint="eastAsia"/>
        </w:rPr>
        <w:t>經費</w:t>
      </w:r>
      <w:r w:rsidRPr="001C4392">
        <w:rPr>
          <w:rFonts w:ascii="標楷體" w:eastAsia="標楷體" w:hAnsi="標楷體" w:hint="eastAsia"/>
        </w:rPr>
        <w:t>128萬餘元。經查該處辦理私立殯葬設施業者及殯葬禮儀服務業監督管理情形，核有下列事</w:t>
      </w:r>
      <w:r>
        <w:rPr>
          <w:rFonts w:ascii="標楷體" w:eastAsia="標楷體" w:hAnsi="標楷體" w:hint="eastAsia"/>
        </w:rPr>
        <w:t>項</w:t>
      </w:r>
      <w:r w:rsidRPr="001C4392">
        <w:rPr>
          <w:rFonts w:ascii="標楷體" w:eastAsia="標楷體" w:hAnsi="標楷體" w:hint="eastAsia"/>
        </w:rPr>
        <w:t>：</w:t>
      </w:r>
    </w:p>
    <w:p w14:paraId="7FA38FE2" w14:textId="77777777" w:rsidR="0097331E" w:rsidRPr="001C4392" w:rsidRDefault="0097331E" w:rsidP="00A858C7">
      <w:pPr>
        <w:overflowPunct w:val="0"/>
        <w:spacing w:line="420" w:lineRule="exact"/>
        <w:ind w:firstLineChars="200" w:firstLine="480"/>
        <w:jc w:val="both"/>
        <w:rPr>
          <w:rFonts w:ascii="標楷體" w:eastAsia="標楷體" w:hAnsi="標楷體"/>
        </w:rPr>
      </w:pPr>
      <w:r w:rsidRPr="008D2B0D">
        <w:rPr>
          <w:rFonts w:ascii="標楷體" w:eastAsia="標楷體" w:hAnsi="標楷體" w:hint="eastAsia"/>
          <w:b/>
          <w:bCs/>
        </w:rPr>
        <w:t>（</w:t>
      </w:r>
      <w:r>
        <w:rPr>
          <w:rFonts w:ascii="標楷體" w:eastAsia="標楷體" w:hAnsi="標楷體"/>
          <w:b/>
          <w:bCs/>
        </w:rPr>
        <w:t>1</w:t>
      </w:r>
      <w:r w:rsidRPr="008D2B0D">
        <w:rPr>
          <w:rFonts w:ascii="標楷體" w:eastAsia="標楷體" w:hAnsi="標楷體" w:hint="eastAsia"/>
          <w:b/>
          <w:bCs/>
        </w:rPr>
        <w:t>）部分私立殯葬設施業者未依規定足額</w:t>
      </w:r>
      <w:proofErr w:type="gramStart"/>
      <w:r w:rsidRPr="008D2B0D">
        <w:rPr>
          <w:rFonts w:ascii="標楷體" w:eastAsia="標楷體" w:hAnsi="標楷體" w:hint="eastAsia"/>
          <w:b/>
          <w:bCs/>
        </w:rPr>
        <w:t>提撥</w:t>
      </w:r>
      <w:proofErr w:type="gramEnd"/>
      <w:r w:rsidRPr="008D2B0D">
        <w:rPr>
          <w:rFonts w:ascii="標楷體" w:eastAsia="標楷體" w:hAnsi="標楷體" w:hint="eastAsia"/>
          <w:b/>
          <w:bCs/>
        </w:rPr>
        <w:t>管理費以外之其他費用</w:t>
      </w:r>
      <w:r>
        <w:rPr>
          <w:rFonts w:ascii="標楷體" w:eastAsia="標楷體" w:hAnsi="標楷體" w:hint="eastAsia"/>
          <w:b/>
          <w:bCs/>
        </w:rPr>
        <w:t>，並</w:t>
      </w:r>
      <w:proofErr w:type="gramStart"/>
      <w:r w:rsidRPr="008D2B0D">
        <w:rPr>
          <w:rFonts w:ascii="標楷體" w:eastAsia="標楷體" w:hAnsi="標楷體" w:hint="eastAsia"/>
          <w:b/>
          <w:bCs/>
        </w:rPr>
        <w:t>繕</w:t>
      </w:r>
      <w:proofErr w:type="gramEnd"/>
      <w:r w:rsidRPr="008D2B0D">
        <w:rPr>
          <w:rFonts w:ascii="標楷體" w:eastAsia="標楷體" w:hAnsi="標楷體" w:hint="eastAsia"/>
          <w:b/>
          <w:bCs/>
        </w:rPr>
        <w:t>造</w:t>
      </w:r>
      <w:r>
        <w:rPr>
          <w:rFonts w:ascii="標楷體" w:eastAsia="標楷體" w:hAnsi="標楷體" w:hint="eastAsia"/>
          <w:b/>
          <w:bCs/>
        </w:rPr>
        <w:t>及</w:t>
      </w:r>
      <w:r w:rsidRPr="008D2B0D">
        <w:rPr>
          <w:rFonts w:ascii="標楷體" w:eastAsia="標楷體" w:hAnsi="標楷體" w:hint="eastAsia"/>
          <w:b/>
          <w:bCs/>
        </w:rPr>
        <w:t>交付交易清冊</w:t>
      </w:r>
      <w:r w:rsidRPr="00F00D17">
        <w:rPr>
          <w:rFonts w:ascii="標楷體" w:eastAsia="標楷體" w:hAnsi="標楷體" w:hint="eastAsia"/>
          <w:b/>
          <w:bCs/>
        </w:rPr>
        <w:t>：</w:t>
      </w:r>
      <w:r>
        <w:rPr>
          <w:rFonts w:ascii="標楷體" w:eastAsia="標楷體" w:hAnsi="標楷體" w:hint="eastAsia"/>
        </w:rPr>
        <w:t>依</w:t>
      </w:r>
      <w:r w:rsidRPr="00486AFB">
        <w:rPr>
          <w:rFonts w:ascii="標楷體" w:eastAsia="標楷體" w:hAnsi="標楷體" w:hint="eastAsia"/>
        </w:rPr>
        <w:t>92年7月1日施行</w:t>
      </w:r>
      <w:r>
        <w:rPr>
          <w:rFonts w:ascii="標楷體" w:eastAsia="標楷體" w:hAnsi="標楷體" w:hint="eastAsia"/>
        </w:rPr>
        <w:t>之</w:t>
      </w:r>
      <w:r w:rsidRPr="00486AFB">
        <w:rPr>
          <w:rFonts w:ascii="標楷體" w:eastAsia="標楷體" w:hAnsi="標楷體" w:hint="eastAsia"/>
        </w:rPr>
        <w:t>殯葬管理條例第33條第1項規定</w:t>
      </w:r>
      <w:r>
        <w:rPr>
          <w:rFonts w:ascii="標楷體" w:eastAsia="標楷體" w:hAnsi="標楷體" w:hint="eastAsia"/>
        </w:rPr>
        <w:t>略</w:t>
      </w:r>
      <w:proofErr w:type="gramStart"/>
      <w:r>
        <w:rPr>
          <w:rFonts w:ascii="標楷體" w:eastAsia="標楷體" w:hAnsi="標楷體" w:hint="eastAsia"/>
        </w:rPr>
        <w:t>以</w:t>
      </w:r>
      <w:proofErr w:type="gramEnd"/>
      <w:r>
        <w:rPr>
          <w:rFonts w:ascii="標楷體" w:eastAsia="標楷體" w:hAnsi="標楷體" w:hint="eastAsia"/>
        </w:rPr>
        <w:t>，</w:t>
      </w:r>
      <w:r w:rsidRPr="00486AFB">
        <w:rPr>
          <w:rFonts w:ascii="標楷體" w:eastAsia="標楷體" w:hAnsi="標楷體" w:hint="eastAsia"/>
        </w:rPr>
        <w:t>私立骨灰（</w:t>
      </w:r>
      <w:proofErr w:type="gramStart"/>
      <w:r w:rsidRPr="00486AFB">
        <w:rPr>
          <w:rFonts w:ascii="標楷體" w:eastAsia="標楷體" w:hAnsi="標楷體" w:hint="eastAsia"/>
        </w:rPr>
        <w:t>骸</w:t>
      </w:r>
      <w:proofErr w:type="gramEnd"/>
      <w:r w:rsidRPr="00486AFB">
        <w:rPr>
          <w:rFonts w:ascii="標楷體" w:eastAsia="標楷體" w:hAnsi="標楷體" w:hint="eastAsia"/>
        </w:rPr>
        <w:t>）存放設施經營者，應將管理費以外之其他費用，</w:t>
      </w:r>
      <w:proofErr w:type="gramStart"/>
      <w:r w:rsidRPr="00486AFB">
        <w:rPr>
          <w:rFonts w:ascii="標楷體" w:eastAsia="標楷體" w:hAnsi="標楷體" w:hint="eastAsia"/>
        </w:rPr>
        <w:t>提撥</w:t>
      </w:r>
      <w:proofErr w:type="gramEnd"/>
      <w:r w:rsidRPr="00486AFB">
        <w:rPr>
          <w:rFonts w:ascii="標楷體" w:eastAsia="標楷體" w:hAnsi="標楷體" w:hint="eastAsia"/>
        </w:rPr>
        <w:t>2％</w:t>
      </w:r>
      <w:r>
        <w:rPr>
          <w:rFonts w:ascii="標楷體" w:eastAsia="標楷體" w:hAnsi="標楷體" w:hint="eastAsia"/>
        </w:rPr>
        <w:t>。</w:t>
      </w:r>
      <w:proofErr w:type="gramStart"/>
      <w:r>
        <w:rPr>
          <w:rFonts w:ascii="標楷體" w:eastAsia="標楷體" w:hAnsi="標楷體" w:hint="eastAsia"/>
        </w:rPr>
        <w:t>嗣</w:t>
      </w:r>
      <w:proofErr w:type="gramEnd"/>
      <w:r>
        <w:rPr>
          <w:rFonts w:ascii="標楷體" w:eastAsia="標楷體" w:hAnsi="標楷體" w:hint="eastAsia"/>
        </w:rPr>
        <w:t>該條例於101年間修正並</w:t>
      </w:r>
      <w:r w:rsidRPr="00486AFB">
        <w:rPr>
          <w:rFonts w:ascii="標楷體" w:eastAsia="標楷體" w:hAnsi="標楷體" w:hint="eastAsia"/>
        </w:rPr>
        <w:t>施行，將原第33條變更條次為第36條，</w:t>
      </w:r>
      <w:r w:rsidRPr="007960E8">
        <w:rPr>
          <w:rFonts w:ascii="標楷體" w:eastAsia="標楷體" w:hAnsi="標楷體" w:hint="eastAsia"/>
        </w:rPr>
        <w:t>及增訂第37條</w:t>
      </w:r>
      <w:r>
        <w:rPr>
          <w:rFonts w:ascii="標楷體" w:eastAsia="標楷體" w:hAnsi="標楷體" w:hint="eastAsia"/>
        </w:rPr>
        <w:t>，規範</w:t>
      </w:r>
      <w:r w:rsidRPr="007960E8">
        <w:rPr>
          <w:rFonts w:ascii="標楷體" w:eastAsia="標楷體" w:hAnsi="標楷體" w:hint="eastAsia"/>
        </w:rPr>
        <w:t>私立骨灰（</w:t>
      </w:r>
      <w:proofErr w:type="gramStart"/>
      <w:r w:rsidRPr="007960E8">
        <w:rPr>
          <w:rFonts w:ascii="標楷體" w:eastAsia="標楷體" w:hAnsi="標楷體" w:hint="eastAsia"/>
        </w:rPr>
        <w:t>骸</w:t>
      </w:r>
      <w:proofErr w:type="gramEnd"/>
      <w:r w:rsidRPr="007960E8">
        <w:rPr>
          <w:rFonts w:ascii="標楷體" w:eastAsia="標楷體" w:hAnsi="標楷體" w:hint="eastAsia"/>
        </w:rPr>
        <w:t>）存放設施經營者應按月</w:t>
      </w:r>
      <w:proofErr w:type="gramStart"/>
      <w:r w:rsidRPr="007960E8">
        <w:rPr>
          <w:rFonts w:ascii="標楷體" w:eastAsia="標楷體" w:hAnsi="標楷體" w:hint="eastAsia"/>
        </w:rPr>
        <w:t>繕</w:t>
      </w:r>
      <w:proofErr w:type="gramEnd"/>
      <w:r w:rsidRPr="007960E8">
        <w:rPr>
          <w:rFonts w:ascii="標楷體" w:eastAsia="標楷體" w:hAnsi="標楷體" w:hint="eastAsia"/>
        </w:rPr>
        <w:t>造交易清冊交付直轄市主管機關</w:t>
      </w:r>
      <w:r w:rsidRPr="008D2B0D">
        <w:rPr>
          <w:rFonts w:ascii="標楷體" w:eastAsia="標楷體" w:hAnsi="標楷體" w:hint="eastAsia"/>
        </w:rPr>
        <w:t>。</w:t>
      </w:r>
      <w:r w:rsidRPr="007960E8">
        <w:rPr>
          <w:rFonts w:ascii="標楷體" w:eastAsia="標楷體" w:hAnsi="標楷體" w:hint="eastAsia"/>
        </w:rPr>
        <w:t>112年12月27日再修正同條例，刪除第36條、第37條</w:t>
      </w:r>
      <w:r>
        <w:rPr>
          <w:rFonts w:ascii="標楷體" w:eastAsia="標楷體" w:hAnsi="標楷體" w:hint="eastAsia"/>
        </w:rPr>
        <w:t>條文，及增（修）第35條至第37條之1等條文</w:t>
      </w:r>
      <w:r w:rsidRPr="007960E8">
        <w:rPr>
          <w:rFonts w:ascii="標楷體" w:eastAsia="標楷體" w:hAnsi="標楷體" w:hint="eastAsia"/>
        </w:rPr>
        <w:t>，</w:t>
      </w:r>
      <w:r>
        <w:rPr>
          <w:rFonts w:ascii="標楷體" w:eastAsia="標楷體" w:hAnsi="標楷體" w:hint="eastAsia"/>
        </w:rPr>
        <w:t>及114年5月28日修正同條例第21條之1條文，並經行政院114年6月3日院</w:t>
      </w:r>
      <w:proofErr w:type="gramStart"/>
      <w:r>
        <w:rPr>
          <w:rFonts w:ascii="標楷體" w:eastAsia="標楷體" w:hAnsi="標楷體" w:hint="eastAsia"/>
        </w:rPr>
        <w:t>臺綜字</w:t>
      </w:r>
      <w:proofErr w:type="gramEnd"/>
      <w:r>
        <w:rPr>
          <w:rFonts w:ascii="標楷體" w:eastAsia="標楷體" w:hAnsi="標楷體" w:hint="eastAsia"/>
        </w:rPr>
        <w:t>第1141012228號令發布，定自114年7月1日施行。依</w:t>
      </w:r>
      <w:r w:rsidRPr="00916ABD">
        <w:rPr>
          <w:rFonts w:ascii="標楷體" w:eastAsia="標楷體" w:hAnsi="標楷體" w:hint="eastAsia"/>
        </w:rPr>
        <w:t>內政部113年6月6日台</w:t>
      </w:r>
      <w:proofErr w:type="gramStart"/>
      <w:r w:rsidRPr="00916ABD">
        <w:rPr>
          <w:rFonts w:ascii="標楷體" w:eastAsia="標楷體" w:hAnsi="標楷體" w:hint="eastAsia"/>
        </w:rPr>
        <w:t>內宗字</w:t>
      </w:r>
      <w:proofErr w:type="gramEnd"/>
      <w:r w:rsidRPr="00916ABD">
        <w:rPr>
          <w:rFonts w:ascii="標楷體" w:eastAsia="標楷體" w:hAnsi="標楷體" w:hint="eastAsia"/>
        </w:rPr>
        <w:t>第1130570987號函</w:t>
      </w:r>
      <w:r>
        <w:rPr>
          <w:rFonts w:ascii="標楷體" w:eastAsia="標楷體" w:hAnsi="標楷體" w:hint="eastAsia"/>
        </w:rPr>
        <w:t>釋</w:t>
      </w:r>
      <w:r w:rsidRPr="00916ABD">
        <w:rPr>
          <w:rFonts w:ascii="標楷體" w:eastAsia="標楷體" w:hAnsi="標楷體" w:hint="eastAsia"/>
        </w:rPr>
        <w:t>略</w:t>
      </w:r>
      <w:proofErr w:type="gramStart"/>
      <w:r w:rsidRPr="00916ABD">
        <w:rPr>
          <w:rFonts w:ascii="標楷體" w:eastAsia="標楷體" w:hAnsi="標楷體" w:hint="eastAsia"/>
        </w:rPr>
        <w:t>以</w:t>
      </w:r>
      <w:proofErr w:type="gramEnd"/>
      <w:r w:rsidRPr="00916ABD">
        <w:rPr>
          <w:rFonts w:ascii="標楷體" w:eastAsia="標楷體" w:hAnsi="標楷體" w:hint="eastAsia"/>
        </w:rPr>
        <w:t>，修正條文施行前，現行條例第36條規定仍屬有效，依法設施經營者仍應</w:t>
      </w:r>
      <w:proofErr w:type="gramStart"/>
      <w:r w:rsidRPr="00916ABD">
        <w:rPr>
          <w:rFonts w:ascii="標楷體" w:eastAsia="標楷體" w:hAnsi="標楷體" w:hint="eastAsia"/>
        </w:rPr>
        <w:t>提撥</w:t>
      </w:r>
      <w:proofErr w:type="gramEnd"/>
      <w:r w:rsidRPr="00916ABD">
        <w:rPr>
          <w:rFonts w:ascii="標楷體" w:eastAsia="標楷體" w:hAnsi="標楷體" w:hint="eastAsia"/>
        </w:rPr>
        <w:t>費用。</w:t>
      </w:r>
      <w:r>
        <w:rPr>
          <w:rFonts w:ascii="標楷體" w:eastAsia="標楷體" w:hAnsi="標楷體" w:hint="eastAsia"/>
        </w:rPr>
        <w:t>經查</w:t>
      </w:r>
      <w:r w:rsidRPr="008D2B0D">
        <w:rPr>
          <w:rFonts w:ascii="標楷體" w:eastAsia="標楷體" w:hAnsi="標楷體" w:hint="eastAsia"/>
        </w:rPr>
        <w:t>殯葬處列管臺北市轄內私立殯葬設施業者計有2家，其中</w:t>
      </w:r>
      <w:r>
        <w:rPr>
          <w:rFonts w:ascii="標楷體" w:eastAsia="標楷體" w:hAnsi="標楷體" w:hint="eastAsia"/>
        </w:rPr>
        <w:t>1家已</w:t>
      </w:r>
      <w:r w:rsidRPr="009F41F1">
        <w:rPr>
          <w:rFonts w:ascii="標楷體" w:eastAsia="標楷體" w:hAnsi="標楷體" w:hint="eastAsia"/>
        </w:rPr>
        <w:t>於88年9月獲准經營並開始銷售骨灰（</w:t>
      </w:r>
      <w:proofErr w:type="gramStart"/>
      <w:r w:rsidRPr="009F41F1">
        <w:rPr>
          <w:rFonts w:ascii="標楷體" w:eastAsia="標楷體" w:hAnsi="標楷體" w:hint="eastAsia"/>
        </w:rPr>
        <w:t>骸</w:t>
      </w:r>
      <w:proofErr w:type="gramEnd"/>
      <w:r w:rsidRPr="009F41F1">
        <w:rPr>
          <w:rFonts w:ascii="標楷體" w:eastAsia="標楷體" w:hAnsi="標楷體" w:hint="eastAsia"/>
        </w:rPr>
        <w:t>）存放設施，108年1月起</w:t>
      </w:r>
      <w:proofErr w:type="gramStart"/>
      <w:r w:rsidRPr="009F41F1">
        <w:rPr>
          <w:rFonts w:ascii="標楷體" w:eastAsia="標楷體" w:hAnsi="標楷體" w:hint="eastAsia"/>
        </w:rPr>
        <w:t>甫提撥</w:t>
      </w:r>
      <w:proofErr w:type="gramEnd"/>
      <w:r w:rsidRPr="009F41F1">
        <w:rPr>
          <w:rFonts w:ascii="標楷體" w:eastAsia="標楷體" w:hAnsi="標楷體" w:hint="eastAsia"/>
        </w:rPr>
        <w:t>管理費以外之其他費用，截至113年10月底止，累計</w:t>
      </w:r>
      <w:proofErr w:type="gramStart"/>
      <w:r w:rsidRPr="009F41F1">
        <w:rPr>
          <w:rFonts w:ascii="標楷體" w:eastAsia="標楷體" w:hAnsi="標楷體" w:hint="eastAsia"/>
        </w:rPr>
        <w:t>提撥</w:t>
      </w:r>
      <w:proofErr w:type="gramEnd"/>
      <w:r w:rsidRPr="009F41F1">
        <w:rPr>
          <w:rFonts w:ascii="標楷體" w:eastAsia="標楷體" w:hAnsi="標楷體" w:hint="eastAsia"/>
        </w:rPr>
        <w:t>金額300萬餘元</w:t>
      </w:r>
      <w:r w:rsidRPr="008D2B0D">
        <w:rPr>
          <w:rFonts w:ascii="標楷體" w:eastAsia="標楷體" w:hAnsi="標楷體" w:hint="eastAsia"/>
        </w:rPr>
        <w:t>，</w:t>
      </w:r>
      <w:r>
        <w:rPr>
          <w:rFonts w:ascii="標楷體" w:eastAsia="標楷體" w:hAnsi="標楷體" w:hint="eastAsia"/>
        </w:rPr>
        <w:t>惟</w:t>
      </w:r>
      <w:r w:rsidRPr="008D2B0D">
        <w:rPr>
          <w:rFonts w:ascii="標楷體" w:eastAsia="標楷體" w:hAnsi="標楷體" w:hint="eastAsia"/>
        </w:rPr>
        <w:t>據</w:t>
      </w:r>
      <w:r>
        <w:rPr>
          <w:rFonts w:ascii="標楷體" w:eastAsia="標楷體" w:hAnsi="標楷體" w:hint="eastAsia"/>
        </w:rPr>
        <w:t>該</w:t>
      </w:r>
      <w:r w:rsidRPr="008D2B0D">
        <w:rPr>
          <w:rFonts w:ascii="標楷體" w:eastAsia="標楷體" w:hAnsi="標楷體" w:hint="eastAsia"/>
        </w:rPr>
        <w:t>處委聘會計師出具之報告</w:t>
      </w:r>
      <w:r w:rsidRPr="00916ABD">
        <w:rPr>
          <w:rFonts w:ascii="標楷體" w:eastAsia="標楷體" w:hAnsi="標楷體" w:hint="eastAsia"/>
        </w:rPr>
        <w:t>列載該業者92至112年度應</w:t>
      </w:r>
      <w:proofErr w:type="gramStart"/>
      <w:r w:rsidRPr="00916ABD">
        <w:rPr>
          <w:rFonts w:ascii="標楷體" w:eastAsia="標楷體" w:hAnsi="標楷體" w:hint="eastAsia"/>
        </w:rPr>
        <w:t>提撥</w:t>
      </w:r>
      <w:proofErr w:type="gramEnd"/>
      <w:r w:rsidRPr="00916ABD">
        <w:rPr>
          <w:rFonts w:ascii="標楷體" w:eastAsia="標楷體" w:hAnsi="標楷體" w:hint="eastAsia"/>
        </w:rPr>
        <w:t>殯葬設施經營管理基金金額應</w:t>
      </w:r>
      <w:r w:rsidRPr="008D2B0D">
        <w:rPr>
          <w:rFonts w:ascii="標楷體" w:eastAsia="標楷體" w:hAnsi="標楷體" w:hint="eastAsia"/>
        </w:rPr>
        <w:t>為1億2,560萬</w:t>
      </w:r>
      <w:r>
        <w:rPr>
          <w:rFonts w:ascii="標楷體" w:eastAsia="標楷體" w:hAnsi="標楷體" w:hint="eastAsia"/>
        </w:rPr>
        <w:t>餘</w:t>
      </w:r>
      <w:r w:rsidRPr="008D2B0D">
        <w:rPr>
          <w:rFonts w:ascii="標楷體" w:eastAsia="標楷體" w:hAnsi="標楷體" w:hint="eastAsia"/>
        </w:rPr>
        <w:t>元，</w:t>
      </w:r>
      <w:proofErr w:type="gramStart"/>
      <w:r w:rsidRPr="008D2B0D">
        <w:rPr>
          <w:rFonts w:ascii="標楷體" w:eastAsia="標楷體" w:hAnsi="標楷體" w:hint="eastAsia"/>
        </w:rPr>
        <w:t>提撥</w:t>
      </w:r>
      <w:proofErr w:type="gramEnd"/>
      <w:r w:rsidRPr="008D2B0D">
        <w:rPr>
          <w:rFonts w:ascii="標楷體" w:eastAsia="標楷體" w:hAnsi="標楷體" w:hint="eastAsia"/>
        </w:rPr>
        <w:t>不足數額達1億餘元，且</w:t>
      </w:r>
      <w:r>
        <w:rPr>
          <w:rFonts w:ascii="標楷體" w:eastAsia="標楷體" w:hAnsi="標楷體" w:hint="eastAsia"/>
        </w:rPr>
        <w:t>該業者迄</w:t>
      </w:r>
      <w:r w:rsidRPr="008D2B0D">
        <w:rPr>
          <w:rFonts w:ascii="標楷體" w:eastAsia="標楷體" w:hAnsi="標楷體" w:hint="eastAsia"/>
        </w:rPr>
        <w:t>未交付交易清冊</w:t>
      </w:r>
      <w:r w:rsidRPr="006561C9">
        <w:rPr>
          <w:rFonts w:ascii="標楷體" w:eastAsia="標楷體" w:hAnsi="標楷體" w:hint="eastAsia"/>
        </w:rPr>
        <w:t>，有違殯葬管理條例第36條及第37條等規定，</w:t>
      </w:r>
      <w:r w:rsidRPr="008D2B0D">
        <w:rPr>
          <w:rFonts w:ascii="標楷體" w:eastAsia="標楷體" w:hAnsi="標楷體" w:hint="eastAsia"/>
        </w:rPr>
        <w:t>惟該處僅消極函催，未</w:t>
      </w:r>
      <w:r>
        <w:rPr>
          <w:rFonts w:ascii="標楷體" w:eastAsia="標楷體" w:hAnsi="標楷體" w:hint="eastAsia"/>
        </w:rPr>
        <w:t>有積極作為，</w:t>
      </w:r>
      <w:r w:rsidRPr="008D2B0D">
        <w:rPr>
          <w:rFonts w:ascii="標楷體" w:eastAsia="標楷體" w:hAnsi="標楷體" w:hint="eastAsia"/>
        </w:rPr>
        <w:t>經函請檢討改善。據復：已發函催繳</w:t>
      </w:r>
      <w:r w:rsidRPr="009F41F1">
        <w:rPr>
          <w:rFonts w:ascii="標楷體" w:eastAsia="標楷體" w:hAnsi="標楷體" w:hint="eastAsia"/>
        </w:rPr>
        <w:t>限期改善</w:t>
      </w:r>
      <w:r w:rsidRPr="008D2B0D">
        <w:rPr>
          <w:rFonts w:ascii="標楷體" w:eastAsia="標楷體" w:hAnsi="標楷體" w:hint="eastAsia"/>
        </w:rPr>
        <w:t>，若</w:t>
      </w:r>
      <w:r>
        <w:rPr>
          <w:rFonts w:ascii="標楷體" w:eastAsia="標楷體" w:hAnsi="標楷體" w:hint="eastAsia"/>
        </w:rPr>
        <w:t>屆</w:t>
      </w:r>
      <w:r w:rsidRPr="008D2B0D">
        <w:rPr>
          <w:rFonts w:ascii="標楷體" w:eastAsia="標楷體" w:hAnsi="標楷體" w:hint="eastAsia"/>
        </w:rPr>
        <w:t>期</w:t>
      </w:r>
      <w:r>
        <w:rPr>
          <w:rFonts w:ascii="標楷體" w:eastAsia="標楷體" w:hAnsi="標楷體" w:hint="eastAsia"/>
        </w:rPr>
        <w:t>未改善，</w:t>
      </w:r>
      <w:r w:rsidRPr="009F41F1">
        <w:rPr>
          <w:rFonts w:ascii="標楷體" w:eastAsia="標楷體" w:hAnsi="標楷體" w:hint="eastAsia"/>
        </w:rPr>
        <w:t>依規定分別連續</w:t>
      </w:r>
      <w:proofErr w:type="gramStart"/>
      <w:r>
        <w:rPr>
          <w:rFonts w:ascii="標楷體" w:eastAsia="標楷體" w:hAnsi="標楷體" w:hint="eastAsia"/>
        </w:rPr>
        <w:t>裁</w:t>
      </w:r>
      <w:r w:rsidRPr="009F41F1">
        <w:rPr>
          <w:rFonts w:ascii="標楷體" w:eastAsia="標楷體" w:hAnsi="標楷體" w:hint="eastAsia"/>
        </w:rPr>
        <w:t>罰</w:t>
      </w:r>
      <w:r w:rsidRPr="008D2B0D">
        <w:rPr>
          <w:rFonts w:ascii="標楷體" w:eastAsia="標楷體" w:hAnsi="標楷體" w:hint="eastAsia"/>
        </w:rPr>
        <w:t>並</w:t>
      </w:r>
      <w:r w:rsidRPr="0045252C">
        <w:rPr>
          <w:rFonts w:ascii="標楷體" w:eastAsia="標楷體" w:hAnsi="標楷體" w:hint="eastAsia"/>
        </w:rPr>
        <w:t>限期</w:t>
      </w:r>
      <w:proofErr w:type="gramEnd"/>
      <w:r w:rsidRPr="0045252C">
        <w:rPr>
          <w:rFonts w:ascii="標楷體" w:eastAsia="標楷體" w:hAnsi="標楷體" w:hint="eastAsia"/>
        </w:rPr>
        <w:t>改善。</w:t>
      </w:r>
    </w:p>
    <w:p w14:paraId="40D3C697" w14:textId="77777777" w:rsidR="0097331E" w:rsidRDefault="0097331E" w:rsidP="00A858C7">
      <w:pPr>
        <w:overflowPunct w:val="0"/>
        <w:spacing w:line="420" w:lineRule="exact"/>
        <w:ind w:firstLineChars="200" w:firstLine="480"/>
        <w:jc w:val="both"/>
        <w:rPr>
          <w:rFonts w:ascii="標楷體" w:eastAsia="標楷體" w:hAnsi="標楷體"/>
        </w:rPr>
      </w:pPr>
      <w:r w:rsidRPr="001C4392">
        <w:rPr>
          <w:rFonts w:ascii="標楷體" w:eastAsia="標楷體" w:hAnsi="標楷體" w:hint="eastAsia"/>
          <w:b/>
          <w:bCs/>
        </w:rPr>
        <w:t>（</w:t>
      </w:r>
      <w:r>
        <w:rPr>
          <w:rFonts w:ascii="標楷體" w:eastAsia="標楷體" w:hAnsi="標楷體"/>
          <w:b/>
          <w:bCs/>
        </w:rPr>
        <w:t>2</w:t>
      </w:r>
      <w:r w:rsidRPr="001C4392">
        <w:rPr>
          <w:rFonts w:ascii="標楷體" w:eastAsia="標楷體" w:hAnsi="標楷體" w:hint="eastAsia"/>
          <w:b/>
          <w:bCs/>
        </w:rPr>
        <w:t>）部分具規定規模之殯葬禮儀服務業者未</w:t>
      </w:r>
      <w:r>
        <w:rPr>
          <w:rFonts w:ascii="標楷體" w:eastAsia="標楷體" w:hAnsi="標楷體" w:hint="eastAsia"/>
          <w:b/>
          <w:bCs/>
        </w:rPr>
        <w:t>依規定</w:t>
      </w:r>
      <w:r w:rsidRPr="001C4392">
        <w:rPr>
          <w:rFonts w:ascii="標楷體" w:eastAsia="標楷體" w:hAnsi="標楷體" w:hint="eastAsia"/>
          <w:b/>
          <w:bCs/>
        </w:rPr>
        <w:t>設置專任禮儀師</w:t>
      </w:r>
      <w:r w:rsidRPr="00F00D17">
        <w:rPr>
          <w:rFonts w:ascii="標楷體" w:eastAsia="標楷體" w:hAnsi="標楷體" w:hint="eastAsia"/>
          <w:b/>
          <w:bCs/>
        </w:rPr>
        <w:t>：</w:t>
      </w:r>
      <w:r w:rsidRPr="001C4392">
        <w:rPr>
          <w:rFonts w:ascii="標楷體" w:eastAsia="標楷體" w:hAnsi="標楷體" w:hint="eastAsia"/>
        </w:rPr>
        <w:t>依</w:t>
      </w:r>
      <w:r w:rsidRPr="001C4392">
        <w:rPr>
          <w:rFonts w:ascii="標楷體" w:eastAsia="標楷體" w:hAnsi="標楷體" w:cs="DFKaiShu-SB-Estd-BF" w:hint="eastAsia"/>
          <w:bCs/>
          <w:caps/>
        </w:rPr>
        <w:t>殯葬管理條例</w:t>
      </w:r>
      <w:r w:rsidRPr="001C4392">
        <w:rPr>
          <w:rFonts w:ascii="標楷體" w:eastAsia="標楷體" w:hAnsi="標楷體" w:hint="eastAsia"/>
        </w:rPr>
        <w:t>第45條第1項規定：「殯葬禮儀服務業具一定規模者，應置專任禮儀師，始得申請許可及營業。」</w:t>
      </w:r>
      <w:proofErr w:type="gramStart"/>
      <w:r>
        <w:rPr>
          <w:rFonts w:ascii="標楷體" w:eastAsia="標楷體" w:hAnsi="標楷體" w:hint="eastAsia"/>
        </w:rPr>
        <w:t>復</w:t>
      </w:r>
      <w:r w:rsidRPr="001C4392">
        <w:rPr>
          <w:rFonts w:ascii="標楷體" w:eastAsia="標楷體" w:hAnsi="標楷體" w:hint="eastAsia"/>
        </w:rPr>
        <w:t>按內政部</w:t>
      </w:r>
      <w:proofErr w:type="gramEnd"/>
      <w:r w:rsidRPr="001C4392">
        <w:rPr>
          <w:rFonts w:ascii="標楷體" w:eastAsia="標楷體" w:hAnsi="標楷體" w:hint="eastAsia"/>
        </w:rPr>
        <w:t>106年5月9日台</w:t>
      </w:r>
      <w:proofErr w:type="gramStart"/>
      <w:r w:rsidRPr="001C4392">
        <w:rPr>
          <w:rFonts w:ascii="標楷體" w:eastAsia="標楷體" w:hAnsi="標楷體" w:hint="eastAsia"/>
        </w:rPr>
        <w:t>內民字第1061101612</w:t>
      </w:r>
      <w:proofErr w:type="gramEnd"/>
      <w:r w:rsidRPr="001C4392">
        <w:rPr>
          <w:rFonts w:ascii="標楷體" w:eastAsia="標楷體" w:hAnsi="標楷體" w:hint="eastAsia"/>
        </w:rPr>
        <w:t>號令略</w:t>
      </w:r>
      <w:proofErr w:type="gramStart"/>
      <w:r w:rsidRPr="001C4392">
        <w:rPr>
          <w:rFonts w:ascii="標楷體" w:eastAsia="標楷體" w:hAnsi="標楷體" w:hint="eastAsia"/>
        </w:rPr>
        <w:t>以</w:t>
      </w:r>
      <w:proofErr w:type="gramEnd"/>
      <w:r w:rsidRPr="001C4392">
        <w:rPr>
          <w:rFonts w:ascii="標楷體" w:eastAsia="標楷體" w:hAnsi="標楷體" w:hint="eastAsia"/>
        </w:rPr>
        <w:t>，殯葬管理條例第45條第1項規定所稱一定規模，指殯葬禮儀服務業經完成公司、商業或有限合夥登記，</w:t>
      </w:r>
      <w:proofErr w:type="gramStart"/>
      <w:r w:rsidRPr="001C4392">
        <w:rPr>
          <w:rFonts w:ascii="標楷體" w:eastAsia="標楷體" w:hAnsi="標楷體" w:hint="eastAsia"/>
        </w:rPr>
        <w:t>且實收</w:t>
      </w:r>
      <w:proofErr w:type="gramEnd"/>
      <w:r w:rsidRPr="001C4392">
        <w:rPr>
          <w:rFonts w:ascii="標楷體" w:eastAsia="標楷體" w:hAnsi="標楷體" w:hint="eastAsia"/>
        </w:rPr>
        <w:t>資本額、登記資本額或出資額在100萬元以上者</w:t>
      </w:r>
      <w:r>
        <w:rPr>
          <w:rFonts w:ascii="標楷體" w:eastAsia="標楷體" w:hAnsi="標楷體" w:hint="eastAsia"/>
        </w:rPr>
        <w:t>，並於指定之日起（最遲為110年1月1日起）至少置1名專任禮儀師</w:t>
      </w:r>
      <w:r w:rsidRPr="001C4392">
        <w:rPr>
          <w:rFonts w:ascii="標楷體" w:eastAsia="標楷體" w:hAnsi="標楷體" w:hint="eastAsia"/>
        </w:rPr>
        <w:t>。經運用經濟部商業司商工登記資料公示系統，查詢殯葬禮儀服務業</w:t>
      </w:r>
      <w:r>
        <w:rPr>
          <w:rFonts w:ascii="標楷體" w:eastAsia="標楷體" w:hAnsi="標楷體" w:hint="eastAsia"/>
        </w:rPr>
        <w:t>之</w:t>
      </w:r>
      <w:r w:rsidRPr="001C4392">
        <w:rPr>
          <w:rFonts w:ascii="標楷體" w:eastAsia="標楷體" w:hAnsi="標楷體" w:hint="eastAsia"/>
        </w:rPr>
        <w:t>公司或商業登記資料與內政部全國殯葬資訊入口網禮儀師人才庫勾</w:t>
      </w:r>
      <w:proofErr w:type="gramStart"/>
      <w:r w:rsidRPr="001C4392">
        <w:rPr>
          <w:rFonts w:ascii="標楷體" w:eastAsia="標楷體" w:hAnsi="標楷體" w:hint="eastAsia"/>
        </w:rPr>
        <w:t>稽</w:t>
      </w:r>
      <w:proofErr w:type="gramEnd"/>
      <w:r w:rsidRPr="001C4392">
        <w:rPr>
          <w:rFonts w:ascii="標楷體" w:eastAsia="標楷體" w:hAnsi="標楷體" w:hint="eastAsia"/>
        </w:rPr>
        <w:t>結果，發現</w:t>
      </w:r>
      <w:r>
        <w:rPr>
          <w:rFonts w:ascii="標楷體" w:eastAsia="標楷體" w:hAnsi="標楷體" w:hint="eastAsia"/>
        </w:rPr>
        <w:t>轄內有</w:t>
      </w:r>
      <w:r w:rsidRPr="001C4392">
        <w:rPr>
          <w:rFonts w:ascii="標楷體" w:eastAsia="標楷體" w:hAnsi="標楷體" w:hint="eastAsia"/>
        </w:rPr>
        <w:t>4家</w:t>
      </w:r>
      <w:r>
        <w:rPr>
          <w:rFonts w:ascii="標楷體" w:eastAsia="標楷體" w:hAnsi="標楷體" w:hint="eastAsia"/>
        </w:rPr>
        <w:t>業者</w:t>
      </w:r>
      <w:r w:rsidRPr="001C4392">
        <w:rPr>
          <w:rFonts w:ascii="標楷體" w:eastAsia="標楷體" w:hAnsi="標楷體" w:cs="DFKaiShu-SB-Estd-BF" w:hint="eastAsia"/>
          <w:bCs/>
          <w:caps/>
        </w:rPr>
        <w:t>實收資本額在100萬元以上，惟未</w:t>
      </w:r>
      <w:r>
        <w:rPr>
          <w:rFonts w:ascii="標楷體" w:eastAsia="標楷體" w:hAnsi="標楷體" w:cs="DFKaiShu-SB-Estd-BF" w:hint="eastAsia"/>
          <w:bCs/>
          <w:caps/>
        </w:rPr>
        <w:t>依規定</w:t>
      </w:r>
      <w:r w:rsidRPr="001C4392">
        <w:rPr>
          <w:rFonts w:ascii="標楷體" w:eastAsia="標楷體" w:hAnsi="標楷體" w:cs="DFKaiShu-SB-Estd-BF" w:hint="eastAsia"/>
          <w:bCs/>
          <w:caps/>
        </w:rPr>
        <w:t>配置專任禮儀師，</w:t>
      </w:r>
      <w:r w:rsidRPr="001C4392">
        <w:rPr>
          <w:rFonts w:ascii="標楷體" w:eastAsia="標楷體" w:hAnsi="標楷體" w:hint="eastAsia"/>
        </w:rPr>
        <w:t>經函請檢討改善。據復：</w:t>
      </w:r>
      <w:r>
        <w:rPr>
          <w:rFonts w:ascii="標楷體" w:eastAsia="標楷體" w:hAnsi="標楷體" w:hint="eastAsia"/>
        </w:rPr>
        <w:t>該等業者</w:t>
      </w:r>
      <w:r w:rsidRPr="001C4392">
        <w:rPr>
          <w:rFonts w:ascii="標楷體" w:eastAsia="標楷體" w:hAnsi="標楷體" w:hint="eastAsia"/>
        </w:rPr>
        <w:t>違反殯葬管理條例第45條第1項規定，已各裁處10萬元罰鍰</w:t>
      </w:r>
      <w:r w:rsidRPr="009F41F1">
        <w:rPr>
          <w:rFonts w:ascii="標楷體" w:eastAsia="標楷體" w:hAnsi="標楷體" w:hint="eastAsia"/>
        </w:rPr>
        <w:t>，又</w:t>
      </w:r>
      <w:r w:rsidRPr="001C4392">
        <w:rPr>
          <w:rFonts w:ascii="標楷體" w:eastAsia="標楷體" w:hAnsi="標楷體" w:hint="eastAsia"/>
        </w:rPr>
        <w:t>該等</w:t>
      </w:r>
      <w:proofErr w:type="gramStart"/>
      <w:r w:rsidRPr="001C4392">
        <w:rPr>
          <w:rFonts w:ascii="標楷體" w:eastAsia="標楷體" w:hAnsi="標楷體" w:hint="eastAsia"/>
        </w:rPr>
        <w:t>業者均已改善</w:t>
      </w:r>
      <w:proofErr w:type="gramEnd"/>
      <w:r w:rsidRPr="001C4392">
        <w:rPr>
          <w:rFonts w:ascii="標楷體" w:eastAsia="標楷體" w:hAnsi="標楷體" w:hint="eastAsia"/>
        </w:rPr>
        <w:t>。</w:t>
      </w:r>
    </w:p>
    <w:p w14:paraId="72BFE93B" w14:textId="77777777" w:rsidR="00A858C7" w:rsidRDefault="0097331E" w:rsidP="00A858C7">
      <w:pPr>
        <w:overflowPunct w:val="0"/>
        <w:spacing w:line="420" w:lineRule="exact"/>
        <w:ind w:firstLineChars="200" w:firstLine="480"/>
        <w:jc w:val="both"/>
        <w:rPr>
          <w:rFonts w:ascii="標楷體" w:eastAsia="標楷體" w:hAnsi="標楷體"/>
        </w:rPr>
      </w:pPr>
      <w:r w:rsidRPr="009F3610">
        <w:rPr>
          <w:rFonts w:ascii="標楷體" w:eastAsia="標楷體" w:hAnsi="標楷體" w:hint="eastAsia"/>
          <w:b/>
          <w:bCs/>
        </w:rPr>
        <w:t>（3）</w:t>
      </w:r>
      <w:r>
        <w:rPr>
          <w:rFonts w:ascii="標楷體" w:eastAsia="標楷體" w:hAnsi="標楷體" w:hint="eastAsia"/>
          <w:b/>
          <w:bCs/>
        </w:rPr>
        <w:t>持續</w:t>
      </w:r>
      <w:r w:rsidRPr="00916ABD">
        <w:rPr>
          <w:rFonts w:ascii="標楷體" w:eastAsia="標楷體" w:hAnsi="標楷體" w:hint="eastAsia"/>
          <w:b/>
          <w:bCs/>
        </w:rPr>
        <w:t>辦理殯葬服務業評鑑作業</w:t>
      </w:r>
      <w:r>
        <w:rPr>
          <w:rFonts w:ascii="標楷體" w:eastAsia="標楷體" w:hAnsi="標楷體" w:hint="eastAsia"/>
          <w:b/>
          <w:bCs/>
        </w:rPr>
        <w:t>，</w:t>
      </w:r>
      <w:r w:rsidRPr="00916ABD">
        <w:rPr>
          <w:rFonts w:ascii="標楷體" w:eastAsia="標楷體" w:hAnsi="標楷體" w:hint="eastAsia"/>
          <w:b/>
          <w:bCs/>
        </w:rPr>
        <w:t>惟對</w:t>
      </w:r>
      <w:r w:rsidRPr="009F3610">
        <w:rPr>
          <w:rFonts w:ascii="標楷體" w:eastAsia="標楷體" w:hAnsi="標楷體" w:hint="eastAsia"/>
          <w:b/>
          <w:bCs/>
        </w:rPr>
        <w:t>部分私立殯葬設施業者</w:t>
      </w:r>
      <w:r>
        <w:rPr>
          <w:rFonts w:ascii="標楷體" w:eastAsia="標楷體" w:hAnsi="標楷體" w:hint="eastAsia"/>
          <w:b/>
          <w:bCs/>
        </w:rPr>
        <w:t>迄未</w:t>
      </w:r>
      <w:r w:rsidRPr="009F3610">
        <w:rPr>
          <w:rFonts w:ascii="標楷體" w:eastAsia="標楷體" w:hAnsi="標楷體" w:hint="eastAsia"/>
          <w:b/>
          <w:bCs/>
        </w:rPr>
        <w:t>辦理評鑑，且各年評鑑殯葬禮儀服務業家數</w:t>
      </w:r>
      <w:r>
        <w:rPr>
          <w:rFonts w:ascii="標楷體" w:eastAsia="標楷體" w:hAnsi="標楷體" w:hint="eastAsia"/>
          <w:b/>
          <w:bCs/>
        </w:rPr>
        <w:t>所占</w:t>
      </w:r>
      <w:r w:rsidRPr="009F3610">
        <w:rPr>
          <w:rFonts w:ascii="標楷體" w:eastAsia="標楷體" w:hAnsi="標楷體" w:hint="eastAsia"/>
          <w:b/>
          <w:bCs/>
        </w:rPr>
        <w:t>比率仍低</w:t>
      </w:r>
      <w:r w:rsidRPr="008D2B0D">
        <w:rPr>
          <w:rFonts w:ascii="標楷體" w:eastAsia="標楷體" w:hAnsi="標楷體" w:hint="eastAsia"/>
          <w:b/>
          <w:bCs/>
        </w:rPr>
        <w:t>：</w:t>
      </w:r>
      <w:r>
        <w:rPr>
          <w:rFonts w:ascii="標楷體" w:eastAsia="標楷體" w:hAnsi="標楷體" w:hint="eastAsia"/>
        </w:rPr>
        <w:t>殯葬</w:t>
      </w:r>
      <w:r w:rsidRPr="00916ABD">
        <w:rPr>
          <w:rFonts w:ascii="標楷體" w:eastAsia="標楷體" w:hAnsi="標楷體" w:hint="eastAsia"/>
        </w:rPr>
        <w:t>處為提升殯葬服務品質，於各年度訂有殯葬服務業暨殯葬設施評鑑實施計畫。按前揭計畫所列，評鑑對象分為「依法應受評者」及「自願報名參加</w:t>
      </w:r>
    </w:p>
    <w:p w14:paraId="17766181" w14:textId="659692BC" w:rsidR="0097331E" w:rsidRPr="00492665" w:rsidRDefault="00A858C7" w:rsidP="00A858C7">
      <w:pPr>
        <w:overflowPunct w:val="0"/>
        <w:spacing w:line="420" w:lineRule="exact"/>
        <w:jc w:val="both"/>
        <w:rPr>
          <w:rFonts w:ascii="標楷體" w:eastAsia="標楷體" w:hAnsi="標楷體" w:cs="Times New Roman"/>
        </w:rPr>
      </w:pPr>
      <w:r>
        <w:rPr>
          <w:rFonts w:ascii="標楷體" w:eastAsia="標楷體" w:hAnsi="標楷體" w:hint="eastAsia"/>
          <w:noProof/>
        </w:rPr>
        <w:lastRenderedPageBreak/>
        <mc:AlternateContent>
          <mc:Choice Requires="wps">
            <w:drawing>
              <wp:anchor distT="0" distB="0" distL="114300" distR="114300" simplePos="0" relativeHeight="251790336" behindDoc="0" locked="0" layoutInCell="1" allowOverlap="1" wp14:anchorId="08F5576A" wp14:editId="32B1AF0F">
                <wp:simplePos x="0" y="0"/>
                <wp:positionH relativeFrom="margin">
                  <wp:posOffset>-277495</wp:posOffset>
                </wp:positionH>
                <wp:positionV relativeFrom="margin">
                  <wp:posOffset>3204845</wp:posOffset>
                </wp:positionV>
                <wp:extent cx="6860540" cy="1676400"/>
                <wp:effectExtent l="0" t="0" r="0" b="0"/>
                <wp:wrapTopAndBottom/>
                <wp:docPr id="110" name="文字方塊 110"/>
                <wp:cNvGraphicFramePr/>
                <a:graphic xmlns:a="http://schemas.openxmlformats.org/drawingml/2006/main">
                  <a:graphicData uri="http://schemas.microsoft.com/office/word/2010/wordprocessingShape">
                    <wps:wsp>
                      <wps:cNvSpPr txBox="1"/>
                      <wps:spPr>
                        <a:xfrm>
                          <a:off x="0" y="0"/>
                          <a:ext cx="6860540" cy="1676400"/>
                        </a:xfrm>
                        <a:prstGeom prst="rect">
                          <a:avLst/>
                        </a:prstGeom>
                        <a:solidFill>
                          <a:schemeClr val="lt1"/>
                        </a:solidFill>
                        <a:ln w="6350">
                          <a:noFill/>
                        </a:ln>
                      </wps:spPr>
                      <wps:txbx>
                        <w:txbxContent>
                          <w:p w14:paraId="55CD1BAE" w14:textId="77777777" w:rsidR="0097331E" w:rsidRDefault="0097331E" w:rsidP="0013652D">
                            <w:pPr>
                              <w:overflowPunct w:val="0"/>
                              <w:snapToGrid w:val="0"/>
                              <w:spacing w:line="240" w:lineRule="exact"/>
                              <w:jc w:val="center"/>
                              <w:rPr>
                                <w:rFonts w:ascii="標楷體" w:eastAsia="標楷體" w:hAnsi="標楷體"/>
                                <w:b/>
                                <w:bCs/>
                                <w:kern w:val="0"/>
                              </w:rPr>
                            </w:pPr>
                            <w:r w:rsidRPr="00093D9E">
                              <w:rPr>
                                <w:rFonts w:ascii="標楷體" w:eastAsia="標楷體" w:hAnsi="標楷體" w:hint="eastAsia"/>
                                <w:b/>
                                <w:bCs/>
                                <w:kern w:val="0"/>
                              </w:rPr>
                              <w:t>表</w:t>
                            </w:r>
                            <w:r>
                              <w:rPr>
                                <w:rFonts w:ascii="標楷體" w:eastAsia="標楷體" w:hAnsi="標楷體"/>
                                <w:b/>
                                <w:bCs/>
                                <w:kern w:val="0"/>
                              </w:rPr>
                              <w:t>2</w:t>
                            </w:r>
                            <w:r w:rsidRPr="00093D9E">
                              <w:rPr>
                                <w:rFonts w:ascii="標楷體" w:eastAsia="標楷體" w:hAnsi="標楷體" w:hint="eastAsia"/>
                                <w:b/>
                                <w:bCs/>
                                <w:kern w:val="0"/>
                              </w:rPr>
                              <w:t xml:space="preserve">  辦理殯葬禮儀服務業評鑑情形</w:t>
                            </w:r>
                          </w:p>
                          <w:p w14:paraId="38ABC39E" w14:textId="77777777" w:rsidR="0097331E" w:rsidRPr="00173F1E" w:rsidRDefault="0097331E" w:rsidP="0097331E">
                            <w:pPr>
                              <w:overflowPunct w:val="0"/>
                              <w:snapToGrid w:val="0"/>
                              <w:spacing w:line="240" w:lineRule="exact"/>
                              <w:ind w:leftChars="425" w:left="1020" w:rightChars="107" w:right="257" w:firstLineChars="205" w:firstLine="410"/>
                              <w:jc w:val="right"/>
                              <w:rPr>
                                <w:rFonts w:ascii="標楷體" w:eastAsia="標楷體" w:hAnsi="標楷體"/>
                                <w:kern w:val="0"/>
                                <w:sz w:val="20"/>
                                <w:szCs w:val="20"/>
                              </w:rPr>
                            </w:pPr>
                            <w:r>
                              <w:rPr>
                                <w:rFonts w:ascii="標楷體" w:eastAsia="標楷體" w:hAnsi="標楷體" w:hint="eastAsia"/>
                                <w:kern w:val="0"/>
                                <w:sz w:val="20"/>
                                <w:szCs w:val="20"/>
                              </w:rPr>
                              <w:t>單位：家、％</w:t>
                            </w:r>
                          </w:p>
                          <w:tbl>
                            <w:tblPr>
                              <w:tblStyle w:val="73"/>
                              <w:tblW w:w="4731" w:type="pct"/>
                              <w:tblInd w:w="279" w:type="dxa"/>
                              <w:tblLook w:val="04A0" w:firstRow="1" w:lastRow="0" w:firstColumn="1" w:lastColumn="0" w:noHBand="0" w:noVBand="1"/>
                            </w:tblPr>
                            <w:tblGrid>
                              <w:gridCol w:w="3540"/>
                              <w:gridCol w:w="1414"/>
                              <w:gridCol w:w="1414"/>
                              <w:gridCol w:w="2162"/>
                              <w:gridCol w:w="1416"/>
                            </w:tblGrid>
                            <w:tr w:rsidR="0097331E" w:rsidRPr="00372144" w14:paraId="5B53C51D" w14:textId="77777777" w:rsidTr="00824CD6">
                              <w:trPr>
                                <w:trHeight w:val="257"/>
                                <w:tblHeader/>
                              </w:trPr>
                              <w:tc>
                                <w:tcPr>
                                  <w:tcW w:w="1779" w:type="pct"/>
                                  <w:vAlign w:val="center"/>
                                </w:tcPr>
                                <w:p w14:paraId="307C6355" w14:textId="77777777" w:rsidR="0097331E" w:rsidRPr="00093D9E" w:rsidRDefault="0097331E" w:rsidP="00824CD6">
                                  <w:pPr>
                                    <w:overflowPunct w:val="0"/>
                                    <w:snapToGrid w:val="0"/>
                                    <w:spacing w:line="240" w:lineRule="exact"/>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年度</w:t>
                                  </w:r>
                                </w:p>
                              </w:tc>
                              <w:tc>
                                <w:tcPr>
                                  <w:tcW w:w="711" w:type="pct"/>
                                  <w:vAlign w:val="center"/>
                                </w:tcPr>
                                <w:p w14:paraId="2EFB930A" w14:textId="77777777" w:rsidR="0097331E" w:rsidRPr="00093D9E" w:rsidRDefault="0097331E" w:rsidP="00824CD6">
                                  <w:pPr>
                                    <w:overflowPunct w:val="0"/>
                                    <w:snapToGrid w:val="0"/>
                                    <w:spacing w:line="240" w:lineRule="exact"/>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108</w:t>
                                  </w:r>
                                </w:p>
                              </w:tc>
                              <w:tc>
                                <w:tcPr>
                                  <w:tcW w:w="711" w:type="pct"/>
                                  <w:vAlign w:val="center"/>
                                </w:tcPr>
                                <w:p w14:paraId="0444B456" w14:textId="77777777" w:rsidR="0097331E" w:rsidRPr="00093D9E" w:rsidRDefault="0097331E" w:rsidP="00824CD6">
                                  <w:pPr>
                                    <w:overflowPunct w:val="0"/>
                                    <w:snapToGrid w:val="0"/>
                                    <w:spacing w:line="240" w:lineRule="exact"/>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110</w:t>
                                  </w:r>
                                </w:p>
                              </w:tc>
                              <w:tc>
                                <w:tcPr>
                                  <w:tcW w:w="1087" w:type="pct"/>
                                  <w:vAlign w:val="center"/>
                                </w:tcPr>
                                <w:p w14:paraId="5AC70894" w14:textId="77777777" w:rsidR="0097331E" w:rsidRPr="00093D9E" w:rsidRDefault="0097331E" w:rsidP="00824CD6">
                                  <w:pPr>
                                    <w:overflowPunct w:val="0"/>
                                    <w:snapToGrid w:val="0"/>
                                    <w:spacing w:line="240" w:lineRule="exact"/>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112</w:t>
                                  </w:r>
                                </w:p>
                              </w:tc>
                              <w:tc>
                                <w:tcPr>
                                  <w:tcW w:w="712" w:type="pct"/>
                                  <w:vAlign w:val="center"/>
                                </w:tcPr>
                                <w:p w14:paraId="20A0FE98" w14:textId="77777777" w:rsidR="0097331E" w:rsidRPr="00093D9E" w:rsidRDefault="0097331E" w:rsidP="00824CD6">
                                  <w:pPr>
                                    <w:overflowPunct w:val="0"/>
                                    <w:snapToGrid w:val="0"/>
                                    <w:spacing w:line="240" w:lineRule="exact"/>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113</w:t>
                                  </w:r>
                                </w:p>
                              </w:tc>
                            </w:tr>
                            <w:tr w:rsidR="0097331E" w:rsidRPr="00372144" w14:paraId="346F9841" w14:textId="77777777" w:rsidTr="00824CD6">
                              <w:trPr>
                                <w:trHeight w:val="386"/>
                              </w:trPr>
                              <w:tc>
                                <w:tcPr>
                                  <w:tcW w:w="1779" w:type="pct"/>
                                  <w:vAlign w:val="center"/>
                                </w:tcPr>
                                <w:p w14:paraId="37BDD6B5" w14:textId="77777777" w:rsidR="0097331E" w:rsidRPr="00093D9E" w:rsidRDefault="0097331E" w:rsidP="00824CD6">
                                  <w:pPr>
                                    <w:overflowPunct w:val="0"/>
                                    <w:snapToGrid w:val="0"/>
                                    <w:spacing w:line="240" w:lineRule="exact"/>
                                    <w:ind w:rightChars="-40" w:right="-96"/>
                                    <w:jc w:val="both"/>
                                    <w:rPr>
                                      <w:rFonts w:ascii="標楷體" w:eastAsia="標楷體" w:hAnsi="標楷體"/>
                                      <w:bCs/>
                                      <w:color w:val="000000"/>
                                      <w:sz w:val="20"/>
                                      <w:szCs w:val="20"/>
                                    </w:rPr>
                                  </w:pPr>
                                  <w:r w:rsidRPr="00093D9E">
                                    <w:rPr>
                                      <w:rFonts w:ascii="標楷體" w:eastAsia="標楷體" w:hAnsi="標楷體" w:hint="eastAsia"/>
                                      <w:bCs/>
                                      <w:color w:val="000000"/>
                                      <w:sz w:val="20"/>
                                      <w:szCs w:val="20"/>
                                    </w:rPr>
                                    <w:t>評鑑區域</w:t>
                                  </w:r>
                                </w:p>
                              </w:tc>
                              <w:tc>
                                <w:tcPr>
                                  <w:tcW w:w="711" w:type="pct"/>
                                  <w:vAlign w:val="center"/>
                                </w:tcPr>
                                <w:p w14:paraId="08E2AA2F" w14:textId="77777777" w:rsidR="0097331E" w:rsidRPr="00093D9E" w:rsidRDefault="0097331E" w:rsidP="00824CD6">
                                  <w:pPr>
                                    <w:overflowPunct w:val="0"/>
                                    <w:snapToGrid w:val="0"/>
                                    <w:spacing w:line="240" w:lineRule="exact"/>
                                    <w:ind w:rightChars="-40" w:right="-96"/>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大安區</w:t>
                                  </w:r>
                                </w:p>
                              </w:tc>
                              <w:tc>
                                <w:tcPr>
                                  <w:tcW w:w="711" w:type="pct"/>
                                  <w:vAlign w:val="center"/>
                                </w:tcPr>
                                <w:p w14:paraId="7AA78B09" w14:textId="77777777" w:rsidR="0097331E" w:rsidRPr="00093D9E" w:rsidRDefault="0097331E" w:rsidP="00824CD6">
                                  <w:pPr>
                                    <w:overflowPunct w:val="0"/>
                                    <w:snapToGrid w:val="0"/>
                                    <w:spacing w:line="240" w:lineRule="exact"/>
                                    <w:ind w:rightChars="-40" w:right="-96"/>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中山區</w:t>
                                  </w:r>
                                </w:p>
                              </w:tc>
                              <w:tc>
                                <w:tcPr>
                                  <w:tcW w:w="1087" w:type="pct"/>
                                  <w:vAlign w:val="center"/>
                                </w:tcPr>
                                <w:p w14:paraId="088DE0CB" w14:textId="77777777" w:rsidR="0097331E" w:rsidRPr="00093D9E" w:rsidRDefault="0097331E" w:rsidP="00824CD6">
                                  <w:pPr>
                                    <w:overflowPunct w:val="0"/>
                                    <w:snapToGrid w:val="0"/>
                                    <w:spacing w:line="240" w:lineRule="exact"/>
                                    <w:ind w:rightChars="-40" w:right="-96"/>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除大安及中山區以外</w:t>
                                  </w:r>
                                </w:p>
                                <w:p w14:paraId="45F57D6C" w14:textId="77777777" w:rsidR="0097331E" w:rsidRPr="00093D9E" w:rsidRDefault="0097331E" w:rsidP="00824CD6">
                                  <w:pPr>
                                    <w:overflowPunct w:val="0"/>
                                    <w:snapToGrid w:val="0"/>
                                    <w:spacing w:line="240" w:lineRule="exact"/>
                                    <w:ind w:rightChars="-40" w:right="-96"/>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之其餘10行政區</w:t>
                                  </w:r>
                                </w:p>
                              </w:tc>
                              <w:tc>
                                <w:tcPr>
                                  <w:tcW w:w="712" w:type="pct"/>
                                  <w:vAlign w:val="center"/>
                                </w:tcPr>
                                <w:p w14:paraId="75D9827B" w14:textId="77777777" w:rsidR="0097331E" w:rsidRPr="00093D9E" w:rsidRDefault="0097331E" w:rsidP="00824CD6">
                                  <w:pPr>
                                    <w:overflowPunct w:val="0"/>
                                    <w:snapToGrid w:val="0"/>
                                    <w:spacing w:line="240" w:lineRule="exact"/>
                                    <w:ind w:rightChars="-40" w:right="-96"/>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大安區</w:t>
                                  </w:r>
                                </w:p>
                              </w:tc>
                            </w:tr>
                            <w:tr w:rsidR="0097331E" w:rsidRPr="00372144" w14:paraId="3249A2A5" w14:textId="77777777" w:rsidTr="00824CD6">
                              <w:trPr>
                                <w:trHeight w:val="196"/>
                              </w:trPr>
                              <w:tc>
                                <w:tcPr>
                                  <w:tcW w:w="1779" w:type="pct"/>
                                </w:tcPr>
                                <w:p w14:paraId="3830BAEC" w14:textId="77777777" w:rsidR="0097331E" w:rsidRPr="00093D9E" w:rsidRDefault="0097331E" w:rsidP="00824CD6">
                                  <w:pPr>
                                    <w:overflowPunct w:val="0"/>
                                    <w:snapToGrid w:val="0"/>
                                    <w:spacing w:line="240" w:lineRule="exact"/>
                                    <w:ind w:rightChars="-40" w:right="-96"/>
                                    <w:rPr>
                                      <w:rFonts w:ascii="標楷體" w:eastAsia="標楷體" w:hAnsi="標楷體"/>
                                      <w:bCs/>
                                      <w:color w:val="000000"/>
                                      <w:sz w:val="20"/>
                                      <w:szCs w:val="20"/>
                                    </w:rPr>
                                  </w:pPr>
                                  <w:r w:rsidRPr="00093D9E">
                                    <w:rPr>
                                      <w:rFonts w:ascii="標楷體" w:eastAsia="標楷體" w:hAnsi="標楷體" w:hint="eastAsia"/>
                                      <w:bCs/>
                                      <w:color w:val="000000"/>
                                      <w:sz w:val="20"/>
                                      <w:szCs w:val="20"/>
                                    </w:rPr>
                                    <w:t>評鑑區域業者家數</w:t>
                                  </w:r>
                                  <w:r>
                                    <w:rPr>
                                      <w:rFonts w:ascii="標楷體" w:eastAsia="標楷體" w:hAnsi="標楷體" w:hint="eastAsia"/>
                                      <w:bCs/>
                                      <w:color w:val="000000"/>
                                      <w:sz w:val="20"/>
                                      <w:szCs w:val="20"/>
                                    </w:rPr>
                                    <w:t>（</w:t>
                                  </w:r>
                                  <w:r>
                                    <w:rPr>
                                      <w:rFonts w:ascii="標楷體" w:eastAsia="標楷體" w:hAnsi="標楷體"/>
                                      <w:bCs/>
                                      <w:color w:val="000000"/>
                                      <w:sz w:val="20"/>
                                      <w:szCs w:val="20"/>
                                    </w:rPr>
                                    <w:t>A</w:t>
                                  </w:r>
                                  <w:r>
                                    <w:rPr>
                                      <w:rFonts w:ascii="標楷體" w:eastAsia="標楷體" w:hAnsi="標楷體" w:hint="eastAsia"/>
                                      <w:bCs/>
                                      <w:color w:val="000000"/>
                                      <w:sz w:val="20"/>
                                      <w:szCs w:val="20"/>
                                    </w:rPr>
                                    <w:t>）</w:t>
                                  </w:r>
                                </w:p>
                              </w:tc>
                              <w:tc>
                                <w:tcPr>
                                  <w:tcW w:w="711" w:type="pct"/>
                                  <w:vAlign w:val="center"/>
                                </w:tcPr>
                                <w:p w14:paraId="407FCA40"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86</w:t>
                                  </w:r>
                                </w:p>
                              </w:tc>
                              <w:tc>
                                <w:tcPr>
                                  <w:tcW w:w="711" w:type="pct"/>
                                  <w:vAlign w:val="center"/>
                                </w:tcPr>
                                <w:p w14:paraId="017EBCEA"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124</w:t>
                                  </w:r>
                                </w:p>
                              </w:tc>
                              <w:tc>
                                <w:tcPr>
                                  <w:tcW w:w="1087" w:type="pct"/>
                                  <w:vAlign w:val="center"/>
                                </w:tcPr>
                                <w:p w14:paraId="7622114E"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97</w:t>
                                  </w:r>
                                </w:p>
                              </w:tc>
                              <w:tc>
                                <w:tcPr>
                                  <w:tcW w:w="712" w:type="pct"/>
                                  <w:vAlign w:val="center"/>
                                </w:tcPr>
                                <w:p w14:paraId="13FED54D"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85</w:t>
                                  </w:r>
                                </w:p>
                              </w:tc>
                            </w:tr>
                            <w:tr w:rsidR="0097331E" w:rsidRPr="00372144" w14:paraId="4809FA20" w14:textId="77777777" w:rsidTr="00824CD6">
                              <w:trPr>
                                <w:trHeight w:val="196"/>
                              </w:trPr>
                              <w:tc>
                                <w:tcPr>
                                  <w:tcW w:w="1779" w:type="pct"/>
                                  <w:tcBorders>
                                    <w:bottom w:val="single" w:sz="4" w:space="0" w:color="auto"/>
                                  </w:tcBorders>
                                </w:tcPr>
                                <w:p w14:paraId="4DF16C35" w14:textId="77777777" w:rsidR="0097331E" w:rsidRPr="00093D9E" w:rsidRDefault="0097331E" w:rsidP="00824CD6">
                                  <w:pPr>
                                    <w:overflowPunct w:val="0"/>
                                    <w:snapToGrid w:val="0"/>
                                    <w:spacing w:line="240" w:lineRule="exact"/>
                                    <w:ind w:rightChars="-40" w:right="-96"/>
                                    <w:rPr>
                                      <w:rFonts w:ascii="標楷體" w:eastAsia="標楷體" w:hAnsi="標楷體"/>
                                      <w:bCs/>
                                      <w:color w:val="000000"/>
                                      <w:sz w:val="20"/>
                                      <w:szCs w:val="20"/>
                                    </w:rPr>
                                  </w:pPr>
                                  <w:r w:rsidRPr="00093D9E">
                                    <w:rPr>
                                      <w:rFonts w:ascii="標楷體" w:eastAsia="標楷體" w:hAnsi="標楷體" w:hint="eastAsia"/>
                                      <w:bCs/>
                                      <w:color w:val="000000"/>
                                      <w:sz w:val="20"/>
                                      <w:szCs w:val="20"/>
                                    </w:rPr>
                                    <w:t>評鑑區域之評鑑家數</w:t>
                                  </w:r>
                                  <w:r>
                                    <w:rPr>
                                      <w:rFonts w:ascii="標楷體" w:eastAsia="標楷體" w:hAnsi="標楷體" w:hint="eastAsia"/>
                                      <w:bCs/>
                                      <w:color w:val="000000"/>
                                      <w:sz w:val="20"/>
                                      <w:szCs w:val="20"/>
                                    </w:rPr>
                                    <w:t>（</w:t>
                                  </w:r>
                                  <w:r>
                                    <w:rPr>
                                      <w:rFonts w:ascii="標楷體" w:eastAsia="標楷體" w:hAnsi="標楷體"/>
                                      <w:bCs/>
                                      <w:color w:val="000000"/>
                                      <w:sz w:val="20"/>
                                      <w:szCs w:val="20"/>
                                    </w:rPr>
                                    <w:t>B</w:t>
                                  </w:r>
                                  <w:r>
                                    <w:rPr>
                                      <w:rFonts w:ascii="標楷體" w:eastAsia="標楷體" w:hAnsi="標楷體" w:hint="eastAsia"/>
                                      <w:bCs/>
                                      <w:color w:val="000000"/>
                                      <w:sz w:val="20"/>
                                      <w:szCs w:val="20"/>
                                    </w:rPr>
                                    <w:t>）</w:t>
                                  </w:r>
                                </w:p>
                              </w:tc>
                              <w:tc>
                                <w:tcPr>
                                  <w:tcW w:w="711" w:type="pct"/>
                                  <w:tcBorders>
                                    <w:bottom w:val="single" w:sz="4" w:space="0" w:color="auto"/>
                                  </w:tcBorders>
                                  <w:vAlign w:val="center"/>
                                </w:tcPr>
                                <w:p w14:paraId="41D1060B"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25</w:t>
                                  </w:r>
                                </w:p>
                              </w:tc>
                              <w:tc>
                                <w:tcPr>
                                  <w:tcW w:w="711" w:type="pct"/>
                                  <w:tcBorders>
                                    <w:bottom w:val="single" w:sz="4" w:space="0" w:color="auto"/>
                                  </w:tcBorders>
                                  <w:vAlign w:val="center"/>
                                </w:tcPr>
                                <w:p w14:paraId="0AE1B734"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30</w:t>
                                  </w:r>
                                </w:p>
                              </w:tc>
                              <w:tc>
                                <w:tcPr>
                                  <w:tcW w:w="1087" w:type="pct"/>
                                  <w:tcBorders>
                                    <w:bottom w:val="single" w:sz="4" w:space="0" w:color="auto"/>
                                  </w:tcBorders>
                                  <w:vAlign w:val="center"/>
                                </w:tcPr>
                                <w:p w14:paraId="103E0C40"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25</w:t>
                                  </w:r>
                                </w:p>
                              </w:tc>
                              <w:tc>
                                <w:tcPr>
                                  <w:tcW w:w="712" w:type="pct"/>
                                  <w:tcBorders>
                                    <w:bottom w:val="single" w:sz="4" w:space="0" w:color="auto"/>
                                  </w:tcBorders>
                                  <w:vAlign w:val="center"/>
                                </w:tcPr>
                                <w:p w14:paraId="3768BC3B"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24</w:t>
                                  </w:r>
                                </w:p>
                              </w:tc>
                            </w:tr>
                            <w:tr w:rsidR="0097331E" w:rsidRPr="00372144" w14:paraId="7E8C1D97" w14:textId="77777777" w:rsidTr="00824CD6">
                              <w:trPr>
                                <w:trHeight w:val="188"/>
                              </w:trPr>
                              <w:tc>
                                <w:tcPr>
                                  <w:tcW w:w="1779" w:type="pct"/>
                                  <w:tcBorders>
                                    <w:bottom w:val="single" w:sz="4" w:space="0" w:color="auto"/>
                                  </w:tcBorders>
                                </w:tcPr>
                                <w:p w14:paraId="41CD7D89" w14:textId="77777777" w:rsidR="0097331E" w:rsidRPr="00F2617C" w:rsidRDefault="0097331E" w:rsidP="00824CD6">
                                  <w:pPr>
                                    <w:overflowPunct w:val="0"/>
                                    <w:snapToGrid w:val="0"/>
                                    <w:spacing w:line="240" w:lineRule="exact"/>
                                    <w:ind w:rightChars="-40" w:right="-96"/>
                                    <w:rPr>
                                      <w:rFonts w:ascii="標楷體" w:eastAsia="標楷體" w:hAnsi="標楷體"/>
                                      <w:bCs/>
                                      <w:color w:val="000000"/>
                                      <w:sz w:val="20"/>
                                      <w:szCs w:val="20"/>
                                    </w:rPr>
                                  </w:pPr>
                                  <w:r w:rsidRPr="00093D9E">
                                    <w:rPr>
                                      <w:rFonts w:ascii="標楷體" w:eastAsia="標楷體" w:hAnsi="標楷體" w:hint="eastAsia"/>
                                      <w:bCs/>
                                      <w:color w:val="000000"/>
                                      <w:sz w:val="20"/>
                                      <w:szCs w:val="20"/>
                                    </w:rPr>
                                    <w:t>評鑑區域評鑑家數比率</w:t>
                                  </w:r>
                                  <w:r w:rsidRPr="006434E1">
                                    <w:rPr>
                                      <w:rFonts w:ascii="標楷體" w:eastAsia="標楷體" w:hAnsi="標楷體" w:hint="eastAsia"/>
                                      <w:bCs/>
                                      <w:color w:val="000000"/>
                                      <w:sz w:val="20"/>
                                      <w:szCs w:val="20"/>
                                    </w:rPr>
                                    <w:t>（</w:t>
                                  </w:r>
                                  <w:r>
                                    <w:rPr>
                                      <w:rFonts w:ascii="標楷體" w:eastAsia="標楷體" w:hAnsi="標楷體" w:hint="eastAsia"/>
                                      <w:bCs/>
                                      <w:color w:val="000000"/>
                                      <w:sz w:val="20"/>
                                      <w:szCs w:val="20"/>
                                    </w:rPr>
                                    <w:t>B</w:t>
                                  </w:r>
                                  <w:r w:rsidRPr="006434E1">
                                    <w:rPr>
                                      <w:rFonts w:ascii="標楷體" w:eastAsia="標楷體" w:hAnsi="標楷體"/>
                                      <w:bCs/>
                                      <w:color w:val="000000"/>
                                      <w:sz w:val="20"/>
                                      <w:szCs w:val="20"/>
                                    </w:rPr>
                                    <w:t>/</w:t>
                                  </w:r>
                                  <w:r>
                                    <w:rPr>
                                      <w:rFonts w:ascii="標楷體" w:eastAsia="標楷體" w:hAnsi="標楷體"/>
                                      <w:bCs/>
                                      <w:color w:val="000000"/>
                                      <w:sz w:val="20"/>
                                      <w:szCs w:val="20"/>
                                    </w:rPr>
                                    <w:t>A</w:t>
                                  </w:r>
                                  <w:r w:rsidRPr="006434E1">
                                    <w:rPr>
                                      <w:rFonts w:ascii="標楷體" w:eastAsia="標楷體" w:hAnsi="標楷體"/>
                                      <w:bCs/>
                                      <w:color w:val="000000"/>
                                      <w:sz w:val="20"/>
                                      <w:szCs w:val="20"/>
                                    </w:rPr>
                                    <w:t>×100</w:t>
                                  </w:r>
                                  <w:r w:rsidRPr="006434E1">
                                    <w:rPr>
                                      <w:rFonts w:ascii="標楷體" w:eastAsia="標楷體" w:hAnsi="標楷體" w:hint="eastAsia"/>
                                      <w:bCs/>
                                      <w:color w:val="000000"/>
                                      <w:sz w:val="20"/>
                                      <w:szCs w:val="20"/>
                                    </w:rPr>
                                    <w:t>）</w:t>
                                  </w:r>
                                </w:p>
                              </w:tc>
                              <w:tc>
                                <w:tcPr>
                                  <w:tcW w:w="711" w:type="pct"/>
                                  <w:tcBorders>
                                    <w:bottom w:val="single" w:sz="4" w:space="0" w:color="auto"/>
                                  </w:tcBorders>
                                  <w:vAlign w:val="center"/>
                                </w:tcPr>
                                <w:p w14:paraId="0355B76E"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29.07</w:t>
                                  </w:r>
                                </w:p>
                              </w:tc>
                              <w:tc>
                                <w:tcPr>
                                  <w:tcW w:w="711" w:type="pct"/>
                                  <w:tcBorders>
                                    <w:bottom w:val="single" w:sz="4" w:space="0" w:color="auto"/>
                                  </w:tcBorders>
                                  <w:vAlign w:val="center"/>
                                </w:tcPr>
                                <w:p w14:paraId="0A6AB574"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24.19</w:t>
                                  </w:r>
                                </w:p>
                              </w:tc>
                              <w:tc>
                                <w:tcPr>
                                  <w:tcW w:w="1087" w:type="pct"/>
                                  <w:tcBorders>
                                    <w:bottom w:val="single" w:sz="4" w:space="0" w:color="auto"/>
                                  </w:tcBorders>
                                  <w:vAlign w:val="center"/>
                                </w:tcPr>
                                <w:p w14:paraId="3ABFE959"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25.77</w:t>
                                  </w:r>
                                </w:p>
                              </w:tc>
                              <w:tc>
                                <w:tcPr>
                                  <w:tcW w:w="712" w:type="pct"/>
                                  <w:tcBorders>
                                    <w:bottom w:val="single" w:sz="4" w:space="0" w:color="auto"/>
                                  </w:tcBorders>
                                  <w:vAlign w:val="center"/>
                                </w:tcPr>
                                <w:p w14:paraId="6F67DCBC"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28.24</w:t>
                                  </w:r>
                                </w:p>
                              </w:tc>
                            </w:tr>
                          </w:tbl>
                          <w:p w14:paraId="60582F73" w14:textId="77777777" w:rsidR="0097331E" w:rsidRDefault="0097331E" w:rsidP="0097331E">
                            <w:pPr>
                              <w:overflowPunct w:val="0"/>
                              <w:snapToGrid w:val="0"/>
                              <w:spacing w:line="240" w:lineRule="exact"/>
                              <w:ind w:leftChars="118" w:left="283"/>
                              <w:jc w:val="both"/>
                              <w:rPr>
                                <w:rFonts w:ascii="標楷體" w:eastAsia="標楷體" w:hAnsi="標楷體"/>
                                <w:bCs/>
                                <w:sz w:val="18"/>
                                <w:szCs w:val="18"/>
                              </w:rPr>
                            </w:pPr>
                            <w:proofErr w:type="gramStart"/>
                            <w:r w:rsidRPr="00372144">
                              <w:rPr>
                                <w:rFonts w:ascii="標楷體" w:eastAsia="標楷體" w:hAnsi="標楷體" w:hint="eastAsia"/>
                                <w:bCs/>
                                <w:sz w:val="18"/>
                                <w:szCs w:val="18"/>
                              </w:rPr>
                              <w:t>註</w:t>
                            </w:r>
                            <w:proofErr w:type="gramEnd"/>
                            <w:r w:rsidRPr="00372144">
                              <w:rPr>
                                <w:rFonts w:ascii="標楷體" w:eastAsia="標楷體" w:hAnsi="標楷體" w:hint="eastAsia"/>
                                <w:bCs/>
                                <w:sz w:val="18"/>
                                <w:szCs w:val="18"/>
                              </w:rPr>
                              <w:t>：1.109及</w:t>
                            </w:r>
                            <w:proofErr w:type="gramStart"/>
                            <w:r w:rsidRPr="00372144">
                              <w:rPr>
                                <w:rFonts w:ascii="標楷體" w:eastAsia="標楷體" w:hAnsi="標楷體" w:hint="eastAsia"/>
                                <w:bCs/>
                                <w:sz w:val="18"/>
                                <w:szCs w:val="18"/>
                              </w:rPr>
                              <w:t>111</w:t>
                            </w:r>
                            <w:proofErr w:type="gramEnd"/>
                            <w:r w:rsidRPr="00372144">
                              <w:rPr>
                                <w:rFonts w:ascii="標楷體" w:eastAsia="標楷體" w:hAnsi="標楷體" w:hint="eastAsia"/>
                                <w:bCs/>
                                <w:sz w:val="18"/>
                                <w:szCs w:val="18"/>
                              </w:rPr>
                              <w:t>年度評鑑</w:t>
                            </w:r>
                            <w:r w:rsidRPr="00020AE3">
                              <w:rPr>
                                <w:rFonts w:ascii="標楷體" w:eastAsia="標楷體" w:hAnsi="標楷體" w:hint="eastAsia"/>
                                <w:bCs/>
                                <w:sz w:val="18"/>
                                <w:szCs w:val="18"/>
                              </w:rPr>
                              <w:t>受</w:t>
                            </w:r>
                            <w:proofErr w:type="gramStart"/>
                            <w:r w:rsidRPr="00020AE3">
                              <w:rPr>
                                <w:rFonts w:ascii="標楷體" w:eastAsia="標楷體" w:hAnsi="標楷體" w:hint="eastAsia"/>
                                <w:bCs/>
                                <w:sz w:val="18"/>
                                <w:szCs w:val="18"/>
                              </w:rPr>
                              <w:t>新型冠</w:t>
                            </w:r>
                            <w:proofErr w:type="gramEnd"/>
                            <w:r w:rsidRPr="00020AE3">
                              <w:rPr>
                                <w:rFonts w:ascii="標楷體" w:eastAsia="標楷體" w:hAnsi="標楷體" w:hint="eastAsia"/>
                                <w:bCs/>
                                <w:sz w:val="18"/>
                                <w:szCs w:val="18"/>
                              </w:rPr>
                              <w:t>狀病毒肺炎（COVID-19）</w:t>
                            </w:r>
                            <w:proofErr w:type="gramStart"/>
                            <w:r w:rsidRPr="00020AE3">
                              <w:rPr>
                                <w:rFonts w:ascii="標楷體" w:eastAsia="標楷體" w:hAnsi="標楷體" w:hint="eastAsia"/>
                                <w:bCs/>
                                <w:sz w:val="18"/>
                                <w:szCs w:val="18"/>
                              </w:rPr>
                              <w:t>疫</w:t>
                            </w:r>
                            <w:proofErr w:type="gramEnd"/>
                            <w:r w:rsidRPr="00020AE3">
                              <w:rPr>
                                <w:rFonts w:ascii="標楷體" w:eastAsia="標楷體" w:hAnsi="標楷體" w:hint="eastAsia"/>
                                <w:bCs/>
                                <w:sz w:val="18"/>
                                <w:szCs w:val="18"/>
                              </w:rPr>
                              <w:t>情影響而停辦</w:t>
                            </w:r>
                            <w:r w:rsidRPr="00372144">
                              <w:rPr>
                                <w:rFonts w:ascii="標楷體" w:eastAsia="標楷體" w:hAnsi="標楷體" w:hint="eastAsia"/>
                                <w:bCs/>
                                <w:sz w:val="18"/>
                                <w:szCs w:val="18"/>
                              </w:rPr>
                              <w:t>。</w:t>
                            </w:r>
                          </w:p>
                          <w:p w14:paraId="322149E3" w14:textId="77777777" w:rsidR="0097331E" w:rsidRPr="00093D9E" w:rsidRDefault="0097331E" w:rsidP="0097331E">
                            <w:pPr>
                              <w:overflowPunct w:val="0"/>
                              <w:snapToGrid w:val="0"/>
                              <w:spacing w:line="240" w:lineRule="exact"/>
                              <w:ind w:leftChars="118" w:left="283" w:firstLineChars="200" w:firstLine="360"/>
                              <w:jc w:val="both"/>
                              <w:rPr>
                                <w:rFonts w:ascii="標楷體" w:eastAsia="標楷體" w:hAnsi="標楷體"/>
                                <w:bCs/>
                                <w:sz w:val="18"/>
                                <w:szCs w:val="18"/>
                              </w:rPr>
                            </w:pPr>
                            <w:r w:rsidRPr="00372144">
                              <w:rPr>
                                <w:rFonts w:ascii="標楷體" w:eastAsia="標楷體" w:hAnsi="標楷體" w:hint="eastAsia"/>
                                <w:bCs/>
                                <w:sz w:val="18"/>
                                <w:szCs w:val="18"/>
                              </w:rPr>
                              <w:t>2.資料來源：整理自</w:t>
                            </w:r>
                            <w:r w:rsidRPr="00783CA4">
                              <w:rPr>
                                <w:rFonts w:ascii="標楷體" w:eastAsia="標楷體" w:hAnsi="標楷體" w:hint="eastAsia"/>
                                <w:bCs/>
                                <w:sz w:val="18"/>
                                <w:szCs w:val="18"/>
                              </w:rPr>
                              <w:t>殯葬</w:t>
                            </w:r>
                            <w:r>
                              <w:rPr>
                                <w:rFonts w:ascii="標楷體" w:eastAsia="標楷體" w:hAnsi="標楷體" w:hint="eastAsia"/>
                                <w:bCs/>
                                <w:sz w:val="18"/>
                                <w:szCs w:val="18"/>
                              </w:rPr>
                              <w:t>管理</w:t>
                            </w:r>
                            <w:r w:rsidRPr="00783CA4">
                              <w:rPr>
                                <w:rFonts w:ascii="標楷體" w:eastAsia="標楷體" w:hAnsi="標楷體" w:hint="eastAsia"/>
                                <w:bCs/>
                                <w:sz w:val="18"/>
                                <w:szCs w:val="18"/>
                              </w:rPr>
                              <w:t>處</w:t>
                            </w:r>
                            <w:r w:rsidRPr="00372144">
                              <w:rPr>
                                <w:rFonts w:ascii="標楷體" w:eastAsia="標楷體" w:hAnsi="標楷體" w:hint="eastAsia"/>
                                <w:bCs/>
                                <w:sz w:val="18"/>
                                <w:szCs w:val="18"/>
                              </w:rPr>
                              <w:t>提供資料。</w:t>
                            </w:r>
                          </w:p>
                          <w:p w14:paraId="421C4DA6" w14:textId="77777777" w:rsidR="0097331E" w:rsidRPr="00093D9E" w:rsidRDefault="0097331E" w:rsidP="0097331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8F5576A" id="文字方塊 110" o:spid="_x0000_s1037" type="#_x0000_t202" style="position:absolute;left:0;text-align:left;margin-left:-21.85pt;margin-top:252.35pt;width:540.2pt;height:132pt;z-index:251790336;visibility:visible;mso-wrap-style:square;mso-wrap-distance-left:9pt;mso-wrap-distance-top:0;mso-wrap-distance-right:9pt;mso-wrap-distance-bottom:0;mso-position-horizontal:absolute;mso-position-horizontal-relative:margin;mso-position-vertical:absolute;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" fillcolor="white [3201]" stroked="f" strokeweight=".5pt">
                <v:textbox>
                  <w:txbxContent>
                    <w:p w14:paraId="55CD1BAE" w14:textId="77777777" w:rsidR="0097331E" w:rsidRDefault="0097331E" w:rsidP="0013652D">
                      <w:pPr>
                        <w:overflowPunct w:val="0"/>
                        <w:snapToGrid w:val="0"/>
                        <w:spacing w:line="240" w:lineRule="exact"/>
                        <w:jc w:val="center"/>
                        <w:rPr>
                          <w:rFonts w:ascii="標楷體" w:eastAsia="標楷體" w:hAnsi="標楷體"/>
                          <w:b/>
                          <w:bCs/>
                          <w:kern w:val="0"/>
                        </w:rPr>
                      </w:pPr>
                      <w:r w:rsidRPr="00093D9E">
                        <w:rPr>
                          <w:rFonts w:ascii="標楷體" w:eastAsia="標楷體" w:hAnsi="標楷體" w:hint="eastAsia"/>
                          <w:b/>
                          <w:bCs/>
                          <w:kern w:val="0"/>
                        </w:rPr>
                        <w:t>表</w:t>
                      </w:r>
                      <w:r>
                        <w:rPr>
                          <w:rFonts w:ascii="標楷體" w:eastAsia="標楷體" w:hAnsi="標楷體"/>
                          <w:b/>
                          <w:bCs/>
                          <w:kern w:val="0"/>
                        </w:rPr>
                        <w:t>2</w:t>
                      </w:r>
                      <w:r w:rsidRPr="00093D9E">
                        <w:rPr>
                          <w:rFonts w:ascii="標楷體" w:eastAsia="標楷體" w:hAnsi="標楷體" w:hint="eastAsia"/>
                          <w:b/>
                          <w:bCs/>
                          <w:kern w:val="0"/>
                        </w:rPr>
                        <w:t xml:space="preserve">  辦理殯葬禮儀服務業評鑑情形</w:t>
                      </w:r>
                    </w:p>
                    <w:p w14:paraId="38ABC39E" w14:textId="77777777" w:rsidR="0097331E" w:rsidRPr="00173F1E" w:rsidRDefault="0097331E" w:rsidP="0097331E">
                      <w:pPr>
                        <w:overflowPunct w:val="0"/>
                        <w:snapToGrid w:val="0"/>
                        <w:spacing w:line="240" w:lineRule="exact"/>
                        <w:ind w:leftChars="425" w:left="1020" w:rightChars="107" w:right="257" w:firstLineChars="205" w:firstLine="410"/>
                        <w:jc w:val="right"/>
                        <w:rPr>
                          <w:rFonts w:ascii="標楷體" w:eastAsia="標楷體" w:hAnsi="標楷體"/>
                          <w:kern w:val="0"/>
                          <w:sz w:val="20"/>
                          <w:szCs w:val="20"/>
                        </w:rPr>
                      </w:pPr>
                      <w:r>
                        <w:rPr>
                          <w:rFonts w:ascii="標楷體" w:eastAsia="標楷體" w:hAnsi="標楷體" w:hint="eastAsia"/>
                          <w:kern w:val="0"/>
                          <w:sz w:val="20"/>
                          <w:szCs w:val="20"/>
                        </w:rPr>
                        <w:t>單位：家、％</w:t>
                      </w:r>
                    </w:p>
                    <w:tbl>
                      <w:tblPr>
                        <w:tblStyle w:val="73"/>
                        <w:tblW w:w="4731" w:type="pct"/>
                        <w:tblInd w:w="279" w:type="dxa"/>
                        <w:tblLook w:val="04A0" w:firstRow="1" w:lastRow="0" w:firstColumn="1" w:lastColumn="0" w:noHBand="0" w:noVBand="1"/>
                      </w:tblPr>
                      <w:tblGrid>
                        <w:gridCol w:w="3540"/>
                        <w:gridCol w:w="1414"/>
                        <w:gridCol w:w="1414"/>
                        <w:gridCol w:w="2162"/>
                        <w:gridCol w:w="1416"/>
                      </w:tblGrid>
                      <w:tr w:rsidR="0097331E" w:rsidRPr="00372144" w14:paraId="5B53C51D" w14:textId="77777777" w:rsidTr="00824CD6">
                        <w:trPr>
                          <w:trHeight w:val="257"/>
                          <w:tblHeader/>
                        </w:trPr>
                        <w:tc>
                          <w:tcPr>
                            <w:tcW w:w="1779" w:type="pct"/>
                            <w:vAlign w:val="center"/>
                          </w:tcPr>
                          <w:p w14:paraId="307C6355" w14:textId="77777777" w:rsidR="0097331E" w:rsidRPr="00093D9E" w:rsidRDefault="0097331E" w:rsidP="00824CD6">
                            <w:pPr>
                              <w:overflowPunct w:val="0"/>
                              <w:snapToGrid w:val="0"/>
                              <w:spacing w:line="240" w:lineRule="exact"/>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年度</w:t>
                            </w:r>
                          </w:p>
                        </w:tc>
                        <w:tc>
                          <w:tcPr>
                            <w:tcW w:w="711" w:type="pct"/>
                            <w:vAlign w:val="center"/>
                          </w:tcPr>
                          <w:p w14:paraId="2EFB930A" w14:textId="77777777" w:rsidR="0097331E" w:rsidRPr="00093D9E" w:rsidRDefault="0097331E" w:rsidP="00824CD6">
                            <w:pPr>
                              <w:overflowPunct w:val="0"/>
                              <w:snapToGrid w:val="0"/>
                              <w:spacing w:line="240" w:lineRule="exact"/>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108</w:t>
                            </w:r>
                          </w:p>
                        </w:tc>
                        <w:tc>
                          <w:tcPr>
                            <w:tcW w:w="711" w:type="pct"/>
                            <w:vAlign w:val="center"/>
                          </w:tcPr>
                          <w:p w14:paraId="0444B456" w14:textId="77777777" w:rsidR="0097331E" w:rsidRPr="00093D9E" w:rsidRDefault="0097331E" w:rsidP="00824CD6">
                            <w:pPr>
                              <w:overflowPunct w:val="0"/>
                              <w:snapToGrid w:val="0"/>
                              <w:spacing w:line="240" w:lineRule="exact"/>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110</w:t>
                            </w:r>
                          </w:p>
                        </w:tc>
                        <w:tc>
                          <w:tcPr>
                            <w:tcW w:w="1087" w:type="pct"/>
                            <w:vAlign w:val="center"/>
                          </w:tcPr>
                          <w:p w14:paraId="5AC70894" w14:textId="77777777" w:rsidR="0097331E" w:rsidRPr="00093D9E" w:rsidRDefault="0097331E" w:rsidP="00824CD6">
                            <w:pPr>
                              <w:overflowPunct w:val="0"/>
                              <w:snapToGrid w:val="0"/>
                              <w:spacing w:line="240" w:lineRule="exact"/>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112</w:t>
                            </w:r>
                          </w:p>
                        </w:tc>
                        <w:tc>
                          <w:tcPr>
                            <w:tcW w:w="712" w:type="pct"/>
                            <w:vAlign w:val="center"/>
                          </w:tcPr>
                          <w:p w14:paraId="20A0FE98" w14:textId="77777777" w:rsidR="0097331E" w:rsidRPr="00093D9E" w:rsidRDefault="0097331E" w:rsidP="00824CD6">
                            <w:pPr>
                              <w:overflowPunct w:val="0"/>
                              <w:snapToGrid w:val="0"/>
                              <w:spacing w:line="240" w:lineRule="exact"/>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113</w:t>
                            </w:r>
                          </w:p>
                        </w:tc>
                      </w:tr>
                      <w:tr w:rsidR="0097331E" w:rsidRPr="00372144" w14:paraId="346F9841" w14:textId="77777777" w:rsidTr="00824CD6">
                        <w:trPr>
                          <w:trHeight w:val="386"/>
                        </w:trPr>
                        <w:tc>
                          <w:tcPr>
                            <w:tcW w:w="1779" w:type="pct"/>
                            <w:vAlign w:val="center"/>
                          </w:tcPr>
                          <w:p w14:paraId="37BDD6B5" w14:textId="77777777" w:rsidR="0097331E" w:rsidRPr="00093D9E" w:rsidRDefault="0097331E" w:rsidP="00824CD6">
                            <w:pPr>
                              <w:overflowPunct w:val="0"/>
                              <w:snapToGrid w:val="0"/>
                              <w:spacing w:line="240" w:lineRule="exact"/>
                              <w:ind w:rightChars="-40" w:right="-96"/>
                              <w:jc w:val="both"/>
                              <w:rPr>
                                <w:rFonts w:ascii="標楷體" w:eastAsia="標楷體" w:hAnsi="標楷體"/>
                                <w:bCs/>
                                <w:color w:val="000000"/>
                                <w:sz w:val="20"/>
                                <w:szCs w:val="20"/>
                              </w:rPr>
                            </w:pPr>
                            <w:r w:rsidRPr="00093D9E">
                              <w:rPr>
                                <w:rFonts w:ascii="標楷體" w:eastAsia="標楷體" w:hAnsi="標楷體" w:hint="eastAsia"/>
                                <w:bCs/>
                                <w:color w:val="000000"/>
                                <w:sz w:val="20"/>
                                <w:szCs w:val="20"/>
                              </w:rPr>
                              <w:t>評鑑區域</w:t>
                            </w:r>
                          </w:p>
                        </w:tc>
                        <w:tc>
                          <w:tcPr>
                            <w:tcW w:w="711" w:type="pct"/>
                            <w:vAlign w:val="center"/>
                          </w:tcPr>
                          <w:p w14:paraId="08E2AA2F" w14:textId="77777777" w:rsidR="0097331E" w:rsidRPr="00093D9E" w:rsidRDefault="0097331E" w:rsidP="00824CD6">
                            <w:pPr>
                              <w:overflowPunct w:val="0"/>
                              <w:snapToGrid w:val="0"/>
                              <w:spacing w:line="240" w:lineRule="exact"/>
                              <w:ind w:rightChars="-40" w:right="-96"/>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大安區</w:t>
                            </w:r>
                          </w:p>
                        </w:tc>
                        <w:tc>
                          <w:tcPr>
                            <w:tcW w:w="711" w:type="pct"/>
                            <w:vAlign w:val="center"/>
                          </w:tcPr>
                          <w:p w14:paraId="7AA78B09" w14:textId="77777777" w:rsidR="0097331E" w:rsidRPr="00093D9E" w:rsidRDefault="0097331E" w:rsidP="00824CD6">
                            <w:pPr>
                              <w:overflowPunct w:val="0"/>
                              <w:snapToGrid w:val="0"/>
                              <w:spacing w:line="240" w:lineRule="exact"/>
                              <w:ind w:rightChars="-40" w:right="-96"/>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中山區</w:t>
                            </w:r>
                          </w:p>
                        </w:tc>
                        <w:tc>
                          <w:tcPr>
                            <w:tcW w:w="1087" w:type="pct"/>
                            <w:vAlign w:val="center"/>
                          </w:tcPr>
                          <w:p w14:paraId="088DE0CB" w14:textId="77777777" w:rsidR="0097331E" w:rsidRPr="00093D9E" w:rsidRDefault="0097331E" w:rsidP="00824CD6">
                            <w:pPr>
                              <w:overflowPunct w:val="0"/>
                              <w:snapToGrid w:val="0"/>
                              <w:spacing w:line="240" w:lineRule="exact"/>
                              <w:ind w:rightChars="-40" w:right="-96"/>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除大安及中山區以外</w:t>
                            </w:r>
                          </w:p>
                          <w:p w14:paraId="45F57D6C" w14:textId="77777777" w:rsidR="0097331E" w:rsidRPr="00093D9E" w:rsidRDefault="0097331E" w:rsidP="00824CD6">
                            <w:pPr>
                              <w:overflowPunct w:val="0"/>
                              <w:snapToGrid w:val="0"/>
                              <w:spacing w:line="240" w:lineRule="exact"/>
                              <w:ind w:rightChars="-40" w:right="-96"/>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之其餘10行政區</w:t>
                            </w:r>
                          </w:p>
                        </w:tc>
                        <w:tc>
                          <w:tcPr>
                            <w:tcW w:w="712" w:type="pct"/>
                            <w:vAlign w:val="center"/>
                          </w:tcPr>
                          <w:p w14:paraId="75D9827B" w14:textId="77777777" w:rsidR="0097331E" w:rsidRPr="00093D9E" w:rsidRDefault="0097331E" w:rsidP="00824CD6">
                            <w:pPr>
                              <w:overflowPunct w:val="0"/>
                              <w:snapToGrid w:val="0"/>
                              <w:spacing w:line="240" w:lineRule="exact"/>
                              <w:ind w:rightChars="-40" w:right="-96"/>
                              <w:jc w:val="center"/>
                              <w:rPr>
                                <w:rFonts w:ascii="標楷體" w:eastAsia="標楷體" w:hAnsi="標楷體"/>
                                <w:bCs/>
                                <w:color w:val="000000"/>
                                <w:sz w:val="20"/>
                                <w:szCs w:val="20"/>
                              </w:rPr>
                            </w:pPr>
                            <w:r w:rsidRPr="00093D9E">
                              <w:rPr>
                                <w:rFonts w:ascii="標楷體" w:eastAsia="標楷體" w:hAnsi="標楷體" w:hint="eastAsia"/>
                                <w:bCs/>
                                <w:color w:val="000000"/>
                                <w:sz w:val="20"/>
                                <w:szCs w:val="20"/>
                              </w:rPr>
                              <w:t>大安區</w:t>
                            </w:r>
                          </w:p>
                        </w:tc>
                      </w:tr>
                      <w:tr w:rsidR="0097331E" w:rsidRPr="00372144" w14:paraId="3249A2A5" w14:textId="77777777" w:rsidTr="00824CD6">
                        <w:trPr>
                          <w:trHeight w:val="196"/>
                        </w:trPr>
                        <w:tc>
                          <w:tcPr>
                            <w:tcW w:w="1779" w:type="pct"/>
                          </w:tcPr>
                          <w:p w14:paraId="3830BAEC" w14:textId="77777777" w:rsidR="0097331E" w:rsidRPr="00093D9E" w:rsidRDefault="0097331E" w:rsidP="00824CD6">
                            <w:pPr>
                              <w:overflowPunct w:val="0"/>
                              <w:snapToGrid w:val="0"/>
                              <w:spacing w:line="240" w:lineRule="exact"/>
                              <w:ind w:rightChars="-40" w:right="-96"/>
                              <w:rPr>
                                <w:rFonts w:ascii="標楷體" w:eastAsia="標楷體" w:hAnsi="標楷體"/>
                                <w:bCs/>
                                <w:color w:val="000000"/>
                                <w:sz w:val="20"/>
                                <w:szCs w:val="20"/>
                              </w:rPr>
                            </w:pPr>
                            <w:r w:rsidRPr="00093D9E">
                              <w:rPr>
                                <w:rFonts w:ascii="標楷體" w:eastAsia="標楷體" w:hAnsi="標楷體" w:hint="eastAsia"/>
                                <w:bCs/>
                                <w:color w:val="000000"/>
                                <w:sz w:val="20"/>
                                <w:szCs w:val="20"/>
                              </w:rPr>
                              <w:t>評鑑區域業者家數</w:t>
                            </w:r>
                            <w:r>
                              <w:rPr>
                                <w:rFonts w:ascii="標楷體" w:eastAsia="標楷體" w:hAnsi="標楷體" w:hint="eastAsia"/>
                                <w:bCs/>
                                <w:color w:val="000000"/>
                                <w:sz w:val="20"/>
                                <w:szCs w:val="20"/>
                              </w:rPr>
                              <w:t>（</w:t>
                            </w:r>
                            <w:r>
                              <w:rPr>
                                <w:rFonts w:ascii="標楷體" w:eastAsia="標楷體" w:hAnsi="標楷體"/>
                                <w:bCs/>
                                <w:color w:val="000000"/>
                                <w:sz w:val="20"/>
                                <w:szCs w:val="20"/>
                              </w:rPr>
                              <w:t>A</w:t>
                            </w:r>
                            <w:r>
                              <w:rPr>
                                <w:rFonts w:ascii="標楷體" w:eastAsia="標楷體" w:hAnsi="標楷體" w:hint="eastAsia"/>
                                <w:bCs/>
                                <w:color w:val="000000"/>
                                <w:sz w:val="20"/>
                                <w:szCs w:val="20"/>
                              </w:rPr>
                              <w:t>）</w:t>
                            </w:r>
                          </w:p>
                        </w:tc>
                        <w:tc>
                          <w:tcPr>
                            <w:tcW w:w="711" w:type="pct"/>
                            <w:vAlign w:val="center"/>
                          </w:tcPr>
                          <w:p w14:paraId="407FCA40"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86</w:t>
                            </w:r>
                          </w:p>
                        </w:tc>
                        <w:tc>
                          <w:tcPr>
                            <w:tcW w:w="711" w:type="pct"/>
                            <w:vAlign w:val="center"/>
                          </w:tcPr>
                          <w:p w14:paraId="017EBCEA"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124</w:t>
                            </w:r>
                          </w:p>
                        </w:tc>
                        <w:tc>
                          <w:tcPr>
                            <w:tcW w:w="1087" w:type="pct"/>
                            <w:vAlign w:val="center"/>
                          </w:tcPr>
                          <w:p w14:paraId="7622114E"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97</w:t>
                            </w:r>
                          </w:p>
                        </w:tc>
                        <w:tc>
                          <w:tcPr>
                            <w:tcW w:w="712" w:type="pct"/>
                            <w:vAlign w:val="center"/>
                          </w:tcPr>
                          <w:p w14:paraId="13FED54D"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85</w:t>
                            </w:r>
                          </w:p>
                        </w:tc>
                      </w:tr>
                      <w:tr w:rsidR="0097331E" w:rsidRPr="00372144" w14:paraId="4809FA20" w14:textId="77777777" w:rsidTr="00824CD6">
                        <w:trPr>
                          <w:trHeight w:val="196"/>
                        </w:trPr>
                        <w:tc>
                          <w:tcPr>
                            <w:tcW w:w="1779" w:type="pct"/>
                            <w:tcBorders>
                              <w:bottom w:val="single" w:sz="4" w:space="0" w:color="auto"/>
                            </w:tcBorders>
                          </w:tcPr>
                          <w:p w14:paraId="4DF16C35" w14:textId="77777777" w:rsidR="0097331E" w:rsidRPr="00093D9E" w:rsidRDefault="0097331E" w:rsidP="00824CD6">
                            <w:pPr>
                              <w:overflowPunct w:val="0"/>
                              <w:snapToGrid w:val="0"/>
                              <w:spacing w:line="240" w:lineRule="exact"/>
                              <w:ind w:rightChars="-40" w:right="-96"/>
                              <w:rPr>
                                <w:rFonts w:ascii="標楷體" w:eastAsia="標楷體" w:hAnsi="標楷體"/>
                                <w:bCs/>
                                <w:color w:val="000000"/>
                                <w:sz w:val="20"/>
                                <w:szCs w:val="20"/>
                              </w:rPr>
                            </w:pPr>
                            <w:r w:rsidRPr="00093D9E">
                              <w:rPr>
                                <w:rFonts w:ascii="標楷體" w:eastAsia="標楷體" w:hAnsi="標楷體" w:hint="eastAsia"/>
                                <w:bCs/>
                                <w:color w:val="000000"/>
                                <w:sz w:val="20"/>
                                <w:szCs w:val="20"/>
                              </w:rPr>
                              <w:t>評鑑區域之評鑑家數</w:t>
                            </w:r>
                            <w:r>
                              <w:rPr>
                                <w:rFonts w:ascii="標楷體" w:eastAsia="標楷體" w:hAnsi="標楷體" w:hint="eastAsia"/>
                                <w:bCs/>
                                <w:color w:val="000000"/>
                                <w:sz w:val="20"/>
                                <w:szCs w:val="20"/>
                              </w:rPr>
                              <w:t>（</w:t>
                            </w:r>
                            <w:r>
                              <w:rPr>
                                <w:rFonts w:ascii="標楷體" w:eastAsia="標楷體" w:hAnsi="標楷體"/>
                                <w:bCs/>
                                <w:color w:val="000000"/>
                                <w:sz w:val="20"/>
                                <w:szCs w:val="20"/>
                              </w:rPr>
                              <w:t>B</w:t>
                            </w:r>
                            <w:r>
                              <w:rPr>
                                <w:rFonts w:ascii="標楷體" w:eastAsia="標楷體" w:hAnsi="標楷體" w:hint="eastAsia"/>
                                <w:bCs/>
                                <w:color w:val="000000"/>
                                <w:sz w:val="20"/>
                                <w:szCs w:val="20"/>
                              </w:rPr>
                              <w:t>）</w:t>
                            </w:r>
                          </w:p>
                        </w:tc>
                        <w:tc>
                          <w:tcPr>
                            <w:tcW w:w="711" w:type="pct"/>
                            <w:tcBorders>
                              <w:bottom w:val="single" w:sz="4" w:space="0" w:color="auto"/>
                            </w:tcBorders>
                            <w:vAlign w:val="center"/>
                          </w:tcPr>
                          <w:p w14:paraId="41D1060B"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25</w:t>
                            </w:r>
                          </w:p>
                        </w:tc>
                        <w:tc>
                          <w:tcPr>
                            <w:tcW w:w="711" w:type="pct"/>
                            <w:tcBorders>
                              <w:bottom w:val="single" w:sz="4" w:space="0" w:color="auto"/>
                            </w:tcBorders>
                            <w:vAlign w:val="center"/>
                          </w:tcPr>
                          <w:p w14:paraId="0AE1B734"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30</w:t>
                            </w:r>
                          </w:p>
                        </w:tc>
                        <w:tc>
                          <w:tcPr>
                            <w:tcW w:w="1087" w:type="pct"/>
                            <w:tcBorders>
                              <w:bottom w:val="single" w:sz="4" w:space="0" w:color="auto"/>
                            </w:tcBorders>
                            <w:vAlign w:val="center"/>
                          </w:tcPr>
                          <w:p w14:paraId="103E0C40"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25</w:t>
                            </w:r>
                          </w:p>
                        </w:tc>
                        <w:tc>
                          <w:tcPr>
                            <w:tcW w:w="712" w:type="pct"/>
                            <w:tcBorders>
                              <w:bottom w:val="single" w:sz="4" w:space="0" w:color="auto"/>
                            </w:tcBorders>
                            <w:vAlign w:val="center"/>
                          </w:tcPr>
                          <w:p w14:paraId="3768BC3B"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24</w:t>
                            </w:r>
                          </w:p>
                        </w:tc>
                      </w:tr>
                      <w:tr w:rsidR="0097331E" w:rsidRPr="00372144" w14:paraId="7E8C1D97" w14:textId="77777777" w:rsidTr="00824CD6">
                        <w:trPr>
                          <w:trHeight w:val="188"/>
                        </w:trPr>
                        <w:tc>
                          <w:tcPr>
                            <w:tcW w:w="1779" w:type="pct"/>
                            <w:tcBorders>
                              <w:bottom w:val="single" w:sz="4" w:space="0" w:color="auto"/>
                            </w:tcBorders>
                          </w:tcPr>
                          <w:p w14:paraId="41CD7D89" w14:textId="77777777" w:rsidR="0097331E" w:rsidRPr="00F2617C" w:rsidRDefault="0097331E" w:rsidP="00824CD6">
                            <w:pPr>
                              <w:overflowPunct w:val="0"/>
                              <w:snapToGrid w:val="0"/>
                              <w:spacing w:line="240" w:lineRule="exact"/>
                              <w:ind w:rightChars="-40" w:right="-96"/>
                              <w:rPr>
                                <w:rFonts w:ascii="標楷體" w:eastAsia="標楷體" w:hAnsi="標楷體"/>
                                <w:bCs/>
                                <w:color w:val="000000"/>
                                <w:sz w:val="20"/>
                                <w:szCs w:val="20"/>
                              </w:rPr>
                            </w:pPr>
                            <w:r w:rsidRPr="00093D9E">
                              <w:rPr>
                                <w:rFonts w:ascii="標楷體" w:eastAsia="標楷體" w:hAnsi="標楷體" w:hint="eastAsia"/>
                                <w:bCs/>
                                <w:color w:val="000000"/>
                                <w:sz w:val="20"/>
                                <w:szCs w:val="20"/>
                              </w:rPr>
                              <w:t>評鑑區域評鑑家數比率</w:t>
                            </w:r>
                            <w:r w:rsidRPr="006434E1">
                              <w:rPr>
                                <w:rFonts w:ascii="標楷體" w:eastAsia="標楷體" w:hAnsi="標楷體" w:hint="eastAsia"/>
                                <w:bCs/>
                                <w:color w:val="000000"/>
                                <w:sz w:val="20"/>
                                <w:szCs w:val="20"/>
                              </w:rPr>
                              <w:t>（</w:t>
                            </w:r>
                            <w:r>
                              <w:rPr>
                                <w:rFonts w:ascii="標楷體" w:eastAsia="標楷體" w:hAnsi="標楷體" w:hint="eastAsia"/>
                                <w:bCs/>
                                <w:color w:val="000000"/>
                                <w:sz w:val="20"/>
                                <w:szCs w:val="20"/>
                              </w:rPr>
                              <w:t>B</w:t>
                            </w:r>
                            <w:r w:rsidRPr="006434E1">
                              <w:rPr>
                                <w:rFonts w:ascii="標楷體" w:eastAsia="標楷體" w:hAnsi="標楷體"/>
                                <w:bCs/>
                                <w:color w:val="000000"/>
                                <w:sz w:val="20"/>
                                <w:szCs w:val="20"/>
                              </w:rPr>
                              <w:t>/</w:t>
                            </w:r>
                            <w:r>
                              <w:rPr>
                                <w:rFonts w:ascii="標楷體" w:eastAsia="標楷體" w:hAnsi="標楷體"/>
                                <w:bCs/>
                                <w:color w:val="000000"/>
                                <w:sz w:val="20"/>
                                <w:szCs w:val="20"/>
                              </w:rPr>
                              <w:t>A</w:t>
                            </w:r>
                            <w:r w:rsidRPr="006434E1">
                              <w:rPr>
                                <w:rFonts w:ascii="標楷體" w:eastAsia="標楷體" w:hAnsi="標楷體"/>
                                <w:bCs/>
                                <w:color w:val="000000"/>
                                <w:sz w:val="20"/>
                                <w:szCs w:val="20"/>
                              </w:rPr>
                              <w:t>×100</w:t>
                            </w:r>
                            <w:r w:rsidRPr="006434E1">
                              <w:rPr>
                                <w:rFonts w:ascii="標楷體" w:eastAsia="標楷體" w:hAnsi="標楷體" w:hint="eastAsia"/>
                                <w:bCs/>
                                <w:color w:val="000000"/>
                                <w:sz w:val="20"/>
                                <w:szCs w:val="20"/>
                              </w:rPr>
                              <w:t>）</w:t>
                            </w:r>
                          </w:p>
                        </w:tc>
                        <w:tc>
                          <w:tcPr>
                            <w:tcW w:w="711" w:type="pct"/>
                            <w:tcBorders>
                              <w:bottom w:val="single" w:sz="4" w:space="0" w:color="auto"/>
                            </w:tcBorders>
                            <w:vAlign w:val="center"/>
                          </w:tcPr>
                          <w:p w14:paraId="0355B76E"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29.07</w:t>
                            </w:r>
                          </w:p>
                        </w:tc>
                        <w:tc>
                          <w:tcPr>
                            <w:tcW w:w="711" w:type="pct"/>
                            <w:tcBorders>
                              <w:bottom w:val="single" w:sz="4" w:space="0" w:color="auto"/>
                            </w:tcBorders>
                            <w:vAlign w:val="center"/>
                          </w:tcPr>
                          <w:p w14:paraId="0A6AB574"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24.19</w:t>
                            </w:r>
                          </w:p>
                        </w:tc>
                        <w:tc>
                          <w:tcPr>
                            <w:tcW w:w="1087" w:type="pct"/>
                            <w:tcBorders>
                              <w:bottom w:val="single" w:sz="4" w:space="0" w:color="auto"/>
                            </w:tcBorders>
                            <w:vAlign w:val="center"/>
                          </w:tcPr>
                          <w:p w14:paraId="3ABFE959"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25.77</w:t>
                            </w:r>
                          </w:p>
                        </w:tc>
                        <w:tc>
                          <w:tcPr>
                            <w:tcW w:w="712" w:type="pct"/>
                            <w:tcBorders>
                              <w:bottom w:val="single" w:sz="4" w:space="0" w:color="auto"/>
                            </w:tcBorders>
                            <w:vAlign w:val="center"/>
                          </w:tcPr>
                          <w:p w14:paraId="6F67DCBC" w14:textId="77777777" w:rsidR="0097331E" w:rsidRPr="00093D9E" w:rsidRDefault="0097331E" w:rsidP="00824CD6">
                            <w:pPr>
                              <w:overflowPunct w:val="0"/>
                              <w:snapToGrid w:val="0"/>
                              <w:spacing w:line="240" w:lineRule="exact"/>
                              <w:ind w:rightChars="15" w:right="36"/>
                              <w:jc w:val="right"/>
                              <w:rPr>
                                <w:rFonts w:ascii="標楷體" w:eastAsia="標楷體" w:hAnsi="標楷體"/>
                                <w:bCs/>
                                <w:color w:val="000000"/>
                                <w:sz w:val="20"/>
                                <w:szCs w:val="20"/>
                              </w:rPr>
                            </w:pPr>
                            <w:r w:rsidRPr="00093D9E">
                              <w:rPr>
                                <w:rFonts w:ascii="標楷體" w:eastAsia="標楷體" w:hAnsi="標楷體" w:hint="eastAsia"/>
                                <w:bCs/>
                                <w:color w:val="000000"/>
                                <w:sz w:val="20"/>
                                <w:szCs w:val="20"/>
                              </w:rPr>
                              <w:t>28.24</w:t>
                            </w:r>
                          </w:p>
                        </w:tc>
                      </w:tr>
                    </w:tbl>
                    <w:p w14:paraId="60582F73" w14:textId="77777777" w:rsidR="0097331E" w:rsidRDefault="0097331E" w:rsidP="0097331E">
                      <w:pPr>
                        <w:overflowPunct w:val="0"/>
                        <w:snapToGrid w:val="0"/>
                        <w:spacing w:line="240" w:lineRule="exact"/>
                        <w:ind w:leftChars="118" w:left="283"/>
                        <w:jc w:val="both"/>
                        <w:rPr>
                          <w:rFonts w:ascii="標楷體" w:eastAsia="標楷體" w:hAnsi="標楷體"/>
                          <w:bCs/>
                          <w:sz w:val="18"/>
                          <w:szCs w:val="18"/>
                        </w:rPr>
                      </w:pPr>
                      <w:proofErr w:type="gramStart"/>
                      <w:r w:rsidRPr="00372144">
                        <w:rPr>
                          <w:rFonts w:ascii="標楷體" w:eastAsia="標楷體" w:hAnsi="標楷體" w:hint="eastAsia"/>
                          <w:bCs/>
                          <w:sz w:val="18"/>
                          <w:szCs w:val="18"/>
                        </w:rPr>
                        <w:t>註</w:t>
                      </w:r>
                      <w:proofErr w:type="gramEnd"/>
                      <w:r w:rsidRPr="00372144">
                        <w:rPr>
                          <w:rFonts w:ascii="標楷體" w:eastAsia="標楷體" w:hAnsi="標楷體" w:hint="eastAsia"/>
                          <w:bCs/>
                          <w:sz w:val="18"/>
                          <w:szCs w:val="18"/>
                        </w:rPr>
                        <w:t>：1.109及</w:t>
                      </w:r>
                      <w:proofErr w:type="gramStart"/>
                      <w:r w:rsidRPr="00372144">
                        <w:rPr>
                          <w:rFonts w:ascii="標楷體" w:eastAsia="標楷體" w:hAnsi="標楷體" w:hint="eastAsia"/>
                          <w:bCs/>
                          <w:sz w:val="18"/>
                          <w:szCs w:val="18"/>
                        </w:rPr>
                        <w:t>111</w:t>
                      </w:r>
                      <w:proofErr w:type="gramEnd"/>
                      <w:r w:rsidRPr="00372144">
                        <w:rPr>
                          <w:rFonts w:ascii="標楷體" w:eastAsia="標楷體" w:hAnsi="標楷體" w:hint="eastAsia"/>
                          <w:bCs/>
                          <w:sz w:val="18"/>
                          <w:szCs w:val="18"/>
                        </w:rPr>
                        <w:t>年度評鑑</w:t>
                      </w:r>
                      <w:r w:rsidRPr="00020AE3">
                        <w:rPr>
                          <w:rFonts w:ascii="標楷體" w:eastAsia="標楷體" w:hAnsi="標楷體" w:hint="eastAsia"/>
                          <w:bCs/>
                          <w:sz w:val="18"/>
                          <w:szCs w:val="18"/>
                        </w:rPr>
                        <w:t>受</w:t>
                      </w:r>
                      <w:proofErr w:type="gramStart"/>
                      <w:r w:rsidRPr="00020AE3">
                        <w:rPr>
                          <w:rFonts w:ascii="標楷體" w:eastAsia="標楷體" w:hAnsi="標楷體" w:hint="eastAsia"/>
                          <w:bCs/>
                          <w:sz w:val="18"/>
                          <w:szCs w:val="18"/>
                        </w:rPr>
                        <w:t>新型冠</w:t>
                      </w:r>
                      <w:proofErr w:type="gramEnd"/>
                      <w:r w:rsidRPr="00020AE3">
                        <w:rPr>
                          <w:rFonts w:ascii="標楷體" w:eastAsia="標楷體" w:hAnsi="標楷體" w:hint="eastAsia"/>
                          <w:bCs/>
                          <w:sz w:val="18"/>
                          <w:szCs w:val="18"/>
                        </w:rPr>
                        <w:t>狀病毒肺炎（COVID-19）</w:t>
                      </w:r>
                      <w:proofErr w:type="gramStart"/>
                      <w:r w:rsidRPr="00020AE3">
                        <w:rPr>
                          <w:rFonts w:ascii="標楷體" w:eastAsia="標楷體" w:hAnsi="標楷體" w:hint="eastAsia"/>
                          <w:bCs/>
                          <w:sz w:val="18"/>
                          <w:szCs w:val="18"/>
                        </w:rPr>
                        <w:t>疫</w:t>
                      </w:r>
                      <w:proofErr w:type="gramEnd"/>
                      <w:r w:rsidRPr="00020AE3">
                        <w:rPr>
                          <w:rFonts w:ascii="標楷體" w:eastAsia="標楷體" w:hAnsi="標楷體" w:hint="eastAsia"/>
                          <w:bCs/>
                          <w:sz w:val="18"/>
                          <w:szCs w:val="18"/>
                        </w:rPr>
                        <w:t>情影響而停辦</w:t>
                      </w:r>
                      <w:r w:rsidRPr="00372144">
                        <w:rPr>
                          <w:rFonts w:ascii="標楷體" w:eastAsia="標楷體" w:hAnsi="標楷體" w:hint="eastAsia"/>
                          <w:bCs/>
                          <w:sz w:val="18"/>
                          <w:szCs w:val="18"/>
                        </w:rPr>
                        <w:t>。</w:t>
                      </w:r>
                    </w:p>
                    <w:p w14:paraId="322149E3" w14:textId="77777777" w:rsidR="0097331E" w:rsidRPr="00093D9E" w:rsidRDefault="0097331E" w:rsidP="0097331E">
                      <w:pPr>
                        <w:overflowPunct w:val="0"/>
                        <w:snapToGrid w:val="0"/>
                        <w:spacing w:line="240" w:lineRule="exact"/>
                        <w:ind w:leftChars="118" w:left="283" w:firstLineChars="200" w:firstLine="360"/>
                        <w:jc w:val="both"/>
                        <w:rPr>
                          <w:rFonts w:ascii="標楷體" w:eastAsia="標楷體" w:hAnsi="標楷體"/>
                          <w:bCs/>
                          <w:sz w:val="18"/>
                          <w:szCs w:val="18"/>
                        </w:rPr>
                      </w:pPr>
                      <w:r w:rsidRPr="00372144">
                        <w:rPr>
                          <w:rFonts w:ascii="標楷體" w:eastAsia="標楷體" w:hAnsi="標楷體" w:hint="eastAsia"/>
                          <w:bCs/>
                          <w:sz w:val="18"/>
                          <w:szCs w:val="18"/>
                        </w:rPr>
                        <w:t>2.資料來源：整理自</w:t>
                      </w:r>
                      <w:r w:rsidRPr="00783CA4">
                        <w:rPr>
                          <w:rFonts w:ascii="標楷體" w:eastAsia="標楷體" w:hAnsi="標楷體" w:hint="eastAsia"/>
                          <w:bCs/>
                          <w:sz w:val="18"/>
                          <w:szCs w:val="18"/>
                        </w:rPr>
                        <w:t>殯葬</w:t>
                      </w:r>
                      <w:r>
                        <w:rPr>
                          <w:rFonts w:ascii="標楷體" w:eastAsia="標楷體" w:hAnsi="標楷體" w:hint="eastAsia"/>
                          <w:bCs/>
                          <w:sz w:val="18"/>
                          <w:szCs w:val="18"/>
                        </w:rPr>
                        <w:t>管理</w:t>
                      </w:r>
                      <w:r w:rsidRPr="00783CA4">
                        <w:rPr>
                          <w:rFonts w:ascii="標楷體" w:eastAsia="標楷體" w:hAnsi="標楷體" w:hint="eastAsia"/>
                          <w:bCs/>
                          <w:sz w:val="18"/>
                          <w:szCs w:val="18"/>
                        </w:rPr>
                        <w:t>處</w:t>
                      </w:r>
                      <w:r w:rsidRPr="00372144">
                        <w:rPr>
                          <w:rFonts w:ascii="標楷體" w:eastAsia="標楷體" w:hAnsi="標楷體" w:hint="eastAsia"/>
                          <w:bCs/>
                          <w:sz w:val="18"/>
                          <w:szCs w:val="18"/>
                        </w:rPr>
                        <w:t>提供資料。</w:t>
                      </w:r>
                    </w:p>
                    <w:p w14:paraId="421C4DA6" w14:textId="77777777" w:rsidR="0097331E" w:rsidRPr="00093D9E" w:rsidRDefault="0097331E" w:rsidP="0097331E"/>
                  </w:txbxContent>
                </v:textbox>
                <w10:wrap type="topAndBottom" anchorx="margin" anchory="margin"/>
              </v:shape>
            </w:pict>
          </mc:Fallback>
        </mc:AlternateContent>
      </w:r>
      <w:r w:rsidR="0097331E" w:rsidRPr="00916ABD">
        <w:rPr>
          <w:rFonts w:ascii="標楷體" w:eastAsia="標楷體" w:hAnsi="標楷體" w:hint="eastAsia"/>
        </w:rPr>
        <w:t>受評者」，其中「依法應受評者」係將全市殯葬服務業劃分為大安區、中山區、前揭2個行政區外之10個行政區等3評鑑區域，每年度評鑑1區域，3年</w:t>
      </w:r>
      <w:r w:rsidR="0097331E">
        <w:rPr>
          <w:rFonts w:ascii="標楷體" w:eastAsia="標楷體" w:hAnsi="標楷體" w:hint="eastAsia"/>
        </w:rPr>
        <w:t>完成全區</w:t>
      </w:r>
      <w:r w:rsidR="0097331E" w:rsidRPr="00916ABD">
        <w:rPr>
          <w:rFonts w:ascii="標楷體" w:eastAsia="標楷體" w:hAnsi="標楷體" w:hint="eastAsia"/>
        </w:rPr>
        <w:t>1次評鑑</w:t>
      </w:r>
      <w:r w:rsidR="0097331E">
        <w:rPr>
          <w:rFonts w:ascii="標楷體" w:eastAsia="標楷體" w:hAnsi="標楷體" w:hint="eastAsia"/>
        </w:rPr>
        <w:t>，評鑑成績達80分以上為優良。查該處113年</w:t>
      </w:r>
      <w:r w:rsidR="0097331E" w:rsidRPr="008D2B0D">
        <w:rPr>
          <w:rFonts w:ascii="標楷體" w:eastAsia="標楷體" w:hAnsi="標楷體" w:hint="eastAsia"/>
        </w:rPr>
        <w:t>列管轄內私立殯葬設施業者計有2家</w:t>
      </w:r>
      <w:r w:rsidR="0097331E">
        <w:rPr>
          <w:rFonts w:ascii="標楷體" w:eastAsia="標楷體" w:hAnsi="標楷體" w:hint="eastAsia"/>
        </w:rPr>
        <w:t>，</w:t>
      </w:r>
      <w:r w:rsidR="0097331E" w:rsidRPr="008D2B0D">
        <w:rPr>
          <w:rFonts w:ascii="標楷體" w:eastAsia="標楷體" w:hAnsi="標楷體" w:hint="eastAsia"/>
        </w:rPr>
        <w:t>其中</w:t>
      </w:r>
      <w:r w:rsidR="0097331E">
        <w:rPr>
          <w:rFonts w:ascii="標楷體" w:eastAsia="標楷體" w:hAnsi="標楷體" w:hint="eastAsia"/>
        </w:rPr>
        <w:t>1家</w:t>
      </w:r>
      <w:r w:rsidR="0097331E" w:rsidRPr="007B4967">
        <w:rPr>
          <w:rFonts w:ascii="標楷體" w:eastAsia="標楷體" w:hAnsi="標楷體" w:hint="eastAsia"/>
        </w:rPr>
        <w:t>業者</w:t>
      </w:r>
      <w:r w:rsidR="0097331E">
        <w:rPr>
          <w:rFonts w:ascii="標楷體" w:eastAsia="標楷體" w:hAnsi="標楷體" w:hint="eastAsia"/>
        </w:rPr>
        <w:t>已於</w:t>
      </w:r>
      <w:r w:rsidR="0097331E" w:rsidRPr="006561C9">
        <w:rPr>
          <w:rFonts w:ascii="標楷體" w:eastAsia="標楷體" w:hAnsi="標楷體" w:hint="eastAsia"/>
        </w:rPr>
        <w:t>106年2月</w:t>
      </w:r>
      <w:r w:rsidR="0097331E">
        <w:rPr>
          <w:rFonts w:ascii="標楷體" w:eastAsia="標楷體" w:hAnsi="標楷體" w:hint="eastAsia"/>
        </w:rPr>
        <w:t>及</w:t>
      </w:r>
      <w:r w:rsidR="0097331E" w:rsidRPr="006561C9">
        <w:rPr>
          <w:rFonts w:ascii="標楷體" w:eastAsia="標楷體" w:hAnsi="標楷體" w:hint="eastAsia"/>
        </w:rPr>
        <w:t>113年7月</w:t>
      </w:r>
      <w:r w:rsidR="0097331E">
        <w:rPr>
          <w:rFonts w:ascii="標楷體" w:eastAsia="標楷體" w:hAnsi="標楷體" w:hint="eastAsia"/>
        </w:rPr>
        <w:t>獲准</w:t>
      </w:r>
      <w:r w:rsidR="0097331E" w:rsidRPr="006561C9">
        <w:rPr>
          <w:rFonts w:ascii="標楷體" w:eastAsia="標楷體" w:hAnsi="標楷體" w:hint="eastAsia"/>
        </w:rPr>
        <w:t>啟用祭祀空間及骨（</w:t>
      </w:r>
      <w:proofErr w:type="gramStart"/>
      <w:r w:rsidR="0097331E" w:rsidRPr="006561C9">
        <w:rPr>
          <w:rFonts w:ascii="標楷體" w:eastAsia="標楷體" w:hAnsi="標楷體" w:hint="eastAsia"/>
        </w:rPr>
        <w:t>骸</w:t>
      </w:r>
      <w:proofErr w:type="gramEnd"/>
      <w:r w:rsidR="0097331E" w:rsidRPr="006561C9">
        <w:rPr>
          <w:rFonts w:ascii="標楷體" w:eastAsia="標楷體" w:hAnsi="標楷體" w:hint="eastAsia"/>
        </w:rPr>
        <w:t>）存放設施</w:t>
      </w:r>
      <w:r w:rsidR="0097331E">
        <w:rPr>
          <w:rFonts w:ascii="標楷體" w:eastAsia="標楷體" w:hAnsi="標楷體" w:hint="eastAsia"/>
        </w:rPr>
        <w:t>，惟</w:t>
      </w:r>
      <w:proofErr w:type="gramStart"/>
      <w:r w:rsidR="0097331E">
        <w:rPr>
          <w:rFonts w:ascii="標楷體" w:eastAsia="標楷體" w:hAnsi="標楷體" w:hint="eastAsia"/>
        </w:rPr>
        <w:t>該處迄未</w:t>
      </w:r>
      <w:proofErr w:type="gramEnd"/>
      <w:r w:rsidR="0097331E" w:rsidRPr="007B4967">
        <w:rPr>
          <w:rFonts w:ascii="標楷體" w:eastAsia="標楷體" w:hAnsi="標楷體" w:hint="eastAsia"/>
        </w:rPr>
        <w:t>辦理評鑑</w:t>
      </w:r>
      <w:r w:rsidR="0097331E">
        <w:rPr>
          <w:rFonts w:ascii="標楷體" w:eastAsia="標楷體" w:hAnsi="標楷體" w:hint="eastAsia"/>
        </w:rPr>
        <w:t>；另該處</w:t>
      </w:r>
      <w:r w:rsidR="0097331E" w:rsidRPr="006561C9">
        <w:rPr>
          <w:rFonts w:ascii="標楷體" w:eastAsia="標楷體" w:hAnsi="標楷體" w:hint="eastAsia"/>
        </w:rPr>
        <w:t>於</w:t>
      </w:r>
      <w:r w:rsidR="0097331E">
        <w:rPr>
          <w:rFonts w:ascii="標楷體" w:eastAsia="標楷體" w:hAnsi="標楷體" w:hint="eastAsia"/>
        </w:rPr>
        <w:t>108至113年度【109及111年度</w:t>
      </w:r>
      <w:bookmarkStart w:id="25" w:name="_Hlk200008184"/>
      <w:r w:rsidR="0097331E">
        <w:rPr>
          <w:rFonts w:ascii="標楷體" w:eastAsia="標楷體" w:hAnsi="標楷體" w:hint="eastAsia"/>
        </w:rPr>
        <w:t>受新型冠狀病毒肺炎（</w:t>
      </w:r>
      <w:r w:rsidR="0097331E">
        <w:rPr>
          <w:rFonts w:ascii="標楷體" w:eastAsia="標楷體" w:hAnsi="標楷體"/>
        </w:rPr>
        <w:t>COVID-19</w:t>
      </w:r>
      <w:r w:rsidR="0097331E">
        <w:rPr>
          <w:rFonts w:ascii="標楷體" w:eastAsia="標楷體" w:hAnsi="標楷體" w:hint="eastAsia"/>
        </w:rPr>
        <w:t>）</w:t>
      </w:r>
      <w:bookmarkEnd w:id="25"/>
      <w:r w:rsidR="0097331E">
        <w:rPr>
          <w:rFonts w:ascii="標楷體" w:eastAsia="標楷體" w:hAnsi="標楷體" w:hint="eastAsia"/>
        </w:rPr>
        <w:t>疫情影響而</w:t>
      </w:r>
      <w:r w:rsidR="0097331E" w:rsidRPr="00020AE3">
        <w:rPr>
          <w:rFonts w:ascii="標楷體" w:eastAsia="標楷體" w:hAnsi="標楷體" w:hint="eastAsia"/>
        </w:rPr>
        <w:t>停辦</w:t>
      </w:r>
      <w:r w:rsidR="0097331E">
        <w:rPr>
          <w:rFonts w:ascii="標楷體" w:eastAsia="標楷體" w:hAnsi="標楷體" w:hint="eastAsia"/>
        </w:rPr>
        <w:t>】按序</w:t>
      </w:r>
      <w:r w:rsidR="0097331E" w:rsidRPr="00B94A44">
        <w:rPr>
          <w:rFonts w:ascii="標楷體" w:eastAsia="標楷體" w:hAnsi="標楷體" w:hint="eastAsia"/>
        </w:rPr>
        <w:t>辦理</w:t>
      </w:r>
      <w:r w:rsidR="0097331E">
        <w:rPr>
          <w:rFonts w:ascii="標楷體" w:eastAsia="標楷體" w:hAnsi="標楷體" w:hint="eastAsia"/>
        </w:rPr>
        <w:t>該3區域</w:t>
      </w:r>
      <w:r w:rsidR="0097331E" w:rsidRPr="00B94A44">
        <w:rPr>
          <w:rFonts w:ascii="標楷體" w:eastAsia="標楷體" w:hAnsi="標楷體" w:hint="eastAsia"/>
        </w:rPr>
        <w:t>殯葬禮儀服務業評鑑</w:t>
      </w:r>
      <w:r w:rsidR="0097331E">
        <w:rPr>
          <w:rFonts w:ascii="標楷體" w:eastAsia="標楷體" w:hAnsi="標楷體" w:hint="eastAsia"/>
        </w:rPr>
        <w:t>，</w:t>
      </w:r>
      <w:r w:rsidR="0097331E" w:rsidRPr="00B94A44">
        <w:rPr>
          <w:rFonts w:ascii="標楷體" w:eastAsia="標楷體" w:hAnsi="標楷體" w:hint="eastAsia"/>
        </w:rPr>
        <w:t>各年度</w:t>
      </w:r>
      <w:r w:rsidR="0097331E">
        <w:rPr>
          <w:rFonts w:ascii="標楷體" w:eastAsia="標楷體" w:hAnsi="標楷體" w:hint="eastAsia"/>
        </w:rPr>
        <w:t>實際</w:t>
      </w:r>
      <w:r w:rsidR="0097331E" w:rsidRPr="00B94A44">
        <w:rPr>
          <w:rFonts w:ascii="標楷體" w:eastAsia="標楷體" w:hAnsi="標楷體" w:hint="eastAsia"/>
        </w:rPr>
        <w:t>評鑑</w:t>
      </w:r>
      <w:r w:rsidR="0097331E">
        <w:rPr>
          <w:rFonts w:ascii="標楷體" w:eastAsia="標楷體" w:hAnsi="標楷體" w:hint="eastAsia"/>
        </w:rPr>
        <w:t>各</w:t>
      </w:r>
      <w:r w:rsidR="0097331E" w:rsidRPr="00B94A44">
        <w:rPr>
          <w:rFonts w:ascii="標楷體" w:eastAsia="標楷體" w:hAnsi="標楷體" w:hint="eastAsia"/>
        </w:rPr>
        <w:t>區域內之業者家數分別計25家、30家、25家、24家</w:t>
      </w:r>
      <w:r w:rsidR="0097331E">
        <w:rPr>
          <w:rFonts w:ascii="標楷體" w:eastAsia="標楷體" w:hAnsi="標楷體" w:hint="eastAsia"/>
        </w:rPr>
        <w:t>，</w:t>
      </w:r>
      <w:r w:rsidR="0097331E" w:rsidRPr="00B94A44">
        <w:rPr>
          <w:rFonts w:ascii="標楷體" w:eastAsia="標楷體" w:hAnsi="標楷體" w:hint="eastAsia"/>
        </w:rPr>
        <w:t>占各該評鑑區域業者總家數</w:t>
      </w:r>
      <w:r w:rsidR="0097331E">
        <w:rPr>
          <w:rFonts w:ascii="標楷體" w:eastAsia="標楷體" w:hAnsi="標楷體" w:hint="eastAsia"/>
        </w:rPr>
        <w:t>之</w:t>
      </w:r>
      <w:proofErr w:type="gramStart"/>
      <w:r w:rsidR="0097331E">
        <w:rPr>
          <w:rFonts w:ascii="標楷體" w:eastAsia="標楷體" w:hAnsi="標楷體" w:hint="eastAsia"/>
        </w:rPr>
        <w:t>比率均</w:t>
      </w:r>
      <w:r w:rsidR="0097331E" w:rsidRPr="007B4967">
        <w:rPr>
          <w:rFonts w:ascii="標楷體" w:eastAsia="標楷體" w:hAnsi="標楷體" w:hint="eastAsia"/>
        </w:rPr>
        <w:t>未及3成</w:t>
      </w:r>
      <w:proofErr w:type="gramEnd"/>
      <w:r w:rsidR="0097331E">
        <w:rPr>
          <w:rFonts w:ascii="標楷體" w:eastAsia="標楷體" w:hAnsi="標楷體" w:hint="eastAsia"/>
        </w:rPr>
        <w:t>（表</w:t>
      </w:r>
      <w:r w:rsidR="0097331E">
        <w:rPr>
          <w:rFonts w:ascii="標楷體" w:eastAsia="標楷體" w:hAnsi="標楷體"/>
        </w:rPr>
        <w:t>2</w:t>
      </w:r>
      <w:r w:rsidR="0097331E">
        <w:rPr>
          <w:rFonts w:ascii="標楷體" w:eastAsia="標楷體" w:hAnsi="標楷體" w:hint="eastAsia"/>
        </w:rPr>
        <w:t>），</w:t>
      </w:r>
      <w:r w:rsidR="0097331E" w:rsidRPr="00B94A44">
        <w:rPr>
          <w:rFonts w:ascii="標楷體" w:eastAsia="標楷體" w:hAnsi="標楷體" w:hint="eastAsia"/>
        </w:rPr>
        <w:t>難以掌握轄內業者經營管理現況及對消費者權益保護措施等落實情形</w:t>
      </w:r>
      <w:r w:rsidR="0097331E">
        <w:rPr>
          <w:rFonts w:ascii="標楷體" w:eastAsia="標楷體" w:hAnsi="標楷體" w:hint="eastAsia"/>
        </w:rPr>
        <w:t>；</w:t>
      </w:r>
      <w:r w:rsidR="0097331E" w:rsidRPr="007B4967">
        <w:rPr>
          <w:rFonts w:ascii="標楷體" w:eastAsia="標楷體" w:hAnsi="標楷體" w:hint="eastAsia"/>
        </w:rPr>
        <w:t>又各年度評鑑結果約有3至</w:t>
      </w:r>
      <w:proofErr w:type="gramStart"/>
      <w:r w:rsidR="0097331E" w:rsidRPr="007B4967">
        <w:rPr>
          <w:rFonts w:ascii="標楷體" w:eastAsia="標楷體" w:hAnsi="標楷體" w:hint="eastAsia"/>
        </w:rPr>
        <w:t>4成</w:t>
      </w:r>
      <w:proofErr w:type="gramEnd"/>
      <w:r w:rsidR="0097331E" w:rsidRPr="007B4967">
        <w:rPr>
          <w:rFonts w:ascii="標楷體" w:eastAsia="標楷體" w:hAnsi="標楷體" w:hint="eastAsia"/>
        </w:rPr>
        <w:t>受評</w:t>
      </w:r>
      <w:r w:rsidR="0097331E">
        <w:rPr>
          <w:rFonts w:ascii="標楷體" w:eastAsia="標楷體" w:hAnsi="標楷體" w:hint="eastAsia"/>
        </w:rPr>
        <w:t>鑑</w:t>
      </w:r>
      <w:r w:rsidR="0097331E" w:rsidRPr="007B4967">
        <w:rPr>
          <w:rFonts w:ascii="標楷體" w:eastAsia="標楷體" w:hAnsi="標楷體" w:hint="eastAsia"/>
        </w:rPr>
        <w:t>業者未獲優良</w:t>
      </w:r>
      <w:r w:rsidR="0097331E">
        <w:rPr>
          <w:rFonts w:ascii="標楷體" w:eastAsia="標楷體" w:hAnsi="標楷體" w:hint="eastAsia"/>
        </w:rPr>
        <w:t>，</w:t>
      </w:r>
      <w:r w:rsidR="0097331E" w:rsidRPr="00B94A44">
        <w:rPr>
          <w:rFonts w:ascii="標楷體" w:eastAsia="標楷體" w:hAnsi="標楷體" w:hint="eastAsia"/>
        </w:rPr>
        <w:t>評鑑缺失主要係未使用定型化契約</w:t>
      </w:r>
      <w:r w:rsidR="0097331E">
        <w:rPr>
          <w:rFonts w:ascii="標楷體" w:eastAsia="標楷體" w:hAnsi="標楷體" w:hint="eastAsia"/>
        </w:rPr>
        <w:t>，</w:t>
      </w:r>
      <w:r w:rsidR="0097331E" w:rsidRPr="00B94A44">
        <w:rPr>
          <w:rFonts w:ascii="標楷體" w:eastAsia="標楷體" w:hAnsi="標楷體" w:hint="eastAsia"/>
        </w:rPr>
        <w:t>或未訂定個人資料檔案安全維護計畫</w:t>
      </w:r>
      <w:r w:rsidR="0097331E">
        <w:rPr>
          <w:rFonts w:ascii="標楷體" w:eastAsia="標楷體" w:hAnsi="標楷體" w:hint="eastAsia"/>
        </w:rPr>
        <w:t>，</w:t>
      </w:r>
      <w:r w:rsidR="0097331E" w:rsidRPr="00B94A44">
        <w:rPr>
          <w:rFonts w:ascii="標楷體" w:eastAsia="標楷體" w:hAnsi="標楷體" w:hint="eastAsia"/>
        </w:rPr>
        <w:t>或營業處所未依規定懸掛許可設立公函</w:t>
      </w:r>
      <w:r w:rsidR="0097331E">
        <w:rPr>
          <w:rFonts w:ascii="標楷體" w:eastAsia="標楷體" w:hAnsi="標楷體" w:hint="eastAsia"/>
        </w:rPr>
        <w:t>等情事，</w:t>
      </w:r>
      <w:r w:rsidR="0097331E" w:rsidRPr="008D2B0D">
        <w:rPr>
          <w:rFonts w:ascii="標楷體" w:eastAsia="標楷體" w:hAnsi="標楷體" w:hint="eastAsia"/>
        </w:rPr>
        <w:t>經函請</w:t>
      </w:r>
      <w:proofErr w:type="gramStart"/>
      <w:r w:rsidR="0097331E" w:rsidRPr="008D2B0D">
        <w:rPr>
          <w:rFonts w:ascii="標楷體" w:eastAsia="標楷體" w:hAnsi="標楷體" w:hint="eastAsia"/>
        </w:rPr>
        <w:t>檢討</w:t>
      </w:r>
      <w:r w:rsidR="0097331E">
        <w:rPr>
          <w:rFonts w:ascii="標楷體" w:eastAsia="標楷體" w:hAnsi="標楷體" w:hint="eastAsia"/>
        </w:rPr>
        <w:t>妥處</w:t>
      </w:r>
      <w:proofErr w:type="gramEnd"/>
      <w:r w:rsidR="0097331E" w:rsidRPr="008D2B0D">
        <w:rPr>
          <w:rFonts w:ascii="標楷體" w:eastAsia="標楷體" w:hAnsi="標楷體" w:hint="eastAsia"/>
        </w:rPr>
        <w:t>。據復：</w:t>
      </w:r>
      <w:r w:rsidR="0097331E">
        <w:rPr>
          <w:rFonts w:ascii="標楷體" w:eastAsia="標楷體" w:hAnsi="標楷體" w:hint="eastAsia"/>
        </w:rPr>
        <w:t>該私立殯葬設施業者已規劃於</w:t>
      </w:r>
      <w:proofErr w:type="gramStart"/>
      <w:r w:rsidR="0097331E">
        <w:rPr>
          <w:rFonts w:ascii="標楷體" w:eastAsia="標楷體" w:hAnsi="標楷體" w:hint="eastAsia"/>
        </w:rPr>
        <w:t>114</w:t>
      </w:r>
      <w:proofErr w:type="gramEnd"/>
      <w:r w:rsidR="0097331E">
        <w:rPr>
          <w:rFonts w:ascii="標楷體" w:eastAsia="標楷體" w:hAnsi="標楷體" w:hint="eastAsia"/>
        </w:rPr>
        <w:t>年度進行評鑑，另</w:t>
      </w:r>
      <w:r w:rsidR="0097331E" w:rsidRPr="009F3610">
        <w:rPr>
          <w:rFonts w:ascii="標楷體" w:eastAsia="標楷體" w:hAnsi="標楷體" w:hint="eastAsia"/>
        </w:rPr>
        <w:t>將新增評鑑獎項及提升評鑑家數，又評鑑結果之建議事項，自原3年</w:t>
      </w:r>
      <w:r w:rsidR="0097331E">
        <w:rPr>
          <w:rFonts w:ascii="標楷體" w:eastAsia="標楷體" w:hAnsi="標楷體" w:hint="eastAsia"/>
        </w:rPr>
        <w:t>1</w:t>
      </w:r>
      <w:r w:rsidR="0097331E" w:rsidRPr="009F3610">
        <w:rPr>
          <w:rFonts w:ascii="標楷體" w:eastAsia="標楷體" w:hAnsi="標楷體" w:hint="eastAsia"/>
        </w:rPr>
        <w:t>度追蹤列管機制，</w:t>
      </w:r>
      <w:r w:rsidR="0097331E" w:rsidRPr="0045252C">
        <w:rPr>
          <w:rFonts w:ascii="標楷體" w:eastAsia="標楷體" w:hAnsi="標楷體" w:hint="eastAsia"/>
        </w:rPr>
        <w:t>縮短為次一年度辦理，</w:t>
      </w:r>
      <w:proofErr w:type="gramStart"/>
      <w:r w:rsidR="0097331E" w:rsidRPr="0045252C">
        <w:rPr>
          <w:rFonts w:ascii="標楷體" w:eastAsia="標楷體" w:hAnsi="標楷體" w:hint="eastAsia"/>
        </w:rPr>
        <w:t>俾</w:t>
      </w:r>
      <w:proofErr w:type="gramEnd"/>
      <w:r w:rsidR="0097331E" w:rsidRPr="0045252C">
        <w:rPr>
          <w:rFonts w:ascii="標楷體" w:eastAsia="標楷體" w:hAnsi="標楷體" w:hint="eastAsia"/>
        </w:rPr>
        <w:t>保障消費者權益及提升殯葬服務品質。</w:t>
      </w:r>
    </w:p>
    <w:p w14:paraId="338752C1" w14:textId="6AAF63DA" w:rsidR="0097331E" w:rsidRDefault="0097331E" w:rsidP="0013652D">
      <w:pPr>
        <w:overflowPunct w:val="0"/>
        <w:spacing w:beforeLines="50" w:before="180" w:line="480" w:lineRule="exact"/>
        <w:ind w:firstLineChars="200" w:firstLine="561"/>
        <w:jc w:val="both"/>
        <w:rPr>
          <w:rFonts w:ascii="標楷體" w:eastAsia="標楷體" w:hAnsi="標楷體"/>
          <w:b/>
          <w:bCs/>
          <w:sz w:val="28"/>
          <w:szCs w:val="28"/>
        </w:rPr>
      </w:pPr>
      <w:r w:rsidRPr="00492665">
        <w:rPr>
          <w:rFonts w:ascii="標楷體" w:eastAsia="標楷體" w:hAnsi="標楷體" w:hint="eastAsia"/>
          <w:b/>
          <w:bCs/>
          <w:sz w:val="28"/>
          <w:szCs w:val="28"/>
        </w:rPr>
        <w:t>4.</w:t>
      </w:r>
      <w:bookmarkStart w:id="26" w:name="_Hlk199422954"/>
      <w:r w:rsidRPr="00492665">
        <w:rPr>
          <w:rFonts w:ascii="標楷體" w:eastAsia="標楷體" w:hAnsi="標楷體" w:hint="eastAsia"/>
          <w:b/>
          <w:bCs/>
          <w:sz w:val="28"/>
          <w:szCs w:val="28"/>
        </w:rPr>
        <w:t>推動以米代金政策，塑造心誠則靈之文化新思維，並訂定宗教財團法人</w:t>
      </w:r>
      <w:r>
        <w:rPr>
          <w:rFonts w:ascii="標楷體" w:eastAsia="標楷體" w:hAnsi="標楷體" w:hint="eastAsia"/>
          <w:b/>
          <w:bCs/>
          <w:sz w:val="28"/>
          <w:szCs w:val="28"/>
        </w:rPr>
        <w:t>相關監督要點</w:t>
      </w:r>
      <w:r w:rsidRPr="00492665">
        <w:rPr>
          <w:rFonts w:ascii="標楷體" w:eastAsia="標楷體" w:hAnsi="標楷體" w:hint="eastAsia"/>
          <w:b/>
          <w:bCs/>
          <w:sz w:val="28"/>
          <w:szCs w:val="28"/>
        </w:rPr>
        <w:t>，監督宗教財團法人之財務運作，</w:t>
      </w:r>
      <w:proofErr w:type="gramStart"/>
      <w:r w:rsidRPr="00492665">
        <w:rPr>
          <w:rFonts w:ascii="標楷體" w:eastAsia="標楷體" w:hAnsi="標楷體" w:hint="eastAsia"/>
          <w:b/>
          <w:bCs/>
          <w:sz w:val="28"/>
          <w:szCs w:val="28"/>
        </w:rPr>
        <w:t>惟轄內</w:t>
      </w:r>
      <w:proofErr w:type="gramEnd"/>
      <w:r w:rsidRPr="00492665">
        <w:rPr>
          <w:rFonts w:ascii="標楷體" w:eastAsia="標楷體" w:hAnsi="標楷體" w:hint="eastAsia"/>
          <w:b/>
          <w:bCs/>
          <w:sz w:val="28"/>
          <w:szCs w:val="28"/>
        </w:rPr>
        <w:t>寺廟配合政策之意願仍待提升，且宗教財團法人申報財務報表比率逐年下降等情，有待</w:t>
      </w:r>
      <w:proofErr w:type="gramStart"/>
      <w:r w:rsidRPr="00492665">
        <w:rPr>
          <w:rFonts w:ascii="標楷體" w:eastAsia="標楷體" w:hAnsi="標楷體" w:hint="eastAsia"/>
          <w:b/>
          <w:bCs/>
          <w:sz w:val="28"/>
          <w:szCs w:val="28"/>
        </w:rPr>
        <w:t>研</w:t>
      </w:r>
      <w:proofErr w:type="gramEnd"/>
      <w:r w:rsidRPr="00492665">
        <w:rPr>
          <w:rFonts w:ascii="標楷體" w:eastAsia="標楷體" w:hAnsi="標楷體" w:hint="eastAsia"/>
          <w:b/>
          <w:bCs/>
          <w:sz w:val="28"/>
          <w:szCs w:val="28"/>
        </w:rPr>
        <w:t>謀改善</w:t>
      </w:r>
      <w:bookmarkEnd w:id="26"/>
      <w:r w:rsidRPr="00492665">
        <w:rPr>
          <w:rFonts w:ascii="標楷體" w:eastAsia="標楷體" w:hAnsi="標楷體" w:hint="eastAsia"/>
          <w:b/>
          <w:bCs/>
          <w:sz w:val="28"/>
          <w:szCs w:val="28"/>
        </w:rPr>
        <w:t>。</w:t>
      </w:r>
    </w:p>
    <w:p w14:paraId="3A7AFEFF" w14:textId="25742150" w:rsidR="00A858C7" w:rsidRDefault="0097331E" w:rsidP="00A858C7">
      <w:pPr>
        <w:overflowPunct w:val="0"/>
        <w:spacing w:beforeLines="20" w:before="72" w:line="420" w:lineRule="exact"/>
        <w:ind w:firstLineChars="200" w:firstLine="480"/>
        <w:jc w:val="both"/>
        <w:rPr>
          <w:rFonts w:ascii="標楷體" w:eastAsia="標楷體" w:hAnsi="標楷體"/>
        </w:rPr>
      </w:pPr>
      <w:r>
        <w:rPr>
          <w:rFonts w:ascii="標楷體" w:eastAsia="標楷體" w:hAnsi="標楷體" w:hint="eastAsia"/>
        </w:rPr>
        <w:t>民政局為兼顧祭祀文化推廣與居住環境，自105年起推動「以米代金」政策，透過以平安米代替焚燒香及金銀紙錢，塑造心誠則靈之祭拜文化新思維；復為</w:t>
      </w:r>
      <w:r w:rsidRPr="001208FA">
        <w:rPr>
          <w:rFonts w:ascii="標楷體" w:eastAsia="標楷體" w:hAnsi="標楷體" w:hint="eastAsia"/>
        </w:rPr>
        <w:t>辦理宗教財團法人之設立許可及監督事宜</w:t>
      </w:r>
      <w:r>
        <w:rPr>
          <w:rFonts w:ascii="標楷體" w:eastAsia="標楷體" w:hAnsi="標楷體" w:hint="eastAsia"/>
        </w:rPr>
        <w:t>，並落實</w:t>
      </w:r>
      <w:r w:rsidRPr="001871AB">
        <w:rPr>
          <w:rFonts w:ascii="標楷體" w:eastAsia="標楷體" w:hAnsi="標楷體" w:hint="eastAsia"/>
        </w:rPr>
        <w:t>輔導監督宗教財團法人財務運作</w:t>
      </w:r>
      <w:r>
        <w:rPr>
          <w:rFonts w:ascii="標楷體" w:eastAsia="標楷體" w:hAnsi="標楷體" w:hint="eastAsia"/>
        </w:rPr>
        <w:t>，該局於108年9月訂定</w:t>
      </w:r>
      <w:r w:rsidRPr="001208FA">
        <w:rPr>
          <w:rFonts w:ascii="標楷體" w:eastAsia="標楷體" w:hAnsi="標楷體" w:hint="eastAsia"/>
        </w:rPr>
        <w:t>臺北市政府審查臺北市宗教財團法人設立許可及監督要</w:t>
      </w:r>
      <w:r>
        <w:rPr>
          <w:rFonts w:ascii="標楷體" w:eastAsia="標楷體" w:hAnsi="標楷體" w:hint="eastAsia"/>
        </w:rPr>
        <w:t>點，每年委由會計師協助審查轄管宗教財團法人之財務報表，及</w:t>
      </w:r>
      <w:r w:rsidRPr="002045CB">
        <w:rPr>
          <w:rFonts w:ascii="標楷體" w:eastAsia="標楷體" w:hAnsi="標楷體" w:hint="eastAsia"/>
        </w:rPr>
        <w:t>進行財務輔導</w:t>
      </w:r>
      <w:r>
        <w:rPr>
          <w:rFonts w:ascii="標楷體" w:eastAsia="標楷體" w:hAnsi="標楷體" w:hint="eastAsia"/>
        </w:rPr>
        <w:t>與諮詢</w:t>
      </w:r>
      <w:r w:rsidRPr="002045CB">
        <w:rPr>
          <w:rFonts w:ascii="標楷體" w:eastAsia="標楷體" w:hAnsi="標楷體" w:hint="eastAsia"/>
        </w:rPr>
        <w:t>，或依</w:t>
      </w:r>
      <w:r>
        <w:rPr>
          <w:rFonts w:ascii="標楷體" w:eastAsia="標楷體" w:hAnsi="標楷體" w:hint="eastAsia"/>
        </w:rPr>
        <w:t>該</w:t>
      </w:r>
      <w:r w:rsidRPr="002045CB">
        <w:rPr>
          <w:rFonts w:ascii="標楷體" w:eastAsia="標楷體" w:hAnsi="標楷體" w:hint="eastAsia"/>
        </w:rPr>
        <w:t>局要求</w:t>
      </w:r>
      <w:r>
        <w:rPr>
          <w:rFonts w:ascii="標楷體" w:eastAsia="標楷體" w:hAnsi="標楷體" w:hint="eastAsia"/>
        </w:rPr>
        <w:t>辦理</w:t>
      </w:r>
      <w:r w:rsidRPr="002045CB">
        <w:rPr>
          <w:rFonts w:ascii="標楷體" w:eastAsia="標楷體" w:hAnsi="標楷體" w:hint="eastAsia"/>
        </w:rPr>
        <w:t>財務查核</w:t>
      </w:r>
      <w:r>
        <w:rPr>
          <w:rFonts w:ascii="標楷體" w:eastAsia="標楷體" w:hAnsi="標楷體" w:hint="eastAsia"/>
        </w:rPr>
        <w:t>。</w:t>
      </w:r>
      <w:r w:rsidRPr="001208FA">
        <w:rPr>
          <w:rFonts w:ascii="標楷體" w:eastAsia="標楷體" w:hAnsi="標楷體" w:hint="eastAsia"/>
        </w:rPr>
        <w:t>據</w:t>
      </w:r>
      <w:r>
        <w:rPr>
          <w:rFonts w:ascii="標楷體" w:eastAsia="標楷體" w:hAnsi="標楷體" w:hint="eastAsia"/>
        </w:rPr>
        <w:t>民政局統計截至113年9月5日止，臺北市境內未立案寺廟、教會（聚會所</w:t>
      </w:r>
      <w:r>
        <w:rPr>
          <w:rFonts w:ascii="標楷體" w:eastAsia="標楷體" w:hAnsi="標楷體"/>
        </w:rPr>
        <w:t>）</w:t>
      </w:r>
      <w:r>
        <w:rPr>
          <w:rFonts w:ascii="標楷體" w:eastAsia="標楷體" w:hAnsi="標楷體" w:hint="eastAsia"/>
        </w:rPr>
        <w:t>分別計有</w:t>
      </w:r>
      <w:r w:rsidRPr="001208FA">
        <w:rPr>
          <w:rFonts w:ascii="標楷體" w:eastAsia="標楷體" w:hAnsi="標楷體" w:hint="eastAsia"/>
        </w:rPr>
        <w:t>1,615家、366家</w:t>
      </w:r>
      <w:r>
        <w:rPr>
          <w:rFonts w:ascii="標楷體" w:eastAsia="標楷體" w:hAnsi="標楷體" w:hint="eastAsia"/>
        </w:rPr>
        <w:t>；</w:t>
      </w:r>
      <w:r w:rsidRPr="001208FA">
        <w:rPr>
          <w:rFonts w:ascii="標楷體" w:eastAsia="標楷體" w:hAnsi="標楷體" w:hint="eastAsia"/>
        </w:rPr>
        <w:t>已登記法人教會、法人宗祠、法人宗祠基金會、法人基金、寺廟（含法人寺廟）分別計有192家、30家、3家、27家及281家。</w:t>
      </w:r>
      <w:r>
        <w:rPr>
          <w:rFonts w:ascii="標楷體" w:eastAsia="標楷體" w:hAnsi="標楷體" w:hint="eastAsia"/>
        </w:rPr>
        <w:t>經查該局辦理宗教財團法人監督及管理情形，核有：（1</w:t>
      </w:r>
      <w:r>
        <w:rPr>
          <w:rFonts w:ascii="標楷體" w:eastAsia="標楷體" w:hAnsi="標楷體"/>
        </w:rPr>
        <w:t>）</w:t>
      </w:r>
      <w:proofErr w:type="gramStart"/>
      <w:r>
        <w:rPr>
          <w:rFonts w:ascii="標楷體" w:eastAsia="標楷體" w:hAnsi="標楷體" w:hint="eastAsia"/>
        </w:rPr>
        <w:t>鑑</w:t>
      </w:r>
      <w:proofErr w:type="gramEnd"/>
      <w:r>
        <w:rPr>
          <w:rFonts w:ascii="標楷體" w:eastAsia="標楷體" w:hAnsi="標楷體" w:hint="eastAsia"/>
        </w:rPr>
        <w:t>於</w:t>
      </w:r>
      <w:r w:rsidRPr="001871AB">
        <w:rPr>
          <w:rFonts w:ascii="標楷體" w:eastAsia="標楷體" w:hAnsi="標楷體" w:hint="eastAsia"/>
        </w:rPr>
        <w:t>宗教團體依循傳統民俗</w:t>
      </w:r>
      <w:r w:rsidRPr="0013652D">
        <w:rPr>
          <w:rFonts w:ascii="標楷體" w:eastAsia="標楷體" w:hAnsi="標楷體" w:hint="eastAsia"/>
          <w:spacing w:val="2"/>
        </w:rPr>
        <w:t>舉行祭祀儀式，時常燃香及焚燒金銀紙錢，造成空氣污染，</w:t>
      </w:r>
      <w:proofErr w:type="gramStart"/>
      <w:r w:rsidRPr="0013652D">
        <w:rPr>
          <w:rFonts w:ascii="標楷體" w:eastAsia="標楷體" w:hAnsi="標楷體" w:hint="eastAsia"/>
          <w:spacing w:val="2"/>
        </w:rPr>
        <w:t>爰</w:t>
      </w:r>
      <w:proofErr w:type="gramEnd"/>
      <w:r w:rsidRPr="0013652D">
        <w:rPr>
          <w:rFonts w:ascii="標楷體" w:eastAsia="標楷體" w:hAnsi="標楷體" w:hint="eastAsia"/>
          <w:spacing w:val="2"/>
        </w:rPr>
        <w:t>推動以米代金政策。據該局統計</w:t>
      </w:r>
      <w:r w:rsidR="00A858C7">
        <w:rPr>
          <w:rFonts w:ascii="標楷體" w:eastAsia="標楷體" w:hAnsi="標楷體" w:hint="eastAsia"/>
        </w:rPr>
        <w:t>105年1月</w:t>
      </w:r>
      <w:r w:rsidR="00A858C7" w:rsidRPr="00935AB6">
        <w:rPr>
          <w:rFonts w:ascii="標楷體" w:eastAsia="標楷體" w:hAnsi="標楷體" w:hint="eastAsia"/>
        </w:rPr>
        <w:t>至113年8月底</w:t>
      </w:r>
      <w:proofErr w:type="gramStart"/>
      <w:r w:rsidR="00A858C7">
        <w:rPr>
          <w:rFonts w:ascii="標楷體" w:eastAsia="標楷體" w:hAnsi="標楷體" w:hint="eastAsia"/>
        </w:rPr>
        <w:t>止</w:t>
      </w:r>
      <w:proofErr w:type="gramEnd"/>
      <w:r w:rsidR="00A858C7" w:rsidRPr="00935AB6">
        <w:rPr>
          <w:rFonts w:ascii="標楷體" w:eastAsia="標楷體" w:hAnsi="標楷體" w:hint="eastAsia"/>
        </w:rPr>
        <w:t>配合試辦「以米代金」</w:t>
      </w:r>
      <w:r w:rsidR="00A858C7">
        <w:rPr>
          <w:rFonts w:ascii="標楷體" w:eastAsia="標楷體" w:hAnsi="標楷體" w:hint="eastAsia"/>
        </w:rPr>
        <w:t>政策</w:t>
      </w:r>
      <w:r w:rsidR="00A858C7" w:rsidRPr="00935AB6">
        <w:rPr>
          <w:rFonts w:ascii="標楷體" w:eastAsia="標楷體" w:hAnsi="標楷體" w:hint="eastAsia"/>
        </w:rPr>
        <w:t>計有196家寺廟，僅占臺北市境內已登記及未登記寺廟</w:t>
      </w:r>
      <w:r w:rsidR="00A858C7">
        <w:rPr>
          <w:rFonts w:ascii="標楷體" w:eastAsia="標楷體" w:hAnsi="標楷體" w:hint="eastAsia"/>
        </w:rPr>
        <w:t>家數</w:t>
      </w:r>
      <w:r w:rsidR="00A858C7" w:rsidRPr="00935AB6">
        <w:rPr>
          <w:rFonts w:ascii="標楷體" w:eastAsia="標楷體" w:hAnsi="標楷體" w:hint="eastAsia"/>
        </w:rPr>
        <w:t>1,896家之10.34％</w:t>
      </w:r>
      <w:r w:rsidR="00A858C7">
        <w:rPr>
          <w:rFonts w:ascii="標楷體" w:eastAsia="標楷體" w:hAnsi="標楷體" w:hint="eastAsia"/>
        </w:rPr>
        <w:t>；又</w:t>
      </w:r>
      <w:r w:rsidR="00A858C7" w:rsidRPr="00935AB6">
        <w:rPr>
          <w:rFonts w:ascii="標楷體" w:eastAsia="標楷體" w:hAnsi="標楷體" w:hint="eastAsia"/>
        </w:rPr>
        <w:t>曾參與試辦後自行響應辦理之寺廟僅43家，占全</w:t>
      </w:r>
    </w:p>
    <w:p w14:paraId="211EF464" w14:textId="1FDD32A4" w:rsidR="00A858C7" w:rsidRDefault="0013652D" w:rsidP="00A858C7">
      <w:pPr>
        <w:overflowPunct w:val="0"/>
        <w:spacing w:beforeLines="20" w:before="72" w:line="400" w:lineRule="exact"/>
        <w:jc w:val="both"/>
        <w:rPr>
          <w:rFonts w:ascii="標楷體" w:eastAsia="標楷體" w:hAnsi="標楷體"/>
        </w:rPr>
      </w:pPr>
      <w:r>
        <w:rPr>
          <w:rFonts w:ascii="標楷體" w:eastAsia="標楷體" w:hAnsi="標楷體" w:hint="eastAsia"/>
          <w:noProof/>
          <w:lang w:val="zh-TW"/>
        </w:rPr>
        <w:lastRenderedPageBreak/>
        <mc:AlternateContent>
          <mc:Choice Requires="wpg">
            <w:drawing>
              <wp:anchor distT="0" distB="0" distL="114300" distR="114300" simplePos="0" relativeHeight="251789312" behindDoc="0" locked="0" layoutInCell="1" allowOverlap="1" wp14:anchorId="45E54157" wp14:editId="3D24A935">
                <wp:simplePos x="0" y="0"/>
                <wp:positionH relativeFrom="column">
                  <wp:posOffset>2541270</wp:posOffset>
                </wp:positionH>
                <wp:positionV relativeFrom="page">
                  <wp:posOffset>981075</wp:posOffset>
                </wp:positionV>
                <wp:extent cx="3711575" cy="3096895"/>
                <wp:effectExtent l="0" t="0" r="3175" b="0"/>
                <wp:wrapSquare wrapText="bothSides"/>
                <wp:docPr id="111" name="群組 111"/>
                <wp:cNvGraphicFramePr/>
                <a:graphic xmlns:a="http://schemas.openxmlformats.org/drawingml/2006/main">
                  <a:graphicData uri="http://schemas.microsoft.com/office/word/2010/wordprocessingGroup">
                    <wpg:wgp>
                      <wpg:cNvGrpSpPr/>
                      <wpg:grpSpPr>
                        <a:xfrm>
                          <a:off x="0" y="0"/>
                          <a:ext cx="3711575" cy="3096895"/>
                          <a:chOff x="-24657" y="-9982"/>
                          <a:chExt cx="3714089" cy="3199587"/>
                        </a:xfrm>
                      </wpg:grpSpPr>
                      <wpg:grpSp>
                        <wpg:cNvPr id="112" name="群組 1"/>
                        <wpg:cNvGrpSpPr/>
                        <wpg:grpSpPr>
                          <a:xfrm>
                            <a:off x="-24657" y="-9982"/>
                            <a:ext cx="3714089" cy="3199587"/>
                            <a:chOff x="-24657" y="-9981"/>
                            <a:chExt cx="3714116" cy="3199654"/>
                          </a:xfrm>
                        </wpg:grpSpPr>
                        <wpg:grpSp>
                          <wpg:cNvPr id="113" name="群組 3"/>
                          <wpg:cNvGrpSpPr/>
                          <wpg:grpSpPr>
                            <a:xfrm>
                              <a:off x="-24657" y="-9981"/>
                              <a:ext cx="3714115" cy="3199654"/>
                              <a:chOff x="15313" y="-6084"/>
                              <a:chExt cx="2185035" cy="1950215"/>
                            </a:xfrm>
                          </wpg:grpSpPr>
                          <wps:wsp>
                            <wps:cNvPr id="114" name="文字方塊 4"/>
                            <wps:cNvSpPr txBox="1"/>
                            <wps:spPr>
                              <a:xfrm>
                                <a:off x="1716256" y="1556581"/>
                                <a:ext cx="161010" cy="139333"/>
                              </a:xfrm>
                              <a:prstGeom prst="rect">
                                <a:avLst/>
                              </a:prstGeom>
                              <a:noFill/>
                            </wps:spPr>
                            <wps:txbx>
                              <w:txbxContent>
                                <w:p w14:paraId="532390B7" w14:textId="77777777" w:rsidR="0097331E" w:rsidRDefault="0097331E" w:rsidP="0097331E">
                                  <w:pP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年度</w:t>
                                  </w:r>
                                </w:p>
                              </w:txbxContent>
                            </wps:txbx>
                            <wps:bodyPr wrap="square" lIns="0" tIns="0" rIns="0" bIns="0" rtlCol="0">
                              <a:noAutofit/>
                            </wps:bodyPr>
                          </wps:wsp>
                          <wps:wsp>
                            <wps:cNvPr id="115" name="文字方塊 5"/>
                            <wps:cNvSpPr txBox="1"/>
                            <wps:spPr>
                              <a:xfrm>
                                <a:off x="2063612" y="111350"/>
                                <a:ext cx="90031" cy="139333"/>
                              </a:xfrm>
                              <a:prstGeom prst="rect">
                                <a:avLst/>
                              </a:prstGeom>
                              <a:noFill/>
                            </wps:spPr>
                            <wps:txbx>
                              <w:txbxContent>
                                <w:p w14:paraId="6AA2A1BC" w14:textId="77777777" w:rsidR="0097331E" w:rsidRDefault="0097331E" w:rsidP="0097331E">
                                  <w:pP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w:t>
                                  </w:r>
                                </w:p>
                              </w:txbxContent>
                            </wps:txbx>
                            <wps:bodyPr wrap="square" lIns="0" tIns="0" rIns="0" bIns="0" rtlCol="0">
                              <a:noAutofit/>
                            </wps:bodyPr>
                          </wps:wsp>
                          <wps:wsp>
                            <wps:cNvPr id="116" name="文字方塊 6"/>
                            <wps:cNvSpPr txBox="1"/>
                            <wps:spPr>
                              <a:xfrm>
                                <a:off x="15313" y="-6084"/>
                                <a:ext cx="2185035" cy="139333"/>
                              </a:xfrm>
                              <a:prstGeom prst="rect">
                                <a:avLst/>
                              </a:prstGeom>
                              <a:noFill/>
                            </wps:spPr>
                            <wps:txbx>
                              <w:txbxContent>
                                <w:p w14:paraId="7E612E39" w14:textId="77777777" w:rsidR="0097331E" w:rsidRDefault="0097331E" w:rsidP="0097331E">
                                  <w:pPr>
                                    <w:ind w:left="605" w:hanging="605"/>
                                    <w:jc w:val="center"/>
                                    <w:rPr>
                                      <w:rFonts w:ascii="標楷體" w:eastAsia="標楷體" w:hAnsi="標楷體"/>
                                      <w:b/>
                                      <w:bCs/>
                                      <w:color w:val="000000" w:themeColor="text1"/>
                                      <w:kern w:val="24"/>
                                      <w:szCs w:val="24"/>
                                    </w:rPr>
                                  </w:pPr>
                                  <w:r>
                                    <w:rPr>
                                      <w:rFonts w:ascii="標楷體" w:eastAsia="標楷體" w:hAnsi="標楷體" w:hint="eastAsia"/>
                                      <w:b/>
                                      <w:bCs/>
                                      <w:color w:val="000000" w:themeColor="text1"/>
                                      <w:kern w:val="24"/>
                                    </w:rPr>
                                    <w:t>圖1  臺北市宗教財團法人申報財務報表情形</w:t>
                                  </w:r>
                                </w:p>
                              </w:txbxContent>
                            </wps:txbx>
                            <wps:bodyPr wrap="square" lIns="0" tIns="0" rIns="0" bIns="0" rtlCol="0">
                              <a:noAutofit/>
                            </wps:bodyPr>
                          </wps:wsp>
                          <wps:wsp>
                            <wps:cNvPr id="117" name="文字方塊 7"/>
                            <wps:cNvSpPr txBox="1"/>
                            <wps:spPr>
                              <a:xfrm>
                                <a:off x="72428" y="1789316"/>
                                <a:ext cx="2080434" cy="154815"/>
                              </a:xfrm>
                              <a:prstGeom prst="rect">
                                <a:avLst/>
                              </a:prstGeom>
                              <a:noFill/>
                            </wps:spPr>
                            <wps:txbx>
                              <w:txbxContent>
                                <w:p w14:paraId="6CED9CFB" w14:textId="77777777" w:rsidR="0097331E" w:rsidRDefault="0097331E" w:rsidP="0097331E">
                                  <w:pPr>
                                    <w:spacing w:line="200" w:lineRule="exact"/>
                                    <w:rPr>
                                      <w:rFonts w:ascii="標楷體" w:eastAsia="標楷體" w:hAnsi="標楷體"/>
                                      <w:color w:val="000000" w:themeColor="text1"/>
                                      <w:kern w:val="24"/>
                                      <w:sz w:val="18"/>
                                      <w:szCs w:val="18"/>
                                    </w:rPr>
                                  </w:pPr>
                                  <w:proofErr w:type="gramStart"/>
                                  <w:r>
                                    <w:rPr>
                                      <w:rFonts w:ascii="標楷體" w:eastAsia="標楷體" w:hAnsi="標楷體" w:hint="eastAsia"/>
                                      <w:color w:val="000000" w:themeColor="text1"/>
                                      <w:kern w:val="24"/>
                                      <w:sz w:val="18"/>
                                      <w:szCs w:val="18"/>
                                    </w:rPr>
                                    <w:t>註</w:t>
                                  </w:r>
                                  <w:proofErr w:type="gramEnd"/>
                                  <w:r>
                                    <w:rPr>
                                      <w:rFonts w:ascii="標楷體" w:eastAsia="標楷體" w:hAnsi="標楷體" w:hint="eastAsia"/>
                                      <w:color w:val="000000" w:themeColor="text1"/>
                                      <w:kern w:val="24"/>
                                      <w:sz w:val="18"/>
                                      <w:szCs w:val="18"/>
                                    </w:rPr>
                                    <w:t>：1.統計時間：截至113年9月11日止。</w:t>
                                  </w:r>
                                </w:p>
                                <w:p w14:paraId="72AC2C50" w14:textId="77777777" w:rsidR="0097331E" w:rsidRDefault="0097331E" w:rsidP="0097331E">
                                  <w:pPr>
                                    <w:spacing w:line="200" w:lineRule="exact"/>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 xml:space="preserve">    2.資料來源：整理自「臺北市宗教查詢」資訊網。</w:t>
                                  </w:r>
                                </w:p>
                              </w:txbxContent>
                            </wps:txbx>
                            <wps:bodyPr wrap="square" lIns="0" tIns="0" rIns="0" bIns="0" rtlCol="0">
                              <a:noAutofit/>
                            </wps:bodyPr>
                          </wps:wsp>
                        </wpg:grpSp>
                        <wpg:graphicFrame>
                          <wpg:cNvPr id="118" name="圖表 4"/>
                          <wpg:cNvFrPr>
                            <a:graphicFrameLocks/>
                          </wpg:cNvFrPr>
                          <wpg:xfrm>
                            <a:off x="0" y="289960"/>
                            <a:ext cx="3689459" cy="2751740"/>
                          </wpg:xfrm>
                          <a:graphic>
                            <a:graphicData uri="http://schemas.openxmlformats.org/drawingml/2006/chart">
                              <c:chart xmlns:c="http://schemas.openxmlformats.org/drawingml/2006/chart" xmlns:r="http://schemas.openxmlformats.org/officeDocument/2006/relationships" r:id="rId15"/>
                            </a:graphicData>
                          </a:graphic>
                        </wpg:graphicFrame>
                        <wps:wsp>
                          <wps:cNvPr id="119" name="文字方塊 119"/>
                          <wps:cNvSpPr txBox="1"/>
                          <wps:spPr>
                            <a:xfrm>
                              <a:off x="13650" y="201194"/>
                              <a:ext cx="259080" cy="228600"/>
                            </a:xfrm>
                            <a:prstGeom prst="rect">
                              <a:avLst/>
                            </a:prstGeom>
                            <a:noFill/>
                          </wps:spPr>
                          <wps:txbx>
                            <w:txbxContent>
                              <w:p w14:paraId="1E6FA4FA" w14:textId="77777777" w:rsidR="0097331E" w:rsidRDefault="0097331E" w:rsidP="0097331E">
                                <w:pP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家數</w:t>
                                </w:r>
                              </w:p>
                            </w:txbxContent>
                          </wps:txbx>
                          <wps:bodyPr wrap="square" lIns="0" tIns="0" rIns="0" bIns="0" rtlCol="0">
                            <a:noAutofit/>
                          </wps:bodyPr>
                        </wps:wsp>
                      </wpg:grpSp>
                      <wps:wsp>
                        <wps:cNvPr id="120" name="文字方塊 2"/>
                        <wps:cNvSpPr txBox="1"/>
                        <wps:spPr>
                          <a:xfrm>
                            <a:off x="3203404" y="373174"/>
                            <a:ext cx="406639" cy="2594028"/>
                          </a:xfrm>
                          <a:prstGeom prst="rect">
                            <a:avLst/>
                          </a:prstGeom>
                          <a:solidFill>
                            <a:schemeClr val="bg1"/>
                          </a:solidFill>
                        </wps:spPr>
                        <wps:txbx>
                          <w:txbxContent>
                            <w:p w14:paraId="1C2F5C73"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100.00</w:t>
                              </w:r>
                            </w:p>
                            <w:p w14:paraId="5FFA5987"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95.00</w:t>
                              </w:r>
                            </w:p>
                            <w:p w14:paraId="22498143"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90.00</w:t>
                              </w:r>
                            </w:p>
                            <w:p w14:paraId="78F0AC6C"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85.00</w:t>
                              </w:r>
                            </w:p>
                            <w:p w14:paraId="44139735"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80.00</w:t>
                              </w:r>
                            </w:p>
                            <w:p w14:paraId="3E9C9C5A"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75.00</w:t>
                              </w:r>
                            </w:p>
                            <w:p w14:paraId="19270935"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70.00</w:t>
                              </w:r>
                            </w:p>
                            <w:p w14:paraId="0998E7EF"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65.00</w:t>
                              </w:r>
                            </w:p>
                            <w:p w14:paraId="4A067FB5"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60.00</w:t>
                              </w:r>
                            </w:p>
                            <w:p w14:paraId="765E3252"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55.00</w:t>
                              </w:r>
                            </w:p>
                            <w:p w14:paraId="16BD5F64"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50.00</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45E54157" id="群組 111" o:spid="_x0000_s1038" style="position:absolute;left:0;text-align:left;margin-left:200.1pt;margin-top:77.25pt;width:292.25pt;height:243.85pt;z-index:251789312;mso-position-vertical-relative:page;mso-width-relative:margin;mso-height-relative:margin" coordorigin="-246,-99" coordsize="37140,31995" o:gfxdata="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">
                <v:group id="群組 1" o:spid="_x0000_s1039" style="position:absolute;left:-246;top:-99;width:37140;height:31995" coordorigin="-246,-99" coordsize="37141,319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group id="群組 3" o:spid="_x0000_s1040" style="position:absolute;left:-246;top:-99;width:37140;height:31995" coordorigin="153,-60" coordsize="21850,19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shape id="_x0000_s1041" type="#_x0000_t202" style="position:absolute;left:17162;top:15565;width:1610;height:1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MExwwAAANwAAAAPAAAAZHJzL2Rvd25yZXYueG1sRE9Na8JA&#10;EL0X+h+WKXhrNopI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mzzBMcMAAADcAAAADwAA&#10;AAAAAAAAAAAAAAAHAgAAZHJzL2Rvd25yZXYueG1sUEsFBgAAAAADAAMAtwAAAPcCAAAAAA==&#10;" filled="f" stroked="f">
                      <v:textbox inset="0,0,0,0">
                        <w:txbxContent>
                          <w:p w14:paraId="532390B7" w14:textId="77777777" w:rsidR="0097331E" w:rsidRDefault="0097331E" w:rsidP="0097331E">
                            <w:pP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年度</w:t>
                            </w:r>
                          </w:p>
                        </w:txbxContent>
                      </v:textbox>
                    </v:shape>
                    <v:shape id="_x0000_s1042" type="#_x0000_t202" style="position:absolute;left:20636;top:1113;width:900;height:1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" filled="f" stroked="f">
                      <v:textbox inset="0,0,0,0">
                        <w:txbxContent>
                          <w:p w14:paraId="6AA2A1BC" w14:textId="77777777" w:rsidR="0097331E" w:rsidRDefault="0097331E" w:rsidP="0097331E">
                            <w:pP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w:t>
                            </w:r>
                          </w:p>
                        </w:txbxContent>
                      </v:textbox>
                    </v:shape>
                    <v:shape id="_x0000_s1043" type="#_x0000_t202" style="position:absolute;left:153;top:-60;width:21850;height:1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" filled="f" stroked="f">
                      <v:textbox inset="0,0,0,0">
                        <w:txbxContent>
                          <w:p w14:paraId="7E612E39" w14:textId="77777777" w:rsidR="0097331E" w:rsidRDefault="0097331E" w:rsidP="0097331E">
                            <w:pPr>
                              <w:ind w:left="605" w:hanging="605"/>
                              <w:jc w:val="center"/>
                              <w:rPr>
                                <w:rFonts w:ascii="標楷體" w:eastAsia="標楷體" w:hAnsi="標楷體"/>
                                <w:b/>
                                <w:bCs/>
                                <w:color w:val="000000" w:themeColor="text1"/>
                                <w:kern w:val="24"/>
                                <w:szCs w:val="24"/>
                              </w:rPr>
                            </w:pPr>
                            <w:r>
                              <w:rPr>
                                <w:rFonts w:ascii="標楷體" w:eastAsia="標楷體" w:hAnsi="標楷體" w:hint="eastAsia"/>
                                <w:b/>
                                <w:bCs/>
                                <w:color w:val="000000" w:themeColor="text1"/>
                                <w:kern w:val="24"/>
                              </w:rPr>
                              <w:t>圖1  臺北市宗教財團法人申報財務報表情形</w:t>
                            </w:r>
                          </w:p>
                        </w:txbxContent>
                      </v:textbox>
                    </v:shape>
                    <v:shape id="_x0000_s1044" type="#_x0000_t202" style="position:absolute;left:724;top:17893;width:20804;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" filled="f" stroked="f">
                      <v:textbox inset="0,0,0,0">
                        <w:txbxContent>
                          <w:p w14:paraId="6CED9CFB" w14:textId="77777777" w:rsidR="0097331E" w:rsidRDefault="0097331E" w:rsidP="0097331E">
                            <w:pPr>
                              <w:spacing w:line="200" w:lineRule="exact"/>
                              <w:rPr>
                                <w:rFonts w:ascii="標楷體" w:eastAsia="標楷體" w:hAnsi="標楷體"/>
                                <w:color w:val="000000" w:themeColor="text1"/>
                                <w:kern w:val="24"/>
                                <w:sz w:val="18"/>
                                <w:szCs w:val="18"/>
                              </w:rPr>
                            </w:pPr>
                            <w:proofErr w:type="gramStart"/>
                            <w:r>
                              <w:rPr>
                                <w:rFonts w:ascii="標楷體" w:eastAsia="標楷體" w:hAnsi="標楷體" w:hint="eastAsia"/>
                                <w:color w:val="000000" w:themeColor="text1"/>
                                <w:kern w:val="24"/>
                                <w:sz w:val="18"/>
                                <w:szCs w:val="18"/>
                              </w:rPr>
                              <w:t>註</w:t>
                            </w:r>
                            <w:proofErr w:type="gramEnd"/>
                            <w:r>
                              <w:rPr>
                                <w:rFonts w:ascii="標楷體" w:eastAsia="標楷體" w:hAnsi="標楷體" w:hint="eastAsia"/>
                                <w:color w:val="000000" w:themeColor="text1"/>
                                <w:kern w:val="24"/>
                                <w:sz w:val="18"/>
                                <w:szCs w:val="18"/>
                              </w:rPr>
                              <w:t>：1.統計時間：截至113年9月11日止。</w:t>
                            </w:r>
                          </w:p>
                          <w:p w14:paraId="72AC2C50" w14:textId="77777777" w:rsidR="0097331E" w:rsidRDefault="0097331E" w:rsidP="0097331E">
                            <w:pPr>
                              <w:spacing w:line="200" w:lineRule="exact"/>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 xml:space="preserve">    2.資料來源：整理自「臺北市宗教查詢」資訊網。</w:t>
                            </w:r>
                          </w:p>
                        </w:txbxContent>
                      </v:textbox>
                    </v:shape>
                  </v:group>
                  <v:shape id="圖表 4" o:spid="_x0000_s1045" type="#_x0000_t75" style="position:absolute;left:58;top:3175;width:36235;height:26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">
                    <v:imagedata r:id="rId16" o:title=""/>
                    <o:lock v:ext="edit" aspectratio="f"/>
                  </v:shape>
                  <v:shape id="文字方塊 119" o:spid="_x0000_s1046" type="#_x0000_t202" style="position:absolute;left:136;top:2011;width:259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" filled="f" stroked="f">
                    <v:textbox inset="0,0,0,0">
                      <w:txbxContent>
                        <w:p w14:paraId="1E6FA4FA" w14:textId="77777777" w:rsidR="0097331E" w:rsidRDefault="0097331E" w:rsidP="0097331E">
                          <w:pPr>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家數</w:t>
                          </w:r>
                        </w:p>
                      </w:txbxContent>
                    </v:textbox>
                  </v:shape>
                </v:group>
                <v:shape id="_x0000_s1047" type="#_x0000_t202" style="position:absolute;left:32034;top:3731;width:4066;height:259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" fillcolor="white [3212]" stroked="f">
                  <v:textbox inset="0,0,0,0">
                    <w:txbxContent>
                      <w:p w14:paraId="1C2F5C73"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100.00</w:t>
                        </w:r>
                      </w:p>
                      <w:p w14:paraId="5FFA5987"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95.00</w:t>
                        </w:r>
                      </w:p>
                      <w:p w14:paraId="22498143"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90.00</w:t>
                        </w:r>
                      </w:p>
                      <w:p w14:paraId="78F0AC6C"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85.00</w:t>
                        </w:r>
                      </w:p>
                      <w:p w14:paraId="44139735"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80.00</w:t>
                        </w:r>
                      </w:p>
                      <w:p w14:paraId="3E9C9C5A"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75.00</w:t>
                        </w:r>
                      </w:p>
                      <w:p w14:paraId="19270935"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70.00</w:t>
                        </w:r>
                      </w:p>
                      <w:p w14:paraId="0998E7EF"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65.00</w:t>
                        </w:r>
                      </w:p>
                      <w:p w14:paraId="4A067FB5"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60.00</w:t>
                        </w:r>
                      </w:p>
                      <w:p w14:paraId="765E3252"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55.00</w:t>
                        </w:r>
                      </w:p>
                      <w:p w14:paraId="16BD5F64" w14:textId="77777777" w:rsidR="0097331E" w:rsidRDefault="0097331E" w:rsidP="0097331E">
                        <w:pPr>
                          <w:spacing w:line="320" w:lineRule="exact"/>
                          <w:jc w:val="right"/>
                          <w:rPr>
                            <w:rFonts w:ascii="標楷體" w:eastAsia="標楷體" w:hAnsi="標楷體"/>
                            <w:color w:val="000000" w:themeColor="text1"/>
                            <w:kern w:val="24"/>
                            <w:sz w:val="20"/>
                            <w:szCs w:val="20"/>
                          </w:rPr>
                        </w:pPr>
                        <w:r>
                          <w:rPr>
                            <w:rFonts w:ascii="標楷體" w:eastAsia="標楷體" w:hAnsi="標楷體" w:hint="eastAsia"/>
                            <w:color w:val="000000" w:themeColor="text1"/>
                            <w:kern w:val="24"/>
                            <w:sz w:val="20"/>
                            <w:szCs w:val="20"/>
                          </w:rPr>
                          <w:t>50.00</w:t>
                        </w:r>
                      </w:p>
                    </w:txbxContent>
                  </v:textbox>
                </v:shape>
                <w10:wrap type="square" anchory="page"/>
              </v:group>
              <o:OLEObject Type="Embed" ProgID="Excel.Chart.8" ShapeID="圖表 4" DrawAspect="Content" ObjectID="_1814279256" r:id="rId17">
                <o:FieldCodes>\s</o:FieldCodes>
              </o:OLEObject>
            </w:pict>
          </mc:Fallback>
        </mc:AlternateContent>
      </w:r>
      <w:r w:rsidR="0097331E" w:rsidRPr="00935AB6">
        <w:rPr>
          <w:rFonts w:ascii="標楷體" w:eastAsia="標楷體" w:hAnsi="標楷體" w:hint="eastAsia"/>
        </w:rPr>
        <w:t>部參與試辦寺廟之21.94％</w:t>
      </w:r>
      <w:r w:rsidR="0097331E" w:rsidRPr="00935AB6">
        <w:rPr>
          <w:rFonts w:ascii="標楷體" w:eastAsia="標楷體" w:hAnsi="標楷體" w:hint="eastAsia"/>
          <w:bCs/>
          <w:szCs w:val="24"/>
        </w:rPr>
        <w:t>，有待檢討配合</w:t>
      </w:r>
      <w:r w:rsidR="0097331E">
        <w:rPr>
          <w:rFonts w:ascii="標楷體" w:eastAsia="標楷體" w:hAnsi="標楷體" w:hint="eastAsia"/>
          <w:bCs/>
          <w:szCs w:val="24"/>
        </w:rPr>
        <w:t>政策</w:t>
      </w:r>
      <w:r w:rsidR="0097331E" w:rsidRPr="00935AB6">
        <w:rPr>
          <w:rFonts w:ascii="標楷體" w:eastAsia="標楷體" w:hAnsi="標楷體" w:hint="eastAsia"/>
          <w:bCs/>
          <w:szCs w:val="24"/>
        </w:rPr>
        <w:t>意願仍低之癥結，並</w:t>
      </w:r>
      <w:proofErr w:type="gramStart"/>
      <w:r w:rsidR="0097331E" w:rsidRPr="00935AB6">
        <w:rPr>
          <w:rFonts w:ascii="標楷體" w:eastAsia="標楷體" w:hAnsi="標楷體" w:hint="eastAsia"/>
          <w:bCs/>
          <w:szCs w:val="24"/>
        </w:rPr>
        <w:t>研謀善策</w:t>
      </w:r>
      <w:proofErr w:type="gramEnd"/>
      <w:r w:rsidR="0097331E" w:rsidRPr="00935AB6">
        <w:rPr>
          <w:rFonts w:ascii="標楷體" w:eastAsia="標楷體" w:hAnsi="標楷體" w:hint="eastAsia"/>
          <w:bCs/>
          <w:szCs w:val="24"/>
        </w:rPr>
        <w:t>加強推廣</w:t>
      </w:r>
      <w:r w:rsidR="0097331E">
        <w:rPr>
          <w:rFonts w:ascii="標楷體" w:eastAsia="標楷體" w:hAnsi="標楷體" w:hint="eastAsia"/>
          <w:bCs/>
          <w:szCs w:val="24"/>
        </w:rPr>
        <w:t>；</w:t>
      </w:r>
      <w:r w:rsidR="0097331E">
        <w:rPr>
          <w:rFonts w:ascii="標楷體" w:eastAsia="標楷體" w:hAnsi="標楷體" w:hint="eastAsia"/>
        </w:rPr>
        <w:t>（2</w:t>
      </w:r>
      <w:r w:rsidR="0097331E">
        <w:rPr>
          <w:rFonts w:ascii="標楷體" w:eastAsia="標楷體" w:hAnsi="標楷體"/>
        </w:rPr>
        <w:t>）</w:t>
      </w:r>
      <w:r w:rsidR="0097331E" w:rsidRPr="001871AB">
        <w:rPr>
          <w:rFonts w:ascii="標楷體" w:eastAsia="標楷體" w:hAnsi="標楷體" w:hint="eastAsia"/>
        </w:rPr>
        <w:t>經自「臺北市宗教查詢」網站，下載截至113年9月11日</w:t>
      </w:r>
      <w:proofErr w:type="gramStart"/>
      <w:r w:rsidR="0097331E" w:rsidRPr="001871AB">
        <w:rPr>
          <w:rFonts w:ascii="標楷體" w:eastAsia="標楷體" w:hAnsi="標楷體" w:hint="eastAsia"/>
        </w:rPr>
        <w:t>止</w:t>
      </w:r>
      <w:proofErr w:type="gramEnd"/>
      <w:r w:rsidR="0097331E" w:rsidRPr="001871AB">
        <w:rPr>
          <w:rFonts w:ascii="標楷體" w:eastAsia="標楷體" w:hAnsi="標楷體" w:hint="eastAsia"/>
        </w:rPr>
        <w:t>宗教財團法人申報110至112</w:t>
      </w:r>
      <w:r w:rsidR="0097331E">
        <w:rPr>
          <w:rFonts w:ascii="標楷體" w:eastAsia="標楷體" w:hAnsi="標楷體" w:hint="eastAsia"/>
        </w:rPr>
        <w:t>年度</w:t>
      </w:r>
      <w:r w:rsidR="0097331E" w:rsidRPr="001871AB">
        <w:rPr>
          <w:rFonts w:ascii="標楷體" w:eastAsia="標楷體" w:hAnsi="標楷體" w:hint="eastAsia"/>
        </w:rPr>
        <w:t>財務報表之資料，</w:t>
      </w:r>
      <w:r w:rsidR="0097331E">
        <w:rPr>
          <w:rFonts w:ascii="標楷體" w:eastAsia="標楷體" w:hAnsi="標楷體" w:hint="eastAsia"/>
        </w:rPr>
        <w:t>各該年度</w:t>
      </w:r>
      <w:r w:rsidR="0097331E" w:rsidRPr="001871AB">
        <w:rPr>
          <w:rFonts w:ascii="標楷體" w:eastAsia="標楷體" w:hAnsi="標楷體" w:hint="eastAsia"/>
        </w:rPr>
        <w:t>應申報財務報表之宗教財團法人為319家、319家及320家</w:t>
      </w:r>
      <w:r w:rsidR="0097331E">
        <w:rPr>
          <w:rFonts w:ascii="標楷體" w:eastAsia="標楷體" w:hAnsi="標楷體" w:hint="eastAsia"/>
        </w:rPr>
        <w:t>，</w:t>
      </w:r>
      <w:proofErr w:type="gramStart"/>
      <w:r w:rsidR="0097331E" w:rsidRPr="001871AB">
        <w:rPr>
          <w:rFonts w:ascii="標楷體" w:eastAsia="標楷體" w:hAnsi="標楷體" w:hint="eastAsia"/>
        </w:rPr>
        <w:t>報核家數</w:t>
      </w:r>
      <w:proofErr w:type="gramEnd"/>
      <w:r w:rsidR="0097331E" w:rsidRPr="001871AB">
        <w:rPr>
          <w:rFonts w:ascii="標楷體" w:eastAsia="標楷體" w:hAnsi="標楷體" w:hint="eastAsia"/>
        </w:rPr>
        <w:t>分別為318家、316家、292家</w:t>
      </w:r>
      <w:r w:rsidR="0097331E">
        <w:rPr>
          <w:rFonts w:ascii="標楷體" w:eastAsia="標楷體" w:hAnsi="標楷體" w:hint="eastAsia"/>
        </w:rPr>
        <w:t>，</w:t>
      </w:r>
      <w:proofErr w:type="gramStart"/>
      <w:r w:rsidR="0097331E" w:rsidRPr="00935AB6">
        <w:rPr>
          <w:rFonts w:ascii="標楷體" w:eastAsia="標楷體" w:hAnsi="標楷體" w:hint="eastAsia"/>
        </w:rPr>
        <w:t>報核率</w:t>
      </w:r>
      <w:r w:rsidR="0097331E">
        <w:rPr>
          <w:rFonts w:ascii="標楷體" w:eastAsia="標楷體" w:hAnsi="標楷體" w:hint="eastAsia"/>
        </w:rPr>
        <w:t>分別</w:t>
      </w:r>
      <w:proofErr w:type="gramEnd"/>
      <w:r w:rsidR="0097331E">
        <w:rPr>
          <w:rFonts w:ascii="標楷體" w:eastAsia="標楷體" w:hAnsi="標楷體" w:hint="eastAsia"/>
        </w:rPr>
        <w:t>為99.69％、99.06％及91.25％，呈現</w:t>
      </w:r>
      <w:r w:rsidR="0097331E" w:rsidRPr="00935AB6">
        <w:rPr>
          <w:rFonts w:ascii="標楷體" w:eastAsia="標楷體" w:hAnsi="標楷體" w:hint="eastAsia"/>
        </w:rPr>
        <w:t>逐年</w:t>
      </w:r>
      <w:r w:rsidR="0097331E">
        <w:rPr>
          <w:rFonts w:ascii="標楷體" w:eastAsia="標楷體" w:hAnsi="標楷體" w:hint="eastAsia"/>
        </w:rPr>
        <w:t>略為</w:t>
      </w:r>
      <w:r w:rsidR="0097331E" w:rsidRPr="00935AB6">
        <w:rPr>
          <w:rFonts w:ascii="標楷體" w:eastAsia="標楷體" w:hAnsi="標楷體" w:hint="eastAsia"/>
        </w:rPr>
        <w:t>下降趨勢</w:t>
      </w:r>
      <w:r w:rsidR="0097331E">
        <w:rPr>
          <w:rFonts w:ascii="標楷體" w:eastAsia="標楷體" w:hAnsi="標楷體" w:hint="eastAsia"/>
        </w:rPr>
        <w:t>（圖1</w:t>
      </w:r>
      <w:r w:rsidR="0097331E">
        <w:rPr>
          <w:rFonts w:ascii="標楷體" w:eastAsia="標楷體" w:hAnsi="標楷體"/>
        </w:rPr>
        <w:t>）</w:t>
      </w:r>
      <w:r w:rsidR="0097331E" w:rsidRPr="00935AB6">
        <w:rPr>
          <w:rFonts w:ascii="標楷體" w:eastAsia="標楷體" w:hAnsi="標楷體" w:hint="eastAsia"/>
        </w:rPr>
        <w:t>，</w:t>
      </w:r>
      <w:r w:rsidR="0097331E">
        <w:rPr>
          <w:rFonts w:ascii="標楷體" w:eastAsia="標楷體" w:hAnsi="標楷體" w:hint="eastAsia"/>
        </w:rPr>
        <w:t>民政</w:t>
      </w:r>
      <w:r w:rsidR="0097331E" w:rsidRPr="00935AB6">
        <w:rPr>
          <w:rFonts w:ascii="標楷體" w:eastAsia="標楷體" w:hAnsi="標楷體" w:hint="eastAsia"/>
        </w:rPr>
        <w:t>局對於未申報財務報表</w:t>
      </w:r>
      <w:r w:rsidR="0097331E">
        <w:rPr>
          <w:rFonts w:ascii="標楷體" w:eastAsia="標楷體" w:hAnsi="標楷體" w:hint="eastAsia"/>
        </w:rPr>
        <w:t>之宗教財團法人，其中屬未申報</w:t>
      </w:r>
      <w:proofErr w:type="gramStart"/>
      <w:r w:rsidR="0097331E">
        <w:rPr>
          <w:rFonts w:ascii="標楷體" w:eastAsia="標楷體" w:hAnsi="標楷體" w:hint="eastAsia"/>
        </w:rPr>
        <w:t>112</w:t>
      </w:r>
      <w:proofErr w:type="gramEnd"/>
      <w:r w:rsidR="0097331E">
        <w:rPr>
          <w:rFonts w:ascii="標楷體" w:eastAsia="標楷體" w:hAnsi="標楷體" w:hint="eastAsia"/>
        </w:rPr>
        <w:t>年度財務報表者，</w:t>
      </w:r>
      <w:r w:rsidR="0097331E" w:rsidRPr="00935AB6">
        <w:rPr>
          <w:rFonts w:ascii="標楷體" w:eastAsia="標楷體" w:hAnsi="標楷體" w:hint="eastAsia"/>
        </w:rPr>
        <w:t>迄未發函催辦</w:t>
      </w:r>
      <w:r w:rsidR="0097331E">
        <w:rPr>
          <w:rFonts w:ascii="標楷體" w:eastAsia="標楷體" w:hAnsi="標楷體" w:hint="eastAsia"/>
        </w:rPr>
        <w:t>；屬未申報110、111年度財務報表者，</w:t>
      </w:r>
      <w:proofErr w:type="gramStart"/>
      <w:r w:rsidR="0097331E">
        <w:rPr>
          <w:rFonts w:ascii="標楷體" w:eastAsia="標楷體" w:hAnsi="標楷體" w:hint="eastAsia"/>
        </w:rPr>
        <w:t>雖發函</w:t>
      </w:r>
      <w:proofErr w:type="gramEnd"/>
      <w:r w:rsidR="0097331E">
        <w:rPr>
          <w:rFonts w:ascii="標楷體" w:eastAsia="標楷體" w:hAnsi="標楷體" w:hint="eastAsia"/>
        </w:rPr>
        <w:t>催辦惟</w:t>
      </w:r>
      <w:r w:rsidR="0097331E" w:rsidRPr="00935AB6">
        <w:rPr>
          <w:rFonts w:ascii="標楷體" w:eastAsia="標楷體" w:hAnsi="標楷體" w:hint="eastAsia"/>
        </w:rPr>
        <w:t>逾</w:t>
      </w:r>
      <w:r w:rsidR="0097331E">
        <w:rPr>
          <w:rFonts w:ascii="標楷體" w:eastAsia="標楷體" w:hAnsi="標楷體" w:hint="eastAsia"/>
        </w:rPr>
        <w:t>期</w:t>
      </w:r>
      <w:r w:rsidR="0097331E" w:rsidRPr="00935AB6">
        <w:rPr>
          <w:rFonts w:ascii="標楷體" w:eastAsia="標楷體" w:hAnsi="標楷體" w:hint="eastAsia"/>
        </w:rPr>
        <w:t>限未</w:t>
      </w:r>
      <w:r w:rsidR="0097331E">
        <w:rPr>
          <w:rFonts w:ascii="標楷體" w:eastAsia="標楷體" w:hAnsi="標楷體" w:hint="eastAsia"/>
        </w:rPr>
        <w:t>改善者，未</w:t>
      </w:r>
      <w:r w:rsidR="0097331E" w:rsidRPr="00935AB6">
        <w:rPr>
          <w:rFonts w:ascii="標楷體" w:eastAsia="標楷體" w:hAnsi="標楷體" w:hint="eastAsia"/>
        </w:rPr>
        <w:t>依法裁罰</w:t>
      </w:r>
      <w:r w:rsidR="0097331E">
        <w:rPr>
          <w:rFonts w:ascii="標楷體" w:eastAsia="標楷體" w:hAnsi="標楷體" w:hint="eastAsia"/>
        </w:rPr>
        <w:t>；（3</w:t>
      </w:r>
      <w:r w:rsidR="0097331E">
        <w:rPr>
          <w:rFonts w:ascii="標楷體" w:eastAsia="標楷體" w:hAnsi="標楷體"/>
        </w:rPr>
        <w:t>）</w:t>
      </w:r>
      <w:r w:rsidR="0097331E">
        <w:rPr>
          <w:rFonts w:ascii="標楷體" w:eastAsia="標楷體" w:hAnsi="標楷體" w:hint="eastAsia"/>
        </w:rPr>
        <w:t>依</w:t>
      </w:r>
      <w:r w:rsidR="0097331E" w:rsidRPr="001A0266">
        <w:rPr>
          <w:rFonts w:ascii="標楷體" w:eastAsia="標楷體" w:hAnsi="標楷體" w:hint="eastAsia"/>
        </w:rPr>
        <w:t>內政部指定宗教團體個人資料檔案安全維護管理辦法</w:t>
      </w:r>
      <w:r w:rsidR="0097331E">
        <w:rPr>
          <w:rFonts w:ascii="標楷體" w:eastAsia="標楷體" w:hAnsi="標楷體" w:hint="eastAsia"/>
        </w:rPr>
        <w:t>第4條規定略</w:t>
      </w:r>
      <w:proofErr w:type="gramStart"/>
      <w:r w:rsidR="0097331E">
        <w:rPr>
          <w:rFonts w:ascii="標楷體" w:eastAsia="標楷體" w:hAnsi="標楷體" w:hint="eastAsia"/>
        </w:rPr>
        <w:t>以</w:t>
      </w:r>
      <w:proofErr w:type="gramEnd"/>
      <w:r w:rsidR="0097331E">
        <w:rPr>
          <w:rFonts w:ascii="標楷體" w:eastAsia="標楷體" w:hAnsi="標楷體" w:hint="eastAsia"/>
        </w:rPr>
        <w:t>，</w:t>
      </w:r>
      <w:r w:rsidR="0097331E" w:rsidRPr="001A0266">
        <w:rPr>
          <w:rFonts w:ascii="標楷體" w:eastAsia="標楷體" w:hAnsi="標楷體" w:hint="eastAsia"/>
        </w:rPr>
        <w:t>宗教團體應訂定個人資料檔案安全維護計畫及業務終止後個人資料處理方法（下稱個人資料檔案安全維護計畫），</w:t>
      </w:r>
      <w:r w:rsidR="0097331E">
        <w:rPr>
          <w:rFonts w:ascii="標楷體" w:eastAsia="標楷體" w:hAnsi="標楷體" w:hint="eastAsia"/>
        </w:rPr>
        <w:t>並</w:t>
      </w:r>
      <w:r w:rsidR="0097331E" w:rsidRPr="001A0266">
        <w:rPr>
          <w:rFonts w:ascii="標楷體" w:eastAsia="標楷體" w:hAnsi="標楷體" w:hint="eastAsia"/>
        </w:rPr>
        <w:t>將個人資料檔案安全維護計畫報請其主管機關備查。</w:t>
      </w:r>
      <w:r w:rsidR="0097331E">
        <w:rPr>
          <w:rFonts w:ascii="標楷體" w:eastAsia="標楷體" w:hAnsi="標楷體" w:hint="eastAsia"/>
          <w:bCs/>
          <w:szCs w:val="24"/>
        </w:rPr>
        <w:t>據民政局統計截至113年9月4日止，計有5家</w:t>
      </w:r>
      <w:r w:rsidR="0097331E" w:rsidRPr="001A0266">
        <w:rPr>
          <w:rFonts w:ascii="標楷體" w:eastAsia="標楷體" w:hAnsi="標楷體" w:hint="eastAsia"/>
          <w:bCs/>
          <w:szCs w:val="24"/>
        </w:rPr>
        <w:t>宗教團體未依法申報個人資料檔案安全維護計畫</w:t>
      </w:r>
      <w:r w:rsidR="0097331E">
        <w:rPr>
          <w:rFonts w:ascii="標楷體" w:eastAsia="標楷體" w:hAnsi="標楷體" w:hint="eastAsia"/>
        </w:rPr>
        <w:t>等情事，經函請檢討改善。據復：（1</w:t>
      </w:r>
      <w:r w:rsidR="0097331E">
        <w:rPr>
          <w:rFonts w:ascii="標楷體" w:eastAsia="標楷體" w:hAnsi="標楷體"/>
        </w:rPr>
        <w:t>）</w:t>
      </w:r>
      <w:r w:rsidR="0097331E">
        <w:rPr>
          <w:rFonts w:ascii="標楷體" w:eastAsia="標楷體" w:hAnsi="標楷體" w:hint="eastAsia"/>
        </w:rPr>
        <w:t>經檢討係因民間信仰與傳統觀念之阻力等影響，致配合試辦及自行推動比率偏低，經</w:t>
      </w:r>
      <w:proofErr w:type="gramStart"/>
      <w:r w:rsidR="0097331E">
        <w:rPr>
          <w:rFonts w:ascii="標楷體" w:eastAsia="標楷體" w:hAnsi="標楷體" w:hint="eastAsia"/>
        </w:rPr>
        <w:t>研</w:t>
      </w:r>
      <w:proofErr w:type="gramEnd"/>
      <w:r w:rsidR="0097331E">
        <w:rPr>
          <w:rFonts w:ascii="標楷體" w:eastAsia="標楷體" w:hAnsi="標楷體" w:hint="eastAsia"/>
        </w:rPr>
        <w:t>提多元化宣傳、輔導產業發展小包裝精緻平安米等策略，並持續加強宣導推廣，深化祭祀文化新思維；（2</w:t>
      </w:r>
      <w:r w:rsidR="0097331E">
        <w:rPr>
          <w:rFonts w:ascii="標楷體" w:eastAsia="標楷體" w:hAnsi="標楷體"/>
        </w:rPr>
        <w:t>）</w:t>
      </w:r>
      <w:r w:rsidR="0097331E">
        <w:rPr>
          <w:rFonts w:ascii="標楷體" w:eastAsia="標楷體" w:hAnsi="標楷體" w:hint="eastAsia"/>
        </w:rPr>
        <w:t>23家已申報財務報表並報局備查；2家逾期未申報財務報表者，已各處以罰鍰1萬2,000元；1家已申報財務報表予區公所，尚在輔導補正中；又對宗教財團法人如</w:t>
      </w:r>
      <w:r w:rsidR="0097331E" w:rsidRPr="00FC52B3">
        <w:rPr>
          <w:rFonts w:ascii="標楷體" w:eastAsia="標楷體" w:hAnsi="標楷體" w:hint="eastAsia"/>
        </w:rPr>
        <w:t>遇財務報表編製有困難或</w:t>
      </w:r>
      <w:proofErr w:type="gramStart"/>
      <w:r w:rsidR="0097331E" w:rsidRPr="00FC52B3">
        <w:rPr>
          <w:rFonts w:ascii="標楷體" w:eastAsia="標楷體" w:hAnsi="標楷體" w:hint="eastAsia"/>
        </w:rPr>
        <w:t>多次</w:t>
      </w:r>
      <w:r w:rsidR="0097331E">
        <w:rPr>
          <w:rFonts w:ascii="標楷體" w:eastAsia="標楷體" w:hAnsi="標楷體" w:hint="eastAsia"/>
        </w:rPr>
        <w:t>經</w:t>
      </w:r>
      <w:r w:rsidR="0097331E" w:rsidRPr="00FC52B3">
        <w:rPr>
          <w:rFonts w:ascii="標楷體" w:eastAsia="標楷體" w:hAnsi="標楷體" w:hint="eastAsia"/>
        </w:rPr>
        <w:t>退請</w:t>
      </w:r>
      <w:proofErr w:type="gramEnd"/>
      <w:r w:rsidR="0097331E" w:rsidRPr="00FC52B3">
        <w:rPr>
          <w:rFonts w:ascii="標楷體" w:eastAsia="標楷體" w:hAnsi="標楷體" w:hint="eastAsia"/>
        </w:rPr>
        <w:t>補正等情形，</w:t>
      </w:r>
      <w:r w:rsidR="0097331E">
        <w:rPr>
          <w:rFonts w:ascii="標楷體" w:eastAsia="標楷體" w:hAnsi="標楷體" w:hint="eastAsia"/>
        </w:rPr>
        <w:t>將</w:t>
      </w:r>
      <w:r w:rsidR="0097331E" w:rsidRPr="00FC52B3">
        <w:rPr>
          <w:rFonts w:ascii="標楷體" w:eastAsia="標楷體" w:hAnsi="標楷體" w:hint="eastAsia"/>
        </w:rPr>
        <w:t>安排查核會計師</w:t>
      </w:r>
      <w:r w:rsidR="0097331E">
        <w:rPr>
          <w:rFonts w:ascii="標楷體" w:eastAsia="標楷體" w:hAnsi="標楷體" w:hint="eastAsia"/>
        </w:rPr>
        <w:t>加強</w:t>
      </w:r>
      <w:r w:rsidR="0097331E" w:rsidRPr="00FC52B3">
        <w:rPr>
          <w:rFonts w:ascii="標楷體" w:eastAsia="標楷體" w:hAnsi="標楷體" w:hint="eastAsia"/>
        </w:rPr>
        <w:t>輔導</w:t>
      </w:r>
      <w:r w:rsidR="0097331E">
        <w:rPr>
          <w:rFonts w:ascii="標楷體" w:eastAsia="標楷體" w:hAnsi="標楷體" w:hint="eastAsia"/>
        </w:rPr>
        <w:t>；（3</w:t>
      </w:r>
      <w:r w:rsidR="0097331E">
        <w:rPr>
          <w:rFonts w:ascii="標楷體" w:eastAsia="標楷體" w:hAnsi="標楷體"/>
        </w:rPr>
        <w:t>）</w:t>
      </w:r>
      <w:r w:rsidR="0097331E">
        <w:rPr>
          <w:rFonts w:ascii="標楷體" w:eastAsia="標楷體" w:hAnsi="標楷體" w:hint="eastAsia"/>
        </w:rPr>
        <w:t>全數已完成</w:t>
      </w:r>
      <w:r w:rsidR="0097331E" w:rsidRPr="001A0266">
        <w:rPr>
          <w:rFonts w:ascii="標楷體" w:eastAsia="標楷體" w:hAnsi="標楷體" w:hint="eastAsia"/>
        </w:rPr>
        <w:t>個人資</w:t>
      </w:r>
      <w:r w:rsidR="00A858C7" w:rsidRPr="001A0266">
        <w:rPr>
          <w:rFonts w:ascii="標楷體" w:eastAsia="標楷體" w:hAnsi="標楷體" w:hint="eastAsia"/>
        </w:rPr>
        <w:t>料檔案安全維護計畫</w:t>
      </w:r>
      <w:r w:rsidR="00A858C7">
        <w:rPr>
          <w:rFonts w:ascii="標楷體" w:eastAsia="標楷體" w:hAnsi="標楷體" w:hint="eastAsia"/>
        </w:rPr>
        <w:t>並報該局備查。</w:t>
      </w:r>
    </w:p>
    <w:p w14:paraId="75187CA1" w14:textId="77777777" w:rsidR="00A858C7" w:rsidRPr="005E4C47" w:rsidRDefault="00A858C7" w:rsidP="00990380">
      <w:pPr>
        <w:suppressAutoHyphens/>
        <w:overflowPunct w:val="0"/>
        <w:spacing w:beforeLines="30" w:before="108" w:line="420" w:lineRule="exact"/>
        <w:ind w:firstLineChars="100" w:firstLine="280"/>
        <w:jc w:val="both"/>
        <w:rPr>
          <w:rFonts w:ascii="標楷體" w:eastAsia="標楷體" w:hAnsi="標楷體" w:cs="Times New Roman"/>
          <w:b/>
          <w:sz w:val="28"/>
          <w:szCs w:val="28"/>
        </w:rPr>
      </w:pPr>
      <w:r w:rsidRPr="005E4C47">
        <w:rPr>
          <w:rFonts w:ascii="標楷體" w:eastAsia="標楷體" w:hAnsi="標楷體" w:cs="Times New Roman" w:hint="eastAsia"/>
          <w:b/>
          <w:sz w:val="28"/>
          <w:szCs w:val="28"/>
        </w:rPr>
        <w:t>（四）</w:t>
      </w:r>
      <w:proofErr w:type="gramStart"/>
      <w:r w:rsidRPr="005E4C47">
        <w:rPr>
          <w:rFonts w:ascii="標楷體" w:eastAsia="標楷體" w:hAnsi="標楷體" w:cs="Times New Roman" w:hint="eastAsia"/>
          <w:b/>
          <w:sz w:val="28"/>
          <w:szCs w:val="28"/>
        </w:rPr>
        <w:t>11</w:t>
      </w:r>
      <w:r>
        <w:rPr>
          <w:rFonts w:ascii="標楷體" w:eastAsia="標楷體" w:hAnsi="標楷體" w:cs="Times New Roman"/>
          <w:b/>
          <w:sz w:val="28"/>
          <w:szCs w:val="28"/>
        </w:rPr>
        <w:t>2</w:t>
      </w:r>
      <w:proofErr w:type="gramEnd"/>
      <w:r w:rsidRPr="005E4C47">
        <w:rPr>
          <w:rFonts w:ascii="標楷體" w:eastAsia="標楷體" w:hAnsi="標楷體" w:cs="Times New Roman"/>
          <w:b/>
          <w:sz w:val="28"/>
          <w:szCs w:val="28"/>
        </w:rPr>
        <w:t xml:space="preserve">年度重要審核意見追蹤查核情形 </w:t>
      </w:r>
    </w:p>
    <w:p w14:paraId="47722BDE" w14:textId="1D271C22" w:rsidR="00A858C7" w:rsidRDefault="00A858C7" w:rsidP="00A858C7">
      <w:pPr>
        <w:overflowPunct w:val="0"/>
        <w:spacing w:line="400" w:lineRule="exact"/>
        <w:ind w:firstLineChars="200" w:firstLine="480"/>
        <w:jc w:val="both"/>
        <w:rPr>
          <w:rFonts w:ascii="標楷體" w:eastAsia="標楷體" w:hAnsi="標楷體" w:cs="Times New Roman"/>
          <w:kern w:val="0"/>
          <w:szCs w:val="24"/>
        </w:rPr>
      </w:pPr>
      <w:r w:rsidRPr="005E4C47">
        <w:rPr>
          <w:rFonts w:ascii="標楷體" w:eastAsia="標楷體" w:hAnsi="標楷體" w:cs="Times New Roman" w:hint="eastAsia"/>
          <w:kern w:val="0"/>
          <w:szCs w:val="24"/>
        </w:rPr>
        <w:t>本處於</w:t>
      </w:r>
      <w:proofErr w:type="gramStart"/>
      <w:r w:rsidRPr="005E4C47">
        <w:rPr>
          <w:rFonts w:ascii="標楷體" w:eastAsia="標楷體" w:hAnsi="標楷體" w:cs="Times New Roman" w:hint="eastAsia"/>
          <w:kern w:val="0"/>
          <w:szCs w:val="24"/>
        </w:rPr>
        <w:t>11</w:t>
      </w:r>
      <w:r>
        <w:rPr>
          <w:rFonts w:ascii="標楷體" w:eastAsia="標楷體" w:hAnsi="標楷體" w:cs="Times New Roman"/>
          <w:kern w:val="0"/>
          <w:szCs w:val="24"/>
        </w:rPr>
        <w:t>2</w:t>
      </w:r>
      <w:proofErr w:type="gramEnd"/>
      <w:r w:rsidRPr="005E4C47">
        <w:rPr>
          <w:rFonts w:ascii="標楷體" w:eastAsia="標楷體" w:hAnsi="標楷體" w:cs="Times New Roman" w:hint="eastAsia"/>
          <w:kern w:val="0"/>
          <w:szCs w:val="24"/>
        </w:rPr>
        <w:t>年度</w:t>
      </w:r>
      <w:r w:rsidRPr="005E4C47">
        <w:rPr>
          <w:rFonts w:ascii="標楷體" w:eastAsia="標楷體" w:hAnsi="標楷體" w:hint="eastAsia"/>
          <w:szCs w:val="24"/>
        </w:rPr>
        <w:t>審核</w:t>
      </w:r>
      <w:r w:rsidRPr="005E4C47">
        <w:rPr>
          <w:rFonts w:ascii="標楷體" w:eastAsia="標楷體" w:hAnsi="標楷體" w:cs="Times New Roman" w:hint="eastAsia"/>
          <w:kern w:val="0"/>
          <w:szCs w:val="24"/>
        </w:rPr>
        <w:t>報告內列重要審核意見</w:t>
      </w:r>
      <w:r w:rsidRPr="007309CF">
        <w:rPr>
          <w:rFonts w:ascii="標楷體" w:eastAsia="標楷體" w:hAnsi="標楷體" w:cs="Times New Roman" w:hint="eastAsia"/>
          <w:kern w:val="0"/>
          <w:szCs w:val="24"/>
        </w:rPr>
        <w:t>2</w:t>
      </w:r>
      <w:r w:rsidRPr="005E4C47">
        <w:rPr>
          <w:rFonts w:ascii="標楷體" w:eastAsia="標楷體" w:hAnsi="標楷體" w:cs="Times New Roman" w:hint="eastAsia"/>
          <w:kern w:val="0"/>
          <w:szCs w:val="24"/>
        </w:rPr>
        <w:t>項，經</w:t>
      </w:r>
      <w:proofErr w:type="gramStart"/>
      <w:r w:rsidRPr="005E4C47">
        <w:rPr>
          <w:rFonts w:ascii="標楷體" w:eastAsia="標楷體" w:hAnsi="標楷體" w:cs="Times New Roman" w:hint="eastAsia"/>
          <w:kern w:val="0"/>
          <w:szCs w:val="24"/>
        </w:rPr>
        <w:t>賡</w:t>
      </w:r>
      <w:proofErr w:type="gramEnd"/>
      <w:r w:rsidRPr="005E4C47">
        <w:rPr>
          <w:rFonts w:ascii="標楷體" w:eastAsia="標楷體" w:hAnsi="標楷體" w:cs="Times New Roman" w:hint="eastAsia"/>
          <w:kern w:val="0"/>
          <w:szCs w:val="24"/>
        </w:rPr>
        <w:t>續追蹤查核實際辦理結果，均已</w:t>
      </w:r>
      <w:proofErr w:type="gramStart"/>
      <w:r w:rsidRPr="005E4C47">
        <w:rPr>
          <w:rFonts w:ascii="標楷體" w:eastAsia="標楷體" w:hAnsi="標楷體" w:cs="Times New Roman" w:hint="eastAsia"/>
          <w:kern w:val="0"/>
          <w:szCs w:val="24"/>
        </w:rPr>
        <w:t>研</w:t>
      </w:r>
      <w:proofErr w:type="gramEnd"/>
      <w:r w:rsidRPr="005E4C47">
        <w:rPr>
          <w:rFonts w:ascii="標楷體" w:eastAsia="標楷體" w:hAnsi="標楷體" w:cs="Times New Roman" w:hint="eastAsia"/>
          <w:kern w:val="0"/>
          <w:szCs w:val="24"/>
        </w:rPr>
        <w:t>謀改善或依改善措施持續辦理（表</w:t>
      </w:r>
      <w:r>
        <w:rPr>
          <w:rFonts w:ascii="標楷體" w:eastAsia="標楷體" w:hAnsi="標楷體" w:cs="Times New Roman"/>
          <w:kern w:val="0"/>
          <w:szCs w:val="24"/>
        </w:rPr>
        <w:t>3</w:t>
      </w:r>
      <w:r w:rsidRPr="005E4C47">
        <w:rPr>
          <w:rFonts w:ascii="標楷體" w:eastAsia="標楷體" w:hAnsi="標楷體" w:cs="Times New Roman" w:hint="eastAsia"/>
          <w:kern w:val="0"/>
          <w:szCs w:val="24"/>
        </w:rPr>
        <w:t>）。</w:t>
      </w:r>
    </w:p>
    <w:tbl>
      <w:tblPr>
        <w:tblStyle w:val="a6"/>
        <w:tblW w:w="0" w:type="auto"/>
        <w:tblLook w:val="04A0" w:firstRow="1" w:lastRow="0" w:firstColumn="1" w:lastColumn="0" w:noHBand="0" w:noVBand="1"/>
      </w:tblPr>
      <w:tblGrid>
        <w:gridCol w:w="6379"/>
        <w:gridCol w:w="3533"/>
      </w:tblGrid>
      <w:tr w:rsidR="005828B3" w14:paraId="6D123AA6" w14:textId="77777777" w:rsidTr="005828B3">
        <w:tc>
          <w:tcPr>
            <w:tcW w:w="9912" w:type="dxa"/>
            <w:gridSpan w:val="2"/>
            <w:tcBorders>
              <w:top w:val="nil"/>
              <w:left w:val="nil"/>
              <w:bottom w:val="single" w:sz="4" w:space="0" w:color="auto"/>
              <w:right w:val="nil"/>
            </w:tcBorders>
            <w:vAlign w:val="center"/>
          </w:tcPr>
          <w:p w14:paraId="27A481BF" w14:textId="1731C8A2" w:rsidR="005828B3" w:rsidRPr="001430DA" w:rsidRDefault="005828B3" w:rsidP="005828B3">
            <w:pPr>
              <w:overflowPunct w:val="0"/>
              <w:spacing w:line="400" w:lineRule="exact"/>
              <w:jc w:val="center"/>
              <w:rPr>
                <w:rFonts w:ascii="標楷體" w:eastAsia="標楷體" w:hAnsi="標楷體"/>
                <w:b/>
                <w:sz w:val="24"/>
                <w:szCs w:val="24"/>
              </w:rPr>
            </w:pPr>
            <w:r w:rsidRPr="001430DA">
              <w:rPr>
                <w:rFonts w:ascii="標楷體" w:eastAsia="標楷體" w:hAnsi="標楷體" w:hint="eastAsia"/>
                <w:b/>
                <w:sz w:val="24"/>
                <w:szCs w:val="24"/>
              </w:rPr>
              <w:t>表</w:t>
            </w:r>
            <w:r w:rsidRPr="001430DA">
              <w:rPr>
                <w:rFonts w:ascii="標楷體" w:eastAsia="標楷體" w:hAnsi="標楷體"/>
                <w:b/>
                <w:sz w:val="24"/>
                <w:szCs w:val="24"/>
              </w:rPr>
              <w:t>3</w:t>
            </w:r>
            <w:r w:rsidRPr="001430DA">
              <w:rPr>
                <w:rFonts w:ascii="標楷體" w:eastAsia="標楷體" w:hAnsi="標楷體" w:hint="eastAsia"/>
                <w:b/>
                <w:sz w:val="24"/>
                <w:szCs w:val="24"/>
              </w:rPr>
              <w:t xml:space="preserve">　</w:t>
            </w:r>
            <w:proofErr w:type="gramStart"/>
            <w:r w:rsidRPr="001430DA">
              <w:rPr>
                <w:rFonts w:ascii="標楷體" w:eastAsia="標楷體" w:hAnsi="標楷體" w:hint="eastAsia"/>
                <w:b/>
                <w:sz w:val="24"/>
                <w:szCs w:val="24"/>
              </w:rPr>
              <w:t>11</w:t>
            </w:r>
            <w:r w:rsidRPr="001430DA">
              <w:rPr>
                <w:rFonts w:ascii="標楷體" w:eastAsia="標楷體" w:hAnsi="標楷體"/>
                <w:b/>
                <w:sz w:val="24"/>
                <w:szCs w:val="24"/>
              </w:rPr>
              <w:t>2</w:t>
            </w:r>
            <w:proofErr w:type="gramEnd"/>
            <w:r w:rsidRPr="001430DA">
              <w:rPr>
                <w:rFonts w:ascii="標楷體" w:eastAsia="標楷體" w:hAnsi="標楷體" w:hint="eastAsia"/>
                <w:b/>
                <w:sz w:val="24"/>
                <w:szCs w:val="24"/>
              </w:rPr>
              <w:t>年度審核報告所列民政局主管重要審核意見覆核辦理情形</w:t>
            </w:r>
          </w:p>
        </w:tc>
      </w:tr>
      <w:tr w:rsidR="005828B3" w14:paraId="5706AFEE" w14:textId="77777777" w:rsidTr="00990380">
        <w:trPr>
          <w:trHeight w:val="397"/>
        </w:trPr>
        <w:tc>
          <w:tcPr>
            <w:tcW w:w="6379" w:type="dxa"/>
            <w:tcBorders>
              <w:top w:val="single" w:sz="4" w:space="0" w:color="auto"/>
            </w:tcBorders>
            <w:vAlign w:val="center"/>
          </w:tcPr>
          <w:p w14:paraId="6F60F055" w14:textId="7B48E9FD" w:rsidR="005828B3" w:rsidRPr="00990380" w:rsidRDefault="005828B3" w:rsidP="00990380">
            <w:pPr>
              <w:overflowPunct w:val="0"/>
              <w:spacing w:line="240" w:lineRule="exact"/>
              <w:jc w:val="center"/>
              <w:rPr>
                <w:rFonts w:ascii="標楷體" w:eastAsia="標楷體" w:hAnsi="標楷體"/>
                <w:b/>
              </w:rPr>
            </w:pPr>
            <w:r w:rsidRPr="00990380">
              <w:rPr>
                <w:rFonts w:ascii="標楷體" w:eastAsia="標楷體" w:hAnsi="標楷體" w:hint="eastAsia"/>
              </w:rPr>
              <w:t>重要審核意見標題</w:t>
            </w:r>
          </w:p>
        </w:tc>
        <w:tc>
          <w:tcPr>
            <w:tcW w:w="3533" w:type="dxa"/>
            <w:tcBorders>
              <w:top w:val="single" w:sz="4" w:space="0" w:color="auto"/>
            </w:tcBorders>
            <w:vAlign w:val="center"/>
          </w:tcPr>
          <w:p w14:paraId="74F0DACC" w14:textId="37458047" w:rsidR="005828B3" w:rsidRPr="00990380" w:rsidRDefault="005828B3" w:rsidP="00990380">
            <w:pPr>
              <w:overflowPunct w:val="0"/>
              <w:spacing w:line="240" w:lineRule="exact"/>
              <w:jc w:val="center"/>
              <w:rPr>
                <w:rFonts w:ascii="標楷體" w:eastAsia="標楷體" w:hAnsi="標楷體"/>
                <w:b/>
              </w:rPr>
            </w:pPr>
            <w:r w:rsidRPr="00990380">
              <w:rPr>
                <w:rFonts w:ascii="標楷體" w:eastAsia="標楷體" w:hAnsi="標楷體" w:hint="eastAsia"/>
              </w:rPr>
              <w:t>說明</w:t>
            </w:r>
          </w:p>
        </w:tc>
      </w:tr>
      <w:tr w:rsidR="00990380" w14:paraId="4DCEC3E6" w14:textId="77777777" w:rsidTr="00990380">
        <w:trPr>
          <w:trHeight w:val="340"/>
        </w:trPr>
        <w:tc>
          <w:tcPr>
            <w:tcW w:w="9912" w:type="dxa"/>
            <w:gridSpan w:val="2"/>
            <w:vAlign w:val="center"/>
          </w:tcPr>
          <w:p w14:paraId="05F61D4D" w14:textId="4DB0B5BE" w:rsidR="00990380" w:rsidRPr="00990380" w:rsidRDefault="00990380" w:rsidP="00990380">
            <w:pPr>
              <w:overflowPunct w:val="0"/>
              <w:spacing w:line="300" w:lineRule="exact"/>
              <w:jc w:val="both"/>
              <w:rPr>
                <w:rFonts w:ascii="標楷體" w:eastAsia="標楷體" w:hAnsi="標楷體"/>
                <w:b/>
              </w:rPr>
            </w:pPr>
            <w:r w:rsidRPr="00990380">
              <w:rPr>
                <w:rFonts w:ascii="標楷體" w:eastAsia="標楷體" w:hAnsi="標楷體" w:hint="eastAsia"/>
                <w:b/>
              </w:rPr>
              <w:t>已</w:t>
            </w:r>
            <w:proofErr w:type="gramStart"/>
            <w:r w:rsidRPr="00990380">
              <w:rPr>
                <w:rFonts w:ascii="標楷體" w:eastAsia="標楷體" w:hAnsi="標楷體" w:hint="eastAsia"/>
                <w:b/>
              </w:rPr>
              <w:t>研</w:t>
            </w:r>
            <w:proofErr w:type="gramEnd"/>
            <w:r w:rsidRPr="00990380">
              <w:rPr>
                <w:rFonts w:ascii="標楷體" w:eastAsia="標楷體" w:hAnsi="標楷體" w:hint="eastAsia"/>
                <w:b/>
              </w:rPr>
              <w:t>謀改善或依改善措施持續辦理</w:t>
            </w:r>
          </w:p>
        </w:tc>
      </w:tr>
      <w:tr w:rsidR="00990380" w14:paraId="6AE74CF3" w14:textId="77777777" w:rsidTr="00990380">
        <w:trPr>
          <w:trHeight w:val="1247"/>
        </w:trPr>
        <w:tc>
          <w:tcPr>
            <w:tcW w:w="6379" w:type="dxa"/>
            <w:vAlign w:val="center"/>
          </w:tcPr>
          <w:p w14:paraId="103E3FD9" w14:textId="7AC63403" w:rsidR="00990380" w:rsidRPr="00990380" w:rsidRDefault="00990380" w:rsidP="00990380">
            <w:pPr>
              <w:overflowPunct w:val="0"/>
              <w:spacing w:line="300" w:lineRule="exact"/>
              <w:ind w:left="200" w:hangingChars="100" w:hanging="200"/>
              <w:jc w:val="both"/>
              <w:rPr>
                <w:rFonts w:ascii="標楷體" w:eastAsia="標楷體" w:hAnsi="標楷體"/>
                <w:b/>
              </w:rPr>
            </w:pPr>
            <w:r w:rsidRPr="00990380">
              <w:rPr>
                <w:rFonts w:ascii="標楷體" w:eastAsia="標楷體" w:hAnsi="標楷體" w:hint="eastAsia"/>
                <w:position w:val="2"/>
              </w:rPr>
              <w:t>1</w:t>
            </w:r>
            <w:r w:rsidRPr="00990380">
              <w:rPr>
                <w:rFonts w:ascii="標楷體" w:eastAsia="標楷體" w:hAnsi="標楷體"/>
                <w:position w:val="2"/>
              </w:rPr>
              <w:t>.</w:t>
            </w:r>
            <w:r w:rsidRPr="00990380">
              <w:rPr>
                <w:rFonts w:ascii="標楷體" w:eastAsia="標楷體" w:hAnsi="標楷體" w:hint="eastAsia"/>
                <w:position w:val="2"/>
              </w:rPr>
              <w:t>為市府各機關應用戶政資訊及提升作業效率，受理申辦應用戶政資訊連結及開發建置數位印鑑比對系統等，惟由中央統一派送</w:t>
            </w:r>
            <w:proofErr w:type="gramStart"/>
            <w:r w:rsidRPr="00990380">
              <w:rPr>
                <w:rFonts w:ascii="標楷體" w:eastAsia="標楷體" w:hAnsi="標楷體" w:hint="eastAsia"/>
                <w:position w:val="2"/>
              </w:rPr>
              <w:t>安裝之戶役</w:t>
            </w:r>
            <w:proofErr w:type="gramEnd"/>
            <w:r w:rsidRPr="00990380">
              <w:rPr>
                <w:rFonts w:ascii="標楷體" w:eastAsia="標楷體" w:hAnsi="標楷體" w:hint="eastAsia"/>
                <w:position w:val="2"/>
              </w:rPr>
              <w:t>政工作站作業系統版本過時，已無系統安全性支援與更新服務，有待</w:t>
            </w:r>
            <w:proofErr w:type="gramStart"/>
            <w:r w:rsidRPr="00990380">
              <w:rPr>
                <w:rFonts w:ascii="標楷體" w:eastAsia="標楷體" w:hAnsi="標楷體" w:hint="eastAsia"/>
                <w:position w:val="2"/>
              </w:rPr>
              <w:t>研</w:t>
            </w:r>
            <w:proofErr w:type="gramEnd"/>
            <w:r w:rsidRPr="00990380">
              <w:rPr>
                <w:rFonts w:ascii="標楷體" w:eastAsia="標楷體" w:hAnsi="標楷體" w:hint="eastAsia"/>
                <w:position w:val="2"/>
              </w:rPr>
              <w:t>謀改善。</w:t>
            </w:r>
          </w:p>
        </w:tc>
        <w:tc>
          <w:tcPr>
            <w:tcW w:w="3533" w:type="dxa"/>
            <w:vMerge w:val="restart"/>
            <w:tcBorders>
              <w:tl2br w:val="single" w:sz="4" w:space="0" w:color="auto"/>
            </w:tcBorders>
          </w:tcPr>
          <w:p w14:paraId="3F2433E2" w14:textId="77777777" w:rsidR="00990380" w:rsidRDefault="00990380" w:rsidP="005828B3">
            <w:pPr>
              <w:overflowPunct w:val="0"/>
              <w:spacing w:line="400" w:lineRule="exact"/>
              <w:jc w:val="both"/>
              <w:rPr>
                <w:rFonts w:ascii="標楷體" w:eastAsia="標楷體" w:hAnsi="標楷體"/>
                <w:b/>
                <w:sz w:val="28"/>
                <w:szCs w:val="28"/>
              </w:rPr>
            </w:pPr>
          </w:p>
        </w:tc>
      </w:tr>
      <w:tr w:rsidR="00990380" w14:paraId="2B423419" w14:textId="77777777" w:rsidTr="00990380">
        <w:trPr>
          <w:trHeight w:val="624"/>
        </w:trPr>
        <w:tc>
          <w:tcPr>
            <w:tcW w:w="6379" w:type="dxa"/>
            <w:vAlign w:val="center"/>
          </w:tcPr>
          <w:p w14:paraId="467FFD0A" w14:textId="20C65BCA" w:rsidR="00990380" w:rsidRPr="00990380" w:rsidRDefault="00990380" w:rsidP="00990380">
            <w:pPr>
              <w:overflowPunct w:val="0"/>
              <w:spacing w:line="300" w:lineRule="exact"/>
              <w:ind w:left="200" w:hangingChars="100" w:hanging="200"/>
              <w:jc w:val="both"/>
              <w:rPr>
                <w:rFonts w:ascii="標楷體" w:eastAsia="標楷體" w:hAnsi="標楷體"/>
                <w:b/>
              </w:rPr>
            </w:pPr>
            <w:r w:rsidRPr="00990380">
              <w:rPr>
                <w:rFonts w:ascii="標楷體" w:eastAsia="標楷體" w:hAnsi="標楷體" w:hint="eastAsia"/>
                <w:position w:val="2"/>
              </w:rPr>
              <w:t>2</w:t>
            </w:r>
            <w:r w:rsidRPr="00990380">
              <w:rPr>
                <w:rFonts w:ascii="標楷體" w:eastAsia="標楷體" w:hAnsi="標楷體"/>
                <w:position w:val="2"/>
              </w:rPr>
              <w:t>.</w:t>
            </w:r>
            <w:r w:rsidRPr="00990380">
              <w:rPr>
                <w:rFonts w:ascii="標楷體" w:eastAsia="標楷體" w:hAnsi="標楷體" w:hint="eastAsia"/>
                <w:position w:val="2"/>
              </w:rPr>
              <w:t>推動戶政服務網路預約登記，惟戶政事務所可開放預約登記項目，部分服務項目尚未開放，有待</w:t>
            </w:r>
            <w:proofErr w:type="gramStart"/>
            <w:r w:rsidRPr="00990380">
              <w:rPr>
                <w:rFonts w:ascii="標楷體" w:eastAsia="標楷體" w:hAnsi="標楷體" w:hint="eastAsia"/>
                <w:position w:val="2"/>
              </w:rPr>
              <w:t>研</w:t>
            </w:r>
            <w:proofErr w:type="gramEnd"/>
            <w:r w:rsidRPr="00990380">
              <w:rPr>
                <w:rFonts w:ascii="標楷體" w:eastAsia="標楷體" w:hAnsi="標楷體" w:hint="eastAsia"/>
                <w:position w:val="2"/>
              </w:rPr>
              <w:t>議調整增設，以提供更多元便民服務。</w:t>
            </w:r>
          </w:p>
        </w:tc>
        <w:tc>
          <w:tcPr>
            <w:tcW w:w="3533" w:type="dxa"/>
            <w:vMerge/>
            <w:tcBorders>
              <w:tl2br w:val="single" w:sz="4" w:space="0" w:color="auto"/>
            </w:tcBorders>
          </w:tcPr>
          <w:p w14:paraId="371B3EBA" w14:textId="77777777" w:rsidR="00990380" w:rsidRDefault="00990380" w:rsidP="005828B3">
            <w:pPr>
              <w:overflowPunct w:val="0"/>
              <w:spacing w:line="400" w:lineRule="exact"/>
              <w:jc w:val="both"/>
              <w:rPr>
                <w:rFonts w:ascii="標楷體" w:eastAsia="標楷體" w:hAnsi="標楷體"/>
                <w:b/>
                <w:sz w:val="28"/>
                <w:szCs w:val="28"/>
              </w:rPr>
            </w:pPr>
          </w:p>
        </w:tc>
      </w:tr>
    </w:tbl>
    <w:p w14:paraId="0A66B3BD" w14:textId="476EE456" w:rsidR="003731AC" w:rsidRDefault="003731AC" w:rsidP="00A858C7">
      <w:pPr>
        <w:widowControl/>
        <w:rPr>
          <w:rFonts w:ascii="標楷體" w:eastAsia="標楷體" w:hAnsi="標楷體" w:cs="標楷體"/>
          <w:b/>
          <w:sz w:val="36"/>
          <w:szCs w:val="36"/>
        </w:rPr>
      </w:pPr>
      <w:r>
        <w:rPr>
          <w:rFonts w:ascii="標楷體" w:eastAsia="標楷體" w:hAnsi="標楷體" w:cs="標楷體"/>
          <w:b/>
          <w:sz w:val="36"/>
          <w:szCs w:val="36"/>
        </w:rPr>
        <w:br w:type="page"/>
      </w:r>
      <w:r>
        <w:rPr>
          <w:rFonts w:ascii="標楷體" w:eastAsia="標楷體" w:hAnsi="標楷體" w:cs="標楷體" w:hint="eastAsia"/>
          <w:b/>
          <w:sz w:val="36"/>
          <w:szCs w:val="36"/>
        </w:rPr>
        <w:lastRenderedPageBreak/>
        <w:t>肆、財政局主管</w:t>
      </w:r>
    </w:p>
    <w:p w14:paraId="210A20FE" w14:textId="77777777" w:rsidR="003731AC" w:rsidRDefault="003731AC" w:rsidP="00EF4411">
      <w:pPr>
        <w:overflowPunct w:val="0"/>
        <w:spacing w:line="46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財政局主管計有公務機關2個，市營事業單位1個，非營業特種基金單位2個，各該單位決算、附屬單位決算營業及非營業部分之審核情形如次：</w:t>
      </w:r>
    </w:p>
    <w:p w14:paraId="1CA0871E" w14:textId="77777777" w:rsidR="003731AC" w:rsidRDefault="003731AC" w:rsidP="003731AC">
      <w:pPr>
        <w:suppressAutoHyphens/>
        <w:overflowPunct w:val="0"/>
        <w:spacing w:beforeLines="20" w:before="72" w:afterLines="20" w:after="72" w:line="46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一、單位決算部分</w:t>
      </w:r>
    </w:p>
    <w:p w14:paraId="556C5161" w14:textId="77777777" w:rsidR="003731AC" w:rsidRDefault="003731AC" w:rsidP="00EF4411">
      <w:pPr>
        <w:overflowPunct w:val="0"/>
        <w:spacing w:line="44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財政局主管包括財政局、稅捐稽徵處等2個機關，掌理臺北市政府財務管理、市營事業及基金財務監督、債務及市有財產管理、集中支付作業、賦稅</w:t>
      </w:r>
      <w:proofErr w:type="gramStart"/>
      <w:r>
        <w:rPr>
          <w:rFonts w:ascii="標楷體" w:eastAsia="標楷體" w:hAnsi="Times New Roman" w:cs="Times New Roman" w:hint="eastAsia"/>
          <w:szCs w:val="24"/>
        </w:rPr>
        <w:t>稽</w:t>
      </w:r>
      <w:proofErr w:type="gramEnd"/>
      <w:r>
        <w:rPr>
          <w:rFonts w:ascii="標楷體" w:eastAsia="標楷體" w:hAnsi="Times New Roman" w:cs="Times New Roman" w:hint="eastAsia"/>
          <w:szCs w:val="24"/>
        </w:rPr>
        <w:t>徵等業務。茲將</w:t>
      </w:r>
      <w:proofErr w:type="gramStart"/>
      <w:r>
        <w:rPr>
          <w:rFonts w:ascii="標楷體" w:eastAsia="標楷體" w:hAnsi="Times New Roman" w:cs="Times New Roman" w:hint="eastAsia"/>
          <w:szCs w:val="24"/>
        </w:rPr>
        <w:t>113</w:t>
      </w:r>
      <w:proofErr w:type="gramEnd"/>
      <w:r>
        <w:rPr>
          <w:rFonts w:ascii="標楷體" w:eastAsia="標楷體" w:hAnsi="Times New Roman" w:cs="Times New Roman" w:hint="eastAsia"/>
          <w:szCs w:val="24"/>
        </w:rPr>
        <w:t>年度決算審核結果說明如次：</w:t>
      </w:r>
    </w:p>
    <w:p w14:paraId="377ADB05" w14:textId="77777777" w:rsidR="003731AC" w:rsidRDefault="003731AC" w:rsidP="003731AC">
      <w:pPr>
        <w:suppressAutoHyphens/>
        <w:overflowPunct w:val="0"/>
        <w:spacing w:beforeLines="20" w:before="72" w:afterLines="20" w:after="72" w:line="440" w:lineRule="exact"/>
        <w:ind w:firstLineChars="100" w:firstLine="280"/>
        <w:jc w:val="both"/>
        <w:rPr>
          <w:rFonts w:ascii="標楷體" w:eastAsia="標楷體" w:hAnsi="Times New Roman" w:cs="Times New Roman"/>
          <w:b/>
          <w:sz w:val="28"/>
          <w:szCs w:val="28"/>
        </w:rPr>
      </w:pP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一</w:t>
      </w: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計畫實施之查核</w:t>
      </w:r>
    </w:p>
    <w:p w14:paraId="7F310E0D" w14:textId="77777777" w:rsidR="003731AC" w:rsidRDefault="003731AC" w:rsidP="00EF4411">
      <w:pPr>
        <w:overflowPunct w:val="0"/>
        <w:spacing w:line="44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業務計畫計11項，下分工作計畫18項，包括督導臺北市政府各機關積極籌措財源</w:t>
      </w:r>
      <w:r>
        <w:rPr>
          <w:rFonts w:ascii="標楷體" w:eastAsia="標楷體" w:hAnsi="標楷體" w:cs="Times New Roman" w:hint="eastAsia"/>
          <w:szCs w:val="24"/>
        </w:rPr>
        <w:t>、</w:t>
      </w:r>
      <w:r>
        <w:rPr>
          <w:rFonts w:ascii="標楷體" w:eastAsia="標楷體" w:hAnsi="Times New Roman" w:cs="Times New Roman" w:hint="eastAsia"/>
          <w:szCs w:val="24"/>
        </w:rPr>
        <w:t>加強市有財產之管理與利用</w:t>
      </w:r>
      <w:r>
        <w:rPr>
          <w:rFonts w:ascii="標楷體" w:eastAsia="標楷體" w:hAnsi="標楷體" w:cs="Times New Roman" w:hint="eastAsia"/>
          <w:szCs w:val="24"/>
        </w:rPr>
        <w:t>、</w:t>
      </w:r>
      <w:r>
        <w:rPr>
          <w:rFonts w:ascii="標楷體" w:eastAsia="標楷體" w:hAnsi="Times New Roman" w:cs="Times New Roman" w:hint="eastAsia"/>
          <w:szCs w:val="24"/>
        </w:rPr>
        <w:t>鼓勵民間投資開發市有土地，加速推動都市更新</w:t>
      </w:r>
      <w:r>
        <w:rPr>
          <w:rFonts w:ascii="標楷體" w:eastAsia="標楷體" w:hAnsi="標楷體" w:cs="Times New Roman" w:hint="eastAsia"/>
          <w:szCs w:val="24"/>
        </w:rPr>
        <w:t>、</w:t>
      </w:r>
      <w:r>
        <w:rPr>
          <w:rFonts w:ascii="標楷體" w:eastAsia="標楷體" w:hAnsi="Times New Roman" w:cs="Times New Roman" w:hint="eastAsia"/>
          <w:szCs w:val="24"/>
        </w:rPr>
        <w:t>推動落實租稅負擔合理化</w:t>
      </w:r>
      <w:r>
        <w:rPr>
          <w:rFonts w:ascii="標楷體" w:eastAsia="標楷體" w:hAnsi="標楷體" w:cs="Times New Roman" w:hint="eastAsia"/>
          <w:szCs w:val="24"/>
        </w:rPr>
        <w:t>、</w:t>
      </w:r>
      <w:proofErr w:type="gramStart"/>
      <w:r>
        <w:rPr>
          <w:rFonts w:ascii="標楷體" w:eastAsia="標楷體" w:hAnsi="標楷體" w:cs="Times New Roman" w:hint="eastAsia"/>
          <w:szCs w:val="24"/>
        </w:rPr>
        <w:t>賡</w:t>
      </w:r>
      <w:proofErr w:type="gramEnd"/>
      <w:r>
        <w:rPr>
          <w:rFonts w:ascii="標楷體" w:eastAsia="標楷體" w:hAnsi="標楷體" w:cs="Times New Roman" w:hint="eastAsia"/>
          <w:szCs w:val="24"/>
        </w:rPr>
        <w:t>續</w:t>
      </w:r>
      <w:r>
        <w:rPr>
          <w:rFonts w:ascii="標楷體" w:eastAsia="標楷體" w:hAnsi="Times New Roman" w:cs="Times New Roman" w:hint="eastAsia"/>
          <w:szCs w:val="24"/>
        </w:rPr>
        <w:t>清查稅籍等重要施政項目，其中已執行完成者10項，尚在執行者6項，主要係財政局辦理</w:t>
      </w:r>
      <w:r>
        <w:rPr>
          <w:rFonts w:ascii="標楷體" w:eastAsia="標楷體" w:hAnsi="標楷體" w:hint="eastAsia"/>
          <w:noProof/>
        </w:rPr>
        <w:t>西門及中山地下街廁所重置工程尚未完成</w:t>
      </w:r>
      <w:r>
        <w:rPr>
          <w:rFonts w:ascii="標楷體" w:eastAsia="標楷體" w:hAnsi="Times New Roman" w:cs="Times New Roman" w:hint="eastAsia"/>
          <w:color w:val="000000"/>
          <w:szCs w:val="24"/>
        </w:rPr>
        <w:t>、稅捐稽徵處之</w:t>
      </w:r>
      <w:r>
        <w:rPr>
          <w:rFonts w:ascii="標楷體" w:eastAsia="標楷體" w:hAnsi="標楷體" w:hint="eastAsia"/>
          <w:noProof/>
        </w:rPr>
        <w:t>建置機房案配合南門大樓辦公廳舍裝修工程進度</w:t>
      </w:r>
      <w:r>
        <w:rPr>
          <w:rFonts w:ascii="標楷體" w:eastAsia="標楷體" w:hAnsi="Times New Roman" w:cs="Times New Roman" w:hint="eastAsia"/>
          <w:szCs w:val="24"/>
        </w:rPr>
        <w:t>，仍須繼續執行。另未執行者2項，係財政局之債務管理計畫，因未發行公債，原編列發行手續費未執行，及稅捐稽徵處之土地購置計畫，因無承受欠稅納稅義務人之土地案件，</w:t>
      </w:r>
      <w:proofErr w:type="gramStart"/>
      <w:r>
        <w:rPr>
          <w:rFonts w:ascii="標楷體" w:eastAsia="標楷體" w:hAnsi="Times New Roman" w:cs="Times New Roman" w:hint="eastAsia"/>
          <w:szCs w:val="24"/>
        </w:rPr>
        <w:t>爰</w:t>
      </w:r>
      <w:proofErr w:type="gramEnd"/>
      <w:r>
        <w:rPr>
          <w:rFonts w:ascii="標楷體" w:eastAsia="標楷體" w:hAnsi="Times New Roman" w:cs="Times New Roman" w:hint="eastAsia"/>
          <w:szCs w:val="24"/>
        </w:rPr>
        <w:t>未執行。</w:t>
      </w:r>
    </w:p>
    <w:p w14:paraId="17F5149E" w14:textId="77777777" w:rsidR="003731AC" w:rsidRDefault="003731AC" w:rsidP="00EF4411">
      <w:pPr>
        <w:suppressAutoHyphens/>
        <w:overflowPunct w:val="0"/>
        <w:spacing w:beforeLines="50" w:before="180" w:afterLines="20" w:after="72" w:line="440" w:lineRule="exact"/>
        <w:ind w:firstLineChars="100" w:firstLine="280"/>
        <w:jc w:val="both"/>
        <w:rPr>
          <w:rFonts w:ascii="標楷體" w:eastAsia="標楷體" w:hAnsi="Times New Roman" w:cs="Times New Roman"/>
          <w:b/>
          <w:sz w:val="28"/>
          <w:szCs w:val="28"/>
        </w:rPr>
      </w:pP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二</w:t>
      </w: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預算執行之審核</w:t>
      </w:r>
    </w:p>
    <w:p w14:paraId="3024A9AC" w14:textId="77777777" w:rsidR="003731AC" w:rsidRDefault="003731AC" w:rsidP="00EF4411">
      <w:pPr>
        <w:overflowPunct w:val="0"/>
        <w:spacing w:line="42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1.歲入原編列預算數1,706億2,367</w:t>
      </w:r>
      <w:r>
        <w:rPr>
          <w:rFonts w:ascii="標楷體" w:eastAsia="標楷體" w:hAnsi="Times New Roman" w:cs="Times New Roman" w:hint="eastAsia"/>
          <w:color w:val="000000"/>
          <w:szCs w:val="24"/>
        </w:rPr>
        <w:t>萬餘元，經追加預算115億8,895萬元</w:t>
      </w:r>
      <w:r>
        <w:rPr>
          <w:rFonts w:ascii="標楷體" w:eastAsia="標楷體" w:hAnsi="Times New Roman" w:cs="Times New Roman" w:hint="eastAsia"/>
          <w:szCs w:val="24"/>
        </w:rPr>
        <w:t>，合計1,822億1,262</w:t>
      </w:r>
      <w:r>
        <w:rPr>
          <w:rFonts w:ascii="標楷體" w:eastAsia="標楷體" w:hAnsi="Times New Roman" w:cs="Times New Roman" w:hint="eastAsia"/>
          <w:color w:val="000000"/>
          <w:szCs w:val="24"/>
        </w:rPr>
        <w:t>萬餘元</w:t>
      </w:r>
      <w:r>
        <w:rPr>
          <w:rFonts w:ascii="標楷體" w:eastAsia="標楷體" w:hAnsi="Times New Roman" w:cs="Times New Roman" w:hint="eastAsia"/>
          <w:szCs w:val="24"/>
        </w:rPr>
        <w:t>，決算審核結果，審定實現數1,905億9,961萬餘元，應收保留數2億659萬餘元，主要係財政局之</w:t>
      </w:r>
      <w:r>
        <w:rPr>
          <w:rFonts w:ascii="標楷體" w:eastAsia="標楷體" w:hAnsi="標楷體" w:hint="eastAsia"/>
          <w:noProof/>
          <w:szCs w:val="28"/>
        </w:rPr>
        <w:t>臺北市市有財產開發基金超預算賸餘待繳庫</w:t>
      </w:r>
      <w:r>
        <w:rPr>
          <w:rFonts w:ascii="標楷體" w:eastAsia="標楷體" w:hAnsi="Times New Roman" w:cs="Times New Roman" w:hint="eastAsia"/>
          <w:szCs w:val="24"/>
        </w:rPr>
        <w:t>；合計決算審定數為1,908億620萬餘</w:t>
      </w:r>
      <w:r>
        <w:rPr>
          <w:rFonts w:ascii="標楷體" w:eastAsia="標楷體" w:hAnsi="Times New Roman" w:cs="Times New Roman" w:hint="eastAsia"/>
          <w:spacing w:val="-4"/>
          <w:szCs w:val="24"/>
        </w:rPr>
        <w:t>元，較預算增加85億9,358萬餘元（4.72％），</w:t>
      </w:r>
      <w:r>
        <w:rPr>
          <w:rFonts w:ascii="標楷體" w:eastAsia="標楷體" w:hAnsi="Times New Roman" w:cs="Times New Roman" w:hint="eastAsia"/>
          <w:szCs w:val="24"/>
        </w:rPr>
        <w:t>主要係</w:t>
      </w:r>
      <w:r w:rsidRPr="00A47D4E">
        <w:rPr>
          <w:rFonts w:ascii="標楷體" w:eastAsia="標楷體" w:hAnsi="Times New Roman" w:cs="Times New Roman" w:hint="eastAsia"/>
          <w:szCs w:val="24"/>
        </w:rPr>
        <w:t>財政部</w:t>
      </w:r>
      <w:proofErr w:type="gramStart"/>
      <w:r w:rsidRPr="00A47D4E">
        <w:rPr>
          <w:rFonts w:ascii="標楷體" w:eastAsia="標楷體" w:hAnsi="Times New Roman" w:cs="Times New Roman" w:hint="eastAsia"/>
          <w:szCs w:val="24"/>
        </w:rPr>
        <w:t>臺</w:t>
      </w:r>
      <w:proofErr w:type="gramEnd"/>
      <w:r w:rsidRPr="00A47D4E">
        <w:rPr>
          <w:rFonts w:ascii="標楷體" w:eastAsia="標楷體" w:hAnsi="Times New Roman" w:cs="Times New Roman" w:hint="eastAsia"/>
          <w:szCs w:val="24"/>
        </w:rPr>
        <w:t>北</w:t>
      </w:r>
      <w:r>
        <w:rPr>
          <w:rFonts w:ascii="標楷體" w:eastAsia="標楷體" w:hAnsi="Times New Roman" w:cs="Times New Roman" w:hint="eastAsia"/>
          <w:szCs w:val="24"/>
        </w:rPr>
        <w:t>國稅局撥付遺產稅及贈與稅，暨稅捐稽徵處之稅課收入等較預計增加。</w:t>
      </w:r>
    </w:p>
    <w:p w14:paraId="098DEEC6" w14:textId="17AD5E3E" w:rsidR="003731AC" w:rsidRDefault="003731AC" w:rsidP="00EF4411">
      <w:pPr>
        <w:overflowPunct w:val="0"/>
        <w:spacing w:beforeLines="10" w:before="36" w:line="430" w:lineRule="exact"/>
        <w:ind w:firstLineChars="200" w:firstLine="480"/>
        <w:jc w:val="both"/>
        <w:rPr>
          <w:rFonts w:ascii="標楷體" w:eastAsia="標楷體" w:hAnsi="Times New Roman" w:cs="Times New Roman"/>
          <w:color w:val="FF0000"/>
          <w:szCs w:val="24"/>
        </w:rPr>
      </w:pPr>
      <w:r>
        <w:rPr>
          <w:rFonts w:ascii="標楷體" w:eastAsia="標楷體" w:hAnsi="Times New Roman" w:cs="Times New Roman" w:hint="eastAsia"/>
          <w:color w:val="000000"/>
          <w:szCs w:val="24"/>
        </w:rPr>
        <w:t>2.以前年度歲入轉入數計9億5,819萬餘元，決算審核結果，審定實現數9億1,502萬餘元（95.50％），減免（註銷）數668萬餘元（0.70％），主要係財政局應收</w:t>
      </w:r>
      <w:r w:rsidR="008C610B">
        <w:rPr>
          <w:rFonts w:ascii="標楷體" w:eastAsia="標楷體" w:hAnsi="Times New Roman" w:cs="Times New Roman" w:hint="eastAsia"/>
          <w:color w:val="000000"/>
          <w:szCs w:val="24"/>
        </w:rPr>
        <w:t>遭</w:t>
      </w:r>
      <w:r>
        <w:rPr>
          <w:rFonts w:ascii="標楷體" w:eastAsia="標楷體" w:hAnsi="Times New Roman" w:cs="Times New Roman" w:hint="eastAsia"/>
          <w:color w:val="000000"/>
          <w:szCs w:val="24"/>
        </w:rPr>
        <w:t>無權占用市有土地之</w:t>
      </w:r>
      <w:r>
        <w:rPr>
          <w:rFonts w:ascii="標楷體" w:eastAsia="標楷體" w:hAnsi="標楷體" w:hint="eastAsia"/>
          <w:noProof/>
          <w:szCs w:val="28"/>
        </w:rPr>
        <w:t>使用補償金</w:t>
      </w:r>
      <w:r>
        <w:rPr>
          <w:rFonts w:ascii="標楷體" w:eastAsia="標楷體" w:hAnsi="Times New Roman" w:cs="Times New Roman" w:hint="eastAsia"/>
          <w:color w:val="000000"/>
          <w:szCs w:val="24"/>
        </w:rPr>
        <w:t>於取得債權憑證後，</w:t>
      </w:r>
      <w:r>
        <w:rPr>
          <w:rFonts w:ascii="標楷體" w:eastAsia="標楷體" w:hAnsi="標楷體" w:hint="eastAsia"/>
          <w:noProof/>
        </w:rPr>
        <w:t>依規定辦理註銷</w:t>
      </w:r>
      <w:r>
        <w:rPr>
          <w:rFonts w:ascii="標楷體" w:eastAsia="標楷體" w:hAnsi="Times New Roman" w:cs="Times New Roman" w:hint="eastAsia"/>
          <w:color w:val="000000"/>
          <w:szCs w:val="24"/>
        </w:rPr>
        <w:t>；應收保留數3,647萬餘元（3.81％），主要係財政局之應收分期土地租金尚待收繳。</w:t>
      </w:r>
    </w:p>
    <w:p w14:paraId="250DD9C1" w14:textId="77777777" w:rsidR="003731AC" w:rsidRDefault="003731AC" w:rsidP="00EF4411">
      <w:pPr>
        <w:overflowPunct w:val="0"/>
        <w:spacing w:beforeLines="10" w:before="36" w:line="430" w:lineRule="exact"/>
        <w:ind w:firstLineChars="200" w:firstLine="480"/>
        <w:jc w:val="both"/>
        <w:rPr>
          <w:rFonts w:ascii="標楷體" w:eastAsia="標楷體" w:hAnsi="Times New Roman" w:cs="Times New Roman"/>
          <w:color w:val="000000"/>
          <w:spacing w:val="-2"/>
          <w:szCs w:val="24"/>
        </w:rPr>
      </w:pPr>
      <w:r>
        <w:rPr>
          <w:rFonts w:ascii="標楷體" w:eastAsia="標楷體" w:hAnsi="Times New Roman" w:cs="Times New Roman" w:hint="eastAsia"/>
          <w:color w:val="000000"/>
          <w:szCs w:val="24"/>
        </w:rPr>
        <w:t>3.歲出原編列預算數</w:t>
      </w:r>
      <w:r w:rsidRPr="003E37F7">
        <w:rPr>
          <w:rFonts w:ascii="標楷體" w:eastAsia="標楷體" w:hAnsi="標楷體" w:hint="eastAsia"/>
          <w:noProof/>
        </w:rPr>
        <w:t>31</w:t>
      </w:r>
      <w:r>
        <w:rPr>
          <w:rFonts w:ascii="標楷體" w:eastAsia="標楷體" w:hAnsi="Times New Roman" w:cs="Times New Roman" w:hint="eastAsia"/>
          <w:color w:val="000000"/>
          <w:szCs w:val="24"/>
        </w:rPr>
        <w:t>億6,558萬元，經追加預算8億5,869萬餘元，暨財政局、稅捐稽徵處因人事費不足申請動支各類員工待遇準備3,022萬餘元，合計40億5,450萬餘元，決算審核結果，審定實現數31億5,161萬餘元</w:t>
      </w:r>
      <w:r>
        <w:rPr>
          <w:rFonts w:ascii="標楷體" w:eastAsia="標楷體" w:hAnsi="標楷體" w:cs="Times New Roman" w:hint="eastAsia"/>
          <w:color w:val="000000"/>
          <w:szCs w:val="24"/>
        </w:rPr>
        <w:t>（77.73</w:t>
      </w:r>
      <w:r>
        <w:rPr>
          <w:rFonts w:ascii="標楷體" w:eastAsia="標楷體" w:hAnsi="Times New Roman" w:cs="Times New Roman" w:hint="eastAsia"/>
          <w:color w:val="000000"/>
          <w:szCs w:val="24"/>
        </w:rPr>
        <w:t>％</w:t>
      </w:r>
      <w:r>
        <w:rPr>
          <w:rFonts w:ascii="標楷體" w:eastAsia="標楷體" w:hAnsi="標楷體" w:cs="Times New Roman" w:hint="eastAsia"/>
          <w:color w:val="000000"/>
          <w:szCs w:val="24"/>
        </w:rPr>
        <w:t>）</w:t>
      </w:r>
      <w:r>
        <w:rPr>
          <w:rFonts w:ascii="標楷體" w:eastAsia="標楷體" w:hAnsi="Times New Roman" w:cs="Times New Roman" w:hint="eastAsia"/>
          <w:color w:val="000000"/>
          <w:szCs w:val="24"/>
        </w:rPr>
        <w:t>，應付保留數6,315萬餘元（1.56％），保留原因詳「（一）計畫實施之查核」說明；合計決算審定數</w:t>
      </w:r>
      <w:r>
        <w:rPr>
          <w:rFonts w:ascii="標楷體" w:eastAsia="標楷體" w:hAnsi="Times New Roman" w:cs="Times New Roman" w:hint="eastAsia"/>
          <w:color w:val="000000"/>
          <w:spacing w:val="-2"/>
          <w:szCs w:val="24"/>
        </w:rPr>
        <w:t>為32億1,477萬餘元，預算賸餘8億3,972萬餘元（20.71％），主要係財政局之債務付息賸餘款。</w:t>
      </w:r>
    </w:p>
    <w:p w14:paraId="1F6780F4" w14:textId="77777777" w:rsidR="003731AC" w:rsidRDefault="003731AC" w:rsidP="00EF4411">
      <w:pPr>
        <w:overflowPunct w:val="0"/>
        <w:spacing w:line="420" w:lineRule="exact"/>
        <w:ind w:firstLineChars="200" w:firstLine="480"/>
        <w:jc w:val="both"/>
        <w:rPr>
          <w:rFonts w:ascii="標楷體" w:eastAsia="標楷體" w:hAnsi="Times New Roman" w:cs="Times New Roman"/>
          <w:color w:val="FF0000"/>
          <w:szCs w:val="24"/>
        </w:rPr>
      </w:pPr>
      <w:r>
        <w:rPr>
          <w:rFonts w:ascii="標楷體" w:eastAsia="標楷體" w:hAnsi="Times New Roman" w:cs="Times New Roman" w:hint="eastAsia"/>
          <w:color w:val="000000"/>
          <w:szCs w:val="24"/>
        </w:rPr>
        <w:lastRenderedPageBreak/>
        <w:t>4.以前年度歲出轉入數計9億361萬餘元，決算審核結果，審定實現數8億6,146萬餘元（95.34％）</w:t>
      </w:r>
      <w:r>
        <w:rPr>
          <w:rFonts w:ascii="標楷體" w:eastAsia="標楷體" w:hAnsi="標楷體" w:cs="Times New Roman" w:hint="eastAsia"/>
          <w:color w:val="000000"/>
          <w:szCs w:val="24"/>
        </w:rPr>
        <w:t>，</w:t>
      </w:r>
      <w:r>
        <w:rPr>
          <w:rFonts w:ascii="標楷體" w:eastAsia="標楷體" w:hAnsi="Times New Roman" w:cs="Times New Roman" w:hint="eastAsia"/>
          <w:color w:val="000000"/>
          <w:szCs w:val="24"/>
        </w:rPr>
        <w:t>減免（註銷）數1,037萬元（1.15％），主要係財政局辦理</w:t>
      </w:r>
      <w:r>
        <w:rPr>
          <w:rFonts w:ascii="標楷體" w:eastAsia="標楷體" w:hAnsi="標楷體" w:hint="eastAsia"/>
          <w:noProof/>
        </w:rPr>
        <w:t>臺北市中正區南海段五小段72地號等17筆土地都市更新委託專案管理案已保留逾10年未支用，辦理註銷</w:t>
      </w:r>
      <w:r>
        <w:rPr>
          <w:rFonts w:ascii="標楷體" w:eastAsia="標楷體" w:hAnsi="Times New Roman" w:cs="Times New Roman" w:hint="eastAsia"/>
          <w:color w:val="000000"/>
          <w:szCs w:val="24"/>
        </w:rPr>
        <w:t>；應付保留數3,177萬餘元（3.52％），主要係財政局辦理</w:t>
      </w:r>
      <w:r>
        <w:rPr>
          <w:rFonts w:ascii="標楷體" w:eastAsia="標楷體" w:hAnsi="標楷體" w:hint="eastAsia"/>
          <w:noProof/>
          <w:szCs w:val="28"/>
        </w:rPr>
        <w:t>中山地下街R1至R6間出口更新工程，暨R2發電機室設備及水電設施遷移建置工程之履約期程跨年度，須保留繼續執行</w:t>
      </w:r>
      <w:r>
        <w:rPr>
          <w:rFonts w:ascii="標楷體" w:eastAsia="標楷體" w:hAnsi="Times New Roman" w:cs="Times New Roman" w:hint="eastAsia"/>
          <w:color w:val="000000"/>
          <w:szCs w:val="24"/>
        </w:rPr>
        <w:t>。</w:t>
      </w:r>
    </w:p>
    <w:p w14:paraId="60CAE130" w14:textId="77777777" w:rsidR="003731AC" w:rsidRDefault="003731AC" w:rsidP="003731AC">
      <w:pPr>
        <w:suppressAutoHyphens/>
        <w:overflowPunct w:val="0"/>
        <w:spacing w:beforeLines="20" w:before="72" w:afterLines="20" w:after="72" w:line="420" w:lineRule="exact"/>
        <w:ind w:firstLineChars="100" w:firstLine="280"/>
        <w:jc w:val="both"/>
        <w:rPr>
          <w:rFonts w:ascii="標楷體" w:eastAsia="標楷體" w:hAnsi="Times New Roman" w:cs="Times New Roman"/>
          <w:b/>
          <w:color w:val="000000"/>
          <w:sz w:val="28"/>
          <w:szCs w:val="28"/>
        </w:rPr>
      </w:pPr>
      <w:r>
        <w:rPr>
          <w:rFonts w:ascii="標楷體" w:eastAsia="標楷體" w:hAnsi="標楷體" w:cs="Times New Roman" w:hint="eastAsia"/>
          <w:b/>
          <w:color w:val="000000"/>
          <w:sz w:val="28"/>
          <w:szCs w:val="28"/>
        </w:rPr>
        <w:t>（</w:t>
      </w:r>
      <w:r>
        <w:rPr>
          <w:rFonts w:ascii="標楷體" w:eastAsia="標楷體" w:hAnsi="Times New Roman" w:cs="Times New Roman" w:hint="eastAsia"/>
          <w:b/>
          <w:color w:val="000000"/>
          <w:sz w:val="28"/>
          <w:szCs w:val="28"/>
        </w:rPr>
        <w:t>三</w:t>
      </w:r>
      <w:r>
        <w:rPr>
          <w:rFonts w:ascii="標楷體" w:eastAsia="標楷體" w:hAnsi="標楷體" w:cs="Times New Roman" w:hint="eastAsia"/>
          <w:b/>
          <w:color w:val="000000"/>
          <w:sz w:val="28"/>
          <w:szCs w:val="28"/>
        </w:rPr>
        <w:t>）</w:t>
      </w:r>
      <w:r>
        <w:rPr>
          <w:rFonts w:ascii="標楷體" w:eastAsia="標楷體" w:hAnsi="Times New Roman" w:cs="Times New Roman" w:hint="eastAsia"/>
          <w:b/>
          <w:color w:val="000000"/>
          <w:sz w:val="28"/>
          <w:szCs w:val="28"/>
        </w:rPr>
        <w:t>融資調度之審核</w:t>
      </w:r>
    </w:p>
    <w:p w14:paraId="622DD264" w14:textId="77777777" w:rsidR="003731AC" w:rsidRDefault="003731AC" w:rsidP="00EF4411">
      <w:pPr>
        <w:suppressAutoHyphens/>
        <w:overflowPunct w:val="0"/>
        <w:spacing w:line="42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1.債務之舉借以前年度轉入數493億1,433萬餘元，決算審核結果，</w:t>
      </w:r>
      <w:proofErr w:type="gramStart"/>
      <w:r>
        <w:rPr>
          <w:rFonts w:ascii="標楷體" w:eastAsia="標楷體" w:hAnsi="Times New Roman" w:cs="Times New Roman" w:hint="eastAsia"/>
          <w:szCs w:val="24"/>
        </w:rPr>
        <w:t>113</w:t>
      </w:r>
      <w:proofErr w:type="gramEnd"/>
      <w:r>
        <w:rPr>
          <w:rFonts w:ascii="標楷體" w:eastAsia="標楷體" w:hAnsi="Times New Roman" w:cs="Times New Roman" w:hint="eastAsia"/>
          <w:szCs w:val="24"/>
        </w:rPr>
        <w:t>年度無實現數；審定未</w:t>
      </w:r>
      <w:proofErr w:type="gramStart"/>
      <w:r>
        <w:rPr>
          <w:rFonts w:ascii="標楷體" w:eastAsia="標楷體" w:hAnsi="Times New Roman" w:cs="Times New Roman" w:hint="eastAsia"/>
          <w:szCs w:val="24"/>
        </w:rPr>
        <w:t>結清數493億</w:t>
      </w:r>
      <w:proofErr w:type="gramEnd"/>
      <w:r>
        <w:rPr>
          <w:rFonts w:ascii="標楷體" w:eastAsia="標楷體" w:hAnsi="Times New Roman" w:cs="Times New Roman" w:hint="eastAsia"/>
          <w:szCs w:val="24"/>
        </w:rPr>
        <w:t>1,433萬餘元（100.00％），主要係配合市庫資金調度需要，仍須保留於以後年度繼續執行。</w:t>
      </w:r>
    </w:p>
    <w:p w14:paraId="12ED2C02" w14:textId="77777777" w:rsidR="003731AC" w:rsidRDefault="003731AC" w:rsidP="003731AC">
      <w:pPr>
        <w:suppressAutoHyphens/>
        <w:overflowPunct w:val="0"/>
        <w:spacing w:line="42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2.債務之償還預算數98億7,423萬餘元，決算審核結果，審定實現數99億1,358萬餘元，較預算增加3,934萬餘元，主要係因臺北市政府捷運工程局增加捷運自償性債務預算外還本。</w:t>
      </w:r>
    </w:p>
    <w:p w14:paraId="2FBE0EDC" w14:textId="77777777" w:rsidR="003731AC" w:rsidRDefault="003731AC" w:rsidP="003731AC">
      <w:pPr>
        <w:suppressAutoHyphens/>
        <w:overflowPunct w:val="0"/>
        <w:spacing w:beforeLines="20" w:before="72" w:afterLines="20" w:after="72" w:line="42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二、附屬單位決算營業部分</w:t>
      </w:r>
    </w:p>
    <w:p w14:paraId="294CE85D" w14:textId="77777777" w:rsidR="003731AC" w:rsidRDefault="003731AC" w:rsidP="003731AC">
      <w:pPr>
        <w:suppressAutoHyphens/>
        <w:overflowPunct w:val="0"/>
        <w:spacing w:line="42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財政局主管僅動產</w:t>
      </w:r>
      <w:proofErr w:type="gramStart"/>
      <w:r>
        <w:rPr>
          <w:rFonts w:ascii="標楷體" w:eastAsia="標楷體" w:hAnsi="Times New Roman" w:cs="Times New Roman" w:hint="eastAsia"/>
          <w:szCs w:val="24"/>
        </w:rPr>
        <w:t>質借處1個</w:t>
      </w:r>
      <w:proofErr w:type="gramEnd"/>
      <w:r>
        <w:rPr>
          <w:rFonts w:ascii="標楷體" w:eastAsia="標楷體" w:hAnsi="Times New Roman" w:cs="Times New Roman" w:hint="eastAsia"/>
          <w:szCs w:val="24"/>
        </w:rPr>
        <w:t>單位，茲將</w:t>
      </w:r>
      <w:proofErr w:type="gramStart"/>
      <w:r>
        <w:rPr>
          <w:rFonts w:ascii="標楷體" w:eastAsia="標楷體" w:hAnsi="Times New Roman" w:cs="Times New Roman" w:hint="eastAsia"/>
          <w:szCs w:val="24"/>
        </w:rPr>
        <w:t>113</w:t>
      </w:r>
      <w:proofErr w:type="gramEnd"/>
      <w:r>
        <w:rPr>
          <w:rFonts w:ascii="標楷體" w:eastAsia="標楷體" w:hAnsi="Times New Roman" w:cs="Times New Roman" w:hint="eastAsia"/>
          <w:szCs w:val="24"/>
        </w:rPr>
        <w:t>年度決算審核結果說明如次：</w:t>
      </w:r>
    </w:p>
    <w:p w14:paraId="067AF47B" w14:textId="77777777" w:rsidR="003731AC" w:rsidRDefault="003731AC" w:rsidP="003731AC">
      <w:pPr>
        <w:suppressAutoHyphens/>
        <w:overflowPunct w:val="0"/>
        <w:spacing w:line="420" w:lineRule="exact"/>
        <w:ind w:firstLineChars="100" w:firstLine="280"/>
        <w:jc w:val="both"/>
        <w:rPr>
          <w:rFonts w:ascii="標楷體" w:eastAsia="標楷體" w:hAnsi="Times New Roman" w:cs="Times New Roman"/>
          <w:b/>
          <w:sz w:val="28"/>
          <w:szCs w:val="28"/>
        </w:rPr>
      </w:pP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一</w:t>
      </w: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計畫實施之查核</w:t>
      </w:r>
    </w:p>
    <w:p w14:paraId="3601CB1B" w14:textId="77777777" w:rsidR="003731AC" w:rsidRDefault="003731AC" w:rsidP="003731AC">
      <w:pPr>
        <w:suppressAutoHyphens/>
        <w:overflowPunct w:val="0"/>
        <w:spacing w:line="42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營運計畫主要有短期擔保放款及質借物品處理等2項，實施結果，質借物品處理1項，因</w:t>
      </w:r>
      <w:r>
        <w:rPr>
          <w:rFonts w:ascii="標楷體" w:eastAsia="標楷體" w:hAnsi="標楷體" w:cs="Times New Roman" w:hint="eastAsia"/>
          <w:spacing w:val="-4"/>
          <w:szCs w:val="24"/>
        </w:rPr>
        <w:t>黃金價格高，民眾贖回意願提升，流當量減少</w:t>
      </w:r>
      <w:r>
        <w:rPr>
          <w:rFonts w:ascii="標楷體" w:eastAsia="標楷體" w:hAnsi="Times New Roman" w:cs="Times New Roman" w:hint="eastAsia"/>
          <w:color w:val="000000"/>
          <w:szCs w:val="24"/>
        </w:rPr>
        <w:t>，致未達預計目標。</w:t>
      </w:r>
    </w:p>
    <w:p w14:paraId="7DD99C07" w14:textId="77777777" w:rsidR="003731AC" w:rsidRDefault="003731AC" w:rsidP="003731AC">
      <w:pPr>
        <w:suppressAutoHyphens/>
        <w:overflowPunct w:val="0"/>
        <w:spacing w:line="420" w:lineRule="exact"/>
        <w:ind w:firstLineChars="100" w:firstLine="280"/>
        <w:jc w:val="both"/>
        <w:rPr>
          <w:rFonts w:ascii="標楷體" w:eastAsia="標楷體" w:hAnsi="Times New Roman" w:cs="Times New Roman"/>
          <w:b/>
          <w:sz w:val="28"/>
          <w:szCs w:val="28"/>
        </w:rPr>
      </w:pP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二</w:t>
      </w: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盈虧之審定</w:t>
      </w:r>
    </w:p>
    <w:p w14:paraId="2043B4DA" w14:textId="77777777" w:rsidR="003731AC" w:rsidRDefault="003731AC" w:rsidP="003731AC">
      <w:pPr>
        <w:suppressAutoHyphens/>
        <w:overflowPunct w:val="0"/>
        <w:spacing w:line="42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決算審核結果，審定稅後淨利為3,342萬餘元，較預算數2,166萬餘元，增加1,175萬餘元，約54.26％，主要係</w:t>
      </w:r>
      <w:r>
        <w:rPr>
          <w:rFonts w:ascii="標楷體" w:eastAsia="標楷體" w:hAnsi="標楷體" w:cs="Times New Roman" w:hint="eastAsia"/>
          <w:szCs w:val="24"/>
        </w:rPr>
        <w:t>國際黃金價格上漲，配合調高黃金質借標準，民眾以黃金質借放款金額較預計增加，</w:t>
      </w:r>
      <w:proofErr w:type="gramStart"/>
      <w:r>
        <w:rPr>
          <w:rFonts w:ascii="標楷體" w:eastAsia="標楷體" w:hAnsi="標楷體" w:cs="Times New Roman" w:hint="eastAsia"/>
          <w:szCs w:val="24"/>
        </w:rPr>
        <w:t>利息收入隨增所</w:t>
      </w:r>
      <w:proofErr w:type="gramEnd"/>
      <w:r>
        <w:rPr>
          <w:rFonts w:ascii="標楷體" w:eastAsia="標楷體" w:hAnsi="標楷體" w:cs="Times New Roman" w:hint="eastAsia"/>
          <w:szCs w:val="24"/>
        </w:rPr>
        <w:t>致</w:t>
      </w:r>
      <w:r>
        <w:rPr>
          <w:rFonts w:ascii="標楷體" w:eastAsia="標楷體" w:hAnsi="Times New Roman" w:cs="Times New Roman" w:hint="eastAsia"/>
          <w:szCs w:val="24"/>
        </w:rPr>
        <w:t>。</w:t>
      </w:r>
    </w:p>
    <w:p w14:paraId="607DCFDB" w14:textId="77777777" w:rsidR="003731AC" w:rsidRDefault="003731AC" w:rsidP="003E37F7">
      <w:pPr>
        <w:suppressAutoHyphens/>
        <w:overflowPunct w:val="0"/>
        <w:spacing w:beforeLines="30" w:before="108" w:afterLines="20" w:after="72" w:line="42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三、附屬單位決算非營業部分</w:t>
      </w:r>
    </w:p>
    <w:p w14:paraId="559BFB65" w14:textId="77777777" w:rsidR="003731AC" w:rsidRDefault="003731AC" w:rsidP="00EF4411">
      <w:pPr>
        <w:suppressAutoHyphens/>
        <w:overflowPunct w:val="0"/>
        <w:spacing w:line="40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財政局主管包括：</w:t>
      </w:r>
      <w:r>
        <w:rPr>
          <w:rFonts w:ascii="標楷體" w:eastAsia="標楷體" w:hAnsi="標楷體" w:cs="Times New Roman" w:hint="eastAsia"/>
          <w:szCs w:val="24"/>
        </w:rPr>
        <w:t>（</w:t>
      </w:r>
      <w:r>
        <w:rPr>
          <w:rFonts w:ascii="標楷體" w:eastAsia="標楷體" w:hAnsi="Times New Roman" w:cs="Times New Roman" w:hint="eastAsia"/>
          <w:szCs w:val="24"/>
        </w:rPr>
        <w:t>一</w:t>
      </w:r>
      <w:r>
        <w:rPr>
          <w:rFonts w:ascii="標楷體" w:eastAsia="標楷體" w:hAnsi="標楷體" w:cs="Times New Roman" w:hint="eastAsia"/>
          <w:szCs w:val="24"/>
        </w:rPr>
        <w:t>）</w:t>
      </w:r>
      <w:r>
        <w:rPr>
          <w:rFonts w:ascii="標楷體" w:eastAsia="標楷體" w:hAnsi="Times New Roman" w:cs="Times New Roman" w:hint="eastAsia"/>
          <w:szCs w:val="24"/>
        </w:rPr>
        <w:t>作業基金：臺北市市有財產開發基金；</w:t>
      </w:r>
      <w:r>
        <w:rPr>
          <w:rFonts w:ascii="標楷體" w:eastAsia="標楷體" w:hAnsi="標楷體" w:cs="Times New Roman" w:hint="eastAsia"/>
          <w:szCs w:val="24"/>
        </w:rPr>
        <w:t>（</w:t>
      </w:r>
      <w:r>
        <w:rPr>
          <w:rFonts w:ascii="標楷體" w:eastAsia="標楷體" w:hAnsi="Times New Roman" w:cs="Times New Roman" w:hint="eastAsia"/>
          <w:szCs w:val="24"/>
        </w:rPr>
        <w:t>二</w:t>
      </w:r>
      <w:r>
        <w:rPr>
          <w:rFonts w:ascii="標楷體" w:eastAsia="標楷體" w:hAnsi="標楷體" w:cs="Times New Roman" w:hint="eastAsia"/>
          <w:szCs w:val="24"/>
        </w:rPr>
        <w:t>）</w:t>
      </w:r>
      <w:r>
        <w:rPr>
          <w:rFonts w:ascii="標楷體" w:eastAsia="標楷體" w:hAnsi="Times New Roman" w:cs="Times New Roman" w:hint="eastAsia"/>
          <w:szCs w:val="24"/>
        </w:rPr>
        <w:t>債務基金：臺北市債務基金等共2個單位。茲將</w:t>
      </w:r>
      <w:proofErr w:type="gramStart"/>
      <w:r>
        <w:rPr>
          <w:rFonts w:ascii="標楷體" w:eastAsia="標楷體" w:hAnsi="Times New Roman" w:cs="Times New Roman" w:hint="eastAsia"/>
          <w:szCs w:val="24"/>
        </w:rPr>
        <w:t>113</w:t>
      </w:r>
      <w:proofErr w:type="gramEnd"/>
      <w:r>
        <w:rPr>
          <w:rFonts w:ascii="標楷體" w:eastAsia="標楷體" w:hAnsi="Times New Roman" w:cs="Times New Roman" w:hint="eastAsia"/>
          <w:szCs w:val="24"/>
        </w:rPr>
        <w:t>年度決算審核結果說明如次：</w:t>
      </w:r>
    </w:p>
    <w:p w14:paraId="5C082EAD" w14:textId="77777777" w:rsidR="003731AC" w:rsidRDefault="003731AC" w:rsidP="00EF4411">
      <w:pPr>
        <w:suppressAutoHyphens/>
        <w:overflowPunct w:val="0"/>
        <w:spacing w:line="420" w:lineRule="exact"/>
        <w:ind w:firstLineChars="100" w:firstLine="280"/>
        <w:jc w:val="both"/>
        <w:rPr>
          <w:rFonts w:ascii="標楷體" w:eastAsia="標楷體" w:hAnsi="Times New Roman" w:cs="Times New Roman"/>
          <w:b/>
          <w:sz w:val="28"/>
          <w:szCs w:val="28"/>
        </w:rPr>
      </w:pP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一</w:t>
      </w: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計畫實施之查核</w:t>
      </w:r>
    </w:p>
    <w:p w14:paraId="40F38CA6" w14:textId="77777777" w:rsidR="003731AC" w:rsidRDefault="003731AC" w:rsidP="003731AC">
      <w:pPr>
        <w:suppressAutoHyphens/>
        <w:overflowPunct w:val="0"/>
        <w:spacing w:line="42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業務（營運）計畫主要有市有房地開發計畫</w:t>
      </w:r>
      <w:r>
        <w:rPr>
          <w:rFonts w:ascii="標楷體" w:eastAsia="標楷體" w:hAnsi="標楷體" w:cs="Times New Roman" w:hint="eastAsia"/>
          <w:szCs w:val="24"/>
        </w:rPr>
        <w:t>－</w:t>
      </w:r>
      <w:r>
        <w:rPr>
          <w:rFonts w:ascii="標楷體" w:eastAsia="標楷體" w:hAnsi="Times New Roman" w:cs="Times New Roman" w:hint="eastAsia"/>
          <w:szCs w:val="24"/>
        </w:rPr>
        <w:t>土地租金收入、市有房地開發計畫</w:t>
      </w:r>
      <w:r>
        <w:rPr>
          <w:rFonts w:ascii="標楷體" w:eastAsia="標楷體" w:hAnsi="標楷體" w:cs="Times New Roman" w:hint="eastAsia"/>
          <w:szCs w:val="24"/>
        </w:rPr>
        <w:t>－</w:t>
      </w:r>
      <w:r>
        <w:rPr>
          <w:rFonts w:ascii="標楷體" w:eastAsia="標楷體" w:hAnsi="Times New Roman" w:cs="Times New Roman" w:hint="eastAsia"/>
          <w:szCs w:val="24"/>
        </w:rPr>
        <w:t>權利金收入及債務還本付息計畫等3項，實施結果，或因</w:t>
      </w:r>
      <w:proofErr w:type="gramStart"/>
      <w:r>
        <w:rPr>
          <w:rFonts w:ascii="標楷體" w:eastAsia="標楷體" w:hAnsi="標楷體" w:hint="eastAsia"/>
        </w:rPr>
        <w:t>內湖區潭美</w:t>
      </w:r>
      <w:proofErr w:type="gramEnd"/>
      <w:r>
        <w:rPr>
          <w:rFonts w:ascii="標楷體" w:eastAsia="標楷體" w:hAnsi="標楷體" w:hint="eastAsia"/>
        </w:rPr>
        <w:t>段市有土地設定地上權案未依預定期程完成招商作業，土地租金收入及</w:t>
      </w:r>
      <w:r>
        <w:rPr>
          <w:rFonts w:ascii="標楷體" w:eastAsia="標楷體" w:hAnsi="Times New Roman" w:cs="Times New Roman" w:hint="eastAsia"/>
          <w:szCs w:val="24"/>
        </w:rPr>
        <w:t>權利金收入</w:t>
      </w:r>
      <w:r>
        <w:rPr>
          <w:rFonts w:ascii="標楷體" w:eastAsia="標楷體" w:hAnsi="標楷體" w:hint="eastAsia"/>
        </w:rPr>
        <w:t>較預計減少</w:t>
      </w:r>
      <w:r>
        <w:rPr>
          <w:rFonts w:ascii="標楷體" w:eastAsia="標楷體" w:hAnsi="Times New Roman" w:cs="Times New Roman" w:hint="eastAsia"/>
          <w:color w:val="000000"/>
          <w:spacing w:val="-4"/>
          <w:szCs w:val="24"/>
        </w:rPr>
        <w:t>，或因債務</w:t>
      </w:r>
      <w:proofErr w:type="gramStart"/>
      <w:r>
        <w:rPr>
          <w:rFonts w:ascii="標楷體" w:eastAsia="標楷體" w:hAnsi="Times New Roman" w:cs="Times New Roman" w:hint="eastAsia"/>
          <w:color w:val="000000"/>
          <w:spacing w:val="-4"/>
          <w:szCs w:val="24"/>
        </w:rPr>
        <w:t>辦理舉新還</w:t>
      </w:r>
      <w:proofErr w:type="gramEnd"/>
      <w:r>
        <w:rPr>
          <w:rFonts w:ascii="標楷體" w:eastAsia="標楷體" w:hAnsi="Times New Roman" w:cs="Times New Roman" w:hint="eastAsia"/>
          <w:color w:val="000000"/>
          <w:spacing w:val="-4"/>
          <w:szCs w:val="24"/>
        </w:rPr>
        <w:t>舊作業次數較預計減少，債務還本</w:t>
      </w:r>
      <w:proofErr w:type="gramStart"/>
      <w:r>
        <w:rPr>
          <w:rFonts w:ascii="標楷體" w:eastAsia="標楷體" w:hAnsi="Times New Roman" w:cs="Times New Roman" w:hint="eastAsia"/>
          <w:color w:val="000000"/>
          <w:spacing w:val="-4"/>
          <w:szCs w:val="24"/>
        </w:rPr>
        <w:t>支出隨減</w:t>
      </w:r>
      <w:proofErr w:type="gramEnd"/>
      <w:r>
        <w:rPr>
          <w:rFonts w:ascii="標楷體" w:eastAsia="標楷體" w:hAnsi="Times New Roman" w:cs="Times New Roman" w:hint="eastAsia"/>
          <w:color w:val="000000"/>
          <w:spacing w:val="-4"/>
          <w:szCs w:val="24"/>
        </w:rPr>
        <w:t>，</w:t>
      </w:r>
      <w:proofErr w:type="gramStart"/>
      <w:r>
        <w:rPr>
          <w:rFonts w:ascii="標楷體" w:eastAsia="標楷體" w:hAnsi="Times New Roman" w:cs="Times New Roman" w:hint="eastAsia"/>
          <w:color w:val="000000"/>
          <w:spacing w:val="-4"/>
          <w:szCs w:val="24"/>
        </w:rPr>
        <w:t>致均未達</w:t>
      </w:r>
      <w:proofErr w:type="gramEnd"/>
      <w:r>
        <w:rPr>
          <w:rFonts w:ascii="標楷體" w:eastAsia="標楷體" w:hAnsi="Times New Roman" w:cs="Times New Roman" w:hint="eastAsia"/>
          <w:color w:val="000000"/>
          <w:spacing w:val="-4"/>
          <w:szCs w:val="24"/>
        </w:rPr>
        <w:t>預計目標。</w:t>
      </w:r>
    </w:p>
    <w:p w14:paraId="5A678210" w14:textId="77777777" w:rsidR="003731AC" w:rsidRDefault="003731AC" w:rsidP="003731AC">
      <w:pPr>
        <w:suppressAutoHyphens/>
        <w:overflowPunct w:val="0"/>
        <w:spacing w:beforeLines="25" w:before="90" w:line="420" w:lineRule="exact"/>
        <w:ind w:firstLineChars="100" w:firstLine="280"/>
        <w:jc w:val="both"/>
        <w:rPr>
          <w:rFonts w:ascii="標楷體" w:eastAsia="標楷體" w:hAnsi="Times New Roman" w:cs="Times New Roman"/>
          <w:b/>
          <w:sz w:val="28"/>
          <w:szCs w:val="28"/>
        </w:rPr>
      </w:pP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二</w:t>
      </w:r>
      <w:r>
        <w:rPr>
          <w:rFonts w:ascii="標楷體" w:eastAsia="標楷體" w:hAnsi="標楷體" w:cs="Times New Roman" w:hint="eastAsia"/>
          <w:b/>
          <w:sz w:val="28"/>
          <w:szCs w:val="28"/>
        </w:rPr>
        <w:t>）</w:t>
      </w:r>
      <w:r>
        <w:rPr>
          <w:rFonts w:ascii="標楷體" w:eastAsia="標楷體" w:hAnsi="Times New Roman" w:cs="Times New Roman" w:hint="eastAsia"/>
          <w:b/>
          <w:sz w:val="28"/>
          <w:szCs w:val="28"/>
        </w:rPr>
        <w:t>餘</w:t>
      </w:r>
      <w:proofErr w:type="gramStart"/>
      <w:r>
        <w:rPr>
          <w:rFonts w:ascii="標楷體" w:eastAsia="標楷體" w:hAnsi="Times New Roman" w:cs="Times New Roman" w:hint="eastAsia"/>
          <w:b/>
          <w:sz w:val="28"/>
          <w:szCs w:val="28"/>
        </w:rPr>
        <w:t>絀</w:t>
      </w:r>
      <w:proofErr w:type="gramEnd"/>
      <w:r>
        <w:rPr>
          <w:rFonts w:ascii="標楷體" w:eastAsia="標楷體" w:hAnsi="Times New Roman" w:cs="Times New Roman" w:hint="eastAsia"/>
          <w:b/>
          <w:sz w:val="28"/>
          <w:szCs w:val="28"/>
        </w:rPr>
        <w:t>之審定</w:t>
      </w:r>
    </w:p>
    <w:p w14:paraId="4FF57DC6" w14:textId="77777777" w:rsidR="003731AC" w:rsidRDefault="003731AC" w:rsidP="003E37F7">
      <w:pPr>
        <w:suppressAutoHyphens/>
        <w:overflowPunct w:val="0"/>
        <w:spacing w:beforeLines="5" w:before="18" w:line="40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b/>
          <w:szCs w:val="24"/>
        </w:rPr>
        <w:t>1</w:t>
      </w:r>
      <w:r>
        <w:rPr>
          <w:rFonts w:ascii="標楷體" w:eastAsia="標楷體" w:hAnsi="Times New Roman" w:cs="Times New Roman" w:hint="eastAsia"/>
          <w:szCs w:val="24"/>
        </w:rPr>
        <w:t>.</w:t>
      </w:r>
      <w:r>
        <w:rPr>
          <w:rFonts w:ascii="標楷體" w:eastAsia="標楷體" w:hAnsi="Times New Roman" w:cs="Times New Roman" w:hint="eastAsia"/>
          <w:b/>
          <w:szCs w:val="24"/>
        </w:rPr>
        <w:t>作業基金：</w:t>
      </w:r>
      <w:r>
        <w:rPr>
          <w:rFonts w:ascii="標楷體" w:eastAsia="標楷體" w:hAnsi="Times New Roman" w:cs="Times New Roman" w:hint="eastAsia"/>
          <w:szCs w:val="24"/>
        </w:rPr>
        <w:t>決算審核結果，審定賸餘17億1,456萬餘元，較預算賸餘15億8,097萬餘元，增加1億3</w:t>
      </w:r>
      <w:r>
        <w:rPr>
          <w:rFonts w:ascii="標楷體" w:eastAsia="標楷體" w:hAnsi="標楷體" w:cs="Times New Roman" w:hint="eastAsia"/>
          <w:szCs w:val="24"/>
        </w:rPr>
        <w:t>,358萬餘元，約8.45％，主要</w:t>
      </w:r>
      <w:r>
        <w:rPr>
          <w:rFonts w:ascii="標楷體" w:eastAsia="標楷體" w:hAnsi="標楷體" w:cs="Times New Roman" w:hint="eastAsia"/>
          <w:color w:val="000000"/>
          <w:szCs w:val="24"/>
        </w:rPr>
        <w:t>係</w:t>
      </w:r>
      <w:r>
        <w:rPr>
          <w:rFonts w:ascii="標楷體" w:eastAsia="標楷體" w:hAnsi="標楷體" w:hint="eastAsia"/>
          <w:szCs w:val="24"/>
        </w:rPr>
        <w:t>獲配出售市有非公用財產收入較預計增加，及收回以前年度溢繳之地價稅所致</w:t>
      </w:r>
      <w:r>
        <w:rPr>
          <w:rFonts w:ascii="標楷體" w:eastAsia="標楷體" w:hAnsi="標楷體" w:cs="Times New Roman" w:hint="eastAsia"/>
          <w:szCs w:val="24"/>
        </w:rPr>
        <w:t>。</w:t>
      </w:r>
    </w:p>
    <w:p w14:paraId="17E6E63B" w14:textId="77777777" w:rsidR="003731AC" w:rsidRDefault="003731AC" w:rsidP="00EF4411">
      <w:pPr>
        <w:suppressAutoHyphens/>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b/>
          <w:szCs w:val="24"/>
        </w:rPr>
        <w:lastRenderedPageBreak/>
        <w:t>2</w:t>
      </w:r>
      <w:r>
        <w:rPr>
          <w:rFonts w:ascii="標楷體" w:eastAsia="標楷體" w:hAnsi="Times New Roman" w:cs="Times New Roman" w:hint="eastAsia"/>
          <w:szCs w:val="24"/>
        </w:rPr>
        <w:t>.</w:t>
      </w:r>
      <w:r>
        <w:rPr>
          <w:rFonts w:ascii="標楷體" w:eastAsia="標楷體" w:hAnsi="Times New Roman" w:cs="Times New Roman" w:hint="eastAsia"/>
          <w:b/>
          <w:szCs w:val="24"/>
        </w:rPr>
        <w:t>債務基金：</w:t>
      </w:r>
      <w:r>
        <w:rPr>
          <w:rFonts w:ascii="標楷體" w:eastAsia="標楷體" w:hAnsi="Times New Roman" w:cs="Times New Roman" w:hint="eastAsia"/>
          <w:szCs w:val="24"/>
        </w:rPr>
        <w:t>決算審核結果，審定賸餘1,085萬餘元，較預算賸餘297萬餘元，增加788</w:t>
      </w:r>
      <w:r>
        <w:rPr>
          <w:rFonts w:ascii="標楷體" w:eastAsia="標楷體" w:hAnsi="標楷體" w:cs="Times New Roman" w:hint="eastAsia"/>
          <w:color w:val="000000"/>
          <w:szCs w:val="24"/>
        </w:rPr>
        <w:t>萬餘元</w:t>
      </w:r>
      <w:r>
        <w:rPr>
          <w:rFonts w:ascii="標楷體" w:eastAsia="標楷體" w:hAnsi="標楷體" w:cs="Times New Roman" w:hint="eastAsia"/>
          <w:szCs w:val="24"/>
        </w:rPr>
        <w:t>，約265.53％，主要係基金辦理定期存款天數及利率優於預期，利息收入較預計增加所</w:t>
      </w:r>
      <w:r>
        <w:rPr>
          <w:rFonts w:ascii="標楷體" w:eastAsia="標楷體" w:hAnsi="標楷體" w:cs="Times New Roman" w:hint="eastAsia"/>
          <w:color w:val="000000" w:themeColor="text1"/>
          <w:szCs w:val="24"/>
        </w:rPr>
        <w:t>致</w:t>
      </w:r>
      <w:r>
        <w:rPr>
          <w:rFonts w:ascii="標楷體" w:eastAsia="標楷體" w:hAnsi="Times New Roman" w:cs="Times New Roman" w:hint="eastAsia"/>
          <w:color w:val="000000"/>
          <w:szCs w:val="24"/>
        </w:rPr>
        <w:t>。</w:t>
      </w:r>
    </w:p>
    <w:p w14:paraId="101B1BFC" w14:textId="77777777" w:rsidR="003731AC" w:rsidRDefault="003731AC" w:rsidP="003731AC">
      <w:pPr>
        <w:suppressAutoHyphens/>
        <w:overflowPunct w:val="0"/>
        <w:spacing w:beforeLines="30" w:before="108" w:afterLines="20" w:after="72" w:line="50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四、重要審核意見</w:t>
      </w:r>
    </w:p>
    <w:p w14:paraId="7B0D4F03" w14:textId="77777777" w:rsidR="003731AC" w:rsidRDefault="003731AC" w:rsidP="003E37F7">
      <w:pPr>
        <w:suppressAutoHyphens/>
        <w:overflowPunct w:val="0"/>
        <w:spacing w:beforeLines="50" w:before="180" w:line="48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（一）</w:t>
      </w:r>
      <w:bookmarkStart w:id="27" w:name="_Hlk199149522"/>
      <w:r>
        <w:rPr>
          <w:rFonts w:ascii="標楷體" w:eastAsia="標楷體" w:hAnsi="標楷體" w:hint="eastAsia"/>
          <w:b/>
          <w:bCs/>
          <w:sz w:val="28"/>
          <w:szCs w:val="24"/>
        </w:rPr>
        <w:t>持續辦理各種財務調度事宜，並依債務還本計畫執行，惟</w:t>
      </w:r>
      <w:r>
        <w:rPr>
          <w:rFonts w:ascii="標楷體" w:eastAsia="標楷體" w:hAnsi="標楷體" w:hint="eastAsia"/>
          <w:b/>
          <w:color w:val="000000" w:themeColor="text1"/>
          <w:kern w:val="0"/>
          <w:sz w:val="28"/>
          <w:szCs w:val="28"/>
        </w:rPr>
        <w:t>未妥為掌握債務還本數及運用</w:t>
      </w:r>
      <w:proofErr w:type="gramStart"/>
      <w:r>
        <w:rPr>
          <w:rFonts w:ascii="標楷體" w:eastAsia="標楷體" w:hAnsi="標楷體" w:hint="eastAsia"/>
          <w:b/>
          <w:color w:val="000000" w:themeColor="text1"/>
          <w:kern w:val="0"/>
          <w:sz w:val="28"/>
          <w:szCs w:val="28"/>
        </w:rPr>
        <w:t>市庫餘裕</w:t>
      </w:r>
      <w:proofErr w:type="gramEnd"/>
      <w:r>
        <w:rPr>
          <w:rFonts w:ascii="標楷體" w:eastAsia="標楷體" w:hAnsi="標楷體" w:hint="eastAsia"/>
          <w:b/>
          <w:color w:val="000000" w:themeColor="text1"/>
          <w:kern w:val="0"/>
          <w:sz w:val="28"/>
          <w:szCs w:val="28"/>
        </w:rPr>
        <w:t>資金墊還借款數，並納入編列債務付息預算，致因應計息之債務本金大幅減少，債務付息預算執行率未及</w:t>
      </w:r>
      <w:proofErr w:type="gramStart"/>
      <w:r>
        <w:rPr>
          <w:rFonts w:ascii="標楷體" w:eastAsia="標楷體" w:hAnsi="標楷體" w:hint="eastAsia"/>
          <w:b/>
          <w:color w:val="000000" w:themeColor="text1"/>
          <w:kern w:val="0"/>
          <w:sz w:val="28"/>
          <w:szCs w:val="28"/>
        </w:rPr>
        <w:t>4成</w:t>
      </w:r>
      <w:proofErr w:type="gramEnd"/>
      <w:r>
        <w:rPr>
          <w:rFonts w:ascii="標楷體" w:eastAsia="標楷體" w:hAnsi="標楷體" w:hint="eastAsia"/>
          <w:b/>
          <w:color w:val="000000" w:themeColor="text1"/>
          <w:kern w:val="0"/>
          <w:sz w:val="28"/>
          <w:szCs w:val="28"/>
        </w:rPr>
        <w:t>，允宜</w:t>
      </w:r>
      <w:proofErr w:type="gramStart"/>
      <w:r>
        <w:rPr>
          <w:rFonts w:ascii="標楷體" w:eastAsia="標楷體" w:hAnsi="標楷體" w:hint="eastAsia"/>
          <w:b/>
          <w:color w:val="000000" w:themeColor="text1"/>
          <w:kern w:val="0"/>
          <w:sz w:val="28"/>
          <w:szCs w:val="28"/>
        </w:rPr>
        <w:t>檢討妥編預算</w:t>
      </w:r>
      <w:proofErr w:type="gramEnd"/>
      <w:r>
        <w:rPr>
          <w:rFonts w:ascii="標楷體" w:eastAsia="標楷體" w:hAnsi="標楷體" w:hint="eastAsia"/>
          <w:b/>
          <w:color w:val="000000" w:themeColor="text1"/>
          <w:kern w:val="0"/>
          <w:sz w:val="28"/>
          <w:szCs w:val="28"/>
        </w:rPr>
        <w:t>，</w:t>
      </w:r>
      <w:proofErr w:type="gramStart"/>
      <w:r>
        <w:rPr>
          <w:rFonts w:ascii="標楷體" w:eastAsia="標楷體" w:hAnsi="標楷體" w:hint="eastAsia"/>
          <w:b/>
          <w:color w:val="000000" w:themeColor="text1"/>
          <w:kern w:val="0"/>
          <w:sz w:val="28"/>
          <w:szCs w:val="28"/>
        </w:rPr>
        <w:t>俾</w:t>
      </w:r>
      <w:proofErr w:type="gramEnd"/>
      <w:r>
        <w:rPr>
          <w:rFonts w:ascii="標楷體" w:eastAsia="標楷體" w:hAnsi="標楷體" w:hint="eastAsia"/>
          <w:b/>
          <w:color w:val="000000" w:themeColor="text1"/>
          <w:kern w:val="0"/>
          <w:sz w:val="28"/>
          <w:szCs w:val="28"/>
        </w:rPr>
        <w:t>政府有限資源達</w:t>
      </w:r>
      <w:proofErr w:type="gramStart"/>
      <w:r>
        <w:rPr>
          <w:rFonts w:ascii="標楷體" w:eastAsia="標楷體" w:hAnsi="標楷體" w:hint="eastAsia"/>
          <w:b/>
          <w:color w:val="000000" w:themeColor="text1"/>
          <w:kern w:val="0"/>
          <w:sz w:val="28"/>
          <w:szCs w:val="28"/>
        </w:rPr>
        <w:t>最</w:t>
      </w:r>
      <w:proofErr w:type="gramEnd"/>
      <w:r>
        <w:rPr>
          <w:rFonts w:ascii="標楷體" w:eastAsia="標楷體" w:hAnsi="標楷體" w:hint="eastAsia"/>
          <w:b/>
          <w:color w:val="000000" w:themeColor="text1"/>
          <w:kern w:val="0"/>
          <w:sz w:val="28"/>
          <w:szCs w:val="28"/>
        </w:rPr>
        <w:t>適配置。</w:t>
      </w:r>
      <w:bookmarkEnd w:id="27"/>
    </w:p>
    <w:p w14:paraId="489D1655" w14:textId="6B8E458B" w:rsidR="003731AC" w:rsidRDefault="003731AC" w:rsidP="00EF4411">
      <w:pPr>
        <w:suppressAutoHyphens/>
        <w:overflowPunct w:val="0"/>
        <w:spacing w:beforeLines="10" w:before="36" w:line="400" w:lineRule="exact"/>
        <w:ind w:firstLineChars="200" w:firstLine="480"/>
        <w:jc w:val="both"/>
        <w:rPr>
          <w:rFonts w:ascii="標楷體" w:eastAsia="標楷體" w:hAnsi="標楷體" w:cs="Times New Roman"/>
          <w:color w:val="000000"/>
        </w:rPr>
      </w:pPr>
      <w:r>
        <w:rPr>
          <w:rFonts w:hint="eastAsia"/>
          <w:noProof/>
        </w:rPr>
        <mc:AlternateContent>
          <mc:Choice Requires="wps">
            <w:drawing>
              <wp:anchor distT="0" distB="0" distL="114300" distR="114300" simplePos="0" relativeHeight="251734016" behindDoc="1" locked="0" layoutInCell="1" allowOverlap="1" wp14:anchorId="4F4BF468" wp14:editId="2A0986B3">
                <wp:simplePos x="0" y="0"/>
                <wp:positionH relativeFrom="margin">
                  <wp:posOffset>1398905</wp:posOffset>
                </wp:positionH>
                <wp:positionV relativeFrom="page">
                  <wp:posOffset>3962400</wp:posOffset>
                </wp:positionV>
                <wp:extent cx="4984750" cy="2962275"/>
                <wp:effectExtent l="0" t="0" r="6350" b="9525"/>
                <wp:wrapTight wrapText="bothSides">
                  <wp:wrapPolygon edited="0">
                    <wp:start x="0" y="0"/>
                    <wp:lineTo x="0" y="21531"/>
                    <wp:lineTo x="21545" y="21531"/>
                    <wp:lineTo x="21545" y="0"/>
                    <wp:lineTo x="0" y="0"/>
                  </wp:wrapPolygon>
                </wp:wrapTight>
                <wp:docPr id="927419610" name="文字方塊 927419610"/>
                <wp:cNvGraphicFramePr/>
                <a:graphic xmlns:a="http://schemas.openxmlformats.org/drawingml/2006/main">
                  <a:graphicData uri="http://schemas.microsoft.com/office/word/2010/wordprocessingShape">
                    <wps:wsp>
                      <wps:cNvSpPr txBox="1"/>
                      <wps:spPr>
                        <a:xfrm>
                          <a:off x="0" y="0"/>
                          <a:ext cx="4984750" cy="2962275"/>
                        </a:xfrm>
                        <a:prstGeom prst="rect">
                          <a:avLst/>
                        </a:prstGeom>
                        <a:solidFill>
                          <a:schemeClr val="lt1"/>
                        </a:solidFill>
                        <a:ln w="6350">
                          <a:noFill/>
                        </a:ln>
                      </wps:spPr>
                      <wps:txbx>
                        <w:txbxContent>
                          <w:p w14:paraId="3B0FF938" w14:textId="1AB37BF5" w:rsidR="003731AC" w:rsidRDefault="003731AC" w:rsidP="003731AC">
                            <w:pPr>
                              <w:jc w:val="both"/>
                            </w:pPr>
                            <w:r>
                              <w:rPr>
                                <w:rFonts w:ascii="Calibri" w:eastAsia="Times New Roman" w:hAnsi="Calibri"/>
                                <w:noProof/>
                                <w:kern w:val="0"/>
                                <w:sz w:val="20"/>
                                <w:szCs w:val="20"/>
                              </w:rPr>
                              <w:drawing>
                                <wp:inline distT="0" distB="0" distL="0" distR="0" wp14:anchorId="40669932" wp14:editId="0389B931">
                                  <wp:extent cx="4981575" cy="2686050"/>
                                  <wp:effectExtent l="0" t="0" r="0" b="0"/>
                                  <wp:docPr id="927419598" name="圖表 927419598">
                                    <a:extLst xmlns:a="http://schemas.openxmlformats.org/drawingml/2006/main">
                                      <a:ext uri="{FF2B5EF4-FFF2-40B4-BE49-F238E27FC236}">
                                        <a16:creationId xmlns:a16="http://schemas.microsoft.com/office/drawing/2014/main" id="{D2C6BD9D-9E81-4176-BF8F-77430737CA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ED89BF4" w14:textId="77777777" w:rsidR="003731AC" w:rsidRDefault="003731AC" w:rsidP="003731AC">
                            <w:pPr>
                              <w:spacing w:line="160" w:lineRule="exact"/>
                              <w:ind w:firstLineChars="350" w:firstLine="630"/>
                              <w:jc w:val="both"/>
                            </w:pPr>
                            <w:r>
                              <w:rPr>
                                <w:rFonts w:ascii="標楷體" w:eastAsia="標楷體" w:hAnsi="標楷體" w:hint="eastAsia"/>
                                <w:sz w:val="18"/>
                                <w:szCs w:val="18"/>
                              </w:rPr>
                              <w:t>資料來源：整理自109至113年度審核報告。</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4BF468" id="文字方塊 927419610" o:spid="_x0000_s1048" type="#_x0000_t202" style="position:absolute;left:0;text-align:left;margin-left:110.15pt;margin-top:312pt;width:392.5pt;height:233.25pt;z-index:-2515824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" fillcolor="white [3201]" stroked="f" strokeweight=".5pt">
                <v:textbox>
                  <w:txbxContent>
                    <w:p w14:paraId="3B0FF938" w14:textId="1AB37BF5" w:rsidR="003731AC" w:rsidRDefault="003731AC" w:rsidP="003731AC">
                      <w:pPr>
                        <w:jc w:val="both"/>
                      </w:pPr>
                      <w:r>
                        <w:rPr>
                          <w:rFonts w:ascii="Calibri" w:eastAsia="Times New Roman" w:hAnsi="Calibri"/>
                          <w:noProof/>
                          <w:kern w:val="0"/>
                          <w:sz w:val="20"/>
                          <w:szCs w:val="20"/>
                        </w:rPr>
                        <w:drawing>
                          <wp:inline distT="0" distB="0" distL="0" distR="0" wp14:anchorId="40669932" wp14:editId="0389B931">
                            <wp:extent cx="4981575" cy="2686050"/>
                            <wp:effectExtent l="0" t="0" r="0" b="0"/>
                            <wp:docPr id="927419598" name="圖表 927419598">
                              <a:extLst xmlns:a="http://schemas.openxmlformats.org/drawingml/2006/main">
                                <a:ext uri="{FF2B5EF4-FFF2-40B4-BE49-F238E27FC236}">
                                  <a16:creationId xmlns:a16="http://schemas.microsoft.com/office/drawing/2014/main" id="{D2C6BD9D-9E81-4176-BF8F-77430737CA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ED89BF4" w14:textId="77777777" w:rsidR="003731AC" w:rsidRDefault="003731AC" w:rsidP="003731AC">
                      <w:pPr>
                        <w:spacing w:line="160" w:lineRule="exact"/>
                        <w:ind w:firstLineChars="350" w:firstLine="630"/>
                        <w:jc w:val="both"/>
                      </w:pPr>
                      <w:r>
                        <w:rPr>
                          <w:rFonts w:ascii="標楷體" w:eastAsia="標楷體" w:hAnsi="標楷體" w:hint="eastAsia"/>
                          <w:sz w:val="18"/>
                          <w:szCs w:val="18"/>
                        </w:rPr>
                        <w:t>資料來源：整理自109至113年度審核報告。</w:t>
                      </w:r>
                    </w:p>
                  </w:txbxContent>
                </v:textbox>
                <w10:wrap type="tight" anchorx="margin" anchory="page"/>
              </v:shape>
            </w:pict>
          </mc:Fallback>
        </mc:AlternateContent>
      </w:r>
      <w:r>
        <w:rPr>
          <w:rFonts w:ascii="標楷體" w:eastAsia="標楷體" w:hAnsi="標楷體" w:hint="eastAsia"/>
          <w:color w:val="000000" w:themeColor="text1"/>
          <w:kern w:val="0"/>
          <w:szCs w:val="24"/>
        </w:rPr>
        <w:t>依臺北市市庫自治條例第7條第2項規定，財政局對於市庫存款之結存，得用以墊還借款或從事各種財務調度事宜。該局為償付發行公債或向金融機構融資之利息，於</w:t>
      </w:r>
      <w:proofErr w:type="gramStart"/>
      <w:r>
        <w:rPr>
          <w:rFonts w:ascii="標楷體" w:eastAsia="標楷體" w:hAnsi="標楷體" w:hint="eastAsia"/>
          <w:color w:val="000000" w:themeColor="text1"/>
          <w:kern w:val="0"/>
          <w:szCs w:val="24"/>
        </w:rPr>
        <w:t>113</w:t>
      </w:r>
      <w:proofErr w:type="gramEnd"/>
      <w:r>
        <w:rPr>
          <w:rFonts w:ascii="標楷體" w:eastAsia="標楷體" w:hAnsi="標楷體" w:hint="eastAsia"/>
          <w:color w:val="000000" w:themeColor="text1"/>
          <w:kern w:val="0"/>
          <w:szCs w:val="24"/>
        </w:rPr>
        <w:t>年度單位預算編列債務付息費用12億2,592萬元，按分配數撥入臺北市債務基金，再由該基金編列同額之預算辦理付息業務。經查</w:t>
      </w:r>
      <w:proofErr w:type="gramStart"/>
      <w:r>
        <w:rPr>
          <w:rFonts w:ascii="標楷體" w:eastAsia="標楷體" w:hAnsi="標楷體" w:hint="eastAsia"/>
          <w:color w:val="000000" w:themeColor="text1"/>
          <w:kern w:val="0"/>
          <w:szCs w:val="24"/>
        </w:rPr>
        <w:t>113</w:t>
      </w:r>
      <w:proofErr w:type="gramEnd"/>
      <w:r>
        <w:rPr>
          <w:rFonts w:ascii="標楷體" w:eastAsia="標楷體" w:hAnsi="標楷體" w:hint="eastAsia"/>
          <w:color w:val="000000" w:themeColor="text1"/>
          <w:kern w:val="0"/>
          <w:szCs w:val="24"/>
        </w:rPr>
        <w:t>年度債務付息執行結果，實際支付數4億801萬餘元，較預算數減少8億1,790萬餘元，預算執行率僅33.28％，與109至112年度之執行率65.79％、62.27％、100.00％及62.74％差距甚大（圖1），主要係於編列</w:t>
      </w:r>
      <w:proofErr w:type="gramStart"/>
      <w:r>
        <w:rPr>
          <w:rFonts w:ascii="標楷體" w:eastAsia="標楷體" w:hAnsi="標楷體" w:hint="eastAsia"/>
          <w:color w:val="000000" w:themeColor="text1"/>
          <w:kern w:val="0"/>
          <w:szCs w:val="24"/>
        </w:rPr>
        <w:t>113</w:t>
      </w:r>
      <w:proofErr w:type="gramEnd"/>
      <w:r>
        <w:rPr>
          <w:rFonts w:ascii="標楷體" w:eastAsia="標楷體" w:hAnsi="標楷體" w:hint="eastAsia"/>
          <w:color w:val="000000" w:themeColor="text1"/>
          <w:kern w:val="0"/>
          <w:szCs w:val="24"/>
        </w:rPr>
        <w:t>年度概算時，將</w:t>
      </w:r>
      <w:proofErr w:type="gramStart"/>
      <w:r>
        <w:rPr>
          <w:rFonts w:ascii="標楷體" w:eastAsia="標楷體" w:hAnsi="標楷體" w:hint="eastAsia"/>
          <w:color w:val="000000" w:themeColor="text1"/>
          <w:kern w:val="0"/>
          <w:szCs w:val="24"/>
        </w:rPr>
        <w:t>113</w:t>
      </w:r>
      <w:proofErr w:type="gramEnd"/>
      <w:r>
        <w:rPr>
          <w:rFonts w:ascii="標楷體" w:eastAsia="標楷體" w:hAnsi="標楷體" w:hint="eastAsia"/>
          <w:color w:val="000000" w:themeColor="text1"/>
          <w:kern w:val="0"/>
          <w:szCs w:val="24"/>
        </w:rPr>
        <w:t>年度預估之債務還本75億元（</w:t>
      </w:r>
      <w:r>
        <w:rPr>
          <w:rFonts w:ascii="標楷體" w:eastAsia="標楷體" w:hAnsi="標楷體" w:hint="eastAsia"/>
          <w:szCs w:val="18"/>
        </w:rPr>
        <w:t>第1次追加預算後為95億元</w:t>
      </w:r>
      <w:r>
        <w:rPr>
          <w:rFonts w:ascii="標楷體" w:eastAsia="標楷體" w:hAnsi="標楷體" w:hint="eastAsia"/>
          <w:color w:val="000000" w:themeColor="text1"/>
          <w:kern w:val="0"/>
          <w:szCs w:val="24"/>
        </w:rPr>
        <w:t>）納入應計息之本金；</w:t>
      </w:r>
      <w:proofErr w:type="gramStart"/>
      <w:r>
        <w:rPr>
          <w:rFonts w:ascii="標楷體" w:eastAsia="標楷體" w:hAnsi="標楷體" w:hint="eastAsia"/>
          <w:color w:val="000000" w:themeColor="text1"/>
          <w:kern w:val="0"/>
          <w:szCs w:val="24"/>
        </w:rPr>
        <w:t>嗣</w:t>
      </w:r>
      <w:proofErr w:type="gramEnd"/>
      <w:r>
        <w:rPr>
          <w:rFonts w:ascii="標楷體" w:eastAsia="標楷體" w:hAnsi="標楷體" w:hint="eastAsia"/>
          <w:color w:val="000000" w:themeColor="text1"/>
          <w:kern w:val="0"/>
          <w:szCs w:val="24"/>
        </w:rPr>
        <w:t>實際執行時，依上開規定運用</w:t>
      </w:r>
      <w:proofErr w:type="gramStart"/>
      <w:r>
        <w:rPr>
          <w:rFonts w:ascii="標楷體" w:eastAsia="標楷體" w:hAnsi="標楷體" w:hint="eastAsia"/>
          <w:color w:val="000000" w:themeColor="text1"/>
          <w:kern w:val="0"/>
          <w:szCs w:val="24"/>
        </w:rPr>
        <w:t>市庫餘裕</w:t>
      </w:r>
      <w:proofErr w:type="gramEnd"/>
      <w:r>
        <w:rPr>
          <w:rFonts w:ascii="標楷體" w:eastAsia="標楷體" w:hAnsi="標楷體" w:hint="eastAsia"/>
          <w:color w:val="000000" w:themeColor="text1"/>
          <w:kern w:val="0"/>
          <w:szCs w:val="24"/>
        </w:rPr>
        <w:t>資金辦理墊還市政專案借款，節省債息約5億餘元所致。顯示債務付息預算之</w:t>
      </w:r>
      <w:proofErr w:type="gramStart"/>
      <w:r>
        <w:rPr>
          <w:rFonts w:ascii="標楷體" w:eastAsia="標楷體" w:hAnsi="標楷體" w:hint="eastAsia"/>
          <w:color w:val="000000" w:themeColor="text1"/>
          <w:kern w:val="0"/>
          <w:szCs w:val="24"/>
        </w:rPr>
        <w:t>估列仍待考</w:t>
      </w:r>
      <w:proofErr w:type="gramEnd"/>
      <w:r>
        <w:rPr>
          <w:rFonts w:ascii="標楷體" w:eastAsia="標楷體" w:hAnsi="標楷體" w:hint="eastAsia"/>
          <w:color w:val="000000" w:themeColor="text1"/>
          <w:kern w:val="0"/>
          <w:szCs w:val="24"/>
        </w:rPr>
        <w:t>量財務操作策略，妥適編列預算，</w:t>
      </w:r>
      <w:proofErr w:type="gramStart"/>
      <w:r>
        <w:rPr>
          <w:rFonts w:ascii="標楷體" w:eastAsia="標楷體" w:hAnsi="標楷體" w:hint="eastAsia"/>
          <w:color w:val="000000" w:themeColor="text1"/>
          <w:kern w:val="0"/>
          <w:szCs w:val="24"/>
        </w:rPr>
        <w:t>俾</w:t>
      </w:r>
      <w:proofErr w:type="gramEnd"/>
      <w:r>
        <w:rPr>
          <w:rFonts w:ascii="標楷體" w:eastAsia="標楷體" w:hAnsi="標楷體" w:hint="eastAsia"/>
          <w:color w:val="000000" w:themeColor="text1"/>
          <w:kern w:val="0"/>
          <w:szCs w:val="24"/>
        </w:rPr>
        <w:t>政府有限資源達</w:t>
      </w:r>
      <w:proofErr w:type="gramStart"/>
      <w:r>
        <w:rPr>
          <w:rFonts w:ascii="標楷體" w:eastAsia="標楷體" w:hAnsi="標楷體" w:hint="eastAsia"/>
          <w:color w:val="000000" w:themeColor="text1"/>
          <w:kern w:val="0"/>
          <w:szCs w:val="24"/>
        </w:rPr>
        <w:t>最</w:t>
      </w:r>
      <w:proofErr w:type="gramEnd"/>
      <w:r>
        <w:rPr>
          <w:rFonts w:ascii="標楷體" w:eastAsia="標楷體" w:hAnsi="標楷體" w:hint="eastAsia"/>
          <w:color w:val="000000" w:themeColor="text1"/>
          <w:kern w:val="0"/>
          <w:szCs w:val="24"/>
        </w:rPr>
        <w:t>適配置，經函請檢討改善。據復：</w:t>
      </w:r>
      <w:proofErr w:type="gramStart"/>
      <w:r>
        <w:rPr>
          <w:rFonts w:ascii="標楷體" w:eastAsia="標楷體" w:hAnsi="標楷體" w:hint="eastAsia"/>
          <w:szCs w:val="24"/>
        </w:rPr>
        <w:t>113</w:t>
      </w:r>
      <w:proofErr w:type="gramEnd"/>
      <w:r>
        <w:rPr>
          <w:rFonts w:ascii="標楷體" w:eastAsia="標楷體" w:hAnsi="標楷體" w:hint="eastAsia"/>
          <w:szCs w:val="24"/>
        </w:rPr>
        <w:t>年度編列</w:t>
      </w:r>
      <w:proofErr w:type="gramStart"/>
      <w:r>
        <w:rPr>
          <w:rFonts w:ascii="標楷體" w:eastAsia="標楷體" w:hAnsi="標楷體" w:hint="eastAsia"/>
          <w:szCs w:val="24"/>
        </w:rPr>
        <w:t>114</w:t>
      </w:r>
      <w:proofErr w:type="gramEnd"/>
      <w:r>
        <w:rPr>
          <w:rFonts w:ascii="標楷體" w:eastAsia="標楷體" w:hAnsi="標楷體" w:hint="eastAsia"/>
          <w:szCs w:val="24"/>
        </w:rPr>
        <w:t>年度預算時，已將執行年度之債務還本納入考量，嗣後於編列債務付息預算時審慎評估債務還本數，及</w:t>
      </w:r>
      <w:r>
        <w:rPr>
          <w:rFonts w:ascii="標楷體" w:eastAsia="標楷體" w:hAnsi="標楷體" w:hint="eastAsia"/>
          <w:color w:val="000000" w:themeColor="text1"/>
          <w:kern w:val="0"/>
          <w:szCs w:val="24"/>
        </w:rPr>
        <w:t>運用</w:t>
      </w:r>
      <w:proofErr w:type="gramStart"/>
      <w:r>
        <w:rPr>
          <w:rFonts w:ascii="標楷體" w:eastAsia="標楷體" w:hAnsi="標楷體" w:hint="eastAsia"/>
          <w:color w:val="000000" w:themeColor="text1"/>
          <w:kern w:val="0"/>
          <w:szCs w:val="24"/>
        </w:rPr>
        <w:t>市庫餘裕</w:t>
      </w:r>
      <w:proofErr w:type="gramEnd"/>
      <w:r>
        <w:rPr>
          <w:rFonts w:ascii="標楷體" w:eastAsia="標楷體" w:hAnsi="標楷體" w:hint="eastAsia"/>
          <w:color w:val="000000" w:themeColor="text1"/>
          <w:kern w:val="0"/>
          <w:szCs w:val="24"/>
        </w:rPr>
        <w:t>資金墊還借款</w:t>
      </w:r>
      <w:r>
        <w:rPr>
          <w:rFonts w:ascii="標楷體" w:eastAsia="標楷體" w:hAnsi="標楷體" w:hint="eastAsia"/>
          <w:szCs w:val="24"/>
        </w:rPr>
        <w:t>對債務付息之影響</w:t>
      </w:r>
      <w:r>
        <w:rPr>
          <w:rFonts w:ascii="標楷體" w:eastAsia="標楷體" w:hAnsi="標楷體" w:hint="eastAsia"/>
          <w:sz w:val="28"/>
          <w:szCs w:val="28"/>
        </w:rPr>
        <w:t>。</w:t>
      </w:r>
    </w:p>
    <w:p w14:paraId="4D6E989D" w14:textId="77777777" w:rsidR="003731AC" w:rsidRDefault="003731AC" w:rsidP="00EF4411">
      <w:pPr>
        <w:suppressAutoHyphens/>
        <w:overflowPunct w:val="0"/>
        <w:spacing w:beforeLines="50" w:before="180" w:line="460" w:lineRule="exact"/>
        <w:ind w:firstLineChars="100" w:firstLine="284"/>
        <w:jc w:val="both"/>
        <w:rPr>
          <w:rFonts w:ascii="標楷體" w:eastAsia="標楷體" w:hAnsi="Times New Roman" w:cs="Times New Roman"/>
          <w:b/>
          <w:spacing w:val="2"/>
          <w:sz w:val="28"/>
          <w:szCs w:val="28"/>
        </w:rPr>
      </w:pPr>
      <w:r>
        <w:rPr>
          <w:rFonts w:ascii="標楷體" w:eastAsia="標楷體" w:hAnsi="Times New Roman" w:cs="Times New Roman" w:hint="eastAsia"/>
          <w:b/>
          <w:color w:val="000000"/>
          <w:spacing w:val="2"/>
          <w:sz w:val="28"/>
          <w:szCs w:val="28"/>
        </w:rPr>
        <w:t>（二）</w:t>
      </w:r>
      <w:r>
        <w:rPr>
          <w:rFonts w:ascii="標楷體" w:eastAsia="標楷體" w:hAnsi="標楷體" w:hint="eastAsia"/>
          <w:b/>
          <w:spacing w:val="-2"/>
          <w:sz w:val="28"/>
          <w:szCs w:val="18"/>
        </w:rPr>
        <w:t>持續依市有資產供需調配運用機制提高市有土地利用效能，惟部分土地受使用分區限制</w:t>
      </w:r>
      <w:proofErr w:type="gramStart"/>
      <w:r>
        <w:rPr>
          <w:rFonts w:ascii="標楷體" w:eastAsia="標楷體" w:hAnsi="標楷體" w:hint="eastAsia"/>
          <w:b/>
          <w:spacing w:val="-2"/>
          <w:sz w:val="28"/>
          <w:szCs w:val="18"/>
        </w:rPr>
        <w:t>難以媒</w:t>
      </w:r>
      <w:proofErr w:type="gramEnd"/>
      <w:r>
        <w:rPr>
          <w:rFonts w:ascii="標楷體" w:eastAsia="標楷體" w:hAnsi="標楷體" w:hint="eastAsia"/>
          <w:b/>
          <w:spacing w:val="-2"/>
          <w:sz w:val="28"/>
          <w:szCs w:val="18"/>
        </w:rPr>
        <w:t>合調配，或位處市區精華繁榮地段，因無機關提報公用需求而長期低度利用，甚有部分土地遭占用而影響需求機關申請調配使用意願，允宜</w:t>
      </w:r>
      <w:proofErr w:type="gramStart"/>
      <w:r>
        <w:rPr>
          <w:rFonts w:ascii="標楷體" w:eastAsia="標楷體" w:hAnsi="標楷體" w:hint="eastAsia"/>
          <w:b/>
          <w:spacing w:val="-2"/>
          <w:sz w:val="28"/>
          <w:szCs w:val="18"/>
        </w:rPr>
        <w:t>研謀妥處</w:t>
      </w:r>
      <w:proofErr w:type="gramEnd"/>
      <w:r>
        <w:rPr>
          <w:rFonts w:ascii="標楷體" w:eastAsia="標楷體" w:hAnsi="標楷體" w:hint="eastAsia"/>
          <w:b/>
          <w:spacing w:val="-2"/>
          <w:sz w:val="28"/>
          <w:szCs w:val="18"/>
        </w:rPr>
        <w:t>。</w:t>
      </w:r>
    </w:p>
    <w:p w14:paraId="26E1A1CB" w14:textId="755221C7" w:rsidR="003731AC" w:rsidRDefault="003E37F7" w:rsidP="00EF4411">
      <w:pPr>
        <w:suppressAutoHyphens/>
        <w:overflowPunct w:val="0"/>
        <w:spacing w:line="400" w:lineRule="exact"/>
        <w:ind w:firstLineChars="200" w:firstLine="480"/>
        <w:jc w:val="both"/>
        <w:rPr>
          <w:rFonts w:ascii="標楷體" w:eastAsia="標楷體" w:hAnsi="Times New Roman" w:cs="Times New Roman"/>
          <w:b/>
          <w:color w:val="000000"/>
          <w:sz w:val="28"/>
          <w:szCs w:val="28"/>
        </w:rPr>
      </w:pPr>
      <w:r>
        <w:rPr>
          <w:rFonts w:hint="eastAsia"/>
          <w:noProof/>
        </w:rPr>
        <w:lastRenderedPageBreak/>
        <mc:AlternateContent>
          <mc:Choice Requires="wps">
            <w:drawing>
              <wp:anchor distT="45720" distB="45720" distL="114300" distR="114300" simplePos="0" relativeHeight="251740160" behindDoc="1" locked="0" layoutInCell="1" allowOverlap="1" wp14:anchorId="2FEC0EFA" wp14:editId="5C339A5E">
                <wp:simplePos x="0" y="0"/>
                <wp:positionH relativeFrom="margin">
                  <wp:posOffset>1589405</wp:posOffset>
                </wp:positionH>
                <wp:positionV relativeFrom="paragraph">
                  <wp:posOffset>1328420</wp:posOffset>
                </wp:positionV>
                <wp:extent cx="4751705" cy="2524125"/>
                <wp:effectExtent l="0" t="0" r="0" b="0"/>
                <wp:wrapTight wrapText="bothSides">
                  <wp:wrapPolygon edited="0">
                    <wp:start x="260" y="0"/>
                    <wp:lineTo x="260" y="21355"/>
                    <wp:lineTo x="21303" y="21355"/>
                    <wp:lineTo x="21303" y="0"/>
                    <wp:lineTo x="260" y="0"/>
                  </wp:wrapPolygon>
                </wp:wrapTight>
                <wp:docPr id="927419608" name="文字方塊 927419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1705" cy="2524125"/>
                        </a:xfrm>
                        <a:prstGeom prst="rect">
                          <a:avLst/>
                        </a:prstGeom>
                        <a:noFill/>
                        <a:ln w="9525">
                          <a:noFill/>
                          <a:miter lim="800000"/>
                          <a:headEnd/>
                          <a:tailEnd/>
                        </a:ln>
                      </wps:spPr>
                      <wps:txbx>
                        <w:txbxContent>
                          <w:tbl>
                            <w:tblPr>
                              <w:tblW w:w="72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58"/>
                              <w:gridCol w:w="709"/>
                              <w:gridCol w:w="1275"/>
                              <w:gridCol w:w="993"/>
                            </w:tblGrid>
                            <w:tr w:rsidR="003731AC" w14:paraId="2DF1B4D5" w14:textId="77777777" w:rsidTr="003E37F7">
                              <w:trPr>
                                <w:trHeight w:val="20"/>
                              </w:trPr>
                              <w:tc>
                                <w:tcPr>
                                  <w:tcW w:w="7235" w:type="dxa"/>
                                  <w:gridSpan w:val="4"/>
                                  <w:tcBorders>
                                    <w:top w:val="nil"/>
                                    <w:left w:val="nil"/>
                                    <w:bottom w:val="nil"/>
                                    <w:right w:val="nil"/>
                                  </w:tcBorders>
                                  <w:vAlign w:val="center"/>
                                  <w:hideMark/>
                                </w:tcPr>
                                <w:p w14:paraId="31B954A9" w14:textId="1A694B62" w:rsidR="003731AC" w:rsidRDefault="003731AC" w:rsidP="00010AC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b/>
                                      <w:bCs/>
                                      <w:color w:val="000000"/>
                                      <w:kern w:val="0"/>
                                      <w:szCs w:val="20"/>
                                    </w:rPr>
                                    <w:t>表1　供給資料庫土地釋出概況</w:t>
                                  </w:r>
                                </w:p>
                              </w:tc>
                            </w:tr>
                            <w:tr w:rsidR="003731AC" w14:paraId="6D69DBBC" w14:textId="77777777">
                              <w:trPr>
                                <w:trHeight w:val="20"/>
                              </w:trPr>
                              <w:tc>
                                <w:tcPr>
                                  <w:tcW w:w="7235" w:type="dxa"/>
                                  <w:gridSpan w:val="4"/>
                                  <w:tcBorders>
                                    <w:top w:val="nil"/>
                                    <w:left w:val="nil"/>
                                    <w:bottom w:val="single" w:sz="4" w:space="0" w:color="auto"/>
                                    <w:right w:val="nil"/>
                                  </w:tcBorders>
                                  <w:vAlign w:val="center"/>
                                  <w:hideMark/>
                                </w:tcPr>
                                <w:p w14:paraId="2CB31643"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單位：筆數、平方公尺、％</w:t>
                                  </w:r>
                                </w:p>
                              </w:tc>
                            </w:tr>
                            <w:tr w:rsidR="003731AC" w14:paraId="0165A7A4" w14:textId="77777777">
                              <w:trPr>
                                <w:trHeight w:val="340"/>
                              </w:trPr>
                              <w:tc>
                                <w:tcPr>
                                  <w:tcW w:w="4258" w:type="dxa"/>
                                  <w:tcBorders>
                                    <w:top w:val="single" w:sz="4" w:space="0" w:color="auto"/>
                                    <w:left w:val="single" w:sz="4" w:space="0" w:color="auto"/>
                                    <w:bottom w:val="single" w:sz="4" w:space="0" w:color="auto"/>
                                    <w:right w:val="single" w:sz="4" w:space="0" w:color="auto"/>
                                  </w:tcBorders>
                                  <w:vAlign w:val="center"/>
                                  <w:hideMark/>
                                </w:tcPr>
                                <w:p w14:paraId="111F9B82" w14:textId="77777777" w:rsidR="003731AC" w:rsidRDefault="003731AC">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釋出原因</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9D8666" w14:textId="77777777" w:rsidR="003731AC" w:rsidRDefault="003731AC">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筆數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2A39A510" w14:textId="77777777" w:rsidR="003731AC" w:rsidRDefault="003731AC">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面積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07E1E86" w14:textId="77777777" w:rsidR="003731AC" w:rsidRDefault="003731AC">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面積占比</w:t>
                                  </w:r>
                                </w:p>
                              </w:tc>
                            </w:tr>
                            <w:tr w:rsidR="003731AC" w14:paraId="3CA27DEF" w14:textId="77777777">
                              <w:trPr>
                                <w:trHeight w:val="283"/>
                              </w:trPr>
                              <w:tc>
                                <w:tcPr>
                                  <w:tcW w:w="4258" w:type="dxa"/>
                                  <w:tcBorders>
                                    <w:top w:val="single" w:sz="4" w:space="0" w:color="auto"/>
                                    <w:left w:val="single" w:sz="4" w:space="0" w:color="auto"/>
                                    <w:bottom w:val="single" w:sz="4" w:space="0" w:color="auto"/>
                                    <w:right w:val="single" w:sz="4" w:space="0" w:color="auto"/>
                                  </w:tcBorders>
                                  <w:vAlign w:val="center"/>
                                  <w:hideMark/>
                                </w:tcPr>
                                <w:p w14:paraId="33DCF175" w14:textId="77777777" w:rsidR="003731AC" w:rsidRDefault="003731AC" w:rsidP="00D54B42">
                                  <w:pPr>
                                    <w:widowControl/>
                                    <w:spacing w:line="30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　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27E14B" w14:textId="77777777" w:rsidR="003731AC" w:rsidRDefault="003731AC">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211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1AFAC5E4" w14:textId="77777777" w:rsidR="003731AC" w:rsidRDefault="003731AC">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187,295.53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1866A23" w14:textId="77777777" w:rsidR="003731AC" w:rsidRDefault="003731AC">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100.00 </w:t>
                                  </w:r>
                                </w:p>
                              </w:tc>
                            </w:tr>
                            <w:tr w:rsidR="003731AC" w14:paraId="7B517C34" w14:textId="77777777">
                              <w:trPr>
                                <w:trHeight w:val="330"/>
                              </w:trPr>
                              <w:tc>
                                <w:tcPr>
                                  <w:tcW w:w="4258" w:type="dxa"/>
                                  <w:tcBorders>
                                    <w:top w:val="single" w:sz="4" w:space="0" w:color="auto"/>
                                    <w:left w:val="single" w:sz="4" w:space="0" w:color="auto"/>
                                    <w:bottom w:val="single" w:sz="4" w:space="0" w:color="auto"/>
                                    <w:right w:val="single" w:sz="4" w:space="0" w:color="auto"/>
                                  </w:tcBorders>
                                  <w:vAlign w:val="center"/>
                                  <w:hideMark/>
                                </w:tcPr>
                                <w:p w14:paraId="40C5FCA9" w14:textId="77777777" w:rsidR="003731AC" w:rsidRDefault="003731AC">
                                  <w:pPr>
                                    <w:widowControl/>
                                    <w:spacing w:line="30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無設校需求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7ABA23"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79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2D4382EB"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80,710.44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12023FAD"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43.09 </w:t>
                                  </w:r>
                                </w:p>
                              </w:tc>
                            </w:tr>
                            <w:tr w:rsidR="003731AC" w14:paraId="6112D958" w14:textId="77777777">
                              <w:trPr>
                                <w:trHeight w:val="330"/>
                              </w:trPr>
                              <w:tc>
                                <w:tcPr>
                                  <w:tcW w:w="4258" w:type="dxa"/>
                                  <w:tcBorders>
                                    <w:top w:val="single" w:sz="4" w:space="0" w:color="auto"/>
                                    <w:left w:val="single" w:sz="4" w:space="0" w:color="auto"/>
                                    <w:bottom w:val="single" w:sz="4" w:space="0" w:color="auto"/>
                                    <w:right w:val="single" w:sz="4" w:space="0" w:color="auto"/>
                                  </w:tcBorders>
                                  <w:vAlign w:val="center"/>
                                  <w:hideMark/>
                                </w:tcPr>
                                <w:p w14:paraId="0016C51D" w14:textId="77777777" w:rsidR="003731AC" w:rsidRDefault="003731AC">
                                  <w:pPr>
                                    <w:widowControl/>
                                    <w:spacing w:line="30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國防部辦理都市計畫變更回饋之特定專用區，依112年6月7日市長與里長有約座談會裁示辦理，預計於114年12月釋出</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94A482"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11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5577C0D4"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31,698.29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E2D75F3"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16.92 </w:t>
                                  </w:r>
                                </w:p>
                              </w:tc>
                            </w:tr>
                            <w:tr w:rsidR="003731AC" w14:paraId="7F5DE1E2" w14:textId="77777777">
                              <w:trPr>
                                <w:trHeight w:val="312"/>
                              </w:trPr>
                              <w:tc>
                                <w:tcPr>
                                  <w:tcW w:w="4258" w:type="dxa"/>
                                  <w:tcBorders>
                                    <w:top w:val="single" w:sz="4" w:space="0" w:color="auto"/>
                                    <w:left w:val="single" w:sz="4" w:space="0" w:color="auto"/>
                                    <w:bottom w:val="single" w:sz="4" w:space="0" w:color="auto"/>
                                    <w:right w:val="single" w:sz="4" w:space="0" w:color="auto"/>
                                  </w:tcBorders>
                                  <w:vAlign w:val="center"/>
                                  <w:hideMark/>
                                </w:tcPr>
                                <w:p w14:paraId="2B28FEBB" w14:textId="77777777" w:rsidR="003731AC" w:rsidRDefault="003731AC">
                                  <w:pPr>
                                    <w:widowControl/>
                                    <w:spacing w:line="260" w:lineRule="exact"/>
                                    <w:ind w:left="502" w:hangingChars="251" w:hanging="502"/>
                                    <w:rPr>
                                      <w:rFonts w:ascii="標楷體" w:eastAsia="標楷體" w:hAnsi="標楷體" w:cs="新細明體"/>
                                      <w:color w:val="000000"/>
                                      <w:kern w:val="0"/>
                                      <w:sz w:val="20"/>
                                      <w:szCs w:val="20"/>
                                    </w:rPr>
                                  </w:pPr>
                                  <w:r>
                                    <w:rPr>
                                      <w:rFonts w:ascii="標楷體" w:eastAsia="標楷體" w:hAnsi="標楷體" w:hint="eastAsia"/>
                                      <w:color w:val="000000"/>
                                      <w:sz w:val="20"/>
                                      <w:szCs w:val="14"/>
                                    </w:rPr>
                                    <w:t>財政局經管之市有非公用土地</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C105C7" w14:textId="77777777" w:rsidR="003731AC" w:rsidRDefault="003731AC">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69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2E0785D3" w14:textId="77777777" w:rsidR="003731AC" w:rsidRDefault="003731AC">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24,703.94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71A5C405" w14:textId="77777777" w:rsidR="003731AC" w:rsidRDefault="003731AC">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13.19 </w:t>
                                  </w:r>
                                </w:p>
                              </w:tc>
                            </w:tr>
                            <w:tr w:rsidR="003731AC" w14:paraId="003271DA" w14:textId="77777777">
                              <w:trPr>
                                <w:trHeight w:val="397"/>
                              </w:trPr>
                              <w:tc>
                                <w:tcPr>
                                  <w:tcW w:w="4258" w:type="dxa"/>
                                  <w:tcBorders>
                                    <w:top w:val="single" w:sz="4" w:space="0" w:color="auto"/>
                                    <w:left w:val="single" w:sz="4" w:space="0" w:color="auto"/>
                                    <w:bottom w:val="single" w:sz="4" w:space="0" w:color="auto"/>
                                    <w:right w:val="single" w:sz="4" w:space="0" w:color="auto"/>
                                  </w:tcBorders>
                                  <w:vAlign w:val="center"/>
                                  <w:hideMark/>
                                </w:tcPr>
                                <w:p w14:paraId="4FAF94DC" w14:textId="77777777" w:rsidR="003731AC" w:rsidRDefault="003731AC">
                                  <w:pPr>
                                    <w:widowControl/>
                                    <w:spacing w:line="300" w:lineRule="exact"/>
                                    <w:ind w:left="502" w:hangingChars="251" w:hanging="502"/>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列為市政儲備用地</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EE9C35"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16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65EB6063"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20,389.32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11DDAC94"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10.89 </w:t>
                                  </w:r>
                                </w:p>
                              </w:tc>
                            </w:tr>
                            <w:tr w:rsidR="003731AC" w14:paraId="214319D5" w14:textId="77777777">
                              <w:trPr>
                                <w:trHeight w:val="283"/>
                              </w:trPr>
                              <w:tc>
                                <w:tcPr>
                                  <w:tcW w:w="4258" w:type="dxa"/>
                                  <w:tcBorders>
                                    <w:top w:val="single" w:sz="4" w:space="0" w:color="auto"/>
                                    <w:left w:val="single" w:sz="4" w:space="0" w:color="auto"/>
                                    <w:bottom w:val="single" w:sz="4" w:space="0" w:color="auto"/>
                                    <w:right w:val="single" w:sz="4" w:space="0" w:color="auto"/>
                                  </w:tcBorders>
                                  <w:vAlign w:val="center"/>
                                  <w:hideMark/>
                                </w:tcPr>
                                <w:p w14:paraId="2A4661A2" w14:textId="77777777" w:rsidR="003731AC" w:rsidRDefault="003731AC">
                                  <w:pPr>
                                    <w:widowControl/>
                                    <w:spacing w:line="30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其他</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1C487C"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36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7D15B3F4"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29,793.54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4A5A1F5"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15.91 </w:t>
                                  </w:r>
                                </w:p>
                              </w:tc>
                            </w:tr>
                          </w:tbl>
                          <w:p w14:paraId="2642D473" w14:textId="77777777" w:rsidR="003731AC" w:rsidRDefault="003731AC" w:rsidP="003731AC">
                            <w:pPr>
                              <w:spacing w:line="300" w:lineRule="exact"/>
                              <w:rPr>
                                <w:rFonts w:ascii="標楷體" w:eastAsia="標楷體" w:hAnsi="標楷體"/>
                                <w:sz w:val="18"/>
                                <w:szCs w:val="18"/>
                              </w:rPr>
                            </w:pPr>
                            <w:r>
                              <w:rPr>
                                <w:rFonts w:ascii="標楷體" w:eastAsia="標楷體" w:hAnsi="標楷體" w:hint="eastAsia"/>
                                <w:sz w:val="18"/>
                                <w:szCs w:val="18"/>
                              </w:rPr>
                              <w:t>資料來源：整理自財政局提供資料。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EC0EFA" id="文字方塊 927419608" o:spid="_x0000_s1049" type="#_x0000_t202" style="position:absolute;left:0;text-align:left;margin-left:125.15pt;margin-top:104.6pt;width:374.15pt;height:198.75pt;z-index:-251576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" filled="f" stroked="f">
                <v:textbox>
                  <w:txbxContent>
                    <w:tbl>
                      <w:tblPr>
                        <w:tblW w:w="72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58"/>
                        <w:gridCol w:w="709"/>
                        <w:gridCol w:w="1275"/>
                        <w:gridCol w:w="993"/>
                      </w:tblGrid>
                      <w:tr w:rsidR="003731AC" w14:paraId="2DF1B4D5" w14:textId="77777777" w:rsidTr="003E37F7">
                        <w:trPr>
                          <w:trHeight w:val="20"/>
                        </w:trPr>
                        <w:tc>
                          <w:tcPr>
                            <w:tcW w:w="7235" w:type="dxa"/>
                            <w:gridSpan w:val="4"/>
                            <w:tcBorders>
                              <w:top w:val="nil"/>
                              <w:left w:val="nil"/>
                              <w:bottom w:val="nil"/>
                              <w:right w:val="nil"/>
                            </w:tcBorders>
                            <w:vAlign w:val="center"/>
                            <w:hideMark/>
                          </w:tcPr>
                          <w:p w14:paraId="31B954A9" w14:textId="1A694B62" w:rsidR="003731AC" w:rsidRDefault="003731AC" w:rsidP="00010ACF">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b/>
                                <w:bCs/>
                                <w:color w:val="000000"/>
                                <w:kern w:val="0"/>
                                <w:szCs w:val="20"/>
                              </w:rPr>
                              <w:t>表1　供給資料庫土地釋出概況</w:t>
                            </w:r>
                          </w:p>
                        </w:tc>
                      </w:tr>
                      <w:tr w:rsidR="003731AC" w14:paraId="6D69DBBC" w14:textId="77777777">
                        <w:trPr>
                          <w:trHeight w:val="20"/>
                        </w:trPr>
                        <w:tc>
                          <w:tcPr>
                            <w:tcW w:w="7235" w:type="dxa"/>
                            <w:gridSpan w:val="4"/>
                            <w:tcBorders>
                              <w:top w:val="nil"/>
                              <w:left w:val="nil"/>
                              <w:bottom w:val="single" w:sz="4" w:space="0" w:color="auto"/>
                              <w:right w:val="nil"/>
                            </w:tcBorders>
                            <w:vAlign w:val="center"/>
                            <w:hideMark/>
                          </w:tcPr>
                          <w:p w14:paraId="2CB31643"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單位：筆數、平方公尺、％</w:t>
                            </w:r>
                          </w:p>
                        </w:tc>
                      </w:tr>
                      <w:tr w:rsidR="003731AC" w14:paraId="0165A7A4" w14:textId="77777777">
                        <w:trPr>
                          <w:trHeight w:val="340"/>
                        </w:trPr>
                        <w:tc>
                          <w:tcPr>
                            <w:tcW w:w="4258" w:type="dxa"/>
                            <w:tcBorders>
                              <w:top w:val="single" w:sz="4" w:space="0" w:color="auto"/>
                              <w:left w:val="single" w:sz="4" w:space="0" w:color="auto"/>
                              <w:bottom w:val="single" w:sz="4" w:space="0" w:color="auto"/>
                              <w:right w:val="single" w:sz="4" w:space="0" w:color="auto"/>
                            </w:tcBorders>
                            <w:vAlign w:val="center"/>
                            <w:hideMark/>
                          </w:tcPr>
                          <w:p w14:paraId="111F9B82" w14:textId="77777777" w:rsidR="003731AC" w:rsidRDefault="003731AC">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釋出原因</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9D8666" w14:textId="77777777" w:rsidR="003731AC" w:rsidRDefault="003731AC">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筆數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2A39A510" w14:textId="77777777" w:rsidR="003731AC" w:rsidRDefault="003731AC">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面積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07E1E86" w14:textId="77777777" w:rsidR="003731AC" w:rsidRDefault="003731AC">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面積占比</w:t>
                            </w:r>
                          </w:p>
                        </w:tc>
                      </w:tr>
                      <w:tr w:rsidR="003731AC" w14:paraId="3CA27DEF" w14:textId="77777777">
                        <w:trPr>
                          <w:trHeight w:val="283"/>
                        </w:trPr>
                        <w:tc>
                          <w:tcPr>
                            <w:tcW w:w="4258" w:type="dxa"/>
                            <w:tcBorders>
                              <w:top w:val="single" w:sz="4" w:space="0" w:color="auto"/>
                              <w:left w:val="single" w:sz="4" w:space="0" w:color="auto"/>
                              <w:bottom w:val="single" w:sz="4" w:space="0" w:color="auto"/>
                              <w:right w:val="single" w:sz="4" w:space="0" w:color="auto"/>
                            </w:tcBorders>
                            <w:vAlign w:val="center"/>
                            <w:hideMark/>
                          </w:tcPr>
                          <w:p w14:paraId="33DCF175" w14:textId="77777777" w:rsidR="003731AC" w:rsidRDefault="003731AC" w:rsidP="00D54B42">
                            <w:pPr>
                              <w:widowControl/>
                              <w:spacing w:line="30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　計</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27E14B" w14:textId="77777777" w:rsidR="003731AC" w:rsidRDefault="003731AC">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211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1AFAC5E4" w14:textId="77777777" w:rsidR="003731AC" w:rsidRDefault="003731AC">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187,295.53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1866A23" w14:textId="77777777" w:rsidR="003731AC" w:rsidRDefault="003731AC">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 100.00 </w:t>
                            </w:r>
                          </w:p>
                        </w:tc>
                      </w:tr>
                      <w:tr w:rsidR="003731AC" w14:paraId="7B517C34" w14:textId="77777777">
                        <w:trPr>
                          <w:trHeight w:val="330"/>
                        </w:trPr>
                        <w:tc>
                          <w:tcPr>
                            <w:tcW w:w="4258" w:type="dxa"/>
                            <w:tcBorders>
                              <w:top w:val="single" w:sz="4" w:space="0" w:color="auto"/>
                              <w:left w:val="single" w:sz="4" w:space="0" w:color="auto"/>
                              <w:bottom w:val="single" w:sz="4" w:space="0" w:color="auto"/>
                              <w:right w:val="single" w:sz="4" w:space="0" w:color="auto"/>
                            </w:tcBorders>
                            <w:vAlign w:val="center"/>
                            <w:hideMark/>
                          </w:tcPr>
                          <w:p w14:paraId="40C5FCA9" w14:textId="77777777" w:rsidR="003731AC" w:rsidRDefault="003731AC">
                            <w:pPr>
                              <w:widowControl/>
                              <w:spacing w:line="30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無設校需求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7ABA23"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79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2D4382EB"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80,710.44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12023FAD"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43.09 </w:t>
                            </w:r>
                          </w:p>
                        </w:tc>
                      </w:tr>
                      <w:tr w:rsidR="003731AC" w14:paraId="6112D958" w14:textId="77777777">
                        <w:trPr>
                          <w:trHeight w:val="330"/>
                        </w:trPr>
                        <w:tc>
                          <w:tcPr>
                            <w:tcW w:w="4258" w:type="dxa"/>
                            <w:tcBorders>
                              <w:top w:val="single" w:sz="4" w:space="0" w:color="auto"/>
                              <w:left w:val="single" w:sz="4" w:space="0" w:color="auto"/>
                              <w:bottom w:val="single" w:sz="4" w:space="0" w:color="auto"/>
                              <w:right w:val="single" w:sz="4" w:space="0" w:color="auto"/>
                            </w:tcBorders>
                            <w:vAlign w:val="center"/>
                            <w:hideMark/>
                          </w:tcPr>
                          <w:p w14:paraId="0016C51D" w14:textId="77777777" w:rsidR="003731AC" w:rsidRDefault="003731AC">
                            <w:pPr>
                              <w:widowControl/>
                              <w:spacing w:line="300" w:lineRule="exact"/>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國防部辦理都市計畫變更回饋之特定專用區，依112年6月7日市長與里長有約座談會裁示辦理，預計於114年12月釋出</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94A482"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11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5577C0D4"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31,698.29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E2D75F3"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16.92 </w:t>
                            </w:r>
                          </w:p>
                        </w:tc>
                      </w:tr>
                      <w:tr w:rsidR="003731AC" w14:paraId="7F5DE1E2" w14:textId="77777777">
                        <w:trPr>
                          <w:trHeight w:val="312"/>
                        </w:trPr>
                        <w:tc>
                          <w:tcPr>
                            <w:tcW w:w="4258" w:type="dxa"/>
                            <w:tcBorders>
                              <w:top w:val="single" w:sz="4" w:space="0" w:color="auto"/>
                              <w:left w:val="single" w:sz="4" w:space="0" w:color="auto"/>
                              <w:bottom w:val="single" w:sz="4" w:space="0" w:color="auto"/>
                              <w:right w:val="single" w:sz="4" w:space="0" w:color="auto"/>
                            </w:tcBorders>
                            <w:vAlign w:val="center"/>
                            <w:hideMark/>
                          </w:tcPr>
                          <w:p w14:paraId="2B28FEBB" w14:textId="77777777" w:rsidR="003731AC" w:rsidRDefault="003731AC">
                            <w:pPr>
                              <w:widowControl/>
                              <w:spacing w:line="260" w:lineRule="exact"/>
                              <w:ind w:left="502" w:hangingChars="251" w:hanging="502"/>
                              <w:rPr>
                                <w:rFonts w:ascii="標楷體" w:eastAsia="標楷體" w:hAnsi="標楷體" w:cs="新細明體"/>
                                <w:color w:val="000000"/>
                                <w:kern w:val="0"/>
                                <w:sz w:val="20"/>
                                <w:szCs w:val="20"/>
                              </w:rPr>
                            </w:pPr>
                            <w:r>
                              <w:rPr>
                                <w:rFonts w:ascii="標楷體" w:eastAsia="標楷體" w:hAnsi="標楷體" w:hint="eastAsia"/>
                                <w:color w:val="000000"/>
                                <w:sz w:val="20"/>
                                <w:szCs w:val="14"/>
                              </w:rPr>
                              <w:t>財政局經管之市有非公用土地</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C105C7" w14:textId="77777777" w:rsidR="003731AC" w:rsidRDefault="003731AC">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69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2E0785D3" w14:textId="77777777" w:rsidR="003731AC" w:rsidRDefault="003731AC">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24,703.94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71A5C405" w14:textId="77777777" w:rsidR="003731AC" w:rsidRDefault="003731AC">
                            <w:pPr>
                              <w:widowControl/>
                              <w:spacing w:line="26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13.19 </w:t>
                            </w:r>
                          </w:p>
                        </w:tc>
                      </w:tr>
                      <w:tr w:rsidR="003731AC" w14:paraId="003271DA" w14:textId="77777777">
                        <w:trPr>
                          <w:trHeight w:val="397"/>
                        </w:trPr>
                        <w:tc>
                          <w:tcPr>
                            <w:tcW w:w="4258" w:type="dxa"/>
                            <w:tcBorders>
                              <w:top w:val="single" w:sz="4" w:space="0" w:color="auto"/>
                              <w:left w:val="single" w:sz="4" w:space="0" w:color="auto"/>
                              <w:bottom w:val="single" w:sz="4" w:space="0" w:color="auto"/>
                              <w:right w:val="single" w:sz="4" w:space="0" w:color="auto"/>
                            </w:tcBorders>
                            <w:vAlign w:val="center"/>
                            <w:hideMark/>
                          </w:tcPr>
                          <w:p w14:paraId="4FAF94DC" w14:textId="77777777" w:rsidR="003731AC" w:rsidRDefault="003731AC">
                            <w:pPr>
                              <w:widowControl/>
                              <w:spacing w:line="300" w:lineRule="exact"/>
                              <w:ind w:left="502" w:hangingChars="251" w:hanging="502"/>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列為市政儲備用地</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EE9C35"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16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65EB6063"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20,389.32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11DDAC94"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10.89 </w:t>
                            </w:r>
                          </w:p>
                        </w:tc>
                      </w:tr>
                      <w:tr w:rsidR="003731AC" w14:paraId="214319D5" w14:textId="77777777">
                        <w:trPr>
                          <w:trHeight w:val="283"/>
                        </w:trPr>
                        <w:tc>
                          <w:tcPr>
                            <w:tcW w:w="4258" w:type="dxa"/>
                            <w:tcBorders>
                              <w:top w:val="single" w:sz="4" w:space="0" w:color="auto"/>
                              <w:left w:val="single" w:sz="4" w:space="0" w:color="auto"/>
                              <w:bottom w:val="single" w:sz="4" w:space="0" w:color="auto"/>
                              <w:right w:val="single" w:sz="4" w:space="0" w:color="auto"/>
                            </w:tcBorders>
                            <w:vAlign w:val="center"/>
                            <w:hideMark/>
                          </w:tcPr>
                          <w:p w14:paraId="2A4661A2" w14:textId="77777777" w:rsidR="003731AC" w:rsidRDefault="003731AC">
                            <w:pPr>
                              <w:widowControl/>
                              <w:spacing w:line="30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其他</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1C487C"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36 </w:t>
                            </w:r>
                          </w:p>
                        </w:tc>
                        <w:tc>
                          <w:tcPr>
                            <w:tcW w:w="1275" w:type="dxa"/>
                            <w:tcBorders>
                              <w:top w:val="single" w:sz="4" w:space="0" w:color="auto"/>
                              <w:left w:val="single" w:sz="4" w:space="0" w:color="auto"/>
                              <w:bottom w:val="single" w:sz="4" w:space="0" w:color="auto"/>
                              <w:right w:val="single" w:sz="4" w:space="0" w:color="auto"/>
                            </w:tcBorders>
                            <w:noWrap/>
                            <w:vAlign w:val="center"/>
                            <w:hideMark/>
                          </w:tcPr>
                          <w:p w14:paraId="7D15B3F4"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29,793.54 </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4A5A1F5" w14:textId="77777777" w:rsidR="003731AC" w:rsidRDefault="003731AC">
                            <w:pPr>
                              <w:widowControl/>
                              <w:spacing w:line="30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15.91 </w:t>
                            </w:r>
                          </w:p>
                        </w:tc>
                      </w:tr>
                    </w:tbl>
                    <w:p w14:paraId="2642D473" w14:textId="77777777" w:rsidR="003731AC" w:rsidRDefault="003731AC" w:rsidP="003731AC">
                      <w:pPr>
                        <w:spacing w:line="300" w:lineRule="exact"/>
                        <w:rPr>
                          <w:rFonts w:ascii="標楷體" w:eastAsia="標楷體" w:hAnsi="標楷體"/>
                          <w:sz w:val="18"/>
                          <w:szCs w:val="18"/>
                        </w:rPr>
                      </w:pPr>
                      <w:r>
                        <w:rPr>
                          <w:rFonts w:ascii="標楷體" w:eastAsia="標楷體" w:hAnsi="標楷體" w:hint="eastAsia"/>
                          <w:sz w:val="18"/>
                          <w:szCs w:val="18"/>
                        </w:rPr>
                        <w:t>資料來源：整理自財政局提供資料。</w:t>
                      </w:r>
                    </w:p>
                  </w:txbxContent>
                </v:textbox>
                <w10:wrap type="tight" anchorx="margin"/>
              </v:shape>
            </w:pict>
          </mc:Fallback>
        </mc:AlternateContent>
      </w:r>
      <w:r w:rsidR="003731AC">
        <w:rPr>
          <w:rFonts w:ascii="標楷體" w:eastAsia="標楷體" w:hAnsi="標楷體" w:hint="eastAsia"/>
          <w:color w:val="000000"/>
          <w:szCs w:val="18"/>
        </w:rPr>
        <w:t>依臺北市市有不動產供需調配計畫規定，供給資料庫建置標的，包括校園餘裕空間、未開闢之學校用地及財政局經管之市有非公用土地。財政局為提高各機關學校經管市有房地利用效能，持續辦理市有公用、非公用財產之管理及活化利用，包括</w:t>
      </w:r>
      <w:proofErr w:type="gramStart"/>
      <w:r w:rsidR="003731AC">
        <w:rPr>
          <w:rFonts w:ascii="標楷體" w:eastAsia="標楷體" w:hAnsi="標楷體" w:hint="eastAsia"/>
          <w:color w:val="000000"/>
          <w:szCs w:val="18"/>
        </w:rPr>
        <w:t>媒合市有</w:t>
      </w:r>
      <w:proofErr w:type="gramEnd"/>
      <w:r w:rsidR="003731AC">
        <w:rPr>
          <w:rFonts w:ascii="標楷體" w:eastAsia="標楷體" w:hAnsi="標楷體" w:hint="eastAsia"/>
          <w:color w:val="000000"/>
          <w:szCs w:val="18"/>
        </w:rPr>
        <w:t>資產供需調配運用、辦理標租、提供短期使用或認養綠美化等，以活化市有財產。截至113年12月底市有不動產供需調配之供給資料庫，計有土地211筆、面積187,295.53平方公尺（表1），其中臺北市政府教育局及所屬學校經管之學校用地計79筆、面積80,710.44平方公尺，經評估無設校需求，並釋出供調配運用，惟有部分土地使用分區尚包含保護區、農業區、防洪調節池用地等，非屬尋常可開發利用之土地，且學校用地雖為可建築用地，惟未經都市計畫檢討</w:t>
      </w:r>
      <w:proofErr w:type="gramStart"/>
      <w:r w:rsidR="003731AC">
        <w:rPr>
          <w:rFonts w:ascii="標楷體" w:eastAsia="標楷體" w:hAnsi="標楷體" w:hint="eastAsia"/>
          <w:color w:val="000000"/>
          <w:szCs w:val="18"/>
        </w:rPr>
        <w:t>解編前</w:t>
      </w:r>
      <w:proofErr w:type="gramEnd"/>
      <w:r w:rsidR="003731AC">
        <w:rPr>
          <w:rFonts w:ascii="標楷體" w:eastAsia="標楷體" w:hAnsi="標楷體" w:hint="eastAsia"/>
          <w:color w:val="000000"/>
          <w:szCs w:val="18"/>
        </w:rPr>
        <w:t>，亦</w:t>
      </w:r>
      <w:proofErr w:type="gramStart"/>
      <w:r w:rsidR="003731AC">
        <w:rPr>
          <w:rFonts w:ascii="標楷體" w:eastAsia="標楷體" w:hAnsi="標楷體" w:hint="eastAsia"/>
          <w:color w:val="000000"/>
          <w:szCs w:val="18"/>
        </w:rPr>
        <w:t>難以媒合予</w:t>
      </w:r>
      <w:proofErr w:type="gramEnd"/>
      <w:r w:rsidR="003731AC">
        <w:rPr>
          <w:rFonts w:ascii="標楷體" w:eastAsia="標楷體" w:hAnsi="標楷體" w:hint="eastAsia"/>
          <w:color w:val="000000"/>
          <w:szCs w:val="18"/>
        </w:rPr>
        <w:t>其他需求機關使用；次查財政局釋出69筆土地，使用分區包括住宅區、商業區及機關用地等，取得年度介於80至112年間，其中不乏位於市區精華繁榮地段者，卻因無機關提報公用需求而長期低度利用，現況多僅作為臨時停車場、辦理簡易綠美化之用，且部分土地有被占用情形，影響需求機關調配使用意願等情事，</w:t>
      </w:r>
      <w:r w:rsidR="003731AC">
        <w:rPr>
          <w:rFonts w:ascii="標楷體" w:eastAsia="標楷體" w:hAnsi="標楷體" w:hint="eastAsia"/>
          <w:color w:val="000000"/>
          <w:szCs w:val="24"/>
        </w:rPr>
        <w:t>經函請</w:t>
      </w:r>
      <w:proofErr w:type="gramStart"/>
      <w:r w:rsidR="003731AC">
        <w:rPr>
          <w:rFonts w:ascii="標楷體" w:eastAsia="標楷體" w:hAnsi="標楷體" w:hint="eastAsia"/>
          <w:color w:val="000000"/>
          <w:szCs w:val="24"/>
        </w:rPr>
        <w:t>研謀妥處</w:t>
      </w:r>
      <w:proofErr w:type="gramEnd"/>
      <w:r w:rsidR="003731AC">
        <w:rPr>
          <w:rFonts w:ascii="標楷體" w:eastAsia="標楷體" w:hAnsi="標楷體" w:hint="eastAsia"/>
          <w:color w:val="000000"/>
          <w:szCs w:val="24"/>
        </w:rPr>
        <w:t>。據復：除3處學校預定地經都市計畫通盤檢討不予變更，或尚未納入都市計畫通盤檢討外，其餘皆已納入都市計畫通盤檢討審議中；財政局將依臺北市市有公用不動產被占用處理作業要點規定處理並收回被占用土地，另該69筆土地經評估暫維持現況使用方式，惟財政局將持續滾動檢討，配合市府政策、現行法規評估開發利用方式，並就各機關評估有公務使用需求者，依法提供使用或變更管理機關，以提升公有土地管理及使用效能</w:t>
      </w:r>
      <w:r w:rsidR="003731AC">
        <w:rPr>
          <w:rFonts w:ascii="標楷體" w:eastAsia="標楷體" w:hAnsi="標楷體" w:hint="eastAsia"/>
          <w:szCs w:val="24"/>
        </w:rPr>
        <w:t>。</w:t>
      </w:r>
    </w:p>
    <w:p w14:paraId="3908ABA8" w14:textId="77777777" w:rsidR="003731AC" w:rsidRDefault="003731AC" w:rsidP="003E37F7">
      <w:pPr>
        <w:suppressAutoHyphens/>
        <w:overflowPunct w:val="0"/>
        <w:spacing w:beforeLines="50" w:before="180" w:line="49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（三）</w:t>
      </w:r>
      <w:r>
        <w:rPr>
          <w:rFonts w:ascii="標楷體" w:eastAsia="標楷體" w:hAnsi="標楷體" w:hint="eastAsia"/>
          <w:b/>
          <w:bCs/>
          <w:spacing w:val="6"/>
          <w:sz w:val="28"/>
          <w:szCs w:val="24"/>
        </w:rPr>
        <w:t>積極辦理地方稅</w:t>
      </w:r>
      <w:proofErr w:type="gramStart"/>
      <w:r>
        <w:rPr>
          <w:rFonts w:ascii="標楷體" w:eastAsia="標楷體" w:hAnsi="標楷體" w:hint="eastAsia"/>
          <w:b/>
          <w:bCs/>
          <w:spacing w:val="6"/>
          <w:sz w:val="28"/>
          <w:szCs w:val="24"/>
        </w:rPr>
        <w:t>稽</w:t>
      </w:r>
      <w:proofErr w:type="gramEnd"/>
      <w:r>
        <w:rPr>
          <w:rFonts w:ascii="標楷體" w:eastAsia="標楷體" w:hAnsi="標楷體" w:hint="eastAsia"/>
          <w:b/>
          <w:bCs/>
          <w:spacing w:val="6"/>
          <w:sz w:val="28"/>
          <w:szCs w:val="24"/>
        </w:rPr>
        <w:t>徵業務及欠稅清理作業，以維護租稅公平及增</w:t>
      </w:r>
      <w:proofErr w:type="gramStart"/>
      <w:r>
        <w:rPr>
          <w:rFonts w:ascii="標楷體" w:eastAsia="標楷體" w:hAnsi="標楷體" w:hint="eastAsia"/>
          <w:b/>
          <w:bCs/>
          <w:spacing w:val="6"/>
          <w:sz w:val="28"/>
          <w:szCs w:val="24"/>
        </w:rPr>
        <w:t>裕庫收</w:t>
      </w:r>
      <w:proofErr w:type="gramEnd"/>
      <w:r>
        <w:rPr>
          <w:rFonts w:ascii="標楷體" w:eastAsia="標楷體" w:hAnsi="標楷體" w:hint="eastAsia"/>
          <w:b/>
          <w:bCs/>
          <w:spacing w:val="6"/>
          <w:sz w:val="28"/>
          <w:szCs w:val="24"/>
        </w:rPr>
        <w:t>，惟部分稅目之徵課與</w:t>
      </w:r>
      <w:r w:rsidRPr="003E37F7">
        <w:rPr>
          <w:rFonts w:ascii="標楷體" w:eastAsia="標楷體" w:hAnsi="標楷體" w:hint="eastAsia"/>
          <w:b/>
          <w:spacing w:val="-2"/>
          <w:sz w:val="28"/>
          <w:szCs w:val="18"/>
        </w:rPr>
        <w:t>實際</w:t>
      </w:r>
      <w:r>
        <w:rPr>
          <w:rFonts w:ascii="標楷體" w:eastAsia="標楷體" w:hAnsi="標楷體" w:hint="eastAsia"/>
          <w:b/>
          <w:bCs/>
          <w:spacing w:val="6"/>
          <w:sz w:val="28"/>
          <w:szCs w:val="24"/>
        </w:rPr>
        <w:t>使用</w:t>
      </w:r>
      <w:proofErr w:type="gramStart"/>
      <w:r>
        <w:rPr>
          <w:rFonts w:ascii="標楷體" w:eastAsia="標楷體" w:hAnsi="標楷體" w:hint="eastAsia"/>
          <w:b/>
          <w:bCs/>
          <w:spacing w:val="6"/>
          <w:sz w:val="28"/>
          <w:szCs w:val="24"/>
        </w:rPr>
        <w:t>情形欠合</w:t>
      </w:r>
      <w:proofErr w:type="gramEnd"/>
      <w:r>
        <w:rPr>
          <w:rFonts w:ascii="標楷體" w:eastAsia="標楷體" w:hAnsi="標楷體" w:hint="eastAsia"/>
          <w:b/>
          <w:bCs/>
          <w:spacing w:val="6"/>
          <w:sz w:val="28"/>
          <w:szCs w:val="24"/>
        </w:rPr>
        <w:t>，及欠稅清理成效仍有待提升，亟待檢討改善。</w:t>
      </w:r>
    </w:p>
    <w:p w14:paraId="1CAE2DBD" w14:textId="77777777" w:rsidR="003731AC" w:rsidRPr="002F0729" w:rsidRDefault="003731AC" w:rsidP="002F0729">
      <w:pPr>
        <w:spacing w:line="440" w:lineRule="exact"/>
        <w:ind w:firstLineChars="236" w:firstLine="566"/>
        <w:jc w:val="both"/>
        <w:rPr>
          <w:rFonts w:ascii="標楷體" w:eastAsia="標楷體" w:hAnsi="標楷體"/>
          <w:bCs/>
          <w:color w:val="000000" w:themeColor="text1"/>
          <w:szCs w:val="24"/>
        </w:rPr>
      </w:pPr>
      <w:r w:rsidRPr="002F0729">
        <w:rPr>
          <w:rFonts w:ascii="標楷體" w:eastAsia="標楷體" w:hAnsi="標楷體" w:hint="eastAsia"/>
        </w:rPr>
        <w:t>稅捐稽徵處為落實</w:t>
      </w:r>
      <w:proofErr w:type="gramStart"/>
      <w:r w:rsidRPr="002F0729">
        <w:rPr>
          <w:rFonts w:ascii="標楷體" w:eastAsia="標楷體" w:hAnsi="標楷體" w:hint="eastAsia"/>
        </w:rPr>
        <w:t>稽</w:t>
      </w:r>
      <w:proofErr w:type="gramEnd"/>
      <w:r w:rsidRPr="002F0729">
        <w:rPr>
          <w:rFonts w:ascii="標楷體" w:eastAsia="標楷體" w:hAnsi="標楷體" w:hint="eastAsia"/>
        </w:rPr>
        <w:t>徵業務及維護租稅公平，辦理房屋稅、地價稅</w:t>
      </w:r>
      <w:proofErr w:type="gramStart"/>
      <w:r w:rsidRPr="002F0729">
        <w:rPr>
          <w:rFonts w:ascii="標楷體" w:eastAsia="標楷體" w:hAnsi="標楷體" w:hint="eastAsia"/>
        </w:rPr>
        <w:t>稅籍暨</w:t>
      </w:r>
      <w:r w:rsidRPr="002F0729">
        <w:rPr>
          <w:rFonts w:ascii="標楷體" w:eastAsia="標楷體" w:hAnsi="標楷體" w:hint="eastAsia"/>
          <w:szCs w:val="24"/>
        </w:rPr>
        <w:t>使用</w:t>
      </w:r>
      <w:proofErr w:type="gramEnd"/>
      <w:r w:rsidRPr="002F0729">
        <w:rPr>
          <w:rFonts w:ascii="標楷體" w:eastAsia="標楷體" w:hAnsi="標楷體" w:hint="eastAsia"/>
          <w:szCs w:val="24"/>
        </w:rPr>
        <w:t>情形清查作業；另為減少</w:t>
      </w:r>
      <w:proofErr w:type="gramStart"/>
      <w:r w:rsidRPr="002F0729">
        <w:rPr>
          <w:rFonts w:ascii="標楷體" w:eastAsia="標楷體" w:hAnsi="標楷體" w:hint="eastAsia"/>
          <w:szCs w:val="24"/>
        </w:rPr>
        <w:t>滯欠增裕庫收</w:t>
      </w:r>
      <w:proofErr w:type="gramEnd"/>
      <w:r w:rsidRPr="002F0729">
        <w:rPr>
          <w:rFonts w:ascii="標楷體" w:eastAsia="標楷體" w:hAnsi="標楷體" w:hint="eastAsia"/>
          <w:szCs w:val="24"/>
        </w:rPr>
        <w:t>，每年訂有</w:t>
      </w:r>
      <w:r w:rsidRPr="002F0729">
        <w:rPr>
          <w:rFonts w:ascii="標楷體" w:eastAsia="標楷體" w:hAnsi="標楷體" w:hint="eastAsia"/>
          <w:bCs/>
          <w:color w:val="000000" w:themeColor="text1"/>
          <w:szCs w:val="24"/>
        </w:rPr>
        <w:t>清理欠稅及未繳罰鍰工作計畫，以確實執行</w:t>
      </w:r>
      <w:proofErr w:type="gramStart"/>
      <w:r w:rsidRPr="002F0729">
        <w:rPr>
          <w:rFonts w:ascii="標楷體" w:eastAsia="標楷體" w:hAnsi="標楷體" w:hint="eastAsia"/>
          <w:bCs/>
          <w:color w:val="000000" w:themeColor="text1"/>
          <w:szCs w:val="24"/>
        </w:rPr>
        <w:t>防止新欠</w:t>
      </w:r>
      <w:proofErr w:type="gramEnd"/>
      <w:r w:rsidRPr="002F0729">
        <w:rPr>
          <w:rFonts w:ascii="標楷體" w:eastAsia="標楷體" w:hAnsi="標楷體" w:hint="eastAsia"/>
          <w:bCs/>
          <w:color w:val="000000" w:themeColor="text1"/>
          <w:szCs w:val="24"/>
        </w:rPr>
        <w:t>、積極清理</w:t>
      </w:r>
      <w:proofErr w:type="gramStart"/>
      <w:r w:rsidRPr="002F0729">
        <w:rPr>
          <w:rFonts w:ascii="標楷體" w:eastAsia="標楷體" w:hAnsi="標楷體" w:hint="eastAsia"/>
          <w:bCs/>
          <w:color w:val="000000" w:themeColor="text1"/>
          <w:szCs w:val="24"/>
        </w:rPr>
        <w:t>舊欠等</w:t>
      </w:r>
      <w:proofErr w:type="gramEnd"/>
      <w:r w:rsidRPr="002F0729">
        <w:rPr>
          <w:rFonts w:ascii="標楷體" w:eastAsia="標楷體" w:hAnsi="標楷體" w:hint="eastAsia"/>
          <w:bCs/>
          <w:color w:val="000000" w:themeColor="text1"/>
          <w:szCs w:val="24"/>
        </w:rPr>
        <w:t>。經查該處辦理賦</w:t>
      </w:r>
      <w:proofErr w:type="gramStart"/>
      <w:r w:rsidRPr="002F0729">
        <w:rPr>
          <w:rFonts w:ascii="標楷體" w:eastAsia="標楷體" w:hAnsi="標楷體" w:hint="eastAsia"/>
          <w:bCs/>
          <w:color w:val="000000" w:themeColor="text1"/>
          <w:szCs w:val="24"/>
        </w:rPr>
        <w:t>稅捐費徵課</w:t>
      </w:r>
      <w:proofErr w:type="gramEnd"/>
      <w:r w:rsidRPr="002F0729">
        <w:rPr>
          <w:rFonts w:ascii="標楷體" w:eastAsia="標楷體" w:hAnsi="標楷體" w:hint="eastAsia"/>
          <w:bCs/>
          <w:color w:val="000000" w:themeColor="text1"/>
          <w:szCs w:val="24"/>
        </w:rPr>
        <w:t>業務及欠稅清理作業，核有下列事項：</w:t>
      </w:r>
    </w:p>
    <w:p w14:paraId="2F8A76DB" w14:textId="77777777" w:rsidR="00EE1535" w:rsidRDefault="003731AC" w:rsidP="00010ACF">
      <w:pPr>
        <w:spacing w:beforeLines="10" w:before="36" w:line="440" w:lineRule="exact"/>
        <w:ind w:firstLineChars="200" w:firstLine="480"/>
        <w:jc w:val="both"/>
        <w:rPr>
          <w:rFonts w:eastAsia="標楷體"/>
          <w:bCs/>
          <w:szCs w:val="24"/>
        </w:rPr>
      </w:pPr>
      <w:r>
        <w:rPr>
          <w:rFonts w:ascii="標楷體" w:eastAsia="標楷體" w:hAnsi="標楷體" w:hint="eastAsia"/>
          <w:b/>
          <w:color w:val="000000" w:themeColor="text1"/>
          <w:szCs w:val="24"/>
        </w:rPr>
        <w:t>1.</w:t>
      </w:r>
      <w:r>
        <w:rPr>
          <w:rFonts w:ascii="標楷體" w:eastAsia="標楷體" w:hAnsi="標楷體" w:hint="eastAsia"/>
          <w:b/>
        </w:rPr>
        <w:t>部</w:t>
      </w:r>
      <w:r>
        <w:rPr>
          <w:rFonts w:ascii="標楷體" w:eastAsia="標楷體" w:hAnsi="標楷體" w:hint="eastAsia"/>
          <w:b/>
          <w:bCs/>
        </w:rPr>
        <w:t>分稅目之徵課與實際使用</w:t>
      </w:r>
      <w:proofErr w:type="gramStart"/>
      <w:r>
        <w:rPr>
          <w:rFonts w:ascii="標楷體" w:eastAsia="標楷體" w:hAnsi="標楷體" w:hint="eastAsia"/>
          <w:b/>
          <w:bCs/>
        </w:rPr>
        <w:t>情形欠合</w:t>
      </w:r>
      <w:proofErr w:type="gramEnd"/>
      <w:r>
        <w:rPr>
          <w:rFonts w:ascii="標楷體" w:eastAsia="標楷體" w:hAnsi="標楷體" w:hint="eastAsia"/>
          <w:bCs/>
          <w:color w:val="000000" w:themeColor="text1"/>
          <w:szCs w:val="24"/>
        </w:rPr>
        <w:t>：（1）轄內</w:t>
      </w:r>
      <w:r>
        <w:rPr>
          <w:rFonts w:eastAsia="標楷體" w:hint="eastAsia"/>
          <w:bCs/>
          <w:szCs w:val="24"/>
        </w:rPr>
        <w:t>部分房屋供公司行號營業使用或</w:t>
      </w:r>
      <w:r>
        <w:rPr>
          <w:rFonts w:ascii="標楷體" w:eastAsia="標楷體" w:hAnsi="標楷體" w:hint="eastAsia"/>
          <w:bCs/>
          <w:color w:val="000000" w:themeColor="text1"/>
          <w:szCs w:val="24"/>
        </w:rPr>
        <w:t>於餐飲外送平</w:t>
      </w:r>
      <w:proofErr w:type="gramStart"/>
      <w:r>
        <w:rPr>
          <w:rFonts w:ascii="標楷體" w:eastAsia="標楷體" w:hAnsi="標楷體" w:hint="eastAsia"/>
          <w:bCs/>
          <w:color w:val="000000" w:themeColor="text1"/>
          <w:szCs w:val="24"/>
        </w:rPr>
        <w:t>臺</w:t>
      </w:r>
      <w:proofErr w:type="gramEnd"/>
      <w:r>
        <w:rPr>
          <w:rFonts w:ascii="標楷體" w:eastAsia="標楷體" w:hAnsi="標楷體" w:hint="eastAsia"/>
          <w:bCs/>
          <w:color w:val="000000" w:themeColor="text1"/>
          <w:szCs w:val="24"/>
        </w:rPr>
        <w:t>營業</w:t>
      </w:r>
      <w:r>
        <w:rPr>
          <w:rFonts w:eastAsia="標楷體" w:hint="eastAsia"/>
          <w:bCs/>
          <w:szCs w:val="24"/>
        </w:rPr>
        <w:t>，未按營業用稅率核課房屋稅；</w:t>
      </w:r>
      <w:r>
        <w:rPr>
          <w:rFonts w:ascii="標楷體" w:eastAsia="標楷體" w:hAnsi="標楷體" w:hint="eastAsia"/>
          <w:bCs/>
          <w:color w:val="000000" w:themeColor="text1"/>
          <w:szCs w:val="24"/>
        </w:rPr>
        <w:t>（2）轄內</w:t>
      </w:r>
      <w:r>
        <w:rPr>
          <w:rFonts w:eastAsia="標楷體" w:hint="eastAsia"/>
          <w:bCs/>
          <w:szCs w:val="24"/>
        </w:rPr>
        <w:t>部分房屋已辦理租賃公證或有承租人申報租金支出之情事，仍按住家用稅率核課房屋稅；</w:t>
      </w:r>
      <w:r>
        <w:rPr>
          <w:rFonts w:ascii="標楷體" w:eastAsia="標楷體" w:hAnsi="標楷體" w:hint="eastAsia"/>
          <w:bCs/>
          <w:color w:val="000000" w:themeColor="text1"/>
          <w:szCs w:val="24"/>
        </w:rPr>
        <w:t>（3）轄內</w:t>
      </w:r>
      <w:r>
        <w:rPr>
          <w:rFonts w:eastAsia="標楷體" w:hint="eastAsia"/>
          <w:bCs/>
          <w:szCs w:val="24"/>
        </w:rPr>
        <w:t>部分房屋坐落之土地係按自用住宅用地</w:t>
      </w:r>
    </w:p>
    <w:p w14:paraId="611D801A" w14:textId="46D68A75" w:rsidR="003731AC" w:rsidRDefault="003731AC" w:rsidP="00EE1535">
      <w:pPr>
        <w:spacing w:beforeLines="10" w:before="36" w:line="480" w:lineRule="exact"/>
        <w:jc w:val="both"/>
        <w:rPr>
          <w:rFonts w:ascii="標楷體" w:eastAsia="標楷體" w:hAnsi="標楷體"/>
          <w:bCs/>
          <w:color w:val="000000" w:themeColor="text1"/>
          <w:szCs w:val="24"/>
        </w:rPr>
      </w:pPr>
      <w:r>
        <w:rPr>
          <w:rFonts w:eastAsia="標楷體" w:hint="eastAsia"/>
          <w:bCs/>
          <w:szCs w:val="24"/>
        </w:rPr>
        <w:lastRenderedPageBreak/>
        <w:t>稅率課徵地價稅，卻供商業使用、於</w:t>
      </w:r>
      <w:r>
        <w:rPr>
          <w:rFonts w:ascii="標楷體" w:eastAsia="標楷體" w:hAnsi="標楷體" w:hint="eastAsia"/>
          <w:bCs/>
          <w:color w:val="000000" w:themeColor="text1"/>
          <w:szCs w:val="24"/>
        </w:rPr>
        <w:t>餐飲外送平</w:t>
      </w:r>
      <w:proofErr w:type="gramStart"/>
      <w:r>
        <w:rPr>
          <w:rFonts w:ascii="標楷體" w:eastAsia="標楷體" w:hAnsi="標楷體" w:hint="eastAsia"/>
          <w:bCs/>
          <w:color w:val="000000" w:themeColor="text1"/>
          <w:szCs w:val="24"/>
        </w:rPr>
        <w:t>臺</w:t>
      </w:r>
      <w:proofErr w:type="gramEnd"/>
      <w:r>
        <w:rPr>
          <w:rFonts w:ascii="標楷體" w:eastAsia="標楷體" w:hAnsi="標楷體" w:hint="eastAsia"/>
          <w:bCs/>
          <w:color w:val="000000" w:themeColor="text1"/>
          <w:szCs w:val="24"/>
        </w:rPr>
        <w:t>營業或</w:t>
      </w:r>
      <w:r>
        <w:rPr>
          <w:rFonts w:eastAsia="標楷體" w:hint="eastAsia"/>
          <w:bCs/>
          <w:szCs w:val="24"/>
        </w:rPr>
        <w:t>已辦理租賃公證</w:t>
      </w:r>
      <w:r>
        <w:rPr>
          <w:rFonts w:ascii="標楷體" w:eastAsia="標楷體" w:hAnsi="標楷體" w:hint="eastAsia"/>
          <w:bCs/>
          <w:color w:val="000000" w:themeColor="text1"/>
          <w:szCs w:val="24"/>
        </w:rPr>
        <w:t>等情事，經函請</w:t>
      </w:r>
      <w:proofErr w:type="gramStart"/>
      <w:r>
        <w:rPr>
          <w:rFonts w:ascii="標楷體" w:eastAsia="標楷體" w:hAnsi="標楷體" w:hint="eastAsia"/>
          <w:bCs/>
          <w:color w:val="000000" w:themeColor="text1"/>
          <w:szCs w:val="24"/>
        </w:rPr>
        <w:t>檢討妥處</w:t>
      </w:r>
      <w:proofErr w:type="gramEnd"/>
      <w:r>
        <w:rPr>
          <w:rFonts w:ascii="標楷體" w:eastAsia="標楷體" w:hAnsi="標楷體" w:hint="eastAsia"/>
          <w:bCs/>
          <w:color w:val="000000" w:themeColor="text1"/>
          <w:szCs w:val="24"/>
        </w:rPr>
        <w:t>。據復：截至114年5月底已清查完竣，經補徵或改課房屋稅及地價稅共計2,943筆，金額共5,000萬餘元，嗣後將持續蒐集相關資料，以有效掌握稅源，並加強督導各分處確實辦理清查作業，以維護稅籍正確。</w:t>
      </w:r>
    </w:p>
    <w:p w14:paraId="43C85A7C" w14:textId="0A36A3E9" w:rsidR="003731AC" w:rsidRDefault="003731AC" w:rsidP="0018438C">
      <w:pPr>
        <w:suppressAutoHyphens/>
        <w:overflowPunct w:val="0"/>
        <w:spacing w:line="450" w:lineRule="exact"/>
        <w:ind w:firstLineChars="200" w:firstLine="480"/>
        <w:jc w:val="both"/>
        <w:rPr>
          <w:rFonts w:ascii="標楷體" w:eastAsia="標楷體" w:hAnsi="Times New Roman" w:cs="Times New Roman"/>
          <w:szCs w:val="24"/>
        </w:rPr>
      </w:pPr>
      <w:r>
        <w:rPr>
          <w:rFonts w:hint="eastAsia"/>
          <w:noProof/>
        </w:rPr>
        <mc:AlternateContent>
          <mc:Choice Requires="wps">
            <w:drawing>
              <wp:anchor distT="0" distB="0" distL="114300" distR="114300" simplePos="0" relativeHeight="251736064" behindDoc="1" locked="0" layoutInCell="1" allowOverlap="1" wp14:anchorId="0E075475" wp14:editId="376D755F">
                <wp:simplePos x="0" y="0"/>
                <wp:positionH relativeFrom="margin">
                  <wp:posOffset>3251835</wp:posOffset>
                </wp:positionH>
                <wp:positionV relativeFrom="page">
                  <wp:posOffset>4408541</wp:posOffset>
                </wp:positionV>
                <wp:extent cx="3041650" cy="571500"/>
                <wp:effectExtent l="0" t="0" r="6350" b="0"/>
                <wp:wrapTight wrapText="bothSides">
                  <wp:wrapPolygon edited="0">
                    <wp:start x="0" y="0"/>
                    <wp:lineTo x="0" y="20880"/>
                    <wp:lineTo x="21510" y="20880"/>
                    <wp:lineTo x="21510" y="0"/>
                    <wp:lineTo x="0" y="0"/>
                  </wp:wrapPolygon>
                </wp:wrapTight>
                <wp:docPr id="927419607" name="文字方塊 927419607"/>
                <wp:cNvGraphicFramePr/>
                <a:graphic xmlns:a="http://schemas.openxmlformats.org/drawingml/2006/main">
                  <a:graphicData uri="http://schemas.microsoft.com/office/word/2010/wordprocessingShape">
                    <wps:wsp>
                      <wps:cNvSpPr txBox="1"/>
                      <wps:spPr>
                        <a:xfrm>
                          <a:off x="0" y="0"/>
                          <a:ext cx="3041650" cy="571500"/>
                        </a:xfrm>
                        <a:prstGeom prst="rect">
                          <a:avLst/>
                        </a:prstGeom>
                        <a:solidFill>
                          <a:schemeClr val="lt1"/>
                        </a:solidFill>
                        <a:ln w="6350">
                          <a:noFill/>
                        </a:ln>
                      </wps:spPr>
                      <wps:txbx>
                        <w:txbxContent>
                          <w:p w14:paraId="78076142" w14:textId="506D7AA2" w:rsidR="003731AC" w:rsidRDefault="003731AC" w:rsidP="003731AC">
                            <w:pPr>
                              <w:spacing w:line="240" w:lineRule="exact"/>
                              <w:ind w:leftChars="-29" w:left="490" w:hangingChars="311" w:hanging="560"/>
                              <w:rPr>
                                <w:rFonts w:ascii="標楷體" w:eastAsia="標楷體" w:hAnsi="標楷體"/>
                                <w:sz w:val="18"/>
                                <w:szCs w:val="16"/>
                              </w:rPr>
                            </w:pPr>
                            <w:proofErr w:type="gramStart"/>
                            <w:r>
                              <w:rPr>
                                <w:rFonts w:ascii="標楷體" w:eastAsia="標楷體" w:hAnsi="標楷體" w:hint="eastAsia"/>
                                <w:sz w:val="18"/>
                                <w:szCs w:val="16"/>
                              </w:rPr>
                              <w:t>註</w:t>
                            </w:r>
                            <w:proofErr w:type="gramEnd"/>
                            <w:r w:rsidR="003B4CBD">
                              <w:rPr>
                                <w:rFonts w:ascii="標楷體" w:eastAsia="標楷體" w:hAnsi="標楷體" w:hint="eastAsia"/>
                                <w:sz w:val="18"/>
                                <w:szCs w:val="16"/>
                              </w:rPr>
                              <w:t>：</w:t>
                            </w:r>
                            <w:r>
                              <w:rPr>
                                <w:rFonts w:ascii="標楷體" w:eastAsia="標楷體" w:hAnsi="標楷體" w:hint="eastAsia"/>
                                <w:sz w:val="18"/>
                                <w:szCs w:val="16"/>
                              </w:rPr>
                              <w:t>1.其他案件包含繳款書未送達、行政救濟、待移送執行、送達</w:t>
                            </w:r>
                            <w:proofErr w:type="gramStart"/>
                            <w:r>
                              <w:rPr>
                                <w:rFonts w:ascii="標楷體" w:eastAsia="標楷體" w:hAnsi="標楷體" w:hint="eastAsia"/>
                                <w:sz w:val="18"/>
                                <w:szCs w:val="16"/>
                              </w:rPr>
                              <w:t>未逾滯納</w:t>
                            </w:r>
                            <w:proofErr w:type="gramEnd"/>
                            <w:r>
                              <w:rPr>
                                <w:rFonts w:ascii="標楷體" w:eastAsia="標楷體" w:hAnsi="標楷體" w:hint="eastAsia"/>
                                <w:sz w:val="18"/>
                                <w:szCs w:val="16"/>
                              </w:rPr>
                              <w:t>期及特殊原因未徵案件。</w:t>
                            </w:r>
                          </w:p>
                          <w:p w14:paraId="4E2B1F15" w14:textId="77777777" w:rsidR="003731AC" w:rsidRDefault="003731AC" w:rsidP="003731AC">
                            <w:pPr>
                              <w:spacing w:line="240" w:lineRule="exact"/>
                              <w:ind w:firstLineChars="163" w:firstLine="293"/>
                            </w:pPr>
                            <w:r>
                              <w:rPr>
                                <w:rFonts w:ascii="標楷體" w:eastAsia="標楷體" w:hAnsi="標楷體" w:hint="eastAsia"/>
                                <w:sz w:val="18"/>
                                <w:szCs w:val="16"/>
                              </w:rPr>
                              <w:t>2.資料來源:整理自稅捐稽徵處提供資料。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075475" id="文字方塊 927419607" o:spid="_x0000_s1050" type="#_x0000_t202" style="position:absolute;left:0;text-align:left;margin-left:256.05pt;margin-top:347.15pt;width:239.5pt;height:45pt;z-index:-25158041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" fillcolor="white [3201]" stroked="f" strokeweight=".5pt">
                <v:textbox>
                  <w:txbxContent>
                    <w:p w14:paraId="78076142" w14:textId="506D7AA2" w:rsidR="003731AC" w:rsidRDefault="003731AC" w:rsidP="003731AC">
                      <w:pPr>
                        <w:spacing w:line="240" w:lineRule="exact"/>
                        <w:ind w:leftChars="-29" w:left="490" w:hangingChars="311" w:hanging="560"/>
                        <w:rPr>
                          <w:rFonts w:ascii="標楷體" w:eastAsia="標楷體" w:hAnsi="標楷體"/>
                          <w:sz w:val="18"/>
                          <w:szCs w:val="16"/>
                        </w:rPr>
                      </w:pPr>
                      <w:proofErr w:type="gramStart"/>
                      <w:r>
                        <w:rPr>
                          <w:rFonts w:ascii="標楷體" w:eastAsia="標楷體" w:hAnsi="標楷體" w:hint="eastAsia"/>
                          <w:sz w:val="18"/>
                          <w:szCs w:val="16"/>
                        </w:rPr>
                        <w:t>註</w:t>
                      </w:r>
                      <w:proofErr w:type="gramEnd"/>
                      <w:r w:rsidR="003B4CBD">
                        <w:rPr>
                          <w:rFonts w:ascii="標楷體" w:eastAsia="標楷體" w:hAnsi="標楷體" w:hint="eastAsia"/>
                          <w:sz w:val="18"/>
                          <w:szCs w:val="16"/>
                        </w:rPr>
                        <w:t>：</w:t>
                      </w:r>
                      <w:r>
                        <w:rPr>
                          <w:rFonts w:ascii="標楷體" w:eastAsia="標楷體" w:hAnsi="標楷體" w:hint="eastAsia"/>
                          <w:sz w:val="18"/>
                          <w:szCs w:val="16"/>
                        </w:rPr>
                        <w:t>1.其他案件包含繳款書未送達、行政救濟、待移送執行、送達</w:t>
                      </w:r>
                      <w:proofErr w:type="gramStart"/>
                      <w:r>
                        <w:rPr>
                          <w:rFonts w:ascii="標楷體" w:eastAsia="標楷體" w:hAnsi="標楷體" w:hint="eastAsia"/>
                          <w:sz w:val="18"/>
                          <w:szCs w:val="16"/>
                        </w:rPr>
                        <w:t>未逾滯納</w:t>
                      </w:r>
                      <w:proofErr w:type="gramEnd"/>
                      <w:r>
                        <w:rPr>
                          <w:rFonts w:ascii="標楷體" w:eastAsia="標楷體" w:hAnsi="標楷體" w:hint="eastAsia"/>
                          <w:sz w:val="18"/>
                          <w:szCs w:val="16"/>
                        </w:rPr>
                        <w:t>期及特殊原因未徵案件。</w:t>
                      </w:r>
                    </w:p>
                    <w:p w14:paraId="4E2B1F15" w14:textId="77777777" w:rsidR="003731AC" w:rsidRDefault="003731AC" w:rsidP="003731AC">
                      <w:pPr>
                        <w:spacing w:line="240" w:lineRule="exact"/>
                        <w:ind w:firstLineChars="163" w:firstLine="293"/>
                      </w:pPr>
                      <w:r>
                        <w:rPr>
                          <w:rFonts w:ascii="標楷體" w:eastAsia="標楷體" w:hAnsi="標楷體" w:hint="eastAsia"/>
                          <w:sz w:val="18"/>
                          <w:szCs w:val="16"/>
                        </w:rPr>
                        <w:t>2.資料來源:整理自稅捐稽徵處提供資料。</w:t>
                      </w:r>
                    </w:p>
                  </w:txbxContent>
                </v:textbox>
                <w10:wrap type="tight" anchorx="margin" anchory="page"/>
              </v:shape>
            </w:pict>
          </mc:Fallback>
        </mc:AlternateContent>
      </w:r>
      <w:r>
        <w:rPr>
          <w:rFonts w:hint="eastAsia"/>
          <w:noProof/>
        </w:rPr>
        <mc:AlternateContent>
          <mc:Choice Requires="wps">
            <w:drawing>
              <wp:anchor distT="0" distB="0" distL="114300" distR="114300" simplePos="0" relativeHeight="251735040" behindDoc="0" locked="0" layoutInCell="1" allowOverlap="1" wp14:anchorId="4A3FB27E" wp14:editId="2FDFE6D9">
                <wp:simplePos x="0" y="0"/>
                <wp:positionH relativeFrom="margin">
                  <wp:posOffset>2827655</wp:posOffset>
                </wp:positionH>
                <wp:positionV relativeFrom="paragraph">
                  <wp:posOffset>139700</wp:posOffset>
                </wp:positionV>
                <wp:extent cx="3670300" cy="2425700"/>
                <wp:effectExtent l="0" t="0" r="6350" b="0"/>
                <wp:wrapSquare wrapText="bothSides"/>
                <wp:docPr id="927419606" name="文字方塊 927419606"/>
                <wp:cNvGraphicFramePr/>
                <a:graphic xmlns:a="http://schemas.openxmlformats.org/drawingml/2006/main">
                  <a:graphicData uri="http://schemas.microsoft.com/office/word/2010/wordprocessingShape">
                    <wps:wsp>
                      <wps:cNvSpPr txBox="1"/>
                      <wps:spPr>
                        <a:xfrm>
                          <a:off x="0" y="0"/>
                          <a:ext cx="3670300" cy="2425700"/>
                        </a:xfrm>
                        <a:prstGeom prst="rect">
                          <a:avLst/>
                        </a:prstGeom>
                        <a:solidFill>
                          <a:schemeClr val="lt1"/>
                        </a:solidFill>
                        <a:ln w="6350">
                          <a:noFill/>
                        </a:ln>
                      </wps:spPr>
                      <wps:txbx>
                        <w:txbxContent>
                          <w:p w14:paraId="21C875B7" w14:textId="51970167" w:rsidR="003731AC" w:rsidRDefault="003731AC" w:rsidP="003731AC">
                            <w:pPr>
                              <w:rPr>
                                <w:rFonts w:ascii="標楷體" w:eastAsia="標楷體" w:hAnsi="標楷體"/>
                              </w:rPr>
                            </w:pPr>
                            <w:r>
                              <w:rPr>
                                <w:noProof/>
                              </w:rPr>
                              <w:drawing>
                                <wp:inline distT="0" distB="0" distL="0" distR="0" wp14:anchorId="24D1DAED" wp14:editId="78F74889">
                                  <wp:extent cx="3552825" cy="2247900"/>
                                  <wp:effectExtent l="0" t="0" r="0" b="0"/>
                                  <wp:docPr id="84" name="圖表 84">
                                    <a:extLst xmlns:a="http://schemas.openxmlformats.org/drawingml/2006/main">
                                      <a:ext uri="{FF2B5EF4-FFF2-40B4-BE49-F238E27FC236}">
                                        <a16:creationId xmlns:a16="http://schemas.microsoft.com/office/drawing/2014/main" id="{702B631E-7466-4E33-A74E-F18FC4BA7A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3FB27E" id="文字方塊 927419606" o:spid="_x0000_s1051" type="#_x0000_t202" style="position:absolute;left:0;text-align:left;margin-left:222.65pt;margin-top:11pt;width:289pt;height:191pt;z-index:251735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" fillcolor="white [3201]" stroked="f" strokeweight=".5pt">
                <v:textbox>
                  <w:txbxContent>
                    <w:p w14:paraId="21C875B7" w14:textId="51970167" w:rsidR="003731AC" w:rsidRDefault="003731AC" w:rsidP="003731AC">
                      <w:pPr>
                        <w:rPr>
                          <w:rFonts w:ascii="標楷體" w:eastAsia="標楷體" w:hAnsi="標楷體"/>
                        </w:rPr>
                      </w:pPr>
                      <w:r>
                        <w:rPr>
                          <w:noProof/>
                        </w:rPr>
                        <w:drawing>
                          <wp:inline distT="0" distB="0" distL="0" distR="0" wp14:anchorId="24D1DAED" wp14:editId="78F74889">
                            <wp:extent cx="3552825" cy="2247900"/>
                            <wp:effectExtent l="0" t="0" r="0" b="0"/>
                            <wp:docPr id="84" name="圖表 84">
                              <a:extLst xmlns:a="http://schemas.openxmlformats.org/drawingml/2006/main">
                                <a:ext uri="{FF2B5EF4-FFF2-40B4-BE49-F238E27FC236}">
                                  <a16:creationId xmlns:a16="http://schemas.microsoft.com/office/drawing/2014/main" id="{702B631E-7466-4E33-A74E-F18FC4BA7AC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xbxContent>
                </v:textbox>
                <w10:wrap type="square" anchorx="margin"/>
              </v:shape>
            </w:pict>
          </mc:Fallback>
        </mc:AlternateContent>
      </w:r>
      <w:r>
        <w:rPr>
          <w:rFonts w:ascii="標楷體" w:eastAsia="標楷體" w:hAnsi="標楷體" w:hint="eastAsia"/>
          <w:b/>
          <w:bCs/>
        </w:rPr>
        <w:t>2.欠稅清理成效仍有待提升</w:t>
      </w:r>
      <w:r>
        <w:rPr>
          <w:rFonts w:ascii="標楷體" w:eastAsia="標楷體" w:hAnsi="標楷體" w:hint="eastAsia"/>
          <w:bCs/>
          <w:color w:val="000000" w:themeColor="text1"/>
          <w:szCs w:val="24"/>
        </w:rPr>
        <w:t>：財政部111及</w:t>
      </w:r>
      <w:proofErr w:type="gramStart"/>
      <w:r>
        <w:rPr>
          <w:rFonts w:ascii="標楷體" w:eastAsia="標楷體" w:hAnsi="標楷體" w:hint="eastAsia"/>
          <w:bCs/>
          <w:color w:val="000000" w:themeColor="text1"/>
          <w:szCs w:val="24"/>
        </w:rPr>
        <w:t>112</w:t>
      </w:r>
      <w:proofErr w:type="gramEnd"/>
      <w:r>
        <w:rPr>
          <w:rFonts w:ascii="標楷體" w:eastAsia="標楷體" w:hAnsi="標楷體" w:hint="eastAsia"/>
          <w:bCs/>
          <w:color w:val="000000" w:themeColor="text1"/>
          <w:szCs w:val="24"/>
        </w:rPr>
        <w:t>年度評核各稅捐</w:t>
      </w:r>
      <w:proofErr w:type="gramStart"/>
      <w:r>
        <w:rPr>
          <w:rFonts w:ascii="標楷體" w:eastAsia="標楷體" w:hAnsi="標楷體" w:hint="eastAsia"/>
          <w:bCs/>
          <w:color w:val="000000" w:themeColor="text1"/>
          <w:szCs w:val="24"/>
        </w:rPr>
        <w:t>稽</w:t>
      </w:r>
      <w:proofErr w:type="gramEnd"/>
      <w:r>
        <w:rPr>
          <w:rFonts w:ascii="標楷體" w:eastAsia="標楷體" w:hAnsi="標楷體" w:hint="eastAsia"/>
          <w:bCs/>
          <w:color w:val="000000" w:themeColor="text1"/>
          <w:szCs w:val="24"/>
        </w:rPr>
        <w:t>徵機關</w:t>
      </w:r>
      <w:proofErr w:type="gramStart"/>
      <w:r>
        <w:rPr>
          <w:rFonts w:ascii="標楷體" w:eastAsia="標楷體" w:hAnsi="標楷體" w:hint="eastAsia"/>
          <w:bCs/>
          <w:color w:val="000000" w:themeColor="text1"/>
          <w:szCs w:val="24"/>
        </w:rPr>
        <w:t>防止新欠清理</w:t>
      </w:r>
      <w:proofErr w:type="gramEnd"/>
      <w:r>
        <w:rPr>
          <w:rFonts w:ascii="標楷體" w:eastAsia="標楷體" w:hAnsi="標楷體" w:hint="eastAsia"/>
          <w:bCs/>
          <w:color w:val="000000" w:themeColor="text1"/>
          <w:szCs w:val="24"/>
        </w:rPr>
        <w:t>舊欠競賽成績結果，稅捐稽徵處分別獲評為地方稅捐</w:t>
      </w:r>
      <w:proofErr w:type="gramStart"/>
      <w:r>
        <w:rPr>
          <w:rFonts w:ascii="標楷體" w:eastAsia="標楷體" w:hAnsi="標楷體" w:hint="eastAsia"/>
          <w:bCs/>
          <w:color w:val="000000" w:themeColor="text1"/>
          <w:szCs w:val="24"/>
        </w:rPr>
        <w:t>稽</w:t>
      </w:r>
      <w:proofErr w:type="gramEnd"/>
      <w:r>
        <w:rPr>
          <w:rFonts w:ascii="標楷體" w:eastAsia="標楷體" w:hAnsi="標楷體" w:hint="eastAsia"/>
          <w:bCs/>
          <w:color w:val="000000" w:themeColor="text1"/>
          <w:szCs w:val="24"/>
        </w:rPr>
        <w:t>徵機關甲組（6都）第2名及第1名，成效良好。截至113年8月底</w:t>
      </w:r>
      <w:proofErr w:type="gramStart"/>
      <w:r>
        <w:rPr>
          <w:rFonts w:ascii="標楷體" w:eastAsia="標楷體" w:hAnsi="標楷體" w:hint="eastAsia"/>
          <w:bCs/>
          <w:color w:val="000000" w:themeColor="text1"/>
          <w:szCs w:val="24"/>
        </w:rPr>
        <w:t>止</w:t>
      </w:r>
      <w:proofErr w:type="gramEnd"/>
      <w:r>
        <w:rPr>
          <w:rFonts w:ascii="標楷體" w:eastAsia="標楷體" w:hAnsi="標楷體" w:hint="eastAsia"/>
          <w:bCs/>
          <w:color w:val="000000" w:themeColor="text1"/>
          <w:szCs w:val="24"/>
        </w:rPr>
        <w:t>欠稅未徵數計18萬5,824件，未徵金額計28億1,212萬餘元，</w:t>
      </w:r>
      <w:r>
        <w:rPr>
          <w:rFonts w:ascii="標楷體" w:eastAsia="標楷體" w:hAnsi="標楷體" w:hint="eastAsia"/>
          <w:noProof/>
          <w:szCs w:val="24"/>
        </w:rPr>
        <w:t>經查欠稅未徵案件類型</w:t>
      </w:r>
      <w:r>
        <w:rPr>
          <w:rFonts w:ascii="標楷體" w:eastAsia="標楷體" w:hAnsi="標楷體" w:hint="eastAsia"/>
          <w:bCs/>
          <w:color w:val="000000" w:themeColor="text1"/>
          <w:szCs w:val="24"/>
        </w:rPr>
        <w:t>主要係以取得執行憑證欠稅計10萬7,238件、欠稅金額計10億6,120萬餘元（占未徵金額之37.74％）為</w:t>
      </w:r>
      <w:proofErr w:type="gramStart"/>
      <w:r>
        <w:rPr>
          <w:rFonts w:ascii="標楷體" w:eastAsia="標楷體" w:hAnsi="標楷體" w:hint="eastAsia"/>
          <w:bCs/>
          <w:color w:val="000000" w:themeColor="text1"/>
          <w:szCs w:val="24"/>
        </w:rPr>
        <w:t>大宗（</w:t>
      </w:r>
      <w:proofErr w:type="gramEnd"/>
      <w:r>
        <w:rPr>
          <w:rFonts w:ascii="標楷體" w:eastAsia="標楷體" w:hAnsi="標楷體" w:hint="eastAsia"/>
          <w:bCs/>
          <w:color w:val="000000" w:themeColor="text1"/>
          <w:szCs w:val="24"/>
        </w:rPr>
        <w:t>圖2），其次為移送執行未</w:t>
      </w:r>
      <w:proofErr w:type="gramStart"/>
      <w:r>
        <w:rPr>
          <w:rFonts w:ascii="標楷體" w:eastAsia="標楷體" w:hAnsi="標楷體" w:hint="eastAsia"/>
          <w:bCs/>
          <w:color w:val="000000" w:themeColor="text1"/>
          <w:szCs w:val="24"/>
        </w:rPr>
        <w:t>結欠稅計1萬</w:t>
      </w:r>
      <w:proofErr w:type="gramEnd"/>
      <w:r>
        <w:rPr>
          <w:rFonts w:ascii="標楷體" w:eastAsia="標楷體" w:hAnsi="標楷體" w:hint="eastAsia"/>
          <w:bCs/>
          <w:color w:val="000000" w:themeColor="text1"/>
          <w:szCs w:val="24"/>
        </w:rPr>
        <w:t>9,479件、欠稅金額計5億8,978萬餘元（占未徵金額之20.97％），另113年1至8月舊欠清理比率為86.84％，較</w:t>
      </w:r>
      <w:proofErr w:type="gramStart"/>
      <w:r>
        <w:rPr>
          <w:rFonts w:ascii="標楷體" w:eastAsia="標楷體" w:hAnsi="標楷體" w:hint="eastAsia"/>
          <w:bCs/>
          <w:color w:val="000000" w:themeColor="text1"/>
          <w:szCs w:val="24"/>
        </w:rPr>
        <w:t>112</w:t>
      </w:r>
      <w:proofErr w:type="gramEnd"/>
      <w:r>
        <w:rPr>
          <w:rFonts w:ascii="標楷體" w:eastAsia="標楷體" w:hAnsi="標楷體" w:hint="eastAsia"/>
          <w:bCs/>
          <w:color w:val="000000" w:themeColor="text1"/>
          <w:szCs w:val="24"/>
        </w:rPr>
        <w:t>年度同期87.05％，下降0.21個百</w:t>
      </w:r>
      <w:bookmarkStart w:id="28" w:name="_Hlk199148826"/>
      <w:bookmarkStart w:id="29" w:name="_Hlk199148815"/>
      <w:bookmarkStart w:id="30" w:name="_Hlk199162148"/>
      <w:bookmarkEnd w:id="28"/>
      <w:bookmarkEnd w:id="29"/>
      <w:bookmarkEnd w:id="30"/>
      <w:r>
        <w:rPr>
          <w:rFonts w:ascii="標楷體" w:eastAsia="標楷體" w:hAnsi="標楷體" w:hint="eastAsia"/>
          <w:bCs/>
          <w:color w:val="000000" w:themeColor="text1"/>
          <w:szCs w:val="24"/>
        </w:rPr>
        <w:t>分點</w:t>
      </w:r>
      <w:r>
        <w:rPr>
          <w:rFonts w:ascii="標楷體" w:eastAsia="標楷體" w:hAnsi="標楷體" w:hint="eastAsia"/>
          <w:noProof/>
          <w:szCs w:val="24"/>
        </w:rPr>
        <w:t>，欠稅清理成效仍待提升</w:t>
      </w:r>
      <w:r>
        <w:rPr>
          <w:rFonts w:ascii="標楷體" w:eastAsia="標楷體" w:hAnsi="標楷體" w:hint="eastAsia"/>
          <w:noProof/>
          <w:spacing w:val="-2"/>
          <w:szCs w:val="24"/>
        </w:rPr>
        <w:t>，</w:t>
      </w:r>
      <w:r>
        <w:rPr>
          <w:rFonts w:ascii="標楷體" w:eastAsia="標楷體" w:hAnsi="標楷體" w:hint="eastAsia"/>
          <w:noProof/>
          <w:spacing w:val="-4"/>
          <w:szCs w:val="24"/>
        </w:rPr>
        <w:t>經函請檢討改善</w:t>
      </w:r>
      <w:r>
        <w:rPr>
          <w:rFonts w:ascii="標楷體" w:eastAsia="標楷體" w:hAnsi="標楷體" w:hint="eastAsia"/>
          <w:bCs/>
          <w:color w:val="000000" w:themeColor="text1"/>
          <w:spacing w:val="-4"/>
          <w:szCs w:val="24"/>
        </w:rPr>
        <w:t>。據復：</w:t>
      </w:r>
      <w:r>
        <w:rPr>
          <w:rFonts w:ascii="標楷體" w:eastAsia="標楷體" w:hAnsi="標楷體" w:hint="eastAsia"/>
          <w:spacing w:val="-4"/>
          <w:szCs w:val="24"/>
        </w:rPr>
        <w:t>將持續積極掌握欠稅人之財產、所得及投保等資料，加強執行憑證之清理。</w:t>
      </w:r>
    </w:p>
    <w:p w14:paraId="7844163E" w14:textId="62D5CE57" w:rsidR="003731AC" w:rsidRDefault="003731AC" w:rsidP="00EE1535">
      <w:pPr>
        <w:suppressAutoHyphens/>
        <w:overflowPunct w:val="0"/>
        <w:spacing w:beforeLines="50" w:before="180" w:line="48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（四）持續規劃辦理印花稅之檢查</w:t>
      </w:r>
      <w:r>
        <w:rPr>
          <w:rFonts w:ascii="標楷體" w:eastAsia="標楷體" w:hAnsi="標楷體" w:hint="eastAsia"/>
          <w:b/>
          <w:bCs/>
          <w:sz w:val="28"/>
          <w:szCs w:val="24"/>
        </w:rPr>
        <w:t>及輔導申請彙總繳納等作業，惟</w:t>
      </w:r>
      <w:r>
        <w:rPr>
          <w:rFonts w:ascii="標楷體" w:eastAsia="標楷體" w:hAnsi="標楷體" w:hint="eastAsia"/>
          <w:b/>
          <w:bCs/>
          <w:sz w:val="28"/>
          <w:szCs w:val="28"/>
        </w:rPr>
        <w:t>部分業者仍有短報繳或未申報繳納印花稅情事，且近</w:t>
      </w:r>
      <w:proofErr w:type="gramStart"/>
      <w:r>
        <w:rPr>
          <w:rFonts w:ascii="標楷體" w:eastAsia="標楷體" w:hAnsi="標楷體" w:hint="eastAsia"/>
          <w:b/>
          <w:bCs/>
          <w:sz w:val="28"/>
          <w:szCs w:val="28"/>
        </w:rPr>
        <w:t>5</w:t>
      </w:r>
      <w:proofErr w:type="gramEnd"/>
      <w:r>
        <w:rPr>
          <w:rFonts w:ascii="標楷體" w:eastAsia="標楷體" w:hAnsi="標楷體" w:hint="eastAsia"/>
          <w:b/>
          <w:bCs/>
          <w:sz w:val="28"/>
          <w:szCs w:val="28"/>
        </w:rPr>
        <w:t>年度</w:t>
      </w:r>
      <w:r>
        <w:rPr>
          <w:rFonts w:ascii="標楷體" w:eastAsia="標楷體" w:hAnsi="標楷體" w:hint="eastAsia"/>
          <w:b/>
          <w:color w:val="000000"/>
          <w:sz w:val="28"/>
          <w:szCs w:val="20"/>
        </w:rPr>
        <w:t>經輔導後補報</w:t>
      </w:r>
      <w:proofErr w:type="gramStart"/>
      <w:r>
        <w:rPr>
          <w:rFonts w:ascii="標楷體" w:eastAsia="標楷體" w:hAnsi="標楷體" w:hint="eastAsia"/>
          <w:b/>
          <w:color w:val="000000"/>
          <w:sz w:val="28"/>
          <w:szCs w:val="20"/>
        </w:rPr>
        <w:t>繳</w:t>
      </w:r>
      <w:proofErr w:type="gramEnd"/>
      <w:r>
        <w:rPr>
          <w:rFonts w:ascii="標楷體" w:eastAsia="標楷體" w:hAnsi="標楷體" w:hint="eastAsia"/>
          <w:b/>
          <w:color w:val="000000"/>
          <w:sz w:val="28"/>
          <w:szCs w:val="20"/>
        </w:rPr>
        <w:t>印花稅之業者逾</w:t>
      </w:r>
      <w:proofErr w:type="gramStart"/>
      <w:r>
        <w:rPr>
          <w:rFonts w:ascii="標楷體" w:eastAsia="標楷體" w:hAnsi="標楷體" w:hint="eastAsia"/>
          <w:b/>
          <w:color w:val="000000"/>
          <w:sz w:val="28"/>
          <w:szCs w:val="20"/>
        </w:rPr>
        <w:t>5成</w:t>
      </w:r>
      <w:proofErr w:type="gramEnd"/>
      <w:r>
        <w:rPr>
          <w:rFonts w:ascii="標楷體" w:eastAsia="標楷體" w:hAnsi="標楷體" w:hint="eastAsia"/>
          <w:b/>
          <w:color w:val="000000"/>
          <w:sz w:val="28"/>
          <w:szCs w:val="20"/>
        </w:rPr>
        <w:t>，及</w:t>
      </w:r>
      <w:proofErr w:type="gramStart"/>
      <w:r>
        <w:rPr>
          <w:rFonts w:ascii="標楷體" w:eastAsia="標楷體" w:hAnsi="標楷體" w:hint="eastAsia"/>
          <w:b/>
          <w:bCs/>
          <w:sz w:val="28"/>
          <w:szCs w:val="28"/>
        </w:rPr>
        <w:t>採</w:t>
      </w:r>
      <w:proofErr w:type="gramEnd"/>
      <w:r>
        <w:rPr>
          <w:rFonts w:ascii="標楷體" w:eastAsia="標楷體" w:hAnsi="標楷體" w:hint="eastAsia"/>
          <w:b/>
          <w:bCs/>
          <w:sz w:val="28"/>
          <w:szCs w:val="28"/>
        </w:rPr>
        <w:t>彙總繳納方式之比率仍低等情事，亟待檢討改善，以有效掌握稅源，提升</w:t>
      </w:r>
      <w:proofErr w:type="gramStart"/>
      <w:r>
        <w:rPr>
          <w:rFonts w:ascii="標楷體" w:eastAsia="標楷體" w:hAnsi="標楷體" w:hint="eastAsia"/>
          <w:b/>
          <w:bCs/>
          <w:sz w:val="28"/>
          <w:szCs w:val="28"/>
        </w:rPr>
        <w:t>稽</w:t>
      </w:r>
      <w:proofErr w:type="gramEnd"/>
      <w:r>
        <w:rPr>
          <w:rFonts w:ascii="標楷體" w:eastAsia="標楷體" w:hAnsi="標楷體" w:hint="eastAsia"/>
          <w:b/>
          <w:bCs/>
          <w:sz w:val="28"/>
          <w:szCs w:val="28"/>
        </w:rPr>
        <w:t>徵成效。</w:t>
      </w:r>
    </w:p>
    <w:p w14:paraId="67164880" w14:textId="77777777" w:rsidR="003731AC" w:rsidRDefault="003731AC" w:rsidP="00EE1535">
      <w:pPr>
        <w:spacing w:line="460" w:lineRule="exact"/>
        <w:ind w:firstLineChars="200" w:firstLine="480"/>
        <w:jc w:val="both"/>
        <w:rPr>
          <w:rFonts w:ascii="標楷體" w:eastAsia="標楷體" w:hAnsi="標楷體"/>
          <w:szCs w:val="24"/>
        </w:rPr>
      </w:pPr>
      <w:r>
        <w:rPr>
          <w:rFonts w:ascii="標楷體" w:eastAsia="標楷體" w:hAnsi="標楷體" w:hint="eastAsia"/>
          <w:color w:val="000000"/>
          <w:szCs w:val="18"/>
        </w:rPr>
        <w:t>依財政部訂頒印花稅檢查規則第3條第1項規定，</w:t>
      </w:r>
      <w:proofErr w:type="gramStart"/>
      <w:r>
        <w:rPr>
          <w:rFonts w:ascii="標楷體" w:eastAsia="標楷體" w:hAnsi="標楷體" w:hint="eastAsia"/>
          <w:color w:val="000000"/>
          <w:szCs w:val="18"/>
        </w:rPr>
        <w:t>稽</w:t>
      </w:r>
      <w:proofErr w:type="gramEnd"/>
      <w:r>
        <w:rPr>
          <w:rFonts w:ascii="標楷體" w:eastAsia="標楷體" w:hAnsi="標楷體" w:hint="eastAsia"/>
          <w:color w:val="000000"/>
          <w:szCs w:val="18"/>
        </w:rPr>
        <w:t>徵機關對印花稅之檢查，除應隨時注意辦理外，每年應舉行重點檢查1次或2次。</w:t>
      </w:r>
      <w:r>
        <w:rPr>
          <w:rFonts w:eastAsia="標楷體" w:hint="eastAsia"/>
          <w:szCs w:val="24"/>
        </w:rPr>
        <w:t>稅捐稽徵處為輔導納稅義務人依法繳納印花稅，遏止租稅逃漏，維護租稅公平，</w:t>
      </w:r>
      <w:r>
        <w:rPr>
          <w:rFonts w:ascii="標楷體" w:eastAsia="標楷體" w:hAnsi="標楷體" w:hint="eastAsia"/>
          <w:szCs w:val="24"/>
        </w:rPr>
        <w:t>訂定</w:t>
      </w:r>
      <w:r w:rsidRPr="003731AC">
        <w:rPr>
          <w:rFonts w:ascii="標楷體" w:eastAsia="標楷體" w:hAnsi="標楷體" w:hint="eastAsia"/>
          <w:color w:val="000000"/>
          <w:szCs w:val="18"/>
        </w:rPr>
        <w:t>印花稅</w:t>
      </w:r>
      <w:r>
        <w:rPr>
          <w:rFonts w:ascii="標楷體" w:eastAsia="標楷體" w:hAnsi="標楷體" w:hint="eastAsia"/>
          <w:color w:val="000000"/>
          <w:szCs w:val="18"/>
        </w:rPr>
        <w:t>應稅憑證檢查作業計畫</w:t>
      </w:r>
      <w:r>
        <w:rPr>
          <w:rFonts w:ascii="標楷體" w:eastAsia="標楷體" w:hAnsi="標楷體" w:hint="eastAsia"/>
          <w:szCs w:val="24"/>
        </w:rPr>
        <w:t>，並輔導受檢業者完成申請彙總繳納，以遏止逃漏情事。經查印花稅</w:t>
      </w:r>
      <w:proofErr w:type="gramStart"/>
      <w:r>
        <w:rPr>
          <w:rFonts w:ascii="標楷體" w:eastAsia="標楷體" w:hAnsi="標楷體" w:hint="eastAsia"/>
          <w:szCs w:val="24"/>
        </w:rPr>
        <w:t>稽</w:t>
      </w:r>
      <w:proofErr w:type="gramEnd"/>
      <w:r>
        <w:rPr>
          <w:rFonts w:ascii="標楷體" w:eastAsia="標楷體" w:hAnsi="標楷體" w:hint="eastAsia"/>
          <w:szCs w:val="24"/>
        </w:rPr>
        <w:t>徵作業執行情形，核有下列事項：</w:t>
      </w:r>
    </w:p>
    <w:p w14:paraId="01036530" w14:textId="77777777" w:rsidR="00EE1535" w:rsidRDefault="003731AC" w:rsidP="00EE1535">
      <w:pPr>
        <w:spacing w:beforeLines="20" w:before="72" w:line="440" w:lineRule="exact"/>
        <w:ind w:firstLineChars="200" w:firstLine="480"/>
        <w:jc w:val="both"/>
        <w:rPr>
          <w:rFonts w:ascii="標楷體" w:eastAsia="標楷體" w:hAnsi="標楷體"/>
          <w:szCs w:val="24"/>
        </w:rPr>
      </w:pPr>
      <w:r>
        <w:rPr>
          <w:rFonts w:ascii="標楷體" w:eastAsia="標楷體" w:hAnsi="標楷體" w:hint="eastAsia"/>
          <w:b/>
          <w:bCs/>
          <w:szCs w:val="24"/>
        </w:rPr>
        <w:t>1.部分業者仍有短報繳或未申報繳納印花稅：</w:t>
      </w:r>
      <w:r>
        <w:rPr>
          <w:rFonts w:ascii="標楷體" w:eastAsia="標楷體" w:hAnsi="標楷體" w:hint="eastAsia"/>
          <w:szCs w:val="24"/>
        </w:rPr>
        <w:t>（1）轄內</w:t>
      </w:r>
      <w:r>
        <w:rPr>
          <w:rFonts w:ascii="標楷體" w:eastAsia="標楷體" w:hAnsi="標楷體" w:hint="eastAsia"/>
          <w:color w:val="000000"/>
          <w:szCs w:val="18"/>
        </w:rPr>
        <w:t>部分執行業務及承攬業者</w:t>
      </w:r>
      <w:r>
        <w:rPr>
          <w:rFonts w:ascii="標楷體" w:eastAsia="標楷體" w:hAnsi="標楷體" w:hint="eastAsia"/>
          <w:szCs w:val="24"/>
        </w:rPr>
        <w:t>有短報繳或未申報繳納印花稅；（2）部分臺北市</w:t>
      </w:r>
      <w:r>
        <w:rPr>
          <w:rFonts w:ascii="標楷體" w:eastAsia="標楷體" w:hAnsi="標楷體" w:hint="eastAsia"/>
          <w:color w:val="000000"/>
          <w:szCs w:val="18"/>
        </w:rPr>
        <w:t>政府採購案件</w:t>
      </w:r>
      <w:r>
        <w:rPr>
          <w:rFonts w:ascii="標楷體" w:eastAsia="標楷體" w:hAnsi="標楷體" w:hint="eastAsia"/>
          <w:szCs w:val="24"/>
        </w:rPr>
        <w:t>得標廠商於決標日期後無任何印花稅繳納紀錄；（3）轄內部分空氣污染防制費申報案件之業主或承包商於空氣污染防制費申報年度無相</w:t>
      </w:r>
      <w:r w:rsidRPr="0018438C">
        <w:rPr>
          <w:rFonts w:ascii="標楷體" w:eastAsia="標楷體" w:hAnsi="標楷體" w:hint="eastAsia"/>
          <w:spacing w:val="2"/>
          <w:szCs w:val="24"/>
        </w:rPr>
        <w:t>關印花稅繳納紀錄等情事，</w:t>
      </w:r>
      <w:r w:rsidRPr="0018438C">
        <w:rPr>
          <w:rFonts w:ascii="標楷體" w:eastAsia="標楷體" w:hAnsi="標楷體" w:hint="eastAsia"/>
          <w:color w:val="000000"/>
          <w:spacing w:val="2"/>
          <w:szCs w:val="18"/>
        </w:rPr>
        <w:t>經函請</w:t>
      </w:r>
      <w:proofErr w:type="gramStart"/>
      <w:r w:rsidRPr="0018438C">
        <w:rPr>
          <w:rFonts w:ascii="標楷體" w:eastAsia="標楷體" w:hAnsi="標楷體" w:hint="eastAsia"/>
          <w:color w:val="000000"/>
          <w:spacing w:val="2"/>
          <w:szCs w:val="18"/>
        </w:rPr>
        <w:t>檢討妥處</w:t>
      </w:r>
      <w:proofErr w:type="gramEnd"/>
      <w:r w:rsidRPr="0018438C">
        <w:rPr>
          <w:rFonts w:ascii="標楷體" w:eastAsia="標楷體" w:hAnsi="標楷體" w:hint="eastAsia"/>
          <w:color w:val="000000"/>
          <w:spacing w:val="2"/>
          <w:szCs w:val="18"/>
        </w:rPr>
        <w:t>。據復：</w:t>
      </w:r>
      <w:r w:rsidRPr="0018438C">
        <w:rPr>
          <w:rFonts w:ascii="標楷體" w:eastAsia="標楷體" w:hAnsi="標楷體" w:hint="eastAsia"/>
          <w:spacing w:val="2"/>
          <w:szCs w:val="24"/>
        </w:rPr>
        <w:t>截至114年5月底，已清查完竣並補徵印</w:t>
      </w:r>
    </w:p>
    <w:p w14:paraId="5CE839A1" w14:textId="49B006D8" w:rsidR="003731AC" w:rsidRDefault="003731AC" w:rsidP="00EE1535">
      <w:pPr>
        <w:spacing w:beforeLines="20" w:before="72" w:line="440" w:lineRule="exact"/>
        <w:jc w:val="both"/>
        <w:rPr>
          <w:rFonts w:ascii="標楷體" w:eastAsia="標楷體" w:hAnsi="標楷體"/>
          <w:szCs w:val="24"/>
        </w:rPr>
      </w:pPr>
      <w:proofErr w:type="gramStart"/>
      <w:r>
        <w:rPr>
          <w:rFonts w:ascii="標楷體" w:eastAsia="標楷體" w:hAnsi="標楷體" w:hint="eastAsia"/>
          <w:szCs w:val="24"/>
        </w:rPr>
        <w:lastRenderedPageBreak/>
        <w:t>花稅計</w:t>
      </w:r>
      <w:proofErr w:type="gramEnd"/>
      <w:r>
        <w:rPr>
          <w:rFonts w:ascii="標楷體" w:eastAsia="標楷體" w:hAnsi="標楷體" w:hint="eastAsia"/>
          <w:szCs w:val="24"/>
        </w:rPr>
        <w:t>133筆，金額2,787萬餘元，另</w:t>
      </w:r>
      <w:proofErr w:type="gramStart"/>
      <w:r>
        <w:rPr>
          <w:rFonts w:ascii="標楷體" w:eastAsia="標楷體" w:hAnsi="標楷體" w:hint="eastAsia"/>
          <w:szCs w:val="24"/>
        </w:rPr>
        <w:t>賡</w:t>
      </w:r>
      <w:proofErr w:type="gramEnd"/>
      <w:r>
        <w:rPr>
          <w:rFonts w:ascii="標楷體" w:eastAsia="標楷體" w:hAnsi="標楷體" w:hint="eastAsia"/>
          <w:szCs w:val="24"/>
        </w:rPr>
        <w:t>續於印花稅應稅憑證檢查前辦理講習，加強輔導依規定繳納印花稅，並利用地方稅務座談會等相關場合積極宣導印花稅之申報作業。</w:t>
      </w:r>
    </w:p>
    <w:p w14:paraId="53F7BB3D" w14:textId="570AF953" w:rsidR="003731AC" w:rsidRDefault="003731AC" w:rsidP="00EE1535">
      <w:pPr>
        <w:suppressAutoHyphens/>
        <w:overflowPunct w:val="0"/>
        <w:spacing w:line="440" w:lineRule="exact"/>
        <w:ind w:firstLineChars="200" w:firstLine="480"/>
        <w:jc w:val="both"/>
        <w:rPr>
          <w:rFonts w:ascii="標楷體" w:eastAsia="標楷體" w:hAnsi="Times New Roman" w:cs="Times New Roman"/>
          <w:color w:val="000000"/>
          <w:szCs w:val="24"/>
        </w:rPr>
      </w:pPr>
      <w:r>
        <w:rPr>
          <w:rFonts w:hint="eastAsia"/>
          <w:noProof/>
        </w:rPr>
        <mc:AlternateContent>
          <mc:Choice Requires="wps">
            <w:drawing>
              <wp:anchor distT="45720" distB="45720" distL="114300" distR="114300" simplePos="0" relativeHeight="251737088" behindDoc="1" locked="0" layoutInCell="1" allowOverlap="1" wp14:anchorId="08AF6923" wp14:editId="63159B0D">
                <wp:simplePos x="0" y="0"/>
                <wp:positionH relativeFrom="margin">
                  <wp:posOffset>1217930</wp:posOffset>
                </wp:positionH>
                <wp:positionV relativeFrom="page">
                  <wp:posOffset>3857625</wp:posOffset>
                </wp:positionV>
                <wp:extent cx="5164455" cy="2262505"/>
                <wp:effectExtent l="0" t="0" r="0" b="4445"/>
                <wp:wrapTight wrapText="bothSides">
                  <wp:wrapPolygon edited="0">
                    <wp:start x="0" y="0"/>
                    <wp:lineTo x="0" y="21461"/>
                    <wp:lineTo x="21512" y="21461"/>
                    <wp:lineTo x="21512" y="0"/>
                    <wp:lineTo x="0" y="0"/>
                  </wp:wrapPolygon>
                </wp:wrapTight>
                <wp:docPr id="927419604" name="文字方塊 927419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4455" cy="2262505"/>
                        </a:xfrm>
                        <a:prstGeom prst="rect">
                          <a:avLst/>
                        </a:prstGeom>
                        <a:solidFill>
                          <a:srgbClr val="FFFFFF"/>
                        </a:solidFill>
                        <a:ln w="9525">
                          <a:noFill/>
                          <a:miter lim="800000"/>
                          <a:headEnd/>
                          <a:tailEnd/>
                        </a:ln>
                      </wps:spPr>
                      <wps:txbx>
                        <w:txbxContent>
                          <w:tbl>
                            <w:tblPr>
                              <w:tblW w:w="7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75"/>
                              <w:gridCol w:w="1167"/>
                              <w:gridCol w:w="1022"/>
                              <w:gridCol w:w="1167"/>
                              <w:gridCol w:w="1020"/>
                              <w:gridCol w:w="1270"/>
                              <w:gridCol w:w="1274"/>
                              <w:gridCol w:w="6"/>
                            </w:tblGrid>
                            <w:tr w:rsidR="00DB24CB" w14:paraId="370DFCF0" w14:textId="77777777" w:rsidTr="00DB24CB">
                              <w:trPr>
                                <w:gridAfter w:val="1"/>
                                <w:wAfter w:w="6" w:type="dxa"/>
                                <w:trHeight w:val="680"/>
                              </w:trPr>
                              <w:tc>
                                <w:tcPr>
                                  <w:tcW w:w="7795" w:type="dxa"/>
                                  <w:gridSpan w:val="7"/>
                                  <w:tcBorders>
                                    <w:top w:val="nil"/>
                                    <w:left w:val="nil"/>
                                    <w:bottom w:val="nil"/>
                                    <w:right w:val="nil"/>
                                  </w:tcBorders>
                                  <w:vAlign w:val="center"/>
                                </w:tcPr>
                                <w:p w14:paraId="1005E453" w14:textId="77777777" w:rsidR="00DB24CB" w:rsidRDefault="00DB24CB" w:rsidP="00DB24C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b/>
                                      <w:bCs/>
                                      <w:color w:val="000000"/>
                                      <w:kern w:val="0"/>
                                      <w:szCs w:val="28"/>
                                    </w:rPr>
                                    <w:t>表2  印花稅應稅憑證檢查及輔導作業執行成果</w:t>
                                  </w:r>
                                </w:p>
                                <w:p w14:paraId="4D14EE7D" w14:textId="2BEDD171" w:rsidR="00DB24CB" w:rsidRDefault="00DB24CB" w:rsidP="00DB24CB">
                                  <w:pPr>
                                    <w:widowControl/>
                                    <w:spacing w:line="300" w:lineRule="exact"/>
                                    <w:ind w:leftChars="418" w:left="4471" w:hangingChars="1734" w:hanging="3468"/>
                                    <w:jc w:val="right"/>
                                    <w:rPr>
                                      <w:rFonts w:ascii="標楷體" w:eastAsia="標楷體" w:hAnsi="標楷體" w:cs="新細明體"/>
                                      <w:b/>
                                      <w:bCs/>
                                      <w:color w:val="000000"/>
                                      <w:kern w:val="0"/>
                                      <w:sz w:val="28"/>
                                      <w:szCs w:val="28"/>
                                    </w:rPr>
                                  </w:pPr>
                                  <w:r>
                                    <w:rPr>
                                      <w:rFonts w:ascii="標楷體" w:eastAsia="標楷體" w:hAnsi="標楷體" w:cs="新細明體" w:hint="eastAsia"/>
                                      <w:color w:val="000000"/>
                                      <w:kern w:val="0"/>
                                      <w:sz w:val="20"/>
                                      <w:szCs w:val="20"/>
                                    </w:rPr>
                                    <w:t>單位：新臺幣千元、家數、％</w:t>
                                  </w:r>
                                </w:p>
                              </w:tc>
                            </w:tr>
                            <w:tr w:rsidR="003731AC" w14:paraId="630AA9CD" w14:textId="77777777" w:rsidTr="00DB24CB">
                              <w:trPr>
                                <w:trHeight w:val="642"/>
                              </w:trPr>
                              <w:tc>
                                <w:tcPr>
                                  <w:tcW w:w="875" w:type="dxa"/>
                                  <w:vMerge w:val="restart"/>
                                  <w:vAlign w:val="center"/>
                                  <w:hideMark/>
                                </w:tcPr>
                                <w:p w14:paraId="2EAD60A0"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1167" w:type="dxa"/>
                                  <w:vMerge w:val="restart"/>
                                  <w:vAlign w:val="center"/>
                                  <w:hideMark/>
                                </w:tcPr>
                                <w:p w14:paraId="4C60A102"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檢查家數(A)</w:t>
                                  </w:r>
                                </w:p>
                              </w:tc>
                              <w:tc>
                                <w:tcPr>
                                  <w:tcW w:w="2189" w:type="dxa"/>
                                  <w:gridSpan w:val="2"/>
                                  <w:vAlign w:val="center"/>
                                  <w:hideMark/>
                                </w:tcPr>
                                <w:p w14:paraId="320D9D1F"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輔導自動補報補繳</w:t>
                                  </w:r>
                                </w:p>
                              </w:tc>
                              <w:tc>
                                <w:tcPr>
                                  <w:tcW w:w="1020" w:type="dxa"/>
                                  <w:vMerge w:val="restart"/>
                                  <w:vAlign w:val="center"/>
                                  <w:hideMark/>
                                </w:tcPr>
                                <w:p w14:paraId="4F518E78"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輔導受檢業者彙總繳納家數(C)</w:t>
                                  </w:r>
                                </w:p>
                              </w:tc>
                              <w:tc>
                                <w:tcPr>
                                  <w:tcW w:w="1270" w:type="dxa"/>
                                  <w:vMerge w:val="restart"/>
                                  <w:vAlign w:val="center"/>
                                </w:tcPr>
                                <w:p w14:paraId="06D37421" w14:textId="5BB32500" w:rsidR="003731AC" w:rsidRDefault="003731AC">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補繳家數</w:t>
                                  </w:r>
                                  <w:proofErr w:type="gramEnd"/>
                                </w:p>
                                <w:p w14:paraId="791AC3FE" w14:textId="029F563B" w:rsidR="003731AC" w:rsidRDefault="000A3F4E">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比率</w:t>
                                  </w:r>
                                </w:p>
                                <w:p w14:paraId="12DDD559" w14:textId="463FA8B6"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(B/A×100</w:t>
                                  </w:r>
                                  <w:r w:rsidR="00D54B42">
                                    <w:rPr>
                                      <w:rFonts w:ascii="標楷體" w:eastAsia="標楷體" w:hAnsi="標楷體" w:cs="新細明體" w:hint="eastAsia"/>
                                      <w:color w:val="000000"/>
                                      <w:kern w:val="0"/>
                                      <w:sz w:val="20"/>
                                      <w:szCs w:val="20"/>
                                    </w:rPr>
                                    <w:t>)</w:t>
                                  </w:r>
                                </w:p>
                              </w:tc>
                              <w:tc>
                                <w:tcPr>
                                  <w:tcW w:w="1280" w:type="dxa"/>
                                  <w:gridSpan w:val="2"/>
                                  <w:vMerge w:val="restart"/>
                                  <w:vAlign w:val="center"/>
                                  <w:hideMark/>
                                </w:tcPr>
                                <w:p w14:paraId="634E645D"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輔導彙總繳納比率</w:t>
                                  </w:r>
                                </w:p>
                                <w:p w14:paraId="516D23FE" w14:textId="0FF22479"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(C/B×100</w:t>
                                  </w:r>
                                  <w:r w:rsidR="00D54B42">
                                    <w:rPr>
                                      <w:rFonts w:ascii="標楷體" w:eastAsia="標楷體" w:hAnsi="標楷體" w:cs="新細明體" w:hint="eastAsia"/>
                                      <w:color w:val="000000"/>
                                      <w:kern w:val="0"/>
                                      <w:sz w:val="20"/>
                                      <w:szCs w:val="20"/>
                                    </w:rPr>
                                    <w:t>)</w:t>
                                  </w:r>
                                </w:p>
                              </w:tc>
                            </w:tr>
                            <w:tr w:rsidR="003731AC" w14:paraId="3FD7B036" w14:textId="77777777" w:rsidTr="00DB24CB">
                              <w:trPr>
                                <w:trHeight w:val="158"/>
                              </w:trPr>
                              <w:tc>
                                <w:tcPr>
                                  <w:tcW w:w="875" w:type="dxa"/>
                                  <w:vMerge/>
                                  <w:vAlign w:val="center"/>
                                  <w:hideMark/>
                                </w:tcPr>
                                <w:p w14:paraId="2B211835" w14:textId="77777777" w:rsidR="003731AC" w:rsidRDefault="003731AC">
                                  <w:pPr>
                                    <w:widowControl/>
                                    <w:rPr>
                                      <w:rFonts w:ascii="標楷體" w:eastAsia="標楷體" w:hAnsi="標楷體" w:cs="新細明體"/>
                                      <w:color w:val="000000"/>
                                      <w:kern w:val="0"/>
                                      <w:sz w:val="20"/>
                                      <w:szCs w:val="20"/>
                                    </w:rPr>
                                  </w:pPr>
                                </w:p>
                              </w:tc>
                              <w:tc>
                                <w:tcPr>
                                  <w:tcW w:w="1167" w:type="dxa"/>
                                  <w:vMerge/>
                                  <w:vAlign w:val="center"/>
                                  <w:hideMark/>
                                </w:tcPr>
                                <w:p w14:paraId="2FAA70F6" w14:textId="77777777" w:rsidR="003731AC" w:rsidRDefault="003731AC">
                                  <w:pPr>
                                    <w:widowControl/>
                                    <w:rPr>
                                      <w:rFonts w:ascii="標楷體" w:eastAsia="標楷體" w:hAnsi="標楷體" w:cs="新細明體"/>
                                      <w:color w:val="000000"/>
                                      <w:kern w:val="0"/>
                                      <w:sz w:val="20"/>
                                      <w:szCs w:val="20"/>
                                    </w:rPr>
                                  </w:pPr>
                                </w:p>
                              </w:tc>
                              <w:tc>
                                <w:tcPr>
                                  <w:tcW w:w="1022" w:type="dxa"/>
                                  <w:vAlign w:val="center"/>
                                  <w:hideMark/>
                                </w:tcPr>
                                <w:p w14:paraId="38BC60B0"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家數(B)</w:t>
                                  </w:r>
                                </w:p>
                              </w:tc>
                              <w:tc>
                                <w:tcPr>
                                  <w:tcW w:w="1167" w:type="dxa"/>
                                  <w:vAlign w:val="center"/>
                                  <w:hideMark/>
                                </w:tcPr>
                                <w:p w14:paraId="2DD6192E"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1020" w:type="dxa"/>
                                  <w:vMerge/>
                                  <w:vAlign w:val="center"/>
                                  <w:hideMark/>
                                </w:tcPr>
                                <w:p w14:paraId="0990BA01" w14:textId="77777777" w:rsidR="003731AC" w:rsidRDefault="003731AC">
                                  <w:pPr>
                                    <w:widowControl/>
                                    <w:rPr>
                                      <w:rFonts w:ascii="標楷體" w:eastAsia="標楷體" w:hAnsi="標楷體" w:cs="新細明體"/>
                                      <w:color w:val="000000"/>
                                      <w:kern w:val="0"/>
                                      <w:sz w:val="20"/>
                                      <w:szCs w:val="20"/>
                                    </w:rPr>
                                  </w:pPr>
                                </w:p>
                              </w:tc>
                              <w:tc>
                                <w:tcPr>
                                  <w:tcW w:w="1270" w:type="dxa"/>
                                  <w:vMerge/>
                                  <w:vAlign w:val="center"/>
                                  <w:hideMark/>
                                </w:tcPr>
                                <w:p w14:paraId="103C65FF" w14:textId="77777777" w:rsidR="003731AC" w:rsidRDefault="003731AC">
                                  <w:pPr>
                                    <w:widowControl/>
                                    <w:rPr>
                                      <w:rFonts w:ascii="標楷體" w:eastAsia="標楷體" w:hAnsi="標楷體" w:cs="新細明體"/>
                                      <w:color w:val="000000"/>
                                      <w:kern w:val="0"/>
                                      <w:sz w:val="20"/>
                                      <w:szCs w:val="20"/>
                                    </w:rPr>
                                  </w:pPr>
                                </w:p>
                              </w:tc>
                              <w:tc>
                                <w:tcPr>
                                  <w:tcW w:w="1280" w:type="dxa"/>
                                  <w:gridSpan w:val="2"/>
                                  <w:vMerge/>
                                  <w:vAlign w:val="center"/>
                                  <w:hideMark/>
                                </w:tcPr>
                                <w:p w14:paraId="7821B2DD" w14:textId="77777777" w:rsidR="003731AC" w:rsidRDefault="003731AC">
                                  <w:pPr>
                                    <w:widowControl/>
                                    <w:rPr>
                                      <w:rFonts w:ascii="標楷體" w:eastAsia="標楷體" w:hAnsi="標楷體" w:cs="新細明體"/>
                                      <w:color w:val="000000"/>
                                      <w:kern w:val="0"/>
                                      <w:sz w:val="20"/>
                                      <w:szCs w:val="20"/>
                                    </w:rPr>
                                  </w:pPr>
                                </w:p>
                              </w:tc>
                            </w:tr>
                            <w:tr w:rsidR="003731AC" w14:paraId="71DB2977" w14:textId="77777777" w:rsidTr="00DB24CB">
                              <w:trPr>
                                <w:trHeight w:val="196"/>
                              </w:trPr>
                              <w:tc>
                                <w:tcPr>
                                  <w:tcW w:w="875" w:type="dxa"/>
                                  <w:vAlign w:val="center"/>
                                  <w:hideMark/>
                                </w:tcPr>
                                <w:p w14:paraId="508FDF0F" w14:textId="77777777" w:rsidR="003731AC" w:rsidRDefault="003731AC">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167" w:type="dxa"/>
                                  <w:noWrap/>
                                  <w:hideMark/>
                                </w:tcPr>
                                <w:p w14:paraId="3A6D1B51"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1,432</w:t>
                                  </w:r>
                                </w:p>
                              </w:tc>
                              <w:tc>
                                <w:tcPr>
                                  <w:tcW w:w="1022" w:type="dxa"/>
                                  <w:noWrap/>
                                  <w:hideMark/>
                                </w:tcPr>
                                <w:p w14:paraId="06BDB63D"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829</w:t>
                                  </w:r>
                                </w:p>
                              </w:tc>
                              <w:tc>
                                <w:tcPr>
                                  <w:tcW w:w="1167" w:type="dxa"/>
                                  <w:noWrap/>
                                  <w:hideMark/>
                                </w:tcPr>
                                <w:p w14:paraId="37050466"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203,446</w:t>
                                  </w:r>
                                </w:p>
                              </w:tc>
                              <w:tc>
                                <w:tcPr>
                                  <w:tcW w:w="1020" w:type="dxa"/>
                                  <w:noWrap/>
                                  <w:hideMark/>
                                </w:tcPr>
                                <w:p w14:paraId="56868669"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1270" w:type="dxa"/>
                                  <w:noWrap/>
                                  <w:vAlign w:val="center"/>
                                  <w:hideMark/>
                                </w:tcPr>
                                <w:p w14:paraId="01DF3D52"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57.89</w:t>
                                  </w:r>
                                </w:p>
                              </w:tc>
                              <w:tc>
                                <w:tcPr>
                                  <w:tcW w:w="1280" w:type="dxa"/>
                                  <w:gridSpan w:val="2"/>
                                  <w:noWrap/>
                                  <w:vAlign w:val="center"/>
                                  <w:hideMark/>
                                </w:tcPr>
                                <w:p w14:paraId="6C4017BA"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3.74</w:t>
                                  </w:r>
                                </w:p>
                              </w:tc>
                            </w:tr>
                            <w:tr w:rsidR="003731AC" w14:paraId="7021E8EA" w14:textId="77777777" w:rsidTr="00DB24CB">
                              <w:trPr>
                                <w:trHeight w:val="196"/>
                              </w:trPr>
                              <w:tc>
                                <w:tcPr>
                                  <w:tcW w:w="875" w:type="dxa"/>
                                  <w:noWrap/>
                                  <w:vAlign w:val="center"/>
                                  <w:hideMark/>
                                </w:tcPr>
                                <w:p w14:paraId="7FD2A48D" w14:textId="77777777" w:rsidR="003731AC" w:rsidRDefault="003731AC">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1167" w:type="dxa"/>
                                  <w:noWrap/>
                                  <w:hideMark/>
                                </w:tcPr>
                                <w:p w14:paraId="4EFFABD5"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1,349</w:t>
                                  </w:r>
                                </w:p>
                              </w:tc>
                              <w:tc>
                                <w:tcPr>
                                  <w:tcW w:w="1022" w:type="dxa"/>
                                  <w:noWrap/>
                                  <w:hideMark/>
                                </w:tcPr>
                                <w:p w14:paraId="416FF8E6"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802</w:t>
                                  </w:r>
                                </w:p>
                              </w:tc>
                              <w:tc>
                                <w:tcPr>
                                  <w:tcW w:w="1167" w:type="dxa"/>
                                  <w:noWrap/>
                                  <w:hideMark/>
                                </w:tcPr>
                                <w:p w14:paraId="7FAC6651"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329,192</w:t>
                                  </w:r>
                                </w:p>
                              </w:tc>
                              <w:tc>
                                <w:tcPr>
                                  <w:tcW w:w="1020" w:type="dxa"/>
                                  <w:noWrap/>
                                  <w:hideMark/>
                                </w:tcPr>
                                <w:p w14:paraId="13DE3EAB"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w:t>
                                  </w:r>
                                </w:p>
                              </w:tc>
                              <w:tc>
                                <w:tcPr>
                                  <w:tcW w:w="1270" w:type="dxa"/>
                                  <w:noWrap/>
                                  <w:vAlign w:val="center"/>
                                  <w:hideMark/>
                                </w:tcPr>
                                <w:p w14:paraId="5016E8BB"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59.45</w:t>
                                  </w:r>
                                </w:p>
                              </w:tc>
                              <w:tc>
                                <w:tcPr>
                                  <w:tcW w:w="1280" w:type="dxa"/>
                                  <w:gridSpan w:val="2"/>
                                  <w:noWrap/>
                                  <w:vAlign w:val="center"/>
                                  <w:hideMark/>
                                </w:tcPr>
                                <w:p w14:paraId="19EB3A22"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3.99</w:t>
                                  </w:r>
                                </w:p>
                              </w:tc>
                            </w:tr>
                            <w:tr w:rsidR="003731AC" w14:paraId="60869D74" w14:textId="77777777" w:rsidTr="00DB24CB">
                              <w:trPr>
                                <w:trHeight w:val="196"/>
                              </w:trPr>
                              <w:tc>
                                <w:tcPr>
                                  <w:tcW w:w="875" w:type="dxa"/>
                                  <w:noWrap/>
                                  <w:vAlign w:val="center"/>
                                  <w:hideMark/>
                                </w:tcPr>
                                <w:p w14:paraId="5FF14C8C" w14:textId="77777777" w:rsidR="003731AC" w:rsidRDefault="003731AC">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167" w:type="dxa"/>
                                  <w:noWrap/>
                                  <w:hideMark/>
                                </w:tcPr>
                                <w:p w14:paraId="4712744B"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1,297</w:t>
                                  </w:r>
                                </w:p>
                              </w:tc>
                              <w:tc>
                                <w:tcPr>
                                  <w:tcW w:w="1022" w:type="dxa"/>
                                  <w:noWrap/>
                                  <w:hideMark/>
                                </w:tcPr>
                                <w:p w14:paraId="2A044E7E"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790</w:t>
                                  </w:r>
                                </w:p>
                              </w:tc>
                              <w:tc>
                                <w:tcPr>
                                  <w:tcW w:w="1167" w:type="dxa"/>
                                  <w:noWrap/>
                                  <w:hideMark/>
                                </w:tcPr>
                                <w:p w14:paraId="02440B2C"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234,141</w:t>
                                  </w:r>
                                </w:p>
                              </w:tc>
                              <w:tc>
                                <w:tcPr>
                                  <w:tcW w:w="1020" w:type="dxa"/>
                                  <w:noWrap/>
                                  <w:hideMark/>
                                </w:tcPr>
                                <w:p w14:paraId="076D50D5"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30</w:t>
                                  </w:r>
                                </w:p>
                              </w:tc>
                              <w:tc>
                                <w:tcPr>
                                  <w:tcW w:w="1270" w:type="dxa"/>
                                  <w:noWrap/>
                                  <w:vAlign w:val="center"/>
                                  <w:hideMark/>
                                </w:tcPr>
                                <w:p w14:paraId="07C2B78D"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60.91</w:t>
                                  </w:r>
                                </w:p>
                              </w:tc>
                              <w:tc>
                                <w:tcPr>
                                  <w:tcW w:w="1280" w:type="dxa"/>
                                  <w:gridSpan w:val="2"/>
                                  <w:noWrap/>
                                  <w:vAlign w:val="center"/>
                                  <w:hideMark/>
                                </w:tcPr>
                                <w:p w14:paraId="54086139"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3.80</w:t>
                                  </w:r>
                                </w:p>
                              </w:tc>
                            </w:tr>
                            <w:tr w:rsidR="003731AC" w14:paraId="7F3FEA60" w14:textId="77777777" w:rsidTr="00DB24CB">
                              <w:trPr>
                                <w:trHeight w:val="196"/>
                              </w:trPr>
                              <w:tc>
                                <w:tcPr>
                                  <w:tcW w:w="875" w:type="dxa"/>
                                  <w:noWrap/>
                                  <w:vAlign w:val="center"/>
                                  <w:hideMark/>
                                </w:tcPr>
                                <w:p w14:paraId="2753449B" w14:textId="77777777" w:rsidR="003731AC" w:rsidRDefault="003731AC">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167" w:type="dxa"/>
                                  <w:noWrap/>
                                  <w:hideMark/>
                                </w:tcPr>
                                <w:p w14:paraId="407BC381"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1,274</w:t>
                                  </w:r>
                                </w:p>
                              </w:tc>
                              <w:tc>
                                <w:tcPr>
                                  <w:tcW w:w="1022" w:type="dxa"/>
                                  <w:noWrap/>
                                  <w:hideMark/>
                                </w:tcPr>
                                <w:p w14:paraId="6707F37E"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749</w:t>
                                  </w:r>
                                </w:p>
                              </w:tc>
                              <w:tc>
                                <w:tcPr>
                                  <w:tcW w:w="1167" w:type="dxa"/>
                                  <w:noWrap/>
                                  <w:hideMark/>
                                </w:tcPr>
                                <w:p w14:paraId="37151B7D"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245,179</w:t>
                                  </w:r>
                                </w:p>
                              </w:tc>
                              <w:tc>
                                <w:tcPr>
                                  <w:tcW w:w="1020" w:type="dxa"/>
                                  <w:noWrap/>
                                  <w:hideMark/>
                                </w:tcPr>
                                <w:p w14:paraId="3FCC67C5"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w:t>
                                  </w:r>
                                </w:p>
                              </w:tc>
                              <w:tc>
                                <w:tcPr>
                                  <w:tcW w:w="1270" w:type="dxa"/>
                                  <w:noWrap/>
                                  <w:vAlign w:val="center"/>
                                  <w:hideMark/>
                                </w:tcPr>
                                <w:p w14:paraId="1FB5D6D9"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58.79</w:t>
                                  </w:r>
                                </w:p>
                              </w:tc>
                              <w:tc>
                                <w:tcPr>
                                  <w:tcW w:w="1280" w:type="dxa"/>
                                  <w:gridSpan w:val="2"/>
                                  <w:noWrap/>
                                  <w:vAlign w:val="center"/>
                                  <w:hideMark/>
                                </w:tcPr>
                                <w:p w14:paraId="1DFFF3FD"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5.47</w:t>
                                  </w:r>
                                </w:p>
                              </w:tc>
                            </w:tr>
                            <w:tr w:rsidR="003731AC" w14:paraId="54893ED2" w14:textId="77777777" w:rsidTr="00DB24CB">
                              <w:trPr>
                                <w:trHeight w:val="196"/>
                              </w:trPr>
                              <w:tc>
                                <w:tcPr>
                                  <w:tcW w:w="875" w:type="dxa"/>
                                  <w:noWrap/>
                                  <w:vAlign w:val="center"/>
                                  <w:hideMark/>
                                </w:tcPr>
                                <w:p w14:paraId="520F714A" w14:textId="77777777" w:rsidR="003731AC" w:rsidRDefault="003731AC">
                                  <w:pPr>
                                    <w:widowControl/>
                                    <w:spacing w:line="280" w:lineRule="exact"/>
                                    <w:jc w:val="center"/>
                                    <w:rPr>
                                      <w:rFonts w:ascii="標楷體" w:eastAsia="標楷體" w:hAnsi="標楷體" w:cs="新細明體"/>
                                      <w:color w:val="000000"/>
                                      <w:kern w:val="0"/>
                                      <w:sz w:val="20"/>
                                      <w:szCs w:val="20"/>
                                      <w:highlight w:val="yellow"/>
                                    </w:rPr>
                                  </w:pPr>
                                  <w:r>
                                    <w:rPr>
                                      <w:rFonts w:ascii="標楷體" w:eastAsia="標楷體" w:hAnsi="標楷體" w:cs="新細明體" w:hint="eastAsia"/>
                                      <w:color w:val="000000"/>
                                      <w:kern w:val="0"/>
                                      <w:sz w:val="20"/>
                                      <w:szCs w:val="20"/>
                                    </w:rPr>
                                    <w:t>113</w:t>
                                  </w:r>
                                </w:p>
                              </w:tc>
                              <w:tc>
                                <w:tcPr>
                                  <w:tcW w:w="1167" w:type="dxa"/>
                                  <w:noWrap/>
                                  <w:hideMark/>
                                </w:tcPr>
                                <w:p w14:paraId="357A0D02"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1,291</w:t>
                                  </w:r>
                                </w:p>
                              </w:tc>
                              <w:tc>
                                <w:tcPr>
                                  <w:tcW w:w="1022" w:type="dxa"/>
                                  <w:noWrap/>
                                  <w:hideMark/>
                                </w:tcPr>
                                <w:p w14:paraId="2651D980"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725</w:t>
                                  </w:r>
                                </w:p>
                              </w:tc>
                              <w:tc>
                                <w:tcPr>
                                  <w:tcW w:w="1167" w:type="dxa"/>
                                  <w:noWrap/>
                                  <w:hideMark/>
                                </w:tcPr>
                                <w:p w14:paraId="2D11B9D3"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299,838</w:t>
                                  </w:r>
                                </w:p>
                              </w:tc>
                              <w:tc>
                                <w:tcPr>
                                  <w:tcW w:w="1020" w:type="dxa"/>
                                  <w:noWrap/>
                                  <w:hideMark/>
                                </w:tcPr>
                                <w:p w14:paraId="1C12A195"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w:t>
                                  </w:r>
                                </w:p>
                              </w:tc>
                              <w:tc>
                                <w:tcPr>
                                  <w:tcW w:w="1270" w:type="dxa"/>
                                  <w:noWrap/>
                                  <w:vAlign w:val="center"/>
                                  <w:hideMark/>
                                </w:tcPr>
                                <w:p w14:paraId="11CD8103" w14:textId="77777777" w:rsidR="003731AC" w:rsidRDefault="003731AC">
                                  <w:pPr>
                                    <w:widowControl/>
                                    <w:spacing w:line="280" w:lineRule="exact"/>
                                    <w:jc w:val="right"/>
                                    <w:rPr>
                                      <w:rFonts w:ascii="標楷體" w:eastAsia="標楷體" w:hAnsi="標楷體" w:cs="新細明體"/>
                                      <w:color w:val="000000"/>
                                      <w:kern w:val="0"/>
                                      <w:sz w:val="20"/>
                                      <w:szCs w:val="20"/>
                                      <w:highlight w:val="yellow"/>
                                    </w:rPr>
                                  </w:pPr>
                                  <w:r>
                                    <w:rPr>
                                      <w:rFonts w:ascii="標楷體" w:eastAsia="標楷體" w:hAnsi="標楷體" w:hint="eastAsia"/>
                                      <w:color w:val="000000"/>
                                      <w:sz w:val="20"/>
                                      <w:szCs w:val="20"/>
                                    </w:rPr>
                                    <w:t>56.16</w:t>
                                  </w:r>
                                </w:p>
                              </w:tc>
                              <w:tc>
                                <w:tcPr>
                                  <w:tcW w:w="1280" w:type="dxa"/>
                                  <w:gridSpan w:val="2"/>
                                  <w:noWrap/>
                                  <w:vAlign w:val="center"/>
                                  <w:hideMark/>
                                </w:tcPr>
                                <w:p w14:paraId="13DB0631" w14:textId="77777777" w:rsidR="003731AC" w:rsidRDefault="003731AC">
                                  <w:pPr>
                                    <w:widowControl/>
                                    <w:spacing w:line="280" w:lineRule="exact"/>
                                    <w:jc w:val="right"/>
                                    <w:rPr>
                                      <w:rFonts w:ascii="標楷體" w:eastAsia="標楷體" w:hAnsi="標楷體" w:cs="新細明體"/>
                                      <w:color w:val="000000"/>
                                      <w:kern w:val="0"/>
                                      <w:sz w:val="20"/>
                                      <w:szCs w:val="20"/>
                                      <w:highlight w:val="yellow"/>
                                    </w:rPr>
                                  </w:pPr>
                                  <w:r>
                                    <w:rPr>
                                      <w:rFonts w:ascii="標楷體" w:eastAsia="標楷體" w:hAnsi="標楷體" w:hint="eastAsia"/>
                                      <w:color w:val="000000"/>
                                      <w:sz w:val="20"/>
                                      <w:szCs w:val="20"/>
                                    </w:rPr>
                                    <w:t>6.21</w:t>
                                  </w:r>
                                </w:p>
                              </w:tc>
                            </w:tr>
                          </w:tbl>
                          <w:p w14:paraId="303BE0E5" w14:textId="77645E6C" w:rsidR="003731AC" w:rsidRDefault="003731AC" w:rsidP="003731AC">
                            <w:pPr>
                              <w:spacing w:line="260" w:lineRule="exact"/>
                            </w:pPr>
                            <w:r>
                              <w:rPr>
                                <w:rFonts w:ascii="標楷體" w:eastAsia="標楷體" w:hAnsi="標楷體" w:cs="新細明體" w:hint="eastAsia"/>
                                <w:color w:val="000000"/>
                                <w:kern w:val="0"/>
                                <w:sz w:val="18"/>
                                <w:szCs w:val="18"/>
                              </w:rPr>
                              <w:t>資料來源：整理自稅捐稽徵處提供資料。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AF6923" id="文字方塊 927419604" o:spid="_x0000_s1052" type="#_x0000_t202" style="position:absolute;left:0;text-align:left;margin-left:95.9pt;margin-top:303.75pt;width:406.65pt;height:178.15pt;z-index:-251579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" stroked="f">
                <v:textbox>
                  <w:txbxContent>
                    <w:tbl>
                      <w:tblPr>
                        <w:tblW w:w="7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75"/>
                        <w:gridCol w:w="1167"/>
                        <w:gridCol w:w="1022"/>
                        <w:gridCol w:w="1167"/>
                        <w:gridCol w:w="1020"/>
                        <w:gridCol w:w="1270"/>
                        <w:gridCol w:w="1274"/>
                        <w:gridCol w:w="6"/>
                      </w:tblGrid>
                      <w:tr w:rsidR="00DB24CB" w14:paraId="370DFCF0" w14:textId="77777777" w:rsidTr="00DB24CB">
                        <w:trPr>
                          <w:gridAfter w:val="1"/>
                          <w:wAfter w:w="6" w:type="dxa"/>
                          <w:trHeight w:val="680"/>
                        </w:trPr>
                        <w:tc>
                          <w:tcPr>
                            <w:tcW w:w="7795" w:type="dxa"/>
                            <w:gridSpan w:val="7"/>
                            <w:tcBorders>
                              <w:top w:val="nil"/>
                              <w:left w:val="nil"/>
                              <w:bottom w:val="nil"/>
                              <w:right w:val="nil"/>
                            </w:tcBorders>
                            <w:vAlign w:val="center"/>
                          </w:tcPr>
                          <w:p w14:paraId="1005E453" w14:textId="77777777" w:rsidR="00DB24CB" w:rsidRDefault="00DB24CB" w:rsidP="00DB24C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b/>
                                <w:bCs/>
                                <w:color w:val="000000"/>
                                <w:kern w:val="0"/>
                                <w:szCs w:val="28"/>
                              </w:rPr>
                              <w:t>表2  印花稅應稅憑證檢查及輔導作業執行成果</w:t>
                            </w:r>
                          </w:p>
                          <w:p w14:paraId="4D14EE7D" w14:textId="2BEDD171" w:rsidR="00DB24CB" w:rsidRDefault="00DB24CB" w:rsidP="00DB24CB">
                            <w:pPr>
                              <w:widowControl/>
                              <w:spacing w:line="300" w:lineRule="exact"/>
                              <w:ind w:leftChars="418" w:left="4471" w:hangingChars="1734" w:hanging="3468"/>
                              <w:jc w:val="right"/>
                              <w:rPr>
                                <w:rFonts w:ascii="標楷體" w:eastAsia="標楷體" w:hAnsi="標楷體" w:cs="新細明體"/>
                                <w:b/>
                                <w:bCs/>
                                <w:color w:val="000000"/>
                                <w:kern w:val="0"/>
                                <w:sz w:val="28"/>
                                <w:szCs w:val="28"/>
                              </w:rPr>
                            </w:pPr>
                            <w:r>
                              <w:rPr>
                                <w:rFonts w:ascii="標楷體" w:eastAsia="標楷體" w:hAnsi="標楷體" w:cs="新細明體" w:hint="eastAsia"/>
                                <w:color w:val="000000"/>
                                <w:kern w:val="0"/>
                                <w:sz w:val="20"/>
                                <w:szCs w:val="20"/>
                              </w:rPr>
                              <w:t>單位：新臺幣千元、家數、％</w:t>
                            </w:r>
                          </w:p>
                        </w:tc>
                      </w:tr>
                      <w:tr w:rsidR="003731AC" w14:paraId="630AA9CD" w14:textId="77777777" w:rsidTr="00DB24CB">
                        <w:trPr>
                          <w:trHeight w:val="642"/>
                        </w:trPr>
                        <w:tc>
                          <w:tcPr>
                            <w:tcW w:w="875" w:type="dxa"/>
                            <w:vMerge w:val="restart"/>
                            <w:vAlign w:val="center"/>
                            <w:hideMark/>
                          </w:tcPr>
                          <w:p w14:paraId="2EAD60A0"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1167" w:type="dxa"/>
                            <w:vMerge w:val="restart"/>
                            <w:vAlign w:val="center"/>
                            <w:hideMark/>
                          </w:tcPr>
                          <w:p w14:paraId="4C60A102"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檢查家數(A)</w:t>
                            </w:r>
                          </w:p>
                        </w:tc>
                        <w:tc>
                          <w:tcPr>
                            <w:tcW w:w="2189" w:type="dxa"/>
                            <w:gridSpan w:val="2"/>
                            <w:vAlign w:val="center"/>
                            <w:hideMark/>
                          </w:tcPr>
                          <w:p w14:paraId="320D9D1F"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輔導自動補報補繳</w:t>
                            </w:r>
                          </w:p>
                        </w:tc>
                        <w:tc>
                          <w:tcPr>
                            <w:tcW w:w="1020" w:type="dxa"/>
                            <w:vMerge w:val="restart"/>
                            <w:vAlign w:val="center"/>
                            <w:hideMark/>
                          </w:tcPr>
                          <w:p w14:paraId="4F518E78"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輔導受檢業者彙總繳納家數(C)</w:t>
                            </w:r>
                          </w:p>
                        </w:tc>
                        <w:tc>
                          <w:tcPr>
                            <w:tcW w:w="1270" w:type="dxa"/>
                            <w:vMerge w:val="restart"/>
                            <w:vAlign w:val="center"/>
                          </w:tcPr>
                          <w:p w14:paraId="06D37421" w14:textId="5BB32500" w:rsidR="003731AC" w:rsidRDefault="003731AC">
                            <w:pPr>
                              <w:widowControl/>
                              <w:spacing w:line="240" w:lineRule="exact"/>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補繳家數</w:t>
                            </w:r>
                            <w:proofErr w:type="gramEnd"/>
                          </w:p>
                          <w:p w14:paraId="791AC3FE" w14:textId="029F563B" w:rsidR="003731AC" w:rsidRDefault="000A3F4E">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比率</w:t>
                            </w:r>
                          </w:p>
                          <w:p w14:paraId="12DDD559" w14:textId="463FA8B6"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(B/A×100</w:t>
                            </w:r>
                            <w:r w:rsidR="00D54B42">
                              <w:rPr>
                                <w:rFonts w:ascii="標楷體" w:eastAsia="標楷體" w:hAnsi="標楷體" w:cs="新細明體" w:hint="eastAsia"/>
                                <w:color w:val="000000"/>
                                <w:kern w:val="0"/>
                                <w:sz w:val="20"/>
                                <w:szCs w:val="20"/>
                              </w:rPr>
                              <w:t>)</w:t>
                            </w:r>
                          </w:p>
                        </w:tc>
                        <w:tc>
                          <w:tcPr>
                            <w:tcW w:w="1280" w:type="dxa"/>
                            <w:gridSpan w:val="2"/>
                            <w:vMerge w:val="restart"/>
                            <w:vAlign w:val="center"/>
                            <w:hideMark/>
                          </w:tcPr>
                          <w:p w14:paraId="634E645D"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輔導彙總繳納比率</w:t>
                            </w:r>
                          </w:p>
                          <w:p w14:paraId="516D23FE" w14:textId="0FF22479"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(C/B×100</w:t>
                            </w:r>
                            <w:r w:rsidR="00D54B42">
                              <w:rPr>
                                <w:rFonts w:ascii="標楷體" w:eastAsia="標楷體" w:hAnsi="標楷體" w:cs="新細明體" w:hint="eastAsia"/>
                                <w:color w:val="000000"/>
                                <w:kern w:val="0"/>
                                <w:sz w:val="20"/>
                                <w:szCs w:val="20"/>
                              </w:rPr>
                              <w:t>)</w:t>
                            </w:r>
                          </w:p>
                        </w:tc>
                      </w:tr>
                      <w:tr w:rsidR="003731AC" w14:paraId="3FD7B036" w14:textId="77777777" w:rsidTr="00DB24CB">
                        <w:trPr>
                          <w:trHeight w:val="158"/>
                        </w:trPr>
                        <w:tc>
                          <w:tcPr>
                            <w:tcW w:w="875" w:type="dxa"/>
                            <w:vMerge/>
                            <w:vAlign w:val="center"/>
                            <w:hideMark/>
                          </w:tcPr>
                          <w:p w14:paraId="2B211835" w14:textId="77777777" w:rsidR="003731AC" w:rsidRDefault="003731AC">
                            <w:pPr>
                              <w:widowControl/>
                              <w:rPr>
                                <w:rFonts w:ascii="標楷體" w:eastAsia="標楷體" w:hAnsi="標楷體" w:cs="新細明體"/>
                                <w:color w:val="000000"/>
                                <w:kern w:val="0"/>
                                <w:sz w:val="20"/>
                                <w:szCs w:val="20"/>
                              </w:rPr>
                            </w:pPr>
                          </w:p>
                        </w:tc>
                        <w:tc>
                          <w:tcPr>
                            <w:tcW w:w="1167" w:type="dxa"/>
                            <w:vMerge/>
                            <w:vAlign w:val="center"/>
                            <w:hideMark/>
                          </w:tcPr>
                          <w:p w14:paraId="2FAA70F6" w14:textId="77777777" w:rsidR="003731AC" w:rsidRDefault="003731AC">
                            <w:pPr>
                              <w:widowControl/>
                              <w:rPr>
                                <w:rFonts w:ascii="標楷體" w:eastAsia="標楷體" w:hAnsi="標楷體" w:cs="新細明體"/>
                                <w:color w:val="000000"/>
                                <w:kern w:val="0"/>
                                <w:sz w:val="20"/>
                                <w:szCs w:val="20"/>
                              </w:rPr>
                            </w:pPr>
                          </w:p>
                        </w:tc>
                        <w:tc>
                          <w:tcPr>
                            <w:tcW w:w="1022" w:type="dxa"/>
                            <w:vAlign w:val="center"/>
                            <w:hideMark/>
                          </w:tcPr>
                          <w:p w14:paraId="38BC60B0"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家數(B)</w:t>
                            </w:r>
                          </w:p>
                        </w:tc>
                        <w:tc>
                          <w:tcPr>
                            <w:tcW w:w="1167" w:type="dxa"/>
                            <w:vAlign w:val="center"/>
                            <w:hideMark/>
                          </w:tcPr>
                          <w:p w14:paraId="2DD6192E" w14:textId="77777777" w:rsidR="003731AC" w:rsidRDefault="003731AC">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1020" w:type="dxa"/>
                            <w:vMerge/>
                            <w:vAlign w:val="center"/>
                            <w:hideMark/>
                          </w:tcPr>
                          <w:p w14:paraId="0990BA01" w14:textId="77777777" w:rsidR="003731AC" w:rsidRDefault="003731AC">
                            <w:pPr>
                              <w:widowControl/>
                              <w:rPr>
                                <w:rFonts w:ascii="標楷體" w:eastAsia="標楷體" w:hAnsi="標楷體" w:cs="新細明體"/>
                                <w:color w:val="000000"/>
                                <w:kern w:val="0"/>
                                <w:sz w:val="20"/>
                                <w:szCs w:val="20"/>
                              </w:rPr>
                            </w:pPr>
                          </w:p>
                        </w:tc>
                        <w:tc>
                          <w:tcPr>
                            <w:tcW w:w="1270" w:type="dxa"/>
                            <w:vMerge/>
                            <w:vAlign w:val="center"/>
                            <w:hideMark/>
                          </w:tcPr>
                          <w:p w14:paraId="103C65FF" w14:textId="77777777" w:rsidR="003731AC" w:rsidRDefault="003731AC">
                            <w:pPr>
                              <w:widowControl/>
                              <w:rPr>
                                <w:rFonts w:ascii="標楷體" w:eastAsia="標楷體" w:hAnsi="標楷體" w:cs="新細明體"/>
                                <w:color w:val="000000"/>
                                <w:kern w:val="0"/>
                                <w:sz w:val="20"/>
                                <w:szCs w:val="20"/>
                              </w:rPr>
                            </w:pPr>
                          </w:p>
                        </w:tc>
                        <w:tc>
                          <w:tcPr>
                            <w:tcW w:w="1280" w:type="dxa"/>
                            <w:gridSpan w:val="2"/>
                            <w:vMerge/>
                            <w:vAlign w:val="center"/>
                            <w:hideMark/>
                          </w:tcPr>
                          <w:p w14:paraId="7821B2DD" w14:textId="77777777" w:rsidR="003731AC" w:rsidRDefault="003731AC">
                            <w:pPr>
                              <w:widowControl/>
                              <w:rPr>
                                <w:rFonts w:ascii="標楷體" w:eastAsia="標楷體" w:hAnsi="標楷體" w:cs="新細明體"/>
                                <w:color w:val="000000"/>
                                <w:kern w:val="0"/>
                                <w:sz w:val="20"/>
                                <w:szCs w:val="20"/>
                              </w:rPr>
                            </w:pPr>
                          </w:p>
                        </w:tc>
                      </w:tr>
                      <w:tr w:rsidR="003731AC" w14:paraId="71DB2977" w14:textId="77777777" w:rsidTr="00DB24CB">
                        <w:trPr>
                          <w:trHeight w:val="196"/>
                        </w:trPr>
                        <w:tc>
                          <w:tcPr>
                            <w:tcW w:w="875" w:type="dxa"/>
                            <w:vAlign w:val="center"/>
                            <w:hideMark/>
                          </w:tcPr>
                          <w:p w14:paraId="508FDF0F" w14:textId="77777777" w:rsidR="003731AC" w:rsidRDefault="003731AC">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109</w:t>
                            </w:r>
                          </w:p>
                        </w:tc>
                        <w:tc>
                          <w:tcPr>
                            <w:tcW w:w="1167" w:type="dxa"/>
                            <w:noWrap/>
                            <w:hideMark/>
                          </w:tcPr>
                          <w:p w14:paraId="3A6D1B51"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1,432</w:t>
                            </w:r>
                          </w:p>
                        </w:tc>
                        <w:tc>
                          <w:tcPr>
                            <w:tcW w:w="1022" w:type="dxa"/>
                            <w:noWrap/>
                            <w:hideMark/>
                          </w:tcPr>
                          <w:p w14:paraId="06BDB63D"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829</w:t>
                            </w:r>
                          </w:p>
                        </w:tc>
                        <w:tc>
                          <w:tcPr>
                            <w:tcW w:w="1167" w:type="dxa"/>
                            <w:noWrap/>
                            <w:hideMark/>
                          </w:tcPr>
                          <w:p w14:paraId="37050466"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203,446</w:t>
                            </w:r>
                          </w:p>
                        </w:tc>
                        <w:tc>
                          <w:tcPr>
                            <w:tcW w:w="1020" w:type="dxa"/>
                            <w:noWrap/>
                            <w:hideMark/>
                          </w:tcPr>
                          <w:p w14:paraId="56868669"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31</w:t>
                            </w:r>
                          </w:p>
                        </w:tc>
                        <w:tc>
                          <w:tcPr>
                            <w:tcW w:w="1270" w:type="dxa"/>
                            <w:noWrap/>
                            <w:vAlign w:val="center"/>
                            <w:hideMark/>
                          </w:tcPr>
                          <w:p w14:paraId="01DF3D52"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57.89</w:t>
                            </w:r>
                          </w:p>
                        </w:tc>
                        <w:tc>
                          <w:tcPr>
                            <w:tcW w:w="1280" w:type="dxa"/>
                            <w:gridSpan w:val="2"/>
                            <w:noWrap/>
                            <w:vAlign w:val="center"/>
                            <w:hideMark/>
                          </w:tcPr>
                          <w:p w14:paraId="6C4017BA"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3.74</w:t>
                            </w:r>
                          </w:p>
                        </w:tc>
                      </w:tr>
                      <w:tr w:rsidR="003731AC" w14:paraId="7021E8EA" w14:textId="77777777" w:rsidTr="00DB24CB">
                        <w:trPr>
                          <w:trHeight w:val="196"/>
                        </w:trPr>
                        <w:tc>
                          <w:tcPr>
                            <w:tcW w:w="875" w:type="dxa"/>
                            <w:noWrap/>
                            <w:vAlign w:val="center"/>
                            <w:hideMark/>
                          </w:tcPr>
                          <w:p w14:paraId="7FD2A48D" w14:textId="77777777" w:rsidR="003731AC" w:rsidRDefault="003731AC">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110</w:t>
                            </w:r>
                          </w:p>
                        </w:tc>
                        <w:tc>
                          <w:tcPr>
                            <w:tcW w:w="1167" w:type="dxa"/>
                            <w:noWrap/>
                            <w:hideMark/>
                          </w:tcPr>
                          <w:p w14:paraId="4EFFABD5"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1,349</w:t>
                            </w:r>
                          </w:p>
                        </w:tc>
                        <w:tc>
                          <w:tcPr>
                            <w:tcW w:w="1022" w:type="dxa"/>
                            <w:noWrap/>
                            <w:hideMark/>
                          </w:tcPr>
                          <w:p w14:paraId="416FF8E6"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802</w:t>
                            </w:r>
                          </w:p>
                        </w:tc>
                        <w:tc>
                          <w:tcPr>
                            <w:tcW w:w="1167" w:type="dxa"/>
                            <w:noWrap/>
                            <w:hideMark/>
                          </w:tcPr>
                          <w:p w14:paraId="7FAC6651"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329,192</w:t>
                            </w:r>
                          </w:p>
                        </w:tc>
                        <w:tc>
                          <w:tcPr>
                            <w:tcW w:w="1020" w:type="dxa"/>
                            <w:noWrap/>
                            <w:hideMark/>
                          </w:tcPr>
                          <w:p w14:paraId="13DE3EAB"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32</w:t>
                            </w:r>
                          </w:p>
                        </w:tc>
                        <w:tc>
                          <w:tcPr>
                            <w:tcW w:w="1270" w:type="dxa"/>
                            <w:noWrap/>
                            <w:vAlign w:val="center"/>
                            <w:hideMark/>
                          </w:tcPr>
                          <w:p w14:paraId="5016E8BB"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59.45</w:t>
                            </w:r>
                          </w:p>
                        </w:tc>
                        <w:tc>
                          <w:tcPr>
                            <w:tcW w:w="1280" w:type="dxa"/>
                            <w:gridSpan w:val="2"/>
                            <w:noWrap/>
                            <w:vAlign w:val="center"/>
                            <w:hideMark/>
                          </w:tcPr>
                          <w:p w14:paraId="19EB3A22"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3.99</w:t>
                            </w:r>
                          </w:p>
                        </w:tc>
                      </w:tr>
                      <w:tr w:rsidR="003731AC" w14:paraId="60869D74" w14:textId="77777777" w:rsidTr="00DB24CB">
                        <w:trPr>
                          <w:trHeight w:val="196"/>
                        </w:trPr>
                        <w:tc>
                          <w:tcPr>
                            <w:tcW w:w="875" w:type="dxa"/>
                            <w:noWrap/>
                            <w:vAlign w:val="center"/>
                            <w:hideMark/>
                          </w:tcPr>
                          <w:p w14:paraId="5FF14C8C" w14:textId="77777777" w:rsidR="003731AC" w:rsidRDefault="003731AC">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111</w:t>
                            </w:r>
                          </w:p>
                        </w:tc>
                        <w:tc>
                          <w:tcPr>
                            <w:tcW w:w="1167" w:type="dxa"/>
                            <w:noWrap/>
                            <w:hideMark/>
                          </w:tcPr>
                          <w:p w14:paraId="4712744B"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1,297</w:t>
                            </w:r>
                          </w:p>
                        </w:tc>
                        <w:tc>
                          <w:tcPr>
                            <w:tcW w:w="1022" w:type="dxa"/>
                            <w:noWrap/>
                            <w:hideMark/>
                          </w:tcPr>
                          <w:p w14:paraId="2A044E7E"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790</w:t>
                            </w:r>
                          </w:p>
                        </w:tc>
                        <w:tc>
                          <w:tcPr>
                            <w:tcW w:w="1167" w:type="dxa"/>
                            <w:noWrap/>
                            <w:hideMark/>
                          </w:tcPr>
                          <w:p w14:paraId="02440B2C"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234,141</w:t>
                            </w:r>
                          </w:p>
                        </w:tc>
                        <w:tc>
                          <w:tcPr>
                            <w:tcW w:w="1020" w:type="dxa"/>
                            <w:noWrap/>
                            <w:hideMark/>
                          </w:tcPr>
                          <w:p w14:paraId="076D50D5"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30</w:t>
                            </w:r>
                          </w:p>
                        </w:tc>
                        <w:tc>
                          <w:tcPr>
                            <w:tcW w:w="1270" w:type="dxa"/>
                            <w:noWrap/>
                            <w:vAlign w:val="center"/>
                            <w:hideMark/>
                          </w:tcPr>
                          <w:p w14:paraId="07C2B78D"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60.91</w:t>
                            </w:r>
                          </w:p>
                        </w:tc>
                        <w:tc>
                          <w:tcPr>
                            <w:tcW w:w="1280" w:type="dxa"/>
                            <w:gridSpan w:val="2"/>
                            <w:noWrap/>
                            <w:vAlign w:val="center"/>
                            <w:hideMark/>
                          </w:tcPr>
                          <w:p w14:paraId="54086139"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3.80</w:t>
                            </w:r>
                          </w:p>
                        </w:tc>
                      </w:tr>
                      <w:tr w:rsidR="003731AC" w14:paraId="7F3FEA60" w14:textId="77777777" w:rsidTr="00DB24CB">
                        <w:trPr>
                          <w:trHeight w:val="196"/>
                        </w:trPr>
                        <w:tc>
                          <w:tcPr>
                            <w:tcW w:w="875" w:type="dxa"/>
                            <w:noWrap/>
                            <w:vAlign w:val="center"/>
                            <w:hideMark/>
                          </w:tcPr>
                          <w:p w14:paraId="2753449B" w14:textId="77777777" w:rsidR="003731AC" w:rsidRDefault="003731AC">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112</w:t>
                            </w:r>
                          </w:p>
                        </w:tc>
                        <w:tc>
                          <w:tcPr>
                            <w:tcW w:w="1167" w:type="dxa"/>
                            <w:noWrap/>
                            <w:hideMark/>
                          </w:tcPr>
                          <w:p w14:paraId="407BC381"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1,274</w:t>
                            </w:r>
                          </w:p>
                        </w:tc>
                        <w:tc>
                          <w:tcPr>
                            <w:tcW w:w="1022" w:type="dxa"/>
                            <w:noWrap/>
                            <w:hideMark/>
                          </w:tcPr>
                          <w:p w14:paraId="6707F37E"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749</w:t>
                            </w:r>
                          </w:p>
                        </w:tc>
                        <w:tc>
                          <w:tcPr>
                            <w:tcW w:w="1167" w:type="dxa"/>
                            <w:noWrap/>
                            <w:hideMark/>
                          </w:tcPr>
                          <w:p w14:paraId="37151B7D"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245,179</w:t>
                            </w:r>
                          </w:p>
                        </w:tc>
                        <w:tc>
                          <w:tcPr>
                            <w:tcW w:w="1020" w:type="dxa"/>
                            <w:noWrap/>
                            <w:hideMark/>
                          </w:tcPr>
                          <w:p w14:paraId="3FCC67C5"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w:t>
                            </w:r>
                          </w:p>
                        </w:tc>
                        <w:tc>
                          <w:tcPr>
                            <w:tcW w:w="1270" w:type="dxa"/>
                            <w:noWrap/>
                            <w:vAlign w:val="center"/>
                            <w:hideMark/>
                          </w:tcPr>
                          <w:p w14:paraId="1FB5D6D9"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58.79</w:t>
                            </w:r>
                          </w:p>
                        </w:tc>
                        <w:tc>
                          <w:tcPr>
                            <w:tcW w:w="1280" w:type="dxa"/>
                            <w:gridSpan w:val="2"/>
                            <w:noWrap/>
                            <w:vAlign w:val="center"/>
                            <w:hideMark/>
                          </w:tcPr>
                          <w:p w14:paraId="1DFFF3FD"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5.47</w:t>
                            </w:r>
                          </w:p>
                        </w:tc>
                      </w:tr>
                      <w:tr w:rsidR="003731AC" w14:paraId="54893ED2" w14:textId="77777777" w:rsidTr="00DB24CB">
                        <w:trPr>
                          <w:trHeight w:val="196"/>
                        </w:trPr>
                        <w:tc>
                          <w:tcPr>
                            <w:tcW w:w="875" w:type="dxa"/>
                            <w:noWrap/>
                            <w:vAlign w:val="center"/>
                            <w:hideMark/>
                          </w:tcPr>
                          <w:p w14:paraId="520F714A" w14:textId="77777777" w:rsidR="003731AC" w:rsidRDefault="003731AC">
                            <w:pPr>
                              <w:widowControl/>
                              <w:spacing w:line="280" w:lineRule="exact"/>
                              <w:jc w:val="center"/>
                              <w:rPr>
                                <w:rFonts w:ascii="標楷體" w:eastAsia="標楷體" w:hAnsi="標楷體" w:cs="新細明體"/>
                                <w:color w:val="000000"/>
                                <w:kern w:val="0"/>
                                <w:sz w:val="20"/>
                                <w:szCs w:val="20"/>
                                <w:highlight w:val="yellow"/>
                              </w:rPr>
                            </w:pPr>
                            <w:r>
                              <w:rPr>
                                <w:rFonts w:ascii="標楷體" w:eastAsia="標楷體" w:hAnsi="標楷體" w:cs="新細明體" w:hint="eastAsia"/>
                                <w:color w:val="000000"/>
                                <w:kern w:val="0"/>
                                <w:sz w:val="20"/>
                                <w:szCs w:val="20"/>
                              </w:rPr>
                              <w:t>113</w:t>
                            </w:r>
                          </w:p>
                        </w:tc>
                        <w:tc>
                          <w:tcPr>
                            <w:tcW w:w="1167" w:type="dxa"/>
                            <w:noWrap/>
                            <w:hideMark/>
                          </w:tcPr>
                          <w:p w14:paraId="357A0D02"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1,291</w:t>
                            </w:r>
                          </w:p>
                        </w:tc>
                        <w:tc>
                          <w:tcPr>
                            <w:tcW w:w="1022" w:type="dxa"/>
                            <w:noWrap/>
                            <w:hideMark/>
                          </w:tcPr>
                          <w:p w14:paraId="2651D980"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725</w:t>
                            </w:r>
                          </w:p>
                        </w:tc>
                        <w:tc>
                          <w:tcPr>
                            <w:tcW w:w="1167" w:type="dxa"/>
                            <w:noWrap/>
                            <w:hideMark/>
                          </w:tcPr>
                          <w:p w14:paraId="2D11B9D3"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299,838</w:t>
                            </w:r>
                          </w:p>
                        </w:tc>
                        <w:tc>
                          <w:tcPr>
                            <w:tcW w:w="1020" w:type="dxa"/>
                            <w:noWrap/>
                            <w:hideMark/>
                          </w:tcPr>
                          <w:p w14:paraId="1C12A195" w14:textId="77777777" w:rsidR="003731AC" w:rsidRDefault="003731AC">
                            <w:pPr>
                              <w:widowControl/>
                              <w:spacing w:line="28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w:t>
                            </w:r>
                          </w:p>
                        </w:tc>
                        <w:tc>
                          <w:tcPr>
                            <w:tcW w:w="1270" w:type="dxa"/>
                            <w:noWrap/>
                            <w:vAlign w:val="center"/>
                            <w:hideMark/>
                          </w:tcPr>
                          <w:p w14:paraId="11CD8103" w14:textId="77777777" w:rsidR="003731AC" w:rsidRDefault="003731AC">
                            <w:pPr>
                              <w:widowControl/>
                              <w:spacing w:line="280" w:lineRule="exact"/>
                              <w:jc w:val="right"/>
                              <w:rPr>
                                <w:rFonts w:ascii="標楷體" w:eastAsia="標楷體" w:hAnsi="標楷體" w:cs="新細明體"/>
                                <w:color w:val="000000"/>
                                <w:kern w:val="0"/>
                                <w:sz w:val="20"/>
                                <w:szCs w:val="20"/>
                                <w:highlight w:val="yellow"/>
                              </w:rPr>
                            </w:pPr>
                            <w:r>
                              <w:rPr>
                                <w:rFonts w:ascii="標楷體" w:eastAsia="標楷體" w:hAnsi="標楷體" w:hint="eastAsia"/>
                                <w:color w:val="000000"/>
                                <w:sz w:val="20"/>
                                <w:szCs w:val="20"/>
                              </w:rPr>
                              <w:t>56.16</w:t>
                            </w:r>
                          </w:p>
                        </w:tc>
                        <w:tc>
                          <w:tcPr>
                            <w:tcW w:w="1280" w:type="dxa"/>
                            <w:gridSpan w:val="2"/>
                            <w:noWrap/>
                            <w:vAlign w:val="center"/>
                            <w:hideMark/>
                          </w:tcPr>
                          <w:p w14:paraId="13DB0631" w14:textId="77777777" w:rsidR="003731AC" w:rsidRDefault="003731AC">
                            <w:pPr>
                              <w:widowControl/>
                              <w:spacing w:line="280" w:lineRule="exact"/>
                              <w:jc w:val="right"/>
                              <w:rPr>
                                <w:rFonts w:ascii="標楷體" w:eastAsia="標楷體" w:hAnsi="標楷體" w:cs="新細明體"/>
                                <w:color w:val="000000"/>
                                <w:kern w:val="0"/>
                                <w:sz w:val="20"/>
                                <w:szCs w:val="20"/>
                                <w:highlight w:val="yellow"/>
                              </w:rPr>
                            </w:pPr>
                            <w:r>
                              <w:rPr>
                                <w:rFonts w:ascii="標楷體" w:eastAsia="標楷體" w:hAnsi="標楷體" w:hint="eastAsia"/>
                                <w:color w:val="000000"/>
                                <w:sz w:val="20"/>
                                <w:szCs w:val="20"/>
                              </w:rPr>
                              <w:t>6.21</w:t>
                            </w:r>
                          </w:p>
                        </w:tc>
                      </w:tr>
                    </w:tbl>
                    <w:p w14:paraId="303BE0E5" w14:textId="77645E6C" w:rsidR="003731AC" w:rsidRDefault="003731AC" w:rsidP="003731AC">
                      <w:pPr>
                        <w:spacing w:line="260" w:lineRule="exact"/>
                      </w:pPr>
                      <w:r>
                        <w:rPr>
                          <w:rFonts w:ascii="標楷體" w:eastAsia="標楷體" w:hAnsi="標楷體" w:cs="新細明體" w:hint="eastAsia"/>
                          <w:color w:val="000000"/>
                          <w:kern w:val="0"/>
                          <w:sz w:val="18"/>
                          <w:szCs w:val="18"/>
                        </w:rPr>
                        <w:t>資料來源：整理自稅捐稽徵處提供資料。</w:t>
                      </w:r>
                    </w:p>
                  </w:txbxContent>
                </v:textbox>
                <w10:wrap type="tight" anchorx="margin" anchory="page"/>
              </v:shape>
            </w:pict>
          </mc:Fallback>
        </mc:AlternateContent>
      </w:r>
      <w:r>
        <w:rPr>
          <w:rFonts w:ascii="標楷體" w:eastAsia="標楷體" w:hAnsi="標楷體" w:hint="eastAsia"/>
          <w:b/>
          <w:bCs/>
          <w:szCs w:val="24"/>
        </w:rPr>
        <w:t>2</w:t>
      </w:r>
      <w:r>
        <w:rPr>
          <w:rFonts w:ascii="標楷體" w:eastAsia="標楷體" w:hAnsi="標楷體" w:hint="eastAsia"/>
          <w:b/>
          <w:bCs/>
          <w:color w:val="000000"/>
          <w:szCs w:val="18"/>
        </w:rPr>
        <w:t>.近</w:t>
      </w:r>
      <w:proofErr w:type="gramStart"/>
      <w:r>
        <w:rPr>
          <w:rFonts w:ascii="標楷體" w:eastAsia="標楷體" w:hAnsi="標楷體" w:hint="eastAsia"/>
          <w:b/>
          <w:bCs/>
          <w:color w:val="000000"/>
          <w:szCs w:val="18"/>
        </w:rPr>
        <w:t>5</w:t>
      </w:r>
      <w:proofErr w:type="gramEnd"/>
      <w:r>
        <w:rPr>
          <w:rFonts w:ascii="標楷體" w:eastAsia="標楷體" w:hAnsi="標楷體" w:hint="eastAsia"/>
          <w:b/>
          <w:bCs/>
          <w:color w:val="000000"/>
          <w:szCs w:val="18"/>
        </w:rPr>
        <w:t>年度</w:t>
      </w:r>
      <w:r>
        <w:rPr>
          <w:rFonts w:ascii="標楷體" w:eastAsia="標楷體" w:hAnsi="標楷體" w:hint="eastAsia"/>
          <w:b/>
          <w:color w:val="000000"/>
          <w:szCs w:val="18"/>
        </w:rPr>
        <w:t>經輔導後補報</w:t>
      </w:r>
      <w:proofErr w:type="gramStart"/>
      <w:r>
        <w:rPr>
          <w:rFonts w:ascii="標楷體" w:eastAsia="標楷體" w:hAnsi="標楷體" w:hint="eastAsia"/>
          <w:b/>
          <w:color w:val="000000"/>
          <w:szCs w:val="18"/>
        </w:rPr>
        <w:t>繳</w:t>
      </w:r>
      <w:proofErr w:type="gramEnd"/>
      <w:r>
        <w:rPr>
          <w:rFonts w:ascii="標楷體" w:eastAsia="標楷體" w:hAnsi="標楷體" w:hint="eastAsia"/>
          <w:b/>
          <w:color w:val="000000"/>
          <w:szCs w:val="18"/>
        </w:rPr>
        <w:t>印花稅之業者均逾</w:t>
      </w:r>
      <w:proofErr w:type="gramStart"/>
      <w:r>
        <w:rPr>
          <w:rFonts w:ascii="標楷體" w:eastAsia="標楷體" w:hAnsi="標楷體" w:hint="eastAsia"/>
          <w:b/>
          <w:color w:val="000000"/>
          <w:szCs w:val="18"/>
        </w:rPr>
        <w:t>5成</w:t>
      </w:r>
      <w:proofErr w:type="gramEnd"/>
      <w:r>
        <w:rPr>
          <w:rFonts w:ascii="標楷體" w:eastAsia="標楷體" w:hAnsi="標楷體" w:hint="eastAsia"/>
          <w:b/>
          <w:color w:val="000000"/>
          <w:szCs w:val="18"/>
        </w:rPr>
        <w:t>，且</w:t>
      </w:r>
      <w:proofErr w:type="gramStart"/>
      <w:r>
        <w:rPr>
          <w:rFonts w:ascii="標楷體" w:eastAsia="標楷體" w:hAnsi="標楷體" w:hint="eastAsia"/>
          <w:b/>
          <w:bCs/>
          <w:szCs w:val="24"/>
        </w:rPr>
        <w:t>採</w:t>
      </w:r>
      <w:proofErr w:type="gramEnd"/>
      <w:r>
        <w:rPr>
          <w:rFonts w:ascii="標楷體" w:eastAsia="標楷體" w:hAnsi="標楷體" w:hint="eastAsia"/>
          <w:b/>
          <w:bCs/>
          <w:szCs w:val="24"/>
        </w:rPr>
        <w:t>彙總繳納方式之比率仍低：</w:t>
      </w:r>
      <w:r>
        <w:rPr>
          <w:rFonts w:ascii="標楷體" w:eastAsia="標楷體" w:hAnsi="標楷體" w:hint="eastAsia"/>
          <w:szCs w:val="24"/>
        </w:rPr>
        <w:t>（1）</w:t>
      </w:r>
      <w:r>
        <w:rPr>
          <w:rFonts w:eastAsia="標楷體" w:hint="eastAsia"/>
          <w:szCs w:val="24"/>
        </w:rPr>
        <w:t>稅捐稽徵處</w:t>
      </w:r>
      <w:r>
        <w:rPr>
          <w:rFonts w:ascii="標楷體" w:eastAsia="標楷體" w:hAnsi="標楷體" w:hint="eastAsia"/>
          <w:szCs w:val="24"/>
        </w:rPr>
        <w:t>每年均辦理印花稅</w:t>
      </w:r>
      <w:r>
        <w:rPr>
          <w:rFonts w:ascii="標楷體" w:eastAsia="標楷體" w:hAnsi="標楷體" w:hint="eastAsia"/>
          <w:color w:val="000000"/>
          <w:szCs w:val="18"/>
        </w:rPr>
        <w:t>應稅憑證檢查作業計畫，近5（109至113）年度檢查業者家數分別為1,432家、1,349家、1,297家、1,274家及1,291家，經各分處發函輔導與通知定期檢查後，須補報補繳印花稅款之業者家數分別為829家、802家、790家、749家及725家，各年度須補繳之業者家數比率皆逾</w:t>
      </w:r>
      <w:proofErr w:type="gramStart"/>
      <w:r>
        <w:rPr>
          <w:rFonts w:ascii="標楷體" w:eastAsia="標楷體" w:hAnsi="標楷體" w:hint="eastAsia"/>
          <w:color w:val="000000"/>
          <w:szCs w:val="18"/>
        </w:rPr>
        <w:t>5成</w:t>
      </w:r>
      <w:proofErr w:type="gramEnd"/>
      <w:r>
        <w:rPr>
          <w:rFonts w:ascii="標楷體" w:eastAsia="標楷體" w:hAnsi="標楷體" w:hint="eastAsia"/>
          <w:color w:val="000000"/>
          <w:szCs w:val="18"/>
        </w:rPr>
        <w:t>，且補繳稅額由</w:t>
      </w:r>
      <w:proofErr w:type="gramStart"/>
      <w:r>
        <w:rPr>
          <w:rFonts w:ascii="標楷體" w:eastAsia="標楷體" w:hAnsi="標楷體" w:hint="eastAsia"/>
          <w:color w:val="000000"/>
          <w:szCs w:val="18"/>
        </w:rPr>
        <w:t>109</w:t>
      </w:r>
      <w:proofErr w:type="gramEnd"/>
      <w:r>
        <w:rPr>
          <w:rFonts w:ascii="標楷體" w:eastAsia="標楷體" w:hAnsi="標楷體" w:hint="eastAsia"/>
          <w:color w:val="000000"/>
          <w:szCs w:val="18"/>
        </w:rPr>
        <w:t>年度之2億344萬餘元上升至</w:t>
      </w:r>
      <w:proofErr w:type="gramStart"/>
      <w:r>
        <w:rPr>
          <w:rFonts w:ascii="標楷體" w:eastAsia="標楷體" w:hAnsi="標楷體" w:hint="eastAsia"/>
          <w:color w:val="000000"/>
          <w:szCs w:val="18"/>
        </w:rPr>
        <w:t>113</w:t>
      </w:r>
      <w:proofErr w:type="gramEnd"/>
      <w:r>
        <w:rPr>
          <w:rFonts w:ascii="標楷體" w:eastAsia="標楷體" w:hAnsi="標楷體" w:hint="eastAsia"/>
          <w:color w:val="000000"/>
          <w:szCs w:val="18"/>
        </w:rPr>
        <w:t>年度之2億9,983萬餘元（表2），顯示仍有頗多業者未熟稔或忽略印花稅繳納之規定；（2）依印花稅法第8條規定，印花稅繳納方式包含貼印花稅票、大額繳納及彙總繳納等3種方式，惟該處為有效掌握印花稅稅源，積極輔導受檢業者完成申請彙整繳納結果，近</w:t>
      </w:r>
      <w:proofErr w:type="gramStart"/>
      <w:r>
        <w:rPr>
          <w:rFonts w:ascii="標楷體" w:eastAsia="標楷體" w:hAnsi="標楷體" w:hint="eastAsia"/>
          <w:color w:val="000000"/>
          <w:szCs w:val="18"/>
        </w:rPr>
        <w:t>5</w:t>
      </w:r>
      <w:proofErr w:type="gramEnd"/>
      <w:r>
        <w:rPr>
          <w:rFonts w:ascii="標楷體" w:eastAsia="標楷體" w:hAnsi="標楷體" w:hint="eastAsia"/>
          <w:color w:val="000000"/>
          <w:szCs w:val="18"/>
        </w:rPr>
        <w:t>年度輔導受檢業者完成申請彙總繳納家數占輔導家數之比率僅介於3.74％至6.21％間（表2），難以有效掌握稅源等情事，經函請</w:t>
      </w:r>
      <w:proofErr w:type="gramStart"/>
      <w:r>
        <w:rPr>
          <w:rFonts w:ascii="標楷體" w:eastAsia="標楷體" w:hAnsi="標楷體" w:hint="eastAsia"/>
          <w:color w:val="000000"/>
          <w:szCs w:val="18"/>
        </w:rPr>
        <w:t>研</w:t>
      </w:r>
      <w:proofErr w:type="gramEnd"/>
      <w:r>
        <w:rPr>
          <w:rFonts w:ascii="標楷體" w:eastAsia="標楷體" w:hAnsi="標楷體" w:hint="eastAsia"/>
          <w:color w:val="000000"/>
          <w:szCs w:val="18"/>
        </w:rPr>
        <w:t>謀改善。據復：透過運用資訊系統勾</w:t>
      </w:r>
      <w:proofErr w:type="gramStart"/>
      <w:r>
        <w:rPr>
          <w:rFonts w:ascii="標楷體" w:eastAsia="標楷體" w:hAnsi="標楷體" w:hint="eastAsia"/>
          <w:color w:val="000000"/>
          <w:szCs w:val="18"/>
        </w:rPr>
        <w:t>稽</w:t>
      </w:r>
      <w:proofErr w:type="gramEnd"/>
      <w:r>
        <w:rPr>
          <w:rFonts w:ascii="標楷體" w:eastAsia="標楷體" w:hAnsi="標楷體" w:hint="eastAsia"/>
          <w:color w:val="000000"/>
          <w:szCs w:val="18"/>
        </w:rPr>
        <w:t>業者資料，並製作有聲書、宣導單、通知函及舉辦講習等方式，主動輔導業者申報繳納印花稅，另宣導以開立繳款</w:t>
      </w:r>
      <w:proofErr w:type="gramStart"/>
      <w:r>
        <w:rPr>
          <w:rFonts w:ascii="標楷體" w:eastAsia="標楷體" w:hAnsi="標楷體" w:hint="eastAsia"/>
          <w:color w:val="000000"/>
          <w:szCs w:val="18"/>
        </w:rPr>
        <w:t>書或彙總</w:t>
      </w:r>
      <w:proofErr w:type="gramEnd"/>
      <w:r>
        <w:rPr>
          <w:rFonts w:ascii="標楷體" w:eastAsia="標楷體" w:hAnsi="標楷體" w:hint="eastAsia"/>
          <w:color w:val="000000"/>
          <w:szCs w:val="18"/>
        </w:rPr>
        <w:t>繳納方式完稅；又對於以前年度經通知檢查後始辦理補繳之受檢業者，將列為重點查核對象持續追蹤</w:t>
      </w:r>
      <w:r>
        <w:rPr>
          <w:rFonts w:ascii="標楷體" w:eastAsia="標楷體" w:hAnsi="標楷體" w:hint="eastAsia"/>
          <w:szCs w:val="28"/>
        </w:rPr>
        <w:t>。</w:t>
      </w:r>
    </w:p>
    <w:p w14:paraId="61D7069F" w14:textId="77777777" w:rsidR="003731AC" w:rsidRDefault="003731AC" w:rsidP="00EE1535">
      <w:pPr>
        <w:suppressAutoHyphens/>
        <w:overflowPunct w:val="0"/>
        <w:spacing w:beforeLines="50" w:before="180" w:line="44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（五）</w:t>
      </w:r>
      <w:r>
        <w:rPr>
          <w:rFonts w:ascii="標楷體" w:eastAsia="標楷體" w:hAnsi="標楷體" w:hint="eastAsia"/>
          <w:b/>
          <w:color w:val="000000" w:themeColor="text1"/>
          <w:spacing w:val="6"/>
          <w:kern w:val="0"/>
          <w:sz w:val="28"/>
          <w:szCs w:val="28"/>
        </w:rPr>
        <w:t>定期追蹤市有土地被占用案件辦理情形，</w:t>
      </w:r>
      <w:proofErr w:type="gramStart"/>
      <w:r>
        <w:rPr>
          <w:rFonts w:ascii="標楷體" w:eastAsia="標楷體" w:hAnsi="標楷體" w:hint="eastAsia"/>
          <w:b/>
          <w:color w:val="000000" w:themeColor="text1"/>
          <w:spacing w:val="6"/>
          <w:kern w:val="0"/>
          <w:sz w:val="28"/>
          <w:szCs w:val="28"/>
        </w:rPr>
        <w:t>惟間有部分</w:t>
      </w:r>
      <w:proofErr w:type="gramEnd"/>
      <w:r>
        <w:rPr>
          <w:rFonts w:ascii="標楷體" w:eastAsia="標楷體" w:hAnsi="標楷體" w:hint="eastAsia"/>
          <w:b/>
          <w:color w:val="000000" w:themeColor="text1"/>
          <w:spacing w:val="6"/>
          <w:kern w:val="0"/>
          <w:sz w:val="28"/>
          <w:szCs w:val="28"/>
        </w:rPr>
        <w:t>機關清理進度緩慢，及管理機制仍有疏漏等情，</w:t>
      </w:r>
      <w:r w:rsidRPr="003E37F7">
        <w:rPr>
          <w:rFonts w:ascii="標楷體" w:eastAsia="標楷體" w:hAnsi="標楷體" w:hint="eastAsia"/>
          <w:b/>
          <w:bCs/>
          <w:sz w:val="28"/>
          <w:szCs w:val="28"/>
        </w:rPr>
        <w:t>亟待</w:t>
      </w:r>
      <w:proofErr w:type="gramStart"/>
      <w:r>
        <w:rPr>
          <w:rFonts w:ascii="標楷體" w:eastAsia="標楷體" w:hAnsi="標楷體" w:hint="eastAsia"/>
          <w:b/>
          <w:color w:val="000000" w:themeColor="text1"/>
          <w:spacing w:val="6"/>
          <w:kern w:val="0"/>
          <w:sz w:val="28"/>
          <w:szCs w:val="28"/>
        </w:rPr>
        <w:t>研</w:t>
      </w:r>
      <w:proofErr w:type="gramEnd"/>
      <w:r>
        <w:rPr>
          <w:rFonts w:ascii="標楷體" w:eastAsia="標楷體" w:hAnsi="標楷體" w:hint="eastAsia"/>
          <w:b/>
          <w:color w:val="000000" w:themeColor="text1"/>
          <w:spacing w:val="6"/>
          <w:kern w:val="0"/>
          <w:sz w:val="28"/>
          <w:szCs w:val="28"/>
        </w:rPr>
        <w:t>謀改善，</w:t>
      </w:r>
      <w:proofErr w:type="gramStart"/>
      <w:r>
        <w:rPr>
          <w:rFonts w:ascii="標楷體" w:eastAsia="標楷體" w:hAnsi="標楷體" w:hint="eastAsia"/>
          <w:b/>
          <w:color w:val="000000" w:themeColor="text1"/>
          <w:spacing w:val="6"/>
          <w:kern w:val="0"/>
          <w:sz w:val="28"/>
          <w:szCs w:val="28"/>
        </w:rPr>
        <w:t>俾</w:t>
      </w:r>
      <w:proofErr w:type="gramEnd"/>
      <w:r>
        <w:rPr>
          <w:rFonts w:ascii="標楷體" w:eastAsia="標楷體" w:hAnsi="標楷體" w:hint="eastAsia"/>
          <w:b/>
          <w:color w:val="000000" w:themeColor="text1"/>
          <w:spacing w:val="6"/>
          <w:kern w:val="0"/>
          <w:sz w:val="28"/>
          <w:szCs w:val="28"/>
        </w:rPr>
        <w:t>落實執行清理作業，以維護市產權益</w:t>
      </w:r>
      <w:r>
        <w:rPr>
          <w:rFonts w:ascii="標楷體" w:eastAsia="標楷體" w:hAnsi="標楷體" w:hint="eastAsia"/>
          <w:b/>
          <w:color w:val="000000" w:themeColor="text1"/>
          <w:spacing w:val="10"/>
          <w:kern w:val="0"/>
          <w:sz w:val="28"/>
          <w:szCs w:val="28"/>
        </w:rPr>
        <w:t>。</w:t>
      </w:r>
    </w:p>
    <w:p w14:paraId="74ECF04A" w14:textId="77777777" w:rsidR="00010ACF" w:rsidRDefault="003731AC" w:rsidP="00BE30C9">
      <w:pPr>
        <w:spacing w:beforeLines="30" w:before="108" w:line="450" w:lineRule="exact"/>
        <w:ind w:firstLineChars="200" w:firstLine="480"/>
        <w:jc w:val="both"/>
        <w:rPr>
          <w:rFonts w:ascii="標楷體" w:eastAsia="標楷體" w:hAnsi="標楷體"/>
        </w:rPr>
      </w:pPr>
      <w:r>
        <w:rPr>
          <w:rFonts w:ascii="標楷體" w:eastAsia="標楷體" w:hAnsi="標楷體" w:hint="eastAsia"/>
          <w:color w:val="000000"/>
          <w:szCs w:val="24"/>
        </w:rPr>
        <w:t>財政局為積極清理被占用市有不動產，</w:t>
      </w:r>
      <w:r>
        <w:rPr>
          <w:rFonts w:ascii="標楷體" w:eastAsia="標楷體" w:hAnsi="標楷體" w:hint="eastAsia"/>
        </w:rPr>
        <w:t>定期召開</w:t>
      </w:r>
      <w:proofErr w:type="gramStart"/>
      <w:r>
        <w:rPr>
          <w:rFonts w:ascii="標楷體" w:eastAsia="標楷體" w:hAnsi="標楷體" w:hint="eastAsia"/>
        </w:rPr>
        <w:t>研</w:t>
      </w:r>
      <w:proofErr w:type="gramEnd"/>
      <w:r>
        <w:rPr>
          <w:rFonts w:ascii="標楷體" w:eastAsia="標楷體" w:hAnsi="標楷體" w:hint="eastAsia"/>
        </w:rPr>
        <w:t>商會議，協助市有公用不動產被占用機關依規定處理被占用案件，並清理被占用之市有非公用不動產，以維護市產權益。截至113年底止，該局列管被</w:t>
      </w:r>
      <w:proofErr w:type="gramStart"/>
      <w:r>
        <w:rPr>
          <w:rFonts w:ascii="標楷體" w:eastAsia="標楷體" w:hAnsi="標楷體" w:hint="eastAsia"/>
        </w:rPr>
        <w:t>占用待清理</w:t>
      </w:r>
      <w:proofErr w:type="gramEnd"/>
      <w:r>
        <w:rPr>
          <w:rFonts w:ascii="標楷體" w:eastAsia="標楷體" w:hAnsi="標楷體" w:hint="eastAsia"/>
        </w:rPr>
        <w:t>之市有不動產計有176筆土地、面積16,018.68平方公尺，及2筆建物、面積217.79平方公尺。經該</w:t>
      </w:r>
      <w:proofErr w:type="gramStart"/>
      <w:r>
        <w:rPr>
          <w:rFonts w:ascii="標楷體" w:eastAsia="標楷體" w:hAnsi="標楷體" w:hint="eastAsia"/>
        </w:rPr>
        <w:t>局按占用人</w:t>
      </w:r>
      <w:proofErr w:type="gramEnd"/>
      <w:r>
        <w:rPr>
          <w:rFonts w:ascii="標楷體" w:eastAsia="標楷體" w:hAnsi="標楷體" w:hint="eastAsia"/>
        </w:rPr>
        <w:t>列管被占用不動產計有235案，其中蒐集資料處理中者5案、協調處理中者27案、催收無權占用使用補償金者121案、移請臺北市建築管理工程處（下稱建管處）拆除中者17案、循司法或訴訟程序處理中者65案（表3）。經查清理情形，</w:t>
      </w:r>
    </w:p>
    <w:p w14:paraId="1125FE72" w14:textId="4ECBA104" w:rsidR="003731AC" w:rsidRDefault="00661162" w:rsidP="00010ACF">
      <w:pPr>
        <w:spacing w:beforeLines="20" w:before="72" w:line="450" w:lineRule="exact"/>
        <w:jc w:val="both"/>
        <w:rPr>
          <w:rFonts w:ascii="標楷體" w:eastAsia="標楷體" w:hAnsi="標楷體"/>
          <w:color w:val="000000"/>
          <w:szCs w:val="24"/>
        </w:rPr>
      </w:pPr>
      <w:r>
        <w:rPr>
          <w:rFonts w:hint="eastAsia"/>
          <w:noProof/>
        </w:rPr>
        <w:lastRenderedPageBreak/>
        <mc:AlternateContent>
          <mc:Choice Requires="wps">
            <w:drawing>
              <wp:anchor distT="0" distB="0" distL="114300" distR="114300" simplePos="0" relativeHeight="251738112" behindDoc="1" locked="0" layoutInCell="1" allowOverlap="1" wp14:anchorId="4C6123A1" wp14:editId="1968B802">
                <wp:simplePos x="0" y="0"/>
                <wp:positionH relativeFrom="margin">
                  <wp:posOffset>2275205</wp:posOffset>
                </wp:positionH>
                <wp:positionV relativeFrom="page">
                  <wp:posOffset>942975</wp:posOffset>
                </wp:positionV>
                <wp:extent cx="4022090" cy="3086100"/>
                <wp:effectExtent l="0" t="0" r="0" b="0"/>
                <wp:wrapTight wrapText="bothSides">
                  <wp:wrapPolygon edited="0">
                    <wp:start x="0" y="0"/>
                    <wp:lineTo x="0" y="21467"/>
                    <wp:lineTo x="21484" y="21467"/>
                    <wp:lineTo x="21484" y="0"/>
                    <wp:lineTo x="0" y="0"/>
                  </wp:wrapPolygon>
                </wp:wrapTight>
                <wp:docPr id="927419605" name="文字方塊 927419605"/>
                <wp:cNvGraphicFramePr/>
                <a:graphic xmlns:a="http://schemas.openxmlformats.org/drawingml/2006/main">
                  <a:graphicData uri="http://schemas.microsoft.com/office/word/2010/wordprocessingShape">
                    <wps:wsp>
                      <wps:cNvSpPr txBox="1"/>
                      <wps:spPr>
                        <a:xfrm>
                          <a:off x="0" y="0"/>
                          <a:ext cx="4022090" cy="3086100"/>
                        </a:xfrm>
                        <a:prstGeom prst="rect">
                          <a:avLst/>
                        </a:prstGeom>
                        <a:solidFill>
                          <a:schemeClr val="lt1"/>
                        </a:solidFill>
                        <a:ln w="6350">
                          <a:noFill/>
                        </a:ln>
                      </wps:spPr>
                      <wps:txbx>
                        <w:txbxContent>
                          <w:p w14:paraId="2F2F00FE" w14:textId="77777777" w:rsidR="003731AC" w:rsidRDefault="003731AC" w:rsidP="003731AC">
                            <w:pPr>
                              <w:jc w:val="center"/>
                              <w:rPr>
                                <w:rFonts w:ascii="標楷體" w:eastAsia="標楷體" w:hAnsi="標楷體"/>
                                <w:b/>
                                <w:sz w:val="20"/>
                              </w:rPr>
                            </w:pPr>
                            <w:r>
                              <w:rPr>
                                <w:rFonts w:ascii="標楷體" w:eastAsia="標楷體" w:hAnsi="標楷體" w:hint="eastAsia"/>
                                <w:b/>
                              </w:rPr>
                              <w:t>表3　截至113年底</w:t>
                            </w:r>
                            <w:proofErr w:type="gramStart"/>
                            <w:r>
                              <w:rPr>
                                <w:rFonts w:ascii="標楷體" w:eastAsia="標楷體" w:hAnsi="標楷體" w:hint="eastAsia"/>
                                <w:b/>
                              </w:rPr>
                              <w:t>止列管市</w:t>
                            </w:r>
                            <w:proofErr w:type="gramEnd"/>
                            <w:r>
                              <w:rPr>
                                <w:rFonts w:ascii="標楷體" w:eastAsia="標楷體" w:hAnsi="標楷體" w:hint="eastAsia"/>
                                <w:b/>
                              </w:rPr>
                              <w:t>有不動產被占用情形</w:t>
                            </w:r>
                          </w:p>
                          <w:p w14:paraId="3945E3F8" w14:textId="77777777" w:rsidR="003731AC" w:rsidRDefault="003731AC" w:rsidP="002F0729">
                            <w:pPr>
                              <w:ind w:rightChars="-25" w:right="-60"/>
                              <w:jc w:val="right"/>
                              <w:rPr>
                                <w:rFonts w:ascii="標楷體" w:eastAsia="標楷體" w:hAnsi="標楷體"/>
                                <w:sz w:val="20"/>
                              </w:rPr>
                            </w:pPr>
                            <w:r>
                              <w:rPr>
                                <w:rFonts w:ascii="標楷體" w:eastAsia="標楷體" w:hAnsi="標楷體" w:hint="eastAsia"/>
                                <w:sz w:val="20"/>
                              </w:rPr>
                              <w:t>單位：案</w:t>
                            </w:r>
                          </w:p>
                          <w:tbl>
                            <w:tblPr>
                              <w:tblStyle w:val="261"/>
                              <w:tblW w:w="6090" w:type="dxa"/>
                              <w:tblLayout w:type="fixed"/>
                              <w:tblLook w:val="04A0" w:firstRow="1" w:lastRow="0" w:firstColumn="1" w:lastColumn="0" w:noHBand="0" w:noVBand="1"/>
                            </w:tblPr>
                            <w:tblGrid>
                              <w:gridCol w:w="1837"/>
                              <w:gridCol w:w="851"/>
                              <w:gridCol w:w="850"/>
                              <w:gridCol w:w="851"/>
                              <w:gridCol w:w="850"/>
                              <w:gridCol w:w="851"/>
                            </w:tblGrid>
                            <w:tr w:rsidR="003731AC" w14:paraId="09DEDD3F" w14:textId="77777777">
                              <w:trPr>
                                <w:trHeight w:val="730"/>
                              </w:trPr>
                              <w:tc>
                                <w:tcPr>
                                  <w:tcW w:w="1838" w:type="dxa"/>
                                  <w:tcBorders>
                                    <w:top w:val="single" w:sz="4" w:space="0" w:color="auto"/>
                                    <w:left w:val="single" w:sz="4" w:space="0" w:color="auto"/>
                                    <w:bottom w:val="single" w:sz="4" w:space="0" w:color="auto"/>
                                    <w:right w:val="single" w:sz="4" w:space="0" w:color="auto"/>
                                    <w:tl2br w:val="single" w:sz="4" w:space="0" w:color="auto"/>
                                  </w:tcBorders>
                                  <w:noWrap/>
                                  <w:hideMark/>
                                </w:tcPr>
                                <w:p w14:paraId="494776D0" w14:textId="77777777" w:rsidR="003731AC" w:rsidRDefault="003731AC">
                                  <w:pPr>
                                    <w:widowControl/>
                                    <w:jc w:val="right"/>
                                    <w:rPr>
                                      <w:rFonts w:ascii="標楷體" w:eastAsia="標楷體" w:hAnsi="標楷體" w:cs="新細明體"/>
                                      <w:color w:val="000000"/>
                                    </w:rPr>
                                  </w:pPr>
                                  <w:r>
                                    <w:rPr>
                                      <w:rFonts w:ascii="標楷體" w:eastAsia="標楷體" w:hAnsi="標楷體" w:cs="新細明體" w:hint="eastAsia"/>
                                      <w:color w:val="000000"/>
                                    </w:rPr>
                                    <w:t>財產性質</w:t>
                                  </w:r>
                                </w:p>
                                <w:p w14:paraId="55A5DB9C" w14:textId="77777777" w:rsidR="003731AC" w:rsidRDefault="003731AC" w:rsidP="00922E76">
                                  <w:pPr>
                                    <w:widowControl/>
                                    <w:jc w:val="left"/>
                                    <w:rPr>
                                      <w:rFonts w:ascii="標楷體" w:eastAsia="標楷體" w:hAnsi="標楷體" w:cs="新細明體"/>
                                      <w:color w:val="000000"/>
                                    </w:rPr>
                                  </w:pPr>
                                  <w:r>
                                    <w:rPr>
                                      <w:rFonts w:ascii="標楷體" w:eastAsia="標楷體" w:hAnsi="標楷體" w:cs="新細明體" w:hint="eastAsia"/>
                                      <w:color w:val="000000"/>
                                    </w:rPr>
                                    <w:t>處理情形</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E6C58A" w14:textId="77777777" w:rsidR="003731AC" w:rsidRPr="00922E76" w:rsidRDefault="003731AC">
                                  <w:pPr>
                                    <w:widowControl/>
                                    <w:rPr>
                                      <w:rFonts w:ascii="標楷體" w:eastAsia="標楷體" w:hAnsi="標楷體" w:cs="新細明體"/>
                                      <w:bCs/>
                                      <w:color w:val="000000"/>
                                    </w:rPr>
                                  </w:pPr>
                                  <w:r w:rsidRPr="00922E76">
                                    <w:rPr>
                                      <w:rFonts w:ascii="標楷體" w:eastAsia="標楷體" w:hAnsi="標楷體" w:cs="新細明體" w:hint="eastAsia"/>
                                      <w:bCs/>
                                      <w:color w:val="000000"/>
                                    </w:rPr>
                                    <w:t>合  計</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E351F1D" w14:textId="77777777" w:rsidR="003731AC" w:rsidRDefault="003731AC">
                                  <w:pPr>
                                    <w:widowControl/>
                                    <w:rPr>
                                      <w:rFonts w:ascii="標楷體" w:eastAsia="標楷體" w:hAnsi="標楷體" w:cs="新細明體"/>
                                      <w:color w:val="000000"/>
                                    </w:rPr>
                                  </w:pPr>
                                  <w:r>
                                    <w:rPr>
                                      <w:rFonts w:ascii="標楷體" w:eastAsia="標楷體" w:hAnsi="標楷體" w:cs="新細明體" w:hint="eastAsia"/>
                                      <w:color w:val="000000"/>
                                    </w:rPr>
                                    <w:t>公務用</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6F78F87" w14:textId="77777777" w:rsidR="003731AC" w:rsidRDefault="003731AC">
                                  <w:pPr>
                                    <w:widowControl/>
                                    <w:rPr>
                                      <w:rFonts w:ascii="標楷體" w:eastAsia="標楷體" w:hAnsi="標楷體" w:cs="新細明體"/>
                                      <w:color w:val="000000"/>
                                    </w:rPr>
                                  </w:pPr>
                                  <w:r>
                                    <w:rPr>
                                      <w:rFonts w:ascii="標楷體" w:eastAsia="標楷體" w:hAnsi="標楷體" w:cs="新細明體" w:hint="eastAsia"/>
                                      <w:color w:val="000000"/>
                                    </w:rPr>
                                    <w:t>公共用</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249E869" w14:textId="77777777" w:rsidR="003731AC" w:rsidRDefault="003731AC">
                                  <w:pPr>
                                    <w:widowControl/>
                                    <w:rPr>
                                      <w:rFonts w:ascii="標楷體" w:eastAsia="標楷體" w:hAnsi="標楷體" w:cs="新細明體"/>
                                      <w:color w:val="000000"/>
                                    </w:rPr>
                                  </w:pPr>
                                  <w:r>
                                    <w:rPr>
                                      <w:rFonts w:ascii="標楷體" w:eastAsia="標楷體" w:hAnsi="標楷體" w:cs="新細明體" w:hint="eastAsia"/>
                                      <w:color w:val="000000"/>
                                    </w:rPr>
                                    <w:t>事業用</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865F117" w14:textId="77777777" w:rsidR="003731AC" w:rsidRDefault="003731AC">
                                  <w:pPr>
                                    <w:widowControl/>
                                    <w:rPr>
                                      <w:rFonts w:ascii="標楷體" w:eastAsia="標楷體" w:hAnsi="標楷體" w:cs="新細明體"/>
                                      <w:color w:val="000000"/>
                                    </w:rPr>
                                  </w:pPr>
                                  <w:r>
                                    <w:rPr>
                                      <w:rFonts w:ascii="標楷體" w:eastAsia="標楷體" w:hAnsi="標楷體" w:cs="新細明體" w:hint="eastAsia"/>
                                      <w:color w:val="000000"/>
                                    </w:rPr>
                                    <w:t>非公用</w:t>
                                  </w:r>
                                </w:p>
                              </w:tc>
                            </w:tr>
                            <w:tr w:rsidR="003731AC" w14:paraId="5E8CE65A" w14:textId="77777777">
                              <w:trPr>
                                <w:trHeight w:val="330"/>
                              </w:trPr>
                              <w:tc>
                                <w:tcPr>
                                  <w:tcW w:w="1838" w:type="dxa"/>
                                  <w:tcBorders>
                                    <w:top w:val="single" w:sz="4" w:space="0" w:color="auto"/>
                                    <w:left w:val="single" w:sz="4" w:space="0" w:color="auto"/>
                                    <w:bottom w:val="single" w:sz="4" w:space="0" w:color="auto"/>
                                    <w:right w:val="single" w:sz="4" w:space="0" w:color="auto"/>
                                  </w:tcBorders>
                                  <w:noWrap/>
                                  <w:hideMark/>
                                </w:tcPr>
                                <w:p w14:paraId="45DA5DDA" w14:textId="77777777" w:rsidR="003731AC" w:rsidRDefault="003731AC">
                                  <w:pPr>
                                    <w:widowControl/>
                                    <w:rPr>
                                      <w:rFonts w:ascii="標楷體" w:eastAsia="標楷體" w:hAnsi="標楷體" w:cs="新細明體"/>
                                      <w:b/>
                                      <w:color w:val="000000"/>
                                    </w:rPr>
                                  </w:pPr>
                                  <w:r w:rsidRPr="003731AC">
                                    <w:rPr>
                                      <w:rFonts w:ascii="標楷體" w:eastAsia="標楷體" w:hAnsi="標楷體" w:cs="新細明體" w:hint="eastAsia"/>
                                      <w:b/>
                                      <w:color w:val="000000"/>
                                      <w:spacing w:val="520"/>
                                      <w:fitText w:val="1440" w:id="-718535168"/>
                                    </w:rPr>
                                    <w:t>合</w:t>
                                  </w:r>
                                  <w:r w:rsidRPr="003731AC">
                                    <w:rPr>
                                      <w:rFonts w:ascii="標楷體" w:eastAsia="標楷體" w:hAnsi="標楷體" w:cs="新細明體" w:hint="eastAsia"/>
                                      <w:b/>
                                      <w:color w:val="000000"/>
                                      <w:fitText w:val="1440" w:id="-718535168"/>
                                    </w:rPr>
                                    <w:t>計</w:t>
                                  </w:r>
                                </w:p>
                              </w:tc>
                              <w:tc>
                                <w:tcPr>
                                  <w:tcW w:w="851" w:type="dxa"/>
                                  <w:tcBorders>
                                    <w:top w:val="single" w:sz="4" w:space="0" w:color="auto"/>
                                    <w:left w:val="single" w:sz="4" w:space="0" w:color="auto"/>
                                    <w:bottom w:val="single" w:sz="4" w:space="0" w:color="auto"/>
                                    <w:right w:val="single" w:sz="4" w:space="0" w:color="auto"/>
                                  </w:tcBorders>
                                  <w:hideMark/>
                                </w:tcPr>
                                <w:p w14:paraId="654F553A" w14:textId="77777777" w:rsidR="003731AC" w:rsidRDefault="003731AC">
                                  <w:pPr>
                                    <w:widowControl/>
                                    <w:jc w:val="right"/>
                                    <w:rPr>
                                      <w:rFonts w:ascii="標楷體" w:eastAsia="標楷體" w:hAnsi="標楷體" w:cs="新細明體"/>
                                      <w:b/>
                                      <w:color w:val="000000"/>
                                    </w:rPr>
                                  </w:pPr>
                                  <w:r>
                                    <w:rPr>
                                      <w:rFonts w:ascii="標楷體" w:eastAsia="標楷體" w:hAnsi="標楷體" w:cs="新細明體" w:hint="eastAsia"/>
                                      <w:b/>
                                      <w:color w:val="000000"/>
                                    </w:rPr>
                                    <w:t>235</w:t>
                                  </w:r>
                                </w:p>
                              </w:tc>
                              <w:tc>
                                <w:tcPr>
                                  <w:tcW w:w="850" w:type="dxa"/>
                                  <w:tcBorders>
                                    <w:top w:val="single" w:sz="4" w:space="0" w:color="auto"/>
                                    <w:left w:val="single" w:sz="4" w:space="0" w:color="auto"/>
                                    <w:bottom w:val="single" w:sz="4" w:space="0" w:color="auto"/>
                                    <w:right w:val="single" w:sz="4" w:space="0" w:color="auto"/>
                                  </w:tcBorders>
                                  <w:noWrap/>
                                  <w:hideMark/>
                                </w:tcPr>
                                <w:p w14:paraId="2F857487" w14:textId="77777777" w:rsidR="003731AC" w:rsidRDefault="003731AC">
                                  <w:pPr>
                                    <w:widowControl/>
                                    <w:jc w:val="right"/>
                                    <w:rPr>
                                      <w:rFonts w:ascii="標楷體" w:eastAsia="標楷體" w:hAnsi="標楷體" w:cs="新細明體"/>
                                      <w:b/>
                                      <w:color w:val="000000"/>
                                    </w:rPr>
                                  </w:pPr>
                                  <w:r>
                                    <w:rPr>
                                      <w:rFonts w:ascii="標楷體" w:eastAsia="標楷體" w:hAnsi="標楷體" w:cs="新細明體" w:hint="eastAsia"/>
                                      <w:b/>
                                      <w:color w:val="000000"/>
                                    </w:rPr>
                                    <w:t>55</w:t>
                                  </w:r>
                                </w:p>
                              </w:tc>
                              <w:tc>
                                <w:tcPr>
                                  <w:tcW w:w="851" w:type="dxa"/>
                                  <w:tcBorders>
                                    <w:top w:val="single" w:sz="4" w:space="0" w:color="auto"/>
                                    <w:left w:val="single" w:sz="4" w:space="0" w:color="auto"/>
                                    <w:bottom w:val="single" w:sz="4" w:space="0" w:color="auto"/>
                                    <w:right w:val="single" w:sz="4" w:space="0" w:color="auto"/>
                                  </w:tcBorders>
                                  <w:noWrap/>
                                  <w:hideMark/>
                                </w:tcPr>
                                <w:p w14:paraId="2DD42C72" w14:textId="77777777" w:rsidR="003731AC" w:rsidRDefault="003731AC">
                                  <w:pPr>
                                    <w:widowControl/>
                                    <w:jc w:val="right"/>
                                    <w:rPr>
                                      <w:rFonts w:ascii="標楷體" w:eastAsia="標楷體" w:hAnsi="標楷體" w:cs="新細明體"/>
                                      <w:b/>
                                      <w:color w:val="000000"/>
                                    </w:rPr>
                                  </w:pPr>
                                  <w:r>
                                    <w:rPr>
                                      <w:rFonts w:ascii="標楷體" w:eastAsia="標楷體" w:hAnsi="標楷體" w:cs="新細明體" w:hint="eastAsia"/>
                                      <w:b/>
                                      <w:color w:val="000000"/>
                                    </w:rPr>
                                    <w:t>58</w:t>
                                  </w:r>
                                </w:p>
                              </w:tc>
                              <w:tc>
                                <w:tcPr>
                                  <w:tcW w:w="850" w:type="dxa"/>
                                  <w:tcBorders>
                                    <w:top w:val="single" w:sz="4" w:space="0" w:color="auto"/>
                                    <w:left w:val="single" w:sz="4" w:space="0" w:color="auto"/>
                                    <w:bottom w:val="single" w:sz="4" w:space="0" w:color="auto"/>
                                    <w:right w:val="single" w:sz="4" w:space="0" w:color="auto"/>
                                  </w:tcBorders>
                                  <w:noWrap/>
                                  <w:hideMark/>
                                </w:tcPr>
                                <w:p w14:paraId="3FB9DD3E" w14:textId="77777777" w:rsidR="003731AC" w:rsidRDefault="003731AC">
                                  <w:pPr>
                                    <w:widowControl/>
                                    <w:jc w:val="right"/>
                                    <w:rPr>
                                      <w:rFonts w:ascii="標楷體" w:eastAsia="標楷體" w:hAnsi="標楷體" w:cs="新細明體"/>
                                      <w:b/>
                                      <w:color w:val="000000"/>
                                    </w:rPr>
                                  </w:pPr>
                                  <w:r>
                                    <w:rPr>
                                      <w:rFonts w:ascii="標楷體" w:eastAsia="標楷體" w:hAnsi="標楷體" w:cs="新細明體" w:hint="eastAsia"/>
                                      <w:b/>
                                      <w:color w:val="000000"/>
                                    </w:rPr>
                                    <w:t>4</w:t>
                                  </w:r>
                                </w:p>
                              </w:tc>
                              <w:tc>
                                <w:tcPr>
                                  <w:tcW w:w="851" w:type="dxa"/>
                                  <w:tcBorders>
                                    <w:top w:val="single" w:sz="4" w:space="0" w:color="auto"/>
                                    <w:left w:val="single" w:sz="4" w:space="0" w:color="auto"/>
                                    <w:bottom w:val="single" w:sz="4" w:space="0" w:color="auto"/>
                                    <w:right w:val="single" w:sz="4" w:space="0" w:color="auto"/>
                                  </w:tcBorders>
                                  <w:noWrap/>
                                  <w:hideMark/>
                                </w:tcPr>
                                <w:p w14:paraId="58696678" w14:textId="77777777" w:rsidR="003731AC" w:rsidRDefault="003731AC">
                                  <w:pPr>
                                    <w:widowControl/>
                                    <w:jc w:val="right"/>
                                    <w:rPr>
                                      <w:rFonts w:ascii="標楷體" w:eastAsia="標楷體" w:hAnsi="標楷體" w:cs="新細明體"/>
                                      <w:b/>
                                      <w:color w:val="000000"/>
                                    </w:rPr>
                                  </w:pPr>
                                  <w:r>
                                    <w:rPr>
                                      <w:rFonts w:ascii="標楷體" w:eastAsia="標楷體" w:hAnsi="標楷體" w:cs="新細明體" w:hint="eastAsia"/>
                                      <w:b/>
                                      <w:color w:val="000000"/>
                                    </w:rPr>
                                    <w:t>118</w:t>
                                  </w:r>
                                </w:p>
                              </w:tc>
                            </w:tr>
                            <w:tr w:rsidR="003731AC" w14:paraId="03916E84" w14:textId="77777777">
                              <w:trPr>
                                <w:trHeight w:val="33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5E6E05F3" w14:textId="77777777" w:rsidR="003731AC" w:rsidRDefault="003731AC" w:rsidP="00922E76">
                                  <w:pPr>
                                    <w:widowControl/>
                                    <w:spacing w:line="280" w:lineRule="exact"/>
                                    <w:jc w:val="left"/>
                                    <w:rPr>
                                      <w:rFonts w:ascii="標楷體" w:eastAsia="標楷體" w:hAnsi="標楷體" w:cs="新細明體"/>
                                      <w:color w:val="000000"/>
                                    </w:rPr>
                                  </w:pPr>
                                  <w:r>
                                    <w:rPr>
                                      <w:rFonts w:ascii="標楷體" w:eastAsia="標楷體" w:hAnsi="標楷體" w:cs="新細明體" w:hint="eastAsia"/>
                                      <w:color w:val="000000"/>
                                    </w:rPr>
                                    <w:t>蒐集資料處理中</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733C3"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b/>
                                      <w:color w:val="000000"/>
                                    </w:rPr>
                                    <w:t>5</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9B99CAC"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2</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0BC74B7"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8D6381F"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D33B41C"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r>
                            <w:tr w:rsidR="003731AC" w14:paraId="2C569F8F" w14:textId="77777777">
                              <w:trPr>
                                <w:trHeight w:val="33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7D497758" w14:textId="77777777" w:rsidR="003731AC" w:rsidRDefault="003731AC" w:rsidP="00922E76">
                                  <w:pPr>
                                    <w:widowControl/>
                                    <w:spacing w:line="280" w:lineRule="exact"/>
                                    <w:jc w:val="left"/>
                                    <w:rPr>
                                      <w:rFonts w:ascii="標楷體" w:eastAsia="標楷體" w:hAnsi="標楷體" w:cs="新細明體"/>
                                      <w:color w:val="000000"/>
                                    </w:rPr>
                                  </w:pPr>
                                  <w:r>
                                    <w:rPr>
                                      <w:rFonts w:ascii="標楷體" w:eastAsia="標楷體" w:hAnsi="標楷體" w:cs="新細明體" w:hint="eastAsia"/>
                                      <w:color w:val="000000"/>
                                    </w:rPr>
                                    <w:t>協調處理中</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74706B"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b/>
                                      <w:color w:val="000000"/>
                                    </w:rPr>
                                    <w:t>27</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3C097FAE"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16</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537402A3"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11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4960B8C"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2B45B5A7"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r>
                            <w:tr w:rsidR="003731AC" w14:paraId="32E39B8D" w14:textId="77777777">
                              <w:trPr>
                                <w:trHeight w:val="33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12340D44" w14:textId="77777777" w:rsidR="003731AC" w:rsidRDefault="003731AC" w:rsidP="00922E76">
                                  <w:pPr>
                                    <w:widowControl/>
                                    <w:spacing w:line="260" w:lineRule="exact"/>
                                    <w:jc w:val="left"/>
                                    <w:rPr>
                                      <w:rFonts w:ascii="標楷體" w:eastAsia="標楷體" w:hAnsi="標楷體" w:cs="新細明體"/>
                                      <w:color w:val="000000"/>
                                    </w:rPr>
                                  </w:pPr>
                                  <w:r>
                                    <w:rPr>
                                      <w:rFonts w:ascii="標楷體" w:eastAsia="標楷體" w:hAnsi="標楷體" w:cs="新細明體" w:hint="eastAsia"/>
                                      <w:color w:val="000000"/>
                                    </w:rPr>
                                    <w:t>催收無權占用使用補償金</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ED94C9"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b/>
                                      <w:color w:val="000000"/>
                                    </w:rPr>
                                    <w:t>121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271CDDE"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22F39864"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16</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629E687"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2</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07DBDB5"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100</w:t>
                                  </w:r>
                                </w:p>
                              </w:tc>
                            </w:tr>
                            <w:tr w:rsidR="003731AC" w14:paraId="5A07ED1A" w14:textId="77777777">
                              <w:trPr>
                                <w:trHeight w:val="33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60D33F0C" w14:textId="77777777" w:rsidR="003731AC" w:rsidRDefault="003731AC" w:rsidP="00922E76">
                                  <w:pPr>
                                    <w:widowControl/>
                                    <w:spacing w:line="280" w:lineRule="exact"/>
                                    <w:jc w:val="left"/>
                                    <w:rPr>
                                      <w:rFonts w:ascii="標楷體" w:eastAsia="標楷體" w:hAnsi="標楷體" w:cs="新細明體"/>
                                      <w:color w:val="000000"/>
                                    </w:rPr>
                                  </w:pPr>
                                  <w:r>
                                    <w:rPr>
                                      <w:rFonts w:ascii="標楷體" w:eastAsia="標楷體" w:hAnsi="標楷體" w:cs="新細明體" w:hint="eastAsia"/>
                                      <w:color w:val="000000"/>
                                    </w:rPr>
                                    <w:t>移請</w:t>
                                  </w:r>
                                  <w:r>
                                    <w:rPr>
                                      <w:rFonts w:ascii="標楷體" w:eastAsia="標楷體" w:hAnsi="標楷體" w:hint="eastAsia"/>
                                      <w:szCs w:val="28"/>
                                    </w:rPr>
                                    <w:t>建管處</w:t>
                                  </w:r>
                                  <w:r>
                                    <w:rPr>
                                      <w:rFonts w:ascii="標楷體" w:eastAsia="標楷體" w:hAnsi="標楷體" w:cs="新細明體" w:hint="eastAsia"/>
                                      <w:color w:val="000000"/>
                                    </w:rPr>
                                    <w:t>拆除中</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268C7F"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b/>
                                      <w:color w:val="000000"/>
                                    </w:rPr>
                                    <w:t>17</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8E8B583"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1</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288201B"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16</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B448A85"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F82DA91"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r>
                            <w:tr w:rsidR="003731AC" w14:paraId="6957149C" w14:textId="77777777">
                              <w:trPr>
                                <w:trHeight w:val="33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7D1FE52B" w14:textId="77777777" w:rsidR="003731AC" w:rsidRDefault="003731AC" w:rsidP="00922E76">
                                  <w:pPr>
                                    <w:widowControl/>
                                    <w:spacing w:line="260" w:lineRule="exact"/>
                                    <w:jc w:val="left"/>
                                    <w:rPr>
                                      <w:rFonts w:ascii="標楷體" w:eastAsia="標楷體" w:hAnsi="標楷體" w:cs="新細明體"/>
                                      <w:color w:val="000000"/>
                                    </w:rPr>
                                  </w:pPr>
                                  <w:proofErr w:type="gramStart"/>
                                  <w:r>
                                    <w:rPr>
                                      <w:rFonts w:ascii="標楷體" w:eastAsia="標楷體" w:hAnsi="標楷體" w:cs="新細明體" w:hint="eastAsia"/>
                                      <w:color w:val="000000"/>
                                    </w:rPr>
                                    <w:t>循</w:t>
                                  </w:r>
                                  <w:proofErr w:type="gramEnd"/>
                                  <w:r>
                                    <w:rPr>
                                      <w:rFonts w:ascii="標楷體" w:eastAsia="標楷體" w:hAnsi="標楷體" w:cs="新細明體" w:hint="eastAsia"/>
                                      <w:color w:val="000000"/>
                                    </w:rPr>
                                    <w:t>司法或訴訟程序處理中</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A7A3F2"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b/>
                                      <w:color w:val="000000"/>
                                    </w:rPr>
                                    <w:t>65</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9496888"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33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03C1FA5"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12</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D96C8B1"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2</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C9E20A4"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18</w:t>
                                  </w:r>
                                </w:p>
                              </w:tc>
                            </w:tr>
                          </w:tbl>
                          <w:p w14:paraId="4CBE8721" w14:textId="77777777" w:rsidR="003731AC" w:rsidRDefault="003731AC" w:rsidP="003731AC">
                            <w:pPr>
                              <w:spacing w:line="240" w:lineRule="exact"/>
                              <w:ind w:leftChars="25" w:left="600" w:hangingChars="300" w:hanging="540"/>
                              <w:rPr>
                                <w:rFonts w:ascii="標楷體" w:eastAsia="標楷體" w:hAnsi="標楷體"/>
                                <w:sz w:val="18"/>
                                <w:szCs w:val="20"/>
                              </w:rPr>
                            </w:pPr>
                            <w:proofErr w:type="gramStart"/>
                            <w:r>
                              <w:rPr>
                                <w:rFonts w:ascii="標楷體" w:eastAsia="標楷體" w:hAnsi="標楷體" w:hint="eastAsia"/>
                                <w:sz w:val="18"/>
                                <w:szCs w:val="20"/>
                              </w:rPr>
                              <w:t>註</w:t>
                            </w:r>
                            <w:proofErr w:type="gramEnd"/>
                            <w:r>
                              <w:rPr>
                                <w:rFonts w:ascii="標楷體" w:eastAsia="標楷體" w:hAnsi="標楷體" w:hint="eastAsia"/>
                                <w:sz w:val="18"/>
                                <w:szCs w:val="20"/>
                              </w:rPr>
                              <w:t>：1.</w:t>
                            </w:r>
                            <w:proofErr w:type="gramStart"/>
                            <w:r>
                              <w:rPr>
                                <w:rFonts w:ascii="標楷體" w:eastAsia="標楷體" w:hAnsi="標楷體" w:hint="eastAsia"/>
                                <w:sz w:val="18"/>
                                <w:szCs w:val="20"/>
                              </w:rPr>
                              <w:t>案件數係以</w:t>
                            </w:r>
                            <w:proofErr w:type="gramEnd"/>
                            <w:r>
                              <w:rPr>
                                <w:rFonts w:ascii="標楷體" w:eastAsia="標楷體" w:hAnsi="標楷體" w:hint="eastAsia"/>
                                <w:sz w:val="18"/>
                                <w:szCs w:val="20"/>
                              </w:rPr>
                              <w:t>占用人為列管基準，若不同占用人占用同一地號土地，屬不同案件，若同一占用人占用不同地號土地，則屬同一案件。</w:t>
                            </w:r>
                          </w:p>
                          <w:p w14:paraId="4452CA64" w14:textId="77777777" w:rsidR="003731AC" w:rsidRDefault="003731AC" w:rsidP="003731AC">
                            <w:pPr>
                              <w:spacing w:line="240" w:lineRule="exact"/>
                              <w:ind w:leftChars="175" w:left="991" w:hangingChars="317" w:hanging="571"/>
                              <w:rPr>
                                <w:rFonts w:ascii="標楷體" w:eastAsia="標楷體" w:hAnsi="標楷體"/>
                                <w:sz w:val="18"/>
                                <w:szCs w:val="20"/>
                              </w:rPr>
                            </w:pPr>
                            <w:r>
                              <w:rPr>
                                <w:rFonts w:ascii="標楷體" w:eastAsia="標楷體" w:hAnsi="標楷體" w:hint="eastAsia"/>
                                <w:sz w:val="18"/>
                                <w:szCs w:val="20"/>
                              </w:rPr>
                              <w:t>2.資料來源：整理自財政局提供資料。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123A1" id="文字方塊 927419605" o:spid="_x0000_s1053" type="#_x0000_t202" style="position:absolute;left:0;text-align:left;margin-left:179.15pt;margin-top:74.25pt;width:316.7pt;height:243pt;z-index:-2515783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" fillcolor="white [3201]" stroked="f" strokeweight=".5pt">
                <v:textbox>
                  <w:txbxContent>
                    <w:p w14:paraId="2F2F00FE" w14:textId="77777777" w:rsidR="003731AC" w:rsidRDefault="003731AC" w:rsidP="003731AC">
                      <w:pPr>
                        <w:jc w:val="center"/>
                        <w:rPr>
                          <w:rFonts w:ascii="標楷體" w:eastAsia="標楷體" w:hAnsi="標楷體"/>
                          <w:b/>
                          <w:sz w:val="20"/>
                        </w:rPr>
                      </w:pPr>
                      <w:r>
                        <w:rPr>
                          <w:rFonts w:ascii="標楷體" w:eastAsia="標楷體" w:hAnsi="標楷體" w:hint="eastAsia"/>
                          <w:b/>
                        </w:rPr>
                        <w:t>表3　截至113年底</w:t>
                      </w:r>
                      <w:proofErr w:type="gramStart"/>
                      <w:r>
                        <w:rPr>
                          <w:rFonts w:ascii="標楷體" w:eastAsia="標楷體" w:hAnsi="標楷體" w:hint="eastAsia"/>
                          <w:b/>
                        </w:rPr>
                        <w:t>止列管市</w:t>
                      </w:r>
                      <w:proofErr w:type="gramEnd"/>
                      <w:r>
                        <w:rPr>
                          <w:rFonts w:ascii="標楷體" w:eastAsia="標楷體" w:hAnsi="標楷體" w:hint="eastAsia"/>
                          <w:b/>
                        </w:rPr>
                        <w:t>有不動產被占用情形</w:t>
                      </w:r>
                    </w:p>
                    <w:p w14:paraId="3945E3F8" w14:textId="77777777" w:rsidR="003731AC" w:rsidRDefault="003731AC" w:rsidP="002F0729">
                      <w:pPr>
                        <w:ind w:rightChars="-25" w:right="-60"/>
                        <w:jc w:val="right"/>
                        <w:rPr>
                          <w:rFonts w:ascii="標楷體" w:eastAsia="標楷體" w:hAnsi="標楷體"/>
                          <w:sz w:val="20"/>
                        </w:rPr>
                      </w:pPr>
                      <w:r>
                        <w:rPr>
                          <w:rFonts w:ascii="標楷體" w:eastAsia="標楷體" w:hAnsi="標楷體" w:hint="eastAsia"/>
                          <w:sz w:val="20"/>
                        </w:rPr>
                        <w:t>單位：案</w:t>
                      </w:r>
                    </w:p>
                    <w:tbl>
                      <w:tblPr>
                        <w:tblStyle w:val="261"/>
                        <w:tblW w:w="6090" w:type="dxa"/>
                        <w:tblLayout w:type="fixed"/>
                        <w:tblLook w:val="04A0" w:firstRow="1" w:lastRow="0" w:firstColumn="1" w:lastColumn="0" w:noHBand="0" w:noVBand="1"/>
                      </w:tblPr>
                      <w:tblGrid>
                        <w:gridCol w:w="1837"/>
                        <w:gridCol w:w="851"/>
                        <w:gridCol w:w="850"/>
                        <w:gridCol w:w="851"/>
                        <w:gridCol w:w="850"/>
                        <w:gridCol w:w="851"/>
                      </w:tblGrid>
                      <w:tr w:rsidR="003731AC" w14:paraId="09DEDD3F" w14:textId="77777777">
                        <w:trPr>
                          <w:trHeight w:val="730"/>
                        </w:trPr>
                        <w:tc>
                          <w:tcPr>
                            <w:tcW w:w="1838" w:type="dxa"/>
                            <w:tcBorders>
                              <w:top w:val="single" w:sz="4" w:space="0" w:color="auto"/>
                              <w:left w:val="single" w:sz="4" w:space="0" w:color="auto"/>
                              <w:bottom w:val="single" w:sz="4" w:space="0" w:color="auto"/>
                              <w:right w:val="single" w:sz="4" w:space="0" w:color="auto"/>
                              <w:tl2br w:val="single" w:sz="4" w:space="0" w:color="auto"/>
                            </w:tcBorders>
                            <w:noWrap/>
                            <w:hideMark/>
                          </w:tcPr>
                          <w:p w14:paraId="494776D0" w14:textId="77777777" w:rsidR="003731AC" w:rsidRDefault="003731AC">
                            <w:pPr>
                              <w:widowControl/>
                              <w:jc w:val="right"/>
                              <w:rPr>
                                <w:rFonts w:ascii="標楷體" w:eastAsia="標楷體" w:hAnsi="標楷體" w:cs="新細明體"/>
                                <w:color w:val="000000"/>
                              </w:rPr>
                            </w:pPr>
                            <w:r>
                              <w:rPr>
                                <w:rFonts w:ascii="標楷體" w:eastAsia="標楷體" w:hAnsi="標楷體" w:cs="新細明體" w:hint="eastAsia"/>
                                <w:color w:val="000000"/>
                              </w:rPr>
                              <w:t>財產性質</w:t>
                            </w:r>
                          </w:p>
                          <w:p w14:paraId="55A5DB9C" w14:textId="77777777" w:rsidR="003731AC" w:rsidRDefault="003731AC" w:rsidP="00922E76">
                            <w:pPr>
                              <w:widowControl/>
                              <w:jc w:val="left"/>
                              <w:rPr>
                                <w:rFonts w:ascii="標楷體" w:eastAsia="標楷體" w:hAnsi="標楷體" w:cs="新細明體"/>
                                <w:color w:val="000000"/>
                              </w:rPr>
                            </w:pPr>
                            <w:r>
                              <w:rPr>
                                <w:rFonts w:ascii="標楷體" w:eastAsia="標楷體" w:hAnsi="標楷體" w:cs="新細明體" w:hint="eastAsia"/>
                                <w:color w:val="000000"/>
                              </w:rPr>
                              <w:t>處理情形</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E6C58A" w14:textId="77777777" w:rsidR="003731AC" w:rsidRPr="00922E76" w:rsidRDefault="003731AC">
                            <w:pPr>
                              <w:widowControl/>
                              <w:rPr>
                                <w:rFonts w:ascii="標楷體" w:eastAsia="標楷體" w:hAnsi="標楷體" w:cs="新細明體"/>
                                <w:bCs/>
                                <w:color w:val="000000"/>
                              </w:rPr>
                            </w:pPr>
                            <w:r w:rsidRPr="00922E76">
                              <w:rPr>
                                <w:rFonts w:ascii="標楷體" w:eastAsia="標楷體" w:hAnsi="標楷體" w:cs="新細明體" w:hint="eastAsia"/>
                                <w:bCs/>
                                <w:color w:val="000000"/>
                              </w:rPr>
                              <w:t>合  計</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E351F1D" w14:textId="77777777" w:rsidR="003731AC" w:rsidRDefault="003731AC">
                            <w:pPr>
                              <w:widowControl/>
                              <w:rPr>
                                <w:rFonts w:ascii="標楷體" w:eastAsia="標楷體" w:hAnsi="標楷體" w:cs="新細明體"/>
                                <w:color w:val="000000"/>
                              </w:rPr>
                            </w:pPr>
                            <w:r>
                              <w:rPr>
                                <w:rFonts w:ascii="標楷體" w:eastAsia="標楷體" w:hAnsi="標楷體" w:cs="新細明體" w:hint="eastAsia"/>
                                <w:color w:val="000000"/>
                              </w:rPr>
                              <w:t>公務用</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06F78F87" w14:textId="77777777" w:rsidR="003731AC" w:rsidRDefault="003731AC">
                            <w:pPr>
                              <w:widowControl/>
                              <w:rPr>
                                <w:rFonts w:ascii="標楷體" w:eastAsia="標楷體" w:hAnsi="標楷體" w:cs="新細明體"/>
                                <w:color w:val="000000"/>
                              </w:rPr>
                            </w:pPr>
                            <w:r>
                              <w:rPr>
                                <w:rFonts w:ascii="標楷體" w:eastAsia="標楷體" w:hAnsi="標楷體" w:cs="新細明體" w:hint="eastAsia"/>
                                <w:color w:val="000000"/>
                              </w:rPr>
                              <w:t>公共用</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249E869" w14:textId="77777777" w:rsidR="003731AC" w:rsidRDefault="003731AC">
                            <w:pPr>
                              <w:widowControl/>
                              <w:rPr>
                                <w:rFonts w:ascii="標楷體" w:eastAsia="標楷體" w:hAnsi="標楷體" w:cs="新細明體"/>
                                <w:color w:val="000000"/>
                              </w:rPr>
                            </w:pPr>
                            <w:r>
                              <w:rPr>
                                <w:rFonts w:ascii="標楷體" w:eastAsia="標楷體" w:hAnsi="標楷體" w:cs="新細明體" w:hint="eastAsia"/>
                                <w:color w:val="000000"/>
                              </w:rPr>
                              <w:t>事業用</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865F117" w14:textId="77777777" w:rsidR="003731AC" w:rsidRDefault="003731AC">
                            <w:pPr>
                              <w:widowControl/>
                              <w:rPr>
                                <w:rFonts w:ascii="標楷體" w:eastAsia="標楷體" w:hAnsi="標楷體" w:cs="新細明體"/>
                                <w:color w:val="000000"/>
                              </w:rPr>
                            </w:pPr>
                            <w:r>
                              <w:rPr>
                                <w:rFonts w:ascii="標楷體" w:eastAsia="標楷體" w:hAnsi="標楷體" w:cs="新細明體" w:hint="eastAsia"/>
                                <w:color w:val="000000"/>
                              </w:rPr>
                              <w:t>非公用</w:t>
                            </w:r>
                          </w:p>
                        </w:tc>
                      </w:tr>
                      <w:tr w:rsidR="003731AC" w14:paraId="5E8CE65A" w14:textId="77777777">
                        <w:trPr>
                          <w:trHeight w:val="330"/>
                        </w:trPr>
                        <w:tc>
                          <w:tcPr>
                            <w:tcW w:w="1838" w:type="dxa"/>
                            <w:tcBorders>
                              <w:top w:val="single" w:sz="4" w:space="0" w:color="auto"/>
                              <w:left w:val="single" w:sz="4" w:space="0" w:color="auto"/>
                              <w:bottom w:val="single" w:sz="4" w:space="0" w:color="auto"/>
                              <w:right w:val="single" w:sz="4" w:space="0" w:color="auto"/>
                            </w:tcBorders>
                            <w:noWrap/>
                            <w:hideMark/>
                          </w:tcPr>
                          <w:p w14:paraId="45DA5DDA" w14:textId="77777777" w:rsidR="003731AC" w:rsidRDefault="003731AC">
                            <w:pPr>
                              <w:widowControl/>
                              <w:rPr>
                                <w:rFonts w:ascii="標楷體" w:eastAsia="標楷體" w:hAnsi="標楷體" w:cs="新細明體"/>
                                <w:b/>
                                <w:color w:val="000000"/>
                              </w:rPr>
                            </w:pPr>
                            <w:r w:rsidRPr="003731AC">
                              <w:rPr>
                                <w:rFonts w:ascii="標楷體" w:eastAsia="標楷體" w:hAnsi="標楷體" w:cs="新細明體" w:hint="eastAsia"/>
                                <w:b/>
                                <w:color w:val="000000"/>
                                <w:spacing w:val="520"/>
                                <w:fitText w:val="1440" w:id="-718535168"/>
                              </w:rPr>
                              <w:t>合</w:t>
                            </w:r>
                            <w:r w:rsidRPr="003731AC">
                              <w:rPr>
                                <w:rFonts w:ascii="標楷體" w:eastAsia="標楷體" w:hAnsi="標楷體" w:cs="新細明體" w:hint="eastAsia"/>
                                <w:b/>
                                <w:color w:val="000000"/>
                                <w:fitText w:val="1440" w:id="-718535168"/>
                              </w:rPr>
                              <w:t>計</w:t>
                            </w:r>
                          </w:p>
                        </w:tc>
                        <w:tc>
                          <w:tcPr>
                            <w:tcW w:w="851" w:type="dxa"/>
                            <w:tcBorders>
                              <w:top w:val="single" w:sz="4" w:space="0" w:color="auto"/>
                              <w:left w:val="single" w:sz="4" w:space="0" w:color="auto"/>
                              <w:bottom w:val="single" w:sz="4" w:space="0" w:color="auto"/>
                              <w:right w:val="single" w:sz="4" w:space="0" w:color="auto"/>
                            </w:tcBorders>
                            <w:hideMark/>
                          </w:tcPr>
                          <w:p w14:paraId="654F553A" w14:textId="77777777" w:rsidR="003731AC" w:rsidRDefault="003731AC">
                            <w:pPr>
                              <w:widowControl/>
                              <w:jc w:val="right"/>
                              <w:rPr>
                                <w:rFonts w:ascii="標楷體" w:eastAsia="標楷體" w:hAnsi="標楷體" w:cs="新細明體"/>
                                <w:b/>
                                <w:color w:val="000000"/>
                              </w:rPr>
                            </w:pPr>
                            <w:r>
                              <w:rPr>
                                <w:rFonts w:ascii="標楷體" w:eastAsia="標楷體" w:hAnsi="標楷體" w:cs="新細明體" w:hint="eastAsia"/>
                                <w:b/>
                                <w:color w:val="000000"/>
                              </w:rPr>
                              <w:t>235</w:t>
                            </w:r>
                          </w:p>
                        </w:tc>
                        <w:tc>
                          <w:tcPr>
                            <w:tcW w:w="850" w:type="dxa"/>
                            <w:tcBorders>
                              <w:top w:val="single" w:sz="4" w:space="0" w:color="auto"/>
                              <w:left w:val="single" w:sz="4" w:space="0" w:color="auto"/>
                              <w:bottom w:val="single" w:sz="4" w:space="0" w:color="auto"/>
                              <w:right w:val="single" w:sz="4" w:space="0" w:color="auto"/>
                            </w:tcBorders>
                            <w:noWrap/>
                            <w:hideMark/>
                          </w:tcPr>
                          <w:p w14:paraId="2F857487" w14:textId="77777777" w:rsidR="003731AC" w:rsidRDefault="003731AC">
                            <w:pPr>
                              <w:widowControl/>
                              <w:jc w:val="right"/>
                              <w:rPr>
                                <w:rFonts w:ascii="標楷體" w:eastAsia="標楷體" w:hAnsi="標楷體" w:cs="新細明體"/>
                                <w:b/>
                                <w:color w:val="000000"/>
                              </w:rPr>
                            </w:pPr>
                            <w:r>
                              <w:rPr>
                                <w:rFonts w:ascii="標楷體" w:eastAsia="標楷體" w:hAnsi="標楷體" w:cs="新細明體" w:hint="eastAsia"/>
                                <w:b/>
                                <w:color w:val="000000"/>
                              </w:rPr>
                              <w:t>55</w:t>
                            </w:r>
                          </w:p>
                        </w:tc>
                        <w:tc>
                          <w:tcPr>
                            <w:tcW w:w="851" w:type="dxa"/>
                            <w:tcBorders>
                              <w:top w:val="single" w:sz="4" w:space="0" w:color="auto"/>
                              <w:left w:val="single" w:sz="4" w:space="0" w:color="auto"/>
                              <w:bottom w:val="single" w:sz="4" w:space="0" w:color="auto"/>
                              <w:right w:val="single" w:sz="4" w:space="0" w:color="auto"/>
                            </w:tcBorders>
                            <w:noWrap/>
                            <w:hideMark/>
                          </w:tcPr>
                          <w:p w14:paraId="2DD42C72" w14:textId="77777777" w:rsidR="003731AC" w:rsidRDefault="003731AC">
                            <w:pPr>
                              <w:widowControl/>
                              <w:jc w:val="right"/>
                              <w:rPr>
                                <w:rFonts w:ascii="標楷體" w:eastAsia="標楷體" w:hAnsi="標楷體" w:cs="新細明體"/>
                                <w:b/>
                                <w:color w:val="000000"/>
                              </w:rPr>
                            </w:pPr>
                            <w:r>
                              <w:rPr>
                                <w:rFonts w:ascii="標楷體" w:eastAsia="標楷體" w:hAnsi="標楷體" w:cs="新細明體" w:hint="eastAsia"/>
                                <w:b/>
                                <w:color w:val="000000"/>
                              </w:rPr>
                              <w:t>58</w:t>
                            </w:r>
                          </w:p>
                        </w:tc>
                        <w:tc>
                          <w:tcPr>
                            <w:tcW w:w="850" w:type="dxa"/>
                            <w:tcBorders>
                              <w:top w:val="single" w:sz="4" w:space="0" w:color="auto"/>
                              <w:left w:val="single" w:sz="4" w:space="0" w:color="auto"/>
                              <w:bottom w:val="single" w:sz="4" w:space="0" w:color="auto"/>
                              <w:right w:val="single" w:sz="4" w:space="0" w:color="auto"/>
                            </w:tcBorders>
                            <w:noWrap/>
                            <w:hideMark/>
                          </w:tcPr>
                          <w:p w14:paraId="3FB9DD3E" w14:textId="77777777" w:rsidR="003731AC" w:rsidRDefault="003731AC">
                            <w:pPr>
                              <w:widowControl/>
                              <w:jc w:val="right"/>
                              <w:rPr>
                                <w:rFonts w:ascii="標楷體" w:eastAsia="標楷體" w:hAnsi="標楷體" w:cs="新細明體"/>
                                <w:b/>
                                <w:color w:val="000000"/>
                              </w:rPr>
                            </w:pPr>
                            <w:r>
                              <w:rPr>
                                <w:rFonts w:ascii="標楷體" w:eastAsia="標楷體" w:hAnsi="標楷體" w:cs="新細明體" w:hint="eastAsia"/>
                                <w:b/>
                                <w:color w:val="000000"/>
                              </w:rPr>
                              <w:t>4</w:t>
                            </w:r>
                          </w:p>
                        </w:tc>
                        <w:tc>
                          <w:tcPr>
                            <w:tcW w:w="851" w:type="dxa"/>
                            <w:tcBorders>
                              <w:top w:val="single" w:sz="4" w:space="0" w:color="auto"/>
                              <w:left w:val="single" w:sz="4" w:space="0" w:color="auto"/>
                              <w:bottom w:val="single" w:sz="4" w:space="0" w:color="auto"/>
                              <w:right w:val="single" w:sz="4" w:space="0" w:color="auto"/>
                            </w:tcBorders>
                            <w:noWrap/>
                            <w:hideMark/>
                          </w:tcPr>
                          <w:p w14:paraId="58696678" w14:textId="77777777" w:rsidR="003731AC" w:rsidRDefault="003731AC">
                            <w:pPr>
                              <w:widowControl/>
                              <w:jc w:val="right"/>
                              <w:rPr>
                                <w:rFonts w:ascii="標楷體" w:eastAsia="標楷體" w:hAnsi="標楷體" w:cs="新細明體"/>
                                <w:b/>
                                <w:color w:val="000000"/>
                              </w:rPr>
                            </w:pPr>
                            <w:r>
                              <w:rPr>
                                <w:rFonts w:ascii="標楷體" w:eastAsia="標楷體" w:hAnsi="標楷體" w:cs="新細明體" w:hint="eastAsia"/>
                                <w:b/>
                                <w:color w:val="000000"/>
                              </w:rPr>
                              <w:t>118</w:t>
                            </w:r>
                          </w:p>
                        </w:tc>
                      </w:tr>
                      <w:tr w:rsidR="003731AC" w14:paraId="03916E84" w14:textId="77777777">
                        <w:trPr>
                          <w:trHeight w:val="33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5E6E05F3" w14:textId="77777777" w:rsidR="003731AC" w:rsidRDefault="003731AC" w:rsidP="00922E76">
                            <w:pPr>
                              <w:widowControl/>
                              <w:spacing w:line="280" w:lineRule="exact"/>
                              <w:jc w:val="left"/>
                              <w:rPr>
                                <w:rFonts w:ascii="標楷體" w:eastAsia="標楷體" w:hAnsi="標楷體" w:cs="新細明體"/>
                                <w:color w:val="000000"/>
                              </w:rPr>
                            </w:pPr>
                            <w:r>
                              <w:rPr>
                                <w:rFonts w:ascii="標楷體" w:eastAsia="標楷體" w:hAnsi="標楷體" w:cs="新細明體" w:hint="eastAsia"/>
                                <w:color w:val="000000"/>
                              </w:rPr>
                              <w:t>蒐集資料處理中</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E733C3"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b/>
                                <w:color w:val="000000"/>
                              </w:rPr>
                              <w:t>5</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9B99CAC"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2</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0BC74B7"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3</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8D6381F"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D33B41C"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r>
                      <w:tr w:rsidR="003731AC" w14:paraId="2C569F8F" w14:textId="77777777">
                        <w:trPr>
                          <w:trHeight w:val="33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7D497758" w14:textId="77777777" w:rsidR="003731AC" w:rsidRDefault="003731AC" w:rsidP="00922E76">
                            <w:pPr>
                              <w:widowControl/>
                              <w:spacing w:line="280" w:lineRule="exact"/>
                              <w:jc w:val="left"/>
                              <w:rPr>
                                <w:rFonts w:ascii="標楷體" w:eastAsia="標楷體" w:hAnsi="標楷體" w:cs="新細明體"/>
                                <w:color w:val="000000"/>
                              </w:rPr>
                            </w:pPr>
                            <w:r>
                              <w:rPr>
                                <w:rFonts w:ascii="標楷體" w:eastAsia="標楷體" w:hAnsi="標楷體" w:cs="新細明體" w:hint="eastAsia"/>
                                <w:color w:val="000000"/>
                              </w:rPr>
                              <w:t>協調處理中</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74706B"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b/>
                                <w:color w:val="000000"/>
                              </w:rPr>
                              <w:t>27</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3C097FAE"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16</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537402A3"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11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4960B8C"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2B45B5A7"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r>
                      <w:tr w:rsidR="003731AC" w14:paraId="32E39B8D" w14:textId="77777777">
                        <w:trPr>
                          <w:trHeight w:val="33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12340D44" w14:textId="77777777" w:rsidR="003731AC" w:rsidRDefault="003731AC" w:rsidP="00922E76">
                            <w:pPr>
                              <w:widowControl/>
                              <w:spacing w:line="260" w:lineRule="exact"/>
                              <w:jc w:val="left"/>
                              <w:rPr>
                                <w:rFonts w:ascii="標楷體" w:eastAsia="標楷體" w:hAnsi="標楷體" w:cs="新細明體"/>
                                <w:color w:val="000000"/>
                              </w:rPr>
                            </w:pPr>
                            <w:r>
                              <w:rPr>
                                <w:rFonts w:ascii="標楷體" w:eastAsia="標楷體" w:hAnsi="標楷體" w:cs="新細明體" w:hint="eastAsia"/>
                                <w:color w:val="000000"/>
                              </w:rPr>
                              <w:t>催收無權占用使用補償金</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ED94C9"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b/>
                                <w:color w:val="000000"/>
                              </w:rPr>
                              <w:t>121</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4271CDDE"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22F39864"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16</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629E687"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2</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07DBDB5"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100</w:t>
                            </w:r>
                          </w:p>
                        </w:tc>
                      </w:tr>
                      <w:tr w:rsidR="003731AC" w14:paraId="5A07ED1A" w14:textId="77777777">
                        <w:trPr>
                          <w:trHeight w:val="33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60D33F0C" w14:textId="77777777" w:rsidR="003731AC" w:rsidRDefault="003731AC" w:rsidP="00922E76">
                            <w:pPr>
                              <w:widowControl/>
                              <w:spacing w:line="280" w:lineRule="exact"/>
                              <w:jc w:val="left"/>
                              <w:rPr>
                                <w:rFonts w:ascii="標楷體" w:eastAsia="標楷體" w:hAnsi="標楷體" w:cs="新細明體"/>
                                <w:color w:val="000000"/>
                              </w:rPr>
                            </w:pPr>
                            <w:r>
                              <w:rPr>
                                <w:rFonts w:ascii="標楷體" w:eastAsia="標楷體" w:hAnsi="標楷體" w:cs="新細明體" w:hint="eastAsia"/>
                                <w:color w:val="000000"/>
                              </w:rPr>
                              <w:t>移請</w:t>
                            </w:r>
                            <w:r>
                              <w:rPr>
                                <w:rFonts w:ascii="標楷體" w:eastAsia="標楷體" w:hAnsi="標楷體" w:hint="eastAsia"/>
                                <w:szCs w:val="28"/>
                              </w:rPr>
                              <w:t>建管處</w:t>
                            </w:r>
                            <w:r>
                              <w:rPr>
                                <w:rFonts w:ascii="標楷體" w:eastAsia="標楷體" w:hAnsi="標楷體" w:cs="新細明體" w:hint="eastAsia"/>
                                <w:color w:val="000000"/>
                              </w:rPr>
                              <w:t>拆除中</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268C7F"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b/>
                                <w:color w:val="000000"/>
                              </w:rPr>
                              <w:t>17</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18E8B583"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1</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3288201B"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16</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2B448A85"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7F82DA91" w14:textId="77777777" w:rsidR="003731AC" w:rsidRDefault="003731AC">
                            <w:pPr>
                              <w:widowControl/>
                              <w:spacing w:line="280" w:lineRule="exact"/>
                              <w:jc w:val="right"/>
                              <w:rPr>
                                <w:rFonts w:ascii="標楷體" w:eastAsia="標楷體" w:hAnsi="標楷體" w:cs="新細明體"/>
                                <w:color w:val="000000"/>
                              </w:rPr>
                            </w:pPr>
                            <w:r>
                              <w:rPr>
                                <w:rFonts w:ascii="標楷體" w:eastAsia="標楷體" w:hAnsi="標楷體" w:cs="新細明體" w:hint="eastAsia"/>
                                <w:color w:val="000000"/>
                              </w:rPr>
                              <w:t>－</w:t>
                            </w:r>
                          </w:p>
                        </w:tc>
                      </w:tr>
                      <w:tr w:rsidR="003731AC" w14:paraId="6957149C" w14:textId="77777777">
                        <w:trPr>
                          <w:trHeight w:val="330"/>
                        </w:trPr>
                        <w:tc>
                          <w:tcPr>
                            <w:tcW w:w="1838" w:type="dxa"/>
                            <w:tcBorders>
                              <w:top w:val="single" w:sz="4" w:space="0" w:color="auto"/>
                              <w:left w:val="single" w:sz="4" w:space="0" w:color="auto"/>
                              <w:bottom w:val="single" w:sz="4" w:space="0" w:color="auto"/>
                              <w:right w:val="single" w:sz="4" w:space="0" w:color="auto"/>
                            </w:tcBorders>
                            <w:noWrap/>
                            <w:vAlign w:val="center"/>
                            <w:hideMark/>
                          </w:tcPr>
                          <w:p w14:paraId="7D1FE52B" w14:textId="77777777" w:rsidR="003731AC" w:rsidRDefault="003731AC" w:rsidP="00922E76">
                            <w:pPr>
                              <w:widowControl/>
                              <w:spacing w:line="260" w:lineRule="exact"/>
                              <w:jc w:val="left"/>
                              <w:rPr>
                                <w:rFonts w:ascii="標楷體" w:eastAsia="標楷體" w:hAnsi="標楷體" w:cs="新細明體"/>
                                <w:color w:val="000000"/>
                              </w:rPr>
                            </w:pPr>
                            <w:proofErr w:type="gramStart"/>
                            <w:r>
                              <w:rPr>
                                <w:rFonts w:ascii="標楷體" w:eastAsia="標楷體" w:hAnsi="標楷體" w:cs="新細明體" w:hint="eastAsia"/>
                                <w:color w:val="000000"/>
                              </w:rPr>
                              <w:t>循</w:t>
                            </w:r>
                            <w:proofErr w:type="gramEnd"/>
                            <w:r>
                              <w:rPr>
                                <w:rFonts w:ascii="標楷體" w:eastAsia="標楷體" w:hAnsi="標楷體" w:cs="新細明體" w:hint="eastAsia"/>
                                <w:color w:val="000000"/>
                              </w:rPr>
                              <w:t>司法或訴訟程序處理中</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A7A3F2"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b/>
                                <w:color w:val="000000"/>
                              </w:rPr>
                              <w:t>65</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79496888"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33</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103C1FA5"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12</w:t>
                            </w:r>
                          </w:p>
                        </w:tc>
                        <w:tc>
                          <w:tcPr>
                            <w:tcW w:w="850" w:type="dxa"/>
                            <w:tcBorders>
                              <w:top w:val="single" w:sz="4" w:space="0" w:color="auto"/>
                              <w:left w:val="single" w:sz="4" w:space="0" w:color="auto"/>
                              <w:bottom w:val="single" w:sz="4" w:space="0" w:color="auto"/>
                              <w:right w:val="single" w:sz="4" w:space="0" w:color="auto"/>
                            </w:tcBorders>
                            <w:noWrap/>
                            <w:vAlign w:val="center"/>
                            <w:hideMark/>
                          </w:tcPr>
                          <w:p w14:paraId="6D96C8B1"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2</w:t>
                            </w:r>
                          </w:p>
                        </w:tc>
                        <w:tc>
                          <w:tcPr>
                            <w:tcW w:w="851" w:type="dxa"/>
                            <w:tcBorders>
                              <w:top w:val="single" w:sz="4" w:space="0" w:color="auto"/>
                              <w:left w:val="single" w:sz="4" w:space="0" w:color="auto"/>
                              <w:bottom w:val="single" w:sz="4" w:space="0" w:color="auto"/>
                              <w:right w:val="single" w:sz="4" w:space="0" w:color="auto"/>
                            </w:tcBorders>
                            <w:noWrap/>
                            <w:vAlign w:val="center"/>
                            <w:hideMark/>
                          </w:tcPr>
                          <w:p w14:paraId="4C9E20A4" w14:textId="77777777" w:rsidR="003731AC" w:rsidRDefault="003731AC">
                            <w:pPr>
                              <w:widowControl/>
                              <w:spacing w:line="260" w:lineRule="exact"/>
                              <w:jc w:val="right"/>
                              <w:rPr>
                                <w:rFonts w:ascii="標楷體" w:eastAsia="標楷體" w:hAnsi="標楷體" w:cs="新細明體"/>
                                <w:color w:val="000000"/>
                              </w:rPr>
                            </w:pPr>
                            <w:r>
                              <w:rPr>
                                <w:rFonts w:ascii="標楷體" w:eastAsia="標楷體" w:hAnsi="標楷體" w:cs="新細明體" w:hint="eastAsia"/>
                                <w:color w:val="000000"/>
                              </w:rPr>
                              <w:t>18</w:t>
                            </w:r>
                          </w:p>
                        </w:tc>
                      </w:tr>
                    </w:tbl>
                    <w:p w14:paraId="4CBE8721" w14:textId="77777777" w:rsidR="003731AC" w:rsidRDefault="003731AC" w:rsidP="003731AC">
                      <w:pPr>
                        <w:spacing w:line="240" w:lineRule="exact"/>
                        <w:ind w:leftChars="25" w:left="600" w:hangingChars="300" w:hanging="540"/>
                        <w:rPr>
                          <w:rFonts w:ascii="標楷體" w:eastAsia="標楷體" w:hAnsi="標楷體"/>
                          <w:sz w:val="18"/>
                          <w:szCs w:val="20"/>
                        </w:rPr>
                      </w:pPr>
                      <w:proofErr w:type="gramStart"/>
                      <w:r>
                        <w:rPr>
                          <w:rFonts w:ascii="標楷體" w:eastAsia="標楷體" w:hAnsi="標楷體" w:hint="eastAsia"/>
                          <w:sz w:val="18"/>
                          <w:szCs w:val="20"/>
                        </w:rPr>
                        <w:t>註</w:t>
                      </w:r>
                      <w:proofErr w:type="gramEnd"/>
                      <w:r>
                        <w:rPr>
                          <w:rFonts w:ascii="標楷體" w:eastAsia="標楷體" w:hAnsi="標楷體" w:hint="eastAsia"/>
                          <w:sz w:val="18"/>
                          <w:szCs w:val="20"/>
                        </w:rPr>
                        <w:t>：1.</w:t>
                      </w:r>
                      <w:proofErr w:type="gramStart"/>
                      <w:r>
                        <w:rPr>
                          <w:rFonts w:ascii="標楷體" w:eastAsia="標楷體" w:hAnsi="標楷體" w:hint="eastAsia"/>
                          <w:sz w:val="18"/>
                          <w:szCs w:val="20"/>
                        </w:rPr>
                        <w:t>案件數係以</w:t>
                      </w:r>
                      <w:proofErr w:type="gramEnd"/>
                      <w:r>
                        <w:rPr>
                          <w:rFonts w:ascii="標楷體" w:eastAsia="標楷體" w:hAnsi="標楷體" w:hint="eastAsia"/>
                          <w:sz w:val="18"/>
                          <w:szCs w:val="20"/>
                        </w:rPr>
                        <w:t>占用人為列管基準，若不同占用人占用同一地號土地，屬不同案件，若同一占用人占用不同地號土地，則屬同一案件。</w:t>
                      </w:r>
                    </w:p>
                    <w:p w14:paraId="4452CA64" w14:textId="77777777" w:rsidR="003731AC" w:rsidRDefault="003731AC" w:rsidP="003731AC">
                      <w:pPr>
                        <w:spacing w:line="240" w:lineRule="exact"/>
                        <w:ind w:leftChars="175" w:left="991" w:hangingChars="317" w:hanging="571"/>
                        <w:rPr>
                          <w:rFonts w:ascii="標楷體" w:eastAsia="標楷體" w:hAnsi="標楷體"/>
                          <w:sz w:val="18"/>
                          <w:szCs w:val="20"/>
                        </w:rPr>
                      </w:pPr>
                      <w:r>
                        <w:rPr>
                          <w:rFonts w:ascii="標楷體" w:eastAsia="標楷體" w:hAnsi="標楷體" w:hint="eastAsia"/>
                          <w:sz w:val="18"/>
                          <w:szCs w:val="20"/>
                        </w:rPr>
                        <w:t>2.資料來源：整理自財政局提供資料。</w:t>
                      </w:r>
                    </w:p>
                  </w:txbxContent>
                </v:textbox>
                <w10:wrap type="tight" anchorx="margin" anchory="page"/>
              </v:shape>
            </w:pict>
          </mc:Fallback>
        </mc:AlternateContent>
      </w:r>
      <w:r w:rsidR="003731AC">
        <w:rPr>
          <w:rFonts w:ascii="標楷體" w:eastAsia="標楷體" w:hAnsi="標楷體" w:hint="eastAsia"/>
        </w:rPr>
        <w:t>核有：1.臺北市政府教育局（下稱教育局）經管文山區興安段一小段被占用土地計有13案，被占用面積為599.3平方公尺，自109年3月列管，並經財政</w:t>
      </w:r>
      <w:r w:rsidR="003731AC">
        <w:rPr>
          <w:rFonts w:ascii="標楷體" w:eastAsia="標楷體" w:hAnsi="標楷體" w:hint="eastAsia"/>
          <w:color w:val="000000"/>
          <w:szCs w:val="24"/>
        </w:rPr>
        <w:t>局每季</w:t>
      </w:r>
      <w:r w:rsidR="003731AC">
        <w:rPr>
          <w:rFonts w:ascii="標楷體" w:eastAsia="標楷體" w:hAnsi="標楷體" w:hint="eastAsia"/>
        </w:rPr>
        <w:t>召開</w:t>
      </w:r>
      <w:proofErr w:type="gramStart"/>
      <w:r w:rsidR="003731AC">
        <w:rPr>
          <w:rFonts w:ascii="標楷體" w:eastAsia="標楷體" w:hAnsi="標楷體" w:hint="eastAsia"/>
        </w:rPr>
        <w:t>研</w:t>
      </w:r>
      <w:proofErr w:type="gramEnd"/>
      <w:r w:rsidR="003731AC">
        <w:rPr>
          <w:rFonts w:ascii="標楷體" w:eastAsia="標楷體" w:hAnsi="標楷體" w:hint="eastAsia"/>
        </w:rPr>
        <w:t>商「市有房地被</w:t>
      </w:r>
      <w:proofErr w:type="gramStart"/>
      <w:r w:rsidR="003731AC">
        <w:rPr>
          <w:rFonts w:ascii="標楷體" w:eastAsia="標楷體" w:hAnsi="標楷體" w:hint="eastAsia"/>
        </w:rPr>
        <w:t>占用尚待</w:t>
      </w:r>
      <w:proofErr w:type="gramEnd"/>
      <w:r w:rsidR="003731AC">
        <w:rPr>
          <w:rFonts w:ascii="標楷體" w:eastAsia="標楷體" w:hAnsi="標楷體" w:hint="eastAsia"/>
        </w:rPr>
        <w:t>積極處理</w:t>
      </w:r>
      <w:proofErr w:type="gramStart"/>
      <w:r w:rsidR="003731AC">
        <w:rPr>
          <w:rFonts w:ascii="標楷體" w:eastAsia="標楷體" w:hAnsi="標楷體" w:hint="eastAsia"/>
        </w:rPr>
        <w:t>未達控管</w:t>
      </w:r>
      <w:proofErr w:type="gramEnd"/>
      <w:r w:rsidR="003731AC">
        <w:rPr>
          <w:rFonts w:ascii="標楷體" w:eastAsia="標楷體" w:hAnsi="標楷體" w:hint="eastAsia"/>
        </w:rPr>
        <w:t>期程案件」會議（下稱</w:t>
      </w:r>
      <w:proofErr w:type="gramStart"/>
      <w:r w:rsidR="003731AC">
        <w:rPr>
          <w:rFonts w:ascii="標楷體" w:eastAsia="標楷體" w:hAnsi="標楷體" w:hint="eastAsia"/>
        </w:rPr>
        <w:t>研</w:t>
      </w:r>
      <w:proofErr w:type="gramEnd"/>
      <w:r w:rsidR="003731AC">
        <w:rPr>
          <w:rFonts w:ascii="標楷體" w:eastAsia="標楷體" w:hAnsi="標楷體" w:hint="eastAsia"/>
        </w:rPr>
        <w:t>商會議）追蹤處理進度，惟迄114年2月底止，已逾4年仍在協調處理中，未達113年6月21日</w:t>
      </w:r>
      <w:proofErr w:type="gramStart"/>
      <w:r w:rsidR="003731AC">
        <w:rPr>
          <w:rFonts w:ascii="標楷體" w:eastAsia="標楷體" w:hAnsi="標楷體" w:hint="eastAsia"/>
        </w:rPr>
        <w:t>研</w:t>
      </w:r>
      <w:proofErr w:type="gramEnd"/>
      <w:r w:rsidR="003731AC">
        <w:rPr>
          <w:rFonts w:ascii="標楷體" w:eastAsia="標楷體" w:hAnsi="標楷體" w:hint="eastAsia"/>
        </w:rPr>
        <w:t>商會議結論要求之處理進度（113年7月底完成移請建管處循違建查報程序處理，8月底前向法院聲請支付命令），有待</w:t>
      </w:r>
      <w:proofErr w:type="gramStart"/>
      <w:r w:rsidR="003731AC">
        <w:rPr>
          <w:rFonts w:ascii="標楷體" w:eastAsia="標楷體" w:hAnsi="標楷體" w:hint="eastAsia"/>
        </w:rPr>
        <w:t>研</w:t>
      </w:r>
      <w:proofErr w:type="gramEnd"/>
      <w:r w:rsidR="003731AC">
        <w:rPr>
          <w:rFonts w:ascii="標楷體" w:eastAsia="標楷體" w:hAnsi="標楷體" w:hint="eastAsia"/>
        </w:rPr>
        <w:t>謀有效對策，協助教育局落實執行清理作業</w:t>
      </w:r>
      <w:r w:rsidR="003731AC">
        <w:rPr>
          <w:rFonts w:ascii="標楷體" w:eastAsia="標楷體" w:hAnsi="標楷體" w:hint="eastAsia"/>
          <w:spacing w:val="-6"/>
        </w:rPr>
        <w:t>；2.財政局</w:t>
      </w:r>
      <w:r w:rsidR="003731AC">
        <w:rPr>
          <w:rFonts w:ascii="標楷體" w:eastAsia="標楷體" w:hAnsi="標楷體" w:hint="eastAsia"/>
        </w:rPr>
        <w:t>經管之市有非公用土地</w:t>
      </w:r>
      <w:r w:rsidR="003731AC">
        <w:rPr>
          <w:rFonts w:ascii="標楷體" w:eastAsia="標楷體" w:hAnsi="標楷體" w:hint="eastAsia"/>
          <w:color w:val="000000"/>
          <w:szCs w:val="24"/>
        </w:rPr>
        <w:t>列管超過3年</w:t>
      </w:r>
      <w:proofErr w:type="gramStart"/>
      <w:r w:rsidR="003731AC">
        <w:rPr>
          <w:rFonts w:ascii="標楷體" w:eastAsia="標楷體" w:hAnsi="標楷體" w:hint="eastAsia"/>
          <w:color w:val="000000"/>
          <w:szCs w:val="24"/>
        </w:rPr>
        <w:t>尚待</w:t>
      </w:r>
      <w:r w:rsidR="003731AC">
        <w:rPr>
          <w:rFonts w:ascii="標楷體" w:eastAsia="標楷體" w:hAnsi="標楷體" w:hint="eastAsia"/>
        </w:rPr>
        <w:t>催收</w:t>
      </w:r>
      <w:proofErr w:type="gramEnd"/>
      <w:r w:rsidR="003731AC">
        <w:rPr>
          <w:rFonts w:ascii="標楷體" w:eastAsia="標楷體" w:hAnsi="標楷體" w:hint="eastAsia"/>
        </w:rPr>
        <w:t>無權占用使用補償金計有47案，</w:t>
      </w:r>
      <w:r w:rsidR="003731AC">
        <w:rPr>
          <w:rFonts w:ascii="標楷體" w:eastAsia="標楷體" w:hAnsi="標楷體" w:hint="eastAsia"/>
          <w:color w:val="000000"/>
          <w:szCs w:val="24"/>
        </w:rPr>
        <w:t>經抽查部分案件，</w:t>
      </w:r>
      <w:proofErr w:type="gramStart"/>
      <w:r w:rsidR="003731AC">
        <w:rPr>
          <w:rFonts w:ascii="標楷體" w:eastAsia="標楷體" w:hAnsi="標楷體" w:hint="eastAsia"/>
          <w:color w:val="000000"/>
          <w:szCs w:val="24"/>
        </w:rPr>
        <w:t>間有占</w:t>
      </w:r>
      <w:proofErr w:type="gramEnd"/>
      <w:r w:rsidR="003731AC">
        <w:rPr>
          <w:rFonts w:ascii="標楷體" w:eastAsia="標楷體" w:hAnsi="標楷體" w:hint="eastAsia"/>
          <w:color w:val="000000"/>
          <w:szCs w:val="24"/>
        </w:rPr>
        <w:t>用現況尚待</w:t>
      </w:r>
      <w:proofErr w:type="gramStart"/>
      <w:r w:rsidR="003731AC">
        <w:rPr>
          <w:rFonts w:ascii="標楷體" w:eastAsia="標楷體" w:hAnsi="標楷體" w:hint="eastAsia"/>
          <w:color w:val="000000"/>
          <w:szCs w:val="24"/>
        </w:rPr>
        <w:t>釐</w:t>
      </w:r>
      <w:proofErr w:type="gramEnd"/>
      <w:r w:rsidR="003731AC">
        <w:rPr>
          <w:rFonts w:ascii="標楷體" w:eastAsia="標楷體" w:hAnsi="標楷體" w:hint="eastAsia"/>
          <w:color w:val="000000"/>
          <w:szCs w:val="24"/>
        </w:rPr>
        <w:t>清或查無歷年催收繳款資料</w:t>
      </w:r>
      <w:r w:rsidR="003731AC">
        <w:rPr>
          <w:rFonts w:ascii="標楷體" w:eastAsia="標楷體" w:hAnsi="標楷體" w:hint="eastAsia"/>
          <w:color w:val="000000"/>
          <w:sz w:val="20"/>
          <w:szCs w:val="20"/>
        </w:rPr>
        <w:t>，</w:t>
      </w:r>
      <w:r w:rsidR="003731AC">
        <w:rPr>
          <w:rFonts w:ascii="標楷體" w:eastAsia="標楷體" w:hAnsi="標楷體" w:hint="eastAsia"/>
          <w:color w:val="000000"/>
          <w:szCs w:val="24"/>
        </w:rPr>
        <w:t>管理機制仍有疏漏等情事，經函請</w:t>
      </w:r>
      <w:proofErr w:type="gramStart"/>
      <w:r w:rsidR="003731AC">
        <w:rPr>
          <w:rFonts w:ascii="標楷體" w:eastAsia="標楷體" w:hAnsi="標楷體" w:hint="eastAsia"/>
          <w:color w:val="000000"/>
          <w:szCs w:val="24"/>
        </w:rPr>
        <w:t>研</w:t>
      </w:r>
      <w:proofErr w:type="gramEnd"/>
      <w:r w:rsidR="003731AC">
        <w:rPr>
          <w:rFonts w:ascii="標楷體" w:eastAsia="標楷體" w:hAnsi="標楷體" w:hint="eastAsia"/>
          <w:color w:val="000000"/>
          <w:szCs w:val="24"/>
        </w:rPr>
        <w:t>謀改善。據復：1.</w:t>
      </w:r>
      <w:r w:rsidR="003731AC">
        <w:rPr>
          <w:rFonts w:eastAsia="標楷體" w:hint="eastAsia"/>
          <w:szCs w:val="24"/>
        </w:rPr>
        <w:t>財政局後續將請教育局依限排除占用或收取無權占用使用補償金，並瞭解教育局執行清理計畫所遭遇之困難，</w:t>
      </w:r>
      <w:proofErr w:type="gramStart"/>
      <w:r w:rsidR="003731AC">
        <w:rPr>
          <w:rFonts w:eastAsia="標楷體" w:hint="eastAsia"/>
          <w:szCs w:val="24"/>
        </w:rPr>
        <w:t>研</w:t>
      </w:r>
      <w:proofErr w:type="gramEnd"/>
      <w:r w:rsidR="003731AC">
        <w:rPr>
          <w:rFonts w:eastAsia="標楷體" w:hint="eastAsia"/>
          <w:szCs w:val="24"/>
        </w:rPr>
        <w:t>議有效對策，確實協助教育局落實執行清理作業；</w:t>
      </w:r>
      <w:r w:rsidR="003731AC">
        <w:rPr>
          <w:rFonts w:ascii="標楷體" w:eastAsia="標楷體" w:hAnsi="標楷體" w:hint="eastAsia"/>
          <w:szCs w:val="24"/>
        </w:rPr>
        <w:t>2.</w:t>
      </w:r>
      <w:r w:rsidR="003731AC">
        <w:rPr>
          <w:rFonts w:eastAsia="標楷體" w:hint="eastAsia"/>
          <w:szCs w:val="24"/>
        </w:rPr>
        <w:t>刻就無繳款紀錄案件，逐案</w:t>
      </w:r>
      <w:proofErr w:type="gramStart"/>
      <w:r w:rsidR="003731AC">
        <w:rPr>
          <w:rFonts w:eastAsia="標楷體" w:hint="eastAsia"/>
          <w:szCs w:val="24"/>
        </w:rPr>
        <w:t>釐清占</w:t>
      </w:r>
      <w:proofErr w:type="gramEnd"/>
      <w:r w:rsidR="003731AC">
        <w:rPr>
          <w:rFonts w:eastAsia="標楷體" w:hint="eastAsia"/>
          <w:szCs w:val="24"/>
        </w:rPr>
        <w:t>用情形，後續將依相關</w:t>
      </w:r>
      <w:proofErr w:type="gramStart"/>
      <w:r w:rsidR="003731AC">
        <w:rPr>
          <w:rFonts w:eastAsia="標楷體" w:hint="eastAsia"/>
          <w:szCs w:val="24"/>
        </w:rPr>
        <w:t>規定妥處</w:t>
      </w:r>
      <w:proofErr w:type="gramEnd"/>
      <w:r w:rsidR="003731AC">
        <w:rPr>
          <w:rFonts w:eastAsia="標楷體" w:hint="eastAsia"/>
          <w:szCs w:val="24"/>
        </w:rPr>
        <w:t>；另</w:t>
      </w:r>
      <w:r w:rsidR="003731AC">
        <w:rPr>
          <w:rFonts w:ascii="標楷體" w:eastAsia="標楷體" w:hAnsi="標楷體" w:hint="eastAsia"/>
        </w:rPr>
        <w:t>配合使用</w:t>
      </w:r>
      <w:r w:rsidR="003731AC">
        <w:rPr>
          <w:rFonts w:ascii="標楷體" w:eastAsia="標楷體" w:hAnsi="標楷體" w:hint="eastAsia"/>
          <w:spacing w:val="-4"/>
        </w:rPr>
        <w:t>新財產管理系統控管功能，及加強內部宣導及同仁</w:t>
      </w:r>
      <w:r w:rsidR="003731AC">
        <w:rPr>
          <w:rFonts w:eastAsia="標楷體" w:hint="eastAsia"/>
          <w:color w:val="000000"/>
          <w:spacing w:val="-4"/>
          <w:szCs w:val="24"/>
        </w:rPr>
        <w:t>教育訓練</w:t>
      </w:r>
      <w:r w:rsidR="003731AC">
        <w:rPr>
          <w:rFonts w:ascii="標楷體" w:eastAsia="標楷體" w:hAnsi="標楷體" w:hint="eastAsia"/>
          <w:spacing w:val="-4"/>
        </w:rPr>
        <w:t>，落實執行清理作業，以維護市產權益</w:t>
      </w:r>
      <w:r w:rsidR="003731AC">
        <w:rPr>
          <w:rFonts w:ascii="標楷體" w:eastAsia="標楷體" w:hAnsi="標楷體" w:hint="eastAsia"/>
          <w:color w:val="000000"/>
          <w:spacing w:val="-4"/>
          <w:szCs w:val="24"/>
        </w:rPr>
        <w:t>。</w:t>
      </w:r>
    </w:p>
    <w:p w14:paraId="799F187A" w14:textId="77777777" w:rsidR="003731AC" w:rsidRDefault="003731AC" w:rsidP="00EE76C7">
      <w:pPr>
        <w:suppressAutoHyphens/>
        <w:overflowPunct w:val="0"/>
        <w:spacing w:beforeLines="50" w:before="180" w:line="460" w:lineRule="exact"/>
        <w:ind w:firstLineChars="100" w:firstLine="280"/>
        <w:jc w:val="both"/>
        <w:rPr>
          <w:rFonts w:ascii="標楷體" w:eastAsia="標楷體" w:hAnsi="標楷體"/>
          <w:b/>
          <w:bCs/>
          <w:color w:val="000000"/>
          <w:sz w:val="28"/>
          <w:szCs w:val="20"/>
        </w:rPr>
      </w:pPr>
      <w:r>
        <w:rPr>
          <w:rFonts w:ascii="標楷體" w:eastAsia="標楷體" w:hAnsi="Times New Roman" w:cs="Times New Roman" w:hint="eastAsia"/>
          <w:b/>
          <w:sz w:val="28"/>
          <w:szCs w:val="28"/>
        </w:rPr>
        <w:t>（六）定期彙整更新市有不動產資料庫進行供需調配，提升市有房地使用效</w:t>
      </w:r>
      <w:r>
        <w:rPr>
          <w:rFonts w:ascii="標楷體" w:eastAsia="標楷體" w:hAnsi="標楷體" w:hint="eastAsia"/>
          <w:b/>
          <w:bCs/>
          <w:color w:val="000000"/>
          <w:sz w:val="28"/>
          <w:szCs w:val="20"/>
        </w:rPr>
        <w:t>能，惟部分建物閒置多時仍未完成調配，有待評析適時辦理其屋</w:t>
      </w:r>
      <w:proofErr w:type="gramStart"/>
      <w:r>
        <w:rPr>
          <w:rFonts w:ascii="標楷體" w:eastAsia="標楷體" w:hAnsi="標楷體" w:hint="eastAsia"/>
          <w:b/>
          <w:bCs/>
          <w:color w:val="000000"/>
          <w:sz w:val="28"/>
          <w:szCs w:val="20"/>
        </w:rPr>
        <w:t>況</w:t>
      </w:r>
      <w:proofErr w:type="gramEnd"/>
      <w:r>
        <w:rPr>
          <w:rFonts w:ascii="標楷體" w:eastAsia="標楷體" w:hAnsi="標楷體" w:hint="eastAsia"/>
          <w:b/>
          <w:bCs/>
          <w:color w:val="000000"/>
          <w:sz w:val="28"/>
          <w:szCs w:val="20"/>
        </w:rPr>
        <w:t>及設施改善之必要性，以提升其實用性並增加媒合調配價值，或督促相關機關檢討另擬其他多元資產活化措施，以提升市有財產使用效益。</w:t>
      </w:r>
    </w:p>
    <w:p w14:paraId="677B01F2" w14:textId="04E57AAA" w:rsidR="003731AC" w:rsidRDefault="003731AC" w:rsidP="003731AC">
      <w:pPr>
        <w:suppressAutoHyphens/>
        <w:overflowPunct w:val="0"/>
        <w:spacing w:beforeLines="20" w:before="72" w:line="420" w:lineRule="exact"/>
        <w:ind w:firstLineChars="200" w:firstLine="480"/>
        <w:jc w:val="both"/>
        <w:rPr>
          <w:rFonts w:ascii="標楷體" w:eastAsia="標楷體" w:hAnsi="Times New Roman" w:cs="Times New Roman"/>
          <w:b/>
          <w:sz w:val="28"/>
          <w:szCs w:val="28"/>
        </w:rPr>
      </w:pPr>
      <w:r>
        <w:rPr>
          <w:rFonts w:ascii="標楷體" w:eastAsia="標楷體" w:hAnsi="標楷體" w:hint="eastAsia"/>
          <w:color w:val="000000"/>
          <w:szCs w:val="18"/>
        </w:rPr>
        <w:t>市政府為有效運用市有不動產，於112年訂定臺北市市有不動產供需調配計畫，並建置供需資料庫，每半年盤點各機關學校經管未來4年可供調配之市有不動產供需資料，由財政局按市府政策及需求緩急進行媒合調配，</w:t>
      </w:r>
      <w:proofErr w:type="gramStart"/>
      <w:r>
        <w:rPr>
          <w:rFonts w:ascii="標楷體" w:eastAsia="標楷體" w:hAnsi="標楷體" w:hint="eastAsia"/>
          <w:color w:val="000000"/>
          <w:szCs w:val="18"/>
        </w:rPr>
        <w:t>113</w:t>
      </w:r>
      <w:proofErr w:type="gramEnd"/>
      <w:r>
        <w:rPr>
          <w:rFonts w:ascii="標楷體" w:eastAsia="標楷體" w:hAnsi="標楷體" w:hint="eastAsia"/>
          <w:color w:val="000000"/>
          <w:szCs w:val="18"/>
        </w:rPr>
        <w:t>年度成功調配西園職務宿舍2樓作為市民運動空間等計21案。截至113年底止，供給資料庫計有建物212筆，排除166筆興建中、使用中、補強中等可於未來4年間陸續釋出，及8筆已預定由臺北市政府青年局做為</w:t>
      </w:r>
      <w:proofErr w:type="gramStart"/>
      <w:r>
        <w:rPr>
          <w:rFonts w:ascii="標楷體" w:eastAsia="標楷體" w:hAnsi="標楷體" w:hint="eastAsia"/>
          <w:color w:val="000000"/>
          <w:szCs w:val="18"/>
        </w:rPr>
        <w:t>青職培</w:t>
      </w:r>
      <w:proofErr w:type="gramEnd"/>
      <w:r>
        <w:rPr>
          <w:rFonts w:ascii="標楷體" w:eastAsia="標楷體" w:hAnsi="標楷體" w:hint="eastAsia"/>
          <w:color w:val="000000"/>
          <w:szCs w:val="18"/>
        </w:rPr>
        <w:t>力基地規劃使用，尚有38筆按現況辦理調配予需求機關（表4）。經查前揭38筆建物自106年起即陸續釋出，其中房屋現況屬良好、尚可者有9筆，惟迄113年底未能有效調配媒合；</w:t>
      </w:r>
      <w:r>
        <w:rPr>
          <w:rFonts w:ascii="標楷體" w:eastAsia="標楷體" w:hAnsi="標楷體" w:hint="eastAsia"/>
          <w:color w:val="000000"/>
          <w:szCs w:val="24"/>
        </w:rPr>
        <w:t>又上開38筆建物中由行政院公共工程委員會（下稱工程會）公共設施有效管理使用督導會議持續列管有4筆，迄114年</w:t>
      </w:r>
      <w:r>
        <w:rPr>
          <w:rFonts w:ascii="標楷體" w:eastAsia="標楷體" w:hAnsi="標楷體" w:hint="eastAsia"/>
          <w:color w:val="000000"/>
          <w:szCs w:val="24"/>
        </w:rPr>
        <w:lastRenderedPageBreak/>
        <w:t>3月底，已閒置逾1至10年不等，</w:t>
      </w:r>
      <w:r>
        <w:rPr>
          <w:rFonts w:ascii="標楷體" w:eastAsia="標楷體" w:hAnsi="標楷體" w:hint="eastAsia"/>
          <w:color w:val="000000"/>
          <w:szCs w:val="18"/>
        </w:rPr>
        <w:t>仍因屋</w:t>
      </w:r>
      <w:proofErr w:type="gramStart"/>
      <w:r>
        <w:rPr>
          <w:rFonts w:ascii="標楷體" w:eastAsia="標楷體" w:hAnsi="標楷體" w:hint="eastAsia"/>
          <w:color w:val="000000"/>
          <w:szCs w:val="18"/>
        </w:rPr>
        <w:t>況</w:t>
      </w:r>
      <w:proofErr w:type="gramEnd"/>
      <w:r>
        <w:rPr>
          <w:rFonts w:ascii="標楷體" w:eastAsia="標楷體" w:hAnsi="標楷體" w:hint="eastAsia"/>
          <w:color w:val="000000"/>
          <w:szCs w:val="18"/>
        </w:rPr>
        <w:t>不佳或欠缺無障礙設施等原因，不易媒合活化，允宜</w:t>
      </w:r>
      <w:proofErr w:type="gramStart"/>
      <w:r>
        <w:rPr>
          <w:rFonts w:ascii="標楷體" w:eastAsia="標楷體" w:hAnsi="標楷體" w:hint="eastAsia"/>
          <w:color w:val="000000"/>
          <w:szCs w:val="18"/>
        </w:rPr>
        <w:t>研</w:t>
      </w:r>
      <w:proofErr w:type="gramEnd"/>
      <w:r>
        <w:rPr>
          <w:rFonts w:ascii="標楷體" w:eastAsia="標楷體" w:hAnsi="標楷體" w:hint="eastAsia"/>
          <w:color w:val="000000"/>
          <w:szCs w:val="18"/>
        </w:rPr>
        <w:t>析適時辦理各該建物屋</w:t>
      </w:r>
      <w:proofErr w:type="gramStart"/>
      <w:r>
        <w:rPr>
          <w:rFonts w:ascii="標楷體" w:eastAsia="標楷體" w:hAnsi="標楷體" w:hint="eastAsia"/>
          <w:color w:val="000000"/>
          <w:szCs w:val="18"/>
        </w:rPr>
        <w:t>況</w:t>
      </w:r>
      <w:proofErr w:type="gramEnd"/>
      <w:r>
        <w:rPr>
          <w:rFonts w:ascii="標楷體" w:eastAsia="標楷體" w:hAnsi="標楷體" w:hint="eastAsia"/>
          <w:color w:val="000000"/>
          <w:szCs w:val="18"/>
        </w:rPr>
        <w:t>及設施改善之必要性，以提升其實用性並增加媒合調配價值，或</w:t>
      </w:r>
      <w:r>
        <w:rPr>
          <w:rFonts w:hint="eastAsia"/>
          <w:noProof/>
        </w:rPr>
        <mc:AlternateContent>
          <mc:Choice Requires="wps">
            <w:drawing>
              <wp:anchor distT="45720" distB="45720" distL="114300" distR="114300" simplePos="0" relativeHeight="251739136" behindDoc="0" locked="0" layoutInCell="1" allowOverlap="1" wp14:anchorId="45A0AF01" wp14:editId="3B0333C2">
                <wp:simplePos x="0" y="0"/>
                <wp:positionH relativeFrom="margin">
                  <wp:posOffset>2100580</wp:posOffset>
                </wp:positionH>
                <wp:positionV relativeFrom="paragraph">
                  <wp:posOffset>0</wp:posOffset>
                </wp:positionV>
                <wp:extent cx="4349750" cy="3632200"/>
                <wp:effectExtent l="0" t="0" r="0" b="6350"/>
                <wp:wrapSquare wrapText="bothSides"/>
                <wp:docPr id="927419602" name="文字方塊 927419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9750" cy="3632200"/>
                        </a:xfrm>
                        <a:prstGeom prst="rect">
                          <a:avLst/>
                        </a:prstGeom>
                        <a:noFill/>
                        <a:ln w="9525">
                          <a:noFill/>
                          <a:miter lim="800000"/>
                          <a:headEnd/>
                          <a:tailEnd/>
                        </a:ln>
                      </wps:spPr>
                      <wps:txbx>
                        <w:txbxContent>
                          <w:p w14:paraId="0DFD137B" w14:textId="77777777" w:rsidR="003731AC" w:rsidRDefault="003731AC" w:rsidP="003731AC">
                            <w:pPr>
                              <w:jc w:val="center"/>
                              <w:rPr>
                                <w:sz w:val="22"/>
                              </w:rPr>
                            </w:pPr>
                            <w:bookmarkStart w:id="31" w:name="_Hlk196904856"/>
                            <w:r>
                              <w:rPr>
                                <w:rFonts w:ascii="標楷體" w:eastAsia="標楷體" w:hAnsi="標楷體" w:hint="eastAsia"/>
                                <w:b/>
                              </w:rPr>
                              <w:t>表4　截至113年底供給資料庫所</w:t>
                            </w:r>
                            <w:proofErr w:type="gramStart"/>
                            <w:r>
                              <w:rPr>
                                <w:rFonts w:ascii="標楷體" w:eastAsia="標楷體" w:hAnsi="標楷體" w:hint="eastAsia"/>
                                <w:b/>
                              </w:rPr>
                              <w:t>列待媒</w:t>
                            </w:r>
                            <w:proofErr w:type="gramEnd"/>
                            <w:r>
                              <w:rPr>
                                <w:rFonts w:ascii="標楷體" w:eastAsia="標楷體" w:hAnsi="標楷體" w:hint="eastAsia"/>
                                <w:b/>
                              </w:rPr>
                              <w:t>合調配建物概況</w:t>
                            </w:r>
                          </w:p>
                          <w:tbl>
                            <w:tblPr>
                              <w:tblStyle w:val="a6"/>
                              <w:tblW w:w="0" w:type="auto"/>
                              <w:tblInd w:w="137" w:type="dxa"/>
                              <w:tblLook w:val="04A0" w:firstRow="1" w:lastRow="0" w:firstColumn="1" w:lastColumn="0" w:noHBand="0" w:noVBand="1"/>
                            </w:tblPr>
                            <w:tblGrid>
                              <w:gridCol w:w="2126"/>
                              <w:gridCol w:w="3119"/>
                              <w:gridCol w:w="992"/>
                            </w:tblGrid>
                            <w:tr w:rsidR="003731AC" w14:paraId="599924CD" w14:textId="77777777">
                              <w:trPr>
                                <w:trHeight w:val="227"/>
                              </w:trPr>
                              <w:tc>
                                <w:tcPr>
                                  <w:tcW w:w="5245" w:type="dxa"/>
                                  <w:gridSpan w:val="2"/>
                                  <w:tcBorders>
                                    <w:top w:val="single" w:sz="4" w:space="0" w:color="auto"/>
                                    <w:left w:val="single" w:sz="4" w:space="0" w:color="auto"/>
                                    <w:bottom w:val="single" w:sz="4" w:space="0" w:color="auto"/>
                                    <w:right w:val="single" w:sz="4" w:space="0" w:color="auto"/>
                                  </w:tcBorders>
                                  <w:hideMark/>
                                </w:tcPr>
                                <w:bookmarkEnd w:id="31"/>
                                <w:p w14:paraId="40E10C15" w14:textId="77777777" w:rsidR="003731AC" w:rsidRDefault="003731AC">
                                  <w:pPr>
                                    <w:overflowPunct w:val="0"/>
                                    <w:spacing w:line="320" w:lineRule="exact"/>
                                    <w:jc w:val="center"/>
                                    <w:rPr>
                                      <w:rFonts w:ascii="標楷體" w:eastAsia="標楷體" w:hAnsi="標楷體"/>
                                      <w:szCs w:val="18"/>
                                    </w:rPr>
                                  </w:pPr>
                                  <w:r>
                                    <w:rPr>
                                      <w:rFonts w:ascii="標楷體" w:eastAsia="標楷體" w:hAnsi="標楷體" w:hint="eastAsia"/>
                                      <w:szCs w:val="18"/>
                                    </w:rPr>
                                    <w:t>房屋現況</w:t>
                                  </w:r>
                                </w:p>
                              </w:tc>
                              <w:tc>
                                <w:tcPr>
                                  <w:tcW w:w="992" w:type="dxa"/>
                                  <w:tcBorders>
                                    <w:top w:val="single" w:sz="4" w:space="0" w:color="auto"/>
                                    <w:left w:val="single" w:sz="4" w:space="0" w:color="auto"/>
                                    <w:bottom w:val="single" w:sz="4" w:space="0" w:color="auto"/>
                                    <w:right w:val="single" w:sz="4" w:space="0" w:color="auto"/>
                                  </w:tcBorders>
                                  <w:hideMark/>
                                </w:tcPr>
                                <w:p w14:paraId="14995687" w14:textId="77777777" w:rsidR="003731AC" w:rsidRDefault="003731AC">
                                  <w:pPr>
                                    <w:overflowPunct w:val="0"/>
                                    <w:spacing w:line="320" w:lineRule="exact"/>
                                    <w:jc w:val="center"/>
                                    <w:rPr>
                                      <w:rFonts w:ascii="標楷體" w:eastAsia="標楷體" w:hAnsi="標楷體"/>
                                      <w:szCs w:val="18"/>
                                    </w:rPr>
                                  </w:pPr>
                                  <w:r>
                                    <w:rPr>
                                      <w:rFonts w:ascii="標楷體" w:eastAsia="標楷體" w:hAnsi="標楷體" w:hint="eastAsia"/>
                                      <w:szCs w:val="18"/>
                                    </w:rPr>
                                    <w:t>筆數</w:t>
                                  </w:r>
                                </w:p>
                              </w:tc>
                            </w:tr>
                            <w:tr w:rsidR="003731AC" w14:paraId="5ADDBD50" w14:textId="77777777">
                              <w:trPr>
                                <w:trHeight w:val="227"/>
                              </w:trPr>
                              <w:tc>
                                <w:tcPr>
                                  <w:tcW w:w="5245" w:type="dxa"/>
                                  <w:gridSpan w:val="2"/>
                                  <w:tcBorders>
                                    <w:top w:val="single" w:sz="4" w:space="0" w:color="auto"/>
                                    <w:left w:val="single" w:sz="4" w:space="0" w:color="auto"/>
                                    <w:bottom w:val="single" w:sz="4" w:space="0" w:color="auto"/>
                                    <w:right w:val="single" w:sz="4" w:space="0" w:color="auto"/>
                                  </w:tcBorders>
                                  <w:hideMark/>
                                </w:tcPr>
                                <w:p w14:paraId="6325A94F" w14:textId="77777777" w:rsidR="003731AC" w:rsidRDefault="003731AC">
                                  <w:pPr>
                                    <w:overflowPunct w:val="0"/>
                                    <w:spacing w:line="320" w:lineRule="exact"/>
                                    <w:jc w:val="center"/>
                                    <w:rPr>
                                      <w:rFonts w:ascii="標楷體" w:eastAsia="標楷體" w:hAnsi="標楷體"/>
                                      <w:b/>
                                      <w:szCs w:val="18"/>
                                    </w:rPr>
                                  </w:pPr>
                                  <w:bookmarkStart w:id="32" w:name="_Hlk196904823"/>
                                  <w:r>
                                    <w:rPr>
                                      <w:rFonts w:ascii="標楷體" w:eastAsia="標楷體" w:hAnsi="標楷體" w:hint="eastAsia"/>
                                      <w:b/>
                                      <w:szCs w:val="18"/>
                                    </w:rPr>
                                    <w:t>合   計</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DD1790" w14:textId="77777777" w:rsidR="003731AC" w:rsidRDefault="003731AC">
                                  <w:pPr>
                                    <w:overflowPunct w:val="0"/>
                                    <w:spacing w:line="320" w:lineRule="exact"/>
                                    <w:jc w:val="right"/>
                                    <w:rPr>
                                      <w:rFonts w:ascii="標楷體" w:eastAsia="標楷體" w:hAnsi="標楷體"/>
                                      <w:b/>
                                      <w:szCs w:val="18"/>
                                    </w:rPr>
                                  </w:pPr>
                                  <w:r>
                                    <w:rPr>
                                      <w:rFonts w:ascii="標楷體" w:eastAsia="標楷體" w:hAnsi="標楷體" w:hint="eastAsia"/>
                                      <w:b/>
                                      <w:szCs w:val="18"/>
                                    </w:rPr>
                                    <w:t>212</w:t>
                                  </w:r>
                                </w:p>
                              </w:tc>
                            </w:tr>
                            <w:tr w:rsidR="003731AC" w14:paraId="546F4C3C" w14:textId="77777777">
                              <w:trPr>
                                <w:trHeight w:val="227"/>
                              </w:trPr>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07B48347" w14:textId="77777777" w:rsidR="003731AC" w:rsidRDefault="003731AC">
                                  <w:pPr>
                                    <w:overflowPunct w:val="0"/>
                                    <w:spacing w:line="360" w:lineRule="exact"/>
                                    <w:rPr>
                                      <w:rFonts w:ascii="標楷體" w:eastAsia="標楷體" w:hAnsi="標楷體"/>
                                      <w:b/>
                                      <w:szCs w:val="18"/>
                                    </w:rPr>
                                  </w:pPr>
                                  <w:r>
                                    <w:rPr>
                                      <w:rFonts w:ascii="標楷體" w:eastAsia="標楷體" w:hAnsi="標楷體" w:hint="eastAsia"/>
                                      <w:b/>
                                      <w:szCs w:val="18"/>
                                    </w:rPr>
                                    <w:t>按現況辦理調配</w:t>
                                  </w:r>
                                </w:p>
                              </w:tc>
                              <w:tc>
                                <w:tcPr>
                                  <w:tcW w:w="3119" w:type="dxa"/>
                                  <w:tcBorders>
                                    <w:top w:val="single" w:sz="4" w:space="0" w:color="auto"/>
                                    <w:left w:val="single" w:sz="4" w:space="0" w:color="auto"/>
                                    <w:bottom w:val="single" w:sz="4" w:space="0" w:color="auto"/>
                                    <w:right w:val="single" w:sz="4" w:space="0" w:color="auto"/>
                                  </w:tcBorders>
                                  <w:hideMark/>
                                </w:tcPr>
                                <w:p w14:paraId="331CECC5" w14:textId="77777777" w:rsidR="003731AC" w:rsidRPr="00205ACB" w:rsidRDefault="003731AC">
                                  <w:pPr>
                                    <w:overflowPunct w:val="0"/>
                                    <w:spacing w:line="280" w:lineRule="exact"/>
                                    <w:jc w:val="center"/>
                                    <w:rPr>
                                      <w:rFonts w:ascii="標楷體" w:eastAsia="標楷體" w:hAnsi="標楷體"/>
                                      <w:b/>
                                      <w:szCs w:val="18"/>
                                    </w:rPr>
                                  </w:pPr>
                                  <w:r w:rsidRPr="00205ACB">
                                    <w:rPr>
                                      <w:rFonts w:ascii="標楷體" w:eastAsia="標楷體" w:hAnsi="標楷體" w:hint="eastAsia"/>
                                      <w:b/>
                                      <w:szCs w:val="18"/>
                                    </w:rPr>
                                    <w:t>小  計</w:t>
                                  </w:r>
                                </w:p>
                              </w:tc>
                              <w:tc>
                                <w:tcPr>
                                  <w:tcW w:w="992" w:type="dxa"/>
                                  <w:tcBorders>
                                    <w:top w:val="single" w:sz="4" w:space="0" w:color="auto"/>
                                    <w:left w:val="single" w:sz="4" w:space="0" w:color="auto"/>
                                    <w:bottom w:val="single" w:sz="4" w:space="0" w:color="auto"/>
                                    <w:right w:val="single" w:sz="4" w:space="0" w:color="auto"/>
                                  </w:tcBorders>
                                  <w:hideMark/>
                                </w:tcPr>
                                <w:p w14:paraId="77B42152" w14:textId="77777777" w:rsidR="003731AC" w:rsidRPr="00205ACB" w:rsidRDefault="003731AC">
                                  <w:pPr>
                                    <w:overflowPunct w:val="0"/>
                                    <w:spacing w:line="280" w:lineRule="exact"/>
                                    <w:jc w:val="right"/>
                                    <w:rPr>
                                      <w:rFonts w:ascii="標楷體" w:eastAsia="標楷體" w:hAnsi="標楷體"/>
                                      <w:b/>
                                      <w:szCs w:val="18"/>
                                    </w:rPr>
                                  </w:pPr>
                                  <w:r w:rsidRPr="00205ACB">
                                    <w:rPr>
                                      <w:rFonts w:ascii="標楷體" w:eastAsia="標楷體" w:hAnsi="標楷體" w:hint="eastAsia"/>
                                      <w:b/>
                                      <w:szCs w:val="18"/>
                                    </w:rPr>
                                    <w:t>38</w:t>
                                  </w:r>
                                </w:p>
                              </w:tc>
                            </w:tr>
                            <w:tr w:rsidR="003731AC" w14:paraId="56C4AA19"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CC86F8"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5D62A485" w14:textId="77777777" w:rsidR="003731AC" w:rsidRDefault="003731AC">
                                  <w:pPr>
                                    <w:overflowPunct w:val="0"/>
                                    <w:spacing w:line="280" w:lineRule="exact"/>
                                    <w:jc w:val="both"/>
                                    <w:rPr>
                                      <w:rFonts w:ascii="標楷體" w:eastAsia="標楷體" w:hAnsi="標楷體"/>
                                      <w:szCs w:val="18"/>
                                    </w:rPr>
                                  </w:pPr>
                                  <w:r>
                                    <w:rPr>
                                      <w:rFonts w:ascii="標楷體" w:eastAsia="標楷體" w:hAnsi="標楷體" w:hint="eastAsia"/>
                                      <w:szCs w:val="18"/>
                                    </w:rPr>
                                    <w:t>良好、尚可</w:t>
                                  </w:r>
                                </w:p>
                              </w:tc>
                              <w:tc>
                                <w:tcPr>
                                  <w:tcW w:w="992" w:type="dxa"/>
                                  <w:tcBorders>
                                    <w:top w:val="single" w:sz="4" w:space="0" w:color="auto"/>
                                    <w:left w:val="single" w:sz="4" w:space="0" w:color="auto"/>
                                    <w:bottom w:val="single" w:sz="4" w:space="0" w:color="auto"/>
                                    <w:right w:val="single" w:sz="4" w:space="0" w:color="auto"/>
                                  </w:tcBorders>
                                  <w:hideMark/>
                                </w:tcPr>
                                <w:p w14:paraId="2C4E66A6" w14:textId="77777777" w:rsidR="003731AC" w:rsidRDefault="003731AC">
                                  <w:pPr>
                                    <w:overflowPunct w:val="0"/>
                                    <w:spacing w:line="280" w:lineRule="exact"/>
                                    <w:jc w:val="right"/>
                                    <w:rPr>
                                      <w:rFonts w:ascii="標楷體" w:eastAsia="標楷體" w:hAnsi="標楷體"/>
                                      <w:szCs w:val="18"/>
                                    </w:rPr>
                                  </w:pPr>
                                  <w:r>
                                    <w:rPr>
                                      <w:rFonts w:ascii="標楷體" w:eastAsia="標楷體" w:hAnsi="標楷體" w:hint="eastAsia"/>
                                      <w:szCs w:val="18"/>
                                    </w:rPr>
                                    <w:t>9</w:t>
                                  </w:r>
                                </w:p>
                              </w:tc>
                            </w:tr>
                            <w:tr w:rsidR="003731AC" w14:paraId="50B13CF0"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E58F9"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0E6824C6" w14:textId="77777777" w:rsidR="003731AC" w:rsidRDefault="003731AC">
                                  <w:pPr>
                                    <w:overflowPunct w:val="0"/>
                                    <w:spacing w:line="280" w:lineRule="exact"/>
                                    <w:jc w:val="both"/>
                                    <w:rPr>
                                      <w:rFonts w:ascii="標楷體" w:eastAsia="標楷體" w:hAnsi="標楷體"/>
                                      <w:szCs w:val="18"/>
                                    </w:rPr>
                                  </w:pPr>
                                  <w:r>
                                    <w:rPr>
                                      <w:rFonts w:ascii="標楷體" w:eastAsia="標楷體" w:hAnsi="標楷體" w:hint="eastAsia"/>
                                      <w:szCs w:val="18"/>
                                    </w:rPr>
                                    <w:t>已有改建計畫或參與都市更新計畫等，改建前提供短期使用</w:t>
                                  </w:r>
                                </w:p>
                              </w:tc>
                              <w:tc>
                                <w:tcPr>
                                  <w:tcW w:w="992" w:type="dxa"/>
                                  <w:tcBorders>
                                    <w:top w:val="single" w:sz="4" w:space="0" w:color="auto"/>
                                    <w:left w:val="single" w:sz="4" w:space="0" w:color="auto"/>
                                    <w:bottom w:val="single" w:sz="4" w:space="0" w:color="auto"/>
                                    <w:right w:val="single" w:sz="4" w:space="0" w:color="auto"/>
                                  </w:tcBorders>
                                  <w:hideMark/>
                                </w:tcPr>
                                <w:p w14:paraId="4C576B03" w14:textId="77777777" w:rsidR="003731AC" w:rsidRDefault="003731AC">
                                  <w:pPr>
                                    <w:overflowPunct w:val="0"/>
                                    <w:spacing w:line="280" w:lineRule="exact"/>
                                    <w:jc w:val="right"/>
                                    <w:rPr>
                                      <w:rFonts w:ascii="標楷體" w:eastAsia="標楷體" w:hAnsi="標楷體"/>
                                      <w:szCs w:val="18"/>
                                    </w:rPr>
                                  </w:pPr>
                                  <w:r>
                                    <w:rPr>
                                      <w:rFonts w:ascii="標楷體" w:eastAsia="標楷體" w:hAnsi="標楷體" w:hint="eastAsia"/>
                                      <w:szCs w:val="18"/>
                                    </w:rPr>
                                    <w:t>17</w:t>
                                  </w:r>
                                </w:p>
                              </w:tc>
                            </w:tr>
                            <w:tr w:rsidR="003731AC" w14:paraId="6F04E6C3"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B9DC7"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3360A5EC" w14:textId="77777777" w:rsidR="003731AC" w:rsidRDefault="003731AC">
                                  <w:pPr>
                                    <w:overflowPunct w:val="0"/>
                                    <w:spacing w:line="280" w:lineRule="exact"/>
                                    <w:jc w:val="both"/>
                                    <w:rPr>
                                      <w:rFonts w:ascii="標楷體" w:eastAsia="標楷體" w:hAnsi="標楷體"/>
                                      <w:szCs w:val="18"/>
                                    </w:rPr>
                                  </w:pPr>
                                  <w:r>
                                    <w:rPr>
                                      <w:rFonts w:ascii="標楷體" w:eastAsia="標楷體" w:hAnsi="標楷體" w:hint="eastAsia"/>
                                      <w:szCs w:val="18"/>
                                    </w:rPr>
                                    <w:t>老舊，已辦理結構安全鑑定</w:t>
                                  </w:r>
                                </w:p>
                              </w:tc>
                              <w:tc>
                                <w:tcPr>
                                  <w:tcW w:w="992" w:type="dxa"/>
                                  <w:tcBorders>
                                    <w:top w:val="single" w:sz="4" w:space="0" w:color="auto"/>
                                    <w:left w:val="single" w:sz="4" w:space="0" w:color="auto"/>
                                    <w:bottom w:val="single" w:sz="4" w:space="0" w:color="auto"/>
                                    <w:right w:val="single" w:sz="4" w:space="0" w:color="auto"/>
                                  </w:tcBorders>
                                  <w:hideMark/>
                                </w:tcPr>
                                <w:p w14:paraId="1DCA2547" w14:textId="77777777" w:rsidR="003731AC" w:rsidRDefault="003731AC">
                                  <w:pPr>
                                    <w:overflowPunct w:val="0"/>
                                    <w:spacing w:line="280" w:lineRule="exact"/>
                                    <w:jc w:val="right"/>
                                    <w:rPr>
                                      <w:rFonts w:ascii="標楷體" w:eastAsia="標楷體" w:hAnsi="標楷體"/>
                                      <w:szCs w:val="18"/>
                                    </w:rPr>
                                  </w:pPr>
                                  <w:r>
                                    <w:rPr>
                                      <w:rFonts w:ascii="標楷體" w:eastAsia="標楷體" w:hAnsi="標楷體" w:hint="eastAsia"/>
                                      <w:szCs w:val="18"/>
                                    </w:rPr>
                                    <w:t>1</w:t>
                                  </w:r>
                                </w:p>
                              </w:tc>
                            </w:tr>
                            <w:tr w:rsidR="003731AC" w14:paraId="4AEC631A"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BC1B"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1EDE15A0" w14:textId="77777777" w:rsidR="003731AC" w:rsidRDefault="003731AC">
                                  <w:pPr>
                                    <w:overflowPunct w:val="0"/>
                                    <w:spacing w:line="280" w:lineRule="exact"/>
                                    <w:jc w:val="both"/>
                                    <w:rPr>
                                      <w:rFonts w:ascii="標楷體" w:eastAsia="標楷體" w:hAnsi="標楷體"/>
                                      <w:szCs w:val="18"/>
                                    </w:rPr>
                                  </w:pPr>
                                  <w:r>
                                    <w:rPr>
                                      <w:rFonts w:ascii="標楷體" w:eastAsia="標楷體" w:hAnsi="標楷體" w:hint="eastAsia"/>
                                      <w:szCs w:val="18"/>
                                    </w:rPr>
                                    <w:t>漏水、滲水、屋</w:t>
                                  </w:r>
                                  <w:proofErr w:type="gramStart"/>
                                  <w:r>
                                    <w:rPr>
                                      <w:rFonts w:ascii="標楷體" w:eastAsia="標楷體" w:hAnsi="標楷體" w:hint="eastAsia"/>
                                      <w:szCs w:val="18"/>
                                    </w:rPr>
                                    <w:t>況</w:t>
                                  </w:r>
                                  <w:proofErr w:type="gramEnd"/>
                                  <w:r>
                                    <w:rPr>
                                      <w:rFonts w:ascii="標楷體" w:eastAsia="標楷體" w:hAnsi="標楷體" w:hint="eastAsia"/>
                                      <w:szCs w:val="18"/>
                                    </w:rPr>
                                    <w:t>較差</w:t>
                                  </w:r>
                                </w:p>
                              </w:tc>
                              <w:tc>
                                <w:tcPr>
                                  <w:tcW w:w="992" w:type="dxa"/>
                                  <w:tcBorders>
                                    <w:top w:val="single" w:sz="4" w:space="0" w:color="auto"/>
                                    <w:left w:val="single" w:sz="4" w:space="0" w:color="auto"/>
                                    <w:bottom w:val="single" w:sz="4" w:space="0" w:color="auto"/>
                                    <w:right w:val="single" w:sz="4" w:space="0" w:color="auto"/>
                                  </w:tcBorders>
                                  <w:hideMark/>
                                </w:tcPr>
                                <w:p w14:paraId="48F06F58" w14:textId="77777777" w:rsidR="003731AC" w:rsidRDefault="003731AC">
                                  <w:pPr>
                                    <w:overflowPunct w:val="0"/>
                                    <w:spacing w:line="280" w:lineRule="exact"/>
                                    <w:jc w:val="right"/>
                                    <w:rPr>
                                      <w:rFonts w:ascii="標楷體" w:eastAsia="標楷體" w:hAnsi="標楷體"/>
                                      <w:szCs w:val="18"/>
                                    </w:rPr>
                                  </w:pPr>
                                  <w:r>
                                    <w:rPr>
                                      <w:rFonts w:ascii="標楷體" w:eastAsia="標楷體" w:hAnsi="標楷體" w:hint="eastAsia"/>
                                      <w:szCs w:val="18"/>
                                    </w:rPr>
                                    <w:t>11</w:t>
                                  </w:r>
                                </w:p>
                              </w:tc>
                            </w:tr>
                            <w:tr w:rsidR="003731AC" w14:paraId="3CF414AD" w14:textId="77777777">
                              <w:trPr>
                                <w:trHeight w:val="340"/>
                              </w:trPr>
                              <w:tc>
                                <w:tcPr>
                                  <w:tcW w:w="5245" w:type="dxa"/>
                                  <w:gridSpan w:val="2"/>
                                  <w:tcBorders>
                                    <w:top w:val="single" w:sz="4" w:space="0" w:color="auto"/>
                                    <w:left w:val="single" w:sz="4" w:space="0" w:color="auto"/>
                                    <w:bottom w:val="single" w:sz="4" w:space="0" w:color="auto"/>
                                    <w:right w:val="single" w:sz="4" w:space="0" w:color="auto"/>
                                  </w:tcBorders>
                                  <w:vAlign w:val="center"/>
                                  <w:hideMark/>
                                </w:tcPr>
                                <w:p w14:paraId="69A2B801" w14:textId="77777777" w:rsidR="003731AC" w:rsidRDefault="003731AC">
                                  <w:pPr>
                                    <w:overflowPunct w:val="0"/>
                                    <w:spacing w:line="340" w:lineRule="exact"/>
                                    <w:rPr>
                                      <w:rFonts w:ascii="標楷體" w:eastAsia="標楷體" w:hAnsi="標楷體"/>
                                      <w:b/>
                                      <w:szCs w:val="18"/>
                                    </w:rPr>
                                  </w:pPr>
                                  <w:r>
                                    <w:rPr>
                                      <w:rFonts w:ascii="標楷體" w:eastAsia="標楷體" w:hAnsi="標楷體" w:hint="eastAsia"/>
                                      <w:b/>
                                      <w:szCs w:val="18"/>
                                    </w:rPr>
                                    <w:t>閒置，預計由青年局做為</w:t>
                                  </w:r>
                                  <w:proofErr w:type="gramStart"/>
                                  <w:r>
                                    <w:rPr>
                                      <w:rFonts w:ascii="標楷體" w:eastAsia="標楷體" w:hAnsi="標楷體" w:hint="eastAsia"/>
                                      <w:b/>
                                      <w:szCs w:val="18"/>
                                    </w:rPr>
                                    <w:t>青職培</w:t>
                                  </w:r>
                                  <w:proofErr w:type="gramEnd"/>
                                  <w:r>
                                    <w:rPr>
                                      <w:rFonts w:ascii="標楷體" w:eastAsia="標楷體" w:hAnsi="標楷體" w:hint="eastAsia"/>
                                      <w:b/>
                                      <w:szCs w:val="18"/>
                                    </w:rPr>
                                    <w:t>力基地規劃使用</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79FD38" w14:textId="77777777" w:rsidR="003731AC" w:rsidRDefault="003731AC">
                                  <w:pPr>
                                    <w:overflowPunct w:val="0"/>
                                    <w:spacing w:line="340" w:lineRule="exact"/>
                                    <w:jc w:val="right"/>
                                    <w:rPr>
                                      <w:rFonts w:ascii="標楷體" w:eastAsia="標楷體" w:hAnsi="標楷體"/>
                                      <w:b/>
                                      <w:szCs w:val="18"/>
                                    </w:rPr>
                                  </w:pPr>
                                  <w:r>
                                    <w:rPr>
                                      <w:rFonts w:ascii="標楷體" w:eastAsia="標楷體" w:hAnsi="標楷體" w:hint="eastAsia"/>
                                      <w:b/>
                                      <w:szCs w:val="18"/>
                                    </w:rPr>
                                    <w:t>8</w:t>
                                  </w:r>
                                </w:p>
                              </w:tc>
                            </w:tr>
                            <w:tr w:rsidR="003731AC" w14:paraId="1FA228AC" w14:textId="77777777">
                              <w:trPr>
                                <w:trHeight w:val="227"/>
                              </w:trPr>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7ACA07B0" w14:textId="77777777" w:rsidR="003731AC" w:rsidRDefault="003731AC">
                                  <w:pPr>
                                    <w:overflowPunct w:val="0"/>
                                    <w:spacing w:line="360" w:lineRule="exact"/>
                                    <w:rPr>
                                      <w:rFonts w:ascii="標楷體" w:eastAsia="標楷體" w:hAnsi="標楷體"/>
                                      <w:b/>
                                      <w:szCs w:val="18"/>
                                    </w:rPr>
                                  </w:pPr>
                                  <w:r>
                                    <w:rPr>
                                      <w:rFonts w:ascii="標楷體" w:eastAsia="標楷體" w:hAnsi="標楷體" w:hint="eastAsia"/>
                                      <w:b/>
                                      <w:szCs w:val="18"/>
                                    </w:rPr>
                                    <w:t>未來4年間陸續釋出</w:t>
                                  </w:r>
                                </w:p>
                              </w:tc>
                              <w:tc>
                                <w:tcPr>
                                  <w:tcW w:w="3119" w:type="dxa"/>
                                  <w:tcBorders>
                                    <w:top w:val="single" w:sz="4" w:space="0" w:color="auto"/>
                                    <w:left w:val="single" w:sz="4" w:space="0" w:color="auto"/>
                                    <w:bottom w:val="single" w:sz="4" w:space="0" w:color="auto"/>
                                    <w:right w:val="single" w:sz="4" w:space="0" w:color="auto"/>
                                  </w:tcBorders>
                                  <w:hideMark/>
                                </w:tcPr>
                                <w:p w14:paraId="3395D8C9" w14:textId="77777777" w:rsidR="003731AC" w:rsidRPr="00205ACB" w:rsidRDefault="003731AC">
                                  <w:pPr>
                                    <w:overflowPunct w:val="0"/>
                                    <w:spacing w:line="280" w:lineRule="exact"/>
                                    <w:jc w:val="center"/>
                                    <w:rPr>
                                      <w:rFonts w:ascii="標楷體" w:eastAsia="標楷體" w:hAnsi="標楷體"/>
                                      <w:b/>
                                      <w:szCs w:val="18"/>
                                    </w:rPr>
                                  </w:pPr>
                                  <w:r w:rsidRPr="00205ACB">
                                    <w:rPr>
                                      <w:rFonts w:ascii="標楷體" w:eastAsia="標楷體" w:hAnsi="標楷體" w:hint="eastAsia"/>
                                      <w:b/>
                                      <w:szCs w:val="18"/>
                                    </w:rPr>
                                    <w:t>小  計</w:t>
                                  </w:r>
                                </w:p>
                              </w:tc>
                              <w:tc>
                                <w:tcPr>
                                  <w:tcW w:w="992" w:type="dxa"/>
                                  <w:tcBorders>
                                    <w:top w:val="single" w:sz="4" w:space="0" w:color="auto"/>
                                    <w:left w:val="single" w:sz="4" w:space="0" w:color="auto"/>
                                    <w:bottom w:val="single" w:sz="4" w:space="0" w:color="auto"/>
                                    <w:right w:val="single" w:sz="4" w:space="0" w:color="auto"/>
                                  </w:tcBorders>
                                  <w:hideMark/>
                                </w:tcPr>
                                <w:p w14:paraId="16AA5596" w14:textId="77777777" w:rsidR="003731AC" w:rsidRPr="00205ACB" w:rsidRDefault="003731AC">
                                  <w:pPr>
                                    <w:overflowPunct w:val="0"/>
                                    <w:spacing w:line="280" w:lineRule="exact"/>
                                    <w:jc w:val="right"/>
                                    <w:rPr>
                                      <w:rFonts w:ascii="標楷體" w:eastAsia="標楷體" w:hAnsi="標楷體"/>
                                      <w:b/>
                                      <w:szCs w:val="18"/>
                                    </w:rPr>
                                  </w:pPr>
                                  <w:r w:rsidRPr="00205ACB">
                                    <w:rPr>
                                      <w:rFonts w:ascii="標楷體" w:eastAsia="標楷體" w:hAnsi="標楷體" w:hint="eastAsia"/>
                                      <w:b/>
                                      <w:szCs w:val="18"/>
                                    </w:rPr>
                                    <w:t>166</w:t>
                                  </w:r>
                                </w:p>
                              </w:tc>
                            </w:tr>
                            <w:tr w:rsidR="003731AC" w14:paraId="2428DEBC"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F0569"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147F4618" w14:textId="77777777" w:rsidR="003731AC" w:rsidRDefault="003731AC">
                                  <w:pPr>
                                    <w:overflowPunct w:val="0"/>
                                    <w:spacing w:line="300" w:lineRule="exact"/>
                                    <w:jc w:val="both"/>
                                    <w:rPr>
                                      <w:rFonts w:ascii="標楷體" w:eastAsia="標楷體" w:hAnsi="標楷體"/>
                                      <w:szCs w:val="18"/>
                                    </w:rPr>
                                  </w:pPr>
                                  <w:r>
                                    <w:rPr>
                                      <w:rFonts w:ascii="標楷體" w:eastAsia="標楷體" w:hAnsi="標楷體" w:hint="eastAsia"/>
                                      <w:szCs w:val="18"/>
                                    </w:rPr>
                                    <w:t>老舊，將進行耐震能力補強工程，預計115年釋出</w:t>
                                  </w:r>
                                </w:p>
                              </w:tc>
                              <w:tc>
                                <w:tcPr>
                                  <w:tcW w:w="992" w:type="dxa"/>
                                  <w:tcBorders>
                                    <w:top w:val="single" w:sz="4" w:space="0" w:color="auto"/>
                                    <w:left w:val="single" w:sz="4" w:space="0" w:color="auto"/>
                                    <w:bottom w:val="single" w:sz="4" w:space="0" w:color="auto"/>
                                    <w:right w:val="single" w:sz="4" w:space="0" w:color="auto"/>
                                  </w:tcBorders>
                                  <w:hideMark/>
                                </w:tcPr>
                                <w:p w14:paraId="71B0BBFD" w14:textId="77777777" w:rsidR="003731AC" w:rsidRDefault="003731AC">
                                  <w:pPr>
                                    <w:overflowPunct w:val="0"/>
                                    <w:spacing w:line="300" w:lineRule="exact"/>
                                    <w:jc w:val="right"/>
                                    <w:rPr>
                                      <w:rFonts w:ascii="標楷體" w:eastAsia="標楷體" w:hAnsi="標楷體"/>
                                      <w:szCs w:val="18"/>
                                    </w:rPr>
                                  </w:pPr>
                                  <w:r>
                                    <w:rPr>
                                      <w:rFonts w:ascii="標楷體" w:eastAsia="標楷體" w:hAnsi="標楷體" w:hint="eastAsia"/>
                                      <w:szCs w:val="18"/>
                                    </w:rPr>
                                    <w:t>6</w:t>
                                  </w:r>
                                </w:p>
                              </w:tc>
                            </w:tr>
                            <w:tr w:rsidR="003731AC" w14:paraId="76DFF373"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F595A8"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3E7B332F" w14:textId="77777777" w:rsidR="003731AC" w:rsidRDefault="003731AC">
                                  <w:pPr>
                                    <w:overflowPunct w:val="0"/>
                                    <w:spacing w:line="300" w:lineRule="exact"/>
                                    <w:jc w:val="both"/>
                                    <w:rPr>
                                      <w:rFonts w:ascii="標楷體" w:eastAsia="標楷體" w:hAnsi="標楷體"/>
                                      <w:szCs w:val="18"/>
                                    </w:rPr>
                                  </w:pPr>
                                  <w:r>
                                    <w:rPr>
                                      <w:rFonts w:ascii="標楷體" w:eastAsia="標楷體" w:hAnsi="標楷體" w:hint="eastAsia"/>
                                      <w:szCs w:val="18"/>
                                    </w:rPr>
                                    <w:t>使用中，可配合市府政策於未來4年間陸續釋出</w:t>
                                  </w:r>
                                </w:p>
                              </w:tc>
                              <w:tc>
                                <w:tcPr>
                                  <w:tcW w:w="992" w:type="dxa"/>
                                  <w:tcBorders>
                                    <w:top w:val="single" w:sz="4" w:space="0" w:color="auto"/>
                                    <w:left w:val="single" w:sz="4" w:space="0" w:color="auto"/>
                                    <w:bottom w:val="single" w:sz="4" w:space="0" w:color="auto"/>
                                    <w:right w:val="single" w:sz="4" w:space="0" w:color="auto"/>
                                  </w:tcBorders>
                                  <w:hideMark/>
                                </w:tcPr>
                                <w:p w14:paraId="17677428" w14:textId="77777777" w:rsidR="003731AC" w:rsidRDefault="003731AC">
                                  <w:pPr>
                                    <w:overflowPunct w:val="0"/>
                                    <w:spacing w:line="300" w:lineRule="exact"/>
                                    <w:jc w:val="right"/>
                                    <w:rPr>
                                      <w:rFonts w:ascii="標楷體" w:eastAsia="標楷體" w:hAnsi="標楷體"/>
                                      <w:szCs w:val="18"/>
                                    </w:rPr>
                                  </w:pPr>
                                  <w:r>
                                    <w:rPr>
                                      <w:rFonts w:ascii="標楷體" w:eastAsia="標楷體" w:hAnsi="標楷體" w:hint="eastAsia"/>
                                      <w:szCs w:val="18"/>
                                    </w:rPr>
                                    <w:t>80</w:t>
                                  </w:r>
                                </w:p>
                              </w:tc>
                            </w:tr>
                            <w:tr w:rsidR="003731AC" w14:paraId="489DDE63"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8994"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6C299D8C" w14:textId="77777777" w:rsidR="003731AC" w:rsidRDefault="003731AC">
                                  <w:pPr>
                                    <w:overflowPunct w:val="0"/>
                                    <w:spacing w:line="300" w:lineRule="exact"/>
                                    <w:jc w:val="both"/>
                                    <w:rPr>
                                      <w:rFonts w:ascii="標楷體" w:eastAsia="標楷體" w:hAnsi="標楷體"/>
                                      <w:szCs w:val="18"/>
                                    </w:rPr>
                                  </w:pPr>
                                  <w:r>
                                    <w:rPr>
                                      <w:rFonts w:ascii="標楷體" w:eastAsia="標楷體" w:hAnsi="標楷體" w:hint="eastAsia"/>
                                      <w:szCs w:val="18"/>
                                    </w:rPr>
                                    <w:t>興建中、</w:t>
                                  </w:r>
                                  <w:proofErr w:type="gramStart"/>
                                  <w:r>
                                    <w:rPr>
                                      <w:rFonts w:ascii="標楷體" w:eastAsia="標楷體" w:hAnsi="標楷體" w:hint="eastAsia"/>
                                      <w:szCs w:val="18"/>
                                    </w:rPr>
                                    <w:t>驗屋中</w:t>
                                  </w:r>
                                  <w:proofErr w:type="gramEnd"/>
                                  <w:r>
                                    <w:rPr>
                                      <w:rFonts w:ascii="標楷體" w:eastAsia="標楷體" w:hAnsi="標楷體" w:hint="eastAsia"/>
                                      <w:szCs w:val="18"/>
                                    </w:rPr>
                                    <w:t>、事權計畫核定階段，未來4年間陸續釋出</w:t>
                                  </w:r>
                                </w:p>
                              </w:tc>
                              <w:tc>
                                <w:tcPr>
                                  <w:tcW w:w="992" w:type="dxa"/>
                                  <w:tcBorders>
                                    <w:top w:val="single" w:sz="4" w:space="0" w:color="auto"/>
                                    <w:left w:val="single" w:sz="4" w:space="0" w:color="auto"/>
                                    <w:bottom w:val="single" w:sz="4" w:space="0" w:color="auto"/>
                                    <w:right w:val="single" w:sz="4" w:space="0" w:color="auto"/>
                                  </w:tcBorders>
                                  <w:hideMark/>
                                </w:tcPr>
                                <w:p w14:paraId="138DF933" w14:textId="77777777" w:rsidR="003731AC" w:rsidRDefault="003731AC">
                                  <w:pPr>
                                    <w:overflowPunct w:val="0"/>
                                    <w:spacing w:line="300" w:lineRule="exact"/>
                                    <w:jc w:val="right"/>
                                    <w:rPr>
                                      <w:rFonts w:ascii="標楷體" w:eastAsia="標楷體" w:hAnsi="標楷體"/>
                                      <w:szCs w:val="18"/>
                                    </w:rPr>
                                  </w:pPr>
                                  <w:r>
                                    <w:rPr>
                                      <w:rFonts w:ascii="標楷體" w:eastAsia="標楷體" w:hAnsi="標楷體" w:hint="eastAsia"/>
                                      <w:szCs w:val="18"/>
                                    </w:rPr>
                                    <w:t>80</w:t>
                                  </w:r>
                                </w:p>
                              </w:tc>
                            </w:tr>
                          </w:tbl>
                          <w:bookmarkEnd w:id="32"/>
                          <w:p w14:paraId="6B695307" w14:textId="77777777" w:rsidR="003731AC" w:rsidRDefault="003731AC" w:rsidP="0023124E">
                            <w:pPr>
                              <w:spacing w:line="300" w:lineRule="exact"/>
                              <w:ind w:leftChars="50" w:left="120"/>
                            </w:pPr>
                            <w:r>
                              <w:rPr>
                                <w:rFonts w:ascii="標楷體" w:eastAsia="標楷體" w:hAnsi="標楷體" w:hint="eastAsia"/>
                                <w:sz w:val="18"/>
                                <w:szCs w:val="18"/>
                              </w:rPr>
                              <w:t>資料來源：整理自財政局提供資料。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A0AF01" id="文字方塊 927419602" o:spid="_x0000_s1054" type="#_x0000_t202" style="position:absolute;left:0;text-align:left;margin-left:165.4pt;margin-top:0;width:342.5pt;height:286pt;z-index:251739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" filled="f" stroked="f">
                <v:textbox>
                  <w:txbxContent>
                    <w:p w14:paraId="0DFD137B" w14:textId="77777777" w:rsidR="003731AC" w:rsidRDefault="003731AC" w:rsidP="003731AC">
                      <w:pPr>
                        <w:jc w:val="center"/>
                        <w:rPr>
                          <w:sz w:val="22"/>
                        </w:rPr>
                      </w:pPr>
                      <w:bookmarkStart w:id="33" w:name="_Hlk196904856"/>
                      <w:r>
                        <w:rPr>
                          <w:rFonts w:ascii="標楷體" w:eastAsia="標楷體" w:hAnsi="標楷體" w:hint="eastAsia"/>
                          <w:b/>
                        </w:rPr>
                        <w:t>表4　截至113年底供給資料庫所</w:t>
                      </w:r>
                      <w:proofErr w:type="gramStart"/>
                      <w:r>
                        <w:rPr>
                          <w:rFonts w:ascii="標楷體" w:eastAsia="標楷體" w:hAnsi="標楷體" w:hint="eastAsia"/>
                          <w:b/>
                        </w:rPr>
                        <w:t>列待媒</w:t>
                      </w:r>
                      <w:proofErr w:type="gramEnd"/>
                      <w:r>
                        <w:rPr>
                          <w:rFonts w:ascii="標楷體" w:eastAsia="標楷體" w:hAnsi="標楷體" w:hint="eastAsia"/>
                          <w:b/>
                        </w:rPr>
                        <w:t>合調配建物概況</w:t>
                      </w:r>
                    </w:p>
                    <w:tbl>
                      <w:tblPr>
                        <w:tblStyle w:val="a6"/>
                        <w:tblW w:w="0" w:type="auto"/>
                        <w:tblInd w:w="137" w:type="dxa"/>
                        <w:tblLook w:val="04A0" w:firstRow="1" w:lastRow="0" w:firstColumn="1" w:lastColumn="0" w:noHBand="0" w:noVBand="1"/>
                      </w:tblPr>
                      <w:tblGrid>
                        <w:gridCol w:w="2126"/>
                        <w:gridCol w:w="3119"/>
                        <w:gridCol w:w="992"/>
                      </w:tblGrid>
                      <w:tr w:rsidR="003731AC" w14:paraId="599924CD" w14:textId="77777777">
                        <w:trPr>
                          <w:trHeight w:val="227"/>
                        </w:trPr>
                        <w:tc>
                          <w:tcPr>
                            <w:tcW w:w="5245" w:type="dxa"/>
                            <w:gridSpan w:val="2"/>
                            <w:tcBorders>
                              <w:top w:val="single" w:sz="4" w:space="0" w:color="auto"/>
                              <w:left w:val="single" w:sz="4" w:space="0" w:color="auto"/>
                              <w:bottom w:val="single" w:sz="4" w:space="0" w:color="auto"/>
                              <w:right w:val="single" w:sz="4" w:space="0" w:color="auto"/>
                            </w:tcBorders>
                            <w:hideMark/>
                          </w:tcPr>
                          <w:bookmarkEnd w:id="33"/>
                          <w:p w14:paraId="40E10C15" w14:textId="77777777" w:rsidR="003731AC" w:rsidRDefault="003731AC">
                            <w:pPr>
                              <w:overflowPunct w:val="0"/>
                              <w:spacing w:line="320" w:lineRule="exact"/>
                              <w:jc w:val="center"/>
                              <w:rPr>
                                <w:rFonts w:ascii="標楷體" w:eastAsia="標楷體" w:hAnsi="標楷體"/>
                                <w:szCs w:val="18"/>
                              </w:rPr>
                            </w:pPr>
                            <w:r>
                              <w:rPr>
                                <w:rFonts w:ascii="標楷體" w:eastAsia="標楷體" w:hAnsi="標楷體" w:hint="eastAsia"/>
                                <w:szCs w:val="18"/>
                              </w:rPr>
                              <w:t>房屋現況</w:t>
                            </w:r>
                          </w:p>
                        </w:tc>
                        <w:tc>
                          <w:tcPr>
                            <w:tcW w:w="992" w:type="dxa"/>
                            <w:tcBorders>
                              <w:top w:val="single" w:sz="4" w:space="0" w:color="auto"/>
                              <w:left w:val="single" w:sz="4" w:space="0" w:color="auto"/>
                              <w:bottom w:val="single" w:sz="4" w:space="0" w:color="auto"/>
                              <w:right w:val="single" w:sz="4" w:space="0" w:color="auto"/>
                            </w:tcBorders>
                            <w:hideMark/>
                          </w:tcPr>
                          <w:p w14:paraId="14995687" w14:textId="77777777" w:rsidR="003731AC" w:rsidRDefault="003731AC">
                            <w:pPr>
                              <w:overflowPunct w:val="0"/>
                              <w:spacing w:line="320" w:lineRule="exact"/>
                              <w:jc w:val="center"/>
                              <w:rPr>
                                <w:rFonts w:ascii="標楷體" w:eastAsia="標楷體" w:hAnsi="標楷體"/>
                                <w:szCs w:val="18"/>
                              </w:rPr>
                            </w:pPr>
                            <w:r>
                              <w:rPr>
                                <w:rFonts w:ascii="標楷體" w:eastAsia="標楷體" w:hAnsi="標楷體" w:hint="eastAsia"/>
                                <w:szCs w:val="18"/>
                              </w:rPr>
                              <w:t>筆數</w:t>
                            </w:r>
                          </w:p>
                        </w:tc>
                      </w:tr>
                      <w:tr w:rsidR="003731AC" w14:paraId="5ADDBD50" w14:textId="77777777">
                        <w:trPr>
                          <w:trHeight w:val="227"/>
                        </w:trPr>
                        <w:tc>
                          <w:tcPr>
                            <w:tcW w:w="5245" w:type="dxa"/>
                            <w:gridSpan w:val="2"/>
                            <w:tcBorders>
                              <w:top w:val="single" w:sz="4" w:space="0" w:color="auto"/>
                              <w:left w:val="single" w:sz="4" w:space="0" w:color="auto"/>
                              <w:bottom w:val="single" w:sz="4" w:space="0" w:color="auto"/>
                              <w:right w:val="single" w:sz="4" w:space="0" w:color="auto"/>
                            </w:tcBorders>
                            <w:hideMark/>
                          </w:tcPr>
                          <w:p w14:paraId="6325A94F" w14:textId="77777777" w:rsidR="003731AC" w:rsidRDefault="003731AC">
                            <w:pPr>
                              <w:overflowPunct w:val="0"/>
                              <w:spacing w:line="320" w:lineRule="exact"/>
                              <w:jc w:val="center"/>
                              <w:rPr>
                                <w:rFonts w:ascii="標楷體" w:eastAsia="標楷體" w:hAnsi="標楷體"/>
                                <w:b/>
                                <w:szCs w:val="18"/>
                              </w:rPr>
                            </w:pPr>
                            <w:bookmarkStart w:id="34" w:name="_Hlk196904823"/>
                            <w:r>
                              <w:rPr>
                                <w:rFonts w:ascii="標楷體" w:eastAsia="標楷體" w:hAnsi="標楷體" w:hint="eastAsia"/>
                                <w:b/>
                                <w:szCs w:val="18"/>
                              </w:rPr>
                              <w:t>合   計</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DD1790" w14:textId="77777777" w:rsidR="003731AC" w:rsidRDefault="003731AC">
                            <w:pPr>
                              <w:overflowPunct w:val="0"/>
                              <w:spacing w:line="320" w:lineRule="exact"/>
                              <w:jc w:val="right"/>
                              <w:rPr>
                                <w:rFonts w:ascii="標楷體" w:eastAsia="標楷體" w:hAnsi="標楷體"/>
                                <w:b/>
                                <w:szCs w:val="18"/>
                              </w:rPr>
                            </w:pPr>
                            <w:r>
                              <w:rPr>
                                <w:rFonts w:ascii="標楷體" w:eastAsia="標楷體" w:hAnsi="標楷體" w:hint="eastAsia"/>
                                <w:b/>
                                <w:szCs w:val="18"/>
                              </w:rPr>
                              <w:t>212</w:t>
                            </w:r>
                          </w:p>
                        </w:tc>
                      </w:tr>
                      <w:tr w:rsidR="003731AC" w14:paraId="546F4C3C" w14:textId="77777777">
                        <w:trPr>
                          <w:trHeight w:val="227"/>
                        </w:trPr>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07B48347" w14:textId="77777777" w:rsidR="003731AC" w:rsidRDefault="003731AC">
                            <w:pPr>
                              <w:overflowPunct w:val="0"/>
                              <w:spacing w:line="360" w:lineRule="exact"/>
                              <w:rPr>
                                <w:rFonts w:ascii="標楷體" w:eastAsia="標楷體" w:hAnsi="標楷體"/>
                                <w:b/>
                                <w:szCs w:val="18"/>
                              </w:rPr>
                            </w:pPr>
                            <w:r>
                              <w:rPr>
                                <w:rFonts w:ascii="標楷體" w:eastAsia="標楷體" w:hAnsi="標楷體" w:hint="eastAsia"/>
                                <w:b/>
                                <w:szCs w:val="18"/>
                              </w:rPr>
                              <w:t>按現況辦理調配</w:t>
                            </w:r>
                          </w:p>
                        </w:tc>
                        <w:tc>
                          <w:tcPr>
                            <w:tcW w:w="3119" w:type="dxa"/>
                            <w:tcBorders>
                              <w:top w:val="single" w:sz="4" w:space="0" w:color="auto"/>
                              <w:left w:val="single" w:sz="4" w:space="0" w:color="auto"/>
                              <w:bottom w:val="single" w:sz="4" w:space="0" w:color="auto"/>
                              <w:right w:val="single" w:sz="4" w:space="0" w:color="auto"/>
                            </w:tcBorders>
                            <w:hideMark/>
                          </w:tcPr>
                          <w:p w14:paraId="331CECC5" w14:textId="77777777" w:rsidR="003731AC" w:rsidRPr="00205ACB" w:rsidRDefault="003731AC">
                            <w:pPr>
                              <w:overflowPunct w:val="0"/>
                              <w:spacing w:line="280" w:lineRule="exact"/>
                              <w:jc w:val="center"/>
                              <w:rPr>
                                <w:rFonts w:ascii="標楷體" w:eastAsia="標楷體" w:hAnsi="標楷體"/>
                                <w:b/>
                                <w:szCs w:val="18"/>
                              </w:rPr>
                            </w:pPr>
                            <w:r w:rsidRPr="00205ACB">
                              <w:rPr>
                                <w:rFonts w:ascii="標楷體" w:eastAsia="標楷體" w:hAnsi="標楷體" w:hint="eastAsia"/>
                                <w:b/>
                                <w:szCs w:val="18"/>
                              </w:rPr>
                              <w:t>小  計</w:t>
                            </w:r>
                          </w:p>
                        </w:tc>
                        <w:tc>
                          <w:tcPr>
                            <w:tcW w:w="992" w:type="dxa"/>
                            <w:tcBorders>
                              <w:top w:val="single" w:sz="4" w:space="0" w:color="auto"/>
                              <w:left w:val="single" w:sz="4" w:space="0" w:color="auto"/>
                              <w:bottom w:val="single" w:sz="4" w:space="0" w:color="auto"/>
                              <w:right w:val="single" w:sz="4" w:space="0" w:color="auto"/>
                            </w:tcBorders>
                            <w:hideMark/>
                          </w:tcPr>
                          <w:p w14:paraId="77B42152" w14:textId="77777777" w:rsidR="003731AC" w:rsidRPr="00205ACB" w:rsidRDefault="003731AC">
                            <w:pPr>
                              <w:overflowPunct w:val="0"/>
                              <w:spacing w:line="280" w:lineRule="exact"/>
                              <w:jc w:val="right"/>
                              <w:rPr>
                                <w:rFonts w:ascii="標楷體" w:eastAsia="標楷體" w:hAnsi="標楷體"/>
                                <w:b/>
                                <w:szCs w:val="18"/>
                              </w:rPr>
                            </w:pPr>
                            <w:r w:rsidRPr="00205ACB">
                              <w:rPr>
                                <w:rFonts w:ascii="標楷體" w:eastAsia="標楷體" w:hAnsi="標楷體" w:hint="eastAsia"/>
                                <w:b/>
                                <w:szCs w:val="18"/>
                              </w:rPr>
                              <w:t>38</w:t>
                            </w:r>
                          </w:p>
                        </w:tc>
                      </w:tr>
                      <w:tr w:rsidR="003731AC" w14:paraId="56C4AA19"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CC86F8"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5D62A485" w14:textId="77777777" w:rsidR="003731AC" w:rsidRDefault="003731AC">
                            <w:pPr>
                              <w:overflowPunct w:val="0"/>
                              <w:spacing w:line="280" w:lineRule="exact"/>
                              <w:jc w:val="both"/>
                              <w:rPr>
                                <w:rFonts w:ascii="標楷體" w:eastAsia="標楷體" w:hAnsi="標楷體"/>
                                <w:szCs w:val="18"/>
                              </w:rPr>
                            </w:pPr>
                            <w:r>
                              <w:rPr>
                                <w:rFonts w:ascii="標楷體" w:eastAsia="標楷體" w:hAnsi="標楷體" w:hint="eastAsia"/>
                                <w:szCs w:val="18"/>
                              </w:rPr>
                              <w:t>良好、尚可</w:t>
                            </w:r>
                          </w:p>
                        </w:tc>
                        <w:tc>
                          <w:tcPr>
                            <w:tcW w:w="992" w:type="dxa"/>
                            <w:tcBorders>
                              <w:top w:val="single" w:sz="4" w:space="0" w:color="auto"/>
                              <w:left w:val="single" w:sz="4" w:space="0" w:color="auto"/>
                              <w:bottom w:val="single" w:sz="4" w:space="0" w:color="auto"/>
                              <w:right w:val="single" w:sz="4" w:space="0" w:color="auto"/>
                            </w:tcBorders>
                            <w:hideMark/>
                          </w:tcPr>
                          <w:p w14:paraId="2C4E66A6" w14:textId="77777777" w:rsidR="003731AC" w:rsidRDefault="003731AC">
                            <w:pPr>
                              <w:overflowPunct w:val="0"/>
                              <w:spacing w:line="280" w:lineRule="exact"/>
                              <w:jc w:val="right"/>
                              <w:rPr>
                                <w:rFonts w:ascii="標楷體" w:eastAsia="標楷體" w:hAnsi="標楷體"/>
                                <w:szCs w:val="18"/>
                              </w:rPr>
                            </w:pPr>
                            <w:r>
                              <w:rPr>
                                <w:rFonts w:ascii="標楷體" w:eastAsia="標楷體" w:hAnsi="標楷體" w:hint="eastAsia"/>
                                <w:szCs w:val="18"/>
                              </w:rPr>
                              <w:t>9</w:t>
                            </w:r>
                          </w:p>
                        </w:tc>
                      </w:tr>
                      <w:tr w:rsidR="003731AC" w14:paraId="50B13CF0"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E58F9"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0E6824C6" w14:textId="77777777" w:rsidR="003731AC" w:rsidRDefault="003731AC">
                            <w:pPr>
                              <w:overflowPunct w:val="0"/>
                              <w:spacing w:line="280" w:lineRule="exact"/>
                              <w:jc w:val="both"/>
                              <w:rPr>
                                <w:rFonts w:ascii="標楷體" w:eastAsia="標楷體" w:hAnsi="標楷體"/>
                                <w:szCs w:val="18"/>
                              </w:rPr>
                            </w:pPr>
                            <w:r>
                              <w:rPr>
                                <w:rFonts w:ascii="標楷體" w:eastAsia="標楷體" w:hAnsi="標楷體" w:hint="eastAsia"/>
                                <w:szCs w:val="18"/>
                              </w:rPr>
                              <w:t>已有改建計畫或參與都市更新計畫等，改建前提供短期使用</w:t>
                            </w:r>
                          </w:p>
                        </w:tc>
                        <w:tc>
                          <w:tcPr>
                            <w:tcW w:w="992" w:type="dxa"/>
                            <w:tcBorders>
                              <w:top w:val="single" w:sz="4" w:space="0" w:color="auto"/>
                              <w:left w:val="single" w:sz="4" w:space="0" w:color="auto"/>
                              <w:bottom w:val="single" w:sz="4" w:space="0" w:color="auto"/>
                              <w:right w:val="single" w:sz="4" w:space="0" w:color="auto"/>
                            </w:tcBorders>
                            <w:hideMark/>
                          </w:tcPr>
                          <w:p w14:paraId="4C576B03" w14:textId="77777777" w:rsidR="003731AC" w:rsidRDefault="003731AC">
                            <w:pPr>
                              <w:overflowPunct w:val="0"/>
                              <w:spacing w:line="280" w:lineRule="exact"/>
                              <w:jc w:val="right"/>
                              <w:rPr>
                                <w:rFonts w:ascii="標楷體" w:eastAsia="標楷體" w:hAnsi="標楷體"/>
                                <w:szCs w:val="18"/>
                              </w:rPr>
                            </w:pPr>
                            <w:r>
                              <w:rPr>
                                <w:rFonts w:ascii="標楷體" w:eastAsia="標楷體" w:hAnsi="標楷體" w:hint="eastAsia"/>
                                <w:szCs w:val="18"/>
                              </w:rPr>
                              <w:t>17</w:t>
                            </w:r>
                          </w:p>
                        </w:tc>
                      </w:tr>
                      <w:tr w:rsidR="003731AC" w14:paraId="6F04E6C3"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7B9DC7"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3360A5EC" w14:textId="77777777" w:rsidR="003731AC" w:rsidRDefault="003731AC">
                            <w:pPr>
                              <w:overflowPunct w:val="0"/>
                              <w:spacing w:line="280" w:lineRule="exact"/>
                              <w:jc w:val="both"/>
                              <w:rPr>
                                <w:rFonts w:ascii="標楷體" w:eastAsia="標楷體" w:hAnsi="標楷體"/>
                                <w:szCs w:val="18"/>
                              </w:rPr>
                            </w:pPr>
                            <w:r>
                              <w:rPr>
                                <w:rFonts w:ascii="標楷體" w:eastAsia="標楷體" w:hAnsi="標楷體" w:hint="eastAsia"/>
                                <w:szCs w:val="18"/>
                              </w:rPr>
                              <w:t>老舊，已辦理結構安全鑑定</w:t>
                            </w:r>
                          </w:p>
                        </w:tc>
                        <w:tc>
                          <w:tcPr>
                            <w:tcW w:w="992" w:type="dxa"/>
                            <w:tcBorders>
                              <w:top w:val="single" w:sz="4" w:space="0" w:color="auto"/>
                              <w:left w:val="single" w:sz="4" w:space="0" w:color="auto"/>
                              <w:bottom w:val="single" w:sz="4" w:space="0" w:color="auto"/>
                              <w:right w:val="single" w:sz="4" w:space="0" w:color="auto"/>
                            </w:tcBorders>
                            <w:hideMark/>
                          </w:tcPr>
                          <w:p w14:paraId="1DCA2547" w14:textId="77777777" w:rsidR="003731AC" w:rsidRDefault="003731AC">
                            <w:pPr>
                              <w:overflowPunct w:val="0"/>
                              <w:spacing w:line="280" w:lineRule="exact"/>
                              <w:jc w:val="right"/>
                              <w:rPr>
                                <w:rFonts w:ascii="標楷體" w:eastAsia="標楷體" w:hAnsi="標楷體"/>
                                <w:szCs w:val="18"/>
                              </w:rPr>
                            </w:pPr>
                            <w:r>
                              <w:rPr>
                                <w:rFonts w:ascii="標楷體" w:eastAsia="標楷體" w:hAnsi="標楷體" w:hint="eastAsia"/>
                                <w:szCs w:val="18"/>
                              </w:rPr>
                              <w:t>1</w:t>
                            </w:r>
                          </w:p>
                        </w:tc>
                      </w:tr>
                      <w:tr w:rsidR="003731AC" w14:paraId="4AEC631A"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5BC1B"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1EDE15A0" w14:textId="77777777" w:rsidR="003731AC" w:rsidRDefault="003731AC">
                            <w:pPr>
                              <w:overflowPunct w:val="0"/>
                              <w:spacing w:line="280" w:lineRule="exact"/>
                              <w:jc w:val="both"/>
                              <w:rPr>
                                <w:rFonts w:ascii="標楷體" w:eastAsia="標楷體" w:hAnsi="標楷體"/>
                                <w:szCs w:val="18"/>
                              </w:rPr>
                            </w:pPr>
                            <w:r>
                              <w:rPr>
                                <w:rFonts w:ascii="標楷體" w:eastAsia="標楷體" w:hAnsi="標楷體" w:hint="eastAsia"/>
                                <w:szCs w:val="18"/>
                              </w:rPr>
                              <w:t>漏水、滲水、屋</w:t>
                            </w:r>
                            <w:proofErr w:type="gramStart"/>
                            <w:r>
                              <w:rPr>
                                <w:rFonts w:ascii="標楷體" w:eastAsia="標楷體" w:hAnsi="標楷體" w:hint="eastAsia"/>
                                <w:szCs w:val="18"/>
                              </w:rPr>
                              <w:t>況</w:t>
                            </w:r>
                            <w:proofErr w:type="gramEnd"/>
                            <w:r>
                              <w:rPr>
                                <w:rFonts w:ascii="標楷體" w:eastAsia="標楷體" w:hAnsi="標楷體" w:hint="eastAsia"/>
                                <w:szCs w:val="18"/>
                              </w:rPr>
                              <w:t>較差</w:t>
                            </w:r>
                          </w:p>
                        </w:tc>
                        <w:tc>
                          <w:tcPr>
                            <w:tcW w:w="992" w:type="dxa"/>
                            <w:tcBorders>
                              <w:top w:val="single" w:sz="4" w:space="0" w:color="auto"/>
                              <w:left w:val="single" w:sz="4" w:space="0" w:color="auto"/>
                              <w:bottom w:val="single" w:sz="4" w:space="0" w:color="auto"/>
                              <w:right w:val="single" w:sz="4" w:space="0" w:color="auto"/>
                            </w:tcBorders>
                            <w:hideMark/>
                          </w:tcPr>
                          <w:p w14:paraId="48F06F58" w14:textId="77777777" w:rsidR="003731AC" w:rsidRDefault="003731AC">
                            <w:pPr>
                              <w:overflowPunct w:val="0"/>
                              <w:spacing w:line="280" w:lineRule="exact"/>
                              <w:jc w:val="right"/>
                              <w:rPr>
                                <w:rFonts w:ascii="標楷體" w:eastAsia="標楷體" w:hAnsi="標楷體"/>
                                <w:szCs w:val="18"/>
                              </w:rPr>
                            </w:pPr>
                            <w:r>
                              <w:rPr>
                                <w:rFonts w:ascii="標楷體" w:eastAsia="標楷體" w:hAnsi="標楷體" w:hint="eastAsia"/>
                                <w:szCs w:val="18"/>
                              </w:rPr>
                              <w:t>11</w:t>
                            </w:r>
                          </w:p>
                        </w:tc>
                      </w:tr>
                      <w:tr w:rsidR="003731AC" w14:paraId="3CF414AD" w14:textId="77777777">
                        <w:trPr>
                          <w:trHeight w:val="340"/>
                        </w:trPr>
                        <w:tc>
                          <w:tcPr>
                            <w:tcW w:w="5245" w:type="dxa"/>
                            <w:gridSpan w:val="2"/>
                            <w:tcBorders>
                              <w:top w:val="single" w:sz="4" w:space="0" w:color="auto"/>
                              <w:left w:val="single" w:sz="4" w:space="0" w:color="auto"/>
                              <w:bottom w:val="single" w:sz="4" w:space="0" w:color="auto"/>
                              <w:right w:val="single" w:sz="4" w:space="0" w:color="auto"/>
                            </w:tcBorders>
                            <w:vAlign w:val="center"/>
                            <w:hideMark/>
                          </w:tcPr>
                          <w:p w14:paraId="69A2B801" w14:textId="77777777" w:rsidR="003731AC" w:rsidRDefault="003731AC">
                            <w:pPr>
                              <w:overflowPunct w:val="0"/>
                              <w:spacing w:line="340" w:lineRule="exact"/>
                              <w:rPr>
                                <w:rFonts w:ascii="標楷體" w:eastAsia="標楷體" w:hAnsi="標楷體"/>
                                <w:b/>
                                <w:szCs w:val="18"/>
                              </w:rPr>
                            </w:pPr>
                            <w:r>
                              <w:rPr>
                                <w:rFonts w:ascii="標楷體" w:eastAsia="標楷體" w:hAnsi="標楷體" w:hint="eastAsia"/>
                                <w:b/>
                                <w:szCs w:val="18"/>
                              </w:rPr>
                              <w:t>閒置，預計由青年局做為</w:t>
                            </w:r>
                            <w:proofErr w:type="gramStart"/>
                            <w:r>
                              <w:rPr>
                                <w:rFonts w:ascii="標楷體" w:eastAsia="標楷體" w:hAnsi="標楷體" w:hint="eastAsia"/>
                                <w:b/>
                                <w:szCs w:val="18"/>
                              </w:rPr>
                              <w:t>青職培</w:t>
                            </w:r>
                            <w:proofErr w:type="gramEnd"/>
                            <w:r>
                              <w:rPr>
                                <w:rFonts w:ascii="標楷體" w:eastAsia="標楷體" w:hAnsi="標楷體" w:hint="eastAsia"/>
                                <w:b/>
                                <w:szCs w:val="18"/>
                              </w:rPr>
                              <w:t>力基地規劃使用</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79FD38" w14:textId="77777777" w:rsidR="003731AC" w:rsidRDefault="003731AC">
                            <w:pPr>
                              <w:overflowPunct w:val="0"/>
                              <w:spacing w:line="340" w:lineRule="exact"/>
                              <w:jc w:val="right"/>
                              <w:rPr>
                                <w:rFonts w:ascii="標楷體" w:eastAsia="標楷體" w:hAnsi="標楷體"/>
                                <w:b/>
                                <w:szCs w:val="18"/>
                              </w:rPr>
                            </w:pPr>
                            <w:r>
                              <w:rPr>
                                <w:rFonts w:ascii="標楷體" w:eastAsia="標楷體" w:hAnsi="標楷體" w:hint="eastAsia"/>
                                <w:b/>
                                <w:szCs w:val="18"/>
                              </w:rPr>
                              <w:t>8</w:t>
                            </w:r>
                          </w:p>
                        </w:tc>
                      </w:tr>
                      <w:tr w:rsidR="003731AC" w14:paraId="1FA228AC" w14:textId="77777777">
                        <w:trPr>
                          <w:trHeight w:val="227"/>
                        </w:trPr>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7ACA07B0" w14:textId="77777777" w:rsidR="003731AC" w:rsidRDefault="003731AC">
                            <w:pPr>
                              <w:overflowPunct w:val="0"/>
                              <w:spacing w:line="360" w:lineRule="exact"/>
                              <w:rPr>
                                <w:rFonts w:ascii="標楷體" w:eastAsia="標楷體" w:hAnsi="標楷體"/>
                                <w:b/>
                                <w:szCs w:val="18"/>
                              </w:rPr>
                            </w:pPr>
                            <w:r>
                              <w:rPr>
                                <w:rFonts w:ascii="標楷體" w:eastAsia="標楷體" w:hAnsi="標楷體" w:hint="eastAsia"/>
                                <w:b/>
                                <w:szCs w:val="18"/>
                              </w:rPr>
                              <w:t>未來4年間陸續釋出</w:t>
                            </w:r>
                          </w:p>
                        </w:tc>
                        <w:tc>
                          <w:tcPr>
                            <w:tcW w:w="3119" w:type="dxa"/>
                            <w:tcBorders>
                              <w:top w:val="single" w:sz="4" w:space="0" w:color="auto"/>
                              <w:left w:val="single" w:sz="4" w:space="0" w:color="auto"/>
                              <w:bottom w:val="single" w:sz="4" w:space="0" w:color="auto"/>
                              <w:right w:val="single" w:sz="4" w:space="0" w:color="auto"/>
                            </w:tcBorders>
                            <w:hideMark/>
                          </w:tcPr>
                          <w:p w14:paraId="3395D8C9" w14:textId="77777777" w:rsidR="003731AC" w:rsidRPr="00205ACB" w:rsidRDefault="003731AC">
                            <w:pPr>
                              <w:overflowPunct w:val="0"/>
                              <w:spacing w:line="280" w:lineRule="exact"/>
                              <w:jc w:val="center"/>
                              <w:rPr>
                                <w:rFonts w:ascii="標楷體" w:eastAsia="標楷體" w:hAnsi="標楷體"/>
                                <w:b/>
                                <w:szCs w:val="18"/>
                              </w:rPr>
                            </w:pPr>
                            <w:r w:rsidRPr="00205ACB">
                              <w:rPr>
                                <w:rFonts w:ascii="標楷體" w:eastAsia="標楷體" w:hAnsi="標楷體" w:hint="eastAsia"/>
                                <w:b/>
                                <w:szCs w:val="18"/>
                              </w:rPr>
                              <w:t>小  計</w:t>
                            </w:r>
                          </w:p>
                        </w:tc>
                        <w:tc>
                          <w:tcPr>
                            <w:tcW w:w="992" w:type="dxa"/>
                            <w:tcBorders>
                              <w:top w:val="single" w:sz="4" w:space="0" w:color="auto"/>
                              <w:left w:val="single" w:sz="4" w:space="0" w:color="auto"/>
                              <w:bottom w:val="single" w:sz="4" w:space="0" w:color="auto"/>
                              <w:right w:val="single" w:sz="4" w:space="0" w:color="auto"/>
                            </w:tcBorders>
                            <w:hideMark/>
                          </w:tcPr>
                          <w:p w14:paraId="16AA5596" w14:textId="77777777" w:rsidR="003731AC" w:rsidRPr="00205ACB" w:rsidRDefault="003731AC">
                            <w:pPr>
                              <w:overflowPunct w:val="0"/>
                              <w:spacing w:line="280" w:lineRule="exact"/>
                              <w:jc w:val="right"/>
                              <w:rPr>
                                <w:rFonts w:ascii="標楷體" w:eastAsia="標楷體" w:hAnsi="標楷體"/>
                                <w:b/>
                                <w:szCs w:val="18"/>
                              </w:rPr>
                            </w:pPr>
                            <w:r w:rsidRPr="00205ACB">
                              <w:rPr>
                                <w:rFonts w:ascii="標楷體" w:eastAsia="標楷體" w:hAnsi="標楷體" w:hint="eastAsia"/>
                                <w:b/>
                                <w:szCs w:val="18"/>
                              </w:rPr>
                              <w:t>166</w:t>
                            </w:r>
                          </w:p>
                        </w:tc>
                      </w:tr>
                      <w:tr w:rsidR="003731AC" w14:paraId="2428DEBC"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FF0569"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147F4618" w14:textId="77777777" w:rsidR="003731AC" w:rsidRDefault="003731AC">
                            <w:pPr>
                              <w:overflowPunct w:val="0"/>
                              <w:spacing w:line="300" w:lineRule="exact"/>
                              <w:jc w:val="both"/>
                              <w:rPr>
                                <w:rFonts w:ascii="標楷體" w:eastAsia="標楷體" w:hAnsi="標楷體"/>
                                <w:szCs w:val="18"/>
                              </w:rPr>
                            </w:pPr>
                            <w:r>
                              <w:rPr>
                                <w:rFonts w:ascii="標楷體" w:eastAsia="標楷體" w:hAnsi="標楷體" w:hint="eastAsia"/>
                                <w:szCs w:val="18"/>
                              </w:rPr>
                              <w:t>老舊，將進行耐震能力補強工程，預計115年釋出</w:t>
                            </w:r>
                          </w:p>
                        </w:tc>
                        <w:tc>
                          <w:tcPr>
                            <w:tcW w:w="992" w:type="dxa"/>
                            <w:tcBorders>
                              <w:top w:val="single" w:sz="4" w:space="0" w:color="auto"/>
                              <w:left w:val="single" w:sz="4" w:space="0" w:color="auto"/>
                              <w:bottom w:val="single" w:sz="4" w:space="0" w:color="auto"/>
                              <w:right w:val="single" w:sz="4" w:space="0" w:color="auto"/>
                            </w:tcBorders>
                            <w:hideMark/>
                          </w:tcPr>
                          <w:p w14:paraId="71B0BBFD" w14:textId="77777777" w:rsidR="003731AC" w:rsidRDefault="003731AC">
                            <w:pPr>
                              <w:overflowPunct w:val="0"/>
                              <w:spacing w:line="300" w:lineRule="exact"/>
                              <w:jc w:val="right"/>
                              <w:rPr>
                                <w:rFonts w:ascii="標楷體" w:eastAsia="標楷體" w:hAnsi="標楷體"/>
                                <w:szCs w:val="18"/>
                              </w:rPr>
                            </w:pPr>
                            <w:r>
                              <w:rPr>
                                <w:rFonts w:ascii="標楷體" w:eastAsia="標楷體" w:hAnsi="標楷體" w:hint="eastAsia"/>
                                <w:szCs w:val="18"/>
                              </w:rPr>
                              <w:t>6</w:t>
                            </w:r>
                          </w:p>
                        </w:tc>
                      </w:tr>
                      <w:tr w:rsidR="003731AC" w14:paraId="76DFF373"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F595A8"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3E7B332F" w14:textId="77777777" w:rsidR="003731AC" w:rsidRDefault="003731AC">
                            <w:pPr>
                              <w:overflowPunct w:val="0"/>
                              <w:spacing w:line="300" w:lineRule="exact"/>
                              <w:jc w:val="both"/>
                              <w:rPr>
                                <w:rFonts w:ascii="標楷體" w:eastAsia="標楷體" w:hAnsi="標楷體"/>
                                <w:szCs w:val="18"/>
                              </w:rPr>
                            </w:pPr>
                            <w:r>
                              <w:rPr>
                                <w:rFonts w:ascii="標楷體" w:eastAsia="標楷體" w:hAnsi="標楷體" w:hint="eastAsia"/>
                                <w:szCs w:val="18"/>
                              </w:rPr>
                              <w:t>使用中，可配合市府政策於未來4年間陸續釋出</w:t>
                            </w:r>
                          </w:p>
                        </w:tc>
                        <w:tc>
                          <w:tcPr>
                            <w:tcW w:w="992" w:type="dxa"/>
                            <w:tcBorders>
                              <w:top w:val="single" w:sz="4" w:space="0" w:color="auto"/>
                              <w:left w:val="single" w:sz="4" w:space="0" w:color="auto"/>
                              <w:bottom w:val="single" w:sz="4" w:space="0" w:color="auto"/>
                              <w:right w:val="single" w:sz="4" w:space="0" w:color="auto"/>
                            </w:tcBorders>
                            <w:hideMark/>
                          </w:tcPr>
                          <w:p w14:paraId="17677428" w14:textId="77777777" w:rsidR="003731AC" w:rsidRDefault="003731AC">
                            <w:pPr>
                              <w:overflowPunct w:val="0"/>
                              <w:spacing w:line="300" w:lineRule="exact"/>
                              <w:jc w:val="right"/>
                              <w:rPr>
                                <w:rFonts w:ascii="標楷體" w:eastAsia="標楷體" w:hAnsi="標楷體"/>
                                <w:szCs w:val="18"/>
                              </w:rPr>
                            </w:pPr>
                            <w:r>
                              <w:rPr>
                                <w:rFonts w:ascii="標楷體" w:eastAsia="標楷體" w:hAnsi="標楷體" w:hint="eastAsia"/>
                                <w:szCs w:val="18"/>
                              </w:rPr>
                              <w:t>80</w:t>
                            </w:r>
                          </w:p>
                        </w:tc>
                      </w:tr>
                      <w:tr w:rsidR="003731AC" w14:paraId="489DDE63"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8994" w14:textId="77777777" w:rsidR="003731AC" w:rsidRDefault="003731AC">
                            <w:pPr>
                              <w:rPr>
                                <w:rFonts w:ascii="標楷體" w:eastAsia="標楷體" w:hAnsi="標楷體"/>
                                <w:b/>
                                <w:szCs w:val="18"/>
                              </w:rPr>
                            </w:pPr>
                          </w:p>
                        </w:tc>
                        <w:tc>
                          <w:tcPr>
                            <w:tcW w:w="3119" w:type="dxa"/>
                            <w:tcBorders>
                              <w:top w:val="single" w:sz="4" w:space="0" w:color="auto"/>
                              <w:left w:val="single" w:sz="4" w:space="0" w:color="auto"/>
                              <w:bottom w:val="single" w:sz="4" w:space="0" w:color="auto"/>
                              <w:right w:val="single" w:sz="4" w:space="0" w:color="auto"/>
                            </w:tcBorders>
                            <w:hideMark/>
                          </w:tcPr>
                          <w:p w14:paraId="6C299D8C" w14:textId="77777777" w:rsidR="003731AC" w:rsidRDefault="003731AC">
                            <w:pPr>
                              <w:overflowPunct w:val="0"/>
                              <w:spacing w:line="300" w:lineRule="exact"/>
                              <w:jc w:val="both"/>
                              <w:rPr>
                                <w:rFonts w:ascii="標楷體" w:eastAsia="標楷體" w:hAnsi="標楷體"/>
                                <w:szCs w:val="18"/>
                              </w:rPr>
                            </w:pPr>
                            <w:r>
                              <w:rPr>
                                <w:rFonts w:ascii="標楷體" w:eastAsia="標楷體" w:hAnsi="標楷體" w:hint="eastAsia"/>
                                <w:szCs w:val="18"/>
                              </w:rPr>
                              <w:t>興建中、</w:t>
                            </w:r>
                            <w:proofErr w:type="gramStart"/>
                            <w:r>
                              <w:rPr>
                                <w:rFonts w:ascii="標楷體" w:eastAsia="標楷體" w:hAnsi="標楷體" w:hint="eastAsia"/>
                                <w:szCs w:val="18"/>
                              </w:rPr>
                              <w:t>驗屋中</w:t>
                            </w:r>
                            <w:proofErr w:type="gramEnd"/>
                            <w:r>
                              <w:rPr>
                                <w:rFonts w:ascii="標楷體" w:eastAsia="標楷體" w:hAnsi="標楷體" w:hint="eastAsia"/>
                                <w:szCs w:val="18"/>
                              </w:rPr>
                              <w:t>、事權計畫核定階段，未來4年間陸續釋出</w:t>
                            </w:r>
                          </w:p>
                        </w:tc>
                        <w:tc>
                          <w:tcPr>
                            <w:tcW w:w="992" w:type="dxa"/>
                            <w:tcBorders>
                              <w:top w:val="single" w:sz="4" w:space="0" w:color="auto"/>
                              <w:left w:val="single" w:sz="4" w:space="0" w:color="auto"/>
                              <w:bottom w:val="single" w:sz="4" w:space="0" w:color="auto"/>
                              <w:right w:val="single" w:sz="4" w:space="0" w:color="auto"/>
                            </w:tcBorders>
                            <w:hideMark/>
                          </w:tcPr>
                          <w:p w14:paraId="138DF933" w14:textId="77777777" w:rsidR="003731AC" w:rsidRDefault="003731AC">
                            <w:pPr>
                              <w:overflowPunct w:val="0"/>
                              <w:spacing w:line="300" w:lineRule="exact"/>
                              <w:jc w:val="right"/>
                              <w:rPr>
                                <w:rFonts w:ascii="標楷體" w:eastAsia="標楷體" w:hAnsi="標楷體"/>
                                <w:szCs w:val="18"/>
                              </w:rPr>
                            </w:pPr>
                            <w:r>
                              <w:rPr>
                                <w:rFonts w:ascii="標楷體" w:eastAsia="標楷體" w:hAnsi="標楷體" w:hint="eastAsia"/>
                                <w:szCs w:val="18"/>
                              </w:rPr>
                              <w:t>80</w:t>
                            </w:r>
                          </w:p>
                        </w:tc>
                      </w:tr>
                    </w:tbl>
                    <w:bookmarkEnd w:id="34"/>
                    <w:p w14:paraId="6B695307" w14:textId="77777777" w:rsidR="003731AC" w:rsidRDefault="003731AC" w:rsidP="0023124E">
                      <w:pPr>
                        <w:spacing w:line="300" w:lineRule="exact"/>
                        <w:ind w:leftChars="50" w:left="120"/>
                      </w:pPr>
                      <w:r>
                        <w:rPr>
                          <w:rFonts w:ascii="標楷體" w:eastAsia="標楷體" w:hAnsi="標楷體" w:hint="eastAsia"/>
                          <w:sz w:val="18"/>
                          <w:szCs w:val="18"/>
                        </w:rPr>
                        <w:t>資料來源：整理自財政局提供資料。</w:t>
                      </w:r>
                    </w:p>
                  </w:txbxContent>
                </v:textbox>
                <w10:wrap type="square" anchorx="margin"/>
              </v:shape>
            </w:pict>
          </mc:Fallback>
        </mc:AlternateContent>
      </w:r>
      <w:r>
        <w:rPr>
          <w:rFonts w:ascii="標楷體" w:eastAsia="標楷體" w:hAnsi="標楷體" w:hint="eastAsia"/>
          <w:color w:val="000000"/>
          <w:szCs w:val="18"/>
        </w:rPr>
        <w:t>督促相關機關另擬其他多元活化措施，如引進民間資源參與資產之營運、辦理標租等，以提升市有財產使用效益等情事</w:t>
      </w:r>
      <w:r>
        <w:rPr>
          <w:rFonts w:ascii="標楷體" w:eastAsia="標楷體" w:hAnsi="標楷體" w:hint="eastAsia"/>
          <w:color w:val="000000"/>
          <w:szCs w:val="24"/>
        </w:rPr>
        <w:t>，經函請</w:t>
      </w:r>
      <w:proofErr w:type="gramStart"/>
      <w:r>
        <w:rPr>
          <w:rFonts w:ascii="標楷體" w:eastAsia="標楷體" w:hAnsi="標楷體" w:hint="eastAsia"/>
          <w:color w:val="000000"/>
          <w:szCs w:val="24"/>
        </w:rPr>
        <w:t>研</w:t>
      </w:r>
      <w:proofErr w:type="gramEnd"/>
      <w:r>
        <w:rPr>
          <w:rFonts w:ascii="標楷體" w:eastAsia="標楷體" w:hAnsi="標楷體" w:hint="eastAsia"/>
          <w:color w:val="000000"/>
          <w:szCs w:val="24"/>
        </w:rPr>
        <w:t>謀改善。據復：針對屋</w:t>
      </w:r>
      <w:proofErr w:type="gramStart"/>
      <w:r>
        <w:rPr>
          <w:rFonts w:ascii="標楷體" w:eastAsia="標楷體" w:hAnsi="標楷體" w:hint="eastAsia"/>
          <w:color w:val="000000"/>
          <w:szCs w:val="24"/>
        </w:rPr>
        <w:t>況良好迄</w:t>
      </w:r>
      <w:proofErr w:type="gramEnd"/>
      <w:r>
        <w:rPr>
          <w:rFonts w:ascii="標楷體" w:eastAsia="標楷體" w:hAnsi="標楷體" w:hint="eastAsia"/>
          <w:color w:val="000000"/>
          <w:szCs w:val="24"/>
        </w:rPr>
        <w:t>未媒合成功者，已陸續確認使用、改建計畫及使用安全性，或持續媒合各機關需求進駐使用；另工程會持續列管之4筆建物，或已辦理公開標租，</w:t>
      </w:r>
      <w:proofErr w:type="gramStart"/>
      <w:r>
        <w:rPr>
          <w:rFonts w:ascii="標楷體" w:eastAsia="標楷體" w:hAnsi="標楷體" w:hint="eastAsia"/>
          <w:color w:val="000000"/>
          <w:szCs w:val="24"/>
        </w:rPr>
        <w:t>或刻正研</w:t>
      </w:r>
      <w:proofErr w:type="gramEnd"/>
      <w:r>
        <w:rPr>
          <w:rFonts w:ascii="標楷體" w:eastAsia="標楷體" w:hAnsi="標楷體" w:hint="eastAsia"/>
          <w:color w:val="000000"/>
          <w:szCs w:val="24"/>
        </w:rPr>
        <w:t>議作為檔案室、公開標租之可行性，或變更為非公用財產辦理標售，未來將持續敦促各機關學校適時辦理建物屋</w:t>
      </w:r>
      <w:proofErr w:type="gramStart"/>
      <w:r>
        <w:rPr>
          <w:rFonts w:ascii="標楷體" w:eastAsia="標楷體" w:hAnsi="標楷體" w:hint="eastAsia"/>
          <w:color w:val="000000"/>
          <w:szCs w:val="24"/>
        </w:rPr>
        <w:t>況</w:t>
      </w:r>
      <w:proofErr w:type="gramEnd"/>
      <w:r>
        <w:rPr>
          <w:rFonts w:ascii="標楷體" w:eastAsia="標楷體" w:hAnsi="標楷體" w:hint="eastAsia"/>
          <w:color w:val="000000"/>
          <w:szCs w:val="24"/>
        </w:rPr>
        <w:t>及設施改善，以提升其實用性並增加媒合調配價值。</w:t>
      </w:r>
    </w:p>
    <w:p w14:paraId="7506840B" w14:textId="77777777" w:rsidR="003731AC" w:rsidRDefault="003731AC" w:rsidP="003731AC">
      <w:pPr>
        <w:suppressAutoHyphens/>
        <w:overflowPunct w:val="0"/>
        <w:spacing w:beforeLines="30" w:before="108" w:afterLines="20" w:after="72" w:line="40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五、</w:t>
      </w:r>
      <w:proofErr w:type="gramStart"/>
      <w:r>
        <w:rPr>
          <w:rFonts w:ascii="標楷體" w:eastAsia="標楷體" w:hAnsi="Times New Roman" w:cs="Times New Roman" w:hint="eastAsia"/>
          <w:b/>
          <w:sz w:val="32"/>
          <w:szCs w:val="32"/>
        </w:rPr>
        <w:t>112</w:t>
      </w:r>
      <w:proofErr w:type="gramEnd"/>
      <w:r>
        <w:rPr>
          <w:rFonts w:ascii="標楷體" w:eastAsia="標楷體" w:hAnsi="Times New Roman" w:cs="Times New Roman" w:hint="eastAsia"/>
          <w:b/>
          <w:sz w:val="32"/>
          <w:szCs w:val="32"/>
        </w:rPr>
        <w:t>年度重要審核意見追蹤查核情形</w:t>
      </w:r>
    </w:p>
    <w:p w14:paraId="16047FC0" w14:textId="77777777" w:rsidR="003731AC" w:rsidRDefault="003731AC" w:rsidP="003731AC">
      <w:pPr>
        <w:suppressAutoHyphens/>
        <w:overflowPunct w:val="0"/>
        <w:spacing w:line="42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szCs w:val="24"/>
        </w:rPr>
        <w:t>本處於</w:t>
      </w:r>
      <w:proofErr w:type="gramStart"/>
      <w:r>
        <w:rPr>
          <w:rFonts w:ascii="標楷體" w:eastAsia="標楷體" w:hAnsi="Times New Roman" w:cs="Times New Roman" w:hint="eastAsia"/>
          <w:szCs w:val="24"/>
        </w:rPr>
        <w:t>112</w:t>
      </w:r>
      <w:proofErr w:type="gramEnd"/>
      <w:r>
        <w:rPr>
          <w:rFonts w:ascii="標楷體" w:eastAsia="標楷體" w:hAnsi="Times New Roman" w:cs="Times New Roman" w:hint="eastAsia"/>
          <w:szCs w:val="24"/>
        </w:rPr>
        <w:t>年度</w:t>
      </w:r>
      <w:r>
        <w:rPr>
          <w:rFonts w:ascii="標楷體" w:eastAsia="標楷體" w:hAnsi="Times New Roman" w:cs="Times New Roman" w:hint="eastAsia"/>
          <w:color w:val="000000"/>
          <w:szCs w:val="24"/>
        </w:rPr>
        <w:t>審核報告內列重要審核意見5項，經</w:t>
      </w:r>
      <w:proofErr w:type="gramStart"/>
      <w:r>
        <w:rPr>
          <w:rFonts w:ascii="標楷體" w:eastAsia="標楷體" w:hAnsi="Times New Roman" w:cs="Times New Roman" w:hint="eastAsia"/>
          <w:color w:val="000000"/>
          <w:szCs w:val="24"/>
        </w:rPr>
        <w:t>賡</w:t>
      </w:r>
      <w:proofErr w:type="gramEnd"/>
      <w:r>
        <w:rPr>
          <w:rFonts w:ascii="標楷體" w:eastAsia="標楷體" w:hAnsi="Times New Roman" w:cs="Times New Roman" w:hint="eastAsia"/>
          <w:color w:val="000000"/>
          <w:szCs w:val="24"/>
        </w:rPr>
        <w:t>續追蹤查核實際辦理結果，仍待繼續改善者2項、業已</w:t>
      </w:r>
      <w:proofErr w:type="gramStart"/>
      <w:r>
        <w:rPr>
          <w:rFonts w:ascii="標楷體" w:eastAsia="標楷體" w:hAnsi="Times New Roman" w:cs="Times New Roman" w:hint="eastAsia"/>
          <w:color w:val="000000"/>
          <w:szCs w:val="24"/>
        </w:rPr>
        <w:t>研</w:t>
      </w:r>
      <w:proofErr w:type="gramEnd"/>
      <w:r>
        <w:rPr>
          <w:rFonts w:ascii="標楷體" w:eastAsia="標楷體" w:hAnsi="Times New Roman" w:cs="Times New Roman" w:hint="eastAsia"/>
          <w:color w:val="000000"/>
          <w:szCs w:val="24"/>
        </w:rPr>
        <w:t>謀改善或依改善措施持續辦理者3項（表5），其中仍待繼續改善者，經再</w:t>
      </w:r>
      <w:proofErr w:type="gramStart"/>
      <w:r>
        <w:rPr>
          <w:rFonts w:ascii="標楷體" w:eastAsia="標楷體" w:hAnsi="Times New Roman" w:cs="Times New Roman" w:hint="eastAsia"/>
          <w:color w:val="000000"/>
          <w:szCs w:val="24"/>
        </w:rPr>
        <w:t>研</w:t>
      </w:r>
      <w:proofErr w:type="gramEnd"/>
      <w:r>
        <w:rPr>
          <w:rFonts w:ascii="標楷體" w:eastAsia="標楷體" w:hAnsi="Times New Roman" w:cs="Times New Roman" w:hint="eastAsia"/>
          <w:color w:val="000000"/>
          <w:szCs w:val="24"/>
        </w:rPr>
        <w:t>提審核意見2項通知檢討改善。</w:t>
      </w:r>
    </w:p>
    <w:p w14:paraId="45A5B600" w14:textId="77777777" w:rsidR="003731AC" w:rsidRDefault="003731AC" w:rsidP="003731AC">
      <w:pPr>
        <w:spacing w:line="460" w:lineRule="exact"/>
        <w:jc w:val="center"/>
        <w:rPr>
          <w:rFonts w:ascii="標楷體" w:eastAsia="標楷體" w:hAnsi="標楷體" w:cs="Times New Roman"/>
          <w:b/>
          <w:color w:val="000000"/>
          <w:szCs w:val="24"/>
        </w:rPr>
      </w:pPr>
      <w:r>
        <w:rPr>
          <w:rFonts w:ascii="標楷體" w:eastAsia="標楷體" w:hAnsi="標楷體" w:cs="Times New Roman" w:hint="eastAsia"/>
          <w:b/>
          <w:color w:val="000000"/>
          <w:szCs w:val="24"/>
        </w:rPr>
        <w:t xml:space="preserve">表5　</w:t>
      </w:r>
      <w:proofErr w:type="gramStart"/>
      <w:r>
        <w:rPr>
          <w:rFonts w:ascii="標楷體" w:eastAsia="標楷體" w:hAnsi="標楷體" w:cs="Times New Roman" w:hint="eastAsia"/>
          <w:b/>
          <w:color w:val="000000"/>
          <w:szCs w:val="24"/>
        </w:rPr>
        <w:t>112</w:t>
      </w:r>
      <w:proofErr w:type="gramEnd"/>
      <w:r>
        <w:rPr>
          <w:rFonts w:ascii="標楷體" w:eastAsia="標楷體" w:hAnsi="標楷體" w:cs="Times New Roman" w:hint="eastAsia"/>
          <w:b/>
          <w:color w:val="000000"/>
          <w:szCs w:val="24"/>
        </w:rPr>
        <w:t>年度審核報告所列財政局主管重要審核意見覆核辦理情形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651"/>
        <w:gridCol w:w="2262"/>
      </w:tblGrid>
      <w:tr w:rsidR="003731AC" w14:paraId="7ED05E7B" w14:textId="77777777" w:rsidTr="003731AC">
        <w:trPr>
          <w:trHeight w:val="340"/>
          <w:jc w:val="center"/>
        </w:trPr>
        <w:tc>
          <w:tcPr>
            <w:tcW w:w="3859" w:type="pct"/>
            <w:tcBorders>
              <w:top w:val="single" w:sz="4" w:space="0" w:color="auto"/>
              <w:left w:val="single" w:sz="4" w:space="0" w:color="auto"/>
              <w:bottom w:val="single" w:sz="4" w:space="0" w:color="auto"/>
              <w:right w:val="single" w:sz="4" w:space="0" w:color="auto"/>
            </w:tcBorders>
            <w:vAlign w:val="center"/>
            <w:hideMark/>
          </w:tcPr>
          <w:p w14:paraId="01440242" w14:textId="77777777" w:rsidR="003731AC" w:rsidRDefault="003731AC">
            <w:pPr>
              <w:snapToGrid w:val="0"/>
              <w:spacing w:line="280" w:lineRule="exact"/>
              <w:jc w:val="center"/>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重要審核意見標題</w:t>
            </w:r>
          </w:p>
        </w:tc>
        <w:tc>
          <w:tcPr>
            <w:tcW w:w="1141" w:type="pct"/>
            <w:tcBorders>
              <w:top w:val="single" w:sz="4" w:space="0" w:color="auto"/>
              <w:left w:val="single" w:sz="4" w:space="0" w:color="auto"/>
              <w:bottom w:val="single" w:sz="4" w:space="0" w:color="auto"/>
              <w:right w:val="single" w:sz="4" w:space="0" w:color="auto"/>
            </w:tcBorders>
            <w:vAlign w:val="center"/>
            <w:hideMark/>
          </w:tcPr>
          <w:p w14:paraId="291752CE" w14:textId="77777777" w:rsidR="003731AC" w:rsidRDefault="003731AC">
            <w:pPr>
              <w:snapToGrid w:val="0"/>
              <w:spacing w:line="280" w:lineRule="exact"/>
              <w:jc w:val="center"/>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說明</w:t>
            </w:r>
          </w:p>
        </w:tc>
      </w:tr>
      <w:tr w:rsidR="003731AC" w14:paraId="6D2F6D10" w14:textId="77777777" w:rsidTr="00EE76C7">
        <w:trPr>
          <w:trHeight w:val="369"/>
          <w:jc w:val="center"/>
        </w:trPr>
        <w:tc>
          <w:tcPr>
            <w:tcW w:w="3859" w:type="pct"/>
            <w:tcBorders>
              <w:top w:val="single" w:sz="4" w:space="0" w:color="auto"/>
              <w:left w:val="single" w:sz="4" w:space="0" w:color="auto"/>
              <w:bottom w:val="single" w:sz="4" w:space="0" w:color="auto"/>
              <w:right w:val="nil"/>
            </w:tcBorders>
            <w:vAlign w:val="center"/>
            <w:hideMark/>
          </w:tcPr>
          <w:p w14:paraId="1AC5A27D" w14:textId="77777777" w:rsidR="003731AC" w:rsidRDefault="003731AC">
            <w:pPr>
              <w:snapToGrid w:val="0"/>
              <w:spacing w:before="100" w:beforeAutospacing="1" w:after="100" w:afterAutospacing="1" w:line="240" w:lineRule="exact"/>
              <w:rPr>
                <w:rFonts w:ascii="標楷體" w:eastAsia="標楷體" w:hAnsi="標楷體" w:cs="Times New Roman"/>
                <w:b/>
                <w:color w:val="000000"/>
                <w:sz w:val="20"/>
                <w:szCs w:val="20"/>
              </w:rPr>
            </w:pPr>
            <w:r>
              <w:rPr>
                <w:rFonts w:ascii="標楷體" w:eastAsia="標楷體" w:hAnsi="標楷體" w:cs="Times New Roman" w:hint="eastAsia"/>
                <w:b/>
                <w:color w:val="000000"/>
                <w:sz w:val="20"/>
                <w:szCs w:val="20"/>
              </w:rPr>
              <w:t>仍待繼續改善</w:t>
            </w:r>
          </w:p>
        </w:tc>
        <w:tc>
          <w:tcPr>
            <w:tcW w:w="1141" w:type="pct"/>
            <w:tcBorders>
              <w:top w:val="single" w:sz="4" w:space="0" w:color="auto"/>
              <w:left w:val="nil"/>
              <w:bottom w:val="single" w:sz="4" w:space="0" w:color="auto"/>
              <w:right w:val="single" w:sz="4" w:space="0" w:color="auto"/>
            </w:tcBorders>
          </w:tcPr>
          <w:p w14:paraId="2AF752C7" w14:textId="77777777" w:rsidR="003731AC" w:rsidRDefault="003731AC">
            <w:pPr>
              <w:snapToGrid w:val="0"/>
              <w:spacing w:line="240" w:lineRule="exact"/>
              <w:rPr>
                <w:rFonts w:ascii="標楷體" w:eastAsia="標楷體" w:hAnsi="標楷體" w:cs="Times New Roman"/>
                <w:b/>
                <w:bCs/>
                <w:color w:val="000000"/>
                <w:sz w:val="20"/>
                <w:szCs w:val="20"/>
              </w:rPr>
            </w:pPr>
          </w:p>
        </w:tc>
      </w:tr>
      <w:tr w:rsidR="003731AC" w14:paraId="735C1199" w14:textId="77777777" w:rsidTr="003731AC">
        <w:trPr>
          <w:trHeight w:val="340"/>
          <w:jc w:val="center"/>
        </w:trPr>
        <w:tc>
          <w:tcPr>
            <w:tcW w:w="3859" w:type="pct"/>
            <w:tcBorders>
              <w:top w:val="single" w:sz="4" w:space="0" w:color="auto"/>
              <w:left w:val="single" w:sz="4" w:space="0" w:color="auto"/>
              <w:bottom w:val="single" w:sz="4" w:space="0" w:color="auto"/>
              <w:right w:val="single" w:sz="4" w:space="0" w:color="auto"/>
            </w:tcBorders>
            <w:vAlign w:val="center"/>
            <w:hideMark/>
          </w:tcPr>
          <w:p w14:paraId="4F77F7AC" w14:textId="77777777" w:rsidR="003731AC" w:rsidRDefault="003731AC">
            <w:pPr>
              <w:snapToGrid w:val="0"/>
              <w:spacing w:before="100" w:beforeAutospacing="1" w:after="100" w:afterAutospacing="1" w:line="240" w:lineRule="exact"/>
              <w:ind w:left="586" w:hangingChars="293" w:hanging="586"/>
              <w:jc w:val="both"/>
              <w:rPr>
                <w:rFonts w:ascii="標楷體" w:eastAsia="標楷體" w:hAnsi="標楷體" w:cs="Times New Roman"/>
                <w:b/>
                <w:color w:val="000000"/>
                <w:sz w:val="20"/>
                <w:szCs w:val="20"/>
              </w:rPr>
            </w:pPr>
            <w:r>
              <w:rPr>
                <w:rFonts w:ascii="標楷體" w:eastAsia="標楷體" w:hAnsi="標楷體" w:cs="Times New Roman" w:hint="eastAsia"/>
                <w:color w:val="000000"/>
                <w:sz w:val="20"/>
                <w:szCs w:val="20"/>
              </w:rPr>
              <w:t>（一）</w:t>
            </w:r>
            <w:r>
              <w:rPr>
                <w:rFonts w:ascii="標楷體" w:eastAsia="標楷體" w:hAnsi="Times New Roman" w:cs="Times New Roman" w:hint="eastAsia"/>
                <w:sz w:val="20"/>
                <w:szCs w:val="20"/>
              </w:rPr>
              <w:t>辦理地方稅</w:t>
            </w:r>
            <w:proofErr w:type="gramStart"/>
            <w:r>
              <w:rPr>
                <w:rFonts w:ascii="標楷體" w:eastAsia="標楷體" w:hAnsi="Times New Roman" w:cs="Times New Roman" w:hint="eastAsia"/>
                <w:sz w:val="20"/>
                <w:szCs w:val="20"/>
              </w:rPr>
              <w:t>稽</w:t>
            </w:r>
            <w:proofErr w:type="gramEnd"/>
            <w:r>
              <w:rPr>
                <w:rFonts w:ascii="標楷體" w:eastAsia="標楷體" w:hAnsi="Times New Roman" w:cs="Times New Roman" w:hint="eastAsia"/>
                <w:sz w:val="20"/>
                <w:szCs w:val="20"/>
              </w:rPr>
              <w:t>徵業務，維護租稅公平，惟有關房屋稅及地價稅</w:t>
            </w:r>
            <w:r>
              <w:rPr>
                <w:rFonts w:ascii="標楷體" w:eastAsia="標楷體" w:hAnsi="標楷體" w:hint="eastAsia"/>
                <w:sz w:val="20"/>
                <w:szCs w:val="20"/>
              </w:rPr>
              <w:t>自用、非自用徵課屬性，核有部分案件與台電公司</w:t>
            </w:r>
            <w:proofErr w:type="gramStart"/>
            <w:r>
              <w:rPr>
                <w:rFonts w:ascii="標楷體" w:eastAsia="標楷體" w:hAnsi="標楷體" w:hint="eastAsia"/>
                <w:sz w:val="20"/>
                <w:szCs w:val="20"/>
              </w:rPr>
              <w:t>查定用電</w:t>
            </w:r>
            <w:proofErr w:type="gramEnd"/>
            <w:r>
              <w:rPr>
                <w:rFonts w:ascii="標楷體" w:eastAsia="標楷體" w:hAnsi="標楷體" w:hint="eastAsia"/>
                <w:sz w:val="20"/>
                <w:szCs w:val="20"/>
              </w:rPr>
              <w:t>計費種類未</w:t>
            </w:r>
            <w:proofErr w:type="gramStart"/>
            <w:r>
              <w:rPr>
                <w:rFonts w:ascii="標楷體" w:eastAsia="標楷體" w:hAnsi="標楷體" w:hint="eastAsia"/>
                <w:sz w:val="20"/>
                <w:szCs w:val="20"/>
              </w:rPr>
              <w:t>臻</w:t>
            </w:r>
            <w:proofErr w:type="gramEnd"/>
            <w:r>
              <w:rPr>
                <w:rFonts w:ascii="標楷體" w:eastAsia="標楷體" w:hAnsi="標楷體" w:hint="eastAsia"/>
                <w:sz w:val="20"/>
                <w:szCs w:val="20"/>
              </w:rPr>
              <w:t>一致</w:t>
            </w:r>
            <w:r>
              <w:rPr>
                <w:rFonts w:ascii="標楷體" w:eastAsia="標楷體" w:hAnsi="Times New Roman" w:cs="Times New Roman" w:hint="eastAsia"/>
                <w:sz w:val="20"/>
                <w:szCs w:val="20"/>
              </w:rPr>
              <w:t>、或部分稅目之徵課與實際使用</w:t>
            </w:r>
            <w:proofErr w:type="gramStart"/>
            <w:r>
              <w:rPr>
                <w:rFonts w:ascii="標楷體" w:eastAsia="標楷體" w:hAnsi="Times New Roman" w:cs="Times New Roman" w:hint="eastAsia"/>
                <w:sz w:val="20"/>
                <w:szCs w:val="20"/>
              </w:rPr>
              <w:t>情形欠合</w:t>
            </w:r>
            <w:proofErr w:type="gramEnd"/>
            <w:r>
              <w:rPr>
                <w:rFonts w:ascii="標楷體" w:eastAsia="標楷體" w:hAnsi="Times New Roman" w:cs="Times New Roman" w:hint="eastAsia"/>
                <w:sz w:val="20"/>
                <w:szCs w:val="20"/>
              </w:rPr>
              <w:t>，有待檢討改善。</w:t>
            </w:r>
          </w:p>
        </w:tc>
        <w:tc>
          <w:tcPr>
            <w:tcW w:w="1141" w:type="pct"/>
            <w:tcBorders>
              <w:top w:val="single" w:sz="4" w:space="0" w:color="auto"/>
              <w:left w:val="single" w:sz="4" w:space="0" w:color="auto"/>
              <w:bottom w:val="single" w:sz="4" w:space="0" w:color="auto"/>
              <w:right w:val="single" w:sz="4" w:space="0" w:color="auto"/>
            </w:tcBorders>
            <w:hideMark/>
          </w:tcPr>
          <w:p w14:paraId="48655AE0" w14:textId="77777777" w:rsidR="003731AC" w:rsidRDefault="003731AC">
            <w:pPr>
              <w:snapToGrid w:val="0"/>
              <w:spacing w:line="240" w:lineRule="exact"/>
              <w:jc w:val="both"/>
              <w:rPr>
                <w:rFonts w:ascii="標楷體" w:eastAsia="標楷體" w:hAnsi="標楷體" w:cs="Times New Roman"/>
                <w:color w:val="000000"/>
                <w:sz w:val="20"/>
                <w:szCs w:val="20"/>
              </w:rPr>
            </w:pPr>
            <w:proofErr w:type="gramStart"/>
            <w:r>
              <w:rPr>
                <w:rFonts w:ascii="標楷體" w:eastAsia="標楷體" w:hAnsi="標楷體" w:cs="Times New Roman" w:hint="eastAsia"/>
                <w:color w:val="000000"/>
                <w:sz w:val="20"/>
                <w:szCs w:val="20"/>
              </w:rPr>
              <w:t>因賦稅捐費徵</w:t>
            </w:r>
            <w:proofErr w:type="gramEnd"/>
            <w:r>
              <w:rPr>
                <w:rFonts w:ascii="標楷體" w:eastAsia="標楷體" w:hAnsi="標楷體" w:cs="Times New Roman" w:hint="eastAsia"/>
                <w:color w:val="000000"/>
                <w:sz w:val="20"/>
                <w:szCs w:val="20"/>
              </w:rPr>
              <w:t>課業務仍有未盡嚴謹情事，業再</w:t>
            </w:r>
            <w:proofErr w:type="gramStart"/>
            <w:r>
              <w:rPr>
                <w:rFonts w:ascii="標楷體" w:eastAsia="標楷體" w:hAnsi="標楷體" w:cs="Times New Roman" w:hint="eastAsia"/>
                <w:color w:val="000000"/>
                <w:sz w:val="20"/>
                <w:szCs w:val="20"/>
              </w:rPr>
              <w:t>研</w:t>
            </w:r>
            <w:proofErr w:type="gramEnd"/>
            <w:r>
              <w:rPr>
                <w:rFonts w:ascii="標楷體" w:eastAsia="標楷體" w:hAnsi="標楷體" w:cs="Times New Roman" w:hint="eastAsia"/>
                <w:color w:val="000000"/>
                <w:sz w:val="20"/>
                <w:szCs w:val="20"/>
              </w:rPr>
              <w:t>提審核意見詳「四、重要審核意見（三）」</w:t>
            </w:r>
          </w:p>
        </w:tc>
      </w:tr>
      <w:tr w:rsidR="003731AC" w14:paraId="36F0161E" w14:textId="77777777" w:rsidTr="003731AC">
        <w:trPr>
          <w:trHeight w:val="340"/>
          <w:jc w:val="center"/>
        </w:trPr>
        <w:tc>
          <w:tcPr>
            <w:tcW w:w="3859" w:type="pct"/>
            <w:tcBorders>
              <w:top w:val="single" w:sz="4" w:space="0" w:color="auto"/>
              <w:left w:val="single" w:sz="4" w:space="0" w:color="auto"/>
              <w:bottom w:val="single" w:sz="4" w:space="0" w:color="auto"/>
              <w:right w:val="single" w:sz="4" w:space="0" w:color="auto"/>
            </w:tcBorders>
            <w:vAlign w:val="center"/>
            <w:hideMark/>
          </w:tcPr>
          <w:p w14:paraId="2E1C0CB3" w14:textId="77777777" w:rsidR="003731AC" w:rsidRDefault="003731AC">
            <w:pPr>
              <w:snapToGrid w:val="0"/>
              <w:spacing w:before="100" w:beforeAutospacing="1" w:after="100" w:afterAutospacing="1" w:line="240" w:lineRule="exact"/>
              <w:ind w:left="600" w:hangingChars="300" w:hanging="600"/>
              <w:jc w:val="both"/>
              <w:rPr>
                <w:rFonts w:ascii="標楷體" w:eastAsia="標楷體" w:hAnsi="標楷體" w:cs="Times New Roman"/>
                <w:b/>
                <w:color w:val="000000"/>
                <w:sz w:val="20"/>
                <w:szCs w:val="20"/>
              </w:rPr>
            </w:pPr>
            <w:r>
              <w:rPr>
                <w:rFonts w:ascii="標楷體" w:eastAsia="標楷體" w:hAnsi="標楷體" w:cs="Times New Roman" w:hint="eastAsia"/>
                <w:color w:val="000000"/>
                <w:sz w:val="20"/>
                <w:szCs w:val="20"/>
              </w:rPr>
              <w:t>（二）</w:t>
            </w:r>
            <w:r>
              <w:rPr>
                <w:rFonts w:ascii="標楷體" w:eastAsia="標楷體" w:hAnsi="Times New Roman" w:cs="Times New Roman" w:hint="eastAsia"/>
                <w:spacing w:val="4"/>
                <w:sz w:val="20"/>
                <w:szCs w:val="20"/>
              </w:rPr>
              <w:t>為促進市有資產效益，建立供需媒合機制並略具成效，惟仍有部分市有餘</w:t>
            </w:r>
            <w:proofErr w:type="gramStart"/>
            <w:r>
              <w:rPr>
                <w:rFonts w:ascii="標楷體" w:eastAsia="標楷體" w:hAnsi="Times New Roman" w:cs="Times New Roman" w:hint="eastAsia"/>
                <w:spacing w:val="4"/>
                <w:sz w:val="20"/>
                <w:szCs w:val="20"/>
              </w:rPr>
              <w:t>裕</w:t>
            </w:r>
            <w:proofErr w:type="gramEnd"/>
            <w:r>
              <w:rPr>
                <w:rFonts w:ascii="標楷體" w:eastAsia="標楷體" w:hAnsi="Times New Roman" w:cs="Times New Roman" w:hint="eastAsia"/>
                <w:spacing w:val="4"/>
                <w:sz w:val="20"/>
                <w:szCs w:val="20"/>
              </w:rPr>
              <w:t>建物未能運用，允宜</w:t>
            </w:r>
            <w:proofErr w:type="gramStart"/>
            <w:r>
              <w:rPr>
                <w:rFonts w:ascii="標楷體" w:eastAsia="標楷體" w:hAnsi="Times New Roman" w:cs="Times New Roman" w:hint="eastAsia"/>
                <w:spacing w:val="4"/>
                <w:sz w:val="20"/>
                <w:szCs w:val="20"/>
              </w:rPr>
              <w:t>研</w:t>
            </w:r>
            <w:proofErr w:type="gramEnd"/>
            <w:r>
              <w:rPr>
                <w:rFonts w:ascii="標楷體" w:eastAsia="標楷體" w:hAnsi="Times New Roman" w:cs="Times New Roman" w:hint="eastAsia"/>
                <w:spacing w:val="4"/>
                <w:sz w:val="20"/>
                <w:szCs w:val="20"/>
              </w:rPr>
              <w:t>謀改善。</w:t>
            </w:r>
          </w:p>
        </w:tc>
        <w:tc>
          <w:tcPr>
            <w:tcW w:w="1141" w:type="pct"/>
            <w:tcBorders>
              <w:top w:val="single" w:sz="4" w:space="0" w:color="auto"/>
              <w:left w:val="single" w:sz="4" w:space="0" w:color="auto"/>
              <w:bottom w:val="single" w:sz="4" w:space="0" w:color="auto"/>
              <w:right w:val="single" w:sz="4" w:space="0" w:color="auto"/>
            </w:tcBorders>
            <w:hideMark/>
          </w:tcPr>
          <w:p w14:paraId="051FFB15" w14:textId="77777777" w:rsidR="003731AC" w:rsidRDefault="003731AC">
            <w:pPr>
              <w:snapToGrid w:val="0"/>
              <w:spacing w:line="240" w:lineRule="exact"/>
              <w:jc w:val="both"/>
              <w:rPr>
                <w:rFonts w:ascii="標楷體" w:eastAsia="標楷體" w:hAnsi="標楷體" w:cs="Times New Roman"/>
                <w:b/>
                <w:bCs/>
                <w:color w:val="000000"/>
                <w:sz w:val="20"/>
                <w:szCs w:val="20"/>
              </w:rPr>
            </w:pPr>
            <w:proofErr w:type="gramStart"/>
            <w:r>
              <w:rPr>
                <w:rFonts w:ascii="標楷體" w:eastAsia="標楷體" w:hAnsi="標楷體" w:cs="Times New Roman" w:hint="eastAsia"/>
                <w:color w:val="000000"/>
                <w:sz w:val="20"/>
                <w:szCs w:val="20"/>
              </w:rPr>
              <w:t>因媒合</w:t>
            </w:r>
            <w:proofErr w:type="gramEnd"/>
            <w:r>
              <w:rPr>
                <w:rFonts w:ascii="標楷體" w:eastAsia="標楷體" w:hAnsi="標楷體" w:cs="Times New Roman" w:hint="eastAsia"/>
                <w:color w:val="000000"/>
                <w:sz w:val="20"/>
                <w:szCs w:val="20"/>
              </w:rPr>
              <w:t>機制未</w:t>
            </w:r>
            <w:proofErr w:type="gramStart"/>
            <w:r>
              <w:rPr>
                <w:rFonts w:ascii="標楷體" w:eastAsia="標楷體" w:hAnsi="標楷體" w:cs="Times New Roman" w:hint="eastAsia"/>
                <w:color w:val="000000"/>
                <w:sz w:val="20"/>
                <w:szCs w:val="20"/>
              </w:rPr>
              <w:t>臻</w:t>
            </w:r>
            <w:proofErr w:type="gramEnd"/>
            <w:r>
              <w:rPr>
                <w:rFonts w:ascii="標楷體" w:eastAsia="標楷體" w:hAnsi="標楷體" w:cs="Times New Roman" w:hint="eastAsia"/>
                <w:color w:val="000000"/>
                <w:sz w:val="20"/>
                <w:szCs w:val="20"/>
              </w:rPr>
              <w:t>周妥，業再</w:t>
            </w:r>
            <w:proofErr w:type="gramStart"/>
            <w:r>
              <w:rPr>
                <w:rFonts w:ascii="標楷體" w:eastAsia="標楷體" w:hAnsi="標楷體" w:cs="Times New Roman" w:hint="eastAsia"/>
                <w:color w:val="000000"/>
                <w:sz w:val="20"/>
                <w:szCs w:val="20"/>
              </w:rPr>
              <w:t>研</w:t>
            </w:r>
            <w:proofErr w:type="gramEnd"/>
            <w:r>
              <w:rPr>
                <w:rFonts w:ascii="標楷體" w:eastAsia="標楷體" w:hAnsi="標楷體" w:cs="Times New Roman" w:hint="eastAsia"/>
                <w:color w:val="000000"/>
                <w:sz w:val="20"/>
                <w:szCs w:val="20"/>
              </w:rPr>
              <w:t>提審核意見詳「四、重要審核意見（六）」</w:t>
            </w:r>
          </w:p>
        </w:tc>
      </w:tr>
      <w:tr w:rsidR="003731AC" w14:paraId="4A32120B" w14:textId="77777777" w:rsidTr="003731AC">
        <w:trPr>
          <w:trHeight w:val="340"/>
          <w:jc w:val="center"/>
        </w:trPr>
        <w:tc>
          <w:tcPr>
            <w:tcW w:w="3859" w:type="pct"/>
            <w:tcBorders>
              <w:top w:val="single" w:sz="4" w:space="0" w:color="auto"/>
              <w:left w:val="single" w:sz="4" w:space="0" w:color="auto"/>
              <w:bottom w:val="single" w:sz="4" w:space="0" w:color="auto"/>
              <w:right w:val="nil"/>
            </w:tcBorders>
            <w:vAlign w:val="center"/>
            <w:hideMark/>
          </w:tcPr>
          <w:p w14:paraId="338D4D4C" w14:textId="77777777" w:rsidR="003731AC" w:rsidRDefault="003731AC">
            <w:pPr>
              <w:snapToGrid w:val="0"/>
              <w:spacing w:before="100" w:beforeAutospacing="1" w:after="100" w:afterAutospacing="1" w:line="240" w:lineRule="exact"/>
              <w:rPr>
                <w:rFonts w:ascii="標楷體" w:eastAsia="標楷體" w:hAnsi="標楷體" w:cs="Times New Roman"/>
                <w:b/>
                <w:color w:val="000000"/>
                <w:sz w:val="20"/>
                <w:szCs w:val="20"/>
              </w:rPr>
            </w:pPr>
            <w:r>
              <w:rPr>
                <w:rFonts w:ascii="標楷體" w:eastAsia="標楷體" w:hAnsi="標楷體" w:cs="Times New Roman" w:hint="eastAsia"/>
                <w:b/>
                <w:color w:val="000000"/>
                <w:sz w:val="20"/>
                <w:szCs w:val="20"/>
              </w:rPr>
              <w:t>已</w:t>
            </w:r>
            <w:proofErr w:type="gramStart"/>
            <w:r>
              <w:rPr>
                <w:rFonts w:ascii="標楷體" w:eastAsia="標楷體" w:hAnsi="標楷體" w:cs="Times New Roman" w:hint="eastAsia"/>
                <w:b/>
                <w:color w:val="000000"/>
                <w:sz w:val="20"/>
                <w:szCs w:val="20"/>
              </w:rPr>
              <w:t>研</w:t>
            </w:r>
            <w:proofErr w:type="gramEnd"/>
            <w:r>
              <w:rPr>
                <w:rFonts w:ascii="標楷體" w:eastAsia="標楷體" w:hAnsi="標楷體" w:cs="Times New Roman" w:hint="eastAsia"/>
                <w:b/>
                <w:color w:val="000000"/>
                <w:sz w:val="20"/>
                <w:szCs w:val="20"/>
              </w:rPr>
              <w:t>謀改善或依改善措施持續辦理</w:t>
            </w:r>
          </w:p>
        </w:tc>
        <w:tc>
          <w:tcPr>
            <w:tcW w:w="1141" w:type="pct"/>
            <w:tcBorders>
              <w:top w:val="single" w:sz="4" w:space="0" w:color="auto"/>
              <w:left w:val="nil"/>
              <w:bottom w:val="single" w:sz="4" w:space="0" w:color="auto"/>
              <w:right w:val="single" w:sz="4" w:space="0" w:color="auto"/>
            </w:tcBorders>
          </w:tcPr>
          <w:p w14:paraId="4EDB32A0" w14:textId="77777777" w:rsidR="003731AC" w:rsidRDefault="003731AC">
            <w:pPr>
              <w:snapToGrid w:val="0"/>
              <w:spacing w:line="240" w:lineRule="exact"/>
              <w:rPr>
                <w:rFonts w:ascii="標楷體" w:eastAsia="標楷體" w:hAnsi="標楷體" w:cs="Times New Roman"/>
                <w:color w:val="000000"/>
                <w:sz w:val="20"/>
                <w:szCs w:val="20"/>
              </w:rPr>
            </w:pPr>
          </w:p>
        </w:tc>
      </w:tr>
      <w:tr w:rsidR="003731AC" w14:paraId="32091FD8" w14:textId="77777777" w:rsidTr="003731AC">
        <w:trPr>
          <w:trHeight w:val="624"/>
          <w:jc w:val="center"/>
        </w:trPr>
        <w:tc>
          <w:tcPr>
            <w:tcW w:w="3859" w:type="pct"/>
            <w:tcBorders>
              <w:top w:val="single" w:sz="4" w:space="0" w:color="auto"/>
              <w:left w:val="single" w:sz="4" w:space="0" w:color="auto"/>
              <w:bottom w:val="single" w:sz="4" w:space="0" w:color="auto"/>
              <w:right w:val="single" w:sz="4" w:space="0" w:color="auto"/>
            </w:tcBorders>
            <w:vAlign w:val="center"/>
            <w:hideMark/>
          </w:tcPr>
          <w:p w14:paraId="7DEB1BBD" w14:textId="77777777" w:rsidR="003731AC" w:rsidRDefault="003731AC">
            <w:pPr>
              <w:snapToGrid w:val="0"/>
              <w:spacing w:line="240" w:lineRule="exact"/>
              <w:ind w:left="586" w:hangingChars="293" w:hanging="586"/>
              <w:jc w:val="both"/>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（一）</w:t>
            </w:r>
            <w:r>
              <w:rPr>
                <w:rFonts w:ascii="標楷體" w:eastAsia="標楷體" w:hAnsi="標楷體" w:hint="eastAsia"/>
                <w:sz w:val="20"/>
                <w:szCs w:val="20"/>
              </w:rPr>
              <w:t>賦稅業務</w:t>
            </w:r>
            <w:r>
              <w:rPr>
                <w:rFonts w:eastAsia="標楷體" w:hint="eastAsia"/>
                <w:sz w:val="20"/>
                <w:szCs w:val="20"/>
              </w:rPr>
              <w:t>實施稅單繳</w:t>
            </w:r>
            <w:r>
              <w:rPr>
                <w:rFonts w:ascii="標楷體" w:eastAsia="標楷體" w:hAnsi="標楷體" w:hint="eastAsia"/>
                <w:sz w:val="20"/>
                <w:szCs w:val="20"/>
              </w:rPr>
              <w:t>款書</w:t>
            </w:r>
            <w:r>
              <w:rPr>
                <w:rFonts w:ascii="標楷體" w:eastAsia="標楷體" w:hAnsi="Times New Roman" w:cs="Times New Roman" w:hint="eastAsia"/>
                <w:sz w:val="20"/>
                <w:szCs w:val="20"/>
              </w:rPr>
              <w:t>電子</w:t>
            </w:r>
            <w:r>
              <w:rPr>
                <w:rFonts w:ascii="標楷體" w:eastAsia="標楷體" w:hAnsi="標楷體" w:hint="eastAsia"/>
                <w:sz w:val="20"/>
                <w:szCs w:val="20"/>
              </w:rPr>
              <w:t>化政策及推動多元繳納稅款，惟電子化稅單占比偏低，且e化繳</w:t>
            </w:r>
            <w:r>
              <w:rPr>
                <w:rFonts w:eastAsia="標楷體" w:hint="eastAsia"/>
                <w:sz w:val="20"/>
                <w:szCs w:val="20"/>
              </w:rPr>
              <w:t>稅程度亦待提升，允宜</w:t>
            </w:r>
            <w:proofErr w:type="gramStart"/>
            <w:r>
              <w:rPr>
                <w:rFonts w:eastAsia="標楷體" w:hint="eastAsia"/>
                <w:sz w:val="20"/>
                <w:szCs w:val="20"/>
              </w:rPr>
              <w:t>研謀精</w:t>
            </w:r>
            <w:proofErr w:type="gramEnd"/>
            <w:r>
              <w:rPr>
                <w:rFonts w:eastAsia="標楷體" w:hint="eastAsia"/>
                <w:sz w:val="20"/>
                <w:szCs w:val="20"/>
              </w:rPr>
              <w:t>進</w:t>
            </w:r>
            <w:r>
              <w:rPr>
                <w:rFonts w:ascii="標楷體" w:eastAsia="標楷體" w:hAnsi="Times New Roman" w:cs="Times New Roman" w:hint="eastAsia"/>
                <w:spacing w:val="2"/>
                <w:sz w:val="20"/>
                <w:szCs w:val="20"/>
              </w:rPr>
              <w:t>。</w:t>
            </w:r>
          </w:p>
        </w:tc>
        <w:tc>
          <w:tcPr>
            <w:tcW w:w="1141" w:type="pct"/>
            <w:vMerge w:val="restart"/>
            <w:tcBorders>
              <w:top w:val="single" w:sz="4" w:space="0" w:color="auto"/>
              <w:left w:val="single" w:sz="4" w:space="0" w:color="auto"/>
              <w:bottom w:val="single" w:sz="4" w:space="0" w:color="auto"/>
              <w:right w:val="single" w:sz="4" w:space="0" w:color="auto"/>
              <w:tl2br w:val="single" w:sz="4" w:space="0" w:color="auto"/>
            </w:tcBorders>
          </w:tcPr>
          <w:p w14:paraId="3F942981" w14:textId="77777777" w:rsidR="003731AC" w:rsidRDefault="003731AC">
            <w:pPr>
              <w:snapToGrid w:val="0"/>
              <w:spacing w:line="240" w:lineRule="exact"/>
              <w:jc w:val="both"/>
              <w:rPr>
                <w:rFonts w:ascii="標楷體" w:eastAsia="標楷體" w:hAnsi="標楷體" w:cs="Times New Roman"/>
                <w:color w:val="000000"/>
                <w:sz w:val="20"/>
                <w:szCs w:val="20"/>
              </w:rPr>
            </w:pPr>
          </w:p>
        </w:tc>
      </w:tr>
      <w:tr w:rsidR="003731AC" w14:paraId="2B65FEF7" w14:textId="77777777" w:rsidTr="003731AC">
        <w:trPr>
          <w:trHeight w:val="624"/>
          <w:jc w:val="center"/>
        </w:trPr>
        <w:tc>
          <w:tcPr>
            <w:tcW w:w="3859" w:type="pct"/>
            <w:tcBorders>
              <w:top w:val="single" w:sz="4" w:space="0" w:color="auto"/>
              <w:left w:val="single" w:sz="4" w:space="0" w:color="auto"/>
              <w:bottom w:val="single" w:sz="4" w:space="0" w:color="auto"/>
              <w:right w:val="single" w:sz="4" w:space="0" w:color="auto"/>
            </w:tcBorders>
            <w:vAlign w:val="center"/>
            <w:hideMark/>
          </w:tcPr>
          <w:p w14:paraId="23175D1D" w14:textId="77777777" w:rsidR="003731AC" w:rsidRDefault="003731AC">
            <w:pPr>
              <w:snapToGrid w:val="0"/>
              <w:spacing w:line="240" w:lineRule="exact"/>
              <w:ind w:left="600" w:hangingChars="300" w:hanging="600"/>
              <w:jc w:val="both"/>
              <w:rPr>
                <w:rFonts w:ascii="標楷體" w:eastAsia="標楷體" w:hAnsi="標楷體" w:cs="Times New Roman"/>
                <w:color w:val="000000"/>
                <w:sz w:val="20"/>
                <w:szCs w:val="20"/>
              </w:rPr>
            </w:pPr>
            <w:r>
              <w:rPr>
                <w:rFonts w:ascii="標楷體" w:eastAsia="標楷體" w:hAnsi="標楷體" w:hint="eastAsia"/>
                <w:color w:val="000000"/>
                <w:sz w:val="20"/>
                <w:szCs w:val="20"/>
              </w:rPr>
              <w:t>（二）</w:t>
            </w:r>
            <w:r>
              <w:rPr>
                <w:rFonts w:ascii="標楷體" w:eastAsia="標楷體" w:hAnsi="Times New Roman" w:cs="Times New Roman" w:hint="eastAsia"/>
                <w:sz w:val="20"/>
                <w:szCs w:val="20"/>
              </w:rPr>
              <w:t>為健全菸酒</w:t>
            </w:r>
            <w:r>
              <w:rPr>
                <w:rFonts w:ascii="標楷體" w:eastAsia="標楷體" w:hAnsi="標楷體" w:hint="eastAsia"/>
                <w:sz w:val="20"/>
                <w:szCs w:val="20"/>
              </w:rPr>
              <w:t>管理</w:t>
            </w:r>
            <w:r>
              <w:rPr>
                <w:rFonts w:ascii="標楷體" w:eastAsia="標楷體" w:hAnsi="Times New Roman" w:cs="Times New Roman" w:hint="eastAsia"/>
                <w:sz w:val="20"/>
                <w:szCs w:val="20"/>
              </w:rPr>
              <w:t>，辦理</w:t>
            </w:r>
            <w:r>
              <w:rPr>
                <w:rFonts w:ascii="標楷體" w:eastAsia="標楷體" w:hAnsi="標楷體" w:hint="eastAsia"/>
                <w:spacing w:val="-2"/>
                <w:sz w:val="20"/>
                <w:szCs w:val="20"/>
              </w:rPr>
              <w:t>菸酒查緝及抽檢菸酒業者計畫</w:t>
            </w:r>
            <w:r>
              <w:rPr>
                <w:rFonts w:ascii="標楷體" w:eastAsia="標楷體" w:hAnsi="Times New Roman" w:cs="Times New Roman" w:hint="eastAsia"/>
                <w:sz w:val="20"/>
                <w:szCs w:val="20"/>
              </w:rPr>
              <w:t>，執行結果核有稽核</w:t>
            </w:r>
            <w:proofErr w:type="gramStart"/>
            <w:r>
              <w:rPr>
                <w:rFonts w:ascii="標楷體" w:eastAsia="標楷體" w:hAnsi="Times New Roman" w:cs="Times New Roman" w:hint="eastAsia"/>
                <w:sz w:val="20"/>
                <w:szCs w:val="20"/>
              </w:rPr>
              <w:t>覆蓋率允宜</w:t>
            </w:r>
            <w:proofErr w:type="gramEnd"/>
            <w:r>
              <w:rPr>
                <w:rFonts w:ascii="標楷體" w:eastAsia="標楷體" w:hAnsi="Times New Roman" w:cs="Times New Roman" w:hint="eastAsia"/>
                <w:sz w:val="20"/>
                <w:szCs w:val="20"/>
              </w:rPr>
              <w:t>提升等情事，有待</w:t>
            </w:r>
            <w:proofErr w:type="gramStart"/>
            <w:r>
              <w:rPr>
                <w:rFonts w:ascii="標楷體" w:eastAsia="標楷體" w:hAnsi="Times New Roman" w:cs="Times New Roman" w:hint="eastAsia"/>
                <w:sz w:val="20"/>
                <w:szCs w:val="20"/>
              </w:rPr>
              <w:t>研</w:t>
            </w:r>
            <w:proofErr w:type="gramEnd"/>
            <w:r>
              <w:rPr>
                <w:rFonts w:ascii="標楷體" w:eastAsia="標楷體" w:hAnsi="Times New Roman" w:cs="Times New Roman" w:hint="eastAsia"/>
                <w:sz w:val="20"/>
                <w:szCs w:val="20"/>
              </w:rPr>
              <w:t>謀改善。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BEB7D" w14:textId="77777777" w:rsidR="003731AC" w:rsidRDefault="003731AC">
            <w:pPr>
              <w:widowControl/>
              <w:rPr>
                <w:rFonts w:ascii="標楷體" w:eastAsia="標楷體" w:hAnsi="標楷體" w:cs="Times New Roman"/>
                <w:color w:val="000000"/>
                <w:sz w:val="20"/>
                <w:szCs w:val="20"/>
              </w:rPr>
            </w:pPr>
          </w:p>
        </w:tc>
      </w:tr>
      <w:tr w:rsidR="003731AC" w14:paraId="7E5DCDD8" w14:textId="77777777" w:rsidTr="003731AC">
        <w:trPr>
          <w:trHeight w:val="397"/>
          <w:jc w:val="center"/>
        </w:trPr>
        <w:tc>
          <w:tcPr>
            <w:tcW w:w="3859" w:type="pct"/>
            <w:tcBorders>
              <w:top w:val="single" w:sz="4" w:space="0" w:color="auto"/>
              <w:left w:val="single" w:sz="4" w:space="0" w:color="auto"/>
              <w:bottom w:val="single" w:sz="4" w:space="0" w:color="auto"/>
              <w:right w:val="single" w:sz="4" w:space="0" w:color="auto"/>
            </w:tcBorders>
            <w:vAlign w:val="center"/>
            <w:hideMark/>
          </w:tcPr>
          <w:p w14:paraId="02F31A6F" w14:textId="77777777" w:rsidR="003731AC" w:rsidRDefault="003731AC" w:rsidP="0018438C">
            <w:pPr>
              <w:snapToGrid w:val="0"/>
              <w:spacing w:line="240" w:lineRule="exact"/>
              <w:ind w:left="600" w:hangingChars="300" w:hanging="600"/>
              <w:jc w:val="both"/>
              <w:rPr>
                <w:rFonts w:ascii="標楷體" w:eastAsia="標楷體" w:hAnsi="標楷體"/>
                <w:color w:val="000000"/>
                <w:sz w:val="20"/>
                <w:szCs w:val="20"/>
              </w:rPr>
            </w:pPr>
            <w:r>
              <w:rPr>
                <w:rFonts w:ascii="標楷體" w:eastAsia="標楷體" w:hAnsi="標楷體" w:hint="eastAsia"/>
                <w:color w:val="000000"/>
                <w:sz w:val="20"/>
                <w:szCs w:val="20"/>
              </w:rPr>
              <w:t>（三）</w:t>
            </w:r>
            <w:r>
              <w:rPr>
                <w:rFonts w:ascii="標楷體" w:eastAsia="標楷體" w:hAnsi="標楷體" w:hint="eastAsia"/>
                <w:sz w:val="20"/>
                <w:szCs w:val="20"/>
              </w:rPr>
              <w:t>建置財產管理系統並訂定市有財產管理作業要點，以強化管理，</w:t>
            </w:r>
            <w:proofErr w:type="gramStart"/>
            <w:r>
              <w:rPr>
                <w:rFonts w:ascii="標楷體" w:eastAsia="標楷體" w:hAnsi="標楷體" w:hint="eastAsia"/>
                <w:sz w:val="20"/>
                <w:szCs w:val="20"/>
              </w:rPr>
              <w:t>惟間有機關</w:t>
            </w:r>
            <w:proofErr w:type="gramEnd"/>
            <w:r>
              <w:rPr>
                <w:rFonts w:ascii="標楷體" w:eastAsia="標楷體" w:hAnsi="標楷體" w:hint="eastAsia"/>
                <w:sz w:val="20"/>
                <w:szCs w:val="20"/>
              </w:rPr>
              <w:t>移撥不動產後仍重複列帳，有待釐正</w:t>
            </w:r>
            <w:r>
              <w:rPr>
                <w:rFonts w:ascii="標楷體" w:eastAsia="標楷體" w:hAnsi="Times New Roman" w:cs="Times New Roman" w:hint="eastAsia"/>
                <w:spacing w:val="-2"/>
                <w:sz w:val="20"/>
                <w:szCs w:val="20"/>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49B97D" w14:textId="77777777" w:rsidR="003731AC" w:rsidRDefault="003731AC">
            <w:pPr>
              <w:widowControl/>
              <w:rPr>
                <w:rFonts w:ascii="標楷體" w:eastAsia="標楷體" w:hAnsi="標楷體" w:cs="Times New Roman"/>
                <w:color w:val="000000"/>
                <w:sz w:val="20"/>
                <w:szCs w:val="20"/>
              </w:rPr>
            </w:pPr>
          </w:p>
        </w:tc>
      </w:tr>
    </w:tbl>
    <w:p w14:paraId="0B10C2F3" w14:textId="5A6D0C70" w:rsidR="008B713D" w:rsidRDefault="004551F8" w:rsidP="003731AC">
      <w:pPr>
        <w:widowControl/>
        <w:rPr>
          <w:rFonts w:ascii="標楷體" w:eastAsia="標楷體" w:hAnsi="標楷體" w:cs="標楷體"/>
          <w:b/>
          <w:sz w:val="36"/>
          <w:szCs w:val="36"/>
        </w:rPr>
      </w:pPr>
      <w:r w:rsidRPr="00B474B8">
        <w:rPr>
          <w:rFonts w:ascii="標楷體" w:eastAsia="標楷體" w:hAnsi="標楷體" w:cs="Times New Roman"/>
          <w:spacing w:val="-2"/>
          <w:szCs w:val="24"/>
        </w:rPr>
        <w:br w:type="page"/>
      </w:r>
      <w:r w:rsidR="008B713D">
        <w:rPr>
          <w:rFonts w:ascii="標楷體" w:eastAsia="標楷體" w:hAnsi="標楷體" w:cs="標楷體" w:hint="eastAsia"/>
          <w:b/>
          <w:sz w:val="36"/>
          <w:szCs w:val="36"/>
        </w:rPr>
        <w:lastRenderedPageBreak/>
        <w:t>伍、教育局主管</w:t>
      </w:r>
    </w:p>
    <w:p w14:paraId="1D138925" w14:textId="77777777" w:rsidR="008B713D" w:rsidRDefault="008B713D" w:rsidP="008B713D">
      <w:pPr>
        <w:overflowPunct w:val="0"/>
        <w:spacing w:before="60" w:line="44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教育局主管計有公務機關5個，非營業特種基金單位2個，各該單位決算及附屬單位決算非營業部分之審核情形如次：</w:t>
      </w:r>
    </w:p>
    <w:p w14:paraId="11811202" w14:textId="77777777" w:rsidR="008B713D" w:rsidRDefault="008B713D" w:rsidP="008B713D">
      <w:pPr>
        <w:spacing w:beforeLines="20" w:before="72" w:afterLines="20" w:after="72" w:line="44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一、單位決算部分</w:t>
      </w:r>
    </w:p>
    <w:p w14:paraId="1F9C87BB" w14:textId="77777777" w:rsidR="008B713D" w:rsidRDefault="008B713D" w:rsidP="008B713D">
      <w:pPr>
        <w:overflowPunct w:val="0"/>
        <w:spacing w:line="440" w:lineRule="exact"/>
        <w:ind w:firstLineChars="200" w:firstLine="472"/>
        <w:jc w:val="both"/>
        <w:rPr>
          <w:rFonts w:ascii="標楷體" w:eastAsia="標楷體" w:hAnsi="Times New Roman" w:cs="Times New Roman"/>
          <w:spacing w:val="-2"/>
          <w:szCs w:val="24"/>
        </w:rPr>
      </w:pPr>
      <w:r>
        <w:rPr>
          <w:rFonts w:ascii="標楷體" w:eastAsia="標楷體" w:hAnsi="Times New Roman" w:cs="Times New Roman" w:hint="eastAsia"/>
          <w:spacing w:val="-2"/>
          <w:szCs w:val="24"/>
        </w:rPr>
        <w:t>教育局主管包括教育局、市立圖書館、市立動物園、市立天文科學教育館、家庭教育中心等5個機關（青少年發展暨家庭教育中心於113年6月1日組編修正更名為家庭教育中心），掌理臺北市教育行政、各級學校及社會教育機關指導考核等業務。茲將</w:t>
      </w:r>
      <w:proofErr w:type="gramStart"/>
      <w:r>
        <w:rPr>
          <w:rFonts w:ascii="標楷體" w:eastAsia="標楷體" w:hAnsi="Times New Roman" w:cs="Times New Roman" w:hint="eastAsia"/>
          <w:spacing w:val="-2"/>
          <w:szCs w:val="24"/>
        </w:rPr>
        <w:t>113</w:t>
      </w:r>
      <w:proofErr w:type="gramEnd"/>
      <w:r>
        <w:rPr>
          <w:rFonts w:ascii="標楷體" w:eastAsia="標楷體" w:hAnsi="Times New Roman" w:cs="Times New Roman" w:hint="eastAsia"/>
          <w:spacing w:val="-2"/>
          <w:szCs w:val="24"/>
        </w:rPr>
        <w:t xml:space="preserve">年度決算審核結果說明如次： </w:t>
      </w:r>
    </w:p>
    <w:p w14:paraId="530FE2D4" w14:textId="77777777" w:rsidR="008B713D" w:rsidRDefault="008B713D" w:rsidP="0023124E">
      <w:pPr>
        <w:suppressAutoHyphens/>
        <w:overflowPunct w:val="0"/>
        <w:spacing w:beforeLines="30" w:before="108" w:line="440" w:lineRule="exact"/>
        <w:ind w:leftChars="100" w:left="240"/>
        <w:jc w:val="both"/>
        <w:outlineLvl w:val="1"/>
        <w:rPr>
          <w:rFonts w:ascii="標楷體" w:eastAsia="標楷體" w:hAnsi="Times New Roman" w:cs="Times New Roman"/>
          <w:b/>
          <w:sz w:val="28"/>
          <w:szCs w:val="28"/>
        </w:rPr>
      </w:pPr>
      <w:r>
        <w:rPr>
          <w:rFonts w:ascii="標楷體" w:eastAsia="標楷體" w:hAnsi="Times New Roman" w:cs="Times New Roman" w:hint="eastAsia"/>
          <w:b/>
          <w:sz w:val="28"/>
          <w:szCs w:val="28"/>
        </w:rPr>
        <w:t>（一）計畫實施之查核</w:t>
      </w:r>
    </w:p>
    <w:p w14:paraId="237DCD50" w14:textId="77777777" w:rsidR="008B713D" w:rsidRDefault="008B713D" w:rsidP="008B713D">
      <w:pPr>
        <w:overflowPunct w:val="0"/>
        <w:spacing w:line="42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業務計畫21項，下分工作計畫37項，包括提升幼兒教育品質，健全友善育兒支持體系、完備共融教育資源，優化特殊教育服務、推動新科技教育，建置智慧數位科技校園、優化午餐食材品質、營造安全友善校園、打造技職教育人才、提供多元國際學習環境、</w:t>
      </w:r>
      <w:proofErr w:type="gramStart"/>
      <w:r>
        <w:rPr>
          <w:rFonts w:ascii="標楷體" w:eastAsia="標楷體" w:hAnsi="Times New Roman" w:cs="Times New Roman" w:hint="eastAsia"/>
          <w:szCs w:val="24"/>
        </w:rPr>
        <w:t>發展樂齡及</w:t>
      </w:r>
      <w:proofErr w:type="gramEnd"/>
      <w:r>
        <w:rPr>
          <w:rFonts w:ascii="標楷體" w:eastAsia="標楷體" w:hAnsi="Times New Roman" w:cs="Times New Roman" w:hint="eastAsia"/>
          <w:szCs w:val="24"/>
        </w:rPr>
        <w:t>永續學習城市等重要施政項目，其中已執行完成者31項，尚在執行者6項，</w:t>
      </w:r>
      <w:r>
        <w:rPr>
          <w:rFonts w:ascii="標楷體" w:eastAsia="標楷體" w:hAnsi="標楷體" w:cs="Times New Roman" w:hint="eastAsia"/>
          <w:szCs w:val="24"/>
        </w:rPr>
        <w:t>主要係市立</w:t>
      </w:r>
      <w:proofErr w:type="gramStart"/>
      <w:r>
        <w:rPr>
          <w:rFonts w:ascii="標楷體" w:eastAsia="標楷體" w:hAnsi="標楷體" w:cs="Times New Roman" w:hint="eastAsia"/>
          <w:szCs w:val="24"/>
        </w:rPr>
        <w:t>圖書館</w:t>
      </w:r>
      <w:r>
        <w:rPr>
          <w:rFonts w:ascii="標楷體" w:eastAsia="標楷體" w:hAnsi="標楷體" w:hint="eastAsia"/>
          <w:noProof/>
          <w:szCs w:val="24"/>
        </w:rPr>
        <w:t>參建臺北市</w:t>
      </w:r>
      <w:proofErr w:type="gramEnd"/>
      <w:r>
        <w:rPr>
          <w:rFonts w:ascii="標楷體" w:eastAsia="標楷體" w:hAnsi="標楷體" w:hint="eastAsia"/>
          <w:noProof/>
          <w:szCs w:val="24"/>
        </w:rPr>
        <w:t>音樂與圖書中心工程及辦理康寧分館合署大樓新建工程，與家庭教育中心辦理外牆拉皮防水塗料整修工程等，尚在執行中</w:t>
      </w:r>
      <w:r>
        <w:rPr>
          <w:rFonts w:ascii="標楷體" w:eastAsia="標楷體" w:hAnsi="標楷體" w:cs="Times New Roman" w:hint="eastAsia"/>
          <w:szCs w:val="24"/>
        </w:rPr>
        <w:t>，須保留繼續執行。</w:t>
      </w:r>
    </w:p>
    <w:p w14:paraId="2C3A37ED" w14:textId="77777777" w:rsidR="008B713D" w:rsidRDefault="008B713D" w:rsidP="0023124E">
      <w:pPr>
        <w:suppressAutoHyphens/>
        <w:overflowPunct w:val="0"/>
        <w:spacing w:beforeLines="30" w:before="108" w:line="440" w:lineRule="exact"/>
        <w:ind w:leftChars="100" w:left="240"/>
        <w:jc w:val="both"/>
        <w:outlineLvl w:val="1"/>
        <w:rPr>
          <w:rFonts w:ascii="標楷體" w:eastAsia="標楷體" w:hAnsi="Times New Roman" w:cs="Times New Roman"/>
          <w:b/>
          <w:sz w:val="28"/>
          <w:szCs w:val="28"/>
        </w:rPr>
      </w:pPr>
      <w:r>
        <w:rPr>
          <w:rFonts w:ascii="標楷體" w:eastAsia="標楷體" w:hAnsi="Times New Roman" w:cs="Times New Roman" w:hint="eastAsia"/>
          <w:b/>
          <w:sz w:val="28"/>
          <w:szCs w:val="28"/>
        </w:rPr>
        <w:t>（二）預算執行之審核</w:t>
      </w:r>
    </w:p>
    <w:p w14:paraId="50804BF9" w14:textId="3962E46A" w:rsidR="008B713D" w:rsidRDefault="008B713D" w:rsidP="0023124E">
      <w:pPr>
        <w:overflowPunct w:val="0"/>
        <w:spacing w:beforeLines="20" w:before="72" w:line="44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1.歲入原編列預算數</w:t>
      </w:r>
      <w:r>
        <w:rPr>
          <w:rFonts w:ascii="標楷體" w:eastAsia="標楷體" w:hAnsi="標楷體" w:hint="eastAsia"/>
          <w:kern w:val="0"/>
          <w:szCs w:val="24"/>
        </w:rPr>
        <w:t>2億5,057萬餘元</w:t>
      </w:r>
      <w:r>
        <w:rPr>
          <w:rFonts w:ascii="標楷體" w:eastAsia="標楷體" w:hAnsi="標楷體" w:cs="Times New Roman" w:hint="eastAsia"/>
          <w:szCs w:val="24"/>
        </w:rPr>
        <w:t>，經追加預算</w:t>
      </w:r>
      <w:r>
        <w:rPr>
          <w:rFonts w:ascii="標楷體" w:eastAsia="標楷體" w:hAnsi="標楷體" w:hint="eastAsia"/>
          <w:kern w:val="0"/>
          <w:szCs w:val="24"/>
        </w:rPr>
        <w:t>7億1,016萬餘元，追減預算1,489萬元</w:t>
      </w:r>
      <w:r>
        <w:rPr>
          <w:rFonts w:ascii="標楷體" w:eastAsia="標楷體" w:hAnsi="標楷體" w:cs="Times New Roman" w:hint="eastAsia"/>
          <w:szCs w:val="24"/>
        </w:rPr>
        <w:t>，合計</w:t>
      </w:r>
      <w:r>
        <w:rPr>
          <w:rFonts w:ascii="標楷體" w:eastAsia="標楷體" w:hAnsi="標楷體" w:hint="eastAsia"/>
          <w:kern w:val="0"/>
          <w:szCs w:val="24"/>
        </w:rPr>
        <w:t>9億4,585萬餘元</w:t>
      </w:r>
      <w:r>
        <w:rPr>
          <w:rFonts w:ascii="標楷體" w:eastAsia="標楷體" w:hAnsi="標楷體" w:cs="Times New Roman" w:hint="eastAsia"/>
          <w:szCs w:val="24"/>
        </w:rPr>
        <w:t>，決算審核結果，審定實現數</w:t>
      </w:r>
      <w:r>
        <w:rPr>
          <w:rFonts w:ascii="標楷體" w:eastAsia="標楷體" w:hAnsi="標楷體" w:hint="eastAsia"/>
          <w:kern w:val="0"/>
          <w:szCs w:val="24"/>
        </w:rPr>
        <w:t>9億2,658萬餘元</w:t>
      </w:r>
      <w:r>
        <w:rPr>
          <w:rFonts w:ascii="標楷體" w:eastAsia="標楷體" w:hAnsi="標楷體" w:cs="Times New Roman" w:hint="eastAsia"/>
          <w:szCs w:val="24"/>
        </w:rPr>
        <w:t>，應收保留數</w:t>
      </w:r>
      <w:r>
        <w:rPr>
          <w:rFonts w:ascii="標楷體" w:eastAsia="標楷體" w:hAnsi="標楷體" w:hint="eastAsia"/>
          <w:kern w:val="0"/>
          <w:szCs w:val="24"/>
        </w:rPr>
        <w:t>3,836萬餘元</w:t>
      </w:r>
      <w:r>
        <w:rPr>
          <w:rFonts w:ascii="標楷體" w:eastAsia="標楷體" w:hAnsi="標楷體" w:cs="Times New Roman" w:hint="eastAsia"/>
          <w:szCs w:val="24"/>
        </w:rPr>
        <w:t>，主要係教育部補助辦理公立國民中小學老舊廁所整修等工程經費，依實際執行進度申撥款項；合計決算審定數</w:t>
      </w:r>
      <w:r>
        <w:rPr>
          <w:rFonts w:ascii="標楷體" w:eastAsia="標楷體" w:hAnsi="標楷體" w:hint="eastAsia"/>
          <w:kern w:val="0"/>
          <w:szCs w:val="24"/>
        </w:rPr>
        <w:t>9億6,494萬餘元，較預算增加1,909萬餘元（2.02％）</w:t>
      </w:r>
      <w:r>
        <w:rPr>
          <w:rFonts w:ascii="標楷體" w:eastAsia="標楷體" w:hAnsi="標楷體" w:cs="Times New Roman" w:hint="eastAsia"/>
          <w:szCs w:val="24"/>
        </w:rPr>
        <w:t>，主要係教育局收回推動中小學數位學習精進方案－111年中小學實施計畫賸餘款，及轄管部分教育財團法人解散清算剩餘財產繳庫</w:t>
      </w:r>
      <w:r w:rsidR="004B480D">
        <w:rPr>
          <w:rFonts w:ascii="標楷體" w:eastAsia="標楷體" w:hAnsi="標楷體" w:cs="Times New Roman" w:hint="eastAsia"/>
          <w:szCs w:val="24"/>
        </w:rPr>
        <w:t>，</w:t>
      </w:r>
      <w:r>
        <w:rPr>
          <w:rFonts w:ascii="標楷體" w:eastAsia="標楷體" w:hAnsi="標楷體" w:hint="eastAsia"/>
          <w:noProof/>
          <w:szCs w:val="24"/>
        </w:rPr>
        <w:t>原未編列預算，暨市立天文科學教育館場地設施使用費收入較預計增加</w:t>
      </w:r>
      <w:r>
        <w:rPr>
          <w:rFonts w:ascii="標楷體" w:eastAsia="標楷體" w:hAnsi="標楷體" w:cs="Times New Roman" w:hint="eastAsia"/>
          <w:szCs w:val="24"/>
        </w:rPr>
        <w:t>等所致。</w:t>
      </w:r>
    </w:p>
    <w:p w14:paraId="64EF773B" w14:textId="77777777" w:rsidR="008B713D" w:rsidRDefault="008B713D" w:rsidP="0023124E">
      <w:pPr>
        <w:overflowPunct w:val="0"/>
        <w:spacing w:beforeLines="20" w:before="72" w:line="44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2.以前年度</w:t>
      </w:r>
      <w:r w:rsidRPr="0023124E">
        <w:rPr>
          <w:rFonts w:ascii="標楷體" w:eastAsia="標楷體" w:hAnsi="標楷體" w:hint="eastAsia"/>
          <w:kern w:val="0"/>
          <w:szCs w:val="24"/>
        </w:rPr>
        <w:t>歲入</w:t>
      </w:r>
      <w:r>
        <w:rPr>
          <w:rFonts w:ascii="標楷體" w:eastAsia="標楷體" w:hAnsi="Times New Roman" w:cs="Times New Roman" w:hint="eastAsia"/>
          <w:szCs w:val="24"/>
        </w:rPr>
        <w:t>轉入數計</w:t>
      </w:r>
      <w:r w:rsidRPr="0023124E">
        <w:rPr>
          <w:rFonts w:ascii="標楷體" w:eastAsia="標楷體" w:hAnsi="標楷體" w:cs="Times New Roman" w:hint="eastAsia"/>
          <w:szCs w:val="24"/>
        </w:rPr>
        <w:t>140</w:t>
      </w:r>
      <w:r>
        <w:rPr>
          <w:rFonts w:ascii="標楷體" w:eastAsia="標楷體" w:hAnsi="標楷體" w:hint="eastAsia"/>
          <w:kern w:val="0"/>
          <w:szCs w:val="24"/>
        </w:rPr>
        <w:t>萬餘元</w:t>
      </w:r>
      <w:r>
        <w:rPr>
          <w:rFonts w:ascii="標楷體" w:eastAsia="標楷體" w:hAnsi="Times New Roman" w:cs="Times New Roman" w:hint="eastAsia"/>
          <w:szCs w:val="24"/>
        </w:rPr>
        <w:t>，決算審核結果，審定實現數</w:t>
      </w:r>
      <w:r>
        <w:rPr>
          <w:rFonts w:ascii="標楷體" w:eastAsia="標楷體" w:hAnsi="標楷體" w:hint="eastAsia"/>
          <w:kern w:val="0"/>
          <w:szCs w:val="24"/>
        </w:rPr>
        <w:t>140萬餘元（100.00％）</w:t>
      </w:r>
      <w:r>
        <w:rPr>
          <w:rFonts w:ascii="標楷體" w:eastAsia="標楷體" w:hAnsi="Times New Roman" w:cs="Times New Roman" w:hint="eastAsia"/>
          <w:szCs w:val="24"/>
        </w:rPr>
        <w:t>。</w:t>
      </w:r>
    </w:p>
    <w:p w14:paraId="51BE023A" w14:textId="77777777" w:rsidR="008B713D" w:rsidRDefault="008B713D" w:rsidP="0023124E">
      <w:pPr>
        <w:overflowPunct w:val="0"/>
        <w:spacing w:beforeLines="20" w:before="72" w:line="440" w:lineRule="exact"/>
        <w:ind w:firstLineChars="200" w:firstLine="480"/>
        <w:jc w:val="both"/>
        <w:rPr>
          <w:rFonts w:ascii="標楷體" w:eastAsia="標楷體" w:hAnsi="標楷體" w:cs="Times New Roman"/>
          <w:szCs w:val="24"/>
        </w:rPr>
      </w:pPr>
      <w:r>
        <w:rPr>
          <w:rFonts w:ascii="標楷體" w:eastAsia="標楷體" w:hAnsi="Times New Roman" w:cs="Times New Roman" w:hint="eastAsia"/>
          <w:szCs w:val="24"/>
        </w:rPr>
        <w:t>3.</w:t>
      </w:r>
      <w:r>
        <w:rPr>
          <w:rFonts w:ascii="標楷體" w:eastAsia="標楷體" w:hAnsi="Times New Roman" w:cs="Times New Roman" w:hint="eastAsia"/>
          <w:spacing w:val="2"/>
          <w:szCs w:val="24"/>
        </w:rPr>
        <w:t>歲出原編列預算數</w:t>
      </w:r>
      <w:r>
        <w:rPr>
          <w:rFonts w:ascii="標楷體" w:eastAsia="標楷體" w:hAnsi="標楷體" w:hint="eastAsia"/>
          <w:kern w:val="0"/>
          <w:szCs w:val="24"/>
        </w:rPr>
        <w:t>638億6,575萬餘元，經追加預算17億2,130萬餘元，追減預算1億601萬餘元</w:t>
      </w:r>
      <w:r>
        <w:rPr>
          <w:rFonts w:ascii="標楷體" w:eastAsia="標楷體" w:hAnsi="標楷體" w:cs="Times New Roman" w:hint="eastAsia"/>
          <w:szCs w:val="24"/>
          <w:lang w:eastAsia="zh-HK"/>
        </w:rPr>
        <w:t>，</w:t>
      </w:r>
      <w:r>
        <w:rPr>
          <w:rFonts w:ascii="標楷體" w:eastAsia="標楷體" w:hAnsi="標楷體" w:hint="eastAsia"/>
          <w:kern w:val="0"/>
          <w:szCs w:val="24"/>
        </w:rPr>
        <w:t>並因</w:t>
      </w:r>
      <w:r>
        <w:rPr>
          <w:rFonts w:ascii="標楷體" w:eastAsia="標楷體" w:hAnsi="標楷體" w:hint="eastAsia"/>
        </w:rPr>
        <w:t>辦理113學年度第1學期</w:t>
      </w:r>
      <w:proofErr w:type="gramStart"/>
      <w:r>
        <w:rPr>
          <w:rFonts w:ascii="標楷體" w:eastAsia="標楷體" w:hAnsi="標楷體" w:hint="eastAsia"/>
        </w:rPr>
        <w:t>高中職免學費</w:t>
      </w:r>
      <w:proofErr w:type="gramEnd"/>
      <w:r>
        <w:rPr>
          <w:rFonts w:ascii="標楷體" w:eastAsia="標楷體" w:hAnsi="標楷體" w:hint="eastAsia"/>
        </w:rPr>
        <w:t>、建教合作專班及實用技能學程學生補助所需經費不足</w:t>
      </w:r>
      <w:r>
        <w:rPr>
          <w:rFonts w:ascii="標楷體" w:eastAsia="標楷體" w:hAnsi="標楷體" w:hint="eastAsia"/>
          <w:kern w:val="0"/>
          <w:szCs w:val="24"/>
        </w:rPr>
        <w:t>等事由，經動支第二預備金9,317萬餘元，暨市立圖書館、市立動物園及</w:t>
      </w:r>
      <w:r>
        <w:rPr>
          <w:rFonts w:ascii="標楷體" w:eastAsia="標楷體" w:hAnsi="標楷體" w:hint="eastAsia"/>
          <w:noProof/>
          <w:kern w:val="0"/>
          <w:szCs w:val="24"/>
        </w:rPr>
        <w:t>市立天文科學教育館</w:t>
      </w:r>
      <w:r>
        <w:rPr>
          <w:rFonts w:ascii="標楷體" w:eastAsia="標楷體" w:hAnsi="標楷體" w:hint="eastAsia"/>
          <w:kern w:val="0"/>
          <w:szCs w:val="24"/>
        </w:rPr>
        <w:t>因人事費不足申請動支各類員工待遇準備3,459萬餘元，合計656億881萬餘元，決算審核結果，審定實現數654億7,672萬餘元（99.80％），應付保留數1億1,000萬餘元（0.17％），保留原因詳「（一）計畫實施之查核」說明；合計決算審定數為655億8,672萬餘元，預算賸餘2,208萬餘元（0.03％），</w:t>
      </w:r>
      <w:r>
        <w:rPr>
          <w:rFonts w:ascii="標楷體" w:eastAsia="標楷體" w:hAnsi="Times New Roman" w:cs="Times New Roman" w:hint="eastAsia"/>
          <w:spacing w:val="2"/>
          <w:szCs w:val="24"/>
        </w:rPr>
        <w:t>主要係各項業務依實際需要支用之賸餘。</w:t>
      </w:r>
    </w:p>
    <w:p w14:paraId="01684537" w14:textId="77777777" w:rsidR="008B713D" w:rsidRDefault="008B713D" w:rsidP="000E4E99">
      <w:pPr>
        <w:overflowPunct w:val="0"/>
        <w:spacing w:beforeLines="20" w:before="72" w:line="42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lastRenderedPageBreak/>
        <w:t>4.以前年度歲出轉入數計</w:t>
      </w:r>
      <w:r>
        <w:rPr>
          <w:rFonts w:ascii="標楷體" w:eastAsia="標楷體" w:hAnsi="標楷體" w:hint="eastAsia"/>
          <w:kern w:val="0"/>
          <w:szCs w:val="24"/>
        </w:rPr>
        <w:t>1億9,383萬餘元</w:t>
      </w:r>
      <w:r>
        <w:rPr>
          <w:rFonts w:ascii="標楷體" w:eastAsia="標楷體" w:hAnsi="Times New Roman" w:cs="Times New Roman" w:hint="eastAsia"/>
          <w:szCs w:val="24"/>
        </w:rPr>
        <w:t>，決算審核結果，審定實現數</w:t>
      </w:r>
      <w:r>
        <w:rPr>
          <w:rFonts w:ascii="標楷體" w:eastAsia="標楷體" w:hAnsi="標楷體" w:hint="eastAsia"/>
          <w:kern w:val="0"/>
          <w:szCs w:val="24"/>
        </w:rPr>
        <w:t>9,976萬餘元（51.47％）；減免（註銷）數4萬餘元（0.02％）</w:t>
      </w:r>
      <w:r>
        <w:rPr>
          <w:rFonts w:ascii="標楷體" w:eastAsia="標楷體" w:hAnsi="Times New Roman" w:cs="Times New Roman" w:hint="eastAsia"/>
          <w:szCs w:val="24"/>
        </w:rPr>
        <w:t>，主要係市立圖書館</w:t>
      </w:r>
      <w:r>
        <w:rPr>
          <w:rFonts w:ascii="標楷體" w:eastAsia="標楷體" w:hAnsi="標楷體" w:hint="eastAsia"/>
          <w:noProof/>
        </w:rPr>
        <w:t>西湖分館外掛式無障礙電梯工程之委託技術服務費已保留屆滿4年仍未能實現，依規定列為註銷數處理</w:t>
      </w:r>
      <w:r>
        <w:rPr>
          <w:rFonts w:ascii="標楷體" w:eastAsia="標楷體" w:hAnsi="Times New Roman" w:cs="Times New Roman" w:hint="eastAsia"/>
          <w:szCs w:val="24"/>
        </w:rPr>
        <w:t>；應付保留數</w:t>
      </w:r>
      <w:r>
        <w:rPr>
          <w:rFonts w:ascii="標楷體" w:eastAsia="標楷體" w:hAnsi="標楷體" w:hint="eastAsia"/>
          <w:kern w:val="0"/>
          <w:szCs w:val="24"/>
        </w:rPr>
        <w:t>9,401萬餘元（48.51％）</w:t>
      </w:r>
      <w:r>
        <w:rPr>
          <w:rFonts w:ascii="標楷體" w:eastAsia="標楷體" w:hAnsi="Times New Roman" w:cs="Times New Roman" w:hint="eastAsia"/>
          <w:szCs w:val="24"/>
        </w:rPr>
        <w:t>，主要係市立圖書館辦理康寧</w:t>
      </w:r>
      <w:proofErr w:type="gramStart"/>
      <w:r>
        <w:rPr>
          <w:rFonts w:ascii="標楷體" w:eastAsia="標楷體" w:hAnsi="Times New Roman" w:cs="Times New Roman" w:hint="eastAsia"/>
          <w:szCs w:val="24"/>
        </w:rPr>
        <w:t>分館合署</w:t>
      </w:r>
      <w:proofErr w:type="gramEnd"/>
      <w:r>
        <w:rPr>
          <w:rFonts w:ascii="標楷體" w:eastAsia="標楷體" w:hAnsi="Times New Roman" w:cs="Times New Roman" w:hint="eastAsia"/>
          <w:szCs w:val="24"/>
        </w:rPr>
        <w:t>大樓新建及士林分館裝修等工程尚在執行中，須保留繼續執行。</w:t>
      </w:r>
    </w:p>
    <w:p w14:paraId="1833EFCD" w14:textId="77777777" w:rsidR="008B713D" w:rsidRDefault="008B713D" w:rsidP="008B713D">
      <w:pPr>
        <w:spacing w:beforeLines="20" w:before="72" w:afterLines="20" w:after="72" w:line="46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二、附屬單位決算非營業部分</w:t>
      </w:r>
    </w:p>
    <w:p w14:paraId="1B835462" w14:textId="77777777" w:rsidR="008B713D" w:rsidRDefault="008B713D" w:rsidP="008B713D">
      <w:pPr>
        <w:overflowPunct w:val="0"/>
        <w:spacing w:line="450" w:lineRule="exact"/>
        <w:ind w:firstLineChars="200" w:firstLine="472"/>
        <w:jc w:val="both"/>
        <w:rPr>
          <w:rFonts w:ascii="標楷體" w:eastAsia="標楷體" w:hAnsi="Times New Roman" w:cs="Times New Roman"/>
          <w:spacing w:val="-2"/>
          <w:szCs w:val="24"/>
        </w:rPr>
      </w:pPr>
      <w:r>
        <w:rPr>
          <w:rFonts w:ascii="標楷體" w:eastAsia="標楷體" w:hAnsi="Times New Roman" w:cs="Times New Roman" w:hint="eastAsia"/>
          <w:spacing w:val="-2"/>
          <w:szCs w:val="24"/>
        </w:rPr>
        <w:t>教育局主管包括（一）作業基金：臺北市立大學校務發展基金；（二）特別收入基金：臺北市地方教育發展基金</w:t>
      </w:r>
      <w:r>
        <w:rPr>
          <w:rFonts w:ascii="標楷體" w:eastAsia="標楷體" w:hAnsi="標楷體" w:hint="eastAsia"/>
          <w:spacing w:val="-2"/>
          <w:szCs w:val="32"/>
        </w:rPr>
        <w:t>（含教育局等252個分基金，其中臺北市中正區忠義國民小學於113年8月1日轉型並更名為臺北市忠義實驗國民小學）</w:t>
      </w:r>
      <w:r>
        <w:rPr>
          <w:rFonts w:ascii="標楷體" w:eastAsia="標楷體" w:hAnsi="Times New Roman" w:cs="Times New Roman" w:hint="eastAsia"/>
          <w:spacing w:val="-2"/>
          <w:szCs w:val="24"/>
        </w:rPr>
        <w:t>等共2個單位。茲將</w:t>
      </w:r>
      <w:proofErr w:type="gramStart"/>
      <w:r>
        <w:rPr>
          <w:rFonts w:ascii="標楷體" w:eastAsia="標楷體" w:hAnsi="Times New Roman" w:cs="Times New Roman" w:hint="eastAsia"/>
          <w:spacing w:val="-2"/>
          <w:szCs w:val="24"/>
        </w:rPr>
        <w:t>113</w:t>
      </w:r>
      <w:proofErr w:type="gramEnd"/>
      <w:r>
        <w:rPr>
          <w:rFonts w:ascii="標楷體" w:eastAsia="標楷體" w:hAnsi="Times New Roman" w:cs="Times New Roman" w:hint="eastAsia"/>
          <w:spacing w:val="-2"/>
          <w:szCs w:val="24"/>
        </w:rPr>
        <w:t>年度決算審核結果說明如次：</w:t>
      </w:r>
    </w:p>
    <w:p w14:paraId="1848E877" w14:textId="77777777" w:rsidR="008B713D" w:rsidRDefault="008B713D" w:rsidP="0023124E">
      <w:pPr>
        <w:suppressAutoHyphens/>
        <w:overflowPunct w:val="0"/>
        <w:spacing w:beforeLines="30" w:before="108" w:line="420" w:lineRule="exact"/>
        <w:ind w:leftChars="100" w:left="240"/>
        <w:jc w:val="both"/>
        <w:outlineLvl w:val="1"/>
        <w:rPr>
          <w:rFonts w:ascii="標楷體" w:eastAsia="標楷體" w:hAnsi="Times New Roman" w:cs="Times New Roman"/>
          <w:b/>
          <w:sz w:val="28"/>
          <w:szCs w:val="28"/>
        </w:rPr>
      </w:pPr>
      <w:r>
        <w:rPr>
          <w:rFonts w:ascii="標楷體" w:eastAsia="標楷體" w:hAnsi="Times New Roman" w:cs="Times New Roman" w:hint="eastAsia"/>
          <w:b/>
          <w:sz w:val="28"/>
          <w:szCs w:val="28"/>
        </w:rPr>
        <w:t>（一）計畫實施之查核</w:t>
      </w:r>
    </w:p>
    <w:p w14:paraId="400AE98C" w14:textId="77777777" w:rsidR="008B713D" w:rsidRDefault="008B713D" w:rsidP="008B713D">
      <w:pPr>
        <w:overflowPunct w:val="0"/>
        <w:spacing w:line="45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業務（營運）計畫主要有</w:t>
      </w:r>
      <w:proofErr w:type="gramStart"/>
      <w:r>
        <w:rPr>
          <w:rFonts w:ascii="標楷體" w:eastAsia="標楷體" w:hAnsi="Times New Roman" w:cs="Times New Roman" w:hint="eastAsia"/>
          <w:szCs w:val="24"/>
          <w:lang w:eastAsia="zh-HK"/>
        </w:rPr>
        <w:t>教學訓</w:t>
      </w:r>
      <w:proofErr w:type="gramEnd"/>
      <w:r>
        <w:rPr>
          <w:rFonts w:ascii="標楷體" w:eastAsia="標楷體" w:hAnsi="Times New Roman" w:cs="Times New Roman" w:hint="eastAsia"/>
          <w:szCs w:val="24"/>
          <w:lang w:eastAsia="zh-HK"/>
        </w:rPr>
        <w:t>輔</w:t>
      </w:r>
      <w:r>
        <w:rPr>
          <w:rFonts w:ascii="標楷體" w:eastAsia="標楷體" w:hAnsi="Times New Roman" w:cs="Times New Roman" w:hint="eastAsia"/>
          <w:szCs w:val="24"/>
        </w:rPr>
        <w:t>、高等教育、高中及高職教育、國民教育、學前教育、特殊教育、社會教育、體育及衛生教育、訓練教育及其他教育計畫等10項，實施結果，有高等教育、社會教育、訓練教育計畫等3項</w:t>
      </w:r>
      <w:r>
        <w:rPr>
          <w:rFonts w:ascii="標楷體" w:eastAsia="標楷體" w:hAnsi="標楷體" w:cs="Times New Roman" w:hint="eastAsia"/>
          <w:szCs w:val="24"/>
        </w:rPr>
        <w:t>，或因講課鐘點費、補助及獎勵社區大學等經費</w:t>
      </w:r>
      <w:proofErr w:type="gramStart"/>
      <w:r>
        <w:rPr>
          <w:rFonts w:ascii="標楷體" w:eastAsia="標楷體" w:hAnsi="標楷體" w:cs="Times New Roman" w:hint="eastAsia"/>
          <w:szCs w:val="24"/>
        </w:rPr>
        <w:t>覈實列</w:t>
      </w:r>
      <w:proofErr w:type="gramEnd"/>
      <w:r>
        <w:rPr>
          <w:rFonts w:ascii="標楷體" w:eastAsia="標楷體" w:hAnsi="標楷體" w:cs="Times New Roman" w:hint="eastAsia"/>
          <w:szCs w:val="24"/>
        </w:rPr>
        <w:t>支，或因</w:t>
      </w:r>
      <w:r>
        <w:rPr>
          <w:rFonts w:ascii="標楷體" w:eastAsia="標楷體" w:hAnsi="標楷體" w:cs="新細明體" w:hint="eastAsia"/>
          <w:spacing w:val="-4"/>
          <w:szCs w:val="24"/>
        </w:rPr>
        <w:t>優質學校之獲獎件數較預計減少等</w:t>
      </w:r>
      <w:r>
        <w:rPr>
          <w:rFonts w:ascii="標楷體" w:eastAsia="標楷體" w:hAnsi="Times New Roman" w:cs="Times New Roman" w:hint="eastAsia"/>
          <w:szCs w:val="24"/>
        </w:rPr>
        <w:t>，致未達預計目標。</w:t>
      </w:r>
    </w:p>
    <w:p w14:paraId="7DAE668D" w14:textId="77777777" w:rsidR="008B713D" w:rsidRDefault="008B713D" w:rsidP="008B713D">
      <w:pPr>
        <w:suppressAutoHyphens/>
        <w:overflowPunct w:val="0"/>
        <w:spacing w:line="450" w:lineRule="exact"/>
        <w:ind w:leftChars="100" w:left="240"/>
        <w:jc w:val="both"/>
        <w:outlineLvl w:val="1"/>
        <w:rPr>
          <w:rFonts w:ascii="標楷體" w:eastAsia="標楷體" w:hAnsi="Times New Roman" w:cs="Times New Roman"/>
          <w:b/>
          <w:sz w:val="28"/>
          <w:szCs w:val="28"/>
        </w:rPr>
      </w:pPr>
      <w:r>
        <w:rPr>
          <w:rFonts w:ascii="標楷體" w:eastAsia="標楷體" w:hAnsi="Times New Roman" w:cs="Times New Roman" w:hint="eastAsia"/>
          <w:b/>
          <w:sz w:val="28"/>
          <w:szCs w:val="28"/>
        </w:rPr>
        <w:t>（二）餘</w:t>
      </w:r>
      <w:proofErr w:type="gramStart"/>
      <w:r>
        <w:rPr>
          <w:rFonts w:ascii="標楷體" w:eastAsia="標楷體" w:hAnsi="Times New Roman" w:cs="Times New Roman" w:hint="eastAsia"/>
          <w:b/>
          <w:sz w:val="28"/>
          <w:szCs w:val="28"/>
        </w:rPr>
        <w:t>絀</w:t>
      </w:r>
      <w:proofErr w:type="gramEnd"/>
      <w:r>
        <w:rPr>
          <w:rFonts w:ascii="標楷體" w:eastAsia="標楷體" w:hAnsi="Times New Roman" w:cs="Times New Roman" w:hint="eastAsia"/>
          <w:b/>
          <w:sz w:val="28"/>
          <w:szCs w:val="28"/>
        </w:rPr>
        <w:t>之審定</w:t>
      </w:r>
    </w:p>
    <w:p w14:paraId="26A12AB5" w14:textId="77777777" w:rsidR="008B713D" w:rsidRDefault="008B713D" w:rsidP="008B713D">
      <w:pPr>
        <w:tabs>
          <w:tab w:val="left" w:pos="993"/>
        </w:tabs>
        <w:overflowPunct w:val="0"/>
        <w:spacing w:line="45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b/>
          <w:szCs w:val="24"/>
        </w:rPr>
        <w:t>1.作業基金：</w:t>
      </w:r>
      <w:r>
        <w:rPr>
          <w:rFonts w:ascii="標楷體" w:eastAsia="標楷體" w:hAnsi="Times New Roman" w:cs="Times New Roman" w:hint="eastAsia"/>
          <w:szCs w:val="24"/>
        </w:rPr>
        <w:t>決算審核結果，審定短</w:t>
      </w:r>
      <w:proofErr w:type="gramStart"/>
      <w:r>
        <w:rPr>
          <w:rFonts w:ascii="標楷體" w:eastAsia="標楷體" w:hAnsi="Times New Roman" w:cs="Times New Roman" w:hint="eastAsia"/>
          <w:szCs w:val="24"/>
        </w:rPr>
        <w:t>絀</w:t>
      </w:r>
      <w:proofErr w:type="gramEnd"/>
      <w:r>
        <w:rPr>
          <w:rFonts w:ascii="標楷體" w:eastAsia="標楷體" w:hAnsi="Times New Roman" w:cs="Times New Roman" w:hint="eastAsia"/>
          <w:szCs w:val="24"/>
        </w:rPr>
        <w:t>6,819萬餘元，較預算短</w:t>
      </w:r>
      <w:proofErr w:type="gramStart"/>
      <w:r>
        <w:rPr>
          <w:rFonts w:ascii="標楷體" w:eastAsia="標楷體" w:hAnsi="Times New Roman" w:cs="Times New Roman" w:hint="eastAsia"/>
          <w:szCs w:val="24"/>
        </w:rPr>
        <w:t>絀</w:t>
      </w:r>
      <w:proofErr w:type="gramEnd"/>
      <w:r>
        <w:rPr>
          <w:rFonts w:ascii="標楷體" w:eastAsia="標楷體" w:hAnsi="Times New Roman" w:cs="Times New Roman" w:hint="eastAsia"/>
          <w:szCs w:val="24"/>
        </w:rPr>
        <w:t>1億6,792萬餘元，減少9,972萬餘元，約59.39％，主要係教育部補助高等教育深耕計畫、學生校內住宿補貼等收入較預計增加所致</w:t>
      </w:r>
      <w:r>
        <w:rPr>
          <w:rFonts w:ascii="標楷體" w:eastAsia="標楷體" w:hAnsi="標楷體" w:hint="eastAsia"/>
          <w:szCs w:val="32"/>
        </w:rPr>
        <w:t>。</w:t>
      </w:r>
    </w:p>
    <w:p w14:paraId="0FF0226C" w14:textId="77777777" w:rsidR="008B713D" w:rsidRDefault="008B713D" w:rsidP="008B713D">
      <w:pPr>
        <w:overflowPunct w:val="0"/>
        <w:spacing w:line="450" w:lineRule="exact"/>
        <w:ind w:firstLineChars="200" w:firstLine="480"/>
        <w:jc w:val="both"/>
        <w:rPr>
          <w:rFonts w:ascii="標楷體" w:eastAsia="標楷體" w:hAnsi="Times New Roman" w:cs="Times New Roman"/>
          <w:b/>
          <w:sz w:val="32"/>
          <w:szCs w:val="32"/>
        </w:rPr>
      </w:pPr>
      <w:r>
        <w:rPr>
          <w:rFonts w:ascii="標楷體" w:eastAsia="標楷體" w:hAnsi="Times New Roman" w:cs="Times New Roman" w:hint="eastAsia"/>
          <w:b/>
          <w:szCs w:val="24"/>
        </w:rPr>
        <w:t>2.特別收入基金：</w:t>
      </w:r>
      <w:r>
        <w:rPr>
          <w:rFonts w:ascii="標楷體" w:eastAsia="標楷體" w:hAnsi="Times New Roman" w:cs="Times New Roman" w:hint="eastAsia"/>
          <w:spacing w:val="-2"/>
          <w:szCs w:val="24"/>
        </w:rPr>
        <w:t>決算審核結果，</w:t>
      </w:r>
      <w:r>
        <w:rPr>
          <w:rFonts w:ascii="標楷體" w:eastAsia="標楷體" w:hAnsi="標楷體" w:hint="eastAsia"/>
          <w:spacing w:val="-2"/>
          <w:szCs w:val="32"/>
        </w:rPr>
        <w:t>修正增列基金來源6,350萬餘元，係收回以前</w:t>
      </w:r>
      <w:proofErr w:type="gramStart"/>
      <w:r>
        <w:rPr>
          <w:rFonts w:ascii="標楷體" w:eastAsia="標楷體" w:hAnsi="標楷體" w:hint="eastAsia"/>
          <w:spacing w:val="-2"/>
          <w:szCs w:val="32"/>
        </w:rPr>
        <w:t>年度溢列辦理</w:t>
      </w:r>
      <w:proofErr w:type="gramEnd"/>
      <w:r>
        <w:rPr>
          <w:rFonts w:ascii="標楷體" w:eastAsia="標楷體" w:hAnsi="標楷體" w:hint="eastAsia"/>
          <w:spacing w:val="-2"/>
          <w:szCs w:val="32"/>
        </w:rPr>
        <w:t>青年留學生就學貸款補助信用保證專款支出；</w:t>
      </w:r>
      <w:r>
        <w:rPr>
          <w:rFonts w:ascii="標楷體" w:eastAsia="標楷體" w:hAnsi="Times New Roman" w:cs="Times New Roman" w:hint="eastAsia"/>
          <w:spacing w:val="-2"/>
          <w:szCs w:val="24"/>
        </w:rPr>
        <w:t>審定</w:t>
      </w:r>
      <w:r>
        <w:rPr>
          <w:rFonts w:ascii="標楷體" w:eastAsia="標楷體" w:hAnsi="標楷體" w:hint="eastAsia"/>
          <w:spacing w:val="-2"/>
          <w:szCs w:val="32"/>
        </w:rPr>
        <w:t>賸餘</w:t>
      </w:r>
      <w:r>
        <w:rPr>
          <w:rFonts w:ascii="標楷體" w:eastAsia="標楷體" w:hAnsi="Times New Roman" w:cs="Times New Roman" w:hint="eastAsia"/>
          <w:spacing w:val="-2"/>
          <w:szCs w:val="24"/>
        </w:rPr>
        <w:t>15億94萬餘元，較預算無餘</w:t>
      </w:r>
      <w:proofErr w:type="gramStart"/>
      <w:r>
        <w:rPr>
          <w:rFonts w:ascii="標楷體" w:eastAsia="標楷體" w:hAnsi="Times New Roman" w:cs="Times New Roman" w:hint="eastAsia"/>
          <w:spacing w:val="-2"/>
          <w:szCs w:val="24"/>
        </w:rPr>
        <w:t>絀</w:t>
      </w:r>
      <w:proofErr w:type="gramEnd"/>
      <w:r>
        <w:rPr>
          <w:rFonts w:ascii="標楷體" w:eastAsia="標楷體" w:hAnsi="Times New Roman" w:cs="Times New Roman" w:hint="eastAsia"/>
          <w:spacing w:val="-2"/>
          <w:szCs w:val="24"/>
        </w:rPr>
        <w:t>，增加15億94萬餘元</w:t>
      </w:r>
      <w:r>
        <w:rPr>
          <w:rFonts w:ascii="標楷體" w:eastAsia="標楷體" w:hAnsi="標楷體" w:cs="Times New Roman" w:hint="eastAsia"/>
          <w:spacing w:val="-2"/>
          <w:szCs w:val="24"/>
        </w:rPr>
        <w:t>，</w:t>
      </w:r>
      <w:r>
        <w:rPr>
          <w:rFonts w:ascii="標楷體" w:eastAsia="標楷體" w:hAnsi="Times New Roman" w:cs="Times New Roman" w:hint="eastAsia"/>
          <w:spacing w:val="-2"/>
          <w:szCs w:val="24"/>
        </w:rPr>
        <w:t>主要係</w:t>
      </w:r>
      <w:proofErr w:type="gramStart"/>
      <w:r>
        <w:rPr>
          <w:rFonts w:ascii="標楷體" w:eastAsia="標楷體" w:hAnsi="Times New Roman" w:cs="Times New Roman" w:hint="eastAsia"/>
          <w:spacing w:val="-2"/>
          <w:szCs w:val="24"/>
        </w:rPr>
        <w:t>113</w:t>
      </w:r>
      <w:proofErr w:type="gramEnd"/>
      <w:r>
        <w:rPr>
          <w:rFonts w:ascii="標楷體" w:eastAsia="標楷體" w:hAnsi="Times New Roman" w:cs="Times New Roman" w:hint="eastAsia"/>
          <w:spacing w:val="-2"/>
          <w:szCs w:val="24"/>
        </w:rPr>
        <w:t>年度退休人員退撫給與給付調增所需經費改由中央補助辦理等所致。</w:t>
      </w:r>
    </w:p>
    <w:p w14:paraId="0A653359" w14:textId="77777777" w:rsidR="008B713D" w:rsidRDefault="008B713D" w:rsidP="008B713D">
      <w:pPr>
        <w:spacing w:before="200" w:after="120" w:line="46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三、重要審核意見</w:t>
      </w:r>
    </w:p>
    <w:p w14:paraId="676F93F4" w14:textId="77777777" w:rsidR="008B713D" w:rsidRDefault="008B713D" w:rsidP="00A03FBC">
      <w:pPr>
        <w:suppressAutoHyphens/>
        <w:overflowPunct w:val="0"/>
        <w:spacing w:line="460" w:lineRule="exact"/>
        <w:ind w:firstLineChars="100" w:firstLine="280"/>
        <w:jc w:val="both"/>
        <w:outlineLvl w:val="1"/>
        <w:rPr>
          <w:rFonts w:ascii="標楷體" w:eastAsia="標楷體" w:hAnsi="標楷體"/>
          <w:b/>
          <w:sz w:val="28"/>
          <w:szCs w:val="28"/>
        </w:rPr>
      </w:pPr>
      <w:r>
        <w:rPr>
          <w:rFonts w:ascii="標楷體" w:eastAsia="標楷體" w:hAnsi="標楷體" w:hint="eastAsia"/>
          <w:b/>
          <w:sz w:val="28"/>
          <w:szCs w:val="28"/>
        </w:rPr>
        <w:t>（一）為改善臺北市立國中小代理教師居高不下問題，已積極盤點正式教師缺額並辦理甄選作業，惟整體懸缺代理教師比率仍超逾規定上限，且國小代理教師擔任導師比率近</w:t>
      </w:r>
      <w:proofErr w:type="gramStart"/>
      <w:r>
        <w:rPr>
          <w:rFonts w:ascii="標楷體" w:eastAsia="標楷體" w:hAnsi="標楷體" w:hint="eastAsia"/>
          <w:b/>
          <w:sz w:val="28"/>
          <w:szCs w:val="28"/>
        </w:rPr>
        <w:t>5成</w:t>
      </w:r>
      <w:proofErr w:type="gramEnd"/>
      <w:r>
        <w:rPr>
          <w:rFonts w:ascii="標楷體" w:eastAsia="標楷體" w:hAnsi="標楷體" w:hint="eastAsia"/>
          <w:b/>
          <w:sz w:val="28"/>
          <w:szCs w:val="28"/>
        </w:rPr>
        <w:t>，均有待</w:t>
      </w:r>
      <w:proofErr w:type="gramStart"/>
      <w:r>
        <w:rPr>
          <w:rFonts w:ascii="標楷體" w:eastAsia="標楷體" w:hAnsi="標楷體" w:hint="eastAsia"/>
          <w:b/>
          <w:sz w:val="28"/>
          <w:szCs w:val="28"/>
        </w:rPr>
        <w:t>研</w:t>
      </w:r>
      <w:proofErr w:type="gramEnd"/>
      <w:r>
        <w:rPr>
          <w:rFonts w:ascii="標楷體" w:eastAsia="標楷體" w:hAnsi="標楷體" w:hint="eastAsia"/>
          <w:b/>
          <w:sz w:val="28"/>
          <w:szCs w:val="28"/>
        </w:rPr>
        <w:t>謀改善，以維護學生權益，穩定班級經營。</w:t>
      </w:r>
    </w:p>
    <w:p w14:paraId="2D272FFC" w14:textId="77777777" w:rsidR="00EE0035" w:rsidRDefault="008B713D" w:rsidP="009B46E9">
      <w:pPr>
        <w:overflowPunct w:val="0"/>
        <w:spacing w:line="460" w:lineRule="exact"/>
        <w:ind w:firstLineChars="200" w:firstLine="472"/>
        <w:jc w:val="both"/>
        <w:rPr>
          <w:rFonts w:ascii="標楷體" w:eastAsia="標楷體" w:hAnsi="標楷體"/>
          <w:spacing w:val="-2"/>
        </w:rPr>
      </w:pPr>
      <w:r>
        <w:rPr>
          <w:rFonts w:ascii="標楷體" w:eastAsia="標楷體" w:hAnsi="標楷體" w:hint="eastAsia"/>
          <w:spacing w:val="-2"/>
        </w:rPr>
        <w:t>教育局為改善近年因應</w:t>
      </w:r>
      <w:proofErr w:type="gramStart"/>
      <w:r>
        <w:rPr>
          <w:rFonts w:ascii="標楷體" w:eastAsia="標楷體" w:hAnsi="標楷體" w:hint="eastAsia"/>
          <w:spacing w:val="-2"/>
        </w:rPr>
        <w:t>少子化控</w:t>
      </w:r>
      <w:proofErr w:type="gramEnd"/>
      <w:r>
        <w:rPr>
          <w:rFonts w:ascii="標楷體" w:eastAsia="標楷體" w:hAnsi="標楷體" w:hint="eastAsia"/>
          <w:spacing w:val="-2"/>
        </w:rPr>
        <w:t>管所屬國中小教師員額，及配合100年所得稅法修正後，國民中小學教師恢復課稅而採取「降低授課節數」之配套措施，由教育部專案補助增置編制外教學人力等因素，大量聘任代理教師，截至111至112學年度教育現場之代理教師人數仍居高不下，已從原本臨時性轉變長期替代專任教師工作，衍生影響學生受教權及正式教師開缺偏少，造成師</w:t>
      </w:r>
      <w:r w:rsidRPr="00EE0035">
        <w:rPr>
          <w:rFonts w:ascii="標楷體" w:eastAsia="標楷體" w:hAnsi="標楷體" w:hint="eastAsia"/>
        </w:rPr>
        <w:t>資人才流失等訾議，111至113年度於臺北市地方教育發展基金累計編列預算1,899萬餘元，積</w:t>
      </w:r>
    </w:p>
    <w:p w14:paraId="3E8BE171" w14:textId="73A57284" w:rsidR="008B713D" w:rsidRPr="00EE0035" w:rsidRDefault="008B713D" w:rsidP="00EE0035">
      <w:pPr>
        <w:overflowPunct w:val="0"/>
        <w:spacing w:line="470" w:lineRule="exact"/>
        <w:jc w:val="both"/>
        <w:rPr>
          <w:rFonts w:ascii="標楷體" w:eastAsia="標楷體" w:hAnsi="標楷體"/>
        </w:rPr>
      </w:pPr>
      <w:r w:rsidRPr="00EE0035">
        <w:rPr>
          <w:rFonts w:ascii="標楷體" w:eastAsia="標楷體" w:hAnsi="標楷體" w:hint="eastAsia"/>
        </w:rPr>
        <w:lastRenderedPageBreak/>
        <w:t>極盤點所屬國中小各學年度正式教師缺額，並辦理正式教師聯合甄選（下稱教</w:t>
      </w:r>
      <w:proofErr w:type="gramStart"/>
      <w:r w:rsidRPr="00EE0035">
        <w:rPr>
          <w:rFonts w:ascii="標楷體" w:eastAsia="標楷體" w:hAnsi="標楷體" w:hint="eastAsia"/>
        </w:rPr>
        <w:t>甄</w:t>
      </w:r>
      <w:proofErr w:type="gramEnd"/>
      <w:r w:rsidRPr="00EE0035">
        <w:rPr>
          <w:rFonts w:ascii="標楷體" w:eastAsia="標楷體" w:hAnsi="標楷體" w:hint="eastAsia"/>
        </w:rPr>
        <w:t>）作業，以落實專長授課。經查該局及所屬學校辦理教</w:t>
      </w:r>
      <w:proofErr w:type="gramStart"/>
      <w:r w:rsidRPr="00EE0035">
        <w:rPr>
          <w:rFonts w:ascii="標楷體" w:eastAsia="標楷體" w:hAnsi="標楷體" w:hint="eastAsia"/>
        </w:rPr>
        <w:t>甄</w:t>
      </w:r>
      <w:proofErr w:type="gramEnd"/>
      <w:r w:rsidRPr="00EE0035">
        <w:rPr>
          <w:rFonts w:ascii="標楷體" w:eastAsia="標楷體" w:hAnsi="標楷體" w:hint="eastAsia"/>
        </w:rPr>
        <w:t>作業及代理教師人力運用情形，核有下列事項：</w:t>
      </w:r>
    </w:p>
    <w:p w14:paraId="1B50DC6E" w14:textId="77777777" w:rsidR="00EE0035" w:rsidRDefault="008B713D" w:rsidP="00EE0035">
      <w:pPr>
        <w:widowControl/>
        <w:overflowPunct w:val="0"/>
        <w:spacing w:beforeLines="20" w:before="72" w:line="454" w:lineRule="exact"/>
        <w:ind w:firstLineChars="200" w:firstLine="480"/>
        <w:jc w:val="both"/>
        <w:rPr>
          <w:rFonts w:ascii="標楷體" w:eastAsia="標楷體" w:hAnsi="標楷體"/>
        </w:rPr>
      </w:pPr>
      <w:r w:rsidRPr="00EE0035">
        <w:rPr>
          <w:rFonts w:hint="eastAsia"/>
          <w:noProof/>
        </w:rPr>
        <mc:AlternateContent>
          <mc:Choice Requires="wps">
            <w:drawing>
              <wp:anchor distT="45720" distB="45720" distL="114300" distR="114300" simplePos="0" relativeHeight="251693056" behindDoc="1" locked="0" layoutInCell="1" allowOverlap="1" wp14:anchorId="390B40B8" wp14:editId="434C1E01">
                <wp:simplePos x="0" y="0"/>
                <wp:positionH relativeFrom="margin">
                  <wp:posOffset>2647950</wp:posOffset>
                </wp:positionH>
                <wp:positionV relativeFrom="page">
                  <wp:posOffset>3643630</wp:posOffset>
                </wp:positionV>
                <wp:extent cx="3671570" cy="2367280"/>
                <wp:effectExtent l="0" t="0" r="5080" b="0"/>
                <wp:wrapTight wrapText="bothSides">
                  <wp:wrapPolygon edited="0">
                    <wp:start x="0" y="0"/>
                    <wp:lineTo x="0" y="21380"/>
                    <wp:lineTo x="21518" y="21380"/>
                    <wp:lineTo x="21518" y="0"/>
                    <wp:lineTo x="0" y="0"/>
                  </wp:wrapPolygon>
                </wp:wrapTight>
                <wp:docPr id="36" name="文字方塊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1570" cy="2367280"/>
                        </a:xfrm>
                        <a:prstGeom prst="rect">
                          <a:avLst/>
                        </a:prstGeom>
                        <a:solidFill>
                          <a:srgbClr val="FFFFFF"/>
                        </a:solidFill>
                        <a:ln w="9525">
                          <a:noFill/>
                          <a:miter lim="800000"/>
                          <a:headEnd/>
                          <a:tailEnd/>
                        </a:ln>
                      </wps:spPr>
                      <wps:txbx>
                        <w:txbxContent>
                          <w:p w14:paraId="39FFF6AE" w14:textId="77777777" w:rsidR="008B713D" w:rsidRDefault="008B713D" w:rsidP="0089089B">
                            <w:pPr>
                              <w:spacing w:line="240" w:lineRule="exact"/>
                              <w:ind w:leftChars="-50" w:left="-120" w:rightChars="-50" w:right="-120"/>
                              <w:jc w:val="center"/>
                              <w:rPr>
                                <w:rFonts w:ascii="標楷體" w:eastAsia="標楷體" w:hAnsi="標楷體"/>
                                <w:b/>
                                <w:bCs/>
                              </w:rPr>
                            </w:pPr>
                            <w:r>
                              <w:rPr>
                                <w:rFonts w:ascii="標楷體" w:eastAsia="標楷體" w:hAnsi="標楷體" w:hint="eastAsia"/>
                                <w:b/>
                                <w:bCs/>
                              </w:rPr>
                              <w:t xml:space="preserve">表1　</w:t>
                            </w:r>
                            <w:r>
                              <w:rPr>
                                <w:rFonts w:ascii="標楷體" w:eastAsia="標楷體" w:hAnsi="標楷體" w:hint="eastAsia"/>
                                <w:b/>
                                <w:bCs/>
                                <w:spacing w:val="-6"/>
                              </w:rPr>
                              <w:t>臺北市立國中小教</w:t>
                            </w:r>
                            <w:proofErr w:type="gramStart"/>
                            <w:r>
                              <w:rPr>
                                <w:rFonts w:ascii="標楷體" w:eastAsia="標楷體" w:hAnsi="標楷體" w:hint="eastAsia"/>
                                <w:b/>
                                <w:bCs/>
                                <w:spacing w:val="-6"/>
                              </w:rPr>
                              <w:t>甄缺額及懸缺</w:t>
                            </w:r>
                            <w:proofErr w:type="gramEnd"/>
                            <w:r>
                              <w:rPr>
                                <w:rFonts w:ascii="標楷體" w:eastAsia="標楷體" w:hAnsi="標楷體" w:hint="eastAsia"/>
                                <w:b/>
                                <w:bCs/>
                                <w:spacing w:val="-6"/>
                              </w:rPr>
                              <w:t>代理教師占比情形</w:t>
                            </w:r>
                          </w:p>
                          <w:p w14:paraId="2BA73EB0" w14:textId="77777777" w:rsidR="008B713D" w:rsidRDefault="008B713D" w:rsidP="008B713D">
                            <w:pPr>
                              <w:spacing w:line="220" w:lineRule="exact"/>
                              <w:ind w:rightChars="-50" w:right="-120"/>
                              <w:jc w:val="right"/>
                              <w:rPr>
                                <w:rFonts w:ascii="標楷體" w:eastAsia="標楷體" w:hAnsi="標楷體"/>
                                <w:sz w:val="20"/>
                                <w:szCs w:val="20"/>
                              </w:rPr>
                            </w:pPr>
                            <w:r>
                              <w:rPr>
                                <w:rFonts w:ascii="標楷體" w:eastAsia="標楷體" w:hAnsi="標楷體" w:hint="eastAsia"/>
                                <w:sz w:val="20"/>
                                <w:szCs w:val="20"/>
                              </w:rPr>
                              <w:t>單位：人、％、校</w:t>
                            </w:r>
                          </w:p>
                          <w:tbl>
                            <w:tblPr>
                              <w:tblStyle w:val="a6"/>
                              <w:tblW w:w="5748" w:type="dxa"/>
                              <w:jc w:val="center"/>
                              <w:tblLook w:val="04A0" w:firstRow="1" w:lastRow="0" w:firstColumn="1" w:lastColumn="0" w:noHBand="0" w:noVBand="1"/>
                            </w:tblPr>
                            <w:tblGrid>
                              <w:gridCol w:w="600"/>
                              <w:gridCol w:w="510"/>
                              <w:gridCol w:w="561"/>
                              <w:gridCol w:w="561"/>
                              <w:gridCol w:w="681"/>
                              <w:gridCol w:w="735"/>
                              <w:gridCol w:w="624"/>
                              <w:gridCol w:w="737"/>
                              <w:gridCol w:w="739"/>
                            </w:tblGrid>
                            <w:tr w:rsidR="008B713D" w14:paraId="4846DC7A" w14:textId="77777777">
                              <w:trPr>
                                <w:jc w:val="center"/>
                              </w:trPr>
                              <w:tc>
                                <w:tcPr>
                                  <w:tcW w:w="600" w:type="dxa"/>
                                  <w:vMerge w:val="restart"/>
                                  <w:tcBorders>
                                    <w:top w:val="single" w:sz="4" w:space="0" w:color="auto"/>
                                    <w:left w:val="single" w:sz="4" w:space="0" w:color="auto"/>
                                    <w:bottom w:val="single" w:sz="4" w:space="0" w:color="auto"/>
                                    <w:right w:val="single" w:sz="4" w:space="0" w:color="auto"/>
                                  </w:tcBorders>
                                  <w:vAlign w:val="center"/>
                                  <w:hideMark/>
                                </w:tcPr>
                                <w:p w14:paraId="4A1CB8BC"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學制</w:t>
                                  </w:r>
                                </w:p>
                              </w:tc>
                              <w:tc>
                                <w:tcPr>
                                  <w:tcW w:w="510" w:type="dxa"/>
                                  <w:vMerge w:val="restart"/>
                                  <w:tcBorders>
                                    <w:top w:val="single" w:sz="4" w:space="0" w:color="auto"/>
                                    <w:left w:val="single" w:sz="4" w:space="0" w:color="auto"/>
                                    <w:bottom w:val="single" w:sz="4" w:space="0" w:color="auto"/>
                                    <w:right w:val="single" w:sz="4" w:space="0" w:color="auto"/>
                                  </w:tcBorders>
                                  <w:vAlign w:val="center"/>
                                  <w:hideMark/>
                                </w:tcPr>
                                <w:p w14:paraId="4AE7D31F" w14:textId="77777777" w:rsidR="008B713D" w:rsidRDefault="008B713D">
                                  <w:pPr>
                                    <w:spacing w:line="220" w:lineRule="exact"/>
                                    <w:ind w:leftChars="-40" w:left="-96" w:rightChars="-40" w:right="-96"/>
                                    <w:jc w:val="center"/>
                                    <w:rPr>
                                      <w:rFonts w:ascii="標楷體" w:eastAsia="標楷體" w:hAnsi="標楷體"/>
                                      <w:spacing w:val="-20"/>
                                    </w:rPr>
                                  </w:pPr>
                                  <w:r>
                                    <w:rPr>
                                      <w:rFonts w:ascii="標楷體" w:eastAsia="標楷體" w:hAnsi="標楷體" w:hint="eastAsia"/>
                                      <w:spacing w:val="-20"/>
                                    </w:rPr>
                                    <w:t>學年度</w:t>
                                  </w:r>
                                </w:p>
                              </w:tc>
                              <w:tc>
                                <w:tcPr>
                                  <w:tcW w:w="1803" w:type="dxa"/>
                                  <w:gridSpan w:val="3"/>
                                  <w:tcBorders>
                                    <w:top w:val="single" w:sz="4" w:space="0" w:color="auto"/>
                                    <w:left w:val="single" w:sz="4" w:space="0" w:color="auto"/>
                                    <w:bottom w:val="single" w:sz="4" w:space="0" w:color="auto"/>
                                    <w:right w:val="double" w:sz="4" w:space="0" w:color="auto"/>
                                  </w:tcBorders>
                                  <w:vAlign w:val="center"/>
                                  <w:hideMark/>
                                </w:tcPr>
                                <w:p w14:paraId="3A9B2966"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教</w:t>
                                  </w:r>
                                  <w:proofErr w:type="gramStart"/>
                                  <w:r>
                                    <w:rPr>
                                      <w:rFonts w:ascii="標楷體" w:eastAsia="標楷體" w:hAnsi="標楷體" w:hint="eastAsia"/>
                                    </w:rPr>
                                    <w:t>甄</w:t>
                                  </w:r>
                                  <w:proofErr w:type="gramEnd"/>
                                  <w:r>
                                    <w:rPr>
                                      <w:rFonts w:ascii="標楷體" w:eastAsia="標楷體" w:hAnsi="標楷體" w:hint="eastAsia"/>
                                    </w:rPr>
                                    <w:t>辦理情形</w:t>
                                  </w:r>
                                </w:p>
                              </w:tc>
                              <w:tc>
                                <w:tcPr>
                                  <w:tcW w:w="2835" w:type="dxa"/>
                                  <w:gridSpan w:val="4"/>
                                  <w:tcBorders>
                                    <w:top w:val="single" w:sz="4" w:space="0" w:color="auto"/>
                                    <w:left w:val="double" w:sz="4" w:space="0" w:color="auto"/>
                                    <w:bottom w:val="single" w:sz="4" w:space="0" w:color="auto"/>
                                    <w:right w:val="single" w:sz="4" w:space="0" w:color="auto"/>
                                  </w:tcBorders>
                                  <w:vAlign w:val="center"/>
                                  <w:hideMark/>
                                </w:tcPr>
                                <w:p w14:paraId="6D8FFF6D"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懸缺代理情形</w:t>
                                  </w:r>
                                </w:p>
                              </w:tc>
                            </w:tr>
                            <w:tr w:rsidR="008B713D" w14:paraId="4AE7951A"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85131A" w14:textId="77777777" w:rsidR="008B713D" w:rsidRDefault="008B713D">
                                  <w:pPr>
                                    <w:widowControl/>
                                    <w:rPr>
                                      <w:rFonts w:ascii="標楷體" w:eastAsia="標楷體" w:hAnsi="標楷體"/>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3AC408" w14:textId="77777777" w:rsidR="008B713D" w:rsidRDefault="008B713D">
                                  <w:pPr>
                                    <w:widowControl/>
                                    <w:rPr>
                                      <w:rFonts w:ascii="標楷體" w:eastAsia="標楷體" w:hAnsi="標楷體"/>
                                      <w:spacing w:val="-20"/>
                                    </w:rPr>
                                  </w:pPr>
                                </w:p>
                              </w:tc>
                              <w:tc>
                                <w:tcPr>
                                  <w:tcW w:w="561" w:type="dxa"/>
                                  <w:vMerge w:val="restart"/>
                                  <w:tcBorders>
                                    <w:top w:val="single" w:sz="4" w:space="0" w:color="auto"/>
                                    <w:left w:val="single" w:sz="4" w:space="0" w:color="auto"/>
                                    <w:bottom w:val="single" w:sz="4" w:space="0" w:color="auto"/>
                                    <w:right w:val="single" w:sz="4" w:space="0" w:color="auto"/>
                                  </w:tcBorders>
                                  <w:vAlign w:val="center"/>
                                  <w:hideMark/>
                                </w:tcPr>
                                <w:p w14:paraId="6E7F3CD9"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核定招考人數</w:t>
                                  </w:r>
                                </w:p>
                                <w:p w14:paraId="224E37C9" w14:textId="77777777" w:rsidR="008B713D" w:rsidRDefault="008B713D">
                                  <w:pPr>
                                    <w:spacing w:line="220" w:lineRule="exact"/>
                                    <w:ind w:leftChars="-40" w:left="-96" w:rightChars="-40" w:right="-96"/>
                                    <w:jc w:val="center"/>
                                    <w:rPr>
                                      <w:rFonts w:ascii="標楷體" w:eastAsia="標楷體" w:hAnsi="標楷體"/>
                                      <w:spacing w:val="-20"/>
                                    </w:rPr>
                                  </w:pPr>
                                  <w:r>
                                    <w:rPr>
                                      <w:rFonts w:ascii="標楷體" w:eastAsia="標楷體" w:hAnsi="標楷體" w:hint="eastAsia"/>
                                      <w:spacing w:val="-20"/>
                                    </w:rPr>
                                    <w:t>（A）</w:t>
                                  </w:r>
                                </w:p>
                              </w:tc>
                              <w:tc>
                                <w:tcPr>
                                  <w:tcW w:w="561" w:type="dxa"/>
                                  <w:vMerge w:val="restart"/>
                                  <w:tcBorders>
                                    <w:top w:val="single" w:sz="4" w:space="0" w:color="auto"/>
                                    <w:left w:val="single" w:sz="4" w:space="0" w:color="auto"/>
                                    <w:bottom w:val="single" w:sz="4" w:space="0" w:color="auto"/>
                                    <w:right w:val="single" w:sz="4" w:space="0" w:color="auto"/>
                                  </w:tcBorders>
                                  <w:vAlign w:val="center"/>
                                  <w:hideMark/>
                                </w:tcPr>
                                <w:p w14:paraId="2DBEE3AD"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錄取報到人數</w:t>
                                  </w:r>
                                </w:p>
                                <w:p w14:paraId="0F312C88" w14:textId="77777777" w:rsidR="008B713D" w:rsidRDefault="008B713D">
                                  <w:pPr>
                                    <w:spacing w:line="220" w:lineRule="exact"/>
                                    <w:ind w:leftChars="-40" w:left="-96" w:rightChars="-40" w:right="-96"/>
                                    <w:jc w:val="center"/>
                                    <w:rPr>
                                      <w:rFonts w:ascii="標楷體" w:eastAsia="標楷體" w:hAnsi="標楷體"/>
                                      <w:spacing w:val="-20"/>
                                    </w:rPr>
                                  </w:pPr>
                                  <w:r>
                                    <w:rPr>
                                      <w:rFonts w:ascii="標楷體" w:eastAsia="標楷體" w:hAnsi="標楷體" w:hint="eastAsia"/>
                                      <w:spacing w:val="-20"/>
                                    </w:rPr>
                                    <w:t>（B）</w:t>
                                  </w:r>
                                </w:p>
                              </w:tc>
                              <w:tc>
                                <w:tcPr>
                                  <w:tcW w:w="681" w:type="dxa"/>
                                  <w:vMerge w:val="restart"/>
                                  <w:tcBorders>
                                    <w:top w:val="single" w:sz="4" w:space="0" w:color="auto"/>
                                    <w:left w:val="single" w:sz="4" w:space="0" w:color="auto"/>
                                    <w:bottom w:val="single" w:sz="4" w:space="0" w:color="auto"/>
                                    <w:right w:val="double" w:sz="4" w:space="0" w:color="auto"/>
                                  </w:tcBorders>
                                  <w:vAlign w:val="center"/>
                                  <w:hideMark/>
                                </w:tcPr>
                                <w:p w14:paraId="6C861839"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錄取</w:t>
                                  </w:r>
                                </w:p>
                                <w:p w14:paraId="6F5C3319" w14:textId="0B2EBCEB"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報到率（B</w:t>
                                  </w:r>
                                  <w:r w:rsidR="00D54B42">
                                    <w:rPr>
                                      <w:rFonts w:ascii="標楷體" w:eastAsia="標楷體" w:hAnsi="標楷體" w:cs="新細明體" w:hint="eastAsia"/>
                                      <w:color w:val="000000"/>
                                    </w:rPr>
                                    <w:t>/</w:t>
                                  </w:r>
                                  <w:r>
                                    <w:rPr>
                                      <w:rFonts w:ascii="標楷體" w:eastAsia="標楷體" w:hAnsi="標楷體" w:hint="eastAsia"/>
                                    </w:rPr>
                                    <w:t>A×100）</w:t>
                                  </w:r>
                                </w:p>
                              </w:tc>
                              <w:tc>
                                <w:tcPr>
                                  <w:tcW w:w="735" w:type="dxa"/>
                                  <w:vMerge w:val="restart"/>
                                  <w:tcBorders>
                                    <w:top w:val="single" w:sz="4" w:space="0" w:color="auto"/>
                                    <w:left w:val="double" w:sz="4" w:space="0" w:color="auto"/>
                                    <w:bottom w:val="single" w:sz="4" w:space="0" w:color="auto"/>
                                    <w:right w:val="single" w:sz="4" w:space="0" w:color="auto"/>
                                  </w:tcBorders>
                                  <w:vAlign w:val="center"/>
                                  <w:hideMark/>
                                </w:tcPr>
                                <w:p w14:paraId="3F21319B" w14:textId="77777777" w:rsidR="008B713D" w:rsidRDefault="008B713D">
                                  <w:pPr>
                                    <w:spacing w:line="220" w:lineRule="exact"/>
                                    <w:ind w:leftChars="-20" w:left="-48" w:rightChars="-20" w:right="-48"/>
                                    <w:jc w:val="center"/>
                                    <w:rPr>
                                      <w:rFonts w:ascii="標楷體" w:eastAsia="標楷體" w:hAnsi="標楷體"/>
                                    </w:rPr>
                                  </w:pPr>
                                  <w:r>
                                    <w:rPr>
                                      <w:rFonts w:ascii="標楷體" w:eastAsia="標楷體" w:hAnsi="標楷體" w:hint="eastAsia"/>
                                    </w:rPr>
                                    <w:t>核定教師員額編制數</w:t>
                                  </w:r>
                                </w:p>
                              </w:tc>
                              <w:tc>
                                <w:tcPr>
                                  <w:tcW w:w="1361" w:type="dxa"/>
                                  <w:gridSpan w:val="2"/>
                                  <w:tcBorders>
                                    <w:top w:val="single" w:sz="4" w:space="0" w:color="auto"/>
                                    <w:left w:val="single" w:sz="4" w:space="0" w:color="auto"/>
                                    <w:bottom w:val="nil"/>
                                    <w:right w:val="single" w:sz="4" w:space="0" w:color="auto"/>
                                  </w:tcBorders>
                                  <w:vAlign w:val="center"/>
                                  <w:hideMark/>
                                </w:tcPr>
                                <w:p w14:paraId="7778D3F5" w14:textId="77777777" w:rsidR="008B713D" w:rsidRDefault="008B713D">
                                  <w:pPr>
                                    <w:spacing w:line="220" w:lineRule="exact"/>
                                    <w:ind w:leftChars="-40" w:left="-96" w:rightChars="-40" w:right="-96"/>
                                    <w:jc w:val="center"/>
                                    <w:rPr>
                                      <w:rFonts w:ascii="標楷體" w:eastAsia="標楷體" w:hAnsi="標楷體"/>
                                      <w:spacing w:val="-20"/>
                                    </w:rPr>
                                  </w:pPr>
                                  <w:r>
                                    <w:rPr>
                                      <w:rFonts w:ascii="標楷體" w:eastAsia="標楷體" w:hAnsi="標楷體" w:hint="eastAsia"/>
                                      <w:spacing w:val="-20"/>
                                    </w:rPr>
                                    <w:t>懸缺代理教師人數</w:t>
                                  </w:r>
                                </w:p>
                              </w:tc>
                              <w:tc>
                                <w:tcPr>
                                  <w:tcW w:w="739" w:type="dxa"/>
                                  <w:vMerge w:val="restart"/>
                                  <w:tcBorders>
                                    <w:top w:val="single" w:sz="4" w:space="0" w:color="auto"/>
                                    <w:left w:val="single" w:sz="4" w:space="0" w:color="auto"/>
                                    <w:bottom w:val="single" w:sz="4" w:space="0" w:color="auto"/>
                                    <w:right w:val="single" w:sz="4" w:space="0" w:color="auto"/>
                                  </w:tcBorders>
                                  <w:vAlign w:val="center"/>
                                  <w:hideMark/>
                                </w:tcPr>
                                <w:p w14:paraId="7168573C" w14:textId="77777777" w:rsidR="008B713D" w:rsidRDefault="008B713D">
                                  <w:pPr>
                                    <w:spacing w:line="220" w:lineRule="exact"/>
                                    <w:ind w:leftChars="-30" w:left="-72" w:rightChars="-30" w:right="-72"/>
                                    <w:jc w:val="both"/>
                                    <w:rPr>
                                      <w:rFonts w:ascii="標楷體" w:eastAsia="標楷體" w:hAnsi="標楷體"/>
                                      <w:spacing w:val="-20"/>
                                    </w:rPr>
                                  </w:pPr>
                                  <w:r>
                                    <w:rPr>
                                      <w:rFonts w:ascii="標楷體" w:eastAsia="標楷體" w:hAnsi="標楷體" w:hint="eastAsia"/>
                                      <w:spacing w:val="-20"/>
                                    </w:rPr>
                                    <w:t>懸缺代理教師比率超過8％之學校數</w:t>
                                  </w:r>
                                </w:p>
                              </w:tc>
                            </w:tr>
                            <w:tr w:rsidR="008B713D" w14:paraId="5F902DE2" w14:textId="77777777">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4FED79" w14:textId="77777777" w:rsidR="008B713D" w:rsidRDefault="008B713D">
                                  <w:pPr>
                                    <w:widowControl/>
                                    <w:rPr>
                                      <w:rFonts w:ascii="標楷體" w:eastAsia="標楷體" w:hAnsi="標楷體"/>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560B6E" w14:textId="77777777" w:rsidR="008B713D" w:rsidRDefault="008B713D">
                                  <w:pPr>
                                    <w:widowControl/>
                                    <w:rPr>
                                      <w:rFonts w:ascii="標楷體" w:eastAsia="標楷體" w:hAnsi="標楷體"/>
                                      <w:spacing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0157F3" w14:textId="77777777" w:rsidR="008B713D" w:rsidRDefault="008B713D">
                                  <w:pPr>
                                    <w:widowControl/>
                                    <w:rPr>
                                      <w:rFonts w:ascii="標楷體" w:eastAsia="標楷體" w:hAnsi="標楷體"/>
                                      <w:spacing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7C8B7" w14:textId="77777777" w:rsidR="008B713D" w:rsidRDefault="008B713D">
                                  <w:pPr>
                                    <w:widowControl/>
                                    <w:rPr>
                                      <w:rFonts w:ascii="標楷體" w:eastAsia="標楷體" w:hAnsi="標楷體"/>
                                      <w:spacing w:val="-20"/>
                                    </w:rPr>
                                  </w:pPr>
                                </w:p>
                              </w:tc>
                              <w:tc>
                                <w:tcPr>
                                  <w:tcW w:w="0" w:type="auto"/>
                                  <w:vMerge/>
                                  <w:tcBorders>
                                    <w:top w:val="single" w:sz="4" w:space="0" w:color="auto"/>
                                    <w:left w:val="single" w:sz="4" w:space="0" w:color="auto"/>
                                    <w:bottom w:val="single" w:sz="4" w:space="0" w:color="auto"/>
                                    <w:right w:val="double" w:sz="4" w:space="0" w:color="auto"/>
                                  </w:tcBorders>
                                  <w:vAlign w:val="center"/>
                                  <w:hideMark/>
                                </w:tcPr>
                                <w:p w14:paraId="19FBDA3E" w14:textId="77777777" w:rsidR="008B713D" w:rsidRDefault="008B713D">
                                  <w:pPr>
                                    <w:widowControl/>
                                    <w:rPr>
                                      <w:rFonts w:ascii="標楷體" w:eastAsia="標楷體" w:hAnsi="標楷體"/>
                                    </w:rPr>
                                  </w:pPr>
                                </w:p>
                              </w:tc>
                              <w:tc>
                                <w:tcPr>
                                  <w:tcW w:w="0" w:type="auto"/>
                                  <w:vMerge/>
                                  <w:tcBorders>
                                    <w:top w:val="single" w:sz="4" w:space="0" w:color="auto"/>
                                    <w:left w:val="double" w:sz="4" w:space="0" w:color="auto"/>
                                    <w:bottom w:val="single" w:sz="4" w:space="0" w:color="auto"/>
                                    <w:right w:val="single" w:sz="4" w:space="0" w:color="auto"/>
                                  </w:tcBorders>
                                  <w:vAlign w:val="center"/>
                                  <w:hideMark/>
                                </w:tcPr>
                                <w:p w14:paraId="6DF0341E" w14:textId="77777777" w:rsidR="008B713D" w:rsidRDefault="008B713D">
                                  <w:pPr>
                                    <w:widowControl/>
                                    <w:rPr>
                                      <w:rFonts w:ascii="標楷體" w:eastAsia="標楷體" w:hAnsi="標楷體"/>
                                    </w:rPr>
                                  </w:pPr>
                                </w:p>
                              </w:tc>
                              <w:tc>
                                <w:tcPr>
                                  <w:tcW w:w="624" w:type="dxa"/>
                                  <w:tcBorders>
                                    <w:top w:val="nil"/>
                                    <w:left w:val="single" w:sz="4" w:space="0" w:color="auto"/>
                                    <w:bottom w:val="single" w:sz="4" w:space="0" w:color="auto"/>
                                    <w:right w:val="single" w:sz="4" w:space="0" w:color="auto"/>
                                  </w:tcBorders>
                                  <w:vAlign w:val="center"/>
                                </w:tcPr>
                                <w:p w14:paraId="330C5A8F" w14:textId="77777777" w:rsidR="008B713D" w:rsidRDefault="008B713D">
                                  <w:pPr>
                                    <w:spacing w:line="220" w:lineRule="exact"/>
                                    <w:ind w:leftChars="-40" w:left="-96" w:rightChars="-40" w:right="-96"/>
                                    <w:jc w:val="center"/>
                                    <w:rPr>
                                      <w:rFonts w:ascii="標楷體" w:eastAsia="標楷體" w:hAnsi="標楷體"/>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7BFAFCEF"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占比</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C6469F" w14:textId="77777777" w:rsidR="008B713D" w:rsidRDefault="008B713D">
                                  <w:pPr>
                                    <w:widowControl/>
                                    <w:rPr>
                                      <w:rFonts w:ascii="標楷體" w:eastAsia="標楷體" w:hAnsi="標楷體"/>
                                      <w:spacing w:val="-20"/>
                                    </w:rPr>
                                  </w:pPr>
                                </w:p>
                              </w:tc>
                            </w:tr>
                            <w:tr w:rsidR="008B713D" w14:paraId="0FE42006" w14:textId="77777777">
                              <w:trPr>
                                <w:jc w:val="center"/>
                              </w:trPr>
                              <w:tc>
                                <w:tcPr>
                                  <w:tcW w:w="600" w:type="dxa"/>
                                  <w:vMerge w:val="restart"/>
                                  <w:tcBorders>
                                    <w:top w:val="single" w:sz="4" w:space="0" w:color="auto"/>
                                    <w:left w:val="single" w:sz="4" w:space="0" w:color="auto"/>
                                    <w:bottom w:val="single" w:sz="4" w:space="0" w:color="auto"/>
                                    <w:right w:val="single" w:sz="4" w:space="0" w:color="auto"/>
                                  </w:tcBorders>
                                  <w:vAlign w:val="center"/>
                                  <w:hideMark/>
                                </w:tcPr>
                                <w:p w14:paraId="393D1510"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國小</w:t>
                                  </w:r>
                                </w:p>
                                <w:p w14:paraId="775DD81B"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spacing w:val="-20"/>
                                    </w:rPr>
                                    <w:t>（</w:t>
                                  </w:r>
                                  <w:proofErr w:type="gramStart"/>
                                  <w:r>
                                    <w:rPr>
                                      <w:rFonts w:ascii="標楷體" w:eastAsia="標楷體" w:hAnsi="標楷體" w:hint="eastAsia"/>
                                      <w:spacing w:val="-20"/>
                                    </w:rPr>
                                    <w:t>註</w:t>
                                  </w:r>
                                  <w:proofErr w:type="gramEnd"/>
                                  <w:r>
                                    <w:rPr>
                                      <w:rFonts w:ascii="標楷體" w:eastAsia="標楷體" w:hAnsi="標楷體" w:hint="eastAsia"/>
                                      <w:spacing w:val="-20"/>
                                    </w:rPr>
                                    <w:t>）</w:t>
                                  </w:r>
                                </w:p>
                              </w:tc>
                              <w:tc>
                                <w:tcPr>
                                  <w:tcW w:w="510" w:type="dxa"/>
                                  <w:tcBorders>
                                    <w:top w:val="single" w:sz="4" w:space="0" w:color="auto"/>
                                    <w:left w:val="single" w:sz="4" w:space="0" w:color="auto"/>
                                    <w:bottom w:val="single" w:sz="4" w:space="0" w:color="auto"/>
                                    <w:right w:val="single" w:sz="4" w:space="0" w:color="auto"/>
                                  </w:tcBorders>
                                  <w:vAlign w:val="center"/>
                                  <w:hideMark/>
                                </w:tcPr>
                                <w:p w14:paraId="66388715"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111</w:t>
                                  </w:r>
                                </w:p>
                              </w:tc>
                              <w:tc>
                                <w:tcPr>
                                  <w:tcW w:w="561" w:type="dxa"/>
                                  <w:tcBorders>
                                    <w:top w:val="single" w:sz="4" w:space="0" w:color="auto"/>
                                    <w:left w:val="single" w:sz="4" w:space="0" w:color="auto"/>
                                    <w:bottom w:val="single" w:sz="4" w:space="0" w:color="auto"/>
                                    <w:right w:val="single" w:sz="4" w:space="0" w:color="auto"/>
                                  </w:tcBorders>
                                  <w:vAlign w:val="center"/>
                                  <w:hideMark/>
                                </w:tcPr>
                                <w:p w14:paraId="21A31376"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381</w:t>
                                  </w:r>
                                </w:p>
                              </w:tc>
                              <w:tc>
                                <w:tcPr>
                                  <w:tcW w:w="561" w:type="dxa"/>
                                  <w:tcBorders>
                                    <w:top w:val="single" w:sz="4" w:space="0" w:color="auto"/>
                                    <w:left w:val="single" w:sz="4" w:space="0" w:color="auto"/>
                                    <w:bottom w:val="single" w:sz="4" w:space="0" w:color="auto"/>
                                    <w:right w:val="single" w:sz="4" w:space="0" w:color="auto"/>
                                  </w:tcBorders>
                                  <w:vAlign w:val="center"/>
                                  <w:hideMark/>
                                </w:tcPr>
                                <w:p w14:paraId="082E5FC0"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231</w:t>
                                  </w:r>
                                </w:p>
                              </w:tc>
                              <w:tc>
                                <w:tcPr>
                                  <w:tcW w:w="681" w:type="dxa"/>
                                  <w:tcBorders>
                                    <w:top w:val="single" w:sz="4" w:space="0" w:color="auto"/>
                                    <w:left w:val="single" w:sz="4" w:space="0" w:color="auto"/>
                                    <w:bottom w:val="single" w:sz="4" w:space="0" w:color="auto"/>
                                    <w:right w:val="double" w:sz="4" w:space="0" w:color="auto"/>
                                  </w:tcBorders>
                                  <w:vAlign w:val="center"/>
                                  <w:hideMark/>
                                </w:tcPr>
                                <w:p w14:paraId="761BFFF8"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60.63</w:t>
                                  </w:r>
                                </w:p>
                              </w:tc>
                              <w:tc>
                                <w:tcPr>
                                  <w:tcW w:w="735" w:type="dxa"/>
                                  <w:tcBorders>
                                    <w:top w:val="single" w:sz="4" w:space="0" w:color="auto"/>
                                    <w:left w:val="double" w:sz="4" w:space="0" w:color="auto"/>
                                    <w:bottom w:val="single" w:sz="4" w:space="0" w:color="auto"/>
                                    <w:right w:val="single" w:sz="4" w:space="0" w:color="auto"/>
                                  </w:tcBorders>
                                  <w:vAlign w:val="center"/>
                                  <w:hideMark/>
                                </w:tcPr>
                                <w:p w14:paraId="2B37C847"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9,208</w:t>
                                  </w:r>
                                </w:p>
                              </w:tc>
                              <w:tc>
                                <w:tcPr>
                                  <w:tcW w:w="624" w:type="dxa"/>
                                  <w:tcBorders>
                                    <w:top w:val="single" w:sz="4" w:space="0" w:color="auto"/>
                                    <w:left w:val="single" w:sz="4" w:space="0" w:color="auto"/>
                                    <w:bottom w:val="single" w:sz="4" w:space="0" w:color="auto"/>
                                    <w:right w:val="single" w:sz="4" w:space="0" w:color="auto"/>
                                  </w:tcBorders>
                                  <w:vAlign w:val="center"/>
                                  <w:hideMark/>
                                </w:tcPr>
                                <w:p w14:paraId="160B16F3"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871</w:t>
                                  </w:r>
                                </w:p>
                              </w:tc>
                              <w:tc>
                                <w:tcPr>
                                  <w:tcW w:w="737" w:type="dxa"/>
                                  <w:tcBorders>
                                    <w:top w:val="single" w:sz="4" w:space="0" w:color="auto"/>
                                    <w:left w:val="single" w:sz="4" w:space="0" w:color="auto"/>
                                    <w:bottom w:val="single" w:sz="4" w:space="0" w:color="auto"/>
                                    <w:right w:val="single" w:sz="4" w:space="0" w:color="auto"/>
                                  </w:tcBorders>
                                  <w:vAlign w:val="center"/>
                                  <w:hideMark/>
                                </w:tcPr>
                                <w:p w14:paraId="427C22DF"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9.46</w:t>
                                  </w:r>
                                </w:p>
                              </w:tc>
                              <w:tc>
                                <w:tcPr>
                                  <w:tcW w:w="739" w:type="dxa"/>
                                  <w:tcBorders>
                                    <w:top w:val="single" w:sz="4" w:space="0" w:color="auto"/>
                                    <w:left w:val="single" w:sz="4" w:space="0" w:color="auto"/>
                                    <w:bottom w:val="single" w:sz="4" w:space="0" w:color="auto"/>
                                    <w:right w:val="single" w:sz="4" w:space="0" w:color="auto"/>
                                  </w:tcBorders>
                                  <w:vAlign w:val="center"/>
                                  <w:hideMark/>
                                </w:tcPr>
                                <w:p w14:paraId="2F52A080"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88</w:t>
                                  </w:r>
                                </w:p>
                              </w:tc>
                            </w:tr>
                            <w:tr w:rsidR="008B713D" w14:paraId="18E6D3E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D51A2" w14:textId="77777777" w:rsidR="008B713D" w:rsidRDefault="008B713D">
                                  <w:pPr>
                                    <w:widowControl/>
                                    <w:rPr>
                                      <w:rFonts w:ascii="標楷體" w:eastAsia="標楷體" w:hAnsi="標楷體"/>
                                    </w:rPr>
                                  </w:pPr>
                                </w:p>
                              </w:tc>
                              <w:tc>
                                <w:tcPr>
                                  <w:tcW w:w="510" w:type="dxa"/>
                                  <w:tcBorders>
                                    <w:top w:val="single" w:sz="4" w:space="0" w:color="auto"/>
                                    <w:left w:val="single" w:sz="4" w:space="0" w:color="auto"/>
                                    <w:bottom w:val="single" w:sz="4" w:space="0" w:color="auto"/>
                                    <w:right w:val="single" w:sz="4" w:space="0" w:color="auto"/>
                                  </w:tcBorders>
                                  <w:vAlign w:val="center"/>
                                  <w:hideMark/>
                                </w:tcPr>
                                <w:p w14:paraId="3D218A52"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112</w:t>
                                  </w:r>
                                </w:p>
                              </w:tc>
                              <w:tc>
                                <w:tcPr>
                                  <w:tcW w:w="561" w:type="dxa"/>
                                  <w:tcBorders>
                                    <w:top w:val="single" w:sz="4" w:space="0" w:color="auto"/>
                                    <w:left w:val="single" w:sz="4" w:space="0" w:color="auto"/>
                                    <w:bottom w:val="single" w:sz="4" w:space="0" w:color="auto"/>
                                    <w:right w:val="single" w:sz="4" w:space="0" w:color="auto"/>
                                  </w:tcBorders>
                                  <w:vAlign w:val="center"/>
                                  <w:hideMark/>
                                </w:tcPr>
                                <w:p w14:paraId="4AC436CB"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467</w:t>
                                  </w:r>
                                </w:p>
                              </w:tc>
                              <w:tc>
                                <w:tcPr>
                                  <w:tcW w:w="561" w:type="dxa"/>
                                  <w:tcBorders>
                                    <w:top w:val="single" w:sz="4" w:space="0" w:color="auto"/>
                                    <w:left w:val="single" w:sz="4" w:space="0" w:color="auto"/>
                                    <w:bottom w:val="single" w:sz="4" w:space="0" w:color="auto"/>
                                    <w:right w:val="single" w:sz="4" w:space="0" w:color="auto"/>
                                  </w:tcBorders>
                                  <w:vAlign w:val="center"/>
                                  <w:hideMark/>
                                </w:tcPr>
                                <w:p w14:paraId="6476DCC4"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269</w:t>
                                  </w:r>
                                </w:p>
                              </w:tc>
                              <w:tc>
                                <w:tcPr>
                                  <w:tcW w:w="681" w:type="dxa"/>
                                  <w:tcBorders>
                                    <w:top w:val="single" w:sz="4" w:space="0" w:color="auto"/>
                                    <w:left w:val="single" w:sz="4" w:space="0" w:color="auto"/>
                                    <w:bottom w:val="single" w:sz="4" w:space="0" w:color="auto"/>
                                    <w:right w:val="double" w:sz="4" w:space="0" w:color="auto"/>
                                  </w:tcBorders>
                                  <w:vAlign w:val="center"/>
                                  <w:hideMark/>
                                </w:tcPr>
                                <w:p w14:paraId="3F002EEF"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57.60</w:t>
                                  </w:r>
                                </w:p>
                              </w:tc>
                              <w:tc>
                                <w:tcPr>
                                  <w:tcW w:w="735" w:type="dxa"/>
                                  <w:tcBorders>
                                    <w:top w:val="single" w:sz="4" w:space="0" w:color="auto"/>
                                    <w:left w:val="double" w:sz="4" w:space="0" w:color="auto"/>
                                    <w:bottom w:val="single" w:sz="4" w:space="0" w:color="auto"/>
                                    <w:right w:val="single" w:sz="4" w:space="0" w:color="auto"/>
                                  </w:tcBorders>
                                  <w:vAlign w:val="center"/>
                                  <w:hideMark/>
                                </w:tcPr>
                                <w:p w14:paraId="0515579A"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9,284</w:t>
                                  </w:r>
                                </w:p>
                              </w:tc>
                              <w:tc>
                                <w:tcPr>
                                  <w:tcW w:w="624" w:type="dxa"/>
                                  <w:tcBorders>
                                    <w:top w:val="single" w:sz="4" w:space="0" w:color="auto"/>
                                    <w:left w:val="single" w:sz="4" w:space="0" w:color="auto"/>
                                    <w:bottom w:val="single" w:sz="4" w:space="0" w:color="auto"/>
                                    <w:right w:val="single" w:sz="4" w:space="0" w:color="auto"/>
                                  </w:tcBorders>
                                  <w:vAlign w:val="center"/>
                                  <w:hideMark/>
                                </w:tcPr>
                                <w:p w14:paraId="1ECE5B15"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943</w:t>
                                  </w:r>
                                </w:p>
                              </w:tc>
                              <w:tc>
                                <w:tcPr>
                                  <w:tcW w:w="737" w:type="dxa"/>
                                  <w:tcBorders>
                                    <w:top w:val="single" w:sz="4" w:space="0" w:color="auto"/>
                                    <w:left w:val="single" w:sz="4" w:space="0" w:color="auto"/>
                                    <w:bottom w:val="single" w:sz="4" w:space="0" w:color="auto"/>
                                    <w:right w:val="single" w:sz="4" w:space="0" w:color="auto"/>
                                  </w:tcBorders>
                                  <w:vAlign w:val="center"/>
                                  <w:hideMark/>
                                </w:tcPr>
                                <w:p w14:paraId="6D88E794"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10.16</w:t>
                                  </w:r>
                                </w:p>
                              </w:tc>
                              <w:tc>
                                <w:tcPr>
                                  <w:tcW w:w="739" w:type="dxa"/>
                                  <w:tcBorders>
                                    <w:top w:val="single" w:sz="4" w:space="0" w:color="auto"/>
                                    <w:left w:val="single" w:sz="4" w:space="0" w:color="auto"/>
                                    <w:bottom w:val="single" w:sz="4" w:space="0" w:color="auto"/>
                                    <w:right w:val="single" w:sz="4" w:space="0" w:color="auto"/>
                                  </w:tcBorders>
                                  <w:vAlign w:val="center"/>
                                  <w:hideMark/>
                                </w:tcPr>
                                <w:p w14:paraId="38290663"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89</w:t>
                                  </w:r>
                                </w:p>
                              </w:tc>
                            </w:tr>
                            <w:tr w:rsidR="008B713D" w14:paraId="3E1B2C6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5C8A94" w14:textId="77777777" w:rsidR="008B713D" w:rsidRDefault="008B713D">
                                  <w:pPr>
                                    <w:widowControl/>
                                    <w:rPr>
                                      <w:rFonts w:ascii="標楷體" w:eastAsia="標楷體" w:hAnsi="標楷體"/>
                                    </w:rPr>
                                  </w:pPr>
                                </w:p>
                              </w:tc>
                              <w:tc>
                                <w:tcPr>
                                  <w:tcW w:w="510" w:type="dxa"/>
                                  <w:tcBorders>
                                    <w:top w:val="single" w:sz="4" w:space="0" w:color="auto"/>
                                    <w:left w:val="single" w:sz="4" w:space="0" w:color="auto"/>
                                    <w:bottom w:val="single" w:sz="4" w:space="0" w:color="auto"/>
                                    <w:right w:val="single" w:sz="4" w:space="0" w:color="auto"/>
                                  </w:tcBorders>
                                  <w:vAlign w:val="center"/>
                                  <w:hideMark/>
                                </w:tcPr>
                                <w:p w14:paraId="7B3D300C"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113</w:t>
                                  </w:r>
                                </w:p>
                              </w:tc>
                              <w:tc>
                                <w:tcPr>
                                  <w:tcW w:w="561" w:type="dxa"/>
                                  <w:tcBorders>
                                    <w:top w:val="single" w:sz="4" w:space="0" w:color="auto"/>
                                    <w:left w:val="single" w:sz="4" w:space="0" w:color="auto"/>
                                    <w:bottom w:val="single" w:sz="4" w:space="0" w:color="auto"/>
                                    <w:right w:val="single" w:sz="4" w:space="0" w:color="auto"/>
                                  </w:tcBorders>
                                  <w:vAlign w:val="center"/>
                                  <w:hideMark/>
                                </w:tcPr>
                                <w:p w14:paraId="756925DB"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461</w:t>
                                  </w:r>
                                </w:p>
                              </w:tc>
                              <w:tc>
                                <w:tcPr>
                                  <w:tcW w:w="561" w:type="dxa"/>
                                  <w:tcBorders>
                                    <w:top w:val="single" w:sz="4" w:space="0" w:color="auto"/>
                                    <w:left w:val="single" w:sz="4" w:space="0" w:color="auto"/>
                                    <w:bottom w:val="single" w:sz="4" w:space="0" w:color="auto"/>
                                    <w:right w:val="single" w:sz="4" w:space="0" w:color="auto"/>
                                  </w:tcBorders>
                                  <w:vAlign w:val="center"/>
                                  <w:hideMark/>
                                </w:tcPr>
                                <w:p w14:paraId="5DDE392B"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278</w:t>
                                  </w:r>
                                </w:p>
                              </w:tc>
                              <w:tc>
                                <w:tcPr>
                                  <w:tcW w:w="681" w:type="dxa"/>
                                  <w:tcBorders>
                                    <w:top w:val="single" w:sz="4" w:space="0" w:color="auto"/>
                                    <w:left w:val="single" w:sz="4" w:space="0" w:color="auto"/>
                                    <w:bottom w:val="single" w:sz="4" w:space="0" w:color="auto"/>
                                    <w:right w:val="double" w:sz="4" w:space="0" w:color="auto"/>
                                  </w:tcBorders>
                                  <w:vAlign w:val="center"/>
                                  <w:hideMark/>
                                </w:tcPr>
                                <w:p w14:paraId="31441524"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60.30</w:t>
                                  </w:r>
                                </w:p>
                              </w:tc>
                              <w:tc>
                                <w:tcPr>
                                  <w:tcW w:w="735" w:type="dxa"/>
                                  <w:tcBorders>
                                    <w:top w:val="single" w:sz="4" w:space="0" w:color="auto"/>
                                    <w:left w:val="double" w:sz="4" w:space="0" w:color="auto"/>
                                    <w:bottom w:val="single" w:sz="4" w:space="0" w:color="auto"/>
                                    <w:right w:val="single" w:sz="4" w:space="0" w:color="auto"/>
                                  </w:tcBorders>
                                  <w:vAlign w:val="center"/>
                                  <w:hideMark/>
                                </w:tcPr>
                                <w:p w14:paraId="1BEBDCD9"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9,139</w:t>
                                  </w:r>
                                </w:p>
                              </w:tc>
                              <w:tc>
                                <w:tcPr>
                                  <w:tcW w:w="624" w:type="dxa"/>
                                  <w:tcBorders>
                                    <w:top w:val="single" w:sz="4" w:space="0" w:color="auto"/>
                                    <w:left w:val="single" w:sz="4" w:space="0" w:color="auto"/>
                                    <w:bottom w:val="single" w:sz="4" w:space="0" w:color="auto"/>
                                    <w:right w:val="single" w:sz="4" w:space="0" w:color="auto"/>
                                  </w:tcBorders>
                                  <w:vAlign w:val="center"/>
                                  <w:hideMark/>
                                </w:tcPr>
                                <w:p w14:paraId="42843158"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825</w:t>
                                  </w:r>
                                </w:p>
                              </w:tc>
                              <w:tc>
                                <w:tcPr>
                                  <w:tcW w:w="737" w:type="dxa"/>
                                  <w:tcBorders>
                                    <w:top w:val="single" w:sz="4" w:space="0" w:color="auto"/>
                                    <w:left w:val="single" w:sz="4" w:space="0" w:color="auto"/>
                                    <w:bottom w:val="single" w:sz="4" w:space="0" w:color="auto"/>
                                    <w:right w:val="single" w:sz="4" w:space="0" w:color="auto"/>
                                  </w:tcBorders>
                                  <w:vAlign w:val="center"/>
                                  <w:hideMark/>
                                </w:tcPr>
                                <w:p w14:paraId="6465E5DE"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9.03</w:t>
                                  </w:r>
                                </w:p>
                              </w:tc>
                              <w:tc>
                                <w:tcPr>
                                  <w:tcW w:w="739" w:type="dxa"/>
                                  <w:tcBorders>
                                    <w:top w:val="single" w:sz="4" w:space="0" w:color="auto"/>
                                    <w:left w:val="single" w:sz="4" w:space="0" w:color="auto"/>
                                    <w:bottom w:val="single" w:sz="4" w:space="0" w:color="auto"/>
                                    <w:right w:val="single" w:sz="4" w:space="0" w:color="auto"/>
                                  </w:tcBorders>
                                  <w:vAlign w:val="center"/>
                                  <w:hideMark/>
                                </w:tcPr>
                                <w:p w14:paraId="34305AE1"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74</w:t>
                                  </w:r>
                                </w:p>
                              </w:tc>
                            </w:tr>
                            <w:tr w:rsidR="008B713D" w14:paraId="2B27D087" w14:textId="77777777">
                              <w:trPr>
                                <w:jc w:val="center"/>
                              </w:trPr>
                              <w:tc>
                                <w:tcPr>
                                  <w:tcW w:w="600" w:type="dxa"/>
                                  <w:vMerge w:val="restart"/>
                                  <w:tcBorders>
                                    <w:top w:val="single" w:sz="4" w:space="0" w:color="auto"/>
                                    <w:left w:val="single" w:sz="4" w:space="0" w:color="auto"/>
                                    <w:bottom w:val="single" w:sz="4" w:space="0" w:color="auto"/>
                                    <w:right w:val="single" w:sz="4" w:space="0" w:color="auto"/>
                                  </w:tcBorders>
                                  <w:vAlign w:val="center"/>
                                  <w:hideMark/>
                                </w:tcPr>
                                <w:p w14:paraId="33841E66"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國中</w:t>
                                  </w:r>
                                </w:p>
                              </w:tc>
                              <w:tc>
                                <w:tcPr>
                                  <w:tcW w:w="510" w:type="dxa"/>
                                  <w:tcBorders>
                                    <w:top w:val="single" w:sz="4" w:space="0" w:color="auto"/>
                                    <w:left w:val="single" w:sz="4" w:space="0" w:color="auto"/>
                                    <w:bottom w:val="single" w:sz="4" w:space="0" w:color="auto"/>
                                    <w:right w:val="single" w:sz="4" w:space="0" w:color="auto"/>
                                  </w:tcBorders>
                                  <w:vAlign w:val="center"/>
                                  <w:hideMark/>
                                </w:tcPr>
                                <w:p w14:paraId="6E8F0FDC"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111</w:t>
                                  </w:r>
                                </w:p>
                              </w:tc>
                              <w:tc>
                                <w:tcPr>
                                  <w:tcW w:w="561" w:type="dxa"/>
                                  <w:tcBorders>
                                    <w:top w:val="single" w:sz="4" w:space="0" w:color="auto"/>
                                    <w:left w:val="single" w:sz="4" w:space="0" w:color="auto"/>
                                    <w:bottom w:val="single" w:sz="4" w:space="0" w:color="auto"/>
                                    <w:right w:val="single" w:sz="4" w:space="0" w:color="auto"/>
                                  </w:tcBorders>
                                  <w:vAlign w:val="center"/>
                                  <w:hideMark/>
                                </w:tcPr>
                                <w:p w14:paraId="01605ED7"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139</w:t>
                                  </w:r>
                                </w:p>
                              </w:tc>
                              <w:tc>
                                <w:tcPr>
                                  <w:tcW w:w="561" w:type="dxa"/>
                                  <w:tcBorders>
                                    <w:top w:val="single" w:sz="4" w:space="0" w:color="auto"/>
                                    <w:left w:val="single" w:sz="4" w:space="0" w:color="auto"/>
                                    <w:bottom w:val="single" w:sz="4" w:space="0" w:color="auto"/>
                                    <w:right w:val="single" w:sz="4" w:space="0" w:color="auto"/>
                                  </w:tcBorders>
                                  <w:vAlign w:val="center"/>
                                  <w:hideMark/>
                                </w:tcPr>
                                <w:p w14:paraId="69231194"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119</w:t>
                                  </w:r>
                                </w:p>
                              </w:tc>
                              <w:tc>
                                <w:tcPr>
                                  <w:tcW w:w="681" w:type="dxa"/>
                                  <w:tcBorders>
                                    <w:top w:val="single" w:sz="4" w:space="0" w:color="auto"/>
                                    <w:left w:val="single" w:sz="4" w:space="0" w:color="auto"/>
                                    <w:bottom w:val="single" w:sz="4" w:space="0" w:color="auto"/>
                                    <w:right w:val="double" w:sz="4" w:space="0" w:color="auto"/>
                                  </w:tcBorders>
                                  <w:vAlign w:val="center"/>
                                  <w:hideMark/>
                                </w:tcPr>
                                <w:p w14:paraId="016652CE"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85.61</w:t>
                                  </w:r>
                                </w:p>
                              </w:tc>
                              <w:tc>
                                <w:tcPr>
                                  <w:tcW w:w="735" w:type="dxa"/>
                                  <w:tcBorders>
                                    <w:top w:val="single" w:sz="4" w:space="0" w:color="auto"/>
                                    <w:left w:val="double" w:sz="4" w:space="0" w:color="auto"/>
                                    <w:bottom w:val="single" w:sz="4" w:space="0" w:color="auto"/>
                                    <w:right w:val="single" w:sz="4" w:space="0" w:color="auto"/>
                                  </w:tcBorders>
                                  <w:vAlign w:val="center"/>
                                  <w:hideMark/>
                                </w:tcPr>
                                <w:p w14:paraId="4D836753"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4,432</w:t>
                                  </w:r>
                                </w:p>
                              </w:tc>
                              <w:tc>
                                <w:tcPr>
                                  <w:tcW w:w="624" w:type="dxa"/>
                                  <w:tcBorders>
                                    <w:top w:val="single" w:sz="4" w:space="0" w:color="auto"/>
                                    <w:left w:val="single" w:sz="4" w:space="0" w:color="auto"/>
                                    <w:bottom w:val="single" w:sz="4" w:space="0" w:color="auto"/>
                                    <w:right w:val="single" w:sz="4" w:space="0" w:color="auto"/>
                                  </w:tcBorders>
                                  <w:vAlign w:val="center"/>
                                  <w:hideMark/>
                                </w:tcPr>
                                <w:p w14:paraId="451FC7BA"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497</w:t>
                                  </w:r>
                                </w:p>
                              </w:tc>
                              <w:tc>
                                <w:tcPr>
                                  <w:tcW w:w="737" w:type="dxa"/>
                                  <w:tcBorders>
                                    <w:top w:val="single" w:sz="4" w:space="0" w:color="auto"/>
                                    <w:left w:val="single" w:sz="4" w:space="0" w:color="auto"/>
                                    <w:bottom w:val="single" w:sz="4" w:space="0" w:color="auto"/>
                                    <w:right w:val="single" w:sz="4" w:space="0" w:color="auto"/>
                                  </w:tcBorders>
                                  <w:vAlign w:val="center"/>
                                  <w:hideMark/>
                                </w:tcPr>
                                <w:p w14:paraId="6F3DF113"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11.21</w:t>
                                  </w:r>
                                </w:p>
                              </w:tc>
                              <w:tc>
                                <w:tcPr>
                                  <w:tcW w:w="739" w:type="dxa"/>
                                  <w:tcBorders>
                                    <w:top w:val="single" w:sz="4" w:space="0" w:color="auto"/>
                                    <w:left w:val="single" w:sz="4" w:space="0" w:color="auto"/>
                                    <w:bottom w:val="single" w:sz="4" w:space="0" w:color="auto"/>
                                    <w:right w:val="single" w:sz="4" w:space="0" w:color="auto"/>
                                  </w:tcBorders>
                                  <w:vAlign w:val="center"/>
                                  <w:hideMark/>
                                </w:tcPr>
                                <w:p w14:paraId="3656632F"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43</w:t>
                                  </w:r>
                                </w:p>
                              </w:tc>
                            </w:tr>
                            <w:tr w:rsidR="008B713D" w14:paraId="7B7B131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778557" w14:textId="77777777" w:rsidR="008B713D" w:rsidRDefault="008B713D">
                                  <w:pPr>
                                    <w:widowControl/>
                                    <w:rPr>
                                      <w:rFonts w:ascii="標楷體" w:eastAsia="標楷體" w:hAnsi="標楷體"/>
                                    </w:rPr>
                                  </w:pPr>
                                </w:p>
                              </w:tc>
                              <w:tc>
                                <w:tcPr>
                                  <w:tcW w:w="510" w:type="dxa"/>
                                  <w:tcBorders>
                                    <w:top w:val="single" w:sz="4" w:space="0" w:color="auto"/>
                                    <w:left w:val="single" w:sz="4" w:space="0" w:color="auto"/>
                                    <w:bottom w:val="single" w:sz="4" w:space="0" w:color="auto"/>
                                    <w:right w:val="single" w:sz="4" w:space="0" w:color="auto"/>
                                  </w:tcBorders>
                                  <w:vAlign w:val="center"/>
                                  <w:hideMark/>
                                </w:tcPr>
                                <w:p w14:paraId="51431A38"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112</w:t>
                                  </w:r>
                                </w:p>
                              </w:tc>
                              <w:tc>
                                <w:tcPr>
                                  <w:tcW w:w="561" w:type="dxa"/>
                                  <w:tcBorders>
                                    <w:top w:val="single" w:sz="4" w:space="0" w:color="auto"/>
                                    <w:left w:val="single" w:sz="4" w:space="0" w:color="auto"/>
                                    <w:bottom w:val="single" w:sz="4" w:space="0" w:color="auto"/>
                                    <w:right w:val="single" w:sz="4" w:space="0" w:color="auto"/>
                                  </w:tcBorders>
                                  <w:vAlign w:val="center"/>
                                  <w:hideMark/>
                                </w:tcPr>
                                <w:p w14:paraId="1651B85A"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95</w:t>
                                  </w:r>
                                </w:p>
                              </w:tc>
                              <w:tc>
                                <w:tcPr>
                                  <w:tcW w:w="561" w:type="dxa"/>
                                  <w:tcBorders>
                                    <w:top w:val="single" w:sz="4" w:space="0" w:color="auto"/>
                                    <w:left w:val="single" w:sz="4" w:space="0" w:color="auto"/>
                                    <w:bottom w:val="single" w:sz="4" w:space="0" w:color="auto"/>
                                    <w:right w:val="single" w:sz="4" w:space="0" w:color="auto"/>
                                  </w:tcBorders>
                                  <w:vAlign w:val="center"/>
                                  <w:hideMark/>
                                </w:tcPr>
                                <w:p w14:paraId="581A1EA6"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85</w:t>
                                  </w:r>
                                </w:p>
                              </w:tc>
                              <w:tc>
                                <w:tcPr>
                                  <w:tcW w:w="681" w:type="dxa"/>
                                  <w:tcBorders>
                                    <w:top w:val="single" w:sz="4" w:space="0" w:color="auto"/>
                                    <w:left w:val="single" w:sz="4" w:space="0" w:color="auto"/>
                                    <w:bottom w:val="single" w:sz="4" w:space="0" w:color="auto"/>
                                    <w:right w:val="double" w:sz="4" w:space="0" w:color="auto"/>
                                  </w:tcBorders>
                                  <w:vAlign w:val="center"/>
                                  <w:hideMark/>
                                </w:tcPr>
                                <w:p w14:paraId="7D16AADB"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89.47</w:t>
                                  </w:r>
                                </w:p>
                              </w:tc>
                              <w:tc>
                                <w:tcPr>
                                  <w:tcW w:w="735" w:type="dxa"/>
                                  <w:tcBorders>
                                    <w:top w:val="single" w:sz="4" w:space="0" w:color="auto"/>
                                    <w:left w:val="double" w:sz="4" w:space="0" w:color="auto"/>
                                    <w:bottom w:val="single" w:sz="4" w:space="0" w:color="auto"/>
                                    <w:right w:val="single" w:sz="4" w:space="0" w:color="auto"/>
                                  </w:tcBorders>
                                  <w:vAlign w:val="center"/>
                                  <w:hideMark/>
                                </w:tcPr>
                                <w:p w14:paraId="69A58A9E"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4,404</w:t>
                                  </w:r>
                                </w:p>
                              </w:tc>
                              <w:tc>
                                <w:tcPr>
                                  <w:tcW w:w="624" w:type="dxa"/>
                                  <w:tcBorders>
                                    <w:top w:val="single" w:sz="4" w:space="0" w:color="auto"/>
                                    <w:left w:val="single" w:sz="4" w:space="0" w:color="auto"/>
                                    <w:bottom w:val="single" w:sz="4" w:space="0" w:color="auto"/>
                                    <w:right w:val="single" w:sz="4" w:space="0" w:color="auto"/>
                                  </w:tcBorders>
                                  <w:vAlign w:val="center"/>
                                  <w:hideMark/>
                                </w:tcPr>
                                <w:p w14:paraId="0EC3C15E"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495</w:t>
                                  </w:r>
                                </w:p>
                              </w:tc>
                              <w:tc>
                                <w:tcPr>
                                  <w:tcW w:w="737" w:type="dxa"/>
                                  <w:tcBorders>
                                    <w:top w:val="single" w:sz="4" w:space="0" w:color="auto"/>
                                    <w:left w:val="single" w:sz="4" w:space="0" w:color="auto"/>
                                    <w:bottom w:val="single" w:sz="4" w:space="0" w:color="auto"/>
                                    <w:right w:val="single" w:sz="4" w:space="0" w:color="auto"/>
                                  </w:tcBorders>
                                  <w:vAlign w:val="center"/>
                                  <w:hideMark/>
                                </w:tcPr>
                                <w:p w14:paraId="06DDF131"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11.24</w:t>
                                  </w:r>
                                </w:p>
                              </w:tc>
                              <w:tc>
                                <w:tcPr>
                                  <w:tcW w:w="739" w:type="dxa"/>
                                  <w:tcBorders>
                                    <w:top w:val="single" w:sz="4" w:space="0" w:color="auto"/>
                                    <w:left w:val="single" w:sz="4" w:space="0" w:color="auto"/>
                                    <w:bottom w:val="single" w:sz="4" w:space="0" w:color="auto"/>
                                    <w:right w:val="single" w:sz="4" w:space="0" w:color="auto"/>
                                  </w:tcBorders>
                                  <w:vAlign w:val="center"/>
                                  <w:hideMark/>
                                </w:tcPr>
                                <w:p w14:paraId="0B7AA791"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45</w:t>
                                  </w:r>
                                </w:p>
                              </w:tc>
                            </w:tr>
                            <w:tr w:rsidR="008B713D" w14:paraId="12F309E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97E951" w14:textId="77777777" w:rsidR="008B713D" w:rsidRDefault="008B713D">
                                  <w:pPr>
                                    <w:widowControl/>
                                    <w:rPr>
                                      <w:rFonts w:ascii="標楷體" w:eastAsia="標楷體" w:hAnsi="標楷體"/>
                                    </w:rPr>
                                  </w:pPr>
                                </w:p>
                              </w:tc>
                              <w:tc>
                                <w:tcPr>
                                  <w:tcW w:w="510" w:type="dxa"/>
                                  <w:tcBorders>
                                    <w:top w:val="single" w:sz="4" w:space="0" w:color="auto"/>
                                    <w:left w:val="single" w:sz="4" w:space="0" w:color="auto"/>
                                    <w:bottom w:val="single" w:sz="4" w:space="0" w:color="auto"/>
                                    <w:right w:val="single" w:sz="4" w:space="0" w:color="auto"/>
                                  </w:tcBorders>
                                  <w:vAlign w:val="center"/>
                                  <w:hideMark/>
                                </w:tcPr>
                                <w:p w14:paraId="4DDE966D"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113</w:t>
                                  </w:r>
                                </w:p>
                              </w:tc>
                              <w:tc>
                                <w:tcPr>
                                  <w:tcW w:w="561" w:type="dxa"/>
                                  <w:tcBorders>
                                    <w:top w:val="single" w:sz="4" w:space="0" w:color="auto"/>
                                    <w:left w:val="single" w:sz="4" w:space="0" w:color="auto"/>
                                    <w:bottom w:val="single" w:sz="4" w:space="0" w:color="auto"/>
                                    <w:right w:val="single" w:sz="4" w:space="0" w:color="auto"/>
                                  </w:tcBorders>
                                  <w:vAlign w:val="center"/>
                                  <w:hideMark/>
                                </w:tcPr>
                                <w:p w14:paraId="6F3DB0CE"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136</w:t>
                                  </w:r>
                                </w:p>
                              </w:tc>
                              <w:tc>
                                <w:tcPr>
                                  <w:tcW w:w="561" w:type="dxa"/>
                                  <w:tcBorders>
                                    <w:top w:val="single" w:sz="4" w:space="0" w:color="auto"/>
                                    <w:left w:val="single" w:sz="4" w:space="0" w:color="auto"/>
                                    <w:bottom w:val="single" w:sz="4" w:space="0" w:color="auto"/>
                                    <w:right w:val="single" w:sz="4" w:space="0" w:color="auto"/>
                                  </w:tcBorders>
                                  <w:vAlign w:val="center"/>
                                  <w:hideMark/>
                                </w:tcPr>
                                <w:p w14:paraId="2CB4CD8B"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126</w:t>
                                  </w:r>
                                </w:p>
                              </w:tc>
                              <w:tc>
                                <w:tcPr>
                                  <w:tcW w:w="681" w:type="dxa"/>
                                  <w:tcBorders>
                                    <w:top w:val="single" w:sz="4" w:space="0" w:color="auto"/>
                                    <w:left w:val="single" w:sz="4" w:space="0" w:color="auto"/>
                                    <w:bottom w:val="single" w:sz="4" w:space="0" w:color="auto"/>
                                    <w:right w:val="double" w:sz="4" w:space="0" w:color="auto"/>
                                  </w:tcBorders>
                                  <w:vAlign w:val="center"/>
                                  <w:hideMark/>
                                </w:tcPr>
                                <w:p w14:paraId="2F3E06F8"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92.65</w:t>
                                  </w:r>
                                </w:p>
                              </w:tc>
                              <w:tc>
                                <w:tcPr>
                                  <w:tcW w:w="735" w:type="dxa"/>
                                  <w:tcBorders>
                                    <w:top w:val="single" w:sz="4" w:space="0" w:color="auto"/>
                                    <w:left w:val="double" w:sz="4" w:space="0" w:color="auto"/>
                                    <w:bottom w:val="single" w:sz="4" w:space="0" w:color="auto"/>
                                    <w:right w:val="single" w:sz="4" w:space="0" w:color="auto"/>
                                  </w:tcBorders>
                                  <w:vAlign w:val="center"/>
                                  <w:hideMark/>
                                </w:tcPr>
                                <w:p w14:paraId="799E17C8"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4,806</w:t>
                                  </w:r>
                                </w:p>
                              </w:tc>
                              <w:tc>
                                <w:tcPr>
                                  <w:tcW w:w="624" w:type="dxa"/>
                                  <w:tcBorders>
                                    <w:top w:val="single" w:sz="4" w:space="0" w:color="auto"/>
                                    <w:left w:val="single" w:sz="4" w:space="0" w:color="auto"/>
                                    <w:bottom w:val="single" w:sz="4" w:space="0" w:color="auto"/>
                                    <w:right w:val="single" w:sz="4" w:space="0" w:color="auto"/>
                                  </w:tcBorders>
                                  <w:vAlign w:val="center"/>
                                  <w:hideMark/>
                                </w:tcPr>
                                <w:p w14:paraId="41033CA2"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600</w:t>
                                  </w:r>
                                </w:p>
                              </w:tc>
                              <w:tc>
                                <w:tcPr>
                                  <w:tcW w:w="737" w:type="dxa"/>
                                  <w:tcBorders>
                                    <w:top w:val="single" w:sz="4" w:space="0" w:color="auto"/>
                                    <w:left w:val="single" w:sz="4" w:space="0" w:color="auto"/>
                                    <w:bottom w:val="single" w:sz="4" w:space="0" w:color="auto"/>
                                    <w:right w:val="single" w:sz="4" w:space="0" w:color="auto"/>
                                  </w:tcBorders>
                                  <w:vAlign w:val="center"/>
                                  <w:hideMark/>
                                </w:tcPr>
                                <w:p w14:paraId="3439D8C3"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12.48</w:t>
                                  </w:r>
                                </w:p>
                              </w:tc>
                              <w:tc>
                                <w:tcPr>
                                  <w:tcW w:w="739" w:type="dxa"/>
                                  <w:tcBorders>
                                    <w:top w:val="single" w:sz="4" w:space="0" w:color="auto"/>
                                    <w:left w:val="single" w:sz="4" w:space="0" w:color="auto"/>
                                    <w:bottom w:val="single" w:sz="4" w:space="0" w:color="auto"/>
                                    <w:right w:val="single" w:sz="4" w:space="0" w:color="auto"/>
                                  </w:tcBorders>
                                  <w:vAlign w:val="center"/>
                                  <w:hideMark/>
                                </w:tcPr>
                                <w:p w14:paraId="2A3D7660"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50</w:t>
                                  </w:r>
                                </w:p>
                              </w:tc>
                            </w:tr>
                          </w:tbl>
                          <w:p w14:paraId="10D0CD20" w14:textId="77777777" w:rsidR="008B713D" w:rsidRDefault="008B713D" w:rsidP="008B713D">
                            <w:pPr>
                              <w:spacing w:line="200" w:lineRule="exact"/>
                              <w:ind w:leftChars="-50" w:left="420" w:rightChars="-50" w:right="-120" w:hangingChars="300" w:hanging="540"/>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：1.本表國小教</w:t>
                            </w:r>
                            <w:proofErr w:type="gramStart"/>
                            <w:r>
                              <w:rPr>
                                <w:rFonts w:ascii="標楷體" w:eastAsia="標楷體" w:hAnsi="標楷體" w:hint="eastAsia"/>
                                <w:sz w:val="18"/>
                                <w:szCs w:val="18"/>
                              </w:rPr>
                              <w:t>甄</w:t>
                            </w:r>
                            <w:proofErr w:type="gramEnd"/>
                            <w:r>
                              <w:rPr>
                                <w:rFonts w:ascii="標楷體" w:eastAsia="標楷體" w:hAnsi="標楷體" w:hint="eastAsia"/>
                                <w:sz w:val="18"/>
                                <w:szCs w:val="18"/>
                              </w:rPr>
                              <w:t>辦理情形資料，因教育局無法提供</w:t>
                            </w:r>
                            <w:proofErr w:type="gramStart"/>
                            <w:r>
                              <w:rPr>
                                <w:rFonts w:ascii="標楷體" w:eastAsia="標楷體" w:hAnsi="標楷體" w:hint="eastAsia"/>
                                <w:sz w:val="18"/>
                                <w:szCs w:val="18"/>
                              </w:rPr>
                              <w:t>各校明細</w:t>
                            </w:r>
                            <w:proofErr w:type="gramEnd"/>
                            <w:r>
                              <w:rPr>
                                <w:rFonts w:ascii="標楷體" w:eastAsia="標楷體" w:hAnsi="標楷體" w:hint="eastAsia"/>
                                <w:sz w:val="18"/>
                                <w:szCs w:val="18"/>
                              </w:rPr>
                              <w:t>資料，</w:t>
                            </w:r>
                            <w:proofErr w:type="gramStart"/>
                            <w:r>
                              <w:rPr>
                                <w:rFonts w:ascii="標楷體" w:eastAsia="標楷體" w:hAnsi="標楷體" w:hint="eastAsia"/>
                                <w:sz w:val="18"/>
                                <w:szCs w:val="18"/>
                              </w:rPr>
                              <w:t>爰</w:t>
                            </w:r>
                            <w:proofErr w:type="gramEnd"/>
                            <w:r>
                              <w:rPr>
                                <w:rFonts w:ascii="標楷體" w:eastAsia="標楷體" w:hAnsi="標楷體" w:hint="eastAsia"/>
                                <w:sz w:val="18"/>
                                <w:szCs w:val="18"/>
                              </w:rPr>
                              <w:t>包含前開2所國立學校參與教甄之相關數據。</w:t>
                            </w:r>
                          </w:p>
                          <w:p w14:paraId="3559FA0D" w14:textId="77777777" w:rsidR="008B713D" w:rsidRDefault="008B713D" w:rsidP="008B713D">
                            <w:pPr>
                              <w:spacing w:line="200" w:lineRule="exact"/>
                              <w:ind w:leftChars="100" w:left="330" w:hangingChars="50" w:hanging="90"/>
                              <w:jc w:val="both"/>
                              <w:rPr>
                                <w:rFonts w:ascii="標楷體" w:eastAsia="標楷體" w:hAnsi="標楷體"/>
                                <w:sz w:val="18"/>
                                <w:szCs w:val="18"/>
                              </w:rPr>
                            </w:pPr>
                            <w:r>
                              <w:rPr>
                                <w:rFonts w:ascii="標楷體" w:eastAsia="標楷體" w:hAnsi="標楷體" w:hint="eastAsia"/>
                                <w:sz w:val="18"/>
                                <w:szCs w:val="18"/>
                              </w:rPr>
                              <w:t>2.資料來源：整理自教育局提供資料。</w:t>
                            </w:r>
                          </w:p>
                          <w:p w14:paraId="57DA8BC1" w14:textId="77777777" w:rsidR="008B713D" w:rsidRDefault="008B713D" w:rsidP="008B713D">
                            <w:pPr>
                              <w:jc w:val="center"/>
                              <w:rPr>
                                <w:rFonts w:ascii="標楷體" w:eastAsia="標楷體" w:hAnsi="標楷體"/>
                                <w:b/>
                                <w:bCs/>
                              </w:rPr>
                            </w:pPr>
                          </w:p>
                          <w:p w14:paraId="76304C71" w14:textId="77777777" w:rsidR="008B713D" w:rsidRDefault="008B713D" w:rsidP="008B713D">
                            <w:pPr>
                              <w:jc w:val="center"/>
                              <w:rPr>
                                <w:rFonts w:ascii="標楷體" w:eastAsia="標楷體" w:hAnsi="標楷體"/>
                                <w:b/>
                                <w:bCs/>
                              </w:rPr>
                            </w:pPr>
                            <w:r>
                              <w:rPr>
                                <w:rFonts w:ascii="標楷體" w:eastAsia="標楷體" w:hAnsi="標楷體" w:hint="eastAsia"/>
                                <w:b/>
                                <w:bCs/>
                              </w:rPr>
                              <w:t>00</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0B40B8" id="文字方塊 36" o:spid="_x0000_s1055" type="#_x0000_t202" style="position:absolute;left:0;text-align:left;margin-left:208.5pt;margin-top:286.9pt;width:289.1pt;height:186.4pt;z-index:-251623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" stroked="f">
                <v:textbox>
                  <w:txbxContent>
                    <w:p w14:paraId="39FFF6AE" w14:textId="77777777" w:rsidR="008B713D" w:rsidRDefault="008B713D" w:rsidP="0089089B">
                      <w:pPr>
                        <w:spacing w:line="240" w:lineRule="exact"/>
                        <w:ind w:leftChars="-50" w:left="-120" w:rightChars="-50" w:right="-120"/>
                        <w:jc w:val="center"/>
                        <w:rPr>
                          <w:rFonts w:ascii="標楷體" w:eastAsia="標楷體" w:hAnsi="標楷體"/>
                          <w:b/>
                          <w:bCs/>
                        </w:rPr>
                      </w:pPr>
                      <w:r>
                        <w:rPr>
                          <w:rFonts w:ascii="標楷體" w:eastAsia="標楷體" w:hAnsi="標楷體" w:hint="eastAsia"/>
                          <w:b/>
                          <w:bCs/>
                        </w:rPr>
                        <w:t xml:space="preserve">表1　</w:t>
                      </w:r>
                      <w:r>
                        <w:rPr>
                          <w:rFonts w:ascii="標楷體" w:eastAsia="標楷體" w:hAnsi="標楷體" w:hint="eastAsia"/>
                          <w:b/>
                          <w:bCs/>
                          <w:spacing w:val="-6"/>
                        </w:rPr>
                        <w:t>臺北市立國中小教</w:t>
                      </w:r>
                      <w:proofErr w:type="gramStart"/>
                      <w:r>
                        <w:rPr>
                          <w:rFonts w:ascii="標楷體" w:eastAsia="標楷體" w:hAnsi="標楷體" w:hint="eastAsia"/>
                          <w:b/>
                          <w:bCs/>
                          <w:spacing w:val="-6"/>
                        </w:rPr>
                        <w:t>甄缺額及懸缺</w:t>
                      </w:r>
                      <w:proofErr w:type="gramEnd"/>
                      <w:r>
                        <w:rPr>
                          <w:rFonts w:ascii="標楷體" w:eastAsia="標楷體" w:hAnsi="標楷體" w:hint="eastAsia"/>
                          <w:b/>
                          <w:bCs/>
                          <w:spacing w:val="-6"/>
                        </w:rPr>
                        <w:t>代理教師占比情形</w:t>
                      </w:r>
                    </w:p>
                    <w:p w14:paraId="2BA73EB0" w14:textId="77777777" w:rsidR="008B713D" w:rsidRDefault="008B713D" w:rsidP="008B713D">
                      <w:pPr>
                        <w:spacing w:line="220" w:lineRule="exact"/>
                        <w:ind w:rightChars="-50" w:right="-120"/>
                        <w:jc w:val="right"/>
                        <w:rPr>
                          <w:rFonts w:ascii="標楷體" w:eastAsia="標楷體" w:hAnsi="標楷體"/>
                          <w:sz w:val="20"/>
                          <w:szCs w:val="20"/>
                        </w:rPr>
                      </w:pPr>
                      <w:r>
                        <w:rPr>
                          <w:rFonts w:ascii="標楷體" w:eastAsia="標楷體" w:hAnsi="標楷體" w:hint="eastAsia"/>
                          <w:sz w:val="20"/>
                          <w:szCs w:val="20"/>
                        </w:rPr>
                        <w:t>單位：人、％、校</w:t>
                      </w:r>
                    </w:p>
                    <w:tbl>
                      <w:tblPr>
                        <w:tblStyle w:val="a6"/>
                        <w:tblW w:w="5748" w:type="dxa"/>
                        <w:jc w:val="center"/>
                        <w:tblLook w:val="04A0" w:firstRow="1" w:lastRow="0" w:firstColumn="1" w:lastColumn="0" w:noHBand="0" w:noVBand="1"/>
                      </w:tblPr>
                      <w:tblGrid>
                        <w:gridCol w:w="600"/>
                        <w:gridCol w:w="510"/>
                        <w:gridCol w:w="561"/>
                        <w:gridCol w:w="561"/>
                        <w:gridCol w:w="681"/>
                        <w:gridCol w:w="735"/>
                        <w:gridCol w:w="624"/>
                        <w:gridCol w:w="737"/>
                        <w:gridCol w:w="739"/>
                      </w:tblGrid>
                      <w:tr w:rsidR="008B713D" w14:paraId="4846DC7A" w14:textId="77777777">
                        <w:trPr>
                          <w:jc w:val="center"/>
                        </w:trPr>
                        <w:tc>
                          <w:tcPr>
                            <w:tcW w:w="600" w:type="dxa"/>
                            <w:vMerge w:val="restart"/>
                            <w:tcBorders>
                              <w:top w:val="single" w:sz="4" w:space="0" w:color="auto"/>
                              <w:left w:val="single" w:sz="4" w:space="0" w:color="auto"/>
                              <w:bottom w:val="single" w:sz="4" w:space="0" w:color="auto"/>
                              <w:right w:val="single" w:sz="4" w:space="0" w:color="auto"/>
                            </w:tcBorders>
                            <w:vAlign w:val="center"/>
                            <w:hideMark/>
                          </w:tcPr>
                          <w:p w14:paraId="4A1CB8BC"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學制</w:t>
                            </w:r>
                          </w:p>
                        </w:tc>
                        <w:tc>
                          <w:tcPr>
                            <w:tcW w:w="510" w:type="dxa"/>
                            <w:vMerge w:val="restart"/>
                            <w:tcBorders>
                              <w:top w:val="single" w:sz="4" w:space="0" w:color="auto"/>
                              <w:left w:val="single" w:sz="4" w:space="0" w:color="auto"/>
                              <w:bottom w:val="single" w:sz="4" w:space="0" w:color="auto"/>
                              <w:right w:val="single" w:sz="4" w:space="0" w:color="auto"/>
                            </w:tcBorders>
                            <w:vAlign w:val="center"/>
                            <w:hideMark/>
                          </w:tcPr>
                          <w:p w14:paraId="4AE7D31F" w14:textId="77777777" w:rsidR="008B713D" w:rsidRDefault="008B713D">
                            <w:pPr>
                              <w:spacing w:line="220" w:lineRule="exact"/>
                              <w:ind w:leftChars="-40" w:left="-96" w:rightChars="-40" w:right="-96"/>
                              <w:jc w:val="center"/>
                              <w:rPr>
                                <w:rFonts w:ascii="標楷體" w:eastAsia="標楷體" w:hAnsi="標楷體"/>
                                <w:spacing w:val="-20"/>
                              </w:rPr>
                            </w:pPr>
                            <w:r>
                              <w:rPr>
                                <w:rFonts w:ascii="標楷體" w:eastAsia="標楷體" w:hAnsi="標楷體" w:hint="eastAsia"/>
                                <w:spacing w:val="-20"/>
                              </w:rPr>
                              <w:t>學年度</w:t>
                            </w:r>
                          </w:p>
                        </w:tc>
                        <w:tc>
                          <w:tcPr>
                            <w:tcW w:w="1803" w:type="dxa"/>
                            <w:gridSpan w:val="3"/>
                            <w:tcBorders>
                              <w:top w:val="single" w:sz="4" w:space="0" w:color="auto"/>
                              <w:left w:val="single" w:sz="4" w:space="0" w:color="auto"/>
                              <w:bottom w:val="single" w:sz="4" w:space="0" w:color="auto"/>
                              <w:right w:val="double" w:sz="4" w:space="0" w:color="auto"/>
                            </w:tcBorders>
                            <w:vAlign w:val="center"/>
                            <w:hideMark/>
                          </w:tcPr>
                          <w:p w14:paraId="3A9B2966"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教</w:t>
                            </w:r>
                            <w:proofErr w:type="gramStart"/>
                            <w:r>
                              <w:rPr>
                                <w:rFonts w:ascii="標楷體" w:eastAsia="標楷體" w:hAnsi="標楷體" w:hint="eastAsia"/>
                              </w:rPr>
                              <w:t>甄</w:t>
                            </w:r>
                            <w:proofErr w:type="gramEnd"/>
                            <w:r>
                              <w:rPr>
                                <w:rFonts w:ascii="標楷體" w:eastAsia="標楷體" w:hAnsi="標楷體" w:hint="eastAsia"/>
                              </w:rPr>
                              <w:t>辦理情形</w:t>
                            </w:r>
                          </w:p>
                        </w:tc>
                        <w:tc>
                          <w:tcPr>
                            <w:tcW w:w="2835" w:type="dxa"/>
                            <w:gridSpan w:val="4"/>
                            <w:tcBorders>
                              <w:top w:val="single" w:sz="4" w:space="0" w:color="auto"/>
                              <w:left w:val="double" w:sz="4" w:space="0" w:color="auto"/>
                              <w:bottom w:val="single" w:sz="4" w:space="0" w:color="auto"/>
                              <w:right w:val="single" w:sz="4" w:space="0" w:color="auto"/>
                            </w:tcBorders>
                            <w:vAlign w:val="center"/>
                            <w:hideMark/>
                          </w:tcPr>
                          <w:p w14:paraId="6D8FFF6D"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懸缺代理情形</w:t>
                            </w:r>
                          </w:p>
                        </w:tc>
                      </w:tr>
                      <w:tr w:rsidR="008B713D" w14:paraId="4AE7951A"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85131A" w14:textId="77777777" w:rsidR="008B713D" w:rsidRDefault="008B713D">
                            <w:pPr>
                              <w:widowControl/>
                              <w:rPr>
                                <w:rFonts w:ascii="標楷體" w:eastAsia="標楷體" w:hAnsi="標楷體"/>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3AC408" w14:textId="77777777" w:rsidR="008B713D" w:rsidRDefault="008B713D">
                            <w:pPr>
                              <w:widowControl/>
                              <w:rPr>
                                <w:rFonts w:ascii="標楷體" w:eastAsia="標楷體" w:hAnsi="標楷體"/>
                                <w:spacing w:val="-20"/>
                              </w:rPr>
                            </w:pPr>
                          </w:p>
                        </w:tc>
                        <w:tc>
                          <w:tcPr>
                            <w:tcW w:w="561" w:type="dxa"/>
                            <w:vMerge w:val="restart"/>
                            <w:tcBorders>
                              <w:top w:val="single" w:sz="4" w:space="0" w:color="auto"/>
                              <w:left w:val="single" w:sz="4" w:space="0" w:color="auto"/>
                              <w:bottom w:val="single" w:sz="4" w:space="0" w:color="auto"/>
                              <w:right w:val="single" w:sz="4" w:space="0" w:color="auto"/>
                            </w:tcBorders>
                            <w:vAlign w:val="center"/>
                            <w:hideMark/>
                          </w:tcPr>
                          <w:p w14:paraId="6E7F3CD9"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核定招考人數</w:t>
                            </w:r>
                          </w:p>
                          <w:p w14:paraId="224E37C9" w14:textId="77777777" w:rsidR="008B713D" w:rsidRDefault="008B713D">
                            <w:pPr>
                              <w:spacing w:line="220" w:lineRule="exact"/>
                              <w:ind w:leftChars="-40" w:left="-96" w:rightChars="-40" w:right="-96"/>
                              <w:jc w:val="center"/>
                              <w:rPr>
                                <w:rFonts w:ascii="標楷體" w:eastAsia="標楷體" w:hAnsi="標楷體"/>
                                <w:spacing w:val="-20"/>
                              </w:rPr>
                            </w:pPr>
                            <w:r>
                              <w:rPr>
                                <w:rFonts w:ascii="標楷體" w:eastAsia="標楷體" w:hAnsi="標楷體" w:hint="eastAsia"/>
                                <w:spacing w:val="-20"/>
                              </w:rPr>
                              <w:t>（A）</w:t>
                            </w:r>
                          </w:p>
                        </w:tc>
                        <w:tc>
                          <w:tcPr>
                            <w:tcW w:w="561" w:type="dxa"/>
                            <w:vMerge w:val="restart"/>
                            <w:tcBorders>
                              <w:top w:val="single" w:sz="4" w:space="0" w:color="auto"/>
                              <w:left w:val="single" w:sz="4" w:space="0" w:color="auto"/>
                              <w:bottom w:val="single" w:sz="4" w:space="0" w:color="auto"/>
                              <w:right w:val="single" w:sz="4" w:space="0" w:color="auto"/>
                            </w:tcBorders>
                            <w:vAlign w:val="center"/>
                            <w:hideMark/>
                          </w:tcPr>
                          <w:p w14:paraId="2DBEE3AD"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錄取報到人數</w:t>
                            </w:r>
                          </w:p>
                          <w:p w14:paraId="0F312C88" w14:textId="77777777" w:rsidR="008B713D" w:rsidRDefault="008B713D">
                            <w:pPr>
                              <w:spacing w:line="220" w:lineRule="exact"/>
                              <w:ind w:leftChars="-40" w:left="-96" w:rightChars="-40" w:right="-96"/>
                              <w:jc w:val="center"/>
                              <w:rPr>
                                <w:rFonts w:ascii="標楷體" w:eastAsia="標楷體" w:hAnsi="標楷體"/>
                                <w:spacing w:val="-20"/>
                              </w:rPr>
                            </w:pPr>
                            <w:r>
                              <w:rPr>
                                <w:rFonts w:ascii="標楷體" w:eastAsia="標楷體" w:hAnsi="標楷體" w:hint="eastAsia"/>
                                <w:spacing w:val="-20"/>
                              </w:rPr>
                              <w:t>（B）</w:t>
                            </w:r>
                          </w:p>
                        </w:tc>
                        <w:tc>
                          <w:tcPr>
                            <w:tcW w:w="681" w:type="dxa"/>
                            <w:vMerge w:val="restart"/>
                            <w:tcBorders>
                              <w:top w:val="single" w:sz="4" w:space="0" w:color="auto"/>
                              <w:left w:val="single" w:sz="4" w:space="0" w:color="auto"/>
                              <w:bottom w:val="single" w:sz="4" w:space="0" w:color="auto"/>
                              <w:right w:val="double" w:sz="4" w:space="0" w:color="auto"/>
                            </w:tcBorders>
                            <w:vAlign w:val="center"/>
                            <w:hideMark/>
                          </w:tcPr>
                          <w:p w14:paraId="6C861839"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錄取</w:t>
                            </w:r>
                          </w:p>
                          <w:p w14:paraId="6F5C3319" w14:textId="0B2EBCEB"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報到率（B</w:t>
                            </w:r>
                            <w:r w:rsidR="00D54B42">
                              <w:rPr>
                                <w:rFonts w:ascii="標楷體" w:eastAsia="標楷體" w:hAnsi="標楷體" w:cs="新細明體" w:hint="eastAsia"/>
                                <w:color w:val="000000"/>
                              </w:rPr>
                              <w:t>/</w:t>
                            </w:r>
                            <w:r>
                              <w:rPr>
                                <w:rFonts w:ascii="標楷體" w:eastAsia="標楷體" w:hAnsi="標楷體" w:hint="eastAsia"/>
                              </w:rPr>
                              <w:t>A×100）</w:t>
                            </w:r>
                          </w:p>
                        </w:tc>
                        <w:tc>
                          <w:tcPr>
                            <w:tcW w:w="735" w:type="dxa"/>
                            <w:vMerge w:val="restart"/>
                            <w:tcBorders>
                              <w:top w:val="single" w:sz="4" w:space="0" w:color="auto"/>
                              <w:left w:val="double" w:sz="4" w:space="0" w:color="auto"/>
                              <w:bottom w:val="single" w:sz="4" w:space="0" w:color="auto"/>
                              <w:right w:val="single" w:sz="4" w:space="0" w:color="auto"/>
                            </w:tcBorders>
                            <w:vAlign w:val="center"/>
                            <w:hideMark/>
                          </w:tcPr>
                          <w:p w14:paraId="3F21319B" w14:textId="77777777" w:rsidR="008B713D" w:rsidRDefault="008B713D">
                            <w:pPr>
                              <w:spacing w:line="220" w:lineRule="exact"/>
                              <w:ind w:leftChars="-20" w:left="-48" w:rightChars="-20" w:right="-48"/>
                              <w:jc w:val="center"/>
                              <w:rPr>
                                <w:rFonts w:ascii="標楷體" w:eastAsia="標楷體" w:hAnsi="標楷體"/>
                              </w:rPr>
                            </w:pPr>
                            <w:r>
                              <w:rPr>
                                <w:rFonts w:ascii="標楷體" w:eastAsia="標楷體" w:hAnsi="標楷體" w:hint="eastAsia"/>
                              </w:rPr>
                              <w:t>核定教師員額編制數</w:t>
                            </w:r>
                          </w:p>
                        </w:tc>
                        <w:tc>
                          <w:tcPr>
                            <w:tcW w:w="1361" w:type="dxa"/>
                            <w:gridSpan w:val="2"/>
                            <w:tcBorders>
                              <w:top w:val="single" w:sz="4" w:space="0" w:color="auto"/>
                              <w:left w:val="single" w:sz="4" w:space="0" w:color="auto"/>
                              <w:bottom w:val="nil"/>
                              <w:right w:val="single" w:sz="4" w:space="0" w:color="auto"/>
                            </w:tcBorders>
                            <w:vAlign w:val="center"/>
                            <w:hideMark/>
                          </w:tcPr>
                          <w:p w14:paraId="7778D3F5" w14:textId="77777777" w:rsidR="008B713D" w:rsidRDefault="008B713D">
                            <w:pPr>
                              <w:spacing w:line="220" w:lineRule="exact"/>
                              <w:ind w:leftChars="-40" w:left="-96" w:rightChars="-40" w:right="-96"/>
                              <w:jc w:val="center"/>
                              <w:rPr>
                                <w:rFonts w:ascii="標楷體" w:eastAsia="標楷體" w:hAnsi="標楷體"/>
                                <w:spacing w:val="-20"/>
                              </w:rPr>
                            </w:pPr>
                            <w:r>
                              <w:rPr>
                                <w:rFonts w:ascii="標楷體" w:eastAsia="標楷體" w:hAnsi="標楷體" w:hint="eastAsia"/>
                                <w:spacing w:val="-20"/>
                              </w:rPr>
                              <w:t>懸缺代理教師人數</w:t>
                            </w:r>
                          </w:p>
                        </w:tc>
                        <w:tc>
                          <w:tcPr>
                            <w:tcW w:w="739" w:type="dxa"/>
                            <w:vMerge w:val="restart"/>
                            <w:tcBorders>
                              <w:top w:val="single" w:sz="4" w:space="0" w:color="auto"/>
                              <w:left w:val="single" w:sz="4" w:space="0" w:color="auto"/>
                              <w:bottom w:val="single" w:sz="4" w:space="0" w:color="auto"/>
                              <w:right w:val="single" w:sz="4" w:space="0" w:color="auto"/>
                            </w:tcBorders>
                            <w:vAlign w:val="center"/>
                            <w:hideMark/>
                          </w:tcPr>
                          <w:p w14:paraId="7168573C" w14:textId="77777777" w:rsidR="008B713D" w:rsidRDefault="008B713D">
                            <w:pPr>
                              <w:spacing w:line="220" w:lineRule="exact"/>
                              <w:ind w:leftChars="-30" w:left="-72" w:rightChars="-30" w:right="-72"/>
                              <w:jc w:val="both"/>
                              <w:rPr>
                                <w:rFonts w:ascii="標楷體" w:eastAsia="標楷體" w:hAnsi="標楷體"/>
                                <w:spacing w:val="-20"/>
                              </w:rPr>
                            </w:pPr>
                            <w:r>
                              <w:rPr>
                                <w:rFonts w:ascii="標楷體" w:eastAsia="標楷體" w:hAnsi="標楷體" w:hint="eastAsia"/>
                                <w:spacing w:val="-20"/>
                              </w:rPr>
                              <w:t>懸缺代理教師比率超過8％之學校數</w:t>
                            </w:r>
                          </w:p>
                        </w:tc>
                      </w:tr>
                      <w:tr w:rsidR="008B713D" w14:paraId="5F902DE2" w14:textId="77777777">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4FED79" w14:textId="77777777" w:rsidR="008B713D" w:rsidRDefault="008B713D">
                            <w:pPr>
                              <w:widowControl/>
                              <w:rPr>
                                <w:rFonts w:ascii="標楷體" w:eastAsia="標楷體" w:hAnsi="標楷體"/>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560B6E" w14:textId="77777777" w:rsidR="008B713D" w:rsidRDefault="008B713D">
                            <w:pPr>
                              <w:widowControl/>
                              <w:rPr>
                                <w:rFonts w:ascii="標楷體" w:eastAsia="標楷體" w:hAnsi="標楷體"/>
                                <w:spacing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0157F3" w14:textId="77777777" w:rsidR="008B713D" w:rsidRDefault="008B713D">
                            <w:pPr>
                              <w:widowControl/>
                              <w:rPr>
                                <w:rFonts w:ascii="標楷體" w:eastAsia="標楷體" w:hAnsi="標楷體"/>
                                <w:spacing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7C8B7" w14:textId="77777777" w:rsidR="008B713D" w:rsidRDefault="008B713D">
                            <w:pPr>
                              <w:widowControl/>
                              <w:rPr>
                                <w:rFonts w:ascii="標楷體" w:eastAsia="標楷體" w:hAnsi="標楷體"/>
                                <w:spacing w:val="-20"/>
                              </w:rPr>
                            </w:pPr>
                          </w:p>
                        </w:tc>
                        <w:tc>
                          <w:tcPr>
                            <w:tcW w:w="0" w:type="auto"/>
                            <w:vMerge/>
                            <w:tcBorders>
                              <w:top w:val="single" w:sz="4" w:space="0" w:color="auto"/>
                              <w:left w:val="single" w:sz="4" w:space="0" w:color="auto"/>
                              <w:bottom w:val="single" w:sz="4" w:space="0" w:color="auto"/>
                              <w:right w:val="double" w:sz="4" w:space="0" w:color="auto"/>
                            </w:tcBorders>
                            <w:vAlign w:val="center"/>
                            <w:hideMark/>
                          </w:tcPr>
                          <w:p w14:paraId="19FBDA3E" w14:textId="77777777" w:rsidR="008B713D" w:rsidRDefault="008B713D">
                            <w:pPr>
                              <w:widowControl/>
                              <w:rPr>
                                <w:rFonts w:ascii="標楷體" w:eastAsia="標楷體" w:hAnsi="標楷體"/>
                              </w:rPr>
                            </w:pPr>
                          </w:p>
                        </w:tc>
                        <w:tc>
                          <w:tcPr>
                            <w:tcW w:w="0" w:type="auto"/>
                            <w:vMerge/>
                            <w:tcBorders>
                              <w:top w:val="single" w:sz="4" w:space="0" w:color="auto"/>
                              <w:left w:val="double" w:sz="4" w:space="0" w:color="auto"/>
                              <w:bottom w:val="single" w:sz="4" w:space="0" w:color="auto"/>
                              <w:right w:val="single" w:sz="4" w:space="0" w:color="auto"/>
                            </w:tcBorders>
                            <w:vAlign w:val="center"/>
                            <w:hideMark/>
                          </w:tcPr>
                          <w:p w14:paraId="6DF0341E" w14:textId="77777777" w:rsidR="008B713D" w:rsidRDefault="008B713D">
                            <w:pPr>
                              <w:widowControl/>
                              <w:rPr>
                                <w:rFonts w:ascii="標楷體" w:eastAsia="標楷體" w:hAnsi="標楷體"/>
                              </w:rPr>
                            </w:pPr>
                          </w:p>
                        </w:tc>
                        <w:tc>
                          <w:tcPr>
                            <w:tcW w:w="624" w:type="dxa"/>
                            <w:tcBorders>
                              <w:top w:val="nil"/>
                              <w:left w:val="single" w:sz="4" w:space="0" w:color="auto"/>
                              <w:bottom w:val="single" w:sz="4" w:space="0" w:color="auto"/>
                              <w:right w:val="single" w:sz="4" w:space="0" w:color="auto"/>
                            </w:tcBorders>
                            <w:vAlign w:val="center"/>
                          </w:tcPr>
                          <w:p w14:paraId="330C5A8F" w14:textId="77777777" w:rsidR="008B713D" w:rsidRDefault="008B713D">
                            <w:pPr>
                              <w:spacing w:line="220" w:lineRule="exact"/>
                              <w:ind w:leftChars="-40" w:left="-96" w:rightChars="-40" w:right="-96"/>
                              <w:jc w:val="center"/>
                              <w:rPr>
                                <w:rFonts w:ascii="標楷體" w:eastAsia="標楷體" w:hAnsi="標楷體"/>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7BFAFCEF"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占比</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C6469F" w14:textId="77777777" w:rsidR="008B713D" w:rsidRDefault="008B713D">
                            <w:pPr>
                              <w:widowControl/>
                              <w:rPr>
                                <w:rFonts w:ascii="標楷體" w:eastAsia="標楷體" w:hAnsi="標楷體"/>
                                <w:spacing w:val="-20"/>
                              </w:rPr>
                            </w:pPr>
                          </w:p>
                        </w:tc>
                      </w:tr>
                      <w:tr w:rsidR="008B713D" w14:paraId="0FE42006" w14:textId="77777777">
                        <w:trPr>
                          <w:jc w:val="center"/>
                        </w:trPr>
                        <w:tc>
                          <w:tcPr>
                            <w:tcW w:w="600" w:type="dxa"/>
                            <w:vMerge w:val="restart"/>
                            <w:tcBorders>
                              <w:top w:val="single" w:sz="4" w:space="0" w:color="auto"/>
                              <w:left w:val="single" w:sz="4" w:space="0" w:color="auto"/>
                              <w:bottom w:val="single" w:sz="4" w:space="0" w:color="auto"/>
                              <w:right w:val="single" w:sz="4" w:space="0" w:color="auto"/>
                            </w:tcBorders>
                            <w:vAlign w:val="center"/>
                            <w:hideMark/>
                          </w:tcPr>
                          <w:p w14:paraId="393D1510"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國小</w:t>
                            </w:r>
                          </w:p>
                          <w:p w14:paraId="775DD81B"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spacing w:val="-20"/>
                              </w:rPr>
                              <w:t>（</w:t>
                            </w:r>
                            <w:proofErr w:type="gramStart"/>
                            <w:r>
                              <w:rPr>
                                <w:rFonts w:ascii="標楷體" w:eastAsia="標楷體" w:hAnsi="標楷體" w:hint="eastAsia"/>
                                <w:spacing w:val="-20"/>
                              </w:rPr>
                              <w:t>註</w:t>
                            </w:r>
                            <w:proofErr w:type="gramEnd"/>
                            <w:r>
                              <w:rPr>
                                <w:rFonts w:ascii="標楷體" w:eastAsia="標楷體" w:hAnsi="標楷體" w:hint="eastAsia"/>
                                <w:spacing w:val="-20"/>
                              </w:rPr>
                              <w:t>）</w:t>
                            </w:r>
                          </w:p>
                        </w:tc>
                        <w:tc>
                          <w:tcPr>
                            <w:tcW w:w="510" w:type="dxa"/>
                            <w:tcBorders>
                              <w:top w:val="single" w:sz="4" w:space="0" w:color="auto"/>
                              <w:left w:val="single" w:sz="4" w:space="0" w:color="auto"/>
                              <w:bottom w:val="single" w:sz="4" w:space="0" w:color="auto"/>
                              <w:right w:val="single" w:sz="4" w:space="0" w:color="auto"/>
                            </w:tcBorders>
                            <w:vAlign w:val="center"/>
                            <w:hideMark/>
                          </w:tcPr>
                          <w:p w14:paraId="66388715"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111</w:t>
                            </w:r>
                          </w:p>
                        </w:tc>
                        <w:tc>
                          <w:tcPr>
                            <w:tcW w:w="561" w:type="dxa"/>
                            <w:tcBorders>
                              <w:top w:val="single" w:sz="4" w:space="0" w:color="auto"/>
                              <w:left w:val="single" w:sz="4" w:space="0" w:color="auto"/>
                              <w:bottom w:val="single" w:sz="4" w:space="0" w:color="auto"/>
                              <w:right w:val="single" w:sz="4" w:space="0" w:color="auto"/>
                            </w:tcBorders>
                            <w:vAlign w:val="center"/>
                            <w:hideMark/>
                          </w:tcPr>
                          <w:p w14:paraId="21A31376"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381</w:t>
                            </w:r>
                          </w:p>
                        </w:tc>
                        <w:tc>
                          <w:tcPr>
                            <w:tcW w:w="561" w:type="dxa"/>
                            <w:tcBorders>
                              <w:top w:val="single" w:sz="4" w:space="0" w:color="auto"/>
                              <w:left w:val="single" w:sz="4" w:space="0" w:color="auto"/>
                              <w:bottom w:val="single" w:sz="4" w:space="0" w:color="auto"/>
                              <w:right w:val="single" w:sz="4" w:space="0" w:color="auto"/>
                            </w:tcBorders>
                            <w:vAlign w:val="center"/>
                            <w:hideMark/>
                          </w:tcPr>
                          <w:p w14:paraId="082E5FC0"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231</w:t>
                            </w:r>
                          </w:p>
                        </w:tc>
                        <w:tc>
                          <w:tcPr>
                            <w:tcW w:w="681" w:type="dxa"/>
                            <w:tcBorders>
                              <w:top w:val="single" w:sz="4" w:space="0" w:color="auto"/>
                              <w:left w:val="single" w:sz="4" w:space="0" w:color="auto"/>
                              <w:bottom w:val="single" w:sz="4" w:space="0" w:color="auto"/>
                              <w:right w:val="double" w:sz="4" w:space="0" w:color="auto"/>
                            </w:tcBorders>
                            <w:vAlign w:val="center"/>
                            <w:hideMark/>
                          </w:tcPr>
                          <w:p w14:paraId="761BFFF8"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60.63</w:t>
                            </w:r>
                          </w:p>
                        </w:tc>
                        <w:tc>
                          <w:tcPr>
                            <w:tcW w:w="735" w:type="dxa"/>
                            <w:tcBorders>
                              <w:top w:val="single" w:sz="4" w:space="0" w:color="auto"/>
                              <w:left w:val="double" w:sz="4" w:space="0" w:color="auto"/>
                              <w:bottom w:val="single" w:sz="4" w:space="0" w:color="auto"/>
                              <w:right w:val="single" w:sz="4" w:space="0" w:color="auto"/>
                            </w:tcBorders>
                            <w:vAlign w:val="center"/>
                            <w:hideMark/>
                          </w:tcPr>
                          <w:p w14:paraId="2B37C847"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9,208</w:t>
                            </w:r>
                          </w:p>
                        </w:tc>
                        <w:tc>
                          <w:tcPr>
                            <w:tcW w:w="624" w:type="dxa"/>
                            <w:tcBorders>
                              <w:top w:val="single" w:sz="4" w:space="0" w:color="auto"/>
                              <w:left w:val="single" w:sz="4" w:space="0" w:color="auto"/>
                              <w:bottom w:val="single" w:sz="4" w:space="0" w:color="auto"/>
                              <w:right w:val="single" w:sz="4" w:space="0" w:color="auto"/>
                            </w:tcBorders>
                            <w:vAlign w:val="center"/>
                            <w:hideMark/>
                          </w:tcPr>
                          <w:p w14:paraId="160B16F3"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871</w:t>
                            </w:r>
                          </w:p>
                        </w:tc>
                        <w:tc>
                          <w:tcPr>
                            <w:tcW w:w="737" w:type="dxa"/>
                            <w:tcBorders>
                              <w:top w:val="single" w:sz="4" w:space="0" w:color="auto"/>
                              <w:left w:val="single" w:sz="4" w:space="0" w:color="auto"/>
                              <w:bottom w:val="single" w:sz="4" w:space="0" w:color="auto"/>
                              <w:right w:val="single" w:sz="4" w:space="0" w:color="auto"/>
                            </w:tcBorders>
                            <w:vAlign w:val="center"/>
                            <w:hideMark/>
                          </w:tcPr>
                          <w:p w14:paraId="427C22DF"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9.46</w:t>
                            </w:r>
                          </w:p>
                        </w:tc>
                        <w:tc>
                          <w:tcPr>
                            <w:tcW w:w="739" w:type="dxa"/>
                            <w:tcBorders>
                              <w:top w:val="single" w:sz="4" w:space="0" w:color="auto"/>
                              <w:left w:val="single" w:sz="4" w:space="0" w:color="auto"/>
                              <w:bottom w:val="single" w:sz="4" w:space="0" w:color="auto"/>
                              <w:right w:val="single" w:sz="4" w:space="0" w:color="auto"/>
                            </w:tcBorders>
                            <w:vAlign w:val="center"/>
                            <w:hideMark/>
                          </w:tcPr>
                          <w:p w14:paraId="2F52A080"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88</w:t>
                            </w:r>
                          </w:p>
                        </w:tc>
                      </w:tr>
                      <w:tr w:rsidR="008B713D" w14:paraId="18E6D3E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D51A2" w14:textId="77777777" w:rsidR="008B713D" w:rsidRDefault="008B713D">
                            <w:pPr>
                              <w:widowControl/>
                              <w:rPr>
                                <w:rFonts w:ascii="標楷體" w:eastAsia="標楷體" w:hAnsi="標楷體"/>
                              </w:rPr>
                            </w:pPr>
                          </w:p>
                        </w:tc>
                        <w:tc>
                          <w:tcPr>
                            <w:tcW w:w="510" w:type="dxa"/>
                            <w:tcBorders>
                              <w:top w:val="single" w:sz="4" w:space="0" w:color="auto"/>
                              <w:left w:val="single" w:sz="4" w:space="0" w:color="auto"/>
                              <w:bottom w:val="single" w:sz="4" w:space="0" w:color="auto"/>
                              <w:right w:val="single" w:sz="4" w:space="0" w:color="auto"/>
                            </w:tcBorders>
                            <w:vAlign w:val="center"/>
                            <w:hideMark/>
                          </w:tcPr>
                          <w:p w14:paraId="3D218A52"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112</w:t>
                            </w:r>
                          </w:p>
                        </w:tc>
                        <w:tc>
                          <w:tcPr>
                            <w:tcW w:w="561" w:type="dxa"/>
                            <w:tcBorders>
                              <w:top w:val="single" w:sz="4" w:space="0" w:color="auto"/>
                              <w:left w:val="single" w:sz="4" w:space="0" w:color="auto"/>
                              <w:bottom w:val="single" w:sz="4" w:space="0" w:color="auto"/>
                              <w:right w:val="single" w:sz="4" w:space="0" w:color="auto"/>
                            </w:tcBorders>
                            <w:vAlign w:val="center"/>
                            <w:hideMark/>
                          </w:tcPr>
                          <w:p w14:paraId="4AC436CB"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467</w:t>
                            </w:r>
                          </w:p>
                        </w:tc>
                        <w:tc>
                          <w:tcPr>
                            <w:tcW w:w="561" w:type="dxa"/>
                            <w:tcBorders>
                              <w:top w:val="single" w:sz="4" w:space="0" w:color="auto"/>
                              <w:left w:val="single" w:sz="4" w:space="0" w:color="auto"/>
                              <w:bottom w:val="single" w:sz="4" w:space="0" w:color="auto"/>
                              <w:right w:val="single" w:sz="4" w:space="0" w:color="auto"/>
                            </w:tcBorders>
                            <w:vAlign w:val="center"/>
                            <w:hideMark/>
                          </w:tcPr>
                          <w:p w14:paraId="6476DCC4"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269</w:t>
                            </w:r>
                          </w:p>
                        </w:tc>
                        <w:tc>
                          <w:tcPr>
                            <w:tcW w:w="681" w:type="dxa"/>
                            <w:tcBorders>
                              <w:top w:val="single" w:sz="4" w:space="0" w:color="auto"/>
                              <w:left w:val="single" w:sz="4" w:space="0" w:color="auto"/>
                              <w:bottom w:val="single" w:sz="4" w:space="0" w:color="auto"/>
                              <w:right w:val="double" w:sz="4" w:space="0" w:color="auto"/>
                            </w:tcBorders>
                            <w:vAlign w:val="center"/>
                            <w:hideMark/>
                          </w:tcPr>
                          <w:p w14:paraId="3F002EEF"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57.60</w:t>
                            </w:r>
                          </w:p>
                        </w:tc>
                        <w:tc>
                          <w:tcPr>
                            <w:tcW w:w="735" w:type="dxa"/>
                            <w:tcBorders>
                              <w:top w:val="single" w:sz="4" w:space="0" w:color="auto"/>
                              <w:left w:val="double" w:sz="4" w:space="0" w:color="auto"/>
                              <w:bottom w:val="single" w:sz="4" w:space="0" w:color="auto"/>
                              <w:right w:val="single" w:sz="4" w:space="0" w:color="auto"/>
                            </w:tcBorders>
                            <w:vAlign w:val="center"/>
                            <w:hideMark/>
                          </w:tcPr>
                          <w:p w14:paraId="0515579A"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9,284</w:t>
                            </w:r>
                          </w:p>
                        </w:tc>
                        <w:tc>
                          <w:tcPr>
                            <w:tcW w:w="624" w:type="dxa"/>
                            <w:tcBorders>
                              <w:top w:val="single" w:sz="4" w:space="0" w:color="auto"/>
                              <w:left w:val="single" w:sz="4" w:space="0" w:color="auto"/>
                              <w:bottom w:val="single" w:sz="4" w:space="0" w:color="auto"/>
                              <w:right w:val="single" w:sz="4" w:space="0" w:color="auto"/>
                            </w:tcBorders>
                            <w:vAlign w:val="center"/>
                            <w:hideMark/>
                          </w:tcPr>
                          <w:p w14:paraId="1ECE5B15"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943</w:t>
                            </w:r>
                          </w:p>
                        </w:tc>
                        <w:tc>
                          <w:tcPr>
                            <w:tcW w:w="737" w:type="dxa"/>
                            <w:tcBorders>
                              <w:top w:val="single" w:sz="4" w:space="0" w:color="auto"/>
                              <w:left w:val="single" w:sz="4" w:space="0" w:color="auto"/>
                              <w:bottom w:val="single" w:sz="4" w:space="0" w:color="auto"/>
                              <w:right w:val="single" w:sz="4" w:space="0" w:color="auto"/>
                            </w:tcBorders>
                            <w:vAlign w:val="center"/>
                            <w:hideMark/>
                          </w:tcPr>
                          <w:p w14:paraId="6D88E794"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10.16</w:t>
                            </w:r>
                          </w:p>
                        </w:tc>
                        <w:tc>
                          <w:tcPr>
                            <w:tcW w:w="739" w:type="dxa"/>
                            <w:tcBorders>
                              <w:top w:val="single" w:sz="4" w:space="0" w:color="auto"/>
                              <w:left w:val="single" w:sz="4" w:space="0" w:color="auto"/>
                              <w:bottom w:val="single" w:sz="4" w:space="0" w:color="auto"/>
                              <w:right w:val="single" w:sz="4" w:space="0" w:color="auto"/>
                            </w:tcBorders>
                            <w:vAlign w:val="center"/>
                            <w:hideMark/>
                          </w:tcPr>
                          <w:p w14:paraId="38290663"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89</w:t>
                            </w:r>
                          </w:p>
                        </w:tc>
                      </w:tr>
                      <w:tr w:rsidR="008B713D" w14:paraId="3E1B2C6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5C8A94" w14:textId="77777777" w:rsidR="008B713D" w:rsidRDefault="008B713D">
                            <w:pPr>
                              <w:widowControl/>
                              <w:rPr>
                                <w:rFonts w:ascii="標楷體" w:eastAsia="標楷體" w:hAnsi="標楷體"/>
                              </w:rPr>
                            </w:pPr>
                          </w:p>
                        </w:tc>
                        <w:tc>
                          <w:tcPr>
                            <w:tcW w:w="510" w:type="dxa"/>
                            <w:tcBorders>
                              <w:top w:val="single" w:sz="4" w:space="0" w:color="auto"/>
                              <w:left w:val="single" w:sz="4" w:space="0" w:color="auto"/>
                              <w:bottom w:val="single" w:sz="4" w:space="0" w:color="auto"/>
                              <w:right w:val="single" w:sz="4" w:space="0" w:color="auto"/>
                            </w:tcBorders>
                            <w:vAlign w:val="center"/>
                            <w:hideMark/>
                          </w:tcPr>
                          <w:p w14:paraId="7B3D300C"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113</w:t>
                            </w:r>
                          </w:p>
                        </w:tc>
                        <w:tc>
                          <w:tcPr>
                            <w:tcW w:w="561" w:type="dxa"/>
                            <w:tcBorders>
                              <w:top w:val="single" w:sz="4" w:space="0" w:color="auto"/>
                              <w:left w:val="single" w:sz="4" w:space="0" w:color="auto"/>
                              <w:bottom w:val="single" w:sz="4" w:space="0" w:color="auto"/>
                              <w:right w:val="single" w:sz="4" w:space="0" w:color="auto"/>
                            </w:tcBorders>
                            <w:vAlign w:val="center"/>
                            <w:hideMark/>
                          </w:tcPr>
                          <w:p w14:paraId="756925DB"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461</w:t>
                            </w:r>
                          </w:p>
                        </w:tc>
                        <w:tc>
                          <w:tcPr>
                            <w:tcW w:w="561" w:type="dxa"/>
                            <w:tcBorders>
                              <w:top w:val="single" w:sz="4" w:space="0" w:color="auto"/>
                              <w:left w:val="single" w:sz="4" w:space="0" w:color="auto"/>
                              <w:bottom w:val="single" w:sz="4" w:space="0" w:color="auto"/>
                              <w:right w:val="single" w:sz="4" w:space="0" w:color="auto"/>
                            </w:tcBorders>
                            <w:vAlign w:val="center"/>
                            <w:hideMark/>
                          </w:tcPr>
                          <w:p w14:paraId="5DDE392B"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278</w:t>
                            </w:r>
                          </w:p>
                        </w:tc>
                        <w:tc>
                          <w:tcPr>
                            <w:tcW w:w="681" w:type="dxa"/>
                            <w:tcBorders>
                              <w:top w:val="single" w:sz="4" w:space="0" w:color="auto"/>
                              <w:left w:val="single" w:sz="4" w:space="0" w:color="auto"/>
                              <w:bottom w:val="single" w:sz="4" w:space="0" w:color="auto"/>
                              <w:right w:val="double" w:sz="4" w:space="0" w:color="auto"/>
                            </w:tcBorders>
                            <w:vAlign w:val="center"/>
                            <w:hideMark/>
                          </w:tcPr>
                          <w:p w14:paraId="31441524"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60.30</w:t>
                            </w:r>
                          </w:p>
                        </w:tc>
                        <w:tc>
                          <w:tcPr>
                            <w:tcW w:w="735" w:type="dxa"/>
                            <w:tcBorders>
                              <w:top w:val="single" w:sz="4" w:space="0" w:color="auto"/>
                              <w:left w:val="double" w:sz="4" w:space="0" w:color="auto"/>
                              <w:bottom w:val="single" w:sz="4" w:space="0" w:color="auto"/>
                              <w:right w:val="single" w:sz="4" w:space="0" w:color="auto"/>
                            </w:tcBorders>
                            <w:vAlign w:val="center"/>
                            <w:hideMark/>
                          </w:tcPr>
                          <w:p w14:paraId="1BEBDCD9"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9,139</w:t>
                            </w:r>
                          </w:p>
                        </w:tc>
                        <w:tc>
                          <w:tcPr>
                            <w:tcW w:w="624" w:type="dxa"/>
                            <w:tcBorders>
                              <w:top w:val="single" w:sz="4" w:space="0" w:color="auto"/>
                              <w:left w:val="single" w:sz="4" w:space="0" w:color="auto"/>
                              <w:bottom w:val="single" w:sz="4" w:space="0" w:color="auto"/>
                              <w:right w:val="single" w:sz="4" w:space="0" w:color="auto"/>
                            </w:tcBorders>
                            <w:vAlign w:val="center"/>
                            <w:hideMark/>
                          </w:tcPr>
                          <w:p w14:paraId="42843158"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825</w:t>
                            </w:r>
                          </w:p>
                        </w:tc>
                        <w:tc>
                          <w:tcPr>
                            <w:tcW w:w="737" w:type="dxa"/>
                            <w:tcBorders>
                              <w:top w:val="single" w:sz="4" w:space="0" w:color="auto"/>
                              <w:left w:val="single" w:sz="4" w:space="0" w:color="auto"/>
                              <w:bottom w:val="single" w:sz="4" w:space="0" w:color="auto"/>
                              <w:right w:val="single" w:sz="4" w:space="0" w:color="auto"/>
                            </w:tcBorders>
                            <w:vAlign w:val="center"/>
                            <w:hideMark/>
                          </w:tcPr>
                          <w:p w14:paraId="6465E5DE"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9.03</w:t>
                            </w:r>
                          </w:p>
                        </w:tc>
                        <w:tc>
                          <w:tcPr>
                            <w:tcW w:w="739" w:type="dxa"/>
                            <w:tcBorders>
                              <w:top w:val="single" w:sz="4" w:space="0" w:color="auto"/>
                              <w:left w:val="single" w:sz="4" w:space="0" w:color="auto"/>
                              <w:bottom w:val="single" w:sz="4" w:space="0" w:color="auto"/>
                              <w:right w:val="single" w:sz="4" w:space="0" w:color="auto"/>
                            </w:tcBorders>
                            <w:vAlign w:val="center"/>
                            <w:hideMark/>
                          </w:tcPr>
                          <w:p w14:paraId="34305AE1"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74</w:t>
                            </w:r>
                          </w:p>
                        </w:tc>
                      </w:tr>
                      <w:tr w:rsidR="008B713D" w14:paraId="2B27D087" w14:textId="77777777">
                        <w:trPr>
                          <w:jc w:val="center"/>
                        </w:trPr>
                        <w:tc>
                          <w:tcPr>
                            <w:tcW w:w="600" w:type="dxa"/>
                            <w:vMerge w:val="restart"/>
                            <w:tcBorders>
                              <w:top w:val="single" w:sz="4" w:space="0" w:color="auto"/>
                              <w:left w:val="single" w:sz="4" w:space="0" w:color="auto"/>
                              <w:bottom w:val="single" w:sz="4" w:space="0" w:color="auto"/>
                              <w:right w:val="single" w:sz="4" w:space="0" w:color="auto"/>
                            </w:tcBorders>
                            <w:vAlign w:val="center"/>
                            <w:hideMark/>
                          </w:tcPr>
                          <w:p w14:paraId="33841E66"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國中</w:t>
                            </w:r>
                          </w:p>
                        </w:tc>
                        <w:tc>
                          <w:tcPr>
                            <w:tcW w:w="510" w:type="dxa"/>
                            <w:tcBorders>
                              <w:top w:val="single" w:sz="4" w:space="0" w:color="auto"/>
                              <w:left w:val="single" w:sz="4" w:space="0" w:color="auto"/>
                              <w:bottom w:val="single" w:sz="4" w:space="0" w:color="auto"/>
                              <w:right w:val="single" w:sz="4" w:space="0" w:color="auto"/>
                            </w:tcBorders>
                            <w:vAlign w:val="center"/>
                            <w:hideMark/>
                          </w:tcPr>
                          <w:p w14:paraId="6E8F0FDC"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111</w:t>
                            </w:r>
                          </w:p>
                        </w:tc>
                        <w:tc>
                          <w:tcPr>
                            <w:tcW w:w="561" w:type="dxa"/>
                            <w:tcBorders>
                              <w:top w:val="single" w:sz="4" w:space="0" w:color="auto"/>
                              <w:left w:val="single" w:sz="4" w:space="0" w:color="auto"/>
                              <w:bottom w:val="single" w:sz="4" w:space="0" w:color="auto"/>
                              <w:right w:val="single" w:sz="4" w:space="0" w:color="auto"/>
                            </w:tcBorders>
                            <w:vAlign w:val="center"/>
                            <w:hideMark/>
                          </w:tcPr>
                          <w:p w14:paraId="01605ED7"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139</w:t>
                            </w:r>
                          </w:p>
                        </w:tc>
                        <w:tc>
                          <w:tcPr>
                            <w:tcW w:w="561" w:type="dxa"/>
                            <w:tcBorders>
                              <w:top w:val="single" w:sz="4" w:space="0" w:color="auto"/>
                              <w:left w:val="single" w:sz="4" w:space="0" w:color="auto"/>
                              <w:bottom w:val="single" w:sz="4" w:space="0" w:color="auto"/>
                              <w:right w:val="single" w:sz="4" w:space="0" w:color="auto"/>
                            </w:tcBorders>
                            <w:vAlign w:val="center"/>
                            <w:hideMark/>
                          </w:tcPr>
                          <w:p w14:paraId="69231194"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119</w:t>
                            </w:r>
                          </w:p>
                        </w:tc>
                        <w:tc>
                          <w:tcPr>
                            <w:tcW w:w="681" w:type="dxa"/>
                            <w:tcBorders>
                              <w:top w:val="single" w:sz="4" w:space="0" w:color="auto"/>
                              <w:left w:val="single" w:sz="4" w:space="0" w:color="auto"/>
                              <w:bottom w:val="single" w:sz="4" w:space="0" w:color="auto"/>
                              <w:right w:val="double" w:sz="4" w:space="0" w:color="auto"/>
                            </w:tcBorders>
                            <w:vAlign w:val="center"/>
                            <w:hideMark/>
                          </w:tcPr>
                          <w:p w14:paraId="016652CE"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85.61</w:t>
                            </w:r>
                          </w:p>
                        </w:tc>
                        <w:tc>
                          <w:tcPr>
                            <w:tcW w:w="735" w:type="dxa"/>
                            <w:tcBorders>
                              <w:top w:val="single" w:sz="4" w:space="0" w:color="auto"/>
                              <w:left w:val="double" w:sz="4" w:space="0" w:color="auto"/>
                              <w:bottom w:val="single" w:sz="4" w:space="0" w:color="auto"/>
                              <w:right w:val="single" w:sz="4" w:space="0" w:color="auto"/>
                            </w:tcBorders>
                            <w:vAlign w:val="center"/>
                            <w:hideMark/>
                          </w:tcPr>
                          <w:p w14:paraId="4D836753"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4,432</w:t>
                            </w:r>
                          </w:p>
                        </w:tc>
                        <w:tc>
                          <w:tcPr>
                            <w:tcW w:w="624" w:type="dxa"/>
                            <w:tcBorders>
                              <w:top w:val="single" w:sz="4" w:space="0" w:color="auto"/>
                              <w:left w:val="single" w:sz="4" w:space="0" w:color="auto"/>
                              <w:bottom w:val="single" w:sz="4" w:space="0" w:color="auto"/>
                              <w:right w:val="single" w:sz="4" w:space="0" w:color="auto"/>
                            </w:tcBorders>
                            <w:vAlign w:val="center"/>
                            <w:hideMark/>
                          </w:tcPr>
                          <w:p w14:paraId="451FC7BA"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497</w:t>
                            </w:r>
                          </w:p>
                        </w:tc>
                        <w:tc>
                          <w:tcPr>
                            <w:tcW w:w="737" w:type="dxa"/>
                            <w:tcBorders>
                              <w:top w:val="single" w:sz="4" w:space="0" w:color="auto"/>
                              <w:left w:val="single" w:sz="4" w:space="0" w:color="auto"/>
                              <w:bottom w:val="single" w:sz="4" w:space="0" w:color="auto"/>
                              <w:right w:val="single" w:sz="4" w:space="0" w:color="auto"/>
                            </w:tcBorders>
                            <w:vAlign w:val="center"/>
                            <w:hideMark/>
                          </w:tcPr>
                          <w:p w14:paraId="6F3DF113"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11.21</w:t>
                            </w:r>
                          </w:p>
                        </w:tc>
                        <w:tc>
                          <w:tcPr>
                            <w:tcW w:w="739" w:type="dxa"/>
                            <w:tcBorders>
                              <w:top w:val="single" w:sz="4" w:space="0" w:color="auto"/>
                              <w:left w:val="single" w:sz="4" w:space="0" w:color="auto"/>
                              <w:bottom w:val="single" w:sz="4" w:space="0" w:color="auto"/>
                              <w:right w:val="single" w:sz="4" w:space="0" w:color="auto"/>
                            </w:tcBorders>
                            <w:vAlign w:val="center"/>
                            <w:hideMark/>
                          </w:tcPr>
                          <w:p w14:paraId="3656632F"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43</w:t>
                            </w:r>
                          </w:p>
                        </w:tc>
                      </w:tr>
                      <w:tr w:rsidR="008B713D" w14:paraId="7B7B131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778557" w14:textId="77777777" w:rsidR="008B713D" w:rsidRDefault="008B713D">
                            <w:pPr>
                              <w:widowControl/>
                              <w:rPr>
                                <w:rFonts w:ascii="標楷體" w:eastAsia="標楷體" w:hAnsi="標楷體"/>
                              </w:rPr>
                            </w:pPr>
                          </w:p>
                        </w:tc>
                        <w:tc>
                          <w:tcPr>
                            <w:tcW w:w="510" w:type="dxa"/>
                            <w:tcBorders>
                              <w:top w:val="single" w:sz="4" w:space="0" w:color="auto"/>
                              <w:left w:val="single" w:sz="4" w:space="0" w:color="auto"/>
                              <w:bottom w:val="single" w:sz="4" w:space="0" w:color="auto"/>
                              <w:right w:val="single" w:sz="4" w:space="0" w:color="auto"/>
                            </w:tcBorders>
                            <w:vAlign w:val="center"/>
                            <w:hideMark/>
                          </w:tcPr>
                          <w:p w14:paraId="51431A38"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112</w:t>
                            </w:r>
                          </w:p>
                        </w:tc>
                        <w:tc>
                          <w:tcPr>
                            <w:tcW w:w="561" w:type="dxa"/>
                            <w:tcBorders>
                              <w:top w:val="single" w:sz="4" w:space="0" w:color="auto"/>
                              <w:left w:val="single" w:sz="4" w:space="0" w:color="auto"/>
                              <w:bottom w:val="single" w:sz="4" w:space="0" w:color="auto"/>
                              <w:right w:val="single" w:sz="4" w:space="0" w:color="auto"/>
                            </w:tcBorders>
                            <w:vAlign w:val="center"/>
                            <w:hideMark/>
                          </w:tcPr>
                          <w:p w14:paraId="1651B85A"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95</w:t>
                            </w:r>
                          </w:p>
                        </w:tc>
                        <w:tc>
                          <w:tcPr>
                            <w:tcW w:w="561" w:type="dxa"/>
                            <w:tcBorders>
                              <w:top w:val="single" w:sz="4" w:space="0" w:color="auto"/>
                              <w:left w:val="single" w:sz="4" w:space="0" w:color="auto"/>
                              <w:bottom w:val="single" w:sz="4" w:space="0" w:color="auto"/>
                              <w:right w:val="single" w:sz="4" w:space="0" w:color="auto"/>
                            </w:tcBorders>
                            <w:vAlign w:val="center"/>
                            <w:hideMark/>
                          </w:tcPr>
                          <w:p w14:paraId="581A1EA6"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85</w:t>
                            </w:r>
                          </w:p>
                        </w:tc>
                        <w:tc>
                          <w:tcPr>
                            <w:tcW w:w="681" w:type="dxa"/>
                            <w:tcBorders>
                              <w:top w:val="single" w:sz="4" w:space="0" w:color="auto"/>
                              <w:left w:val="single" w:sz="4" w:space="0" w:color="auto"/>
                              <w:bottom w:val="single" w:sz="4" w:space="0" w:color="auto"/>
                              <w:right w:val="double" w:sz="4" w:space="0" w:color="auto"/>
                            </w:tcBorders>
                            <w:vAlign w:val="center"/>
                            <w:hideMark/>
                          </w:tcPr>
                          <w:p w14:paraId="7D16AADB"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89.47</w:t>
                            </w:r>
                          </w:p>
                        </w:tc>
                        <w:tc>
                          <w:tcPr>
                            <w:tcW w:w="735" w:type="dxa"/>
                            <w:tcBorders>
                              <w:top w:val="single" w:sz="4" w:space="0" w:color="auto"/>
                              <w:left w:val="double" w:sz="4" w:space="0" w:color="auto"/>
                              <w:bottom w:val="single" w:sz="4" w:space="0" w:color="auto"/>
                              <w:right w:val="single" w:sz="4" w:space="0" w:color="auto"/>
                            </w:tcBorders>
                            <w:vAlign w:val="center"/>
                            <w:hideMark/>
                          </w:tcPr>
                          <w:p w14:paraId="69A58A9E"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4,404</w:t>
                            </w:r>
                          </w:p>
                        </w:tc>
                        <w:tc>
                          <w:tcPr>
                            <w:tcW w:w="624" w:type="dxa"/>
                            <w:tcBorders>
                              <w:top w:val="single" w:sz="4" w:space="0" w:color="auto"/>
                              <w:left w:val="single" w:sz="4" w:space="0" w:color="auto"/>
                              <w:bottom w:val="single" w:sz="4" w:space="0" w:color="auto"/>
                              <w:right w:val="single" w:sz="4" w:space="0" w:color="auto"/>
                            </w:tcBorders>
                            <w:vAlign w:val="center"/>
                            <w:hideMark/>
                          </w:tcPr>
                          <w:p w14:paraId="0EC3C15E"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495</w:t>
                            </w:r>
                          </w:p>
                        </w:tc>
                        <w:tc>
                          <w:tcPr>
                            <w:tcW w:w="737" w:type="dxa"/>
                            <w:tcBorders>
                              <w:top w:val="single" w:sz="4" w:space="0" w:color="auto"/>
                              <w:left w:val="single" w:sz="4" w:space="0" w:color="auto"/>
                              <w:bottom w:val="single" w:sz="4" w:space="0" w:color="auto"/>
                              <w:right w:val="single" w:sz="4" w:space="0" w:color="auto"/>
                            </w:tcBorders>
                            <w:vAlign w:val="center"/>
                            <w:hideMark/>
                          </w:tcPr>
                          <w:p w14:paraId="06DDF131"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11.24</w:t>
                            </w:r>
                          </w:p>
                        </w:tc>
                        <w:tc>
                          <w:tcPr>
                            <w:tcW w:w="739" w:type="dxa"/>
                            <w:tcBorders>
                              <w:top w:val="single" w:sz="4" w:space="0" w:color="auto"/>
                              <w:left w:val="single" w:sz="4" w:space="0" w:color="auto"/>
                              <w:bottom w:val="single" w:sz="4" w:space="0" w:color="auto"/>
                              <w:right w:val="single" w:sz="4" w:space="0" w:color="auto"/>
                            </w:tcBorders>
                            <w:vAlign w:val="center"/>
                            <w:hideMark/>
                          </w:tcPr>
                          <w:p w14:paraId="0B7AA791"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45</w:t>
                            </w:r>
                          </w:p>
                        </w:tc>
                      </w:tr>
                      <w:tr w:rsidR="008B713D" w14:paraId="12F309E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97E951" w14:textId="77777777" w:rsidR="008B713D" w:rsidRDefault="008B713D">
                            <w:pPr>
                              <w:widowControl/>
                              <w:rPr>
                                <w:rFonts w:ascii="標楷體" w:eastAsia="標楷體" w:hAnsi="標楷體"/>
                              </w:rPr>
                            </w:pPr>
                          </w:p>
                        </w:tc>
                        <w:tc>
                          <w:tcPr>
                            <w:tcW w:w="510" w:type="dxa"/>
                            <w:tcBorders>
                              <w:top w:val="single" w:sz="4" w:space="0" w:color="auto"/>
                              <w:left w:val="single" w:sz="4" w:space="0" w:color="auto"/>
                              <w:bottom w:val="single" w:sz="4" w:space="0" w:color="auto"/>
                              <w:right w:val="single" w:sz="4" w:space="0" w:color="auto"/>
                            </w:tcBorders>
                            <w:vAlign w:val="center"/>
                            <w:hideMark/>
                          </w:tcPr>
                          <w:p w14:paraId="4DDE966D" w14:textId="77777777" w:rsidR="008B713D" w:rsidRDefault="008B713D">
                            <w:pPr>
                              <w:spacing w:line="220" w:lineRule="exact"/>
                              <w:ind w:leftChars="-40" w:left="-96" w:rightChars="-40" w:right="-96"/>
                              <w:jc w:val="center"/>
                              <w:rPr>
                                <w:rFonts w:ascii="標楷體" w:eastAsia="標楷體" w:hAnsi="標楷體"/>
                              </w:rPr>
                            </w:pPr>
                            <w:r>
                              <w:rPr>
                                <w:rFonts w:ascii="標楷體" w:eastAsia="標楷體" w:hAnsi="標楷體" w:hint="eastAsia"/>
                              </w:rPr>
                              <w:t>113</w:t>
                            </w:r>
                          </w:p>
                        </w:tc>
                        <w:tc>
                          <w:tcPr>
                            <w:tcW w:w="561" w:type="dxa"/>
                            <w:tcBorders>
                              <w:top w:val="single" w:sz="4" w:space="0" w:color="auto"/>
                              <w:left w:val="single" w:sz="4" w:space="0" w:color="auto"/>
                              <w:bottom w:val="single" w:sz="4" w:space="0" w:color="auto"/>
                              <w:right w:val="single" w:sz="4" w:space="0" w:color="auto"/>
                            </w:tcBorders>
                            <w:vAlign w:val="center"/>
                            <w:hideMark/>
                          </w:tcPr>
                          <w:p w14:paraId="6F3DB0CE"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136</w:t>
                            </w:r>
                          </w:p>
                        </w:tc>
                        <w:tc>
                          <w:tcPr>
                            <w:tcW w:w="561" w:type="dxa"/>
                            <w:tcBorders>
                              <w:top w:val="single" w:sz="4" w:space="0" w:color="auto"/>
                              <w:left w:val="single" w:sz="4" w:space="0" w:color="auto"/>
                              <w:bottom w:val="single" w:sz="4" w:space="0" w:color="auto"/>
                              <w:right w:val="single" w:sz="4" w:space="0" w:color="auto"/>
                            </w:tcBorders>
                            <w:vAlign w:val="center"/>
                            <w:hideMark/>
                          </w:tcPr>
                          <w:p w14:paraId="2CB4CD8B"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126</w:t>
                            </w:r>
                          </w:p>
                        </w:tc>
                        <w:tc>
                          <w:tcPr>
                            <w:tcW w:w="681" w:type="dxa"/>
                            <w:tcBorders>
                              <w:top w:val="single" w:sz="4" w:space="0" w:color="auto"/>
                              <w:left w:val="single" w:sz="4" w:space="0" w:color="auto"/>
                              <w:bottom w:val="single" w:sz="4" w:space="0" w:color="auto"/>
                              <w:right w:val="double" w:sz="4" w:space="0" w:color="auto"/>
                            </w:tcBorders>
                            <w:vAlign w:val="center"/>
                            <w:hideMark/>
                          </w:tcPr>
                          <w:p w14:paraId="2F3E06F8" w14:textId="77777777" w:rsidR="008B713D" w:rsidRDefault="008B713D" w:rsidP="00B12532">
                            <w:pPr>
                              <w:spacing w:line="220" w:lineRule="exact"/>
                              <w:ind w:rightChars="-20" w:right="-48"/>
                              <w:jc w:val="right"/>
                              <w:rPr>
                                <w:rFonts w:ascii="標楷體" w:eastAsia="標楷體" w:hAnsi="標楷體"/>
                                <w:spacing w:val="-8"/>
                              </w:rPr>
                            </w:pPr>
                            <w:r>
                              <w:rPr>
                                <w:rFonts w:ascii="標楷體" w:eastAsia="標楷體" w:hAnsi="標楷體" w:hint="eastAsia"/>
                                <w:spacing w:val="-8"/>
                              </w:rPr>
                              <w:t>92.65</w:t>
                            </w:r>
                          </w:p>
                        </w:tc>
                        <w:tc>
                          <w:tcPr>
                            <w:tcW w:w="735" w:type="dxa"/>
                            <w:tcBorders>
                              <w:top w:val="single" w:sz="4" w:space="0" w:color="auto"/>
                              <w:left w:val="double" w:sz="4" w:space="0" w:color="auto"/>
                              <w:bottom w:val="single" w:sz="4" w:space="0" w:color="auto"/>
                              <w:right w:val="single" w:sz="4" w:space="0" w:color="auto"/>
                            </w:tcBorders>
                            <w:vAlign w:val="center"/>
                            <w:hideMark/>
                          </w:tcPr>
                          <w:p w14:paraId="799E17C8"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4,806</w:t>
                            </w:r>
                          </w:p>
                        </w:tc>
                        <w:tc>
                          <w:tcPr>
                            <w:tcW w:w="624" w:type="dxa"/>
                            <w:tcBorders>
                              <w:top w:val="single" w:sz="4" w:space="0" w:color="auto"/>
                              <w:left w:val="single" w:sz="4" w:space="0" w:color="auto"/>
                              <w:bottom w:val="single" w:sz="4" w:space="0" w:color="auto"/>
                              <w:right w:val="single" w:sz="4" w:space="0" w:color="auto"/>
                            </w:tcBorders>
                            <w:vAlign w:val="center"/>
                            <w:hideMark/>
                          </w:tcPr>
                          <w:p w14:paraId="41033CA2"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600</w:t>
                            </w:r>
                          </w:p>
                        </w:tc>
                        <w:tc>
                          <w:tcPr>
                            <w:tcW w:w="737" w:type="dxa"/>
                            <w:tcBorders>
                              <w:top w:val="single" w:sz="4" w:space="0" w:color="auto"/>
                              <w:left w:val="single" w:sz="4" w:space="0" w:color="auto"/>
                              <w:bottom w:val="single" w:sz="4" w:space="0" w:color="auto"/>
                              <w:right w:val="single" w:sz="4" w:space="0" w:color="auto"/>
                            </w:tcBorders>
                            <w:vAlign w:val="center"/>
                            <w:hideMark/>
                          </w:tcPr>
                          <w:p w14:paraId="3439D8C3"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12.48</w:t>
                            </w:r>
                          </w:p>
                        </w:tc>
                        <w:tc>
                          <w:tcPr>
                            <w:tcW w:w="739" w:type="dxa"/>
                            <w:tcBorders>
                              <w:top w:val="single" w:sz="4" w:space="0" w:color="auto"/>
                              <w:left w:val="single" w:sz="4" w:space="0" w:color="auto"/>
                              <w:bottom w:val="single" w:sz="4" w:space="0" w:color="auto"/>
                              <w:right w:val="single" w:sz="4" w:space="0" w:color="auto"/>
                            </w:tcBorders>
                            <w:vAlign w:val="center"/>
                            <w:hideMark/>
                          </w:tcPr>
                          <w:p w14:paraId="2A3D7660" w14:textId="77777777" w:rsidR="008B713D" w:rsidRDefault="008B713D" w:rsidP="00B12532">
                            <w:pPr>
                              <w:spacing w:line="220" w:lineRule="exact"/>
                              <w:ind w:rightChars="-20" w:right="-48"/>
                              <w:jc w:val="right"/>
                              <w:rPr>
                                <w:rFonts w:ascii="標楷體" w:eastAsia="標楷體" w:hAnsi="標楷體"/>
                              </w:rPr>
                            </w:pPr>
                            <w:r>
                              <w:rPr>
                                <w:rFonts w:ascii="標楷體" w:eastAsia="標楷體" w:hAnsi="標楷體" w:hint="eastAsia"/>
                              </w:rPr>
                              <w:t>50</w:t>
                            </w:r>
                          </w:p>
                        </w:tc>
                      </w:tr>
                    </w:tbl>
                    <w:p w14:paraId="10D0CD20" w14:textId="77777777" w:rsidR="008B713D" w:rsidRDefault="008B713D" w:rsidP="008B713D">
                      <w:pPr>
                        <w:spacing w:line="200" w:lineRule="exact"/>
                        <w:ind w:leftChars="-50" w:left="420" w:rightChars="-50" w:right="-120" w:hangingChars="300" w:hanging="540"/>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：1.本表國小教</w:t>
                      </w:r>
                      <w:proofErr w:type="gramStart"/>
                      <w:r>
                        <w:rPr>
                          <w:rFonts w:ascii="標楷體" w:eastAsia="標楷體" w:hAnsi="標楷體" w:hint="eastAsia"/>
                          <w:sz w:val="18"/>
                          <w:szCs w:val="18"/>
                        </w:rPr>
                        <w:t>甄</w:t>
                      </w:r>
                      <w:proofErr w:type="gramEnd"/>
                      <w:r>
                        <w:rPr>
                          <w:rFonts w:ascii="標楷體" w:eastAsia="標楷體" w:hAnsi="標楷體" w:hint="eastAsia"/>
                          <w:sz w:val="18"/>
                          <w:szCs w:val="18"/>
                        </w:rPr>
                        <w:t>辦理情形資料，因教育局無法提供</w:t>
                      </w:r>
                      <w:proofErr w:type="gramStart"/>
                      <w:r>
                        <w:rPr>
                          <w:rFonts w:ascii="標楷體" w:eastAsia="標楷體" w:hAnsi="標楷體" w:hint="eastAsia"/>
                          <w:sz w:val="18"/>
                          <w:szCs w:val="18"/>
                        </w:rPr>
                        <w:t>各校明細</w:t>
                      </w:r>
                      <w:proofErr w:type="gramEnd"/>
                      <w:r>
                        <w:rPr>
                          <w:rFonts w:ascii="標楷體" w:eastAsia="標楷體" w:hAnsi="標楷體" w:hint="eastAsia"/>
                          <w:sz w:val="18"/>
                          <w:szCs w:val="18"/>
                        </w:rPr>
                        <w:t>資料，</w:t>
                      </w:r>
                      <w:proofErr w:type="gramStart"/>
                      <w:r>
                        <w:rPr>
                          <w:rFonts w:ascii="標楷體" w:eastAsia="標楷體" w:hAnsi="標楷體" w:hint="eastAsia"/>
                          <w:sz w:val="18"/>
                          <w:szCs w:val="18"/>
                        </w:rPr>
                        <w:t>爰</w:t>
                      </w:r>
                      <w:proofErr w:type="gramEnd"/>
                      <w:r>
                        <w:rPr>
                          <w:rFonts w:ascii="標楷體" w:eastAsia="標楷體" w:hAnsi="標楷體" w:hint="eastAsia"/>
                          <w:sz w:val="18"/>
                          <w:szCs w:val="18"/>
                        </w:rPr>
                        <w:t>包含前開2所國立學校參與教甄之相關數據。</w:t>
                      </w:r>
                    </w:p>
                    <w:p w14:paraId="3559FA0D" w14:textId="77777777" w:rsidR="008B713D" w:rsidRDefault="008B713D" w:rsidP="008B713D">
                      <w:pPr>
                        <w:spacing w:line="200" w:lineRule="exact"/>
                        <w:ind w:leftChars="100" w:left="330" w:hangingChars="50" w:hanging="90"/>
                        <w:jc w:val="both"/>
                        <w:rPr>
                          <w:rFonts w:ascii="標楷體" w:eastAsia="標楷體" w:hAnsi="標楷體"/>
                          <w:sz w:val="18"/>
                          <w:szCs w:val="18"/>
                        </w:rPr>
                      </w:pPr>
                      <w:r>
                        <w:rPr>
                          <w:rFonts w:ascii="標楷體" w:eastAsia="標楷體" w:hAnsi="標楷體" w:hint="eastAsia"/>
                          <w:sz w:val="18"/>
                          <w:szCs w:val="18"/>
                        </w:rPr>
                        <w:t>2.資料來源：整理自教育局提供資料。</w:t>
                      </w:r>
                    </w:p>
                    <w:p w14:paraId="57DA8BC1" w14:textId="77777777" w:rsidR="008B713D" w:rsidRDefault="008B713D" w:rsidP="008B713D">
                      <w:pPr>
                        <w:jc w:val="center"/>
                        <w:rPr>
                          <w:rFonts w:ascii="標楷體" w:eastAsia="標楷體" w:hAnsi="標楷體"/>
                          <w:b/>
                          <w:bCs/>
                        </w:rPr>
                      </w:pPr>
                    </w:p>
                    <w:p w14:paraId="76304C71" w14:textId="77777777" w:rsidR="008B713D" w:rsidRDefault="008B713D" w:rsidP="008B713D">
                      <w:pPr>
                        <w:jc w:val="center"/>
                        <w:rPr>
                          <w:rFonts w:ascii="標楷體" w:eastAsia="標楷體" w:hAnsi="標楷體"/>
                          <w:b/>
                          <w:bCs/>
                        </w:rPr>
                      </w:pPr>
                      <w:r>
                        <w:rPr>
                          <w:rFonts w:ascii="標楷體" w:eastAsia="標楷體" w:hAnsi="標楷體" w:hint="eastAsia"/>
                          <w:b/>
                          <w:bCs/>
                        </w:rPr>
                        <w:t>00</w:t>
                      </w:r>
                    </w:p>
                  </w:txbxContent>
                </v:textbox>
                <w10:wrap type="tight" anchorx="margin" anchory="page"/>
              </v:shape>
            </w:pict>
          </mc:Fallback>
        </mc:AlternateContent>
      </w:r>
      <w:r w:rsidRPr="00EE0035">
        <w:rPr>
          <w:rFonts w:ascii="標楷體" w:eastAsia="標楷體" w:hAnsi="標楷體" w:hint="eastAsia"/>
          <w:b/>
          <w:bCs/>
        </w:rPr>
        <w:t>1.為總體降低臺北市代理教師人數，111至113年度每年均調查所屬國中小正式教師缺額並辦理教</w:t>
      </w:r>
      <w:proofErr w:type="gramStart"/>
      <w:r w:rsidRPr="00EE0035">
        <w:rPr>
          <w:rFonts w:ascii="標楷體" w:eastAsia="標楷體" w:hAnsi="標楷體" w:hint="eastAsia"/>
          <w:b/>
          <w:bCs/>
        </w:rPr>
        <w:t>甄</w:t>
      </w:r>
      <w:proofErr w:type="gramEnd"/>
      <w:r w:rsidRPr="00EE0035">
        <w:rPr>
          <w:rFonts w:ascii="標楷體" w:eastAsia="標楷體" w:hAnsi="標楷體" w:hint="eastAsia"/>
          <w:b/>
          <w:bCs/>
        </w:rPr>
        <w:t>作業，惟整體編制內懸缺代理教師比率仍逾規定上限：</w:t>
      </w:r>
      <w:r w:rsidRPr="00EE0035">
        <w:rPr>
          <w:rFonts w:ascii="標楷體" w:eastAsia="標楷體" w:hAnsi="標楷體" w:hint="eastAsia"/>
        </w:rPr>
        <w:t>教育局為總體降低臺北市代理教師人數，並依國民小學與國民中學班級編制及教職員員額編制準則第3條第2項及第4條第2項規定，將各校代理教師聘用控制在教師員額編制數8％範圍內，111至113年度已積極調查所屬國中小、國立政治大學附設實驗國小及國立</w:t>
      </w:r>
      <w:proofErr w:type="gramStart"/>
      <w:r w:rsidRPr="00EE0035">
        <w:rPr>
          <w:rFonts w:ascii="標楷體" w:eastAsia="標楷體" w:hAnsi="標楷體" w:hint="eastAsia"/>
        </w:rPr>
        <w:t>臺</w:t>
      </w:r>
      <w:proofErr w:type="gramEnd"/>
      <w:r w:rsidRPr="00EE0035">
        <w:rPr>
          <w:rFonts w:ascii="標楷體" w:eastAsia="標楷體" w:hAnsi="標楷體" w:hint="eastAsia"/>
        </w:rPr>
        <w:t>北教育大學附設實驗國小111至113學年度正式教師缺額，並分年核定國中小教</w:t>
      </w:r>
      <w:proofErr w:type="gramStart"/>
      <w:r w:rsidRPr="00EE0035">
        <w:rPr>
          <w:rFonts w:ascii="標楷體" w:eastAsia="標楷體" w:hAnsi="標楷體" w:hint="eastAsia"/>
        </w:rPr>
        <w:t>甄</w:t>
      </w:r>
      <w:proofErr w:type="gramEnd"/>
      <w:r w:rsidRPr="00EE0035">
        <w:rPr>
          <w:rFonts w:ascii="標楷體" w:eastAsia="標楷體" w:hAnsi="標楷體" w:hint="eastAsia"/>
        </w:rPr>
        <w:t>名額共520人、562人及597人，惟執行結果，國小教</w:t>
      </w:r>
      <w:proofErr w:type="gramStart"/>
      <w:r w:rsidRPr="00EE0035">
        <w:rPr>
          <w:rFonts w:ascii="標楷體" w:eastAsia="標楷體" w:hAnsi="標楷體" w:hint="eastAsia"/>
        </w:rPr>
        <w:t>甄</w:t>
      </w:r>
      <w:proofErr w:type="gramEnd"/>
      <w:r w:rsidRPr="00EE0035">
        <w:rPr>
          <w:rFonts w:ascii="標楷體" w:eastAsia="標楷體" w:hAnsi="標楷體" w:hint="eastAsia"/>
        </w:rPr>
        <w:t>部分或因受考生關鍵能力不符預期，</w:t>
      </w:r>
      <w:proofErr w:type="gramStart"/>
      <w:r w:rsidRPr="00EE0035">
        <w:rPr>
          <w:rFonts w:ascii="標楷體" w:eastAsia="標楷體" w:hAnsi="標楷體" w:hint="eastAsia"/>
        </w:rPr>
        <w:t>或因類科</w:t>
      </w:r>
      <w:proofErr w:type="gramEnd"/>
      <w:r w:rsidRPr="00EE0035">
        <w:rPr>
          <w:rFonts w:ascii="標楷體" w:eastAsia="標楷體" w:hAnsi="標楷體" w:hint="eastAsia"/>
        </w:rPr>
        <w:t>報名人數較少，或因錄取</w:t>
      </w:r>
      <w:proofErr w:type="gramStart"/>
      <w:r w:rsidRPr="00EE0035">
        <w:rPr>
          <w:rFonts w:ascii="標楷體" w:eastAsia="標楷體" w:hAnsi="標楷體" w:hint="eastAsia"/>
        </w:rPr>
        <w:t>人員重榜選擇</w:t>
      </w:r>
      <w:proofErr w:type="gramEnd"/>
      <w:r w:rsidRPr="00EE0035">
        <w:rPr>
          <w:rFonts w:ascii="標楷體" w:eastAsia="標楷體" w:hAnsi="標楷體" w:hint="eastAsia"/>
        </w:rPr>
        <w:t>至他縣市報到影響，每年實際錄取報到率僅介於57.60％至60.63％不等（表1）；又國中教</w:t>
      </w:r>
      <w:proofErr w:type="gramStart"/>
      <w:r w:rsidRPr="00EE0035">
        <w:rPr>
          <w:rFonts w:ascii="標楷體" w:eastAsia="標楷體" w:hAnsi="標楷體" w:hint="eastAsia"/>
        </w:rPr>
        <w:t>甄</w:t>
      </w:r>
      <w:proofErr w:type="gramEnd"/>
      <w:r w:rsidRPr="00EE0035">
        <w:rPr>
          <w:rFonts w:ascii="標楷體" w:eastAsia="標楷體" w:hAnsi="標楷體" w:hint="eastAsia"/>
        </w:rPr>
        <w:t>部分因受限於工作小組量能不足，實際核定教</w:t>
      </w:r>
      <w:proofErr w:type="gramStart"/>
      <w:r w:rsidRPr="00EE0035">
        <w:rPr>
          <w:rFonts w:ascii="標楷體" w:eastAsia="標楷體" w:hAnsi="標楷體" w:hint="eastAsia"/>
        </w:rPr>
        <w:t>甄</w:t>
      </w:r>
      <w:proofErr w:type="gramEnd"/>
      <w:r w:rsidRPr="00EE0035">
        <w:rPr>
          <w:rFonts w:ascii="標楷體" w:eastAsia="標楷體" w:hAnsi="標楷體" w:hint="eastAsia"/>
        </w:rPr>
        <w:t>名額，</w:t>
      </w:r>
      <w:proofErr w:type="gramStart"/>
      <w:r w:rsidRPr="00EE0035">
        <w:rPr>
          <w:rFonts w:ascii="標楷體" w:eastAsia="標楷體" w:hAnsi="標楷體" w:hint="eastAsia"/>
        </w:rPr>
        <w:t>間有較</w:t>
      </w:r>
      <w:proofErr w:type="gramEnd"/>
      <w:r w:rsidRPr="00EE0035">
        <w:rPr>
          <w:rFonts w:ascii="標楷體" w:eastAsia="標楷體" w:hAnsi="標楷體" w:hint="eastAsia"/>
        </w:rPr>
        <w:t>各校提報需求數減少約2至</w:t>
      </w:r>
      <w:proofErr w:type="gramStart"/>
      <w:r w:rsidRPr="00EE0035">
        <w:rPr>
          <w:rFonts w:ascii="標楷體" w:eastAsia="標楷體" w:hAnsi="標楷體" w:hint="eastAsia"/>
        </w:rPr>
        <w:t>3成</w:t>
      </w:r>
      <w:proofErr w:type="gramEnd"/>
      <w:r w:rsidRPr="00EE0035">
        <w:rPr>
          <w:rFonts w:ascii="標楷體" w:eastAsia="標楷體" w:hAnsi="標楷體" w:hint="eastAsia"/>
        </w:rPr>
        <w:t>，致臺北市立139所國小及58所國中111至113學年度整體編制內懸缺代理教師</w:t>
      </w:r>
      <w:proofErr w:type="gramStart"/>
      <w:r w:rsidRPr="00EE0035">
        <w:rPr>
          <w:rFonts w:ascii="標楷體" w:eastAsia="標楷體" w:hAnsi="標楷體" w:hint="eastAsia"/>
        </w:rPr>
        <w:t>比率均逾規定</w:t>
      </w:r>
      <w:proofErr w:type="gramEnd"/>
      <w:r w:rsidRPr="00EE0035">
        <w:rPr>
          <w:rFonts w:ascii="標楷體" w:eastAsia="標楷體" w:hAnsi="標楷體" w:hint="eastAsia"/>
        </w:rPr>
        <w:t>8％上限（表1），且迄至113學年度，懸缺代理教師比率不符規定之</w:t>
      </w:r>
    </w:p>
    <w:p w14:paraId="175471D0" w14:textId="69E89960" w:rsidR="008B713D" w:rsidRPr="00EE0035" w:rsidRDefault="008B713D" w:rsidP="005405B6">
      <w:pPr>
        <w:widowControl/>
        <w:overflowPunct w:val="0"/>
        <w:spacing w:line="440" w:lineRule="exact"/>
        <w:jc w:val="both"/>
        <w:rPr>
          <w:rFonts w:ascii="標楷體" w:eastAsia="標楷體" w:hAnsi="標楷體"/>
        </w:rPr>
      </w:pPr>
      <w:r w:rsidRPr="00EE0035">
        <w:rPr>
          <w:rFonts w:ascii="標楷體" w:eastAsia="標楷體" w:hAnsi="標楷體" w:hint="eastAsia"/>
        </w:rPr>
        <w:t>國小及國中仍各有74校及50校，分別占</w:t>
      </w:r>
      <w:proofErr w:type="gramStart"/>
      <w:r w:rsidRPr="00EE0035">
        <w:rPr>
          <w:rFonts w:ascii="標楷體" w:eastAsia="標楷體" w:hAnsi="標楷體" w:hint="eastAsia"/>
        </w:rPr>
        <w:t>各學層總</w:t>
      </w:r>
      <w:proofErr w:type="gramEnd"/>
      <w:r w:rsidRPr="00EE0035">
        <w:rPr>
          <w:rFonts w:ascii="標楷體" w:eastAsia="標楷體" w:hAnsi="標楷體" w:hint="eastAsia"/>
        </w:rPr>
        <w:t>校數之53.24％及86.21％情事，經函請積極</w:t>
      </w:r>
      <w:proofErr w:type="gramStart"/>
      <w:r w:rsidRPr="00EE0035">
        <w:rPr>
          <w:rFonts w:ascii="標楷體" w:eastAsia="標楷體" w:hAnsi="標楷體" w:hint="eastAsia"/>
        </w:rPr>
        <w:t>研謀善策</w:t>
      </w:r>
      <w:proofErr w:type="gramEnd"/>
      <w:r w:rsidRPr="00EE0035">
        <w:rPr>
          <w:rFonts w:ascii="標楷體" w:eastAsia="標楷體" w:hAnsi="標楷體" w:hint="eastAsia"/>
        </w:rPr>
        <w:t>因應，以預防各校人力斷層現象。據復：國小教</w:t>
      </w:r>
      <w:proofErr w:type="gramStart"/>
      <w:r w:rsidRPr="00EE0035">
        <w:rPr>
          <w:rFonts w:ascii="標楷體" w:eastAsia="標楷體" w:hAnsi="標楷體" w:hint="eastAsia"/>
        </w:rPr>
        <w:t>甄</w:t>
      </w:r>
      <w:proofErr w:type="gramEnd"/>
      <w:r w:rsidRPr="00EE0035">
        <w:rPr>
          <w:rFonts w:ascii="標楷體" w:eastAsia="標楷體" w:hAnsi="標楷體" w:hint="eastAsia"/>
        </w:rPr>
        <w:t>部分，將持續透過</w:t>
      </w:r>
      <w:proofErr w:type="gramStart"/>
      <w:r w:rsidRPr="00EE0035">
        <w:rPr>
          <w:rFonts w:ascii="標楷體" w:eastAsia="標楷體" w:hAnsi="標楷體" w:hint="eastAsia"/>
        </w:rPr>
        <w:t>資績加分</w:t>
      </w:r>
      <w:proofErr w:type="gramEnd"/>
      <w:r w:rsidRPr="00EE0035">
        <w:rPr>
          <w:rFonts w:ascii="標楷體" w:eastAsia="標楷體" w:hAnsi="標楷體" w:hint="eastAsia"/>
        </w:rPr>
        <w:t>制度，提供全國最優之交通補助、教師獎勵及激勵措施，並評估增加備取人數等，以提高錄取率及報到率；國中教</w:t>
      </w:r>
      <w:proofErr w:type="gramStart"/>
      <w:r w:rsidRPr="00EE0035">
        <w:rPr>
          <w:rFonts w:ascii="標楷體" w:eastAsia="標楷體" w:hAnsi="標楷體" w:hint="eastAsia"/>
        </w:rPr>
        <w:t>甄</w:t>
      </w:r>
      <w:proofErr w:type="gramEnd"/>
      <w:r w:rsidRPr="00EE0035">
        <w:rPr>
          <w:rFonts w:ascii="標楷體" w:eastAsia="標楷體" w:hAnsi="標楷體" w:hint="eastAsia"/>
        </w:rPr>
        <w:t>部分，未來在教</w:t>
      </w:r>
      <w:proofErr w:type="gramStart"/>
      <w:r w:rsidRPr="00EE0035">
        <w:rPr>
          <w:rFonts w:ascii="標楷體" w:eastAsia="標楷體" w:hAnsi="標楷體" w:hint="eastAsia"/>
        </w:rPr>
        <w:t>甄</w:t>
      </w:r>
      <w:proofErr w:type="gramEnd"/>
      <w:r w:rsidRPr="00EE0035">
        <w:rPr>
          <w:rFonts w:ascii="標楷體" w:eastAsia="標楷體" w:hAnsi="標楷體" w:hint="eastAsia"/>
        </w:rPr>
        <w:t>工作小組量能負荷範圍內，將規劃增加招考科目，</w:t>
      </w:r>
      <w:proofErr w:type="gramStart"/>
      <w:r w:rsidRPr="00EE0035">
        <w:rPr>
          <w:rFonts w:ascii="標楷體" w:eastAsia="標楷體" w:hAnsi="標楷體" w:hint="eastAsia"/>
        </w:rPr>
        <w:t>另倘少數</w:t>
      </w:r>
      <w:proofErr w:type="gramEnd"/>
      <w:r w:rsidRPr="00EE0035">
        <w:rPr>
          <w:rFonts w:ascii="標楷體" w:eastAsia="標楷體" w:hAnsi="標楷體" w:hint="eastAsia"/>
        </w:rPr>
        <w:t>科目未能於教</w:t>
      </w:r>
      <w:proofErr w:type="gramStart"/>
      <w:r w:rsidRPr="00EE0035">
        <w:rPr>
          <w:rFonts w:ascii="標楷體" w:eastAsia="標楷體" w:hAnsi="標楷體" w:hint="eastAsia"/>
        </w:rPr>
        <w:t>甄</w:t>
      </w:r>
      <w:proofErr w:type="gramEnd"/>
      <w:r w:rsidRPr="00EE0035">
        <w:rPr>
          <w:rFonts w:ascii="標楷體" w:eastAsia="標楷體" w:hAnsi="標楷體" w:hint="eastAsia"/>
        </w:rPr>
        <w:t>招考，得由</w:t>
      </w:r>
      <w:proofErr w:type="gramStart"/>
      <w:r w:rsidRPr="00EE0035">
        <w:rPr>
          <w:rFonts w:ascii="標楷體" w:eastAsia="標楷體" w:hAnsi="標楷體" w:hint="eastAsia"/>
        </w:rPr>
        <w:t>各校函報</w:t>
      </w:r>
      <w:proofErr w:type="gramEnd"/>
      <w:r w:rsidRPr="00EE0035">
        <w:rPr>
          <w:rFonts w:ascii="標楷體" w:eastAsia="標楷體" w:hAnsi="標楷體" w:hint="eastAsia"/>
        </w:rPr>
        <w:t>開缺需求後由各校</w:t>
      </w:r>
      <w:proofErr w:type="gramStart"/>
      <w:r w:rsidRPr="00EE0035">
        <w:rPr>
          <w:rFonts w:ascii="標楷體" w:eastAsia="標楷體" w:hAnsi="標楷體" w:hint="eastAsia"/>
        </w:rPr>
        <w:t>辦理獨招</w:t>
      </w:r>
      <w:proofErr w:type="gramEnd"/>
      <w:r w:rsidRPr="00EE0035">
        <w:rPr>
          <w:rFonts w:ascii="標楷體" w:eastAsia="標楷體" w:hAnsi="標楷體" w:hint="eastAsia"/>
        </w:rPr>
        <w:t>。</w:t>
      </w:r>
    </w:p>
    <w:p w14:paraId="5ED27EB6" w14:textId="77777777" w:rsidR="005405B6" w:rsidRDefault="008B713D" w:rsidP="004B480D">
      <w:pPr>
        <w:widowControl/>
        <w:overflowPunct w:val="0"/>
        <w:spacing w:line="440" w:lineRule="exact"/>
        <w:ind w:firstLineChars="200" w:firstLine="472"/>
        <w:jc w:val="both"/>
        <w:rPr>
          <w:rFonts w:ascii="標楷體" w:eastAsia="標楷體" w:hAnsi="標楷體"/>
          <w:spacing w:val="-2"/>
        </w:rPr>
      </w:pPr>
      <w:r>
        <w:rPr>
          <w:rFonts w:ascii="標楷體" w:eastAsia="標楷體" w:hAnsi="標楷體" w:hint="eastAsia"/>
          <w:b/>
          <w:bCs/>
          <w:spacing w:val="-2"/>
        </w:rPr>
        <w:t>2.臺北市立國中小安排代理教師職務情形，核有兼任行政職務人數比率已突破</w:t>
      </w:r>
      <w:proofErr w:type="gramStart"/>
      <w:r>
        <w:rPr>
          <w:rFonts w:ascii="標楷體" w:eastAsia="標楷體" w:hAnsi="標楷體" w:hint="eastAsia"/>
          <w:b/>
          <w:bCs/>
          <w:spacing w:val="-2"/>
        </w:rPr>
        <w:t>1成</w:t>
      </w:r>
      <w:proofErr w:type="gramEnd"/>
      <w:r>
        <w:rPr>
          <w:rFonts w:ascii="標楷體" w:eastAsia="標楷體" w:hAnsi="標楷體" w:hint="eastAsia"/>
          <w:b/>
          <w:bCs/>
          <w:spacing w:val="-2"/>
        </w:rPr>
        <w:t>，且國小代理教師擔任導師比率近</w:t>
      </w:r>
      <w:proofErr w:type="gramStart"/>
      <w:r>
        <w:rPr>
          <w:rFonts w:ascii="標楷體" w:eastAsia="標楷體" w:hAnsi="標楷體" w:hint="eastAsia"/>
          <w:b/>
          <w:bCs/>
          <w:spacing w:val="-2"/>
        </w:rPr>
        <w:t>5成</w:t>
      </w:r>
      <w:proofErr w:type="gramEnd"/>
      <w:r>
        <w:rPr>
          <w:rFonts w:ascii="標楷體" w:eastAsia="標楷體" w:hAnsi="標楷體" w:hint="eastAsia"/>
          <w:b/>
          <w:bCs/>
          <w:spacing w:val="-2"/>
        </w:rPr>
        <w:t>，均不利於校務發展及穩定班級經營：</w:t>
      </w:r>
      <w:r>
        <w:rPr>
          <w:rFonts w:ascii="標楷體" w:eastAsia="標楷體" w:hAnsi="標楷體" w:hint="eastAsia"/>
          <w:spacing w:val="-2"/>
        </w:rPr>
        <w:t>依高級中等以下學校兼任代課及代理教師聘任辦法第17條規定：「兼任、代課及代理教師不得擔任學校導師或</w:t>
      </w:r>
      <w:proofErr w:type="gramStart"/>
      <w:r>
        <w:rPr>
          <w:rFonts w:ascii="標楷體" w:eastAsia="標楷體" w:hAnsi="標楷體" w:hint="eastAsia"/>
          <w:spacing w:val="-2"/>
        </w:rPr>
        <w:t>各處（</w:t>
      </w:r>
      <w:proofErr w:type="gramEnd"/>
      <w:r>
        <w:rPr>
          <w:rFonts w:ascii="標楷體" w:eastAsia="標楷體" w:hAnsi="標楷體" w:hint="eastAsia"/>
          <w:spacing w:val="-2"/>
        </w:rPr>
        <w:t>室）行政職務。但情況特殊，經各該主管機關核准者，代理教師得擔任之。」教育局為維護學生權益及穩定班級經營，雖一再向所屬高中（職）以下學校重申有關導師職務安排，以正式教師擔任導師為原則；倘情況特殊，</w:t>
      </w:r>
      <w:proofErr w:type="gramStart"/>
      <w:r>
        <w:rPr>
          <w:rFonts w:ascii="標楷體" w:eastAsia="標楷體" w:hAnsi="標楷體" w:hint="eastAsia"/>
          <w:spacing w:val="-2"/>
        </w:rPr>
        <w:t>須敘明</w:t>
      </w:r>
      <w:proofErr w:type="gramEnd"/>
      <w:r>
        <w:rPr>
          <w:rFonts w:ascii="標楷體" w:eastAsia="標楷體" w:hAnsi="標楷體" w:hint="eastAsia"/>
          <w:spacing w:val="-2"/>
        </w:rPr>
        <w:t>事由報經該局審核同意後，始得為之；且國小學校如非得已安排代</w:t>
      </w:r>
      <w:r w:rsidRPr="004B480D">
        <w:rPr>
          <w:rFonts w:ascii="標楷體" w:eastAsia="標楷體" w:hAnsi="標楷體" w:hint="eastAsia"/>
          <w:spacing w:val="-4"/>
        </w:rPr>
        <w:t>理教師擔任班級導師職務，須符合平均分散於低、中、高年級，不得過度集中於特定年級等原則。</w:t>
      </w:r>
      <w:proofErr w:type="gramStart"/>
      <w:r w:rsidRPr="004B480D">
        <w:rPr>
          <w:rFonts w:ascii="標楷體" w:eastAsia="標楷體" w:hAnsi="標楷體" w:hint="eastAsia"/>
          <w:spacing w:val="-4"/>
        </w:rPr>
        <w:t>惟查111至113</w:t>
      </w:r>
      <w:proofErr w:type="gramEnd"/>
      <w:r w:rsidRPr="004B480D">
        <w:rPr>
          <w:rFonts w:ascii="標楷體" w:eastAsia="標楷體" w:hAnsi="標楷體" w:hint="eastAsia"/>
          <w:spacing w:val="-4"/>
        </w:rPr>
        <w:t>學年度臺北市立國中小代理教師兼任行政職務人數比率已突破</w:t>
      </w:r>
      <w:proofErr w:type="gramStart"/>
      <w:r w:rsidRPr="004B480D">
        <w:rPr>
          <w:rFonts w:ascii="標楷體" w:eastAsia="標楷體" w:hAnsi="標楷體" w:hint="eastAsia"/>
          <w:spacing w:val="-4"/>
        </w:rPr>
        <w:t>1成</w:t>
      </w:r>
      <w:proofErr w:type="gramEnd"/>
      <w:r w:rsidRPr="004B480D">
        <w:rPr>
          <w:rFonts w:ascii="標楷體" w:eastAsia="標楷體" w:hAnsi="標楷體" w:hint="eastAsia"/>
          <w:spacing w:val="-4"/>
        </w:rPr>
        <w:t>，又國小代理教</w:t>
      </w:r>
    </w:p>
    <w:p w14:paraId="29670ADA" w14:textId="51D4767D" w:rsidR="005405B6" w:rsidRDefault="008B713D" w:rsidP="005405B6">
      <w:pPr>
        <w:widowControl/>
        <w:overflowPunct w:val="0"/>
        <w:spacing w:line="420" w:lineRule="exact"/>
        <w:jc w:val="both"/>
        <w:rPr>
          <w:rFonts w:ascii="標楷體" w:eastAsia="標楷體" w:hAnsi="標楷體"/>
          <w:spacing w:val="-3"/>
        </w:rPr>
      </w:pPr>
      <w:r>
        <w:rPr>
          <w:rFonts w:ascii="標楷體" w:eastAsia="標楷體" w:hAnsi="標楷體" w:hint="eastAsia"/>
          <w:spacing w:val="-2"/>
        </w:rPr>
        <w:lastRenderedPageBreak/>
        <w:t>師擔任導師比率近</w:t>
      </w:r>
      <w:proofErr w:type="gramStart"/>
      <w:r>
        <w:rPr>
          <w:rFonts w:ascii="標楷體" w:eastAsia="標楷體" w:hAnsi="標楷體" w:hint="eastAsia"/>
          <w:spacing w:val="-2"/>
        </w:rPr>
        <w:t>5成</w:t>
      </w:r>
      <w:proofErr w:type="gramEnd"/>
      <w:r>
        <w:rPr>
          <w:rFonts w:ascii="標楷體" w:eastAsia="標楷體" w:hAnsi="標楷體" w:hint="eastAsia"/>
          <w:spacing w:val="-2"/>
        </w:rPr>
        <w:t>（圖1），且113學年度國小</w:t>
      </w:r>
      <w:proofErr w:type="gramStart"/>
      <w:r>
        <w:rPr>
          <w:rFonts w:ascii="標楷體" w:eastAsia="標楷體" w:hAnsi="標楷體" w:hint="eastAsia"/>
          <w:spacing w:val="-2"/>
        </w:rPr>
        <w:t>普通班低</w:t>
      </w:r>
      <w:proofErr w:type="gramEnd"/>
      <w:r>
        <w:rPr>
          <w:rFonts w:ascii="標楷體" w:eastAsia="標楷體" w:hAnsi="標楷體" w:hint="eastAsia"/>
          <w:spacing w:val="-2"/>
        </w:rPr>
        <w:t>、中、高年級導師由代理教師擔任</w:t>
      </w:r>
      <w:r w:rsidR="000E4E99" w:rsidRPr="009B46E9">
        <w:rPr>
          <w:rFonts w:hint="eastAsia"/>
          <w:noProof/>
          <w:spacing w:val="-3"/>
        </w:rPr>
        <mc:AlternateContent>
          <mc:Choice Requires="wps">
            <w:drawing>
              <wp:anchor distT="0" distB="0" distL="71755" distR="71755" simplePos="0" relativeHeight="251698176" behindDoc="1" locked="0" layoutInCell="1" allowOverlap="1" wp14:anchorId="7FBEB1C7" wp14:editId="7B45E144">
                <wp:simplePos x="0" y="0"/>
                <wp:positionH relativeFrom="column">
                  <wp:posOffset>2458085</wp:posOffset>
                </wp:positionH>
                <wp:positionV relativeFrom="page">
                  <wp:posOffset>948690</wp:posOffset>
                </wp:positionV>
                <wp:extent cx="3887470" cy="2214245"/>
                <wp:effectExtent l="0" t="0" r="0" b="0"/>
                <wp:wrapTight wrapText="bothSides">
                  <wp:wrapPolygon edited="0">
                    <wp:start x="0" y="0"/>
                    <wp:lineTo x="0" y="21371"/>
                    <wp:lineTo x="21487" y="21371"/>
                    <wp:lineTo x="21487" y="0"/>
                    <wp:lineTo x="0" y="0"/>
                  </wp:wrapPolygon>
                </wp:wrapTight>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7470" cy="2214245"/>
                        </a:xfrm>
                        <a:prstGeom prst="rect">
                          <a:avLst/>
                        </a:prstGeom>
                        <a:solidFill>
                          <a:srgbClr val="FFFFFF"/>
                        </a:solidFill>
                        <a:ln w="9525">
                          <a:noFill/>
                          <a:miter lim="800000"/>
                          <a:headEnd/>
                          <a:tailEnd/>
                        </a:ln>
                      </wps:spPr>
                      <wps:txbx>
                        <w:txbxContent>
                          <w:p w14:paraId="69EE4862" w14:textId="77777777" w:rsidR="008B713D" w:rsidRDefault="008B713D" w:rsidP="008B713D"/>
                          <w:p w14:paraId="755BBA94" w14:textId="77777777" w:rsidR="008B713D" w:rsidRDefault="008B713D" w:rsidP="008B713D"/>
                          <w:p w14:paraId="5B11BDF2" w14:textId="77777777" w:rsidR="008B713D" w:rsidRDefault="008B713D" w:rsidP="008B713D"/>
                          <w:p w14:paraId="52B0C242" w14:textId="77777777" w:rsidR="008B713D" w:rsidRDefault="008B713D" w:rsidP="008B713D"/>
                          <w:p w14:paraId="6219338B" w14:textId="77777777" w:rsidR="008B713D" w:rsidRDefault="008B713D" w:rsidP="008B713D"/>
                          <w:p w14:paraId="7BDB45F7" w14:textId="77777777" w:rsidR="008B713D" w:rsidRDefault="008B713D" w:rsidP="008B713D"/>
                          <w:p w14:paraId="26181935" w14:textId="77777777" w:rsidR="008B713D" w:rsidRDefault="008B713D" w:rsidP="008B713D"/>
                          <w:p w14:paraId="058BBF21" w14:textId="77777777" w:rsidR="008B713D" w:rsidRDefault="008B713D" w:rsidP="008B713D"/>
                          <w:p w14:paraId="5D30034B" w14:textId="77777777" w:rsidR="008B713D" w:rsidRDefault="008B713D" w:rsidP="008B713D">
                            <w:pPr>
                              <w:spacing w:line="200" w:lineRule="exact"/>
                              <w:rPr>
                                <w:sz w:val="18"/>
                                <w:szCs w:val="18"/>
                              </w:rPr>
                            </w:pPr>
                          </w:p>
                          <w:p w14:paraId="15FB37D4" w14:textId="77777777" w:rsidR="008B713D" w:rsidRDefault="008B713D" w:rsidP="008B713D">
                            <w:pPr>
                              <w:spacing w:line="200" w:lineRule="exact"/>
                              <w:rPr>
                                <w:sz w:val="18"/>
                                <w:szCs w:val="18"/>
                              </w:rPr>
                            </w:pPr>
                          </w:p>
                          <w:p w14:paraId="619982DA" w14:textId="3AF9F606" w:rsidR="008B713D" w:rsidRDefault="008B713D" w:rsidP="008B713D">
                            <w:pPr>
                              <w:spacing w:line="200" w:lineRule="exact"/>
                              <w:ind w:leftChars="-100" w:left="-240"/>
                              <w:jc w:val="center"/>
                              <w:rPr>
                                <w:sz w:val="18"/>
                                <w:szCs w:val="18"/>
                              </w:rPr>
                            </w:pPr>
                            <w:r>
                              <w:rPr>
                                <w:noProof/>
                              </w:rPr>
                              <w:drawing>
                                <wp:inline distT="0" distB="0" distL="0" distR="0" wp14:anchorId="0E3031AC" wp14:editId="644256D2">
                                  <wp:extent cx="3886200" cy="2247900"/>
                                  <wp:effectExtent l="0" t="0" r="0" b="0"/>
                                  <wp:docPr id="85" name="圖表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BEB1C7" id="文字方塊 35" o:spid="_x0000_s1056" type="#_x0000_t202" style="position:absolute;left:0;text-align:left;margin-left:193.55pt;margin-top:74.7pt;width:306.1pt;height:174.35pt;z-index:-251618304;visibility:visible;mso-wrap-style:square;mso-width-percent:0;mso-height-percent:0;mso-wrap-distance-left:5.65pt;mso-wrap-distance-top:0;mso-wrap-distance-right:5.65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" stroked="f">
                <v:textbox>
                  <w:txbxContent>
                    <w:p w14:paraId="69EE4862" w14:textId="77777777" w:rsidR="008B713D" w:rsidRDefault="008B713D" w:rsidP="008B713D"/>
                    <w:p w14:paraId="755BBA94" w14:textId="77777777" w:rsidR="008B713D" w:rsidRDefault="008B713D" w:rsidP="008B713D"/>
                    <w:p w14:paraId="5B11BDF2" w14:textId="77777777" w:rsidR="008B713D" w:rsidRDefault="008B713D" w:rsidP="008B713D"/>
                    <w:p w14:paraId="52B0C242" w14:textId="77777777" w:rsidR="008B713D" w:rsidRDefault="008B713D" w:rsidP="008B713D"/>
                    <w:p w14:paraId="6219338B" w14:textId="77777777" w:rsidR="008B713D" w:rsidRDefault="008B713D" w:rsidP="008B713D"/>
                    <w:p w14:paraId="7BDB45F7" w14:textId="77777777" w:rsidR="008B713D" w:rsidRDefault="008B713D" w:rsidP="008B713D"/>
                    <w:p w14:paraId="26181935" w14:textId="77777777" w:rsidR="008B713D" w:rsidRDefault="008B713D" w:rsidP="008B713D"/>
                    <w:p w14:paraId="058BBF21" w14:textId="77777777" w:rsidR="008B713D" w:rsidRDefault="008B713D" w:rsidP="008B713D"/>
                    <w:p w14:paraId="5D30034B" w14:textId="77777777" w:rsidR="008B713D" w:rsidRDefault="008B713D" w:rsidP="008B713D">
                      <w:pPr>
                        <w:spacing w:line="200" w:lineRule="exact"/>
                        <w:rPr>
                          <w:sz w:val="18"/>
                          <w:szCs w:val="18"/>
                        </w:rPr>
                      </w:pPr>
                    </w:p>
                    <w:p w14:paraId="15FB37D4" w14:textId="77777777" w:rsidR="008B713D" w:rsidRDefault="008B713D" w:rsidP="008B713D">
                      <w:pPr>
                        <w:spacing w:line="200" w:lineRule="exact"/>
                        <w:rPr>
                          <w:sz w:val="18"/>
                          <w:szCs w:val="18"/>
                        </w:rPr>
                      </w:pPr>
                    </w:p>
                    <w:p w14:paraId="619982DA" w14:textId="3AF9F606" w:rsidR="008B713D" w:rsidRDefault="008B713D" w:rsidP="008B713D">
                      <w:pPr>
                        <w:spacing w:line="200" w:lineRule="exact"/>
                        <w:ind w:leftChars="-100" w:left="-240"/>
                        <w:jc w:val="center"/>
                        <w:rPr>
                          <w:sz w:val="18"/>
                          <w:szCs w:val="18"/>
                        </w:rPr>
                      </w:pPr>
                      <w:r>
                        <w:rPr>
                          <w:noProof/>
                        </w:rPr>
                        <w:drawing>
                          <wp:inline distT="0" distB="0" distL="0" distR="0" wp14:anchorId="0E3031AC" wp14:editId="644256D2">
                            <wp:extent cx="3886200" cy="2247900"/>
                            <wp:effectExtent l="0" t="0" r="0" b="0"/>
                            <wp:docPr id="85" name="圖表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xbxContent>
                </v:textbox>
                <w10:wrap type="tight" anchory="page"/>
              </v:shape>
            </w:pict>
          </mc:Fallback>
        </mc:AlternateContent>
      </w:r>
      <w:r w:rsidR="0089089B" w:rsidRPr="00EB3CDA">
        <w:rPr>
          <w:rFonts w:ascii="標楷體" w:eastAsia="標楷體" w:hAnsi="標楷體" w:hint="eastAsia"/>
        </w:rPr>
        <w:t>比率分別為11.77％、17.80％、22.98％，高年級約為低年級之2倍，</w:t>
      </w:r>
      <w:proofErr w:type="gramStart"/>
      <w:r w:rsidR="0089089B" w:rsidRPr="00EB3CDA">
        <w:rPr>
          <w:rFonts w:ascii="標楷體" w:eastAsia="標楷體" w:hAnsi="標楷體" w:hint="eastAsia"/>
        </w:rPr>
        <w:t>均與前</w:t>
      </w:r>
      <w:proofErr w:type="gramEnd"/>
      <w:r w:rsidR="0089089B" w:rsidRPr="00EB3CDA">
        <w:rPr>
          <w:rFonts w:ascii="標楷體" w:eastAsia="標楷體" w:hAnsi="標楷體" w:hint="eastAsia"/>
        </w:rPr>
        <w:t>開代理教師職務安</w:t>
      </w:r>
      <w:bookmarkStart w:id="35" w:name="_Hlk201563366"/>
      <w:r w:rsidRPr="009B46E9">
        <w:rPr>
          <w:rFonts w:ascii="標楷體" w:eastAsia="標楷體" w:hAnsi="標楷體" w:hint="eastAsia"/>
          <w:spacing w:val="-3"/>
        </w:rPr>
        <w:t>排原則未合；另查國中代理教師兼任導師職務之人數及總班級數之占比，亦有逾7</w:t>
      </w:r>
      <w:bookmarkEnd w:id="35"/>
      <w:r w:rsidRPr="009B46E9">
        <w:rPr>
          <w:rFonts w:ascii="標楷體" w:eastAsia="標楷體" w:hAnsi="標楷體" w:hint="eastAsia"/>
          <w:spacing w:val="-3"/>
        </w:rPr>
        <w:t>％及3％，且呈逐年遞增現象（圖1）。以上顯示，臺北市立國</w:t>
      </w:r>
    </w:p>
    <w:p w14:paraId="1D9EF029" w14:textId="379D5232" w:rsidR="008B713D" w:rsidRPr="009B46E9" w:rsidRDefault="008B713D" w:rsidP="005405B6">
      <w:pPr>
        <w:widowControl/>
        <w:overflowPunct w:val="0"/>
        <w:spacing w:line="440" w:lineRule="exact"/>
        <w:jc w:val="both"/>
        <w:rPr>
          <w:rFonts w:ascii="標楷體" w:eastAsia="標楷體" w:hAnsi="標楷體"/>
          <w:spacing w:val="-3"/>
        </w:rPr>
      </w:pPr>
      <w:r w:rsidRPr="009B46E9">
        <w:rPr>
          <w:rFonts w:ascii="標楷體" w:eastAsia="標楷體" w:hAnsi="標楷體" w:hint="eastAsia"/>
          <w:spacing w:val="-3"/>
        </w:rPr>
        <w:t>中小代理教師仍有長期負擔行政工作及導師情事，不僅增加代理教師個人工作負荷，亦不利校務長遠發展</w:t>
      </w:r>
      <w:r w:rsidRPr="009B46E9">
        <w:rPr>
          <w:rFonts w:ascii="標楷體" w:eastAsia="標楷體" w:hAnsi="標楷體" w:cs="新細明體" w:hint="eastAsia"/>
          <w:color w:val="000000" w:themeColor="text1"/>
          <w:spacing w:val="-3"/>
          <w:kern w:val="0"/>
          <w:szCs w:val="24"/>
        </w:rPr>
        <w:t>，經函請</w:t>
      </w:r>
      <w:proofErr w:type="gramStart"/>
      <w:r w:rsidRPr="009B46E9">
        <w:rPr>
          <w:rFonts w:ascii="標楷體" w:eastAsia="標楷體" w:hAnsi="標楷體" w:cs="新細明體" w:hint="eastAsia"/>
          <w:color w:val="000000" w:themeColor="text1"/>
          <w:spacing w:val="-3"/>
          <w:kern w:val="0"/>
          <w:szCs w:val="24"/>
        </w:rPr>
        <w:t>研</w:t>
      </w:r>
      <w:proofErr w:type="gramEnd"/>
      <w:r w:rsidRPr="009B46E9">
        <w:rPr>
          <w:rFonts w:ascii="標楷體" w:eastAsia="標楷體" w:hAnsi="標楷體" w:cs="新細明體" w:hint="eastAsia"/>
          <w:color w:val="000000" w:themeColor="text1"/>
          <w:spacing w:val="-3"/>
          <w:kern w:val="0"/>
          <w:szCs w:val="24"/>
        </w:rPr>
        <w:t>謀改善</w:t>
      </w:r>
      <w:r w:rsidRPr="009B46E9">
        <w:rPr>
          <w:rFonts w:ascii="標楷體" w:eastAsia="標楷體" w:hAnsi="標楷體" w:hint="eastAsia"/>
          <w:spacing w:val="-3"/>
        </w:rPr>
        <w:t>。據復：已函請所屬國小對114學年度代理教師擔任導師或兼任行政職務人數，原則應較113學年度為少，且代理教師擔任導師人數不得逾代理教師總數之一半，並應平均分散於低、中、高年級，不得過度集中於特定年級；另請所屬國中如安排代理教師兼任導師或行政職務，應檢附說明及未來調整方案，並將列入次學年度校長及學校相關</w:t>
      </w:r>
      <w:proofErr w:type="gramStart"/>
      <w:r w:rsidRPr="009B46E9">
        <w:rPr>
          <w:rFonts w:ascii="標楷體" w:eastAsia="標楷體" w:hAnsi="標楷體" w:hint="eastAsia"/>
          <w:spacing w:val="-3"/>
        </w:rPr>
        <w:t>考核參據</w:t>
      </w:r>
      <w:proofErr w:type="gramEnd"/>
      <w:r w:rsidRPr="009B46E9">
        <w:rPr>
          <w:rFonts w:ascii="標楷體" w:eastAsia="標楷體" w:hAnsi="標楷體" w:hint="eastAsia"/>
          <w:spacing w:val="-3"/>
        </w:rPr>
        <w:t>，期能整體降低代理教師兼任導師或行政職務之人數與比率。</w:t>
      </w:r>
    </w:p>
    <w:p w14:paraId="75702630" w14:textId="77777777" w:rsidR="008B713D" w:rsidRDefault="008B713D" w:rsidP="005405B6">
      <w:pPr>
        <w:pStyle w:val="04"/>
        <w:widowControl w:val="0"/>
        <w:suppressAutoHyphens w:val="0"/>
        <w:spacing w:beforeLines="40" w:before="144" w:line="440" w:lineRule="exact"/>
        <w:ind w:firstLine="280"/>
        <w:rPr>
          <w:szCs w:val="28"/>
        </w:rPr>
      </w:pPr>
      <w:r>
        <w:rPr>
          <w:rFonts w:hint="eastAsia"/>
          <w:szCs w:val="28"/>
        </w:rPr>
        <w:t>（二）</w:t>
      </w:r>
      <w:bookmarkStart w:id="36" w:name="_Hlk199258741"/>
      <w:r>
        <w:rPr>
          <w:rFonts w:hint="eastAsia"/>
          <w:szCs w:val="28"/>
        </w:rPr>
        <w:t>補助並督導所屬學校執行校園安全維護工作，以營造安全學習環境，惟部分學校辦理體育教練證照有效性之審查機制未</w:t>
      </w:r>
      <w:proofErr w:type="gramStart"/>
      <w:r>
        <w:rPr>
          <w:rFonts w:hint="eastAsia"/>
          <w:szCs w:val="28"/>
        </w:rPr>
        <w:t>臻</w:t>
      </w:r>
      <w:proofErr w:type="gramEnd"/>
      <w:r>
        <w:rPr>
          <w:rFonts w:hint="eastAsia"/>
          <w:szCs w:val="28"/>
        </w:rPr>
        <w:t>周妥，或不適任人員查詢作業欠落實，或監錄系統設備管理及運作欠佳，或委外辦理反針孔偵測業務未妥為規劃實施方式等情，有待督促檢討改善，以強化校園安全防護力</w:t>
      </w:r>
      <w:bookmarkEnd w:id="36"/>
      <w:r>
        <w:rPr>
          <w:rFonts w:hint="eastAsia"/>
          <w:szCs w:val="28"/>
        </w:rPr>
        <w:t>。</w:t>
      </w:r>
    </w:p>
    <w:p w14:paraId="200A8208" w14:textId="77777777" w:rsidR="005405B6" w:rsidRPr="005405B6" w:rsidRDefault="008B713D" w:rsidP="005405B6">
      <w:pPr>
        <w:spacing w:beforeLines="20" w:before="72" w:line="430" w:lineRule="exact"/>
        <w:ind w:firstLineChars="200" w:firstLine="480"/>
        <w:jc w:val="both"/>
        <w:outlineLvl w:val="2"/>
        <w:rPr>
          <w:rFonts w:ascii="標楷體" w:eastAsia="標楷體" w:hAnsi="標楷體"/>
        </w:rPr>
      </w:pPr>
      <w:r w:rsidRPr="005405B6">
        <w:rPr>
          <w:rFonts w:ascii="標楷體" w:eastAsia="標楷體" w:hAnsi="標楷體" w:hint="eastAsia"/>
          <w:szCs w:val="24"/>
        </w:rPr>
        <w:t>教育局為確保學生的教育質量並強化校園安全防護機制，除依規定督促所屬學校詳加審</w:t>
      </w:r>
      <w:r w:rsidRPr="005405B6">
        <w:rPr>
          <w:rFonts w:ascii="標楷體" w:eastAsia="標楷體" w:hAnsi="標楷體" w:hint="eastAsia"/>
        </w:rPr>
        <w:t>查教師所提供教練證照之有效性，並辦理</w:t>
      </w:r>
      <w:r w:rsidRPr="005405B6">
        <w:rPr>
          <w:rFonts w:ascii="標楷體" w:eastAsia="標楷體" w:hAnsi="標楷體" w:hint="eastAsia"/>
          <w:szCs w:val="24"/>
        </w:rPr>
        <w:t>不適任人員之資訊通報、資料蒐集及查詢作業外，</w:t>
      </w:r>
      <w:proofErr w:type="gramStart"/>
      <w:r w:rsidRPr="005405B6">
        <w:rPr>
          <w:rFonts w:ascii="標楷體" w:eastAsia="標楷體" w:hAnsi="標楷體" w:hint="eastAsia"/>
          <w:szCs w:val="24"/>
        </w:rPr>
        <w:t>113</w:t>
      </w:r>
      <w:proofErr w:type="gramEnd"/>
      <w:r w:rsidRPr="005405B6">
        <w:rPr>
          <w:rFonts w:ascii="標楷體" w:eastAsia="標楷體" w:hAnsi="標楷體" w:hint="eastAsia"/>
          <w:szCs w:val="24"/>
        </w:rPr>
        <w:t>年度</w:t>
      </w:r>
      <w:proofErr w:type="gramStart"/>
      <w:r w:rsidRPr="005405B6">
        <w:rPr>
          <w:rFonts w:ascii="標楷體" w:eastAsia="標楷體" w:hAnsi="標楷體" w:hint="eastAsia"/>
          <w:szCs w:val="24"/>
        </w:rPr>
        <w:t>賡</w:t>
      </w:r>
      <w:proofErr w:type="gramEnd"/>
      <w:r w:rsidRPr="005405B6">
        <w:rPr>
          <w:rFonts w:ascii="標楷體" w:eastAsia="標楷體" w:hAnsi="標楷體" w:hint="eastAsia"/>
          <w:szCs w:val="24"/>
        </w:rPr>
        <w:t>續於臺北市地方教育發展</w:t>
      </w:r>
      <w:proofErr w:type="gramStart"/>
      <w:r w:rsidRPr="005405B6">
        <w:rPr>
          <w:rFonts w:ascii="標楷體" w:eastAsia="標楷體" w:hAnsi="標楷體" w:hint="eastAsia"/>
          <w:szCs w:val="24"/>
        </w:rPr>
        <w:t>基金匡列預算</w:t>
      </w:r>
      <w:proofErr w:type="gramEnd"/>
      <w:r w:rsidRPr="005405B6">
        <w:rPr>
          <w:rFonts w:ascii="標楷體" w:eastAsia="標楷體" w:hAnsi="標楷體" w:hint="eastAsia"/>
          <w:szCs w:val="24"/>
        </w:rPr>
        <w:t>3,829萬餘元，補助各校辦理校園安全環境設施改善專案及反針孔偵測等業務，以營造安全學習環境。經查教育局及所屬學校執行前開業務情形，核有：1.</w:t>
      </w:r>
      <w:r w:rsidRPr="005405B6">
        <w:rPr>
          <w:rFonts w:ascii="標楷體" w:eastAsia="標楷體" w:hAnsi="標楷體" w:hint="eastAsia"/>
        </w:rPr>
        <w:t>教育部體育署（下稱體育署）為提供教練證照之公開資訊，作為各界選擇合適教練之依據，於110年5月建立「教練證照查詢系統」，將該署輔導之特定體育團體或非亞奧運具國際窗口協（總）會[下稱公告協（總）會]核發之教練證資料，上網提供民眾查詢，</w:t>
      </w:r>
      <w:proofErr w:type="gramStart"/>
      <w:r w:rsidRPr="005405B6">
        <w:rPr>
          <w:rFonts w:ascii="標楷體" w:eastAsia="標楷體" w:hAnsi="標楷體" w:hint="eastAsia"/>
        </w:rPr>
        <w:t>俾</w:t>
      </w:r>
      <w:proofErr w:type="gramEnd"/>
      <w:r w:rsidRPr="005405B6">
        <w:rPr>
          <w:rFonts w:ascii="標楷體" w:eastAsia="標楷體" w:hAnsi="標楷體" w:hint="eastAsia"/>
        </w:rPr>
        <w:t>確認教練證照之有效性。經本</w:t>
      </w:r>
      <w:proofErr w:type="gramStart"/>
      <w:r w:rsidRPr="005405B6">
        <w:rPr>
          <w:rFonts w:ascii="標楷體" w:eastAsia="標楷體" w:hAnsi="標楷體" w:hint="eastAsia"/>
        </w:rPr>
        <w:t>處抽核</w:t>
      </w:r>
      <w:proofErr w:type="gramEnd"/>
      <w:r w:rsidRPr="005405B6">
        <w:rPr>
          <w:rFonts w:ascii="標楷體" w:eastAsia="標楷體" w:hAnsi="標楷體" w:hint="eastAsia"/>
        </w:rPr>
        <w:t>教育局所屬中山女高等26所學校提供113學年度聘用有關運動代表隊及體育類社團教練且持有全國性體育團體核發之教練證照者共241人之教練證照有效性結果，發現部分教練證照係由上開查詢系統之公告協（總）會所核發，惟系統卻查無資料，或教練證照所載資料與系統查詢</w:t>
      </w:r>
      <w:proofErr w:type="gramStart"/>
      <w:r w:rsidRPr="005405B6">
        <w:rPr>
          <w:rFonts w:ascii="標楷體" w:eastAsia="標楷體" w:hAnsi="標楷體" w:hint="eastAsia"/>
        </w:rPr>
        <w:t>資料間有不符</w:t>
      </w:r>
      <w:proofErr w:type="gramEnd"/>
      <w:r w:rsidRPr="005405B6">
        <w:rPr>
          <w:rFonts w:ascii="標楷體" w:eastAsia="標楷體" w:hAnsi="標楷體" w:hint="eastAsia"/>
        </w:rPr>
        <w:t>，惟各校</w:t>
      </w:r>
      <w:proofErr w:type="gramStart"/>
      <w:r w:rsidRPr="005405B6">
        <w:rPr>
          <w:rFonts w:ascii="標楷體" w:eastAsia="標楷體" w:hAnsi="標楷體" w:hint="eastAsia"/>
        </w:rPr>
        <w:t>均未進一步向發</w:t>
      </w:r>
      <w:proofErr w:type="gramEnd"/>
      <w:r w:rsidRPr="005405B6">
        <w:rPr>
          <w:rFonts w:ascii="標楷體" w:eastAsia="標楷體" w:hAnsi="標楷體" w:hint="eastAsia"/>
        </w:rPr>
        <w:t>證單位查詢渠等教練證照之有效性，以確實維護學生運動安全與權益；</w:t>
      </w:r>
      <w:r w:rsidRPr="005405B6">
        <w:rPr>
          <w:rFonts w:ascii="標楷體" w:eastAsia="標楷體" w:hAnsi="標楷體" w:hint="eastAsia"/>
          <w:bCs/>
        </w:rPr>
        <w:t>2.該局</w:t>
      </w:r>
      <w:r w:rsidRPr="005405B6">
        <w:rPr>
          <w:rFonts w:ascii="標楷體" w:eastAsia="標楷體" w:hAnsi="標楷體" w:hint="eastAsia"/>
        </w:rPr>
        <w:t>為加強各教育場域不適任人員通報及查詢作業，已於所屬學校內部控制制度通用業務項目中訂有相關作業程序，惟未規範各校應留存相關紀錄之期間，</w:t>
      </w:r>
    </w:p>
    <w:p w14:paraId="47ABDF02" w14:textId="16527655" w:rsidR="00374C1D" w:rsidRDefault="008B713D" w:rsidP="004B480D">
      <w:pPr>
        <w:spacing w:line="420" w:lineRule="exact"/>
        <w:jc w:val="both"/>
        <w:outlineLvl w:val="2"/>
        <w:rPr>
          <w:rFonts w:ascii="標楷體" w:eastAsia="標楷體" w:hAnsi="標楷體" w:cs="Arial"/>
          <w:szCs w:val="24"/>
        </w:rPr>
      </w:pPr>
      <w:r>
        <w:rPr>
          <w:rFonts w:ascii="標楷體" w:eastAsia="標楷體" w:hAnsi="標楷體" w:hint="eastAsia"/>
        </w:rPr>
        <w:lastRenderedPageBreak/>
        <w:t>亦未將自主檢</w:t>
      </w:r>
      <w:proofErr w:type="gramStart"/>
      <w:r>
        <w:rPr>
          <w:rFonts w:ascii="標楷體" w:eastAsia="標楷體" w:hAnsi="標楷體" w:hint="eastAsia"/>
        </w:rPr>
        <w:t>覈</w:t>
      </w:r>
      <w:proofErr w:type="gramEnd"/>
      <w:r>
        <w:rPr>
          <w:rFonts w:ascii="標楷體" w:eastAsia="標楷體" w:hAnsi="標楷體" w:hint="eastAsia"/>
        </w:rPr>
        <w:t>表列入使用表單，不利所屬</w:t>
      </w:r>
      <w:proofErr w:type="gramStart"/>
      <w:r>
        <w:rPr>
          <w:rFonts w:ascii="標楷體" w:eastAsia="標楷體" w:hAnsi="標楷體" w:hint="eastAsia"/>
        </w:rPr>
        <w:t>遵</w:t>
      </w:r>
      <w:proofErr w:type="gramEnd"/>
      <w:r>
        <w:rPr>
          <w:rFonts w:ascii="標楷體" w:eastAsia="標楷體" w:hAnsi="標楷體" w:hint="eastAsia"/>
        </w:rPr>
        <w:t>辦；且經本</w:t>
      </w:r>
      <w:proofErr w:type="gramStart"/>
      <w:r>
        <w:rPr>
          <w:rFonts w:ascii="標楷體" w:eastAsia="標楷體" w:hAnsi="標楷體" w:hint="eastAsia"/>
        </w:rPr>
        <w:t>處抽核</w:t>
      </w:r>
      <w:proofErr w:type="gramEnd"/>
      <w:r>
        <w:rPr>
          <w:rFonts w:ascii="標楷體" w:eastAsia="標楷體" w:hAnsi="標楷體" w:hint="eastAsia"/>
        </w:rPr>
        <w:t>該局所屬育成高中等16所學校辦理新進人員或全</w:t>
      </w:r>
      <w:proofErr w:type="gramStart"/>
      <w:r>
        <w:rPr>
          <w:rFonts w:ascii="標楷體" w:eastAsia="標楷體" w:hAnsi="標楷體" w:hint="eastAsia"/>
        </w:rPr>
        <w:t>校定</w:t>
      </w:r>
      <w:proofErr w:type="gramEnd"/>
      <w:r>
        <w:rPr>
          <w:rFonts w:ascii="標楷體" w:eastAsia="標楷體" w:hAnsi="標楷體" w:hint="eastAsia"/>
        </w:rPr>
        <w:t>期查詢不適任人員作業情形，</w:t>
      </w:r>
      <w:proofErr w:type="gramStart"/>
      <w:r>
        <w:rPr>
          <w:rFonts w:ascii="標楷體" w:eastAsia="標楷體" w:hAnsi="標楷體" w:hint="eastAsia"/>
        </w:rPr>
        <w:t>亦間有部分</w:t>
      </w:r>
      <w:proofErr w:type="gramEnd"/>
      <w:r>
        <w:rPr>
          <w:rFonts w:ascii="標楷體" w:eastAsia="標楷體" w:hAnsi="標楷體" w:hint="eastAsia"/>
        </w:rPr>
        <w:t>學校漏未查詢委外保全人員，</w:t>
      </w:r>
      <w:proofErr w:type="gramStart"/>
      <w:r>
        <w:rPr>
          <w:rFonts w:ascii="標楷體" w:eastAsia="標楷體" w:hAnsi="標楷體" w:hint="eastAsia"/>
        </w:rPr>
        <w:t>或導護志</w:t>
      </w:r>
      <w:proofErr w:type="gramEnd"/>
      <w:r>
        <w:rPr>
          <w:rFonts w:ascii="標楷體" w:eastAsia="標楷體" w:hAnsi="標楷體" w:hint="eastAsia"/>
        </w:rPr>
        <w:t>工，或家長會外聘運動</w:t>
      </w:r>
      <w:proofErr w:type="gramStart"/>
      <w:r>
        <w:rPr>
          <w:rFonts w:ascii="標楷體" w:eastAsia="標楷體" w:hAnsi="標楷體" w:hint="eastAsia"/>
        </w:rPr>
        <w:t>教練等適任</w:t>
      </w:r>
      <w:proofErr w:type="gramEnd"/>
      <w:r>
        <w:rPr>
          <w:rFonts w:ascii="標楷體" w:eastAsia="標楷體" w:hAnsi="標楷體" w:hint="eastAsia"/>
        </w:rPr>
        <w:t>情形，</w:t>
      </w:r>
      <w:proofErr w:type="gramStart"/>
      <w:r>
        <w:rPr>
          <w:rFonts w:ascii="標楷體" w:eastAsia="標楷體" w:hAnsi="標楷體" w:hint="eastAsia"/>
        </w:rPr>
        <w:t>或間有未</w:t>
      </w:r>
      <w:proofErr w:type="gramEnd"/>
      <w:r>
        <w:rPr>
          <w:rFonts w:ascii="標楷體" w:eastAsia="標楷體" w:hAnsi="標楷體" w:hint="eastAsia"/>
        </w:rPr>
        <w:t>依規定填寫自主檢</w:t>
      </w:r>
      <w:proofErr w:type="gramStart"/>
      <w:r>
        <w:rPr>
          <w:rFonts w:ascii="標楷體" w:eastAsia="標楷體" w:hAnsi="標楷體" w:hint="eastAsia"/>
        </w:rPr>
        <w:t>覈</w:t>
      </w:r>
      <w:proofErr w:type="gramEnd"/>
      <w:r>
        <w:rPr>
          <w:rFonts w:ascii="標楷體" w:eastAsia="標楷體" w:hAnsi="標楷體" w:hint="eastAsia"/>
        </w:rPr>
        <w:t>表，或所填表格內容</w:t>
      </w:r>
      <w:proofErr w:type="gramStart"/>
      <w:r>
        <w:rPr>
          <w:rFonts w:ascii="標楷體" w:eastAsia="標楷體" w:hAnsi="標楷體" w:hint="eastAsia"/>
        </w:rPr>
        <w:t>有誤等</w:t>
      </w:r>
      <w:proofErr w:type="gramEnd"/>
      <w:r>
        <w:rPr>
          <w:rFonts w:ascii="標楷體" w:eastAsia="標楷體" w:hAnsi="標楷體" w:hint="eastAsia"/>
        </w:rPr>
        <w:t>，易造成校園安全防護漏洞；</w:t>
      </w:r>
      <w:r>
        <w:rPr>
          <w:rFonts w:ascii="標楷體" w:eastAsia="標楷體" w:hAnsi="標楷體" w:hint="eastAsia"/>
          <w:bCs/>
        </w:rPr>
        <w:t>3.</w:t>
      </w:r>
      <w:r>
        <w:rPr>
          <w:rFonts w:ascii="標楷體" w:eastAsia="標楷體" w:hAnsi="標楷體" w:hint="eastAsia"/>
        </w:rPr>
        <w:t>經查該局所屬學校監錄系統（含電子圍籬）設置管理及運用情形，發現五常國小等3所學校擬訂各校之監錄系統管理相關規範，</w:t>
      </w:r>
      <w:proofErr w:type="gramStart"/>
      <w:r>
        <w:rPr>
          <w:rFonts w:ascii="標楷體" w:eastAsia="標楷體" w:hAnsi="標楷體" w:hint="eastAsia"/>
        </w:rPr>
        <w:t>間有未</w:t>
      </w:r>
      <w:proofErr w:type="gramEnd"/>
      <w:r>
        <w:rPr>
          <w:rFonts w:ascii="標楷體" w:eastAsia="標楷體" w:hAnsi="標楷體" w:hint="eastAsia"/>
        </w:rPr>
        <w:t>參酌</w:t>
      </w:r>
      <w:r>
        <w:rPr>
          <w:rFonts w:ascii="標楷體" w:eastAsia="標楷體" w:hAnsi="標楷體" w:cs="Arial" w:hint="eastAsia"/>
          <w:szCs w:val="24"/>
        </w:rPr>
        <w:t>教育部國民及學前教育署（下稱國教署）108年5月</w:t>
      </w:r>
      <w:proofErr w:type="gramStart"/>
      <w:r>
        <w:rPr>
          <w:rFonts w:ascii="標楷體" w:eastAsia="標楷體" w:hAnsi="標楷體" w:cs="Arial" w:hint="eastAsia"/>
          <w:szCs w:val="24"/>
        </w:rPr>
        <w:t>函頒「</w:t>
      </w:r>
      <w:proofErr w:type="gramEnd"/>
      <w:r>
        <w:rPr>
          <w:rFonts w:ascii="標楷體" w:eastAsia="標楷體" w:hAnsi="標楷體" w:cs="Arial" w:hint="eastAsia"/>
          <w:szCs w:val="24"/>
        </w:rPr>
        <w:t>高級中等以下</w:t>
      </w:r>
      <w:proofErr w:type="gramStart"/>
      <w:r>
        <w:rPr>
          <w:rFonts w:ascii="標楷體" w:eastAsia="標楷體" w:hAnsi="標楷體" w:cs="Arial" w:hint="eastAsia"/>
          <w:szCs w:val="24"/>
        </w:rPr>
        <w:t>學校暨教保</w:t>
      </w:r>
      <w:proofErr w:type="gramEnd"/>
      <w:r>
        <w:rPr>
          <w:rFonts w:ascii="標楷體" w:eastAsia="標楷體" w:hAnsi="標楷體" w:cs="Arial" w:hint="eastAsia"/>
          <w:szCs w:val="24"/>
        </w:rPr>
        <w:t>服務機構監視錄影系統管理具體作法」（下稱監錄系統管理作法）</w:t>
      </w:r>
      <w:r>
        <w:rPr>
          <w:rFonts w:ascii="標楷體" w:eastAsia="標楷體" w:hAnsi="標楷體" w:hint="eastAsia"/>
        </w:rPr>
        <w:t>四、（三）規定</w:t>
      </w:r>
      <w:proofErr w:type="gramStart"/>
      <w:r>
        <w:rPr>
          <w:rFonts w:ascii="標楷體" w:eastAsia="標楷體" w:hAnsi="標楷體" w:hint="eastAsia"/>
        </w:rPr>
        <w:t>訂定攝錄</w:t>
      </w:r>
      <w:proofErr w:type="gramEnd"/>
      <w:r>
        <w:rPr>
          <w:rFonts w:ascii="標楷體" w:eastAsia="標楷體" w:hAnsi="標楷體" w:hint="eastAsia"/>
        </w:rPr>
        <w:t>資料之保存</w:t>
      </w:r>
      <w:proofErr w:type="gramStart"/>
      <w:r>
        <w:rPr>
          <w:rFonts w:ascii="標楷體" w:eastAsia="標楷體" w:hAnsi="標楷體" w:hint="eastAsia"/>
        </w:rPr>
        <w:t>期間，</w:t>
      </w:r>
      <w:proofErr w:type="gramEnd"/>
      <w:r>
        <w:rPr>
          <w:rFonts w:ascii="標楷體" w:eastAsia="標楷體" w:hAnsi="標楷體" w:hint="eastAsia"/>
        </w:rPr>
        <w:t>或所定資料應保存時間低於規定標準14日情形；</w:t>
      </w:r>
      <w:proofErr w:type="gramStart"/>
      <w:r>
        <w:rPr>
          <w:rFonts w:ascii="標楷體" w:eastAsia="標楷體" w:hAnsi="標楷體" w:hint="eastAsia"/>
        </w:rPr>
        <w:t>另查育成</w:t>
      </w:r>
      <w:proofErr w:type="gramEnd"/>
      <w:r>
        <w:rPr>
          <w:rFonts w:ascii="標楷體" w:eastAsia="標楷體" w:hAnsi="標楷體" w:hint="eastAsia"/>
        </w:rPr>
        <w:t>高中等17所</w:t>
      </w:r>
      <w:proofErr w:type="gramStart"/>
      <w:r>
        <w:rPr>
          <w:rFonts w:ascii="標楷體" w:eastAsia="標楷體" w:hAnsi="標楷體" w:hint="eastAsia"/>
        </w:rPr>
        <w:t>學校之攝錄資料間有未</w:t>
      </w:r>
      <w:proofErr w:type="gramEnd"/>
      <w:r>
        <w:rPr>
          <w:rFonts w:ascii="標楷體" w:eastAsia="標楷體" w:hAnsi="標楷體" w:hint="eastAsia"/>
        </w:rPr>
        <w:t>依各校或國教署</w:t>
      </w:r>
      <w:proofErr w:type="gramStart"/>
      <w:r>
        <w:rPr>
          <w:rFonts w:ascii="標楷體" w:eastAsia="標楷體" w:hAnsi="標楷體" w:hint="eastAsia"/>
        </w:rPr>
        <w:t>訂定監錄</w:t>
      </w:r>
      <w:proofErr w:type="gramEnd"/>
      <w:r>
        <w:rPr>
          <w:rFonts w:ascii="標楷體" w:eastAsia="標楷體" w:hAnsi="標楷體" w:hint="eastAsia"/>
        </w:rPr>
        <w:t>系統管理作法之規定保存至少14日或30日以上，或監錄系統設備因連線異常或故障，已無法正常運作</w:t>
      </w:r>
      <w:proofErr w:type="gramStart"/>
      <w:r>
        <w:rPr>
          <w:rFonts w:ascii="標楷體" w:eastAsia="標楷體" w:hAnsi="標楷體" w:hint="eastAsia"/>
        </w:rPr>
        <w:t>多時，</w:t>
      </w:r>
      <w:proofErr w:type="gramEnd"/>
      <w:r>
        <w:rPr>
          <w:rFonts w:ascii="標楷體" w:eastAsia="標楷體" w:hAnsi="標楷體" w:hint="eastAsia"/>
        </w:rPr>
        <w:t>迄未報修處理或久未完成修復等，均不利後續校園財產</w:t>
      </w:r>
      <w:proofErr w:type="gramStart"/>
      <w:r>
        <w:rPr>
          <w:rFonts w:ascii="標楷體" w:eastAsia="標楷體" w:hAnsi="標楷體" w:hint="eastAsia"/>
        </w:rPr>
        <w:t>失竊或危安</w:t>
      </w:r>
      <w:proofErr w:type="gramEnd"/>
      <w:r>
        <w:rPr>
          <w:rFonts w:ascii="標楷體" w:eastAsia="標楷體" w:hAnsi="標楷體" w:hint="eastAsia"/>
        </w:rPr>
        <w:t>事件</w:t>
      </w:r>
      <w:proofErr w:type="gramStart"/>
      <w:r>
        <w:rPr>
          <w:rFonts w:ascii="標楷體" w:eastAsia="標楷體" w:hAnsi="標楷體" w:hint="eastAsia"/>
        </w:rPr>
        <w:t>蒐</w:t>
      </w:r>
      <w:proofErr w:type="gramEnd"/>
      <w:r>
        <w:rPr>
          <w:rFonts w:ascii="標楷體" w:eastAsia="標楷體" w:hAnsi="標楷體" w:hint="eastAsia"/>
        </w:rPr>
        <w:t>證之遂行；或中山女高等15所學校，經管監錄系統設備</w:t>
      </w:r>
      <w:proofErr w:type="gramStart"/>
      <w:r>
        <w:rPr>
          <w:rFonts w:ascii="標楷體" w:eastAsia="標楷體" w:hAnsi="標楷體" w:hint="eastAsia"/>
        </w:rPr>
        <w:t>間有帳物</w:t>
      </w:r>
      <w:proofErr w:type="gramEnd"/>
      <w:r>
        <w:rPr>
          <w:rFonts w:ascii="標楷體" w:eastAsia="標楷體" w:hAnsi="標楷體" w:hint="eastAsia"/>
        </w:rPr>
        <w:t>不符情形，財產管理機制欠佳；或中山女高等17所學校對於自行建置之監錄系統，</w:t>
      </w:r>
      <w:proofErr w:type="gramStart"/>
      <w:r>
        <w:rPr>
          <w:rFonts w:ascii="標楷體" w:eastAsia="標楷體" w:hAnsi="標楷體" w:hint="eastAsia"/>
        </w:rPr>
        <w:t>間有無法</w:t>
      </w:r>
      <w:proofErr w:type="gramEnd"/>
      <w:r>
        <w:rPr>
          <w:rFonts w:ascii="標楷體" w:eastAsia="標楷體" w:hAnsi="標楷體" w:hint="eastAsia"/>
        </w:rPr>
        <w:t>提供警察機關核准設置使用許可書，或有變更監視器數量，惟未依</w:t>
      </w:r>
      <w:r>
        <w:rPr>
          <w:rFonts w:ascii="標楷體" w:eastAsia="標楷體" w:hAnsi="標楷體" w:cs="Arial" w:hint="eastAsia"/>
          <w:szCs w:val="24"/>
        </w:rPr>
        <w:t>臺北市錄影監視系統設置管理自治條例第5條第1</w:t>
      </w:r>
    </w:p>
    <w:p w14:paraId="49AB9809" w14:textId="74925339" w:rsidR="00374C1D" w:rsidRDefault="004B480D" w:rsidP="006B1A20">
      <w:pPr>
        <w:spacing w:line="410" w:lineRule="exact"/>
        <w:jc w:val="both"/>
        <w:outlineLvl w:val="2"/>
        <w:rPr>
          <w:rFonts w:ascii="標楷體" w:eastAsia="標楷體" w:hAnsi="標楷體"/>
        </w:rPr>
      </w:pPr>
      <w:r>
        <w:rPr>
          <w:rFonts w:hint="eastAsia"/>
          <w:noProof/>
        </w:rPr>
        <mc:AlternateContent>
          <mc:Choice Requires="wps">
            <w:drawing>
              <wp:anchor distT="45720" distB="45720" distL="114300" distR="114300" simplePos="0" relativeHeight="251694080" behindDoc="1" locked="0" layoutInCell="1" allowOverlap="1" wp14:anchorId="51B71574" wp14:editId="3E8912A2">
                <wp:simplePos x="0" y="0"/>
                <wp:positionH relativeFrom="column">
                  <wp:posOffset>2872105</wp:posOffset>
                </wp:positionH>
                <wp:positionV relativeFrom="paragraph">
                  <wp:posOffset>50800</wp:posOffset>
                </wp:positionV>
                <wp:extent cx="3467100" cy="3561715"/>
                <wp:effectExtent l="0" t="0" r="0" b="635"/>
                <wp:wrapTight wrapText="bothSides">
                  <wp:wrapPolygon edited="0">
                    <wp:start x="0" y="0"/>
                    <wp:lineTo x="0" y="21488"/>
                    <wp:lineTo x="21481" y="21488"/>
                    <wp:lineTo x="21481" y="0"/>
                    <wp:lineTo x="0" y="0"/>
                  </wp:wrapPolygon>
                </wp:wrapTight>
                <wp:docPr id="33" name="文字方塊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0" cy="3561715"/>
                        </a:xfrm>
                        <a:prstGeom prst="rect">
                          <a:avLst/>
                        </a:prstGeom>
                        <a:solidFill>
                          <a:srgbClr val="FFFFFF"/>
                        </a:solidFill>
                        <a:ln w="9525">
                          <a:noFill/>
                          <a:miter lim="800000"/>
                          <a:headEnd/>
                          <a:tailEnd/>
                        </a:ln>
                      </wps:spPr>
                      <wps:txbx>
                        <w:txbxContent>
                          <w:tbl>
                            <w:tblPr>
                              <w:tblW w:w="5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0"/>
                              <w:gridCol w:w="852"/>
                              <w:gridCol w:w="1136"/>
                              <w:gridCol w:w="924"/>
                              <w:gridCol w:w="406"/>
                              <w:gridCol w:w="574"/>
                              <w:gridCol w:w="1134"/>
                            </w:tblGrid>
                            <w:tr w:rsidR="008B713D" w14:paraId="599FC135" w14:textId="77777777">
                              <w:trPr>
                                <w:jc w:val="center"/>
                              </w:trPr>
                              <w:tc>
                                <w:tcPr>
                                  <w:tcW w:w="5306" w:type="dxa"/>
                                  <w:gridSpan w:val="7"/>
                                  <w:tcBorders>
                                    <w:top w:val="nil"/>
                                    <w:left w:val="nil"/>
                                    <w:bottom w:val="single" w:sz="4" w:space="0" w:color="auto"/>
                                    <w:right w:val="nil"/>
                                  </w:tcBorders>
                                  <w:hideMark/>
                                </w:tcPr>
                                <w:p w14:paraId="5D5D26A0" w14:textId="0CDF49C8" w:rsidR="008B713D" w:rsidRDefault="008B713D" w:rsidP="00374C1D">
                                  <w:pPr>
                                    <w:spacing w:line="240" w:lineRule="exact"/>
                                    <w:ind w:left="504" w:rightChars="-11" w:right="-26" w:hangingChars="210" w:hanging="504"/>
                                    <w:jc w:val="center"/>
                                    <w:rPr>
                                      <w:rFonts w:ascii="標楷體" w:eastAsia="標楷體" w:hAnsi="標楷體"/>
                                      <w:b/>
                                      <w:color w:val="000000"/>
                                    </w:rPr>
                                  </w:pPr>
                                  <w:r>
                                    <w:rPr>
                                      <w:rFonts w:ascii="新細明體" w:eastAsia="新細明體" w:hAnsi="新細明體" w:cs="新細明體"/>
                                      <w:kern w:val="0"/>
                                      <w:szCs w:val="24"/>
                                    </w:rPr>
                                    <w:t xml:space="preserve"> </w:t>
                                  </w:r>
                                  <w:r>
                                    <w:rPr>
                                      <w:rFonts w:ascii="標楷體" w:eastAsia="標楷體" w:hAnsi="標楷體" w:hint="eastAsia"/>
                                      <w:b/>
                                      <w:color w:val="000000"/>
                                    </w:rPr>
                                    <w:t xml:space="preserve">表2　</w:t>
                                  </w:r>
                                  <w:r>
                                    <w:rPr>
                                      <w:rFonts w:ascii="標楷體" w:eastAsia="標楷體" w:hAnsi="標楷體" w:hint="eastAsia"/>
                                      <w:b/>
                                      <w:color w:val="000000"/>
                                      <w:spacing w:val="-10"/>
                                    </w:rPr>
                                    <w:t>臺北市立學校監錄系統設備管理缺失情形</w:t>
                                  </w:r>
                                </w:p>
                              </w:tc>
                            </w:tr>
                            <w:tr w:rsidR="008B713D" w14:paraId="63495A75" w14:textId="77777777">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0C3FC79" w14:textId="77777777" w:rsidR="008B713D" w:rsidRDefault="008B713D">
                                  <w:pPr>
                                    <w:spacing w:line="200" w:lineRule="exact"/>
                                    <w:rPr>
                                      <w:rFonts w:ascii="標楷體" w:eastAsia="標楷體" w:hAnsi="標楷體"/>
                                      <w:sz w:val="20"/>
                                      <w:szCs w:val="20"/>
                                    </w:rPr>
                                  </w:pPr>
                                  <w:r>
                                    <w:rPr>
                                      <w:rFonts w:ascii="標楷體" w:eastAsia="標楷體" w:hAnsi="標楷體" w:hint="eastAsia"/>
                                      <w:sz w:val="20"/>
                                      <w:szCs w:val="20"/>
                                    </w:rPr>
                                    <w:t>序號</w:t>
                                  </w:r>
                                </w:p>
                              </w:tc>
                              <w:tc>
                                <w:tcPr>
                                  <w:tcW w:w="852" w:type="dxa"/>
                                  <w:tcBorders>
                                    <w:top w:val="single" w:sz="4" w:space="0" w:color="auto"/>
                                    <w:left w:val="single" w:sz="4" w:space="0" w:color="auto"/>
                                    <w:bottom w:val="single" w:sz="4" w:space="0" w:color="auto"/>
                                    <w:right w:val="single" w:sz="4" w:space="0" w:color="auto"/>
                                  </w:tcBorders>
                                  <w:vAlign w:val="center"/>
                                  <w:hideMark/>
                                </w:tcPr>
                                <w:p w14:paraId="59B98F36" w14:textId="77777777" w:rsidR="008B713D" w:rsidRDefault="008B713D">
                                  <w:pPr>
                                    <w:spacing w:line="200" w:lineRule="exact"/>
                                    <w:ind w:leftChars="-8" w:left="-19"/>
                                    <w:jc w:val="center"/>
                                    <w:rPr>
                                      <w:rFonts w:ascii="標楷體" w:eastAsia="標楷體" w:hAnsi="標楷體"/>
                                      <w:sz w:val="20"/>
                                      <w:szCs w:val="20"/>
                                    </w:rPr>
                                  </w:pPr>
                                  <w:r>
                                    <w:rPr>
                                      <w:rFonts w:ascii="標楷體" w:eastAsia="標楷體" w:hAnsi="標楷體" w:hint="eastAsia"/>
                                      <w:sz w:val="20"/>
                                      <w:szCs w:val="20"/>
                                    </w:rPr>
                                    <w:t>學校名稱</w:t>
                                  </w:r>
                                </w:p>
                              </w:tc>
                              <w:tc>
                                <w:tcPr>
                                  <w:tcW w:w="1136" w:type="dxa"/>
                                  <w:tcBorders>
                                    <w:top w:val="single" w:sz="4" w:space="0" w:color="auto"/>
                                    <w:left w:val="single" w:sz="4" w:space="0" w:color="auto"/>
                                    <w:bottom w:val="single" w:sz="4" w:space="0" w:color="auto"/>
                                    <w:right w:val="single" w:sz="4" w:space="0" w:color="auto"/>
                                  </w:tcBorders>
                                  <w:noWrap/>
                                  <w:hideMark/>
                                </w:tcPr>
                                <w:p w14:paraId="3EB801FA" w14:textId="77777777" w:rsidR="008B713D" w:rsidRDefault="008B713D">
                                  <w:pPr>
                                    <w:spacing w:line="200" w:lineRule="exact"/>
                                    <w:ind w:leftChars="-8" w:left="-19"/>
                                    <w:rPr>
                                      <w:rFonts w:ascii="標楷體" w:eastAsia="標楷體" w:hAnsi="標楷體"/>
                                      <w:spacing w:val="-22"/>
                                      <w:sz w:val="20"/>
                                      <w:szCs w:val="20"/>
                                    </w:rPr>
                                  </w:pPr>
                                  <w:r>
                                    <w:rPr>
                                      <w:rFonts w:ascii="標楷體" w:eastAsia="標楷體" w:hAnsi="標楷體" w:hint="eastAsia"/>
                                      <w:spacing w:val="-22"/>
                                      <w:sz w:val="20"/>
                                      <w:szCs w:val="20"/>
                                    </w:rPr>
                                    <w:t>監錄資料未訂定保存期間或所訂保存期間低於規定期限者</w:t>
                                  </w:r>
                                </w:p>
                              </w:tc>
                              <w:tc>
                                <w:tcPr>
                                  <w:tcW w:w="924" w:type="dxa"/>
                                  <w:tcBorders>
                                    <w:top w:val="single" w:sz="4" w:space="0" w:color="auto"/>
                                    <w:left w:val="single" w:sz="4" w:space="0" w:color="auto"/>
                                    <w:bottom w:val="single" w:sz="4" w:space="0" w:color="auto"/>
                                    <w:right w:val="single" w:sz="4" w:space="0" w:color="auto"/>
                                  </w:tcBorders>
                                  <w:hideMark/>
                                </w:tcPr>
                                <w:p w14:paraId="3430BB39" w14:textId="77777777" w:rsidR="008B713D" w:rsidRDefault="008B713D">
                                  <w:pPr>
                                    <w:spacing w:line="200" w:lineRule="exact"/>
                                    <w:ind w:rightChars="-27" w:right="-65"/>
                                    <w:rPr>
                                      <w:rFonts w:ascii="標楷體" w:eastAsia="標楷體" w:hAnsi="標楷體"/>
                                      <w:spacing w:val="-18"/>
                                      <w:sz w:val="20"/>
                                      <w:szCs w:val="20"/>
                                    </w:rPr>
                                  </w:pPr>
                                  <w:r>
                                    <w:rPr>
                                      <w:rFonts w:ascii="標楷體" w:eastAsia="標楷體" w:hAnsi="標楷體" w:hint="eastAsia"/>
                                      <w:spacing w:val="-18"/>
                                      <w:sz w:val="20"/>
                                      <w:szCs w:val="20"/>
                                    </w:rPr>
                                    <w:t>攝錄資料未依規定期限保存者</w:t>
                                  </w:r>
                                </w:p>
                              </w:tc>
                              <w:tc>
                                <w:tcPr>
                                  <w:tcW w:w="406" w:type="dxa"/>
                                  <w:tcBorders>
                                    <w:top w:val="single" w:sz="4" w:space="0" w:color="auto"/>
                                    <w:left w:val="single" w:sz="4" w:space="0" w:color="auto"/>
                                    <w:bottom w:val="single" w:sz="4" w:space="0" w:color="auto"/>
                                    <w:right w:val="single" w:sz="4" w:space="0" w:color="auto"/>
                                  </w:tcBorders>
                                  <w:hideMark/>
                                </w:tcPr>
                                <w:p w14:paraId="4C8B46A8" w14:textId="77777777" w:rsidR="008B713D" w:rsidRDefault="008B713D">
                                  <w:pPr>
                                    <w:spacing w:line="200" w:lineRule="exact"/>
                                    <w:rPr>
                                      <w:rFonts w:ascii="標楷體" w:eastAsia="標楷體" w:hAnsi="標楷體"/>
                                      <w:spacing w:val="-32"/>
                                      <w:sz w:val="20"/>
                                      <w:szCs w:val="20"/>
                                    </w:rPr>
                                  </w:pPr>
                                  <w:r>
                                    <w:rPr>
                                      <w:rFonts w:ascii="標楷體" w:eastAsia="標楷體" w:hAnsi="標楷體" w:hint="eastAsia"/>
                                      <w:spacing w:val="-18"/>
                                      <w:sz w:val="20"/>
                                      <w:szCs w:val="20"/>
                                    </w:rPr>
                                    <w:t>連線異常或故障者</w:t>
                                  </w:r>
                                </w:p>
                              </w:tc>
                              <w:tc>
                                <w:tcPr>
                                  <w:tcW w:w="574" w:type="dxa"/>
                                  <w:tcBorders>
                                    <w:top w:val="single" w:sz="4" w:space="0" w:color="auto"/>
                                    <w:left w:val="single" w:sz="4" w:space="0" w:color="auto"/>
                                    <w:bottom w:val="single" w:sz="4" w:space="0" w:color="auto"/>
                                    <w:right w:val="single" w:sz="4" w:space="0" w:color="auto"/>
                                  </w:tcBorders>
                                  <w:hideMark/>
                                </w:tcPr>
                                <w:p w14:paraId="162289C7" w14:textId="77777777" w:rsidR="008B713D" w:rsidRDefault="008B713D">
                                  <w:pPr>
                                    <w:spacing w:line="200" w:lineRule="exact"/>
                                    <w:ind w:rightChars="-4" w:right="-10"/>
                                    <w:rPr>
                                      <w:rFonts w:ascii="標楷體" w:eastAsia="標楷體" w:hAnsi="標楷體"/>
                                      <w:spacing w:val="-24"/>
                                      <w:sz w:val="20"/>
                                      <w:szCs w:val="20"/>
                                    </w:rPr>
                                  </w:pPr>
                                  <w:proofErr w:type="gramStart"/>
                                  <w:r>
                                    <w:rPr>
                                      <w:rFonts w:ascii="標楷體" w:eastAsia="標楷體" w:hAnsi="標楷體" w:hint="eastAsia"/>
                                      <w:spacing w:val="-24"/>
                                      <w:sz w:val="20"/>
                                      <w:szCs w:val="20"/>
                                    </w:rPr>
                                    <w:t>帳物不符</w:t>
                                  </w:r>
                                  <w:proofErr w:type="gramEnd"/>
                                  <w:r>
                                    <w:rPr>
                                      <w:rFonts w:ascii="標楷體" w:eastAsia="標楷體" w:hAnsi="標楷體" w:hint="eastAsia"/>
                                      <w:spacing w:val="-24"/>
                                      <w:sz w:val="20"/>
                                      <w:szCs w:val="20"/>
                                    </w:rPr>
                                    <w:t>者</w:t>
                                  </w:r>
                                </w:p>
                              </w:tc>
                              <w:tc>
                                <w:tcPr>
                                  <w:tcW w:w="1134" w:type="dxa"/>
                                  <w:tcBorders>
                                    <w:top w:val="single" w:sz="4" w:space="0" w:color="auto"/>
                                    <w:left w:val="single" w:sz="4" w:space="0" w:color="auto"/>
                                    <w:bottom w:val="single" w:sz="4" w:space="0" w:color="auto"/>
                                    <w:right w:val="single" w:sz="4" w:space="0" w:color="auto"/>
                                  </w:tcBorders>
                                  <w:hideMark/>
                                </w:tcPr>
                                <w:p w14:paraId="460C5C9A" w14:textId="77777777" w:rsidR="008B713D" w:rsidRDefault="008B713D">
                                  <w:pPr>
                                    <w:spacing w:line="200" w:lineRule="exact"/>
                                    <w:ind w:rightChars="20" w:right="48"/>
                                    <w:jc w:val="both"/>
                                    <w:rPr>
                                      <w:rFonts w:ascii="標楷體" w:eastAsia="標楷體" w:hAnsi="標楷體"/>
                                      <w:spacing w:val="-28"/>
                                      <w:sz w:val="20"/>
                                      <w:szCs w:val="20"/>
                                    </w:rPr>
                                  </w:pPr>
                                  <w:r>
                                    <w:rPr>
                                      <w:rFonts w:ascii="標楷體" w:eastAsia="標楷體" w:hAnsi="標楷體" w:hint="eastAsia"/>
                                      <w:spacing w:val="-28"/>
                                      <w:sz w:val="20"/>
                                      <w:szCs w:val="20"/>
                                    </w:rPr>
                                    <w:t>無法提出警察機關核准設置或變更監錄系統之使用許可書者</w:t>
                                  </w:r>
                                </w:p>
                              </w:tc>
                            </w:tr>
                            <w:tr w:rsidR="008B713D" w14:paraId="2C12E804"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10202488"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w:t>
                                  </w:r>
                                </w:p>
                              </w:tc>
                              <w:tc>
                                <w:tcPr>
                                  <w:tcW w:w="852" w:type="dxa"/>
                                  <w:tcBorders>
                                    <w:top w:val="single" w:sz="4" w:space="0" w:color="auto"/>
                                    <w:left w:val="single" w:sz="4" w:space="0" w:color="auto"/>
                                    <w:bottom w:val="single" w:sz="4" w:space="0" w:color="auto"/>
                                    <w:right w:val="single" w:sz="4" w:space="0" w:color="auto"/>
                                  </w:tcBorders>
                                  <w:vAlign w:val="center"/>
                                  <w:hideMark/>
                                </w:tcPr>
                                <w:p w14:paraId="3C2629B5" w14:textId="77777777" w:rsidR="008B713D" w:rsidRDefault="008B713D">
                                  <w:pPr>
                                    <w:spacing w:line="200" w:lineRule="exact"/>
                                    <w:ind w:leftChars="-8" w:left="-19"/>
                                    <w:jc w:val="center"/>
                                    <w:rPr>
                                      <w:rFonts w:ascii="標楷體" w:eastAsia="標楷體" w:hAnsi="標楷體"/>
                                      <w:sz w:val="20"/>
                                      <w:szCs w:val="20"/>
                                    </w:rPr>
                                  </w:pPr>
                                  <w:r>
                                    <w:rPr>
                                      <w:rFonts w:ascii="標楷體" w:eastAsia="標楷體" w:hAnsi="標楷體" w:hint="eastAsia"/>
                                      <w:sz w:val="20"/>
                                      <w:szCs w:val="20"/>
                                    </w:rPr>
                                    <w:t>五常國小</w:t>
                                  </w:r>
                                </w:p>
                              </w:tc>
                              <w:tc>
                                <w:tcPr>
                                  <w:tcW w:w="1136" w:type="dxa"/>
                                  <w:tcBorders>
                                    <w:top w:val="single" w:sz="4" w:space="0" w:color="auto"/>
                                    <w:left w:val="single" w:sz="4" w:space="0" w:color="auto"/>
                                    <w:bottom w:val="single" w:sz="4" w:space="0" w:color="auto"/>
                                    <w:right w:val="single" w:sz="4" w:space="0" w:color="auto"/>
                                  </w:tcBorders>
                                  <w:noWrap/>
                                  <w:vAlign w:val="center"/>
                                  <w:hideMark/>
                                </w:tcPr>
                                <w:p w14:paraId="1F1AD65A" w14:textId="77777777" w:rsidR="008B713D" w:rsidRDefault="008B713D" w:rsidP="00B12532">
                                  <w:pPr>
                                    <w:spacing w:line="200" w:lineRule="exact"/>
                                    <w:jc w:val="center"/>
                                    <w:rPr>
                                      <w:rFonts w:ascii="標楷體" w:eastAsia="標楷體" w:hAnsi="標楷體"/>
                                      <w:sz w:val="20"/>
                                      <w:szCs w:val="20"/>
                                    </w:rPr>
                                  </w:pPr>
                                  <w:r>
                                    <w:rPr>
                                      <w:rFonts w:ascii="標楷體" w:eastAsia="標楷體" w:hAnsi="標楷體" w:cs="標楷體"/>
                                      <w:sz w:val="20"/>
                                      <w:szCs w:val="32"/>
                                    </w:rPr>
                                    <w:sym w:font="Wingdings 2" w:char="F050"/>
                                  </w: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tcPr>
                                <w:p w14:paraId="639E0D1D" w14:textId="77777777" w:rsidR="008B713D" w:rsidRDefault="008B713D" w:rsidP="00B12532">
                                  <w:pPr>
                                    <w:spacing w:line="200" w:lineRule="exact"/>
                                    <w:jc w:val="center"/>
                                    <w:rPr>
                                      <w:rFonts w:ascii="標楷體" w:eastAsia="標楷體" w:hAnsi="標楷體"/>
                                      <w:spacing w:val="-4"/>
                                      <w:sz w:val="20"/>
                                      <w:szCs w:val="20"/>
                                    </w:rPr>
                                  </w:pP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tcPr>
                                <w:p w14:paraId="416A0A3F" w14:textId="77777777" w:rsidR="008B713D" w:rsidRDefault="008B713D" w:rsidP="00B12532">
                                  <w:pPr>
                                    <w:spacing w:line="200" w:lineRule="exact"/>
                                    <w:jc w:val="center"/>
                                    <w:rPr>
                                      <w:rFonts w:ascii="標楷體" w:eastAsia="標楷體" w:hAnsi="標楷體"/>
                                      <w:spacing w:val="-18"/>
                                      <w:sz w:val="20"/>
                                      <w:szCs w:val="20"/>
                                    </w:rPr>
                                  </w:pPr>
                                </w:p>
                              </w:tc>
                              <w:tc>
                                <w:tcPr>
                                  <w:tcW w:w="574" w:type="dxa"/>
                                  <w:tcBorders>
                                    <w:top w:val="single" w:sz="4" w:space="0" w:color="auto"/>
                                    <w:left w:val="single" w:sz="4" w:space="0" w:color="auto"/>
                                    <w:bottom w:val="single" w:sz="4" w:space="0" w:color="auto"/>
                                    <w:right w:val="single" w:sz="4" w:space="0" w:color="auto"/>
                                    <w:tl2br w:val="single" w:sz="4" w:space="0" w:color="auto"/>
                                  </w:tcBorders>
                                  <w:vAlign w:val="center"/>
                                </w:tcPr>
                                <w:p w14:paraId="1C17DE44" w14:textId="77777777" w:rsidR="008B713D" w:rsidRDefault="008B713D" w:rsidP="00B12532">
                                  <w:pPr>
                                    <w:spacing w:line="200" w:lineRule="exact"/>
                                    <w:jc w:val="center"/>
                                    <w:rPr>
                                      <w:rFonts w:ascii="標楷體" w:eastAsia="標楷體" w:hAnsi="標楷體"/>
                                      <w:spacing w:val="-24"/>
                                      <w:sz w:val="20"/>
                                      <w:szCs w:val="20"/>
                                    </w:rPr>
                                  </w:pPr>
                                </w:p>
                              </w:tc>
                              <w:tc>
                                <w:tcPr>
                                  <w:tcW w:w="1134" w:type="dxa"/>
                                  <w:tcBorders>
                                    <w:top w:val="single" w:sz="4" w:space="0" w:color="auto"/>
                                    <w:left w:val="single" w:sz="4" w:space="0" w:color="auto"/>
                                    <w:bottom w:val="single" w:sz="4" w:space="0" w:color="auto"/>
                                    <w:right w:val="single" w:sz="4" w:space="0" w:color="auto"/>
                                    <w:tl2br w:val="single" w:sz="4" w:space="0" w:color="auto"/>
                                  </w:tcBorders>
                                  <w:vAlign w:val="center"/>
                                </w:tcPr>
                                <w:p w14:paraId="5AB6A633" w14:textId="77777777" w:rsidR="008B713D" w:rsidRDefault="008B713D" w:rsidP="00B12532">
                                  <w:pPr>
                                    <w:spacing w:line="200" w:lineRule="exact"/>
                                    <w:jc w:val="center"/>
                                    <w:rPr>
                                      <w:rFonts w:ascii="標楷體" w:eastAsia="標楷體" w:hAnsi="標楷體"/>
                                      <w:spacing w:val="-20"/>
                                      <w:sz w:val="20"/>
                                      <w:szCs w:val="20"/>
                                    </w:rPr>
                                  </w:pPr>
                                </w:p>
                              </w:tc>
                            </w:tr>
                            <w:tr w:rsidR="008B713D" w14:paraId="264CBCE7"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C5BB419"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2</w:t>
                                  </w:r>
                                </w:p>
                              </w:tc>
                              <w:tc>
                                <w:tcPr>
                                  <w:tcW w:w="852" w:type="dxa"/>
                                  <w:tcBorders>
                                    <w:top w:val="single" w:sz="4" w:space="0" w:color="auto"/>
                                    <w:left w:val="single" w:sz="4" w:space="0" w:color="auto"/>
                                    <w:bottom w:val="single" w:sz="4" w:space="0" w:color="auto"/>
                                    <w:right w:val="single" w:sz="4" w:space="0" w:color="auto"/>
                                  </w:tcBorders>
                                  <w:vAlign w:val="center"/>
                                  <w:hideMark/>
                                </w:tcPr>
                                <w:p w14:paraId="15190A56"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中山女高</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7CAE4467"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44832857" w14:textId="7D45F622"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76AF746F"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4412B69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1CF2B66A"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059B1DD1"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8F7ACD4"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3</w:t>
                                  </w:r>
                                </w:p>
                              </w:tc>
                              <w:tc>
                                <w:tcPr>
                                  <w:tcW w:w="852" w:type="dxa"/>
                                  <w:tcBorders>
                                    <w:top w:val="single" w:sz="4" w:space="0" w:color="auto"/>
                                    <w:left w:val="single" w:sz="4" w:space="0" w:color="auto"/>
                                    <w:bottom w:val="single" w:sz="4" w:space="0" w:color="auto"/>
                                    <w:right w:val="single" w:sz="4" w:space="0" w:color="auto"/>
                                  </w:tcBorders>
                                  <w:vAlign w:val="center"/>
                                  <w:hideMark/>
                                </w:tcPr>
                                <w:p w14:paraId="00AE22BA"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育成高中</w:t>
                                  </w:r>
                                </w:p>
                              </w:tc>
                              <w:tc>
                                <w:tcPr>
                                  <w:tcW w:w="1136" w:type="dxa"/>
                                  <w:tcBorders>
                                    <w:top w:val="single" w:sz="4" w:space="0" w:color="auto"/>
                                    <w:left w:val="single" w:sz="4" w:space="0" w:color="auto"/>
                                    <w:bottom w:val="single" w:sz="4" w:space="0" w:color="auto"/>
                                    <w:right w:val="single" w:sz="4" w:space="0" w:color="auto"/>
                                  </w:tcBorders>
                                  <w:noWrap/>
                                  <w:vAlign w:val="center"/>
                                  <w:hideMark/>
                                </w:tcPr>
                                <w:p w14:paraId="3376E7A7"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32"/>
                                    </w:rPr>
                                    <w:sym w:font="Wingdings 2" w:char="F050"/>
                                  </w:r>
                                </w:p>
                              </w:tc>
                              <w:tc>
                                <w:tcPr>
                                  <w:tcW w:w="924" w:type="dxa"/>
                                  <w:tcBorders>
                                    <w:top w:val="single" w:sz="4" w:space="0" w:color="auto"/>
                                    <w:left w:val="single" w:sz="4" w:space="0" w:color="auto"/>
                                    <w:bottom w:val="single" w:sz="4" w:space="0" w:color="auto"/>
                                    <w:right w:val="single" w:sz="4" w:space="0" w:color="auto"/>
                                  </w:tcBorders>
                                  <w:vAlign w:val="center"/>
                                  <w:hideMark/>
                                </w:tcPr>
                                <w:p w14:paraId="73A1C057"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32"/>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1F5CCAAC"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45D7EA7F"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074BE4F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6D802B93"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2AD37EBE"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4</w:t>
                                  </w:r>
                                </w:p>
                              </w:tc>
                              <w:tc>
                                <w:tcPr>
                                  <w:tcW w:w="852" w:type="dxa"/>
                                  <w:tcBorders>
                                    <w:top w:val="single" w:sz="4" w:space="0" w:color="auto"/>
                                    <w:left w:val="single" w:sz="4" w:space="0" w:color="auto"/>
                                    <w:bottom w:val="single" w:sz="4" w:space="0" w:color="auto"/>
                                    <w:right w:val="single" w:sz="4" w:space="0" w:color="auto"/>
                                  </w:tcBorders>
                                  <w:vAlign w:val="center"/>
                                  <w:hideMark/>
                                </w:tcPr>
                                <w:p w14:paraId="0EB2121F"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永春高中</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606DF398"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7527013B"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32"/>
                                    </w:rPr>
                                    <w:sym w:font="Wingdings 2" w:char="F050"/>
                                  </w: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74672DAA" w14:textId="00008458" w:rsidR="008B713D" w:rsidRDefault="008B713D" w:rsidP="00B12532">
                                  <w:pPr>
                                    <w:spacing w:line="200" w:lineRule="exact"/>
                                    <w:jc w:val="center"/>
                                    <w:rPr>
                                      <w:rFonts w:ascii="標楷體" w:eastAsia="標楷體" w:hAnsi="標楷體"/>
                                      <w:color w:val="000000"/>
                                      <w:sz w:val="20"/>
                                      <w:szCs w:val="20"/>
                                    </w:rPr>
                                  </w:pPr>
                                </w:p>
                              </w:tc>
                              <w:tc>
                                <w:tcPr>
                                  <w:tcW w:w="574" w:type="dxa"/>
                                  <w:tcBorders>
                                    <w:top w:val="single" w:sz="4" w:space="0" w:color="auto"/>
                                    <w:left w:val="single" w:sz="4" w:space="0" w:color="auto"/>
                                    <w:bottom w:val="single" w:sz="4" w:space="0" w:color="auto"/>
                                    <w:right w:val="single" w:sz="4" w:space="0" w:color="auto"/>
                                  </w:tcBorders>
                                  <w:vAlign w:val="center"/>
                                  <w:hideMark/>
                                </w:tcPr>
                                <w:p w14:paraId="354FCF1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51C77FD7"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02A3C87C"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914A9C0"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5</w:t>
                                  </w:r>
                                </w:p>
                              </w:tc>
                              <w:tc>
                                <w:tcPr>
                                  <w:tcW w:w="852" w:type="dxa"/>
                                  <w:tcBorders>
                                    <w:top w:val="single" w:sz="4" w:space="0" w:color="auto"/>
                                    <w:left w:val="single" w:sz="4" w:space="0" w:color="auto"/>
                                    <w:bottom w:val="single" w:sz="4" w:space="0" w:color="auto"/>
                                    <w:right w:val="single" w:sz="4" w:space="0" w:color="auto"/>
                                  </w:tcBorders>
                                  <w:vAlign w:val="center"/>
                                  <w:hideMark/>
                                </w:tcPr>
                                <w:p w14:paraId="58C1149F"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成淵高中</w:t>
                                  </w:r>
                                </w:p>
                              </w:tc>
                              <w:tc>
                                <w:tcPr>
                                  <w:tcW w:w="1136" w:type="dxa"/>
                                  <w:tcBorders>
                                    <w:top w:val="single" w:sz="4" w:space="0" w:color="auto"/>
                                    <w:left w:val="single" w:sz="4" w:space="0" w:color="auto"/>
                                    <w:bottom w:val="single" w:sz="4" w:space="0" w:color="auto"/>
                                    <w:right w:val="single" w:sz="4" w:space="0" w:color="auto"/>
                                  </w:tcBorders>
                                  <w:noWrap/>
                                  <w:vAlign w:val="center"/>
                                  <w:hideMark/>
                                </w:tcPr>
                                <w:p w14:paraId="02410ADB"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32"/>
                                    </w:rPr>
                                    <w:sym w:font="Wingdings 2" w:char="F050"/>
                                  </w: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144A270A" w14:textId="2EE1DF8A"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7BC855F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4F95EEF1" w14:textId="2A49741F" w:rsidR="008B713D" w:rsidRDefault="008B713D" w:rsidP="00B12532">
                                  <w:pPr>
                                    <w:spacing w:line="200" w:lineRule="exact"/>
                                    <w:jc w:val="center"/>
                                    <w:rPr>
                                      <w:rFonts w:ascii="標楷體" w:eastAsia="標楷體" w:hAnsi="標楷體"/>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5FC7F13"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1EE1DAFB"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04EE296"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6</w:t>
                                  </w:r>
                                </w:p>
                              </w:tc>
                              <w:tc>
                                <w:tcPr>
                                  <w:tcW w:w="852" w:type="dxa"/>
                                  <w:tcBorders>
                                    <w:top w:val="single" w:sz="4" w:space="0" w:color="auto"/>
                                    <w:left w:val="single" w:sz="4" w:space="0" w:color="auto"/>
                                    <w:bottom w:val="single" w:sz="4" w:space="0" w:color="auto"/>
                                    <w:right w:val="single" w:sz="4" w:space="0" w:color="auto"/>
                                  </w:tcBorders>
                                  <w:vAlign w:val="center"/>
                                  <w:hideMark/>
                                </w:tcPr>
                                <w:p w14:paraId="4D576E68"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石牌國中</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2E337B6D"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0812D0CE"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54E117E5" w14:textId="5EF8995C" w:rsidR="008B713D" w:rsidRDefault="008B713D" w:rsidP="00B12532">
                                  <w:pPr>
                                    <w:spacing w:line="200" w:lineRule="exact"/>
                                    <w:jc w:val="center"/>
                                    <w:rPr>
                                      <w:rFonts w:ascii="標楷體" w:eastAsia="標楷體" w:hAnsi="標楷體"/>
                                      <w:color w:val="000000"/>
                                      <w:sz w:val="20"/>
                                      <w:szCs w:val="20"/>
                                    </w:rPr>
                                  </w:pPr>
                                </w:p>
                              </w:tc>
                              <w:tc>
                                <w:tcPr>
                                  <w:tcW w:w="574" w:type="dxa"/>
                                  <w:tcBorders>
                                    <w:top w:val="single" w:sz="4" w:space="0" w:color="auto"/>
                                    <w:left w:val="single" w:sz="4" w:space="0" w:color="auto"/>
                                    <w:bottom w:val="single" w:sz="4" w:space="0" w:color="auto"/>
                                    <w:right w:val="single" w:sz="4" w:space="0" w:color="auto"/>
                                  </w:tcBorders>
                                  <w:vAlign w:val="center"/>
                                  <w:hideMark/>
                                </w:tcPr>
                                <w:p w14:paraId="5A5E9AB6"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7A620EE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01CD7EBD"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599A91CB"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7</w:t>
                                  </w:r>
                                </w:p>
                              </w:tc>
                              <w:tc>
                                <w:tcPr>
                                  <w:tcW w:w="852" w:type="dxa"/>
                                  <w:tcBorders>
                                    <w:top w:val="single" w:sz="4" w:space="0" w:color="auto"/>
                                    <w:left w:val="single" w:sz="4" w:space="0" w:color="auto"/>
                                    <w:bottom w:val="single" w:sz="4" w:space="0" w:color="auto"/>
                                    <w:right w:val="single" w:sz="4" w:space="0" w:color="auto"/>
                                  </w:tcBorders>
                                  <w:vAlign w:val="center"/>
                                  <w:hideMark/>
                                </w:tcPr>
                                <w:p w14:paraId="19D804F2"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新興國中</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0F42767C"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03C819DD" w14:textId="02203EEF"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2E94EA36"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21E9D29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223FB9F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21BCCF68"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4383DBDF"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8</w:t>
                                  </w:r>
                                </w:p>
                              </w:tc>
                              <w:tc>
                                <w:tcPr>
                                  <w:tcW w:w="852" w:type="dxa"/>
                                  <w:tcBorders>
                                    <w:top w:val="single" w:sz="4" w:space="0" w:color="auto"/>
                                    <w:left w:val="single" w:sz="4" w:space="0" w:color="auto"/>
                                    <w:bottom w:val="single" w:sz="4" w:space="0" w:color="auto"/>
                                    <w:right w:val="single" w:sz="4" w:space="0" w:color="auto"/>
                                  </w:tcBorders>
                                  <w:vAlign w:val="center"/>
                                  <w:hideMark/>
                                </w:tcPr>
                                <w:p w14:paraId="3496D13B"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南門國中</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18E59F66"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3C20D32A" w14:textId="2A1B0881"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5251B43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237AB603"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35A54E6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0F3D387F"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36D9F66"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9</w:t>
                                  </w:r>
                                </w:p>
                              </w:tc>
                              <w:tc>
                                <w:tcPr>
                                  <w:tcW w:w="852" w:type="dxa"/>
                                  <w:tcBorders>
                                    <w:top w:val="single" w:sz="4" w:space="0" w:color="auto"/>
                                    <w:left w:val="single" w:sz="4" w:space="0" w:color="auto"/>
                                    <w:bottom w:val="single" w:sz="4" w:space="0" w:color="auto"/>
                                    <w:right w:val="single" w:sz="4" w:space="0" w:color="auto"/>
                                  </w:tcBorders>
                                  <w:vAlign w:val="center"/>
                                  <w:hideMark/>
                                </w:tcPr>
                                <w:p w14:paraId="7F88E4FE"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福德國小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41C5D56A"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5D992823"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57A59E6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07B9DD03" w14:textId="6A2200C0" w:rsidR="008B713D" w:rsidRDefault="008B713D" w:rsidP="00B12532">
                                  <w:pPr>
                                    <w:spacing w:line="200" w:lineRule="exact"/>
                                    <w:jc w:val="center"/>
                                    <w:rPr>
                                      <w:rFonts w:ascii="標楷體" w:eastAsia="標楷體" w:hAnsi="標楷體"/>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060738A"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4FD3C585"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3AAD1EEE"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10</w:t>
                                  </w:r>
                                </w:p>
                              </w:tc>
                              <w:tc>
                                <w:tcPr>
                                  <w:tcW w:w="852" w:type="dxa"/>
                                  <w:tcBorders>
                                    <w:top w:val="single" w:sz="4" w:space="0" w:color="auto"/>
                                    <w:left w:val="single" w:sz="4" w:space="0" w:color="auto"/>
                                    <w:bottom w:val="single" w:sz="4" w:space="0" w:color="auto"/>
                                    <w:right w:val="single" w:sz="4" w:space="0" w:color="auto"/>
                                  </w:tcBorders>
                                  <w:vAlign w:val="center"/>
                                  <w:hideMark/>
                                </w:tcPr>
                                <w:p w14:paraId="1E885A8C"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懷生國小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700680DA"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448A1CC9"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017F32F3"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07D24549" w14:textId="3583A5F5" w:rsidR="008B713D" w:rsidRDefault="008B713D" w:rsidP="00B12532">
                                  <w:pPr>
                                    <w:spacing w:line="200" w:lineRule="exact"/>
                                    <w:jc w:val="center"/>
                                    <w:rPr>
                                      <w:rFonts w:ascii="標楷體" w:eastAsia="標楷體" w:hAnsi="標楷體"/>
                                      <w:color w:val="000000"/>
                                      <w:sz w:val="20"/>
                                      <w:szCs w:val="20"/>
                                    </w:rPr>
                                  </w:pPr>
                                </w:p>
                              </w:tc>
                              <w:tc>
                                <w:tcPr>
                                  <w:tcW w:w="113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8B8AD0E" w14:textId="16828A8A" w:rsidR="008B713D" w:rsidRDefault="008B713D" w:rsidP="00B12532">
                                  <w:pPr>
                                    <w:spacing w:line="200" w:lineRule="exact"/>
                                    <w:jc w:val="center"/>
                                    <w:rPr>
                                      <w:rFonts w:ascii="標楷體" w:eastAsia="標楷體" w:hAnsi="標楷體"/>
                                      <w:color w:val="000000"/>
                                      <w:sz w:val="20"/>
                                      <w:szCs w:val="20"/>
                                    </w:rPr>
                                  </w:pPr>
                                </w:p>
                              </w:tc>
                            </w:tr>
                            <w:tr w:rsidR="008B713D" w14:paraId="09369CD7"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0A4D4FD5"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11</w:t>
                                  </w:r>
                                </w:p>
                              </w:tc>
                              <w:tc>
                                <w:tcPr>
                                  <w:tcW w:w="852" w:type="dxa"/>
                                  <w:tcBorders>
                                    <w:top w:val="single" w:sz="4" w:space="0" w:color="auto"/>
                                    <w:left w:val="single" w:sz="4" w:space="0" w:color="auto"/>
                                    <w:bottom w:val="single" w:sz="4" w:space="0" w:color="auto"/>
                                    <w:right w:val="single" w:sz="4" w:space="0" w:color="auto"/>
                                  </w:tcBorders>
                                  <w:vAlign w:val="center"/>
                                  <w:hideMark/>
                                </w:tcPr>
                                <w:p w14:paraId="52FC4557"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西松國小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32FD05D4"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FD56D15" w14:textId="29097E24"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9C69B04" w14:textId="6C38F2C8" w:rsidR="008B713D" w:rsidRDefault="008B713D" w:rsidP="00B12532">
                                  <w:pPr>
                                    <w:spacing w:line="200" w:lineRule="exact"/>
                                    <w:jc w:val="center"/>
                                    <w:rPr>
                                      <w:rFonts w:ascii="標楷體" w:eastAsia="標楷體" w:hAnsi="標楷體"/>
                                      <w:color w:val="000000"/>
                                      <w:sz w:val="20"/>
                                      <w:szCs w:val="20"/>
                                    </w:rPr>
                                  </w:pPr>
                                </w:p>
                              </w:tc>
                              <w:tc>
                                <w:tcPr>
                                  <w:tcW w:w="574" w:type="dxa"/>
                                  <w:tcBorders>
                                    <w:top w:val="single" w:sz="4" w:space="0" w:color="auto"/>
                                    <w:left w:val="single" w:sz="4" w:space="0" w:color="auto"/>
                                    <w:bottom w:val="single" w:sz="4" w:space="0" w:color="auto"/>
                                    <w:right w:val="single" w:sz="4" w:space="0" w:color="auto"/>
                                  </w:tcBorders>
                                  <w:vAlign w:val="center"/>
                                  <w:hideMark/>
                                </w:tcPr>
                                <w:p w14:paraId="4335C0DE"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0034EB6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70B60794"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0F2BAB38"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12</w:t>
                                  </w:r>
                                </w:p>
                              </w:tc>
                              <w:tc>
                                <w:tcPr>
                                  <w:tcW w:w="852" w:type="dxa"/>
                                  <w:tcBorders>
                                    <w:top w:val="single" w:sz="4" w:space="0" w:color="auto"/>
                                    <w:left w:val="single" w:sz="4" w:space="0" w:color="auto"/>
                                    <w:bottom w:val="single" w:sz="4" w:space="0" w:color="auto"/>
                                    <w:right w:val="single" w:sz="4" w:space="0" w:color="auto"/>
                                  </w:tcBorders>
                                  <w:vAlign w:val="center"/>
                                  <w:hideMark/>
                                </w:tcPr>
                                <w:p w14:paraId="19542D4C"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長安國小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4D5A7C69"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2363A86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413FD733"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492F955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418043CE"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02E5063E"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124DBF7D"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13</w:t>
                                  </w:r>
                                </w:p>
                              </w:tc>
                              <w:tc>
                                <w:tcPr>
                                  <w:tcW w:w="852" w:type="dxa"/>
                                  <w:tcBorders>
                                    <w:top w:val="single" w:sz="4" w:space="0" w:color="auto"/>
                                    <w:left w:val="single" w:sz="4" w:space="0" w:color="auto"/>
                                    <w:bottom w:val="single" w:sz="4" w:space="0" w:color="auto"/>
                                    <w:right w:val="single" w:sz="4" w:space="0" w:color="auto"/>
                                  </w:tcBorders>
                                  <w:vAlign w:val="center"/>
                                  <w:hideMark/>
                                </w:tcPr>
                                <w:p w14:paraId="4BB7E8AA"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忠孝國小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69659BD2"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7A17ADDD" w14:textId="5FC6DC57"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7975EAAC"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3BB8BE33" w14:textId="6AFFCED8" w:rsidR="008B713D" w:rsidRDefault="008B713D" w:rsidP="00B12532">
                                  <w:pPr>
                                    <w:spacing w:line="200" w:lineRule="exact"/>
                                    <w:jc w:val="center"/>
                                    <w:rPr>
                                      <w:rFonts w:ascii="標楷體" w:eastAsia="標楷體" w:hAnsi="標楷體"/>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9656BCA"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40D8E6CA"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272D348B"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14</w:t>
                                  </w:r>
                                </w:p>
                              </w:tc>
                              <w:tc>
                                <w:tcPr>
                                  <w:tcW w:w="852" w:type="dxa"/>
                                  <w:tcBorders>
                                    <w:top w:val="single" w:sz="4" w:space="0" w:color="auto"/>
                                    <w:left w:val="single" w:sz="4" w:space="0" w:color="auto"/>
                                    <w:bottom w:val="single" w:sz="4" w:space="0" w:color="auto"/>
                                    <w:right w:val="single" w:sz="4" w:space="0" w:color="auto"/>
                                  </w:tcBorders>
                                  <w:vAlign w:val="center"/>
                                  <w:hideMark/>
                                </w:tcPr>
                                <w:p w14:paraId="0C457EEF"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敦化國小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61235769"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23DD470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7AFA1F3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688BAA96"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C2C36"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6D7A58E3"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5C1A9EAF"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15</w:t>
                                  </w:r>
                                </w:p>
                              </w:tc>
                              <w:tc>
                                <w:tcPr>
                                  <w:tcW w:w="852" w:type="dxa"/>
                                  <w:tcBorders>
                                    <w:top w:val="single" w:sz="4" w:space="0" w:color="auto"/>
                                    <w:left w:val="single" w:sz="4" w:space="0" w:color="auto"/>
                                    <w:bottom w:val="single" w:sz="4" w:space="0" w:color="auto"/>
                                    <w:right w:val="single" w:sz="4" w:space="0" w:color="auto"/>
                                  </w:tcBorders>
                                  <w:vAlign w:val="center"/>
                                  <w:hideMark/>
                                </w:tcPr>
                                <w:p w14:paraId="04468E79"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東園國小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21D464D7"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6C2D5E60"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238A73A6"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11837B0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7C1284B7"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37D34C96"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09B0F8C6"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16</w:t>
                                  </w:r>
                                </w:p>
                              </w:tc>
                              <w:tc>
                                <w:tcPr>
                                  <w:tcW w:w="852" w:type="dxa"/>
                                  <w:tcBorders>
                                    <w:top w:val="single" w:sz="4" w:space="0" w:color="auto"/>
                                    <w:left w:val="single" w:sz="4" w:space="0" w:color="auto"/>
                                    <w:bottom w:val="single" w:sz="4" w:space="0" w:color="auto"/>
                                    <w:right w:val="single" w:sz="4" w:space="0" w:color="auto"/>
                                  </w:tcBorders>
                                  <w:vAlign w:val="center"/>
                                  <w:hideMark/>
                                </w:tcPr>
                                <w:p w14:paraId="65448497"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萬大國小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109F8BB2"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53BEE249" w14:textId="72AF1B1E"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5CFBF451" w14:textId="42B04868" w:rsidR="008B713D" w:rsidRDefault="008B713D" w:rsidP="00B12532">
                                  <w:pPr>
                                    <w:spacing w:line="200" w:lineRule="exact"/>
                                    <w:jc w:val="center"/>
                                    <w:rPr>
                                      <w:rFonts w:ascii="標楷體" w:eastAsia="標楷體" w:hAnsi="標楷體"/>
                                      <w:color w:val="000000"/>
                                      <w:sz w:val="20"/>
                                      <w:szCs w:val="20"/>
                                    </w:rPr>
                                  </w:pPr>
                                </w:p>
                              </w:tc>
                              <w:tc>
                                <w:tcPr>
                                  <w:tcW w:w="574" w:type="dxa"/>
                                  <w:tcBorders>
                                    <w:top w:val="single" w:sz="4" w:space="0" w:color="auto"/>
                                    <w:left w:val="single" w:sz="4" w:space="0" w:color="auto"/>
                                    <w:bottom w:val="single" w:sz="4" w:space="0" w:color="auto"/>
                                    <w:right w:val="single" w:sz="4" w:space="0" w:color="auto"/>
                                  </w:tcBorders>
                                  <w:vAlign w:val="center"/>
                                  <w:hideMark/>
                                </w:tcPr>
                                <w:p w14:paraId="48D8B38C"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3C6CDFD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17E1D13A"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402DF367"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17</w:t>
                                  </w:r>
                                </w:p>
                              </w:tc>
                              <w:tc>
                                <w:tcPr>
                                  <w:tcW w:w="852" w:type="dxa"/>
                                  <w:tcBorders>
                                    <w:top w:val="single" w:sz="4" w:space="0" w:color="auto"/>
                                    <w:left w:val="single" w:sz="4" w:space="0" w:color="auto"/>
                                    <w:bottom w:val="single" w:sz="4" w:space="0" w:color="auto"/>
                                    <w:right w:val="single" w:sz="4" w:space="0" w:color="auto"/>
                                  </w:tcBorders>
                                  <w:vAlign w:val="center"/>
                                  <w:hideMark/>
                                </w:tcPr>
                                <w:p w14:paraId="3DDF9940"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新生國小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4606F621"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141D2D9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3E6A3539"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0B8896DD"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121056E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28A2F00E"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4D246F98"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18</w:t>
                                  </w:r>
                                </w:p>
                              </w:tc>
                              <w:tc>
                                <w:tcPr>
                                  <w:tcW w:w="852" w:type="dxa"/>
                                  <w:tcBorders>
                                    <w:top w:val="single" w:sz="4" w:space="0" w:color="auto"/>
                                    <w:left w:val="single" w:sz="4" w:space="0" w:color="auto"/>
                                    <w:bottom w:val="single" w:sz="4" w:space="0" w:color="auto"/>
                                    <w:right w:val="single" w:sz="4" w:space="0" w:color="auto"/>
                                  </w:tcBorders>
                                  <w:vAlign w:val="center"/>
                                  <w:hideMark/>
                                </w:tcPr>
                                <w:p w14:paraId="09D9E5AD"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雙園國小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074CCDF5"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2885D4A5"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313B90F7"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55351119"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6FDDBCDA"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513C204F"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0DE0227B"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19</w:t>
                                  </w:r>
                                </w:p>
                              </w:tc>
                              <w:tc>
                                <w:tcPr>
                                  <w:tcW w:w="852" w:type="dxa"/>
                                  <w:tcBorders>
                                    <w:top w:val="single" w:sz="4" w:space="0" w:color="auto"/>
                                    <w:left w:val="single" w:sz="4" w:space="0" w:color="auto"/>
                                    <w:bottom w:val="single" w:sz="4" w:space="0" w:color="auto"/>
                                    <w:right w:val="single" w:sz="4" w:space="0" w:color="auto"/>
                                  </w:tcBorders>
                                  <w:vAlign w:val="center"/>
                                  <w:hideMark/>
                                </w:tcPr>
                                <w:p w14:paraId="6A97708B"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南門國小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4EC5769C"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08643104" w14:textId="7FD69704"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06B920FA"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0732C4FB"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41BB8077" w14:textId="666C8177" w:rsidR="008B713D" w:rsidRDefault="008B713D" w:rsidP="00B12532">
                                  <w:pPr>
                                    <w:spacing w:line="200" w:lineRule="exact"/>
                                    <w:jc w:val="center"/>
                                    <w:rPr>
                                      <w:rFonts w:ascii="標楷體" w:eastAsia="標楷體" w:hAnsi="標楷體"/>
                                      <w:color w:val="000000"/>
                                      <w:sz w:val="20"/>
                                      <w:szCs w:val="20"/>
                                    </w:rPr>
                                  </w:pPr>
                                </w:p>
                              </w:tc>
                            </w:tr>
                            <w:tr w:rsidR="008B713D" w14:paraId="1860B893"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0AB050B1"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20</w:t>
                                  </w:r>
                                </w:p>
                              </w:tc>
                              <w:tc>
                                <w:tcPr>
                                  <w:tcW w:w="852" w:type="dxa"/>
                                  <w:tcBorders>
                                    <w:top w:val="single" w:sz="4" w:space="0" w:color="auto"/>
                                    <w:left w:val="single" w:sz="4" w:space="0" w:color="auto"/>
                                    <w:bottom w:val="single" w:sz="4" w:space="0" w:color="auto"/>
                                    <w:right w:val="single" w:sz="4" w:space="0" w:color="auto"/>
                                  </w:tcBorders>
                                  <w:vAlign w:val="center"/>
                                  <w:hideMark/>
                                </w:tcPr>
                                <w:p w14:paraId="29144F8C"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民權國小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0B3C7F03"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2AE13EB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1E2F441A" w14:textId="6BAFACBC" w:rsidR="008B713D" w:rsidRDefault="008B713D" w:rsidP="00B12532">
                                  <w:pPr>
                                    <w:spacing w:line="200" w:lineRule="exact"/>
                                    <w:jc w:val="center"/>
                                    <w:rPr>
                                      <w:rFonts w:ascii="標楷體" w:eastAsia="標楷體" w:hAnsi="標楷體"/>
                                      <w:color w:val="000000"/>
                                      <w:sz w:val="20"/>
                                      <w:szCs w:val="20"/>
                                    </w:rPr>
                                  </w:pPr>
                                </w:p>
                              </w:tc>
                              <w:tc>
                                <w:tcPr>
                                  <w:tcW w:w="574" w:type="dxa"/>
                                  <w:tcBorders>
                                    <w:top w:val="single" w:sz="4" w:space="0" w:color="auto"/>
                                    <w:left w:val="single" w:sz="4" w:space="0" w:color="auto"/>
                                    <w:bottom w:val="single" w:sz="4" w:space="0" w:color="auto"/>
                                    <w:right w:val="single" w:sz="4" w:space="0" w:color="auto"/>
                                  </w:tcBorders>
                                  <w:vAlign w:val="center"/>
                                  <w:hideMark/>
                                </w:tcPr>
                                <w:p w14:paraId="1654629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3E568608"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bl>
                          <w:p w14:paraId="5195A6CF" w14:textId="77777777" w:rsidR="008B713D" w:rsidRDefault="008B713D" w:rsidP="008B713D">
                            <w:pPr>
                              <w:spacing w:line="200" w:lineRule="exact"/>
                              <w:ind w:leftChars="-40" w:left="-96"/>
                              <w:rPr>
                                <w:rFonts w:ascii="標楷體" w:eastAsia="標楷體" w:hAnsi="標楷體"/>
                                <w:sz w:val="18"/>
                                <w:szCs w:val="18"/>
                              </w:rPr>
                            </w:pPr>
                            <w:r>
                              <w:rPr>
                                <w:rFonts w:ascii="標楷體" w:eastAsia="標楷體" w:hAnsi="標楷體" w:hint="eastAsia"/>
                                <w:sz w:val="18"/>
                                <w:szCs w:val="18"/>
                              </w:rPr>
                              <w:t>資料來源：整理自前開學校提供資料。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B71574" id="文字方塊 33" o:spid="_x0000_s1057" type="#_x0000_t202" style="position:absolute;left:0;text-align:left;margin-left:226.15pt;margin-top:4pt;width:273pt;height:280.45pt;z-index:-251622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" stroked="f">
                <v:textbox>
                  <w:txbxContent>
                    <w:tbl>
                      <w:tblPr>
                        <w:tblW w:w="5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80"/>
                        <w:gridCol w:w="852"/>
                        <w:gridCol w:w="1136"/>
                        <w:gridCol w:w="924"/>
                        <w:gridCol w:w="406"/>
                        <w:gridCol w:w="574"/>
                        <w:gridCol w:w="1134"/>
                      </w:tblGrid>
                      <w:tr w:rsidR="008B713D" w14:paraId="599FC135" w14:textId="77777777">
                        <w:trPr>
                          <w:jc w:val="center"/>
                        </w:trPr>
                        <w:tc>
                          <w:tcPr>
                            <w:tcW w:w="5306" w:type="dxa"/>
                            <w:gridSpan w:val="7"/>
                            <w:tcBorders>
                              <w:top w:val="nil"/>
                              <w:left w:val="nil"/>
                              <w:bottom w:val="single" w:sz="4" w:space="0" w:color="auto"/>
                              <w:right w:val="nil"/>
                            </w:tcBorders>
                            <w:hideMark/>
                          </w:tcPr>
                          <w:p w14:paraId="5D5D26A0" w14:textId="0CDF49C8" w:rsidR="008B713D" w:rsidRDefault="008B713D" w:rsidP="00374C1D">
                            <w:pPr>
                              <w:spacing w:line="240" w:lineRule="exact"/>
                              <w:ind w:left="504" w:rightChars="-11" w:right="-26" w:hangingChars="210" w:hanging="504"/>
                              <w:jc w:val="center"/>
                              <w:rPr>
                                <w:rFonts w:ascii="標楷體" w:eastAsia="標楷體" w:hAnsi="標楷體"/>
                                <w:b/>
                                <w:color w:val="000000"/>
                              </w:rPr>
                            </w:pPr>
                            <w:r>
                              <w:rPr>
                                <w:rFonts w:ascii="新細明體" w:eastAsia="新細明體" w:hAnsi="新細明體" w:cs="新細明體"/>
                                <w:kern w:val="0"/>
                                <w:szCs w:val="24"/>
                              </w:rPr>
                              <w:t xml:space="preserve"> </w:t>
                            </w:r>
                            <w:r>
                              <w:rPr>
                                <w:rFonts w:ascii="標楷體" w:eastAsia="標楷體" w:hAnsi="標楷體" w:hint="eastAsia"/>
                                <w:b/>
                                <w:color w:val="000000"/>
                              </w:rPr>
                              <w:t xml:space="preserve">表2　</w:t>
                            </w:r>
                            <w:r>
                              <w:rPr>
                                <w:rFonts w:ascii="標楷體" w:eastAsia="標楷體" w:hAnsi="標楷體" w:hint="eastAsia"/>
                                <w:b/>
                                <w:color w:val="000000"/>
                                <w:spacing w:val="-10"/>
                              </w:rPr>
                              <w:t>臺北市立學校監錄系統設備管理缺失情形</w:t>
                            </w:r>
                          </w:p>
                        </w:tc>
                      </w:tr>
                      <w:tr w:rsidR="008B713D" w14:paraId="63495A75" w14:textId="77777777">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0C3FC79" w14:textId="77777777" w:rsidR="008B713D" w:rsidRDefault="008B713D">
                            <w:pPr>
                              <w:spacing w:line="200" w:lineRule="exact"/>
                              <w:rPr>
                                <w:rFonts w:ascii="標楷體" w:eastAsia="標楷體" w:hAnsi="標楷體"/>
                                <w:sz w:val="20"/>
                                <w:szCs w:val="20"/>
                              </w:rPr>
                            </w:pPr>
                            <w:r>
                              <w:rPr>
                                <w:rFonts w:ascii="標楷體" w:eastAsia="標楷體" w:hAnsi="標楷體" w:hint="eastAsia"/>
                                <w:sz w:val="20"/>
                                <w:szCs w:val="20"/>
                              </w:rPr>
                              <w:t>序號</w:t>
                            </w:r>
                          </w:p>
                        </w:tc>
                        <w:tc>
                          <w:tcPr>
                            <w:tcW w:w="852" w:type="dxa"/>
                            <w:tcBorders>
                              <w:top w:val="single" w:sz="4" w:space="0" w:color="auto"/>
                              <w:left w:val="single" w:sz="4" w:space="0" w:color="auto"/>
                              <w:bottom w:val="single" w:sz="4" w:space="0" w:color="auto"/>
                              <w:right w:val="single" w:sz="4" w:space="0" w:color="auto"/>
                            </w:tcBorders>
                            <w:vAlign w:val="center"/>
                            <w:hideMark/>
                          </w:tcPr>
                          <w:p w14:paraId="59B98F36" w14:textId="77777777" w:rsidR="008B713D" w:rsidRDefault="008B713D">
                            <w:pPr>
                              <w:spacing w:line="200" w:lineRule="exact"/>
                              <w:ind w:leftChars="-8" w:left="-19"/>
                              <w:jc w:val="center"/>
                              <w:rPr>
                                <w:rFonts w:ascii="標楷體" w:eastAsia="標楷體" w:hAnsi="標楷體"/>
                                <w:sz w:val="20"/>
                                <w:szCs w:val="20"/>
                              </w:rPr>
                            </w:pPr>
                            <w:r>
                              <w:rPr>
                                <w:rFonts w:ascii="標楷體" w:eastAsia="標楷體" w:hAnsi="標楷體" w:hint="eastAsia"/>
                                <w:sz w:val="20"/>
                                <w:szCs w:val="20"/>
                              </w:rPr>
                              <w:t>學校名稱</w:t>
                            </w:r>
                          </w:p>
                        </w:tc>
                        <w:tc>
                          <w:tcPr>
                            <w:tcW w:w="1136" w:type="dxa"/>
                            <w:tcBorders>
                              <w:top w:val="single" w:sz="4" w:space="0" w:color="auto"/>
                              <w:left w:val="single" w:sz="4" w:space="0" w:color="auto"/>
                              <w:bottom w:val="single" w:sz="4" w:space="0" w:color="auto"/>
                              <w:right w:val="single" w:sz="4" w:space="0" w:color="auto"/>
                            </w:tcBorders>
                            <w:noWrap/>
                            <w:hideMark/>
                          </w:tcPr>
                          <w:p w14:paraId="3EB801FA" w14:textId="77777777" w:rsidR="008B713D" w:rsidRDefault="008B713D">
                            <w:pPr>
                              <w:spacing w:line="200" w:lineRule="exact"/>
                              <w:ind w:leftChars="-8" w:left="-19"/>
                              <w:rPr>
                                <w:rFonts w:ascii="標楷體" w:eastAsia="標楷體" w:hAnsi="標楷體"/>
                                <w:spacing w:val="-22"/>
                                <w:sz w:val="20"/>
                                <w:szCs w:val="20"/>
                              </w:rPr>
                            </w:pPr>
                            <w:r>
                              <w:rPr>
                                <w:rFonts w:ascii="標楷體" w:eastAsia="標楷體" w:hAnsi="標楷體" w:hint="eastAsia"/>
                                <w:spacing w:val="-22"/>
                                <w:sz w:val="20"/>
                                <w:szCs w:val="20"/>
                              </w:rPr>
                              <w:t>監錄資料未訂定保存期間或所訂保存期間低於規定期限者</w:t>
                            </w:r>
                          </w:p>
                        </w:tc>
                        <w:tc>
                          <w:tcPr>
                            <w:tcW w:w="924" w:type="dxa"/>
                            <w:tcBorders>
                              <w:top w:val="single" w:sz="4" w:space="0" w:color="auto"/>
                              <w:left w:val="single" w:sz="4" w:space="0" w:color="auto"/>
                              <w:bottom w:val="single" w:sz="4" w:space="0" w:color="auto"/>
                              <w:right w:val="single" w:sz="4" w:space="0" w:color="auto"/>
                            </w:tcBorders>
                            <w:hideMark/>
                          </w:tcPr>
                          <w:p w14:paraId="3430BB39" w14:textId="77777777" w:rsidR="008B713D" w:rsidRDefault="008B713D">
                            <w:pPr>
                              <w:spacing w:line="200" w:lineRule="exact"/>
                              <w:ind w:rightChars="-27" w:right="-65"/>
                              <w:rPr>
                                <w:rFonts w:ascii="標楷體" w:eastAsia="標楷體" w:hAnsi="標楷體"/>
                                <w:spacing w:val="-18"/>
                                <w:sz w:val="20"/>
                                <w:szCs w:val="20"/>
                              </w:rPr>
                            </w:pPr>
                            <w:r>
                              <w:rPr>
                                <w:rFonts w:ascii="標楷體" w:eastAsia="標楷體" w:hAnsi="標楷體" w:hint="eastAsia"/>
                                <w:spacing w:val="-18"/>
                                <w:sz w:val="20"/>
                                <w:szCs w:val="20"/>
                              </w:rPr>
                              <w:t>攝錄資料未依規定期限保存者</w:t>
                            </w:r>
                          </w:p>
                        </w:tc>
                        <w:tc>
                          <w:tcPr>
                            <w:tcW w:w="406" w:type="dxa"/>
                            <w:tcBorders>
                              <w:top w:val="single" w:sz="4" w:space="0" w:color="auto"/>
                              <w:left w:val="single" w:sz="4" w:space="0" w:color="auto"/>
                              <w:bottom w:val="single" w:sz="4" w:space="0" w:color="auto"/>
                              <w:right w:val="single" w:sz="4" w:space="0" w:color="auto"/>
                            </w:tcBorders>
                            <w:hideMark/>
                          </w:tcPr>
                          <w:p w14:paraId="4C8B46A8" w14:textId="77777777" w:rsidR="008B713D" w:rsidRDefault="008B713D">
                            <w:pPr>
                              <w:spacing w:line="200" w:lineRule="exact"/>
                              <w:rPr>
                                <w:rFonts w:ascii="標楷體" w:eastAsia="標楷體" w:hAnsi="標楷體"/>
                                <w:spacing w:val="-32"/>
                                <w:sz w:val="20"/>
                                <w:szCs w:val="20"/>
                              </w:rPr>
                            </w:pPr>
                            <w:r>
                              <w:rPr>
                                <w:rFonts w:ascii="標楷體" w:eastAsia="標楷體" w:hAnsi="標楷體" w:hint="eastAsia"/>
                                <w:spacing w:val="-18"/>
                                <w:sz w:val="20"/>
                                <w:szCs w:val="20"/>
                              </w:rPr>
                              <w:t>連線異常或故障者</w:t>
                            </w:r>
                          </w:p>
                        </w:tc>
                        <w:tc>
                          <w:tcPr>
                            <w:tcW w:w="574" w:type="dxa"/>
                            <w:tcBorders>
                              <w:top w:val="single" w:sz="4" w:space="0" w:color="auto"/>
                              <w:left w:val="single" w:sz="4" w:space="0" w:color="auto"/>
                              <w:bottom w:val="single" w:sz="4" w:space="0" w:color="auto"/>
                              <w:right w:val="single" w:sz="4" w:space="0" w:color="auto"/>
                            </w:tcBorders>
                            <w:hideMark/>
                          </w:tcPr>
                          <w:p w14:paraId="162289C7" w14:textId="77777777" w:rsidR="008B713D" w:rsidRDefault="008B713D">
                            <w:pPr>
                              <w:spacing w:line="200" w:lineRule="exact"/>
                              <w:ind w:rightChars="-4" w:right="-10"/>
                              <w:rPr>
                                <w:rFonts w:ascii="標楷體" w:eastAsia="標楷體" w:hAnsi="標楷體"/>
                                <w:spacing w:val="-24"/>
                                <w:sz w:val="20"/>
                                <w:szCs w:val="20"/>
                              </w:rPr>
                            </w:pPr>
                            <w:proofErr w:type="gramStart"/>
                            <w:r>
                              <w:rPr>
                                <w:rFonts w:ascii="標楷體" w:eastAsia="標楷體" w:hAnsi="標楷體" w:hint="eastAsia"/>
                                <w:spacing w:val="-24"/>
                                <w:sz w:val="20"/>
                                <w:szCs w:val="20"/>
                              </w:rPr>
                              <w:t>帳物不符</w:t>
                            </w:r>
                            <w:proofErr w:type="gramEnd"/>
                            <w:r>
                              <w:rPr>
                                <w:rFonts w:ascii="標楷體" w:eastAsia="標楷體" w:hAnsi="標楷體" w:hint="eastAsia"/>
                                <w:spacing w:val="-24"/>
                                <w:sz w:val="20"/>
                                <w:szCs w:val="20"/>
                              </w:rPr>
                              <w:t>者</w:t>
                            </w:r>
                          </w:p>
                        </w:tc>
                        <w:tc>
                          <w:tcPr>
                            <w:tcW w:w="1134" w:type="dxa"/>
                            <w:tcBorders>
                              <w:top w:val="single" w:sz="4" w:space="0" w:color="auto"/>
                              <w:left w:val="single" w:sz="4" w:space="0" w:color="auto"/>
                              <w:bottom w:val="single" w:sz="4" w:space="0" w:color="auto"/>
                              <w:right w:val="single" w:sz="4" w:space="0" w:color="auto"/>
                            </w:tcBorders>
                            <w:hideMark/>
                          </w:tcPr>
                          <w:p w14:paraId="460C5C9A" w14:textId="77777777" w:rsidR="008B713D" w:rsidRDefault="008B713D">
                            <w:pPr>
                              <w:spacing w:line="200" w:lineRule="exact"/>
                              <w:ind w:rightChars="20" w:right="48"/>
                              <w:jc w:val="both"/>
                              <w:rPr>
                                <w:rFonts w:ascii="標楷體" w:eastAsia="標楷體" w:hAnsi="標楷體"/>
                                <w:spacing w:val="-28"/>
                                <w:sz w:val="20"/>
                                <w:szCs w:val="20"/>
                              </w:rPr>
                            </w:pPr>
                            <w:r>
                              <w:rPr>
                                <w:rFonts w:ascii="標楷體" w:eastAsia="標楷體" w:hAnsi="標楷體" w:hint="eastAsia"/>
                                <w:spacing w:val="-28"/>
                                <w:sz w:val="20"/>
                                <w:szCs w:val="20"/>
                              </w:rPr>
                              <w:t>無法提出警察機關核准設置或變更監錄系統之使用許可書者</w:t>
                            </w:r>
                          </w:p>
                        </w:tc>
                      </w:tr>
                      <w:tr w:rsidR="008B713D" w14:paraId="2C12E804"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10202488"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w:t>
                            </w:r>
                          </w:p>
                        </w:tc>
                        <w:tc>
                          <w:tcPr>
                            <w:tcW w:w="852" w:type="dxa"/>
                            <w:tcBorders>
                              <w:top w:val="single" w:sz="4" w:space="0" w:color="auto"/>
                              <w:left w:val="single" w:sz="4" w:space="0" w:color="auto"/>
                              <w:bottom w:val="single" w:sz="4" w:space="0" w:color="auto"/>
                              <w:right w:val="single" w:sz="4" w:space="0" w:color="auto"/>
                            </w:tcBorders>
                            <w:vAlign w:val="center"/>
                            <w:hideMark/>
                          </w:tcPr>
                          <w:p w14:paraId="3C2629B5" w14:textId="77777777" w:rsidR="008B713D" w:rsidRDefault="008B713D">
                            <w:pPr>
                              <w:spacing w:line="200" w:lineRule="exact"/>
                              <w:ind w:leftChars="-8" w:left="-19"/>
                              <w:jc w:val="center"/>
                              <w:rPr>
                                <w:rFonts w:ascii="標楷體" w:eastAsia="標楷體" w:hAnsi="標楷體"/>
                                <w:sz w:val="20"/>
                                <w:szCs w:val="20"/>
                              </w:rPr>
                            </w:pPr>
                            <w:r>
                              <w:rPr>
                                <w:rFonts w:ascii="標楷體" w:eastAsia="標楷體" w:hAnsi="標楷體" w:hint="eastAsia"/>
                                <w:sz w:val="20"/>
                                <w:szCs w:val="20"/>
                              </w:rPr>
                              <w:t>五常國小</w:t>
                            </w:r>
                          </w:p>
                        </w:tc>
                        <w:tc>
                          <w:tcPr>
                            <w:tcW w:w="1136" w:type="dxa"/>
                            <w:tcBorders>
                              <w:top w:val="single" w:sz="4" w:space="0" w:color="auto"/>
                              <w:left w:val="single" w:sz="4" w:space="0" w:color="auto"/>
                              <w:bottom w:val="single" w:sz="4" w:space="0" w:color="auto"/>
                              <w:right w:val="single" w:sz="4" w:space="0" w:color="auto"/>
                            </w:tcBorders>
                            <w:noWrap/>
                            <w:vAlign w:val="center"/>
                            <w:hideMark/>
                          </w:tcPr>
                          <w:p w14:paraId="1F1AD65A" w14:textId="77777777" w:rsidR="008B713D" w:rsidRDefault="008B713D" w:rsidP="00B12532">
                            <w:pPr>
                              <w:spacing w:line="200" w:lineRule="exact"/>
                              <w:jc w:val="center"/>
                              <w:rPr>
                                <w:rFonts w:ascii="標楷體" w:eastAsia="標楷體" w:hAnsi="標楷體"/>
                                <w:sz w:val="20"/>
                                <w:szCs w:val="20"/>
                              </w:rPr>
                            </w:pPr>
                            <w:r>
                              <w:rPr>
                                <w:rFonts w:ascii="標楷體" w:eastAsia="標楷體" w:hAnsi="標楷體" w:cs="標楷體"/>
                                <w:sz w:val="20"/>
                                <w:szCs w:val="32"/>
                              </w:rPr>
                              <w:sym w:font="Wingdings 2" w:char="F050"/>
                            </w: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tcPr>
                          <w:p w14:paraId="639E0D1D" w14:textId="77777777" w:rsidR="008B713D" w:rsidRDefault="008B713D" w:rsidP="00B12532">
                            <w:pPr>
                              <w:spacing w:line="200" w:lineRule="exact"/>
                              <w:jc w:val="center"/>
                              <w:rPr>
                                <w:rFonts w:ascii="標楷體" w:eastAsia="標楷體" w:hAnsi="標楷體"/>
                                <w:spacing w:val="-4"/>
                                <w:sz w:val="20"/>
                                <w:szCs w:val="20"/>
                              </w:rPr>
                            </w:pP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tcPr>
                          <w:p w14:paraId="416A0A3F" w14:textId="77777777" w:rsidR="008B713D" w:rsidRDefault="008B713D" w:rsidP="00B12532">
                            <w:pPr>
                              <w:spacing w:line="200" w:lineRule="exact"/>
                              <w:jc w:val="center"/>
                              <w:rPr>
                                <w:rFonts w:ascii="標楷體" w:eastAsia="標楷體" w:hAnsi="標楷體"/>
                                <w:spacing w:val="-18"/>
                                <w:sz w:val="20"/>
                                <w:szCs w:val="20"/>
                              </w:rPr>
                            </w:pPr>
                          </w:p>
                        </w:tc>
                        <w:tc>
                          <w:tcPr>
                            <w:tcW w:w="574" w:type="dxa"/>
                            <w:tcBorders>
                              <w:top w:val="single" w:sz="4" w:space="0" w:color="auto"/>
                              <w:left w:val="single" w:sz="4" w:space="0" w:color="auto"/>
                              <w:bottom w:val="single" w:sz="4" w:space="0" w:color="auto"/>
                              <w:right w:val="single" w:sz="4" w:space="0" w:color="auto"/>
                              <w:tl2br w:val="single" w:sz="4" w:space="0" w:color="auto"/>
                            </w:tcBorders>
                            <w:vAlign w:val="center"/>
                          </w:tcPr>
                          <w:p w14:paraId="1C17DE44" w14:textId="77777777" w:rsidR="008B713D" w:rsidRDefault="008B713D" w:rsidP="00B12532">
                            <w:pPr>
                              <w:spacing w:line="200" w:lineRule="exact"/>
                              <w:jc w:val="center"/>
                              <w:rPr>
                                <w:rFonts w:ascii="標楷體" w:eastAsia="標楷體" w:hAnsi="標楷體"/>
                                <w:spacing w:val="-24"/>
                                <w:sz w:val="20"/>
                                <w:szCs w:val="20"/>
                              </w:rPr>
                            </w:pPr>
                          </w:p>
                        </w:tc>
                        <w:tc>
                          <w:tcPr>
                            <w:tcW w:w="1134" w:type="dxa"/>
                            <w:tcBorders>
                              <w:top w:val="single" w:sz="4" w:space="0" w:color="auto"/>
                              <w:left w:val="single" w:sz="4" w:space="0" w:color="auto"/>
                              <w:bottom w:val="single" w:sz="4" w:space="0" w:color="auto"/>
                              <w:right w:val="single" w:sz="4" w:space="0" w:color="auto"/>
                              <w:tl2br w:val="single" w:sz="4" w:space="0" w:color="auto"/>
                            </w:tcBorders>
                            <w:vAlign w:val="center"/>
                          </w:tcPr>
                          <w:p w14:paraId="5AB6A633" w14:textId="77777777" w:rsidR="008B713D" w:rsidRDefault="008B713D" w:rsidP="00B12532">
                            <w:pPr>
                              <w:spacing w:line="200" w:lineRule="exact"/>
                              <w:jc w:val="center"/>
                              <w:rPr>
                                <w:rFonts w:ascii="標楷體" w:eastAsia="標楷體" w:hAnsi="標楷體"/>
                                <w:spacing w:val="-20"/>
                                <w:sz w:val="20"/>
                                <w:szCs w:val="20"/>
                              </w:rPr>
                            </w:pPr>
                          </w:p>
                        </w:tc>
                      </w:tr>
                      <w:tr w:rsidR="008B713D" w14:paraId="264CBCE7"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C5BB419"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2</w:t>
                            </w:r>
                          </w:p>
                        </w:tc>
                        <w:tc>
                          <w:tcPr>
                            <w:tcW w:w="852" w:type="dxa"/>
                            <w:tcBorders>
                              <w:top w:val="single" w:sz="4" w:space="0" w:color="auto"/>
                              <w:left w:val="single" w:sz="4" w:space="0" w:color="auto"/>
                              <w:bottom w:val="single" w:sz="4" w:space="0" w:color="auto"/>
                              <w:right w:val="single" w:sz="4" w:space="0" w:color="auto"/>
                            </w:tcBorders>
                            <w:vAlign w:val="center"/>
                            <w:hideMark/>
                          </w:tcPr>
                          <w:p w14:paraId="15190A56"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中山女高</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7CAE4467"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44832857" w14:textId="7D45F622"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76AF746F"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4412B69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1CF2B66A"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059B1DD1"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8F7ACD4"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3</w:t>
                            </w:r>
                          </w:p>
                        </w:tc>
                        <w:tc>
                          <w:tcPr>
                            <w:tcW w:w="852" w:type="dxa"/>
                            <w:tcBorders>
                              <w:top w:val="single" w:sz="4" w:space="0" w:color="auto"/>
                              <w:left w:val="single" w:sz="4" w:space="0" w:color="auto"/>
                              <w:bottom w:val="single" w:sz="4" w:space="0" w:color="auto"/>
                              <w:right w:val="single" w:sz="4" w:space="0" w:color="auto"/>
                            </w:tcBorders>
                            <w:vAlign w:val="center"/>
                            <w:hideMark/>
                          </w:tcPr>
                          <w:p w14:paraId="00AE22BA"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育成高中</w:t>
                            </w:r>
                          </w:p>
                        </w:tc>
                        <w:tc>
                          <w:tcPr>
                            <w:tcW w:w="1136" w:type="dxa"/>
                            <w:tcBorders>
                              <w:top w:val="single" w:sz="4" w:space="0" w:color="auto"/>
                              <w:left w:val="single" w:sz="4" w:space="0" w:color="auto"/>
                              <w:bottom w:val="single" w:sz="4" w:space="0" w:color="auto"/>
                              <w:right w:val="single" w:sz="4" w:space="0" w:color="auto"/>
                            </w:tcBorders>
                            <w:noWrap/>
                            <w:vAlign w:val="center"/>
                            <w:hideMark/>
                          </w:tcPr>
                          <w:p w14:paraId="3376E7A7"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32"/>
                              </w:rPr>
                              <w:sym w:font="Wingdings 2" w:char="F050"/>
                            </w:r>
                          </w:p>
                        </w:tc>
                        <w:tc>
                          <w:tcPr>
                            <w:tcW w:w="924" w:type="dxa"/>
                            <w:tcBorders>
                              <w:top w:val="single" w:sz="4" w:space="0" w:color="auto"/>
                              <w:left w:val="single" w:sz="4" w:space="0" w:color="auto"/>
                              <w:bottom w:val="single" w:sz="4" w:space="0" w:color="auto"/>
                              <w:right w:val="single" w:sz="4" w:space="0" w:color="auto"/>
                            </w:tcBorders>
                            <w:vAlign w:val="center"/>
                            <w:hideMark/>
                          </w:tcPr>
                          <w:p w14:paraId="73A1C057"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32"/>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1F5CCAAC"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45D7EA7F"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074BE4F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6D802B93"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2AD37EBE"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4</w:t>
                            </w:r>
                          </w:p>
                        </w:tc>
                        <w:tc>
                          <w:tcPr>
                            <w:tcW w:w="852" w:type="dxa"/>
                            <w:tcBorders>
                              <w:top w:val="single" w:sz="4" w:space="0" w:color="auto"/>
                              <w:left w:val="single" w:sz="4" w:space="0" w:color="auto"/>
                              <w:bottom w:val="single" w:sz="4" w:space="0" w:color="auto"/>
                              <w:right w:val="single" w:sz="4" w:space="0" w:color="auto"/>
                            </w:tcBorders>
                            <w:vAlign w:val="center"/>
                            <w:hideMark/>
                          </w:tcPr>
                          <w:p w14:paraId="0EB2121F"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永春高中</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606DF398"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7527013B"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32"/>
                              </w:rPr>
                              <w:sym w:font="Wingdings 2" w:char="F050"/>
                            </w: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74672DAA" w14:textId="00008458" w:rsidR="008B713D" w:rsidRDefault="008B713D" w:rsidP="00B12532">
                            <w:pPr>
                              <w:spacing w:line="200" w:lineRule="exact"/>
                              <w:jc w:val="center"/>
                              <w:rPr>
                                <w:rFonts w:ascii="標楷體" w:eastAsia="標楷體" w:hAnsi="標楷體"/>
                                <w:color w:val="000000"/>
                                <w:sz w:val="20"/>
                                <w:szCs w:val="20"/>
                              </w:rPr>
                            </w:pPr>
                          </w:p>
                        </w:tc>
                        <w:tc>
                          <w:tcPr>
                            <w:tcW w:w="574" w:type="dxa"/>
                            <w:tcBorders>
                              <w:top w:val="single" w:sz="4" w:space="0" w:color="auto"/>
                              <w:left w:val="single" w:sz="4" w:space="0" w:color="auto"/>
                              <w:bottom w:val="single" w:sz="4" w:space="0" w:color="auto"/>
                              <w:right w:val="single" w:sz="4" w:space="0" w:color="auto"/>
                            </w:tcBorders>
                            <w:vAlign w:val="center"/>
                            <w:hideMark/>
                          </w:tcPr>
                          <w:p w14:paraId="354FCF1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51C77FD7"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02A3C87C"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914A9C0"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5</w:t>
                            </w:r>
                          </w:p>
                        </w:tc>
                        <w:tc>
                          <w:tcPr>
                            <w:tcW w:w="852" w:type="dxa"/>
                            <w:tcBorders>
                              <w:top w:val="single" w:sz="4" w:space="0" w:color="auto"/>
                              <w:left w:val="single" w:sz="4" w:space="0" w:color="auto"/>
                              <w:bottom w:val="single" w:sz="4" w:space="0" w:color="auto"/>
                              <w:right w:val="single" w:sz="4" w:space="0" w:color="auto"/>
                            </w:tcBorders>
                            <w:vAlign w:val="center"/>
                            <w:hideMark/>
                          </w:tcPr>
                          <w:p w14:paraId="58C1149F"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成淵高中</w:t>
                            </w:r>
                          </w:p>
                        </w:tc>
                        <w:tc>
                          <w:tcPr>
                            <w:tcW w:w="1136" w:type="dxa"/>
                            <w:tcBorders>
                              <w:top w:val="single" w:sz="4" w:space="0" w:color="auto"/>
                              <w:left w:val="single" w:sz="4" w:space="0" w:color="auto"/>
                              <w:bottom w:val="single" w:sz="4" w:space="0" w:color="auto"/>
                              <w:right w:val="single" w:sz="4" w:space="0" w:color="auto"/>
                            </w:tcBorders>
                            <w:noWrap/>
                            <w:vAlign w:val="center"/>
                            <w:hideMark/>
                          </w:tcPr>
                          <w:p w14:paraId="02410ADB"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32"/>
                              </w:rPr>
                              <w:sym w:font="Wingdings 2" w:char="F050"/>
                            </w: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144A270A" w14:textId="2EE1DF8A"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7BC855F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4F95EEF1" w14:textId="2A49741F" w:rsidR="008B713D" w:rsidRDefault="008B713D" w:rsidP="00B12532">
                            <w:pPr>
                              <w:spacing w:line="200" w:lineRule="exact"/>
                              <w:jc w:val="center"/>
                              <w:rPr>
                                <w:rFonts w:ascii="標楷體" w:eastAsia="標楷體" w:hAnsi="標楷體"/>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45FC7F13"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1EE1DAFB"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04EE296"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6</w:t>
                            </w:r>
                          </w:p>
                        </w:tc>
                        <w:tc>
                          <w:tcPr>
                            <w:tcW w:w="852" w:type="dxa"/>
                            <w:tcBorders>
                              <w:top w:val="single" w:sz="4" w:space="0" w:color="auto"/>
                              <w:left w:val="single" w:sz="4" w:space="0" w:color="auto"/>
                              <w:bottom w:val="single" w:sz="4" w:space="0" w:color="auto"/>
                              <w:right w:val="single" w:sz="4" w:space="0" w:color="auto"/>
                            </w:tcBorders>
                            <w:vAlign w:val="center"/>
                            <w:hideMark/>
                          </w:tcPr>
                          <w:p w14:paraId="4D576E68"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石牌國中</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2E337B6D"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0812D0CE"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54E117E5" w14:textId="5EF8995C" w:rsidR="008B713D" w:rsidRDefault="008B713D" w:rsidP="00B12532">
                            <w:pPr>
                              <w:spacing w:line="200" w:lineRule="exact"/>
                              <w:jc w:val="center"/>
                              <w:rPr>
                                <w:rFonts w:ascii="標楷體" w:eastAsia="標楷體" w:hAnsi="標楷體"/>
                                <w:color w:val="000000"/>
                                <w:sz w:val="20"/>
                                <w:szCs w:val="20"/>
                              </w:rPr>
                            </w:pPr>
                          </w:p>
                        </w:tc>
                        <w:tc>
                          <w:tcPr>
                            <w:tcW w:w="574" w:type="dxa"/>
                            <w:tcBorders>
                              <w:top w:val="single" w:sz="4" w:space="0" w:color="auto"/>
                              <w:left w:val="single" w:sz="4" w:space="0" w:color="auto"/>
                              <w:bottom w:val="single" w:sz="4" w:space="0" w:color="auto"/>
                              <w:right w:val="single" w:sz="4" w:space="0" w:color="auto"/>
                            </w:tcBorders>
                            <w:vAlign w:val="center"/>
                            <w:hideMark/>
                          </w:tcPr>
                          <w:p w14:paraId="5A5E9AB6"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7A620EE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01CD7EBD"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599A91CB"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7</w:t>
                            </w:r>
                          </w:p>
                        </w:tc>
                        <w:tc>
                          <w:tcPr>
                            <w:tcW w:w="852" w:type="dxa"/>
                            <w:tcBorders>
                              <w:top w:val="single" w:sz="4" w:space="0" w:color="auto"/>
                              <w:left w:val="single" w:sz="4" w:space="0" w:color="auto"/>
                              <w:bottom w:val="single" w:sz="4" w:space="0" w:color="auto"/>
                              <w:right w:val="single" w:sz="4" w:space="0" w:color="auto"/>
                            </w:tcBorders>
                            <w:vAlign w:val="center"/>
                            <w:hideMark/>
                          </w:tcPr>
                          <w:p w14:paraId="19D804F2"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新興國中</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0F42767C"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03C819DD" w14:textId="02203EEF"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2E94EA36"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21E9D29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223FB9F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21BCCF68"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4383DBDF"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8</w:t>
                            </w:r>
                          </w:p>
                        </w:tc>
                        <w:tc>
                          <w:tcPr>
                            <w:tcW w:w="852" w:type="dxa"/>
                            <w:tcBorders>
                              <w:top w:val="single" w:sz="4" w:space="0" w:color="auto"/>
                              <w:left w:val="single" w:sz="4" w:space="0" w:color="auto"/>
                              <w:bottom w:val="single" w:sz="4" w:space="0" w:color="auto"/>
                              <w:right w:val="single" w:sz="4" w:space="0" w:color="auto"/>
                            </w:tcBorders>
                            <w:vAlign w:val="center"/>
                            <w:hideMark/>
                          </w:tcPr>
                          <w:p w14:paraId="3496D13B"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南門國中</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18E59F66"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3C20D32A" w14:textId="2A1B0881"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5251B43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237AB603"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35A54E6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0F3D387F"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636D9F66"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9</w:t>
                            </w:r>
                          </w:p>
                        </w:tc>
                        <w:tc>
                          <w:tcPr>
                            <w:tcW w:w="852" w:type="dxa"/>
                            <w:tcBorders>
                              <w:top w:val="single" w:sz="4" w:space="0" w:color="auto"/>
                              <w:left w:val="single" w:sz="4" w:space="0" w:color="auto"/>
                              <w:bottom w:val="single" w:sz="4" w:space="0" w:color="auto"/>
                              <w:right w:val="single" w:sz="4" w:space="0" w:color="auto"/>
                            </w:tcBorders>
                            <w:vAlign w:val="center"/>
                            <w:hideMark/>
                          </w:tcPr>
                          <w:p w14:paraId="7F88E4FE"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福德國小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41C5D56A"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5D992823"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57A59E6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07B9DD03" w14:textId="6A2200C0" w:rsidR="008B713D" w:rsidRDefault="008B713D" w:rsidP="00B12532">
                            <w:pPr>
                              <w:spacing w:line="200" w:lineRule="exact"/>
                              <w:jc w:val="center"/>
                              <w:rPr>
                                <w:rFonts w:ascii="標楷體" w:eastAsia="標楷體" w:hAnsi="標楷體"/>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0060738A"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4FD3C585"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3AAD1EEE"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10</w:t>
                            </w:r>
                          </w:p>
                        </w:tc>
                        <w:tc>
                          <w:tcPr>
                            <w:tcW w:w="852" w:type="dxa"/>
                            <w:tcBorders>
                              <w:top w:val="single" w:sz="4" w:space="0" w:color="auto"/>
                              <w:left w:val="single" w:sz="4" w:space="0" w:color="auto"/>
                              <w:bottom w:val="single" w:sz="4" w:space="0" w:color="auto"/>
                              <w:right w:val="single" w:sz="4" w:space="0" w:color="auto"/>
                            </w:tcBorders>
                            <w:vAlign w:val="center"/>
                            <w:hideMark/>
                          </w:tcPr>
                          <w:p w14:paraId="1E885A8C"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懷生國小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700680DA"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448A1CC9"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017F32F3"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07D24549" w14:textId="3583A5F5" w:rsidR="008B713D" w:rsidRDefault="008B713D" w:rsidP="00B12532">
                            <w:pPr>
                              <w:spacing w:line="200" w:lineRule="exact"/>
                              <w:jc w:val="center"/>
                              <w:rPr>
                                <w:rFonts w:ascii="標楷體" w:eastAsia="標楷體" w:hAnsi="標楷體"/>
                                <w:color w:val="000000"/>
                                <w:sz w:val="20"/>
                                <w:szCs w:val="20"/>
                              </w:rPr>
                            </w:pPr>
                          </w:p>
                        </w:tc>
                        <w:tc>
                          <w:tcPr>
                            <w:tcW w:w="113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8B8AD0E" w14:textId="16828A8A" w:rsidR="008B713D" w:rsidRDefault="008B713D" w:rsidP="00B12532">
                            <w:pPr>
                              <w:spacing w:line="200" w:lineRule="exact"/>
                              <w:jc w:val="center"/>
                              <w:rPr>
                                <w:rFonts w:ascii="標楷體" w:eastAsia="標楷體" w:hAnsi="標楷體"/>
                                <w:color w:val="000000"/>
                                <w:sz w:val="20"/>
                                <w:szCs w:val="20"/>
                              </w:rPr>
                            </w:pPr>
                          </w:p>
                        </w:tc>
                      </w:tr>
                      <w:tr w:rsidR="008B713D" w14:paraId="09369CD7"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0A4D4FD5"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11</w:t>
                            </w:r>
                          </w:p>
                        </w:tc>
                        <w:tc>
                          <w:tcPr>
                            <w:tcW w:w="852" w:type="dxa"/>
                            <w:tcBorders>
                              <w:top w:val="single" w:sz="4" w:space="0" w:color="auto"/>
                              <w:left w:val="single" w:sz="4" w:space="0" w:color="auto"/>
                              <w:bottom w:val="single" w:sz="4" w:space="0" w:color="auto"/>
                              <w:right w:val="single" w:sz="4" w:space="0" w:color="auto"/>
                            </w:tcBorders>
                            <w:vAlign w:val="center"/>
                            <w:hideMark/>
                          </w:tcPr>
                          <w:p w14:paraId="52FC4557"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西松國小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32FD05D4"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FD56D15" w14:textId="29097E24"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29C69B04" w14:textId="6C38F2C8" w:rsidR="008B713D" w:rsidRDefault="008B713D" w:rsidP="00B12532">
                            <w:pPr>
                              <w:spacing w:line="200" w:lineRule="exact"/>
                              <w:jc w:val="center"/>
                              <w:rPr>
                                <w:rFonts w:ascii="標楷體" w:eastAsia="標楷體" w:hAnsi="標楷體"/>
                                <w:color w:val="000000"/>
                                <w:sz w:val="20"/>
                                <w:szCs w:val="20"/>
                              </w:rPr>
                            </w:pPr>
                          </w:p>
                        </w:tc>
                        <w:tc>
                          <w:tcPr>
                            <w:tcW w:w="574" w:type="dxa"/>
                            <w:tcBorders>
                              <w:top w:val="single" w:sz="4" w:space="0" w:color="auto"/>
                              <w:left w:val="single" w:sz="4" w:space="0" w:color="auto"/>
                              <w:bottom w:val="single" w:sz="4" w:space="0" w:color="auto"/>
                              <w:right w:val="single" w:sz="4" w:space="0" w:color="auto"/>
                            </w:tcBorders>
                            <w:vAlign w:val="center"/>
                            <w:hideMark/>
                          </w:tcPr>
                          <w:p w14:paraId="4335C0DE"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0034EB6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70B60794"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0F2BAB38"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12</w:t>
                            </w:r>
                          </w:p>
                        </w:tc>
                        <w:tc>
                          <w:tcPr>
                            <w:tcW w:w="852" w:type="dxa"/>
                            <w:tcBorders>
                              <w:top w:val="single" w:sz="4" w:space="0" w:color="auto"/>
                              <w:left w:val="single" w:sz="4" w:space="0" w:color="auto"/>
                              <w:bottom w:val="single" w:sz="4" w:space="0" w:color="auto"/>
                              <w:right w:val="single" w:sz="4" w:space="0" w:color="auto"/>
                            </w:tcBorders>
                            <w:vAlign w:val="center"/>
                            <w:hideMark/>
                          </w:tcPr>
                          <w:p w14:paraId="19542D4C"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長安國小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4D5A7C69"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2363A86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413FD733"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492F955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418043CE"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02E5063E"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124DBF7D"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13</w:t>
                            </w:r>
                          </w:p>
                        </w:tc>
                        <w:tc>
                          <w:tcPr>
                            <w:tcW w:w="852" w:type="dxa"/>
                            <w:tcBorders>
                              <w:top w:val="single" w:sz="4" w:space="0" w:color="auto"/>
                              <w:left w:val="single" w:sz="4" w:space="0" w:color="auto"/>
                              <w:bottom w:val="single" w:sz="4" w:space="0" w:color="auto"/>
                              <w:right w:val="single" w:sz="4" w:space="0" w:color="auto"/>
                            </w:tcBorders>
                            <w:vAlign w:val="center"/>
                            <w:hideMark/>
                          </w:tcPr>
                          <w:p w14:paraId="4BB7E8AA"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忠孝國小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69659BD2"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7A17ADDD" w14:textId="5FC6DC57"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7975EAAC"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3BB8BE33" w14:textId="6AFFCED8" w:rsidR="008B713D" w:rsidRDefault="008B713D" w:rsidP="00B12532">
                            <w:pPr>
                              <w:spacing w:line="200" w:lineRule="exact"/>
                              <w:jc w:val="center"/>
                              <w:rPr>
                                <w:rFonts w:ascii="標楷體" w:eastAsia="標楷體" w:hAnsi="標楷體"/>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9656BCA"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40D8E6CA"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272D348B"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14</w:t>
                            </w:r>
                          </w:p>
                        </w:tc>
                        <w:tc>
                          <w:tcPr>
                            <w:tcW w:w="852" w:type="dxa"/>
                            <w:tcBorders>
                              <w:top w:val="single" w:sz="4" w:space="0" w:color="auto"/>
                              <w:left w:val="single" w:sz="4" w:space="0" w:color="auto"/>
                              <w:bottom w:val="single" w:sz="4" w:space="0" w:color="auto"/>
                              <w:right w:val="single" w:sz="4" w:space="0" w:color="auto"/>
                            </w:tcBorders>
                            <w:vAlign w:val="center"/>
                            <w:hideMark/>
                          </w:tcPr>
                          <w:p w14:paraId="0C457EEF"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敦化國小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61235769"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23DD470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7AFA1F3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688BAA96"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511C2C36"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6D7A58E3"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5C1A9EAF"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15</w:t>
                            </w:r>
                          </w:p>
                        </w:tc>
                        <w:tc>
                          <w:tcPr>
                            <w:tcW w:w="852" w:type="dxa"/>
                            <w:tcBorders>
                              <w:top w:val="single" w:sz="4" w:space="0" w:color="auto"/>
                              <w:left w:val="single" w:sz="4" w:space="0" w:color="auto"/>
                              <w:bottom w:val="single" w:sz="4" w:space="0" w:color="auto"/>
                              <w:right w:val="single" w:sz="4" w:space="0" w:color="auto"/>
                            </w:tcBorders>
                            <w:vAlign w:val="center"/>
                            <w:hideMark/>
                          </w:tcPr>
                          <w:p w14:paraId="04468E79"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東園國小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21D464D7"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6C2D5E60"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238A73A6"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11837B01"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7C1284B7"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37D34C96"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09B0F8C6"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16</w:t>
                            </w:r>
                          </w:p>
                        </w:tc>
                        <w:tc>
                          <w:tcPr>
                            <w:tcW w:w="852" w:type="dxa"/>
                            <w:tcBorders>
                              <w:top w:val="single" w:sz="4" w:space="0" w:color="auto"/>
                              <w:left w:val="single" w:sz="4" w:space="0" w:color="auto"/>
                              <w:bottom w:val="single" w:sz="4" w:space="0" w:color="auto"/>
                              <w:right w:val="single" w:sz="4" w:space="0" w:color="auto"/>
                            </w:tcBorders>
                            <w:vAlign w:val="center"/>
                            <w:hideMark/>
                          </w:tcPr>
                          <w:p w14:paraId="65448497"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萬大國小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109F8BB2"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53BEE249" w14:textId="72AF1B1E"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5CFBF451" w14:textId="42B04868" w:rsidR="008B713D" w:rsidRDefault="008B713D" w:rsidP="00B12532">
                            <w:pPr>
                              <w:spacing w:line="200" w:lineRule="exact"/>
                              <w:jc w:val="center"/>
                              <w:rPr>
                                <w:rFonts w:ascii="標楷體" w:eastAsia="標楷體" w:hAnsi="標楷體"/>
                                <w:color w:val="000000"/>
                                <w:sz w:val="20"/>
                                <w:szCs w:val="20"/>
                              </w:rPr>
                            </w:pPr>
                          </w:p>
                        </w:tc>
                        <w:tc>
                          <w:tcPr>
                            <w:tcW w:w="574" w:type="dxa"/>
                            <w:tcBorders>
                              <w:top w:val="single" w:sz="4" w:space="0" w:color="auto"/>
                              <w:left w:val="single" w:sz="4" w:space="0" w:color="auto"/>
                              <w:bottom w:val="single" w:sz="4" w:space="0" w:color="auto"/>
                              <w:right w:val="single" w:sz="4" w:space="0" w:color="auto"/>
                            </w:tcBorders>
                            <w:vAlign w:val="center"/>
                            <w:hideMark/>
                          </w:tcPr>
                          <w:p w14:paraId="48D8B38C"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3C6CDFD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17E1D13A"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402DF367"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17</w:t>
                            </w:r>
                          </w:p>
                        </w:tc>
                        <w:tc>
                          <w:tcPr>
                            <w:tcW w:w="852" w:type="dxa"/>
                            <w:tcBorders>
                              <w:top w:val="single" w:sz="4" w:space="0" w:color="auto"/>
                              <w:left w:val="single" w:sz="4" w:space="0" w:color="auto"/>
                              <w:bottom w:val="single" w:sz="4" w:space="0" w:color="auto"/>
                              <w:right w:val="single" w:sz="4" w:space="0" w:color="auto"/>
                            </w:tcBorders>
                            <w:vAlign w:val="center"/>
                            <w:hideMark/>
                          </w:tcPr>
                          <w:p w14:paraId="3DDF9940"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新生國小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4606F621"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141D2D9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3E6A3539"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0B8896DD"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121056E2"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28A2F00E"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4D246F98"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18</w:t>
                            </w:r>
                          </w:p>
                        </w:tc>
                        <w:tc>
                          <w:tcPr>
                            <w:tcW w:w="852" w:type="dxa"/>
                            <w:tcBorders>
                              <w:top w:val="single" w:sz="4" w:space="0" w:color="auto"/>
                              <w:left w:val="single" w:sz="4" w:space="0" w:color="auto"/>
                              <w:bottom w:val="single" w:sz="4" w:space="0" w:color="auto"/>
                              <w:right w:val="single" w:sz="4" w:space="0" w:color="auto"/>
                            </w:tcBorders>
                            <w:vAlign w:val="center"/>
                            <w:hideMark/>
                          </w:tcPr>
                          <w:p w14:paraId="09D9E5AD"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雙園國小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074CCDF5"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2885D4A5"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cBorders>
                            <w:vAlign w:val="center"/>
                            <w:hideMark/>
                          </w:tcPr>
                          <w:p w14:paraId="313B90F7"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55351119"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6FDDBCDA"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r w:rsidR="008B713D" w14:paraId="513C204F"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0DE0227B"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19</w:t>
                            </w:r>
                          </w:p>
                        </w:tc>
                        <w:tc>
                          <w:tcPr>
                            <w:tcW w:w="852" w:type="dxa"/>
                            <w:tcBorders>
                              <w:top w:val="single" w:sz="4" w:space="0" w:color="auto"/>
                              <w:left w:val="single" w:sz="4" w:space="0" w:color="auto"/>
                              <w:bottom w:val="single" w:sz="4" w:space="0" w:color="auto"/>
                              <w:right w:val="single" w:sz="4" w:space="0" w:color="auto"/>
                            </w:tcBorders>
                            <w:vAlign w:val="center"/>
                            <w:hideMark/>
                          </w:tcPr>
                          <w:p w14:paraId="6A97708B"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南門國小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4EC5769C"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08643104" w14:textId="7FD69704" w:rsidR="008B713D" w:rsidRDefault="008B713D" w:rsidP="00B12532">
                            <w:pPr>
                              <w:spacing w:line="200" w:lineRule="exact"/>
                              <w:jc w:val="center"/>
                              <w:rPr>
                                <w:rFonts w:ascii="標楷體" w:eastAsia="標楷體" w:hAnsi="標楷體"/>
                                <w:color w:val="000000"/>
                                <w:sz w:val="20"/>
                                <w:szCs w:val="20"/>
                              </w:rPr>
                            </w:pPr>
                          </w:p>
                        </w:tc>
                        <w:tc>
                          <w:tcPr>
                            <w:tcW w:w="406" w:type="dxa"/>
                            <w:tcBorders>
                              <w:top w:val="single" w:sz="4" w:space="0" w:color="auto"/>
                              <w:left w:val="single" w:sz="4" w:space="0" w:color="auto"/>
                              <w:bottom w:val="single" w:sz="4" w:space="0" w:color="auto"/>
                              <w:right w:val="single" w:sz="4" w:space="0" w:color="auto"/>
                            </w:tcBorders>
                            <w:vAlign w:val="center"/>
                            <w:hideMark/>
                          </w:tcPr>
                          <w:p w14:paraId="06B920FA"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574" w:type="dxa"/>
                            <w:tcBorders>
                              <w:top w:val="single" w:sz="4" w:space="0" w:color="auto"/>
                              <w:left w:val="single" w:sz="4" w:space="0" w:color="auto"/>
                              <w:bottom w:val="single" w:sz="4" w:space="0" w:color="auto"/>
                              <w:right w:val="single" w:sz="4" w:space="0" w:color="auto"/>
                            </w:tcBorders>
                            <w:vAlign w:val="center"/>
                            <w:hideMark/>
                          </w:tcPr>
                          <w:p w14:paraId="0732C4FB"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41BB8077" w14:textId="666C8177" w:rsidR="008B713D" w:rsidRDefault="008B713D" w:rsidP="00B12532">
                            <w:pPr>
                              <w:spacing w:line="200" w:lineRule="exact"/>
                              <w:jc w:val="center"/>
                              <w:rPr>
                                <w:rFonts w:ascii="標楷體" w:eastAsia="標楷體" w:hAnsi="標楷體"/>
                                <w:color w:val="000000"/>
                                <w:sz w:val="20"/>
                                <w:szCs w:val="20"/>
                              </w:rPr>
                            </w:pPr>
                          </w:p>
                        </w:tc>
                      </w:tr>
                      <w:tr w:rsidR="008B713D" w14:paraId="1860B893" w14:textId="77777777" w:rsidTr="00B12532">
                        <w:trPr>
                          <w:jc w:val="center"/>
                        </w:trPr>
                        <w:tc>
                          <w:tcPr>
                            <w:tcW w:w="280" w:type="dxa"/>
                            <w:tcBorders>
                              <w:top w:val="single" w:sz="4" w:space="0" w:color="auto"/>
                              <w:left w:val="single" w:sz="4" w:space="0" w:color="auto"/>
                              <w:bottom w:val="single" w:sz="4" w:space="0" w:color="auto"/>
                              <w:right w:val="single" w:sz="4" w:space="0" w:color="auto"/>
                            </w:tcBorders>
                            <w:vAlign w:val="center"/>
                            <w:hideMark/>
                          </w:tcPr>
                          <w:p w14:paraId="0AB050B1" w14:textId="77777777" w:rsidR="008B713D" w:rsidRDefault="008B713D">
                            <w:pPr>
                              <w:spacing w:line="200" w:lineRule="exact"/>
                              <w:jc w:val="center"/>
                              <w:rPr>
                                <w:rFonts w:ascii="標楷體" w:eastAsia="標楷體" w:hAnsi="標楷體"/>
                                <w:sz w:val="20"/>
                                <w:szCs w:val="20"/>
                              </w:rPr>
                            </w:pPr>
                            <w:r>
                              <w:rPr>
                                <w:rFonts w:ascii="標楷體" w:eastAsia="標楷體" w:hAnsi="標楷體" w:hint="eastAsia"/>
                                <w:sz w:val="20"/>
                                <w:szCs w:val="20"/>
                              </w:rPr>
                              <w:t>20</w:t>
                            </w:r>
                          </w:p>
                        </w:tc>
                        <w:tc>
                          <w:tcPr>
                            <w:tcW w:w="852" w:type="dxa"/>
                            <w:tcBorders>
                              <w:top w:val="single" w:sz="4" w:space="0" w:color="auto"/>
                              <w:left w:val="single" w:sz="4" w:space="0" w:color="auto"/>
                              <w:bottom w:val="single" w:sz="4" w:space="0" w:color="auto"/>
                              <w:right w:val="single" w:sz="4" w:space="0" w:color="auto"/>
                            </w:tcBorders>
                            <w:vAlign w:val="center"/>
                            <w:hideMark/>
                          </w:tcPr>
                          <w:p w14:paraId="29144F8C" w14:textId="77777777" w:rsidR="008B713D" w:rsidRDefault="008B713D">
                            <w:pPr>
                              <w:spacing w:line="200" w:lineRule="exact"/>
                              <w:ind w:leftChars="-8" w:left="-19"/>
                              <w:jc w:val="center"/>
                              <w:rPr>
                                <w:rFonts w:ascii="標楷體" w:eastAsia="標楷體" w:hAnsi="標楷體"/>
                                <w:color w:val="000000"/>
                                <w:sz w:val="20"/>
                                <w:szCs w:val="20"/>
                              </w:rPr>
                            </w:pPr>
                            <w:r>
                              <w:rPr>
                                <w:rFonts w:ascii="標楷體" w:eastAsia="標楷體" w:hAnsi="標楷體" w:hint="eastAsia"/>
                                <w:color w:val="000000"/>
                                <w:sz w:val="20"/>
                                <w:szCs w:val="20"/>
                              </w:rPr>
                              <w:t>民權國小</w:t>
                            </w:r>
                          </w:p>
                        </w:tc>
                        <w:tc>
                          <w:tcPr>
                            <w:tcW w:w="1136" w:type="dxa"/>
                            <w:tcBorders>
                              <w:top w:val="single" w:sz="4" w:space="0" w:color="auto"/>
                              <w:left w:val="single" w:sz="4" w:space="0" w:color="auto"/>
                              <w:bottom w:val="single" w:sz="4" w:space="0" w:color="auto"/>
                              <w:right w:val="single" w:sz="4" w:space="0" w:color="auto"/>
                              <w:tl2br w:val="single" w:sz="4" w:space="0" w:color="auto"/>
                            </w:tcBorders>
                            <w:noWrap/>
                            <w:vAlign w:val="center"/>
                          </w:tcPr>
                          <w:p w14:paraId="0B3C7F03" w14:textId="77777777" w:rsidR="008B713D" w:rsidRDefault="008B713D" w:rsidP="00B12532">
                            <w:pPr>
                              <w:spacing w:line="200" w:lineRule="exact"/>
                              <w:jc w:val="center"/>
                              <w:rPr>
                                <w:rFonts w:ascii="標楷體" w:eastAsia="標楷體" w:hAnsi="標楷體"/>
                                <w:color w:val="000000"/>
                                <w:sz w:val="20"/>
                                <w:szCs w:val="20"/>
                              </w:rPr>
                            </w:pPr>
                          </w:p>
                        </w:tc>
                        <w:tc>
                          <w:tcPr>
                            <w:tcW w:w="924" w:type="dxa"/>
                            <w:tcBorders>
                              <w:top w:val="single" w:sz="4" w:space="0" w:color="auto"/>
                              <w:left w:val="single" w:sz="4" w:space="0" w:color="auto"/>
                              <w:bottom w:val="single" w:sz="4" w:space="0" w:color="auto"/>
                              <w:right w:val="single" w:sz="4" w:space="0" w:color="auto"/>
                            </w:tcBorders>
                            <w:vAlign w:val="center"/>
                            <w:hideMark/>
                          </w:tcPr>
                          <w:p w14:paraId="2AE13EB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406" w:type="dxa"/>
                            <w:tcBorders>
                              <w:top w:val="single" w:sz="4" w:space="0" w:color="auto"/>
                              <w:left w:val="single" w:sz="4" w:space="0" w:color="auto"/>
                              <w:bottom w:val="single" w:sz="4" w:space="0" w:color="auto"/>
                              <w:right w:val="single" w:sz="4" w:space="0" w:color="auto"/>
                              <w:tl2br w:val="single" w:sz="4" w:space="0" w:color="auto"/>
                            </w:tcBorders>
                            <w:vAlign w:val="center"/>
                            <w:hideMark/>
                          </w:tcPr>
                          <w:p w14:paraId="1E2F441A" w14:textId="6BAFACBC" w:rsidR="008B713D" w:rsidRDefault="008B713D" w:rsidP="00B12532">
                            <w:pPr>
                              <w:spacing w:line="200" w:lineRule="exact"/>
                              <w:jc w:val="center"/>
                              <w:rPr>
                                <w:rFonts w:ascii="標楷體" w:eastAsia="標楷體" w:hAnsi="標楷體"/>
                                <w:color w:val="000000"/>
                                <w:sz w:val="20"/>
                                <w:szCs w:val="20"/>
                              </w:rPr>
                            </w:pPr>
                          </w:p>
                        </w:tc>
                        <w:tc>
                          <w:tcPr>
                            <w:tcW w:w="574" w:type="dxa"/>
                            <w:tcBorders>
                              <w:top w:val="single" w:sz="4" w:space="0" w:color="auto"/>
                              <w:left w:val="single" w:sz="4" w:space="0" w:color="auto"/>
                              <w:bottom w:val="single" w:sz="4" w:space="0" w:color="auto"/>
                              <w:right w:val="single" w:sz="4" w:space="0" w:color="auto"/>
                            </w:tcBorders>
                            <w:vAlign w:val="center"/>
                            <w:hideMark/>
                          </w:tcPr>
                          <w:p w14:paraId="16546294"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c>
                          <w:tcPr>
                            <w:tcW w:w="1134" w:type="dxa"/>
                            <w:tcBorders>
                              <w:top w:val="single" w:sz="4" w:space="0" w:color="auto"/>
                              <w:left w:val="single" w:sz="4" w:space="0" w:color="auto"/>
                              <w:bottom w:val="single" w:sz="4" w:space="0" w:color="auto"/>
                              <w:right w:val="single" w:sz="4" w:space="0" w:color="auto"/>
                            </w:tcBorders>
                            <w:vAlign w:val="center"/>
                            <w:hideMark/>
                          </w:tcPr>
                          <w:p w14:paraId="3E568608" w14:textId="77777777" w:rsidR="008B713D" w:rsidRDefault="008B713D" w:rsidP="00B12532">
                            <w:pPr>
                              <w:spacing w:line="200" w:lineRule="exact"/>
                              <w:jc w:val="center"/>
                              <w:rPr>
                                <w:rFonts w:ascii="標楷體" w:eastAsia="標楷體" w:hAnsi="標楷體"/>
                                <w:color w:val="000000"/>
                                <w:sz w:val="20"/>
                                <w:szCs w:val="20"/>
                              </w:rPr>
                            </w:pPr>
                            <w:r>
                              <w:rPr>
                                <w:rFonts w:ascii="標楷體" w:eastAsia="標楷體" w:hAnsi="標楷體" w:cs="標楷體"/>
                                <w:sz w:val="20"/>
                                <w:szCs w:val="20"/>
                              </w:rPr>
                              <w:sym w:font="Wingdings 2" w:char="F050"/>
                            </w:r>
                          </w:p>
                        </w:tc>
                      </w:tr>
                    </w:tbl>
                    <w:p w14:paraId="5195A6CF" w14:textId="77777777" w:rsidR="008B713D" w:rsidRDefault="008B713D" w:rsidP="008B713D">
                      <w:pPr>
                        <w:spacing w:line="200" w:lineRule="exact"/>
                        <w:ind w:leftChars="-40" w:left="-96"/>
                        <w:rPr>
                          <w:rFonts w:ascii="標楷體" w:eastAsia="標楷體" w:hAnsi="標楷體"/>
                          <w:sz w:val="18"/>
                          <w:szCs w:val="18"/>
                        </w:rPr>
                      </w:pPr>
                      <w:r>
                        <w:rPr>
                          <w:rFonts w:ascii="標楷體" w:eastAsia="標楷體" w:hAnsi="標楷體" w:hint="eastAsia"/>
                          <w:sz w:val="18"/>
                          <w:szCs w:val="18"/>
                        </w:rPr>
                        <w:t>資料來源：整理自前開學校提供資料。</w:t>
                      </w:r>
                    </w:p>
                  </w:txbxContent>
                </v:textbox>
                <w10:wrap type="tight"/>
              </v:shape>
            </w:pict>
          </mc:Fallback>
        </mc:AlternateContent>
      </w:r>
      <w:r w:rsidR="008B713D">
        <w:rPr>
          <w:rFonts w:ascii="標楷體" w:eastAsia="標楷體" w:hAnsi="標楷體" w:cs="Arial" w:hint="eastAsia"/>
          <w:szCs w:val="24"/>
        </w:rPr>
        <w:t>項及第9條規定</w:t>
      </w:r>
      <w:r w:rsidR="008B713D">
        <w:rPr>
          <w:rFonts w:ascii="標楷體" w:eastAsia="標楷體" w:hAnsi="標楷體" w:hint="eastAsia"/>
        </w:rPr>
        <w:t>向臺北市政府警察局提出異動申請（表2）；</w:t>
      </w:r>
      <w:r w:rsidR="008B713D">
        <w:rPr>
          <w:rFonts w:ascii="標楷體" w:eastAsia="標楷體" w:hAnsi="標楷體" w:hint="eastAsia"/>
          <w:bCs/>
        </w:rPr>
        <w:t>4.</w:t>
      </w:r>
      <w:r w:rsidR="008B713D">
        <w:rPr>
          <w:rFonts w:ascii="標楷體" w:eastAsia="標楷體" w:hAnsi="標楷體" w:hint="eastAsia"/>
        </w:rPr>
        <w:t>該局為營造安全學習環境，有效防堵校園內偷拍犯罪行為，除要求各級學校應依臺北市公共場所防止針孔攝影暫行管理辦法，定期辦理反針孔偵測業務外，</w:t>
      </w:r>
      <w:proofErr w:type="gramStart"/>
      <w:r w:rsidR="008B713D">
        <w:rPr>
          <w:rFonts w:ascii="標楷體" w:eastAsia="標楷體" w:hAnsi="標楷體" w:hint="eastAsia"/>
        </w:rPr>
        <w:t>113</w:t>
      </w:r>
      <w:proofErr w:type="gramEnd"/>
      <w:r w:rsidR="008B713D">
        <w:rPr>
          <w:rFonts w:ascii="標楷體" w:eastAsia="標楷體" w:hAnsi="標楷體" w:hint="eastAsia"/>
        </w:rPr>
        <w:t>年度另委託所屬成德國小辦理「臺北市高中以下校園反針孔偵測抽查勞務採購案」，以建立</w:t>
      </w:r>
      <w:proofErr w:type="gramStart"/>
      <w:r w:rsidR="008B713D">
        <w:rPr>
          <w:rFonts w:ascii="標楷體" w:eastAsia="標楷體" w:hAnsi="標楷體" w:hint="eastAsia"/>
        </w:rPr>
        <w:t>複</w:t>
      </w:r>
      <w:proofErr w:type="gramEnd"/>
      <w:r w:rsidR="008B713D">
        <w:rPr>
          <w:rFonts w:ascii="標楷體" w:eastAsia="標楷體" w:hAnsi="標楷體" w:hint="eastAsia"/>
        </w:rPr>
        <w:t>檢機制，經查該案雖已依約完成40所學校全部私密空間之反針孔偵測工作，惟因受履約條件「每月10校、每次檢測量能750至1,000個隔間」之限制，實際抽測範圍有26校（占65％）係集中在班級數為「12班以下」或「13至24班」等規模較小之學校，致涵蓋師生</w:t>
      </w:r>
    </w:p>
    <w:p w14:paraId="7E2D6C37" w14:textId="77777777" w:rsidR="00B926E9" w:rsidRDefault="008B713D" w:rsidP="006B1A20">
      <w:pPr>
        <w:spacing w:line="458" w:lineRule="exact"/>
        <w:jc w:val="both"/>
        <w:outlineLvl w:val="2"/>
        <w:rPr>
          <w:rFonts w:ascii="標楷體" w:eastAsia="標楷體" w:hAnsi="標楷體"/>
        </w:rPr>
      </w:pPr>
      <w:r>
        <w:rPr>
          <w:rFonts w:ascii="標楷體" w:eastAsia="標楷體" w:hAnsi="標楷體" w:hint="eastAsia"/>
        </w:rPr>
        <w:t>人數亦較少，不利保障多數師生隱私</w:t>
      </w:r>
      <w:r>
        <w:rPr>
          <w:rFonts w:ascii="標楷體" w:eastAsia="標楷體" w:hAnsi="標楷體" w:cs="Arial" w:hint="eastAsia"/>
          <w:szCs w:val="24"/>
        </w:rPr>
        <w:t>等情事，經函請督促</w:t>
      </w:r>
      <w:proofErr w:type="gramStart"/>
      <w:r>
        <w:rPr>
          <w:rFonts w:ascii="標楷體" w:eastAsia="標楷體" w:hAnsi="標楷體" w:cs="Arial" w:hint="eastAsia"/>
          <w:szCs w:val="24"/>
        </w:rPr>
        <w:t>研</w:t>
      </w:r>
      <w:proofErr w:type="gramEnd"/>
      <w:r>
        <w:rPr>
          <w:rFonts w:ascii="標楷體" w:eastAsia="標楷體" w:hAnsi="標楷體" w:cs="Arial" w:hint="eastAsia"/>
          <w:szCs w:val="24"/>
        </w:rPr>
        <w:t>謀改善。</w:t>
      </w:r>
      <w:r>
        <w:rPr>
          <w:rFonts w:ascii="標楷體" w:eastAsia="標楷體" w:hAnsi="標楷體" w:hint="eastAsia"/>
        </w:rPr>
        <w:t>據復：1.各該</w:t>
      </w:r>
      <w:r>
        <w:rPr>
          <w:rFonts w:ascii="標楷體" w:eastAsia="標楷體" w:hAnsi="標楷體" w:hint="eastAsia"/>
          <w:szCs w:val="24"/>
        </w:rPr>
        <w:t>學校已查明確認案內教練</w:t>
      </w:r>
      <w:proofErr w:type="gramStart"/>
      <w:r>
        <w:rPr>
          <w:rFonts w:ascii="標楷體" w:eastAsia="標楷體" w:hAnsi="標楷體" w:hint="eastAsia"/>
          <w:szCs w:val="24"/>
        </w:rPr>
        <w:t>證照均屬有效</w:t>
      </w:r>
      <w:proofErr w:type="gramEnd"/>
      <w:r>
        <w:rPr>
          <w:rFonts w:ascii="標楷體" w:eastAsia="標楷體" w:hAnsi="標楷體" w:hint="eastAsia"/>
          <w:szCs w:val="24"/>
        </w:rPr>
        <w:t>，另於114年2月24日函請</w:t>
      </w:r>
      <w:proofErr w:type="gramStart"/>
      <w:r>
        <w:rPr>
          <w:rFonts w:ascii="標楷體" w:eastAsia="標楷體" w:hAnsi="標楷體" w:hint="eastAsia"/>
          <w:szCs w:val="24"/>
        </w:rPr>
        <w:t>各校進</w:t>
      </w:r>
      <w:proofErr w:type="gramEnd"/>
      <w:r>
        <w:rPr>
          <w:rFonts w:ascii="標楷體" w:eastAsia="標楷體" w:hAnsi="標楷體" w:hint="eastAsia"/>
          <w:szCs w:val="24"/>
        </w:rPr>
        <w:t>（運）用外聘教練時，應以多元管道落實教練證照之審查機制，亦可至體育署「教練證照查詢系統」選擇合格教練，並請各校與外聘教練簽訂契約後，將教練證</w:t>
      </w:r>
      <w:proofErr w:type="gramStart"/>
      <w:r>
        <w:rPr>
          <w:rFonts w:ascii="標楷體" w:eastAsia="標楷體" w:hAnsi="標楷體" w:hint="eastAsia"/>
          <w:szCs w:val="24"/>
        </w:rPr>
        <w:t>併</w:t>
      </w:r>
      <w:proofErr w:type="gramEnd"/>
      <w:r>
        <w:rPr>
          <w:rFonts w:ascii="標楷體" w:eastAsia="標楷體" w:hAnsi="標楷體" w:hint="eastAsia"/>
          <w:szCs w:val="24"/>
        </w:rPr>
        <w:t>同契約函報該局備查，以確保學生運動安全與權益；2.</w:t>
      </w:r>
      <w:r>
        <w:rPr>
          <w:rFonts w:ascii="標楷體" w:eastAsia="標楷體" w:hAnsi="標楷體" w:hint="eastAsia"/>
        </w:rPr>
        <w:t>將修正</w:t>
      </w:r>
      <w:r>
        <w:rPr>
          <w:rFonts w:ascii="標楷體" w:eastAsia="標楷體" w:hAnsi="標楷體" w:hint="eastAsia"/>
          <w:szCs w:val="24"/>
        </w:rPr>
        <w:t>不適任人員查詢作業</w:t>
      </w:r>
      <w:r>
        <w:rPr>
          <w:rFonts w:ascii="標楷體" w:eastAsia="標楷體" w:hAnsi="標楷體" w:hint="eastAsia"/>
        </w:rPr>
        <w:t>相關內控檢核機制，增列自主檢</w:t>
      </w:r>
      <w:proofErr w:type="gramStart"/>
      <w:r>
        <w:rPr>
          <w:rFonts w:ascii="標楷體" w:eastAsia="標楷體" w:hAnsi="標楷體" w:hint="eastAsia"/>
        </w:rPr>
        <w:t>覈</w:t>
      </w:r>
      <w:proofErr w:type="gramEnd"/>
      <w:r>
        <w:rPr>
          <w:rFonts w:ascii="標楷體" w:eastAsia="標楷體" w:hAnsi="標楷體" w:hint="eastAsia"/>
        </w:rPr>
        <w:t>表，並規範各校應留存相關紀錄1年；另已督促前開16所學校填寫</w:t>
      </w:r>
      <w:r>
        <w:rPr>
          <w:rFonts w:ascii="標楷體" w:eastAsia="標楷體" w:hAnsi="標楷體" w:hint="eastAsia"/>
          <w:szCs w:val="24"/>
        </w:rPr>
        <w:t>新進及定期不適任人員查詢作業之</w:t>
      </w:r>
      <w:r>
        <w:rPr>
          <w:rFonts w:ascii="標楷體" w:eastAsia="標楷體" w:hAnsi="標楷體" w:hint="eastAsia"/>
        </w:rPr>
        <w:t>檢討說明及策進作為，並針對漏未</w:t>
      </w:r>
    </w:p>
    <w:p w14:paraId="6A7602B6" w14:textId="41308A10" w:rsidR="008B713D" w:rsidRDefault="008B713D" w:rsidP="00B926E9">
      <w:pPr>
        <w:spacing w:line="420" w:lineRule="exact"/>
        <w:jc w:val="both"/>
        <w:outlineLvl w:val="2"/>
        <w:rPr>
          <w:rFonts w:ascii="標楷體" w:eastAsia="標楷體" w:hAnsi="標楷體"/>
          <w:kern w:val="0"/>
          <w:szCs w:val="24"/>
        </w:rPr>
      </w:pPr>
      <w:r>
        <w:rPr>
          <w:rFonts w:ascii="標楷體" w:eastAsia="標楷體" w:hAnsi="標楷體" w:hint="eastAsia"/>
        </w:rPr>
        <w:lastRenderedPageBreak/>
        <w:t>查詢學校計列人事人員平時</w:t>
      </w:r>
      <w:proofErr w:type="gramStart"/>
      <w:r>
        <w:rPr>
          <w:rFonts w:ascii="標楷體" w:eastAsia="標楷體" w:hAnsi="標楷體" w:hint="eastAsia"/>
        </w:rPr>
        <w:t>考核劣績外</w:t>
      </w:r>
      <w:proofErr w:type="gramEnd"/>
      <w:r>
        <w:rPr>
          <w:rFonts w:ascii="標楷體" w:eastAsia="標楷體" w:hAnsi="標楷體" w:hint="eastAsia"/>
        </w:rPr>
        <w:t>，</w:t>
      </w:r>
      <w:r>
        <w:rPr>
          <w:rFonts w:ascii="標楷體" w:eastAsia="標楷體" w:hAnsi="標楷體" w:hint="eastAsia"/>
          <w:szCs w:val="24"/>
        </w:rPr>
        <w:t>業於114年3月教育人事實務法令專修研習班再次重申宣導應辦理不適任人員查詢，並</w:t>
      </w:r>
      <w:r>
        <w:rPr>
          <w:rFonts w:ascii="標楷體" w:eastAsia="標楷體" w:hAnsi="標楷體" w:hint="eastAsia"/>
        </w:rPr>
        <w:t>持續於每學年度抽查所屬學校內控查核時，一併檢視各校辦理情形，避免類此情形再發生；3.案經多次督促案內20所學校改善前開缺失結果，截至114年5月底止，中山女高等17校已全部改善完成；其餘新興國中等3校，尚有5項目仍未完成改善，該局將持續掌握各校改善進度，並針對重複發生或未如期完成改善者，納入</w:t>
      </w:r>
      <w:proofErr w:type="gramStart"/>
      <w:r>
        <w:rPr>
          <w:rFonts w:ascii="標楷體" w:eastAsia="標楷體" w:hAnsi="標楷體" w:hint="eastAsia"/>
        </w:rPr>
        <w:t>校安訪</w:t>
      </w:r>
      <w:proofErr w:type="gramEnd"/>
      <w:r>
        <w:rPr>
          <w:rFonts w:ascii="標楷體" w:eastAsia="標楷體" w:hAnsi="標楷體" w:hint="eastAsia"/>
        </w:rPr>
        <w:t>視與行政督導重點項目，以提升校園安全防護效能；4.</w:t>
      </w:r>
      <w:r>
        <w:rPr>
          <w:rFonts w:ascii="標楷體" w:eastAsia="標楷體" w:hAnsi="標楷體" w:cs="Arial" w:hint="eastAsia"/>
          <w:szCs w:val="24"/>
        </w:rPr>
        <w:t>114年勞務採購案已調整為每月12校，不計隱私空間隔間數，每</w:t>
      </w:r>
      <w:proofErr w:type="gramStart"/>
      <w:r>
        <w:rPr>
          <w:rFonts w:ascii="標楷體" w:eastAsia="標楷體" w:hAnsi="標楷體" w:cs="Arial" w:hint="eastAsia"/>
          <w:szCs w:val="24"/>
        </w:rPr>
        <w:t>個</w:t>
      </w:r>
      <w:proofErr w:type="gramEnd"/>
      <w:r>
        <w:rPr>
          <w:rFonts w:ascii="標楷體" w:eastAsia="標楷體" w:hAnsi="標楷體" w:cs="Arial" w:hint="eastAsia"/>
          <w:szCs w:val="24"/>
        </w:rPr>
        <w:t>月每</w:t>
      </w:r>
      <w:proofErr w:type="gramStart"/>
      <w:r>
        <w:rPr>
          <w:rFonts w:ascii="標楷體" w:eastAsia="標楷體" w:hAnsi="標楷體" w:cs="Arial" w:hint="eastAsia"/>
          <w:szCs w:val="24"/>
        </w:rPr>
        <w:t>個</w:t>
      </w:r>
      <w:proofErr w:type="gramEnd"/>
      <w:r>
        <w:rPr>
          <w:rFonts w:ascii="標楷體" w:eastAsia="標楷體" w:hAnsi="標楷體" w:cs="Arial" w:hint="eastAsia"/>
          <w:szCs w:val="24"/>
        </w:rPr>
        <w:t>行政區1校進行安排，內含大校及小校；</w:t>
      </w:r>
      <w:r>
        <w:rPr>
          <w:rFonts w:ascii="標楷體" w:eastAsia="標楷體" w:hAnsi="標楷體" w:hint="eastAsia"/>
          <w:szCs w:val="24"/>
        </w:rPr>
        <w:t>未來亦將</w:t>
      </w:r>
      <w:r>
        <w:rPr>
          <w:rFonts w:ascii="標楷體" w:eastAsia="標楷體" w:hAnsi="標楷體" w:hint="eastAsia"/>
          <w:kern w:val="0"/>
          <w:szCs w:val="24"/>
        </w:rPr>
        <w:t>滾動檢討修正每年檢測方式，以提供師生安全無虞之校園環境。</w:t>
      </w:r>
    </w:p>
    <w:p w14:paraId="4C52E2F2" w14:textId="77777777" w:rsidR="008B713D" w:rsidRDefault="008B713D" w:rsidP="008B713D">
      <w:pPr>
        <w:pStyle w:val="a7"/>
        <w:spacing w:before="0" w:after="0"/>
        <w:ind w:firstLineChars="100" w:firstLine="280"/>
        <w:rPr>
          <w:rFonts w:hAnsi="標楷體" w:cs="細明體"/>
          <w:kern w:val="0"/>
          <w:szCs w:val="32"/>
        </w:rPr>
      </w:pPr>
      <w:r>
        <w:rPr>
          <w:rFonts w:hint="eastAsia"/>
          <w:b/>
          <w:sz w:val="28"/>
          <w:szCs w:val="28"/>
        </w:rPr>
        <w:t>（三）</w:t>
      </w:r>
      <w:bookmarkStart w:id="37" w:name="_Hlk199258358"/>
      <w:bookmarkStart w:id="38" w:name="_Hlk199255269"/>
      <w:r>
        <w:rPr>
          <w:rFonts w:hint="eastAsia"/>
          <w:b/>
          <w:sz w:val="28"/>
          <w:szCs w:val="28"/>
        </w:rPr>
        <w:t>為落實校園防災教育與災害防救整備應變，每年辦理防災教育及避難演練等計畫，</w:t>
      </w:r>
      <w:proofErr w:type="gramStart"/>
      <w:r>
        <w:rPr>
          <w:rFonts w:hint="eastAsia"/>
          <w:b/>
          <w:sz w:val="28"/>
          <w:szCs w:val="28"/>
        </w:rPr>
        <w:t>惟間有防災</w:t>
      </w:r>
      <w:proofErr w:type="gramEnd"/>
      <w:r>
        <w:rPr>
          <w:rFonts w:hint="eastAsia"/>
          <w:b/>
          <w:sz w:val="28"/>
          <w:szCs w:val="28"/>
        </w:rPr>
        <w:t>物資儲放管理機制未</w:t>
      </w:r>
      <w:proofErr w:type="gramStart"/>
      <w:r>
        <w:rPr>
          <w:rFonts w:hint="eastAsia"/>
          <w:b/>
          <w:sz w:val="28"/>
          <w:szCs w:val="28"/>
        </w:rPr>
        <w:t>臻健全，</w:t>
      </w:r>
      <w:proofErr w:type="gramEnd"/>
      <w:r>
        <w:rPr>
          <w:rFonts w:hint="eastAsia"/>
          <w:b/>
          <w:sz w:val="28"/>
          <w:szCs w:val="28"/>
        </w:rPr>
        <w:t>或部分學校供水站取水點現況與公開資訊不符，或部分學校執行防災教育成效欠佳，或未將外僑學校及實驗教育機構納入防災教育實施範圍等情，有待</w:t>
      </w:r>
      <w:proofErr w:type="gramStart"/>
      <w:r>
        <w:rPr>
          <w:rFonts w:hint="eastAsia"/>
          <w:b/>
          <w:sz w:val="28"/>
          <w:szCs w:val="28"/>
        </w:rPr>
        <w:t>研</w:t>
      </w:r>
      <w:proofErr w:type="gramEnd"/>
      <w:r>
        <w:rPr>
          <w:rFonts w:hint="eastAsia"/>
          <w:b/>
          <w:sz w:val="28"/>
          <w:szCs w:val="28"/>
        </w:rPr>
        <w:t>謀改善</w:t>
      </w:r>
      <w:bookmarkEnd w:id="37"/>
      <w:r>
        <w:rPr>
          <w:rFonts w:hint="eastAsia"/>
          <w:b/>
          <w:sz w:val="28"/>
          <w:szCs w:val="28"/>
        </w:rPr>
        <w:t>。</w:t>
      </w:r>
    </w:p>
    <w:bookmarkEnd w:id="38"/>
    <w:p w14:paraId="6F95401B" w14:textId="77777777" w:rsidR="000B1438" w:rsidRDefault="008B713D" w:rsidP="008B713D">
      <w:pPr>
        <w:spacing w:line="440" w:lineRule="exact"/>
        <w:ind w:firstLineChars="200" w:firstLine="480"/>
        <w:jc w:val="both"/>
        <w:outlineLvl w:val="2"/>
        <w:rPr>
          <w:rFonts w:ascii="標楷體" w:eastAsia="標楷體" w:hAnsi="標楷體" w:cs="Cordia New"/>
          <w:bCs/>
        </w:rPr>
      </w:pPr>
      <w:r>
        <w:rPr>
          <w:rFonts w:hint="eastAsia"/>
          <w:noProof/>
        </w:rPr>
        <mc:AlternateContent>
          <mc:Choice Requires="wps">
            <w:drawing>
              <wp:anchor distT="0" distB="0" distL="114300" distR="114300" simplePos="0" relativeHeight="251696128" behindDoc="0" locked="0" layoutInCell="1" allowOverlap="1" wp14:anchorId="77BEEE36" wp14:editId="3D68F20E">
                <wp:simplePos x="0" y="0"/>
                <wp:positionH relativeFrom="margin">
                  <wp:posOffset>2406650</wp:posOffset>
                </wp:positionH>
                <wp:positionV relativeFrom="page">
                  <wp:posOffset>7731125</wp:posOffset>
                </wp:positionV>
                <wp:extent cx="3990975" cy="2053590"/>
                <wp:effectExtent l="0" t="0" r="9525" b="8890"/>
                <wp:wrapSquare wrapText="bothSides"/>
                <wp:docPr id="32" name="矩形 32"/>
                <wp:cNvGraphicFramePr/>
                <a:graphic xmlns:a="http://schemas.openxmlformats.org/drawingml/2006/main">
                  <a:graphicData uri="http://schemas.microsoft.com/office/word/2010/wordprocessingShape">
                    <wps:wsp>
                      <wps:cNvSpPr/>
                      <wps:spPr>
                        <a:xfrm>
                          <a:off x="0" y="0"/>
                          <a:ext cx="3990975" cy="2053590"/>
                        </a:xfrm>
                        <a:prstGeom prst="rect">
                          <a:avLst/>
                        </a:prstGeom>
                        <a:solidFill>
                          <a:sysClr val="window" lastClr="FFFFFF"/>
                        </a:solidFill>
                        <a:ln w="12700" cap="flat" cmpd="sng" algn="ctr">
                          <a:noFill/>
                          <a:prstDash val="solid"/>
                          <a:miter lim="800000"/>
                        </a:ln>
                        <a:effectLst/>
                      </wps:spPr>
                      <wps:txbx>
                        <w:txbxContent>
                          <w:p w14:paraId="314C676A" w14:textId="273BE604" w:rsidR="008B713D" w:rsidRDefault="008B713D" w:rsidP="008B713D">
                            <w:r>
                              <w:rPr>
                                <w:rFonts w:ascii="Calibri" w:eastAsia="Times New Roman" w:hAnsi="Calibri"/>
                                <w:noProof/>
                                <w:kern w:val="0"/>
                                <w:sz w:val="20"/>
                                <w:szCs w:val="20"/>
                              </w:rPr>
                              <w:drawing>
                                <wp:inline distT="0" distB="0" distL="0" distR="0" wp14:anchorId="61BE0373" wp14:editId="7C3563A0">
                                  <wp:extent cx="1821815" cy="1371600"/>
                                  <wp:effectExtent l="19050" t="19050" r="26035" b="19050"/>
                                  <wp:docPr id="88" name="圖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21815" cy="1371600"/>
                                          </a:xfrm>
                                          <a:prstGeom prst="rect">
                                            <a:avLst/>
                                          </a:prstGeom>
                                          <a:noFill/>
                                          <a:ln w="6350" cmpd="sng">
                                            <a:solidFill>
                                              <a:srgbClr val="000000"/>
                                            </a:solidFill>
                                            <a:miter lim="800000"/>
                                            <a:headEnd/>
                                            <a:tailEnd/>
                                          </a:ln>
                                          <a:effectLst/>
                                        </pic:spPr>
                                      </pic:pic>
                                    </a:graphicData>
                                  </a:graphic>
                                </wp:inline>
                              </w:drawing>
                            </w:r>
                            <w:r>
                              <w:rPr>
                                <w:noProof/>
                              </w:rPr>
                              <w:t xml:space="preserve"> </w:t>
                            </w:r>
                            <w:r>
                              <w:rPr>
                                <w:rFonts w:ascii="Calibri" w:eastAsia="Times New Roman" w:hAnsi="Calibri"/>
                                <w:noProof/>
                                <w:kern w:val="0"/>
                                <w:sz w:val="20"/>
                                <w:szCs w:val="20"/>
                              </w:rPr>
                              <w:drawing>
                                <wp:inline distT="0" distB="0" distL="0" distR="0" wp14:anchorId="51973801" wp14:editId="57654832">
                                  <wp:extent cx="1808480" cy="1371600"/>
                                  <wp:effectExtent l="19050" t="19050" r="20320" b="19050"/>
                                  <wp:docPr id="89" name="圖片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7"/>
                                          <pic:cNvPicPr>
                                            <a:picLocks noChangeArrowheads="1"/>
                                          </pic:cNvPicPr>
                                        </pic:nvPicPr>
                                        <pic:blipFill>
                                          <a:blip r:embed="rId25">
                                            <a:extLst>
                                              <a:ext uri="{28A0092B-C50C-407E-A947-70E740481C1C}">
                                                <a14:useLocalDpi xmlns:a14="http://schemas.microsoft.com/office/drawing/2010/main" val="0"/>
                                              </a:ext>
                                            </a:extLst>
                                          </a:blip>
                                          <a:srcRect t="19225" b="5528"/>
                                          <a:stretch>
                                            <a:fillRect/>
                                          </a:stretch>
                                        </pic:blipFill>
                                        <pic:spPr bwMode="auto">
                                          <a:xfrm>
                                            <a:off x="0" y="0"/>
                                            <a:ext cx="1808480" cy="1371600"/>
                                          </a:xfrm>
                                          <a:prstGeom prst="rect">
                                            <a:avLst/>
                                          </a:prstGeom>
                                          <a:noFill/>
                                          <a:ln w="6350" cmpd="sng">
                                            <a:solidFill>
                                              <a:srgbClr val="000000"/>
                                            </a:solidFill>
                                            <a:miter lim="800000"/>
                                            <a:headEnd/>
                                            <a:tailEnd/>
                                          </a:ln>
                                          <a:effectLst/>
                                        </pic:spPr>
                                      </pic:pic>
                                    </a:graphicData>
                                  </a:graphic>
                                </wp:inline>
                              </w:drawing>
                            </w:r>
                          </w:p>
                          <w:p w14:paraId="5B281A4F" w14:textId="77777777" w:rsidR="008B713D" w:rsidRDefault="008B713D" w:rsidP="005D742F">
                            <w:pPr>
                              <w:spacing w:line="280" w:lineRule="exact"/>
                              <w:jc w:val="center"/>
                              <w:rPr>
                                <w:rFonts w:ascii="標楷體" w:eastAsia="標楷體" w:hAnsi="標楷體"/>
                                <w:b/>
                                <w:bCs/>
                                <w:spacing w:val="-6"/>
                              </w:rPr>
                            </w:pPr>
                            <w:r>
                              <w:rPr>
                                <w:rFonts w:ascii="標楷體" w:eastAsia="標楷體" w:hAnsi="標楷體" w:hint="eastAsia"/>
                                <w:b/>
                                <w:bCs/>
                                <w:spacing w:val="-6"/>
                              </w:rPr>
                              <w:t>立農國小供水站取水點位置與北水</w:t>
                            </w:r>
                            <w:proofErr w:type="gramStart"/>
                            <w:r>
                              <w:rPr>
                                <w:rFonts w:ascii="標楷體" w:eastAsia="標楷體" w:hAnsi="標楷體" w:hint="eastAsia"/>
                                <w:b/>
                                <w:bCs/>
                                <w:spacing w:val="-6"/>
                              </w:rPr>
                              <w:t>處官網</w:t>
                            </w:r>
                            <w:proofErr w:type="gramEnd"/>
                            <w:r>
                              <w:rPr>
                                <w:rFonts w:ascii="標楷體" w:eastAsia="標楷體" w:hAnsi="標楷體" w:hint="eastAsia"/>
                                <w:b/>
                                <w:bCs/>
                                <w:spacing w:val="-6"/>
                              </w:rPr>
                              <w:t>揭露資訊不符情形</w:t>
                            </w:r>
                          </w:p>
                          <w:p w14:paraId="2C862982" w14:textId="77777777" w:rsidR="008B713D" w:rsidRDefault="008B713D" w:rsidP="008B713D">
                            <w:pPr>
                              <w:spacing w:line="240" w:lineRule="exact"/>
                              <w:ind w:left="760" w:hangingChars="500" w:hanging="760"/>
                              <w:jc w:val="center"/>
                              <w:rPr>
                                <w:rFonts w:ascii="Times New Roman" w:eastAsia="新細明體" w:hAnsi="Times New Roman"/>
                                <w:spacing w:val="-14"/>
                                <w:sz w:val="18"/>
                                <w:szCs w:val="18"/>
                              </w:rPr>
                            </w:pPr>
                            <w:proofErr w:type="gramStart"/>
                            <w:r>
                              <w:rPr>
                                <w:rFonts w:ascii="標楷體" w:eastAsia="標楷體" w:hAnsi="標楷體" w:hint="eastAsia"/>
                                <w:spacing w:val="-14"/>
                                <w:sz w:val="18"/>
                                <w:szCs w:val="18"/>
                              </w:rPr>
                              <w:t>（</w:t>
                            </w:r>
                            <w:proofErr w:type="gramEnd"/>
                            <w:r>
                              <w:rPr>
                                <w:rFonts w:ascii="標楷體" w:eastAsia="標楷體" w:hAnsi="標楷體" w:hint="eastAsia"/>
                                <w:spacing w:val="-14"/>
                                <w:sz w:val="18"/>
                                <w:szCs w:val="18"/>
                              </w:rPr>
                              <w:t>圖片來源：左圖擷取自北水</w:t>
                            </w:r>
                            <w:proofErr w:type="gramStart"/>
                            <w:r>
                              <w:rPr>
                                <w:rFonts w:ascii="標楷體" w:eastAsia="標楷體" w:hAnsi="標楷體" w:hint="eastAsia"/>
                                <w:spacing w:val="-14"/>
                                <w:sz w:val="18"/>
                                <w:szCs w:val="18"/>
                              </w:rPr>
                              <w:t>處官網</w:t>
                            </w:r>
                            <w:proofErr w:type="gramEnd"/>
                            <w:r>
                              <w:rPr>
                                <w:rFonts w:ascii="標楷體" w:eastAsia="標楷體" w:hAnsi="標楷體" w:hint="eastAsia"/>
                                <w:spacing w:val="-14"/>
                                <w:sz w:val="18"/>
                                <w:szCs w:val="18"/>
                              </w:rPr>
                              <w:t>資訊；右圖為本處於113年11月7日實地拍攝。）</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BEEE36" id="矩形 32" o:spid="_x0000_s1058" style="position:absolute;left:0;text-align:left;margin-left:189.5pt;margin-top:608.75pt;width:314.25pt;height:161.7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" fillcolor="window" stroked="f" strokeweight="1pt">
                <v:textbox>
                  <w:txbxContent>
                    <w:p w14:paraId="314C676A" w14:textId="273BE604" w:rsidR="008B713D" w:rsidRDefault="008B713D" w:rsidP="008B713D">
                      <w:r>
                        <w:rPr>
                          <w:rFonts w:ascii="Calibri" w:eastAsia="Times New Roman" w:hAnsi="Calibri"/>
                          <w:noProof/>
                          <w:kern w:val="0"/>
                          <w:sz w:val="20"/>
                          <w:szCs w:val="20"/>
                        </w:rPr>
                        <w:drawing>
                          <wp:inline distT="0" distB="0" distL="0" distR="0" wp14:anchorId="61BE0373" wp14:editId="7C3563A0">
                            <wp:extent cx="1821815" cy="1371600"/>
                            <wp:effectExtent l="19050" t="19050" r="26035" b="19050"/>
                            <wp:docPr id="88" name="圖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21815" cy="1371600"/>
                                    </a:xfrm>
                                    <a:prstGeom prst="rect">
                                      <a:avLst/>
                                    </a:prstGeom>
                                    <a:noFill/>
                                    <a:ln w="6350" cmpd="sng">
                                      <a:solidFill>
                                        <a:srgbClr val="000000"/>
                                      </a:solidFill>
                                      <a:miter lim="800000"/>
                                      <a:headEnd/>
                                      <a:tailEnd/>
                                    </a:ln>
                                    <a:effectLst/>
                                  </pic:spPr>
                                </pic:pic>
                              </a:graphicData>
                            </a:graphic>
                          </wp:inline>
                        </w:drawing>
                      </w:r>
                      <w:r>
                        <w:rPr>
                          <w:noProof/>
                        </w:rPr>
                        <w:t xml:space="preserve"> </w:t>
                      </w:r>
                      <w:r>
                        <w:rPr>
                          <w:rFonts w:ascii="Calibri" w:eastAsia="Times New Roman" w:hAnsi="Calibri"/>
                          <w:noProof/>
                          <w:kern w:val="0"/>
                          <w:sz w:val="20"/>
                          <w:szCs w:val="20"/>
                        </w:rPr>
                        <w:drawing>
                          <wp:inline distT="0" distB="0" distL="0" distR="0" wp14:anchorId="51973801" wp14:editId="57654832">
                            <wp:extent cx="1808480" cy="1371600"/>
                            <wp:effectExtent l="19050" t="19050" r="20320" b="19050"/>
                            <wp:docPr id="89" name="圖片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7"/>
                                    <pic:cNvPicPr>
                                      <a:picLocks noChangeArrowheads="1"/>
                                    </pic:cNvPicPr>
                                  </pic:nvPicPr>
                                  <pic:blipFill>
                                    <a:blip r:embed="rId27">
                                      <a:extLst>
                                        <a:ext uri="{28A0092B-C50C-407E-A947-70E740481C1C}">
                                          <a14:useLocalDpi xmlns:a14="http://schemas.microsoft.com/office/drawing/2010/main" val="0"/>
                                        </a:ext>
                                      </a:extLst>
                                    </a:blip>
                                    <a:srcRect t="19225" b="5528"/>
                                    <a:stretch>
                                      <a:fillRect/>
                                    </a:stretch>
                                  </pic:blipFill>
                                  <pic:spPr bwMode="auto">
                                    <a:xfrm>
                                      <a:off x="0" y="0"/>
                                      <a:ext cx="1808480" cy="1371600"/>
                                    </a:xfrm>
                                    <a:prstGeom prst="rect">
                                      <a:avLst/>
                                    </a:prstGeom>
                                    <a:noFill/>
                                    <a:ln w="6350" cmpd="sng">
                                      <a:solidFill>
                                        <a:srgbClr val="000000"/>
                                      </a:solidFill>
                                      <a:miter lim="800000"/>
                                      <a:headEnd/>
                                      <a:tailEnd/>
                                    </a:ln>
                                    <a:effectLst/>
                                  </pic:spPr>
                                </pic:pic>
                              </a:graphicData>
                            </a:graphic>
                          </wp:inline>
                        </w:drawing>
                      </w:r>
                    </w:p>
                    <w:p w14:paraId="5B281A4F" w14:textId="77777777" w:rsidR="008B713D" w:rsidRDefault="008B713D" w:rsidP="005D742F">
                      <w:pPr>
                        <w:spacing w:line="280" w:lineRule="exact"/>
                        <w:jc w:val="center"/>
                        <w:rPr>
                          <w:rFonts w:ascii="標楷體" w:eastAsia="標楷體" w:hAnsi="標楷體"/>
                          <w:b/>
                          <w:bCs/>
                          <w:spacing w:val="-6"/>
                        </w:rPr>
                      </w:pPr>
                      <w:r>
                        <w:rPr>
                          <w:rFonts w:ascii="標楷體" w:eastAsia="標楷體" w:hAnsi="標楷體" w:hint="eastAsia"/>
                          <w:b/>
                          <w:bCs/>
                          <w:spacing w:val="-6"/>
                        </w:rPr>
                        <w:t>立農國小供水站取水點位置與北水</w:t>
                      </w:r>
                      <w:proofErr w:type="gramStart"/>
                      <w:r>
                        <w:rPr>
                          <w:rFonts w:ascii="標楷體" w:eastAsia="標楷體" w:hAnsi="標楷體" w:hint="eastAsia"/>
                          <w:b/>
                          <w:bCs/>
                          <w:spacing w:val="-6"/>
                        </w:rPr>
                        <w:t>處官網</w:t>
                      </w:r>
                      <w:proofErr w:type="gramEnd"/>
                      <w:r>
                        <w:rPr>
                          <w:rFonts w:ascii="標楷體" w:eastAsia="標楷體" w:hAnsi="標楷體" w:hint="eastAsia"/>
                          <w:b/>
                          <w:bCs/>
                          <w:spacing w:val="-6"/>
                        </w:rPr>
                        <w:t>揭露資訊不符情形</w:t>
                      </w:r>
                    </w:p>
                    <w:p w14:paraId="2C862982" w14:textId="77777777" w:rsidR="008B713D" w:rsidRDefault="008B713D" w:rsidP="008B713D">
                      <w:pPr>
                        <w:spacing w:line="240" w:lineRule="exact"/>
                        <w:ind w:left="760" w:hangingChars="500" w:hanging="760"/>
                        <w:jc w:val="center"/>
                        <w:rPr>
                          <w:rFonts w:ascii="Times New Roman" w:eastAsia="新細明體" w:hAnsi="Times New Roman"/>
                          <w:spacing w:val="-14"/>
                          <w:sz w:val="18"/>
                          <w:szCs w:val="18"/>
                        </w:rPr>
                      </w:pPr>
                      <w:proofErr w:type="gramStart"/>
                      <w:r>
                        <w:rPr>
                          <w:rFonts w:ascii="標楷體" w:eastAsia="標楷體" w:hAnsi="標楷體" w:hint="eastAsia"/>
                          <w:spacing w:val="-14"/>
                          <w:sz w:val="18"/>
                          <w:szCs w:val="18"/>
                        </w:rPr>
                        <w:t>（</w:t>
                      </w:r>
                      <w:proofErr w:type="gramEnd"/>
                      <w:r>
                        <w:rPr>
                          <w:rFonts w:ascii="標楷體" w:eastAsia="標楷體" w:hAnsi="標楷體" w:hint="eastAsia"/>
                          <w:spacing w:val="-14"/>
                          <w:sz w:val="18"/>
                          <w:szCs w:val="18"/>
                        </w:rPr>
                        <w:t>圖片來源：左圖擷取自北水</w:t>
                      </w:r>
                      <w:proofErr w:type="gramStart"/>
                      <w:r>
                        <w:rPr>
                          <w:rFonts w:ascii="標楷體" w:eastAsia="標楷體" w:hAnsi="標楷體" w:hint="eastAsia"/>
                          <w:spacing w:val="-14"/>
                          <w:sz w:val="18"/>
                          <w:szCs w:val="18"/>
                        </w:rPr>
                        <w:t>處官網</w:t>
                      </w:r>
                      <w:proofErr w:type="gramEnd"/>
                      <w:r>
                        <w:rPr>
                          <w:rFonts w:ascii="標楷體" w:eastAsia="標楷體" w:hAnsi="標楷體" w:hint="eastAsia"/>
                          <w:spacing w:val="-14"/>
                          <w:sz w:val="18"/>
                          <w:szCs w:val="18"/>
                        </w:rPr>
                        <w:t>資訊；右圖為本處於113年11月7日實地拍攝。）</w:t>
                      </w:r>
                    </w:p>
                  </w:txbxContent>
                </v:textbox>
                <w10:wrap type="square" anchorx="margin" anchory="page"/>
              </v:rect>
            </w:pict>
          </mc:Fallback>
        </mc:AlternateContent>
      </w:r>
      <w:r>
        <w:rPr>
          <w:rFonts w:ascii="標楷體" w:eastAsia="標楷體" w:hAnsi="標楷體" w:cs="細明體" w:hint="eastAsia"/>
          <w:kern w:val="0"/>
          <w:szCs w:val="32"/>
        </w:rPr>
        <w:t>教育局暨所屬學校為落實校園防災教育與災害防救整備應變，111至113年度於臺北市地方教育發展基金累計編列預算1,619萬餘元，持續配合市政府辦理災害防救業務執行計畫及推動高級中等以下學校防災教育中程實施計畫，期透過妥為規劃、設置及管理</w:t>
      </w:r>
      <w:r>
        <w:rPr>
          <w:rFonts w:ascii="標楷體" w:eastAsia="標楷體" w:hAnsi="標楷體" w:hint="eastAsia"/>
        </w:rPr>
        <w:t>避難收容學校，協助各級學校</w:t>
      </w:r>
      <w:proofErr w:type="gramStart"/>
      <w:r>
        <w:rPr>
          <w:rFonts w:ascii="標楷體" w:eastAsia="標楷體" w:hAnsi="標楷體" w:hint="eastAsia"/>
        </w:rPr>
        <w:t>完善減災及備災</w:t>
      </w:r>
      <w:proofErr w:type="gramEnd"/>
      <w:r>
        <w:rPr>
          <w:rFonts w:ascii="標楷體" w:eastAsia="標楷體" w:hAnsi="標楷體" w:hint="eastAsia"/>
        </w:rPr>
        <w:t>工作，</w:t>
      </w:r>
      <w:proofErr w:type="gramStart"/>
      <w:r>
        <w:rPr>
          <w:rFonts w:ascii="標楷體" w:eastAsia="標楷體" w:hAnsi="標楷體" w:hint="eastAsia"/>
        </w:rPr>
        <w:t>達建構</w:t>
      </w:r>
      <w:proofErr w:type="gramEnd"/>
      <w:r>
        <w:rPr>
          <w:rFonts w:ascii="標楷體" w:eastAsia="標楷體" w:hAnsi="標楷體" w:hint="eastAsia"/>
        </w:rPr>
        <w:t>韌性防災校園目的。經查執行情形，核有：1.該局為利臺北市災害防救業務執行，</w:t>
      </w:r>
      <w:proofErr w:type="gramStart"/>
      <w:r>
        <w:rPr>
          <w:rFonts w:ascii="標楷體" w:eastAsia="標楷體" w:hAnsi="標楷體" w:hint="eastAsia"/>
        </w:rPr>
        <w:t>113</w:t>
      </w:r>
      <w:proofErr w:type="gramEnd"/>
      <w:r>
        <w:rPr>
          <w:rFonts w:ascii="標楷體" w:eastAsia="標楷體" w:hAnsi="標楷體" w:hint="eastAsia"/>
        </w:rPr>
        <w:t>年度已擇選所屬55所學校為「優先收容安置學校」，另有124所學校須配合</w:t>
      </w:r>
      <w:proofErr w:type="gramStart"/>
      <w:r>
        <w:rPr>
          <w:rFonts w:ascii="標楷體" w:eastAsia="標楷體" w:hAnsi="標楷體" w:hint="eastAsia"/>
        </w:rPr>
        <w:t>臺</w:t>
      </w:r>
      <w:proofErr w:type="gramEnd"/>
      <w:r>
        <w:rPr>
          <w:rFonts w:ascii="標楷體" w:eastAsia="標楷體" w:hAnsi="標楷體" w:hint="eastAsia"/>
        </w:rPr>
        <w:t>北自來水事業處（下稱北水處）開設供水站，以備颱風停水時，可提供市民就近取水。惟本處於113年10月至12月期間抽查立農國小等12所學校配合成立供水站或管理防災整備物資情形，發現部分學校供水站實際設置取水點位置（環境）</w:t>
      </w:r>
      <w:proofErr w:type="gramStart"/>
      <w:r>
        <w:rPr>
          <w:rFonts w:ascii="標楷體" w:eastAsia="標楷體" w:hAnsi="標楷體" w:hint="eastAsia"/>
        </w:rPr>
        <w:t>間與北</w:t>
      </w:r>
      <w:proofErr w:type="gramEnd"/>
      <w:r>
        <w:rPr>
          <w:rFonts w:ascii="標楷體" w:eastAsia="標楷體" w:hAnsi="標楷體" w:hint="eastAsia"/>
        </w:rPr>
        <w:t>水</w:t>
      </w:r>
      <w:proofErr w:type="gramStart"/>
      <w:r>
        <w:rPr>
          <w:rFonts w:ascii="標楷體" w:eastAsia="標楷體" w:hAnsi="標楷體" w:hint="eastAsia"/>
        </w:rPr>
        <w:t>處官網</w:t>
      </w:r>
      <w:proofErr w:type="gramEnd"/>
      <w:r>
        <w:rPr>
          <w:rFonts w:ascii="標楷體" w:eastAsia="標楷體" w:hAnsi="標楷體" w:hint="eastAsia"/>
        </w:rPr>
        <w:t>揭露資訊不符或有無法供水情況；或因</w:t>
      </w:r>
      <w:proofErr w:type="gramStart"/>
      <w:r>
        <w:rPr>
          <w:rFonts w:ascii="標楷體" w:eastAsia="標楷體" w:hAnsi="標楷體" w:hint="eastAsia"/>
        </w:rPr>
        <w:t>該局迄未</w:t>
      </w:r>
      <w:proofErr w:type="gramEnd"/>
      <w:r>
        <w:rPr>
          <w:rFonts w:ascii="標楷體" w:eastAsia="標楷體" w:hAnsi="標楷體" w:hint="eastAsia"/>
        </w:rPr>
        <w:t>針對各校辦理防災物資儲放及管理訂定相關內部控制一致規範，致各校管理該等物資情形，</w:t>
      </w:r>
      <w:proofErr w:type="gramStart"/>
      <w:r>
        <w:rPr>
          <w:rFonts w:ascii="標楷體" w:eastAsia="標楷體" w:hAnsi="標楷體" w:hint="eastAsia"/>
        </w:rPr>
        <w:t>間有物資</w:t>
      </w:r>
      <w:proofErr w:type="gramEnd"/>
      <w:r>
        <w:rPr>
          <w:rFonts w:ascii="標楷體" w:eastAsia="標楷體" w:hAnsi="標楷體" w:hint="eastAsia"/>
        </w:rPr>
        <w:t>管理紀錄欠完備，或上傳雲端表單數據有誤，不利該局迅速掌握各項防災整備物資存量；</w:t>
      </w:r>
      <w:r>
        <w:rPr>
          <w:rFonts w:ascii="標楷體" w:eastAsia="標楷體" w:hAnsi="標楷體" w:cs="Cordia New" w:hint="eastAsia"/>
          <w:bCs/>
        </w:rPr>
        <w:t>2.該局辦理轄管各級公私立學校及幼兒園110至113學年度執行臺北市高級中等以下學校防災教育實施計畫（下稱防災教育實施計畫）之考核及輔導訪視作業情形，</w:t>
      </w:r>
      <w:proofErr w:type="gramStart"/>
      <w:r>
        <w:rPr>
          <w:rFonts w:ascii="標楷體" w:eastAsia="標楷體" w:hAnsi="標楷體" w:cs="Cordia New" w:hint="eastAsia"/>
          <w:bCs/>
        </w:rPr>
        <w:t>間有未</w:t>
      </w:r>
      <w:proofErr w:type="gramEnd"/>
      <w:r>
        <w:rPr>
          <w:rFonts w:ascii="標楷體" w:eastAsia="標楷體" w:hAnsi="標楷體" w:cs="Cordia New" w:hint="eastAsia"/>
          <w:bCs/>
        </w:rPr>
        <w:t>將110至112學年度執行該計畫結果，連續3年或2年考列丙等（為考評成績5等第之最末等），或考核成績退步至丙等，或曾於111年9月接受輔導訪視，惟112學年度執行成效仍持續考列丙等之學校，優先納入113學年度輔導訪視對象，以協助各校確實推動防災</w:t>
      </w:r>
    </w:p>
    <w:p w14:paraId="22D94E29" w14:textId="4B2F45CA" w:rsidR="008B713D" w:rsidRDefault="008B713D" w:rsidP="000B1438">
      <w:pPr>
        <w:spacing w:line="440" w:lineRule="exact"/>
        <w:jc w:val="both"/>
        <w:outlineLvl w:val="2"/>
        <w:rPr>
          <w:rFonts w:ascii="標楷體" w:eastAsia="標楷體" w:hAnsi="標楷體" w:cs="Times New Roman"/>
          <w:b/>
          <w:sz w:val="32"/>
          <w:szCs w:val="32"/>
        </w:rPr>
      </w:pPr>
      <w:r>
        <w:rPr>
          <w:rFonts w:ascii="標楷體" w:eastAsia="標楷體" w:hAnsi="標楷體" w:cs="Cordia New" w:hint="eastAsia"/>
          <w:bCs/>
        </w:rPr>
        <w:lastRenderedPageBreak/>
        <w:t>教育；或雖自110年起將臺北市公私立幼兒園（不含國小附幼）納入防災教育實施計畫執行範圍，並規範渠等須送交各園防災</w:t>
      </w:r>
      <w:proofErr w:type="gramStart"/>
      <w:r>
        <w:rPr>
          <w:rFonts w:ascii="標楷體" w:eastAsia="標楷體" w:hAnsi="標楷體" w:cs="Cordia New" w:hint="eastAsia"/>
          <w:bCs/>
        </w:rPr>
        <w:t>計畫至彙整</w:t>
      </w:r>
      <w:proofErr w:type="gramEnd"/>
      <w:r>
        <w:rPr>
          <w:rFonts w:ascii="標楷體" w:eastAsia="標楷體" w:hAnsi="標楷體" w:cs="Cordia New" w:hint="eastAsia"/>
          <w:bCs/>
        </w:rPr>
        <w:t>單位辦理審查，惟未建立考評及獎懲輔導機制，亦未列管追蹤各園後續繳交狀況，肇致整體繳交防災計畫之比率，自110學年度之41.80％，逐年遞減至112學年度之16.87％，不利各園所掌握防災工作之執行重點</w:t>
      </w:r>
      <w:r>
        <w:rPr>
          <w:rFonts w:ascii="標楷體" w:eastAsia="標楷體" w:hAnsi="標楷體" w:hint="eastAsia"/>
          <w:bCs/>
        </w:rPr>
        <w:t>；3.該局為配合教育部落實全民化防災教育理想，113學年度持續針對臺北市公私立高級中等以下學校及幼兒園，辦理防災教育實施計畫，惟未包含轄內</w:t>
      </w:r>
      <w:proofErr w:type="gramStart"/>
      <w:r>
        <w:rPr>
          <w:rFonts w:ascii="標楷體" w:eastAsia="標楷體" w:hAnsi="標楷體" w:hint="eastAsia"/>
          <w:bCs/>
        </w:rPr>
        <w:t>臺</w:t>
      </w:r>
      <w:proofErr w:type="gramEnd"/>
      <w:r>
        <w:rPr>
          <w:rFonts w:ascii="標楷體" w:eastAsia="標楷體" w:hAnsi="標楷體" w:hint="eastAsia"/>
          <w:bCs/>
        </w:rPr>
        <w:t>北歐洲學校等6所外僑學校，及臺北市影視音實驗教育機構等31家實驗教育機構，未能全面普及災害防救教育、訓練及觀念宣導</w:t>
      </w:r>
      <w:r>
        <w:rPr>
          <w:rFonts w:ascii="標楷體" w:eastAsia="標楷體" w:hAnsi="標楷體" w:hint="eastAsia"/>
        </w:rPr>
        <w:t>等情事，經函請</w:t>
      </w:r>
      <w:proofErr w:type="gramStart"/>
      <w:r>
        <w:rPr>
          <w:rFonts w:ascii="標楷體" w:eastAsia="標楷體" w:hAnsi="標楷體" w:hint="eastAsia"/>
        </w:rPr>
        <w:t>研</w:t>
      </w:r>
      <w:proofErr w:type="gramEnd"/>
      <w:r>
        <w:rPr>
          <w:rFonts w:ascii="標楷體" w:eastAsia="標楷體" w:hAnsi="標楷體" w:hint="eastAsia"/>
        </w:rPr>
        <w:t>謀改善。據復：1.業於114年1月22日邀集前開124所學校辦理學校供水站演練，宣導北水</w:t>
      </w:r>
      <w:proofErr w:type="gramStart"/>
      <w:r>
        <w:rPr>
          <w:rFonts w:ascii="標楷體" w:eastAsia="標楷體" w:hAnsi="標楷體" w:hint="eastAsia"/>
        </w:rPr>
        <w:t>處官網</w:t>
      </w:r>
      <w:proofErr w:type="gramEnd"/>
      <w:r>
        <w:rPr>
          <w:rFonts w:ascii="標楷體" w:eastAsia="標楷體" w:hAnsi="標楷體" w:hint="eastAsia"/>
        </w:rPr>
        <w:t>設有學校供水站資訊，並請各校重新檢視「取水點及取水動線平面位置圖」資料正確性後，北水處已於114年3月20日</w:t>
      </w:r>
      <w:proofErr w:type="gramStart"/>
      <w:r>
        <w:rPr>
          <w:rFonts w:ascii="標楷體" w:eastAsia="標楷體" w:hAnsi="標楷體" w:hint="eastAsia"/>
        </w:rPr>
        <w:t>更新官網資訊</w:t>
      </w:r>
      <w:proofErr w:type="gramEnd"/>
      <w:r>
        <w:rPr>
          <w:rFonts w:ascii="標楷體" w:eastAsia="標楷體" w:hAnsi="標楷體" w:hint="eastAsia"/>
        </w:rPr>
        <w:t>；</w:t>
      </w:r>
      <w:proofErr w:type="gramStart"/>
      <w:r>
        <w:rPr>
          <w:rFonts w:ascii="標楷體" w:eastAsia="標楷體" w:hAnsi="標楷體" w:hint="eastAsia"/>
        </w:rPr>
        <w:t>另業於</w:t>
      </w:r>
      <w:proofErr w:type="gramEnd"/>
      <w:r>
        <w:rPr>
          <w:rFonts w:ascii="標楷體" w:eastAsia="標楷體" w:hAnsi="標楷體" w:hint="eastAsia"/>
        </w:rPr>
        <w:t>114年2月11日訂頒「臺北市政府教育局優先收容安置學校防災物資整備及管理原則」，並函知所屬學校遵循，以確保收容物資與設備供應，及督促案內優先收容學校完成有關缺失改善作業；2.</w:t>
      </w:r>
      <w:r>
        <w:rPr>
          <w:rFonts w:ascii="標楷體" w:eastAsia="標楷體" w:hAnsi="標楷體" w:hint="eastAsia"/>
          <w:bCs/>
        </w:rPr>
        <w:t>業針對案內考評成效不佳學校，於113年9月至114年3月期間安排入校輔導訪視，或已納入</w:t>
      </w:r>
      <w:proofErr w:type="gramStart"/>
      <w:r>
        <w:rPr>
          <w:rFonts w:ascii="標楷體" w:eastAsia="標楷體" w:hAnsi="標楷體" w:hint="eastAsia"/>
          <w:bCs/>
        </w:rPr>
        <w:t>114</w:t>
      </w:r>
      <w:proofErr w:type="gramEnd"/>
      <w:r>
        <w:rPr>
          <w:rFonts w:ascii="標楷體" w:eastAsia="標楷體" w:hAnsi="標楷體" w:hint="eastAsia"/>
          <w:bCs/>
        </w:rPr>
        <w:t>年度防災基礎建置學校或特教建置學校並將入校輔導訪視2次；有關前開幼兒園防災教育現行主要以提供輔導資源、鼓勵自主規劃為主，該局將另發文督導及於園長會議等場合宣導相關政策，</w:t>
      </w:r>
      <w:proofErr w:type="gramStart"/>
      <w:r>
        <w:rPr>
          <w:rFonts w:ascii="標楷體" w:eastAsia="標楷體" w:hAnsi="標楷體" w:hint="eastAsia"/>
          <w:bCs/>
        </w:rPr>
        <w:t>俾</w:t>
      </w:r>
      <w:proofErr w:type="gramEnd"/>
      <w:r>
        <w:rPr>
          <w:rFonts w:ascii="標楷體" w:eastAsia="標楷體" w:hAnsi="標楷體" w:hint="eastAsia"/>
          <w:bCs/>
        </w:rPr>
        <w:t>利改善防災計畫繳交狀況低落之情形；3.114學年度已將前開6所外僑學校及31家實驗教育機構納入防災教育實施範圍，以提升師生防災素養。</w:t>
      </w:r>
    </w:p>
    <w:p w14:paraId="0598321F" w14:textId="77777777" w:rsidR="008B713D" w:rsidRDefault="008B713D" w:rsidP="00365115">
      <w:pPr>
        <w:pStyle w:val="04"/>
        <w:widowControl w:val="0"/>
        <w:suppressAutoHyphens w:val="0"/>
        <w:spacing w:beforeLines="30" w:before="108"/>
        <w:ind w:firstLine="280"/>
        <w:rPr>
          <w:rFonts w:hAnsi="標楷體"/>
          <w:b w:val="0"/>
          <w:color w:val="000000" w:themeColor="text1"/>
          <w:spacing w:val="-4"/>
          <w:sz w:val="24"/>
        </w:rPr>
      </w:pPr>
      <w:r>
        <w:rPr>
          <w:rFonts w:hint="eastAsia"/>
          <w:szCs w:val="28"/>
        </w:rPr>
        <w:t>（四）</w:t>
      </w:r>
      <w:r>
        <w:rPr>
          <w:rFonts w:cs="Cordia New" w:hint="eastAsia"/>
          <w:color w:val="000000" w:themeColor="text1"/>
          <w:spacing w:val="-4"/>
        </w:rPr>
        <w:t>開發「親師生平</w:t>
      </w:r>
      <w:proofErr w:type="gramStart"/>
      <w:r>
        <w:rPr>
          <w:rFonts w:cs="Cordia New" w:hint="eastAsia"/>
          <w:color w:val="000000" w:themeColor="text1"/>
          <w:spacing w:val="-4"/>
        </w:rPr>
        <w:t>臺</w:t>
      </w:r>
      <w:proofErr w:type="gramEnd"/>
      <w:r>
        <w:rPr>
          <w:rFonts w:cs="Cordia New" w:hint="eastAsia"/>
          <w:color w:val="000000" w:themeColor="text1"/>
          <w:spacing w:val="-4"/>
        </w:rPr>
        <w:t>／</w:t>
      </w:r>
      <w:proofErr w:type="gramStart"/>
      <w:r>
        <w:rPr>
          <w:rFonts w:cs="Cordia New" w:hint="eastAsia"/>
          <w:color w:val="000000" w:themeColor="text1"/>
          <w:spacing w:val="-4"/>
        </w:rPr>
        <w:t>酷課</w:t>
      </w:r>
      <w:proofErr w:type="gramEnd"/>
      <w:r>
        <w:rPr>
          <w:rFonts w:cs="Cordia New" w:hint="eastAsia"/>
          <w:color w:val="000000" w:themeColor="text1"/>
          <w:spacing w:val="-4"/>
        </w:rPr>
        <w:t>APP」提供親師生多元智慧校園E化服務，增進親師生校園互動及提升學校行政效率，</w:t>
      </w:r>
      <w:proofErr w:type="gramStart"/>
      <w:r>
        <w:rPr>
          <w:rFonts w:cs="Cordia New" w:hint="eastAsia"/>
          <w:color w:val="000000" w:themeColor="text1"/>
          <w:spacing w:val="-4"/>
        </w:rPr>
        <w:t>惟核有</w:t>
      </w:r>
      <w:proofErr w:type="gramEnd"/>
      <w:r>
        <w:rPr>
          <w:rFonts w:cs="Cordia New" w:hint="eastAsia"/>
          <w:color w:val="000000" w:themeColor="text1"/>
          <w:spacing w:val="-4"/>
        </w:rPr>
        <w:t>部分學校親子帳號綁定率未達80</w:t>
      </w:r>
      <w:r>
        <w:rPr>
          <w:rFonts w:ascii="新細明體" w:eastAsia="新細明體" w:hAnsi="新細明體" w:cs="Cordia New" w:hint="eastAsia"/>
          <w:color w:val="000000" w:themeColor="text1"/>
          <w:spacing w:val="-4"/>
        </w:rPr>
        <w:t>％</w:t>
      </w:r>
      <w:r>
        <w:rPr>
          <w:rFonts w:cs="Cordia New" w:hint="eastAsia"/>
          <w:color w:val="000000" w:themeColor="text1"/>
          <w:spacing w:val="-4"/>
        </w:rPr>
        <w:t>，或部分功能使用情形欠佳等情，有待深入瞭解癥結，並</w:t>
      </w:r>
      <w:proofErr w:type="gramStart"/>
      <w:r>
        <w:rPr>
          <w:rFonts w:cs="Cordia New" w:hint="eastAsia"/>
          <w:color w:val="000000" w:themeColor="text1"/>
          <w:spacing w:val="-4"/>
        </w:rPr>
        <w:t>研</w:t>
      </w:r>
      <w:proofErr w:type="gramEnd"/>
      <w:r>
        <w:rPr>
          <w:rFonts w:cs="Cordia New" w:hint="eastAsia"/>
          <w:color w:val="000000" w:themeColor="text1"/>
          <w:spacing w:val="-4"/>
        </w:rPr>
        <w:t>謀改善，以加速校園數位轉型</w:t>
      </w:r>
      <w:r>
        <w:rPr>
          <w:rFonts w:hAnsi="標楷體" w:hint="eastAsia"/>
          <w:spacing w:val="-4"/>
          <w:szCs w:val="28"/>
        </w:rPr>
        <w:t>。</w:t>
      </w:r>
    </w:p>
    <w:p w14:paraId="15B02C5B" w14:textId="22A25BD4" w:rsidR="000B1438" w:rsidRDefault="008B713D" w:rsidP="00365115">
      <w:pPr>
        <w:overflowPunct w:val="0"/>
        <w:autoSpaceDE w:val="0"/>
        <w:autoSpaceDN w:val="0"/>
        <w:adjustRightInd w:val="0"/>
        <w:spacing w:beforeLines="20" w:before="72" w:line="450" w:lineRule="exact"/>
        <w:ind w:firstLineChars="200" w:firstLine="480"/>
        <w:jc w:val="both"/>
        <w:rPr>
          <w:rFonts w:ascii="標楷體" w:eastAsia="標楷體" w:hAnsi="標楷體" w:cs="Cordia New"/>
          <w:color w:val="000000" w:themeColor="text1"/>
        </w:rPr>
      </w:pPr>
      <w:r>
        <w:rPr>
          <w:rFonts w:ascii="標楷體" w:eastAsia="標楷體" w:hAnsi="標楷體" w:cs="Cordia New" w:hint="eastAsia"/>
          <w:color w:val="000000" w:themeColor="text1"/>
        </w:rPr>
        <w:t>教育局為協助學校運用資訊科技提高行政作業效能，及讓家長得以即時且有效率方式參與孩子校園生活，並強化親</w:t>
      </w:r>
      <w:proofErr w:type="gramStart"/>
      <w:r>
        <w:rPr>
          <w:rFonts w:ascii="標楷體" w:eastAsia="標楷體" w:hAnsi="標楷體" w:cs="Cordia New" w:hint="eastAsia"/>
          <w:color w:val="000000" w:themeColor="text1"/>
        </w:rPr>
        <w:t>師生間多向</w:t>
      </w:r>
      <w:proofErr w:type="gramEnd"/>
      <w:r>
        <w:rPr>
          <w:rFonts w:ascii="標楷體" w:eastAsia="標楷體" w:hAnsi="標楷體" w:cs="Cordia New" w:hint="eastAsia"/>
          <w:color w:val="000000" w:themeColor="text1"/>
        </w:rPr>
        <w:t>互動，於110年9月推出親師生平</w:t>
      </w:r>
      <w:proofErr w:type="gramStart"/>
      <w:r>
        <w:rPr>
          <w:rFonts w:ascii="標楷體" w:eastAsia="標楷體" w:hAnsi="標楷體" w:cs="Cordia New" w:hint="eastAsia"/>
          <w:color w:val="000000" w:themeColor="text1"/>
        </w:rPr>
        <w:t>臺</w:t>
      </w:r>
      <w:proofErr w:type="gramEnd"/>
      <w:r>
        <w:rPr>
          <w:rFonts w:ascii="標楷體" w:eastAsia="標楷體" w:hAnsi="標楷體" w:cs="Cordia New" w:hint="eastAsia"/>
          <w:color w:val="000000" w:themeColor="text1"/>
        </w:rPr>
        <w:t>／</w:t>
      </w:r>
      <w:proofErr w:type="gramStart"/>
      <w:r>
        <w:rPr>
          <w:rFonts w:ascii="標楷體" w:eastAsia="標楷體" w:hAnsi="標楷體" w:cs="Cordia New" w:hint="eastAsia"/>
          <w:color w:val="000000" w:themeColor="text1"/>
        </w:rPr>
        <w:t>酷課</w:t>
      </w:r>
      <w:proofErr w:type="gramEnd"/>
      <w:r>
        <w:rPr>
          <w:rFonts w:ascii="標楷體" w:eastAsia="標楷體" w:hAnsi="標楷體" w:cs="Cordia New" w:hint="eastAsia"/>
          <w:color w:val="000000" w:themeColor="text1"/>
        </w:rPr>
        <w:t>APP（下稱酷課APP），提供親師聯繫、數據查調、空間管理、校園繳費、課間教學、遠距學習、數位資源、學習獎勵等八大智慧校園服務。</w:t>
      </w:r>
      <w:proofErr w:type="gramStart"/>
      <w:r>
        <w:rPr>
          <w:rFonts w:ascii="標楷體" w:eastAsia="標楷體" w:hAnsi="標楷體" w:cs="Cordia New" w:hint="eastAsia"/>
          <w:color w:val="000000" w:themeColor="text1"/>
        </w:rPr>
        <w:t>113</w:t>
      </w:r>
      <w:proofErr w:type="gramEnd"/>
      <w:r>
        <w:rPr>
          <w:rFonts w:ascii="標楷體" w:eastAsia="標楷體" w:hAnsi="標楷體" w:cs="Cordia New" w:hint="eastAsia"/>
          <w:color w:val="000000" w:themeColor="text1"/>
        </w:rPr>
        <w:t>年度</w:t>
      </w:r>
      <w:proofErr w:type="gramStart"/>
      <w:r>
        <w:rPr>
          <w:rFonts w:ascii="標楷體" w:eastAsia="標楷體" w:hAnsi="標楷體" w:cs="Cordia New" w:hint="eastAsia"/>
          <w:color w:val="000000" w:themeColor="text1"/>
        </w:rPr>
        <w:t>賡</w:t>
      </w:r>
      <w:proofErr w:type="gramEnd"/>
      <w:r>
        <w:rPr>
          <w:rFonts w:ascii="標楷體" w:eastAsia="標楷體" w:hAnsi="標楷體" w:cs="Cordia New" w:hint="eastAsia"/>
          <w:color w:val="000000" w:themeColor="text1"/>
        </w:rPr>
        <w:t>續於臺</w:t>
      </w:r>
      <w:r>
        <w:rPr>
          <w:rFonts w:ascii="標楷體" w:eastAsia="標楷體" w:hAnsi="標楷體" w:cs="Cordia New" w:hint="eastAsia"/>
        </w:rPr>
        <w:t>北市地方教育發展基金編列預算900萬元，委外持續優化及</w:t>
      </w:r>
      <w:proofErr w:type="gramStart"/>
      <w:r>
        <w:rPr>
          <w:rFonts w:ascii="標楷體" w:eastAsia="標楷體" w:hAnsi="標楷體" w:cs="Cordia New" w:hint="eastAsia"/>
        </w:rPr>
        <w:t>擴充酷課</w:t>
      </w:r>
      <w:proofErr w:type="gramEnd"/>
      <w:r>
        <w:rPr>
          <w:rFonts w:ascii="標楷體" w:eastAsia="標楷體" w:hAnsi="標楷體" w:cs="Cordia New" w:hint="eastAsia"/>
        </w:rPr>
        <w:t>APP各項服務功能。截至113年底止，已建置完成「</w:t>
      </w:r>
      <w:r>
        <w:rPr>
          <w:rFonts w:ascii="標楷體" w:eastAsia="標楷體" w:hAnsi="標楷體" w:hint="eastAsia"/>
        </w:rPr>
        <w:t>成績／缺</w:t>
      </w:r>
      <w:proofErr w:type="gramStart"/>
      <w:r>
        <w:rPr>
          <w:rFonts w:ascii="標楷體" w:eastAsia="標楷體" w:hAnsi="標楷體" w:hint="eastAsia"/>
        </w:rPr>
        <w:t>曠</w:t>
      </w:r>
      <w:proofErr w:type="gramEnd"/>
      <w:r>
        <w:rPr>
          <w:rFonts w:ascii="標楷體" w:eastAsia="標楷體" w:hAnsi="標楷體" w:hint="eastAsia"/>
        </w:rPr>
        <w:t>／獎懲查詢」</w:t>
      </w:r>
      <w:r>
        <w:rPr>
          <w:rFonts w:ascii="標楷體" w:eastAsia="標楷體" w:hAnsi="標楷體" w:cs="Cordia New" w:hint="eastAsia"/>
        </w:rPr>
        <w:t>等14項核心功能。經查</w:t>
      </w:r>
      <w:bookmarkStart w:id="39" w:name="_Hlk199057910"/>
      <w:r>
        <w:rPr>
          <w:rFonts w:ascii="標楷體" w:eastAsia="標楷體" w:hAnsi="標楷體" w:cs="Cordia New" w:hint="eastAsia"/>
        </w:rPr>
        <w:t>臺北市立高中（職）以下學校</w:t>
      </w:r>
      <w:bookmarkEnd w:id="39"/>
      <w:r>
        <w:rPr>
          <w:rFonts w:ascii="標楷體" w:eastAsia="標楷體" w:hAnsi="標楷體" w:cs="Cordia New" w:hint="eastAsia"/>
        </w:rPr>
        <w:t>112學年度第2學期至113學年度第1學期推廣</w:t>
      </w:r>
      <w:proofErr w:type="gramStart"/>
      <w:r>
        <w:rPr>
          <w:rFonts w:ascii="標楷體" w:eastAsia="標楷體" w:hAnsi="標楷體" w:cs="Cordia New" w:hint="eastAsia"/>
        </w:rPr>
        <w:t>運用酷課</w:t>
      </w:r>
      <w:proofErr w:type="gramEnd"/>
      <w:r>
        <w:rPr>
          <w:rFonts w:ascii="標楷體" w:eastAsia="標楷體" w:hAnsi="標楷體" w:cs="Cordia New" w:hint="eastAsia"/>
        </w:rPr>
        <w:t>APP情形，核有：1.該局為鼓勵家長一同參與智慧校園，自</w:t>
      </w:r>
      <w:proofErr w:type="gramStart"/>
      <w:r>
        <w:rPr>
          <w:rFonts w:ascii="標楷體" w:eastAsia="標楷體" w:hAnsi="標楷體" w:cs="Cordia New" w:hint="eastAsia"/>
        </w:rPr>
        <w:t>推出酷課</w:t>
      </w:r>
      <w:proofErr w:type="gramEnd"/>
      <w:r>
        <w:rPr>
          <w:rFonts w:ascii="標楷體" w:eastAsia="標楷體" w:hAnsi="標楷體" w:cs="Cordia New" w:hint="eastAsia"/>
        </w:rPr>
        <w:t>APP</w:t>
      </w:r>
      <w:r>
        <w:rPr>
          <w:rFonts w:ascii="標楷體" w:eastAsia="標楷體" w:hAnsi="標楷體" w:cs="Cordia New" w:hint="eastAsia"/>
          <w:color w:val="000000" w:themeColor="text1"/>
        </w:rPr>
        <w:t>後，即要求所屬學校鼓勵家長進行親子帳號綁定，以享受該APP多元校園智慧E化服務。經統計，截至113年10月11日止</w:t>
      </w:r>
      <w:r>
        <w:rPr>
          <w:rFonts w:ascii="標楷體" w:eastAsia="標楷體" w:hAnsi="標楷體" w:cs="Cordia New" w:hint="eastAsia"/>
        </w:rPr>
        <w:t>，臺北市立高中（職）以下學校</w:t>
      </w:r>
      <w:proofErr w:type="gramStart"/>
      <w:r>
        <w:rPr>
          <w:rFonts w:ascii="標楷體" w:eastAsia="標楷體" w:hAnsi="標楷體" w:cs="Cordia New" w:hint="eastAsia"/>
        </w:rPr>
        <w:t>整體酷課</w:t>
      </w:r>
      <w:proofErr w:type="gramEnd"/>
      <w:r>
        <w:rPr>
          <w:rFonts w:ascii="標楷體" w:eastAsia="標楷體" w:hAnsi="標楷體" w:cs="Cordia New" w:hint="eastAsia"/>
        </w:rPr>
        <w:t>APP親子帳號綁定率雖近</w:t>
      </w:r>
      <w:proofErr w:type="gramStart"/>
      <w:r>
        <w:rPr>
          <w:rFonts w:ascii="標楷體" w:eastAsia="標楷體" w:hAnsi="標楷體" w:cs="Cordia New" w:hint="eastAsia"/>
        </w:rPr>
        <w:t>9成</w:t>
      </w:r>
      <w:proofErr w:type="gramEnd"/>
      <w:r>
        <w:rPr>
          <w:rFonts w:ascii="標楷體" w:eastAsia="標楷體" w:hAnsi="標楷體" w:cs="Cordia New" w:hint="eastAsia"/>
        </w:rPr>
        <w:t>，惟其中仍有41所學校之家</w:t>
      </w:r>
      <w:proofErr w:type="gramStart"/>
      <w:r>
        <w:rPr>
          <w:rFonts w:ascii="標楷體" w:eastAsia="標楷體" w:hAnsi="標楷體" w:cs="Cordia New" w:hint="eastAsia"/>
        </w:rPr>
        <w:t>長親子綁定</w:t>
      </w:r>
      <w:proofErr w:type="gramEnd"/>
      <w:r>
        <w:rPr>
          <w:rFonts w:ascii="標楷體" w:eastAsia="標楷體" w:hAnsi="標楷體" w:cs="Cordia New" w:hint="eastAsia"/>
        </w:rPr>
        <w:t>率未達80％</w:t>
      </w:r>
      <w:r>
        <w:rPr>
          <w:rFonts w:ascii="標楷體" w:eastAsia="標楷體" w:hAnsi="標楷體" w:cs="Cordia New" w:hint="eastAsia"/>
          <w:bCs/>
        </w:rPr>
        <w:t>（表3）</w:t>
      </w:r>
      <w:r>
        <w:rPr>
          <w:rFonts w:ascii="標楷體" w:eastAsia="標楷體" w:hAnsi="標楷體" w:cs="Cordia New" w:hint="eastAsia"/>
        </w:rPr>
        <w:t>，不利</w:t>
      </w:r>
      <w:r>
        <w:rPr>
          <w:rFonts w:ascii="標楷體" w:eastAsia="標楷體" w:hAnsi="標楷體" w:cs="Cordia New" w:hint="eastAsia"/>
          <w:color w:val="000000" w:themeColor="text1"/>
        </w:rPr>
        <w:t>各校推動智慧校園E化服務；2.截至113年9月底止，該</w:t>
      </w:r>
    </w:p>
    <w:p w14:paraId="49A99368" w14:textId="65ED1692" w:rsidR="000B1438" w:rsidRDefault="000B1438" w:rsidP="000B1438">
      <w:pPr>
        <w:overflowPunct w:val="0"/>
        <w:autoSpaceDE w:val="0"/>
        <w:autoSpaceDN w:val="0"/>
        <w:adjustRightInd w:val="0"/>
        <w:spacing w:line="440" w:lineRule="exact"/>
        <w:jc w:val="both"/>
        <w:rPr>
          <w:rFonts w:ascii="標楷體" w:eastAsia="標楷體" w:hAnsi="標楷體" w:cs="Cordia New"/>
          <w:color w:val="000000" w:themeColor="text1"/>
        </w:rPr>
      </w:pPr>
      <w:r>
        <w:rPr>
          <w:rFonts w:ascii="標楷體" w:eastAsia="標楷體" w:hAnsi="標楷體" w:cs="Cordia New" w:hint="eastAsia"/>
          <w:color w:val="000000" w:themeColor="text1"/>
        </w:rPr>
        <w:t>局已</w:t>
      </w:r>
      <w:proofErr w:type="gramStart"/>
      <w:r>
        <w:rPr>
          <w:rFonts w:ascii="標楷體" w:eastAsia="標楷體" w:hAnsi="標楷體" w:cs="Cordia New" w:hint="eastAsia"/>
          <w:color w:val="000000" w:themeColor="text1"/>
        </w:rPr>
        <w:t>於酷課</w:t>
      </w:r>
      <w:proofErr w:type="gramEnd"/>
      <w:r>
        <w:rPr>
          <w:rFonts w:ascii="標楷體" w:eastAsia="標楷體" w:hAnsi="標楷體" w:cs="Cordia New" w:hint="eastAsia"/>
          <w:color w:val="000000" w:themeColor="text1"/>
        </w:rPr>
        <w:t>APP建置「成績／缺</w:t>
      </w:r>
      <w:proofErr w:type="gramStart"/>
      <w:r>
        <w:rPr>
          <w:rFonts w:ascii="標楷體" w:eastAsia="標楷體" w:hAnsi="標楷體" w:cs="Cordia New" w:hint="eastAsia"/>
          <w:color w:val="000000" w:themeColor="text1"/>
        </w:rPr>
        <w:t>曠</w:t>
      </w:r>
      <w:proofErr w:type="gramEnd"/>
      <w:r>
        <w:rPr>
          <w:rFonts w:ascii="標楷體" w:eastAsia="標楷體" w:hAnsi="標楷體" w:cs="Cordia New" w:hint="eastAsia"/>
          <w:color w:val="000000" w:themeColor="text1"/>
        </w:rPr>
        <w:t>／獎懲查詢」等6項功能，提供家長及學生查詢學生之成</w:t>
      </w:r>
      <w:r w:rsidR="00045B59">
        <w:rPr>
          <w:rFonts w:ascii="標楷體" w:eastAsia="標楷體" w:hAnsi="標楷體" w:cs="Cordia New" w:hint="eastAsia"/>
          <w:color w:val="000000" w:themeColor="text1"/>
        </w:rPr>
        <w:t>績、差</w:t>
      </w:r>
    </w:p>
    <w:p w14:paraId="6718BCC7" w14:textId="77777777" w:rsidR="00F12554" w:rsidRDefault="00045B59" w:rsidP="00045B59">
      <w:pPr>
        <w:overflowPunct w:val="0"/>
        <w:autoSpaceDE w:val="0"/>
        <w:autoSpaceDN w:val="0"/>
        <w:adjustRightInd w:val="0"/>
        <w:spacing w:line="440" w:lineRule="exact"/>
        <w:jc w:val="both"/>
        <w:rPr>
          <w:rFonts w:ascii="標楷體" w:eastAsia="標楷體" w:hAnsi="標楷體" w:cs="Cordia New"/>
          <w:color w:val="000000" w:themeColor="text1"/>
        </w:rPr>
      </w:pPr>
      <w:r>
        <w:rPr>
          <w:rFonts w:hint="eastAsia"/>
          <w:noProof/>
        </w:rPr>
        <w:lastRenderedPageBreak/>
        <mc:AlternateContent>
          <mc:Choice Requires="wps">
            <w:drawing>
              <wp:anchor distT="45720" distB="45720" distL="114300" distR="114300" simplePos="0" relativeHeight="251695104" behindDoc="0" locked="0" layoutInCell="1" allowOverlap="1" wp14:anchorId="1D5D7FCE" wp14:editId="5CC3EC7A">
                <wp:simplePos x="0" y="0"/>
                <wp:positionH relativeFrom="margin">
                  <wp:posOffset>3579495</wp:posOffset>
                </wp:positionH>
                <wp:positionV relativeFrom="paragraph">
                  <wp:posOffset>6164316</wp:posOffset>
                </wp:positionV>
                <wp:extent cx="2775585" cy="2724150"/>
                <wp:effectExtent l="0" t="0" r="5715" b="0"/>
                <wp:wrapSquare wrapText="bothSides"/>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5585" cy="2724150"/>
                        </a:xfrm>
                        <a:prstGeom prst="rect">
                          <a:avLst/>
                        </a:prstGeom>
                        <a:solidFill>
                          <a:srgbClr val="FFFFFF"/>
                        </a:solidFill>
                        <a:ln w="9525">
                          <a:noFill/>
                          <a:miter lim="800000"/>
                          <a:headEnd/>
                          <a:tailEnd/>
                        </a:ln>
                      </wps:spPr>
                      <wps:txbx>
                        <w:txbxContent>
                          <w:p w14:paraId="5D5EF19E" w14:textId="77777777" w:rsidR="008B713D" w:rsidRDefault="008B713D" w:rsidP="008B713D">
                            <w:pPr>
                              <w:spacing w:line="260" w:lineRule="exact"/>
                              <w:jc w:val="center"/>
                              <w:rPr>
                                <w:rFonts w:ascii="標楷體" w:eastAsia="標楷體" w:hAnsi="標楷體"/>
                                <w:b/>
                              </w:rPr>
                            </w:pPr>
                            <w:r>
                              <w:rPr>
                                <w:rFonts w:ascii="標楷體" w:eastAsia="標楷體" w:hAnsi="標楷體" w:hint="eastAsia"/>
                                <w:b/>
                              </w:rPr>
                              <w:t xml:space="preserve">表4　</w:t>
                            </w:r>
                            <w:proofErr w:type="gramStart"/>
                            <w:r>
                              <w:rPr>
                                <w:rFonts w:ascii="標楷體" w:eastAsia="標楷體" w:hAnsi="標楷體" w:hint="eastAsia"/>
                                <w:b/>
                              </w:rPr>
                              <w:t>酷課</w:t>
                            </w:r>
                            <w:proofErr w:type="gramEnd"/>
                            <w:r>
                              <w:rPr>
                                <w:rFonts w:ascii="標楷體" w:eastAsia="標楷體" w:hAnsi="標楷體" w:hint="eastAsia"/>
                                <w:b/>
                              </w:rPr>
                              <w:t>APP－課堂工具點閱情形</w:t>
                            </w:r>
                          </w:p>
                          <w:p w14:paraId="1E681837" w14:textId="77777777" w:rsidR="008B713D" w:rsidRDefault="008B713D" w:rsidP="008B713D">
                            <w:pPr>
                              <w:spacing w:line="220" w:lineRule="exact"/>
                              <w:jc w:val="right"/>
                              <w:rPr>
                                <w:rFonts w:ascii="標楷體" w:eastAsia="標楷體" w:hAnsi="標楷體"/>
                                <w:sz w:val="20"/>
                                <w:szCs w:val="20"/>
                              </w:rPr>
                            </w:pPr>
                            <w:r>
                              <w:rPr>
                                <w:rFonts w:ascii="標楷體" w:eastAsia="標楷體" w:hAnsi="標楷體" w:hint="eastAsia"/>
                                <w:sz w:val="20"/>
                                <w:szCs w:val="20"/>
                              </w:rPr>
                              <w:t>單位：校、％</w:t>
                            </w:r>
                          </w:p>
                          <w:tbl>
                            <w:tblPr>
                              <w:tblW w:w="4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49"/>
                              <w:gridCol w:w="510"/>
                              <w:gridCol w:w="567"/>
                              <w:gridCol w:w="510"/>
                              <w:gridCol w:w="567"/>
                              <w:gridCol w:w="510"/>
                              <w:gridCol w:w="567"/>
                            </w:tblGrid>
                            <w:tr w:rsidR="008B713D" w14:paraId="21179DCD" w14:textId="77777777">
                              <w:trPr>
                                <w:trHeight w:val="149"/>
                              </w:trPr>
                              <w:tc>
                                <w:tcPr>
                                  <w:tcW w:w="850" w:type="dxa"/>
                                  <w:vMerge w:val="restart"/>
                                  <w:tcBorders>
                                    <w:top w:val="single" w:sz="4" w:space="0" w:color="auto"/>
                                    <w:left w:val="single" w:sz="4" w:space="0" w:color="auto"/>
                                    <w:bottom w:val="single" w:sz="4" w:space="0" w:color="auto"/>
                                    <w:right w:val="single" w:sz="4" w:space="0" w:color="auto"/>
                                  </w:tcBorders>
                                  <w:noWrap/>
                                  <w:vAlign w:val="center"/>
                                  <w:hideMark/>
                                </w:tcPr>
                                <w:p w14:paraId="1A75A9FC" w14:textId="77777777" w:rsidR="008B713D" w:rsidRDefault="008B713D">
                                  <w:pPr>
                                    <w:widowControl/>
                                    <w:spacing w:line="220" w:lineRule="exact"/>
                                    <w:ind w:rightChars="-10" w:right="-24"/>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點閱次數</w:t>
                                  </w:r>
                                </w:p>
                              </w:tc>
                              <w:tc>
                                <w:tcPr>
                                  <w:tcW w:w="1077" w:type="dxa"/>
                                  <w:gridSpan w:val="2"/>
                                  <w:tcBorders>
                                    <w:top w:val="single" w:sz="4" w:space="0" w:color="auto"/>
                                    <w:left w:val="single" w:sz="4" w:space="0" w:color="auto"/>
                                    <w:bottom w:val="single" w:sz="4" w:space="0" w:color="auto"/>
                                    <w:right w:val="single" w:sz="4" w:space="0" w:color="auto"/>
                                  </w:tcBorders>
                                  <w:noWrap/>
                                  <w:vAlign w:val="bottom"/>
                                  <w:hideMark/>
                                </w:tcPr>
                                <w:p w14:paraId="2F06DE46" w14:textId="77777777" w:rsidR="008B713D" w:rsidRDefault="008B713D">
                                  <w:pPr>
                                    <w:widowControl/>
                                    <w:spacing w:line="22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高中（職）</w:t>
                                  </w:r>
                                </w:p>
                              </w:tc>
                              <w:tc>
                                <w:tcPr>
                                  <w:tcW w:w="1077" w:type="dxa"/>
                                  <w:gridSpan w:val="2"/>
                                  <w:tcBorders>
                                    <w:top w:val="single" w:sz="4" w:space="0" w:color="auto"/>
                                    <w:left w:val="single" w:sz="4" w:space="0" w:color="auto"/>
                                    <w:bottom w:val="single" w:sz="4" w:space="0" w:color="auto"/>
                                    <w:right w:val="single" w:sz="4" w:space="0" w:color="auto"/>
                                  </w:tcBorders>
                                  <w:noWrap/>
                                  <w:vAlign w:val="bottom"/>
                                  <w:hideMark/>
                                </w:tcPr>
                                <w:p w14:paraId="3589DFF9" w14:textId="77777777" w:rsidR="008B713D" w:rsidRDefault="008B713D">
                                  <w:pPr>
                                    <w:widowControl/>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國中</w:t>
                                  </w:r>
                                </w:p>
                              </w:tc>
                              <w:tc>
                                <w:tcPr>
                                  <w:tcW w:w="1077" w:type="dxa"/>
                                  <w:gridSpan w:val="2"/>
                                  <w:tcBorders>
                                    <w:top w:val="single" w:sz="4" w:space="0" w:color="auto"/>
                                    <w:left w:val="single" w:sz="4" w:space="0" w:color="auto"/>
                                    <w:bottom w:val="single" w:sz="4" w:space="0" w:color="auto"/>
                                    <w:right w:val="single" w:sz="4" w:space="0" w:color="auto"/>
                                  </w:tcBorders>
                                  <w:noWrap/>
                                  <w:vAlign w:val="bottom"/>
                                  <w:hideMark/>
                                </w:tcPr>
                                <w:p w14:paraId="0562244F" w14:textId="77777777" w:rsidR="008B713D" w:rsidRDefault="008B713D">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國小</w:t>
                                  </w:r>
                                </w:p>
                              </w:tc>
                            </w:tr>
                            <w:tr w:rsidR="008B713D" w14:paraId="28D0911B" w14:textId="77777777">
                              <w:trPr>
                                <w:trHeight w:val="149"/>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20D96AB" w14:textId="77777777" w:rsidR="008B713D" w:rsidRDefault="008B713D">
                                  <w:pPr>
                                    <w:widowControl/>
                                    <w:rPr>
                                      <w:rFonts w:ascii="標楷體" w:eastAsia="標楷體" w:hAnsi="標楷體" w:cs="新細明體"/>
                                      <w:color w:val="000000"/>
                                      <w:kern w:val="0"/>
                                      <w:sz w:val="20"/>
                                      <w:szCs w:val="20"/>
                                    </w:rPr>
                                  </w:pP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E59E5C0" w14:textId="77777777" w:rsidR="008B713D" w:rsidRDefault="008B713D">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校數</w:t>
                                  </w:r>
                                </w:p>
                              </w:tc>
                              <w:tc>
                                <w:tcPr>
                                  <w:tcW w:w="567" w:type="dxa"/>
                                  <w:tcBorders>
                                    <w:top w:val="single" w:sz="4" w:space="0" w:color="auto"/>
                                    <w:left w:val="single" w:sz="4" w:space="0" w:color="auto"/>
                                    <w:bottom w:val="single" w:sz="4" w:space="0" w:color="auto"/>
                                    <w:right w:val="single" w:sz="4" w:space="0" w:color="auto"/>
                                  </w:tcBorders>
                                  <w:vAlign w:val="bottom"/>
                                  <w:hideMark/>
                                </w:tcPr>
                                <w:p w14:paraId="59CFE977" w14:textId="77777777" w:rsidR="008B713D" w:rsidRDefault="008B713D">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183C57AB" w14:textId="77777777" w:rsidR="008B713D" w:rsidRDefault="008B713D">
                                  <w:pPr>
                                    <w:widowControl/>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校數</w:t>
                                  </w:r>
                                </w:p>
                              </w:tc>
                              <w:tc>
                                <w:tcPr>
                                  <w:tcW w:w="567" w:type="dxa"/>
                                  <w:tcBorders>
                                    <w:top w:val="single" w:sz="4" w:space="0" w:color="auto"/>
                                    <w:left w:val="single" w:sz="4" w:space="0" w:color="auto"/>
                                    <w:bottom w:val="single" w:sz="4" w:space="0" w:color="auto"/>
                                    <w:right w:val="single" w:sz="4" w:space="0" w:color="auto"/>
                                  </w:tcBorders>
                                  <w:vAlign w:val="bottom"/>
                                  <w:hideMark/>
                                </w:tcPr>
                                <w:p w14:paraId="5DFC0200" w14:textId="77777777" w:rsidR="008B713D" w:rsidRDefault="008B713D">
                                  <w:pPr>
                                    <w:widowControl/>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占比</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7E5B3C3" w14:textId="77777777" w:rsidR="008B713D" w:rsidRDefault="008B713D">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校數</w:t>
                                  </w:r>
                                </w:p>
                              </w:tc>
                              <w:tc>
                                <w:tcPr>
                                  <w:tcW w:w="567" w:type="dxa"/>
                                  <w:tcBorders>
                                    <w:top w:val="single" w:sz="4" w:space="0" w:color="auto"/>
                                    <w:left w:val="single" w:sz="4" w:space="0" w:color="auto"/>
                                    <w:bottom w:val="single" w:sz="4" w:space="0" w:color="auto"/>
                                    <w:right w:val="single" w:sz="4" w:space="0" w:color="auto"/>
                                  </w:tcBorders>
                                  <w:vAlign w:val="bottom"/>
                                  <w:hideMark/>
                                </w:tcPr>
                                <w:p w14:paraId="322DF9B0" w14:textId="77777777" w:rsidR="008B713D" w:rsidRDefault="008B713D">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8B713D" w14:paraId="5C886FD6"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645B8D2D" w14:textId="77777777" w:rsidR="008B713D" w:rsidRDefault="008B713D">
                                  <w:pPr>
                                    <w:widowControl/>
                                    <w:spacing w:line="220" w:lineRule="exact"/>
                                    <w:ind w:leftChars="10" w:left="24"/>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未使用</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743E56B"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2C50D30"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8.57</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C97EA0B"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17</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FA685C"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hint="eastAsia"/>
                                      <w:color w:val="000000"/>
                                      <w:sz w:val="20"/>
                                      <w:szCs w:val="20"/>
                                    </w:rPr>
                                    <w:t>24.29</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33826C63"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84D913"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23.74</w:t>
                                  </w:r>
                                </w:p>
                              </w:tc>
                            </w:tr>
                            <w:tr w:rsidR="008B713D" w14:paraId="2F6A8964"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79375EF2" w14:textId="77777777" w:rsidR="008B713D" w:rsidRDefault="008B713D">
                                  <w:pPr>
                                    <w:widowControl/>
                                    <w:spacing w:line="220" w:lineRule="exact"/>
                                    <w:ind w:leftChars="10" w:left="24"/>
                                    <w:rPr>
                                      <w:rFonts w:ascii="標楷體" w:eastAsia="標楷體" w:hAnsi="標楷體" w:cs="Arial"/>
                                      <w:kern w:val="0"/>
                                      <w:sz w:val="20"/>
                                      <w:szCs w:val="20"/>
                                    </w:rPr>
                                  </w:pPr>
                                  <w:r>
                                    <w:rPr>
                                      <w:rFonts w:ascii="標楷體" w:eastAsia="標楷體" w:hAnsi="標楷體" w:cs="Arial" w:hint="eastAsia"/>
                                      <w:kern w:val="0"/>
                                      <w:sz w:val="20"/>
                                      <w:szCs w:val="20"/>
                                    </w:rPr>
                                    <w:t>10以下</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5C4273EE"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C6661C6"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40.00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EC1F3D8"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1B49CAD"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61.43</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38EB98C0"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78</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4FD9FD"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56.12</w:t>
                                  </w:r>
                                </w:p>
                              </w:tc>
                            </w:tr>
                            <w:tr w:rsidR="008B713D" w14:paraId="0952D0A0"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252589F0" w14:textId="77777777" w:rsidR="008B713D" w:rsidRDefault="008B713D">
                                  <w:pPr>
                                    <w:widowControl/>
                                    <w:spacing w:line="220" w:lineRule="exact"/>
                                    <w:ind w:leftChars="10" w:left="24"/>
                                    <w:rPr>
                                      <w:rFonts w:ascii="標楷體" w:eastAsia="標楷體" w:hAnsi="標楷體" w:cs="Arial"/>
                                      <w:kern w:val="0"/>
                                      <w:sz w:val="20"/>
                                      <w:szCs w:val="20"/>
                                    </w:rPr>
                                  </w:pPr>
                                  <w:r>
                                    <w:rPr>
                                      <w:rFonts w:ascii="標楷體" w:eastAsia="標楷體" w:hAnsi="標楷體" w:cs="Arial" w:hint="eastAsia"/>
                                      <w:kern w:val="0"/>
                                      <w:sz w:val="20"/>
                                      <w:szCs w:val="20"/>
                                    </w:rPr>
                                    <w:t>11－20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C29700A"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BBFDC8"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25.71</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6303CCCD"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6</w:t>
                                  </w:r>
                                </w:p>
                              </w:tc>
                              <w:tc>
                                <w:tcPr>
                                  <w:tcW w:w="567" w:type="dxa"/>
                                  <w:tcBorders>
                                    <w:top w:val="single" w:sz="4" w:space="0" w:color="auto"/>
                                    <w:left w:val="single" w:sz="4" w:space="0" w:color="auto"/>
                                    <w:bottom w:val="single" w:sz="4" w:space="0" w:color="auto"/>
                                    <w:right w:val="single" w:sz="4" w:space="0" w:color="auto"/>
                                  </w:tcBorders>
                                  <w:vAlign w:val="center"/>
                                  <w:hideMark/>
                                </w:tcPr>
                                <w:p w14:paraId="23D4CAF0"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hint="eastAsia"/>
                                      <w:color w:val="000000"/>
                                      <w:sz w:val="20"/>
                                      <w:szCs w:val="20"/>
                                    </w:rPr>
                                    <w:t>8.57</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357A1355"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7447BEC"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10.07</w:t>
                                  </w:r>
                                </w:p>
                              </w:tc>
                            </w:tr>
                            <w:tr w:rsidR="008B713D" w14:paraId="581A6C97"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491A2CF7" w14:textId="77777777" w:rsidR="008B713D" w:rsidRDefault="008B713D">
                                  <w:pPr>
                                    <w:widowControl/>
                                    <w:spacing w:line="220" w:lineRule="exact"/>
                                    <w:ind w:leftChars="10" w:left="24"/>
                                    <w:rPr>
                                      <w:rFonts w:ascii="標楷體" w:eastAsia="標楷體" w:hAnsi="標楷體" w:cs="Arial"/>
                                      <w:kern w:val="0"/>
                                      <w:sz w:val="20"/>
                                      <w:szCs w:val="20"/>
                                    </w:rPr>
                                  </w:pPr>
                                  <w:r>
                                    <w:rPr>
                                      <w:rFonts w:ascii="標楷體" w:eastAsia="標楷體" w:hAnsi="標楷體" w:cs="Arial" w:hint="eastAsia"/>
                                      <w:kern w:val="0"/>
                                      <w:sz w:val="20"/>
                                      <w:szCs w:val="20"/>
                                    </w:rPr>
                                    <w:t>21－30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C3BEB55"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1BFC90F"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11.43</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65913298"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0E4ECBA9"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FE7CF15"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005DC6"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3.60</w:t>
                                  </w:r>
                                </w:p>
                              </w:tc>
                            </w:tr>
                            <w:tr w:rsidR="008B713D" w14:paraId="78A74E25"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08C4B9D8" w14:textId="77777777" w:rsidR="008B713D" w:rsidRDefault="008B713D">
                                  <w:pPr>
                                    <w:widowControl/>
                                    <w:spacing w:line="220" w:lineRule="exact"/>
                                    <w:ind w:leftChars="10" w:left="24"/>
                                    <w:rPr>
                                      <w:rFonts w:ascii="標楷體" w:eastAsia="標楷體" w:hAnsi="標楷體" w:cs="Arial"/>
                                      <w:kern w:val="0"/>
                                      <w:sz w:val="20"/>
                                      <w:szCs w:val="20"/>
                                    </w:rPr>
                                  </w:pPr>
                                  <w:r>
                                    <w:rPr>
                                      <w:rFonts w:ascii="標楷體" w:eastAsia="標楷體" w:hAnsi="標楷體" w:cs="Arial" w:hint="eastAsia"/>
                                      <w:kern w:val="0"/>
                                      <w:sz w:val="20"/>
                                      <w:szCs w:val="20"/>
                                    </w:rPr>
                                    <w:t>31－40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E1A56E7"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384C80A"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2.86</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7FB05AB"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64154962"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1FAD33C2"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2A75651"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0.72</w:t>
                                  </w:r>
                                </w:p>
                              </w:tc>
                            </w:tr>
                            <w:tr w:rsidR="008B713D" w14:paraId="31781F8E"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456DD0C9" w14:textId="77777777" w:rsidR="008B713D" w:rsidRDefault="008B713D">
                                  <w:pPr>
                                    <w:widowControl/>
                                    <w:spacing w:line="220" w:lineRule="exact"/>
                                    <w:ind w:leftChars="10" w:left="24"/>
                                    <w:rPr>
                                      <w:rFonts w:ascii="標楷體" w:eastAsia="標楷體" w:hAnsi="標楷體" w:cs="Arial"/>
                                      <w:kern w:val="0"/>
                                      <w:sz w:val="20"/>
                                      <w:szCs w:val="20"/>
                                    </w:rPr>
                                  </w:pPr>
                                  <w:r>
                                    <w:rPr>
                                      <w:rFonts w:ascii="標楷體" w:eastAsia="標楷體" w:hAnsi="標楷體" w:cs="Arial" w:hint="eastAsia"/>
                                      <w:kern w:val="0"/>
                                      <w:sz w:val="20"/>
                                      <w:szCs w:val="20"/>
                                    </w:rPr>
                                    <w:t>41－50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0EF85DD"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FEF36C5"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2.86</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3714E1FC"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2E3FCA"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hint="eastAsia"/>
                                      <w:color w:val="000000"/>
                                      <w:sz w:val="20"/>
                                      <w:szCs w:val="20"/>
                                    </w:rPr>
                                    <w:t>1.43</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451E78D"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552CC46B"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2.16</w:t>
                                  </w:r>
                                </w:p>
                              </w:tc>
                            </w:tr>
                            <w:tr w:rsidR="008B713D" w14:paraId="07D28908"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685F4687" w14:textId="77777777" w:rsidR="008B713D" w:rsidRDefault="008B713D">
                                  <w:pPr>
                                    <w:widowControl/>
                                    <w:spacing w:line="220" w:lineRule="exact"/>
                                    <w:ind w:leftChars="10" w:left="2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51－60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A218EDF"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6472D514"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46558D4"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F0D7A75"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hint="eastAsia"/>
                                      <w:color w:val="000000"/>
                                      <w:sz w:val="20"/>
                                      <w:szCs w:val="20"/>
                                    </w:rPr>
                                    <w:t>2.86</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31FB23F"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1205E944"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1.44</w:t>
                                  </w:r>
                                </w:p>
                              </w:tc>
                            </w:tr>
                            <w:tr w:rsidR="008B713D" w14:paraId="0F760EE9"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32DFBBA4" w14:textId="77777777" w:rsidR="008B713D" w:rsidRDefault="008B713D">
                                  <w:pPr>
                                    <w:widowControl/>
                                    <w:spacing w:line="220" w:lineRule="exact"/>
                                    <w:ind w:leftChars="10" w:left="2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61－70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4C2E6436"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AC73918"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2.86</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37E62084"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127A36C8"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5944D6D"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56B4655"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0.72</w:t>
                                  </w:r>
                                </w:p>
                              </w:tc>
                            </w:tr>
                            <w:tr w:rsidR="008B713D" w14:paraId="751DE46D"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3F26C6ED" w14:textId="77777777" w:rsidR="008B713D" w:rsidRDefault="008B713D">
                                  <w:pPr>
                                    <w:widowControl/>
                                    <w:spacing w:line="220" w:lineRule="exact"/>
                                    <w:ind w:leftChars="10" w:left="2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71－80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4DAA5A79"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1B5DAEC6"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4069B19"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3C78FEA0"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8CD1360"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3E6CF5C9"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8B713D" w14:paraId="37AB7C58"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16D12395" w14:textId="77777777" w:rsidR="008B713D" w:rsidRDefault="008B713D">
                                  <w:pPr>
                                    <w:widowControl/>
                                    <w:spacing w:line="220" w:lineRule="exact"/>
                                    <w:ind w:leftChars="10" w:left="2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81－90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04ED9E0"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1C0962E9"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F2433ED"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1AE8D62E"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16D5655"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0A9600DB"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8B713D" w14:paraId="0F706F1E"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48CE0AF1" w14:textId="77777777" w:rsidR="008B713D" w:rsidRDefault="008B713D">
                                  <w:pPr>
                                    <w:widowControl/>
                                    <w:spacing w:line="220" w:lineRule="exact"/>
                                    <w:ind w:leftChars="10" w:left="2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91－100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386AAA0"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004C8542"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12A0F33F"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43A06931"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BF05292"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D9CB249"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0.72</w:t>
                                  </w:r>
                                </w:p>
                              </w:tc>
                            </w:tr>
                            <w:tr w:rsidR="008B713D" w14:paraId="01C86B2E"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67638825" w14:textId="77777777" w:rsidR="008B713D" w:rsidRDefault="008B713D">
                                  <w:pPr>
                                    <w:widowControl/>
                                    <w:spacing w:line="220" w:lineRule="exact"/>
                                    <w:ind w:leftChars="10" w:left="24"/>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101以上</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06AE0C2"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3D7334"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5.71</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3796E22"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482B277"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1.43</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5056E34"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6174BE"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0.72</w:t>
                                  </w:r>
                                </w:p>
                              </w:tc>
                            </w:tr>
                          </w:tbl>
                          <w:p w14:paraId="00C46223" w14:textId="77777777" w:rsidR="008B713D" w:rsidRDefault="008B713D" w:rsidP="008B713D">
                            <w:pPr>
                              <w:spacing w:line="200" w:lineRule="exact"/>
                              <w:ind w:rightChars="-82" w:right="-197"/>
                              <w:rPr>
                                <w:rFonts w:ascii="標楷體" w:eastAsia="標楷體" w:hAnsi="標楷體" w:cs="Times New Roman"/>
                                <w:spacing w:val="-8"/>
                                <w:sz w:val="18"/>
                                <w:szCs w:val="18"/>
                              </w:rPr>
                            </w:pPr>
                            <w:proofErr w:type="gramStart"/>
                            <w:r>
                              <w:rPr>
                                <w:rFonts w:ascii="標楷體" w:eastAsia="標楷體" w:hAnsi="標楷體" w:hint="eastAsia"/>
                                <w:spacing w:val="-8"/>
                                <w:sz w:val="18"/>
                                <w:szCs w:val="18"/>
                              </w:rPr>
                              <w:t>註</w:t>
                            </w:r>
                            <w:proofErr w:type="gramEnd"/>
                            <w:r>
                              <w:rPr>
                                <w:rFonts w:ascii="標楷體" w:eastAsia="標楷體" w:hAnsi="標楷體" w:hint="eastAsia"/>
                                <w:spacing w:val="-8"/>
                                <w:sz w:val="18"/>
                                <w:szCs w:val="18"/>
                              </w:rPr>
                              <w:t>：1.資料統計區間為112學年度第2學期之點閱次數。</w:t>
                            </w:r>
                          </w:p>
                          <w:p w14:paraId="08F58275" w14:textId="77777777" w:rsidR="008B713D" w:rsidRDefault="008B713D" w:rsidP="008B713D">
                            <w:pPr>
                              <w:spacing w:line="200" w:lineRule="exact"/>
                              <w:ind w:firstLineChars="200" w:firstLine="328"/>
                              <w:rPr>
                                <w:rFonts w:ascii="標楷體" w:eastAsia="標楷體" w:hAnsi="標楷體"/>
                                <w:spacing w:val="-8"/>
                                <w:sz w:val="18"/>
                                <w:szCs w:val="18"/>
                              </w:rPr>
                            </w:pPr>
                            <w:r>
                              <w:rPr>
                                <w:rFonts w:ascii="標楷體" w:eastAsia="標楷體" w:hAnsi="標楷體" w:hint="eastAsia"/>
                                <w:spacing w:val="-8"/>
                                <w:sz w:val="18"/>
                                <w:szCs w:val="18"/>
                              </w:rPr>
                              <w:t>2.資料來源：整理自教育局提供資料。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5D7FCE" id="文字方塊 26" o:spid="_x0000_s1059" type="#_x0000_t202" style="position:absolute;left:0;text-align:left;margin-left:281.85pt;margin-top:485.4pt;width:218.55pt;height:214.5pt;z-index:251695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" stroked="f">
                <v:textbox>
                  <w:txbxContent>
                    <w:p w14:paraId="5D5EF19E" w14:textId="77777777" w:rsidR="008B713D" w:rsidRDefault="008B713D" w:rsidP="008B713D">
                      <w:pPr>
                        <w:spacing w:line="260" w:lineRule="exact"/>
                        <w:jc w:val="center"/>
                        <w:rPr>
                          <w:rFonts w:ascii="標楷體" w:eastAsia="標楷體" w:hAnsi="標楷體"/>
                          <w:b/>
                        </w:rPr>
                      </w:pPr>
                      <w:r>
                        <w:rPr>
                          <w:rFonts w:ascii="標楷體" w:eastAsia="標楷體" w:hAnsi="標楷體" w:hint="eastAsia"/>
                          <w:b/>
                        </w:rPr>
                        <w:t xml:space="preserve">表4　</w:t>
                      </w:r>
                      <w:proofErr w:type="gramStart"/>
                      <w:r>
                        <w:rPr>
                          <w:rFonts w:ascii="標楷體" w:eastAsia="標楷體" w:hAnsi="標楷體" w:hint="eastAsia"/>
                          <w:b/>
                        </w:rPr>
                        <w:t>酷課</w:t>
                      </w:r>
                      <w:proofErr w:type="gramEnd"/>
                      <w:r>
                        <w:rPr>
                          <w:rFonts w:ascii="標楷體" w:eastAsia="標楷體" w:hAnsi="標楷體" w:hint="eastAsia"/>
                          <w:b/>
                        </w:rPr>
                        <w:t>APP－課堂工具點閱情形</w:t>
                      </w:r>
                    </w:p>
                    <w:p w14:paraId="1E681837" w14:textId="77777777" w:rsidR="008B713D" w:rsidRDefault="008B713D" w:rsidP="008B713D">
                      <w:pPr>
                        <w:spacing w:line="220" w:lineRule="exact"/>
                        <w:jc w:val="right"/>
                        <w:rPr>
                          <w:rFonts w:ascii="標楷體" w:eastAsia="標楷體" w:hAnsi="標楷體"/>
                          <w:sz w:val="20"/>
                          <w:szCs w:val="20"/>
                        </w:rPr>
                      </w:pPr>
                      <w:r>
                        <w:rPr>
                          <w:rFonts w:ascii="標楷體" w:eastAsia="標楷體" w:hAnsi="標楷體" w:hint="eastAsia"/>
                          <w:sz w:val="20"/>
                          <w:szCs w:val="20"/>
                        </w:rPr>
                        <w:t>單位：校、％</w:t>
                      </w:r>
                    </w:p>
                    <w:tbl>
                      <w:tblPr>
                        <w:tblW w:w="4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49"/>
                        <w:gridCol w:w="510"/>
                        <w:gridCol w:w="567"/>
                        <w:gridCol w:w="510"/>
                        <w:gridCol w:w="567"/>
                        <w:gridCol w:w="510"/>
                        <w:gridCol w:w="567"/>
                      </w:tblGrid>
                      <w:tr w:rsidR="008B713D" w14:paraId="21179DCD" w14:textId="77777777">
                        <w:trPr>
                          <w:trHeight w:val="149"/>
                        </w:trPr>
                        <w:tc>
                          <w:tcPr>
                            <w:tcW w:w="850" w:type="dxa"/>
                            <w:vMerge w:val="restart"/>
                            <w:tcBorders>
                              <w:top w:val="single" w:sz="4" w:space="0" w:color="auto"/>
                              <w:left w:val="single" w:sz="4" w:space="0" w:color="auto"/>
                              <w:bottom w:val="single" w:sz="4" w:space="0" w:color="auto"/>
                              <w:right w:val="single" w:sz="4" w:space="0" w:color="auto"/>
                            </w:tcBorders>
                            <w:noWrap/>
                            <w:vAlign w:val="center"/>
                            <w:hideMark/>
                          </w:tcPr>
                          <w:p w14:paraId="1A75A9FC" w14:textId="77777777" w:rsidR="008B713D" w:rsidRDefault="008B713D">
                            <w:pPr>
                              <w:widowControl/>
                              <w:spacing w:line="220" w:lineRule="exact"/>
                              <w:ind w:rightChars="-10" w:right="-24"/>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點閱次數</w:t>
                            </w:r>
                          </w:p>
                        </w:tc>
                        <w:tc>
                          <w:tcPr>
                            <w:tcW w:w="1077" w:type="dxa"/>
                            <w:gridSpan w:val="2"/>
                            <w:tcBorders>
                              <w:top w:val="single" w:sz="4" w:space="0" w:color="auto"/>
                              <w:left w:val="single" w:sz="4" w:space="0" w:color="auto"/>
                              <w:bottom w:val="single" w:sz="4" w:space="0" w:color="auto"/>
                              <w:right w:val="single" w:sz="4" w:space="0" w:color="auto"/>
                            </w:tcBorders>
                            <w:noWrap/>
                            <w:vAlign w:val="bottom"/>
                            <w:hideMark/>
                          </w:tcPr>
                          <w:p w14:paraId="2F06DE46" w14:textId="77777777" w:rsidR="008B713D" w:rsidRDefault="008B713D">
                            <w:pPr>
                              <w:widowControl/>
                              <w:spacing w:line="220" w:lineRule="exact"/>
                              <w:ind w:rightChars="-10" w:right="-24"/>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高中（職）</w:t>
                            </w:r>
                          </w:p>
                        </w:tc>
                        <w:tc>
                          <w:tcPr>
                            <w:tcW w:w="1077" w:type="dxa"/>
                            <w:gridSpan w:val="2"/>
                            <w:tcBorders>
                              <w:top w:val="single" w:sz="4" w:space="0" w:color="auto"/>
                              <w:left w:val="single" w:sz="4" w:space="0" w:color="auto"/>
                              <w:bottom w:val="single" w:sz="4" w:space="0" w:color="auto"/>
                              <w:right w:val="single" w:sz="4" w:space="0" w:color="auto"/>
                            </w:tcBorders>
                            <w:noWrap/>
                            <w:vAlign w:val="bottom"/>
                            <w:hideMark/>
                          </w:tcPr>
                          <w:p w14:paraId="3589DFF9" w14:textId="77777777" w:rsidR="008B713D" w:rsidRDefault="008B713D">
                            <w:pPr>
                              <w:widowControl/>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國中</w:t>
                            </w:r>
                          </w:p>
                        </w:tc>
                        <w:tc>
                          <w:tcPr>
                            <w:tcW w:w="1077" w:type="dxa"/>
                            <w:gridSpan w:val="2"/>
                            <w:tcBorders>
                              <w:top w:val="single" w:sz="4" w:space="0" w:color="auto"/>
                              <w:left w:val="single" w:sz="4" w:space="0" w:color="auto"/>
                              <w:bottom w:val="single" w:sz="4" w:space="0" w:color="auto"/>
                              <w:right w:val="single" w:sz="4" w:space="0" w:color="auto"/>
                            </w:tcBorders>
                            <w:noWrap/>
                            <w:vAlign w:val="bottom"/>
                            <w:hideMark/>
                          </w:tcPr>
                          <w:p w14:paraId="0562244F" w14:textId="77777777" w:rsidR="008B713D" w:rsidRDefault="008B713D">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國小</w:t>
                            </w:r>
                          </w:p>
                        </w:tc>
                      </w:tr>
                      <w:tr w:rsidR="008B713D" w14:paraId="28D0911B" w14:textId="77777777">
                        <w:trPr>
                          <w:trHeight w:val="149"/>
                        </w:trPr>
                        <w:tc>
                          <w:tcPr>
                            <w:tcW w:w="850" w:type="dxa"/>
                            <w:vMerge/>
                            <w:tcBorders>
                              <w:top w:val="single" w:sz="4" w:space="0" w:color="auto"/>
                              <w:left w:val="single" w:sz="4" w:space="0" w:color="auto"/>
                              <w:bottom w:val="single" w:sz="4" w:space="0" w:color="auto"/>
                              <w:right w:val="single" w:sz="4" w:space="0" w:color="auto"/>
                            </w:tcBorders>
                            <w:vAlign w:val="center"/>
                            <w:hideMark/>
                          </w:tcPr>
                          <w:p w14:paraId="220D96AB" w14:textId="77777777" w:rsidR="008B713D" w:rsidRDefault="008B713D">
                            <w:pPr>
                              <w:widowControl/>
                              <w:rPr>
                                <w:rFonts w:ascii="標楷體" w:eastAsia="標楷體" w:hAnsi="標楷體" w:cs="新細明體"/>
                                <w:color w:val="000000"/>
                                <w:kern w:val="0"/>
                                <w:sz w:val="20"/>
                                <w:szCs w:val="20"/>
                              </w:rPr>
                            </w:pP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E59E5C0" w14:textId="77777777" w:rsidR="008B713D" w:rsidRDefault="008B713D">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校數</w:t>
                            </w:r>
                          </w:p>
                        </w:tc>
                        <w:tc>
                          <w:tcPr>
                            <w:tcW w:w="567" w:type="dxa"/>
                            <w:tcBorders>
                              <w:top w:val="single" w:sz="4" w:space="0" w:color="auto"/>
                              <w:left w:val="single" w:sz="4" w:space="0" w:color="auto"/>
                              <w:bottom w:val="single" w:sz="4" w:space="0" w:color="auto"/>
                              <w:right w:val="single" w:sz="4" w:space="0" w:color="auto"/>
                            </w:tcBorders>
                            <w:vAlign w:val="bottom"/>
                            <w:hideMark/>
                          </w:tcPr>
                          <w:p w14:paraId="59CFE977" w14:textId="77777777" w:rsidR="008B713D" w:rsidRDefault="008B713D">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183C57AB" w14:textId="77777777" w:rsidR="008B713D" w:rsidRDefault="008B713D">
                            <w:pPr>
                              <w:widowControl/>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校數</w:t>
                            </w:r>
                          </w:p>
                        </w:tc>
                        <w:tc>
                          <w:tcPr>
                            <w:tcW w:w="567" w:type="dxa"/>
                            <w:tcBorders>
                              <w:top w:val="single" w:sz="4" w:space="0" w:color="auto"/>
                              <w:left w:val="single" w:sz="4" w:space="0" w:color="auto"/>
                              <w:bottom w:val="single" w:sz="4" w:space="0" w:color="auto"/>
                              <w:right w:val="single" w:sz="4" w:space="0" w:color="auto"/>
                            </w:tcBorders>
                            <w:vAlign w:val="bottom"/>
                            <w:hideMark/>
                          </w:tcPr>
                          <w:p w14:paraId="5DFC0200" w14:textId="77777777" w:rsidR="008B713D" w:rsidRDefault="008B713D">
                            <w:pPr>
                              <w:widowControl/>
                              <w:spacing w:line="220" w:lineRule="exact"/>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占比</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7E5B3C3" w14:textId="77777777" w:rsidR="008B713D" w:rsidRDefault="008B713D">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校數</w:t>
                            </w:r>
                          </w:p>
                        </w:tc>
                        <w:tc>
                          <w:tcPr>
                            <w:tcW w:w="567" w:type="dxa"/>
                            <w:tcBorders>
                              <w:top w:val="single" w:sz="4" w:space="0" w:color="auto"/>
                              <w:left w:val="single" w:sz="4" w:space="0" w:color="auto"/>
                              <w:bottom w:val="single" w:sz="4" w:space="0" w:color="auto"/>
                              <w:right w:val="single" w:sz="4" w:space="0" w:color="auto"/>
                            </w:tcBorders>
                            <w:vAlign w:val="bottom"/>
                            <w:hideMark/>
                          </w:tcPr>
                          <w:p w14:paraId="322DF9B0" w14:textId="77777777" w:rsidR="008B713D" w:rsidRDefault="008B713D">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占比</w:t>
                            </w:r>
                          </w:p>
                        </w:tc>
                      </w:tr>
                      <w:tr w:rsidR="008B713D" w14:paraId="5C886FD6"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645B8D2D" w14:textId="77777777" w:rsidR="008B713D" w:rsidRDefault="008B713D">
                            <w:pPr>
                              <w:widowControl/>
                              <w:spacing w:line="220" w:lineRule="exact"/>
                              <w:ind w:leftChars="10" w:left="24"/>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未使用</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743E56B"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2C50D30"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8.57</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C97EA0B"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17</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FA685C"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hint="eastAsia"/>
                                <w:color w:val="000000"/>
                                <w:sz w:val="20"/>
                                <w:szCs w:val="20"/>
                              </w:rPr>
                              <w:t>24.29</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33826C63"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33</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84D913"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23.74</w:t>
                            </w:r>
                          </w:p>
                        </w:tc>
                      </w:tr>
                      <w:tr w:rsidR="008B713D" w14:paraId="2F6A8964"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79375EF2" w14:textId="77777777" w:rsidR="008B713D" w:rsidRDefault="008B713D">
                            <w:pPr>
                              <w:widowControl/>
                              <w:spacing w:line="220" w:lineRule="exact"/>
                              <w:ind w:leftChars="10" w:left="24"/>
                              <w:rPr>
                                <w:rFonts w:ascii="標楷體" w:eastAsia="標楷體" w:hAnsi="標楷體" w:cs="Arial"/>
                                <w:kern w:val="0"/>
                                <w:sz w:val="20"/>
                                <w:szCs w:val="20"/>
                              </w:rPr>
                            </w:pPr>
                            <w:r>
                              <w:rPr>
                                <w:rFonts w:ascii="標楷體" w:eastAsia="標楷體" w:hAnsi="標楷體" w:cs="Arial" w:hint="eastAsia"/>
                                <w:kern w:val="0"/>
                                <w:sz w:val="20"/>
                                <w:szCs w:val="20"/>
                              </w:rPr>
                              <w:t>10以下</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5C4273EE"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C6661C6"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40.00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EC1F3D8"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43</w:t>
                            </w:r>
                          </w:p>
                        </w:tc>
                        <w:tc>
                          <w:tcPr>
                            <w:tcW w:w="567" w:type="dxa"/>
                            <w:tcBorders>
                              <w:top w:val="single" w:sz="4" w:space="0" w:color="auto"/>
                              <w:left w:val="single" w:sz="4" w:space="0" w:color="auto"/>
                              <w:bottom w:val="single" w:sz="4" w:space="0" w:color="auto"/>
                              <w:right w:val="single" w:sz="4" w:space="0" w:color="auto"/>
                            </w:tcBorders>
                            <w:vAlign w:val="center"/>
                            <w:hideMark/>
                          </w:tcPr>
                          <w:p w14:paraId="71B49CAD"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61.43</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38EB98C0"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78</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4FD9FD"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56.12</w:t>
                            </w:r>
                          </w:p>
                        </w:tc>
                      </w:tr>
                      <w:tr w:rsidR="008B713D" w14:paraId="0952D0A0"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252589F0" w14:textId="77777777" w:rsidR="008B713D" w:rsidRDefault="008B713D">
                            <w:pPr>
                              <w:widowControl/>
                              <w:spacing w:line="220" w:lineRule="exact"/>
                              <w:ind w:leftChars="10" w:left="24"/>
                              <w:rPr>
                                <w:rFonts w:ascii="標楷體" w:eastAsia="標楷體" w:hAnsi="標楷體" w:cs="Arial"/>
                                <w:kern w:val="0"/>
                                <w:sz w:val="20"/>
                                <w:szCs w:val="20"/>
                              </w:rPr>
                            </w:pPr>
                            <w:r>
                              <w:rPr>
                                <w:rFonts w:ascii="標楷體" w:eastAsia="標楷體" w:hAnsi="標楷體" w:cs="Arial" w:hint="eastAsia"/>
                                <w:kern w:val="0"/>
                                <w:sz w:val="20"/>
                                <w:szCs w:val="20"/>
                              </w:rPr>
                              <w:t>11－20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C29700A"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BBFDC8"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25.71</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6303CCCD"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6</w:t>
                            </w:r>
                          </w:p>
                        </w:tc>
                        <w:tc>
                          <w:tcPr>
                            <w:tcW w:w="567" w:type="dxa"/>
                            <w:tcBorders>
                              <w:top w:val="single" w:sz="4" w:space="0" w:color="auto"/>
                              <w:left w:val="single" w:sz="4" w:space="0" w:color="auto"/>
                              <w:bottom w:val="single" w:sz="4" w:space="0" w:color="auto"/>
                              <w:right w:val="single" w:sz="4" w:space="0" w:color="auto"/>
                            </w:tcBorders>
                            <w:vAlign w:val="center"/>
                            <w:hideMark/>
                          </w:tcPr>
                          <w:p w14:paraId="23D4CAF0"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hint="eastAsia"/>
                                <w:color w:val="000000"/>
                                <w:sz w:val="20"/>
                                <w:szCs w:val="20"/>
                              </w:rPr>
                              <w:t>8.57</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357A1355"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7447BEC"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10.07</w:t>
                            </w:r>
                          </w:p>
                        </w:tc>
                      </w:tr>
                      <w:tr w:rsidR="008B713D" w14:paraId="581A6C97"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491A2CF7" w14:textId="77777777" w:rsidR="008B713D" w:rsidRDefault="008B713D">
                            <w:pPr>
                              <w:widowControl/>
                              <w:spacing w:line="220" w:lineRule="exact"/>
                              <w:ind w:leftChars="10" w:left="24"/>
                              <w:rPr>
                                <w:rFonts w:ascii="標楷體" w:eastAsia="標楷體" w:hAnsi="標楷體" w:cs="Arial"/>
                                <w:kern w:val="0"/>
                                <w:sz w:val="20"/>
                                <w:szCs w:val="20"/>
                              </w:rPr>
                            </w:pPr>
                            <w:r>
                              <w:rPr>
                                <w:rFonts w:ascii="標楷體" w:eastAsia="標楷體" w:hAnsi="標楷體" w:cs="Arial" w:hint="eastAsia"/>
                                <w:kern w:val="0"/>
                                <w:sz w:val="20"/>
                                <w:szCs w:val="20"/>
                              </w:rPr>
                              <w:t>21－30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C3BEB55"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1BFC90F"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11.43</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65913298"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0E4ECBA9"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FE7CF15"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005DC6"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3.60</w:t>
                            </w:r>
                          </w:p>
                        </w:tc>
                      </w:tr>
                      <w:tr w:rsidR="008B713D" w14:paraId="78A74E25"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08C4B9D8" w14:textId="77777777" w:rsidR="008B713D" w:rsidRDefault="008B713D">
                            <w:pPr>
                              <w:widowControl/>
                              <w:spacing w:line="220" w:lineRule="exact"/>
                              <w:ind w:leftChars="10" w:left="24"/>
                              <w:rPr>
                                <w:rFonts w:ascii="標楷體" w:eastAsia="標楷體" w:hAnsi="標楷體" w:cs="Arial"/>
                                <w:kern w:val="0"/>
                                <w:sz w:val="20"/>
                                <w:szCs w:val="20"/>
                              </w:rPr>
                            </w:pPr>
                            <w:r>
                              <w:rPr>
                                <w:rFonts w:ascii="標楷體" w:eastAsia="標楷體" w:hAnsi="標楷體" w:cs="Arial" w:hint="eastAsia"/>
                                <w:kern w:val="0"/>
                                <w:sz w:val="20"/>
                                <w:szCs w:val="20"/>
                              </w:rPr>
                              <w:t>31－40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E1A56E7"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384C80A"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2.86</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7FB05AB"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64154962"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1FAD33C2"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2A75651"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0.72</w:t>
                            </w:r>
                          </w:p>
                        </w:tc>
                      </w:tr>
                      <w:tr w:rsidR="008B713D" w14:paraId="31781F8E"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456DD0C9" w14:textId="77777777" w:rsidR="008B713D" w:rsidRDefault="008B713D">
                            <w:pPr>
                              <w:widowControl/>
                              <w:spacing w:line="220" w:lineRule="exact"/>
                              <w:ind w:leftChars="10" w:left="24"/>
                              <w:rPr>
                                <w:rFonts w:ascii="標楷體" w:eastAsia="標楷體" w:hAnsi="標楷體" w:cs="Arial"/>
                                <w:kern w:val="0"/>
                                <w:sz w:val="20"/>
                                <w:szCs w:val="20"/>
                              </w:rPr>
                            </w:pPr>
                            <w:r>
                              <w:rPr>
                                <w:rFonts w:ascii="標楷體" w:eastAsia="標楷體" w:hAnsi="標楷體" w:cs="Arial" w:hint="eastAsia"/>
                                <w:kern w:val="0"/>
                                <w:sz w:val="20"/>
                                <w:szCs w:val="20"/>
                              </w:rPr>
                              <w:t>41－50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0EF85DD"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FEF36C5"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2.86</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3714E1FC"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2E3FCA"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hint="eastAsia"/>
                                <w:color w:val="000000"/>
                                <w:sz w:val="20"/>
                                <w:szCs w:val="20"/>
                              </w:rPr>
                              <w:t>1.43</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451E78D"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552CC46B"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2.16</w:t>
                            </w:r>
                          </w:p>
                        </w:tc>
                      </w:tr>
                      <w:tr w:rsidR="008B713D" w14:paraId="07D28908"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685F4687" w14:textId="77777777" w:rsidR="008B713D" w:rsidRDefault="008B713D">
                            <w:pPr>
                              <w:widowControl/>
                              <w:spacing w:line="220" w:lineRule="exact"/>
                              <w:ind w:leftChars="10" w:left="2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51－60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A218EDF"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6472D514"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46558D4" w14:textId="77777777" w:rsidR="008B713D" w:rsidRDefault="008B713D">
                            <w:pPr>
                              <w:widowControl/>
                              <w:spacing w:line="220" w:lineRule="exact"/>
                              <w:jc w:val="right"/>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F0D7A75" w14:textId="77777777" w:rsidR="008B713D" w:rsidRDefault="008B713D">
                            <w:pPr>
                              <w:spacing w:line="220" w:lineRule="exact"/>
                              <w:jc w:val="right"/>
                              <w:rPr>
                                <w:rFonts w:ascii="標楷體" w:eastAsia="標楷體" w:hAnsi="標楷體" w:cs="新細明體"/>
                                <w:bCs/>
                                <w:color w:val="000000"/>
                                <w:kern w:val="0"/>
                                <w:sz w:val="20"/>
                                <w:szCs w:val="20"/>
                              </w:rPr>
                            </w:pPr>
                            <w:r>
                              <w:rPr>
                                <w:rFonts w:ascii="標楷體" w:eastAsia="標楷體" w:hAnsi="標楷體" w:hint="eastAsia"/>
                                <w:color w:val="000000"/>
                                <w:sz w:val="20"/>
                                <w:szCs w:val="20"/>
                              </w:rPr>
                              <w:t>2.86</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31FB23F"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1205E944"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1.44</w:t>
                            </w:r>
                          </w:p>
                        </w:tc>
                      </w:tr>
                      <w:tr w:rsidR="008B713D" w14:paraId="0F760EE9"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32DFBBA4" w14:textId="77777777" w:rsidR="008B713D" w:rsidRDefault="008B713D">
                            <w:pPr>
                              <w:widowControl/>
                              <w:spacing w:line="220" w:lineRule="exact"/>
                              <w:ind w:leftChars="10" w:left="2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61－70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4C2E6436"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AC73918"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2.86</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37E62084"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127A36C8"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5944D6D"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56B4655"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0.72</w:t>
                            </w:r>
                          </w:p>
                        </w:tc>
                      </w:tr>
                      <w:tr w:rsidR="008B713D" w14:paraId="751DE46D"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3F26C6ED" w14:textId="77777777" w:rsidR="008B713D" w:rsidRDefault="008B713D">
                            <w:pPr>
                              <w:widowControl/>
                              <w:spacing w:line="220" w:lineRule="exact"/>
                              <w:ind w:leftChars="10" w:left="2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71－80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4DAA5A79"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1B5DAEC6"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4069B19"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3C78FEA0"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8CD1360"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3E6CF5C9"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8B713D" w14:paraId="37AB7C58"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16D12395" w14:textId="77777777" w:rsidR="008B713D" w:rsidRDefault="008B713D">
                            <w:pPr>
                              <w:widowControl/>
                              <w:spacing w:line="220" w:lineRule="exact"/>
                              <w:ind w:leftChars="10" w:left="2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81－90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04ED9E0"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1C0962E9"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F2433ED"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1AE8D62E"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16D5655"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0A9600DB"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8B713D" w14:paraId="0F706F1E"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48CE0AF1" w14:textId="77777777" w:rsidR="008B713D" w:rsidRDefault="008B713D">
                            <w:pPr>
                              <w:widowControl/>
                              <w:spacing w:line="220" w:lineRule="exact"/>
                              <w:ind w:leftChars="10" w:left="24"/>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91－100</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2386AAA0"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004C8542"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12A0F33F"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67" w:type="dxa"/>
                            <w:tcBorders>
                              <w:top w:val="single" w:sz="4" w:space="0" w:color="auto"/>
                              <w:left w:val="single" w:sz="4" w:space="0" w:color="auto"/>
                              <w:bottom w:val="single" w:sz="4" w:space="0" w:color="auto"/>
                              <w:right w:val="single" w:sz="4" w:space="0" w:color="auto"/>
                            </w:tcBorders>
                            <w:vAlign w:val="bottom"/>
                            <w:hideMark/>
                          </w:tcPr>
                          <w:p w14:paraId="43A06931"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BF05292"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D9CB249"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0.72</w:t>
                            </w:r>
                          </w:p>
                        </w:tc>
                      </w:tr>
                      <w:tr w:rsidR="008B713D" w14:paraId="01C86B2E" w14:textId="77777777">
                        <w:trPr>
                          <w:trHeight w:val="170"/>
                        </w:trPr>
                        <w:tc>
                          <w:tcPr>
                            <w:tcW w:w="850" w:type="dxa"/>
                            <w:tcBorders>
                              <w:top w:val="single" w:sz="4" w:space="0" w:color="auto"/>
                              <w:left w:val="single" w:sz="4" w:space="0" w:color="auto"/>
                              <w:bottom w:val="single" w:sz="4" w:space="0" w:color="auto"/>
                              <w:right w:val="single" w:sz="4" w:space="0" w:color="auto"/>
                            </w:tcBorders>
                            <w:noWrap/>
                            <w:vAlign w:val="bottom"/>
                            <w:hideMark/>
                          </w:tcPr>
                          <w:p w14:paraId="67638825" w14:textId="77777777" w:rsidR="008B713D" w:rsidRDefault="008B713D">
                            <w:pPr>
                              <w:widowControl/>
                              <w:spacing w:line="220" w:lineRule="exact"/>
                              <w:ind w:leftChars="10" w:left="24"/>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101以上</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706AE0C2"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3D7334"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5.71</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3796E22"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482B277"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1.43</w:t>
                            </w:r>
                          </w:p>
                        </w:tc>
                        <w:tc>
                          <w:tcPr>
                            <w:tcW w:w="510" w:type="dxa"/>
                            <w:tcBorders>
                              <w:top w:val="single" w:sz="4" w:space="0" w:color="auto"/>
                              <w:left w:val="single" w:sz="4" w:space="0" w:color="auto"/>
                              <w:bottom w:val="single" w:sz="4" w:space="0" w:color="auto"/>
                              <w:right w:val="single" w:sz="4" w:space="0" w:color="auto"/>
                            </w:tcBorders>
                            <w:noWrap/>
                            <w:vAlign w:val="bottom"/>
                            <w:hideMark/>
                          </w:tcPr>
                          <w:p w14:paraId="05056E34" w14:textId="77777777" w:rsidR="008B713D" w:rsidRDefault="008B713D">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6174BE" w14:textId="77777777" w:rsidR="008B713D" w:rsidRDefault="008B713D">
                            <w:pPr>
                              <w:spacing w:line="220" w:lineRule="exact"/>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0.72</w:t>
                            </w:r>
                          </w:p>
                        </w:tc>
                      </w:tr>
                    </w:tbl>
                    <w:p w14:paraId="00C46223" w14:textId="77777777" w:rsidR="008B713D" w:rsidRDefault="008B713D" w:rsidP="008B713D">
                      <w:pPr>
                        <w:spacing w:line="200" w:lineRule="exact"/>
                        <w:ind w:rightChars="-82" w:right="-197"/>
                        <w:rPr>
                          <w:rFonts w:ascii="標楷體" w:eastAsia="標楷體" w:hAnsi="標楷體" w:cs="Times New Roman"/>
                          <w:spacing w:val="-8"/>
                          <w:sz w:val="18"/>
                          <w:szCs w:val="18"/>
                        </w:rPr>
                      </w:pPr>
                      <w:proofErr w:type="gramStart"/>
                      <w:r>
                        <w:rPr>
                          <w:rFonts w:ascii="標楷體" w:eastAsia="標楷體" w:hAnsi="標楷體" w:hint="eastAsia"/>
                          <w:spacing w:val="-8"/>
                          <w:sz w:val="18"/>
                          <w:szCs w:val="18"/>
                        </w:rPr>
                        <w:t>註</w:t>
                      </w:r>
                      <w:proofErr w:type="gramEnd"/>
                      <w:r>
                        <w:rPr>
                          <w:rFonts w:ascii="標楷體" w:eastAsia="標楷體" w:hAnsi="標楷體" w:hint="eastAsia"/>
                          <w:spacing w:val="-8"/>
                          <w:sz w:val="18"/>
                          <w:szCs w:val="18"/>
                        </w:rPr>
                        <w:t>：1.資料統計區間為112學年度第2學期之點閱次數。</w:t>
                      </w:r>
                    </w:p>
                    <w:p w14:paraId="08F58275" w14:textId="77777777" w:rsidR="008B713D" w:rsidRDefault="008B713D" w:rsidP="008B713D">
                      <w:pPr>
                        <w:spacing w:line="200" w:lineRule="exact"/>
                        <w:ind w:firstLineChars="200" w:firstLine="328"/>
                        <w:rPr>
                          <w:rFonts w:ascii="標楷體" w:eastAsia="標楷體" w:hAnsi="標楷體"/>
                          <w:spacing w:val="-8"/>
                          <w:sz w:val="18"/>
                          <w:szCs w:val="18"/>
                        </w:rPr>
                      </w:pPr>
                      <w:r>
                        <w:rPr>
                          <w:rFonts w:ascii="標楷體" w:eastAsia="標楷體" w:hAnsi="標楷體" w:hint="eastAsia"/>
                          <w:spacing w:val="-8"/>
                          <w:sz w:val="18"/>
                          <w:szCs w:val="18"/>
                        </w:rPr>
                        <w:t>2.資料來源：整理自教育局提供資料。</w:t>
                      </w:r>
                    </w:p>
                  </w:txbxContent>
                </v:textbox>
                <w10:wrap type="square" anchorx="margin"/>
              </v:shape>
            </w:pict>
          </mc:Fallback>
        </mc:AlternateContent>
      </w:r>
      <w:r>
        <w:rPr>
          <w:rFonts w:hint="eastAsia"/>
          <w:noProof/>
        </w:rPr>
        <mc:AlternateContent>
          <mc:Choice Requires="wps">
            <w:drawing>
              <wp:anchor distT="45720" distB="45720" distL="114300" distR="114300" simplePos="0" relativeHeight="251700224" behindDoc="1" locked="0" layoutInCell="1" allowOverlap="1" wp14:anchorId="72C57D1C" wp14:editId="1B09EC7E">
                <wp:simplePos x="0" y="0"/>
                <wp:positionH relativeFrom="margin">
                  <wp:posOffset>3371850</wp:posOffset>
                </wp:positionH>
                <wp:positionV relativeFrom="paragraph">
                  <wp:posOffset>1509168</wp:posOffset>
                </wp:positionV>
                <wp:extent cx="2915920" cy="2091055"/>
                <wp:effectExtent l="0" t="0" r="0" b="4445"/>
                <wp:wrapTight wrapText="bothSides">
                  <wp:wrapPolygon edited="0">
                    <wp:start x="0" y="0"/>
                    <wp:lineTo x="0" y="21449"/>
                    <wp:lineTo x="21449" y="21449"/>
                    <wp:lineTo x="21449" y="0"/>
                    <wp:lineTo x="0" y="0"/>
                  </wp:wrapPolygon>
                </wp:wrapTight>
                <wp:docPr id="600993193" name="文字方塊 6009931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5920" cy="2091055"/>
                        </a:xfrm>
                        <a:prstGeom prst="rect">
                          <a:avLst/>
                        </a:prstGeom>
                        <a:solidFill>
                          <a:srgbClr val="FFFFFF"/>
                        </a:solidFill>
                        <a:ln w="9525">
                          <a:noFill/>
                          <a:miter lim="800000"/>
                          <a:headEnd/>
                          <a:tailEnd/>
                        </a:ln>
                      </wps:spPr>
                      <wps:txbx>
                        <w:txbxContent>
                          <w:p w14:paraId="5930050E" w14:textId="77777777" w:rsidR="008B713D" w:rsidRDefault="008B713D" w:rsidP="008B713D">
                            <w:pPr>
                              <w:spacing w:line="240" w:lineRule="exact"/>
                              <w:ind w:left="673" w:hangingChars="280" w:hanging="673"/>
                              <w:rPr>
                                <w:rFonts w:ascii="標楷體" w:eastAsia="標楷體" w:hAnsi="標楷體"/>
                                <w:b/>
                              </w:rPr>
                            </w:pPr>
                            <w:r>
                              <w:rPr>
                                <w:rFonts w:ascii="標楷體" w:eastAsia="標楷體" w:hAnsi="標楷體" w:hint="eastAsia"/>
                                <w:b/>
                              </w:rPr>
                              <w:t>表3　臺北市立高中職以下學校</w:t>
                            </w:r>
                            <w:proofErr w:type="gramStart"/>
                            <w:r>
                              <w:rPr>
                                <w:rFonts w:ascii="標楷體" w:eastAsia="標楷體" w:hAnsi="標楷體" w:hint="eastAsia"/>
                                <w:b/>
                              </w:rPr>
                              <w:t>推廣酷課</w:t>
                            </w:r>
                            <w:proofErr w:type="gramEnd"/>
                            <w:r>
                              <w:rPr>
                                <w:rFonts w:ascii="標楷體" w:eastAsia="標楷體" w:hAnsi="標楷體" w:hint="eastAsia"/>
                                <w:b/>
                              </w:rPr>
                              <w:t>APP親子帳號綁定情形</w:t>
                            </w:r>
                          </w:p>
                          <w:p w14:paraId="223EDB28" w14:textId="77777777" w:rsidR="008B713D" w:rsidRDefault="008B713D" w:rsidP="008B713D">
                            <w:pPr>
                              <w:spacing w:line="200" w:lineRule="exact"/>
                              <w:ind w:rightChars="-45" w:right="-108"/>
                              <w:jc w:val="right"/>
                              <w:rPr>
                                <w:rFonts w:ascii="標楷體" w:eastAsia="標楷體" w:hAnsi="標楷體"/>
                                <w:sz w:val="20"/>
                                <w:szCs w:val="20"/>
                              </w:rPr>
                            </w:pPr>
                            <w:r>
                              <w:rPr>
                                <w:rFonts w:ascii="標楷體" w:eastAsia="標楷體" w:hAnsi="標楷體" w:hint="eastAsia"/>
                                <w:sz w:val="20"/>
                                <w:szCs w:val="20"/>
                              </w:rPr>
                              <w:t>單位：校、％</w:t>
                            </w:r>
                          </w:p>
                          <w:tbl>
                            <w:tblPr>
                              <w:tblStyle w:val="a6"/>
                              <w:tblW w:w="4515" w:type="dxa"/>
                              <w:jc w:val="center"/>
                              <w:tblLayout w:type="fixed"/>
                              <w:tblCellMar>
                                <w:left w:w="28" w:type="dxa"/>
                                <w:right w:w="28" w:type="dxa"/>
                              </w:tblCellMar>
                              <w:tblLook w:val="04A0" w:firstRow="1" w:lastRow="0" w:firstColumn="1" w:lastColumn="0" w:noHBand="0" w:noVBand="1"/>
                            </w:tblPr>
                            <w:tblGrid>
                              <w:gridCol w:w="511"/>
                              <w:gridCol w:w="1192"/>
                              <w:gridCol w:w="680"/>
                              <w:gridCol w:w="884"/>
                              <w:gridCol w:w="624"/>
                              <w:gridCol w:w="624"/>
                            </w:tblGrid>
                            <w:tr w:rsidR="008B713D" w14:paraId="34666A46" w14:textId="77777777">
                              <w:trPr>
                                <w:trHeight w:val="170"/>
                                <w:jc w:val="center"/>
                              </w:trPr>
                              <w:tc>
                                <w:tcPr>
                                  <w:tcW w:w="1701" w:type="dxa"/>
                                  <w:gridSpan w:val="2"/>
                                  <w:tcBorders>
                                    <w:top w:val="single" w:sz="4" w:space="0" w:color="auto"/>
                                    <w:left w:val="single" w:sz="4" w:space="0" w:color="auto"/>
                                    <w:bottom w:val="single" w:sz="4" w:space="0" w:color="auto"/>
                                    <w:right w:val="single" w:sz="4" w:space="0" w:color="auto"/>
                                  </w:tcBorders>
                                  <w:noWrap/>
                                  <w:hideMark/>
                                </w:tcPr>
                                <w:p w14:paraId="606A44AD" w14:textId="77777777" w:rsidR="008B713D" w:rsidRDefault="008B713D">
                                  <w:pPr>
                                    <w:spacing w:line="220" w:lineRule="exact"/>
                                    <w:jc w:val="center"/>
                                    <w:rPr>
                                      <w:rFonts w:ascii="標楷體" w:eastAsia="標楷體" w:hAnsi="標楷體"/>
                                    </w:rPr>
                                  </w:pPr>
                                  <w:proofErr w:type="gramStart"/>
                                  <w:r>
                                    <w:rPr>
                                      <w:rFonts w:ascii="標楷體" w:eastAsia="標楷體" w:hAnsi="標楷體" w:hint="eastAsia"/>
                                    </w:rPr>
                                    <w:t>學層</w:t>
                                  </w:r>
                                  <w:proofErr w:type="gramEnd"/>
                                </w:p>
                              </w:tc>
                              <w:tc>
                                <w:tcPr>
                                  <w:tcW w:w="680" w:type="dxa"/>
                                  <w:tcBorders>
                                    <w:top w:val="single" w:sz="4" w:space="0" w:color="auto"/>
                                    <w:left w:val="single" w:sz="4" w:space="0" w:color="auto"/>
                                    <w:bottom w:val="single" w:sz="4" w:space="0" w:color="auto"/>
                                    <w:right w:val="single" w:sz="4" w:space="0" w:color="auto"/>
                                  </w:tcBorders>
                                  <w:hideMark/>
                                </w:tcPr>
                                <w:p w14:paraId="67D9950F" w14:textId="77777777" w:rsidR="008B713D" w:rsidRDefault="008B713D">
                                  <w:pPr>
                                    <w:spacing w:line="220" w:lineRule="exact"/>
                                    <w:jc w:val="center"/>
                                    <w:rPr>
                                      <w:rFonts w:ascii="標楷體" w:eastAsia="標楷體" w:hAnsi="標楷體"/>
                                    </w:rPr>
                                  </w:pPr>
                                  <w:r>
                                    <w:rPr>
                                      <w:rFonts w:ascii="標楷體" w:eastAsia="標楷體" w:hAnsi="標楷體" w:hint="eastAsia"/>
                                    </w:rPr>
                                    <w:t>合計</w:t>
                                  </w:r>
                                </w:p>
                              </w:tc>
                              <w:tc>
                                <w:tcPr>
                                  <w:tcW w:w="883" w:type="dxa"/>
                                  <w:tcBorders>
                                    <w:top w:val="single" w:sz="4" w:space="0" w:color="auto"/>
                                    <w:left w:val="single" w:sz="4" w:space="0" w:color="auto"/>
                                    <w:bottom w:val="single" w:sz="4" w:space="0" w:color="auto"/>
                                    <w:right w:val="single" w:sz="4" w:space="0" w:color="auto"/>
                                  </w:tcBorders>
                                  <w:noWrap/>
                                  <w:hideMark/>
                                </w:tcPr>
                                <w:p w14:paraId="21385617" w14:textId="77777777" w:rsidR="008B713D" w:rsidRDefault="008B713D">
                                  <w:pPr>
                                    <w:spacing w:line="220" w:lineRule="exact"/>
                                    <w:jc w:val="center"/>
                                    <w:rPr>
                                      <w:rFonts w:ascii="標楷體" w:eastAsia="標楷體" w:hAnsi="標楷體"/>
                                      <w:spacing w:val="-18"/>
                                    </w:rPr>
                                  </w:pPr>
                                  <w:r>
                                    <w:rPr>
                                      <w:rFonts w:ascii="標楷體" w:eastAsia="標楷體" w:hAnsi="標楷體" w:hint="eastAsia"/>
                                      <w:spacing w:val="-18"/>
                                    </w:rPr>
                                    <w:t>高中（職）</w:t>
                                  </w:r>
                                </w:p>
                              </w:tc>
                              <w:tc>
                                <w:tcPr>
                                  <w:tcW w:w="624" w:type="dxa"/>
                                  <w:tcBorders>
                                    <w:top w:val="single" w:sz="4" w:space="0" w:color="auto"/>
                                    <w:left w:val="single" w:sz="4" w:space="0" w:color="auto"/>
                                    <w:bottom w:val="single" w:sz="4" w:space="0" w:color="auto"/>
                                    <w:right w:val="single" w:sz="4" w:space="0" w:color="auto"/>
                                  </w:tcBorders>
                                  <w:noWrap/>
                                  <w:hideMark/>
                                </w:tcPr>
                                <w:p w14:paraId="094B6A94" w14:textId="77777777" w:rsidR="008B713D" w:rsidRDefault="008B713D">
                                  <w:pPr>
                                    <w:spacing w:line="220" w:lineRule="exact"/>
                                    <w:jc w:val="center"/>
                                    <w:rPr>
                                      <w:rFonts w:ascii="標楷體" w:eastAsia="標楷體" w:hAnsi="標楷體"/>
                                    </w:rPr>
                                  </w:pPr>
                                  <w:r>
                                    <w:rPr>
                                      <w:rFonts w:ascii="標楷體" w:eastAsia="標楷體" w:hAnsi="標楷體" w:hint="eastAsia"/>
                                    </w:rPr>
                                    <w:t>國中</w:t>
                                  </w:r>
                                </w:p>
                              </w:tc>
                              <w:tc>
                                <w:tcPr>
                                  <w:tcW w:w="624" w:type="dxa"/>
                                  <w:tcBorders>
                                    <w:top w:val="single" w:sz="4" w:space="0" w:color="auto"/>
                                    <w:left w:val="single" w:sz="4" w:space="0" w:color="auto"/>
                                    <w:bottom w:val="single" w:sz="4" w:space="0" w:color="auto"/>
                                    <w:right w:val="single" w:sz="4" w:space="0" w:color="auto"/>
                                  </w:tcBorders>
                                  <w:noWrap/>
                                  <w:hideMark/>
                                </w:tcPr>
                                <w:p w14:paraId="2D44686A" w14:textId="77777777" w:rsidR="008B713D" w:rsidRDefault="008B713D">
                                  <w:pPr>
                                    <w:spacing w:line="220" w:lineRule="exact"/>
                                    <w:jc w:val="center"/>
                                    <w:rPr>
                                      <w:rFonts w:ascii="標楷體" w:eastAsia="標楷體" w:hAnsi="標楷體"/>
                                    </w:rPr>
                                  </w:pPr>
                                  <w:r>
                                    <w:rPr>
                                      <w:rFonts w:ascii="標楷體" w:eastAsia="標楷體" w:hAnsi="標楷體" w:hint="eastAsia"/>
                                    </w:rPr>
                                    <w:t>國小</w:t>
                                  </w:r>
                                </w:p>
                              </w:tc>
                            </w:tr>
                            <w:tr w:rsidR="008B713D" w14:paraId="73660F2F" w14:textId="77777777">
                              <w:trPr>
                                <w:trHeight w:val="170"/>
                                <w:jc w:val="center"/>
                              </w:trPr>
                              <w:tc>
                                <w:tcPr>
                                  <w:tcW w:w="1701" w:type="dxa"/>
                                  <w:gridSpan w:val="2"/>
                                  <w:tcBorders>
                                    <w:top w:val="single" w:sz="4" w:space="0" w:color="auto"/>
                                    <w:left w:val="single" w:sz="4" w:space="0" w:color="auto"/>
                                    <w:bottom w:val="single" w:sz="4" w:space="0" w:color="auto"/>
                                    <w:right w:val="single" w:sz="4" w:space="0" w:color="auto"/>
                                  </w:tcBorders>
                                  <w:noWrap/>
                                  <w:hideMark/>
                                </w:tcPr>
                                <w:p w14:paraId="5807C902" w14:textId="77777777" w:rsidR="008B713D" w:rsidRPr="005D742F" w:rsidRDefault="008B713D">
                                  <w:pPr>
                                    <w:spacing w:line="200" w:lineRule="exact"/>
                                    <w:jc w:val="center"/>
                                    <w:rPr>
                                      <w:rFonts w:ascii="標楷體" w:eastAsia="標楷體" w:hAnsi="標楷體"/>
                                      <w:b/>
                                      <w:bCs/>
                                    </w:rPr>
                                  </w:pPr>
                                  <w:r w:rsidRPr="005D742F">
                                    <w:rPr>
                                      <w:rFonts w:ascii="標楷體" w:eastAsia="標楷體" w:hAnsi="標楷體" w:hint="eastAsia"/>
                                      <w:b/>
                                      <w:bCs/>
                                    </w:rPr>
                                    <w:t>合計</w:t>
                                  </w:r>
                                </w:p>
                              </w:tc>
                              <w:tc>
                                <w:tcPr>
                                  <w:tcW w:w="680" w:type="dxa"/>
                                  <w:tcBorders>
                                    <w:top w:val="single" w:sz="4" w:space="0" w:color="auto"/>
                                    <w:left w:val="single" w:sz="4" w:space="0" w:color="auto"/>
                                    <w:bottom w:val="single" w:sz="4" w:space="0" w:color="auto"/>
                                    <w:right w:val="single" w:sz="4" w:space="0" w:color="auto"/>
                                  </w:tcBorders>
                                  <w:vAlign w:val="center"/>
                                  <w:hideMark/>
                                </w:tcPr>
                                <w:p w14:paraId="3DB739CD" w14:textId="77777777" w:rsidR="008B713D" w:rsidRDefault="008B713D">
                                  <w:pPr>
                                    <w:spacing w:line="200" w:lineRule="exact"/>
                                    <w:ind w:rightChars="10" w:right="24"/>
                                    <w:jc w:val="right"/>
                                    <w:rPr>
                                      <w:rFonts w:ascii="標楷體" w:eastAsia="標楷體" w:hAnsi="標楷體"/>
                                      <w:b/>
                                    </w:rPr>
                                  </w:pPr>
                                  <w:r>
                                    <w:rPr>
                                      <w:rFonts w:ascii="標楷體" w:eastAsia="標楷體" w:hAnsi="標楷體" w:hint="eastAsia"/>
                                      <w:b/>
                                    </w:rPr>
                                    <w:t>244</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393152C7" w14:textId="77777777" w:rsidR="008B713D" w:rsidRDefault="008B713D">
                                  <w:pPr>
                                    <w:spacing w:line="200" w:lineRule="exact"/>
                                    <w:ind w:rightChars="10" w:right="24"/>
                                    <w:jc w:val="right"/>
                                    <w:rPr>
                                      <w:rFonts w:ascii="標楷體" w:eastAsia="標楷體" w:hAnsi="標楷體"/>
                                      <w:b/>
                                    </w:rPr>
                                  </w:pPr>
                                  <w:r>
                                    <w:rPr>
                                      <w:rFonts w:ascii="標楷體" w:eastAsia="標楷體" w:hAnsi="標楷體" w:hint="eastAsia"/>
                                      <w:b/>
                                    </w:rPr>
                                    <w:t>35</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344165F3" w14:textId="77777777" w:rsidR="008B713D" w:rsidRDefault="008B713D">
                                  <w:pPr>
                                    <w:spacing w:line="200" w:lineRule="exact"/>
                                    <w:ind w:rightChars="10" w:right="24"/>
                                    <w:jc w:val="right"/>
                                    <w:rPr>
                                      <w:rFonts w:ascii="標楷體" w:eastAsia="標楷體" w:hAnsi="標楷體"/>
                                      <w:b/>
                                    </w:rPr>
                                  </w:pPr>
                                  <w:r>
                                    <w:rPr>
                                      <w:rFonts w:ascii="標楷體" w:eastAsia="標楷體" w:hAnsi="標楷體" w:hint="eastAsia"/>
                                      <w:b/>
                                    </w:rPr>
                                    <w:t>70</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4BF0E3F5" w14:textId="77777777" w:rsidR="008B713D" w:rsidRDefault="008B713D">
                                  <w:pPr>
                                    <w:spacing w:line="200" w:lineRule="exact"/>
                                    <w:ind w:rightChars="10" w:right="24"/>
                                    <w:jc w:val="right"/>
                                    <w:rPr>
                                      <w:rFonts w:ascii="標楷體" w:eastAsia="標楷體" w:hAnsi="標楷體"/>
                                      <w:b/>
                                    </w:rPr>
                                  </w:pPr>
                                  <w:r>
                                    <w:rPr>
                                      <w:rFonts w:ascii="標楷體" w:eastAsia="標楷體" w:hAnsi="標楷體" w:hint="eastAsia"/>
                                      <w:b/>
                                    </w:rPr>
                                    <w:t>139</w:t>
                                  </w:r>
                                </w:p>
                              </w:tc>
                            </w:tr>
                            <w:tr w:rsidR="008B713D" w14:paraId="2852DB7A" w14:textId="77777777">
                              <w:trPr>
                                <w:trHeight w:val="170"/>
                                <w:jc w:val="center"/>
                              </w:trPr>
                              <w:tc>
                                <w:tcPr>
                                  <w:tcW w:w="1701" w:type="dxa"/>
                                  <w:gridSpan w:val="2"/>
                                  <w:tcBorders>
                                    <w:top w:val="single" w:sz="4" w:space="0" w:color="auto"/>
                                    <w:left w:val="single" w:sz="4" w:space="0" w:color="auto"/>
                                    <w:bottom w:val="single" w:sz="4" w:space="0" w:color="auto"/>
                                    <w:right w:val="single" w:sz="4" w:space="0" w:color="auto"/>
                                  </w:tcBorders>
                                  <w:noWrap/>
                                  <w:hideMark/>
                                </w:tcPr>
                                <w:p w14:paraId="2D616E78" w14:textId="77777777" w:rsidR="008B713D" w:rsidRDefault="008B713D">
                                  <w:pPr>
                                    <w:spacing w:line="200" w:lineRule="exact"/>
                                    <w:jc w:val="both"/>
                                    <w:rPr>
                                      <w:rFonts w:ascii="標楷體" w:eastAsia="標楷體" w:hAnsi="標楷體"/>
                                      <w:spacing w:val="-2"/>
                                    </w:rPr>
                                  </w:pPr>
                                  <w:proofErr w:type="gramStart"/>
                                  <w:r>
                                    <w:rPr>
                                      <w:rFonts w:ascii="標楷體" w:eastAsia="標楷體" w:hAnsi="標楷體" w:hint="eastAsia"/>
                                      <w:spacing w:val="-2"/>
                                    </w:rPr>
                                    <w:t>平均綁</w:t>
                                  </w:r>
                                  <w:proofErr w:type="gramEnd"/>
                                  <w:r>
                                    <w:rPr>
                                      <w:rFonts w:ascii="標楷體" w:eastAsia="標楷體" w:hAnsi="標楷體" w:hint="eastAsia"/>
                                      <w:spacing w:val="-2"/>
                                    </w:rPr>
                                    <w:t>定率（％）</w:t>
                                  </w:r>
                                </w:p>
                              </w:tc>
                              <w:tc>
                                <w:tcPr>
                                  <w:tcW w:w="680" w:type="dxa"/>
                                  <w:tcBorders>
                                    <w:top w:val="single" w:sz="4" w:space="0" w:color="auto"/>
                                    <w:left w:val="single" w:sz="4" w:space="0" w:color="auto"/>
                                    <w:bottom w:val="single" w:sz="4" w:space="0" w:color="auto"/>
                                    <w:right w:val="single" w:sz="4" w:space="0" w:color="auto"/>
                                  </w:tcBorders>
                                  <w:vAlign w:val="center"/>
                                  <w:hideMark/>
                                </w:tcPr>
                                <w:p w14:paraId="0DD7B6C2"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89.03</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278AD6B1"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86.54</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145B1035"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88.64</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048974CF"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89.85</w:t>
                                  </w:r>
                                </w:p>
                              </w:tc>
                            </w:tr>
                            <w:tr w:rsidR="008B713D" w14:paraId="155ADBE8" w14:textId="77777777">
                              <w:trPr>
                                <w:trHeight w:val="57"/>
                                <w:jc w:val="center"/>
                              </w:trPr>
                              <w:tc>
                                <w:tcPr>
                                  <w:tcW w:w="510" w:type="dxa"/>
                                  <w:vMerge w:val="restart"/>
                                  <w:tcBorders>
                                    <w:top w:val="single" w:sz="4" w:space="0" w:color="auto"/>
                                    <w:left w:val="single" w:sz="4" w:space="0" w:color="auto"/>
                                    <w:bottom w:val="single" w:sz="4" w:space="0" w:color="auto"/>
                                    <w:right w:val="single" w:sz="4" w:space="0" w:color="auto"/>
                                  </w:tcBorders>
                                  <w:noWrap/>
                                  <w:vAlign w:val="center"/>
                                  <w:hideMark/>
                                </w:tcPr>
                                <w:p w14:paraId="0DBAAC98" w14:textId="77777777" w:rsidR="008B713D" w:rsidRDefault="008B713D">
                                  <w:pPr>
                                    <w:spacing w:line="200" w:lineRule="exact"/>
                                    <w:jc w:val="center"/>
                                    <w:rPr>
                                      <w:rFonts w:ascii="標楷體" w:eastAsia="標楷體" w:hAnsi="標楷體"/>
                                    </w:rPr>
                                  </w:pPr>
                                  <w:r>
                                    <w:rPr>
                                      <w:rFonts w:ascii="標楷體" w:eastAsia="標楷體" w:hAnsi="標楷體" w:hint="eastAsia"/>
                                    </w:rPr>
                                    <w:t>親子帳號綁定率</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D7BEB74" w14:textId="77777777" w:rsidR="008B713D" w:rsidRDefault="008B713D">
                                  <w:pPr>
                                    <w:spacing w:line="200" w:lineRule="exact"/>
                                    <w:rPr>
                                      <w:rFonts w:ascii="標楷體" w:eastAsia="標楷體" w:hAnsi="標楷體"/>
                                    </w:rPr>
                                  </w:pPr>
                                  <w:r>
                                    <w:rPr>
                                      <w:rFonts w:ascii="標楷體" w:eastAsia="標楷體" w:hAnsi="標楷體" w:hint="eastAsia"/>
                                    </w:rPr>
                                    <w:t>60％以下</w:t>
                                  </w:r>
                                </w:p>
                              </w:tc>
                              <w:tc>
                                <w:tcPr>
                                  <w:tcW w:w="680" w:type="dxa"/>
                                  <w:tcBorders>
                                    <w:top w:val="single" w:sz="4" w:space="0" w:color="auto"/>
                                    <w:left w:val="single" w:sz="4" w:space="0" w:color="auto"/>
                                    <w:bottom w:val="single" w:sz="4" w:space="0" w:color="auto"/>
                                    <w:right w:val="single" w:sz="4" w:space="0" w:color="auto"/>
                                  </w:tcBorders>
                                  <w:vAlign w:val="center"/>
                                  <w:hideMark/>
                                </w:tcPr>
                                <w:p w14:paraId="2604AFBD"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1CD69D09"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70531EA9"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3FCC22AB"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w:t>
                                  </w:r>
                                </w:p>
                              </w:tc>
                            </w:tr>
                            <w:tr w:rsidR="008B713D" w14:paraId="174A1470" w14:textId="77777777">
                              <w:trPr>
                                <w:trHeight w:val="57"/>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9B30854" w14:textId="77777777" w:rsidR="008B713D" w:rsidRDefault="008B713D">
                                  <w:pPr>
                                    <w:widowControl/>
                                    <w:rPr>
                                      <w:rFonts w:ascii="標楷體" w:eastAsia="標楷體" w:hAnsi="標楷體"/>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44536F6F" w14:textId="77777777" w:rsidR="008B713D" w:rsidRDefault="008B713D">
                                  <w:pPr>
                                    <w:spacing w:line="200" w:lineRule="exact"/>
                                    <w:rPr>
                                      <w:rFonts w:ascii="標楷體" w:eastAsia="標楷體" w:hAnsi="標楷體"/>
                                    </w:rPr>
                                  </w:pPr>
                                  <w:r>
                                    <w:rPr>
                                      <w:rFonts w:ascii="標楷體" w:eastAsia="標楷體" w:hAnsi="標楷體" w:hint="eastAsia"/>
                                    </w:rPr>
                                    <w:t>61％－70％</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6C4E6"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631C81A5"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3</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57A68BD4"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2B4F2BA5"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5</w:t>
                                  </w:r>
                                </w:p>
                              </w:tc>
                            </w:tr>
                            <w:tr w:rsidR="008B713D" w14:paraId="54E85DD3" w14:textId="77777777">
                              <w:trPr>
                                <w:trHeight w:val="57"/>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FFEC8B5" w14:textId="77777777" w:rsidR="008B713D" w:rsidRDefault="008B713D">
                                  <w:pPr>
                                    <w:widowControl/>
                                    <w:rPr>
                                      <w:rFonts w:ascii="標楷體" w:eastAsia="標楷體" w:hAnsi="標楷體"/>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3C668E30" w14:textId="77777777" w:rsidR="008B713D" w:rsidRDefault="008B713D">
                                  <w:pPr>
                                    <w:spacing w:line="200" w:lineRule="exact"/>
                                    <w:rPr>
                                      <w:rFonts w:ascii="標楷體" w:eastAsia="標楷體" w:hAnsi="標楷體"/>
                                    </w:rPr>
                                  </w:pPr>
                                  <w:r>
                                    <w:rPr>
                                      <w:rFonts w:ascii="標楷體" w:eastAsia="標楷體" w:hAnsi="標楷體" w:hint="eastAsia"/>
                                    </w:rPr>
                                    <w:t>71％－80％</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699763"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32</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7EE18388"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6</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2C7FFF0E"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13</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45687F4C"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13</w:t>
                                  </w:r>
                                </w:p>
                              </w:tc>
                            </w:tr>
                            <w:tr w:rsidR="008B713D" w14:paraId="51ED720D" w14:textId="77777777">
                              <w:trPr>
                                <w:trHeight w:val="57"/>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16451F9" w14:textId="77777777" w:rsidR="008B713D" w:rsidRDefault="008B713D">
                                  <w:pPr>
                                    <w:widowControl/>
                                    <w:rPr>
                                      <w:rFonts w:ascii="標楷體" w:eastAsia="標楷體" w:hAnsi="標楷體"/>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30A9B3FF" w14:textId="77777777" w:rsidR="008B713D" w:rsidRDefault="008B713D">
                                  <w:pPr>
                                    <w:spacing w:line="200" w:lineRule="exact"/>
                                    <w:rPr>
                                      <w:rFonts w:ascii="標楷體" w:eastAsia="標楷體" w:hAnsi="標楷體"/>
                                    </w:rPr>
                                  </w:pPr>
                                  <w:r>
                                    <w:rPr>
                                      <w:rFonts w:ascii="標楷體" w:eastAsia="標楷體" w:hAnsi="標楷體" w:hint="eastAsia"/>
                                    </w:rPr>
                                    <w:t>81％－90％</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6AFEE5"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65</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18C19F6A"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7</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570D61AD"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23</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3768FE38"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35</w:t>
                                  </w:r>
                                </w:p>
                              </w:tc>
                            </w:tr>
                            <w:tr w:rsidR="008B713D" w14:paraId="07E50EF3" w14:textId="77777777">
                              <w:trPr>
                                <w:trHeight w:val="57"/>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D3D300C" w14:textId="77777777" w:rsidR="008B713D" w:rsidRDefault="008B713D">
                                  <w:pPr>
                                    <w:widowControl/>
                                    <w:rPr>
                                      <w:rFonts w:ascii="標楷體" w:eastAsia="標楷體" w:hAnsi="標楷體"/>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4F68EF3C" w14:textId="77777777" w:rsidR="008B713D" w:rsidRDefault="008B713D">
                                  <w:pPr>
                                    <w:spacing w:line="200" w:lineRule="exact"/>
                                    <w:rPr>
                                      <w:rFonts w:ascii="標楷體" w:eastAsia="標楷體" w:hAnsi="標楷體"/>
                                    </w:rPr>
                                  </w:pPr>
                                  <w:r>
                                    <w:rPr>
                                      <w:rFonts w:ascii="標楷體" w:eastAsia="標楷體" w:hAnsi="標楷體" w:hint="eastAsia"/>
                                    </w:rPr>
                                    <w:t>91％－100％</w:t>
                                  </w:r>
                                </w:p>
                              </w:tc>
                              <w:tc>
                                <w:tcPr>
                                  <w:tcW w:w="680" w:type="dxa"/>
                                  <w:tcBorders>
                                    <w:top w:val="single" w:sz="4" w:space="0" w:color="auto"/>
                                    <w:left w:val="single" w:sz="4" w:space="0" w:color="auto"/>
                                    <w:bottom w:val="single" w:sz="4" w:space="0" w:color="auto"/>
                                    <w:right w:val="single" w:sz="4" w:space="0" w:color="auto"/>
                                  </w:tcBorders>
                                  <w:vAlign w:val="center"/>
                                  <w:hideMark/>
                                </w:tcPr>
                                <w:p w14:paraId="07AEB774"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138</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54C08AC5"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18</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79989928"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34</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6E387B74"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86</w:t>
                                  </w:r>
                                </w:p>
                              </w:tc>
                            </w:tr>
                          </w:tbl>
                          <w:p w14:paraId="797B32DA" w14:textId="77777777" w:rsidR="008B713D" w:rsidRDefault="008B713D" w:rsidP="008B713D">
                            <w:pPr>
                              <w:spacing w:before="6" w:line="180" w:lineRule="exact"/>
                              <w:ind w:leftChars="-45" w:left="432" w:rightChars="-35" w:right="-84" w:hangingChars="300" w:hanging="540"/>
                              <w:jc w:val="both"/>
                              <w:rPr>
                                <w:rFonts w:ascii="標楷體" w:eastAsia="標楷體" w:hAnsi="標楷體" w:cs="Times New Roman"/>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：1.「國中」欄位之統計數據係包含臺北市立高中附設</w:t>
                            </w:r>
                            <w:proofErr w:type="gramStart"/>
                            <w:r>
                              <w:rPr>
                                <w:rFonts w:ascii="標楷體" w:eastAsia="標楷體" w:hAnsi="標楷體" w:hint="eastAsia"/>
                                <w:sz w:val="18"/>
                                <w:szCs w:val="18"/>
                              </w:rPr>
                              <w:t>國中部共</w:t>
                            </w:r>
                            <w:proofErr w:type="gramEnd"/>
                            <w:r>
                              <w:rPr>
                                <w:rFonts w:ascii="標楷體" w:eastAsia="標楷體" w:hAnsi="標楷體" w:hint="eastAsia"/>
                                <w:sz w:val="18"/>
                                <w:szCs w:val="18"/>
                              </w:rPr>
                              <w:t>12校。</w:t>
                            </w:r>
                          </w:p>
                          <w:p w14:paraId="065AC657" w14:textId="77777777" w:rsidR="008B713D" w:rsidRDefault="008B713D" w:rsidP="008B713D">
                            <w:pPr>
                              <w:spacing w:line="180" w:lineRule="exact"/>
                              <w:ind w:leftChars="105" w:left="252" w:rightChars="-35" w:right="-84"/>
                              <w:rPr>
                                <w:rFonts w:ascii="標楷體" w:eastAsia="標楷體" w:hAnsi="標楷體"/>
                                <w:sz w:val="18"/>
                                <w:szCs w:val="18"/>
                              </w:rPr>
                            </w:pPr>
                            <w:r>
                              <w:rPr>
                                <w:rFonts w:ascii="標楷體" w:eastAsia="標楷體" w:hAnsi="標楷體" w:hint="eastAsia"/>
                                <w:sz w:val="18"/>
                                <w:szCs w:val="18"/>
                              </w:rPr>
                              <w:t>2.資料統計時點為113年10月11日。</w:t>
                            </w:r>
                          </w:p>
                          <w:p w14:paraId="6377B5DE" w14:textId="3568B8F8" w:rsidR="008B713D" w:rsidRDefault="008B713D" w:rsidP="008B713D">
                            <w:pPr>
                              <w:spacing w:line="180" w:lineRule="exact"/>
                              <w:ind w:leftChars="105" w:left="252" w:rightChars="-35" w:right="-84"/>
                              <w:rPr>
                                <w:rFonts w:ascii="標楷體" w:eastAsia="標楷體" w:hAnsi="標楷體"/>
                                <w:spacing w:val="-4"/>
                                <w:sz w:val="18"/>
                                <w:szCs w:val="18"/>
                              </w:rPr>
                            </w:pPr>
                            <w:r>
                              <w:rPr>
                                <w:rFonts w:ascii="標楷體" w:eastAsia="標楷體" w:hAnsi="標楷體" w:hint="eastAsia"/>
                                <w:spacing w:val="-4"/>
                                <w:sz w:val="18"/>
                                <w:szCs w:val="18"/>
                              </w:rPr>
                              <w:t>3.資料來源：整理自教育局提供資料。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C57D1C" id="文字方塊 600993193" o:spid="_x0000_s1060" type="#_x0000_t202" style="position:absolute;left:0;text-align:left;margin-left:265.5pt;margin-top:118.85pt;width:229.6pt;height:164.65pt;z-index:-251616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" stroked="f">
                <v:textbox>
                  <w:txbxContent>
                    <w:p w14:paraId="5930050E" w14:textId="77777777" w:rsidR="008B713D" w:rsidRDefault="008B713D" w:rsidP="008B713D">
                      <w:pPr>
                        <w:spacing w:line="240" w:lineRule="exact"/>
                        <w:ind w:left="673" w:hangingChars="280" w:hanging="673"/>
                        <w:rPr>
                          <w:rFonts w:ascii="標楷體" w:eastAsia="標楷體" w:hAnsi="標楷體"/>
                          <w:b/>
                        </w:rPr>
                      </w:pPr>
                      <w:r>
                        <w:rPr>
                          <w:rFonts w:ascii="標楷體" w:eastAsia="標楷體" w:hAnsi="標楷體" w:hint="eastAsia"/>
                          <w:b/>
                        </w:rPr>
                        <w:t>表3　臺北市立高中職以下學校</w:t>
                      </w:r>
                      <w:proofErr w:type="gramStart"/>
                      <w:r>
                        <w:rPr>
                          <w:rFonts w:ascii="標楷體" w:eastAsia="標楷體" w:hAnsi="標楷體" w:hint="eastAsia"/>
                          <w:b/>
                        </w:rPr>
                        <w:t>推廣酷課</w:t>
                      </w:r>
                      <w:proofErr w:type="gramEnd"/>
                      <w:r>
                        <w:rPr>
                          <w:rFonts w:ascii="標楷體" w:eastAsia="標楷體" w:hAnsi="標楷體" w:hint="eastAsia"/>
                          <w:b/>
                        </w:rPr>
                        <w:t>APP親子帳號綁定情形</w:t>
                      </w:r>
                    </w:p>
                    <w:p w14:paraId="223EDB28" w14:textId="77777777" w:rsidR="008B713D" w:rsidRDefault="008B713D" w:rsidP="008B713D">
                      <w:pPr>
                        <w:spacing w:line="200" w:lineRule="exact"/>
                        <w:ind w:rightChars="-45" w:right="-108"/>
                        <w:jc w:val="right"/>
                        <w:rPr>
                          <w:rFonts w:ascii="標楷體" w:eastAsia="標楷體" w:hAnsi="標楷體"/>
                          <w:sz w:val="20"/>
                          <w:szCs w:val="20"/>
                        </w:rPr>
                      </w:pPr>
                      <w:r>
                        <w:rPr>
                          <w:rFonts w:ascii="標楷體" w:eastAsia="標楷體" w:hAnsi="標楷體" w:hint="eastAsia"/>
                          <w:sz w:val="20"/>
                          <w:szCs w:val="20"/>
                        </w:rPr>
                        <w:t>單位：校、％</w:t>
                      </w:r>
                    </w:p>
                    <w:tbl>
                      <w:tblPr>
                        <w:tblStyle w:val="a6"/>
                        <w:tblW w:w="4515" w:type="dxa"/>
                        <w:jc w:val="center"/>
                        <w:tblLayout w:type="fixed"/>
                        <w:tblCellMar>
                          <w:left w:w="28" w:type="dxa"/>
                          <w:right w:w="28" w:type="dxa"/>
                        </w:tblCellMar>
                        <w:tblLook w:val="04A0" w:firstRow="1" w:lastRow="0" w:firstColumn="1" w:lastColumn="0" w:noHBand="0" w:noVBand="1"/>
                      </w:tblPr>
                      <w:tblGrid>
                        <w:gridCol w:w="511"/>
                        <w:gridCol w:w="1192"/>
                        <w:gridCol w:w="680"/>
                        <w:gridCol w:w="884"/>
                        <w:gridCol w:w="624"/>
                        <w:gridCol w:w="624"/>
                      </w:tblGrid>
                      <w:tr w:rsidR="008B713D" w14:paraId="34666A46" w14:textId="77777777">
                        <w:trPr>
                          <w:trHeight w:val="170"/>
                          <w:jc w:val="center"/>
                        </w:trPr>
                        <w:tc>
                          <w:tcPr>
                            <w:tcW w:w="1701" w:type="dxa"/>
                            <w:gridSpan w:val="2"/>
                            <w:tcBorders>
                              <w:top w:val="single" w:sz="4" w:space="0" w:color="auto"/>
                              <w:left w:val="single" w:sz="4" w:space="0" w:color="auto"/>
                              <w:bottom w:val="single" w:sz="4" w:space="0" w:color="auto"/>
                              <w:right w:val="single" w:sz="4" w:space="0" w:color="auto"/>
                            </w:tcBorders>
                            <w:noWrap/>
                            <w:hideMark/>
                          </w:tcPr>
                          <w:p w14:paraId="606A44AD" w14:textId="77777777" w:rsidR="008B713D" w:rsidRDefault="008B713D">
                            <w:pPr>
                              <w:spacing w:line="220" w:lineRule="exact"/>
                              <w:jc w:val="center"/>
                              <w:rPr>
                                <w:rFonts w:ascii="標楷體" w:eastAsia="標楷體" w:hAnsi="標楷體"/>
                              </w:rPr>
                            </w:pPr>
                            <w:proofErr w:type="gramStart"/>
                            <w:r>
                              <w:rPr>
                                <w:rFonts w:ascii="標楷體" w:eastAsia="標楷體" w:hAnsi="標楷體" w:hint="eastAsia"/>
                              </w:rPr>
                              <w:t>學層</w:t>
                            </w:r>
                            <w:proofErr w:type="gramEnd"/>
                          </w:p>
                        </w:tc>
                        <w:tc>
                          <w:tcPr>
                            <w:tcW w:w="680" w:type="dxa"/>
                            <w:tcBorders>
                              <w:top w:val="single" w:sz="4" w:space="0" w:color="auto"/>
                              <w:left w:val="single" w:sz="4" w:space="0" w:color="auto"/>
                              <w:bottom w:val="single" w:sz="4" w:space="0" w:color="auto"/>
                              <w:right w:val="single" w:sz="4" w:space="0" w:color="auto"/>
                            </w:tcBorders>
                            <w:hideMark/>
                          </w:tcPr>
                          <w:p w14:paraId="67D9950F" w14:textId="77777777" w:rsidR="008B713D" w:rsidRDefault="008B713D">
                            <w:pPr>
                              <w:spacing w:line="220" w:lineRule="exact"/>
                              <w:jc w:val="center"/>
                              <w:rPr>
                                <w:rFonts w:ascii="標楷體" w:eastAsia="標楷體" w:hAnsi="標楷體"/>
                              </w:rPr>
                            </w:pPr>
                            <w:r>
                              <w:rPr>
                                <w:rFonts w:ascii="標楷體" w:eastAsia="標楷體" w:hAnsi="標楷體" w:hint="eastAsia"/>
                              </w:rPr>
                              <w:t>合計</w:t>
                            </w:r>
                          </w:p>
                        </w:tc>
                        <w:tc>
                          <w:tcPr>
                            <w:tcW w:w="883" w:type="dxa"/>
                            <w:tcBorders>
                              <w:top w:val="single" w:sz="4" w:space="0" w:color="auto"/>
                              <w:left w:val="single" w:sz="4" w:space="0" w:color="auto"/>
                              <w:bottom w:val="single" w:sz="4" w:space="0" w:color="auto"/>
                              <w:right w:val="single" w:sz="4" w:space="0" w:color="auto"/>
                            </w:tcBorders>
                            <w:noWrap/>
                            <w:hideMark/>
                          </w:tcPr>
                          <w:p w14:paraId="21385617" w14:textId="77777777" w:rsidR="008B713D" w:rsidRDefault="008B713D">
                            <w:pPr>
                              <w:spacing w:line="220" w:lineRule="exact"/>
                              <w:jc w:val="center"/>
                              <w:rPr>
                                <w:rFonts w:ascii="標楷體" w:eastAsia="標楷體" w:hAnsi="標楷體"/>
                                <w:spacing w:val="-18"/>
                              </w:rPr>
                            </w:pPr>
                            <w:r>
                              <w:rPr>
                                <w:rFonts w:ascii="標楷體" w:eastAsia="標楷體" w:hAnsi="標楷體" w:hint="eastAsia"/>
                                <w:spacing w:val="-18"/>
                              </w:rPr>
                              <w:t>高中（職）</w:t>
                            </w:r>
                          </w:p>
                        </w:tc>
                        <w:tc>
                          <w:tcPr>
                            <w:tcW w:w="624" w:type="dxa"/>
                            <w:tcBorders>
                              <w:top w:val="single" w:sz="4" w:space="0" w:color="auto"/>
                              <w:left w:val="single" w:sz="4" w:space="0" w:color="auto"/>
                              <w:bottom w:val="single" w:sz="4" w:space="0" w:color="auto"/>
                              <w:right w:val="single" w:sz="4" w:space="0" w:color="auto"/>
                            </w:tcBorders>
                            <w:noWrap/>
                            <w:hideMark/>
                          </w:tcPr>
                          <w:p w14:paraId="094B6A94" w14:textId="77777777" w:rsidR="008B713D" w:rsidRDefault="008B713D">
                            <w:pPr>
                              <w:spacing w:line="220" w:lineRule="exact"/>
                              <w:jc w:val="center"/>
                              <w:rPr>
                                <w:rFonts w:ascii="標楷體" w:eastAsia="標楷體" w:hAnsi="標楷體"/>
                              </w:rPr>
                            </w:pPr>
                            <w:r>
                              <w:rPr>
                                <w:rFonts w:ascii="標楷體" w:eastAsia="標楷體" w:hAnsi="標楷體" w:hint="eastAsia"/>
                              </w:rPr>
                              <w:t>國中</w:t>
                            </w:r>
                          </w:p>
                        </w:tc>
                        <w:tc>
                          <w:tcPr>
                            <w:tcW w:w="624" w:type="dxa"/>
                            <w:tcBorders>
                              <w:top w:val="single" w:sz="4" w:space="0" w:color="auto"/>
                              <w:left w:val="single" w:sz="4" w:space="0" w:color="auto"/>
                              <w:bottom w:val="single" w:sz="4" w:space="0" w:color="auto"/>
                              <w:right w:val="single" w:sz="4" w:space="0" w:color="auto"/>
                            </w:tcBorders>
                            <w:noWrap/>
                            <w:hideMark/>
                          </w:tcPr>
                          <w:p w14:paraId="2D44686A" w14:textId="77777777" w:rsidR="008B713D" w:rsidRDefault="008B713D">
                            <w:pPr>
                              <w:spacing w:line="220" w:lineRule="exact"/>
                              <w:jc w:val="center"/>
                              <w:rPr>
                                <w:rFonts w:ascii="標楷體" w:eastAsia="標楷體" w:hAnsi="標楷體"/>
                              </w:rPr>
                            </w:pPr>
                            <w:r>
                              <w:rPr>
                                <w:rFonts w:ascii="標楷體" w:eastAsia="標楷體" w:hAnsi="標楷體" w:hint="eastAsia"/>
                              </w:rPr>
                              <w:t>國小</w:t>
                            </w:r>
                          </w:p>
                        </w:tc>
                      </w:tr>
                      <w:tr w:rsidR="008B713D" w14:paraId="73660F2F" w14:textId="77777777">
                        <w:trPr>
                          <w:trHeight w:val="170"/>
                          <w:jc w:val="center"/>
                        </w:trPr>
                        <w:tc>
                          <w:tcPr>
                            <w:tcW w:w="1701" w:type="dxa"/>
                            <w:gridSpan w:val="2"/>
                            <w:tcBorders>
                              <w:top w:val="single" w:sz="4" w:space="0" w:color="auto"/>
                              <w:left w:val="single" w:sz="4" w:space="0" w:color="auto"/>
                              <w:bottom w:val="single" w:sz="4" w:space="0" w:color="auto"/>
                              <w:right w:val="single" w:sz="4" w:space="0" w:color="auto"/>
                            </w:tcBorders>
                            <w:noWrap/>
                            <w:hideMark/>
                          </w:tcPr>
                          <w:p w14:paraId="5807C902" w14:textId="77777777" w:rsidR="008B713D" w:rsidRPr="005D742F" w:rsidRDefault="008B713D">
                            <w:pPr>
                              <w:spacing w:line="200" w:lineRule="exact"/>
                              <w:jc w:val="center"/>
                              <w:rPr>
                                <w:rFonts w:ascii="標楷體" w:eastAsia="標楷體" w:hAnsi="標楷體"/>
                                <w:b/>
                                <w:bCs/>
                              </w:rPr>
                            </w:pPr>
                            <w:r w:rsidRPr="005D742F">
                              <w:rPr>
                                <w:rFonts w:ascii="標楷體" w:eastAsia="標楷體" w:hAnsi="標楷體" w:hint="eastAsia"/>
                                <w:b/>
                                <w:bCs/>
                              </w:rPr>
                              <w:t>合計</w:t>
                            </w:r>
                          </w:p>
                        </w:tc>
                        <w:tc>
                          <w:tcPr>
                            <w:tcW w:w="680" w:type="dxa"/>
                            <w:tcBorders>
                              <w:top w:val="single" w:sz="4" w:space="0" w:color="auto"/>
                              <w:left w:val="single" w:sz="4" w:space="0" w:color="auto"/>
                              <w:bottom w:val="single" w:sz="4" w:space="0" w:color="auto"/>
                              <w:right w:val="single" w:sz="4" w:space="0" w:color="auto"/>
                            </w:tcBorders>
                            <w:vAlign w:val="center"/>
                            <w:hideMark/>
                          </w:tcPr>
                          <w:p w14:paraId="3DB739CD" w14:textId="77777777" w:rsidR="008B713D" w:rsidRDefault="008B713D">
                            <w:pPr>
                              <w:spacing w:line="200" w:lineRule="exact"/>
                              <w:ind w:rightChars="10" w:right="24"/>
                              <w:jc w:val="right"/>
                              <w:rPr>
                                <w:rFonts w:ascii="標楷體" w:eastAsia="標楷體" w:hAnsi="標楷體"/>
                                <w:b/>
                              </w:rPr>
                            </w:pPr>
                            <w:r>
                              <w:rPr>
                                <w:rFonts w:ascii="標楷體" w:eastAsia="標楷體" w:hAnsi="標楷體" w:hint="eastAsia"/>
                                <w:b/>
                              </w:rPr>
                              <w:t>244</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393152C7" w14:textId="77777777" w:rsidR="008B713D" w:rsidRDefault="008B713D">
                            <w:pPr>
                              <w:spacing w:line="200" w:lineRule="exact"/>
                              <w:ind w:rightChars="10" w:right="24"/>
                              <w:jc w:val="right"/>
                              <w:rPr>
                                <w:rFonts w:ascii="標楷體" w:eastAsia="標楷體" w:hAnsi="標楷體"/>
                                <w:b/>
                              </w:rPr>
                            </w:pPr>
                            <w:r>
                              <w:rPr>
                                <w:rFonts w:ascii="標楷體" w:eastAsia="標楷體" w:hAnsi="標楷體" w:hint="eastAsia"/>
                                <w:b/>
                              </w:rPr>
                              <w:t>35</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344165F3" w14:textId="77777777" w:rsidR="008B713D" w:rsidRDefault="008B713D">
                            <w:pPr>
                              <w:spacing w:line="200" w:lineRule="exact"/>
                              <w:ind w:rightChars="10" w:right="24"/>
                              <w:jc w:val="right"/>
                              <w:rPr>
                                <w:rFonts w:ascii="標楷體" w:eastAsia="標楷體" w:hAnsi="標楷體"/>
                                <w:b/>
                              </w:rPr>
                            </w:pPr>
                            <w:r>
                              <w:rPr>
                                <w:rFonts w:ascii="標楷體" w:eastAsia="標楷體" w:hAnsi="標楷體" w:hint="eastAsia"/>
                                <w:b/>
                              </w:rPr>
                              <w:t>70</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4BF0E3F5" w14:textId="77777777" w:rsidR="008B713D" w:rsidRDefault="008B713D">
                            <w:pPr>
                              <w:spacing w:line="200" w:lineRule="exact"/>
                              <w:ind w:rightChars="10" w:right="24"/>
                              <w:jc w:val="right"/>
                              <w:rPr>
                                <w:rFonts w:ascii="標楷體" w:eastAsia="標楷體" w:hAnsi="標楷體"/>
                                <w:b/>
                              </w:rPr>
                            </w:pPr>
                            <w:r>
                              <w:rPr>
                                <w:rFonts w:ascii="標楷體" w:eastAsia="標楷體" w:hAnsi="標楷體" w:hint="eastAsia"/>
                                <w:b/>
                              </w:rPr>
                              <w:t>139</w:t>
                            </w:r>
                          </w:p>
                        </w:tc>
                      </w:tr>
                      <w:tr w:rsidR="008B713D" w14:paraId="2852DB7A" w14:textId="77777777">
                        <w:trPr>
                          <w:trHeight w:val="170"/>
                          <w:jc w:val="center"/>
                        </w:trPr>
                        <w:tc>
                          <w:tcPr>
                            <w:tcW w:w="1701" w:type="dxa"/>
                            <w:gridSpan w:val="2"/>
                            <w:tcBorders>
                              <w:top w:val="single" w:sz="4" w:space="0" w:color="auto"/>
                              <w:left w:val="single" w:sz="4" w:space="0" w:color="auto"/>
                              <w:bottom w:val="single" w:sz="4" w:space="0" w:color="auto"/>
                              <w:right w:val="single" w:sz="4" w:space="0" w:color="auto"/>
                            </w:tcBorders>
                            <w:noWrap/>
                            <w:hideMark/>
                          </w:tcPr>
                          <w:p w14:paraId="2D616E78" w14:textId="77777777" w:rsidR="008B713D" w:rsidRDefault="008B713D">
                            <w:pPr>
                              <w:spacing w:line="200" w:lineRule="exact"/>
                              <w:jc w:val="both"/>
                              <w:rPr>
                                <w:rFonts w:ascii="標楷體" w:eastAsia="標楷體" w:hAnsi="標楷體"/>
                                <w:spacing w:val="-2"/>
                              </w:rPr>
                            </w:pPr>
                            <w:proofErr w:type="gramStart"/>
                            <w:r>
                              <w:rPr>
                                <w:rFonts w:ascii="標楷體" w:eastAsia="標楷體" w:hAnsi="標楷體" w:hint="eastAsia"/>
                                <w:spacing w:val="-2"/>
                              </w:rPr>
                              <w:t>平均綁</w:t>
                            </w:r>
                            <w:proofErr w:type="gramEnd"/>
                            <w:r>
                              <w:rPr>
                                <w:rFonts w:ascii="標楷體" w:eastAsia="標楷體" w:hAnsi="標楷體" w:hint="eastAsia"/>
                                <w:spacing w:val="-2"/>
                              </w:rPr>
                              <w:t>定率（％）</w:t>
                            </w:r>
                          </w:p>
                        </w:tc>
                        <w:tc>
                          <w:tcPr>
                            <w:tcW w:w="680" w:type="dxa"/>
                            <w:tcBorders>
                              <w:top w:val="single" w:sz="4" w:space="0" w:color="auto"/>
                              <w:left w:val="single" w:sz="4" w:space="0" w:color="auto"/>
                              <w:bottom w:val="single" w:sz="4" w:space="0" w:color="auto"/>
                              <w:right w:val="single" w:sz="4" w:space="0" w:color="auto"/>
                            </w:tcBorders>
                            <w:vAlign w:val="center"/>
                            <w:hideMark/>
                          </w:tcPr>
                          <w:p w14:paraId="0DD7B6C2"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89.03</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278AD6B1"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86.54</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145B1035"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88.64</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048974CF"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89.85</w:t>
                            </w:r>
                          </w:p>
                        </w:tc>
                      </w:tr>
                      <w:tr w:rsidR="008B713D" w14:paraId="155ADBE8" w14:textId="77777777">
                        <w:trPr>
                          <w:trHeight w:val="57"/>
                          <w:jc w:val="center"/>
                        </w:trPr>
                        <w:tc>
                          <w:tcPr>
                            <w:tcW w:w="510" w:type="dxa"/>
                            <w:vMerge w:val="restart"/>
                            <w:tcBorders>
                              <w:top w:val="single" w:sz="4" w:space="0" w:color="auto"/>
                              <w:left w:val="single" w:sz="4" w:space="0" w:color="auto"/>
                              <w:bottom w:val="single" w:sz="4" w:space="0" w:color="auto"/>
                              <w:right w:val="single" w:sz="4" w:space="0" w:color="auto"/>
                            </w:tcBorders>
                            <w:noWrap/>
                            <w:vAlign w:val="center"/>
                            <w:hideMark/>
                          </w:tcPr>
                          <w:p w14:paraId="0DBAAC98" w14:textId="77777777" w:rsidR="008B713D" w:rsidRDefault="008B713D">
                            <w:pPr>
                              <w:spacing w:line="200" w:lineRule="exact"/>
                              <w:jc w:val="center"/>
                              <w:rPr>
                                <w:rFonts w:ascii="標楷體" w:eastAsia="標楷體" w:hAnsi="標楷體"/>
                              </w:rPr>
                            </w:pPr>
                            <w:r>
                              <w:rPr>
                                <w:rFonts w:ascii="標楷體" w:eastAsia="標楷體" w:hAnsi="標楷體" w:hint="eastAsia"/>
                              </w:rPr>
                              <w:t>親子帳號綁定率</w:t>
                            </w:r>
                          </w:p>
                        </w:tc>
                        <w:tc>
                          <w:tcPr>
                            <w:tcW w:w="1191" w:type="dxa"/>
                            <w:tcBorders>
                              <w:top w:val="single" w:sz="4" w:space="0" w:color="auto"/>
                              <w:left w:val="single" w:sz="4" w:space="0" w:color="auto"/>
                              <w:bottom w:val="single" w:sz="4" w:space="0" w:color="auto"/>
                              <w:right w:val="single" w:sz="4" w:space="0" w:color="auto"/>
                            </w:tcBorders>
                            <w:vAlign w:val="center"/>
                            <w:hideMark/>
                          </w:tcPr>
                          <w:p w14:paraId="4D7BEB74" w14:textId="77777777" w:rsidR="008B713D" w:rsidRDefault="008B713D">
                            <w:pPr>
                              <w:spacing w:line="200" w:lineRule="exact"/>
                              <w:rPr>
                                <w:rFonts w:ascii="標楷體" w:eastAsia="標楷體" w:hAnsi="標楷體"/>
                              </w:rPr>
                            </w:pPr>
                            <w:r>
                              <w:rPr>
                                <w:rFonts w:ascii="標楷體" w:eastAsia="標楷體" w:hAnsi="標楷體" w:hint="eastAsia"/>
                              </w:rPr>
                              <w:t>60％以下</w:t>
                            </w:r>
                          </w:p>
                        </w:tc>
                        <w:tc>
                          <w:tcPr>
                            <w:tcW w:w="680" w:type="dxa"/>
                            <w:tcBorders>
                              <w:top w:val="single" w:sz="4" w:space="0" w:color="auto"/>
                              <w:left w:val="single" w:sz="4" w:space="0" w:color="auto"/>
                              <w:bottom w:val="single" w:sz="4" w:space="0" w:color="auto"/>
                              <w:right w:val="single" w:sz="4" w:space="0" w:color="auto"/>
                            </w:tcBorders>
                            <w:vAlign w:val="center"/>
                            <w:hideMark/>
                          </w:tcPr>
                          <w:p w14:paraId="2604AFBD"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1CD69D09"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70531EA9"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3FCC22AB"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w:t>
                            </w:r>
                          </w:p>
                        </w:tc>
                      </w:tr>
                      <w:tr w:rsidR="008B713D" w14:paraId="174A1470" w14:textId="77777777">
                        <w:trPr>
                          <w:trHeight w:val="57"/>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9B30854" w14:textId="77777777" w:rsidR="008B713D" w:rsidRDefault="008B713D">
                            <w:pPr>
                              <w:widowControl/>
                              <w:rPr>
                                <w:rFonts w:ascii="標楷體" w:eastAsia="標楷體" w:hAnsi="標楷體"/>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44536F6F" w14:textId="77777777" w:rsidR="008B713D" w:rsidRDefault="008B713D">
                            <w:pPr>
                              <w:spacing w:line="200" w:lineRule="exact"/>
                              <w:rPr>
                                <w:rFonts w:ascii="標楷體" w:eastAsia="標楷體" w:hAnsi="標楷體"/>
                              </w:rPr>
                            </w:pPr>
                            <w:r>
                              <w:rPr>
                                <w:rFonts w:ascii="標楷體" w:eastAsia="標楷體" w:hAnsi="標楷體" w:hint="eastAsia"/>
                              </w:rPr>
                              <w:t>61％－70％</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6C4E6"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631C81A5"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3</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57A68BD4"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2B4F2BA5"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5</w:t>
                            </w:r>
                          </w:p>
                        </w:tc>
                      </w:tr>
                      <w:tr w:rsidR="008B713D" w14:paraId="54E85DD3" w14:textId="77777777">
                        <w:trPr>
                          <w:trHeight w:val="57"/>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FFEC8B5" w14:textId="77777777" w:rsidR="008B713D" w:rsidRDefault="008B713D">
                            <w:pPr>
                              <w:widowControl/>
                              <w:rPr>
                                <w:rFonts w:ascii="標楷體" w:eastAsia="標楷體" w:hAnsi="標楷體"/>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3C668E30" w14:textId="77777777" w:rsidR="008B713D" w:rsidRDefault="008B713D">
                            <w:pPr>
                              <w:spacing w:line="200" w:lineRule="exact"/>
                              <w:rPr>
                                <w:rFonts w:ascii="標楷體" w:eastAsia="標楷體" w:hAnsi="標楷體"/>
                              </w:rPr>
                            </w:pPr>
                            <w:r>
                              <w:rPr>
                                <w:rFonts w:ascii="標楷體" w:eastAsia="標楷體" w:hAnsi="標楷體" w:hint="eastAsia"/>
                              </w:rPr>
                              <w:t>71％－80％</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699763"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32</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7EE18388"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6</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2C7FFF0E"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13</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45687F4C"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13</w:t>
                            </w:r>
                          </w:p>
                        </w:tc>
                      </w:tr>
                      <w:tr w:rsidR="008B713D" w14:paraId="51ED720D" w14:textId="77777777">
                        <w:trPr>
                          <w:trHeight w:val="57"/>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16451F9" w14:textId="77777777" w:rsidR="008B713D" w:rsidRDefault="008B713D">
                            <w:pPr>
                              <w:widowControl/>
                              <w:rPr>
                                <w:rFonts w:ascii="標楷體" w:eastAsia="標楷體" w:hAnsi="標楷體"/>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30A9B3FF" w14:textId="77777777" w:rsidR="008B713D" w:rsidRDefault="008B713D">
                            <w:pPr>
                              <w:spacing w:line="200" w:lineRule="exact"/>
                              <w:rPr>
                                <w:rFonts w:ascii="標楷體" w:eastAsia="標楷體" w:hAnsi="標楷體"/>
                              </w:rPr>
                            </w:pPr>
                            <w:r>
                              <w:rPr>
                                <w:rFonts w:ascii="標楷體" w:eastAsia="標楷體" w:hAnsi="標楷體" w:hint="eastAsia"/>
                              </w:rPr>
                              <w:t>81％－90％</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6AFEE5"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65</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18C19F6A"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7</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570D61AD"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23</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3768FE38"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35</w:t>
                            </w:r>
                          </w:p>
                        </w:tc>
                      </w:tr>
                      <w:tr w:rsidR="008B713D" w14:paraId="07E50EF3" w14:textId="77777777">
                        <w:trPr>
                          <w:trHeight w:val="57"/>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D3D300C" w14:textId="77777777" w:rsidR="008B713D" w:rsidRDefault="008B713D">
                            <w:pPr>
                              <w:widowControl/>
                              <w:rPr>
                                <w:rFonts w:ascii="標楷體" w:eastAsia="標楷體" w:hAnsi="標楷體"/>
                              </w:rPr>
                            </w:pPr>
                          </w:p>
                        </w:tc>
                        <w:tc>
                          <w:tcPr>
                            <w:tcW w:w="1191" w:type="dxa"/>
                            <w:tcBorders>
                              <w:top w:val="single" w:sz="4" w:space="0" w:color="auto"/>
                              <w:left w:val="single" w:sz="4" w:space="0" w:color="auto"/>
                              <w:bottom w:val="single" w:sz="4" w:space="0" w:color="auto"/>
                              <w:right w:val="single" w:sz="4" w:space="0" w:color="auto"/>
                            </w:tcBorders>
                            <w:vAlign w:val="center"/>
                            <w:hideMark/>
                          </w:tcPr>
                          <w:p w14:paraId="4F68EF3C" w14:textId="77777777" w:rsidR="008B713D" w:rsidRDefault="008B713D">
                            <w:pPr>
                              <w:spacing w:line="200" w:lineRule="exact"/>
                              <w:rPr>
                                <w:rFonts w:ascii="標楷體" w:eastAsia="標楷體" w:hAnsi="標楷體"/>
                              </w:rPr>
                            </w:pPr>
                            <w:r>
                              <w:rPr>
                                <w:rFonts w:ascii="標楷體" w:eastAsia="標楷體" w:hAnsi="標楷體" w:hint="eastAsia"/>
                              </w:rPr>
                              <w:t>91％－100％</w:t>
                            </w:r>
                          </w:p>
                        </w:tc>
                        <w:tc>
                          <w:tcPr>
                            <w:tcW w:w="680" w:type="dxa"/>
                            <w:tcBorders>
                              <w:top w:val="single" w:sz="4" w:space="0" w:color="auto"/>
                              <w:left w:val="single" w:sz="4" w:space="0" w:color="auto"/>
                              <w:bottom w:val="single" w:sz="4" w:space="0" w:color="auto"/>
                              <w:right w:val="single" w:sz="4" w:space="0" w:color="auto"/>
                            </w:tcBorders>
                            <w:vAlign w:val="center"/>
                            <w:hideMark/>
                          </w:tcPr>
                          <w:p w14:paraId="07AEB774"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138</w:t>
                            </w:r>
                          </w:p>
                        </w:tc>
                        <w:tc>
                          <w:tcPr>
                            <w:tcW w:w="883" w:type="dxa"/>
                            <w:tcBorders>
                              <w:top w:val="single" w:sz="4" w:space="0" w:color="auto"/>
                              <w:left w:val="single" w:sz="4" w:space="0" w:color="auto"/>
                              <w:bottom w:val="single" w:sz="4" w:space="0" w:color="auto"/>
                              <w:right w:val="single" w:sz="4" w:space="0" w:color="auto"/>
                            </w:tcBorders>
                            <w:noWrap/>
                            <w:vAlign w:val="center"/>
                            <w:hideMark/>
                          </w:tcPr>
                          <w:p w14:paraId="54C08AC5"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18</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79989928"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34</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6E387B74" w14:textId="77777777" w:rsidR="008B713D" w:rsidRDefault="008B713D">
                            <w:pPr>
                              <w:spacing w:line="200" w:lineRule="exact"/>
                              <w:ind w:rightChars="10" w:right="24"/>
                              <w:jc w:val="right"/>
                              <w:rPr>
                                <w:rFonts w:ascii="標楷體" w:eastAsia="標楷體" w:hAnsi="標楷體"/>
                              </w:rPr>
                            </w:pPr>
                            <w:r>
                              <w:rPr>
                                <w:rFonts w:ascii="標楷體" w:eastAsia="標楷體" w:hAnsi="標楷體" w:hint="eastAsia"/>
                              </w:rPr>
                              <w:t>86</w:t>
                            </w:r>
                          </w:p>
                        </w:tc>
                      </w:tr>
                    </w:tbl>
                    <w:p w14:paraId="797B32DA" w14:textId="77777777" w:rsidR="008B713D" w:rsidRDefault="008B713D" w:rsidP="008B713D">
                      <w:pPr>
                        <w:spacing w:before="6" w:line="180" w:lineRule="exact"/>
                        <w:ind w:leftChars="-45" w:left="432" w:rightChars="-35" w:right="-84" w:hangingChars="300" w:hanging="540"/>
                        <w:jc w:val="both"/>
                        <w:rPr>
                          <w:rFonts w:ascii="標楷體" w:eastAsia="標楷體" w:hAnsi="標楷體" w:cs="Times New Roman"/>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：1.「國中」欄位之統計數據係包含臺北市立高中附設</w:t>
                      </w:r>
                      <w:proofErr w:type="gramStart"/>
                      <w:r>
                        <w:rPr>
                          <w:rFonts w:ascii="標楷體" w:eastAsia="標楷體" w:hAnsi="標楷體" w:hint="eastAsia"/>
                          <w:sz w:val="18"/>
                          <w:szCs w:val="18"/>
                        </w:rPr>
                        <w:t>國中部共</w:t>
                      </w:r>
                      <w:proofErr w:type="gramEnd"/>
                      <w:r>
                        <w:rPr>
                          <w:rFonts w:ascii="標楷體" w:eastAsia="標楷體" w:hAnsi="標楷體" w:hint="eastAsia"/>
                          <w:sz w:val="18"/>
                          <w:szCs w:val="18"/>
                        </w:rPr>
                        <w:t>12校。</w:t>
                      </w:r>
                    </w:p>
                    <w:p w14:paraId="065AC657" w14:textId="77777777" w:rsidR="008B713D" w:rsidRDefault="008B713D" w:rsidP="008B713D">
                      <w:pPr>
                        <w:spacing w:line="180" w:lineRule="exact"/>
                        <w:ind w:leftChars="105" w:left="252" w:rightChars="-35" w:right="-84"/>
                        <w:rPr>
                          <w:rFonts w:ascii="標楷體" w:eastAsia="標楷體" w:hAnsi="標楷體"/>
                          <w:sz w:val="18"/>
                          <w:szCs w:val="18"/>
                        </w:rPr>
                      </w:pPr>
                      <w:r>
                        <w:rPr>
                          <w:rFonts w:ascii="標楷體" w:eastAsia="標楷體" w:hAnsi="標楷體" w:hint="eastAsia"/>
                          <w:sz w:val="18"/>
                          <w:szCs w:val="18"/>
                        </w:rPr>
                        <w:t>2.資料統計時點為113年10月11日。</w:t>
                      </w:r>
                    </w:p>
                    <w:p w14:paraId="6377B5DE" w14:textId="3568B8F8" w:rsidR="008B713D" w:rsidRDefault="008B713D" w:rsidP="008B713D">
                      <w:pPr>
                        <w:spacing w:line="180" w:lineRule="exact"/>
                        <w:ind w:leftChars="105" w:left="252" w:rightChars="-35" w:right="-84"/>
                        <w:rPr>
                          <w:rFonts w:ascii="標楷體" w:eastAsia="標楷體" w:hAnsi="標楷體"/>
                          <w:spacing w:val="-4"/>
                          <w:sz w:val="18"/>
                          <w:szCs w:val="18"/>
                        </w:rPr>
                      </w:pPr>
                      <w:r>
                        <w:rPr>
                          <w:rFonts w:ascii="標楷體" w:eastAsia="標楷體" w:hAnsi="標楷體" w:hint="eastAsia"/>
                          <w:spacing w:val="-4"/>
                          <w:sz w:val="18"/>
                          <w:szCs w:val="18"/>
                        </w:rPr>
                        <w:t>3.資料來源：整理自教育局提供資料。</w:t>
                      </w:r>
                    </w:p>
                  </w:txbxContent>
                </v:textbox>
                <w10:wrap type="tight" anchorx="margin"/>
              </v:shape>
            </w:pict>
          </mc:Fallback>
        </mc:AlternateContent>
      </w:r>
      <w:r w:rsidR="008B713D">
        <w:rPr>
          <w:rFonts w:ascii="標楷體" w:eastAsia="標楷體" w:hAnsi="標楷體" w:cs="Cordia New" w:hint="eastAsia"/>
          <w:color w:val="000000" w:themeColor="text1"/>
        </w:rPr>
        <w:t>勤、獎懲、健康數據，</w:t>
      </w:r>
      <w:proofErr w:type="gramStart"/>
      <w:r w:rsidR="008B713D">
        <w:rPr>
          <w:rFonts w:ascii="標楷體" w:eastAsia="標楷體" w:hAnsi="標楷體" w:cs="Cordia New" w:hint="eastAsia"/>
          <w:color w:val="000000" w:themeColor="text1"/>
        </w:rPr>
        <w:t>或查填學校</w:t>
      </w:r>
      <w:proofErr w:type="gramEnd"/>
      <w:r w:rsidR="008B713D">
        <w:rPr>
          <w:rFonts w:ascii="標楷體" w:eastAsia="標楷體" w:hAnsi="標楷體" w:cs="Cordia New" w:hint="eastAsia"/>
          <w:color w:val="000000" w:themeColor="text1"/>
        </w:rPr>
        <w:t>各類調查表，或進行請假作業，或報名學校或課外社團活動，教師亦得運用相關功能派發學校各類訊息或作為親師生聯繫工具，</w:t>
      </w:r>
      <w:proofErr w:type="gramStart"/>
      <w:r w:rsidR="008B713D">
        <w:rPr>
          <w:rFonts w:ascii="標楷體" w:eastAsia="標楷體" w:hAnsi="標楷體" w:cs="Cordia New" w:hint="eastAsia"/>
          <w:color w:val="000000" w:themeColor="text1"/>
        </w:rPr>
        <w:t>或線上完成</w:t>
      </w:r>
      <w:proofErr w:type="gramEnd"/>
      <w:r w:rsidR="008B713D">
        <w:rPr>
          <w:rFonts w:ascii="標楷體" w:eastAsia="標楷體" w:hAnsi="標楷體" w:cs="Cordia New" w:hint="eastAsia"/>
          <w:color w:val="000000" w:themeColor="text1"/>
        </w:rPr>
        <w:t>學生</w:t>
      </w:r>
      <w:proofErr w:type="gramStart"/>
      <w:r w:rsidR="008B713D">
        <w:rPr>
          <w:rFonts w:ascii="標楷體" w:eastAsia="標楷體" w:hAnsi="標楷體" w:cs="Cordia New" w:hint="eastAsia"/>
          <w:color w:val="000000" w:themeColor="text1"/>
        </w:rPr>
        <w:t>假單批核</w:t>
      </w:r>
      <w:proofErr w:type="gramEnd"/>
      <w:r w:rsidR="008B713D">
        <w:rPr>
          <w:rFonts w:ascii="標楷體" w:eastAsia="標楷體" w:hAnsi="標楷體" w:cs="Cordia New" w:hint="eastAsia"/>
          <w:color w:val="000000" w:themeColor="text1"/>
        </w:rPr>
        <w:t>作業，或建立電子回條調查表等。經查臺北市立高中（職）以下學校之家長及學生於112學年度第2學期整體</w:t>
      </w:r>
      <w:proofErr w:type="gramStart"/>
      <w:r w:rsidR="008B713D">
        <w:rPr>
          <w:rFonts w:ascii="標楷體" w:eastAsia="標楷體" w:hAnsi="標楷體" w:cs="Cordia New" w:hint="eastAsia"/>
          <w:color w:val="000000" w:themeColor="text1"/>
        </w:rPr>
        <w:t>使用酷課</w:t>
      </w:r>
      <w:proofErr w:type="gramEnd"/>
      <w:r w:rsidR="008B713D">
        <w:rPr>
          <w:rFonts w:ascii="標楷體" w:eastAsia="標楷體" w:hAnsi="標楷體" w:cs="Cordia New" w:hint="eastAsia"/>
          <w:color w:val="000000" w:themeColor="text1"/>
        </w:rPr>
        <w:t>APP前開6項功能情形，發現各校親生使用「成績／缺</w:t>
      </w:r>
      <w:proofErr w:type="gramStart"/>
      <w:r w:rsidR="008B713D">
        <w:rPr>
          <w:rFonts w:ascii="標楷體" w:eastAsia="標楷體" w:hAnsi="標楷體" w:cs="Cordia New" w:hint="eastAsia"/>
          <w:color w:val="000000" w:themeColor="text1"/>
        </w:rPr>
        <w:t>曠</w:t>
      </w:r>
      <w:proofErr w:type="gramEnd"/>
      <w:r w:rsidR="008B713D">
        <w:rPr>
          <w:rFonts w:ascii="標楷體" w:eastAsia="標楷體" w:hAnsi="標楷體" w:cs="Cordia New" w:hint="eastAsia"/>
          <w:color w:val="000000" w:themeColor="text1"/>
        </w:rPr>
        <w:t>／獎懲查詢」及</w:t>
      </w:r>
      <w:bookmarkStart w:id="40" w:name="_Hlk187900646"/>
      <w:r w:rsidR="008B713D">
        <w:rPr>
          <w:rFonts w:ascii="標楷體" w:eastAsia="標楷體" w:hAnsi="標楷體" w:cs="Cordia New" w:hint="eastAsia"/>
          <w:color w:val="000000" w:themeColor="text1"/>
        </w:rPr>
        <w:t>「</w:t>
      </w:r>
      <w:proofErr w:type="gramStart"/>
      <w:r w:rsidR="008B713D">
        <w:rPr>
          <w:rFonts w:ascii="標楷體" w:eastAsia="標楷體" w:hAnsi="標楷體" w:cs="Cordia New" w:hint="eastAsia"/>
          <w:color w:val="000000" w:themeColor="text1"/>
        </w:rPr>
        <w:t>線上請假</w:t>
      </w:r>
      <w:proofErr w:type="gramEnd"/>
      <w:r w:rsidR="008B713D">
        <w:rPr>
          <w:rFonts w:ascii="標楷體" w:eastAsia="標楷體" w:hAnsi="標楷體" w:cs="Cordia New" w:hint="eastAsia"/>
          <w:color w:val="000000" w:themeColor="text1"/>
        </w:rPr>
        <w:t>」</w:t>
      </w:r>
      <w:bookmarkEnd w:id="40"/>
      <w:r w:rsidR="008B713D">
        <w:rPr>
          <w:rFonts w:ascii="標楷體" w:eastAsia="標楷體" w:hAnsi="標楷體" w:cs="Cordia New" w:hint="eastAsia"/>
          <w:color w:val="000000" w:themeColor="text1"/>
        </w:rPr>
        <w:t>等2項功能之平均點閱率為最高及次高，惟各</w:t>
      </w:r>
      <w:proofErr w:type="gramStart"/>
      <w:r w:rsidR="008B713D">
        <w:rPr>
          <w:rFonts w:ascii="標楷體" w:eastAsia="標楷體" w:hAnsi="標楷體" w:cs="Cordia New" w:hint="eastAsia"/>
          <w:color w:val="000000" w:themeColor="text1"/>
        </w:rPr>
        <w:t>學層間</w:t>
      </w:r>
      <w:proofErr w:type="gramEnd"/>
      <w:r w:rsidR="008B713D">
        <w:rPr>
          <w:rFonts w:ascii="標楷體" w:eastAsia="標楷體" w:hAnsi="標楷體" w:cs="Cordia New" w:hint="eastAsia"/>
          <w:color w:val="000000" w:themeColor="text1"/>
        </w:rPr>
        <w:t>使用情形差異甚大，主要集中在高中（職）及國中階段之親生，至國小階段親子帳號綁定率雖已達89.85％</w:t>
      </w:r>
      <w:r w:rsidR="008B713D">
        <w:rPr>
          <w:rFonts w:ascii="標楷體" w:eastAsia="標楷體" w:hAnsi="標楷體" w:cs="Cordia New" w:hint="eastAsia"/>
          <w:bCs/>
          <w:color w:val="000000" w:themeColor="text1"/>
        </w:rPr>
        <w:t>（表3）</w:t>
      </w:r>
      <w:r w:rsidR="008B713D">
        <w:rPr>
          <w:rFonts w:ascii="標楷體" w:eastAsia="標楷體" w:hAnsi="標楷體" w:cs="Cordia New" w:hint="eastAsia"/>
          <w:color w:val="000000" w:themeColor="text1"/>
        </w:rPr>
        <w:t>，卻僅有</w:t>
      </w:r>
      <w:proofErr w:type="gramStart"/>
      <w:r w:rsidR="008B713D">
        <w:rPr>
          <w:rFonts w:ascii="標楷體" w:eastAsia="標楷體" w:hAnsi="標楷體" w:cs="Cordia New" w:hint="eastAsia"/>
          <w:color w:val="000000" w:themeColor="text1"/>
        </w:rPr>
        <w:t>5成</w:t>
      </w:r>
      <w:proofErr w:type="gramEnd"/>
      <w:r w:rsidR="008B713D">
        <w:rPr>
          <w:rFonts w:ascii="標楷體" w:eastAsia="標楷體" w:hAnsi="標楷體" w:cs="Cordia New" w:hint="eastAsia"/>
          <w:color w:val="000000" w:themeColor="text1"/>
        </w:rPr>
        <w:t>親生曾點閱前開2功能；另查</w:t>
      </w:r>
      <w:proofErr w:type="gramStart"/>
      <w:r w:rsidR="008B713D">
        <w:rPr>
          <w:rFonts w:ascii="標楷體" w:eastAsia="標楷體" w:hAnsi="標楷體" w:cs="Cordia New" w:hint="eastAsia"/>
          <w:color w:val="000000" w:themeColor="text1"/>
        </w:rPr>
        <w:t>各學層親生</w:t>
      </w:r>
      <w:proofErr w:type="gramEnd"/>
      <w:r w:rsidR="008B713D">
        <w:rPr>
          <w:rFonts w:ascii="標楷體" w:eastAsia="標楷體" w:hAnsi="標楷體" w:cs="Cordia New" w:hint="eastAsia"/>
          <w:color w:val="000000" w:themeColor="text1"/>
        </w:rPr>
        <w:t>利用「班級聯絡簿」、「回條調查表」、「健康資訊」及「報名系統」等4項功能之整體平均點閱率僅介於5.11％至43.92％，均在</w:t>
      </w:r>
      <w:proofErr w:type="gramStart"/>
      <w:r w:rsidR="008B713D">
        <w:rPr>
          <w:rFonts w:ascii="標楷體" w:eastAsia="標楷體" w:hAnsi="標楷體" w:cs="Cordia New" w:hint="eastAsia"/>
          <w:color w:val="000000" w:themeColor="text1"/>
        </w:rPr>
        <w:t>5成</w:t>
      </w:r>
      <w:proofErr w:type="gramEnd"/>
      <w:r w:rsidR="008B713D">
        <w:rPr>
          <w:rFonts w:ascii="標楷體" w:eastAsia="標楷體" w:hAnsi="標楷體" w:cs="Cordia New" w:hint="eastAsia"/>
          <w:color w:val="000000" w:themeColor="text1"/>
        </w:rPr>
        <w:t>以下，顯示各校教師運用前開4項功能作為與家長或學生之溝通管道，或輔助進</w:t>
      </w:r>
      <w:r w:rsidR="008B713D" w:rsidRPr="00F12554">
        <w:rPr>
          <w:rFonts w:ascii="標楷體" w:eastAsia="標楷體" w:hAnsi="標楷體" w:cs="Cordia New" w:hint="eastAsia"/>
          <w:color w:val="000000" w:themeColor="text1"/>
          <w:spacing w:val="2"/>
        </w:rPr>
        <w:t>行教學行政統計調查工作之情形仍低；3.依教育</w:t>
      </w:r>
    </w:p>
    <w:p w14:paraId="1933CD13" w14:textId="39FAD70C" w:rsidR="00F12554" w:rsidRDefault="008B713D" w:rsidP="007961F0">
      <w:pPr>
        <w:overflowPunct w:val="0"/>
        <w:autoSpaceDE w:val="0"/>
        <w:autoSpaceDN w:val="0"/>
        <w:adjustRightInd w:val="0"/>
        <w:spacing w:line="460" w:lineRule="exact"/>
        <w:jc w:val="both"/>
        <w:rPr>
          <w:rFonts w:ascii="標楷體" w:eastAsia="標楷體" w:hAnsi="標楷體" w:cs="Cordia New"/>
        </w:rPr>
      </w:pPr>
      <w:r>
        <w:rPr>
          <w:rFonts w:ascii="標楷體" w:eastAsia="標楷體" w:hAnsi="標楷體" w:cs="Cordia New" w:hint="eastAsia"/>
          <w:color w:val="000000" w:themeColor="text1"/>
        </w:rPr>
        <w:t>局112年6月14日北市</w:t>
      </w:r>
      <w:proofErr w:type="gramStart"/>
      <w:r>
        <w:rPr>
          <w:rFonts w:ascii="標楷體" w:eastAsia="標楷體" w:hAnsi="標楷體" w:cs="Cordia New" w:hint="eastAsia"/>
          <w:color w:val="000000" w:themeColor="text1"/>
        </w:rPr>
        <w:t>教資字第11230491342號</w:t>
      </w:r>
      <w:proofErr w:type="gramEnd"/>
      <w:r>
        <w:rPr>
          <w:rFonts w:ascii="標楷體" w:eastAsia="標楷體" w:hAnsi="標楷體" w:cs="Cordia New" w:hint="eastAsia"/>
          <w:color w:val="000000" w:themeColor="text1"/>
        </w:rPr>
        <w:t>函規定，為維護學生權益，</w:t>
      </w:r>
      <w:proofErr w:type="gramStart"/>
      <w:r>
        <w:rPr>
          <w:rFonts w:ascii="標楷體" w:eastAsia="標楷體" w:hAnsi="標楷體" w:cs="Cordia New" w:hint="eastAsia"/>
          <w:color w:val="000000" w:themeColor="text1"/>
        </w:rPr>
        <w:t>臺北市立各級</w:t>
      </w:r>
      <w:proofErr w:type="gramEnd"/>
      <w:r>
        <w:rPr>
          <w:rFonts w:ascii="標楷體" w:eastAsia="標楷體" w:hAnsi="標楷體" w:cs="Cordia New" w:hint="eastAsia"/>
          <w:color w:val="000000" w:themeColor="text1"/>
        </w:rPr>
        <w:t>學校辦理學生請假方式應</w:t>
      </w:r>
      <w:proofErr w:type="gramStart"/>
      <w:r>
        <w:rPr>
          <w:rFonts w:ascii="標楷體" w:eastAsia="標楷體" w:hAnsi="標楷體" w:cs="Cordia New" w:hint="eastAsia"/>
          <w:color w:val="000000" w:themeColor="text1"/>
        </w:rPr>
        <w:t>採酷課APP線上</w:t>
      </w:r>
      <w:proofErr w:type="gramEnd"/>
      <w:r>
        <w:rPr>
          <w:rFonts w:ascii="標楷體" w:eastAsia="標楷體" w:hAnsi="標楷體" w:cs="Cordia New" w:hint="eastAsia"/>
          <w:color w:val="000000" w:themeColor="text1"/>
        </w:rPr>
        <w:t>及</w:t>
      </w:r>
      <w:proofErr w:type="gramStart"/>
      <w:r>
        <w:rPr>
          <w:rFonts w:ascii="標楷體" w:eastAsia="標楷體" w:hAnsi="標楷體" w:cs="Cordia New" w:hint="eastAsia"/>
          <w:color w:val="000000" w:themeColor="text1"/>
        </w:rPr>
        <w:t>紙本假單</w:t>
      </w:r>
      <w:proofErr w:type="gramEnd"/>
      <w:r>
        <w:rPr>
          <w:rFonts w:ascii="標楷體" w:eastAsia="標楷體" w:hAnsi="標楷體" w:cs="Cordia New" w:hint="eastAsia"/>
          <w:color w:val="000000" w:themeColor="text1"/>
        </w:rPr>
        <w:t>雙軌並行，惟</w:t>
      </w:r>
      <w:proofErr w:type="gramStart"/>
      <w:r>
        <w:rPr>
          <w:rFonts w:ascii="標楷體" w:eastAsia="標楷體" w:hAnsi="標楷體" w:cs="Cordia New" w:hint="eastAsia"/>
          <w:color w:val="000000" w:themeColor="text1"/>
        </w:rPr>
        <w:t>經抽核</w:t>
      </w:r>
      <w:proofErr w:type="gramEnd"/>
      <w:r>
        <w:rPr>
          <w:rFonts w:ascii="標楷體" w:eastAsia="標楷體" w:hAnsi="標楷體" w:cs="Cordia New" w:hint="eastAsia"/>
          <w:color w:val="000000" w:themeColor="text1"/>
        </w:rPr>
        <w:t>20所市立高中（職）以下學校辦理學生請假作業情形，發現其中8所學校已開放使用</w:t>
      </w:r>
      <w:proofErr w:type="gramStart"/>
      <w:r>
        <w:rPr>
          <w:rFonts w:ascii="標楷體" w:eastAsia="標楷體" w:hAnsi="標楷體" w:cs="Cordia New" w:hint="eastAsia"/>
          <w:color w:val="000000" w:themeColor="text1"/>
        </w:rPr>
        <w:t>酷課APP線上</w:t>
      </w:r>
      <w:proofErr w:type="gramEnd"/>
      <w:r>
        <w:rPr>
          <w:rFonts w:ascii="標楷體" w:eastAsia="標楷體" w:hAnsi="標楷體" w:cs="Cordia New" w:hint="eastAsia"/>
          <w:color w:val="000000" w:themeColor="text1"/>
        </w:rPr>
        <w:t>請假功能，惟未配合修正學生請假規則有關學生請假方式，另有3所學校仍強制要求家長僅能使用電話或</w:t>
      </w:r>
      <w:proofErr w:type="gramStart"/>
      <w:r>
        <w:rPr>
          <w:rFonts w:ascii="標楷體" w:eastAsia="標楷體" w:hAnsi="標楷體" w:cs="Cordia New" w:hint="eastAsia"/>
          <w:color w:val="000000" w:themeColor="text1"/>
        </w:rPr>
        <w:t>紙本假單</w:t>
      </w:r>
      <w:proofErr w:type="gramEnd"/>
      <w:r>
        <w:rPr>
          <w:rFonts w:ascii="標楷體" w:eastAsia="標楷體" w:hAnsi="標楷體" w:cs="Cordia New" w:hint="eastAsia"/>
          <w:color w:val="000000" w:themeColor="text1"/>
        </w:rPr>
        <w:t>辦理學生請假事宜；4.該局為提升教師授課效率，及刺激學生學習意願，</w:t>
      </w:r>
      <w:proofErr w:type="gramStart"/>
      <w:r>
        <w:rPr>
          <w:rFonts w:ascii="標楷體" w:eastAsia="標楷體" w:hAnsi="標楷體" w:cs="Cordia New" w:hint="eastAsia"/>
          <w:color w:val="000000" w:themeColor="text1"/>
        </w:rPr>
        <w:t>於酷課</w:t>
      </w:r>
      <w:proofErr w:type="gramEnd"/>
      <w:r>
        <w:rPr>
          <w:rFonts w:ascii="標楷體" w:eastAsia="標楷體" w:hAnsi="標楷體" w:cs="Cordia New" w:hint="eastAsia"/>
          <w:color w:val="000000" w:themeColor="text1"/>
        </w:rPr>
        <w:t>APP建有「課堂工具」1項功能，讓教師得搭配85吋觸控大螢幕結合載具與學生進行互動式教學。</w:t>
      </w:r>
      <w:proofErr w:type="gramStart"/>
      <w:r>
        <w:rPr>
          <w:rFonts w:ascii="標楷體" w:eastAsia="標楷體" w:hAnsi="標楷體" w:cs="Cordia New" w:hint="eastAsia"/>
          <w:color w:val="000000" w:themeColor="text1"/>
        </w:rPr>
        <w:t>惟查市立</w:t>
      </w:r>
      <w:proofErr w:type="gramEnd"/>
      <w:r>
        <w:rPr>
          <w:rFonts w:ascii="標楷體" w:eastAsia="標楷體" w:hAnsi="標楷體" w:cs="Cordia New" w:hint="eastAsia"/>
          <w:color w:val="000000" w:themeColor="text1"/>
        </w:rPr>
        <w:t>高中（職）以下學校教師112學年度第2學期利用該功能情形，發現各</w:t>
      </w:r>
      <w:proofErr w:type="gramStart"/>
      <w:r>
        <w:rPr>
          <w:rFonts w:ascii="標楷體" w:eastAsia="標楷體" w:hAnsi="標楷體" w:cs="Cordia New" w:hint="eastAsia"/>
          <w:color w:val="000000" w:themeColor="text1"/>
        </w:rPr>
        <w:t>學層均有</w:t>
      </w:r>
      <w:proofErr w:type="gramEnd"/>
      <w:r>
        <w:rPr>
          <w:rFonts w:ascii="標楷體" w:eastAsia="標楷體" w:hAnsi="標楷體" w:cs="Cordia New" w:hint="eastAsia"/>
          <w:color w:val="000000" w:themeColor="text1"/>
        </w:rPr>
        <w:t>部分學校未曾使用該項功能進行授課，且有</w:t>
      </w:r>
      <w:proofErr w:type="gramStart"/>
      <w:r>
        <w:rPr>
          <w:rFonts w:ascii="標楷體" w:eastAsia="標楷體" w:hAnsi="標楷體" w:cs="Cordia New" w:hint="eastAsia"/>
          <w:color w:val="000000" w:themeColor="text1"/>
        </w:rPr>
        <w:t>4成</w:t>
      </w:r>
      <w:proofErr w:type="gramEnd"/>
      <w:r>
        <w:rPr>
          <w:rFonts w:ascii="標楷體" w:eastAsia="標楷體" w:hAnsi="標楷體" w:cs="Cordia New" w:hint="eastAsia"/>
          <w:color w:val="000000" w:themeColor="text1"/>
        </w:rPr>
        <w:t>以上之學校點閱次數低於10次以下</w:t>
      </w:r>
      <w:r>
        <w:rPr>
          <w:rFonts w:ascii="標楷體" w:eastAsia="標楷體" w:hAnsi="標楷體" w:cs="Cordia New" w:hint="eastAsia"/>
          <w:bCs/>
          <w:color w:val="000000" w:themeColor="text1"/>
        </w:rPr>
        <w:t>（表4）</w:t>
      </w:r>
      <w:r>
        <w:rPr>
          <w:rFonts w:ascii="標楷體" w:eastAsia="標楷體" w:hAnsi="標楷體" w:cs="Cordia New" w:hint="eastAsia"/>
        </w:rPr>
        <w:t>，顯示市立各級學校教師普遍未能善用該</w:t>
      </w:r>
    </w:p>
    <w:p w14:paraId="4594C6D3" w14:textId="77777777" w:rsidR="0053302E" w:rsidRDefault="008B713D" w:rsidP="007961F0">
      <w:pPr>
        <w:overflowPunct w:val="0"/>
        <w:autoSpaceDE w:val="0"/>
        <w:autoSpaceDN w:val="0"/>
        <w:adjustRightInd w:val="0"/>
        <w:spacing w:line="460" w:lineRule="exact"/>
        <w:jc w:val="both"/>
        <w:rPr>
          <w:rFonts w:ascii="標楷體" w:eastAsia="標楷體" w:hAnsi="標楷體" w:cs="Cordia New"/>
        </w:rPr>
      </w:pPr>
      <w:proofErr w:type="gramStart"/>
      <w:r>
        <w:rPr>
          <w:rFonts w:ascii="標楷體" w:eastAsia="標楷體" w:hAnsi="標楷體" w:cs="Cordia New" w:hint="eastAsia"/>
        </w:rPr>
        <w:t>酷課</w:t>
      </w:r>
      <w:proofErr w:type="gramEnd"/>
      <w:r>
        <w:rPr>
          <w:rFonts w:ascii="標楷體" w:eastAsia="標楷體" w:hAnsi="標楷體" w:cs="Cordia New" w:hint="eastAsia"/>
        </w:rPr>
        <w:t>APP功能輔助現場教學，以提高學生參與學習意願等情事，經函請通盤瞭解癥結，並</w:t>
      </w:r>
      <w:proofErr w:type="gramStart"/>
      <w:r>
        <w:rPr>
          <w:rFonts w:ascii="標楷體" w:eastAsia="標楷體" w:hAnsi="標楷體" w:cs="Cordia New" w:hint="eastAsia"/>
        </w:rPr>
        <w:t>研</w:t>
      </w:r>
      <w:proofErr w:type="gramEnd"/>
      <w:r>
        <w:rPr>
          <w:rFonts w:ascii="標楷體" w:eastAsia="標楷體" w:hAnsi="標楷體" w:cs="Cordia New" w:hint="eastAsia"/>
        </w:rPr>
        <w:t>謀改善，以充分發揮該APP建置功能及目的。據復：1.已函請親子帳號綁定率較低之學校於學校日等場合，加強向親師生</w:t>
      </w:r>
      <w:proofErr w:type="gramStart"/>
      <w:r>
        <w:rPr>
          <w:rFonts w:ascii="標楷體" w:eastAsia="標楷體" w:hAnsi="標楷體" w:cs="Cordia New" w:hint="eastAsia"/>
        </w:rPr>
        <w:t>解說酷課</w:t>
      </w:r>
      <w:proofErr w:type="gramEnd"/>
      <w:r>
        <w:rPr>
          <w:rFonts w:ascii="標楷體" w:eastAsia="標楷體" w:hAnsi="標楷體" w:cs="Cordia New" w:hint="eastAsia"/>
        </w:rPr>
        <w:t>APP相關功能，並鼓勵家長進行</w:t>
      </w:r>
      <w:proofErr w:type="gramStart"/>
      <w:r>
        <w:rPr>
          <w:rFonts w:ascii="標楷體" w:eastAsia="標楷體" w:hAnsi="標楷體" w:cs="Cordia New" w:hint="eastAsia"/>
        </w:rPr>
        <w:t>親子綁定</w:t>
      </w:r>
      <w:proofErr w:type="gramEnd"/>
      <w:r>
        <w:rPr>
          <w:rFonts w:ascii="標楷體" w:eastAsia="標楷體" w:hAnsi="標楷體" w:cs="Cordia New" w:hint="eastAsia"/>
        </w:rPr>
        <w:t>，後續亦請導師協助宣導及追蹤成效；2.將持續向各校宣導推廣並鼓勵親師生</w:t>
      </w:r>
      <w:proofErr w:type="gramStart"/>
      <w:r>
        <w:rPr>
          <w:rFonts w:ascii="標楷體" w:eastAsia="標楷體" w:hAnsi="標楷體" w:cs="Cordia New" w:hint="eastAsia"/>
        </w:rPr>
        <w:t>使用酷課</w:t>
      </w:r>
      <w:proofErr w:type="gramEnd"/>
      <w:r>
        <w:rPr>
          <w:rFonts w:ascii="標楷體" w:eastAsia="標楷體" w:hAnsi="標楷體" w:cs="Cordia New" w:hint="eastAsia"/>
        </w:rPr>
        <w:t>APP相關功能，</w:t>
      </w:r>
      <w:proofErr w:type="gramStart"/>
      <w:r>
        <w:rPr>
          <w:rFonts w:ascii="標楷體" w:eastAsia="標楷體" w:hAnsi="標楷體" w:cs="Cordia New" w:hint="eastAsia"/>
        </w:rPr>
        <w:t>以利親師生</w:t>
      </w:r>
      <w:proofErr w:type="gramEnd"/>
      <w:r>
        <w:rPr>
          <w:rFonts w:ascii="標楷體" w:eastAsia="標楷體" w:hAnsi="標楷體" w:cs="Cordia New" w:hint="eastAsia"/>
        </w:rPr>
        <w:t>查詢個人相關學習歷程資料；3.案內11所學校皆已</w:t>
      </w:r>
      <w:proofErr w:type="gramStart"/>
      <w:r>
        <w:rPr>
          <w:rFonts w:ascii="標楷體" w:eastAsia="標楷體" w:hAnsi="標楷體" w:cs="Cordia New" w:hint="eastAsia"/>
        </w:rPr>
        <w:t>開放線上請假</w:t>
      </w:r>
      <w:proofErr w:type="gramEnd"/>
      <w:r>
        <w:rPr>
          <w:rFonts w:ascii="標楷體" w:eastAsia="標楷體" w:hAnsi="標楷體" w:cs="Cordia New" w:hint="eastAsia"/>
        </w:rPr>
        <w:t>，其中除2所學校請假規範草案預</w:t>
      </w:r>
      <w:r w:rsidRPr="0053302E">
        <w:rPr>
          <w:rFonts w:ascii="標楷體" w:eastAsia="標楷體" w:hAnsi="標楷體" w:cs="Cordia New" w:hint="eastAsia"/>
          <w:spacing w:val="4"/>
        </w:rPr>
        <w:t>計於113學年度第2學期末校務會議審議通過後正式</w:t>
      </w:r>
    </w:p>
    <w:p w14:paraId="3AC77DB8" w14:textId="7F644AC1" w:rsidR="008B713D" w:rsidRDefault="008B713D" w:rsidP="007961F0">
      <w:pPr>
        <w:overflowPunct w:val="0"/>
        <w:autoSpaceDE w:val="0"/>
        <w:autoSpaceDN w:val="0"/>
        <w:adjustRightInd w:val="0"/>
        <w:spacing w:line="460" w:lineRule="exact"/>
        <w:jc w:val="both"/>
        <w:rPr>
          <w:rFonts w:ascii="標楷體" w:eastAsia="標楷體" w:hAnsi="標楷體" w:cs="Cordia New"/>
        </w:rPr>
      </w:pPr>
      <w:r>
        <w:rPr>
          <w:rFonts w:ascii="標楷體" w:eastAsia="標楷體" w:hAnsi="標楷體" w:cs="Cordia New" w:hint="eastAsia"/>
        </w:rPr>
        <w:lastRenderedPageBreak/>
        <w:t>公告外，其餘9所學校業已完成請假單或請假規則修正作業；4.經綜合評估因現階段已有多元教學軟體可提供</w:t>
      </w:r>
      <w:proofErr w:type="gramStart"/>
      <w:r>
        <w:rPr>
          <w:rFonts w:ascii="標楷體" w:eastAsia="標楷體" w:hAnsi="標楷體" w:cs="Cordia New" w:hint="eastAsia"/>
        </w:rPr>
        <w:t>類似酷課</w:t>
      </w:r>
      <w:proofErr w:type="gramEnd"/>
      <w:r>
        <w:rPr>
          <w:rFonts w:ascii="標楷體" w:eastAsia="標楷體" w:hAnsi="標楷體" w:cs="Cordia New" w:hint="eastAsia"/>
        </w:rPr>
        <w:t>APP「課堂工具」功能，將自115學年度起停止維運該服務功能。</w:t>
      </w:r>
    </w:p>
    <w:p w14:paraId="122EC700" w14:textId="77777777" w:rsidR="008B713D" w:rsidRDefault="008B713D" w:rsidP="00552CAC">
      <w:pPr>
        <w:pStyle w:val="04"/>
        <w:widowControl w:val="0"/>
        <w:suppressAutoHyphens w:val="0"/>
        <w:spacing w:beforeLines="50" w:before="180" w:line="430" w:lineRule="exact"/>
        <w:ind w:firstLine="280"/>
        <w:rPr>
          <w:szCs w:val="28"/>
        </w:rPr>
      </w:pPr>
      <w:r>
        <w:rPr>
          <w:rFonts w:hint="eastAsia"/>
          <w:szCs w:val="28"/>
        </w:rPr>
        <w:t>（五）持續擴增</w:t>
      </w:r>
      <w:proofErr w:type="gramStart"/>
      <w:r>
        <w:rPr>
          <w:rFonts w:hint="eastAsia"/>
          <w:szCs w:val="28"/>
        </w:rPr>
        <w:t>公共化教保</w:t>
      </w:r>
      <w:proofErr w:type="gramEnd"/>
      <w:r>
        <w:rPr>
          <w:rFonts w:hint="eastAsia"/>
          <w:szCs w:val="28"/>
        </w:rPr>
        <w:t>服務機構量能，並補助設置攝錄影音設備，以建構友善安全之育兒環境，</w:t>
      </w:r>
      <w:proofErr w:type="gramStart"/>
      <w:r>
        <w:rPr>
          <w:rFonts w:hint="eastAsia"/>
          <w:szCs w:val="28"/>
        </w:rPr>
        <w:t>惟仍核有</w:t>
      </w:r>
      <w:proofErr w:type="gramEnd"/>
      <w:r>
        <w:rPr>
          <w:rFonts w:hint="eastAsia"/>
          <w:szCs w:val="28"/>
        </w:rPr>
        <w:t>2歲</w:t>
      </w:r>
      <w:proofErr w:type="gramStart"/>
      <w:r>
        <w:rPr>
          <w:rFonts w:hint="eastAsia"/>
          <w:szCs w:val="28"/>
        </w:rPr>
        <w:t>專班托育</w:t>
      </w:r>
      <w:proofErr w:type="gramEnd"/>
      <w:r>
        <w:rPr>
          <w:rFonts w:hint="eastAsia"/>
          <w:szCs w:val="28"/>
        </w:rPr>
        <w:t>量能不足，或教學空間設置監視器比率仍待提升等情，允宜</w:t>
      </w:r>
      <w:proofErr w:type="gramStart"/>
      <w:r>
        <w:rPr>
          <w:rFonts w:hint="eastAsia"/>
          <w:szCs w:val="28"/>
        </w:rPr>
        <w:t>研</w:t>
      </w:r>
      <w:proofErr w:type="gramEnd"/>
      <w:r>
        <w:rPr>
          <w:rFonts w:hint="eastAsia"/>
          <w:szCs w:val="28"/>
        </w:rPr>
        <w:t>謀改善。</w:t>
      </w:r>
    </w:p>
    <w:p w14:paraId="27950599" w14:textId="77777777" w:rsidR="008B713D" w:rsidRDefault="008B713D" w:rsidP="008B713D">
      <w:pPr>
        <w:pStyle w:val="a7"/>
        <w:spacing w:before="0" w:after="0" w:line="430" w:lineRule="exact"/>
        <w:ind w:firstLine="480"/>
        <w:rPr>
          <w:rFonts w:hAnsi="標楷體" w:cs="細明體"/>
          <w:kern w:val="0"/>
          <w:szCs w:val="32"/>
        </w:rPr>
      </w:pPr>
      <w:r>
        <w:rPr>
          <w:rFonts w:hAnsi="標楷體" w:cs="細明體" w:hint="eastAsia"/>
          <w:kern w:val="0"/>
          <w:szCs w:val="32"/>
        </w:rPr>
        <w:t>教育局為配合市政府打造友善生養環境，</w:t>
      </w:r>
      <w:proofErr w:type="gramStart"/>
      <w:r>
        <w:rPr>
          <w:rFonts w:hAnsi="標楷體" w:cs="細明體" w:hint="eastAsia"/>
          <w:kern w:val="0"/>
          <w:szCs w:val="32"/>
        </w:rPr>
        <w:t>113</w:t>
      </w:r>
      <w:proofErr w:type="gramEnd"/>
      <w:r>
        <w:rPr>
          <w:rFonts w:hAnsi="標楷體" w:cs="細明體" w:hint="eastAsia"/>
          <w:kern w:val="0"/>
          <w:szCs w:val="32"/>
        </w:rPr>
        <w:t>年度於臺北市地方教育發展基金（下稱地教基金）編列預算2,500萬元，持續擴增</w:t>
      </w:r>
      <w:proofErr w:type="gramStart"/>
      <w:r>
        <w:rPr>
          <w:rFonts w:hAnsi="標楷體" w:cs="細明體" w:hint="eastAsia"/>
          <w:kern w:val="0"/>
          <w:szCs w:val="32"/>
        </w:rPr>
        <w:t>公共化教保</w:t>
      </w:r>
      <w:proofErr w:type="gramEnd"/>
      <w:r>
        <w:rPr>
          <w:rFonts w:hAnsi="標楷體" w:cs="細明體" w:hint="eastAsia"/>
          <w:kern w:val="0"/>
          <w:szCs w:val="32"/>
        </w:rPr>
        <w:t>服務量能，並補助</w:t>
      </w:r>
      <w:proofErr w:type="gramStart"/>
      <w:r>
        <w:rPr>
          <w:rFonts w:hAnsi="標楷體" w:cs="細明體" w:hint="eastAsia"/>
          <w:kern w:val="0"/>
          <w:szCs w:val="32"/>
        </w:rPr>
        <w:t>轄內公私立</w:t>
      </w:r>
      <w:proofErr w:type="gramEnd"/>
      <w:r>
        <w:rPr>
          <w:rFonts w:hAnsi="標楷體" w:cs="細明體" w:hint="eastAsia"/>
          <w:kern w:val="0"/>
          <w:szCs w:val="32"/>
        </w:rPr>
        <w:t>教保服務機構</w:t>
      </w:r>
      <w:proofErr w:type="gramStart"/>
      <w:r>
        <w:rPr>
          <w:rFonts w:hAnsi="標楷體" w:cs="細明體" w:hint="eastAsia"/>
          <w:kern w:val="0"/>
          <w:szCs w:val="32"/>
        </w:rPr>
        <w:t>裝設攝錄影</w:t>
      </w:r>
      <w:proofErr w:type="gramEnd"/>
      <w:r>
        <w:rPr>
          <w:rFonts w:hAnsi="標楷體" w:cs="細明體" w:hint="eastAsia"/>
          <w:kern w:val="0"/>
          <w:szCs w:val="32"/>
        </w:rPr>
        <w:t>音設備（下稱攝錄設備）等設施，以提供優質平價近便之學前教育，並建構友善安全之教保服務環境。經查執行情形，核有下列事項：</w:t>
      </w:r>
    </w:p>
    <w:p w14:paraId="43ECDA47" w14:textId="77777777" w:rsidR="0053302E" w:rsidRDefault="008B713D" w:rsidP="008B713D">
      <w:pPr>
        <w:pStyle w:val="a7"/>
        <w:spacing w:before="0" w:after="0" w:line="430" w:lineRule="exact"/>
        <w:ind w:firstLine="480"/>
        <w:rPr>
          <w:bCs/>
        </w:rPr>
      </w:pPr>
      <w:r>
        <w:rPr>
          <w:rFonts w:hint="eastAsia"/>
          <w:noProof/>
        </w:rPr>
        <mc:AlternateContent>
          <mc:Choice Requires="wps">
            <w:drawing>
              <wp:anchor distT="0" distB="0" distL="114300" distR="114300" simplePos="0" relativeHeight="251697152" behindDoc="1" locked="0" layoutInCell="1" allowOverlap="1" wp14:anchorId="26FCB337" wp14:editId="5A871A97">
                <wp:simplePos x="0" y="0"/>
                <wp:positionH relativeFrom="margin">
                  <wp:posOffset>3605650</wp:posOffset>
                </wp:positionH>
                <wp:positionV relativeFrom="page">
                  <wp:posOffset>6409426</wp:posOffset>
                </wp:positionV>
                <wp:extent cx="2807970" cy="2238375"/>
                <wp:effectExtent l="0" t="0" r="0" b="0"/>
                <wp:wrapSquare wrapText="bothSides"/>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7970" cy="2238375"/>
                        </a:xfrm>
                        <a:prstGeom prst="rect">
                          <a:avLst/>
                        </a:prstGeom>
                        <a:noFill/>
                        <a:ln w="9525">
                          <a:noFill/>
                          <a:miter lim="800000"/>
                          <a:headEnd/>
                          <a:tailEnd/>
                        </a:ln>
                      </wps:spPr>
                      <wps:txbx>
                        <w:txbxContent>
                          <w:tbl>
                            <w:tblPr>
                              <w:tblW w:w="4035" w:type="dxa"/>
                              <w:jc w:val="center"/>
                              <w:tblLayout w:type="fixed"/>
                              <w:tblCellMar>
                                <w:left w:w="28" w:type="dxa"/>
                                <w:right w:w="28" w:type="dxa"/>
                              </w:tblCellMar>
                              <w:tblLook w:val="04A0" w:firstRow="1" w:lastRow="0" w:firstColumn="1" w:lastColumn="0" w:noHBand="0" w:noVBand="1"/>
                            </w:tblPr>
                            <w:tblGrid>
                              <w:gridCol w:w="1189"/>
                              <w:gridCol w:w="657"/>
                              <w:gridCol w:w="617"/>
                              <w:gridCol w:w="722"/>
                              <w:gridCol w:w="850"/>
                            </w:tblGrid>
                            <w:tr w:rsidR="008B713D" w14:paraId="39F50DE0" w14:textId="77777777">
                              <w:trPr>
                                <w:trHeight w:val="340"/>
                                <w:jc w:val="center"/>
                              </w:trPr>
                              <w:tc>
                                <w:tcPr>
                                  <w:tcW w:w="4041" w:type="dxa"/>
                                  <w:gridSpan w:val="5"/>
                                  <w:noWrap/>
                                  <w:vAlign w:val="center"/>
                                  <w:hideMark/>
                                </w:tcPr>
                                <w:p w14:paraId="385F455F" w14:textId="77777777" w:rsidR="008B713D" w:rsidRDefault="008B713D">
                                  <w:pPr>
                                    <w:spacing w:line="240" w:lineRule="exact"/>
                                    <w:ind w:left="573" w:hangingChars="260" w:hanging="573"/>
                                    <w:rPr>
                                      <w:rFonts w:ascii="標楷體" w:eastAsia="標楷體" w:hAnsi="標楷體"/>
                                      <w:b/>
                                      <w:color w:val="000000"/>
                                    </w:rPr>
                                  </w:pPr>
                                  <w:r>
                                    <w:rPr>
                                      <w:rFonts w:ascii="標楷體" w:eastAsia="標楷體" w:hAnsi="標楷體" w:hint="eastAsia"/>
                                      <w:b/>
                                      <w:color w:val="000000"/>
                                      <w:spacing w:val="-10"/>
                                    </w:rPr>
                                    <w:t>表5</w:t>
                                  </w:r>
                                  <w:r>
                                    <w:rPr>
                                      <w:rFonts w:ascii="標楷體" w:eastAsia="標楷體" w:hAnsi="標楷體" w:hint="eastAsia"/>
                                      <w:b/>
                                      <w:color w:val="000000"/>
                                      <w:spacing w:val="-14"/>
                                    </w:rPr>
                                    <w:t xml:space="preserve">  </w:t>
                                  </w:r>
                                  <w:r>
                                    <w:rPr>
                                      <w:rFonts w:ascii="標楷體" w:eastAsia="標楷體" w:hAnsi="標楷體" w:hint="eastAsia"/>
                                      <w:b/>
                                      <w:color w:val="000000"/>
                                    </w:rPr>
                                    <w:t>113學年度臺北市公共化幼兒園2歲專班登記候補情形</w:t>
                                  </w:r>
                                </w:p>
                              </w:tc>
                            </w:tr>
                            <w:tr w:rsidR="008B713D" w14:paraId="7DFF41B5" w14:textId="77777777">
                              <w:trPr>
                                <w:trHeight w:val="170"/>
                                <w:jc w:val="center"/>
                              </w:trPr>
                              <w:tc>
                                <w:tcPr>
                                  <w:tcW w:w="4041" w:type="dxa"/>
                                  <w:gridSpan w:val="5"/>
                                  <w:tcBorders>
                                    <w:top w:val="nil"/>
                                    <w:left w:val="nil"/>
                                    <w:bottom w:val="single" w:sz="4" w:space="0" w:color="auto"/>
                                    <w:right w:val="nil"/>
                                  </w:tcBorders>
                                  <w:noWrap/>
                                  <w:vAlign w:val="center"/>
                                  <w:hideMark/>
                                </w:tcPr>
                                <w:p w14:paraId="09222557" w14:textId="77777777" w:rsidR="008B713D" w:rsidRDefault="008B713D">
                                  <w:pPr>
                                    <w:spacing w:line="280" w:lineRule="exact"/>
                                    <w:jc w:val="right"/>
                                    <w:rPr>
                                      <w:rFonts w:ascii="標楷體" w:eastAsia="標楷體" w:hAnsi="標楷體"/>
                                      <w:color w:val="000000"/>
                                      <w:sz w:val="18"/>
                                      <w:szCs w:val="18"/>
                                    </w:rPr>
                                  </w:pPr>
                                  <w:r>
                                    <w:rPr>
                                      <w:rFonts w:ascii="標楷體" w:eastAsia="標楷體" w:hAnsi="標楷體" w:hint="eastAsia"/>
                                      <w:color w:val="000000"/>
                                      <w:sz w:val="20"/>
                                      <w:szCs w:val="20"/>
                                    </w:rPr>
                                    <w:t xml:space="preserve">　單位：人、％</w:t>
                                  </w:r>
                                </w:p>
                              </w:tc>
                            </w:tr>
                            <w:tr w:rsidR="008B713D" w14:paraId="285248BB" w14:textId="77777777">
                              <w:trPr>
                                <w:trHeight w:val="323"/>
                                <w:jc w:val="center"/>
                              </w:trPr>
                              <w:tc>
                                <w:tcPr>
                                  <w:tcW w:w="1191" w:type="dxa"/>
                                  <w:tcBorders>
                                    <w:top w:val="nil"/>
                                    <w:left w:val="single" w:sz="4" w:space="0" w:color="auto"/>
                                    <w:bottom w:val="single" w:sz="4" w:space="0" w:color="auto"/>
                                    <w:right w:val="single" w:sz="4" w:space="0" w:color="auto"/>
                                  </w:tcBorders>
                                  <w:noWrap/>
                                  <w:vAlign w:val="center"/>
                                  <w:hideMark/>
                                </w:tcPr>
                                <w:p w14:paraId="4488CB6B" w14:textId="77777777" w:rsidR="008B713D" w:rsidRDefault="008B713D">
                                  <w:pP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項目</w:t>
                                  </w:r>
                                </w:p>
                              </w:tc>
                              <w:tc>
                                <w:tcPr>
                                  <w:tcW w:w="658" w:type="dxa"/>
                                  <w:tcBorders>
                                    <w:top w:val="nil"/>
                                    <w:left w:val="nil"/>
                                    <w:bottom w:val="single" w:sz="4" w:space="0" w:color="auto"/>
                                    <w:right w:val="single" w:sz="4" w:space="0" w:color="auto"/>
                                  </w:tcBorders>
                                  <w:noWrap/>
                                  <w:vAlign w:val="center"/>
                                  <w:hideMark/>
                                </w:tcPr>
                                <w:p w14:paraId="4EF09BB7" w14:textId="77777777" w:rsidR="008B713D" w:rsidRDefault="008B713D">
                                  <w:pPr>
                                    <w:spacing w:line="220" w:lineRule="exact"/>
                                    <w:jc w:val="center"/>
                                    <w:rPr>
                                      <w:rFonts w:ascii="標楷體" w:eastAsia="標楷體" w:hAnsi="標楷體"/>
                                      <w:bCs/>
                                      <w:color w:val="000000"/>
                                      <w:sz w:val="20"/>
                                      <w:szCs w:val="20"/>
                                    </w:rPr>
                                  </w:pPr>
                                  <w:r>
                                    <w:rPr>
                                      <w:rFonts w:ascii="標楷體" w:eastAsia="標楷體" w:hAnsi="標楷體" w:hint="eastAsia"/>
                                      <w:bCs/>
                                      <w:color w:val="000000"/>
                                      <w:sz w:val="20"/>
                                      <w:szCs w:val="20"/>
                                    </w:rPr>
                                    <w:t>合計</w:t>
                                  </w:r>
                                </w:p>
                              </w:tc>
                              <w:tc>
                                <w:tcPr>
                                  <w:tcW w:w="618" w:type="dxa"/>
                                  <w:tcBorders>
                                    <w:top w:val="nil"/>
                                    <w:left w:val="nil"/>
                                    <w:bottom w:val="single" w:sz="4" w:space="0" w:color="auto"/>
                                    <w:right w:val="single" w:sz="4" w:space="0" w:color="auto"/>
                                  </w:tcBorders>
                                  <w:noWrap/>
                                  <w:vAlign w:val="center"/>
                                  <w:hideMark/>
                                </w:tcPr>
                                <w:p w14:paraId="7F929F22" w14:textId="77777777" w:rsidR="008B713D" w:rsidRDefault="008B713D">
                                  <w:pPr>
                                    <w:spacing w:line="220" w:lineRule="exact"/>
                                    <w:jc w:val="center"/>
                                    <w:rPr>
                                      <w:rFonts w:ascii="標楷體" w:eastAsia="標楷體" w:hAnsi="標楷體"/>
                                      <w:color w:val="000000"/>
                                      <w:spacing w:val="-12"/>
                                      <w:sz w:val="20"/>
                                      <w:szCs w:val="20"/>
                                    </w:rPr>
                                  </w:pPr>
                                  <w:r>
                                    <w:rPr>
                                      <w:rFonts w:ascii="標楷體" w:eastAsia="標楷體" w:hAnsi="標楷體" w:hint="eastAsia"/>
                                      <w:color w:val="000000"/>
                                      <w:spacing w:val="-12"/>
                                      <w:sz w:val="20"/>
                                      <w:szCs w:val="20"/>
                                    </w:rPr>
                                    <w:t>公立</w:t>
                                  </w:r>
                                </w:p>
                                <w:p w14:paraId="36EFCB85" w14:textId="77777777" w:rsidR="008B713D" w:rsidRDefault="008B713D">
                                  <w:pPr>
                                    <w:spacing w:line="220" w:lineRule="exact"/>
                                    <w:jc w:val="center"/>
                                    <w:rPr>
                                      <w:rFonts w:ascii="標楷體" w:eastAsia="標楷體" w:hAnsi="標楷體"/>
                                      <w:color w:val="000000"/>
                                      <w:spacing w:val="-12"/>
                                      <w:sz w:val="20"/>
                                      <w:szCs w:val="20"/>
                                    </w:rPr>
                                  </w:pPr>
                                  <w:r>
                                    <w:rPr>
                                      <w:rFonts w:ascii="標楷體" w:eastAsia="標楷體" w:hAnsi="標楷體" w:hint="eastAsia"/>
                                      <w:color w:val="000000"/>
                                      <w:spacing w:val="-12"/>
                                      <w:sz w:val="20"/>
                                      <w:szCs w:val="20"/>
                                    </w:rPr>
                                    <w:t>幼兒園</w:t>
                                  </w:r>
                                </w:p>
                              </w:tc>
                              <w:tc>
                                <w:tcPr>
                                  <w:tcW w:w="723" w:type="dxa"/>
                                  <w:tcBorders>
                                    <w:top w:val="nil"/>
                                    <w:left w:val="nil"/>
                                    <w:bottom w:val="single" w:sz="4" w:space="0" w:color="auto"/>
                                    <w:right w:val="double" w:sz="4" w:space="0" w:color="auto"/>
                                  </w:tcBorders>
                                  <w:noWrap/>
                                  <w:vAlign w:val="center"/>
                                  <w:hideMark/>
                                </w:tcPr>
                                <w:p w14:paraId="285F8403" w14:textId="77777777" w:rsidR="008B713D" w:rsidRDefault="008B713D">
                                  <w:pPr>
                                    <w:spacing w:line="220" w:lineRule="exact"/>
                                    <w:jc w:val="center"/>
                                    <w:rPr>
                                      <w:rFonts w:ascii="標楷體" w:eastAsia="標楷體" w:hAnsi="標楷體"/>
                                      <w:color w:val="000000"/>
                                      <w:spacing w:val="-12"/>
                                      <w:sz w:val="20"/>
                                      <w:szCs w:val="20"/>
                                    </w:rPr>
                                  </w:pPr>
                                  <w:r>
                                    <w:rPr>
                                      <w:rFonts w:ascii="標楷體" w:eastAsia="標楷體" w:hAnsi="標楷體" w:hint="eastAsia"/>
                                      <w:color w:val="000000"/>
                                      <w:spacing w:val="-12"/>
                                      <w:sz w:val="20"/>
                                      <w:szCs w:val="20"/>
                                    </w:rPr>
                                    <w:t>非營利</w:t>
                                  </w:r>
                                </w:p>
                                <w:p w14:paraId="735820A2" w14:textId="77777777" w:rsidR="008B713D" w:rsidRDefault="008B713D">
                                  <w:pPr>
                                    <w:spacing w:line="220" w:lineRule="exact"/>
                                    <w:jc w:val="center"/>
                                    <w:rPr>
                                      <w:rFonts w:ascii="標楷體" w:eastAsia="標楷體" w:hAnsi="標楷體"/>
                                      <w:color w:val="000000"/>
                                      <w:spacing w:val="-12"/>
                                      <w:sz w:val="20"/>
                                      <w:szCs w:val="20"/>
                                    </w:rPr>
                                  </w:pPr>
                                  <w:r>
                                    <w:rPr>
                                      <w:rFonts w:ascii="標楷體" w:eastAsia="標楷體" w:hAnsi="標楷體" w:hint="eastAsia"/>
                                      <w:color w:val="000000"/>
                                      <w:spacing w:val="-12"/>
                                      <w:sz w:val="20"/>
                                      <w:szCs w:val="20"/>
                                    </w:rPr>
                                    <w:t>幼兒園</w:t>
                                  </w:r>
                                </w:p>
                              </w:tc>
                              <w:tc>
                                <w:tcPr>
                                  <w:tcW w:w="851" w:type="dxa"/>
                                  <w:tcBorders>
                                    <w:top w:val="single" w:sz="4" w:space="0" w:color="auto"/>
                                    <w:left w:val="double" w:sz="4" w:space="0" w:color="auto"/>
                                    <w:bottom w:val="single" w:sz="4" w:space="0" w:color="auto"/>
                                    <w:right w:val="single" w:sz="4" w:space="0" w:color="auto"/>
                                  </w:tcBorders>
                                  <w:noWrap/>
                                  <w:vAlign w:val="center"/>
                                  <w:hideMark/>
                                </w:tcPr>
                                <w:p w14:paraId="16E8D3E0" w14:textId="77777777" w:rsidR="008B713D" w:rsidRDefault="008B713D">
                                  <w:pPr>
                                    <w:spacing w:line="220" w:lineRule="exact"/>
                                    <w:jc w:val="center"/>
                                    <w:rPr>
                                      <w:rFonts w:ascii="標楷體" w:eastAsia="標楷體" w:hAnsi="標楷體"/>
                                      <w:color w:val="000000"/>
                                      <w:spacing w:val="-10"/>
                                      <w:sz w:val="20"/>
                                      <w:szCs w:val="20"/>
                                    </w:rPr>
                                  </w:pPr>
                                  <w:r>
                                    <w:rPr>
                                      <w:rFonts w:ascii="標楷體" w:eastAsia="標楷體" w:hAnsi="標楷體" w:hint="eastAsia"/>
                                      <w:color w:val="000000"/>
                                      <w:spacing w:val="-10"/>
                                      <w:sz w:val="20"/>
                                      <w:szCs w:val="20"/>
                                    </w:rPr>
                                    <w:t>占招收</w:t>
                                  </w:r>
                                </w:p>
                                <w:p w14:paraId="7D14F6F0" w14:textId="77777777" w:rsidR="008B713D" w:rsidRDefault="008B713D">
                                  <w:pPr>
                                    <w:spacing w:line="220" w:lineRule="exact"/>
                                    <w:jc w:val="center"/>
                                    <w:rPr>
                                      <w:rFonts w:ascii="標楷體" w:eastAsia="標楷體" w:hAnsi="標楷體"/>
                                      <w:color w:val="000000"/>
                                      <w:sz w:val="20"/>
                                      <w:szCs w:val="20"/>
                                    </w:rPr>
                                  </w:pPr>
                                  <w:r>
                                    <w:rPr>
                                      <w:rFonts w:ascii="標楷體" w:eastAsia="標楷體" w:hAnsi="標楷體" w:hint="eastAsia"/>
                                      <w:color w:val="000000"/>
                                      <w:spacing w:val="-10"/>
                                      <w:sz w:val="20"/>
                                      <w:szCs w:val="20"/>
                                    </w:rPr>
                                    <w:t>人數比率</w:t>
                                  </w:r>
                                </w:p>
                              </w:tc>
                            </w:tr>
                            <w:tr w:rsidR="008B713D" w14:paraId="64E4EB20" w14:textId="77777777">
                              <w:trPr>
                                <w:trHeight w:val="20"/>
                                <w:jc w:val="center"/>
                              </w:trPr>
                              <w:tc>
                                <w:tcPr>
                                  <w:tcW w:w="1191" w:type="dxa"/>
                                  <w:tcBorders>
                                    <w:top w:val="nil"/>
                                    <w:left w:val="single" w:sz="4" w:space="0" w:color="auto"/>
                                    <w:bottom w:val="single" w:sz="4" w:space="0" w:color="auto"/>
                                    <w:right w:val="single" w:sz="4" w:space="0" w:color="auto"/>
                                  </w:tcBorders>
                                  <w:vAlign w:val="center"/>
                                  <w:hideMark/>
                                </w:tcPr>
                                <w:p w14:paraId="77BCE501" w14:textId="77777777" w:rsidR="008B713D" w:rsidRDefault="008B713D">
                                  <w:pPr>
                                    <w:spacing w:line="220" w:lineRule="exact"/>
                                    <w:jc w:val="center"/>
                                    <w:rPr>
                                      <w:rFonts w:ascii="標楷體" w:eastAsia="標楷體" w:hAnsi="標楷體"/>
                                      <w:color w:val="000000"/>
                                      <w:spacing w:val="-6"/>
                                      <w:sz w:val="20"/>
                                      <w:szCs w:val="20"/>
                                    </w:rPr>
                                  </w:pPr>
                                  <w:r>
                                    <w:rPr>
                                      <w:rFonts w:ascii="標楷體" w:eastAsia="標楷體" w:hAnsi="標楷體" w:hint="eastAsia"/>
                                      <w:color w:val="000000"/>
                                      <w:spacing w:val="-6"/>
                                      <w:sz w:val="20"/>
                                      <w:szCs w:val="20"/>
                                    </w:rPr>
                                    <w:t>核定招生名額</w:t>
                                  </w:r>
                                </w:p>
                              </w:tc>
                              <w:tc>
                                <w:tcPr>
                                  <w:tcW w:w="658" w:type="dxa"/>
                                  <w:tcBorders>
                                    <w:top w:val="nil"/>
                                    <w:left w:val="nil"/>
                                    <w:bottom w:val="single" w:sz="4" w:space="0" w:color="auto"/>
                                    <w:right w:val="single" w:sz="4" w:space="0" w:color="auto"/>
                                  </w:tcBorders>
                                  <w:noWrap/>
                                  <w:vAlign w:val="center"/>
                                  <w:hideMark/>
                                </w:tcPr>
                                <w:p w14:paraId="24AA449C" w14:textId="77777777" w:rsidR="008B713D" w:rsidRDefault="008B713D">
                                  <w:pPr>
                                    <w:spacing w:line="220" w:lineRule="exact"/>
                                    <w:jc w:val="right"/>
                                    <w:rPr>
                                      <w:rFonts w:ascii="標楷體" w:eastAsia="標楷體" w:hAnsi="標楷體"/>
                                      <w:b/>
                                      <w:color w:val="000000"/>
                                      <w:sz w:val="20"/>
                                      <w:szCs w:val="20"/>
                                    </w:rPr>
                                  </w:pPr>
                                  <w:r>
                                    <w:rPr>
                                      <w:rFonts w:ascii="標楷體" w:eastAsia="標楷體" w:hAnsi="標楷體" w:hint="eastAsia"/>
                                      <w:b/>
                                      <w:color w:val="000000"/>
                                      <w:sz w:val="20"/>
                                      <w:szCs w:val="20"/>
                                    </w:rPr>
                                    <w:t>3,632</w:t>
                                  </w:r>
                                </w:p>
                              </w:tc>
                              <w:tc>
                                <w:tcPr>
                                  <w:tcW w:w="618" w:type="dxa"/>
                                  <w:tcBorders>
                                    <w:top w:val="nil"/>
                                    <w:left w:val="nil"/>
                                    <w:bottom w:val="single" w:sz="4" w:space="0" w:color="auto"/>
                                    <w:right w:val="single" w:sz="4" w:space="0" w:color="auto"/>
                                  </w:tcBorders>
                                  <w:noWrap/>
                                  <w:vAlign w:val="center"/>
                                  <w:hideMark/>
                                </w:tcPr>
                                <w:p w14:paraId="3316E838"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2,408</w:t>
                                  </w:r>
                                </w:p>
                              </w:tc>
                              <w:tc>
                                <w:tcPr>
                                  <w:tcW w:w="723" w:type="dxa"/>
                                  <w:tcBorders>
                                    <w:top w:val="nil"/>
                                    <w:left w:val="nil"/>
                                    <w:bottom w:val="single" w:sz="4" w:space="0" w:color="auto"/>
                                    <w:right w:val="double" w:sz="4" w:space="0" w:color="auto"/>
                                  </w:tcBorders>
                                  <w:noWrap/>
                                  <w:vAlign w:val="center"/>
                                  <w:hideMark/>
                                </w:tcPr>
                                <w:p w14:paraId="10D77421"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1,224</w:t>
                                  </w:r>
                                </w:p>
                              </w:tc>
                              <w:tc>
                                <w:tcPr>
                                  <w:tcW w:w="851" w:type="dxa"/>
                                  <w:tcBorders>
                                    <w:top w:val="single" w:sz="4" w:space="0" w:color="auto"/>
                                    <w:left w:val="double" w:sz="4" w:space="0" w:color="auto"/>
                                    <w:bottom w:val="single" w:sz="4" w:space="0" w:color="auto"/>
                                    <w:right w:val="single" w:sz="4" w:space="0" w:color="auto"/>
                                    <w:tl2br w:val="single" w:sz="4" w:space="0" w:color="auto"/>
                                  </w:tcBorders>
                                  <w:noWrap/>
                                  <w:vAlign w:val="center"/>
                                </w:tcPr>
                                <w:p w14:paraId="348EC9EA" w14:textId="77777777" w:rsidR="008B713D" w:rsidRDefault="008B713D">
                                  <w:pPr>
                                    <w:spacing w:line="220" w:lineRule="exact"/>
                                    <w:jc w:val="right"/>
                                    <w:rPr>
                                      <w:rFonts w:ascii="標楷體" w:eastAsia="標楷體" w:hAnsi="標楷體"/>
                                      <w:color w:val="000000"/>
                                      <w:sz w:val="20"/>
                                      <w:szCs w:val="20"/>
                                    </w:rPr>
                                  </w:pPr>
                                </w:p>
                              </w:tc>
                            </w:tr>
                            <w:tr w:rsidR="008B713D" w14:paraId="46B07AB5" w14:textId="77777777">
                              <w:trPr>
                                <w:trHeight w:val="20"/>
                                <w:jc w:val="center"/>
                              </w:trPr>
                              <w:tc>
                                <w:tcPr>
                                  <w:tcW w:w="1191" w:type="dxa"/>
                                  <w:tcBorders>
                                    <w:top w:val="nil"/>
                                    <w:left w:val="single" w:sz="4" w:space="0" w:color="auto"/>
                                    <w:bottom w:val="single" w:sz="4" w:space="0" w:color="auto"/>
                                    <w:right w:val="single" w:sz="4" w:space="0" w:color="auto"/>
                                  </w:tcBorders>
                                  <w:vAlign w:val="center"/>
                                  <w:hideMark/>
                                </w:tcPr>
                                <w:p w14:paraId="3D1D11A7" w14:textId="77777777" w:rsidR="008B713D" w:rsidRDefault="008B713D">
                                  <w:pP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登記人數</w:t>
                                  </w:r>
                                </w:p>
                              </w:tc>
                              <w:tc>
                                <w:tcPr>
                                  <w:tcW w:w="658" w:type="dxa"/>
                                  <w:tcBorders>
                                    <w:top w:val="nil"/>
                                    <w:left w:val="nil"/>
                                    <w:bottom w:val="single" w:sz="4" w:space="0" w:color="auto"/>
                                    <w:right w:val="single" w:sz="4" w:space="0" w:color="auto"/>
                                  </w:tcBorders>
                                  <w:noWrap/>
                                  <w:vAlign w:val="center"/>
                                  <w:hideMark/>
                                </w:tcPr>
                                <w:p w14:paraId="1F3B0425" w14:textId="77777777" w:rsidR="008B713D" w:rsidRDefault="008B713D">
                                  <w:pPr>
                                    <w:spacing w:line="220" w:lineRule="exact"/>
                                    <w:jc w:val="right"/>
                                    <w:rPr>
                                      <w:rFonts w:ascii="標楷體" w:eastAsia="標楷體" w:hAnsi="標楷體"/>
                                      <w:b/>
                                      <w:color w:val="000000"/>
                                      <w:sz w:val="20"/>
                                      <w:szCs w:val="20"/>
                                    </w:rPr>
                                  </w:pPr>
                                  <w:r>
                                    <w:rPr>
                                      <w:rFonts w:ascii="標楷體" w:eastAsia="標楷體" w:hAnsi="標楷體" w:hint="eastAsia"/>
                                      <w:b/>
                                      <w:color w:val="000000"/>
                                      <w:sz w:val="20"/>
                                      <w:szCs w:val="20"/>
                                    </w:rPr>
                                    <w:t>9,395</w:t>
                                  </w:r>
                                </w:p>
                              </w:tc>
                              <w:tc>
                                <w:tcPr>
                                  <w:tcW w:w="618" w:type="dxa"/>
                                  <w:tcBorders>
                                    <w:top w:val="nil"/>
                                    <w:left w:val="nil"/>
                                    <w:bottom w:val="single" w:sz="4" w:space="0" w:color="auto"/>
                                    <w:right w:val="single" w:sz="4" w:space="0" w:color="auto"/>
                                  </w:tcBorders>
                                  <w:noWrap/>
                                  <w:vAlign w:val="center"/>
                                  <w:hideMark/>
                                </w:tcPr>
                                <w:p w14:paraId="361AB611"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5,206</w:t>
                                  </w:r>
                                </w:p>
                              </w:tc>
                              <w:tc>
                                <w:tcPr>
                                  <w:tcW w:w="723" w:type="dxa"/>
                                  <w:tcBorders>
                                    <w:top w:val="nil"/>
                                    <w:left w:val="nil"/>
                                    <w:bottom w:val="single" w:sz="4" w:space="0" w:color="auto"/>
                                    <w:right w:val="double" w:sz="4" w:space="0" w:color="auto"/>
                                  </w:tcBorders>
                                  <w:noWrap/>
                                  <w:vAlign w:val="center"/>
                                  <w:hideMark/>
                                </w:tcPr>
                                <w:p w14:paraId="39C76D9D"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4,189</w:t>
                                  </w:r>
                                </w:p>
                              </w:tc>
                              <w:tc>
                                <w:tcPr>
                                  <w:tcW w:w="851" w:type="dxa"/>
                                  <w:tcBorders>
                                    <w:top w:val="single" w:sz="4" w:space="0" w:color="auto"/>
                                    <w:left w:val="double" w:sz="4" w:space="0" w:color="auto"/>
                                    <w:bottom w:val="single" w:sz="4" w:space="0" w:color="auto"/>
                                    <w:right w:val="single" w:sz="4" w:space="0" w:color="auto"/>
                                  </w:tcBorders>
                                  <w:noWrap/>
                                  <w:vAlign w:val="center"/>
                                  <w:hideMark/>
                                </w:tcPr>
                                <w:p w14:paraId="32C4E5CB"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258.67</w:t>
                                  </w:r>
                                </w:p>
                              </w:tc>
                            </w:tr>
                            <w:tr w:rsidR="008B713D" w14:paraId="08CBC578" w14:textId="77777777">
                              <w:trPr>
                                <w:trHeight w:val="20"/>
                                <w:jc w:val="center"/>
                              </w:trPr>
                              <w:tc>
                                <w:tcPr>
                                  <w:tcW w:w="1191" w:type="dxa"/>
                                  <w:tcBorders>
                                    <w:top w:val="nil"/>
                                    <w:left w:val="single" w:sz="4" w:space="0" w:color="auto"/>
                                    <w:bottom w:val="single" w:sz="4" w:space="0" w:color="auto"/>
                                    <w:right w:val="single" w:sz="4" w:space="0" w:color="auto"/>
                                  </w:tcBorders>
                                  <w:vAlign w:val="center"/>
                                  <w:hideMark/>
                                </w:tcPr>
                                <w:p w14:paraId="7B60430C" w14:textId="77777777" w:rsidR="008B713D" w:rsidRDefault="008B713D">
                                  <w:pP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備取人數</w:t>
                                  </w:r>
                                </w:p>
                              </w:tc>
                              <w:tc>
                                <w:tcPr>
                                  <w:tcW w:w="658" w:type="dxa"/>
                                  <w:tcBorders>
                                    <w:top w:val="nil"/>
                                    <w:left w:val="nil"/>
                                    <w:bottom w:val="single" w:sz="4" w:space="0" w:color="auto"/>
                                    <w:right w:val="single" w:sz="4" w:space="0" w:color="auto"/>
                                  </w:tcBorders>
                                  <w:noWrap/>
                                  <w:vAlign w:val="center"/>
                                  <w:hideMark/>
                                </w:tcPr>
                                <w:p w14:paraId="36F926A2" w14:textId="77777777" w:rsidR="008B713D" w:rsidRDefault="008B713D">
                                  <w:pPr>
                                    <w:spacing w:line="220" w:lineRule="exact"/>
                                    <w:jc w:val="right"/>
                                    <w:rPr>
                                      <w:rFonts w:ascii="標楷體" w:eastAsia="標楷體" w:hAnsi="標楷體"/>
                                      <w:b/>
                                      <w:color w:val="000000"/>
                                      <w:sz w:val="20"/>
                                      <w:szCs w:val="20"/>
                                    </w:rPr>
                                  </w:pPr>
                                  <w:r>
                                    <w:rPr>
                                      <w:rFonts w:ascii="標楷體" w:eastAsia="標楷體" w:hAnsi="標楷體" w:hint="eastAsia"/>
                                      <w:b/>
                                      <w:color w:val="000000"/>
                                      <w:sz w:val="20"/>
                                      <w:szCs w:val="20"/>
                                    </w:rPr>
                                    <w:t>5,961</w:t>
                                  </w:r>
                                </w:p>
                              </w:tc>
                              <w:tc>
                                <w:tcPr>
                                  <w:tcW w:w="618" w:type="dxa"/>
                                  <w:tcBorders>
                                    <w:top w:val="nil"/>
                                    <w:left w:val="nil"/>
                                    <w:bottom w:val="single" w:sz="4" w:space="0" w:color="auto"/>
                                    <w:right w:val="single" w:sz="4" w:space="0" w:color="auto"/>
                                  </w:tcBorders>
                                  <w:noWrap/>
                                  <w:vAlign w:val="center"/>
                                  <w:hideMark/>
                                </w:tcPr>
                                <w:p w14:paraId="0F4BF7AF"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2,870</w:t>
                                  </w:r>
                                </w:p>
                              </w:tc>
                              <w:tc>
                                <w:tcPr>
                                  <w:tcW w:w="723" w:type="dxa"/>
                                  <w:tcBorders>
                                    <w:top w:val="nil"/>
                                    <w:left w:val="nil"/>
                                    <w:bottom w:val="single" w:sz="4" w:space="0" w:color="auto"/>
                                    <w:right w:val="double" w:sz="4" w:space="0" w:color="auto"/>
                                  </w:tcBorders>
                                  <w:noWrap/>
                                  <w:vAlign w:val="center"/>
                                  <w:hideMark/>
                                </w:tcPr>
                                <w:p w14:paraId="7069BE73"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3,091</w:t>
                                  </w:r>
                                </w:p>
                              </w:tc>
                              <w:tc>
                                <w:tcPr>
                                  <w:tcW w:w="851" w:type="dxa"/>
                                  <w:tcBorders>
                                    <w:top w:val="single" w:sz="4" w:space="0" w:color="auto"/>
                                    <w:left w:val="double" w:sz="4" w:space="0" w:color="auto"/>
                                    <w:bottom w:val="single" w:sz="4" w:space="0" w:color="auto"/>
                                    <w:right w:val="single" w:sz="4" w:space="0" w:color="auto"/>
                                  </w:tcBorders>
                                  <w:noWrap/>
                                  <w:vAlign w:val="center"/>
                                  <w:hideMark/>
                                </w:tcPr>
                                <w:p w14:paraId="23BC45BA"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164.12</w:t>
                                  </w:r>
                                </w:p>
                              </w:tc>
                            </w:tr>
                            <w:tr w:rsidR="008B713D" w14:paraId="714D4710" w14:textId="77777777">
                              <w:trPr>
                                <w:trHeight w:val="323"/>
                                <w:jc w:val="center"/>
                              </w:trPr>
                              <w:tc>
                                <w:tcPr>
                                  <w:tcW w:w="4041" w:type="dxa"/>
                                  <w:gridSpan w:val="5"/>
                                  <w:tcBorders>
                                    <w:top w:val="single" w:sz="4" w:space="0" w:color="auto"/>
                                    <w:left w:val="nil"/>
                                    <w:bottom w:val="nil"/>
                                    <w:right w:val="nil"/>
                                  </w:tcBorders>
                                  <w:vAlign w:val="center"/>
                                  <w:hideMark/>
                                </w:tcPr>
                                <w:p w14:paraId="0C63385B" w14:textId="77777777" w:rsidR="008B713D" w:rsidRDefault="008B713D">
                                  <w:pPr>
                                    <w:spacing w:line="200" w:lineRule="exact"/>
                                    <w:ind w:left="540" w:hangingChars="300" w:hanging="540"/>
                                    <w:jc w:val="both"/>
                                    <w:rPr>
                                      <w:rFonts w:ascii="標楷體" w:eastAsia="標楷體" w:hAnsi="標楷體"/>
                                      <w:sz w:val="18"/>
                                      <w:szCs w:val="18"/>
                                    </w:rPr>
                                  </w:pPr>
                                  <w:proofErr w:type="gramStart"/>
                                  <w:r>
                                    <w:rPr>
                                      <w:rFonts w:ascii="標楷體" w:eastAsia="標楷體" w:hAnsi="標楷體" w:hint="eastAsia"/>
                                      <w:color w:val="000000"/>
                                      <w:sz w:val="18"/>
                                      <w:szCs w:val="18"/>
                                    </w:rPr>
                                    <w:t>註</w:t>
                                  </w:r>
                                  <w:proofErr w:type="gramEnd"/>
                                  <w:r>
                                    <w:rPr>
                                      <w:rFonts w:ascii="標楷體" w:eastAsia="標楷體" w:hAnsi="標楷體" w:hint="eastAsia"/>
                                      <w:color w:val="000000"/>
                                      <w:sz w:val="18"/>
                                      <w:szCs w:val="18"/>
                                    </w:rPr>
                                    <w:t>：1.核定招生名額</w:t>
                                  </w:r>
                                  <w:r>
                                    <w:rPr>
                                      <w:rFonts w:ascii="標楷體" w:eastAsia="標楷體" w:hAnsi="標楷體" w:hint="eastAsia"/>
                                      <w:sz w:val="18"/>
                                      <w:szCs w:val="18"/>
                                    </w:rPr>
                                    <w:t>係各園扣除原園直升幼兒及依臺北市特殊教育學生鑑定及就學輔導會鑑定結果適性安置之身心障礙幼兒（含減收名額）後，其餘名額開放招生登記。</w:t>
                                  </w:r>
                                </w:p>
                                <w:p w14:paraId="5575B188" w14:textId="77777777" w:rsidR="008B713D" w:rsidRDefault="008B713D">
                                  <w:pPr>
                                    <w:spacing w:line="200" w:lineRule="exact"/>
                                    <w:ind w:left="540" w:hangingChars="300" w:hanging="540"/>
                                    <w:rPr>
                                      <w:rFonts w:ascii="標楷體" w:eastAsia="標楷體" w:hAnsi="標楷體"/>
                                      <w:sz w:val="18"/>
                                      <w:szCs w:val="18"/>
                                    </w:rPr>
                                  </w:pPr>
                                  <w:r>
                                    <w:rPr>
                                      <w:rFonts w:ascii="標楷體" w:eastAsia="標楷體" w:hAnsi="標楷體" w:hint="eastAsia"/>
                                      <w:sz w:val="18"/>
                                      <w:szCs w:val="18"/>
                                    </w:rPr>
                                    <w:t xml:space="preserve">    2.每位幼兒於招生辦理階段報名</w:t>
                                  </w:r>
                                  <w:proofErr w:type="gramStart"/>
                                  <w:r>
                                    <w:rPr>
                                      <w:rFonts w:ascii="標楷體" w:eastAsia="標楷體" w:hAnsi="標楷體" w:hint="eastAsia"/>
                                      <w:sz w:val="18"/>
                                      <w:szCs w:val="18"/>
                                    </w:rPr>
                                    <w:t>期間，</w:t>
                                  </w:r>
                                  <w:proofErr w:type="gramEnd"/>
                                  <w:r>
                                    <w:rPr>
                                      <w:rFonts w:ascii="標楷體" w:eastAsia="標楷體" w:hAnsi="標楷體" w:hint="eastAsia"/>
                                      <w:sz w:val="18"/>
                                      <w:szCs w:val="18"/>
                                    </w:rPr>
                                    <w:t>可登記公立幼兒園及非營利幼兒園各1間。</w:t>
                                  </w:r>
                                </w:p>
                                <w:p w14:paraId="1F288A45" w14:textId="77777777" w:rsidR="008B713D" w:rsidRDefault="008B713D">
                                  <w:pPr>
                                    <w:spacing w:line="200" w:lineRule="exact"/>
                                    <w:ind w:firstLineChars="200" w:firstLine="360"/>
                                    <w:rPr>
                                      <w:rFonts w:ascii="標楷體" w:eastAsia="標楷體" w:hAnsi="標楷體"/>
                                      <w:color w:val="000000"/>
                                      <w:sz w:val="18"/>
                                      <w:szCs w:val="18"/>
                                    </w:rPr>
                                  </w:pPr>
                                  <w:r>
                                    <w:rPr>
                                      <w:rFonts w:ascii="標楷體" w:eastAsia="標楷體" w:hAnsi="標楷體" w:hint="eastAsia"/>
                                      <w:sz w:val="18"/>
                                      <w:szCs w:val="18"/>
                                    </w:rPr>
                                    <w:t>3.資料來源：整理自教育局提供資料。</w:t>
                                  </w:r>
                                </w:p>
                              </w:tc>
                            </w:tr>
                          </w:tbl>
                          <w:p w14:paraId="3CAC3463" w14:textId="77777777" w:rsidR="008B713D" w:rsidRDefault="008B713D" w:rsidP="008B713D">
                            <w:pPr>
                              <w:rPr>
                                <w:rFonts w:ascii="標楷體" w:eastAsia="標楷體" w:hAnsi="標楷體"/>
                                <w:sz w:val="18"/>
                                <w:szCs w:val="18"/>
                              </w:rPr>
                            </w:pP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6FCB337" id="文字方塊 25" o:spid="_x0000_s1061" type="#_x0000_t202" style="position:absolute;left:0;text-align:left;margin-left:283.9pt;margin-top:504.7pt;width:221.1pt;height:176.25pt;z-index:-25161932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" filled="f" stroked="f">
                <v:textbox>
                  <w:txbxContent>
                    <w:tbl>
                      <w:tblPr>
                        <w:tblW w:w="4035" w:type="dxa"/>
                        <w:jc w:val="center"/>
                        <w:tblLayout w:type="fixed"/>
                        <w:tblCellMar>
                          <w:left w:w="28" w:type="dxa"/>
                          <w:right w:w="28" w:type="dxa"/>
                        </w:tblCellMar>
                        <w:tblLook w:val="04A0" w:firstRow="1" w:lastRow="0" w:firstColumn="1" w:lastColumn="0" w:noHBand="0" w:noVBand="1"/>
                      </w:tblPr>
                      <w:tblGrid>
                        <w:gridCol w:w="1189"/>
                        <w:gridCol w:w="657"/>
                        <w:gridCol w:w="617"/>
                        <w:gridCol w:w="722"/>
                        <w:gridCol w:w="850"/>
                      </w:tblGrid>
                      <w:tr w:rsidR="008B713D" w14:paraId="39F50DE0" w14:textId="77777777">
                        <w:trPr>
                          <w:trHeight w:val="340"/>
                          <w:jc w:val="center"/>
                        </w:trPr>
                        <w:tc>
                          <w:tcPr>
                            <w:tcW w:w="4041" w:type="dxa"/>
                            <w:gridSpan w:val="5"/>
                            <w:noWrap/>
                            <w:vAlign w:val="center"/>
                            <w:hideMark/>
                          </w:tcPr>
                          <w:p w14:paraId="385F455F" w14:textId="77777777" w:rsidR="008B713D" w:rsidRDefault="008B713D">
                            <w:pPr>
                              <w:spacing w:line="240" w:lineRule="exact"/>
                              <w:ind w:left="573" w:hangingChars="260" w:hanging="573"/>
                              <w:rPr>
                                <w:rFonts w:ascii="標楷體" w:eastAsia="標楷體" w:hAnsi="標楷體"/>
                                <w:b/>
                                <w:color w:val="000000"/>
                              </w:rPr>
                            </w:pPr>
                            <w:r>
                              <w:rPr>
                                <w:rFonts w:ascii="標楷體" w:eastAsia="標楷體" w:hAnsi="標楷體" w:hint="eastAsia"/>
                                <w:b/>
                                <w:color w:val="000000"/>
                                <w:spacing w:val="-10"/>
                              </w:rPr>
                              <w:t>表5</w:t>
                            </w:r>
                            <w:r>
                              <w:rPr>
                                <w:rFonts w:ascii="標楷體" w:eastAsia="標楷體" w:hAnsi="標楷體" w:hint="eastAsia"/>
                                <w:b/>
                                <w:color w:val="000000"/>
                                <w:spacing w:val="-14"/>
                              </w:rPr>
                              <w:t xml:space="preserve">  </w:t>
                            </w:r>
                            <w:r>
                              <w:rPr>
                                <w:rFonts w:ascii="標楷體" w:eastAsia="標楷體" w:hAnsi="標楷體" w:hint="eastAsia"/>
                                <w:b/>
                                <w:color w:val="000000"/>
                              </w:rPr>
                              <w:t>113學年度臺北市公共化幼兒園2歲專班登記候補情形</w:t>
                            </w:r>
                          </w:p>
                        </w:tc>
                      </w:tr>
                      <w:tr w:rsidR="008B713D" w14:paraId="7DFF41B5" w14:textId="77777777">
                        <w:trPr>
                          <w:trHeight w:val="170"/>
                          <w:jc w:val="center"/>
                        </w:trPr>
                        <w:tc>
                          <w:tcPr>
                            <w:tcW w:w="4041" w:type="dxa"/>
                            <w:gridSpan w:val="5"/>
                            <w:tcBorders>
                              <w:top w:val="nil"/>
                              <w:left w:val="nil"/>
                              <w:bottom w:val="single" w:sz="4" w:space="0" w:color="auto"/>
                              <w:right w:val="nil"/>
                            </w:tcBorders>
                            <w:noWrap/>
                            <w:vAlign w:val="center"/>
                            <w:hideMark/>
                          </w:tcPr>
                          <w:p w14:paraId="09222557" w14:textId="77777777" w:rsidR="008B713D" w:rsidRDefault="008B713D">
                            <w:pPr>
                              <w:spacing w:line="280" w:lineRule="exact"/>
                              <w:jc w:val="right"/>
                              <w:rPr>
                                <w:rFonts w:ascii="標楷體" w:eastAsia="標楷體" w:hAnsi="標楷體"/>
                                <w:color w:val="000000"/>
                                <w:sz w:val="18"/>
                                <w:szCs w:val="18"/>
                              </w:rPr>
                            </w:pPr>
                            <w:r>
                              <w:rPr>
                                <w:rFonts w:ascii="標楷體" w:eastAsia="標楷體" w:hAnsi="標楷體" w:hint="eastAsia"/>
                                <w:color w:val="000000"/>
                                <w:sz w:val="20"/>
                                <w:szCs w:val="20"/>
                              </w:rPr>
                              <w:t xml:space="preserve">　單位：人、％</w:t>
                            </w:r>
                          </w:p>
                        </w:tc>
                      </w:tr>
                      <w:tr w:rsidR="008B713D" w14:paraId="285248BB" w14:textId="77777777">
                        <w:trPr>
                          <w:trHeight w:val="323"/>
                          <w:jc w:val="center"/>
                        </w:trPr>
                        <w:tc>
                          <w:tcPr>
                            <w:tcW w:w="1191" w:type="dxa"/>
                            <w:tcBorders>
                              <w:top w:val="nil"/>
                              <w:left w:val="single" w:sz="4" w:space="0" w:color="auto"/>
                              <w:bottom w:val="single" w:sz="4" w:space="0" w:color="auto"/>
                              <w:right w:val="single" w:sz="4" w:space="0" w:color="auto"/>
                            </w:tcBorders>
                            <w:noWrap/>
                            <w:vAlign w:val="center"/>
                            <w:hideMark/>
                          </w:tcPr>
                          <w:p w14:paraId="4488CB6B" w14:textId="77777777" w:rsidR="008B713D" w:rsidRDefault="008B713D">
                            <w:pP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項目</w:t>
                            </w:r>
                          </w:p>
                        </w:tc>
                        <w:tc>
                          <w:tcPr>
                            <w:tcW w:w="658" w:type="dxa"/>
                            <w:tcBorders>
                              <w:top w:val="nil"/>
                              <w:left w:val="nil"/>
                              <w:bottom w:val="single" w:sz="4" w:space="0" w:color="auto"/>
                              <w:right w:val="single" w:sz="4" w:space="0" w:color="auto"/>
                            </w:tcBorders>
                            <w:noWrap/>
                            <w:vAlign w:val="center"/>
                            <w:hideMark/>
                          </w:tcPr>
                          <w:p w14:paraId="4EF09BB7" w14:textId="77777777" w:rsidR="008B713D" w:rsidRDefault="008B713D">
                            <w:pPr>
                              <w:spacing w:line="220" w:lineRule="exact"/>
                              <w:jc w:val="center"/>
                              <w:rPr>
                                <w:rFonts w:ascii="標楷體" w:eastAsia="標楷體" w:hAnsi="標楷體"/>
                                <w:bCs/>
                                <w:color w:val="000000"/>
                                <w:sz w:val="20"/>
                                <w:szCs w:val="20"/>
                              </w:rPr>
                            </w:pPr>
                            <w:r>
                              <w:rPr>
                                <w:rFonts w:ascii="標楷體" w:eastAsia="標楷體" w:hAnsi="標楷體" w:hint="eastAsia"/>
                                <w:bCs/>
                                <w:color w:val="000000"/>
                                <w:sz w:val="20"/>
                                <w:szCs w:val="20"/>
                              </w:rPr>
                              <w:t>合計</w:t>
                            </w:r>
                          </w:p>
                        </w:tc>
                        <w:tc>
                          <w:tcPr>
                            <w:tcW w:w="618" w:type="dxa"/>
                            <w:tcBorders>
                              <w:top w:val="nil"/>
                              <w:left w:val="nil"/>
                              <w:bottom w:val="single" w:sz="4" w:space="0" w:color="auto"/>
                              <w:right w:val="single" w:sz="4" w:space="0" w:color="auto"/>
                            </w:tcBorders>
                            <w:noWrap/>
                            <w:vAlign w:val="center"/>
                            <w:hideMark/>
                          </w:tcPr>
                          <w:p w14:paraId="7F929F22" w14:textId="77777777" w:rsidR="008B713D" w:rsidRDefault="008B713D">
                            <w:pPr>
                              <w:spacing w:line="220" w:lineRule="exact"/>
                              <w:jc w:val="center"/>
                              <w:rPr>
                                <w:rFonts w:ascii="標楷體" w:eastAsia="標楷體" w:hAnsi="標楷體"/>
                                <w:color w:val="000000"/>
                                <w:spacing w:val="-12"/>
                                <w:sz w:val="20"/>
                                <w:szCs w:val="20"/>
                              </w:rPr>
                            </w:pPr>
                            <w:r>
                              <w:rPr>
                                <w:rFonts w:ascii="標楷體" w:eastAsia="標楷體" w:hAnsi="標楷體" w:hint="eastAsia"/>
                                <w:color w:val="000000"/>
                                <w:spacing w:val="-12"/>
                                <w:sz w:val="20"/>
                                <w:szCs w:val="20"/>
                              </w:rPr>
                              <w:t>公立</w:t>
                            </w:r>
                          </w:p>
                          <w:p w14:paraId="36EFCB85" w14:textId="77777777" w:rsidR="008B713D" w:rsidRDefault="008B713D">
                            <w:pPr>
                              <w:spacing w:line="220" w:lineRule="exact"/>
                              <w:jc w:val="center"/>
                              <w:rPr>
                                <w:rFonts w:ascii="標楷體" w:eastAsia="標楷體" w:hAnsi="標楷體"/>
                                <w:color w:val="000000"/>
                                <w:spacing w:val="-12"/>
                                <w:sz w:val="20"/>
                                <w:szCs w:val="20"/>
                              </w:rPr>
                            </w:pPr>
                            <w:r>
                              <w:rPr>
                                <w:rFonts w:ascii="標楷體" w:eastAsia="標楷體" w:hAnsi="標楷體" w:hint="eastAsia"/>
                                <w:color w:val="000000"/>
                                <w:spacing w:val="-12"/>
                                <w:sz w:val="20"/>
                                <w:szCs w:val="20"/>
                              </w:rPr>
                              <w:t>幼兒園</w:t>
                            </w:r>
                          </w:p>
                        </w:tc>
                        <w:tc>
                          <w:tcPr>
                            <w:tcW w:w="723" w:type="dxa"/>
                            <w:tcBorders>
                              <w:top w:val="nil"/>
                              <w:left w:val="nil"/>
                              <w:bottom w:val="single" w:sz="4" w:space="0" w:color="auto"/>
                              <w:right w:val="double" w:sz="4" w:space="0" w:color="auto"/>
                            </w:tcBorders>
                            <w:noWrap/>
                            <w:vAlign w:val="center"/>
                            <w:hideMark/>
                          </w:tcPr>
                          <w:p w14:paraId="285F8403" w14:textId="77777777" w:rsidR="008B713D" w:rsidRDefault="008B713D">
                            <w:pPr>
                              <w:spacing w:line="220" w:lineRule="exact"/>
                              <w:jc w:val="center"/>
                              <w:rPr>
                                <w:rFonts w:ascii="標楷體" w:eastAsia="標楷體" w:hAnsi="標楷體"/>
                                <w:color w:val="000000"/>
                                <w:spacing w:val="-12"/>
                                <w:sz w:val="20"/>
                                <w:szCs w:val="20"/>
                              </w:rPr>
                            </w:pPr>
                            <w:r>
                              <w:rPr>
                                <w:rFonts w:ascii="標楷體" w:eastAsia="標楷體" w:hAnsi="標楷體" w:hint="eastAsia"/>
                                <w:color w:val="000000"/>
                                <w:spacing w:val="-12"/>
                                <w:sz w:val="20"/>
                                <w:szCs w:val="20"/>
                              </w:rPr>
                              <w:t>非營利</w:t>
                            </w:r>
                          </w:p>
                          <w:p w14:paraId="735820A2" w14:textId="77777777" w:rsidR="008B713D" w:rsidRDefault="008B713D">
                            <w:pPr>
                              <w:spacing w:line="220" w:lineRule="exact"/>
                              <w:jc w:val="center"/>
                              <w:rPr>
                                <w:rFonts w:ascii="標楷體" w:eastAsia="標楷體" w:hAnsi="標楷體"/>
                                <w:color w:val="000000"/>
                                <w:spacing w:val="-12"/>
                                <w:sz w:val="20"/>
                                <w:szCs w:val="20"/>
                              </w:rPr>
                            </w:pPr>
                            <w:r>
                              <w:rPr>
                                <w:rFonts w:ascii="標楷體" w:eastAsia="標楷體" w:hAnsi="標楷體" w:hint="eastAsia"/>
                                <w:color w:val="000000"/>
                                <w:spacing w:val="-12"/>
                                <w:sz w:val="20"/>
                                <w:szCs w:val="20"/>
                              </w:rPr>
                              <w:t>幼兒園</w:t>
                            </w:r>
                          </w:p>
                        </w:tc>
                        <w:tc>
                          <w:tcPr>
                            <w:tcW w:w="851" w:type="dxa"/>
                            <w:tcBorders>
                              <w:top w:val="single" w:sz="4" w:space="0" w:color="auto"/>
                              <w:left w:val="double" w:sz="4" w:space="0" w:color="auto"/>
                              <w:bottom w:val="single" w:sz="4" w:space="0" w:color="auto"/>
                              <w:right w:val="single" w:sz="4" w:space="0" w:color="auto"/>
                            </w:tcBorders>
                            <w:noWrap/>
                            <w:vAlign w:val="center"/>
                            <w:hideMark/>
                          </w:tcPr>
                          <w:p w14:paraId="16E8D3E0" w14:textId="77777777" w:rsidR="008B713D" w:rsidRDefault="008B713D">
                            <w:pPr>
                              <w:spacing w:line="220" w:lineRule="exact"/>
                              <w:jc w:val="center"/>
                              <w:rPr>
                                <w:rFonts w:ascii="標楷體" w:eastAsia="標楷體" w:hAnsi="標楷體"/>
                                <w:color w:val="000000"/>
                                <w:spacing w:val="-10"/>
                                <w:sz w:val="20"/>
                                <w:szCs w:val="20"/>
                              </w:rPr>
                            </w:pPr>
                            <w:r>
                              <w:rPr>
                                <w:rFonts w:ascii="標楷體" w:eastAsia="標楷體" w:hAnsi="標楷體" w:hint="eastAsia"/>
                                <w:color w:val="000000"/>
                                <w:spacing w:val="-10"/>
                                <w:sz w:val="20"/>
                                <w:szCs w:val="20"/>
                              </w:rPr>
                              <w:t>占招收</w:t>
                            </w:r>
                          </w:p>
                          <w:p w14:paraId="7D14F6F0" w14:textId="77777777" w:rsidR="008B713D" w:rsidRDefault="008B713D">
                            <w:pPr>
                              <w:spacing w:line="220" w:lineRule="exact"/>
                              <w:jc w:val="center"/>
                              <w:rPr>
                                <w:rFonts w:ascii="標楷體" w:eastAsia="標楷體" w:hAnsi="標楷體"/>
                                <w:color w:val="000000"/>
                                <w:sz w:val="20"/>
                                <w:szCs w:val="20"/>
                              </w:rPr>
                            </w:pPr>
                            <w:r>
                              <w:rPr>
                                <w:rFonts w:ascii="標楷體" w:eastAsia="標楷體" w:hAnsi="標楷體" w:hint="eastAsia"/>
                                <w:color w:val="000000"/>
                                <w:spacing w:val="-10"/>
                                <w:sz w:val="20"/>
                                <w:szCs w:val="20"/>
                              </w:rPr>
                              <w:t>人數比率</w:t>
                            </w:r>
                          </w:p>
                        </w:tc>
                      </w:tr>
                      <w:tr w:rsidR="008B713D" w14:paraId="64E4EB20" w14:textId="77777777">
                        <w:trPr>
                          <w:trHeight w:val="20"/>
                          <w:jc w:val="center"/>
                        </w:trPr>
                        <w:tc>
                          <w:tcPr>
                            <w:tcW w:w="1191" w:type="dxa"/>
                            <w:tcBorders>
                              <w:top w:val="nil"/>
                              <w:left w:val="single" w:sz="4" w:space="0" w:color="auto"/>
                              <w:bottom w:val="single" w:sz="4" w:space="0" w:color="auto"/>
                              <w:right w:val="single" w:sz="4" w:space="0" w:color="auto"/>
                            </w:tcBorders>
                            <w:vAlign w:val="center"/>
                            <w:hideMark/>
                          </w:tcPr>
                          <w:p w14:paraId="77BCE501" w14:textId="77777777" w:rsidR="008B713D" w:rsidRDefault="008B713D">
                            <w:pPr>
                              <w:spacing w:line="220" w:lineRule="exact"/>
                              <w:jc w:val="center"/>
                              <w:rPr>
                                <w:rFonts w:ascii="標楷體" w:eastAsia="標楷體" w:hAnsi="標楷體"/>
                                <w:color w:val="000000"/>
                                <w:spacing w:val="-6"/>
                                <w:sz w:val="20"/>
                                <w:szCs w:val="20"/>
                              </w:rPr>
                            </w:pPr>
                            <w:r>
                              <w:rPr>
                                <w:rFonts w:ascii="標楷體" w:eastAsia="標楷體" w:hAnsi="標楷體" w:hint="eastAsia"/>
                                <w:color w:val="000000"/>
                                <w:spacing w:val="-6"/>
                                <w:sz w:val="20"/>
                                <w:szCs w:val="20"/>
                              </w:rPr>
                              <w:t>核定招生名額</w:t>
                            </w:r>
                          </w:p>
                        </w:tc>
                        <w:tc>
                          <w:tcPr>
                            <w:tcW w:w="658" w:type="dxa"/>
                            <w:tcBorders>
                              <w:top w:val="nil"/>
                              <w:left w:val="nil"/>
                              <w:bottom w:val="single" w:sz="4" w:space="0" w:color="auto"/>
                              <w:right w:val="single" w:sz="4" w:space="0" w:color="auto"/>
                            </w:tcBorders>
                            <w:noWrap/>
                            <w:vAlign w:val="center"/>
                            <w:hideMark/>
                          </w:tcPr>
                          <w:p w14:paraId="24AA449C" w14:textId="77777777" w:rsidR="008B713D" w:rsidRDefault="008B713D">
                            <w:pPr>
                              <w:spacing w:line="220" w:lineRule="exact"/>
                              <w:jc w:val="right"/>
                              <w:rPr>
                                <w:rFonts w:ascii="標楷體" w:eastAsia="標楷體" w:hAnsi="標楷體"/>
                                <w:b/>
                                <w:color w:val="000000"/>
                                <w:sz w:val="20"/>
                                <w:szCs w:val="20"/>
                              </w:rPr>
                            </w:pPr>
                            <w:r>
                              <w:rPr>
                                <w:rFonts w:ascii="標楷體" w:eastAsia="標楷體" w:hAnsi="標楷體" w:hint="eastAsia"/>
                                <w:b/>
                                <w:color w:val="000000"/>
                                <w:sz w:val="20"/>
                                <w:szCs w:val="20"/>
                              </w:rPr>
                              <w:t>3,632</w:t>
                            </w:r>
                          </w:p>
                        </w:tc>
                        <w:tc>
                          <w:tcPr>
                            <w:tcW w:w="618" w:type="dxa"/>
                            <w:tcBorders>
                              <w:top w:val="nil"/>
                              <w:left w:val="nil"/>
                              <w:bottom w:val="single" w:sz="4" w:space="0" w:color="auto"/>
                              <w:right w:val="single" w:sz="4" w:space="0" w:color="auto"/>
                            </w:tcBorders>
                            <w:noWrap/>
                            <w:vAlign w:val="center"/>
                            <w:hideMark/>
                          </w:tcPr>
                          <w:p w14:paraId="3316E838"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2,408</w:t>
                            </w:r>
                          </w:p>
                        </w:tc>
                        <w:tc>
                          <w:tcPr>
                            <w:tcW w:w="723" w:type="dxa"/>
                            <w:tcBorders>
                              <w:top w:val="nil"/>
                              <w:left w:val="nil"/>
                              <w:bottom w:val="single" w:sz="4" w:space="0" w:color="auto"/>
                              <w:right w:val="double" w:sz="4" w:space="0" w:color="auto"/>
                            </w:tcBorders>
                            <w:noWrap/>
                            <w:vAlign w:val="center"/>
                            <w:hideMark/>
                          </w:tcPr>
                          <w:p w14:paraId="10D77421"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1,224</w:t>
                            </w:r>
                          </w:p>
                        </w:tc>
                        <w:tc>
                          <w:tcPr>
                            <w:tcW w:w="851" w:type="dxa"/>
                            <w:tcBorders>
                              <w:top w:val="single" w:sz="4" w:space="0" w:color="auto"/>
                              <w:left w:val="double" w:sz="4" w:space="0" w:color="auto"/>
                              <w:bottom w:val="single" w:sz="4" w:space="0" w:color="auto"/>
                              <w:right w:val="single" w:sz="4" w:space="0" w:color="auto"/>
                              <w:tl2br w:val="single" w:sz="4" w:space="0" w:color="auto"/>
                            </w:tcBorders>
                            <w:noWrap/>
                            <w:vAlign w:val="center"/>
                          </w:tcPr>
                          <w:p w14:paraId="348EC9EA" w14:textId="77777777" w:rsidR="008B713D" w:rsidRDefault="008B713D">
                            <w:pPr>
                              <w:spacing w:line="220" w:lineRule="exact"/>
                              <w:jc w:val="right"/>
                              <w:rPr>
                                <w:rFonts w:ascii="標楷體" w:eastAsia="標楷體" w:hAnsi="標楷體"/>
                                <w:color w:val="000000"/>
                                <w:sz w:val="20"/>
                                <w:szCs w:val="20"/>
                              </w:rPr>
                            </w:pPr>
                          </w:p>
                        </w:tc>
                      </w:tr>
                      <w:tr w:rsidR="008B713D" w14:paraId="46B07AB5" w14:textId="77777777">
                        <w:trPr>
                          <w:trHeight w:val="20"/>
                          <w:jc w:val="center"/>
                        </w:trPr>
                        <w:tc>
                          <w:tcPr>
                            <w:tcW w:w="1191" w:type="dxa"/>
                            <w:tcBorders>
                              <w:top w:val="nil"/>
                              <w:left w:val="single" w:sz="4" w:space="0" w:color="auto"/>
                              <w:bottom w:val="single" w:sz="4" w:space="0" w:color="auto"/>
                              <w:right w:val="single" w:sz="4" w:space="0" w:color="auto"/>
                            </w:tcBorders>
                            <w:vAlign w:val="center"/>
                            <w:hideMark/>
                          </w:tcPr>
                          <w:p w14:paraId="3D1D11A7" w14:textId="77777777" w:rsidR="008B713D" w:rsidRDefault="008B713D">
                            <w:pP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登記人數</w:t>
                            </w:r>
                          </w:p>
                        </w:tc>
                        <w:tc>
                          <w:tcPr>
                            <w:tcW w:w="658" w:type="dxa"/>
                            <w:tcBorders>
                              <w:top w:val="nil"/>
                              <w:left w:val="nil"/>
                              <w:bottom w:val="single" w:sz="4" w:space="0" w:color="auto"/>
                              <w:right w:val="single" w:sz="4" w:space="0" w:color="auto"/>
                            </w:tcBorders>
                            <w:noWrap/>
                            <w:vAlign w:val="center"/>
                            <w:hideMark/>
                          </w:tcPr>
                          <w:p w14:paraId="1F3B0425" w14:textId="77777777" w:rsidR="008B713D" w:rsidRDefault="008B713D">
                            <w:pPr>
                              <w:spacing w:line="220" w:lineRule="exact"/>
                              <w:jc w:val="right"/>
                              <w:rPr>
                                <w:rFonts w:ascii="標楷體" w:eastAsia="標楷體" w:hAnsi="標楷體"/>
                                <w:b/>
                                <w:color w:val="000000"/>
                                <w:sz w:val="20"/>
                                <w:szCs w:val="20"/>
                              </w:rPr>
                            </w:pPr>
                            <w:r>
                              <w:rPr>
                                <w:rFonts w:ascii="標楷體" w:eastAsia="標楷體" w:hAnsi="標楷體" w:hint="eastAsia"/>
                                <w:b/>
                                <w:color w:val="000000"/>
                                <w:sz w:val="20"/>
                                <w:szCs w:val="20"/>
                              </w:rPr>
                              <w:t>9,395</w:t>
                            </w:r>
                          </w:p>
                        </w:tc>
                        <w:tc>
                          <w:tcPr>
                            <w:tcW w:w="618" w:type="dxa"/>
                            <w:tcBorders>
                              <w:top w:val="nil"/>
                              <w:left w:val="nil"/>
                              <w:bottom w:val="single" w:sz="4" w:space="0" w:color="auto"/>
                              <w:right w:val="single" w:sz="4" w:space="0" w:color="auto"/>
                            </w:tcBorders>
                            <w:noWrap/>
                            <w:vAlign w:val="center"/>
                            <w:hideMark/>
                          </w:tcPr>
                          <w:p w14:paraId="361AB611"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5,206</w:t>
                            </w:r>
                          </w:p>
                        </w:tc>
                        <w:tc>
                          <w:tcPr>
                            <w:tcW w:w="723" w:type="dxa"/>
                            <w:tcBorders>
                              <w:top w:val="nil"/>
                              <w:left w:val="nil"/>
                              <w:bottom w:val="single" w:sz="4" w:space="0" w:color="auto"/>
                              <w:right w:val="double" w:sz="4" w:space="0" w:color="auto"/>
                            </w:tcBorders>
                            <w:noWrap/>
                            <w:vAlign w:val="center"/>
                            <w:hideMark/>
                          </w:tcPr>
                          <w:p w14:paraId="39C76D9D"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4,189</w:t>
                            </w:r>
                          </w:p>
                        </w:tc>
                        <w:tc>
                          <w:tcPr>
                            <w:tcW w:w="851" w:type="dxa"/>
                            <w:tcBorders>
                              <w:top w:val="single" w:sz="4" w:space="0" w:color="auto"/>
                              <w:left w:val="double" w:sz="4" w:space="0" w:color="auto"/>
                              <w:bottom w:val="single" w:sz="4" w:space="0" w:color="auto"/>
                              <w:right w:val="single" w:sz="4" w:space="0" w:color="auto"/>
                            </w:tcBorders>
                            <w:noWrap/>
                            <w:vAlign w:val="center"/>
                            <w:hideMark/>
                          </w:tcPr>
                          <w:p w14:paraId="32C4E5CB"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258.67</w:t>
                            </w:r>
                          </w:p>
                        </w:tc>
                      </w:tr>
                      <w:tr w:rsidR="008B713D" w14:paraId="08CBC578" w14:textId="77777777">
                        <w:trPr>
                          <w:trHeight w:val="20"/>
                          <w:jc w:val="center"/>
                        </w:trPr>
                        <w:tc>
                          <w:tcPr>
                            <w:tcW w:w="1191" w:type="dxa"/>
                            <w:tcBorders>
                              <w:top w:val="nil"/>
                              <w:left w:val="single" w:sz="4" w:space="0" w:color="auto"/>
                              <w:bottom w:val="single" w:sz="4" w:space="0" w:color="auto"/>
                              <w:right w:val="single" w:sz="4" w:space="0" w:color="auto"/>
                            </w:tcBorders>
                            <w:vAlign w:val="center"/>
                            <w:hideMark/>
                          </w:tcPr>
                          <w:p w14:paraId="7B60430C" w14:textId="77777777" w:rsidR="008B713D" w:rsidRDefault="008B713D">
                            <w:pP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備取人數</w:t>
                            </w:r>
                          </w:p>
                        </w:tc>
                        <w:tc>
                          <w:tcPr>
                            <w:tcW w:w="658" w:type="dxa"/>
                            <w:tcBorders>
                              <w:top w:val="nil"/>
                              <w:left w:val="nil"/>
                              <w:bottom w:val="single" w:sz="4" w:space="0" w:color="auto"/>
                              <w:right w:val="single" w:sz="4" w:space="0" w:color="auto"/>
                            </w:tcBorders>
                            <w:noWrap/>
                            <w:vAlign w:val="center"/>
                            <w:hideMark/>
                          </w:tcPr>
                          <w:p w14:paraId="36F926A2" w14:textId="77777777" w:rsidR="008B713D" w:rsidRDefault="008B713D">
                            <w:pPr>
                              <w:spacing w:line="220" w:lineRule="exact"/>
                              <w:jc w:val="right"/>
                              <w:rPr>
                                <w:rFonts w:ascii="標楷體" w:eastAsia="標楷體" w:hAnsi="標楷體"/>
                                <w:b/>
                                <w:color w:val="000000"/>
                                <w:sz w:val="20"/>
                                <w:szCs w:val="20"/>
                              </w:rPr>
                            </w:pPr>
                            <w:r>
                              <w:rPr>
                                <w:rFonts w:ascii="標楷體" w:eastAsia="標楷體" w:hAnsi="標楷體" w:hint="eastAsia"/>
                                <w:b/>
                                <w:color w:val="000000"/>
                                <w:sz w:val="20"/>
                                <w:szCs w:val="20"/>
                              </w:rPr>
                              <w:t>5,961</w:t>
                            </w:r>
                          </w:p>
                        </w:tc>
                        <w:tc>
                          <w:tcPr>
                            <w:tcW w:w="618" w:type="dxa"/>
                            <w:tcBorders>
                              <w:top w:val="nil"/>
                              <w:left w:val="nil"/>
                              <w:bottom w:val="single" w:sz="4" w:space="0" w:color="auto"/>
                              <w:right w:val="single" w:sz="4" w:space="0" w:color="auto"/>
                            </w:tcBorders>
                            <w:noWrap/>
                            <w:vAlign w:val="center"/>
                            <w:hideMark/>
                          </w:tcPr>
                          <w:p w14:paraId="0F4BF7AF"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2,870</w:t>
                            </w:r>
                          </w:p>
                        </w:tc>
                        <w:tc>
                          <w:tcPr>
                            <w:tcW w:w="723" w:type="dxa"/>
                            <w:tcBorders>
                              <w:top w:val="nil"/>
                              <w:left w:val="nil"/>
                              <w:bottom w:val="single" w:sz="4" w:space="0" w:color="auto"/>
                              <w:right w:val="double" w:sz="4" w:space="0" w:color="auto"/>
                            </w:tcBorders>
                            <w:noWrap/>
                            <w:vAlign w:val="center"/>
                            <w:hideMark/>
                          </w:tcPr>
                          <w:p w14:paraId="7069BE73"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3,091</w:t>
                            </w:r>
                          </w:p>
                        </w:tc>
                        <w:tc>
                          <w:tcPr>
                            <w:tcW w:w="851" w:type="dxa"/>
                            <w:tcBorders>
                              <w:top w:val="single" w:sz="4" w:space="0" w:color="auto"/>
                              <w:left w:val="double" w:sz="4" w:space="0" w:color="auto"/>
                              <w:bottom w:val="single" w:sz="4" w:space="0" w:color="auto"/>
                              <w:right w:val="single" w:sz="4" w:space="0" w:color="auto"/>
                            </w:tcBorders>
                            <w:noWrap/>
                            <w:vAlign w:val="center"/>
                            <w:hideMark/>
                          </w:tcPr>
                          <w:p w14:paraId="23BC45BA" w14:textId="77777777" w:rsidR="008B713D" w:rsidRDefault="008B713D">
                            <w:pPr>
                              <w:spacing w:line="220" w:lineRule="exact"/>
                              <w:jc w:val="right"/>
                              <w:rPr>
                                <w:rFonts w:ascii="標楷體" w:eastAsia="標楷體" w:hAnsi="標楷體"/>
                                <w:color w:val="000000"/>
                                <w:sz w:val="20"/>
                                <w:szCs w:val="20"/>
                              </w:rPr>
                            </w:pPr>
                            <w:r>
                              <w:rPr>
                                <w:rFonts w:ascii="標楷體" w:eastAsia="標楷體" w:hAnsi="標楷體" w:hint="eastAsia"/>
                                <w:color w:val="000000"/>
                                <w:sz w:val="20"/>
                                <w:szCs w:val="20"/>
                              </w:rPr>
                              <w:t>164.12</w:t>
                            </w:r>
                          </w:p>
                        </w:tc>
                      </w:tr>
                      <w:tr w:rsidR="008B713D" w14:paraId="714D4710" w14:textId="77777777">
                        <w:trPr>
                          <w:trHeight w:val="323"/>
                          <w:jc w:val="center"/>
                        </w:trPr>
                        <w:tc>
                          <w:tcPr>
                            <w:tcW w:w="4041" w:type="dxa"/>
                            <w:gridSpan w:val="5"/>
                            <w:tcBorders>
                              <w:top w:val="single" w:sz="4" w:space="0" w:color="auto"/>
                              <w:left w:val="nil"/>
                              <w:bottom w:val="nil"/>
                              <w:right w:val="nil"/>
                            </w:tcBorders>
                            <w:vAlign w:val="center"/>
                            <w:hideMark/>
                          </w:tcPr>
                          <w:p w14:paraId="0C63385B" w14:textId="77777777" w:rsidR="008B713D" w:rsidRDefault="008B713D">
                            <w:pPr>
                              <w:spacing w:line="200" w:lineRule="exact"/>
                              <w:ind w:left="540" w:hangingChars="300" w:hanging="540"/>
                              <w:jc w:val="both"/>
                              <w:rPr>
                                <w:rFonts w:ascii="標楷體" w:eastAsia="標楷體" w:hAnsi="標楷體"/>
                                <w:sz w:val="18"/>
                                <w:szCs w:val="18"/>
                              </w:rPr>
                            </w:pPr>
                            <w:proofErr w:type="gramStart"/>
                            <w:r>
                              <w:rPr>
                                <w:rFonts w:ascii="標楷體" w:eastAsia="標楷體" w:hAnsi="標楷體" w:hint="eastAsia"/>
                                <w:color w:val="000000"/>
                                <w:sz w:val="18"/>
                                <w:szCs w:val="18"/>
                              </w:rPr>
                              <w:t>註</w:t>
                            </w:r>
                            <w:proofErr w:type="gramEnd"/>
                            <w:r>
                              <w:rPr>
                                <w:rFonts w:ascii="標楷體" w:eastAsia="標楷體" w:hAnsi="標楷體" w:hint="eastAsia"/>
                                <w:color w:val="000000"/>
                                <w:sz w:val="18"/>
                                <w:szCs w:val="18"/>
                              </w:rPr>
                              <w:t>：1.核定招生名額</w:t>
                            </w:r>
                            <w:r>
                              <w:rPr>
                                <w:rFonts w:ascii="標楷體" w:eastAsia="標楷體" w:hAnsi="標楷體" w:hint="eastAsia"/>
                                <w:sz w:val="18"/>
                                <w:szCs w:val="18"/>
                              </w:rPr>
                              <w:t>係各園扣除原園直升幼兒及依臺北市特殊教育學生鑑定及就學輔導會鑑定結果適性安置之身心障礙幼兒（含減收名額）後，其餘名額開放招生登記。</w:t>
                            </w:r>
                          </w:p>
                          <w:p w14:paraId="5575B188" w14:textId="77777777" w:rsidR="008B713D" w:rsidRDefault="008B713D">
                            <w:pPr>
                              <w:spacing w:line="200" w:lineRule="exact"/>
                              <w:ind w:left="540" w:hangingChars="300" w:hanging="540"/>
                              <w:rPr>
                                <w:rFonts w:ascii="標楷體" w:eastAsia="標楷體" w:hAnsi="標楷體"/>
                                <w:sz w:val="18"/>
                                <w:szCs w:val="18"/>
                              </w:rPr>
                            </w:pPr>
                            <w:r>
                              <w:rPr>
                                <w:rFonts w:ascii="標楷體" w:eastAsia="標楷體" w:hAnsi="標楷體" w:hint="eastAsia"/>
                                <w:sz w:val="18"/>
                                <w:szCs w:val="18"/>
                              </w:rPr>
                              <w:t xml:space="preserve">    2.每位幼兒於招生辦理階段報名</w:t>
                            </w:r>
                            <w:proofErr w:type="gramStart"/>
                            <w:r>
                              <w:rPr>
                                <w:rFonts w:ascii="標楷體" w:eastAsia="標楷體" w:hAnsi="標楷體" w:hint="eastAsia"/>
                                <w:sz w:val="18"/>
                                <w:szCs w:val="18"/>
                              </w:rPr>
                              <w:t>期間，</w:t>
                            </w:r>
                            <w:proofErr w:type="gramEnd"/>
                            <w:r>
                              <w:rPr>
                                <w:rFonts w:ascii="標楷體" w:eastAsia="標楷體" w:hAnsi="標楷體" w:hint="eastAsia"/>
                                <w:sz w:val="18"/>
                                <w:szCs w:val="18"/>
                              </w:rPr>
                              <w:t>可登記公立幼兒園及非營利幼兒園各1間。</w:t>
                            </w:r>
                          </w:p>
                          <w:p w14:paraId="1F288A45" w14:textId="77777777" w:rsidR="008B713D" w:rsidRDefault="008B713D">
                            <w:pPr>
                              <w:spacing w:line="200" w:lineRule="exact"/>
                              <w:ind w:firstLineChars="200" w:firstLine="360"/>
                              <w:rPr>
                                <w:rFonts w:ascii="標楷體" w:eastAsia="標楷體" w:hAnsi="標楷體"/>
                                <w:color w:val="000000"/>
                                <w:sz w:val="18"/>
                                <w:szCs w:val="18"/>
                              </w:rPr>
                            </w:pPr>
                            <w:r>
                              <w:rPr>
                                <w:rFonts w:ascii="標楷體" w:eastAsia="標楷體" w:hAnsi="標楷體" w:hint="eastAsia"/>
                                <w:sz w:val="18"/>
                                <w:szCs w:val="18"/>
                              </w:rPr>
                              <w:t>3.資料來源：整理自教育局提供資料。</w:t>
                            </w:r>
                          </w:p>
                        </w:tc>
                      </w:tr>
                    </w:tbl>
                    <w:p w14:paraId="3CAC3463" w14:textId="77777777" w:rsidR="008B713D" w:rsidRDefault="008B713D" w:rsidP="008B713D">
                      <w:pPr>
                        <w:rPr>
                          <w:rFonts w:ascii="標楷體" w:eastAsia="標楷體" w:hAnsi="標楷體"/>
                          <w:sz w:val="18"/>
                          <w:szCs w:val="18"/>
                        </w:rPr>
                      </w:pPr>
                    </w:p>
                  </w:txbxContent>
                </v:textbox>
                <w10:wrap type="square" anchorx="margin" anchory="page"/>
              </v:shape>
            </w:pict>
          </mc:Fallback>
        </mc:AlternateContent>
      </w:r>
      <w:r>
        <w:rPr>
          <w:rFonts w:hint="eastAsia"/>
          <w:b/>
        </w:rPr>
        <w:t>1.持續規劃增設</w:t>
      </w:r>
      <w:proofErr w:type="gramStart"/>
      <w:r>
        <w:rPr>
          <w:rFonts w:hint="eastAsia"/>
          <w:b/>
        </w:rPr>
        <w:t>公共化教保</w:t>
      </w:r>
      <w:proofErr w:type="gramEnd"/>
      <w:r>
        <w:rPr>
          <w:rFonts w:hint="eastAsia"/>
          <w:b/>
        </w:rPr>
        <w:t>服務機構2歲專班，惟迄113學年度仍供不應求，又3至5歲班卻有缺額未補足等情事：</w:t>
      </w:r>
      <w:r>
        <w:rPr>
          <w:rFonts w:hint="eastAsia"/>
          <w:bCs/>
        </w:rPr>
        <w:t>本處前於抽查地教基金</w:t>
      </w:r>
      <w:proofErr w:type="gramStart"/>
      <w:r>
        <w:rPr>
          <w:rFonts w:hint="eastAsia"/>
          <w:bCs/>
        </w:rPr>
        <w:t>111</w:t>
      </w:r>
      <w:proofErr w:type="gramEnd"/>
      <w:r>
        <w:rPr>
          <w:rFonts w:hint="eastAsia"/>
          <w:bCs/>
        </w:rPr>
        <w:t>年度期中財務收支時，曾就教育局持續提升幼兒就學率，完善生養環境，惟公立幼兒園（下稱公幼）及非營利幼兒園</w:t>
      </w:r>
      <w:proofErr w:type="gramStart"/>
      <w:r>
        <w:rPr>
          <w:rFonts w:hint="eastAsia"/>
          <w:bCs/>
        </w:rPr>
        <w:t>（</w:t>
      </w:r>
      <w:proofErr w:type="gramEnd"/>
      <w:r>
        <w:rPr>
          <w:rFonts w:hint="eastAsia"/>
          <w:bCs/>
        </w:rPr>
        <w:t>下稱非營幼；以下統稱公共化幼兒園</w:t>
      </w:r>
      <w:proofErr w:type="gramStart"/>
      <w:r>
        <w:rPr>
          <w:rFonts w:hint="eastAsia"/>
          <w:bCs/>
        </w:rPr>
        <w:t>）</w:t>
      </w:r>
      <w:proofErr w:type="gramEnd"/>
      <w:r>
        <w:rPr>
          <w:rFonts w:hint="eastAsia"/>
          <w:bCs/>
        </w:rPr>
        <w:t>2歲專班招收量不足1節，函請注意</w:t>
      </w:r>
      <w:proofErr w:type="gramStart"/>
      <w:r>
        <w:rPr>
          <w:rFonts w:hint="eastAsia"/>
          <w:bCs/>
        </w:rPr>
        <w:t>研</w:t>
      </w:r>
      <w:proofErr w:type="gramEnd"/>
      <w:r>
        <w:rPr>
          <w:rFonts w:hint="eastAsia"/>
          <w:bCs/>
        </w:rPr>
        <w:t>謀改善。據復：預計於112學年度再增加公幼及非</w:t>
      </w:r>
      <w:proofErr w:type="gramStart"/>
      <w:r>
        <w:rPr>
          <w:rFonts w:hint="eastAsia"/>
          <w:bCs/>
        </w:rPr>
        <w:t>營幼2歲</w:t>
      </w:r>
      <w:proofErr w:type="gramEnd"/>
      <w:r>
        <w:rPr>
          <w:rFonts w:hint="eastAsia"/>
          <w:bCs/>
        </w:rPr>
        <w:t>專班288名招生名額，另已與教育部國民及學前教育署協力規劃自111學年度起將陸續開辦25家非營利教保服務機構，再增加2歲幼兒入園機會，後續將考量區域招生情形，於學校餘裕空間或社會住宅興建案中，評估增設2歲專班之</w:t>
      </w:r>
      <w:proofErr w:type="gramStart"/>
      <w:r>
        <w:rPr>
          <w:rFonts w:hint="eastAsia"/>
          <w:bCs/>
        </w:rPr>
        <w:t>公共化教保</w:t>
      </w:r>
      <w:proofErr w:type="gramEnd"/>
      <w:r>
        <w:rPr>
          <w:rFonts w:hint="eastAsia"/>
          <w:bCs/>
        </w:rPr>
        <w:t>服務名額。案經追蹤覆核結果，113學年度臺北市公共化幼兒園設有2歲</w:t>
      </w:r>
      <w:proofErr w:type="gramStart"/>
      <w:r>
        <w:rPr>
          <w:rFonts w:hint="eastAsia"/>
          <w:bCs/>
        </w:rPr>
        <w:t>專班者計</w:t>
      </w:r>
      <w:proofErr w:type="gramEnd"/>
      <w:r>
        <w:rPr>
          <w:rFonts w:hint="eastAsia"/>
          <w:bCs/>
        </w:rPr>
        <w:t>236家，核定招生人數3,632人，雖較111學年度增加522個就學名額，</w:t>
      </w:r>
      <w:proofErr w:type="gramStart"/>
      <w:r>
        <w:rPr>
          <w:rFonts w:hint="eastAsia"/>
          <w:bCs/>
        </w:rPr>
        <w:t>惟查</w:t>
      </w:r>
      <w:proofErr w:type="gramEnd"/>
      <w:r>
        <w:rPr>
          <w:rFonts w:hint="eastAsia"/>
          <w:bCs/>
        </w:rPr>
        <w:t>113學年度公共化幼兒園2歲專班登記人數高達9,395人，為核定招生人數之2.5倍，且備取人數仍有5千餘人（表5），顯示公共化2歲專班有供不應求情形；又該局雖已規劃於114至116學年度增設公幼及非</w:t>
      </w:r>
      <w:proofErr w:type="gramStart"/>
      <w:r>
        <w:rPr>
          <w:rFonts w:hint="eastAsia"/>
          <w:bCs/>
        </w:rPr>
        <w:t>營幼共</w:t>
      </w:r>
      <w:proofErr w:type="gramEnd"/>
      <w:r>
        <w:rPr>
          <w:rFonts w:hint="eastAsia"/>
          <w:bCs/>
        </w:rPr>
        <w:t>33班之2歲專班，預計可</w:t>
      </w:r>
      <w:r>
        <w:rPr>
          <w:rFonts w:hint="eastAsia"/>
        </w:rPr>
        <w:t>增加</w:t>
      </w:r>
      <w:r>
        <w:rPr>
          <w:rFonts w:hint="eastAsia"/>
          <w:bCs/>
        </w:rPr>
        <w:t>528個收托名額，惟與113學年度登記及候補人數相較，差距仍遠，尚無法滿足民眾殷切需求。復經於113年12月31日分析「臺北市公立及非營利幼兒園招生e點通」網站113學年度即時揭示系統資料，發現公共化幼兒園2歲專班及3至5歲班級缺額人數分別尚有42人及1,180人，其中士林區、文山區、北投區及萬華區等4行政區，3至5歲班級缺額人數皆逾100人，且前開4處行政區之2歲專班等待備取人數卻仍有291至451人不等，另查各幼兒園3至5歲班級缺額人數逾15人者計有23所，其中有9所幼兒園缺額人數達31至83人不等，顯示部分公共化幼兒園仍</w:t>
      </w:r>
      <w:proofErr w:type="gramStart"/>
      <w:r>
        <w:rPr>
          <w:rFonts w:hint="eastAsia"/>
          <w:bCs/>
        </w:rPr>
        <w:t>有餘裕收托</w:t>
      </w:r>
      <w:proofErr w:type="gramEnd"/>
      <w:r>
        <w:rPr>
          <w:rFonts w:hint="eastAsia"/>
          <w:bCs/>
        </w:rPr>
        <w:t>量能等情事，經函請注意加強盤點各</w:t>
      </w:r>
      <w:proofErr w:type="gramStart"/>
      <w:r>
        <w:rPr>
          <w:rFonts w:hint="eastAsia"/>
          <w:bCs/>
        </w:rPr>
        <w:t>年齡層收托</w:t>
      </w:r>
      <w:proofErr w:type="gramEnd"/>
      <w:r>
        <w:rPr>
          <w:rFonts w:hint="eastAsia"/>
          <w:bCs/>
        </w:rPr>
        <w:t>資源使用狀況，並適時檢討調整，以滿足民眾各階段托育需求。據復：為提供更多優質之</w:t>
      </w:r>
      <w:proofErr w:type="gramStart"/>
      <w:r>
        <w:rPr>
          <w:rFonts w:hint="eastAsia"/>
          <w:bCs/>
        </w:rPr>
        <w:t>公共化教保</w:t>
      </w:r>
      <w:proofErr w:type="gramEnd"/>
      <w:r>
        <w:rPr>
          <w:rFonts w:hint="eastAsia"/>
          <w:bCs/>
        </w:rPr>
        <w:t>服</w:t>
      </w:r>
    </w:p>
    <w:p w14:paraId="1B0473B5" w14:textId="779C581A" w:rsidR="008B713D" w:rsidRDefault="008B713D" w:rsidP="0053302E">
      <w:pPr>
        <w:pStyle w:val="a7"/>
        <w:spacing w:before="0" w:after="0" w:line="430" w:lineRule="exact"/>
        <w:ind w:firstLineChars="0" w:firstLine="0"/>
        <w:rPr>
          <w:bCs/>
        </w:rPr>
      </w:pPr>
      <w:proofErr w:type="gramStart"/>
      <w:r>
        <w:rPr>
          <w:rFonts w:hint="eastAsia"/>
          <w:bCs/>
        </w:rPr>
        <w:lastRenderedPageBreak/>
        <w:t>務</w:t>
      </w:r>
      <w:proofErr w:type="gramEnd"/>
      <w:r>
        <w:rPr>
          <w:rFonts w:hint="eastAsia"/>
          <w:bCs/>
        </w:rPr>
        <w:t>，將持續評估園所每年招生、人口增減情形及學校餘裕空間進行增班；未來將朝</w:t>
      </w:r>
      <w:proofErr w:type="gramStart"/>
      <w:r>
        <w:rPr>
          <w:rFonts w:hint="eastAsia"/>
          <w:bCs/>
        </w:rPr>
        <w:t>調整班型</w:t>
      </w:r>
      <w:proofErr w:type="gramEnd"/>
      <w:r>
        <w:rPr>
          <w:rFonts w:hint="eastAsia"/>
          <w:bCs/>
        </w:rPr>
        <w:t>／年齡或增班、鼓勵私立幼兒園加入</w:t>
      </w:r>
      <w:proofErr w:type="gramStart"/>
      <w:r>
        <w:rPr>
          <w:rFonts w:hint="eastAsia"/>
          <w:bCs/>
        </w:rPr>
        <w:t>準</w:t>
      </w:r>
      <w:proofErr w:type="gramEnd"/>
      <w:r>
        <w:rPr>
          <w:rFonts w:hint="eastAsia"/>
          <w:bCs/>
        </w:rPr>
        <w:t>公共幼兒園等方向進行規劃，提供更多2歲專班名額。</w:t>
      </w:r>
    </w:p>
    <w:p w14:paraId="14D7B847" w14:textId="07821D4D" w:rsidR="008B713D" w:rsidRDefault="008B713D" w:rsidP="008B713D">
      <w:pPr>
        <w:pStyle w:val="a7"/>
        <w:spacing w:before="0" w:after="120" w:line="430" w:lineRule="exact"/>
        <w:ind w:firstLine="480"/>
        <w:rPr>
          <w:rFonts w:cs="Cordia New"/>
          <w:bCs/>
          <w:spacing w:val="-2"/>
        </w:rPr>
      </w:pPr>
      <w:r>
        <w:rPr>
          <w:rFonts w:hint="eastAsia"/>
          <w:noProof/>
        </w:rPr>
        <mc:AlternateContent>
          <mc:Choice Requires="wps">
            <w:drawing>
              <wp:anchor distT="45720" distB="45720" distL="114300" distR="114300" simplePos="0" relativeHeight="251699200" behindDoc="1" locked="0" layoutInCell="1" allowOverlap="1" wp14:anchorId="4774135B" wp14:editId="525B7C87">
                <wp:simplePos x="0" y="0"/>
                <wp:positionH relativeFrom="margin">
                  <wp:posOffset>2380615</wp:posOffset>
                </wp:positionH>
                <wp:positionV relativeFrom="margin">
                  <wp:posOffset>3119120</wp:posOffset>
                </wp:positionV>
                <wp:extent cx="3944620" cy="2251075"/>
                <wp:effectExtent l="0" t="0" r="0" b="0"/>
                <wp:wrapSquare wrapText="bothSides"/>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4620" cy="2251075"/>
                        </a:xfrm>
                        <a:prstGeom prst="rect">
                          <a:avLst/>
                        </a:prstGeom>
                        <a:noFill/>
                        <a:ln w="9525">
                          <a:noFill/>
                          <a:miter lim="800000"/>
                          <a:headEnd/>
                          <a:tailEnd/>
                        </a:ln>
                      </wps:spPr>
                      <wps:txbx>
                        <w:txbxContent>
                          <w:p w14:paraId="21939A19" w14:textId="77777777" w:rsidR="008B713D" w:rsidRDefault="008B713D" w:rsidP="008B713D">
                            <w:pPr>
                              <w:spacing w:afterLines="20" w:after="72" w:line="240" w:lineRule="exact"/>
                              <w:jc w:val="center"/>
                              <w:rPr>
                                <w:rFonts w:ascii="標楷體" w:eastAsia="標楷體" w:hAnsi="標楷體"/>
                                <w:b/>
                              </w:rPr>
                            </w:pPr>
                            <w:r>
                              <w:rPr>
                                <w:rFonts w:ascii="標楷體" w:eastAsia="標楷體" w:hAnsi="標楷體" w:hint="eastAsia"/>
                                <w:b/>
                              </w:rPr>
                              <w:t>表6　臺北市公立教保服務機構設置攝錄設備情形</w:t>
                            </w:r>
                          </w:p>
                          <w:p w14:paraId="368B69CE" w14:textId="77777777" w:rsidR="008B713D" w:rsidRDefault="008B713D" w:rsidP="008B713D">
                            <w:pPr>
                              <w:spacing w:line="200" w:lineRule="exact"/>
                              <w:jc w:val="right"/>
                              <w:rPr>
                                <w:rFonts w:ascii="標楷體" w:eastAsia="標楷體" w:hAnsi="標楷體"/>
                                <w:sz w:val="20"/>
                                <w:szCs w:val="20"/>
                              </w:rPr>
                            </w:pPr>
                            <w:r>
                              <w:rPr>
                                <w:rFonts w:ascii="標楷體" w:eastAsia="標楷體" w:hAnsi="標楷體" w:hint="eastAsia"/>
                                <w:sz w:val="20"/>
                                <w:szCs w:val="20"/>
                              </w:rPr>
                              <w:t>單位：所、％</w:t>
                            </w:r>
                          </w:p>
                          <w:tbl>
                            <w:tblPr>
                              <w:tblW w:w="5955" w:type="dxa"/>
                              <w:tblLayout w:type="fixed"/>
                              <w:tblCellMar>
                                <w:left w:w="28" w:type="dxa"/>
                                <w:right w:w="28" w:type="dxa"/>
                              </w:tblCellMar>
                              <w:tblLook w:val="04A0" w:firstRow="1" w:lastRow="0" w:firstColumn="1" w:lastColumn="0" w:noHBand="0" w:noVBand="1"/>
                            </w:tblPr>
                            <w:tblGrid>
                              <w:gridCol w:w="1557"/>
                              <w:gridCol w:w="425"/>
                              <w:gridCol w:w="425"/>
                              <w:gridCol w:w="568"/>
                              <w:gridCol w:w="425"/>
                              <w:gridCol w:w="568"/>
                              <w:gridCol w:w="426"/>
                              <w:gridCol w:w="568"/>
                              <w:gridCol w:w="425"/>
                              <w:gridCol w:w="568"/>
                            </w:tblGrid>
                            <w:tr w:rsidR="008B713D" w14:paraId="2E695CD8" w14:textId="77777777">
                              <w:trPr>
                                <w:trHeight w:val="170"/>
                              </w:trPr>
                              <w:tc>
                                <w:tcPr>
                                  <w:tcW w:w="1555" w:type="dxa"/>
                                  <w:vMerge w:val="restart"/>
                                  <w:tcBorders>
                                    <w:top w:val="single" w:sz="4" w:space="0" w:color="auto"/>
                                    <w:left w:val="single" w:sz="4" w:space="0" w:color="auto"/>
                                    <w:bottom w:val="single" w:sz="4" w:space="0" w:color="000000"/>
                                    <w:right w:val="single" w:sz="4" w:space="0" w:color="auto"/>
                                  </w:tcBorders>
                                  <w:noWrap/>
                                  <w:vAlign w:val="center"/>
                                  <w:hideMark/>
                                </w:tcPr>
                                <w:p w14:paraId="1D66CA92"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教保服務機構</w:t>
                                  </w:r>
                                </w:p>
                              </w:tc>
                              <w:tc>
                                <w:tcPr>
                                  <w:tcW w:w="425" w:type="dxa"/>
                                  <w:vMerge w:val="restart"/>
                                  <w:tcBorders>
                                    <w:top w:val="single" w:sz="4" w:space="0" w:color="auto"/>
                                    <w:left w:val="single" w:sz="4" w:space="0" w:color="auto"/>
                                    <w:bottom w:val="single" w:sz="4" w:space="0" w:color="000000"/>
                                    <w:right w:val="single" w:sz="4" w:space="0" w:color="auto"/>
                                  </w:tcBorders>
                                  <w:noWrap/>
                                  <w:vAlign w:val="center"/>
                                  <w:hideMark/>
                                </w:tcPr>
                                <w:p w14:paraId="0B760880" w14:textId="77777777" w:rsidR="008B713D" w:rsidRDefault="008B713D">
                                  <w:pPr>
                                    <w:spacing w:line="200" w:lineRule="exact"/>
                                    <w:jc w:val="center"/>
                                    <w:rPr>
                                      <w:rFonts w:ascii="標楷體" w:eastAsia="標楷體" w:hAnsi="標楷體" w:cs="Arial"/>
                                      <w:bCs/>
                                      <w:color w:val="000000"/>
                                      <w:spacing w:val="-8"/>
                                      <w:sz w:val="20"/>
                                      <w:szCs w:val="20"/>
                                    </w:rPr>
                                  </w:pPr>
                                  <w:r>
                                    <w:rPr>
                                      <w:rFonts w:ascii="標楷體" w:eastAsia="標楷體" w:hAnsi="標楷體" w:cs="Arial" w:hint="eastAsia"/>
                                      <w:bCs/>
                                      <w:color w:val="000000"/>
                                      <w:spacing w:val="-8"/>
                                      <w:sz w:val="20"/>
                                      <w:szCs w:val="20"/>
                                    </w:rPr>
                                    <w:t>合計</w:t>
                                  </w:r>
                                </w:p>
                              </w:tc>
                              <w:tc>
                                <w:tcPr>
                                  <w:tcW w:w="1984" w:type="dxa"/>
                                  <w:gridSpan w:val="4"/>
                                  <w:tcBorders>
                                    <w:top w:val="single" w:sz="4" w:space="0" w:color="auto"/>
                                    <w:left w:val="nil"/>
                                    <w:bottom w:val="single" w:sz="4" w:space="0" w:color="auto"/>
                                    <w:right w:val="single" w:sz="4" w:space="0" w:color="auto"/>
                                  </w:tcBorders>
                                  <w:noWrap/>
                                  <w:vAlign w:val="center"/>
                                  <w:hideMark/>
                                </w:tcPr>
                                <w:p w14:paraId="4A30D896"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公共區域</w:t>
                                  </w:r>
                                </w:p>
                              </w:tc>
                              <w:tc>
                                <w:tcPr>
                                  <w:tcW w:w="1985" w:type="dxa"/>
                                  <w:gridSpan w:val="4"/>
                                  <w:tcBorders>
                                    <w:top w:val="single" w:sz="4" w:space="0" w:color="auto"/>
                                    <w:left w:val="nil"/>
                                    <w:bottom w:val="single" w:sz="4" w:space="0" w:color="auto"/>
                                    <w:right w:val="single" w:sz="4" w:space="0" w:color="auto"/>
                                  </w:tcBorders>
                                  <w:vAlign w:val="center"/>
                                  <w:hideMark/>
                                </w:tcPr>
                                <w:p w14:paraId="4EF1D446"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教學空間</w:t>
                                  </w:r>
                                </w:p>
                              </w:tc>
                            </w:tr>
                            <w:tr w:rsidR="008B713D" w14:paraId="038B0453" w14:textId="77777777">
                              <w:trPr>
                                <w:trHeight w:val="170"/>
                              </w:trPr>
                              <w:tc>
                                <w:tcPr>
                                  <w:tcW w:w="1555" w:type="dxa"/>
                                  <w:vMerge/>
                                  <w:tcBorders>
                                    <w:top w:val="single" w:sz="4" w:space="0" w:color="auto"/>
                                    <w:left w:val="single" w:sz="4" w:space="0" w:color="auto"/>
                                    <w:bottom w:val="single" w:sz="4" w:space="0" w:color="000000"/>
                                    <w:right w:val="single" w:sz="4" w:space="0" w:color="auto"/>
                                  </w:tcBorders>
                                  <w:vAlign w:val="center"/>
                                  <w:hideMark/>
                                </w:tcPr>
                                <w:p w14:paraId="1B1B9506" w14:textId="77777777" w:rsidR="008B713D" w:rsidRDefault="008B713D">
                                  <w:pPr>
                                    <w:widowControl/>
                                    <w:rPr>
                                      <w:rFonts w:ascii="標楷體" w:eastAsia="標楷體" w:hAnsi="標楷體" w:cs="Arial"/>
                                      <w:color w:val="000000"/>
                                      <w:sz w:val="20"/>
                                      <w:szCs w:val="20"/>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0C30D6C2" w14:textId="77777777" w:rsidR="008B713D" w:rsidRDefault="008B713D">
                                  <w:pPr>
                                    <w:widowControl/>
                                    <w:rPr>
                                      <w:rFonts w:ascii="標楷體" w:eastAsia="標楷體" w:hAnsi="標楷體" w:cs="Arial"/>
                                      <w:bCs/>
                                      <w:color w:val="000000"/>
                                      <w:spacing w:val="-8"/>
                                      <w:sz w:val="20"/>
                                      <w:szCs w:val="20"/>
                                    </w:rPr>
                                  </w:pPr>
                                </w:p>
                              </w:tc>
                              <w:tc>
                                <w:tcPr>
                                  <w:tcW w:w="992" w:type="dxa"/>
                                  <w:gridSpan w:val="2"/>
                                  <w:tcBorders>
                                    <w:top w:val="single" w:sz="4" w:space="0" w:color="auto"/>
                                    <w:left w:val="nil"/>
                                    <w:bottom w:val="nil"/>
                                    <w:right w:val="single" w:sz="4" w:space="0" w:color="auto"/>
                                  </w:tcBorders>
                                  <w:noWrap/>
                                  <w:vAlign w:val="center"/>
                                  <w:hideMark/>
                                </w:tcPr>
                                <w:p w14:paraId="48AB8035" w14:textId="77777777" w:rsidR="008B713D" w:rsidRDefault="008B713D">
                                  <w:pPr>
                                    <w:spacing w:line="200" w:lineRule="exact"/>
                                    <w:jc w:val="center"/>
                                    <w:rPr>
                                      <w:rFonts w:ascii="標楷體" w:eastAsia="標楷體" w:hAnsi="標楷體" w:cs="Arial"/>
                                      <w:color w:val="000000"/>
                                      <w:spacing w:val="-12"/>
                                      <w:sz w:val="20"/>
                                      <w:szCs w:val="20"/>
                                    </w:rPr>
                                  </w:pPr>
                                  <w:r>
                                    <w:rPr>
                                      <w:rFonts w:ascii="標楷體" w:eastAsia="標楷體" w:hAnsi="標楷體" w:cs="Arial" w:hint="eastAsia"/>
                                      <w:color w:val="000000"/>
                                      <w:spacing w:val="-12"/>
                                      <w:sz w:val="20"/>
                                      <w:szCs w:val="20"/>
                                    </w:rPr>
                                    <w:t>未</w:t>
                                  </w:r>
                                  <w:proofErr w:type="gramStart"/>
                                  <w:r>
                                    <w:rPr>
                                      <w:rFonts w:ascii="標楷體" w:eastAsia="標楷體" w:hAnsi="標楷體" w:cs="Arial" w:hint="eastAsia"/>
                                      <w:color w:val="000000"/>
                                      <w:spacing w:val="-12"/>
                                      <w:sz w:val="20"/>
                                      <w:szCs w:val="20"/>
                                    </w:rPr>
                                    <w:t>設置園數</w:t>
                                  </w:r>
                                  <w:proofErr w:type="gramEnd"/>
                                </w:p>
                              </w:tc>
                              <w:tc>
                                <w:tcPr>
                                  <w:tcW w:w="992" w:type="dxa"/>
                                  <w:gridSpan w:val="2"/>
                                  <w:tcBorders>
                                    <w:top w:val="single" w:sz="4" w:space="0" w:color="auto"/>
                                    <w:left w:val="nil"/>
                                    <w:bottom w:val="nil"/>
                                    <w:right w:val="single" w:sz="4" w:space="0" w:color="auto"/>
                                  </w:tcBorders>
                                  <w:vAlign w:val="center"/>
                                  <w:hideMark/>
                                </w:tcPr>
                                <w:p w14:paraId="76623FC7" w14:textId="77777777" w:rsidR="008B713D" w:rsidRDefault="008B713D">
                                  <w:pPr>
                                    <w:spacing w:line="200" w:lineRule="exact"/>
                                    <w:jc w:val="center"/>
                                    <w:rPr>
                                      <w:rFonts w:ascii="標楷體" w:eastAsia="標楷體" w:hAnsi="標楷體" w:cs="Arial"/>
                                      <w:color w:val="000000"/>
                                      <w:spacing w:val="-10"/>
                                      <w:sz w:val="20"/>
                                      <w:szCs w:val="20"/>
                                    </w:rPr>
                                  </w:pPr>
                                  <w:r>
                                    <w:rPr>
                                      <w:rFonts w:ascii="標楷體" w:eastAsia="標楷體" w:hAnsi="標楷體" w:cs="Arial" w:hint="eastAsia"/>
                                      <w:color w:val="000000"/>
                                      <w:spacing w:val="-10"/>
                                      <w:sz w:val="20"/>
                                      <w:szCs w:val="20"/>
                                    </w:rPr>
                                    <w:t>有</w:t>
                                  </w:r>
                                  <w:proofErr w:type="gramStart"/>
                                  <w:r>
                                    <w:rPr>
                                      <w:rFonts w:ascii="標楷體" w:eastAsia="標楷體" w:hAnsi="標楷體" w:cs="Arial" w:hint="eastAsia"/>
                                      <w:color w:val="000000"/>
                                      <w:spacing w:val="-10"/>
                                      <w:sz w:val="20"/>
                                      <w:szCs w:val="20"/>
                                    </w:rPr>
                                    <w:t>設置園數</w:t>
                                  </w:r>
                                  <w:proofErr w:type="gramEnd"/>
                                </w:p>
                              </w:tc>
                              <w:tc>
                                <w:tcPr>
                                  <w:tcW w:w="993" w:type="dxa"/>
                                  <w:gridSpan w:val="2"/>
                                  <w:tcBorders>
                                    <w:top w:val="single" w:sz="4" w:space="0" w:color="auto"/>
                                    <w:left w:val="nil"/>
                                    <w:bottom w:val="nil"/>
                                    <w:right w:val="single" w:sz="4" w:space="0" w:color="auto"/>
                                  </w:tcBorders>
                                  <w:vAlign w:val="center"/>
                                  <w:hideMark/>
                                </w:tcPr>
                                <w:p w14:paraId="32359CEC" w14:textId="77777777" w:rsidR="008B713D" w:rsidRDefault="008B713D">
                                  <w:pPr>
                                    <w:spacing w:line="200" w:lineRule="exact"/>
                                    <w:jc w:val="center"/>
                                    <w:rPr>
                                      <w:rFonts w:ascii="標楷體" w:eastAsia="標楷體" w:hAnsi="標楷體" w:cs="Arial"/>
                                      <w:color w:val="000000"/>
                                      <w:spacing w:val="-10"/>
                                      <w:sz w:val="20"/>
                                      <w:szCs w:val="20"/>
                                    </w:rPr>
                                  </w:pPr>
                                  <w:r>
                                    <w:rPr>
                                      <w:rFonts w:ascii="標楷體" w:eastAsia="標楷體" w:hAnsi="標楷體" w:cs="Arial" w:hint="eastAsia"/>
                                      <w:color w:val="000000"/>
                                      <w:spacing w:val="-10"/>
                                      <w:sz w:val="20"/>
                                      <w:szCs w:val="20"/>
                                    </w:rPr>
                                    <w:t>未</w:t>
                                  </w:r>
                                  <w:proofErr w:type="gramStart"/>
                                  <w:r>
                                    <w:rPr>
                                      <w:rFonts w:ascii="標楷體" w:eastAsia="標楷體" w:hAnsi="標楷體" w:cs="Arial" w:hint="eastAsia"/>
                                      <w:color w:val="000000"/>
                                      <w:spacing w:val="-10"/>
                                      <w:sz w:val="20"/>
                                      <w:szCs w:val="20"/>
                                    </w:rPr>
                                    <w:t>設置園數</w:t>
                                  </w:r>
                                  <w:proofErr w:type="gramEnd"/>
                                </w:p>
                              </w:tc>
                              <w:tc>
                                <w:tcPr>
                                  <w:tcW w:w="992" w:type="dxa"/>
                                  <w:gridSpan w:val="2"/>
                                  <w:tcBorders>
                                    <w:top w:val="single" w:sz="4" w:space="0" w:color="auto"/>
                                    <w:left w:val="nil"/>
                                    <w:bottom w:val="nil"/>
                                    <w:right w:val="single" w:sz="4" w:space="0" w:color="auto"/>
                                  </w:tcBorders>
                                  <w:noWrap/>
                                  <w:vAlign w:val="center"/>
                                  <w:hideMark/>
                                </w:tcPr>
                                <w:p w14:paraId="4DD1C54D" w14:textId="77777777" w:rsidR="008B713D" w:rsidRDefault="008B713D">
                                  <w:pPr>
                                    <w:spacing w:line="200" w:lineRule="exact"/>
                                    <w:jc w:val="center"/>
                                    <w:rPr>
                                      <w:rFonts w:ascii="標楷體" w:eastAsia="標楷體" w:hAnsi="標楷體" w:cs="Arial"/>
                                      <w:color w:val="000000"/>
                                      <w:spacing w:val="-10"/>
                                      <w:sz w:val="20"/>
                                      <w:szCs w:val="20"/>
                                    </w:rPr>
                                  </w:pPr>
                                  <w:r>
                                    <w:rPr>
                                      <w:rFonts w:ascii="標楷體" w:eastAsia="標楷體" w:hAnsi="標楷體" w:cs="Arial" w:hint="eastAsia"/>
                                      <w:color w:val="000000"/>
                                      <w:spacing w:val="-10"/>
                                      <w:sz w:val="20"/>
                                      <w:szCs w:val="20"/>
                                    </w:rPr>
                                    <w:t>有</w:t>
                                  </w:r>
                                  <w:proofErr w:type="gramStart"/>
                                  <w:r>
                                    <w:rPr>
                                      <w:rFonts w:ascii="標楷體" w:eastAsia="標楷體" w:hAnsi="標楷體" w:cs="Arial" w:hint="eastAsia"/>
                                      <w:color w:val="000000"/>
                                      <w:spacing w:val="-10"/>
                                      <w:sz w:val="20"/>
                                      <w:szCs w:val="20"/>
                                    </w:rPr>
                                    <w:t>設置園數</w:t>
                                  </w:r>
                                  <w:proofErr w:type="gramEnd"/>
                                </w:p>
                              </w:tc>
                            </w:tr>
                            <w:tr w:rsidR="008B713D" w14:paraId="2FC3F9DF" w14:textId="77777777">
                              <w:trPr>
                                <w:trHeight w:val="170"/>
                              </w:trPr>
                              <w:tc>
                                <w:tcPr>
                                  <w:tcW w:w="1555" w:type="dxa"/>
                                  <w:vMerge/>
                                  <w:tcBorders>
                                    <w:top w:val="single" w:sz="4" w:space="0" w:color="auto"/>
                                    <w:left w:val="single" w:sz="4" w:space="0" w:color="auto"/>
                                    <w:bottom w:val="single" w:sz="4" w:space="0" w:color="000000"/>
                                    <w:right w:val="single" w:sz="4" w:space="0" w:color="auto"/>
                                  </w:tcBorders>
                                  <w:vAlign w:val="center"/>
                                  <w:hideMark/>
                                </w:tcPr>
                                <w:p w14:paraId="0731A678" w14:textId="77777777" w:rsidR="008B713D" w:rsidRDefault="008B713D">
                                  <w:pPr>
                                    <w:widowControl/>
                                    <w:rPr>
                                      <w:rFonts w:ascii="標楷體" w:eastAsia="標楷體" w:hAnsi="標楷體" w:cs="Arial"/>
                                      <w:color w:val="000000"/>
                                      <w:sz w:val="20"/>
                                      <w:szCs w:val="20"/>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16CBF38E" w14:textId="77777777" w:rsidR="008B713D" w:rsidRDefault="008B713D">
                                  <w:pPr>
                                    <w:widowControl/>
                                    <w:rPr>
                                      <w:rFonts w:ascii="標楷體" w:eastAsia="標楷體" w:hAnsi="標楷體" w:cs="Arial"/>
                                      <w:bCs/>
                                      <w:color w:val="000000"/>
                                      <w:spacing w:val="-8"/>
                                      <w:sz w:val="20"/>
                                      <w:szCs w:val="20"/>
                                    </w:rPr>
                                  </w:pPr>
                                </w:p>
                              </w:tc>
                              <w:tc>
                                <w:tcPr>
                                  <w:tcW w:w="425" w:type="dxa"/>
                                  <w:tcBorders>
                                    <w:top w:val="nil"/>
                                    <w:left w:val="nil"/>
                                    <w:bottom w:val="single" w:sz="4" w:space="0" w:color="auto"/>
                                    <w:right w:val="single" w:sz="4" w:space="0" w:color="auto"/>
                                  </w:tcBorders>
                                  <w:noWrap/>
                                  <w:vAlign w:val="center"/>
                                  <w:hideMark/>
                                </w:tcPr>
                                <w:p w14:paraId="294B5DA3" w14:textId="77777777" w:rsidR="008B713D" w:rsidRDefault="008B713D">
                                  <w:pPr>
                                    <w:rPr>
                                      <w:rFonts w:ascii="標楷體" w:eastAsia="標楷體" w:hAnsi="標楷體" w:cs="Arial"/>
                                      <w:color w:val="000000"/>
                                      <w:spacing w:val="-10"/>
                                      <w:sz w:val="20"/>
                                      <w:szCs w:val="20"/>
                                    </w:rPr>
                                  </w:pPr>
                                </w:p>
                              </w:tc>
                              <w:tc>
                                <w:tcPr>
                                  <w:tcW w:w="567" w:type="dxa"/>
                                  <w:tcBorders>
                                    <w:top w:val="single" w:sz="4" w:space="0" w:color="auto"/>
                                    <w:left w:val="nil"/>
                                    <w:bottom w:val="single" w:sz="4" w:space="0" w:color="auto"/>
                                    <w:right w:val="single" w:sz="4" w:space="0" w:color="auto"/>
                                  </w:tcBorders>
                                  <w:vAlign w:val="center"/>
                                  <w:hideMark/>
                                </w:tcPr>
                                <w:p w14:paraId="4B5401E4"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占比</w:t>
                                  </w:r>
                                </w:p>
                              </w:tc>
                              <w:tc>
                                <w:tcPr>
                                  <w:tcW w:w="425" w:type="dxa"/>
                                  <w:tcBorders>
                                    <w:top w:val="nil"/>
                                    <w:left w:val="nil"/>
                                    <w:bottom w:val="single" w:sz="4" w:space="0" w:color="auto"/>
                                    <w:right w:val="single" w:sz="4" w:space="0" w:color="auto"/>
                                  </w:tcBorders>
                                  <w:vAlign w:val="center"/>
                                </w:tcPr>
                                <w:p w14:paraId="70D97333" w14:textId="77777777" w:rsidR="008B713D" w:rsidRDefault="008B713D">
                                  <w:pPr>
                                    <w:spacing w:line="200" w:lineRule="exact"/>
                                    <w:rPr>
                                      <w:rFonts w:ascii="標楷體" w:eastAsia="標楷體" w:hAnsi="標楷體" w:cs="Arial"/>
                                      <w:color w:val="000000"/>
                                      <w:spacing w:val="-16"/>
                                      <w:sz w:val="20"/>
                                      <w:szCs w:val="20"/>
                                    </w:rPr>
                                  </w:pPr>
                                </w:p>
                              </w:tc>
                              <w:tc>
                                <w:tcPr>
                                  <w:tcW w:w="567" w:type="dxa"/>
                                  <w:tcBorders>
                                    <w:top w:val="single" w:sz="4" w:space="0" w:color="auto"/>
                                    <w:left w:val="nil"/>
                                    <w:bottom w:val="single" w:sz="4" w:space="0" w:color="auto"/>
                                    <w:right w:val="single" w:sz="4" w:space="0" w:color="auto"/>
                                  </w:tcBorders>
                                  <w:vAlign w:val="center"/>
                                  <w:hideMark/>
                                </w:tcPr>
                                <w:p w14:paraId="61255087"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占比</w:t>
                                  </w:r>
                                </w:p>
                              </w:tc>
                              <w:tc>
                                <w:tcPr>
                                  <w:tcW w:w="426" w:type="dxa"/>
                                  <w:tcBorders>
                                    <w:top w:val="nil"/>
                                    <w:left w:val="nil"/>
                                    <w:bottom w:val="single" w:sz="4" w:space="0" w:color="auto"/>
                                    <w:right w:val="single" w:sz="4" w:space="0" w:color="auto"/>
                                  </w:tcBorders>
                                  <w:vAlign w:val="center"/>
                                </w:tcPr>
                                <w:p w14:paraId="6F8F458C" w14:textId="77777777" w:rsidR="008B713D" w:rsidRDefault="008B713D">
                                  <w:pPr>
                                    <w:spacing w:line="200" w:lineRule="exact"/>
                                    <w:jc w:val="center"/>
                                    <w:rPr>
                                      <w:rFonts w:ascii="標楷體" w:eastAsia="標楷體" w:hAnsi="標楷體" w:cs="Arial"/>
                                      <w:color w:val="000000"/>
                                      <w:spacing w:val="-20"/>
                                      <w:sz w:val="20"/>
                                      <w:szCs w:val="20"/>
                                    </w:rPr>
                                  </w:pPr>
                                </w:p>
                              </w:tc>
                              <w:tc>
                                <w:tcPr>
                                  <w:tcW w:w="567" w:type="dxa"/>
                                  <w:tcBorders>
                                    <w:top w:val="single" w:sz="4" w:space="0" w:color="auto"/>
                                    <w:left w:val="nil"/>
                                    <w:bottom w:val="single" w:sz="4" w:space="0" w:color="auto"/>
                                    <w:right w:val="single" w:sz="4" w:space="0" w:color="auto"/>
                                  </w:tcBorders>
                                  <w:noWrap/>
                                  <w:vAlign w:val="center"/>
                                  <w:hideMark/>
                                </w:tcPr>
                                <w:p w14:paraId="666C0B63"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占比</w:t>
                                  </w:r>
                                </w:p>
                              </w:tc>
                              <w:tc>
                                <w:tcPr>
                                  <w:tcW w:w="425" w:type="dxa"/>
                                  <w:tcBorders>
                                    <w:top w:val="nil"/>
                                    <w:left w:val="nil"/>
                                    <w:bottom w:val="single" w:sz="4" w:space="0" w:color="auto"/>
                                    <w:right w:val="single" w:sz="4" w:space="0" w:color="auto"/>
                                  </w:tcBorders>
                                  <w:noWrap/>
                                  <w:vAlign w:val="center"/>
                                </w:tcPr>
                                <w:p w14:paraId="59FDB4CC" w14:textId="77777777" w:rsidR="008B713D" w:rsidRDefault="008B713D">
                                  <w:pPr>
                                    <w:spacing w:line="200" w:lineRule="exact"/>
                                    <w:jc w:val="center"/>
                                    <w:rPr>
                                      <w:rFonts w:ascii="標楷體" w:eastAsia="標楷體" w:hAnsi="標楷體" w:cs="Arial"/>
                                      <w:color w:val="000000"/>
                                      <w:spacing w:val="-20"/>
                                      <w:sz w:val="20"/>
                                      <w:szCs w:val="20"/>
                                    </w:rPr>
                                  </w:pPr>
                                </w:p>
                              </w:tc>
                              <w:tc>
                                <w:tcPr>
                                  <w:tcW w:w="567" w:type="dxa"/>
                                  <w:tcBorders>
                                    <w:top w:val="single" w:sz="4" w:space="0" w:color="auto"/>
                                    <w:left w:val="nil"/>
                                    <w:bottom w:val="single" w:sz="4" w:space="0" w:color="auto"/>
                                    <w:right w:val="single" w:sz="4" w:space="0" w:color="auto"/>
                                  </w:tcBorders>
                                  <w:noWrap/>
                                  <w:vAlign w:val="center"/>
                                  <w:hideMark/>
                                </w:tcPr>
                                <w:p w14:paraId="750DDC29"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占比</w:t>
                                  </w:r>
                                </w:p>
                              </w:tc>
                            </w:tr>
                            <w:tr w:rsidR="008B713D" w14:paraId="3F4BF79E" w14:textId="77777777">
                              <w:trPr>
                                <w:trHeight w:val="227"/>
                              </w:trPr>
                              <w:tc>
                                <w:tcPr>
                                  <w:tcW w:w="1555" w:type="dxa"/>
                                  <w:tcBorders>
                                    <w:top w:val="nil"/>
                                    <w:left w:val="single" w:sz="4" w:space="0" w:color="auto"/>
                                    <w:bottom w:val="single" w:sz="4" w:space="0" w:color="auto"/>
                                    <w:right w:val="single" w:sz="4" w:space="0" w:color="auto"/>
                                  </w:tcBorders>
                                  <w:noWrap/>
                                  <w:vAlign w:val="center"/>
                                  <w:hideMark/>
                                </w:tcPr>
                                <w:p w14:paraId="0C55A5EC" w14:textId="77777777" w:rsidR="008B713D" w:rsidRDefault="008B713D">
                                  <w:pPr>
                                    <w:spacing w:line="240" w:lineRule="exact"/>
                                    <w:jc w:val="center"/>
                                    <w:rPr>
                                      <w:rFonts w:ascii="標楷體" w:eastAsia="標楷體" w:hAnsi="標楷體" w:cs="Arial"/>
                                      <w:b/>
                                      <w:color w:val="000000"/>
                                      <w:sz w:val="20"/>
                                      <w:szCs w:val="20"/>
                                    </w:rPr>
                                  </w:pPr>
                                  <w:r>
                                    <w:rPr>
                                      <w:rFonts w:ascii="標楷體" w:eastAsia="標楷體" w:hAnsi="標楷體" w:cs="Arial" w:hint="eastAsia"/>
                                      <w:b/>
                                      <w:color w:val="000000"/>
                                      <w:sz w:val="20"/>
                                      <w:szCs w:val="20"/>
                                    </w:rPr>
                                    <w:t>合計</w:t>
                                  </w:r>
                                </w:p>
                              </w:tc>
                              <w:tc>
                                <w:tcPr>
                                  <w:tcW w:w="425" w:type="dxa"/>
                                  <w:tcBorders>
                                    <w:top w:val="nil"/>
                                    <w:left w:val="nil"/>
                                    <w:bottom w:val="single" w:sz="4" w:space="0" w:color="auto"/>
                                    <w:right w:val="single" w:sz="4" w:space="0" w:color="auto"/>
                                  </w:tcBorders>
                                  <w:noWrap/>
                                  <w:vAlign w:val="bottom"/>
                                  <w:hideMark/>
                                </w:tcPr>
                                <w:p w14:paraId="4CCB1444"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145</w:t>
                                  </w:r>
                                </w:p>
                              </w:tc>
                              <w:tc>
                                <w:tcPr>
                                  <w:tcW w:w="425" w:type="dxa"/>
                                  <w:tcBorders>
                                    <w:top w:val="single" w:sz="4" w:space="0" w:color="auto"/>
                                    <w:left w:val="nil"/>
                                    <w:bottom w:val="single" w:sz="4" w:space="0" w:color="auto"/>
                                    <w:right w:val="single" w:sz="4" w:space="0" w:color="auto"/>
                                  </w:tcBorders>
                                  <w:noWrap/>
                                  <w:vAlign w:val="center"/>
                                  <w:hideMark/>
                                </w:tcPr>
                                <w:p w14:paraId="25D56420"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2</w:t>
                                  </w:r>
                                </w:p>
                              </w:tc>
                              <w:tc>
                                <w:tcPr>
                                  <w:tcW w:w="567" w:type="dxa"/>
                                  <w:tcBorders>
                                    <w:top w:val="single" w:sz="4" w:space="0" w:color="auto"/>
                                    <w:left w:val="nil"/>
                                    <w:bottom w:val="single" w:sz="4" w:space="0" w:color="auto"/>
                                    <w:right w:val="single" w:sz="4" w:space="0" w:color="auto"/>
                                  </w:tcBorders>
                                  <w:vAlign w:val="center"/>
                                  <w:hideMark/>
                                </w:tcPr>
                                <w:p w14:paraId="066ED6ED"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1.38</w:t>
                                  </w:r>
                                </w:p>
                              </w:tc>
                              <w:tc>
                                <w:tcPr>
                                  <w:tcW w:w="425" w:type="dxa"/>
                                  <w:tcBorders>
                                    <w:top w:val="single" w:sz="4" w:space="0" w:color="auto"/>
                                    <w:left w:val="nil"/>
                                    <w:bottom w:val="single" w:sz="4" w:space="0" w:color="auto"/>
                                    <w:right w:val="single" w:sz="4" w:space="0" w:color="auto"/>
                                  </w:tcBorders>
                                  <w:vAlign w:val="center"/>
                                  <w:hideMark/>
                                </w:tcPr>
                                <w:p w14:paraId="6537F785"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143</w:t>
                                  </w:r>
                                </w:p>
                              </w:tc>
                              <w:tc>
                                <w:tcPr>
                                  <w:tcW w:w="567" w:type="dxa"/>
                                  <w:tcBorders>
                                    <w:top w:val="single" w:sz="4" w:space="0" w:color="auto"/>
                                    <w:left w:val="nil"/>
                                    <w:bottom w:val="single" w:sz="4" w:space="0" w:color="auto"/>
                                    <w:right w:val="single" w:sz="4" w:space="0" w:color="auto"/>
                                  </w:tcBorders>
                                  <w:vAlign w:val="center"/>
                                  <w:hideMark/>
                                </w:tcPr>
                                <w:p w14:paraId="2F1F96B7" w14:textId="77777777" w:rsidR="008B713D" w:rsidRDefault="008B713D">
                                  <w:pPr>
                                    <w:spacing w:line="240" w:lineRule="exact"/>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98.62</w:t>
                                  </w:r>
                                </w:p>
                              </w:tc>
                              <w:tc>
                                <w:tcPr>
                                  <w:tcW w:w="426" w:type="dxa"/>
                                  <w:tcBorders>
                                    <w:top w:val="nil"/>
                                    <w:left w:val="nil"/>
                                    <w:bottom w:val="single" w:sz="4" w:space="0" w:color="auto"/>
                                    <w:right w:val="single" w:sz="4" w:space="0" w:color="auto"/>
                                  </w:tcBorders>
                                  <w:vAlign w:val="center"/>
                                  <w:hideMark/>
                                </w:tcPr>
                                <w:p w14:paraId="69E5A572"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71</w:t>
                                  </w:r>
                                </w:p>
                              </w:tc>
                              <w:tc>
                                <w:tcPr>
                                  <w:tcW w:w="567" w:type="dxa"/>
                                  <w:tcBorders>
                                    <w:top w:val="nil"/>
                                    <w:left w:val="nil"/>
                                    <w:bottom w:val="single" w:sz="4" w:space="0" w:color="auto"/>
                                    <w:right w:val="single" w:sz="4" w:space="0" w:color="auto"/>
                                  </w:tcBorders>
                                  <w:noWrap/>
                                  <w:vAlign w:val="center"/>
                                  <w:hideMark/>
                                </w:tcPr>
                                <w:p w14:paraId="2A0904BF" w14:textId="77777777" w:rsidR="008B713D" w:rsidRDefault="008B713D">
                                  <w:pPr>
                                    <w:spacing w:line="240" w:lineRule="exact"/>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48.97</w:t>
                                  </w:r>
                                </w:p>
                              </w:tc>
                              <w:tc>
                                <w:tcPr>
                                  <w:tcW w:w="425" w:type="dxa"/>
                                  <w:tcBorders>
                                    <w:top w:val="nil"/>
                                    <w:left w:val="nil"/>
                                    <w:bottom w:val="single" w:sz="4" w:space="0" w:color="auto"/>
                                    <w:right w:val="single" w:sz="4" w:space="0" w:color="auto"/>
                                  </w:tcBorders>
                                  <w:noWrap/>
                                  <w:vAlign w:val="center"/>
                                  <w:hideMark/>
                                </w:tcPr>
                                <w:p w14:paraId="3707D04E"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74</w:t>
                                  </w:r>
                                </w:p>
                              </w:tc>
                              <w:tc>
                                <w:tcPr>
                                  <w:tcW w:w="567" w:type="dxa"/>
                                  <w:tcBorders>
                                    <w:top w:val="nil"/>
                                    <w:left w:val="nil"/>
                                    <w:bottom w:val="single" w:sz="4" w:space="0" w:color="auto"/>
                                    <w:right w:val="single" w:sz="4" w:space="0" w:color="auto"/>
                                  </w:tcBorders>
                                  <w:noWrap/>
                                  <w:vAlign w:val="center"/>
                                  <w:hideMark/>
                                </w:tcPr>
                                <w:p w14:paraId="41CF0DAA" w14:textId="77777777" w:rsidR="008B713D" w:rsidRDefault="008B713D">
                                  <w:pPr>
                                    <w:spacing w:line="240" w:lineRule="exact"/>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51.03</w:t>
                                  </w:r>
                                </w:p>
                              </w:tc>
                            </w:tr>
                            <w:tr w:rsidR="008B713D" w14:paraId="2E0A8FFD" w14:textId="77777777">
                              <w:trPr>
                                <w:trHeight w:val="227"/>
                              </w:trPr>
                              <w:tc>
                                <w:tcPr>
                                  <w:tcW w:w="1555" w:type="dxa"/>
                                  <w:tcBorders>
                                    <w:top w:val="nil"/>
                                    <w:left w:val="single" w:sz="4" w:space="0" w:color="auto"/>
                                    <w:bottom w:val="single" w:sz="4" w:space="0" w:color="auto"/>
                                    <w:right w:val="single" w:sz="4" w:space="0" w:color="auto"/>
                                  </w:tcBorders>
                                  <w:noWrap/>
                                  <w:vAlign w:val="center"/>
                                  <w:hideMark/>
                                </w:tcPr>
                                <w:p w14:paraId="60673F77" w14:textId="77777777" w:rsidR="008B713D" w:rsidRDefault="008B713D">
                                  <w:pPr>
                                    <w:spacing w:line="240" w:lineRule="exact"/>
                                    <w:rPr>
                                      <w:rFonts w:ascii="標楷體" w:eastAsia="標楷體" w:hAnsi="標楷體" w:cs="Arial"/>
                                      <w:color w:val="000000"/>
                                      <w:spacing w:val="-2"/>
                                      <w:sz w:val="20"/>
                                      <w:szCs w:val="20"/>
                                    </w:rPr>
                                  </w:pPr>
                                  <w:r>
                                    <w:rPr>
                                      <w:rFonts w:ascii="標楷體" w:eastAsia="標楷體" w:hAnsi="標楷體" w:cs="Arial" w:hint="eastAsia"/>
                                      <w:color w:val="000000"/>
                                      <w:spacing w:val="-2"/>
                                      <w:sz w:val="20"/>
                                      <w:szCs w:val="20"/>
                                    </w:rPr>
                                    <w:t>僅設有3－5歲班</w:t>
                                  </w:r>
                                </w:p>
                              </w:tc>
                              <w:tc>
                                <w:tcPr>
                                  <w:tcW w:w="425" w:type="dxa"/>
                                  <w:tcBorders>
                                    <w:top w:val="nil"/>
                                    <w:left w:val="nil"/>
                                    <w:bottom w:val="single" w:sz="4" w:space="0" w:color="auto"/>
                                    <w:right w:val="single" w:sz="4" w:space="0" w:color="auto"/>
                                  </w:tcBorders>
                                  <w:noWrap/>
                                  <w:vAlign w:val="bottom"/>
                                  <w:hideMark/>
                                </w:tcPr>
                                <w:p w14:paraId="73FA949D" w14:textId="77777777" w:rsidR="008B713D" w:rsidRDefault="008B713D">
                                  <w:pPr>
                                    <w:spacing w:line="240" w:lineRule="exact"/>
                                    <w:ind w:rightChars="10" w:right="24"/>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48</w:t>
                                  </w:r>
                                </w:p>
                              </w:tc>
                              <w:tc>
                                <w:tcPr>
                                  <w:tcW w:w="425" w:type="dxa"/>
                                  <w:tcBorders>
                                    <w:top w:val="single" w:sz="4" w:space="0" w:color="auto"/>
                                    <w:left w:val="nil"/>
                                    <w:bottom w:val="single" w:sz="4" w:space="0" w:color="auto"/>
                                    <w:right w:val="single" w:sz="4" w:space="0" w:color="auto"/>
                                  </w:tcBorders>
                                  <w:noWrap/>
                                  <w:vAlign w:val="center"/>
                                  <w:hideMark/>
                                </w:tcPr>
                                <w:p w14:paraId="6F2449D0" w14:textId="77777777" w:rsidR="008B713D" w:rsidRDefault="008B713D">
                                  <w:pPr>
                                    <w:spacing w:line="24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w:t>
                                  </w:r>
                                </w:p>
                              </w:tc>
                              <w:tc>
                                <w:tcPr>
                                  <w:tcW w:w="567" w:type="dxa"/>
                                  <w:tcBorders>
                                    <w:top w:val="single" w:sz="4" w:space="0" w:color="auto"/>
                                    <w:left w:val="nil"/>
                                    <w:bottom w:val="single" w:sz="4" w:space="0" w:color="auto"/>
                                    <w:right w:val="single" w:sz="4" w:space="0" w:color="auto"/>
                                  </w:tcBorders>
                                  <w:vAlign w:val="center"/>
                                  <w:hideMark/>
                                </w:tcPr>
                                <w:p w14:paraId="5E30974A" w14:textId="77777777" w:rsidR="008B713D" w:rsidRDefault="008B713D">
                                  <w:pPr>
                                    <w:spacing w:line="24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2.08</w:t>
                                  </w:r>
                                </w:p>
                              </w:tc>
                              <w:tc>
                                <w:tcPr>
                                  <w:tcW w:w="425" w:type="dxa"/>
                                  <w:tcBorders>
                                    <w:top w:val="single" w:sz="4" w:space="0" w:color="auto"/>
                                    <w:left w:val="nil"/>
                                    <w:bottom w:val="single" w:sz="4" w:space="0" w:color="auto"/>
                                    <w:right w:val="single" w:sz="4" w:space="0" w:color="auto"/>
                                  </w:tcBorders>
                                  <w:vAlign w:val="center"/>
                                  <w:hideMark/>
                                </w:tcPr>
                                <w:p w14:paraId="0928CCED" w14:textId="77777777" w:rsidR="008B713D" w:rsidRDefault="008B713D">
                                  <w:pPr>
                                    <w:spacing w:line="24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47</w:t>
                                  </w:r>
                                </w:p>
                              </w:tc>
                              <w:tc>
                                <w:tcPr>
                                  <w:tcW w:w="567" w:type="dxa"/>
                                  <w:tcBorders>
                                    <w:top w:val="single" w:sz="4" w:space="0" w:color="auto"/>
                                    <w:left w:val="nil"/>
                                    <w:bottom w:val="single" w:sz="4" w:space="0" w:color="auto"/>
                                    <w:right w:val="single" w:sz="4" w:space="0" w:color="auto"/>
                                  </w:tcBorders>
                                  <w:vAlign w:val="center"/>
                                  <w:hideMark/>
                                </w:tcPr>
                                <w:p w14:paraId="7D4A47CE" w14:textId="77777777" w:rsidR="008B713D" w:rsidRDefault="008B713D">
                                  <w:pPr>
                                    <w:spacing w:line="240" w:lineRule="exact"/>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97.92</w:t>
                                  </w:r>
                                </w:p>
                              </w:tc>
                              <w:tc>
                                <w:tcPr>
                                  <w:tcW w:w="426" w:type="dxa"/>
                                  <w:tcBorders>
                                    <w:top w:val="nil"/>
                                    <w:left w:val="nil"/>
                                    <w:bottom w:val="single" w:sz="4" w:space="0" w:color="auto"/>
                                    <w:right w:val="single" w:sz="4" w:space="0" w:color="auto"/>
                                  </w:tcBorders>
                                  <w:vAlign w:val="center"/>
                                  <w:hideMark/>
                                </w:tcPr>
                                <w:p w14:paraId="25B1B461" w14:textId="77777777" w:rsidR="008B713D" w:rsidRDefault="008B713D">
                                  <w:pPr>
                                    <w:spacing w:line="24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41</w:t>
                                  </w:r>
                                </w:p>
                              </w:tc>
                              <w:tc>
                                <w:tcPr>
                                  <w:tcW w:w="567" w:type="dxa"/>
                                  <w:tcBorders>
                                    <w:top w:val="nil"/>
                                    <w:left w:val="nil"/>
                                    <w:bottom w:val="single" w:sz="4" w:space="0" w:color="auto"/>
                                    <w:right w:val="single" w:sz="4" w:space="0" w:color="auto"/>
                                  </w:tcBorders>
                                  <w:noWrap/>
                                  <w:vAlign w:val="center"/>
                                  <w:hideMark/>
                                </w:tcPr>
                                <w:p w14:paraId="2D61C189" w14:textId="77777777" w:rsidR="008B713D" w:rsidRDefault="008B713D">
                                  <w:pPr>
                                    <w:spacing w:line="240" w:lineRule="exact"/>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85.42</w:t>
                                  </w:r>
                                </w:p>
                              </w:tc>
                              <w:tc>
                                <w:tcPr>
                                  <w:tcW w:w="425" w:type="dxa"/>
                                  <w:tcBorders>
                                    <w:top w:val="nil"/>
                                    <w:left w:val="nil"/>
                                    <w:bottom w:val="single" w:sz="4" w:space="0" w:color="auto"/>
                                    <w:right w:val="single" w:sz="4" w:space="0" w:color="auto"/>
                                  </w:tcBorders>
                                  <w:noWrap/>
                                  <w:vAlign w:val="center"/>
                                  <w:hideMark/>
                                </w:tcPr>
                                <w:p w14:paraId="1A4A6583" w14:textId="77777777" w:rsidR="008B713D" w:rsidRDefault="008B713D">
                                  <w:pPr>
                                    <w:spacing w:line="24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7</w:t>
                                  </w:r>
                                </w:p>
                              </w:tc>
                              <w:tc>
                                <w:tcPr>
                                  <w:tcW w:w="567" w:type="dxa"/>
                                  <w:tcBorders>
                                    <w:top w:val="nil"/>
                                    <w:left w:val="nil"/>
                                    <w:bottom w:val="single" w:sz="4" w:space="0" w:color="auto"/>
                                    <w:right w:val="single" w:sz="4" w:space="0" w:color="auto"/>
                                  </w:tcBorders>
                                  <w:noWrap/>
                                  <w:vAlign w:val="center"/>
                                  <w:hideMark/>
                                </w:tcPr>
                                <w:p w14:paraId="332503AB" w14:textId="77777777" w:rsidR="008B713D" w:rsidRDefault="008B713D">
                                  <w:pPr>
                                    <w:spacing w:line="240" w:lineRule="exact"/>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14.58</w:t>
                                  </w:r>
                                </w:p>
                              </w:tc>
                            </w:tr>
                            <w:tr w:rsidR="008B713D" w14:paraId="3B0D1B90" w14:textId="77777777">
                              <w:trPr>
                                <w:trHeight w:val="336"/>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6642A0B8" w14:textId="77777777" w:rsidR="008B713D" w:rsidRDefault="008B713D">
                                  <w:pPr>
                                    <w:spacing w:line="220" w:lineRule="exact"/>
                                    <w:jc w:val="both"/>
                                    <w:rPr>
                                      <w:rFonts w:ascii="標楷體" w:eastAsia="標楷體" w:hAnsi="標楷體" w:cs="Arial"/>
                                      <w:b/>
                                      <w:bCs/>
                                      <w:color w:val="000000"/>
                                      <w:spacing w:val="-4"/>
                                      <w:sz w:val="20"/>
                                      <w:szCs w:val="20"/>
                                    </w:rPr>
                                  </w:pPr>
                                  <w:r>
                                    <w:rPr>
                                      <w:rFonts w:ascii="標楷體" w:eastAsia="標楷體" w:hAnsi="標楷體" w:cs="Arial" w:hint="eastAsia"/>
                                      <w:color w:val="000000"/>
                                      <w:spacing w:val="-4"/>
                                      <w:sz w:val="20"/>
                                      <w:szCs w:val="20"/>
                                    </w:rPr>
                                    <w:t>同時設有2歲專班及3－5歲班</w:t>
                                  </w:r>
                                </w:p>
                              </w:tc>
                              <w:tc>
                                <w:tcPr>
                                  <w:tcW w:w="425" w:type="dxa"/>
                                  <w:tcBorders>
                                    <w:top w:val="single" w:sz="4" w:space="0" w:color="auto"/>
                                    <w:left w:val="nil"/>
                                    <w:bottom w:val="single" w:sz="4" w:space="0" w:color="auto"/>
                                    <w:right w:val="single" w:sz="4" w:space="0" w:color="auto"/>
                                  </w:tcBorders>
                                  <w:noWrap/>
                                  <w:vAlign w:val="center"/>
                                  <w:hideMark/>
                                </w:tcPr>
                                <w:p w14:paraId="251C9B72" w14:textId="77777777" w:rsidR="008B713D" w:rsidRDefault="008B713D">
                                  <w:pPr>
                                    <w:spacing w:line="200" w:lineRule="exact"/>
                                    <w:ind w:rightChars="10" w:right="24"/>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97</w:t>
                                  </w:r>
                                </w:p>
                              </w:tc>
                              <w:tc>
                                <w:tcPr>
                                  <w:tcW w:w="425" w:type="dxa"/>
                                  <w:tcBorders>
                                    <w:top w:val="single" w:sz="4" w:space="0" w:color="auto"/>
                                    <w:left w:val="nil"/>
                                    <w:bottom w:val="single" w:sz="4" w:space="0" w:color="auto"/>
                                    <w:right w:val="single" w:sz="4" w:space="0" w:color="auto"/>
                                  </w:tcBorders>
                                  <w:vAlign w:val="center"/>
                                  <w:hideMark/>
                                </w:tcPr>
                                <w:p w14:paraId="55842DC5" w14:textId="77777777" w:rsidR="008B713D" w:rsidRDefault="008B713D">
                                  <w:pPr>
                                    <w:spacing w:line="20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w:t>
                                  </w:r>
                                </w:p>
                              </w:tc>
                              <w:tc>
                                <w:tcPr>
                                  <w:tcW w:w="567" w:type="dxa"/>
                                  <w:tcBorders>
                                    <w:top w:val="single" w:sz="4" w:space="0" w:color="auto"/>
                                    <w:left w:val="nil"/>
                                    <w:bottom w:val="single" w:sz="4" w:space="0" w:color="auto"/>
                                    <w:right w:val="single" w:sz="4" w:space="0" w:color="auto"/>
                                  </w:tcBorders>
                                  <w:vAlign w:val="center"/>
                                  <w:hideMark/>
                                </w:tcPr>
                                <w:p w14:paraId="4ADCB1BD" w14:textId="77777777" w:rsidR="008B713D" w:rsidRDefault="008B713D">
                                  <w:pPr>
                                    <w:spacing w:line="20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1.03</w:t>
                                  </w:r>
                                </w:p>
                              </w:tc>
                              <w:tc>
                                <w:tcPr>
                                  <w:tcW w:w="425" w:type="dxa"/>
                                  <w:tcBorders>
                                    <w:top w:val="single" w:sz="4" w:space="0" w:color="auto"/>
                                    <w:left w:val="nil"/>
                                    <w:bottom w:val="single" w:sz="4" w:space="0" w:color="auto"/>
                                    <w:right w:val="single" w:sz="4" w:space="0" w:color="auto"/>
                                  </w:tcBorders>
                                  <w:vAlign w:val="center"/>
                                  <w:hideMark/>
                                </w:tcPr>
                                <w:p w14:paraId="0F9B6AF7" w14:textId="77777777" w:rsidR="008B713D" w:rsidRDefault="008B713D">
                                  <w:pPr>
                                    <w:spacing w:line="20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96</w:t>
                                  </w:r>
                                </w:p>
                              </w:tc>
                              <w:tc>
                                <w:tcPr>
                                  <w:tcW w:w="567" w:type="dxa"/>
                                  <w:tcBorders>
                                    <w:top w:val="single" w:sz="4" w:space="0" w:color="auto"/>
                                    <w:left w:val="nil"/>
                                    <w:bottom w:val="single" w:sz="4" w:space="0" w:color="auto"/>
                                    <w:right w:val="single" w:sz="4" w:space="0" w:color="auto"/>
                                  </w:tcBorders>
                                  <w:vAlign w:val="center"/>
                                  <w:hideMark/>
                                </w:tcPr>
                                <w:p w14:paraId="58634E43" w14:textId="77777777" w:rsidR="008B713D" w:rsidRDefault="008B713D">
                                  <w:pPr>
                                    <w:spacing w:line="200" w:lineRule="exact"/>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98.97</w:t>
                                  </w:r>
                                </w:p>
                              </w:tc>
                              <w:tc>
                                <w:tcPr>
                                  <w:tcW w:w="426" w:type="dxa"/>
                                  <w:tcBorders>
                                    <w:top w:val="single" w:sz="4" w:space="0" w:color="auto"/>
                                    <w:left w:val="single" w:sz="4" w:space="0" w:color="auto"/>
                                    <w:bottom w:val="single" w:sz="4" w:space="0" w:color="auto"/>
                                    <w:right w:val="single" w:sz="4" w:space="0" w:color="auto"/>
                                  </w:tcBorders>
                                  <w:vAlign w:val="center"/>
                                  <w:hideMark/>
                                </w:tcPr>
                                <w:p w14:paraId="74BE3395" w14:textId="77777777" w:rsidR="008B713D" w:rsidRDefault="008B713D">
                                  <w:pPr>
                                    <w:spacing w:line="200" w:lineRule="exact"/>
                                    <w:ind w:rightChars="10" w:right="24"/>
                                    <w:jc w:val="right"/>
                                    <w:rPr>
                                      <w:rFonts w:ascii="標楷體" w:eastAsia="標楷體" w:hAnsi="標楷體" w:cs="Arial"/>
                                      <w:bCs/>
                                      <w:color w:val="000000"/>
                                      <w:sz w:val="20"/>
                                      <w:szCs w:val="20"/>
                                    </w:rPr>
                                  </w:pPr>
                                  <w:r>
                                    <w:rPr>
                                      <w:rFonts w:ascii="標楷體" w:eastAsia="標楷體" w:hAnsi="標楷體" w:cs="Arial" w:hint="eastAsia"/>
                                      <w:bCs/>
                                      <w:color w:val="000000"/>
                                      <w:sz w:val="20"/>
                                      <w:szCs w:val="20"/>
                                    </w:rPr>
                                    <w:t>30</w:t>
                                  </w:r>
                                </w:p>
                              </w:tc>
                              <w:tc>
                                <w:tcPr>
                                  <w:tcW w:w="567" w:type="dxa"/>
                                  <w:tcBorders>
                                    <w:top w:val="single" w:sz="4" w:space="0" w:color="auto"/>
                                    <w:left w:val="nil"/>
                                    <w:bottom w:val="single" w:sz="4" w:space="0" w:color="auto"/>
                                    <w:right w:val="single" w:sz="4" w:space="0" w:color="auto"/>
                                  </w:tcBorders>
                                  <w:vAlign w:val="center"/>
                                  <w:hideMark/>
                                </w:tcPr>
                                <w:p w14:paraId="3FCDD3C4" w14:textId="77777777" w:rsidR="008B713D" w:rsidRDefault="008B713D">
                                  <w:pPr>
                                    <w:spacing w:line="200" w:lineRule="exact"/>
                                    <w:jc w:val="right"/>
                                    <w:rPr>
                                      <w:rFonts w:ascii="標楷體" w:eastAsia="標楷體" w:hAnsi="標楷體" w:cs="Arial"/>
                                      <w:bCs/>
                                      <w:color w:val="000000"/>
                                      <w:sz w:val="20"/>
                                      <w:szCs w:val="20"/>
                                    </w:rPr>
                                  </w:pPr>
                                  <w:r>
                                    <w:rPr>
                                      <w:rFonts w:ascii="標楷體" w:eastAsia="標楷體" w:hAnsi="標楷體" w:cs="Arial" w:hint="eastAsia"/>
                                      <w:bCs/>
                                      <w:color w:val="000000"/>
                                      <w:sz w:val="20"/>
                                      <w:szCs w:val="20"/>
                                    </w:rPr>
                                    <w:t>30.93</w:t>
                                  </w:r>
                                </w:p>
                              </w:tc>
                              <w:tc>
                                <w:tcPr>
                                  <w:tcW w:w="425" w:type="dxa"/>
                                  <w:tcBorders>
                                    <w:top w:val="single" w:sz="4" w:space="0" w:color="auto"/>
                                    <w:left w:val="nil"/>
                                    <w:bottom w:val="single" w:sz="4" w:space="0" w:color="auto"/>
                                    <w:right w:val="single" w:sz="4" w:space="0" w:color="auto"/>
                                  </w:tcBorders>
                                  <w:vAlign w:val="center"/>
                                  <w:hideMark/>
                                </w:tcPr>
                                <w:p w14:paraId="5641CAC3" w14:textId="77777777" w:rsidR="008B713D" w:rsidRDefault="008B713D">
                                  <w:pPr>
                                    <w:spacing w:line="200" w:lineRule="exact"/>
                                    <w:ind w:rightChars="10" w:right="24"/>
                                    <w:jc w:val="right"/>
                                    <w:rPr>
                                      <w:rFonts w:ascii="標楷體" w:eastAsia="標楷體" w:hAnsi="標楷體" w:cs="Arial"/>
                                      <w:bCs/>
                                      <w:color w:val="000000"/>
                                      <w:sz w:val="20"/>
                                      <w:szCs w:val="20"/>
                                    </w:rPr>
                                  </w:pPr>
                                  <w:r>
                                    <w:rPr>
                                      <w:rFonts w:ascii="標楷體" w:eastAsia="標楷體" w:hAnsi="標楷體" w:cs="Arial" w:hint="eastAsia"/>
                                      <w:bCs/>
                                      <w:color w:val="000000"/>
                                      <w:sz w:val="20"/>
                                      <w:szCs w:val="20"/>
                                    </w:rPr>
                                    <w:t>67</w:t>
                                  </w:r>
                                </w:p>
                              </w:tc>
                              <w:tc>
                                <w:tcPr>
                                  <w:tcW w:w="567" w:type="dxa"/>
                                  <w:tcBorders>
                                    <w:top w:val="single" w:sz="4" w:space="0" w:color="auto"/>
                                    <w:left w:val="nil"/>
                                    <w:bottom w:val="single" w:sz="4" w:space="0" w:color="auto"/>
                                    <w:right w:val="single" w:sz="4" w:space="0" w:color="auto"/>
                                  </w:tcBorders>
                                  <w:vAlign w:val="center"/>
                                  <w:hideMark/>
                                </w:tcPr>
                                <w:p w14:paraId="350C7C66" w14:textId="77777777" w:rsidR="008B713D" w:rsidRDefault="008B713D">
                                  <w:pPr>
                                    <w:spacing w:line="200" w:lineRule="exact"/>
                                    <w:jc w:val="right"/>
                                    <w:rPr>
                                      <w:rFonts w:ascii="標楷體" w:eastAsia="標楷體" w:hAnsi="標楷體" w:cs="Arial"/>
                                      <w:bCs/>
                                      <w:color w:val="000000"/>
                                      <w:sz w:val="20"/>
                                      <w:szCs w:val="20"/>
                                    </w:rPr>
                                  </w:pPr>
                                  <w:r>
                                    <w:rPr>
                                      <w:rFonts w:ascii="標楷體" w:eastAsia="標楷體" w:hAnsi="標楷體" w:cs="Arial" w:hint="eastAsia"/>
                                      <w:bCs/>
                                      <w:color w:val="000000"/>
                                      <w:sz w:val="20"/>
                                      <w:szCs w:val="20"/>
                                    </w:rPr>
                                    <w:t>69.07</w:t>
                                  </w:r>
                                </w:p>
                              </w:tc>
                            </w:tr>
                          </w:tbl>
                          <w:p w14:paraId="00E73A3C" w14:textId="77777777" w:rsidR="008B713D" w:rsidRDefault="008B713D" w:rsidP="00C35CDE">
                            <w:pPr>
                              <w:spacing w:line="22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：1.資料統計時點：113年9月30日。</w:t>
                            </w:r>
                          </w:p>
                          <w:p w14:paraId="41B1B7E2" w14:textId="77777777" w:rsidR="008B713D" w:rsidRDefault="008B713D" w:rsidP="00C35CDE">
                            <w:pPr>
                              <w:spacing w:line="220" w:lineRule="exact"/>
                              <w:ind w:leftChars="150" w:left="540" w:hangingChars="100" w:hanging="180"/>
                              <w:jc w:val="both"/>
                              <w:rPr>
                                <w:rFonts w:ascii="標楷體" w:eastAsia="標楷體" w:hAnsi="標楷體"/>
                                <w:sz w:val="18"/>
                                <w:szCs w:val="18"/>
                              </w:rPr>
                            </w:pPr>
                            <w:r>
                              <w:rPr>
                                <w:rFonts w:ascii="標楷體" w:eastAsia="標楷體" w:hAnsi="標楷體" w:hint="eastAsia"/>
                                <w:sz w:val="18"/>
                                <w:szCs w:val="18"/>
                              </w:rPr>
                              <w:t>2.同時設有2歲專班及3－5歲班之教保服務機構已於教學空間設置攝錄影音設備者雖有67所，惟其中有44所尚未於3－5歲班教學空間設置監視器。</w:t>
                            </w:r>
                          </w:p>
                          <w:p w14:paraId="59E839C2" w14:textId="77777777" w:rsidR="008B713D" w:rsidRDefault="008B713D" w:rsidP="00C35CDE">
                            <w:pPr>
                              <w:spacing w:line="220" w:lineRule="exact"/>
                              <w:ind w:leftChars="110" w:left="264" w:firstLineChars="50" w:firstLine="90"/>
                              <w:rPr>
                                <w:rFonts w:ascii="標楷體" w:eastAsia="標楷體" w:hAnsi="標楷體"/>
                                <w:sz w:val="18"/>
                                <w:szCs w:val="18"/>
                              </w:rPr>
                            </w:pPr>
                            <w:r>
                              <w:rPr>
                                <w:rFonts w:ascii="標楷體" w:eastAsia="標楷體" w:hAnsi="標楷體" w:hint="eastAsia"/>
                                <w:sz w:val="18"/>
                                <w:szCs w:val="18"/>
                              </w:rPr>
                              <w:t>3.資料來源：整理自教育局提供資料。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74135B" id="文字方塊 24" o:spid="_x0000_s1062" type="#_x0000_t202" style="position:absolute;left:0;text-align:left;margin-left:187.45pt;margin-top:245.6pt;width:310.6pt;height:177.25pt;z-index:-251617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" filled="f" stroked="f">
                <v:textbox>
                  <w:txbxContent>
                    <w:p w14:paraId="21939A19" w14:textId="77777777" w:rsidR="008B713D" w:rsidRDefault="008B713D" w:rsidP="008B713D">
                      <w:pPr>
                        <w:spacing w:afterLines="20" w:after="72" w:line="240" w:lineRule="exact"/>
                        <w:jc w:val="center"/>
                        <w:rPr>
                          <w:rFonts w:ascii="標楷體" w:eastAsia="標楷體" w:hAnsi="標楷體"/>
                          <w:b/>
                        </w:rPr>
                      </w:pPr>
                      <w:r>
                        <w:rPr>
                          <w:rFonts w:ascii="標楷體" w:eastAsia="標楷體" w:hAnsi="標楷體" w:hint="eastAsia"/>
                          <w:b/>
                        </w:rPr>
                        <w:t>表6　臺北市公立教保服務機構設置攝錄設備情形</w:t>
                      </w:r>
                    </w:p>
                    <w:p w14:paraId="368B69CE" w14:textId="77777777" w:rsidR="008B713D" w:rsidRDefault="008B713D" w:rsidP="008B713D">
                      <w:pPr>
                        <w:spacing w:line="200" w:lineRule="exact"/>
                        <w:jc w:val="right"/>
                        <w:rPr>
                          <w:rFonts w:ascii="標楷體" w:eastAsia="標楷體" w:hAnsi="標楷體"/>
                          <w:sz w:val="20"/>
                          <w:szCs w:val="20"/>
                        </w:rPr>
                      </w:pPr>
                      <w:r>
                        <w:rPr>
                          <w:rFonts w:ascii="標楷體" w:eastAsia="標楷體" w:hAnsi="標楷體" w:hint="eastAsia"/>
                          <w:sz w:val="20"/>
                          <w:szCs w:val="20"/>
                        </w:rPr>
                        <w:t>單位：所、％</w:t>
                      </w:r>
                    </w:p>
                    <w:tbl>
                      <w:tblPr>
                        <w:tblW w:w="5955" w:type="dxa"/>
                        <w:tblLayout w:type="fixed"/>
                        <w:tblCellMar>
                          <w:left w:w="28" w:type="dxa"/>
                          <w:right w:w="28" w:type="dxa"/>
                        </w:tblCellMar>
                        <w:tblLook w:val="04A0" w:firstRow="1" w:lastRow="0" w:firstColumn="1" w:lastColumn="0" w:noHBand="0" w:noVBand="1"/>
                      </w:tblPr>
                      <w:tblGrid>
                        <w:gridCol w:w="1557"/>
                        <w:gridCol w:w="425"/>
                        <w:gridCol w:w="425"/>
                        <w:gridCol w:w="568"/>
                        <w:gridCol w:w="425"/>
                        <w:gridCol w:w="568"/>
                        <w:gridCol w:w="426"/>
                        <w:gridCol w:w="568"/>
                        <w:gridCol w:w="425"/>
                        <w:gridCol w:w="568"/>
                      </w:tblGrid>
                      <w:tr w:rsidR="008B713D" w14:paraId="2E695CD8" w14:textId="77777777">
                        <w:trPr>
                          <w:trHeight w:val="170"/>
                        </w:trPr>
                        <w:tc>
                          <w:tcPr>
                            <w:tcW w:w="1555" w:type="dxa"/>
                            <w:vMerge w:val="restart"/>
                            <w:tcBorders>
                              <w:top w:val="single" w:sz="4" w:space="0" w:color="auto"/>
                              <w:left w:val="single" w:sz="4" w:space="0" w:color="auto"/>
                              <w:bottom w:val="single" w:sz="4" w:space="0" w:color="000000"/>
                              <w:right w:val="single" w:sz="4" w:space="0" w:color="auto"/>
                            </w:tcBorders>
                            <w:noWrap/>
                            <w:vAlign w:val="center"/>
                            <w:hideMark/>
                          </w:tcPr>
                          <w:p w14:paraId="1D66CA92"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教保服務機構</w:t>
                            </w:r>
                          </w:p>
                        </w:tc>
                        <w:tc>
                          <w:tcPr>
                            <w:tcW w:w="425" w:type="dxa"/>
                            <w:vMerge w:val="restart"/>
                            <w:tcBorders>
                              <w:top w:val="single" w:sz="4" w:space="0" w:color="auto"/>
                              <w:left w:val="single" w:sz="4" w:space="0" w:color="auto"/>
                              <w:bottom w:val="single" w:sz="4" w:space="0" w:color="000000"/>
                              <w:right w:val="single" w:sz="4" w:space="0" w:color="auto"/>
                            </w:tcBorders>
                            <w:noWrap/>
                            <w:vAlign w:val="center"/>
                            <w:hideMark/>
                          </w:tcPr>
                          <w:p w14:paraId="0B760880" w14:textId="77777777" w:rsidR="008B713D" w:rsidRDefault="008B713D">
                            <w:pPr>
                              <w:spacing w:line="200" w:lineRule="exact"/>
                              <w:jc w:val="center"/>
                              <w:rPr>
                                <w:rFonts w:ascii="標楷體" w:eastAsia="標楷體" w:hAnsi="標楷體" w:cs="Arial"/>
                                <w:bCs/>
                                <w:color w:val="000000"/>
                                <w:spacing w:val="-8"/>
                                <w:sz w:val="20"/>
                                <w:szCs w:val="20"/>
                              </w:rPr>
                            </w:pPr>
                            <w:r>
                              <w:rPr>
                                <w:rFonts w:ascii="標楷體" w:eastAsia="標楷體" w:hAnsi="標楷體" w:cs="Arial" w:hint="eastAsia"/>
                                <w:bCs/>
                                <w:color w:val="000000"/>
                                <w:spacing w:val="-8"/>
                                <w:sz w:val="20"/>
                                <w:szCs w:val="20"/>
                              </w:rPr>
                              <w:t>合計</w:t>
                            </w:r>
                          </w:p>
                        </w:tc>
                        <w:tc>
                          <w:tcPr>
                            <w:tcW w:w="1984" w:type="dxa"/>
                            <w:gridSpan w:val="4"/>
                            <w:tcBorders>
                              <w:top w:val="single" w:sz="4" w:space="0" w:color="auto"/>
                              <w:left w:val="nil"/>
                              <w:bottom w:val="single" w:sz="4" w:space="0" w:color="auto"/>
                              <w:right w:val="single" w:sz="4" w:space="0" w:color="auto"/>
                            </w:tcBorders>
                            <w:noWrap/>
                            <w:vAlign w:val="center"/>
                            <w:hideMark/>
                          </w:tcPr>
                          <w:p w14:paraId="4A30D896"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公共區域</w:t>
                            </w:r>
                          </w:p>
                        </w:tc>
                        <w:tc>
                          <w:tcPr>
                            <w:tcW w:w="1985" w:type="dxa"/>
                            <w:gridSpan w:val="4"/>
                            <w:tcBorders>
                              <w:top w:val="single" w:sz="4" w:space="0" w:color="auto"/>
                              <w:left w:val="nil"/>
                              <w:bottom w:val="single" w:sz="4" w:space="0" w:color="auto"/>
                              <w:right w:val="single" w:sz="4" w:space="0" w:color="auto"/>
                            </w:tcBorders>
                            <w:vAlign w:val="center"/>
                            <w:hideMark/>
                          </w:tcPr>
                          <w:p w14:paraId="4EF1D446"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教學空間</w:t>
                            </w:r>
                          </w:p>
                        </w:tc>
                      </w:tr>
                      <w:tr w:rsidR="008B713D" w14:paraId="038B0453" w14:textId="77777777">
                        <w:trPr>
                          <w:trHeight w:val="170"/>
                        </w:trPr>
                        <w:tc>
                          <w:tcPr>
                            <w:tcW w:w="1555" w:type="dxa"/>
                            <w:vMerge/>
                            <w:tcBorders>
                              <w:top w:val="single" w:sz="4" w:space="0" w:color="auto"/>
                              <w:left w:val="single" w:sz="4" w:space="0" w:color="auto"/>
                              <w:bottom w:val="single" w:sz="4" w:space="0" w:color="000000"/>
                              <w:right w:val="single" w:sz="4" w:space="0" w:color="auto"/>
                            </w:tcBorders>
                            <w:vAlign w:val="center"/>
                            <w:hideMark/>
                          </w:tcPr>
                          <w:p w14:paraId="1B1B9506" w14:textId="77777777" w:rsidR="008B713D" w:rsidRDefault="008B713D">
                            <w:pPr>
                              <w:widowControl/>
                              <w:rPr>
                                <w:rFonts w:ascii="標楷體" w:eastAsia="標楷體" w:hAnsi="標楷體" w:cs="Arial"/>
                                <w:color w:val="000000"/>
                                <w:sz w:val="20"/>
                                <w:szCs w:val="20"/>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0C30D6C2" w14:textId="77777777" w:rsidR="008B713D" w:rsidRDefault="008B713D">
                            <w:pPr>
                              <w:widowControl/>
                              <w:rPr>
                                <w:rFonts w:ascii="標楷體" w:eastAsia="標楷體" w:hAnsi="標楷體" w:cs="Arial"/>
                                <w:bCs/>
                                <w:color w:val="000000"/>
                                <w:spacing w:val="-8"/>
                                <w:sz w:val="20"/>
                                <w:szCs w:val="20"/>
                              </w:rPr>
                            </w:pPr>
                          </w:p>
                        </w:tc>
                        <w:tc>
                          <w:tcPr>
                            <w:tcW w:w="992" w:type="dxa"/>
                            <w:gridSpan w:val="2"/>
                            <w:tcBorders>
                              <w:top w:val="single" w:sz="4" w:space="0" w:color="auto"/>
                              <w:left w:val="nil"/>
                              <w:bottom w:val="nil"/>
                              <w:right w:val="single" w:sz="4" w:space="0" w:color="auto"/>
                            </w:tcBorders>
                            <w:noWrap/>
                            <w:vAlign w:val="center"/>
                            <w:hideMark/>
                          </w:tcPr>
                          <w:p w14:paraId="48AB8035" w14:textId="77777777" w:rsidR="008B713D" w:rsidRDefault="008B713D">
                            <w:pPr>
                              <w:spacing w:line="200" w:lineRule="exact"/>
                              <w:jc w:val="center"/>
                              <w:rPr>
                                <w:rFonts w:ascii="標楷體" w:eastAsia="標楷體" w:hAnsi="標楷體" w:cs="Arial"/>
                                <w:color w:val="000000"/>
                                <w:spacing w:val="-12"/>
                                <w:sz w:val="20"/>
                                <w:szCs w:val="20"/>
                              </w:rPr>
                            </w:pPr>
                            <w:r>
                              <w:rPr>
                                <w:rFonts w:ascii="標楷體" w:eastAsia="標楷體" w:hAnsi="標楷體" w:cs="Arial" w:hint="eastAsia"/>
                                <w:color w:val="000000"/>
                                <w:spacing w:val="-12"/>
                                <w:sz w:val="20"/>
                                <w:szCs w:val="20"/>
                              </w:rPr>
                              <w:t>未</w:t>
                            </w:r>
                            <w:proofErr w:type="gramStart"/>
                            <w:r>
                              <w:rPr>
                                <w:rFonts w:ascii="標楷體" w:eastAsia="標楷體" w:hAnsi="標楷體" w:cs="Arial" w:hint="eastAsia"/>
                                <w:color w:val="000000"/>
                                <w:spacing w:val="-12"/>
                                <w:sz w:val="20"/>
                                <w:szCs w:val="20"/>
                              </w:rPr>
                              <w:t>設置園數</w:t>
                            </w:r>
                            <w:proofErr w:type="gramEnd"/>
                          </w:p>
                        </w:tc>
                        <w:tc>
                          <w:tcPr>
                            <w:tcW w:w="992" w:type="dxa"/>
                            <w:gridSpan w:val="2"/>
                            <w:tcBorders>
                              <w:top w:val="single" w:sz="4" w:space="0" w:color="auto"/>
                              <w:left w:val="nil"/>
                              <w:bottom w:val="nil"/>
                              <w:right w:val="single" w:sz="4" w:space="0" w:color="auto"/>
                            </w:tcBorders>
                            <w:vAlign w:val="center"/>
                            <w:hideMark/>
                          </w:tcPr>
                          <w:p w14:paraId="76623FC7" w14:textId="77777777" w:rsidR="008B713D" w:rsidRDefault="008B713D">
                            <w:pPr>
                              <w:spacing w:line="200" w:lineRule="exact"/>
                              <w:jc w:val="center"/>
                              <w:rPr>
                                <w:rFonts w:ascii="標楷體" w:eastAsia="標楷體" w:hAnsi="標楷體" w:cs="Arial"/>
                                <w:color w:val="000000"/>
                                <w:spacing w:val="-10"/>
                                <w:sz w:val="20"/>
                                <w:szCs w:val="20"/>
                              </w:rPr>
                            </w:pPr>
                            <w:r>
                              <w:rPr>
                                <w:rFonts w:ascii="標楷體" w:eastAsia="標楷體" w:hAnsi="標楷體" w:cs="Arial" w:hint="eastAsia"/>
                                <w:color w:val="000000"/>
                                <w:spacing w:val="-10"/>
                                <w:sz w:val="20"/>
                                <w:szCs w:val="20"/>
                              </w:rPr>
                              <w:t>有</w:t>
                            </w:r>
                            <w:proofErr w:type="gramStart"/>
                            <w:r>
                              <w:rPr>
                                <w:rFonts w:ascii="標楷體" w:eastAsia="標楷體" w:hAnsi="標楷體" w:cs="Arial" w:hint="eastAsia"/>
                                <w:color w:val="000000"/>
                                <w:spacing w:val="-10"/>
                                <w:sz w:val="20"/>
                                <w:szCs w:val="20"/>
                              </w:rPr>
                              <w:t>設置園數</w:t>
                            </w:r>
                            <w:proofErr w:type="gramEnd"/>
                          </w:p>
                        </w:tc>
                        <w:tc>
                          <w:tcPr>
                            <w:tcW w:w="993" w:type="dxa"/>
                            <w:gridSpan w:val="2"/>
                            <w:tcBorders>
                              <w:top w:val="single" w:sz="4" w:space="0" w:color="auto"/>
                              <w:left w:val="nil"/>
                              <w:bottom w:val="nil"/>
                              <w:right w:val="single" w:sz="4" w:space="0" w:color="auto"/>
                            </w:tcBorders>
                            <w:vAlign w:val="center"/>
                            <w:hideMark/>
                          </w:tcPr>
                          <w:p w14:paraId="32359CEC" w14:textId="77777777" w:rsidR="008B713D" w:rsidRDefault="008B713D">
                            <w:pPr>
                              <w:spacing w:line="200" w:lineRule="exact"/>
                              <w:jc w:val="center"/>
                              <w:rPr>
                                <w:rFonts w:ascii="標楷體" w:eastAsia="標楷體" w:hAnsi="標楷體" w:cs="Arial"/>
                                <w:color w:val="000000"/>
                                <w:spacing w:val="-10"/>
                                <w:sz w:val="20"/>
                                <w:szCs w:val="20"/>
                              </w:rPr>
                            </w:pPr>
                            <w:r>
                              <w:rPr>
                                <w:rFonts w:ascii="標楷體" w:eastAsia="標楷體" w:hAnsi="標楷體" w:cs="Arial" w:hint="eastAsia"/>
                                <w:color w:val="000000"/>
                                <w:spacing w:val="-10"/>
                                <w:sz w:val="20"/>
                                <w:szCs w:val="20"/>
                              </w:rPr>
                              <w:t>未</w:t>
                            </w:r>
                            <w:proofErr w:type="gramStart"/>
                            <w:r>
                              <w:rPr>
                                <w:rFonts w:ascii="標楷體" w:eastAsia="標楷體" w:hAnsi="標楷體" w:cs="Arial" w:hint="eastAsia"/>
                                <w:color w:val="000000"/>
                                <w:spacing w:val="-10"/>
                                <w:sz w:val="20"/>
                                <w:szCs w:val="20"/>
                              </w:rPr>
                              <w:t>設置園數</w:t>
                            </w:r>
                            <w:proofErr w:type="gramEnd"/>
                          </w:p>
                        </w:tc>
                        <w:tc>
                          <w:tcPr>
                            <w:tcW w:w="992" w:type="dxa"/>
                            <w:gridSpan w:val="2"/>
                            <w:tcBorders>
                              <w:top w:val="single" w:sz="4" w:space="0" w:color="auto"/>
                              <w:left w:val="nil"/>
                              <w:bottom w:val="nil"/>
                              <w:right w:val="single" w:sz="4" w:space="0" w:color="auto"/>
                            </w:tcBorders>
                            <w:noWrap/>
                            <w:vAlign w:val="center"/>
                            <w:hideMark/>
                          </w:tcPr>
                          <w:p w14:paraId="4DD1C54D" w14:textId="77777777" w:rsidR="008B713D" w:rsidRDefault="008B713D">
                            <w:pPr>
                              <w:spacing w:line="200" w:lineRule="exact"/>
                              <w:jc w:val="center"/>
                              <w:rPr>
                                <w:rFonts w:ascii="標楷體" w:eastAsia="標楷體" w:hAnsi="標楷體" w:cs="Arial"/>
                                <w:color w:val="000000"/>
                                <w:spacing w:val="-10"/>
                                <w:sz w:val="20"/>
                                <w:szCs w:val="20"/>
                              </w:rPr>
                            </w:pPr>
                            <w:r>
                              <w:rPr>
                                <w:rFonts w:ascii="標楷體" w:eastAsia="標楷體" w:hAnsi="標楷體" w:cs="Arial" w:hint="eastAsia"/>
                                <w:color w:val="000000"/>
                                <w:spacing w:val="-10"/>
                                <w:sz w:val="20"/>
                                <w:szCs w:val="20"/>
                              </w:rPr>
                              <w:t>有</w:t>
                            </w:r>
                            <w:proofErr w:type="gramStart"/>
                            <w:r>
                              <w:rPr>
                                <w:rFonts w:ascii="標楷體" w:eastAsia="標楷體" w:hAnsi="標楷體" w:cs="Arial" w:hint="eastAsia"/>
                                <w:color w:val="000000"/>
                                <w:spacing w:val="-10"/>
                                <w:sz w:val="20"/>
                                <w:szCs w:val="20"/>
                              </w:rPr>
                              <w:t>設置園數</w:t>
                            </w:r>
                            <w:proofErr w:type="gramEnd"/>
                          </w:p>
                        </w:tc>
                      </w:tr>
                      <w:tr w:rsidR="008B713D" w14:paraId="2FC3F9DF" w14:textId="77777777">
                        <w:trPr>
                          <w:trHeight w:val="170"/>
                        </w:trPr>
                        <w:tc>
                          <w:tcPr>
                            <w:tcW w:w="1555" w:type="dxa"/>
                            <w:vMerge/>
                            <w:tcBorders>
                              <w:top w:val="single" w:sz="4" w:space="0" w:color="auto"/>
                              <w:left w:val="single" w:sz="4" w:space="0" w:color="auto"/>
                              <w:bottom w:val="single" w:sz="4" w:space="0" w:color="000000"/>
                              <w:right w:val="single" w:sz="4" w:space="0" w:color="auto"/>
                            </w:tcBorders>
                            <w:vAlign w:val="center"/>
                            <w:hideMark/>
                          </w:tcPr>
                          <w:p w14:paraId="0731A678" w14:textId="77777777" w:rsidR="008B713D" w:rsidRDefault="008B713D">
                            <w:pPr>
                              <w:widowControl/>
                              <w:rPr>
                                <w:rFonts w:ascii="標楷體" w:eastAsia="標楷體" w:hAnsi="標楷體" w:cs="Arial"/>
                                <w:color w:val="000000"/>
                                <w:sz w:val="20"/>
                                <w:szCs w:val="20"/>
                              </w:rPr>
                            </w:pPr>
                          </w:p>
                        </w:tc>
                        <w:tc>
                          <w:tcPr>
                            <w:tcW w:w="425" w:type="dxa"/>
                            <w:vMerge/>
                            <w:tcBorders>
                              <w:top w:val="single" w:sz="4" w:space="0" w:color="auto"/>
                              <w:left w:val="single" w:sz="4" w:space="0" w:color="auto"/>
                              <w:bottom w:val="single" w:sz="4" w:space="0" w:color="000000"/>
                              <w:right w:val="single" w:sz="4" w:space="0" w:color="auto"/>
                            </w:tcBorders>
                            <w:vAlign w:val="center"/>
                            <w:hideMark/>
                          </w:tcPr>
                          <w:p w14:paraId="16CBF38E" w14:textId="77777777" w:rsidR="008B713D" w:rsidRDefault="008B713D">
                            <w:pPr>
                              <w:widowControl/>
                              <w:rPr>
                                <w:rFonts w:ascii="標楷體" w:eastAsia="標楷體" w:hAnsi="標楷體" w:cs="Arial"/>
                                <w:bCs/>
                                <w:color w:val="000000"/>
                                <w:spacing w:val="-8"/>
                                <w:sz w:val="20"/>
                                <w:szCs w:val="20"/>
                              </w:rPr>
                            </w:pPr>
                          </w:p>
                        </w:tc>
                        <w:tc>
                          <w:tcPr>
                            <w:tcW w:w="425" w:type="dxa"/>
                            <w:tcBorders>
                              <w:top w:val="nil"/>
                              <w:left w:val="nil"/>
                              <w:bottom w:val="single" w:sz="4" w:space="0" w:color="auto"/>
                              <w:right w:val="single" w:sz="4" w:space="0" w:color="auto"/>
                            </w:tcBorders>
                            <w:noWrap/>
                            <w:vAlign w:val="center"/>
                            <w:hideMark/>
                          </w:tcPr>
                          <w:p w14:paraId="294B5DA3" w14:textId="77777777" w:rsidR="008B713D" w:rsidRDefault="008B713D">
                            <w:pPr>
                              <w:rPr>
                                <w:rFonts w:ascii="標楷體" w:eastAsia="標楷體" w:hAnsi="標楷體" w:cs="Arial"/>
                                <w:color w:val="000000"/>
                                <w:spacing w:val="-10"/>
                                <w:sz w:val="20"/>
                                <w:szCs w:val="20"/>
                              </w:rPr>
                            </w:pPr>
                          </w:p>
                        </w:tc>
                        <w:tc>
                          <w:tcPr>
                            <w:tcW w:w="567" w:type="dxa"/>
                            <w:tcBorders>
                              <w:top w:val="single" w:sz="4" w:space="0" w:color="auto"/>
                              <w:left w:val="nil"/>
                              <w:bottom w:val="single" w:sz="4" w:space="0" w:color="auto"/>
                              <w:right w:val="single" w:sz="4" w:space="0" w:color="auto"/>
                            </w:tcBorders>
                            <w:vAlign w:val="center"/>
                            <w:hideMark/>
                          </w:tcPr>
                          <w:p w14:paraId="4B5401E4"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占比</w:t>
                            </w:r>
                          </w:p>
                        </w:tc>
                        <w:tc>
                          <w:tcPr>
                            <w:tcW w:w="425" w:type="dxa"/>
                            <w:tcBorders>
                              <w:top w:val="nil"/>
                              <w:left w:val="nil"/>
                              <w:bottom w:val="single" w:sz="4" w:space="0" w:color="auto"/>
                              <w:right w:val="single" w:sz="4" w:space="0" w:color="auto"/>
                            </w:tcBorders>
                            <w:vAlign w:val="center"/>
                          </w:tcPr>
                          <w:p w14:paraId="70D97333" w14:textId="77777777" w:rsidR="008B713D" w:rsidRDefault="008B713D">
                            <w:pPr>
                              <w:spacing w:line="200" w:lineRule="exact"/>
                              <w:rPr>
                                <w:rFonts w:ascii="標楷體" w:eastAsia="標楷體" w:hAnsi="標楷體" w:cs="Arial"/>
                                <w:color w:val="000000"/>
                                <w:spacing w:val="-16"/>
                                <w:sz w:val="20"/>
                                <w:szCs w:val="20"/>
                              </w:rPr>
                            </w:pPr>
                          </w:p>
                        </w:tc>
                        <w:tc>
                          <w:tcPr>
                            <w:tcW w:w="567" w:type="dxa"/>
                            <w:tcBorders>
                              <w:top w:val="single" w:sz="4" w:space="0" w:color="auto"/>
                              <w:left w:val="nil"/>
                              <w:bottom w:val="single" w:sz="4" w:space="0" w:color="auto"/>
                              <w:right w:val="single" w:sz="4" w:space="0" w:color="auto"/>
                            </w:tcBorders>
                            <w:vAlign w:val="center"/>
                            <w:hideMark/>
                          </w:tcPr>
                          <w:p w14:paraId="61255087"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占比</w:t>
                            </w:r>
                          </w:p>
                        </w:tc>
                        <w:tc>
                          <w:tcPr>
                            <w:tcW w:w="426" w:type="dxa"/>
                            <w:tcBorders>
                              <w:top w:val="nil"/>
                              <w:left w:val="nil"/>
                              <w:bottom w:val="single" w:sz="4" w:space="0" w:color="auto"/>
                              <w:right w:val="single" w:sz="4" w:space="0" w:color="auto"/>
                            </w:tcBorders>
                            <w:vAlign w:val="center"/>
                          </w:tcPr>
                          <w:p w14:paraId="6F8F458C" w14:textId="77777777" w:rsidR="008B713D" w:rsidRDefault="008B713D">
                            <w:pPr>
                              <w:spacing w:line="200" w:lineRule="exact"/>
                              <w:jc w:val="center"/>
                              <w:rPr>
                                <w:rFonts w:ascii="標楷體" w:eastAsia="標楷體" w:hAnsi="標楷體" w:cs="Arial"/>
                                <w:color w:val="000000"/>
                                <w:spacing w:val="-20"/>
                                <w:sz w:val="20"/>
                                <w:szCs w:val="20"/>
                              </w:rPr>
                            </w:pPr>
                          </w:p>
                        </w:tc>
                        <w:tc>
                          <w:tcPr>
                            <w:tcW w:w="567" w:type="dxa"/>
                            <w:tcBorders>
                              <w:top w:val="single" w:sz="4" w:space="0" w:color="auto"/>
                              <w:left w:val="nil"/>
                              <w:bottom w:val="single" w:sz="4" w:space="0" w:color="auto"/>
                              <w:right w:val="single" w:sz="4" w:space="0" w:color="auto"/>
                            </w:tcBorders>
                            <w:noWrap/>
                            <w:vAlign w:val="center"/>
                            <w:hideMark/>
                          </w:tcPr>
                          <w:p w14:paraId="666C0B63"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占比</w:t>
                            </w:r>
                          </w:p>
                        </w:tc>
                        <w:tc>
                          <w:tcPr>
                            <w:tcW w:w="425" w:type="dxa"/>
                            <w:tcBorders>
                              <w:top w:val="nil"/>
                              <w:left w:val="nil"/>
                              <w:bottom w:val="single" w:sz="4" w:space="0" w:color="auto"/>
                              <w:right w:val="single" w:sz="4" w:space="0" w:color="auto"/>
                            </w:tcBorders>
                            <w:noWrap/>
                            <w:vAlign w:val="center"/>
                          </w:tcPr>
                          <w:p w14:paraId="59FDB4CC" w14:textId="77777777" w:rsidR="008B713D" w:rsidRDefault="008B713D">
                            <w:pPr>
                              <w:spacing w:line="200" w:lineRule="exact"/>
                              <w:jc w:val="center"/>
                              <w:rPr>
                                <w:rFonts w:ascii="標楷體" w:eastAsia="標楷體" w:hAnsi="標楷體" w:cs="Arial"/>
                                <w:color w:val="000000"/>
                                <w:spacing w:val="-20"/>
                                <w:sz w:val="20"/>
                                <w:szCs w:val="20"/>
                              </w:rPr>
                            </w:pPr>
                          </w:p>
                        </w:tc>
                        <w:tc>
                          <w:tcPr>
                            <w:tcW w:w="567" w:type="dxa"/>
                            <w:tcBorders>
                              <w:top w:val="single" w:sz="4" w:space="0" w:color="auto"/>
                              <w:left w:val="nil"/>
                              <w:bottom w:val="single" w:sz="4" w:space="0" w:color="auto"/>
                              <w:right w:val="single" w:sz="4" w:space="0" w:color="auto"/>
                            </w:tcBorders>
                            <w:noWrap/>
                            <w:vAlign w:val="center"/>
                            <w:hideMark/>
                          </w:tcPr>
                          <w:p w14:paraId="750DDC29" w14:textId="77777777" w:rsidR="008B713D" w:rsidRDefault="008B713D">
                            <w:pPr>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占比</w:t>
                            </w:r>
                          </w:p>
                        </w:tc>
                      </w:tr>
                      <w:tr w:rsidR="008B713D" w14:paraId="3F4BF79E" w14:textId="77777777">
                        <w:trPr>
                          <w:trHeight w:val="227"/>
                        </w:trPr>
                        <w:tc>
                          <w:tcPr>
                            <w:tcW w:w="1555" w:type="dxa"/>
                            <w:tcBorders>
                              <w:top w:val="nil"/>
                              <w:left w:val="single" w:sz="4" w:space="0" w:color="auto"/>
                              <w:bottom w:val="single" w:sz="4" w:space="0" w:color="auto"/>
                              <w:right w:val="single" w:sz="4" w:space="0" w:color="auto"/>
                            </w:tcBorders>
                            <w:noWrap/>
                            <w:vAlign w:val="center"/>
                            <w:hideMark/>
                          </w:tcPr>
                          <w:p w14:paraId="0C55A5EC" w14:textId="77777777" w:rsidR="008B713D" w:rsidRDefault="008B713D">
                            <w:pPr>
                              <w:spacing w:line="240" w:lineRule="exact"/>
                              <w:jc w:val="center"/>
                              <w:rPr>
                                <w:rFonts w:ascii="標楷體" w:eastAsia="標楷體" w:hAnsi="標楷體" w:cs="Arial"/>
                                <w:b/>
                                <w:color w:val="000000"/>
                                <w:sz w:val="20"/>
                                <w:szCs w:val="20"/>
                              </w:rPr>
                            </w:pPr>
                            <w:r>
                              <w:rPr>
                                <w:rFonts w:ascii="標楷體" w:eastAsia="標楷體" w:hAnsi="標楷體" w:cs="Arial" w:hint="eastAsia"/>
                                <w:b/>
                                <w:color w:val="000000"/>
                                <w:sz w:val="20"/>
                                <w:szCs w:val="20"/>
                              </w:rPr>
                              <w:t>合計</w:t>
                            </w:r>
                          </w:p>
                        </w:tc>
                        <w:tc>
                          <w:tcPr>
                            <w:tcW w:w="425" w:type="dxa"/>
                            <w:tcBorders>
                              <w:top w:val="nil"/>
                              <w:left w:val="nil"/>
                              <w:bottom w:val="single" w:sz="4" w:space="0" w:color="auto"/>
                              <w:right w:val="single" w:sz="4" w:space="0" w:color="auto"/>
                            </w:tcBorders>
                            <w:noWrap/>
                            <w:vAlign w:val="bottom"/>
                            <w:hideMark/>
                          </w:tcPr>
                          <w:p w14:paraId="4CCB1444"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145</w:t>
                            </w:r>
                          </w:p>
                        </w:tc>
                        <w:tc>
                          <w:tcPr>
                            <w:tcW w:w="425" w:type="dxa"/>
                            <w:tcBorders>
                              <w:top w:val="single" w:sz="4" w:space="0" w:color="auto"/>
                              <w:left w:val="nil"/>
                              <w:bottom w:val="single" w:sz="4" w:space="0" w:color="auto"/>
                              <w:right w:val="single" w:sz="4" w:space="0" w:color="auto"/>
                            </w:tcBorders>
                            <w:noWrap/>
                            <w:vAlign w:val="center"/>
                            <w:hideMark/>
                          </w:tcPr>
                          <w:p w14:paraId="25D56420"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2</w:t>
                            </w:r>
                          </w:p>
                        </w:tc>
                        <w:tc>
                          <w:tcPr>
                            <w:tcW w:w="567" w:type="dxa"/>
                            <w:tcBorders>
                              <w:top w:val="single" w:sz="4" w:space="0" w:color="auto"/>
                              <w:left w:val="nil"/>
                              <w:bottom w:val="single" w:sz="4" w:space="0" w:color="auto"/>
                              <w:right w:val="single" w:sz="4" w:space="0" w:color="auto"/>
                            </w:tcBorders>
                            <w:vAlign w:val="center"/>
                            <w:hideMark/>
                          </w:tcPr>
                          <w:p w14:paraId="066ED6ED"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1.38</w:t>
                            </w:r>
                          </w:p>
                        </w:tc>
                        <w:tc>
                          <w:tcPr>
                            <w:tcW w:w="425" w:type="dxa"/>
                            <w:tcBorders>
                              <w:top w:val="single" w:sz="4" w:space="0" w:color="auto"/>
                              <w:left w:val="nil"/>
                              <w:bottom w:val="single" w:sz="4" w:space="0" w:color="auto"/>
                              <w:right w:val="single" w:sz="4" w:space="0" w:color="auto"/>
                            </w:tcBorders>
                            <w:vAlign w:val="center"/>
                            <w:hideMark/>
                          </w:tcPr>
                          <w:p w14:paraId="6537F785"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143</w:t>
                            </w:r>
                          </w:p>
                        </w:tc>
                        <w:tc>
                          <w:tcPr>
                            <w:tcW w:w="567" w:type="dxa"/>
                            <w:tcBorders>
                              <w:top w:val="single" w:sz="4" w:space="0" w:color="auto"/>
                              <w:left w:val="nil"/>
                              <w:bottom w:val="single" w:sz="4" w:space="0" w:color="auto"/>
                              <w:right w:val="single" w:sz="4" w:space="0" w:color="auto"/>
                            </w:tcBorders>
                            <w:vAlign w:val="center"/>
                            <w:hideMark/>
                          </w:tcPr>
                          <w:p w14:paraId="2F1F96B7" w14:textId="77777777" w:rsidR="008B713D" w:rsidRDefault="008B713D">
                            <w:pPr>
                              <w:spacing w:line="240" w:lineRule="exact"/>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98.62</w:t>
                            </w:r>
                          </w:p>
                        </w:tc>
                        <w:tc>
                          <w:tcPr>
                            <w:tcW w:w="426" w:type="dxa"/>
                            <w:tcBorders>
                              <w:top w:val="nil"/>
                              <w:left w:val="nil"/>
                              <w:bottom w:val="single" w:sz="4" w:space="0" w:color="auto"/>
                              <w:right w:val="single" w:sz="4" w:space="0" w:color="auto"/>
                            </w:tcBorders>
                            <w:vAlign w:val="center"/>
                            <w:hideMark/>
                          </w:tcPr>
                          <w:p w14:paraId="69E5A572"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71</w:t>
                            </w:r>
                          </w:p>
                        </w:tc>
                        <w:tc>
                          <w:tcPr>
                            <w:tcW w:w="567" w:type="dxa"/>
                            <w:tcBorders>
                              <w:top w:val="nil"/>
                              <w:left w:val="nil"/>
                              <w:bottom w:val="single" w:sz="4" w:space="0" w:color="auto"/>
                              <w:right w:val="single" w:sz="4" w:space="0" w:color="auto"/>
                            </w:tcBorders>
                            <w:noWrap/>
                            <w:vAlign w:val="center"/>
                            <w:hideMark/>
                          </w:tcPr>
                          <w:p w14:paraId="2A0904BF" w14:textId="77777777" w:rsidR="008B713D" w:rsidRDefault="008B713D">
                            <w:pPr>
                              <w:spacing w:line="240" w:lineRule="exact"/>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48.97</w:t>
                            </w:r>
                          </w:p>
                        </w:tc>
                        <w:tc>
                          <w:tcPr>
                            <w:tcW w:w="425" w:type="dxa"/>
                            <w:tcBorders>
                              <w:top w:val="nil"/>
                              <w:left w:val="nil"/>
                              <w:bottom w:val="single" w:sz="4" w:space="0" w:color="auto"/>
                              <w:right w:val="single" w:sz="4" w:space="0" w:color="auto"/>
                            </w:tcBorders>
                            <w:noWrap/>
                            <w:vAlign w:val="center"/>
                            <w:hideMark/>
                          </w:tcPr>
                          <w:p w14:paraId="3707D04E" w14:textId="77777777" w:rsidR="008B713D" w:rsidRDefault="008B713D">
                            <w:pPr>
                              <w:spacing w:line="240" w:lineRule="exact"/>
                              <w:ind w:rightChars="10" w:right="24"/>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74</w:t>
                            </w:r>
                          </w:p>
                        </w:tc>
                        <w:tc>
                          <w:tcPr>
                            <w:tcW w:w="567" w:type="dxa"/>
                            <w:tcBorders>
                              <w:top w:val="nil"/>
                              <w:left w:val="nil"/>
                              <w:bottom w:val="single" w:sz="4" w:space="0" w:color="auto"/>
                              <w:right w:val="single" w:sz="4" w:space="0" w:color="auto"/>
                            </w:tcBorders>
                            <w:noWrap/>
                            <w:vAlign w:val="center"/>
                            <w:hideMark/>
                          </w:tcPr>
                          <w:p w14:paraId="41CF0DAA" w14:textId="77777777" w:rsidR="008B713D" w:rsidRDefault="008B713D">
                            <w:pPr>
                              <w:spacing w:line="240" w:lineRule="exact"/>
                              <w:jc w:val="right"/>
                              <w:rPr>
                                <w:rFonts w:ascii="標楷體" w:eastAsia="標楷體" w:hAnsi="標楷體" w:cs="Arial"/>
                                <w:b/>
                                <w:color w:val="000000"/>
                                <w:sz w:val="20"/>
                                <w:szCs w:val="20"/>
                              </w:rPr>
                            </w:pPr>
                            <w:r>
                              <w:rPr>
                                <w:rFonts w:ascii="標楷體" w:eastAsia="標楷體" w:hAnsi="標楷體" w:cs="Arial" w:hint="eastAsia"/>
                                <w:b/>
                                <w:color w:val="000000"/>
                                <w:sz w:val="20"/>
                                <w:szCs w:val="20"/>
                              </w:rPr>
                              <w:t>51.03</w:t>
                            </w:r>
                          </w:p>
                        </w:tc>
                      </w:tr>
                      <w:tr w:rsidR="008B713D" w14:paraId="2E0A8FFD" w14:textId="77777777">
                        <w:trPr>
                          <w:trHeight w:val="227"/>
                        </w:trPr>
                        <w:tc>
                          <w:tcPr>
                            <w:tcW w:w="1555" w:type="dxa"/>
                            <w:tcBorders>
                              <w:top w:val="nil"/>
                              <w:left w:val="single" w:sz="4" w:space="0" w:color="auto"/>
                              <w:bottom w:val="single" w:sz="4" w:space="0" w:color="auto"/>
                              <w:right w:val="single" w:sz="4" w:space="0" w:color="auto"/>
                            </w:tcBorders>
                            <w:noWrap/>
                            <w:vAlign w:val="center"/>
                            <w:hideMark/>
                          </w:tcPr>
                          <w:p w14:paraId="60673F77" w14:textId="77777777" w:rsidR="008B713D" w:rsidRDefault="008B713D">
                            <w:pPr>
                              <w:spacing w:line="240" w:lineRule="exact"/>
                              <w:rPr>
                                <w:rFonts w:ascii="標楷體" w:eastAsia="標楷體" w:hAnsi="標楷體" w:cs="Arial"/>
                                <w:color w:val="000000"/>
                                <w:spacing w:val="-2"/>
                                <w:sz w:val="20"/>
                                <w:szCs w:val="20"/>
                              </w:rPr>
                            </w:pPr>
                            <w:r>
                              <w:rPr>
                                <w:rFonts w:ascii="標楷體" w:eastAsia="標楷體" w:hAnsi="標楷體" w:cs="Arial" w:hint="eastAsia"/>
                                <w:color w:val="000000"/>
                                <w:spacing w:val="-2"/>
                                <w:sz w:val="20"/>
                                <w:szCs w:val="20"/>
                              </w:rPr>
                              <w:t>僅設有3－5歲班</w:t>
                            </w:r>
                          </w:p>
                        </w:tc>
                        <w:tc>
                          <w:tcPr>
                            <w:tcW w:w="425" w:type="dxa"/>
                            <w:tcBorders>
                              <w:top w:val="nil"/>
                              <w:left w:val="nil"/>
                              <w:bottom w:val="single" w:sz="4" w:space="0" w:color="auto"/>
                              <w:right w:val="single" w:sz="4" w:space="0" w:color="auto"/>
                            </w:tcBorders>
                            <w:noWrap/>
                            <w:vAlign w:val="bottom"/>
                            <w:hideMark/>
                          </w:tcPr>
                          <w:p w14:paraId="73FA949D" w14:textId="77777777" w:rsidR="008B713D" w:rsidRDefault="008B713D">
                            <w:pPr>
                              <w:spacing w:line="240" w:lineRule="exact"/>
                              <w:ind w:rightChars="10" w:right="24"/>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48</w:t>
                            </w:r>
                          </w:p>
                        </w:tc>
                        <w:tc>
                          <w:tcPr>
                            <w:tcW w:w="425" w:type="dxa"/>
                            <w:tcBorders>
                              <w:top w:val="single" w:sz="4" w:space="0" w:color="auto"/>
                              <w:left w:val="nil"/>
                              <w:bottom w:val="single" w:sz="4" w:space="0" w:color="auto"/>
                              <w:right w:val="single" w:sz="4" w:space="0" w:color="auto"/>
                            </w:tcBorders>
                            <w:noWrap/>
                            <w:vAlign w:val="center"/>
                            <w:hideMark/>
                          </w:tcPr>
                          <w:p w14:paraId="6F2449D0" w14:textId="77777777" w:rsidR="008B713D" w:rsidRDefault="008B713D">
                            <w:pPr>
                              <w:spacing w:line="24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w:t>
                            </w:r>
                          </w:p>
                        </w:tc>
                        <w:tc>
                          <w:tcPr>
                            <w:tcW w:w="567" w:type="dxa"/>
                            <w:tcBorders>
                              <w:top w:val="single" w:sz="4" w:space="0" w:color="auto"/>
                              <w:left w:val="nil"/>
                              <w:bottom w:val="single" w:sz="4" w:space="0" w:color="auto"/>
                              <w:right w:val="single" w:sz="4" w:space="0" w:color="auto"/>
                            </w:tcBorders>
                            <w:vAlign w:val="center"/>
                            <w:hideMark/>
                          </w:tcPr>
                          <w:p w14:paraId="5E30974A" w14:textId="77777777" w:rsidR="008B713D" w:rsidRDefault="008B713D">
                            <w:pPr>
                              <w:spacing w:line="24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2.08</w:t>
                            </w:r>
                          </w:p>
                        </w:tc>
                        <w:tc>
                          <w:tcPr>
                            <w:tcW w:w="425" w:type="dxa"/>
                            <w:tcBorders>
                              <w:top w:val="single" w:sz="4" w:space="0" w:color="auto"/>
                              <w:left w:val="nil"/>
                              <w:bottom w:val="single" w:sz="4" w:space="0" w:color="auto"/>
                              <w:right w:val="single" w:sz="4" w:space="0" w:color="auto"/>
                            </w:tcBorders>
                            <w:vAlign w:val="center"/>
                            <w:hideMark/>
                          </w:tcPr>
                          <w:p w14:paraId="0928CCED" w14:textId="77777777" w:rsidR="008B713D" w:rsidRDefault="008B713D">
                            <w:pPr>
                              <w:spacing w:line="24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47</w:t>
                            </w:r>
                          </w:p>
                        </w:tc>
                        <w:tc>
                          <w:tcPr>
                            <w:tcW w:w="567" w:type="dxa"/>
                            <w:tcBorders>
                              <w:top w:val="single" w:sz="4" w:space="0" w:color="auto"/>
                              <w:left w:val="nil"/>
                              <w:bottom w:val="single" w:sz="4" w:space="0" w:color="auto"/>
                              <w:right w:val="single" w:sz="4" w:space="0" w:color="auto"/>
                            </w:tcBorders>
                            <w:vAlign w:val="center"/>
                            <w:hideMark/>
                          </w:tcPr>
                          <w:p w14:paraId="7D4A47CE" w14:textId="77777777" w:rsidR="008B713D" w:rsidRDefault="008B713D">
                            <w:pPr>
                              <w:spacing w:line="240" w:lineRule="exact"/>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97.92</w:t>
                            </w:r>
                          </w:p>
                        </w:tc>
                        <w:tc>
                          <w:tcPr>
                            <w:tcW w:w="426" w:type="dxa"/>
                            <w:tcBorders>
                              <w:top w:val="nil"/>
                              <w:left w:val="nil"/>
                              <w:bottom w:val="single" w:sz="4" w:space="0" w:color="auto"/>
                              <w:right w:val="single" w:sz="4" w:space="0" w:color="auto"/>
                            </w:tcBorders>
                            <w:vAlign w:val="center"/>
                            <w:hideMark/>
                          </w:tcPr>
                          <w:p w14:paraId="25B1B461" w14:textId="77777777" w:rsidR="008B713D" w:rsidRDefault="008B713D">
                            <w:pPr>
                              <w:spacing w:line="24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41</w:t>
                            </w:r>
                          </w:p>
                        </w:tc>
                        <w:tc>
                          <w:tcPr>
                            <w:tcW w:w="567" w:type="dxa"/>
                            <w:tcBorders>
                              <w:top w:val="nil"/>
                              <w:left w:val="nil"/>
                              <w:bottom w:val="single" w:sz="4" w:space="0" w:color="auto"/>
                              <w:right w:val="single" w:sz="4" w:space="0" w:color="auto"/>
                            </w:tcBorders>
                            <w:noWrap/>
                            <w:vAlign w:val="center"/>
                            <w:hideMark/>
                          </w:tcPr>
                          <w:p w14:paraId="2D61C189" w14:textId="77777777" w:rsidR="008B713D" w:rsidRDefault="008B713D">
                            <w:pPr>
                              <w:spacing w:line="240" w:lineRule="exact"/>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85.42</w:t>
                            </w:r>
                          </w:p>
                        </w:tc>
                        <w:tc>
                          <w:tcPr>
                            <w:tcW w:w="425" w:type="dxa"/>
                            <w:tcBorders>
                              <w:top w:val="nil"/>
                              <w:left w:val="nil"/>
                              <w:bottom w:val="single" w:sz="4" w:space="0" w:color="auto"/>
                              <w:right w:val="single" w:sz="4" w:space="0" w:color="auto"/>
                            </w:tcBorders>
                            <w:noWrap/>
                            <w:vAlign w:val="center"/>
                            <w:hideMark/>
                          </w:tcPr>
                          <w:p w14:paraId="1A4A6583" w14:textId="77777777" w:rsidR="008B713D" w:rsidRDefault="008B713D">
                            <w:pPr>
                              <w:spacing w:line="24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7</w:t>
                            </w:r>
                          </w:p>
                        </w:tc>
                        <w:tc>
                          <w:tcPr>
                            <w:tcW w:w="567" w:type="dxa"/>
                            <w:tcBorders>
                              <w:top w:val="nil"/>
                              <w:left w:val="nil"/>
                              <w:bottom w:val="single" w:sz="4" w:space="0" w:color="auto"/>
                              <w:right w:val="single" w:sz="4" w:space="0" w:color="auto"/>
                            </w:tcBorders>
                            <w:noWrap/>
                            <w:vAlign w:val="center"/>
                            <w:hideMark/>
                          </w:tcPr>
                          <w:p w14:paraId="332503AB" w14:textId="77777777" w:rsidR="008B713D" w:rsidRDefault="008B713D">
                            <w:pPr>
                              <w:spacing w:line="240" w:lineRule="exact"/>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14.58</w:t>
                            </w:r>
                          </w:p>
                        </w:tc>
                      </w:tr>
                      <w:tr w:rsidR="008B713D" w14:paraId="3B0D1B90" w14:textId="77777777">
                        <w:trPr>
                          <w:trHeight w:val="336"/>
                        </w:trPr>
                        <w:tc>
                          <w:tcPr>
                            <w:tcW w:w="1555" w:type="dxa"/>
                            <w:tcBorders>
                              <w:top w:val="single" w:sz="4" w:space="0" w:color="auto"/>
                              <w:left w:val="single" w:sz="4" w:space="0" w:color="auto"/>
                              <w:bottom w:val="single" w:sz="4" w:space="0" w:color="auto"/>
                              <w:right w:val="single" w:sz="4" w:space="0" w:color="auto"/>
                            </w:tcBorders>
                            <w:noWrap/>
                            <w:vAlign w:val="center"/>
                            <w:hideMark/>
                          </w:tcPr>
                          <w:p w14:paraId="6642A0B8" w14:textId="77777777" w:rsidR="008B713D" w:rsidRDefault="008B713D">
                            <w:pPr>
                              <w:spacing w:line="220" w:lineRule="exact"/>
                              <w:jc w:val="both"/>
                              <w:rPr>
                                <w:rFonts w:ascii="標楷體" w:eastAsia="標楷體" w:hAnsi="標楷體" w:cs="Arial"/>
                                <w:b/>
                                <w:bCs/>
                                <w:color w:val="000000"/>
                                <w:spacing w:val="-4"/>
                                <w:sz w:val="20"/>
                                <w:szCs w:val="20"/>
                              </w:rPr>
                            </w:pPr>
                            <w:r>
                              <w:rPr>
                                <w:rFonts w:ascii="標楷體" w:eastAsia="標楷體" w:hAnsi="標楷體" w:cs="Arial" w:hint="eastAsia"/>
                                <w:color w:val="000000"/>
                                <w:spacing w:val="-4"/>
                                <w:sz w:val="20"/>
                                <w:szCs w:val="20"/>
                              </w:rPr>
                              <w:t>同時設有2歲專班及3－5歲班</w:t>
                            </w:r>
                          </w:p>
                        </w:tc>
                        <w:tc>
                          <w:tcPr>
                            <w:tcW w:w="425" w:type="dxa"/>
                            <w:tcBorders>
                              <w:top w:val="single" w:sz="4" w:space="0" w:color="auto"/>
                              <w:left w:val="nil"/>
                              <w:bottom w:val="single" w:sz="4" w:space="0" w:color="auto"/>
                              <w:right w:val="single" w:sz="4" w:space="0" w:color="auto"/>
                            </w:tcBorders>
                            <w:noWrap/>
                            <w:vAlign w:val="center"/>
                            <w:hideMark/>
                          </w:tcPr>
                          <w:p w14:paraId="251C9B72" w14:textId="77777777" w:rsidR="008B713D" w:rsidRDefault="008B713D">
                            <w:pPr>
                              <w:spacing w:line="200" w:lineRule="exact"/>
                              <w:ind w:rightChars="10" w:right="24"/>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97</w:t>
                            </w:r>
                          </w:p>
                        </w:tc>
                        <w:tc>
                          <w:tcPr>
                            <w:tcW w:w="425" w:type="dxa"/>
                            <w:tcBorders>
                              <w:top w:val="single" w:sz="4" w:space="0" w:color="auto"/>
                              <w:left w:val="nil"/>
                              <w:bottom w:val="single" w:sz="4" w:space="0" w:color="auto"/>
                              <w:right w:val="single" w:sz="4" w:space="0" w:color="auto"/>
                            </w:tcBorders>
                            <w:vAlign w:val="center"/>
                            <w:hideMark/>
                          </w:tcPr>
                          <w:p w14:paraId="55842DC5" w14:textId="77777777" w:rsidR="008B713D" w:rsidRDefault="008B713D">
                            <w:pPr>
                              <w:spacing w:line="20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w:t>
                            </w:r>
                          </w:p>
                        </w:tc>
                        <w:tc>
                          <w:tcPr>
                            <w:tcW w:w="567" w:type="dxa"/>
                            <w:tcBorders>
                              <w:top w:val="single" w:sz="4" w:space="0" w:color="auto"/>
                              <w:left w:val="nil"/>
                              <w:bottom w:val="single" w:sz="4" w:space="0" w:color="auto"/>
                              <w:right w:val="single" w:sz="4" w:space="0" w:color="auto"/>
                            </w:tcBorders>
                            <w:vAlign w:val="center"/>
                            <w:hideMark/>
                          </w:tcPr>
                          <w:p w14:paraId="4ADCB1BD" w14:textId="77777777" w:rsidR="008B713D" w:rsidRDefault="008B713D">
                            <w:pPr>
                              <w:spacing w:line="20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1.03</w:t>
                            </w:r>
                          </w:p>
                        </w:tc>
                        <w:tc>
                          <w:tcPr>
                            <w:tcW w:w="425" w:type="dxa"/>
                            <w:tcBorders>
                              <w:top w:val="single" w:sz="4" w:space="0" w:color="auto"/>
                              <w:left w:val="nil"/>
                              <w:bottom w:val="single" w:sz="4" w:space="0" w:color="auto"/>
                              <w:right w:val="single" w:sz="4" w:space="0" w:color="auto"/>
                            </w:tcBorders>
                            <w:vAlign w:val="center"/>
                            <w:hideMark/>
                          </w:tcPr>
                          <w:p w14:paraId="0F9B6AF7" w14:textId="77777777" w:rsidR="008B713D" w:rsidRDefault="008B713D">
                            <w:pPr>
                              <w:spacing w:line="200" w:lineRule="exact"/>
                              <w:ind w:rightChars="10" w:right="24"/>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96</w:t>
                            </w:r>
                          </w:p>
                        </w:tc>
                        <w:tc>
                          <w:tcPr>
                            <w:tcW w:w="567" w:type="dxa"/>
                            <w:tcBorders>
                              <w:top w:val="single" w:sz="4" w:space="0" w:color="auto"/>
                              <w:left w:val="nil"/>
                              <w:bottom w:val="single" w:sz="4" w:space="0" w:color="auto"/>
                              <w:right w:val="single" w:sz="4" w:space="0" w:color="auto"/>
                            </w:tcBorders>
                            <w:vAlign w:val="center"/>
                            <w:hideMark/>
                          </w:tcPr>
                          <w:p w14:paraId="58634E43" w14:textId="77777777" w:rsidR="008B713D" w:rsidRDefault="008B713D">
                            <w:pPr>
                              <w:spacing w:line="200" w:lineRule="exact"/>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98.97</w:t>
                            </w:r>
                          </w:p>
                        </w:tc>
                        <w:tc>
                          <w:tcPr>
                            <w:tcW w:w="426" w:type="dxa"/>
                            <w:tcBorders>
                              <w:top w:val="single" w:sz="4" w:space="0" w:color="auto"/>
                              <w:left w:val="single" w:sz="4" w:space="0" w:color="auto"/>
                              <w:bottom w:val="single" w:sz="4" w:space="0" w:color="auto"/>
                              <w:right w:val="single" w:sz="4" w:space="0" w:color="auto"/>
                            </w:tcBorders>
                            <w:vAlign w:val="center"/>
                            <w:hideMark/>
                          </w:tcPr>
                          <w:p w14:paraId="74BE3395" w14:textId="77777777" w:rsidR="008B713D" w:rsidRDefault="008B713D">
                            <w:pPr>
                              <w:spacing w:line="200" w:lineRule="exact"/>
                              <w:ind w:rightChars="10" w:right="24"/>
                              <w:jc w:val="right"/>
                              <w:rPr>
                                <w:rFonts w:ascii="標楷體" w:eastAsia="標楷體" w:hAnsi="標楷體" w:cs="Arial"/>
                                <w:bCs/>
                                <w:color w:val="000000"/>
                                <w:sz w:val="20"/>
                                <w:szCs w:val="20"/>
                              </w:rPr>
                            </w:pPr>
                            <w:r>
                              <w:rPr>
                                <w:rFonts w:ascii="標楷體" w:eastAsia="標楷體" w:hAnsi="標楷體" w:cs="Arial" w:hint="eastAsia"/>
                                <w:bCs/>
                                <w:color w:val="000000"/>
                                <w:sz w:val="20"/>
                                <w:szCs w:val="20"/>
                              </w:rPr>
                              <w:t>30</w:t>
                            </w:r>
                          </w:p>
                        </w:tc>
                        <w:tc>
                          <w:tcPr>
                            <w:tcW w:w="567" w:type="dxa"/>
                            <w:tcBorders>
                              <w:top w:val="single" w:sz="4" w:space="0" w:color="auto"/>
                              <w:left w:val="nil"/>
                              <w:bottom w:val="single" w:sz="4" w:space="0" w:color="auto"/>
                              <w:right w:val="single" w:sz="4" w:space="0" w:color="auto"/>
                            </w:tcBorders>
                            <w:vAlign w:val="center"/>
                            <w:hideMark/>
                          </w:tcPr>
                          <w:p w14:paraId="3FCDD3C4" w14:textId="77777777" w:rsidR="008B713D" w:rsidRDefault="008B713D">
                            <w:pPr>
                              <w:spacing w:line="200" w:lineRule="exact"/>
                              <w:jc w:val="right"/>
                              <w:rPr>
                                <w:rFonts w:ascii="標楷體" w:eastAsia="標楷體" w:hAnsi="標楷體" w:cs="Arial"/>
                                <w:bCs/>
                                <w:color w:val="000000"/>
                                <w:sz w:val="20"/>
                                <w:szCs w:val="20"/>
                              </w:rPr>
                            </w:pPr>
                            <w:r>
                              <w:rPr>
                                <w:rFonts w:ascii="標楷體" w:eastAsia="標楷體" w:hAnsi="標楷體" w:cs="Arial" w:hint="eastAsia"/>
                                <w:bCs/>
                                <w:color w:val="000000"/>
                                <w:sz w:val="20"/>
                                <w:szCs w:val="20"/>
                              </w:rPr>
                              <w:t>30.93</w:t>
                            </w:r>
                          </w:p>
                        </w:tc>
                        <w:tc>
                          <w:tcPr>
                            <w:tcW w:w="425" w:type="dxa"/>
                            <w:tcBorders>
                              <w:top w:val="single" w:sz="4" w:space="0" w:color="auto"/>
                              <w:left w:val="nil"/>
                              <w:bottom w:val="single" w:sz="4" w:space="0" w:color="auto"/>
                              <w:right w:val="single" w:sz="4" w:space="0" w:color="auto"/>
                            </w:tcBorders>
                            <w:vAlign w:val="center"/>
                            <w:hideMark/>
                          </w:tcPr>
                          <w:p w14:paraId="5641CAC3" w14:textId="77777777" w:rsidR="008B713D" w:rsidRDefault="008B713D">
                            <w:pPr>
                              <w:spacing w:line="200" w:lineRule="exact"/>
                              <w:ind w:rightChars="10" w:right="24"/>
                              <w:jc w:val="right"/>
                              <w:rPr>
                                <w:rFonts w:ascii="標楷體" w:eastAsia="標楷體" w:hAnsi="標楷體" w:cs="Arial"/>
                                <w:bCs/>
                                <w:color w:val="000000"/>
                                <w:sz w:val="20"/>
                                <w:szCs w:val="20"/>
                              </w:rPr>
                            </w:pPr>
                            <w:r>
                              <w:rPr>
                                <w:rFonts w:ascii="標楷體" w:eastAsia="標楷體" w:hAnsi="標楷體" w:cs="Arial" w:hint="eastAsia"/>
                                <w:bCs/>
                                <w:color w:val="000000"/>
                                <w:sz w:val="20"/>
                                <w:szCs w:val="20"/>
                              </w:rPr>
                              <w:t>67</w:t>
                            </w:r>
                          </w:p>
                        </w:tc>
                        <w:tc>
                          <w:tcPr>
                            <w:tcW w:w="567" w:type="dxa"/>
                            <w:tcBorders>
                              <w:top w:val="single" w:sz="4" w:space="0" w:color="auto"/>
                              <w:left w:val="nil"/>
                              <w:bottom w:val="single" w:sz="4" w:space="0" w:color="auto"/>
                              <w:right w:val="single" w:sz="4" w:space="0" w:color="auto"/>
                            </w:tcBorders>
                            <w:vAlign w:val="center"/>
                            <w:hideMark/>
                          </w:tcPr>
                          <w:p w14:paraId="350C7C66" w14:textId="77777777" w:rsidR="008B713D" w:rsidRDefault="008B713D">
                            <w:pPr>
                              <w:spacing w:line="200" w:lineRule="exact"/>
                              <w:jc w:val="right"/>
                              <w:rPr>
                                <w:rFonts w:ascii="標楷體" w:eastAsia="標楷體" w:hAnsi="標楷體" w:cs="Arial"/>
                                <w:bCs/>
                                <w:color w:val="000000"/>
                                <w:sz w:val="20"/>
                                <w:szCs w:val="20"/>
                              </w:rPr>
                            </w:pPr>
                            <w:r>
                              <w:rPr>
                                <w:rFonts w:ascii="標楷體" w:eastAsia="標楷體" w:hAnsi="標楷體" w:cs="Arial" w:hint="eastAsia"/>
                                <w:bCs/>
                                <w:color w:val="000000"/>
                                <w:sz w:val="20"/>
                                <w:szCs w:val="20"/>
                              </w:rPr>
                              <w:t>69.07</w:t>
                            </w:r>
                          </w:p>
                        </w:tc>
                      </w:tr>
                    </w:tbl>
                    <w:p w14:paraId="00E73A3C" w14:textId="77777777" w:rsidR="008B713D" w:rsidRDefault="008B713D" w:rsidP="00C35CDE">
                      <w:pPr>
                        <w:spacing w:line="22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：1.資料統計時點：113年9月30日。</w:t>
                      </w:r>
                    </w:p>
                    <w:p w14:paraId="41B1B7E2" w14:textId="77777777" w:rsidR="008B713D" w:rsidRDefault="008B713D" w:rsidP="00C35CDE">
                      <w:pPr>
                        <w:spacing w:line="220" w:lineRule="exact"/>
                        <w:ind w:leftChars="150" w:left="540" w:hangingChars="100" w:hanging="180"/>
                        <w:jc w:val="both"/>
                        <w:rPr>
                          <w:rFonts w:ascii="標楷體" w:eastAsia="標楷體" w:hAnsi="標楷體"/>
                          <w:sz w:val="18"/>
                          <w:szCs w:val="18"/>
                        </w:rPr>
                      </w:pPr>
                      <w:r>
                        <w:rPr>
                          <w:rFonts w:ascii="標楷體" w:eastAsia="標楷體" w:hAnsi="標楷體" w:hint="eastAsia"/>
                          <w:sz w:val="18"/>
                          <w:szCs w:val="18"/>
                        </w:rPr>
                        <w:t>2.同時設有2歲專班及3－5歲班之教保服務機構已於教學空間設置攝錄影音設備者雖有67所，惟其中有44所尚未於3－5歲班教學空間設置監視器。</w:t>
                      </w:r>
                    </w:p>
                    <w:p w14:paraId="59E839C2" w14:textId="77777777" w:rsidR="008B713D" w:rsidRDefault="008B713D" w:rsidP="00C35CDE">
                      <w:pPr>
                        <w:spacing w:line="220" w:lineRule="exact"/>
                        <w:ind w:leftChars="110" w:left="264" w:firstLineChars="50" w:firstLine="90"/>
                        <w:rPr>
                          <w:rFonts w:ascii="標楷體" w:eastAsia="標楷體" w:hAnsi="標楷體"/>
                          <w:sz w:val="18"/>
                          <w:szCs w:val="18"/>
                        </w:rPr>
                      </w:pPr>
                      <w:r>
                        <w:rPr>
                          <w:rFonts w:ascii="標楷體" w:eastAsia="標楷體" w:hAnsi="標楷體" w:hint="eastAsia"/>
                          <w:sz w:val="18"/>
                          <w:szCs w:val="18"/>
                        </w:rPr>
                        <w:t>3.資料來源：整理自教育局提供資料。</w:t>
                      </w:r>
                    </w:p>
                  </w:txbxContent>
                </v:textbox>
                <w10:wrap type="square" anchorx="margin" anchory="margin"/>
              </v:shape>
            </w:pict>
          </mc:Fallback>
        </mc:AlternateContent>
      </w:r>
      <w:r>
        <w:rPr>
          <w:rFonts w:hint="eastAsia"/>
          <w:b/>
        </w:rPr>
        <w:t>2.推動教保服務機構申裝攝錄設備，以保障教保人員權益，建構安全且友善之幼教環境，惟教學空間</w:t>
      </w:r>
      <w:proofErr w:type="gramStart"/>
      <w:r>
        <w:rPr>
          <w:rFonts w:hint="eastAsia"/>
          <w:b/>
        </w:rPr>
        <w:t>申裝率僅</w:t>
      </w:r>
      <w:proofErr w:type="gramEnd"/>
      <w:r>
        <w:rPr>
          <w:rFonts w:hint="eastAsia"/>
          <w:b/>
        </w:rPr>
        <w:t>達</w:t>
      </w:r>
      <w:proofErr w:type="gramStart"/>
      <w:r>
        <w:rPr>
          <w:rFonts w:hint="eastAsia"/>
          <w:b/>
        </w:rPr>
        <w:t>5成</w:t>
      </w:r>
      <w:proofErr w:type="gramEnd"/>
      <w:r>
        <w:rPr>
          <w:rFonts w:hint="eastAsia"/>
          <w:b/>
        </w:rPr>
        <w:t>1，且各園</w:t>
      </w:r>
      <w:proofErr w:type="gramStart"/>
      <w:r>
        <w:rPr>
          <w:rFonts w:hint="eastAsia"/>
          <w:b/>
        </w:rPr>
        <w:t>對於攝</w:t>
      </w:r>
      <w:proofErr w:type="gramEnd"/>
      <w:r>
        <w:rPr>
          <w:rFonts w:hint="eastAsia"/>
          <w:b/>
        </w:rPr>
        <w:t>錄影音資料之保存及</w:t>
      </w:r>
      <w:proofErr w:type="gramStart"/>
      <w:r>
        <w:rPr>
          <w:rFonts w:hint="eastAsia"/>
          <w:b/>
        </w:rPr>
        <w:t>調閱等相關</w:t>
      </w:r>
      <w:proofErr w:type="gramEnd"/>
      <w:r>
        <w:rPr>
          <w:rFonts w:hint="eastAsia"/>
          <w:b/>
        </w:rPr>
        <w:t>規範仍未</w:t>
      </w:r>
      <w:proofErr w:type="gramStart"/>
      <w:r>
        <w:rPr>
          <w:rFonts w:hint="eastAsia"/>
          <w:b/>
        </w:rPr>
        <w:t>臻</w:t>
      </w:r>
      <w:proofErr w:type="gramEnd"/>
      <w:r>
        <w:rPr>
          <w:rFonts w:hint="eastAsia"/>
          <w:b/>
        </w:rPr>
        <w:t>周妥等情事：</w:t>
      </w:r>
      <w:r>
        <w:rPr>
          <w:rFonts w:cs="Cordia New" w:hint="eastAsia"/>
          <w:spacing w:val="-2"/>
        </w:rPr>
        <w:t>教育局為鼓勵轄管公私立教保服務機構設置攝錄設備，建構幼兒安全優質之教學環境，並保護教保服務人員、家長及幼生間權益，於110年5月訂頒「臺北市公私立教保服務機構設置攝錄影音設備補助暨管理試辦要點」，作為該局補助公私立教保服務機構之依據，並健全機構設置、管理與運用攝錄</w:t>
      </w:r>
      <w:proofErr w:type="gramStart"/>
      <w:r>
        <w:rPr>
          <w:rFonts w:cs="Cordia New" w:hint="eastAsia"/>
          <w:spacing w:val="-2"/>
        </w:rPr>
        <w:t>設備及攝錄影</w:t>
      </w:r>
      <w:proofErr w:type="gramEnd"/>
      <w:r>
        <w:rPr>
          <w:rFonts w:cs="Cordia New" w:hint="eastAsia"/>
          <w:spacing w:val="-2"/>
        </w:rPr>
        <w:t>音資料作為。復於111至113年度累計核定補助219所公私立及非營利教保服務機構於公共區域及教學空間</w:t>
      </w:r>
      <w:proofErr w:type="gramStart"/>
      <w:r>
        <w:rPr>
          <w:rFonts w:cs="Cordia New" w:hint="eastAsia"/>
          <w:spacing w:val="-2"/>
        </w:rPr>
        <w:t>裝設攝錄</w:t>
      </w:r>
      <w:proofErr w:type="gramEnd"/>
      <w:r>
        <w:rPr>
          <w:rFonts w:cs="Cordia New" w:hint="eastAsia"/>
          <w:spacing w:val="-2"/>
        </w:rPr>
        <w:t>設備經費2,383萬餘元。經查執行情形，核有：（1）截至113年9月底止，該局所屬145所公幼，已於公共區域及教學空間建置攝錄設備者，各計有1</w:t>
      </w:r>
      <w:bookmarkStart w:id="41" w:name="_Hlk187065249"/>
      <w:r>
        <w:rPr>
          <w:rFonts w:cs="Cordia New" w:hint="eastAsia"/>
          <w:spacing w:val="-2"/>
        </w:rPr>
        <w:t>43所</w:t>
      </w:r>
      <w:bookmarkEnd w:id="41"/>
      <w:r>
        <w:rPr>
          <w:rFonts w:cs="Cordia New" w:hint="eastAsia"/>
          <w:spacing w:val="-2"/>
        </w:rPr>
        <w:t>及74所，顯示教學空間</w:t>
      </w:r>
      <w:proofErr w:type="gramStart"/>
      <w:r>
        <w:rPr>
          <w:rFonts w:cs="Cordia New" w:hint="eastAsia"/>
          <w:spacing w:val="-2"/>
        </w:rPr>
        <w:t>申裝率僅</w:t>
      </w:r>
      <w:proofErr w:type="gramEnd"/>
      <w:r>
        <w:rPr>
          <w:rFonts w:cs="Cordia New" w:hint="eastAsia"/>
          <w:spacing w:val="-2"/>
        </w:rPr>
        <w:t>達</w:t>
      </w:r>
      <w:proofErr w:type="gramStart"/>
      <w:r>
        <w:rPr>
          <w:rFonts w:cs="Cordia New" w:hint="eastAsia"/>
          <w:spacing w:val="-2"/>
        </w:rPr>
        <w:t>5成</w:t>
      </w:r>
      <w:proofErr w:type="gramEnd"/>
      <w:r>
        <w:rPr>
          <w:rFonts w:cs="Cordia New" w:hint="eastAsia"/>
          <w:spacing w:val="-2"/>
        </w:rPr>
        <w:t>1（表6）</w:t>
      </w:r>
      <w:r>
        <w:rPr>
          <w:rFonts w:cs="Cordia New" w:hint="eastAsia"/>
          <w:bCs/>
          <w:spacing w:val="-2"/>
        </w:rPr>
        <w:t>；</w:t>
      </w:r>
      <w:r>
        <w:rPr>
          <w:rFonts w:cs="Cordia New" w:hint="eastAsia"/>
          <w:spacing w:val="-2"/>
        </w:rPr>
        <w:t>且查其中未能考量「兒童及少年福利與權益保障法」等規定，優先於2歲專班設置監視器者，尚有30所，約占整體</w:t>
      </w:r>
      <w:r>
        <w:rPr>
          <w:rFonts w:hAnsi="標楷體" w:cs="Cordia New" w:hint="eastAsia"/>
          <w:spacing w:val="-2"/>
        </w:rPr>
        <w:t>97所</w:t>
      </w:r>
      <w:r>
        <w:rPr>
          <w:rFonts w:cs="Cordia New" w:hint="eastAsia"/>
          <w:spacing w:val="-2"/>
        </w:rPr>
        <w:t>之30.93％，</w:t>
      </w:r>
      <w:r>
        <w:rPr>
          <w:rFonts w:cs="Cordia New" w:hint="eastAsia"/>
          <w:bCs/>
          <w:spacing w:val="-2"/>
        </w:rPr>
        <w:t>有待持續鼓勵宣導申裝，以建構安全且友善之幼教環境；（2）</w:t>
      </w:r>
      <w:proofErr w:type="gramStart"/>
      <w:r>
        <w:rPr>
          <w:rFonts w:cs="Cordia New" w:hint="eastAsia"/>
          <w:bCs/>
          <w:spacing w:val="-2"/>
        </w:rPr>
        <w:t>經抽核</w:t>
      </w:r>
      <w:proofErr w:type="gramEnd"/>
      <w:r>
        <w:rPr>
          <w:rFonts w:cs="Cordia New" w:hint="eastAsia"/>
          <w:bCs/>
          <w:spacing w:val="-2"/>
        </w:rPr>
        <w:t>該局所屬20所幼兒園設置管理攝錄系統情形，發現有1所幼兒園未依該局前開年度核定補助設置監視器函文規定針對</w:t>
      </w:r>
      <w:proofErr w:type="gramStart"/>
      <w:r>
        <w:rPr>
          <w:rFonts w:cs="Cordia New" w:hint="eastAsia"/>
          <w:bCs/>
          <w:spacing w:val="-2"/>
        </w:rPr>
        <w:t>所管攝錄</w:t>
      </w:r>
      <w:proofErr w:type="gramEnd"/>
      <w:r>
        <w:rPr>
          <w:rFonts w:cs="Cordia New" w:hint="eastAsia"/>
          <w:bCs/>
          <w:spacing w:val="-2"/>
        </w:rPr>
        <w:t>設備訂定管理辦法；12所幼兒園訂定</w:t>
      </w:r>
      <w:proofErr w:type="gramStart"/>
      <w:r>
        <w:rPr>
          <w:rFonts w:cs="Cordia New" w:hint="eastAsia"/>
          <w:bCs/>
          <w:spacing w:val="-2"/>
        </w:rPr>
        <w:t>各園攝錄</w:t>
      </w:r>
      <w:proofErr w:type="gramEnd"/>
      <w:r>
        <w:rPr>
          <w:rFonts w:cs="Cordia New" w:hint="eastAsia"/>
          <w:bCs/>
          <w:spacing w:val="-2"/>
        </w:rPr>
        <w:t>設備管理辦法規範攝錄影音資料之保存或調閱對象，與前開試辦要點相關規定未合等情事，經函請檢討改善。據復：（1）經考量強制裝監視器無法預防兒</w:t>
      </w:r>
      <w:proofErr w:type="gramStart"/>
      <w:r>
        <w:rPr>
          <w:rFonts w:cs="Cordia New" w:hint="eastAsia"/>
          <w:bCs/>
          <w:spacing w:val="-2"/>
        </w:rPr>
        <w:t>虐</w:t>
      </w:r>
      <w:proofErr w:type="gramEnd"/>
      <w:r>
        <w:rPr>
          <w:rFonts w:cs="Cordia New" w:hint="eastAsia"/>
          <w:bCs/>
          <w:spacing w:val="-2"/>
        </w:rPr>
        <w:t>，</w:t>
      </w:r>
      <w:proofErr w:type="gramStart"/>
      <w:r>
        <w:rPr>
          <w:rFonts w:cs="Cordia New" w:hint="eastAsia"/>
          <w:bCs/>
          <w:spacing w:val="-2"/>
        </w:rPr>
        <w:t>並恐侵犯</w:t>
      </w:r>
      <w:proofErr w:type="gramEnd"/>
      <w:r>
        <w:rPr>
          <w:rFonts w:cs="Cordia New" w:hint="eastAsia"/>
          <w:bCs/>
          <w:spacing w:val="-2"/>
        </w:rPr>
        <w:t>隱私及衍生其他外溢效果，惟對於疑似不當對待事件發生時之真相</w:t>
      </w:r>
      <w:proofErr w:type="gramStart"/>
      <w:r>
        <w:rPr>
          <w:rFonts w:cs="Cordia New" w:hint="eastAsia"/>
          <w:bCs/>
          <w:spacing w:val="-2"/>
        </w:rPr>
        <w:t>釐清仍</w:t>
      </w:r>
      <w:proofErr w:type="gramEnd"/>
      <w:r>
        <w:rPr>
          <w:rFonts w:cs="Cordia New" w:hint="eastAsia"/>
          <w:bCs/>
          <w:spacing w:val="-2"/>
        </w:rPr>
        <w:t>有助益等，</w:t>
      </w:r>
      <w:proofErr w:type="gramStart"/>
      <w:r>
        <w:rPr>
          <w:rFonts w:cs="Cordia New" w:hint="eastAsia"/>
          <w:bCs/>
          <w:spacing w:val="-2"/>
        </w:rPr>
        <w:t>爰</w:t>
      </w:r>
      <w:proofErr w:type="gramEnd"/>
      <w:r>
        <w:rPr>
          <w:rFonts w:cs="Cordia New" w:hint="eastAsia"/>
          <w:bCs/>
          <w:spacing w:val="-2"/>
        </w:rPr>
        <w:t>持續編列相關經費，並</w:t>
      </w:r>
      <w:proofErr w:type="gramStart"/>
      <w:r>
        <w:rPr>
          <w:rFonts w:cs="Cordia New" w:hint="eastAsia"/>
          <w:bCs/>
          <w:spacing w:val="-2"/>
        </w:rPr>
        <w:t>採</w:t>
      </w:r>
      <w:proofErr w:type="gramEnd"/>
      <w:r>
        <w:rPr>
          <w:rFonts w:cs="Cordia New" w:hint="eastAsia"/>
          <w:bCs/>
          <w:spacing w:val="-2"/>
        </w:rPr>
        <w:t>全額補助方式，鼓勵教保服務機構積極評估辦理裝設或</w:t>
      </w:r>
      <w:proofErr w:type="gramStart"/>
      <w:r>
        <w:rPr>
          <w:rFonts w:cs="Cordia New" w:hint="eastAsia"/>
          <w:bCs/>
          <w:spacing w:val="-2"/>
        </w:rPr>
        <w:t>汰</w:t>
      </w:r>
      <w:proofErr w:type="gramEnd"/>
      <w:r>
        <w:rPr>
          <w:rFonts w:cs="Cordia New" w:hint="eastAsia"/>
          <w:bCs/>
          <w:spacing w:val="-2"/>
        </w:rPr>
        <w:t>換及改善既有設備；（2）已</w:t>
      </w:r>
      <w:r>
        <w:rPr>
          <w:rFonts w:hAnsi="標楷體" w:hint="eastAsia"/>
          <w:spacing w:val="-2"/>
          <w:kern w:val="0"/>
        </w:rPr>
        <w:t>於</w:t>
      </w:r>
      <w:proofErr w:type="gramStart"/>
      <w:r>
        <w:rPr>
          <w:rFonts w:hAnsi="標楷體" w:hint="eastAsia"/>
          <w:spacing w:val="-2"/>
          <w:kern w:val="0"/>
        </w:rPr>
        <w:t>114年2月7日修頒臺北市</w:t>
      </w:r>
      <w:proofErr w:type="gramEnd"/>
      <w:r>
        <w:rPr>
          <w:rFonts w:hAnsi="標楷體" w:hint="eastAsia"/>
          <w:spacing w:val="-2"/>
          <w:kern w:val="0"/>
        </w:rPr>
        <w:t>教保服務機構設置攝錄影音設備管理要點，責成教保服務機構應指派專人管理及維護攝錄設備，以健全管理機制，並已督促案內幼兒園依該局提供之規定範本等增</w:t>
      </w:r>
      <w:proofErr w:type="gramStart"/>
      <w:r>
        <w:rPr>
          <w:rFonts w:hAnsi="標楷體" w:hint="eastAsia"/>
          <w:spacing w:val="-2"/>
          <w:kern w:val="0"/>
        </w:rPr>
        <w:t>修訂其攝錄影</w:t>
      </w:r>
      <w:proofErr w:type="gramEnd"/>
      <w:r>
        <w:rPr>
          <w:rFonts w:hAnsi="標楷體" w:hint="eastAsia"/>
          <w:spacing w:val="-2"/>
          <w:kern w:val="0"/>
        </w:rPr>
        <w:t>音系統管理規定</w:t>
      </w:r>
      <w:r>
        <w:rPr>
          <w:rFonts w:cs="Cordia New" w:hint="eastAsia"/>
          <w:spacing w:val="-2"/>
        </w:rPr>
        <w:t>。</w:t>
      </w:r>
    </w:p>
    <w:p w14:paraId="32C5473F" w14:textId="77777777" w:rsidR="008B713D" w:rsidRDefault="008B713D" w:rsidP="0053302E">
      <w:pPr>
        <w:pStyle w:val="04"/>
        <w:widowControl w:val="0"/>
        <w:suppressAutoHyphens w:val="0"/>
        <w:spacing w:beforeLines="50" w:before="180" w:line="440" w:lineRule="exact"/>
        <w:ind w:firstLine="280"/>
        <w:rPr>
          <w:szCs w:val="28"/>
        </w:rPr>
      </w:pPr>
      <w:r>
        <w:rPr>
          <w:rFonts w:hint="eastAsia"/>
          <w:szCs w:val="28"/>
        </w:rPr>
        <w:t>（六）</w:t>
      </w:r>
      <w:bookmarkStart w:id="42" w:name="_Hlk199170543"/>
      <w:r>
        <w:rPr>
          <w:rFonts w:hint="eastAsia"/>
          <w:szCs w:val="28"/>
        </w:rPr>
        <w:t>市立動物園為強化服務品質，提供電子旅遊套票及聯名紀念品銷售等服務，並為提升館藏標本質量，增</w:t>
      </w:r>
      <w:r>
        <w:rPr>
          <w:rFonts w:hAnsi="標楷體" w:hint="eastAsia"/>
          <w:szCs w:val="28"/>
        </w:rPr>
        <w:t>（修）</w:t>
      </w:r>
      <w:r>
        <w:rPr>
          <w:rFonts w:hint="eastAsia"/>
          <w:szCs w:val="28"/>
        </w:rPr>
        <w:t>訂動物屍體委外焚化及標本管理內部控制，</w:t>
      </w:r>
      <w:proofErr w:type="gramStart"/>
      <w:r>
        <w:rPr>
          <w:rFonts w:hint="eastAsia"/>
          <w:szCs w:val="28"/>
        </w:rPr>
        <w:t>惟間有未能</w:t>
      </w:r>
      <w:proofErr w:type="gramEnd"/>
      <w:r>
        <w:rPr>
          <w:rFonts w:hint="eastAsia"/>
          <w:szCs w:val="28"/>
        </w:rPr>
        <w:t>有效防杜廠商超賣及違規銷售逾期票</w:t>
      </w:r>
      <w:proofErr w:type="gramStart"/>
      <w:r>
        <w:rPr>
          <w:rFonts w:hint="eastAsia"/>
          <w:szCs w:val="28"/>
        </w:rPr>
        <w:t>券</w:t>
      </w:r>
      <w:proofErr w:type="gramEnd"/>
      <w:r>
        <w:rPr>
          <w:rFonts w:hint="eastAsia"/>
          <w:szCs w:val="28"/>
        </w:rPr>
        <w:t>行為，或自營商店營運</w:t>
      </w:r>
      <w:proofErr w:type="gramStart"/>
      <w:r>
        <w:rPr>
          <w:rFonts w:hint="eastAsia"/>
          <w:szCs w:val="28"/>
        </w:rPr>
        <w:t>效益欠彰</w:t>
      </w:r>
      <w:proofErr w:type="gramEnd"/>
      <w:r>
        <w:rPr>
          <w:rFonts w:hint="eastAsia"/>
          <w:szCs w:val="28"/>
        </w:rPr>
        <w:t>，或有關動物屍體焚化及標本管理相關業務之內部控制未</w:t>
      </w:r>
      <w:proofErr w:type="gramStart"/>
      <w:r>
        <w:rPr>
          <w:rFonts w:hint="eastAsia"/>
          <w:szCs w:val="28"/>
        </w:rPr>
        <w:t>臻</w:t>
      </w:r>
      <w:proofErr w:type="gramEnd"/>
      <w:r>
        <w:rPr>
          <w:rFonts w:hint="eastAsia"/>
          <w:szCs w:val="28"/>
        </w:rPr>
        <w:t>周妥或未落實執行等情，均有待檢討改善</w:t>
      </w:r>
      <w:bookmarkEnd w:id="42"/>
      <w:r>
        <w:rPr>
          <w:rFonts w:hint="eastAsia"/>
          <w:szCs w:val="28"/>
        </w:rPr>
        <w:t>。</w:t>
      </w:r>
    </w:p>
    <w:p w14:paraId="554B125A" w14:textId="77777777" w:rsidR="008B713D" w:rsidRDefault="008B713D" w:rsidP="008B713D">
      <w:pPr>
        <w:spacing w:line="440" w:lineRule="exact"/>
        <w:ind w:firstLineChars="200" w:firstLine="480"/>
        <w:jc w:val="both"/>
        <w:rPr>
          <w:rFonts w:ascii="標楷體" w:eastAsia="標楷體" w:hAnsi="標楷體"/>
        </w:rPr>
      </w:pPr>
      <w:r>
        <w:rPr>
          <w:rFonts w:ascii="標楷體" w:eastAsia="標楷體" w:hAnsi="標楷體" w:hint="eastAsia"/>
          <w:szCs w:val="24"/>
        </w:rPr>
        <w:lastRenderedPageBreak/>
        <w:t>市立動物園為提升服務品質及拓展服務行銷，及深化入園遊客旅遊體驗，並增加機關收入，自</w:t>
      </w:r>
      <w:proofErr w:type="gramStart"/>
      <w:r>
        <w:rPr>
          <w:rFonts w:ascii="標楷體" w:eastAsia="標楷體" w:hAnsi="標楷體" w:hint="eastAsia"/>
          <w:szCs w:val="24"/>
        </w:rPr>
        <w:t>108</w:t>
      </w:r>
      <w:proofErr w:type="gramEnd"/>
      <w:r>
        <w:rPr>
          <w:rFonts w:ascii="標楷體" w:eastAsia="標楷體" w:hAnsi="標楷體" w:hint="eastAsia"/>
          <w:szCs w:val="24"/>
        </w:rPr>
        <w:t>年度起配合臺北市政府觀光傳播局推廣「北</w:t>
      </w:r>
      <w:proofErr w:type="gramStart"/>
      <w:r>
        <w:rPr>
          <w:rFonts w:ascii="標楷體" w:eastAsia="標楷體" w:hAnsi="標楷體" w:hint="eastAsia"/>
          <w:szCs w:val="24"/>
        </w:rPr>
        <w:t>北</w:t>
      </w:r>
      <w:proofErr w:type="gramEnd"/>
      <w:r>
        <w:rPr>
          <w:rFonts w:ascii="標楷體" w:eastAsia="標楷體" w:hAnsi="標楷體" w:hint="eastAsia"/>
          <w:szCs w:val="24"/>
        </w:rPr>
        <w:t>基好玩卡」服務，與廠商簽訂電子商務合作合約書，授權廠商得向該園預購團體全票／團體優待票及遊客列車乘車</w:t>
      </w:r>
      <w:proofErr w:type="gramStart"/>
      <w:r>
        <w:rPr>
          <w:rFonts w:ascii="標楷體" w:eastAsia="標楷體" w:hAnsi="標楷體" w:hint="eastAsia"/>
          <w:szCs w:val="24"/>
        </w:rPr>
        <w:t>券</w:t>
      </w:r>
      <w:proofErr w:type="gramEnd"/>
      <w:r>
        <w:rPr>
          <w:rFonts w:ascii="標楷體" w:eastAsia="標楷體" w:hAnsi="標楷體" w:hint="eastAsia"/>
          <w:szCs w:val="24"/>
        </w:rPr>
        <w:t>後，轉發行電子票</w:t>
      </w:r>
      <w:proofErr w:type="gramStart"/>
      <w:r>
        <w:rPr>
          <w:rFonts w:ascii="標楷體" w:eastAsia="標楷體" w:hAnsi="標楷體" w:hint="eastAsia"/>
          <w:szCs w:val="24"/>
        </w:rPr>
        <w:t>券</w:t>
      </w:r>
      <w:proofErr w:type="gramEnd"/>
      <w:r>
        <w:rPr>
          <w:rFonts w:ascii="標楷體" w:eastAsia="標楷體" w:hAnsi="標楷體" w:hint="eastAsia"/>
          <w:szCs w:val="24"/>
        </w:rPr>
        <w:t>或與其他</w:t>
      </w:r>
      <w:proofErr w:type="gramStart"/>
      <w:r>
        <w:rPr>
          <w:rFonts w:ascii="標楷體" w:eastAsia="標楷體" w:hAnsi="標楷體" w:hint="eastAsia"/>
          <w:szCs w:val="24"/>
        </w:rPr>
        <w:t>景點組成套</w:t>
      </w:r>
      <w:proofErr w:type="gramEnd"/>
      <w:r>
        <w:rPr>
          <w:rFonts w:ascii="標楷體" w:eastAsia="標楷體" w:hAnsi="標楷體" w:hint="eastAsia"/>
          <w:szCs w:val="24"/>
        </w:rPr>
        <w:t>票，消費者</w:t>
      </w:r>
      <w:proofErr w:type="gramStart"/>
      <w:r>
        <w:rPr>
          <w:rFonts w:ascii="標楷體" w:eastAsia="標楷體" w:hAnsi="標楷體" w:hint="eastAsia"/>
          <w:szCs w:val="24"/>
        </w:rPr>
        <w:t>可持所購</w:t>
      </w:r>
      <w:proofErr w:type="gramEnd"/>
      <w:r>
        <w:rPr>
          <w:rFonts w:ascii="標楷體" w:eastAsia="標楷體" w:hAnsi="標楷體" w:hint="eastAsia"/>
          <w:szCs w:val="24"/>
        </w:rPr>
        <w:t>之電子票</w:t>
      </w:r>
      <w:proofErr w:type="gramStart"/>
      <w:r>
        <w:rPr>
          <w:rFonts w:ascii="標楷體" w:eastAsia="標楷體" w:hAnsi="標楷體" w:hint="eastAsia"/>
          <w:szCs w:val="24"/>
        </w:rPr>
        <w:t>券</w:t>
      </w:r>
      <w:proofErr w:type="gramEnd"/>
      <w:r>
        <w:rPr>
          <w:rFonts w:ascii="標楷體" w:eastAsia="標楷體" w:hAnsi="標楷體" w:hint="eastAsia"/>
          <w:szCs w:val="24"/>
        </w:rPr>
        <w:t>或套票至該園指定服務據點核銷兌換使用；並自113年1月起正式開設自營「Mini Zoo in my room」（下稱Mini Zoo）</w:t>
      </w:r>
      <w:proofErr w:type="gramStart"/>
      <w:r>
        <w:rPr>
          <w:rFonts w:ascii="標楷體" w:eastAsia="標楷體" w:hAnsi="標楷體" w:hint="eastAsia"/>
          <w:szCs w:val="24"/>
        </w:rPr>
        <w:t>之文創實體商店</w:t>
      </w:r>
      <w:proofErr w:type="gramEnd"/>
      <w:r>
        <w:rPr>
          <w:rFonts w:ascii="標楷體" w:eastAsia="標楷體" w:hAnsi="標楷體" w:hint="eastAsia"/>
          <w:szCs w:val="24"/>
        </w:rPr>
        <w:t>及</w:t>
      </w:r>
      <w:proofErr w:type="gramStart"/>
      <w:r>
        <w:rPr>
          <w:rFonts w:ascii="標楷體" w:eastAsia="標楷體" w:hAnsi="標楷體" w:hint="eastAsia"/>
          <w:szCs w:val="24"/>
        </w:rPr>
        <w:t>發展線上電</w:t>
      </w:r>
      <w:proofErr w:type="gramEnd"/>
      <w:r>
        <w:rPr>
          <w:rFonts w:ascii="標楷體" w:eastAsia="標楷體" w:hAnsi="標楷體" w:hint="eastAsia"/>
          <w:szCs w:val="24"/>
        </w:rPr>
        <w:t>商平</w:t>
      </w:r>
      <w:proofErr w:type="gramStart"/>
      <w:r>
        <w:rPr>
          <w:rFonts w:ascii="標楷體" w:eastAsia="標楷體" w:hAnsi="標楷體" w:hint="eastAsia"/>
          <w:szCs w:val="24"/>
        </w:rPr>
        <w:t>臺</w:t>
      </w:r>
      <w:proofErr w:type="gramEnd"/>
      <w:r>
        <w:rPr>
          <w:rFonts w:ascii="標楷體" w:eastAsia="標楷體" w:hAnsi="標楷體" w:hint="eastAsia"/>
          <w:szCs w:val="24"/>
        </w:rPr>
        <w:t>，作為民眾選購該園</w:t>
      </w:r>
      <w:proofErr w:type="gramStart"/>
      <w:r>
        <w:rPr>
          <w:rFonts w:ascii="標楷體" w:eastAsia="標楷體" w:hAnsi="標楷體" w:hint="eastAsia"/>
          <w:szCs w:val="24"/>
        </w:rPr>
        <w:t>聯名文創紀念</w:t>
      </w:r>
      <w:proofErr w:type="gramEnd"/>
      <w:r>
        <w:rPr>
          <w:rFonts w:ascii="標楷體" w:eastAsia="標楷體" w:hAnsi="標楷體" w:hint="eastAsia"/>
          <w:szCs w:val="24"/>
        </w:rPr>
        <w:t>商品之平</w:t>
      </w:r>
      <w:proofErr w:type="gramStart"/>
      <w:r>
        <w:rPr>
          <w:rFonts w:ascii="標楷體" w:eastAsia="標楷體" w:hAnsi="標楷體" w:hint="eastAsia"/>
          <w:szCs w:val="24"/>
        </w:rPr>
        <w:t>臺</w:t>
      </w:r>
      <w:proofErr w:type="gramEnd"/>
      <w:r>
        <w:rPr>
          <w:rFonts w:ascii="標楷體" w:eastAsia="標楷體" w:hAnsi="標楷體" w:hint="eastAsia"/>
        </w:rPr>
        <w:t>。另於112及</w:t>
      </w:r>
      <w:proofErr w:type="gramStart"/>
      <w:r>
        <w:rPr>
          <w:rFonts w:ascii="標楷體" w:eastAsia="標楷體" w:hAnsi="標楷體" w:hint="eastAsia"/>
        </w:rPr>
        <w:t>113</w:t>
      </w:r>
      <w:proofErr w:type="gramEnd"/>
      <w:r>
        <w:rPr>
          <w:rFonts w:ascii="標楷體" w:eastAsia="標楷體" w:hAnsi="標楷體" w:hint="eastAsia"/>
        </w:rPr>
        <w:t>年度為應動物標本製作及管理，與死亡動物屍體委外焚化處置之需要，累計編列預算144萬元，辦理相關物品或勞務委外採購。經查該園執行前開業務情形，核有下列事項：</w:t>
      </w:r>
    </w:p>
    <w:p w14:paraId="3C0BF810" w14:textId="77777777" w:rsidR="008B713D" w:rsidRDefault="008B713D" w:rsidP="00F1753C">
      <w:pPr>
        <w:spacing w:line="450" w:lineRule="exact"/>
        <w:ind w:firstLineChars="200" w:firstLine="480"/>
        <w:jc w:val="both"/>
        <w:outlineLvl w:val="2"/>
        <w:rPr>
          <w:rFonts w:ascii="標楷體" w:eastAsia="標楷體" w:hAnsi="標楷體"/>
        </w:rPr>
      </w:pPr>
      <w:r>
        <w:rPr>
          <w:rFonts w:ascii="標楷體" w:eastAsia="標楷體" w:hAnsi="標楷體" w:hint="eastAsia"/>
          <w:b/>
        </w:rPr>
        <w:t>1.辦理電子旅遊套票預售作業，未能有效防杜廠商超賣及違規銷售逾期票</w:t>
      </w:r>
      <w:proofErr w:type="gramStart"/>
      <w:r>
        <w:rPr>
          <w:rFonts w:ascii="標楷體" w:eastAsia="標楷體" w:hAnsi="標楷體" w:hint="eastAsia"/>
          <w:b/>
        </w:rPr>
        <w:t>券</w:t>
      </w:r>
      <w:proofErr w:type="gramEnd"/>
      <w:r>
        <w:rPr>
          <w:rFonts w:ascii="標楷體" w:eastAsia="標楷體" w:hAnsi="標楷體" w:hint="eastAsia"/>
          <w:b/>
        </w:rPr>
        <w:t>行為，以維機關權益：</w:t>
      </w:r>
      <w:r>
        <w:rPr>
          <w:rFonts w:ascii="標楷體" w:eastAsia="標楷體" w:hAnsi="標楷體" w:hint="eastAsia"/>
        </w:rPr>
        <w:t>據統計，</w:t>
      </w:r>
      <w:proofErr w:type="gramStart"/>
      <w:r>
        <w:rPr>
          <w:rFonts w:ascii="標楷體" w:eastAsia="標楷體" w:hAnsi="標楷體" w:hint="eastAsia"/>
        </w:rPr>
        <w:t>113</w:t>
      </w:r>
      <w:proofErr w:type="gramEnd"/>
      <w:r>
        <w:rPr>
          <w:rFonts w:ascii="標楷體" w:eastAsia="標楷體" w:hAnsi="標楷體" w:hint="eastAsia"/>
        </w:rPr>
        <w:t>年度截至8月底止，市立動物園預售北</w:t>
      </w:r>
      <w:proofErr w:type="gramStart"/>
      <w:r>
        <w:rPr>
          <w:rFonts w:ascii="標楷體" w:eastAsia="標楷體" w:hAnsi="標楷體" w:hint="eastAsia"/>
        </w:rPr>
        <w:t>北</w:t>
      </w:r>
      <w:proofErr w:type="gramEnd"/>
      <w:r>
        <w:rPr>
          <w:rFonts w:ascii="標楷體" w:eastAsia="標楷體" w:hAnsi="標楷體" w:hint="eastAsia"/>
        </w:rPr>
        <w:t>基好玩卡電子票券商品共164萬餘元。經查該園112及</w:t>
      </w:r>
      <w:proofErr w:type="gramStart"/>
      <w:r>
        <w:rPr>
          <w:rFonts w:ascii="標楷體" w:eastAsia="標楷體" w:hAnsi="標楷體" w:hint="eastAsia"/>
        </w:rPr>
        <w:t>113</w:t>
      </w:r>
      <w:proofErr w:type="gramEnd"/>
      <w:r>
        <w:rPr>
          <w:rFonts w:ascii="標楷體" w:eastAsia="標楷體" w:hAnsi="標楷體" w:hint="eastAsia"/>
        </w:rPr>
        <w:t>年度每月辦理本案預售票</w:t>
      </w:r>
      <w:proofErr w:type="gramStart"/>
      <w:r>
        <w:rPr>
          <w:rFonts w:ascii="標楷體" w:eastAsia="標楷體" w:hAnsi="標楷體" w:hint="eastAsia"/>
        </w:rPr>
        <w:t>券</w:t>
      </w:r>
      <w:proofErr w:type="gramEnd"/>
      <w:r>
        <w:rPr>
          <w:rFonts w:ascii="標楷體" w:eastAsia="標楷體" w:hAnsi="標楷體" w:hint="eastAsia"/>
        </w:rPr>
        <w:t>之核銷兌換作業時，</w:t>
      </w:r>
      <w:proofErr w:type="gramStart"/>
      <w:r>
        <w:rPr>
          <w:rFonts w:ascii="標楷體" w:eastAsia="標楷體" w:hAnsi="標楷體" w:hint="eastAsia"/>
        </w:rPr>
        <w:t>均僅就</w:t>
      </w:r>
      <w:proofErr w:type="gramEnd"/>
      <w:r>
        <w:rPr>
          <w:rFonts w:ascii="標楷體" w:eastAsia="標楷體" w:hAnsi="標楷體" w:hint="eastAsia"/>
        </w:rPr>
        <w:t>本案系統紀錄所列每月已核銷兌換各類票</w:t>
      </w:r>
      <w:proofErr w:type="gramStart"/>
      <w:r>
        <w:rPr>
          <w:rFonts w:ascii="標楷體" w:eastAsia="標楷體" w:hAnsi="標楷體" w:hint="eastAsia"/>
        </w:rPr>
        <w:t>券</w:t>
      </w:r>
      <w:proofErr w:type="gramEnd"/>
      <w:r>
        <w:rPr>
          <w:rFonts w:ascii="標楷體" w:eastAsia="標楷體" w:hAnsi="標楷體" w:hint="eastAsia"/>
        </w:rPr>
        <w:t>數量，是否有超過其列管廠商上月未兌換剩餘票</w:t>
      </w:r>
      <w:proofErr w:type="gramStart"/>
      <w:r>
        <w:rPr>
          <w:rFonts w:ascii="標楷體" w:eastAsia="標楷體" w:hAnsi="標楷體" w:hint="eastAsia"/>
        </w:rPr>
        <w:t>券</w:t>
      </w:r>
      <w:proofErr w:type="gramEnd"/>
      <w:r>
        <w:rPr>
          <w:rFonts w:ascii="標楷體" w:eastAsia="標楷體" w:hAnsi="標楷體" w:hint="eastAsia"/>
        </w:rPr>
        <w:t>數量與本月新購票</w:t>
      </w:r>
      <w:proofErr w:type="gramStart"/>
      <w:r>
        <w:rPr>
          <w:rFonts w:ascii="標楷體" w:eastAsia="標楷體" w:hAnsi="標楷體" w:hint="eastAsia"/>
        </w:rPr>
        <w:t>券</w:t>
      </w:r>
      <w:proofErr w:type="gramEnd"/>
      <w:r>
        <w:rPr>
          <w:rFonts w:ascii="標楷體" w:eastAsia="標楷體" w:hAnsi="標楷體" w:hint="eastAsia"/>
        </w:rPr>
        <w:t>數量之合計數，進行檢核，倘發現廠商預購票</w:t>
      </w:r>
      <w:proofErr w:type="gramStart"/>
      <w:r>
        <w:rPr>
          <w:rFonts w:ascii="標楷體" w:eastAsia="標楷體" w:hAnsi="標楷體" w:hint="eastAsia"/>
        </w:rPr>
        <w:t>券</w:t>
      </w:r>
      <w:proofErr w:type="gramEnd"/>
      <w:r>
        <w:rPr>
          <w:rFonts w:ascii="標楷體" w:eastAsia="標楷體" w:hAnsi="標楷體" w:hint="eastAsia"/>
        </w:rPr>
        <w:t>剩餘數有不足時，始要求其補購票，迄未針對廠商每批次預購票</w:t>
      </w:r>
      <w:proofErr w:type="gramStart"/>
      <w:r>
        <w:rPr>
          <w:rFonts w:ascii="標楷體" w:eastAsia="標楷體" w:hAnsi="標楷體" w:hint="eastAsia"/>
        </w:rPr>
        <w:t>券</w:t>
      </w:r>
      <w:proofErr w:type="gramEnd"/>
      <w:r>
        <w:rPr>
          <w:rFonts w:ascii="標楷體" w:eastAsia="標楷體" w:hAnsi="標楷體" w:hint="eastAsia"/>
        </w:rPr>
        <w:t>之效期，及廠商實際已銷售</w:t>
      </w:r>
      <w:proofErr w:type="gramStart"/>
      <w:r>
        <w:rPr>
          <w:rFonts w:ascii="標楷體" w:eastAsia="標楷體" w:hAnsi="標楷體" w:hint="eastAsia"/>
        </w:rPr>
        <w:t>惟</w:t>
      </w:r>
      <w:proofErr w:type="gramEnd"/>
      <w:r>
        <w:rPr>
          <w:rFonts w:ascii="標楷體" w:eastAsia="標楷體" w:hAnsi="標楷體" w:hint="eastAsia"/>
        </w:rPr>
        <w:t>尚未入園兌換之數量，</w:t>
      </w:r>
      <w:proofErr w:type="gramStart"/>
      <w:r>
        <w:rPr>
          <w:rFonts w:ascii="標楷體" w:eastAsia="標楷體" w:hAnsi="標楷體" w:hint="eastAsia"/>
        </w:rPr>
        <w:t>詳予管控</w:t>
      </w:r>
      <w:proofErr w:type="gramEnd"/>
      <w:r>
        <w:rPr>
          <w:rFonts w:ascii="標楷體" w:eastAsia="標楷體" w:hAnsi="標楷體" w:hint="eastAsia"/>
        </w:rPr>
        <w:t>，以確實掌握廠商預購票</w:t>
      </w:r>
      <w:proofErr w:type="gramStart"/>
      <w:r>
        <w:rPr>
          <w:rFonts w:ascii="標楷體" w:eastAsia="標楷體" w:hAnsi="標楷體" w:hint="eastAsia"/>
        </w:rPr>
        <w:t>券</w:t>
      </w:r>
      <w:proofErr w:type="gramEnd"/>
      <w:r>
        <w:rPr>
          <w:rFonts w:ascii="標楷體" w:eastAsia="標楷體" w:hAnsi="標楷體" w:hint="eastAsia"/>
        </w:rPr>
        <w:t>使用狀況，或</w:t>
      </w:r>
      <w:proofErr w:type="gramStart"/>
      <w:r>
        <w:rPr>
          <w:rFonts w:ascii="標楷體" w:eastAsia="標楷體" w:hAnsi="標楷體" w:hint="eastAsia"/>
        </w:rPr>
        <w:t>有無已逾</w:t>
      </w:r>
      <w:proofErr w:type="gramEnd"/>
      <w:r>
        <w:rPr>
          <w:rFonts w:ascii="標楷體" w:eastAsia="標楷體" w:hAnsi="標楷體" w:hint="eastAsia"/>
        </w:rPr>
        <w:t>效期之票</w:t>
      </w:r>
      <w:proofErr w:type="gramStart"/>
      <w:r>
        <w:rPr>
          <w:rFonts w:ascii="標楷體" w:eastAsia="標楷體" w:hAnsi="標楷體" w:hint="eastAsia"/>
        </w:rPr>
        <w:t>券</w:t>
      </w:r>
      <w:proofErr w:type="gramEnd"/>
      <w:r>
        <w:rPr>
          <w:rFonts w:ascii="標楷體" w:eastAsia="標楷體" w:hAnsi="標楷體" w:hint="eastAsia"/>
        </w:rPr>
        <w:t>，仍持續核銷兌換使用，或廠商有無超賣行為，以確保機關權益等情事，經函請</w:t>
      </w:r>
      <w:proofErr w:type="gramStart"/>
      <w:r>
        <w:rPr>
          <w:rFonts w:ascii="標楷體" w:eastAsia="標楷體" w:hAnsi="標楷體" w:hint="eastAsia"/>
        </w:rPr>
        <w:t>檢討妥處</w:t>
      </w:r>
      <w:proofErr w:type="gramEnd"/>
      <w:r>
        <w:rPr>
          <w:rFonts w:ascii="標楷體" w:eastAsia="標楷體" w:hAnsi="標楷體" w:hint="eastAsia"/>
        </w:rPr>
        <w:t>。據復：清查現行販售北</w:t>
      </w:r>
      <w:proofErr w:type="gramStart"/>
      <w:r>
        <w:rPr>
          <w:rFonts w:ascii="標楷體" w:eastAsia="標楷體" w:hAnsi="標楷體" w:hint="eastAsia"/>
        </w:rPr>
        <w:t>北</w:t>
      </w:r>
      <w:proofErr w:type="gramEnd"/>
      <w:r>
        <w:rPr>
          <w:rFonts w:ascii="標楷體" w:eastAsia="標楷體" w:hAnsi="標楷體" w:hint="eastAsia"/>
        </w:rPr>
        <w:t>基好玩卡票</w:t>
      </w:r>
      <w:proofErr w:type="gramStart"/>
      <w:r>
        <w:rPr>
          <w:rFonts w:ascii="標楷體" w:eastAsia="標楷體" w:hAnsi="標楷體" w:hint="eastAsia"/>
        </w:rPr>
        <w:t>券</w:t>
      </w:r>
      <w:proofErr w:type="gramEnd"/>
      <w:r>
        <w:rPr>
          <w:rFonts w:ascii="標楷體" w:eastAsia="標楷體" w:hAnsi="標楷體" w:hint="eastAsia"/>
        </w:rPr>
        <w:t>無超出預購票剩餘數情形，惟為加強每月列管預售票</w:t>
      </w:r>
      <w:proofErr w:type="gramStart"/>
      <w:r>
        <w:rPr>
          <w:rFonts w:ascii="標楷體" w:eastAsia="標楷體" w:hAnsi="標楷體" w:hint="eastAsia"/>
        </w:rPr>
        <w:t>券</w:t>
      </w:r>
      <w:proofErr w:type="gramEnd"/>
      <w:r>
        <w:rPr>
          <w:rFonts w:ascii="標楷體" w:eastAsia="標楷體" w:hAnsi="標楷體" w:hint="eastAsia"/>
        </w:rPr>
        <w:t>核銷數或剩餘數之控管，除將督導同仁應於「入園人數與收入統計表」上填報本案廠商當月尚未核銷數及當月入園使用數額，供首長查核簽章外，另將請法律顧問協助</w:t>
      </w:r>
      <w:proofErr w:type="gramStart"/>
      <w:r>
        <w:rPr>
          <w:rFonts w:ascii="標楷體" w:eastAsia="標楷體" w:hAnsi="標楷體" w:hint="eastAsia"/>
        </w:rPr>
        <w:t>釐</w:t>
      </w:r>
      <w:proofErr w:type="gramEnd"/>
      <w:r>
        <w:rPr>
          <w:rFonts w:ascii="標楷體" w:eastAsia="標楷體" w:hAnsi="標楷體" w:hint="eastAsia"/>
        </w:rPr>
        <w:t>清有關本案合約規範票</w:t>
      </w:r>
      <w:proofErr w:type="gramStart"/>
      <w:r>
        <w:rPr>
          <w:rFonts w:ascii="標楷體" w:eastAsia="標楷體" w:hAnsi="標楷體" w:hint="eastAsia"/>
        </w:rPr>
        <w:t>券</w:t>
      </w:r>
      <w:proofErr w:type="gramEnd"/>
      <w:r>
        <w:rPr>
          <w:rFonts w:ascii="標楷體" w:eastAsia="標楷體" w:hAnsi="標楷體" w:hint="eastAsia"/>
        </w:rPr>
        <w:t>有效期限之計算疑義並參考其他場域作法後，據以修正相關作為，以落實履約管理機制，並使契約符合市場機制及實務需求。</w:t>
      </w:r>
    </w:p>
    <w:p w14:paraId="323850D6" w14:textId="77777777" w:rsidR="008B713D" w:rsidRDefault="008B713D" w:rsidP="00F1753C">
      <w:pPr>
        <w:spacing w:line="460" w:lineRule="exact"/>
        <w:ind w:firstLineChars="200" w:firstLine="480"/>
        <w:jc w:val="both"/>
        <w:outlineLvl w:val="2"/>
        <w:rPr>
          <w:rFonts w:ascii="標楷體" w:eastAsia="標楷體" w:hAnsi="標楷體"/>
        </w:rPr>
      </w:pPr>
      <w:r>
        <w:rPr>
          <w:rFonts w:ascii="標楷體" w:eastAsia="標楷體" w:hAnsi="標楷體" w:hint="eastAsia"/>
          <w:b/>
        </w:rPr>
        <w:t>2.自營紀念品實體及網路商店，營運</w:t>
      </w:r>
      <w:proofErr w:type="gramStart"/>
      <w:r>
        <w:rPr>
          <w:rFonts w:ascii="標楷體" w:eastAsia="標楷體" w:hAnsi="標楷體" w:hint="eastAsia"/>
          <w:b/>
        </w:rPr>
        <w:t>成效欠彰</w:t>
      </w:r>
      <w:proofErr w:type="gramEnd"/>
      <w:r>
        <w:rPr>
          <w:rFonts w:ascii="標楷體" w:eastAsia="標楷體" w:hAnsi="標楷體" w:hint="eastAsia"/>
          <w:b/>
        </w:rPr>
        <w:t>：</w:t>
      </w:r>
      <w:r>
        <w:rPr>
          <w:rFonts w:ascii="標楷體" w:eastAsia="標楷體" w:hAnsi="標楷體" w:hint="eastAsia"/>
        </w:rPr>
        <w:t>經查市立動物園自營Mini Zoo</w:t>
      </w:r>
      <w:proofErr w:type="gramStart"/>
      <w:r>
        <w:rPr>
          <w:rFonts w:ascii="標楷體" w:eastAsia="標楷體" w:hAnsi="標楷體" w:hint="eastAsia"/>
        </w:rPr>
        <w:t>之文創實體商店</w:t>
      </w:r>
      <w:proofErr w:type="gramEnd"/>
      <w:r>
        <w:rPr>
          <w:rFonts w:ascii="標楷體" w:eastAsia="標楷體" w:hAnsi="標楷體" w:hint="eastAsia"/>
        </w:rPr>
        <w:t>及</w:t>
      </w:r>
      <w:proofErr w:type="gramStart"/>
      <w:r>
        <w:rPr>
          <w:rFonts w:ascii="標楷體" w:eastAsia="標楷體" w:hAnsi="標楷體" w:hint="eastAsia"/>
        </w:rPr>
        <w:t>發展線上電</w:t>
      </w:r>
      <w:proofErr w:type="gramEnd"/>
      <w:r>
        <w:rPr>
          <w:rFonts w:ascii="標楷體" w:eastAsia="標楷體" w:hAnsi="標楷體" w:hint="eastAsia"/>
        </w:rPr>
        <w:t>商平</w:t>
      </w:r>
      <w:proofErr w:type="gramStart"/>
      <w:r>
        <w:rPr>
          <w:rFonts w:ascii="標楷體" w:eastAsia="標楷體" w:hAnsi="標楷體" w:hint="eastAsia"/>
        </w:rPr>
        <w:t>臺</w:t>
      </w:r>
      <w:proofErr w:type="gramEnd"/>
      <w:r>
        <w:rPr>
          <w:rFonts w:ascii="標楷體" w:eastAsia="標楷體" w:hAnsi="標楷體" w:hint="eastAsia"/>
        </w:rPr>
        <w:t>情形，發現截至113年10月1日止，該園尚未針對自營實體及網路商店之收入繳庫及寄送作業，訂定相關內部控制，</w:t>
      </w:r>
      <w:proofErr w:type="gramStart"/>
      <w:r>
        <w:rPr>
          <w:rFonts w:ascii="標楷體" w:eastAsia="標楷體" w:hAnsi="標楷體" w:hint="eastAsia"/>
        </w:rPr>
        <w:t>俾</w:t>
      </w:r>
      <w:proofErr w:type="gramEnd"/>
      <w:r>
        <w:rPr>
          <w:rFonts w:ascii="標楷體" w:eastAsia="標楷體" w:hAnsi="標楷體" w:hint="eastAsia"/>
        </w:rPr>
        <w:t>供所屬遵循；且據該園統計，</w:t>
      </w:r>
      <w:proofErr w:type="gramStart"/>
      <w:r>
        <w:rPr>
          <w:rFonts w:ascii="標楷體" w:eastAsia="標楷體" w:hAnsi="標楷體" w:hint="eastAsia"/>
        </w:rPr>
        <w:t>113</w:t>
      </w:r>
      <w:proofErr w:type="gramEnd"/>
      <w:r>
        <w:rPr>
          <w:rFonts w:ascii="標楷體" w:eastAsia="標楷體" w:hAnsi="標楷體" w:hint="eastAsia"/>
        </w:rPr>
        <w:t>年度1至8月該實體商店每月來客數約1</w:t>
      </w:r>
      <w:proofErr w:type="gramStart"/>
      <w:r>
        <w:rPr>
          <w:rFonts w:ascii="標楷體" w:eastAsia="標楷體" w:hAnsi="標楷體" w:hint="eastAsia"/>
        </w:rPr>
        <w:t>百</w:t>
      </w:r>
      <w:proofErr w:type="gramEnd"/>
      <w:r>
        <w:rPr>
          <w:rFonts w:ascii="標楷體" w:eastAsia="標楷體" w:hAnsi="標楷體" w:hint="eastAsia"/>
        </w:rPr>
        <w:t>至6</w:t>
      </w:r>
      <w:proofErr w:type="gramStart"/>
      <w:r>
        <w:rPr>
          <w:rFonts w:ascii="標楷體" w:eastAsia="標楷體" w:hAnsi="標楷體" w:hint="eastAsia"/>
        </w:rPr>
        <w:t>百</w:t>
      </w:r>
      <w:proofErr w:type="gramEnd"/>
      <w:r>
        <w:rPr>
          <w:rFonts w:ascii="標楷體" w:eastAsia="標楷體" w:hAnsi="標楷體" w:hint="eastAsia"/>
        </w:rPr>
        <w:t>人，占各月份入園人數之比率僅為0.05％至0.33％不等，且每月銷售金額約介於3萬元至15萬元之間，仍屬偏低；另查該園於網路商店上架45項文宣品供民眾選購，僅於2月及6月各完成1筆及6筆訂購單，營運成效</w:t>
      </w:r>
      <w:proofErr w:type="gramStart"/>
      <w:r>
        <w:rPr>
          <w:rFonts w:ascii="標楷體" w:eastAsia="標楷體" w:hAnsi="標楷體" w:hint="eastAsia"/>
        </w:rPr>
        <w:t>亦有欠彰等</w:t>
      </w:r>
      <w:proofErr w:type="gramEnd"/>
      <w:r>
        <w:rPr>
          <w:rFonts w:ascii="標楷體" w:eastAsia="標楷體" w:hAnsi="標楷體" w:hint="eastAsia"/>
        </w:rPr>
        <w:t>情事，經函請督促</w:t>
      </w:r>
      <w:proofErr w:type="gramStart"/>
      <w:r>
        <w:rPr>
          <w:rFonts w:ascii="標楷體" w:eastAsia="標楷體" w:hAnsi="標楷體" w:hint="eastAsia"/>
        </w:rPr>
        <w:t>研</w:t>
      </w:r>
      <w:proofErr w:type="gramEnd"/>
      <w:r>
        <w:rPr>
          <w:rFonts w:ascii="標楷體" w:eastAsia="標楷體" w:hAnsi="標楷體" w:hint="eastAsia"/>
        </w:rPr>
        <w:t>謀改善。據復：案經該園審慎評估自營商店</w:t>
      </w:r>
      <w:proofErr w:type="gramStart"/>
      <w:r>
        <w:rPr>
          <w:rFonts w:ascii="標楷體" w:eastAsia="標楷體" w:hAnsi="標楷體" w:hint="eastAsia"/>
        </w:rPr>
        <w:t>113</w:t>
      </w:r>
      <w:proofErr w:type="gramEnd"/>
      <w:r>
        <w:rPr>
          <w:rFonts w:ascii="標楷體" w:eastAsia="標楷體" w:hAnsi="標楷體" w:hint="eastAsia"/>
        </w:rPr>
        <w:t>年度營運效益並檢討缺失，已自113年11月26日起調整縮短營業時間；另為延續文宣品之推廣教育目的，Mini Zoo</w:t>
      </w:r>
      <w:proofErr w:type="gramStart"/>
      <w:r>
        <w:rPr>
          <w:rFonts w:ascii="標楷體" w:eastAsia="標楷體" w:hAnsi="標楷體" w:hint="eastAsia"/>
        </w:rPr>
        <w:t>線上商</w:t>
      </w:r>
      <w:proofErr w:type="gramEnd"/>
      <w:r>
        <w:rPr>
          <w:rFonts w:ascii="標楷體" w:eastAsia="標楷體" w:hAnsi="標楷體" w:hint="eastAsia"/>
        </w:rPr>
        <w:t>城將持續辦理，並將針對實體店面</w:t>
      </w:r>
      <w:proofErr w:type="gramStart"/>
      <w:r>
        <w:rPr>
          <w:rFonts w:ascii="標楷體" w:eastAsia="標楷體" w:hAnsi="標楷體" w:hint="eastAsia"/>
        </w:rPr>
        <w:t>及線上銷售</w:t>
      </w:r>
      <w:proofErr w:type="gramEnd"/>
      <w:r>
        <w:rPr>
          <w:rFonts w:ascii="標楷體" w:eastAsia="標楷體" w:hAnsi="標楷體" w:hint="eastAsia"/>
        </w:rPr>
        <w:t>作業</w:t>
      </w:r>
      <w:proofErr w:type="gramStart"/>
      <w:r>
        <w:rPr>
          <w:rFonts w:ascii="標楷體" w:eastAsia="標楷體" w:hAnsi="標楷體" w:hint="eastAsia"/>
        </w:rPr>
        <w:t>研</w:t>
      </w:r>
      <w:proofErr w:type="gramEnd"/>
      <w:r>
        <w:rPr>
          <w:rFonts w:ascii="標楷體" w:eastAsia="標楷體" w:hAnsi="標楷體" w:hint="eastAsia"/>
        </w:rPr>
        <w:t>訂相關內部控制，以健全機關財務管理機制。</w:t>
      </w:r>
    </w:p>
    <w:p w14:paraId="3F0ECF2E" w14:textId="77777777" w:rsidR="00553180" w:rsidRDefault="008B713D" w:rsidP="00553180">
      <w:pPr>
        <w:spacing w:line="460" w:lineRule="exact"/>
        <w:ind w:firstLineChars="200" w:firstLine="480"/>
        <w:jc w:val="both"/>
        <w:outlineLvl w:val="2"/>
        <w:rPr>
          <w:rFonts w:ascii="標楷體" w:eastAsia="標楷體" w:hAnsi="標楷體"/>
          <w:bCs/>
        </w:rPr>
      </w:pPr>
      <w:r>
        <w:rPr>
          <w:rFonts w:ascii="標楷體" w:eastAsia="標楷體" w:hAnsi="標楷體" w:hint="eastAsia"/>
          <w:b/>
        </w:rPr>
        <w:t>3.辦理動物屍體委外焚化及管理動物標本情形，</w:t>
      </w:r>
      <w:proofErr w:type="gramStart"/>
      <w:r>
        <w:rPr>
          <w:rFonts w:ascii="標楷體" w:eastAsia="標楷體" w:hAnsi="標楷體" w:hint="eastAsia"/>
          <w:b/>
        </w:rPr>
        <w:t>間有內部</w:t>
      </w:r>
      <w:proofErr w:type="gramEnd"/>
      <w:r>
        <w:rPr>
          <w:rFonts w:ascii="標楷體" w:eastAsia="標楷體" w:hAnsi="標楷體" w:hint="eastAsia"/>
          <w:b/>
        </w:rPr>
        <w:t>控制未</w:t>
      </w:r>
      <w:proofErr w:type="gramStart"/>
      <w:r>
        <w:rPr>
          <w:rFonts w:ascii="標楷體" w:eastAsia="標楷體" w:hAnsi="標楷體" w:hint="eastAsia"/>
          <w:b/>
        </w:rPr>
        <w:t>臻</w:t>
      </w:r>
      <w:proofErr w:type="gramEnd"/>
      <w:r>
        <w:rPr>
          <w:rFonts w:ascii="標楷體" w:eastAsia="標楷體" w:hAnsi="標楷體" w:hint="eastAsia"/>
          <w:b/>
        </w:rPr>
        <w:t>周妥或未依規定落實執</w:t>
      </w:r>
      <w:r w:rsidRPr="0053302E">
        <w:rPr>
          <w:rFonts w:ascii="標楷體" w:eastAsia="標楷體" w:hAnsi="標楷體" w:hint="eastAsia"/>
          <w:b/>
          <w:spacing w:val="4"/>
        </w:rPr>
        <w:t>行等情事：</w:t>
      </w:r>
      <w:r w:rsidRPr="0053302E">
        <w:rPr>
          <w:rFonts w:ascii="標楷體" w:eastAsia="標楷體" w:hAnsi="標楷體" w:hint="eastAsia"/>
          <w:bCs/>
          <w:spacing w:val="4"/>
        </w:rPr>
        <w:t>市立動物園為強化動物屍體委外清運焚化及動物標本管理作業，於112年底增（修）</w:t>
      </w:r>
    </w:p>
    <w:p w14:paraId="3581DF1C" w14:textId="4D7FE8B2" w:rsidR="008B713D" w:rsidRDefault="008B713D" w:rsidP="00553180">
      <w:pPr>
        <w:spacing w:line="440" w:lineRule="exact"/>
        <w:jc w:val="both"/>
        <w:outlineLvl w:val="2"/>
        <w:rPr>
          <w:rFonts w:ascii="標楷體" w:eastAsia="標楷體" w:hAnsi="標楷體"/>
          <w:b/>
        </w:rPr>
      </w:pPr>
      <w:r>
        <w:rPr>
          <w:rFonts w:ascii="標楷體" w:eastAsia="標楷體" w:hAnsi="標楷體" w:hint="eastAsia"/>
          <w:bCs/>
        </w:rPr>
        <w:lastRenderedPageBreak/>
        <w:t>訂相關內部控制制度。經查執行情形，核有：（1）獸醫室於112年1月至113年8月間製作動物屍體焚化清冊時，</w:t>
      </w:r>
      <w:proofErr w:type="gramStart"/>
      <w:r>
        <w:rPr>
          <w:rFonts w:ascii="標楷體" w:eastAsia="標楷體" w:hAnsi="標楷體" w:hint="eastAsia"/>
          <w:bCs/>
        </w:rPr>
        <w:t>間有漏列園外救</w:t>
      </w:r>
      <w:proofErr w:type="gramEnd"/>
      <w:r>
        <w:rPr>
          <w:rFonts w:ascii="標楷體" w:eastAsia="標楷體" w:hAnsi="標楷體" w:hint="eastAsia"/>
          <w:bCs/>
        </w:rPr>
        <w:t>傷動物死亡資料，或未具體</w:t>
      </w:r>
      <w:proofErr w:type="gramStart"/>
      <w:r>
        <w:rPr>
          <w:rFonts w:ascii="標楷體" w:eastAsia="標楷體" w:hAnsi="標楷體" w:hint="eastAsia"/>
          <w:bCs/>
        </w:rPr>
        <w:t>載明擬製成</w:t>
      </w:r>
      <w:proofErr w:type="gramEnd"/>
      <w:r>
        <w:rPr>
          <w:rFonts w:ascii="標楷體" w:eastAsia="標楷體" w:hAnsi="標楷體" w:hint="eastAsia"/>
          <w:bCs/>
        </w:rPr>
        <w:t>標本者所留存屍體部位，均不利後續焚化屍體</w:t>
      </w:r>
      <w:proofErr w:type="gramStart"/>
      <w:r>
        <w:rPr>
          <w:rFonts w:ascii="標楷體" w:eastAsia="標楷體" w:hAnsi="標楷體" w:hint="eastAsia"/>
          <w:bCs/>
        </w:rPr>
        <w:t>監交及標本</w:t>
      </w:r>
      <w:proofErr w:type="gramEnd"/>
      <w:r>
        <w:rPr>
          <w:rFonts w:ascii="標楷體" w:eastAsia="標楷體" w:hAnsi="標楷體" w:hint="eastAsia"/>
          <w:bCs/>
        </w:rPr>
        <w:t>製作管控作業之遂行；（2）</w:t>
      </w:r>
      <w:proofErr w:type="gramStart"/>
      <w:r>
        <w:rPr>
          <w:rFonts w:ascii="標楷體" w:eastAsia="標楷體" w:hAnsi="標楷體" w:hint="eastAsia"/>
          <w:bCs/>
        </w:rPr>
        <w:t>該園各單位</w:t>
      </w:r>
      <w:proofErr w:type="gramEnd"/>
      <w:r>
        <w:rPr>
          <w:rFonts w:ascii="標楷體" w:eastAsia="標楷體" w:hAnsi="標楷體" w:hint="eastAsia"/>
          <w:bCs/>
        </w:rPr>
        <w:t>辦理損壞動物標本銷毀作業時，</w:t>
      </w:r>
      <w:proofErr w:type="gramStart"/>
      <w:r>
        <w:rPr>
          <w:rFonts w:ascii="標楷體" w:eastAsia="標楷體" w:hAnsi="標楷體" w:hint="eastAsia"/>
          <w:bCs/>
        </w:rPr>
        <w:t>均未依</w:t>
      </w:r>
      <w:proofErr w:type="gramEnd"/>
      <w:r>
        <w:rPr>
          <w:rFonts w:ascii="標楷體" w:eastAsia="標楷體" w:hAnsi="標楷體" w:hint="eastAsia"/>
          <w:bCs/>
        </w:rPr>
        <w:t>內部控制規定填具動物標本銷毀報告表，而係開立「財產／物品繳庫清冊」替代，惟未依實際作業情形適時檢討相關規定</w:t>
      </w:r>
      <w:proofErr w:type="gramStart"/>
      <w:r>
        <w:rPr>
          <w:rFonts w:ascii="標楷體" w:eastAsia="標楷體" w:hAnsi="標楷體" w:hint="eastAsia"/>
          <w:bCs/>
        </w:rPr>
        <w:t>之允適性</w:t>
      </w:r>
      <w:proofErr w:type="gramEnd"/>
      <w:r>
        <w:rPr>
          <w:rFonts w:ascii="標楷體" w:eastAsia="標楷體" w:hAnsi="標楷體" w:hint="eastAsia"/>
          <w:bCs/>
        </w:rPr>
        <w:t>；（3）該園為強化動物標本典藏作為，已責成獸醫室統一保存奉核之動物死亡處理及樣本留存評估表，</w:t>
      </w:r>
      <w:proofErr w:type="gramStart"/>
      <w:r>
        <w:rPr>
          <w:rFonts w:ascii="標楷體" w:eastAsia="標楷體" w:hAnsi="標楷體" w:hint="eastAsia"/>
          <w:bCs/>
        </w:rPr>
        <w:t>惟間有漏</w:t>
      </w:r>
      <w:proofErr w:type="gramEnd"/>
      <w:r>
        <w:rPr>
          <w:rFonts w:ascii="標楷體" w:eastAsia="標楷體" w:hAnsi="標楷體" w:hint="eastAsia"/>
          <w:bCs/>
        </w:rPr>
        <w:t>未編號管控及收回集中保管情事；（4）該園標本製作人員對於製作不良及</w:t>
      </w:r>
      <w:proofErr w:type="gramStart"/>
      <w:r>
        <w:rPr>
          <w:rFonts w:ascii="標楷體" w:eastAsia="標楷體" w:hAnsi="標楷體" w:hint="eastAsia"/>
          <w:bCs/>
        </w:rPr>
        <w:t>因故棄製之</w:t>
      </w:r>
      <w:proofErr w:type="gramEnd"/>
      <w:r>
        <w:rPr>
          <w:rFonts w:ascii="標楷體" w:eastAsia="標楷體" w:hAnsi="標楷體" w:hint="eastAsia"/>
          <w:bCs/>
        </w:rPr>
        <w:t>樣本，</w:t>
      </w:r>
      <w:proofErr w:type="gramStart"/>
      <w:r>
        <w:rPr>
          <w:rFonts w:ascii="標楷體" w:eastAsia="標楷體" w:hAnsi="標楷體" w:hint="eastAsia"/>
          <w:bCs/>
        </w:rPr>
        <w:t>均未依</w:t>
      </w:r>
      <w:proofErr w:type="gramEnd"/>
      <w:r>
        <w:rPr>
          <w:rFonts w:ascii="標楷體" w:eastAsia="標楷體" w:hAnsi="標楷體" w:hint="eastAsia"/>
          <w:bCs/>
        </w:rPr>
        <w:t>規定於標本</w:t>
      </w:r>
      <w:proofErr w:type="gramStart"/>
      <w:r>
        <w:rPr>
          <w:rFonts w:ascii="標楷體" w:eastAsia="標楷體" w:hAnsi="標楷體" w:hint="eastAsia"/>
          <w:bCs/>
        </w:rPr>
        <w:t>管制簿載明</w:t>
      </w:r>
      <w:proofErr w:type="gramEnd"/>
      <w:r>
        <w:rPr>
          <w:rFonts w:ascii="標楷體" w:eastAsia="標楷體" w:hAnsi="標楷體" w:hint="eastAsia"/>
          <w:bCs/>
        </w:rPr>
        <w:t>未完成及製作不良之原因，並填具相關表單辦理銷毀，內部控制存有疏漏等情事，經函請檢討改善。據復：（1）將</w:t>
      </w:r>
      <w:proofErr w:type="gramStart"/>
      <w:r>
        <w:rPr>
          <w:rFonts w:ascii="標楷體" w:eastAsia="標楷體" w:hAnsi="標楷體" w:hint="eastAsia"/>
          <w:bCs/>
        </w:rPr>
        <w:t>訂定救傷</w:t>
      </w:r>
      <w:proofErr w:type="gramEnd"/>
      <w:r>
        <w:rPr>
          <w:rFonts w:ascii="標楷體" w:eastAsia="標楷體" w:hAnsi="標楷體" w:hint="eastAsia"/>
          <w:bCs/>
        </w:rPr>
        <w:t>野生動物死亡屍體處理規範，並將優化動物管理系統功能，將類此動物死亡資料確實匯出焚化清冊上；另將修正標本管理作業程序規定，明定相關表格應清楚標示留存或須銷毀動物屍體部位，以杜動物屍體遺失風險；（2）將依規定</w:t>
      </w:r>
      <w:proofErr w:type="gramStart"/>
      <w:r>
        <w:rPr>
          <w:rFonts w:ascii="標楷體" w:eastAsia="標楷體" w:hAnsi="標楷體" w:hint="eastAsia"/>
          <w:bCs/>
        </w:rPr>
        <w:t>研</w:t>
      </w:r>
      <w:proofErr w:type="gramEnd"/>
      <w:r>
        <w:rPr>
          <w:rFonts w:ascii="標楷體" w:eastAsia="標楷體" w:hAnsi="標楷體" w:hint="eastAsia"/>
          <w:bCs/>
        </w:rPr>
        <w:t>擬動物標本銷毀報告表，</w:t>
      </w:r>
      <w:proofErr w:type="gramStart"/>
      <w:r>
        <w:rPr>
          <w:rFonts w:ascii="標楷體" w:eastAsia="標楷體" w:hAnsi="標楷體" w:hint="eastAsia"/>
          <w:bCs/>
        </w:rPr>
        <w:t>俾</w:t>
      </w:r>
      <w:proofErr w:type="gramEnd"/>
      <w:r>
        <w:rPr>
          <w:rFonts w:ascii="標楷體" w:eastAsia="標楷體" w:hAnsi="標楷體" w:hint="eastAsia"/>
          <w:bCs/>
        </w:rPr>
        <w:t>利所屬</w:t>
      </w:r>
      <w:proofErr w:type="gramStart"/>
      <w:r>
        <w:rPr>
          <w:rFonts w:ascii="標楷體" w:eastAsia="標楷體" w:hAnsi="標楷體" w:hint="eastAsia"/>
          <w:bCs/>
        </w:rPr>
        <w:t>遵</w:t>
      </w:r>
      <w:proofErr w:type="gramEnd"/>
      <w:r>
        <w:rPr>
          <w:rFonts w:ascii="標楷體" w:eastAsia="標楷體" w:hAnsi="標楷體" w:hint="eastAsia"/>
          <w:bCs/>
        </w:rPr>
        <w:t>辦；（3）爾後獸醫室對於奉核之動物死亡處理及樣本留存評估表，將確實編號並妥善保管；（4）將要求標本製作人員確實依規定於標本</w:t>
      </w:r>
      <w:proofErr w:type="gramStart"/>
      <w:r>
        <w:rPr>
          <w:rFonts w:ascii="標楷體" w:eastAsia="標楷體" w:hAnsi="標楷體" w:hint="eastAsia"/>
          <w:bCs/>
        </w:rPr>
        <w:t>管制簿載明</w:t>
      </w:r>
      <w:proofErr w:type="gramEnd"/>
      <w:r>
        <w:rPr>
          <w:rFonts w:ascii="標楷體" w:eastAsia="標楷體" w:hAnsi="標楷體" w:hint="eastAsia"/>
          <w:bCs/>
        </w:rPr>
        <w:t>製作不良或因故棄置樣本原因，並填具動物標本銷毀報告表辦理銷毀，落實內部控制。</w:t>
      </w:r>
    </w:p>
    <w:p w14:paraId="525905F2" w14:textId="77777777" w:rsidR="008B713D" w:rsidRDefault="008B713D" w:rsidP="00552CAC">
      <w:pPr>
        <w:pStyle w:val="04"/>
        <w:widowControl w:val="0"/>
        <w:suppressAutoHyphens w:val="0"/>
        <w:spacing w:beforeLines="50" w:before="180"/>
        <w:ind w:firstLine="280"/>
        <w:rPr>
          <w:szCs w:val="28"/>
        </w:rPr>
      </w:pPr>
      <w:r>
        <w:rPr>
          <w:rFonts w:hint="eastAsia"/>
          <w:szCs w:val="28"/>
        </w:rPr>
        <w:t>（七）市立圖書館為持續提高市民之閱讀風氣，陸續開辦超商借書及電子報紙雜誌閱讀等服務，惟列管會員資料核有錯漏，且電子書刊資源借閱率有逐年降低等情，亟待檢討改善，以維民眾權益及提升公物使用效能。</w:t>
      </w:r>
    </w:p>
    <w:p w14:paraId="38067B2C" w14:textId="77777777" w:rsidR="002123DE" w:rsidRDefault="008B713D" w:rsidP="00553180">
      <w:pPr>
        <w:spacing w:line="448" w:lineRule="exact"/>
        <w:ind w:firstLineChars="200" w:firstLine="480"/>
        <w:jc w:val="both"/>
        <w:rPr>
          <w:rFonts w:ascii="標楷體" w:eastAsia="標楷體" w:hAnsi="標楷體"/>
          <w:spacing w:val="-2"/>
          <w:szCs w:val="24"/>
        </w:rPr>
      </w:pPr>
      <w:r>
        <w:rPr>
          <w:rFonts w:ascii="標楷體" w:eastAsia="標楷體" w:hAnsi="標楷體" w:hint="eastAsia"/>
          <w:szCs w:val="24"/>
        </w:rPr>
        <w:t>市立圖書館為持續提高臺北市民之閱讀風氣並配合市府E化政策，分別自105年及110年起提供超商借書及導入場域式電子報紙雜誌閱讀等服務，截至113年12月底止，超商借書服務會員計有7,152人，</w:t>
      </w:r>
      <w:proofErr w:type="gramStart"/>
      <w:r>
        <w:rPr>
          <w:rFonts w:ascii="標楷體" w:eastAsia="標楷體" w:hAnsi="標楷體" w:hint="eastAsia"/>
          <w:szCs w:val="24"/>
        </w:rPr>
        <w:t>113</w:t>
      </w:r>
      <w:proofErr w:type="gramEnd"/>
      <w:r>
        <w:rPr>
          <w:rFonts w:ascii="標楷體" w:eastAsia="標楷體" w:hAnsi="標楷體" w:hint="eastAsia"/>
          <w:szCs w:val="24"/>
        </w:rPr>
        <w:t>年度借書包裹為3,842件、圖書共計15,803冊；另平均每年約花費120萬元，採購「Hami書城</w:t>
      </w:r>
      <w:r>
        <w:rPr>
          <w:rFonts w:ascii="標楷體" w:eastAsia="標楷體" w:hAnsi="標楷體" w:hint="eastAsia"/>
          <w:szCs w:val="24"/>
        </w:rPr>
        <w:softHyphen/>
      </w:r>
      <w:r>
        <w:rPr>
          <w:rFonts w:ascii="標楷體" w:eastAsia="標楷體" w:hAnsi="標楷體" w:hint="eastAsia"/>
          <w:szCs w:val="24"/>
        </w:rPr>
        <w:softHyphen/>
        <w:t>－數位書報雜誌閱讀服務」（下稱Hami書城），於12個</w:t>
      </w:r>
      <w:proofErr w:type="gramStart"/>
      <w:r>
        <w:rPr>
          <w:rFonts w:ascii="標楷體" w:eastAsia="標楷體" w:hAnsi="標楷體" w:hint="eastAsia"/>
          <w:szCs w:val="24"/>
        </w:rPr>
        <w:t>行政區各擇1間</w:t>
      </w:r>
      <w:proofErr w:type="gramEnd"/>
      <w:r>
        <w:rPr>
          <w:rFonts w:ascii="標楷體" w:eastAsia="標楷體" w:hAnsi="標楷體" w:hint="eastAsia"/>
          <w:szCs w:val="24"/>
        </w:rPr>
        <w:t>分館辦理，以提供到館讀者使用電子書刊資源，並於</w:t>
      </w:r>
      <w:proofErr w:type="gramStart"/>
      <w:r>
        <w:rPr>
          <w:rFonts w:ascii="標楷體" w:eastAsia="標楷體" w:hAnsi="標楷體" w:hint="eastAsia"/>
          <w:szCs w:val="24"/>
        </w:rPr>
        <w:t>113</w:t>
      </w:r>
      <w:proofErr w:type="gramEnd"/>
      <w:r>
        <w:rPr>
          <w:rFonts w:ascii="標楷體" w:eastAsia="標楷體" w:hAnsi="標楷體" w:hint="eastAsia"/>
          <w:szCs w:val="24"/>
        </w:rPr>
        <w:t>年度全面開通該館讀者</w:t>
      </w:r>
      <w:proofErr w:type="gramStart"/>
      <w:r>
        <w:rPr>
          <w:rFonts w:ascii="標楷體" w:eastAsia="標楷體" w:hAnsi="標楷體" w:hint="eastAsia"/>
          <w:szCs w:val="24"/>
        </w:rPr>
        <w:t>不限場域</w:t>
      </w:r>
      <w:proofErr w:type="gramEnd"/>
      <w:r>
        <w:rPr>
          <w:rFonts w:ascii="標楷體" w:eastAsia="標楷體" w:hAnsi="標楷體" w:hint="eastAsia"/>
          <w:szCs w:val="24"/>
        </w:rPr>
        <w:t>以</w:t>
      </w:r>
      <w:proofErr w:type="gramStart"/>
      <w:r>
        <w:rPr>
          <w:rFonts w:ascii="標楷體" w:eastAsia="標楷體" w:hAnsi="標楷體" w:hint="eastAsia"/>
          <w:szCs w:val="24"/>
        </w:rPr>
        <w:t>借閱證號</w:t>
      </w:r>
      <w:proofErr w:type="gramEnd"/>
      <w:r>
        <w:rPr>
          <w:rFonts w:ascii="標楷體" w:eastAsia="標楷體" w:hAnsi="標楷體" w:hint="eastAsia"/>
          <w:szCs w:val="24"/>
        </w:rPr>
        <w:t>登入使用功能，拓展數位閱讀服務範圍。經查該館辦理前開業務情形，核有：1.依</w:t>
      </w:r>
      <w:r>
        <w:rPr>
          <w:rFonts w:ascii="標楷體" w:eastAsia="標楷體" w:hAnsi="標楷體" w:hint="eastAsia"/>
        </w:rPr>
        <w:t>該館公告超商借書服務說明，凡持有該館</w:t>
      </w:r>
      <w:r>
        <w:rPr>
          <w:rFonts w:ascii="標楷體" w:eastAsia="標楷體" w:hAnsi="標楷體" w:hint="eastAsia"/>
          <w:szCs w:val="24"/>
        </w:rPr>
        <w:t>個人</w:t>
      </w:r>
      <w:proofErr w:type="gramStart"/>
      <w:r>
        <w:rPr>
          <w:rFonts w:ascii="標楷體" w:eastAsia="標楷體" w:hAnsi="標楷體" w:hint="eastAsia"/>
          <w:szCs w:val="24"/>
        </w:rPr>
        <w:t>借閱證者</w:t>
      </w:r>
      <w:proofErr w:type="gramEnd"/>
      <w:r>
        <w:rPr>
          <w:rFonts w:ascii="標楷體" w:eastAsia="標楷體" w:hAnsi="標楷體" w:hint="eastAsia"/>
          <w:szCs w:val="24"/>
        </w:rPr>
        <w:t>，均可申辦超商借書服務會員，並應繳交保證金200元，作為未至超商領取圖書包裹之退貨運費。</w:t>
      </w:r>
      <w:r>
        <w:rPr>
          <w:rFonts w:ascii="標楷體" w:eastAsia="標楷體" w:hAnsi="標楷體" w:hint="eastAsia"/>
          <w:szCs w:val="24"/>
          <w:lang w:eastAsia="zh-HK"/>
        </w:rPr>
        <w:t>截</w:t>
      </w:r>
      <w:r>
        <w:rPr>
          <w:rFonts w:ascii="標楷體" w:eastAsia="標楷體" w:hAnsi="標楷體" w:hint="eastAsia"/>
          <w:szCs w:val="24"/>
        </w:rPr>
        <w:t>至113年8月底止，該館圖書自動化管理系統列管超商借書會員7,069筆、相關保證金餘額為143萬餘元，惟因該管理系統於111年間進</w:t>
      </w:r>
      <w:r>
        <w:rPr>
          <w:rFonts w:ascii="標楷體" w:eastAsia="標楷體" w:hAnsi="標楷體" w:hint="eastAsia"/>
          <w:spacing w:val="-2"/>
          <w:szCs w:val="24"/>
        </w:rPr>
        <w:t>行改版作業時，未完整匯入超商借書會員資料，復於系統開通後間有重複修正該服務會員資料等，致該管理系統結存超商借書會員保證金餘額，較該館8月份會計報告帳列數，差短1萬餘元，其中甚有2位會員之保證金餘額發生負數等異常狀況；2.該館自113年1月全面開放讀者於館內外借閱使用Hami書城電子書刊資源後，民眾借閱率雖自1月之1千人次逐月成長至8月約2千人次，惟累計1萬3,424人次登入使用，僅占圖書總辦證數304萬668人之0.44％，且到館民眾使</w:t>
      </w:r>
    </w:p>
    <w:p w14:paraId="3C45E769" w14:textId="51014024" w:rsidR="008B713D" w:rsidRDefault="008B713D" w:rsidP="002123DE">
      <w:pPr>
        <w:spacing w:line="450" w:lineRule="exact"/>
        <w:jc w:val="both"/>
        <w:rPr>
          <w:rFonts w:ascii="標楷體" w:eastAsia="標楷體" w:hAnsi="標楷體"/>
          <w:szCs w:val="24"/>
        </w:rPr>
      </w:pPr>
      <w:r>
        <w:rPr>
          <w:rFonts w:ascii="標楷體" w:eastAsia="標楷體" w:hAnsi="標楷體" w:hint="eastAsia"/>
          <w:spacing w:val="-2"/>
          <w:szCs w:val="24"/>
        </w:rPr>
        <w:lastRenderedPageBreak/>
        <w:t>用Hami書城之比率為3.39％，亦較</w:t>
      </w:r>
      <w:proofErr w:type="gramStart"/>
      <w:r>
        <w:rPr>
          <w:rFonts w:ascii="標楷體" w:eastAsia="標楷體" w:hAnsi="標楷體" w:hint="eastAsia"/>
          <w:spacing w:val="-2"/>
          <w:szCs w:val="24"/>
        </w:rPr>
        <w:t>111</w:t>
      </w:r>
      <w:proofErr w:type="gramEnd"/>
      <w:r>
        <w:rPr>
          <w:rFonts w:ascii="標楷體" w:eastAsia="標楷體" w:hAnsi="標楷體" w:hint="eastAsia"/>
          <w:spacing w:val="-2"/>
          <w:szCs w:val="24"/>
        </w:rPr>
        <w:t>年度之4.31％及</w:t>
      </w:r>
      <w:proofErr w:type="gramStart"/>
      <w:r>
        <w:rPr>
          <w:rFonts w:ascii="標楷體" w:eastAsia="標楷體" w:hAnsi="標楷體" w:hint="eastAsia"/>
          <w:spacing w:val="-2"/>
          <w:szCs w:val="24"/>
        </w:rPr>
        <w:t>112</w:t>
      </w:r>
      <w:proofErr w:type="gramEnd"/>
      <w:r>
        <w:rPr>
          <w:rFonts w:ascii="標楷體" w:eastAsia="標楷體" w:hAnsi="標楷體" w:hint="eastAsia"/>
          <w:spacing w:val="-2"/>
          <w:szCs w:val="24"/>
        </w:rPr>
        <w:t>年度之3.72％下滑等情事，經函請</w:t>
      </w:r>
      <w:proofErr w:type="gramStart"/>
      <w:r>
        <w:rPr>
          <w:rFonts w:ascii="標楷體" w:eastAsia="標楷體" w:hAnsi="標楷體" w:hint="eastAsia"/>
          <w:spacing w:val="-2"/>
          <w:szCs w:val="24"/>
        </w:rPr>
        <w:t>研</w:t>
      </w:r>
      <w:proofErr w:type="gramEnd"/>
      <w:r>
        <w:rPr>
          <w:rFonts w:ascii="標楷體" w:eastAsia="標楷體" w:hAnsi="標楷體" w:hint="eastAsia"/>
          <w:spacing w:val="-2"/>
          <w:szCs w:val="24"/>
        </w:rPr>
        <w:t>謀改善。據復：1.已逐筆清查讀者匯款、扣款及退會紀錄，並輔以舊圖書自動化系統之讀者備份</w:t>
      </w:r>
      <w:proofErr w:type="gramStart"/>
      <w:r>
        <w:rPr>
          <w:rFonts w:ascii="標楷體" w:eastAsia="標楷體" w:hAnsi="標楷體" w:hint="eastAsia"/>
          <w:spacing w:val="-2"/>
          <w:szCs w:val="24"/>
        </w:rPr>
        <w:t>資料勾核結果</w:t>
      </w:r>
      <w:proofErr w:type="gramEnd"/>
      <w:r>
        <w:rPr>
          <w:rFonts w:ascii="標楷體" w:eastAsia="標楷體" w:hAnsi="標楷體" w:hint="eastAsia"/>
          <w:spacing w:val="-2"/>
          <w:szCs w:val="24"/>
        </w:rPr>
        <w:t>，業補正38位會員清單、刪除23位無保證金匯款紀錄之會員名單及22位亡故會員；嗣後將</w:t>
      </w:r>
      <w:r>
        <w:rPr>
          <w:rFonts w:ascii="標楷體" w:eastAsia="標楷體" w:hAnsi="標楷體" w:hint="eastAsia"/>
          <w:spacing w:val="-2"/>
        </w:rPr>
        <w:t>加強</w:t>
      </w:r>
      <w:r>
        <w:rPr>
          <w:rFonts w:ascii="標楷體" w:eastAsia="標楷體" w:hAnsi="標楷體" w:hint="eastAsia"/>
          <w:spacing w:val="-2"/>
          <w:szCs w:val="24"/>
        </w:rPr>
        <w:t>館員教育訓練，並已於內部網站重申超商借書會員開通處理流程，以避免後續帳</w:t>
      </w:r>
      <w:proofErr w:type="gramStart"/>
      <w:r>
        <w:rPr>
          <w:rFonts w:ascii="標楷體" w:eastAsia="標楷體" w:hAnsi="標楷體" w:hint="eastAsia"/>
          <w:spacing w:val="-2"/>
          <w:szCs w:val="24"/>
        </w:rPr>
        <w:t>務</w:t>
      </w:r>
      <w:proofErr w:type="gramEnd"/>
      <w:r>
        <w:rPr>
          <w:rFonts w:ascii="標楷體" w:eastAsia="標楷體" w:hAnsi="標楷體" w:hint="eastAsia"/>
          <w:spacing w:val="-2"/>
          <w:szCs w:val="24"/>
        </w:rPr>
        <w:t>問題；2.為提升Hami書城電子書使用率，該館已於113年10月至114年2月間申請臺北市公車候車亭公益廣告版面，及於人潮眾多之</w:t>
      </w:r>
      <w:proofErr w:type="gramStart"/>
      <w:r>
        <w:rPr>
          <w:rFonts w:ascii="標楷體" w:eastAsia="標楷體" w:hAnsi="標楷體" w:hint="eastAsia"/>
          <w:spacing w:val="-2"/>
          <w:szCs w:val="24"/>
        </w:rPr>
        <w:t>臺</w:t>
      </w:r>
      <w:proofErr w:type="gramEnd"/>
      <w:r>
        <w:rPr>
          <w:rFonts w:ascii="標楷體" w:eastAsia="標楷體" w:hAnsi="標楷體" w:hint="eastAsia"/>
          <w:spacing w:val="-2"/>
          <w:szCs w:val="24"/>
        </w:rPr>
        <w:t>北車站候車亭刊登Hami電子書介紹，增進該電子資源能見度，並透過異業合作方式加強宣傳，後續亦將持續規劃相關推廣活動，以提升使用效能。</w:t>
      </w:r>
    </w:p>
    <w:p w14:paraId="60CB8075" w14:textId="77777777" w:rsidR="008B713D" w:rsidRDefault="008B713D" w:rsidP="00343BE6">
      <w:pPr>
        <w:pStyle w:val="04"/>
        <w:widowControl w:val="0"/>
        <w:suppressAutoHyphens w:val="0"/>
        <w:spacing w:beforeLines="50" w:before="180"/>
        <w:ind w:firstLine="280"/>
        <w:rPr>
          <w:szCs w:val="28"/>
        </w:rPr>
      </w:pPr>
      <w:bookmarkStart w:id="43" w:name="_Hlk198980195"/>
      <w:r>
        <w:rPr>
          <w:rFonts w:hint="eastAsia"/>
          <w:szCs w:val="28"/>
        </w:rPr>
        <w:t>（八）為培育學生</w:t>
      </w:r>
      <w:proofErr w:type="gramStart"/>
      <w:r>
        <w:rPr>
          <w:rFonts w:hint="eastAsia"/>
          <w:szCs w:val="28"/>
        </w:rPr>
        <w:t>創新跨域素養</w:t>
      </w:r>
      <w:proofErr w:type="gramEnd"/>
      <w:r>
        <w:rPr>
          <w:rFonts w:hint="eastAsia"/>
          <w:szCs w:val="28"/>
        </w:rPr>
        <w:t>能力，全國首創成立學前及全學層STEAM教育專責單位，</w:t>
      </w:r>
      <w:proofErr w:type="gramStart"/>
      <w:r>
        <w:rPr>
          <w:rFonts w:hint="eastAsia"/>
          <w:szCs w:val="28"/>
        </w:rPr>
        <w:t>惟間有計畫</w:t>
      </w:r>
      <w:proofErr w:type="gramEnd"/>
      <w:r>
        <w:rPr>
          <w:rFonts w:hint="eastAsia"/>
          <w:szCs w:val="28"/>
        </w:rPr>
        <w:t>未及核定並執行，致部分已建置完成之教學場域及設備使用率偏低，</w:t>
      </w:r>
      <w:proofErr w:type="gramStart"/>
      <w:r>
        <w:rPr>
          <w:rFonts w:hint="eastAsia"/>
          <w:szCs w:val="28"/>
        </w:rPr>
        <w:t>或未衡平</w:t>
      </w:r>
      <w:proofErr w:type="gramEnd"/>
      <w:r>
        <w:rPr>
          <w:rFonts w:hint="eastAsia"/>
          <w:szCs w:val="28"/>
        </w:rPr>
        <w:t>發展各行政區幼兒STEAM教育等情，亟待檢討改善。</w:t>
      </w:r>
    </w:p>
    <w:bookmarkEnd w:id="43"/>
    <w:p w14:paraId="7763F6D5" w14:textId="77777777" w:rsidR="002123DE" w:rsidRDefault="008B713D" w:rsidP="00C35CDE">
      <w:pPr>
        <w:spacing w:line="420" w:lineRule="exact"/>
        <w:ind w:firstLineChars="200" w:firstLine="480"/>
        <w:jc w:val="both"/>
        <w:rPr>
          <w:rFonts w:ascii="標楷體" w:eastAsia="標楷體" w:hAnsi="標楷體"/>
          <w:spacing w:val="-4"/>
        </w:rPr>
      </w:pPr>
      <w:r>
        <w:rPr>
          <w:rFonts w:hint="eastAsia"/>
          <w:noProof/>
        </w:rPr>
        <mc:AlternateContent>
          <mc:Choice Requires="wps">
            <w:drawing>
              <wp:anchor distT="45720" distB="45720" distL="114300" distR="114300" simplePos="0" relativeHeight="251701248" behindDoc="1" locked="0" layoutInCell="1" allowOverlap="1" wp14:anchorId="4B1763BF" wp14:editId="23594B3E">
                <wp:simplePos x="0" y="0"/>
                <wp:positionH relativeFrom="column">
                  <wp:posOffset>4813935</wp:posOffset>
                </wp:positionH>
                <wp:positionV relativeFrom="paragraph">
                  <wp:posOffset>3050911</wp:posOffset>
                </wp:positionV>
                <wp:extent cx="1547495" cy="2846717"/>
                <wp:effectExtent l="0" t="0" r="0" b="0"/>
                <wp:wrapSquare wrapText="bothSides"/>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7495" cy="2846717"/>
                        </a:xfrm>
                        <a:prstGeom prst="rect">
                          <a:avLst/>
                        </a:prstGeom>
                        <a:solidFill>
                          <a:srgbClr val="FFFFFF"/>
                        </a:solidFill>
                        <a:ln w="9525">
                          <a:noFill/>
                          <a:miter lim="800000"/>
                          <a:headEnd/>
                          <a:tailEnd/>
                        </a:ln>
                      </wps:spPr>
                      <wps:txbx>
                        <w:txbxContent>
                          <w:tbl>
                            <w:tblPr>
                              <w:tblStyle w:val="a6"/>
                              <w:tblW w:w="0" w:type="auto"/>
                              <w:tblLook w:val="04A0" w:firstRow="1" w:lastRow="0" w:firstColumn="1" w:lastColumn="0" w:noHBand="0" w:noVBand="1"/>
                            </w:tblPr>
                            <w:tblGrid>
                              <w:gridCol w:w="1276"/>
                              <w:gridCol w:w="851"/>
                            </w:tblGrid>
                            <w:tr w:rsidR="008B713D" w14:paraId="5C5B4E07" w14:textId="77777777">
                              <w:tc>
                                <w:tcPr>
                                  <w:tcW w:w="2127" w:type="dxa"/>
                                  <w:gridSpan w:val="2"/>
                                  <w:tcBorders>
                                    <w:top w:val="nil"/>
                                    <w:left w:val="nil"/>
                                    <w:bottom w:val="single" w:sz="4" w:space="0" w:color="auto"/>
                                    <w:right w:val="nil"/>
                                  </w:tcBorders>
                                  <w:hideMark/>
                                </w:tcPr>
                                <w:p w14:paraId="464EE95C" w14:textId="6209B46E" w:rsidR="008B713D" w:rsidRPr="00C35CDE" w:rsidRDefault="008B713D" w:rsidP="00B16C88">
                                  <w:pPr>
                                    <w:spacing w:line="220" w:lineRule="exact"/>
                                    <w:ind w:leftChars="-45" w:left="452" w:rightChars="-45" w:right="-108" w:hangingChars="274" w:hanging="560"/>
                                    <w:jc w:val="both"/>
                                    <w:rPr>
                                      <w:sz w:val="24"/>
                                      <w:szCs w:val="24"/>
                                    </w:rPr>
                                  </w:pPr>
                                  <w:r w:rsidRPr="00C35CDE">
                                    <w:rPr>
                                      <w:rFonts w:ascii="標楷體" w:eastAsia="標楷體" w:hAnsi="標楷體" w:hint="eastAsia"/>
                                      <w:b/>
                                      <w:spacing w:val="-18"/>
                                      <w:sz w:val="24"/>
                                      <w:szCs w:val="24"/>
                                    </w:rPr>
                                    <w:t xml:space="preserve">表7　</w:t>
                                  </w:r>
                                  <w:r w:rsidR="00CF1B20">
                                    <w:rPr>
                                      <w:rFonts w:ascii="標楷體" w:eastAsia="標楷體" w:hAnsi="標楷體" w:hint="eastAsia"/>
                                      <w:b/>
                                      <w:spacing w:val="-18"/>
                                      <w:sz w:val="24"/>
                                      <w:szCs w:val="24"/>
                                    </w:rPr>
                                    <w:t>截至</w:t>
                                  </w:r>
                                  <w:r w:rsidRPr="00C35CDE">
                                    <w:rPr>
                                      <w:rFonts w:ascii="標楷體" w:eastAsia="標楷體" w:hAnsi="標楷體" w:hint="eastAsia"/>
                                      <w:b/>
                                      <w:bCs/>
                                      <w:color w:val="000000"/>
                                      <w:spacing w:val="-4"/>
                                      <w:sz w:val="24"/>
                                      <w:szCs w:val="24"/>
                                    </w:rPr>
                                    <w:t>113年</w:t>
                                  </w:r>
                                  <w:r w:rsidR="000A3F4E">
                                    <w:rPr>
                                      <w:rFonts w:ascii="標楷體" w:eastAsia="標楷體" w:hAnsi="標楷體" w:hint="eastAsia"/>
                                      <w:b/>
                                      <w:bCs/>
                                      <w:color w:val="000000"/>
                                      <w:spacing w:val="-4"/>
                                      <w:sz w:val="24"/>
                                      <w:szCs w:val="24"/>
                                    </w:rPr>
                                    <w:t>底</w:t>
                                  </w:r>
                                  <w:r w:rsidRPr="00C35CDE">
                                    <w:rPr>
                                      <w:rFonts w:ascii="標楷體" w:eastAsia="標楷體" w:hAnsi="標楷體" w:hint="eastAsia"/>
                                      <w:b/>
                                      <w:bCs/>
                                      <w:color w:val="000000"/>
                                      <w:spacing w:val="-4"/>
                                      <w:sz w:val="24"/>
                                      <w:szCs w:val="24"/>
                                    </w:rPr>
                                    <w:t>20所</w:t>
                                  </w:r>
                                  <w:r w:rsidRPr="00C35CDE">
                                    <w:rPr>
                                      <w:rFonts w:ascii="標楷體" w:eastAsia="標楷體" w:hAnsi="標楷體" w:hint="eastAsia"/>
                                      <w:b/>
                                      <w:bCs/>
                                      <w:color w:val="000000"/>
                                      <w:spacing w:val="-10"/>
                                      <w:sz w:val="24"/>
                                      <w:szCs w:val="24"/>
                                    </w:rPr>
                                    <w:t>幼兒STEAM</w:t>
                                  </w:r>
                                  <w:r w:rsidRPr="00C35CDE">
                                    <w:rPr>
                                      <w:rFonts w:ascii="標楷體" w:eastAsia="標楷體" w:hAnsi="標楷體" w:hint="eastAsia"/>
                                      <w:b/>
                                      <w:bCs/>
                                      <w:color w:val="000000"/>
                                      <w:sz w:val="24"/>
                                      <w:szCs w:val="24"/>
                                    </w:rPr>
                                    <w:t>基地園所在行政區分布情形</w:t>
                                  </w:r>
                                </w:p>
                              </w:tc>
                            </w:tr>
                            <w:tr w:rsidR="008B713D" w14:paraId="25971C86" w14:textId="77777777">
                              <w:tc>
                                <w:tcPr>
                                  <w:tcW w:w="1276" w:type="dxa"/>
                                  <w:tcBorders>
                                    <w:top w:val="single" w:sz="4" w:space="0" w:color="auto"/>
                                    <w:left w:val="single" w:sz="4" w:space="0" w:color="auto"/>
                                    <w:bottom w:val="single" w:sz="4" w:space="0" w:color="auto"/>
                                    <w:right w:val="single" w:sz="4" w:space="0" w:color="auto"/>
                                  </w:tcBorders>
                                  <w:hideMark/>
                                </w:tcPr>
                                <w:p w14:paraId="35CD5A0E" w14:textId="77777777" w:rsidR="008B713D" w:rsidRDefault="008B713D">
                                  <w:pPr>
                                    <w:spacing w:line="220" w:lineRule="exact"/>
                                    <w:ind w:hanging="108"/>
                                    <w:jc w:val="center"/>
                                  </w:pPr>
                                  <w:r>
                                    <w:rPr>
                                      <w:rFonts w:ascii="標楷體" w:eastAsia="標楷體" w:hAnsi="標楷體" w:hint="eastAsia"/>
                                      <w:color w:val="000000"/>
                                    </w:rPr>
                                    <w:t>行政區</w:t>
                                  </w:r>
                                </w:p>
                              </w:tc>
                              <w:tc>
                                <w:tcPr>
                                  <w:tcW w:w="851" w:type="dxa"/>
                                  <w:tcBorders>
                                    <w:top w:val="single" w:sz="4" w:space="0" w:color="auto"/>
                                    <w:left w:val="single" w:sz="4" w:space="0" w:color="auto"/>
                                    <w:bottom w:val="single" w:sz="4" w:space="0" w:color="auto"/>
                                    <w:right w:val="single" w:sz="4" w:space="0" w:color="auto"/>
                                  </w:tcBorders>
                                  <w:hideMark/>
                                </w:tcPr>
                                <w:p w14:paraId="22049A10" w14:textId="77777777" w:rsidR="008B713D" w:rsidRDefault="008B713D">
                                  <w:pPr>
                                    <w:spacing w:line="220" w:lineRule="exact"/>
                                    <w:jc w:val="center"/>
                                  </w:pPr>
                                  <w:r>
                                    <w:rPr>
                                      <w:rFonts w:ascii="標楷體" w:eastAsia="標楷體" w:hAnsi="標楷體" w:hint="eastAsia"/>
                                      <w:color w:val="000000"/>
                                    </w:rPr>
                                    <w:t>所數</w:t>
                                  </w:r>
                                </w:p>
                              </w:tc>
                            </w:tr>
                            <w:tr w:rsidR="008B713D" w14:paraId="4F8052AE"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312E09D0" w14:textId="77777777" w:rsidR="008B713D" w:rsidRDefault="008B713D">
                                  <w:pPr>
                                    <w:spacing w:line="220" w:lineRule="exact"/>
                                    <w:jc w:val="center"/>
                                  </w:pPr>
                                  <w:r>
                                    <w:rPr>
                                      <w:rFonts w:ascii="標楷體" w:eastAsia="標楷體" w:hAnsi="標楷體" w:hint="eastAsia"/>
                                      <w:b/>
                                      <w:bCs/>
                                      <w:color w:val="000000"/>
                                    </w:rPr>
                                    <w:t>合計</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3B2ED4" w14:textId="77777777" w:rsidR="008B713D" w:rsidRDefault="008B713D">
                                  <w:pPr>
                                    <w:spacing w:line="220" w:lineRule="exact"/>
                                    <w:jc w:val="center"/>
                                  </w:pPr>
                                  <w:r>
                                    <w:rPr>
                                      <w:rFonts w:ascii="標楷體" w:eastAsia="標楷體" w:hAnsi="標楷體" w:hint="eastAsia"/>
                                      <w:b/>
                                      <w:bCs/>
                                      <w:color w:val="000000"/>
                                    </w:rPr>
                                    <w:t>20</w:t>
                                  </w:r>
                                </w:p>
                              </w:tc>
                            </w:tr>
                            <w:tr w:rsidR="008B713D" w14:paraId="7AD5E5FE"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08F0CAFC" w14:textId="77777777" w:rsidR="008B713D" w:rsidRDefault="008B713D">
                                  <w:pPr>
                                    <w:spacing w:line="220" w:lineRule="exact"/>
                                    <w:jc w:val="center"/>
                                  </w:pPr>
                                  <w:r>
                                    <w:rPr>
                                      <w:rFonts w:ascii="標楷體" w:eastAsia="標楷體" w:hAnsi="標楷體" w:hint="eastAsia"/>
                                      <w:color w:val="000000"/>
                                    </w:rPr>
                                    <w:t>中山區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A7DCFF" w14:textId="77777777" w:rsidR="008B713D" w:rsidRDefault="008B713D">
                                  <w:pPr>
                                    <w:spacing w:line="220" w:lineRule="exact"/>
                                    <w:jc w:val="center"/>
                                  </w:pPr>
                                  <w:r>
                                    <w:rPr>
                                      <w:rFonts w:ascii="標楷體" w:eastAsia="標楷體" w:hAnsi="標楷體" w:hint="eastAsia"/>
                                      <w:color w:val="000000"/>
                                    </w:rPr>
                                    <w:t>4</w:t>
                                  </w:r>
                                </w:p>
                              </w:tc>
                            </w:tr>
                            <w:tr w:rsidR="008B713D" w14:paraId="5CC03CF8"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7AE54CC9" w14:textId="77777777" w:rsidR="008B713D" w:rsidRDefault="008B713D">
                                  <w:pPr>
                                    <w:spacing w:line="220" w:lineRule="exact"/>
                                    <w:jc w:val="center"/>
                                  </w:pPr>
                                  <w:r>
                                    <w:rPr>
                                      <w:rFonts w:ascii="標楷體" w:eastAsia="標楷體" w:hAnsi="標楷體" w:hint="eastAsia"/>
                                      <w:color w:val="000000"/>
                                    </w:rPr>
                                    <w:t>大安區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BFC39D" w14:textId="77777777" w:rsidR="008B713D" w:rsidRDefault="008B713D">
                                  <w:pPr>
                                    <w:spacing w:line="220" w:lineRule="exact"/>
                                    <w:jc w:val="center"/>
                                  </w:pPr>
                                  <w:r>
                                    <w:rPr>
                                      <w:rFonts w:ascii="標楷體" w:eastAsia="標楷體" w:hAnsi="標楷體" w:hint="eastAsia"/>
                                      <w:color w:val="000000"/>
                                    </w:rPr>
                                    <w:t>3</w:t>
                                  </w:r>
                                </w:p>
                              </w:tc>
                            </w:tr>
                            <w:tr w:rsidR="008B713D" w14:paraId="3F7AA0C3"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55EFD540" w14:textId="77777777" w:rsidR="008B713D" w:rsidRDefault="008B713D">
                                  <w:pPr>
                                    <w:spacing w:line="220" w:lineRule="exact"/>
                                    <w:jc w:val="center"/>
                                  </w:pPr>
                                  <w:r>
                                    <w:rPr>
                                      <w:rFonts w:ascii="標楷體" w:eastAsia="標楷體" w:hAnsi="標楷體" w:hint="eastAsia"/>
                                      <w:color w:val="000000"/>
                                    </w:rPr>
                                    <w:t>中正區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D4EC50" w14:textId="77777777" w:rsidR="008B713D" w:rsidRDefault="008B713D">
                                  <w:pPr>
                                    <w:spacing w:line="220" w:lineRule="exact"/>
                                    <w:jc w:val="center"/>
                                  </w:pPr>
                                  <w:r>
                                    <w:rPr>
                                      <w:rFonts w:ascii="標楷體" w:eastAsia="標楷體" w:hAnsi="標楷體" w:hint="eastAsia"/>
                                      <w:color w:val="000000"/>
                                    </w:rPr>
                                    <w:t>2</w:t>
                                  </w:r>
                                </w:p>
                              </w:tc>
                            </w:tr>
                            <w:tr w:rsidR="008B713D" w14:paraId="20E187A0"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5E7641AA" w14:textId="77777777" w:rsidR="008B713D" w:rsidRDefault="008B713D">
                                  <w:pPr>
                                    <w:spacing w:line="220" w:lineRule="exact"/>
                                    <w:jc w:val="center"/>
                                  </w:pPr>
                                  <w:r>
                                    <w:rPr>
                                      <w:rFonts w:ascii="標楷體" w:eastAsia="標楷體" w:hAnsi="標楷體" w:hint="eastAsia"/>
                                      <w:color w:val="000000"/>
                                    </w:rPr>
                                    <w:t>內湖區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C1F504" w14:textId="77777777" w:rsidR="008B713D" w:rsidRDefault="008B713D">
                                  <w:pPr>
                                    <w:spacing w:line="220" w:lineRule="exact"/>
                                    <w:jc w:val="center"/>
                                  </w:pPr>
                                  <w:r>
                                    <w:rPr>
                                      <w:rFonts w:ascii="標楷體" w:eastAsia="標楷體" w:hAnsi="標楷體" w:hint="eastAsia"/>
                                      <w:color w:val="000000"/>
                                    </w:rPr>
                                    <w:t>2</w:t>
                                  </w:r>
                                </w:p>
                              </w:tc>
                            </w:tr>
                            <w:tr w:rsidR="008B713D" w14:paraId="3C6F5745"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071CD1A1" w14:textId="77777777" w:rsidR="008B713D" w:rsidRDefault="008B713D">
                                  <w:pPr>
                                    <w:spacing w:line="220" w:lineRule="exact"/>
                                    <w:jc w:val="center"/>
                                  </w:pPr>
                                  <w:r>
                                    <w:rPr>
                                      <w:rFonts w:ascii="標楷體" w:eastAsia="標楷體" w:hAnsi="標楷體" w:hint="eastAsia"/>
                                      <w:color w:val="000000"/>
                                    </w:rPr>
                                    <w:t>文山區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A2D26B" w14:textId="77777777" w:rsidR="008B713D" w:rsidRDefault="008B713D">
                                  <w:pPr>
                                    <w:spacing w:line="220" w:lineRule="exact"/>
                                    <w:jc w:val="center"/>
                                  </w:pPr>
                                  <w:r>
                                    <w:rPr>
                                      <w:rFonts w:ascii="標楷體" w:eastAsia="標楷體" w:hAnsi="標楷體" w:hint="eastAsia"/>
                                      <w:color w:val="000000"/>
                                    </w:rPr>
                                    <w:t>2</w:t>
                                  </w:r>
                                </w:p>
                              </w:tc>
                            </w:tr>
                            <w:tr w:rsidR="008B713D" w14:paraId="00E1A839"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1673CA69"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南港區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28D789" w14:textId="77777777" w:rsidR="008B713D" w:rsidRDefault="008B713D">
                                  <w:pPr>
                                    <w:spacing w:line="220" w:lineRule="exact"/>
                                    <w:jc w:val="center"/>
                                  </w:pPr>
                                  <w:r>
                                    <w:rPr>
                                      <w:rFonts w:ascii="標楷體" w:eastAsia="標楷體" w:hAnsi="標楷體" w:hint="eastAsia"/>
                                      <w:color w:val="000000"/>
                                    </w:rPr>
                                    <w:t>2</w:t>
                                  </w:r>
                                </w:p>
                              </w:tc>
                            </w:tr>
                            <w:tr w:rsidR="008B713D" w14:paraId="76475615"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6BFF3326"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大同區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5A2B99" w14:textId="77777777" w:rsidR="008B713D" w:rsidRDefault="008B713D">
                                  <w:pPr>
                                    <w:spacing w:line="220" w:lineRule="exact"/>
                                    <w:jc w:val="center"/>
                                  </w:pPr>
                                  <w:r>
                                    <w:rPr>
                                      <w:rFonts w:ascii="標楷體" w:eastAsia="標楷體" w:hAnsi="標楷體" w:hint="eastAsia"/>
                                      <w:color w:val="000000"/>
                                    </w:rPr>
                                    <w:t>1</w:t>
                                  </w:r>
                                </w:p>
                              </w:tc>
                            </w:tr>
                            <w:tr w:rsidR="008B713D" w14:paraId="199E4F82"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29BE6B1A"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北投區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1F8783" w14:textId="77777777" w:rsidR="008B713D" w:rsidRDefault="008B713D">
                                  <w:pPr>
                                    <w:spacing w:line="220" w:lineRule="exact"/>
                                    <w:jc w:val="center"/>
                                  </w:pPr>
                                  <w:r>
                                    <w:rPr>
                                      <w:rFonts w:ascii="標楷體" w:eastAsia="標楷體" w:hAnsi="標楷體" w:hint="eastAsia"/>
                                      <w:color w:val="000000"/>
                                    </w:rPr>
                                    <w:t>1</w:t>
                                  </w:r>
                                </w:p>
                              </w:tc>
                            </w:tr>
                            <w:tr w:rsidR="008B713D" w14:paraId="3274271F"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695CFA6D"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信義區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01D63" w14:textId="77777777" w:rsidR="008B713D" w:rsidRDefault="008B713D">
                                  <w:pPr>
                                    <w:spacing w:line="220" w:lineRule="exact"/>
                                    <w:jc w:val="center"/>
                                  </w:pPr>
                                  <w:r>
                                    <w:rPr>
                                      <w:rFonts w:ascii="標楷體" w:eastAsia="標楷體" w:hAnsi="標楷體" w:hint="eastAsia"/>
                                      <w:color w:val="000000"/>
                                    </w:rPr>
                                    <w:t>1</w:t>
                                  </w:r>
                                </w:p>
                              </w:tc>
                            </w:tr>
                            <w:tr w:rsidR="008B713D" w14:paraId="0E4357C6"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2D0DA708"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萬華區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CD9E6A" w14:textId="77777777" w:rsidR="008B713D" w:rsidRDefault="008B713D">
                                  <w:pPr>
                                    <w:spacing w:line="220" w:lineRule="exact"/>
                                    <w:jc w:val="center"/>
                                  </w:pPr>
                                  <w:r>
                                    <w:rPr>
                                      <w:rFonts w:ascii="標楷體" w:eastAsia="標楷體" w:hAnsi="標楷體" w:hint="eastAsia"/>
                                      <w:color w:val="000000"/>
                                    </w:rPr>
                                    <w:t>1</w:t>
                                  </w:r>
                                </w:p>
                              </w:tc>
                            </w:tr>
                            <w:tr w:rsidR="008B713D" w14:paraId="3B38CFE9"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488B05CB"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士林區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6A25CC" w14:textId="77777777" w:rsidR="008B713D" w:rsidRDefault="008B713D">
                                  <w:pPr>
                                    <w:spacing w:line="220" w:lineRule="exact"/>
                                    <w:jc w:val="center"/>
                                  </w:pPr>
                                  <w:r>
                                    <w:rPr>
                                      <w:rFonts w:ascii="標楷體" w:eastAsia="標楷體" w:hAnsi="標楷體" w:hint="eastAsia"/>
                                      <w:color w:val="000000"/>
                                    </w:rPr>
                                    <w:t>1</w:t>
                                  </w:r>
                                </w:p>
                              </w:tc>
                            </w:tr>
                            <w:tr w:rsidR="008B713D" w14:paraId="2D51E111"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0D8CFE75"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松山區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0A75B0" w14:textId="77777777" w:rsidR="008B713D" w:rsidRDefault="008B713D">
                                  <w:pPr>
                                    <w:spacing w:line="220" w:lineRule="exact"/>
                                    <w:jc w:val="center"/>
                                  </w:pPr>
                                  <w:r>
                                    <w:rPr>
                                      <w:rFonts w:ascii="標楷體" w:eastAsia="標楷體" w:hAnsi="標楷體" w:hint="eastAsia"/>
                                      <w:color w:val="000000"/>
                                    </w:rPr>
                                    <w:t>－</w:t>
                                  </w:r>
                                </w:p>
                              </w:tc>
                            </w:tr>
                            <w:tr w:rsidR="008B713D" w14:paraId="1DF13BFE" w14:textId="77777777">
                              <w:tc>
                                <w:tcPr>
                                  <w:tcW w:w="2127" w:type="dxa"/>
                                  <w:gridSpan w:val="2"/>
                                  <w:tcBorders>
                                    <w:top w:val="single" w:sz="4" w:space="0" w:color="auto"/>
                                    <w:left w:val="nil"/>
                                    <w:bottom w:val="nil"/>
                                    <w:right w:val="nil"/>
                                  </w:tcBorders>
                                  <w:hideMark/>
                                </w:tcPr>
                                <w:p w14:paraId="39341408" w14:textId="77777777" w:rsidR="008B713D" w:rsidRDefault="008B713D">
                                  <w:pPr>
                                    <w:spacing w:line="200" w:lineRule="exact"/>
                                    <w:ind w:leftChars="-45" w:left="593" w:rightChars="-46" w:right="-110" w:hangingChars="531" w:hanging="701"/>
                                    <w:jc w:val="both"/>
                                    <w:rPr>
                                      <w:rFonts w:ascii="標楷體" w:eastAsia="標楷體" w:hAnsi="標楷體"/>
                                      <w:color w:val="000000"/>
                                      <w:spacing w:val="-24"/>
                                    </w:rPr>
                                  </w:pPr>
                                  <w:r>
                                    <w:rPr>
                                      <w:rFonts w:ascii="標楷體" w:eastAsia="標楷體" w:hAnsi="標楷體" w:hint="eastAsia"/>
                                      <w:spacing w:val="-24"/>
                                      <w:sz w:val="18"/>
                                      <w:szCs w:val="18"/>
                                    </w:rPr>
                                    <w:t>資料來源：整理自教育局提供資料。</w:t>
                                  </w:r>
                                </w:p>
                              </w:tc>
                            </w:tr>
                          </w:tbl>
                          <w:p w14:paraId="4A9744E2" w14:textId="77777777" w:rsidR="008B713D" w:rsidRDefault="008B713D" w:rsidP="008B713D">
                            <w:pPr>
                              <w:spacing w:line="200" w:lineRule="exact"/>
                              <w:rPr>
                                <w:rFonts w:ascii="標楷體" w:eastAsia="標楷體" w:hAnsi="標楷體"/>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1763BF" id="文字方塊 22" o:spid="_x0000_s1063" type="#_x0000_t202" style="position:absolute;left:0;text-align:left;margin-left:379.05pt;margin-top:240.25pt;width:121.85pt;height:224.15pt;z-index:-251615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" stroked="f">
                <v:textbox>
                  <w:txbxContent>
                    <w:tbl>
                      <w:tblPr>
                        <w:tblStyle w:val="a6"/>
                        <w:tblW w:w="0" w:type="auto"/>
                        <w:tblLook w:val="04A0" w:firstRow="1" w:lastRow="0" w:firstColumn="1" w:lastColumn="0" w:noHBand="0" w:noVBand="1"/>
                      </w:tblPr>
                      <w:tblGrid>
                        <w:gridCol w:w="1276"/>
                        <w:gridCol w:w="851"/>
                      </w:tblGrid>
                      <w:tr w:rsidR="008B713D" w14:paraId="5C5B4E07" w14:textId="77777777">
                        <w:tc>
                          <w:tcPr>
                            <w:tcW w:w="2127" w:type="dxa"/>
                            <w:gridSpan w:val="2"/>
                            <w:tcBorders>
                              <w:top w:val="nil"/>
                              <w:left w:val="nil"/>
                              <w:bottom w:val="single" w:sz="4" w:space="0" w:color="auto"/>
                              <w:right w:val="nil"/>
                            </w:tcBorders>
                            <w:hideMark/>
                          </w:tcPr>
                          <w:p w14:paraId="464EE95C" w14:textId="6209B46E" w:rsidR="008B713D" w:rsidRPr="00C35CDE" w:rsidRDefault="008B713D" w:rsidP="00B16C88">
                            <w:pPr>
                              <w:spacing w:line="220" w:lineRule="exact"/>
                              <w:ind w:leftChars="-45" w:left="452" w:rightChars="-45" w:right="-108" w:hangingChars="274" w:hanging="560"/>
                              <w:jc w:val="both"/>
                              <w:rPr>
                                <w:sz w:val="24"/>
                                <w:szCs w:val="24"/>
                              </w:rPr>
                            </w:pPr>
                            <w:r w:rsidRPr="00C35CDE">
                              <w:rPr>
                                <w:rFonts w:ascii="標楷體" w:eastAsia="標楷體" w:hAnsi="標楷體" w:hint="eastAsia"/>
                                <w:b/>
                                <w:spacing w:val="-18"/>
                                <w:sz w:val="24"/>
                                <w:szCs w:val="24"/>
                              </w:rPr>
                              <w:t xml:space="preserve">表7　</w:t>
                            </w:r>
                            <w:r w:rsidR="00CF1B20">
                              <w:rPr>
                                <w:rFonts w:ascii="標楷體" w:eastAsia="標楷體" w:hAnsi="標楷體" w:hint="eastAsia"/>
                                <w:b/>
                                <w:spacing w:val="-18"/>
                                <w:sz w:val="24"/>
                                <w:szCs w:val="24"/>
                              </w:rPr>
                              <w:t>截至</w:t>
                            </w:r>
                            <w:r w:rsidRPr="00C35CDE">
                              <w:rPr>
                                <w:rFonts w:ascii="標楷體" w:eastAsia="標楷體" w:hAnsi="標楷體" w:hint="eastAsia"/>
                                <w:b/>
                                <w:bCs/>
                                <w:color w:val="000000"/>
                                <w:spacing w:val="-4"/>
                                <w:sz w:val="24"/>
                                <w:szCs w:val="24"/>
                              </w:rPr>
                              <w:t>113年</w:t>
                            </w:r>
                            <w:r w:rsidR="000A3F4E">
                              <w:rPr>
                                <w:rFonts w:ascii="標楷體" w:eastAsia="標楷體" w:hAnsi="標楷體" w:hint="eastAsia"/>
                                <w:b/>
                                <w:bCs/>
                                <w:color w:val="000000"/>
                                <w:spacing w:val="-4"/>
                                <w:sz w:val="24"/>
                                <w:szCs w:val="24"/>
                              </w:rPr>
                              <w:t>底</w:t>
                            </w:r>
                            <w:r w:rsidRPr="00C35CDE">
                              <w:rPr>
                                <w:rFonts w:ascii="標楷體" w:eastAsia="標楷體" w:hAnsi="標楷體" w:hint="eastAsia"/>
                                <w:b/>
                                <w:bCs/>
                                <w:color w:val="000000"/>
                                <w:spacing w:val="-4"/>
                                <w:sz w:val="24"/>
                                <w:szCs w:val="24"/>
                              </w:rPr>
                              <w:t>20所</w:t>
                            </w:r>
                            <w:r w:rsidRPr="00C35CDE">
                              <w:rPr>
                                <w:rFonts w:ascii="標楷體" w:eastAsia="標楷體" w:hAnsi="標楷體" w:hint="eastAsia"/>
                                <w:b/>
                                <w:bCs/>
                                <w:color w:val="000000"/>
                                <w:spacing w:val="-10"/>
                                <w:sz w:val="24"/>
                                <w:szCs w:val="24"/>
                              </w:rPr>
                              <w:t>幼兒STEAM</w:t>
                            </w:r>
                            <w:r w:rsidRPr="00C35CDE">
                              <w:rPr>
                                <w:rFonts w:ascii="標楷體" w:eastAsia="標楷體" w:hAnsi="標楷體" w:hint="eastAsia"/>
                                <w:b/>
                                <w:bCs/>
                                <w:color w:val="000000"/>
                                <w:sz w:val="24"/>
                                <w:szCs w:val="24"/>
                              </w:rPr>
                              <w:t>基地園所在行政區分布情形</w:t>
                            </w:r>
                          </w:p>
                        </w:tc>
                      </w:tr>
                      <w:tr w:rsidR="008B713D" w14:paraId="25971C86" w14:textId="77777777">
                        <w:tc>
                          <w:tcPr>
                            <w:tcW w:w="1276" w:type="dxa"/>
                            <w:tcBorders>
                              <w:top w:val="single" w:sz="4" w:space="0" w:color="auto"/>
                              <w:left w:val="single" w:sz="4" w:space="0" w:color="auto"/>
                              <w:bottom w:val="single" w:sz="4" w:space="0" w:color="auto"/>
                              <w:right w:val="single" w:sz="4" w:space="0" w:color="auto"/>
                            </w:tcBorders>
                            <w:hideMark/>
                          </w:tcPr>
                          <w:p w14:paraId="35CD5A0E" w14:textId="77777777" w:rsidR="008B713D" w:rsidRDefault="008B713D">
                            <w:pPr>
                              <w:spacing w:line="220" w:lineRule="exact"/>
                              <w:ind w:hanging="108"/>
                              <w:jc w:val="center"/>
                            </w:pPr>
                            <w:r>
                              <w:rPr>
                                <w:rFonts w:ascii="標楷體" w:eastAsia="標楷體" w:hAnsi="標楷體" w:hint="eastAsia"/>
                                <w:color w:val="000000"/>
                              </w:rPr>
                              <w:t>行政區</w:t>
                            </w:r>
                          </w:p>
                        </w:tc>
                        <w:tc>
                          <w:tcPr>
                            <w:tcW w:w="851" w:type="dxa"/>
                            <w:tcBorders>
                              <w:top w:val="single" w:sz="4" w:space="0" w:color="auto"/>
                              <w:left w:val="single" w:sz="4" w:space="0" w:color="auto"/>
                              <w:bottom w:val="single" w:sz="4" w:space="0" w:color="auto"/>
                              <w:right w:val="single" w:sz="4" w:space="0" w:color="auto"/>
                            </w:tcBorders>
                            <w:hideMark/>
                          </w:tcPr>
                          <w:p w14:paraId="22049A10" w14:textId="77777777" w:rsidR="008B713D" w:rsidRDefault="008B713D">
                            <w:pPr>
                              <w:spacing w:line="220" w:lineRule="exact"/>
                              <w:jc w:val="center"/>
                            </w:pPr>
                            <w:r>
                              <w:rPr>
                                <w:rFonts w:ascii="標楷體" w:eastAsia="標楷體" w:hAnsi="標楷體" w:hint="eastAsia"/>
                                <w:color w:val="000000"/>
                              </w:rPr>
                              <w:t>所數</w:t>
                            </w:r>
                          </w:p>
                        </w:tc>
                      </w:tr>
                      <w:tr w:rsidR="008B713D" w14:paraId="4F8052AE"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312E09D0" w14:textId="77777777" w:rsidR="008B713D" w:rsidRDefault="008B713D">
                            <w:pPr>
                              <w:spacing w:line="220" w:lineRule="exact"/>
                              <w:jc w:val="center"/>
                            </w:pPr>
                            <w:r>
                              <w:rPr>
                                <w:rFonts w:ascii="標楷體" w:eastAsia="標楷體" w:hAnsi="標楷體" w:hint="eastAsia"/>
                                <w:b/>
                                <w:bCs/>
                                <w:color w:val="000000"/>
                              </w:rPr>
                              <w:t>合計</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3B2ED4" w14:textId="77777777" w:rsidR="008B713D" w:rsidRDefault="008B713D">
                            <w:pPr>
                              <w:spacing w:line="220" w:lineRule="exact"/>
                              <w:jc w:val="center"/>
                            </w:pPr>
                            <w:r>
                              <w:rPr>
                                <w:rFonts w:ascii="標楷體" w:eastAsia="標楷體" w:hAnsi="標楷體" w:hint="eastAsia"/>
                                <w:b/>
                                <w:bCs/>
                                <w:color w:val="000000"/>
                              </w:rPr>
                              <w:t>20</w:t>
                            </w:r>
                          </w:p>
                        </w:tc>
                      </w:tr>
                      <w:tr w:rsidR="008B713D" w14:paraId="7AD5E5FE"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08F0CAFC" w14:textId="77777777" w:rsidR="008B713D" w:rsidRDefault="008B713D">
                            <w:pPr>
                              <w:spacing w:line="220" w:lineRule="exact"/>
                              <w:jc w:val="center"/>
                            </w:pPr>
                            <w:r>
                              <w:rPr>
                                <w:rFonts w:ascii="標楷體" w:eastAsia="標楷體" w:hAnsi="標楷體" w:hint="eastAsia"/>
                                <w:color w:val="000000"/>
                              </w:rPr>
                              <w:t>中山區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A7DCFF" w14:textId="77777777" w:rsidR="008B713D" w:rsidRDefault="008B713D">
                            <w:pPr>
                              <w:spacing w:line="220" w:lineRule="exact"/>
                              <w:jc w:val="center"/>
                            </w:pPr>
                            <w:r>
                              <w:rPr>
                                <w:rFonts w:ascii="標楷體" w:eastAsia="標楷體" w:hAnsi="標楷體" w:hint="eastAsia"/>
                                <w:color w:val="000000"/>
                              </w:rPr>
                              <w:t>4</w:t>
                            </w:r>
                          </w:p>
                        </w:tc>
                      </w:tr>
                      <w:tr w:rsidR="008B713D" w14:paraId="5CC03CF8"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7AE54CC9" w14:textId="77777777" w:rsidR="008B713D" w:rsidRDefault="008B713D">
                            <w:pPr>
                              <w:spacing w:line="220" w:lineRule="exact"/>
                              <w:jc w:val="center"/>
                            </w:pPr>
                            <w:r>
                              <w:rPr>
                                <w:rFonts w:ascii="標楷體" w:eastAsia="標楷體" w:hAnsi="標楷體" w:hint="eastAsia"/>
                                <w:color w:val="000000"/>
                              </w:rPr>
                              <w:t>大安區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BFC39D" w14:textId="77777777" w:rsidR="008B713D" w:rsidRDefault="008B713D">
                            <w:pPr>
                              <w:spacing w:line="220" w:lineRule="exact"/>
                              <w:jc w:val="center"/>
                            </w:pPr>
                            <w:r>
                              <w:rPr>
                                <w:rFonts w:ascii="標楷體" w:eastAsia="標楷體" w:hAnsi="標楷體" w:hint="eastAsia"/>
                                <w:color w:val="000000"/>
                              </w:rPr>
                              <w:t>3</w:t>
                            </w:r>
                          </w:p>
                        </w:tc>
                      </w:tr>
                      <w:tr w:rsidR="008B713D" w14:paraId="3F7AA0C3"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55EFD540" w14:textId="77777777" w:rsidR="008B713D" w:rsidRDefault="008B713D">
                            <w:pPr>
                              <w:spacing w:line="220" w:lineRule="exact"/>
                              <w:jc w:val="center"/>
                            </w:pPr>
                            <w:r>
                              <w:rPr>
                                <w:rFonts w:ascii="標楷體" w:eastAsia="標楷體" w:hAnsi="標楷體" w:hint="eastAsia"/>
                                <w:color w:val="000000"/>
                              </w:rPr>
                              <w:t>中正區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D4EC50" w14:textId="77777777" w:rsidR="008B713D" w:rsidRDefault="008B713D">
                            <w:pPr>
                              <w:spacing w:line="220" w:lineRule="exact"/>
                              <w:jc w:val="center"/>
                            </w:pPr>
                            <w:r>
                              <w:rPr>
                                <w:rFonts w:ascii="標楷體" w:eastAsia="標楷體" w:hAnsi="標楷體" w:hint="eastAsia"/>
                                <w:color w:val="000000"/>
                              </w:rPr>
                              <w:t>2</w:t>
                            </w:r>
                          </w:p>
                        </w:tc>
                      </w:tr>
                      <w:tr w:rsidR="008B713D" w14:paraId="20E187A0"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5E7641AA" w14:textId="77777777" w:rsidR="008B713D" w:rsidRDefault="008B713D">
                            <w:pPr>
                              <w:spacing w:line="220" w:lineRule="exact"/>
                              <w:jc w:val="center"/>
                            </w:pPr>
                            <w:r>
                              <w:rPr>
                                <w:rFonts w:ascii="標楷體" w:eastAsia="標楷體" w:hAnsi="標楷體" w:hint="eastAsia"/>
                                <w:color w:val="000000"/>
                              </w:rPr>
                              <w:t>內湖區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C1F504" w14:textId="77777777" w:rsidR="008B713D" w:rsidRDefault="008B713D">
                            <w:pPr>
                              <w:spacing w:line="220" w:lineRule="exact"/>
                              <w:jc w:val="center"/>
                            </w:pPr>
                            <w:r>
                              <w:rPr>
                                <w:rFonts w:ascii="標楷體" w:eastAsia="標楷體" w:hAnsi="標楷體" w:hint="eastAsia"/>
                                <w:color w:val="000000"/>
                              </w:rPr>
                              <w:t>2</w:t>
                            </w:r>
                          </w:p>
                        </w:tc>
                      </w:tr>
                      <w:tr w:rsidR="008B713D" w14:paraId="3C6F5745"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071CD1A1" w14:textId="77777777" w:rsidR="008B713D" w:rsidRDefault="008B713D">
                            <w:pPr>
                              <w:spacing w:line="220" w:lineRule="exact"/>
                              <w:jc w:val="center"/>
                            </w:pPr>
                            <w:r>
                              <w:rPr>
                                <w:rFonts w:ascii="標楷體" w:eastAsia="標楷體" w:hAnsi="標楷體" w:hint="eastAsia"/>
                                <w:color w:val="000000"/>
                              </w:rPr>
                              <w:t>文山區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A2D26B" w14:textId="77777777" w:rsidR="008B713D" w:rsidRDefault="008B713D">
                            <w:pPr>
                              <w:spacing w:line="220" w:lineRule="exact"/>
                              <w:jc w:val="center"/>
                            </w:pPr>
                            <w:r>
                              <w:rPr>
                                <w:rFonts w:ascii="標楷體" w:eastAsia="標楷體" w:hAnsi="標楷體" w:hint="eastAsia"/>
                                <w:color w:val="000000"/>
                              </w:rPr>
                              <w:t>2</w:t>
                            </w:r>
                          </w:p>
                        </w:tc>
                      </w:tr>
                      <w:tr w:rsidR="008B713D" w14:paraId="00E1A839"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1673CA69"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南港區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7328D789" w14:textId="77777777" w:rsidR="008B713D" w:rsidRDefault="008B713D">
                            <w:pPr>
                              <w:spacing w:line="220" w:lineRule="exact"/>
                              <w:jc w:val="center"/>
                            </w:pPr>
                            <w:r>
                              <w:rPr>
                                <w:rFonts w:ascii="標楷體" w:eastAsia="標楷體" w:hAnsi="標楷體" w:hint="eastAsia"/>
                                <w:color w:val="000000"/>
                              </w:rPr>
                              <w:t>2</w:t>
                            </w:r>
                          </w:p>
                        </w:tc>
                      </w:tr>
                      <w:tr w:rsidR="008B713D" w14:paraId="76475615"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6BFF3326"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大同區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5A2B99" w14:textId="77777777" w:rsidR="008B713D" w:rsidRDefault="008B713D">
                            <w:pPr>
                              <w:spacing w:line="220" w:lineRule="exact"/>
                              <w:jc w:val="center"/>
                            </w:pPr>
                            <w:r>
                              <w:rPr>
                                <w:rFonts w:ascii="標楷體" w:eastAsia="標楷體" w:hAnsi="標楷體" w:hint="eastAsia"/>
                                <w:color w:val="000000"/>
                              </w:rPr>
                              <w:t>1</w:t>
                            </w:r>
                          </w:p>
                        </w:tc>
                      </w:tr>
                      <w:tr w:rsidR="008B713D" w14:paraId="199E4F82"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29BE6B1A"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北投區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091F8783" w14:textId="77777777" w:rsidR="008B713D" w:rsidRDefault="008B713D">
                            <w:pPr>
                              <w:spacing w:line="220" w:lineRule="exact"/>
                              <w:jc w:val="center"/>
                            </w:pPr>
                            <w:r>
                              <w:rPr>
                                <w:rFonts w:ascii="標楷體" w:eastAsia="標楷體" w:hAnsi="標楷體" w:hint="eastAsia"/>
                                <w:color w:val="000000"/>
                              </w:rPr>
                              <w:t>1</w:t>
                            </w:r>
                          </w:p>
                        </w:tc>
                      </w:tr>
                      <w:tr w:rsidR="008B713D" w14:paraId="3274271F"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695CFA6D"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信義區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2F001D63" w14:textId="77777777" w:rsidR="008B713D" w:rsidRDefault="008B713D">
                            <w:pPr>
                              <w:spacing w:line="220" w:lineRule="exact"/>
                              <w:jc w:val="center"/>
                            </w:pPr>
                            <w:r>
                              <w:rPr>
                                <w:rFonts w:ascii="標楷體" w:eastAsia="標楷體" w:hAnsi="標楷體" w:hint="eastAsia"/>
                                <w:color w:val="000000"/>
                              </w:rPr>
                              <w:t>1</w:t>
                            </w:r>
                          </w:p>
                        </w:tc>
                      </w:tr>
                      <w:tr w:rsidR="008B713D" w14:paraId="0E4357C6"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2D0DA708"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萬華區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7FCD9E6A" w14:textId="77777777" w:rsidR="008B713D" w:rsidRDefault="008B713D">
                            <w:pPr>
                              <w:spacing w:line="220" w:lineRule="exact"/>
                              <w:jc w:val="center"/>
                            </w:pPr>
                            <w:r>
                              <w:rPr>
                                <w:rFonts w:ascii="標楷體" w:eastAsia="標楷體" w:hAnsi="標楷體" w:hint="eastAsia"/>
                                <w:color w:val="000000"/>
                              </w:rPr>
                              <w:t>1</w:t>
                            </w:r>
                          </w:p>
                        </w:tc>
                      </w:tr>
                      <w:tr w:rsidR="008B713D" w14:paraId="3B38CFE9"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488B05CB"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士林區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6A25CC" w14:textId="77777777" w:rsidR="008B713D" w:rsidRDefault="008B713D">
                            <w:pPr>
                              <w:spacing w:line="220" w:lineRule="exact"/>
                              <w:jc w:val="center"/>
                            </w:pPr>
                            <w:r>
                              <w:rPr>
                                <w:rFonts w:ascii="標楷體" w:eastAsia="標楷體" w:hAnsi="標楷體" w:hint="eastAsia"/>
                                <w:color w:val="000000"/>
                              </w:rPr>
                              <w:t>1</w:t>
                            </w:r>
                          </w:p>
                        </w:tc>
                      </w:tr>
                      <w:tr w:rsidR="008B713D" w14:paraId="2D51E111" w14:textId="77777777">
                        <w:tc>
                          <w:tcPr>
                            <w:tcW w:w="1276" w:type="dxa"/>
                            <w:tcBorders>
                              <w:top w:val="single" w:sz="4" w:space="0" w:color="auto"/>
                              <w:left w:val="single" w:sz="4" w:space="0" w:color="auto"/>
                              <w:bottom w:val="single" w:sz="4" w:space="0" w:color="auto"/>
                              <w:right w:val="single" w:sz="4" w:space="0" w:color="auto"/>
                            </w:tcBorders>
                            <w:vAlign w:val="center"/>
                            <w:hideMark/>
                          </w:tcPr>
                          <w:p w14:paraId="0D8CFE75" w14:textId="77777777" w:rsidR="008B713D" w:rsidRDefault="008B713D">
                            <w:pPr>
                              <w:spacing w:line="220" w:lineRule="exact"/>
                              <w:jc w:val="center"/>
                              <w:rPr>
                                <w:rFonts w:ascii="標楷體" w:eastAsia="標楷體" w:hAnsi="標楷體"/>
                                <w:color w:val="000000"/>
                              </w:rPr>
                            </w:pPr>
                            <w:r>
                              <w:rPr>
                                <w:rFonts w:ascii="標楷體" w:eastAsia="標楷體" w:hAnsi="標楷體" w:hint="eastAsia"/>
                                <w:color w:val="000000"/>
                              </w:rPr>
                              <w:t>松山區</w:t>
                            </w:r>
                          </w:p>
                        </w:tc>
                        <w:tc>
                          <w:tcPr>
                            <w:tcW w:w="851" w:type="dxa"/>
                            <w:tcBorders>
                              <w:top w:val="single" w:sz="4" w:space="0" w:color="auto"/>
                              <w:left w:val="single" w:sz="4" w:space="0" w:color="auto"/>
                              <w:bottom w:val="single" w:sz="4" w:space="0" w:color="auto"/>
                              <w:right w:val="single" w:sz="4" w:space="0" w:color="auto"/>
                            </w:tcBorders>
                            <w:vAlign w:val="center"/>
                            <w:hideMark/>
                          </w:tcPr>
                          <w:p w14:paraId="750A75B0" w14:textId="77777777" w:rsidR="008B713D" w:rsidRDefault="008B713D">
                            <w:pPr>
                              <w:spacing w:line="220" w:lineRule="exact"/>
                              <w:jc w:val="center"/>
                            </w:pPr>
                            <w:r>
                              <w:rPr>
                                <w:rFonts w:ascii="標楷體" w:eastAsia="標楷體" w:hAnsi="標楷體" w:hint="eastAsia"/>
                                <w:color w:val="000000"/>
                              </w:rPr>
                              <w:t>－</w:t>
                            </w:r>
                          </w:p>
                        </w:tc>
                      </w:tr>
                      <w:tr w:rsidR="008B713D" w14:paraId="1DF13BFE" w14:textId="77777777">
                        <w:tc>
                          <w:tcPr>
                            <w:tcW w:w="2127" w:type="dxa"/>
                            <w:gridSpan w:val="2"/>
                            <w:tcBorders>
                              <w:top w:val="single" w:sz="4" w:space="0" w:color="auto"/>
                              <w:left w:val="nil"/>
                              <w:bottom w:val="nil"/>
                              <w:right w:val="nil"/>
                            </w:tcBorders>
                            <w:hideMark/>
                          </w:tcPr>
                          <w:p w14:paraId="39341408" w14:textId="77777777" w:rsidR="008B713D" w:rsidRDefault="008B713D">
                            <w:pPr>
                              <w:spacing w:line="200" w:lineRule="exact"/>
                              <w:ind w:leftChars="-45" w:left="593" w:rightChars="-46" w:right="-110" w:hangingChars="531" w:hanging="701"/>
                              <w:jc w:val="both"/>
                              <w:rPr>
                                <w:rFonts w:ascii="標楷體" w:eastAsia="標楷體" w:hAnsi="標楷體"/>
                                <w:color w:val="000000"/>
                                <w:spacing w:val="-24"/>
                              </w:rPr>
                            </w:pPr>
                            <w:r>
                              <w:rPr>
                                <w:rFonts w:ascii="標楷體" w:eastAsia="標楷體" w:hAnsi="標楷體" w:hint="eastAsia"/>
                                <w:spacing w:val="-24"/>
                                <w:sz w:val="18"/>
                                <w:szCs w:val="18"/>
                              </w:rPr>
                              <w:t>資料來源：整理自教育局提供資料。</w:t>
                            </w:r>
                          </w:p>
                        </w:tc>
                      </w:tr>
                    </w:tbl>
                    <w:p w14:paraId="4A9744E2" w14:textId="77777777" w:rsidR="008B713D" w:rsidRDefault="008B713D" w:rsidP="008B713D">
                      <w:pPr>
                        <w:spacing w:line="200" w:lineRule="exact"/>
                        <w:rPr>
                          <w:rFonts w:ascii="標楷體" w:eastAsia="標楷體" w:hAnsi="標楷體"/>
                          <w:sz w:val="18"/>
                          <w:szCs w:val="18"/>
                        </w:rPr>
                      </w:pPr>
                    </w:p>
                  </w:txbxContent>
                </v:textbox>
                <w10:wrap type="square"/>
              </v:shape>
            </w:pict>
          </mc:Fallback>
        </mc:AlternateContent>
      </w:r>
      <w:r>
        <w:rPr>
          <w:rFonts w:ascii="標楷體" w:eastAsia="標楷體" w:hAnsi="標楷體" w:hint="eastAsia"/>
          <w:szCs w:val="24"/>
        </w:rPr>
        <w:t>教育局為培育學生</w:t>
      </w:r>
      <w:proofErr w:type="gramStart"/>
      <w:r>
        <w:rPr>
          <w:rFonts w:ascii="標楷體" w:eastAsia="標楷體" w:hAnsi="標楷體" w:hint="eastAsia"/>
          <w:szCs w:val="24"/>
        </w:rPr>
        <w:t>創新跨域素養</w:t>
      </w:r>
      <w:proofErr w:type="gramEnd"/>
      <w:r>
        <w:rPr>
          <w:rFonts w:ascii="標楷體" w:eastAsia="標楷體" w:hAnsi="標楷體" w:hint="eastAsia"/>
          <w:szCs w:val="24"/>
        </w:rPr>
        <w:t>能力，於</w:t>
      </w:r>
      <w:proofErr w:type="gramStart"/>
      <w:r>
        <w:rPr>
          <w:rFonts w:ascii="標楷體" w:eastAsia="標楷體" w:hAnsi="標楷體" w:hint="eastAsia"/>
          <w:szCs w:val="24"/>
        </w:rPr>
        <w:t>113</w:t>
      </w:r>
      <w:proofErr w:type="gramEnd"/>
      <w:r>
        <w:rPr>
          <w:rFonts w:ascii="標楷體" w:eastAsia="標楷體" w:hAnsi="標楷體" w:hint="eastAsia"/>
          <w:szCs w:val="24"/>
        </w:rPr>
        <w:t>年度市政白皮書提出「</w:t>
      </w:r>
      <w:proofErr w:type="gramStart"/>
      <w:r>
        <w:rPr>
          <w:rFonts w:ascii="標楷體" w:eastAsia="標楷體" w:hAnsi="標楷體" w:hint="eastAsia"/>
          <w:szCs w:val="24"/>
        </w:rPr>
        <w:t>樂活宜居</w:t>
      </w:r>
      <w:proofErr w:type="gramEnd"/>
      <w:r>
        <w:rPr>
          <w:rFonts w:ascii="標楷體" w:eastAsia="標楷體" w:hAnsi="標楷體" w:hint="eastAsia"/>
          <w:szCs w:val="24"/>
        </w:rPr>
        <w:t>－開創教育－三十二、推動科技教育」政策項目，並於臺北市地方教育發展基金編列預算2,442萬餘元，全國首創規劃透過成立幼兒STEAM</w:t>
      </w:r>
      <w:r>
        <w:rPr>
          <w:rFonts w:ascii="標楷體" w:eastAsia="標楷體" w:hAnsi="標楷體" w:hint="eastAsia"/>
          <w:spacing w:val="-2"/>
        </w:rPr>
        <w:t>[</w:t>
      </w:r>
      <w:r>
        <w:rPr>
          <w:rFonts w:ascii="標楷體" w:eastAsia="標楷體" w:hAnsi="標楷體" w:hint="eastAsia"/>
        </w:rPr>
        <w:t>科學（Science）、</w:t>
      </w:r>
      <w:r>
        <w:rPr>
          <w:rFonts w:ascii="標楷體" w:eastAsia="標楷體" w:hAnsi="標楷體" w:hint="eastAsia"/>
          <w:szCs w:val="24"/>
        </w:rPr>
        <w:t>科技</w:t>
      </w:r>
      <w:r>
        <w:rPr>
          <w:rFonts w:ascii="標楷體" w:eastAsia="標楷體" w:hAnsi="標楷體" w:hint="eastAsia"/>
        </w:rPr>
        <w:t>（Technology）、工程（Engineering</w:t>
      </w:r>
      <w:bookmarkStart w:id="44" w:name="_Hlk198981254"/>
      <w:r>
        <w:rPr>
          <w:rFonts w:ascii="標楷體" w:eastAsia="標楷體" w:hAnsi="標楷體" w:hint="eastAsia"/>
        </w:rPr>
        <w:t>）</w:t>
      </w:r>
      <w:bookmarkEnd w:id="44"/>
      <w:r>
        <w:rPr>
          <w:rFonts w:ascii="標楷體" w:eastAsia="標楷體" w:hAnsi="標楷體" w:hint="eastAsia"/>
        </w:rPr>
        <w:t>、</w:t>
      </w:r>
      <w:r>
        <w:rPr>
          <w:rFonts w:ascii="標楷體" w:eastAsia="標楷體" w:hAnsi="標楷體" w:hint="eastAsia"/>
          <w:szCs w:val="24"/>
        </w:rPr>
        <w:t>藝術</w:t>
      </w:r>
      <w:r>
        <w:rPr>
          <w:rFonts w:ascii="標楷體" w:eastAsia="標楷體" w:hAnsi="標楷體" w:hint="eastAsia"/>
        </w:rPr>
        <w:t>（Arts）及數學（Mathematics）</w:t>
      </w:r>
      <w:r>
        <w:rPr>
          <w:rFonts w:ascii="標楷體" w:eastAsia="標楷體" w:hAnsi="標楷體" w:hint="eastAsia"/>
          <w:spacing w:val="-2"/>
        </w:rPr>
        <w:t>]</w:t>
      </w:r>
      <w:proofErr w:type="gramStart"/>
      <w:r>
        <w:rPr>
          <w:rFonts w:ascii="標楷體" w:eastAsia="標楷體" w:hAnsi="標楷體" w:hint="eastAsia"/>
          <w:szCs w:val="24"/>
        </w:rPr>
        <w:t>創思中心</w:t>
      </w:r>
      <w:proofErr w:type="gramEnd"/>
      <w:r>
        <w:rPr>
          <w:rFonts w:ascii="標楷體" w:eastAsia="標楷體" w:hAnsi="標楷體" w:hint="eastAsia"/>
          <w:szCs w:val="24"/>
        </w:rPr>
        <w:t>、STEAM及新科技發展辦公室等專責單位，統整STEAM教育資源，負責建構臺北市幼兒、國中小至高中</w:t>
      </w:r>
      <w:proofErr w:type="gramStart"/>
      <w:r>
        <w:rPr>
          <w:rFonts w:ascii="標楷體" w:eastAsia="標楷體" w:hAnsi="標楷體" w:hint="eastAsia"/>
          <w:szCs w:val="24"/>
        </w:rPr>
        <w:t>職各學層</w:t>
      </w:r>
      <w:proofErr w:type="gramEnd"/>
      <w:r>
        <w:rPr>
          <w:rFonts w:ascii="標楷體" w:eastAsia="標楷體" w:hAnsi="標楷體" w:hint="eastAsia"/>
          <w:szCs w:val="24"/>
        </w:rPr>
        <w:t>STEAM及新科技教育課程發展與教學輔導體系，促進臺北市系統化及全面性落實推動STEAM教育，以培養具備跨領域知識及創新能力之未來人才。經查執行情形，核有</w:t>
      </w:r>
      <w:r>
        <w:rPr>
          <w:rFonts w:ascii="標楷體" w:eastAsia="標楷體" w:hAnsi="標楷體" w:hint="eastAsia"/>
        </w:rPr>
        <w:t>：1.該局自112年6月委託所屬中山女高辦理臺北市STEAM及新科技教育辦公室實施計畫並設置發展辦公室（下稱STEAM辦公室），惟迄至113年底，仍未核定學習</w:t>
      </w:r>
      <w:proofErr w:type="gramStart"/>
      <w:r>
        <w:rPr>
          <w:rFonts w:ascii="標楷體" w:eastAsia="標楷體" w:hAnsi="標楷體" w:hint="eastAsia"/>
        </w:rPr>
        <w:t>誌</w:t>
      </w:r>
      <w:proofErr w:type="gramEnd"/>
      <w:r>
        <w:rPr>
          <w:rFonts w:ascii="標楷體" w:eastAsia="標楷體" w:hAnsi="標楷體" w:hint="eastAsia"/>
        </w:rPr>
        <w:t>及種子教師培訓等相關子計畫，致STEAM辦公室自113年3月18日揭牌啟用</w:t>
      </w:r>
      <w:proofErr w:type="gramStart"/>
      <w:r>
        <w:rPr>
          <w:rFonts w:ascii="標楷體" w:eastAsia="標楷體" w:hAnsi="標楷體" w:hint="eastAsia"/>
        </w:rPr>
        <w:t>多時，</w:t>
      </w:r>
      <w:proofErr w:type="gramEnd"/>
      <w:r>
        <w:rPr>
          <w:rFonts w:ascii="標楷體" w:eastAsia="標楷體" w:hAnsi="標楷體" w:hint="eastAsia"/>
        </w:rPr>
        <w:t>無法依該計畫期程辦理STEAM及新科技教育教師增能研習，與出版臺北市STEAM學習</w:t>
      </w:r>
      <w:proofErr w:type="gramStart"/>
      <w:r>
        <w:rPr>
          <w:rFonts w:ascii="標楷體" w:eastAsia="標楷體" w:hAnsi="標楷體" w:hint="eastAsia"/>
        </w:rPr>
        <w:t>誌</w:t>
      </w:r>
      <w:proofErr w:type="gramEnd"/>
      <w:r>
        <w:rPr>
          <w:rFonts w:ascii="標楷體" w:eastAsia="標楷體" w:hAnsi="標楷體" w:hint="eastAsia"/>
        </w:rPr>
        <w:t>專書，並發布相關數位課程包，以協助各校系統化推動STEAM及新科技課程與教學；復因該辦公室尚未針對已購入教學設備，訂定相關教學課程或設備使（借）用等計畫，致已建置完成之教學場域及相關設備有</w:t>
      </w:r>
      <w:r>
        <w:rPr>
          <w:rFonts w:ascii="標楷體" w:eastAsia="標楷體" w:hAnsi="標楷體" w:hint="eastAsia"/>
          <w:spacing w:val="-2"/>
        </w:rPr>
        <w:t>低度利用情事；2.STEAM辦公室112學年度統籌臺北市龍山等8所STEAM教育中心，針對臺北市立高中（職）以下學校之師生辦理STEAM師資增能研習課程、親子假日營隊及寒暑假科技教育營隊課程或競賽活動等共1,701場次，其中屬高中（職）師生之場次為195場次，僅占全部場次之11.46％，與</w:t>
      </w:r>
      <w:proofErr w:type="gramStart"/>
      <w:r>
        <w:rPr>
          <w:rFonts w:ascii="標楷體" w:eastAsia="標楷體" w:hAnsi="標楷體" w:hint="eastAsia"/>
          <w:spacing w:val="-2"/>
        </w:rPr>
        <w:t>該學層同期</w:t>
      </w:r>
      <w:proofErr w:type="gramEnd"/>
      <w:r>
        <w:rPr>
          <w:rFonts w:ascii="標楷體" w:eastAsia="標楷體" w:hAnsi="標楷體" w:hint="eastAsia"/>
          <w:spacing w:val="-2"/>
        </w:rPr>
        <w:t>師生總數占臺北市立高中以下學校師生總數之比率25.41％相較，不利均衡發展臺北市STEAM及新科技教育；3.該局為提升幼兒教育品質，自112年7月起推動臺北市幼兒STEAM</w:t>
      </w:r>
      <w:proofErr w:type="gramStart"/>
      <w:r>
        <w:rPr>
          <w:rFonts w:ascii="標楷體" w:eastAsia="標楷體" w:hAnsi="標楷體" w:hint="eastAsia"/>
          <w:spacing w:val="-2"/>
        </w:rPr>
        <w:t>創思中心</w:t>
      </w:r>
      <w:proofErr w:type="gramEnd"/>
      <w:r>
        <w:rPr>
          <w:rFonts w:ascii="標楷體" w:eastAsia="標楷體" w:hAnsi="標楷體" w:hint="eastAsia"/>
          <w:spacing w:val="-2"/>
        </w:rPr>
        <w:t>實施計畫，截至113年</w:t>
      </w:r>
      <w:r>
        <w:rPr>
          <w:rFonts w:ascii="標楷體" w:eastAsia="標楷體" w:hAnsi="標楷體" w:hint="eastAsia"/>
          <w:spacing w:val="-4"/>
        </w:rPr>
        <w:t>底，已設置20所幼兒STEAM教育示範基地，惟松山區仍未建置基地園據點（表7），且全</w:t>
      </w:r>
    </w:p>
    <w:p w14:paraId="30D30A81" w14:textId="77777777" w:rsidR="00C35CDE" w:rsidRPr="00C35CDE" w:rsidRDefault="008B713D" w:rsidP="002123DE">
      <w:pPr>
        <w:spacing w:line="440" w:lineRule="exact"/>
        <w:jc w:val="both"/>
        <w:rPr>
          <w:rFonts w:ascii="標楷體" w:eastAsia="標楷體" w:hAnsi="標楷體"/>
          <w:spacing w:val="-2"/>
        </w:rPr>
      </w:pPr>
      <w:r w:rsidRPr="00C35CDE">
        <w:rPr>
          <w:rFonts w:ascii="標楷體" w:eastAsia="標楷體" w:hAnsi="標楷體" w:hint="eastAsia"/>
          <w:spacing w:val="-2"/>
        </w:rPr>
        <w:t>市曾參與STEAM教育相關課程之公立及非營利幼兒園家數僅29所，占整</w:t>
      </w:r>
    </w:p>
    <w:p w14:paraId="7A0BF61F" w14:textId="252C5559" w:rsidR="008B713D" w:rsidRDefault="008B713D" w:rsidP="002123DE">
      <w:pPr>
        <w:spacing w:line="440" w:lineRule="exact"/>
        <w:jc w:val="both"/>
        <w:rPr>
          <w:rFonts w:ascii="標楷體" w:eastAsia="標楷體" w:hAnsi="標楷體"/>
        </w:rPr>
      </w:pPr>
      <w:r>
        <w:rPr>
          <w:rFonts w:ascii="標楷體" w:eastAsia="標楷體" w:hAnsi="標楷體" w:hint="eastAsia"/>
          <w:spacing w:val="-4"/>
        </w:rPr>
        <w:lastRenderedPageBreak/>
        <w:t>體230所之12.61％，比率仍低，均不利各行政區幼兒STEAM</w:t>
      </w:r>
      <w:proofErr w:type="gramStart"/>
      <w:r>
        <w:rPr>
          <w:rFonts w:ascii="標楷體" w:eastAsia="標楷體" w:hAnsi="標楷體" w:hint="eastAsia"/>
          <w:spacing w:val="-4"/>
        </w:rPr>
        <w:t>教育衡</w:t>
      </w:r>
      <w:proofErr w:type="gramEnd"/>
      <w:r>
        <w:rPr>
          <w:rFonts w:ascii="標楷體" w:eastAsia="標楷體" w:hAnsi="標楷體" w:hint="eastAsia"/>
        </w:rPr>
        <w:t>平發展等情事，經函請檢討改善。據復：1.為避免錯誤決策影響學生學習，</w:t>
      </w:r>
      <w:proofErr w:type="gramStart"/>
      <w:r>
        <w:rPr>
          <w:rFonts w:ascii="標楷體" w:eastAsia="標楷體" w:hAnsi="標楷體" w:hint="eastAsia"/>
        </w:rPr>
        <w:t>爰</w:t>
      </w:r>
      <w:proofErr w:type="gramEnd"/>
      <w:r>
        <w:rPr>
          <w:rFonts w:ascii="標楷體" w:eastAsia="標楷體" w:hAnsi="標楷體" w:hint="eastAsia"/>
        </w:rPr>
        <w:t>延長計畫編擬及審查期程，經詳細</w:t>
      </w:r>
      <w:proofErr w:type="gramStart"/>
      <w:r>
        <w:rPr>
          <w:rFonts w:ascii="標楷體" w:eastAsia="標楷體" w:hAnsi="標楷體" w:hint="eastAsia"/>
        </w:rPr>
        <w:t>研</w:t>
      </w:r>
      <w:proofErr w:type="gramEnd"/>
      <w:r>
        <w:rPr>
          <w:rFonts w:ascii="標楷體" w:eastAsia="標楷體" w:hAnsi="標楷體" w:hint="eastAsia"/>
        </w:rPr>
        <w:t>議，已陸續於114年1月至2月核定公告STEAM課程地圖與種子教師培訓等實施計畫，業依規劃時序辦理多場教師研習或競賽活動；另為妥善及有效使用該計畫建置之教學場域及設備資源，業要求STEAM辦公室應結合各項計畫所訂研習及培訓活動優先使用，倘仍有餘</w:t>
      </w:r>
      <w:proofErr w:type="gramStart"/>
      <w:r>
        <w:rPr>
          <w:rFonts w:ascii="標楷體" w:eastAsia="標楷體" w:hAnsi="標楷體" w:hint="eastAsia"/>
        </w:rPr>
        <w:t>裕</w:t>
      </w:r>
      <w:proofErr w:type="gramEnd"/>
      <w:r>
        <w:rPr>
          <w:rFonts w:ascii="標楷體" w:eastAsia="標楷體" w:hAnsi="標楷體" w:hint="eastAsia"/>
        </w:rPr>
        <w:t>，得提供或安排校內課程使用；2.除積極運用教育部等中央補助相關計畫，推動臺北市STEAM及新科技教育活動，並特別推動「高級中等學校新科技學程實施計畫」，同時</w:t>
      </w:r>
      <w:proofErr w:type="gramStart"/>
      <w:r>
        <w:rPr>
          <w:rFonts w:ascii="標楷體" w:eastAsia="標楷體" w:hAnsi="標楷體" w:hint="eastAsia"/>
        </w:rPr>
        <w:t>研</w:t>
      </w:r>
      <w:proofErr w:type="gramEnd"/>
      <w:r>
        <w:rPr>
          <w:rFonts w:ascii="標楷體" w:eastAsia="標楷體" w:hAnsi="標楷體" w:hint="eastAsia"/>
        </w:rPr>
        <w:t>議程式教育檢定計畫，以培育高中職學生科技領域專業素養；3.115年度預計增加STEAM</w:t>
      </w:r>
      <w:proofErr w:type="gramStart"/>
      <w:r>
        <w:rPr>
          <w:rFonts w:ascii="標楷體" w:eastAsia="標楷體" w:hAnsi="標楷體" w:hint="eastAsia"/>
        </w:rPr>
        <w:t>基地園至25所</w:t>
      </w:r>
      <w:proofErr w:type="gramEnd"/>
      <w:r>
        <w:rPr>
          <w:rFonts w:ascii="標楷體" w:eastAsia="標楷體" w:hAnsi="標楷體" w:hint="eastAsia"/>
        </w:rPr>
        <w:t>，並積極邀請松山區幼兒園加入基地園培訓，另將持續辦理相關師資培育、進階研習，逐年培育幼兒園教師STEAM教育素養，以推動臺北市幼兒園實施STEAM教育。</w:t>
      </w:r>
    </w:p>
    <w:p w14:paraId="37EDF980" w14:textId="77777777" w:rsidR="008B713D" w:rsidRPr="00343BE6" w:rsidRDefault="008B713D" w:rsidP="00343BE6">
      <w:pPr>
        <w:pStyle w:val="04"/>
        <w:widowControl w:val="0"/>
        <w:suppressAutoHyphens w:val="0"/>
        <w:spacing w:beforeLines="50" w:before="180"/>
        <w:ind w:firstLine="280"/>
        <w:rPr>
          <w:rFonts w:hAnsi="標楷體"/>
          <w:bCs/>
          <w:szCs w:val="28"/>
        </w:rPr>
      </w:pPr>
      <w:r w:rsidRPr="00343BE6">
        <w:rPr>
          <w:rFonts w:hint="eastAsia"/>
          <w:bCs/>
          <w:szCs w:val="28"/>
        </w:rPr>
        <w:t>（九）</w:t>
      </w:r>
      <w:r w:rsidRPr="00343BE6">
        <w:rPr>
          <w:rFonts w:hAnsi="標楷體" w:hint="eastAsia"/>
          <w:bCs/>
          <w:szCs w:val="28"/>
        </w:rPr>
        <w:t>為改善所屬高中、國中（小）校園運動操場設施品質，協助學校申請教育部補助經費辦理運動操場跑道整建工程，</w:t>
      </w:r>
      <w:proofErr w:type="gramStart"/>
      <w:r w:rsidRPr="00343BE6">
        <w:rPr>
          <w:rFonts w:hAnsi="標楷體" w:hint="eastAsia"/>
          <w:bCs/>
          <w:szCs w:val="28"/>
        </w:rPr>
        <w:t>惟整建</w:t>
      </w:r>
      <w:proofErr w:type="gramEnd"/>
      <w:r w:rsidRPr="00343BE6">
        <w:rPr>
          <w:rFonts w:hAnsi="標楷體" w:hint="eastAsia"/>
          <w:bCs/>
          <w:szCs w:val="28"/>
        </w:rPr>
        <w:t>工程操場跑道之施作過程，</w:t>
      </w:r>
      <w:proofErr w:type="gramStart"/>
      <w:r w:rsidRPr="00343BE6">
        <w:rPr>
          <w:rFonts w:hAnsi="標楷體" w:hint="eastAsia"/>
          <w:bCs/>
          <w:szCs w:val="28"/>
        </w:rPr>
        <w:t>間有橡膠面層</w:t>
      </w:r>
      <w:proofErr w:type="gramEnd"/>
      <w:r w:rsidRPr="00343BE6">
        <w:rPr>
          <w:rFonts w:hAnsi="標楷體" w:hint="eastAsia"/>
          <w:bCs/>
          <w:szCs w:val="28"/>
        </w:rPr>
        <w:t>黏著劑成分及施作後重壓時間之規範未符規定，或未落實依規定辦理材料送驗、自主檢查及查驗作業等情事，亟待檢討改善。</w:t>
      </w:r>
    </w:p>
    <w:p w14:paraId="2D4AADEE" w14:textId="5203BD0A" w:rsidR="002123DE" w:rsidRDefault="008B713D" w:rsidP="003217A3">
      <w:pPr>
        <w:tabs>
          <w:tab w:val="left" w:pos="4111"/>
        </w:tabs>
        <w:spacing w:line="444" w:lineRule="exact"/>
        <w:ind w:firstLineChars="200" w:firstLine="480"/>
        <w:jc w:val="both"/>
        <w:rPr>
          <w:rFonts w:ascii="標楷體" w:eastAsia="標楷體" w:hAnsi="標楷體"/>
          <w:szCs w:val="24"/>
        </w:rPr>
      </w:pPr>
      <w:r>
        <w:rPr>
          <w:rFonts w:ascii="標楷體" w:eastAsia="標楷體" w:hAnsi="標楷體" w:hint="eastAsia"/>
        </w:rPr>
        <w:t>教育局為改善所屬高級中學、國民中（小）學校園運動操場品質，避免跑道設施損壞影響師生權益及活動安全，協助所屬學校向教育部申請「高級中等以下學校運動操場及周邊設施整建計畫」補助經費，辦理運動操場跑道及周邊設施整建工程，以改善學校操場硬體環境，提供社區民眾適足之運動場地。經抽查臺北市立龍門國中、興雅國中、弘道國中、永樂國小及明湖國小等5所學校111年辦理之</w:t>
      </w:r>
      <w:r>
        <w:rPr>
          <w:rFonts w:ascii="標楷體" w:eastAsia="標楷體" w:hAnsi="標楷體" w:cs="新細明體" w:hint="eastAsia"/>
          <w:kern w:val="0"/>
          <w:szCs w:val="24"/>
        </w:rPr>
        <w:t>運動操場及周邊設施整建工程</w:t>
      </w:r>
      <w:r>
        <w:rPr>
          <w:rFonts w:ascii="標楷體" w:eastAsia="標楷體" w:hAnsi="標楷體" w:hint="eastAsia"/>
        </w:rPr>
        <w:t>（含委託規劃設計及監造技術服務案），契約金額合計3,695萬餘元，核有：1.</w:t>
      </w:r>
      <w:r>
        <w:rPr>
          <w:rFonts w:ascii="標楷體" w:eastAsia="標楷體" w:hAnsi="標楷體" w:hint="eastAsia"/>
          <w:szCs w:val="24"/>
        </w:rPr>
        <w:t>興雅國中等4校整建工程，所核定之細部設計書圖，未明訂合成橡膠</w:t>
      </w:r>
      <w:proofErr w:type="gramStart"/>
      <w:r>
        <w:rPr>
          <w:rFonts w:ascii="標楷體" w:eastAsia="標楷體" w:hAnsi="標楷體" w:hint="eastAsia"/>
          <w:szCs w:val="24"/>
        </w:rPr>
        <w:t>跑道面層黏著</w:t>
      </w:r>
      <w:proofErr w:type="gramEnd"/>
      <w:r>
        <w:rPr>
          <w:rFonts w:ascii="標楷體" w:eastAsia="標楷體" w:hAnsi="標楷體" w:hint="eastAsia"/>
          <w:szCs w:val="24"/>
        </w:rPr>
        <w:t>劑成分不得含有「甲苯二異氰酸脂（TDI）」，另興雅國中等3校整建工程，其細部設計書圖規範</w:t>
      </w:r>
      <w:proofErr w:type="gramStart"/>
      <w:r>
        <w:rPr>
          <w:rFonts w:ascii="標楷體" w:eastAsia="標楷體" w:hAnsi="標楷體" w:hint="eastAsia"/>
          <w:szCs w:val="24"/>
        </w:rPr>
        <w:t>跑道面層黏著</w:t>
      </w:r>
      <w:proofErr w:type="gramEnd"/>
      <w:r>
        <w:rPr>
          <w:rFonts w:ascii="標楷體" w:eastAsia="標楷體" w:hAnsi="標楷體" w:hint="eastAsia"/>
          <w:szCs w:val="24"/>
        </w:rPr>
        <w:t>劑施作後，應於其上施予重壓之時間或有不足，或未明定，</w:t>
      </w:r>
      <w:proofErr w:type="gramStart"/>
      <w:r>
        <w:rPr>
          <w:rFonts w:ascii="標楷體" w:eastAsia="標楷體" w:hAnsi="標楷體" w:hint="eastAsia"/>
          <w:szCs w:val="24"/>
        </w:rPr>
        <w:t>均與教育部</w:t>
      </w:r>
      <w:proofErr w:type="gramEnd"/>
      <w:r>
        <w:rPr>
          <w:rFonts w:ascii="標楷體" w:eastAsia="標楷體" w:hAnsi="標楷體" w:hint="eastAsia"/>
          <w:szCs w:val="24"/>
        </w:rPr>
        <w:t>體育署訂頒「運動設施規劃設計及施作常見缺失參考手冊」（下稱運動設施設計手冊）對於黏著劑材料與施工之要求內容有間；2.龍門國中等2校整建工程，施工廠商未依約現場抽驗操場</w:t>
      </w:r>
      <w:proofErr w:type="gramStart"/>
      <w:r>
        <w:rPr>
          <w:rFonts w:ascii="標楷體" w:eastAsia="標楷體" w:hAnsi="標楷體" w:hint="eastAsia"/>
          <w:szCs w:val="24"/>
        </w:rPr>
        <w:t>跑道面層等</w:t>
      </w:r>
      <w:proofErr w:type="gramEnd"/>
      <w:r>
        <w:rPr>
          <w:rFonts w:ascii="標楷體" w:eastAsia="標楷體" w:hAnsi="標楷體" w:hint="eastAsia"/>
          <w:szCs w:val="24"/>
        </w:rPr>
        <w:t>材料並出具試驗報告；又龍門國中等3校整建工程，監造單位未依臺北市政府公共工程施工品質管理作業要點第17點第5款規定，會同施工廠商辦理</w:t>
      </w:r>
      <w:proofErr w:type="gramStart"/>
      <w:r>
        <w:rPr>
          <w:rFonts w:ascii="標楷體" w:eastAsia="標楷體" w:hAnsi="標楷體" w:hint="eastAsia"/>
          <w:szCs w:val="24"/>
        </w:rPr>
        <w:t>跑道面層</w:t>
      </w:r>
      <w:proofErr w:type="gramEnd"/>
      <w:r>
        <w:rPr>
          <w:rFonts w:ascii="標楷體" w:eastAsia="標楷體" w:hAnsi="標楷體" w:hint="eastAsia"/>
          <w:szCs w:val="24"/>
        </w:rPr>
        <w:t>、接著劑、</w:t>
      </w:r>
      <w:proofErr w:type="gramStart"/>
      <w:r>
        <w:rPr>
          <w:rFonts w:ascii="標楷體" w:eastAsia="標楷體" w:hAnsi="標楷體" w:hint="eastAsia"/>
          <w:szCs w:val="24"/>
        </w:rPr>
        <w:t>壓克力面材或</w:t>
      </w:r>
      <w:proofErr w:type="gramEnd"/>
      <w:r>
        <w:rPr>
          <w:rFonts w:ascii="標楷體" w:eastAsia="標楷體" w:hAnsi="標楷體" w:hint="eastAsia"/>
          <w:szCs w:val="24"/>
        </w:rPr>
        <w:t>瀝青混凝土等材料取樣後之送驗事宜；3.明湖國小整建工程之操場跑道瀝青混凝土施作完成後，其平坦度試驗結果不符契約規定標準，</w:t>
      </w:r>
      <w:proofErr w:type="gramStart"/>
      <w:r>
        <w:rPr>
          <w:rFonts w:ascii="標楷體" w:eastAsia="標楷體" w:hAnsi="標楷體" w:hint="eastAsia"/>
          <w:szCs w:val="24"/>
        </w:rPr>
        <w:t>仍予判讀</w:t>
      </w:r>
      <w:proofErr w:type="gramEnd"/>
      <w:r>
        <w:rPr>
          <w:rFonts w:ascii="標楷體" w:eastAsia="標楷體" w:hAnsi="標楷體" w:hint="eastAsia"/>
          <w:szCs w:val="24"/>
        </w:rPr>
        <w:t>合格；4.龍門國中等3校整建工程，施工廠商之自主檢查表及監造單位查驗紀錄表，部分施工檢查項目之品管標準與契</w:t>
      </w:r>
      <w:r w:rsidR="002123DE">
        <w:rPr>
          <w:rFonts w:ascii="標楷體" w:eastAsia="標楷體" w:hAnsi="標楷體" w:hint="eastAsia"/>
          <w:szCs w:val="24"/>
        </w:rPr>
        <w:t>約圖說規定不符，或未包含契約圖說規定檢驗停留點應行檢查之項目等情事（表8），經函請各該學校檢討改善。據復：1.因學校非工程專業，致設計書圖審查未</w:t>
      </w:r>
      <w:proofErr w:type="gramStart"/>
      <w:r w:rsidR="002123DE">
        <w:rPr>
          <w:rFonts w:ascii="標楷體" w:eastAsia="標楷體" w:hAnsi="標楷體" w:hint="eastAsia"/>
          <w:szCs w:val="24"/>
        </w:rPr>
        <w:t>臻</w:t>
      </w:r>
      <w:proofErr w:type="gramEnd"/>
      <w:r w:rsidR="002123DE">
        <w:rPr>
          <w:rFonts w:ascii="標楷體" w:eastAsia="標楷體" w:hAnsi="標楷體" w:hint="eastAsia"/>
          <w:szCs w:val="24"/>
        </w:rPr>
        <w:t>周全，爾後辦理類似工程，</w:t>
      </w:r>
    </w:p>
    <w:p w14:paraId="3F896F41" w14:textId="4CB97286" w:rsidR="008B713D" w:rsidRDefault="007351A0" w:rsidP="004B480D">
      <w:pPr>
        <w:tabs>
          <w:tab w:val="left" w:pos="4111"/>
        </w:tabs>
        <w:overflowPunct w:val="0"/>
        <w:spacing w:line="420" w:lineRule="exact"/>
        <w:jc w:val="both"/>
        <w:rPr>
          <w:rFonts w:ascii="標楷體" w:eastAsia="標楷體" w:hAnsi="標楷體"/>
          <w:szCs w:val="24"/>
        </w:rPr>
      </w:pPr>
      <w:r>
        <w:rPr>
          <w:rFonts w:ascii="新細明體" w:eastAsia="新細明體" w:hAnsi="新細明體" w:cs="新細明體"/>
          <w:noProof/>
          <w:kern w:val="0"/>
          <w:szCs w:val="24"/>
        </w:rPr>
        <w:lastRenderedPageBreak/>
        <mc:AlternateContent>
          <mc:Choice Requires="wps">
            <w:drawing>
              <wp:anchor distT="45720" distB="45720" distL="114300" distR="114300" simplePos="0" relativeHeight="251710464" behindDoc="0" locked="0" layoutInCell="1" allowOverlap="1" wp14:anchorId="473D9C42" wp14:editId="05AF0169">
                <wp:simplePos x="0" y="0"/>
                <wp:positionH relativeFrom="column">
                  <wp:posOffset>-43180</wp:posOffset>
                </wp:positionH>
                <wp:positionV relativeFrom="page">
                  <wp:posOffset>921014</wp:posOffset>
                </wp:positionV>
                <wp:extent cx="4320540" cy="2863850"/>
                <wp:effectExtent l="0" t="0" r="3810" b="0"/>
                <wp:wrapSquare wrapText="bothSides"/>
                <wp:docPr id="50" name="文字方塊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0540" cy="2863850"/>
                        </a:xfrm>
                        <a:prstGeom prst="rect">
                          <a:avLst/>
                        </a:prstGeom>
                        <a:solidFill>
                          <a:srgbClr val="FFFFFF"/>
                        </a:solidFill>
                        <a:ln w="9525">
                          <a:noFill/>
                          <a:miter lim="800000"/>
                          <a:headEnd/>
                          <a:tailEnd/>
                        </a:ln>
                      </wps:spPr>
                      <wps:txbx>
                        <w:txbxContent>
                          <w:tbl>
                            <w:tblPr>
                              <w:tblStyle w:val="21"/>
                              <w:tblW w:w="6510" w:type="dxa"/>
                              <w:tblInd w:w="-5" w:type="dxa"/>
                              <w:tblLayout w:type="fixed"/>
                              <w:tblLook w:val="04A0" w:firstRow="1" w:lastRow="0" w:firstColumn="1" w:lastColumn="0" w:noHBand="0" w:noVBand="1"/>
                            </w:tblPr>
                            <w:tblGrid>
                              <w:gridCol w:w="311"/>
                              <w:gridCol w:w="3964"/>
                              <w:gridCol w:w="447"/>
                              <w:gridCol w:w="447"/>
                              <w:gridCol w:w="447"/>
                              <w:gridCol w:w="447"/>
                              <w:gridCol w:w="447"/>
                            </w:tblGrid>
                            <w:tr w:rsidR="007351A0" w14:paraId="21D1AB0F" w14:textId="77777777" w:rsidTr="008A1DEB">
                              <w:trPr>
                                <w:trHeight w:val="283"/>
                              </w:trPr>
                              <w:tc>
                                <w:tcPr>
                                  <w:tcW w:w="6516" w:type="dxa"/>
                                  <w:gridSpan w:val="7"/>
                                  <w:tcBorders>
                                    <w:top w:val="nil"/>
                                    <w:left w:val="nil"/>
                                    <w:bottom w:val="single" w:sz="4" w:space="0" w:color="auto"/>
                                    <w:right w:val="nil"/>
                                  </w:tcBorders>
                                  <w:vAlign w:val="center"/>
                                  <w:hideMark/>
                                </w:tcPr>
                                <w:p w14:paraId="21A06865" w14:textId="77777777" w:rsidR="007351A0" w:rsidRPr="00C35CDE" w:rsidRDefault="007351A0" w:rsidP="004B480D">
                                  <w:pPr>
                                    <w:kinsoku w:val="0"/>
                                    <w:overflowPunct w:val="0"/>
                                    <w:autoSpaceDE w:val="0"/>
                                    <w:autoSpaceDN w:val="0"/>
                                    <w:spacing w:afterLines="20" w:after="72" w:line="240" w:lineRule="exact"/>
                                    <w:jc w:val="center"/>
                                    <w:textAlignment w:val="center"/>
                                    <w:rPr>
                                      <w:rFonts w:ascii="標楷體" w:eastAsia="標楷體" w:hAnsi="標楷體"/>
                                      <w:sz w:val="24"/>
                                      <w:szCs w:val="24"/>
                                    </w:rPr>
                                  </w:pPr>
                                  <w:r w:rsidRPr="00C35CDE">
                                    <w:rPr>
                                      <w:rFonts w:ascii="標楷體" w:eastAsia="標楷體" w:hAnsi="標楷體" w:hint="eastAsia"/>
                                      <w:b/>
                                      <w:sz w:val="24"/>
                                      <w:szCs w:val="24"/>
                                    </w:rPr>
                                    <w:t>表8　學校運動操場跑道整建工程缺失態樣</w:t>
                                  </w:r>
                                </w:p>
                              </w:tc>
                            </w:tr>
                            <w:tr w:rsidR="007351A0" w14:paraId="6A0A7045" w14:textId="77777777">
                              <w:trPr>
                                <w:trHeight w:val="113"/>
                              </w:trPr>
                              <w:tc>
                                <w:tcPr>
                                  <w:tcW w:w="312" w:type="dxa"/>
                                  <w:vMerge w:val="restart"/>
                                  <w:tcBorders>
                                    <w:top w:val="single" w:sz="4" w:space="0" w:color="auto"/>
                                    <w:left w:val="single" w:sz="4" w:space="0" w:color="auto"/>
                                    <w:bottom w:val="single" w:sz="4" w:space="0" w:color="auto"/>
                                    <w:right w:val="single" w:sz="4" w:space="0" w:color="auto"/>
                                  </w:tcBorders>
                                  <w:vAlign w:val="center"/>
                                  <w:hideMark/>
                                </w:tcPr>
                                <w:p w14:paraId="039C130E" w14:textId="77777777" w:rsidR="007351A0" w:rsidRDefault="007351A0">
                                  <w:pPr>
                                    <w:kinsoku w:val="0"/>
                                    <w:overflowPunct w:val="0"/>
                                    <w:autoSpaceDE w:val="0"/>
                                    <w:autoSpaceDN w:val="0"/>
                                    <w:spacing w:line="200" w:lineRule="exact"/>
                                    <w:ind w:leftChars="-20" w:left="-48" w:rightChars="-20" w:right="-48"/>
                                    <w:jc w:val="center"/>
                                    <w:textAlignment w:val="center"/>
                                    <w:rPr>
                                      <w:rFonts w:ascii="標楷體" w:eastAsia="標楷體" w:hAnsi="標楷體"/>
                                    </w:rPr>
                                  </w:pPr>
                                  <w:r>
                                    <w:rPr>
                                      <w:rFonts w:ascii="標楷體" w:eastAsia="標楷體" w:hAnsi="標楷體" w:hint="eastAsia"/>
                                    </w:rPr>
                                    <w:t>項次</w:t>
                                  </w:r>
                                </w:p>
                              </w:tc>
                              <w:tc>
                                <w:tcPr>
                                  <w:tcW w:w="3969" w:type="dxa"/>
                                  <w:vMerge w:val="restart"/>
                                  <w:tcBorders>
                                    <w:top w:val="single" w:sz="4" w:space="0" w:color="auto"/>
                                    <w:left w:val="single" w:sz="4" w:space="0" w:color="auto"/>
                                    <w:bottom w:val="single" w:sz="4" w:space="0" w:color="auto"/>
                                    <w:right w:val="single" w:sz="4" w:space="0" w:color="auto"/>
                                  </w:tcBorders>
                                  <w:vAlign w:val="center"/>
                                  <w:hideMark/>
                                </w:tcPr>
                                <w:p w14:paraId="1593A0D5" w14:textId="77777777" w:rsidR="007351A0" w:rsidRDefault="007351A0">
                                  <w:pPr>
                                    <w:kinsoku w:val="0"/>
                                    <w:overflowPunct w:val="0"/>
                                    <w:autoSpaceDE w:val="0"/>
                                    <w:autoSpaceDN w:val="0"/>
                                    <w:spacing w:line="200" w:lineRule="exact"/>
                                    <w:jc w:val="center"/>
                                    <w:textAlignment w:val="center"/>
                                    <w:rPr>
                                      <w:rFonts w:ascii="標楷體" w:eastAsia="標楷體" w:hAnsi="標楷體"/>
                                    </w:rPr>
                                  </w:pPr>
                                  <w:r>
                                    <w:rPr>
                                      <w:rFonts w:ascii="標楷體" w:eastAsia="標楷體" w:hAnsi="標楷體" w:hint="eastAsia"/>
                                    </w:rPr>
                                    <w:t>缺失態樣</w:t>
                                  </w:r>
                                </w:p>
                              </w:tc>
                              <w:tc>
                                <w:tcPr>
                                  <w:tcW w:w="2235" w:type="dxa"/>
                                  <w:gridSpan w:val="5"/>
                                  <w:tcBorders>
                                    <w:top w:val="single" w:sz="4" w:space="0" w:color="auto"/>
                                    <w:left w:val="single" w:sz="4" w:space="0" w:color="auto"/>
                                    <w:bottom w:val="single" w:sz="4" w:space="0" w:color="auto"/>
                                    <w:right w:val="single" w:sz="4" w:space="0" w:color="auto"/>
                                  </w:tcBorders>
                                  <w:hideMark/>
                                </w:tcPr>
                                <w:p w14:paraId="5B8DCD50" w14:textId="77777777" w:rsidR="007351A0" w:rsidRDefault="007351A0">
                                  <w:pPr>
                                    <w:kinsoku w:val="0"/>
                                    <w:overflowPunct w:val="0"/>
                                    <w:autoSpaceDE w:val="0"/>
                                    <w:autoSpaceDN w:val="0"/>
                                    <w:spacing w:line="200" w:lineRule="exact"/>
                                    <w:jc w:val="center"/>
                                    <w:textAlignment w:val="center"/>
                                    <w:rPr>
                                      <w:rFonts w:ascii="標楷體" w:eastAsia="標楷體" w:hAnsi="標楷體"/>
                                    </w:rPr>
                                  </w:pPr>
                                  <w:r>
                                    <w:rPr>
                                      <w:rFonts w:ascii="標楷體" w:eastAsia="標楷體" w:hAnsi="標楷體" w:hint="eastAsia"/>
                                    </w:rPr>
                                    <w:t>學校名稱</w:t>
                                  </w:r>
                                </w:p>
                              </w:tc>
                            </w:tr>
                            <w:tr w:rsidR="007351A0" w14:paraId="2F04B55D" w14:textId="77777777">
                              <w:trPr>
                                <w:trHeight w:val="113"/>
                              </w:trPr>
                              <w:tc>
                                <w:tcPr>
                                  <w:tcW w:w="6516" w:type="dxa"/>
                                  <w:vMerge/>
                                  <w:tcBorders>
                                    <w:top w:val="single" w:sz="4" w:space="0" w:color="auto"/>
                                    <w:left w:val="single" w:sz="4" w:space="0" w:color="auto"/>
                                    <w:bottom w:val="single" w:sz="4" w:space="0" w:color="auto"/>
                                    <w:right w:val="single" w:sz="4" w:space="0" w:color="auto"/>
                                  </w:tcBorders>
                                  <w:vAlign w:val="center"/>
                                  <w:hideMark/>
                                </w:tcPr>
                                <w:p w14:paraId="2D81EAB9" w14:textId="77777777" w:rsidR="007351A0" w:rsidRDefault="007351A0">
                                  <w:pPr>
                                    <w:rPr>
                                      <w:rFonts w:ascii="標楷體" w:eastAsia="標楷體" w:hAnsi="標楷體"/>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6C168502" w14:textId="77777777" w:rsidR="007351A0" w:rsidRDefault="007351A0">
                                  <w:pPr>
                                    <w:rPr>
                                      <w:rFonts w:ascii="標楷體" w:eastAsia="標楷體" w:hAnsi="標楷體"/>
                                    </w:rPr>
                                  </w:pPr>
                                </w:p>
                              </w:tc>
                              <w:tc>
                                <w:tcPr>
                                  <w:tcW w:w="447" w:type="dxa"/>
                                  <w:tcBorders>
                                    <w:top w:val="single" w:sz="4" w:space="0" w:color="auto"/>
                                    <w:left w:val="single" w:sz="4" w:space="0" w:color="auto"/>
                                    <w:bottom w:val="single" w:sz="4" w:space="0" w:color="auto"/>
                                    <w:right w:val="single" w:sz="4" w:space="0" w:color="auto"/>
                                  </w:tcBorders>
                                  <w:hideMark/>
                                </w:tcPr>
                                <w:p w14:paraId="36F99AB5" w14:textId="77777777" w:rsidR="007351A0" w:rsidRDefault="007351A0">
                                  <w:pPr>
                                    <w:kinsoku w:val="0"/>
                                    <w:overflowPunct w:val="0"/>
                                    <w:autoSpaceDE w:val="0"/>
                                    <w:autoSpaceDN w:val="0"/>
                                    <w:spacing w:line="200" w:lineRule="exact"/>
                                    <w:ind w:leftChars="-25" w:left="-60" w:rightChars="-25" w:right="-60"/>
                                    <w:jc w:val="center"/>
                                    <w:textAlignment w:val="center"/>
                                    <w:rPr>
                                      <w:rFonts w:ascii="標楷體" w:eastAsia="標楷體" w:hAnsi="標楷體"/>
                                      <w:spacing w:val="-16"/>
                                    </w:rPr>
                                  </w:pPr>
                                  <w:r>
                                    <w:rPr>
                                      <w:rFonts w:ascii="標楷體" w:eastAsia="標楷體" w:hAnsi="標楷體" w:hint="eastAsia"/>
                                      <w:spacing w:val="-16"/>
                                    </w:rPr>
                                    <w:t>龍門國中</w:t>
                                  </w:r>
                                </w:p>
                              </w:tc>
                              <w:tc>
                                <w:tcPr>
                                  <w:tcW w:w="447" w:type="dxa"/>
                                  <w:tcBorders>
                                    <w:top w:val="single" w:sz="4" w:space="0" w:color="auto"/>
                                    <w:left w:val="single" w:sz="4" w:space="0" w:color="auto"/>
                                    <w:bottom w:val="single" w:sz="4" w:space="0" w:color="auto"/>
                                    <w:right w:val="single" w:sz="4" w:space="0" w:color="auto"/>
                                  </w:tcBorders>
                                  <w:hideMark/>
                                </w:tcPr>
                                <w:p w14:paraId="20B0EAB2" w14:textId="77777777" w:rsidR="007351A0" w:rsidRDefault="007351A0">
                                  <w:pPr>
                                    <w:kinsoku w:val="0"/>
                                    <w:overflowPunct w:val="0"/>
                                    <w:autoSpaceDE w:val="0"/>
                                    <w:autoSpaceDN w:val="0"/>
                                    <w:spacing w:line="200" w:lineRule="exact"/>
                                    <w:ind w:leftChars="-25" w:left="-60" w:rightChars="-25" w:right="-60"/>
                                    <w:jc w:val="center"/>
                                    <w:textAlignment w:val="center"/>
                                    <w:rPr>
                                      <w:rFonts w:ascii="標楷體" w:eastAsia="標楷體" w:hAnsi="標楷體"/>
                                      <w:spacing w:val="-16"/>
                                    </w:rPr>
                                  </w:pPr>
                                  <w:r>
                                    <w:rPr>
                                      <w:rFonts w:ascii="標楷體" w:eastAsia="標楷體" w:hAnsi="標楷體" w:hint="eastAsia"/>
                                      <w:spacing w:val="-16"/>
                                    </w:rPr>
                                    <w:t>興雅國中</w:t>
                                  </w:r>
                                </w:p>
                              </w:tc>
                              <w:tc>
                                <w:tcPr>
                                  <w:tcW w:w="447" w:type="dxa"/>
                                  <w:tcBorders>
                                    <w:top w:val="single" w:sz="4" w:space="0" w:color="auto"/>
                                    <w:left w:val="single" w:sz="4" w:space="0" w:color="auto"/>
                                    <w:bottom w:val="single" w:sz="4" w:space="0" w:color="auto"/>
                                    <w:right w:val="single" w:sz="4" w:space="0" w:color="auto"/>
                                  </w:tcBorders>
                                  <w:vAlign w:val="center"/>
                                  <w:hideMark/>
                                </w:tcPr>
                                <w:p w14:paraId="3E287971" w14:textId="77777777" w:rsidR="007351A0" w:rsidRDefault="007351A0">
                                  <w:pPr>
                                    <w:kinsoku w:val="0"/>
                                    <w:overflowPunct w:val="0"/>
                                    <w:autoSpaceDE w:val="0"/>
                                    <w:autoSpaceDN w:val="0"/>
                                    <w:spacing w:line="200" w:lineRule="exact"/>
                                    <w:ind w:leftChars="-25" w:left="-60" w:rightChars="-25" w:right="-60"/>
                                    <w:jc w:val="center"/>
                                    <w:textAlignment w:val="center"/>
                                    <w:rPr>
                                      <w:rFonts w:ascii="標楷體" w:eastAsia="標楷體" w:hAnsi="標楷體"/>
                                      <w:spacing w:val="-16"/>
                                    </w:rPr>
                                  </w:pPr>
                                  <w:r>
                                    <w:rPr>
                                      <w:rFonts w:ascii="標楷體" w:eastAsia="標楷體" w:hAnsi="標楷體" w:hint="eastAsia"/>
                                      <w:spacing w:val="-16"/>
                                    </w:rPr>
                                    <w:t>弘道國中</w:t>
                                  </w:r>
                                </w:p>
                              </w:tc>
                              <w:tc>
                                <w:tcPr>
                                  <w:tcW w:w="447" w:type="dxa"/>
                                  <w:tcBorders>
                                    <w:top w:val="single" w:sz="4" w:space="0" w:color="auto"/>
                                    <w:left w:val="single" w:sz="4" w:space="0" w:color="auto"/>
                                    <w:bottom w:val="single" w:sz="4" w:space="0" w:color="auto"/>
                                    <w:right w:val="single" w:sz="4" w:space="0" w:color="auto"/>
                                  </w:tcBorders>
                                  <w:vAlign w:val="center"/>
                                  <w:hideMark/>
                                </w:tcPr>
                                <w:p w14:paraId="31C7C888" w14:textId="77777777" w:rsidR="007351A0" w:rsidRDefault="007351A0">
                                  <w:pPr>
                                    <w:kinsoku w:val="0"/>
                                    <w:overflowPunct w:val="0"/>
                                    <w:autoSpaceDE w:val="0"/>
                                    <w:autoSpaceDN w:val="0"/>
                                    <w:spacing w:line="200" w:lineRule="exact"/>
                                    <w:ind w:leftChars="-25" w:left="-60" w:rightChars="-25" w:right="-60"/>
                                    <w:jc w:val="center"/>
                                    <w:textAlignment w:val="center"/>
                                    <w:rPr>
                                      <w:rFonts w:ascii="標楷體" w:eastAsia="標楷體" w:hAnsi="標楷體"/>
                                      <w:spacing w:val="-16"/>
                                    </w:rPr>
                                  </w:pPr>
                                  <w:r>
                                    <w:rPr>
                                      <w:rFonts w:ascii="標楷體" w:eastAsia="標楷體" w:hAnsi="標楷體" w:hint="eastAsia"/>
                                      <w:spacing w:val="-16"/>
                                    </w:rPr>
                                    <w:t>永樂國小</w:t>
                                  </w:r>
                                </w:p>
                              </w:tc>
                              <w:tc>
                                <w:tcPr>
                                  <w:tcW w:w="447" w:type="dxa"/>
                                  <w:tcBorders>
                                    <w:top w:val="single" w:sz="4" w:space="0" w:color="auto"/>
                                    <w:left w:val="single" w:sz="4" w:space="0" w:color="auto"/>
                                    <w:bottom w:val="single" w:sz="4" w:space="0" w:color="auto"/>
                                    <w:right w:val="single" w:sz="4" w:space="0" w:color="auto"/>
                                  </w:tcBorders>
                                  <w:vAlign w:val="center"/>
                                  <w:hideMark/>
                                </w:tcPr>
                                <w:p w14:paraId="5864D322" w14:textId="77777777" w:rsidR="007351A0" w:rsidRDefault="007351A0">
                                  <w:pPr>
                                    <w:kinsoku w:val="0"/>
                                    <w:overflowPunct w:val="0"/>
                                    <w:autoSpaceDE w:val="0"/>
                                    <w:autoSpaceDN w:val="0"/>
                                    <w:spacing w:line="200" w:lineRule="exact"/>
                                    <w:ind w:leftChars="-25" w:left="-60" w:rightChars="-25" w:right="-60"/>
                                    <w:jc w:val="center"/>
                                    <w:textAlignment w:val="center"/>
                                    <w:rPr>
                                      <w:rFonts w:ascii="標楷體" w:eastAsia="標楷體" w:hAnsi="標楷體"/>
                                      <w:spacing w:val="-16"/>
                                    </w:rPr>
                                  </w:pPr>
                                  <w:r>
                                    <w:rPr>
                                      <w:rFonts w:ascii="標楷體" w:eastAsia="標楷體" w:hAnsi="標楷體" w:hint="eastAsia"/>
                                      <w:spacing w:val="-16"/>
                                    </w:rPr>
                                    <w:t>明湖國小</w:t>
                                  </w:r>
                                </w:p>
                              </w:tc>
                            </w:tr>
                            <w:tr w:rsidR="007351A0" w14:paraId="3737CC02" w14:textId="77777777" w:rsidTr="002123DE">
                              <w:trPr>
                                <w:trHeight w:val="510"/>
                              </w:trPr>
                              <w:tc>
                                <w:tcPr>
                                  <w:tcW w:w="312" w:type="dxa"/>
                                  <w:tcBorders>
                                    <w:top w:val="single" w:sz="4" w:space="0" w:color="auto"/>
                                    <w:left w:val="single" w:sz="4" w:space="0" w:color="auto"/>
                                    <w:bottom w:val="single" w:sz="4" w:space="0" w:color="auto"/>
                                    <w:right w:val="single" w:sz="4" w:space="0" w:color="auto"/>
                                  </w:tcBorders>
                                  <w:vAlign w:val="center"/>
                                  <w:hideMark/>
                                </w:tcPr>
                                <w:p w14:paraId="62AE8DD8"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1</w:t>
                                  </w:r>
                                </w:p>
                              </w:tc>
                              <w:tc>
                                <w:tcPr>
                                  <w:tcW w:w="3969" w:type="dxa"/>
                                  <w:tcBorders>
                                    <w:top w:val="single" w:sz="4" w:space="0" w:color="auto"/>
                                    <w:left w:val="single" w:sz="4" w:space="0" w:color="auto"/>
                                    <w:bottom w:val="single" w:sz="4" w:space="0" w:color="auto"/>
                                    <w:right w:val="single" w:sz="4" w:space="0" w:color="auto"/>
                                  </w:tcBorders>
                                  <w:vAlign w:val="center"/>
                                  <w:hideMark/>
                                </w:tcPr>
                                <w:p w14:paraId="5D84883C"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spacing w:val="-10"/>
                                    </w:rPr>
                                  </w:pPr>
                                  <w:r>
                                    <w:rPr>
                                      <w:rFonts w:ascii="標楷體" w:eastAsia="標楷體" w:hAnsi="標楷體" w:hint="eastAsia"/>
                                      <w:spacing w:val="-10"/>
                                    </w:rPr>
                                    <w:t>核定之細部設計書圖中，未明訂合成橡膠</w:t>
                                  </w:r>
                                  <w:proofErr w:type="gramStart"/>
                                  <w:r>
                                    <w:rPr>
                                      <w:rFonts w:ascii="標楷體" w:eastAsia="標楷體" w:hAnsi="標楷體" w:hint="eastAsia"/>
                                      <w:spacing w:val="-10"/>
                                    </w:rPr>
                                    <w:t>跑道面層黏著</w:t>
                                  </w:r>
                                  <w:proofErr w:type="gramEnd"/>
                                  <w:r>
                                    <w:rPr>
                                      <w:rFonts w:ascii="標楷體" w:eastAsia="標楷體" w:hAnsi="標楷體" w:hint="eastAsia"/>
                                      <w:spacing w:val="-10"/>
                                    </w:rPr>
                                    <w:t>劑成分不得含有「甲苯二異氰酸脂（TDI）」。</w:t>
                                  </w:r>
                                </w:p>
                              </w:tc>
                              <w:tc>
                                <w:tcPr>
                                  <w:tcW w:w="447" w:type="dxa"/>
                                  <w:tcBorders>
                                    <w:top w:val="single" w:sz="4" w:space="0" w:color="auto"/>
                                    <w:left w:val="single" w:sz="4" w:space="0" w:color="auto"/>
                                    <w:bottom w:val="single" w:sz="4" w:space="0" w:color="auto"/>
                                    <w:right w:val="single" w:sz="4" w:space="0" w:color="auto"/>
                                  </w:tcBorders>
                                  <w:vAlign w:val="center"/>
                                </w:tcPr>
                                <w:p w14:paraId="406B4DCC"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6F94697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2B9E083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68AD084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5122984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r>
                            <w:tr w:rsidR="007351A0" w14:paraId="53EEE0CC" w14:textId="77777777" w:rsidTr="002123DE">
                              <w:trPr>
                                <w:trHeight w:val="510"/>
                              </w:trPr>
                              <w:tc>
                                <w:tcPr>
                                  <w:tcW w:w="312" w:type="dxa"/>
                                  <w:tcBorders>
                                    <w:top w:val="single" w:sz="4" w:space="0" w:color="auto"/>
                                    <w:left w:val="single" w:sz="4" w:space="0" w:color="auto"/>
                                    <w:bottom w:val="single" w:sz="4" w:space="0" w:color="auto"/>
                                    <w:right w:val="single" w:sz="4" w:space="0" w:color="auto"/>
                                  </w:tcBorders>
                                  <w:vAlign w:val="center"/>
                                  <w:hideMark/>
                                </w:tcPr>
                                <w:p w14:paraId="729A2CC2"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2</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FB40BFC"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spacing w:val="-2"/>
                                    </w:rPr>
                                  </w:pPr>
                                  <w:r>
                                    <w:rPr>
                                      <w:rFonts w:ascii="標楷體" w:eastAsia="標楷體" w:hAnsi="標楷體" w:hint="eastAsia"/>
                                      <w:spacing w:val="-2"/>
                                    </w:rPr>
                                    <w:t>細部設計書圖規範</w:t>
                                  </w:r>
                                  <w:proofErr w:type="gramStart"/>
                                  <w:r>
                                    <w:rPr>
                                      <w:rFonts w:ascii="標楷體" w:eastAsia="標楷體" w:hAnsi="標楷體" w:hint="eastAsia"/>
                                      <w:spacing w:val="-2"/>
                                    </w:rPr>
                                    <w:t>跑道面層黏著</w:t>
                                  </w:r>
                                  <w:proofErr w:type="gramEnd"/>
                                  <w:r>
                                    <w:rPr>
                                      <w:rFonts w:ascii="標楷體" w:eastAsia="標楷體" w:hAnsi="標楷體" w:hint="eastAsia"/>
                                      <w:spacing w:val="-2"/>
                                    </w:rPr>
                                    <w:t>劑施作後，應於其上施予重壓之時間或有不足，或未明定。</w:t>
                                  </w:r>
                                </w:p>
                              </w:tc>
                              <w:tc>
                                <w:tcPr>
                                  <w:tcW w:w="447" w:type="dxa"/>
                                  <w:tcBorders>
                                    <w:top w:val="single" w:sz="4" w:space="0" w:color="auto"/>
                                    <w:left w:val="single" w:sz="4" w:space="0" w:color="auto"/>
                                    <w:bottom w:val="single" w:sz="4" w:space="0" w:color="auto"/>
                                    <w:right w:val="single" w:sz="4" w:space="0" w:color="auto"/>
                                  </w:tcBorders>
                                  <w:vAlign w:val="center"/>
                                </w:tcPr>
                                <w:p w14:paraId="593C7F9D"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00F8854D"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591E9797"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05AA53AD"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7258CE4A"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r>
                            <w:tr w:rsidR="007351A0" w14:paraId="158AE558" w14:textId="77777777" w:rsidTr="002123DE">
                              <w:trPr>
                                <w:trHeight w:val="510"/>
                              </w:trPr>
                              <w:tc>
                                <w:tcPr>
                                  <w:tcW w:w="312" w:type="dxa"/>
                                  <w:tcBorders>
                                    <w:top w:val="single" w:sz="4" w:space="0" w:color="auto"/>
                                    <w:left w:val="single" w:sz="4" w:space="0" w:color="auto"/>
                                    <w:bottom w:val="single" w:sz="4" w:space="0" w:color="auto"/>
                                    <w:right w:val="single" w:sz="4" w:space="0" w:color="auto"/>
                                  </w:tcBorders>
                                  <w:vAlign w:val="center"/>
                                  <w:hideMark/>
                                </w:tcPr>
                                <w:p w14:paraId="0E32CBF4"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3</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DC6FAF3"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rPr>
                                  </w:pPr>
                                  <w:r>
                                    <w:rPr>
                                      <w:rFonts w:ascii="標楷體" w:eastAsia="標楷體" w:hAnsi="標楷體" w:hint="eastAsia"/>
                                    </w:rPr>
                                    <w:t>施工廠商未依約現場抽驗操場</w:t>
                                  </w:r>
                                  <w:proofErr w:type="gramStart"/>
                                  <w:r>
                                    <w:rPr>
                                      <w:rFonts w:ascii="標楷體" w:eastAsia="標楷體" w:hAnsi="標楷體" w:hint="eastAsia"/>
                                    </w:rPr>
                                    <w:t>跑道面層等</w:t>
                                  </w:r>
                                  <w:proofErr w:type="gramEnd"/>
                                  <w:r>
                                    <w:rPr>
                                      <w:rFonts w:ascii="標楷體" w:eastAsia="標楷體" w:hAnsi="標楷體" w:hint="eastAsia"/>
                                    </w:rPr>
                                    <w:t>材料並出具試驗報告。</w:t>
                                  </w:r>
                                </w:p>
                              </w:tc>
                              <w:tc>
                                <w:tcPr>
                                  <w:tcW w:w="447" w:type="dxa"/>
                                  <w:tcBorders>
                                    <w:top w:val="single" w:sz="4" w:space="0" w:color="auto"/>
                                    <w:left w:val="single" w:sz="4" w:space="0" w:color="auto"/>
                                    <w:bottom w:val="single" w:sz="4" w:space="0" w:color="auto"/>
                                    <w:right w:val="single" w:sz="4" w:space="0" w:color="auto"/>
                                  </w:tcBorders>
                                  <w:vAlign w:val="center"/>
                                  <w:hideMark/>
                                </w:tcPr>
                                <w:p w14:paraId="659615AA"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49CA0F59"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tcPr>
                                <w:p w14:paraId="67BB9515"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225338F9"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6DBD62F9"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r>
                            <w:tr w:rsidR="007351A0" w14:paraId="7A64350F" w14:textId="77777777">
                              <w:tc>
                                <w:tcPr>
                                  <w:tcW w:w="312" w:type="dxa"/>
                                  <w:tcBorders>
                                    <w:top w:val="single" w:sz="4" w:space="0" w:color="auto"/>
                                    <w:left w:val="single" w:sz="4" w:space="0" w:color="auto"/>
                                    <w:bottom w:val="single" w:sz="4" w:space="0" w:color="auto"/>
                                    <w:right w:val="single" w:sz="4" w:space="0" w:color="auto"/>
                                  </w:tcBorders>
                                  <w:vAlign w:val="center"/>
                                  <w:hideMark/>
                                </w:tcPr>
                                <w:p w14:paraId="0C8D104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4</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AB53255"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spacing w:val="-14"/>
                                    </w:rPr>
                                  </w:pPr>
                                  <w:r>
                                    <w:rPr>
                                      <w:rFonts w:ascii="標楷體" w:eastAsia="標楷體" w:hAnsi="標楷體" w:hint="eastAsia"/>
                                      <w:spacing w:val="-14"/>
                                    </w:rPr>
                                    <w:t>監造單位未會同施工廠商辦理</w:t>
                                  </w:r>
                                  <w:proofErr w:type="gramStart"/>
                                  <w:r>
                                    <w:rPr>
                                      <w:rFonts w:ascii="標楷體" w:eastAsia="標楷體" w:hAnsi="標楷體" w:hint="eastAsia"/>
                                      <w:spacing w:val="-14"/>
                                    </w:rPr>
                                    <w:t>跑道面層</w:t>
                                  </w:r>
                                  <w:proofErr w:type="gramEnd"/>
                                  <w:r>
                                    <w:rPr>
                                      <w:rFonts w:ascii="標楷體" w:eastAsia="標楷體" w:hAnsi="標楷體" w:hint="eastAsia"/>
                                      <w:spacing w:val="-14"/>
                                    </w:rPr>
                                    <w:t>、接著劑、</w:t>
                                  </w:r>
                                  <w:proofErr w:type="gramStart"/>
                                  <w:r>
                                    <w:rPr>
                                      <w:rFonts w:ascii="標楷體" w:eastAsia="標楷體" w:hAnsi="標楷體" w:hint="eastAsia"/>
                                      <w:spacing w:val="-14"/>
                                    </w:rPr>
                                    <w:t>壓克力面材或</w:t>
                                  </w:r>
                                  <w:proofErr w:type="gramEnd"/>
                                  <w:r>
                                    <w:rPr>
                                      <w:rFonts w:ascii="標楷體" w:eastAsia="標楷體" w:hAnsi="標楷體" w:hint="eastAsia"/>
                                      <w:spacing w:val="-14"/>
                                    </w:rPr>
                                    <w:t>瀝青混凝土等材料取樣後之送驗事宜。</w:t>
                                  </w:r>
                                </w:p>
                              </w:tc>
                              <w:tc>
                                <w:tcPr>
                                  <w:tcW w:w="447" w:type="dxa"/>
                                  <w:tcBorders>
                                    <w:top w:val="single" w:sz="4" w:space="0" w:color="auto"/>
                                    <w:left w:val="single" w:sz="4" w:space="0" w:color="auto"/>
                                    <w:bottom w:val="single" w:sz="4" w:space="0" w:color="auto"/>
                                    <w:right w:val="single" w:sz="4" w:space="0" w:color="auto"/>
                                  </w:tcBorders>
                                  <w:vAlign w:val="center"/>
                                  <w:hideMark/>
                                </w:tcPr>
                                <w:p w14:paraId="34589A8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462C2679"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26CCC11B"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1818F7C9"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10E69EBB"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r>
                            <w:tr w:rsidR="007351A0" w14:paraId="4EF72C93" w14:textId="77777777">
                              <w:tc>
                                <w:tcPr>
                                  <w:tcW w:w="312" w:type="dxa"/>
                                  <w:tcBorders>
                                    <w:top w:val="single" w:sz="4" w:space="0" w:color="auto"/>
                                    <w:left w:val="single" w:sz="4" w:space="0" w:color="auto"/>
                                    <w:bottom w:val="single" w:sz="4" w:space="0" w:color="auto"/>
                                    <w:right w:val="single" w:sz="4" w:space="0" w:color="auto"/>
                                  </w:tcBorders>
                                  <w:vAlign w:val="center"/>
                                  <w:hideMark/>
                                </w:tcPr>
                                <w:p w14:paraId="71548B70"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537645CA"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rPr>
                                  </w:pPr>
                                  <w:r>
                                    <w:rPr>
                                      <w:rFonts w:ascii="標楷體" w:eastAsia="標楷體" w:hAnsi="標楷體" w:hint="eastAsia"/>
                                    </w:rPr>
                                    <w:t>操場跑道瀝青混凝土施作完成後之平坦度試驗結果不符契約規定標準，惟</w:t>
                                  </w:r>
                                  <w:proofErr w:type="gramStart"/>
                                  <w:r>
                                    <w:rPr>
                                      <w:rFonts w:ascii="標楷體" w:eastAsia="標楷體" w:hAnsi="標楷體" w:hint="eastAsia"/>
                                    </w:rPr>
                                    <w:t>仍予判讀</w:t>
                                  </w:r>
                                  <w:proofErr w:type="gramEnd"/>
                                  <w:r>
                                    <w:rPr>
                                      <w:rFonts w:ascii="標楷體" w:eastAsia="標楷體" w:hAnsi="標楷體" w:hint="eastAsia"/>
                                    </w:rPr>
                                    <w:t>合格。</w:t>
                                  </w:r>
                                </w:p>
                              </w:tc>
                              <w:tc>
                                <w:tcPr>
                                  <w:tcW w:w="447" w:type="dxa"/>
                                  <w:tcBorders>
                                    <w:top w:val="single" w:sz="4" w:space="0" w:color="auto"/>
                                    <w:left w:val="single" w:sz="4" w:space="0" w:color="auto"/>
                                    <w:bottom w:val="single" w:sz="4" w:space="0" w:color="auto"/>
                                    <w:right w:val="single" w:sz="4" w:space="0" w:color="auto"/>
                                  </w:tcBorders>
                                  <w:vAlign w:val="center"/>
                                </w:tcPr>
                                <w:p w14:paraId="7B604B31"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tcPr>
                                <w:p w14:paraId="38319DD3"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tcPr>
                                <w:p w14:paraId="6280676A"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tcPr>
                                <w:p w14:paraId="730C3D73"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379E4CDB"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r>
                            <w:tr w:rsidR="007351A0" w14:paraId="2719B66A" w14:textId="77777777">
                              <w:tc>
                                <w:tcPr>
                                  <w:tcW w:w="312" w:type="dxa"/>
                                  <w:tcBorders>
                                    <w:top w:val="single" w:sz="4" w:space="0" w:color="auto"/>
                                    <w:left w:val="single" w:sz="4" w:space="0" w:color="auto"/>
                                    <w:bottom w:val="single" w:sz="4" w:space="0" w:color="auto"/>
                                    <w:right w:val="single" w:sz="4" w:space="0" w:color="auto"/>
                                  </w:tcBorders>
                                  <w:vAlign w:val="center"/>
                                  <w:hideMark/>
                                </w:tcPr>
                                <w:p w14:paraId="7B75D406"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6</w:t>
                                  </w:r>
                                </w:p>
                              </w:tc>
                              <w:tc>
                                <w:tcPr>
                                  <w:tcW w:w="3969" w:type="dxa"/>
                                  <w:tcBorders>
                                    <w:top w:val="single" w:sz="4" w:space="0" w:color="auto"/>
                                    <w:left w:val="single" w:sz="4" w:space="0" w:color="auto"/>
                                    <w:bottom w:val="single" w:sz="4" w:space="0" w:color="auto"/>
                                    <w:right w:val="single" w:sz="4" w:space="0" w:color="auto"/>
                                  </w:tcBorders>
                                  <w:vAlign w:val="center"/>
                                  <w:hideMark/>
                                </w:tcPr>
                                <w:p w14:paraId="7253D51A"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spacing w:val="-14"/>
                                    </w:rPr>
                                  </w:pPr>
                                  <w:r>
                                    <w:rPr>
                                      <w:rFonts w:ascii="標楷體" w:eastAsia="標楷體" w:hAnsi="標楷體" w:hint="eastAsia"/>
                                      <w:spacing w:val="-14"/>
                                    </w:rPr>
                                    <w:t>核定施工廠商之自主檢查表及監造單位查驗紀錄表，部分施工檢查項目之品管標準與契約圖說規定不符，或未包含契約圖說規定檢驗停留點應行檢查之項目。</w:t>
                                  </w:r>
                                </w:p>
                              </w:tc>
                              <w:tc>
                                <w:tcPr>
                                  <w:tcW w:w="447" w:type="dxa"/>
                                  <w:tcBorders>
                                    <w:top w:val="single" w:sz="4" w:space="0" w:color="auto"/>
                                    <w:left w:val="single" w:sz="4" w:space="0" w:color="auto"/>
                                    <w:bottom w:val="single" w:sz="4" w:space="0" w:color="auto"/>
                                    <w:right w:val="single" w:sz="4" w:space="0" w:color="auto"/>
                                  </w:tcBorders>
                                  <w:vAlign w:val="center"/>
                                  <w:hideMark/>
                                </w:tcPr>
                                <w:p w14:paraId="15232814"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00C554D2"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2D53AFB1"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7E87E40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3E42E360"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r>
                            <w:tr w:rsidR="007351A0" w14:paraId="58A4FD79" w14:textId="77777777">
                              <w:tc>
                                <w:tcPr>
                                  <w:tcW w:w="6516" w:type="dxa"/>
                                  <w:gridSpan w:val="7"/>
                                  <w:tcBorders>
                                    <w:top w:val="single" w:sz="4" w:space="0" w:color="auto"/>
                                    <w:left w:val="nil"/>
                                    <w:bottom w:val="nil"/>
                                    <w:right w:val="nil"/>
                                  </w:tcBorders>
                                  <w:vAlign w:val="center"/>
                                </w:tcPr>
                                <w:p w14:paraId="2077C080" w14:textId="77777777" w:rsidR="007351A0" w:rsidRDefault="007351A0">
                                  <w:pPr>
                                    <w:kinsoku w:val="0"/>
                                    <w:overflowPunct w:val="0"/>
                                    <w:autoSpaceDE w:val="0"/>
                                    <w:autoSpaceDN w:val="0"/>
                                    <w:spacing w:line="240" w:lineRule="exact"/>
                                    <w:ind w:leftChars="-45" w:hangingChars="60" w:hanging="108"/>
                                    <w:jc w:val="both"/>
                                    <w:textAlignment w:val="center"/>
                                    <w:rPr>
                                      <w:sz w:val="18"/>
                                      <w:szCs w:val="18"/>
                                    </w:rPr>
                                  </w:pPr>
                                  <w:r>
                                    <w:rPr>
                                      <w:rFonts w:ascii="標楷體" w:eastAsia="標楷體" w:hAnsi="標楷體" w:hint="eastAsia"/>
                                      <w:sz w:val="18"/>
                                      <w:szCs w:val="18"/>
                                    </w:rPr>
                                    <w:t>資料來源：整理教育局提供資料。</w:t>
                                  </w:r>
                                </w:p>
                                <w:p w14:paraId="2D20A69F" w14:textId="77777777" w:rsidR="007351A0" w:rsidRDefault="007351A0">
                                  <w:pPr>
                                    <w:kinsoku w:val="0"/>
                                    <w:overflowPunct w:val="0"/>
                                    <w:autoSpaceDE w:val="0"/>
                                    <w:autoSpaceDN w:val="0"/>
                                    <w:spacing w:line="240" w:lineRule="exact"/>
                                    <w:jc w:val="center"/>
                                    <w:textAlignment w:val="center"/>
                                    <w:rPr>
                                      <w:rFonts w:ascii="標楷體" w:eastAsia="標楷體" w:hAnsi="標楷體"/>
                                      <w:color w:val="FF0000"/>
                                    </w:rPr>
                                  </w:pPr>
                                </w:p>
                              </w:tc>
                            </w:tr>
                          </w:tbl>
                          <w:p w14:paraId="4C9CF162" w14:textId="77777777" w:rsidR="007351A0" w:rsidRDefault="007351A0" w:rsidP="007351A0"/>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3D9C42" id="文字方塊 50" o:spid="_x0000_s1064" type="#_x0000_t202" style="position:absolute;left:0;text-align:left;margin-left:-3.4pt;margin-top:72.5pt;width:340.2pt;height:225.5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" stroked="f">
                <v:textbox>
                  <w:txbxContent>
                    <w:tbl>
                      <w:tblPr>
                        <w:tblStyle w:val="21"/>
                        <w:tblW w:w="6510" w:type="dxa"/>
                        <w:tblInd w:w="-5" w:type="dxa"/>
                        <w:tblLayout w:type="fixed"/>
                        <w:tblLook w:val="04A0" w:firstRow="1" w:lastRow="0" w:firstColumn="1" w:lastColumn="0" w:noHBand="0" w:noVBand="1"/>
                      </w:tblPr>
                      <w:tblGrid>
                        <w:gridCol w:w="311"/>
                        <w:gridCol w:w="3964"/>
                        <w:gridCol w:w="447"/>
                        <w:gridCol w:w="447"/>
                        <w:gridCol w:w="447"/>
                        <w:gridCol w:w="447"/>
                        <w:gridCol w:w="447"/>
                      </w:tblGrid>
                      <w:tr w:rsidR="007351A0" w14:paraId="21D1AB0F" w14:textId="77777777" w:rsidTr="008A1DEB">
                        <w:trPr>
                          <w:trHeight w:val="283"/>
                        </w:trPr>
                        <w:tc>
                          <w:tcPr>
                            <w:tcW w:w="6516" w:type="dxa"/>
                            <w:gridSpan w:val="7"/>
                            <w:tcBorders>
                              <w:top w:val="nil"/>
                              <w:left w:val="nil"/>
                              <w:bottom w:val="single" w:sz="4" w:space="0" w:color="auto"/>
                              <w:right w:val="nil"/>
                            </w:tcBorders>
                            <w:vAlign w:val="center"/>
                            <w:hideMark/>
                          </w:tcPr>
                          <w:p w14:paraId="21A06865" w14:textId="77777777" w:rsidR="007351A0" w:rsidRPr="00C35CDE" w:rsidRDefault="007351A0" w:rsidP="004B480D">
                            <w:pPr>
                              <w:kinsoku w:val="0"/>
                              <w:overflowPunct w:val="0"/>
                              <w:autoSpaceDE w:val="0"/>
                              <w:autoSpaceDN w:val="0"/>
                              <w:spacing w:afterLines="20" w:after="72" w:line="240" w:lineRule="exact"/>
                              <w:jc w:val="center"/>
                              <w:textAlignment w:val="center"/>
                              <w:rPr>
                                <w:rFonts w:ascii="標楷體" w:eastAsia="標楷體" w:hAnsi="標楷體"/>
                                <w:sz w:val="24"/>
                                <w:szCs w:val="24"/>
                              </w:rPr>
                            </w:pPr>
                            <w:r w:rsidRPr="00C35CDE">
                              <w:rPr>
                                <w:rFonts w:ascii="標楷體" w:eastAsia="標楷體" w:hAnsi="標楷體" w:hint="eastAsia"/>
                                <w:b/>
                                <w:sz w:val="24"/>
                                <w:szCs w:val="24"/>
                              </w:rPr>
                              <w:t>表8　學校運動操場跑道整建工程缺失態樣</w:t>
                            </w:r>
                          </w:p>
                        </w:tc>
                      </w:tr>
                      <w:tr w:rsidR="007351A0" w14:paraId="6A0A7045" w14:textId="77777777">
                        <w:trPr>
                          <w:trHeight w:val="113"/>
                        </w:trPr>
                        <w:tc>
                          <w:tcPr>
                            <w:tcW w:w="312" w:type="dxa"/>
                            <w:vMerge w:val="restart"/>
                            <w:tcBorders>
                              <w:top w:val="single" w:sz="4" w:space="0" w:color="auto"/>
                              <w:left w:val="single" w:sz="4" w:space="0" w:color="auto"/>
                              <w:bottom w:val="single" w:sz="4" w:space="0" w:color="auto"/>
                              <w:right w:val="single" w:sz="4" w:space="0" w:color="auto"/>
                            </w:tcBorders>
                            <w:vAlign w:val="center"/>
                            <w:hideMark/>
                          </w:tcPr>
                          <w:p w14:paraId="039C130E" w14:textId="77777777" w:rsidR="007351A0" w:rsidRDefault="007351A0">
                            <w:pPr>
                              <w:kinsoku w:val="0"/>
                              <w:overflowPunct w:val="0"/>
                              <w:autoSpaceDE w:val="0"/>
                              <w:autoSpaceDN w:val="0"/>
                              <w:spacing w:line="200" w:lineRule="exact"/>
                              <w:ind w:leftChars="-20" w:left="-48" w:rightChars="-20" w:right="-48"/>
                              <w:jc w:val="center"/>
                              <w:textAlignment w:val="center"/>
                              <w:rPr>
                                <w:rFonts w:ascii="標楷體" w:eastAsia="標楷體" w:hAnsi="標楷體"/>
                              </w:rPr>
                            </w:pPr>
                            <w:r>
                              <w:rPr>
                                <w:rFonts w:ascii="標楷體" w:eastAsia="標楷體" w:hAnsi="標楷體" w:hint="eastAsia"/>
                              </w:rPr>
                              <w:t>項次</w:t>
                            </w:r>
                          </w:p>
                        </w:tc>
                        <w:tc>
                          <w:tcPr>
                            <w:tcW w:w="3969" w:type="dxa"/>
                            <w:vMerge w:val="restart"/>
                            <w:tcBorders>
                              <w:top w:val="single" w:sz="4" w:space="0" w:color="auto"/>
                              <w:left w:val="single" w:sz="4" w:space="0" w:color="auto"/>
                              <w:bottom w:val="single" w:sz="4" w:space="0" w:color="auto"/>
                              <w:right w:val="single" w:sz="4" w:space="0" w:color="auto"/>
                            </w:tcBorders>
                            <w:vAlign w:val="center"/>
                            <w:hideMark/>
                          </w:tcPr>
                          <w:p w14:paraId="1593A0D5" w14:textId="77777777" w:rsidR="007351A0" w:rsidRDefault="007351A0">
                            <w:pPr>
                              <w:kinsoku w:val="0"/>
                              <w:overflowPunct w:val="0"/>
                              <w:autoSpaceDE w:val="0"/>
                              <w:autoSpaceDN w:val="0"/>
                              <w:spacing w:line="200" w:lineRule="exact"/>
                              <w:jc w:val="center"/>
                              <w:textAlignment w:val="center"/>
                              <w:rPr>
                                <w:rFonts w:ascii="標楷體" w:eastAsia="標楷體" w:hAnsi="標楷體"/>
                              </w:rPr>
                            </w:pPr>
                            <w:r>
                              <w:rPr>
                                <w:rFonts w:ascii="標楷體" w:eastAsia="標楷體" w:hAnsi="標楷體" w:hint="eastAsia"/>
                              </w:rPr>
                              <w:t>缺失態樣</w:t>
                            </w:r>
                          </w:p>
                        </w:tc>
                        <w:tc>
                          <w:tcPr>
                            <w:tcW w:w="2235" w:type="dxa"/>
                            <w:gridSpan w:val="5"/>
                            <w:tcBorders>
                              <w:top w:val="single" w:sz="4" w:space="0" w:color="auto"/>
                              <w:left w:val="single" w:sz="4" w:space="0" w:color="auto"/>
                              <w:bottom w:val="single" w:sz="4" w:space="0" w:color="auto"/>
                              <w:right w:val="single" w:sz="4" w:space="0" w:color="auto"/>
                            </w:tcBorders>
                            <w:hideMark/>
                          </w:tcPr>
                          <w:p w14:paraId="5B8DCD50" w14:textId="77777777" w:rsidR="007351A0" w:rsidRDefault="007351A0">
                            <w:pPr>
                              <w:kinsoku w:val="0"/>
                              <w:overflowPunct w:val="0"/>
                              <w:autoSpaceDE w:val="0"/>
                              <w:autoSpaceDN w:val="0"/>
                              <w:spacing w:line="200" w:lineRule="exact"/>
                              <w:jc w:val="center"/>
                              <w:textAlignment w:val="center"/>
                              <w:rPr>
                                <w:rFonts w:ascii="標楷體" w:eastAsia="標楷體" w:hAnsi="標楷體"/>
                              </w:rPr>
                            </w:pPr>
                            <w:r>
                              <w:rPr>
                                <w:rFonts w:ascii="標楷體" w:eastAsia="標楷體" w:hAnsi="標楷體" w:hint="eastAsia"/>
                              </w:rPr>
                              <w:t>學校名稱</w:t>
                            </w:r>
                          </w:p>
                        </w:tc>
                      </w:tr>
                      <w:tr w:rsidR="007351A0" w14:paraId="2F04B55D" w14:textId="77777777">
                        <w:trPr>
                          <w:trHeight w:val="113"/>
                        </w:trPr>
                        <w:tc>
                          <w:tcPr>
                            <w:tcW w:w="6516" w:type="dxa"/>
                            <w:vMerge/>
                            <w:tcBorders>
                              <w:top w:val="single" w:sz="4" w:space="0" w:color="auto"/>
                              <w:left w:val="single" w:sz="4" w:space="0" w:color="auto"/>
                              <w:bottom w:val="single" w:sz="4" w:space="0" w:color="auto"/>
                              <w:right w:val="single" w:sz="4" w:space="0" w:color="auto"/>
                            </w:tcBorders>
                            <w:vAlign w:val="center"/>
                            <w:hideMark/>
                          </w:tcPr>
                          <w:p w14:paraId="2D81EAB9" w14:textId="77777777" w:rsidR="007351A0" w:rsidRDefault="007351A0">
                            <w:pPr>
                              <w:rPr>
                                <w:rFonts w:ascii="標楷體" w:eastAsia="標楷體" w:hAnsi="標楷體"/>
                              </w:rPr>
                            </w:pPr>
                          </w:p>
                        </w:tc>
                        <w:tc>
                          <w:tcPr>
                            <w:tcW w:w="3969" w:type="dxa"/>
                            <w:vMerge/>
                            <w:tcBorders>
                              <w:top w:val="single" w:sz="4" w:space="0" w:color="auto"/>
                              <w:left w:val="single" w:sz="4" w:space="0" w:color="auto"/>
                              <w:bottom w:val="single" w:sz="4" w:space="0" w:color="auto"/>
                              <w:right w:val="single" w:sz="4" w:space="0" w:color="auto"/>
                            </w:tcBorders>
                            <w:vAlign w:val="center"/>
                            <w:hideMark/>
                          </w:tcPr>
                          <w:p w14:paraId="6C168502" w14:textId="77777777" w:rsidR="007351A0" w:rsidRDefault="007351A0">
                            <w:pPr>
                              <w:rPr>
                                <w:rFonts w:ascii="標楷體" w:eastAsia="標楷體" w:hAnsi="標楷體"/>
                              </w:rPr>
                            </w:pPr>
                          </w:p>
                        </w:tc>
                        <w:tc>
                          <w:tcPr>
                            <w:tcW w:w="447" w:type="dxa"/>
                            <w:tcBorders>
                              <w:top w:val="single" w:sz="4" w:space="0" w:color="auto"/>
                              <w:left w:val="single" w:sz="4" w:space="0" w:color="auto"/>
                              <w:bottom w:val="single" w:sz="4" w:space="0" w:color="auto"/>
                              <w:right w:val="single" w:sz="4" w:space="0" w:color="auto"/>
                            </w:tcBorders>
                            <w:hideMark/>
                          </w:tcPr>
                          <w:p w14:paraId="36F99AB5" w14:textId="77777777" w:rsidR="007351A0" w:rsidRDefault="007351A0">
                            <w:pPr>
                              <w:kinsoku w:val="0"/>
                              <w:overflowPunct w:val="0"/>
                              <w:autoSpaceDE w:val="0"/>
                              <w:autoSpaceDN w:val="0"/>
                              <w:spacing w:line="200" w:lineRule="exact"/>
                              <w:ind w:leftChars="-25" w:left="-60" w:rightChars="-25" w:right="-60"/>
                              <w:jc w:val="center"/>
                              <w:textAlignment w:val="center"/>
                              <w:rPr>
                                <w:rFonts w:ascii="標楷體" w:eastAsia="標楷體" w:hAnsi="標楷體"/>
                                <w:spacing w:val="-16"/>
                              </w:rPr>
                            </w:pPr>
                            <w:r>
                              <w:rPr>
                                <w:rFonts w:ascii="標楷體" w:eastAsia="標楷體" w:hAnsi="標楷體" w:hint="eastAsia"/>
                                <w:spacing w:val="-16"/>
                              </w:rPr>
                              <w:t>龍門國中</w:t>
                            </w:r>
                          </w:p>
                        </w:tc>
                        <w:tc>
                          <w:tcPr>
                            <w:tcW w:w="447" w:type="dxa"/>
                            <w:tcBorders>
                              <w:top w:val="single" w:sz="4" w:space="0" w:color="auto"/>
                              <w:left w:val="single" w:sz="4" w:space="0" w:color="auto"/>
                              <w:bottom w:val="single" w:sz="4" w:space="0" w:color="auto"/>
                              <w:right w:val="single" w:sz="4" w:space="0" w:color="auto"/>
                            </w:tcBorders>
                            <w:hideMark/>
                          </w:tcPr>
                          <w:p w14:paraId="20B0EAB2" w14:textId="77777777" w:rsidR="007351A0" w:rsidRDefault="007351A0">
                            <w:pPr>
                              <w:kinsoku w:val="0"/>
                              <w:overflowPunct w:val="0"/>
                              <w:autoSpaceDE w:val="0"/>
                              <w:autoSpaceDN w:val="0"/>
                              <w:spacing w:line="200" w:lineRule="exact"/>
                              <w:ind w:leftChars="-25" w:left="-60" w:rightChars="-25" w:right="-60"/>
                              <w:jc w:val="center"/>
                              <w:textAlignment w:val="center"/>
                              <w:rPr>
                                <w:rFonts w:ascii="標楷體" w:eastAsia="標楷體" w:hAnsi="標楷體"/>
                                <w:spacing w:val="-16"/>
                              </w:rPr>
                            </w:pPr>
                            <w:r>
                              <w:rPr>
                                <w:rFonts w:ascii="標楷體" w:eastAsia="標楷體" w:hAnsi="標楷體" w:hint="eastAsia"/>
                                <w:spacing w:val="-16"/>
                              </w:rPr>
                              <w:t>興雅國中</w:t>
                            </w:r>
                          </w:p>
                        </w:tc>
                        <w:tc>
                          <w:tcPr>
                            <w:tcW w:w="447" w:type="dxa"/>
                            <w:tcBorders>
                              <w:top w:val="single" w:sz="4" w:space="0" w:color="auto"/>
                              <w:left w:val="single" w:sz="4" w:space="0" w:color="auto"/>
                              <w:bottom w:val="single" w:sz="4" w:space="0" w:color="auto"/>
                              <w:right w:val="single" w:sz="4" w:space="0" w:color="auto"/>
                            </w:tcBorders>
                            <w:vAlign w:val="center"/>
                            <w:hideMark/>
                          </w:tcPr>
                          <w:p w14:paraId="3E287971" w14:textId="77777777" w:rsidR="007351A0" w:rsidRDefault="007351A0">
                            <w:pPr>
                              <w:kinsoku w:val="0"/>
                              <w:overflowPunct w:val="0"/>
                              <w:autoSpaceDE w:val="0"/>
                              <w:autoSpaceDN w:val="0"/>
                              <w:spacing w:line="200" w:lineRule="exact"/>
                              <w:ind w:leftChars="-25" w:left="-60" w:rightChars="-25" w:right="-60"/>
                              <w:jc w:val="center"/>
                              <w:textAlignment w:val="center"/>
                              <w:rPr>
                                <w:rFonts w:ascii="標楷體" w:eastAsia="標楷體" w:hAnsi="標楷體"/>
                                <w:spacing w:val="-16"/>
                              </w:rPr>
                            </w:pPr>
                            <w:r>
                              <w:rPr>
                                <w:rFonts w:ascii="標楷體" w:eastAsia="標楷體" w:hAnsi="標楷體" w:hint="eastAsia"/>
                                <w:spacing w:val="-16"/>
                              </w:rPr>
                              <w:t>弘道國中</w:t>
                            </w:r>
                          </w:p>
                        </w:tc>
                        <w:tc>
                          <w:tcPr>
                            <w:tcW w:w="447" w:type="dxa"/>
                            <w:tcBorders>
                              <w:top w:val="single" w:sz="4" w:space="0" w:color="auto"/>
                              <w:left w:val="single" w:sz="4" w:space="0" w:color="auto"/>
                              <w:bottom w:val="single" w:sz="4" w:space="0" w:color="auto"/>
                              <w:right w:val="single" w:sz="4" w:space="0" w:color="auto"/>
                            </w:tcBorders>
                            <w:vAlign w:val="center"/>
                            <w:hideMark/>
                          </w:tcPr>
                          <w:p w14:paraId="31C7C888" w14:textId="77777777" w:rsidR="007351A0" w:rsidRDefault="007351A0">
                            <w:pPr>
                              <w:kinsoku w:val="0"/>
                              <w:overflowPunct w:val="0"/>
                              <w:autoSpaceDE w:val="0"/>
                              <w:autoSpaceDN w:val="0"/>
                              <w:spacing w:line="200" w:lineRule="exact"/>
                              <w:ind w:leftChars="-25" w:left="-60" w:rightChars="-25" w:right="-60"/>
                              <w:jc w:val="center"/>
                              <w:textAlignment w:val="center"/>
                              <w:rPr>
                                <w:rFonts w:ascii="標楷體" w:eastAsia="標楷體" w:hAnsi="標楷體"/>
                                <w:spacing w:val="-16"/>
                              </w:rPr>
                            </w:pPr>
                            <w:r>
                              <w:rPr>
                                <w:rFonts w:ascii="標楷體" w:eastAsia="標楷體" w:hAnsi="標楷體" w:hint="eastAsia"/>
                                <w:spacing w:val="-16"/>
                              </w:rPr>
                              <w:t>永樂國小</w:t>
                            </w:r>
                          </w:p>
                        </w:tc>
                        <w:tc>
                          <w:tcPr>
                            <w:tcW w:w="447" w:type="dxa"/>
                            <w:tcBorders>
                              <w:top w:val="single" w:sz="4" w:space="0" w:color="auto"/>
                              <w:left w:val="single" w:sz="4" w:space="0" w:color="auto"/>
                              <w:bottom w:val="single" w:sz="4" w:space="0" w:color="auto"/>
                              <w:right w:val="single" w:sz="4" w:space="0" w:color="auto"/>
                            </w:tcBorders>
                            <w:vAlign w:val="center"/>
                            <w:hideMark/>
                          </w:tcPr>
                          <w:p w14:paraId="5864D322" w14:textId="77777777" w:rsidR="007351A0" w:rsidRDefault="007351A0">
                            <w:pPr>
                              <w:kinsoku w:val="0"/>
                              <w:overflowPunct w:val="0"/>
                              <w:autoSpaceDE w:val="0"/>
                              <w:autoSpaceDN w:val="0"/>
                              <w:spacing w:line="200" w:lineRule="exact"/>
                              <w:ind w:leftChars="-25" w:left="-60" w:rightChars="-25" w:right="-60"/>
                              <w:jc w:val="center"/>
                              <w:textAlignment w:val="center"/>
                              <w:rPr>
                                <w:rFonts w:ascii="標楷體" w:eastAsia="標楷體" w:hAnsi="標楷體"/>
                                <w:spacing w:val="-16"/>
                              </w:rPr>
                            </w:pPr>
                            <w:r>
                              <w:rPr>
                                <w:rFonts w:ascii="標楷體" w:eastAsia="標楷體" w:hAnsi="標楷體" w:hint="eastAsia"/>
                                <w:spacing w:val="-16"/>
                              </w:rPr>
                              <w:t>明湖國小</w:t>
                            </w:r>
                          </w:p>
                        </w:tc>
                      </w:tr>
                      <w:tr w:rsidR="007351A0" w14:paraId="3737CC02" w14:textId="77777777" w:rsidTr="002123DE">
                        <w:trPr>
                          <w:trHeight w:val="510"/>
                        </w:trPr>
                        <w:tc>
                          <w:tcPr>
                            <w:tcW w:w="312" w:type="dxa"/>
                            <w:tcBorders>
                              <w:top w:val="single" w:sz="4" w:space="0" w:color="auto"/>
                              <w:left w:val="single" w:sz="4" w:space="0" w:color="auto"/>
                              <w:bottom w:val="single" w:sz="4" w:space="0" w:color="auto"/>
                              <w:right w:val="single" w:sz="4" w:space="0" w:color="auto"/>
                            </w:tcBorders>
                            <w:vAlign w:val="center"/>
                            <w:hideMark/>
                          </w:tcPr>
                          <w:p w14:paraId="62AE8DD8"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1</w:t>
                            </w:r>
                          </w:p>
                        </w:tc>
                        <w:tc>
                          <w:tcPr>
                            <w:tcW w:w="3969" w:type="dxa"/>
                            <w:tcBorders>
                              <w:top w:val="single" w:sz="4" w:space="0" w:color="auto"/>
                              <w:left w:val="single" w:sz="4" w:space="0" w:color="auto"/>
                              <w:bottom w:val="single" w:sz="4" w:space="0" w:color="auto"/>
                              <w:right w:val="single" w:sz="4" w:space="0" w:color="auto"/>
                            </w:tcBorders>
                            <w:vAlign w:val="center"/>
                            <w:hideMark/>
                          </w:tcPr>
                          <w:p w14:paraId="5D84883C"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spacing w:val="-10"/>
                              </w:rPr>
                            </w:pPr>
                            <w:r>
                              <w:rPr>
                                <w:rFonts w:ascii="標楷體" w:eastAsia="標楷體" w:hAnsi="標楷體" w:hint="eastAsia"/>
                                <w:spacing w:val="-10"/>
                              </w:rPr>
                              <w:t>核定之細部設計書圖中，未明訂合成橡膠</w:t>
                            </w:r>
                            <w:proofErr w:type="gramStart"/>
                            <w:r>
                              <w:rPr>
                                <w:rFonts w:ascii="標楷體" w:eastAsia="標楷體" w:hAnsi="標楷體" w:hint="eastAsia"/>
                                <w:spacing w:val="-10"/>
                              </w:rPr>
                              <w:t>跑道面層黏著</w:t>
                            </w:r>
                            <w:proofErr w:type="gramEnd"/>
                            <w:r>
                              <w:rPr>
                                <w:rFonts w:ascii="標楷體" w:eastAsia="標楷體" w:hAnsi="標楷體" w:hint="eastAsia"/>
                                <w:spacing w:val="-10"/>
                              </w:rPr>
                              <w:t>劑成分不得含有「甲苯二異氰酸脂（TDI）」。</w:t>
                            </w:r>
                          </w:p>
                        </w:tc>
                        <w:tc>
                          <w:tcPr>
                            <w:tcW w:w="447" w:type="dxa"/>
                            <w:tcBorders>
                              <w:top w:val="single" w:sz="4" w:space="0" w:color="auto"/>
                              <w:left w:val="single" w:sz="4" w:space="0" w:color="auto"/>
                              <w:bottom w:val="single" w:sz="4" w:space="0" w:color="auto"/>
                              <w:right w:val="single" w:sz="4" w:space="0" w:color="auto"/>
                            </w:tcBorders>
                            <w:vAlign w:val="center"/>
                          </w:tcPr>
                          <w:p w14:paraId="406B4DCC"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6F94697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2B9E083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68AD084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5122984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r>
                      <w:tr w:rsidR="007351A0" w14:paraId="53EEE0CC" w14:textId="77777777" w:rsidTr="002123DE">
                        <w:trPr>
                          <w:trHeight w:val="510"/>
                        </w:trPr>
                        <w:tc>
                          <w:tcPr>
                            <w:tcW w:w="312" w:type="dxa"/>
                            <w:tcBorders>
                              <w:top w:val="single" w:sz="4" w:space="0" w:color="auto"/>
                              <w:left w:val="single" w:sz="4" w:space="0" w:color="auto"/>
                              <w:bottom w:val="single" w:sz="4" w:space="0" w:color="auto"/>
                              <w:right w:val="single" w:sz="4" w:space="0" w:color="auto"/>
                            </w:tcBorders>
                            <w:vAlign w:val="center"/>
                            <w:hideMark/>
                          </w:tcPr>
                          <w:p w14:paraId="729A2CC2"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2</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FB40BFC"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spacing w:val="-2"/>
                              </w:rPr>
                            </w:pPr>
                            <w:r>
                              <w:rPr>
                                <w:rFonts w:ascii="標楷體" w:eastAsia="標楷體" w:hAnsi="標楷體" w:hint="eastAsia"/>
                                <w:spacing w:val="-2"/>
                              </w:rPr>
                              <w:t>細部設計書圖規範</w:t>
                            </w:r>
                            <w:proofErr w:type="gramStart"/>
                            <w:r>
                              <w:rPr>
                                <w:rFonts w:ascii="標楷體" w:eastAsia="標楷體" w:hAnsi="標楷體" w:hint="eastAsia"/>
                                <w:spacing w:val="-2"/>
                              </w:rPr>
                              <w:t>跑道面層黏著</w:t>
                            </w:r>
                            <w:proofErr w:type="gramEnd"/>
                            <w:r>
                              <w:rPr>
                                <w:rFonts w:ascii="標楷體" w:eastAsia="標楷體" w:hAnsi="標楷體" w:hint="eastAsia"/>
                                <w:spacing w:val="-2"/>
                              </w:rPr>
                              <w:t>劑施作後，應於其上施予重壓之時間或有不足，或未明定。</w:t>
                            </w:r>
                          </w:p>
                        </w:tc>
                        <w:tc>
                          <w:tcPr>
                            <w:tcW w:w="447" w:type="dxa"/>
                            <w:tcBorders>
                              <w:top w:val="single" w:sz="4" w:space="0" w:color="auto"/>
                              <w:left w:val="single" w:sz="4" w:space="0" w:color="auto"/>
                              <w:bottom w:val="single" w:sz="4" w:space="0" w:color="auto"/>
                              <w:right w:val="single" w:sz="4" w:space="0" w:color="auto"/>
                            </w:tcBorders>
                            <w:vAlign w:val="center"/>
                          </w:tcPr>
                          <w:p w14:paraId="593C7F9D"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00F8854D"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591E9797"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05AA53AD"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7258CE4A"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r>
                      <w:tr w:rsidR="007351A0" w14:paraId="158AE558" w14:textId="77777777" w:rsidTr="002123DE">
                        <w:trPr>
                          <w:trHeight w:val="510"/>
                        </w:trPr>
                        <w:tc>
                          <w:tcPr>
                            <w:tcW w:w="312" w:type="dxa"/>
                            <w:tcBorders>
                              <w:top w:val="single" w:sz="4" w:space="0" w:color="auto"/>
                              <w:left w:val="single" w:sz="4" w:space="0" w:color="auto"/>
                              <w:bottom w:val="single" w:sz="4" w:space="0" w:color="auto"/>
                              <w:right w:val="single" w:sz="4" w:space="0" w:color="auto"/>
                            </w:tcBorders>
                            <w:vAlign w:val="center"/>
                            <w:hideMark/>
                          </w:tcPr>
                          <w:p w14:paraId="0E32CBF4"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3</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DC6FAF3"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rPr>
                            </w:pPr>
                            <w:r>
                              <w:rPr>
                                <w:rFonts w:ascii="標楷體" w:eastAsia="標楷體" w:hAnsi="標楷體" w:hint="eastAsia"/>
                              </w:rPr>
                              <w:t>施工廠商未依約現場抽驗操場</w:t>
                            </w:r>
                            <w:proofErr w:type="gramStart"/>
                            <w:r>
                              <w:rPr>
                                <w:rFonts w:ascii="標楷體" w:eastAsia="標楷體" w:hAnsi="標楷體" w:hint="eastAsia"/>
                              </w:rPr>
                              <w:t>跑道面層等</w:t>
                            </w:r>
                            <w:proofErr w:type="gramEnd"/>
                            <w:r>
                              <w:rPr>
                                <w:rFonts w:ascii="標楷體" w:eastAsia="標楷體" w:hAnsi="標楷體" w:hint="eastAsia"/>
                              </w:rPr>
                              <w:t>材料並出具試驗報告。</w:t>
                            </w:r>
                          </w:p>
                        </w:tc>
                        <w:tc>
                          <w:tcPr>
                            <w:tcW w:w="447" w:type="dxa"/>
                            <w:tcBorders>
                              <w:top w:val="single" w:sz="4" w:space="0" w:color="auto"/>
                              <w:left w:val="single" w:sz="4" w:space="0" w:color="auto"/>
                              <w:bottom w:val="single" w:sz="4" w:space="0" w:color="auto"/>
                              <w:right w:val="single" w:sz="4" w:space="0" w:color="auto"/>
                            </w:tcBorders>
                            <w:vAlign w:val="center"/>
                            <w:hideMark/>
                          </w:tcPr>
                          <w:p w14:paraId="659615AA"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49CA0F59"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tcPr>
                          <w:p w14:paraId="67BB9515"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225338F9"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6DBD62F9"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r>
                      <w:tr w:rsidR="007351A0" w14:paraId="7A64350F" w14:textId="77777777">
                        <w:tc>
                          <w:tcPr>
                            <w:tcW w:w="312" w:type="dxa"/>
                            <w:tcBorders>
                              <w:top w:val="single" w:sz="4" w:space="0" w:color="auto"/>
                              <w:left w:val="single" w:sz="4" w:space="0" w:color="auto"/>
                              <w:bottom w:val="single" w:sz="4" w:space="0" w:color="auto"/>
                              <w:right w:val="single" w:sz="4" w:space="0" w:color="auto"/>
                            </w:tcBorders>
                            <w:vAlign w:val="center"/>
                            <w:hideMark/>
                          </w:tcPr>
                          <w:p w14:paraId="0C8D104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4</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AB53255"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spacing w:val="-14"/>
                              </w:rPr>
                            </w:pPr>
                            <w:r>
                              <w:rPr>
                                <w:rFonts w:ascii="標楷體" w:eastAsia="標楷體" w:hAnsi="標楷體" w:hint="eastAsia"/>
                                <w:spacing w:val="-14"/>
                              </w:rPr>
                              <w:t>監造單位未會同施工廠商辦理</w:t>
                            </w:r>
                            <w:proofErr w:type="gramStart"/>
                            <w:r>
                              <w:rPr>
                                <w:rFonts w:ascii="標楷體" w:eastAsia="標楷體" w:hAnsi="標楷體" w:hint="eastAsia"/>
                                <w:spacing w:val="-14"/>
                              </w:rPr>
                              <w:t>跑道面層</w:t>
                            </w:r>
                            <w:proofErr w:type="gramEnd"/>
                            <w:r>
                              <w:rPr>
                                <w:rFonts w:ascii="標楷體" w:eastAsia="標楷體" w:hAnsi="標楷體" w:hint="eastAsia"/>
                                <w:spacing w:val="-14"/>
                              </w:rPr>
                              <w:t>、接著劑、</w:t>
                            </w:r>
                            <w:proofErr w:type="gramStart"/>
                            <w:r>
                              <w:rPr>
                                <w:rFonts w:ascii="標楷體" w:eastAsia="標楷體" w:hAnsi="標楷體" w:hint="eastAsia"/>
                                <w:spacing w:val="-14"/>
                              </w:rPr>
                              <w:t>壓克力面材或</w:t>
                            </w:r>
                            <w:proofErr w:type="gramEnd"/>
                            <w:r>
                              <w:rPr>
                                <w:rFonts w:ascii="標楷體" w:eastAsia="標楷體" w:hAnsi="標楷體" w:hint="eastAsia"/>
                                <w:spacing w:val="-14"/>
                              </w:rPr>
                              <w:t>瀝青混凝土等材料取樣後之送驗事宜。</w:t>
                            </w:r>
                          </w:p>
                        </w:tc>
                        <w:tc>
                          <w:tcPr>
                            <w:tcW w:w="447" w:type="dxa"/>
                            <w:tcBorders>
                              <w:top w:val="single" w:sz="4" w:space="0" w:color="auto"/>
                              <w:left w:val="single" w:sz="4" w:space="0" w:color="auto"/>
                              <w:bottom w:val="single" w:sz="4" w:space="0" w:color="auto"/>
                              <w:right w:val="single" w:sz="4" w:space="0" w:color="auto"/>
                            </w:tcBorders>
                            <w:vAlign w:val="center"/>
                            <w:hideMark/>
                          </w:tcPr>
                          <w:p w14:paraId="34589A8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462C2679"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26CCC11B"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1818F7C9"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10E69EBB"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r>
                      <w:tr w:rsidR="007351A0" w14:paraId="4EF72C93" w14:textId="77777777">
                        <w:tc>
                          <w:tcPr>
                            <w:tcW w:w="312" w:type="dxa"/>
                            <w:tcBorders>
                              <w:top w:val="single" w:sz="4" w:space="0" w:color="auto"/>
                              <w:left w:val="single" w:sz="4" w:space="0" w:color="auto"/>
                              <w:bottom w:val="single" w:sz="4" w:space="0" w:color="auto"/>
                              <w:right w:val="single" w:sz="4" w:space="0" w:color="auto"/>
                            </w:tcBorders>
                            <w:vAlign w:val="center"/>
                            <w:hideMark/>
                          </w:tcPr>
                          <w:p w14:paraId="71548B70"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537645CA"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rPr>
                            </w:pPr>
                            <w:r>
                              <w:rPr>
                                <w:rFonts w:ascii="標楷體" w:eastAsia="標楷體" w:hAnsi="標楷體" w:hint="eastAsia"/>
                              </w:rPr>
                              <w:t>操場跑道瀝青混凝土施作完成後之平坦度試驗結果不符契約規定標準，惟</w:t>
                            </w:r>
                            <w:proofErr w:type="gramStart"/>
                            <w:r>
                              <w:rPr>
                                <w:rFonts w:ascii="標楷體" w:eastAsia="標楷體" w:hAnsi="標楷體" w:hint="eastAsia"/>
                              </w:rPr>
                              <w:t>仍予判讀</w:t>
                            </w:r>
                            <w:proofErr w:type="gramEnd"/>
                            <w:r>
                              <w:rPr>
                                <w:rFonts w:ascii="標楷體" w:eastAsia="標楷體" w:hAnsi="標楷體" w:hint="eastAsia"/>
                              </w:rPr>
                              <w:t>合格。</w:t>
                            </w:r>
                          </w:p>
                        </w:tc>
                        <w:tc>
                          <w:tcPr>
                            <w:tcW w:w="447" w:type="dxa"/>
                            <w:tcBorders>
                              <w:top w:val="single" w:sz="4" w:space="0" w:color="auto"/>
                              <w:left w:val="single" w:sz="4" w:space="0" w:color="auto"/>
                              <w:bottom w:val="single" w:sz="4" w:space="0" w:color="auto"/>
                              <w:right w:val="single" w:sz="4" w:space="0" w:color="auto"/>
                            </w:tcBorders>
                            <w:vAlign w:val="center"/>
                          </w:tcPr>
                          <w:p w14:paraId="7B604B31"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tcPr>
                          <w:p w14:paraId="38319DD3"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tcPr>
                          <w:p w14:paraId="6280676A"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tcPr>
                          <w:p w14:paraId="730C3D73"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379E4CDB"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r>
                      <w:tr w:rsidR="007351A0" w14:paraId="2719B66A" w14:textId="77777777">
                        <w:tc>
                          <w:tcPr>
                            <w:tcW w:w="312" w:type="dxa"/>
                            <w:tcBorders>
                              <w:top w:val="single" w:sz="4" w:space="0" w:color="auto"/>
                              <w:left w:val="single" w:sz="4" w:space="0" w:color="auto"/>
                              <w:bottom w:val="single" w:sz="4" w:space="0" w:color="auto"/>
                              <w:right w:val="single" w:sz="4" w:space="0" w:color="auto"/>
                            </w:tcBorders>
                            <w:vAlign w:val="center"/>
                            <w:hideMark/>
                          </w:tcPr>
                          <w:p w14:paraId="7B75D406"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hint="eastAsia"/>
                              </w:rPr>
                              <w:t>6</w:t>
                            </w:r>
                          </w:p>
                        </w:tc>
                        <w:tc>
                          <w:tcPr>
                            <w:tcW w:w="3969" w:type="dxa"/>
                            <w:tcBorders>
                              <w:top w:val="single" w:sz="4" w:space="0" w:color="auto"/>
                              <w:left w:val="single" w:sz="4" w:space="0" w:color="auto"/>
                              <w:bottom w:val="single" w:sz="4" w:space="0" w:color="auto"/>
                              <w:right w:val="single" w:sz="4" w:space="0" w:color="auto"/>
                            </w:tcBorders>
                            <w:vAlign w:val="center"/>
                            <w:hideMark/>
                          </w:tcPr>
                          <w:p w14:paraId="7253D51A" w14:textId="77777777" w:rsidR="007351A0" w:rsidRDefault="007351A0">
                            <w:pPr>
                              <w:kinsoku w:val="0"/>
                              <w:overflowPunct w:val="0"/>
                              <w:autoSpaceDE w:val="0"/>
                              <w:autoSpaceDN w:val="0"/>
                              <w:spacing w:line="220" w:lineRule="exact"/>
                              <w:ind w:leftChars="-40" w:left="-96" w:rightChars="-25" w:right="-60"/>
                              <w:jc w:val="both"/>
                              <w:textAlignment w:val="center"/>
                              <w:rPr>
                                <w:rFonts w:ascii="標楷體" w:eastAsia="標楷體" w:hAnsi="標楷體"/>
                                <w:spacing w:val="-14"/>
                              </w:rPr>
                            </w:pPr>
                            <w:r>
                              <w:rPr>
                                <w:rFonts w:ascii="標楷體" w:eastAsia="標楷體" w:hAnsi="標楷體" w:hint="eastAsia"/>
                                <w:spacing w:val="-14"/>
                              </w:rPr>
                              <w:t>核定施工廠商之自主檢查表及監造單位查驗紀錄表，部分施工檢查項目之品管標準與契約圖說規定不符，或未包含契約圖說規定檢驗停留點應行檢查之項目。</w:t>
                            </w:r>
                          </w:p>
                        </w:tc>
                        <w:tc>
                          <w:tcPr>
                            <w:tcW w:w="447" w:type="dxa"/>
                            <w:tcBorders>
                              <w:top w:val="single" w:sz="4" w:space="0" w:color="auto"/>
                              <w:left w:val="single" w:sz="4" w:space="0" w:color="auto"/>
                              <w:bottom w:val="single" w:sz="4" w:space="0" w:color="auto"/>
                              <w:right w:val="single" w:sz="4" w:space="0" w:color="auto"/>
                            </w:tcBorders>
                            <w:vAlign w:val="center"/>
                            <w:hideMark/>
                          </w:tcPr>
                          <w:p w14:paraId="15232814"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hideMark/>
                          </w:tcPr>
                          <w:p w14:paraId="00C554D2"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2D53AFB1"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c>
                          <w:tcPr>
                            <w:tcW w:w="447" w:type="dxa"/>
                            <w:tcBorders>
                              <w:top w:val="single" w:sz="4" w:space="0" w:color="auto"/>
                              <w:left w:val="single" w:sz="4" w:space="0" w:color="auto"/>
                              <w:bottom w:val="single" w:sz="4" w:space="0" w:color="auto"/>
                              <w:right w:val="single" w:sz="4" w:space="0" w:color="auto"/>
                            </w:tcBorders>
                            <w:vAlign w:val="center"/>
                            <w:hideMark/>
                          </w:tcPr>
                          <w:p w14:paraId="7E87E401" w14:textId="77777777" w:rsidR="007351A0" w:rsidRDefault="007351A0">
                            <w:pPr>
                              <w:kinsoku w:val="0"/>
                              <w:overflowPunct w:val="0"/>
                              <w:autoSpaceDE w:val="0"/>
                              <w:autoSpaceDN w:val="0"/>
                              <w:spacing w:line="220" w:lineRule="exact"/>
                              <w:jc w:val="center"/>
                              <w:textAlignment w:val="center"/>
                              <w:rPr>
                                <w:rFonts w:ascii="標楷體" w:eastAsia="標楷體" w:hAnsi="標楷體"/>
                              </w:rPr>
                            </w:pPr>
                            <w:r>
                              <w:rPr>
                                <w:rFonts w:ascii="標楷體" w:eastAsia="標楷體" w:hAnsi="標楷體" w:cs="標楷體"/>
                                <w:szCs w:val="32"/>
                              </w:rPr>
                              <w:sym w:font="Wingdings 2" w:char="F050"/>
                            </w:r>
                          </w:p>
                        </w:tc>
                        <w:tc>
                          <w:tcPr>
                            <w:tcW w:w="447" w:type="dxa"/>
                            <w:tcBorders>
                              <w:top w:val="single" w:sz="4" w:space="0" w:color="auto"/>
                              <w:left w:val="single" w:sz="4" w:space="0" w:color="auto"/>
                              <w:bottom w:val="single" w:sz="4" w:space="0" w:color="auto"/>
                              <w:right w:val="single" w:sz="4" w:space="0" w:color="auto"/>
                            </w:tcBorders>
                            <w:vAlign w:val="center"/>
                          </w:tcPr>
                          <w:p w14:paraId="3E42E360" w14:textId="77777777" w:rsidR="007351A0" w:rsidRDefault="007351A0">
                            <w:pPr>
                              <w:kinsoku w:val="0"/>
                              <w:overflowPunct w:val="0"/>
                              <w:autoSpaceDE w:val="0"/>
                              <w:autoSpaceDN w:val="0"/>
                              <w:spacing w:line="220" w:lineRule="exact"/>
                              <w:jc w:val="center"/>
                              <w:textAlignment w:val="center"/>
                              <w:rPr>
                                <w:rFonts w:ascii="標楷體" w:eastAsia="標楷體" w:hAnsi="標楷體"/>
                                <w:color w:val="FF0000"/>
                              </w:rPr>
                            </w:pPr>
                          </w:p>
                        </w:tc>
                      </w:tr>
                      <w:tr w:rsidR="007351A0" w14:paraId="58A4FD79" w14:textId="77777777">
                        <w:tc>
                          <w:tcPr>
                            <w:tcW w:w="6516" w:type="dxa"/>
                            <w:gridSpan w:val="7"/>
                            <w:tcBorders>
                              <w:top w:val="single" w:sz="4" w:space="0" w:color="auto"/>
                              <w:left w:val="nil"/>
                              <w:bottom w:val="nil"/>
                              <w:right w:val="nil"/>
                            </w:tcBorders>
                            <w:vAlign w:val="center"/>
                          </w:tcPr>
                          <w:p w14:paraId="2077C080" w14:textId="77777777" w:rsidR="007351A0" w:rsidRDefault="007351A0">
                            <w:pPr>
                              <w:kinsoku w:val="0"/>
                              <w:overflowPunct w:val="0"/>
                              <w:autoSpaceDE w:val="0"/>
                              <w:autoSpaceDN w:val="0"/>
                              <w:spacing w:line="240" w:lineRule="exact"/>
                              <w:ind w:leftChars="-45" w:hangingChars="60" w:hanging="108"/>
                              <w:jc w:val="both"/>
                              <w:textAlignment w:val="center"/>
                              <w:rPr>
                                <w:sz w:val="18"/>
                                <w:szCs w:val="18"/>
                              </w:rPr>
                            </w:pPr>
                            <w:r>
                              <w:rPr>
                                <w:rFonts w:ascii="標楷體" w:eastAsia="標楷體" w:hAnsi="標楷體" w:hint="eastAsia"/>
                                <w:sz w:val="18"/>
                                <w:szCs w:val="18"/>
                              </w:rPr>
                              <w:t>資料來源：整理教育局提供資料。</w:t>
                            </w:r>
                          </w:p>
                          <w:p w14:paraId="2D20A69F" w14:textId="77777777" w:rsidR="007351A0" w:rsidRDefault="007351A0">
                            <w:pPr>
                              <w:kinsoku w:val="0"/>
                              <w:overflowPunct w:val="0"/>
                              <w:autoSpaceDE w:val="0"/>
                              <w:autoSpaceDN w:val="0"/>
                              <w:spacing w:line="240" w:lineRule="exact"/>
                              <w:jc w:val="center"/>
                              <w:textAlignment w:val="center"/>
                              <w:rPr>
                                <w:rFonts w:ascii="標楷體" w:eastAsia="標楷體" w:hAnsi="標楷體"/>
                                <w:color w:val="FF0000"/>
                              </w:rPr>
                            </w:pPr>
                          </w:p>
                        </w:tc>
                      </w:tr>
                    </w:tbl>
                    <w:p w14:paraId="4C9CF162" w14:textId="77777777" w:rsidR="007351A0" w:rsidRDefault="007351A0" w:rsidP="007351A0"/>
                  </w:txbxContent>
                </v:textbox>
                <w10:wrap type="square" anchory="page"/>
              </v:shape>
            </w:pict>
          </mc:Fallback>
        </mc:AlternateContent>
      </w:r>
      <w:r w:rsidR="008B713D">
        <w:rPr>
          <w:rFonts w:ascii="標楷體" w:eastAsia="標楷體" w:hAnsi="標楷體" w:hint="eastAsia"/>
          <w:szCs w:val="24"/>
        </w:rPr>
        <w:t>將參照運動設施設計手冊內容，並邀請專家學者協助審查；2.已依約扣罰施工廠商及監造單位違約金合計1萬餘元，嗣後將督促廠商依契約圖說規定辦理材料檢</w:t>
      </w:r>
      <w:r w:rsidR="008B713D">
        <w:rPr>
          <w:rFonts w:ascii="標楷體" w:eastAsia="標楷體" w:hAnsi="標楷體" w:hint="eastAsia"/>
          <w:color w:val="000000" w:themeColor="text1"/>
        </w:rPr>
        <w:t>（</w:t>
      </w:r>
      <w:r w:rsidR="008B713D">
        <w:rPr>
          <w:rFonts w:ascii="標楷體" w:eastAsia="標楷體" w:hAnsi="標楷體" w:hint="eastAsia"/>
          <w:szCs w:val="24"/>
        </w:rPr>
        <w:t>試</w:t>
      </w:r>
      <w:r w:rsidR="008B713D">
        <w:rPr>
          <w:rFonts w:ascii="標楷體" w:eastAsia="標楷體" w:hAnsi="標楷體" w:hint="eastAsia"/>
          <w:color w:val="000000" w:themeColor="text1"/>
        </w:rPr>
        <w:t>）</w:t>
      </w:r>
      <w:r w:rsidR="008B713D">
        <w:rPr>
          <w:rFonts w:ascii="標楷體" w:eastAsia="標楷體" w:hAnsi="標楷體" w:hint="eastAsia"/>
          <w:szCs w:val="24"/>
        </w:rPr>
        <w:t>驗；3.該校於工程施工當時，已要求針對現場</w:t>
      </w:r>
      <w:proofErr w:type="gramStart"/>
      <w:r w:rsidR="008B713D">
        <w:rPr>
          <w:rFonts w:ascii="標楷體" w:eastAsia="標楷體" w:hAnsi="標楷體" w:hint="eastAsia"/>
          <w:szCs w:val="24"/>
        </w:rPr>
        <w:t>不平整處再</w:t>
      </w:r>
      <w:proofErr w:type="gramEnd"/>
      <w:r w:rsidR="008B713D">
        <w:rPr>
          <w:rFonts w:ascii="標楷體" w:eastAsia="標楷體" w:hAnsi="標楷體" w:hint="eastAsia"/>
          <w:szCs w:val="24"/>
        </w:rPr>
        <w:t>確實補平，並確認表面平整後始鋪設</w:t>
      </w:r>
      <w:proofErr w:type="gramStart"/>
      <w:r w:rsidR="008B713D">
        <w:rPr>
          <w:rFonts w:ascii="標楷體" w:eastAsia="標楷體" w:hAnsi="標楷體" w:hint="eastAsia"/>
          <w:szCs w:val="24"/>
        </w:rPr>
        <w:t>合成橡膠面層</w:t>
      </w:r>
      <w:proofErr w:type="gramEnd"/>
      <w:r w:rsidR="008B713D">
        <w:rPr>
          <w:rFonts w:ascii="標楷體" w:eastAsia="標楷體" w:hAnsi="標楷體" w:hint="eastAsia"/>
          <w:szCs w:val="24"/>
        </w:rPr>
        <w:t>，嗣後將落實審查，避免類似情事再度發生；4.各校工程完工後運動操場跑道使用情形均正常，</w:t>
      </w:r>
      <w:proofErr w:type="gramStart"/>
      <w:r w:rsidR="008B713D">
        <w:rPr>
          <w:rFonts w:ascii="標楷體" w:eastAsia="標楷體" w:hAnsi="標楷體" w:hint="eastAsia"/>
          <w:szCs w:val="24"/>
        </w:rPr>
        <w:t>尚符使用</w:t>
      </w:r>
      <w:proofErr w:type="gramEnd"/>
      <w:r w:rsidR="008B713D">
        <w:rPr>
          <w:rFonts w:ascii="標楷體" w:eastAsia="標楷體" w:hAnsi="標楷體" w:hint="eastAsia"/>
          <w:szCs w:val="24"/>
        </w:rPr>
        <w:t>需求，未來將依契約圖說規範訂定自主檢查表及監造查驗表內容，據以要求廠商確實檢查，確保工程施工品質。</w:t>
      </w:r>
    </w:p>
    <w:p w14:paraId="167DDC98" w14:textId="77777777" w:rsidR="008B713D" w:rsidRDefault="008B713D" w:rsidP="008B713D">
      <w:pPr>
        <w:suppressAutoHyphens/>
        <w:overflowPunct w:val="0"/>
        <w:spacing w:beforeLines="50" w:before="180" w:line="46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四、</w:t>
      </w:r>
      <w:proofErr w:type="gramStart"/>
      <w:r>
        <w:rPr>
          <w:rFonts w:ascii="標楷體" w:eastAsia="標楷體" w:hAnsi="Times New Roman" w:cs="Times New Roman" w:hint="eastAsia"/>
          <w:b/>
          <w:sz w:val="32"/>
          <w:szCs w:val="32"/>
        </w:rPr>
        <w:t>112</w:t>
      </w:r>
      <w:proofErr w:type="gramEnd"/>
      <w:r>
        <w:rPr>
          <w:rFonts w:ascii="標楷體" w:eastAsia="標楷體" w:hAnsi="Times New Roman" w:cs="Times New Roman" w:hint="eastAsia"/>
          <w:b/>
          <w:sz w:val="32"/>
          <w:szCs w:val="32"/>
        </w:rPr>
        <w:t>年度重要審核意見追蹤查核情形</w:t>
      </w:r>
    </w:p>
    <w:p w14:paraId="75846DBC" w14:textId="77777777" w:rsidR="008B713D" w:rsidRDefault="008B713D" w:rsidP="008B713D">
      <w:pPr>
        <w:overflowPunct w:val="0"/>
        <w:spacing w:line="42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本處於</w:t>
      </w:r>
      <w:proofErr w:type="gramStart"/>
      <w:r>
        <w:rPr>
          <w:rFonts w:ascii="標楷體" w:eastAsia="標楷體" w:hAnsi="標楷體" w:cs="Times New Roman" w:hint="eastAsia"/>
          <w:szCs w:val="24"/>
        </w:rPr>
        <w:t>112</w:t>
      </w:r>
      <w:proofErr w:type="gramEnd"/>
      <w:r>
        <w:rPr>
          <w:rFonts w:ascii="標楷體" w:eastAsia="標楷體" w:hAnsi="標楷體" w:cs="Times New Roman" w:hint="eastAsia"/>
          <w:szCs w:val="24"/>
        </w:rPr>
        <w:t>年度審核報告內列重要審核意見8項，經</w:t>
      </w:r>
      <w:proofErr w:type="gramStart"/>
      <w:r>
        <w:rPr>
          <w:rFonts w:ascii="標楷體" w:eastAsia="標楷體" w:hAnsi="標楷體" w:cs="Times New Roman" w:hint="eastAsia"/>
          <w:szCs w:val="24"/>
        </w:rPr>
        <w:t>賡</w:t>
      </w:r>
      <w:proofErr w:type="gramEnd"/>
      <w:r>
        <w:rPr>
          <w:rFonts w:ascii="標楷體" w:eastAsia="標楷體" w:hAnsi="標楷體" w:cs="Times New Roman" w:hint="eastAsia"/>
          <w:szCs w:val="24"/>
        </w:rPr>
        <w:t>續追蹤查核實際辦理結果，均已</w:t>
      </w:r>
      <w:proofErr w:type="gramStart"/>
      <w:r>
        <w:rPr>
          <w:rFonts w:ascii="標楷體" w:eastAsia="標楷體" w:hAnsi="標楷體" w:cs="Times New Roman" w:hint="eastAsia"/>
          <w:szCs w:val="24"/>
        </w:rPr>
        <w:t>研</w:t>
      </w:r>
      <w:proofErr w:type="gramEnd"/>
      <w:r>
        <w:rPr>
          <w:rFonts w:ascii="標楷體" w:eastAsia="標楷體" w:hAnsi="標楷體" w:cs="Times New Roman" w:hint="eastAsia"/>
          <w:szCs w:val="24"/>
        </w:rPr>
        <w:t>謀改善或依改善措施持續辦理（表9）。</w:t>
      </w:r>
    </w:p>
    <w:p w14:paraId="7472C02D" w14:textId="77777777" w:rsidR="008B713D" w:rsidRDefault="008B713D" w:rsidP="008B713D">
      <w:pPr>
        <w:spacing w:line="420" w:lineRule="exact"/>
        <w:jc w:val="center"/>
        <w:rPr>
          <w:rFonts w:ascii="Times New Roman" w:eastAsia="新細明體" w:hAnsi="Times New Roman" w:cs="Times New Roman"/>
          <w:b/>
          <w:szCs w:val="24"/>
        </w:rPr>
      </w:pPr>
      <w:r>
        <w:rPr>
          <w:rFonts w:ascii="標楷體" w:eastAsia="標楷體" w:hAnsi="標楷體" w:cs="Times New Roman" w:hint="eastAsia"/>
          <w:b/>
          <w:szCs w:val="24"/>
        </w:rPr>
        <w:t xml:space="preserve">表9　</w:t>
      </w:r>
      <w:proofErr w:type="gramStart"/>
      <w:r>
        <w:rPr>
          <w:rFonts w:ascii="標楷體" w:eastAsia="標楷體" w:hAnsi="標楷體" w:cs="Times New Roman" w:hint="eastAsia"/>
          <w:b/>
          <w:szCs w:val="24"/>
        </w:rPr>
        <w:t>112</w:t>
      </w:r>
      <w:proofErr w:type="gramEnd"/>
      <w:r>
        <w:rPr>
          <w:rFonts w:ascii="標楷體" w:eastAsia="標楷體" w:hAnsi="標楷體" w:cs="Times New Roman" w:hint="eastAsia"/>
          <w:b/>
          <w:szCs w:val="24"/>
        </w:rPr>
        <w:t>年度審核報告所列教育局主管重要審核意見覆核辦理情形</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75"/>
        <w:gridCol w:w="1840"/>
      </w:tblGrid>
      <w:tr w:rsidR="008B713D" w14:paraId="250FB8A7" w14:textId="77777777" w:rsidTr="008A1DEB">
        <w:trPr>
          <w:trHeight w:val="379"/>
          <w:jc w:val="center"/>
        </w:trPr>
        <w:tc>
          <w:tcPr>
            <w:tcW w:w="8075" w:type="dxa"/>
            <w:tcBorders>
              <w:top w:val="single" w:sz="4" w:space="0" w:color="auto"/>
              <w:left w:val="single" w:sz="4" w:space="0" w:color="auto"/>
              <w:bottom w:val="single" w:sz="4" w:space="0" w:color="auto"/>
              <w:right w:val="single" w:sz="4" w:space="0" w:color="auto"/>
            </w:tcBorders>
            <w:vAlign w:val="center"/>
            <w:hideMark/>
          </w:tcPr>
          <w:p w14:paraId="71437A5A" w14:textId="77777777" w:rsidR="008B713D" w:rsidRDefault="008B713D">
            <w:pPr>
              <w:snapToGrid w:val="0"/>
              <w:spacing w:after="40" w:line="24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重要審核意見標題</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4B9C036" w14:textId="77777777" w:rsidR="008B713D" w:rsidRDefault="008B713D">
            <w:pPr>
              <w:snapToGrid w:val="0"/>
              <w:spacing w:after="40" w:line="24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說明</w:t>
            </w:r>
          </w:p>
        </w:tc>
      </w:tr>
      <w:tr w:rsidR="008B713D" w14:paraId="4E2C2E5A" w14:textId="77777777" w:rsidTr="008A1DEB">
        <w:trPr>
          <w:trHeight w:val="397"/>
          <w:jc w:val="center"/>
        </w:trPr>
        <w:tc>
          <w:tcPr>
            <w:tcW w:w="8075" w:type="dxa"/>
            <w:tcBorders>
              <w:top w:val="single" w:sz="4" w:space="0" w:color="auto"/>
              <w:left w:val="single" w:sz="4" w:space="0" w:color="auto"/>
              <w:bottom w:val="single" w:sz="4" w:space="0" w:color="auto"/>
              <w:right w:val="nil"/>
            </w:tcBorders>
            <w:vAlign w:val="center"/>
            <w:hideMark/>
          </w:tcPr>
          <w:p w14:paraId="672B9AC2" w14:textId="77777777" w:rsidR="008B713D" w:rsidRDefault="008B713D">
            <w:pPr>
              <w:snapToGrid w:val="0"/>
              <w:spacing w:line="240" w:lineRule="exact"/>
              <w:jc w:val="both"/>
              <w:rPr>
                <w:rFonts w:ascii="標楷體" w:eastAsia="標楷體" w:hAnsi="標楷體" w:cs="Times New Roman"/>
                <w:b/>
                <w:sz w:val="20"/>
                <w:szCs w:val="20"/>
              </w:rPr>
            </w:pPr>
            <w:r>
              <w:rPr>
                <w:rFonts w:ascii="標楷體" w:eastAsia="標楷體" w:hAnsi="標楷體" w:cs="Times New Roman" w:hint="eastAsia"/>
                <w:b/>
                <w:sz w:val="20"/>
                <w:szCs w:val="20"/>
                <w:lang w:eastAsia="zh-HK"/>
              </w:rPr>
              <w:t>已</w:t>
            </w:r>
            <w:r>
              <w:rPr>
                <w:rFonts w:ascii="標楷體" w:eastAsia="標楷體" w:hAnsi="標楷體" w:cs="Times New Roman" w:hint="eastAsia"/>
                <w:b/>
                <w:sz w:val="20"/>
                <w:szCs w:val="20"/>
              </w:rPr>
              <w:t>研謀改善或依改善措施持續辦理</w:t>
            </w:r>
          </w:p>
        </w:tc>
        <w:tc>
          <w:tcPr>
            <w:tcW w:w="1840" w:type="dxa"/>
            <w:tcBorders>
              <w:top w:val="single" w:sz="4" w:space="0" w:color="auto"/>
              <w:left w:val="nil"/>
              <w:bottom w:val="single" w:sz="4" w:space="0" w:color="auto"/>
              <w:right w:val="single" w:sz="4" w:space="0" w:color="auto"/>
            </w:tcBorders>
          </w:tcPr>
          <w:p w14:paraId="0EDCF83E" w14:textId="77777777" w:rsidR="008B713D" w:rsidRDefault="008B713D">
            <w:pPr>
              <w:snapToGrid w:val="0"/>
              <w:spacing w:line="240" w:lineRule="exact"/>
              <w:rPr>
                <w:rFonts w:ascii="標楷體" w:eastAsia="標楷體" w:hAnsi="標楷體" w:cs="Times New Roman"/>
                <w:sz w:val="20"/>
                <w:szCs w:val="20"/>
              </w:rPr>
            </w:pPr>
          </w:p>
        </w:tc>
      </w:tr>
      <w:tr w:rsidR="008B713D" w14:paraId="201B7B80" w14:textId="77777777" w:rsidTr="008A1DEB">
        <w:trPr>
          <w:trHeight w:val="794"/>
          <w:jc w:val="center"/>
        </w:trPr>
        <w:tc>
          <w:tcPr>
            <w:tcW w:w="8075" w:type="dxa"/>
            <w:tcBorders>
              <w:top w:val="single" w:sz="4" w:space="0" w:color="auto"/>
              <w:left w:val="single" w:sz="4" w:space="0" w:color="auto"/>
              <w:bottom w:val="single" w:sz="4" w:space="0" w:color="auto"/>
              <w:right w:val="single" w:sz="4" w:space="0" w:color="auto"/>
            </w:tcBorders>
            <w:hideMark/>
          </w:tcPr>
          <w:p w14:paraId="0FFB05A5" w14:textId="77777777" w:rsidR="008B713D" w:rsidRDefault="008B713D">
            <w:pPr>
              <w:snapToGrid w:val="0"/>
              <w:spacing w:line="244"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（一）教育局統一採購學習載具提供臺北市公私立高中職以下學校推動數位學習，完善校園數位學習環境，其中2,298</w:t>
            </w:r>
            <w:proofErr w:type="gramStart"/>
            <w:r>
              <w:rPr>
                <w:rFonts w:ascii="標楷體" w:eastAsia="標楷體" w:hAnsi="標楷體" w:cs="Times New Roman" w:hint="eastAsia"/>
                <w:sz w:val="20"/>
                <w:szCs w:val="20"/>
              </w:rPr>
              <w:t>臺載具購入</w:t>
            </w:r>
            <w:proofErr w:type="gramEnd"/>
            <w:r>
              <w:rPr>
                <w:rFonts w:ascii="標楷體" w:eastAsia="標楷體" w:hAnsi="標楷體" w:cs="Times New Roman" w:hint="eastAsia"/>
                <w:sz w:val="20"/>
                <w:szCs w:val="20"/>
              </w:rPr>
              <w:t>後逾1年未拆封使用，後續檢討配發基準亦未</w:t>
            </w:r>
            <w:proofErr w:type="gramStart"/>
            <w:r>
              <w:rPr>
                <w:rFonts w:ascii="標楷體" w:eastAsia="標楷體" w:hAnsi="標楷體" w:cs="Times New Roman" w:hint="eastAsia"/>
                <w:sz w:val="20"/>
                <w:szCs w:val="20"/>
              </w:rPr>
              <w:t>臻</w:t>
            </w:r>
            <w:proofErr w:type="gramEnd"/>
            <w:r>
              <w:rPr>
                <w:rFonts w:ascii="標楷體" w:eastAsia="標楷體" w:hAnsi="標楷體" w:cs="Times New Roman" w:hint="eastAsia"/>
                <w:sz w:val="20"/>
                <w:szCs w:val="20"/>
              </w:rPr>
              <w:t>周妥，有待積極</w:t>
            </w:r>
            <w:proofErr w:type="gramStart"/>
            <w:r>
              <w:rPr>
                <w:rFonts w:ascii="標楷體" w:eastAsia="標楷體" w:hAnsi="標楷體" w:cs="Times New Roman" w:hint="eastAsia"/>
                <w:sz w:val="20"/>
                <w:szCs w:val="20"/>
              </w:rPr>
              <w:t>檢討妥處</w:t>
            </w:r>
            <w:proofErr w:type="gramEnd"/>
            <w:r>
              <w:rPr>
                <w:rFonts w:ascii="標楷體" w:eastAsia="標楷體" w:hAnsi="標楷體" w:cs="Times New Roman" w:hint="eastAsia"/>
                <w:sz w:val="20"/>
                <w:szCs w:val="20"/>
              </w:rPr>
              <w:t>。</w:t>
            </w:r>
          </w:p>
        </w:tc>
        <w:tc>
          <w:tcPr>
            <w:tcW w:w="1840" w:type="dxa"/>
            <w:vMerge w:val="restart"/>
            <w:tcBorders>
              <w:top w:val="single" w:sz="4" w:space="0" w:color="auto"/>
              <w:left w:val="single" w:sz="4" w:space="0" w:color="auto"/>
              <w:bottom w:val="single" w:sz="4" w:space="0" w:color="auto"/>
              <w:right w:val="single" w:sz="4" w:space="0" w:color="auto"/>
              <w:tl2br w:val="single" w:sz="4" w:space="0" w:color="auto"/>
            </w:tcBorders>
          </w:tcPr>
          <w:p w14:paraId="2C144157" w14:textId="77777777" w:rsidR="008B713D" w:rsidRDefault="008B713D">
            <w:pPr>
              <w:snapToGrid w:val="0"/>
              <w:spacing w:line="420" w:lineRule="exact"/>
              <w:rPr>
                <w:rFonts w:ascii="標楷體" w:eastAsia="標楷體" w:hAnsi="標楷體" w:cs="Times New Roman"/>
                <w:sz w:val="20"/>
                <w:szCs w:val="20"/>
              </w:rPr>
            </w:pPr>
          </w:p>
        </w:tc>
      </w:tr>
      <w:tr w:rsidR="008B713D" w14:paraId="4F592072" w14:textId="77777777" w:rsidTr="008A1DEB">
        <w:trPr>
          <w:trHeight w:val="510"/>
          <w:jc w:val="center"/>
        </w:trPr>
        <w:tc>
          <w:tcPr>
            <w:tcW w:w="8075" w:type="dxa"/>
            <w:tcBorders>
              <w:top w:val="single" w:sz="4" w:space="0" w:color="auto"/>
              <w:left w:val="single" w:sz="4" w:space="0" w:color="auto"/>
              <w:bottom w:val="single" w:sz="4" w:space="0" w:color="auto"/>
              <w:right w:val="single" w:sz="4" w:space="0" w:color="auto"/>
            </w:tcBorders>
            <w:hideMark/>
          </w:tcPr>
          <w:p w14:paraId="595DAF9F" w14:textId="77777777" w:rsidR="008B713D" w:rsidRDefault="008B713D" w:rsidP="00C35CDE">
            <w:pPr>
              <w:snapToGrid w:val="0"/>
              <w:spacing w:line="244"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（二）</w:t>
            </w:r>
            <w:r w:rsidRPr="00C35CDE">
              <w:rPr>
                <w:rFonts w:ascii="標楷體" w:eastAsia="標楷體" w:hAnsi="標楷體" w:cs="Times New Roman" w:hint="eastAsia"/>
                <w:spacing w:val="2"/>
                <w:sz w:val="20"/>
                <w:szCs w:val="20"/>
              </w:rPr>
              <w:t>教育局及所屬學校經管數位學習設備，</w:t>
            </w:r>
            <w:proofErr w:type="gramStart"/>
            <w:r w:rsidRPr="00C35CDE">
              <w:rPr>
                <w:rFonts w:ascii="標楷體" w:eastAsia="標楷體" w:hAnsi="標楷體" w:cs="Times New Roman" w:hint="eastAsia"/>
                <w:spacing w:val="2"/>
                <w:sz w:val="20"/>
                <w:szCs w:val="20"/>
              </w:rPr>
              <w:t>間有管理</w:t>
            </w:r>
            <w:proofErr w:type="gramEnd"/>
            <w:r w:rsidRPr="00C35CDE">
              <w:rPr>
                <w:rFonts w:ascii="標楷體" w:eastAsia="標楷體" w:hAnsi="標楷體" w:cs="Times New Roman" w:hint="eastAsia"/>
                <w:spacing w:val="2"/>
                <w:sz w:val="20"/>
                <w:szCs w:val="20"/>
              </w:rPr>
              <w:t>未</w:t>
            </w:r>
            <w:proofErr w:type="gramStart"/>
            <w:r w:rsidRPr="00C35CDE">
              <w:rPr>
                <w:rFonts w:ascii="標楷體" w:eastAsia="標楷體" w:hAnsi="標楷體" w:cs="Times New Roman" w:hint="eastAsia"/>
                <w:spacing w:val="2"/>
                <w:sz w:val="20"/>
                <w:szCs w:val="20"/>
              </w:rPr>
              <w:t>臻</w:t>
            </w:r>
            <w:proofErr w:type="gramEnd"/>
            <w:r w:rsidRPr="00C35CDE">
              <w:rPr>
                <w:rFonts w:ascii="標楷體" w:eastAsia="標楷體" w:hAnsi="標楷體" w:cs="Times New Roman" w:hint="eastAsia"/>
                <w:spacing w:val="2"/>
                <w:sz w:val="20"/>
                <w:szCs w:val="20"/>
              </w:rPr>
              <w:t>周妥，或購置後長期閒置等情事，有待督促檢討改善。</w:t>
            </w: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7A274398" w14:textId="77777777" w:rsidR="008B713D" w:rsidRDefault="008B713D">
            <w:pPr>
              <w:widowControl/>
              <w:rPr>
                <w:rFonts w:ascii="標楷體" w:eastAsia="標楷體" w:hAnsi="標楷體" w:cs="Times New Roman"/>
                <w:sz w:val="20"/>
                <w:szCs w:val="20"/>
              </w:rPr>
            </w:pPr>
          </w:p>
        </w:tc>
      </w:tr>
      <w:tr w:rsidR="008B713D" w14:paraId="5B4C7CF7" w14:textId="77777777" w:rsidTr="008A1DEB">
        <w:trPr>
          <w:trHeight w:val="794"/>
          <w:jc w:val="center"/>
        </w:trPr>
        <w:tc>
          <w:tcPr>
            <w:tcW w:w="8075" w:type="dxa"/>
            <w:tcBorders>
              <w:top w:val="single" w:sz="4" w:space="0" w:color="auto"/>
              <w:left w:val="single" w:sz="4" w:space="0" w:color="auto"/>
              <w:bottom w:val="single" w:sz="4" w:space="0" w:color="auto"/>
              <w:right w:val="single" w:sz="4" w:space="0" w:color="auto"/>
            </w:tcBorders>
            <w:hideMark/>
          </w:tcPr>
          <w:p w14:paraId="293E8391" w14:textId="77777777" w:rsidR="008B713D" w:rsidRDefault="008B713D">
            <w:pPr>
              <w:snapToGrid w:val="0"/>
              <w:spacing w:line="244"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（三）教育局及所屬學校為落實</w:t>
            </w:r>
            <w:proofErr w:type="gramStart"/>
            <w:r>
              <w:rPr>
                <w:rFonts w:ascii="標楷體" w:eastAsia="標楷體" w:hAnsi="標楷體" w:cs="Times New Roman" w:hint="eastAsia"/>
                <w:sz w:val="20"/>
                <w:szCs w:val="20"/>
              </w:rPr>
              <w:t>綠能公舍</w:t>
            </w:r>
            <w:proofErr w:type="gramEnd"/>
            <w:r>
              <w:rPr>
                <w:rFonts w:ascii="標楷體" w:eastAsia="標楷體" w:hAnsi="標楷體" w:cs="Times New Roman" w:hint="eastAsia"/>
                <w:sz w:val="20"/>
                <w:szCs w:val="20"/>
              </w:rPr>
              <w:t>政策，及有效活化市產，提供公有房地予業者設置太陽光電發電設備使用，或辦理學校場館（地）委託經營，</w:t>
            </w:r>
            <w:proofErr w:type="gramStart"/>
            <w:r>
              <w:rPr>
                <w:rFonts w:ascii="標楷體" w:eastAsia="標楷體" w:hAnsi="標楷體" w:cs="Times New Roman" w:hint="eastAsia"/>
                <w:sz w:val="20"/>
                <w:szCs w:val="20"/>
              </w:rPr>
              <w:t>惟間有未</w:t>
            </w:r>
            <w:proofErr w:type="gramEnd"/>
            <w:r>
              <w:rPr>
                <w:rFonts w:ascii="標楷體" w:eastAsia="標楷體" w:hAnsi="標楷體" w:cs="Times New Roman" w:hint="eastAsia"/>
                <w:sz w:val="20"/>
                <w:szCs w:val="20"/>
              </w:rPr>
              <w:t>依規定繳納營業稅8百餘萬元，或未依約調增土地租金等情，</w:t>
            </w:r>
            <w:proofErr w:type="gramStart"/>
            <w:r>
              <w:rPr>
                <w:rFonts w:ascii="標楷體" w:eastAsia="標楷體" w:hAnsi="標楷體" w:cs="Times New Roman" w:hint="eastAsia"/>
                <w:sz w:val="20"/>
                <w:szCs w:val="20"/>
              </w:rPr>
              <w:t>均待依法</w:t>
            </w:r>
            <w:proofErr w:type="gramEnd"/>
            <w:r>
              <w:rPr>
                <w:rFonts w:ascii="標楷體" w:eastAsia="標楷體" w:hAnsi="標楷體" w:cs="Times New Roman" w:hint="eastAsia"/>
                <w:sz w:val="20"/>
                <w:szCs w:val="20"/>
              </w:rPr>
              <w:t>或按契約規定處理。</w:t>
            </w: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5E4A1675" w14:textId="77777777" w:rsidR="008B713D" w:rsidRDefault="008B713D">
            <w:pPr>
              <w:widowControl/>
              <w:rPr>
                <w:rFonts w:ascii="標楷體" w:eastAsia="標楷體" w:hAnsi="標楷體" w:cs="Times New Roman"/>
                <w:sz w:val="20"/>
                <w:szCs w:val="20"/>
              </w:rPr>
            </w:pPr>
          </w:p>
        </w:tc>
      </w:tr>
      <w:tr w:rsidR="008B713D" w14:paraId="3E578AC7" w14:textId="77777777" w:rsidTr="008A1DEB">
        <w:trPr>
          <w:trHeight w:val="794"/>
          <w:jc w:val="center"/>
        </w:trPr>
        <w:tc>
          <w:tcPr>
            <w:tcW w:w="8075" w:type="dxa"/>
            <w:tcBorders>
              <w:top w:val="single" w:sz="4" w:space="0" w:color="auto"/>
              <w:left w:val="single" w:sz="4" w:space="0" w:color="auto"/>
              <w:bottom w:val="single" w:sz="4" w:space="0" w:color="auto"/>
              <w:right w:val="single" w:sz="4" w:space="0" w:color="auto"/>
            </w:tcBorders>
            <w:hideMark/>
          </w:tcPr>
          <w:p w14:paraId="2062F03E" w14:textId="77777777" w:rsidR="008B713D" w:rsidRDefault="008B713D">
            <w:pPr>
              <w:snapToGrid w:val="0"/>
              <w:spacing w:line="244"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（四）臺北市推動資賦優異教育提供多元適性安置機會，以發展學生潛能，執行結果，核有部分國中資優班招生率或方案課程出席率有逐年降低趨勢，或未落實考核執行方案績效等情，均待</w:t>
            </w:r>
            <w:proofErr w:type="gramStart"/>
            <w:r>
              <w:rPr>
                <w:rFonts w:ascii="標楷體" w:eastAsia="標楷體" w:hAnsi="標楷體" w:cs="Times New Roman" w:hint="eastAsia"/>
                <w:sz w:val="20"/>
                <w:szCs w:val="20"/>
              </w:rPr>
              <w:t>研</w:t>
            </w:r>
            <w:proofErr w:type="gramEnd"/>
            <w:r>
              <w:rPr>
                <w:rFonts w:ascii="標楷體" w:eastAsia="標楷體" w:hAnsi="標楷體" w:cs="Times New Roman" w:hint="eastAsia"/>
                <w:sz w:val="20"/>
                <w:szCs w:val="20"/>
              </w:rPr>
              <w:t>謀改善。</w:t>
            </w: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0EA72C34" w14:textId="77777777" w:rsidR="008B713D" w:rsidRDefault="008B713D">
            <w:pPr>
              <w:widowControl/>
              <w:rPr>
                <w:rFonts w:ascii="標楷體" w:eastAsia="標楷體" w:hAnsi="標楷體" w:cs="Times New Roman"/>
                <w:sz w:val="20"/>
                <w:szCs w:val="20"/>
              </w:rPr>
            </w:pPr>
          </w:p>
        </w:tc>
      </w:tr>
      <w:tr w:rsidR="008B713D" w14:paraId="7B3EABD7" w14:textId="77777777" w:rsidTr="008A1DEB">
        <w:trPr>
          <w:trHeight w:val="794"/>
          <w:jc w:val="center"/>
        </w:trPr>
        <w:tc>
          <w:tcPr>
            <w:tcW w:w="8075" w:type="dxa"/>
            <w:tcBorders>
              <w:top w:val="single" w:sz="4" w:space="0" w:color="auto"/>
              <w:left w:val="single" w:sz="4" w:space="0" w:color="auto"/>
              <w:bottom w:val="single" w:sz="4" w:space="0" w:color="auto"/>
              <w:right w:val="single" w:sz="4" w:space="0" w:color="auto"/>
            </w:tcBorders>
            <w:hideMark/>
          </w:tcPr>
          <w:p w14:paraId="3F73BD80" w14:textId="77777777" w:rsidR="008B713D" w:rsidRDefault="008B713D">
            <w:pPr>
              <w:snapToGrid w:val="0"/>
              <w:spacing w:line="244"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（五）市立大學為應高教趨勢，持續推動高等教育深耕計畫，並積極拓展</w:t>
            </w:r>
            <w:proofErr w:type="gramStart"/>
            <w:r>
              <w:rPr>
                <w:rFonts w:ascii="標楷體" w:eastAsia="標楷體" w:hAnsi="標楷體" w:cs="Times New Roman" w:hint="eastAsia"/>
                <w:sz w:val="20"/>
                <w:szCs w:val="20"/>
              </w:rPr>
              <w:t>國際生源</w:t>
            </w:r>
            <w:proofErr w:type="gramEnd"/>
            <w:r>
              <w:rPr>
                <w:rFonts w:ascii="標楷體" w:eastAsia="標楷體" w:hAnsi="標楷體" w:cs="Times New Roman" w:hint="eastAsia"/>
                <w:sz w:val="20"/>
                <w:szCs w:val="20"/>
              </w:rPr>
              <w:t>，以提升辦學成效及國際知名度，</w:t>
            </w:r>
            <w:proofErr w:type="gramStart"/>
            <w:r>
              <w:rPr>
                <w:rFonts w:ascii="標楷體" w:eastAsia="標楷體" w:hAnsi="標楷體" w:cs="Times New Roman" w:hint="eastAsia"/>
                <w:sz w:val="20"/>
                <w:szCs w:val="20"/>
              </w:rPr>
              <w:t>惟休退學</w:t>
            </w:r>
            <w:proofErr w:type="gramEnd"/>
            <w:r>
              <w:rPr>
                <w:rFonts w:ascii="標楷體" w:eastAsia="標楷體" w:hAnsi="標楷體" w:cs="Times New Roman" w:hint="eastAsia"/>
                <w:sz w:val="20"/>
                <w:szCs w:val="20"/>
              </w:rPr>
              <w:t>率仍高、學用落差問題未有效改善，及境外學生招生多年未達預計目標等情事，有待</w:t>
            </w:r>
            <w:proofErr w:type="gramStart"/>
            <w:r>
              <w:rPr>
                <w:rFonts w:ascii="標楷體" w:eastAsia="標楷體" w:hAnsi="標楷體" w:cs="Times New Roman" w:hint="eastAsia"/>
                <w:sz w:val="20"/>
                <w:szCs w:val="20"/>
              </w:rPr>
              <w:t>研</w:t>
            </w:r>
            <w:proofErr w:type="gramEnd"/>
            <w:r>
              <w:rPr>
                <w:rFonts w:ascii="標楷體" w:eastAsia="標楷體" w:hAnsi="標楷體" w:cs="Times New Roman" w:hint="eastAsia"/>
                <w:sz w:val="20"/>
                <w:szCs w:val="20"/>
              </w:rPr>
              <w:t>謀改善。</w:t>
            </w: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56399CBC" w14:textId="77777777" w:rsidR="008B713D" w:rsidRDefault="008B713D">
            <w:pPr>
              <w:widowControl/>
              <w:rPr>
                <w:rFonts w:ascii="標楷體" w:eastAsia="標楷體" w:hAnsi="標楷體" w:cs="Times New Roman"/>
                <w:sz w:val="20"/>
                <w:szCs w:val="20"/>
              </w:rPr>
            </w:pPr>
          </w:p>
        </w:tc>
      </w:tr>
      <w:tr w:rsidR="008B713D" w14:paraId="1B667CFF" w14:textId="77777777" w:rsidTr="008A1DEB">
        <w:trPr>
          <w:trHeight w:val="510"/>
          <w:jc w:val="center"/>
        </w:trPr>
        <w:tc>
          <w:tcPr>
            <w:tcW w:w="8075" w:type="dxa"/>
            <w:tcBorders>
              <w:top w:val="single" w:sz="4" w:space="0" w:color="auto"/>
              <w:left w:val="single" w:sz="4" w:space="0" w:color="auto"/>
              <w:bottom w:val="single" w:sz="4" w:space="0" w:color="auto"/>
              <w:right w:val="single" w:sz="4" w:space="0" w:color="auto"/>
            </w:tcBorders>
            <w:hideMark/>
          </w:tcPr>
          <w:p w14:paraId="2E534540" w14:textId="77777777" w:rsidR="008B713D" w:rsidRDefault="008B713D">
            <w:pPr>
              <w:snapToGrid w:val="0"/>
              <w:spacing w:line="244"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（六）為提升市立大學教學環境及品質，長期編列補助預算，惟校務基金收支尚難達平衡或有賸餘目標，致累計短</w:t>
            </w:r>
            <w:proofErr w:type="gramStart"/>
            <w:r>
              <w:rPr>
                <w:rFonts w:ascii="標楷體" w:eastAsia="標楷體" w:hAnsi="標楷體" w:cs="Times New Roman" w:hint="eastAsia"/>
                <w:sz w:val="20"/>
                <w:szCs w:val="20"/>
              </w:rPr>
              <w:t>絀</w:t>
            </w:r>
            <w:proofErr w:type="gramEnd"/>
            <w:r>
              <w:rPr>
                <w:rFonts w:ascii="標楷體" w:eastAsia="標楷體" w:hAnsi="標楷體" w:cs="Times New Roman" w:hint="eastAsia"/>
                <w:sz w:val="20"/>
                <w:szCs w:val="20"/>
              </w:rPr>
              <w:t>數居高不下，允宜</w:t>
            </w:r>
            <w:proofErr w:type="gramStart"/>
            <w:r>
              <w:rPr>
                <w:rFonts w:ascii="標楷體" w:eastAsia="標楷體" w:hAnsi="標楷體" w:cs="Times New Roman" w:hint="eastAsia"/>
                <w:sz w:val="20"/>
                <w:szCs w:val="20"/>
              </w:rPr>
              <w:t>研</w:t>
            </w:r>
            <w:proofErr w:type="gramEnd"/>
            <w:r>
              <w:rPr>
                <w:rFonts w:ascii="標楷體" w:eastAsia="標楷體" w:hAnsi="標楷體" w:cs="Times New Roman" w:hint="eastAsia"/>
                <w:sz w:val="20"/>
                <w:szCs w:val="20"/>
              </w:rPr>
              <w:t>謀改善。</w:t>
            </w: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4B9482B0" w14:textId="77777777" w:rsidR="008B713D" w:rsidRDefault="008B713D">
            <w:pPr>
              <w:widowControl/>
              <w:rPr>
                <w:rFonts w:ascii="標楷體" w:eastAsia="標楷體" w:hAnsi="標楷體" w:cs="Times New Roman"/>
                <w:sz w:val="20"/>
                <w:szCs w:val="20"/>
              </w:rPr>
            </w:pPr>
          </w:p>
        </w:tc>
      </w:tr>
      <w:tr w:rsidR="008B713D" w14:paraId="40507F6D" w14:textId="77777777" w:rsidTr="008A1DEB">
        <w:trPr>
          <w:trHeight w:val="794"/>
          <w:jc w:val="center"/>
        </w:trPr>
        <w:tc>
          <w:tcPr>
            <w:tcW w:w="8075" w:type="dxa"/>
            <w:tcBorders>
              <w:top w:val="single" w:sz="4" w:space="0" w:color="auto"/>
              <w:left w:val="single" w:sz="4" w:space="0" w:color="auto"/>
              <w:bottom w:val="single" w:sz="4" w:space="0" w:color="auto"/>
              <w:right w:val="single" w:sz="4" w:space="0" w:color="auto"/>
            </w:tcBorders>
            <w:hideMark/>
          </w:tcPr>
          <w:p w14:paraId="45D5FB0F" w14:textId="77777777" w:rsidR="008B713D" w:rsidRDefault="008B713D">
            <w:pPr>
              <w:snapToGrid w:val="0"/>
              <w:spacing w:line="244"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（七）臺北市立學校辦理校園場館（地）</w:t>
            </w:r>
            <w:proofErr w:type="gramStart"/>
            <w:r>
              <w:rPr>
                <w:rFonts w:ascii="標楷體" w:eastAsia="標楷體" w:hAnsi="標楷體" w:cs="Times New Roman" w:hint="eastAsia"/>
                <w:sz w:val="20"/>
                <w:szCs w:val="20"/>
              </w:rPr>
              <w:t>促參案或</w:t>
            </w:r>
            <w:proofErr w:type="gramEnd"/>
            <w:r>
              <w:rPr>
                <w:rFonts w:ascii="標楷體" w:eastAsia="標楷體" w:hAnsi="標楷體" w:cs="Times New Roman" w:hint="eastAsia"/>
                <w:sz w:val="20"/>
                <w:szCs w:val="20"/>
              </w:rPr>
              <w:t>公開招標案，有助活化公有財產及增進民眾福祉，惟相關作業規範，部分未能與時俱進，且部分案件之履約管理情形，亦</w:t>
            </w:r>
            <w:proofErr w:type="gramStart"/>
            <w:r>
              <w:rPr>
                <w:rFonts w:ascii="標楷體" w:eastAsia="標楷體" w:hAnsi="標楷體" w:cs="Times New Roman" w:hint="eastAsia"/>
                <w:sz w:val="20"/>
                <w:szCs w:val="20"/>
              </w:rPr>
              <w:t>間有未臻</w:t>
            </w:r>
            <w:proofErr w:type="gramEnd"/>
            <w:r>
              <w:rPr>
                <w:rFonts w:ascii="標楷體" w:eastAsia="標楷體" w:hAnsi="標楷體" w:cs="Times New Roman" w:hint="eastAsia"/>
                <w:sz w:val="20"/>
                <w:szCs w:val="20"/>
              </w:rPr>
              <w:t>周</w:t>
            </w:r>
            <w:proofErr w:type="gramStart"/>
            <w:r>
              <w:rPr>
                <w:rFonts w:ascii="標楷體" w:eastAsia="標楷體" w:hAnsi="標楷體" w:cs="Times New Roman" w:hint="eastAsia"/>
                <w:sz w:val="20"/>
                <w:szCs w:val="20"/>
              </w:rPr>
              <w:t>妥或欠落實</w:t>
            </w:r>
            <w:proofErr w:type="gramEnd"/>
            <w:r>
              <w:rPr>
                <w:rFonts w:ascii="標楷體" w:eastAsia="標楷體" w:hAnsi="標楷體" w:cs="Times New Roman" w:hint="eastAsia"/>
                <w:sz w:val="20"/>
                <w:szCs w:val="20"/>
              </w:rPr>
              <w:t>等情事，均有待檢討改善。</w:t>
            </w: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3D0D3FAC" w14:textId="77777777" w:rsidR="008B713D" w:rsidRDefault="008B713D">
            <w:pPr>
              <w:widowControl/>
              <w:rPr>
                <w:rFonts w:ascii="標楷體" w:eastAsia="標楷體" w:hAnsi="標楷體" w:cs="Times New Roman"/>
                <w:sz w:val="20"/>
                <w:szCs w:val="20"/>
              </w:rPr>
            </w:pPr>
          </w:p>
        </w:tc>
      </w:tr>
      <w:tr w:rsidR="008B713D" w14:paraId="744159C0" w14:textId="77777777" w:rsidTr="008A1DEB">
        <w:trPr>
          <w:trHeight w:val="567"/>
          <w:jc w:val="center"/>
        </w:trPr>
        <w:tc>
          <w:tcPr>
            <w:tcW w:w="8075" w:type="dxa"/>
            <w:tcBorders>
              <w:top w:val="single" w:sz="4" w:space="0" w:color="auto"/>
              <w:left w:val="single" w:sz="4" w:space="0" w:color="auto"/>
              <w:bottom w:val="single" w:sz="4" w:space="0" w:color="auto"/>
              <w:right w:val="single" w:sz="4" w:space="0" w:color="auto"/>
            </w:tcBorders>
            <w:hideMark/>
          </w:tcPr>
          <w:p w14:paraId="6B355F8C" w14:textId="45E5ADD4" w:rsidR="008B713D" w:rsidRDefault="008B713D" w:rsidP="008A1DEB">
            <w:pPr>
              <w:snapToGrid w:val="0"/>
              <w:spacing w:line="244"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（八）</w:t>
            </w:r>
            <w:r w:rsidR="008A1DEB" w:rsidRPr="008A1DEB">
              <w:rPr>
                <w:rFonts w:ascii="標楷體" w:eastAsia="標楷體" w:hAnsi="標楷體" w:cs="Times New Roman" w:hint="eastAsia"/>
                <w:sz w:val="20"/>
                <w:szCs w:val="20"/>
              </w:rPr>
              <w:t>部分學校為更新教學設備及環境，採購網路設備及委託廠商執行校園整修工程監造作業，</w:t>
            </w:r>
            <w:proofErr w:type="gramStart"/>
            <w:r w:rsidR="008A1DEB" w:rsidRPr="008A1DEB">
              <w:rPr>
                <w:rFonts w:ascii="標楷體" w:eastAsia="標楷體" w:hAnsi="標楷體" w:cs="Times New Roman" w:hint="eastAsia"/>
                <w:sz w:val="20"/>
                <w:szCs w:val="20"/>
              </w:rPr>
              <w:t>間有分</w:t>
            </w:r>
            <w:proofErr w:type="gramEnd"/>
            <w:r w:rsidR="008A1DEB" w:rsidRPr="008A1DEB">
              <w:rPr>
                <w:rFonts w:ascii="標楷體" w:eastAsia="標楷體" w:hAnsi="標楷體" w:cs="Times New Roman" w:hint="eastAsia"/>
                <w:sz w:val="20"/>
                <w:szCs w:val="20"/>
              </w:rPr>
              <w:t>案招標前未依規定檢討是否符合分別採購，及監造廠商提送與審查資料逾期情事。</w:t>
            </w:r>
          </w:p>
        </w:tc>
        <w:tc>
          <w:tcPr>
            <w:tcW w:w="1840" w:type="dxa"/>
            <w:vMerge/>
            <w:tcBorders>
              <w:top w:val="single" w:sz="4" w:space="0" w:color="auto"/>
              <w:left w:val="single" w:sz="4" w:space="0" w:color="auto"/>
              <w:bottom w:val="single" w:sz="4" w:space="0" w:color="auto"/>
              <w:right w:val="single" w:sz="4" w:space="0" w:color="auto"/>
            </w:tcBorders>
            <w:vAlign w:val="center"/>
            <w:hideMark/>
          </w:tcPr>
          <w:p w14:paraId="799F6DB9" w14:textId="77777777" w:rsidR="008B713D" w:rsidRDefault="008B713D">
            <w:pPr>
              <w:widowControl/>
              <w:rPr>
                <w:rFonts w:ascii="標楷體" w:eastAsia="標楷體" w:hAnsi="標楷體" w:cs="Times New Roman"/>
                <w:sz w:val="20"/>
                <w:szCs w:val="20"/>
              </w:rPr>
            </w:pPr>
          </w:p>
        </w:tc>
      </w:tr>
    </w:tbl>
    <w:p w14:paraId="0A1D0B39" w14:textId="77777777" w:rsidR="008B713D" w:rsidRDefault="008B713D" w:rsidP="008B713D">
      <w:pPr>
        <w:spacing w:line="20" w:lineRule="exact"/>
        <w:jc w:val="both"/>
        <w:rPr>
          <w:rFonts w:ascii="標楷體" w:eastAsia="標楷體" w:hAnsi="標楷體"/>
          <w:szCs w:val="24"/>
        </w:rPr>
      </w:pPr>
    </w:p>
    <w:p w14:paraId="417D26D6" w14:textId="4E4177CA" w:rsidR="007351A0" w:rsidRDefault="008B713D" w:rsidP="003E73C3">
      <w:pPr>
        <w:widowControl/>
        <w:rPr>
          <w:rFonts w:ascii="標楷體" w:eastAsia="標楷體" w:hAnsi="標楷體" w:cs="Times New Roman"/>
          <w:b/>
          <w:sz w:val="36"/>
          <w:szCs w:val="36"/>
        </w:rPr>
      </w:pPr>
      <w:r>
        <w:rPr>
          <w:rFonts w:ascii="標楷體" w:eastAsia="標楷體" w:hAnsi="標楷體" w:cs="Times New Roman"/>
          <w:b/>
          <w:sz w:val="36"/>
          <w:szCs w:val="36"/>
        </w:rPr>
        <w:br w:type="page"/>
      </w:r>
      <w:r w:rsidR="007351A0">
        <w:rPr>
          <w:rFonts w:ascii="標楷體" w:eastAsia="標楷體" w:hAnsi="標楷體" w:cs="Times New Roman" w:hint="eastAsia"/>
          <w:b/>
          <w:sz w:val="36"/>
          <w:szCs w:val="36"/>
        </w:rPr>
        <w:lastRenderedPageBreak/>
        <w:t>陸、產業發展局主管</w:t>
      </w:r>
    </w:p>
    <w:p w14:paraId="7947B2E9" w14:textId="77777777" w:rsidR="007351A0" w:rsidRDefault="007351A0" w:rsidP="007351A0">
      <w:pPr>
        <w:widowControl/>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產業發展局主管計有公務機關4個，非營業特種基金單位4個，各該單位決算</w:t>
      </w:r>
      <w:r>
        <w:rPr>
          <w:rFonts w:ascii="標楷體" w:eastAsia="標楷體" w:hAnsi="標楷體" w:cs="Times New Roman" w:hint="eastAsia"/>
          <w:color w:val="000000"/>
          <w:szCs w:val="24"/>
        </w:rPr>
        <w:t>及</w:t>
      </w:r>
      <w:r>
        <w:rPr>
          <w:rFonts w:ascii="標楷體" w:eastAsia="標楷體" w:hAnsi="Times New Roman" w:cs="Times New Roman" w:hint="eastAsia"/>
          <w:color w:val="000000"/>
          <w:szCs w:val="24"/>
        </w:rPr>
        <w:t>附屬單位決算非營業部分之審核情形如次：</w:t>
      </w:r>
    </w:p>
    <w:p w14:paraId="4EA7864F" w14:textId="77777777" w:rsidR="007351A0" w:rsidRDefault="007351A0" w:rsidP="007351A0">
      <w:pPr>
        <w:widowControl/>
        <w:suppressAutoHyphens/>
        <w:overflowPunct w:val="0"/>
        <w:spacing w:beforeLines="50" w:before="180" w:afterLines="50" w:after="180" w:line="44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一、單位決算部分</w:t>
      </w:r>
    </w:p>
    <w:p w14:paraId="0BD873AC" w14:textId="77777777" w:rsidR="007351A0" w:rsidRDefault="007351A0" w:rsidP="007351A0">
      <w:pPr>
        <w:widowControl/>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產業發展局主管包括產業發展局、動物保護處、市場處、商業處等4個機關，掌理臺北市工商服務、科技產業服務、公用事業、農業發展、動物保護、市場及商業輔導管理等業務。茲將</w:t>
      </w:r>
      <w:proofErr w:type="gramStart"/>
      <w:r>
        <w:rPr>
          <w:rFonts w:ascii="標楷體" w:eastAsia="標楷體" w:hAnsi="Times New Roman" w:cs="Times New Roman" w:hint="eastAsia"/>
          <w:color w:val="000000"/>
          <w:szCs w:val="24"/>
        </w:rPr>
        <w:t>113</w:t>
      </w:r>
      <w:proofErr w:type="gramEnd"/>
      <w:r>
        <w:rPr>
          <w:rFonts w:ascii="標楷體" w:eastAsia="標楷體" w:hAnsi="Times New Roman" w:cs="Times New Roman" w:hint="eastAsia"/>
          <w:color w:val="000000"/>
          <w:szCs w:val="24"/>
        </w:rPr>
        <w:t>年度決算審核結果說明如次：</w:t>
      </w:r>
    </w:p>
    <w:p w14:paraId="09DA4157" w14:textId="77777777" w:rsidR="007351A0" w:rsidRDefault="007351A0" w:rsidP="007351A0">
      <w:pPr>
        <w:widowControl/>
        <w:suppressAutoHyphens/>
        <w:overflowPunct w:val="0"/>
        <w:spacing w:beforeLines="50" w:before="180" w:afterLines="30" w:after="108" w:line="46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（一）計畫實施之查核</w:t>
      </w:r>
    </w:p>
    <w:p w14:paraId="15094E65" w14:textId="77777777" w:rsidR="007351A0" w:rsidRDefault="007351A0" w:rsidP="007351A0">
      <w:pPr>
        <w:widowControl/>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業務計畫26項，下分工作計畫35項，包括連結整合創新育成與創業資源、提供企業多元獎勵補助與融資措施、辦理經貿</w:t>
      </w:r>
      <w:proofErr w:type="gramStart"/>
      <w:r>
        <w:rPr>
          <w:rFonts w:ascii="標楷體" w:eastAsia="標楷體" w:hAnsi="Times New Roman" w:cs="Times New Roman" w:hint="eastAsia"/>
          <w:color w:val="000000"/>
          <w:szCs w:val="24"/>
        </w:rPr>
        <w:t>商機拓產與</w:t>
      </w:r>
      <w:proofErr w:type="gramEnd"/>
      <w:r>
        <w:rPr>
          <w:rFonts w:ascii="標楷體" w:eastAsia="標楷體" w:hAnsi="Times New Roman" w:cs="Times New Roman" w:hint="eastAsia"/>
          <w:color w:val="000000"/>
          <w:szCs w:val="24"/>
        </w:rPr>
        <w:t>推廣計畫、加強查驗蔬果農藥殘留及市售農業資材品質、落實寵物管理政策、強化動物收容管制作業、提升市場營運及服務品質、建立完善商業登記制度、推廣臺北市特色商圈等重要施政項目，其中已執行完成者26項，尚在執行者9項，主要係市場處補助</w:t>
      </w:r>
      <w:proofErr w:type="gramStart"/>
      <w:r>
        <w:rPr>
          <w:rFonts w:ascii="標楷體" w:eastAsia="標楷體" w:hAnsi="Times New Roman" w:cs="Times New Roman" w:hint="eastAsia"/>
          <w:color w:val="000000"/>
          <w:szCs w:val="24"/>
        </w:rPr>
        <w:t>臺</w:t>
      </w:r>
      <w:proofErr w:type="gramEnd"/>
      <w:r>
        <w:rPr>
          <w:rFonts w:ascii="標楷體" w:eastAsia="標楷體" w:hAnsi="Times New Roman" w:cs="Times New Roman" w:hint="eastAsia"/>
          <w:color w:val="000000"/>
          <w:szCs w:val="24"/>
        </w:rPr>
        <w:t>北農產運銷股份有限公司辦理營運設備建置工程，因配合批發市場改建工程進度施作，暨辦理第一果菜及萬大魚類批發市場改建計畫，期程跨年度，須保留繼續執行。</w:t>
      </w:r>
    </w:p>
    <w:p w14:paraId="21113D7A" w14:textId="77777777" w:rsidR="007351A0" w:rsidRDefault="007351A0" w:rsidP="007351A0">
      <w:pPr>
        <w:widowControl/>
        <w:suppressAutoHyphens/>
        <w:overflowPunct w:val="0"/>
        <w:spacing w:beforeLines="50" w:before="180" w:afterLines="30" w:after="108" w:line="46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（二）預算執行之審核</w:t>
      </w:r>
    </w:p>
    <w:p w14:paraId="2D70416C" w14:textId="77777777" w:rsidR="007351A0" w:rsidRDefault="007351A0" w:rsidP="003E73C3">
      <w:pPr>
        <w:widowControl/>
        <w:overflowPunct w:val="0"/>
        <w:spacing w:line="42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1.歲入原編列預算數3億8,731萬餘元，經追加預算3,886萬餘元，合計4億2,618萬餘元，決算審核結果，審定實現數4億4,077萬餘元，應收保留數1,302萬餘元，主要係產業發展局辦理經濟部能源署補助計畫配合執行進度申撥款項，及動物保護處之違反動物保護法等罰鍰尚待收繳；合計決算審定數為4億5,380萬餘元，較預算增加2,762萬餘元（6.48％），主要係市場處之第一果菜及萬大魚類批發市場改建工程違約罰款收入較預計增加。</w:t>
      </w:r>
    </w:p>
    <w:p w14:paraId="468A8661" w14:textId="77777777" w:rsidR="007351A0" w:rsidRDefault="007351A0" w:rsidP="003E73C3">
      <w:pPr>
        <w:widowControl/>
        <w:overflowPunct w:val="0"/>
        <w:spacing w:line="42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2.以前年度歲入轉入數計1,152萬餘元，決算審核結果，審定實現數370萬餘元（32.14％）；減免（註銷）數237萬餘元（20.62％），主要係動物保護處之違反動物保護法等裁罰案件已取得執行憑證，依規定辦理註銷；應收保留數544萬餘元（47.24％），主要係動物保護處之違反動物保護法等罰鍰尚待收繳。</w:t>
      </w:r>
    </w:p>
    <w:p w14:paraId="4B520F47" w14:textId="77777777" w:rsidR="007351A0" w:rsidRDefault="007351A0" w:rsidP="007351A0">
      <w:pPr>
        <w:widowControl/>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3.歲出原編列預算數65億3,982萬餘元，經追加預算4,070萬餘元，並因產業發展局辦理臺北市中小企業融資貸款信用保證基金專款業務所需經費等事由，經動支第二預備金1,800萬元，暨產業發展局及商業處因人事費不足申請動支各類員工待遇準備1,190萬餘元，合計66億1,042萬餘元，決算審核結果，審定實現數59億2,087萬餘元（89.57％），應付保留數5億9,747萬餘元（9.04％），保留原因詳「（一）計畫實施之查核」說明；合計決算審定數為65億1,834萬餘元，預算賸餘9,207萬餘元（1.39％），主要係按業務需要減少支付之賸餘，及人事費結餘等。</w:t>
      </w:r>
    </w:p>
    <w:p w14:paraId="2621010B" w14:textId="77777777" w:rsidR="007351A0" w:rsidRDefault="007351A0" w:rsidP="007351A0">
      <w:pPr>
        <w:widowControl/>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lastRenderedPageBreak/>
        <w:t>4.以前年度歲出轉入數計2億663萬餘元，決算審核結果，審定實現數1億9,410萬餘元（93.94％）；減免（註銷）數373萬餘元（1.81％），主要係產業發展局補助及委辦計畫經費結餘；應付保留數878萬餘元（4.25％），主要係產業發展局辦理菁山苗圃補照整修工程委託技術服務案，尚未取得建築執照，須保留繼續執行。</w:t>
      </w:r>
    </w:p>
    <w:p w14:paraId="5B31CC33" w14:textId="77777777" w:rsidR="007351A0" w:rsidRDefault="007351A0" w:rsidP="007351A0">
      <w:pPr>
        <w:widowControl/>
        <w:suppressAutoHyphens/>
        <w:overflowPunct w:val="0"/>
        <w:spacing w:beforeLines="50" w:before="180" w:afterLines="20" w:after="72" w:line="44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二、附屬單位決算非營業部分</w:t>
      </w:r>
    </w:p>
    <w:p w14:paraId="2073AC20" w14:textId="77777777" w:rsidR="007351A0" w:rsidRDefault="007351A0" w:rsidP="007351A0">
      <w:pPr>
        <w:widowControl/>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產業發展局主管包括（一）作業基金：臺北市市場發展基金；（二）特別收入基金：臺北市農業發展基金、臺北市溫泉資源管理基金及臺北市產業發展基金等共4個單位。茲將</w:t>
      </w:r>
      <w:proofErr w:type="gramStart"/>
      <w:r>
        <w:rPr>
          <w:rFonts w:ascii="標楷體" w:eastAsia="標楷體" w:hAnsi="Times New Roman" w:cs="Times New Roman" w:hint="eastAsia"/>
          <w:color w:val="000000"/>
          <w:szCs w:val="24"/>
        </w:rPr>
        <w:t>113</w:t>
      </w:r>
      <w:proofErr w:type="gramEnd"/>
      <w:r>
        <w:rPr>
          <w:rFonts w:ascii="標楷體" w:eastAsia="標楷體" w:hAnsi="Times New Roman" w:cs="Times New Roman" w:hint="eastAsia"/>
          <w:color w:val="000000"/>
          <w:szCs w:val="24"/>
        </w:rPr>
        <w:t>年度決算審核結果說明如次：</w:t>
      </w:r>
    </w:p>
    <w:p w14:paraId="109F1B2C" w14:textId="77777777" w:rsidR="007351A0" w:rsidRDefault="007351A0" w:rsidP="007351A0">
      <w:pPr>
        <w:widowControl/>
        <w:suppressAutoHyphens/>
        <w:overflowPunct w:val="0"/>
        <w:spacing w:beforeLines="50" w:before="180" w:afterLines="10" w:after="36" w:line="46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（一）計畫實施之查核</w:t>
      </w:r>
    </w:p>
    <w:p w14:paraId="42E22EC4" w14:textId="77777777" w:rsidR="007351A0" w:rsidRDefault="007351A0" w:rsidP="007351A0">
      <w:pPr>
        <w:widowControl/>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業務（營運）計畫主要有市場委託物業管理公司管理收入、出租市場土地收入、出租市場建築物收入、農業發展計畫、溫泉資源管理計畫及產業發展計畫等6項，實施結果，計有農業發展計畫、溫泉資源管理計畫及產業發展計畫等5項，或因</w:t>
      </w:r>
      <w:proofErr w:type="gramStart"/>
      <w:r>
        <w:rPr>
          <w:rFonts w:ascii="標楷體" w:eastAsia="標楷體" w:hAnsi="Times New Roman" w:cs="Times New Roman" w:hint="eastAsia"/>
          <w:color w:val="000000"/>
          <w:szCs w:val="24"/>
        </w:rPr>
        <w:t>113</w:t>
      </w:r>
      <w:proofErr w:type="gramEnd"/>
      <w:r>
        <w:rPr>
          <w:rFonts w:ascii="標楷體" w:eastAsia="標楷體" w:hAnsi="Times New Roman" w:cs="Times New Roman" w:hint="eastAsia"/>
          <w:color w:val="000000"/>
          <w:szCs w:val="24"/>
        </w:rPr>
        <w:t>年度無農業災害救助案件，或因北投</w:t>
      </w:r>
      <w:proofErr w:type="gramStart"/>
      <w:r>
        <w:rPr>
          <w:rFonts w:ascii="標楷體" w:eastAsia="標楷體" w:hAnsi="Times New Roman" w:cs="Times New Roman" w:hint="eastAsia"/>
          <w:color w:val="000000"/>
          <w:szCs w:val="24"/>
        </w:rPr>
        <w:t>泡腳池園區</w:t>
      </w:r>
      <w:proofErr w:type="gramEnd"/>
      <w:r>
        <w:rPr>
          <w:rFonts w:ascii="標楷體" w:eastAsia="標楷體" w:hAnsi="Times New Roman" w:cs="Times New Roman" w:hint="eastAsia"/>
          <w:color w:val="000000"/>
          <w:szCs w:val="24"/>
        </w:rPr>
        <w:t>、磺溪嶺景觀步道等溫泉設備依實際需求辦理維修及環境清潔支出較預計減少，或因依臺北市產業發展自治條例申請核發各項獎（補）助支出較預計減少等，致未達預計目標。</w:t>
      </w:r>
    </w:p>
    <w:p w14:paraId="7A28EF7D" w14:textId="77777777" w:rsidR="007351A0" w:rsidRDefault="007351A0" w:rsidP="007351A0">
      <w:pPr>
        <w:widowControl/>
        <w:suppressAutoHyphens/>
        <w:overflowPunct w:val="0"/>
        <w:spacing w:beforeLines="50" w:before="180" w:afterLines="10" w:after="36" w:line="46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（二）餘</w:t>
      </w:r>
      <w:proofErr w:type="gramStart"/>
      <w:r>
        <w:rPr>
          <w:rFonts w:ascii="標楷體" w:eastAsia="標楷體" w:hAnsi="Times New Roman" w:cs="Times New Roman" w:hint="eastAsia"/>
          <w:b/>
          <w:sz w:val="28"/>
          <w:szCs w:val="28"/>
        </w:rPr>
        <w:t>絀</w:t>
      </w:r>
      <w:proofErr w:type="gramEnd"/>
      <w:r>
        <w:rPr>
          <w:rFonts w:ascii="標楷體" w:eastAsia="標楷體" w:hAnsi="Times New Roman" w:cs="Times New Roman" w:hint="eastAsia"/>
          <w:b/>
          <w:sz w:val="28"/>
          <w:szCs w:val="28"/>
        </w:rPr>
        <w:t>之審定</w:t>
      </w:r>
    </w:p>
    <w:p w14:paraId="0F7889E5" w14:textId="77777777" w:rsidR="007351A0" w:rsidRDefault="007351A0" w:rsidP="007351A0">
      <w:pPr>
        <w:widowControl/>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1.作業基金：決算審核結果，審定短</w:t>
      </w:r>
      <w:proofErr w:type="gramStart"/>
      <w:r>
        <w:rPr>
          <w:rFonts w:ascii="標楷體" w:eastAsia="標楷體" w:hAnsi="Times New Roman" w:cs="Times New Roman" w:hint="eastAsia"/>
          <w:color w:val="000000"/>
          <w:szCs w:val="24"/>
        </w:rPr>
        <w:t>絀</w:t>
      </w:r>
      <w:proofErr w:type="gramEnd"/>
      <w:r>
        <w:rPr>
          <w:rFonts w:ascii="標楷體" w:eastAsia="標楷體" w:hAnsi="Times New Roman" w:cs="Times New Roman" w:hint="eastAsia"/>
          <w:color w:val="000000"/>
          <w:szCs w:val="24"/>
        </w:rPr>
        <w:t>5億4,541萬餘元，較預算短</w:t>
      </w:r>
      <w:proofErr w:type="gramStart"/>
      <w:r>
        <w:rPr>
          <w:rFonts w:ascii="標楷體" w:eastAsia="標楷體" w:hAnsi="Times New Roman" w:cs="Times New Roman" w:hint="eastAsia"/>
          <w:color w:val="000000"/>
          <w:szCs w:val="24"/>
        </w:rPr>
        <w:t>絀</w:t>
      </w:r>
      <w:proofErr w:type="gramEnd"/>
      <w:r>
        <w:rPr>
          <w:rFonts w:ascii="標楷體" w:eastAsia="標楷體" w:hAnsi="Times New Roman" w:cs="Times New Roman" w:hint="eastAsia"/>
          <w:color w:val="000000"/>
          <w:szCs w:val="24"/>
        </w:rPr>
        <w:t>5億8,890萬餘元，減少4,349萬餘元，約7.39％，主要係折舊、</w:t>
      </w:r>
      <w:proofErr w:type="gramStart"/>
      <w:r>
        <w:rPr>
          <w:rFonts w:ascii="標楷體" w:eastAsia="標楷體" w:hAnsi="Times New Roman" w:cs="Times New Roman" w:hint="eastAsia"/>
          <w:color w:val="000000"/>
          <w:szCs w:val="24"/>
        </w:rPr>
        <w:t>折耗及攤</w:t>
      </w:r>
      <w:proofErr w:type="gramEnd"/>
      <w:r>
        <w:rPr>
          <w:rFonts w:ascii="標楷體" w:eastAsia="標楷體" w:hAnsi="Times New Roman" w:cs="Times New Roman" w:hint="eastAsia"/>
          <w:color w:val="000000"/>
          <w:szCs w:val="24"/>
        </w:rPr>
        <w:t>銷費用較預計減少所致。</w:t>
      </w:r>
    </w:p>
    <w:p w14:paraId="1E4ED6DB" w14:textId="77777777" w:rsidR="007351A0" w:rsidRDefault="007351A0" w:rsidP="007351A0">
      <w:pPr>
        <w:widowControl/>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2.特別收入基金：決算審核結果，審定賸餘1億3,543萬餘元，較預算賸餘3,984萬餘元，增加9,558萬餘元，約239.88％，主要係</w:t>
      </w:r>
      <w:proofErr w:type="gramStart"/>
      <w:r>
        <w:rPr>
          <w:rFonts w:ascii="標楷體" w:eastAsia="標楷體" w:hAnsi="Times New Roman" w:cs="Times New Roman" w:hint="eastAsia"/>
          <w:color w:val="000000"/>
          <w:szCs w:val="24"/>
        </w:rPr>
        <w:t>獲配市有</w:t>
      </w:r>
      <w:proofErr w:type="gramEnd"/>
      <w:r>
        <w:rPr>
          <w:rFonts w:ascii="標楷體" w:eastAsia="標楷體" w:hAnsi="Times New Roman" w:cs="Times New Roman" w:hint="eastAsia"/>
          <w:color w:val="000000"/>
          <w:szCs w:val="24"/>
        </w:rPr>
        <w:t>非公用財產出售收入較預計增加，</w:t>
      </w:r>
      <w:proofErr w:type="gramStart"/>
      <w:r>
        <w:rPr>
          <w:rFonts w:ascii="標楷體" w:eastAsia="標楷體" w:hAnsi="Times New Roman" w:cs="Times New Roman" w:hint="eastAsia"/>
          <w:color w:val="000000"/>
          <w:szCs w:val="24"/>
        </w:rPr>
        <w:t>暨依臺北市</w:t>
      </w:r>
      <w:proofErr w:type="gramEnd"/>
      <w:r>
        <w:rPr>
          <w:rFonts w:ascii="標楷體" w:eastAsia="標楷體" w:hAnsi="Times New Roman" w:cs="Times New Roman" w:hint="eastAsia"/>
          <w:color w:val="000000"/>
          <w:szCs w:val="24"/>
        </w:rPr>
        <w:t>產業發展自治條例申請核發各項獎（補）助支出較預計減少所致。</w:t>
      </w:r>
    </w:p>
    <w:p w14:paraId="51956008" w14:textId="77777777" w:rsidR="007351A0" w:rsidRDefault="007351A0" w:rsidP="007351A0">
      <w:pPr>
        <w:widowControl/>
        <w:suppressAutoHyphens/>
        <w:overflowPunct w:val="0"/>
        <w:spacing w:beforeLines="50" w:before="180" w:afterLines="20" w:after="72" w:line="400" w:lineRule="exact"/>
        <w:jc w:val="both"/>
        <w:outlineLvl w:val="2"/>
        <w:rPr>
          <w:rFonts w:ascii="標楷體" w:eastAsia="標楷體" w:hAnsi="Times New Roman" w:cs="Times New Roman"/>
          <w:b/>
          <w:sz w:val="32"/>
          <w:szCs w:val="32"/>
        </w:rPr>
      </w:pPr>
      <w:r>
        <w:rPr>
          <w:rFonts w:ascii="標楷體" w:eastAsia="標楷體" w:hAnsi="Times New Roman" w:cs="Times New Roman" w:hint="eastAsia"/>
          <w:b/>
          <w:sz w:val="32"/>
          <w:szCs w:val="32"/>
        </w:rPr>
        <w:t>三、重要審核意見</w:t>
      </w:r>
    </w:p>
    <w:p w14:paraId="6A91EFE4" w14:textId="77777777" w:rsidR="007351A0" w:rsidRDefault="007351A0" w:rsidP="007351A0">
      <w:pPr>
        <w:widowControl/>
        <w:suppressAutoHyphens/>
        <w:overflowPunct w:val="0"/>
        <w:spacing w:beforeLines="30" w:before="108" w:line="46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一）為促進生技產業聚落效應，辦理臺北市南港生技產業聚落開發計畫興建營運移轉案，惟生技廠商進駐園區已1年餘，迄未依投資契約規定，檢核產業空間作為實驗室與小型試量產工廠面積占比是否符合規定，及民間機構延宕啟動進駐廠商對周邊機構實驗設施需求調查，有待</w:t>
      </w:r>
      <w:proofErr w:type="gramStart"/>
      <w:r>
        <w:rPr>
          <w:rFonts w:ascii="標楷體" w:eastAsia="標楷體" w:hAnsi="Times New Roman" w:cs="Times New Roman" w:hint="eastAsia"/>
          <w:b/>
          <w:sz w:val="28"/>
          <w:szCs w:val="28"/>
        </w:rPr>
        <w:t>研謀妥處</w:t>
      </w:r>
      <w:proofErr w:type="gramEnd"/>
      <w:r>
        <w:rPr>
          <w:rFonts w:ascii="標楷體" w:eastAsia="標楷體" w:hAnsi="Times New Roman" w:cs="Times New Roman" w:hint="eastAsia"/>
          <w:b/>
          <w:sz w:val="28"/>
          <w:szCs w:val="28"/>
        </w:rPr>
        <w:t>，以減少履約爭議風險，並滿足廠商技術支援服務。</w:t>
      </w:r>
    </w:p>
    <w:p w14:paraId="7F82F7FE" w14:textId="77777777" w:rsidR="00553180" w:rsidRDefault="007351A0" w:rsidP="00553180">
      <w:pPr>
        <w:widowControl/>
        <w:overflowPunct w:val="0"/>
        <w:spacing w:line="430" w:lineRule="exact"/>
        <w:ind w:firstLineChars="210" w:firstLine="504"/>
        <w:jc w:val="both"/>
        <w:rPr>
          <w:rFonts w:ascii="標楷體" w:eastAsia="標楷體" w:hAnsi="標楷體" w:cs="Times New Roman"/>
          <w:kern w:val="0"/>
          <w:szCs w:val="24"/>
        </w:rPr>
      </w:pPr>
      <w:r>
        <w:rPr>
          <w:rFonts w:ascii="標楷體" w:eastAsia="標楷體" w:hAnsi="標楷體" w:cs="Times New Roman" w:hint="eastAsia"/>
          <w:kern w:val="0"/>
          <w:szCs w:val="24"/>
        </w:rPr>
        <w:t>產業發展局為促進臺北市生技產業聚落效應，補足目前臺北市生技產業聚落主軸功能於產業價值鏈-臨床前試驗端點之缺口，依促進民間參與公共建設法規定辦理臺北市南港生技產業聚落開發計畫興建營運移轉（BOT）案（下稱本案），於107年間與民間機構簽訂投資契約，特許期間50年，由民間機構興建「台北生技園區」，投資金額98億3,806萬餘元，於112年3月23日正式啟用營運，以提供生技廠商研發實驗室、試量產工廠、育成基地等空間功能，並串連</w:t>
      </w:r>
    </w:p>
    <w:p w14:paraId="50143BA5" w14:textId="77777777" w:rsidR="00076D5B" w:rsidRDefault="00076D5B" w:rsidP="00076D5B">
      <w:pPr>
        <w:widowControl/>
        <w:overflowPunct w:val="0"/>
        <w:spacing w:line="420" w:lineRule="exact"/>
        <w:jc w:val="both"/>
        <w:rPr>
          <w:rFonts w:ascii="標楷體" w:eastAsia="標楷體" w:hAnsi="標楷體" w:cs="Times New Roman"/>
          <w:kern w:val="0"/>
          <w:szCs w:val="24"/>
        </w:rPr>
      </w:pPr>
      <w:r>
        <w:rPr>
          <w:rFonts w:hint="eastAsia"/>
          <w:noProof/>
        </w:rPr>
        <w:lastRenderedPageBreak/>
        <mc:AlternateContent>
          <mc:Choice Requires="wps">
            <w:drawing>
              <wp:anchor distT="45720" distB="45720" distL="114300" distR="114300" simplePos="0" relativeHeight="251704320" behindDoc="1" locked="0" layoutInCell="1" allowOverlap="1" wp14:anchorId="57643D24" wp14:editId="0717FDF2">
                <wp:simplePos x="0" y="0"/>
                <wp:positionH relativeFrom="margin">
                  <wp:posOffset>2484396</wp:posOffset>
                </wp:positionH>
                <wp:positionV relativeFrom="page">
                  <wp:posOffset>5498082</wp:posOffset>
                </wp:positionV>
                <wp:extent cx="3993515" cy="2119630"/>
                <wp:effectExtent l="0" t="0" r="0" b="0"/>
                <wp:wrapTight wrapText="bothSides">
                  <wp:wrapPolygon edited="0">
                    <wp:start x="309" y="0"/>
                    <wp:lineTo x="309" y="21354"/>
                    <wp:lineTo x="21226" y="21354"/>
                    <wp:lineTo x="21226" y="0"/>
                    <wp:lineTo x="309" y="0"/>
                  </wp:wrapPolygon>
                </wp:wrapTight>
                <wp:docPr id="44" name="文字方塊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3515" cy="2119630"/>
                        </a:xfrm>
                        <a:prstGeom prst="rect">
                          <a:avLst/>
                        </a:prstGeom>
                        <a:noFill/>
                        <a:ln w="9525">
                          <a:noFill/>
                          <a:miter lim="800000"/>
                          <a:headEnd/>
                          <a:tailEnd/>
                        </a:ln>
                      </wps:spPr>
                      <wps:txbx>
                        <w:txbxContent>
                          <w:p w14:paraId="07C0053E" w14:textId="77777777" w:rsidR="007351A0" w:rsidRDefault="007351A0" w:rsidP="007351A0">
                            <w:pPr>
                              <w:jc w:val="center"/>
                              <w:rPr>
                                <w:rFonts w:ascii="標楷體" w:eastAsia="標楷體" w:hAnsi="標楷體"/>
                                <w:b/>
                              </w:rPr>
                            </w:pPr>
                            <w:r>
                              <w:rPr>
                                <w:rFonts w:ascii="標楷體" w:eastAsia="標楷體" w:hAnsi="標楷體" w:hint="eastAsia"/>
                                <w:b/>
                              </w:rPr>
                              <w:t>圖2　民間機構規劃共用儀器設備設置方式</w:t>
                            </w:r>
                          </w:p>
                          <w:p w14:paraId="6C95CBDA" w14:textId="549FFD08" w:rsidR="007351A0" w:rsidRDefault="007351A0" w:rsidP="007351A0">
                            <w:r>
                              <w:rPr>
                                <w:rFonts w:ascii="Calibri" w:eastAsia="Times New Roman" w:hAnsi="Calibri"/>
                                <w:noProof/>
                                <w:kern w:val="0"/>
                                <w:sz w:val="20"/>
                                <w:szCs w:val="20"/>
                              </w:rPr>
                              <w:drawing>
                                <wp:inline distT="0" distB="0" distL="0" distR="0" wp14:anchorId="7B65B43A" wp14:editId="1A4B44ED">
                                  <wp:extent cx="3801110" cy="1535430"/>
                                  <wp:effectExtent l="0" t="0" r="8890" b="7620"/>
                                  <wp:docPr id="90"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01110" cy="1535430"/>
                                          </a:xfrm>
                                          <a:prstGeom prst="rect">
                                            <a:avLst/>
                                          </a:prstGeom>
                                          <a:noFill/>
                                          <a:ln>
                                            <a:noFill/>
                                          </a:ln>
                                        </pic:spPr>
                                      </pic:pic>
                                    </a:graphicData>
                                  </a:graphic>
                                </wp:inline>
                              </w:drawing>
                            </w:r>
                          </w:p>
                          <w:p w14:paraId="49BA4A1A" w14:textId="77777777" w:rsidR="007351A0" w:rsidRDefault="007351A0" w:rsidP="007351A0">
                            <w:pPr>
                              <w:rPr>
                                <w:rFonts w:ascii="標楷體" w:eastAsia="標楷體" w:hAnsi="標楷體"/>
                                <w:sz w:val="18"/>
                                <w:szCs w:val="18"/>
                              </w:rPr>
                            </w:pPr>
                            <w:r>
                              <w:rPr>
                                <w:rFonts w:ascii="標楷體" w:eastAsia="標楷體" w:hAnsi="標楷體" w:hint="eastAsia"/>
                                <w:sz w:val="18"/>
                                <w:szCs w:val="18"/>
                              </w:rPr>
                              <w:t>資料來源：整理自民間機構營運執行計畫書。</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43D24" id="文字方塊 44" o:spid="_x0000_s1065" type="#_x0000_t202" style="position:absolute;left:0;text-align:left;margin-left:195.6pt;margin-top:432.9pt;width:314.45pt;height:166.9pt;z-index:-251612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" filled="f" stroked="f">
                <v:textbox>
                  <w:txbxContent>
                    <w:p w14:paraId="07C0053E" w14:textId="77777777" w:rsidR="007351A0" w:rsidRDefault="007351A0" w:rsidP="007351A0">
                      <w:pPr>
                        <w:jc w:val="center"/>
                        <w:rPr>
                          <w:rFonts w:ascii="標楷體" w:eastAsia="標楷體" w:hAnsi="標楷體"/>
                          <w:b/>
                        </w:rPr>
                      </w:pPr>
                      <w:r>
                        <w:rPr>
                          <w:rFonts w:ascii="標楷體" w:eastAsia="標楷體" w:hAnsi="標楷體" w:hint="eastAsia"/>
                          <w:b/>
                        </w:rPr>
                        <w:t>圖2　民間機構規劃共用儀器設備設置方式</w:t>
                      </w:r>
                    </w:p>
                    <w:p w14:paraId="6C95CBDA" w14:textId="549FFD08" w:rsidR="007351A0" w:rsidRDefault="007351A0" w:rsidP="007351A0">
                      <w:r>
                        <w:rPr>
                          <w:rFonts w:ascii="Calibri" w:eastAsia="Times New Roman" w:hAnsi="Calibri"/>
                          <w:noProof/>
                          <w:kern w:val="0"/>
                          <w:sz w:val="20"/>
                          <w:szCs w:val="20"/>
                        </w:rPr>
                        <w:drawing>
                          <wp:inline distT="0" distB="0" distL="0" distR="0" wp14:anchorId="7B65B43A" wp14:editId="1A4B44ED">
                            <wp:extent cx="3801110" cy="1535430"/>
                            <wp:effectExtent l="0" t="0" r="8890" b="7620"/>
                            <wp:docPr id="90" name="圖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01110" cy="1535430"/>
                                    </a:xfrm>
                                    <a:prstGeom prst="rect">
                                      <a:avLst/>
                                    </a:prstGeom>
                                    <a:noFill/>
                                    <a:ln>
                                      <a:noFill/>
                                    </a:ln>
                                  </pic:spPr>
                                </pic:pic>
                              </a:graphicData>
                            </a:graphic>
                          </wp:inline>
                        </w:drawing>
                      </w:r>
                    </w:p>
                    <w:p w14:paraId="49BA4A1A" w14:textId="77777777" w:rsidR="007351A0" w:rsidRDefault="007351A0" w:rsidP="007351A0">
                      <w:pPr>
                        <w:rPr>
                          <w:rFonts w:ascii="標楷體" w:eastAsia="標楷體" w:hAnsi="標楷體"/>
                          <w:sz w:val="18"/>
                          <w:szCs w:val="18"/>
                        </w:rPr>
                      </w:pPr>
                      <w:r>
                        <w:rPr>
                          <w:rFonts w:ascii="標楷體" w:eastAsia="標楷體" w:hAnsi="標楷體" w:hint="eastAsia"/>
                          <w:sz w:val="18"/>
                          <w:szCs w:val="18"/>
                        </w:rPr>
                        <w:t>資料來源：整理自民間機構營運執行計畫書。</w:t>
                      </w:r>
                    </w:p>
                  </w:txbxContent>
                </v:textbox>
                <w10:wrap type="tight" anchorx="margin" anchory="page"/>
              </v:shape>
            </w:pict>
          </mc:Fallback>
        </mc:AlternateContent>
      </w:r>
      <w:r w:rsidR="008774F9">
        <w:rPr>
          <w:rFonts w:hint="eastAsia"/>
          <w:noProof/>
        </w:rPr>
        <mc:AlternateContent>
          <mc:Choice Requires="wps">
            <w:drawing>
              <wp:anchor distT="45720" distB="45720" distL="114300" distR="114300" simplePos="0" relativeHeight="251703296" behindDoc="0" locked="0" layoutInCell="1" allowOverlap="1" wp14:anchorId="7BF3E9FB" wp14:editId="72EC07F0">
                <wp:simplePos x="0" y="0"/>
                <wp:positionH relativeFrom="margin">
                  <wp:posOffset>3479212</wp:posOffset>
                </wp:positionH>
                <wp:positionV relativeFrom="paragraph">
                  <wp:posOffset>503</wp:posOffset>
                </wp:positionV>
                <wp:extent cx="2994025" cy="4423410"/>
                <wp:effectExtent l="0" t="0" r="0" b="0"/>
                <wp:wrapSquare wrapText="bothSides"/>
                <wp:docPr id="46" name="文字方塊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4025" cy="4423410"/>
                        </a:xfrm>
                        <a:prstGeom prst="rect">
                          <a:avLst/>
                        </a:prstGeom>
                        <a:noFill/>
                        <a:ln w="9525">
                          <a:noFill/>
                          <a:miter lim="800000"/>
                          <a:headEnd/>
                          <a:tailEnd/>
                        </a:ln>
                      </wps:spPr>
                      <wps:txbx>
                        <w:txbxContent>
                          <w:p w14:paraId="2CB6AC02" w14:textId="77777777" w:rsidR="007351A0" w:rsidRDefault="007351A0" w:rsidP="007351A0">
                            <w:pPr>
                              <w:widowControl/>
                              <w:tabs>
                                <w:tab w:val="left" w:pos="4253"/>
                              </w:tabs>
                              <w:jc w:val="center"/>
                              <w:rPr>
                                <w:rFonts w:ascii="標楷體" w:eastAsia="標楷體" w:hAnsi="標楷體"/>
                                <w:b/>
                              </w:rPr>
                            </w:pPr>
                            <w:bookmarkStart w:id="45" w:name="_Hlk186719213"/>
                            <w:bookmarkEnd w:id="45"/>
                            <w:r>
                              <w:rPr>
                                <w:rFonts w:ascii="標楷體" w:eastAsia="標楷體" w:hAnsi="標楷體" w:hint="eastAsia"/>
                                <w:b/>
                              </w:rPr>
                              <w:t>圖1　南港生技產業鏈</w:t>
                            </w:r>
                          </w:p>
                          <w:p w14:paraId="76F1A410" w14:textId="75BA8001" w:rsidR="007351A0" w:rsidRDefault="007351A0" w:rsidP="007351A0">
                            <w:pPr>
                              <w:widowControl/>
                              <w:tabs>
                                <w:tab w:val="left" w:pos="4253"/>
                              </w:tabs>
                              <w:rPr>
                                <w:rFonts w:ascii="標楷體" w:eastAsia="標楷體" w:hAnsi="標楷體"/>
                                <w:sz w:val="18"/>
                                <w:szCs w:val="18"/>
                              </w:rPr>
                            </w:pPr>
                            <w:r>
                              <w:rPr>
                                <w:rFonts w:ascii="Calibri" w:eastAsia="Times New Roman" w:hAnsi="Calibri"/>
                                <w:noProof/>
                                <w:kern w:val="0"/>
                                <w:sz w:val="20"/>
                                <w:szCs w:val="20"/>
                              </w:rPr>
                              <w:drawing>
                                <wp:inline distT="0" distB="0" distL="0" distR="0" wp14:anchorId="62E2AA93" wp14:editId="7C4171DF">
                                  <wp:extent cx="2675255" cy="3664585"/>
                                  <wp:effectExtent l="0" t="0" r="0"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30">
                                            <a:extLst>
                                              <a:ext uri="{28A0092B-C50C-407E-A947-70E740481C1C}">
                                                <a14:useLocalDpi xmlns:a14="http://schemas.microsoft.com/office/drawing/2010/main" val="0"/>
                                              </a:ext>
                                            </a:extLst>
                                          </a:blip>
                                          <a:srcRect b="5956"/>
                                          <a:stretch>
                                            <a:fillRect/>
                                          </a:stretch>
                                        </pic:blipFill>
                                        <pic:spPr bwMode="auto">
                                          <a:xfrm>
                                            <a:off x="0" y="0"/>
                                            <a:ext cx="2675255" cy="3664585"/>
                                          </a:xfrm>
                                          <a:prstGeom prst="rect">
                                            <a:avLst/>
                                          </a:prstGeom>
                                          <a:noFill/>
                                          <a:ln>
                                            <a:noFill/>
                                          </a:ln>
                                        </pic:spPr>
                                      </pic:pic>
                                    </a:graphicData>
                                  </a:graphic>
                                </wp:inline>
                              </w:drawing>
                            </w:r>
                          </w:p>
                          <w:p w14:paraId="2F2FE3C3" w14:textId="77777777" w:rsidR="007351A0" w:rsidRDefault="007351A0" w:rsidP="007351A0">
                            <w:pPr>
                              <w:widowControl/>
                              <w:tabs>
                                <w:tab w:val="left" w:pos="4253"/>
                              </w:tabs>
                              <w:rPr>
                                <w:rFonts w:ascii="標楷體" w:eastAsia="標楷體" w:hAnsi="標楷體"/>
                                <w:sz w:val="18"/>
                                <w:szCs w:val="18"/>
                              </w:rPr>
                            </w:pPr>
                            <w:r>
                              <w:rPr>
                                <w:rFonts w:ascii="標楷體" w:eastAsia="標楷體" w:hAnsi="標楷體" w:hint="eastAsia"/>
                                <w:sz w:val="18"/>
                                <w:szCs w:val="18"/>
                              </w:rPr>
                              <w:t>圖片來源：擷取自臺北市生技產業白皮書。</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F3E9FB" id="文字方塊 46" o:spid="_x0000_s1066" type="#_x0000_t202" style="position:absolute;left:0;text-align:left;margin-left:273.95pt;margin-top:.05pt;width:235.75pt;height:348.3pt;z-index:251703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" filled="f" stroked="f">
                <v:textbox>
                  <w:txbxContent>
                    <w:p w14:paraId="2CB6AC02" w14:textId="77777777" w:rsidR="007351A0" w:rsidRDefault="007351A0" w:rsidP="007351A0">
                      <w:pPr>
                        <w:widowControl/>
                        <w:tabs>
                          <w:tab w:val="left" w:pos="4253"/>
                        </w:tabs>
                        <w:jc w:val="center"/>
                        <w:rPr>
                          <w:rFonts w:ascii="標楷體" w:eastAsia="標楷體" w:hAnsi="標楷體"/>
                          <w:b/>
                        </w:rPr>
                      </w:pPr>
                      <w:bookmarkStart w:id="46" w:name="_Hlk186719213"/>
                      <w:bookmarkEnd w:id="46"/>
                      <w:r>
                        <w:rPr>
                          <w:rFonts w:ascii="標楷體" w:eastAsia="標楷體" w:hAnsi="標楷體" w:hint="eastAsia"/>
                          <w:b/>
                        </w:rPr>
                        <w:t>圖1　南港生技產業鏈</w:t>
                      </w:r>
                    </w:p>
                    <w:p w14:paraId="76F1A410" w14:textId="75BA8001" w:rsidR="007351A0" w:rsidRDefault="007351A0" w:rsidP="007351A0">
                      <w:pPr>
                        <w:widowControl/>
                        <w:tabs>
                          <w:tab w:val="left" w:pos="4253"/>
                        </w:tabs>
                        <w:rPr>
                          <w:rFonts w:ascii="標楷體" w:eastAsia="標楷體" w:hAnsi="標楷體"/>
                          <w:sz w:val="18"/>
                          <w:szCs w:val="18"/>
                        </w:rPr>
                      </w:pPr>
                      <w:r>
                        <w:rPr>
                          <w:rFonts w:ascii="Calibri" w:eastAsia="Times New Roman" w:hAnsi="Calibri"/>
                          <w:noProof/>
                          <w:kern w:val="0"/>
                          <w:sz w:val="20"/>
                          <w:szCs w:val="20"/>
                        </w:rPr>
                        <w:drawing>
                          <wp:inline distT="0" distB="0" distL="0" distR="0" wp14:anchorId="62E2AA93" wp14:editId="7C4171DF">
                            <wp:extent cx="2675255" cy="3664585"/>
                            <wp:effectExtent l="0" t="0" r="0" b="0"/>
                            <wp:docPr id="91" name="圖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31">
                                      <a:extLst>
                                        <a:ext uri="{28A0092B-C50C-407E-A947-70E740481C1C}">
                                          <a14:useLocalDpi xmlns:a14="http://schemas.microsoft.com/office/drawing/2010/main" val="0"/>
                                        </a:ext>
                                      </a:extLst>
                                    </a:blip>
                                    <a:srcRect b="5956"/>
                                    <a:stretch>
                                      <a:fillRect/>
                                    </a:stretch>
                                  </pic:blipFill>
                                  <pic:spPr bwMode="auto">
                                    <a:xfrm>
                                      <a:off x="0" y="0"/>
                                      <a:ext cx="2675255" cy="3664585"/>
                                    </a:xfrm>
                                    <a:prstGeom prst="rect">
                                      <a:avLst/>
                                    </a:prstGeom>
                                    <a:noFill/>
                                    <a:ln>
                                      <a:noFill/>
                                    </a:ln>
                                  </pic:spPr>
                                </pic:pic>
                              </a:graphicData>
                            </a:graphic>
                          </wp:inline>
                        </w:drawing>
                      </w:r>
                    </w:p>
                    <w:p w14:paraId="2F2FE3C3" w14:textId="77777777" w:rsidR="007351A0" w:rsidRDefault="007351A0" w:rsidP="007351A0">
                      <w:pPr>
                        <w:widowControl/>
                        <w:tabs>
                          <w:tab w:val="left" w:pos="4253"/>
                        </w:tabs>
                        <w:rPr>
                          <w:rFonts w:ascii="標楷體" w:eastAsia="標楷體" w:hAnsi="標楷體"/>
                          <w:sz w:val="18"/>
                          <w:szCs w:val="18"/>
                        </w:rPr>
                      </w:pPr>
                      <w:r>
                        <w:rPr>
                          <w:rFonts w:ascii="標楷體" w:eastAsia="標楷體" w:hAnsi="標楷體" w:hint="eastAsia"/>
                          <w:sz w:val="18"/>
                          <w:szCs w:val="18"/>
                        </w:rPr>
                        <w:t>圖片來源：擷取自臺北市生技產業白皮書。</w:t>
                      </w:r>
                    </w:p>
                  </w:txbxContent>
                </v:textbox>
                <w10:wrap type="square" anchorx="margin"/>
              </v:shape>
            </w:pict>
          </mc:Fallback>
        </mc:AlternateContent>
      </w:r>
      <w:r w:rsidR="007351A0">
        <w:rPr>
          <w:rFonts w:ascii="標楷體" w:eastAsia="標楷體" w:hAnsi="標楷體" w:cs="Times New Roman" w:hint="eastAsia"/>
          <w:kern w:val="0"/>
          <w:szCs w:val="24"/>
        </w:rPr>
        <w:t>中央研究院基礎研究、國家生技研究園區新藥臨床前</w:t>
      </w:r>
      <w:proofErr w:type="gramStart"/>
      <w:r w:rsidR="007351A0">
        <w:rPr>
          <w:rFonts w:ascii="標楷體" w:eastAsia="標楷體" w:hAnsi="標楷體" w:cs="Times New Roman" w:hint="eastAsia"/>
          <w:kern w:val="0"/>
          <w:szCs w:val="24"/>
        </w:rPr>
        <w:t>試驗暨轉譯</w:t>
      </w:r>
      <w:proofErr w:type="gramEnd"/>
      <w:r w:rsidR="007351A0">
        <w:rPr>
          <w:rFonts w:ascii="標楷體" w:eastAsia="標楷體" w:hAnsi="標楷體" w:cs="Times New Roman" w:hint="eastAsia"/>
          <w:kern w:val="0"/>
          <w:szCs w:val="24"/>
        </w:rPr>
        <w:t>醫學研發能量（圖1），民間機構營運範圍主要為育成中心與產業空間（包含辦公室、研發實驗室、小型試量產工廠）之主體事業及經產業發展局同意之附屬事業。</w:t>
      </w:r>
      <w:r w:rsidR="007351A0">
        <w:rPr>
          <w:rFonts w:ascii="標楷體" w:eastAsia="標楷體" w:hAnsi="標楷體" w:hint="eastAsia"/>
          <w:kern w:val="0"/>
        </w:rPr>
        <w:t>經查執行情形，核有：1.</w:t>
      </w:r>
      <w:r w:rsidR="007351A0">
        <w:rPr>
          <w:rFonts w:ascii="標楷體" w:eastAsia="標楷體" w:hAnsi="標楷體" w:cs="Times New Roman" w:hint="eastAsia"/>
          <w:kern w:val="0"/>
          <w:szCs w:val="24"/>
        </w:rPr>
        <w:t>本案投資契約第8.3.6條規定略</w:t>
      </w:r>
      <w:proofErr w:type="gramStart"/>
      <w:r w:rsidR="007351A0">
        <w:rPr>
          <w:rFonts w:ascii="標楷體" w:eastAsia="標楷體" w:hAnsi="標楷體" w:cs="Times New Roman" w:hint="eastAsia"/>
          <w:kern w:val="0"/>
          <w:szCs w:val="24"/>
        </w:rPr>
        <w:t>以</w:t>
      </w:r>
      <w:proofErr w:type="gramEnd"/>
      <w:r w:rsidR="007351A0">
        <w:rPr>
          <w:rFonts w:ascii="標楷體" w:eastAsia="標楷體" w:hAnsi="標楷體" w:cs="Times New Roman" w:hint="eastAsia"/>
          <w:kern w:val="0"/>
          <w:szCs w:val="24"/>
        </w:rPr>
        <w:t>，產業空間作實驗室與小型試量產工廠使用之樓地板面積，不得低於產業空間總樓地板面積之60％。經查生技廠商自112年4月起陸續簽約進駐台北生技園區，截至113年10月底，屬產業空間並已取得室內裝修合格證明者計13件、面積14,151平方公尺，占該園區產業空間面積26,073平方公尺之54.27％，估算產業空間超過半數已完成空間配置，惟產業發展局尚未依投資契約規定，檢核產業空間作為實驗室與小型試量產工廠面積占比是否符合規定，有待預為檢討因應，以減少履約爭議風險；2.為提供進駐生技廠商各項發展及輔導資源，減輕自行建置實驗設備成本負擔，投資興建本案之民間機構規劃以自行採購、周邊機構資源共享及引進技術服務商偕同服務等多元籌建方式辦理（圖2）。</w:t>
      </w:r>
      <w:proofErr w:type="gramStart"/>
      <w:r w:rsidR="007351A0">
        <w:rPr>
          <w:rFonts w:ascii="標楷體" w:eastAsia="標楷體" w:hAnsi="標楷體" w:cs="Times New Roman" w:hint="eastAsia"/>
          <w:kern w:val="0"/>
          <w:szCs w:val="24"/>
        </w:rPr>
        <w:t>查依民間</w:t>
      </w:r>
      <w:proofErr w:type="gramEnd"/>
      <w:r w:rsidR="007351A0">
        <w:rPr>
          <w:rFonts w:ascii="標楷體" w:eastAsia="標楷體" w:hAnsi="標楷體" w:cs="Times New Roman" w:hint="eastAsia"/>
          <w:kern w:val="0"/>
          <w:szCs w:val="24"/>
        </w:rPr>
        <w:t>機構營運執行計畫書4.4共用儀器設置與管理計畫，規劃於營運起始日後1年內（即113年3月23日），參酌企業實際需求品項與細部規格之調查、評估結果，</w:t>
      </w:r>
    </w:p>
    <w:p w14:paraId="252A4880" w14:textId="622C1450" w:rsidR="00076D5B" w:rsidRDefault="007351A0" w:rsidP="00076D5B">
      <w:pPr>
        <w:widowControl/>
        <w:overflowPunct w:val="0"/>
        <w:spacing w:beforeLines="10" w:before="36" w:line="430" w:lineRule="exact"/>
        <w:jc w:val="both"/>
        <w:rPr>
          <w:rFonts w:ascii="標楷體" w:eastAsia="標楷體" w:hAnsi="標楷體" w:cs="Times New Roman"/>
          <w:kern w:val="0"/>
          <w:szCs w:val="24"/>
        </w:rPr>
      </w:pPr>
      <w:r>
        <w:rPr>
          <w:rFonts w:ascii="標楷體" w:eastAsia="標楷體" w:hAnsi="標楷體" w:cs="Times New Roman" w:hint="eastAsia"/>
          <w:kern w:val="0"/>
          <w:szCs w:val="24"/>
        </w:rPr>
        <w:t>進一步採購或與南港生技產業鏈周邊機構法人合作，以供應進駐企業之需求，惟民間機構延宕至113年10月始啟動進駐生技廠商對周邊機構實驗設施需求調查，期間產業發展局亦未積極主動督促辦理，致延宕與周邊機構洽談資源共享，未能即時滿足進駐生技廠商使用需求等情事，經函請</w:t>
      </w:r>
      <w:proofErr w:type="gramStart"/>
      <w:r>
        <w:rPr>
          <w:rFonts w:ascii="標楷體" w:eastAsia="標楷體" w:hAnsi="標楷體" w:cs="Times New Roman" w:hint="eastAsia"/>
          <w:kern w:val="0"/>
          <w:szCs w:val="24"/>
        </w:rPr>
        <w:t>研謀妥處</w:t>
      </w:r>
      <w:proofErr w:type="gramEnd"/>
      <w:r>
        <w:rPr>
          <w:rFonts w:ascii="標楷體" w:eastAsia="標楷體" w:hAnsi="標楷體" w:cs="Times New Roman" w:hint="eastAsia"/>
          <w:kern w:val="0"/>
          <w:szCs w:val="24"/>
        </w:rPr>
        <w:t>。據復：1.民間機構與進駐生技廠商簽訂之第三人租賃契約已載明實驗室與小型試量產工廠占比相關條款，該局114年請民間機構於進駐生技廠商取得室內裝修合格證後即先行提供相關</w:t>
      </w:r>
      <w:proofErr w:type="gramStart"/>
      <w:r>
        <w:rPr>
          <w:rFonts w:ascii="標楷體" w:eastAsia="標楷體" w:hAnsi="標楷體" w:cs="Times New Roman" w:hint="eastAsia"/>
          <w:kern w:val="0"/>
          <w:szCs w:val="24"/>
        </w:rPr>
        <w:t>圖資予</w:t>
      </w:r>
      <w:proofErr w:type="gramEnd"/>
      <w:r>
        <w:rPr>
          <w:rFonts w:ascii="標楷體" w:eastAsia="標楷體" w:hAnsi="標楷體" w:cs="Times New Roman" w:hint="eastAsia"/>
          <w:kern w:val="0"/>
          <w:szCs w:val="24"/>
        </w:rPr>
        <w:t>該局檢核，以縮短時程落差；截至114年5月底，產業空間有35戶已取得室內裝修合格證（含免室內裝修），民間機構已提送其中34戶產業</w:t>
      </w:r>
      <w:proofErr w:type="gramStart"/>
      <w:r>
        <w:rPr>
          <w:rFonts w:ascii="標楷體" w:eastAsia="標楷體" w:hAnsi="標楷體" w:cs="Times New Roman" w:hint="eastAsia"/>
          <w:kern w:val="0"/>
          <w:szCs w:val="24"/>
        </w:rPr>
        <w:t>空間圖資</w:t>
      </w:r>
      <w:proofErr w:type="gramEnd"/>
      <w:r>
        <w:rPr>
          <w:rFonts w:ascii="標楷體" w:eastAsia="標楷體" w:hAnsi="標楷體" w:cs="Times New Roman" w:hint="eastAsia"/>
          <w:kern w:val="0"/>
          <w:szCs w:val="24"/>
        </w:rPr>
        <w:t>，依現有圖資產業空間做實驗室及試量產工廠比例約為78.6％，該局將持續追蹤列管相關進度；2.多家進駐生技廠</w:t>
      </w:r>
    </w:p>
    <w:p w14:paraId="7BACE7A0" w14:textId="3DD1655C" w:rsidR="007351A0" w:rsidRDefault="007351A0" w:rsidP="00A62C28">
      <w:pPr>
        <w:widowControl/>
        <w:overflowPunct w:val="0"/>
        <w:spacing w:line="470" w:lineRule="exact"/>
        <w:jc w:val="both"/>
        <w:rPr>
          <w:rFonts w:ascii="標楷體" w:eastAsia="標楷體" w:hAnsi="標楷體" w:cs="Times New Roman"/>
          <w:kern w:val="0"/>
          <w:szCs w:val="24"/>
        </w:rPr>
      </w:pPr>
      <w:r>
        <w:rPr>
          <w:rFonts w:ascii="標楷體" w:eastAsia="標楷體" w:hAnsi="標楷體" w:cs="Times New Roman" w:hint="eastAsia"/>
          <w:kern w:val="0"/>
          <w:szCs w:val="24"/>
        </w:rPr>
        <w:lastRenderedPageBreak/>
        <w:t>商經民間機構轉</w:t>
      </w:r>
      <w:proofErr w:type="gramStart"/>
      <w:r>
        <w:rPr>
          <w:rFonts w:ascii="標楷體" w:eastAsia="標楷體" w:hAnsi="標楷體" w:cs="Times New Roman" w:hint="eastAsia"/>
          <w:kern w:val="0"/>
          <w:szCs w:val="24"/>
        </w:rPr>
        <w:t>介</w:t>
      </w:r>
      <w:proofErr w:type="gramEnd"/>
      <w:r>
        <w:rPr>
          <w:rFonts w:ascii="標楷體" w:eastAsia="標楷體" w:hAnsi="標楷體" w:cs="Times New Roman" w:hint="eastAsia"/>
          <w:kern w:val="0"/>
          <w:szCs w:val="24"/>
        </w:rPr>
        <w:t>，已使用國家實驗動物中心服務資源，後續並與國家生技研究園區</w:t>
      </w:r>
      <w:proofErr w:type="gramStart"/>
      <w:r>
        <w:rPr>
          <w:rFonts w:ascii="標楷體" w:eastAsia="標楷體" w:hAnsi="標楷體" w:cs="Times New Roman" w:hint="eastAsia"/>
          <w:kern w:val="0"/>
          <w:szCs w:val="24"/>
        </w:rPr>
        <w:t>互辦科研</w:t>
      </w:r>
      <w:proofErr w:type="gramEnd"/>
      <w:r>
        <w:rPr>
          <w:rFonts w:ascii="標楷體" w:eastAsia="標楷體" w:hAnsi="標楷體" w:cs="Times New Roman" w:hint="eastAsia"/>
          <w:kern w:val="0"/>
          <w:szCs w:val="24"/>
        </w:rPr>
        <w:t>交流活動，以加強生技領域之合作與創新發展。</w:t>
      </w:r>
    </w:p>
    <w:p w14:paraId="333ED13F" w14:textId="77777777" w:rsidR="007351A0" w:rsidRDefault="007351A0" w:rsidP="008774F9">
      <w:pPr>
        <w:widowControl/>
        <w:suppressAutoHyphens/>
        <w:overflowPunct w:val="0"/>
        <w:spacing w:beforeLines="50" w:before="180" w:line="48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（二）為滿足北投市場內部環境改善及更新需求，辦理北投市場整修統包工程（含中繼市場），惟規劃階段未審慎評估北投市場建物材料劣化情形，致整修工程執行後須變更</w:t>
      </w:r>
      <w:proofErr w:type="gramStart"/>
      <w:r>
        <w:rPr>
          <w:rFonts w:ascii="標楷體" w:eastAsia="標楷體" w:hAnsi="Times New Roman" w:cs="Times New Roman" w:hint="eastAsia"/>
          <w:b/>
          <w:sz w:val="28"/>
          <w:szCs w:val="28"/>
        </w:rPr>
        <w:t>採</w:t>
      </w:r>
      <w:proofErr w:type="gramEnd"/>
      <w:r>
        <w:rPr>
          <w:rFonts w:ascii="標楷體" w:eastAsia="標楷體" w:hAnsi="Times New Roman" w:cs="Times New Roman" w:hint="eastAsia"/>
          <w:b/>
          <w:sz w:val="28"/>
          <w:szCs w:val="28"/>
        </w:rPr>
        <w:t>改建方案續行辦理，</w:t>
      </w:r>
      <w:proofErr w:type="gramStart"/>
      <w:r>
        <w:rPr>
          <w:rFonts w:ascii="標楷體" w:eastAsia="標楷體" w:hAnsi="Times New Roman" w:cs="Times New Roman" w:hint="eastAsia"/>
          <w:b/>
          <w:sz w:val="28"/>
          <w:szCs w:val="28"/>
        </w:rPr>
        <w:t>耽</w:t>
      </w:r>
      <w:proofErr w:type="gramEnd"/>
      <w:r>
        <w:rPr>
          <w:rFonts w:ascii="標楷體" w:eastAsia="標楷體" w:hAnsi="Times New Roman" w:cs="Times New Roman" w:hint="eastAsia"/>
          <w:b/>
          <w:sz w:val="28"/>
          <w:szCs w:val="28"/>
        </w:rPr>
        <w:t>延市場更新執行期程，</w:t>
      </w:r>
      <w:proofErr w:type="gramStart"/>
      <w:r>
        <w:rPr>
          <w:rFonts w:ascii="標楷體" w:eastAsia="標楷體" w:hAnsi="Times New Roman" w:cs="Times New Roman" w:hint="eastAsia"/>
          <w:b/>
          <w:sz w:val="28"/>
          <w:szCs w:val="28"/>
        </w:rPr>
        <w:t>又中繼</w:t>
      </w:r>
      <w:proofErr w:type="gramEnd"/>
      <w:r>
        <w:rPr>
          <w:rFonts w:ascii="標楷體" w:eastAsia="標楷體" w:hAnsi="Times New Roman" w:cs="Times New Roman" w:hint="eastAsia"/>
          <w:b/>
          <w:sz w:val="28"/>
          <w:szCs w:val="28"/>
        </w:rPr>
        <w:t>市場</w:t>
      </w:r>
      <w:proofErr w:type="gramStart"/>
      <w:r>
        <w:rPr>
          <w:rFonts w:ascii="標楷體" w:eastAsia="標楷體" w:hAnsi="Times New Roman" w:cs="Times New Roman" w:hint="eastAsia"/>
          <w:b/>
          <w:sz w:val="28"/>
          <w:szCs w:val="28"/>
        </w:rPr>
        <w:t>庫體區</w:t>
      </w:r>
      <w:proofErr w:type="gramEnd"/>
      <w:r>
        <w:rPr>
          <w:rFonts w:ascii="標楷體" w:eastAsia="標楷體" w:hAnsi="Times New Roman" w:cs="Times New Roman" w:hint="eastAsia"/>
          <w:b/>
          <w:sz w:val="28"/>
          <w:szCs w:val="28"/>
        </w:rPr>
        <w:t>之臨時性建築物未依規定申辦建築與使用許可，亟待檢討改善。</w:t>
      </w:r>
    </w:p>
    <w:p w14:paraId="0BEE3BED" w14:textId="1308DE70" w:rsidR="007351A0" w:rsidRDefault="007351A0" w:rsidP="00A62C28">
      <w:pPr>
        <w:widowControl/>
        <w:overflowPunct w:val="0"/>
        <w:spacing w:beforeLines="50" w:before="180" w:line="490" w:lineRule="exact"/>
        <w:ind w:firstLineChars="210" w:firstLine="504"/>
        <w:jc w:val="both"/>
        <w:rPr>
          <w:rFonts w:ascii="標楷體" w:eastAsia="標楷體" w:hAnsi="標楷體" w:cs="Times New Roman"/>
          <w:kern w:val="0"/>
          <w:szCs w:val="24"/>
        </w:rPr>
      </w:pPr>
      <w:r>
        <w:rPr>
          <w:rFonts w:ascii="標楷體" w:eastAsia="標楷體" w:hAnsi="標楷體" w:cs="Times New Roman" w:hint="eastAsia"/>
          <w:kern w:val="0"/>
          <w:szCs w:val="24"/>
        </w:rPr>
        <w:t>臺北市北投區行政中心大樓（下稱北投市場大樓）於73年興建完成，內部除1及2樓作為北投市場使用外，其餘地下1樓為停車場；3至6樓則供臺北市北投區公所等相關單位合署進駐辦公。因北投市場使用多年後逐漸老舊破損，市場處為全面整修更新北投市場，109年規劃於北投市場原址周邊新建北投中繼市場，</w:t>
      </w:r>
      <w:proofErr w:type="gramStart"/>
      <w:r>
        <w:rPr>
          <w:rFonts w:ascii="標楷體" w:eastAsia="標楷體" w:hAnsi="標楷體" w:cs="Times New Roman" w:hint="eastAsia"/>
          <w:kern w:val="0"/>
          <w:szCs w:val="24"/>
        </w:rPr>
        <w:t>待攤商移</w:t>
      </w:r>
      <w:proofErr w:type="gramEnd"/>
      <w:r>
        <w:rPr>
          <w:rFonts w:ascii="標楷體" w:eastAsia="標楷體" w:hAnsi="標楷體" w:cs="Times New Roman" w:hint="eastAsia"/>
          <w:kern w:val="0"/>
          <w:szCs w:val="24"/>
        </w:rPr>
        <w:t>入該中繼市場營運，再進行北投市場之內部整修，並</w:t>
      </w:r>
      <w:proofErr w:type="gramStart"/>
      <w:r>
        <w:rPr>
          <w:rFonts w:ascii="標楷體" w:eastAsia="標楷體" w:hAnsi="標楷體" w:cs="Times New Roman" w:hint="eastAsia"/>
          <w:kern w:val="0"/>
          <w:szCs w:val="24"/>
        </w:rPr>
        <w:t>俟</w:t>
      </w:r>
      <w:proofErr w:type="gramEnd"/>
      <w:r>
        <w:rPr>
          <w:rFonts w:ascii="標楷體" w:eastAsia="標楷體" w:hAnsi="標楷體" w:cs="Times New Roman" w:hint="eastAsia"/>
          <w:kern w:val="0"/>
          <w:szCs w:val="24"/>
        </w:rPr>
        <w:t>整修工程竣工後，攤商再遷回營運（下稱整修方案），計畫總經費4億9,110萬元，計畫期程為109至113年。市場處所辦理「北投市場整修統包工程（含中繼市場）」，於110年4月1日決標、同年月16日開工，案內北投中繼市場完成後，於111年11月9日正式開幕，</w:t>
      </w:r>
      <w:proofErr w:type="gramStart"/>
      <w:r>
        <w:rPr>
          <w:rFonts w:ascii="標楷體" w:eastAsia="標楷體" w:hAnsi="標楷體" w:cs="Times New Roman" w:hint="eastAsia"/>
          <w:kern w:val="0"/>
          <w:szCs w:val="24"/>
        </w:rPr>
        <w:t>嗣</w:t>
      </w:r>
      <w:proofErr w:type="gramEnd"/>
      <w:r>
        <w:rPr>
          <w:rFonts w:ascii="標楷體" w:eastAsia="標楷體" w:hAnsi="標楷體" w:cs="Times New Roman" w:hint="eastAsia"/>
          <w:kern w:val="0"/>
          <w:szCs w:val="24"/>
        </w:rPr>
        <w:t>同年12月統包廠商拆除原北投市場內部裝潢時，發現北投市場主體結構損傷嚴重，</w:t>
      </w:r>
      <w:proofErr w:type="gramStart"/>
      <w:r>
        <w:rPr>
          <w:rFonts w:ascii="標楷體" w:eastAsia="標楷體" w:hAnsi="標楷體" w:cs="Times New Roman" w:hint="eastAsia"/>
          <w:kern w:val="0"/>
          <w:szCs w:val="24"/>
        </w:rPr>
        <w:t>爰</w:t>
      </w:r>
      <w:proofErr w:type="gramEnd"/>
      <w:r>
        <w:rPr>
          <w:rFonts w:ascii="標楷體" w:eastAsia="標楷體" w:hAnsi="標楷體" w:cs="Times New Roman" w:hint="eastAsia"/>
          <w:kern w:val="0"/>
          <w:szCs w:val="24"/>
        </w:rPr>
        <w:t>於112年3月21日申報停工，市場處並於同年8月21日及9月21日簽奉核定，終止原北投市場整修方案，重新規劃辦理「北投大樓及市場改建工程」(下稱改建方案)。市場處考量後續中繼市場將延長使用年限，並應攤商營運需求，於</w:t>
      </w:r>
      <w:proofErr w:type="gramStart"/>
      <w:r>
        <w:rPr>
          <w:rFonts w:ascii="標楷體" w:eastAsia="標楷體" w:hAnsi="標楷體" w:cs="Times New Roman" w:hint="eastAsia"/>
          <w:kern w:val="0"/>
          <w:szCs w:val="24"/>
        </w:rPr>
        <w:t>112年9月21日請統包</w:t>
      </w:r>
      <w:proofErr w:type="gramEnd"/>
      <w:r>
        <w:rPr>
          <w:rFonts w:ascii="標楷體" w:eastAsia="標楷體" w:hAnsi="標楷體" w:cs="Times New Roman" w:hint="eastAsia"/>
          <w:kern w:val="0"/>
          <w:szCs w:val="24"/>
        </w:rPr>
        <w:t>廠商復工，續行辦理中繼市場內部裝修</w:t>
      </w:r>
      <w:r w:rsidR="0014541C">
        <w:rPr>
          <w:rFonts w:ascii="標楷體" w:eastAsia="標楷體" w:hAnsi="標楷體" w:cs="Times New Roman" w:hint="eastAsia"/>
          <w:kern w:val="0"/>
          <w:szCs w:val="24"/>
        </w:rPr>
        <w:t>（</w:t>
      </w:r>
      <w:r>
        <w:rPr>
          <w:rFonts w:ascii="標楷體" w:eastAsia="標楷體" w:hAnsi="標楷體" w:cs="Times New Roman" w:hint="eastAsia"/>
          <w:kern w:val="0"/>
          <w:szCs w:val="24"/>
        </w:rPr>
        <w:t>設備</w:t>
      </w:r>
      <w:r w:rsidR="0014541C">
        <w:rPr>
          <w:rFonts w:ascii="標楷體" w:eastAsia="標楷體" w:hAnsi="標楷體" w:cs="Times New Roman" w:hint="eastAsia"/>
          <w:kern w:val="0"/>
          <w:szCs w:val="24"/>
        </w:rPr>
        <w:t>）</w:t>
      </w:r>
      <w:r>
        <w:rPr>
          <w:rFonts w:ascii="標楷體" w:eastAsia="標楷體" w:hAnsi="標楷體" w:cs="Times New Roman" w:hint="eastAsia"/>
          <w:kern w:val="0"/>
          <w:szCs w:val="24"/>
        </w:rPr>
        <w:t>精進方案，相關工程業於113年5月17日完工，同年11月29日驗收合格。經查整修方案執行情形，核有：1.市場處於計畫先期規劃</w:t>
      </w:r>
      <w:proofErr w:type="gramStart"/>
      <w:r>
        <w:rPr>
          <w:rFonts w:ascii="標楷體" w:eastAsia="標楷體" w:hAnsi="標楷體" w:cs="Times New Roman" w:hint="eastAsia"/>
          <w:kern w:val="0"/>
          <w:szCs w:val="24"/>
        </w:rPr>
        <w:t>期間，</w:t>
      </w:r>
      <w:proofErr w:type="gramEnd"/>
      <w:r>
        <w:rPr>
          <w:rFonts w:ascii="標楷體" w:eastAsia="標楷體" w:hAnsi="標楷體" w:cs="Times New Roman" w:hint="eastAsia"/>
          <w:kern w:val="0"/>
          <w:szCs w:val="24"/>
        </w:rPr>
        <w:t>未審慎評估北投市場大樓建築物混凝土因</w:t>
      </w:r>
      <w:proofErr w:type="gramStart"/>
      <w:r>
        <w:rPr>
          <w:rFonts w:ascii="標楷體" w:eastAsia="標楷體" w:hAnsi="標楷體" w:cs="Times New Roman" w:hint="eastAsia"/>
          <w:kern w:val="0"/>
          <w:szCs w:val="24"/>
        </w:rPr>
        <w:t>中性化及氯離子</w:t>
      </w:r>
      <w:proofErr w:type="gramEnd"/>
      <w:r>
        <w:rPr>
          <w:rFonts w:ascii="標楷體" w:eastAsia="標楷體" w:hAnsi="標楷體" w:cs="Times New Roman" w:hint="eastAsia"/>
          <w:kern w:val="0"/>
          <w:szCs w:val="24"/>
        </w:rPr>
        <w:t>入侵之影響程度，作為整修或改建</w:t>
      </w:r>
      <w:proofErr w:type="gramStart"/>
      <w:r>
        <w:rPr>
          <w:rFonts w:ascii="標楷體" w:eastAsia="標楷體" w:hAnsi="標楷體" w:cs="Times New Roman" w:hint="eastAsia"/>
          <w:kern w:val="0"/>
          <w:szCs w:val="24"/>
        </w:rPr>
        <w:t>之參據</w:t>
      </w:r>
      <w:proofErr w:type="gramEnd"/>
      <w:r>
        <w:rPr>
          <w:rFonts w:ascii="標楷體" w:eastAsia="標楷體" w:hAnsi="標楷體" w:cs="Times New Roman" w:hint="eastAsia"/>
          <w:kern w:val="0"/>
          <w:szCs w:val="24"/>
        </w:rPr>
        <w:t>；復於整修統包工程規劃階段，</w:t>
      </w:r>
      <w:proofErr w:type="gramStart"/>
      <w:r>
        <w:rPr>
          <w:rFonts w:ascii="標楷體" w:eastAsia="標楷體" w:hAnsi="標楷體" w:cs="Times New Roman" w:hint="eastAsia"/>
          <w:kern w:val="0"/>
          <w:szCs w:val="24"/>
        </w:rPr>
        <w:t>未慎酌</w:t>
      </w:r>
      <w:proofErr w:type="gramEnd"/>
      <w:r>
        <w:rPr>
          <w:rFonts w:ascii="標楷體" w:eastAsia="標楷體" w:hAnsi="標楷體" w:cs="Times New Roman" w:hint="eastAsia"/>
          <w:kern w:val="0"/>
          <w:szCs w:val="24"/>
        </w:rPr>
        <w:t>建築師公會所提專業審查意見，</w:t>
      </w:r>
      <w:proofErr w:type="gramStart"/>
      <w:r>
        <w:rPr>
          <w:rFonts w:ascii="標楷體" w:eastAsia="標楷體" w:hAnsi="標楷體" w:cs="Times New Roman" w:hint="eastAsia"/>
          <w:kern w:val="0"/>
          <w:szCs w:val="24"/>
        </w:rPr>
        <w:t>迨</w:t>
      </w:r>
      <w:proofErr w:type="gramEnd"/>
      <w:r>
        <w:rPr>
          <w:rFonts w:ascii="標楷體" w:eastAsia="標楷體" w:hAnsi="標楷體" w:cs="Times New Roman" w:hint="eastAsia"/>
          <w:kern w:val="0"/>
          <w:szCs w:val="24"/>
        </w:rPr>
        <w:t>統包廠商施工時發現結構損傷現況超過預期，始辦理結構安全鑑定，續依鑑定建議終止整修方案並將計畫大幅變更為全棟拆除改建，導致原核定整修工程之設計成果廢棄無用，衍生不經濟支出，且計畫執行3年後，全案須以改建方案重新規劃辦理，嚴重延宕北投市場更新執行期程；2.市場處為整修統包工程施工期間安置北投市場攤商，規劃借用北投市場周邊土地設置E</w:t>
      </w:r>
      <w:proofErr w:type="gramStart"/>
      <w:r>
        <w:rPr>
          <w:rFonts w:ascii="標楷體" w:eastAsia="標楷體" w:hAnsi="標楷體" w:cs="Times New Roman" w:hint="eastAsia"/>
          <w:kern w:val="0"/>
          <w:szCs w:val="24"/>
        </w:rPr>
        <w:t>棟庫體區</w:t>
      </w:r>
      <w:proofErr w:type="gramEnd"/>
      <w:r>
        <w:rPr>
          <w:rFonts w:ascii="標楷體" w:eastAsia="標楷體" w:hAnsi="標楷體" w:cs="Times New Roman" w:hint="eastAsia"/>
          <w:kern w:val="0"/>
          <w:szCs w:val="24"/>
        </w:rPr>
        <w:t>等7棟臨時性建築物作為中繼市場，並申請其建築與使用許可，惟實際申辦過程缺漏E</w:t>
      </w:r>
      <w:proofErr w:type="gramStart"/>
      <w:r>
        <w:rPr>
          <w:rFonts w:ascii="標楷體" w:eastAsia="標楷體" w:hAnsi="標楷體" w:cs="Times New Roman" w:hint="eastAsia"/>
          <w:kern w:val="0"/>
          <w:szCs w:val="24"/>
        </w:rPr>
        <w:t>棟庫體區</w:t>
      </w:r>
      <w:proofErr w:type="gramEnd"/>
      <w:r>
        <w:rPr>
          <w:rFonts w:ascii="標楷體" w:eastAsia="標楷體" w:hAnsi="標楷體" w:cs="Times New Roman" w:hint="eastAsia"/>
          <w:kern w:val="0"/>
          <w:szCs w:val="24"/>
        </w:rPr>
        <w:t>之申請資料，且驗收過程未查察並要求廠商限期改善，即予驗收合格，導致E</w:t>
      </w:r>
      <w:proofErr w:type="gramStart"/>
      <w:r>
        <w:rPr>
          <w:rFonts w:ascii="標楷體" w:eastAsia="標楷體" w:hAnsi="標楷體" w:cs="Times New Roman" w:hint="eastAsia"/>
          <w:kern w:val="0"/>
          <w:szCs w:val="24"/>
        </w:rPr>
        <w:t>棟庫體區</w:t>
      </w:r>
      <w:proofErr w:type="gramEnd"/>
      <w:r>
        <w:rPr>
          <w:rFonts w:ascii="標楷體" w:eastAsia="標楷體" w:hAnsi="標楷體" w:cs="Times New Roman" w:hint="eastAsia"/>
          <w:kern w:val="0"/>
          <w:szCs w:val="24"/>
        </w:rPr>
        <w:t>無建築及使用許可，違規使用逾1年10個月等情事，經函請臺北市政府查明妥適處理。本處將</w:t>
      </w:r>
      <w:proofErr w:type="gramStart"/>
      <w:r>
        <w:rPr>
          <w:rFonts w:ascii="標楷體" w:eastAsia="標楷體" w:hAnsi="標楷體" w:cs="Times New Roman" w:hint="eastAsia"/>
          <w:kern w:val="0"/>
          <w:szCs w:val="24"/>
        </w:rPr>
        <w:t>賡</w:t>
      </w:r>
      <w:proofErr w:type="gramEnd"/>
      <w:r>
        <w:rPr>
          <w:rFonts w:ascii="標楷體" w:eastAsia="標楷體" w:hAnsi="標楷體" w:cs="Times New Roman" w:hint="eastAsia"/>
          <w:kern w:val="0"/>
          <w:szCs w:val="24"/>
        </w:rPr>
        <w:t>續注意列管其後續辦理情形。</w:t>
      </w:r>
    </w:p>
    <w:p w14:paraId="4D7DA500" w14:textId="77777777" w:rsidR="007351A0" w:rsidRDefault="007351A0" w:rsidP="00972787">
      <w:pPr>
        <w:widowControl/>
        <w:suppressAutoHyphens/>
        <w:overflowPunct w:val="0"/>
        <w:spacing w:beforeLines="30" w:before="108" w:line="48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lastRenderedPageBreak/>
        <w:t>（三）為打造動物友善城市陸續建置狗運動公園及活動區，惟委託清潔及巡查維護廠商</w:t>
      </w:r>
      <w:proofErr w:type="gramStart"/>
      <w:r>
        <w:rPr>
          <w:rFonts w:ascii="標楷體" w:eastAsia="標楷體" w:hAnsi="Times New Roman" w:cs="Times New Roman" w:hint="eastAsia"/>
          <w:b/>
          <w:sz w:val="28"/>
          <w:szCs w:val="28"/>
        </w:rPr>
        <w:t>提送估驗</w:t>
      </w:r>
      <w:proofErr w:type="gramEnd"/>
      <w:r>
        <w:rPr>
          <w:rFonts w:ascii="標楷體" w:eastAsia="標楷體" w:hAnsi="Times New Roman" w:cs="Times New Roman" w:hint="eastAsia"/>
          <w:b/>
          <w:sz w:val="28"/>
          <w:szCs w:val="28"/>
        </w:rPr>
        <w:t>計價履約文件，涉有同一地點不同時間維護照片高度雷同情事，有待檢討改善。</w:t>
      </w:r>
    </w:p>
    <w:p w14:paraId="682FC9CA" w14:textId="02493A68" w:rsidR="007351A0" w:rsidRDefault="007351A0" w:rsidP="00972787">
      <w:pPr>
        <w:widowControl/>
        <w:overflowPunct w:val="0"/>
        <w:spacing w:beforeLines="50" w:before="180" w:line="495" w:lineRule="exact"/>
        <w:ind w:firstLineChars="210" w:firstLine="504"/>
        <w:jc w:val="both"/>
        <w:rPr>
          <w:rFonts w:ascii="標楷體" w:eastAsia="標楷體" w:hAnsi="標楷體" w:cs="標楷體"/>
          <w:bCs/>
          <w:color w:val="000000" w:themeColor="text1"/>
          <w:szCs w:val="32"/>
        </w:rPr>
      </w:pPr>
      <w:r>
        <w:rPr>
          <w:rFonts w:hint="eastAsia"/>
          <w:noProof/>
        </w:rPr>
        <mc:AlternateContent>
          <mc:Choice Requires="wpg">
            <w:drawing>
              <wp:anchor distT="0" distB="0" distL="114300" distR="114300" simplePos="0" relativeHeight="251705344" behindDoc="0" locked="0" layoutInCell="1" allowOverlap="1" wp14:anchorId="3B8A6AC4" wp14:editId="358D2174">
                <wp:simplePos x="0" y="0"/>
                <wp:positionH relativeFrom="column">
                  <wp:posOffset>1813560</wp:posOffset>
                </wp:positionH>
                <wp:positionV relativeFrom="paragraph">
                  <wp:posOffset>2852420</wp:posOffset>
                </wp:positionV>
                <wp:extent cx="4467860" cy="2015490"/>
                <wp:effectExtent l="19050" t="19050" r="27940" b="0"/>
                <wp:wrapSquare wrapText="bothSides"/>
                <wp:docPr id="42" name="群組 42"/>
                <wp:cNvGraphicFramePr/>
                <a:graphic xmlns:a="http://schemas.openxmlformats.org/drawingml/2006/main">
                  <a:graphicData uri="http://schemas.microsoft.com/office/word/2010/wordprocessingGroup">
                    <wpg:wgp>
                      <wpg:cNvGrpSpPr/>
                      <wpg:grpSpPr>
                        <a:xfrm>
                          <a:off x="0" y="0"/>
                          <a:ext cx="4467860" cy="2015490"/>
                          <a:chOff x="0" y="0"/>
                          <a:chExt cx="4468177" cy="2020283"/>
                        </a:xfrm>
                      </wpg:grpSpPr>
                      <pic:pic xmlns:pic="http://schemas.openxmlformats.org/drawingml/2006/picture">
                        <pic:nvPicPr>
                          <pic:cNvPr id="47" name="圖片 47"/>
                          <pic:cNvPicPr/>
                        </pic:nvPicPr>
                        <pic:blipFill>
                          <a:blip r:embed="rId32" cstate="print"/>
                          <a:stretch>
                            <a:fillRect/>
                          </a:stretch>
                        </pic:blipFill>
                        <pic:spPr>
                          <a:xfrm rot="16200000">
                            <a:off x="2688272" y="-287972"/>
                            <a:ext cx="1471930" cy="2087880"/>
                          </a:xfrm>
                          <a:prstGeom prst="rect">
                            <a:avLst/>
                          </a:prstGeom>
                          <a:ln w="9525">
                            <a:solidFill>
                              <a:schemeClr val="tx1"/>
                            </a:solidFill>
                          </a:ln>
                        </pic:spPr>
                      </pic:pic>
                      <pic:pic xmlns:pic="http://schemas.openxmlformats.org/drawingml/2006/picture">
                        <pic:nvPicPr>
                          <pic:cNvPr id="48" name="圖片 48"/>
                          <pic:cNvPicPr/>
                        </pic:nvPicPr>
                        <pic:blipFill>
                          <a:blip r:embed="rId32" cstate="print"/>
                          <a:stretch>
                            <a:fillRect/>
                          </a:stretch>
                        </pic:blipFill>
                        <pic:spPr>
                          <a:xfrm rot="16200000">
                            <a:off x="307022" y="-307022"/>
                            <a:ext cx="1473835" cy="2087880"/>
                          </a:xfrm>
                          <a:prstGeom prst="rect">
                            <a:avLst/>
                          </a:prstGeom>
                          <a:ln w="9525">
                            <a:solidFill>
                              <a:schemeClr val="tx1"/>
                            </a:solidFill>
                          </a:ln>
                        </pic:spPr>
                      </pic:pic>
                      <wps:wsp>
                        <wps:cNvPr id="49" name="文字方塊 14"/>
                        <wps:cNvSpPr txBox="1"/>
                        <wps:spPr>
                          <a:xfrm>
                            <a:off x="325437" y="1491933"/>
                            <a:ext cx="3816350" cy="528350"/>
                          </a:xfrm>
                          <a:prstGeom prst="rect">
                            <a:avLst/>
                          </a:prstGeom>
                          <a:noFill/>
                        </wps:spPr>
                        <wps:txbx>
                          <w:txbxContent>
                            <w:p w14:paraId="114D1E16" w14:textId="77777777" w:rsidR="007351A0" w:rsidRDefault="007351A0" w:rsidP="007351A0">
                              <w:pPr>
                                <w:spacing w:line="280" w:lineRule="exact"/>
                                <w:jc w:val="center"/>
                                <w:rPr>
                                  <w:rFonts w:ascii="標楷體" w:eastAsia="標楷體" w:hAnsi="標楷體"/>
                                  <w:b/>
                                  <w:bCs/>
                                  <w:color w:val="000000"/>
                                  <w:szCs w:val="24"/>
                                </w:rPr>
                              </w:pPr>
                              <w:proofErr w:type="gramStart"/>
                              <w:r>
                                <w:rPr>
                                  <w:rFonts w:ascii="標楷體" w:eastAsia="標楷體" w:hAnsi="標楷體" w:hint="eastAsia"/>
                                  <w:b/>
                                  <w:bCs/>
                                  <w:color w:val="000000"/>
                                </w:rPr>
                                <w:t>三腳渡狗</w:t>
                              </w:r>
                              <w:proofErr w:type="gramEnd"/>
                              <w:r>
                                <w:rPr>
                                  <w:rFonts w:ascii="標楷體" w:eastAsia="標楷體" w:hAnsi="標楷體" w:hint="eastAsia"/>
                                  <w:b/>
                                  <w:bCs/>
                                  <w:color w:val="000000"/>
                                </w:rPr>
                                <w:t>活動區園區清潔整理之估驗計價照片對照圖</w:t>
                              </w:r>
                            </w:p>
                            <w:p w14:paraId="5687F833" w14:textId="77777777" w:rsidR="007351A0" w:rsidRDefault="007351A0" w:rsidP="007351A0">
                              <w:pPr>
                                <w:spacing w:line="200" w:lineRule="exact"/>
                                <w:ind w:left="432" w:hanging="144"/>
                                <w:rPr>
                                  <w:rFonts w:ascii="標楷體" w:eastAsia="標楷體" w:hAnsi="標楷體"/>
                                  <w:color w:val="000000" w:themeColor="text1"/>
                                  <w:sz w:val="18"/>
                                  <w:szCs w:val="18"/>
                                </w:rPr>
                              </w:pPr>
                              <w:proofErr w:type="gramStart"/>
                              <w:r>
                                <w:rPr>
                                  <w:rFonts w:ascii="標楷體" w:eastAsia="標楷體" w:hAnsi="標楷體" w:hint="eastAsia"/>
                                  <w:color w:val="000000" w:themeColor="text1"/>
                                  <w:sz w:val="18"/>
                                  <w:szCs w:val="18"/>
                                </w:rPr>
                                <w:t>註</w:t>
                              </w:r>
                              <w:proofErr w:type="gramEnd"/>
                              <w:r>
                                <w:rPr>
                                  <w:rFonts w:ascii="標楷體" w:eastAsia="標楷體" w:hAnsi="標楷體" w:hint="eastAsia"/>
                                  <w:color w:val="000000" w:themeColor="text1"/>
                                  <w:sz w:val="18"/>
                                  <w:szCs w:val="18"/>
                                </w:rPr>
                                <w:t>：1.照片日期：左圖112年1月25日；右圖112年3月25日。</w:t>
                              </w:r>
                            </w:p>
                            <w:p w14:paraId="39499DEF" w14:textId="77777777" w:rsidR="007351A0" w:rsidRDefault="007351A0" w:rsidP="007351A0">
                              <w:pPr>
                                <w:spacing w:line="200" w:lineRule="exact"/>
                                <w:ind w:left="1310" w:hanging="662"/>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2.圖片來源：動保處提供。</w:t>
                              </w:r>
                            </w:p>
                          </w:txbxContent>
                        </wps:txbx>
                        <wps:bodyPr wrap="square" rtlCol="0">
                          <a:spAutoFit/>
                        </wps:bodyPr>
                      </wps:wsp>
                    </wpg:wgp>
                  </a:graphicData>
                </a:graphic>
                <wp14:sizeRelH relativeFrom="page">
                  <wp14:pctWidth>0</wp14:pctWidth>
                </wp14:sizeRelH>
                <wp14:sizeRelV relativeFrom="page">
                  <wp14:pctHeight>0</wp14:pctHeight>
                </wp14:sizeRelV>
              </wp:anchor>
            </w:drawing>
          </mc:Choice>
          <mc:Fallback>
            <w:pict>
              <v:group w14:anchorId="3B8A6AC4" id="群組 42" o:spid="_x0000_s1067" style="position:absolute;left:0;text-align:left;margin-left:142.8pt;margin-top:224.6pt;width:351.8pt;height:158.7pt;z-index:251705344" coordsize="44681,202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">
                <v:shape id="圖片 47" o:spid="_x0000_s1068" type="#_x0000_t75" style="position:absolute;left:26882;top:-2880;width:14719;height:20879;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" stroked="t" strokecolor="black [3213]">
                  <v:imagedata r:id="rId33" o:title=""/>
                </v:shape>
                <v:shape id="圖片 48" o:spid="_x0000_s1069" type="#_x0000_t75" style="position:absolute;left:3070;top:-3070;width:14738;height:2087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" stroked="t" strokecolor="black [3213]">
                  <v:imagedata r:id="rId33" o:title=""/>
                </v:shape>
                <v:shape id="文字方塊 14" o:spid="_x0000_s1070" type="#_x0000_t202" style="position:absolute;left:3254;top:14919;width:38163;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" filled="f" stroked="f">
                  <v:textbox style="mso-fit-shape-to-text:t">
                    <w:txbxContent>
                      <w:p w14:paraId="114D1E16" w14:textId="77777777" w:rsidR="007351A0" w:rsidRDefault="007351A0" w:rsidP="007351A0">
                        <w:pPr>
                          <w:spacing w:line="280" w:lineRule="exact"/>
                          <w:jc w:val="center"/>
                          <w:rPr>
                            <w:rFonts w:ascii="標楷體" w:eastAsia="標楷體" w:hAnsi="標楷體"/>
                            <w:b/>
                            <w:bCs/>
                            <w:color w:val="000000"/>
                            <w:szCs w:val="24"/>
                          </w:rPr>
                        </w:pPr>
                        <w:proofErr w:type="gramStart"/>
                        <w:r>
                          <w:rPr>
                            <w:rFonts w:ascii="標楷體" w:eastAsia="標楷體" w:hAnsi="標楷體" w:hint="eastAsia"/>
                            <w:b/>
                            <w:bCs/>
                            <w:color w:val="000000"/>
                          </w:rPr>
                          <w:t>三腳渡狗</w:t>
                        </w:r>
                        <w:proofErr w:type="gramEnd"/>
                        <w:r>
                          <w:rPr>
                            <w:rFonts w:ascii="標楷體" w:eastAsia="標楷體" w:hAnsi="標楷體" w:hint="eastAsia"/>
                            <w:b/>
                            <w:bCs/>
                            <w:color w:val="000000"/>
                          </w:rPr>
                          <w:t>活動區園區清潔整理之估驗計價照片對照圖</w:t>
                        </w:r>
                      </w:p>
                      <w:p w14:paraId="5687F833" w14:textId="77777777" w:rsidR="007351A0" w:rsidRDefault="007351A0" w:rsidP="007351A0">
                        <w:pPr>
                          <w:spacing w:line="200" w:lineRule="exact"/>
                          <w:ind w:left="432" w:hanging="144"/>
                          <w:rPr>
                            <w:rFonts w:ascii="標楷體" w:eastAsia="標楷體" w:hAnsi="標楷體"/>
                            <w:color w:val="000000" w:themeColor="text1"/>
                            <w:sz w:val="18"/>
                            <w:szCs w:val="18"/>
                          </w:rPr>
                        </w:pPr>
                        <w:proofErr w:type="gramStart"/>
                        <w:r>
                          <w:rPr>
                            <w:rFonts w:ascii="標楷體" w:eastAsia="標楷體" w:hAnsi="標楷體" w:hint="eastAsia"/>
                            <w:color w:val="000000" w:themeColor="text1"/>
                            <w:sz w:val="18"/>
                            <w:szCs w:val="18"/>
                          </w:rPr>
                          <w:t>註</w:t>
                        </w:r>
                        <w:proofErr w:type="gramEnd"/>
                        <w:r>
                          <w:rPr>
                            <w:rFonts w:ascii="標楷體" w:eastAsia="標楷體" w:hAnsi="標楷體" w:hint="eastAsia"/>
                            <w:color w:val="000000" w:themeColor="text1"/>
                            <w:sz w:val="18"/>
                            <w:szCs w:val="18"/>
                          </w:rPr>
                          <w:t>：1.照片日期：左圖112年1月25日；右圖112年3月25日。</w:t>
                        </w:r>
                      </w:p>
                      <w:p w14:paraId="39499DEF" w14:textId="77777777" w:rsidR="007351A0" w:rsidRDefault="007351A0" w:rsidP="007351A0">
                        <w:pPr>
                          <w:spacing w:line="200" w:lineRule="exact"/>
                          <w:ind w:left="1310" w:hanging="662"/>
                          <w:rPr>
                            <w:rFonts w:ascii="標楷體" w:eastAsia="標楷體" w:hAnsi="標楷體"/>
                            <w:color w:val="000000" w:themeColor="text1"/>
                            <w:sz w:val="18"/>
                            <w:szCs w:val="18"/>
                          </w:rPr>
                        </w:pPr>
                        <w:r>
                          <w:rPr>
                            <w:rFonts w:ascii="標楷體" w:eastAsia="標楷體" w:hAnsi="標楷體" w:hint="eastAsia"/>
                            <w:color w:val="000000" w:themeColor="text1"/>
                            <w:sz w:val="18"/>
                            <w:szCs w:val="18"/>
                          </w:rPr>
                          <w:t>2.圖片來源：動保處提供。</w:t>
                        </w:r>
                      </w:p>
                    </w:txbxContent>
                  </v:textbox>
                </v:shape>
                <w10:wrap type="square"/>
              </v:group>
            </w:pict>
          </mc:Fallback>
        </mc:AlternateContent>
      </w:r>
      <w:r>
        <w:rPr>
          <w:rFonts w:ascii="標楷體" w:eastAsia="標楷體" w:hAnsi="標楷體" w:cs="標楷體" w:hint="eastAsia"/>
          <w:bCs/>
          <w:color w:val="000000" w:themeColor="text1"/>
          <w:szCs w:val="32"/>
        </w:rPr>
        <w:t>動物保護處（下稱動保處）為打造動物友善城市，截至113年底止已陸續設置21座狗運動公園及活動區，為維護園區環境及設施品質，除委託廠商辦理設施清潔及垃圾清運等工作外，另辦理巡視維護採購，由巡視維護廠商派員執行各園區環境及設施巡視，及協助動保處辦理清潔維護廠商履約情形之查驗工作。</w:t>
      </w:r>
      <w:proofErr w:type="gramStart"/>
      <w:r>
        <w:rPr>
          <w:rFonts w:ascii="標楷體" w:eastAsia="標楷體" w:hAnsi="標楷體" w:cs="標楷體" w:hint="eastAsia"/>
          <w:bCs/>
          <w:color w:val="000000" w:themeColor="text1"/>
          <w:szCs w:val="32"/>
        </w:rPr>
        <w:t>嗣</w:t>
      </w:r>
      <w:proofErr w:type="gramEnd"/>
      <w:r>
        <w:rPr>
          <w:rFonts w:ascii="標楷體" w:eastAsia="標楷體" w:hAnsi="標楷體" w:cs="標楷體" w:hint="eastAsia"/>
          <w:bCs/>
          <w:color w:val="000000" w:themeColor="text1"/>
          <w:szCs w:val="32"/>
        </w:rPr>
        <w:t>經本處抽查「</w:t>
      </w:r>
      <w:proofErr w:type="gramStart"/>
      <w:r>
        <w:rPr>
          <w:rFonts w:ascii="標楷體" w:eastAsia="標楷體" w:hAnsi="標楷體" w:cs="標楷體" w:hint="eastAsia"/>
          <w:bCs/>
          <w:color w:val="000000" w:themeColor="text1"/>
          <w:szCs w:val="32"/>
        </w:rPr>
        <w:t>111</w:t>
      </w:r>
      <w:proofErr w:type="gramEnd"/>
      <w:r>
        <w:rPr>
          <w:rFonts w:ascii="標楷體" w:eastAsia="標楷體" w:hAnsi="標楷體" w:cs="標楷體" w:hint="eastAsia"/>
          <w:bCs/>
          <w:color w:val="000000" w:themeColor="text1"/>
          <w:szCs w:val="32"/>
        </w:rPr>
        <w:t>年度臺北市狗運動</w:t>
      </w:r>
      <w:proofErr w:type="gramStart"/>
      <w:r>
        <w:rPr>
          <w:rFonts w:ascii="標楷體" w:eastAsia="標楷體" w:hAnsi="標楷體" w:cs="標楷體" w:hint="eastAsia"/>
          <w:bCs/>
          <w:color w:val="000000" w:themeColor="text1"/>
          <w:szCs w:val="32"/>
        </w:rPr>
        <w:t>公園及狗活動</w:t>
      </w:r>
      <w:proofErr w:type="gramEnd"/>
      <w:r>
        <w:rPr>
          <w:rFonts w:ascii="標楷體" w:eastAsia="標楷體" w:hAnsi="標楷體" w:cs="標楷體" w:hint="eastAsia"/>
          <w:bCs/>
          <w:color w:val="000000" w:themeColor="text1"/>
          <w:szCs w:val="32"/>
        </w:rPr>
        <w:t>區巡視維護勞務採購案」（下稱巡查維護案），契約金額257萬元，履約期間為111年5月9日至112年12月底止；「</w:t>
      </w:r>
      <w:proofErr w:type="gramStart"/>
      <w:r>
        <w:rPr>
          <w:rFonts w:ascii="標楷體" w:eastAsia="標楷體" w:hAnsi="標楷體" w:cs="標楷體" w:hint="eastAsia"/>
          <w:bCs/>
          <w:color w:val="000000" w:themeColor="text1"/>
          <w:szCs w:val="32"/>
        </w:rPr>
        <w:t>110</w:t>
      </w:r>
      <w:proofErr w:type="gramEnd"/>
      <w:r>
        <w:rPr>
          <w:rFonts w:ascii="標楷體" w:eastAsia="標楷體" w:hAnsi="標楷體" w:cs="標楷體" w:hint="eastAsia"/>
          <w:bCs/>
          <w:color w:val="000000" w:themeColor="text1"/>
          <w:szCs w:val="32"/>
        </w:rPr>
        <w:t>年度臺北市狗運動</w:t>
      </w:r>
      <w:proofErr w:type="gramStart"/>
      <w:r>
        <w:rPr>
          <w:rFonts w:ascii="標楷體" w:eastAsia="標楷體" w:hAnsi="標楷體" w:cs="標楷體" w:hint="eastAsia"/>
          <w:bCs/>
          <w:color w:val="000000" w:themeColor="text1"/>
          <w:szCs w:val="32"/>
        </w:rPr>
        <w:t>公園及狗活動</w:t>
      </w:r>
      <w:proofErr w:type="gramEnd"/>
      <w:r>
        <w:rPr>
          <w:rFonts w:ascii="標楷體" w:eastAsia="標楷體" w:hAnsi="標楷體" w:cs="標楷體" w:hint="eastAsia"/>
          <w:bCs/>
          <w:color w:val="000000" w:themeColor="text1"/>
          <w:szCs w:val="32"/>
        </w:rPr>
        <w:t>區清潔維護作業（預約式採購）」（下稱110年清潔維護案），契約金額643萬餘元，履約期間為110年1月1日至112年6月底；「</w:t>
      </w:r>
      <w:proofErr w:type="gramStart"/>
      <w:r>
        <w:rPr>
          <w:rFonts w:ascii="標楷體" w:eastAsia="標楷體" w:hAnsi="標楷體" w:cs="標楷體" w:hint="eastAsia"/>
          <w:bCs/>
          <w:color w:val="000000" w:themeColor="text1"/>
          <w:szCs w:val="32"/>
        </w:rPr>
        <w:t>112</w:t>
      </w:r>
      <w:proofErr w:type="gramEnd"/>
      <w:r>
        <w:rPr>
          <w:rFonts w:ascii="標楷體" w:eastAsia="標楷體" w:hAnsi="標楷體" w:cs="標楷體" w:hint="eastAsia"/>
          <w:bCs/>
          <w:color w:val="000000" w:themeColor="text1"/>
          <w:szCs w:val="32"/>
        </w:rPr>
        <w:t>年度臺北市狗運動</w:t>
      </w:r>
      <w:proofErr w:type="gramStart"/>
      <w:r>
        <w:rPr>
          <w:rFonts w:ascii="標楷體" w:eastAsia="標楷體" w:hAnsi="標楷體" w:cs="標楷體" w:hint="eastAsia"/>
          <w:bCs/>
          <w:color w:val="000000" w:themeColor="text1"/>
          <w:szCs w:val="32"/>
        </w:rPr>
        <w:t>公園及狗活動</w:t>
      </w:r>
      <w:proofErr w:type="gramEnd"/>
      <w:r>
        <w:rPr>
          <w:rFonts w:ascii="標楷體" w:eastAsia="標楷體" w:hAnsi="標楷體" w:cs="標楷體" w:hint="eastAsia"/>
          <w:bCs/>
          <w:color w:val="000000" w:themeColor="text1"/>
          <w:szCs w:val="32"/>
        </w:rPr>
        <w:t>區清潔維護作業（預約式採購）」（下稱112年清潔維護案），契約金額為350萬元，履約期間為112年7月1日至同年12月底。經查各案執行情形，核有：清潔維護廠商112年1月至7月提交</w:t>
      </w:r>
      <w:r>
        <w:rPr>
          <w:rFonts w:ascii="標楷體" w:eastAsia="標楷體" w:hAnsi="標楷體" w:hint="eastAsia"/>
          <w:color w:val="000000" w:themeColor="text1"/>
          <w:kern w:val="0"/>
          <w:szCs w:val="24"/>
        </w:rPr>
        <w:t>估驗計價</w:t>
      </w:r>
      <w:r>
        <w:rPr>
          <w:rFonts w:ascii="標楷體" w:eastAsia="標楷體" w:hAnsi="標楷體" w:cs="標楷體" w:hint="eastAsia"/>
          <w:bCs/>
          <w:color w:val="000000" w:themeColor="text1"/>
          <w:szCs w:val="32"/>
        </w:rPr>
        <w:t>之履約照片12,539張，不同時間點</w:t>
      </w:r>
      <w:proofErr w:type="gramStart"/>
      <w:r>
        <w:rPr>
          <w:rFonts w:ascii="標楷體" w:eastAsia="標楷體" w:hAnsi="標楷體" w:cs="標楷體" w:hint="eastAsia"/>
          <w:bCs/>
          <w:color w:val="000000" w:themeColor="text1"/>
          <w:szCs w:val="32"/>
        </w:rPr>
        <w:t>所檢附施</w:t>
      </w:r>
      <w:proofErr w:type="gramEnd"/>
      <w:r>
        <w:rPr>
          <w:rFonts w:ascii="標楷體" w:eastAsia="標楷體" w:hAnsi="標楷體" w:cs="標楷體" w:hint="eastAsia"/>
          <w:bCs/>
          <w:color w:val="000000" w:themeColor="text1"/>
          <w:szCs w:val="32"/>
        </w:rPr>
        <w:t>作照片明顯雷同者，計有192張；另巡查維護廠商於111年5月至11月提交</w:t>
      </w:r>
      <w:r>
        <w:rPr>
          <w:rFonts w:ascii="標楷體" w:eastAsia="標楷體" w:hAnsi="標楷體" w:hint="eastAsia"/>
          <w:color w:val="000000" w:themeColor="text1"/>
          <w:kern w:val="0"/>
          <w:szCs w:val="24"/>
        </w:rPr>
        <w:t>估驗計價</w:t>
      </w:r>
      <w:r>
        <w:rPr>
          <w:rFonts w:ascii="標楷體" w:eastAsia="標楷體" w:hAnsi="標楷體" w:cs="標楷體" w:hint="eastAsia"/>
          <w:bCs/>
          <w:color w:val="000000" w:themeColor="text1"/>
          <w:szCs w:val="32"/>
        </w:rPr>
        <w:t>之巡視照片，以及協助動保處辦理查驗作業所拍攝之現場照片，分別為1,347張及1,156張，</w:t>
      </w:r>
      <w:proofErr w:type="gramStart"/>
      <w:r>
        <w:rPr>
          <w:rFonts w:ascii="標楷體" w:eastAsia="標楷體" w:hAnsi="標楷體" w:cs="標楷體" w:hint="eastAsia"/>
          <w:bCs/>
          <w:color w:val="000000" w:themeColor="text1"/>
          <w:szCs w:val="32"/>
        </w:rPr>
        <w:t>其中所檢附</w:t>
      </w:r>
      <w:proofErr w:type="gramEnd"/>
      <w:r>
        <w:rPr>
          <w:rFonts w:ascii="標楷體" w:eastAsia="標楷體" w:hAnsi="標楷體" w:cs="標楷體" w:hint="eastAsia"/>
          <w:bCs/>
          <w:color w:val="000000" w:themeColor="text1"/>
          <w:szCs w:val="32"/>
        </w:rPr>
        <w:t>同一地點於不同日期，或同一日期於不同地點之照片明顯雷同者，各有3張及8張，</w:t>
      </w:r>
      <w:r>
        <w:rPr>
          <w:rFonts w:ascii="標楷體" w:eastAsia="標楷體" w:hAnsi="標楷體" w:hint="eastAsia"/>
          <w:color w:val="000000" w:themeColor="text1"/>
          <w:kern w:val="0"/>
          <w:szCs w:val="24"/>
        </w:rPr>
        <w:t>動保處對前開案件未詳加監督、查證，即</w:t>
      </w:r>
      <w:proofErr w:type="gramStart"/>
      <w:r>
        <w:rPr>
          <w:rFonts w:ascii="標楷體" w:eastAsia="標楷體" w:hAnsi="標楷體" w:hint="eastAsia"/>
          <w:color w:val="000000" w:themeColor="text1"/>
          <w:kern w:val="0"/>
          <w:szCs w:val="24"/>
        </w:rPr>
        <w:t>予審</w:t>
      </w:r>
      <w:proofErr w:type="gramEnd"/>
      <w:r>
        <w:rPr>
          <w:rFonts w:ascii="標楷體" w:eastAsia="標楷體" w:hAnsi="標楷體" w:hint="eastAsia"/>
          <w:color w:val="000000" w:themeColor="text1"/>
          <w:kern w:val="0"/>
          <w:szCs w:val="24"/>
        </w:rPr>
        <w:t>查合格，並支付廠商各期款項，</w:t>
      </w:r>
      <w:r>
        <w:rPr>
          <w:rFonts w:ascii="標楷體" w:eastAsia="標楷體" w:hAnsi="標楷體" w:cs="標楷體" w:hint="eastAsia"/>
          <w:bCs/>
          <w:color w:val="000000" w:themeColor="text1"/>
          <w:szCs w:val="32"/>
        </w:rPr>
        <w:t>經函請檢討改善。據復：動保處針對清潔維護案及巡視維護案之履約文件所附照片涉有異常情形，已依約分別扣罰廠商4萬餘元及2萬餘元，而承辦人員辦理前開採購涉有履約管理疏失，核予申誡1次之處分；並於後續年度清潔維護案契約增（修）訂條款，包含現場照片必須含有日期與時間等浮水印、廠商提送虛偽不實文件之懲罰性違約金等；另考量每月計價所附履約照片達數百張，除詳加監督及查證外，亦採用可協助查證之軟體，以電腦輔助人工作業，導入智慧化程序，增加照片審查效率及正確性。</w:t>
      </w:r>
    </w:p>
    <w:p w14:paraId="0C5D2D97" w14:textId="77777777" w:rsidR="007351A0" w:rsidRDefault="007351A0" w:rsidP="007351A0">
      <w:pPr>
        <w:widowControl/>
        <w:suppressAutoHyphens/>
        <w:overflowPunct w:val="0"/>
        <w:spacing w:beforeLines="30" w:before="108" w:line="46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lastRenderedPageBreak/>
        <w:t>（四）持續辦理休閒農場查核及輔導管理相關作業，優化休閒農業體驗環境，</w:t>
      </w:r>
      <w:proofErr w:type="gramStart"/>
      <w:r>
        <w:rPr>
          <w:rFonts w:ascii="標楷體" w:eastAsia="標楷體" w:hAnsi="Times New Roman" w:cs="Times New Roman" w:hint="eastAsia"/>
          <w:b/>
          <w:sz w:val="28"/>
          <w:szCs w:val="28"/>
        </w:rPr>
        <w:t>惟轄管</w:t>
      </w:r>
      <w:proofErr w:type="gramEnd"/>
      <w:r>
        <w:rPr>
          <w:rFonts w:ascii="標楷體" w:eastAsia="標楷體" w:hAnsi="Times New Roman" w:cs="Times New Roman" w:hint="eastAsia"/>
          <w:b/>
          <w:sz w:val="28"/>
          <w:szCs w:val="28"/>
        </w:rPr>
        <w:t>休閒農場通過特色農業旅遊場域認證未達半數，且有部分農場未於公共場所急救資訊網登錄自動體外心臟電擊</w:t>
      </w:r>
      <w:proofErr w:type="gramStart"/>
      <w:r>
        <w:rPr>
          <w:rFonts w:ascii="標楷體" w:eastAsia="標楷體" w:hAnsi="Times New Roman" w:cs="Times New Roman" w:hint="eastAsia"/>
          <w:b/>
          <w:sz w:val="28"/>
          <w:szCs w:val="28"/>
        </w:rPr>
        <w:t>去顫器設置</w:t>
      </w:r>
      <w:proofErr w:type="gramEnd"/>
      <w:r>
        <w:rPr>
          <w:rFonts w:ascii="標楷體" w:eastAsia="標楷體" w:hAnsi="Times New Roman" w:cs="Times New Roman" w:hint="eastAsia"/>
          <w:b/>
          <w:sz w:val="28"/>
          <w:szCs w:val="28"/>
        </w:rPr>
        <w:t>資料，允宜積極輔導業者通過認證，並督促業者登錄相關資料，以保障遊客安全。</w:t>
      </w:r>
    </w:p>
    <w:p w14:paraId="6DAAC036" w14:textId="3C4B9968" w:rsidR="007351A0" w:rsidRDefault="007351A0" w:rsidP="007351A0">
      <w:pPr>
        <w:widowControl/>
        <w:overflowPunct w:val="0"/>
        <w:spacing w:line="440" w:lineRule="exact"/>
        <w:ind w:firstLineChars="210" w:firstLine="504"/>
        <w:jc w:val="both"/>
        <w:rPr>
          <w:rFonts w:ascii="標楷體" w:eastAsia="標楷體" w:hAnsi="標楷體" w:cs="Times New Roman"/>
          <w:kern w:val="0"/>
          <w:szCs w:val="24"/>
        </w:rPr>
      </w:pPr>
      <w:r>
        <w:rPr>
          <w:rFonts w:hint="eastAsia"/>
          <w:noProof/>
        </w:rPr>
        <mc:AlternateContent>
          <mc:Choice Requires="wps">
            <w:drawing>
              <wp:anchor distT="45720" distB="45720" distL="114300" distR="114300" simplePos="0" relativeHeight="251706368" behindDoc="0" locked="0" layoutInCell="1" allowOverlap="1" wp14:anchorId="482EAF21" wp14:editId="0530CD96">
                <wp:simplePos x="0" y="0"/>
                <wp:positionH relativeFrom="margin">
                  <wp:posOffset>2623185</wp:posOffset>
                </wp:positionH>
                <wp:positionV relativeFrom="margin">
                  <wp:posOffset>3618230</wp:posOffset>
                </wp:positionV>
                <wp:extent cx="3896360" cy="2785110"/>
                <wp:effectExtent l="0" t="0" r="8890" b="0"/>
                <wp:wrapSquare wrapText="bothSides"/>
                <wp:docPr id="41" name="文字方塊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6360" cy="2785110"/>
                        </a:xfrm>
                        <a:prstGeom prst="rect">
                          <a:avLst/>
                        </a:prstGeom>
                        <a:solidFill>
                          <a:srgbClr val="FFFFFF"/>
                        </a:solidFill>
                        <a:ln w="9525">
                          <a:noFill/>
                          <a:miter lim="800000"/>
                          <a:headEnd/>
                          <a:tailEnd/>
                        </a:ln>
                      </wps:spPr>
                      <wps:txbx>
                        <w:txbxContent>
                          <w:tbl>
                            <w:tblPr>
                              <w:tblStyle w:val="a6"/>
                              <w:tblW w:w="0" w:type="auto"/>
                              <w:tblLook w:val="04A0" w:firstRow="1" w:lastRow="0" w:firstColumn="1" w:lastColumn="0" w:noHBand="0" w:noVBand="1"/>
                            </w:tblPr>
                            <w:tblGrid>
                              <w:gridCol w:w="1405"/>
                              <w:gridCol w:w="2385"/>
                              <w:gridCol w:w="1880"/>
                            </w:tblGrid>
                            <w:tr w:rsidR="007351A0" w14:paraId="691CDBB5" w14:textId="77777777">
                              <w:tc>
                                <w:tcPr>
                                  <w:tcW w:w="5670" w:type="dxa"/>
                                  <w:gridSpan w:val="3"/>
                                  <w:tcBorders>
                                    <w:top w:val="nil"/>
                                    <w:left w:val="nil"/>
                                    <w:bottom w:val="single" w:sz="4" w:space="0" w:color="auto"/>
                                    <w:right w:val="nil"/>
                                  </w:tcBorders>
                                  <w:hideMark/>
                                </w:tcPr>
                                <w:p w14:paraId="2C88C9A3" w14:textId="77777777" w:rsidR="007351A0" w:rsidRPr="003E1851" w:rsidRDefault="007351A0">
                                  <w:pPr>
                                    <w:spacing w:line="300" w:lineRule="exact"/>
                                    <w:jc w:val="center"/>
                                    <w:rPr>
                                      <w:rFonts w:ascii="標楷體" w:eastAsia="標楷體" w:hAnsi="標楷體"/>
                                      <w:b/>
                                      <w:sz w:val="24"/>
                                      <w:szCs w:val="24"/>
                                    </w:rPr>
                                  </w:pPr>
                                  <w:r w:rsidRPr="003E1851">
                                    <w:rPr>
                                      <w:rFonts w:ascii="標楷體" w:eastAsia="標楷體" w:hAnsi="標楷體" w:hint="eastAsia"/>
                                      <w:b/>
                                      <w:sz w:val="24"/>
                                      <w:szCs w:val="24"/>
                                    </w:rPr>
                                    <w:t>表1　截至113年11月底臺北市許可設置之休閒</w:t>
                                  </w:r>
                                </w:p>
                                <w:p w14:paraId="16AC3FEB" w14:textId="77777777" w:rsidR="007351A0" w:rsidRDefault="007351A0">
                                  <w:pPr>
                                    <w:spacing w:line="300" w:lineRule="exact"/>
                                    <w:jc w:val="center"/>
                                    <w:rPr>
                                      <w:rFonts w:ascii="標楷體" w:eastAsia="標楷體" w:hAnsi="標楷體"/>
                                      <w:b/>
                                    </w:rPr>
                                  </w:pPr>
                                  <w:r w:rsidRPr="003E1851">
                                    <w:rPr>
                                      <w:rFonts w:ascii="標楷體" w:eastAsia="標楷體" w:hAnsi="標楷體" w:hint="eastAsia"/>
                                      <w:b/>
                                      <w:sz w:val="24"/>
                                      <w:szCs w:val="24"/>
                                    </w:rPr>
                                    <w:t>農場通過特色農業旅遊場域認證情形</w:t>
                                  </w:r>
                                </w:p>
                              </w:tc>
                            </w:tr>
                            <w:tr w:rsidR="007351A0" w14:paraId="28963C98" w14:textId="77777777">
                              <w:trPr>
                                <w:trHeight w:val="454"/>
                              </w:trPr>
                              <w:tc>
                                <w:tcPr>
                                  <w:tcW w:w="1405" w:type="dxa"/>
                                  <w:tcBorders>
                                    <w:top w:val="single" w:sz="4" w:space="0" w:color="auto"/>
                                    <w:left w:val="single" w:sz="4" w:space="0" w:color="auto"/>
                                    <w:bottom w:val="single" w:sz="4" w:space="0" w:color="auto"/>
                                    <w:right w:val="single" w:sz="4" w:space="0" w:color="auto"/>
                                  </w:tcBorders>
                                  <w:vAlign w:val="center"/>
                                  <w:hideMark/>
                                </w:tcPr>
                                <w:p w14:paraId="13259795" w14:textId="77777777" w:rsidR="007351A0" w:rsidRDefault="007351A0">
                                  <w:pPr>
                                    <w:spacing w:line="240" w:lineRule="exact"/>
                                    <w:jc w:val="center"/>
                                    <w:rPr>
                                      <w:rFonts w:ascii="標楷體" w:eastAsia="標楷體" w:hAnsi="標楷體"/>
                                    </w:rPr>
                                  </w:pPr>
                                  <w:r>
                                    <w:rPr>
                                      <w:rFonts w:ascii="標楷體" w:eastAsia="標楷體" w:hAnsi="標楷體" w:hint="eastAsia"/>
                                    </w:rPr>
                                    <w:t>行政區</w:t>
                                  </w:r>
                                </w:p>
                              </w:tc>
                              <w:tc>
                                <w:tcPr>
                                  <w:tcW w:w="2385" w:type="dxa"/>
                                  <w:tcBorders>
                                    <w:top w:val="single" w:sz="4" w:space="0" w:color="auto"/>
                                    <w:left w:val="single" w:sz="4" w:space="0" w:color="auto"/>
                                    <w:bottom w:val="single" w:sz="4" w:space="0" w:color="auto"/>
                                    <w:right w:val="single" w:sz="4" w:space="0" w:color="auto"/>
                                  </w:tcBorders>
                                  <w:vAlign w:val="center"/>
                                  <w:hideMark/>
                                </w:tcPr>
                                <w:p w14:paraId="2434E707" w14:textId="77777777" w:rsidR="007351A0" w:rsidRDefault="007351A0">
                                  <w:pPr>
                                    <w:spacing w:line="240" w:lineRule="exact"/>
                                    <w:jc w:val="center"/>
                                    <w:rPr>
                                      <w:rFonts w:ascii="標楷體" w:eastAsia="標楷體" w:hAnsi="標楷體"/>
                                    </w:rPr>
                                  </w:pPr>
                                  <w:r>
                                    <w:rPr>
                                      <w:rFonts w:ascii="標楷體" w:eastAsia="標楷體" w:hAnsi="標楷體" w:hint="eastAsia"/>
                                    </w:rPr>
                                    <w:t>農場名稱</w:t>
                                  </w:r>
                                </w:p>
                              </w:tc>
                              <w:tc>
                                <w:tcPr>
                                  <w:tcW w:w="1880" w:type="dxa"/>
                                  <w:tcBorders>
                                    <w:top w:val="single" w:sz="4" w:space="0" w:color="auto"/>
                                    <w:left w:val="single" w:sz="4" w:space="0" w:color="auto"/>
                                    <w:bottom w:val="single" w:sz="4" w:space="0" w:color="auto"/>
                                    <w:right w:val="single" w:sz="4" w:space="0" w:color="auto"/>
                                  </w:tcBorders>
                                  <w:hideMark/>
                                </w:tcPr>
                                <w:p w14:paraId="1C8FBE5A" w14:textId="77777777" w:rsidR="007351A0" w:rsidRDefault="007351A0">
                                  <w:pPr>
                                    <w:spacing w:line="240" w:lineRule="exact"/>
                                    <w:jc w:val="center"/>
                                    <w:rPr>
                                      <w:rFonts w:ascii="標楷體" w:eastAsia="標楷體" w:hAnsi="標楷體"/>
                                      <w:szCs w:val="24"/>
                                    </w:rPr>
                                  </w:pPr>
                                  <w:r>
                                    <w:rPr>
                                      <w:rFonts w:ascii="標楷體" w:eastAsia="標楷體" w:hAnsi="標楷體" w:hint="eastAsia"/>
                                      <w:szCs w:val="24"/>
                                    </w:rPr>
                                    <w:t>通過特色農業</w:t>
                                  </w:r>
                                </w:p>
                                <w:p w14:paraId="51864F1F" w14:textId="77777777" w:rsidR="007351A0" w:rsidRDefault="007351A0">
                                  <w:pPr>
                                    <w:spacing w:line="240" w:lineRule="exact"/>
                                    <w:jc w:val="center"/>
                                    <w:rPr>
                                      <w:rFonts w:ascii="標楷體" w:eastAsia="標楷體" w:hAnsi="標楷體"/>
                                    </w:rPr>
                                  </w:pPr>
                                  <w:r>
                                    <w:rPr>
                                      <w:rFonts w:ascii="標楷體" w:eastAsia="標楷體" w:hAnsi="標楷體" w:hint="eastAsia"/>
                                      <w:szCs w:val="24"/>
                                    </w:rPr>
                                    <w:t>旅遊場域認證</w:t>
                                  </w:r>
                                </w:p>
                              </w:tc>
                            </w:tr>
                            <w:tr w:rsidR="007351A0" w14:paraId="3A0E2269" w14:textId="77777777" w:rsidTr="008B1FB5">
                              <w:tc>
                                <w:tcPr>
                                  <w:tcW w:w="1405" w:type="dxa"/>
                                  <w:tcBorders>
                                    <w:top w:val="single" w:sz="4" w:space="0" w:color="auto"/>
                                    <w:left w:val="single" w:sz="4" w:space="0" w:color="auto"/>
                                    <w:bottom w:val="single" w:sz="4" w:space="0" w:color="auto"/>
                                    <w:right w:val="single" w:sz="4" w:space="0" w:color="auto"/>
                                  </w:tcBorders>
                                  <w:vAlign w:val="center"/>
                                  <w:hideMark/>
                                </w:tcPr>
                                <w:p w14:paraId="269F4F03" w14:textId="77777777" w:rsidR="007351A0" w:rsidRDefault="007351A0">
                                  <w:pPr>
                                    <w:spacing w:line="240" w:lineRule="exact"/>
                                    <w:jc w:val="center"/>
                                    <w:rPr>
                                      <w:rFonts w:ascii="標楷體" w:eastAsia="標楷體" w:hAnsi="標楷體"/>
                                    </w:rPr>
                                  </w:pPr>
                                  <w:r>
                                    <w:rPr>
                                      <w:rFonts w:ascii="標楷體" w:eastAsia="標楷體" w:hAnsi="標楷體" w:hint="eastAsia"/>
                                    </w:rPr>
                                    <w:t>文山區</w:t>
                                  </w:r>
                                </w:p>
                              </w:tc>
                              <w:tc>
                                <w:tcPr>
                                  <w:tcW w:w="2385" w:type="dxa"/>
                                  <w:tcBorders>
                                    <w:top w:val="single" w:sz="4" w:space="0" w:color="auto"/>
                                    <w:left w:val="single" w:sz="4" w:space="0" w:color="auto"/>
                                    <w:bottom w:val="single" w:sz="4" w:space="0" w:color="auto"/>
                                    <w:right w:val="single" w:sz="4" w:space="0" w:color="auto"/>
                                  </w:tcBorders>
                                  <w:vAlign w:val="center"/>
                                  <w:hideMark/>
                                </w:tcPr>
                                <w:p w14:paraId="48A6FDFB"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老泉養生休閒農場</w:t>
                                  </w:r>
                                </w:p>
                                <w:p w14:paraId="496A627F" w14:textId="77777777" w:rsidR="007351A0" w:rsidRDefault="007351A0" w:rsidP="008B1FB5">
                                  <w:pPr>
                                    <w:spacing w:line="260" w:lineRule="exact"/>
                                    <w:jc w:val="both"/>
                                    <w:rPr>
                                      <w:rFonts w:ascii="標楷體" w:eastAsia="標楷體" w:hAnsi="標楷體"/>
                                    </w:rPr>
                                  </w:pPr>
                                  <w:proofErr w:type="gramStart"/>
                                  <w:r>
                                    <w:rPr>
                                      <w:rFonts w:ascii="標楷體" w:eastAsia="標楷體" w:hAnsi="標楷體" w:hint="eastAsia"/>
                                    </w:rPr>
                                    <w:t>慈音山莊</w:t>
                                  </w:r>
                                  <w:proofErr w:type="gramEnd"/>
                                  <w:r>
                                    <w:rPr>
                                      <w:rFonts w:ascii="標楷體" w:eastAsia="標楷體" w:hAnsi="標楷體" w:hint="eastAsia"/>
                                    </w:rPr>
                                    <w:t>休閒農場</w:t>
                                  </w:r>
                                </w:p>
                                <w:p w14:paraId="11517396"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杏花林休閒農場</w:t>
                                  </w:r>
                                </w:p>
                              </w:tc>
                              <w:tc>
                                <w:tcPr>
                                  <w:tcW w:w="1880" w:type="dxa"/>
                                  <w:tcBorders>
                                    <w:top w:val="single" w:sz="4" w:space="0" w:color="auto"/>
                                    <w:left w:val="single" w:sz="4" w:space="0" w:color="auto"/>
                                    <w:bottom w:val="single" w:sz="4" w:space="0" w:color="auto"/>
                                    <w:right w:val="single" w:sz="4" w:space="0" w:color="auto"/>
                                  </w:tcBorders>
                                </w:tcPr>
                                <w:p w14:paraId="7CCC05F9" w14:textId="77777777" w:rsidR="007351A0" w:rsidRDefault="007351A0">
                                  <w:pPr>
                                    <w:spacing w:line="240" w:lineRule="exact"/>
                                    <w:rPr>
                                      <w:rFonts w:ascii="標楷體" w:eastAsia="標楷體" w:hAnsi="標楷體"/>
                                    </w:rPr>
                                  </w:pPr>
                                </w:p>
                              </w:tc>
                            </w:tr>
                            <w:tr w:rsidR="007351A0" w14:paraId="48AD98A8" w14:textId="77777777" w:rsidTr="008B1FB5">
                              <w:tc>
                                <w:tcPr>
                                  <w:tcW w:w="1405" w:type="dxa"/>
                                  <w:tcBorders>
                                    <w:top w:val="single" w:sz="4" w:space="0" w:color="auto"/>
                                    <w:left w:val="single" w:sz="4" w:space="0" w:color="auto"/>
                                    <w:bottom w:val="single" w:sz="4" w:space="0" w:color="auto"/>
                                    <w:right w:val="single" w:sz="4" w:space="0" w:color="auto"/>
                                  </w:tcBorders>
                                  <w:vAlign w:val="center"/>
                                  <w:hideMark/>
                                </w:tcPr>
                                <w:p w14:paraId="4B4AE0D9" w14:textId="77777777" w:rsidR="007351A0" w:rsidRDefault="007351A0">
                                  <w:pPr>
                                    <w:spacing w:line="240" w:lineRule="exact"/>
                                    <w:jc w:val="center"/>
                                    <w:rPr>
                                      <w:rFonts w:ascii="標楷體" w:eastAsia="標楷體" w:hAnsi="標楷體"/>
                                    </w:rPr>
                                  </w:pPr>
                                  <w:r>
                                    <w:rPr>
                                      <w:rFonts w:ascii="標楷體" w:eastAsia="標楷體" w:hAnsi="標楷體" w:hint="eastAsia"/>
                                    </w:rPr>
                                    <w:t>士林區</w:t>
                                  </w:r>
                                </w:p>
                              </w:tc>
                              <w:tc>
                                <w:tcPr>
                                  <w:tcW w:w="2385" w:type="dxa"/>
                                  <w:tcBorders>
                                    <w:top w:val="single" w:sz="4" w:space="0" w:color="auto"/>
                                    <w:left w:val="single" w:sz="4" w:space="0" w:color="auto"/>
                                    <w:bottom w:val="single" w:sz="4" w:space="0" w:color="auto"/>
                                    <w:right w:val="single" w:sz="4" w:space="0" w:color="auto"/>
                                  </w:tcBorders>
                                  <w:vAlign w:val="center"/>
                                  <w:hideMark/>
                                </w:tcPr>
                                <w:p w14:paraId="12A0C258"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福田園教育休閒農場</w:t>
                                  </w:r>
                                </w:p>
                                <w:p w14:paraId="3C4C77D2" w14:textId="77777777" w:rsidR="007351A0" w:rsidRDefault="007351A0" w:rsidP="008B1FB5">
                                  <w:pPr>
                                    <w:spacing w:line="260" w:lineRule="exact"/>
                                    <w:jc w:val="both"/>
                                    <w:rPr>
                                      <w:rFonts w:ascii="標楷體" w:eastAsia="標楷體" w:hAnsi="標楷體"/>
                                    </w:rPr>
                                  </w:pPr>
                                  <w:proofErr w:type="gramStart"/>
                                  <w:r>
                                    <w:rPr>
                                      <w:rFonts w:ascii="標楷體" w:eastAsia="標楷體" w:hAnsi="標楷體" w:hint="eastAsia"/>
                                    </w:rPr>
                                    <w:t>梅居休閒</w:t>
                                  </w:r>
                                  <w:proofErr w:type="gramEnd"/>
                                  <w:r>
                                    <w:rPr>
                                      <w:rFonts w:ascii="標楷體" w:eastAsia="標楷體" w:hAnsi="標楷體" w:hint="eastAsia"/>
                                    </w:rPr>
                                    <w:t>農場</w:t>
                                  </w:r>
                                </w:p>
                                <w:p w14:paraId="5C9D8290"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日月滿休閒農場</w:t>
                                  </w:r>
                                </w:p>
                              </w:tc>
                              <w:tc>
                                <w:tcPr>
                                  <w:tcW w:w="1880" w:type="dxa"/>
                                  <w:tcBorders>
                                    <w:top w:val="single" w:sz="4" w:space="0" w:color="auto"/>
                                    <w:left w:val="single" w:sz="4" w:space="0" w:color="auto"/>
                                    <w:bottom w:val="single" w:sz="4" w:space="0" w:color="auto"/>
                                    <w:right w:val="single" w:sz="4" w:space="0" w:color="auto"/>
                                  </w:tcBorders>
                                  <w:hideMark/>
                                </w:tcPr>
                                <w:p w14:paraId="21A6AEE6" w14:textId="77777777" w:rsidR="007351A0" w:rsidRDefault="007351A0">
                                  <w:pPr>
                                    <w:spacing w:line="240" w:lineRule="exact"/>
                                    <w:jc w:val="center"/>
                                    <w:rPr>
                                      <w:rFonts w:ascii="標楷體" w:eastAsia="標楷體" w:hAnsi="標楷體"/>
                                      <w:sz w:val="22"/>
                                    </w:rPr>
                                  </w:pPr>
                                  <w:r>
                                    <w:rPr>
                                      <w:rFonts w:ascii="標楷體" w:eastAsia="標楷體" w:hAnsi="標楷體"/>
                                      <w:sz w:val="22"/>
                                    </w:rPr>
                                    <w:sym w:font="Wingdings" w:char="F0FC"/>
                                  </w:r>
                                </w:p>
                                <w:p w14:paraId="12906634" w14:textId="77777777" w:rsidR="007351A0" w:rsidRDefault="007351A0">
                                  <w:pPr>
                                    <w:spacing w:line="240" w:lineRule="exact"/>
                                    <w:jc w:val="center"/>
                                    <w:rPr>
                                      <w:rFonts w:ascii="標楷體" w:eastAsia="標楷體" w:hAnsi="標楷體"/>
                                    </w:rPr>
                                  </w:pPr>
                                  <w:r>
                                    <w:rPr>
                                      <w:rFonts w:ascii="標楷體" w:eastAsia="標楷體" w:hAnsi="標楷體"/>
                                      <w:sz w:val="22"/>
                                    </w:rPr>
                                    <w:sym w:font="Wingdings" w:char="F0FC"/>
                                  </w:r>
                                </w:p>
                              </w:tc>
                            </w:tr>
                            <w:tr w:rsidR="007351A0" w14:paraId="31887A82" w14:textId="77777777" w:rsidTr="008B1FB5">
                              <w:tc>
                                <w:tcPr>
                                  <w:tcW w:w="1405" w:type="dxa"/>
                                  <w:tcBorders>
                                    <w:top w:val="single" w:sz="4" w:space="0" w:color="auto"/>
                                    <w:left w:val="single" w:sz="4" w:space="0" w:color="auto"/>
                                    <w:bottom w:val="single" w:sz="4" w:space="0" w:color="auto"/>
                                    <w:right w:val="single" w:sz="4" w:space="0" w:color="auto"/>
                                  </w:tcBorders>
                                  <w:vAlign w:val="center"/>
                                  <w:hideMark/>
                                </w:tcPr>
                                <w:p w14:paraId="46C62E9C" w14:textId="77777777" w:rsidR="007351A0" w:rsidRDefault="007351A0">
                                  <w:pPr>
                                    <w:spacing w:line="240" w:lineRule="exact"/>
                                    <w:jc w:val="center"/>
                                    <w:rPr>
                                      <w:rFonts w:ascii="標楷體" w:eastAsia="標楷體" w:hAnsi="標楷體"/>
                                    </w:rPr>
                                  </w:pPr>
                                  <w:r>
                                    <w:rPr>
                                      <w:rFonts w:ascii="標楷體" w:eastAsia="標楷體" w:hAnsi="標楷體" w:hint="eastAsia"/>
                                    </w:rPr>
                                    <w:t>內湖區</w:t>
                                  </w:r>
                                </w:p>
                              </w:tc>
                              <w:tc>
                                <w:tcPr>
                                  <w:tcW w:w="2385" w:type="dxa"/>
                                  <w:tcBorders>
                                    <w:top w:val="single" w:sz="4" w:space="0" w:color="auto"/>
                                    <w:left w:val="single" w:sz="4" w:space="0" w:color="auto"/>
                                    <w:bottom w:val="single" w:sz="4" w:space="0" w:color="auto"/>
                                    <w:right w:val="single" w:sz="4" w:space="0" w:color="auto"/>
                                  </w:tcBorders>
                                  <w:vAlign w:val="center"/>
                                  <w:hideMark/>
                                </w:tcPr>
                                <w:p w14:paraId="3BF6FEBF"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白石森活休閒農場</w:t>
                                  </w:r>
                                </w:p>
                                <w:p w14:paraId="0D97CAB1"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清香休閒農場</w:t>
                                  </w:r>
                                </w:p>
                                <w:p w14:paraId="1347B1F5"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鄉村休閒農場</w:t>
                                  </w:r>
                                </w:p>
                              </w:tc>
                              <w:tc>
                                <w:tcPr>
                                  <w:tcW w:w="1880" w:type="dxa"/>
                                  <w:tcBorders>
                                    <w:top w:val="single" w:sz="4" w:space="0" w:color="auto"/>
                                    <w:left w:val="single" w:sz="4" w:space="0" w:color="auto"/>
                                    <w:bottom w:val="single" w:sz="4" w:space="0" w:color="auto"/>
                                    <w:right w:val="single" w:sz="4" w:space="0" w:color="auto"/>
                                  </w:tcBorders>
                                  <w:hideMark/>
                                </w:tcPr>
                                <w:p w14:paraId="4082CCAF" w14:textId="77777777" w:rsidR="007351A0" w:rsidRDefault="007351A0">
                                  <w:pPr>
                                    <w:spacing w:line="240" w:lineRule="exact"/>
                                    <w:jc w:val="center"/>
                                    <w:rPr>
                                      <w:rFonts w:ascii="標楷體" w:eastAsia="標楷體" w:hAnsi="標楷體"/>
                                      <w:sz w:val="22"/>
                                    </w:rPr>
                                  </w:pPr>
                                  <w:r>
                                    <w:rPr>
                                      <w:rFonts w:ascii="標楷體" w:eastAsia="標楷體" w:hAnsi="標楷體"/>
                                      <w:sz w:val="22"/>
                                    </w:rPr>
                                    <w:sym w:font="Wingdings" w:char="F0FC"/>
                                  </w:r>
                                </w:p>
                                <w:p w14:paraId="74F336C1" w14:textId="77777777" w:rsidR="007351A0" w:rsidRDefault="007351A0">
                                  <w:pPr>
                                    <w:spacing w:line="240" w:lineRule="exact"/>
                                    <w:jc w:val="center"/>
                                    <w:rPr>
                                      <w:rFonts w:ascii="標楷體" w:eastAsia="標楷體" w:hAnsi="標楷體"/>
                                    </w:rPr>
                                  </w:pPr>
                                  <w:r>
                                    <w:rPr>
                                      <w:rFonts w:ascii="標楷體" w:eastAsia="標楷體" w:hAnsi="標楷體"/>
                                      <w:sz w:val="22"/>
                                    </w:rPr>
                                    <w:sym w:font="Wingdings" w:char="F0FC"/>
                                  </w:r>
                                </w:p>
                              </w:tc>
                            </w:tr>
                            <w:tr w:rsidR="007351A0" w14:paraId="661F389A" w14:textId="77777777" w:rsidTr="008B1FB5">
                              <w:tc>
                                <w:tcPr>
                                  <w:tcW w:w="1405" w:type="dxa"/>
                                  <w:tcBorders>
                                    <w:top w:val="single" w:sz="4" w:space="0" w:color="auto"/>
                                    <w:left w:val="single" w:sz="4" w:space="0" w:color="auto"/>
                                    <w:bottom w:val="single" w:sz="4" w:space="0" w:color="auto"/>
                                    <w:right w:val="single" w:sz="4" w:space="0" w:color="auto"/>
                                  </w:tcBorders>
                                  <w:vAlign w:val="center"/>
                                  <w:hideMark/>
                                </w:tcPr>
                                <w:p w14:paraId="5BD09262" w14:textId="77777777" w:rsidR="007351A0" w:rsidRDefault="007351A0">
                                  <w:pPr>
                                    <w:spacing w:line="240" w:lineRule="exact"/>
                                    <w:jc w:val="center"/>
                                    <w:rPr>
                                      <w:rFonts w:ascii="標楷體" w:eastAsia="標楷體" w:hAnsi="標楷體"/>
                                    </w:rPr>
                                  </w:pPr>
                                  <w:r>
                                    <w:rPr>
                                      <w:rFonts w:ascii="標楷體" w:eastAsia="標楷體" w:hAnsi="標楷體" w:hint="eastAsia"/>
                                    </w:rPr>
                                    <w:t>北投區</w:t>
                                  </w:r>
                                </w:p>
                              </w:tc>
                              <w:tc>
                                <w:tcPr>
                                  <w:tcW w:w="2385" w:type="dxa"/>
                                  <w:tcBorders>
                                    <w:top w:val="single" w:sz="4" w:space="0" w:color="auto"/>
                                    <w:left w:val="single" w:sz="4" w:space="0" w:color="auto"/>
                                    <w:bottom w:val="single" w:sz="4" w:space="0" w:color="auto"/>
                                    <w:right w:val="single" w:sz="4" w:space="0" w:color="auto"/>
                                  </w:tcBorders>
                                  <w:vAlign w:val="center"/>
                                  <w:hideMark/>
                                </w:tcPr>
                                <w:p w14:paraId="6B8CAC8A"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二</w:t>
                                  </w:r>
                                  <w:proofErr w:type="gramStart"/>
                                  <w:r>
                                    <w:rPr>
                                      <w:rFonts w:ascii="標楷體" w:eastAsia="標楷體" w:hAnsi="標楷體" w:hint="eastAsia"/>
                                    </w:rPr>
                                    <w:t>崎</w:t>
                                  </w:r>
                                  <w:proofErr w:type="gramEnd"/>
                                  <w:r>
                                    <w:rPr>
                                      <w:rFonts w:ascii="標楷體" w:eastAsia="標楷體" w:hAnsi="標楷體" w:hint="eastAsia"/>
                                    </w:rPr>
                                    <w:t>生態休閒農場</w:t>
                                  </w:r>
                                </w:p>
                                <w:p w14:paraId="0EC41C67"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柏泰園休閒農場</w:t>
                                  </w:r>
                                </w:p>
                              </w:tc>
                              <w:tc>
                                <w:tcPr>
                                  <w:tcW w:w="1880" w:type="dxa"/>
                                  <w:tcBorders>
                                    <w:top w:val="single" w:sz="4" w:space="0" w:color="auto"/>
                                    <w:left w:val="single" w:sz="4" w:space="0" w:color="auto"/>
                                    <w:bottom w:val="single" w:sz="4" w:space="0" w:color="auto"/>
                                    <w:right w:val="single" w:sz="4" w:space="0" w:color="auto"/>
                                  </w:tcBorders>
                                </w:tcPr>
                                <w:p w14:paraId="14824F0C" w14:textId="77777777" w:rsidR="007351A0" w:rsidRDefault="007351A0">
                                  <w:pPr>
                                    <w:spacing w:line="240" w:lineRule="exact"/>
                                    <w:rPr>
                                      <w:rFonts w:ascii="標楷體" w:eastAsia="標楷體" w:hAnsi="標楷體"/>
                                    </w:rPr>
                                  </w:pPr>
                                </w:p>
                              </w:tc>
                            </w:tr>
                          </w:tbl>
                          <w:p w14:paraId="56CB6374" w14:textId="77777777" w:rsidR="007351A0" w:rsidRDefault="007351A0" w:rsidP="007351A0">
                            <w:pPr>
                              <w:spacing w:line="240" w:lineRule="exact"/>
                              <w:jc w:val="both"/>
                              <w:rPr>
                                <w:rFonts w:ascii="標楷體" w:eastAsia="標楷體" w:hAnsi="標楷體"/>
                                <w:sz w:val="18"/>
                                <w:szCs w:val="18"/>
                              </w:rPr>
                            </w:pPr>
                            <w:r>
                              <w:rPr>
                                <w:rFonts w:ascii="標楷體" w:eastAsia="標楷體" w:hAnsi="標楷體" w:hint="eastAsia"/>
                                <w:sz w:val="18"/>
                                <w:szCs w:val="18"/>
                              </w:rPr>
                              <w:t>資料來源：整理自產業發展局提供資料。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2EAF21" id="文字方塊 41" o:spid="_x0000_s1071" type="#_x0000_t202" style="position:absolute;left:0;text-align:left;margin-left:206.55pt;margin-top:284.9pt;width:306.8pt;height:219.3pt;z-index:251706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" stroked="f">
                <v:textbox>
                  <w:txbxContent>
                    <w:tbl>
                      <w:tblPr>
                        <w:tblStyle w:val="a6"/>
                        <w:tblW w:w="0" w:type="auto"/>
                        <w:tblLook w:val="04A0" w:firstRow="1" w:lastRow="0" w:firstColumn="1" w:lastColumn="0" w:noHBand="0" w:noVBand="1"/>
                      </w:tblPr>
                      <w:tblGrid>
                        <w:gridCol w:w="1405"/>
                        <w:gridCol w:w="2385"/>
                        <w:gridCol w:w="1880"/>
                      </w:tblGrid>
                      <w:tr w:rsidR="007351A0" w14:paraId="691CDBB5" w14:textId="77777777">
                        <w:tc>
                          <w:tcPr>
                            <w:tcW w:w="5670" w:type="dxa"/>
                            <w:gridSpan w:val="3"/>
                            <w:tcBorders>
                              <w:top w:val="nil"/>
                              <w:left w:val="nil"/>
                              <w:bottom w:val="single" w:sz="4" w:space="0" w:color="auto"/>
                              <w:right w:val="nil"/>
                            </w:tcBorders>
                            <w:hideMark/>
                          </w:tcPr>
                          <w:p w14:paraId="2C88C9A3" w14:textId="77777777" w:rsidR="007351A0" w:rsidRPr="003E1851" w:rsidRDefault="007351A0">
                            <w:pPr>
                              <w:spacing w:line="300" w:lineRule="exact"/>
                              <w:jc w:val="center"/>
                              <w:rPr>
                                <w:rFonts w:ascii="標楷體" w:eastAsia="標楷體" w:hAnsi="標楷體"/>
                                <w:b/>
                                <w:sz w:val="24"/>
                                <w:szCs w:val="24"/>
                              </w:rPr>
                            </w:pPr>
                            <w:r w:rsidRPr="003E1851">
                              <w:rPr>
                                <w:rFonts w:ascii="標楷體" w:eastAsia="標楷體" w:hAnsi="標楷體" w:hint="eastAsia"/>
                                <w:b/>
                                <w:sz w:val="24"/>
                                <w:szCs w:val="24"/>
                              </w:rPr>
                              <w:t>表1　截至113年11月底臺北市許可設置之休閒</w:t>
                            </w:r>
                          </w:p>
                          <w:p w14:paraId="16AC3FEB" w14:textId="77777777" w:rsidR="007351A0" w:rsidRDefault="007351A0">
                            <w:pPr>
                              <w:spacing w:line="300" w:lineRule="exact"/>
                              <w:jc w:val="center"/>
                              <w:rPr>
                                <w:rFonts w:ascii="標楷體" w:eastAsia="標楷體" w:hAnsi="標楷體"/>
                                <w:b/>
                              </w:rPr>
                            </w:pPr>
                            <w:r w:rsidRPr="003E1851">
                              <w:rPr>
                                <w:rFonts w:ascii="標楷體" w:eastAsia="標楷體" w:hAnsi="標楷體" w:hint="eastAsia"/>
                                <w:b/>
                                <w:sz w:val="24"/>
                                <w:szCs w:val="24"/>
                              </w:rPr>
                              <w:t>農場通過特色農業旅遊場域認證情形</w:t>
                            </w:r>
                          </w:p>
                        </w:tc>
                      </w:tr>
                      <w:tr w:rsidR="007351A0" w14:paraId="28963C98" w14:textId="77777777">
                        <w:trPr>
                          <w:trHeight w:val="454"/>
                        </w:trPr>
                        <w:tc>
                          <w:tcPr>
                            <w:tcW w:w="1405" w:type="dxa"/>
                            <w:tcBorders>
                              <w:top w:val="single" w:sz="4" w:space="0" w:color="auto"/>
                              <w:left w:val="single" w:sz="4" w:space="0" w:color="auto"/>
                              <w:bottom w:val="single" w:sz="4" w:space="0" w:color="auto"/>
                              <w:right w:val="single" w:sz="4" w:space="0" w:color="auto"/>
                            </w:tcBorders>
                            <w:vAlign w:val="center"/>
                            <w:hideMark/>
                          </w:tcPr>
                          <w:p w14:paraId="13259795" w14:textId="77777777" w:rsidR="007351A0" w:rsidRDefault="007351A0">
                            <w:pPr>
                              <w:spacing w:line="240" w:lineRule="exact"/>
                              <w:jc w:val="center"/>
                              <w:rPr>
                                <w:rFonts w:ascii="標楷體" w:eastAsia="標楷體" w:hAnsi="標楷體"/>
                              </w:rPr>
                            </w:pPr>
                            <w:r>
                              <w:rPr>
                                <w:rFonts w:ascii="標楷體" w:eastAsia="標楷體" w:hAnsi="標楷體" w:hint="eastAsia"/>
                              </w:rPr>
                              <w:t>行政區</w:t>
                            </w:r>
                          </w:p>
                        </w:tc>
                        <w:tc>
                          <w:tcPr>
                            <w:tcW w:w="2385" w:type="dxa"/>
                            <w:tcBorders>
                              <w:top w:val="single" w:sz="4" w:space="0" w:color="auto"/>
                              <w:left w:val="single" w:sz="4" w:space="0" w:color="auto"/>
                              <w:bottom w:val="single" w:sz="4" w:space="0" w:color="auto"/>
                              <w:right w:val="single" w:sz="4" w:space="0" w:color="auto"/>
                            </w:tcBorders>
                            <w:vAlign w:val="center"/>
                            <w:hideMark/>
                          </w:tcPr>
                          <w:p w14:paraId="2434E707" w14:textId="77777777" w:rsidR="007351A0" w:rsidRDefault="007351A0">
                            <w:pPr>
                              <w:spacing w:line="240" w:lineRule="exact"/>
                              <w:jc w:val="center"/>
                              <w:rPr>
                                <w:rFonts w:ascii="標楷體" w:eastAsia="標楷體" w:hAnsi="標楷體"/>
                              </w:rPr>
                            </w:pPr>
                            <w:r>
                              <w:rPr>
                                <w:rFonts w:ascii="標楷體" w:eastAsia="標楷體" w:hAnsi="標楷體" w:hint="eastAsia"/>
                              </w:rPr>
                              <w:t>農場名稱</w:t>
                            </w:r>
                          </w:p>
                        </w:tc>
                        <w:tc>
                          <w:tcPr>
                            <w:tcW w:w="1880" w:type="dxa"/>
                            <w:tcBorders>
                              <w:top w:val="single" w:sz="4" w:space="0" w:color="auto"/>
                              <w:left w:val="single" w:sz="4" w:space="0" w:color="auto"/>
                              <w:bottom w:val="single" w:sz="4" w:space="0" w:color="auto"/>
                              <w:right w:val="single" w:sz="4" w:space="0" w:color="auto"/>
                            </w:tcBorders>
                            <w:hideMark/>
                          </w:tcPr>
                          <w:p w14:paraId="1C8FBE5A" w14:textId="77777777" w:rsidR="007351A0" w:rsidRDefault="007351A0">
                            <w:pPr>
                              <w:spacing w:line="240" w:lineRule="exact"/>
                              <w:jc w:val="center"/>
                              <w:rPr>
                                <w:rFonts w:ascii="標楷體" w:eastAsia="標楷體" w:hAnsi="標楷體"/>
                                <w:szCs w:val="24"/>
                              </w:rPr>
                            </w:pPr>
                            <w:r>
                              <w:rPr>
                                <w:rFonts w:ascii="標楷體" w:eastAsia="標楷體" w:hAnsi="標楷體" w:hint="eastAsia"/>
                                <w:szCs w:val="24"/>
                              </w:rPr>
                              <w:t>通過特色農業</w:t>
                            </w:r>
                          </w:p>
                          <w:p w14:paraId="51864F1F" w14:textId="77777777" w:rsidR="007351A0" w:rsidRDefault="007351A0">
                            <w:pPr>
                              <w:spacing w:line="240" w:lineRule="exact"/>
                              <w:jc w:val="center"/>
                              <w:rPr>
                                <w:rFonts w:ascii="標楷體" w:eastAsia="標楷體" w:hAnsi="標楷體"/>
                              </w:rPr>
                            </w:pPr>
                            <w:r>
                              <w:rPr>
                                <w:rFonts w:ascii="標楷體" w:eastAsia="標楷體" w:hAnsi="標楷體" w:hint="eastAsia"/>
                                <w:szCs w:val="24"/>
                              </w:rPr>
                              <w:t>旅遊場域認證</w:t>
                            </w:r>
                          </w:p>
                        </w:tc>
                      </w:tr>
                      <w:tr w:rsidR="007351A0" w14:paraId="3A0E2269" w14:textId="77777777" w:rsidTr="008B1FB5">
                        <w:tc>
                          <w:tcPr>
                            <w:tcW w:w="1405" w:type="dxa"/>
                            <w:tcBorders>
                              <w:top w:val="single" w:sz="4" w:space="0" w:color="auto"/>
                              <w:left w:val="single" w:sz="4" w:space="0" w:color="auto"/>
                              <w:bottom w:val="single" w:sz="4" w:space="0" w:color="auto"/>
                              <w:right w:val="single" w:sz="4" w:space="0" w:color="auto"/>
                            </w:tcBorders>
                            <w:vAlign w:val="center"/>
                            <w:hideMark/>
                          </w:tcPr>
                          <w:p w14:paraId="269F4F03" w14:textId="77777777" w:rsidR="007351A0" w:rsidRDefault="007351A0">
                            <w:pPr>
                              <w:spacing w:line="240" w:lineRule="exact"/>
                              <w:jc w:val="center"/>
                              <w:rPr>
                                <w:rFonts w:ascii="標楷體" w:eastAsia="標楷體" w:hAnsi="標楷體"/>
                              </w:rPr>
                            </w:pPr>
                            <w:r>
                              <w:rPr>
                                <w:rFonts w:ascii="標楷體" w:eastAsia="標楷體" w:hAnsi="標楷體" w:hint="eastAsia"/>
                              </w:rPr>
                              <w:t>文山區</w:t>
                            </w:r>
                          </w:p>
                        </w:tc>
                        <w:tc>
                          <w:tcPr>
                            <w:tcW w:w="2385" w:type="dxa"/>
                            <w:tcBorders>
                              <w:top w:val="single" w:sz="4" w:space="0" w:color="auto"/>
                              <w:left w:val="single" w:sz="4" w:space="0" w:color="auto"/>
                              <w:bottom w:val="single" w:sz="4" w:space="0" w:color="auto"/>
                              <w:right w:val="single" w:sz="4" w:space="0" w:color="auto"/>
                            </w:tcBorders>
                            <w:vAlign w:val="center"/>
                            <w:hideMark/>
                          </w:tcPr>
                          <w:p w14:paraId="48A6FDFB"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老泉養生休閒農場</w:t>
                            </w:r>
                          </w:p>
                          <w:p w14:paraId="496A627F" w14:textId="77777777" w:rsidR="007351A0" w:rsidRDefault="007351A0" w:rsidP="008B1FB5">
                            <w:pPr>
                              <w:spacing w:line="260" w:lineRule="exact"/>
                              <w:jc w:val="both"/>
                              <w:rPr>
                                <w:rFonts w:ascii="標楷體" w:eastAsia="標楷體" w:hAnsi="標楷體"/>
                              </w:rPr>
                            </w:pPr>
                            <w:proofErr w:type="gramStart"/>
                            <w:r>
                              <w:rPr>
                                <w:rFonts w:ascii="標楷體" w:eastAsia="標楷體" w:hAnsi="標楷體" w:hint="eastAsia"/>
                              </w:rPr>
                              <w:t>慈音山莊</w:t>
                            </w:r>
                            <w:proofErr w:type="gramEnd"/>
                            <w:r>
                              <w:rPr>
                                <w:rFonts w:ascii="標楷體" w:eastAsia="標楷體" w:hAnsi="標楷體" w:hint="eastAsia"/>
                              </w:rPr>
                              <w:t>休閒農場</w:t>
                            </w:r>
                          </w:p>
                          <w:p w14:paraId="11517396"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杏花林休閒農場</w:t>
                            </w:r>
                          </w:p>
                        </w:tc>
                        <w:tc>
                          <w:tcPr>
                            <w:tcW w:w="1880" w:type="dxa"/>
                            <w:tcBorders>
                              <w:top w:val="single" w:sz="4" w:space="0" w:color="auto"/>
                              <w:left w:val="single" w:sz="4" w:space="0" w:color="auto"/>
                              <w:bottom w:val="single" w:sz="4" w:space="0" w:color="auto"/>
                              <w:right w:val="single" w:sz="4" w:space="0" w:color="auto"/>
                            </w:tcBorders>
                          </w:tcPr>
                          <w:p w14:paraId="7CCC05F9" w14:textId="77777777" w:rsidR="007351A0" w:rsidRDefault="007351A0">
                            <w:pPr>
                              <w:spacing w:line="240" w:lineRule="exact"/>
                              <w:rPr>
                                <w:rFonts w:ascii="標楷體" w:eastAsia="標楷體" w:hAnsi="標楷體"/>
                              </w:rPr>
                            </w:pPr>
                          </w:p>
                        </w:tc>
                      </w:tr>
                      <w:tr w:rsidR="007351A0" w14:paraId="48AD98A8" w14:textId="77777777" w:rsidTr="008B1FB5">
                        <w:tc>
                          <w:tcPr>
                            <w:tcW w:w="1405" w:type="dxa"/>
                            <w:tcBorders>
                              <w:top w:val="single" w:sz="4" w:space="0" w:color="auto"/>
                              <w:left w:val="single" w:sz="4" w:space="0" w:color="auto"/>
                              <w:bottom w:val="single" w:sz="4" w:space="0" w:color="auto"/>
                              <w:right w:val="single" w:sz="4" w:space="0" w:color="auto"/>
                            </w:tcBorders>
                            <w:vAlign w:val="center"/>
                            <w:hideMark/>
                          </w:tcPr>
                          <w:p w14:paraId="4B4AE0D9" w14:textId="77777777" w:rsidR="007351A0" w:rsidRDefault="007351A0">
                            <w:pPr>
                              <w:spacing w:line="240" w:lineRule="exact"/>
                              <w:jc w:val="center"/>
                              <w:rPr>
                                <w:rFonts w:ascii="標楷體" w:eastAsia="標楷體" w:hAnsi="標楷體"/>
                              </w:rPr>
                            </w:pPr>
                            <w:r>
                              <w:rPr>
                                <w:rFonts w:ascii="標楷體" w:eastAsia="標楷體" w:hAnsi="標楷體" w:hint="eastAsia"/>
                              </w:rPr>
                              <w:t>士林區</w:t>
                            </w:r>
                          </w:p>
                        </w:tc>
                        <w:tc>
                          <w:tcPr>
                            <w:tcW w:w="2385" w:type="dxa"/>
                            <w:tcBorders>
                              <w:top w:val="single" w:sz="4" w:space="0" w:color="auto"/>
                              <w:left w:val="single" w:sz="4" w:space="0" w:color="auto"/>
                              <w:bottom w:val="single" w:sz="4" w:space="0" w:color="auto"/>
                              <w:right w:val="single" w:sz="4" w:space="0" w:color="auto"/>
                            </w:tcBorders>
                            <w:vAlign w:val="center"/>
                            <w:hideMark/>
                          </w:tcPr>
                          <w:p w14:paraId="12A0C258"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福田園教育休閒農場</w:t>
                            </w:r>
                          </w:p>
                          <w:p w14:paraId="3C4C77D2" w14:textId="77777777" w:rsidR="007351A0" w:rsidRDefault="007351A0" w:rsidP="008B1FB5">
                            <w:pPr>
                              <w:spacing w:line="260" w:lineRule="exact"/>
                              <w:jc w:val="both"/>
                              <w:rPr>
                                <w:rFonts w:ascii="標楷體" w:eastAsia="標楷體" w:hAnsi="標楷體"/>
                              </w:rPr>
                            </w:pPr>
                            <w:proofErr w:type="gramStart"/>
                            <w:r>
                              <w:rPr>
                                <w:rFonts w:ascii="標楷體" w:eastAsia="標楷體" w:hAnsi="標楷體" w:hint="eastAsia"/>
                              </w:rPr>
                              <w:t>梅居休閒</w:t>
                            </w:r>
                            <w:proofErr w:type="gramEnd"/>
                            <w:r>
                              <w:rPr>
                                <w:rFonts w:ascii="標楷體" w:eastAsia="標楷體" w:hAnsi="標楷體" w:hint="eastAsia"/>
                              </w:rPr>
                              <w:t>農場</w:t>
                            </w:r>
                          </w:p>
                          <w:p w14:paraId="5C9D8290"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日月滿休閒農場</w:t>
                            </w:r>
                          </w:p>
                        </w:tc>
                        <w:tc>
                          <w:tcPr>
                            <w:tcW w:w="1880" w:type="dxa"/>
                            <w:tcBorders>
                              <w:top w:val="single" w:sz="4" w:space="0" w:color="auto"/>
                              <w:left w:val="single" w:sz="4" w:space="0" w:color="auto"/>
                              <w:bottom w:val="single" w:sz="4" w:space="0" w:color="auto"/>
                              <w:right w:val="single" w:sz="4" w:space="0" w:color="auto"/>
                            </w:tcBorders>
                            <w:hideMark/>
                          </w:tcPr>
                          <w:p w14:paraId="21A6AEE6" w14:textId="77777777" w:rsidR="007351A0" w:rsidRDefault="007351A0">
                            <w:pPr>
                              <w:spacing w:line="240" w:lineRule="exact"/>
                              <w:jc w:val="center"/>
                              <w:rPr>
                                <w:rFonts w:ascii="標楷體" w:eastAsia="標楷體" w:hAnsi="標楷體"/>
                                <w:sz w:val="22"/>
                              </w:rPr>
                            </w:pPr>
                            <w:r>
                              <w:rPr>
                                <w:rFonts w:ascii="標楷體" w:eastAsia="標楷體" w:hAnsi="標楷體"/>
                                <w:sz w:val="22"/>
                              </w:rPr>
                              <w:sym w:font="Wingdings" w:char="F0FC"/>
                            </w:r>
                          </w:p>
                          <w:p w14:paraId="12906634" w14:textId="77777777" w:rsidR="007351A0" w:rsidRDefault="007351A0">
                            <w:pPr>
                              <w:spacing w:line="240" w:lineRule="exact"/>
                              <w:jc w:val="center"/>
                              <w:rPr>
                                <w:rFonts w:ascii="標楷體" w:eastAsia="標楷體" w:hAnsi="標楷體"/>
                              </w:rPr>
                            </w:pPr>
                            <w:r>
                              <w:rPr>
                                <w:rFonts w:ascii="標楷體" w:eastAsia="標楷體" w:hAnsi="標楷體"/>
                                <w:sz w:val="22"/>
                              </w:rPr>
                              <w:sym w:font="Wingdings" w:char="F0FC"/>
                            </w:r>
                          </w:p>
                        </w:tc>
                      </w:tr>
                      <w:tr w:rsidR="007351A0" w14:paraId="31887A82" w14:textId="77777777" w:rsidTr="008B1FB5">
                        <w:tc>
                          <w:tcPr>
                            <w:tcW w:w="1405" w:type="dxa"/>
                            <w:tcBorders>
                              <w:top w:val="single" w:sz="4" w:space="0" w:color="auto"/>
                              <w:left w:val="single" w:sz="4" w:space="0" w:color="auto"/>
                              <w:bottom w:val="single" w:sz="4" w:space="0" w:color="auto"/>
                              <w:right w:val="single" w:sz="4" w:space="0" w:color="auto"/>
                            </w:tcBorders>
                            <w:vAlign w:val="center"/>
                            <w:hideMark/>
                          </w:tcPr>
                          <w:p w14:paraId="46C62E9C" w14:textId="77777777" w:rsidR="007351A0" w:rsidRDefault="007351A0">
                            <w:pPr>
                              <w:spacing w:line="240" w:lineRule="exact"/>
                              <w:jc w:val="center"/>
                              <w:rPr>
                                <w:rFonts w:ascii="標楷體" w:eastAsia="標楷體" w:hAnsi="標楷體"/>
                              </w:rPr>
                            </w:pPr>
                            <w:r>
                              <w:rPr>
                                <w:rFonts w:ascii="標楷體" w:eastAsia="標楷體" w:hAnsi="標楷體" w:hint="eastAsia"/>
                              </w:rPr>
                              <w:t>內湖區</w:t>
                            </w:r>
                          </w:p>
                        </w:tc>
                        <w:tc>
                          <w:tcPr>
                            <w:tcW w:w="2385" w:type="dxa"/>
                            <w:tcBorders>
                              <w:top w:val="single" w:sz="4" w:space="0" w:color="auto"/>
                              <w:left w:val="single" w:sz="4" w:space="0" w:color="auto"/>
                              <w:bottom w:val="single" w:sz="4" w:space="0" w:color="auto"/>
                              <w:right w:val="single" w:sz="4" w:space="0" w:color="auto"/>
                            </w:tcBorders>
                            <w:vAlign w:val="center"/>
                            <w:hideMark/>
                          </w:tcPr>
                          <w:p w14:paraId="3BF6FEBF"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白石森活休閒農場</w:t>
                            </w:r>
                          </w:p>
                          <w:p w14:paraId="0D97CAB1"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清香休閒農場</w:t>
                            </w:r>
                          </w:p>
                          <w:p w14:paraId="1347B1F5"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鄉村休閒農場</w:t>
                            </w:r>
                          </w:p>
                        </w:tc>
                        <w:tc>
                          <w:tcPr>
                            <w:tcW w:w="1880" w:type="dxa"/>
                            <w:tcBorders>
                              <w:top w:val="single" w:sz="4" w:space="0" w:color="auto"/>
                              <w:left w:val="single" w:sz="4" w:space="0" w:color="auto"/>
                              <w:bottom w:val="single" w:sz="4" w:space="0" w:color="auto"/>
                              <w:right w:val="single" w:sz="4" w:space="0" w:color="auto"/>
                            </w:tcBorders>
                            <w:hideMark/>
                          </w:tcPr>
                          <w:p w14:paraId="4082CCAF" w14:textId="77777777" w:rsidR="007351A0" w:rsidRDefault="007351A0">
                            <w:pPr>
                              <w:spacing w:line="240" w:lineRule="exact"/>
                              <w:jc w:val="center"/>
                              <w:rPr>
                                <w:rFonts w:ascii="標楷體" w:eastAsia="標楷體" w:hAnsi="標楷體"/>
                                <w:sz w:val="22"/>
                              </w:rPr>
                            </w:pPr>
                            <w:r>
                              <w:rPr>
                                <w:rFonts w:ascii="標楷體" w:eastAsia="標楷體" w:hAnsi="標楷體"/>
                                <w:sz w:val="22"/>
                              </w:rPr>
                              <w:sym w:font="Wingdings" w:char="F0FC"/>
                            </w:r>
                          </w:p>
                          <w:p w14:paraId="74F336C1" w14:textId="77777777" w:rsidR="007351A0" w:rsidRDefault="007351A0">
                            <w:pPr>
                              <w:spacing w:line="240" w:lineRule="exact"/>
                              <w:jc w:val="center"/>
                              <w:rPr>
                                <w:rFonts w:ascii="標楷體" w:eastAsia="標楷體" w:hAnsi="標楷體"/>
                              </w:rPr>
                            </w:pPr>
                            <w:r>
                              <w:rPr>
                                <w:rFonts w:ascii="標楷體" w:eastAsia="標楷體" w:hAnsi="標楷體"/>
                                <w:sz w:val="22"/>
                              </w:rPr>
                              <w:sym w:font="Wingdings" w:char="F0FC"/>
                            </w:r>
                          </w:p>
                        </w:tc>
                      </w:tr>
                      <w:tr w:rsidR="007351A0" w14:paraId="661F389A" w14:textId="77777777" w:rsidTr="008B1FB5">
                        <w:tc>
                          <w:tcPr>
                            <w:tcW w:w="1405" w:type="dxa"/>
                            <w:tcBorders>
                              <w:top w:val="single" w:sz="4" w:space="0" w:color="auto"/>
                              <w:left w:val="single" w:sz="4" w:space="0" w:color="auto"/>
                              <w:bottom w:val="single" w:sz="4" w:space="0" w:color="auto"/>
                              <w:right w:val="single" w:sz="4" w:space="0" w:color="auto"/>
                            </w:tcBorders>
                            <w:vAlign w:val="center"/>
                            <w:hideMark/>
                          </w:tcPr>
                          <w:p w14:paraId="5BD09262" w14:textId="77777777" w:rsidR="007351A0" w:rsidRDefault="007351A0">
                            <w:pPr>
                              <w:spacing w:line="240" w:lineRule="exact"/>
                              <w:jc w:val="center"/>
                              <w:rPr>
                                <w:rFonts w:ascii="標楷體" w:eastAsia="標楷體" w:hAnsi="標楷體"/>
                              </w:rPr>
                            </w:pPr>
                            <w:r>
                              <w:rPr>
                                <w:rFonts w:ascii="標楷體" w:eastAsia="標楷體" w:hAnsi="標楷體" w:hint="eastAsia"/>
                              </w:rPr>
                              <w:t>北投區</w:t>
                            </w:r>
                          </w:p>
                        </w:tc>
                        <w:tc>
                          <w:tcPr>
                            <w:tcW w:w="2385" w:type="dxa"/>
                            <w:tcBorders>
                              <w:top w:val="single" w:sz="4" w:space="0" w:color="auto"/>
                              <w:left w:val="single" w:sz="4" w:space="0" w:color="auto"/>
                              <w:bottom w:val="single" w:sz="4" w:space="0" w:color="auto"/>
                              <w:right w:val="single" w:sz="4" w:space="0" w:color="auto"/>
                            </w:tcBorders>
                            <w:vAlign w:val="center"/>
                            <w:hideMark/>
                          </w:tcPr>
                          <w:p w14:paraId="6B8CAC8A"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二</w:t>
                            </w:r>
                            <w:proofErr w:type="gramStart"/>
                            <w:r>
                              <w:rPr>
                                <w:rFonts w:ascii="標楷體" w:eastAsia="標楷體" w:hAnsi="標楷體" w:hint="eastAsia"/>
                              </w:rPr>
                              <w:t>崎</w:t>
                            </w:r>
                            <w:proofErr w:type="gramEnd"/>
                            <w:r>
                              <w:rPr>
                                <w:rFonts w:ascii="標楷體" w:eastAsia="標楷體" w:hAnsi="標楷體" w:hint="eastAsia"/>
                              </w:rPr>
                              <w:t>生態休閒農場</w:t>
                            </w:r>
                          </w:p>
                          <w:p w14:paraId="0EC41C67" w14:textId="77777777" w:rsidR="007351A0" w:rsidRDefault="007351A0" w:rsidP="008B1FB5">
                            <w:pPr>
                              <w:spacing w:line="260" w:lineRule="exact"/>
                              <w:jc w:val="both"/>
                              <w:rPr>
                                <w:rFonts w:ascii="標楷體" w:eastAsia="標楷體" w:hAnsi="標楷體"/>
                              </w:rPr>
                            </w:pPr>
                            <w:r>
                              <w:rPr>
                                <w:rFonts w:ascii="標楷體" w:eastAsia="標楷體" w:hAnsi="標楷體" w:hint="eastAsia"/>
                              </w:rPr>
                              <w:t>柏泰園休閒農場</w:t>
                            </w:r>
                          </w:p>
                        </w:tc>
                        <w:tc>
                          <w:tcPr>
                            <w:tcW w:w="1880" w:type="dxa"/>
                            <w:tcBorders>
                              <w:top w:val="single" w:sz="4" w:space="0" w:color="auto"/>
                              <w:left w:val="single" w:sz="4" w:space="0" w:color="auto"/>
                              <w:bottom w:val="single" w:sz="4" w:space="0" w:color="auto"/>
                              <w:right w:val="single" w:sz="4" w:space="0" w:color="auto"/>
                            </w:tcBorders>
                          </w:tcPr>
                          <w:p w14:paraId="14824F0C" w14:textId="77777777" w:rsidR="007351A0" w:rsidRDefault="007351A0">
                            <w:pPr>
                              <w:spacing w:line="240" w:lineRule="exact"/>
                              <w:rPr>
                                <w:rFonts w:ascii="標楷體" w:eastAsia="標楷體" w:hAnsi="標楷體"/>
                              </w:rPr>
                            </w:pPr>
                          </w:p>
                        </w:tc>
                      </w:tr>
                    </w:tbl>
                    <w:p w14:paraId="56CB6374" w14:textId="77777777" w:rsidR="007351A0" w:rsidRDefault="007351A0" w:rsidP="007351A0">
                      <w:pPr>
                        <w:spacing w:line="240" w:lineRule="exact"/>
                        <w:jc w:val="both"/>
                        <w:rPr>
                          <w:rFonts w:ascii="標楷體" w:eastAsia="標楷體" w:hAnsi="標楷體"/>
                          <w:sz w:val="18"/>
                          <w:szCs w:val="18"/>
                        </w:rPr>
                      </w:pPr>
                      <w:r>
                        <w:rPr>
                          <w:rFonts w:ascii="標楷體" w:eastAsia="標楷體" w:hAnsi="標楷體" w:hint="eastAsia"/>
                          <w:sz w:val="18"/>
                          <w:szCs w:val="18"/>
                        </w:rPr>
                        <w:t>資料來源：整理自產業發展局提供資料。</w:t>
                      </w:r>
                    </w:p>
                  </w:txbxContent>
                </v:textbox>
                <w10:wrap type="square" anchorx="margin" anchory="margin"/>
              </v:shape>
            </w:pict>
          </mc:Fallback>
        </mc:AlternateContent>
      </w:r>
      <w:r>
        <w:rPr>
          <w:rFonts w:ascii="標楷體" w:eastAsia="標楷體" w:hAnsi="標楷體" w:cs="Times New Roman" w:hint="eastAsia"/>
          <w:kern w:val="0"/>
          <w:szCs w:val="24"/>
        </w:rPr>
        <w:t>產業發展局為優化休閒農業體驗環境，辦理休閒農場相關查核及輔導工作，並依農業部所訂</w:t>
      </w:r>
      <w:proofErr w:type="gramStart"/>
      <w:r>
        <w:rPr>
          <w:rFonts w:ascii="標楷體" w:eastAsia="標楷體" w:hAnsi="標楷體" w:cs="Times New Roman" w:hint="eastAsia"/>
          <w:kern w:val="0"/>
          <w:szCs w:val="24"/>
        </w:rPr>
        <w:t>113</w:t>
      </w:r>
      <w:proofErr w:type="gramEnd"/>
      <w:r>
        <w:rPr>
          <w:rFonts w:ascii="標楷體" w:eastAsia="標楷體" w:hAnsi="標楷體" w:cs="Times New Roman" w:hint="eastAsia"/>
          <w:kern w:val="0"/>
          <w:szCs w:val="24"/>
        </w:rPr>
        <w:t>年度休閒農場查核及輔導管理計畫（下稱管理計畫）</w:t>
      </w:r>
      <w:proofErr w:type="gramStart"/>
      <w:r>
        <w:rPr>
          <w:rFonts w:ascii="標楷體" w:eastAsia="標楷體" w:hAnsi="標楷體" w:cs="Times New Roman" w:hint="eastAsia"/>
          <w:kern w:val="0"/>
          <w:szCs w:val="24"/>
        </w:rPr>
        <w:t>研</w:t>
      </w:r>
      <w:proofErr w:type="gramEnd"/>
      <w:r>
        <w:rPr>
          <w:rFonts w:ascii="標楷體" w:eastAsia="標楷體" w:hAnsi="標楷體" w:cs="Times New Roman" w:hint="eastAsia"/>
          <w:kern w:val="0"/>
          <w:szCs w:val="24"/>
        </w:rPr>
        <w:t>提原則，擬定臺北市管理計畫，計畫預算30萬餘元，執行數28萬餘元。</w:t>
      </w:r>
      <w:r>
        <w:rPr>
          <w:rFonts w:ascii="標楷體" w:eastAsia="標楷體" w:hAnsi="標楷體" w:hint="eastAsia"/>
          <w:kern w:val="0"/>
        </w:rPr>
        <w:t>經查休閒農場之管理及輔導情形，核有：</w:t>
      </w:r>
      <w:r>
        <w:rPr>
          <w:rFonts w:ascii="標楷體" w:eastAsia="標楷體" w:hAnsi="標楷體" w:cs="Times New Roman" w:hint="eastAsia"/>
          <w:kern w:val="0"/>
          <w:szCs w:val="24"/>
        </w:rPr>
        <w:t>1.行政院農業委員會（112年8月改制為農業部）自</w:t>
      </w:r>
      <w:proofErr w:type="gramStart"/>
      <w:r>
        <w:rPr>
          <w:rFonts w:ascii="標楷體" w:eastAsia="標楷體" w:hAnsi="標楷體" w:cs="Times New Roman" w:hint="eastAsia"/>
          <w:kern w:val="0"/>
          <w:szCs w:val="24"/>
        </w:rPr>
        <w:t>108</w:t>
      </w:r>
      <w:proofErr w:type="gramEnd"/>
      <w:r>
        <w:rPr>
          <w:rFonts w:ascii="標楷體" w:eastAsia="標楷體" w:hAnsi="標楷體" w:cs="Times New Roman" w:hint="eastAsia"/>
          <w:kern w:val="0"/>
          <w:szCs w:val="24"/>
        </w:rPr>
        <w:t>年度推動特色農業旅遊場域認證制度，以農業特色為核心建構識別認證，強調以農業為主題之旅遊體驗場域，鼓勵業者精進服務品質，創造</w:t>
      </w:r>
      <w:proofErr w:type="gramStart"/>
      <w:r>
        <w:rPr>
          <w:rFonts w:ascii="標楷體" w:eastAsia="標楷體" w:hAnsi="標楷體" w:cs="Times New Roman" w:hint="eastAsia"/>
          <w:kern w:val="0"/>
          <w:szCs w:val="24"/>
        </w:rPr>
        <w:t>多元農遊體驗</w:t>
      </w:r>
      <w:proofErr w:type="gramEnd"/>
      <w:r>
        <w:rPr>
          <w:rFonts w:ascii="標楷體" w:eastAsia="標楷體" w:hAnsi="標楷體" w:cs="Times New Roman" w:hint="eastAsia"/>
          <w:kern w:val="0"/>
          <w:szCs w:val="24"/>
        </w:rPr>
        <w:t>，並與台灣休閒農業發展協會共同合作推行認證。據農業部農業易遊網公開資訊載列，截至113年11月底止，全國通過特色農業旅遊場域認證之業者共計100家，其中屬臺北市轄內之休閒農場，僅士林區福田園教育、</w:t>
      </w:r>
      <w:proofErr w:type="gramStart"/>
      <w:r>
        <w:rPr>
          <w:rFonts w:ascii="標楷體" w:eastAsia="標楷體" w:hAnsi="標楷體" w:cs="Times New Roman" w:hint="eastAsia"/>
          <w:kern w:val="0"/>
          <w:szCs w:val="24"/>
        </w:rPr>
        <w:t>梅居及</w:t>
      </w:r>
      <w:proofErr w:type="gramEnd"/>
      <w:r>
        <w:rPr>
          <w:rFonts w:ascii="標楷體" w:eastAsia="標楷體" w:hAnsi="標楷體" w:cs="Times New Roman" w:hint="eastAsia"/>
          <w:kern w:val="0"/>
          <w:szCs w:val="24"/>
        </w:rPr>
        <w:t>內湖區白石森活、清香等4家休閒農場，通過比率</w:t>
      </w:r>
      <w:proofErr w:type="gramStart"/>
      <w:r>
        <w:rPr>
          <w:rFonts w:ascii="標楷體" w:eastAsia="標楷體" w:hAnsi="標楷體" w:cs="Times New Roman" w:hint="eastAsia"/>
          <w:kern w:val="0"/>
          <w:szCs w:val="24"/>
        </w:rPr>
        <w:t>僅占轄內</w:t>
      </w:r>
      <w:proofErr w:type="gramEnd"/>
      <w:r>
        <w:rPr>
          <w:rFonts w:ascii="標楷體" w:eastAsia="標楷體" w:hAnsi="標楷體" w:cs="Times New Roman" w:hint="eastAsia"/>
          <w:kern w:val="0"/>
          <w:szCs w:val="24"/>
        </w:rPr>
        <w:t>11家休閒農場（表1）之36.36％，認證家數仍待提升；2</w:t>
      </w:r>
      <w:r>
        <w:rPr>
          <w:rFonts w:ascii="標楷體" w:eastAsia="標楷體" w:hAnsi="標楷體" w:hint="eastAsia"/>
          <w:kern w:val="0"/>
        </w:rPr>
        <w:t>.依公共場所必要緊急救護設備管理辦法第4條規定，公共場所應於設置自動體外心臟電擊</w:t>
      </w:r>
      <w:proofErr w:type="gramStart"/>
      <w:r>
        <w:rPr>
          <w:rFonts w:ascii="標楷體" w:eastAsia="標楷體" w:hAnsi="標楷體" w:hint="eastAsia"/>
          <w:kern w:val="0"/>
        </w:rPr>
        <w:t>去顫器</w:t>
      </w:r>
      <w:proofErr w:type="gramEnd"/>
      <w:r>
        <w:rPr>
          <w:rFonts w:ascii="標楷體" w:eastAsia="標楷體" w:hAnsi="標楷體" w:hint="eastAsia"/>
          <w:kern w:val="0"/>
        </w:rPr>
        <w:t>（Automated External Defibrillator，下稱AED）之日起7日內，至中央衛生主管機關指定之資料庫進行登錄，</w:t>
      </w:r>
      <w:r>
        <w:rPr>
          <w:rFonts w:ascii="標楷體" w:eastAsia="標楷體" w:hAnsi="標楷體" w:cs="Times New Roman" w:hint="eastAsia"/>
          <w:kern w:val="0"/>
          <w:szCs w:val="24"/>
        </w:rPr>
        <w:t>截至113年11月底止，臺北市轄內經許可設置之休閒農場計11家，其中文山區老泉養生</w:t>
      </w:r>
      <w:proofErr w:type="gramStart"/>
      <w:r>
        <w:rPr>
          <w:rFonts w:ascii="標楷體" w:eastAsia="標楷體" w:hAnsi="標楷體" w:cs="Times New Roman" w:hint="eastAsia"/>
          <w:kern w:val="0"/>
          <w:szCs w:val="24"/>
        </w:rPr>
        <w:t>及慈音山莊</w:t>
      </w:r>
      <w:proofErr w:type="gramEnd"/>
      <w:r>
        <w:rPr>
          <w:rFonts w:ascii="標楷體" w:eastAsia="標楷體" w:hAnsi="標楷體" w:cs="Times New Roman" w:hint="eastAsia"/>
          <w:kern w:val="0"/>
          <w:szCs w:val="24"/>
        </w:rPr>
        <w:t>等2家休閒農場，依其休閒農場許可登記證所載，獲核准休閒農業設施項目具餐飲設施，應依規定設置AED，並將資料登錄至衛生福利部建置之公共場所AED急救資訊網，惟截至113年12月2日，該AED急救資訊網，尚查無前揭2家休閒農場設置AED設備資料等情事，經函請注意檢討改善。據復：1.將持續積極輔導休閒農場業者取得特色農業旅遊場域認證，以</w:t>
      </w:r>
      <w:proofErr w:type="gramStart"/>
      <w:r>
        <w:rPr>
          <w:rFonts w:ascii="標楷體" w:eastAsia="標楷體" w:hAnsi="標楷體" w:cs="Times New Roman" w:hint="eastAsia"/>
          <w:kern w:val="0"/>
          <w:szCs w:val="24"/>
        </w:rPr>
        <w:t>提升農遊相關</w:t>
      </w:r>
      <w:proofErr w:type="gramEnd"/>
      <w:r>
        <w:rPr>
          <w:rFonts w:ascii="標楷體" w:eastAsia="標楷體" w:hAnsi="標楷體" w:cs="Times New Roman" w:hint="eastAsia"/>
          <w:kern w:val="0"/>
          <w:szCs w:val="24"/>
        </w:rPr>
        <w:t>服務品質；2.將督促業者儘速於衛生福利部建置之公共場所AED急救資訊網登錄AED設置使用情形，以保障遊客生命安全。</w:t>
      </w:r>
    </w:p>
    <w:p w14:paraId="4A9CC6F6" w14:textId="77777777" w:rsidR="007351A0" w:rsidRDefault="007351A0" w:rsidP="00952B4A">
      <w:pPr>
        <w:widowControl/>
        <w:suppressAutoHyphens/>
        <w:overflowPunct w:val="0"/>
        <w:spacing w:beforeLines="50" w:before="180" w:line="47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（五）為活絡東區商圈發展，結合大巨蛋賽事活動，募集逾百間特約店家提供優惠並派發商圈折抵</w:t>
      </w:r>
      <w:proofErr w:type="gramStart"/>
      <w:r>
        <w:rPr>
          <w:rFonts w:ascii="標楷體" w:eastAsia="標楷體" w:hAnsi="Times New Roman" w:cs="Times New Roman" w:hint="eastAsia"/>
          <w:b/>
          <w:sz w:val="28"/>
          <w:szCs w:val="28"/>
        </w:rPr>
        <w:t>券</w:t>
      </w:r>
      <w:proofErr w:type="gramEnd"/>
      <w:r>
        <w:rPr>
          <w:rFonts w:ascii="標楷體" w:eastAsia="標楷體" w:hAnsi="Times New Roman" w:cs="Times New Roman" w:hint="eastAsia"/>
          <w:b/>
          <w:sz w:val="28"/>
          <w:szCs w:val="28"/>
        </w:rPr>
        <w:t>，</w:t>
      </w:r>
      <w:proofErr w:type="gramStart"/>
      <w:r>
        <w:rPr>
          <w:rFonts w:ascii="標楷體" w:eastAsia="標楷體" w:hAnsi="Times New Roman" w:cs="Times New Roman" w:hint="eastAsia"/>
          <w:b/>
          <w:sz w:val="28"/>
          <w:szCs w:val="28"/>
        </w:rPr>
        <w:t>惟觀賽</w:t>
      </w:r>
      <w:proofErr w:type="gramEnd"/>
      <w:r>
        <w:rPr>
          <w:rFonts w:ascii="標楷體" w:eastAsia="標楷體" w:hAnsi="Times New Roman" w:cs="Times New Roman" w:hint="eastAsia"/>
          <w:b/>
          <w:sz w:val="28"/>
          <w:szCs w:val="28"/>
        </w:rPr>
        <w:t>民眾整體參與率低，促進商圈經濟成效未如預期，</w:t>
      </w:r>
      <w:proofErr w:type="gramStart"/>
      <w:r>
        <w:rPr>
          <w:rFonts w:ascii="標楷體" w:eastAsia="標楷體" w:hAnsi="Times New Roman" w:cs="Times New Roman" w:hint="eastAsia"/>
          <w:b/>
          <w:sz w:val="28"/>
          <w:szCs w:val="28"/>
        </w:rPr>
        <w:t>允待深入</w:t>
      </w:r>
      <w:proofErr w:type="gramEnd"/>
      <w:r>
        <w:rPr>
          <w:rFonts w:ascii="標楷體" w:eastAsia="標楷體" w:hAnsi="Times New Roman" w:cs="Times New Roman" w:hint="eastAsia"/>
          <w:b/>
          <w:sz w:val="28"/>
          <w:szCs w:val="28"/>
        </w:rPr>
        <w:t>瞭解原因據以</w:t>
      </w:r>
      <w:proofErr w:type="gramStart"/>
      <w:r>
        <w:rPr>
          <w:rFonts w:ascii="標楷體" w:eastAsia="標楷體" w:hAnsi="Times New Roman" w:cs="Times New Roman" w:hint="eastAsia"/>
          <w:b/>
          <w:sz w:val="28"/>
          <w:szCs w:val="28"/>
        </w:rPr>
        <w:t>研謀善策，俾</w:t>
      </w:r>
      <w:proofErr w:type="gramEnd"/>
      <w:r>
        <w:rPr>
          <w:rFonts w:ascii="標楷體" w:eastAsia="標楷體" w:hAnsi="Times New Roman" w:cs="Times New Roman" w:hint="eastAsia"/>
          <w:b/>
          <w:sz w:val="28"/>
          <w:szCs w:val="28"/>
        </w:rPr>
        <w:t>達成活動效益。</w:t>
      </w:r>
    </w:p>
    <w:p w14:paraId="7B89A235" w14:textId="7FD7E0F4" w:rsidR="007351A0" w:rsidRDefault="007351A0" w:rsidP="007351A0">
      <w:pPr>
        <w:widowControl/>
        <w:overflowPunct w:val="0"/>
        <w:spacing w:line="420" w:lineRule="exact"/>
        <w:ind w:firstLineChars="210" w:firstLine="504"/>
        <w:jc w:val="both"/>
        <w:rPr>
          <w:rFonts w:ascii="標楷體" w:eastAsia="標楷體" w:hAnsi="標楷體"/>
          <w:kern w:val="0"/>
        </w:rPr>
      </w:pPr>
      <w:r>
        <w:rPr>
          <w:rFonts w:hint="eastAsia"/>
          <w:noProof/>
        </w:rPr>
        <w:lastRenderedPageBreak/>
        <mc:AlternateContent>
          <mc:Choice Requires="wps">
            <w:drawing>
              <wp:anchor distT="45720" distB="45720" distL="114300" distR="114300" simplePos="0" relativeHeight="251707392" behindDoc="0" locked="0" layoutInCell="1" allowOverlap="1" wp14:anchorId="42015B3B" wp14:editId="5A51AB27">
                <wp:simplePos x="0" y="0"/>
                <wp:positionH relativeFrom="margin">
                  <wp:posOffset>-45349</wp:posOffset>
                </wp:positionH>
                <wp:positionV relativeFrom="paragraph">
                  <wp:posOffset>4053205</wp:posOffset>
                </wp:positionV>
                <wp:extent cx="6454140" cy="2625725"/>
                <wp:effectExtent l="0" t="0" r="0" b="3175"/>
                <wp:wrapSquare wrapText="bothSides"/>
                <wp:docPr id="40" name="文字方塊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4140" cy="2625725"/>
                        </a:xfrm>
                        <a:prstGeom prst="rect">
                          <a:avLst/>
                        </a:prstGeom>
                        <a:noFill/>
                        <a:ln w="9525">
                          <a:noFill/>
                          <a:miter lim="800000"/>
                          <a:headEnd/>
                          <a:tailEnd/>
                        </a:ln>
                      </wps:spPr>
                      <wps:txbx>
                        <w:txbxContent>
                          <w:tbl>
                            <w:tblPr>
                              <w:tblW w:w="4916" w:type="pct"/>
                              <w:tblCellMar>
                                <w:left w:w="28" w:type="dxa"/>
                                <w:right w:w="28" w:type="dxa"/>
                              </w:tblCellMar>
                              <w:tblLook w:val="04A0" w:firstRow="1" w:lastRow="0" w:firstColumn="1" w:lastColumn="0" w:noHBand="0" w:noVBand="1"/>
                            </w:tblPr>
                            <w:tblGrid>
                              <w:gridCol w:w="1431"/>
                              <w:gridCol w:w="480"/>
                              <w:gridCol w:w="903"/>
                              <w:gridCol w:w="798"/>
                              <w:gridCol w:w="903"/>
                              <w:gridCol w:w="557"/>
                              <w:gridCol w:w="837"/>
                              <w:gridCol w:w="554"/>
                              <w:gridCol w:w="691"/>
                              <w:gridCol w:w="550"/>
                              <w:gridCol w:w="546"/>
                              <w:gridCol w:w="684"/>
                              <w:gridCol w:w="777"/>
                            </w:tblGrid>
                            <w:tr w:rsidR="007351A0" w14:paraId="6161B0D2" w14:textId="77777777">
                              <w:trPr>
                                <w:trHeight w:val="318"/>
                              </w:trPr>
                              <w:tc>
                                <w:tcPr>
                                  <w:tcW w:w="5000" w:type="pct"/>
                                  <w:gridSpan w:val="13"/>
                                  <w:noWrap/>
                                  <w:vAlign w:val="bottom"/>
                                  <w:hideMark/>
                                </w:tcPr>
                                <w:p w14:paraId="20D68965" w14:textId="77777777" w:rsidR="007351A0" w:rsidRDefault="007351A0">
                                  <w:pPr>
                                    <w:widowControl/>
                                    <w:jc w:val="center"/>
                                    <w:rPr>
                                      <w:rFonts w:ascii="標楷體" w:eastAsia="標楷體" w:hAnsi="標楷體" w:cs="新細明體"/>
                                      <w:color w:val="000000"/>
                                      <w:kern w:val="0"/>
                                    </w:rPr>
                                  </w:pPr>
                                  <w:bookmarkStart w:id="46" w:name="_Hlk186709830"/>
                                  <w:r>
                                    <w:rPr>
                                      <w:rFonts w:ascii="標楷體" w:eastAsia="標楷體" w:hAnsi="標楷體" w:cs="新細明體" w:hint="eastAsia"/>
                                      <w:b/>
                                      <w:bCs/>
                                      <w:color w:val="000000"/>
                                      <w:kern w:val="0"/>
                                    </w:rPr>
                                    <w:t xml:space="preserve">表2　</w:t>
                                  </w:r>
                                  <w:r>
                                    <w:rPr>
                                      <w:rFonts w:ascii="標楷體" w:eastAsia="標楷體" w:hAnsi="標楷體" w:cs="新細明體" w:hint="eastAsia"/>
                                      <w:b/>
                                      <w:color w:val="000000"/>
                                      <w:kern w:val="0"/>
                                    </w:rPr>
                                    <w:t>店家收</w:t>
                                  </w:r>
                                  <w:proofErr w:type="gramStart"/>
                                  <w:r>
                                    <w:rPr>
                                      <w:rFonts w:ascii="標楷體" w:eastAsia="標楷體" w:hAnsi="標楷體" w:cs="新細明體" w:hint="eastAsia"/>
                                      <w:b/>
                                      <w:color w:val="000000"/>
                                      <w:kern w:val="0"/>
                                    </w:rPr>
                                    <w:t>券</w:t>
                                  </w:r>
                                  <w:proofErr w:type="gramEnd"/>
                                  <w:r>
                                    <w:rPr>
                                      <w:rFonts w:ascii="標楷體" w:eastAsia="標楷體" w:hAnsi="標楷體" w:cs="新細明體" w:hint="eastAsia"/>
                                      <w:b/>
                                      <w:color w:val="000000"/>
                                      <w:kern w:val="0"/>
                                    </w:rPr>
                                    <w:t>經費核銷情形</w:t>
                                  </w:r>
                                </w:p>
                              </w:tc>
                            </w:tr>
                            <w:tr w:rsidR="007351A0" w14:paraId="7498AB09" w14:textId="77777777">
                              <w:trPr>
                                <w:trHeight w:val="318"/>
                              </w:trPr>
                              <w:tc>
                                <w:tcPr>
                                  <w:tcW w:w="5000" w:type="pct"/>
                                  <w:gridSpan w:val="13"/>
                                  <w:noWrap/>
                                  <w:vAlign w:val="bottom"/>
                                  <w:hideMark/>
                                </w:tcPr>
                                <w:p w14:paraId="7BC94CEA" w14:textId="77777777" w:rsidR="007351A0" w:rsidRDefault="007351A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單位：新臺幣元、家數、％</w:t>
                                  </w:r>
                                </w:p>
                              </w:tc>
                            </w:tr>
                            <w:tr w:rsidR="007351A0" w14:paraId="24A95540" w14:textId="77777777">
                              <w:trPr>
                                <w:trHeight w:val="318"/>
                              </w:trPr>
                              <w:tc>
                                <w:tcPr>
                                  <w:tcW w:w="737" w:type="pct"/>
                                  <w:vMerge w:val="restart"/>
                                  <w:tcBorders>
                                    <w:top w:val="single" w:sz="4" w:space="0" w:color="auto"/>
                                    <w:left w:val="single" w:sz="4" w:space="0" w:color="auto"/>
                                    <w:bottom w:val="single" w:sz="4" w:space="0" w:color="auto"/>
                                    <w:right w:val="nil"/>
                                  </w:tcBorders>
                                  <w:noWrap/>
                                  <w:vAlign w:val="center"/>
                                  <w:hideMark/>
                                </w:tcPr>
                                <w:p w14:paraId="1FE66631"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核銷經費</w:t>
                                  </w:r>
                                </w:p>
                                <w:p w14:paraId="64EB2B42"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金額範圍級距</w:t>
                                  </w:r>
                                </w:p>
                              </w:tc>
                              <w:tc>
                                <w:tcPr>
                                  <w:tcW w:w="1588" w:type="pct"/>
                                  <w:gridSpan w:val="4"/>
                                  <w:tcBorders>
                                    <w:top w:val="single" w:sz="4" w:space="0" w:color="auto"/>
                                    <w:left w:val="single" w:sz="4" w:space="0" w:color="auto"/>
                                    <w:bottom w:val="single" w:sz="4" w:space="0" w:color="auto"/>
                                    <w:right w:val="single" w:sz="4" w:space="0" w:color="auto"/>
                                  </w:tcBorders>
                                  <w:noWrap/>
                                  <w:vAlign w:val="bottom"/>
                                  <w:hideMark/>
                                </w:tcPr>
                                <w:p w14:paraId="2CE76B6E"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核銷經費</w:t>
                                  </w:r>
                                </w:p>
                              </w:tc>
                              <w:tc>
                                <w:tcPr>
                                  <w:tcW w:w="718" w:type="pct"/>
                                  <w:gridSpan w:val="2"/>
                                  <w:tcBorders>
                                    <w:top w:val="single" w:sz="4" w:space="0" w:color="auto"/>
                                    <w:left w:val="nil"/>
                                    <w:bottom w:val="single" w:sz="4" w:space="0" w:color="auto"/>
                                    <w:right w:val="single" w:sz="4" w:space="0" w:color="auto"/>
                                  </w:tcBorders>
                                  <w:noWrap/>
                                  <w:vAlign w:val="bottom"/>
                                  <w:hideMark/>
                                </w:tcPr>
                                <w:p w14:paraId="45111661"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美食餐廳</w:t>
                                  </w:r>
                                </w:p>
                              </w:tc>
                              <w:tc>
                                <w:tcPr>
                                  <w:tcW w:w="641" w:type="pct"/>
                                  <w:gridSpan w:val="2"/>
                                  <w:tcBorders>
                                    <w:top w:val="single" w:sz="4" w:space="0" w:color="auto"/>
                                    <w:left w:val="nil"/>
                                    <w:bottom w:val="single" w:sz="4" w:space="0" w:color="auto"/>
                                    <w:right w:val="single" w:sz="4" w:space="0" w:color="auto"/>
                                  </w:tcBorders>
                                  <w:noWrap/>
                                  <w:vAlign w:val="bottom"/>
                                  <w:hideMark/>
                                </w:tcPr>
                                <w:p w14:paraId="3B9462A7"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零售購物</w:t>
                                  </w:r>
                                </w:p>
                              </w:tc>
                              <w:tc>
                                <w:tcPr>
                                  <w:tcW w:w="564" w:type="pct"/>
                                  <w:gridSpan w:val="2"/>
                                  <w:tcBorders>
                                    <w:top w:val="single" w:sz="4" w:space="0" w:color="auto"/>
                                    <w:left w:val="nil"/>
                                    <w:bottom w:val="single" w:sz="4" w:space="0" w:color="auto"/>
                                    <w:right w:val="single" w:sz="4" w:space="0" w:color="auto"/>
                                  </w:tcBorders>
                                  <w:noWrap/>
                                  <w:vAlign w:val="bottom"/>
                                  <w:hideMark/>
                                </w:tcPr>
                                <w:p w14:paraId="46996B39"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休閒娛樂</w:t>
                                  </w:r>
                                </w:p>
                              </w:tc>
                              <w:tc>
                                <w:tcPr>
                                  <w:tcW w:w="752" w:type="pct"/>
                                  <w:gridSpan w:val="2"/>
                                  <w:tcBorders>
                                    <w:top w:val="single" w:sz="4" w:space="0" w:color="auto"/>
                                    <w:left w:val="nil"/>
                                    <w:bottom w:val="single" w:sz="4" w:space="0" w:color="auto"/>
                                    <w:right w:val="single" w:sz="4" w:space="0" w:color="auto"/>
                                  </w:tcBorders>
                                  <w:noWrap/>
                                  <w:vAlign w:val="bottom"/>
                                  <w:hideMark/>
                                </w:tcPr>
                                <w:p w14:paraId="06B33949"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其他</w:t>
                                  </w:r>
                                </w:p>
                              </w:tc>
                            </w:tr>
                            <w:tr w:rsidR="007351A0" w14:paraId="1CF69AAA" w14:textId="77777777">
                              <w:trPr>
                                <w:trHeight w:val="54"/>
                              </w:trPr>
                              <w:tc>
                                <w:tcPr>
                                  <w:tcW w:w="0" w:type="auto"/>
                                  <w:vMerge/>
                                  <w:tcBorders>
                                    <w:top w:val="single" w:sz="4" w:space="0" w:color="auto"/>
                                    <w:left w:val="single" w:sz="4" w:space="0" w:color="auto"/>
                                    <w:bottom w:val="single" w:sz="4" w:space="0" w:color="auto"/>
                                    <w:right w:val="nil"/>
                                  </w:tcBorders>
                                  <w:vAlign w:val="center"/>
                                  <w:hideMark/>
                                </w:tcPr>
                                <w:p w14:paraId="0F3846C7" w14:textId="77777777" w:rsidR="007351A0" w:rsidRDefault="007351A0">
                                  <w:pPr>
                                    <w:widowControl/>
                                    <w:rPr>
                                      <w:rFonts w:ascii="標楷體" w:eastAsia="標楷體" w:hAnsi="標楷體" w:cs="新細明體"/>
                                      <w:color w:val="000000"/>
                                      <w:kern w:val="0"/>
                                      <w:sz w:val="20"/>
                                      <w:szCs w:val="20"/>
                                    </w:rPr>
                                  </w:pPr>
                                </w:p>
                              </w:tc>
                              <w:tc>
                                <w:tcPr>
                                  <w:tcW w:w="247" w:type="pct"/>
                                  <w:tcBorders>
                                    <w:top w:val="nil"/>
                                    <w:left w:val="single" w:sz="4" w:space="0" w:color="auto"/>
                                    <w:bottom w:val="single" w:sz="4" w:space="0" w:color="auto"/>
                                    <w:right w:val="single" w:sz="4" w:space="0" w:color="auto"/>
                                  </w:tcBorders>
                                  <w:noWrap/>
                                  <w:vAlign w:val="center"/>
                                  <w:hideMark/>
                                </w:tcPr>
                                <w:p w14:paraId="7D00018D"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465" w:type="pct"/>
                                  <w:tcBorders>
                                    <w:top w:val="nil"/>
                                    <w:left w:val="nil"/>
                                    <w:bottom w:val="single" w:sz="4" w:space="0" w:color="auto"/>
                                    <w:right w:val="single" w:sz="4" w:space="0" w:color="auto"/>
                                  </w:tcBorders>
                                  <w:noWrap/>
                                  <w:vAlign w:val="center"/>
                                  <w:hideMark/>
                                </w:tcPr>
                                <w:p w14:paraId="04488672"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家數占比</w:t>
                                  </w:r>
                                </w:p>
                              </w:tc>
                              <w:tc>
                                <w:tcPr>
                                  <w:tcW w:w="411" w:type="pct"/>
                                  <w:tcBorders>
                                    <w:top w:val="nil"/>
                                    <w:left w:val="nil"/>
                                    <w:bottom w:val="single" w:sz="4" w:space="0" w:color="auto"/>
                                    <w:right w:val="single" w:sz="4" w:space="0" w:color="auto"/>
                                  </w:tcBorders>
                                  <w:noWrap/>
                                  <w:vAlign w:val="center"/>
                                  <w:hideMark/>
                                </w:tcPr>
                                <w:p w14:paraId="6D5A7F94"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465" w:type="pct"/>
                                  <w:tcBorders>
                                    <w:top w:val="nil"/>
                                    <w:left w:val="nil"/>
                                    <w:bottom w:val="single" w:sz="4" w:space="0" w:color="auto"/>
                                    <w:right w:val="single" w:sz="4" w:space="0" w:color="auto"/>
                                  </w:tcBorders>
                                  <w:noWrap/>
                                  <w:vAlign w:val="center"/>
                                  <w:hideMark/>
                                </w:tcPr>
                                <w:p w14:paraId="43DD4B80"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金額占比</w:t>
                                  </w:r>
                                </w:p>
                              </w:tc>
                              <w:tc>
                                <w:tcPr>
                                  <w:tcW w:w="287" w:type="pct"/>
                                  <w:tcBorders>
                                    <w:top w:val="nil"/>
                                    <w:left w:val="nil"/>
                                    <w:bottom w:val="single" w:sz="4" w:space="0" w:color="auto"/>
                                    <w:right w:val="single" w:sz="4" w:space="0" w:color="auto"/>
                                  </w:tcBorders>
                                  <w:noWrap/>
                                  <w:vAlign w:val="center"/>
                                  <w:hideMark/>
                                </w:tcPr>
                                <w:p w14:paraId="1BA6355C"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431" w:type="pct"/>
                                  <w:tcBorders>
                                    <w:top w:val="nil"/>
                                    <w:left w:val="nil"/>
                                    <w:bottom w:val="single" w:sz="4" w:space="0" w:color="auto"/>
                                    <w:right w:val="single" w:sz="4" w:space="0" w:color="auto"/>
                                  </w:tcBorders>
                                  <w:noWrap/>
                                  <w:vAlign w:val="center"/>
                                  <w:hideMark/>
                                </w:tcPr>
                                <w:p w14:paraId="5259C551"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285" w:type="pct"/>
                                  <w:tcBorders>
                                    <w:top w:val="nil"/>
                                    <w:left w:val="nil"/>
                                    <w:bottom w:val="single" w:sz="4" w:space="0" w:color="auto"/>
                                    <w:right w:val="single" w:sz="4" w:space="0" w:color="auto"/>
                                  </w:tcBorders>
                                  <w:noWrap/>
                                  <w:vAlign w:val="center"/>
                                  <w:hideMark/>
                                </w:tcPr>
                                <w:p w14:paraId="58F3856C"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356" w:type="pct"/>
                                  <w:tcBorders>
                                    <w:top w:val="nil"/>
                                    <w:left w:val="nil"/>
                                    <w:bottom w:val="single" w:sz="4" w:space="0" w:color="auto"/>
                                    <w:right w:val="single" w:sz="4" w:space="0" w:color="auto"/>
                                  </w:tcBorders>
                                  <w:noWrap/>
                                  <w:vAlign w:val="center"/>
                                  <w:hideMark/>
                                </w:tcPr>
                                <w:p w14:paraId="115267A3"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283" w:type="pct"/>
                                  <w:tcBorders>
                                    <w:top w:val="nil"/>
                                    <w:left w:val="nil"/>
                                    <w:bottom w:val="single" w:sz="4" w:space="0" w:color="auto"/>
                                    <w:right w:val="single" w:sz="4" w:space="0" w:color="auto"/>
                                  </w:tcBorders>
                                  <w:noWrap/>
                                  <w:vAlign w:val="center"/>
                                  <w:hideMark/>
                                </w:tcPr>
                                <w:p w14:paraId="215EA52B"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281" w:type="pct"/>
                                  <w:tcBorders>
                                    <w:top w:val="nil"/>
                                    <w:left w:val="nil"/>
                                    <w:bottom w:val="single" w:sz="4" w:space="0" w:color="auto"/>
                                    <w:right w:val="single" w:sz="4" w:space="0" w:color="auto"/>
                                  </w:tcBorders>
                                  <w:noWrap/>
                                  <w:vAlign w:val="center"/>
                                  <w:hideMark/>
                                </w:tcPr>
                                <w:p w14:paraId="46F32B00"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352" w:type="pct"/>
                                  <w:tcBorders>
                                    <w:top w:val="nil"/>
                                    <w:left w:val="nil"/>
                                    <w:bottom w:val="single" w:sz="4" w:space="0" w:color="auto"/>
                                    <w:right w:val="single" w:sz="4" w:space="0" w:color="auto"/>
                                  </w:tcBorders>
                                  <w:noWrap/>
                                  <w:vAlign w:val="center"/>
                                  <w:hideMark/>
                                </w:tcPr>
                                <w:p w14:paraId="79C58AAB"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400" w:type="pct"/>
                                  <w:tcBorders>
                                    <w:top w:val="nil"/>
                                    <w:left w:val="nil"/>
                                    <w:bottom w:val="single" w:sz="4" w:space="0" w:color="auto"/>
                                    <w:right w:val="single" w:sz="4" w:space="0" w:color="auto"/>
                                  </w:tcBorders>
                                  <w:noWrap/>
                                  <w:vAlign w:val="center"/>
                                  <w:hideMark/>
                                </w:tcPr>
                                <w:p w14:paraId="2A65C300"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r>
                            <w:tr w:rsidR="007351A0" w14:paraId="2F9343A0" w14:textId="77777777">
                              <w:trPr>
                                <w:trHeight w:val="318"/>
                              </w:trPr>
                              <w:tc>
                                <w:tcPr>
                                  <w:tcW w:w="737" w:type="pct"/>
                                  <w:tcBorders>
                                    <w:top w:val="nil"/>
                                    <w:left w:val="single" w:sz="4" w:space="0" w:color="auto"/>
                                    <w:bottom w:val="single" w:sz="4" w:space="0" w:color="auto"/>
                                    <w:right w:val="nil"/>
                                  </w:tcBorders>
                                  <w:noWrap/>
                                  <w:vAlign w:val="bottom"/>
                                  <w:hideMark/>
                                </w:tcPr>
                                <w:p w14:paraId="3B98200F" w14:textId="77777777" w:rsidR="007351A0" w:rsidRDefault="007351A0" w:rsidP="00F328A0">
                                  <w:pPr>
                                    <w:widowControl/>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 計</w:t>
                                  </w:r>
                                </w:p>
                              </w:tc>
                              <w:tc>
                                <w:tcPr>
                                  <w:tcW w:w="247" w:type="pct"/>
                                  <w:tcBorders>
                                    <w:top w:val="nil"/>
                                    <w:left w:val="single" w:sz="4" w:space="0" w:color="auto"/>
                                    <w:bottom w:val="single" w:sz="4" w:space="0" w:color="auto"/>
                                    <w:right w:val="single" w:sz="4" w:space="0" w:color="auto"/>
                                  </w:tcBorders>
                                  <w:noWrap/>
                                  <w:vAlign w:val="center"/>
                                  <w:hideMark/>
                                </w:tcPr>
                                <w:p w14:paraId="5612B10C"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110 </w:t>
                                  </w:r>
                                </w:p>
                              </w:tc>
                              <w:tc>
                                <w:tcPr>
                                  <w:tcW w:w="465" w:type="pct"/>
                                  <w:tcBorders>
                                    <w:top w:val="nil"/>
                                    <w:left w:val="nil"/>
                                    <w:bottom w:val="single" w:sz="4" w:space="0" w:color="auto"/>
                                    <w:right w:val="single" w:sz="4" w:space="0" w:color="auto"/>
                                  </w:tcBorders>
                                  <w:noWrap/>
                                  <w:vAlign w:val="center"/>
                                  <w:hideMark/>
                                </w:tcPr>
                                <w:p w14:paraId="261EEBC8"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100.00 </w:t>
                                  </w:r>
                                </w:p>
                              </w:tc>
                              <w:tc>
                                <w:tcPr>
                                  <w:tcW w:w="411" w:type="pct"/>
                                  <w:tcBorders>
                                    <w:top w:val="nil"/>
                                    <w:left w:val="nil"/>
                                    <w:bottom w:val="single" w:sz="4" w:space="0" w:color="auto"/>
                                    <w:right w:val="single" w:sz="4" w:space="0" w:color="auto"/>
                                  </w:tcBorders>
                                  <w:noWrap/>
                                  <w:vAlign w:val="center"/>
                                  <w:hideMark/>
                                </w:tcPr>
                                <w:p w14:paraId="0B482A02"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505,500 </w:t>
                                  </w:r>
                                </w:p>
                              </w:tc>
                              <w:tc>
                                <w:tcPr>
                                  <w:tcW w:w="465" w:type="pct"/>
                                  <w:tcBorders>
                                    <w:top w:val="nil"/>
                                    <w:left w:val="nil"/>
                                    <w:bottom w:val="single" w:sz="4" w:space="0" w:color="auto"/>
                                    <w:right w:val="single" w:sz="4" w:space="0" w:color="auto"/>
                                  </w:tcBorders>
                                  <w:noWrap/>
                                  <w:vAlign w:val="center"/>
                                  <w:hideMark/>
                                </w:tcPr>
                                <w:p w14:paraId="6A8033BD"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100.00 </w:t>
                                  </w:r>
                                </w:p>
                              </w:tc>
                              <w:tc>
                                <w:tcPr>
                                  <w:tcW w:w="287" w:type="pct"/>
                                  <w:tcBorders>
                                    <w:top w:val="nil"/>
                                    <w:left w:val="nil"/>
                                    <w:bottom w:val="single" w:sz="4" w:space="0" w:color="auto"/>
                                    <w:right w:val="single" w:sz="4" w:space="0" w:color="auto"/>
                                  </w:tcBorders>
                                  <w:noWrap/>
                                  <w:vAlign w:val="center"/>
                                  <w:hideMark/>
                                </w:tcPr>
                                <w:p w14:paraId="534DCF86"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82 </w:t>
                                  </w:r>
                                </w:p>
                              </w:tc>
                              <w:tc>
                                <w:tcPr>
                                  <w:tcW w:w="431" w:type="pct"/>
                                  <w:tcBorders>
                                    <w:top w:val="nil"/>
                                    <w:left w:val="nil"/>
                                    <w:bottom w:val="single" w:sz="4" w:space="0" w:color="auto"/>
                                    <w:right w:val="single" w:sz="4" w:space="0" w:color="auto"/>
                                  </w:tcBorders>
                                  <w:noWrap/>
                                  <w:vAlign w:val="center"/>
                                  <w:hideMark/>
                                </w:tcPr>
                                <w:p w14:paraId="6B1F16CD"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479,700 </w:t>
                                  </w:r>
                                </w:p>
                              </w:tc>
                              <w:tc>
                                <w:tcPr>
                                  <w:tcW w:w="285" w:type="pct"/>
                                  <w:tcBorders>
                                    <w:top w:val="nil"/>
                                    <w:left w:val="nil"/>
                                    <w:bottom w:val="single" w:sz="4" w:space="0" w:color="auto"/>
                                    <w:right w:val="single" w:sz="4" w:space="0" w:color="auto"/>
                                  </w:tcBorders>
                                  <w:noWrap/>
                                  <w:vAlign w:val="center"/>
                                  <w:hideMark/>
                                </w:tcPr>
                                <w:p w14:paraId="22BAAF7C"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17 </w:t>
                                  </w:r>
                                </w:p>
                              </w:tc>
                              <w:tc>
                                <w:tcPr>
                                  <w:tcW w:w="356" w:type="pct"/>
                                  <w:tcBorders>
                                    <w:top w:val="nil"/>
                                    <w:left w:val="nil"/>
                                    <w:bottom w:val="single" w:sz="4" w:space="0" w:color="auto"/>
                                    <w:right w:val="single" w:sz="4" w:space="0" w:color="auto"/>
                                  </w:tcBorders>
                                  <w:noWrap/>
                                  <w:vAlign w:val="center"/>
                                  <w:hideMark/>
                                </w:tcPr>
                                <w:p w14:paraId="6EEAE902"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25,100 </w:t>
                                  </w:r>
                                </w:p>
                              </w:tc>
                              <w:tc>
                                <w:tcPr>
                                  <w:tcW w:w="283" w:type="pct"/>
                                  <w:tcBorders>
                                    <w:top w:val="nil"/>
                                    <w:left w:val="nil"/>
                                    <w:bottom w:val="single" w:sz="4" w:space="0" w:color="auto"/>
                                    <w:right w:val="single" w:sz="4" w:space="0" w:color="auto"/>
                                  </w:tcBorders>
                                  <w:noWrap/>
                                  <w:vAlign w:val="center"/>
                                  <w:hideMark/>
                                </w:tcPr>
                                <w:p w14:paraId="44F9DE13"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9 </w:t>
                                  </w:r>
                                </w:p>
                              </w:tc>
                              <w:tc>
                                <w:tcPr>
                                  <w:tcW w:w="281" w:type="pct"/>
                                  <w:tcBorders>
                                    <w:top w:val="nil"/>
                                    <w:left w:val="nil"/>
                                    <w:bottom w:val="single" w:sz="4" w:space="0" w:color="auto"/>
                                    <w:right w:val="single" w:sz="4" w:space="0" w:color="auto"/>
                                  </w:tcBorders>
                                  <w:noWrap/>
                                  <w:vAlign w:val="center"/>
                                  <w:hideMark/>
                                </w:tcPr>
                                <w:p w14:paraId="40C94B8E"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300 </w:t>
                                  </w:r>
                                </w:p>
                              </w:tc>
                              <w:tc>
                                <w:tcPr>
                                  <w:tcW w:w="352" w:type="pct"/>
                                  <w:tcBorders>
                                    <w:top w:val="nil"/>
                                    <w:left w:val="nil"/>
                                    <w:bottom w:val="single" w:sz="4" w:space="0" w:color="auto"/>
                                    <w:right w:val="single" w:sz="4" w:space="0" w:color="auto"/>
                                  </w:tcBorders>
                                  <w:noWrap/>
                                  <w:vAlign w:val="center"/>
                                  <w:hideMark/>
                                </w:tcPr>
                                <w:p w14:paraId="05645976"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2 </w:t>
                                  </w:r>
                                </w:p>
                              </w:tc>
                              <w:tc>
                                <w:tcPr>
                                  <w:tcW w:w="400" w:type="pct"/>
                                  <w:tcBorders>
                                    <w:top w:val="nil"/>
                                    <w:left w:val="nil"/>
                                    <w:bottom w:val="single" w:sz="4" w:space="0" w:color="auto"/>
                                    <w:right w:val="single" w:sz="4" w:space="0" w:color="auto"/>
                                  </w:tcBorders>
                                  <w:noWrap/>
                                  <w:vAlign w:val="center"/>
                                  <w:hideMark/>
                                </w:tcPr>
                                <w:p w14:paraId="75C8B34B"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400 </w:t>
                                  </w:r>
                                </w:p>
                              </w:tc>
                            </w:tr>
                            <w:tr w:rsidR="007351A0" w14:paraId="361DC82A" w14:textId="77777777">
                              <w:trPr>
                                <w:trHeight w:val="304"/>
                              </w:trPr>
                              <w:tc>
                                <w:tcPr>
                                  <w:tcW w:w="737" w:type="pct"/>
                                  <w:tcBorders>
                                    <w:top w:val="nil"/>
                                    <w:left w:val="single" w:sz="4" w:space="0" w:color="auto"/>
                                    <w:bottom w:val="single" w:sz="4" w:space="0" w:color="auto"/>
                                    <w:right w:val="nil"/>
                                  </w:tcBorders>
                                  <w:noWrap/>
                                  <w:vAlign w:val="bottom"/>
                                  <w:hideMark/>
                                </w:tcPr>
                                <w:p w14:paraId="3F9622DF" w14:textId="77777777" w:rsidR="007351A0" w:rsidRDefault="007351A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w:t>
                                  </w:r>
                                </w:p>
                              </w:tc>
                              <w:tc>
                                <w:tcPr>
                                  <w:tcW w:w="247" w:type="pct"/>
                                  <w:tcBorders>
                                    <w:top w:val="nil"/>
                                    <w:left w:val="single" w:sz="4" w:space="0" w:color="auto"/>
                                    <w:bottom w:val="single" w:sz="4" w:space="0" w:color="auto"/>
                                    <w:right w:val="single" w:sz="4" w:space="0" w:color="auto"/>
                                  </w:tcBorders>
                                  <w:noWrap/>
                                  <w:vAlign w:val="center"/>
                                  <w:hideMark/>
                                </w:tcPr>
                                <w:p w14:paraId="7DC4A55E"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28 </w:t>
                                  </w:r>
                                </w:p>
                              </w:tc>
                              <w:tc>
                                <w:tcPr>
                                  <w:tcW w:w="465" w:type="pct"/>
                                  <w:tcBorders>
                                    <w:top w:val="nil"/>
                                    <w:left w:val="nil"/>
                                    <w:bottom w:val="single" w:sz="4" w:space="0" w:color="auto"/>
                                    <w:right w:val="single" w:sz="4" w:space="0" w:color="auto"/>
                                  </w:tcBorders>
                                  <w:noWrap/>
                                  <w:vAlign w:val="center"/>
                                  <w:hideMark/>
                                </w:tcPr>
                                <w:p w14:paraId="7C08F79D"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25.45 </w:t>
                                  </w:r>
                                </w:p>
                              </w:tc>
                              <w:tc>
                                <w:tcPr>
                                  <w:tcW w:w="411" w:type="pct"/>
                                  <w:tcBorders>
                                    <w:top w:val="nil"/>
                                    <w:left w:val="nil"/>
                                    <w:bottom w:val="single" w:sz="4" w:space="0" w:color="auto"/>
                                    <w:right w:val="single" w:sz="4" w:space="0" w:color="auto"/>
                                  </w:tcBorders>
                                  <w:noWrap/>
                                  <w:hideMark/>
                                </w:tcPr>
                                <w:p w14:paraId="7F103499"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465" w:type="pct"/>
                                  <w:tcBorders>
                                    <w:top w:val="nil"/>
                                    <w:left w:val="nil"/>
                                    <w:bottom w:val="single" w:sz="4" w:space="0" w:color="auto"/>
                                    <w:right w:val="single" w:sz="4" w:space="0" w:color="auto"/>
                                  </w:tcBorders>
                                  <w:noWrap/>
                                  <w:hideMark/>
                                </w:tcPr>
                                <w:p w14:paraId="2BBEC772"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7" w:type="pct"/>
                                  <w:tcBorders>
                                    <w:top w:val="nil"/>
                                    <w:left w:val="nil"/>
                                    <w:bottom w:val="single" w:sz="4" w:space="0" w:color="auto"/>
                                    <w:right w:val="single" w:sz="4" w:space="0" w:color="auto"/>
                                  </w:tcBorders>
                                  <w:noWrap/>
                                  <w:vAlign w:val="center"/>
                                  <w:hideMark/>
                                </w:tcPr>
                                <w:p w14:paraId="50F62F9D"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10 </w:t>
                                  </w:r>
                                </w:p>
                              </w:tc>
                              <w:tc>
                                <w:tcPr>
                                  <w:tcW w:w="431" w:type="pct"/>
                                  <w:tcBorders>
                                    <w:top w:val="nil"/>
                                    <w:left w:val="nil"/>
                                    <w:bottom w:val="single" w:sz="4" w:space="0" w:color="auto"/>
                                    <w:right w:val="single" w:sz="4" w:space="0" w:color="auto"/>
                                  </w:tcBorders>
                                  <w:noWrap/>
                                  <w:vAlign w:val="center"/>
                                  <w:hideMark/>
                                </w:tcPr>
                                <w:p w14:paraId="0F8D73A7"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r w:rsidRPr="00677044">
                                    <w:rPr>
                                      <w:rFonts w:ascii="標楷體" w:eastAsia="標楷體" w:hAnsi="標楷體" w:cs="新細明體" w:hint="eastAsia"/>
                                      <w:color w:val="000000"/>
                                      <w:kern w:val="0"/>
                                      <w:sz w:val="20"/>
                                      <w:szCs w:val="20"/>
                                    </w:rPr>
                                    <w:t xml:space="preserve"> </w:t>
                                  </w:r>
                                </w:p>
                              </w:tc>
                              <w:tc>
                                <w:tcPr>
                                  <w:tcW w:w="285" w:type="pct"/>
                                  <w:tcBorders>
                                    <w:top w:val="nil"/>
                                    <w:left w:val="nil"/>
                                    <w:bottom w:val="single" w:sz="4" w:space="0" w:color="auto"/>
                                    <w:right w:val="single" w:sz="4" w:space="0" w:color="auto"/>
                                  </w:tcBorders>
                                  <w:noWrap/>
                                  <w:vAlign w:val="center"/>
                                  <w:hideMark/>
                                </w:tcPr>
                                <w:p w14:paraId="409A8A6F"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11 </w:t>
                                  </w:r>
                                </w:p>
                              </w:tc>
                              <w:tc>
                                <w:tcPr>
                                  <w:tcW w:w="356" w:type="pct"/>
                                  <w:tcBorders>
                                    <w:top w:val="nil"/>
                                    <w:left w:val="nil"/>
                                    <w:bottom w:val="single" w:sz="4" w:space="0" w:color="auto"/>
                                    <w:right w:val="single" w:sz="4" w:space="0" w:color="auto"/>
                                  </w:tcBorders>
                                  <w:noWrap/>
                                  <w:hideMark/>
                                </w:tcPr>
                                <w:p w14:paraId="03BDAA1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3" w:type="pct"/>
                                  <w:tcBorders>
                                    <w:top w:val="nil"/>
                                    <w:left w:val="nil"/>
                                    <w:bottom w:val="single" w:sz="4" w:space="0" w:color="auto"/>
                                    <w:right w:val="single" w:sz="4" w:space="0" w:color="auto"/>
                                  </w:tcBorders>
                                  <w:noWrap/>
                                  <w:vAlign w:val="center"/>
                                  <w:hideMark/>
                                </w:tcPr>
                                <w:p w14:paraId="1E328E5F"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6 </w:t>
                                  </w:r>
                                </w:p>
                              </w:tc>
                              <w:tc>
                                <w:tcPr>
                                  <w:tcW w:w="281" w:type="pct"/>
                                  <w:tcBorders>
                                    <w:top w:val="nil"/>
                                    <w:left w:val="nil"/>
                                    <w:bottom w:val="single" w:sz="4" w:space="0" w:color="auto"/>
                                    <w:right w:val="single" w:sz="4" w:space="0" w:color="auto"/>
                                  </w:tcBorders>
                                  <w:noWrap/>
                                  <w:vAlign w:val="center"/>
                                  <w:hideMark/>
                                </w:tcPr>
                                <w:p w14:paraId="148C827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r w:rsidRPr="00677044">
                                    <w:rPr>
                                      <w:rFonts w:ascii="標楷體" w:eastAsia="標楷體" w:hAnsi="標楷體" w:cs="新細明體" w:hint="eastAsia"/>
                                      <w:color w:val="000000"/>
                                      <w:kern w:val="0"/>
                                      <w:sz w:val="20"/>
                                      <w:szCs w:val="20"/>
                                    </w:rPr>
                                    <w:t xml:space="preserve"> </w:t>
                                  </w:r>
                                </w:p>
                              </w:tc>
                              <w:tc>
                                <w:tcPr>
                                  <w:tcW w:w="352" w:type="pct"/>
                                  <w:tcBorders>
                                    <w:top w:val="nil"/>
                                    <w:left w:val="nil"/>
                                    <w:bottom w:val="single" w:sz="4" w:space="0" w:color="auto"/>
                                    <w:right w:val="single" w:sz="4" w:space="0" w:color="auto"/>
                                  </w:tcBorders>
                                  <w:noWrap/>
                                  <w:vAlign w:val="center"/>
                                  <w:hideMark/>
                                </w:tcPr>
                                <w:p w14:paraId="6D75F2A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 </w:t>
                                  </w:r>
                                </w:p>
                              </w:tc>
                              <w:tc>
                                <w:tcPr>
                                  <w:tcW w:w="400" w:type="pct"/>
                                  <w:tcBorders>
                                    <w:top w:val="nil"/>
                                    <w:left w:val="nil"/>
                                    <w:bottom w:val="single" w:sz="4" w:space="0" w:color="auto"/>
                                    <w:right w:val="single" w:sz="4" w:space="0" w:color="auto"/>
                                  </w:tcBorders>
                                  <w:noWrap/>
                                  <w:vAlign w:val="center"/>
                                  <w:hideMark/>
                                </w:tcPr>
                                <w:p w14:paraId="60EB18A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r w:rsidRPr="00677044">
                                    <w:rPr>
                                      <w:rFonts w:ascii="標楷體" w:eastAsia="標楷體" w:hAnsi="標楷體" w:cs="新細明體" w:hint="eastAsia"/>
                                      <w:color w:val="000000"/>
                                      <w:kern w:val="0"/>
                                      <w:sz w:val="20"/>
                                      <w:szCs w:val="20"/>
                                    </w:rPr>
                                    <w:t xml:space="preserve"> </w:t>
                                  </w:r>
                                </w:p>
                              </w:tc>
                            </w:tr>
                            <w:tr w:rsidR="007351A0" w14:paraId="7CD26EC0" w14:textId="77777777">
                              <w:trPr>
                                <w:trHeight w:val="304"/>
                              </w:trPr>
                              <w:tc>
                                <w:tcPr>
                                  <w:tcW w:w="737" w:type="pct"/>
                                  <w:tcBorders>
                                    <w:top w:val="nil"/>
                                    <w:left w:val="single" w:sz="4" w:space="0" w:color="auto"/>
                                    <w:bottom w:val="single" w:sz="4" w:space="0" w:color="auto"/>
                                    <w:right w:val="nil"/>
                                  </w:tcBorders>
                                  <w:noWrap/>
                                  <w:vAlign w:val="bottom"/>
                                  <w:hideMark/>
                                </w:tcPr>
                                <w:p w14:paraId="2F94B2A6" w14:textId="77777777" w:rsidR="007351A0" w:rsidRDefault="007351A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1~999</w:t>
                                  </w:r>
                                </w:p>
                              </w:tc>
                              <w:tc>
                                <w:tcPr>
                                  <w:tcW w:w="247" w:type="pct"/>
                                  <w:tcBorders>
                                    <w:top w:val="nil"/>
                                    <w:left w:val="single" w:sz="4" w:space="0" w:color="auto"/>
                                    <w:bottom w:val="single" w:sz="4" w:space="0" w:color="auto"/>
                                    <w:right w:val="single" w:sz="4" w:space="0" w:color="auto"/>
                                  </w:tcBorders>
                                  <w:noWrap/>
                                  <w:vAlign w:val="center"/>
                                  <w:hideMark/>
                                </w:tcPr>
                                <w:p w14:paraId="76965767"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15 </w:t>
                                  </w:r>
                                </w:p>
                              </w:tc>
                              <w:tc>
                                <w:tcPr>
                                  <w:tcW w:w="465" w:type="pct"/>
                                  <w:tcBorders>
                                    <w:top w:val="nil"/>
                                    <w:left w:val="nil"/>
                                    <w:bottom w:val="single" w:sz="4" w:space="0" w:color="auto"/>
                                    <w:right w:val="single" w:sz="4" w:space="0" w:color="auto"/>
                                  </w:tcBorders>
                                  <w:noWrap/>
                                  <w:vAlign w:val="center"/>
                                  <w:hideMark/>
                                </w:tcPr>
                                <w:p w14:paraId="00A4071A"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13.64 </w:t>
                                  </w:r>
                                </w:p>
                              </w:tc>
                              <w:tc>
                                <w:tcPr>
                                  <w:tcW w:w="411" w:type="pct"/>
                                  <w:tcBorders>
                                    <w:top w:val="nil"/>
                                    <w:left w:val="nil"/>
                                    <w:bottom w:val="single" w:sz="4" w:space="0" w:color="auto"/>
                                    <w:right w:val="single" w:sz="4" w:space="0" w:color="auto"/>
                                  </w:tcBorders>
                                  <w:noWrap/>
                                  <w:vAlign w:val="center"/>
                                  <w:hideMark/>
                                </w:tcPr>
                                <w:p w14:paraId="2FB12D83"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3,400 </w:t>
                                  </w:r>
                                </w:p>
                              </w:tc>
                              <w:tc>
                                <w:tcPr>
                                  <w:tcW w:w="465" w:type="pct"/>
                                  <w:tcBorders>
                                    <w:top w:val="nil"/>
                                    <w:left w:val="nil"/>
                                    <w:bottom w:val="single" w:sz="4" w:space="0" w:color="auto"/>
                                    <w:right w:val="single" w:sz="4" w:space="0" w:color="auto"/>
                                  </w:tcBorders>
                                  <w:noWrap/>
                                  <w:vAlign w:val="center"/>
                                  <w:hideMark/>
                                </w:tcPr>
                                <w:p w14:paraId="3B2BD5DB"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0.67 </w:t>
                                  </w:r>
                                </w:p>
                              </w:tc>
                              <w:tc>
                                <w:tcPr>
                                  <w:tcW w:w="287" w:type="pct"/>
                                  <w:tcBorders>
                                    <w:top w:val="nil"/>
                                    <w:left w:val="nil"/>
                                    <w:bottom w:val="single" w:sz="4" w:space="0" w:color="auto"/>
                                    <w:right w:val="single" w:sz="4" w:space="0" w:color="auto"/>
                                  </w:tcBorders>
                                  <w:noWrap/>
                                  <w:vAlign w:val="center"/>
                                  <w:hideMark/>
                                </w:tcPr>
                                <w:p w14:paraId="1BB7FAAE"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11 </w:t>
                                  </w:r>
                                </w:p>
                              </w:tc>
                              <w:tc>
                                <w:tcPr>
                                  <w:tcW w:w="431" w:type="pct"/>
                                  <w:tcBorders>
                                    <w:top w:val="nil"/>
                                    <w:left w:val="nil"/>
                                    <w:bottom w:val="single" w:sz="4" w:space="0" w:color="auto"/>
                                    <w:right w:val="single" w:sz="4" w:space="0" w:color="auto"/>
                                  </w:tcBorders>
                                  <w:noWrap/>
                                  <w:vAlign w:val="center"/>
                                  <w:hideMark/>
                                </w:tcPr>
                                <w:p w14:paraId="7C18A559"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2,700 </w:t>
                                  </w:r>
                                </w:p>
                              </w:tc>
                              <w:tc>
                                <w:tcPr>
                                  <w:tcW w:w="285" w:type="pct"/>
                                  <w:tcBorders>
                                    <w:top w:val="nil"/>
                                    <w:left w:val="nil"/>
                                    <w:bottom w:val="single" w:sz="4" w:space="0" w:color="auto"/>
                                    <w:right w:val="single" w:sz="4" w:space="0" w:color="auto"/>
                                  </w:tcBorders>
                                  <w:noWrap/>
                                  <w:vAlign w:val="center"/>
                                  <w:hideMark/>
                                </w:tcPr>
                                <w:p w14:paraId="588C33C1"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r w:rsidRPr="00677044">
                                    <w:rPr>
                                      <w:rFonts w:ascii="標楷體" w:eastAsia="標楷體" w:hAnsi="標楷體" w:cs="新細明體" w:hint="eastAsia"/>
                                      <w:color w:val="000000"/>
                                      <w:kern w:val="0"/>
                                      <w:sz w:val="20"/>
                                      <w:szCs w:val="20"/>
                                    </w:rPr>
                                    <w:t xml:space="preserve"> </w:t>
                                  </w:r>
                                </w:p>
                              </w:tc>
                              <w:tc>
                                <w:tcPr>
                                  <w:tcW w:w="356" w:type="pct"/>
                                  <w:tcBorders>
                                    <w:top w:val="nil"/>
                                    <w:left w:val="nil"/>
                                    <w:bottom w:val="single" w:sz="4" w:space="0" w:color="auto"/>
                                    <w:right w:val="single" w:sz="4" w:space="0" w:color="auto"/>
                                  </w:tcBorders>
                                  <w:noWrap/>
                                  <w:hideMark/>
                                </w:tcPr>
                                <w:p w14:paraId="15AA46A9"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3" w:type="pct"/>
                                  <w:tcBorders>
                                    <w:top w:val="nil"/>
                                    <w:left w:val="nil"/>
                                    <w:bottom w:val="single" w:sz="4" w:space="0" w:color="auto"/>
                                    <w:right w:val="single" w:sz="4" w:space="0" w:color="auto"/>
                                  </w:tcBorders>
                                  <w:noWrap/>
                                  <w:vAlign w:val="center"/>
                                  <w:hideMark/>
                                </w:tcPr>
                                <w:p w14:paraId="4065892D"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3 </w:t>
                                  </w:r>
                                </w:p>
                              </w:tc>
                              <w:tc>
                                <w:tcPr>
                                  <w:tcW w:w="281" w:type="pct"/>
                                  <w:tcBorders>
                                    <w:top w:val="nil"/>
                                    <w:left w:val="nil"/>
                                    <w:bottom w:val="single" w:sz="4" w:space="0" w:color="auto"/>
                                    <w:right w:val="single" w:sz="4" w:space="0" w:color="auto"/>
                                  </w:tcBorders>
                                  <w:noWrap/>
                                  <w:vAlign w:val="center"/>
                                  <w:hideMark/>
                                </w:tcPr>
                                <w:p w14:paraId="124C5DA4"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300 </w:t>
                                  </w:r>
                                </w:p>
                              </w:tc>
                              <w:tc>
                                <w:tcPr>
                                  <w:tcW w:w="352" w:type="pct"/>
                                  <w:tcBorders>
                                    <w:top w:val="nil"/>
                                    <w:left w:val="nil"/>
                                    <w:bottom w:val="single" w:sz="4" w:space="0" w:color="auto"/>
                                    <w:right w:val="single" w:sz="4" w:space="0" w:color="auto"/>
                                  </w:tcBorders>
                                  <w:noWrap/>
                                  <w:vAlign w:val="center"/>
                                  <w:hideMark/>
                                </w:tcPr>
                                <w:p w14:paraId="16B10B56"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 </w:t>
                                  </w:r>
                                </w:p>
                              </w:tc>
                              <w:tc>
                                <w:tcPr>
                                  <w:tcW w:w="400" w:type="pct"/>
                                  <w:tcBorders>
                                    <w:top w:val="nil"/>
                                    <w:left w:val="nil"/>
                                    <w:bottom w:val="single" w:sz="4" w:space="0" w:color="auto"/>
                                    <w:right w:val="single" w:sz="4" w:space="0" w:color="auto"/>
                                  </w:tcBorders>
                                  <w:noWrap/>
                                  <w:vAlign w:val="center"/>
                                  <w:hideMark/>
                                </w:tcPr>
                                <w:p w14:paraId="210CA2E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400 </w:t>
                                  </w:r>
                                </w:p>
                              </w:tc>
                            </w:tr>
                            <w:tr w:rsidR="007351A0" w14:paraId="54DECF0C" w14:textId="77777777">
                              <w:trPr>
                                <w:trHeight w:val="304"/>
                              </w:trPr>
                              <w:tc>
                                <w:tcPr>
                                  <w:tcW w:w="737" w:type="pct"/>
                                  <w:tcBorders>
                                    <w:top w:val="nil"/>
                                    <w:left w:val="single" w:sz="4" w:space="0" w:color="auto"/>
                                    <w:bottom w:val="single" w:sz="4" w:space="0" w:color="auto"/>
                                    <w:right w:val="nil"/>
                                  </w:tcBorders>
                                  <w:noWrap/>
                                  <w:vAlign w:val="bottom"/>
                                  <w:hideMark/>
                                </w:tcPr>
                                <w:p w14:paraId="2FEFBF1A" w14:textId="77777777" w:rsidR="007351A0" w:rsidRDefault="007351A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1,000~9,999</w:t>
                                  </w:r>
                                </w:p>
                              </w:tc>
                              <w:tc>
                                <w:tcPr>
                                  <w:tcW w:w="247" w:type="pct"/>
                                  <w:tcBorders>
                                    <w:top w:val="nil"/>
                                    <w:left w:val="single" w:sz="4" w:space="0" w:color="auto"/>
                                    <w:bottom w:val="single" w:sz="4" w:space="0" w:color="auto"/>
                                    <w:right w:val="single" w:sz="4" w:space="0" w:color="auto"/>
                                  </w:tcBorders>
                                  <w:noWrap/>
                                  <w:vAlign w:val="center"/>
                                  <w:hideMark/>
                                </w:tcPr>
                                <w:p w14:paraId="1B830BF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52 </w:t>
                                  </w:r>
                                </w:p>
                              </w:tc>
                              <w:tc>
                                <w:tcPr>
                                  <w:tcW w:w="465" w:type="pct"/>
                                  <w:tcBorders>
                                    <w:top w:val="nil"/>
                                    <w:left w:val="nil"/>
                                    <w:bottom w:val="single" w:sz="4" w:space="0" w:color="auto"/>
                                    <w:right w:val="single" w:sz="4" w:space="0" w:color="auto"/>
                                  </w:tcBorders>
                                  <w:noWrap/>
                                  <w:vAlign w:val="center"/>
                                  <w:hideMark/>
                                </w:tcPr>
                                <w:p w14:paraId="0D6E82BC"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47.27 </w:t>
                                  </w:r>
                                </w:p>
                              </w:tc>
                              <w:tc>
                                <w:tcPr>
                                  <w:tcW w:w="411" w:type="pct"/>
                                  <w:tcBorders>
                                    <w:top w:val="nil"/>
                                    <w:left w:val="nil"/>
                                    <w:bottom w:val="single" w:sz="4" w:space="0" w:color="auto"/>
                                    <w:right w:val="single" w:sz="4" w:space="0" w:color="auto"/>
                                  </w:tcBorders>
                                  <w:noWrap/>
                                  <w:vAlign w:val="center"/>
                                  <w:hideMark/>
                                </w:tcPr>
                                <w:p w14:paraId="639A19C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207,500 </w:t>
                                  </w:r>
                                </w:p>
                              </w:tc>
                              <w:tc>
                                <w:tcPr>
                                  <w:tcW w:w="465" w:type="pct"/>
                                  <w:tcBorders>
                                    <w:top w:val="nil"/>
                                    <w:left w:val="nil"/>
                                    <w:bottom w:val="single" w:sz="4" w:space="0" w:color="auto"/>
                                    <w:right w:val="single" w:sz="4" w:space="0" w:color="auto"/>
                                  </w:tcBorders>
                                  <w:noWrap/>
                                  <w:vAlign w:val="center"/>
                                  <w:hideMark/>
                                </w:tcPr>
                                <w:p w14:paraId="29DB929A"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41.05 </w:t>
                                  </w:r>
                                </w:p>
                              </w:tc>
                              <w:tc>
                                <w:tcPr>
                                  <w:tcW w:w="287" w:type="pct"/>
                                  <w:tcBorders>
                                    <w:top w:val="nil"/>
                                    <w:left w:val="nil"/>
                                    <w:bottom w:val="single" w:sz="4" w:space="0" w:color="auto"/>
                                    <w:right w:val="single" w:sz="4" w:space="0" w:color="auto"/>
                                  </w:tcBorders>
                                  <w:noWrap/>
                                  <w:vAlign w:val="center"/>
                                  <w:hideMark/>
                                </w:tcPr>
                                <w:p w14:paraId="6793F75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46 </w:t>
                                  </w:r>
                                </w:p>
                              </w:tc>
                              <w:tc>
                                <w:tcPr>
                                  <w:tcW w:w="431" w:type="pct"/>
                                  <w:tcBorders>
                                    <w:top w:val="nil"/>
                                    <w:left w:val="nil"/>
                                    <w:bottom w:val="single" w:sz="4" w:space="0" w:color="auto"/>
                                    <w:right w:val="single" w:sz="4" w:space="0" w:color="auto"/>
                                  </w:tcBorders>
                                  <w:noWrap/>
                                  <w:vAlign w:val="center"/>
                                  <w:hideMark/>
                                </w:tcPr>
                                <w:p w14:paraId="32846C7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182,400 </w:t>
                                  </w:r>
                                </w:p>
                              </w:tc>
                              <w:tc>
                                <w:tcPr>
                                  <w:tcW w:w="285" w:type="pct"/>
                                  <w:tcBorders>
                                    <w:top w:val="nil"/>
                                    <w:left w:val="nil"/>
                                    <w:bottom w:val="single" w:sz="4" w:space="0" w:color="auto"/>
                                    <w:right w:val="single" w:sz="4" w:space="0" w:color="auto"/>
                                  </w:tcBorders>
                                  <w:noWrap/>
                                  <w:vAlign w:val="center"/>
                                  <w:hideMark/>
                                </w:tcPr>
                                <w:p w14:paraId="1D420359"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6 </w:t>
                                  </w:r>
                                </w:p>
                              </w:tc>
                              <w:tc>
                                <w:tcPr>
                                  <w:tcW w:w="356" w:type="pct"/>
                                  <w:tcBorders>
                                    <w:top w:val="nil"/>
                                    <w:left w:val="nil"/>
                                    <w:bottom w:val="single" w:sz="4" w:space="0" w:color="auto"/>
                                    <w:right w:val="single" w:sz="4" w:space="0" w:color="auto"/>
                                  </w:tcBorders>
                                  <w:noWrap/>
                                  <w:vAlign w:val="center"/>
                                  <w:hideMark/>
                                </w:tcPr>
                                <w:p w14:paraId="08873950"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25,100 </w:t>
                                  </w:r>
                                </w:p>
                              </w:tc>
                              <w:tc>
                                <w:tcPr>
                                  <w:tcW w:w="283" w:type="pct"/>
                                  <w:tcBorders>
                                    <w:top w:val="nil"/>
                                    <w:left w:val="nil"/>
                                    <w:bottom w:val="single" w:sz="4" w:space="0" w:color="auto"/>
                                    <w:right w:val="single" w:sz="4" w:space="0" w:color="auto"/>
                                  </w:tcBorders>
                                  <w:noWrap/>
                                  <w:hideMark/>
                                </w:tcPr>
                                <w:p w14:paraId="46AE6C9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1" w:type="pct"/>
                                  <w:tcBorders>
                                    <w:top w:val="nil"/>
                                    <w:left w:val="nil"/>
                                    <w:bottom w:val="single" w:sz="4" w:space="0" w:color="auto"/>
                                    <w:right w:val="single" w:sz="4" w:space="0" w:color="auto"/>
                                  </w:tcBorders>
                                  <w:noWrap/>
                                  <w:hideMark/>
                                </w:tcPr>
                                <w:p w14:paraId="2C8864A6"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352" w:type="pct"/>
                                  <w:tcBorders>
                                    <w:top w:val="nil"/>
                                    <w:left w:val="nil"/>
                                    <w:bottom w:val="single" w:sz="4" w:space="0" w:color="auto"/>
                                    <w:right w:val="single" w:sz="4" w:space="0" w:color="auto"/>
                                  </w:tcBorders>
                                  <w:noWrap/>
                                  <w:hideMark/>
                                </w:tcPr>
                                <w:p w14:paraId="078A09F4"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400" w:type="pct"/>
                                  <w:tcBorders>
                                    <w:top w:val="nil"/>
                                    <w:left w:val="nil"/>
                                    <w:bottom w:val="single" w:sz="4" w:space="0" w:color="auto"/>
                                    <w:right w:val="single" w:sz="4" w:space="0" w:color="auto"/>
                                  </w:tcBorders>
                                  <w:noWrap/>
                                  <w:hideMark/>
                                </w:tcPr>
                                <w:p w14:paraId="55AC7A5B"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r>
                            <w:tr w:rsidR="007351A0" w14:paraId="0306F0A8" w14:textId="77777777">
                              <w:trPr>
                                <w:trHeight w:val="304"/>
                              </w:trPr>
                              <w:tc>
                                <w:tcPr>
                                  <w:tcW w:w="737" w:type="pct"/>
                                  <w:tcBorders>
                                    <w:top w:val="nil"/>
                                    <w:left w:val="single" w:sz="4" w:space="0" w:color="auto"/>
                                    <w:bottom w:val="single" w:sz="4" w:space="0" w:color="auto"/>
                                    <w:right w:val="nil"/>
                                  </w:tcBorders>
                                  <w:noWrap/>
                                  <w:vAlign w:val="bottom"/>
                                  <w:hideMark/>
                                </w:tcPr>
                                <w:p w14:paraId="02B9DEF9" w14:textId="77777777" w:rsidR="007351A0" w:rsidRDefault="007351A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10,000~19,999</w:t>
                                  </w:r>
                                </w:p>
                              </w:tc>
                              <w:tc>
                                <w:tcPr>
                                  <w:tcW w:w="247" w:type="pct"/>
                                  <w:tcBorders>
                                    <w:top w:val="nil"/>
                                    <w:left w:val="single" w:sz="4" w:space="0" w:color="auto"/>
                                    <w:bottom w:val="single" w:sz="4" w:space="0" w:color="auto"/>
                                    <w:right w:val="single" w:sz="4" w:space="0" w:color="auto"/>
                                  </w:tcBorders>
                                  <w:noWrap/>
                                  <w:vAlign w:val="center"/>
                                  <w:hideMark/>
                                </w:tcPr>
                                <w:p w14:paraId="2FABA13E"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11 </w:t>
                                  </w:r>
                                </w:p>
                              </w:tc>
                              <w:tc>
                                <w:tcPr>
                                  <w:tcW w:w="465" w:type="pct"/>
                                  <w:tcBorders>
                                    <w:top w:val="nil"/>
                                    <w:left w:val="nil"/>
                                    <w:bottom w:val="single" w:sz="4" w:space="0" w:color="auto"/>
                                    <w:right w:val="single" w:sz="4" w:space="0" w:color="auto"/>
                                  </w:tcBorders>
                                  <w:noWrap/>
                                  <w:vAlign w:val="center"/>
                                  <w:hideMark/>
                                </w:tcPr>
                                <w:p w14:paraId="66559680"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10.00 </w:t>
                                  </w:r>
                                </w:p>
                              </w:tc>
                              <w:tc>
                                <w:tcPr>
                                  <w:tcW w:w="411" w:type="pct"/>
                                  <w:tcBorders>
                                    <w:top w:val="nil"/>
                                    <w:left w:val="nil"/>
                                    <w:bottom w:val="single" w:sz="4" w:space="0" w:color="auto"/>
                                    <w:right w:val="single" w:sz="4" w:space="0" w:color="auto"/>
                                  </w:tcBorders>
                                  <w:noWrap/>
                                  <w:vAlign w:val="center"/>
                                  <w:hideMark/>
                                </w:tcPr>
                                <w:p w14:paraId="7C7B883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160,900 </w:t>
                                  </w:r>
                                </w:p>
                              </w:tc>
                              <w:tc>
                                <w:tcPr>
                                  <w:tcW w:w="465" w:type="pct"/>
                                  <w:tcBorders>
                                    <w:top w:val="nil"/>
                                    <w:left w:val="nil"/>
                                    <w:bottom w:val="single" w:sz="4" w:space="0" w:color="auto"/>
                                    <w:right w:val="single" w:sz="4" w:space="0" w:color="auto"/>
                                  </w:tcBorders>
                                  <w:noWrap/>
                                  <w:vAlign w:val="center"/>
                                  <w:hideMark/>
                                </w:tcPr>
                                <w:p w14:paraId="2A25660C"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31.83 </w:t>
                                  </w:r>
                                </w:p>
                              </w:tc>
                              <w:tc>
                                <w:tcPr>
                                  <w:tcW w:w="287" w:type="pct"/>
                                  <w:tcBorders>
                                    <w:top w:val="nil"/>
                                    <w:left w:val="nil"/>
                                    <w:bottom w:val="single" w:sz="4" w:space="0" w:color="auto"/>
                                    <w:right w:val="single" w:sz="4" w:space="0" w:color="auto"/>
                                  </w:tcBorders>
                                  <w:noWrap/>
                                  <w:vAlign w:val="center"/>
                                  <w:hideMark/>
                                </w:tcPr>
                                <w:p w14:paraId="77C8998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11 </w:t>
                                  </w:r>
                                </w:p>
                              </w:tc>
                              <w:tc>
                                <w:tcPr>
                                  <w:tcW w:w="431" w:type="pct"/>
                                  <w:tcBorders>
                                    <w:top w:val="nil"/>
                                    <w:left w:val="nil"/>
                                    <w:bottom w:val="single" w:sz="4" w:space="0" w:color="auto"/>
                                    <w:right w:val="single" w:sz="4" w:space="0" w:color="auto"/>
                                  </w:tcBorders>
                                  <w:noWrap/>
                                  <w:vAlign w:val="center"/>
                                  <w:hideMark/>
                                </w:tcPr>
                                <w:p w14:paraId="65B6883D"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160,900 </w:t>
                                  </w:r>
                                </w:p>
                              </w:tc>
                              <w:tc>
                                <w:tcPr>
                                  <w:tcW w:w="285" w:type="pct"/>
                                  <w:tcBorders>
                                    <w:top w:val="nil"/>
                                    <w:left w:val="nil"/>
                                    <w:bottom w:val="single" w:sz="4" w:space="0" w:color="auto"/>
                                    <w:right w:val="single" w:sz="4" w:space="0" w:color="auto"/>
                                  </w:tcBorders>
                                  <w:noWrap/>
                                  <w:hideMark/>
                                </w:tcPr>
                                <w:p w14:paraId="26956EFE"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356" w:type="pct"/>
                                  <w:tcBorders>
                                    <w:top w:val="nil"/>
                                    <w:left w:val="nil"/>
                                    <w:bottom w:val="single" w:sz="4" w:space="0" w:color="auto"/>
                                    <w:right w:val="single" w:sz="4" w:space="0" w:color="auto"/>
                                  </w:tcBorders>
                                  <w:noWrap/>
                                  <w:hideMark/>
                                </w:tcPr>
                                <w:p w14:paraId="4DCFD027"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3" w:type="pct"/>
                                  <w:tcBorders>
                                    <w:top w:val="nil"/>
                                    <w:left w:val="nil"/>
                                    <w:bottom w:val="single" w:sz="4" w:space="0" w:color="auto"/>
                                    <w:right w:val="single" w:sz="4" w:space="0" w:color="auto"/>
                                  </w:tcBorders>
                                  <w:noWrap/>
                                  <w:hideMark/>
                                </w:tcPr>
                                <w:p w14:paraId="387145C1"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1" w:type="pct"/>
                                  <w:tcBorders>
                                    <w:top w:val="nil"/>
                                    <w:left w:val="nil"/>
                                    <w:bottom w:val="single" w:sz="4" w:space="0" w:color="auto"/>
                                    <w:right w:val="single" w:sz="4" w:space="0" w:color="auto"/>
                                  </w:tcBorders>
                                  <w:noWrap/>
                                  <w:hideMark/>
                                </w:tcPr>
                                <w:p w14:paraId="6C8DD1EE"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352" w:type="pct"/>
                                  <w:tcBorders>
                                    <w:top w:val="nil"/>
                                    <w:left w:val="nil"/>
                                    <w:bottom w:val="single" w:sz="4" w:space="0" w:color="auto"/>
                                    <w:right w:val="single" w:sz="4" w:space="0" w:color="auto"/>
                                  </w:tcBorders>
                                  <w:noWrap/>
                                  <w:hideMark/>
                                </w:tcPr>
                                <w:p w14:paraId="17BB88FB"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400" w:type="pct"/>
                                  <w:tcBorders>
                                    <w:top w:val="nil"/>
                                    <w:left w:val="nil"/>
                                    <w:bottom w:val="single" w:sz="4" w:space="0" w:color="auto"/>
                                    <w:right w:val="single" w:sz="4" w:space="0" w:color="auto"/>
                                  </w:tcBorders>
                                  <w:noWrap/>
                                  <w:hideMark/>
                                </w:tcPr>
                                <w:p w14:paraId="1082BFDB"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r>
                            <w:tr w:rsidR="007351A0" w14:paraId="1C1DA4DF" w14:textId="77777777">
                              <w:trPr>
                                <w:trHeight w:val="304"/>
                              </w:trPr>
                              <w:tc>
                                <w:tcPr>
                                  <w:tcW w:w="737" w:type="pct"/>
                                  <w:tcBorders>
                                    <w:top w:val="single" w:sz="4" w:space="0" w:color="auto"/>
                                    <w:left w:val="single" w:sz="4" w:space="0" w:color="auto"/>
                                    <w:bottom w:val="single" w:sz="4" w:space="0" w:color="auto"/>
                                    <w:right w:val="nil"/>
                                  </w:tcBorders>
                                  <w:noWrap/>
                                  <w:vAlign w:val="bottom"/>
                                  <w:hideMark/>
                                </w:tcPr>
                                <w:p w14:paraId="3C4B0412" w14:textId="77777777" w:rsidR="007351A0" w:rsidRDefault="007351A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20,000~56,600</w:t>
                                  </w:r>
                                </w:p>
                              </w:tc>
                              <w:tc>
                                <w:tcPr>
                                  <w:tcW w:w="247" w:type="pct"/>
                                  <w:tcBorders>
                                    <w:top w:val="single" w:sz="4" w:space="0" w:color="auto"/>
                                    <w:left w:val="single" w:sz="4" w:space="0" w:color="auto"/>
                                    <w:bottom w:val="single" w:sz="4" w:space="0" w:color="auto"/>
                                    <w:right w:val="single" w:sz="4" w:space="0" w:color="auto"/>
                                  </w:tcBorders>
                                  <w:noWrap/>
                                  <w:vAlign w:val="center"/>
                                  <w:hideMark/>
                                </w:tcPr>
                                <w:p w14:paraId="24E7F25F"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 </w:t>
                                  </w:r>
                                </w:p>
                              </w:tc>
                              <w:tc>
                                <w:tcPr>
                                  <w:tcW w:w="465" w:type="pct"/>
                                  <w:tcBorders>
                                    <w:top w:val="single" w:sz="4" w:space="0" w:color="auto"/>
                                    <w:left w:val="nil"/>
                                    <w:bottom w:val="single" w:sz="4" w:space="0" w:color="auto"/>
                                    <w:right w:val="single" w:sz="4" w:space="0" w:color="auto"/>
                                  </w:tcBorders>
                                  <w:noWrap/>
                                  <w:vAlign w:val="center"/>
                                  <w:hideMark/>
                                </w:tcPr>
                                <w:p w14:paraId="7149EA1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3.64 </w:t>
                                  </w:r>
                                </w:p>
                              </w:tc>
                              <w:tc>
                                <w:tcPr>
                                  <w:tcW w:w="411" w:type="pct"/>
                                  <w:tcBorders>
                                    <w:top w:val="single" w:sz="4" w:space="0" w:color="auto"/>
                                    <w:left w:val="nil"/>
                                    <w:bottom w:val="single" w:sz="4" w:space="0" w:color="auto"/>
                                    <w:right w:val="single" w:sz="4" w:space="0" w:color="auto"/>
                                  </w:tcBorders>
                                  <w:noWrap/>
                                  <w:vAlign w:val="center"/>
                                  <w:hideMark/>
                                </w:tcPr>
                                <w:p w14:paraId="3BA694C7"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133,700 </w:t>
                                  </w:r>
                                </w:p>
                              </w:tc>
                              <w:tc>
                                <w:tcPr>
                                  <w:tcW w:w="465" w:type="pct"/>
                                  <w:tcBorders>
                                    <w:top w:val="single" w:sz="4" w:space="0" w:color="auto"/>
                                    <w:left w:val="nil"/>
                                    <w:bottom w:val="single" w:sz="4" w:space="0" w:color="auto"/>
                                    <w:right w:val="single" w:sz="4" w:space="0" w:color="auto"/>
                                  </w:tcBorders>
                                  <w:noWrap/>
                                  <w:vAlign w:val="center"/>
                                  <w:hideMark/>
                                </w:tcPr>
                                <w:p w14:paraId="00A66C17"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26.45 </w:t>
                                  </w:r>
                                </w:p>
                              </w:tc>
                              <w:tc>
                                <w:tcPr>
                                  <w:tcW w:w="287" w:type="pct"/>
                                  <w:tcBorders>
                                    <w:top w:val="single" w:sz="4" w:space="0" w:color="auto"/>
                                    <w:left w:val="nil"/>
                                    <w:bottom w:val="single" w:sz="4" w:space="0" w:color="auto"/>
                                    <w:right w:val="single" w:sz="4" w:space="0" w:color="auto"/>
                                  </w:tcBorders>
                                  <w:noWrap/>
                                  <w:vAlign w:val="center"/>
                                  <w:hideMark/>
                                </w:tcPr>
                                <w:p w14:paraId="0B8D6103"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 </w:t>
                                  </w:r>
                                </w:p>
                              </w:tc>
                              <w:tc>
                                <w:tcPr>
                                  <w:tcW w:w="431" w:type="pct"/>
                                  <w:tcBorders>
                                    <w:top w:val="single" w:sz="4" w:space="0" w:color="auto"/>
                                    <w:left w:val="nil"/>
                                    <w:bottom w:val="single" w:sz="4" w:space="0" w:color="auto"/>
                                    <w:right w:val="single" w:sz="4" w:space="0" w:color="auto"/>
                                  </w:tcBorders>
                                  <w:noWrap/>
                                  <w:vAlign w:val="center"/>
                                  <w:hideMark/>
                                </w:tcPr>
                                <w:p w14:paraId="49CF5B79"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133,700 </w:t>
                                  </w:r>
                                </w:p>
                              </w:tc>
                              <w:tc>
                                <w:tcPr>
                                  <w:tcW w:w="285" w:type="pct"/>
                                  <w:tcBorders>
                                    <w:top w:val="single" w:sz="4" w:space="0" w:color="auto"/>
                                    <w:left w:val="nil"/>
                                    <w:bottom w:val="single" w:sz="4" w:space="0" w:color="auto"/>
                                    <w:right w:val="single" w:sz="4" w:space="0" w:color="auto"/>
                                  </w:tcBorders>
                                  <w:noWrap/>
                                  <w:hideMark/>
                                </w:tcPr>
                                <w:p w14:paraId="32F51CD1"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356" w:type="pct"/>
                                  <w:tcBorders>
                                    <w:top w:val="single" w:sz="4" w:space="0" w:color="auto"/>
                                    <w:left w:val="nil"/>
                                    <w:bottom w:val="single" w:sz="4" w:space="0" w:color="auto"/>
                                    <w:right w:val="single" w:sz="4" w:space="0" w:color="auto"/>
                                  </w:tcBorders>
                                  <w:noWrap/>
                                  <w:hideMark/>
                                </w:tcPr>
                                <w:p w14:paraId="005F56A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3" w:type="pct"/>
                                  <w:tcBorders>
                                    <w:top w:val="single" w:sz="4" w:space="0" w:color="auto"/>
                                    <w:left w:val="nil"/>
                                    <w:bottom w:val="single" w:sz="4" w:space="0" w:color="auto"/>
                                    <w:right w:val="single" w:sz="4" w:space="0" w:color="auto"/>
                                  </w:tcBorders>
                                  <w:noWrap/>
                                  <w:hideMark/>
                                </w:tcPr>
                                <w:p w14:paraId="648BADD0"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1" w:type="pct"/>
                                  <w:tcBorders>
                                    <w:top w:val="single" w:sz="4" w:space="0" w:color="auto"/>
                                    <w:left w:val="nil"/>
                                    <w:bottom w:val="single" w:sz="4" w:space="0" w:color="auto"/>
                                    <w:right w:val="single" w:sz="4" w:space="0" w:color="auto"/>
                                  </w:tcBorders>
                                  <w:noWrap/>
                                  <w:hideMark/>
                                </w:tcPr>
                                <w:p w14:paraId="5D97F56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352" w:type="pct"/>
                                  <w:tcBorders>
                                    <w:top w:val="single" w:sz="4" w:space="0" w:color="auto"/>
                                    <w:left w:val="nil"/>
                                    <w:bottom w:val="single" w:sz="4" w:space="0" w:color="auto"/>
                                    <w:right w:val="single" w:sz="4" w:space="0" w:color="auto"/>
                                  </w:tcBorders>
                                  <w:noWrap/>
                                  <w:hideMark/>
                                </w:tcPr>
                                <w:p w14:paraId="29AE6DC6"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400" w:type="pct"/>
                                  <w:tcBorders>
                                    <w:top w:val="single" w:sz="4" w:space="0" w:color="auto"/>
                                    <w:left w:val="nil"/>
                                    <w:bottom w:val="single" w:sz="4" w:space="0" w:color="auto"/>
                                    <w:right w:val="single" w:sz="4" w:space="0" w:color="auto"/>
                                  </w:tcBorders>
                                  <w:noWrap/>
                                  <w:hideMark/>
                                </w:tcPr>
                                <w:p w14:paraId="23B61A5A"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r>
                            <w:tr w:rsidR="007351A0" w14:paraId="268E417D" w14:textId="77777777">
                              <w:trPr>
                                <w:trHeight w:val="304"/>
                              </w:trPr>
                              <w:tc>
                                <w:tcPr>
                                  <w:tcW w:w="5000" w:type="pct"/>
                                  <w:gridSpan w:val="13"/>
                                  <w:tcBorders>
                                    <w:top w:val="single" w:sz="4" w:space="0" w:color="auto"/>
                                    <w:left w:val="nil"/>
                                    <w:bottom w:val="nil"/>
                                    <w:right w:val="nil"/>
                                  </w:tcBorders>
                                  <w:noWrap/>
                                  <w:vAlign w:val="bottom"/>
                                  <w:hideMark/>
                                </w:tcPr>
                                <w:p w14:paraId="384ABF00" w14:textId="77777777" w:rsidR="007351A0" w:rsidRDefault="007351A0">
                                  <w:pPr>
                                    <w:spacing w:line="26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資料來源：整理自商業處提供資料。</w:t>
                                  </w:r>
                                </w:p>
                              </w:tc>
                            </w:tr>
                            <w:bookmarkEnd w:id="46"/>
                          </w:tbl>
                          <w:p w14:paraId="3A730DC3" w14:textId="77777777" w:rsidR="007351A0" w:rsidRDefault="007351A0" w:rsidP="007351A0"/>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015B3B" id="文字方塊 40" o:spid="_x0000_s1072" type="#_x0000_t202" style="position:absolute;left:0;text-align:left;margin-left:-3.55pt;margin-top:319.15pt;width:508.2pt;height:206.75pt;z-index:2517073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" filled="f" stroked="f">
                <v:textbox>
                  <w:txbxContent>
                    <w:tbl>
                      <w:tblPr>
                        <w:tblW w:w="4916" w:type="pct"/>
                        <w:tblCellMar>
                          <w:left w:w="28" w:type="dxa"/>
                          <w:right w:w="28" w:type="dxa"/>
                        </w:tblCellMar>
                        <w:tblLook w:val="04A0" w:firstRow="1" w:lastRow="0" w:firstColumn="1" w:lastColumn="0" w:noHBand="0" w:noVBand="1"/>
                      </w:tblPr>
                      <w:tblGrid>
                        <w:gridCol w:w="1431"/>
                        <w:gridCol w:w="480"/>
                        <w:gridCol w:w="903"/>
                        <w:gridCol w:w="798"/>
                        <w:gridCol w:w="903"/>
                        <w:gridCol w:w="557"/>
                        <w:gridCol w:w="837"/>
                        <w:gridCol w:w="554"/>
                        <w:gridCol w:w="691"/>
                        <w:gridCol w:w="550"/>
                        <w:gridCol w:w="546"/>
                        <w:gridCol w:w="684"/>
                        <w:gridCol w:w="777"/>
                      </w:tblGrid>
                      <w:tr w:rsidR="007351A0" w14:paraId="6161B0D2" w14:textId="77777777">
                        <w:trPr>
                          <w:trHeight w:val="318"/>
                        </w:trPr>
                        <w:tc>
                          <w:tcPr>
                            <w:tcW w:w="5000" w:type="pct"/>
                            <w:gridSpan w:val="13"/>
                            <w:noWrap/>
                            <w:vAlign w:val="bottom"/>
                            <w:hideMark/>
                          </w:tcPr>
                          <w:p w14:paraId="20D68965" w14:textId="77777777" w:rsidR="007351A0" w:rsidRDefault="007351A0">
                            <w:pPr>
                              <w:widowControl/>
                              <w:jc w:val="center"/>
                              <w:rPr>
                                <w:rFonts w:ascii="標楷體" w:eastAsia="標楷體" w:hAnsi="標楷體" w:cs="新細明體"/>
                                <w:color w:val="000000"/>
                                <w:kern w:val="0"/>
                              </w:rPr>
                            </w:pPr>
                            <w:bookmarkStart w:id="47" w:name="_Hlk186709830"/>
                            <w:r>
                              <w:rPr>
                                <w:rFonts w:ascii="標楷體" w:eastAsia="標楷體" w:hAnsi="標楷體" w:cs="新細明體" w:hint="eastAsia"/>
                                <w:b/>
                                <w:bCs/>
                                <w:color w:val="000000"/>
                                <w:kern w:val="0"/>
                              </w:rPr>
                              <w:t xml:space="preserve">表2　</w:t>
                            </w:r>
                            <w:r>
                              <w:rPr>
                                <w:rFonts w:ascii="標楷體" w:eastAsia="標楷體" w:hAnsi="標楷體" w:cs="新細明體" w:hint="eastAsia"/>
                                <w:b/>
                                <w:color w:val="000000"/>
                                <w:kern w:val="0"/>
                              </w:rPr>
                              <w:t>店家收</w:t>
                            </w:r>
                            <w:proofErr w:type="gramStart"/>
                            <w:r>
                              <w:rPr>
                                <w:rFonts w:ascii="標楷體" w:eastAsia="標楷體" w:hAnsi="標楷體" w:cs="新細明體" w:hint="eastAsia"/>
                                <w:b/>
                                <w:color w:val="000000"/>
                                <w:kern w:val="0"/>
                              </w:rPr>
                              <w:t>券</w:t>
                            </w:r>
                            <w:proofErr w:type="gramEnd"/>
                            <w:r>
                              <w:rPr>
                                <w:rFonts w:ascii="標楷體" w:eastAsia="標楷體" w:hAnsi="標楷體" w:cs="新細明體" w:hint="eastAsia"/>
                                <w:b/>
                                <w:color w:val="000000"/>
                                <w:kern w:val="0"/>
                              </w:rPr>
                              <w:t>經費核銷情形</w:t>
                            </w:r>
                          </w:p>
                        </w:tc>
                      </w:tr>
                      <w:tr w:rsidR="007351A0" w14:paraId="7498AB09" w14:textId="77777777">
                        <w:trPr>
                          <w:trHeight w:val="318"/>
                        </w:trPr>
                        <w:tc>
                          <w:tcPr>
                            <w:tcW w:w="5000" w:type="pct"/>
                            <w:gridSpan w:val="13"/>
                            <w:noWrap/>
                            <w:vAlign w:val="bottom"/>
                            <w:hideMark/>
                          </w:tcPr>
                          <w:p w14:paraId="7BC94CEA" w14:textId="77777777" w:rsidR="007351A0" w:rsidRDefault="007351A0">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單位：新臺幣元、家數、％</w:t>
                            </w:r>
                          </w:p>
                        </w:tc>
                      </w:tr>
                      <w:tr w:rsidR="007351A0" w14:paraId="24A95540" w14:textId="77777777">
                        <w:trPr>
                          <w:trHeight w:val="318"/>
                        </w:trPr>
                        <w:tc>
                          <w:tcPr>
                            <w:tcW w:w="737" w:type="pct"/>
                            <w:vMerge w:val="restart"/>
                            <w:tcBorders>
                              <w:top w:val="single" w:sz="4" w:space="0" w:color="auto"/>
                              <w:left w:val="single" w:sz="4" w:space="0" w:color="auto"/>
                              <w:bottom w:val="single" w:sz="4" w:space="0" w:color="auto"/>
                              <w:right w:val="nil"/>
                            </w:tcBorders>
                            <w:noWrap/>
                            <w:vAlign w:val="center"/>
                            <w:hideMark/>
                          </w:tcPr>
                          <w:p w14:paraId="1FE66631"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核銷經費</w:t>
                            </w:r>
                          </w:p>
                          <w:p w14:paraId="64EB2B42"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金額範圍級距</w:t>
                            </w:r>
                          </w:p>
                        </w:tc>
                        <w:tc>
                          <w:tcPr>
                            <w:tcW w:w="1588" w:type="pct"/>
                            <w:gridSpan w:val="4"/>
                            <w:tcBorders>
                              <w:top w:val="single" w:sz="4" w:space="0" w:color="auto"/>
                              <w:left w:val="single" w:sz="4" w:space="0" w:color="auto"/>
                              <w:bottom w:val="single" w:sz="4" w:space="0" w:color="auto"/>
                              <w:right w:val="single" w:sz="4" w:space="0" w:color="auto"/>
                            </w:tcBorders>
                            <w:noWrap/>
                            <w:vAlign w:val="bottom"/>
                            <w:hideMark/>
                          </w:tcPr>
                          <w:p w14:paraId="2CE76B6E"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核銷經費</w:t>
                            </w:r>
                          </w:p>
                        </w:tc>
                        <w:tc>
                          <w:tcPr>
                            <w:tcW w:w="718" w:type="pct"/>
                            <w:gridSpan w:val="2"/>
                            <w:tcBorders>
                              <w:top w:val="single" w:sz="4" w:space="0" w:color="auto"/>
                              <w:left w:val="nil"/>
                              <w:bottom w:val="single" w:sz="4" w:space="0" w:color="auto"/>
                              <w:right w:val="single" w:sz="4" w:space="0" w:color="auto"/>
                            </w:tcBorders>
                            <w:noWrap/>
                            <w:vAlign w:val="bottom"/>
                            <w:hideMark/>
                          </w:tcPr>
                          <w:p w14:paraId="45111661"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美食餐廳</w:t>
                            </w:r>
                          </w:p>
                        </w:tc>
                        <w:tc>
                          <w:tcPr>
                            <w:tcW w:w="641" w:type="pct"/>
                            <w:gridSpan w:val="2"/>
                            <w:tcBorders>
                              <w:top w:val="single" w:sz="4" w:space="0" w:color="auto"/>
                              <w:left w:val="nil"/>
                              <w:bottom w:val="single" w:sz="4" w:space="0" w:color="auto"/>
                              <w:right w:val="single" w:sz="4" w:space="0" w:color="auto"/>
                            </w:tcBorders>
                            <w:noWrap/>
                            <w:vAlign w:val="bottom"/>
                            <w:hideMark/>
                          </w:tcPr>
                          <w:p w14:paraId="3B9462A7"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零售購物</w:t>
                            </w:r>
                          </w:p>
                        </w:tc>
                        <w:tc>
                          <w:tcPr>
                            <w:tcW w:w="564" w:type="pct"/>
                            <w:gridSpan w:val="2"/>
                            <w:tcBorders>
                              <w:top w:val="single" w:sz="4" w:space="0" w:color="auto"/>
                              <w:left w:val="nil"/>
                              <w:bottom w:val="single" w:sz="4" w:space="0" w:color="auto"/>
                              <w:right w:val="single" w:sz="4" w:space="0" w:color="auto"/>
                            </w:tcBorders>
                            <w:noWrap/>
                            <w:vAlign w:val="bottom"/>
                            <w:hideMark/>
                          </w:tcPr>
                          <w:p w14:paraId="46996B39"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休閒娛樂</w:t>
                            </w:r>
                          </w:p>
                        </w:tc>
                        <w:tc>
                          <w:tcPr>
                            <w:tcW w:w="752" w:type="pct"/>
                            <w:gridSpan w:val="2"/>
                            <w:tcBorders>
                              <w:top w:val="single" w:sz="4" w:space="0" w:color="auto"/>
                              <w:left w:val="nil"/>
                              <w:bottom w:val="single" w:sz="4" w:space="0" w:color="auto"/>
                              <w:right w:val="single" w:sz="4" w:space="0" w:color="auto"/>
                            </w:tcBorders>
                            <w:noWrap/>
                            <w:vAlign w:val="bottom"/>
                            <w:hideMark/>
                          </w:tcPr>
                          <w:p w14:paraId="06B33949" w14:textId="77777777" w:rsidR="007351A0" w:rsidRDefault="007351A0">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其他</w:t>
                            </w:r>
                          </w:p>
                        </w:tc>
                      </w:tr>
                      <w:tr w:rsidR="007351A0" w14:paraId="1CF69AAA" w14:textId="77777777">
                        <w:trPr>
                          <w:trHeight w:val="54"/>
                        </w:trPr>
                        <w:tc>
                          <w:tcPr>
                            <w:tcW w:w="0" w:type="auto"/>
                            <w:vMerge/>
                            <w:tcBorders>
                              <w:top w:val="single" w:sz="4" w:space="0" w:color="auto"/>
                              <w:left w:val="single" w:sz="4" w:space="0" w:color="auto"/>
                              <w:bottom w:val="single" w:sz="4" w:space="0" w:color="auto"/>
                              <w:right w:val="nil"/>
                            </w:tcBorders>
                            <w:vAlign w:val="center"/>
                            <w:hideMark/>
                          </w:tcPr>
                          <w:p w14:paraId="0F3846C7" w14:textId="77777777" w:rsidR="007351A0" w:rsidRDefault="007351A0">
                            <w:pPr>
                              <w:widowControl/>
                              <w:rPr>
                                <w:rFonts w:ascii="標楷體" w:eastAsia="標楷體" w:hAnsi="標楷體" w:cs="新細明體"/>
                                <w:color w:val="000000"/>
                                <w:kern w:val="0"/>
                                <w:sz w:val="20"/>
                                <w:szCs w:val="20"/>
                              </w:rPr>
                            </w:pPr>
                          </w:p>
                        </w:tc>
                        <w:tc>
                          <w:tcPr>
                            <w:tcW w:w="247" w:type="pct"/>
                            <w:tcBorders>
                              <w:top w:val="nil"/>
                              <w:left w:val="single" w:sz="4" w:space="0" w:color="auto"/>
                              <w:bottom w:val="single" w:sz="4" w:space="0" w:color="auto"/>
                              <w:right w:val="single" w:sz="4" w:space="0" w:color="auto"/>
                            </w:tcBorders>
                            <w:noWrap/>
                            <w:vAlign w:val="center"/>
                            <w:hideMark/>
                          </w:tcPr>
                          <w:p w14:paraId="7D00018D"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465" w:type="pct"/>
                            <w:tcBorders>
                              <w:top w:val="nil"/>
                              <w:left w:val="nil"/>
                              <w:bottom w:val="single" w:sz="4" w:space="0" w:color="auto"/>
                              <w:right w:val="single" w:sz="4" w:space="0" w:color="auto"/>
                            </w:tcBorders>
                            <w:noWrap/>
                            <w:vAlign w:val="center"/>
                            <w:hideMark/>
                          </w:tcPr>
                          <w:p w14:paraId="04488672"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家數占比</w:t>
                            </w:r>
                          </w:p>
                        </w:tc>
                        <w:tc>
                          <w:tcPr>
                            <w:tcW w:w="411" w:type="pct"/>
                            <w:tcBorders>
                              <w:top w:val="nil"/>
                              <w:left w:val="nil"/>
                              <w:bottom w:val="single" w:sz="4" w:space="0" w:color="auto"/>
                              <w:right w:val="single" w:sz="4" w:space="0" w:color="auto"/>
                            </w:tcBorders>
                            <w:noWrap/>
                            <w:vAlign w:val="center"/>
                            <w:hideMark/>
                          </w:tcPr>
                          <w:p w14:paraId="6D5A7F94"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465" w:type="pct"/>
                            <w:tcBorders>
                              <w:top w:val="nil"/>
                              <w:left w:val="nil"/>
                              <w:bottom w:val="single" w:sz="4" w:space="0" w:color="auto"/>
                              <w:right w:val="single" w:sz="4" w:space="0" w:color="auto"/>
                            </w:tcBorders>
                            <w:noWrap/>
                            <w:vAlign w:val="center"/>
                            <w:hideMark/>
                          </w:tcPr>
                          <w:p w14:paraId="43DD4B80"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金額占比</w:t>
                            </w:r>
                          </w:p>
                        </w:tc>
                        <w:tc>
                          <w:tcPr>
                            <w:tcW w:w="287" w:type="pct"/>
                            <w:tcBorders>
                              <w:top w:val="nil"/>
                              <w:left w:val="nil"/>
                              <w:bottom w:val="single" w:sz="4" w:space="0" w:color="auto"/>
                              <w:right w:val="single" w:sz="4" w:space="0" w:color="auto"/>
                            </w:tcBorders>
                            <w:noWrap/>
                            <w:vAlign w:val="center"/>
                            <w:hideMark/>
                          </w:tcPr>
                          <w:p w14:paraId="1BA6355C"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431" w:type="pct"/>
                            <w:tcBorders>
                              <w:top w:val="nil"/>
                              <w:left w:val="nil"/>
                              <w:bottom w:val="single" w:sz="4" w:space="0" w:color="auto"/>
                              <w:right w:val="single" w:sz="4" w:space="0" w:color="auto"/>
                            </w:tcBorders>
                            <w:noWrap/>
                            <w:vAlign w:val="center"/>
                            <w:hideMark/>
                          </w:tcPr>
                          <w:p w14:paraId="5259C551"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285" w:type="pct"/>
                            <w:tcBorders>
                              <w:top w:val="nil"/>
                              <w:left w:val="nil"/>
                              <w:bottom w:val="single" w:sz="4" w:space="0" w:color="auto"/>
                              <w:right w:val="single" w:sz="4" w:space="0" w:color="auto"/>
                            </w:tcBorders>
                            <w:noWrap/>
                            <w:vAlign w:val="center"/>
                            <w:hideMark/>
                          </w:tcPr>
                          <w:p w14:paraId="58F3856C"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356" w:type="pct"/>
                            <w:tcBorders>
                              <w:top w:val="nil"/>
                              <w:left w:val="nil"/>
                              <w:bottom w:val="single" w:sz="4" w:space="0" w:color="auto"/>
                              <w:right w:val="single" w:sz="4" w:space="0" w:color="auto"/>
                            </w:tcBorders>
                            <w:noWrap/>
                            <w:vAlign w:val="center"/>
                            <w:hideMark/>
                          </w:tcPr>
                          <w:p w14:paraId="115267A3"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283" w:type="pct"/>
                            <w:tcBorders>
                              <w:top w:val="nil"/>
                              <w:left w:val="nil"/>
                              <w:bottom w:val="single" w:sz="4" w:space="0" w:color="auto"/>
                              <w:right w:val="single" w:sz="4" w:space="0" w:color="auto"/>
                            </w:tcBorders>
                            <w:noWrap/>
                            <w:vAlign w:val="center"/>
                            <w:hideMark/>
                          </w:tcPr>
                          <w:p w14:paraId="215EA52B"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281" w:type="pct"/>
                            <w:tcBorders>
                              <w:top w:val="nil"/>
                              <w:left w:val="nil"/>
                              <w:bottom w:val="single" w:sz="4" w:space="0" w:color="auto"/>
                              <w:right w:val="single" w:sz="4" w:space="0" w:color="auto"/>
                            </w:tcBorders>
                            <w:noWrap/>
                            <w:vAlign w:val="center"/>
                            <w:hideMark/>
                          </w:tcPr>
                          <w:p w14:paraId="46F32B00"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c>
                          <w:tcPr>
                            <w:tcW w:w="352" w:type="pct"/>
                            <w:tcBorders>
                              <w:top w:val="nil"/>
                              <w:left w:val="nil"/>
                              <w:bottom w:val="single" w:sz="4" w:space="0" w:color="auto"/>
                              <w:right w:val="single" w:sz="4" w:space="0" w:color="auto"/>
                            </w:tcBorders>
                            <w:noWrap/>
                            <w:vAlign w:val="center"/>
                            <w:hideMark/>
                          </w:tcPr>
                          <w:p w14:paraId="79C58AAB"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家數</w:t>
                            </w:r>
                          </w:p>
                        </w:tc>
                        <w:tc>
                          <w:tcPr>
                            <w:tcW w:w="400" w:type="pct"/>
                            <w:tcBorders>
                              <w:top w:val="nil"/>
                              <w:left w:val="nil"/>
                              <w:bottom w:val="single" w:sz="4" w:space="0" w:color="auto"/>
                              <w:right w:val="single" w:sz="4" w:space="0" w:color="auto"/>
                            </w:tcBorders>
                            <w:noWrap/>
                            <w:vAlign w:val="center"/>
                            <w:hideMark/>
                          </w:tcPr>
                          <w:p w14:paraId="2A65C300" w14:textId="77777777" w:rsidR="007351A0" w:rsidRDefault="007351A0">
                            <w:pPr>
                              <w:widowControl/>
                              <w:spacing w:line="3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金額</w:t>
                            </w:r>
                          </w:p>
                        </w:tc>
                      </w:tr>
                      <w:tr w:rsidR="007351A0" w14:paraId="2F9343A0" w14:textId="77777777">
                        <w:trPr>
                          <w:trHeight w:val="318"/>
                        </w:trPr>
                        <w:tc>
                          <w:tcPr>
                            <w:tcW w:w="737" w:type="pct"/>
                            <w:tcBorders>
                              <w:top w:val="nil"/>
                              <w:left w:val="single" w:sz="4" w:space="0" w:color="auto"/>
                              <w:bottom w:val="single" w:sz="4" w:space="0" w:color="auto"/>
                              <w:right w:val="nil"/>
                            </w:tcBorders>
                            <w:noWrap/>
                            <w:vAlign w:val="bottom"/>
                            <w:hideMark/>
                          </w:tcPr>
                          <w:p w14:paraId="3B98200F" w14:textId="77777777" w:rsidR="007351A0" w:rsidRDefault="007351A0" w:rsidP="00F328A0">
                            <w:pPr>
                              <w:widowControl/>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合 計</w:t>
                            </w:r>
                          </w:p>
                        </w:tc>
                        <w:tc>
                          <w:tcPr>
                            <w:tcW w:w="247" w:type="pct"/>
                            <w:tcBorders>
                              <w:top w:val="nil"/>
                              <w:left w:val="single" w:sz="4" w:space="0" w:color="auto"/>
                              <w:bottom w:val="single" w:sz="4" w:space="0" w:color="auto"/>
                              <w:right w:val="single" w:sz="4" w:space="0" w:color="auto"/>
                            </w:tcBorders>
                            <w:noWrap/>
                            <w:vAlign w:val="center"/>
                            <w:hideMark/>
                          </w:tcPr>
                          <w:p w14:paraId="5612B10C"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110 </w:t>
                            </w:r>
                          </w:p>
                        </w:tc>
                        <w:tc>
                          <w:tcPr>
                            <w:tcW w:w="465" w:type="pct"/>
                            <w:tcBorders>
                              <w:top w:val="nil"/>
                              <w:left w:val="nil"/>
                              <w:bottom w:val="single" w:sz="4" w:space="0" w:color="auto"/>
                              <w:right w:val="single" w:sz="4" w:space="0" w:color="auto"/>
                            </w:tcBorders>
                            <w:noWrap/>
                            <w:vAlign w:val="center"/>
                            <w:hideMark/>
                          </w:tcPr>
                          <w:p w14:paraId="261EEBC8"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100.00 </w:t>
                            </w:r>
                          </w:p>
                        </w:tc>
                        <w:tc>
                          <w:tcPr>
                            <w:tcW w:w="411" w:type="pct"/>
                            <w:tcBorders>
                              <w:top w:val="nil"/>
                              <w:left w:val="nil"/>
                              <w:bottom w:val="single" w:sz="4" w:space="0" w:color="auto"/>
                              <w:right w:val="single" w:sz="4" w:space="0" w:color="auto"/>
                            </w:tcBorders>
                            <w:noWrap/>
                            <w:vAlign w:val="center"/>
                            <w:hideMark/>
                          </w:tcPr>
                          <w:p w14:paraId="0B482A02"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505,500 </w:t>
                            </w:r>
                          </w:p>
                        </w:tc>
                        <w:tc>
                          <w:tcPr>
                            <w:tcW w:w="465" w:type="pct"/>
                            <w:tcBorders>
                              <w:top w:val="nil"/>
                              <w:left w:val="nil"/>
                              <w:bottom w:val="single" w:sz="4" w:space="0" w:color="auto"/>
                              <w:right w:val="single" w:sz="4" w:space="0" w:color="auto"/>
                            </w:tcBorders>
                            <w:noWrap/>
                            <w:vAlign w:val="center"/>
                            <w:hideMark/>
                          </w:tcPr>
                          <w:p w14:paraId="6A8033BD"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100.00 </w:t>
                            </w:r>
                          </w:p>
                        </w:tc>
                        <w:tc>
                          <w:tcPr>
                            <w:tcW w:w="287" w:type="pct"/>
                            <w:tcBorders>
                              <w:top w:val="nil"/>
                              <w:left w:val="nil"/>
                              <w:bottom w:val="single" w:sz="4" w:space="0" w:color="auto"/>
                              <w:right w:val="single" w:sz="4" w:space="0" w:color="auto"/>
                            </w:tcBorders>
                            <w:noWrap/>
                            <w:vAlign w:val="center"/>
                            <w:hideMark/>
                          </w:tcPr>
                          <w:p w14:paraId="534DCF86"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82 </w:t>
                            </w:r>
                          </w:p>
                        </w:tc>
                        <w:tc>
                          <w:tcPr>
                            <w:tcW w:w="431" w:type="pct"/>
                            <w:tcBorders>
                              <w:top w:val="nil"/>
                              <w:left w:val="nil"/>
                              <w:bottom w:val="single" w:sz="4" w:space="0" w:color="auto"/>
                              <w:right w:val="single" w:sz="4" w:space="0" w:color="auto"/>
                            </w:tcBorders>
                            <w:noWrap/>
                            <w:vAlign w:val="center"/>
                            <w:hideMark/>
                          </w:tcPr>
                          <w:p w14:paraId="6B1F16CD"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479,700 </w:t>
                            </w:r>
                          </w:p>
                        </w:tc>
                        <w:tc>
                          <w:tcPr>
                            <w:tcW w:w="285" w:type="pct"/>
                            <w:tcBorders>
                              <w:top w:val="nil"/>
                              <w:left w:val="nil"/>
                              <w:bottom w:val="single" w:sz="4" w:space="0" w:color="auto"/>
                              <w:right w:val="single" w:sz="4" w:space="0" w:color="auto"/>
                            </w:tcBorders>
                            <w:noWrap/>
                            <w:vAlign w:val="center"/>
                            <w:hideMark/>
                          </w:tcPr>
                          <w:p w14:paraId="22BAAF7C"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17 </w:t>
                            </w:r>
                          </w:p>
                        </w:tc>
                        <w:tc>
                          <w:tcPr>
                            <w:tcW w:w="356" w:type="pct"/>
                            <w:tcBorders>
                              <w:top w:val="nil"/>
                              <w:left w:val="nil"/>
                              <w:bottom w:val="single" w:sz="4" w:space="0" w:color="auto"/>
                              <w:right w:val="single" w:sz="4" w:space="0" w:color="auto"/>
                            </w:tcBorders>
                            <w:noWrap/>
                            <w:vAlign w:val="center"/>
                            <w:hideMark/>
                          </w:tcPr>
                          <w:p w14:paraId="6EEAE902"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25,100 </w:t>
                            </w:r>
                          </w:p>
                        </w:tc>
                        <w:tc>
                          <w:tcPr>
                            <w:tcW w:w="283" w:type="pct"/>
                            <w:tcBorders>
                              <w:top w:val="nil"/>
                              <w:left w:val="nil"/>
                              <w:bottom w:val="single" w:sz="4" w:space="0" w:color="auto"/>
                              <w:right w:val="single" w:sz="4" w:space="0" w:color="auto"/>
                            </w:tcBorders>
                            <w:noWrap/>
                            <w:vAlign w:val="center"/>
                            <w:hideMark/>
                          </w:tcPr>
                          <w:p w14:paraId="44F9DE13"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9 </w:t>
                            </w:r>
                          </w:p>
                        </w:tc>
                        <w:tc>
                          <w:tcPr>
                            <w:tcW w:w="281" w:type="pct"/>
                            <w:tcBorders>
                              <w:top w:val="nil"/>
                              <w:left w:val="nil"/>
                              <w:bottom w:val="single" w:sz="4" w:space="0" w:color="auto"/>
                              <w:right w:val="single" w:sz="4" w:space="0" w:color="auto"/>
                            </w:tcBorders>
                            <w:noWrap/>
                            <w:vAlign w:val="center"/>
                            <w:hideMark/>
                          </w:tcPr>
                          <w:p w14:paraId="40C94B8E"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300 </w:t>
                            </w:r>
                          </w:p>
                        </w:tc>
                        <w:tc>
                          <w:tcPr>
                            <w:tcW w:w="352" w:type="pct"/>
                            <w:tcBorders>
                              <w:top w:val="nil"/>
                              <w:left w:val="nil"/>
                              <w:bottom w:val="single" w:sz="4" w:space="0" w:color="auto"/>
                              <w:right w:val="single" w:sz="4" w:space="0" w:color="auto"/>
                            </w:tcBorders>
                            <w:noWrap/>
                            <w:vAlign w:val="center"/>
                            <w:hideMark/>
                          </w:tcPr>
                          <w:p w14:paraId="05645976"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2 </w:t>
                            </w:r>
                          </w:p>
                        </w:tc>
                        <w:tc>
                          <w:tcPr>
                            <w:tcW w:w="400" w:type="pct"/>
                            <w:tcBorders>
                              <w:top w:val="nil"/>
                              <w:left w:val="nil"/>
                              <w:bottom w:val="single" w:sz="4" w:space="0" w:color="auto"/>
                              <w:right w:val="single" w:sz="4" w:space="0" w:color="auto"/>
                            </w:tcBorders>
                            <w:noWrap/>
                            <w:vAlign w:val="center"/>
                            <w:hideMark/>
                          </w:tcPr>
                          <w:p w14:paraId="75C8B34B" w14:textId="77777777" w:rsidR="007351A0" w:rsidRDefault="007351A0">
                            <w:pPr>
                              <w:widowControl/>
                              <w:spacing w:line="300" w:lineRule="exact"/>
                              <w:jc w:val="right"/>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 xml:space="preserve">400 </w:t>
                            </w:r>
                          </w:p>
                        </w:tc>
                      </w:tr>
                      <w:tr w:rsidR="007351A0" w14:paraId="361DC82A" w14:textId="77777777">
                        <w:trPr>
                          <w:trHeight w:val="304"/>
                        </w:trPr>
                        <w:tc>
                          <w:tcPr>
                            <w:tcW w:w="737" w:type="pct"/>
                            <w:tcBorders>
                              <w:top w:val="nil"/>
                              <w:left w:val="single" w:sz="4" w:space="0" w:color="auto"/>
                              <w:bottom w:val="single" w:sz="4" w:space="0" w:color="auto"/>
                              <w:right w:val="nil"/>
                            </w:tcBorders>
                            <w:noWrap/>
                            <w:vAlign w:val="bottom"/>
                            <w:hideMark/>
                          </w:tcPr>
                          <w:p w14:paraId="3F9622DF" w14:textId="77777777" w:rsidR="007351A0" w:rsidRDefault="007351A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0</w:t>
                            </w:r>
                          </w:p>
                        </w:tc>
                        <w:tc>
                          <w:tcPr>
                            <w:tcW w:w="247" w:type="pct"/>
                            <w:tcBorders>
                              <w:top w:val="nil"/>
                              <w:left w:val="single" w:sz="4" w:space="0" w:color="auto"/>
                              <w:bottom w:val="single" w:sz="4" w:space="0" w:color="auto"/>
                              <w:right w:val="single" w:sz="4" w:space="0" w:color="auto"/>
                            </w:tcBorders>
                            <w:noWrap/>
                            <w:vAlign w:val="center"/>
                            <w:hideMark/>
                          </w:tcPr>
                          <w:p w14:paraId="7DC4A55E"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28 </w:t>
                            </w:r>
                          </w:p>
                        </w:tc>
                        <w:tc>
                          <w:tcPr>
                            <w:tcW w:w="465" w:type="pct"/>
                            <w:tcBorders>
                              <w:top w:val="nil"/>
                              <w:left w:val="nil"/>
                              <w:bottom w:val="single" w:sz="4" w:space="0" w:color="auto"/>
                              <w:right w:val="single" w:sz="4" w:space="0" w:color="auto"/>
                            </w:tcBorders>
                            <w:noWrap/>
                            <w:vAlign w:val="center"/>
                            <w:hideMark/>
                          </w:tcPr>
                          <w:p w14:paraId="7C08F79D"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25.45 </w:t>
                            </w:r>
                          </w:p>
                        </w:tc>
                        <w:tc>
                          <w:tcPr>
                            <w:tcW w:w="411" w:type="pct"/>
                            <w:tcBorders>
                              <w:top w:val="nil"/>
                              <w:left w:val="nil"/>
                              <w:bottom w:val="single" w:sz="4" w:space="0" w:color="auto"/>
                              <w:right w:val="single" w:sz="4" w:space="0" w:color="auto"/>
                            </w:tcBorders>
                            <w:noWrap/>
                            <w:hideMark/>
                          </w:tcPr>
                          <w:p w14:paraId="7F103499"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465" w:type="pct"/>
                            <w:tcBorders>
                              <w:top w:val="nil"/>
                              <w:left w:val="nil"/>
                              <w:bottom w:val="single" w:sz="4" w:space="0" w:color="auto"/>
                              <w:right w:val="single" w:sz="4" w:space="0" w:color="auto"/>
                            </w:tcBorders>
                            <w:noWrap/>
                            <w:hideMark/>
                          </w:tcPr>
                          <w:p w14:paraId="2BBEC772"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7" w:type="pct"/>
                            <w:tcBorders>
                              <w:top w:val="nil"/>
                              <w:left w:val="nil"/>
                              <w:bottom w:val="single" w:sz="4" w:space="0" w:color="auto"/>
                              <w:right w:val="single" w:sz="4" w:space="0" w:color="auto"/>
                            </w:tcBorders>
                            <w:noWrap/>
                            <w:vAlign w:val="center"/>
                            <w:hideMark/>
                          </w:tcPr>
                          <w:p w14:paraId="50F62F9D"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10 </w:t>
                            </w:r>
                          </w:p>
                        </w:tc>
                        <w:tc>
                          <w:tcPr>
                            <w:tcW w:w="431" w:type="pct"/>
                            <w:tcBorders>
                              <w:top w:val="nil"/>
                              <w:left w:val="nil"/>
                              <w:bottom w:val="single" w:sz="4" w:space="0" w:color="auto"/>
                              <w:right w:val="single" w:sz="4" w:space="0" w:color="auto"/>
                            </w:tcBorders>
                            <w:noWrap/>
                            <w:vAlign w:val="center"/>
                            <w:hideMark/>
                          </w:tcPr>
                          <w:p w14:paraId="0F8D73A7"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r w:rsidRPr="00677044">
                              <w:rPr>
                                <w:rFonts w:ascii="標楷體" w:eastAsia="標楷體" w:hAnsi="標楷體" w:cs="新細明體" w:hint="eastAsia"/>
                                <w:color w:val="000000"/>
                                <w:kern w:val="0"/>
                                <w:sz w:val="20"/>
                                <w:szCs w:val="20"/>
                              </w:rPr>
                              <w:t xml:space="preserve"> </w:t>
                            </w:r>
                          </w:p>
                        </w:tc>
                        <w:tc>
                          <w:tcPr>
                            <w:tcW w:w="285" w:type="pct"/>
                            <w:tcBorders>
                              <w:top w:val="nil"/>
                              <w:left w:val="nil"/>
                              <w:bottom w:val="single" w:sz="4" w:space="0" w:color="auto"/>
                              <w:right w:val="single" w:sz="4" w:space="0" w:color="auto"/>
                            </w:tcBorders>
                            <w:noWrap/>
                            <w:vAlign w:val="center"/>
                            <w:hideMark/>
                          </w:tcPr>
                          <w:p w14:paraId="409A8A6F"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11 </w:t>
                            </w:r>
                          </w:p>
                        </w:tc>
                        <w:tc>
                          <w:tcPr>
                            <w:tcW w:w="356" w:type="pct"/>
                            <w:tcBorders>
                              <w:top w:val="nil"/>
                              <w:left w:val="nil"/>
                              <w:bottom w:val="single" w:sz="4" w:space="0" w:color="auto"/>
                              <w:right w:val="single" w:sz="4" w:space="0" w:color="auto"/>
                            </w:tcBorders>
                            <w:noWrap/>
                            <w:hideMark/>
                          </w:tcPr>
                          <w:p w14:paraId="03BDAA1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3" w:type="pct"/>
                            <w:tcBorders>
                              <w:top w:val="nil"/>
                              <w:left w:val="nil"/>
                              <w:bottom w:val="single" w:sz="4" w:space="0" w:color="auto"/>
                              <w:right w:val="single" w:sz="4" w:space="0" w:color="auto"/>
                            </w:tcBorders>
                            <w:noWrap/>
                            <w:vAlign w:val="center"/>
                            <w:hideMark/>
                          </w:tcPr>
                          <w:p w14:paraId="1E328E5F"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6 </w:t>
                            </w:r>
                          </w:p>
                        </w:tc>
                        <w:tc>
                          <w:tcPr>
                            <w:tcW w:w="281" w:type="pct"/>
                            <w:tcBorders>
                              <w:top w:val="nil"/>
                              <w:left w:val="nil"/>
                              <w:bottom w:val="single" w:sz="4" w:space="0" w:color="auto"/>
                              <w:right w:val="single" w:sz="4" w:space="0" w:color="auto"/>
                            </w:tcBorders>
                            <w:noWrap/>
                            <w:vAlign w:val="center"/>
                            <w:hideMark/>
                          </w:tcPr>
                          <w:p w14:paraId="148C827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r w:rsidRPr="00677044">
                              <w:rPr>
                                <w:rFonts w:ascii="標楷體" w:eastAsia="標楷體" w:hAnsi="標楷體" w:cs="新細明體" w:hint="eastAsia"/>
                                <w:color w:val="000000"/>
                                <w:kern w:val="0"/>
                                <w:sz w:val="20"/>
                                <w:szCs w:val="20"/>
                              </w:rPr>
                              <w:t xml:space="preserve"> </w:t>
                            </w:r>
                          </w:p>
                        </w:tc>
                        <w:tc>
                          <w:tcPr>
                            <w:tcW w:w="352" w:type="pct"/>
                            <w:tcBorders>
                              <w:top w:val="nil"/>
                              <w:left w:val="nil"/>
                              <w:bottom w:val="single" w:sz="4" w:space="0" w:color="auto"/>
                              <w:right w:val="single" w:sz="4" w:space="0" w:color="auto"/>
                            </w:tcBorders>
                            <w:noWrap/>
                            <w:vAlign w:val="center"/>
                            <w:hideMark/>
                          </w:tcPr>
                          <w:p w14:paraId="6D75F2A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 </w:t>
                            </w:r>
                          </w:p>
                        </w:tc>
                        <w:tc>
                          <w:tcPr>
                            <w:tcW w:w="400" w:type="pct"/>
                            <w:tcBorders>
                              <w:top w:val="nil"/>
                              <w:left w:val="nil"/>
                              <w:bottom w:val="single" w:sz="4" w:space="0" w:color="auto"/>
                              <w:right w:val="single" w:sz="4" w:space="0" w:color="auto"/>
                            </w:tcBorders>
                            <w:noWrap/>
                            <w:vAlign w:val="center"/>
                            <w:hideMark/>
                          </w:tcPr>
                          <w:p w14:paraId="60EB18A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r w:rsidRPr="00677044">
                              <w:rPr>
                                <w:rFonts w:ascii="標楷體" w:eastAsia="標楷體" w:hAnsi="標楷體" w:cs="新細明體" w:hint="eastAsia"/>
                                <w:color w:val="000000"/>
                                <w:kern w:val="0"/>
                                <w:sz w:val="20"/>
                                <w:szCs w:val="20"/>
                              </w:rPr>
                              <w:t xml:space="preserve"> </w:t>
                            </w:r>
                          </w:p>
                        </w:tc>
                      </w:tr>
                      <w:tr w:rsidR="007351A0" w14:paraId="7CD26EC0" w14:textId="77777777">
                        <w:trPr>
                          <w:trHeight w:val="304"/>
                        </w:trPr>
                        <w:tc>
                          <w:tcPr>
                            <w:tcW w:w="737" w:type="pct"/>
                            <w:tcBorders>
                              <w:top w:val="nil"/>
                              <w:left w:val="single" w:sz="4" w:space="0" w:color="auto"/>
                              <w:bottom w:val="single" w:sz="4" w:space="0" w:color="auto"/>
                              <w:right w:val="nil"/>
                            </w:tcBorders>
                            <w:noWrap/>
                            <w:vAlign w:val="bottom"/>
                            <w:hideMark/>
                          </w:tcPr>
                          <w:p w14:paraId="2F94B2A6" w14:textId="77777777" w:rsidR="007351A0" w:rsidRDefault="007351A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1~999</w:t>
                            </w:r>
                          </w:p>
                        </w:tc>
                        <w:tc>
                          <w:tcPr>
                            <w:tcW w:w="247" w:type="pct"/>
                            <w:tcBorders>
                              <w:top w:val="nil"/>
                              <w:left w:val="single" w:sz="4" w:space="0" w:color="auto"/>
                              <w:bottom w:val="single" w:sz="4" w:space="0" w:color="auto"/>
                              <w:right w:val="single" w:sz="4" w:space="0" w:color="auto"/>
                            </w:tcBorders>
                            <w:noWrap/>
                            <w:vAlign w:val="center"/>
                            <w:hideMark/>
                          </w:tcPr>
                          <w:p w14:paraId="76965767"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15 </w:t>
                            </w:r>
                          </w:p>
                        </w:tc>
                        <w:tc>
                          <w:tcPr>
                            <w:tcW w:w="465" w:type="pct"/>
                            <w:tcBorders>
                              <w:top w:val="nil"/>
                              <w:left w:val="nil"/>
                              <w:bottom w:val="single" w:sz="4" w:space="0" w:color="auto"/>
                              <w:right w:val="single" w:sz="4" w:space="0" w:color="auto"/>
                            </w:tcBorders>
                            <w:noWrap/>
                            <w:vAlign w:val="center"/>
                            <w:hideMark/>
                          </w:tcPr>
                          <w:p w14:paraId="00A4071A"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13.64 </w:t>
                            </w:r>
                          </w:p>
                        </w:tc>
                        <w:tc>
                          <w:tcPr>
                            <w:tcW w:w="411" w:type="pct"/>
                            <w:tcBorders>
                              <w:top w:val="nil"/>
                              <w:left w:val="nil"/>
                              <w:bottom w:val="single" w:sz="4" w:space="0" w:color="auto"/>
                              <w:right w:val="single" w:sz="4" w:space="0" w:color="auto"/>
                            </w:tcBorders>
                            <w:noWrap/>
                            <w:vAlign w:val="center"/>
                            <w:hideMark/>
                          </w:tcPr>
                          <w:p w14:paraId="2FB12D83"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3,400 </w:t>
                            </w:r>
                          </w:p>
                        </w:tc>
                        <w:tc>
                          <w:tcPr>
                            <w:tcW w:w="465" w:type="pct"/>
                            <w:tcBorders>
                              <w:top w:val="nil"/>
                              <w:left w:val="nil"/>
                              <w:bottom w:val="single" w:sz="4" w:space="0" w:color="auto"/>
                              <w:right w:val="single" w:sz="4" w:space="0" w:color="auto"/>
                            </w:tcBorders>
                            <w:noWrap/>
                            <w:vAlign w:val="center"/>
                            <w:hideMark/>
                          </w:tcPr>
                          <w:p w14:paraId="3B2BD5DB"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0.67 </w:t>
                            </w:r>
                          </w:p>
                        </w:tc>
                        <w:tc>
                          <w:tcPr>
                            <w:tcW w:w="287" w:type="pct"/>
                            <w:tcBorders>
                              <w:top w:val="nil"/>
                              <w:left w:val="nil"/>
                              <w:bottom w:val="single" w:sz="4" w:space="0" w:color="auto"/>
                              <w:right w:val="single" w:sz="4" w:space="0" w:color="auto"/>
                            </w:tcBorders>
                            <w:noWrap/>
                            <w:vAlign w:val="center"/>
                            <w:hideMark/>
                          </w:tcPr>
                          <w:p w14:paraId="1BB7FAAE"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11 </w:t>
                            </w:r>
                          </w:p>
                        </w:tc>
                        <w:tc>
                          <w:tcPr>
                            <w:tcW w:w="431" w:type="pct"/>
                            <w:tcBorders>
                              <w:top w:val="nil"/>
                              <w:left w:val="nil"/>
                              <w:bottom w:val="single" w:sz="4" w:space="0" w:color="auto"/>
                              <w:right w:val="single" w:sz="4" w:space="0" w:color="auto"/>
                            </w:tcBorders>
                            <w:noWrap/>
                            <w:vAlign w:val="center"/>
                            <w:hideMark/>
                          </w:tcPr>
                          <w:p w14:paraId="7C18A559"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2,700 </w:t>
                            </w:r>
                          </w:p>
                        </w:tc>
                        <w:tc>
                          <w:tcPr>
                            <w:tcW w:w="285" w:type="pct"/>
                            <w:tcBorders>
                              <w:top w:val="nil"/>
                              <w:left w:val="nil"/>
                              <w:bottom w:val="single" w:sz="4" w:space="0" w:color="auto"/>
                              <w:right w:val="single" w:sz="4" w:space="0" w:color="auto"/>
                            </w:tcBorders>
                            <w:noWrap/>
                            <w:vAlign w:val="center"/>
                            <w:hideMark/>
                          </w:tcPr>
                          <w:p w14:paraId="588C33C1"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r w:rsidRPr="00677044">
                              <w:rPr>
                                <w:rFonts w:ascii="標楷體" w:eastAsia="標楷體" w:hAnsi="標楷體" w:cs="新細明體" w:hint="eastAsia"/>
                                <w:color w:val="000000"/>
                                <w:kern w:val="0"/>
                                <w:sz w:val="20"/>
                                <w:szCs w:val="20"/>
                              </w:rPr>
                              <w:t xml:space="preserve"> </w:t>
                            </w:r>
                          </w:p>
                        </w:tc>
                        <w:tc>
                          <w:tcPr>
                            <w:tcW w:w="356" w:type="pct"/>
                            <w:tcBorders>
                              <w:top w:val="nil"/>
                              <w:left w:val="nil"/>
                              <w:bottom w:val="single" w:sz="4" w:space="0" w:color="auto"/>
                              <w:right w:val="single" w:sz="4" w:space="0" w:color="auto"/>
                            </w:tcBorders>
                            <w:noWrap/>
                            <w:hideMark/>
                          </w:tcPr>
                          <w:p w14:paraId="15AA46A9"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3" w:type="pct"/>
                            <w:tcBorders>
                              <w:top w:val="nil"/>
                              <w:left w:val="nil"/>
                              <w:bottom w:val="single" w:sz="4" w:space="0" w:color="auto"/>
                              <w:right w:val="single" w:sz="4" w:space="0" w:color="auto"/>
                            </w:tcBorders>
                            <w:noWrap/>
                            <w:vAlign w:val="center"/>
                            <w:hideMark/>
                          </w:tcPr>
                          <w:p w14:paraId="4065892D"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3 </w:t>
                            </w:r>
                          </w:p>
                        </w:tc>
                        <w:tc>
                          <w:tcPr>
                            <w:tcW w:w="281" w:type="pct"/>
                            <w:tcBorders>
                              <w:top w:val="nil"/>
                              <w:left w:val="nil"/>
                              <w:bottom w:val="single" w:sz="4" w:space="0" w:color="auto"/>
                              <w:right w:val="single" w:sz="4" w:space="0" w:color="auto"/>
                            </w:tcBorders>
                            <w:noWrap/>
                            <w:vAlign w:val="center"/>
                            <w:hideMark/>
                          </w:tcPr>
                          <w:p w14:paraId="124C5DA4"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300 </w:t>
                            </w:r>
                          </w:p>
                        </w:tc>
                        <w:tc>
                          <w:tcPr>
                            <w:tcW w:w="352" w:type="pct"/>
                            <w:tcBorders>
                              <w:top w:val="nil"/>
                              <w:left w:val="nil"/>
                              <w:bottom w:val="single" w:sz="4" w:space="0" w:color="auto"/>
                              <w:right w:val="single" w:sz="4" w:space="0" w:color="auto"/>
                            </w:tcBorders>
                            <w:noWrap/>
                            <w:vAlign w:val="center"/>
                            <w:hideMark/>
                          </w:tcPr>
                          <w:p w14:paraId="16B10B56"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 </w:t>
                            </w:r>
                          </w:p>
                        </w:tc>
                        <w:tc>
                          <w:tcPr>
                            <w:tcW w:w="400" w:type="pct"/>
                            <w:tcBorders>
                              <w:top w:val="nil"/>
                              <w:left w:val="nil"/>
                              <w:bottom w:val="single" w:sz="4" w:space="0" w:color="auto"/>
                              <w:right w:val="single" w:sz="4" w:space="0" w:color="auto"/>
                            </w:tcBorders>
                            <w:noWrap/>
                            <w:vAlign w:val="center"/>
                            <w:hideMark/>
                          </w:tcPr>
                          <w:p w14:paraId="210CA2E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400 </w:t>
                            </w:r>
                          </w:p>
                        </w:tc>
                      </w:tr>
                      <w:tr w:rsidR="007351A0" w14:paraId="54DECF0C" w14:textId="77777777">
                        <w:trPr>
                          <w:trHeight w:val="304"/>
                        </w:trPr>
                        <w:tc>
                          <w:tcPr>
                            <w:tcW w:w="737" w:type="pct"/>
                            <w:tcBorders>
                              <w:top w:val="nil"/>
                              <w:left w:val="single" w:sz="4" w:space="0" w:color="auto"/>
                              <w:bottom w:val="single" w:sz="4" w:space="0" w:color="auto"/>
                              <w:right w:val="nil"/>
                            </w:tcBorders>
                            <w:noWrap/>
                            <w:vAlign w:val="bottom"/>
                            <w:hideMark/>
                          </w:tcPr>
                          <w:p w14:paraId="2FEFBF1A" w14:textId="77777777" w:rsidR="007351A0" w:rsidRDefault="007351A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1,000~9,999</w:t>
                            </w:r>
                          </w:p>
                        </w:tc>
                        <w:tc>
                          <w:tcPr>
                            <w:tcW w:w="247" w:type="pct"/>
                            <w:tcBorders>
                              <w:top w:val="nil"/>
                              <w:left w:val="single" w:sz="4" w:space="0" w:color="auto"/>
                              <w:bottom w:val="single" w:sz="4" w:space="0" w:color="auto"/>
                              <w:right w:val="single" w:sz="4" w:space="0" w:color="auto"/>
                            </w:tcBorders>
                            <w:noWrap/>
                            <w:vAlign w:val="center"/>
                            <w:hideMark/>
                          </w:tcPr>
                          <w:p w14:paraId="1B830BF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52 </w:t>
                            </w:r>
                          </w:p>
                        </w:tc>
                        <w:tc>
                          <w:tcPr>
                            <w:tcW w:w="465" w:type="pct"/>
                            <w:tcBorders>
                              <w:top w:val="nil"/>
                              <w:left w:val="nil"/>
                              <w:bottom w:val="single" w:sz="4" w:space="0" w:color="auto"/>
                              <w:right w:val="single" w:sz="4" w:space="0" w:color="auto"/>
                            </w:tcBorders>
                            <w:noWrap/>
                            <w:vAlign w:val="center"/>
                            <w:hideMark/>
                          </w:tcPr>
                          <w:p w14:paraId="0D6E82BC"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47.27 </w:t>
                            </w:r>
                          </w:p>
                        </w:tc>
                        <w:tc>
                          <w:tcPr>
                            <w:tcW w:w="411" w:type="pct"/>
                            <w:tcBorders>
                              <w:top w:val="nil"/>
                              <w:left w:val="nil"/>
                              <w:bottom w:val="single" w:sz="4" w:space="0" w:color="auto"/>
                              <w:right w:val="single" w:sz="4" w:space="0" w:color="auto"/>
                            </w:tcBorders>
                            <w:noWrap/>
                            <w:vAlign w:val="center"/>
                            <w:hideMark/>
                          </w:tcPr>
                          <w:p w14:paraId="639A19C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207,500 </w:t>
                            </w:r>
                          </w:p>
                        </w:tc>
                        <w:tc>
                          <w:tcPr>
                            <w:tcW w:w="465" w:type="pct"/>
                            <w:tcBorders>
                              <w:top w:val="nil"/>
                              <w:left w:val="nil"/>
                              <w:bottom w:val="single" w:sz="4" w:space="0" w:color="auto"/>
                              <w:right w:val="single" w:sz="4" w:space="0" w:color="auto"/>
                            </w:tcBorders>
                            <w:noWrap/>
                            <w:vAlign w:val="center"/>
                            <w:hideMark/>
                          </w:tcPr>
                          <w:p w14:paraId="29DB929A"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41.05 </w:t>
                            </w:r>
                          </w:p>
                        </w:tc>
                        <w:tc>
                          <w:tcPr>
                            <w:tcW w:w="287" w:type="pct"/>
                            <w:tcBorders>
                              <w:top w:val="nil"/>
                              <w:left w:val="nil"/>
                              <w:bottom w:val="single" w:sz="4" w:space="0" w:color="auto"/>
                              <w:right w:val="single" w:sz="4" w:space="0" w:color="auto"/>
                            </w:tcBorders>
                            <w:noWrap/>
                            <w:vAlign w:val="center"/>
                            <w:hideMark/>
                          </w:tcPr>
                          <w:p w14:paraId="6793F75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46 </w:t>
                            </w:r>
                          </w:p>
                        </w:tc>
                        <w:tc>
                          <w:tcPr>
                            <w:tcW w:w="431" w:type="pct"/>
                            <w:tcBorders>
                              <w:top w:val="nil"/>
                              <w:left w:val="nil"/>
                              <w:bottom w:val="single" w:sz="4" w:space="0" w:color="auto"/>
                              <w:right w:val="single" w:sz="4" w:space="0" w:color="auto"/>
                            </w:tcBorders>
                            <w:noWrap/>
                            <w:vAlign w:val="center"/>
                            <w:hideMark/>
                          </w:tcPr>
                          <w:p w14:paraId="32846C7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182,400 </w:t>
                            </w:r>
                          </w:p>
                        </w:tc>
                        <w:tc>
                          <w:tcPr>
                            <w:tcW w:w="285" w:type="pct"/>
                            <w:tcBorders>
                              <w:top w:val="nil"/>
                              <w:left w:val="nil"/>
                              <w:bottom w:val="single" w:sz="4" w:space="0" w:color="auto"/>
                              <w:right w:val="single" w:sz="4" w:space="0" w:color="auto"/>
                            </w:tcBorders>
                            <w:noWrap/>
                            <w:vAlign w:val="center"/>
                            <w:hideMark/>
                          </w:tcPr>
                          <w:p w14:paraId="1D420359"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6 </w:t>
                            </w:r>
                          </w:p>
                        </w:tc>
                        <w:tc>
                          <w:tcPr>
                            <w:tcW w:w="356" w:type="pct"/>
                            <w:tcBorders>
                              <w:top w:val="nil"/>
                              <w:left w:val="nil"/>
                              <w:bottom w:val="single" w:sz="4" w:space="0" w:color="auto"/>
                              <w:right w:val="single" w:sz="4" w:space="0" w:color="auto"/>
                            </w:tcBorders>
                            <w:noWrap/>
                            <w:vAlign w:val="center"/>
                            <w:hideMark/>
                          </w:tcPr>
                          <w:p w14:paraId="08873950"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25,100 </w:t>
                            </w:r>
                          </w:p>
                        </w:tc>
                        <w:tc>
                          <w:tcPr>
                            <w:tcW w:w="283" w:type="pct"/>
                            <w:tcBorders>
                              <w:top w:val="nil"/>
                              <w:left w:val="nil"/>
                              <w:bottom w:val="single" w:sz="4" w:space="0" w:color="auto"/>
                              <w:right w:val="single" w:sz="4" w:space="0" w:color="auto"/>
                            </w:tcBorders>
                            <w:noWrap/>
                            <w:hideMark/>
                          </w:tcPr>
                          <w:p w14:paraId="46AE6C9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1" w:type="pct"/>
                            <w:tcBorders>
                              <w:top w:val="nil"/>
                              <w:left w:val="nil"/>
                              <w:bottom w:val="single" w:sz="4" w:space="0" w:color="auto"/>
                              <w:right w:val="single" w:sz="4" w:space="0" w:color="auto"/>
                            </w:tcBorders>
                            <w:noWrap/>
                            <w:hideMark/>
                          </w:tcPr>
                          <w:p w14:paraId="2C8864A6"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352" w:type="pct"/>
                            <w:tcBorders>
                              <w:top w:val="nil"/>
                              <w:left w:val="nil"/>
                              <w:bottom w:val="single" w:sz="4" w:space="0" w:color="auto"/>
                              <w:right w:val="single" w:sz="4" w:space="0" w:color="auto"/>
                            </w:tcBorders>
                            <w:noWrap/>
                            <w:hideMark/>
                          </w:tcPr>
                          <w:p w14:paraId="078A09F4"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400" w:type="pct"/>
                            <w:tcBorders>
                              <w:top w:val="nil"/>
                              <w:left w:val="nil"/>
                              <w:bottom w:val="single" w:sz="4" w:space="0" w:color="auto"/>
                              <w:right w:val="single" w:sz="4" w:space="0" w:color="auto"/>
                            </w:tcBorders>
                            <w:noWrap/>
                            <w:hideMark/>
                          </w:tcPr>
                          <w:p w14:paraId="55AC7A5B"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r>
                      <w:tr w:rsidR="007351A0" w14:paraId="0306F0A8" w14:textId="77777777">
                        <w:trPr>
                          <w:trHeight w:val="304"/>
                        </w:trPr>
                        <w:tc>
                          <w:tcPr>
                            <w:tcW w:w="737" w:type="pct"/>
                            <w:tcBorders>
                              <w:top w:val="nil"/>
                              <w:left w:val="single" w:sz="4" w:space="0" w:color="auto"/>
                              <w:bottom w:val="single" w:sz="4" w:space="0" w:color="auto"/>
                              <w:right w:val="nil"/>
                            </w:tcBorders>
                            <w:noWrap/>
                            <w:vAlign w:val="bottom"/>
                            <w:hideMark/>
                          </w:tcPr>
                          <w:p w14:paraId="02B9DEF9" w14:textId="77777777" w:rsidR="007351A0" w:rsidRDefault="007351A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10,000~19,999</w:t>
                            </w:r>
                          </w:p>
                        </w:tc>
                        <w:tc>
                          <w:tcPr>
                            <w:tcW w:w="247" w:type="pct"/>
                            <w:tcBorders>
                              <w:top w:val="nil"/>
                              <w:left w:val="single" w:sz="4" w:space="0" w:color="auto"/>
                              <w:bottom w:val="single" w:sz="4" w:space="0" w:color="auto"/>
                              <w:right w:val="single" w:sz="4" w:space="0" w:color="auto"/>
                            </w:tcBorders>
                            <w:noWrap/>
                            <w:vAlign w:val="center"/>
                            <w:hideMark/>
                          </w:tcPr>
                          <w:p w14:paraId="2FABA13E"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11 </w:t>
                            </w:r>
                          </w:p>
                        </w:tc>
                        <w:tc>
                          <w:tcPr>
                            <w:tcW w:w="465" w:type="pct"/>
                            <w:tcBorders>
                              <w:top w:val="nil"/>
                              <w:left w:val="nil"/>
                              <w:bottom w:val="single" w:sz="4" w:space="0" w:color="auto"/>
                              <w:right w:val="single" w:sz="4" w:space="0" w:color="auto"/>
                            </w:tcBorders>
                            <w:noWrap/>
                            <w:vAlign w:val="center"/>
                            <w:hideMark/>
                          </w:tcPr>
                          <w:p w14:paraId="66559680"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10.00 </w:t>
                            </w:r>
                          </w:p>
                        </w:tc>
                        <w:tc>
                          <w:tcPr>
                            <w:tcW w:w="411" w:type="pct"/>
                            <w:tcBorders>
                              <w:top w:val="nil"/>
                              <w:left w:val="nil"/>
                              <w:bottom w:val="single" w:sz="4" w:space="0" w:color="auto"/>
                              <w:right w:val="single" w:sz="4" w:space="0" w:color="auto"/>
                            </w:tcBorders>
                            <w:noWrap/>
                            <w:vAlign w:val="center"/>
                            <w:hideMark/>
                          </w:tcPr>
                          <w:p w14:paraId="7C7B883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160,900 </w:t>
                            </w:r>
                          </w:p>
                        </w:tc>
                        <w:tc>
                          <w:tcPr>
                            <w:tcW w:w="465" w:type="pct"/>
                            <w:tcBorders>
                              <w:top w:val="nil"/>
                              <w:left w:val="nil"/>
                              <w:bottom w:val="single" w:sz="4" w:space="0" w:color="auto"/>
                              <w:right w:val="single" w:sz="4" w:space="0" w:color="auto"/>
                            </w:tcBorders>
                            <w:noWrap/>
                            <w:vAlign w:val="center"/>
                            <w:hideMark/>
                          </w:tcPr>
                          <w:p w14:paraId="2A25660C"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31.83 </w:t>
                            </w:r>
                          </w:p>
                        </w:tc>
                        <w:tc>
                          <w:tcPr>
                            <w:tcW w:w="287" w:type="pct"/>
                            <w:tcBorders>
                              <w:top w:val="nil"/>
                              <w:left w:val="nil"/>
                              <w:bottom w:val="single" w:sz="4" w:space="0" w:color="auto"/>
                              <w:right w:val="single" w:sz="4" w:space="0" w:color="auto"/>
                            </w:tcBorders>
                            <w:noWrap/>
                            <w:vAlign w:val="center"/>
                            <w:hideMark/>
                          </w:tcPr>
                          <w:p w14:paraId="77C8998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11 </w:t>
                            </w:r>
                          </w:p>
                        </w:tc>
                        <w:tc>
                          <w:tcPr>
                            <w:tcW w:w="431" w:type="pct"/>
                            <w:tcBorders>
                              <w:top w:val="nil"/>
                              <w:left w:val="nil"/>
                              <w:bottom w:val="single" w:sz="4" w:space="0" w:color="auto"/>
                              <w:right w:val="single" w:sz="4" w:space="0" w:color="auto"/>
                            </w:tcBorders>
                            <w:noWrap/>
                            <w:vAlign w:val="center"/>
                            <w:hideMark/>
                          </w:tcPr>
                          <w:p w14:paraId="65B6883D"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160,900 </w:t>
                            </w:r>
                          </w:p>
                        </w:tc>
                        <w:tc>
                          <w:tcPr>
                            <w:tcW w:w="285" w:type="pct"/>
                            <w:tcBorders>
                              <w:top w:val="nil"/>
                              <w:left w:val="nil"/>
                              <w:bottom w:val="single" w:sz="4" w:space="0" w:color="auto"/>
                              <w:right w:val="single" w:sz="4" w:space="0" w:color="auto"/>
                            </w:tcBorders>
                            <w:noWrap/>
                            <w:hideMark/>
                          </w:tcPr>
                          <w:p w14:paraId="26956EFE"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356" w:type="pct"/>
                            <w:tcBorders>
                              <w:top w:val="nil"/>
                              <w:left w:val="nil"/>
                              <w:bottom w:val="single" w:sz="4" w:space="0" w:color="auto"/>
                              <w:right w:val="single" w:sz="4" w:space="0" w:color="auto"/>
                            </w:tcBorders>
                            <w:noWrap/>
                            <w:hideMark/>
                          </w:tcPr>
                          <w:p w14:paraId="4DCFD027"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3" w:type="pct"/>
                            <w:tcBorders>
                              <w:top w:val="nil"/>
                              <w:left w:val="nil"/>
                              <w:bottom w:val="single" w:sz="4" w:space="0" w:color="auto"/>
                              <w:right w:val="single" w:sz="4" w:space="0" w:color="auto"/>
                            </w:tcBorders>
                            <w:noWrap/>
                            <w:hideMark/>
                          </w:tcPr>
                          <w:p w14:paraId="387145C1"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1" w:type="pct"/>
                            <w:tcBorders>
                              <w:top w:val="nil"/>
                              <w:left w:val="nil"/>
                              <w:bottom w:val="single" w:sz="4" w:space="0" w:color="auto"/>
                              <w:right w:val="single" w:sz="4" w:space="0" w:color="auto"/>
                            </w:tcBorders>
                            <w:noWrap/>
                            <w:hideMark/>
                          </w:tcPr>
                          <w:p w14:paraId="6C8DD1EE"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352" w:type="pct"/>
                            <w:tcBorders>
                              <w:top w:val="nil"/>
                              <w:left w:val="nil"/>
                              <w:bottom w:val="single" w:sz="4" w:space="0" w:color="auto"/>
                              <w:right w:val="single" w:sz="4" w:space="0" w:color="auto"/>
                            </w:tcBorders>
                            <w:noWrap/>
                            <w:hideMark/>
                          </w:tcPr>
                          <w:p w14:paraId="17BB88FB"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400" w:type="pct"/>
                            <w:tcBorders>
                              <w:top w:val="nil"/>
                              <w:left w:val="nil"/>
                              <w:bottom w:val="single" w:sz="4" w:space="0" w:color="auto"/>
                              <w:right w:val="single" w:sz="4" w:space="0" w:color="auto"/>
                            </w:tcBorders>
                            <w:noWrap/>
                            <w:hideMark/>
                          </w:tcPr>
                          <w:p w14:paraId="1082BFDB"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r>
                      <w:tr w:rsidR="007351A0" w14:paraId="1C1DA4DF" w14:textId="77777777">
                        <w:trPr>
                          <w:trHeight w:val="304"/>
                        </w:trPr>
                        <w:tc>
                          <w:tcPr>
                            <w:tcW w:w="737" w:type="pct"/>
                            <w:tcBorders>
                              <w:top w:val="single" w:sz="4" w:space="0" w:color="auto"/>
                              <w:left w:val="single" w:sz="4" w:space="0" w:color="auto"/>
                              <w:bottom w:val="single" w:sz="4" w:space="0" w:color="auto"/>
                              <w:right w:val="nil"/>
                            </w:tcBorders>
                            <w:noWrap/>
                            <w:vAlign w:val="bottom"/>
                            <w:hideMark/>
                          </w:tcPr>
                          <w:p w14:paraId="3C4B0412" w14:textId="77777777" w:rsidR="007351A0" w:rsidRDefault="007351A0">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20,000~56,600</w:t>
                            </w:r>
                          </w:p>
                        </w:tc>
                        <w:tc>
                          <w:tcPr>
                            <w:tcW w:w="247" w:type="pct"/>
                            <w:tcBorders>
                              <w:top w:val="single" w:sz="4" w:space="0" w:color="auto"/>
                              <w:left w:val="single" w:sz="4" w:space="0" w:color="auto"/>
                              <w:bottom w:val="single" w:sz="4" w:space="0" w:color="auto"/>
                              <w:right w:val="single" w:sz="4" w:space="0" w:color="auto"/>
                            </w:tcBorders>
                            <w:noWrap/>
                            <w:vAlign w:val="center"/>
                            <w:hideMark/>
                          </w:tcPr>
                          <w:p w14:paraId="24E7F25F"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 </w:t>
                            </w:r>
                          </w:p>
                        </w:tc>
                        <w:tc>
                          <w:tcPr>
                            <w:tcW w:w="465" w:type="pct"/>
                            <w:tcBorders>
                              <w:top w:val="single" w:sz="4" w:space="0" w:color="auto"/>
                              <w:left w:val="nil"/>
                              <w:bottom w:val="single" w:sz="4" w:space="0" w:color="auto"/>
                              <w:right w:val="single" w:sz="4" w:space="0" w:color="auto"/>
                            </w:tcBorders>
                            <w:noWrap/>
                            <w:vAlign w:val="center"/>
                            <w:hideMark/>
                          </w:tcPr>
                          <w:p w14:paraId="7149EA1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3.64 </w:t>
                            </w:r>
                          </w:p>
                        </w:tc>
                        <w:tc>
                          <w:tcPr>
                            <w:tcW w:w="411" w:type="pct"/>
                            <w:tcBorders>
                              <w:top w:val="single" w:sz="4" w:space="0" w:color="auto"/>
                              <w:left w:val="nil"/>
                              <w:bottom w:val="single" w:sz="4" w:space="0" w:color="auto"/>
                              <w:right w:val="single" w:sz="4" w:space="0" w:color="auto"/>
                            </w:tcBorders>
                            <w:noWrap/>
                            <w:vAlign w:val="center"/>
                            <w:hideMark/>
                          </w:tcPr>
                          <w:p w14:paraId="3BA694C7"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133,700 </w:t>
                            </w:r>
                          </w:p>
                        </w:tc>
                        <w:tc>
                          <w:tcPr>
                            <w:tcW w:w="465" w:type="pct"/>
                            <w:tcBorders>
                              <w:top w:val="single" w:sz="4" w:space="0" w:color="auto"/>
                              <w:left w:val="nil"/>
                              <w:bottom w:val="single" w:sz="4" w:space="0" w:color="auto"/>
                              <w:right w:val="single" w:sz="4" w:space="0" w:color="auto"/>
                            </w:tcBorders>
                            <w:noWrap/>
                            <w:vAlign w:val="center"/>
                            <w:hideMark/>
                          </w:tcPr>
                          <w:p w14:paraId="00A66C17"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26.45 </w:t>
                            </w:r>
                          </w:p>
                        </w:tc>
                        <w:tc>
                          <w:tcPr>
                            <w:tcW w:w="287" w:type="pct"/>
                            <w:tcBorders>
                              <w:top w:val="single" w:sz="4" w:space="0" w:color="auto"/>
                              <w:left w:val="nil"/>
                              <w:bottom w:val="single" w:sz="4" w:space="0" w:color="auto"/>
                              <w:right w:val="single" w:sz="4" w:space="0" w:color="auto"/>
                            </w:tcBorders>
                            <w:noWrap/>
                            <w:vAlign w:val="center"/>
                            <w:hideMark/>
                          </w:tcPr>
                          <w:p w14:paraId="0B8D6103"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4 </w:t>
                            </w:r>
                          </w:p>
                        </w:tc>
                        <w:tc>
                          <w:tcPr>
                            <w:tcW w:w="431" w:type="pct"/>
                            <w:tcBorders>
                              <w:top w:val="single" w:sz="4" w:space="0" w:color="auto"/>
                              <w:left w:val="nil"/>
                              <w:bottom w:val="single" w:sz="4" w:space="0" w:color="auto"/>
                              <w:right w:val="single" w:sz="4" w:space="0" w:color="auto"/>
                            </w:tcBorders>
                            <w:noWrap/>
                            <w:vAlign w:val="center"/>
                            <w:hideMark/>
                          </w:tcPr>
                          <w:p w14:paraId="49CF5B79"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標楷體" w:eastAsia="標楷體" w:hAnsi="標楷體" w:cs="新細明體" w:hint="eastAsia"/>
                                <w:color w:val="000000"/>
                                <w:kern w:val="0"/>
                                <w:sz w:val="20"/>
                                <w:szCs w:val="20"/>
                              </w:rPr>
                              <w:t xml:space="preserve">133,700 </w:t>
                            </w:r>
                          </w:p>
                        </w:tc>
                        <w:tc>
                          <w:tcPr>
                            <w:tcW w:w="285" w:type="pct"/>
                            <w:tcBorders>
                              <w:top w:val="single" w:sz="4" w:space="0" w:color="auto"/>
                              <w:left w:val="nil"/>
                              <w:bottom w:val="single" w:sz="4" w:space="0" w:color="auto"/>
                              <w:right w:val="single" w:sz="4" w:space="0" w:color="auto"/>
                            </w:tcBorders>
                            <w:noWrap/>
                            <w:hideMark/>
                          </w:tcPr>
                          <w:p w14:paraId="32F51CD1"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356" w:type="pct"/>
                            <w:tcBorders>
                              <w:top w:val="single" w:sz="4" w:space="0" w:color="auto"/>
                              <w:left w:val="nil"/>
                              <w:bottom w:val="single" w:sz="4" w:space="0" w:color="auto"/>
                              <w:right w:val="single" w:sz="4" w:space="0" w:color="auto"/>
                            </w:tcBorders>
                            <w:noWrap/>
                            <w:hideMark/>
                          </w:tcPr>
                          <w:p w14:paraId="005F56A5"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3" w:type="pct"/>
                            <w:tcBorders>
                              <w:top w:val="single" w:sz="4" w:space="0" w:color="auto"/>
                              <w:left w:val="nil"/>
                              <w:bottom w:val="single" w:sz="4" w:space="0" w:color="auto"/>
                              <w:right w:val="single" w:sz="4" w:space="0" w:color="auto"/>
                            </w:tcBorders>
                            <w:noWrap/>
                            <w:hideMark/>
                          </w:tcPr>
                          <w:p w14:paraId="648BADD0"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281" w:type="pct"/>
                            <w:tcBorders>
                              <w:top w:val="single" w:sz="4" w:space="0" w:color="auto"/>
                              <w:left w:val="nil"/>
                              <w:bottom w:val="single" w:sz="4" w:space="0" w:color="auto"/>
                              <w:right w:val="single" w:sz="4" w:space="0" w:color="auto"/>
                            </w:tcBorders>
                            <w:noWrap/>
                            <w:hideMark/>
                          </w:tcPr>
                          <w:p w14:paraId="5D97F568"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352" w:type="pct"/>
                            <w:tcBorders>
                              <w:top w:val="single" w:sz="4" w:space="0" w:color="auto"/>
                              <w:left w:val="nil"/>
                              <w:bottom w:val="single" w:sz="4" w:space="0" w:color="auto"/>
                              <w:right w:val="single" w:sz="4" w:space="0" w:color="auto"/>
                            </w:tcBorders>
                            <w:noWrap/>
                            <w:hideMark/>
                          </w:tcPr>
                          <w:p w14:paraId="29AE6DC6"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c>
                          <w:tcPr>
                            <w:tcW w:w="400" w:type="pct"/>
                            <w:tcBorders>
                              <w:top w:val="single" w:sz="4" w:space="0" w:color="auto"/>
                              <w:left w:val="nil"/>
                              <w:bottom w:val="single" w:sz="4" w:space="0" w:color="auto"/>
                              <w:right w:val="single" w:sz="4" w:space="0" w:color="auto"/>
                            </w:tcBorders>
                            <w:noWrap/>
                            <w:hideMark/>
                          </w:tcPr>
                          <w:p w14:paraId="23B61A5A" w14:textId="77777777" w:rsidR="007351A0" w:rsidRPr="00677044" w:rsidRDefault="007351A0">
                            <w:pPr>
                              <w:widowControl/>
                              <w:jc w:val="right"/>
                              <w:rPr>
                                <w:rFonts w:ascii="標楷體" w:eastAsia="標楷體" w:hAnsi="標楷體" w:cs="新細明體"/>
                                <w:color w:val="000000"/>
                                <w:kern w:val="0"/>
                                <w:sz w:val="20"/>
                                <w:szCs w:val="20"/>
                              </w:rPr>
                            </w:pPr>
                            <w:r w:rsidRPr="00677044">
                              <w:rPr>
                                <w:rFonts w:ascii="細明體" w:eastAsia="細明體" w:hAnsi="細明體" w:hint="eastAsia"/>
                                <w:sz w:val="18"/>
                                <w:szCs w:val="18"/>
                              </w:rPr>
                              <w:t>－</w:t>
                            </w:r>
                          </w:p>
                        </w:tc>
                      </w:tr>
                      <w:tr w:rsidR="007351A0" w14:paraId="268E417D" w14:textId="77777777">
                        <w:trPr>
                          <w:trHeight w:val="304"/>
                        </w:trPr>
                        <w:tc>
                          <w:tcPr>
                            <w:tcW w:w="5000" w:type="pct"/>
                            <w:gridSpan w:val="13"/>
                            <w:tcBorders>
                              <w:top w:val="single" w:sz="4" w:space="0" w:color="auto"/>
                              <w:left w:val="nil"/>
                              <w:bottom w:val="nil"/>
                              <w:right w:val="nil"/>
                            </w:tcBorders>
                            <w:noWrap/>
                            <w:vAlign w:val="bottom"/>
                            <w:hideMark/>
                          </w:tcPr>
                          <w:p w14:paraId="384ABF00" w14:textId="77777777" w:rsidR="007351A0" w:rsidRDefault="007351A0">
                            <w:pPr>
                              <w:spacing w:line="26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資料來源：整理自商業處提供資料。</w:t>
                            </w:r>
                          </w:p>
                        </w:tc>
                      </w:tr>
                      <w:bookmarkEnd w:id="47"/>
                    </w:tbl>
                    <w:p w14:paraId="3A730DC3" w14:textId="77777777" w:rsidR="007351A0" w:rsidRDefault="007351A0" w:rsidP="007351A0"/>
                  </w:txbxContent>
                </v:textbox>
                <w10:wrap type="square" anchorx="margin"/>
              </v:shape>
            </w:pict>
          </mc:Fallback>
        </mc:AlternateContent>
      </w:r>
      <w:r>
        <w:rPr>
          <w:rFonts w:ascii="標楷體" w:eastAsia="標楷體" w:hAnsi="標楷體" w:hint="eastAsia"/>
          <w:kern w:val="0"/>
        </w:rPr>
        <w:t>商業處為因應大巨蛋啟用所帶來之人潮及商機，結合「2024年第3屆世界12強棒球錦標賽」賽事與東區商圈特約店家，於113年11月1日至12月1日推出「大巨蛋HOME RUN遊東區」商圈活動，</w:t>
      </w:r>
      <w:proofErr w:type="gramStart"/>
      <w:r>
        <w:rPr>
          <w:rFonts w:ascii="標楷體" w:eastAsia="標楷體" w:hAnsi="標楷體" w:hint="eastAsia"/>
          <w:kern w:val="0"/>
        </w:rPr>
        <w:t>民眾持觀賽</w:t>
      </w:r>
      <w:proofErr w:type="gramEnd"/>
      <w:r>
        <w:rPr>
          <w:rFonts w:ascii="標楷體" w:eastAsia="標楷體" w:hAnsi="標楷體" w:hint="eastAsia"/>
          <w:kern w:val="0"/>
        </w:rPr>
        <w:t>票根至台北通APP登錄票</w:t>
      </w:r>
      <w:proofErr w:type="gramStart"/>
      <w:r>
        <w:rPr>
          <w:rFonts w:ascii="標楷體" w:eastAsia="標楷體" w:hAnsi="標楷體" w:hint="eastAsia"/>
          <w:kern w:val="0"/>
        </w:rPr>
        <w:t>券</w:t>
      </w:r>
      <w:proofErr w:type="gramEnd"/>
      <w:r>
        <w:rPr>
          <w:rFonts w:ascii="標楷體" w:eastAsia="標楷體" w:hAnsi="標楷體" w:hint="eastAsia"/>
          <w:kern w:val="0"/>
        </w:rPr>
        <w:t>編號並上傳</w:t>
      </w:r>
      <w:proofErr w:type="gramStart"/>
      <w:r>
        <w:rPr>
          <w:rFonts w:ascii="標楷體" w:eastAsia="標楷體" w:hAnsi="標楷體" w:hint="eastAsia"/>
          <w:kern w:val="0"/>
        </w:rPr>
        <w:t>券</w:t>
      </w:r>
      <w:proofErr w:type="gramEnd"/>
      <w:r>
        <w:rPr>
          <w:rFonts w:ascii="標楷體" w:eastAsia="標楷體" w:hAnsi="標楷體" w:hint="eastAsia"/>
          <w:kern w:val="0"/>
        </w:rPr>
        <w:t>面照片，每張票</w:t>
      </w:r>
      <w:proofErr w:type="gramStart"/>
      <w:r>
        <w:rPr>
          <w:rFonts w:ascii="標楷體" w:eastAsia="標楷體" w:hAnsi="標楷體" w:hint="eastAsia"/>
          <w:kern w:val="0"/>
        </w:rPr>
        <w:t>券</w:t>
      </w:r>
      <w:proofErr w:type="gramEnd"/>
      <w:r>
        <w:rPr>
          <w:rFonts w:ascii="標楷體" w:eastAsia="標楷體" w:hAnsi="標楷體" w:hint="eastAsia"/>
          <w:kern w:val="0"/>
        </w:rPr>
        <w:t>可獲得單張面額100元之東區折抵</w:t>
      </w:r>
      <w:proofErr w:type="gramStart"/>
      <w:r>
        <w:rPr>
          <w:rFonts w:ascii="標楷體" w:eastAsia="標楷體" w:hAnsi="標楷體" w:hint="eastAsia"/>
          <w:kern w:val="0"/>
        </w:rPr>
        <w:t>券</w:t>
      </w:r>
      <w:proofErr w:type="gramEnd"/>
      <w:r>
        <w:rPr>
          <w:rFonts w:ascii="標楷體" w:eastAsia="標楷體" w:hAnsi="標楷體" w:hint="eastAsia"/>
          <w:kern w:val="0"/>
        </w:rPr>
        <w:t>，以活絡附近商圈。經查執行情形，核有：1.該賽事總發售票</w:t>
      </w:r>
      <w:proofErr w:type="gramStart"/>
      <w:r>
        <w:rPr>
          <w:rFonts w:ascii="標楷體" w:eastAsia="標楷體" w:hAnsi="標楷體" w:hint="eastAsia"/>
          <w:kern w:val="0"/>
        </w:rPr>
        <w:t>券</w:t>
      </w:r>
      <w:proofErr w:type="gramEnd"/>
      <w:r>
        <w:rPr>
          <w:rFonts w:ascii="標楷體" w:eastAsia="標楷體" w:hAnsi="標楷體" w:hint="eastAsia"/>
          <w:kern w:val="0"/>
        </w:rPr>
        <w:t>數174,916張，</w:t>
      </w:r>
      <w:proofErr w:type="gramStart"/>
      <w:r>
        <w:rPr>
          <w:rFonts w:ascii="標楷體" w:eastAsia="標楷體" w:hAnsi="標楷體" w:hint="eastAsia"/>
          <w:kern w:val="0"/>
        </w:rPr>
        <w:t>惟觀賽</w:t>
      </w:r>
      <w:proofErr w:type="gramEnd"/>
      <w:r>
        <w:rPr>
          <w:rFonts w:ascii="標楷體" w:eastAsia="標楷體" w:hAnsi="標楷體" w:hint="eastAsia"/>
          <w:kern w:val="0"/>
        </w:rPr>
        <w:t>民眾於台北通APP完成登錄並獲派之折抵</w:t>
      </w:r>
      <w:proofErr w:type="gramStart"/>
      <w:r>
        <w:rPr>
          <w:rFonts w:ascii="標楷體" w:eastAsia="標楷體" w:hAnsi="標楷體" w:hint="eastAsia"/>
          <w:kern w:val="0"/>
        </w:rPr>
        <w:t>券</w:t>
      </w:r>
      <w:proofErr w:type="gramEnd"/>
      <w:r>
        <w:rPr>
          <w:rFonts w:ascii="標楷體" w:eastAsia="標楷體" w:hAnsi="標楷體" w:hint="eastAsia"/>
          <w:kern w:val="0"/>
        </w:rPr>
        <w:t>僅10,084張，派</w:t>
      </w:r>
      <w:proofErr w:type="gramStart"/>
      <w:r>
        <w:rPr>
          <w:rFonts w:ascii="標楷體" w:eastAsia="標楷體" w:hAnsi="標楷體" w:hint="eastAsia"/>
          <w:kern w:val="0"/>
        </w:rPr>
        <w:t>券</w:t>
      </w:r>
      <w:proofErr w:type="gramEnd"/>
      <w:r>
        <w:rPr>
          <w:rFonts w:ascii="標楷體" w:eastAsia="標楷體" w:hAnsi="標楷體" w:hint="eastAsia"/>
          <w:kern w:val="0"/>
        </w:rPr>
        <w:t>比率約5.77％，又實際兌換使用僅5,055張，占該賽事總發售票</w:t>
      </w:r>
      <w:proofErr w:type="gramStart"/>
      <w:r>
        <w:rPr>
          <w:rFonts w:ascii="標楷體" w:eastAsia="標楷體" w:hAnsi="標楷體" w:hint="eastAsia"/>
          <w:kern w:val="0"/>
        </w:rPr>
        <w:t>券</w:t>
      </w:r>
      <w:proofErr w:type="gramEnd"/>
      <w:r>
        <w:rPr>
          <w:rFonts w:ascii="標楷體" w:eastAsia="標楷體" w:hAnsi="標楷體" w:hint="eastAsia"/>
          <w:kern w:val="0"/>
        </w:rPr>
        <w:t>數之2.89％，且該活動派</w:t>
      </w:r>
      <w:proofErr w:type="gramStart"/>
      <w:r>
        <w:rPr>
          <w:rFonts w:ascii="標楷體" w:eastAsia="標楷體" w:hAnsi="標楷體" w:hint="eastAsia"/>
          <w:kern w:val="0"/>
        </w:rPr>
        <w:t>券</w:t>
      </w:r>
      <w:proofErr w:type="gramEnd"/>
      <w:r>
        <w:rPr>
          <w:rFonts w:ascii="標楷體" w:eastAsia="標楷體" w:hAnsi="標楷體" w:hint="eastAsia"/>
          <w:kern w:val="0"/>
        </w:rPr>
        <w:t>時間，係於完成登錄後1至2天內，</w:t>
      </w:r>
      <w:proofErr w:type="gramStart"/>
      <w:r>
        <w:rPr>
          <w:rFonts w:ascii="標楷體" w:eastAsia="標楷體" w:hAnsi="標楷體" w:hint="eastAsia"/>
          <w:kern w:val="0"/>
        </w:rPr>
        <w:t>始派發</w:t>
      </w:r>
      <w:proofErr w:type="gramEnd"/>
      <w:r>
        <w:rPr>
          <w:rFonts w:ascii="標楷體" w:eastAsia="標楷體" w:hAnsi="標楷體" w:hint="eastAsia"/>
          <w:kern w:val="0"/>
        </w:rPr>
        <w:t>至台北通APP供消費</w:t>
      </w:r>
      <w:r>
        <w:rPr>
          <w:rFonts w:ascii="標楷體" w:eastAsia="標楷體" w:hAnsi="標楷體" w:cs="Times New Roman" w:hint="eastAsia"/>
          <w:kern w:val="0"/>
          <w:szCs w:val="24"/>
        </w:rPr>
        <w:t>使用</w:t>
      </w:r>
      <w:r>
        <w:rPr>
          <w:rFonts w:ascii="標楷體" w:eastAsia="標楷體" w:hAnsi="標楷體" w:hint="eastAsia"/>
          <w:kern w:val="0"/>
        </w:rPr>
        <w:t>，不利居住於轄區外且於賽事當日始登錄之觀賽民眾即時參與商圈行銷活動，降低活動參與誘因與活絡周邊商圈等消費目的；2.該活動申請參與店家數計110家，經分析各類型店家收</w:t>
      </w:r>
      <w:proofErr w:type="gramStart"/>
      <w:r>
        <w:rPr>
          <w:rFonts w:ascii="標楷體" w:eastAsia="標楷體" w:hAnsi="標楷體" w:hint="eastAsia"/>
          <w:kern w:val="0"/>
        </w:rPr>
        <w:t>券</w:t>
      </w:r>
      <w:proofErr w:type="gramEnd"/>
      <w:r>
        <w:rPr>
          <w:rFonts w:ascii="標楷體" w:eastAsia="標楷體" w:hAnsi="標楷體" w:hint="eastAsia"/>
          <w:kern w:val="0"/>
        </w:rPr>
        <w:t>情形，以美食餐廳82家、總核銷金額47萬餘元最多，其餘零售購物、休閒娛樂及其他等業者共28家、總核銷金額2萬餘元，僅占全部核銷金額之5.10％，又活動期間，逾</w:t>
      </w:r>
      <w:proofErr w:type="gramStart"/>
      <w:r>
        <w:rPr>
          <w:rFonts w:ascii="標楷體" w:eastAsia="標楷體" w:hAnsi="標楷體" w:hint="eastAsia"/>
          <w:kern w:val="0"/>
        </w:rPr>
        <w:t>2成</w:t>
      </w:r>
      <w:proofErr w:type="gramEnd"/>
      <w:r>
        <w:rPr>
          <w:rFonts w:ascii="標楷體" w:eastAsia="標楷體" w:hAnsi="標楷體" w:hint="eastAsia"/>
          <w:kern w:val="0"/>
        </w:rPr>
        <w:t>5之店家未獲民眾持</w:t>
      </w:r>
      <w:proofErr w:type="gramStart"/>
      <w:r>
        <w:rPr>
          <w:rFonts w:ascii="標楷體" w:eastAsia="標楷體" w:hAnsi="標楷體" w:hint="eastAsia"/>
          <w:kern w:val="0"/>
        </w:rPr>
        <w:t>券</w:t>
      </w:r>
      <w:proofErr w:type="gramEnd"/>
      <w:r>
        <w:rPr>
          <w:rFonts w:ascii="標楷體" w:eastAsia="標楷體" w:hAnsi="標楷體" w:hint="eastAsia"/>
          <w:kern w:val="0"/>
        </w:rPr>
        <w:t>消費，另有3.64％之店家收</w:t>
      </w:r>
      <w:proofErr w:type="gramStart"/>
      <w:r>
        <w:rPr>
          <w:rFonts w:ascii="標楷體" w:eastAsia="標楷體" w:hAnsi="標楷體" w:hint="eastAsia"/>
          <w:kern w:val="0"/>
        </w:rPr>
        <w:t>券</w:t>
      </w:r>
      <w:proofErr w:type="gramEnd"/>
      <w:r>
        <w:rPr>
          <w:rFonts w:ascii="標楷體" w:eastAsia="標楷體" w:hAnsi="標楷體" w:hint="eastAsia"/>
          <w:kern w:val="0"/>
        </w:rPr>
        <w:t>情形達活動總核撥經費之26.45％（表2），有待分析瞭解民眾集中於部分店家消費現象之需求與偏好，作為後續推動相關活動之參考等情事，經函請注意檢討改善。據復：業調整類似活動折抵</w:t>
      </w:r>
      <w:proofErr w:type="gramStart"/>
      <w:r>
        <w:rPr>
          <w:rFonts w:ascii="標楷體" w:eastAsia="標楷體" w:hAnsi="標楷體" w:hint="eastAsia"/>
          <w:kern w:val="0"/>
        </w:rPr>
        <w:t>券</w:t>
      </w:r>
      <w:proofErr w:type="gramEnd"/>
      <w:r>
        <w:rPr>
          <w:rFonts w:ascii="標楷體" w:eastAsia="標楷體" w:hAnsi="標楷體" w:hint="eastAsia"/>
          <w:kern w:val="0"/>
        </w:rPr>
        <w:t>面額、使用範圍，並調整派</w:t>
      </w:r>
      <w:proofErr w:type="gramStart"/>
      <w:r>
        <w:rPr>
          <w:rFonts w:ascii="標楷體" w:eastAsia="標楷體" w:hAnsi="標楷體" w:hint="eastAsia"/>
          <w:kern w:val="0"/>
        </w:rPr>
        <w:t>券</w:t>
      </w:r>
      <w:proofErr w:type="gramEnd"/>
      <w:r>
        <w:rPr>
          <w:rFonts w:ascii="標楷體" w:eastAsia="標楷體" w:hAnsi="標楷體" w:hint="eastAsia"/>
          <w:kern w:val="0"/>
        </w:rPr>
        <w:t>系統，於民眾使用台北通帳號登錄票</w:t>
      </w:r>
      <w:proofErr w:type="gramStart"/>
      <w:r>
        <w:rPr>
          <w:rFonts w:ascii="標楷體" w:eastAsia="標楷體" w:hAnsi="標楷體" w:hint="eastAsia"/>
          <w:kern w:val="0"/>
        </w:rPr>
        <w:t>券</w:t>
      </w:r>
      <w:proofErr w:type="gramEnd"/>
      <w:r>
        <w:rPr>
          <w:rFonts w:ascii="標楷體" w:eastAsia="標楷體" w:hAnsi="標楷體" w:hint="eastAsia"/>
          <w:kern w:val="0"/>
        </w:rPr>
        <w:t>後可即時派發消費抵用</w:t>
      </w:r>
      <w:proofErr w:type="gramStart"/>
      <w:r>
        <w:rPr>
          <w:rFonts w:ascii="標楷體" w:eastAsia="標楷體" w:hAnsi="標楷體" w:hint="eastAsia"/>
          <w:kern w:val="0"/>
        </w:rPr>
        <w:t>券</w:t>
      </w:r>
      <w:proofErr w:type="gramEnd"/>
      <w:r>
        <w:rPr>
          <w:rFonts w:ascii="標楷體" w:eastAsia="標楷體" w:hAnsi="標楷體" w:hint="eastAsia"/>
          <w:kern w:val="0"/>
        </w:rPr>
        <w:t>，增加使用便利性，另將持續關注活動執行結果，動態調整相關措施，以提升活動整體效益。</w:t>
      </w:r>
    </w:p>
    <w:p w14:paraId="6A20B919" w14:textId="77777777" w:rsidR="007351A0" w:rsidRDefault="007351A0" w:rsidP="008B1FB5">
      <w:pPr>
        <w:widowControl/>
        <w:suppressAutoHyphens/>
        <w:overflowPunct w:val="0"/>
        <w:spacing w:beforeLines="50" w:before="180" w:line="46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（六）推動攤商電子支付獎勵計畫，提高攤商使用電子支付服務意願，</w:t>
      </w:r>
      <w:proofErr w:type="gramStart"/>
      <w:r>
        <w:rPr>
          <w:rFonts w:ascii="標楷體" w:eastAsia="標楷體" w:hAnsi="Times New Roman" w:cs="Times New Roman" w:hint="eastAsia"/>
          <w:b/>
          <w:sz w:val="28"/>
          <w:szCs w:val="28"/>
        </w:rPr>
        <w:t>惟轄內</w:t>
      </w:r>
      <w:proofErr w:type="gramEnd"/>
      <w:r>
        <w:rPr>
          <w:rFonts w:ascii="標楷體" w:eastAsia="標楷體" w:hAnsi="Times New Roman" w:cs="Times New Roman" w:hint="eastAsia"/>
          <w:b/>
          <w:sz w:val="28"/>
          <w:szCs w:val="28"/>
        </w:rPr>
        <w:t>公有零售市（商）場近2年有逾</w:t>
      </w:r>
      <w:proofErr w:type="gramStart"/>
      <w:r>
        <w:rPr>
          <w:rFonts w:ascii="標楷體" w:eastAsia="標楷體" w:hAnsi="Times New Roman" w:cs="Times New Roman" w:hint="eastAsia"/>
          <w:b/>
          <w:sz w:val="28"/>
          <w:szCs w:val="28"/>
        </w:rPr>
        <w:t>6成</w:t>
      </w:r>
      <w:proofErr w:type="gramEnd"/>
      <w:r>
        <w:rPr>
          <w:rFonts w:ascii="標楷體" w:eastAsia="標楷體" w:hAnsi="Times New Roman" w:cs="Times New Roman" w:hint="eastAsia"/>
          <w:b/>
          <w:sz w:val="28"/>
          <w:szCs w:val="28"/>
        </w:rPr>
        <w:t>之市（商）</w:t>
      </w:r>
      <w:proofErr w:type="gramStart"/>
      <w:r>
        <w:rPr>
          <w:rFonts w:ascii="標楷體" w:eastAsia="標楷體" w:hAnsi="Times New Roman" w:cs="Times New Roman" w:hint="eastAsia"/>
          <w:b/>
          <w:sz w:val="28"/>
          <w:szCs w:val="28"/>
        </w:rPr>
        <w:t>場攤商</w:t>
      </w:r>
      <w:proofErr w:type="gramEnd"/>
      <w:r>
        <w:rPr>
          <w:rFonts w:ascii="標楷體" w:eastAsia="標楷體" w:hAnsi="Times New Roman" w:cs="Times New Roman" w:hint="eastAsia"/>
          <w:b/>
          <w:sz w:val="28"/>
          <w:szCs w:val="28"/>
        </w:rPr>
        <w:t>未申請獎勵金，或未於明顯處標示可使用之多元支付方式等情，允宜</w:t>
      </w:r>
      <w:proofErr w:type="gramStart"/>
      <w:r>
        <w:rPr>
          <w:rFonts w:ascii="標楷體" w:eastAsia="標楷體" w:hAnsi="Times New Roman" w:cs="Times New Roman" w:hint="eastAsia"/>
          <w:b/>
          <w:sz w:val="28"/>
          <w:szCs w:val="28"/>
        </w:rPr>
        <w:t>研</w:t>
      </w:r>
      <w:proofErr w:type="gramEnd"/>
      <w:r>
        <w:rPr>
          <w:rFonts w:ascii="標楷體" w:eastAsia="標楷體" w:hAnsi="Times New Roman" w:cs="Times New Roman" w:hint="eastAsia"/>
          <w:b/>
          <w:sz w:val="28"/>
          <w:szCs w:val="28"/>
        </w:rPr>
        <w:t>析癥結妥</w:t>
      </w:r>
      <w:proofErr w:type="gramStart"/>
      <w:r>
        <w:rPr>
          <w:rFonts w:ascii="標楷體" w:eastAsia="標楷體" w:hAnsi="Times New Roman" w:cs="Times New Roman" w:hint="eastAsia"/>
          <w:b/>
          <w:sz w:val="28"/>
          <w:szCs w:val="28"/>
        </w:rPr>
        <w:t>謀善策</w:t>
      </w:r>
      <w:proofErr w:type="gramEnd"/>
      <w:r>
        <w:rPr>
          <w:rFonts w:ascii="標楷體" w:eastAsia="標楷體" w:hAnsi="Times New Roman" w:cs="Times New Roman" w:hint="eastAsia"/>
          <w:b/>
          <w:sz w:val="28"/>
          <w:szCs w:val="28"/>
        </w:rPr>
        <w:t>。</w:t>
      </w:r>
    </w:p>
    <w:p w14:paraId="312BC6E4" w14:textId="77777777" w:rsidR="008B1FB5" w:rsidRDefault="007351A0" w:rsidP="008B1FB5">
      <w:pPr>
        <w:widowControl/>
        <w:overflowPunct w:val="0"/>
        <w:spacing w:beforeLines="30" w:before="108" w:line="430" w:lineRule="exact"/>
        <w:ind w:firstLineChars="210" w:firstLine="504"/>
        <w:jc w:val="both"/>
        <w:rPr>
          <w:rFonts w:ascii="標楷體" w:eastAsia="標楷體" w:hAnsi="標楷體"/>
          <w:kern w:val="0"/>
        </w:rPr>
      </w:pPr>
      <w:r>
        <w:rPr>
          <w:rFonts w:ascii="標楷體" w:eastAsia="標楷體" w:hAnsi="標楷體" w:hint="eastAsia"/>
          <w:kern w:val="0"/>
        </w:rPr>
        <w:t>市場處為獎勵公有零售市（商）場使用電子支付，訂有「臺北市公有零售市（商）場、夜間攤販集中場（區）及地下街電子支付獎勵計畫」，</w:t>
      </w:r>
      <w:proofErr w:type="gramStart"/>
      <w:r>
        <w:rPr>
          <w:rFonts w:ascii="標楷體" w:eastAsia="標楷體" w:hAnsi="標楷體" w:hint="eastAsia"/>
          <w:kern w:val="0"/>
        </w:rPr>
        <w:t>採</w:t>
      </w:r>
      <w:proofErr w:type="gramEnd"/>
      <w:r>
        <w:rPr>
          <w:rFonts w:ascii="標楷體" w:eastAsia="標楷體" w:hAnsi="標楷體" w:hint="eastAsia"/>
          <w:kern w:val="0"/>
        </w:rPr>
        <w:t>分級獎勵方式，依每月電子支付交易筆數級距，予以不同獎勵金，共分為5級，分別為</w:t>
      </w:r>
      <w:r>
        <w:rPr>
          <w:rFonts w:ascii="標楷體" w:eastAsia="標楷體" w:hAnsi="標楷體" w:cs="Times New Roman" w:hint="eastAsia"/>
          <w:kern w:val="0"/>
          <w:szCs w:val="24"/>
        </w:rPr>
        <w:t>每月</w:t>
      </w:r>
      <w:r>
        <w:rPr>
          <w:rFonts w:ascii="標楷體" w:eastAsia="標楷體" w:hAnsi="標楷體" w:hint="eastAsia"/>
          <w:kern w:val="0"/>
        </w:rPr>
        <w:t>電子支付交易筆數20至50筆、每攤獎勵金1,500元，51至100筆、每攤獎勵金2,000元，101至200筆、每攤獎勵金2,500元，201至300筆、</w:t>
      </w:r>
    </w:p>
    <w:p w14:paraId="0469D904" w14:textId="790E359D" w:rsidR="007351A0" w:rsidRDefault="007351A0" w:rsidP="008B1FB5">
      <w:pPr>
        <w:widowControl/>
        <w:overflowPunct w:val="0"/>
        <w:spacing w:beforeLines="30" w:before="108" w:line="420" w:lineRule="exact"/>
        <w:jc w:val="both"/>
        <w:rPr>
          <w:rFonts w:ascii="標楷體" w:eastAsia="標楷體" w:hAnsi="標楷體"/>
          <w:kern w:val="0"/>
        </w:rPr>
      </w:pPr>
      <w:r>
        <w:rPr>
          <w:rFonts w:ascii="標楷體" w:eastAsia="標楷體" w:hAnsi="標楷體" w:hint="eastAsia"/>
          <w:kern w:val="0"/>
        </w:rPr>
        <w:lastRenderedPageBreak/>
        <w:t>每攤獎勵金3,000元，301筆以上、每攤獎勵金3,500元，並於</w:t>
      </w:r>
      <w:proofErr w:type="gramStart"/>
      <w:r>
        <w:rPr>
          <w:rFonts w:ascii="標楷體" w:eastAsia="標楷體" w:hAnsi="標楷體" w:hint="eastAsia"/>
          <w:kern w:val="0"/>
        </w:rPr>
        <w:t>113</w:t>
      </w:r>
      <w:proofErr w:type="gramEnd"/>
      <w:r>
        <w:rPr>
          <w:rFonts w:ascii="標楷體" w:eastAsia="標楷體" w:hAnsi="標楷體" w:hint="eastAsia"/>
          <w:kern w:val="0"/>
        </w:rPr>
        <w:t>年度編列預算1,000萬元，辦理公有市（商）場及</w:t>
      </w:r>
      <w:proofErr w:type="gramStart"/>
      <w:r>
        <w:rPr>
          <w:rFonts w:ascii="標楷體" w:eastAsia="標楷體" w:hAnsi="標楷體" w:hint="eastAsia"/>
          <w:kern w:val="0"/>
        </w:rPr>
        <w:t>攤集場</w:t>
      </w:r>
      <w:proofErr w:type="gramEnd"/>
      <w:r>
        <w:rPr>
          <w:rFonts w:ascii="標楷體" w:eastAsia="標楷體" w:hAnsi="標楷體" w:hint="eastAsia"/>
          <w:kern w:val="0"/>
        </w:rPr>
        <w:t>數位轉型推廣計畫，執行數725萬餘元。依市場處統計臺北市公有零售市（商）場電子支付設置使用及申請獎勵金情形，48處公有零售市（商）場實際營業攤位計7,177個，設置電子化支付設備之攤位數有7,150個，設置率為99.62％，惟截至113年11月13日止，仍有29處公有零售市（商）場連續2年未有攤商申請獎勵金，占比達</w:t>
      </w:r>
      <w:proofErr w:type="gramStart"/>
      <w:r>
        <w:rPr>
          <w:rFonts w:ascii="標楷體" w:eastAsia="標楷體" w:hAnsi="標楷體" w:hint="eastAsia"/>
          <w:kern w:val="0"/>
        </w:rPr>
        <w:t>6成</w:t>
      </w:r>
      <w:proofErr w:type="gramEnd"/>
      <w:r>
        <w:rPr>
          <w:rFonts w:ascii="標楷體" w:eastAsia="標楷體" w:hAnsi="標楷體" w:hint="eastAsia"/>
          <w:kern w:val="0"/>
        </w:rPr>
        <w:t>以上。</w:t>
      </w:r>
      <w:r>
        <w:rPr>
          <w:rFonts w:hint="eastAsia"/>
          <w:noProof/>
        </w:rPr>
        <mc:AlternateContent>
          <mc:Choice Requires="wps">
            <w:drawing>
              <wp:anchor distT="0" distB="0" distL="114300" distR="114300" simplePos="0" relativeHeight="251708416" behindDoc="0" locked="0" layoutInCell="1" allowOverlap="1" wp14:anchorId="4915C2E5" wp14:editId="0B3B5FF4">
                <wp:simplePos x="0" y="0"/>
                <wp:positionH relativeFrom="margin">
                  <wp:posOffset>2625725</wp:posOffset>
                </wp:positionH>
                <wp:positionV relativeFrom="paragraph">
                  <wp:posOffset>1600835</wp:posOffset>
                </wp:positionV>
                <wp:extent cx="3966210" cy="2322195"/>
                <wp:effectExtent l="0" t="0" r="0" b="1905"/>
                <wp:wrapSquare wrapText="bothSides"/>
                <wp:docPr id="39" name="文字方塊 39"/>
                <wp:cNvGraphicFramePr/>
                <a:graphic xmlns:a="http://schemas.openxmlformats.org/drawingml/2006/main">
                  <a:graphicData uri="http://schemas.microsoft.com/office/word/2010/wordprocessingShape">
                    <wps:wsp>
                      <wps:cNvSpPr txBox="1"/>
                      <wps:spPr>
                        <a:xfrm>
                          <a:off x="0" y="0"/>
                          <a:ext cx="3966210" cy="2322195"/>
                        </a:xfrm>
                        <a:prstGeom prst="rect">
                          <a:avLst/>
                        </a:prstGeom>
                        <a:solidFill>
                          <a:schemeClr val="lt1"/>
                        </a:solidFill>
                        <a:ln w="6350">
                          <a:noFill/>
                        </a:ln>
                      </wps:spPr>
                      <wps:txbx>
                        <w:txbxContent>
                          <w:p w14:paraId="7DA41FFC" w14:textId="035D0760" w:rsidR="007351A0" w:rsidRDefault="007351A0" w:rsidP="007351A0">
                            <w:pPr>
                              <w:ind w:firstLineChars="100" w:firstLine="200"/>
                              <w:rPr>
                                <w:rFonts w:ascii="標楷體" w:eastAsia="標楷體" w:hAnsi="標楷體"/>
                                <w:sz w:val="22"/>
                              </w:rPr>
                            </w:pPr>
                            <w:r>
                              <w:rPr>
                                <w:rFonts w:ascii="Calibri" w:eastAsia="Times New Roman" w:hAnsi="Calibri"/>
                                <w:noProof/>
                                <w:kern w:val="0"/>
                                <w:sz w:val="20"/>
                                <w:szCs w:val="20"/>
                              </w:rPr>
                              <w:drawing>
                                <wp:inline distT="0" distB="0" distL="0" distR="0" wp14:anchorId="3C2CD05F" wp14:editId="232DB13B">
                                  <wp:extent cx="1617345" cy="1739900"/>
                                  <wp:effectExtent l="19050" t="19050" r="20955" b="12700"/>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34">
                                            <a:extLst>
                                              <a:ext uri="{28A0092B-C50C-407E-A947-70E740481C1C}">
                                                <a14:useLocalDpi xmlns:a14="http://schemas.microsoft.com/office/drawing/2010/main" val="0"/>
                                              </a:ext>
                                            </a:extLst>
                                          </a:blip>
                                          <a:srcRect b="6650"/>
                                          <a:stretch>
                                            <a:fillRect/>
                                          </a:stretch>
                                        </pic:blipFill>
                                        <pic:spPr bwMode="auto">
                                          <a:xfrm>
                                            <a:off x="0" y="0"/>
                                            <a:ext cx="1617345" cy="1739900"/>
                                          </a:xfrm>
                                          <a:prstGeom prst="rect">
                                            <a:avLst/>
                                          </a:prstGeom>
                                          <a:noFill/>
                                          <a:ln w="12700" cmpd="sng">
                                            <a:solidFill>
                                              <a:srgbClr val="000000"/>
                                            </a:solidFill>
                                            <a:miter lim="800000"/>
                                            <a:headEnd/>
                                            <a:tailEnd/>
                                          </a:ln>
                                          <a:effectLst/>
                                        </pic:spPr>
                                      </pic:pic>
                                    </a:graphicData>
                                  </a:graphic>
                                </wp:inline>
                              </w:drawing>
                            </w:r>
                            <w:r>
                              <w:rPr>
                                <w:rFonts w:ascii="標楷體" w:eastAsia="標楷體" w:hAnsi="標楷體" w:hint="eastAsia"/>
                                <w:sz w:val="22"/>
                              </w:rPr>
                              <w:t xml:space="preserve"> </w:t>
                            </w:r>
                            <w:r w:rsidR="0077491B">
                              <w:rPr>
                                <w:rFonts w:ascii="標楷體" w:eastAsia="標楷體" w:hAnsi="標楷體"/>
                                <w:noProof/>
                                <w:sz w:val="22"/>
                              </w:rPr>
                              <w:drawing>
                                <wp:inline distT="0" distB="0" distL="0" distR="0" wp14:anchorId="22F09537" wp14:editId="02992052">
                                  <wp:extent cx="1753663" cy="1728000"/>
                                  <wp:effectExtent l="12700" t="25400" r="12065" b="12065"/>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華山2.jpg"/>
                                          <pic:cNvPicPr/>
                                        </pic:nvPicPr>
                                        <pic:blipFill>
                                          <a:blip r:embed="rId35">
                                            <a:extLst>
                                              <a:ext uri="{28A0092B-C50C-407E-A947-70E740481C1C}">
                                                <a14:useLocalDpi xmlns:a14="http://schemas.microsoft.com/office/drawing/2010/main" val="0"/>
                                              </a:ext>
                                            </a:extLst>
                                          </a:blip>
                                          <a:stretch>
                                            <a:fillRect/>
                                          </a:stretch>
                                        </pic:blipFill>
                                        <pic:spPr>
                                          <a:xfrm rot="5400000">
                                            <a:off x="0" y="0"/>
                                            <a:ext cx="1753663" cy="1728000"/>
                                          </a:xfrm>
                                          <a:prstGeom prst="rect">
                                            <a:avLst/>
                                          </a:prstGeom>
                                          <a:ln w="12700">
                                            <a:solidFill>
                                              <a:schemeClr val="tx1"/>
                                            </a:solidFill>
                                          </a:ln>
                                        </pic:spPr>
                                      </pic:pic>
                                    </a:graphicData>
                                  </a:graphic>
                                </wp:inline>
                              </w:drawing>
                            </w:r>
                          </w:p>
                          <w:p w14:paraId="1C6C069A" w14:textId="77777777" w:rsidR="007351A0" w:rsidRDefault="007351A0" w:rsidP="007351A0">
                            <w:pPr>
                              <w:overflowPunct w:val="0"/>
                              <w:adjustRightInd w:val="0"/>
                              <w:snapToGrid w:val="0"/>
                              <w:spacing w:line="240" w:lineRule="exact"/>
                              <w:ind w:leftChars="12" w:left="533" w:hangingChars="210" w:hanging="504"/>
                              <w:jc w:val="center"/>
                              <w:rPr>
                                <w:rFonts w:ascii="標楷體" w:eastAsia="標楷體" w:hAnsi="標楷體"/>
                                <w:b/>
                                <w:color w:val="000000"/>
                                <w:szCs w:val="32"/>
                              </w:rPr>
                            </w:pPr>
                            <w:r>
                              <w:rPr>
                                <w:rFonts w:ascii="標楷體" w:eastAsia="標楷體" w:hAnsi="標楷體" w:hint="eastAsia"/>
                                <w:b/>
                                <w:color w:val="000000"/>
                                <w:szCs w:val="32"/>
                              </w:rPr>
                              <w:t>公有市場外觀未明顯標示現金以外支付方式</w:t>
                            </w:r>
                          </w:p>
                          <w:p w14:paraId="774605C1" w14:textId="77777777" w:rsidR="007351A0" w:rsidRDefault="007351A0" w:rsidP="007351A0">
                            <w:pPr>
                              <w:ind w:firstLineChars="100" w:firstLine="180"/>
                              <w:jc w:val="center"/>
                              <w:rPr>
                                <w:rFonts w:ascii="標楷體" w:eastAsia="標楷體" w:hAnsi="標楷體"/>
                                <w:sz w:val="18"/>
                                <w:szCs w:val="18"/>
                              </w:rPr>
                            </w:pPr>
                            <w:r>
                              <w:rPr>
                                <w:rFonts w:ascii="標楷體" w:eastAsia="標楷體" w:hAnsi="標楷體" w:hint="eastAsia"/>
                                <w:noProof/>
                                <w:sz w:val="18"/>
                                <w:szCs w:val="18"/>
                              </w:rPr>
                              <w:t>（圖片來源：本處於113年11月15日拍攝。）</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15C2E5" id="文字方塊 39" o:spid="_x0000_s1073" type="#_x0000_t202" style="position:absolute;left:0;text-align:left;margin-left:206.75pt;margin-top:126.05pt;width:312.3pt;height:182.85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" fillcolor="white [3201]" stroked="f" strokeweight=".5pt">
                <v:textbox>
                  <w:txbxContent>
                    <w:p w14:paraId="7DA41FFC" w14:textId="035D0760" w:rsidR="007351A0" w:rsidRDefault="007351A0" w:rsidP="007351A0">
                      <w:pPr>
                        <w:ind w:firstLineChars="100" w:firstLine="200"/>
                        <w:rPr>
                          <w:rFonts w:ascii="標楷體" w:eastAsia="標楷體" w:hAnsi="標楷體"/>
                          <w:sz w:val="22"/>
                        </w:rPr>
                      </w:pPr>
                      <w:r>
                        <w:rPr>
                          <w:rFonts w:ascii="Calibri" w:eastAsia="Times New Roman" w:hAnsi="Calibri"/>
                          <w:noProof/>
                          <w:kern w:val="0"/>
                          <w:sz w:val="20"/>
                          <w:szCs w:val="20"/>
                        </w:rPr>
                        <w:drawing>
                          <wp:inline distT="0" distB="0" distL="0" distR="0" wp14:anchorId="3C2CD05F" wp14:editId="232DB13B">
                            <wp:extent cx="1617345" cy="1739900"/>
                            <wp:effectExtent l="19050" t="19050" r="20955" b="12700"/>
                            <wp:docPr id="92" name="圖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36">
                                      <a:extLst>
                                        <a:ext uri="{28A0092B-C50C-407E-A947-70E740481C1C}">
                                          <a14:useLocalDpi xmlns:a14="http://schemas.microsoft.com/office/drawing/2010/main" val="0"/>
                                        </a:ext>
                                      </a:extLst>
                                    </a:blip>
                                    <a:srcRect b="6650"/>
                                    <a:stretch>
                                      <a:fillRect/>
                                    </a:stretch>
                                  </pic:blipFill>
                                  <pic:spPr bwMode="auto">
                                    <a:xfrm>
                                      <a:off x="0" y="0"/>
                                      <a:ext cx="1617345" cy="1739900"/>
                                    </a:xfrm>
                                    <a:prstGeom prst="rect">
                                      <a:avLst/>
                                    </a:prstGeom>
                                    <a:noFill/>
                                    <a:ln w="12700" cmpd="sng">
                                      <a:solidFill>
                                        <a:srgbClr val="000000"/>
                                      </a:solidFill>
                                      <a:miter lim="800000"/>
                                      <a:headEnd/>
                                      <a:tailEnd/>
                                    </a:ln>
                                    <a:effectLst/>
                                  </pic:spPr>
                                </pic:pic>
                              </a:graphicData>
                            </a:graphic>
                          </wp:inline>
                        </w:drawing>
                      </w:r>
                      <w:r>
                        <w:rPr>
                          <w:rFonts w:ascii="標楷體" w:eastAsia="標楷體" w:hAnsi="標楷體" w:hint="eastAsia"/>
                          <w:sz w:val="22"/>
                        </w:rPr>
                        <w:t xml:space="preserve"> </w:t>
                      </w:r>
                      <w:r w:rsidR="0077491B">
                        <w:rPr>
                          <w:rFonts w:ascii="標楷體" w:eastAsia="標楷體" w:hAnsi="標楷體"/>
                          <w:noProof/>
                          <w:sz w:val="22"/>
                        </w:rPr>
                        <w:drawing>
                          <wp:inline distT="0" distB="0" distL="0" distR="0" wp14:anchorId="22F09537" wp14:editId="02992052">
                            <wp:extent cx="1753663" cy="1728000"/>
                            <wp:effectExtent l="12700" t="25400" r="12065" b="12065"/>
                            <wp:docPr id="93" name="圖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華山2.jpg"/>
                                    <pic:cNvPicPr/>
                                  </pic:nvPicPr>
                                  <pic:blipFill>
                                    <a:blip r:embed="rId37">
                                      <a:extLst>
                                        <a:ext uri="{28A0092B-C50C-407E-A947-70E740481C1C}">
                                          <a14:useLocalDpi xmlns:a14="http://schemas.microsoft.com/office/drawing/2010/main" val="0"/>
                                        </a:ext>
                                      </a:extLst>
                                    </a:blip>
                                    <a:stretch>
                                      <a:fillRect/>
                                    </a:stretch>
                                  </pic:blipFill>
                                  <pic:spPr>
                                    <a:xfrm rot="5400000">
                                      <a:off x="0" y="0"/>
                                      <a:ext cx="1753663" cy="1728000"/>
                                    </a:xfrm>
                                    <a:prstGeom prst="rect">
                                      <a:avLst/>
                                    </a:prstGeom>
                                    <a:ln w="12700">
                                      <a:solidFill>
                                        <a:schemeClr val="tx1"/>
                                      </a:solidFill>
                                    </a:ln>
                                  </pic:spPr>
                                </pic:pic>
                              </a:graphicData>
                            </a:graphic>
                          </wp:inline>
                        </w:drawing>
                      </w:r>
                    </w:p>
                    <w:p w14:paraId="1C6C069A" w14:textId="77777777" w:rsidR="007351A0" w:rsidRDefault="007351A0" w:rsidP="007351A0">
                      <w:pPr>
                        <w:overflowPunct w:val="0"/>
                        <w:adjustRightInd w:val="0"/>
                        <w:snapToGrid w:val="0"/>
                        <w:spacing w:line="240" w:lineRule="exact"/>
                        <w:ind w:leftChars="12" w:left="533" w:hangingChars="210" w:hanging="504"/>
                        <w:jc w:val="center"/>
                        <w:rPr>
                          <w:rFonts w:ascii="標楷體" w:eastAsia="標楷體" w:hAnsi="標楷體"/>
                          <w:b/>
                          <w:color w:val="000000"/>
                          <w:szCs w:val="32"/>
                        </w:rPr>
                      </w:pPr>
                      <w:r>
                        <w:rPr>
                          <w:rFonts w:ascii="標楷體" w:eastAsia="標楷體" w:hAnsi="標楷體" w:hint="eastAsia"/>
                          <w:b/>
                          <w:color w:val="000000"/>
                          <w:szCs w:val="32"/>
                        </w:rPr>
                        <w:t>公有市場外觀未明顯標示現金以外支付方式</w:t>
                      </w:r>
                    </w:p>
                    <w:p w14:paraId="774605C1" w14:textId="77777777" w:rsidR="007351A0" w:rsidRDefault="007351A0" w:rsidP="007351A0">
                      <w:pPr>
                        <w:ind w:firstLineChars="100" w:firstLine="180"/>
                        <w:jc w:val="center"/>
                        <w:rPr>
                          <w:rFonts w:ascii="標楷體" w:eastAsia="標楷體" w:hAnsi="標楷體"/>
                          <w:sz w:val="18"/>
                          <w:szCs w:val="18"/>
                        </w:rPr>
                      </w:pPr>
                      <w:r>
                        <w:rPr>
                          <w:rFonts w:ascii="標楷體" w:eastAsia="標楷體" w:hAnsi="標楷體" w:hint="eastAsia"/>
                          <w:noProof/>
                          <w:sz w:val="18"/>
                          <w:szCs w:val="18"/>
                        </w:rPr>
                        <w:t>（圖片來源：本處於113年11月15日拍攝。）</w:t>
                      </w:r>
                    </w:p>
                  </w:txbxContent>
                </v:textbox>
                <w10:wrap type="square" anchorx="margin"/>
              </v:shape>
            </w:pict>
          </mc:Fallback>
        </mc:AlternateContent>
      </w:r>
      <w:r>
        <w:rPr>
          <w:rFonts w:ascii="標楷體" w:eastAsia="標楷體" w:hAnsi="標楷體" w:hint="eastAsia"/>
          <w:kern w:val="0"/>
        </w:rPr>
        <w:t>又經檢視113年未申請獎勵金之市（商）</w:t>
      </w:r>
      <w:proofErr w:type="gramStart"/>
      <w:r>
        <w:rPr>
          <w:rFonts w:ascii="標楷體" w:eastAsia="標楷體" w:hAnsi="標楷體" w:hint="eastAsia"/>
          <w:kern w:val="0"/>
        </w:rPr>
        <w:t>場攤商</w:t>
      </w:r>
      <w:proofErr w:type="gramEnd"/>
      <w:r>
        <w:rPr>
          <w:rFonts w:ascii="標楷體" w:eastAsia="標楷體" w:hAnsi="標楷體" w:hint="eastAsia"/>
          <w:kern w:val="0"/>
        </w:rPr>
        <w:t>，不乏為排隊名店，且其店內無設置除現金以外付款方式之明顯標示，或為甚多觀光客到訪之市場，其公布欄或大門處並未顯示購物可使用之多元支付方式，影響電子支付服務使用等情事，經函請</w:t>
      </w:r>
      <w:proofErr w:type="gramStart"/>
      <w:r>
        <w:rPr>
          <w:rFonts w:ascii="標楷體" w:eastAsia="標楷體" w:hAnsi="標楷體" w:hint="eastAsia"/>
          <w:kern w:val="0"/>
        </w:rPr>
        <w:t>研</w:t>
      </w:r>
      <w:proofErr w:type="gramEnd"/>
      <w:r>
        <w:rPr>
          <w:rFonts w:ascii="標楷體" w:eastAsia="標楷體" w:hAnsi="標楷體" w:hint="eastAsia"/>
          <w:kern w:val="0"/>
        </w:rPr>
        <w:t>析癥結妥</w:t>
      </w:r>
      <w:proofErr w:type="gramStart"/>
      <w:r>
        <w:rPr>
          <w:rFonts w:ascii="標楷體" w:eastAsia="標楷體" w:hAnsi="標楷體" w:hint="eastAsia"/>
          <w:kern w:val="0"/>
        </w:rPr>
        <w:t>謀善策</w:t>
      </w:r>
      <w:proofErr w:type="gramEnd"/>
      <w:r>
        <w:rPr>
          <w:rFonts w:ascii="標楷體" w:eastAsia="標楷體" w:hAnsi="標楷體" w:hint="eastAsia"/>
          <w:kern w:val="0"/>
        </w:rPr>
        <w:t>。據復：將請公有零售市（商）場之自治組織協助宣導，</w:t>
      </w:r>
      <w:proofErr w:type="gramStart"/>
      <w:r>
        <w:rPr>
          <w:rFonts w:ascii="標楷體" w:eastAsia="標楷體" w:hAnsi="標楷體" w:hint="eastAsia"/>
          <w:kern w:val="0"/>
        </w:rPr>
        <w:t>請攤商</w:t>
      </w:r>
      <w:proofErr w:type="gramEnd"/>
      <w:r>
        <w:rPr>
          <w:rFonts w:ascii="標楷體" w:eastAsia="標楷體" w:hAnsi="標楷體" w:hint="eastAsia"/>
          <w:kern w:val="0"/>
        </w:rPr>
        <w:t>將非現金支付標示置於明顯處，市場管理員將不定期稽查，並鼓勵攤商申請獎勵計畫。</w:t>
      </w:r>
    </w:p>
    <w:p w14:paraId="6BB71543" w14:textId="77777777" w:rsidR="007351A0" w:rsidRDefault="007351A0" w:rsidP="007351A0">
      <w:pPr>
        <w:widowControl/>
        <w:rPr>
          <w:rFonts w:ascii="標楷體" w:eastAsia="標楷體" w:hAnsi="Times New Roman" w:cs="Times New Roman"/>
          <w:b/>
          <w:sz w:val="32"/>
          <w:szCs w:val="32"/>
        </w:rPr>
      </w:pPr>
      <w:r>
        <w:rPr>
          <w:rFonts w:ascii="標楷體" w:eastAsia="標楷體" w:hAnsi="Times New Roman" w:cs="Times New Roman" w:hint="eastAsia"/>
          <w:b/>
          <w:sz w:val="32"/>
          <w:szCs w:val="32"/>
        </w:rPr>
        <w:t>四、</w:t>
      </w:r>
      <w:proofErr w:type="gramStart"/>
      <w:r>
        <w:rPr>
          <w:rFonts w:ascii="標楷體" w:eastAsia="標楷體" w:hAnsi="Times New Roman" w:cs="Times New Roman" w:hint="eastAsia"/>
          <w:b/>
          <w:sz w:val="32"/>
          <w:szCs w:val="32"/>
        </w:rPr>
        <w:t>112</w:t>
      </w:r>
      <w:proofErr w:type="gramEnd"/>
      <w:r>
        <w:rPr>
          <w:rFonts w:ascii="標楷體" w:eastAsia="標楷體" w:hAnsi="Times New Roman" w:cs="Times New Roman" w:hint="eastAsia"/>
          <w:b/>
          <w:sz w:val="32"/>
          <w:szCs w:val="32"/>
        </w:rPr>
        <w:t>年度重要審核意見追蹤查核情形</w:t>
      </w:r>
    </w:p>
    <w:p w14:paraId="69B7AEFD" w14:textId="77777777" w:rsidR="007351A0" w:rsidRDefault="007351A0" w:rsidP="007351A0">
      <w:pPr>
        <w:spacing w:line="40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本處於</w:t>
      </w:r>
      <w:proofErr w:type="gramStart"/>
      <w:r>
        <w:rPr>
          <w:rFonts w:ascii="標楷體" w:eastAsia="標楷體" w:hAnsi="Times New Roman" w:cs="Times New Roman" w:hint="eastAsia"/>
          <w:szCs w:val="24"/>
        </w:rPr>
        <w:t>112</w:t>
      </w:r>
      <w:proofErr w:type="gramEnd"/>
      <w:r>
        <w:rPr>
          <w:rFonts w:ascii="標楷體" w:eastAsia="標楷體" w:hAnsi="Times New Roman" w:cs="Times New Roman" w:hint="eastAsia"/>
          <w:szCs w:val="24"/>
        </w:rPr>
        <w:t>年度審核報告內列重要審核意見6項，經</w:t>
      </w:r>
      <w:proofErr w:type="gramStart"/>
      <w:r>
        <w:rPr>
          <w:rFonts w:ascii="標楷體" w:eastAsia="標楷體" w:hAnsi="Times New Roman" w:cs="Times New Roman" w:hint="eastAsia"/>
          <w:szCs w:val="24"/>
        </w:rPr>
        <w:t>賡</w:t>
      </w:r>
      <w:proofErr w:type="gramEnd"/>
      <w:r>
        <w:rPr>
          <w:rFonts w:ascii="標楷體" w:eastAsia="標楷體" w:hAnsi="Times New Roman" w:cs="Times New Roman" w:hint="eastAsia"/>
          <w:szCs w:val="24"/>
        </w:rPr>
        <w:t>續追蹤查核實際辦理結果，處理中者1項、已</w:t>
      </w:r>
      <w:proofErr w:type="gramStart"/>
      <w:r>
        <w:rPr>
          <w:rFonts w:ascii="標楷體" w:eastAsia="標楷體" w:hAnsi="Times New Roman" w:cs="Times New Roman" w:hint="eastAsia"/>
          <w:szCs w:val="24"/>
        </w:rPr>
        <w:t>研</w:t>
      </w:r>
      <w:proofErr w:type="gramEnd"/>
      <w:r>
        <w:rPr>
          <w:rFonts w:ascii="標楷體" w:eastAsia="標楷體" w:hAnsi="Times New Roman" w:cs="Times New Roman" w:hint="eastAsia"/>
          <w:szCs w:val="24"/>
        </w:rPr>
        <w:t>謀改善或依改善措施持續辦理者5項（表3）。</w:t>
      </w:r>
    </w:p>
    <w:p w14:paraId="46C0FF4B" w14:textId="77777777" w:rsidR="007351A0" w:rsidRDefault="007351A0" w:rsidP="007351A0">
      <w:pPr>
        <w:widowControl/>
        <w:spacing w:line="420" w:lineRule="exact"/>
        <w:ind w:left="720" w:rightChars="-167" w:right="-401" w:hanging="1004"/>
        <w:jc w:val="center"/>
        <w:rPr>
          <w:rFonts w:ascii="標楷體" w:eastAsia="標楷體" w:hAnsi="標楷體" w:cs="Times New Roman"/>
          <w:b/>
        </w:rPr>
      </w:pPr>
      <w:r>
        <w:rPr>
          <w:rFonts w:ascii="標楷體" w:eastAsia="標楷體" w:hAnsi="標楷體" w:cs="Times New Roman" w:hint="eastAsia"/>
          <w:b/>
        </w:rPr>
        <w:t xml:space="preserve">表3　</w:t>
      </w:r>
      <w:proofErr w:type="gramStart"/>
      <w:r>
        <w:rPr>
          <w:rFonts w:ascii="標楷體" w:eastAsia="標楷體" w:hAnsi="標楷體" w:cs="Times New Roman" w:hint="eastAsia"/>
          <w:b/>
        </w:rPr>
        <w:t>112</w:t>
      </w:r>
      <w:proofErr w:type="gramEnd"/>
      <w:r>
        <w:rPr>
          <w:rFonts w:ascii="標楷體" w:eastAsia="標楷體" w:hAnsi="標楷體" w:cs="Times New Roman" w:hint="eastAsia"/>
          <w:b/>
        </w:rPr>
        <w:t>年度審核報告所列產業發展局主管重要審核意見覆核辦理情形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67"/>
        <w:gridCol w:w="2546"/>
      </w:tblGrid>
      <w:tr w:rsidR="007351A0" w14:paraId="485F4B6E" w14:textId="77777777" w:rsidTr="007351A0">
        <w:trPr>
          <w:trHeight w:val="227"/>
        </w:trPr>
        <w:tc>
          <w:tcPr>
            <w:tcW w:w="3716" w:type="pct"/>
            <w:tcBorders>
              <w:top w:val="single" w:sz="4" w:space="0" w:color="auto"/>
              <w:left w:val="single" w:sz="4" w:space="0" w:color="auto"/>
              <w:bottom w:val="single" w:sz="4" w:space="0" w:color="auto"/>
              <w:right w:val="single" w:sz="4" w:space="0" w:color="auto"/>
            </w:tcBorders>
            <w:vAlign w:val="center"/>
            <w:hideMark/>
          </w:tcPr>
          <w:p w14:paraId="750EC2D9" w14:textId="77777777" w:rsidR="007351A0" w:rsidRDefault="007351A0">
            <w:pPr>
              <w:widowControl/>
              <w:spacing w:line="280" w:lineRule="exact"/>
              <w:jc w:val="center"/>
              <w:rPr>
                <w:rFonts w:ascii="標楷體" w:eastAsia="標楷體" w:hAnsi="標楷體" w:cs="Times New Roman"/>
                <w:sz w:val="20"/>
                <w:szCs w:val="24"/>
              </w:rPr>
            </w:pPr>
            <w:r>
              <w:rPr>
                <w:rFonts w:ascii="標楷體" w:eastAsia="標楷體" w:hAnsi="標楷體" w:cs="Times New Roman" w:hint="eastAsia"/>
                <w:sz w:val="20"/>
                <w:szCs w:val="24"/>
              </w:rPr>
              <w:t>重要審核意見標題</w:t>
            </w:r>
          </w:p>
        </w:tc>
        <w:tc>
          <w:tcPr>
            <w:tcW w:w="1284" w:type="pct"/>
            <w:tcBorders>
              <w:top w:val="single" w:sz="4" w:space="0" w:color="auto"/>
              <w:left w:val="single" w:sz="4" w:space="0" w:color="auto"/>
              <w:bottom w:val="single" w:sz="4" w:space="0" w:color="auto"/>
              <w:right w:val="single" w:sz="4" w:space="0" w:color="auto"/>
            </w:tcBorders>
            <w:vAlign w:val="center"/>
            <w:hideMark/>
          </w:tcPr>
          <w:p w14:paraId="52560088" w14:textId="77777777" w:rsidR="007351A0" w:rsidRDefault="007351A0">
            <w:pPr>
              <w:widowControl/>
              <w:spacing w:line="240" w:lineRule="exact"/>
              <w:jc w:val="center"/>
              <w:rPr>
                <w:rFonts w:ascii="標楷體" w:eastAsia="標楷體" w:hAnsi="標楷體" w:cs="Times New Roman"/>
                <w:sz w:val="20"/>
                <w:szCs w:val="24"/>
              </w:rPr>
            </w:pPr>
            <w:r>
              <w:rPr>
                <w:rFonts w:ascii="標楷體" w:eastAsia="標楷體" w:hAnsi="標楷體" w:cs="Times New Roman" w:hint="eastAsia"/>
                <w:sz w:val="20"/>
                <w:szCs w:val="24"/>
              </w:rPr>
              <w:t>說明</w:t>
            </w:r>
          </w:p>
        </w:tc>
      </w:tr>
      <w:tr w:rsidR="007351A0" w14:paraId="37A347A1" w14:textId="77777777" w:rsidTr="007351A0">
        <w:trPr>
          <w:trHeight w:val="170"/>
        </w:trPr>
        <w:tc>
          <w:tcPr>
            <w:tcW w:w="3716" w:type="pct"/>
            <w:tcBorders>
              <w:top w:val="single" w:sz="4" w:space="0" w:color="auto"/>
              <w:left w:val="single" w:sz="4" w:space="0" w:color="auto"/>
              <w:bottom w:val="single" w:sz="4" w:space="0" w:color="auto"/>
              <w:right w:val="nil"/>
            </w:tcBorders>
            <w:vAlign w:val="center"/>
            <w:hideMark/>
          </w:tcPr>
          <w:p w14:paraId="0ADD95A1" w14:textId="77777777" w:rsidR="007351A0" w:rsidRDefault="007351A0">
            <w:pPr>
              <w:widowControl/>
              <w:spacing w:line="280" w:lineRule="exact"/>
              <w:ind w:left="200" w:hangingChars="100" w:hanging="200"/>
              <w:jc w:val="both"/>
              <w:rPr>
                <w:rFonts w:ascii="標楷體" w:eastAsia="標楷體" w:hAnsi="標楷體" w:cs="Times New Roman"/>
                <w:b/>
                <w:sz w:val="20"/>
                <w:szCs w:val="24"/>
              </w:rPr>
            </w:pPr>
            <w:r>
              <w:rPr>
                <w:rFonts w:ascii="標楷體" w:eastAsia="標楷體" w:hAnsi="標楷體" w:cs="Times New Roman" w:hint="eastAsia"/>
                <w:b/>
                <w:sz w:val="20"/>
                <w:szCs w:val="24"/>
              </w:rPr>
              <w:t>處理中</w:t>
            </w:r>
          </w:p>
        </w:tc>
        <w:tc>
          <w:tcPr>
            <w:tcW w:w="1284" w:type="pct"/>
            <w:tcBorders>
              <w:top w:val="single" w:sz="4" w:space="0" w:color="auto"/>
              <w:left w:val="nil"/>
              <w:bottom w:val="single" w:sz="4" w:space="0" w:color="auto"/>
              <w:right w:val="single" w:sz="4" w:space="0" w:color="auto"/>
            </w:tcBorders>
            <w:vAlign w:val="center"/>
          </w:tcPr>
          <w:p w14:paraId="71C1ECB8" w14:textId="77777777" w:rsidR="007351A0" w:rsidRDefault="007351A0">
            <w:pPr>
              <w:widowControl/>
              <w:spacing w:line="240" w:lineRule="exact"/>
              <w:jc w:val="both"/>
              <w:rPr>
                <w:rFonts w:ascii="標楷體" w:eastAsia="標楷體" w:hAnsi="標楷體" w:cs="Times New Roman"/>
                <w:sz w:val="20"/>
                <w:szCs w:val="24"/>
              </w:rPr>
            </w:pPr>
          </w:p>
        </w:tc>
      </w:tr>
      <w:tr w:rsidR="007351A0" w14:paraId="728022C2" w14:textId="77777777" w:rsidTr="007351A0">
        <w:trPr>
          <w:trHeight w:val="567"/>
        </w:trPr>
        <w:tc>
          <w:tcPr>
            <w:tcW w:w="3716" w:type="pct"/>
            <w:tcBorders>
              <w:top w:val="single" w:sz="4" w:space="0" w:color="auto"/>
              <w:left w:val="single" w:sz="4" w:space="0" w:color="auto"/>
              <w:bottom w:val="single" w:sz="4" w:space="0" w:color="auto"/>
              <w:right w:val="single" w:sz="4" w:space="0" w:color="auto"/>
            </w:tcBorders>
            <w:hideMark/>
          </w:tcPr>
          <w:p w14:paraId="0DFFBDD6" w14:textId="77777777" w:rsidR="007351A0" w:rsidRDefault="007351A0">
            <w:pPr>
              <w:widowControl/>
              <w:spacing w:line="280" w:lineRule="exact"/>
              <w:ind w:leftChars="242" w:left="591" w:hangingChars="5" w:hanging="10"/>
              <w:jc w:val="both"/>
              <w:rPr>
                <w:rFonts w:ascii="標楷體" w:eastAsia="標楷體" w:hAnsi="標楷體" w:cs="Times New Roman"/>
                <w:sz w:val="20"/>
                <w:szCs w:val="20"/>
              </w:rPr>
            </w:pPr>
            <w:r>
              <w:rPr>
                <w:rFonts w:ascii="標楷體" w:eastAsia="標楷體" w:hAnsi="標楷體" w:cs="Times New Roman" w:hint="eastAsia"/>
                <w:spacing w:val="4"/>
                <w:sz w:val="20"/>
                <w:szCs w:val="20"/>
              </w:rPr>
              <w:t>為維護公共安全，產業發展局已督促瓦斯公司</w:t>
            </w:r>
            <w:proofErr w:type="gramStart"/>
            <w:r>
              <w:rPr>
                <w:rFonts w:ascii="標楷體" w:eastAsia="標楷體" w:hAnsi="標楷體" w:cs="Times New Roman" w:hint="eastAsia"/>
                <w:spacing w:val="4"/>
                <w:sz w:val="20"/>
                <w:szCs w:val="20"/>
              </w:rPr>
              <w:t>訂定老舊</w:t>
            </w:r>
            <w:proofErr w:type="gramEnd"/>
            <w:r>
              <w:rPr>
                <w:rFonts w:ascii="標楷體" w:eastAsia="標楷體" w:hAnsi="標楷體" w:cs="Times New Roman" w:hint="eastAsia"/>
                <w:spacing w:val="4"/>
                <w:sz w:val="20"/>
                <w:szCs w:val="20"/>
              </w:rPr>
              <w:t>管線分年</w:t>
            </w:r>
            <w:proofErr w:type="gramStart"/>
            <w:r>
              <w:rPr>
                <w:rFonts w:ascii="標楷體" w:eastAsia="標楷體" w:hAnsi="標楷體" w:cs="Times New Roman" w:hint="eastAsia"/>
                <w:spacing w:val="4"/>
                <w:sz w:val="20"/>
                <w:szCs w:val="20"/>
              </w:rPr>
              <w:t>汰</w:t>
            </w:r>
            <w:proofErr w:type="gramEnd"/>
            <w:r>
              <w:rPr>
                <w:rFonts w:ascii="標楷體" w:eastAsia="標楷體" w:hAnsi="標楷體" w:cs="Times New Roman" w:hint="eastAsia"/>
                <w:spacing w:val="4"/>
                <w:sz w:val="20"/>
                <w:szCs w:val="20"/>
              </w:rPr>
              <w:t>換計畫及提升遭掩埋之瓦斯</w:t>
            </w:r>
            <w:proofErr w:type="gramStart"/>
            <w:r>
              <w:rPr>
                <w:rFonts w:ascii="標楷體" w:eastAsia="標楷體" w:hAnsi="標楷體" w:cs="Times New Roman" w:hint="eastAsia"/>
                <w:spacing w:val="4"/>
                <w:sz w:val="20"/>
                <w:szCs w:val="20"/>
              </w:rPr>
              <w:t>開關閥孔蓋</w:t>
            </w:r>
            <w:proofErr w:type="gramEnd"/>
            <w:r>
              <w:rPr>
                <w:rFonts w:ascii="標楷體" w:eastAsia="標楷體" w:hAnsi="標楷體" w:cs="Times New Roman" w:hint="eastAsia"/>
                <w:spacing w:val="4"/>
                <w:sz w:val="20"/>
                <w:szCs w:val="20"/>
              </w:rPr>
              <w:t>，惟臺北市區埋設50年以上管線達18萬餘公尺，及瓦斯開關</w:t>
            </w:r>
            <w:proofErr w:type="gramStart"/>
            <w:r>
              <w:rPr>
                <w:rFonts w:ascii="標楷體" w:eastAsia="標楷體" w:hAnsi="標楷體" w:cs="Times New Roman" w:hint="eastAsia"/>
                <w:spacing w:val="4"/>
                <w:sz w:val="20"/>
                <w:szCs w:val="20"/>
              </w:rPr>
              <w:t>閥孔蓋約</w:t>
            </w:r>
            <w:proofErr w:type="gramEnd"/>
            <w:r>
              <w:rPr>
                <w:rFonts w:ascii="標楷體" w:eastAsia="標楷體" w:hAnsi="標楷體" w:cs="Times New Roman" w:hint="eastAsia"/>
                <w:spacing w:val="4"/>
                <w:sz w:val="20"/>
                <w:szCs w:val="20"/>
              </w:rPr>
              <w:t>近</w:t>
            </w:r>
            <w:proofErr w:type="gramStart"/>
            <w:r>
              <w:rPr>
                <w:rFonts w:ascii="標楷體" w:eastAsia="標楷體" w:hAnsi="標楷體" w:cs="Times New Roman" w:hint="eastAsia"/>
                <w:spacing w:val="4"/>
                <w:sz w:val="20"/>
                <w:szCs w:val="20"/>
              </w:rPr>
              <w:t>3成</w:t>
            </w:r>
            <w:proofErr w:type="gramEnd"/>
            <w:r>
              <w:rPr>
                <w:rFonts w:ascii="標楷體" w:eastAsia="標楷體" w:hAnsi="標楷體" w:cs="Times New Roman" w:hint="eastAsia"/>
                <w:spacing w:val="4"/>
                <w:sz w:val="20"/>
                <w:szCs w:val="20"/>
              </w:rPr>
              <w:t>遭掩埋，允宜儘速督導改善。</w:t>
            </w:r>
          </w:p>
        </w:tc>
        <w:tc>
          <w:tcPr>
            <w:tcW w:w="1284" w:type="pct"/>
            <w:tcBorders>
              <w:top w:val="single" w:sz="4" w:space="0" w:color="auto"/>
              <w:left w:val="single" w:sz="4" w:space="0" w:color="auto"/>
              <w:bottom w:val="single" w:sz="4" w:space="0" w:color="auto"/>
              <w:right w:val="single" w:sz="4" w:space="0" w:color="auto"/>
            </w:tcBorders>
            <w:hideMark/>
          </w:tcPr>
          <w:p w14:paraId="2722861F" w14:textId="77777777" w:rsidR="007351A0" w:rsidRDefault="007351A0">
            <w:pPr>
              <w:widowControl/>
              <w:spacing w:line="280" w:lineRule="exact"/>
              <w:jc w:val="both"/>
              <w:rPr>
                <w:rFonts w:ascii="標楷體" w:eastAsia="標楷體" w:hAnsi="標楷體" w:cs="Times New Roman"/>
                <w:sz w:val="20"/>
                <w:szCs w:val="20"/>
              </w:rPr>
            </w:pPr>
            <w:r>
              <w:rPr>
                <w:rFonts w:ascii="標楷體" w:eastAsia="標楷體" w:hAnsi="標楷體" w:cs="Times New Roman" w:hint="eastAsia"/>
                <w:spacing w:val="4"/>
                <w:sz w:val="20"/>
                <w:szCs w:val="20"/>
              </w:rPr>
              <w:t>前經監察院立案調查，該院尚在處理中。</w:t>
            </w:r>
          </w:p>
        </w:tc>
      </w:tr>
      <w:tr w:rsidR="007351A0" w14:paraId="14351361" w14:textId="77777777" w:rsidTr="007351A0">
        <w:trPr>
          <w:trHeight w:val="227"/>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38C261F7" w14:textId="77777777" w:rsidR="007351A0" w:rsidRDefault="007351A0">
            <w:pPr>
              <w:widowControl/>
              <w:spacing w:line="280" w:lineRule="exact"/>
              <w:jc w:val="both"/>
              <w:rPr>
                <w:rFonts w:ascii="標楷體" w:eastAsia="標楷體" w:hAnsi="標楷體" w:cs="Times New Roman"/>
                <w:color w:val="FF0000"/>
                <w:spacing w:val="4"/>
                <w:sz w:val="20"/>
                <w:szCs w:val="20"/>
              </w:rPr>
            </w:pPr>
            <w:r>
              <w:rPr>
                <w:rFonts w:ascii="標楷體" w:eastAsia="標楷體" w:hAnsi="標楷體" w:cs="Times New Roman" w:hint="eastAsia"/>
                <w:b/>
                <w:sz w:val="20"/>
                <w:szCs w:val="24"/>
              </w:rPr>
              <w:t>已</w:t>
            </w:r>
            <w:proofErr w:type="gramStart"/>
            <w:r>
              <w:rPr>
                <w:rFonts w:ascii="標楷體" w:eastAsia="標楷體" w:hAnsi="標楷體" w:cs="Times New Roman" w:hint="eastAsia"/>
                <w:b/>
                <w:sz w:val="20"/>
                <w:szCs w:val="24"/>
              </w:rPr>
              <w:t>研</w:t>
            </w:r>
            <w:proofErr w:type="gramEnd"/>
            <w:r>
              <w:rPr>
                <w:rFonts w:ascii="標楷體" w:eastAsia="標楷體" w:hAnsi="標楷體" w:cs="Times New Roman" w:hint="eastAsia"/>
                <w:b/>
                <w:sz w:val="20"/>
                <w:szCs w:val="24"/>
              </w:rPr>
              <w:t>謀改善或依改善措施持續辦理</w:t>
            </w:r>
          </w:p>
        </w:tc>
      </w:tr>
      <w:tr w:rsidR="007351A0" w14:paraId="39B0BCFD" w14:textId="77777777" w:rsidTr="007351A0">
        <w:trPr>
          <w:trHeight w:val="454"/>
        </w:trPr>
        <w:tc>
          <w:tcPr>
            <w:tcW w:w="3716" w:type="pct"/>
            <w:tcBorders>
              <w:top w:val="single" w:sz="4" w:space="0" w:color="auto"/>
              <w:left w:val="single" w:sz="4" w:space="0" w:color="auto"/>
              <w:bottom w:val="single" w:sz="4" w:space="0" w:color="auto"/>
              <w:right w:val="single" w:sz="4" w:space="0" w:color="auto"/>
            </w:tcBorders>
            <w:hideMark/>
          </w:tcPr>
          <w:p w14:paraId="53353120" w14:textId="77777777" w:rsidR="007351A0" w:rsidRDefault="007351A0">
            <w:pPr>
              <w:widowControl/>
              <w:spacing w:line="280"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（一）為維護傳統市場建築物結構安全，進行耐震評估及補強作業，惟部分市場尚未辦理是項作業；另部分市場建築物老舊，結構材料老化且樓層</w:t>
            </w:r>
            <w:proofErr w:type="gramStart"/>
            <w:r>
              <w:rPr>
                <w:rFonts w:ascii="標楷體" w:eastAsia="標楷體" w:hAnsi="標楷體" w:cs="Times New Roman" w:hint="eastAsia"/>
                <w:sz w:val="20"/>
                <w:szCs w:val="20"/>
              </w:rPr>
              <w:t>混凝土氯</w:t>
            </w:r>
            <w:proofErr w:type="gramEnd"/>
            <w:r>
              <w:rPr>
                <w:rFonts w:ascii="標楷體" w:eastAsia="標楷體" w:hAnsi="標楷體" w:cs="Times New Roman" w:hint="eastAsia"/>
                <w:sz w:val="20"/>
                <w:szCs w:val="20"/>
              </w:rPr>
              <w:t>離子含量過高，惟未建立巡檢維護機制以確保公共安全，</w:t>
            </w:r>
            <w:proofErr w:type="gramStart"/>
            <w:r>
              <w:rPr>
                <w:rFonts w:ascii="標楷體" w:eastAsia="標楷體" w:hAnsi="標楷體" w:cs="Times New Roman" w:hint="eastAsia"/>
                <w:sz w:val="20"/>
                <w:szCs w:val="20"/>
              </w:rPr>
              <w:t>允待檢討</w:t>
            </w:r>
            <w:proofErr w:type="gramEnd"/>
            <w:r>
              <w:rPr>
                <w:rFonts w:ascii="標楷體" w:eastAsia="標楷體" w:hAnsi="標楷體" w:cs="Times New Roman" w:hint="eastAsia"/>
                <w:sz w:val="20"/>
                <w:szCs w:val="20"/>
              </w:rPr>
              <w:t>改善。</w:t>
            </w:r>
          </w:p>
        </w:tc>
        <w:tc>
          <w:tcPr>
            <w:tcW w:w="1284" w:type="pct"/>
            <w:vMerge w:val="restart"/>
            <w:tcBorders>
              <w:top w:val="single" w:sz="4" w:space="0" w:color="auto"/>
              <w:left w:val="single" w:sz="4" w:space="0" w:color="auto"/>
              <w:bottom w:val="single" w:sz="4" w:space="0" w:color="auto"/>
              <w:right w:val="single" w:sz="4" w:space="0" w:color="auto"/>
              <w:tl2br w:val="single" w:sz="4" w:space="0" w:color="auto"/>
            </w:tcBorders>
            <w:hideMark/>
          </w:tcPr>
          <w:p w14:paraId="3AAA7E01" w14:textId="77777777" w:rsidR="007351A0" w:rsidRDefault="007351A0">
            <w:pPr>
              <w:rPr>
                <w:rFonts w:ascii="標楷體" w:eastAsia="標楷體" w:hAnsi="標楷體" w:cs="Times New Roman"/>
                <w:sz w:val="20"/>
                <w:szCs w:val="20"/>
              </w:rPr>
            </w:pPr>
          </w:p>
        </w:tc>
      </w:tr>
      <w:tr w:rsidR="007351A0" w14:paraId="48AB31AD" w14:textId="77777777" w:rsidTr="007351A0">
        <w:trPr>
          <w:trHeight w:val="454"/>
        </w:trPr>
        <w:tc>
          <w:tcPr>
            <w:tcW w:w="3716" w:type="pct"/>
            <w:tcBorders>
              <w:top w:val="single" w:sz="4" w:space="0" w:color="auto"/>
              <w:left w:val="single" w:sz="4" w:space="0" w:color="auto"/>
              <w:bottom w:val="single" w:sz="4" w:space="0" w:color="auto"/>
              <w:right w:val="single" w:sz="4" w:space="0" w:color="auto"/>
            </w:tcBorders>
            <w:hideMark/>
          </w:tcPr>
          <w:p w14:paraId="4C4EFA78" w14:textId="77777777" w:rsidR="007351A0" w:rsidRDefault="007351A0">
            <w:pPr>
              <w:widowControl/>
              <w:spacing w:line="280"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（二）近年家貓</w:t>
            </w:r>
            <w:proofErr w:type="gramStart"/>
            <w:r>
              <w:rPr>
                <w:rFonts w:ascii="標楷體" w:eastAsia="標楷體" w:hAnsi="標楷體" w:cs="Times New Roman" w:hint="eastAsia"/>
                <w:sz w:val="20"/>
                <w:szCs w:val="20"/>
              </w:rPr>
              <w:t>在養數逐年</w:t>
            </w:r>
            <w:proofErr w:type="gramEnd"/>
            <w:r>
              <w:rPr>
                <w:rFonts w:ascii="標楷體" w:eastAsia="標楷體" w:hAnsi="標楷體" w:cs="Times New Roman" w:hint="eastAsia"/>
                <w:sz w:val="20"/>
                <w:szCs w:val="20"/>
              </w:rPr>
              <w:t>增加，增幅逾</w:t>
            </w:r>
            <w:proofErr w:type="gramStart"/>
            <w:r>
              <w:rPr>
                <w:rFonts w:ascii="標楷體" w:eastAsia="標楷體" w:hAnsi="標楷體" w:cs="Times New Roman" w:hint="eastAsia"/>
                <w:sz w:val="20"/>
                <w:szCs w:val="20"/>
              </w:rPr>
              <w:t>2成</w:t>
            </w:r>
            <w:proofErr w:type="gramEnd"/>
            <w:r>
              <w:rPr>
                <w:rFonts w:ascii="標楷體" w:eastAsia="標楷體" w:hAnsi="標楷體" w:cs="Times New Roman" w:hint="eastAsia"/>
                <w:sz w:val="20"/>
                <w:szCs w:val="20"/>
              </w:rPr>
              <w:t>，惟注射狂犬病疫苗比率反呈遞減趨勢，另為控</w:t>
            </w:r>
            <w:proofErr w:type="gramStart"/>
            <w:r>
              <w:rPr>
                <w:rFonts w:ascii="標楷體" w:eastAsia="標楷體" w:hAnsi="標楷體" w:cs="Times New Roman" w:hint="eastAsia"/>
                <w:sz w:val="20"/>
                <w:szCs w:val="20"/>
              </w:rPr>
              <w:t>管街貓</w:t>
            </w:r>
            <w:proofErr w:type="gramEnd"/>
            <w:r>
              <w:rPr>
                <w:rFonts w:ascii="標楷體" w:eastAsia="標楷體" w:hAnsi="標楷體" w:cs="Times New Roman" w:hint="eastAsia"/>
                <w:sz w:val="20"/>
                <w:szCs w:val="20"/>
              </w:rPr>
              <w:t>數量，補助民間團體</w:t>
            </w:r>
            <w:proofErr w:type="gramStart"/>
            <w:r>
              <w:rPr>
                <w:rFonts w:ascii="標楷體" w:eastAsia="標楷體" w:hAnsi="標楷體" w:cs="Times New Roman" w:hint="eastAsia"/>
                <w:sz w:val="20"/>
                <w:szCs w:val="20"/>
              </w:rPr>
              <w:t>辦理街貓友善</w:t>
            </w:r>
            <w:proofErr w:type="gramEnd"/>
            <w:r>
              <w:rPr>
                <w:rFonts w:ascii="標楷體" w:eastAsia="標楷體" w:hAnsi="標楷體" w:cs="Times New Roman" w:hint="eastAsia"/>
                <w:sz w:val="20"/>
                <w:szCs w:val="20"/>
              </w:rPr>
              <w:t>照護行動方案，惟執行志工人數逐年遞減，或未於絕育率較低之行政區加強</w:t>
            </w:r>
            <w:proofErr w:type="gramStart"/>
            <w:r>
              <w:rPr>
                <w:rFonts w:ascii="標楷體" w:eastAsia="標楷體" w:hAnsi="標楷體" w:cs="Times New Roman" w:hint="eastAsia"/>
                <w:sz w:val="20"/>
                <w:szCs w:val="20"/>
              </w:rPr>
              <w:t>執行街貓絕育</w:t>
            </w:r>
            <w:proofErr w:type="gramEnd"/>
            <w:r>
              <w:rPr>
                <w:rFonts w:ascii="標楷體" w:eastAsia="標楷體" w:hAnsi="標楷體" w:cs="Times New Roman" w:hint="eastAsia"/>
                <w:sz w:val="20"/>
                <w:szCs w:val="20"/>
              </w:rPr>
              <w:t>等情事，均有待檢討改善。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BAF27" w14:textId="77777777" w:rsidR="007351A0" w:rsidRDefault="007351A0">
            <w:pPr>
              <w:widowControl/>
              <w:rPr>
                <w:rFonts w:ascii="標楷體" w:eastAsia="標楷體" w:hAnsi="標楷體" w:cs="Times New Roman"/>
                <w:sz w:val="20"/>
                <w:szCs w:val="20"/>
              </w:rPr>
            </w:pPr>
          </w:p>
        </w:tc>
      </w:tr>
      <w:tr w:rsidR="007351A0" w14:paraId="352C5054" w14:textId="77777777" w:rsidTr="007351A0">
        <w:trPr>
          <w:trHeight w:val="454"/>
        </w:trPr>
        <w:tc>
          <w:tcPr>
            <w:tcW w:w="3716" w:type="pct"/>
            <w:tcBorders>
              <w:top w:val="single" w:sz="4" w:space="0" w:color="auto"/>
              <w:left w:val="single" w:sz="4" w:space="0" w:color="auto"/>
              <w:bottom w:val="single" w:sz="4" w:space="0" w:color="auto"/>
              <w:right w:val="single" w:sz="4" w:space="0" w:color="auto"/>
            </w:tcBorders>
            <w:vAlign w:val="center"/>
            <w:hideMark/>
          </w:tcPr>
          <w:p w14:paraId="6A9D90C3" w14:textId="77777777" w:rsidR="007351A0" w:rsidRDefault="007351A0">
            <w:pPr>
              <w:widowControl/>
              <w:spacing w:line="280"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（三）為落實動物照護政策，辦理動物收容與認養，惟近3年動物之家在養動物數量已超出最大收容量，且認養率亦呈逐年遞減趨勢，有待檢討改善。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C77DA7" w14:textId="77777777" w:rsidR="007351A0" w:rsidRDefault="007351A0">
            <w:pPr>
              <w:widowControl/>
              <w:rPr>
                <w:rFonts w:ascii="標楷體" w:eastAsia="標楷體" w:hAnsi="標楷體" w:cs="Times New Roman"/>
                <w:sz w:val="20"/>
                <w:szCs w:val="20"/>
              </w:rPr>
            </w:pPr>
          </w:p>
        </w:tc>
      </w:tr>
      <w:tr w:rsidR="007351A0" w14:paraId="53BEBD97" w14:textId="77777777" w:rsidTr="007351A0">
        <w:trPr>
          <w:trHeight w:val="454"/>
        </w:trPr>
        <w:tc>
          <w:tcPr>
            <w:tcW w:w="3716" w:type="pct"/>
            <w:tcBorders>
              <w:top w:val="single" w:sz="4" w:space="0" w:color="auto"/>
              <w:left w:val="single" w:sz="4" w:space="0" w:color="auto"/>
              <w:bottom w:val="single" w:sz="4" w:space="0" w:color="auto"/>
              <w:right w:val="single" w:sz="4" w:space="0" w:color="auto"/>
            </w:tcBorders>
            <w:vAlign w:val="center"/>
            <w:hideMark/>
          </w:tcPr>
          <w:p w14:paraId="00126622" w14:textId="77777777" w:rsidR="007351A0" w:rsidRDefault="007351A0">
            <w:pPr>
              <w:widowControl/>
              <w:spacing w:line="280"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（四）辦理外來鳥類埃及聖</w:t>
            </w:r>
            <w:r>
              <w:rPr>
                <w:rFonts w:ascii="新細明體" w:eastAsia="新細明體" w:hAnsi="新細明體" w:cs="新細明體" w:hint="eastAsia"/>
                <w:sz w:val="20"/>
                <w:szCs w:val="20"/>
              </w:rPr>
              <w:t>䴉</w:t>
            </w:r>
            <w:r>
              <w:rPr>
                <w:rFonts w:ascii="標楷體" w:eastAsia="標楷體" w:hAnsi="標楷體" w:cs="標楷體" w:hint="eastAsia"/>
                <w:sz w:val="20"/>
                <w:szCs w:val="20"/>
              </w:rPr>
              <w:t>生態調查及移除作業，以保護原生鳥類生態環境，</w:t>
            </w:r>
            <w:r>
              <w:rPr>
                <w:rFonts w:ascii="標楷體" w:eastAsia="標楷體" w:hAnsi="標楷體" w:cs="Times New Roman" w:hint="eastAsia"/>
                <w:sz w:val="20"/>
                <w:szCs w:val="20"/>
              </w:rPr>
              <w:t>112年於關渡自然公園觀測數已降至58隻次，為免剩餘個體繁殖壯大，有待盤整現有監測資源進行共享，妥為規劃監測方式，以達清零目標。</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E4E1FE" w14:textId="77777777" w:rsidR="007351A0" w:rsidRDefault="007351A0">
            <w:pPr>
              <w:widowControl/>
              <w:rPr>
                <w:rFonts w:ascii="標楷體" w:eastAsia="標楷體" w:hAnsi="標楷體" w:cs="Times New Roman"/>
                <w:sz w:val="20"/>
                <w:szCs w:val="20"/>
              </w:rPr>
            </w:pPr>
          </w:p>
        </w:tc>
      </w:tr>
      <w:tr w:rsidR="007351A0" w14:paraId="47D96C19" w14:textId="77777777" w:rsidTr="007351A0">
        <w:trPr>
          <w:trHeight w:val="454"/>
        </w:trPr>
        <w:tc>
          <w:tcPr>
            <w:tcW w:w="3716" w:type="pct"/>
            <w:tcBorders>
              <w:top w:val="single" w:sz="4" w:space="0" w:color="auto"/>
              <w:left w:val="single" w:sz="4" w:space="0" w:color="auto"/>
              <w:bottom w:val="single" w:sz="4" w:space="0" w:color="auto"/>
              <w:right w:val="single" w:sz="4" w:space="0" w:color="auto"/>
            </w:tcBorders>
            <w:vAlign w:val="center"/>
            <w:hideMark/>
          </w:tcPr>
          <w:p w14:paraId="577C3C0C" w14:textId="77777777" w:rsidR="007351A0" w:rsidRDefault="007351A0">
            <w:pPr>
              <w:widowControl/>
              <w:spacing w:line="300" w:lineRule="exact"/>
              <w:ind w:left="600" w:hangingChars="300" w:hanging="600"/>
              <w:jc w:val="both"/>
              <w:rPr>
                <w:rFonts w:ascii="標楷體" w:eastAsia="標楷體" w:hAnsi="標楷體" w:cs="Times New Roman"/>
                <w:sz w:val="20"/>
                <w:szCs w:val="20"/>
              </w:rPr>
            </w:pPr>
            <w:r>
              <w:rPr>
                <w:rFonts w:ascii="標楷體" w:eastAsia="標楷體" w:hAnsi="標楷體" w:cs="Times New Roman" w:hint="eastAsia"/>
                <w:sz w:val="20"/>
                <w:szCs w:val="20"/>
              </w:rPr>
              <w:t>（五）動物保護處委託廠商經營管理關渡自然公園，廠商未依約每年辦理財產清冊更新暨投保水災及地震險，且未確認商業火災險是否等值足額，均有待改善。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6B4E" w14:textId="77777777" w:rsidR="007351A0" w:rsidRDefault="007351A0">
            <w:pPr>
              <w:widowControl/>
              <w:rPr>
                <w:rFonts w:ascii="標楷體" w:eastAsia="標楷體" w:hAnsi="標楷體" w:cs="Times New Roman"/>
                <w:sz w:val="20"/>
                <w:szCs w:val="20"/>
              </w:rPr>
            </w:pPr>
          </w:p>
        </w:tc>
      </w:tr>
    </w:tbl>
    <w:p w14:paraId="7A6DA1E8" w14:textId="77777777" w:rsidR="00D74004" w:rsidRPr="00DB2473" w:rsidRDefault="00D74004" w:rsidP="00D74004">
      <w:pPr>
        <w:widowControl/>
        <w:suppressAutoHyphens/>
        <w:overflowPunct w:val="0"/>
        <w:spacing w:line="460" w:lineRule="exact"/>
        <w:jc w:val="both"/>
        <w:outlineLvl w:val="1"/>
        <w:rPr>
          <w:rFonts w:ascii="標楷體" w:eastAsia="標楷體" w:hAnsi="標楷體" w:cs="Times New Roman"/>
          <w:b/>
          <w:sz w:val="36"/>
          <w:szCs w:val="36"/>
        </w:rPr>
      </w:pPr>
      <w:proofErr w:type="gramStart"/>
      <w:r w:rsidRPr="00DB2473">
        <w:rPr>
          <w:rFonts w:ascii="標楷體" w:eastAsia="標楷體" w:hAnsi="標楷體" w:cs="Times New Roman" w:hint="eastAsia"/>
          <w:b/>
          <w:sz w:val="36"/>
          <w:szCs w:val="36"/>
        </w:rPr>
        <w:lastRenderedPageBreak/>
        <w:t>柒</w:t>
      </w:r>
      <w:proofErr w:type="gramEnd"/>
      <w:r w:rsidRPr="00DB2473">
        <w:rPr>
          <w:rFonts w:ascii="標楷體" w:eastAsia="標楷體" w:hAnsi="標楷體" w:cs="Times New Roman" w:hint="eastAsia"/>
          <w:b/>
          <w:sz w:val="36"/>
          <w:szCs w:val="36"/>
        </w:rPr>
        <w:t>、工務局主管</w:t>
      </w:r>
    </w:p>
    <w:p w14:paraId="5AE93485" w14:textId="77777777" w:rsidR="00D74004" w:rsidRPr="00DB2473" w:rsidRDefault="00D74004" w:rsidP="00D74004">
      <w:pPr>
        <w:widowControl/>
        <w:overflowPunct w:val="0"/>
        <w:spacing w:line="460" w:lineRule="exact"/>
        <w:ind w:firstLineChars="200" w:firstLine="480"/>
        <w:jc w:val="both"/>
        <w:rPr>
          <w:rFonts w:ascii="標楷體" w:eastAsia="標楷體" w:hAnsi="Times New Roman" w:cs="Times New Roman"/>
          <w:szCs w:val="24"/>
        </w:rPr>
      </w:pPr>
      <w:r w:rsidRPr="00DB2473">
        <w:rPr>
          <w:rFonts w:ascii="標楷體" w:eastAsia="標楷體" w:hAnsi="Times New Roman" w:cs="Times New Roman" w:hint="eastAsia"/>
          <w:szCs w:val="24"/>
        </w:rPr>
        <w:t>工務局主管計有公務機關6個，非營業特種基金單位2個，各該單位決算及附屬單位決算非營業部分之審核情形如次：</w:t>
      </w:r>
    </w:p>
    <w:p w14:paraId="3F90BA3E" w14:textId="77777777" w:rsidR="00D74004" w:rsidRPr="00DB2473" w:rsidRDefault="00D74004" w:rsidP="00D74004">
      <w:pPr>
        <w:widowControl/>
        <w:suppressAutoHyphens/>
        <w:overflowPunct w:val="0"/>
        <w:spacing w:beforeLines="20" w:before="72" w:afterLines="20" w:after="72" w:line="460" w:lineRule="exact"/>
        <w:jc w:val="both"/>
        <w:outlineLvl w:val="2"/>
        <w:rPr>
          <w:rFonts w:ascii="標楷體" w:eastAsia="標楷體" w:hAnsi="Times New Roman" w:cs="Times New Roman"/>
          <w:b/>
          <w:sz w:val="32"/>
          <w:szCs w:val="32"/>
        </w:rPr>
      </w:pPr>
      <w:r w:rsidRPr="00DB2473">
        <w:rPr>
          <w:rFonts w:ascii="標楷體" w:eastAsia="標楷體" w:hAnsi="Times New Roman" w:cs="Times New Roman" w:hint="eastAsia"/>
          <w:b/>
          <w:sz w:val="32"/>
          <w:szCs w:val="32"/>
        </w:rPr>
        <w:t>一、單位決算部分</w:t>
      </w:r>
    </w:p>
    <w:p w14:paraId="2E45B3E4" w14:textId="77777777" w:rsidR="00D74004" w:rsidRPr="00DB2473" w:rsidRDefault="00D74004" w:rsidP="00D74004">
      <w:pPr>
        <w:widowControl/>
        <w:overflowPunct w:val="0"/>
        <w:spacing w:line="460" w:lineRule="exact"/>
        <w:ind w:firstLineChars="200" w:firstLine="480"/>
        <w:jc w:val="both"/>
        <w:rPr>
          <w:rFonts w:ascii="標楷體" w:eastAsia="標楷體" w:hAnsi="Times New Roman" w:cs="Times New Roman"/>
          <w:szCs w:val="32"/>
        </w:rPr>
      </w:pPr>
      <w:r w:rsidRPr="00DB2473">
        <w:rPr>
          <w:rFonts w:ascii="標楷體" w:eastAsia="標楷體" w:hAnsi="Times New Roman" w:cs="Times New Roman" w:hint="eastAsia"/>
          <w:szCs w:val="32"/>
        </w:rPr>
        <w:t>工務局主管</w:t>
      </w:r>
      <w:r w:rsidRPr="00DB2473">
        <w:rPr>
          <w:rFonts w:ascii="標楷體" w:eastAsia="標楷體" w:hAnsi="標楷體" w:cs="Times New Roman" w:hint="eastAsia"/>
          <w:kern w:val="0"/>
          <w:szCs w:val="24"/>
        </w:rPr>
        <w:t>包括工務局、水利工程處、新建工程處、公園路燈工程管理處、衛生下水道工程處、大地工程處等6個機關，負責臺北市工務行政及採購之稽核監督，河川工程及抽水設備</w:t>
      </w:r>
      <w:proofErr w:type="gramStart"/>
      <w:r w:rsidRPr="00DB2473">
        <w:rPr>
          <w:rFonts w:ascii="標楷體" w:eastAsia="標楷體" w:hAnsi="標楷體" w:cs="Times New Roman" w:hint="eastAsia"/>
          <w:kern w:val="0"/>
          <w:szCs w:val="24"/>
        </w:rPr>
        <w:t>汰</w:t>
      </w:r>
      <w:proofErr w:type="gramEnd"/>
      <w:r w:rsidRPr="00DB2473">
        <w:rPr>
          <w:rFonts w:ascii="標楷體" w:eastAsia="標楷體" w:hAnsi="標楷體" w:cs="Times New Roman" w:hint="eastAsia"/>
          <w:kern w:val="0"/>
          <w:szCs w:val="24"/>
        </w:rPr>
        <w:t>舊更新，道路、橋梁等相關</w:t>
      </w:r>
      <w:r w:rsidRPr="00DB2473">
        <w:rPr>
          <w:rFonts w:ascii="標楷體" w:eastAsia="標楷體" w:hAnsi="Times New Roman" w:cs="Times New Roman" w:hint="eastAsia"/>
          <w:szCs w:val="32"/>
        </w:rPr>
        <w:t>工程及共同管道之管理維護，公園綠化建設、路燈與照明設施之整建及管理，污水下水道及相關設施之興建與維護，及土石流防治、坡地整治等業務。茲將</w:t>
      </w:r>
      <w:proofErr w:type="gramStart"/>
      <w:r w:rsidRPr="00DB2473">
        <w:rPr>
          <w:rFonts w:ascii="標楷體" w:eastAsia="標楷體" w:hAnsi="Times New Roman" w:cs="Times New Roman" w:hint="eastAsia"/>
          <w:szCs w:val="32"/>
        </w:rPr>
        <w:t>11</w:t>
      </w:r>
      <w:r>
        <w:rPr>
          <w:rFonts w:ascii="標楷體" w:eastAsia="標楷體" w:hAnsi="Times New Roman" w:cs="Times New Roman" w:hint="eastAsia"/>
          <w:szCs w:val="32"/>
        </w:rPr>
        <w:t>3</w:t>
      </w:r>
      <w:proofErr w:type="gramEnd"/>
      <w:r w:rsidRPr="00DB2473">
        <w:rPr>
          <w:rFonts w:ascii="標楷體" w:eastAsia="標楷體" w:hAnsi="Times New Roman" w:cs="Times New Roman" w:hint="eastAsia"/>
          <w:szCs w:val="32"/>
        </w:rPr>
        <w:t>年度決算審核結果說明如次：</w:t>
      </w:r>
    </w:p>
    <w:p w14:paraId="431303BA" w14:textId="77777777" w:rsidR="00D74004" w:rsidRPr="00DB2473" w:rsidRDefault="00D74004" w:rsidP="00D74004">
      <w:pPr>
        <w:widowControl/>
        <w:suppressAutoHyphens/>
        <w:overflowPunct w:val="0"/>
        <w:spacing w:beforeLines="20" w:before="72" w:afterLines="20" w:after="72" w:line="460" w:lineRule="exact"/>
        <w:ind w:firstLineChars="100" w:firstLine="280"/>
        <w:jc w:val="both"/>
        <w:rPr>
          <w:rFonts w:ascii="標楷體" w:eastAsia="標楷體" w:hAnsi="Times New Roman" w:cs="Times New Roman"/>
          <w:b/>
          <w:sz w:val="28"/>
          <w:szCs w:val="28"/>
        </w:rPr>
      </w:pPr>
      <w:r w:rsidRPr="00DB2473">
        <w:rPr>
          <w:rFonts w:ascii="標楷體" w:eastAsia="標楷體" w:hAnsi="Times New Roman" w:cs="Times New Roman" w:hint="eastAsia"/>
          <w:b/>
          <w:sz w:val="28"/>
          <w:szCs w:val="28"/>
        </w:rPr>
        <w:t>（一）計畫實施之查核</w:t>
      </w:r>
    </w:p>
    <w:p w14:paraId="4B82BE80" w14:textId="77777777" w:rsidR="00D74004" w:rsidRPr="00CE04C6" w:rsidRDefault="00D74004" w:rsidP="00D74004">
      <w:pPr>
        <w:widowControl/>
        <w:overflowPunct w:val="0"/>
        <w:spacing w:line="450" w:lineRule="exact"/>
        <w:ind w:firstLineChars="200" w:firstLine="480"/>
        <w:jc w:val="both"/>
        <w:rPr>
          <w:rFonts w:ascii="標楷體" w:eastAsia="標楷體" w:hAnsi="標楷體" w:cs="Times New Roman"/>
          <w:kern w:val="0"/>
          <w:szCs w:val="24"/>
        </w:rPr>
      </w:pPr>
      <w:r w:rsidRPr="00CE04C6">
        <w:rPr>
          <w:rFonts w:ascii="標楷體" w:eastAsia="標楷體" w:hAnsi="Times New Roman" w:cs="Times New Roman" w:hint="eastAsia"/>
          <w:szCs w:val="32"/>
        </w:rPr>
        <w:t>業務計畫31項，下分工</w:t>
      </w:r>
      <w:r w:rsidRPr="00CE04C6">
        <w:rPr>
          <w:rFonts w:ascii="標楷體" w:eastAsia="標楷體" w:hAnsi="標楷體" w:cs="Times New Roman" w:hint="eastAsia"/>
          <w:kern w:val="0"/>
          <w:szCs w:val="24"/>
        </w:rPr>
        <w:t>作計畫</w:t>
      </w:r>
      <w:r w:rsidRPr="00CE04C6">
        <w:rPr>
          <w:rFonts w:ascii="標楷體" w:eastAsia="標楷體" w:hAnsi="標楷體" w:cs="Times New Roman"/>
          <w:kern w:val="0"/>
          <w:szCs w:val="24"/>
        </w:rPr>
        <w:t>3</w:t>
      </w:r>
      <w:r w:rsidRPr="00CE04C6">
        <w:rPr>
          <w:rFonts w:ascii="標楷體" w:eastAsia="標楷體" w:hAnsi="標楷體" w:cs="Times New Roman" w:hint="eastAsia"/>
          <w:kern w:val="0"/>
          <w:szCs w:val="24"/>
        </w:rPr>
        <w:t>9項，包括各項工程之督導考核；辦理河川防洪防災工作、水情監測與資訊化管理，及河濱景觀美化建設；更新老舊抽水機組，及雨水下水道系統建設與管理維護；</w:t>
      </w:r>
      <w:proofErr w:type="gramStart"/>
      <w:r w:rsidRPr="00CE04C6">
        <w:rPr>
          <w:rFonts w:ascii="標楷體" w:eastAsia="標楷體" w:hAnsi="標楷體" w:cs="Times New Roman" w:hint="eastAsia"/>
          <w:kern w:val="0"/>
          <w:szCs w:val="24"/>
        </w:rPr>
        <w:t>賡</w:t>
      </w:r>
      <w:proofErr w:type="gramEnd"/>
      <w:r w:rsidRPr="00CE04C6">
        <w:rPr>
          <w:rFonts w:ascii="標楷體" w:eastAsia="標楷體" w:hAnsi="標楷體" w:cs="Times New Roman" w:hint="eastAsia"/>
          <w:kern w:val="0"/>
          <w:szCs w:val="24"/>
        </w:rPr>
        <w:t>續辦理道路新</w:t>
      </w:r>
      <w:proofErr w:type="gramStart"/>
      <w:r w:rsidRPr="00CE04C6">
        <w:rPr>
          <w:rFonts w:ascii="標楷體" w:eastAsia="標楷體" w:hAnsi="標楷體" w:cs="Times New Roman" w:hint="eastAsia"/>
          <w:kern w:val="0"/>
          <w:szCs w:val="24"/>
        </w:rPr>
        <w:t>闢</w:t>
      </w:r>
      <w:proofErr w:type="gramEnd"/>
      <w:r w:rsidRPr="00CE04C6">
        <w:rPr>
          <w:rFonts w:ascii="標楷體" w:eastAsia="標楷體" w:hAnsi="標楷體" w:cs="Times New Roman" w:hint="eastAsia"/>
          <w:kern w:val="0"/>
          <w:szCs w:val="24"/>
        </w:rPr>
        <w:t>、人行道更新；推動道路橋梁隧道、共同管道及纜線管路管理維護及更新；辦理公園綠化及路燈建設工程，塑造綠地休憩環境；</w:t>
      </w:r>
      <w:proofErr w:type="gramStart"/>
      <w:r w:rsidRPr="00CE04C6">
        <w:rPr>
          <w:rFonts w:ascii="標楷體" w:eastAsia="標楷體" w:hAnsi="標楷體" w:cs="Times New Roman" w:hint="eastAsia"/>
          <w:kern w:val="0"/>
          <w:szCs w:val="24"/>
        </w:rPr>
        <w:t>賡</w:t>
      </w:r>
      <w:proofErr w:type="gramEnd"/>
      <w:r w:rsidRPr="00CE04C6">
        <w:rPr>
          <w:rFonts w:ascii="標楷體" w:eastAsia="標楷體" w:hAnsi="標楷體" w:cs="Times New Roman" w:hint="eastAsia"/>
          <w:kern w:val="0"/>
          <w:szCs w:val="24"/>
        </w:rPr>
        <w:t>續辦理污水下水道用戶接管工程、操作</w:t>
      </w:r>
      <w:proofErr w:type="gramStart"/>
      <w:r w:rsidRPr="00CE04C6">
        <w:rPr>
          <w:rFonts w:ascii="標楷體" w:eastAsia="標楷體" w:hAnsi="標楷體" w:cs="Times New Roman" w:hint="eastAsia"/>
          <w:kern w:val="0"/>
          <w:szCs w:val="24"/>
        </w:rPr>
        <w:t>臺</w:t>
      </w:r>
      <w:proofErr w:type="gramEnd"/>
      <w:r w:rsidRPr="00CE04C6">
        <w:rPr>
          <w:rFonts w:ascii="標楷體" w:eastAsia="標楷體" w:hAnsi="標楷體" w:cs="Times New Roman" w:hint="eastAsia"/>
          <w:kern w:val="0"/>
          <w:szCs w:val="24"/>
        </w:rPr>
        <w:t>北地區污水下水道系統；維護山區道路及登山步道，整治土</w:t>
      </w:r>
      <w:proofErr w:type="gramStart"/>
      <w:r w:rsidRPr="00CE04C6">
        <w:rPr>
          <w:rFonts w:ascii="標楷體" w:eastAsia="標楷體" w:hAnsi="標楷體" w:cs="Times New Roman" w:hint="eastAsia"/>
          <w:kern w:val="0"/>
          <w:szCs w:val="24"/>
        </w:rPr>
        <w:t>石流潛勢</w:t>
      </w:r>
      <w:proofErr w:type="gramEnd"/>
      <w:r w:rsidRPr="00CE04C6">
        <w:rPr>
          <w:rFonts w:ascii="標楷體" w:eastAsia="標楷體" w:hAnsi="標楷體" w:cs="Times New Roman" w:hint="eastAsia"/>
          <w:kern w:val="0"/>
          <w:szCs w:val="24"/>
        </w:rPr>
        <w:t>溪流與溪溝，及完善山坡地防災整備業務等重要施政項目，其中已執行完成者23項，尚在執行者16項，主要係：1.新建工程處辦理國家生技研究園區聯外道路、人行道改善、</w:t>
      </w:r>
      <w:proofErr w:type="gramStart"/>
      <w:r w:rsidRPr="00CE04C6">
        <w:rPr>
          <w:rFonts w:ascii="標楷體" w:eastAsia="標楷體" w:hAnsi="標楷體" w:cs="Times New Roman" w:hint="eastAsia"/>
          <w:kern w:val="0"/>
          <w:szCs w:val="24"/>
        </w:rPr>
        <w:t>道路橋涵興建</w:t>
      </w:r>
      <w:proofErr w:type="gramEnd"/>
      <w:r w:rsidRPr="00CE04C6">
        <w:rPr>
          <w:rFonts w:ascii="標楷體" w:eastAsia="標楷體" w:hAnsi="標楷體" w:cs="Times New Roman" w:hint="eastAsia"/>
          <w:kern w:val="0"/>
          <w:szCs w:val="24"/>
        </w:rPr>
        <w:t>與改善、中正橋改建及代辦管線附掛、松隆路人行環境等工程，及臺北市道路、人行道普查及功能分類暨視覺化管理平</w:t>
      </w:r>
      <w:proofErr w:type="gramStart"/>
      <w:r w:rsidRPr="00CE04C6">
        <w:rPr>
          <w:rFonts w:ascii="標楷體" w:eastAsia="標楷體" w:hAnsi="標楷體" w:cs="Times New Roman" w:hint="eastAsia"/>
          <w:kern w:val="0"/>
          <w:szCs w:val="24"/>
        </w:rPr>
        <w:t>臺</w:t>
      </w:r>
      <w:proofErr w:type="gramEnd"/>
      <w:r w:rsidRPr="00CE04C6">
        <w:rPr>
          <w:rFonts w:ascii="標楷體" w:eastAsia="標楷體" w:hAnsi="標楷體" w:cs="Times New Roman" w:hint="eastAsia"/>
          <w:kern w:val="0"/>
          <w:szCs w:val="24"/>
        </w:rPr>
        <w:t>建置計畫，暨水利工程處辦理大龍抽水站擴建、大安區安和路2段171巷排水改善及雙溪河濱公園左岸自行車暨周邊環境改善等工程，與</w:t>
      </w:r>
      <w:r w:rsidRPr="00CE04C6">
        <w:rPr>
          <w:rFonts w:ascii="標楷體" w:eastAsia="標楷體" w:hAnsi="Times New Roman" w:cs="Times New Roman" w:hint="eastAsia"/>
          <w:szCs w:val="32"/>
        </w:rPr>
        <w:t>公園路燈工程管理處辦理艋舺公園景觀改善及撫遠公園整修等工程，尚在執行中，須保留繼續執行</w:t>
      </w:r>
      <w:r w:rsidRPr="00CE04C6">
        <w:rPr>
          <w:rFonts w:ascii="標楷體" w:eastAsia="標楷體" w:hAnsi="Times New Roman" w:cs="Times New Roman"/>
          <w:szCs w:val="32"/>
        </w:rPr>
        <w:t>；</w:t>
      </w:r>
      <w:r w:rsidRPr="00CE04C6">
        <w:rPr>
          <w:rFonts w:ascii="標楷體" w:eastAsia="標楷體" w:hAnsi="Times New Roman" w:cs="Times New Roman" w:hint="eastAsia"/>
          <w:szCs w:val="32"/>
        </w:rPr>
        <w:t>2.工務局辦理西園路2段39巷周邊、桂林路65巷及昌吉街至迪化街2段146</w:t>
      </w:r>
      <w:proofErr w:type="gramStart"/>
      <w:r w:rsidRPr="00CE04C6">
        <w:rPr>
          <w:rFonts w:ascii="標楷體" w:eastAsia="標楷體" w:hAnsi="Times New Roman" w:cs="Times New Roman" w:hint="eastAsia"/>
          <w:szCs w:val="32"/>
        </w:rPr>
        <w:t>巷間等計畫</w:t>
      </w:r>
      <w:proofErr w:type="gramEnd"/>
      <w:r w:rsidRPr="00CE04C6">
        <w:rPr>
          <w:rFonts w:ascii="標楷體" w:eastAsia="標楷體" w:hAnsi="Times New Roman" w:cs="Times New Roman" w:hint="eastAsia"/>
          <w:szCs w:val="32"/>
        </w:rPr>
        <w:t>道路興建工程之用地補償費尚待撥付，仍須繼續執行。</w:t>
      </w:r>
    </w:p>
    <w:p w14:paraId="71D31CB9" w14:textId="77777777" w:rsidR="00D74004" w:rsidRPr="00DB2473" w:rsidRDefault="00D74004" w:rsidP="00D74004">
      <w:pPr>
        <w:widowControl/>
        <w:suppressAutoHyphens/>
        <w:overflowPunct w:val="0"/>
        <w:spacing w:beforeLines="20" w:before="72" w:afterLines="20" w:after="72" w:line="460" w:lineRule="exact"/>
        <w:ind w:firstLineChars="100" w:firstLine="280"/>
        <w:jc w:val="both"/>
        <w:rPr>
          <w:rFonts w:ascii="標楷體" w:eastAsia="標楷體" w:hAnsi="Times New Roman" w:cs="Times New Roman"/>
          <w:b/>
          <w:sz w:val="28"/>
          <w:szCs w:val="28"/>
        </w:rPr>
      </w:pPr>
      <w:r w:rsidRPr="00DB2473">
        <w:rPr>
          <w:rFonts w:ascii="標楷體" w:eastAsia="標楷體" w:hAnsi="Times New Roman" w:cs="Times New Roman" w:hint="eastAsia"/>
          <w:b/>
          <w:sz w:val="28"/>
          <w:szCs w:val="28"/>
        </w:rPr>
        <w:t>（二）預算執行之審核</w:t>
      </w:r>
    </w:p>
    <w:p w14:paraId="4B01D872" w14:textId="77777777" w:rsidR="00D74004" w:rsidRPr="00DB2473" w:rsidRDefault="00D74004" w:rsidP="00D74004">
      <w:pPr>
        <w:widowControl/>
        <w:overflowPunct w:val="0"/>
        <w:spacing w:line="440" w:lineRule="exact"/>
        <w:ind w:firstLineChars="200" w:firstLine="480"/>
        <w:jc w:val="both"/>
        <w:rPr>
          <w:rFonts w:ascii="標楷體" w:eastAsia="標楷體" w:hAnsi="Times New Roman" w:cs="Times New Roman"/>
          <w:szCs w:val="24"/>
        </w:rPr>
      </w:pPr>
      <w:r w:rsidRPr="00DB2473">
        <w:rPr>
          <w:rFonts w:ascii="標楷體" w:eastAsia="標楷體" w:hAnsi="Times New Roman" w:cs="Times New Roman" w:hint="eastAsia"/>
          <w:szCs w:val="24"/>
        </w:rPr>
        <w:t>1.歲入原編列預算數</w:t>
      </w:r>
      <w:r w:rsidRPr="00080BE1">
        <w:rPr>
          <w:rFonts w:ascii="標楷體" w:eastAsia="標楷體" w:hAnsi="Times New Roman" w:cs="Times New Roman" w:hint="eastAsia"/>
          <w:szCs w:val="24"/>
        </w:rPr>
        <w:t>25億2,010</w:t>
      </w:r>
      <w:r w:rsidRPr="00DB2473">
        <w:rPr>
          <w:rFonts w:ascii="標楷體" w:eastAsia="標楷體" w:hAnsi="Times New Roman" w:cs="Times New Roman" w:hint="eastAsia"/>
          <w:szCs w:val="24"/>
        </w:rPr>
        <w:t>萬餘元，經追加預算</w:t>
      </w:r>
      <w:r w:rsidRPr="00080BE1">
        <w:rPr>
          <w:rFonts w:ascii="標楷體" w:eastAsia="標楷體" w:hAnsi="Times New Roman" w:cs="Times New Roman" w:hint="eastAsia"/>
          <w:szCs w:val="24"/>
        </w:rPr>
        <w:t>7億3,679</w:t>
      </w:r>
      <w:r w:rsidRPr="00DB2473">
        <w:rPr>
          <w:rFonts w:ascii="標楷體" w:eastAsia="標楷體" w:hAnsi="Times New Roman" w:cs="Times New Roman" w:hint="eastAsia"/>
          <w:szCs w:val="24"/>
        </w:rPr>
        <w:t>萬餘元，合計</w:t>
      </w:r>
      <w:r w:rsidRPr="00080BE1">
        <w:rPr>
          <w:rFonts w:ascii="標楷體" w:eastAsia="標楷體" w:hAnsi="Times New Roman" w:cs="Times New Roman" w:hint="eastAsia"/>
          <w:szCs w:val="24"/>
        </w:rPr>
        <w:t>32億5,690</w:t>
      </w:r>
      <w:r w:rsidRPr="00DB2473">
        <w:rPr>
          <w:rFonts w:ascii="標楷體" w:eastAsia="標楷體" w:hAnsi="Times New Roman" w:cs="Times New Roman" w:hint="eastAsia"/>
          <w:szCs w:val="24"/>
        </w:rPr>
        <w:t>萬餘元，決算審核結果</w:t>
      </w:r>
      <w:r w:rsidRPr="00DB2473">
        <w:rPr>
          <w:rFonts w:ascii="標楷體" w:eastAsia="標楷體" w:hAnsi="標楷體" w:cs="Times New Roman" w:hint="eastAsia"/>
          <w:kern w:val="0"/>
          <w:szCs w:val="24"/>
        </w:rPr>
        <w:t>，審定實現數</w:t>
      </w:r>
      <w:r w:rsidRPr="00080BE1">
        <w:rPr>
          <w:rFonts w:ascii="標楷體" w:eastAsia="標楷體" w:hAnsi="標楷體" w:cs="Times New Roman" w:hint="eastAsia"/>
          <w:kern w:val="0"/>
          <w:szCs w:val="24"/>
        </w:rPr>
        <w:t>30億2,683</w:t>
      </w:r>
      <w:r w:rsidRPr="00DB2473">
        <w:rPr>
          <w:rFonts w:ascii="標楷體" w:eastAsia="標楷體" w:hAnsi="標楷體" w:cs="Times New Roman" w:hint="eastAsia"/>
          <w:kern w:val="0"/>
          <w:szCs w:val="24"/>
        </w:rPr>
        <w:t>萬餘元，應收保留數</w:t>
      </w:r>
      <w:r w:rsidRPr="00080BE1">
        <w:rPr>
          <w:rFonts w:ascii="標楷體" w:eastAsia="標楷體" w:hAnsi="標楷體" w:cs="Times New Roman" w:hint="eastAsia"/>
          <w:kern w:val="0"/>
          <w:szCs w:val="24"/>
        </w:rPr>
        <w:t>3億775</w:t>
      </w:r>
      <w:r w:rsidRPr="00DB2473">
        <w:rPr>
          <w:rFonts w:ascii="標楷體" w:eastAsia="標楷體" w:hAnsi="標楷體" w:cs="Times New Roman" w:hint="eastAsia"/>
          <w:kern w:val="0"/>
          <w:szCs w:val="24"/>
        </w:rPr>
        <w:t>萬餘元，主要係</w:t>
      </w:r>
      <w:r>
        <w:rPr>
          <w:rFonts w:ascii="標楷體" w:eastAsia="標楷體" w:hAnsi="標楷體" w:cs="Times New Roman" w:hint="eastAsia"/>
          <w:kern w:val="0"/>
          <w:szCs w:val="24"/>
        </w:rPr>
        <w:t>衛生下水道工程處應收</w:t>
      </w:r>
      <w:r w:rsidRPr="00080BE1">
        <w:rPr>
          <w:rFonts w:ascii="標楷體" w:eastAsia="標楷體" w:hAnsi="標楷體" w:cs="Times New Roman" w:hint="eastAsia"/>
          <w:kern w:val="0"/>
          <w:szCs w:val="24"/>
        </w:rPr>
        <w:t>污水下水道使用費尚待收繳</w:t>
      </w:r>
      <w:r>
        <w:rPr>
          <w:rFonts w:ascii="標楷體" w:eastAsia="標楷體" w:hAnsi="標楷體" w:cs="Times New Roman" w:hint="eastAsia"/>
          <w:kern w:val="0"/>
          <w:szCs w:val="24"/>
        </w:rPr>
        <w:t>，及新建工程處獲</w:t>
      </w:r>
      <w:r w:rsidRPr="00080BE1">
        <w:rPr>
          <w:rFonts w:ascii="標楷體" w:eastAsia="標楷體" w:hAnsi="標楷體" w:cs="Times New Roman" w:hint="eastAsia"/>
          <w:kern w:val="0"/>
          <w:szCs w:val="24"/>
        </w:rPr>
        <w:t>內政部補助</w:t>
      </w:r>
      <w:r>
        <w:rPr>
          <w:rFonts w:ascii="標楷體" w:eastAsia="標楷體" w:hAnsi="標楷體" w:cs="Times New Roman" w:hint="eastAsia"/>
          <w:kern w:val="0"/>
          <w:szCs w:val="24"/>
        </w:rPr>
        <w:t>辦理</w:t>
      </w:r>
      <w:r w:rsidRPr="00080BE1">
        <w:rPr>
          <w:rFonts w:ascii="標楷體" w:eastAsia="標楷體" w:hAnsi="標楷體" w:cs="Times New Roman" w:hint="eastAsia"/>
          <w:kern w:val="0"/>
          <w:szCs w:val="24"/>
        </w:rPr>
        <w:t>臺北市忠孝東路3段人行環境改善工程等經費，依執行進度申撥款項</w:t>
      </w:r>
      <w:r w:rsidRPr="00DB2473">
        <w:rPr>
          <w:rFonts w:ascii="標楷體" w:eastAsia="標楷體" w:hAnsi="Times New Roman" w:cs="Times New Roman" w:hint="eastAsia"/>
          <w:szCs w:val="24"/>
        </w:rPr>
        <w:t>；合計決算審定數為</w:t>
      </w:r>
      <w:r w:rsidRPr="00080BE1">
        <w:rPr>
          <w:rFonts w:ascii="標楷體" w:eastAsia="標楷體" w:hAnsi="Times New Roman" w:cs="Times New Roman" w:hint="eastAsia"/>
          <w:szCs w:val="24"/>
        </w:rPr>
        <w:t>33億3,459</w:t>
      </w:r>
      <w:r w:rsidRPr="00DB2473">
        <w:rPr>
          <w:rFonts w:ascii="標楷體" w:eastAsia="標楷體" w:hAnsi="Times New Roman" w:cs="Times New Roman" w:hint="eastAsia"/>
          <w:szCs w:val="24"/>
        </w:rPr>
        <w:t>萬餘元，較預算增加</w:t>
      </w:r>
      <w:r w:rsidRPr="00080BE1">
        <w:rPr>
          <w:rFonts w:ascii="標楷體" w:eastAsia="標楷體" w:hAnsi="Times New Roman" w:cs="Times New Roman"/>
          <w:szCs w:val="24"/>
        </w:rPr>
        <w:t>7,768</w:t>
      </w:r>
      <w:r w:rsidRPr="00DB2473">
        <w:rPr>
          <w:rFonts w:ascii="標楷體" w:eastAsia="標楷體" w:hAnsi="Times New Roman" w:cs="Times New Roman" w:hint="eastAsia"/>
          <w:szCs w:val="24"/>
        </w:rPr>
        <w:t>萬餘元（</w:t>
      </w:r>
      <w:r w:rsidRPr="00080BE1">
        <w:rPr>
          <w:rFonts w:ascii="標楷體" w:eastAsia="標楷體" w:hAnsi="Times New Roman" w:cs="Times New Roman"/>
          <w:szCs w:val="24"/>
        </w:rPr>
        <w:t>2.39</w:t>
      </w:r>
      <w:r w:rsidRPr="00DB2473">
        <w:rPr>
          <w:rFonts w:ascii="標楷體" w:eastAsia="標楷體" w:hAnsi="Times New Roman" w:cs="Times New Roman" w:hint="eastAsia"/>
          <w:szCs w:val="24"/>
        </w:rPr>
        <w:t>％），</w:t>
      </w:r>
      <w:proofErr w:type="gramStart"/>
      <w:r w:rsidRPr="00DB2473">
        <w:rPr>
          <w:rFonts w:ascii="標楷體" w:eastAsia="標楷體" w:hAnsi="Times New Roman" w:cs="Times New Roman" w:hint="eastAsia"/>
          <w:szCs w:val="24"/>
        </w:rPr>
        <w:t>主要係</w:t>
      </w:r>
      <w:r>
        <w:rPr>
          <w:rFonts w:ascii="標楷體" w:eastAsia="標楷體" w:hAnsi="Times New Roman" w:cs="Times New Roman" w:hint="eastAsia"/>
          <w:szCs w:val="24"/>
        </w:rPr>
        <w:t>廢舊</w:t>
      </w:r>
      <w:proofErr w:type="gramEnd"/>
      <w:r>
        <w:rPr>
          <w:rFonts w:ascii="標楷體" w:eastAsia="標楷體" w:hAnsi="Times New Roman" w:cs="Times New Roman" w:hint="eastAsia"/>
          <w:szCs w:val="24"/>
        </w:rPr>
        <w:t>物資變賣收入及道路使用費收入等較預計增加</w:t>
      </w:r>
      <w:r w:rsidRPr="00DB2473">
        <w:rPr>
          <w:rFonts w:ascii="標楷體" w:eastAsia="標楷體" w:hAnsi="Times New Roman" w:cs="Times New Roman" w:hint="eastAsia"/>
          <w:szCs w:val="24"/>
        </w:rPr>
        <w:t>。</w:t>
      </w:r>
    </w:p>
    <w:p w14:paraId="20D97558" w14:textId="77777777" w:rsidR="00D74004" w:rsidRPr="00DB2473" w:rsidRDefault="00D74004" w:rsidP="00D74004">
      <w:pPr>
        <w:widowControl/>
        <w:overflowPunct w:val="0"/>
        <w:spacing w:line="400" w:lineRule="exact"/>
        <w:ind w:firstLineChars="200" w:firstLine="480"/>
        <w:jc w:val="both"/>
        <w:rPr>
          <w:rFonts w:ascii="標楷體" w:eastAsia="標楷體" w:hAnsi="Times New Roman" w:cs="Times New Roman"/>
          <w:szCs w:val="24"/>
        </w:rPr>
      </w:pPr>
      <w:r w:rsidRPr="00DB2473">
        <w:rPr>
          <w:rFonts w:ascii="標楷體" w:eastAsia="標楷體" w:hAnsi="Times New Roman" w:cs="Times New Roman" w:hint="eastAsia"/>
          <w:szCs w:val="24"/>
        </w:rPr>
        <w:lastRenderedPageBreak/>
        <w:t>2.以前年度歲入轉入數計</w:t>
      </w:r>
      <w:r w:rsidRPr="00E80616">
        <w:rPr>
          <w:rFonts w:ascii="標楷體" w:eastAsia="標楷體" w:hAnsi="Times New Roman" w:cs="Times New Roman" w:hint="eastAsia"/>
          <w:szCs w:val="24"/>
        </w:rPr>
        <w:t>6億4,646</w:t>
      </w:r>
      <w:r w:rsidRPr="00DB2473">
        <w:rPr>
          <w:rFonts w:ascii="標楷體" w:eastAsia="標楷體" w:hAnsi="Times New Roman" w:cs="Times New Roman" w:hint="eastAsia"/>
          <w:szCs w:val="24"/>
        </w:rPr>
        <w:t>萬餘元，決算審核結果，審定實現數</w:t>
      </w:r>
      <w:r w:rsidRPr="00E80616">
        <w:rPr>
          <w:rFonts w:ascii="標楷體" w:eastAsia="標楷體" w:hAnsi="Times New Roman" w:cs="Times New Roman" w:hint="eastAsia"/>
          <w:szCs w:val="24"/>
        </w:rPr>
        <w:t>5億6,213</w:t>
      </w:r>
      <w:r w:rsidRPr="00DB2473">
        <w:rPr>
          <w:rFonts w:ascii="標楷體" w:eastAsia="標楷體" w:hAnsi="Times New Roman" w:cs="Times New Roman" w:hint="eastAsia"/>
          <w:szCs w:val="24"/>
        </w:rPr>
        <w:t>萬餘元（</w:t>
      </w:r>
      <w:r w:rsidRPr="00E80616">
        <w:rPr>
          <w:rFonts w:ascii="標楷體" w:eastAsia="標楷體" w:hAnsi="Times New Roman" w:cs="Times New Roman"/>
          <w:szCs w:val="24"/>
        </w:rPr>
        <w:t>86.96</w:t>
      </w:r>
      <w:r w:rsidRPr="00DB2473">
        <w:rPr>
          <w:rFonts w:ascii="標楷體" w:eastAsia="標楷體" w:hAnsi="Times New Roman" w:cs="Times New Roman" w:hint="eastAsia"/>
          <w:szCs w:val="24"/>
        </w:rPr>
        <w:t>％）；減免（註銷）數</w:t>
      </w:r>
      <w:r w:rsidRPr="00E80616">
        <w:rPr>
          <w:rFonts w:ascii="標楷體" w:eastAsia="標楷體" w:hAnsi="Times New Roman" w:cs="Times New Roman"/>
          <w:szCs w:val="24"/>
        </w:rPr>
        <w:t>7,17</w:t>
      </w:r>
      <w:r>
        <w:rPr>
          <w:rFonts w:ascii="標楷體" w:eastAsia="標楷體" w:hAnsi="Times New Roman" w:cs="Times New Roman" w:hint="eastAsia"/>
          <w:szCs w:val="24"/>
        </w:rPr>
        <w:t>1</w:t>
      </w:r>
      <w:r w:rsidRPr="00DB2473">
        <w:rPr>
          <w:rFonts w:ascii="標楷體" w:eastAsia="標楷體" w:hAnsi="Times New Roman" w:cs="Times New Roman" w:hint="eastAsia"/>
          <w:szCs w:val="24"/>
        </w:rPr>
        <w:t>萬餘元（</w:t>
      </w:r>
      <w:r w:rsidRPr="00E80616">
        <w:rPr>
          <w:rFonts w:ascii="標楷體" w:eastAsia="標楷體" w:hAnsi="Times New Roman" w:cs="Times New Roman"/>
          <w:szCs w:val="24"/>
        </w:rPr>
        <w:t>11.09</w:t>
      </w:r>
      <w:r w:rsidRPr="00DB2473">
        <w:rPr>
          <w:rFonts w:ascii="標楷體" w:eastAsia="標楷體" w:hAnsi="Times New Roman" w:cs="Times New Roman" w:hint="eastAsia"/>
          <w:szCs w:val="24"/>
        </w:rPr>
        <w:t>％），主要係</w:t>
      </w:r>
      <w:r>
        <w:rPr>
          <w:rFonts w:ascii="標楷體" w:eastAsia="標楷體" w:hAnsi="Times New Roman" w:cs="Times New Roman" w:hint="eastAsia"/>
          <w:szCs w:val="24"/>
        </w:rPr>
        <w:t>工務局辦理</w:t>
      </w:r>
      <w:r>
        <w:rPr>
          <w:rFonts w:ascii="標楷體" w:eastAsia="標楷體" w:hAnsi="標楷體" w:cs="Times New Roman" w:hint="eastAsia"/>
          <w:szCs w:val="24"/>
        </w:rPr>
        <w:t>「</w:t>
      </w:r>
      <w:r w:rsidRPr="00DF3634">
        <w:rPr>
          <w:rFonts w:ascii="標楷體" w:eastAsia="標楷體" w:hAnsi="Times New Roman" w:cs="Times New Roman" w:hint="eastAsia"/>
          <w:szCs w:val="24"/>
        </w:rPr>
        <w:t>社子大橋新建工程第1期</w:t>
      </w:r>
      <w:r>
        <w:rPr>
          <w:rFonts w:ascii="標楷體" w:eastAsia="標楷體" w:hAnsi="標楷體" w:cs="Times New Roman" w:hint="eastAsia"/>
          <w:szCs w:val="24"/>
        </w:rPr>
        <w:t>」及</w:t>
      </w:r>
      <w:r w:rsidRPr="00DF3634">
        <w:rPr>
          <w:rFonts w:ascii="標楷體" w:eastAsia="標楷體" w:hAnsi="標楷體" w:cs="Times New Roman" w:hint="eastAsia"/>
          <w:szCs w:val="24"/>
        </w:rPr>
        <w:t>「士林86號道路工程」</w:t>
      </w:r>
      <w:r>
        <w:rPr>
          <w:rFonts w:ascii="標楷體" w:eastAsia="標楷體" w:hAnsi="標楷體" w:cs="Times New Roman" w:hint="eastAsia"/>
          <w:szCs w:val="24"/>
        </w:rPr>
        <w:t>等用地徵收案，經內政部核准廢止徵收，</w:t>
      </w:r>
      <w:r w:rsidRPr="00E80616">
        <w:rPr>
          <w:rFonts w:ascii="標楷體" w:eastAsia="標楷體" w:hAnsi="Times New Roman" w:cs="Times New Roman" w:hint="eastAsia"/>
          <w:szCs w:val="24"/>
        </w:rPr>
        <w:t>原土地所有權人未於法定期限內繳回之土地價款，依規定辦理註銷</w:t>
      </w:r>
      <w:r w:rsidRPr="00DB2473">
        <w:rPr>
          <w:rFonts w:ascii="標楷體" w:eastAsia="標楷體" w:hAnsi="Times New Roman" w:cs="Times New Roman" w:hint="eastAsia"/>
          <w:szCs w:val="24"/>
        </w:rPr>
        <w:t>；應收保留數</w:t>
      </w:r>
      <w:r w:rsidRPr="00667E94">
        <w:rPr>
          <w:rFonts w:ascii="標楷體" w:eastAsia="標楷體" w:hAnsi="Times New Roman" w:cs="Times New Roman"/>
          <w:szCs w:val="24"/>
        </w:rPr>
        <w:t>1,261</w:t>
      </w:r>
      <w:r w:rsidRPr="00DB2473">
        <w:rPr>
          <w:rFonts w:ascii="標楷體" w:eastAsia="標楷體" w:hAnsi="Times New Roman" w:cs="Times New Roman" w:hint="eastAsia"/>
          <w:szCs w:val="24"/>
        </w:rPr>
        <w:t>萬餘元（</w:t>
      </w:r>
      <w:r w:rsidRPr="00667E94">
        <w:rPr>
          <w:rFonts w:ascii="標楷體" w:eastAsia="標楷體" w:hAnsi="Times New Roman" w:cs="Times New Roman"/>
          <w:szCs w:val="24"/>
        </w:rPr>
        <w:t>1.95</w:t>
      </w:r>
      <w:r w:rsidRPr="00DB2473">
        <w:rPr>
          <w:rFonts w:ascii="標楷體" w:eastAsia="標楷體" w:hAnsi="Times New Roman" w:cs="Times New Roman" w:hint="eastAsia"/>
          <w:szCs w:val="24"/>
        </w:rPr>
        <w:t>％），主要係新建工程處</w:t>
      </w:r>
      <w:r>
        <w:rPr>
          <w:rFonts w:ascii="標楷體" w:eastAsia="標楷體" w:hAnsi="Times New Roman" w:cs="Times New Roman" w:hint="eastAsia"/>
          <w:szCs w:val="24"/>
        </w:rPr>
        <w:t>應收市有土地遭無權占用</w:t>
      </w:r>
      <w:r w:rsidRPr="00DB2473">
        <w:rPr>
          <w:rFonts w:ascii="標楷體" w:eastAsia="標楷體" w:hAnsi="Times New Roman" w:cs="Times New Roman" w:hint="eastAsia"/>
          <w:szCs w:val="24"/>
        </w:rPr>
        <w:t>之使用補償金</w:t>
      </w:r>
      <w:r>
        <w:rPr>
          <w:rFonts w:ascii="標楷體" w:eastAsia="標楷體" w:hAnsi="Times New Roman" w:cs="Times New Roman" w:hint="eastAsia"/>
          <w:szCs w:val="24"/>
        </w:rPr>
        <w:t>，暨電信業者積欠道路使用費及滯納金</w:t>
      </w:r>
      <w:r w:rsidRPr="00DB2473">
        <w:rPr>
          <w:rFonts w:ascii="標楷體" w:eastAsia="標楷體" w:hAnsi="Times New Roman" w:cs="Times New Roman" w:hint="eastAsia"/>
          <w:szCs w:val="24"/>
        </w:rPr>
        <w:t>尚待收繳。</w:t>
      </w:r>
    </w:p>
    <w:p w14:paraId="517761F9" w14:textId="77777777" w:rsidR="00D74004" w:rsidRPr="00DB2473" w:rsidRDefault="00D74004" w:rsidP="00D74004">
      <w:pPr>
        <w:widowControl/>
        <w:overflowPunct w:val="0"/>
        <w:spacing w:beforeLines="20" w:before="72" w:line="400" w:lineRule="exact"/>
        <w:ind w:firstLineChars="200" w:firstLine="488"/>
        <w:jc w:val="both"/>
        <w:rPr>
          <w:rFonts w:ascii="標楷體" w:eastAsia="標楷體" w:hAnsi="Times New Roman" w:cs="Times New Roman"/>
          <w:spacing w:val="2"/>
          <w:szCs w:val="24"/>
        </w:rPr>
      </w:pPr>
      <w:r w:rsidRPr="00DB2473">
        <w:rPr>
          <w:rFonts w:ascii="標楷體" w:eastAsia="標楷體" w:hAnsi="Times New Roman" w:cs="Times New Roman" w:hint="eastAsia"/>
          <w:spacing w:val="2"/>
          <w:szCs w:val="24"/>
        </w:rPr>
        <w:t>3.歲出原編列預算數</w:t>
      </w:r>
      <w:r w:rsidRPr="008913C0">
        <w:rPr>
          <w:rFonts w:ascii="標楷體" w:eastAsia="標楷體" w:hAnsi="Times New Roman" w:cs="Times New Roman" w:hint="eastAsia"/>
          <w:spacing w:val="2"/>
          <w:szCs w:val="24"/>
        </w:rPr>
        <w:t>198億6,525</w:t>
      </w:r>
      <w:r w:rsidRPr="00DB2473">
        <w:rPr>
          <w:rFonts w:ascii="標楷體" w:eastAsia="標楷體" w:hAnsi="Times New Roman" w:cs="Times New Roman" w:hint="eastAsia"/>
          <w:spacing w:val="2"/>
          <w:szCs w:val="24"/>
        </w:rPr>
        <w:t>萬餘元，經追加預算</w:t>
      </w:r>
      <w:r w:rsidRPr="008913C0">
        <w:rPr>
          <w:rFonts w:ascii="標楷體" w:eastAsia="標楷體" w:hAnsi="Times New Roman" w:cs="Times New Roman" w:hint="eastAsia"/>
          <w:spacing w:val="2"/>
          <w:szCs w:val="24"/>
        </w:rPr>
        <w:t>7億5,379</w:t>
      </w:r>
      <w:r w:rsidRPr="00DB2473">
        <w:rPr>
          <w:rFonts w:ascii="標楷體" w:eastAsia="標楷體" w:hAnsi="Times New Roman" w:cs="Times New Roman" w:hint="eastAsia"/>
          <w:spacing w:val="2"/>
          <w:szCs w:val="24"/>
        </w:rPr>
        <w:t>萬餘元，並因</w:t>
      </w:r>
      <w:r w:rsidRPr="008913C0">
        <w:rPr>
          <w:rFonts w:ascii="標楷體" w:eastAsia="標楷體" w:hAnsi="Times New Roman" w:cs="Times New Roman" w:hint="eastAsia"/>
          <w:spacing w:val="2"/>
          <w:szCs w:val="24"/>
        </w:rPr>
        <w:t>衛生下水道工程處支應迪化污水處理廠營運電費、公園路燈工程管理處辦理「優質公園公廁推動計畫」、因應路燈及公園維護業務電費調漲、內湖區堤頂大道與瑞光路358巷口開設之路樹遷移案、新建工程處辦理內湖區堤頂大道與瑞光路358巷口開設與削減中央分隔島所需經費不敷，及大地工程處設置指南宮區域「景觀休憩平</w:t>
      </w:r>
      <w:proofErr w:type="gramStart"/>
      <w:r w:rsidRPr="008913C0">
        <w:rPr>
          <w:rFonts w:ascii="標楷體" w:eastAsia="標楷體" w:hAnsi="Times New Roman" w:cs="Times New Roman" w:hint="eastAsia"/>
          <w:spacing w:val="2"/>
          <w:szCs w:val="24"/>
        </w:rPr>
        <w:t>臺</w:t>
      </w:r>
      <w:proofErr w:type="gramEnd"/>
      <w:r w:rsidRPr="008913C0">
        <w:rPr>
          <w:rFonts w:ascii="標楷體" w:eastAsia="標楷體" w:hAnsi="Times New Roman" w:cs="Times New Roman" w:hint="eastAsia"/>
          <w:spacing w:val="2"/>
          <w:szCs w:val="24"/>
        </w:rPr>
        <w:t>」所需經費</w:t>
      </w:r>
      <w:r w:rsidRPr="00DB2473">
        <w:rPr>
          <w:rFonts w:ascii="標楷體" w:eastAsia="標楷體" w:hAnsi="Times New Roman" w:cs="Times New Roman" w:hint="eastAsia"/>
          <w:spacing w:val="2"/>
          <w:szCs w:val="24"/>
        </w:rPr>
        <w:t>等事由，經動支第二預備金</w:t>
      </w:r>
      <w:r w:rsidRPr="00ED5F3D">
        <w:rPr>
          <w:rFonts w:ascii="標楷體" w:eastAsia="標楷體" w:hAnsi="Times New Roman" w:cs="Times New Roman" w:hint="eastAsia"/>
          <w:spacing w:val="2"/>
          <w:szCs w:val="24"/>
        </w:rPr>
        <w:t>1億1,320</w:t>
      </w:r>
      <w:r w:rsidRPr="00DB2473">
        <w:rPr>
          <w:rFonts w:ascii="標楷體" w:eastAsia="標楷體" w:hAnsi="Times New Roman" w:cs="Times New Roman" w:hint="eastAsia"/>
          <w:spacing w:val="2"/>
          <w:szCs w:val="24"/>
        </w:rPr>
        <w:t>萬餘元</w:t>
      </w:r>
      <w:r>
        <w:rPr>
          <w:rFonts w:ascii="標楷體" w:eastAsia="標楷體" w:hAnsi="Times New Roman" w:cs="Times New Roman" w:hint="eastAsia"/>
          <w:spacing w:val="2"/>
          <w:szCs w:val="24"/>
        </w:rPr>
        <w:t>，暨新建工程處及公園路燈工程管理處因人事費不足申請動支各類員工待遇準備</w:t>
      </w:r>
      <w:r w:rsidRPr="00B107AB">
        <w:rPr>
          <w:rFonts w:ascii="標楷體" w:eastAsia="標楷體" w:hAnsi="Times New Roman" w:cs="Times New Roman" w:hint="eastAsia"/>
          <w:spacing w:val="2"/>
          <w:szCs w:val="24"/>
        </w:rPr>
        <w:t>1,020萬餘元</w:t>
      </w:r>
      <w:r w:rsidRPr="00DB2473">
        <w:rPr>
          <w:rFonts w:ascii="標楷體" w:eastAsia="標楷體" w:hAnsi="Times New Roman" w:cs="Times New Roman" w:hint="eastAsia"/>
          <w:spacing w:val="2"/>
          <w:szCs w:val="24"/>
        </w:rPr>
        <w:t>，合計</w:t>
      </w:r>
      <w:r w:rsidRPr="00B107AB">
        <w:rPr>
          <w:rFonts w:ascii="標楷體" w:eastAsia="標楷體" w:hAnsi="Times New Roman" w:cs="Times New Roman" w:hint="eastAsia"/>
          <w:spacing w:val="2"/>
          <w:szCs w:val="24"/>
        </w:rPr>
        <w:t>207億4,245</w:t>
      </w:r>
      <w:r w:rsidRPr="00DB2473">
        <w:rPr>
          <w:rFonts w:ascii="標楷體" w:eastAsia="標楷體" w:hAnsi="Times New Roman" w:cs="Times New Roman" w:hint="eastAsia"/>
          <w:spacing w:val="2"/>
          <w:szCs w:val="24"/>
        </w:rPr>
        <w:t>萬餘元，決算審核結果，審定實現數</w:t>
      </w:r>
      <w:r w:rsidRPr="00B107AB">
        <w:rPr>
          <w:rFonts w:ascii="標楷體" w:eastAsia="標楷體" w:hAnsi="Times New Roman" w:cs="Times New Roman" w:hint="eastAsia"/>
          <w:spacing w:val="2"/>
          <w:szCs w:val="24"/>
        </w:rPr>
        <w:t>184億9,551</w:t>
      </w:r>
      <w:r w:rsidRPr="00DB2473">
        <w:rPr>
          <w:rFonts w:ascii="標楷體" w:eastAsia="標楷體" w:hAnsi="Times New Roman" w:cs="Times New Roman" w:hint="eastAsia"/>
          <w:spacing w:val="2"/>
          <w:szCs w:val="24"/>
        </w:rPr>
        <w:t>萬餘元（</w:t>
      </w:r>
      <w:r w:rsidRPr="00B107AB">
        <w:rPr>
          <w:rFonts w:ascii="標楷體" w:eastAsia="標楷體" w:hAnsi="Times New Roman" w:cs="Times New Roman"/>
          <w:spacing w:val="2"/>
          <w:szCs w:val="24"/>
        </w:rPr>
        <w:t>89.17</w:t>
      </w:r>
      <w:r w:rsidRPr="00DB2473">
        <w:rPr>
          <w:rFonts w:ascii="標楷體" w:eastAsia="標楷體" w:hAnsi="Times New Roman" w:cs="Times New Roman" w:hint="eastAsia"/>
          <w:spacing w:val="2"/>
          <w:szCs w:val="24"/>
        </w:rPr>
        <w:t>％），應付保留數</w:t>
      </w:r>
      <w:r w:rsidRPr="004107EA">
        <w:rPr>
          <w:rFonts w:ascii="標楷體" w:eastAsia="標楷體" w:hAnsi="Times New Roman" w:cs="Times New Roman" w:hint="eastAsia"/>
          <w:spacing w:val="2"/>
          <w:szCs w:val="24"/>
        </w:rPr>
        <w:t>20億2,513</w:t>
      </w:r>
      <w:r w:rsidRPr="00DB2473">
        <w:rPr>
          <w:rFonts w:ascii="標楷體" w:eastAsia="標楷體" w:hAnsi="Times New Roman" w:cs="Times New Roman" w:hint="eastAsia"/>
          <w:spacing w:val="2"/>
          <w:szCs w:val="24"/>
        </w:rPr>
        <w:t>萬餘元（</w:t>
      </w:r>
      <w:r w:rsidRPr="004107EA">
        <w:rPr>
          <w:rFonts w:ascii="標楷體" w:eastAsia="標楷體" w:hAnsi="Times New Roman" w:cs="Times New Roman"/>
          <w:spacing w:val="2"/>
          <w:szCs w:val="24"/>
        </w:rPr>
        <w:t>9.76</w:t>
      </w:r>
      <w:r w:rsidRPr="00DB2473">
        <w:rPr>
          <w:rFonts w:ascii="標楷體" w:eastAsia="標楷體" w:hAnsi="Times New Roman" w:cs="Times New Roman" w:hint="eastAsia"/>
          <w:spacing w:val="2"/>
          <w:szCs w:val="24"/>
        </w:rPr>
        <w:t>％），保留原因詳「（一）計畫實施之查核」說明；合計決算審定數為</w:t>
      </w:r>
      <w:r w:rsidRPr="004107EA">
        <w:rPr>
          <w:rFonts w:ascii="標楷體" w:eastAsia="標楷體" w:hAnsi="Times New Roman" w:cs="Times New Roman" w:hint="eastAsia"/>
          <w:spacing w:val="2"/>
          <w:szCs w:val="24"/>
        </w:rPr>
        <w:t>205億2,065</w:t>
      </w:r>
      <w:r w:rsidRPr="00DB2473">
        <w:rPr>
          <w:rFonts w:ascii="標楷體" w:eastAsia="標楷體" w:hAnsi="Times New Roman" w:cs="Times New Roman" w:hint="eastAsia"/>
          <w:spacing w:val="2"/>
          <w:szCs w:val="24"/>
        </w:rPr>
        <w:t>萬餘元，預算賸餘</w:t>
      </w:r>
      <w:r w:rsidRPr="004107EA">
        <w:rPr>
          <w:rFonts w:ascii="標楷體" w:eastAsia="標楷體" w:hAnsi="Times New Roman" w:cs="Times New Roman" w:hint="eastAsia"/>
          <w:spacing w:val="2"/>
          <w:szCs w:val="24"/>
        </w:rPr>
        <w:t>2億2,180</w:t>
      </w:r>
      <w:r w:rsidRPr="00DB2473">
        <w:rPr>
          <w:rFonts w:ascii="標楷體" w:eastAsia="標楷體" w:hAnsi="Times New Roman" w:cs="Times New Roman" w:hint="eastAsia"/>
          <w:spacing w:val="2"/>
          <w:szCs w:val="24"/>
        </w:rPr>
        <w:t>萬餘元（</w:t>
      </w:r>
      <w:r w:rsidRPr="004107EA">
        <w:rPr>
          <w:rFonts w:ascii="標楷體" w:eastAsia="標楷體" w:hAnsi="Times New Roman" w:cs="Times New Roman"/>
          <w:spacing w:val="2"/>
          <w:szCs w:val="24"/>
        </w:rPr>
        <w:t>1.07</w:t>
      </w:r>
      <w:r w:rsidRPr="00DB2473">
        <w:rPr>
          <w:rFonts w:ascii="標楷體" w:eastAsia="標楷體" w:hAnsi="Times New Roman" w:cs="Times New Roman" w:hint="eastAsia"/>
          <w:spacing w:val="2"/>
          <w:szCs w:val="24"/>
        </w:rPr>
        <w:t>％），主要係水利工程處</w:t>
      </w:r>
      <w:r>
        <w:rPr>
          <w:rFonts w:ascii="標楷體" w:eastAsia="標楷體" w:hAnsi="Times New Roman" w:cs="Times New Roman" w:hint="eastAsia"/>
          <w:spacing w:val="2"/>
          <w:szCs w:val="24"/>
        </w:rPr>
        <w:t>及衛生下水道工程處</w:t>
      </w:r>
      <w:r w:rsidRPr="00DB2473">
        <w:rPr>
          <w:rFonts w:ascii="標楷體" w:eastAsia="標楷體" w:hAnsi="Times New Roman" w:cs="Times New Roman" w:hint="eastAsia"/>
          <w:spacing w:val="2"/>
          <w:szCs w:val="24"/>
        </w:rPr>
        <w:t>實際進用員額較少人事費節餘，</w:t>
      </w:r>
      <w:r>
        <w:rPr>
          <w:rFonts w:ascii="標楷體" w:eastAsia="標楷體" w:hAnsi="Times New Roman" w:cs="Times New Roman" w:hint="eastAsia"/>
          <w:spacing w:val="2"/>
          <w:szCs w:val="24"/>
        </w:rPr>
        <w:t>暨</w:t>
      </w:r>
      <w:r w:rsidRPr="00DB2473">
        <w:rPr>
          <w:rFonts w:ascii="標楷體" w:eastAsia="標楷體" w:hAnsi="Times New Roman" w:cs="Times New Roman" w:hint="eastAsia"/>
          <w:spacing w:val="2"/>
          <w:szCs w:val="24"/>
        </w:rPr>
        <w:t>新建工程處</w:t>
      </w:r>
      <w:r>
        <w:rPr>
          <w:rFonts w:ascii="標楷體" w:eastAsia="標楷體" w:hAnsi="Times New Roman" w:cs="Times New Roman" w:hint="eastAsia"/>
          <w:spacing w:val="2"/>
          <w:szCs w:val="24"/>
        </w:rPr>
        <w:t>辦理</w:t>
      </w:r>
      <w:r w:rsidRPr="003B46B3">
        <w:rPr>
          <w:rFonts w:ascii="標楷體" w:eastAsia="標楷體" w:hAnsi="Times New Roman" w:cs="Times New Roman" w:hint="eastAsia"/>
          <w:spacing w:val="2"/>
          <w:szCs w:val="24"/>
        </w:rPr>
        <w:t>常德街人行地下道連通工程、</w:t>
      </w:r>
      <w:proofErr w:type="gramStart"/>
      <w:r w:rsidRPr="003B46B3">
        <w:rPr>
          <w:rFonts w:ascii="標楷體" w:eastAsia="標楷體" w:hAnsi="Times New Roman" w:cs="Times New Roman" w:hint="eastAsia"/>
          <w:spacing w:val="2"/>
          <w:szCs w:val="24"/>
        </w:rPr>
        <w:t>橋涵改善</w:t>
      </w:r>
      <w:proofErr w:type="gramEnd"/>
      <w:r w:rsidRPr="003B46B3">
        <w:rPr>
          <w:rFonts w:ascii="標楷體" w:eastAsia="標楷體" w:hAnsi="Times New Roman" w:cs="Times New Roman" w:hint="eastAsia"/>
          <w:spacing w:val="2"/>
          <w:szCs w:val="24"/>
        </w:rPr>
        <w:t>工程與安全檢測工作等案之結餘</w:t>
      </w:r>
      <w:r w:rsidRPr="00DB2473">
        <w:rPr>
          <w:rFonts w:ascii="標楷體" w:eastAsia="標楷體" w:hAnsi="Times New Roman" w:cs="Times New Roman" w:hint="eastAsia"/>
          <w:spacing w:val="2"/>
          <w:szCs w:val="24"/>
        </w:rPr>
        <w:t>。</w:t>
      </w:r>
    </w:p>
    <w:p w14:paraId="6BF65F5A" w14:textId="77777777" w:rsidR="00D74004" w:rsidRPr="00D13D41" w:rsidRDefault="00D74004" w:rsidP="00D74004">
      <w:pPr>
        <w:widowControl/>
        <w:overflowPunct w:val="0"/>
        <w:spacing w:beforeLines="20" w:before="72" w:line="400" w:lineRule="exact"/>
        <w:ind w:firstLineChars="200" w:firstLine="488"/>
        <w:jc w:val="both"/>
        <w:rPr>
          <w:rFonts w:ascii="標楷體" w:eastAsia="標楷體" w:hAnsi="Times New Roman" w:cs="Times New Roman"/>
          <w:spacing w:val="2"/>
          <w:szCs w:val="24"/>
        </w:rPr>
      </w:pPr>
      <w:r w:rsidRPr="00DB2473">
        <w:rPr>
          <w:rFonts w:ascii="標楷體" w:eastAsia="標楷體" w:hAnsi="Times New Roman" w:cs="Times New Roman" w:hint="eastAsia"/>
          <w:spacing w:val="2"/>
          <w:szCs w:val="24"/>
        </w:rPr>
        <w:t>4.</w:t>
      </w:r>
      <w:r w:rsidRPr="00D13D41">
        <w:rPr>
          <w:rFonts w:ascii="標楷體" w:eastAsia="標楷體" w:hAnsi="Times New Roman" w:cs="Times New Roman" w:hint="eastAsia"/>
          <w:szCs w:val="24"/>
        </w:rPr>
        <w:t>以前年度歲出轉入數計20億1,113萬餘元，決算審核結果，審定實現數15億5,866萬餘元（</w:t>
      </w:r>
      <w:r>
        <w:rPr>
          <w:rFonts w:ascii="標楷體" w:eastAsia="標楷體" w:hAnsi="Times New Roman" w:cs="Times New Roman" w:hint="eastAsia"/>
          <w:szCs w:val="24"/>
        </w:rPr>
        <w:t>77</w:t>
      </w:r>
      <w:r w:rsidRPr="00D13D41">
        <w:rPr>
          <w:rFonts w:ascii="標楷體" w:eastAsia="標楷體" w:hAnsi="Times New Roman" w:cs="Times New Roman" w:hint="eastAsia"/>
          <w:szCs w:val="24"/>
        </w:rPr>
        <w:t>.</w:t>
      </w:r>
      <w:r>
        <w:rPr>
          <w:rFonts w:ascii="標楷體" w:eastAsia="標楷體" w:hAnsi="Times New Roman" w:cs="Times New Roman" w:hint="eastAsia"/>
          <w:szCs w:val="24"/>
        </w:rPr>
        <w:t>50</w:t>
      </w:r>
      <w:r w:rsidRPr="00D13D41">
        <w:rPr>
          <w:rFonts w:ascii="標楷體" w:eastAsia="標楷體" w:hAnsi="Times New Roman" w:cs="Times New Roman" w:hint="eastAsia"/>
          <w:szCs w:val="24"/>
        </w:rPr>
        <w:t>％），減免（註銷）數</w:t>
      </w:r>
      <w:r w:rsidRPr="00D13D41">
        <w:rPr>
          <w:rFonts w:ascii="標楷體" w:eastAsia="標楷體" w:hAnsi="Times New Roman" w:cs="Times New Roman"/>
          <w:szCs w:val="24"/>
        </w:rPr>
        <w:t>7,033</w:t>
      </w:r>
      <w:r w:rsidRPr="00D13D41">
        <w:rPr>
          <w:rFonts w:ascii="標楷體" w:eastAsia="標楷體" w:hAnsi="Times New Roman" w:cs="Times New Roman" w:hint="eastAsia"/>
          <w:szCs w:val="24"/>
        </w:rPr>
        <w:t>萬餘元（</w:t>
      </w:r>
      <w:r w:rsidRPr="00D13D41">
        <w:rPr>
          <w:rFonts w:ascii="標楷體" w:eastAsia="標楷體" w:hAnsi="標楷體"/>
          <w:kern w:val="0"/>
          <w:szCs w:val="24"/>
        </w:rPr>
        <w:t>3.50</w:t>
      </w:r>
      <w:r w:rsidRPr="00D13D41">
        <w:rPr>
          <w:rFonts w:ascii="標楷體" w:eastAsia="標楷體" w:hAnsi="Times New Roman" w:cs="Times New Roman" w:hint="eastAsia"/>
          <w:szCs w:val="24"/>
        </w:rPr>
        <w:t>％），主要係新建工程處辦理建國高架路段南向下民權東路匝道拓寬、南港生態</w:t>
      </w:r>
      <w:proofErr w:type="gramStart"/>
      <w:r w:rsidRPr="00D13D41">
        <w:rPr>
          <w:rFonts w:ascii="標楷體" w:eastAsia="標楷體" w:hAnsi="Times New Roman" w:cs="Times New Roman" w:hint="eastAsia"/>
          <w:szCs w:val="24"/>
        </w:rPr>
        <w:t>綠廊等工程</w:t>
      </w:r>
      <w:proofErr w:type="gramEnd"/>
      <w:r>
        <w:rPr>
          <w:rFonts w:ascii="標楷體" w:eastAsia="標楷體" w:hAnsi="Times New Roman" w:cs="Times New Roman" w:hint="eastAsia"/>
          <w:szCs w:val="24"/>
        </w:rPr>
        <w:t>，及</w:t>
      </w:r>
      <w:r w:rsidRPr="00D13D41">
        <w:rPr>
          <w:rFonts w:ascii="標楷體" w:eastAsia="標楷體" w:hAnsi="Times New Roman" w:cs="Times New Roman" w:hint="eastAsia"/>
          <w:szCs w:val="24"/>
        </w:rPr>
        <w:t>工務局辦理汀洲路3段104巷40弄道路興建工程用地補償費</w:t>
      </w:r>
      <w:r>
        <w:rPr>
          <w:rFonts w:ascii="標楷體" w:eastAsia="標楷體" w:hAnsi="Times New Roman" w:cs="Times New Roman" w:hint="eastAsia"/>
          <w:szCs w:val="24"/>
        </w:rPr>
        <w:t>等</w:t>
      </w:r>
      <w:r w:rsidRPr="00D13D41">
        <w:rPr>
          <w:rFonts w:ascii="標楷體" w:eastAsia="標楷體" w:hAnsi="Times New Roman" w:cs="Times New Roman" w:hint="eastAsia"/>
          <w:szCs w:val="24"/>
        </w:rPr>
        <w:t>，依</w:t>
      </w:r>
      <w:r>
        <w:rPr>
          <w:rFonts w:ascii="標楷體" w:eastAsia="標楷體" w:hAnsi="Times New Roman" w:cs="Times New Roman" w:hint="eastAsia"/>
          <w:szCs w:val="24"/>
        </w:rPr>
        <w:t>實際</w:t>
      </w:r>
      <w:r w:rsidRPr="00D13D41">
        <w:rPr>
          <w:rFonts w:ascii="標楷體" w:eastAsia="標楷體" w:hAnsi="Times New Roman" w:cs="Times New Roman" w:hint="eastAsia"/>
          <w:szCs w:val="24"/>
        </w:rPr>
        <w:t>需要</w:t>
      </w:r>
      <w:r>
        <w:rPr>
          <w:rFonts w:ascii="標楷體" w:eastAsia="標楷體" w:hAnsi="Times New Roman" w:cs="Times New Roman" w:hint="eastAsia"/>
          <w:szCs w:val="24"/>
        </w:rPr>
        <w:t>減少支付</w:t>
      </w:r>
      <w:r w:rsidRPr="00D13D41">
        <w:rPr>
          <w:rFonts w:ascii="標楷體" w:eastAsia="標楷體" w:hAnsi="Times New Roman" w:cs="Times New Roman" w:hint="eastAsia"/>
          <w:szCs w:val="24"/>
        </w:rPr>
        <w:t>之結餘；應付保留數3億8,213萬餘元（</w:t>
      </w:r>
      <w:r w:rsidRPr="00D13D41">
        <w:rPr>
          <w:rFonts w:ascii="標楷體" w:eastAsia="標楷體" w:hAnsi="Times New Roman" w:cs="Times New Roman"/>
          <w:szCs w:val="24"/>
        </w:rPr>
        <w:t>19.00</w:t>
      </w:r>
      <w:r w:rsidRPr="00D13D41">
        <w:rPr>
          <w:rFonts w:ascii="標楷體" w:eastAsia="標楷體" w:hAnsi="Times New Roman" w:cs="Times New Roman" w:hint="eastAsia"/>
          <w:szCs w:val="24"/>
        </w:rPr>
        <w:t>％），主要係水利工程處辦理圓山及大龍等全市抽水站新擴建、士林官邸北</w:t>
      </w:r>
      <w:proofErr w:type="gramStart"/>
      <w:r w:rsidRPr="00D13D41">
        <w:rPr>
          <w:rFonts w:ascii="標楷體" w:eastAsia="標楷體" w:hAnsi="Times New Roman" w:cs="Times New Roman" w:hint="eastAsia"/>
          <w:szCs w:val="24"/>
        </w:rPr>
        <w:t>側滯洪池</w:t>
      </w:r>
      <w:proofErr w:type="gramEnd"/>
      <w:r w:rsidRPr="00D13D41">
        <w:rPr>
          <w:rFonts w:ascii="標楷體" w:eastAsia="標楷體" w:hAnsi="Times New Roman" w:cs="Times New Roman" w:hint="eastAsia"/>
          <w:szCs w:val="24"/>
        </w:rPr>
        <w:t>新建等工程，及新建工程處</w:t>
      </w:r>
      <w:r w:rsidRPr="00D13D41">
        <w:rPr>
          <w:rFonts w:ascii="標楷體" w:eastAsia="標楷體" w:hAnsi="標楷體" w:cs="Times New Roman" w:hint="eastAsia"/>
          <w:szCs w:val="24"/>
        </w:rPr>
        <w:t>辦理</w:t>
      </w:r>
      <w:r w:rsidRPr="00D13D41">
        <w:rPr>
          <w:rFonts w:ascii="標楷體" w:eastAsia="標楷體" w:hAnsi="標楷體" w:hint="eastAsia"/>
          <w:szCs w:val="24"/>
        </w:rPr>
        <w:t>建國高架路段南向下民權東路匝道拓寬、</w:t>
      </w:r>
      <w:proofErr w:type="gramStart"/>
      <w:r w:rsidRPr="00D13D41">
        <w:rPr>
          <w:rFonts w:ascii="標楷體" w:eastAsia="標楷體" w:hAnsi="標楷體" w:hint="eastAsia"/>
          <w:szCs w:val="24"/>
        </w:rPr>
        <w:t>舊環南</w:t>
      </w:r>
      <w:proofErr w:type="gramEnd"/>
      <w:r w:rsidRPr="00D13D41">
        <w:rPr>
          <w:rFonts w:ascii="標楷體" w:eastAsia="標楷體" w:hAnsi="標楷體" w:hint="eastAsia"/>
          <w:szCs w:val="24"/>
        </w:rPr>
        <w:t>高架道路耐震補強，</w:t>
      </w:r>
      <w:r>
        <w:rPr>
          <w:rFonts w:ascii="標楷體" w:eastAsia="標楷體" w:hAnsi="標楷體" w:hint="eastAsia"/>
          <w:szCs w:val="24"/>
        </w:rPr>
        <w:t>暨</w:t>
      </w:r>
      <w:r w:rsidRPr="00D13D41">
        <w:rPr>
          <w:rFonts w:ascii="標楷體" w:eastAsia="標楷體" w:hAnsi="標楷體" w:hint="eastAsia"/>
          <w:szCs w:val="24"/>
        </w:rPr>
        <w:t>洲美街人行道拓寬等工程</w:t>
      </w:r>
      <w:r w:rsidRPr="00D13D41">
        <w:rPr>
          <w:rFonts w:hAnsi="標楷體" w:hint="eastAsia"/>
          <w:sz w:val="20"/>
        </w:rPr>
        <w:t>，</w:t>
      </w:r>
      <w:r w:rsidRPr="00D13D41">
        <w:rPr>
          <w:rFonts w:ascii="標楷體" w:eastAsia="標楷體" w:hAnsi="Times New Roman" w:cs="Times New Roman" w:hint="eastAsia"/>
          <w:szCs w:val="24"/>
        </w:rPr>
        <w:t>契約期程跨年度，須保留繼續執行。</w:t>
      </w:r>
    </w:p>
    <w:p w14:paraId="65B4EDFD" w14:textId="77777777" w:rsidR="00D74004" w:rsidRPr="00DB2473" w:rsidRDefault="00D74004" w:rsidP="00D74004">
      <w:pPr>
        <w:widowControl/>
        <w:suppressAutoHyphens/>
        <w:overflowPunct w:val="0"/>
        <w:spacing w:beforeLines="50" w:before="180" w:afterLines="20" w:after="72" w:line="460" w:lineRule="exact"/>
        <w:jc w:val="both"/>
        <w:outlineLvl w:val="2"/>
        <w:rPr>
          <w:rFonts w:ascii="標楷體" w:eastAsia="標楷體" w:hAnsi="Times New Roman" w:cs="Times New Roman"/>
          <w:b/>
          <w:sz w:val="32"/>
          <w:szCs w:val="32"/>
        </w:rPr>
      </w:pPr>
      <w:r w:rsidRPr="00DB2473">
        <w:rPr>
          <w:rFonts w:ascii="標楷體" w:eastAsia="標楷體" w:hAnsi="Times New Roman" w:cs="Times New Roman" w:hint="eastAsia"/>
          <w:b/>
          <w:sz w:val="32"/>
          <w:szCs w:val="32"/>
        </w:rPr>
        <w:t>二、附屬單位決算非營業部分</w:t>
      </w:r>
    </w:p>
    <w:p w14:paraId="691AEB22" w14:textId="77777777" w:rsidR="00D74004" w:rsidRPr="00DB2473" w:rsidRDefault="00D74004" w:rsidP="00D74004">
      <w:pPr>
        <w:widowControl/>
        <w:overflowPunct w:val="0"/>
        <w:spacing w:line="440" w:lineRule="exact"/>
        <w:ind w:firstLineChars="200" w:firstLine="480"/>
        <w:jc w:val="both"/>
        <w:rPr>
          <w:rFonts w:ascii="標楷體" w:eastAsia="標楷體" w:hAnsi="Times New Roman" w:cs="Times New Roman"/>
          <w:szCs w:val="24"/>
        </w:rPr>
      </w:pPr>
      <w:r w:rsidRPr="00DB2473">
        <w:rPr>
          <w:rFonts w:ascii="標楷體" w:eastAsia="標楷體" w:hAnsi="Times New Roman" w:cs="Times New Roman" w:hint="eastAsia"/>
          <w:szCs w:val="24"/>
        </w:rPr>
        <w:t>工務局主管包括（一）作業基金：臺北市共同管道基金；（二）特別收入基金：臺北市道路基金等共2個單位。茲將</w:t>
      </w:r>
      <w:proofErr w:type="gramStart"/>
      <w:r w:rsidRPr="00DB2473">
        <w:rPr>
          <w:rFonts w:ascii="標楷體" w:eastAsia="標楷體" w:hAnsi="Times New Roman" w:cs="Times New Roman"/>
          <w:szCs w:val="24"/>
        </w:rPr>
        <w:t>11</w:t>
      </w:r>
      <w:r>
        <w:rPr>
          <w:rFonts w:ascii="標楷體" w:eastAsia="標楷體" w:hAnsi="Times New Roman" w:cs="Times New Roman"/>
          <w:szCs w:val="24"/>
        </w:rPr>
        <w:t>3</w:t>
      </w:r>
      <w:proofErr w:type="gramEnd"/>
      <w:r w:rsidRPr="00DB2473">
        <w:rPr>
          <w:rFonts w:ascii="標楷體" w:eastAsia="標楷體" w:hAnsi="Times New Roman" w:cs="Times New Roman" w:hint="eastAsia"/>
          <w:szCs w:val="24"/>
        </w:rPr>
        <w:t>年度決算審核結果說明如次：</w:t>
      </w:r>
    </w:p>
    <w:p w14:paraId="48BB6A97" w14:textId="77777777" w:rsidR="00D74004" w:rsidRPr="00DB2473" w:rsidRDefault="00D74004" w:rsidP="00D74004">
      <w:pPr>
        <w:widowControl/>
        <w:suppressAutoHyphens/>
        <w:overflowPunct w:val="0"/>
        <w:spacing w:beforeLines="20" w:before="72" w:afterLines="20" w:after="72" w:line="460" w:lineRule="exact"/>
        <w:ind w:firstLineChars="100" w:firstLine="280"/>
        <w:jc w:val="both"/>
        <w:rPr>
          <w:rFonts w:ascii="標楷體" w:eastAsia="標楷體" w:hAnsi="Times New Roman" w:cs="Times New Roman"/>
          <w:b/>
          <w:sz w:val="28"/>
          <w:szCs w:val="28"/>
        </w:rPr>
      </w:pPr>
      <w:r w:rsidRPr="00DB2473">
        <w:rPr>
          <w:rFonts w:ascii="標楷體" w:eastAsia="標楷體" w:hAnsi="Times New Roman" w:cs="Times New Roman" w:hint="eastAsia"/>
          <w:b/>
          <w:sz w:val="28"/>
          <w:szCs w:val="28"/>
        </w:rPr>
        <w:t>（一）計畫實施之查核</w:t>
      </w:r>
    </w:p>
    <w:p w14:paraId="58F50AA1" w14:textId="77777777" w:rsidR="00D74004" w:rsidRPr="00DB2473" w:rsidRDefault="00D74004" w:rsidP="00D74004">
      <w:pPr>
        <w:spacing w:line="460" w:lineRule="exact"/>
        <w:ind w:firstLineChars="200" w:firstLine="480"/>
        <w:jc w:val="both"/>
        <w:rPr>
          <w:rFonts w:ascii="標楷體" w:eastAsia="標楷體" w:hAnsi="Times New Roman" w:cs="Times New Roman"/>
          <w:szCs w:val="24"/>
        </w:rPr>
      </w:pPr>
      <w:r w:rsidRPr="00DB2473">
        <w:rPr>
          <w:rFonts w:ascii="標楷體" w:eastAsia="標楷體" w:hAnsi="Times New Roman" w:cs="Times New Roman" w:hint="eastAsia"/>
          <w:szCs w:val="24"/>
        </w:rPr>
        <w:t>業務（營運）計畫主要有共同管道工程及道路修復計畫等2項，實施結果，有共同管道工程1項，因</w:t>
      </w:r>
      <w:r w:rsidRPr="00D13D41">
        <w:rPr>
          <w:rFonts w:ascii="標楷體" w:eastAsia="標楷體" w:hAnsi="Times New Roman" w:cs="Times New Roman" w:hint="eastAsia"/>
          <w:szCs w:val="24"/>
        </w:rPr>
        <w:t>福國路共同管道第2期，及信義線</w:t>
      </w:r>
      <w:proofErr w:type="gramStart"/>
      <w:r w:rsidRPr="00D13D41">
        <w:rPr>
          <w:rFonts w:ascii="標楷體" w:eastAsia="標楷體" w:hAnsi="Times New Roman" w:cs="Times New Roman" w:hint="eastAsia"/>
          <w:szCs w:val="24"/>
        </w:rPr>
        <w:t>東延段共同</w:t>
      </w:r>
      <w:proofErr w:type="gramEnd"/>
      <w:r w:rsidRPr="00D13D41">
        <w:rPr>
          <w:rFonts w:ascii="標楷體" w:eastAsia="標楷體" w:hAnsi="Times New Roman" w:cs="Times New Roman" w:hint="eastAsia"/>
          <w:szCs w:val="24"/>
        </w:rPr>
        <w:t>管道興建及相關道路與附屬設施改善等工程，配合工區民眾進出需求，調整施工</w:t>
      </w:r>
      <w:proofErr w:type="gramStart"/>
      <w:r w:rsidRPr="00D13D41">
        <w:rPr>
          <w:rFonts w:ascii="標楷體" w:eastAsia="標楷體" w:hAnsi="Times New Roman" w:cs="Times New Roman" w:hint="eastAsia"/>
          <w:szCs w:val="24"/>
        </w:rPr>
        <w:t>工</w:t>
      </w:r>
      <w:proofErr w:type="gramEnd"/>
      <w:r w:rsidRPr="00D13D41">
        <w:rPr>
          <w:rFonts w:ascii="標楷體" w:eastAsia="標楷體" w:hAnsi="Times New Roman" w:cs="Times New Roman" w:hint="eastAsia"/>
          <w:szCs w:val="24"/>
        </w:rPr>
        <w:t>序及護欄設置方式，影響工程進度</w:t>
      </w:r>
      <w:r w:rsidRPr="00DB2473">
        <w:rPr>
          <w:rFonts w:ascii="標楷體" w:eastAsia="標楷體" w:hAnsi="Times New Roman" w:cs="Times New Roman" w:hint="eastAsia"/>
          <w:szCs w:val="24"/>
        </w:rPr>
        <w:t>，致未達預計目標。</w:t>
      </w:r>
    </w:p>
    <w:p w14:paraId="4BA5B248" w14:textId="77777777" w:rsidR="00D74004" w:rsidRPr="00DB2473" w:rsidRDefault="00D74004" w:rsidP="00D74004">
      <w:pPr>
        <w:widowControl/>
        <w:suppressAutoHyphens/>
        <w:overflowPunct w:val="0"/>
        <w:spacing w:beforeLines="20" w:before="72" w:afterLines="20" w:after="72" w:line="460" w:lineRule="exact"/>
        <w:ind w:firstLineChars="100" w:firstLine="280"/>
        <w:jc w:val="both"/>
        <w:rPr>
          <w:rFonts w:ascii="標楷體" w:eastAsia="標楷體" w:hAnsi="Times New Roman" w:cs="Times New Roman"/>
          <w:b/>
          <w:sz w:val="28"/>
          <w:szCs w:val="28"/>
        </w:rPr>
      </w:pPr>
      <w:r w:rsidRPr="00DB2473">
        <w:rPr>
          <w:rFonts w:ascii="標楷體" w:eastAsia="標楷體" w:hAnsi="Times New Roman" w:cs="Times New Roman" w:hint="eastAsia"/>
          <w:b/>
          <w:sz w:val="28"/>
          <w:szCs w:val="28"/>
        </w:rPr>
        <w:t>（二）餘</w:t>
      </w:r>
      <w:proofErr w:type="gramStart"/>
      <w:r w:rsidRPr="00DB2473">
        <w:rPr>
          <w:rFonts w:ascii="標楷體" w:eastAsia="標楷體" w:hAnsi="Times New Roman" w:cs="Times New Roman" w:hint="eastAsia"/>
          <w:b/>
          <w:sz w:val="28"/>
          <w:szCs w:val="28"/>
        </w:rPr>
        <w:t>絀</w:t>
      </w:r>
      <w:proofErr w:type="gramEnd"/>
      <w:r w:rsidRPr="00DB2473">
        <w:rPr>
          <w:rFonts w:ascii="標楷體" w:eastAsia="標楷體" w:hAnsi="Times New Roman" w:cs="Times New Roman" w:hint="eastAsia"/>
          <w:b/>
          <w:sz w:val="28"/>
          <w:szCs w:val="28"/>
        </w:rPr>
        <w:t>之審定</w:t>
      </w:r>
    </w:p>
    <w:p w14:paraId="2EB54E4C" w14:textId="77777777" w:rsidR="00D74004" w:rsidRPr="00DB2473" w:rsidRDefault="00D74004" w:rsidP="00D74004">
      <w:pPr>
        <w:spacing w:line="460" w:lineRule="exact"/>
        <w:ind w:firstLineChars="200" w:firstLine="480"/>
        <w:jc w:val="both"/>
        <w:rPr>
          <w:rFonts w:ascii="標楷體" w:eastAsia="標楷體" w:hAnsi="Times New Roman" w:cs="Times New Roman"/>
          <w:szCs w:val="24"/>
        </w:rPr>
      </w:pPr>
      <w:r w:rsidRPr="00DB2473">
        <w:rPr>
          <w:rFonts w:ascii="標楷體" w:eastAsia="標楷體" w:hAnsi="Times New Roman" w:cs="Times New Roman" w:hint="eastAsia"/>
          <w:b/>
          <w:szCs w:val="24"/>
        </w:rPr>
        <w:lastRenderedPageBreak/>
        <w:t>1.作業基金</w:t>
      </w:r>
      <w:r w:rsidRPr="00DB2473">
        <w:rPr>
          <w:rFonts w:ascii="標楷體" w:eastAsia="標楷體" w:hAnsi="Times New Roman" w:cs="Times New Roman" w:hint="eastAsia"/>
          <w:szCs w:val="24"/>
        </w:rPr>
        <w:t>：決算審核結果，審定賸餘</w:t>
      </w:r>
      <w:r w:rsidRPr="00D13D41">
        <w:rPr>
          <w:rFonts w:ascii="標楷體" w:eastAsia="標楷體" w:hAnsi="Times New Roman" w:cs="Times New Roman"/>
          <w:szCs w:val="24"/>
        </w:rPr>
        <w:t>1,519</w:t>
      </w:r>
      <w:r w:rsidRPr="00DB2473">
        <w:rPr>
          <w:rFonts w:ascii="標楷體" w:eastAsia="標楷體" w:hAnsi="Times New Roman" w:cs="Times New Roman" w:hint="eastAsia"/>
          <w:szCs w:val="24"/>
        </w:rPr>
        <w:t>萬餘元，較預算賸餘</w:t>
      </w:r>
      <w:r w:rsidRPr="00D13D41">
        <w:rPr>
          <w:rFonts w:ascii="標楷體" w:eastAsia="標楷體" w:hAnsi="Times New Roman" w:cs="Times New Roman"/>
          <w:szCs w:val="24"/>
        </w:rPr>
        <w:t>690</w:t>
      </w:r>
      <w:r w:rsidRPr="00DB2473">
        <w:rPr>
          <w:rFonts w:ascii="標楷體" w:eastAsia="標楷體" w:hAnsi="Times New Roman" w:cs="Times New Roman" w:hint="eastAsia"/>
          <w:szCs w:val="24"/>
        </w:rPr>
        <w:t>萬餘元，增加</w:t>
      </w:r>
      <w:r w:rsidRPr="00D13D41">
        <w:rPr>
          <w:rFonts w:ascii="標楷體" w:eastAsia="標楷體" w:hAnsi="Times New Roman" w:cs="Times New Roman"/>
          <w:szCs w:val="24"/>
        </w:rPr>
        <w:t>828</w:t>
      </w:r>
      <w:r w:rsidRPr="00DB2473">
        <w:rPr>
          <w:rFonts w:ascii="標楷體" w:eastAsia="標楷體" w:hAnsi="Times New Roman" w:cs="Times New Roman" w:hint="eastAsia"/>
          <w:szCs w:val="24"/>
        </w:rPr>
        <w:t>萬餘元，約</w:t>
      </w:r>
      <w:r w:rsidRPr="00D13D41">
        <w:rPr>
          <w:rFonts w:ascii="標楷體" w:eastAsia="標楷體" w:hAnsi="Times New Roman" w:cs="Times New Roman"/>
          <w:szCs w:val="24"/>
        </w:rPr>
        <w:t>119.90</w:t>
      </w:r>
      <w:r w:rsidRPr="00DB2473">
        <w:rPr>
          <w:rFonts w:ascii="標楷體" w:eastAsia="標楷體" w:hAnsi="Times New Roman" w:cs="Times New Roman" w:hint="eastAsia"/>
          <w:szCs w:val="24"/>
        </w:rPr>
        <w:t>％，主要係</w:t>
      </w:r>
      <w:r w:rsidRPr="00D13D41">
        <w:rPr>
          <w:rFonts w:ascii="標楷體" w:eastAsia="標楷體" w:hAnsi="Times New Roman" w:cs="Times New Roman" w:hint="eastAsia"/>
          <w:szCs w:val="24"/>
        </w:rPr>
        <w:t>福國路共同管道工程</w:t>
      </w:r>
      <w:proofErr w:type="gramStart"/>
      <w:r w:rsidRPr="00D13D41">
        <w:rPr>
          <w:rFonts w:ascii="標楷體" w:eastAsia="標楷體" w:hAnsi="Times New Roman" w:cs="Times New Roman" w:hint="eastAsia"/>
          <w:szCs w:val="24"/>
        </w:rPr>
        <w:t>第2期暨</w:t>
      </w:r>
      <w:proofErr w:type="gramEnd"/>
      <w:r w:rsidRPr="00D13D41">
        <w:rPr>
          <w:rFonts w:ascii="標楷體" w:eastAsia="標楷體" w:hAnsi="Times New Roman" w:cs="Times New Roman" w:hint="eastAsia"/>
          <w:szCs w:val="24"/>
        </w:rPr>
        <w:t>信義線</w:t>
      </w:r>
      <w:proofErr w:type="gramStart"/>
      <w:r w:rsidRPr="00D13D41">
        <w:rPr>
          <w:rFonts w:ascii="標楷體" w:eastAsia="標楷體" w:hAnsi="Times New Roman" w:cs="Times New Roman" w:hint="eastAsia"/>
          <w:szCs w:val="24"/>
        </w:rPr>
        <w:t>東延段共同</w:t>
      </w:r>
      <w:proofErr w:type="gramEnd"/>
      <w:r w:rsidRPr="00D13D41">
        <w:rPr>
          <w:rFonts w:ascii="標楷體" w:eastAsia="標楷體" w:hAnsi="Times New Roman" w:cs="Times New Roman" w:hint="eastAsia"/>
          <w:szCs w:val="24"/>
        </w:rPr>
        <w:t>管道興建及相關道路與附屬設施改善工程執行情形未如預期，將未支用資金續辦理定期存款，</w:t>
      </w:r>
      <w:proofErr w:type="gramStart"/>
      <w:r w:rsidRPr="00D13D41">
        <w:rPr>
          <w:rFonts w:ascii="標楷體" w:eastAsia="標楷體" w:hAnsi="Times New Roman" w:cs="Times New Roman" w:hint="eastAsia"/>
          <w:szCs w:val="24"/>
        </w:rPr>
        <w:t>利息收入隨增</w:t>
      </w:r>
      <w:r w:rsidRPr="00DB2473">
        <w:rPr>
          <w:rFonts w:ascii="標楷體" w:eastAsia="標楷體" w:hAnsi="Times New Roman" w:cs="Times New Roman" w:hint="eastAsia"/>
          <w:szCs w:val="24"/>
        </w:rPr>
        <w:t>所</w:t>
      </w:r>
      <w:proofErr w:type="gramEnd"/>
      <w:r w:rsidRPr="00DB2473">
        <w:rPr>
          <w:rFonts w:ascii="標楷體" w:eastAsia="標楷體" w:hAnsi="Times New Roman" w:cs="Times New Roman" w:hint="eastAsia"/>
          <w:szCs w:val="24"/>
        </w:rPr>
        <w:t>致。</w:t>
      </w:r>
    </w:p>
    <w:p w14:paraId="7C8980CA" w14:textId="77777777" w:rsidR="00D74004" w:rsidRPr="00DB2473" w:rsidRDefault="00D74004" w:rsidP="00AC6C73">
      <w:pPr>
        <w:spacing w:beforeLines="20" w:before="72" w:line="460" w:lineRule="exact"/>
        <w:ind w:firstLineChars="200" w:firstLine="480"/>
        <w:jc w:val="both"/>
        <w:rPr>
          <w:rFonts w:ascii="標楷體" w:eastAsia="標楷體" w:hAnsi="Times New Roman" w:cs="Times New Roman"/>
          <w:szCs w:val="24"/>
        </w:rPr>
      </w:pPr>
      <w:r w:rsidRPr="00DB2473">
        <w:rPr>
          <w:rFonts w:ascii="標楷體" w:eastAsia="標楷體" w:hAnsi="Times New Roman" w:cs="Times New Roman" w:hint="eastAsia"/>
          <w:b/>
          <w:szCs w:val="24"/>
        </w:rPr>
        <w:t>2.特別收入基金</w:t>
      </w:r>
      <w:r w:rsidRPr="00DB2473">
        <w:rPr>
          <w:rFonts w:ascii="標楷體" w:eastAsia="標楷體" w:hAnsi="Times New Roman" w:cs="Times New Roman" w:hint="eastAsia"/>
          <w:szCs w:val="24"/>
        </w:rPr>
        <w:t>：決算審核結果，審定賸餘</w:t>
      </w:r>
      <w:r w:rsidRPr="00D13D41">
        <w:rPr>
          <w:rFonts w:ascii="標楷體" w:eastAsia="標楷體" w:hAnsi="Times New Roman" w:cs="Times New Roman"/>
          <w:szCs w:val="24"/>
        </w:rPr>
        <w:t>1,868</w:t>
      </w:r>
      <w:r w:rsidRPr="00DB2473">
        <w:rPr>
          <w:rFonts w:ascii="標楷體" w:eastAsia="標楷體" w:hAnsi="Times New Roman" w:cs="Times New Roman" w:hint="eastAsia"/>
          <w:szCs w:val="24"/>
        </w:rPr>
        <w:t>萬餘元，</w:t>
      </w:r>
      <w:r w:rsidRPr="00D13D41">
        <w:rPr>
          <w:rFonts w:ascii="標楷體" w:eastAsia="標楷體" w:hAnsi="Times New Roman" w:cs="Times New Roman" w:hint="eastAsia"/>
          <w:szCs w:val="24"/>
        </w:rPr>
        <w:t>較預算賸餘585萬餘元</w:t>
      </w:r>
      <w:r w:rsidRPr="00DB2473">
        <w:rPr>
          <w:rFonts w:ascii="標楷體" w:eastAsia="標楷體" w:hAnsi="Times New Roman" w:cs="Times New Roman" w:hint="eastAsia"/>
          <w:szCs w:val="24"/>
        </w:rPr>
        <w:t>，</w:t>
      </w:r>
      <w:r w:rsidRPr="00D13D41">
        <w:rPr>
          <w:rFonts w:ascii="標楷體" w:eastAsia="標楷體" w:hAnsi="Times New Roman" w:cs="Times New Roman" w:hint="eastAsia"/>
          <w:szCs w:val="24"/>
        </w:rPr>
        <w:t>增加1,283萬餘元，約219.17％</w:t>
      </w:r>
      <w:r w:rsidRPr="00DB2473">
        <w:rPr>
          <w:rFonts w:ascii="標楷體" w:eastAsia="標楷體" w:hAnsi="Times New Roman" w:cs="Times New Roman" w:hint="eastAsia"/>
          <w:szCs w:val="24"/>
        </w:rPr>
        <w:t>，主要係</w:t>
      </w:r>
      <w:r w:rsidRPr="00D13D41">
        <w:rPr>
          <w:rFonts w:ascii="標楷體" w:eastAsia="標楷體" w:hAnsi="Times New Roman" w:cs="Times New Roman" w:hint="eastAsia"/>
          <w:szCs w:val="24"/>
        </w:rPr>
        <w:t>道路挖掘許可證及挖掘道路修復申請數量較預計增加，徵收及依法分配</w:t>
      </w:r>
      <w:proofErr w:type="gramStart"/>
      <w:r w:rsidRPr="00D13D41">
        <w:rPr>
          <w:rFonts w:ascii="標楷體" w:eastAsia="標楷體" w:hAnsi="Times New Roman" w:cs="Times New Roman" w:hint="eastAsia"/>
          <w:szCs w:val="24"/>
        </w:rPr>
        <w:t>收入隨增</w:t>
      </w:r>
      <w:r w:rsidRPr="00DB2473">
        <w:rPr>
          <w:rFonts w:ascii="標楷體" w:eastAsia="標楷體" w:hAnsi="Times New Roman" w:cs="Times New Roman" w:hint="eastAsia"/>
          <w:szCs w:val="24"/>
        </w:rPr>
        <w:t>所</w:t>
      </w:r>
      <w:proofErr w:type="gramEnd"/>
      <w:r w:rsidRPr="00DB2473">
        <w:rPr>
          <w:rFonts w:ascii="標楷體" w:eastAsia="標楷體" w:hAnsi="Times New Roman" w:cs="Times New Roman" w:hint="eastAsia"/>
          <w:szCs w:val="24"/>
        </w:rPr>
        <w:t>致。</w:t>
      </w:r>
    </w:p>
    <w:p w14:paraId="421EB4A7" w14:textId="77777777" w:rsidR="00D74004" w:rsidRPr="00DB2473" w:rsidRDefault="00D74004" w:rsidP="00AC6C73">
      <w:pPr>
        <w:widowControl/>
        <w:suppressAutoHyphens/>
        <w:overflowPunct w:val="0"/>
        <w:spacing w:beforeLines="50" w:before="180" w:afterLines="20" w:after="72" w:line="460" w:lineRule="exact"/>
        <w:jc w:val="both"/>
        <w:outlineLvl w:val="2"/>
        <w:rPr>
          <w:rFonts w:ascii="標楷體" w:eastAsia="標楷體" w:hAnsi="Times New Roman" w:cs="Times New Roman"/>
          <w:b/>
          <w:sz w:val="32"/>
          <w:szCs w:val="32"/>
        </w:rPr>
      </w:pPr>
      <w:r w:rsidRPr="00DB2473">
        <w:rPr>
          <w:rFonts w:ascii="標楷體" w:eastAsia="標楷體" w:hAnsi="Times New Roman" w:cs="Times New Roman" w:hint="eastAsia"/>
          <w:b/>
          <w:sz w:val="32"/>
          <w:szCs w:val="32"/>
        </w:rPr>
        <w:t>三、重要審核意見</w:t>
      </w:r>
    </w:p>
    <w:p w14:paraId="2F053A78" w14:textId="77777777" w:rsidR="00D74004" w:rsidRDefault="00D74004" w:rsidP="00A03FBC">
      <w:pPr>
        <w:widowControl/>
        <w:suppressAutoHyphens/>
        <w:overflowPunct w:val="0"/>
        <w:spacing w:beforeLines="50" w:before="180" w:afterLines="20" w:after="72" w:line="460" w:lineRule="exact"/>
        <w:ind w:firstLineChars="100" w:firstLine="280"/>
        <w:jc w:val="both"/>
        <w:rPr>
          <w:rFonts w:ascii="標楷體" w:eastAsia="標楷體" w:hAnsi="標楷體" w:cs="Times New Roman"/>
          <w:b/>
          <w:spacing w:val="2"/>
          <w:sz w:val="28"/>
          <w:szCs w:val="28"/>
        </w:rPr>
      </w:pPr>
      <w:bookmarkStart w:id="48" w:name="_Hlk113520013"/>
      <w:r w:rsidRPr="00DB2473">
        <w:rPr>
          <w:rFonts w:ascii="標楷體" w:eastAsia="標楷體" w:hAnsi="標楷體" w:cs="Times New Roman" w:hint="eastAsia"/>
          <w:b/>
          <w:sz w:val="28"/>
          <w:szCs w:val="28"/>
        </w:rPr>
        <w:t>（一</w:t>
      </w:r>
      <w:r w:rsidRPr="00DB2473">
        <w:rPr>
          <w:rFonts w:ascii="標楷體" w:eastAsia="標楷體" w:hAnsi="標楷體" w:cs="Times New Roman" w:hint="eastAsia"/>
          <w:b/>
          <w:kern w:val="0"/>
          <w:sz w:val="28"/>
          <w:szCs w:val="28"/>
        </w:rPr>
        <w:t>）</w:t>
      </w:r>
      <w:r w:rsidRPr="00504100">
        <w:rPr>
          <w:rFonts w:ascii="標楷體" w:eastAsia="標楷體" w:hAnsi="標楷體" w:cs="Times New Roman" w:hint="eastAsia"/>
          <w:b/>
          <w:kern w:val="0"/>
          <w:sz w:val="28"/>
          <w:szCs w:val="28"/>
        </w:rPr>
        <w:t>配合公共工程使用焚化</w:t>
      </w:r>
      <w:proofErr w:type="gramStart"/>
      <w:r w:rsidRPr="00504100">
        <w:rPr>
          <w:rFonts w:ascii="標楷體" w:eastAsia="標楷體" w:hAnsi="標楷體" w:cs="Times New Roman" w:hint="eastAsia"/>
          <w:b/>
          <w:kern w:val="0"/>
          <w:sz w:val="28"/>
          <w:szCs w:val="28"/>
        </w:rPr>
        <w:t>底渣再生粒料</w:t>
      </w:r>
      <w:proofErr w:type="gramEnd"/>
      <w:r w:rsidRPr="00504100">
        <w:rPr>
          <w:rFonts w:ascii="標楷體" w:eastAsia="標楷體" w:hAnsi="標楷體" w:cs="Times New Roman" w:hint="eastAsia"/>
          <w:b/>
          <w:kern w:val="0"/>
          <w:sz w:val="28"/>
          <w:szCs w:val="28"/>
        </w:rPr>
        <w:t>，落實循環經濟政策，惟部分工程使用控制性低強度回填材料進行施工，</w:t>
      </w:r>
      <w:proofErr w:type="gramStart"/>
      <w:r w:rsidRPr="00504100">
        <w:rPr>
          <w:rFonts w:ascii="標楷體" w:eastAsia="標楷體" w:hAnsi="標楷體" w:cs="Times New Roman" w:hint="eastAsia"/>
          <w:b/>
          <w:kern w:val="0"/>
          <w:sz w:val="28"/>
          <w:szCs w:val="28"/>
        </w:rPr>
        <w:t>間有未</w:t>
      </w:r>
      <w:proofErr w:type="gramEnd"/>
      <w:r w:rsidRPr="00504100">
        <w:rPr>
          <w:rFonts w:ascii="標楷體" w:eastAsia="標楷體" w:hAnsi="標楷體" w:cs="Times New Roman" w:hint="eastAsia"/>
          <w:b/>
          <w:kern w:val="0"/>
          <w:sz w:val="28"/>
          <w:szCs w:val="28"/>
        </w:rPr>
        <w:t>依核准配比施作，或實際使用材料之配比未經報核，或未確實填寫澆置紀錄等情事，</w:t>
      </w:r>
      <w:proofErr w:type="gramStart"/>
      <w:r w:rsidRPr="00504100">
        <w:rPr>
          <w:rFonts w:ascii="標楷體" w:eastAsia="標楷體" w:hAnsi="標楷體" w:cs="Times New Roman" w:hint="eastAsia"/>
          <w:b/>
          <w:kern w:val="0"/>
          <w:sz w:val="28"/>
          <w:szCs w:val="28"/>
        </w:rPr>
        <w:t>均待檢討</w:t>
      </w:r>
      <w:proofErr w:type="gramEnd"/>
      <w:r w:rsidRPr="00504100">
        <w:rPr>
          <w:rFonts w:ascii="標楷體" w:eastAsia="標楷體" w:hAnsi="標楷體" w:cs="Times New Roman" w:hint="eastAsia"/>
          <w:b/>
          <w:kern w:val="0"/>
          <w:sz w:val="28"/>
          <w:szCs w:val="28"/>
        </w:rPr>
        <w:t>改善</w:t>
      </w:r>
      <w:r w:rsidRPr="00DB2473">
        <w:rPr>
          <w:rFonts w:ascii="標楷體" w:eastAsia="標楷體" w:hAnsi="標楷體" w:cs="Times New Roman" w:hint="eastAsia"/>
          <w:b/>
          <w:spacing w:val="2"/>
          <w:sz w:val="28"/>
          <w:szCs w:val="28"/>
        </w:rPr>
        <w:t>。</w:t>
      </w:r>
      <w:bookmarkEnd w:id="48"/>
    </w:p>
    <w:p w14:paraId="617B7C24" w14:textId="427E542C" w:rsidR="008C5D34" w:rsidRDefault="00D74004" w:rsidP="008C5D34">
      <w:pPr>
        <w:spacing w:line="450" w:lineRule="exact"/>
        <w:ind w:firstLineChars="200" w:firstLine="480"/>
        <w:jc w:val="both"/>
        <w:rPr>
          <w:rFonts w:ascii="標楷體" w:eastAsia="標楷體" w:hAnsi="標楷體" w:cs="Times New Roman"/>
          <w:color w:val="000000"/>
          <w:szCs w:val="20"/>
        </w:rPr>
      </w:pPr>
      <w:r w:rsidRPr="00504100">
        <w:rPr>
          <w:rFonts w:ascii="標楷體" w:eastAsia="標楷體" w:hAnsi="標楷體" w:cs="Times New Roman" w:hint="eastAsia"/>
          <w:color w:val="000000"/>
          <w:szCs w:val="20"/>
        </w:rPr>
        <w:t>臺北市政府為推動</w:t>
      </w:r>
      <w:proofErr w:type="gramStart"/>
      <w:r w:rsidRPr="00504100">
        <w:rPr>
          <w:rFonts w:ascii="標楷體" w:eastAsia="標楷體" w:hAnsi="標楷體" w:cs="Times New Roman" w:hint="eastAsia"/>
          <w:color w:val="000000"/>
          <w:szCs w:val="20"/>
        </w:rPr>
        <w:t>焚化底渣處理</w:t>
      </w:r>
      <w:proofErr w:type="gramEnd"/>
      <w:r w:rsidRPr="00504100">
        <w:rPr>
          <w:rFonts w:ascii="標楷體" w:eastAsia="標楷體" w:hAnsi="標楷體" w:cs="Times New Roman" w:hint="eastAsia"/>
          <w:color w:val="000000"/>
          <w:szCs w:val="20"/>
        </w:rPr>
        <w:t>以「再利用為主，最終處理為輔」之政策，於109年11月27日訂頒臺北市焚化</w:t>
      </w:r>
      <w:proofErr w:type="gramStart"/>
      <w:r w:rsidRPr="00504100">
        <w:rPr>
          <w:rFonts w:ascii="標楷體" w:eastAsia="標楷體" w:hAnsi="標楷體" w:cs="Times New Roman" w:hint="eastAsia"/>
          <w:color w:val="000000"/>
          <w:szCs w:val="20"/>
        </w:rPr>
        <w:t>再生粒料</w:t>
      </w:r>
      <w:proofErr w:type="gramEnd"/>
      <w:r w:rsidRPr="00504100">
        <w:rPr>
          <w:rFonts w:ascii="標楷體" w:eastAsia="標楷體" w:hAnsi="標楷體" w:cs="Times New Roman" w:hint="eastAsia"/>
          <w:color w:val="000000"/>
          <w:szCs w:val="20"/>
        </w:rPr>
        <w:t>推廣使用作業要點，並於110年9月30日修訂臺北市工程施工規範有關「選擇材料回填」、「基地及路堤填築」、「級</w:t>
      </w:r>
      <w:proofErr w:type="gramStart"/>
      <w:r w:rsidRPr="00504100">
        <w:rPr>
          <w:rFonts w:ascii="標楷體" w:eastAsia="標楷體" w:hAnsi="標楷體" w:cs="Times New Roman" w:hint="eastAsia"/>
          <w:color w:val="000000"/>
          <w:szCs w:val="20"/>
        </w:rPr>
        <w:t>配粒料</w:t>
      </w:r>
      <w:proofErr w:type="gramEnd"/>
      <w:r w:rsidRPr="00504100">
        <w:rPr>
          <w:rFonts w:ascii="標楷體" w:eastAsia="標楷體" w:hAnsi="標楷體" w:cs="Times New Roman" w:hint="eastAsia"/>
          <w:color w:val="000000"/>
          <w:szCs w:val="20"/>
        </w:rPr>
        <w:t>基層」、「級</w:t>
      </w:r>
      <w:proofErr w:type="gramStart"/>
      <w:r w:rsidRPr="00504100">
        <w:rPr>
          <w:rFonts w:ascii="標楷體" w:eastAsia="標楷體" w:hAnsi="標楷體" w:cs="Times New Roman" w:hint="eastAsia"/>
          <w:color w:val="000000"/>
          <w:szCs w:val="20"/>
        </w:rPr>
        <w:t>配粒料</w:t>
      </w:r>
      <w:proofErr w:type="gramEnd"/>
      <w:r w:rsidRPr="00504100">
        <w:rPr>
          <w:rFonts w:ascii="標楷體" w:eastAsia="標楷體" w:hAnsi="標楷體" w:cs="Times New Roman" w:hint="eastAsia"/>
          <w:color w:val="000000"/>
          <w:szCs w:val="20"/>
        </w:rPr>
        <w:t>底層」及「控制性低強度回填材料」（下稱CLSM）</w:t>
      </w:r>
      <w:proofErr w:type="gramStart"/>
      <w:r w:rsidRPr="00504100">
        <w:rPr>
          <w:rFonts w:ascii="標楷體" w:eastAsia="標楷體" w:hAnsi="標楷體" w:cs="Times New Roman" w:hint="eastAsia"/>
          <w:color w:val="000000"/>
          <w:szCs w:val="20"/>
        </w:rPr>
        <w:t>等章</w:t>
      </w:r>
      <w:proofErr w:type="gramEnd"/>
      <w:r w:rsidRPr="00504100">
        <w:rPr>
          <w:rFonts w:ascii="標楷體" w:eastAsia="標楷體" w:hAnsi="標楷體" w:cs="Times New Roman" w:hint="eastAsia"/>
          <w:color w:val="000000"/>
          <w:szCs w:val="20"/>
        </w:rPr>
        <w:t>，納入焚化</w:t>
      </w:r>
      <w:proofErr w:type="gramStart"/>
      <w:r w:rsidRPr="00504100">
        <w:rPr>
          <w:rFonts w:ascii="標楷體" w:eastAsia="標楷體" w:hAnsi="標楷體" w:cs="Times New Roman" w:hint="eastAsia"/>
          <w:color w:val="000000"/>
          <w:szCs w:val="20"/>
        </w:rPr>
        <w:t>再生粒料</w:t>
      </w:r>
      <w:proofErr w:type="gramEnd"/>
      <w:r w:rsidRPr="00504100">
        <w:rPr>
          <w:rFonts w:ascii="標楷體" w:eastAsia="標楷體" w:hAnsi="標楷體" w:cs="Times New Roman" w:hint="eastAsia"/>
          <w:color w:val="000000"/>
          <w:szCs w:val="20"/>
        </w:rPr>
        <w:t>推廣使用相關規定，</w:t>
      </w:r>
      <w:proofErr w:type="gramStart"/>
      <w:r w:rsidRPr="00504100">
        <w:rPr>
          <w:rFonts w:ascii="標楷體" w:eastAsia="標楷體" w:hAnsi="標楷體" w:cs="Times New Roman" w:hint="eastAsia"/>
          <w:color w:val="000000"/>
          <w:szCs w:val="20"/>
        </w:rPr>
        <w:t>俾</w:t>
      </w:r>
      <w:proofErr w:type="gramEnd"/>
      <w:r w:rsidRPr="00504100">
        <w:rPr>
          <w:rFonts w:ascii="標楷體" w:eastAsia="標楷體" w:hAnsi="標楷體" w:cs="Times New Roman" w:hint="eastAsia"/>
          <w:color w:val="000000"/>
          <w:szCs w:val="20"/>
        </w:rPr>
        <w:t>落實循環經濟政策。經查新建工程處110至112年間辦理焚化</w:t>
      </w:r>
      <w:proofErr w:type="gramStart"/>
      <w:r w:rsidRPr="00504100">
        <w:rPr>
          <w:rFonts w:ascii="標楷體" w:eastAsia="標楷體" w:hAnsi="標楷體" w:cs="Times New Roman" w:hint="eastAsia"/>
          <w:color w:val="000000"/>
          <w:szCs w:val="20"/>
        </w:rPr>
        <w:t>再生粒料</w:t>
      </w:r>
      <w:proofErr w:type="gramEnd"/>
      <w:r w:rsidRPr="00504100">
        <w:rPr>
          <w:rFonts w:ascii="標楷體" w:eastAsia="標楷體" w:hAnsi="標楷體" w:cs="Times New Roman" w:hint="eastAsia"/>
          <w:color w:val="000000"/>
          <w:szCs w:val="20"/>
        </w:rPr>
        <w:t>使用情形，核有：1.辦理「南港立體連</w:t>
      </w:r>
    </w:p>
    <w:p w14:paraId="11DFD21C" w14:textId="77777777" w:rsidR="004F3186" w:rsidRDefault="008C5D34" w:rsidP="008C5D34">
      <w:pPr>
        <w:spacing w:beforeLines="10" w:before="36" w:line="440" w:lineRule="exact"/>
        <w:jc w:val="both"/>
        <w:rPr>
          <w:rFonts w:ascii="標楷體" w:eastAsia="標楷體" w:hAnsi="標楷體" w:cs="Times New Roman"/>
          <w:color w:val="000000"/>
          <w:spacing w:val="-4"/>
          <w:szCs w:val="20"/>
        </w:rPr>
      </w:pPr>
      <w:r w:rsidRPr="00504100">
        <w:rPr>
          <w:rFonts w:ascii="標楷體" w:eastAsia="標楷體" w:hAnsi="標楷體" w:cs="Times New Roman"/>
          <w:noProof/>
          <w:color w:val="000000"/>
          <w:szCs w:val="20"/>
        </w:rPr>
        <mc:AlternateContent>
          <mc:Choice Requires="wps">
            <w:drawing>
              <wp:anchor distT="45720" distB="45720" distL="114300" distR="114300" simplePos="0" relativeHeight="251792384" behindDoc="1" locked="0" layoutInCell="1" allowOverlap="1" wp14:anchorId="71B11F25" wp14:editId="788E16F0">
                <wp:simplePos x="0" y="0"/>
                <wp:positionH relativeFrom="column">
                  <wp:posOffset>1722755</wp:posOffset>
                </wp:positionH>
                <wp:positionV relativeFrom="page">
                  <wp:posOffset>5676900</wp:posOffset>
                </wp:positionV>
                <wp:extent cx="4662170" cy="4105275"/>
                <wp:effectExtent l="0" t="0" r="5080" b="1270"/>
                <wp:wrapTight wrapText="bothSides">
                  <wp:wrapPolygon edited="0">
                    <wp:start x="0" y="0"/>
                    <wp:lineTo x="0" y="21507"/>
                    <wp:lineTo x="21535" y="21507"/>
                    <wp:lineTo x="21535" y="0"/>
                    <wp:lineTo x="0" y="0"/>
                  </wp:wrapPolygon>
                </wp:wrapTight>
                <wp:docPr id="63" name="文字方塊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2170" cy="410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094CDB" w14:textId="77777777" w:rsidR="00D74004" w:rsidRDefault="00D74004" w:rsidP="00D74004">
                            <w:pPr>
                              <w:pStyle w:val="a4"/>
                              <w:overflowPunct w:val="0"/>
                              <w:snapToGrid w:val="0"/>
                              <w:spacing w:line="0" w:lineRule="atLeast"/>
                              <w:ind w:leftChars="0" w:left="0" w:firstLine="280"/>
                              <w:jc w:val="center"/>
                              <w:rPr>
                                <w:rFonts w:ascii="標楷體" w:eastAsia="標楷體" w:hAnsi="標楷體"/>
                                <w:b/>
                              </w:rPr>
                            </w:pPr>
                            <w:r w:rsidRPr="00891329">
                              <w:rPr>
                                <w:rFonts w:ascii="標楷體" w:eastAsia="標楷體" w:hAnsi="標楷體" w:hint="eastAsia"/>
                                <w:b/>
                              </w:rPr>
                              <w:t>表</w:t>
                            </w:r>
                            <w:r>
                              <w:rPr>
                                <w:rFonts w:ascii="標楷體" w:eastAsia="標楷體" w:hAnsi="標楷體" w:hint="eastAsia"/>
                                <w:b/>
                              </w:rPr>
                              <w:t xml:space="preserve">1　</w:t>
                            </w:r>
                            <w:r w:rsidRPr="002F0729">
                              <w:rPr>
                                <w:rFonts w:ascii="標楷體" w:eastAsia="標楷體" w:hAnsi="標楷體" w:hint="eastAsia"/>
                                <w:b/>
                              </w:rPr>
                              <w:t>焚化</w:t>
                            </w:r>
                            <w:proofErr w:type="gramStart"/>
                            <w:r w:rsidRPr="002F0729">
                              <w:rPr>
                                <w:rFonts w:ascii="標楷體" w:eastAsia="標楷體" w:hAnsi="標楷體" w:hint="eastAsia"/>
                                <w:b/>
                              </w:rPr>
                              <w:t>再生粒料</w:t>
                            </w:r>
                            <w:proofErr w:type="gramEnd"/>
                            <w:r w:rsidRPr="002F0729">
                              <w:rPr>
                                <w:rFonts w:ascii="標楷體" w:eastAsia="標楷體" w:hAnsi="標楷體" w:hint="eastAsia"/>
                                <w:b/>
                              </w:rPr>
                              <w:t>使用情形缺失態樣</w:t>
                            </w:r>
                          </w:p>
                          <w:p w14:paraId="3DD65CFA" w14:textId="77777777" w:rsidR="00D74004" w:rsidRDefault="00D74004" w:rsidP="00D74004">
                            <w:pPr>
                              <w:spacing w:line="240" w:lineRule="exact"/>
                              <w:ind w:rightChars="52" w:right="125"/>
                              <w:jc w:val="right"/>
                            </w:pPr>
                            <w:r w:rsidRPr="00803857">
                              <w:rPr>
                                <w:rFonts w:ascii="標楷體" w:eastAsia="標楷體" w:hAnsi="標楷體" w:cs="標楷體" w:hint="eastAsia"/>
                                <w:sz w:val="20"/>
                              </w:rPr>
                              <w:t>單位：新臺幣千元</w:t>
                            </w:r>
                          </w:p>
                          <w:tbl>
                            <w:tblPr>
                              <w:tblStyle w:val="216"/>
                              <w:tblW w:w="7087" w:type="dxa"/>
                              <w:tblInd w:w="108" w:type="dxa"/>
                              <w:tblLayout w:type="fixed"/>
                              <w:tblLook w:val="04A0" w:firstRow="1" w:lastRow="0" w:firstColumn="1" w:lastColumn="0" w:noHBand="0" w:noVBand="1"/>
                            </w:tblPr>
                            <w:tblGrid>
                              <w:gridCol w:w="426"/>
                              <w:gridCol w:w="3118"/>
                              <w:gridCol w:w="1276"/>
                              <w:gridCol w:w="850"/>
                              <w:gridCol w:w="709"/>
                              <w:gridCol w:w="708"/>
                            </w:tblGrid>
                            <w:tr w:rsidR="00D74004" w:rsidRPr="00F82E8D" w14:paraId="598A3B7D" w14:textId="77777777" w:rsidTr="00824CD6">
                              <w:trPr>
                                <w:trHeight w:val="253"/>
                              </w:trPr>
                              <w:tc>
                                <w:tcPr>
                                  <w:tcW w:w="426" w:type="dxa"/>
                                  <w:vMerge w:val="restart"/>
                                  <w:shd w:val="clear" w:color="auto" w:fill="auto"/>
                                  <w:vAlign w:val="center"/>
                                </w:tcPr>
                                <w:p w14:paraId="63B9C07B" w14:textId="77777777" w:rsidR="00D74004" w:rsidRPr="00F56DB3"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sidRPr="00F56DB3">
                                    <w:rPr>
                                      <w:rFonts w:ascii="標楷體" w:eastAsia="標楷體" w:hAnsi="標楷體" w:hint="eastAsia"/>
                                      <w:sz w:val="20"/>
                                      <w:szCs w:val="20"/>
                                    </w:rPr>
                                    <w:t>項次</w:t>
                                  </w:r>
                                </w:p>
                              </w:tc>
                              <w:tc>
                                <w:tcPr>
                                  <w:tcW w:w="3118" w:type="dxa"/>
                                  <w:vMerge w:val="restart"/>
                                  <w:shd w:val="clear" w:color="auto" w:fill="auto"/>
                                  <w:vAlign w:val="center"/>
                                </w:tcPr>
                                <w:p w14:paraId="681A0A78" w14:textId="77777777" w:rsidR="00D74004" w:rsidRPr="00F56DB3"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Pr>
                                      <w:rFonts w:ascii="標楷體" w:eastAsia="標楷體" w:hAnsi="標楷體" w:hint="eastAsia"/>
                                      <w:sz w:val="20"/>
                                      <w:szCs w:val="20"/>
                                    </w:rPr>
                                    <w:t>案件名稱</w:t>
                                  </w:r>
                                </w:p>
                              </w:tc>
                              <w:tc>
                                <w:tcPr>
                                  <w:tcW w:w="1276" w:type="dxa"/>
                                  <w:vMerge w:val="restart"/>
                                  <w:vAlign w:val="center"/>
                                </w:tcPr>
                                <w:p w14:paraId="4A108AFD"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color w:val="000000"/>
                                      <w:sz w:val="20"/>
                                    </w:rPr>
                                    <w:t>決標</w:t>
                                  </w:r>
                                  <w:r w:rsidRPr="00653B29">
                                    <w:rPr>
                                      <w:rFonts w:ascii="標楷體" w:eastAsia="標楷體" w:hAnsi="標楷體" w:hint="eastAsia"/>
                                      <w:color w:val="000000"/>
                                      <w:sz w:val="20"/>
                                    </w:rPr>
                                    <w:t>金額</w:t>
                                  </w:r>
                                </w:p>
                              </w:tc>
                              <w:tc>
                                <w:tcPr>
                                  <w:tcW w:w="2267" w:type="dxa"/>
                                  <w:gridSpan w:val="3"/>
                                </w:tcPr>
                                <w:p w14:paraId="77B0ED3D"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color w:val="000000"/>
                                      <w:sz w:val="20"/>
                                    </w:rPr>
                                  </w:pPr>
                                  <w:r>
                                    <w:rPr>
                                      <w:rFonts w:ascii="標楷體" w:eastAsia="標楷體" w:hAnsi="標楷體" w:hint="eastAsia"/>
                                      <w:color w:val="000000"/>
                                      <w:sz w:val="20"/>
                                    </w:rPr>
                                    <w:t>缺失態樣</w:t>
                                  </w:r>
                                </w:p>
                              </w:tc>
                            </w:tr>
                            <w:tr w:rsidR="00D74004" w:rsidRPr="00F82E8D" w14:paraId="10588645" w14:textId="77777777" w:rsidTr="00824CD6">
                              <w:trPr>
                                <w:trHeight w:val="240"/>
                              </w:trPr>
                              <w:tc>
                                <w:tcPr>
                                  <w:tcW w:w="426" w:type="dxa"/>
                                  <w:vMerge/>
                                  <w:shd w:val="clear" w:color="auto" w:fill="auto"/>
                                  <w:vAlign w:val="center"/>
                                </w:tcPr>
                                <w:p w14:paraId="27190DD8" w14:textId="77777777" w:rsidR="00D74004" w:rsidRPr="00F56DB3" w:rsidRDefault="00D74004" w:rsidP="00D74004">
                                  <w:pPr>
                                    <w:kinsoku w:val="0"/>
                                    <w:overflowPunct w:val="0"/>
                                    <w:autoSpaceDE w:val="0"/>
                                    <w:autoSpaceDN w:val="0"/>
                                    <w:spacing w:line="240" w:lineRule="exact"/>
                                    <w:jc w:val="center"/>
                                    <w:textAlignment w:val="center"/>
                                    <w:rPr>
                                      <w:rFonts w:ascii="標楷體" w:eastAsia="標楷體" w:hAnsi="標楷體"/>
                                      <w:sz w:val="20"/>
                                    </w:rPr>
                                  </w:pPr>
                                </w:p>
                              </w:tc>
                              <w:tc>
                                <w:tcPr>
                                  <w:tcW w:w="3118" w:type="dxa"/>
                                  <w:vMerge/>
                                  <w:shd w:val="clear" w:color="auto" w:fill="auto"/>
                                  <w:vAlign w:val="center"/>
                                </w:tcPr>
                                <w:p w14:paraId="0734CC5F"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p>
                              </w:tc>
                              <w:tc>
                                <w:tcPr>
                                  <w:tcW w:w="1276" w:type="dxa"/>
                                  <w:vMerge/>
                                </w:tcPr>
                                <w:p w14:paraId="0F911522"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p>
                              </w:tc>
                              <w:tc>
                                <w:tcPr>
                                  <w:tcW w:w="850" w:type="dxa"/>
                                  <w:tcBorders>
                                    <w:bottom w:val="single" w:sz="4" w:space="0" w:color="auto"/>
                                  </w:tcBorders>
                                </w:tcPr>
                                <w:p w14:paraId="4BE46ACE"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未依核准配比施作</w:t>
                                  </w:r>
                                </w:p>
                              </w:tc>
                              <w:tc>
                                <w:tcPr>
                                  <w:tcW w:w="709" w:type="dxa"/>
                                  <w:tcBorders>
                                    <w:bottom w:val="single" w:sz="4" w:space="0" w:color="auto"/>
                                  </w:tcBorders>
                                </w:tcPr>
                                <w:p w14:paraId="14E2362F"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配比未經報核</w:t>
                                  </w:r>
                                </w:p>
                              </w:tc>
                              <w:tc>
                                <w:tcPr>
                                  <w:tcW w:w="708" w:type="dxa"/>
                                  <w:tcBorders>
                                    <w:bottom w:val="single" w:sz="4" w:space="0" w:color="auto"/>
                                  </w:tcBorders>
                                </w:tcPr>
                                <w:p w14:paraId="45455847"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無試驗報告</w:t>
                                  </w:r>
                                </w:p>
                              </w:tc>
                            </w:tr>
                            <w:tr w:rsidR="00D74004" w:rsidRPr="00F82E8D" w14:paraId="049B49E0" w14:textId="77777777" w:rsidTr="008C5D34">
                              <w:trPr>
                                <w:trHeight w:val="283"/>
                              </w:trPr>
                              <w:tc>
                                <w:tcPr>
                                  <w:tcW w:w="3544" w:type="dxa"/>
                                  <w:gridSpan w:val="2"/>
                                  <w:vAlign w:val="center"/>
                                </w:tcPr>
                                <w:p w14:paraId="2F23BCD0" w14:textId="77777777" w:rsidR="00D74004" w:rsidRPr="009A5B33" w:rsidRDefault="00D74004" w:rsidP="00D74004">
                                  <w:pPr>
                                    <w:kinsoku w:val="0"/>
                                    <w:overflowPunct w:val="0"/>
                                    <w:autoSpaceDE w:val="0"/>
                                    <w:autoSpaceDN w:val="0"/>
                                    <w:spacing w:line="240" w:lineRule="exact"/>
                                    <w:jc w:val="center"/>
                                    <w:textAlignment w:val="center"/>
                                    <w:rPr>
                                      <w:rFonts w:ascii="標楷體" w:eastAsia="標楷體" w:hAnsi="標楷體"/>
                                      <w:b/>
                                      <w:bCs/>
                                      <w:sz w:val="20"/>
                                      <w:szCs w:val="20"/>
                                    </w:rPr>
                                  </w:pPr>
                                  <w:r w:rsidRPr="008C5D34">
                                    <w:rPr>
                                      <w:rFonts w:ascii="標楷體" w:eastAsia="標楷體" w:hAnsi="標楷體" w:hint="eastAsia"/>
                                      <w:b/>
                                      <w:bCs/>
                                      <w:spacing w:val="250"/>
                                      <w:kern w:val="0"/>
                                      <w:sz w:val="20"/>
                                      <w:szCs w:val="20"/>
                                      <w:fitText w:val="900" w:id="-694412288"/>
                                    </w:rPr>
                                    <w:t>合</w:t>
                                  </w:r>
                                  <w:r w:rsidRPr="008C5D34">
                                    <w:rPr>
                                      <w:rFonts w:ascii="標楷體" w:eastAsia="標楷體" w:hAnsi="標楷體" w:hint="eastAsia"/>
                                      <w:b/>
                                      <w:bCs/>
                                      <w:kern w:val="0"/>
                                      <w:sz w:val="20"/>
                                      <w:szCs w:val="20"/>
                                      <w:fitText w:val="900" w:id="-694412288"/>
                                    </w:rPr>
                                    <w:t>計</w:t>
                                  </w:r>
                                </w:p>
                              </w:tc>
                              <w:tc>
                                <w:tcPr>
                                  <w:tcW w:w="1276" w:type="dxa"/>
                                  <w:vAlign w:val="center"/>
                                </w:tcPr>
                                <w:p w14:paraId="090F56CD" w14:textId="77777777" w:rsidR="00D74004" w:rsidRPr="00504100" w:rsidRDefault="00D74004" w:rsidP="00550659">
                                  <w:pPr>
                                    <w:kinsoku w:val="0"/>
                                    <w:overflowPunct w:val="0"/>
                                    <w:autoSpaceDE w:val="0"/>
                                    <w:autoSpaceDN w:val="0"/>
                                    <w:spacing w:line="240" w:lineRule="exact"/>
                                    <w:jc w:val="right"/>
                                    <w:textAlignment w:val="center"/>
                                    <w:rPr>
                                      <w:rFonts w:ascii="標楷體" w:eastAsia="標楷體" w:hAnsi="標楷體"/>
                                      <w:b/>
                                      <w:bCs/>
                                      <w:color w:val="000000"/>
                                      <w:sz w:val="20"/>
                                    </w:rPr>
                                  </w:pPr>
                                  <w:r w:rsidRPr="00504100">
                                    <w:rPr>
                                      <w:rFonts w:ascii="標楷體" w:eastAsia="標楷體" w:hAnsi="標楷體" w:hint="eastAsia"/>
                                      <w:b/>
                                      <w:bCs/>
                                      <w:color w:val="000000"/>
                                      <w:sz w:val="20"/>
                                    </w:rPr>
                                    <w:t>15</w:t>
                                  </w:r>
                                  <w:r w:rsidRPr="00504100">
                                    <w:rPr>
                                      <w:rFonts w:ascii="標楷體" w:eastAsia="標楷體" w:hAnsi="標楷體"/>
                                      <w:b/>
                                      <w:bCs/>
                                      <w:color w:val="000000"/>
                                      <w:sz w:val="20"/>
                                    </w:rPr>
                                    <w:t>,</w:t>
                                  </w:r>
                                  <w:r w:rsidRPr="00504100">
                                    <w:rPr>
                                      <w:rFonts w:ascii="標楷體" w:eastAsia="標楷體" w:hAnsi="標楷體" w:hint="eastAsia"/>
                                      <w:b/>
                                      <w:bCs/>
                                      <w:color w:val="000000"/>
                                      <w:sz w:val="20"/>
                                    </w:rPr>
                                    <w:t>849</w:t>
                                  </w:r>
                                  <w:r w:rsidRPr="00504100">
                                    <w:rPr>
                                      <w:rFonts w:ascii="標楷體" w:eastAsia="標楷體" w:hAnsi="標楷體"/>
                                      <w:b/>
                                      <w:bCs/>
                                      <w:color w:val="000000"/>
                                      <w:sz w:val="20"/>
                                    </w:rPr>
                                    <w:t>,</w:t>
                                  </w:r>
                                  <w:r w:rsidRPr="00504100">
                                    <w:rPr>
                                      <w:rFonts w:ascii="標楷體" w:eastAsia="標楷體" w:hAnsi="標楷體" w:hint="eastAsia"/>
                                      <w:b/>
                                      <w:bCs/>
                                      <w:color w:val="000000"/>
                                      <w:sz w:val="20"/>
                                    </w:rPr>
                                    <w:t>154</w:t>
                                  </w:r>
                                </w:p>
                              </w:tc>
                              <w:tc>
                                <w:tcPr>
                                  <w:tcW w:w="2267" w:type="dxa"/>
                                  <w:gridSpan w:val="3"/>
                                  <w:tcBorders>
                                    <w:tl2br w:val="single" w:sz="4" w:space="0" w:color="auto"/>
                                  </w:tcBorders>
                                  <w:vAlign w:val="center"/>
                                </w:tcPr>
                                <w:p w14:paraId="2C81A4C8" w14:textId="77777777" w:rsidR="00D74004" w:rsidRPr="00504100" w:rsidRDefault="00D74004" w:rsidP="00824CD6">
                                  <w:pPr>
                                    <w:kinsoku w:val="0"/>
                                    <w:overflowPunct w:val="0"/>
                                    <w:autoSpaceDE w:val="0"/>
                                    <w:autoSpaceDN w:val="0"/>
                                    <w:spacing w:line="240" w:lineRule="exact"/>
                                    <w:ind w:left="240"/>
                                    <w:jc w:val="center"/>
                                    <w:textAlignment w:val="center"/>
                                    <w:rPr>
                                      <w:rFonts w:ascii="標楷體" w:eastAsia="標楷體" w:hAnsi="標楷體"/>
                                      <w:b/>
                                      <w:color w:val="000000"/>
                                      <w:sz w:val="20"/>
                                    </w:rPr>
                                  </w:pPr>
                                </w:p>
                              </w:tc>
                            </w:tr>
                            <w:tr w:rsidR="00D74004" w:rsidRPr="00F82E8D" w14:paraId="446CBE33" w14:textId="77777777" w:rsidTr="00D74004">
                              <w:tc>
                                <w:tcPr>
                                  <w:tcW w:w="426" w:type="dxa"/>
                                  <w:vAlign w:val="center"/>
                                </w:tcPr>
                                <w:p w14:paraId="546DD936"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sidRPr="00651B97">
                                    <w:rPr>
                                      <w:rFonts w:ascii="標楷體" w:eastAsia="標楷體" w:hAnsi="標楷體" w:hint="eastAsia"/>
                                      <w:sz w:val="20"/>
                                      <w:szCs w:val="20"/>
                                    </w:rPr>
                                    <w:t>1</w:t>
                                  </w:r>
                                </w:p>
                              </w:tc>
                              <w:tc>
                                <w:tcPr>
                                  <w:tcW w:w="3118" w:type="dxa"/>
                                  <w:vAlign w:val="center"/>
                                </w:tcPr>
                                <w:p w14:paraId="1532C75C" w14:textId="77777777" w:rsidR="00D74004" w:rsidRPr="00651B97"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7966C3">
                                    <w:rPr>
                                      <w:rFonts w:ascii="標楷體" w:eastAsia="標楷體" w:hAnsi="標楷體" w:hint="eastAsia"/>
                                      <w:sz w:val="20"/>
                                      <w:szCs w:val="20"/>
                                    </w:rPr>
                                    <w:t>南港立體連通平</w:t>
                                  </w:r>
                                  <w:proofErr w:type="gramStart"/>
                                  <w:r w:rsidRPr="007966C3">
                                    <w:rPr>
                                      <w:rFonts w:ascii="標楷體" w:eastAsia="標楷體" w:hAnsi="標楷體" w:hint="eastAsia"/>
                                      <w:sz w:val="20"/>
                                      <w:szCs w:val="20"/>
                                    </w:rPr>
                                    <w:t>臺</w:t>
                                  </w:r>
                                  <w:proofErr w:type="gramEnd"/>
                                  <w:r w:rsidRPr="007966C3">
                                    <w:rPr>
                                      <w:rFonts w:ascii="標楷體" w:eastAsia="標楷體" w:hAnsi="標楷體" w:hint="eastAsia"/>
                                      <w:sz w:val="20"/>
                                      <w:szCs w:val="20"/>
                                    </w:rPr>
                                    <w:t>及其附屬綠化設施統包工程(含後續擴</w:t>
                                  </w:r>
                                  <w:r>
                                    <w:rPr>
                                      <w:rFonts w:ascii="標楷體" w:eastAsia="標楷體" w:hAnsi="標楷體" w:hint="eastAsia"/>
                                      <w:sz w:val="20"/>
                                      <w:szCs w:val="20"/>
                                    </w:rPr>
                                    <w:t>充</w:t>
                                  </w:r>
                                  <w:r w:rsidRPr="007966C3">
                                    <w:rPr>
                                      <w:rFonts w:ascii="標楷體" w:eastAsia="標楷體" w:hAnsi="標楷體" w:hint="eastAsia"/>
                                      <w:sz w:val="20"/>
                                      <w:szCs w:val="20"/>
                                    </w:rPr>
                                    <w:t>)</w:t>
                                  </w:r>
                                </w:p>
                              </w:tc>
                              <w:tc>
                                <w:tcPr>
                                  <w:tcW w:w="1276" w:type="dxa"/>
                                  <w:vAlign w:val="center"/>
                                </w:tcPr>
                                <w:p w14:paraId="5816C69F" w14:textId="77777777" w:rsidR="00D74004" w:rsidRPr="00504100" w:rsidRDefault="00D74004" w:rsidP="00550659">
                                  <w:pPr>
                                    <w:kinsoku w:val="0"/>
                                    <w:overflowPunct w:val="0"/>
                                    <w:autoSpaceDE w:val="0"/>
                                    <w:autoSpaceDN w:val="0"/>
                                    <w:spacing w:line="240" w:lineRule="exact"/>
                                    <w:jc w:val="right"/>
                                    <w:textAlignment w:val="center"/>
                                    <w:rPr>
                                      <w:rFonts w:ascii="標楷體" w:eastAsia="標楷體" w:hAnsi="標楷體"/>
                                      <w:color w:val="000000"/>
                                      <w:sz w:val="20"/>
                                    </w:rPr>
                                  </w:pPr>
                                  <w:r w:rsidRPr="00504100">
                                    <w:rPr>
                                      <w:rFonts w:ascii="標楷體" w:eastAsia="標楷體" w:hAnsi="標楷體"/>
                                      <w:color w:val="000000"/>
                                      <w:sz w:val="20"/>
                                    </w:rPr>
                                    <w:t>412,000</w:t>
                                  </w:r>
                                </w:p>
                              </w:tc>
                              <w:tc>
                                <w:tcPr>
                                  <w:tcW w:w="850" w:type="dxa"/>
                                  <w:vAlign w:val="center"/>
                                </w:tcPr>
                                <w:p w14:paraId="7CCEB66C"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21394652"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2D4B7FA6"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7652C332" w14:textId="77777777" w:rsidTr="00D74004">
                              <w:tc>
                                <w:tcPr>
                                  <w:tcW w:w="426" w:type="dxa"/>
                                  <w:vAlign w:val="center"/>
                                </w:tcPr>
                                <w:p w14:paraId="1AC97B87"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sidRPr="00651B97">
                                    <w:rPr>
                                      <w:rFonts w:ascii="標楷體" w:eastAsia="標楷體" w:hAnsi="標楷體" w:hint="eastAsia"/>
                                      <w:sz w:val="20"/>
                                      <w:szCs w:val="20"/>
                                    </w:rPr>
                                    <w:t>2</w:t>
                                  </w:r>
                                </w:p>
                              </w:tc>
                              <w:tc>
                                <w:tcPr>
                                  <w:tcW w:w="3118" w:type="dxa"/>
                                  <w:vAlign w:val="center"/>
                                </w:tcPr>
                                <w:p w14:paraId="3E94AB15" w14:textId="77777777" w:rsidR="00D74004" w:rsidRPr="00651B97"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proofErr w:type="gramStart"/>
                                  <w:r w:rsidRPr="006D5588">
                                    <w:rPr>
                                      <w:rFonts w:ascii="標楷體" w:eastAsia="標楷體" w:hAnsi="標楷體" w:hint="eastAsia"/>
                                      <w:sz w:val="20"/>
                                      <w:szCs w:val="20"/>
                                    </w:rPr>
                                    <w:t>110</w:t>
                                  </w:r>
                                  <w:proofErr w:type="gramEnd"/>
                                  <w:r w:rsidRPr="006D5588">
                                    <w:rPr>
                                      <w:rFonts w:ascii="標楷體" w:eastAsia="標楷體" w:hAnsi="標楷體" w:hint="eastAsia"/>
                                      <w:sz w:val="20"/>
                                      <w:szCs w:val="20"/>
                                    </w:rPr>
                                    <w:t>年度臺北市道路興建及改善工程開口契約(第2標)(中正、萬華、松山、信義、大安、文山區)</w:t>
                                  </w:r>
                                </w:p>
                              </w:tc>
                              <w:tc>
                                <w:tcPr>
                                  <w:tcW w:w="1276" w:type="dxa"/>
                                  <w:vAlign w:val="center"/>
                                </w:tcPr>
                                <w:p w14:paraId="68741194"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31</w:t>
                                  </w:r>
                                  <w:r w:rsidRPr="00606E2F">
                                    <w:rPr>
                                      <w:rFonts w:ascii="標楷體" w:eastAsia="標楷體" w:hAnsi="標楷體"/>
                                      <w:sz w:val="20"/>
                                      <w:szCs w:val="20"/>
                                    </w:rPr>
                                    <w:t>,</w:t>
                                  </w:r>
                                  <w:r w:rsidRPr="00606E2F">
                                    <w:rPr>
                                      <w:rFonts w:ascii="標楷體" w:eastAsia="標楷體" w:hAnsi="標楷體" w:hint="eastAsia"/>
                                      <w:sz w:val="20"/>
                                      <w:szCs w:val="20"/>
                                    </w:rPr>
                                    <w:t>560</w:t>
                                  </w:r>
                                </w:p>
                              </w:tc>
                              <w:tc>
                                <w:tcPr>
                                  <w:tcW w:w="850" w:type="dxa"/>
                                  <w:vAlign w:val="center"/>
                                </w:tcPr>
                                <w:p w14:paraId="47D34982"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0FB7EBE7"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1DE1B112"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r>
                            <w:tr w:rsidR="00D74004" w:rsidRPr="00F82E8D" w14:paraId="2696266B" w14:textId="77777777" w:rsidTr="00D74004">
                              <w:tc>
                                <w:tcPr>
                                  <w:tcW w:w="426" w:type="dxa"/>
                                  <w:vAlign w:val="center"/>
                                </w:tcPr>
                                <w:p w14:paraId="60175630"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sidRPr="00651B97">
                                    <w:rPr>
                                      <w:rFonts w:ascii="標楷體" w:eastAsia="標楷體" w:hAnsi="標楷體" w:hint="eastAsia"/>
                                      <w:sz w:val="20"/>
                                      <w:szCs w:val="20"/>
                                    </w:rPr>
                                    <w:t>3</w:t>
                                  </w:r>
                                </w:p>
                              </w:tc>
                              <w:tc>
                                <w:tcPr>
                                  <w:tcW w:w="3118" w:type="dxa"/>
                                  <w:vAlign w:val="center"/>
                                </w:tcPr>
                                <w:p w14:paraId="7A52678B" w14:textId="77777777" w:rsidR="00D74004" w:rsidRPr="00651B97"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proofErr w:type="gramStart"/>
                                  <w:r w:rsidRPr="006D5588">
                                    <w:rPr>
                                      <w:rFonts w:ascii="標楷體" w:eastAsia="標楷體" w:hAnsi="標楷體" w:hint="eastAsia"/>
                                      <w:sz w:val="20"/>
                                      <w:szCs w:val="20"/>
                                    </w:rPr>
                                    <w:t>110</w:t>
                                  </w:r>
                                  <w:proofErr w:type="gramEnd"/>
                                  <w:r w:rsidRPr="006D5588">
                                    <w:rPr>
                                      <w:rFonts w:ascii="標楷體" w:eastAsia="標楷體" w:hAnsi="標楷體" w:hint="eastAsia"/>
                                      <w:sz w:val="20"/>
                                      <w:szCs w:val="20"/>
                                    </w:rPr>
                                    <w:t>年度一般道路更新工程開口契約（第2標）（松山、信義區）</w:t>
                                  </w:r>
                                </w:p>
                              </w:tc>
                              <w:tc>
                                <w:tcPr>
                                  <w:tcW w:w="1276" w:type="dxa"/>
                                  <w:vAlign w:val="center"/>
                                </w:tcPr>
                                <w:p w14:paraId="465B4638"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63</w:t>
                                  </w:r>
                                  <w:r w:rsidRPr="00606E2F">
                                    <w:rPr>
                                      <w:rFonts w:ascii="標楷體" w:eastAsia="標楷體" w:hAnsi="標楷體"/>
                                      <w:sz w:val="20"/>
                                      <w:szCs w:val="20"/>
                                    </w:rPr>
                                    <w:t>,</w:t>
                                  </w:r>
                                  <w:r w:rsidRPr="00606E2F">
                                    <w:rPr>
                                      <w:rFonts w:ascii="標楷體" w:eastAsia="標楷體" w:hAnsi="標楷體" w:hint="eastAsia"/>
                                      <w:sz w:val="20"/>
                                      <w:szCs w:val="20"/>
                                    </w:rPr>
                                    <w:t>478</w:t>
                                  </w:r>
                                </w:p>
                              </w:tc>
                              <w:tc>
                                <w:tcPr>
                                  <w:tcW w:w="850" w:type="dxa"/>
                                  <w:vAlign w:val="center"/>
                                </w:tcPr>
                                <w:p w14:paraId="36A19C99"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710173A5"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5FBE6784"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01A2E2C3" w14:textId="77777777" w:rsidTr="00D74004">
                              <w:tc>
                                <w:tcPr>
                                  <w:tcW w:w="426" w:type="dxa"/>
                                  <w:vAlign w:val="center"/>
                                </w:tcPr>
                                <w:p w14:paraId="694CAD30"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sidRPr="00651B97">
                                    <w:rPr>
                                      <w:rFonts w:ascii="標楷體" w:eastAsia="標楷體" w:hAnsi="標楷體" w:hint="eastAsia"/>
                                      <w:sz w:val="20"/>
                                      <w:szCs w:val="20"/>
                                    </w:rPr>
                                    <w:t>4</w:t>
                                  </w:r>
                                </w:p>
                              </w:tc>
                              <w:tc>
                                <w:tcPr>
                                  <w:tcW w:w="3118" w:type="dxa"/>
                                  <w:vAlign w:val="center"/>
                                </w:tcPr>
                                <w:p w14:paraId="3D9CEDDE" w14:textId="77777777" w:rsidR="00D74004" w:rsidRPr="00651B97"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proofErr w:type="gramStart"/>
                                  <w:r w:rsidRPr="006D5588">
                                    <w:rPr>
                                      <w:rFonts w:ascii="標楷體" w:eastAsia="標楷體" w:hAnsi="標楷體" w:hint="eastAsia"/>
                                      <w:sz w:val="20"/>
                                      <w:szCs w:val="20"/>
                                    </w:rPr>
                                    <w:t>110</w:t>
                                  </w:r>
                                  <w:proofErr w:type="gramEnd"/>
                                  <w:r w:rsidRPr="006D5588">
                                    <w:rPr>
                                      <w:rFonts w:ascii="標楷體" w:eastAsia="標楷體" w:hAnsi="標楷體" w:hint="eastAsia"/>
                                      <w:sz w:val="20"/>
                                      <w:szCs w:val="20"/>
                                    </w:rPr>
                                    <w:t>年度道路附屬設施改善工程開口契約(第4標)(內湖、南港)</w:t>
                                  </w:r>
                                </w:p>
                              </w:tc>
                              <w:tc>
                                <w:tcPr>
                                  <w:tcW w:w="1276" w:type="dxa"/>
                                  <w:vAlign w:val="center"/>
                                </w:tcPr>
                                <w:p w14:paraId="485E38E9"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26</w:t>
                                  </w:r>
                                  <w:r w:rsidRPr="00606E2F">
                                    <w:rPr>
                                      <w:rFonts w:ascii="標楷體" w:eastAsia="標楷體" w:hAnsi="標楷體"/>
                                      <w:sz w:val="20"/>
                                      <w:szCs w:val="20"/>
                                    </w:rPr>
                                    <w:t>,</w:t>
                                  </w:r>
                                  <w:r w:rsidRPr="00606E2F">
                                    <w:rPr>
                                      <w:rFonts w:ascii="標楷體" w:eastAsia="標楷體" w:hAnsi="標楷體" w:hint="eastAsia"/>
                                      <w:sz w:val="20"/>
                                      <w:szCs w:val="20"/>
                                    </w:rPr>
                                    <w:t>242</w:t>
                                  </w:r>
                                </w:p>
                              </w:tc>
                              <w:tc>
                                <w:tcPr>
                                  <w:tcW w:w="850" w:type="dxa"/>
                                  <w:vAlign w:val="center"/>
                                </w:tcPr>
                                <w:p w14:paraId="61BA25A0"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3D4242F1"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320EECE5"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4D3BCFE7" w14:textId="77777777" w:rsidTr="00D74004">
                              <w:tc>
                                <w:tcPr>
                                  <w:tcW w:w="426" w:type="dxa"/>
                                  <w:vAlign w:val="center"/>
                                </w:tcPr>
                                <w:p w14:paraId="60E216F3"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sz w:val="20"/>
                                    </w:rPr>
                                    <w:t>5</w:t>
                                  </w:r>
                                </w:p>
                              </w:tc>
                              <w:tc>
                                <w:tcPr>
                                  <w:tcW w:w="3118" w:type="dxa"/>
                                  <w:vAlign w:val="center"/>
                                </w:tcPr>
                                <w:p w14:paraId="5C974663"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6D5588">
                                    <w:rPr>
                                      <w:rFonts w:ascii="標楷體" w:eastAsia="標楷體" w:hAnsi="標楷體" w:hint="eastAsia"/>
                                      <w:sz w:val="20"/>
                                      <w:szCs w:val="20"/>
                                    </w:rPr>
                                    <w:t>常德街人行地下道連通工程</w:t>
                                  </w:r>
                                </w:p>
                              </w:tc>
                              <w:tc>
                                <w:tcPr>
                                  <w:tcW w:w="1276" w:type="dxa"/>
                                  <w:vAlign w:val="center"/>
                                </w:tcPr>
                                <w:p w14:paraId="32742EAA"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346</w:t>
                                  </w:r>
                                  <w:r w:rsidRPr="00606E2F">
                                    <w:rPr>
                                      <w:rFonts w:ascii="標楷體" w:eastAsia="標楷體" w:hAnsi="標楷體"/>
                                      <w:sz w:val="20"/>
                                      <w:szCs w:val="20"/>
                                    </w:rPr>
                                    <w:t>,</w:t>
                                  </w:r>
                                  <w:r w:rsidRPr="00606E2F">
                                    <w:rPr>
                                      <w:rFonts w:ascii="標楷體" w:eastAsia="標楷體" w:hAnsi="標楷體" w:hint="eastAsia"/>
                                      <w:sz w:val="20"/>
                                      <w:szCs w:val="20"/>
                                    </w:rPr>
                                    <w:t>430</w:t>
                                  </w:r>
                                </w:p>
                              </w:tc>
                              <w:tc>
                                <w:tcPr>
                                  <w:tcW w:w="850" w:type="dxa"/>
                                  <w:vAlign w:val="center"/>
                                </w:tcPr>
                                <w:p w14:paraId="2E2EFC69"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5B961B04"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28973E3F"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12954483" w14:textId="77777777" w:rsidTr="00D74004">
                              <w:tc>
                                <w:tcPr>
                                  <w:tcW w:w="426" w:type="dxa"/>
                                  <w:vAlign w:val="center"/>
                                </w:tcPr>
                                <w:p w14:paraId="0AA3A2AB"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6</w:t>
                                  </w:r>
                                </w:p>
                              </w:tc>
                              <w:tc>
                                <w:tcPr>
                                  <w:tcW w:w="3118" w:type="dxa"/>
                                  <w:vAlign w:val="center"/>
                                </w:tcPr>
                                <w:p w14:paraId="42A4341E"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proofErr w:type="gramStart"/>
                                  <w:r w:rsidRPr="006D5588">
                                    <w:rPr>
                                      <w:rFonts w:ascii="標楷體" w:eastAsia="標楷體" w:hAnsi="標楷體" w:hint="eastAsia"/>
                                      <w:sz w:val="20"/>
                                      <w:szCs w:val="20"/>
                                    </w:rPr>
                                    <w:t>112</w:t>
                                  </w:r>
                                  <w:proofErr w:type="gramEnd"/>
                                  <w:r w:rsidRPr="006D5588">
                                    <w:rPr>
                                      <w:rFonts w:ascii="標楷體" w:eastAsia="標楷體" w:hAnsi="標楷體" w:hint="eastAsia"/>
                                      <w:sz w:val="20"/>
                                      <w:szCs w:val="20"/>
                                    </w:rPr>
                                    <w:t>年度臺北市道路、</w:t>
                                  </w:r>
                                  <w:proofErr w:type="gramStart"/>
                                  <w:r w:rsidRPr="006D5588">
                                    <w:rPr>
                                      <w:rFonts w:ascii="標楷體" w:eastAsia="標楷體" w:hAnsi="標楷體" w:hint="eastAsia"/>
                                      <w:sz w:val="20"/>
                                      <w:szCs w:val="20"/>
                                    </w:rPr>
                                    <w:t>橋涵興建</w:t>
                                  </w:r>
                                  <w:proofErr w:type="gramEnd"/>
                                  <w:r w:rsidRPr="006D5588">
                                    <w:rPr>
                                      <w:rFonts w:ascii="標楷體" w:eastAsia="標楷體" w:hAnsi="標楷體" w:hint="eastAsia"/>
                                      <w:sz w:val="20"/>
                                      <w:szCs w:val="20"/>
                                    </w:rPr>
                                    <w:t>及改善工程開口契約(第1標)</w:t>
                                  </w:r>
                                </w:p>
                              </w:tc>
                              <w:tc>
                                <w:tcPr>
                                  <w:tcW w:w="1276" w:type="dxa"/>
                                  <w:vAlign w:val="center"/>
                                </w:tcPr>
                                <w:p w14:paraId="30702D01"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68</w:t>
                                  </w:r>
                                  <w:r w:rsidRPr="00606E2F">
                                    <w:rPr>
                                      <w:rFonts w:ascii="標楷體" w:eastAsia="標楷體" w:hAnsi="標楷體"/>
                                      <w:sz w:val="20"/>
                                      <w:szCs w:val="20"/>
                                    </w:rPr>
                                    <w:t>,</w:t>
                                  </w:r>
                                  <w:r w:rsidRPr="00606E2F">
                                    <w:rPr>
                                      <w:rFonts w:ascii="標楷體" w:eastAsia="標楷體" w:hAnsi="標楷體" w:hint="eastAsia"/>
                                      <w:sz w:val="20"/>
                                      <w:szCs w:val="20"/>
                                    </w:rPr>
                                    <w:t>198</w:t>
                                  </w:r>
                                </w:p>
                              </w:tc>
                              <w:tc>
                                <w:tcPr>
                                  <w:tcW w:w="850" w:type="dxa"/>
                                  <w:vAlign w:val="center"/>
                                </w:tcPr>
                                <w:p w14:paraId="5A7B4B7D"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470BE93B"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2EFF48B6"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2C129D0B" w14:textId="77777777" w:rsidTr="00D74004">
                              <w:tc>
                                <w:tcPr>
                                  <w:tcW w:w="426" w:type="dxa"/>
                                  <w:vAlign w:val="center"/>
                                </w:tcPr>
                                <w:p w14:paraId="037219A1"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7</w:t>
                                  </w:r>
                                </w:p>
                              </w:tc>
                              <w:tc>
                                <w:tcPr>
                                  <w:tcW w:w="3118" w:type="dxa"/>
                                  <w:vAlign w:val="center"/>
                                </w:tcPr>
                                <w:p w14:paraId="4B4DE644"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6D5588">
                                    <w:rPr>
                                      <w:rFonts w:ascii="標楷體" w:eastAsia="標楷體" w:hAnsi="標楷體" w:hint="eastAsia"/>
                                      <w:sz w:val="20"/>
                                      <w:szCs w:val="20"/>
                                    </w:rPr>
                                    <w:t>福國路延伸工程(第2期)</w:t>
                                  </w:r>
                                </w:p>
                              </w:tc>
                              <w:tc>
                                <w:tcPr>
                                  <w:tcW w:w="1276" w:type="dxa"/>
                                  <w:vAlign w:val="center"/>
                                </w:tcPr>
                                <w:p w14:paraId="0687A210"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819</w:t>
                                  </w:r>
                                  <w:r w:rsidRPr="00606E2F">
                                    <w:rPr>
                                      <w:rFonts w:ascii="標楷體" w:eastAsia="標楷體" w:hAnsi="標楷體"/>
                                      <w:sz w:val="20"/>
                                      <w:szCs w:val="20"/>
                                    </w:rPr>
                                    <w:t>,</w:t>
                                  </w:r>
                                  <w:r w:rsidRPr="00606E2F">
                                    <w:rPr>
                                      <w:rFonts w:ascii="標楷體" w:eastAsia="標楷體" w:hAnsi="標楷體" w:hint="eastAsia"/>
                                      <w:sz w:val="20"/>
                                      <w:szCs w:val="20"/>
                                    </w:rPr>
                                    <w:t>595</w:t>
                                  </w:r>
                                </w:p>
                              </w:tc>
                              <w:tc>
                                <w:tcPr>
                                  <w:tcW w:w="850" w:type="dxa"/>
                                  <w:vAlign w:val="center"/>
                                </w:tcPr>
                                <w:p w14:paraId="1C60EDBF"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4D8D7920"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8" w:type="dxa"/>
                                  <w:vAlign w:val="center"/>
                                </w:tcPr>
                                <w:p w14:paraId="476C9811"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r>
                            <w:tr w:rsidR="00D74004" w:rsidRPr="00F82E8D" w14:paraId="0E967EE8" w14:textId="77777777" w:rsidTr="00D74004">
                              <w:tc>
                                <w:tcPr>
                                  <w:tcW w:w="426" w:type="dxa"/>
                                  <w:vAlign w:val="center"/>
                                </w:tcPr>
                                <w:p w14:paraId="611F72CE"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8</w:t>
                                  </w:r>
                                </w:p>
                              </w:tc>
                              <w:tc>
                                <w:tcPr>
                                  <w:tcW w:w="3118" w:type="dxa"/>
                                  <w:vAlign w:val="center"/>
                                </w:tcPr>
                                <w:p w14:paraId="0E843170"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6D5588">
                                    <w:rPr>
                                      <w:rFonts w:ascii="標楷體" w:eastAsia="標楷體" w:hAnsi="標楷體" w:hint="eastAsia"/>
                                      <w:sz w:val="20"/>
                                      <w:szCs w:val="20"/>
                                    </w:rPr>
                                    <w:t>臺北市殯葬管理處第二殯儀館二期整建工程</w:t>
                                  </w:r>
                                </w:p>
                              </w:tc>
                              <w:tc>
                                <w:tcPr>
                                  <w:tcW w:w="1276" w:type="dxa"/>
                                  <w:vAlign w:val="center"/>
                                </w:tcPr>
                                <w:p w14:paraId="00695F0C"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1</w:t>
                                  </w:r>
                                  <w:r w:rsidRPr="00606E2F">
                                    <w:rPr>
                                      <w:rFonts w:ascii="標楷體" w:eastAsia="標楷體" w:hAnsi="標楷體"/>
                                      <w:sz w:val="20"/>
                                      <w:szCs w:val="20"/>
                                    </w:rPr>
                                    <w:t>,</w:t>
                                  </w:r>
                                  <w:r w:rsidRPr="00606E2F">
                                    <w:rPr>
                                      <w:rFonts w:ascii="標楷體" w:eastAsia="標楷體" w:hAnsi="標楷體" w:hint="eastAsia"/>
                                      <w:sz w:val="20"/>
                                      <w:szCs w:val="20"/>
                                    </w:rPr>
                                    <w:t>508</w:t>
                                  </w:r>
                                  <w:r w:rsidRPr="00606E2F">
                                    <w:rPr>
                                      <w:rFonts w:ascii="標楷體" w:eastAsia="標楷體" w:hAnsi="標楷體"/>
                                      <w:sz w:val="20"/>
                                      <w:szCs w:val="20"/>
                                    </w:rPr>
                                    <w:t>,</w:t>
                                  </w:r>
                                  <w:r w:rsidRPr="00606E2F">
                                    <w:rPr>
                                      <w:rFonts w:ascii="標楷體" w:eastAsia="標楷體" w:hAnsi="標楷體" w:hint="eastAsia"/>
                                      <w:sz w:val="20"/>
                                      <w:szCs w:val="20"/>
                                    </w:rPr>
                                    <w:t>000</w:t>
                                  </w:r>
                                </w:p>
                              </w:tc>
                              <w:tc>
                                <w:tcPr>
                                  <w:tcW w:w="850" w:type="dxa"/>
                                  <w:vAlign w:val="center"/>
                                </w:tcPr>
                                <w:p w14:paraId="656FFC2A"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9" w:type="dxa"/>
                                  <w:vAlign w:val="center"/>
                                </w:tcPr>
                                <w:p w14:paraId="1429C8EE"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8" w:type="dxa"/>
                                  <w:vAlign w:val="center"/>
                                </w:tcPr>
                                <w:p w14:paraId="220E0304"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r>
                            <w:tr w:rsidR="00D74004" w:rsidRPr="00F82E8D" w14:paraId="1827FE53" w14:textId="77777777" w:rsidTr="00D74004">
                              <w:tc>
                                <w:tcPr>
                                  <w:tcW w:w="426" w:type="dxa"/>
                                  <w:vAlign w:val="center"/>
                                </w:tcPr>
                                <w:p w14:paraId="3E8F4493"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9</w:t>
                                  </w:r>
                                </w:p>
                              </w:tc>
                              <w:tc>
                                <w:tcPr>
                                  <w:tcW w:w="3118" w:type="dxa"/>
                                  <w:vAlign w:val="center"/>
                                </w:tcPr>
                                <w:p w14:paraId="1946A162"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6D5588">
                                    <w:rPr>
                                      <w:rFonts w:ascii="標楷體" w:eastAsia="標楷體" w:hAnsi="標楷體" w:hint="eastAsia"/>
                                      <w:sz w:val="20"/>
                                      <w:szCs w:val="20"/>
                                    </w:rPr>
                                    <w:t>瑠公綠廊人行環境改造工程</w:t>
                                  </w:r>
                                </w:p>
                              </w:tc>
                              <w:tc>
                                <w:tcPr>
                                  <w:tcW w:w="1276" w:type="dxa"/>
                                  <w:vAlign w:val="center"/>
                                </w:tcPr>
                                <w:p w14:paraId="45A9E83F"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5</w:t>
                                  </w:r>
                                  <w:r w:rsidRPr="00606E2F">
                                    <w:rPr>
                                      <w:rFonts w:ascii="標楷體" w:eastAsia="標楷體" w:hAnsi="標楷體"/>
                                      <w:sz w:val="20"/>
                                      <w:szCs w:val="20"/>
                                    </w:rPr>
                                    <w:t>6,479</w:t>
                                  </w:r>
                                </w:p>
                              </w:tc>
                              <w:tc>
                                <w:tcPr>
                                  <w:tcW w:w="850" w:type="dxa"/>
                                  <w:vAlign w:val="center"/>
                                </w:tcPr>
                                <w:p w14:paraId="223F82D8"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9" w:type="dxa"/>
                                  <w:vAlign w:val="center"/>
                                </w:tcPr>
                                <w:p w14:paraId="798B56A8"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8" w:type="dxa"/>
                                  <w:vAlign w:val="center"/>
                                </w:tcPr>
                                <w:p w14:paraId="71886217"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250BBEE7" w14:textId="77777777" w:rsidTr="00D74004">
                              <w:tc>
                                <w:tcPr>
                                  <w:tcW w:w="426" w:type="dxa"/>
                                  <w:vAlign w:val="center"/>
                                </w:tcPr>
                                <w:p w14:paraId="51547444"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w:t>
                                  </w:r>
                                </w:p>
                              </w:tc>
                              <w:tc>
                                <w:tcPr>
                                  <w:tcW w:w="3118" w:type="dxa"/>
                                  <w:vAlign w:val="center"/>
                                </w:tcPr>
                                <w:p w14:paraId="2FFD44CC"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6D5588">
                                    <w:rPr>
                                      <w:rFonts w:ascii="標楷體" w:eastAsia="標楷體" w:hAnsi="標楷體" w:hint="eastAsia"/>
                                      <w:sz w:val="20"/>
                                      <w:szCs w:val="20"/>
                                    </w:rPr>
                                    <w:t>第一果菜(</w:t>
                                  </w:r>
                                  <w:proofErr w:type="gramStart"/>
                                  <w:r w:rsidRPr="006D5588">
                                    <w:rPr>
                                      <w:rFonts w:ascii="標楷體" w:eastAsia="標楷體" w:hAnsi="標楷體" w:hint="eastAsia"/>
                                      <w:sz w:val="20"/>
                                      <w:szCs w:val="20"/>
                                    </w:rPr>
                                    <w:t>含堤內中</w:t>
                                  </w:r>
                                  <w:proofErr w:type="gramEnd"/>
                                  <w:r w:rsidRPr="006D5588">
                                    <w:rPr>
                                      <w:rFonts w:ascii="標楷體" w:eastAsia="標楷體" w:hAnsi="標楷體" w:hint="eastAsia"/>
                                      <w:sz w:val="20"/>
                                      <w:szCs w:val="20"/>
                                    </w:rPr>
                                    <w:t>繼)及萬大魚類批發市場改建統包工程</w:t>
                                  </w:r>
                                </w:p>
                              </w:tc>
                              <w:tc>
                                <w:tcPr>
                                  <w:tcW w:w="1276" w:type="dxa"/>
                                  <w:vAlign w:val="center"/>
                                </w:tcPr>
                                <w:p w14:paraId="224515C3"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1</w:t>
                                  </w:r>
                                  <w:r w:rsidRPr="00606E2F">
                                    <w:rPr>
                                      <w:rFonts w:ascii="標楷體" w:eastAsia="標楷體" w:hAnsi="標楷體"/>
                                      <w:sz w:val="20"/>
                                      <w:szCs w:val="20"/>
                                    </w:rPr>
                                    <w:t>2,517,171</w:t>
                                  </w:r>
                                </w:p>
                              </w:tc>
                              <w:tc>
                                <w:tcPr>
                                  <w:tcW w:w="850" w:type="dxa"/>
                                  <w:vAlign w:val="center"/>
                                </w:tcPr>
                                <w:p w14:paraId="4F609089"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9" w:type="dxa"/>
                                  <w:vAlign w:val="center"/>
                                </w:tcPr>
                                <w:p w14:paraId="4695C889"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8" w:type="dxa"/>
                                  <w:vAlign w:val="center"/>
                                </w:tcPr>
                                <w:p w14:paraId="7B3B17C4"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r>
                          </w:tbl>
                          <w:p w14:paraId="4EA771C5" w14:textId="77777777" w:rsidR="00D74004" w:rsidRPr="00696621" w:rsidRDefault="00D74004" w:rsidP="00D74004">
                            <w:pPr>
                              <w:kinsoku w:val="0"/>
                              <w:overflowPunct w:val="0"/>
                              <w:autoSpaceDE w:val="0"/>
                              <w:autoSpaceDN w:val="0"/>
                              <w:spacing w:line="240" w:lineRule="exact"/>
                              <w:ind w:leftChars="52" w:left="125"/>
                              <w:jc w:val="both"/>
                              <w:textAlignment w:val="center"/>
                              <w:rPr>
                                <w:rFonts w:ascii="標楷體" w:eastAsia="標楷體" w:hAnsi="標楷體"/>
                                <w:sz w:val="18"/>
                                <w:szCs w:val="18"/>
                              </w:rPr>
                            </w:pPr>
                            <w:r w:rsidRPr="00F56DB3">
                              <w:rPr>
                                <w:rFonts w:ascii="標楷體" w:eastAsia="標楷體" w:hAnsi="標楷體" w:hint="eastAsia"/>
                                <w:sz w:val="18"/>
                                <w:szCs w:val="18"/>
                              </w:rPr>
                              <w:t>資料來源：</w:t>
                            </w:r>
                            <w:r w:rsidRPr="00651B97">
                              <w:rPr>
                                <w:rFonts w:ascii="標楷體" w:eastAsia="標楷體" w:hAnsi="標楷體" w:hint="eastAsia"/>
                                <w:sz w:val="18"/>
                                <w:szCs w:val="18"/>
                              </w:rPr>
                              <w:t>整理自</w:t>
                            </w:r>
                            <w:r>
                              <w:rPr>
                                <w:rFonts w:ascii="標楷體" w:eastAsia="標楷體" w:hAnsi="標楷體" w:hint="eastAsia"/>
                                <w:sz w:val="18"/>
                                <w:szCs w:val="18"/>
                              </w:rPr>
                              <w:t>新建工程處提供資料</w:t>
                            </w:r>
                            <w:r w:rsidRPr="00651B97">
                              <w:rPr>
                                <w:rFonts w:ascii="標楷體" w:eastAsia="標楷體" w:hAnsi="標楷體" w:hint="eastAsia"/>
                                <w:sz w:val="18"/>
                                <w:szCs w:val="18"/>
                              </w:rPr>
                              <w:t>。</w:t>
                            </w:r>
                          </w:p>
                        </w:txbxContent>
                      </wps:txbx>
                      <wps:bodyPr rot="0" vert="horz" wrap="square" lIns="0" tIns="0" rIns="0" bIns="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1B11F25" id="文字方塊 63" o:spid="_x0000_s1074" type="#_x0000_t202" style="position:absolute;left:0;text-align:left;margin-left:135.65pt;margin-top:447pt;width:367.1pt;height:323.25pt;z-index:-2515240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" stroked="f">
                <v:textbox style="mso-fit-shape-to-text:t" inset="0,0,0,0">
                  <w:txbxContent>
                    <w:p w14:paraId="56094CDB" w14:textId="77777777" w:rsidR="00D74004" w:rsidRDefault="00D74004" w:rsidP="00D74004">
                      <w:pPr>
                        <w:pStyle w:val="a4"/>
                        <w:overflowPunct w:val="0"/>
                        <w:snapToGrid w:val="0"/>
                        <w:spacing w:line="0" w:lineRule="atLeast"/>
                        <w:ind w:leftChars="0" w:left="0" w:firstLine="280"/>
                        <w:jc w:val="center"/>
                        <w:rPr>
                          <w:rFonts w:ascii="標楷體" w:eastAsia="標楷體" w:hAnsi="標楷體"/>
                          <w:b/>
                        </w:rPr>
                      </w:pPr>
                      <w:r w:rsidRPr="00891329">
                        <w:rPr>
                          <w:rFonts w:ascii="標楷體" w:eastAsia="標楷體" w:hAnsi="標楷體" w:hint="eastAsia"/>
                          <w:b/>
                        </w:rPr>
                        <w:t>表</w:t>
                      </w:r>
                      <w:r>
                        <w:rPr>
                          <w:rFonts w:ascii="標楷體" w:eastAsia="標楷體" w:hAnsi="標楷體" w:hint="eastAsia"/>
                          <w:b/>
                        </w:rPr>
                        <w:t xml:space="preserve">1　</w:t>
                      </w:r>
                      <w:r w:rsidRPr="002F0729">
                        <w:rPr>
                          <w:rFonts w:ascii="標楷體" w:eastAsia="標楷體" w:hAnsi="標楷體" w:hint="eastAsia"/>
                          <w:b/>
                        </w:rPr>
                        <w:t>焚化</w:t>
                      </w:r>
                      <w:proofErr w:type="gramStart"/>
                      <w:r w:rsidRPr="002F0729">
                        <w:rPr>
                          <w:rFonts w:ascii="標楷體" w:eastAsia="標楷體" w:hAnsi="標楷體" w:hint="eastAsia"/>
                          <w:b/>
                        </w:rPr>
                        <w:t>再生粒料</w:t>
                      </w:r>
                      <w:proofErr w:type="gramEnd"/>
                      <w:r w:rsidRPr="002F0729">
                        <w:rPr>
                          <w:rFonts w:ascii="標楷體" w:eastAsia="標楷體" w:hAnsi="標楷體" w:hint="eastAsia"/>
                          <w:b/>
                        </w:rPr>
                        <w:t>使用情形缺失態樣</w:t>
                      </w:r>
                    </w:p>
                    <w:p w14:paraId="3DD65CFA" w14:textId="77777777" w:rsidR="00D74004" w:rsidRDefault="00D74004" w:rsidP="00D74004">
                      <w:pPr>
                        <w:spacing w:line="240" w:lineRule="exact"/>
                        <w:ind w:rightChars="52" w:right="125"/>
                        <w:jc w:val="right"/>
                      </w:pPr>
                      <w:r w:rsidRPr="00803857">
                        <w:rPr>
                          <w:rFonts w:ascii="標楷體" w:eastAsia="標楷體" w:hAnsi="標楷體" w:cs="標楷體" w:hint="eastAsia"/>
                          <w:sz w:val="20"/>
                        </w:rPr>
                        <w:t>單位：新臺幣千元</w:t>
                      </w:r>
                    </w:p>
                    <w:tbl>
                      <w:tblPr>
                        <w:tblStyle w:val="216"/>
                        <w:tblW w:w="7087" w:type="dxa"/>
                        <w:tblInd w:w="108" w:type="dxa"/>
                        <w:tblLayout w:type="fixed"/>
                        <w:tblLook w:val="04A0" w:firstRow="1" w:lastRow="0" w:firstColumn="1" w:lastColumn="0" w:noHBand="0" w:noVBand="1"/>
                      </w:tblPr>
                      <w:tblGrid>
                        <w:gridCol w:w="426"/>
                        <w:gridCol w:w="3118"/>
                        <w:gridCol w:w="1276"/>
                        <w:gridCol w:w="850"/>
                        <w:gridCol w:w="709"/>
                        <w:gridCol w:w="708"/>
                      </w:tblGrid>
                      <w:tr w:rsidR="00D74004" w:rsidRPr="00F82E8D" w14:paraId="598A3B7D" w14:textId="77777777" w:rsidTr="00824CD6">
                        <w:trPr>
                          <w:trHeight w:val="253"/>
                        </w:trPr>
                        <w:tc>
                          <w:tcPr>
                            <w:tcW w:w="426" w:type="dxa"/>
                            <w:vMerge w:val="restart"/>
                            <w:shd w:val="clear" w:color="auto" w:fill="auto"/>
                            <w:vAlign w:val="center"/>
                          </w:tcPr>
                          <w:p w14:paraId="63B9C07B" w14:textId="77777777" w:rsidR="00D74004" w:rsidRPr="00F56DB3"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sidRPr="00F56DB3">
                              <w:rPr>
                                <w:rFonts w:ascii="標楷體" w:eastAsia="標楷體" w:hAnsi="標楷體" w:hint="eastAsia"/>
                                <w:sz w:val="20"/>
                                <w:szCs w:val="20"/>
                              </w:rPr>
                              <w:t>項次</w:t>
                            </w:r>
                          </w:p>
                        </w:tc>
                        <w:tc>
                          <w:tcPr>
                            <w:tcW w:w="3118" w:type="dxa"/>
                            <w:vMerge w:val="restart"/>
                            <w:shd w:val="clear" w:color="auto" w:fill="auto"/>
                            <w:vAlign w:val="center"/>
                          </w:tcPr>
                          <w:p w14:paraId="681A0A78" w14:textId="77777777" w:rsidR="00D74004" w:rsidRPr="00F56DB3"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Pr>
                                <w:rFonts w:ascii="標楷體" w:eastAsia="標楷體" w:hAnsi="標楷體" w:hint="eastAsia"/>
                                <w:sz w:val="20"/>
                                <w:szCs w:val="20"/>
                              </w:rPr>
                              <w:t>案件名稱</w:t>
                            </w:r>
                          </w:p>
                        </w:tc>
                        <w:tc>
                          <w:tcPr>
                            <w:tcW w:w="1276" w:type="dxa"/>
                            <w:vMerge w:val="restart"/>
                            <w:vAlign w:val="center"/>
                          </w:tcPr>
                          <w:p w14:paraId="4A108AFD"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color w:val="000000"/>
                                <w:sz w:val="20"/>
                              </w:rPr>
                              <w:t>決標</w:t>
                            </w:r>
                            <w:r w:rsidRPr="00653B29">
                              <w:rPr>
                                <w:rFonts w:ascii="標楷體" w:eastAsia="標楷體" w:hAnsi="標楷體" w:hint="eastAsia"/>
                                <w:color w:val="000000"/>
                                <w:sz w:val="20"/>
                              </w:rPr>
                              <w:t>金額</w:t>
                            </w:r>
                          </w:p>
                        </w:tc>
                        <w:tc>
                          <w:tcPr>
                            <w:tcW w:w="2267" w:type="dxa"/>
                            <w:gridSpan w:val="3"/>
                          </w:tcPr>
                          <w:p w14:paraId="77B0ED3D"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color w:val="000000"/>
                                <w:sz w:val="20"/>
                              </w:rPr>
                            </w:pPr>
                            <w:r>
                              <w:rPr>
                                <w:rFonts w:ascii="標楷體" w:eastAsia="標楷體" w:hAnsi="標楷體" w:hint="eastAsia"/>
                                <w:color w:val="000000"/>
                                <w:sz w:val="20"/>
                              </w:rPr>
                              <w:t>缺失態樣</w:t>
                            </w:r>
                          </w:p>
                        </w:tc>
                      </w:tr>
                      <w:tr w:rsidR="00D74004" w:rsidRPr="00F82E8D" w14:paraId="10588645" w14:textId="77777777" w:rsidTr="00824CD6">
                        <w:trPr>
                          <w:trHeight w:val="240"/>
                        </w:trPr>
                        <w:tc>
                          <w:tcPr>
                            <w:tcW w:w="426" w:type="dxa"/>
                            <w:vMerge/>
                            <w:shd w:val="clear" w:color="auto" w:fill="auto"/>
                            <w:vAlign w:val="center"/>
                          </w:tcPr>
                          <w:p w14:paraId="27190DD8" w14:textId="77777777" w:rsidR="00D74004" w:rsidRPr="00F56DB3" w:rsidRDefault="00D74004" w:rsidP="00D74004">
                            <w:pPr>
                              <w:kinsoku w:val="0"/>
                              <w:overflowPunct w:val="0"/>
                              <w:autoSpaceDE w:val="0"/>
                              <w:autoSpaceDN w:val="0"/>
                              <w:spacing w:line="240" w:lineRule="exact"/>
                              <w:jc w:val="center"/>
                              <w:textAlignment w:val="center"/>
                              <w:rPr>
                                <w:rFonts w:ascii="標楷體" w:eastAsia="標楷體" w:hAnsi="標楷體"/>
                                <w:sz w:val="20"/>
                              </w:rPr>
                            </w:pPr>
                          </w:p>
                        </w:tc>
                        <w:tc>
                          <w:tcPr>
                            <w:tcW w:w="3118" w:type="dxa"/>
                            <w:vMerge/>
                            <w:shd w:val="clear" w:color="auto" w:fill="auto"/>
                            <w:vAlign w:val="center"/>
                          </w:tcPr>
                          <w:p w14:paraId="0734CC5F"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p>
                        </w:tc>
                        <w:tc>
                          <w:tcPr>
                            <w:tcW w:w="1276" w:type="dxa"/>
                            <w:vMerge/>
                          </w:tcPr>
                          <w:p w14:paraId="0F911522"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p>
                        </w:tc>
                        <w:tc>
                          <w:tcPr>
                            <w:tcW w:w="850" w:type="dxa"/>
                            <w:tcBorders>
                              <w:bottom w:val="single" w:sz="4" w:space="0" w:color="auto"/>
                            </w:tcBorders>
                          </w:tcPr>
                          <w:p w14:paraId="4BE46ACE"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未依核准配比施作</w:t>
                            </w:r>
                          </w:p>
                        </w:tc>
                        <w:tc>
                          <w:tcPr>
                            <w:tcW w:w="709" w:type="dxa"/>
                            <w:tcBorders>
                              <w:bottom w:val="single" w:sz="4" w:space="0" w:color="auto"/>
                            </w:tcBorders>
                          </w:tcPr>
                          <w:p w14:paraId="14E2362F"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配比未經報核</w:t>
                            </w:r>
                          </w:p>
                        </w:tc>
                        <w:tc>
                          <w:tcPr>
                            <w:tcW w:w="708" w:type="dxa"/>
                            <w:tcBorders>
                              <w:bottom w:val="single" w:sz="4" w:space="0" w:color="auto"/>
                            </w:tcBorders>
                          </w:tcPr>
                          <w:p w14:paraId="45455847"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無試驗報告</w:t>
                            </w:r>
                          </w:p>
                        </w:tc>
                      </w:tr>
                      <w:tr w:rsidR="00D74004" w:rsidRPr="00F82E8D" w14:paraId="049B49E0" w14:textId="77777777" w:rsidTr="008C5D34">
                        <w:trPr>
                          <w:trHeight w:val="283"/>
                        </w:trPr>
                        <w:tc>
                          <w:tcPr>
                            <w:tcW w:w="3544" w:type="dxa"/>
                            <w:gridSpan w:val="2"/>
                            <w:vAlign w:val="center"/>
                          </w:tcPr>
                          <w:p w14:paraId="2F23BCD0" w14:textId="77777777" w:rsidR="00D74004" w:rsidRPr="009A5B33" w:rsidRDefault="00D74004" w:rsidP="00D74004">
                            <w:pPr>
                              <w:kinsoku w:val="0"/>
                              <w:overflowPunct w:val="0"/>
                              <w:autoSpaceDE w:val="0"/>
                              <w:autoSpaceDN w:val="0"/>
                              <w:spacing w:line="240" w:lineRule="exact"/>
                              <w:jc w:val="center"/>
                              <w:textAlignment w:val="center"/>
                              <w:rPr>
                                <w:rFonts w:ascii="標楷體" w:eastAsia="標楷體" w:hAnsi="標楷體"/>
                                <w:b/>
                                <w:bCs/>
                                <w:sz w:val="20"/>
                                <w:szCs w:val="20"/>
                              </w:rPr>
                            </w:pPr>
                            <w:r w:rsidRPr="008C5D34">
                              <w:rPr>
                                <w:rFonts w:ascii="標楷體" w:eastAsia="標楷體" w:hAnsi="標楷體" w:hint="eastAsia"/>
                                <w:b/>
                                <w:bCs/>
                                <w:spacing w:val="250"/>
                                <w:kern w:val="0"/>
                                <w:sz w:val="20"/>
                                <w:szCs w:val="20"/>
                                <w:fitText w:val="900" w:id="-694412288"/>
                              </w:rPr>
                              <w:t>合</w:t>
                            </w:r>
                            <w:r w:rsidRPr="008C5D34">
                              <w:rPr>
                                <w:rFonts w:ascii="標楷體" w:eastAsia="標楷體" w:hAnsi="標楷體" w:hint="eastAsia"/>
                                <w:b/>
                                <w:bCs/>
                                <w:kern w:val="0"/>
                                <w:sz w:val="20"/>
                                <w:szCs w:val="20"/>
                                <w:fitText w:val="900" w:id="-694412288"/>
                              </w:rPr>
                              <w:t>計</w:t>
                            </w:r>
                          </w:p>
                        </w:tc>
                        <w:tc>
                          <w:tcPr>
                            <w:tcW w:w="1276" w:type="dxa"/>
                            <w:vAlign w:val="center"/>
                          </w:tcPr>
                          <w:p w14:paraId="090F56CD" w14:textId="77777777" w:rsidR="00D74004" w:rsidRPr="00504100" w:rsidRDefault="00D74004" w:rsidP="00550659">
                            <w:pPr>
                              <w:kinsoku w:val="0"/>
                              <w:overflowPunct w:val="0"/>
                              <w:autoSpaceDE w:val="0"/>
                              <w:autoSpaceDN w:val="0"/>
                              <w:spacing w:line="240" w:lineRule="exact"/>
                              <w:jc w:val="right"/>
                              <w:textAlignment w:val="center"/>
                              <w:rPr>
                                <w:rFonts w:ascii="標楷體" w:eastAsia="標楷體" w:hAnsi="標楷體"/>
                                <w:b/>
                                <w:bCs/>
                                <w:color w:val="000000"/>
                                <w:sz w:val="20"/>
                              </w:rPr>
                            </w:pPr>
                            <w:r w:rsidRPr="00504100">
                              <w:rPr>
                                <w:rFonts w:ascii="標楷體" w:eastAsia="標楷體" w:hAnsi="標楷體" w:hint="eastAsia"/>
                                <w:b/>
                                <w:bCs/>
                                <w:color w:val="000000"/>
                                <w:sz w:val="20"/>
                              </w:rPr>
                              <w:t>15</w:t>
                            </w:r>
                            <w:r w:rsidRPr="00504100">
                              <w:rPr>
                                <w:rFonts w:ascii="標楷體" w:eastAsia="標楷體" w:hAnsi="標楷體"/>
                                <w:b/>
                                <w:bCs/>
                                <w:color w:val="000000"/>
                                <w:sz w:val="20"/>
                              </w:rPr>
                              <w:t>,</w:t>
                            </w:r>
                            <w:r w:rsidRPr="00504100">
                              <w:rPr>
                                <w:rFonts w:ascii="標楷體" w:eastAsia="標楷體" w:hAnsi="標楷體" w:hint="eastAsia"/>
                                <w:b/>
                                <w:bCs/>
                                <w:color w:val="000000"/>
                                <w:sz w:val="20"/>
                              </w:rPr>
                              <w:t>849</w:t>
                            </w:r>
                            <w:r w:rsidRPr="00504100">
                              <w:rPr>
                                <w:rFonts w:ascii="標楷體" w:eastAsia="標楷體" w:hAnsi="標楷體"/>
                                <w:b/>
                                <w:bCs/>
                                <w:color w:val="000000"/>
                                <w:sz w:val="20"/>
                              </w:rPr>
                              <w:t>,</w:t>
                            </w:r>
                            <w:r w:rsidRPr="00504100">
                              <w:rPr>
                                <w:rFonts w:ascii="標楷體" w:eastAsia="標楷體" w:hAnsi="標楷體" w:hint="eastAsia"/>
                                <w:b/>
                                <w:bCs/>
                                <w:color w:val="000000"/>
                                <w:sz w:val="20"/>
                              </w:rPr>
                              <w:t>154</w:t>
                            </w:r>
                          </w:p>
                        </w:tc>
                        <w:tc>
                          <w:tcPr>
                            <w:tcW w:w="2267" w:type="dxa"/>
                            <w:gridSpan w:val="3"/>
                            <w:tcBorders>
                              <w:tl2br w:val="single" w:sz="4" w:space="0" w:color="auto"/>
                            </w:tcBorders>
                            <w:vAlign w:val="center"/>
                          </w:tcPr>
                          <w:p w14:paraId="2C81A4C8" w14:textId="77777777" w:rsidR="00D74004" w:rsidRPr="00504100" w:rsidRDefault="00D74004" w:rsidP="00824CD6">
                            <w:pPr>
                              <w:kinsoku w:val="0"/>
                              <w:overflowPunct w:val="0"/>
                              <w:autoSpaceDE w:val="0"/>
                              <w:autoSpaceDN w:val="0"/>
                              <w:spacing w:line="240" w:lineRule="exact"/>
                              <w:ind w:left="240"/>
                              <w:jc w:val="center"/>
                              <w:textAlignment w:val="center"/>
                              <w:rPr>
                                <w:rFonts w:ascii="標楷體" w:eastAsia="標楷體" w:hAnsi="標楷體"/>
                                <w:b/>
                                <w:color w:val="000000"/>
                                <w:sz w:val="20"/>
                              </w:rPr>
                            </w:pPr>
                          </w:p>
                        </w:tc>
                      </w:tr>
                      <w:tr w:rsidR="00D74004" w:rsidRPr="00F82E8D" w14:paraId="446CBE33" w14:textId="77777777" w:rsidTr="00D74004">
                        <w:tc>
                          <w:tcPr>
                            <w:tcW w:w="426" w:type="dxa"/>
                            <w:vAlign w:val="center"/>
                          </w:tcPr>
                          <w:p w14:paraId="546DD936"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sidRPr="00651B97">
                              <w:rPr>
                                <w:rFonts w:ascii="標楷體" w:eastAsia="標楷體" w:hAnsi="標楷體" w:hint="eastAsia"/>
                                <w:sz w:val="20"/>
                                <w:szCs w:val="20"/>
                              </w:rPr>
                              <w:t>1</w:t>
                            </w:r>
                          </w:p>
                        </w:tc>
                        <w:tc>
                          <w:tcPr>
                            <w:tcW w:w="3118" w:type="dxa"/>
                            <w:vAlign w:val="center"/>
                          </w:tcPr>
                          <w:p w14:paraId="1532C75C" w14:textId="77777777" w:rsidR="00D74004" w:rsidRPr="00651B97"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7966C3">
                              <w:rPr>
                                <w:rFonts w:ascii="標楷體" w:eastAsia="標楷體" w:hAnsi="標楷體" w:hint="eastAsia"/>
                                <w:sz w:val="20"/>
                                <w:szCs w:val="20"/>
                              </w:rPr>
                              <w:t>南港立體連通平</w:t>
                            </w:r>
                            <w:proofErr w:type="gramStart"/>
                            <w:r w:rsidRPr="007966C3">
                              <w:rPr>
                                <w:rFonts w:ascii="標楷體" w:eastAsia="標楷體" w:hAnsi="標楷體" w:hint="eastAsia"/>
                                <w:sz w:val="20"/>
                                <w:szCs w:val="20"/>
                              </w:rPr>
                              <w:t>臺</w:t>
                            </w:r>
                            <w:proofErr w:type="gramEnd"/>
                            <w:r w:rsidRPr="007966C3">
                              <w:rPr>
                                <w:rFonts w:ascii="標楷體" w:eastAsia="標楷體" w:hAnsi="標楷體" w:hint="eastAsia"/>
                                <w:sz w:val="20"/>
                                <w:szCs w:val="20"/>
                              </w:rPr>
                              <w:t>及其附屬綠化設施統包工程(含後續擴</w:t>
                            </w:r>
                            <w:r>
                              <w:rPr>
                                <w:rFonts w:ascii="標楷體" w:eastAsia="標楷體" w:hAnsi="標楷體" w:hint="eastAsia"/>
                                <w:sz w:val="20"/>
                                <w:szCs w:val="20"/>
                              </w:rPr>
                              <w:t>充</w:t>
                            </w:r>
                            <w:r w:rsidRPr="007966C3">
                              <w:rPr>
                                <w:rFonts w:ascii="標楷體" w:eastAsia="標楷體" w:hAnsi="標楷體" w:hint="eastAsia"/>
                                <w:sz w:val="20"/>
                                <w:szCs w:val="20"/>
                              </w:rPr>
                              <w:t>)</w:t>
                            </w:r>
                          </w:p>
                        </w:tc>
                        <w:tc>
                          <w:tcPr>
                            <w:tcW w:w="1276" w:type="dxa"/>
                            <w:vAlign w:val="center"/>
                          </w:tcPr>
                          <w:p w14:paraId="5816C69F" w14:textId="77777777" w:rsidR="00D74004" w:rsidRPr="00504100" w:rsidRDefault="00D74004" w:rsidP="00550659">
                            <w:pPr>
                              <w:kinsoku w:val="0"/>
                              <w:overflowPunct w:val="0"/>
                              <w:autoSpaceDE w:val="0"/>
                              <w:autoSpaceDN w:val="0"/>
                              <w:spacing w:line="240" w:lineRule="exact"/>
                              <w:jc w:val="right"/>
                              <w:textAlignment w:val="center"/>
                              <w:rPr>
                                <w:rFonts w:ascii="標楷體" w:eastAsia="標楷體" w:hAnsi="標楷體"/>
                                <w:color w:val="000000"/>
                                <w:sz w:val="20"/>
                              </w:rPr>
                            </w:pPr>
                            <w:r w:rsidRPr="00504100">
                              <w:rPr>
                                <w:rFonts w:ascii="標楷體" w:eastAsia="標楷體" w:hAnsi="標楷體"/>
                                <w:color w:val="000000"/>
                                <w:sz w:val="20"/>
                              </w:rPr>
                              <w:t>412,000</w:t>
                            </w:r>
                          </w:p>
                        </w:tc>
                        <w:tc>
                          <w:tcPr>
                            <w:tcW w:w="850" w:type="dxa"/>
                            <w:vAlign w:val="center"/>
                          </w:tcPr>
                          <w:p w14:paraId="7CCEB66C"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21394652"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2D4B7FA6"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7652C332" w14:textId="77777777" w:rsidTr="00D74004">
                        <w:tc>
                          <w:tcPr>
                            <w:tcW w:w="426" w:type="dxa"/>
                            <w:vAlign w:val="center"/>
                          </w:tcPr>
                          <w:p w14:paraId="1AC97B87"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sidRPr="00651B97">
                              <w:rPr>
                                <w:rFonts w:ascii="標楷體" w:eastAsia="標楷體" w:hAnsi="標楷體" w:hint="eastAsia"/>
                                <w:sz w:val="20"/>
                                <w:szCs w:val="20"/>
                              </w:rPr>
                              <w:t>2</w:t>
                            </w:r>
                          </w:p>
                        </w:tc>
                        <w:tc>
                          <w:tcPr>
                            <w:tcW w:w="3118" w:type="dxa"/>
                            <w:vAlign w:val="center"/>
                          </w:tcPr>
                          <w:p w14:paraId="3E94AB15" w14:textId="77777777" w:rsidR="00D74004" w:rsidRPr="00651B97"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proofErr w:type="gramStart"/>
                            <w:r w:rsidRPr="006D5588">
                              <w:rPr>
                                <w:rFonts w:ascii="標楷體" w:eastAsia="標楷體" w:hAnsi="標楷體" w:hint="eastAsia"/>
                                <w:sz w:val="20"/>
                                <w:szCs w:val="20"/>
                              </w:rPr>
                              <w:t>110</w:t>
                            </w:r>
                            <w:proofErr w:type="gramEnd"/>
                            <w:r w:rsidRPr="006D5588">
                              <w:rPr>
                                <w:rFonts w:ascii="標楷體" w:eastAsia="標楷體" w:hAnsi="標楷體" w:hint="eastAsia"/>
                                <w:sz w:val="20"/>
                                <w:szCs w:val="20"/>
                              </w:rPr>
                              <w:t>年度臺北市道路興建及改善工程開口契約(第2標)(中正、萬華、松山、信義、大安、文山區)</w:t>
                            </w:r>
                          </w:p>
                        </w:tc>
                        <w:tc>
                          <w:tcPr>
                            <w:tcW w:w="1276" w:type="dxa"/>
                            <w:vAlign w:val="center"/>
                          </w:tcPr>
                          <w:p w14:paraId="68741194"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31</w:t>
                            </w:r>
                            <w:r w:rsidRPr="00606E2F">
                              <w:rPr>
                                <w:rFonts w:ascii="標楷體" w:eastAsia="標楷體" w:hAnsi="標楷體"/>
                                <w:sz w:val="20"/>
                                <w:szCs w:val="20"/>
                              </w:rPr>
                              <w:t>,</w:t>
                            </w:r>
                            <w:r w:rsidRPr="00606E2F">
                              <w:rPr>
                                <w:rFonts w:ascii="標楷體" w:eastAsia="標楷體" w:hAnsi="標楷體" w:hint="eastAsia"/>
                                <w:sz w:val="20"/>
                                <w:szCs w:val="20"/>
                              </w:rPr>
                              <w:t>560</w:t>
                            </w:r>
                          </w:p>
                        </w:tc>
                        <w:tc>
                          <w:tcPr>
                            <w:tcW w:w="850" w:type="dxa"/>
                            <w:vAlign w:val="center"/>
                          </w:tcPr>
                          <w:p w14:paraId="47D34982"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0FB7EBE7"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1DE1B112"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r>
                      <w:tr w:rsidR="00D74004" w:rsidRPr="00F82E8D" w14:paraId="2696266B" w14:textId="77777777" w:rsidTr="00D74004">
                        <w:tc>
                          <w:tcPr>
                            <w:tcW w:w="426" w:type="dxa"/>
                            <w:vAlign w:val="center"/>
                          </w:tcPr>
                          <w:p w14:paraId="60175630"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sidRPr="00651B97">
                              <w:rPr>
                                <w:rFonts w:ascii="標楷體" w:eastAsia="標楷體" w:hAnsi="標楷體" w:hint="eastAsia"/>
                                <w:sz w:val="20"/>
                                <w:szCs w:val="20"/>
                              </w:rPr>
                              <w:t>3</w:t>
                            </w:r>
                          </w:p>
                        </w:tc>
                        <w:tc>
                          <w:tcPr>
                            <w:tcW w:w="3118" w:type="dxa"/>
                            <w:vAlign w:val="center"/>
                          </w:tcPr>
                          <w:p w14:paraId="7A52678B" w14:textId="77777777" w:rsidR="00D74004" w:rsidRPr="00651B97"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proofErr w:type="gramStart"/>
                            <w:r w:rsidRPr="006D5588">
                              <w:rPr>
                                <w:rFonts w:ascii="標楷體" w:eastAsia="標楷體" w:hAnsi="標楷體" w:hint="eastAsia"/>
                                <w:sz w:val="20"/>
                                <w:szCs w:val="20"/>
                              </w:rPr>
                              <w:t>110</w:t>
                            </w:r>
                            <w:proofErr w:type="gramEnd"/>
                            <w:r w:rsidRPr="006D5588">
                              <w:rPr>
                                <w:rFonts w:ascii="標楷體" w:eastAsia="標楷體" w:hAnsi="標楷體" w:hint="eastAsia"/>
                                <w:sz w:val="20"/>
                                <w:szCs w:val="20"/>
                              </w:rPr>
                              <w:t>年度一般道路更新工程開口契約（第2標）（松山、信義區）</w:t>
                            </w:r>
                          </w:p>
                        </w:tc>
                        <w:tc>
                          <w:tcPr>
                            <w:tcW w:w="1276" w:type="dxa"/>
                            <w:vAlign w:val="center"/>
                          </w:tcPr>
                          <w:p w14:paraId="465B4638"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63</w:t>
                            </w:r>
                            <w:r w:rsidRPr="00606E2F">
                              <w:rPr>
                                <w:rFonts w:ascii="標楷體" w:eastAsia="標楷體" w:hAnsi="標楷體"/>
                                <w:sz w:val="20"/>
                                <w:szCs w:val="20"/>
                              </w:rPr>
                              <w:t>,</w:t>
                            </w:r>
                            <w:r w:rsidRPr="00606E2F">
                              <w:rPr>
                                <w:rFonts w:ascii="標楷體" w:eastAsia="標楷體" w:hAnsi="標楷體" w:hint="eastAsia"/>
                                <w:sz w:val="20"/>
                                <w:szCs w:val="20"/>
                              </w:rPr>
                              <w:t>478</w:t>
                            </w:r>
                          </w:p>
                        </w:tc>
                        <w:tc>
                          <w:tcPr>
                            <w:tcW w:w="850" w:type="dxa"/>
                            <w:vAlign w:val="center"/>
                          </w:tcPr>
                          <w:p w14:paraId="36A19C99"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710173A5"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5FBE6784"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01A2E2C3" w14:textId="77777777" w:rsidTr="00D74004">
                        <w:tc>
                          <w:tcPr>
                            <w:tcW w:w="426" w:type="dxa"/>
                            <w:vAlign w:val="center"/>
                          </w:tcPr>
                          <w:p w14:paraId="694CAD30"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szCs w:val="20"/>
                              </w:rPr>
                            </w:pPr>
                            <w:r w:rsidRPr="00651B97">
                              <w:rPr>
                                <w:rFonts w:ascii="標楷體" w:eastAsia="標楷體" w:hAnsi="標楷體" w:hint="eastAsia"/>
                                <w:sz w:val="20"/>
                                <w:szCs w:val="20"/>
                              </w:rPr>
                              <w:t>4</w:t>
                            </w:r>
                          </w:p>
                        </w:tc>
                        <w:tc>
                          <w:tcPr>
                            <w:tcW w:w="3118" w:type="dxa"/>
                            <w:vAlign w:val="center"/>
                          </w:tcPr>
                          <w:p w14:paraId="3D9CEDDE" w14:textId="77777777" w:rsidR="00D74004" w:rsidRPr="00651B97"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proofErr w:type="gramStart"/>
                            <w:r w:rsidRPr="006D5588">
                              <w:rPr>
                                <w:rFonts w:ascii="標楷體" w:eastAsia="標楷體" w:hAnsi="標楷體" w:hint="eastAsia"/>
                                <w:sz w:val="20"/>
                                <w:szCs w:val="20"/>
                              </w:rPr>
                              <w:t>110</w:t>
                            </w:r>
                            <w:proofErr w:type="gramEnd"/>
                            <w:r w:rsidRPr="006D5588">
                              <w:rPr>
                                <w:rFonts w:ascii="標楷體" w:eastAsia="標楷體" w:hAnsi="標楷體" w:hint="eastAsia"/>
                                <w:sz w:val="20"/>
                                <w:szCs w:val="20"/>
                              </w:rPr>
                              <w:t>年度道路附屬設施改善工程開口契約(第4標)(內湖、南港)</w:t>
                            </w:r>
                          </w:p>
                        </w:tc>
                        <w:tc>
                          <w:tcPr>
                            <w:tcW w:w="1276" w:type="dxa"/>
                            <w:vAlign w:val="center"/>
                          </w:tcPr>
                          <w:p w14:paraId="485E38E9"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26</w:t>
                            </w:r>
                            <w:r w:rsidRPr="00606E2F">
                              <w:rPr>
                                <w:rFonts w:ascii="標楷體" w:eastAsia="標楷體" w:hAnsi="標楷體"/>
                                <w:sz w:val="20"/>
                                <w:szCs w:val="20"/>
                              </w:rPr>
                              <w:t>,</w:t>
                            </w:r>
                            <w:r w:rsidRPr="00606E2F">
                              <w:rPr>
                                <w:rFonts w:ascii="標楷體" w:eastAsia="標楷體" w:hAnsi="標楷體" w:hint="eastAsia"/>
                                <w:sz w:val="20"/>
                                <w:szCs w:val="20"/>
                              </w:rPr>
                              <w:t>242</w:t>
                            </w:r>
                          </w:p>
                        </w:tc>
                        <w:tc>
                          <w:tcPr>
                            <w:tcW w:w="850" w:type="dxa"/>
                            <w:vAlign w:val="center"/>
                          </w:tcPr>
                          <w:p w14:paraId="61BA25A0"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3D4242F1"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320EECE5"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4D3BCFE7" w14:textId="77777777" w:rsidTr="00D74004">
                        <w:tc>
                          <w:tcPr>
                            <w:tcW w:w="426" w:type="dxa"/>
                            <w:vAlign w:val="center"/>
                          </w:tcPr>
                          <w:p w14:paraId="60E216F3"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sz w:val="20"/>
                              </w:rPr>
                              <w:t>5</w:t>
                            </w:r>
                          </w:p>
                        </w:tc>
                        <w:tc>
                          <w:tcPr>
                            <w:tcW w:w="3118" w:type="dxa"/>
                            <w:vAlign w:val="center"/>
                          </w:tcPr>
                          <w:p w14:paraId="5C974663"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6D5588">
                              <w:rPr>
                                <w:rFonts w:ascii="標楷體" w:eastAsia="標楷體" w:hAnsi="標楷體" w:hint="eastAsia"/>
                                <w:sz w:val="20"/>
                                <w:szCs w:val="20"/>
                              </w:rPr>
                              <w:t>常德街人行地下道連通工程</w:t>
                            </w:r>
                          </w:p>
                        </w:tc>
                        <w:tc>
                          <w:tcPr>
                            <w:tcW w:w="1276" w:type="dxa"/>
                            <w:vAlign w:val="center"/>
                          </w:tcPr>
                          <w:p w14:paraId="32742EAA"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346</w:t>
                            </w:r>
                            <w:r w:rsidRPr="00606E2F">
                              <w:rPr>
                                <w:rFonts w:ascii="標楷體" w:eastAsia="標楷體" w:hAnsi="標楷體"/>
                                <w:sz w:val="20"/>
                                <w:szCs w:val="20"/>
                              </w:rPr>
                              <w:t>,</w:t>
                            </w:r>
                            <w:r w:rsidRPr="00606E2F">
                              <w:rPr>
                                <w:rFonts w:ascii="標楷體" w:eastAsia="標楷體" w:hAnsi="標楷體" w:hint="eastAsia"/>
                                <w:sz w:val="20"/>
                                <w:szCs w:val="20"/>
                              </w:rPr>
                              <w:t>430</w:t>
                            </w:r>
                          </w:p>
                        </w:tc>
                        <w:tc>
                          <w:tcPr>
                            <w:tcW w:w="850" w:type="dxa"/>
                            <w:vAlign w:val="center"/>
                          </w:tcPr>
                          <w:p w14:paraId="2E2EFC69"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5B961B04"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28973E3F"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12954483" w14:textId="77777777" w:rsidTr="00D74004">
                        <w:tc>
                          <w:tcPr>
                            <w:tcW w:w="426" w:type="dxa"/>
                            <w:vAlign w:val="center"/>
                          </w:tcPr>
                          <w:p w14:paraId="0AA3A2AB"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6</w:t>
                            </w:r>
                          </w:p>
                        </w:tc>
                        <w:tc>
                          <w:tcPr>
                            <w:tcW w:w="3118" w:type="dxa"/>
                            <w:vAlign w:val="center"/>
                          </w:tcPr>
                          <w:p w14:paraId="42A4341E"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proofErr w:type="gramStart"/>
                            <w:r w:rsidRPr="006D5588">
                              <w:rPr>
                                <w:rFonts w:ascii="標楷體" w:eastAsia="標楷體" w:hAnsi="標楷體" w:hint="eastAsia"/>
                                <w:sz w:val="20"/>
                                <w:szCs w:val="20"/>
                              </w:rPr>
                              <w:t>112</w:t>
                            </w:r>
                            <w:proofErr w:type="gramEnd"/>
                            <w:r w:rsidRPr="006D5588">
                              <w:rPr>
                                <w:rFonts w:ascii="標楷體" w:eastAsia="標楷體" w:hAnsi="標楷體" w:hint="eastAsia"/>
                                <w:sz w:val="20"/>
                                <w:szCs w:val="20"/>
                              </w:rPr>
                              <w:t>年度臺北市道路、</w:t>
                            </w:r>
                            <w:proofErr w:type="gramStart"/>
                            <w:r w:rsidRPr="006D5588">
                              <w:rPr>
                                <w:rFonts w:ascii="標楷體" w:eastAsia="標楷體" w:hAnsi="標楷體" w:hint="eastAsia"/>
                                <w:sz w:val="20"/>
                                <w:szCs w:val="20"/>
                              </w:rPr>
                              <w:t>橋涵興建</w:t>
                            </w:r>
                            <w:proofErr w:type="gramEnd"/>
                            <w:r w:rsidRPr="006D5588">
                              <w:rPr>
                                <w:rFonts w:ascii="標楷體" w:eastAsia="標楷體" w:hAnsi="標楷體" w:hint="eastAsia"/>
                                <w:sz w:val="20"/>
                                <w:szCs w:val="20"/>
                              </w:rPr>
                              <w:t>及改善工程開口契約(第1標)</w:t>
                            </w:r>
                          </w:p>
                        </w:tc>
                        <w:tc>
                          <w:tcPr>
                            <w:tcW w:w="1276" w:type="dxa"/>
                            <w:vAlign w:val="center"/>
                          </w:tcPr>
                          <w:p w14:paraId="30702D01"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68</w:t>
                            </w:r>
                            <w:r w:rsidRPr="00606E2F">
                              <w:rPr>
                                <w:rFonts w:ascii="標楷體" w:eastAsia="標楷體" w:hAnsi="標楷體"/>
                                <w:sz w:val="20"/>
                                <w:szCs w:val="20"/>
                              </w:rPr>
                              <w:t>,</w:t>
                            </w:r>
                            <w:r w:rsidRPr="00606E2F">
                              <w:rPr>
                                <w:rFonts w:ascii="標楷體" w:eastAsia="標楷體" w:hAnsi="標楷體" w:hint="eastAsia"/>
                                <w:sz w:val="20"/>
                                <w:szCs w:val="20"/>
                              </w:rPr>
                              <w:t>198</w:t>
                            </w:r>
                          </w:p>
                        </w:tc>
                        <w:tc>
                          <w:tcPr>
                            <w:tcW w:w="850" w:type="dxa"/>
                            <w:vAlign w:val="center"/>
                          </w:tcPr>
                          <w:p w14:paraId="5A7B4B7D"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470BE93B"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8" w:type="dxa"/>
                            <w:vAlign w:val="center"/>
                          </w:tcPr>
                          <w:p w14:paraId="2EFF48B6"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2C129D0B" w14:textId="77777777" w:rsidTr="00D74004">
                        <w:tc>
                          <w:tcPr>
                            <w:tcW w:w="426" w:type="dxa"/>
                            <w:vAlign w:val="center"/>
                          </w:tcPr>
                          <w:p w14:paraId="037219A1"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7</w:t>
                            </w:r>
                          </w:p>
                        </w:tc>
                        <w:tc>
                          <w:tcPr>
                            <w:tcW w:w="3118" w:type="dxa"/>
                            <w:vAlign w:val="center"/>
                          </w:tcPr>
                          <w:p w14:paraId="4B4DE644"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6D5588">
                              <w:rPr>
                                <w:rFonts w:ascii="標楷體" w:eastAsia="標楷體" w:hAnsi="標楷體" w:hint="eastAsia"/>
                                <w:sz w:val="20"/>
                                <w:szCs w:val="20"/>
                              </w:rPr>
                              <w:t>福國路延伸工程(第2期)</w:t>
                            </w:r>
                          </w:p>
                        </w:tc>
                        <w:tc>
                          <w:tcPr>
                            <w:tcW w:w="1276" w:type="dxa"/>
                            <w:vAlign w:val="center"/>
                          </w:tcPr>
                          <w:p w14:paraId="0687A210"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819</w:t>
                            </w:r>
                            <w:r w:rsidRPr="00606E2F">
                              <w:rPr>
                                <w:rFonts w:ascii="標楷體" w:eastAsia="標楷體" w:hAnsi="標楷體"/>
                                <w:sz w:val="20"/>
                                <w:szCs w:val="20"/>
                              </w:rPr>
                              <w:t>,</w:t>
                            </w:r>
                            <w:r w:rsidRPr="00606E2F">
                              <w:rPr>
                                <w:rFonts w:ascii="標楷體" w:eastAsia="標楷體" w:hAnsi="標楷體" w:hint="eastAsia"/>
                                <w:sz w:val="20"/>
                                <w:szCs w:val="20"/>
                              </w:rPr>
                              <w:t>595</w:t>
                            </w:r>
                          </w:p>
                        </w:tc>
                        <w:tc>
                          <w:tcPr>
                            <w:tcW w:w="850" w:type="dxa"/>
                            <w:vAlign w:val="center"/>
                          </w:tcPr>
                          <w:p w14:paraId="1C60EDBF"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9" w:type="dxa"/>
                            <w:vAlign w:val="center"/>
                          </w:tcPr>
                          <w:p w14:paraId="4D8D7920"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8" w:type="dxa"/>
                            <w:vAlign w:val="center"/>
                          </w:tcPr>
                          <w:p w14:paraId="476C9811"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r>
                      <w:tr w:rsidR="00D74004" w:rsidRPr="00F82E8D" w14:paraId="0E967EE8" w14:textId="77777777" w:rsidTr="00D74004">
                        <w:tc>
                          <w:tcPr>
                            <w:tcW w:w="426" w:type="dxa"/>
                            <w:vAlign w:val="center"/>
                          </w:tcPr>
                          <w:p w14:paraId="611F72CE" w14:textId="77777777" w:rsidR="00D74004" w:rsidRPr="00651B97"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8</w:t>
                            </w:r>
                          </w:p>
                        </w:tc>
                        <w:tc>
                          <w:tcPr>
                            <w:tcW w:w="3118" w:type="dxa"/>
                            <w:vAlign w:val="center"/>
                          </w:tcPr>
                          <w:p w14:paraId="0E843170"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6D5588">
                              <w:rPr>
                                <w:rFonts w:ascii="標楷體" w:eastAsia="標楷體" w:hAnsi="標楷體" w:hint="eastAsia"/>
                                <w:sz w:val="20"/>
                                <w:szCs w:val="20"/>
                              </w:rPr>
                              <w:t>臺北市殯葬管理處第二殯儀館二期整建工程</w:t>
                            </w:r>
                          </w:p>
                        </w:tc>
                        <w:tc>
                          <w:tcPr>
                            <w:tcW w:w="1276" w:type="dxa"/>
                            <w:vAlign w:val="center"/>
                          </w:tcPr>
                          <w:p w14:paraId="00695F0C"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1</w:t>
                            </w:r>
                            <w:r w:rsidRPr="00606E2F">
                              <w:rPr>
                                <w:rFonts w:ascii="標楷體" w:eastAsia="標楷體" w:hAnsi="標楷體"/>
                                <w:sz w:val="20"/>
                                <w:szCs w:val="20"/>
                              </w:rPr>
                              <w:t>,</w:t>
                            </w:r>
                            <w:r w:rsidRPr="00606E2F">
                              <w:rPr>
                                <w:rFonts w:ascii="標楷體" w:eastAsia="標楷體" w:hAnsi="標楷體" w:hint="eastAsia"/>
                                <w:sz w:val="20"/>
                                <w:szCs w:val="20"/>
                              </w:rPr>
                              <w:t>508</w:t>
                            </w:r>
                            <w:r w:rsidRPr="00606E2F">
                              <w:rPr>
                                <w:rFonts w:ascii="標楷體" w:eastAsia="標楷體" w:hAnsi="標楷體"/>
                                <w:sz w:val="20"/>
                                <w:szCs w:val="20"/>
                              </w:rPr>
                              <w:t>,</w:t>
                            </w:r>
                            <w:r w:rsidRPr="00606E2F">
                              <w:rPr>
                                <w:rFonts w:ascii="標楷體" w:eastAsia="標楷體" w:hAnsi="標楷體" w:hint="eastAsia"/>
                                <w:sz w:val="20"/>
                                <w:szCs w:val="20"/>
                              </w:rPr>
                              <w:t>000</w:t>
                            </w:r>
                          </w:p>
                        </w:tc>
                        <w:tc>
                          <w:tcPr>
                            <w:tcW w:w="850" w:type="dxa"/>
                            <w:vAlign w:val="center"/>
                          </w:tcPr>
                          <w:p w14:paraId="656FFC2A"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9" w:type="dxa"/>
                            <w:vAlign w:val="center"/>
                          </w:tcPr>
                          <w:p w14:paraId="1429C8EE"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8" w:type="dxa"/>
                            <w:vAlign w:val="center"/>
                          </w:tcPr>
                          <w:p w14:paraId="220E0304"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r>
                      <w:tr w:rsidR="00D74004" w:rsidRPr="00F82E8D" w14:paraId="1827FE53" w14:textId="77777777" w:rsidTr="00D74004">
                        <w:tc>
                          <w:tcPr>
                            <w:tcW w:w="426" w:type="dxa"/>
                            <w:vAlign w:val="center"/>
                          </w:tcPr>
                          <w:p w14:paraId="3E8F4493"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9</w:t>
                            </w:r>
                          </w:p>
                        </w:tc>
                        <w:tc>
                          <w:tcPr>
                            <w:tcW w:w="3118" w:type="dxa"/>
                            <w:vAlign w:val="center"/>
                          </w:tcPr>
                          <w:p w14:paraId="1946A162"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6D5588">
                              <w:rPr>
                                <w:rFonts w:ascii="標楷體" w:eastAsia="標楷體" w:hAnsi="標楷體" w:hint="eastAsia"/>
                                <w:sz w:val="20"/>
                                <w:szCs w:val="20"/>
                              </w:rPr>
                              <w:t>瑠公綠廊人行環境改造工程</w:t>
                            </w:r>
                          </w:p>
                        </w:tc>
                        <w:tc>
                          <w:tcPr>
                            <w:tcW w:w="1276" w:type="dxa"/>
                            <w:vAlign w:val="center"/>
                          </w:tcPr>
                          <w:p w14:paraId="45A9E83F"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5</w:t>
                            </w:r>
                            <w:r w:rsidRPr="00606E2F">
                              <w:rPr>
                                <w:rFonts w:ascii="標楷體" w:eastAsia="標楷體" w:hAnsi="標楷體"/>
                                <w:sz w:val="20"/>
                                <w:szCs w:val="20"/>
                              </w:rPr>
                              <w:t>6,479</w:t>
                            </w:r>
                          </w:p>
                        </w:tc>
                        <w:tc>
                          <w:tcPr>
                            <w:tcW w:w="850" w:type="dxa"/>
                            <w:vAlign w:val="center"/>
                          </w:tcPr>
                          <w:p w14:paraId="223F82D8"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9" w:type="dxa"/>
                            <w:vAlign w:val="center"/>
                          </w:tcPr>
                          <w:p w14:paraId="798B56A8"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8" w:type="dxa"/>
                            <w:vAlign w:val="center"/>
                          </w:tcPr>
                          <w:p w14:paraId="71886217"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r>
                      <w:tr w:rsidR="00D74004" w:rsidRPr="00F82E8D" w14:paraId="250BBEE7" w14:textId="77777777" w:rsidTr="00D74004">
                        <w:tc>
                          <w:tcPr>
                            <w:tcW w:w="426" w:type="dxa"/>
                            <w:vAlign w:val="center"/>
                          </w:tcPr>
                          <w:p w14:paraId="51547444" w14:textId="77777777" w:rsidR="00D74004" w:rsidRDefault="00D74004" w:rsidP="00D74004">
                            <w:pPr>
                              <w:kinsoku w:val="0"/>
                              <w:overflowPunct w:val="0"/>
                              <w:autoSpaceDE w:val="0"/>
                              <w:autoSpaceDN w:val="0"/>
                              <w:spacing w:line="240" w:lineRule="exact"/>
                              <w:jc w:val="center"/>
                              <w:textAlignment w:val="center"/>
                              <w:rPr>
                                <w:rFonts w:ascii="標楷體" w:eastAsia="標楷體" w:hAnsi="標楷體"/>
                                <w:sz w:val="20"/>
                              </w:rPr>
                            </w:pPr>
                            <w:r>
                              <w:rPr>
                                <w:rFonts w:ascii="標楷體" w:eastAsia="標楷體" w:hAnsi="標楷體" w:hint="eastAsia"/>
                                <w:sz w:val="20"/>
                              </w:rPr>
                              <w:t>1</w:t>
                            </w:r>
                            <w:r>
                              <w:rPr>
                                <w:rFonts w:ascii="標楷體" w:eastAsia="標楷體" w:hAnsi="標楷體"/>
                                <w:sz w:val="20"/>
                              </w:rPr>
                              <w:t>0</w:t>
                            </w:r>
                          </w:p>
                        </w:tc>
                        <w:tc>
                          <w:tcPr>
                            <w:tcW w:w="3118" w:type="dxa"/>
                            <w:vAlign w:val="center"/>
                          </w:tcPr>
                          <w:p w14:paraId="2FFD44CC" w14:textId="77777777" w:rsidR="00D74004" w:rsidRPr="006D5588" w:rsidRDefault="00D74004" w:rsidP="00550659">
                            <w:pPr>
                              <w:kinsoku w:val="0"/>
                              <w:overflowPunct w:val="0"/>
                              <w:autoSpaceDE w:val="0"/>
                              <w:autoSpaceDN w:val="0"/>
                              <w:spacing w:line="240" w:lineRule="exact"/>
                              <w:jc w:val="both"/>
                              <w:textAlignment w:val="center"/>
                              <w:rPr>
                                <w:rFonts w:ascii="標楷體" w:eastAsia="標楷體" w:hAnsi="標楷體"/>
                                <w:sz w:val="20"/>
                                <w:szCs w:val="20"/>
                              </w:rPr>
                            </w:pPr>
                            <w:r w:rsidRPr="006D5588">
                              <w:rPr>
                                <w:rFonts w:ascii="標楷體" w:eastAsia="標楷體" w:hAnsi="標楷體" w:hint="eastAsia"/>
                                <w:sz w:val="20"/>
                                <w:szCs w:val="20"/>
                              </w:rPr>
                              <w:t>第一果菜(</w:t>
                            </w:r>
                            <w:proofErr w:type="gramStart"/>
                            <w:r w:rsidRPr="006D5588">
                              <w:rPr>
                                <w:rFonts w:ascii="標楷體" w:eastAsia="標楷體" w:hAnsi="標楷體" w:hint="eastAsia"/>
                                <w:sz w:val="20"/>
                                <w:szCs w:val="20"/>
                              </w:rPr>
                              <w:t>含堤內中</w:t>
                            </w:r>
                            <w:proofErr w:type="gramEnd"/>
                            <w:r w:rsidRPr="006D5588">
                              <w:rPr>
                                <w:rFonts w:ascii="標楷體" w:eastAsia="標楷體" w:hAnsi="標楷體" w:hint="eastAsia"/>
                                <w:sz w:val="20"/>
                                <w:szCs w:val="20"/>
                              </w:rPr>
                              <w:t>繼)及萬大魚類批發市場改建統包工程</w:t>
                            </w:r>
                          </w:p>
                        </w:tc>
                        <w:tc>
                          <w:tcPr>
                            <w:tcW w:w="1276" w:type="dxa"/>
                            <w:vAlign w:val="center"/>
                          </w:tcPr>
                          <w:p w14:paraId="224515C3" w14:textId="77777777" w:rsidR="00D74004" w:rsidRPr="00606E2F" w:rsidRDefault="00D74004" w:rsidP="00550659">
                            <w:pPr>
                              <w:kinsoku w:val="0"/>
                              <w:overflowPunct w:val="0"/>
                              <w:autoSpaceDE w:val="0"/>
                              <w:autoSpaceDN w:val="0"/>
                              <w:spacing w:line="240" w:lineRule="exact"/>
                              <w:jc w:val="right"/>
                              <w:textAlignment w:val="center"/>
                              <w:rPr>
                                <w:rFonts w:ascii="標楷體" w:eastAsia="標楷體" w:hAnsi="標楷體"/>
                                <w:sz w:val="20"/>
                                <w:szCs w:val="20"/>
                              </w:rPr>
                            </w:pPr>
                            <w:r w:rsidRPr="00606E2F">
                              <w:rPr>
                                <w:rFonts w:ascii="標楷體" w:eastAsia="標楷體" w:hAnsi="標楷體" w:hint="eastAsia"/>
                                <w:sz w:val="20"/>
                                <w:szCs w:val="20"/>
                              </w:rPr>
                              <w:t>1</w:t>
                            </w:r>
                            <w:r w:rsidRPr="00606E2F">
                              <w:rPr>
                                <w:rFonts w:ascii="標楷體" w:eastAsia="標楷體" w:hAnsi="標楷體"/>
                                <w:sz w:val="20"/>
                                <w:szCs w:val="20"/>
                              </w:rPr>
                              <w:t>2,517,171</w:t>
                            </w:r>
                          </w:p>
                        </w:tc>
                        <w:tc>
                          <w:tcPr>
                            <w:tcW w:w="850" w:type="dxa"/>
                            <w:vAlign w:val="center"/>
                          </w:tcPr>
                          <w:p w14:paraId="4F609089"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p>
                        </w:tc>
                        <w:tc>
                          <w:tcPr>
                            <w:tcW w:w="709" w:type="dxa"/>
                            <w:vAlign w:val="center"/>
                          </w:tcPr>
                          <w:p w14:paraId="4695C889"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c>
                          <w:tcPr>
                            <w:tcW w:w="708" w:type="dxa"/>
                            <w:vAlign w:val="center"/>
                          </w:tcPr>
                          <w:p w14:paraId="7B3B17C4" w14:textId="77777777" w:rsidR="00D74004" w:rsidRPr="00591FA2" w:rsidRDefault="00D74004" w:rsidP="00550659">
                            <w:pPr>
                              <w:kinsoku w:val="0"/>
                              <w:overflowPunct w:val="0"/>
                              <w:autoSpaceDE w:val="0"/>
                              <w:autoSpaceDN w:val="0"/>
                              <w:spacing w:line="240" w:lineRule="exact"/>
                              <w:jc w:val="center"/>
                              <w:textAlignment w:val="center"/>
                              <w:rPr>
                                <w:rFonts w:ascii="標楷體" w:eastAsia="標楷體" w:hAnsi="標楷體"/>
                                <w:color w:val="000000"/>
                                <w:sz w:val="20"/>
                              </w:rPr>
                            </w:pPr>
                            <w:r w:rsidRPr="00591FA2">
                              <w:rPr>
                                <w:rFonts w:ascii="MS Gothic" w:eastAsia="MS Gothic" w:hAnsi="MS Gothic" w:cs="MS Gothic" w:hint="eastAsia"/>
                                <w:sz w:val="20"/>
                                <w:szCs w:val="20"/>
                                <w:shd w:val="clear" w:color="auto" w:fill="FFFFFF"/>
                              </w:rPr>
                              <w:t>✓</w:t>
                            </w:r>
                          </w:p>
                        </w:tc>
                      </w:tr>
                    </w:tbl>
                    <w:p w14:paraId="4EA771C5" w14:textId="77777777" w:rsidR="00D74004" w:rsidRPr="00696621" w:rsidRDefault="00D74004" w:rsidP="00D74004">
                      <w:pPr>
                        <w:kinsoku w:val="0"/>
                        <w:overflowPunct w:val="0"/>
                        <w:autoSpaceDE w:val="0"/>
                        <w:autoSpaceDN w:val="0"/>
                        <w:spacing w:line="240" w:lineRule="exact"/>
                        <w:ind w:leftChars="52" w:left="125"/>
                        <w:jc w:val="both"/>
                        <w:textAlignment w:val="center"/>
                        <w:rPr>
                          <w:rFonts w:ascii="標楷體" w:eastAsia="標楷體" w:hAnsi="標楷體"/>
                          <w:sz w:val="18"/>
                          <w:szCs w:val="18"/>
                        </w:rPr>
                      </w:pPr>
                      <w:r w:rsidRPr="00F56DB3">
                        <w:rPr>
                          <w:rFonts w:ascii="標楷體" w:eastAsia="標楷體" w:hAnsi="標楷體" w:hint="eastAsia"/>
                          <w:sz w:val="18"/>
                          <w:szCs w:val="18"/>
                        </w:rPr>
                        <w:t>資料來源：</w:t>
                      </w:r>
                      <w:r w:rsidRPr="00651B97">
                        <w:rPr>
                          <w:rFonts w:ascii="標楷體" w:eastAsia="標楷體" w:hAnsi="標楷體" w:hint="eastAsia"/>
                          <w:sz w:val="18"/>
                          <w:szCs w:val="18"/>
                        </w:rPr>
                        <w:t>整理自</w:t>
                      </w:r>
                      <w:r>
                        <w:rPr>
                          <w:rFonts w:ascii="標楷體" w:eastAsia="標楷體" w:hAnsi="標楷體" w:hint="eastAsia"/>
                          <w:sz w:val="18"/>
                          <w:szCs w:val="18"/>
                        </w:rPr>
                        <w:t>新建工程處提供資料</w:t>
                      </w:r>
                      <w:r w:rsidRPr="00651B97">
                        <w:rPr>
                          <w:rFonts w:ascii="標楷體" w:eastAsia="標楷體" w:hAnsi="標楷體" w:hint="eastAsia"/>
                          <w:sz w:val="18"/>
                          <w:szCs w:val="18"/>
                        </w:rPr>
                        <w:t>。</w:t>
                      </w:r>
                    </w:p>
                  </w:txbxContent>
                </v:textbox>
                <w10:wrap type="tight" anchory="page"/>
              </v:shape>
            </w:pict>
          </mc:Fallback>
        </mc:AlternateContent>
      </w:r>
      <w:r w:rsidR="00D74004" w:rsidRPr="00504100">
        <w:rPr>
          <w:rFonts w:ascii="標楷體" w:eastAsia="標楷體" w:hAnsi="標楷體" w:cs="Times New Roman" w:hint="eastAsia"/>
          <w:color w:val="000000"/>
          <w:szCs w:val="20"/>
        </w:rPr>
        <w:t>通平</w:t>
      </w:r>
      <w:proofErr w:type="gramStart"/>
      <w:r w:rsidR="00D74004" w:rsidRPr="00504100">
        <w:rPr>
          <w:rFonts w:ascii="標楷體" w:eastAsia="標楷體" w:hAnsi="標楷體" w:cs="Times New Roman" w:hint="eastAsia"/>
          <w:color w:val="000000"/>
          <w:szCs w:val="20"/>
        </w:rPr>
        <w:t>臺</w:t>
      </w:r>
      <w:proofErr w:type="gramEnd"/>
      <w:r w:rsidR="00D74004" w:rsidRPr="00504100">
        <w:rPr>
          <w:rFonts w:ascii="標楷體" w:eastAsia="標楷體" w:hAnsi="標楷體" w:cs="Times New Roman" w:hint="eastAsia"/>
          <w:color w:val="000000"/>
          <w:szCs w:val="20"/>
        </w:rPr>
        <w:t>及其附屬綠化設施統包工程（含後續擴充）」（下稱南港立體連通統包工程）等10案，於施工期間所使用之CLSM，或有未依核准配比施作，或有實際使用材料之配比未經報核，或未辦理材料試驗並出具試驗報告（表1），不符各該契約所附施工規範規定；2.辦理「</w:t>
      </w:r>
      <w:proofErr w:type="gramStart"/>
      <w:r w:rsidR="00D74004" w:rsidRPr="00504100">
        <w:rPr>
          <w:rFonts w:ascii="標楷體" w:eastAsia="標楷體" w:hAnsi="標楷體" w:cs="Times New Roman" w:hint="eastAsia"/>
          <w:color w:val="000000"/>
          <w:szCs w:val="20"/>
        </w:rPr>
        <w:t>110</w:t>
      </w:r>
      <w:proofErr w:type="gramEnd"/>
      <w:r w:rsidR="00D74004" w:rsidRPr="00504100">
        <w:rPr>
          <w:rFonts w:ascii="標楷體" w:eastAsia="標楷體" w:hAnsi="標楷體" w:cs="Times New Roman" w:hint="eastAsia"/>
          <w:color w:val="000000"/>
          <w:szCs w:val="20"/>
        </w:rPr>
        <w:t>年度一般道路更新工程開口契約（第2標）（松山、信義區）」</w:t>
      </w:r>
      <w:r w:rsidR="00D74004" w:rsidRPr="004F3186">
        <w:rPr>
          <w:rFonts w:ascii="標楷體" w:eastAsia="標楷體" w:hAnsi="標楷體" w:cs="Times New Roman" w:hint="eastAsia"/>
          <w:color w:val="000000"/>
          <w:spacing w:val="-4"/>
          <w:szCs w:val="20"/>
        </w:rPr>
        <w:t>（下</w:t>
      </w:r>
      <w:r w:rsidR="00D74004" w:rsidRPr="004F3186">
        <w:rPr>
          <w:rFonts w:ascii="標楷體" w:eastAsia="標楷體" w:hAnsi="標楷體" w:cs="Times New Roman" w:hint="eastAsia"/>
          <w:color w:val="000000"/>
          <w:spacing w:val="-2"/>
          <w:szCs w:val="20"/>
        </w:rPr>
        <w:t>稱110年道路更新工程）</w:t>
      </w:r>
    </w:p>
    <w:p w14:paraId="76A0D23A" w14:textId="2A296A4D" w:rsidR="00D74004" w:rsidRPr="00504100" w:rsidRDefault="00D74004" w:rsidP="004F3186">
      <w:pPr>
        <w:spacing w:line="460" w:lineRule="exact"/>
        <w:jc w:val="both"/>
        <w:rPr>
          <w:rFonts w:ascii="標楷體" w:eastAsia="標楷體" w:hAnsi="標楷體" w:cs="標楷體"/>
          <w:bCs/>
          <w:color w:val="000000"/>
          <w:szCs w:val="32"/>
        </w:rPr>
      </w:pPr>
      <w:r w:rsidRPr="004F3186">
        <w:rPr>
          <w:rFonts w:ascii="標楷體" w:eastAsia="標楷體" w:hAnsi="標楷體" w:cs="Times New Roman" w:hint="eastAsia"/>
          <w:color w:val="000000"/>
          <w:spacing w:val="-4"/>
          <w:szCs w:val="20"/>
        </w:rPr>
        <w:lastRenderedPageBreak/>
        <w:t>，</w:t>
      </w:r>
      <w:proofErr w:type="gramStart"/>
      <w:r w:rsidRPr="00504100">
        <w:rPr>
          <w:rFonts w:ascii="標楷體" w:eastAsia="標楷體" w:hAnsi="標楷體" w:cs="Times New Roman" w:hint="eastAsia"/>
          <w:color w:val="000000"/>
          <w:szCs w:val="20"/>
        </w:rPr>
        <w:t>廠商於預拌</w:t>
      </w:r>
      <w:proofErr w:type="gramEnd"/>
      <w:r w:rsidRPr="00504100">
        <w:rPr>
          <w:rFonts w:ascii="標楷體" w:eastAsia="標楷體" w:hAnsi="標楷體" w:cs="Times New Roman" w:hint="eastAsia"/>
          <w:color w:val="000000"/>
          <w:szCs w:val="20"/>
        </w:rPr>
        <w:t>混凝土澆置自主檢查表填寫之CLSM總重，與預拌混凝土出廠證明單</w:t>
      </w:r>
      <w:proofErr w:type="gramStart"/>
      <w:r w:rsidRPr="00504100">
        <w:rPr>
          <w:rFonts w:ascii="標楷體" w:eastAsia="標楷體" w:hAnsi="標楷體" w:cs="Times New Roman" w:hint="eastAsia"/>
          <w:color w:val="000000"/>
          <w:szCs w:val="20"/>
        </w:rPr>
        <w:t>所載未合</w:t>
      </w:r>
      <w:proofErr w:type="gramEnd"/>
      <w:r w:rsidRPr="00504100">
        <w:rPr>
          <w:rFonts w:ascii="標楷體" w:eastAsia="標楷體" w:hAnsi="標楷體" w:cs="Times New Roman" w:hint="eastAsia"/>
          <w:color w:val="000000"/>
          <w:szCs w:val="20"/>
        </w:rPr>
        <w:t>，且同一車次之車輛乘載重量於</w:t>
      </w:r>
      <w:proofErr w:type="gramStart"/>
      <w:r w:rsidRPr="00504100">
        <w:rPr>
          <w:rFonts w:ascii="標楷體" w:eastAsia="標楷體" w:hAnsi="標楷體" w:cs="Times New Roman" w:hint="eastAsia"/>
          <w:color w:val="000000"/>
          <w:szCs w:val="20"/>
        </w:rPr>
        <w:t>前揭兩表單</w:t>
      </w:r>
      <w:proofErr w:type="gramEnd"/>
      <w:r w:rsidRPr="00504100">
        <w:rPr>
          <w:rFonts w:ascii="標楷體" w:eastAsia="標楷體" w:hAnsi="標楷體" w:cs="Times New Roman" w:hint="eastAsia"/>
          <w:color w:val="000000"/>
          <w:szCs w:val="20"/>
        </w:rPr>
        <w:t>所記錄之數值不同；另辦理「</w:t>
      </w:r>
      <w:proofErr w:type="gramStart"/>
      <w:r w:rsidRPr="00504100">
        <w:rPr>
          <w:rFonts w:ascii="標楷體" w:eastAsia="標楷體" w:hAnsi="標楷體" w:cs="Times New Roman" w:hint="eastAsia"/>
          <w:color w:val="000000"/>
          <w:szCs w:val="20"/>
        </w:rPr>
        <w:t>112</w:t>
      </w:r>
      <w:proofErr w:type="gramEnd"/>
      <w:r w:rsidRPr="00504100">
        <w:rPr>
          <w:rFonts w:ascii="標楷體" w:eastAsia="標楷體" w:hAnsi="標楷體" w:cs="Times New Roman" w:hint="eastAsia"/>
          <w:color w:val="000000"/>
          <w:szCs w:val="20"/>
        </w:rPr>
        <w:t>年度臺北市道路、</w:t>
      </w:r>
      <w:proofErr w:type="gramStart"/>
      <w:r w:rsidRPr="00504100">
        <w:rPr>
          <w:rFonts w:ascii="標楷體" w:eastAsia="標楷體" w:hAnsi="標楷體" w:cs="Times New Roman" w:hint="eastAsia"/>
          <w:color w:val="000000"/>
          <w:szCs w:val="20"/>
        </w:rPr>
        <w:t>橋涵興建</w:t>
      </w:r>
      <w:proofErr w:type="gramEnd"/>
      <w:r w:rsidRPr="00504100">
        <w:rPr>
          <w:rFonts w:ascii="標楷體" w:eastAsia="標楷體" w:hAnsi="標楷體" w:cs="Times New Roman" w:hint="eastAsia"/>
          <w:color w:val="000000"/>
          <w:szCs w:val="20"/>
        </w:rPr>
        <w:t>及改善工程開口契約（第1標）」（下稱112年道路橋涵改善工程），廠商施工自主檢查表及監造單位施工抽查紀錄表所記錄之CLSM檢（抽）查時間，較預拌混凝土出廠證明單所載C</w:t>
      </w:r>
      <w:r w:rsidRPr="00504100">
        <w:rPr>
          <w:rFonts w:ascii="標楷體" w:eastAsia="標楷體" w:hAnsi="標楷體" w:cs="Times New Roman"/>
          <w:color w:val="000000"/>
          <w:szCs w:val="20"/>
        </w:rPr>
        <w:t>LSM</w:t>
      </w:r>
      <w:r w:rsidRPr="00504100">
        <w:rPr>
          <w:rFonts w:ascii="標楷體" w:eastAsia="標楷體" w:hAnsi="標楷體" w:cs="Times New Roman" w:hint="eastAsia"/>
          <w:color w:val="000000"/>
          <w:szCs w:val="20"/>
        </w:rPr>
        <w:t>出廠時間</w:t>
      </w:r>
      <w:proofErr w:type="gramStart"/>
      <w:r w:rsidRPr="00504100">
        <w:rPr>
          <w:rFonts w:ascii="標楷體" w:eastAsia="標楷體" w:hAnsi="標楷體" w:cs="Times New Roman" w:hint="eastAsia"/>
          <w:color w:val="000000"/>
          <w:szCs w:val="20"/>
        </w:rPr>
        <w:t>為早等情事</w:t>
      </w:r>
      <w:proofErr w:type="gramEnd"/>
      <w:r w:rsidRPr="00504100">
        <w:rPr>
          <w:rFonts w:ascii="標楷體" w:eastAsia="標楷體" w:hAnsi="標楷體" w:cs="Times New Roman" w:hint="eastAsia"/>
          <w:color w:val="000000"/>
          <w:szCs w:val="20"/>
        </w:rPr>
        <w:t>，經函請檢討改善。據復：1.經檢討結果，南港立體連通統包工程等10案已依約</w:t>
      </w:r>
      <w:proofErr w:type="gramStart"/>
      <w:r w:rsidRPr="00504100">
        <w:rPr>
          <w:rFonts w:ascii="標楷體" w:eastAsia="標楷體" w:hAnsi="標楷體" w:cs="Times New Roman" w:hint="eastAsia"/>
          <w:color w:val="000000"/>
          <w:szCs w:val="20"/>
        </w:rPr>
        <w:t>扣罰承商</w:t>
      </w:r>
      <w:proofErr w:type="gramEnd"/>
      <w:r w:rsidRPr="00504100">
        <w:rPr>
          <w:rFonts w:ascii="標楷體" w:eastAsia="標楷體" w:hAnsi="標楷體" w:cs="Times New Roman" w:hint="eastAsia"/>
          <w:color w:val="000000"/>
          <w:szCs w:val="20"/>
        </w:rPr>
        <w:t>懲罰性違約金共計624萬餘元，另「</w:t>
      </w:r>
      <w:proofErr w:type="gramStart"/>
      <w:r w:rsidRPr="00504100">
        <w:rPr>
          <w:rFonts w:ascii="標楷體" w:eastAsia="標楷體" w:hAnsi="標楷體" w:cs="Times New Roman" w:hint="eastAsia"/>
          <w:color w:val="000000"/>
          <w:szCs w:val="20"/>
        </w:rPr>
        <w:t>110</w:t>
      </w:r>
      <w:proofErr w:type="gramEnd"/>
      <w:r w:rsidRPr="00504100">
        <w:rPr>
          <w:rFonts w:ascii="標楷體" w:eastAsia="標楷體" w:hAnsi="標楷體" w:cs="Times New Roman" w:hint="eastAsia"/>
          <w:color w:val="000000"/>
          <w:szCs w:val="20"/>
        </w:rPr>
        <w:t>年度臺北市道路興建及改善工程開口契約（第2標）（中正、萬華、松山、信義、大安、文山區）」等4案承商未辦理CLSM材料試驗，</w:t>
      </w:r>
      <w:proofErr w:type="gramStart"/>
      <w:r w:rsidRPr="00504100">
        <w:rPr>
          <w:rFonts w:ascii="標楷體" w:eastAsia="標楷體" w:hAnsi="標楷體" w:cs="Times New Roman" w:hint="eastAsia"/>
          <w:color w:val="000000"/>
          <w:szCs w:val="20"/>
        </w:rPr>
        <w:t>業扣回CLSM已估</w:t>
      </w:r>
      <w:proofErr w:type="gramEnd"/>
      <w:r w:rsidRPr="00504100">
        <w:rPr>
          <w:rFonts w:ascii="標楷體" w:eastAsia="標楷體" w:hAnsi="標楷體" w:cs="Times New Roman" w:hint="eastAsia"/>
          <w:color w:val="000000"/>
          <w:szCs w:val="20"/>
        </w:rPr>
        <w:t>驗契約價金共計93萬餘元；2.110年道路更新工程案因承商遺失</w:t>
      </w:r>
      <w:proofErr w:type="gramStart"/>
      <w:r w:rsidRPr="00504100">
        <w:rPr>
          <w:rFonts w:ascii="標楷體" w:eastAsia="標楷體" w:hAnsi="標楷體" w:cs="Times New Roman" w:hint="eastAsia"/>
          <w:color w:val="000000"/>
          <w:szCs w:val="20"/>
        </w:rPr>
        <w:t>澆置送貨單</w:t>
      </w:r>
      <w:proofErr w:type="gramEnd"/>
      <w:r w:rsidRPr="00504100">
        <w:rPr>
          <w:rFonts w:ascii="標楷體" w:eastAsia="標楷體" w:hAnsi="標楷體" w:cs="Times New Roman" w:hint="eastAsia"/>
          <w:color w:val="000000"/>
          <w:szCs w:val="20"/>
        </w:rPr>
        <w:t>，無法</w:t>
      </w:r>
      <w:proofErr w:type="gramStart"/>
      <w:r w:rsidRPr="00504100">
        <w:rPr>
          <w:rFonts w:ascii="標楷體" w:eastAsia="標楷體" w:hAnsi="標楷體" w:cs="Times New Roman" w:hint="eastAsia"/>
          <w:color w:val="000000"/>
          <w:szCs w:val="20"/>
        </w:rPr>
        <w:t>釐</w:t>
      </w:r>
      <w:proofErr w:type="gramEnd"/>
      <w:r w:rsidRPr="00504100">
        <w:rPr>
          <w:rFonts w:ascii="標楷體" w:eastAsia="標楷體" w:hAnsi="標楷體" w:cs="Times New Roman" w:hint="eastAsia"/>
          <w:color w:val="000000"/>
          <w:szCs w:val="20"/>
        </w:rPr>
        <w:t>清各車次載重疑義，經檢討</w:t>
      </w:r>
      <w:proofErr w:type="gramStart"/>
      <w:r w:rsidRPr="00504100">
        <w:rPr>
          <w:rFonts w:ascii="標楷體" w:eastAsia="標楷體" w:hAnsi="標楷體" w:cs="Times New Roman" w:hint="eastAsia"/>
          <w:color w:val="000000"/>
          <w:szCs w:val="20"/>
        </w:rPr>
        <w:t>業扣回CLSM已估</w:t>
      </w:r>
      <w:proofErr w:type="gramEnd"/>
      <w:r w:rsidRPr="00504100">
        <w:rPr>
          <w:rFonts w:ascii="標楷體" w:eastAsia="標楷體" w:hAnsi="標楷體" w:cs="Times New Roman" w:hint="eastAsia"/>
          <w:color w:val="000000"/>
          <w:szCs w:val="20"/>
        </w:rPr>
        <w:t>驗契約價金計16萬餘元，並</w:t>
      </w:r>
      <w:proofErr w:type="gramStart"/>
      <w:r w:rsidRPr="00504100">
        <w:rPr>
          <w:rFonts w:ascii="標楷體" w:eastAsia="標楷體" w:hAnsi="標楷體" w:cs="Times New Roman" w:hint="eastAsia"/>
          <w:color w:val="000000"/>
          <w:szCs w:val="20"/>
        </w:rPr>
        <w:t>扣罰監造</w:t>
      </w:r>
      <w:proofErr w:type="gramEnd"/>
      <w:r w:rsidRPr="00504100">
        <w:rPr>
          <w:rFonts w:ascii="標楷體" w:eastAsia="標楷體" w:hAnsi="標楷體" w:cs="Times New Roman" w:hint="eastAsia"/>
          <w:color w:val="000000"/>
          <w:szCs w:val="20"/>
        </w:rPr>
        <w:t>單位2萬餘元；另112年</w:t>
      </w:r>
      <w:proofErr w:type="gramStart"/>
      <w:r w:rsidRPr="00504100">
        <w:rPr>
          <w:rFonts w:ascii="標楷體" w:eastAsia="標楷體" w:hAnsi="標楷體" w:cs="Times New Roman" w:hint="eastAsia"/>
          <w:color w:val="000000"/>
          <w:szCs w:val="20"/>
        </w:rPr>
        <w:t>道路橋涵改善</w:t>
      </w:r>
      <w:proofErr w:type="gramEnd"/>
      <w:r w:rsidRPr="00504100">
        <w:rPr>
          <w:rFonts w:ascii="標楷體" w:eastAsia="標楷體" w:hAnsi="標楷體" w:cs="Times New Roman" w:hint="eastAsia"/>
          <w:color w:val="000000"/>
          <w:szCs w:val="20"/>
        </w:rPr>
        <w:t>工程案，針對承商及監造單位紀錄填寫不實部分，已依約扣罰2萬餘元。</w:t>
      </w:r>
    </w:p>
    <w:p w14:paraId="12ADE399" w14:textId="77777777" w:rsidR="00D74004" w:rsidRDefault="00D74004" w:rsidP="004F3186">
      <w:pPr>
        <w:widowControl/>
        <w:suppressAutoHyphens/>
        <w:overflowPunct w:val="0"/>
        <w:spacing w:beforeLines="50" w:before="180" w:afterLines="20" w:after="72" w:line="480" w:lineRule="exact"/>
        <w:ind w:firstLineChars="100" w:firstLine="280"/>
        <w:jc w:val="both"/>
        <w:rPr>
          <w:rFonts w:ascii="標楷體" w:eastAsia="標楷體" w:hAnsi="標楷體" w:cs="Times New Roman"/>
          <w:b/>
          <w:kern w:val="0"/>
          <w:sz w:val="28"/>
          <w:szCs w:val="28"/>
        </w:rPr>
      </w:pPr>
      <w:r w:rsidRPr="00DB2473">
        <w:rPr>
          <w:rFonts w:ascii="標楷體" w:eastAsia="標楷體" w:hAnsi="標楷體" w:cs="Times New Roman" w:hint="eastAsia"/>
          <w:b/>
          <w:sz w:val="28"/>
          <w:szCs w:val="28"/>
        </w:rPr>
        <w:t>（</w:t>
      </w:r>
      <w:r>
        <w:rPr>
          <w:rFonts w:ascii="標楷體" w:eastAsia="標楷體" w:hAnsi="標楷體" w:cs="Times New Roman" w:hint="eastAsia"/>
          <w:b/>
          <w:sz w:val="28"/>
          <w:szCs w:val="28"/>
        </w:rPr>
        <w:t>二</w:t>
      </w:r>
      <w:r w:rsidRPr="00DB2473">
        <w:rPr>
          <w:rFonts w:ascii="標楷體" w:eastAsia="標楷體" w:hAnsi="標楷體" w:cs="Times New Roman" w:hint="eastAsia"/>
          <w:b/>
          <w:kern w:val="0"/>
          <w:sz w:val="28"/>
          <w:szCs w:val="28"/>
        </w:rPr>
        <w:t>）</w:t>
      </w:r>
      <w:r w:rsidRPr="00591FA2">
        <w:rPr>
          <w:rFonts w:ascii="標楷體" w:eastAsia="標楷體" w:hAnsi="標楷體" w:cs="Times New Roman" w:hint="eastAsia"/>
          <w:b/>
          <w:kern w:val="0"/>
          <w:sz w:val="28"/>
          <w:szCs w:val="28"/>
        </w:rPr>
        <w:t>為解決轄內重大公共工程營建剩餘土石方處理問題並節省公</w:t>
      </w:r>
      <w:proofErr w:type="gramStart"/>
      <w:r w:rsidRPr="00591FA2">
        <w:rPr>
          <w:rFonts w:ascii="標楷體" w:eastAsia="標楷體" w:hAnsi="標楷體" w:cs="Times New Roman" w:hint="eastAsia"/>
          <w:b/>
          <w:kern w:val="0"/>
          <w:sz w:val="28"/>
          <w:szCs w:val="28"/>
        </w:rPr>
        <w:t>帑</w:t>
      </w:r>
      <w:proofErr w:type="gramEnd"/>
      <w:r w:rsidRPr="00591FA2">
        <w:rPr>
          <w:rFonts w:ascii="標楷體" w:eastAsia="標楷體" w:hAnsi="標楷體" w:cs="Times New Roman" w:hint="eastAsia"/>
          <w:b/>
          <w:kern w:val="0"/>
          <w:sz w:val="28"/>
          <w:szCs w:val="28"/>
        </w:rPr>
        <w:t>，協助承商將工程產出營建剩餘土石方交換至</w:t>
      </w:r>
      <w:proofErr w:type="gramStart"/>
      <w:r w:rsidRPr="00591FA2">
        <w:rPr>
          <w:rFonts w:ascii="標楷體" w:eastAsia="標楷體" w:hAnsi="標楷體" w:cs="Times New Roman" w:hint="eastAsia"/>
          <w:b/>
          <w:kern w:val="0"/>
          <w:sz w:val="28"/>
          <w:szCs w:val="28"/>
        </w:rPr>
        <w:t>臺</w:t>
      </w:r>
      <w:proofErr w:type="gramEnd"/>
      <w:r w:rsidRPr="00591FA2">
        <w:rPr>
          <w:rFonts w:ascii="標楷體" w:eastAsia="標楷體" w:hAnsi="標楷體" w:cs="Times New Roman" w:hint="eastAsia"/>
          <w:b/>
          <w:kern w:val="0"/>
          <w:sz w:val="28"/>
          <w:szCs w:val="28"/>
        </w:rPr>
        <w:t>北港收容，</w:t>
      </w:r>
      <w:proofErr w:type="gramStart"/>
      <w:r w:rsidRPr="00591FA2">
        <w:rPr>
          <w:rFonts w:ascii="標楷體" w:eastAsia="標楷體" w:hAnsi="標楷體" w:cs="Times New Roman" w:hint="eastAsia"/>
          <w:b/>
          <w:kern w:val="0"/>
          <w:sz w:val="28"/>
          <w:szCs w:val="28"/>
        </w:rPr>
        <w:t>惟間有未</w:t>
      </w:r>
      <w:proofErr w:type="gramEnd"/>
      <w:r w:rsidRPr="00591FA2">
        <w:rPr>
          <w:rFonts w:ascii="標楷體" w:eastAsia="標楷體" w:hAnsi="標楷體" w:cs="Times New Roman" w:hint="eastAsia"/>
          <w:b/>
          <w:kern w:val="0"/>
          <w:sz w:val="28"/>
          <w:szCs w:val="28"/>
        </w:rPr>
        <w:t>依規定編列及計付土石方處理及運輸費用，</w:t>
      </w:r>
      <w:proofErr w:type="gramStart"/>
      <w:r w:rsidRPr="00591FA2">
        <w:rPr>
          <w:rFonts w:ascii="標楷體" w:eastAsia="標楷體" w:hAnsi="標楷體" w:cs="Times New Roman" w:hint="eastAsia"/>
          <w:b/>
          <w:kern w:val="0"/>
          <w:sz w:val="28"/>
          <w:szCs w:val="28"/>
        </w:rPr>
        <w:t>致溢付承</w:t>
      </w:r>
      <w:proofErr w:type="gramEnd"/>
      <w:r w:rsidRPr="00591FA2">
        <w:rPr>
          <w:rFonts w:ascii="標楷體" w:eastAsia="標楷體" w:hAnsi="標楷體" w:cs="Times New Roman" w:hint="eastAsia"/>
          <w:b/>
          <w:kern w:val="0"/>
          <w:sz w:val="28"/>
          <w:szCs w:val="28"/>
        </w:rPr>
        <w:t>商工程價款情事，有待</w:t>
      </w:r>
      <w:proofErr w:type="gramStart"/>
      <w:r w:rsidRPr="00591FA2">
        <w:rPr>
          <w:rFonts w:ascii="標楷體" w:eastAsia="標楷體" w:hAnsi="標楷體" w:cs="Times New Roman" w:hint="eastAsia"/>
          <w:b/>
          <w:kern w:val="0"/>
          <w:sz w:val="28"/>
          <w:szCs w:val="28"/>
        </w:rPr>
        <w:t>檢討妥處</w:t>
      </w:r>
      <w:proofErr w:type="gramEnd"/>
      <w:r>
        <w:rPr>
          <w:rFonts w:ascii="標楷體" w:eastAsia="標楷體" w:hAnsi="標楷體" w:cs="Times New Roman" w:hint="eastAsia"/>
          <w:b/>
          <w:kern w:val="0"/>
          <w:sz w:val="28"/>
          <w:szCs w:val="28"/>
        </w:rPr>
        <w:t>。</w:t>
      </w:r>
    </w:p>
    <w:p w14:paraId="7E414164" w14:textId="3E106A06" w:rsidR="004F3186" w:rsidRDefault="00D74004" w:rsidP="004F3186">
      <w:pPr>
        <w:widowControl/>
        <w:tabs>
          <w:tab w:val="left" w:pos="1560"/>
        </w:tabs>
        <w:kinsoku w:val="0"/>
        <w:wordWrap w:val="0"/>
        <w:overflowPunct w:val="0"/>
        <w:spacing w:beforeLines="20" w:before="72" w:line="450" w:lineRule="exact"/>
        <w:ind w:firstLineChars="200" w:firstLine="480"/>
        <w:jc w:val="both"/>
        <w:rPr>
          <w:rFonts w:ascii="標楷體" w:eastAsia="標楷體" w:hAnsi="標楷體" w:cs="Times New Roman"/>
          <w:bCs/>
          <w:szCs w:val="24"/>
        </w:rPr>
      </w:pPr>
      <w:r w:rsidRPr="00591FA2">
        <w:rPr>
          <w:rFonts w:ascii="標楷體" w:eastAsia="標楷體" w:hAnsi="標楷體" w:cs="Times New Roman" w:hint="eastAsia"/>
          <w:bCs/>
          <w:szCs w:val="24"/>
        </w:rPr>
        <w:t>臺北市政府所屬機關為解決轄內公共工程產出營建剩餘土石方處理問題並節省公</w:t>
      </w:r>
      <w:proofErr w:type="gramStart"/>
      <w:r w:rsidRPr="00591FA2">
        <w:rPr>
          <w:rFonts w:ascii="標楷體" w:eastAsia="標楷體" w:hAnsi="標楷體" w:cs="Times New Roman" w:hint="eastAsia"/>
          <w:bCs/>
          <w:szCs w:val="24"/>
        </w:rPr>
        <w:t>帑</w:t>
      </w:r>
      <w:proofErr w:type="gramEnd"/>
      <w:r w:rsidRPr="00591FA2">
        <w:rPr>
          <w:rFonts w:ascii="標楷體" w:eastAsia="標楷體" w:hAnsi="標楷體" w:cs="Times New Roman" w:hint="eastAsia"/>
          <w:bCs/>
          <w:szCs w:val="24"/>
        </w:rPr>
        <w:t>，近年多將辦理工程所產出之土石方，協助承商透過營建剩餘土石方交換利用機制運至新北市八里區「</w:t>
      </w:r>
      <w:proofErr w:type="gramStart"/>
      <w:r w:rsidRPr="00591FA2">
        <w:rPr>
          <w:rFonts w:ascii="標楷體" w:eastAsia="標楷體" w:hAnsi="標楷體" w:cs="Times New Roman" w:hint="eastAsia"/>
          <w:bCs/>
          <w:szCs w:val="24"/>
        </w:rPr>
        <w:t>臺</w:t>
      </w:r>
      <w:proofErr w:type="gramEnd"/>
      <w:r w:rsidRPr="00591FA2">
        <w:rPr>
          <w:rFonts w:ascii="標楷體" w:eastAsia="標楷體" w:hAnsi="標楷體" w:cs="Times New Roman" w:hint="eastAsia"/>
          <w:bCs/>
          <w:szCs w:val="24"/>
        </w:rPr>
        <w:t>北商港物流倉儲區填海造地計畫</w:t>
      </w:r>
      <w:proofErr w:type="gramStart"/>
      <w:r w:rsidRPr="00591FA2">
        <w:rPr>
          <w:rFonts w:ascii="標楷體" w:eastAsia="標楷體" w:hAnsi="標楷體" w:cs="Times New Roman" w:hint="eastAsia"/>
          <w:bCs/>
          <w:szCs w:val="24"/>
        </w:rPr>
        <w:t>第二期造地</w:t>
      </w:r>
      <w:proofErr w:type="gramEnd"/>
      <w:r w:rsidRPr="00591FA2">
        <w:rPr>
          <w:rFonts w:ascii="標楷體" w:eastAsia="標楷體" w:hAnsi="標楷體" w:cs="Times New Roman" w:hint="eastAsia"/>
          <w:bCs/>
          <w:szCs w:val="24"/>
        </w:rPr>
        <w:t>工程」（下稱</w:t>
      </w:r>
      <w:proofErr w:type="gramStart"/>
      <w:r w:rsidRPr="00591FA2">
        <w:rPr>
          <w:rFonts w:ascii="標楷體" w:eastAsia="標楷體" w:hAnsi="標楷體" w:cs="Times New Roman" w:hint="eastAsia"/>
          <w:bCs/>
          <w:szCs w:val="24"/>
        </w:rPr>
        <w:t>臺</w:t>
      </w:r>
      <w:proofErr w:type="gramEnd"/>
      <w:r w:rsidRPr="00591FA2">
        <w:rPr>
          <w:rFonts w:ascii="標楷體" w:eastAsia="標楷體" w:hAnsi="標楷體" w:cs="Times New Roman" w:hint="eastAsia"/>
          <w:bCs/>
          <w:szCs w:val="24"/>
        </w:rPr>
        <w:t>北港）收容，再由</w:t>
      </w:r>
      <w:proofErr w:type="gramStart"/>
      <w:r w:rsidRPr="00591FA2">
        <w:rPr>
          <w:rFonts w:ascii="標楷體" w:eastAsia="標楷體" w:hAnsi="標楷體" w:cs="Times New Roman" w:hint="eastAsia"/>
          <w:bCs/>
          <w:szCs w:val="24"/>
        </w:rPr>
        <w:t>承商按施工</w:t>
      </w:r>
      <w:proofErr w:type="gramEnd"/>
      <w:r w:rsidRPr="00591FA2">
        <w:rPr>
          <w:rFonts w:ascii="標楷體" w:eastAsia="標楷體" w:hAnsi="標楷體" w:cs="Times New Roman" w:hint="eastAsia"/>
          <w:bCs/>
          <w:szCs w:val="24"/>
        </w:rPr>
        <w:t>實際情形辦理出土作業，並依「</w:t>
      </w:r>
      <w:proofErr w:type="gramStart"/>
      <w:r w:rsidRPr="00591FA2">
        <w:rPr>
          <w:rFonts w:ascii="標楷體" w:eastAsia="標楷體" w:hAnsi="標楷體" w:cs="Times New Roman" w:hint="eastAsia"/>
          <w:bCs/>
          <w:szCs w:val="24"/>
        </w:rPr>
        <w:t>臺</w:t>
      </w:r>
      <w:proofErr w:type="gramEnd"/>
      <w:r w:rsidRPr="00591FA2">
        <w:rPr>
          <w:rFonts w:ascii="標楷體" w:eastAsia="標楷體" w:hAnsi="標楷體" w:cs="Times New Roman" w:hint="eastAsia"/>
          <w:bCs/>
          <w:szCs w:val="24"/>
        </w:rPr>
        <w:t>北港收容公共工程營建剩餘土石方作業規定」訂</w:t>
      </w:r>
      <w:proofErr w:type="gramStart"/>
      <w:r w:rsidRPr="00591FA2">
        <w:rPr>
          <w:rFonts w:ascii="標楷體" w:eastAsia="標楷體" w:hAnsi="標楷體" w:cs="Times New Roman" w:hint="eastAsia"/>
          <w:bCs/>
          <w:szCs w:val="24"/>
        </w:rPr>
        <w:t>定收土</w:t>
      </w:r>
      <w:proofErr w:type="gramEnd"/>
      <w:r w:rsidRPr="00591FA2">
        <w:rPr>
          <w:rFonts w:ascii="標楷體" w:eastAsia="標楷體" w:hAnsi="標楷體" w:cs="Times New Roman" w:hint="eastAsia"/>
          <w:bCs/>
          <w:szCs w:val="24"/>
        </w:rPr>
        <w:t>作業所收取之土方管理費率繳納費用予</w:t>
      </w:r>
      <w:proofErr w:type="gramStart"/>
      <w:r w:rsidRPr="00591FA2">
        <w:rPr>
          <w:rFonts w:ascii="標楷體" w:eastAsia="標楷體" w:hAnsi="標楷體" w:cs="Times New Roman" w:hint="eastAsia"/>
          <w:bCs/>
          <w:szCs w:val="24"/>
        </w:rPr>
        <w:t>臺</w:t>
      </w:r>
      <w:proofErr w:type="gramEnd"/>
      <w:r w:rsidRPr="00591FA2">
        <w:rPr>
          <w:rFonts w:ascii="標楷體" w:eastAsia="標楷體" w:hAnsi="標楷體" w:cs="Times New Roman" w:hint="eastAsia"/>
          <w:bCs/>
          <w:szCs w:val="24"/>
        </w:rPr>
        <w:t>北港管理單位。依內政部訂定「公共工程及公有建築工程營建剩餘土石方交換利用作業要點」（下稱土石方交換作業要點）第11點第1款規定，主辦機關應將土石方交換協調結果納入土石方資源處理或來源規劃構想，並依該規劃構想</w:t>
      </w:r>
      <w:proofErr w:type="gramStart"/>
      <w:r w:rsidRPr="00591FA2">
        <w:rPr>
          <w:rFonts w:ascii="標楷體" w:eastAsia="標楷體" w:hAnsi="標楷體" w:cs="Times New Roman" w:hint="eastAsia"/>
          <w:bCs/>
          <w:szCs w:val="24"/>
        </w:rPr>
        <w:t>覈</w:t>
      </w:r>
      <w:proofErr w:type="gramEnd"/>
      <w:r w:rsidRPr="00591FA2">
        <w:rPr>
          <w:rFonts w:ascii="標楷體" w:eastAsia="標楷體" w:hAnsi="標楷體" w:cs="Times New Roman" w:hint="eastAsia"/>
          <w:bCs/>
          <w:szCs w:val="24"/>
        </w:rPr>
        <w:t>實編列土石方開挖、處理、運輸、購置、</w:t>
      </w:r>
      <w:proofErr w:type="gramStart"/>
      <w:r w:rsidRPr="00591FA2">
        <w:rPr>
          <w:rFonts w:ascii="標楷體" w:eastAsia="標楷體" w:hAnsi="標楷體" w:cs="Times New Roman" w:hint="eastAsia"/>
          <w:bCs/>
          <w:szCs w:val="24"/>
        </w:rPr>
        <w:t>夯實等</w:t>
      </w:r>
      <w:proofErr w:type="gramEnd"/>
      <w:r w:rsidRPr="00591FA2">
        <w:rPr>
          <w:rFonts w:ascii="標楷體" w:eastAsia="標楷體" w:hAnsi="標楷體" w:cs="Times New Roman" w:hint="eastAsia"/>
          <w:bCs/>
          <w:szCs w:val="24"/>
        </w:rPr>
        <w:t>相關費用，依實際處理數量計價。經查新建工程處</w:t>
      </w:r>
      <w:r>
        <w:rPr>
          <w:rFonts w:ascii="標楷體" w:eastAsia="標楷體" w:hAnsi="標楷體" w:cs="Times New Roman" w:hint="eastAsia"/>
          <w:bCs/>
          <w:szCs w:val="24"/>
        </w:rPr>
        <w:t>（下稱新工處</w:t>
      </w:r>
      <w:r w:rsidR="00196B4A">
        <w:rPr>
          <w:rFonts w:ascii="標楷體" w:eastAsia="標楷體" w:hAnsi="標楷體" w:cs="Times New Roman" w:hint="eastAsia"/>
          <w:bCs/>
          <w:szCs w:val="24"/>
        </w:rPr>
        <w:t>）</w:t>
      </w:r>
      <w:r w:rsidRPr="00591FA2">
        <w:rPr>
          <w:rFonts w:ascii="標楷體" w:eastAsia="標楷體" w:hAnsi="標楷體" w:cs="Times New Roman" w:hint="eastAsia"/>
          <w:bCs/>
          <w:szCs w:val="24"/>
        </w:rPr>
        <w:t>及大地工程處</w:t>
      </w:r>
      <w:r>
        <w:rPr>
          <w:rFonts w:ascii="標楷體" w:eastAsia="標楷體" w:hAnsi="標楷體" w:cs="Times New Roman" w:hint="eastAsia"/>
          <w:bCs/>
          <w:szCs w:val="24"/>
        </w:rPr>
        <w:t>（下稱大地處</w:t>
      </w:r>
      <w:r w:rsidR="00196B4A">
        <w:rPr>
          <w:rFonts w:ascii="標楷體" w:eastAsia="標楷體" w:hAnsi="標楷體" w:cs="Times New Roman" w:hint="eastAsia"/>
          <w:bCs/>
          <w:szCs w:val="24"/>
        </w:rPr>
        <w:t>）</w:t>
      </w:r>
      <w:r>
        <w:rPr>
          <w:rFonts w:ascii="標楷體" w:eastAsia="標楷體" w:hAnsi="標楷體" w:cs="Times New Roman" w:hint="eastAsia"/>
          <w:bCs/>
          <w:szCs w:val="24"/>
        </w:rPr>
        <w:t>自109年起</w:t>
      </w:r>
      <w:r w:rsidRPr="00591FA2">
        <w:rPr>
          <w:rFonts w:ascii="標楷體" w:eastAsia="標楷體" w:hAnsi="標楷體" w:cs="Times New Roman" w:hint="eastAsia"/>
          <w:bCs/>
          <w:szCs w:val="24"/>
        </w:rPr>
        <w:t>辦理「臺北市職能發展學院原機工大樓及學員宿舍用地改建工程」等7案，決標金額合計70億7,853萬餘元，其營建剩餘土石方交換至</w:t>
      </w:r>
      <w:proofErr w:type="gramStart"/>
      <w:r w:rsidRPr="00591FA2">
        <w:rPr>
          <w:rFonts w:ascii="標楷體" w:eastAsia="標楷體" w:hAnsi="標楷體" w:cs="Times New Roman" w:hint="eastAsia"/>
          <w:bCs/>
          <w:szCs w:val="24"/>
        </w:rPr>
        <w:t>臺</w:t>
      </w:r>
      <w:proofErr w:type="gramEnd"/>
      <w:r w:rsidRPr="00591FA2">
        <w:rPr>
          <w:rFonts w:ascii="標楷體" w:eastAsia="標楷體" w:hAnsi="標楷體" w:cs="Times New Roman" w:hint="eastAsia"/>
          <w:bCs/>
          <w:szCs w:val="24"/>
        </w:rPr>
        <w:t>北港收容情形，核有：1.依臺北市政府109年6月15日</w:t>
      </w:r>
      <w:proofErr w:type="gramStart"/>
      <w:r w:rsidRPr="00591FA2">
        <w:rPr>
          <w:rFonts w:ascii="標楷體" w:eastAsia="標楷體" w:hAnsi="標楷體" w:cs="Times New Roman" w:hint="eastAsia"/>
          <w:bCs/>
          <w:szCs w:val="24"/>
        </w:rPr>
        <w:t>函頒「</w:t>
      </w:r>
      <w:proofErr w:type="gramEnd"/>
      <w:r w:rsidRPr="00591FA2">
        <w:rPr>
          <w:rFonts w:ascii="標楷體" w:eastAsia="標楷體" w:hAnsi="標楷體" w:cs="Times New Roman" w:hint="eastAsia"/>
          <w:bCs/>
          <w:szCs w:val="24"/>
        </w:rPr>
        <w:t>臺北市政府各機關辦理公共工程營建剩餘資源交換作業流程」（下稱交換作業流程）規定，主辦機關辦理土方交換時，出土機關應</w:t>
      </w:r>
      <w:proofErr w:type="gramStart"/>
      <w:r w:rsidRPr="00591FA2">
        <w:rPr>
          <w:rFonts w:ascii="標楷體" w:eastAsia="標楷體" w:hAnsi="標楷體" w:cs="Times New Roman" w:hint="eastAsia"/>
          <w:bCs/>
          <w:szCs w:val="24"/>
        </w:rPr>
        <w:t>依需土</w:t>
      </w:r>
      <w:proofErr w:type="gramEnd"/>
      <w:r w:rsidRPr="00591FA2">
        <w:rPr>
          <w:rFonts w:ascii="標楷體" w:eastAsia="標楷體" w:hAnsi="標楷體" w:cs="Times New Roman" w:hint="eastAsia"/>
          <w:bCs/>
          <w:szCs w:val="24"/>
        </w:rPr>
        <w:t>機關公告之處理費用</w:t>
      </w:r>
      <w:proofErr w:type="gramStart"/>
      <w:r w:rsidRPr="00591FA2">
        <w:rPr>
          <w:rFonts w:ascii="標楷體" w:eastAsia="標楷體" w:hAnsi="標楷體" w:cs="Times New Roman" w:hint="eastAsia"/>
          <w:bCs/>
          <w:szCs w:val="24"/>
        </w:rPr>
        <w:t>覈</w:t>
      </w:r>
      <w:proofErr w:type="gramEnd"/>
      <w:r w:rsidRPr="00591FA2">
        <w:rPr>
          <w:rFonts w:ascii="標楷體" w:eastAsia="標楷體" w:hAnsi="標楷體" w:cs="Times New Roman" w:hint="eastAsia"/>
          <w:bCs/>
          <w:szCs w:val="24"/>
        </w:rPr>
        <w:t>實編列，惟新工處辦理「臺北市職能發展學院原機工大樓及學員宿舍用地改建工程」等3案，對於交換至</w:t>
      </w:r>
      <w:proofErr w:type="gramStart"/>
      <w:r w:rsidRPr="00591FA2">
        <w:rPr>
          <w:rFonts w:ascii="標楷體" w:eastAsia="標楷體" w:hAnsi="標楷體" w:cs="Times New Roman" w:hint="eastAsia"/>
          <w:bCs/>
          <w:szCs w:val="24"/>
        </w:rPr>
        <w:t>臺</w:t>
      </w:r>
      <w:proofErr w:type="gramEnd"/>
      <w:r w:rsidRPr="00591FA2">
        <w:rPr>
          <w:rFonts w:ascii="標楷體" w:eastAsia="標楷體" w:hAnsi="標楷體" w:cs="Times New Roman" w:hint="eastAsia"/>
          <w:bCs/>
          <w:szCs w:val="24"/>
        </w:rPr>
        <w:t>北港收容之營建剩餘土石方，其契約所編列支付承商之棄土區費用，已高於</w:t>
      </w:r>
      <w:proofErr w:type="gramStart"/>
      <w:r w:rsidRPr="00591FA2">
        <w:rPr>
          <w:rFonts w:ascii="標楷體" w:eastAsia="標楷體" w:hAnsi="標楷體" w:cs="Times New Roman" w:hint="eastAsia"/>
          <w:bCs/>
          <w:szCs w:val="24"/>
        </w:rPr>
        <w:t>臺</w:t>
      </w:r>
      <w:proofErr w:type="gramEnd"/>
      <w:r w:rsidRPr="00591FA2">
        <w:rPr>
          <w:rFonts w:ascii="標楷體" w:eastAsia="標楷體" w:hAnsi="標楷體" w:cs="Times New Roman" w:hint="eastAsia"/>
          <w:bCs/>
          <w:szCs w:val="24"/>
        </w:rPr>
        <w:t>北港管理單位公告費率，核與前揭交換作業流程規定不符；2.新工處辦理「萬隆東營區社會福利設施用地新建工程」等3案，以及大</w:t>
      </w:r>
      <w:r>
        <w:rPr>
          <w:rFonts w:ascii="標楷體" w:eastAsia="標楷體" w:hAnsi="標楷體" w:cs="Times New Roman" w:hint="eastAsia"/>
          <w:bCs/>
          <w:szCs w:val="24"/>
        </w:rPr>
        <w:t>地</w:t>
      </w:r>
      <w:r w:rsidRPr="00591FA2">
        <w:rPr>
          <w:rFonts w:ascii="標楷體" w:eastAsia="標楷體" w:hAnsi="標楷體" w:cs="Times New Roman" w:hint="eastAsia"/>
          <w:bCs/>
          <w:szCs w:val="24"/>
        </w:rPr>
        <w:t>處辦理「</w:t>
      </w:r>
      <w:proofErr w:type="gramStart"/>
      <w:r w:rsidRPr="00591FA2">
        <w:rPr>
          <w:rFonts w:ascii="標楷體" w:eastAsia="標楷體" w:hAnsi="標楷體" w:cs="Times New Roman" w:hint="eastAsia"/>
          <w:bCs/>
          <w:szCs w:val="24"/>
        </w:rPr>
        <w:t>112</w:t>
      </w:r>
      <w:proofErr w:type="gramEnd"/>
      <w:r w:rsidRPr="00591FA2">
        <w:rPr>
          <w:rFonts w:ascii="標楷體" w:eastAsia="標楷體" w:hAnsi="標楷體" w:cs="Times New Roman" w:hint="eastAsia"/>
          <w:bCs/>
          <w:szCs w:val="24"/>
        </w:rPr>
        <w:t>年度軍墓園區水土保</w:t>
      </w:r>
    </w:p>
    <w:p w14:paraId="3401270B" w14:textId="3CE6AFC9" w:rsidR="00D74004" w:rsidRDefault="00D537EA" w:rsidP="00D537EA">
      <w:pPr>
        <w:widowControl/>
        <w:tabs>
          <w:tab w:val="left" w:pos="1560"/>
        </w:tabs>
        <w:kinsoku w:val="0"/>
        <w:wordWrap w:val="0"/>
        <w:overflowPunct w:val="0"/>
        <w:spacing w:beforeLines="20" w:before="72" w:line="500" w:lineRule="exact"/>
        <w:jc w:val="both"/>
        <w:rPr>
          <w:rFonts w:ascii="標楷體" w:eastAsia="標楷體" w:hAnsi="標楷體" w:cs="Times New Roman"/>
          <w:bCs/>
          <w:szCs w:val="24"/>
        </w:rPr>
      </w:pPr>
      <w:r w:rsidRPr="004F3186">
        <w:rPr>
          <w:rFonts w:ascii="標楷體" w:eastAsia="標楷體" w:hAnsi="標楷體" w:hint="eastAsia"/>
          <w:noProof/>
        </w:rPr>
        <w:lastRenderedPageBreak/>
        <mc:AlternateContent>
          <mc:Choice Requires="wps">
            <w:drawing>
              <wp:anchor distT="0" distB="0" distL="114300" distR="114300" simplePos="0" relativeHeight="251793408" behindDoc="1" locked="0" layoutInCell="1" allowOverlap="1" wp14:anchorId="56C6AC4F" wp14:editId="2E9B4B47">
                <wp:simplePos x="0" y="0"/>
                <wp:positionH relativeFrom="column">
                  <wp:posOffset>-53508</wp:posOffset>
                </wp:positionH>
                <wp:positionV relativeFrom="page">
                  <wp:posOffset>4967545</wp:posOffset>
                </wp:positionV>
                <wp:extent cx="6391275" cy="4804410"/>
                <wp:effectExtent l="0" t="0" r="9525" b="0"/>
                <wp:wrapTopAndBottom/>
                <wp:docPr id="927419587" name="文字方塊 927419587"/>
                <wp:cNvGraphicFramePr/>
                <a:graphic xmlns:a="http://schemas.openxmlformats.org/drawingml/2006/main">
                  <a:graphicData uri="http://schemas.microsoft.com/office/word/2010/wordprocessingShape">
                    <wps:wsp>
                      <wps:cNvSpPr txBox="1"/>
                      <wps:spPr>
                        <a:xfrm>
                          <a:off x="0" y="0"/>
                          <a:ext cx="6391275" cy="4804410"/>
                        </a:xfrm>
                        <a:prstGeom prst="rect">
                          <a:avLst/>
                        </a:prstGeom>
                        <a:solidFill>
                          <a:schemeClr val="lt1"/>
                        </a:solidFill>
                        <a:ln w="6350">
                          <a:noFill/>
                        </a:ln>
                      </wps:spPr>
                      <wps:txbx>
                        <w:txbxContent>
                          <w:p w14:paraId="70EA55AF" w14:textId="77777777" w:rsidR="00D74004" w:rsidRPr="00D86FD4" w:rsidRDefault="00D74004" w:rsidP="00D74004">
                            <w:pPr>
                              <w:spacing w:line="0" w:lineRule="atLeast"/>
                              <w:jc w:val="center"/>
                              <w:rPr>
                                <w:rFonts w:ascii="標楷體" w:eastAsia="標楷體" w:hAnsi="標楷體"/>
                                <w:b/>
                                <w:bCs/>
                              </w:rPr>
                            </w:pPr>
                            <w:r w:rsidRPr="00D86FD4">
                              <w:rPr>
                                <w:rFonts w:ascii="標楷體" w:eastAsia="標楷體" w:hAnsi="標楷體" w:hint="eastAsia"/>
                                <w:b/>
                                <w:bCs/>
                              </w:rPr>
                              <w:t>表</w:t>
                            </w:r>
                            <w:r>
                              <w:rPr>
                                <w:rFonts w:ascii="標楷體" w:eastAsia="標楷體" w:hAnsi="標楷體"/>
                                <w:b/>
                                <w:bCs/>
                              </w:rPr>
                              <w:t>2</w:t>
                            </w:r>
                            <w:r>
                              <w:rPr>
                                <w:rFonts w:ascii="標楷體" w:eastAsia="標楷體" w:hAnsi="標楷體" w:hint="eastAsia"/>
                                <w:b/>
                                <w:bCs/>
                              </w:rPr>
                              <w:t xml:space="preserve">　</w:t>
                            </w:r>
                            <w:r w:rsidRPr="00D86FD4">
                              <w:rPr>
                                <w:rFonts w:ascii="標楷體" w:eastAsia="標楷體" w:hAnsi="標楷體" w:hint="eastAsia"/>
                                <w:b/>
                                <w:bCs/>
                              </w:rPr>
                              <w:t>抽查案件</w:t>
                            </w:r>
                            <w:r>
                              <w:rPr>
                                <w:rFonts w:ascii="標楷體" w:eastAsia="標楷體" w:hAnsi="標楷體" w:hint="eastAsia"/>
                                <w:b/>
                                <w:bCs/>
                              </w:rPr>
                              <w:t>之營建剩餘土石方處理</w:t>
                            </w:r>
                            <w:r w:rsidRPr="00D86FD4">
                              <w:rPr>
                                <w:rFonts w:ascii="標楷體" w:eastAsia="標楷體" w:hAnsi="標楷體" w:hint="eastAsia"/>
                                <w:b/>
                                <w:bCs/>
                              </w:rPr>
                              <w:t>缺失態樣</w:t>
                            </w:r>
                          </w:p>
                          <w:p w14:paraId="68E61FF2" w14:textId="77777777" w:rsidR="00D74004" w:rsidRPr="00D86FD4" w:rsidRDefault="00D74004" w:rsidP="00D74004">
                            <w:pPr>
                              <w:spacing w:line="0" w:lineRule="atLeast"/>
                              <w:jc w:val="right"/>
                              <w:rPr>
                                <w:rFonts w:ascii="標楷體" w:eastAsia="標楷體" w:hAnsi="標楷體"/>
                                <w:sz w:val="20"/>
                              </w:rPr>
                            </w:pPr>
                            <w:r w:rsidRPr="00D86FD4">
                              <w:rPr>
                                <w:rFonts w:ascii="標楷體" w:eastAsia="標楷體" w:hAnsi="標楷體" w:hint="eastAsia"/>
                                <w:sz w:val="20"/>
                              </w:rPr>
                              <w:t>單位：新臺幣千元</w:t>
                            </w:r>
                          </w:p>
                          <w:tbl>
                            <w:tblPr>
                              <w:tblStyle w:val="a6"/>
                              <w:tblW w:w="9776" w:type="dxa"/>
                              <w:tblLook w:val="04A0" w:firstRow="1" w:lastRow="0" w:firstColumn="1" w:lastColumn="0" w:noHBand="0" w:noVBand="1"/>
                            </w:tblPr>
                            <w:tblGrid>
                              <w:gridCol w:w="417"/>
                              <w:gridCol w:w="1245"/>
                              <w:gridCol w:w="2835"/>
                              <w:gridCol w:w="1134"/>
                              <w:gridCol w:w="1381"/>
                              <w:gridCol w:w="1382"/>
                              <w:gridCol w:w="1382"/>
                            </w:tblGrid>
                            <w:tr w:rsidR="00D74004" w:rsidRPr="00B621CF" w14:paraId="0A082057" w14:textId="77777777" w:rsidTr="00824CD6">
                              <w:tc>
                                <w:tcPr>
                                  <w:tcW w:w="417" w:type="dxa"/>
                                  <w:vMerge w:val="restart"/>
                                  <w:vAlign w:val="center"/>
                                </w:tcPr>
                                <w:p w14:paraId="5F646D0A"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項次</w:t>
                                  </w:r>
                                </w:p>
                              </w:tc>
                              <w:tc>
                                <w:tcPr>
                                  <w:tcW w:w="1245" w:type="dxa"/>
                                  <w:vMerge w:val="restart"/>
                                  <w:vAlign w:val="center"/>
                                </w:tcPr>
                                <w:p w14:paraId="2AB80894"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主辦機關</w:t>
                                  </w:r>
                                </w:p>
                              </w:tc>
                              <w:tc>
                                <w:tcPr>
                                  <w:tcW w:w="2835" w:type="dxa"/>
                                  <w:vMerge w:val="restart"/>
                                  <w:vAlign w:val="center"/>
                                </w:tcPr>
                                <w:p w14:paraId="712DD77A"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工程名稱</w:t>
                                  </w:r>
                                </w:p>
                              </w:tc>
                              <w:tc>
                                <w:tcPr>
                                  <w:tcW w:w="1134" w:type="dxa"/>
                                  <w:vMerge w:val="restart"/>
                                  <w:vAlign w:val="center"/>
                                </w:tcPr>
                                <w:p w14:paraId="06B048A1"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決標金額</w:t>
                                  </w:r>
                                </w:p>
                              </w:tc>
                              <w:tc>
                                <w:tcPr>
                                  <w:tcW w:w="4145" w:type="dxa"/>
                                  <w:gridSpan w:val="3"/>
                                  <w:vAlign w:val="center"/>
                                </w:tcPr>
                                <w:p w14:paraId="33DEEBC8"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缺失態樣</w:t>
                                  </w:r>
                                </w:p>
                              </w:tc>
                            </w:tr>
                            <w:tr w:rsidR="00D74004" w:rsidRPr="00B621CF" w14:paraId="72027D97" w14:textId="77777777" w:rsidTr="00824CD6">
                              <w:tc>
                                <w:tcPr>
                                  <w:tcW w:w="417" w:type="dxa"/>
                                  <w:vMerge/>
                                  <w:vAlign w:val="center"/>
                                </w:tcPr>
                                <w:p w14:paraId="74CD646C" w14:textId="77777777" w:rsidR="00D74004" w:rsidRPr="00B621CF" w:rsidRDefault="00D74004" w:rsidP="00824CD6">
                                  <w:pPr>
                                    <w:spacing w:line="0" w:lineRule="atLeast"/>
                                    <w:jc w:val="center"/>
                                    <w:rPr>
                                      <w:rFonts w:ascii="標楷體" w:eastAsia="標楷體" w:hAnsi="標楷體"/>
                                    </w:rPr>
                                  </w:pPr>
                                </w:p>
                              </w:tc>
                              <w:tc>
                                <w:tcPr>
                                  <w:tcW w:w="1245" w:type="dxa"/>
                                  <w:vMerge/>
                                  <w:vAlign w:val="center"/>
                                </w:tcPr>
                                <w:p w14:paraId="069273A1" w14:textId="77777777" w:rsidR="00D74004" w:rsidRPr="00B621CF" w:rsidRDefault="00D74004" w:rsidP="00824CD6">
                                  <w:pPr>
                                    <w:spacing w:line="0" w:lineRule="atLeast"/>
                                    <w:jc w:val="center"/>
                                    <w:rPr>
                                      <w:rFonts w:ascii="標楷體" w:eastAsia="標楷體" w:hAnsi="標楷體"/>
                                    </w:rPr>
                                  </w:pPr>
                                </w:p>
                              </w:tc>
                              <w:tc>
                                <w:tcPr>
                                  <w:tcW w:w="2835" w:type="dxa"/>
                                  <w:vMerge/>
                                  <w:vAlign w:val="center"/>
                                </w:tcPr>
                                <w:p w14:paraId="3B6AACA6" w14:textId="77777777" w:rsidR="00D74004" w:rsidRPr="00B621CF" w:rsidRDefault="00D74004" w:rsidP="00824CD6">
                                  <w:pPr>
                                    <w:spacing w:line="0" w:lineRule="atLeast"/>
                                    <w:jc w:val="center"/>
                                    <w:rPr>
                                      <w:rFonts w:ascii="標楷體" w:eastAsia="標楷體" w:hAnsi="標楷體"/>
                                    </w:rPr>
                                  </w:pPr>
                                </w:p>
                              </w:tc>
                              <w:tc>
                                <w:tcPr>
                                  <w:tcW w:w="1134" w:type="dxa"/>
                                  <w:vMerge/>
                                  <w:vAlign w:val="center"/>
                                </w:tcPr>
                                <w:p w14:paraId="066E28E3" w14:textId="77777777" w:rsidR="00D74004" w:rsidRPr="00B621CF" w:rsidRDefault="00D74004" w:rsidP="00824CD6">
                                  <w:pPr>
                                    <w:spacing w:line="0" w:lineRule="atLeast"/>
                                    <w:jc w:val="center"/>
                                    <w:rPr>
                                      <w:rFonts w:ascii="標楷體" w:eastAsia="標楷體" w:hAnsi="標楷體"/>
                                    </w:rPr>
                                  </w:pPr>
                                </w:p>
                              </w:tc>
                              <w:tc>
                                <w:tcPr>
                                  <w:tcW w:w="1381" w:type="dxa"/>
                                  <w:tcBorders>
                                    <w:bottom w:val="single" w:sz="4" w:space="0" w:color="auto"/>
                                  </w:tcBorders>
                                  <w:vAlign w:val="center"/>
                                </w:tcPr>
                                <w:p w14:paraId="4B233201" w14:textId="77777777" w:rsidR="00D74004" w:rsidRPr="003C5AD9" w:rsidRDefault="00D74004" w:rsidP="00824CD6">
                                  <w:pPr>
                                    <w:spacing w:line="0" w:lineRule="atLeast"/>
                                    <w:jc w:val="center"/>
                                    <w:rPr>
                                      <w:rFonts w:ascii="標楷體" w:eastAsia="標楷體" w:hAnsi="標楷體"/>
                                      <w:spacing w:val="-4"/>
                                    </w:rPr>
                                  </w:pPr>
                                  <w:r w:rsidRPr="003C5AD9">
                                    <w:rPr>
                                      <w:rFonts w:ascii="標楷體" w:eastAsia="標楷體" w:hAnsi="標楷體" w:hint="eastAsia"/>
                                      <w:spacing w:val="-4"/>
                                    </w:rPr>
                                    <w:t>未依</w:t>
                                  </w:r>
                                  <w:proofErr w:type="gramStart"/>
                                  <w:r w:rsidRPr="003C5AD9">
                                    <w:rPr>
                                      <w:rFonts w:ascii="標楷體" w:eastAsia="標楷體" w:hAnsi="標楷體" w:hint="eastAsia"/>
                                      <w:spacing w:val="-4"/>
                                    </w:rPr>
                                    <w:t>臺</w:t>
                                  </w:r>
                                  <w:proofErr w:type="gramEnd"/>
                                  <w:r w:rsidRPr="003C5AD9">
                                    <w:rPr>
                                      <w:rFonts w:ascii="標楷體" w:eastAsia="標楷體" w:hAnsi="標楷體" w:hint="eastAsia"/>
                                      <w:spacing w:val="-4"/>
                                    </w:rPr>
                                    <w:t>北港管理機關公告費率</w:t>
                                  </w:r>
                                  <w:proofErr w:type="gramStart"/>
                                  <w:r w:rsidRPr="003C5AD9">
                                    <w:rPr>
                                      <w:rFonts w:ascii="標楷體" w:eastAsia="標楷體" w:hAnsi="標楷體" w:hint="eastAsia"/>
                                      <w:spacing w:val="-4"/>
                                    </w:rPr>
                                    <w:t>覈</w:t>
                                  </w:r>
                                  <w:proofErr w:type="gramEnd"/>
                                  <w:r w:rsidRPr="003C5AD9">
                                    <w:rPr>
                                      <w:rFonts w:ascii="標楷體" w:eastAsia="標楷體" w:hAnsi="標楷體" w:hint="eastAsia"/>
                                      <w:spacing w:val="-4"/>
                                    </w:rPr>
                                    <w:t>實編列</w:t>
                                  </w:r>
                                  <w:r>
                                    <w:rPr>
                                      <w:rFonts w:ascii="標楷體" w:eastAsia="標楷體" w:hAnsi="標楷體" w:hint="eastAsia"/>
                                      <w:spacing w:val="-4"/>
                                    </w:rPr>
                                    <w:t>營建剩餘土石方</w:t>
                                  </w:r>
                                  <w:r w:rsidRPr="003C5AD9">
                                    <w:rPr>
                                      <w:rFonts w:ascii="標楷體" w:eastAsia="標楷體" w:hAnsi="標楷體" w:hint="eastAsia"/>
                                      <w:spacing w:val="-4"/>
                                    </w:rPr>
                                    <w:t>處理費用</w:t>
                                  </w:r>
                                </w:p>
                              </w:tc>
                              <w:tc>
                                <w:tcPr>
                                  <w:tcW w:w="1382" w:type="dxa"/>
                                  <w:tcBorders>
                                    <w:bottom w:val="single" w:sz="4" w:space="0" w:color="auto"/>
                                  </w:tcBorders>
                                  <w:vAlign w:val="center"/>
                                </w:tcPr>
                                <w:p w14:paraId="20422A48" w14:textId="77777777" w:rsidR="00D74004" w:rsidRPr="003C5AD9" w:rsidRDefault="00D74004" w:rsidP="00824CD6">
                                  <w:pPr>
                                    <w:spacing w:line="0" w:lineRule="atLeast"/>
                                    <w:jc w:val="center"/>
                                    <w:rPr>
                                      <w:rFonts w:ascii="標楷體" w:eastAsia="標楷體" w:hAnsi="標楷體"/>
                                      <w:spacing w:val="-4"/>
                                    </w:rPr>
                                  </w:pPr>
                                  <w:proofErr w:type="gramStart"/>
                                  <w:r w:rsidRPr="003C5AD9">
                                    <w:rPr>
                                      <w:rFonts w:ascii="標楷體" w:eastAsia="標楷體" w:hAnsi="標楷體" w:hint="eastAsia"/>
                                      <w:spacing w:val="-4"/>
                                    </w:rPr>
                                    <w:t>未依承商</w:t>
                                  </w:r>
                                  <w:proofErr w:type="gramEnd"/>
                                  <w:r w:rsidRPr="003C5AD9">
                                    <w:rPr>
                                      <w:rFonts w:ascii="標楷體" w:eastAsia="標楷體" w:hAnsi="標楷體" w:hint="eastAsia"/>
                                      <w:spacing w:val="-4"/>
                                    </w:rPr>
                                    <w:t>實際載運營建剩餘土石方之車輛型式</w:t>
                                  </w:r>
                                  <w:proofErr w:type="gramStart"/>
                                  <w:r w:rsidRPr="002D1A00">
                                    <w:rPr>
                                      <w:rFonts w:ascii="標楷體" w:eastAsia="標楷體" w:hAnsi="標楷體" w:hint="eastAsia"/>
                                      <w:spacing w:val="-4"/>
                                    </w:rPr>
                                    <w:t>覈實</w:t>
                                  </w:r>
                                  <w:r w:rsidRPr="003C5AD9">
                                    <w:rPr>
                                      <w:rFonts w:ascii="標楷體" w:eastAsia="標楷體" w:hAnsi="標楷體" w:hint="eastAsia"/>
                                      <w:spacing w:val="-4"/>
                                    </w:rPr>
                                    <w:t>計</w:t>
                                  </w:r>
                                  <w:proofErr w:type="gramEnd"/>
                                  <w:r w:rsidRPr="003C5AD9">
                                    <w:rPr>
                                      <w:rFonts w:ascii="標楷體" w:eastAsia="標楷體" w:hAnsi="標楷體" w:hint="eastAsia"/>
                                      <w:spacing w:val="-4"/>
                                    </w:rPr>
                                    <w:t>付運輸費用</w:t>
                                  </w:r>
                                </w:p>
                              </w:tc>
                              <w:tc>
                                <w:tcPr>
                                  <w:tcW w:w="1382" w:type="dxa"/>
                                  <w:tcBorders>
                                    <w:bottom w:val="single" w:sz="4" w:space="0" w:color="auto"/>
                                  </w:tcBorders>
                                  <w:vAlign w:val="center"/>
                                </w:tcPr>
                                <w:p w14:paraId="255CBE6F" w14:textId="77777777" w:rsidR="00D74004" w:rsidRPr="003C5AD9" w:rsidRDefault="00D74004" w:rsidP="00824CD6">
                                  <w:pPr>
                                    <w:spacing w:line="0" w:lineRule="atLeast"/>
                                    <w:jc w:val="center"/>
                                    <w:rPr>
                                      <w:rFonts w:ascii="標楷體" w:eastAsia="標楷體" w:hAnsi="標楷體"/>
                                      <w:spacing w:val="-4"/>
                                    </w:rPr>
                                  </w:pPr>
                                  <w:r w:rsidRPr="003C5AD9">
                                    <w:rPr>
                                      <w:rFonts w:ascii="標楷體" w:eastAsia="標楷體" w:hAnsi="標楷體" w:hint="eastAsia"/>
                                      <w:spacing w:val="-4"/>
                                    </w:rPr>
                                    <w:t>計價</w:t>
                                  </w:r>
                                  <w:r>
                                    <w:rPr>
                                      <w:rFonts w:ascii="標楷體" w:eastAsia="標楷體" w:hAnsi="標楷體" w:hint="eastAsia"/>
                                      <w:spacing w:val="-4"/>
                                    </w:rPr>
                                    <w:t>數量</w:t>
                                  </w:r>
                                  <w:proofErr w:type="gramStart"/>
                                  <w:r w:rsidRPr="003C5AD9">
                                    <w:rPr>
                                      <w:rFonts w:ascii="標楷體" w:eastAsia="標楷體" w:hAnsi="標楷體" w:hint="eastAsia"/>
                                      <w:spacing w:val="-4"/>
                                    </w:rPr>
                                    <w:t>超逾承商</w:t>
                                  </w:r>
                                  <w:proofErr w:type="gramEnd"/>
                                  <w:r w:rsidRPr="003C5AD9">
                                    <w:rPr>
                                      <w:rFonts w:ascii="標楷體" w:eastAsia="標楷體" w:hAnsi="標楷體" w:hint="eastAsia"/>
                                      <w:spacing w:val="-4"/>
                                    </w:rPr>
                                    <w:t>實際履約數量</w:t>
                                  </w:r>
                                </w:p>
                              </w:tc>
                            </w:tr>
                            <w:tr w:rsidR="00D74004" w:rsidRPr="00B621CF" w14:paraId="5AF2915E" w14:textId="77777777" w:rsidTr="00AC6C73">
                              <w:trPr>
                                <w:trHeight w:val="454"/>
                              </w:trPr>
                              <w:tc>
                                <w:tcPr>
                                  <w:tcW w:w="4497" w:type="dxa"/>
                                  <w:gridSpan w:val="3"/>
                                  <w:vAlign w:val="center"/>
                                </w:tcPr>
                                <w:p w14:paraId="6498FED1" w14:textId="77777777" w:rsidR="00D74004" w:rsidRPr="00F00B6E" w:rsidRDefault="00D74004" w:rsidP="00824CD6">
                                  <w:pPr>
                                    <w:spacing w:line="0" w:lineRule="atLeast"/>
                                    <w:jc w:val="center"/>
                                    <w:rPr>
                                      <w:rFonts w:ascii="標楷體" w:eastAsia="標楷體" w:hAnsi="標楷體"/>
                                      <w:b/>
                                      <w:bCs/>
                                    </w:rPr>
                                  </w:pPr>
                                  <w:r w:rsidRPr="00AC6C73">
                                    <w:rPr>
                                      <w:rFonts w:ascii="標楷體" w:eastAsia="標楷體" w:hAnsi="標楷體" w:hint="eastAsia"/>
                                      <w:b/>
                                      <w:bCs/>
                                      <w:spacing w:val="350"/>
                                      <w:fitText w:val="1100" w:id="-694412031"/>
                                    </w:rPr>
                                    <w:t>合</w:t>
                                  </w:r>
                                  <w:r w:rsidRPr="00AC6C73">
                                    <w:rPr>
                                      <w:rFonts w:ascii="標楷體" w:eastAsia="標楷體" w:hAnsi="標楷體" w:hint="eastAsia"/>
                                      <w:b/>
                                      <w:bCs/>
                                      <w:fitText w:val="1100" w:id="-694412031"/>
                                    </w:rPr>
                                    <w:t>計</w:t>
                                  </w:r>
                                </w:p>
                              </w:tc>
                              <w:tc>
                                <w:tcPr>
                                  <w:tcW w:w="1134" w:type="dxa"/>
                                  <w:vAlign w:val="center"/>
                                </w:tcPr>
                                <w:p w14:paraId="5C748698" w14:textId="77777777" w:rsidR="00D74004" w:rsidRPr="00F00B6E" w:rsidRDefault="00D74004" w:rsidP="00824CD6">
                                  <w:pPr>
                                    <w:spacing w:line="0" w:lineRule="atLeast"/>
                                    <w:jc w:val="right"/>
                                    <w:rPr>
                                      <w:rFonts w:ascii="標楷體" w:eastAsia="標楷體" w:hAnsi="標楷體"/>
                                      <w:b/>
                                      <w:bCs/>
                                    </w:rPr>
                                  </w:pPr>
                                  <w:r w:rsidRPr="00F00B6E">
                                    <w:rPr>
                                      <w:rFonts w:ascii="標楷體" w:eastAsia="標楷體" w:hAnsi="標楷體"/>
                                      <w:b/>
                                      <w:bCs/>
                                    </w:rPr>
                                    <w:t>7,078,536</w:t>
                                  </w:r>
                                </w:p>
                              </w:tc>
                              <w:tc>
                                <w:tcPr>
                                  <w:tcW w:w="4145" w:type="dxa"/>
                                  <w:gridSpan w:val="3"/>
                                  <w:tcBorders>
                                    <w:tl2br w:val="single" w:sz="4" w:space="0" w:color="auto"/>
                                  </w:tcBorders>
                                  <w:vAlign w:val="center"/>
                                </w:tcPr>
                                <w:p w14:paraId="7D5C59EB" w14:textId="77777777" w:rsidR="00D74004" w:rsidRPr="00B621CF" w:rsidRDefault="00D74004" w:rsidP="00824CD6">
                                  <w:pPr>
                                    <w:spacing w:line="0" w:lineRule="atLeast"/>
                                    <w:jc w:val="center"/>
                                    <w:rPr>
                                      <w:rFonts w:ascii="標楷體" w:eastAsia="標楷體" w:hAnsi="標楷體"/>
                                    </w:rPr>
                                  </w:pPr>
                                </w:p>
                              </w:tc>
                            </w:tr>
                            <w:tr w:rsidR="00D74004" w:rsidRPr="00B621CF" w14:paraId="559554DB" w14:textId="77777777" w:rsidTr="008B44D6">
                              <w:trPr>
                                <w:trHeight w:val="624"/>
                              </w:trPr>
                              <w:tc>
                                <w:tcPr>
                                  <w:tcW w:w="417" w:type="dxa"/>
                                  <w:vAlign w:val="center"/>
                                </w:tcPr>
                                <w:p w14:paraId="26BFACE0"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1</w:t>
                                  </w:r>
                                </w:p>
                              </w:tc>
                              <w:tc>
                                <w:tcPr>
                                  <w:tcW w:w="1245" w:type="dxa"/>
                                  <w:vMerge w:val="restart"/>
                                  <w:vAlign w:val="center"/>
                                </w:tcPr>
                                <w:p w14:paraId="2257CC2B"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新建工程處</w:t>
                                  </w:r>
                                </w:p>
                              </w:tc>
                              <w:tc>
                                <w:tcPr>
                                  <w:tcW w:w="2835" w:type="dxa"/>
                                  <w:vAlign w:val="center"/>
                                </w:tcPr>
                                <w:p w14:paraId="1D404957"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臺北市職能發展學院原機工大樓及學員宿舍用地改建工程</w:t>
                                  </w:r>
                                </w:p>
                              </w:tc>
                              <w:tc>
                                <w:tcPr>
                                  <w:tcW w:w="1134" w:type="dxa"/>
                                  <w:vAlign w:val="center"/>
                                </w:tcPr>
                                <w:p w14:paraId="464A5F87"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2,924,008</w:t>
                                  </w:r>
                                </w:p>
                              </w:tc>
                              <w:tc>
                                <w:tcPr>
                                  <w:tcW w:w="1381" w:type="dxa"/>
                                  <w:vAlign w:val="center"/>
                                </w:tcPr>
                                <w:p w14:paraId="2E3F9E7A" w14:textId="77777777" w:rsidR="00D74004" w:rsidRPr="000B7B27" w:rsidRDefault="00D74004" w:rsidP="00824CD6">
                                  <w:pPr>
                                    <w:spacing w:line="0" w:lineRule="atLeast"/>
                                    <w:jc w:val="center"/>
                                    <w:rPr>
                                      <w:rFonts w:ascii="標楷體" w:eastAsia="標楷體" w:hAnsi="標楷體"/>
                                      <w:bCs/>
                                    </w:rPr>
                                  </w:pPr>
                                  <w:r w:rsidRPr="00591FA2">
                                    <w:rPr>
                                      <w:rFonts w:ascii="MS Gothic" w:eastAsia="MS Gothic" w:hAnsi="MS Gothic" w:cs="MS Gothic" w:hint="eastAsia"/>
                                      <w:shd w:val="clear" w:color="auto" w:fill="FFFFFF"/>
                                    </w:rPr>
                                    <w:t>✓</w:t>
                                  </w:r>
                                </w:p>
                              </w:tc>
                              <w:tc>
                                <w:tcPr>
                                  <w:tcW w:w="1382" w:type="dxa"/>
                                  <w:vAlign w:val="center"/>
                                </w:tcPr>
                                <w:p w14:paraId="59AF7F64"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3CB70DB3" w14:textId="77777777" w:rsidR="00D74004" w:rsidRPr="00D86FD4" w:rsidRDefault="00D74004" w:rsidP="00824CD6">
                                  <w:pPr>
                                    <w:spacing w:line="0" w:lineRule="atLeast"/>
                                    <w:jc w:val="center"/>
                                    <w:rPr>
                                      <w:rFonts w:ascii="標楷體" w:eastAsia="標楷體" w:hAnsi="標楷體"/>
                                    </w:rPr>
                                  </w:pPr>
                                </w:p>
                              </w:tc>
                            </w:tr>
                            <w:tr w:rsidR="00D74004" w:rsidRPr="00B621CF" w14:paraId="00C160F0" w14:textId="77777777" w:rsidTr="008B44D6">
                              <w:trPr>
                                <w:trHeight w:val="624"/>
                              </w:trPr>
                              <w:tc>
                                <w:tcPr>
                                  <w:tcW w:w="417" w:type="dxa"/>
                                  <w:vAlign w:val="center"/>
                                </w:tcPr>
                                <w:p w14:paraId="5CE544AD"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2</w:t>
                                  </w:r>
                                </w:p>
                              </w:tc>
                              <w:tc>
                                <w:tcPr>
                                  <w:tcW w:w="1245" w:type="dxa"/>
                                  <w:vMerge/>
                                  <w:vAlign w:val="center"/>
                                </w:tcPr>
                                <w:p w14:paraId="628888FF" w14:textId="77777777" w:rsidR="00D74004" w:rsidRPr="00B621CF" w:rsidRDefault="00D74004" w:rsidP="00824CD6">
                                  <w:pPr>
                                    <w:spacing w:line="0" w:lineRule="atLeast"/>
                                    <w:jc w:val="center"/>
                                    <w:rPr>
                                      <w:rFonts w:ascii="標楷體" w:eastAsia="標楷體" w:hAnsi="標楷體"/>
                                    </w:rPr>
                                  </w:pPr>
                                </w:p>
                              </w:tc>
                              <w:tc>
                                <w:tcPr>
                                  <w:tcW w:w="2835" w:type="dxa"/>
                                  <w:vAlign w:val="center"/>
                                </w:tcPr>
                                <w:p w14:paraId="2AFC8AE9"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臺北市內湖國小新孝</w:t>
                                  </w:r>
                                  <w:proofErr w:type="gramStart"/>
                                  <w:r w:rsidRPr="00B621CF">
                                    <w:rPr>
                                      <w:rFonts w:ascii="標楷體" w:eastAsia="標楷體" w:hAnsi="標楷體" w:hint="eastAsia"/>
                                    </w:rPr>
                                    <w:t>悌</w:t>
                                  </w:r>
                                  <w:proofErr w:type="gramEnd"/>
                                  <w:r w:rsidRPr="00B621CF">
                                    <w:rPr>
                                      <w:rFonts w:ascii="標楷體" w:eastAsia="標楷體" w:hAnsi="標楷體" w:hint="eastAsia"/>
                                    </w:rPr>
                                    <w:t>樓新建工程接續工程</w:t>
                                  </w:r>
                                </w:p>
                              </w:tc>
                              <w:tc>
                                <w:tcPr>
                                  <w:tcW w:w="1134" w:type="dxa"/>
                                  <w:vAlign w:val="center"/>
                                </w:tcPr>
                                <w:p w14:paraId="3569D22E"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458,850</w:t>
                                  </w:r>
                                </w:p>
                              </w:tc>
                              <w:tc>
                                <w:tcPr>
                                  <w:tcW w:w="1381" w:type="dxa"/>
                                  <w:vAlign w:val="center"/>
                                </w:tcPr>
                                <w:p w14:paraId="37B0F7C4"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1B1DF7DE"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67BAB512" w14:textId="77777777" w:rsidR="00D74004" w:rsidRPr="00D86FD4" w:rsidRDefault="00D74004" w:rsidP="00824CD6">
                                  <w:pPr>
                                    <w:spacing w:line="0" w:lineRule="atLeast"/>
                                    <w:jc w:val="center"/>
                                    <w:rPr>
                                      <w:rFonts w:ascii="標楷體" w:eastAsia="標楷體" w:hAnsi="標楷體"/>
                                    </w:rPr>
                                  </w:pPr>
                                </w:p>
                              </w:tc>
                            </w:tr>
                            <w:tr w:rsidR="00D74004" w:rsidRPr="00B621CF" w14:paraId="1DC9E2BF" w14:textId="77777777" w:rsidTr="008B44D6">
                              <w:trPr>
                                <w:trHeight w:val="624"/>
                              </w:trPr>
                              <w:tc>
                                <w:tcPr>
                                  <w:tcW w:w="417" w:type="dxa"/>
                                  <w:vAlign w:val="center"/>
                                </w:tcPr>
                                <w:p w14:paraId="15B09229"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3</w:t>
                                  </w:r>
                                </w:p>
                              </w:tc>
                              <w:tc>
                                <w:tcPr>
                                  <w:tcW w:w="1245" w:type="dxa"/>
                                  <w:vMerge/>
                                  <w:vAlign w:val="center"/>
                                </w:tcPr>
                                <w:p w14:paraId="31E3E080" w14:textId="77777777" w:rsidR="00D74004" w:rsidRPr="00B621CF" w:rsidRDefault="00D74004" w:rsidP="00824CD6">
                                  <w:pPr>
                                    <w:spacing w:line="0" w:lineRule="atLeast"/>
                                    <w:jc w:val="center"/>
                                    <w:rPr>
                                      <w:rFonts w:ascii="標楷體" w:eastAsia="標楷體" w:hAnsi="標楷體"/>
                                    </w:rPr>
                                  </w:pPr>
                                </w:p>
                              </w:tc>
                              <w:tc>
                                <w:tcPr>
                                  <w:tcW w:w="2835" w:type="dxa"/>
                                  <w:vAlign w:val="center"/>
                                </w:tcPr>
                                <w:p w14:paraId="0E2856EC"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臺北市立南港高級中學綜合教學大樓新建工程</w:t>
                                  </w:r>
                                </w:p>
                              </w:tc>
                              <w:tc>
                                <w:tcPr>
                                  <w:tcW w:w="1134" w:type="dxa"/>
                                  <w:vAlign w:val="center"/>
                                </w:tcPr>
                                <w:p w14:paraId="3C9B5159"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796,490</w:t>
                                  </w:r>
                                </w:p>
                              </w:tc>
                              <w:tc>
                                <w:tcPr>
                                  <w:tcW w:w="1381" w:type="dxa"/>
                                  <w:vAlign w:val="center"/>
                                </w:tcPr>
                                <w:p w14:paraId="2D8C889B"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03616633"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4A9A555E"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r>
                            <w:tr w:rsidR="00D74004" w:rsidRPr="00B621CF" w14:paraId="4B48295D" w14:textId="77777777" w:rsidTr="008B44D6">
                              <w:trPr>
                                <w:trHeight w:val="624"/>
                              </w:trPr>
                              <w:tc>
                                <w:tcPr>
                                  <w:tcW w:w="417" w:type="dxa"/>
                                  <w:vAlign w:val="center"/>
                                </w:tcPr>
                                <w:p w14:paraId="650C8CEE"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4</w:t>
                                  </w:r>
                                </w:p>
                              </w:tc>
                              <w:tc>
                                <w:tcPr>
                                  <w:tcW w:w="1245" w:type="dxa"/>
                                  <w:vMerge/>
                                  <w:vAlign w:val="center"/>
                                </w:tcPr>
                                <w:p w14:paraId="2D87749B" w14:textId="77777777" w:rsidR="00D74004" w:rsidRPr="00B621CF" w:rsidRDefault="00D74004" w:rsidP="00824CD6">
                                  <w:pPr>
                                    <w:spacing w:line="0" w:lineRule="atLeast"/>
                                    <w:jc w:val="center"/>
                                    <w:rPr>
                                      <w:rFonts w:ascii="標楷體" w:eastAsia="標楷體" w:hAnsi="標楷體"/>
                                    </w:rPr>
                                  </w:pPr>
                                </w:p>
                              </w:tc>
                              <w:tc>
                                <w:tcPr>
                                  <w:tcW w:w="2835" w:type="dxa"/>
                                  <w:vAlign w:val="center"/>
                                </w:tcPr>
                                <w:p w14:paraId="40913899"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萬隆東營區社會福利設施用地新建工程</w:t>
                                  </w:r>
                                </w:p>
                              </w:tc>
                              <w:tc>
                                <w:tcPr>
                                  <w:tcW w:w="1134" w:type="dxa"/>
                                  <w:vAlign w:val="center"/>
                                </w:tcPr>
                                <w:p w14:paraId="1E351AB4"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1,383,800</w:t>
                                  </w:r>
                                </w:p>
                              </w:tc>
                              <w:tc>
                                <w:tcPr>
                                  <w:tcW w:w="1381" w:type="dxa"/>
                                  <w:vAlign w:val="center"/>
                                </w:tcPr>
                                <w:p w14:paraId="764E2C0D"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2FFCE58F"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13FF7C17"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r>
                            <w:tr w:rsidR="00D74004" w:rsidRPr="00B621CF" w14:paraId="0D89644E" w14:textId="77777777" w:rsidTr="008B44D6">
                              <w:trPr>
                                <w:trHeight w:val="624"/>
                              </w:trPr>
                              <w:tc>
                                <w:tcPr>
                                  <w:tcW w:w="417" w:type="dxa"/>
                                  <w:vAlign w:val="center"/>
                                </w:tcPr>
                                <w:p w14:paraId="2A67B8AB"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5</w:t>
                                  </w:r>
                                </w:p>
                              </w:tc>
                              <w:tc>
                                <w:tcPr>
                                  <w:tcW w:w="1245" w:type="dxa"/>
                                  <w:vMerge/>
                                  <w:vAlign w:val="center"/>
                                </w:tcPr>
                                <w:p w14:paraId="68243077" w14:textId="77777777" w:rsidR="00D74004" w:rsidRPr="00B621CF" w:rsidRDefault="00D74004" w:rsidP="00824CD6">
                                  <w:pPr>
                                    <w:spacing w:line="0" w:lineRule="atLeast"/>
                                    <w:jc w:val="center"/>
                                    <w:rPr>
                                      <w:rFonts w:ascii="標楷體" w:eastAsia="標楷體" w:hAnsi="標楷體"/>
                                    </w:rPr>
                                  </w:pPr>
                                </w:p>
                              </w:tc>
                              <w:tc>
                                <w:tcPr>
                                  <w:tcW w:w="2835" w:type="dxa"/>
                                  <w:vAlign w:val="center"/>
                                </w:tcPr>
                                <w:p w14:paraId="4F6435D9"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臺北市立大安國中綜合教學大樓新建工程</w:t>
                                  </w:r>
                                </w:p>
                              </w:tc>
                              <w:tc>
                                <w:tcPr>
                                  <w:tcW w:w="1134" w:type="dxa"/>
                                  <w:vAlign w:val="center"/>
                                </w:tcPr>
                                <w:p w14:paraId="52729FE5"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1,172,960</w:t>
                                  </w:r>
                                </w:p>
                              </w:tc>
                              <w:tc>
                                <w:tcPr>
                                  <w:tcW w:w="1381" w:type="dxa"/>
                                  <w:vAlign w:val="center"/>
                                </w:tcPr>
                                <w:p w14:paraId="126CFAC5"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79DD2497"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33D1AA92" w14:textId="77777777" w:rsidR="00D74004" w:rsidRPr="00D86FD4" w:rsidRDefault="00D74004" w:rsidP="00824CD6">
                                  <w:pPr>
                                    <w:spacing w:line="0" w:lineRule="atLeast"/>
                                    <w:jc w:val="center"/>
                                    <w:rPr>
                                      <w:rFonts w:ascii="標楷體" w:eastAsia="標楷體" w:hAnsi="標楷體"/>
                                    </w:rPr>
                                  </w:pPr>
                                </w:p>
                              </w:tc>
                            </w:tr>
                            <w:tr w:rsidR="00D74004" w:rsidRPr="00B621CF" w14:paraId="2D78FB26" w14:textId="77777777" w:rsidTr="008B44D6">
                              <w:trPr>
                                <w:trHeight w:val="624"/>
                              </w:trPr>
                              <w:tc>
                                <w:tcPr>
                                  <w:tcW w:w="417" w:type="dxa"/>
                                  <w:vAlign w:val="center"/>
                                </w:tcPr>
                                <w:p w14:paraId="6AD9BFD4"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6</w:t>
                                  </w:r>
                                </w:p>
                              </w:tc>
                              <w:tc>
                                <w:tcPr>
                                  <w:tcW w:w="1245" w:type="dxa"/>
                                  <w:vMerge/>
                                  <w:vAlign w:val="center"/>
                                </w:tcPr>
                                <w:p w14:paraId="3EA10A66" w14:textId="77777777" w:rsidR="00D74004" w:rsidRPr="00B621CF" w:rsidRDefault="00D74004" w:rsidP="00824CD6">
                                  <w:pPr>
                                    <w:spacing w:line="0" w:lineRule="atLeast"/>
                                    <w:jc w:val="center"/>
                                    <w:rPr>
                                      <w:rFonts w:ascii="標楷體" w:eastAsia="標楷體" w:hAnsi="標楷體"/>
                                    </w:rPr>
                                  </w:pPr>
                                </w:p>
                              </w:tc>
                              <w:tc>
                                <w:tcPr>
                                  <w:tcW w:w="2835" w:type="dxa"/>
                                  <w:vAlign w:val="center"/>
                                </w:tcPr>
                                <w:p w14:paraId="4318B190"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臺北市內湖區新湖國民小學活動中心新建工程</w:t>
                                  </w:r>
                                </w:p>
                              </w:tc>
                              <w:tc>
                                <w:tcPr>
                                  <w:tcW w:w="1134" w:type="dxa"/>
                                  <w:vAlign w:val="center"/>
                                </w:tcPr>
                                <w:p w14:paraId="2560B83B"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281,574</w:t>
                                  </w:r>
                                </w:p>
                              </w:tc>
                              <w:tc>
                                <w:tcPr>
                                  <w:tcW w:w="1381" w:type="dxa"/>
                                  <w:vAlign w:val="center"/>
                                </w:tcPr>
                                <w:p w14:paraId="0A887DE3"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315227C3"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37CC2374" w14:textId="77777777" w:rsidR="00D74004" w:rsidRPr="00D86FD4" w:rsidRDefault="00D74004" w:rsidP="00824CD6">
                                  <w:pPr>
                                    <w:spacing w:line="0" w:lineRule="atLeast"/>
                                    <w:jc w:val="center"/>
                                    <w:rPr>
                                      <w:rFonts w:ascii="標楷體" w:eastAsia="標楷體" w:hAnsi="標楷體"/>
                                    </w:rPr>
                                  </w:pPr>
                                </w:p>
                              </w:tc>
                            </w:tr>
                            <w:tr w:rsidR="00D74004" w:rsidRPr="00B621CF" w14:paraId="5893EB8E" w14:textId="77777777" w:rsidTr="008B44D6">
                              <w:trPr>
                                <w:trHeight w:val="624"/>
                              </w:trPr>
                              <w:tc>
                                <w:tcPr>
                                  <w:tcW w:w="417" w:type="dxa"/>
                                  <w:vAlign w:val="center"/>
                                </w:tcPr>
                                <w:p w14:paraId="1547AAC3"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7</w:t>
                                  </w:r>
                                </w:p>
                              </w:tc>
                              <w:tc>
                                <w:tcPr>
                                  <w:tcW w:w="1245" w:type="dxa"/>
                                  <w:vAlign w:val="center"/>
                                </w:tcPr>
                                <w:p w14:paraId="796EB907"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大地工程處</w:t>
                                  </w:r>
                                </w:p>
                              </w:tc>
                              <w:tc>
                                <w:tcPr>
                                  <w:tcW w:w="2835" w:type="dxa"/>
                                  <w:vAlign w:val="center"/>
                                </w:tcPr>
                                <w:p w14:paraId="27BD389B" w14:textId="77777777" w:rsidR="00D74004" w:rsidRPr="00B621CF" w:rsidRDefault="00D74004" w:rsidP="00824CD6">
                                  <w:pPr>
                                    <w:spacing w:line="0" w:lineRule="atLeast"/>
                                    <w:jc w:val="both"/>
                                    <w:rPr>
                                      <w:rFonts w:ascii="標楷體" w:eastAsia="標楷體" w:hAnsi="標楷體"/>
                                    </w:rPr>
                                  </w:pPr>
                                  <w:proofErr w:type="gramStart"/>
                                  <w:r w:rsidRPr="00B621CF">
                                    <w:rPr>
                                      <w:rFonts w:ascii="標楷體" w:eastAsia="標楷體" w:hAnsi="標楷體" w:hint="eastAsia"/>
                                    </w:rPr>
                                    <w:t>112</w:t>
                                  </w:r>
                                  <w:proofErr w:type="gramEnd"/>
                                  <w:r w:rsidRPr="00B621CF">
                                    <w:rPr>
                                      <w:rFonts w:ascii="標楷體" w:eastAsia="標楷體" w:hAnsi="標楷體" w:hint="eastAsia"/>
                                    </w:rPr>
                                    <w:t>年度軍墓園區水土保持設施工程</w:t>
                                  </w:r>
                                </w:p>
                              </w:tc>
                              <w:tc>
                                <w:tcPr>
                                  <w:tcW w:w="1134" w:type="dxa"/>
                                  <w:vAlign w:val="center"/>
                                </w:tcPr>
                                <w:p w14:paraId="21315DEA"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60,853</w:t>
                                  </w:r>
                                </w:p>
                              </w:tc>
                              <w:tc>
                                <w:tcPr>
                                  <w:tcW w:w="1381" w:type="dxa"/>
                                  <w:vAlign w:val="center"/>
                                </w:tcPr>
                                <w:p w14:paraId="7DEC980C"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7891ED7B"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115081E5" w14:textId="77777777" w:rsidR="00D74004" w:rsidRPr="00D86FD4" w:rsidRDefault="00D74004" w:rsidP="00824CD6">
                                  <w:pPr>
                                    <w:spacing w:line="0" w:lineRule="atLeast"/>
                                    <w:jc w:val="center"/>
                                    <w:rPr>
                                      <w:rFonts w:ascii="標楷體" w:eastAsia="標楷體" w:hAnsi="標楷體"/>
                                    </w:rPr>
                                  </w:pPr>
                                </w:p>
                              </w:tc>
                            </w:tr>
                          </w:tbl>
                          <w:p w14:paraId="3DC09DB9" w14:textId="77777777" w:rsidR="00D74004" w:rsidRPr="00D86FD4" w:rsidRDefault="00D74004" w:rsidP="00D74004">
                            <w:pPr>
                              <w:spacing w:before="6"/>
                              <w:rPr>
                                <w:rFonts w:ascii="標楷體" w:eastAsia="標楷體" w:hAnsi="標楷體"/>
                                <w:sz w:val="18"/>
                                <w:szCs w:val="18"/>
                              </w:rPr>
                            </w:pPr>
                            <w:r w:rsidRPr="00D86FD4">
                              <w:rPr>
                                <w:rFonts w:ascii="標楷體" w:eastAsia="標楷體" w:hAnsi="標楷體" w:hint="eastAsia"/>
                                <w:sz w:val="18"/>
                                <w:szCs w:val="18"/>
                              </w:rPr>
                              <w:t>資料來源：</w:t>
                            </w:r>
                            <w:r w:rsidRPr="000C761A">
                              <w:rPr>
                                <w:rFonts w:ascii="標楷體" w:eastAsia="標楷體" w:hAnsi="標楷體" w:hint="eastAsia"/>
                                <w:sz w:val="18"/>
                                <w:szCs w:val="18"/>
                              </w:rPr>
                              <w:t>整理自</w:t>
                            </w:r>
                            <w:r>
                              <w:rPr>
                                <w:rFonts w:ascii="標楷體" w:eastAsia="標楷體" w:hAnsi="標楷體" w:hint="eastAsia"/>
                                <w:sz w:val="18"/>
                                <w:szCs w:val="18"/>
                              </w:rPr>
                              <w:t>新建工程處及大地工程處</w:t>
                            </w:r>
                            <w:r w:rsidRPr="000C761A">
                              <w:rPr>
                                <w:rFonts w:ascii="標楷體" w:eastAsia="標楷體" w:hAnsi="標楷體" w:hint="eastAsia"/>
                                <w:sz w:val="18"/>
                                <w:szCs w:val="18"/>
                              </w:rPr>
                              <w:t>提供資料</w:t>
                            </w:r>
                            <w:r w:rsidRPr="00D86FD4">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C6AC4F" id="文字方塊 927419587" o:spid="_x0000_s1075" type="#_x0000_t202" style="position:absolute;left:0;text-align:left;margin-left:-4.2pt;margin-top:391.15pt;width:503.25pt;height:378.3pt;z-index:-251523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" fillcolor="white [3201]" stroked="f" strokeweight=".5pt">
                <v:textbox>
                  <w:txbxContent>
                    <w:p w14:paraId="70EA55AF" w14:textId="77777777" w:rsidR="00D74004" w:rsidRPr="00D86FD4" w:rsidRDefault="00D74004" w:rsidP="00D74004">
                      <w:pPr>
                        <w:spacing w:line="0" w:lineRule="atLeast"/>
                        <w:jc w:val="center"/>
                        <w:rPr>
                          <w:rFonts w:ascii="標楷體" w:eastAsia="標楷體" w:hAnsi="標楷體"/>
                          <w:b/>
                          <w:bCs/>
                        </w:rPr>
                      </w:pPr>
                      <w:r w:rsidRPr="00D86FD4">
                        <w:rPr>
                          <w:rFonts w:ascii="標楷體" w:eastAsia="標楷體" w:hAnsi="標楷體" w:hint="eastAsia"/>
                          <w:b/>
                          <w:bCs/>
                        </w:rPr>
                        <w:t>表</w:t>
                      </w:r>
                      <w:r>
                        <w:rPr>
                          <w:rFonts w:ascii="標楷體" w:eastAsia="標楷體" w:hAnsi="標楷體"/>
                          <w:b/>
                          <w:bCs/>
                        </w:rPr>
                        <w:t>2</w:t>
                      </w:r>
                      <w:r>
                        <w:rPr>
                          <w:rFonts w:ascii="標楷體" w:eastAsia="標楷體" w:hAnsi="標楷體" w:hint="eastAsia"/>
                          <w:b/>
                          <w:bCs/>
                        </w:rPr>
                        <w:t xml:space="preserve">　</w:t>
                      </w:r>
                      <w:r w:rsidRPr="00D86FD4">
                        <w:rPr>
                          <w:rFonts w:ascii="標楷體" w:eastAsia="標楷體" w:hAnsi="標楷體" w:hint="eastAsia"/>
                          <w:b/>
                          <w:bCs/>
                        </w:rPr>
                        <w:t>抽查案件</w:t>
                      </w:r>
                      <w:r>
                        <w:rPr>
                          <w:rFonts w:ascii="標楷體" w:eastAsia="標楷體" w:hAnsi="標楷體" w:hint="eastAsia"/>
                          <w:b/>
                          <w:bCs/>
                        </w:rPr>
                        <w:t>之營建剩餘土石方處理</w:t>
                      </w:r>
                      <w:r w:rsidRPr="00D86FD4">
                        <w:rPr>
                          <w:rFonts w:ascii="標楷體" w:eastAsia="標楷體" w:hAnsi="標楷體" w:hint="eastAsia"/>
                          <w:b/>
                          <w:bCs/>
                        </w:rPr>
                        <w:t>缺失態樣</w:t>
                      </w:r>
                    </w:p>
                    <w:p w14:paraId="68E61FF2" w14:textId="77777777" w:rsidR="00D74004" w:rsidRPr="00D86FD4" w:rsidRDefault="00D74004" w:rsidP="00D74004">
                      <w:pPr>
                        <w:spacing w:line="0" w:lineRule="atLeast"/>
                        <w:jc w:val="right"/>
                        <w:rPr>
                          <w:rFonts w:ascii="標楷體" w:eastAsia="標楷體" w:hAnsi="標楷體"/>
                          <w:sz w:val="20"/>
                        </w:rPr>
                      </w:pPr>
                      <w:r w:rsidRPr="00D86FD4">
                        <w:rPr>
                          <w:rFonts w:ascii="標楷體" w:eastAsia="標楷體" w:hAnsi="標楷體" w:hint="eastAsia"/>
                          <w:sz w:val="20"/>
                        </w:rPr>
                        <w:t>單位：新臺幣千元</w:t>
                      </w:r>
                    </w:p>
                    <w:tbl>
                      <w:tblPr>
                        <w:tblStyle w:val="a6"/>
                        <w:tblW w:w="9776" w:type="dxa"/>
                        <w:tblLook w:val="04A0" w:firstRow="1" w:lastRow="0" w:firstColumn="1" w:lastColumn="0" w:noHBand="0" w:noVBand="1"/>
                      </w:tblPr>
                      <w:tblGrid>
                        <w:gridCol w:w="417"/>
                        <w:gridCol w:w="1245"/>
                        <w:gridCol w:w="2835"/>
                        <w:gridCol w:w="1134"/>
                        <w:gridCol w:w="1381"/>
                        <w:gridCol w:w="1382"/>
                        <w:gridCol w:w="1382"/>
                      </w:tblGrid>
                      <w:tr w:rsidR="00D74004" w:rsidRPr="00B621CF" w14:paraId="0A082057" w14:textId="77777777" w:rsidTr="00824CD6">
                        <w:tc>
                          <w:tcPr>
                            <w:tcW w:w="417" w:type="dxa"/>
                            <w:vMerge w:val="restart"/>
                            <w:vAlign w:val="center"/>
                          </w:tcPr>
                          <w:p w14:paraId="5F646D0A"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項次</w:t>
                            </w:r>
                          </w:p>
                        </w:tc>
                        <w:tc>
                          <w:tcPr>
                            <w:tcW w:w="1245" w:type="dxa"/>
                            <w:vMerge w:val="restart"/>
                            <w:vAlign w:val="center"/>
                          </w:tcPr>
                          <w:p w14:paraId="2AB80894"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主辦機關</w:t>
                            </w:r>
                          </w:p>
                        </w:tc>
                        <w:tc>
                          <w:tcPr>
                            <w:tcW w:w="2835" w:type="dxa"/>
                            <w:vMerge w:val="restart"/>
                            <w:vAlign w:val="center"/>
                          </w:tcPr>
                          <w:p w14:paraId="712DD77A"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工程名稱</w:t>
                            </w:r>
                          </w:p>
                        </w:tc>
                        <w:tc>
                          <w:tcPr>
                            <w:tcW w:w="1134" w:type="dxa"/>
                            <w:vMerge w:val="restart"/>
                            <w:vAlign w:val="center"/>
                          </w:tcPr>
                          <w:p w14:paraId="06B048A1"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決標金額</w:t>
                            </w:r>
                          </w:p>
                        </w:tc>
                        <w:tc>
                          <w:tcPr>
                            <w:tcW w:w="4145" w:type="dxa"/>
                            <w:gridSpan w:val="3"/>
                            <w:vAlign w:val="center"/>
                          </w:tcPr>
                          <w:p w14:paraId="33DEEBC8"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缺失態樣</w:t>
                            </w:r>
                          </w:p>
                        </w:tc>
                      </w:tr>
                      <w:tr w:rsidR="00D74004" w:rsidRPr="00B621CF" w14:paraId="72027D97" w14:textId="77777777" w:rsidTr="00824CD6">
                        <w:tc>
                          <w:tcPr>
                            <w:tcW w:w="417" w:type="dxa"/>
                            <w:vMerge/>
                            <w:vAlign w:val="center"/>
                          </w:tcPr>
                          <w:p w14:paraId="74CD646C" w14:textId="77777777" w:rsidR="00D74004" w:rsidRPr="00B621CF" w:rsidRDefault="00D74004" w:rsidP="00824CD6">
                            <w:pPr>
                              <w:spacing w:line="0" w:lineRule="atLeast"/>
                              <w:jc w:val="center"/>
                              <w:rPr>
                                <w:rFonts w:ascii="標楷體" w:eastAsia="標楷體" w:hAnsi="標楷體"/>
                              </w:rPr>
                            </w:pPr>
                          </w:p>
                        </w:tc>
                        <w:tc>
                          <w:tcPr>
                            <w:tcW w:w="1245" w:type="dxa"/>
                            <w:vMerge/>
                            <w:vAlign w:val="center"/>
                          </w:tcPr>
                          <w:p w14:paraId="069273A1" w14:textId="77777777" w:rsidR="00D74004" w:rsidRPr="00B621CF" w:rsidRDefault="00D74004" w:rsidP="00824CD6">
                            <w:pPr>
                              <w:spacing w:line="0" w:lineRule="atLeast"/>
                              <w:jc w:val="center"/>
                              <w:rPr>
                                <w:rFonts w:ascii="標楷體" w:eastAsia="標楷體" w:hAnsi="標楷體"/>
                              </w:rPr>
                            </w:pPr>
                          </w:p>
                        </w:tc>
                        <w:tc>
                          <w:tcPr>
                            <w:tcW w:w="2835" w:type="dxa"/>
                            <w:vMerge/>
                            <w:vAlign w:val="center"/>
                          </w:tcPr>
                          <w:p w14:paraId="3B6AACA6" w14:textId="77777777" w:rsidR="00D74004" w:rsidRPr="00B621CF" w:rsidRDefault="00D74004" w:rsidP="00824CD6">
                            <w:pPr>
                              <w:spacing w:line="0" w:lineRule="atLeast"/>
                              <w:jc w:val="center"/>
                              <w:rPr>
                                <w:rFonts w:ascii="標楷體" w:eastAsia="標楷體" w:hAnsi="標楷體"/>
                              </w:rPr>
                            </w:pPr>
                          </w:p>
                        </w:tc>
                        <w:tc>
                          <w:tcPr>
                            <w:tcW w:w="1134" w:type="dxa"/>
                            <w:vMerge/>
                            <w:vAlign w:val="center"/>
                          </w:tcPr>
                          <w:p w14:paraId="066E28E3" w14:textId="77777777" w:rsidR="00D74004" w:rsidRPr="00B621CF" w:rsidRDefault="00D74004" w:rsidP="00824CD6">
                            <w:pPr>
                              <w:spacing w:line="0" w:lineRule="atLeast"/>
                              <w:jc w:val="center"/>
                              <w:rPr>
                                <w:rFonts w:ascii="標楷體" w:eastAsia="標楷體" w:hAnsi="標楷體"/>
                              </w:rPr>
                            </w:pPr>
                          </w:p>
                        </w:tc>
                        <w:tc>
                          <w:tcPr>
                            <w:tcW w:w="1381" w:type="dxa"/>
                            <w:tcBorders>
                              <w:bottom w:val="single" w:sz="4" w:space="0" w:color="auto"/>
                            </w:tcBorders>
                            <w:vAlign w:val="center"/>
                          </w:tcPr>
                          <w:p w14:paraId="4B233201" w14:textId="77777777" w:rsidR="00D74004" w:rsidRPr="003C5AD9" w:rsidRDefault="00D74004" w:rsidP="00824CD6">
                            <w:pPr>
                              <w:spacing w:line="0" w:lineRule="atLeast"/>
                              <w:jc w:val="center"/>
                              <w:rPr>
                                <w:rFonts w:ascii="標楷體" w:eastAsia="標楷體" w:hAnsi="標楷體"/>
                                <w:spacing w:val="-4"/>
                              </w:rPr>
                            </w:pPr>
                            <w:r w:rsidRPr="003C5AD9">
                              <w:rPr>
                                <w:rFonts w:ascii="標楷體" w:eastAsia="標楷體" w:hAnsi="標楷體" w:hint="eastAsia"/>
                                <w:spacing w:val="-4"/>
                              </w:rPr>
                              <w:t>未依</w:t>
                            </w:r>
                            <w:proofErr w:type="gramStart"/>
                            <w:r w:rsidRPr="003C5AD9">
                              <w:rPr>
                                <w:rFonts w:ascii="標楷體" w:eastAsia="標楷體" w:hAnsi="標楷體" w:hint="eastAsia"/>
                                <w:spacing w:val="-4"/>
                              </w:rPr>
                              <w:t>臺</w:t>
                            </w:r>
                            <w:proofErr w:type="gramEnd"/>
                            <w:r w:rsidRPr="003C5AD9">
                              <w:rPr>
                                <w:rFonts w:ascii="標楷體" w:eastAsia="標楷體" w:hAnsi="標楷體" w:hint="eastAsia"/>
                                <w:spacing w:val="-4"/>
                              </w:rPr>
                              <w:t>北港管理機關公告費率</w:t>
                            </w:r>
                            <w:proofErr w:type="gramStart"/>
                            <w:r w:rsidRPr="003C5AD9">
                              <w:rPr>
                                <w:rFonts w:ascii="標楷體" w:eastAsia="標楷體" w:hAnsi="標楷體" w:hint="eastAsia"/>
                                <w:spacing w:val="-4"/>
                              </w:rPr>
                              <w:t>覈</w:t>
                            </w:r>
                            <w:proofErr w:type="gramEnd"/>
                            <w:r w:rsidRPr="003C5AD9">
                              <w:rPr>
                                <w:rFonts w:ascii="標楷體" w:eastAsia="標楷體" w:hAnsi="標楷體" w:hint="eastAsia"/>
                                <w:spacing w:val="-4"/>
                              </w:rPr>
                              <w:t>實編列</w:t>
                            </w:r>
                            <w:r>
                              <w:rPr>
                                <w:rFonts w:ascii="標楷體" w:eastAsia="標楷體" w:hAnsi="標楷體" w:hint="eastAsia"/>
                                <w:spacing w:val="-4"/>
                              </w:rPr>
                              <w:t>營建剩餘土石方</w:t>
                            </w:r>
                            <w:r w:rsidRPr="003C5AD9">
                              <w:rPr>
                                <w:rFonts w:ascii="標楷體" w:eastAsia="標楷體" w:hAnsi="標楷體" w:hint="eastAsia"/>
                                <w:spacing w:val="-4"/>
                              </w:rPr>
                              <w:t>處理費用</w:t>
                            </w:r>
                          </w:p>
                        </w:tc>
                        <w:tc>
                          <w:tcPr>
                            <w:tcW w:w="1382" w:type="dxa"/>
                            <w:tcBorders>
                              <w:bottom w:val="single" w:sz="4" w:space="0" w:color="auto"/>
                            </w:tcBorders>
                            <w:vAlign w:val="center"/>
                          </w:tcPr>
                          <w:p w14:paraId="20422A48" w14:textId="77777777" w:rsidR="00D74004" w:rsidRPr="003C5AD9" w:rsidRDefault="00D74004" w:rsidP="00824CD6">
                            <w:pPr>
                              <w:spacing w:line="0" w:lineRule="atLeast"/>
                              <w:jc w:val="center"/>
                              <w:rPr>
                                <w:rFonts w:ascii="標楷體" w:eastAsia="標楷體" w:hAnsi="標楷體"/>
                                <w:spacing w:val="-4"/>
                              </w:rPr>
                            </w:pPr>
                            <w:proofErr w:type="gramStart"/>
                            <w:r w:rsidRPr="003C5AD9">
                              <w:rPr>
                                <w:rFonts w:ascii="標楷體" w:eastAsia="標楷體" w:hAnsi="標楷體" w:hint="eastAsia"/>
                                <w:spacing w:val="-4"/>
                              </w:rPr>
                              <w:t>未依承商</w:t>
                            </w:r>
                            <w:proofErr w:type="gramEnd"/>
                            <w:r w:rsidRPr="003C5AD9">
                              <w:rPr>
                                <w:rFonts w:ascii="標楷體" w:eastAsia="標楷體" w:hAnsi="標楷體" w:hint="eastAsia"/>
                                <w:spacing w:val="-4"/>
                              </w:rPr>
                              <w:t>實際載運營建剩餘土石方之車輛型式</w:t>
                            </w:r>
                            <w:proofErr w:type="gramStart"/>
                            <w:r w:rsidRPr="002D1A00">
                              <w:rPr>
                                <w:rFonts w:ascii="標楷體" w:eastAsia="標楷體" w:hAnsi="標楷體" w:hint="eastAsia"/>
                                <w:spacing w:val="-4"/>
                              </w:rPr>
                              <w:t>覈實</w:t>
                            </w:r>
                            <w:r w:rsidRPr="003C5AD9">
                              <w:rPr>
                                <w:rFonts w:ascii="標楷體" w:eastAsia="標楷體" w:hAnsi="標楷體" w:hint="eastAsia"/>
                                <w:spacing w:val="-4"/>
                              </w:rPr>
                              <w:t>計</w:t>
                            </w:r>
                            <w:proofErr w:type="gramEnd"/>
                            <w:r w:rsidRPr="003C5AD9">
                              <w:rPr>
                                <w:rFonts w:ascii="標楷體" w:eastAsia="標楷體" w:hAnsi="標楷體" w:hint="eastAsia"/>
                                <w:spacing w:val="-4"/>
                              </w:rPr>
                              <w:t>付運輸費用</w:t>
                            </w:r>
                          </w:p>
                        </w:tc>
                        <w:tc>
                          <w:tcPr>
                            <w:tcW w:w="1382" w:type="dxa"/>
                            <w:tcBorders>
                              <w:bottom w:val="single" w:sz="4" w:space="0" w:color="auto"/>
                            </w:tcBorders>
                            <w:vAlign w:val="center"/>
                          </w:tcPr>
                          <w:p w14:paraId="255CBE6F" w14:textId="77777777" w:rsidR="00D74004" w:rsidRPr="003C5AD9" w:rsidRDefault="00D74004" w:rsidP="00824CD6">
                            <w:pPr>
                              <w:spacing w:line="0" w:lineRule="atLeast"/>
                              <w:jc w:val="center"/>
                              <w:rPr>
                                <w:rFonts w:ascii="標楷體" w:eastAsia="標楷體" w:hAnsi="標楷體"/>
                                <w:spacing w:val="-4"/>
                              </w:rPr>
                            </w:pPr>
                            <w:r w:rsidRPr="003C5AD9">
                              <w:rPr>
                                <w:rFonts w:ascii="標楷體" w:eastAsia="標楷體" w:hAnsi="標楷體" w:hint="eastAsia"/>
                                <w:spacing w:val="-4"/>
                              </w:rPr>
                              <w:t>計價</w:t>
                            </w:r>
                            <w:r>
                              <w:rPr>
                                <w:rFonts w:ascii="標楷體" w:eastAsia="標楷體" w:hAnsi="標楷體" w:hint="eastAsia"/>
                                <w:spacing w:val="-4"/>
                              </w:rPr>
                              <w:t>數量</w:t>
                            </w:r>
                            <w:proofErr w:type="gramStart"/>
                            <w:r w:rsidRPr="003C5AD9">
                              <w:rPr>
                                <w:rFonts w:ascii="標楷體" w:eastAsia="標楷體" w:hAnsi="標楷體" w:hint="eastAsia"/>
                                <w:spacing w:val="-4"/>
                              </w:rPr>
                              <w:t>超逾承商</w:t>
                            </w:r>
                            <w:proofErr w:type="gramEnd"/>
                            <w:r w:rsidRPr="003C5AD9">
                              <w:rPr>
                                <w:rFonts w:ascii="標楷體" w:eastAsia="標楷體" w:hAnsi="標楷體" w:hint="eastAsia"/>
                                <w:spacing w:val="-4"/>
                              </w:rPr>
                              <w:t>實際履約數量</w:t>
                            </w:r>
                          </w:p>
                        </w:tc>
                      </w:tr>
                      <w:tr w:rsidR="00D74004" w:rsidRPr="00B621CF" w14:paraId="5AF2915E" w14:textId="77777777" w:rsidTr="00AC6C73">
                        <w:trPr>
                          <w:trHeight w:val="454"/>
                        </w:trPr>
                        <w:tc>
                          <w:tcPr>
                            <w:tcW w:w="4497" w:type="dxa"/>
                            <w:gridSpan w:val="3"/>
                            <w:vAlign w:val="center"/>
                          </w:tcPr>
                          <w:p w14:paraId="6498FED1" w14:textId="77777777" w:rsidR="00D74004" w:rsidRPr="00F00B6E" w:rsidRDefault="00D74004" w:rsidP="00824CD6">
                            <w:pPr>
                              <w:spacing w:line="0" w:lineRule="atLeast"/>
                              <w:jc w:val="center"/>
                              <w:rPr>
                                <w:rFonts w:ascii="標楷體" w:eastAsia="標楷體" w:hAnsi="標楷體"/>
                                <w:b/>
                                <w:bCs/>
                              </w:rPr>
                            </w:pPr>
                            <w:r w:rsidRPr="00AC6C73">
                              <w:rPr>
                                <w:rFonts w:ascii="標楷體" w:eastAsia="標楷體" w:hAnsi="標楷體" w:hint="eastAsia"/>
                                <w:b/>
                                <w:bCs/>
                                <w:spacing w:val="350"/>
                                <w:fitText w:val="1100" w:id="-694412031"/>
                              </w:rPr>
                              <w:t>合</w:t>
                            </w:r>
                            <w:r w:rsidRPr="00AC6C73">
                              <w:rPr>
                                <w:rFonts w:ascii="標楷體" w:eastAsia="標楷體" w:hAnsi="標楷體" w:hint="eastAsia"/>
                                <w:b/>
                                <w:bCs/>
                                <w:fitText w:val="1100" w:id="-694412031"/>
                              </w:rPr>
                              <w:t>計</w:t>
                            </w:r>
                          </w:p>
                        </w:tc>
                        <w:tc>
                          <w:tcPr>
                            <w:tcW w:w="1134" w:type="dxa"/>
                            <w:vAlign w:val="center"/>
                          </w:tcPr>
                          <w:p w14:paraId="5C748698" w14:textId="77777777" w:rsidR="00D74004" w:rsidRPr="00F00B6E" w:rsidRDefault="00D74004" w:rsidP="00824CD6">
                            <w:pPr>
                              <w:spacing w:line="0" w:lineRule="atLeast"/>
                              <w:jc w:val="right"/>
                              <w:rPr>
                                <w:rFonts w:ascii="標楷體" w:eastAsia="標楷體" w:hAnsi="標楷體"/>
                                <w:b/>
                                <w:bCs/>
                              </w:rPr>
                            </w:pPr>
                            <w:r w:rsidRPr="00F00B6E">
                              <w:rPr>
                                <w:rFonts w:ascii="標楷體" w:eastAsia="標楷體" w:hAnsi="標楷體"/>
                                <w:b/>
                                <w:bCs/>
                              </w:rPr>
                              <w:t>7,078,536</w:t>
                            </w:r>
                          </w:p>
                        </w:tc>
                        <w:tc>
                          <w:tcPr>
                            <w:tcW w:w="4145" w:type="dxa"/>
                            <w:gridSpan w:val="3"/>
                            <w:tcBorders>
                              <w:tl2br w:val="single" w:sz="4" w:space="0" w:color="auto"/>
                            </w:tcBorders>
                            <w:vAlign w:val="center"/>
                          </w:tcPr>
                          <w:p w14:paraId="7D5C59EB" w14:textId="77777777" w:rsidR="00D74004" w:rsidRPr="00B621CF" w:rsidRDefault="00D74004" w:rsidP="00824CD6">
                            <w:pPr>
                              <w:spacing w:line="0" w:lineRule="atLeast"/>
                              <w:jc w:val="center"/>
                              <w:rPr>
                                <w:rFonts w:ascii="標楷體" w:eastAsia="標楷體" w:hAnsi="標楷體"/>
                              </w:rPr>
                            </w:pPr>
                          </w:p>
                        </w:tc>
                      </w:tr>
                      <w:tr w:rsidR="00D74004" w:rsidRPr="00B621CF" w14:paraId="559554DB" w14:textId="77777777" w:rsidTr="008B44D6">
                        <w:trPr>
                          <w:trHeight w:val="624"/>
                        </w:trPr>
                        <w:tc>
                          <w:tcPr>
                            <w:tcW w:w="417" w:type="dxa"/>
                            <w:vAlign w:val="center"/>
                          </w:tcPr>
                          <w:p w14:paraId="26BFACE0"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1</w:t>
                            </w:r>
                          </w:p>
                        </w:tc>
                        <w:tc>
                          <w:tcPr>
                            <w:tcW w:w="1245" w:type="dxa"/>
                            <w:vMerge w:val="restart"/>
                            <w:vAlign w:val="center"/>
                          </w:tcPr>
                          <w:p w14:paraId="2257CC2B"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新建工程處</w:t>
                            </w:r>
                          </w:p>
                        </w:tc>
                        <w:tc>
                          <w:tcPr>
                            <w:tcW w:w="2835" w:type="dxa"/>
                            <w:vAlign w:val="center"/>
                          </w:tcPr>
                          <w:p w14:paraId="1D404957"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臺北市職能發展學院原機工大樓及學員宿舍用地改建工程</w:t>
                            </w:r>
                          </w:p>
                        </w:tc>
                        <w:tc>
                          <w:tcPr>
                            <w:tcW w:w="1134" w:type="dxa"/>
                            <w:vAlign w:val="center"/>
                          </w:tcPr>
                          <w:p w14:paraId="464A5F87"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2,924,008</w:t>
                            </w:r>
                          </w:p>
                        </w:tc>
                        <w:tc>
                          <w:tcPr>
                            <w:tcW w:w="1381" w:type="dxa"/>
                            <w:vAlign w:val="center"/>
                          </w:tcPr>
                          <w:p w14:paraId="2E3F9E7A" w14:textId="77777777" w:rsidR="00D74004" w:rsidRPr="000B7B27" w:rsidRDefault="00D74004" w:rsidP="00824CD6">
                            <w:pPr>
                              <w:spacing w:line="0" w:lineRule="atLeast"/>
                              <w:jc w:val="center"/>
                              <w:rPr>
                                <w:rFonts w:ascii="標楷體" w:eastAsia="標楷體" w:hAnsi="標楷體"/>
                                <w:bCs/>
                              </w:rPr>
                            </w:pPr>
                            <w:r w:rsidRPr="00591FA2">
                              <w:rPr>
                                <w:rFonts w:ascii="MS Gothic" w:eastAsia="MS Gothic" w:hAnsi="MS Gothic" w:cs="MS Gothic" w:hint="eastAsia"/>
                                <w:shd w:val="clear" w:color="auto" w:fill="FFFFFF"/>
                              </w:rPr>
                              <w:t>✓</w:t>
                            </w:r>
                          </w:p>
                        </w:tc>
                        <w:tc>
                          <w:tcPr>
                            <w:tcW w:w="1382" w:type="dxa"/>
                            <w:vAlign w:val="center"/>
                          </w:tcPr>
                          <w:p w14:paraId="59AF7F64"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3CB70DB3" w14:textId="77777777" w:rsidR="00D74004" w:rsidRPr="00D86FD4" w:rsidRDefault="00D74004" w:rsidP="00824CD6">
                            <w:pPr>
                              <w:spacing w:line="0" w:lineRule="atLeast"/>
                              <w:jc w:val="center"/>
                              <w:rPr>
                                <w:rFonts w:ascii="標楷體" w:eastAsia="標楷體" w:hAnsi="標楷體"/>
                              </w:rPr>
                            </w:pPr>
                          </w:p>
                        </w:tc>
                      </w:tr>
                      <w:tr w:rsidR="00D74004" w:rsidRPr="00B621CF" w14:paraId="00C160F0" w14:textId="77777777" w:rsidTr="008B44D6">
                        <w:trPr>
                          <w:trHeight w:val="624"/>
                        </w:trPr>
                        <w:tc>
                          <w:tcPr>
                            <w:tcW w:w="417" w:type="dxa"/>
                            <w:vAlign w:val="center"/>
                          </w:tcPr>
                          <w:p w14:paraId="5CE544AD"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2</w:t>
                            </w:r>
                          </w:p>
                        </w:tc>
                        <w:tc>
                          <w:tcPr>
                            <w:tcW w:w="1245" w:type="dxa"/>
                            <w:vMerge/>
                            <w:vAlign w:val="center"/>
                          </w:tcPr>
                          <w:p w14:paraId="628888FF" w14:textId="77777777" w:rsidR="00D74004" w:rsidRPr="00B621CF" w:rsidRDefault="00D74004" w:rsidP="00824CD6">
                            <w:pPr>
                              <w:spacing w:line="0" w:lineRule="atLeast"/>
                              <w:jc w:val="center"/>
                              <w:rPr>
                                <w:rFonts w:ascii="標楷體" w:eastAsia="標楷體" w:hAnsi="標楷體"/>
                              </w:rPr>
                            </w:pPr>
                          </w:p>
                        </w:tc>
                        <w:tc>
                          <w:tcPr>
                            <w:tcW w:w="2835" w:type="dxa"/>
                            <w:vAlign w:val="center"/>
                          </w:tcPr>
                          <w:p w14:paraId="2AFC8AE9"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臺北市內湖國小新孝</w:t>
                            </w:r>
                            <w:proofErr w:type="gramStart"/>
                            <w:r w:rsidRPr="00B621CF">
                              <w:rPr>
                                <w:rFonts w:ascii="標楷體" w:eastAsia="標楷體" w:hAnsi="標楷體" w:hint="eastAsia"/>
                              </w:rPr>
                              <w:t>悌</w:t>
                            </w:r>
                            <w:proofErr w:type="gramEnd"/>
                            <w:r w:rsidRPr="00B621CF">
                              <w:rPr>
                                <w:rFonts w:ascii="標楷體" w:eastAsia="標楷體" w:hAnsi="標楷體" w:hint="eastAsia"/>
                              </w:rPr>
                              <w:t>樓新建工程接續工程</w:t>
                            </w:r>
                          </w:p>
                        </w:tc>
                        <w:tc>
                          <w:tcPr>
                            <w:tcW w:w="1134" w:type="dxa"/>
                            <w:vAlign w:val="center"/>
                          </w:tcPr>
                          <w:p w14:paraId="3569D22E"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458,850</w:t>
                            </w:r>
                          </w:p>
                        </w:tc>
                        <w:tc>
                          <w:tcPr>
                            <w:tcW w:w="1381" w:type="dxa"/>
                            <w:vAlign w:val="center"/>
                          </w:tcPr>
                          <w:p w14:paraId="37B0F7C4"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1B1DF7DE"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67BAB512" w14:textId="77777777" w:rsidR="00D74004" w:rsidRPr="00D86FD4" w:rsidRDefault="00D74004" w:rsidP="00824CD6">
                            <w:pPr>
                              <w:spacing w:line="0" w:lineRule="atLeast"/>
                              <w:jc w:val="center"/>
                              <w:rPr>
                                <w:rFonts w:ascii="標楷體" w:eastAsia="標楷體" w:hAnsi="標楷體"/>
                              </w:rPr>
                            </w:pPr>
                          </w:p>
                        </w:tc>
                      </w:tr>
                      <w:tr w:rsidR="00D74004" w:rsidRPr="00B621CF" w14:paraId="1DC9E2BF" w14:textId="77777777" w:rsidTr="008B44D6">
                        <w:trPr>
                          <w:trHeight w:val="624"/>
                        </w:trPr>
                        <w:tc>
                          <w:tcPr>
                            <w:tcW w:w="417" w:type="dxa"/>
                            <w:vAlign w:val="center"/>
                          </w:tcPr>
                          <w:p w14:paraId="15B09229"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3</w:t>
                            </w:r>
                          </w:p>
                        </w:tc>
                        <w:tc>
                          <w:tcPr>
                            <w:tcW w:w="1245" w:type="dxa"/>
                            <w:vMerge/>
                            <w:vAlign w:val="center"/>
                          </w:tcPr>
                          <w:p w14:paraId="31E3E080" w14:textId="77777777" w:rsidR="00D74004" w:rsidRPr="00B621CF" w:rsidRDefault="00D74004" w:rsidP="00824CD6">
                            <w:pPr>
                              <w:spacing w:line="0" w:lineRule="atLeast"/>
                              <w:jc w:val="center"/>
                              <w:rPr>
                                <w:rFonts w:ascii="標楷體" w:eastAsia="標楷體" w:hAnsi="標楷體"/>
                              </w:rPr>
                            </w:pPr>
                          </w:p>
                        </w:tc>
                        <w:tc>
                          <w:tcPr>
                            <w:tcW w:w="2835" w:type="dxa"/>
                            <w:vAlign w:val="center"/>
                          </w:tcPr>
                          <w:p w14:paraId="0E2856EC"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臺北市立南港高級中學綜合教學大樓新建工程</w:t>
                            </w:r>
                          </w:p>
                        </w:tc>
                        <w:tc>
                          <w:tcPr>
                            <w:tcW w:w="1134" w:type="dxa"/>
                            <w:vAlign w:val="center"/>
                          </w:tcPr>
                          <w:p w14:paraId="3C9B5159"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796,490</w:t>
                            </w:r>
                          </w:p>
                        </w:tc>
                        <w:tc>
                          <w:tcPr>
                            <w:tcW w:w="1381" w:type="dxa"/>
                            <w:vAlign w:val="center"/>
                          </w:tcPr>
                          <w:p w14:paraId="2D8C889B"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03616633"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4A9A555E"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r>
                      <w:tr w:rsidR="00D74004" w:rsidRPr="00B621CF" w14:paraId="4B48295D" w14:textId="77777777" w:rsidTr="008B44D6">
                        <w:trPr>
                          <w:trHeight w:val="624"/>
                        </w:trPr>
                        <w:tc>
                          <w:tcPr>
                            <w:tcW w:w="417" w:type="dxa"/>
                            <w:vAlign w:val="center"/>
                          </w:tcPr>
                          <w:p w14:paraId="650C8CEE"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4</w:t>
                            </w:r>
                          </w:p>
                        </w:tc>
                        <w:tc>
                          <w:tcPr>
                            <w:tcW w:w="1245" w:type="dxa"/>
                            <w:vMerge/>
                            <w:vAlign w:val="center"/>
                          </w:tcPr>
                          <w:p w14:paraId="2D87749B" w14:textId="77777777" w:rsidR="00D74004" w:rsidRPr="00B621CF" w:rsidRDefault="00D74004" w:rsidP="00824CD6">
                            <w:pPr>
                              <w:spacing w:line="0" w:lineRule="atLeast"/>
                              <w:jc w:val="center"/>
                              <w:rPr>
                                <w:rFonts w:ascii="標楷體" w:eastAsia="標楷體" w:hAnsi="標楷體"/>
                              </w:rPr>
                            </w:pPr>
                          </w:p>
                        </w:tc>
                        <w:tc>
                          <w:tcPr>
                            <w:tcW w:w="2835" w:type="dxa"/>
                            <w:vAlign w:val="center"/>
                          </w:tcPr>
                          <w:p w14:paraId="40913899"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萬隆東營區社會福利設施用地新建工程</w:t>
                            </w:r>
                          </w:p>
                        </w:tc>
                        <w:tc>
                          <w:tcPr>
                            <w:tcW w:w="1134" w:type="dxa"/>
                            <w:vAlign w:val="center"/>
                          </w:tcPr>
                          <w:p w14:paraId="1E351AB4"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1,383,800</w:t>
                            </w:r>
                          </w:p>
                        </w:tc>
                        <w:tc>
                          <w:tcPr>
                            <w:tcW w:w="1381" w:type="dxa"/>
                            <w:vAlign w:val="center"/>
                          </w:tcPr>
                          <w:p w14:paraId="764E2C0D"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2FFCE58F"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13FF7C17"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r>
                      <w:tr w:rsidR="00D74004" w:rsidRPr="00B621CF" w14:paraId="0D89644E" w14:textId="77777777" w:rsidTr="008B44D6">
                        <w:trPr>
                          <w:trHeight w:val="624"/>
                        </w:trPr>
                        <w:tc>
                          <w:tcPr>
                            <w:tcW w:w="417" w:type="dxa"/>
                            <w:vAlign w:val="center"/>
                          </w:tcPr>
                          <w:p w14:paraId="2A67B8AB"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5</w:t>
                            </w:r>
                          </w:p>
                        </w:tc>
                        <w:tc>
                          <w:tcPr>
                            <w:tcW w:w="1245" w:type="dxa"/>
                            <w:vMerge/>
                            <w:vAlign w:val="center"/>
                          </w:tcPr>
                          <w:p w14:paraId="68243077" w14:textId="77777777" w:rsidR="00D74004" w:rsidRPr="00B621CF" w:rsidRDefault="00D74004" w:rsidP="00824CD6">
                            <w:pPr>
                              <w:spacing w:line="0" w:lineRule="atLeast"/>
                              <w:jc w:val="center"/>
                              <w:rPr>
                                <w:rFonts w:ascii="標楷體" w:eastAsia="標楷體" w:hAnsi="標楷體"/>
                              </w:rPr>
                            </w:pPr>
                          </w:p>
                        </w:tc>
                        <w:tc>
                          <w:tcPr>
                            <w:tcW w:w="2835" w:type="dxa"/>
                            <w:vAlign w:val="center"/>
                          </w:tcPr>
                          <w:p w14:paraId="4F6435D9"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臺北市立大安國中綜合教學大樓新建工程</w:t>
                            </w:r>
                          </w:p>
                        </w:tc>
                        <w:tc>
                          <w:tcPr>
                            <w:tcW w:w="1134" w:type="dxa"/>
                            <w:vAlign w:val="center"/>
                          </w:tcPr>
                          <w:p w14:paraId="52729FE5"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1,172,960</w:t>
                            </w:r>
                          </w:p>
                        </w:tc>
                        <w:tc>
                          <w:tcPr>
                            <w:tcW w:w="1381" w:type="dxa"/>
                            <w:vAlign w:val="center"/>
                          </w:tcPr>
                          <w:p w14:paraId="126CFAC5"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79DD2497"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33D1AA92" w14:textId="77777777" w:rsidR="00D74004" w:rsidRPr="00D86FD4" w:rsidRDefault="00D74004" w:rsidP="00824CD6">
                            <w:pPr>
                              <w:spacing w:line="0" w:lineRule="atLeast"/>
                              <w:jc w:val="center"/>
                              <w:rPr>
                                <w:rFonts w:ascii="標楷體" w:eastAsia="標楷體" w:hAnsi="標楷體"/>
                              </w:rPr>
                            </w:pPr>
                          </w:p>
                        </w:tc>
                      </w:tr>
                      <w:tr w:rsidR="00D74004" w:rsidRPr="00B621CF" w14:paraId="2D78FB26" w14:textId="77777777" w:rsidTr="008B44D6">
                        <w:trPr>
                          <w:trHeight w:val="624"/>
                        </w:trPr>
                        <w:tc>
                          <w:tcPr>
                            <w:tcW w:w="417" w:type="dxa"/>
                            <w:vAlign w:val="center"/>
                          </w:tcPr>
                          <w:p w14:paraId="6AD9BFD4"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6</w:t>
                            </w:r>
                          </w:p>
                        </w:tc>
                        <w:tc>
                          <w:tcPr>
                            <w:tcW w:w="1245" w:type="dxa"/>
                            <w:vMerge/>
                            <w:vAlign w:val="center"/>
                          </w:tcPr>
                          <w:p w14:paraId="3EA10A66" w14:textId="77777777" w:rsidR="00D74004" w:rsidRPr="00B621CF" w:rsidRDefault="00D74004" w:rsidP="00824CD6">
                            <w:pPr>
                              <w:spacing w:line="0" w:lineRule="atLeast"/>
                              <w:jc w:val="center"/>
                              <w:rPr>
                                <w:rFonts w:ascii="標楷體" w:eastAsia="標楷體" w:hAnsi="標楷體"/>
                              </w:rPr>
                            </w:pPr>
                          </w:p>
                        </w:tc>
                        <w:tc>
                          <w:tcPr>
                            <w:tcW w:w="2835" w:type="dxa"/>
                            <w:vAlign w:val="center"/>
                          </w:tcPr>
                          <w:p w14:paraId="4318B190" w14:textId="77777777" w:rsidR="00D74004" w:rsidRPr="00B621CF" w:rsidRDefault="00D74004" w:rsidP="00824CD6">
                            <w:pPr>
                              <w:spacing w:line="0" w:lineRule="atLeast"/>
                              <w:jc w:val="both"/>
                              <w:rPr>
                                <w:rFonts w:ascii="標楷體" w:eastAsia="標楷體" w:hAnsi="標楷體"/>
                              </w:rPr>
                            </w:pPr>
                            <w:r w:rsidRPr="00B621CF">
                              <w:rPr>
                                <w:rFonts w:ascii="標楷體" w:eastAsia="標楷體" w:hAnsi="標楷體" w:hint="eastAsia"/>
                              </w:rPr>
                              <w:t>臺北市內湖區新湖國民小學活動中心新建工程</w:t>
                            </w:r>
                          </w:p>
                        </w:tc>
                        <w:tc>
                          <w:tcPr>
                            <w:tcW w:w="1134" w:type="dxa"/>
                            <w:vAlign w:val="center"/>
                          </w:tcPr>
                          <w:p w14:paraId="2560B83B"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281,574</w:t>
                            </w:r>
                          </w:p>
                        </w:tc>
                        <w:tc>
                          <w:tcPr>
                            <w:tcW w:w="1381" w:type="dxa"/>
                            <w:vAlign w:val="center"/>
                          </w:tcPr>
                          <w:p w14:paraId="0A887DE3"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315227C3"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37CC2374" w14:textId="77777777" w:rsidR="00D74004" w:rsidRPr="00D86FD4" w:rsidRDefault="00D74004" w:rsidP="00824CD6">
                            <w:pPr>
                              <w:spacing w:line="0" w:lineRule="atLeast"/>
                              <w:jc w:val="center"/>
                              <w:rPr>
                                <w:rFonts w:ascii="標楷體" w:eastAsia="標楷體" w:hAnsi="標楷體"/>
                              </w:rPr>
                            </w:pPr>
                          </w:p>
                        </w:tc>
                      </w:tr>
                      <w:tr w:rsidR="00D74004" w:rsidRPr="00B621CF" w14:paraId="5893EB8E" w14:textId="77777777" w:rsidTr="008B44D6">
                        <w:trPr>
                          <w:trHeight w:val="624"/>
                        </w:trPr>
                        <w:tc>
                          <w:tcPr>
                            <w:tcW w:w="417" w:type="dxa"/>
                            <w:vAlign w:val="center"/>
                          </w:tcPr>
                          <w:p w14:paraId="1547AAC3"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7</w:t>
                            </w:r>
                          </w:p>
                        </w:tc>
                        <w:tc>
                          <w:tcPr>
                            <w:tcW w:w="1245" w:type="dxa"/>
                            <w:vAlign w:val="center"/>
                          </w:tcPr>
                          <w:p w14:paraId="796EB907" w14:textId="77777777" w:rsidR="00D74004" w:rsidRPr="00B621CF" w:rsidRDefault="00D74004" w:rsidP="00824CD6">
                            <w:pPr>
                              <w:spacing w:line="0" w:lineRule="atLeast"/>
                              <w:jc w:val="center"/>
                              <w:rPr>
                                <w:rFonts w:ascii="標楷體" w:eastAsia="標楷體" w:hAnsi="標楷體"/>
                              </w:rPr>
                            </w:pPr>
                            <w:r w:rsidRPr="00B621CF">
                              <w:rPr>
                                <w:rFonts w:ascii="標楷體" w:eastAsia="標楷體" w:hAnsi="標楷體" w:hint="eastAsia"/>
                              </w:rPr>
                              <w:t>大地工程處</w:t>
                            </w:r>
                          </w:p>
                        </w:tc>
                        <w:tc>
                          <w:tcPr>
                            <w:tcW w:w="2835" w:type="dxa"/>
                            <w:vAlign w:val="center"/>
                          </w:tcPr>
                          <w:p w14:paraId="27BD389B" w14:textId="77777777" w:rsidR="00D74004" w:rsidRPr="00B621CF" w:rsidRDefault="00D74004" w:rsidP="00824CD6">
                            <w:pPr>
                              <w:spacing w:line="0" w:lineRule="atLeast"/>
                              <w:jc w:val="both"/>
                              <w:rPr>
                                <w:rFonts w:ascii="標楷體" w:eastAsia="標楷體" w:hAnsi="標楷體"/>
                              </w:rPr>
                            </w:pPr>
                            <w:proofErr w:type="gramStart"/>
                            <w:r w:rsidRPr="00B621CF">
                              <w:rPr>
                                <w:rFonts w:ascii="標楷體" w:eastAsia="標楷體" w:hAnsi="標楷體" w:hint="eastAsia"/>
                              </w:rPr>
                              <w:t>112</w:t>
                            </w:r>
                            <w:proofErr w:type="gramEnd"/>
                            <w:r w:rsidRPr="00B621CF">
                              <w:rPr>
                                <w:rFonts w:ascii="標楷體" w:eastAsia="標楷體" w:hAnsi="標楷體" w:hint="eastAsia"/>
                              </w:rPr>
                              <w:t>年度軍墓園區水土保持設施工程</w:t>
                            </w:r>
                          </w:p>
                        </w:tc>
                        <w:tc>
                          <w:tcPr>
                            <w:tcW w:w="1134" w:type="dxa"/>
                            <w:vAlign w:val="center"/>
                          </w:tcPr>
                          <w:p w14:paraId="21315DEA" w14:textId="77777777" w:rsidR="00D74004" w:rsidRPr="00D86FD4" w:rsidRDefault="00D74004" w:rsidP="00824CD6">
                            <w:pPr>
                              <w:spacing w:line="0" w:lineRule="atLeast"/>
                              <w:jc w:val="right"/>
                              <w:rPr>
                                <w:rFonts w:ascii="標楷體" w:eastAsia="標楷體" w:hAnsi="標楷體"/>
                              </w:rPr>
                            </w:pPr>
                            <w:r w:rsidRPr="00D86FD4">
                              <w:rPr>
                                <w:rFonts w:ascii="標楷體" w:eastAsia="標楷體" w:hAnsi="標楷體"/>
                              </w:rPr>
                              <w:t>60,853</w:t>
                            </w:r>
                          </w:p>
                        </w:tc>
                        <w:tc>
                          <w:tcPr>
                            <w:tcW w:w="1381" w:type="dxa"/>
                            <w:vAlign w:val="center"/>
                          </w:tcPr>
                          <w:p w14:paraId="7DEC980C" w14:textId="77777777" w:rsidR="00D74004" w:rsidRPr="00D86FD4" w:rsidRDefault="00D74004" w:rsidP="00824CD6">
                            <w:pPr>
                              <w:spacing w:line="0" w:lineRule="atLeast"/>
                              <w:jc w:val="center"/>
                              <w:rPr>
                                <w:rFonts w:ascii="標楷體" w:eastAsia="標楷體" w:hAnsi="標楷體"/>
                              </w:rPr>
                            </w:pPr>
                          </w:p>
                        </w:tc>
                        <w:tc>
                          <w:tcPr>
                            <w:tcW w:w="1382" w:type="dxa"/>
                            <w:vAlign w:val="center"/>
                          </w:tcPr>
                          <w:p w14:paraId="7891ED7B" w14:textId="77777777" w:rsidR="00D74004" w:rsidRPr="00D86FD4" w:rsidRDefault="00D74004" w:rsidP="00824CD6">
                            <w:pPr>
                              <w:spacing w:line="0" w:lineRule="atLeast"/>
                              <w:jc w:val="center"/>
                              <w:rPr>
                                <w:rFonts w:ascii="標楷體" w:eastAsia="標楷體" w:hAnsi="標楷體"/>
                              </w:rPr>
                            </w:pPr>
                            <w:r w:rsidRPr="00591FA2">
                              <w:rPr>
                                <w:rFonts w:ascii="MS Gothic" w:eastAsia="MS Gothic" w:hAnsi="MS Gothic" w:cs="MS Gothic" w:hint="eastAsia"/>
                                <w:shd w:val="clear" w:color="auto" w:fill="FFFFFF"/>
                              </w:rPr>
                              <w:t>✓</w:t>
                            </w:r>
                          </w:p>
                        </w:tc>
                        <w:tc>
                          <w:tcPr>
                            <w:tcW w:w="1382" w:type="dxa"/>
                            <w:vAlign w:val="center"/>
                          </w:tcPr>
                          <w:p w14:paraId="115081E5" w14:textId="77777777" w:rsidR="00D74004" w:rsidRPr="00D86FD4" w:rsidRDefault="00D74004" w:rsidP="00824CD6">
                            <w:pPr>
                              <w:spacing w:line="0" w:lineRule="atLeast"/>
                              <w:jc w:val="center"/>
                              <w:rPr>
                                <w:rFonts w:ascii="標楷體" w:eastAsia="標楷體" w:hAnsi="標楷體"/>
                              </w:rPr>
                            </w:pPr>
                          </w:p>
                        </w:tc>
                      </w:tr>
                    </w:tbl>
                    <w:p w14:paraId="3DC09DB9" w14:textId="77777777" w:rsidR="00D74004" w:rsidRPr="00D86FD4" w:rsidRDefault="00D74004" w:rsidP="00D74004">
                      <w:pPr>
                        <w:spacing w:before="6"/>
                        <w:rPr>
                          <w:rFonts w:ascii="標楷體" w:eastAsia="標楷體" w:hAnsi="標楷體"/>
                          <w:sz w:val="18"/>
                          <w:szCs w:val="18"/>
                        </w:rPr>
                      </w:pPr>
                      <w:r w:rsidRPr="00D86FD4">
                        <w:rPr>
                          <w:rFonts w:ascii="標楷體" w:eastAsia="標楷體" w:hAnsi="標楷體" w:hint="eastAsia"/>
                          <w:sz w:val="18"/>
                          <w:szCs w:val="18"/>
                        </w:rPr>
                        <w:t>資料來源：</w:t>
                      </w:r>
                      <w:r w:rsidRPr="000C761A">
                        <w:rPr>
                          <w:rFonts w:ascii="標楷體" w:eastAsia="標楷體" w:hAnsi="標楷體" w:hint="eastAsia"/>
                          <w:sz w:val="18"/>
                          <w:szCs w:val="18"/>
                        </w:rPr>
                        <w:t>整理自</w:t>
                      </w:r>
                      <w:r>
                        <w:rPr>
                          <w:rFonts w:ascii="標楷體" w:eastAsia="標楷體" w:hAnsi="標楷體" w:hint="eastAsia"/>
                          <w:sz w:val="18"/>
                          <w:szCs w:val="18"/>
                        </w:rPr>
                        <w:t>新建工程處及大地工程處</w:t>
                      </w:r>
                      <w:r w:rsidRPr="000C761A">
                        <w:rPr>
                          <w:rFonts w:ascii="標楷體" w:eastAsia="標楷體" w:hAnsi="標楷體" w:hint="eastAsia"/>
                          <w:sz w:val="18"/>
                          <w:szCs w:val="18"/>
                        </w:rPr>
                        <w:t>提供資料</w:t>
                      </w:r>
                      <w:r w:rsidRPr="00D86FD4">
                        <w:rPr>
                          <w:rFonts w:ascii="標楷體" w:eastAsia="標楷體" w:hAnsi="標楷體" w:hint="eastAsia"/>
                          <w:sz w:val="18"/>
                          <w:szCs w:val="18"/>
                        </w:rPr>
                        <w:t>。</w:t>
                      </w:r>
                    </w:p>
                  </w:txbxContent>
                </v:textbox>
                <w10:wrap type="topAndBottom" anchory="page"/>
              </v:shape>
            </w:pict>
          </mc:Fallback>
        </mc:AlternateContent>
      </w:r>
      <w:r w:rsidR="00D74004" w:rsidRPr="00591FA2">
        <w:rPr>
          <w:rFonts w:ascii="標楷體" w:eastAsia="標楷體" w:hAnsi="標楷體" w:cs="Times New Roman" w:hint="eastAsia"/>
          <w:bCs/>
          <w:szCs w:val="24"/>
        </w:rPr>
        <w:t>持設施工程」，未</w:t>
      </w:r>
      <w:proofErr w:type="gramStart"/>
      <w:r w:rsidR="00D74004" w:rsidRPr="00591FA2">
        <w:rPr>
          <w:rFonts w:ascii="標楷體" w:eastAsia="標楷體" w:hAnsi="標楷體" w:cs="Times New Roman" w:hint="eastAsia"/>
          <w:bCs/>
          <w:szCs w:val="24"/>
        </w:rPr>
        <w:t>審酌承商</w:t>
      </w:r>
      <w:proofErr w:type="gramEnd"/>
      <w:r w:rsidR="00D74004" w:rsidRPr="00591FA2">
        <w:rPr>
          <w:rFonts w:ascii="標楷體" w:eastAsia="標楷體" w:hAnsi="標楷體" w:cs="Times New Roman" w:hint="eastAsia"/>
          <w:bCs/>
          <w:szCs w:val="24"/>
        </w:rPr>
        <w:t>實際係以</w:t>
      </w:r>
      <w:proofErr w:type="gramStart"/>
      <w:r w:rsidR="00D74004" w:rsidRPr="00591FA2">
        <w:rPr>
          <w:rFonts w:ascii="標楷體" w:eastAsia="標楷體" w:hAnsi="標楷體" w:cs="Times New Roman" w:hint="eastAsia"/>
          <w:bCs/>
          <w:szCs w:val="24"/>
        </w:rPr>
        <w:t>35噸傾</w:t>
      </w:r>
      <w:proofErr w:type="gramEnd"/>
      <w:r w:rsidR="00D74004" w:rsidRPr="00591FA2">
        <w:rPr>
          <w:rFonts w:ascii="標楷體" w:eastAsia="標楷體" w:hAnsi="標楷體" w:cs="Times New Roman" w:hint="eastAsia"/>
          <w:bCs/>
          <w:szCs w:val="24"/>
        </w:rPr>
        <w:t>卸貨車將營建剩餘土石方運至</w:t>
      </w:r>
      <w:proofErr w:type="gramStart"/>
      <w:r w:rsidR="00D74004" w:rsidRPr="00591FA2">
        <w:rPr>
          <w:rFonts w:ascii="標楷體" w:eastAsia="標楷體" w:hAnsi="標楷體" w:cs="Times New Roman" w:hint="eastAsia"/>
          <w:bCs/>
          <w:szCs w:val="24"/>
        </w:rPr>
        <w:t>臺</w:t>
      </w:r>
      <w:proofErr w:type="gramEnd"/>
      <w:r w:rsidR="00D74004" w:rsidRPr="00591FA2">
        <w:rPr>
          <w:rFonts w:ascii="標楷體" w:eastAsia="標楷體" w:hAnsi="標楷體" w:cs="Times New Roman" w:hint="eastAsia"/>
          <w:bCs/>
          <w:szCs w:val="24"/>
        </w:rPr>
        <w:t>北港收容，仍按契</w:t>
      </w:r>
      <w:r w:rsidR="00D74004" w:rsidRPr="00AC6C73">
        <w:rPr>
          <w:rFonts w:ascii="標楷體" w:eastAsia="標楷體" w:hAnsi="標楷體" w:cs="Times New Roman" w:hint="eastAsia"/>
          <w:bCs/>
          <w:spacing w:val="2"/>
          <w:szCs w:val="24"/>
        </w:rPr>
        <w:t>約編列運輸單價較高之</w:t>
      </w:r>
      <w:proofErr w:type="gramStart"/>
      <w:r w:rsidR="00D74004" w:rsidRPr="00AC6C73">
        <w:rPr>
          <w:rFonts w:ascii="標楷體" w:eastAsia="標楷體" w:hAnsi="標楷體" w:cs="Times New Roman" w:hint="eastAsia"/>
          <w:bCs/>
          <w:spacing w:val="2"/>
          <w:szCs w:val="24"/>
        </w:rPr>
        <w:t>15噸傾卸貨車計付承</w:t>
      </w:r>
      <w:proofErr w:type="gramEnd"/>
      <w:r w:rsidR="00D74004" w:rsidRPr="00AC6C73">
        <w:rPr>
          <w:rFonts w:ascii="標楷體" w:eastAsia="標楷體" w:hAnsi="標楷體" w:cs="Times New Roman" w:hint="eastAsia"/>
          <w:bCs/>
          <w:spacing w:val="2"/>
          <w:szCs w:val="24"/>
        </w:rPr>
        <w:t>商工程價款，核與土石方交換作業要點第11點第</w:t>
      </w:r>
      <w:r w:rsidR="00D74004" w:rsidRPr="00591FA2">
        <w:rPr>
          <w:rFonts w:ascii="標楷體" w:eastAsia="標楷體" w:hAnsi="標楷體" w:cs="Times New Roman" w:hint="eastAsia"/>
          <w:bCs/>
          <w:szCs w:val="24"/>
        </w:rPr>
        <w:t>1款關於主辦機關應依土方交換規劃構想</w:t>
      </w:r>
      <w:proofErr w:type="gramStart"/>
      <w:r w:rsidR="00D74004" w:rsidRPr="00591FA2">
        <w:rPr>
          <w:rFonts w:ascii="標楷體" w:eastAsia="標楷體" w:hAnsi="標楷體" w:cs="Times New Roman" w:hint="eastAsia"/>
          <w:bCs/>
          <w:szCs w:val="24"/>
        </w:rPr>
        <w:t>覈</w:t>
      </w:r>
      <w:proofErr w:type="gramEnd"/>
      <w:r w:rsidR="00D74004" w:rsidRPr="00591FA2">
        <w:rPr>
          <w:rFonts w:ascii="標楷體" w:eastAsia="標楷體" w:hAnsi="標楷體" w:cs="Times New Roman" w:hint="eastAsia"/>
          <w:bCs/>
          <w:szCs w:val="24"/>
        </w:rPr>
        <w:t>實編列土石方運輸等相關費用之規定不符；3.新工處辦理「萬隆東營區社會福利設施用地新建工程」等2案，對承商將工程產出營建剩餘土石方交換至</w:t>
      </w:r>
      <w:proofErr w:type="gramStart"/>
      <w:r w:rsidR="00D74004" w:rsidRPr="00591FA2">
        <w:rPr>
          <w:rFonts w:ascii="標楷體" w:eastAsia="標楷體" w:hAnsi="標楷體" w:cs="Times New Roman" w:hint="eastAsia"/>
          <w:bCs/>
          <w:szCs w:val="24"/>
        </w:rPr>
        <w:t>臺</w:t>
      </w:r>
      <w:proofErr w:type="gramEnd"/>
      <w:r w:rsidR="00D74004" w:rsidRPr="00591FA2">
        <w:rPr>
          <w:rFonts w:ascii="標楷體" w:eastAsia="標楷體" w:hAnsi="標楷體" w:cs="Times New Roman" w:hint="eastAsia"/>
          <w:bCs/>
          <w:szCs w:val="24"/>
        </w:rPr>
        <w:t>北港收容，其傾卸貨車運輸及土方管理費等工項之結算計價數量，超逾</w:t>
      </w:r>
      <w:proofErr w:type="gramStart"/>
      <w:r w:rsidR="00D74004" w:rsidRPr="00591FA2">
        <w:rPr>
          <w:rFonts w:ascii="標楷體" w:eastAsia="標楷體" w:hAnsi="標楷體" w:cs="Times New Roman" w:hint="eastAsia"/>
          <w:bCs/>
          <w:szCs w:val="24"/>
        </w:rPr>
        <w:t>臺</w:t>
      </w:r>
      <w:proofErr w:type="gramEnd"/>
      <w:r w:rsidR="00D74004" w:rsidRPr="00591FA2">
        <w:rPr>
          <w:rFonts w:ascii="標楷體" w:eastAsia="標楷體" w:hAnsi="標楷體" w:cs="Times New Roman" w:hint="eastAsia"/>
          <w:bCs/>
          <w:szCs w:val="24"/>
        </w:rPr>
        <w:t>北港管理單位開立收容證明所載數量，或有辦理「棄土，泥漿</w:t>
      </w:r>
      <w:proofErr w:type="gramStart"/>
      <w:r w:rsidR="00D74004" w:rsidRPr="00591FA2">
        <w:rPr>
          <w:rFonts w:ascii="標楷體" w:eastAsia="標楷體" w:hAnsi="標楷體" w:cs="Times New Roman" w:hint="eastAsia"/>
          <w:bCs/>
          <w:szCs w:val="24"/>
        </w:rPr>
        <w:t>運棄及</w:t>
      </w:r>
      <w:proofErr w:type="gramEnd"/>
      <w:r w:rsidR="00D74004" w:rsidRPr="00591FA2">
        <w:rPr>
          <w:rFonts w:ascii="標楷體" w:eastAsia="標楷體" w:hAnsi="標楷體" w:cs="Times New Roman" w:hint="eastAsia"/>
          <w:bCs/>
          <w:szCs w:val="24"/>
        </w:rPr>
        <w:t>處理」工項之估驗計價數量，</w:t>
      </w:r>
      <w:proofErr w:type="gramStart"/>
      <w:r w:rsidR="00D74004" w:rsidRPr="00591FA2">
        <w:rPr>
          <w:rFonts w:ascii="標楷體" w:eastAsia="標楷體" w:hAnsi="標楷體" w:cs="Times New Roman" w:hint="eastAsia"/>
          <w:bCs/>
          <w:szCs w:val="24"/>
        </w:rPr>
        <w:t>超逾承商</w:t>
      </w:r>
      <w:proofErr w:type="gramEnd"/>
      <w:r w:rsidR="00D74004" w:rsidRPr="00591FA2">
        <w:rPr>
          <w:rFonts w:ascii="標楷體" w:eastAsia="標楷體" w:hAnsi="標楷體" w:cs="Times New Roman" w:hint="eastAsia"/>
          <w:bCs/>
          <w:szCs w:val="24"/>
        </w:rPr>
        <w:t>實際履約數量，核與土石方交換作業要點第11點第1款關於主辦機關應依實際處理數量計價之規定不符，導致</w:t>
      </w:r>
      <w:proofErr w:type="gramStart"/>
      <w:r w:rsidR="00D74004" w:rsidRPr="00591FA2">
        <w:rPr>
          <w:rFonts w:ascii="標楷體" w:eastAsia="標楷體" w:hAnsi="標楷體" w:cs="Times New Roman" w:hint="eastAsia"/>
          <w:bCs/>
          <w:szCs w:val="24"/>
        </w:rPr>
        <w:t>溢付承商</w:t>
      </w:r>
      <w:proofErr w:type="gramEnd"/>
      <w:r w:rsidR="00D74004" w:rsidRPr="00591FA2">
        <w:rPr>
          <w:rFonts w:ascii="標楷體" w:eastAsia="標楷體" w:hAnsi="標楷體" w:cs="Times New Roman" w:hint="eastAsia"/>
          <w:bCs/>
          <w:szCs w:val="24"/>
        </w:rPr>
        <w:t>工程價款等情事（表</w:t>
      </w:r>
      <w:r w:rsidR="00D74004">
        <w:rPr>
          <w:rFonts w:ascii="標楷體" w:eastAsia="標楷體" w:hAnsi="標楷體" w:cs="Times New Roman"/>
          <w:bCs/>
          <w:szCs w:val="24"/>
        </w:rPr>
        <w:t>2</w:t>
      </w:r>
      <w:r w:rsidR="00D74004" w:rsidRPr="00591FA2">
        <w:rPr>
          <w:rFonts w:ascii="標楷體" w:eastAsia="標楷體" w:hAnsi="標楷體" w:cs="Times New Roman" w:hint="eastAsia"/>
          <w:bCs/>
          <w:szCs w:val="24"/>
        </w:rPr>
        <w:t>），經函請</w:t>
      </w:r>
      <w:proofErr w:type="gramStart"/>
      <w:r w:rsidR="00D74004" w:rsidRPr="00591FA2">
        <w:rPr>
          <w:rFonts w:ascii="標楷體" w:eastAsia="標楷體" w:hAnsi="標楷體" w:cs="Times New Roman" w:hint="eastAsia"/>
          <w:bCs/>
          <w:szCs w:val="24"/>
        </w:rPr>
        <w:t>檢討妥處</w:t>
      </w:r>
      <w:proofErr w:type="gramEnd"/>
      <w:r w:rsidR="00D74004" w:rsidRPr="00591FA2">
        <w:rPr>
          <w:rFonts w:ascii="標楷體" w:eastAsia="標楷體" w:hAnsi="標楷體" w:cs="Times New Roman" w:hint="eastAsia"/>
          <w:bCs/>
          <w:szCs w:val="24"/>
        </w:rPr>
        <w:t>。據復：1.「臺北市職能發展學院原機工大樓及學員宿舍用地改建工程」等3案，合計扣</w:t>
      </w:r>
      <w:proofErr w:type="gramStart"/>
      <w:r w:rsidR="00D74004" w:rsidRPr="00591FA2">
        <w:rPr>
          <w:rFonts w:ascii="標楷體" w:eastAsia="標楷體" w:hAnsi="標楷體" w:cs="Times New Roman" w:hint="eastAsia"/>
          <w:bCs/>
          <w:szCs w:val="24"/>
        </w:rPr>
        <w:t>減溢付承</w:t>
      </w:r>
      <w:proofErr w:type="gramEnd"/>
      <w:r w:rsidR="00D74004" w:rsidRPr="00591FA2">
        <w:rPr>
          <w:rFonts w:ascii="標楷體" w:eastAsia="標楷體" w:hAnsi="標楷體" w:cs="Times New Roman" w:hint="eastAsia"/>
          <w:bCs/>
          <w:szCs w:val="24"/>
        </w:rPr>
        <w:t>商價金1,052萬餘元；2.「萬隆東營區社會福利設施用地新建工程」等4案，合計扣</w:t>
      </w:r>
      <w:proofErr w:type="gramStart"/>
      <w:r w:rsidR="00D74004" w:rsidRPr="00591FA2">
        <w:rPr>
          <w:rFonts w:ascii="標楷體" w:eastAsia="標楷體" w:hAnsi="標楷體" w:cs="Times New Roman" w:hint="eastAsia"/>
          <w:bCs/>
          <w:szCs w:val="24"/>
        </w:rPr>
        <w:t>減溢付承</w:t>
      </w:r>
      <w:proofErr w:type="gramEnd"/>
      <w:r w:rsidR="00D74004" w:rsidRPr="00591FA2">
        <w:rPr>
          <w:rFonts w:ascii="標楷體" w:eastAsia="標楷體" w:hAnsi="標楷體" w:cs="Times New Roman" w:hint="eastAsia"/>
          <w:bCs/>
          <w:szCs w:val="24"/>
        </w:rPr>
        <w:t>商價金2,474萬餘元；3.「萬隆東營區社會福利設施用地新建工程」等2案，合計扣</w:t>
      </w:r>
      <w:proofErr w:type="gramStart"/>
      <w:r w:rsidR="00D74004" w:rsidRPr="00591FA2">
        <w:rPr>
          <w:rFonts w:ascii="標楷體" w:eastAsia="標楷體" w:hAnsi="標楷體" w:cs="Times New Roman" w:hint="eastAsia"/>
          <w:bCs/>
          <w:szCs w:val="24"/>
        </w:rPr>
        <w:t>減溢付承</w:t>
      </w:r>
      <w:proofErr w:type="gramEnd"/>
      <w:r w:rsidR="00D74004" w:rsidRPr="00591FA2">
        <w:rPr>
          <w:rFonts w:ascii="標楷體" w:eastAsia="標楷體" w:hAnsi="標楷體" w:cs="Times New Roman" w:hint="eastAsia"/>
          <w:bCs/>
          <w:szCs w:val="24"/>
        </w:rPr>
        <w:t>商價金489萬餘元。另後續將強化審核機制，</w:t>
      </w:r>
      <w:proofErr w:type="gramStart"/>
      <w:r w:rsidR="00D74004" w:rsidRPr="00591FA2">
        <w:rPr>
          <w:rFonts w:ascii="標楷體" w:eastAsia="標楷體" w:hAnsi="標楷體" w:cs="Times New Roman" w:hint="eastAsia"/>
          <w:bCs/>
          <w:szCs w:val="24"/>
        </w:rPr>
        <w:t>避免類案情形</w:t>
      </w:r>
      <w:proofErr w:type="gramEnd"/>
      <w:r w:rsidR="00D74004" w:rsidRPr="00591FA2">
        <w:rPr>
          <w:rFonts w:ascii="標楷體" w:eastAsia="標楷體" w:hAnsi="標楷體" w:cs="Times New Roman" w:hint="eastAsia"/>
          <w:bCs/>
          <w:szCs w:val="24"/>
        </w:rPr>
        <w:t>再次發生。</w:t>
      </w:r>
    </w:p>
    <w:p w14:paraId="2B43AF42" w14:textId="5B793D68" w:rsidR="00D74004" w:rsidRPr="003C012F" w:rsidRDefault="00D74004" w:rsidP="004F3186">
      <w:pPr>
        <w:widowControl/>
        <w:suppressAutoHyphens/>
        <w:overflowPunct w:val="0"/>
        <w:spacing w:beforeLines="50" w:before="180" w:afterLines="20" w:after="72" w:line="480" w:lineRule="exact"/>
        <w:ind w:firstLineChars="100" w:firstLine="280"/>
        <w:jc w:val="both"/>
        <w:rPr>
          <w:rFonts w:ascii="標楷體" w:eastAsia="標楷體" w:hAnsi="標楷體" w:cs="Times New Roman"/>
          <w:b/>
          <w:sz w:val="28"/>
          <w:szCs w:val="28"/>
        </w:rPr>
      </w:pPr>
      <w:r w:rsidRPr="00DB2473">
        <w:rPr>
          <w:rFonts w:ascii="標楷體" w:eastAsia="標楷體" w:hAnsi="標楷體" w:cs="Times New Roman" w:hint="eastAsia"/>
          <w:b/>
          <w:sz w:val="28"/>
          <w:szCs w:val="28"/>
        </w:rPr>
        <w:lastRenderedPageBreak/>
        <w:t>（</w:t>
      </w:r>
      <w:r>
        <w:rPr>
          <w:rFonts w:ascii="標楷體" w:eastAsia="標楷體" w:hAnsi="標楷體" w:cs="Times New Roman" w:hint="eastAsia"/>
          <w:b/>
          <w:sz w:val="28"/>
          <w:szCs w:val="28"/>
        </w:rPr>
        <w:t>三</w:t>
      </w:r>
      <w:r w:rsidRPr="00DB2473">
        <w:rPr>
          <w:rFonts w:ascii="標楷體" w:eastAsia="標楷體" w:hAnsi="標楷體" w:cs="Times New Roman" w:hint="eastAsia"/>
          <w:b/>
          <w:kern w:val="0"/>
          <w:sz w:val="28"/>
          <w:szCs w:val="28"/>
        </w:rPr>
        <w:t>）</w:t>
      </w:r>
      <w:r w:rsidRPr="007E5101">
        <w:rPr>
          <w:rFonts w:ascii="標楷體" w:eastAsia="標楷體" w:hAnsi="標楷體" w:cs="Times New Roman" w:hint="eastAsia"/>
          <w:b/>
          <w:kern w:val="0"/>
          <w:sz w:val="28"/>
          <w:szCs w:val="28"/>
        </w:rPr>
        <w:t>為明確代辦工程委託技術服務費用計算方式，依據機關委託技術服務廠商評選及計費辦法及市府公共工程技術服務契約範本，訂定委託技術服務契約，惟部分案件未依契約核算監造服務費用，</w:t>
      </w:r>
      <w:proofErr w:type="gramStart"/>
      <w:r w:rsidRPr="007E5101">
        <w:rPr>
          <w:rFonts w:ascii="標楷體" w:eastAsia="標楷體" w:hAnsi="標楷體" w:cs="Times New Roman" w:hint="eastAsia"/>
          <w:b/>
          <w:kern w:val="0"/>
          <w:sz w:val="28"/>
          <w:szCs w:val="28"/>
        </w:rPr>
        <w:t>致溢計</w:t>
      </w:r>
      <w:proofErr w:type="gramEnd"/>
      <w:r w:rsidRPr="007E5101">
        <w:rPr>
          <w:rFonts w:ascii="標楷體" w:eastAsia="標楷體" w:hAnsi="標楷體" w:cs="Times New Roman" w:hint="eastAsia"/>
          <w:b/>
          <w:kern w:val="0"/>
          <w:sz w:val="28"/>
          <w:szCs w:val="28"/>
        </w:rPr>
        <w:t>廠商服務費用，亟待</w:t>
      </w:r>
      <w:proofErr w:type="gramStart"/>
      <w:r w:rsidRPr="007E5101">
        <w:rPr>
          <w:rFonts w:ascii="標楷體" w:eastAsia="標楷體" w:hAnsi="標楷體" w:cs="Times New Roman" w:hint="eastAsia"/>
          <w:b/>
          <w:kern w:val="0"/>
          <w:sz w:val="28"/>
          <w:szCs w:val="28"/>
        </w:rPr>
        <w:t>檢討妥處</w:t>
      </w:r>
      <w:proofErr w:type="gramEnd"/>
      <w:r>
        <w:rPr>
          <w:rFonts w:ascii="標楷體" w:eastAsia="標楷體" w:hAnsi="標楷體" w:cs="Times New Roman" w:hint="eastAsia"/>
          <w:b/>
          <w:kern w:val="0"/>
          <w:sz w:val="28"/>
          <w:szCs w:val="28"/>
        </w:rPr>
        <w:t>。</w:t>
      </w:r>
    </w:p>
    <w:p w14:paraId="5EA73DC8" w14:textId="2F8D08C2" w:rsidR="00D74004" w:rsidRPr="007E5101" w:rsidRDefault="00D74004" w:rsidP="002F0729">
      <w:pPr>
        <w:widowControl/>
        <w:tabs>
          <w:tab w:val="left" w:pos="1560"/>
        </w:tabs>
        <w:kinsoku w:val="0"/>
        <w:overflowPunct w:val="0"/>
        <w:spacing w:beforeLines="20" w:before="72" w:line="480" w:lineRule="exact"/>
        <w:ind w:firstLineChars="200" w:firstLine="480"/>
        <w:jc w:val="both"/>
        <w:rPr>
          <w:rFonts w:ascii="標楷體" w:eastAsia="標楷體" w:hAnsi="標楷體" w:cs="Times New Roman"/>
          <w:b/>
          <w:kern w:val="0"/>
          <w:sz w:val="28"/>
          <w:szCs w:val="28"/>
        </w:rPr>
      </w:pPr>
      <w:r w:rsidRPr="007E5101">
        <w:rPr>
          <w:rFonts w:ascii="標楷體" w:eastAsia="標楷體" w:hAnsi="標楷體" w:cs="Times New Roman" w:hint="eastAsia"/>
          <w:szCs w:val="20"/>
        </w:rPr>
        <w:t>行政院公共工程委員會（下稱工程會）為利各機關辦理委託技術服務採購案件有所依循，依據政府採購法第22條第2項規定授權訂定機關委託技術服務廠商評選及計費辦法（下稱技服辦法）。依工程會106年3月31日修訂之技服辦法第29條第1項規定，機關委託廠商辦理技術服務，服務費用</w:t>
      </w:r>
      <w:proofErr w:type="gramStart"/>
      <w:r w:rsidRPr="007E5101">
        <w:rPr>
          <w:rFonts w:ascii="標楷體" w:eastAsia="標楷體" w:hAnsi="標楷體" w:cs="Times New Roman" w:hint="eastAsia"/>
          <w:szCs w:val="20"/>
        </w:rPr>
        <w:t>採</w:t>
      </w:r>
      <w:proofErr w:type="gramEnd"/>
      <w:r w:rsidRPr="007E5101">
        <w:rPr>
          <w:rFonts w:ascii="標楷體" w:eastAsia="標楷體" w:hAnsi="標楷體" w:cs="Times New Roman" w:hint="eastAsia"/>
          <w:szCs w:val="20"/>
        </w:rPr>
        <w:t>建造費用百分比法計費者，其服務費率應按工程內容、服務項目及難易度，按各級建造費用，分別訂定費率，或訂定統一折扣率；同條第2項規定，前項建造費用，指經機關核定之工程採購底價金額或評審委員會建議金額，不包括規費、規劃費、設計費、監造費、專案管理費、物價指數調整工程款、營業稅、土地及權利費用、法律費用、主辦機關所需工程管理費、承包商辦理工程之各項利息、保險費及招標文件所載其他除外費用（下稱不包括之費用及稅捐）；同條第3項規定，工程採購無底價且無評審委員會建議金額者，第1項建造費用以工程預算之90％代之，但應扣除前項不包括之費用及稅捐等。</w:t>
      </w:r>
      <w:proofErr w:type="gramStart"/>
      <w:r w:rsidRPr="007E5101">
        <w:rPr>
          <w:rFonts w:ascii="標楷體" w:eastAsia="標楷體" w:hAnsi="標楷體" w:cs="Times New Roman" w:hint="eastAsia"/>
          <w:szCs w:val="20"/>
        </w:rPr>
        <w:t>嗣</w:t>
      </w:r>
      <w:proofErr w:type="gramEnd"/>
      <w:r w:rsidRPr="007E5101">
        <w:rPr>
          <w:rFonts w:ascii="標楷體" w:eastAsia="標楷體" w:hAnsi="標楷體" w:cs="Times New Roman" w:hint="eastAsia"/>
          <w:szCs w:val="20"/>
        </w:rPr>
        <w:t>臺北市政府於106年8月22日</w:t>
      </w:r>
      <w:proofErr w:type="gramStart"/>
      <w:r w:rsidRPr="007E5101">
        <w:rPr>
          <w:rFonts w:ascii="標楷體" w:eastAsia="標楷體" w:hAnsi="標楷體" w:cs="Times New Roman" w:hint="eastAsia"/>
          <w:szCs w:val="20"/>
        </w:rPr>
        <w:t>修頒該</w:t>
      </w:r>
      <w:proofErr w:type="gramEnd"/>
      <w:r w:rsidRPr="007E5101">
        <w:rPr>
          <w:rFonts w:ascii="標楷體" w:eastAsia="標楷體" w:hAnsi="標楷體" w:cs="Times New Roman" w:hint="eastAsia"/>
          <w:szCs w:val="20"/>
        </w:rPr>
        <w:t>府公共工程技術服務契約範本（下稱府頒契約範本），將</w:t>
      </w:r>
      <w:proofErr w:type="gramStart"/>
      <w:r w:rsidRPr="007E5101">
        <w:rPr>
          <w:rFonts w:ascii="標楷體" w:eastAsia="標楷體" w:hAnsi="標楷體" w:cs="Times New Roman" w:hint="eastAsia"/>
          <w:szCs w:val="20"/>
        </w:rPr>
        <w:t>上開技服</w:t>
      </w:r>
      <w:proofErr w:type="gramEnd"/>
      <w:r w:rsidRPr="007E5101">
        <w:rPr>
          <w:rFonts w:ascii="標楷體" w:eastAsia="標楷體" w:hAnsi="標楷體" w:cs="Times New Roman" w:hint="eastAsia"/>
          <w:szCs w:val="20"/>
        </w:rPr>
        <w:t>辦法第29條第1至3項納入該契約範本第3條「契約價金之給付」相關修正規定。經查</w:t>
      </w:r>
      <w:r>
        <w:rPr>
          <w:rFonts w:ascii="標楷體" w:eastAsia="標楷體" w:hAnsi="標楷體" w:cs="Times New Roman" w:hint="eastAsia"/>
          <w:szCs w:val="20"/>
        </w:rPr>
        <w:t>臺北市政府</w:t>
      </w:r>
      <w:r w:rsidRPr="007E5101">
        <w:rPr>
          <w:rFonts w:ascii="標楷體" w:eastAsia="標楷體" w:hAnsi="標楷體" w:cs="Times New Roman" w:hint="eastAsia"/>
          <w:szCs w:val="20"/>
        </w:rPr>
        <w:t>都市發展局於107年間辦理「臺北市南港區經貿段公共住宅新建工程委託規劃</w:t>
      </w:r>
      <w:proofErr w:type="gramStart"/>
      <w:r w:rsidRPr="007E5101">
        <w:rPr>
          <w:rFonts w:ascii="標楷體" w:eastAsia="標楷體" w:hAnsi="標楷體" w:cs="Times New Roman" w:hint="eastAsia"/>
          <w:szCs w:val="20"/>
        </w:rPr>
        <w:t>設計暨監造</w:t>
      </w:r>
      <w:proofErr w:type="gramEnd"/>
      <w:r w:rsidRPr="007E5101">
        <w:rPr>
          <w:rFonts w:ascii="標楷體" w:eastAsia="標楷體" w:hAnsi="標楷體" w:cs="Times New Roman" w:hint="eastAsia"/>
          <w:szCs w:val="20"/>
        </w:rPr>
        <w:t>技術服務案」（契約金額3,583</w:t>
      </w:r>
      <w:r w:rsidR="008B44D6" w:rsidRPr="007E5101">
        <w:rPr>
          <w:rFonts w:ascii="標楷體" w:eastAsia="標楷體" w:hAnsi="標楷體" w:cs="Times New Roman" w:hint="eastAsia"/>
          <w:szCs w:val="20"/>
        </w:rPr>
        <w:t>萬餘元）及「臺北市士林區</w:t>
      </w:r>
      <w:proofErr w:type="gramStart"/>
      <w:r w:rsidR="008B44D6" w:rsidRPr="007E5101">
        <w:rPr>
          <w:rFonts w:ascii="標楷體" w:eastAsia="標楷體" w:hAnsi="標楷體" w:cs="Times New Roman" w:hint="eastAsia"/>
          <w:szCs w:val="20"/>
        </w:rPr>
        <w:t>福順段公共</w:t>
      </w:r>
      <w:proofErr w:type="gramEnd"/>
      <w:r w:rsidR="008B44D6" w:rsidRPr="007E5101">
        <w:rPr>
          <w:rFonts w:ascii="標楷體" w:eastAsia="標楷體" w:hAnsi="標楷體" w:cs="Times New Roman" w:hint="eastAsia"/>
          <w:szCs w:val="20"/>
        </w:rPr>
        <w:t>住宅新建工程委託規劃</w:t>
      </w:r>
      <w:proofErr w:type="gramStart"/>
      <w:r w:rsidR="008B44D6" w:rsidRPr="007E5101">
        <w:rPr>
          <w:rFonts w:ascii="標楷體" w:eastAsia="標楷體" w:hAnsi="標楷體" w:cs="Times New Roman" w:hint="eastAsia"/>
          <w:szCs w:val="20"/>
        </w:rPr>
        <w:t>設計暨監造</w:t>
      </w:r>
      <w:proofErr w:type="gramEnd"/>
      <w:r w:rsidR="008B44D6" w:rsidRPr="007E5101">
        <w:rPr>
          <w:rFonts w:ascii="標楷體" w:eastAsia="標楷體" w:hAnsi="標楷體" w:cs="Times New Roman" w:hint="eastAsia"/>
          <w:szCs w:val="20"/>
        </w:rPr>
        <w:t>技術服務案」（契約金</w:t>
      </w:r>
      <w:r w:rsidRPr="007E5101">
        <w:rPr>
          <w:rFonts w:ascii="標楷體" w:eastAsia="標楷體" w:hAnsi="標楷體" w:cs="Times New Roman" w:hint="eastAsia"/>
          <w:szCs w:val="20"/>
        </w:rPr>
        <w:t>額5,039萬餘元）等2案，皆採用納入</w:t>
      </w:r>
      <w:proofErr w:type="gramStart"/>
      <w:r w:rsidRPr="007E5101">
        <w:rPr>
          <w:rFonts w:ascii="標楷體" w:eastAsia="標楷體" w:hAnsi="標楷體" w:cs="Times New Roman" w:hint="eastAsia"/>
          <w:szCs w:val="20"/>
        </w:rPr>
        <w:t>上開技服</w:t>
      </w:r>
      <w:proofErr w:type="gramEnd"/>
      <w:r w:rsidRPr="007E5101">
        <w:rPr>
          <w:rFonts w:ascii="標楷體" w:eastAsia="標楷體" w:hAnsi="標楷體" w:cs="Times New Roman" w:hint="eastAsia"/>
          <w:szCs w:val="20"/>
        </w:rPr>
        <w:t>辦法第29條規定</w:t>
      </w:r>
      <w:proofErr w:type="gramStart"/>
      <w:r w:rsidRPr="007E5101">
        <w:rPr>
          <w:rFonts w:ascii="標楷體" w:eastAsia="標楷體" w:hAnsi="標楷體" w:cs="Times New Roman" w:hint="eastAsia"/>
          <w:szCs w:val="20"/>
        </w:rPr>
        <w:t>之府頒契約</w:t>
      </w:r>
      <w:proofErr w:type="gramEnd"/>
      <w:r w:rsidRPr="007E5101">
        <w:rPr>
          <w:rFonts w:ascii="標楷體" w:eastAsia="標楷體" w:hAnsi="標楷體" w:cs="Times New Roman" w:hint="eastAsia"/>
          <w:szCs w:val="20"/>
        </w:rPr>
        <w:t>範本訂定契約條款</w:t>
      </w:r>
      <w:r w:rsidRPr="004F3186">
        <w:rPr>
          <w:rFonts w:ascii="標楷體" w:eastAsia="標楷體" w:hAnsi="標楷體" w:cs="Times New Roman" w:hint="eastAsia"/>
          <w:szCs w:val="20"/>
        </w:rPr>
        <w:t>，</w:t>
      </w:r>
      <w:proofErr w:type="gramStart"/>
      <w:r w:rsidRPr="004F3186">
        <w:rPr>
          <w:rFonts w:ascii="標楷體" w:eastAsia="標楷體" w:hAnsi="標楷體" w:cs="Times New Roman" w:hint="eastAsia"/>
          <w:szCs w:val="20"/>
        </w:rPr>
        <w:t>嗣</w:t>
      </w:r>
      <w:proofErr w:type="gramEnd"/>
      <w:r w:rsidRPr="004F3186">
        <w:rPr>
          <w:rFonts w:ascii="標楷體" w:eastAsia="標楷體" w:hAnsi="標楷體" w:cs="Times New Roman" w:hint="eastAsia"/>
          <w:szCs w:val="20"/>
        </w:rPr>
        <w:t>分別委託新建工程處、公園路燈工程管理處代辦該等工程及監造技術服務之履約管理事宜；復查該2件技術服務案經廠商完成設計作業後，工程採購均係</w:t>
      </w:r>
      <w:proofErr w:type="gramStart"/>
      <w:r w:rsidRPr="004F3186">
        <w:rPr>
          <w:rFonts w:ascii="標楷體" w:eastAsia="標楷體" w:hAnsi="標楷體" w:cs="Times New Roman" w:hint="eastAsia"/>
          <w:szCs w:val="20"/>
        </w:rPr>
        <w:t>採</w:t>
      </w:r>
      <w:proofErr w:type="gramEnd"/>
      <w:r w:rsidRPr="004F3186">
        <w:rPr>
          <w:rFonts w:ascii="標楷體" w:eastAsia="標楷體" w:hAnsi="標楷體" w:cs="Times New Roman" w:hint="eastAsia"/>
          <w:szCs w:val="20"/>
        </w:rPr>
        <w:t>公開招標、最有利標決標方式辦理，既無底價且無評審委員會建議金額，故新建工程處及公園路燈工程管理處依約以建造費用百分比法計算監造服務費用時，建造費用應扣除不包括之費用及稅捐，並以工程預算之90％代之，惟實際或以</w:t>
      </w:r>
      <w:proofErr w:type="gramStart"/>
      <w:r w:rsidRPr="004F3186">
        <w:rPr>
          <w:rFonts w:ascii="標楷體" w:eastAsia="標楷體" w:hAnsi="標楷體" w:cs="Times New Roman" w:hint="eastAsia"/>
          <w:szCs w:val="20"/>
        </w:rPr>
        <w:t>技服案決</w:t>
      </w:r>
      <w:proofErr w:type="gramEnd"/>
      <w:r w:rsidRPr="004F3186">
        <w:rPr>
          <w:rFonts w:ascii="標楷體" w:eastAsia="標楷體" w:hAnsi="標楷體" w:cs="Times New Roman" w:hint="eastAsia"/>
          <w:szCs w:val="20"/>
        </w:rPr>
        <w:t>標金額扣除設計服務費計算監造服務費，或以工程採購決標金額為建造費用計算監造服務費，導致機關核定該2案之監造服務費用1,773萬餘元、2,344萬餘元（合計4,118萬餘元），相較依約計算之監造服務費用1,526萬餘元、2,102萬餘元（合計3,629萬餘元），</w:t>
      </w:r>
      <w:proofErr w:type="gramStart"/>
      <w:r w:rsidRPr="004F3186">
        <w:rPr>
          <w:rFonts w:ascii="標楷體" w:eastAsia="標楷體" w:hAnsi="標楷體" w:cs="Times New Roman" w:hint="eastAsia"/>
          <w:szCs w:val="20"/>
        </w:rPr>
        <w:t>分別溢計</w:t>
      </w:r>
      <w:proofErr w:type="gramEnd"/>
      <w:r w:rsidRPr="004F3186">
        <w:rPr>
          <w:rFonts w:ascii="標楷體" w:eastAsia="標楷體" w:hAnsi="標楷體" w:cs="Times New Roman" w:hint="eastAsia"/>
          <w:szCs w:val="20"/>
        </w:rPr>
        <w:t>246萬餘元、242萬餘元（合計489萬餘元），經函請</w:t>
      </w:r>
      <w:proofErr w:type="gramStart"/>
      <w:r w:rsidRPr="004F3186">
        <w:rPr>
          <w:rFonts w:ascii="標楷體" w:eastAsia="標楷體" w:hAnsi="標楷體" w:cs="Times New Roman" w:hint="eastAsia"/>
          <w:szCs w:val="20"/>
        </w:rPr>
        <w:t>檢討妥處</w:t>
      </w:r>
      <w:proofErr w:type="gramEnd"/>
      <w:r w:rsidRPr="004F3186">
        <w:rPr>
          <w:rFonts w:ascii="標楷體" w:eastAsia="標楷體" w:hAnsi="標楷體" w:cs="Times New Roman" w:hint="eastAsia"/>
          <w:szCs w:val="20"/>
        </w:rPr>
        <w:t>。據復：該2機關已重新依約修正核算監造服務費用，減</w:t>
      </w:r>
      <w:proofErr w:type="gramStart"/>
      <w:r w:rsidRPr="004F3186">
        <w:rPr>
          <w:rFonts w:ascii="標楷體" w:eastAsia="標楷體" w:hAnsi="標楷體" w:cs="Times New Roman" w:hint="eastAsia"/>
          <w:szCs w:val="20"/>
        </w:rPr>
        <w:t>列原溢計</w:t>
      </w:r>
      <w:proofErr w:type="gramEnd"/>
      <w:r w:rsidRPr="004F3186">
        <w:rPr>
          <w:rFonts w:ascii="標楷體" w:eastAsia="標楷體" w:hAnsi="標楷體" w:cs="Times New Roman" w:hint="eastAsia"/>
          <w:szCs w:val="20"/>
        </w:rPr>
        <w:t>之489萬餘元，並扣抵技術服務廠商相關溢領金額；後續於執行相關採購契約作業時，將更謹慎核對契約條文，並於履約階段，確實審查契約中相關給付價金依據，要求同仁確實核對，以避免類似情事再度發生</w:t>
      </w:r>
      <w:r w:rsidRPr="007E5101">
        <w:rPr>
          <w:rFonts w:ascii="標楷體" w:eastAsia="標楷體" w:hAnsi="標楷體" w:cs="Times New Roman" w:hint="eastAsia"/>
          <w:szCs w:val="20"/>
        </w:rPr>
        <w:t>。</w:t>
      </w:r>
    </w:p>
    <w:p w14:paraId="50FA1472" w14:textId="49BEC971" w:rsidR="00D74004" w:rsidRPr="00A21B3C" w:rsidRDefault="00D74004" w:rsidP="008B44D6">
      <w:pPr>
        <w:widowControl/>
        <w:suppressAutoHyphens/>
        <w:overflowPunct w:val="0"/>
        <w:spacing w:beforeLines="35" w:before="126" w:afterLines="50" w:after="180" w:line="500" w:lineRule="exact"/>
        <w:ind w:firstLineChars="100" w:firstLine="280"/>
        <w:jc w:val="both"/>
        <w:rPr>
          <w:rFonts w:ascii="標楷體" w:eastAsia="標楷體" w:hAnsi="標楷體" w:cs="Times New Roman"/>
          <w:b/>
          <w:spacing w:val="2"/>
          <w:sz w:val="28"/>
          <w:szCs w:val="28"/>
        </w:rPr>
      </w:pPr>
      <w:r w:rsidRPr="00DB2473">
        <w:rPr>
          <w:rFonts w:ascii="標楷體" w:eastAsia="標楷體" w:hAnsi="標楷體" w:cs="Times New Roman" w:hint="eastAsia"/>
          <w:b/>
          <w:sz w:val="28"/>
          <w:szCs w:val="28"/>
        </w:rPr>
        <w:lastRenderedPageBreak/>
        <w:t>（</w:t>
      </w:r>
      <w:r>
        <w:rPr>
          <w:rFonts w:ascii="標楷體" w:eastAsia="標楷體" w:hAnsi="標楷體" w:cs="Times New Roman" w:hint="eastAsia"/>
          <w:b/>
          <w:sz w:val="28"/>
          <w:szCs w:val="28"/>
        </w:rPr>
        <w:t>四</w:t>
      </w:r>
      <w:r w:rsidRPr="00DB2473">
        <w:rPr>
          <w:rFonts w:ascii="標楷體" w:eastAsia="標楷體" w:hAnsi="標楷體" w:cs="Times New Roman" w:hint="eastAsia"/>
          <w:b/>
          <w:kern w:val="0"/>
          <w:sz w:val="28"/>
          <w:szCs w:val="28"/>
        </w:rPr>
        <w:t>）</w:t>
      </w:r>
      <w:r w:rsidRPr="00A21B3C">
        <w:rPr>
          <w:rFonts w:ascii="標楷體" w:eastAsia="標楷體" w:hAnsi="標楷體" w:cs="Times New Roman" w:hint="eastAsia"/>
          <w:b/>
          <w:spacing w:val="2"/>
          <w:kern w:val="0"/>
          <w:sz w:val="28"/>
          <w:szCs w:val="28"/>
        </w:rPr>
        <w:t>為維護兒童遊戲場設施使用安全，持續委外辦理</w:t>
      </w:r>
      <w:proofErr w:type="gramStart"/>
      <w:r w:rsidRPr="00A21B3C">
        <w:rPr>
          <w:rFonts w:ascii="標楷體" w:eastAsia="標楷體" w:hAnsi="標楷體" w:cs="Times New Roman" w:hint="eastAsia"/>
          <w:b/>
          <w:spacing w:val="2"/>
          <w:kern w:val="0"/>
          <w:sz w:val="28"/>
          <w:szCs w:val="28"/>
        </w:rPr>
        <w:t>相關遊具設施</w:t>
      </w:r>
      <w:proofErr w:type="gramEnd"/>
      <w:r w:rsidRPr="00A21B3C">
        <w:rPr>
          <w:rFonts w:ascii="標楷體" w:eastAsia="標楷體" w:hAnsi="標楷體" w:cs="Times New Roman" w:hint="eastAsia"/>
          <w:b/>
          <w:spacing w:val="2"/>
          <w:kern w:val="0"/>
          <w:sz w:val="28"/>
          <w:szCs w:val="28"/>
        </w:rPr>
        <w:t>檢驗與巡查等作業，惟部分</w:t>
      </w:r>
      <w:proofErr w:type="gramStart"/>
      <w:r w:rsidRPr="00A21B3C">
        <w:rPr>
          <w:rFonts w:ascii="標楷體" w:eastAsia="標楷體" w:hAnsi="標楷體" w:cs="Times New Roman" w:hint="eastAsia"/>
          <w:b/>
          <w:spacing w:val="2"/>
          <w:kern w:val="0"/>
          <w:sz w:val="28"/>
          <w:szCs w:val="28"/>
        </w:rPr>
        <w:t>遊具經</w:t>
      </w:r>
      <w:proofErr w:type="gramEnd"/>
      <w:r w:rsidRPr="00A21B3C">
        <w:rPr>
          <w:rFonts w:ascii="標楷體" w:eastAsia="標楷體" w:hAnsi="標楷體" w:cs="Times New Roman" w:hint="eastAsia"/>
          <w:b/>
          <w:spacing w:val="2"/>
          <w:kern w:val="0"/>
          <w:sz w:val="28"/>
          <w:szCs w:val="28"/>
        </w:rPr>
        <w:t>檢驗不合格，未儘速完成改善，或經巡查發現之缺失案件，未指定修復期限，致未能列管儘速完成修繕，管理維護機制</w:t>
      </w:r>
      <w:proofErr w:type="gramStart"/>
      <w:r w:rsidRPr="00A21B3C">
        <w:rPr>
          <w:rFonts w:ascii="標楷體" w:eastAsia="標楷體" w:hAnsi="標楷體" w:cs="Times New Roman" w:hint="eastAsia"/>
          <w:b/>
          <w:spacing w:val="2"/>
          <w:kern w:val="0"/>
          <w:sz w:val="28"/>
          <w:szCs w:val="28"/>
        </w:rPr>
        <w:t>未盡周妥</w:t>
      </w:r>
      <w:proofErr w:type="gramEnd"/>
      <w:r w:rsidRPr="00A21B3C">
        <w:rPr>
          <w:rFonts w:ascii="標楷體" w:eastAsia="標楷體" w:hAnsi="標楷體" w:cs="Times New Roman" w:hint="eastAsia"/>
          <w:b/>
          <w:spacing w:val="2"/>
          <w:kern w:val="0"/>
          <w:sz w:val="28"/>
          <w:szCs w:val="28"/>
        </w:rPr>
        <w:t>，有待檢討改進。</w:t>
      </w:r>
    </w:p>
    <w:p w14:paraId="24EF3DBF" w14:textId="623337AF" w:rsidR="00D74004" w:rsidRPr="00DB2473" w:rsidRDefault="00D74004" w:rsidP="008B44D6">
      <w:pPr>
        <w:widowControl/>
        <w:tabs>
          <w:tab w:val="left" w:pos="1560"/>
        </w:tabs>
        <w:kinsoku w:val="0"/>
        <w:overflowPunct w:val="0"/>
        <w:spacing w:beforeLines="50" w:before="180" w:line="472" w:lineRule="exact"/>
        <w:ind w:firstLineChars="200" w:firstLine="480"/>
        <w:jc w:val="both"/>
        <w:rPr>
          <w:rFonts w:ascii="標楷體" w:eastAsia="標楷體" w:hAnsi="標楷體" w:cs="Times New Roman"/>
          <w:b/>
          <w:kern w:val="0"/>
          <w:sz w:val="28"/>
          <w:szCs w:val="28"/>
        </w:rPr>
      </w:pPr>
      <w:r w:rsidRPr="00591FA2">
        <w:rPr>
          <w:rFonts w:ascii="標楷體" w:eastAsia="標楷體" w:hAnsi="標楷體" w:cs="Times New Roman" w:hint="eastAsia"/>
          <w:szCs w:val="20"/>
        </w:rPr>
        <w:t>公園路燈工程管理處</w:t>
      </w:r>
      <w:r>
        <w:rPr>
          <w:rFonts w:ascii="標楷體" w:eastAsia="標楷體" w:hAnsi="標楷體" w:cs="Times New Roman" w:hint="eastAsia"/>
          <w:szCs w:val="20"/>
        </w:rPr>
        <w:t>（</w:t>
      </w:r>
      <w:r w:rsidRPr="00591FA2">
        <w:rPr>
          <w:rFonts w:ascii="標楷體" w:eastAsia="標楷體" w:hAnsi="標楷體" w:cs="Times New Roman" w:hint="eastAsia"/>
          <w:szCs w:val="20"/>
        </w:rPr>
        <w:t>下稱公園處</w:t>
      </w:r>
      <w:r>
        <w:rPr>
          <w:rFonts w:ascii="標楷體" w:eastAsia="標楷體" w:hAnsi="標楷體" w:cs="Times New Roman" w:hint="eastAsia"/>
          <w:szCs w:val="20"/>
        </w:rPr>
        <w:t>）</w:t>
      </w:r>
      <w:r w:rsidRPr="00591FA2">
        <w:rPr>
          <w:rFonts w:ascii="標楷體" w:eastAsia="標楷體" w:hAnsi="標楷體" w:cs="Times New Roman" w:hint="eastAsia"/>
          <w:szCs w:val="20"/>
        </w:rPr>
        <w:t>為確保轄管公園附設兒童遊樂設施使用安全，111至113年度各編列預算4,482萬元、5,600萬餘元及1億26萬元，辦理兒童遊戲場及附屬設施改善工程。截至113年11月底止，公園處轄管公園設有兒童遊戲場計446處，經查管理維護執行情形，核有：1.依兒童遊戲場設施安全管理規範第10點規定略</w:t>
      </w:r>
      <w:proofErr w:type="gramStart"/>
      <w:r w:rsidRPr="00591FA2">
        <w:rPr>
          <w:rFonts w:ascii="標楷體" w:eastAsia="標楷體" w:hAnsi="標楷體" w:cs="Times New Roman" w:hint="eastAsia"/>
          <w:szCs w:val="20"/>
        </w:rPr>
        <w:t>以</w:t>
      </w:r>
      <w:proofErr w:type="gramEnd"/>
      <w:r w:rsidRPr="00591FA2">
        <w:rPr>
          <w:rFonts w:ascii="標楷體" w:eastAsia="標楷體" w:hAnsi="標楷體" w:cs="Times New Roman" w:hint="eastAsia"/>
          <w:szCs w:val="20"/>
        </w:rPr>
        <w:t>，兒童遊戲場定期檢驗工作，</w:t>
      </w:r>
      <w:proofErr w:type="gramStart"/>
      <w:r w:rsidRPr="00591FA2">
        <w:rPr>
          <w:rFonts w:ascii="標楷體" w:eastAsia="標楷體" w:hAnsi="標楷體" w:cs="Times New Roman" w:hint="eastAsia"/>
          <w:szCs w:val="20"/>
        </w:rPr>
        <w:t>室外遊具每3年</w:t>
      </w:r>
      <w:proofErr w:type="gramEnd"/>
      <w:r w:rsidRPr="00591FA2">
        <w:rPr>
          <w:rFonts w:ascii="標楷體" w:eastAsia="標楷體" w:hAnsi="標楷體" w:cs="Times New Roman" w:hint="eastAsia"/>
          <w:szCs w:val="20"/>
        </w:rPr>
        <w:t>檢驗1次。公園處於107年4月至113年11月間持續委外辦理兒童遊戲</w:t>
      </w:r>
      <w:proofErr w:type="gramStart"/>
      <w:r w:rsidRPr="00591FA2">
        <w:rPr>
          <w:rFonts w:ascii="標楷體" w:eastAsia="標楷體" w:hAnsi="標楷體" w:cs="Times New Roman" w:hint="eastAsia"/>
          <w:szCs w:val="20"/>
        </w:rPr>
        <w:t>場遊具檢驗</w:t>
      </w:r>
      <w:proofErr w:type="gramEnd"/>
      <w:r w:rsidRPr="00591FA2">
        <w:rPr>
          <w:rFonts w:ascii="標楷體" w:eastAsia="標楷體" w:hAnsi="標楷體" w:cs="Times New Roman" w:hint="eastAsia"/>
          <w:szCs w:val="20"/>
        </w:rPr>
        <w:t>作業，惟截至113年11月底止，轄管公園附設兒童</w:t>
      </w:r>
      <w:proofErr w:type="gramStart"/>
      <w:r w:rsidRPr="00591FA2">
        <w:rPr>
          <w:rFonts w:ascii="標楷體" w:eastAsia="標楷體" w:hAnsi="標楷體" w:cs="Times New Roman" w:hint="eastAsia"/>
          <w:szCs w:val="20"/>
        </w:rPr>
        <w:t>遊戲場逾3年</w:t>
      </w:r>
      <w:proofErr w:type="gramEnd"/>
      <w:r w:rsidRPr="00591FA2">
        <w:rPr>
          <w:rFonts w:ascii="標楷體" w:eastAsia="標楷體" w:hAnsi="標楷體" w:cs="Times New Roman" w:hint="eastAsia"/>
          <w:szCs w:val="20"/>
        </w:rPr>
        <w:t>檢驗期尚未排定檢驗者</w:t>
      </w:r>
      <w:proofErr w:type="gramStart"/>
      <w:r w:rsidRPr="00591FA2">
        <w:rPr>
          <w:rFonts w:ascii="標楷體" w:eastAsia="標楷體" w:hAnsi="標楷體" w:cs="Times New Roman" w:hint="eastAsia"/>
          <w:szCs w:val="20"/>
        </w:rPr>
        <w:t>有天壽綠地</w:t>
      </w:r>
      <w:proofErr w:type="gramEnd"/>
      <w:r w:rsidRPr="00591FA2">
        <w:rPr>
          <w:rFonts w:ascii="標楷體" w:eastAsia="標楷體" w:hAnsi="標楷體" w:cs="Times New Roman" w:hint="eastAsia"/>
          <w:szCs w:val="20"/>
        </w:rPr>
        <w:t>及</w:t>
      </w:r>
      <w:proofErr w:type="gramStart"/>
      <w:r w:rsidRPr="00591FA2">
        <w:rPr>
          <w:rFonts w:ascii="標楷體" w:eastAsia="標楷體" w:hAnsi="標楷體" w:cs="Times New Roman" w:hint="eastAsia"/>
          <w:szCs w:val="20"/>
        </w:rPr>
        <w:t>社子島福安</w:t>
      </w:r>
      <w:proofErr w:type="gramEnd"/>
      <w:r w:rsidRPr="00591FA2">
        <w:rPr>
          <w:rFonts w:ascii="標楷體" w:eastAsia="標楷體" w:hAnsi="標楷體" w:cs="Times New Roman" w:hint="eastAsia"/>
          <w:szCs w:val="20"/>
        </w:rPr>
        <w:t>綠地等</w:t>
      </w:r>
      <w:r w:rsidRPr="00591FA2">
        <w:rPr>
          <w:rFonts w:ascii="標楷體" w:eastAsia="標楷體" w:hAnsi="標楷體" w:cs="Times New Roman"/>
          <w:szCs w:val="20"/>
        </w:rPr>
        <w:t>2</w:t>
      </w:r>
      <w:r w:rsidRPr="00591FA2">
        <w:rPr>
          <w:rFonts w:ascii="標楷體" w:eastAsia="標楷體" w:hAnsi="標楷體" w:cs="Times New Roman" w:hint="eastAsia"/>
          <w:szCs w:val="20"/>
        </w:rPr>
        <w:t>處；另檢驗結果為不合格之兒童遊戲場計</w:t>
      </w:r>
      <w:r w:rsidRPr="00591FA2">
        <w:rPr>
          <w:rFonts w:ascii="標楷體" w:eastAsia="標楷體" w:hAnsi="標楷體" w:cs="Times New Roman"/>
          <w:szCs w:val="20"/>
        </w:rPr>
        <w:t>44</w:t>
      </w:r>
      <w:r w:rsidRPr="00591FA2">
        <w:rPr>
          <w:rFonts w:ascii="標楷體" w:eastAsia="標楷體" w:hAnsi="標楷體" w:cs="Times New Roman" w:hint="eastAsia"/>
          <w:szCs w:val="20"/>
        </w:rPr>
        <w:t>處，其中</w:t>
      </w:r>
      <w:r w:rsidRPr="00591FA2">
        <w:rPr>
          <w:rFonts w:ascii="標楷體" w:eastAsia="標楷體" w:hAnsi="標楷體" w:cs="Times New Roman"/>
          <w:szCs w:val="20"/>
        </w:rPr>
        <w:t>20</w:t>
      </w:r>
      <w:r w:rsidRPr="00591FA2">
        <w:rPr>
          <w:rFonts w:ascii="標楷體" w:eastAsia="標楷體" w:hAnsi="標楷體" w:cs="Times New Roman" w:hint="eastAsia"/>
          <w:szCs w:val="20"/>
        </w:rPr>
        <w:t>處已歷時</w:t>
      </w:r>
      <w:r w:rsidRPr="00591FA2">
        <w:rPr>
          <w:rFonts w:ascii="標楷體" w:eastAsia="標楷體" w:hAnsi="標楷體" w:cs="Times New Roman"/>
          <w:szCs w:val="20"/>
        </w:rPr>
        <w:t>1</w:t>
      </w:r>
      <w:r w:rsidRPr="00591FA2">
        <w:rPr>
          <w:rFonts w:ascii="標楷體" w:eastAsia="標楷體" w:hAnsi="標楷體" w:cs="Times New Roman" w:hint="eastAsia"/>
          <w:szCs w:val="20"/>
        </w:rPr>
        <w:t>年仍未完成改善；復就前揭</w:t>
      </w:r>
      <w:proofErr w:type="gramStart"/>
      <w:r w:rsidRPr="00591FA2">
        <w:rPr>
          <w:rFonts w:ascii="標楷體" w:eastAsia="標楷體" w:hAnsi="標楷體" w:cs="Times New Roman"/>
          <w:szCs w:val="20"/>
        </w:rPr>
        <w:t>46</w:t>
      </w:r>
      <w:r w:rsidRPr="00591FA2">
        <w:rPr>
          <w:rFonts w:ascii="標楷體" w:eastAsia="標楷體" w:hAnsi="標楷體" w:cs="Times New Roman" w:hint="eastAsia"/>
          <w:szCs w:val="20"/>
        </w:rPr>
        <w:t>處擇</w:t>
      </w:r>
      <w:proofErr w:type="gramEnd"/>
      <w:r w:rsidRPr="00591FA2">
        <w:rPr>
          <w:rFonts w:ascii="標楷體" w:eastAsia="標楷體" w:hAnsi="標楷體" w:cs="Times New Roman" w:hint="eastAsia"/>
          <w:szCs w:val="20"/>
        </w:rPr>
        <w:t>選辛亥生態公園及大安森林公園等</w:t>
      </w:r>
      <w:r w:rsidRPr="00591FA2">
        <w:rPr>
          <w:rFonts w:ascii="標楷體" w:eastAsia="標楷體" w:hAnsi="標楷體" w:cs="Times New Roman"/>
          <w:szCs w:val="20"/>
        </w:rPr>
        <w:t>2</w:t>
      </w:r>
      <w:r w:rsidRPr="00591FA2">
        <w:rPr>
          <w:rFonts w:ascii="標楷體" w:eastAsia="標楷體" w:hAnsi="標楷體" w:cs="Times New Roman" w:hint="eastAsia"/>
          <w:szCs w:val="20"/>
        </w:rPr>
        <w:t>處，於</w:t>
      </w:r>
      <w:r w:rsidRPr="00591FA2">
        <w:rPr>
          <w:rFonts w:ascii="標楷體" w:eastAsia="標楷體" w:hAnsi="標楷體" w:cs="Times New Roman"/>
          <w:szCs w:val="20"/>
        </w:rPr>
        <w:t>113</w:t>
      </w:r>
      <w:r w:rsidRPr="00591FA2">
        <w:rPr>
          <w:rFonts w:ascii="標楷體" w:eastAsia="標楷體" w:hAnsi="標楷體" w:cs="Times New Roman" w:hint="eastAsia"/>
          <w:szCs w:val="20"/>
        </w:rPr>
        <w:t>年</w:t>
      </w:r>
      <w:r w:rsidRPr="00591FA2">
        <w:rPr>
          <w:rFonts w:ascii="標楷體" w:eastAsia="標楷體" w:hAnsi="標楷體" w:cs="Times New Roman"/>
          <w:szCs w:val="20"/>
        </w:rPr>
        <w:t>12</w:t>
      </w:r>
      <w:r w:rsidRPr="00591FA2">
        <w:rPr>
          <w:rFonts w:ascii="標楷體" w:eastAsia="標楷體" w:hAnsi="標楷體" w:cs="Times New Roman" w:hint="eastAsia"/>
          <w:szCs w:val="20"/>
        </w:rPr>
        <w:t>月</w:t>
      </w:r>
      <w:r w:rsidRPr="00591FA2">
        <w:rPr>
          <w:rFonts w:ascii="標楷體" w:eastAsia="標楷體" w:hAnsi="標楷體" w:cs="Times New Roman"/>
          <w:szCs w:val="20"/>
        </w:rPr>
        <w:t>19</w:t>
      </w:r>
      <w:r w:rsidRPr="00591FA2">
        <w:rPr>
          <w:rFonts w:ascii="標楷體" w:eastAsia="標楷體" w:hAnsi="標楷體" w:cs="Times New Roman" w:hint="eastAsia"/>
          <w:szCs w:val="20"/>
        </w:rPr>
        <w:t>日及</w:t>
      </w:r>
      <w:r w:rsidRPr="00591FA2">
        <w:rPr>
          <w:rFonts w:ascii="標楷體" w:eastAsia="標楷體" w:hAnsi="標楷體" w:cs="Times New Roman"/>
          <w:szCs w:val="20"/>
        </w:rPr>
        <w:t>29</w:t>
      </w:r>
      <w:r w:rsidRPr="00591FA2">
        <w:rPr>
          <w:rFonts w:ascii="標楷體" w:eastAsia="標楷體" w:hAnsi="標楷體" w:cs="Times New Roman" w:hint="eastAsia"/>
          <w:szCs w:val="20"/>
        </w:rPr>
        <w:t>日實地勘查結果，發現該處對檢驗不合格</w:t>
      </w:r>
      <w:proofErr w:type="gramStart"/>
      <w:r w:rsidRPr="00591FA2">
        <w:rPr>
          <w:rFonts w:ascii="標楷體" w:eastAsia="標楷體" w:hAnsi="標楷體" w:cs="Times New Roman" w:hint="eastAsia"/>
          <w:szCs w:val="20"/>
        </w:rPr>
        <w:t>之遊具設施</w:t>
      </w:r>
      <w:proofErr w:type="gramEnd"/>
      <w:r w:rsidRPr="00591FA2">
        <w:rPr>
          <w:rFonts w:ascii="標楷體" w:eastAsia="標楷體" w:hAnsi="標楷體" w:cs="Times New Roman" w:hint="eastAsia"/>
          <w:szCs w:val="20"/>
        </w:rPr>
        <w:t>仍</w:t>
      </w:r>
      <w:proofErr w:type="gramStart"/>
      <w:r w:rsidRPr="00591FA2">
        <w:rPr>
          <w:rFonts w:ascii="標楷體" w:eastAsia="標楷體" w:hAnsi="標楷體" w:cs="Times New Roman" w:hint="eastAsia"/>
          <w:szCs w:val="20"/>
        </w:rPr>
        <w:t>未圍設警示帶</w:t>
      </w:r>
      <w:proofErr w:type="gramEnd"/>
      <w:r w:rsidRPr="00591FA2">
        <w:rPr>
          <w:rFonts w:ascii="標楷體" w:eastAsia="標楷體" w:hAnsi="標楷體" w:cs="Times New Roman" w:hint="eastAsia"/>
          <w:szCs w:val="20"/>
        </w:rPr>
        <w:t>，亦無公告警示標誌，且持續開放使用；</w:t>
      </w:r>
      <w:r w:rsidRPr="00591FA2">
        <w:rPr>
          <w:rFonts w:ascii="標楷體" w:eastAsia="標楷體" w:hAnsi="標楷體" w:cs="Times New Roman"/>
          <w:szCs w:val="20"/>
        </w:rPr>
        <w:t>2.</w:t>
      </w:r>
      <w:r w:rsidRPr="00591FA2">
        <w:rPr>
          <w:rFonts w:ascii="標楷體" w:eastAsia="標楷體" w:hAnsi="標楷體" w:cs="Times New Roman" w:hint="eastAsia"/>
          <w:szCs w:val="20"/>
        </w:rPr>
        <w:t>依公園綠地維護管理巡查作業程序三及四規定略</w:t>
      </w:r>
      <w:proofErr w:type="gramStart"/>
      <w:r w:rsidRPr="00591FA2">
        <w:rPr>
          <w:rFonts w:ascii="標楷體" w:eastAsia="標楷體" w:hAnsi="標楷體" w:cs="Times New Roman" w:hint="eastAsia"/>
          <w:szCs w:val="20"/>
        </w:rPr>
        <w:t>以</w:t>
      </w:r>
      <w:proofErr w:type="gramEnd"/>
      <w:r w:rsidRPr="00591FA2">
        <w:rPr>
          <w:rFonts w:ascii="標楷體" w:eastAsia="標楷體" w:hAnsi="標楷體" w:cs="Times New Roman" w:hint="eastAsia"/>
          <w:szCs w:val="20"/>
        </w:rPr>
        <w:t>，公園日巡查由管理單位巡查員辦理，於發現缺失應拍照登錄於公園處行動化查報系統；另依缺失案件改善標準作業流程之一般案件結案時限說明表備註列載，缺失案件若屬設備缺損致無法使用者，缺失改善方式為辦理簡易維修、拆除或停用，後續由管理單位擬定改善方式及期程。經查公園處112及</w:t>
      </w:r>
      <w:proofErr w:type="gramStart"/>
      <w:r w:rsidRPr="00591FA2">
        <w:rPr>
          <w:rFonts w:ascii="標楷體" w:eastAsia="標楷體" w:hAnsi="標楷體" w:cs="Times New Roman" w:hint="eastAsia"/>
          <w:szCs w:val="20"/>
        </w:rPr>
        <w:t>113</w:t>
      </w:r>
      <w:proofErr w:type="gramEnd"/>
      <w:r w:rsidRPr="00591FA2">
        <w:rPr>
          <w:rFonts w:ascii="標楷體" w:eastAsia="標楷體" w:hAnsi="標楷體" w:cs="Times New Roman" w:hint="eastAsia"/>
          <w:szCs w:val="20"/>
        </w:rPr>
        <w:t>年度就兒童遊戲</w:t>
      </w:r>
      <w:proofErr w:type="gramStart"/>
      <w:r w:rsidRPr="00591FA2">
        <w:rPr>
          <w:rFonts w:ascii="標楷體" w:eastAsia="標楷體" w:hAnsi="標楷體" w:cs="Times New Roman" w:hint="eastAsia"/>
          <w:szCs w:val="20"/>
        </w:rPr>
        <w:t>場遊具檢驗</w:t>
      </w:r>
      <w:proofErr w:type="gramEnd"/>
      <w:r w:rsidRPr="00591FA2">
        <w:rPr>
          <w:rFonts w:ascii="標楷體" w:eastAsia="標楷體" w:hAnsi="標楷體" w:cs="Times New Roman" w:hint="eastAsia"/>
          <w:szCs w:val="20"/>
        </w:rPr>
        <w:t>缺失辦理改善情形，其中大安森林公園、玉成公園、中央藝文公園及青年公園等4處附設公園兒童遊戲場之盪鞦韆、溜滑梯、</w:t>
      </w:r>
      <w:proofErr w:type="gramStart"/>
      <w:r w:rsidRPr="00591FA2">
        <w:rPr>
          <w:rFonts w:ascii="標楷體" w:eastAsia="標楷體" w:hAnsi="標楷體" w:cs="Times New Roman" w:hint="eastAsia"/>
          <w:szCs w:val="20"/>
        </w:rPr>
        <w:t>滑索區</w:t>
      </w:r>
      <w:proofErr w:type="gramEnd"/>
      <w:r w:rsidRPr="00591FA2">
        <w:rPr>
          <w:rFonts w:ascii="標楷體" w:eastAsia="標楷體" w:hAnsi="標楷體" w:cs="Times New Roman" w:hint="eastAsia"/>
          <w:szCs w:val="20"/>
        </w:rPr>
        <w:t>安全式座椅及彈跳設施</w:t>
      </w:r>
      <w:proofErr w:type="gramStart"/>
      <w:r w:rsidRPr="00591FA2">
        <w:rPr>
          <w:rFonts w:ascii="標楷體" w:eastAsia="標楷體" w:hAnsi="標楷體" w:cs="Times New Roman" w:hint="eastAsia"/>
          <w:szCs w:val="20"/>
        </w:rPr>
        <w:t>等遊具</w:t>
      </w:r>
      <w:proofErr w:type="gramEnd"/>
      <w:r w:rsidRPr="00591FA2">
        <w:rPr>
          <w:rFonts w:ascii="標楷體" w:eastAsia="標楷體" w:hAnsi="標楷體" w:cs="Times New Roman" w:hint="eastAsia"/>
          <w:szCs w:val="20"/>
        </w:rPr>
        <w:t>，尚在保固期內，該處發現缺失後，雖以手機通訊軟體LINE</w:t>
      </w:r>
      <w:proofErr w:type="gramStart"/>
      <w:r w:rsidRPr="00591FA2">
        <w:rPr>
          <w:rFonts w:ascii="標楷體" w:eastAsia="標楷體" w:hAnsi="標楷體" w:cs="Times New Roman" w:hint="eastAsia"/>
          <w:szCs w:val="20"/>
        </w:rPr>
        <w:t>通知原施作</w:t>
      </w:r>
      <w:proofErr w:type="gramEnd"/>
      <w:r w:rsidRPr="00591FA2">
        <w:rPr>
          <w:rFonts w:ascii="標楷體" w:eastAsia="標楷體" w:hAnsi="標楷體" w:cs="Times New Roman" w:hint="eastAsia"/>
          <w:szCs w:val="20"/>
        </w:rPr>
        <w:t>廠商保固修繕，惟未於該處行動化查報系統登錄缺失案件，亦未指定修繕完成期限，</w:t>
      </w:r>
      <w:proofErr w:type="gramStart"/>
      <w:r w:rsidRPr="00591FA2">
        <w:rPr>
          <w:rFonts w:ascii="標楷體" w:eastAsia="標楷體" w:hAnsi="標楷體" w:cs="Times New Roman" w:hint="eastAsia"/>
          <w:szCs w:val="20"/>
        </w:rPr>
        <w:t>致遊具</w:t>
      </w:r>
      <w:proofErr w:type="gramEnd"/>
      <w:r w:rsidRPr="00591FA2">
        <w:rPr>
          <w:rFonts w:ascii="標楷體" w:eastAsia="標楷體" w:hAnsi="標楷體" w:cs="Times New Roman" w:hint="eastAsia"/>
          <w:szCs w:val="20"/>
        </w:rPr>
        <w:t>完成修繕</w:t>
      </w:r>
      <w:proofErr w:type="gramStart"/>
      <w:r w:rsidRPr="00591FA2">
        <w:rPr>
          <w:rFonts w:ascii="標楷體" w:eastAsia="標楷體" w:hAnsi="標楷體" w:cs="Times New Roman" w:hint="eastAsia"/>
          <w:szCs w:val="20"/>
        </w:rPr>
        <w:t>期間均達30日</w:t>
      </w:r>
      <w:proofErr w:type="gramEnd"/>
      <w:r w:rsidRPr="00591FA2">
        <w:rPr>
          <w:rFonts w:ascii="標楷體" w:eastAsia="標楷體" w:hAnsi="標楷體" w:cs="Times New Roman" w:hint="eastAsia"/>
          <w:szCs w:val="20"/>
        </w:rPr>
        <w:t>以上，</w:t>
      </w:r>
      <w:proofErr w:type="gramStart"/>
      <w:r w:rsidRPr="00591FA2">
        <w:rPr>
          <w:rFonts w:ascii="標楷體" w:eastAsia="標楷體" w:hAnsi="標楷體" w:cs="Times New Roman" w:hint="eastAsia"/>
          <w:szCs w:val="20"/>
        </w:rPr>
        <w:t>甚逾90日</w:t>
      </w:r>
      <w:proofErr w:type="gramEnd"/>
      <w:r w:rsidRPr="00591FA2">
        <w:rPr>
          <w:rFonts w:ascii="標楷體" w:eastAsia="標楷體" w:hAnsi="標楷體" w:cs="Times New Roman" w:hint="eastAsia"/>
          <w:szCs w:val="20"/>
        </w:rPr>
        <w:t>，未能列管儘速完成改善等情事，經函請檢討改善。據復：1.上開46處公園附設兒童遊戲場，已有10處取得檢驗合格報告、1處將由民間認養單位規劃改善，</w:t>
      </w:r>
      <w:proofErr w:type="gramStart"/>
      <w:r w:rsidRPr="00591FA2">
        <w:rPr>
          <w:rFonts w:ascii="標楷體" w:eastAsia="標楷體" w:hAnsi="標楷體" w:cs="Times New Roman" w:hint="eastAsia"/>
          <w:szCs w:val="20"/>
        </w:rPr>
        <w:t>其餘天壽綠地</w:t>
      </w:r>
      <w:proofErr w:type="gramEnd"/>
      <w:r w:rsidRPr="00591FA2">
        <w:rPr>
          <w:rFonts w:ascii="標楷體" w:eastAsia="標楷體" w:hAnsi="標楷體" w:cs="Times New Roman" w:hint="eastAsia"/>
          <w:szCs w:val="20"/>
        </w:rPr>
        <w:t>及</w:t>
      </w:r>
      <w:proofErr w:type="gramStart"/>
      <w:r w:rsidRPr="00591FA2">
        <w:rPr>
          <w:rFonts w:ascii="標楷體" w:eastAsia="標楷體" w:hAnsi="標楷體" w:cs="Times New Roman" w:hint="eastAsia"/>
          <w:szCs w:val="20"/>
        </w:rPr>
        <w:t>社子島福安</w:t>
      </w:r>
      <w:proofErr w:type="gramEnd"/>
      <w:r w:rsidRPr="00591FA2">
        <w:rPr>
          <w:rFonts w:ascii="標楷體" w:eastAsia="標楷體" w:hAnsi="標楷體" w:cs="Times New Roman" w:hint="eastAsia"/>
          <w:szCs w:val="20"/>
        </w:rPr>
        <w:t>綠地等35處之檢驗缺失，將納入</w:t>
      </w:r>
      <w:proofErr w:type="gramStart"/>
      <w:r w:rsidRPr="00591FA2">
        <w:rPr>
          <w:rFonts w:ascii="標楷體" w:eastAsia="標楷體" w:hAnsi="標楷體" w:cs="Times New Roman" w:hint="eastAsia"/>
          <w:szCs w:val="20"/>
        </w:rPr>
        <w:t>114</w:t>
      </w:r>
      <w:proofErr w:type="gramEnd"/>
      <w:r w:rsidRPr="00591FA2">
        <w:rPr>
          <w:rFonts w:ascii="標楷體" w:eastAsia="標楷體" w:hAnsi="標楷體" w:cs="Times New Roman" w:hint="eastAsia"/>
          <w:szCs w:val="20"/>
        </w:rPr>
        <w:t>年度各項公園整建或預約工程辦理改善，預計修繕完成時間為114年4月30日至同年12月31日間，爾後將依規定定期辦理檢驗及不</w:t>
      </w:r>
      <w:proofErr w:type="gramStart"/>
      <w:r w:rsidRPr="00591FA2">
        <w:rPr>
          <w:rFonts w:ascii="標楷體" w:eastAsia="標楷體" w:hAnsi="標楷體" w:cs="Times New Roman" w:hint="eastAsia"/>
          <w:szCs w:val="20"/>
        </w:rPr>
        <w:t>合格遊具改善</w:t>
      </w:r>
      <w:proofErr w:type="gramEnd"/>
      <w:r w:rsidRPr="00591FA2">
        <w:rPr>
          <w:rFonts w:ascii="標楷體" w:eastAsia="標楷體" w:hAnsi="標楷體" w:cs="Times New Roman" w:hint="eastAsia"/>
          <w:szCs w:val="20"/>
        </w:rPr>
        <w:t>，又辛亥生態公園及大安森林公園等2處經檢驗不</w:t>
      </w:r>
      <w:proofErr w:type="gramStart"/>
      <w:r w:rsidRPr="00591FA2">
        <w:rPr>
          <w:rFonts w:ascii="標楷體" w:eastAsia="標楷體" w:hAnsi="標楷體" w:cs="Times New Roman" w:hint="eastAsia"/>
          <w:szCs w:val="20"/>
        </w:rPr>
        <w:t>合格遊具設施</w:t>
      </w:r>
      <w:proofErr w:type="gramEnd"/>
      <w:r w:rsidRPr="00591FA2">
        <w:rPr>
          <w:rFonts w:ascii="標楷體" w:eastAsia="標楷體" w:hAnsi="標楷體" w:cs="Times New Roman" w:hint="eastAsia"/>
          <w:szCs w:val="20"/>
        </w:rPr>
        <w:t>，已</w:t>
      </w:r>
      <w:proofErr w:type="gramStart"/>
      <w:r w:rsidRPr="00591FA2">
        <w:rPr>
          <w:rFonts w:ascii="標楷體" w:eastAsia="標楷體" w:hAnsi="標楷體" w:cs="Times New Roman" w:hint="eastAsia"/>
          <w:szCs w:val="20"/>
        </w:rPr>
        <w:t>圍設警示帶</w:t>
      </w:r>
      <w:proofErr w:type="gramEnd"/>
      <w:r w:rsidRPr="00591FA2">
        <w:rPr>
          <w:rFonts w:ascii="標楷體" w:eastAsia="標楷體" w:hAnsi="標楷體" w:cs="Times New Roman" w:hint="eastAsia"/>
          <w:szCs w:val="20"/>
        </w:rPr>
        <w:t>暫停使用，並宣導各管理單位應將檢驗不</w:t>
      </w:r>
      <w:proofErr w:type="gramStart"/>
      <w:r w:rsidRPr="00591FA2">
        <w:rPr>
          <w:rFonts w:ascii="標楷體" w:eastAsia="標楷體" w:hAnsi="標楷體" w:cs="Times New Roman" w:hint="eastAsia"/>
          <w:szCs w:val="20"/>
        </w:rPr>
        <w:t>合格遊具於</w:t>
      </w:r>
      <w:proofErr w:type="gramEnd"/>
      <w:r w:rsidRPr="00591FA2">
        <w:rPr>
          <w:rFonts w:ascii="標楷體" w:eastAsia="標楷體" w:hAnsi="標楷體" w:cs="Times New Roman" w:hint="eastAsia"/>
          <w:szCs w:val="20"/>
        </w:rPr>
        <w:t>現場告示並採取</w:t>
      </w:r>
      <w:proofErr w:type="gramStart"/>
      <w:r w:rsidRPr="00591FA2">
        <w:rPr>
          <w:rFonts w:ascii="標楷體" w:eastAsia="標楷體" w:hAnsi="標楷體" w:cs="Times New Roman" w:hint="eastAsia"/>
          <w:szCs w:val="20"/>
        </w:rPr>
        <w:t>圍設警示帶</w:t>
      </w:r>
      <w:proofErr w:type="gramEnd"/>
      <w:r w:rsidRPr="00591FA2">
        <w:rPr>
          <w:rFonts w:ascii="標楷體" w:eastAsia="標楷體" w:hAnsi="標楷體" w:cs="Times New Roman" w:hint="eastAsia"/>
          <w:szCs w:val="20"/>
        </w:rPr>
        <w:t>暫停使用等隔離措施；2.將確實列管及檢討遊戲場缺失案件，責成落實登錄行動化查報系統、指定修復期限，並列管及督促廠商儘速完成改善。</w:t>
      </w:r>
    </w:p>
    <w:p w14:paraId="0920842F" w14:textId="77777777" w:rsidR="00D74004" w:rsidRPr="00DB2473" w:rsidRDefault="00D74004" w:rsidP="002469FA">
      <w:pPr>
        <w:widowControl/>
        <w:suppressAutoHyphens/>
        <w:overflowPunct w:val="0"/>
        <w:spacing w:beforeLines="50" w:before="180" w:afterLines="20" w:after="72" w:line="500" w:lineRule="exact"/>
        <w:ind w:firstLineChars="100" w:firstLine="280"/>
        <w:jc w:val="both"/>
        <w:rPr>
          <w:rFonts w:ascii="標楷體" w:eastAsia="標楷體" w:hAnsi="標楷體" w:cs="Times New Roman"/>
          <w:b/>
          <w:sz w:val="28"/>
          <w:szCs w:val="28"/>
        </w:rPr>
      </w:pPr>
      <w:r w:rsidRPr="00DB2473">
        <w:rPr>
          <w:rFonts w:ascii="標楷體" w:eastAsia="標楷體" w:hAnsi="標楷體" w:cs="Times New Roman" w:hint="eastAsia"/>
          <w:b/>
          <w:sz w:val="28"/>
          <w:szCs w:val="28"/>
        </w:rPr>
        <w:lastRenderedPageBreak/>
        <w:t>（</w:t>
      </w:r>
      <w:r>
        <w:rPr>
          <w:rFonts w:ascii="標楷體" w:eastAsia="標楷體" w:hAnsi="標楷體" w:cs="Times New Roman" w:hint="eastAsia"/>
          <w:b/>
          <w:sz w:val="28"/>
          <w:szCs w:val="28"/>
        </w:rPr>
        <w:t>五</w:t>
      </w:r>
      <w:r w:rsidRPr="00DB2473">
        <w:rPr>
          <w:rFonts w:ascii="標楷體" w:eastAsia="標楷體" w:hAnsi="標楷體" w:cs="Times New Roman" w:hint="eastAsia"/>
          <w:b/>
          <w:kern w:val="0"/>
          <w:sz w:val="28"/>
          <w:szCs w:val="28"/>
        </w:rPr>
        <w:t>）</w:t>
      </w:r>
      <w:r w:rsidRPr="00591FA2">
        <w:rPr>
          <w:rFonts w:ascii="標楷體" w:eastAsia="標楷體" w:hAnsi="標楷體" w:cs="Times New Roman" w:hint="eastAsia"/>
          <w:b/>
          <w:kern w:val="0"/>
          <w:sz w:val="28"/>
          <w:szCs w:val="28"/>
        </w:rPr>
        <w:t>持續辦理路燈新設、巡查及修復等業務，確保人車夜間通行安全，惟部分路燈漏未登帳、或未依規定使用節能LED燈具，及經管路燈數量與台電公司列管資料存有差異，有待</w:t>
      </w:r>
      <w:proofErr w:type="gramStart"/>
      <w:r w:rsidRPr="00591FA2">
        <w:rPr>
          <w:rFonts w:ascii="標楷體" w:eastAsia="標楷體" w:hAnsi="標楷體" w:cs="Times New Roman" w:hint="eastAsia"/>
          <w:b/>
          <w:kern w:val="0"/>
          <w:sz w:val="28"/>
          <w:szCs w:val="28"/>
        </w:rPr>
        <w:t>研</w:t>
      </w:r>
      <w:proofErr w:type="gramEnd"/>
      <w:r w:rsidRPr="00591FA2">
        <w:rPr>
          <w:rFonts w:ascii="標楷體" w:eastAsia="標楷體" w:hAnsi="標楷體" w:cs="Times New Roman" w:hint="eastAsia"/>
          <w:b/>
          <w:kern w:val="0"/>
          <w:sz w:val="28"/>
          <w:szCs w:val="28"/>
        </w:rPr>
        <w:t>謀改善</w:t>
      </w:r>
      <w:r>
        <w:rPr>
          <w:rFonts w:ascii="標楷體" w:eastAsia="標楷體" w:hAnsi="標楷體" w:cs="Times New Roman" w:hint="eastAsia"/>
          <w:b/>
          <w:kern w:val="0"/>
          <w:sz w:val="28"/>
          <w:szCs w:val="28"/>
        </w:rPr>
        <w:t>。</w:t>
      </w:r>
    </w:p>
    <w:p w14:paraId="3F7BB09A" w14:textId="77777777" w:rsidR="00D74004" w:rsidRDefault="00D74004" w:rsidP="002469FA">
      <w:pPr>
        <w:widowControl/>
        <w:tabs>
          <w:tab w:val="left" w:pos="1560"/>
        </w:tabs>
        <w:kinsoku w:val="0"/>
        <w:overflowPunct w:val="0"/>
        <w:spacing w:line="480" w:lineRule="exact"/>
        <w:ind w:firstLineChars="200" w:firstLine="480"/>
        <w:jc w:val="both"/>
        <w:rPr>
          <w:rFonts w:ascii="標楷體" w:eastAsia="標楷體" w:hAnsi="標楷體" w:cs="Times New Roman"/>
          <w:szCs w:val="20"/>
        </w:rPr>
      </w:pPr>
      <w:r w:rsidRPr="00591FA2">
        <w:rPr>
          <w:rFonts w:ascii="標楷體" w:eastAsia="標楷體" w:hAnsi="標楷體" w:cs="Times New Roman" w:hint="eastAsia"/>
          <w:szCs w:val="20"/>
        </w:rPr>
        <w:t>公園路燈工程管理處（下稱公園處）於112</w:t>
      </w:r>
      <w:r>
        <w:rPr>
          <w:rFonts w:ascii="標楷體" w:eastAsia="標楷體" w:hAnsi="標楷體" w:cs="Times New Roman" w:hint="eastAsia"/>
          <w:szCs w:val="20"/>
        </w:rPr>
        <w:t>及</w:t>
      </w:r>
      <w:proofErr w:type="gramStart"/>
      <w:r w:rsidRPr="00591FA2">
        <w:rPr>
          <w:rFonts w:ascii="標楷體" w:eastAsia="標楷體" w:hAnsi="標楷體" w:cs="Times New Roman" w:hint="eastAsia"/>
          <w:szCs w:val="20"/>
        </w:rPr>
        <w:t>113</w:t>
      </w:r>
      <w:proofErr w:type="gramEnd"/>
      <w:r w:rsidRPr="00591FA2">
        <w:rPr>
          <w:rFonts w:ascii="標楷體" w:eastAsia="標楷體" w:hAnsi="標楷體" w:cs="Times New Roman" w:hint="eastAsia"/>
          <w:szCs w:val="20"/>
        </w:rPr>
        <w:t>年度</w:t>
      </w:r>
      <w:r>
        <w:rPr>
          <w:rFonts w:ascii="標楷體" w:eastAsia="標楷體" w:hAnsi="標楷體" w:cs="Times New Roman" w:hint="eastAsia"/>
          <w:szCs w:val="20"/>
        </w:rPr>
        <w:t>計</w:t>
      </w:r>
      <w:r w:rsidRPr="00591FA2">
        <w:rPr>
          <w:rFonts w:ascii="標楷體" w:eastAsia="標楷體" w:hAnsi="標楷體" w:cs="Times New Roman" w:hint="eastAsia"/>
          <w:szCs w:val="20"/>
        </w:rPr>
        <w:t>編列預算8億4,332萬餘元，辦理路燈新設工程及巡查修復等業務，確保人車夜間通行安全。截至113年底止，該處經管路燈計17萬3,582盞。經查公園處經管路燈管理與節能情形，核有下列事項：</w:t>
      </w:r>
    </w:p>
    <w:p w14:paraId="0732E043" w14:textId="77777777" w:rsidR="00D74004" w:rsidRDefault="00D74004" w:rsidP="008B44D6">
      <w:pPr>
        <w:widowControl/>
        <w:tabs>
          <w:tab w:val="left" w:pos="1560"/>
        </w:tabs>
        <w:kinsoku w:val="0"/>
        <w:overflowPunct w:val="0"/>
        <w:spacing w:beforeLines="20" w:before="72" w:line="460" w:lineRule="exact"/>
        <w:ind w:firstLineChars="200" w:firstLine="480"/>
        <w:jc w:val="both"/>
        <w:rPr>
          <w:rFonts w:ascii="標楷體" w:eastAsia="標楷體" w:hAnsi="標楷體" w:cs="Times New Roman"/>
          <w:szCs w:val="20"/>
        </w:rPr>
      </w:pPr>
      <w:r w:rsidRPr="00591FA2">
        <w:rPr>
          <w:rFonts w:ascii="標楷體" w:eastAsia="標楷體" w:hAnsi="標楷體" w:cs="Times New Roman" w:hint="eastAsia"/>
          <w:b/>
          <w:bCs/>
          <w:szCs w:val="20"/>
        </w:rPr>
        <w:t>1.列冊管理所設置路燈，惟仍有未依規定辦理財產登帳事宜：</w:t>
      </w:r>
      <w:r w:rsidRPr="00591FA2">
        <w:rPr>
          <w:rFonts w:ascii="標楷體" w:eastAsia="標楷體" w:hAnsi="標楷體" w:cs="Times New Roman" w:hint="eastAsia"/>
          <w:szCs w:val="20"/>
        </w:rPr>
        <w:t>依臺北市市有財產管理作業要點第8點第2項及第15點規定略</w:t>
      </w:r>
      <w:proofErr w:type="gramStart"/>
      <w:r w:rsidRPr="00591FA2">
        <w:rPr>
          <w:rFonts w:ascii="標楷體" w:eastAsia="標楷體" w:hAnsi="標楷體" w:cs="Times New Roman" w:hint="eastAsia"/>
          <w:szCs w:val="20"/>
        </w:rPr>
        <w:t>以</w:t>
      </w:r>
      <w:proofErr w:type="gramEnd"/>
      <w:r w:rsidRPr="00591FA2">
        <w:rPr>
          <w:rFonts w:ascii="標楷體" w:eastAsia="標楷體" w:hAnsi="標楷體" w:cs="Times New Roman" w:hint="eastAsia"/>
          <w:szCs w:val="20"/>
        </w:rPr>
        <w:t>，各機關財產</w:t>
      </w:r>
      <w:proofErr w:type="gramStart"/>
      <w:r w:rsidRPr="00591FA2">
        <w:rPr>
          <w:rFonts w:ascii="標楷體" w:eastAsia="標楷體" w:hAnsi="標楷體" w:cs="Times New Roman" w:hint="eastAsia"/>
          <w:szCs w:val="20"/>
        </w:rPr>
        <w:t>增置後</w:t>
      </w:r>
      <w:proofErr w:type="gramEnd"/>
      <w:r w:rsidRPr="00591FA2">
        <w:rPr>
          <w:rFonts w:ascii="標楷體" w:eastAsia="標楷體" w:hAnsi="標楷體" w:cs="Times New Roman" w:hint="eastAsia"/>
          <w:szCs w:val="20"/>
        </w:rPr>
        <w:t>，應填具財產增加單，依財產增置之方式，按驗收日期填造。公園處辦理</w:t>
      </w:r>
      <w:proofErr w:type="gramStart"/>
      <w:r w:rsidRPr="00591FA2">
        <w:rPr>
          <w:rFonts w:ascii="標楷體" w:eastAsia="標楷體" w:hAnsi="標楷體" w:cs="Times New Roman" w:hint="eastAsia"/>
          <w:szCs w:val="20"/>
        </w:rPr>
        <w:t>112</w:t>
      </w:r>
      <w:proofErr w:type="gramEnd"/>
      <w:r w:rsidRPr="00591FA2">
        <w:rPr>
          <w:rFonts w:ascii="標楷體" w:eastAsia="標楷體" w:hAnsi="標楷體" w:cs="Times New Roman" w:hint="eastAsia"/>
          <w:szCs w:val="20"/>
        </w:rPr>
        <w:t>年度士林區雙溪公園等處路燈新設工程，新設134盞路燈，結算金額1,303萬餘元，惟該工程自112年11月完成驗收作業至113年底止，所新設之路燈</w:t>
      </w:r>
      <w:proofErr w:type="gramStart"/>
      <w:r w:rsidRPr="00591FA2">
        <w:rPr>
          <w:rFonts w:ascii="標楷體" w:eastAsia="標楷體" w:hAnsi="標楷體" w:cs="Times New Roman" w:hint="eastAsia"/>
          <w:szCs w:val="20"/>
        </w:rPr>
        <w:t>迄</w:t>
      </w:r>
      <w:proofErr w:type="gramEnd"/>
      <w:r w:rsidRPr="00591FA2">
        <w:rPr>
          <w:rFonts w:ascii="標楷體" w:eastAsia="標楷體" w:hAnsi="標楷體" w:cs="Times New Roman" w:hint="eastAsia"/>
          <w:szCs w:val="20"/>
        </w:rPr>
        <w:t>未完成財產登帳事宜；</w:t>
      </w:r>
      <w:proofErr w:type="gramStart"/>
      <w:r w:rsidRPr="00591FA2">
        <w:rPr>
          <w:rFonts w:ascii="標楷體" w:eastAsia="標楷體" w:hAnsi="標楷體" w:cs="Times New Roman" w:hint="eastAsia"/>
          <w:szCs w:val="20"/>
        </w:rPr>
        <w:t>再勾核該</w:t>
      </w:r>
      <w:proofErr w:type="gramEnd"/>
      <w:r w:rsidRPr="00591FA2">
        <w:rPr>
          <w:rFonts w:ascii="標楷體" w:eastAsia="標楷體" w:hAnsi="標楷體" w:cs="Times New Roman" w:hint="eastAsia"/>
          <w:szCs w:val="20"/>
        </w:rPr>
        <w:t>處路燈清冊，發現設置於延平河濱公園、中山北路四段往中山橋－第07支分隔島、文山隧道等20盞路燈，已使用超過10年，仍未列財產帳等情事，經函請</w:t>
      </w:r>
      <w:proofErr w:type="gramStart"/>
      <w:r w:rsidRPr="00591FA2">
        <w:rPr>
          <w:rFonts w:ascii="標楷體" w:eastAsia="標楷體" w:hAnsi="標楷體" w:cs="Times New Roman" w:hint="eastAsia"/>
          <w:szCs w:val="20"/>
        </w:rPr>
        <w:t>檢討妥處</w:t>
      </w:r>
      <w:proofErr w:type="gramEnd"/>
      <w:r w:rsidRPr="00591FA2">
        <w:rPr>
          <w:rFonts w:ascii="標楷體" w:eastAsia="標楷體" w:hAnsi="標楷體" w:cs="Times New Roman" w:hint="eastAsia"/>
          <w:szCs w:val="20"/>
        </w:rPr>
        <w:t>。據復：</w:t>
      </w:r>
      <w:proofErr w:type="gramStart"/>
      <w:r w:rsidRPr="00591FA2">
        <w:rPr>
          <w:rFonts w:ascii="標楷體" w:eastAsia="標楷體" w:hAnsi="標楷體" w:cs="Times New Roman" w:hint="eastAsia"/>
          <w:szCs w:val="20"/>
        </w:rPr>
        <w:t>112</w:t>
      </w:r>
      <w:proofErr w:type="gramEnd"/>
      <w:r w:rsidRPr="00591FA2">
        <w:rPr>
          <w:rFonts w:ascii="標楷體" w:eastAsia="標楷體" w:hAnsi="標楷體" w:cs="Times New Roman" w:hint="eastAsia"/>
          <w:szCs w:val="20"/>
        </w:rPr>
        <w:t>年度士林區雙溪公園等處路燈新設工程所新設之134盞路燈，已於114年3月補登財產帳，另就110年至今已完工之各項新設路燈工程辦理清查作業，預計於114年9月底前完成登帳事宜；爾後要求各路燈新設工程承辦單位於工程結案後60日內，建立清冊移送財產管理單位登帳。</w:t>
      </w:r>
    </w:p>
    <w:p w14:paraId="48934BB2" w14:textId="117DC922" w:rsidR="007D70E9" w:rsidRPr="00164DBD" w:rsidRDefault="00D74004" w:rsidP="00AE7F6E">
      <w:pPr>
        <w:widowControl/>
        <w:tabs>
          <w:tab w:val="left" w:pos="1560"/>
        </w:tabs>
        <w:kinsoku w:val="0"/>
        <w:overflowPunct w:val="0"/>
        <w:spacing w:beforeLines="20" w:before="72" w:line="440" w:lineRule="exact"/>
        <w:ind w:firstLineChars="200" w:firstLine="472"/>
        <w:jc w:val="both"/>
        <w:rPr>
          <w:rFonts w:ascii="標楷體" w:eastAsia="標楷體" w:hAnsi="標楷體" w:cs="Times New Roman"/>
          <w:bCs/>
          <w:spacing w:val="-2"/>
          <w:kern w:val="0"/>
          <w:szCs w:val="24"/>
        </w:rPr>
      </w:pPr>
      <w:r w:rsidRPr="00591FA2">
        <w:rPr>
          <w:rFonts w:ascii="標楷體" w:eastAsia="標楷體" w:hAnsi="標楷體" w:cs="Times New Roman" w:hint="eastAsia"/>
          <w:b/>
          <w:spacing w:val="-2"/>
          <w:kern w:val="0"/>
          <w:szCs w:val="24"/>
        </w:rPr>
        <w:t>2.制定臺北市淨零排放自治條例，規範轄管道路路燈全面換裝為LED路燈，惟仍有部分路燈使用高耗能之鈉光燈與複金屬燈，且近3年度未續辦換裝LED燈具，有待研謀改善：</w:t>
      </w:r>
      <w:r w:rsidRPr="00591FA2">
        <w:rPr>
          <w:rFonts w:ascii="標楷體" w:eastAsia="標楷體" w:hAnsi="標楷體" w:cs="Times New Roman" w:hint="eastAsia"/>
          <w:bCs/>
          <w:spacing w:val="-2"/>
          <w:kern w:val="0"/>
          <w:szCs w:val="24"/>
        </w:rPr>
        <w:t>依</w:t>
      </w:r>
      <w:proofErr w:type="gramStart"/>
      <w:r w:rsidRPr="00591FA2">
        <w:rPr>
          <w:rFonts w:ascii="標楷體" w:eastAsia="標楷體" w:hAnsi="標楷體" w:cs="Times New Roman" w:hint="eastAsia"/>
          <w:bCs/>
          <w:spacing w:val="-2"/>
          <w:kern w:val="0"/>
          <w:szCs w:val="24"/>
        </w:rPr>
        <w:t>臺北市淨零排放</w:t>
      </w:r>
      <w:proofErr w:type="gramEnd"/>
      <w:r w:rsidRPr="00591FA2">
        <w:rPr>
          <w:rFonts w:ascii="標楷體" w:eastAsia="標楷體" w:hAnsi="標楷體" w:cs="Times New Roman" w:hint="eastAsia"/>
          <w:bCs/>
          <w:spacing w:val="-2"/>
          <w:kern w:val="0"/>
          <w:szCs w:val="24"/>
        </w:rPr>
        <w:t>自治條例第13條規定略</w:t>
      </w:r>
      <w:proofErr w:type="gramStart"/>
      <w:r w:rsidRPr="00591FA2">
        <w:rPr>
          <w:rFonts w:ascii="標楷體" w:eastAsia="標楷體" w:hAnsi="標楷體" w:cs="Times New Roman" w:hint="eastAsia"/>
          <w:bCs/>
          <w:spacing w:val="-2"/>
          <w:kern w:val="0"/>
          <w:szCs w:val="24"/>
        </w:rPr>
        <w:t>以</w:t>
      </w:r>
      <w:proofErr w:type="gramEnd"/>
      <w:r w:rsidRPr="00591FA2">
        <w:rPr>
          <w:rFonts w:ascii="標楷體" w:eastAsia="標楷體" w:hAnsi="標楷體" w:cs="Times New Roman" w:hint="eastAsia"/>
          <w:bCs/>
          <w:spacing w:val="-2"/>
          <w:kern w:val="0"/>
          <w:szCs w:val="24"/>
        </w:rPr>
        <w:t>，公有道路路燈應使用發光二極體節能燈具（即LED燈具）。據公園處提供之路燈清冊，截至113年底止，經管路燈共計17萬3,582盞，其中屬傳統路燈光源（以下統稱傳統燈具）</w:t>
      </w:r>
      <w:proofErr w:type="gramStart"/>
      <w:r w:rsidRPr="00591FA2">
        <w:rPr>
          <w:rFonts w:ascii="標楷體" w:eastAsia="標楷體" w:hAnsi="標楷體" w:cs="Times New Roman" w:hint="eastAsia"/>
          <w:bCs/>
          <w:spacing w:val="-2"/>
          <w:kern w:val="0"/>
          <w:szCs w:val="24"/>
        </w:rPr>
        <w:t>之鈉光燈</w:t>
      </w:r>
      <w:proofErr w:type="gramEnd"/>
      <w:r w:rsidRPr="00591FA2">
        <w:rPr>
          <w:rFonts w:ascii="標楷體" w:eastAsia="標楷體" w:hAnsi="標楷體" w:cs="Times New Roman" w:hint="eastAsia"/>
          <w:bCs/>
          <w:spacing w:val="-2"/>
          <w:kern w:val="0"/>
          <w:szCs w:val="24"/>
        </w:rPr>
        <w:t>、</w:t>
      </w:r>
      <w:proofErr w:type="gramStart"/>
      <w:r w:rsidRPr="00591FA2">
        <w:rPr>
          <w:rFonts w:ascii="標楷體" w:eastAsia="標楷體" w:hAnsi="標楷體" w:cs="Times New Roman" w:hint="eastAsia"/>
          <w:bCs/>
          <w:spacing w:val="-2"/>
          <w:kern w:val="0"/>
          <w:szCs w:val="24"/>
        </w:rPr>
        <w:t>複</w:t>
      </w:r>
      <w:proofErr w:type="gramEnd"/>
      <w:r w:rsidRPr="00591FA2">
        <w:rPr>
          <w:rFonts w:ascii="標楷體" w:eastAsia="標楷體" w:hAnsi="標楷體" w:cs="Times New Roman" w:hint="eastAsia"/>
          <w:bCs/>
          <w:spacing w:val="-2"/>
          <w:kern w:val="0"/>
          <w:szCs w:val="24"/>
        </w:rPr>
        <w:t>金屬燈分別為2,660盞、200盞，合計2,860盞，占臺北市所有路燈之1.65％。復查公園處自108年起耗資1億8,380萬餘元，辦理隧道傳統燈具換裝成為LED燈之工程，截至110年底已完成8,963盞，惟111至113年度該處僅協助發展地方特色及導入城市美學等路燈裝設建議</w:t>
      </w:r>
      <w:r w:rsidRPr="00691A90">
        <w:rPr>
          <w:rFonts w:ascii="標楷體" w:eastAsia="標楷體" w:hAnsi="標楷體" w:hint="eastAsia"/>
        </w:rPr>
        <w:t>案件</w:t>
      </w:r>
      <w:r w:rsidRPr="00591FA2">
        <w:rPr>
          <w:rFonts w:ascii="標楷體" w:eastAsia="標楷體" w:hAnsi="標楷體" w:cs="Times New Roman" w:hint="eastAsia"/>
          <w:bCs/>
          <w:spacing w:val="-2"/>
          <w:kern w:val="0"/>
          <w:szCs w:val="24"/>
        </w:rPr>
        <w:t>，未續辦傳統燈具換裝成LED燈事宜，不利於達成節能</w:t>
      </w:r>
      <w:proofErr w:type="gramStart"/>
      <w:r w:rsidRPr="00591FA2">
        <w:rPr>
          <w:rFonts w:ascii="標楷體" w:eastAsia="標楷體" w:hAnsi="標楷體" w:cs="Times New Roman" w:hint="eastAsia"/>
          <w:bCs/>
          <w:spacing w:val="-2"/>
          <w:kern w:val="0"/>
          <w:szCs w:val="24"/>
        </w:rPr>
        <w:t>減碳之</w:t>
      </w:r>
      <w:proofErr w:type="gramEnd"/>
      <w:r w:rsidRPr="00591FA2">
        <w:rPr>
          <w:rFonts w:ascii="標楷體" w:eastAsia="標楷體" w:hAnsi="標楷體" w:cs="Times New Roman" w:hint="eastAsia"/>
          <w:bCs/>
          <w:spacing w:val="-2"/>
          <w:kern w:val="0"/>
          <w:szCs w:val="24"/>
        </w:rPr>
        <w:t>目標，經函請</w:t>
      </w:r>
      <w:proofErr w:type="gramStart"/>
      <w:r w:rsidRPr="00591FA2">
        <w:rPr>
          <w:rFonts w:ascii="標楷體" w:eastAsia="標楷體" w:hAnsi="標楷體" w:cs="Times New Roman" w:hint="eastAsia"/>
          <w:bCs/>
          <w:spacing w:val="-2"/>
          <w:kern w:val="0"/>
          <w:szCs w:val="24"/>
        </w:rPr>
        <w:t>研</w:t>
      </w:r>
      <w:proofErr w:type="gramEnd"/>
      <w:r w:rsidRPr="00591FA2">
        <w:rPr>
          <w:rFonts w:ascii="標楷體" w:eastAsia="標楷體" w:hAnsi="標楷體" w:cs="Times New Roman" w:hint="eastAsia"/>
          <w:bCs/>
          <w:spacing w:val="-2"/>
          <w:kern w:val="0"/>
          <w:szCs w:val="24"/>
        </w:rPr>
        <w:t>謀改善。據復：已規劃於</w:t>
      </w:r>
      <w:proofErr w:type="gramStart"/>
      <w:r w:rsidRPr="00591FA2">
        <w:rPr>
          <w:rFonts w:ascii="標楷體" w:eastAsia="標楷體" w:hAnsi="標楷體" w:cs="Times New Roman" w:hint="eastAsia"/>
          <w:bCs/>
          <w:spacing w:val="-2"/>
          <w:kern w:val="0"/>
          <w:szCs w:val="24"/>
        </w:rPr>
        <w:t>115</w:t>
      </w:r>
      <w:proofErr w:type="gramEnd"/>
      <w:r w:rsidRPr="00591FA2">
        <w:rPr>
          <w:rFonts w:ascii="標楷體" w:eastAsia="標楷體" w:hAnsi="標楷體" w:cs="Times New Roman" w:hint="eastAsia"/>
          <w:bCs/>
          <w:spacing w:val="-2"/>
          <w:kern w:val="0"/>
          <w:szCs w:val="24"/>
        </w:rPr>
        <w:t>年度爭取預算將文山、象山隧道既</w:t>
      </w:r>
      <w:proofErr w:type="gramStart"/>
      <w:r w:rsidRPr="00591FA2">
        <w:rPr>
          <w:rFonts w:ascii="標楷體" w:eastAsia="標楷體" w:hAnsi="標楷體" w:cs="Times New Roman" w:hint="eastAsia"/>
          <w:bCs/>
          <w:spacing w:val="-2"/>
          <w:kern w:val="0"/>
          <w:szCs w:val="24"/>
        </w:rPr>
        <w:t>設鈉光燈</w:t>
      </w:r>
      <w:proofErr w:type="gramEnd"/>
      <w:r w:rsidRPr="00591FA2">
        <w:rPr>
          <w:rFonts w:ascii="標楷體" w:eastAsia="標楷體" w:hAnsi="標楷體" w:cs="Times New Roman" w:hint="eastAsia"/>
          <w:bCs/>
          <w:spacing w:val="-2"/>
          <w:kern w:val="0"/>
          <w:szCs w:val="24"/>
        </w:rPr>
        <w:t>燈具換裝為LED燈具，預計於116至117年度竣工，未來每年可省下電費209萬餘元；業將位於各公園籃球場之69盞</w:t>
      </w:r>
      <w:proofErr w:type="gramStart"/>
      <w:r w:rsidRPr="00591FA2">
        <w:rPr>
          <w:rFonts w:ascii="標楷體" w:eastAsia="標楷體" w:hAnsi="標楷體" w:cs="Times New Roman" w:hint="eastAsia"/>
          <w:bCs/>
          <w:spacing w:val="-2"/>
          <w:kern w:val="0"/>
          <w:szCs w:val="24"/>
        </w:rPr>
        <w:t>複金屬燈移撥</w:t>
      </w:r>
      <w:proofErr w:type="gramEnd"/>
      <w:r w:rsidRPr="00591FA2">
        <w:rPr>
          <w:rFonts w:ascii="標楷體" w:eastAsia="標楷體" w:hAnsi="標楷體" w:cs="Times New Roman" w:hint="eastAsia"/>
          <w:bCs/>
          <w:spacing w:val="-2"/>
          <w:kern w:val="0"/>
          <w:szCs w:val="24"/>
        </w:rPr>
        <w:t>至體育局，並</w:t>
      </w:r>
      <w:proofErr w:type="gramStart"/>
      <w:r w:rsidRPr="00591FA2">
        <w:rPr>
          <w:rFonts w:ascii="標楷體" w:eastAsia="標楷體" w:hAnsi="標楷體" w:cs="Times New Roman" w:hint="eastAsia"/>
          <w:bCs/>
          <w:spacing w:val="-2"/>
          <w:kern w:val="0"/>
          <w:szCs w:val="24"/>
        </w:rPr>
        <w:t>俟</w:t>
      </w:r>
      <w:proofErr w:type="gramEnd"/>
      <w:r w:rsidRPr="00591FA2">
        <w:rPr>
          <w:rFonts w:ascii="標楷體" w:eastAsia="標楷體" w:hAnsi="標楷體" w:cs="Times New Roman" w:hint="eastAsia"/>
          <w:bCs/>
          <w:spacing w:val="-2"/>
          <w:kern w:val="0"/>
          <w:szCs w:val="24"/>
        </w:rPr>
        <w:t>LED燈具具有高</w:t>
      </w:r>
      <w:proofErr w:type="gramStart"/>
      <w:r w:rsidRPr="00591FA2">
        <w:rPr>
          <w:rFonts w:ascii="標楷體" w:eastAsia="標楷體" w:hAnsi="標楷體" w:cs="Times New Roman" w:hint="eastAsia"/>
          <w:bCs/>
          <w:spacing w:val="-2"/>
          <w:kern w:val="0"/>
          <w:szCs w:val="24"/>
        </w:rPr>
        <w:t>演色性</w:t>
      </w:r>
      <w:proofErr w:type="gramEnd"/>
      <w:r w:rsidRPr="00591FA2">
        <w:rPr>
          <w:rFonts w:ascii="標楷體" w:eastAsia="標楷體" w:hAnsi="標楷體" w:cs="Times New Roman" w:hint="eastAsia"/>
          <w:bCs/>
          <w:spacing w:val="-2"/>
          <w:kern w:val="0"/>
          <w:szCs w:val="24"/>
        </w:rPr>
        <w:t>（原色呈現）之照明功能，再辦理更換，其餘之</w:t>
      </w:r>
      <w:proofErr w:type="gramStart"/>
      <w:r w:rsidRPr="00591FA2">
        <w:rPr>
          <w:rFonts w:ascii="標楷體" w:eastAsia="標楷體" w:hAnsi="標楷體" w:cs="Times New Roman" w:hint="eastAsia"/>
          <w:bCs/>
          <w:spacing w:val="-2"/>
          <w:kern w:val="0"/>
          <w:szCs w:val="24"/>
        </w:rPr>
        <w:t>複</w:t>
      </w:r>
      <w:proofErr w:type="gramEnd"/>
      <w:r w:rsidRPr="00591FA2">
        <w:rPr>
          <w:rFonts w:ascii="標楷體" w:eastAsia="標楷體" w:hAnsi="標楷體" w:cs="Times New Roman" w:hint="eastAsia"/>
          <w:bCs/>
          <w:spacing w:val="-2"/>
          <w:kern w:val="0"/>
          <w:szCs w:val="24"/>
        </w:rPr>
        <w:t>光燈，已拆除或完成換裝97盞，另34盞因應民情維持原狀。</w:t>
      </w:r>
    </w:p>
    <w:p w14:paraId="7302311A" w14:textId="77777777" w:rsidR="00C646BE" w:rsidRDefault="00691A90" w:rsidP="00C646BE">
      <w:pPr>
        <w:widowControl/>
        <w:tabs>
          <w:tab w:val="left" w:pos="1560"/>
        </w:tabs>
        <w:kinsoku w:val="0"/>
        <w:overflowPunct w:val="0"/>
        <w:spacing w:beforeLines="20" w:before="72" w:line="440" w:lineRule="exact"/>
        <w:ind w:firstLineChars="200" w:firstLine="480"/>
        <w:jc w:val="both"/>
        <w:rPr>
          <w:rFonts w:ascii="標楷體" w:eastAsia="標楷體" w:hAnsi="標楷體"/>
        </w:rPr>
      </w:pPr>
      <w:r w:rsidRPr="00591FA2">
        <w:rPr>
          <w:rFonts w:ascii="標楷體" w:eastAsia="標楷體" w:hAnsi="標楷體" w:cs="Times New Roman" w:hint="eastAsia"/>
          <w:b/>
          <w:kern w:val="0"/>
          <w:szCs w:val="24"/>
        </w:rPr>
        <w:t>3.轄管</w:t>
      </w:r>
      <w:proofErr w:type="gramStart"/>
      <w:r w:rsidRPr="00591FA2">
        <w:rPr>
          <w:rFonts w:ascii="標楷體" w:eastAsia="標楷體" w:hAnsi="標楷體" w:cs="Times New Roman" w:hint="eastAsia"/>
          <w:b/>
          <w:kern w:val="0"/>
          <w:szCs w:val="24"/>
        </w:rPr>
        <w:t>採包燈</w:t>
      </w:r>
      <w:proofErr w:type="gramEnd"/>
      <w:r w:rsidRPr="00591FA2">
        <w:rPr>
          <w:rFonts w:ascii="標楷體" w:eastAsia="標楷體" w:hAnsi="標楷體" w:cs="Times New Roman" w:hint="eastAsia"/>
          <w:b/>
          <w:kern w:val="0"/>
          <w:szCs w:val="24"/>
        </w:rPr>
        <w:t>計價之路燈數與台電公司列管數量存有差異，影響路燈電費計價之正確性：</w:t>
      </w:r>
      <w:r>
        <w:rPr>
          <w:rFonts w:ascii="標楷體" w:eastAsia="標楷體" w:hAnsi="標楷體" w:hint="eastAsia"/>
        </w:rPr>
        <w:t>據公園處經管</w:t>
      </w:r>
      <w:r w:rsidRPr="00D94F79">
        <w:rPr>
          <w:rFonts w:ascii="標楷體" w:eastAsia="標楷體" w:hAnsi="標楷體" w:hint="eastAsia"/>
        </w:rPr>
        <w:t>路燈清冊</w:t>
      </w:r>
      <w:r>
        <w:rPr>
          <w:rFonts w:ascii="標楷體" w:eastAsia="標楷體" w:hAnsi="標楷體" w:hint="eastAsia"/>
        </w:rPr>
        <w:t>，</w:t>
      </w:r>
      <w:r w:rsidRPr="00D94F79">
        <w:rPr>
          <w:rFonts w:ascii="標楷體" w:eastAsia="標楷體" w:hAnsi="標楷體" w:hint="eastAsia"/>
        </w:rPr>
        <w:t>除310盞路燈未</w:t>
      </w:r>
      <w:proofErr w:type="gramStart"/>
      <w:r w:rsidRPr="00D94F79">
        <w:rPr>
          <w:rFonts w:ascii="標楷體" w:eastAsia="標楷體" w:hAnsi="標楷體" w:hint="eastAsia"/>
        </w:rPr>
        <w:t>列載包</w:t>
      </w:r>
      <w:proofErr w:type="gramEnd"/>
      <w:r>
        <w:rPr>
          <w:rFonts w:ascii="標楷體" w:eastAsia="標楷體" w:hAnsi="標楷體" w:hint="eastAsia"/>
        </w:rPr>
        <w:t>（</w:t>
      </w:r>
      <w:r w:rsidRPr="00D94F79">
        <w:rPr>
          <w:rFonts w:ascii="標楷體" w:eastAsia="標楷體" w:hAnsi="標楷體" w:hint="eastAsia"/>
        </w:rPr>
        <w:t>表</w:t>
      </w:r>
      <w:r>
        <w:rPr>
          <w:rFonts w:ascii="標楷體" w:eastAsia="標楷體" w:hAnsi="標楷體"/>
        </w:rPr>
        <w:t>）</w:t>
      </w:r>
      <w:r w:rsidRPr="00D94F79">
        <w:rPr>
          <w:rFonts w:ascii="標楷體" w:eastAsia="標楷體" w:hAnsi="標楷體" w:hint="eastAsia"/>
        </w:rPr>
        <w:t>燈</w:t>
      </w:r>
      <w:r>
        <w:rPr>
          <w:rFonts w:ascii="標楷體" w:eastAsia="標楷體" w:hAnsi="標楷體" w:hint="eastAsia"/>
        </w:rPr>
        <w:t>計價類別</w:t>
      </w:r>
      <w:r w:rsidRPr="00D94F79">
        <w:rPr>
          <w:rFonts w:ascii="標楷體" w:eastAsia="標楷體" w:hAnsi="標楷體" w:hint="eastAsia"/>
        </w:rPr>
        <w:t>外，其餘17萬3,272盞，經</w:t>
      </w:r>
    </w:p>
    <w:p w14:paraId="65B904EF" w14:textId="342ADF1A" w:rsidR="00691A90" w:rsidRPr="00691A90" w:rsidRDefault="00691A90" w:rsidP="00C646BE">
      <w:pPr>
        <w:widowControl/>
        <w:tabs>
          <w:tab w:val="left" w:pos="1560"/>
        </w:tabs>
        <w:kinsoku w:val="0"/>
        <w:overflowPunct w:val="0"/>
        <w:spacing w:beforeLines="20" w:before="72" w:line="440" w:lineRule="exact"/>
        <w:jc w:val="both"/>
        <w:rPr>
          <w:rFonts w:ascii="標楷體" w:eastAsia="標楷體" w:hAnsi="標楷體" w:cs="Times New Roman"/>
          <w:bCs/>
          <w:spacing w:val="-2"/>
          <w:kern w:val="0"/>
          <w:szCs w:val="24"/>
        </w:rPr>
      </w:pPr>
      <w:r w:rsidRPr="00D94F79">
        <w:rPr>
          <w:rFonts w:ascii="標楷體" w:eastAsia="標楷體" w:hAnsi="標楷體" w:hint="eastAsia"/>
        </w:rPr>
        <w:lastRenderedPageBreak/>
        <w:t>以</w:t>
      </w:r>
      <w:r>
        <w:rPr>
          <w:rFonts w:ascii="標楷體" w:eastAsia="標楷體" w:hAnsi="標楷體" w:hint="eastAsia"/>
        </w:rPr>
        <w:t>計價類別</w:t>
      </w:r>
      <w:r w:rsidRPr="00D94F79">
        <w:rPr>
          <w:rFonts w:ascii="標楷體" w:eastAsia="標楷體" w:hAnsi="標楷體" w:hint="eastAsia"/>
        </w:rPr>
        <w:t>統計</w:t>
      </w:r>
      <w:r>
        <w:rPr>
          <w:rFonts w:ascii="標楷體" w:eastAsia="標楷體" w:hAnsi="標楷體" w:hint="eastAsia"/>
        </w:rPr>
        <w:t>分析</w:t>
      </w:r>
      <w:r w:rsidRPr="00D94F79">
        <w:rPr>
          <w:rFonts w:ascii="標楷體" w:eastAsia="標楷體" w:hAnsi="標楷體" w:hint="eastAsia"/>
        </w:rPr>
        <w:t>，</w:t>
      </w:r>
      <w:proofErr w:type="gramStart"/>
      <w:r>
        <w:rPr>
          <w:rFonts w:ascii="標楷體" w:eastAsia="標楷體" w:hAnsi="標楷體" w:hint="eastAsia"/>
        </w:rPr>
        <w:t>屬</w:t>
      </w:r>
      <w:r w:rsidRPr="00D94F79">
        <w:rPr>
          <w:rFonts w:ascii="標楷體" w:eastAsia="標楷體" w:hAnsi="標楷體" w:hint="eastAsia"/>
        </w:rPr>
        <w:t>包燈</w:t>
      </w:r>
      <w:proofErr w:type="gramEnd"/>
      <w:r>
        <w:rPr>
          <w:rFonts w:ascii="標楷體" w:eastAsia="標楷體" w:hAnsi="標楷體" w:hint="eastAsia"/>
        </w:rPr>
        <w:t>計價</w:t>
      </w:r>
      <w:r w:rsidRPr="00D94F79">
        <w:rPr>
          <w:rFonts w:ascii="標楷體" w:eastAsia="標楷體" w:hAnsi="標楷體" w:hint="eastAsia"/>
        </w:rPr>
        <w:t>者為16萬3,981盞</w:t>
      </w:r>
      <w:r>
        <w:rPr>
          <w:rFonts w:ascii="標楷體" w:eastAsia="標楷體" w:hAnsi="標楷體" w:hint="eastAsia"/>
        </w:rPr>
        <w:t>，</w:t>
      </w:r>
      <w:r w:rsidRPr="00D94F79">
        <w:rPr>
          <w:rFonts w:ascii="標楷體" w:eastAsia="標楷體" w:hAnsi="標楷體" w:hint="eastAsia"/>
        </w:rPr>
        <w:t>惟據</w:t>
      </w:r>
      <w:r>
        <w:rPr>
          <w:rFonts w:ascii="標楷體" w:eastAsia="標楷體" w:hAnsi="標楷體" w:hint="eastAsia"/>
        </w:rPr>
        <w:t>台灣電力股份有限公司（下稱台電公司</w:t>
      </w:r>
      <w:r w:rsidR="00196B4A">
        <w:rPr>
          <w:rFonts w:ascii="標楷體" w:eastAsia="標楷體" w:hAnsi="標楷體" w:hint="eastAsia"/>
        </w:rPr>
        <w:t>）</w:t>
      </w:r>
      <w:r w:rsidRPr="00D94F79">
        <w:rPr>
          <w:rFonts w:ascii="標楷體" w:eastAsia="標楷體" w:hAnsi="標楷體" w:hint="eastAsia"/>
        </w:rPr>
        <w:t>提供截至113年</w:t>
      </w:r>
      <w:r>
        <w:rPr>
          <w:rFonts w:ascii="標楷體" w:eastAsia="標楷體" w:hAnsi="標楷體" w:hint="eastAsia"/>
        </w:rPr>
        <w:t>底</w:t>
      </w:r>
      <w:r w:rsidRPr="00D94F79">
        <w:rPr>
          <w:rFonts w:ascii="標楷體" w:eastAsia="標楷體" w:hAnsi="標楷體" w:hint="eastAsia"/>
        </w:rPr>
        <w:t>所列</w:t>
      </w:r>
      <w:proofErr w:type="gramStart"/>
      <w:r w:rsidRPr="00D94F79">
        <w:rPr>
          <w:rFonts w:ascii="標楷體" w:eastAsia="標楷體" w:hAnsi="標楷體" w:hint="eastAsia"/>
        </w:rPr>
        <w:t>管</w:t>
      </w:r>
      <w:r>
        <w:rPr>
          <w:rFonts w:ascii="標楷體" w:eastAsia="標楷體" w:hAnsi="標楷體" w:hint="eastAsia"/>
        </w:rPr>
        <w:t>屬</w:t>
      </w:r>
      <w:r w:rsidRPr="00D94F79">
        <w:rPr>
          <w:rFonts w:ascii="標楷體" w:eastAsia="標楷體" w:hAnsi="標楷體" w:hint="eastAsia"/>
        </w:rPr>
        <w:t>包燈</w:t>
      </w:r>
      <w:proofErr w:type="gramEnd"/>
      <w:r>
        <w:rPr>
          <w:rFonts w:ascii="標楷體" w:eastAsia="標楷體" w:hAnsi="標楷體" w:hint="eastAsia"/>
        </w:rPr>
        <w:t>計價</w:t>
      </w:r>
      <w:r w:rsidRPr="00D94F79">
        <w:rPr>
          <w:rFonts w:ascii="標楷體" w:eastAsia="標楷體" w:hAnsi="標楷體" w:hint="eastAsia"/>
        </w:rPr>
        <w:t>之臺北市公有路燈資料計16萬8,199盞，</w:t>
      </w:r>
      <w:r>
        <w:rPr>
          <w:rFonts w:ascii="標楷體" w:eastAsia="標楷體" w:hAnsi="標楷體" w:hint="eastAsia"/>
        </w:rPr>
        <w:t>兩者</w:t>
      </w:r>
      <w:r w:rsidRPr="00D94F79">
        <w:rPr>
          <w:rFonts w:ascii="標楷體" w:eastAsia="標楷體" w:hAnsi="標楷體" w:hint="eastAsia"/>
        </w:rPr>
        <w:t>差異數為4,218盞</w:t>
      </w:r>
      <w:r>
        <w:rPr>
          <w:rFonts w:ascii="標楷體" w:eastAsia="標楷體" w:hAnsi="標楷體" w:hint="eastAsia"/>
        </w:rPr>
        <w:t>（表3</w:t>
      </w:r>
      <w:r w:rsidR="00196B4A">
        <w:rPr>
          <w:rFonts w:ascii="標楷體" w:eastAsia="標楷體" w:hAnsi="標楷體" w:hint="eastAsia"/>
        </w:rPr>
        <w:t>）</w:t>
      </w:r>
      <w:r>
        <w:rPr>
          <w:rFonts w:ascii="標楷體" w:eastAsia="標楷體" w:hAnsi="標楷體" w:hint="eastAsia"/>
        </w:rPr>
        <w:t>，影響路燈電費計價之正確性，經函請</w:t>
      </w:r>
      <w:r w:rsidRPr="00E71C42">
        <w:rPr>
          <w:rFonts w:ascii="標楷體" w:eastAsia="標楷體" w:hAnsi="標楷體" w:hint="eastAsia"/>
        </w:rPr>
        <w:t>查明</w:t>
      </w:r>
      <w:proofErr w:type="gramStart"/>
      <w:r w:rsidRPr="00E71C42">
        <w:rPr>
          <w:rFonts w:ascii="標楷體" w:eastAsia="標楷體" w:hAnsi="標楷體" w:hint="eastAsia"/>
        </w:rPr>
        <w:t>釐清妥處</w:t>
      </w:r>
      <w:proofErr w:type="gramEnd"/>
      <w:r w:rsidRPr="00E71C42">
        <w:rPr>
          <w:rFonts w:ascii="標楷體" w:eastAsia="標楷體" w:hAnsi="標楷體" w:hint="eastAsia"/>
        </w:rPr>
        <w:t>。</w:t>
      </w:r>
      <w:r>
        <w:rPr>
          <w:rFonts w:ascii="標楷體" w:eastAsia="標楷體" w:hAnsi="標楷體" w:hint="eastAsia"/>
        </w:rPr>
        <w:t>據復：刻正與台電公司交換雙方</w:t>
      </w:r>
      <w:proofErr w:type="gramStart"/>
      <w:r>
        <w:rPr>
          <w:rFonts w:ascii="標楷體" w:eastAsia="標楷體" w:hAnsi="標楷體" w:hint="eastAsia"/>
        </w:rPr>
        <w:t>圖資以校核</w:t>
      </w:r>
      <w:proofErr w:type="gramEnd"/>
      <w:r>
        <w:rPr>
          <w:rFonts w:ascii="標楷體" w:eastAsia="標楷體" w:hAnsi="標楷體" w:hint="eastAsia"/>
        </w:rPr>
        <w:t>路燈</w:t>
      </w:r>
      <w:r w:rsidRPr="00691A90">
        <w:rPr>
          <w:rFonts w:ascii="標楷體" w:eastAsia="標楷體" w:hAnsi="標楷體" w:cs="Times New Roman" w:hint="eastAsia"/>
          <w:bCs/>
          <w:spacing w:val="-2"/>
          <w:kern w:val="0"/>
          <w:szCs w:val="24"/>
        </w:rPr>
        <w:t>數量</w:t>
      </w:r>
      <w:r>
        <w:rPr>
          <w:rFonts w:ascii="標楷體" w:eastAsia="標楷體" w:hAnsi="標楷體" w:hint="eastAsia"/>
        </w:rPr>
        <w:t>差異，預計於114年6月底完成核對，據以辦理路燈種類及數量資料修正事宜。</w:t>
      </w:r>
      <w:r w:rsidR="008B44D6" w:rsidRPr="005D095B">
        <w:rPr>
          <w:noProof/>
        </w:rPr>
        <mc:AlternateContent>
          <mc:Choice Requires="wps">
            <w:drawing>
              <wp:anchor distT="0" distB="0" distL="114300" distR="114300" simplePos="0" relativeHeight="251798528" behindDoc="1" locked="0" layoutInCell="1" allowOverlap="1" wp14:anchorId="57B0E420" wp14:editId="10B7A529">
                <wp:simplePos x="0" y="0"/>
                <wp:positionH relativeFrom="column">
                  <wp:posOffset>2251914</wp:posOffset>
                </wp:positionH>
                <wp:positionV relativeFrom="page">
                  <wp:posOffset>879595</wp:posOffset>
                </wp:positionV>
                <wp:extent cx="4067175" cy="3544570"/>
                <wp:effectExtent l="0" t="0" r="9525" b="0"/>
                <wp:wrapTight wrapText="bothSides">
                  <wp:wrapPolygon edited="0">
                    <wp:start x="0" y="0"/>
                    <wp:lineTo x="0" y="21476"/>
                    <wp:lineTo x="21549" y="21476"/>
                    <wp:lineTo x="21549" y="0"/>
                    <wp:lineTo x="0" y="0"/>
                  </wp:wrapPolygon>
                </wp:wrapTight>
                <wp:docPr id="86" name="文字方塊 86"/>
                <wp:cNvGraphicFramePr/>
                <a:graphic xmlns:a="http://schemas.openxmlformats.org/drawingml/2006/main">
                  <a:graphicData uri="http://schemas.microsoft.com/office/word/2010/wordprocessingShape">
                    <wps:wsp>
                      <wps:cNvSpPr txBox="1"/>
                      <wps:spPr>
                        <a:xfrm>
                          <a:off x="0" y="0"/>
                          <a:ext cx="4067175" cy="3544570"/>
                        </a:xfrm>
                        <a:prstGeom prst="rect">
                          <a:avLst/>
                        </a:prstGeom>
                        <a:solidFill>
                          <a:sysClr val="window" lastClr="FFFFFF"/>
                        </a:solidFill>
                        <a:ln w="6350">
                          <a:noFill/>
                        </a:ln>
                      </wps:spPr>
                      <wps:txbx>
                        <w:txbxContent>
                          <w:tbl>
                            <w:tblPr>
                              <w:tblStyle w:val="570"/>
                              <w:tblW w:w="0" w:type="auto"/>
                              <w:tblLook w:val="04A0" w:firstRow="1" w:lastRow="0" w:firstColumn="1" w:lastColumn="0" w:noHBand="0" w:noVBand="1"/>
                            </w:tblPr>
                            <w:tblGrid>
                              <w:gridCol w:w="1381"/>
                              <w:gridCol w:w="1674"/>
                              <w:gridCol w:w="1674"/>
                              <w:gridCol w:w="1393"/>
                            </w:tblGrid>
                            <w:tr w:rsidR="005D095B" w14:paraId="7C964AE4" w14:textId="77777777" w:rsidTr="00824CD6">
                              <w:trPr>
                                <w:trHeight w:val="227"/>
                              </w:trPr>
                              <w:tc>
                                <w:tcPr>
                                  <w:tcW w:w="6236" w:type="dxa"/>
                                  <w:gridSpan w:val="4"/>
                                  <w:tcBorders>
                                    <w:top w:val="nil"/>
                                    <w:left w:val="nil"/>
                                    <w:bottom w:val="nil"/>
                                    <w:right w:val="nil"/>
                                  </w:tcBorders>
                                </w:tcPr>
                                <w:p w14:paraId="1D08FB1D" w14:textId="77777777" w:rsidR="005D095B" w:rsidRDefault="005D095B" w:rsidP="00ED75C9">
                                  <w:pPr>
                                    <w:spacing w:line="240" w:lineRule="exact"/>
                                    <w:ind w:left="673" w:hangingChars="280" w:hanging="673"/>
                                    <w:jc w:val="both"/>
                                  </w:pPr>
                                  <w:r w:rsidRPr="004E7EF3">
                                    <w:rPr>
                                      <w:rFonts w:ascii="標楷體" w:eastAsia="標楷體" w:hAnsi="標楷體" w:hint="eastAsia"/>
                                      <w:b/>
                                      <w:bCs/>
                                    </w:rPr>
                                    <w:t>表3　台電公司列管「</w:t>
                                  </w:r>
                                  <w:proofErr w:type="gramStart"/>
                                  <w:r w:rsidRPr="004E7EF3">
                                    <w:rPr>
                                      <w:rFonts w:ascii="標楷體" w:eastAsia="標楷體" w:hAnsi="標楷體" w:hint="eastAsia"/>
                                      <w:b/>
                                      <w:bCs/>
                                    </w:rPr>
                                    <w:t>包燈</w:t>
                                  </w:r>
                                  <w:proofErr w:type="gramEnd"/>
                                  <w:r w:rsidRPr="004E7EF3">
                                    <w:rPr>
                                      <w:rFonts w:ascii="標楷體" w:eastAsia="標楷體" w:hAnsi="標楷體" w:hint="eastAsia"/>
                                      <w:b/>
                                      <w:bCs/>
                                    </w:rPr>
                                    <w:t>」計價公用路燈數與公園處經管數之差異情形</w:t>
                                  </w:r>
                                </w:p>
                              </w:tc>
                            </w:tr>
                            <w:tr w:rsidR="005D095B" w14:paraId="79E6CA32" w14:textId="77777777" w:rsidTr="00824CD6">
                              <w:trPr>
                                <w:trHeight w:val="227"/>
                              </w:trPr>
                              <w:tc>
                                <w:tcPr>
                                  <w:tcW w:w="6236" w:type="dxa"/>
                                  <w:gridSpan w:val="4"/>
                                  <w:tcBorders>
                                    <w:top w:val="nil"/>
                                    <w:left w:val="nil"/>
                                    <w:bottom w:val="single" w:sz="4" w:space="0" w:color="auto"/>
                                    <w:right w:val="nil"/>
                                  </w:tcBorders>
                                </w:tcPr>
                                <w:p w14:paraId="2CC41859" w14:textId="77777777" w:rsidR="005D095B" w:rsidRDefault="005D095B" w:rsidP="00ED75C9">
                                  <w:pPr>
                                    <w:spacing w:line="240" w:lineRule="exact"/>
                                    <w:ind w:leftChars="50" w:left="120"/>
                                    <w:jc w:val="right"/>
                                  </w:pPr>
                                  <w:r w:rsidRPr="004E7EF3">
                                    <w:rPr>
                                      <w:rFonts w:ascii="標楷體" w:eastAsia="標楷體" w:hAnsi="標楷體" w:cs="新細明體" w:hint="eastAsia"/>
                                      <w:color w:val="000000"/>
                                      <w:kern w:val="0"/>
                                      <w:sz w:val="20"/>
                                      <w:szCs w:val="20"/>
                                    </w:rPr>
                                    <w:t>單位：</w:t>
                                  </w:r>
                                  <w:proofErr w:type="gramStart"/>
                                  <w:r w:rsidRPr="004E7EF3">
                                    <w:rPr>
                                      <w:rFonts w:ascii="標楷體" w:eastAsia="標楷體" w:hAnsi="標楷體" w:cs="新細明體" w:hint="eastAsia"/>
                                      <w:color w:val="000000"/>
                                      <w:kern w:val="0"/>
                                      <w:sz w:val="20"/>
                                      <w:szCs w:val="20"/>
                                    </w:rPr>
                                    <w:t>盞</w:t>
                                  </w:r>
                                  <w:proofErr w:type="gramEnd"/>
                                </w:p>
                              </w:tc>
                            </w:tr>
                            <w:tr w:rsidR="005D095B" w14:paraId="49590206" w14:textId="77777777" w:rsidTr="00824CD6">
                              <w:trPr>
                                <w:trHeight w:val="227"/>
                              </w:trPr>
                              <w:tc>
                                <w:tcPr>
                                  <w:tcW w:w="1417" w:type="dxa"/>
                                  <w:tcBorders>
                                    <w:top w:val="single" w:sz="4" w:space="0" w:color="auto"/>
                                  </w:tcBorders>
                                  <w:vAlign w:val="center"/>
                                </w:tcPr>
                                <w:p w14:paraId="25E7E563"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地區</w:t>
                                  </w:r>
                                </w:p>
                              </w:tc>
                              <w:tc>
                                <w:tcPr>
                                  <w:tcW w:w="1701" w:type="dxa"/>
                                  <w:tcBorders>
                                    <w:top w:val="single" w:sz="4" w:space="0" w:color="auto"/>
                                  </w:tcBorders>
                                  <w:vAlign w:val="center"/>
                                </w:tcPr>
                                <w:p w14:paraId="4C57DF4E" w14:textId="77777777" w:rsidR="005D095B" w:rsidRPr="004E7EF3" w:rsidRDefault="005D095B" w:rsidP="00824CD6">
                                  <w:pPr>
                                    <w:widowControl/>
                                    <w:spacing w:line="240" w:lineRule="exact"/>
                                    <w:jc w:val="center"/>
                                    <w:rPr>
                                      <w:rFonts w:ascii="標楷體" w:eastAsia="標楷體" w:hAnsi="標楷體" w:cs="新細明體"/>
                                      <w:color w:val="000000"/>
                                      <w:kern w:val="0"/>
                                      <w:sz w:val="20"/>
                                      <w:szCs w:val="20"/>
                                    </w:rPr>
                                  </w:pPr>
                                  <w:r w:rsidRPr="004E7EF3">
                                    <w:rPr>
                                      <w:rFonts w:ascii="標楷體" w:eastAsia="標楷體" w:hAnsi="標楷體" w:cs="新細明體" w:hint="eastAsia"/>
                                      <w:color w:val="000000"/>
                                      <w:kern w:val="0"/>
                                      <w:sz w:val="20"/>
                                      <w:szCs w:val="20"/>
                                    </w:rPr>
                                    <w:t>台電公司</w:t>
                                  </w:r>
                                </w:p>
                                <w:p w14:paraId="621E9318" w14:textId="77777777" w:rsidR="005D095B" w:rsidRPr="004E7EF3" w:rsidRDefault="005D095B" w:rsidP="00824CD6">
                                  <w:pPr>
                                    <w:widowControl/>
                                    <w:spacing w:line="240" w:lineRule="exact"/>
                                    <w:jc w:val="center"/>
                                    <w:rPr>
                                      <w:rFonts w:ascii="標楷體" w:eastAsia="標楷體" w:hAnsi="標楷體" w:cs="新細明體"/>
                                      <w:color w:val="000000"/>
                                      <w:kern w:val="0"/>
                                      <w:sz w:val="20"/>
                                      <w:szCs w:val="20"/>
                                    </w:rPr>
                                  </w:pPr>
                                  <w:r w:rsidRPr="004E7EF3">
                                    <w:rPr>
                                      <w:rFonts w:ascii="標楷體" w:eastAsia="標楷體" w:hAnsi="標楷體" w:cs="新細明體" w:hint="eastAsia"/>
                                      <w:color w:val="000000"/>
                                      <w:kern w:val="0"/>
                                      <w:sz w:val="20"/>
                                      <w:szCs w:val="20"/>
                                    </w:rPr>
                                    <w:t>列管數量</w:t>
                                  </w:r>
                                </w:p>
                                <w:p w14:paraId="49FDDECD"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（A</w:t>
                                  </w:r>
                                  <w:r w:rsidRPr="004E7EF3">
                                    <w:rPr>
                                      <w:rFonts w:ascii="標楷體" w:eastAsia="標楷體" w:hAnsi="標楷體" w:cs="新細明體"/>
                                      <w:color w:val="000000"/>
                                      <w:kern w:val="0"/>
                                      <w:sz w:val="20"/>
                                      <w:szCs w:val="20"/>
                                    </w:rPr>
                                    <w:t>）</w:t>
                                  </w:r>
                                </w:p>
                              </w:tc>
                              <w:tc>
                                <w:tcPr>
                                  <w:tcW w:w="1701" w:type="dxa"/>
                                  <w:tcBorders>
                                    <w:top w:val="single" w:sz="4" w:space="0" w:color="auto"/>
                                  </w:tcBorders>
                                  <w:vAlign w:val="center"/>
                                </w:tcPr>
                                <w:p w14:paraId="2B594B92" w14:textId="77777777" w:rsidR="005D095B" w:rsidRPr="004E7EF3" w:rsidRDefault="005D095B" w:rsidP="00824CD6">
                                  <w:pPr>
                                    <w:widowControl/>
                                    <w:spacing w:line="240" w:lineRule="exact"/>
                                    <w:jc w:val="center"/>
                                    <w:rPr>
                                      <w:rFonts w:ascii="標楷體" w:eastAsia="標楷體" w:hAnsi="標楷體" w:cs="新細明體"/>
                                      <w:color w:val="000000"/>
                                      <w:kern w:val="0"/>
                                      <w:sz w:val="20"/>
                                      <w:szCs w:val="20"/>
                                    </w:rPr>
                                  </w:pPr>
                                  <w:r w:rsidRPr="004E7EF3">
                                    <w:rPr>
                                      <w:rFonts w:ascii="標楷體" w:eastAsia="標楷體" w:hAnsi="標楷體" w:cs="新細明體" w:hint="eastAsia"/>
                                      <w:color w:val="000000"/>
                                      <w:kern w:val="0"/>
                                      <w:sz w:val="20"/>
                                      <w:szCs w:val="20"/>
                                    </w:rPr>
                                    <w:t>公園處</w:t>
                                  </w:r>
                                </w:p>
                                <w:p w14:paraId="1BB4E580" w14:textId="77777777" w:rsidR="005D095B" w:rsidRPr="004E7EF3" w:rsidRDefault="005D095B" w:rsidP="00824CD6">
                                  <w:pPr>
                                    <w:widowControl/>
                                    <w:spacing w:line="240" w:lineRule="exact"/>
                                    <w:jc w:val="center"/>
                                    <w:rPr>
                                      <w:rFonts w:ascii="標楷體" w:eastAsia="標楷體" w:hAnsi="標楷體" w:cs="新細明體"/>
                                      <w:color w:val="000000"/>
                                      <w:kern w:val="0"/>
                                      <w:sz w:val="20"/>
                                      <w:szCs w:val="20"/>
                                    </w:rPr>
                                  </w:pPr>
                                  <w:r w:rsidRPr="004E7EF3">
                                    <w:rPr>
                                      <w:rFonts w:ascii="標楷體" w:eastAsia="標楷體" w:hAnsi="標楷體" w:cs="新細明體" w:hint="eastAsia"/>
                                      <w:color w:val="000000"/>
                                      <w:kern w:val="0"/>
                                      <w:sz w:val="20"/>
                                      <w:szCs w:val="20"/>
                                    </w:rPr>
                                    <w:t>列管數量</w:t>
                                  </w:r>
                                </w:p>
                                <w:p w14:paraId="05D52197"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（B</w:t>
                                  </w:r>
                                  <w:r w:rsidRPr="004E7EF3">
                                    <w:rPr>
                                      <w:rFonts w:ascii="標楷體" w:eastAsia="標楷體" w:hAnsi="標楷體" w:cs="新細明體"/>
                                      <w:color w:val="000000"/>
                                      <w:kern w:val="0"/>
                                      <w:sz w:val="20"/>
                                      <w:szCs w:val="20"/>
                                    </w:rPr>
                                    <w:t>）</w:t>
                                  </w:r>
                                </w:p>
                              </w:tc>
                              <w:tc>
                                <w:tcPr>
                                  <w:tcW w:w="1417" w:type="dxa"/>
                                  <w:tcBorders>
                                    <w:top w:val="single" w:sz="4" w:space="0" w:color="auto"/>
                                  </w:tcBorders>
                                  <w:vAlign w:val="center"/>
                                </w:tcPr>
                                <w:p w14:paraId="5C765946" w14:textId="77777777" w:rsidR="005D095B" w:rsidRPr="004E7EF3" w:rsidRDefault="005D095B" w:rsidP="00824CD6">
                                  <w:pPr>
                                    <w:widowControl/>
                                    <w:spacing w:line="240" w:lineRule="exact"/>
                                    <w:jc w:val="center"/>
                                    <w:rPr>
                                      <w:rFonts w:ascii="標楷體" w:eastAsia="標楷體" w:hAnsi="標楷體" w:cs="新細明體"/>
                                      <w:color w:val="000000"/>
                                      <w:kern w:val="0"/>
                                      <w:sz w:val="20"/>
                                      <w:szCs w:val="20"/>
                                    </w:rPr>
                                  </w:pPr>
                                  <w:r w:rsidRPr="004E7EF3">
                                    <w:rPr>
                                      <w:rFonts w:ascii="標楷體" w:eastAsia="標楷體" w:hAnsi="標楷體" w:cs="新細明體" w:hint="eastAsia"/>
                                      <w:color w:val="000000"/>
                                      <w:kern w:val="0"/>
                                      <w:sz w:val="20"/>
                                      <w:szCs w:val="20"/>
                                    </w:rPr>
                                    <w:t>差異數</w:t>
                                  </w:r>
                                </w:p>
                                <w:p w14:paraId="434BADD8"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（B</w:t>
                                  </w:r>
                                  <w:r w:rsidRPr="004E7EF3">
                                    <w:rPr>
                                      <w:rFonts w:ascii="標楷體" w:eastAsia="標楷體" w:hAnsi="標楷體" w:cs="新細明體"/>
                                      <w:color w:val="000000"/>
                                      <w:kern w:val="0"/>
                                      <w:sz w:val="20"/>
                                      <w:szCs w:val="20"/>
                                    </w:rPr>
                                    <w:t>-A）</w:t>
                                  </w:r>
                                </w:p>
                              </w:tc>
                            </w:tr>
                            <w:tr w:rsidR="005D095B" w14:paraId="3D02181E" w14:textId="77777777" w:rsidTr="00824CD6">
                              <w:trPr>
                                <w:trHeight w:val="227"/>
                              </w:trPr>
                              <w:tc>
                                <w:tcPr>
                                  <w:tcW w:w="1417" w:type="dxa"/>
                                  <w:vAlign w:val="center"/>
                                </w:tcPr>
                                <w:p w14:paraId="76AF6FC0" w14:textId="77777777" w:rsidR="005D095B" w:rsidRDefault="005D095B" w:rsidP="00824CD6">
                                  <w:pPr>
                                    <w:spacing w:line="240" w:lineRule="exact"/>
                                    <w:jc w:val="center"/>
                                  </w:pPr>
                                  <w:r w:rsidRPr="004E7EF3">
                                    <w:rPr>
                                      <w:rFonts w:ascii="標楷體" w:eastAsia="標楷體" w:hAnsi="標楷體" w:cs="新細明體" w:hint="eastAsia"/>
                                      <w:b/>
                                      <w:bCs/>
                                      <w:color w:val="000000"/>
                                      <w:kern w:val="0"/>
                                      <w:sz w:val="20"/>
                                      <w:szCs w:val="20"/>
                                    </w:rPr>
                                    <w:t>合計</w:t>
                                  </w:r>
                                </w:p>
                              </w:tc>
                              <w:tc>
                                <w:tcPr>
                                  <w:tcW w:w="1701" w:type="dxa"/>
                                  <w:vAlign w:val="center"/>
                                </w:tcPr>
                                <w:p w14:paraId="435F1535" w14:textId="77777777" w:rsidR="005D095B" w:rsidRDefault="005D095B" w:rsidP="00824CD6">
                                  <w:pPr>
                                    <w:spacing w:line="240" w:lineRule="exact"/>
                                    <w:jc w:val="right"/>
                                  </w:pPr>
                                  <w:r w:rsidRPr="004E7EF3">
                                    <w:rPr>
                                      <w:rFonts w:ascii="標楷體" w:eastAsia="標楷體" w:hAnsi="標楷體" w:cs="新細明體" w:hint="eastAsia"/>
                                      <w:b/>
                                      <w:bCs/>
                                      <w:color w:val="000000"/>
                                      <w:kern w:val="0"/>
                                      <w:sz w:val="20"/>
                                      <w:szCs w:val="20"/>
                                    </w:rPr>
                                    <w:t>168,199</w:t>
                                  </w:r>
                                </w:p>
                              </w:tc>
                              <w:tc>
                                <w:tcPr>
                                  <w:tcW w:w="1701" w:type="dxa"/>
                                  <w:vAlign w:val="center"/>
                                </w:tcPr>
                                <w:p w14:paraId="31BD60DB" w14:textId="77777777" w:rsidR="005D095B" w:rsidRDefault="005D095B" w:rsidP="00824CD6">
                                  <w:pPr>
                                    <w:spacing w:line="240" w:lineRule="exact"/>
                                    <w:jc w:val="right"/>
                                  </w:pPr>
                                  <w:r w:rsidRPr="004E7EF3">
                                    <w:rPr>
                                      <w:rFonts w:ascii="標楷體" w:eastAsia="標楷體" w:hAnsi="標楷體" w:cs="新細明體" w:hint="eastAsia"/>
                                      <w:b/>
                                      <w:bCs/>
                                      <w:color w:val="000000"/>
                                      <w:kern w:val="0"/>
                                      <w:sz w:val="20"/>
                                      <w:szCs w:val="20"/>
                                    </w:rPr>
                                    <w:t>163,981</w:t>
                                  </w:r>
                                </w:p>
                              </w:tc>
                              <w:tc>
                                <w:tcPr>
                                  <w:tcW w:w="1417" w:type="dxa"/>
                                  <w:vAlign w:val="center"/>
                                </w:tcPr>
                                <w:p w14:paraId="493979CA" w14:textId="77777777" w:rsidR="005D095B" w:rsidRDefault="005D095B" w:rsidP="00824CD6">
                                  <w:pPr>
                                    <w:spacing w:line="240" w:lineRule="exact"/>
                                    <w:jc w:val="right"/>
                                  </w:pPr>
                                  <w:r w:rsidRPr="004E7EF3">
                                    <w:rPr>
                                      <w:rFonts w:ascii="標楷體" w:eastAsia="標楷體" w:hAnsi="標楷體" w:cs="新細明體" w:hint="eastAsia"/>
                                      <w:b/>
                                      <w:bCs/>
                                      <w:color w:val="000000"/>
                                      <w:kern w:val="0"/>
                                      <w:sz w:val="20"/>
                                      <w:szCs w:val="20"/>
                                    </w:rPr>
                                    <w:t>- 4,218</w:t>
                                  </w:r>
                                </w:p>
                              </w:tc>
                            </w:tr>
                            <w:tr w:rsidR="005D095B" w14:paraId="4BA620E9" w14:textId="77777777" w:rsidTr="00824CD6">
                              <w:trPr>
                                <w:trHeight w:val="227"/>
                              </w:trPr>
                              <w:tc>
                                <w:tcPr>
                                  <w:tcW w:w="1417" w:type="dxa"/>
                                  <w:vAlign w:val="center"/>
                                </w:tcPr>
                                <w:p w14:paraId="146419A8"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士林</w:t>
                                  </w:r>
                                </w:p>
                              </w:tc>
                              <w:tc>
                                <w:tcPr>
                                  <w:tcW w:w="1701" w:type="dxa"/>
                                  <w:vAlign w:val="center"/>
                                </w:tcPr>
                                <w:p w14:paraId="5F3904F1"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29,397</w:t>
                                  </w:r>
                                </w:p>
                              </w:tc>
                              <w:tc>
                                <w:tcPr>
                                  <w:tcW w:w="1701" w:type="dxa"/>
                                  <w:vAlign w:val="center"/>
                                </w:tcPr>
                                <w:p w14:paraId="297F7342"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22,355</w:t>
                                  </w:r>
                                </w:p>
                              </w:tc>
                              <w:tc>
                                <w:tcPr>
                                  <w:tcW w:w="1417" w:type="dxa"/>
                                  <w:vAlign w:val="center"/>
                                </w:tcPr>
                                <w:p w14:paraId="19757F6C" w14:textId="77777777" w:rsidR="005D095B" w:rsidRDefault="005D095B" w:rsidP="00824CD6">
                                  <w:pPr>
                                    <w:spacing w:line="240" w:lineRule="exact"/>
                                    <w:jc w:val="right"/>
                                  </w:pPr>
                                  <w:r w:rsidRPr="0016034E">
                                    <w:rPr>
                                      <w:rFonts w:ascii="Arial Unicode MS" w:eastAsia="Arial Unicode MS" w:hAnsi="Arial Unicode MS" w:cs="Arial Unicode MS" w:hint="eastAsia"/>
                                      <w:color w:val="000000"/>
                                      <w:kern w:val="0"/>
                                      <w:szCs w:val="24"/>
                                    </w:rPr>
                                    <w:t>①</w:t>
                                  </w:r>
                                  <w:r>
                                    <w:rPr>
                                      <w:rFonts w:ascii="Arial Unicode MS" w:eastAsia="Arial Unicode MS" w:hAnsi="Arial Unicode MS" w:cs="Arial Unicode MS"/>
                                      <w:color w:val="000000"/>
                                      <w:kern w:val="0"/>
                                      <w:sz w:val="20"/>
                                      <w:szCs w:val="20"/>
                                    </w:rPr>
                                    <w:t xml:space="preserve">  </w:t>
                                  </w:r>
                                  <w:r w:rsidRPr="004E7EF3">
                                    <w:rPr>
                                      <w:rFonts w:ascii="標楷體" w:eastAsia="標楷體" w:hAnsi="標楷體" w:cs="新細明體" w:hint="eastAsia"/>
                                      <w:color w:val="000000"/>
                                      <w:kern w:val="0"/>
                                      <w:sz w:val="20"/>
                                      <w:szCs w:val="20"/>
                                    </w:rPr>
                                    <w:t>- 7,042</w:t>
                                  </w:r>
                                </w:p>
                              </w:tc>
                            </w:tr>
                            <w:tr w:rsidR="005D095B" w14:paraId="12F8A57C" w14:textId="77777777" w:rsidTr="00824CD6">
                              <w:trPr>
                                <w:trHeight w:val="227"/>
                              </w:trPr>
                              <w:tc>
                                <w:tcPr>
                                  <w:tcW w:w="1417" w:type="dxa"/>
                                  <w:vAlign w:val="center"/>
                                </w:tcPr>
                                <w:p w14:paraId="3F4959D8"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大同</w:t>
                                  </w:r>
                                </w:p>
                              </w:tc>
                              <w:tc>
                                <w:tcPr>
                                  <w:tcW w:w="1701" w:type="dxa"/>
                                  <w:vAlign w:val="center"/>
                                </w:tcPr>
                                <w:p w14:paraId="7C088D1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7,717</w:t>
                                  </w:r>
                                </w:p>
                              </w:tc>
                              <w:tc>
                                <w:tcPr>
                                  <w:tcW w:w="1701" w:type="dxa"/>
                                  <w:vAlign w:val="center"/>
                                </w:tcPr>
                                <w:p w14:paraId="6F1941C2"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7,932</w:t>
                                  </w:r>
                                </w:p>
                              </w:tc>
                              <w:tc>
                                <w:tcPr>
                                  <w:tcW w:w="1417" w:type="dxa"/>
                                  <w:vAlign w:val="center"/>
                                </w:tcPr>
                                <w:p w14:paraId="36FC954E"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215</w:t>
                                  </w:r>
                                </w:p>
                              </w:tc>
                            </w:tr>
                            <w:tr w:rsidR="005D095B" w14:paraId="52819CC6" w14:textId="77777777" w:rsidTr="00824CD6">
                              <w:trPr>
                                <w:trHeight w:val="227"/>
                              </w:trPr>
                              <w:tc>
                                <w:tcPr>
                                  <w:tcW w:w="1417" w:type="dxa"/>
                                  <w:vAlign w:val="center"/>
                                </w:tcPr>
                                <w:p w14:paraId="67F138D9"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大安</w:t>
                                  </w:r>
                                </w:p>
                              </w:tc>
                              <w:tc>
                                <w:tcPr>
                                  <w:tcW w:w="1701" w:type="dxa"/>
                                  <w:vAlign w:val="center"/>
                                </w:tcPr>
                                <w:p w14:paraId="2C1EBC8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15,725</w:t>
                                  </w:r>
                                </w:p>
                              </w:tc>
                              <w:tc>
                                <w:tcPr>
                                  <w:tcW w:w="1701" w:type="dxa"/>
                                  <w:vAlign w:val="center"/>
                                </w:tcPr>
                                <w:p w14:paraId="3232EC12"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15,580</w:t>
                                  </w:r>
                                </w:p>
                              </w:tc>
                              <w:tc>
                                <w:tcPr>
                                  <w:tcW w:w="1417" w:type="dxa"/>
                                  <w:vAlign w:val="center"/>
                                </w:tcPr>
                                <w:p w14:paraId="6697396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w:t>
                                  </w:r>
                                  <w:r w:rsidRPr="004E7EF3">
                                    <w:rPr>
                                      <w:rFonts w:ascii="標楷體" w:eastAsia="標楷體" w:hAnsi="標楷體" w:cs="新細明體"/>
                                      <w:color w:val="000000"/>
                                      <w:kern w:val="0"/>
                                      <w:sz w:val="20"/>
                                      <w:szCs w:val="20"/>
                                    </w:rPr>
                                    <w:t xml:space="preserve"> </w:t>
                                  </w:r>
                                  <w:r w:rsidRPr="004E7EF3">
                                    <w:rPr>
                                      <w:rFonts w:ascii="標楷體" w:eastAsia="標楷體" w:hAnsi="標楷體" w:cs="新細明體" w:hint="eastAsia"/>
                                      <w:color w:val="000000"/>
                                      <w:kern w:val="0"/>
                                      <w:sz w:val="20"/>
                                      <w:szCs w:val="20"/>
                                    </w:rPr>
                                    <w:t>145</w:t>
                                  </w:r>
                                </w:p>
                              </w:tc>
                            </w:tr>
                            <w:tr w:rsidR="005D095B" w14:paraId="5996CAD3" w14:textId="77777777" w:rsidTr="00824CD6">
                              <w:trPr>
                                <w:trHeight w:val="227"/>
                              </w:trPr>
                              <w:tc>
                                <w:tcPr>
                                  <w:tcW w:w="1417" w:type="dxa"/>
                                  <w:vAlign w:val="center"/>
                                </w:tcPr>
                                <w:p w14:paraId="516843E7"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中山</w:t>
                                  </w:r>
                                </w:p>
                              </w:tc>
                              <w:tc>
                                <w:tcPr>
                                  <w:tcW w:w="1701" w:type="dxa"/>
                                  <w:vAlign w:val="center"/>
                                </w:tcPr>
                                <w:p w14:paraId="2801C4F1"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17,102</w:t>
                                  </w:r>
                                </w:p>
                              </w:tc>
                              <w:tc>
                                <w:tcPr>
                                  <w:tcW w:w="1701" w:type="dxa"/>
                                  <w:vAlign w:val="center"/>
                                </w:tcPr>
                                <w:p w14:paraId="66ED2B17"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14,403</w:t>
                                  </w:r>
                                </w:p>
                              </w:tc>
                              <w:tc>
                                <w:tcPr>
                                  <w:tcW w:w="1417" w:type="dxa"/>
                                  <w:vAlign w:val="center"/>
                                </w:tcPr>
                                <w:p w14:paraId="339AED85" w14:textId="77777777" w:rsidR="005D095B" w:rsidRDefault="005D095B" w:rsidP="00824CD6">
                                  <w:pPr>
                                    <w:spacing w:line="240" w:lineRule="exact"/>
                                    <w:jc w:val="right"/>
                                  </w:pPr>
                                  <w:r w:rsidRPr="0016034E">
                                    <w:rPr>
                                      <w:rFonts w:ascii="Arial Unicode MS" w:eastAsia="Arial Unicode MS" w:hAnsi="Arial Unicode MS" w:cs="Arial Unicode MS" w:hint="eastAsia"/>
                                      <w:color w:val="000000"/>
                                      <w:kern w:val="0"/>
                                      <w:szCs w:val="24"/>
                                    </w:rPr>
                                    <w:t>③</w:t>
                                  </w:r>
                                  <w:r>
                                    <w:rPr>
                                      <w:rFonts w:ascii="Arial Unicode MS" w:eastAsia="Arial Unicode MS" w:hAnsi="Arial Unicode MS" w:cs="Arial Unicode MS"/>
                                      <w:color w:val="000000"/>
                                      <w:kern w:val="0"/>
                                      <w:sz w:val="20"/>
                                      <w:szCs w:val="20"/>
                                    </w:rPr>
                                    <w:t xml:space="preserve">  </w:t>
                                  </w:r>
                                  <w:r w:rsidRPr="004E7EF3">
                                    <w:rPr>
                                      <w:rFonts w:ascii="標楷體" w:eastAsia="標楷體" w:hAnsi="標楷體" w:cs="新細明體" w:hint="eastAsia"/>
                                      <w:color w:val="000000"/>
                                      <w:kern w:val="0"/>
                                      <w:sz w:val="20"/>
                                      <w:szCs w:val="20"/>
                                    </w:rPr>
                                    <w:t>- 2,699</w:t>
                                  </w:r>
                                </w:p>
                              </w:tc>
                            </w:tr>
                            <w:tr w:rsidR="005D095B" w14:paraId="058FA4A9" w14:textId="77777777" w:rsidTr="00824CD6">
                              <w:trPr>
                                <w:trHeight w:val="227"/>
                              </w:trPr>
                              <w:tc>
                                <w:tcPr>
                                  <w:tcW w:w="1417" w:type="dxa"/>
                                  <w:vAlign w:val="center"/>
                                </w:tcPr>
                                <w:p w14:paraId="08EFF3BF"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中正</w:t>
                                  </w:r>
                                </w:p>
                              </w:tc>
                              <w:tc>
                                <w:tcPr>
                                  <w:tcW w:w="1701" w:type="dxa"/>
                                  <w:vAlign w:val="center"/>
                                </w:tcPr>
                                <w:p w14:paraId="786699DC"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10,497</w:t>
                                  </w:r>
                                </w:p>
                              </w:tc>
                              <w:tc>
                                <w:tcPr>
                                  <w:tcW w:w="1701" w:type="dxa"/>
                                  <w:vAlign w:val="center"/>
                                </w:tcPr>
                                <w:p w14:paraId="132984F6"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10,565</w:t>
                                  </w:r>
                                </w:p>
                              </w:tc>
                              <w:tc>
                                <w:tcPr>
                                  <w:tcW w:w="1417" w:type="dxa"/>
                                  <w:vAlign w:val="center"/>
                                </w:tcPr>
                                <w:p w14:paraId="3ADE848B"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68</w:t>
                                  </w:r>
                                </w:p>
                              </w:tc>
                            </w:tr>
                            <w:tr w:rsidR="005D095B" w14:paraId="6F6280B8" w14:textId="77777777" w:rsidTr="00824CD6">
                              <w:trPr>
                                <w:trHeight w:val="227"/>
                              </w:trPr>
                              <w:tc>
                                <w:tcPr>
                                  <w:tcW w:w="1417" w:type="dxa"/>
                                  <w:vAlign w:val="center"/>
                                </w:tcPr>
                                <w:p w14:paraId="72ACAAE7"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內湖</w:t>
                                  </w:r>
                                </w:p>
                              </w:tc>
                              <w:tc>
                                <w:tcPr>
                                  <w:tcW w:w="1701" w:type="dxa"/>
                                  <w:vAlign w:val="center"/>
                                </w:tcPr>
                                <w:p w14:paraId="65255302"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16,276</w:t>
                                  </w:r>
                                </w:p>
                              </w:tc>
                              <w:tc>
                                <w:tcPr>
                                  <w:tcW w:w="1701" w:type="dxa"/>
                                  <w:vAlign w:val="center"/>
                                </w:tcPr>
                                <w:p w14:paraId="63EE4D90"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16,343</w:t>
                                  </w:r>
                                </w:p>
                              </w:tc>
                              <w:tc>
                                <w:tcPr>
                                  <w:tcW w:w="1417" w:type="dxa"/>
                                  <w:vAlign w:val="center"/>
                                </w:tcPr>
                                <w:p w14:paraId="48228559"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67</w:t>
                                  </w:r>
                                </w:p>
                              </w:tc>
                            </w:tr>
                            <w:tr w:rsidR="005D095B" w14:paraId="17EC4961" w14:textId="77777777" w:rsidTr="00824CD6">
                              <w:trPr>
                                <w:trHeight w:val="227"/>
                              </w:trPr>
                              <w:tc>
                                <w:tcPr>
                                  <w:tcW w:w="1417" w:type="dxa"/>
                                  <w:vAlign w:val="center"/>
                                </w:tcPr>
                                <w:p w14:paraId="30F1076F"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文山</w:t>
                                  </w:r>
                                </w:p>
                              </w:tc>
                              <w:tc>
                                <w:tcPr>
                                  <w:tcW w:w="1701" w:type="dxa"/>
                                  <w:vAlign w:val="center"/>
                                </w:tcPr>
                                <w:p w14:paraId="29B6F91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15,826</w:t>
                                  </w:r>
                                </w:p>
                              </w:tc>
                              <w:tc>
                                <w:tcPr>
                                  <w:tcW w:w="1701" w:type="dxa"/>
                                  <w:vAlign w:val="center"/>
                                </w:tcPr>
                                <w:p w14:paraId="6B7E403E"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16,309</w:t>
                                  </w:r>
                                </w:p>
                              </w:tc>
                              <w:tc>
                                <w:tcPr>
                                  <w:tcW w:w="1417" w:type="dxa"/>
                                  <w:vAlign w:val="center"/>
                                </w:tcPr>
                                <w:p w14:paraId="65736B67"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483</w:t>
                                  </w:r>
                                </w:p>
                              </w:tc>
                            </w:tr>
                            <w:tr w:rsidR="005D095B" w14:paraId="0FF936C2" w14:textId="77777777" w:rsidTr="00824CD6">
                              <w:trPr>
                                <w:trHeight w:val="227"/>
                              </w:trPr>
                              <w:tc>
                                <w:tcPr>
                                  <w:tcW w:w="1417" w:type="dxa"/>
                                  <w:vAlign w:val="center"/>
                                </w:tcPr>
                                <w:p w14:paraId="5EC7C47C"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松山</w:t>
                                  </w:r>
                                </w:p>
                              </w:tc>
                              <w:tc>
                                <w:tcPr>
                                  <w:tcW w:w="1701" w:type="dxa"/>
                                  <w:vAlign w:val="center"/>
                                </w:tcPr>
                                <w:p w14:paraId="30C9B65E"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9,511</w:t>
                                  </w:r>
                                </w:p>
                              </w:tc>
                              <w:tc>
                                <w:tcPr>
                                  <w:tcW w:w="1701" w:type="dxa"/>
                                  <w:vAlign w:val="center"/>
                                </w:tcPr>
                                <w:p w14:paraId="45660E83"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9,988</w:t>
                                  </w:r>
                                </w:p>
                              </w:tc>
                              <w:tc>
                                <w:tcPr>
                                  <w:tcW w:w="1417" w:type="dxa"/>
                                  <w:vAlign w:val="center"/>
                                </w:tcPr>
                                <w:p w14:paraId="774793AC"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477</w:t>
                                  </w:r>
                                </w:p>
                              </w:tc>
                            </w:tr>
                            <w:tr w:rsidR="005D095B" w14:paraId="1A91007F" w14:textId="77777777" w:rsidTr="00824CD6">
                              <w:trPr>
                                <w:trHeight w:val="227"/>
                              </w:trPr>
                              <w:tc>
                                <w:tcPr>
                                  <w:tcW w:w="1417" w:type="dxa"/>
                                  <w:vAlign w:val="center"/>
                                </w:tcPr>
                                <w:p w14:paraId="66B65AF5"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信義</w:t>
                                  </w:r>
                                </w:p>
                              </w:tc>
                              <w:tc>
                                <w:tcPr>
                                  <w:tcW w:w="1701" w:type="dxa"/>
                                  <w:vAlign w:val="center"/>
                                </w:tcPr>
                                <w:p w14:paraId="7CCC68D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12,956</w:t>
                                  </w:r>
                                </w:p>
                              </w:tc>
                              <w:tc>
                                <w:tcPr>
                                  <w:tcW w:w="1701" w:type="dxa"/>
                                  <w:vAlign w:val="center"/>
                                </w:tcPr>
                                <w:p w14:paraId="48DE8892"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12,280</w:t>
                                  </w:r>
                                </w:p>
                              </w:tc>
                              <w:tc>
                                <w:tcPr>
                                  <w:tcW w:w="1417" w:type="dxa"/>
                                  <w:vAlign w:val="center"/>
                                </w:tcPr>
                                <w:p w14:paraId="1C2A371C"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- 676</w:t>
                                  </w:r>
                                </w:p>
                              </w:tc>
                            </w:tr>
                            <w:tr w:rsidR="005D095B" w14:paraId="630EE9EB" w14:textId="77777777" w:rsidTr="00824CD6">
                              <w:trPr>
                                <w:trHeight w:val="227"/>
                              </w:trPr>
                              <w:tc>
                                <w:tcPr>
                                  <w:tcW w:w="1417" w:type="dxa"/>
                                  <w:vAlign w:val="center"/>
                                </w:tcPr>
                                <w:p w14:paraId="47CCBB03"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南港</w:t>
                                  </w:r>
                                </w:p>
                              </w:tc>
                              <w:tc>
                                <w:tcPr>
                                  <w:tcW w:w="1701" w:type="dxa"/>
                                  <w:vAlign w:val="center"/>
                                </w:tcPr>
                                <w:p w14:paraId="142F48BF"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9,249</w:t>
                                  </w:r>
                                </w:p>
                              </w:tc>
                              <w:tc>
                                <w:tcPr>
                                  <w:tcW w:w="1701" w:type="dxa"/>
                                  <w:vAlign w:val="center"/>
                                </w:tcPr>
                                <w:p w14:paraId="7506750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8,975</w:t>
                                  </w:r>
                                </w:p>
                              </w:tc>
                              <w:tc>
                                <w:tcPr>
                                  <w:tcW w:w="1417" w:type="dxa"/>
                                  <w:vAlign w:val="center"/>
                                </w:tcPr>
                                <w:p w14:paraId="13C40C0C"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- 274</w:t>
                                  </w:r>
                                </w:p>
                              </w:tc>
                            </w:tr>
                            <w:tr w:rsidR="005D095B" w14:paraId="681BC488" w14:textId="77777777" w:rsidTr="00824CD6">
                              <w:trPr>
                                <w:trHeight w:val="227"/>
                              </w:trPr>
                              <w:tc>
                                <w:tcPr>
                                  <w:tcW w:w="1417" w:type="dxa"/>
                                  <w:vAlign w:val="center"/>
                                </w:tcPr>
                                <w:p w14:paraId="4E30DA1A"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萬華</w:t>
                                  </w:r>
                                </w:p>
                              </w:tc>
                              <w:tc>
                                <w:tcPr>
                                  <w:tcW w:w="1701" w:type="dxa"/>
                                  <w:vAlign w:val="center"/>
                                </w:tcPr>
                                <w:p w14:paraId="432BE958"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10,806</w:t>
                                  </w:r>
                                </w:p>
                              </w:tc>
                              <w:tc>
                                <w:tcPr>
                                  <w:tcW w:w="1701" w:type="dxa"/>
                                  <w:vAlign w:val="center"/>
                                </w:tcPr>
                                <w:p w14:paraId="06A39CE7"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11,036</w:t>
                                  </w:r>
                                </w:p>
                              </w:tc>
                              <w:tc>
                                <w:tcPr>
                                  <w:tcW w:w="1417" w:type="dxa"/>
                                  <w:vAlign w:val="center"/>
                                </w:tcPr>
                                <w:p w14:paraId="4DC70BC8"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230</w:t>
                                  </w:r>
                                </w:p>
                              </w:tc>
                            </w:tr>
                            <w:tr w:rsidR="005D095B" w14:paraId="632CF4EA" w14:textId="77777777" w:rsidTr="00824CD6">
                              <w:trPr>
                                <w:trHeight w:val="227"/>
                              </w:trPr>
                              <w:tc>
                                <w:tcPr>
                                  <w:tcW w:w="1417" w:type="dxa"/>
                                  <w:tcBorders>
                                    <w:bottom w:val="single" w:sz="4" w:space="0" w:color="auto"/>
                                  </w:tcBorders>
                                  <w:vAlign w:val="center"/>
                                </w:tcPr>
                                <w:p w14:paraId="0C4F7D2F"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北投</w:t>
                                  </w:r>
                                </w:p>
                              </w:tc>
                              <w:tc>
                                <w:tcPr>
                                  <w:tcW w:w="1701" w:type="dxa"/>
                                  <w:tcBorders>
                                    <w:bottom w:val="single" w:sz="4" w:space="0" w:color="auto"/>
                                  </w:tcBorders>
                                  <w:vAlign w:val="center"/>
                                </w:tcPr>
                                <w:p w14:paraId="60823D81"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13,137</w:t>
                                  </w:r>
                                </w:p>
                              </w:tc>
                              <w:tc>
                                <w:tcPr>
                                  <w:tcW w:w="1701" w:type="dxa"/>
                                  <w:tcBorders>
                                    <w:bottom w:val="single" w:sz="4" w:space="0" w:color="auto"/>
                                  </w:tcBorders>
                                  <w:vAlign w:val="center"/>
                                </w:tcPr>
                                <w:p w14:paraId="7F7E5800"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18,215</w:t>
                                  </w:r>
                                </w:p>
                              </w:tc>
                              <w:tc>
                                <w:tcPr>
                                  <w:tcW w:w="1417" w:type="dxa"/>
                                  <w:tcBorders>
                                    <w:bottom w:val="single" w:sz="4" w:space="0" w:color="auto"/>
                                  </w:tcBorders>
                                  <w:vAlign w:val="center"/>
                                </w:tcPr>
                                <w:p w14:paraId="2D02E58C" w14:textId="77777777" w:rsidR="005D095B" w:rsidRDefault="005D095B" w:rsidP="00824CD6">
                                  <w:pPr>
                                    <w:spacing w:line="240" w:lineRule="exact"/>
                                    <w:jc w:val="right"/>
                                  </w:pPr>
                                  <w:r w:rsidRPr="0016034E">
                                    <w:rPr>
                                      <w:rFonts w:ascii="Arial Unicode MS" w:eastAsia="Arial Unicode MS" w:hAnsi="Arial Unicode MS" w:cs="Arial Unicode MS" w:hint="eastAsia"/>
                                      <w:color w:val="000000"/>
                                      <w:kern w:val="0"/>
                                      <w:szCs w:val="24"/>
                                    </w:rPr>
                                    <w:t>②</w:t>
                                  </w:r>
                                  <w:r>
                                    <w:rPr>
                                      <w:rFonts w:ascii="Arial Unicode MS" w:eastAsia="Arial Unicode MS" w:hAnsi="Arial Unicode MS" w:cs="Arial Unicode MS"/>
                                      <w:color w:val="000000"/>
                                      <w:kern w:val="0"/>
                                      <w:sz w:val="20"/>
                                      <w:szCs w:val="20"/>
                                    </w:rPr>
                                    <w:t xml:space="preserve">    </w:t>
                                  </w:r>
                                  <w:r w:rsidRPr="004E7EF3">
                                    <w:rPr>
                                      <w:rFonts w:ascii="標楷體" w:eastAsia="標楷體" w:hAnsi="標楷體" w:cs="新細明體" w:hint="eastAsia"/>
                                      <w:color w:val="000000"/>
                                      <w:kern w:val="0"/>
                                      <w:sz w:val="20"/>
                                      <w:szCs w:val="20"/>
                                    </w:rPr>
                                    <w:t>5,078</w:t>
                                  </w:r>
                                </w:p>
                              </w:tc>
                            </w:tr>
                            <w:tr w:rsidR="005D095B" w14:paraId="264502AE" w14:textId="77777777" w:rsidTr="00824CD6">
                              <w:trPr>
                                <w:trHeight w:val="227"/>
                              </w:trPr>
                              <w:tc>
                                <w:tcPr>
                                  <w:tcW w:w="6236" w:type="dxa"/>
                                  <w:gridSpan w:val="4"/>
                                  <w:tcBorders>
                                    <w:top w:val="single" w:sz="4" w:space="0" w:color="auto"/>
                                    <w:left w:val="nil"/>
                                    <w:bottom w:val="nil"/>
                                    <w:right w:val="nil"/>
                                  </w:tcBorders>
                                </w:tcPr>
                                <w:p w14:paraId="4EBC92AB" w14:textId="77777777" w:rsidR="005D095B" w:rsidRPr="004E7EF3" w:rsidRDefault="005D095B" w:rsidP="00ED75C9">
                                  <w:pPr>
                                    <w:spacing w:line="240" w:lineRule="exact"/>
                                    <w:ind w:leftChars="-50" w:left="-120"/>
                                    <w:jc w:val="both"/>
                                    <w:rPr>
                                      <w:rFonts w:ascii="標楷體" w:eastAsia="標楷體" w:hAnsi="標楷體"/>
                                      <w:sz w:val="18"/>
                                      <w:szCs w:val="18"/>
                                    </w:rPr>
                                  </w:pPr>
                                  <w:proofErr w:type="gramStart"/>
                                  <w:r w:rsidRPr="004E7EF3">
                                    <w:rPr>
                                      <w:rFonts w:ascii="標楷體" w:eastAsia="標楷體" w:hAnsi="標楷體" w:hint="eastAsia"/>
                                      <w:sz w:val="18"/>
                                      <w:szCs w:val="18"/>
                                    </w:rPr>
                                    <w:t>註</w:t>
                                  </w:r>
                                  <w:proofErr w:type="gramEnd"/>
                                  <w:r w:rsidRPr="004E7EF3">
                                    <w:rPr>
                                      <w:rFonts w:ascii="標楷體" w:eastAsia="標楷體" w:hAnsi="標楷體" w:hint="eastAsia"/>
                                      <w:sz w:val="18"/>
                                      <w:szCs w:val="18"/>
                                    </w:rPr>
                                    <w:t>：1.差異</w:t>
                                  </w:r>
                                  <w:proofErr w:type="gramStart"/>
                                  <w:r w:rsidRPr="004E7EF3">
                                    <w:rPr>
                                      <w:rFonts w:ascii="標楷體" w:eastAsia="標楷體" w:hAnsi="標楷體" w:hint="eastAsia"/>
                                      <w:sz w:val="18"/>
                                      <w:szCs w:val="18"/>
                                    </w:rPr>
                                    <w:t>數欄前</w:t>
                                  </w:r>
                                  <w:proofErr w:type="gramEnd"/>
                                  <w:r w:rsidRPr="004E7EF3">
                                    <w:rPr>
                                      <w:rFonts w:ascii="標楷體" w:eastAsia="標楷體" w:hAnsi="標楷體" w:hint="eastAsia"/>
                                      <w:sz w:val="18"/>
                                      <w:szCs w:val="18"/>
                                    </w:rPr>
                                    <w:t>段所植</w:t>
                                  </w:r>
                                  <w:r w:rsidRPr="004E7EF3">
                                    <w:rPr>
                                      <w:rFonts w:ascii="Arial Unicode MS" w:eastAsia="標楷體" w:hAnsi="Arial Unicode MS"/>
                                      <w:szCs w:val="24"/>
                                    </w:rPr>
                                    <w:t>①</w:t>
                                  </w:r>
                                  <w:r w:rsidRPr="004E7EF3">
                                    <w:rPr>
                                      <w:rFonts w:ascii="標楷體" w:eastAsia="標楷體" w:hAnsi="標楷體" w:hint="eastAsia"/>
                                      <w:sz w:val="18"/>
                                      <w:szCs w:val="18"/>
                                    </w:rPr>
                                    <w:t>~</w:t>
                                  </w:r>
                                  <w:r w:rsidRPr="004E7EF3">
                                    <w:rPr>
                                      <w:rFonts w:ascii="Arial Unicode MS" w:eastAsia="標楷體" w:hAnsi="Arial Unicode MS"/>
                                      <w:szCs w:val="24"/>
                                    </w:rPr>
                                    <w:t>③</w:t>
                                  </w:r>
                                  <w:r w:rsidRPr="004E7EF3">
                                    <w:rPr>
                                      <w:rFonts w:ascii="標楷體" w:eastAsia="標楷體" w:hAnsi="標楷體" w:hint="eastAsia"/>
                                      <w:sz w:val="18"/>
                                      <w:szCs w:val="18"/>
                                    </w:rPr>
                                    <w:t>，係表示差異數較多之前3個地區。</w:t>
                                  </w:r>
                                </w:p>
                                <w:p w14:paraId="335385E9" w14:textId="77777777" w:rsidR="005D095B" w:rsidRPr="0016034E" w:rsidRDefault="005D095B" w:rsidP="00ED75C9">
                                  <w:pPr>
                                    <w:spacing w:line="240" w:lineRule="exact"/>
                                    <w:ind w:leftChars="100" w:left="420" w:hangingChars="100" w:hanging="180"/>
                                    <w:jc w:val="both"/>
                                  </w:pPr>
                                  <w:r w:rsidRPr="004E7EF3">
                                    <w:rPr>
                                      <w:rFonts w:ascii="標楷體" w:eastAsia="標楷體" w:hAnsi="標楷體" w:hint="eastAsia"/>
                                      <w:sz w:val="18"/>
                                      <w:szCs w:val="18"/>
                                    </w:rPr>
                                    <w:t>2.資料來源：整理自台灣電力股份有限公司與公園路燈工程管理處提供資料。</w:t>
                                  </w:r>
                                </w:p>
                              </w:tc>
                            </w:tr>
                          </w:tbl>
                          <w:p w14:paraId="4084882E" w14:textId="77777777" w:rsidR="005D095B" w:rsidRDefault="005D095B" w:rsidP="005D095B">
                            <w:pPr>
                              <w:spacing w:line="240" w:lineRule="exact"/>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B0E420" id="文字方塊 86" o:spid="_x0000_s1076" type="#_x0000_t202" style="position:absolute;left:0;text-align:left;margin-left:177.3pt;margin-top:69.25pt;width:320.25pt;height:279.1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" fillcolor="window" stroked="f" strokeweight=".5pt">
                <v:textbox>
                  <w:txbxContent>
                    <w:tbl>
                      <w:tblPr>
                        <w:tblStyle w:val="570"/>
                        <w:tblW w:w="0" w:type="auto"/>
                        <w:tblLook w:val="04A0" w:firstRow="1" w:lastRow="0" w:firstColumn="1" w:lastColumn="0" w:noHBand="0" w:noVBand="1"/>
                      </w:tblPr>
                      <w:tblGrid>
                        <w:gridCol w:w="1381"/>
                        <w:gridCol w:w="1674"/>
                        <w:gridCol w:w="1674"/>
                        <w:gridCol w:w="1393"/>
                      </w:tblGrid>
                      <w:tr w:rsidR="005D095B" w14:paraId="7C964AE4" w14:textId="77777777" w:rsidTr="00824CD6">
                        <w:trPr>
                          <w:trHeight w:val="227"/>
                        </w:trPr>
                        <w:tc>
                          <w:tcPr>
                            <w:tcW w:w="6236" w:type="dxa"/>
                            <w:gridSpan w:val="4"/>
                            <w:tcBorders>
                              <w:top w:val="nil"/>
                              <w:left w:val="nil"/>
                              <w:bottom w:val="nil"/>
                              <w:right w:val="nil"/>
                            </w:tcBorders>
                          </w:tcPr>
                          <w:p w14:paraId="1D08FB1D" w14:textId="77777777" w:rsidR="005D095B" w:rsidRDefault="005D095B" w:rsidP="00ED75C9">
                            <w:pPr>
                              <w:spacing w:line="240" w:lineRule="exact"/>
                              <w:ind w:left="673" w:hangingChars="280" w:hanging="673"/>
                              <w:jc w:val="both"/>
                            </w:pPr>
                            <w:r w:rsidRPr="004E7EF3">
                              <w:rPr>
                                <w:rFonts w:ascii="標楷體" w:eastAsia="標楷體" w:hAnsi="標楷體" w:hint="eastAsia"/>
                                <w:b/>
                                <w:bCs/>
                              </w:rPr>
                              <w:t>表3　台電公司列管「</w:t>
                            </w:r>
                            <w:proofErr w:type="gramStart"/>
                            <w:r w:rsidRPr="004E7EF3">
                              <w:rPr>
                                <w:rFonts w:ascii="標楷體" w:eastAsia="標楷體" w:hAnsi="標楷體" w:hint="eastAsia"/>
                                <w:b/>
                                <w:bCs/>
                              </w:rPr>
                              <w:t>包燈</w:t>
                            </w:r>
                            <w:proofErr w:type="gramEnd"/>
                            <w:r w:rsidRPr="004E7EF3">
                              <w:rPr>
                                <w:rFonts w:ascii="標楷體" w:eastAsia="標楷體" w:hAnsi="標楷體" w:hint="eastAsia"/>
                                <w:b/>
                                <w:bCs/>
                              </w:rPr>
                              <w:t>」計價公用路燈數與公園處經管數之差異情形</w:t>
                            </w:r>
                          </w:p>
                        </w:tc>
                      </w:tr>
                      <w:tr w:rsidR="005D095B" w14:paraId="79E6CA32" w14:textId="77777777" w:rsidTr="00824CD6">
                        <w:trPr>
                          <w:trHeight w:val="227"/>
                        </w:trPr>
                        <w:tc>
                          <w:tcPr>
                            <w:tcW w:w="6236" w:type="dxa"/>
                            <w:gridSpan w:val="4"/>
                            <w:tcBorders>
                              <w:top w:val="nil"/>
                              <w:left w:val="nil"/>
                              <w:bottom w:val="single" w:sz="4" w:space="0" w:color="auto"/>
                              <w:right w:val="nil"/>
                            </w:tcBorders>
                          </w:tcPr>
                          <w:p w14:paraId="2CC41859" w14:textId="77777777" w:rsidR="005D095B" w:rsidRDefault="005D095B" w:rsidP="00ED75C9">
                            <w:pPr>
                              <w:spacing w:line="240" w:lineRule="exact"/>
                              <w:ind w:leftChars="50" w:left="120"/>
                              <w:jc w:val="right"/>
                            </w:pPr>
                            <w:r w:rsidRPr="004E7EF3">
                              <w:rPr>
                                <w:rFonts w:ascii="標楷體" w:eastAsia="標楷體" w:hAnsi="標楷體" w:cs="新細明體" w:hint="eastAsia"/>
                                <w:color w:val="000000"/>
                                <w:kern w:val="0"/>
                                <w:sz w:val="20"/>
                                <w:szCs w:val="20"/>
                              </w:rPr>
                              <w:t>單位：</w:t>
                            </w:r>
                            <w:proofErr w:type="gramStart"/>
                            <w:r w:rsidRPr="004E7EF3">
                              <w:rPr>
                                <w:rFonts w:ascii="標楷體" w:eastAsia="標楷體" w:hAnsi="標楷體" w:cs="新細明體" w:hint="eastAsia"/>
                                <w:color w:val="000000"/>
                                <w:kern w:val="0"/>
                                <w:sz w:val="20"/>
                                <w:szCs w:val="20"/>
                              </w:rPr>
                              <w:t>盞</w:t>
                            </w:r>
                            <w:proofErr w:type="gramEnd"/>
                          </w:p>
                        </w:tc>
                      </w:tr>
                      <w:tr w:rsidR="005D095B" w14:paraId="49590206" w14:textId="77777777" w:rsidTr="00824CD6">
                        <w:trPr>
                          <w:trHeight w:val="227"/>
                        </w:trPr>
                        <w:tc>
                          <w:tcPr>
                            <w:tcW w:w="1417" w:type="dxa"/>
                            <w:tcBorders>
                              <w:top w:val="single" w:sz="4" w:space="0" w:color="auto"/>
                            </w:tcBorders>
                            <w:vAlign w:val="center"/>
                          </w:tcPr>
                          <w:p w14:paraId="25E7E563"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地區</w:t>
                            </w:r>
                          </w:p>
                        </w:tc>
                        <w:tc>
                          <w:tcPr>
                            <w:tcW w:w="1701" w:type="dxa"/>
                            <w:tcBorders>
                              <w:top w:val="single" w:sz="4" w:space="0" w:color="auto"/>
                            </w:tcBorders>
                            <w:vAlign w:val="center"/>
                          </w:tcPr>
                          <w:p w14:paraId="4C57DF4E" w14:textId="77777777" w:rsidR="005D095B" w:rsidRPr="004E7EF3" w:rsidRDefault="005D095B" w:rsidP="00824CD6">
                            <w:pPr>
                              <w:widowControl/>
                              <w:spacing w:line="240" w:lineRule="exact"/>
                              <w:jc w:val="center"/>
                              <w:rPr>
                                <w:rFonts w:ascii="標楷體" w:eastAsia="標楷體" w:hAnsi="標楷體" w:cs="新細明體"/>
                                <w:color w:val="000000"/>
                                <w:kern w:val="0"/>
                                <w:sz w:val="20"/>
                                <w:szCs w:val="20"/>
                              </w:rPr>
                            </w:pPr>
                            <w:r w:rsidRPr="004E7EF3">
                              <w:rPr>
                                <w:rFonts w:ascii="標楷體" w:eastAsia="標楷體" w:hAnsi="標楷體" w:cs="新細明體" w:hint="eastAsia"/>
                                <w:color w:val="000000"/>
                                <w:kern w:val="0"/>
                                <w:sz w:val="20"/>
                                <w:szCs w:val="20"/>
                              </w:rPr>
                              <w:t>台電公司</w:t>
                            </w:r>
                          </w:p>
                          <w:p w14:paraId="621E9318" w14:textId="77777777" w:rsidR="005D095B" w:rsidRPr="004E7EF3" w:rsidRDefault="005D095B" w:rsidP="00824CD6">
                            <w:pPr>
                              <w:widowControl/>
                              <w:spacing w:line="240" w:lineRule="exact"/>
                              <w:jc w:val="center"/>
                              <w:rPr>
                                <w:rFonts w:ascii="標楷體" w:eastAsia="標楷體" w:hAnsi="標楷體" w:cs="新細明體"/>
                                <w:color w:val="000000"/>
                                <w:kern w:val="0"/>
                                <w:sz w:val="20"/>
                                <w:szCs w:val="20"/>
                              </w:rPr>
                            </w:pPr>
                            <w:r w:rsidRPr="004E7EF3">
                              <w:rPr>
                                <w:rFonts w:ascii="標楷體" w:eastAsia="標楷體" w:hAnsi="標楷體" w:cs="新細明體" w:hint="eastAsia"/>
                                <w:color w:val="000000"/>
                                <w:kern w:val="0"/>
                                <w:sz w:val="20"/>
                                <w:szCs w:val="20"/>
                              </w:rPr>
                              <w:t>列管數量</w:t>
                            </w:r>
                          </w:p>
                          <w:p w14:paraId="49FDDECD"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（A</w:t>
                            </w:r>
                            <w:r w:rsidRPr="004E7EF3">
                              <w:rPr>
                                <w:rFonts w:ascii="標楷體" w:eastAsia="標楷體" w:hAnsi="標楷體" w:cs="新細明體"/>
                                <w:color w:val="000000"/>
                                <w:kern w:val="0"/>
                                <w:sz w:val="20"/>
                                <w:szCs w:val="20"/>
                              </w:rPr>
                              <w:t>）</w:t>
                            </w:r>
                          </w:p>
                        </w:tc>
                        <w:tc>
                          <w:tcPr>
                            <w:tcW w:w="1701" w:type="dxa"/>
                            <w:tcBorders>
                              <w:top w:val="single" w:sz="4" w:space="0" w:color="auto"/>
                            </w:tcBorders>
                            <w:vAlign w:val="center"/>
                          </w:tcPr>
                          <w:p w14:paraId="2B594B92" w14:textId="77777777" w:rsidR="005D095B" w:rsidRPr="004E7EF3" w:rsidRDefault="005D095B" w:rsidP="00824CD6">
                            <w:pPr>
                              <w:widowControl/>
                              <w:spacing w:line="240" w:lineRule="exact"/>
                              <w:jc w:val="center"/>
                              <w:rPr>
                                <w:rFonts w:ascii="標楷體" w:eastAsia="標楷體" w:hAnsi="標楷體" w:cs="新細明體"/>
                                <w:color w:val="000000"/>
                                <w:kern w:val="0"/>
                                <w:sz w:val="20"/>
                                <w:szCs w:val="20"/>
                              </w:rPr>
                            </w:pPr>
                            <w:r w:rsidRPr="004E7EF3">
                              <w:rPr>
                                <w:rFonts w:ascii="標楷體" w:eastAsia="標楷體" w:hAnsi="標楷體" w:cs="新細明體" w:hint="eastAsia"/>
                                <w:color w:val="000000"/>
                                <w:kern w:val="0"/>
                                <w:sz w:val="20"/>
                                <w:szCs w:val="20"/>
                              </w:rPr>
                              <w:t>公園處</w:t>
                            </w:r>
                          </w:p>
                          <w:p w14:paraId="1BB4E580" w14:textId="77777777" w:rsidR="005D095B" w:rsidRPr="004E7EF3" w:rsidRDefault="005D095B" w:rsidP="00824CD6">
                            <w:pPr>
                              <w:widowControl/>
                              <w:spacing w:line="240" w:lineRule="exact"/>
                              <w:jc w:val="center"/>
                              <w:rPr>
                                <w:rFonts w:ascii="標楷體" w:eastAsia="標楷體" w:hAnsi="標楷體" w:cs="新細明體"/>
                                <w:color w:val="000000"/>
                                <w:kern w:val="0"/>
                                <w:sz w:val="20"/>
                                <w:szCs w:val="20"/>
                              </w:rPr>
                            </w:pPr>
                            <w:r w:rsidRPr="004E7EF3">
                              <w:rPr>
                                <w:rFonts w:ascii="標楷體" w:eastAsia="標楷體" w:hAnsi="標楷體" w:cs="新細明體" w:hint="eastAsia"/>
                                <w:color w:val="000000"/>
                                <w:kern w:val="0"/>
                                <w:sz w:val="20"/>
                                <w:szCs w:val="20"/>
                              </w:rPr>
                              <w:t>列管數量</w:t>
                            </w:r>
                          </w:p>
                          <w:p w14:paraId="05D52197"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（B</w:t>
                            </w:r>
                            <w:r w:rsidRPr="004E7EF3">
                              <w:rPr>
                                <w:rFonts w:ascii="標楷體" w:eastAsia="標楷體" w:hAnsi="標楷體" w:cs="新細明體"/>
                                <w:color w:val="000000"/>
                                <w:kern w:val="0"/>
                                <w:sz w:val="20"/>
                                <w:szCs w:val="20"/>
                              </w:rPr>
                              <w:t>）</w:t>
                            </w:r>
                          </w:p>
                        </w:tc>
                        <w:tc>
                          <w:tcPr>
                            <w:tcW w:w="1417" w:type="dxa"/>
                            <w:tcBorders>
                              <w:top w:val="single" w:sz="4" w:space="0" w:color="auto"/>
                            </w:tcBorders>
                            <w:vAlign w:val="center"/>
                          </w:tcPr>
                          <w:p w14:paraId="5C765946" w14:textId="77777777" w:rsidR="005D095B" w:rsidRPr="004E7EF3" w:rsidRDefault="005D095B" w:rsidP="00824CD6">
                            <w:pPr>
                              <w:widowControl/>
                              <w:spacing w:line="240" w:lineRule="exact"/>
                              <w:jc w:val="center"/>
                              <w:rPr>
                                <w:rFonts w:ascii="標楷體" w:eastAsia="標楷體" w:hAnsi="標楷體" w:cs="新細明體"/>
                                <w:color w:val="000000"/>
                                <w:kern w:val="0"/>
                                <w:sz w:val="20"/>
                                <w:szCs w:val="20"/>
                              </w:rPr>
                            </w:pPr>
                            <w:r w:rsidRPr="004E7EF3">
                              <w:rPr>
                                <w:rFonts w:ascii="標楷體" w:eastAsia="標楷體" w:hAnsi="標楷體" w:cs="新細明體" w:hint="eastAsia"/>
                                <w:color w:val="000000"/>
                                <w:kern w:val="0"/>
                                <w:sz w:val="20"/>
                                <w:szCs w:val="20"/>
                              </w:rPr>
                              <w:t>差異數</w:t>
                            </w:r>
                          </w:p>
                          <w:p w14:paraId="434BADD8"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（B</w:t>
                            </w:r>
                            <w:r w:rsidRPr="004E7EF3">
                              <w:rPr>
                                <w:rFonts w:ascii="標楷體" w:eastAsia="標楷體" w:hAnsi="標楷體" w:cs="新細明體"/>
                                <w:color w:val="000000"/>
                                <w:kern w:val="0"/>
                                <w:sz w:val="20"/>
                                <w:szCs w:val="20"/>
                              </w:rPr>
                              <w:t>-A）</w:t>
                            </w:r>
                          </w:p>
                        </w:tc>
                      </w:tr>
                      <w:tr w:rsidR="005D095B" w14:paraId="3D02181E" w14:textId="77777777" w:rsidTr="00824CD6">
                        <w:trPr>
                          <w:trHeight w:val="227"/>
                        </w:trPr>
                        <w:tc>
                          <w:tcPr>
                            <w:tcW w:w="1417" w:type="dxa"/>
                            <w:vAlign w:val="center"/>
                          </w:tcPr>
                          <w:p w14:paraId="76AF6FC0" w14:textId="77777777" w:rsidR="005D095B" w:rsidRDefault="005D095B" w:rsidP="00824CD6">
                            <w:pPr>
                              <w:spacing w:line="240" w:lineRule="exact"/>
                              <w:jc w:val="center"/>
                            </w:pPr>
                            <w:r w:rsidRPr="004E7EF3">
                              <w:rPr>
                                <w:rFonts w:ascii="標楷體" w:eastAsia="標楷體" w:hAnsi="標楷體" w:cs="新細明體" w:hint="eastAsia"/>
                                <w:b/>
                                <w:bCs/>
                                <w:color w:val="000000"/>
                                <w:kern w:val="0"/>
                                <w:sz w:val="20"/>
                                <w:szCs w:val="20"/>
                              </w:rPr>
                              <w:t>合計</w:t>
                            </w:r>
                          </w:p>
                        </w:tc>
                        <w:tc>
                          <w:tcPr>
                            <w:tcW w:w="1701" w:type="dxa"/>
                            <w:vAlign w:val="center"/>
                          </w:tcPr>
                          <w:p w14:paraId="435F1535" w14:textId="77777777" w:rsidR="005D095B" w:rsidRDefault="005D095B" w:rsidP="00824CD6">
                            <w:pPr>
                              <w:spacing w:line="240" w:lineRule="exact"/>
                              <w:jc w:val="right"/>
                            </w:pPr>
                            <w:r w:rsidRPr="004E7EF3">
                              <w:rPr>
                                <w:rFonts w:ascii="標楷體" w:eastAsia="標楷體" w:hAnsi="標楷體" w:cs="新細明體" w:hint="eastAsia"/>
                                <w:b/>
                                <w:bCs/>
                                <w:color w:val="000000"/>
                                <w:kern w:val="0"/>
                                <w:sz w:val="20"/>
                                <w:szCs w:val="20"/>
                              </w:rPr>
                              <w:t>168,199</w:t>
                            </w:r>
                          </w:p>
                        </w:tc>
                        <w:tc>
                          <w:tcPr>
                            <w:tcW w:w="1701" w:type="dxa"/>
                            <w:vAlign w:val="center"/>
                          </w:tcPr>
                          <w:p w14:paraId="31BD60DB" w14:textId="77777777" w:rsidR="005D095B" w:rsidRDefault="005D095B" w:rsidP="00824CD6">
                            <w:pPr>
                              <w:spacing w:line="240" w:lineRule="exact"/>
                              <w:jc w:val="right"/>
                            </w:pPr>
                            <w:r w:rsidRPr="004E7EF3">
                              <w:rPr>
                                <w:rFonts w:ascii="標楷體" w:eastAsia="標楷體" w:hAnsi="標楷體" w:cs="新細明體" w:hint="eastAsia"/>
                                <w:b/>
                                <w:bCs/>
                                <w:color w:val="000000"/>
                                <w:kern w:val="0"/>
                                <w:sz w:val="20"/>
                                <w:szCs w:val="20"/>
                              </w:rPr>
                              <w:t>163,981</w:t>
                            </w:r>
                          </w:p>
                        </w:tc>
                        <w:tc>
                          <w:tcPr>
                            <w:tcW w:w="1417" w:type="dxa"/>
                            <w:vAlign w:val="center"/>
                          </w:tcPr>
                          <w:p w14:paraId="493979CA" w14:textId="77777777" w:rsidR="005D095B" w:rsidRDefault="005D095B" w:rsidP="00824CD6">
                            <w:pPr>
                              <w:spacing w:line="240" w:lineRule="exact"/>
                              <w:jc w:val="right"/>
                            </w:pPr>
                            <w:r w:rsidRPr="004E7EF3">
                              <w:rPr>
                                <w:rFonts w:ascii="標楷體" w:eastAsia="標楷體" w:hAnsi="標楷體" w:cs="新細明體" w:hint="eastAsia"/>
                                <w:b/>
                                <w:bCs/>
                                <w:color w:val="000000"/>
                                <w:kern w:val="0"/>
                                <w:sz w:val="20"/>
                                <w:szCs w:val="20"/>
                              </w:rPr>
                              <w:t>- 4,218</w:t>
                            </w:r>
                          </w:p>
                        </w:tc>
                      </w:tr>
                      <w:tr w:rsidR="005D095B" w14:paraId="4BA620E9" w14:textId="77777777" w:rsidTr="00824CD6">
                        <w:trPr>
                          <w:trHeight w:val="227"/>
                        </w:trPr>
                        <w:tc>
                          <w:tcPr>
                            <w:tcW w:w="1417" w:type="dxa"/>
                            <w:vAlign w:val="center"/>
                          </w:tcPr>
                          <w:p w14:paraId="146419A8"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士林</w:t>
                            </w:r>
                          </w:p>
                        </w:tc>
                        <w:tc>
                          <w:tcPr>
                            <w:tcW w:w="1701" w:type="dxa"/>
                            <w:vAlign w:val="center"/>
                          </w:tcPr>
                          <w:p w14:paraId="5F3904F1"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29,397</w:t>
                            </w:r>
                          </w:p>
                        </w:tc>
                        <w:tc>
                          <w:tcPr>
                            <w:tcW w:w="1701" w:type="dxa"/>
                            <w:vAlign w:val="center"/>
                          </w:tcPr>
                          <w:p w14:paraId="297F7342"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22,355</w:t>
                            </w:r>
                          </w:p>
                        </w:tc>
                        <w:tc>
                          <w:tcPr>
                            <w:tcW w:w="1417" w:type="dxa"/>
                            <w:vAlign w:val="center"/>
                          </w:tcPr>
                          <w:p w14:paraId="19757F6C" w14:textId="77777777" w:rsidR="005D095B" w:rsidRDefault="005D095B" w:rsidP="00824CD6">
                            <w:pPr>
                              <w:spacing w:line="240" w:lineRule="exact"/>
                              <w:jc w:val="right"/>
                            </w:pPr>
                            <w:r w:rsidRPr="0016034E">
                              <w:rPr>
                                <w:rFonts w:ascii="Arial Unicode MS" w:eastAsia="Arial Unicode MS" w:hAnsi="Arial Unicode MS" w:cs="Arial Unicode MS" w:hint="eastAsia"/>
                                <w:color w:val="000000"/>
                                <w:kern w:val="0"/>
                                <w:szCs w:val="24"/>
                              </w:rPr>
                              <w:t>①</w:t>
                            </w:r>
                            <w:r>
                              <w:rPr>
                                <w:rFonts w:ascii="Arial Unicode MS" w:eastAsia="Arial Unicode MS" w:hAnsi="Arial Unicode MS" w:cs="Arial Unicode MS"/>
                                <w:color w:val="000000"/>
                                <w:kern w:val="0"/>
                                <w:sz w:val="20"/>
                                <w:szCs w:val="20"/>
                              </w:rPr>
                              <w:t xml:space="preserve">  </w:t>
                            </w:r>
                            <w:r w:rsidRPr="004E7EF3">
                              <w:rPr>
                                <w:rFonts w:ascii="標楷體" w:eastAsia="標楷體" w:hAnsi="標楷體" w:cs="新細明體" w:hint="eastAsia"/>
                                <w:color w:val="000000"/>
                                <w:kern w:val="0"/>
                                <w:sz w:val="20"/>
                                <w:szCs w:val="20"/>
                              </w:rPr>
                              <w:t>- 7,042</w:t>
                            </w:r>
                          </w:p>
                        </w:tc>
                      </w:tr>
                      <w:tr w:rsidR="005D095B" w14:paraId="12F8A57C" w14:textId="77777777" w:rsidTr="00824CD6">
                        <w:trPr>
                          <w:trHeight w:val="227"/>
                        </w:trPr>
                        <w:tc>
                          <w:tcPr>
                            <w:tcW w:w="1417" w:type="dxa"/>
                            <w:vAlign w:val="center"/>
                          </w:tcPr>
                          <w:p w14:paraId="3F4959D8"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大同</w:t>
                            </w:r>
                          </w:p>
                        </w:tc>
                        <w:tc>
                          <w:tcPr>
                            <w:tcW w:w="1701" w:type="dxa"/>
                            <w:vAlign w:val="center"/>
                          </w:tcPr>
                          <w:p w14:paraId="7C088D1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7,717</w:t>
                            </w:r>
                          </w:p>
                        </w:tc>
                        <w:tc>
                          <w:tcPr>
                            <w:tcW w:w="1701" w:type="dxa"/>
                            <w:vAlign w:val="center"/>
                          </w:tcPr>
                          <w:p w14:paraId="6F1941C2"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7,932</w:t>
                            </w:r>
                          </w:p>
                        </w:tc>
                        <w:tc>
                          <w:tcPr>
                            <w:tcW w:w="1417" w:type="dxa"/>
                            <w:vAlign w:val="center"/>
                          </w:tcPr>
                          <w:p w14:paraId="36FC954E"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215</w:t>
                            </w:r>
                          </w:p>
                        </w:tc>
                      </w:tr>
                      <w:tr w:rsidR="005D095B" w14:paraId="52819CC6" w14:textId="77777777" w:rsidTr="00824CD6">
                        <w:trPr>
                          <w:trHeight w:val="227"/>
                        </w:trPr>
                        <w:tc>
                          <w:tcPr>
                            <w:tcW w:w="1417" w:type="dxa"/>
                            <w:vAlign w:val="center"/>
                          </w:tcPr>
                          <w:p w14:paraId="67F138D9"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大安</w:t>
                            </w:r>
                          </w:p>
                        </w:tc>
                        <w:tc>
                          <w:tcPr>
                            <w:tcW w:w="1701" w:type="dxa"/>
                            <w:vAlign w:val="center"/>
                          </w:tcPr>
                          <w:p w14:paraId="2C1EBC8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15,725</w:t>
                            </w:r>
                          </w:p>
                        </w:tc>
                        <w:tc>
                          <w:tcPr>
                            <w:tcW w:w="1701" w:type="dxa"/>
                            <w:vAlign w:val="center"/>
                          </w:tcPr>
                          <w:p w14:paraId="3232EC12"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15,580</w:t>
                            </w:r>
                          </w:p>
                        </w:tc>
                        <w:tc>
                          <w:tcPr>
                            <w:tcW w:w="1417" w:type="dxa"/>
                            <w:vAlign w:val="center"/>
                          </w:tcPr>
                          <w:p w14:paraId="6697396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w:t>
                            </w:r>
                            <w:r w:rsidRPr="004E7EF3">
                              <w:rPr>
                                <w:rFonts w:ascii="標楷體" w:eastAsia="標楷體" w:hAnsi="標楷體" w:cs="新細明體"/>
                                <w:color w:val="000000"/>
                                <w:kern w:val="0"/>
                                <w:sz w:val="20"/>
                                <w:szCs w:val="20"/>
                              </w:rPr>
                              <w:t xml:space="preserve"> </w:t>
                            </w:r>
                            <w:r w:rsidRPr="004E7EF3">
                              <w:rPr>
                                <w:rFonts w:ascii="標楷體" w:eastAsia="標楷體" w:hAnsi="標楷體" w:cs="新細明體" w:hint="eastAsia"/>
                                <w:color w:val="000000"/>
                                <w:kern w:val="0"/>
                                <w:sz w:val="20"/>
                                <w:szCs w:val="20"/>
                              </w:rPr>
                              <w:t>145</w:t>
                            </w:r>
                          </w:p>
                        </w:tc>
                      </w:tr>
                      <w:tr w:rsidR="005D095B" w14:paraId="5996CAD3" w14:textId="77777777" w:rsidTr="00824CD6">
                        <w:trPr>
                          <w:trHeight w:val="227"/>
                        </w:trPr>
                        <w:tc>
                          <w:tcPr>
                            <w:tcW w:w="1417" w:type="dxa"/>
                            <w:vAlign w:val="center"/>
                          </w:tcPr>
                          <w:p w14:paraId="516843E7"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中山</w:t>
                            </w:r>
                          </w:p>
                        </w:tc>
                        <w:tc>
                          <w:tcPr>
                            <w:tcW w:w="1701" w:type="dxa"/>
                            <w:vAlign w:val="center"/>
                          </w:tcPr>
                          <w:p w14:paraId="2801C4F1"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17,102</w:t>
                            </w:r>
                          </w:p>
                        </w:tc>
                        <w:tc>
                          <w:tcPr>
                            <w:tcW w:w="1701" w:type="dxa"/>
                            <w:vAlign w:val="center"/>
                          </w:tcPr>
                          <w:p w14:paraId="66ED2B17"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14,403</w:t>
                            </w:r>
                          </w:p>
                        </w:tc>
                        <w:tc>
                          <w:tcPr>
                            <w:tcW w:w="1417" w:type="dxa"/>
                            <w:vAlign w:val="center"/>
                          </w:tcPr>
                          <w:p w14:paraId="339AED85" w14:textId="77777777" w:rsidR="005D095B" w:rsidRDefault="005D095B" w:rsidP="00824CD6">
                            <w:pPr>
                              <w:spacing w:line="240" w:lineRule="exact"/>
                              <w:jc w:val="right"/>
                            </w:pPr>
                            <w:r w:rsidRPr="0016034E">
                              <w:rPr>
                                <w:rFonts w:ascii="Arial Unicode MS" w:eastAsia="Arial Unicode MS" w:hAnsi="Arial Unicode MS" w:cs="Arial Unicode MS" w:hint="eastAsia"/>
                                <w:color w:val="000000"/>
                                <w:kern w:val="0"/>
                                <w:szCs w:val="24"/>
                              </w:rPr>
                              <w:t>③</w:t>
                            </w:r>
                            <w:r>
                              <w:rPr>
                                <w:rFonts w:ascii="Arial Unicode MS" w:eastAsia="Arial Unicode MS" w:hAnsi="Arial Unicode MS" w:cs="Arial Unicode MS"/>
                                <w:color w:val="000000"/>
                                <w:kern w:val="0"/>
                                <w:sz w:val="20"/>
                                <w:szCs w:val="20"/>
                              </w:rPr>
                              <w:t xml:space="preserve">  </w:t>
                            </w:r>
                            <w:r w:rsidRPr="004E7EF3">
                              <w:rPr>
                                <w:rFonts w:ascii="標楷體" w:eastAsia="標楷體" w:hAnsi="標楷體" w:cs="新細明體" w:hint="eastAsia"/>
                                <w:color w:val="000000"/>
                                <w:kern w:val="0"/>
                                <w:sz w:val="20"/>
                                <w:szCs w:val="20"/>
                              </w:rPr>
                              <w:t>- 2,699</w:t>
                            </w:r>
                          </w:p>
                        </w:tc>
                      </w:tr>
                      <w:tr w:rsidR="005D095B" w14:paraId="058FA4A9" w14:textId="77777777" w:rsidTr="00824CD6">
                        <w:trPr>
                          <w:trHeight w:val="227"/>
                        </w:trPr>
                        <w:tc>
                          <w:tcPr>
                            <w:tcW w:w="1417" w:type="dxa"/>
                            <w:vAlign w:val="center"/>
                          </w:tcPr>
                          <w:p w14:paraId="08EFF3BF"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中正</w:t>
                            </w:r>
                          </w:p>
                        </w:tc>
                        <w:tc>
                          <w:tcPr>
                            <w:tcW w:w="1701" w:type="dxa"/>
                            <w:vAlign w:val="center"/>
                          </w:tcPr>
                          <w:p w14:paraId="786699DC"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10,497</w:t>
                            </w:r>
                          </w:p>
                        </w:tc>
                        <w:tc>
                          <w:tcPr>
                            <w:tcW w:w="1701" w:type="dxa"/>
                            <w:vAlign w:val="center"/>
                          </w:tcPr>
                          <w:p w14:paraId="132984F6"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10,565</w:t>
                            </w:r>
                          </w:p>
                        </w:tc>
                        <w:tc>
                          <w:tcPr>
                            <w:tcW w:w="1417" w:type="dxa"/>
                            <w:vAlign w:val="center"/>
                          </w:tcPr>
                          <w:p w14:paraId="3ADE848B"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68</w:t>
                            </w:r>
                          </w:p>
                        </w:tc>
                      </w:tr>
                      <w:tr w:rsidR="005D095B" w14:paraId="6F6280B8" w14:textId="77777777" w:rsidTr="00824CD6">
                        <w:trPr>
                          <w:trHeight w:val="227"/>
                        </w:trPr>
                        <w:tc>
                          <w:tcPr>
                            <w:tcW w:w="1417" w:type="dxa"/>
                            <w:vAlign w:val="center"/>
                          </w:tcPr>
                          <w:p w14:paraId="72ACAAE7"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內湖</w:t>
                            </w:r>
                          </w:p>
                        </w:tc>
                        <w:tc>
                          <w:tcPr>
                            <w:tcW w:w="1701" w:type="dxa"/>
                            <w:vAlign w:val="center"/>
                          </w:tcPr>
                          <w:p w14:paraId="65255302"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16,276</w:t>
                            </w:r>
                          </w:p>
                        </w:tc>
                        <w:tc>
                          <w:tcPr>
                            <w:tcW w:w="1701" w:type="dxa"/>
                            <w:vAlign w:val="center"/>
                          </w:tcPr>
                          <w:p w14:paraId="63EE4D90"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16,343</w:t>
                            </w:r>
                          </w:p>
                        </w:tc>
                        <w:tc>
                          <w:tcPr>
                            <w:tcW w:w="1417" w:type="dxa"/>
                            <w:vAlign w:val="center"/>
                          </w:tcPr>
                          <w:p w14:paraId="48228559"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67</w:t>
                            </w:r>
                          </w:p>
                        </w:tc>
                      </w:tr>
                      <w:tr w:rsidR="005D095B" w14:paraId="17EC4961" w14:textId="77777777" w:rsidTr="00824CD6">
                        <w:trPr>
                          <w:trHeight w:val="227"/>
                        </w:trPr>
                        <w:tc>
                          <w:tcPr>
                            <w:tcW w:w="1417" w:type="dxa"/>
                            <w:vAlign w:val="center"/>
                          </w:tcPr>
                          <w:p w14:paraId="30F1076F"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文山</w:t>
                            </w:r>
                          </w:p>
                        </w:tc>
                        <w:tc>
                          <w:tcPr>
                            <w:tcW w:w="1701" w:type="dxa"/>
                            <w:vAlign w:val="center"/>
                          </w:tcPr>
                          <w:p w14:paraId="29B6F91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15,826</w:t>
                            </w:r>
                          </w:p>
                        </w:tc>
                        <w:tc>
                          <w:tcPr>
                            <w:tcW w:w="1701" w:type="dxa"/>
                            <w:vAlign w:val="center"/>
                          </w:tcPr>
                          <w:p w14:paraId="6B7E403E"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16,309</w:t>
                            </w:r>
                          </w:p>
                        </w:tc>
                        <w:tc>
                          <w:tcPr>
                            <w:tcW w:w="1417" w:type="dxa"/>
                            <w:vAlign w:val="center"/>
                          </w:tcPr>
                          <w:p w14:paraId="65736B67"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483</w:t>
                            </w:r>
                          </w:p>
                        </w:tc>
                      </w:tr>
                      <w:tr w:rsidR="005D095B" w14:paraId="0FF936C2" w14:textId="77777777" w:rsidTr="00824CD6">
                        <w:trPr>
                          <w:trHeight w:val="227"/>
                        </w:trPr>
                        <w:tc>
                          <w:tcPr>
                            <w:tcW w:w="1417" w:type="dxa"/>
                            <w:vAlign w:val="center"/>
                          </w:tcPr>
                          <w:p w14:paraId="5EC7C47C"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松山</w:t>
                            </w:r>
                          </w:p>
                        </w:tc>
                        <w:tc>
                          <w:tcPr>
                            <w:tcW w:w="1701" w:type="dxa"/>
                            <w:vAlign w:val="center"/>
                          </w:tcPr>
                          <w:p w14:paraId="30C9B65E"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9,511</w:t>
                            </w:r>
                          </w:p>
                        </w:tc>
                        <w:tc>
                          <w:tcPr>
                            <w:tcW w:w="1701" w:type="dxa"/>
                            <w:vAlign w:val="center"/>
                          </w:tcPr>
                          <w:p w14:paraId="45660E83"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9,988</w:t>
                            </w:r>
                          </w:p>
                        </w:tc>
                        <w:tc>
                          <w:tcPr>
                            <w:tcW w:w="1417" w:type="dxa"/>
                            <w:vAlign w:val="center"/>
                          </w:tcPr>
                          <w:p w14:paraId="774793AC"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477</w:t>
                            </w:r>
                          </w:p>
                        </w:tc>
                      </w:tr>
                      <w:tr w:rsidR="005D095B" w14:paraId="1A91007F" w14:textId="77777777" w:rsidTr="00824CD6">
                        <w:trPr>
                          <w:trHeight w:val="227"/>
                        </w:trPr>
                        <w:tc>
                          <w:tcPr>
                            <w:tcW w:w="1417" w:type="dxa"/>
                            <w:vAlign w:val="center"/>
                          </w:tcPr>
                          <w:p w14:paraId="66B65AF5"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信義</w:t>
                            </w:r>
                          </w:p>
                        </w:tc>
                        <w:tc>
                          <w:tcPr>
                            <w:tcW w:w="1701" w:type="dxa"/>
                            <w:vAlign w:val="center"/>
                          </w:tcPr>
                          <w:p w14:paraId="7CCC68D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12,956</w:t>
                            </w:r>
                          </w:p>
                        </w:tc>
                        <w:tc>
                          <w:tcPr>
                            <w:tcW w:w="1701" w:type="dxa"/>
                            <w:vAlign w:val="center"/>
                          </w:tcPr>
                          <w:p w14:paraId="48DE8892"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12,280</w:t>
                            </w:r>
                          </w:p>
                        </w:tc>
                        <w:tc>
                          <w:tcPr>
                            <w:tcW w:w="1417" w:type="dxa"/>
                            <w:vAlign w:val="center"/>
                          </w:tcPr>
                          <w:p w14:paraId="1C2A371C"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- 676</w:t>
                            </w:r>
                          </w:p>
                        </w:tc>
                      </w:tr>
                      <w:tr w:rsidR="005D095B" w14:paraId="630EE9EB" w14:textId="77777777" w:rsidTr="00824CD6">
                        <w:trPr>
                          <w:trHeight w:val="227"/>
                        </w:trPr>
                        <w:tc>
                          <w:tcPr>
                            <w:tcW w:w="1417" w:type="dxa"/>
                            <w:vAlign w:val="center"/>
                          </w:tcPr>
                          <w:p w14:paraId="47CCBB03"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南港</w:t>
                            </w:r>
                          </w:p>
                        </w:tc>
                        <w:tc>
                          <w:tcPr>
                            <w:tcW w:w="1701" w:type="dxa"/>
                            <w:vAlign w:val="center"/>
                          </w:tcPr>
                          <w:p w14:paraId="142F48BF"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9,249</w:t>
                            </w:r>
                          </w:p>
                        </w:tc>
                        <w:tc>
                          <w:tcPr>
                            <w:tcW w:w="1701" w:type="dxa"/>
                            <w:vAlign w:val="center"/>
                          </w:tcPr>
                          <w:p w14:paraId="75067504"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8,975</w:t>
                            </w:r>
                          </w:p>
                        </w:tc>
                        <w:tc>
                          <w:tcPr>
                            <w:tcW w:w="1417" w:type="dxa"/>
                            <w:vAlign w:val="center"/>
                          </w:tcPr>
                          <w:p w14:paraId="13C40C0C"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- 274</w:t>
                            </w:r>
                          </w:p>
                        </w:tc>
                      </w:tr>
                      <w:tr w:rsidR="005D095B" w14:paraId="681BC488" w14:textId="77777777" w:rsidTr="00824CD6">
                        <w:trPr>
                          <w:trHeight w:val="227"/>
                        </w:trPr>
                        <w:tc>
                          <w:tcPr>
                            <w:tcW w:w="1417" w:type="dxa"/>
                            <w:vAlign w:val="center"/>
                          </w:tcPr>
                          <w:p w14:paraId="4E30DA1A"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萬華</w:t>
                            </w:r>
                          </w:p>
                        </w:tc>
                        <w:tc>
                          <w:tcPr>
                            <w:tcW w:w="1701" w:type="dxa"/>
                            <w:vAlign w:val="center"/>
                          </w:tcPr>
                          <w:p w14:paraId="432BE958"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10,806</w:t>
                            </w:r>
                          </w:p>
                        </w:tc>
                        <w:tc>
                          <w:tcPr>
                            <w:tcW w:w="1701" w:type="dxa"/>
                            <w:vAlign w:val="center"/>
                          </w:tcPr>
                          <w:p w14:paraId="06A39CE7"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11,036</w:t>
                            </w:r>
                          </w:p>
                        </w:tc>
                        <w:tc>
                          <w:tcPr>
                            <w:tcW w:w="1417" w:type="dxa"/>
                            <w:vAlign w:val="center"/>
                          </w:tcPr>
                          <w:p w14:paraId="4DC70BC8"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230</w:t>
                            </w:r>
                          </w:p>
                        </w:tc>
                      </w:tr>
                      <w:tr w:rsidR="005D095B" w14:paraId="632CF4EA" w14:textId="77777777" w:rsidTr="00824CD6">
                        <w:trPr>
                          <w:trHeight w:val="227"/>
                        </w:trPr>
                        <w:tc>
                          <w:tcPr>
                            <w:tcW w:w="1417" w:type="dxa"/>
                            <w:tcBorders>
                              <w:bottom w:val="single" w:sz="4" w:space="0" w:color="auto"/>
                            </w:tcBorders>
                            <w:vAlign w:val="center"/>
                          </w:tcPr>
                          <w:p w14:paraId="0C4F7D2F" w14:textId="77777777" w:rsidR="005D095B" w:rsidRDefault="005D095B" w:rsidP="00824CD6">
                            <w:pPr>
                              <w:spacing w:line="240" w:lineRule="exact"/>
                              <w:jc w:val="center"/>
                            </w:pPr>
                            <w:r w:rsidRPr="004E7EF3">
                              <w:rPr>
                                <w:rFonts w:ascii="標楷體" w:eastAsia="標楷體" w:hAnsi="標楷體" w:cs="新細明體" w:hint="eastAsia"/>
                                <w:color w:val="000000"/>
                                <w:kern w:val="0"/>
                                <w:sz w:val="20"/>
                                <w:szCs w:val="20"/>
                              </w:rPr>
                              <w:t>北投</w:t>
                            </w:r>
                          </w:p>
                        </w:tc>
                        <w:tc>
                          <w:tcPr>
                            <w:tcW w:w="1701" w:type="dxa"/>
                            <w:tcBorders>
                              <w:bottom w:val="single" w:sz="4" w:space="0" w:color="auto"/>
                            </w:tcBorders>
                            <w:vAlign w:val="center"/>
                          </w:tcPr>
                          <w:p w14:paraId="60823D81"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13,137</w:t>
                            </w:r>
                          </w:p>
                        </w:tc>
                        <w:tc>
                          <w:tcPr>
                            <w:tcW w:w="1701" w:type="dxa"/>
                            <w:tcBorders>
                              <w:bottom w:val="single" w:sz="4" w:space="0" w:color="auto"/>
                            </w:tcBorders>
                            <w:vAlign w:val="center"/>
                          </w:tcPr>
                          <w:p w14:paraId="7F7E5800" w14:textId="77777777" w:rsidR="005D095B" w:rsidRDefault="005D095B" w:rsidP="00824CD6">
                            <w:pPr>
                              <w:spacing w:line="240" w:lineRule="exact"/>
                              <w:jc w:val="right"/>
                            </w:pPr>
                            <w:r w:rsidRPr="004E7EF3">
                              <w:rPr>
                                <w:rFonts w:ascii="標楷體" w:eastAsia="標楷體" w:hAnsi="標楷體" w:cs="新細明體" w:hint="eastAsia"/>
                                <w:color w:val="000000"/>
                                <w:kern w:val="0"/>
                                <w:sz w:val="20"/>
                                <w:szCs w:val="20"/>
                              </w:rPr>
                              <w:t>18,215</w:t>
                            </w:r>
                          </w:p>
                        </w:tc>
                        <w:tc>
                          <w:tcPr>
                            <w:tcW w:w="1417" w:type="dxa"/>
                            <w:tcBorders>
                              <w:bottom w:val="single" w:sz="4" w:space="0" w:color="auto"/>
                            </w:tcBorders>
                            <w:vAlign w:val="center"/>
                          </w:tcPr>
                          <w:p w14:paraId="2D02E58C" w14:textId="77777777" w:rsidR="005D095B" w:rsidRDefault="005D095B" w:rsidP="00824CD6">
                            <w:pPr>
                              <w:spacing w:line="240" w:lineRule="exact"/>
                              <w:jc w:val="right"/>
                            </w:pPr>
                            <w:r w:rsidRPr="0016034E">
                              <w:rPr>
                                <w:rFonts w:ascii="Arial Unicode MS" w:eastAsia="Arial Unicode MS" w:hAnsi="Arial Unicode MS" w:cs="Arial Unicode MS" w:hint="eastAsia"/>
                                <w:color w:val="000000"/>
                                <w:kern w:val="0"/>
                                <w:szCs w:val="24"/>
                              </w:rPr>
                              <w:t>②</w:t>
                            </w:r>
                            <w:r>
                              <w:rPr>
                                <w:rFonts w:ascii="Arial Unicode MS" w:eastAsia="Arial Unicode MS" w:hAnsi="Arial Unicode MS" w:cs="Arial Unicode MS"/>
                                <w:color w:val="000000"/>
                                <w:kern w:val="0"/>
                                <w:sz w:val="20"/>
                                <w:szCs w:val="20"/>
                              </w:rPr>
                              <w:t xml:space="preserve">    </w:t>
                            </w:r>
                            <w:r w:rsidRPr="004E7EF3">
                              <w:rPr>
                                <w:rFonts w:ascii="標楷體" w:eastAsia="標楷體" w:hAnsi="標楷體" w:cs="新細明體" w:hint="eastAsia"/>
                                <w:color w:val="000000"/>
                                <w:kern w:val="0"/>
                                <w:sz w:val="20"/>
                                <w:szCs w:val="20"/>
                              </w:rPr>
                              <w:t>5,078</w:t>
                            </w:r>
                          </w:p>
                        </w:tc>
                      </w:tr>
                      <w:tr w:rsidR="005D095B" w14:paraId="264502AE" w14:textId="77777777" w:rsidTr="00824CD6">
                        <w:trPr>
                          <w:trHeight w:val="227"/>
                        </w:trPr>
                        <w:tc>
                          <w:tcPr>
                            <w:tcW w:w="6236" w:type="dxa"/>
                            <w:gridSpan w:val="4"/>
                            <w:tcBorders>
                              <w:top w:val="single" w:sz="4" w:space="0" w:color="auto"/>
                              <w:left w:val="nil"/>
                              <w:bottom w:val="nil"/>
                              <w:right w:val="nil"/>
                            </w:tcBorders>
                          </w:tcPr>
                          <w:p w14:paraId="4EBC92AB" w14:textId="77777777" w:rsidR="005D095B" w:rsidRPr="004E7EF3" w:rsidRDefault="005D095B" w:rsidP="00ED75C9">
                            <w:pPr>
                              <w:spacing w:line="240" w:lineRule="exact"/>
                              <w:ind w:leftChars="-50" w:left="-120"/>
                              <w:jc w:val="both"/>
                              <w:rPr>
                                <w:rFonts w:ascii="標楷體" w:eastAsia="標楷體" w:hAnsi="標楷體"/>
                                <w:sz w:val="18"/>
                                <w:szCs w:val="18"/>
                              </w:rPr>
                            </w:pPr>
                            <w:proofErr w:type="gramStart"/>
                            <w:r w:rsidRPr="004E7EF3">
                              <w:rPr>
                                <w:rFonts w:ascii="標楷體" w:eastAsia="標楷體" w:hAnsi="標楷體" w:hint="eastAsia"/>
                                <w:sz w:val="18"/>
                                <w:szCs w:val="18"/>
                              </w:rPr>
                              <w:t>註</w:t>
                            </w:r>
                            <w:proofErr w:type="gramEnd"/>
                            <w:r w:rsidRPr="004E7EF3">
                              <w:rPr>
                                <w:rFonts w:ascii="標楷體" w:eastAsia="標楷體" w:hAnsi="標楷體" w:hint="eastAsia"/>
                                <w:sz w:val="18"/>
                                <w:szCs w:val="18"/>
                              </w:rPr>
                              <w:t>：1.差異</w:t>
                            </w:r>
                            <w:proofErr w:type="gramStart"/>
                            <w:r w:rsidRPr="004E7EF3">
                              <w:rPr>
                                <w:rFonts w:ascii="標楷體" w:eastAsia="標楷體" w:hAnsi="標楷體" w:hint="eastAsia"/>
                                <w:sz w:val="18"/>
                                <w:szCs w:val="18"/>
                              </w:rPr>
                              <w:t>數欄前</w:t>
                            </w:r>
                            <w:proofErr w:type="gramEnd"/>
                            <w:r w:rsidRPr="004E7EF3">
                              <w:rPr>
                                <w:rFonts w:ascii="標楷體" w:eastAsia="標楷體" w:hAnsi="標楷體" w:hint="eastAsia"/>
                                <w:sz w:val="18"/>
                                <w:szCs w:val="18"/>
                              </w:rPr>
                              <w:t>段所植</w:t>
                            </w:r>
                            <w:r w:rsidRPr="004E7EF3">
                              <w:rPr>
                                <w:rFonts w:ascii="Arial Unicode MS" w:eastAsia="標楷體" w:hAnsi="Arial Unicode MS"/>
                                <w:szCs w:val="24"/>
                              </w:rPr>
                              <w:t>①</w:t>
                            </w:r>
                            <w:r w:rsidRPr="004E7EF3">
                              <w:rPr>
                                <w:rFonts w:ascii="標楷體" w:eastAsia="標楷體" w:hAnsi="標楷體" w:hint="eastAsia"/>
                                <w:sz w:val="18"/>
                                <w:szCs w:val="18"/>
                              </w:rPr>
                              <w:t>~</w:t>
                            </w:r>
                            <w:r w:rsidRPr="004E7EF3">
                              <w:rPr>
                                <w:rFonts w:ascii="Arial Unicode MS" w:eastAsia="標楷體" w:hAnsi="Arial Unicode MS"/>
                                <w:szCs w:val="24"/>
                              </w:rPr>
                              <w:t>③</w:t>
                            </w:r>
                            <w:r w:rsidRPr="004E7EF3">
                              <w:rPr>
                                <w:rFonts w:ascii="標楷體" w:eastAsia="標楷體" w:hAnsi="標楷體" w:hint="eastAsia"/>
                                <w:sz w:val="18"/>
                                <w:szCs w:val="18"/>
                              </w:rPr>
                              <w:t>，係表示差異數較多之前3個地區。</w:t>
                            </w:r>
                          </w:p>
                          <w:p w14:paraId="335385E9" w14:textId="77777777" w:rsidR="005D095B" w:rsidRPr="0016034E" w:rsidRDefault="005D095B" w:rsidP="00ED75C9">
                            <w:pPr>
                              <w:spacing w:line="240" w:lineRule="exact"/>
                              <w:ind w:leftChars="100" w:left="420" w:hangingChars="100" w:hanging="180"/>
                              <w:jc w:val="both"/>
                            </w:pPr>
                            <w:r w:rsidRPr="004E7EF3">
                              <w:rPr>
                                <w:rFonts w:ascii="標楷體" w:eastAsia="標楷體" w:hAnsi="標楷體" w:hint="eastAsia"/>
                                <w:sz w:val="18"/>
                                <w:szCs w:val="18"/>
                              </w:rPr>
                              <w:t>2.資料來源：整理自台灣電力股份有限公司與公園路燈工程管理處提供資料。</w:t>
                            </w:r>
                          </w:p>
                        </w:tc>
                      </w:tr>
                    </w:tbl>
                    <w:p w14:paraId="4084882E" w14:textId="77777777" w:rsidR="005D095B" w:rsidRDefault="005D095B" w:rsidP="005D095B">
                      <w:pPr>
                        <w:spacing w:line="240" w:lineRule="exact"/>
                        <w:jc w:val="both"/>
                      </w:pPr>
                    </w:p>
                  </w:txbxContent>
                </v:textbox>
                <w10:wrap type="tight" anchory="page"/>
              </v:shape>
            </w:pict>
          </mc:Fallback>
        </mc:AlternateContent>
      </w:r>
    </w:p>
    <w:p w14:paraId="12E2A294" w14:textId="068C5CBA" w:rsidR="00D74004" w:rsidRPr="00DB2473" w:rsidRDefault="00D74004" w:rsidP="00C646BE">
      <w:pPr>
        <w:widowControl/>
        <w:suppressAutoHyphens/>
        <w:overflowPunct w:val="0"/>
        <w:spacing w:beforeLines="50" w:before="180" w:afterLines="50" w:after="180" w:line="480" w:lineRule="exact"/>
        <w:ind w:firstLineChars="100" w:firstLine="280"/>
        <w:jc w:val="both"/>
        <w:rPr>
          <w:rFonts w:ascii="標楷體" w:eastAsia="標楷體" w:hAnsi="標楷體" w:cs="Times New Roman"/>
          <w:b/>
          <w:sz w:val="28"/>
          <w:szCs w:val="28"/>
        </w:rPr>
      </w:pPr>
      <w:r w:rsidRPr="00DB2473">
        <w:rPr>
          <w:rFonts w:ascii="標楷體" w:eastAsia="標楷體" w:hAnsi="標楷體" w:cs="Times New Roman" w:hint="eastAsia"/>
          <w:b/>
          <w:sz w:val="28"/>
          <w:szCs w:val="28"/>
        </w:rPr>
        <w:t>（</w:t>
      </w:r>
      <w:r>
        <w:rPr>
          <w:rFonts w:ascii="標楷體" w:eastAsia="標楷體" w:hAnsi="標楷體" w:cs="Times New Roman" w:hint="eastAsia"/>
          <w:b/>
          <w:sz w:val="28"/>
          <w:szCs w:val="28"/>
        </w:rPr>
        <w:t>六</w:t>
      </w:r>
      <w:r w:rsidRPr="00DB2473">
        <w:rPr>
          <w:rFonts w:ascii="標楷體" w:eastAsia="標楷體" w:hAnsi="標楷體" w:cs="Times New Roman" w:hint="eastAsia"/>
          <w:b/>
          <w:kern w:val="0"/>
          <w:sz w:val="28"/>
          <w:szCs w:val="28"/>
        </w:rPr>
        <w:t>）</w:t>
      </w:r>
      <w:r w:rsidRPr="00591FA2">
        <w:rPr>
          <w:rFonts w:ascii="標楷體" w:eastAsia="標楷體" w:hAnsi="標楷體" w:cs="Times New Roman" w:hint="eastAsia"/>
          <w:b/>
          <w:kern w:val="0"/>
          <w:sz w:val="28"/>
          <w:szCs w:val="28"/>
        </w:rPr>
        <w:t>為維護市容整體景觀，辦理行道樹維護管理業務，惟樹木倒塌案件逾</w:t>
      </w:r>
      <w:proofErr w:type="gramStart"/>
      <w:r w:rsidRPr="00591FA2">
        <w:rPr>
          <w:rFonts w:ascii="標楷體" w:eastAsia="標楷體" w:hAnsi="標楷體" w:cs="Times New Roman" w:hint="eastAsia"/>
          <w:b/>
          <w:kern w:val="0"/>
          <w:sz w:val="28"/>
          <w:szCs w:val="28"/>
        </w:rPr>
        <w:t>4成</w:t>
      </w:r>
      <w:proofErr w:type="gramEnd"/>
      <w:r w:rsidRPr="00591FA2">
        <w:rPr>
          <w:rFonts w:ascii="標楷體" w:eastAsia="標楷體" w:hAnsi="標楷體" w:cs="Times New Roman" w:hint="eastAsia"/>
          <w:b/>
          <w:kern w:val="0"/>
          <w:sz w:val="28"/>
          <w:szCs w:val="28"/>
        </w:rPr>
        <w:t>與維護作業良</w:t>
      </w:r>
      <w:proofErr w:type="gramStart"/>
      <w:r w:rsidRPr="00591FA2">
        <w:rPr>
          <w:rFonts w:ascii="標楷體" w:eastAsia="標楷體" w:hAnsi="標楷體" w:cs="Times New Roman" w:hint="eastAsia"/>
          <w:b/>
          <w:kern w:val="0"/>
          <w:sz w:val="28"/>
          <w:szCs w:val="28"/>
        </w:rPr>
        <w:t>窳</w:t>
      </w:r>
      <w:proofErr w:type="gramEnd"/>
      <w:r w:rsidRPr="00591FA2">
        <w:rPr>
          <w:rFonts w:ascii="標楷體" w:eastAsia="標楷體" w:hAnsi="標楷體" w:cs="Times New Roman" w:hint="eastAsia"/>
          <w:b/>
          <w:kern w:val="0"/>
          <w:sz w:val="28"/>
          <w:szCs w:val="28"/>
        </w:rPr>
        <w:t>有關，亟待檢討癥結原因並</w:t>
      </w:r>
      <w:proofErr w:type="gramStart"/>
      <w:r w:rsidRPr="00591FA2">
        <w:rPr>
          <w:rFonts w:ascii="標楷體" w:eastAsia="標楷體" w:hAnsi="標楷體" w:cs="Times New Roman" w:hint="eastAsia"/>
          <w:b/>
          <w:kern w:val="0"/>
          <w:sz w:val="28"/>
          <w:szCs w:val="28"/>
        </w:rPr>
        <w:t>研</w:t>
      </w:r>
      <w:proofErr w:type="gramEnd"/>
      <w:r w:rsidRPr="00591FA2">
        <w:rPr>
          <w:rFonts w:ascii="標楷體" w:eastAsia="標楷體" w:hAnsi="標楷體" w:cs="Times New Roman" w:hint="eastAsia"/>
          <w:b/>
          <w:kern w:val="0"/>
          <w:sz w:val="28"/>
          <w:szCs w:val="28"/>
        </w:rPr>
        <w:t>謀後續處置作為，又對已列管應移除之</w:t>
      </w:r>
      <w:proofErr w:type="gramStart"/>
      <w:r w:rsidRPr="00591FA2">
        <w:rPr>
          <w:rFonts w:ascii="標楷體" w:eastAsia="標楷體" w:hAnsi="標楷體" w:cs="Times New Roman" w:hint="eastAsia"/>
          <w:b/>
          <w:kern w:val="0"/>
          <w:sz w:val="28"/>
          <w:szCs w:val="28"/>
        </w:rPr>
        <w:t>樹木間有再</w:t>
      </w:r>
      <w:proofErr w:type="gramEnd"/>
      <w:r w:rsidRPr="00591FA2">
        <w:rPr>
          <w:rFonts w:ascii="標楷體" w:eastAsia="標楷體" w:hAnsi="標楷體" w:cs="Times New Roman" w:hint="eastAsia"/>
          <w:b/>
          <w:kern w:val="0"/>
          <w:sz w:val="28"/>
          <w:szCs w:val="28"/>
        </w:rPr>
        <w:t>交付廠商辦理健檢追蹤，管理機制</w:t>
      </w:r>
      <w:proofErr w:type="gramStart"/>
      <w:r w:rsidRPr="00591FA2">
        <w:rPr>
          <w:rFonts w:ascii="標楷體" w:eastAsia="標楷體" w:hAnsi="標楷體" w:cs="Times New Roman" w:hint="eastAsia"/>
          <w:b/>
          <w:kern w:val="0"/>
          <w:sz w:val="28"/>
          <w:szCs w:val="28"/>
        </w:rPr>
        <w:t>未盡周妥</w:t>
      </w:r>
      <w:proofErr w:type="gramEnd"/>
      <w:r w:rsidRPr="00591FA2">
        <w:rPr>
          <w:rFonts w:ascii="標楷體" w:eastAsia="標楷體" w:hAnsi="標楷體" w:cs="Times New Roman" w:hint="eastAsia"/>
          <w:b/>
          <w:kern w:val="0"/>
          <w:sz w:val="28"/>
          <w:szCs w:val="28"/>
        </w:rPr>
        <w:t>，有待檢討</w:t>
      </w:r>
      <w:proofErr w:type="gramStart"/>
      <w:r w:rsidRPr="00591FA2">
        <w:rPr>
          <w:rFonts w:ascii="標楷體" w:eastAsia="標楷體" w:hAnsi="標楷體" w:cs="Times New Roman" w:hint="eastAsia"/>
          <w:b/>
          <w:kern w:val="0"/>
          <w:sz w:val="28"/>
          <w:szCs w:val="28"/>
        </w:rPr>
        <w:t>研</w:t>
      </w:r>
      <w:proofErr w:type="gramEnd"/>
      <w:r w:rsidRPr="00591FA2">
        <w:rPr>
          <w:rFonts w:ascii="標楷體" w:eastAsia="標楷體" w:hAnsi="標楷體" w:cs="Times New Roman" w:hint="eastAsia"/>
          <w:b/>
          <w:kern w:val="0"/>
          <w:sz w:val="28"/>
          <w:szCs w:val="28"/>
        </w:rPr>
        <w:t>謀改善</w:t>
      </w:r>
      <w:r>
        <w:rPr>
          <w:rFonts w:ascii="標楷體" w:eastAsia="標楷體" w:hAnsi="標楷體" w:cs="Times New Roman" w:hint="eastAsia"/>
          <w:b/>
          <w:kern w:val="0"/>
          <w:sz w:val="28"/>
          <w:szCs w:val="28"/>
        </w:rPr>
        <w:t>。</w:t>
      </w:r>
    </w:p>
    <w:p w14:paraId="1B83D22C" w14:textId="558893D1" w:rsidR="00D74004" w:rsidRDefault="00D74004" w:rsidP="00D74004">
      <w:pPr>
        <w:widowControl/>
        <w:tabs>
          <w:tab w:val="left" w:pos="1560"/>
        </w:tabs>
        <w:kinsoku w:val="0"/>
        <w:overflowPunct w:val="0"/>
        <w:spacing w:line="426" w:lineRule="exact"/>
        <w:ind w:firstLineChars="200" w:firstLine="480"/>
        <w:jc w:val="both"/>
        <w:rPr>
          <w:rFonts w:ascii="標楷體" w:eastAsia="標楷體" w:hAnsi="標楷體" w:cs="Times New Roman"/>
          <w:szCs w:val="20"/>
        </w:rPr>
      </w:pPr>
      <w:r w:rsidRPr="00591FA2">
        <w:rPr>
          <w:rFonts w:ascii="標楷體" w:eastAsia="標楷體" w:hAnsi="標楷體" w:cs="Times New Roman" w:hint="eastAsia"/>
          <w:szCs w:val="20"/>
        </w:rPr>
        <w:t>公園路燈工程管理處（下稱公園處）為辦理行道樹維護管理業務，於111至113年度共計編列預算2億9,546萬餘元，執行行道樹修剪、增補植、</w:t>
      </w:r>
      <w:proofErr w:type="gramStart"/>
      <w:r w:rsidRPr="00591FA2">
        <w:rPr>
          <w:rFonts w:ascii="標楷體" w:eastAsia="標楷體" w:hAnsi="標楷體" w:cs="Times New Roman" w:hint="eastAsia"/>
          <w:szCs w:val="20"/>
        </w:rPr>
        <w:t>普查暨健檢</w:t>
      </w:r>
      <w:proofErr w:type="gramEnd"/>
      <w:r w:rsidRPr="00591FA2">
        <w:rPr>
          <w:rFonts w:ascii="標楷體" w:eastAsia="標楷體" w:hAnsi="標楷體" w:cs="Times New Roman" w:hint="eastAsia"/>
          <w:szCs w:val="20"/>
        </w:rPr>
        <w:t>安全評估等業務。經查行道樹維護管理情形，核有下列事項：</w:t>
      </w:r>
    </w:p>
    <w:p w14:paraId="7795D379" w14:textId="77777777" w:rsidR="00FA0A75" w:rsidRDefault="00C646BE" w:rsidP="00FA0A75">
      <w:pPr>
        <w:spacing w:beforeLines="20" w:before="72" w:line="460" w:lineRule="exact"/>
        <w:ind w:firstLineChars="200" w:firstLine="480"/>
        <w:jc w:val="both"/>
        <w:rPr>
          <w:rFonts w:ascii="標楷體" w:eastAsia="標楷體" w:hAnsi="標楷體" w:cs="DFKaiShu-SB-Estd-BF"/>
          <w:szCs w:val="24"/>
        </w:rPr>
      </w:pPr>
      <w:r w:rsidRPr="00591FA2">
        <w:rPr>
          <w:rFonts w:ascii="標楷體" w:eastAsia="標楷體" w:hAnsi="標楷體" w:cs="DFKaiShu-SB-Estd-BF"/>
          <w:b/>
          <w:bCs/>
          <w:noProof/>
          <w:szCs w:val="24"/>
        </w:rPr>
        <mc:AlternateContent>
          <mc:Choice Requires="wps">
            <w:drawing>
              <wp:anchor distT="45720" distB="45720" distL="114300" distR="114300" simplePos="0" relativeHeight="251794432" behindDoc="1" locked="0" layoutInCell="1" allowOverlap="1" wp14:anchorId="03CD0A37" wp14:editId="50C5B3B7">
                <wp:simplePos x="0" y="0"/>
                <wp:positionH relativeFrom="column">
                  <wp:posOffset>1820617</wp:posOffset>
                </wp:positionH>
                <wp:positionV relativeFrom="page">
                  <wp:posOffset>7884543</wp:posOffset>
                </wp:positionV>
                <wp:extent cx="4552950" cy="1906270"/>
                <wp:effectExtent l="0" t="0" r="0" b="0"/>
                <wp:wrapTight wrapText="bothSides">
                  <wp:wrapPolygon edited="0">
                    <wp:start x="0" y="0"/>
                    <wp:lineTo x="0" y="21370"/>
                    <wp:lineTo x="21510" y="21370"/>
                    <wp:lineTo x="21510" y="0"/>
                    <wp:lineTo x="0" y="0"/>
                  </wp:wrapPolygon>
                </wp:wrapTight>
                <wp:docPr id="9274196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0" cy="1906270"/>
                        </a:xfrm>
                        <a:prstGeom prst="rect">
                          <a:avLst/>
                        </a:prstGeom>
                        <a:solidFill>
                          <a:srgbClr val="FFFFFF"/>
                        </a:solidFill>
                        <a:ln w="9525">
                          <a:noFill/>
                          <a:miter lim="800000"/>
                          <a:headEnd/>
                          <a:tailEnd/>
                        </a:ln>
                      </wps:spPr>
                      <wps:txbx>
                        <w:txbxContent>
                          <w:p w14:paraId="45DDDC13" w14:textId="77777777" w:rsidR="00D74004" w:rsidRDefault="00D74004" w:rsidP="00D74004">
                            <w:pPr>
                              <w:widowControl/>
                              <w:overflowPunct w:val="0"/>
                              <w:snapToGrid w:val="0"/>
                              <w:ind w:leftChars="17" w:left="41" w:rightChars="-26" w:right="-62" w:firstLineChars="42" w:firstLine="101"/>
                              <w:jc w:val="center"/>
                              <w:rPr>
                                <w:rFonts w:ascii="標楷體" w:eastAsia="標楷體" w:hAnsi="標楷體"/>
                                <w:b/>
                                <w:bCs/>
                                <w:szCs w:val="24"/>
                              </w:rPr>
                            </w:pPr>
                            <w:r w:rsidRPr="004B021E">
                              <w:rPr>
                                <w:rFonts w:ascii="標楷體" w:eastAsia="標楷體" w:hAnsi="標楷體" w:hint="eastAsia"/>
                                <w:b/>
                                <w:bCs/>
                                <w:szCs w:val="24"/>
                              </w:rPr>
                              <w:t>表</w:t>
                            </w:r>
                            <w:r>
                              <w:rPr>
                                <w:rFonts w:ascii="標楷體" w:eastAsia="標楷體" w:hAnsi="標楷體"/>
                                <w:b/>
                                <w:bCs/>
                                <w:color w:val="000000"/>
                                <w:szCs w:val="24"/>
                              </w:rPr>
                              <w:t>4</w:t>
                            </w:r>
                            <w:r w:rsidRPr="00591FA2">
                              <w:rPr>
                                <w:rFonts w:ascii="標楷體" w:eastAsia="標楷體" w:hAnsi="標楷體" w:hint="eastAsia"/>
                                <w:b/>
                                <w:bCs/>
                              </w:rPr>
                              <w:t xml:space="preserve">　</w:t>
                            </w:r>
                            <w:r>
                              <w:rPr>
                                <w:rFonts w:ascii="標楷體" w:eastAsia="標楷體" w:hAnsi="標楷體" w:hint="eastAsia"/>
                                <w:b/>
                                <w:bCs/>
                                <w:szCs w:val="24"/>
                              </w:rPr>
                              <w:t>公園處</w:t>
                            </w:r>
                            <w:r w:rsidRPr="004B021E">
                              <w:rPr>
                                <w:rFonts w:ascii="標楷體" w:eastAsia="標楷體" w:hAnsi="標楷體" w:hint="eastAsia"/>
                                <w:b/>
                                <w:bCs/>
                                <w:szCs w:val="24"/>
                              </w:rPr>
                              <w:t>國家賠償案件原因分析</w:t>
                            </w:r>
                          </w:p>
                          <w:p w14:paraId="6B509273" w14:textId="77777777" w:rsidR="00D74004" w:rsidRPr="00273E94" w:rsidRDefault="00D74004" w:rsidP="00D74004">
                            <w:pPr>
                              <w:widowControl/>
                              <w:overflowPunct w:val="0"/>
                              <w:snapToGrid w:val="0"/>
                              <w:ind w:leftChars="17" w:left="41" w:rightChars="34" w:right="82" w:firstLineChars="42" w:firstLine="84"/>
                              <w:jc w:val="right"/>
                              <w:rPr>
                                <w:rFonts w:ascii="標楷體" w:eastAsia="標楷體" w:hAnsi="標楷體"/>
                                <w:szCs w:val="24"/>
                              </w:rPr>
                            </w:pPr>
                            <w:r w:rsidRPr="00273E94">
                              <w:rPr>
                                <w:rFonts w:ascii="標楷體" w:eastAsia="標楷體" w:hAnsi="標楷體" w:hint="eastAsia"/>
                                <w:sz w:val="20"/>
                                <w:szCs w:val="20"/>
                              </w:rPr>
                              <w:t>單位：新臺幣元</w:t>
                            </w:r>
                            <w:r>
                              <w:rPr>
                                <w:rFonts w:ascii="標楷體" w:eastAsia="標楷體" w:hAnsi="標楷體" w:hint="eastAsia"/>
                                <w:sz w:val="20"/>
                                <w:szCs w:val="20"/>
                              </w:rPr>
                              <w:t>、件</w:t>
                            </w:r>
                          </w:p>
                          <w:tbl>
                            <w:tblPr>
                              <w:tblW w:w="70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75"/>
                              <w:gridCol w:w="567"/>
                              <w:gridCol w:w="1134"/>
                              <w:gridCol w:w="851"/>
                              <w:gridCol w:w="850"/>
                              <w:gridCol w:w="851"/>
                            </w:tblGrid>
                            <w:tr w:rsidR="00D74004" w14:paraId="0E07875C" w14:textId="77777777" w:rsidTr="00824CD6">
                              <w:trPr>
                                <w:tblHeader/>
                              </w:trPr>
                              <w:tc>
                                <w:tcPr>
                                  <w:tcW w:w="1560" w:type="dxa"/>
                                  <w:tcBorders>
                                    <w:tl2br w:val="single" w:sz="4" w:space="0" w:color="auto"/>
                                  </w:tcBorders>
                                  <w:shd w:val="clear" w:color="auto" w:fill="auto"/>
                                  <w:vAlign w:val="center"/>
                                </w:tcPr>
                                <w:p w14:paraId="0D0F45E8" w14:textId="77777777" w:rsidR="00D74004" w:rsidRDefault="00D74004" w:rsidP="00824CD6">
                                  <w:pPr>
                                    <w:widowControl/>
                                    <w:suppressAutoHyphens/>
                                    <w:overflowPunct w:val="0"/>
                                    <w:snapToGrid w:val="0"/>
                                    <w:jc w:val="right"/>
                                    <w:rPr>
                                      <w:rFonts w:ascii="標楷體" w:eastAsia="標楷體" w:hAnsi="標楷體"/>
                                      <w:bCs/>
                                      <w:sz w:val="20"/>
                                      <w:szCs w:val="20"/>
                                    </w:rPr>
                                  </w:pPr>
                                  <w:r>
                                    <w:rPr>
                                      <w:rFonts w:ascii="標楷體" w:eastAsia="標楷體" w:hAnsi="標楷體" w:hint="eastAsia"/>
                                      <w:bCs/>
                                      <w:sz w:val="20"/>
                                      <w:szCs w:val="20"/>
                                    </w:rPr>
                                    <w:t>肇因</w:t>
                                  </w:r>
                                </w:p>
                                <w:p w14:paraId="1DF9A023" w14:textId="77777777" w:rsidR="00D74004" w:rsidRPr="002D021D" w:rsidRDefault="00D74004" w:rsidP="00824CD6">
                                  <w:pPr>
                                    <w:widowControl/>
                                    <w:suppressAutoHyphens/>
                                    <w:overflowPunct w:val="0"/>
                                    <w:snapToGrid w:val="0"/>
                                    <w:rPr>
                                      <w:rFonts w:ascii="標楷體" w:eastAsia="標楷體" w:hAnsi="標楷體"/>
                                      <w:bCs/>
                                      <w:sz w:val="20"/>
                                      <w:szCs w:val="20"/>
                                    </w:rPr>
                                  </w:pPr>
                                  <w:r w:rsidRPr="002D021D">
                                    <w:rPr>
                                      <w:rFonts w:ascii="標楷體" w:eastAsia="標楷體" w:hAnsi="標楷體" w:hint="eastAsia"/>
                                      <w:bCs/>
                                      <w:sz w:val="20"/>
                                      <w:szCs w:val="20"/>
                                    </w:rPr>
                                    <w:t>年度</w:t>
                                  </w:r>
                                </w:p>
                              </w:tc>
                              <w:tc>
                                <w:tcPr>
                                  <w:tcW w:w="1275" w:type="dxa"/>
                                  <w:shd w:val="clear" w:color="auto" w:fill="auto"/>
                                  <w:vAlign w:val="center"/>
                                </w:tcPr>
                                <w:p w14:paraId="0C8123CD" w14:textId="77777777" w:rsidR="00D74004" w:rsidRPr="002D021D" w:rsidRDefault="00D74004" w:rsidP="00824CD6">
                                  <w:pPr>
                                    <w:widowControl/>
                                    <w:suppressAutoHyphens/>
                                    <w:overflowPunct w:val="0"/>
                                    <w:snapToGrid w:val="0"/>
                                    <w:ind w:leftChars="-47" w:left="-19" w:rightChars="-39" w:right="-94" w:hangingChars="47" w:hanging="94"/>
                                    <w:jc w:val="center"/>
                                    <w:rPr>
                                      <w:rFonts w:ascii="標楷體" w:eastAsia="標楷體" w:hAnsi="標楷體"/>
                                      <w:bCs/>
                                      <w:sz w:val="20"/>
                                      <w:szCs w:val="20"/>
                                    </w:rPr>
                                  </w:pPr>
                                  <w:r w:rsidRPr="002D021D">
                                    <w:rPr>
                                      <w:rFonts w:ascii="標楷體" w:eastAsia="標楷體" w:hAnsi="標楷體" w:hint="eastAsia"/>
                                      <w:bCs/>
                                      <w:sz w:val="20"/>
                                      <w:szCs w:val="20"/>
                                    </w:rPr>
                                    <w:t>國賠金額</w:t>
                                  </w:r>
                                </w:p>
                              </w:tc>
                              <w:tc>
                                <w:tcPr>
                                  <w:tcW w:w="567" w:type="dxa"/>
                                  <w:shd w:val="clear" w:color="auto" w:fill="auto"/>
                                  <w:vAlign w:val="center"/>
                                </w:tcPr>
                                <w:p w14:paraId="51473515" w14:textId="77777777" w:rsidR="00D74004" w:rsidRPr="001B41AE" w:rsidRDefault="00D74004" w:rsidP="00824CD6">
                                  <w:pPr>
                                    <w:widowControl/>
                                    <w:suppressAutoHyphens/>
                                    <w:overflowPunct w:val="0"/>
                                    <w:snapToGrid w:val="0"/>
                                    <w:ind w:leftChars="-47" w:left="-19" w:rightChars="-39" w:right="-94" w:hangingChars="47" w:hanging="94"/>
                                    <w:jc w:val="center"/>
                                    <w:rPr>
                                      <w:rFonts w:ascii="標楷體" w:eastAsia="標楷體" w:hAnsi="標楷體"/>
                                      <w:sz w:val="20"/>
                                      <w:szCs w:val="20"/>
                                    </w:rPr>
                                  </w:pPr>
                                  <w:r w:rsidRPr="001B41AE">
                                    <w:rPr>
                                      <w:rFonts w:ascii="標楷體" w:eastAsia="標楷體" w:hAnsi="標楷體" w:hint="eastAsia"/>
                                      <w:sz w:val="20"/>
                                      <w:szCs w:val="20"/>
                                    </w:rPr>
                                    <w:t>合計</w:t>
                                  </w:r>
                                </w:p>
                              </w:tc>
                              <w:tc>
                                <w:tcPr>
                                  <w:tcW w:w="1134" w:type="dxa"/>
                                  <w:shd w:val="clear" w:color="auto" w:fill="auto"/>
                                  <w:vAlign w:val="center"/>
                                </w:tcPr>
                                <w:p w14:paraId="33CC36A7" w14:textId="77777777" w:rsidR="00D74004" w:rsidRDefault="00D74004" w:rsidP="00824CD6">
                                  <w:pPr>
                                    <w:widowControl/>
                                    <w:suppressAutoHyphens/>
                                    <w:overflowPunct w:val="0"/>
                                    <w:snapToGrid w:val="0"/>
                                    <w:ind w:leftChars="-47" w:left="-19" w:rightChars="-39" w:right="-94" w:hangingChars="47" w:hanging="94"/>
                                    <w:jc w:val="center"/>
                                    <w:rPr>
                                      <w:rFonts w:ascii="標楷體" w:eastAsia="標楷體" w:hAnsi="標楷體" w:cs="新細明體"/>
                                      <w:color w:val="000000"/>
                                      <w:kern w:val="0"/>
                                      <w:sz w:val="20"/>
                                      <w:szCs w:val="20"/>
                                    </w:rPr>
                                  </w:pPr>
                                  <w:r w:rsidRPr="002D021D">
                                    <w:rPr>
                                      <w:rFonts w:ascii="標楷體" w:eastAsia="標楷體" w:hAnsi="標楷體" w:cs="新細明體" w:hint="eastAsia"/>
                                      <w:color w:val="000000"/>
                                      <w:kern w:val="0"/>
                                      <w:sz w:val="20"/>
                                      <w:szCs w:val="20"/>
                                    </w:rPr>
                                    <w:t>樹幹掉落、</w:t>
                                  </w:r>
                                </w:p>
                                <w:p w14:paraId="3C597E35" w14:textId="77777777" w:rsidR="00D74004" w:rsidRPr="002D021D" w:rsidRDefault="00D74004" w:rsidP="00824CD6">
                                  <w:pPr>
                                    <w:widowControl/>
                                    <w:suppressAutoHyphens/>
                                    <w:overflowPunct w:val="0"/>
                                    <w:snapToGrid w:val="0"/>
                                    <w:ind w:leftChars="-47" w:left="-19" w:rightChars="-39" w:right="-94" w:hangingChars="47" w:hanging="94"/>
                                    <w:jc w:val="center"/>
                                    <w:rPr>
                                      <w:rFonts w:ascii="標楷體" w:eastAsia="標楷體" w:hAnsi="標楷體"/>
                                      <w:bCs/>
                                      <w:sz w:val="20"/>
                                      <w:szCs w:val="20"/>
                                    </w:rPr>
                                  </w:pPr>
                                  <w:proofErr w:type="gramStart"/>
                                  <w:r w:rsidRPr="002D021D">
                                    <w:rPr>
                                      <w:rFonts w:ascii="標楷體" w:eastAsia="標楷體" w:hAnsi="標楷體" w:cs="新細明體" w:hint="eastAsia"/>
                                      <w:color w:val="000000"/>
                                      <w:kern w:val="0"/>
                                      <w:sz w:val="20"/>
                                      <w:szCs w:val="20"/>
                                    </w:rPr>
                                    <w:t>斷枝</w:t>
                                  </w:r>
                                  <w:proofErr w:type="gramEnd"/>
                                </w:p>
                              </w:tc>
                              <w:tc>
                                <w:tcPr>
                                  <w:tcW w:w="851" w:type="dxa"/>
                                  <w:shd w:val="clear" w:color="auto" w:fill="auto"/>
                                  <w:vAlign w:val="center"/>
                                </w:tcPr>
                                <w:p w14:paraId="504B936A" w14:textId="77777777" w:rsidR="00D74004" w:rsidRPr="002D021D" w:rsidRDefault="00D74004" w:rsidP="00824CD6">
                                  <w:pPr>
                                    <w:widowControl/>
                                    <w:suppressAutoHyphens/>
                                    <w:overflowPunct w:val="0"/>
                                    <w:snapToGrid w:val="0"/>
                                    <w:ind w:leftChars="-47" w:left="-19" w:rightChars="-39" w:right="-94" w:hangingChars="47" w:hanging="94"/>
                                    <w:jc w:val="center"/>
                                    <w:rPr>
                                      <w:rFonts w:ascii="標楷體" w:eastAsia="標楷體" w:hAnsi="標楷體"/>
                                      <w:bCs/>
                                      <w:sz w:val="20"/>
                                      <w:szCs w:val="20"/>
                                    </w:rPr>
                                  </w:pPr>
                                  <w:r w:rsidRPr="002D021D">
                                    <w:rPr>
                                      <w:rFonts w:ascii="標楷體" w:eastAsia="標楷體" w:hAnsi="標楷體" w:cs="新細明體" w:hint="eastAsia"/>
                                      <w:color w:val="000000"/>
                                      <w:kern w:val="0"/>
                                      <w:sz w:val="20"/>
                                      <w:szCs w:val="20"/>
                                    </w:rPr>
                                    <w:t>樹木倒塌</w:t>
                                  </w:r>
                                </w:p>
                              </w:tc>
                              <w:tc>
                                <w:tcPr>
                                  <w:tcW w:w="850" w:type="dxa"/>
                                  <w:shd w:val="clear" w:color="auto" w:fill="auto"/>
                                  <w:vAlign w:val="center"/>
                                </w:tcPr>
                                <w:p w14:paraId="7E633361" w14:textId="77777777" w:rsidR="00D74004" w:rsidRPr="002D021D" w:rsidRDefault="00D74004" w:rsidP="00824CD6">
                                  <w:pPr>
                                    <w:widowControl/>
                                    <w:suppressAutoHyphens/>
                                    <w:overflowPunct w:val="0"/>
                                    <w:snapToGrid w:val="0"/>
                                    <w:ind w:leftChars="-47" w:left="-19" w:rightChars="-39" w:right="-94" w:hangingChars="47" w:hanging="94"/>
                                    <w:jc w:val="center"/>
                                    <w:rPr>
                                      <w:rFonts w:ascii="標楷體" w:eastAsia="標楷體" w:hAnsi="標楷體"/>
                                      <w:bCs/>
                                      <w:sz w:val="20"/>
                                      <w:szCs w:val="20"/>
                                    </w:rPr>
                                  </w:pPr>
                                  <w:r w:rsidRPr="002D021D">
                                    <w:rPr>
                                      <w:rFonts w:ascii="標楷體" w:eastAsia="標楷體" w:hAnsi="標楷體" w:cs="新細明體" w:hint="eastAsia"/>
                                      <w:color w:val="000000"/>
                                      <w:kern w:val="0"/>
                                      <w:sz w:val="20"/>
                                      <w:szCs w:val="20"/>
                                    </w:rPr>
                                    <w:t>樹幹突出</w:t>
                                  </w:r>
                                </w:p>
                              </w:tc>
                              <w:tc>
                                <w:tcPr>
                                  <w:tcW w:w="851" w:type="dxa"/>
                                  <w:shd w:val="clear" w:color="auto" w:fill="auto"/>
                                  <w:vAlign w:val="center"/>
                                </w:tcPr>
                                <w:p w14:paraId="3EB70354" w14:textId="77777777" w:rsidR="00D74004" w:rsidRPr="002D021D" w:rsidRDefault="00D74004" w:rsidP="00824CD6">
                                  <w:pPr>
                                    <w:widowControl/>
                                    <w:suppressAutoHyphens/>
                                    <w:overflowPunct w:val="0"/>
                                    <w:snapToGrid w:val="0"/>
                                    <w:ind w:leftChars="-47" w:left="-19" w:rightChars="-39" w:right="-94" w:hangingChars="47" w:hanging="94"/>
                                    <w:jc w:val="center"/>
                                    <w:rPr>
                                      <w:rFonts w:ascii="標楷體" w:eastAsia="標楷體" w:hAnsi="標楷體"/>
                                      <w:bCs/>
                                      <w:sz w:val="20"/>
                                      <w:szCs w:val="20"/>
                                    </w:rPr>
                                  </w:pPr>
                                  <w:proofErr w:type="gramStart"/>
                                  <w:r w:rsidRPr="002D021D">
                                    <w:rPr>
                                      <w:rFonts w:ascii="標楷體" w:eastAsia="標楷體" w:hAnsi="標楷體" w:cs="新細明體" w:hint="eastAsia"/>
                                      <w:color w:val="000000"/>
                                      <w:kern w:val="0"/>
                                      <w:sz w:val="20"/>
                                      <w:szCs w:val="20"/>
                                    </w:rPr>
                                    <w:t>樹木竄根</w:t>
                                  </w:r>
                                  <w:proofErr w:type="gramEnd"/>
                                </w:p>
                              </w:tc>
                            </w:tr>
                            <w:tr w:rsidR="00D74004" w14:paraId="2EA18C9A" w14:textId="77777777" w:rsidTr="00824CD6">
                              <w:trPr>
                                <w:trHeight w:val="340"/>
                              </w:trPr>
                              <w:tc>
                                <w:tcPr>
                                  <w:tcW w:w="1560" w:type="dxa"/>
                                  <w:shd w:val="clear" w:color="auto" w:fill="auto"/>
                                  <w:vAlign w:val="center"/>
                                </w:tcPr>
                                <w:p w14:paraId="51E07FBB" w14:textId="77777777" w:rsidR="00D74004" w:rsidRPr="001B41AE" w:rsidRDefault="00D74004" w:rsidP="00824CD6">
                                  <w:pPr>
                                    <w:widowControl/>
                                    <w:suppressAutoHyphens/>
                                    <w:overflowPunct w:val="0"/>
                                    <w:snapToGrid w:val="0"/>
                                    <w:ind w:leftChars="-46" w:left="-110" w:rightChars="-52" w:right="-125"/>
                                    <w:jc w:val="center"/>
                                    <w:rPr>
                                      <w:rFonts w:ascii="標楷體" w:eastAsia="標楷體" w:hAnsi="標楷體"/>
                                      <w:b/>
                                      <w:sz w:val="20"/>
                                      <w:szCs w:val="20"/>
                                    </w:rPr>
                                  </w:pPr>
                                  <w:r w:rsidRPr="001B41AE">
                                    <w:rPr>
                                      <w:rFonts w:ascii="標楷體" w:eastAsia="標楷體" w:hAnsi="標楷體" w:hint="eastAsia"/>
                                      <w:b/>
                                      <w:sz w:val="20"/>
                                      <w:szCs w:val="20"/>
                                    </w:rPr>
                                    <w:t>合計</w:t>
                                  </w:r>
                                </w:p>
                              </w:tc>
                              <w:tc>
                                <w:tcPr>
                                  <w:tcW w:w="1275" w:type="dxa"/>
                                  <w:shd w:val="clear" w:color="auto" w:fill="auto"/>
                                  <w:vAlign w:val="center"/>
                                </w:tcPr>
                                <w:p w14:paraId="2C910253" w14:textId="77777777" w:rsidR="00D74004" w:rsidRPr="001B41AE" w:rsidRDefault="00D74004" w:rsidP="00824CD6">
                                  <w:pPr>
                                    <w:widowControl/>
                                    <w:suppressAutoHyphens/>
                                    <w:overflowPunct w:val="0"/>
                                    <w:snapToGrid w:val="0"/>
                                    <w:ind w:rightChars="31" w:right="74"/>
                                    <w:jc w:val="right"/>
                                    <w:rPr>
                                      <w:rFonts w:ascii="標楷體" w:eastAsia="標楷體" w:hAnsi="標楷體"/>
                                      <w:b/>
                                      <w:sz w:val="20"/>
                                      <w:szCs w:val="20"/>
                                    </w:rPr>
                                  </w:pPr>
                                  <w:r w:rsidRPr="001B41AE">
                                    <w:rPr>
                                      <w:rFonts w:ascii="標楷體" w:eastAsia="標楷體" w:hAnsi="標楷體" w:hint="eastAsia"/>
                                      <w:b/>
                                      <w:sz w:val="20"/>
                                      <w:szCs w:val="20"/>
                                    </w:rPr>
                                    <w:t>1,394,642</w:t>
                                  </w:r>
                                </w:p>
                              </w:tc>
                              <w:tc>
                                <w:tcPr>
                                  <w:tcW w:w="567" w:type="dxa"/>
                                  <w:shd w:val="clear" w:color="auto" w:fill="auto"/>
                                  <w:vAlign w:val="center"/>
                                </w:tcPr>
                                <w:p w14:paraId="5212F860" w14:textId="77777777" w:rsidR="00D74004" w:rsidRPr="001B41AE" w:rsidRDefault="00D74004" w:rsidP="00824CD6">
                                  <w:pPr>
                                    <w:widowControl/>
                                    <w:suppressAutoHyphens/>
                                    <w:overflowPunct w:val="0"/>
                                    <w:snapToGrid w:val="0"/>
                                    <w:jc w:val="right"/>
                                    <w:rPr>
                                      <w:rFonts w:ascii="標楷體" w:eastAsia="標楷體" w:hAnsi="標楷體"/>
                                      <w:b/>
                                      <w:sz w:val="20"/>
                                      <w:szCs w:val="20"/>
                                    </w:rPr>
                                  </w:pPr>
                                  <w:r w:rsidRPr="001B41AE">
                                    <w:rPr>
                                      <w:rFonts w:ascii="標楷體" w:eastAsia="標楷體" w:hAnsi="標楷體" w:hint="eastAsia"/>
                                      <w:b/>
                                      <w:sz w:val="20"/>
                                      <w:szCs w:val="20"/>
                                    </w:rPr>
                                    <w:t>25</w:t>
                                  </w:r>
                                </w:p>
                              </w:tc>
                              <w:tc>
                                <w:tcPr>
                                  <w:tcW w:w="1134" w:type="dxa"/>
                                  <w:shd w:val="clear" w:color="auto" w:fill="auto"/>
                                  <w:vAlign w:val="center"/>
                                </w:tcPr>
                                <w:p w14:paraId="3CCF6CFE" w14:textId="77777777" w:rsidR="00D74004" w:rsidRPr="001B41AE" w:rsidRDefault="00D74004" w:rsidP="00824CD6">
                                  <w:pPr>
                                    <w:widowControl/>
                                    <w:suppressAutoHyphens/>
                                    <w:overflowPunct w:val="0"/>
                                    <w:snapToGrid w:val="0"/>
                                    <w:jc w:val="right"/>
                                    <w:rPr>
                                      <w:rFonts w:ascii="標楷體" w:eastAsia="標楷體" w:hAnsi="標楷體"/>
                                      <w:b/>
                                      <w:sz w:val="20"/>
                                      <w:szCs w:val="20"/>
                                    </w:rPr>
                                  </w:pPr>
                                  <w:r w:rsidRPr="001B41AE">
                                    <w:rPr>
                                      <w:rFonts w:ascii="標楷體" w:eastAsia="標楷體" w:hAnsi="標楷體" w:hint="eastAsia"/>
                                      <w:b/>
                                      <w:sz w:val="20"/>
                                      <w:szCs w:val="20"/>
                                    </w:rPr>
                                    <w:t>14</w:t>
                                  </w:r>
                                </w:p>
                              </w:tc>
                              <w:tc>
                                <w:tcPr>
                                  <w:tcW w:w="851" w:type="dxa"/>
                                  <w:shd w:val="clear" w:color="auto" w:fill="auto"/>
                                  <w:vAlign w:val="center"/>
                                </w:tcPr>
                                <w:p w14:paraId="7C95183F" w14:textId="77777777" w:rsidR="00D74004" w:rsidRPr="001B41AE" w:rsidRDefault="00D74004" w:rsidP="00824CD6">
                                  <w:pPr>
                                    <w:widowControl/>
                                    <w:suppressAutoHyphens/>
                                    <w:overflowPunct w:val="0"/>
                                    <w:snapToGrid w:val="0"/>
                                    <w:jc w:val="right"/>
                                    <w:rPr>
                                      <w:rFonts w:ascii="標楷體" w:eastAsia="標楷體" w:hAnsi="標楷體"/>
                                      <w:b/>
                                      <w:sz w:val="20"/>
                                      <w:szCs w:val="20"/>
                                    </w:rPr>
                                  </w:pPr>
                                  <w:r w:rsidRPr="001B41AE">
                                    <w:rPr>
                                      <w:rFonts w:ascii="標楷體" w:eastAsia="標楷體" w:hAnsi="標楷體" w:hint="eastAsia"/>
                                      <w:b/>
                                      <w:sz w:val="20"/>
                                      <w:szCs w:val="20"/>
                                    </w:rPr>
                                    <w:t>5</w:t>
                                  </w:r>
                                </w:p>
                              </w:tc>
                              <w:tc>
                                <w:tcPr>
                                  <w:tcW w:w="850" w:type="dxa"/>
                                  <w:shd w:val="clear" w:color="auto" w:fill="auto"/>
                                  <w:vAlign w:val="center"/>
                                </w:tcPr>
                                <w:p w14:paraId="7ED03021" w14:textId="77777777" w:rsidR="00D74004" w:rsidRPr="001B41AE" w:rsidRDefault="00D74004" w:rsidP="00824CD6">
                                  <w:pPr>
                                    <w:widowControl/>
                                    <w:suppressAutoHyphens/>
                                    <w:overflowPunct w:val="0"/>
                                    <w:snapToGrid w:val="0"/>
                                    <w:jc w:val="right"/>
                                    <w:rPr>
                                      <w:rFonts w:ascii="標楷體" w:eastAsia="標楷體" w:hAnsi="標楷體"/>
                                      <w:b/>
                                      <w:sz w:val="20"/>
                                      <w:szCs w:val="20"/>
                                    </w:rPr>
                                  </w:pPr>
                                  <w:r w:rsidRPr="001B41AE">
                                    <w:rPr>
                                      <w:rFonts w:ascii="標楷體" w:eastAsia="標楷體" w:hAnsi="標楷體" w:hint="eastAsia"/>
                                      <w:b/>
                                      <w:sz w:val="20"/>
                                      <w:szCs w:val="20"/>
                                    </w:rPr>
                                    <w:t>4</w:t>
                                  </w:r>
                                </w:p>
                              </w:tc>
                              <w:tc>
                                <w:tcPr>
                                  <w:tcW w:w="851" w:type="dxa"/>
                                  <w:shd w:val="clear" w:color="auto" w:fill="auto"/>
                                  <w:vAlign w:val="center"/>
                                </w:tcPr>
                                <w:p w14:paraId="13D35CF3" w14:textId="77777777" w:rsidR="00D74004" w:rsidRPr="001B41AE" w:rsidRDefault="00D74004" w:rsidP="00824CD6">
                                  <w:pPr>
                                    <w:widowControl/>
                                    <w:suppressAutoHyphens/>
                                    <w:overflowPunct w:val="0"/>
                                    <w:snapToGrid w:val="0"/>
                                    <w:jc w:val="right"/>
                                    <w:rPr>
                                      <w:rFonts w:ascii="標楷體" w:eastAsia="標楷體" w:hAnsi="標楷體"/>
                                      <w:b/>
                                      <w:sz w:val="20"/>
                                      <w:szCs w:val="20"/>
                                    </w:rPr>
                                  </w:pPr>
                                  <w:r w:rsidRPr="001B41AE">
                                    <w:rPr>
                                      <w:rFonts w:ascii="標楷體" w:eastAsia="標楷體" w:hAnsi="標楷體" w:hint="eastAsia"/>
                                      <w:b/>
                                      <w:sz w:val="20"/>
                                      <w:szCs w:val="20"/>
                                    </w:rPr>
                                    <w:t>2</w:t>
                                  </w:r>
                                </w:p>
                              </w:tc>
                            </w:tr>
                            <w:tr w:rsidR="00D74004" w14:paraId="6EC05B1E" w14:textId="77777777" w:rsidTr="00824CD6">
                              <w:trPr>
                                <w:trHeight w:val="340"/>
                              </w:trPr>
                              <w:tc>
                                <w:tcPr>
                                  <w:tcW w:w="1560" w:type="dxa"/>
                                  <w:shd w:val="clear" w:color="auto" w:fill="auto"/>
                                  <w:vAlign w:val="center"/>
                                </w:tcPr>
                                <w:p w14:paraId="069BBDE0" w14:textId="6BBDA536" w:rsidR="00D74004" w:rsidRPr="002D021D" w:rsidRDefault="00D74004" w:rsidP="00824CD6">
                                  <w:pPr>
                                    <w:widowControl/>
                                    <w:suppressAutoHyphens/>
                                    <w:overflowPunct w:val="0"/>
                                    <w:snapToGrid w:val="0"/>
                                    <w:ind w:leftChars="-46" w:left="-110" w:rightChars="-52" w:right="-125"/>
                                    <w:jc w:val="center"/>
                                    <w:rPr>
                                      <w:rFonts w:ascii="標楷體" w:eastAsia="標楷體" w:hAnsi="標楷體"/>
                                      <w:bCs/>
                                      <w:sz w:val="20"/>
                                      <w:szCs w:val="20"/>
                                    </w:rPr>
                                  </w:pPr>
                                  <w:r w:rsidRPr="002D021D">
                                    <w:rPr>
                                      <w:rFonts w:ascii="標楷體" w:eastAsia="標楷體" w:hAnsi="標楷體" w:hint="eastAsia"/>
                                      <w:bCs/>
                                      <w:sz w:val="20"/>
                                      <w:szCs w:val="20"/>
                                    </w:rPr>
                                    <w:t>111</w:t>
                                  </w:r>
                                </w:p>
                              </w:tc>
                              <w:tc>
                                <w:tcPr>
                                  <w:tcW w:w="1275" w:type="dxa"/>
                                  <w:shd w:val="clear" w:color="auto" w:fill="auto"/>
                                  <w:vAlign w:val="center"/>
                                </w:tcPr>
                                <w:p w14:paraId="1FCFEA42" w14:textId="77777777" w:rsidR="00D74004" w:rsidRPr="002D021D" w:rsidRDefault="00D74004" w:rsidP="00824CD6">
                                  <w:pPr>
                                    <w:widowControl/>
                                    <w:suppressAutoHyphens/>
                                    <w:overflowPunct w:val="0"/>
                                    <w:snapToGrid w:val="0"/>
                                    <w:ind w:rightChars="31" w:right="74"/>
                                    <w:jc w:val="right"/>
                                    <w:rPr>
                                      <w:rFonts w:ascii="標楷體" w:eastAsia="標楷體" w:hAnsi="標楷體"/>
                                      <w:bCs/>
                                      <w:sz w:val="20"/>
                                      <w:szCs w:val="20"/>
                                    </w:rPr>
                                  </w:pPr>
                                  <w:r w:rsidRPr="002D021D">
                                    <w:rPr>
                                      <w:rFonts w:ascii="標楷體" w:eastAsia="標楷體" w:hAnsi="標楷體" w:hint="eastAsia"/>
                                      <w:bCs/>
                                      <w:sz w:val="20"/>
                                      <w:szCs w:val="20"/>
                                    </w:rPr>
                                    <w:t>634,034</w:t>
                                  </w:r>
                                </w:p>
                              </w:tc>
                              <w:tc>
                                <w:tcPr>
                                  <w:tcW w:w="567" w:type="dxa"/>
                                  <w:shd w:val="clear" w:color="auto" w:fill="auto"/>
                                  <w:vAlign w:val="center"/>
                                </w:tcPr>
                                <w:p w14:paraId="065A9C14" w14:textId="77777777" w:rsidR="00D74004" w:rsidRPr="006B091B" w:rsidRDefault="00D74004" w:rsidP="00824CD6">
                                  <w:pPr>
                                    <w:widowControl/>
                                    <w:suppressAutoHyphens/>
                                    <w:overflowPunct w:val="0"/>
                                    <w:snapToGrid w:val="0"/>
                                    <w:jc w:val="right"/>
                                    <w:rPr>
                                      <w:rFonts w:ascii="標楷體" w:eastAsia="標楷體" w:hAnsi="標楷體"/>
                                      <w:b/>
                                      <w:bCs/>
                                      <w:sz w:val="20"/>
                                      <w:szCs w:val="20"/>
                                    </w:rPr>
                                  </w:pPr>
                                  <w:r w:rsidRPr="006B091B">
                                    <w:rPr>
                                      <w:rFonts w:ascii="標楷體" w:eastAsia="標楷體" w:hAnsi="標楷體" w:hint="eastAsia"/>
                                      <w:b/>
                                      <w:bCs/>
                                      <w:sz w:val="20"/>
                                      <w:szCs w:val="20"/>
                                    </w:rPr>
                                    <w:t>12</w:t>
                                  </w:r>
                                </w:p>
                              </w:tc>
                              <w:tc>
                                <w:tcPr>
                                  <w:tcW w:w="1134" w:type="dxa"/>
                                  <w:shd w:val="clear" w:color="auto" w:fill="auto"/>
                                  <w:vAlign w:val="center"/>
                                </w:tcPr>
                                <w:p w14:paraId="5D226449"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8</w:t>
                                  </w:r>
                                </w:p>
                              </w:tc>
                              <w:tc>
                                <w:tcPr>
                                  <w:tcW w:w="851" w:type="dxa"/>
                                  <w:shd w:val="clear" w:color="auto" w:fill="auto"/>
                                  <w:vAlign w:val="center"/>
                                </w:tcPr>
                                <w:p w14:paraId="0B6E2721" w14:textId="2DC5EE40" w:rsidR="00D74004" w:rsidRPr="002D021D" w:rsidRDefault="00025E8C" w:rsidP="00824CD6">
                                  <w:pPr>
                                    <w:widowControl/>
                                    <w:suppressAutoHyphens/>
                                    <w:overflowPunct w:val="0"/>
                                    <w:snapToGrid w:val="0"/>
                                    <w:jc w:val="right"/>
                                    <w:rPr>
                                      <w:rFonts w:ascii="標楷體" w:eastAsia="標楷體" w:hAnsi="標楷體"/>
                                      <w:bCs/>
                                      <w:sz w:val="20"/>
                                      <w:szCs w:val="20"/>
                                    </w:rPr>
                                  </w:pPr>
                                  <w:r>
                                    <w:rPr>
                                      <w:rFonts w:ascii="標楷體" w:eastAsia="標楷體" w:hAnsi="標楷體" w:hint="eastAsia"/>
                                      <w:bCs/>
                                      <w:sz w:val="20"/>
                                      <w:szCs w:val="20"/>
                                    </w:rPr>
                                    <w:t>－</w:t>
                                  </w:r>
                                </w:p>
                              </w:tc>
                              <w:tc>
                                <w:tcPr>
                                  <w:tcW w:w="850" w:type="dxa"/>
                                  <w:shd w:val="clear" w:color="auto" w:fill="auto"/>
                                  <w:vAlign w:val="center"/>
                                </w:tcPr>
                                <w:p w14:paraId="1BDFD1F7"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3</w:t>
                                  </w:r>
                                </w:p>
                              </w:tc>
                              <w:tc>
                                <w:tcPr>
                                  <w:tcW w:w="851" w:type="dxa"/>
                                  <w:shd w:val="clear" w:color="auto" w:fill="auto"/>
                                  <w:vAlign w:val="center"/>
                                </w:tcPr>
                                <w:p w14:paraId="7486B450"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1</w:t>
                                  </w:r>
                                </w:p>
                              </w:tc>
                            </w:tr>
                            <w:tr w:rsidR="00D74004" w14:paraId="48ACF5A0" w14:textId="77777777" w:rsidTr="00824CD6">
                              <w:trPr>
                                <w:trHeight w:val="340"/>
                              </w:trPr>
                              <w:tc>
                                <w:tcPr>
                                  <w:tcW w:w="1560" w:type="dxa"/>
                                  <w:shd w:val="clear" w:color="auto" w:fill="auto"/>
                                  <w:vAlign w:val="center"/>
                                </w:tcPr>
                                <w:p w14:paraId="64748A0D" w14:textId="6577EE5E" w:rsidR="00D74004" w:rsidRPr="002D021D" w:rsidRDefault="00D74004" w:rsidP="00824CD6">
                                  <w:pPr>
                                    <w:widowControl/>
                                    <w:suppressAutoHyphens/>
                                    <w:overflowPunct w:val="0"/>
                                    <w:snapToGrid w:val="0"/>
                                    <w:ind w:leftChars="-46" w:left="-110" w:rightChars="-52" w:right="-125"/>
                                    <w:jc w:val="center"/>
                                    <w:rPr>
                                      <w:rFonts w:ascii="標楷體" w:eastAsia="標楷體" w:hAnsi="標楷體"/>
                                      <w:bCs/>
                                      <w:sz w:val="20"/>
                                      <w:szCs w:val="20"/>
                                    </w:rPr>
                                  </w:pPr>
                                  <w:r w:rsidRPr="002D021D">
                                    <w:rPr>
                                      <w:rFonts w:ascii="標楷體" w:eastAsia="標楷體" w:hAnsi="標楷體" w:hint="eastAsia"/>
                                      <w:bCs/>
                                      <w:sz w:val="20"/>
                                      <w:szCs w:val="20"/>
                                    </w:rPr>
                                    <w:t>112</w:t>
                                  </w:r>
                                </w:p>
                              </w:tc>
                              <w:tc>
                                <w:tcPr>
                                  <w:tcW w:w="1275" w:type="dxa"/>
                                  <w:shd w:val="clear" w:color="auto" w:fill="auto"/>
                                  <w:vAlign w:val="center"/>
                                </w:tcPr>
                                <w:p w14:paraId="65E1142C" w14:textId="77777777" w:rsidR="00D74004" w:rsidRPr="002D021D" w:rsidRDefault="00D74004" w:rsidP="00824CD6">
                                  <w:pPr>
                                    <w:widowControl/>
                                    <w:suppressAutoHyphens/>
                                    <w:overflowPunct w:val="0"/>
                                    <w:snapToGrid w:val="0"/>
                                    <w:ind w:rightChars="31" w:right="74"/>
                                    <w:jc w:val="right"/>
                                    <w:rPr>
                                      <w:rFonts w:ascii="標楷體" w:eastAsia="標楷體" w:hAnsi="標楷體"/>
                                      <w:bCs/>
                                      <w:sz w:val="20"/>
                                      <w:szCs w:val="20"/>
                                    </w:rPr>
                                  </w:pPr>
                                  <w:r w:rsidRPr="002D021D">
                                    <w:rPr>
                                      <w:rFonts w:ascii="標楷體" w:eastAsia="標楷體" w:hAnsi="標楷體" w:hint="eastAsia"/>
                                      <w:bCs/>
                                      <w:sz w:val="20"/>
                                      <w:szCs w:val="20"/>
                                    </w:rPr>
                                    <w:t>593,353</w:t>
                                  </w:r>
                                </w:p>
                              </w:tc>
                              <w:tc>
                                <w:tcPr>
                                  <w:tcW w:w="567" w:type="dxa"/>
                                  <w:shd w:val="clear" w:color="auto" w:fill="auto"/>
                                  <w:vAlign w:val="center"/>
                                </w:tcPr>
                                <w:p w14:paraId="06CFDB11" w14:textId="77777777" w:rsidR="00D74004" w:rsidRPr="006B091B" w:rsidRDefault="00D74004" w:rsidP="00824CD6">
                                  <w:pPr>
                                    <w:widowControl/>
                                    <w:suppressAutoHyphens/>
                                    <w:overflowPunct w:val="0"/>
                                    <w:snapToGrid w:val="0"/>
                                    <w:jc w:val="right"/>
                                    <w:rPr>
                                      <w:rFonts w:ascii="標楷體" w:eastAsia="標楷體" w:hAnsi="標楷體"/>
                                      <w:b/>
                                      <w:bCs/>
                                      <w:sz w:val="20"/>
                                      <w:szCs w:val="20"/>
                                    </w:rPr>
                                  </w:pPr>
                                  <w:r w:rsidRPr="006B091B">
                                    <w:rPr>
                                      <w:rFonts w:ascii="標楷體" w:eastAsia="標楷體" w:hAnsi="標楷體" w:hint="eastAsia"/>
                                      <w:b/>
                                      <w:bCs/>
                                      <w:sz w:val="20"/>
                                      <w:szCs w:val="20"/>
                                    </w:rPr>
                                    <w:t>9</w:t>
                                  </w:r>
                                </w:p>
                              </w:tc>
                              <w:tc>
                                <w:tcPr>
                                  <w:tcW w:w="1134" w:type="dxa"/>
                                  <w:shd w:val="clear" w:color="auto" w:fill="auto"/>
                                  <w:vAlign w:val="center"/>
                                </w:tcPr>
                                <w:p w14:paraId="6F13D10C"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3</w:t>
                                  </w:r>
                                </w:p>
                              </w:tc>
                              <w:tc>
                                <w:tcPr>
                                  <w:tcW w:w="851" w:type="dxa"/>
                                  <w:shd w:val="clear" w:color="auto" w:fill="auto"/>
                                  <w:vAlign w:val="center"/>
                                </w:tcPr>
                                <w:p w14:paraId="6647AA33"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5</w:t>
                                  </w:r>
                                </w:p>
                              </w:tc>
                              <w:tc>
                                <w:tcPr>
                                  <w:tcW w:w="850" w:type="dxa"/>
                                  <w:shd w:val="clear" w:color="auto" w:fill="auto"/>
                                  <w:vAlign w:val="center"/>
                                </w:tcPr>
                                <w:p w14:paraId="665955A5"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1</w:t>
                                  </w:r>
                                </w:p>
                              </w:tc>
                              <w:tc>
                                <w:tcPr>
                                  <w:tcW w:w="851" w:type="dxa"/>
                                  <w:shd w:val="clear" w:color="auto" w:fill="auto"/>
                                  <w:vAlign w:val="center"/>
                                </w:tcPr>
                                <w:p w14:paraId="0C378318" w14:textId="2FBECF3A" w:rsidR="00D74004" w:rsidRPr="002D021D" w:rsidRDefault="00025E8C" w:rsidP="00824CD6">
                                  <w:pPr>
                                    <w:widowControl/>
                                    <w:suppressAutoHyphens/>
                                    <w:overflowPunct w:val="0"/>
                                    <w:snapToGrid w:val="0"/>
                                    <w:jc w:val="right"/>
                                    <w:rPr>
                                      <w:rFonts w:ascii="標楷體" w:eastAsia="標楷體" w:hAnsi="標楷體"/>
                                      <w:bCs/>
                                      <w:sz w:val="20"/>
                                      <w:szCs w:val="20"/>
                                    </w:rPr>
                                  </w:pPr>
                                  <w:r>
                                    <w:rPr>
                                      <w:rFonts w:ascii="標楷體" w:eastAsia="標楷體" w:hAnsi="標楷體" w:hint="eastAsia"/>
                                      <w:bCs/>
                                      <w:sz w:val="20"/>
                                      <w:szCs w:val="20"/>
                                    </w:rPr>
                                    <w:t>－</w:t>
                                  </w:r>
                                </w:p>
                              </w:tc>
                            </w:tr>
                            <w:tr w:rsidR="00D74004" w14:paraId="2217F6EE" w14:textId="77777777" w:rsidTr="00824CD6">
                              <w:trPr>
                                <w:trHeight w:val="340"/>
                              </w:trPr>
                              <w:tc>
                                <w:tcPr>
                                  <w:tcW w:w="1560" w:type="dxa"/>
                                  <w:shd w:val="clear" w:color="auto" w:fill="auto"/>
                                  <w:vAlign w:val="center"/>
                                </w:tcPr>
                                <w:p w14:paraId="2E57E706" w14:textId="45007FC3" w:rsidR="00D74004" w:rsidRDefault="00D74004" w:rsidP="00824CD6">
                                  <w:pPr>
                                    <w:widowControl/>
                                    <w:suppressAutoHyphens/>
                                    <w:overflowPunct w:val="0"/>
                                    <w:snapToGrid w:val="0"/>
                                    <w:ind w:leftChars="-46" w:left="-110" w:rightChars="-52" w:right="-125"/>
                                    <w:jc w:val="center"/>
                                    <w:rPr>
                                      <w:rFonts w:ascii="標楷體" w:eastAsia="標楷體" w:hAnsi="標楷體"/>
                                      <w:bCs/>
                                      <w:sz w:val="20"/>
                                      <w:szCs w:val="20"/>
                                    </w:rPr>
                                  </w:pPr>
                                  <w:r w:rsidRPr="002D021D">
                                    <w:rPr>
                                      <w:rFonts w:ascii="標楷體" w:eastAsia="標楷體" w:hAnsi="標楷體" w:hint="eastAsia"/>
                                      <w:bCs/>
                                      <w:sz w:val="20"/>
                                      <w:szCs w:val="20"/>
                                    </w:rPr>
                                    <w:t>113</w:t>
                                  </w:r>
                                </w:p>
                                <w:p w14:paraId="7D469A3B" w14:textId="77777777" w:rsidR="00D74004" w:rsidRPr="002D021D" w:rsidRDefault="00D74004" w:rsidP="00824CD6">
                                  <w:pPr>
                                    <w:widowControl/>
                                    <w:suppressAutoHyphens/>
                                    <w:overflowPunct w:val="0"/>
                                    <w:snapToGrid w:val="0"/>
                                    <w:ind w:leftChars="-46" w:left="-110" w:rightChars="-52" w:right="-125"/>
                                    <w:jc w:val="center"/>
                                    <w:rPr>
                                      <w:rFonts w:ascii="標楷體" w:eastAsia="標楷體" w:hAnsi="標楷體"/>
                                      <w:bCs/>
                                      <w:sz w:val="20"/>
                                      <w:szCs w:val="20"/>
                                    </w:rPr>
                                  </w:pPr>
                                  <w:r w:rsidRPr="002D021D">
                                    <w:rPr>
                                      <w:rFonts w:ascii="標楷體" w:eastAsia="標楷體" w:hAnsi="標楷體" w:hint="eastAsia"/>
                                      <w:bCs/>
                                      <w:sz w:val="20"/>
                                      <w:szCs w:val="20"/>
                                    </w:rPr>
                                    <w:t>(截至10月底</w:t>
                                  </w:r>
                                  <w:r>
                                    <w:rPr>
                                      <w:rFonts w:ascii="標楷體" w:eastAsia="標楷體" w:hAnsi="標楷體" w:hint="eastAsia"/>
                                      <w:bCs/>
                                      <w:sz w:val="20"/>
                                      <w:szCs w:val="20"/>
                                    </w:rPr>
                                    <w:t>止</w:t>
                                  </w:r>
                                  <w:r w:rsidRPr="002D021D">
                                    <w:rPr>
                                      <w:rFonts w:ascii="標楷體" w:eastAsia="標楷體" w:hAnsi="標楷體" w:hint="eastAsia"/>
                                      <w:bCs/>
                                      <w:sz w:val="20"/>
                                      <w:szCs w:val="20"/>
                                    </w:rPr>
                                    <w:t>)</w:t>
                                  </w:r>
                                </w:p>
                              </w:tc>
                              <w:tc>
                                <w:tcPr>
                                  <w:tcW w:w="1275" w:type="dxa"/>
                                  <w:shd w:val="clear" w:color="auto" w:fill="auto"/>
                                  <w:vAlign w:val="center"/>
                                </w:tcPr>
                                <w:p w14:paraId="1897CD76" w14:textId="77777777" w:rsidR="00D74004" w:rsidRPr="002D021D" w:rsidRDefault="00D74004" w:rsidP="00824CD6">
                                  <w:pPr>
                                    <w:widowControl/>
                                    <w:suppressAutoHyphens/>
                                    <w:overflowPunct w:val="0"/>
                                    <w:snapToGrid w:val="0"/>
                                    <w:ind w:rightChars="31" w:right="74"/>
                                    <w:jc w:val="right"/>
                                    <w:rPr>
                                      <w:rFonts w:ascii="標楷體" w:eastAsia="標楷體" w:hAnsi="標楷體"/>
                                      <w:bCs/>
                                      <w:sz w:val="20"/>
                                      <w:szCs w:val="20"/>
                                    </w:rPr>
                                  </w:pPr>
                                  <w:r w:rsidRPr="002D021D">
                                    <w:rPr>
                                      <w:rFonts w:ascii="標楷體" w:eastAsia="標楷體" w:hAnsi="標楷體" w:hint="eastAsia"/>
                                      <w:bCs/>
                                      <w:sz w:val="20"/>
                                      <w:szCs w:val="20"/>
                                    </w:rPr>
                                    <w:t>167,255</w:t>
                                  </w:r>
                                </w:p>
                              </w:tc>
                              <w:tc>
                                <w:tcPr>
                                  <w:tcW w:w="567" w:type="dxa"/>
                                  <w:shd w:val="clear" w:color="auto" w:fill="auto"/>
                                  <w:vAlign w:val="center"/>
                                </w:tcPr>
                                <w:p w14:paraId="12B1DD72" w14:textId="77777777" w:rsidR="00D74004" w:rsidRPr="006B091B" w:rsidRDefault="00D74004" w:rsidP="00824CD6">
                                  <w:pPr>
                                    <w:widowControl/>
                                    <w:suppressAutoHyphens/>
                                    <w:overflowPunct w:val="0"/>
                                    <w:snapToGrid w:val="0"/>
                                    <w:jc w:val="right"/>
                                    <w:rPr>
                                      <w:rFonts w:ascii="標楷體" w:eastAsia="標楷體" w:hAnsi="標楷體"/>
                                      <w:b/>
                                      <w:bCs/>
                                      <w:sz w:val="20"/>
                                      <w:szCs w:val="20"/>
                                    </w:rPr>
                                  </w:pPr>
                                  <w:r w:rsidRPr="006B091B">
                                    <w:rPr>
                                      <w:rFonts w:ascii="標楷體" w:eastAsia="標楷體" w:hAnsi="標楷體" w:hint="eastAsia"/>
                                      <w:b/>
                                      <w:bCs/>
                                      <w:sz w:val="20"/>
                                      <w:szCs w:val="20"/>
                                    </w:rPr>
                                    <w:t>4</w:t>
                                  </w:r>
                                </w:p>
                              </w:tc>
                              <w:tc>
                                <w:tcPr>
                                  <w:tcW w:w="1134" w:type="dxa"/>
                                  <w:shd w:val="clear" w:color="auto" w:fill="auto"/>
                                  <w:vAlign w:val="center"/>
                                </w:tcPr>
                                <w:p w14:paraId="4C890D05"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3</w:t>
                                  </w:r>
                                </w:p>
                              </w:tc>
                              <w:tc>
                                <w:tcPr>
                                  <w:tcW w:w="851" w:type="dxa"/>
                                  <w:shd w:val="clear" w:color="auto" w:fill="auto"/>
                                  <w:vAlign w:val="center"/>
                                </w:tcPr>
                                <w:p w14:paraId="40C551E8" w14:textId="69A27475" w:rsidR="00D74004" w:rsidRPr="002D021D" w:rsidRDefault="00025E8C" w:rsidP="00824CD6">
                                  <w:pPr>
                                    <w:widowControl/>
                                    <w:suppressAutoHyphens/>
                                    <w:overflowPunct w:val="0"/>
                                    <w:snapToGrid w:val="0"/>
                                    <w:jc w:val="right"/>
                                    <w:rPr>
                                      <w:rFonts w:ascii="標楷體" w:eastAsia="標楷體" w:hAnsi="標楷體"/>
                                      <w:bCs/>
                                      <w:sz w:val="20"/>
                                      <w:szCs w:val="20"/>
                                    </w:rPr>
                                  </w:pPr>
                                  <w:r>
                                    <w:rPr>
                                      <w:rFonts w:ascii="標楷體" w:eastAsia="標楷體" w:hAnsi="標楷體" w:hint="eastAsia"/>
                                      <w:bCs/>
                                      <w:sz w:val="20"/>
                                      <w:szCs w:val="20"/>
                                    </w:rPr>
                                    <w:t>－</w:t>
                                  </w:r>
                                </w:p>
                              </w:tc>
                              <w:tc>
                                <w:tcPr>
                                  <w:tcW w:w="850" w:type="dxa"/>
                                  <w:shd w:val="clear" w:color="auto" w:fill="auto"/>
                                  <w:vAlign w:val="center"/>
                                </w:tcPr>
                                <w:p w14:paraId="6CE409FE" w14:textId="66C08E88" w:rsidR="00D74004" w:rsidRPr="002D021D" w:rsidRDefault="00025E8C" w:rsidP="00824CD6">
                                  <w:pPr>
                                    <w:widowControl/>
                                    <w:suppressAutoHyphens/>
                                    <w:overflowPunct w:val="0"/>
                                    <w:snapToGrid w:val="0"/>
                                    <w:jc w:val="right"/>
                                    <w:rPr>
                                      <w:rFonts w:ascii="標楷體" w:eastAsia="標楷體" w:hAnsi="標楷體"/>
                                      <w:bCs/>
                                      <w:sz w:val="20"/>
                                      <w:szCs w:val="20"/>
                                    </w:rPr>
                                  </w:pPr>
                                  <w:r>
                                    <w:rPr>
                                      <w:rFonts w:ascii="標楷體" w:eastAsia="標楷體" w:hAnsi="標楷體" w:hint="eastAsia"/>
                                      <w:bCs/>
                                      <w:sz w:val="20"/>
                                      <w:szCs w:val="20"/>
                                    </w:rPr>
                                    <w:t>－</w:t>
                                  </w:r>
                                </w:p>
                              </w:tc>
                              <w:tc>
                                <w:tcPr>
                                  <w:tcW w:w="851" w:type="dxa"/>
                                  <w:shd w:val="clear" w:color="auto" w:fill="auto"/>
                                  <w:vAlign w:val="center"/>
                                </w:tcPr>
                                <w:p w14:paraId="036057E1"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1</w:t>
                                  </w:r>
                                </w:p>
                              </w:tc>
                            </w:tr>
                          </w:tbl>
                          <w:p w14:paraId="0C68D80A" w14:textId="77777777" w:rsidR="00D74004" w:rsidRPr="002D021D" w:rsidRDefault="00D74004" w:rsidP="00D74004">
                            <w:pPr>
                              <w:widowControl/>
                              <w:overflowPunct w:val="0"/>
                              <w:snapToGrid w:val="0"/>
                              <w:spacing w:line="220" w:lineRule="exact"/>
                              <w:jc w:val="both"/>
                              <w:rPr>
                                <w:sz w:val="18"/>
                                <w:szCs w:val="18"/>
                              </w:rPr>
                            </w:pPr>
                            <w:r w:rsidRPr="002D021D">
                              <w:rPr>
                                <w:rFonts w:ascii="標楷體" w:eastAsia="標楷體" w:hAnsi="標楷體" w:hint="eastAsia"/>
                                <w:bCs/>
                                <w:sz w:val="18"/>
                                <w:szCs w:val="18"/>
                              </w:rPr>
                              <w:t>資料來源：整理自</w:t>
                            </w:r>
                            <w:r>
                              <w:rPr>
                                <w:rFonts w:ascii="標楷體" w:eastAsia="標楷體" w:hAnsi="標楷體" w:hint="eastAsia"/>
                                <w:bCs/>
                                <w:sz w:val="18"/>
                                <w:szCs w:val="18"/>
                              </w:rPr>
                              <w:t>公園路燈工程管理</w:t>
                            </w:r>
                            <w:r w:rsidRPr="002D021D">
                              <w:rPr>
                                <w:rFonts w:ascii="標楷體" w:eastAsia="標楷體" w:hAnsi="標楷體" w:hint="eastAsia"/>
                                <w:bCs/>
                                <w:sz w:val="18"/>
                                <w:szCs w:val="18"/>
                              </w:rPr>
                              <w:t>處提供資料。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3CD0A37" id="_x0000_s1077" type="#_x0000_t202" style="position:absolute;left:0;text-align:left;margin-left:143.35pt;margin-top:620.85pt;width:358.5pt;height:150.1pt;z-index:-2515220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" stroked="f">
                <v:textbox inset="0,0,0,0">
                  <w:txbxContent>
                    <w:p w14:paraId="45DDDC13" w14:textId="77777777" w:rsidR="00D74004" w:rsidRDefault="00D74004" w:rsidP="00D74004">
                      <w:pPr>
                        <w:widowControl/>
                        <w:overflowPunct w:val="0"/>
                        <w:snapToGrid w:val="0"/>
                        <w:ind w:leftChars="17" w:left="41" w:rightChars="-26" w:right="-62" w:firstLineChars="42" w:firstLine="101"/>
                        <w:jc w:val="center"/>
                        <w:rPr>
                          <w:rFonts w:ascii="標楷體" w:eastAsia="標楷體" w:hAnsi="標楷體"/>
                          <w:b/>
                          <w:bCs/>
                          <w:szCs w:val="24"/>
                        </w:rPr>
                      </w:pPr>
                      <w:r w:rsidRPr="004B021E">
                        <w:rPr>
                          <w:rFonts w:ascii="標楷體" w:eastAsia="標楷體" w:hAnsi="標楷體" w:hint="eastAsia"/>
                          <w:b/>
                          <w:bCs/>
                          <w:szCs w:val="24"/>
                        </w:rPr>
                        <w:t>表</w:t>
                      </w:r>
                      <w:r>
                        <w:rPr>
                          <w:rFonts w:ascii="標楷體" w:eastAsia="標楷體" w:hAnsi="標楷體"/>
                          <w:b/>
                          <w:bCs/>
                          <w:color w:val="000000"/>
                          <w:szCs w:val="24"/>
                        </w:rPr>
                        <w:t>4</w:t>
                      </w:r>
                      <w:r w:rsidRPr="00591FA2">
                        <w:rPr>
                          <w:rFonts w:ascii="標楷體" w:eastAsia="標楷體" w:hAnsi="標楷體" w:hint="eastAsia"/>
                          <w:b/>
                          <w:bCs/>
                        </w:rPr>
                        <w:t xml:space="preserve">　</w:t>
                      </w:r>
                      <w:r>
                        <w:rPr>
                          <w:rFonts w:ascii="標楷體" w:eastAsia="標楷體" w:hAnsi="標楷體" w:hint="eastAsia"/>
                          <w:b/>
                          <w:bCs/>
                          <w:szCs w:val="24"/>
                        </w:rPr>
                        <w:t>公園處</w:t>
                      </w:r>
                      <w:r w:rsidRPr="004B021E">
                        <w:rPr>
                          <w:rFonts w:ascii="標楷體" w:eastAsia="標楷體" w:hAnsi="標楷體" w:hint="eastAsia"/>
                          <w:b/>
                          <w:bCs/>
                          <w:szCs w:val="24"/>
                        </w:rPr>
                        <w:t>國家賠償案件原因分析</w:t>
                      </w:r>
                    </w:p>
                    <w:p w14:paraId="6B509273" w14:textId="77777777" w:rsidR="00D74004" w:rsidRPr="00273E94" w:rsidRDefault="00D74004" w:rsidP="00D74004">
                      <w:pPr>
                        <w:widowControl/>
                        <w:overflowPunct w:val="0"/>
                        <w:snapToGrid w:val="0"/>
                        <w:ind w:leftChars="17" w:left="41" w:rightChars="34" w:right="82" w:firstLineChars="42" w:firstLine="84"/>
                        <w:jc w:val="right"/>
                        <w:rPr>
                          <w:rFonts w:ascii="標楷體" w:eastAsia="標楷體" w:hAnsi="標楷體"/>
                          <w:szCs w:val="24"/>
                        </w:rPr>
                      </w:pPr>
                      <w:r w:rsidRPr="00273E94">
                        <w:rPr>
                          <w:rFonts w:ascii="標楷體" w:eastAsia="標楷體" w:hAnsi="標楷體" w:hint="eastAsia"/>
                          <w:sz w:val="20"/>
                          <w:szCs w:val="20"/>
                        </w:rPr>
                        <w:t>單位：新臺幣元</w:t>
                      </w:r>
                      <w:r>
                        <w:rPr>
                          <w:rFonts w:ascii="標楷體" w:eastAsia="標楷體" w:hAnsi="標楷體" w:hint="eastAsia"/>
                          <w:sz w:val="20"/>
                          <w:szCs w:val="20"/>
                        </w:rPr>
                        <w:t>、件</w:t>
                      </w:r>
                    </w:p>
                    <w:tbl>
                      <w:tblPr>
                        <w:tblW w:w="70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275"/>
                        <w:gridCol w:w="567"/>
                        <w:gridCol w:w="1134"/>
                        <w:gridCol w:w="851"/>
                        <w:gridCol w:w="850"/>
                        <w:gridCol w:w="851"/>
                      </w:tblGrid>
                      <w:tr w:rsidR="00D74004" w14:paraId="0E07875C" w14:textId="77777777" w:rsidTr="00824CD6">
                        <w:trPr>
                          <w:tblHeader/>
                        </w:trPr>
                        <w:tc>
                          <w:tcPr>
                            <w:tcW w:w="1560" w:type="dxa"/>
                            <w:tcBorders>
                              <w:tl2br w:val="single" w:sz="4" w:space="0" w:color="auto"/>
                            </w:tcBorders>
                            <w:shd w:val="clear" w:color="auto" w:fill="auto"/>
                            <w:vAlign w:val="center"/>
                          </w:tcPr>
                          <w:p w14:paraId="0D0F45E8" w14:textId="77777777" w:rsidR="00D74004" w:rsidRDefault="00D74004" w:rsidP="00824CD6">
                            <w:pPr>
                              <w:widowControl/>
                              <w:suppressAutoHyphens/>
                              <w:overflowPunct w:val="0"/>
                              <w:snapToGrid w:val="0"/>
                              <w:jc w:val="right"/>
                              <w:rPr>
                                <w:rFonts w:ascii="標楷體" w:eastAsia="標楷體" w:hAnsi="標楷體"/>
                                <w:bCs/>
                                <w:sz w:val="20"/>
                                <w:szCs w:val="20"/>
                              </w:rPr>
                            </w:pPr>
                            <w:r>
                              <w:rPr>
                                <w:rFonts w:ascii="標楷體" w:eastAsia="標楷體" w:hAnsi="標楷體" w:hint="eastAsia"/>
                                <w:bCs/>
                                <w:sz w:val="20"/>
                                <w:szCs w:val="20"/>
                              </w:rPr>
                              <w:t>肇因</w:t>
                            </w:r>
                          </w:p>
                          <w:p w14:paraId="1DF9A023" w14:textId="77777777" w:rsidR="00D74004" w:rsidRPr="002D021D" w:rsidRDefault="00D74004" w:rsidP="00824CD6">
                            <w:pPr>
                              <w:widowControl/>
                              <w:suppressAutoHyphens/>
                              <w:overflowPunct w:val="0"/>
                              <w:snapToGrid w:val="0"/>
                              <w:rPr>
                                <w:rFonts w:ascii="標楷體" w:eastAsia="標楷體" w:hAnsi="標楷體"/>
                                <w:bCs/>
                                <w:sz w:val="20"/>
                                <w:szCs w:val="20"/>
                              </w:rPr>
                            </w:pPr>
                            <w:r w:rsidRPr="002D021D">
                              <w:rPr>
                                <w:rFonts w:ascii="標楷體" w:eastAsia="標楷體" w:hAnsi="標楷體" w:hint="eastAsia"/>
                                <w:bCs/>
                                <w:sz w:val="20"/>
                                <w:szCs w:val="20"/>
                              </w:rPr>
                              <w:t>年度</w:t>
                            </w:r>
                          </w:p>
                        </w:tc>
                        <w:tc>
                          <w:tcPr>
                            <w:tcW w:w="1275" w:type="dxa"/>
                            <w:shd w:val="clear" w:color="auto" w:fill="auto"/>
                            <w:vAlign w:val="center"/>
                          </w:tcPr>
                          <w:p w14:paraId="0C8123CD" w14:textId="77777777" w:rsidR="00D74004" w:rsidRPr="002D021D" w:rsidRDefault="00D74004" w:rsidP="00824CD6">
                            <w:pPr>
                              <w:widowControl/>
                              <w:suppressAutoHyphens/>
                              <w:overflowPunct w:val="0"/>
                              <w:snapToGrid w:val="0"/>
                              <w:ind w:leftChars="-47" w:left="-19" w:rightChars="-39" w:right="-94" w:hangingChars="47" w:hanging="94"/>
                              <w:jc w:val="center"/>
                              <w:rPr>
                                <w:rFonts w:ascii="標楷體" w:eastAsia="標楷體" w:hAnsi="標楷體"/>
                                <w:bCs/>
                                <w:sz w:val="20"/>
                                <w:szCs w:val="20"/>
                              </w:rPr>
                            </w:pPr>
                            <w:r w:rsidRPr="002D021D">
                              <w:rPr>
                                <w:rFonts w:ascii="標楷體" w:eastAsia="標楷體" w:hAnsi="標楷體" w:hint="eastAsia"/>
                                <w:bCs/>
                                <w:sz w:val="20"/>
                                <w:szCs w:val="20"/>
                              </w:rPr>
                              <w:t>國賠金額</w:t>
                            </w:r>
                          </w:p>
                        </w:tc>
                        <w:tc>
                          <w:tcPr>
                            <w:tcW w:w="567" w:type="dxa"/>
                            <w:shd w:val="clear" w:color="auto" w:fill="auto"/>
                            <w:vAlign w:val="center"/>
                          </w:tcPr>
                          <w:p w14:paraId="51473515" w14:textId="77777777" w:rsidR="00D74004" w:rsidRPr="001B41AE" w:rsidRDefault="00D74004" w:rsidP="00824CD6">
                            <w:pPr>
                              <w:widowControl/>
                              <w:suppressAutoHyphens/>
                              <w:overflowPunct w:val="0"/>
                              <w:snapToGrid w:val="0"/>
                              <w:ind w:leftChars="-47" w:left="-19" w:rightChars="-39" w:right="-94" w:hangingChars="47" w:hanging="94"/>
                              <w:jc w:val="center"/>
                              <w:rPr>
                                <w:rFonts w:ascii="標楷體" w:eastAsia="標楷體" w:hAnsi="標楷體"/>
                                <w:sz w:val="20"/>
                                <w:szCs w:val="20"/>
                              </w:rPr>
                            </w:pPr>
                            <w:r w:rsidRPr="001B41AE">
                              <w:rPr>
                                <w:rFonts w:ascii="標楷體" w:eastAsia="標楷體" w:hAnsi="標楷體" w:hint="eastAsia"/>
                                <w:sz w:val="20"/>
                                <w:szCs w:val="20"/>
                              </w:rPr>
                              <w:t>合計</w:t>
                            </w:r>
                          </w:p>
                        </w:tc>
                        <w:tc>
                          <w:tcPr>
                            <w:tcW w:w="1134" w:type="dxa"/>
                            <w:shd w:val="clear" w:color="auto" w:fill="auto"/>
                            <w:vAlign w:val="center"/>
                          </w:tcPr>
                          <w:p w14:paraId="33CC36A7" w14:textId="77777777" w:rsidR="00D74004" w:rsidRDefault="00D74004" w:rsidP="00824CD6">
                            <w:pPr>
                              <w:widowControl/>
                              <w:suppressAutoHyphens/>
                              <w:overflowPunct w:val="0"/>
                              <w:snapToGrid w:val="0"/>
                              <w:ind w:leftChars="-47" w:left="-19" w:rightChars="-39" w:right="-94" w:hangingChars="47" w:hanging="94"/>
                              <w:jc w:val="center"/>
                              <w:rPr>
                                <w:rFonts w:ascii="標楷體" w:eastAsia="標楷體" w:hAnsi="標楷體" w:cs="新細明體"/>
                                <w:color w:val="000000"/>
                                <w:kern w:val="0"/>
                                <w:sz w:val="20"/>
                                <w:szCs w:val="20"/>
                              </w:rPr>
                            </w:pPr>
                            <w:r w:rsidRPr="002D021D">
                              <w:rPr>
                                <w:rFonts w:ascii="標楷體" w:eastAsia="標楷體" w:hAnsi="標楷體" w:cs="新細明體" w:hint="eastAsia"/>
                                <w:color w:val="000000"/>
                                <w:kern w:val="0"/>
                                <w:sz w:val="20"/>
                                <w:szCs w:val="20"/>
                              </w:rPr>
                              <w:t>樹幹掉落、</w:t>
                            </w:r>
                          </w:p>
                          <w:p w14:paraId="3C597E35" w14:textId="77777777" w:rsidR="00D74004" w:rsidRPr="002D021D" w:rsidRDefault="00D74004" w:rsidP="00824CD6">
                            <w:pPr>
                              <w:widowControl/>
                              <w:suppressAutoHyphens/>
                              <w:overflowPunct w:val="0"/>
                              <w:snapToGrid w:val="0"/>
                              <w:ind w:leftChars="-47" w:left="-19" w:rightChars="-39" w:right="-94" w:hangingChars="47" w:hanging="94"/>
                              <w:jc w:val="center"/>
                              <w:rPr>
                                <w:rFonts w:ascii="標楷體" w:eastAsia="標楷體" w:hAnsi="標楷體"/>
                                <w:bCs/>
                                <w:sz w:val="20"/>
                                <w:szCs w:val="20"/>
                              </w:rPr>
                            </w:pPr>
                            <w:proofErr w:type="gramStart"/>
                            <w:r w:rsidRPr="002D021D">
                              <w:rPr>
                                <w:rFonts w:ascii="標楷體" w:eastAsia="標楷體" w:hAnsi="標楷體" w:cs="新細明體" w:hint="eastAsia"/>
                                <w:color w:val="000000"/>
                                <w:kern w:val="0"/>
                                <w:sz w:val="20"/>
                                <w:szCs w:val="20"/>
                              </w:rPr>
                              <w:t>斷枝</w:t>
                            </w:r>
                            <w:proofErr w:type="gramEnd"/>
                          </w:p>
                        </w:tc>
                        <w:tc>
                          <w:tcPr>
                            <w:tcW w:w="851" w:type="dxa"/>
                            <w:shd w:val="clear" w:color="auto" w:fill="auto"/>
                            <w:vAlign w:val="center"/>
                          </w:tcPr>
                          <w:p w14:paraId="504B936A" w14:textId="77777777" w:rsidR="00D74004" w:rsidRPr="002D021D" w:rsidRDefault="00D74004" w:rsidP="00824CD6">
                            <w:pPr>
                              <w:widowControl/>
                              <w:suppressAutoHyphens/>
                              <w:overflowPunct w:val="0"/>
                              <w:snapToGrid w:val="0"/>
                              <w:ind w:leftChars="-47" w:left="-19" w:rightChars="-39" w:right="-94" w:hangingChars="47" w:hanging="94"/>
                              <w:jc w:val="center"/>
                              <w:rPr>
                                <w:rFonts w:ascii="標楷體" w:eastAsia="標楷體" w:hAnsi="標楷體"/>
                                <w:bCs/>
                                <w:sz w:val="20"/>
                                <w:szCs w:val="20"/>
                              </w:rPr>
                            </w:pPr>
                            <w:r w:rsidRPr="002D021D">
                              <w:rPr>
                                <w:rFonts w:ascii="標楷體" w:eastAsia="標楷體" w:hAnsi="標楷體" w:cs="新細明體" w:hint="eastAsia"/>
                                <w:color w:val="000000"/>
                                <w:kern w:val="0"/>
                                <w:sz w:val="20"/>
                                <w:szCs w:val="20"/>
                              </w:rPr>
                              <w:t>樹木倒塌</w:t>
                            </w:r>
                          </w:p>
                        </w:tc>
                        <w:tc>
                          <w:tcPr>
                            <w:tcW w:w="850" w:type="dxa"/>
                            <w:shd w:val="clear" w:color="auto" w:fill="auto"/>
                            <w:vAlign w:val="center"/>
                          </w:tcPr>
                          <w:p w14:paraId="7E633361" w14:textId="77777777" w:rsidR="00D74004" w:rsidRPr="002D021D" w:rsidRDefault="00D74004" w:rsidP="00824CD6">
                            <w:pPr>
                              <w:widowControl/>
                              <w:suppressAutoHyphens/>
                              <w:overflowPunct w:val="0"/>
                              <w:snapToGrid w:val="0"/>
                              <w:ind w:leftChars="-47" w:left="-19" w:rightChars="-39" w:right="-94" w:hangingChars="47" w:hanging="94"/>
                              <w:jc w:val="center"/>
                              <w:rPr>
                                <w:rFonts w:ascii="標楷體" w:eastAsia="標楷體" w:hAnsi="標楷體"/>
                                <w:bCs/>
                                <w:sz w:val="20"/>
                                <w:szCs w:val="20"/>
                              </w:rPr>
                            </w:pPr>
                            <w:r w:rsidRPr="002D021D">
                              <w:rPr>
                                <w:rFonts w:ascii="標楷體" w:eastAsia="標楷體" w:hAnsi="標楷體" w:cs="新細明體" w:hint="eastAsia"/>
                                <w:color w:val="000000"/>
                                <w:kern w:val="0"/>
                                <w:sz w:val="20"/>
                                <w:szCs w:val="20"/>
                              </w:rPr>
                              <w:t>樹幹突出</w:t>
                            </w:r>
                          </w:p>
                        </w:tc>
                        <w:tc>
                          <w:tcPr>
                            <w:tcW w:w="851" w:type="dxa"/>
                            <w:shd w:val="clear" w:color="auto" w:fill="auto"/>
                            <w:vAlign w:val="center"/>
                          </w:tcPr>
                          <w:p w14:paraId="3EB70354" w14:textId="77777777" w:rsidR="00D74004" w:rsidRPr="002D021D" w:rsidRDefault="00D74004" w:rsidP="00824CD6">
                            <w:pPr>
                              <w:widowControl/>
                              <w:suppressAutoHyphens/>
                              <w:overflowPunct w:val="0"/>
                              <w:snapToGrid w:val="0"/>
                              <w:ind w:leftChars="-47" w:left="-19" w:rightChars="-39" w:right="-94" w:hangingChars="47" w:hanging="94"/>
                              <w:jc w:val="center"/>
                              <w:rPr>
                                <w:rFonts w:ascii="標楷體" w:eastAsia="標楷體" w:hAnsi="標楷體"/>
                                <w:bCs/>
                                <w:sz w:val="20"/>
                                <w:szCs w:val="20"/>
                              </w:rPr>
                            </w:pPr>
                            <w:proofErr w:type="gramStart"/>
                            <w:r w:rsidRPr="002D021D">
                              <w:rPr>
                                <w:rFonts w:ascii="標楷體" w:eastAsia="標楷體" w:hAnsi="標楷體" w:cs="新細明體" w:hint="eastAsia"/>
                                <w:color w:val="000000"/>
                                <w:kern w:val="0"/>
                                <w:sz w:val="20"/>
                                <w:szCs w:val="20"/>
                              </w:rPr>
                              <w:t>樹木竄根</w:t>
                            </w:r>
                            <w:proofErr w:type="gramEnd"/>
                          </w:p>
                        </w:tc>
                      </w:tr>
                      <w:tr w:rsidR="00D74004" w14:paraId="2EA18C9A" w14:textId="77777777" w:rsidTr="00824CD6">
                        <w:trPr>
                          <w:trHeight w:val="340"/>
                        </w:trPr>
                        <w:tc>
                          <w:tcPr>
                            <w:tcW w:w="1560" w:type="dxa"/>
                            <w:shd w:val="clear" w:color="auto" w:fill="auto"/>
                            <w:vAlign w:val="center"/>
                          </w:tcPr>
                          <w:p w14:paraId="51E07FBB" w14:textId="77777777" w:rsidR="00D74004" w:rsidRPr="001B41AE" w:rsidRDefault="00D74004" w:rsidP="00824CD6">
                            <w:pPr>
                              <w:widowControl/>
                              <w:suppressAutoHyphens/>
                              <w:overflowPunct w:val="0"/>
                              <w:snapToGrid w:val="0"/>
                              <w:ind w:leftChars="-46" w:left="-110" w:rightChars="-52" w:right="-125"/>
                              <w:jc w:val="center"/>
                              <w:rPr>
                                <w:rFonts w:ascii="標楷體" w:eastAsia="標楷體" w:hAnsi="標楷體"/>
                                <w:b/>
                                <w:sz w:val="20"/>
                                <w:szCs w:val="20"/>
                              </w:rPr>
                            </w:pPr>
                            <w:r w:rsidRPr="001B41AE">
                              <w:rPr>
                                <w:rFonts w:ascii="標楷體" w:eastAsia="標楷體" w:hAnsi="標楷體" w:hint="eastAsia"/>
                                <w:b/>
                                <w:sz w:val="20"/>
                                <w:szCs w:val="20"/>
                              </w:rPr>
                              <w:t>合計</w:t>
                            </w:r>
                          </w:p>
                        </w:tc>
                        <w:tc>
                          <w:tcPr>
                            <w:tcW w:w="1275" w:type="dxa"/>
                            <w:shd w:val="clear" w:color="auto" w:fill="auto"/>
                            <w:vAlign w:val="center"/>
                          </w:tcPr>
                          <w:p w14:paraId="2C910253" w14:textId="77777777" w:rsidR="00D74004" w:rsidRPr="001B41AE" w:rsidRDefault="00D74004" w:rsidP="00824CD6">
                            <w:pPr>
                              <w:widowControl/>
                              <w:suppressAutoHyphens/>
                              <w:overflowPunct w:val="0"/>
                              <w:snapToGrid w:val="0"/>
                              <w:ind w:rightChars="31" w:right="74"/>
                              <w:jc w:val="right"/>
                              <w:rPr>
                                <w:rFonts w:ascii="標楷體" w:eastAsia="標楷體" w:hAnsi="標楷體"/>
                                <w:b/>
                                <w:sz w:val="20"/>
                                <w:szCs w:val="20"/>
                              </w:rPr>
                            </w:pPr>
                            <w:r w:rsidRPr="001B41AE">
                              <w:rPr>
                                <w:rFonts w:ascii="標楷體" w:eastAsia="標楷體" w:hAnsi="標楷體" w:hint="eastAsia"/>
                                <w:b/>
                                <w:sz w:val="20"/>
                                <w:szCs w:val="20"/>
                              </w:rPr>
                              <w:t>1,394,642</w:t>
                            </w:r>
                          </w:p>
                        </w:tc>
                        <w:tc>
                          <w:tcPr>
                            <w:tcW w:w="567" w:type="dxa"/>
                            <w:shd w:val="clear" w:color="auto" w:fill="auto"/>
                            <w:vAlign w:val="center"/>
                          </w:tcPr>
                          <w:p w14:paraId="5212F860" w14:textId="77777777" w:rsidR="00D74004" w:rsidRPr="001B41AE" w:rsidRDefault="00D74004" w:rsidP="00824CD6">
                            <w:pPr>
                              <w:widowControl/>
                              <w:suppressAutoHyphens/>
                              <w:overflowPunct w:val="0"/>
                              <w:snapToGrid w:val="0"/>
                              <w:jc w:val="right"/>
                              <w:rPr>
                                <w:rFonts w:ascii="標楷體" w:eastAsia="標楷體" w:hAnsi="標楷體"/>
                                <w:b/>
                                <w:sz w:val="20"/>
                                <w:szCs w:val="20"/>
                              </w:rPr>
                            </w:pPr>
                            <w:r w:rsidRPr="001B41AE">
                              <w:rPr>
                                <w:rFonts w:ascii="標楷體" w:eastAsia="標楷體" w:hAnsi="標楷體" w:hint="eastAsia"/>
                                <w:b/>
                                <w:sz w:val="20"/>
                                <w:szCs w:val="20"/>
                              </w:rPr>
                              <w:t>25</w:t>
                            </w:r>
                          </w:p>
                        </w:tc>
                        <w:tc>
                          <w:tcPr>
                            <w:tcW w:w="1134" w:type="dxa"/>
                            <w:shd w:val="clear" w:color="auto" w:fill="auto"/>
                            <w:vAlign w:val="center"/>
                          </w:tcPr>
                          <w:p w14:paraId="3CCF6CFE" w14:textId="77777777" w:rsidR="00D74004" w:rsidRPr="001B41AE" w:rsidRDefault="00D74004" w:rsidP="00824CD6">
                            <w:pPr>
                              <w:widowControl/>
                              <w:suppressAutoHyphens/>
                              <w:overflowPunct w:val="0"/>
                              <w:snapToGrid w:val="0"/>
                              <w:jc w:val="right"/>
                              <w:rPr>
                                <w:rFonts w:ascii="標楷體" w:eastAsia="標楷體" w:hAnsi="標楷體"/>
                                <w:b/>
                                <w:sz w:val="20"/>
                                <w:szCs w:val="20"/>
                              </w:rPr>
                            </w:pPr>
                            <w:r w:rsidRPr="001B41AE">
                              <w:rPr>
                                <w:rFonts w:ascii="標楷體" w:eastAsia="標楷體" w:hAnsi="標楷體" w:hint="eastAsia"/>
                                <w:b/>
                                <w:sz w:val="20"/>
                                <w:szCs w:val="20"/>
                              </w:rPr>
                              <w:t>14</w:t>
                            </w:r>
                          </w:p>
                        </w:tc>
                        <w:tc>
                          <w:tcPr>
                            <w:tcW w:w="851" w:type="dxa"/>
                            <w:shd w:val="clear" w:color="auto" w:fill="auto"/>
                            <w:vAlign w:val="center"/>
                          </w:tcPr>
                          <w:p w14:paraId="7C95183F" w14:textId="77777777" w:rsidR="00D74004" w:rsidRPr="001B41AE" w:rsidRDefault="00D74004" w:rsidP="00824CD6">
                            <w:pPr>
                              <w:widowControl/>
                              <w:suppressAutoHyphens/>
                              <w:overflowPunct w:val="0"/>
                              <w:snapToGrid w:val="0"/>
                              <w:jc w:val="right"/>
                              <w:rPr>
                                <w:rFonts w:ascii="標楷體" w:eastAsia="標楷體" w:hAnsi="標楷體"/>
                                <w:b/>
                                <w:sz w:val="20"/>
                                <w:szCs w:val="20"/>
                              </w:rPr>
                            </w:pPr>
                            <w:r w:rsidRPr="001B41AE">
                              <w:rPr>
                                <w:rFonts w:ascii="標楷體" w:eastAsia="標楷體" w:hAnsi="標楷體" w:hint="eastAsia"/>
                                <w:b/>
                                <w:sz w:val="20"/>
                                <w:szCs w:val="20"/>
                              </w:rPr>
                              <w:t>5</w:t>
                            </w:r>
                          </w:p>
                        </w:tc>
                        <w:tc>
                          <w:tcPr>
                            <w:tcW w:w="850" w:type="dxa"/>
                            <w:shd w:val="clear" w:color="auto" w:fill="auto"/>
                            <w:vAlign w:val="center"/>
                          </w:tcPr>
                          <w:p w14:paraId="7ED03021" w14:textId="77777777" w:rsidR="00D74004" w:rsidRPr="001B41AE" w:rsidRDefault="00D74004" w:rsidP="00824CD6">
                            <w:pPr>
                              <w:widowControl/>
                              <w:suppressAutoHyphens/>
                              <w:overflowPunct w:val="0"/>
                              <w:snapToGrid w:val="0"/>
                              <w:jc w:val="right"/>
                              <w:rPr>
                                <w:rFonts w:ascii="標楷體" w:eastAsia="標楷體" w:hAnsi="標楷體"/>
                                <w:b/>
                                <w:sz w:val="20"/>
                                <w:szCs w:val="20"/>
                              </w:rPr>
                            </w:pPr>
                            <w:r w:rsidRPr="001B41AE">
                              <w:rPr>
                                <w:rFonts w:ascii="標楷體" w:eastAsia="標楷體" w:hAnsi="標楷體" w:hint="eastAsia"/>
                                <w:b/>
                                <w:sz w:val="20"/>
                                <w:szCs w:val="20"/>
                              </w:rPr>
                              <w:t>4</w:t>
                            </w:r>
                          </w:p>
                        </w:tc>
                        <w:tc>
                          <w:tcPr>
                            <w:tcW w:w="851" w:type="dxa"/>
                            <w:shd w:val="clear" w:color="auto" w:fill="auto"/>
                            <w:vAlign w:val="center"/>
                          </w:tcPr>
                          <w:p w14:paraId="13D35CF3" w14:textId="77777777" w:rsidR="00D74004" w:rsidRPr="001B41AE" w:rsidRDefault="00D74004" w:rsidP="00824CD6">
                            <w:pPr>
                              <w:widowControl/>
                              <w:suppressAutoHyphens/>
                              <w:overflowPunct w:val="0"/>
                              <w:snapToGrid w:val="0"/>
                              <w:jc w:val="right"/>
                              <w:rPr>
                                <w:rFonts w:ascii="標楷體" w:eastAsia="標楷體" w:hAnsi="標楷體"/>
                                <w:b/>
                                <w:sz w:val="20"/>
                                <w:szCs w:val="20"/>
                              </w:rPr>
                            </w:pPr>
                            <w:r w:rsidRPr="001B41AE">
                              <w:rPr>
                                <w:rFonts w:ascii="標楷體" w:eastAsia="標楷體" w:hAnsi="標楷體" w:hint="eastAsia"/>
                                <w:b/>
                                <w:sz w:val="20"/>
                                <w:szCs w:val="20"/>
                              </w:rPr>
                              <w:t>2</w:t>
                            </w:r>
                          </w:p>
                        </w:tc>
                      </w:tr>
                      <w:tr w:rsidR="00D74004" w14:paraId="6EC05B1E" w14:textId="77777777" w:rsidTr="00824CD6">
                        <w:trPr>
                          <w:trHeight w:val="340"/>
                        </w:trPr>
                        <w:tc>
                          <w:tcPr>
                            <w:tcW w:w="1560" w:type="dxa"/>
                            <w:shd w:val="clear" w:color="auto" w:fill="auto"/>
                            <w:vAlign w:val="center"/>
                          </w:tcPr>
                          <w:p w14:paraId="069BBDE0" w14:textId="6BBDA536" w:rsidR="00D74004" w:rsidRPr="002D021D" w:rsidRDefault="00D74004" w:rsidP="00824CD6">
                            <w:pPr>
                              <w:widowControl/>
                              <w:suppressAutoHyphens/>
                              <w:overflowPunct w:val="0"/>
                              <w:snapToGrid w:val="0"/>
                              <w:ind w:leftChars="-46" w:left="-110" w:rightChars="-52" w:right="-125"/>
                              <w:jc w:val="center"/>
                              <w:rPr>
                                <w:rFonts w:ascii="標楷體" w:eastAsia="標楷體" w:hAnsi="標楷體"/>
                                <w:bCs/>
                                <w:sz w:val="20"/>
                                <w:szCs w:val="20"/>
                              </w:rPr>
                            </w:pPr>
                            <w:r w:rsidRPr="002D021D">
                              <w:rPr>
                                <w:rFonts w:ascii="標楷體" w:eastAsia="標楷體" w:hAnsi="標楷體" w:hint="eastAsia"/>
                                <w:bCs/>
                                <w:sz w:val="20"/>
                                <w:szCs w:val="20"/>
                              </w:rPr>
                              <w:t>111</w:t>
                            </w:r>
                          </w:p>
                        </w:tc>
                        <w:tc>
                          <w:tcPr>
                            <w:tcW w:w="1275" w:type="dxa"/>
                            <w:shd w:val="clear" w:color="auto" w:fill="auto"/>
                            <w:vAlign w:val="center"/>
                          </w:tcPr>
                          <w:p w14:paraId="1FCFEA42" w14:textId="77777777" w:rsidR="00D74004" w:rsidRPr="002D021D" w:rsidRDefault="00D74004" w:rsidP="00824CD6">
                            <w:pPr>
                              <w:widowControl/>
                              <w:suppressAutoHyphens/>
                              <w:overflowPunct w:val="0"/>
                              <w:snapToGrid w:val="0"/>
                              <w:ind w:rightChars="31" w:right="74"/>
                              <w:jc w:val="right"/>
                              <w:rPr>
                                <w:rFonts w:ascii="標楷體" w:eastAsia="標楷體" w:hAnsi="標楷體"/>
                                <w:bCs/>
                                <w:sz w:val="20"/>
                                <w:szCs w:val="20"/>
                              </w:rPr>
                            </w:pPr>
                            <w:r w:rsidRPr="002D021D">
                              <w:rPr>
                                <w:rFonts w:ascii="標楷體" w:eastAsia="標楷體" w:hAnsi="標楷體" w:hint="eastAsia"/>
                                <w:bCs/>
                                <w:sz w:val="20"/>
                                <w:szCs w:val="20"/>
                              </w:rPr>
                              <w:t>634,034</w:t>
                            </w:r>
                          </w:p>
                        </w:tc>
                        <w:tc>
                          <w:tcPr>
                            <w:tcW w:w="567" w:type="dxa"/>
                            <w:shd w:val="clear" w:color="auto" w:fill="auto"/>
                            <w:vAlign w:val="center"/>
                          </w:tcPr>
                          <w:p w14:paraId="065A9C14" w14:textId="77777777" w:rsidR="00D74004" w:rsidRPr="006B091B" w:rsidRDefault="00D74004" w:rsidP="00824CD6">
                            <w:pPr>
                              <w:widowControl/>
                              <w:suppressAutoHyphens/>
                              <w:overflowPunct w:val="0"/>
                              <w:snapToGrid w:val="0"/>
                              <w:jc w:val="right"/>
                              <w:rPr>
                                <w:rFonts w:ascii="標楷體" w:eastAsia="標楷體" w:hAnsi="標楷體"/>
                                <w:b/>
                                <w:bCs/>
                                <w:sz w:val="20"/>
                                <w:szCs w:val="20"/>
                              </w:rPr>
                            </w:pPr>
                            <w:r w:rsidRPr="006B091B">
                              <w:rPr>
                                <w:rFonts w:ascii="標楷體" w:eastAsia="標楷體" w:hAnsi="標楷體" w:hint="eastAsia"/>
                                <w:b/>
                                <w:bCs/>
                                <w:sz w:val="20"/>
                                <w:szCs w:val="20"/>
                              </w:rPr>
                              <w:t>12</w:t>
                            </w:r>
                          </w:p>
                        </w:tc>
                        <w:tc>
                          <w:tcPr>
                            <w:tcW w:w="1134" w:type="dxa"/>
                            <w:shd w:val="clear" w:color="auto" w:fill="auto"/>
                            <w:vAlign w:val="center"/>
                          </w:tcPr>
                          <w:p w14:paraId="5D226449"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8</w:t>
                            </w:r>
                          </w:p>
                        </w:tc>
                        <w:tc>
                          <w:tcPr>
                            <w:tcW w:w="851" w:type="dxa"/>
                            <w:shd w:val="clear" w:color="auto" w:fill="auto"/>
                            <w:vAlign w:val="center"/>
                          </w:tcPr>
                          <w:p w14:paraId="0B6E2721" w14:textId="2DC5EE40" w:rsidR="00D74004" w:rsidRPr="002D021D" w:rsidRDefault="00025E8C" w:rsidP="00824CD6">
                            <w:pPr>
                              <w:widowControl/>
                              <w:suppressAutoHyphens/>
                              <w:overflowPunct w:val="0"/>
                              <w:snapToGrid w:val="0"/>
                              <w:jc w:val="right"/>
                              <w:rPr>
                                <w:rFonts w:ascii="標楷體" w:eastAsia="標楷體" w:hAnsi="標楷體"/>
                                <w:bCs/>
                                <w:sz w:val="20"/>
                                <w:szCs w:val="20"/>
                              </w:rPr>
                            </w:pPr>
                            <w:r>
                              <w:rPr>
                                <w:rFonts w:ascii="標楷體" w:eastAsia="標楷體" w:hAnsi="標楷體" w:hint="eastAsia"/>
                                <w:bCs/>
                                <w:sz w:val="20"/>
                                <w:szCs w:val="20"/>
                              </w:rPr>
                              <w:t>－</w:t>
                            </w:r>
                          </w:p>
                        </w:tc>
                        <w:tc>
                          <w:tcPr>
                            <w:tcW w:w="850" w:type="dxa"/>
                            <w:shd w:val="clear" w:color="auto" w:fill="auto"/>
                            <w:vAlign w:val="center"/>
                          </w:tcPr>
                          <w:p w14:paraId="1BDFD1F7"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3</w:t>
                            </w:r>
                          </w:p>
                        </w:tc>
                        <w:tc>
                          <w:tcPr>
                            <w:tcW w:w="851" w:type="dxa"/>
                            <w:shd w:val="clear" w:color="auto" w:fill="auto"/>
                            <w:vAlign w:val="center"/>
                          </w:tcPr>
                          <w:p w14:paraId="7486B450"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1</w:t>
                            </w:r>
                          </w:p>
                        </w:tc>
                      </w:tr>
                      <w:tr w:rsidR="00D74004" w14:paraId="48ACF5A0" w14:textId="77777777" w:rsidTr="00824CD6">
                        <w:trPr>
                          <w:trHeight w:val="340"/>
                        </w:trPr>
                        <w:tc>
                          <w:tcPr>
                            <w:tcW w:w="1560" w:type="dxa"/>
                            <w:shd w:val="clear" w:color="auto" w:fill="auto"/>
                            <w:vAlign w:val="center"/>
                          </w:tcPr>
                          <w:p w14:paraId="64748A0D" w14:textId="6577EE5E" w:rsidR="00D74004" w:rsidRPr="002D021D" w:rsidRDefault="00D74004" w:rsidP="00824CD6">
                            <w:pPr>
                              <w:widowControl/>
                              <w:suppressAutoHyphens/>
                              <w:overflowPunct w:val="0"/>
                              <w:snapToGrid w:val="0"/>
                              <w:ind w:leftChars="-46" w:left="-110" w:rightChars="-52" w:right="-125"/>
                              <w:jc w:val="center"/>
                              <w:rPr>
                                <w:rFonts w:ascii="標楷體" w:eastAsia="標楷體" w:hAnsi="標楷體"/>
                                <w:bCs/>
                                <w:sz w:val="20"/>
                                <w:szCs w:val="20"/>
                              </w:rPr>
                            </w:pPr>
                            <w:r w:rsidRPr="002D021D">
                              <w:rPr>
                                <w:rFonts w:ascii="標楷體" w:eastAsia="標楷體" w:hAnsi="標楷體" w:hint="eastAsia"/>
                                <w:bCs/>
                                <w:sz w:val="20"/>
                                <w:szCs w:val="20"/>
                              </w:rPr>
                              <w:t>112</w:t>
                            </w:r>
                          </w:p>
                        </w:tc>
                        <w:tc>
                          <w:tcPr>
                            <w:tcW w:w="1275" w:type="dxa"/>
                            <w:shd w:val="clear" w:color="auto" w:fill="auto"/>
                            <w:vAlign w:val="center"/>
                          </w:tcPr>
                          <w:p w14:paraId="65E1142C" w14:textId="77777777" w:rsidR="00D74004" w:rsidRPr="002D021D" w:rsidRDefault="00D74004" w:rsidP="00824CD6">
                            <w:pPr>
                              <w:widowControl/>
                              <w:suppressAutoHyphens/>
                              <w:overflowPunct w:val="0"/>
                              <w:snapToGrid w:val="0"/>
                              <w:ind w:rightChars="31" w:right="74"/>
                              <w:jc w:val="right"/>
                              <w:rPr>
                                <w:rFonts w:ascii="標楷體" w:eastAsia="標楷體" w:hAnsi="標楷體"/>
                                <w:bCs/>
                                <w:sz w:val="20"/>
                                <w:szCs w:val="20"/>
                              </w:rPr>
                            </w:pPr>
                            <w:r w:rsidRPr="002D021D">
                              <w:rPr>
                                <w:rFonts w:ascii="標楷體" w:eastAsia="標楷體" w:hAnsi="標楷體" w:hint="eastAsia"/>
                                <w:bCs/>
                                <w:sz w:val="20"/>
                                <w:szCs w:val="20"/>
                              </w:rPr>
                              <w:t>593,353</w:t>
                            </w:r>
                          </w:p>
                        </w:tc>
                        <w:tc>
                          <w:tcPr>
                            <w:tcW w:w="567" w:type="dxa"/>
                            <w:shd w:val="clear" w:color="auto" w:fill="auto"/>
                            <w:vAlign w:val="center"/>
                          </w:tcPr>
                          <w:p w14:paraId="06CFDB11" w14:textId="77777777" w:rsidR="00D74004" w:rsidRPr="006B091B" w:rsidRDefault="00D74004" w:rsidP="00824CD6">
                            <w:pPr>
                              <w:widowControl/>
                              <w:suppressAutoHyphens/>
                              <w:overflowPunct w:val="0"/>
                              <w:snapToGrid w:val="0"/>
                              <w:jc w:val="right"/>
                              <w:rPr>
                                <w:rFonts w:ascii="標楷體" w:eastAsia="標楷體" w:hAnsi="標楷體"/>
                                <w:b/>
                                <w:bCs/>
                                <w:sz w:val="20"/>
                                <w:szCs w:val="20"/>
                              </w:rPr>
                            </w:pPr>
                            <w:r w:rsidRPr="006B091B">
                              <w:rPr>
                                <w:rFonts w:ascii="標楷體" w:eastAsia="標楷體" w:hAnsi="標楷體" w:hint="eastAsia"/>
                                <w:b/>
                                <w:bCs/>
                                <w:sz w:val="20"/>
                                <w:szCs w:val="20"/>
                              </w:rPr>
                              <w:t>9</w:t>
                            </w:r>
                          </w:p>
                        </w:tc>
                        <w:tc>
                          <w:tcPr>
                            <w:tcW w:w="1134" w:type="dxa"/>
                            <w:shd w:val="clear" w:color="auto" w:fill="auto"/>
                            <w:vAlign w:val="center"/>
                          </w:tcPr>
                          <w:p w14:paraId="6F13D10C"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3</w:t>
                            </w:r>
                          </w:p>
                        </w:tc>
                        <w:tc>
                          <w:tcPr>
                            <w:tcW w:w="851" w:type="dxa"/>
                            <w:shd w:val="clear" w:color="auto" w:fill="auto"/>
                            <w:vAlign w:val="center"/>
                          </w:tcPr>
                          <w:p w14:paraId="6647AA33"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5</w:t>
                            </w:r>
                          </w:p>
                        </w:tc>
                        <w:tc>
                          <w:tcPr>
                            <w:tcW w:w="850" w:type="dxa"/>
                            <w:shd w:val="clear" w:color="auto" w:fill="auto"/>
                            <w:vAlign w:val="center"/>
                          </w:tcPr>
                          <w:p w14:paraId="665955A5"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1</w:t>
                            </w:r>
                          </w:p>
                        </w:tc>
                        <w:tc>
                          <w:tcPr>
                            <w:tcW w:w="851" w:type="dxa"/>
                            <w:shd w:val="clear" w:color="auto" w:fill="auto"/>
                            <w:vAlign w:val="center"/>
                          </w:tcPr>
                          <w:p w14:paraId="0C378318" w14:textId="2FBECF3A" w:rsidR="00D74004" w:rsidRPr="002D021D" w:rsidRDefault="00025E8C" w:rsidP="00824CD6">
                            <w:pPr>
                              <w:widowControl/>
                              <w:suppressAutoHyphens/>
                              <w:overflowPunct w:val="0"/>
                              <w:snapToGrid w:val="0"/>
                              <w:jc w:val="right"/>
                              <w:rPr>
                                <w:rFonts w:ascii="標楷體" w:eastAsia="標楷體" w:hAnsi="標楷體"/>
                                <w:bCs/>
                                <w:sz w:val="20"/>
                                <w:szCs w:val="20"/>
                              </w:rPr>
                            </w:pPr>
                            <w:r>
                              <w:rPr>
                                <w:rFonts w:ascii="標楷體" w:eastAsia="標楷體" w:hAnsi="標楷體" w:hint="eastAsia"/>
                                <w:bCs/>
                                <w:sz w:val="20"/>
                                <w:szCs w:val="20"/>
                              </w:rPr>
                              <w:t>－</w:t>
                            </w:r>
                          </w:p>
                        </w:tc>
                      </w:tr>
                      <w:tr w:rsidR="00D74004" w14:paraId="2217F6EE" w14:textId="77777777" w:rsidTr="00824CD6">
                        <w:trPr>
                          <w:trHeight w:val="340"/>
                        </w:trPr>
                        <w:tc>
                          <w:tcPr>
                            <w:tcW w:w="1560" w:type="dxa"/>
                            <w:shd w:val="clear" w:color="auto" w:fill="auto"/>
                            <w:vAlign w:val="center"/>
                          </w:tcPr>
                          <w:p w14:paraId="2E57E706" w14:textId="45007FC3" w:rsidR="00D74004" w:rsidRDefault="00D74004" w:rsidP="00824CD6">
                            <w:pPr>
                              <w:widowControl/>
                              <w:suppressAutoHyphens/>
                              <w:overflowPunct w:val="0"/>
                              <w:snapToGrid w:val="0"/>
                              <w:ind w:leftChars="-46" w:left="-110" w:rightChars="-52" w:right="-125"/>
                              <w:jc w:val="center"/>
                              <w:rPr>
                                <w:rFonts w:ascii="標楷體" w:eastAsia="標楷體" w:hAnsi="標楷體"/>
                                <w:bCs/>
                                <w:sz w:val="20"/>
                                <w:szCs w:val="20"/>
                              </w:rPr>
                            </w:pPr>
                            <w:r w:rsidRPr="002D021D">
                              <w:rPr>
                                <w:rFonts w:ascii="標楷體" w:eastAsia="標楷體" w:hAnsi="標楷體" w:hint="eastAsia"/>
                                <w:bCs/>
                                <w:sz w:val="20"/>
                                <w:szCs w:val="20"/>
                              </w:rPr>
                              <w:t>113</w:t>
                            </w:r>
                          </w:p>
                          <w:p w14:paraId="7D469A3B" w14:textId="77777777" w:rsidR="00D74004" w:rsidRPr="002D021D" w:rsidRDefault="00D74004" w:rsidP="00824CD6">
                            <w:pPr>
                              <w:widowControl/>
                              <w:suppressAutoHyphens/>
                              <w:overflowPunct w:val="0"/>
                              <w:snapToGrid w:val="0"/>
                              <w:ind w:leftChars="-46" w:left="-110" w:rightChars="-52" w:right="-125"/>
                              <w:jc w:val="center"/>
                              <w:rPr>
                                <w:rFonts w:ascii="標楷體" w:eastAsia="標楷體" w:hAnsi="標楷體"/>
                                <w:bCs/>
                                <w:sz w:val="20"/>
                                <w:szCs w:val="20"/>
                              </w:rPr>
                            </w:pPr>
                            <w:r w:rsidRPr="002D021D">
                              <w:rPr>
                                <w:rFonts w:ascii="標楷體" w:eastAsia="標楷體" w:hAnsi="標楷體" w:hint="eastAsia"/>
                                <w:bCs/>
                                <w:sz w:val="20"/>
                                <w:szCs w:val="20"/>
                              </w:rPr>
                              <w:t>(截至10月底</w:t>
                            </w:r>
                            <w:r>
                              <w:rPr>
                                <w:rFonts w:ascii="標楷體" w:eastAsia="標楷體" w:hAnsi="標楷體" w:hint="eastAsia"/>
                                <w:bCs/>
                                <w:sz w:val="20"/>
                                <w:szCs w:val="20"/>
                              </w:rPr>
                              <w:t>止</w:t>
                            </w:r>
                            <w:r w:rsidRPr="002D021D">
                              <w:rPr>
                                <w:rFonts w:ascii="標楷體" w:eastAsia="標楷體" w:hAnsi="標楷體" w:hint="eastAsia"/>
                                <w:bCs/>
                                <w:sz w:val="20"/>
                                <w:szCs w:val="20"/>
                              </w:rPr>
                              <w:t>)</w:t>
                            </w:r>
                          </w:p>
                        </w:tc>
                        <w:tc>
                          <w:tcPr>
                            <w:tcW w:w="1275" w:type="dxa"/>
                            <w:shd w:val="clear" w:color="auto" w:fill="auto"/>
                            <w:vAlign w:val="center"/>
                          </w:tcPr>
                          <w:p w14:paraId="1897CD76" w14:textId="77777777" w:rsidR="00D74004" w:rsidRPr="002D021D" w:rsidRDefault="00D74004" w:rsidP="00824CD6">
                            <w:pPr>
                              <w:widowControl/>
                              <w:suppressAutoHyphens/>
                              <w:overflowPunct w:val="0"/>
                              <w:snapToGrid w:val="0"/>
                              <w:ind w:rightChars="31" w:right="74"/>
                              <w:jc w:val="right"/>
                              <w:rPr>
                                <w:rFonts w:ascii="標楷體" w:eastAsia="標楷體" w:hAnsi="標楷體"/>
                                <w:bCs/>
                                <w:sz w:val="20"/>
                                <w:szCs w:val="20"/>
                              </w:rPr>
                            </w:pPr>
                            <w:r w:rsidRPr="002D021D">
                              <w:rPr>
                                <w:rFonts w:ascii="標楷體" w:eastAsia="標楷體" w:hAnsi="標楷體" w:hint="eastAsia"/>
                                <w:bCs/>
                                <w:sz w:val="20"/>
                                <w:szCs w:val="20"/>
                              </w:rPr>
                              <w:t>167,255</w:t>
                            </w:r>
                          </w:p>
                        </w:tc>
                        <w:tc>
                          <w:tcPr>
                            <w:tcW w:w="567" w:type="dxa"/>
                            <w:shd w:val="clear" w:color="auto" w:fill="auto"/>
                            <w:vAlign w:val="center"/>
                          </w:tcPr>
                          <w:p w14:paraId="12B1DD72" w14:textId="77777777" w:rsidR="00D74004" w:rsidRPr="006B091B" w:rsidRDefault="00D74004" w:rsidP="00824CD6">
                            <w:pPr>
                              <w:widowControl/>
                              <w:suppressAutoHyphens/>
                              <w:overflowPunct w:val="0"/>
                              <w:snapToGrid w:val="0"/>
                              <w:jc w:val="right"/>
                              <w:rPr>
                                <w:rFonts w:ascii="標楷體" w:eastAsia="標楷體" w:hAnsi="標楷體"/>
                                <w:b/>
                                <w:bCs/>
                                <w:sz w:val="20"/>
                                <w:szCs w:val="20"/>
                              </w:rPr>
                            </w:pPr>
                            <w:r w:rsidRPr="006B091B">
                              <w:rPr>
                                <w:rFonts w:ascii="標楷體" w:eastAsia="標楷體" w:hAnsi="標楷體" w:hint="eastAsia"/>
                                <w:b/>
                                <w:bCs/>
                                <w:sz w:val="20"/>
                                <w:szCs w:val="20"/>
                              </w:rPr>
                              <w:t>4</w:t>
                            </w:r>
                          </w:p>
                        </w:tc>
                        <w:tc>
                          <w:tcPr>
                            <w:tcW w:w="1134" w:type="dxa"/>
                            <w:shd w:val="clear" w:color="auto" w:fill="auto"/>
                            <w:vAlign w:val="center"/>
                          </w:tcPr>
                          <w:p w14:paraId="4C890D05"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3</w:t>
                            </w:r>
                          </w:p>
                        </w:tc>
                        <w:tc>
                          <w:tcPr>
                            <w:tcW w:w="851" w:type="dxa"/>
                            <w:shd w:val="clear" w:color="auto" w:fill="auto"/>
                            <w:vAlign w:val="center"/>
                          </w:tcPr>
                          <w:p w14:paraId="40C551E8" w14:textId="69A27475" w:rsidR="00D74004" w:rsidRPr="002D021D" w:rsidRDefault="00025E8C" w:rsidP="00824CD6">
                            <w:pPr>
                              <w:widowControl/>
                              <w:suppressAutoHyphens/>
                              <w:overflowPunct w:val="0"/>
                              <w:snapToGrid w:val="0"/>
                              <w:jc w:val="right"/>
                              <w:rPr>
                                <w:rFonts w:ascii="標楷體" w:eastAsia="標楷體" w:hAnsi="標楷體"/>
                                <w:bCs/>
                                <w:sz w:val="20"/>
                                <w:szCs w:val="20"/>
                              </w:rPr>
                            </w:pPr>
                            <w:r>
                              <w:rPr>
                                <w:rFonts w:ascii="標楷體" w:eastAsia="標楷體" w:hAnsi="標楷體" w:hint="eastAsia"/>
                                <w:bCs/>
                                <w:sz w:val="20"/>
                                <w:szCs w:val="20"/>
                              </w:rPr>
                              <w:t>－</w:t>
                            </w:r>
                          </w:p>
                        </w:tc>
                        <w:tc>
                          <w:tcPr>
                            <w:tcW w:w="850" w:type="dxa"/>
                            <w:shd w:val="clear" w:color="auto" w:fill="auto"/>
                            <w:vAlign w:val="center"/>
                          </w:tcPr>
                          <w:p w14:paraId="6CE409FE" w14:textId="66C08E88" w:rsidR="00D74004" w:rsidRPr="002D021D" w:rsidRDefault="00025E8C" w:rsidP="00824CD6">
                            <w:pPr>
                              <w:widowControl/>
                              <w:suppressAutoHyphens/>
                              <w:overflowPunct w:val="0"/>
                              <w:snapToGrid w:val="0"/>
                              <w:jc w:val="right"/>
                              <w:rPr>
                                <w:rFonts w:ascii="標楷體" w:eastAsia="標楷體" w:hAnsi="標楷體"/>
                                <w:bCs/>
                                <w:sz w:val="20"/>
                                <w:szCs w:val="20"/>
                              </w:rPr>
                            </w:pPr>
                            <w:r>
                              <w:rPr>
                                <w:rFonts w:ascii="標楷體" w:eastAsia="標楷體" w:hAnsi="標楷體" w:hint="eastAsia"/>
                                <w:bCs/>
                                <w:sz w:val="20"/>
                                <w:szCs w:val="20"/>
                              </w:rPr>
                              <w:t>－</w:t>
                            </w:r>
                          </w:p>
                        </w:tc>
                        <w:tc>
                          <w:tcPr>
                            <w:tcW w:w="851" w:type="dxa"/>
                            <w:shd w:val="clear" w:color="auto" w:fill="auto"/>
                            <w:vAlign w:val="center"/>
                          </w:tcPr>
                          <w:p w14:paraId="036057E1" w14:textId="77777777" w:rsidR="00D74004" w:rsidRPr="002D021D" w:rsidRDefault="00D74004" w:rsidP="00824CD6">
                            <w:pPr>
                              <w:widowControl/>
                              <w:suppressAutoHyphens/>
                              <w:overflowPunct w:val="0"/>
                              <w:snapToGrid w:val="0"/>
                              <w:jc w:val="right"/>
                              <w:rPr>
                                <w:rFonts w:ascii="標楷體" w:eastAsia="標楷體" w:hAnsi="標楷體"/>
                                <w:bCs/>
                                <w:sz w:val="20"/>
                                <w:szCs w:val="20"/>
                              </w:rPr>
                            </w:pPr>
                            <w:r w:rsidRPr="002D021D">
                              <w:rPr>
                                <w:rFonts w:ascii="標楷體" w:eastAsia="標楷體" w:hAnsi="標楷體" w:hint="eastAsia"/>
                                <w:bCs/>
                                <w:sz w:val="20"/>
                                <w:szCs w:val="20"/>
                              </w:rPr>
                              <w:t>1</w:t>
                            </w:r>
                          </w:p>
                        </w:tc>
                      </w:tr>
                    </w:tbl>
                    <w:p w14:paraId="0C68D80A" w14:textId="77777777" w:rsidR="00D74004" w:rsidRPr="002D021D" w:rsidRDefault="00D74004" w:rsidP="00D74004">
                      <w:pPr>
                        <w:widowControl/>
                        <w:overflowPunct w:val="0"/>
                        <w:snapToGrid w:val="0"/>
                        <w:spacing w:line="220" w:lineRule="exact"/>
                        <w:jc w:val="both"/>
                        <w:rPr>
                          <w:sz w:val="18"/>
                          <w:szCs w:val="18"/>
                        </w:rPr>
                      </w:pPr>
                      <w:r w:rsidRPr="002D021D">
                        <w:rPr>
                          <w:rFonts w:ascii="標楷體" w:eastAsia="標楷體" w:hAnsi="標楷體" w:hint="eastAsia"/>
                          <w:bCs/>
                          <w:sz w:val="18"/>
                          <w:szCs w:val="18"/>
                        </w:rPr>
                        <w:t>資料來源：整理自</w:t>
                      </w:r>
                      <w:r>
                        <w:rPr>
                          <w:rFonts w:ascii="標楷體" w:eastAsia="標楷體" w:hAnsi="標楷體" w:hint="eastAsia"/>
                          <w:bCs/>
                          <w:sz w:val="18"/>
                          <w:szCs w:val="18"/>
                        </w:rPr>
                        <w:t>公園路燈工程管理</w:t>
                      </w:r>
                      <w:r w:rsidRPr="002D021D">
                        <w:rPr>
                          <w:rFonts w:ascii="標楷體" w:eastAsia="標楷體" w:hAnsi="標楷體" w:hint="eastAsia"/>
                          <w:bCs/>
                          <w:sz w:val="18"/>
                          <w:szCs w:val="18"/>
                        </w:rPr>
                        <w:t>處提供資料。</w:t>
                      </w:r>
                    </w:p>
                  </w:txbxContent>
                </v:textbox>
                <w10:wrap type="tight" anchory="page"/>
              </v:shape>
            </w:pict>
          </mc:Fallback>
        </mc:AlternateContent>
      </w:r>
      <w:r w:rsidR="00D74004" w:rsidRPr="00591FA2">
        <w:rPr>
          <w:rFonts w:ascii="標楷體" w:eastAsia="標楷體" w:hAnsi="標楷體" w:cs="DFKaiShu-SB-Estd-BF" w:hint="eastAsia"/>
          <w:b/>
          <w:bCs/>
          <w:szCs w:val="24"/>
        </w:rPr>
        <w:t>1.轄管業務之</w:t>
      </w:r>
      <w:r w:rsidR="00D74004" w:rsidRPr="00591FA2">
        <w:rPr>
          <w:rFonts w:ascii="標楷體" w:eastAsia="標楷體" w:hAnsi="標楷體" w:cs="DFKaiShu-SB-Estd-BF"/>
          <w:b/>
          <w:szCs w:val="24"/>
        </w:rPr>
        <w:t>國家賠償</w:t>
      </w:r>
      <w:proofErr w:type="gramStart"/>
      <w:r w:rsidR="00D74004" w:rsidRPr="00591FA2">
        <w:rPr>
          <w:rFonts w:ascii="標楷體" w:eastAsia="標楷體" w:hAnsi="標楷體" w:cs="DFKaiShu-SB-Estd-BF" w:hint="eastAsia"/>
          <w:b/>
          <w:szCs w:val="24"/>
        </w:rPr>
        <w:t>案件多肇因</w:t>
      </w:r>
      <w:proofErr w:type="gramEnd"/>
      <w:r w:rsidR="00D74004" w:rsidRPr="00591FA2">
        <w:rPr>
          <w:rFonts w:ascii="標楷體" w:eastAsia="標楷體" w:hAnsi="標楷體" w:cs="DFKaiShu-SB-Estd-BF" w:hint="eastAsia"/>
          <w:b/>
          <w:szCs w:val="24"/>
        </w:rPr>
        <w:t>於路樹樹幹掉落或倒塌等</w:t>
      </w:r>
      <w:r w:rsidR="00D74004" w:rsidRPr="00591FA2">
        <w:rPr>
          <w:rFonts w:ascii="標楷體" w:eastAsia="標楷體" w:hAnsi="標楷體" w:cs="DFKaiShu-SB-Estd-BF"/>
          <w:b/>
          <w:szCs w:val="24"/>
        </w:rPr>
        <w:t>維護不良</w:t>
      </w:r>
      <w:r w:rsidR="00D74004" w:rsidRPr="00591FA2">
        <w:rPr>
          <w:rFonts w:ascii="標楷體" w:eastAsia="標楷體" w:hAnsi="標楷體" w:cs="DFKaiShu-SB-Estd-BF" w:hint="eastAsia"/>
          <w:b/>
          <w:szCs w:val="24"/>
        </w:rPr>
        <w:t>，且近年非颱風影響之樹倒，主要係樹木內部或基部腐朽、豪</w:t>
      </w:r>
      <w:r w:rsidR="00D74004" w:rsidRPr="00591FA2">
        <w:rPr>
          <w:rFonts w:ascii="標楷體" w:eastAsia="標楷體" w:hAnsi="標楷體" w:cs="DFKaiShu-SB-Estd-BF"/>
          <w:b/>
          <w:szCs w:val="24"/>
        </w:rPr>
        <w:t>（</w:t>
      </w:r>
      <w:r w:rsidR="00D74004" w:rsidRPr="00591FA2">
        <w:rPr>
          <w:rFonts w:ascii="標楷體" w:eastAsia="標楷體" w:hAnsi="標楷體" w:cs="DFKaiShu-SB-Estd-BF" w:hint="eastAsia"/>
          <w:b/>
          <w:szCs w:val="24"/>
        </w:rPr>
        <w:t>大）雨及</w:t>
      </w:r>
      <w:proofErr w:type="gramStart"/>
      <w:r w:rsidR="00D74004" w:rsidRPr="00591FA2">
        <w:rPr>
          <w:rFonts w:ascii="標楷體" w:eastAsia="標楷體" w:hAnsi="標楷體" w:cs="DFKaiShu-SB-Estd-BF" w:hint="eastAsia"/>
          <w:b/>
          <w:szCs w:val="24"/>
        </w:rPr>
        <w:t>罹褐根病</w:t>
      </w:r>
      <w:proofErr w:type="gramEnd"/>
      <w:r w:rsidR="00D74004" w:rsidRPr="00591FA2">
        <w:rPr>
          <w:rFonts w:ascii="標楷體" w:eastAsia="標楷體" w:hAnsi="標楷體" w:cs="DFKaiShu-SB-Estd-BF" w:hint="eastAsia"/>
          <w:b/>
          <w:szCs w:val="24"/>
        </w:rPr>
        <w:t>等所致，亟待</w:t>
      </w:r>
      <w:proofErr w:type="gramStart"/>
      <w:r w:rsidR="00D74004" w:rsidRPr="00591FA2">
        <w:rPr>
          <w:rFonts w:ascii="標楷體" w:eastAsia="標楷體" w:hAnsi="標楷體" w:cs="DFKaiShu-SB-Estd-BF" w:hint="eastAsia"/>
          <w:b/>
          <w:szCs w:val="24"/>
        </w:rPr>
        <w:t>研謀精</w:t>
      </w:r>
      <w:proofErr w:type="gramEnd"/>
      <w:r w:rsidR="00D74004" w:rsidRPr="00591FA2">
        <w:rPr>
          <w:rFonts w:ascii="標楷體" w:eastAsia="標楷體" w:hAnsi="標楷體" w:cs="DFKaiShu-SB-Estd-BF" w:hint="eastAsia"/>
          <w:b/>
          <w:szCs w:val="24"/>
        </w:rPr>
        <w:t>進對策：</w:t>
      </w:r>
      <w:r w:rsidR="00D74004" w:rsidRPr="00591FA2">
        <w:rPr>
          <w:rFonts w:ascii="標楷體" w:eastAsia="標楷體" w:hAnsi="標楷體" w:cs="DFKaiShu-SB-Estd-BF" w:hint="eastAsia"/>
          <w:szCs w:val="24"/>
        </w:rPr>
        <w:t>據統計，111至113年度</w:t>
      </w:r>
      <w:r w:rsidR="00D74004" w:rsidRPr="00591FA2">
        <w:rPr>
          <w:rFonts w:ascii="標楷體" w:eastAsia="標楷體" w:hAnsi="標楷體" w:cs="DFKaiShu-SB-Estd-BF"/>
          <w:szCs w:val="24"/>
        </w:rPr>
        <w:t>（</w:t>
      </w:r>
      <w:r w:rsidR="00D74004" w:rsidRPr="00591FA2">
        <w:rPr>
          <w:rFonts w:ascii="標楷體" w:eastAsia="標楷體" w:hAnsi="標楷體" w:cs="DFKaiShu-SB-Estd-BF" w:hint="eastAsia"/>
          <w:szCs w:val="24"/>
        </w:rPr>
        <w:t>截至10月底</w:t>
      </w:r>
      <w:r w:rsidR="00D74004">
        <w:rPr>
          <w:rFonts w:ascii="標楷體" w:eastAsia="標楷體" w:hAnsi="標楷體" w:cs="DFKaiShu-SB-Estd-BF" w:hint="eastAsia"/>
          <w:szCs w:val="24"/>
        </w:rPr>
        <w:t>止</w:t>
      </w:r>
      <w:r w:rsidR="00D74004" w:rsidRPr="00591FA2">
        <w:rPr>
          <w:rFonts w:ascii="標楷體" w:eastAsia="標楷體" w:hAnsi="標楷體" w:cs="DFKaiShu-SB-Estd-BF" w:hint="eastAsia"/>
          <w:szCs w:val="24"/>
        </w:rPr>
        <w:t>）</w:t>
      </w:r>
      <w:r w:rsidR="00D74004" w:rsidRPr="00591FA2">
        <w:rPr>
          <w:rFonts w:ascii="標楷體" w:eastAsia="標楷體" w:hAnsi="標楷體" w:cs="DFKaiShu-SB-Estd-BF"/>
          <w:szCs w:val="24"/>
        </w:rPr>
        <w:t>國家賠償案件</w:t>
      </w:r>
      <w:r w:rsidR="00D74004" w:rsidRPr="00591FA2">
        <w:rPr>
          <w:rFonts w:ascii="標楷體" w:eastAsia="標楷體" w:hAnsi="標楷體" w:cs="DFKaiShu-SB-Estd-BF" w:hint="eastAsia"/>
          <w:szCs w:val="24"/>
        </w:rPr>
        <w:t>經</w:t>
      </w:r>
      <w:r w:rsidR="00D74004" w:rsidRPr="00591FA2">
        <w:rPr>
          <w:rFonts w:ascii="標楷體" w:eastAsia="標楷體" w:hAnsi="標楷體" w:cs="DFKaiShu-SB-Estd-BF"/>
          <w:szCs w:val="24"/>
        </w:rPr>
        <w:t>協議成立、訴訟上和解（調解）成立或判決確定</w:t>
      </w:r>
      <w:r w:rsidR="00D74004" w:rsidRPr="00591FA2">
        <w:rPr>
          <w:rFonts w:ascii="標楷體" w:eastAsia="標楷體" w:hAnsi="標楷體" w:cs="DFKaiShu-SB-Estd-BF" w:hint="eastAsia"/>
          <w:szCs w:val="24"/>
        </w:rPr>
        <w:t>公園處</w:t>
      </w:r>
      <w:proofErr w:type="gramStart"/>
      <w:r w:rsidR="00D74004" w:rsidRPr="00591FA2">
        <w:rPr>
          <w:rFonts w:ascii="標楷體" w:eastAsia="標楷體" w:hAnsi="標楷體" w:cs="DFKaiShu-SB-Estd-BF" w:hint="eastAsia"/>
          <w:szCs w:val="24"/>
        </w:rPr>
        <w:t>為責賠</w:t>
      </w:r>
      <w:proofErr w:type="gramEnd"/>
      <w:r w:rsidR="00D74004" w:rsidRPr="00591FA2">
        <w:rPr>
          <w:rFonts w:ascii="標楷體" w:eastAsia="標楷體" w:hAnsi="標楷體" w:cs="DFKaiShu-SB-Estd-BF" w:hint="eastAsia"/>
          <w:szCs w:val="24"/>
        </w:rPr>
        <w:t>機關應予賠償者，計有25件，</w:t>
      </w:r>
      <w:r w:rsidR="00D74004" w:rsidRPr="00591FA2">
        <w:rPr>
          <w:rFonts w:ascii="標楷體" w:eastAsia="標楷體" w:hAnsi="標楷體" w:cs="DFKaiShu-SB-Estd-BF"/>
          <w:szCs w:val="24"/>
        </w:rPr>
        <w:t>賠償金額</w:t>
      </w:r>
      <w:r w:rsidR="00D74004" w:rsidRPr="00591FA2">
        <w:rPr>
          <w:rFonts w:ascii="標楷體" w:eastAsia="標楷體" w:hAnsi="標楷體" w:cs="DFKaiShu-SB-Estd-BF" w:hint="eastAsia"/>
          <w:szCs w:val="24"/>
        </w:rPr>
        <w:t>共計139萬餘元，</w:t>
      </w:r>
      <w:r w:rsidR="00D74004" w:rsidRPr="00591FA2">
        <w:rPr>
          <w:rFonts w:ascii="標楷體" w:eastAsia="標楷體" w:hAnsi="標楷體" w:cs="DFKaiShu-SB-Estd-BF"/>
          <w:szCs w:val="24"/>
        </w:rPr>
        <w:t>其肇因</w:t>
      </w:r>
      <w:r w:rsidR="00D74004" w:rsidRPr="00591FA2">
        <w:rPr>
          <w:rFonts w:ascii="標楷體" w:eastAsia="標楷體" w:hAnsi="標楷體" w:cs="DFKaiShu-SB-Estd-BF" w:hint="eastAsia"/>
          <w:szCs w:val="24"/>
        </w:rPr>
        <w:t>多係樹</w:t>
      </w:r>
    </w:p>
    <w:p w14:paraId="2F0D4348" w14:textId="77777777" w:rsidR="00FA0A75" w:rsidRDefault="00D74004" w:rsidP="00FA0A75">
      <w:pPr>
        <w:spacing w:beforeLines="10" w:before="36" w:line="460" w:lineRule="exact"/>
        <w:jc w:val="both"/>
        <w:rPr>
          <w:rFonts w:ascii="標楷體" w:eastAsia="標楷體" w:hAnsi="標楷體" w:cs="DFKaiShu-SB-Estd-BF"/>
          <w:bCs/>
          <w:szCs w:val="24"/>
        </w:rPr>
      </w:pPr>
      <w:r w:rsidRPr="00591FA2">
        <w:rPr>
          <w:rFonts w:ascii="標楷體" w:eastAsia="標楷體" w:hAnsi="標楷體" w:cs="DFKaiShu-SB-Estd-BF" w:hint="eastAsia"/>
          <w:szCs w:val="24"/>
        </w:rPr>
        <w:t>幹掉落、</w:t>
      </w:r>
      <w:proofErr w:type="gramStart"/>
      <w:r w:rsidRPr="00591FA2">
        <w:rPr>
          <w:rFonts w:ascii="標楷體" w:eastAsia="標楷體" w:hAnsi="標楷體" w:cs="DFKaiShu-SB-Estd-BF" w:hint="eastAsia"/>
          <w:szCs w:val="24"/>
        </w:rPr>
        <w:t>斷枝</w:t>
      </w:r>
      <w:proofErr w:type="gramEnd"/>
      <w:r w:rsidRPr="00591FA2">
        <w:rPr>
          <w:rFonts w:ascii="標楷體" w:eastAsia="標楷體" w:hAnsi="標楷體" w:cs="DFKaiShu-SB-Estd-BF" w:hint="eastAsia"/>
          <w:szCs w:val="24"/>
        </w:rPr>
        <w:t>，或倒塌等路樹維護不良所致</w:t>
      </w:r>
      <w:r w:rsidRPr="00591FA2">
        <w:rPr>
          <w:rFonts w:ascii="標楷體" w:eastAsia="標楷體" w:hAnsi="標楷體" w:cs="DFKaiShu-SB-Estd-BF" w:hint="eastAsia"/>
          <w:color w:val="000000"/>
          <w:szCs w:val="24"/>
        </w:rPr>
        <w:t>（表</w:t>
      </w:r>
      <w:r>
        <w:rPr>
          <w:rFonts w:ascii="標楷體" w:eastAsia="標楷體" w:hAnsi="標楷體" w:cs="DFKaiShu-SB-Estd-BF"/>
          <w:color w:val="000000"/>
          <w:szCs w:val="24"/>
        </w:rPr>
        <w:t>4</w:t>
      </w:r>
      <w:r w:rsidRPr="00591FA2">
        <w:rPr>
          <w:rFonts w:ascii="標楷體" w:eastAsia="標楷體" w:hAnsi="標楷體" w:cs="DFKaiShu-SB-Estd-BF" w:hint="eastAsia"/>
          <w:color w:val="000000"/>
          <w:szCs w:val="24"/>
        </w:rPr>
        <w:t>）</w:t>
      </w:r>
      <w:r w:rsidRPr="00591FA2">
        <w:rPr>
          <w:rFonts w:ascii="標楷體" w:eastAsia="標楷體" w:hAnsi="標楷體" w:cs="DFKaiShu-SB-Estd-BF" w:hint="eastAsia"/>
          <w:szCs w:val="24"/>
        </w:rPr>
        <w:t>。又</w:t>
      </w:r>
      <w:r w:rsidRPr="00591FA2">
        <w:rPr>
          <w:rFonts w:ascii="標楷體" w:eastAsia="標楷體" w:hAnsi="標楷體" w:cs="DFKaiShu-SB-Estd-BF" w:hint="eastAsia"/>
          <w:bCs/>
          <w:szCs w:val="24"/>
        </w:rPr>
        <w:t>據統計111至113年度（截至10月底</w:t>
      </w:r>
      <w:r>
        <w:rPr>
          <w:rFonts w:ascii="標楷體" w:eastAsia="標楷體" w:hAnsi="標楷體" w:cs="DFKaiShu-SB-Estd-BF" w:hint="eastAsia"/>
          <w:bCs/>
          <w:szCs w:val="24"/>
        </w:rPr>
        <w:t>止</w:t>
      </w:r>
      <w:r w:rsidRPr="00591FA2">
        <w:rPr>
          <w:rFonts w:ascii="標楷體" w:eastAsia="標楷體" w:hAnsi="標楷體" w:cs="DFKaiShu-SB-Estd-BF"/>
          <w:bCs/>
          <w:szCs w:val="24"/>
        </w:rPr>
        <w:t>）</w:t>
      </w:r>
      <w:r w:rsidRPr="00591FA2">
        <w:rPr>
          <w:rFonts w:ascii="標楷體" w:eastAsia="標楷體" w:hAnsi="標楷體" w:cs="DFKaiShu-SB-Estd-BF" w:hint="eastAsia"/>
          <w:bCs/>
          <w:szCs w:val="24"/>
        </w:rPr>
        <w:t>臺北市樹木倒塌案件，屬</w:t>
      </w:r>
      <w:proofErr w:type="gramStart"/>
      <w:r w:rsidRPr="00591FA2">
        <w:rPr>
          <w:rFonts w:ascii="標楷體" w:eastAsia="標楷體" w:hAnsi="標楷體" w:cs="DFKaiShu-SB-Estd-BF" w:hint="eastAsia"/>
          <w:bCs/>
          <w:szCs w:val="24"/>
        </w:rPr>
        <w:t>公樹者</w:t>
      </w:r>
      <w:proofErr w:type="gramEnd"/>
      <w:r w:rsidRPr="00591FA2">
        <w:rPr>
          <w:rFonts w:ascii="標楷體" w:eastAsia="標楷體" w:hAnsi="標楷體" w:cs="DFKaiShu-SB-Estd-BF" w:hint="eastAsia"/>
          <w:bCs/>
          <w:szCs w:val="24"/>
        </w:rPr>
        <w:t>，計有590件，按發生原因分析，扣除颱風</w:t>
      </w:r>
      <w:proofErr w:type="gramStart"/>
      <w:r w:rsidRPr="00591FA2">
        <w:rPr>
          <w:rFonts w:ascii="標楷體" w:eastAsia="標楷體" w:hAnsi="標楷體" w:cs="DFKaiShu-SB-Estd-BF" w:hint="eastAsia"/>
          <w:bCs/>
          <w:szCs w:val="24"/>
        </w:rPr>
        <w:t>（</w:t>
      </w:r>
      <w:proofErr w:type="gramEnd"/>
      <w:r w:rsidRPr="00591FA2">
        <w:rPr>
          <w:rFonts w:ascii="標楷體" w:eastAsia="標楷體" w:hAnsi="標楷體" w:cs="DFKaiShu-SB-Estd-BF" w:hint="eastAsia"/>
          <w:bCs/>
          <w:szCs w:val="24"/>
        </w:rPr>
        <w:t>含外圍環</w:t>
      </w:r>
    </w:p>
    <w:p w14:paraId="2B22A3A0" w14:textId="1938B1E4" w:rsidR="00D74004" w:rsidRPr="00591FA2" w:rsidRDefault="00D74004" w:rsidP="00FA0A75">
      <w:pPr>
        <w:spacing w:line="460" w:lineRule="exact"/>
        <w:jc w:val="both"/>
        <w:rPr>
          <w:rFonts w:ascii="標楷體" w:eastAsia="標楷體" w:hAnsi="標楷體" w:cs="DFKaiShu-SB-Estd-BF"/>
          <w:bCs/>
          <w:szCs w:val="24"/>
        </w:rPr>
      </w:pPr>
      <w:r w:rsidRPr="00591FA2">
        <w:rPr>
          <w:rFonts w:ascii="標楷體" w:eastAsia="標楷體" w:hAnsi="標楷體" w:cs="DFKaiShu-SB-Estd-BF" w:hint="eastAsia"/>
          <w:bCs/>
          <w:szCs w:val="24"/>
        </w:rPr>
        <w:lastRenderedPageBreak/>
        <w:t>流</w:t>
      </w:r>
      <w:proofErr w:type="gramStart"/>
      <w:r w:rsidRPr="00591FA2">
        <w:rPr>
          <w:rFonts w:ascii="標楷體" w:eastAsia="標楷體" w:hAnsi="標楷體" w:cs="DFKaiShu-SB-Estd-BF" w:hint="eastAsia"/>
          <w:bCs/>
          <w:szCs w:val="24"/>
        </w:rPr>
        <w:t>）</w:t>
      </w:r>
      <w:proofErr w:type="gramEnd"/>
      <w:r w:rsidRPr="00591FA2">
        <w:rPr>
          <w:rFonts w:ascii="標楷體" w:eastAsia="標楷體" w:hAnsi="標楷體" w:cs="DFKaiShu-SB-Estd-BF" w:hint="eastAsia"/>
          <w:bCs/>
          <w:szCs w:val="24"/>
        </w:rPr>
        <w:t>影響342件</w:t>
      </w:r>
      <w:r w:rsidRPr="00591FA2">
        <w:rPr>
          <w:rFonts w:ascii="標楷體" w:eastAsia="標楷體" w:hAnsi="標楷體" w:cs="DFKaiShu-SB-Estd-BF"/>
          <w:bCs/>
          <w:szCs w:val="24"/>
        </w:rPr>
        <w:t>（</w:t>
      </w:r>
      <w:r w:rsidRPr="00591FA2">
        <w:rPr>
          <w:rFonts w:ascii="標楷體" w:eastAsia="標楷體" w:hAnsi="標楷體" w:cs="DFKaiShu-SB-Estd-BF" w:hint="eastAsia"/>
          <w:bCs/>
          <w:szCs w:val="24"/>
        </w:rPr>
        <w:t>57.97％）後，其餘案件發生原因依次分別係樹木內部或</w:t>
      </w:r>
      <w:proofErr w:type="gramStart"/>
      <w:r w:rsidRPr="00591FA2">
        <w:rPr>
          <w:rFonts w:ascii="標楷體" w:eastAsia="標楷體" w:hAnsi="標楷體" w:cs="DFKaiShu-SB-Estd-BF" w:hint="eastAsia"/>
          <w:bCs/>
          <w:szCs w:val="24"/>
        </w:rPr>
        <w:t>基部等腐朽</w:t>
      </w:r>
      <w:proofErr w:type="gramEnd"/>
      <w:r w:rsidRPr="00591FA2">
        <w:rPr>
          <w:rFonts w:ascii="標楷體" w:eastAsia="標楷體" w:hAnsi="標楷體" w:cs="DFKaiShu-SB-Estd-BF" w:hint="eastAsia"/>
          <w:bCs/>
          <w:szCs w:val="24"/>
        </w:rPr>
        <w:t>87件</w:t>
      </w:r>
      <w:r w:rsidRPr="00591FA2">
        <w:rPr>
          <w:rFonts w:ascii="標楷體" w:eastAsia="標楷體" w:hAnsi="標楷體" w:cs="DFKaiShu-SB-Estd-BF"/>
          <w:bCs/>
          <w:szCs w:val="24"/>
        </w:rPr>
        <w:t>（</w:t>
      </w:r>
      <w:r w:rsidRPr="00591FA2">
        <w:rPr>
          <w:rFonts w:ascii="標楷體" w:eastAsia="標楷體" w:hAnsi="標楷體" w:cs="DFKaiShu-SB-Estd-BF" w:hint="eastAsia"/>
          <w:bCs/>
          <w:szCs w:val="24"/>
        </w:rPr>
        <w:t>14.75％）、豪</w:t>
      </w:r>
      <w:r w:rsidRPr="00591FA2">
        <w:rPr>
          <w:rFonts w:ascii="標楷體" w:eastAsia="標楷體" w:hAnsi="標楷體" w:cs="DFKaiShu-SB-Estd-BF"/>
          <w:bCs/>
          <w:szCs w:val="24"/>
        </w:rPr>
        <w:t>（</w:t>
      </w:r>
      <w:r w:rsidRPr="00591FA2">
        <w:rPr>
          <w:rFonts w:ascii="標楷體" w:eastAsia="標楷體" w:hAnsi="標楷體" w:cs="DFKaiShu-SB-Estd-BF" w:hint="eastAsia"/>
          <w:bCs/>
          <w:szCs w:val="24"/>
        </w:rPr>
        <w:t>大）雨影響68件</w:t>
      </w:r>
      <w:r w:rsidRPr="00591FA2">
        <w:rPr>
          <w:rFonts w:ascii="標楷體" w:eastAsia="標楷體" w:hAnsi="標楷體" w:cs="DFKaiShu-SB-Estd-BF"/>
          <w:bCs/>
          <w:szCs w:val="24"/>
        </w:rPr>
        <w:t>（</w:t>
      </w:r>
      <w:r w:rsidRPr="00591FA2">
        <w:rPr>
          <w:rFonts w:ascii="標楷體" w:eastAsia="標楷體" w:hAnsi="標楷體" w:cs="DFKaiShu-SB-Estd-BF" w:hint="eastAsia"/>
          <w:bCs/>
          <w:szCs w:val="24"/>
        </w:rPr>
        <w:t>11.53％）、</w:t>
      </w:r>
      <w:proofErr w:type="gramStart"/>
      <w:r w:rsidRPr="00591FA2">
        <w:rPr>
          <w:rFonts w:ascii="標楷體" w:eastAsia="標楷體" w:hAnsi="標楷體" w:cs="DFKaiShu-SB-Estd-BF" w:hint="eastAsia"/>
          <w:bCs/>
          <w:szCs w:val="24"/>
        </w:rPr>
        <w:t>罹褐根病</w:t>
      </w:r>
      <w:proofErr w:type="gramEnd"/>
      <w:r w:rsidRPr="00591FA2">
        <w:rPr>
          <w:rFonts w:ascii="標楷體" w:eastAsia="標楷體" w:hAnsi="標楷體" w:cs="DFKaiShu-SB-Estd-BF" w:hint="eastAsia"/>
          <w:bCs/>
          <w:szCs w:val="24"/>
        </w:rPr>
        <w:t>56件</w:t>
      </w:r>
      <w:r w:rsidRPr="00591FA2">
        <w:rPr>
          <w:rFonts w:ascii="標楷體" w:eastAsia="標楷體" w:hAnsi="標楷體" w:cs="DFKaiShu-SB-Estd-BF"/>
          <w:bCs/>
          <w:szCs w:val="24"/>
        </w:rPr>
        <w:t>（</w:t>
      </w:r>
      <w:r w:rsidRPr="00591FA2">
        <w:rPr>
          <w:rFonts w:ascii="標楷體" w:eastAsia="標楷體" w:hAnsi="標楷體" w:cs="DFKaiShu-SB-Estd-BF" w:hint="eastAsia"/>
          <w:bCs/>
          <w:szCs w:val="24"/>
        </w:rPr>
        <w:t>9.49％），</w:t>
      </w:r>
      <w:proofErr w:type="gramStart"/>
      <w:r w:rsidRPr="00591FA2">
        <w:rPr>
          <w:rFonts w:ascii="標楷體" w:eastAsia="標楷體" w:hAnsi="標楷體" w:cs="DFKaiShu-SB-Estd-BF" w:hint="eastAsia"/>
          <w:bCs/>
          <w:szCs w:val="24"/>
        </w:rPr>
        <w:t>均與路樹</w:t>
      </w:r>
      <w:proofErr w:type="gramEnd"/>
      <w:r w:rsidRPr="00591FA2">
        <w:rPr>
          <w:rFonts w:ascii="標楷體" w:eastAsia="標楷體" w:hAnsi="標楷體" w:cs="DFKaiShu-SB-Estd-BF" w:hint="eastAsia"/>
          <w:bCs/>
          <w:szCs w:val="24"/>
        </w:rPr>
        <w:t>維護作業良</w:t>
      </w:r>
      <w:proofErr w:type="gramStart"/>
      <w:r w:rsidRPr="00591FA2">
        <w:rPr>
          <w:rFonts w:ascii="標楷體" w:eastAsia="標楷體" w:hAnsi="標楷體" w:cs="DFKaiShu-SB-Estd-BF" w:hint="eastAsia"/>
          <w:bCs/>
          <w:szCs w:val="24"/>
        </w:rPr>
        <w:t>窳</w:t>
      </w:r>
      <w:proofErr w:type="gramEnd"/>
      <w:r w:rsidRPr="00591FA2">
        <w:rPr>
          <w:rFonts w:ascii="標楷體" w:eastAsia="標楷體" w:hAnsi="標楷體" w:cs="DFKaiShu-SB-Estd-BF" w:hint="eastAsia"/>
          <w:bCs/>
          <w:szCs w:val="24"/>
        </w:rPr>
        <w:t>有關，經函請針對原因癥結及發生熱點</w:t>
      </w:r>
      <w:proofErr w:type="gramStart"/>
      <w:r w:rsidRPr="00591FA2">
        <w:rPr>
          <w:rFonts w:ascii="標楷體" w:eastAsia="標楷體" w:hAnsi="標楷體" w:cs="DFKaiShu-SB-Estd-BF" w:hint="eastAsia"/>
          <w:bCs/>
          <w:szCs w:val="24"/>
        </w:rPr>
        <w:t>研</w:t>
      </w:r>
      <w:proofErr w:type="gramEnd"/>
      <w:r w:rsidRPr="00591FA2">
        <w:rPr>
          <w:rFonts w:ascii="標楷體" w:eastAsia="標楷體" w:hAnsi="標楷體" w:cs="DFKaiShu-SB-Estd-BF" w:hint="eastAsia"/>
          <w:bCs/>
          <w:szCs w:val="24"/>
        </w:rPr>
        <w:t>謀有效精進對策。據復：</w:t>
      </w:r>
      <w:proofErr w:type="gramStart"/>
      <w:r w:rsidRPr="00591FA2">
        <w:rPr>
          <w:rFonts w:ascii="標楷體" w:eastAsia="標楷體" w:hAnsi="標楷體" w:cs="DFKaiShu-SB-Estd-BF" w:hint="eastAsia"/>
          <w:bCs/>
        </w:rPr>
        <w:t>賡</w:t>
      </w:r>
      <w:proofErr w:type="gramEnd"/>
      <w:r w:rsidRPr="00591FA2">
        <w:rPr>
          <w:rFonts w:ascii="標楷體" w:eastAsia="標楷體" w:hAnsi="標楷體" w:cs="DFKaiShu-SB-Estd-BF" w:hint="eastAsia"/>
          <w:bCs/>
        </w:rPr>
        <w:t>續普查健檢、擴大</w:t>
      </w:r>
      <w:proofErr w:type="gramStart"/>
      <w:r w:rsidRPr="00591FA2">
        <w:rPr>
          <w:rFonts w:ascii="標楷體" w:eastAsia="標楷體" w:hAnsi="標楷體" w:cs="DFKaiShu-SB-Estd-BF" w:hint="eastAsia"/>
          <w:bCs/>
        </w:rPr>
        <w:t>安全健</w:t>
      </w:r>
      <w:proofErr w:type="gramEnd"/>
      <w:r w:rsidRPr="00591FA2">
        <w:rPr>
          <w:rFonts w:ascii="標楷體" w:eastAsia="標楷體" w:hAnsi="標楷體" w:cs="DFKaiShu-SB-Estd-BF" w:hint="eastAsia"/>
          <w:bCs/>
        </w:rPr>
        <w:t>檢作業中非破壞性儀器檢測範圍及數量、辦理</w:t>
      </w:r>
      <w:proofErr w:type="gramStart"/>
      <w:r w:rsidRPr="00591FA2">
        <w:rPr>
          <w:rFonts w:ascii="標楷體" w:eastAsia="標楷體" w:hAnsi="標楷體" w:cs="DFKaiShu-SB-Estd-BF" w:hint="eastAsia"/>
          <w:bCs/>
        </w:rPr>
        <w:t>計畫性全樹</w:t>
      </w:r>
      <w:proofErr w:type="gramEnd"/>
      <w:r w:rsidRPr="00591FA2">
        <w:rPr>
          <w:rFonts w:ascii="標楷體" w:eastAsia="標楷體" w:hAnsi="標楷體" w:cs="DFKaiShu-SB-Estd-BF" w:hint="eastAsia"/>
          <w:bCs/>
        </w:rPr>
        <w:t>型修剪、運用偵測犬檢測等事項，並</w:t>
      </w:r>
      <w:proofErr w:type="gramStart"/>
      <w:r w:rsidRPr="00591FA2">
        <w:rPr>
          <w:rFonts w:ascii="標楷體" w:eastAsia="標楷體" w:hAnsi="標楷體" w:cs="DFKaiShu-SB-Estd-BF" w:hint="eastAsia"/>
          <w:bCs/>
        </w:rPr>
        <w:t>將透地雷達</w:t>
      </w:r>
      <w:proofErr w:type="gramEnd"/>
      <w:r w:rsidRPr="00591FA2">
        <w:rPr>
          <w:rFonts w:ascii="標楷體" w:eastAsia="標楷體" w:hAnsi="標楷體" w:cs="DFKaiShu-SB-Estd-BF" w:hint="eastAsia"/>
          <w:bCs/>
        </w:rPr>
        <w:t>技術應用於路樹</w:t>
      </w:r>
      <w:proofErr w:type="gramStart"/>
      <w:r w:rsidRPr="00591FA2">
        <w:rPr>
          <w:rFonts w:ascii="標楷體" w:eastAsia="標楷體" w:hAnsi="標楷體" w:cs="DFKaiShu-SB-Estd-BF" w:hint="eastAsia"/>
          <w:bCs/>
        </w:rPr>
        <w:t>褐根病</w:t>
      </w:r>
      <w:proofErr w:type="gramEnd"/>
      <w:r w:rsidRPr="00591FA2">
        <w:rPr>
          <w:rFonts w:ascii="標楷體" w:eastAsia="標楷體" w:hAnsi="標楷體" w:cs="DFKaiShu-SB-Estd-BF" w:hint="eastAsia"/>
          <w:bCs/>
        </w:rPr>
        <w:t>檢測初探列入後續精進管理。</w:t>
      </w:r>
    </w:p>
    <w:p w14:paraId="6AEBE918" w14:textId="77777777" w:rsidR="00D74004" w:rsidRPr="00591FA2" w:rsidRDefault="00D74004" w:rsidP="00314635">
      <w:pPr>
        <w:spacing w:line="440" w:lineRule="exact"/>
        <w:ind w:firstLineChars="200" w:firstLine="480"/>
        <w:jc w:val="both"/>
        <w:rPr>
          <w:rFonts w:ascii="標楷體" w:eastAsia="標楷體" w:hAnsi="標楷體" w:cs="DFKaiShu-SB-Estd-BF"/>
          <w:bCs/>
          <w:szCs w:val="24"/>
        </w:rPr>
      </w:pPr>
      <w:r w:rsidRPr="00591FA2">
        <w:rPr>
          <w:rFonts w:ascii="標楷體" w:eastAsia="標楷體" w:hAnsi="標楷體" w:cs="DFKaiShu-SB-Estd-BF" w:hint="eastAsia"/>
          <w:b/>
          <w:szCs w:val="24"/>
        </w:rPr>
        <w:t>2.經列管應移除之樹木，未及時辦理移除，復</w:t>
      </w:r>
      <w:proofErr w:type="gramStart"/>
      <w:r w:rsidRPr="00591FA2">
        <w:rPr>
          <w:rFonts w:ascii="標楷體" w:eastAsia="標楷體" w:hAnsi="標楷體" w:cs="DFKaiShu-SB-Estd-BF" w:hint="eastAsia"/>
          <w:b/>
          <w:szCs w:val="24"/>
        </w:rPr>
        <w:t>再納列嗣後</w:t>
      </w:r>
      <w:proofErr w:type="gramEnd"/>
      <w:r w:rsidRPr="00591FA2">
        <w:rPr>
          <w:rFonts w:ascii="標楷體" w:eastAsia="標楷體" w:hAnsi="標楷體" w:cs="DFKaiShu-SB-Estd-BF" w:hint="eastAsia"/>
          <w:b/>
          <w:szCs w:val="24"/>
        </w:rPr>
        <w:t>健檢追蹤案辦理，又部分經委外廠商評估屬重大危害風險等級應予移除之樹木，</w:t>
      </w:r>
      <w:proofErr w:type="gramStart"/>
      <w:r w:rsidRPr="00591FA2">
        <w:rPr>
          <w:rFonts w:ascii="標楷體" w:eastAsia="標楷體" w:hAnsi="標楷體" w:cs="DFKaiShu-SB-Estd-BF" w:hint="eastAsia"/>
          <w:b/>
          <w:szCs w:val="24"/>
        </w:rPr>
        <w:t>嗣</w:t>
      </w:r>
      <w:proofErr w:type="gramEnd"/>
      <w:r w:rsidRPr="00591FA2">
        <w:rPr>
          <w:rFonts w:ascii="標楷體" w:eastAsia="標楷體" w:hAnsi="標楷體" w:cs="DFKaiShu-SB-Estd-BF" w:hint="eastAsia"/>
          <w:b/>
          <w:szCs w:val="24"/>
        </w:rPr>
        <w:t>經另為</w:t>
      </w:r>
      <w:proofErr w:type="gramStart"/>
      <w:r w:rsidRPr="00591FA2">
        <w:rPr>
          <w:rFonts w:ascii="標楷體" w:eastAsia="標楷體" w:hAnsi="標楷體" w:cs="DFKaiShu-SB-Estd-BF" w:hint="eastAsia"/>
          <w:b/>
          <w:szCs w:val="24"/>
        </w:rPr>
        <w:t>不</w:t>
      </w:r>
      <w:proofErr w:type="gramEnd"/>
      <w:r w:rsidRPr="00591FA2">
        <w:rPr>
          <w:rFonts w:ascii="標楷體" w:eastAsia="標楷體" w:hAnsi="標楷體" w:cs="DFKaiShu-SB-Estd-BF" w:hint="eastAsia"/>
          <w:b/>
          <w:szCs w:val="24"/>
        </w:rPr>
        <w:t>移除之決定，查無決策資料可</w:t>
      </w:r>
      <w:proofErr w:type="gramStart"/>
      <w:r w:rsidRPr="00591FA2">
        <w:rPr>
          <w:rFonts w:ascii="標楷體" w:eastAsia="標楷體" w:hAnsi="標楷體" w:cs="DFKaiShu-SB-Estd-BF" w:hint="eastAsia"/>
          <w:b/>
          <w:szCs w:val="24"/>
        </w:rPr>
        <w:t>稽</w:t>
      </w:r>
      <w:proofErr w:type="gramEnd"/>
      <w:r w:rsidRPr="00591FA2">
        <w:rPr>
          <w:rFonts w:ascii="標楷體" w:eastAsia="標楷體" w:hAnsi="標楷體" w:cs="DFKaiShu-SB-Estd-BF" w:hint="eastAsia"/>
          <w:b/>
          <w:szCs w:val="24"/>
        </w:rPr>
        <w:t>，且短期內重新檢視卻發現樹木已死亡等應予移除，管理機制</w:t>
      </w:r>
      <w:proofErr w:type="gramStart"/>
      <w:r w:rsidRPr="00591FA2">
        <w:rPr>
          <w:rFonts w:ascii="標楷體" w:eastAsia="標楷體" w:hAnsi="標楷體" w:cs="DFKaiShu-SB-Estd-BF" w:hint="eastAsia"/>
          <w:b/>
          <w:szCs w:val="24"/>
        </w:rPr>
        <w:t>未盡周妥</w:t>
      </w:r>
      <w:proofErr w:type="gramEnd"/>
      <w:r w:rsidRPr="00591FA2">
        <w:rPr>
          <w:rFonts w:ascii="標楷體" w:eastAsia="標楷體" w:hAnsi="標楷體" w:cs="DFKaiShu-SB-Estd-BF" w:hint="eastAsia"/>
          <w:b/>
          <w:szCs w:val="24"/>
        </w:rPr>
        <w:t>：</w:t>
      </w:r>
      <w:r w:rsidRPr="00591FA2">
        <w:rPr>
          <w:rFonts w:ascii="標楷體" w:eastAsia="標楷體" w:hAnsi="標楷體" w:cs="DFKaiShu-SB-Estd-BF" w:hint="eastAsia"/>
          <w:szCs w:val="24"/>
        </w:rPr>
        <w:t>公園處為瞭解行道樹之生長環境及健康等情況，就112年2月28日前種植之轄管行道樹93</w:t>
      </w:r>
      <w:r w:rsidRPr="00591FA2">
        <w:rPr>
          <w:rFonts w:ascii="標楷體" w:eastAsia="標楷體" w:hAnsi="標楷體" w:cs="DFKaiShu-SB-Estd-BF"/>
          <w:szCs w:val="24"/>
        </w:rPr>
        <w:t>,</w:t>
      </w:r>
      <w:r w:rsidRPr="00591FA2">
        <w:rPr>
          <w:rFonts w:ascii="標楷體" w:eastAsia="標楷體" w:hAnsi="標楷體" w:cs="DFKaiShu-SB-Estd-BF" w:hint="eastAsia"/>
          <w:szCs w:val="24"/>
        </w:rPr>
        <w:t>157株為調查標的，將全市依行政區別，於111及</w:t>
      </w:r>
      <w:proofErr w:type="gramStart"/>
      <w:r w:rsidRPr="00591FA2">
        <w:rPr>
          <w:rFonts w:ascii="標楷體" w:eastAsia="標楷體" w:hAnsi="標楷體" w:cs="DFKaiShu-SB-Estd-BF" w:hint="eastAsia"/>
          <w:szCs w:val="24"/>
        </w:rPr>
        <w:t>112</w:t>
      </w:r>
      <w:proofErr w:type="gramEnd"/>
      <w:r w:rsidRPr="00591FA2">
        <w:rPr>
          <w:rFonts w:ascii="標楷體" w:eastAsia="標楷體" w:hAnsi="標楷體" w:cs="DFKaiShu-SB-Estd-BF" w:hint="eastAsia"/>
          <w:szCs w:val="24"/>
        </w:rPr>
        <w:t>年度分別委外辦理</w:t>
      </w:r>
      <w:r w:rsidRPr="00591FA2">
        <w:rPr>
          <w:rFonts w:ascii="標楷體" w:eastAsia="標楷體" w:hAnsi="標楷體" w:cs="DFKaiShu-SB-Estd-BF"/>
          <w:szCs w:val="24"/>
        </w:rPr>
        <w:t>行道樹普查暨</w:t>
      </w:r>
      <w:proofErr w:type="gramStart"/>
      <w:r w:rsidRPr="00591FA2">
        <w:rPr>
          <w:rFonts w:ascii="標楷體" w:eastAsia="標楷體" w:hAnsi="標楷體" w:cs="DFKaiShu-SB-Estd-BF"/>
          <w:szCs w:val="24"/>
        </w:rPr>
        <w:t>安全健</w:t>
      </w:r>
      <w:proofErr w:type="gramEnd"/>
      <w:r w:rsidRPr="00591FA2">
        <w:rPr>
          <w:rFonts w:ascii="標楷體" w:eastAsia="標楷體" w:hAnsi="標楷體" w:cs="DFKaiShu-SB-Estd-BF"/>
          <w:szCs w:val="24"/>
        </w:rPr>
        <w:t>檢改善委託專業服務案（</w:t>
      </w:r>
      <w:r w:rsidRPr="00591FA2">
        <w:rPr>
          <w:rFonts w:ascii="標楷體" w:eastAsia="標楷體" w:hAnsi="標楷體" w:cs="DFKaiShu-SB-Estd-BF" w:hint="eastAsia"/>
          <w:szCs w:val="24"/>
        </w:rPr>
        <w:t>下稱111及</w:t>
      </w:r>
      <w:proofErr w:type="gramStart"/>
      <w:r w:rsidRPr="00591FA2">
        <w:rPr>
          <w:rFonts w:ascii="標楷體" w:eastAsia="標楷體" w:hAnsi="標楷體" w:cs="DFKaiShu-SB-Estd-BF" w:hint="eastAsia"/>
          <w:szCs w:val="24"/>
        </w:rPr>
        <w:t>112</w:t>
      </w:r>
      <w:proofErr w:type="gramEnd"/>
      <w:r w:rsidRPr="00591FA2">
        <w:rPr>
          <w:rFonts w:ascii="標楷體" w:eastAsia="標楷體" w:hAnsi="標楷體" w:cs="DFKaiShu-SB-Estd-BF" w:hint="eastAsia"/>
          <w:szCs w:val="24"/>
        </w:rPr>
        <w:t>年度行道樹普查健檢案</w:t>
      </w:r>
      <w:r w:rsidRPr="00591FA2">
        <w:rPr>
          <w:rFonts w:ascii="標楷體" w:eastAsia="標楷體" w:hAnsi="標楷體" w:cs="DFKaiShu-SB-Estd-BF"/>
          <w:szCs w:val="24"/>
        </w:rPr>
        <w:t>）</w:t>
      </w:r>
      <w:r w:rsidRPr="00591FA2">
        <w:rPr>
          <w:rFonts w:ascii="標楷體" w:eastAsia="標楷體" w:hAnsi="標楷體" w:cs="DFKaiShu-SB-Estd-BF" w:hint="eastAsia"/>
          <w:szCs w:val="24"/>
        </w:rPr>
        <w:t>，契約金額共計4</w:t>
      </w:r>
      <w:r w:rsidRPr="00591FA2">
        <w:rPr>
          <w:rFonts w:ascii="標楷體" w:eastAsia="標楷體" w:hAnsi="標楷體" w:cs="DFKaiShu-SB-Estd-BF"/>
          <w:szCs w:val="24"/>
        </w:rPr>
        <w:t>,</w:t>
      </w:r>
      <w:r w:rsidRPr="00591FA2">
        <w:rPr>
          <w:rFonts w:ascii="標楷體" w:eastAsia="標楷體" w:hAnsi="標楷體" w:cs="DFKaiShu-SB-Estd-BF" w:hint="eastAsia"/>
          <w:szCs w:val="24"/>
        </w:rPr>
        <w:t>595萬元。</w:t>
      </w:r>
      <w:proofErr w:type="gramStart"/>
      <w:r w:rsidRPr="00591FA2">
        <w:rPr>
          <w:rFonts w:ascii="標楷體" w:eastAsia="標楷體" w:hAnsi="標楷體" w:cs="DFKaiShu-SB-Estd-BF" w:hint="eastAsia"/>
          <w:szCs w:val="24"/>
        </w:rPr>
        <w:t>嗣</w:t>
      </w:r>
      <w:proofErr w:type="gramEnd"/>
      <w:r w:rsidRPr="00591FA2">
        <w:rPr>
          <w:rFonts w:ascii="標楷體" w:eastAsia="標楷體" w:hAnsi="標楷體" w:cs="DFKaiShu-SB-Estd-BF" w:hint="eastAsia"/>
          <w:szCs w:val="24"/>
        </w:rPr>
        <w:t>該處</w:t>
      </w:r>
      <w:r w:rsidRPr="00591FA2">
        <w:rPr>
          <w:rFonts w:ascii="標楷體" w:eastAsia="標楷體" w:hAnsi="標楷體" w:cs="DFKaiShu-SB-Estd-BF" w:hint="eastAsia"/>
          <w:bCs/>
          <w:szCs w:val="24"/>
        </w:rPr>
        <w:t>就111及</w:t>
      </w:r>
      <w:proofErr w:type="gramStart"/>
      <w:r w:rsidRPr="00591FA2">
        <w:rPr>
          <w:rFonts w:ascii="標楷體" w:eastAsia="標楷體" w:hAnsi="標楷體" w:cs="DFKaiShu-SB-Estd-BF" w:hint="eastAsia"/>
          <w:bCs/>
          <w:szCs w:val="24"/>
        </w:rPr>
        <w:t>112</w:t>
      </w:r>
      <w:proofErr w:type="gramEnd"/>
      <w:r w:rsidRPr="00591FA2">
        <w:rPr>
          <w:rFonts w:ascii="標楷體" w:eastAsia="標楷體" w:hAnsi="標楷體" w:cs="DFKaiShu-SB-Estd-BF" w:hint="eastAsia"/>
          <w:bCs/>
          <w:szCs w:val="24"/>
        </w:rPr>
        <w:t>年度行道樹普查</w:t>
      </w:r>
      <w:proofErr w:type="gramStart"/>
      <w:r w:rsidRPr="00591FA2">
        <w:rPr>
          <w:rFonts w:ascii="標楷體" w:eastAsia="標楷體" w:hAnsi="標楷體" w:cs="DFKaiShu-SB-Estd-BF" w:hint="eastAsia"/>
          <w:bCs/>
          <w:szCs w:val="24"/>
        </w:rPr>
        <w:t>健檢案經</w:t>
      </w:r>
      <w:proofErr w:type="gramEnd"/>
      <w:r w:rsidRPr="00591FA2">
        <w:rPr>
          <w:rFonts w:ascii="標楷體" w:eastAsia="標楷體" w:hAnsi="標楷體" w:cs="DFKaiShu-SB-Estd-BF" w:hint="eastAsia"/>
          <w:bCs/>
          <w:szCs w:val="24"/>
        </w:rPr>
        <w:t>評估為高風險等級擇選追蹤評估，</w:t>
      </w:r>
      <w:r w:rsidRPr="00591FA2">
        <w:rPr>
          <w:rFonts w:ascii="標楷體" w:eastAsia="標楷體" w:hAnsi="標楷體" w:cs="DFKaiShu-SB-Estd-BF" w:hint="eastAsia"/>
          <w:szCs w:val="24"/>
        </w:rPr>
        <w:t>於</w:t>
      </w:r>
      <w:proofErr w:type="gramStart"/>
      <w:r w:rsidRPr="00591FA2">
        <w:rPr>
          <w:rFonts w:ascii="標楷體" w:eastAsia="標楷體" w:hAnsi="標楷體" w:cs="DFKaiShu-SB-Estd-BF" w:hint="eastAsia"/>
          <w:bCs/>
          <w:szCs w:val="24"/>
        </w:rPr>
        <w:t>113</w:t>
      </w:r>
      <w:proofErr w:type="gramEnd"/>
      <w:r w:rsidRPr="00591FA2">
        <w:rPr>
          <w:rFonts w:ascii="標楷體" w:eastAsia="標楷體" w:hAnsi="標楷體" w:cs="DFKaiShu-SB-Estd-BF" w:hint="eastAsia"/>
          <w:bCs/>
          <w:szCs w:val="24"/>
        </w:rPr>
        <w:t>年度辦理</w:t>
      </w:r>
      <w:r w:rsidRPr="00591FA2">
        <w:rPr>
          <w:rFonts w:ascii="標楷體" w:eastAsia="標楷體" w:hAnsi="標楷體" w:cs="DFKaiShu-SB-Estd-BF"/>
          <w:bCs/>
          <w:szCs w:val="24"/>
        </w:rPr>
        <w:t>行道樹</w:t>
      </w:r>
      <w:proofErr w:type="gramStart"/>
      <w:r w:rsidRPr="00591FA2">
        <w:rPr>
          <w:rFonts w:ascii="標楷體" w:eastAsia="標楷體" w:hAnsi="標楷體" w:cs="DFKaiShu-SB-Estd-BF"/>
          <w:bCs/>
          <w:szCs w:val="24"/>
        </w:rPr>
        <w:t>安全健</w:t>
      </w:r>
      <w:proofErr w:type="gramEnd"/>
      <w:r w:rsidRPr="00591FA2">
        <w:rPr>
          <w:rFonts w:ascii="標楷體" w:eastAsia="標楷體" w:hAnsi="標楷體" w:cs="DFKaiShu-SB-Estd-BF"/>
          <w:bCs/>
          <w:szCs w:val="24"/>
        </w:rPr>
        <w:t>檢追蹤</w:t>
      </w:r>
      <w:proofErr w:type="gramStart"/>
      <w:r w:rsidRPr="00591FA2">
        <w:rPr>
          <w:rFonts w:ascii="標楷體" w:eastAsia="標楷體" w:hAnsi="標楷體" w:cs="DFKaiShu-SB-Estd-BF"/>
          <w:bCs/>
          <w:szCs w:val="24"/>
        </w:rPr>
        <w:t>暨新補植</w:t>
      </w:r>
      <w:proofErr w:type="gramEnd"/>
      <w:r w:rsidRPr="00591FA2">
        <w:rPr>
          <w:rFonts w:ascii="標楷體" w:eastAsia="標楷體" w:hAnsi="標楷體" w:cs="DFKaiShu-SB-Estd-BF"/>
          <w:bCs/>
          <w:szCs w:val="24"/>
        </w:rPr>
        <w:t>、接管樹木調查委託專業服務案（</w:t>
      </w:r>
      <w:r w:rsidRPr="00591FA2">
        <w:rPr>
          <w:rFonts w:ascii="標楷體" w:eastAsia="標楷體" w:hAnsi="標楷體" w:cs="DFKaiShu-SB-Estd-BF" w:hint="eastAsia"/>
          <w:bCs/>
          <w:szCs w:val="24"/>
        </w:rPr>
        <w:t>下稱</w:t>
      </w:r>
      <w:proofErr w:type="gramStart"/>
      <w:r w:rsidRPr="00591FA2">
        <w:rPr>
          <w:rFonts w:ascii="標楷體" w:eastAsia="標楷體" w:hAnsi="標楷體" w:cs="DFKaiShu-SB-Estd-BF" w:hint="eastAsia"/>
          <w:bCs/>
          <w:szCs w:val="24"/>
        </w:rPr>
        <w:t>113</w:t>
      </w:r>
      <w:proofErr w:type="gramEnd"/>
      <w:r w:rsidRPr="00591FA2">
        <w:rPr>
          <w:rFonts w:ascii="標楷體" w:eastAsia="標楷體" w:hAnsi="標楷體" w:cs="DFKaiShu-SB-Estd-BF" w:hint="eastAsia"/>
          <w:bCs/>
          <w:szCs w:val="24"/>
        </w:rPr>
        <w:t>年度行道樹健檢追蹤案</w:t>
      </w:r>
      <w:r w:rsidRPr="00591FA2">
        <w:rPr>
          <w:rFonts w:ascii="標楷體" w:eastAsia="標楷體" w:hAnsi="標楷體" w:cs="DFKaiShu-SB-Estd-BF"/>
          <w:bCs/>
          <w:szCs w:val="24"/>
        </w:rPr>
        <w:t>）</w:t>
      </w:r>
      <w:r w:rsidRPr="00591FA2">
        <w:rPr>
          <w:rFonts w:ascii="標楷體" w:eastAsia="標楷體" w:hAnsi="標楷體" w:cs="DFKaiShu-SB-Estd-BF" w:hint="eastAsia"/>
          <w:bCs/>
          <w:szCs w:val="24"/>
        </w:rPr>
        <w:t>，契約</w:t>
      </w:r>
      <w:r w:rsidRPr="00591FA2">
        <w:rPr>
          <w:rFonts w:ascii="標楷體" w:eastAsia="標楷體" w:hAnsi="標楷體" w:cs="DFKaiShu-SB-Estd-BF" w:hint="eastAsia"/>
          <w:szCs w:val="24"/>
        </w:rPr>
        <w:t>金額</w:t>
      </w:r>
      <w:r w:rsidRPr="00591FA2">
        <w:rPr>
          <w:rFonts w:ascii="標楷體" w:eastAsia="標楷體" w:hAnsi="標楷體" w:cs="DFKaiShu-SB-Estd-BF" w:hint="eastAsia"/>
          <w:bCs/>
          <w:szCs w:val="24"/>
        </w:rPr>
        <w:t>1,</w:t>
      </w:r>
      <w:r w:rsidRPr="00591FA2">
        <w:rPr>
          <w:rFonts w:ascii="標楷體" w:eastAsia="標楷體" w:hAnsi="標楷體" w:cs="DFKaiShu-SB-Estd-BF"/>
          <w:bCs/>
          <w:szCs w:val="24"/>
        </w:rPr>
        <w:t>574</w:t>
      </w:r>
      <w:r w:rsidRPr="00591FA2">
        <w:rPr>
          <w:rFonts w:ascii="標楷體" w:eastAsia="標楷體" w:hAnsi="標楷體" w:cs="DFKaiShu-SB-Estd-BF" w:hint="eastAsia"/>
          <w:bCs/>
          <w:szCs w:val="24"/>
        </w:rPr>
        <w:t>萬餘元。經查公園處行道樹維護管理情形，核有：</w:t>
      </w:r>
      <w:r w:rsidRPr="00591FA2">
        <w:rPr>
          <w:rFonts w:ascii="標楷體" w:eastAsia="標楷體" w:hAnsi="標楷體" w:cs="DFKaiShu-SB-Estd-BF" w:hint="eastAsia"/>
          <w:bCs/>
        </w:rPr>
        <w:t>（1）據統計該處112及</w:t>
      </w:r>
      <w:proofErr w:type="gramStart"/>
      <w:r w:rsidRPr="00591FA2">
        <w:rPr>
          <w:rFonts w:ascii="標楷體" w:eastAsia="標楷體" w:hAnsi="標楷體" w:cs="DFKaiShu-SB-Estd-BF" w:hint="eastAsia"/>
          <w:bCs/>
        </w:rPr>
        <w:t>113</w:t>
      </w:r>
      <w:proofErr w:type="gramEnd"/>
      <w:r w:rsidRPr="00591FA2">
        <w:rPr>
          <w:rFonts w:ascii="標楷體" w:eastAsia="標楷體" w:hAnsi="標楷體" w:cs="DFKaiShu-SB-Estd-BF" w:hint="eastAsia"/>
          <w:bCs/>
        </w:rPr>
        <w:t>年度（截至12月13日止）樹木移除</w:t>
      </w:r>
      <w:proofErr w:type="gramStart"/>
      <w:r w:rsidRPr="00591FA2">
        <w:rPr>
          <w:rFonts w:ascii="標楷體" w:eastAsia="標楷體" w:hAnsi="標楷體" w:cs="DFKaiShu-SB-Estd-BF" w:hint="eastAsia"/>
          <w:bCs/>
        </w:rPr>
        <w:t>列管表所</w:t>
      </w:r>
      <w:proofErr w:type="gramEnd"/>
      <w:r w:rsidRPr="00591FA2">
        <w:rPr>
          <w:rFonts w:ascii="標楷體" w:eastAsia="標楷體" w:hAnsi="標楷體" w:cs="DFKaiShu-SB-Estd-BF" w:hint="eastAsia"/>
          <w:bCs/>
        </w:rPr>
        <w:t>列應予移除之行道樹共計2</w:t>
      </w:r>
      <w:r w:rsidRPr="00591FA2">
        <w:rPr>
          <w:rFonts w:ascii="標楷體" w:eastAsia="標楷體" w:hAnsi="標楷體" w:cs="DFKaiShu-SB-Estd-BF"/>
          <w:bCs/>
        </w:rPr>
        <w:t>,</w:t>
      </w:r>
      <w:r w:rsidRPr="00591FA2">
        <w:rPr>
          <w:rFonts w:ascii="標楷體" w:eastAsia="標楷體" w:hAnsi="標楷體" w:cs="DFKaiShu-SB-Estd-BF" w:hint="eastAsia"/>
          <w:bCs/>
        </w:rPr>
        <w:t>989株，惟未訂定移除期限，亦未註記移除日期，難以管制樹木移除情形及應持續列管移除之樹木</w:t>
      </w:r>
      <w:r w:rsidRPr="00591FA2">
        <w:rPr>
          <w:rFonts w:ascii="標楷體" w:eastAsia="標楷體" w:hAnsi="標楷體" w:cs="DFKaiShu-SB-Estd-BF" w:hint="eastAsia"/>
          <w:bCs/>
          <w:szCs w:val="24"/>
        </w:rPr>
        <w:t>數量；又上開已列管應移除之樹木，有560株再納入</w:t>
      </w:r>
      <w:proofErr w:type="gramStart"/>
      <w:r w:rsidRPr="00591FA2">
        <w:rPr>
          <w:rFonts w:ascii="標楷體" w:eastAsia="標楷體" w:hAnsi="標楷體" w:cs="DFKaiShu-SB-Estd-BF" w:hint="eastAsia"/>
          <w:bCs/>
          <w:szCs w:val="24"/>
        </w:rPr>
        <w:t>113</w:t>
      </w:r>
      <w:proofErr w:type="gramEnd"/>
      <w:r w:rsidRPr="00591FA2">
        <w:rPr>
          <w:rFonts w:ascii="標楷體" w:eastAsia="標楷體" w:hAnsi="標楷體" w:cs="DFKaiShu-SB-Estd-BF" w:hint="eastAsia"/>
          <w:bCs/>
          <w:szCs w:val="24"/>
        </w:rPr>
        <w:t>年度行道樹健檢追蹤案交由廠商辦理，管理機制</w:t>
      </w:r>
      <w:proofErr w:type="gramStart"/>
      <w:r w:rsidRPr="00591FA2">
        <w:rPr>
          <w:rFonts w:ascii="標楷體" w:eastAsia="標楷體" w:hAnsi="標楷體" w:cs="DFKaiShu-SB-Estd-BF" w:hint="eastAsia"/>
          <w:bCs/>
          <w:szCs w:val="24"/>
        </w:rPr>
        <w:t>未盡周妥</w:t>
      </w:r>
      <w:proofErr w:type="gramEnd"/>
      <w:r w:rsidRPr="00591FA2">
        <w:rPr>
          <w:rFonts w:ascii="標楷體" w:eastAsia="標楷體" w:hAnsi="標楷體" w:cs="DFKaiShu-SB-Estd-BF" w:hint="eastAsia"/>
          <w:bCs/>
          <w:szCs w:val="24"/>
        </w:rPr>
        <w:t>；（2）</w:t>
      </w:r>
      <w:r w:rsidRPr="00591FA2">
        <w:rPr>
          <w:rFonts w:ascii="標楷體" w:eastAsia="標楷體" w:hAnsi="標楷體" w:cs="DFKaiShu-SB-Estd-BF" w:hint="eastAsia"/>
          <w:bCs/>
        </w:rPr>
        <w:t>依111及</w:t>
      </w:r>
      <w:proofErr w:type="gramStart"/>
      <w:r w:rsidRPr="00591FA2">
        <w:rPr>
          <w:rFonts w:ascii="標楷體" w:eastAsia="標楷體" w:hAnsi="標楷體" w:cs="DFKaiShu-SB-Estd-BF" w:hint="eastAsia"/>
          <w:bCs/>
        </w:rPr>
        <w:t>112</w:t>
      </w:r>
      <w:proofErr w:type="gramEnd"/>
      <w:r w:rsidRPr="00591FA2">
        <w:rPr>
          <w:rFonts w:ascii="標楷體" w:eastAsia="標楷體" w:hAnsi="標楷體" w:cs="DFKaiShu-SB-Estd-BF" w:hint="eastAsia"/>
          <w:bCs/>
        </w:rPr>
        <w:t>年度行道樹普查</w:t>
      </w:r>
      <w:proofErr w:type="gramStart"/>
      <w:r w:rsidRPr="00591FA2">
        <w:rPr>
          <w:rFonts w:ascii="標楷體" w:eastAsia="標楷體" w:hAnsi="標楷體" w:cs="DFKaiShu-SB-Estd-BF" w:hint="eastAsia"/>
          <w:bCs/>
        </w:rPr>
        <w:t>健檢案期末</w:t>
      </w:r>
      <w:proofErr w:type="gramEnd"/>
      <w:r w:rsidRPr="00591FA2">
        <w:rPr>
          <w:rFonts w:ascii="標楷體" w:eastAsia="標楷體" w:hAnsi="標楷體" w:cs="DFKaiShu-SB-Estd-BF" w:hint="eastAsia"/>
          <w:bCs/>
        </w:rPr>
        <w:t>報告，</w:t>
      </w:r>
      <w:proofErr w:type="gramStart"/>
      <w:r w:rsidRPr="00591FA2">
        <w:rPr>
          <w:rFonts w:ascii="標楷體" w:eastAsia="標楷體" w:hAnsi="標楷體" w:cs="DFKaiShu-SB-Estd-BF" w:hint="eastAsia"/>
          <w:bCs/>
        </w:rPr>
        <w:t>經健檢</w:t>
      </w:r>
      <w:proofErr w:type="gramEnd"/>
      <w:r w:rsidRPr="00591FA2">
        <w:rPr>
          <w:rFonts w:ascii="標楷體" w:eastAsia="標楷體" w:hAnsi="標楷體" w:cs="DFKaiShu-SB-Estd-BF" w:hint="eastAsia"/>
          <w:bCs/>
        </w:rPr>
        <w:t>評估結果屬重大危害者，共計1</w:t>
      </w:r>
      <w:r w:rsidRPr="00591FA2">
        <w:rPr>
          <w:rFonts w:ascii="標楷體" w:eastAsia="標楷體" w:hAnsi="標楷體" w:cs="DFKaiShu-SB-Estd-BF"/>
          <w:bCs/>
        </w:rPr>
        <w:t>,</w:t>
      </w:r>
      <w:r w:rsidRPr="00591FA2">
        <w:rPr>
          <w:rFonts w:ascii="標楷體" w:eastAsia="標楷體" w:hAnsi="標楷體" w:cs="DFKaiShu-SB-Estd-BF" w:hint="eastAsia"/>
          <w:bCs/>
        </w:rPr>
        <w:t>009株，迄至113年12月</w:t>
      </w:r>
      <w:r w:rsidRPr="00591FA2">
        <w:rPr>
          <w:rFonts w:ascii="標楷體" w:eastAsia="標楷體" w:hAnsi="標楷體" w:cs="DFKaiShu-SB-Estd-BF"/>
          <w:bCs/>
        </w:rPr>
        <w:t>2</w:t>
      </w:r>
      <w:r w:rsidRPr="00591FA2">
        <w:rPr>
          <w:rFonts w:ascii="標楷體" w:eastAsia="標楷體" w:hAnsi="標楷體" w:cs="DFKaiShu-SB-Estd-BF" w:hint="eastAsia"/>
          <w:bCs/>
        </w:rPr>
        <w:t>日止，尚有30株未移除，並經該處以查看樹木生長良好為由，不予移除，惟與委外廠商調查評估結果產生重大差異，卻未評估確認，即為</w:t>
      </w:r>
      <w:proofErr w:type="gramStart"/>
      <w:r w:rsidRPr="00591FA2">
        <w:rPr>
          <w:rFonts w:ascii="標楷體" w:eastAsia="標楷體" w:hAnsi="標楷體" w:cs="DFKaiShu-SB-Estd-BF" w:hint="eastAsia"/>
          <w:bCs/>
        </w:rPr>
        <w:t>不</w:t>
      </w:r>
      <w:proofErr w:type="gramEnd"/>
      <w:r w:rsidRPr="00591FA2">
        <w:rPr>
          <w:rFonts w:ascii="標楷體" w:eastAsia="標楷體" w:hAnsi="標楷體" w:cs="DFKaiShu-SB-Estd-BF" w:hint="eastAsia"/>
          <w:bCs/>
        </w:rPr>
        <w:t>移除之決定；</w:t>
      </w:r>
      <w:proofErr w:type="gramStart"/>
      <w:r w:rsidRPr="00591FA2">
        <w:rPr>
          <w:rFonts w:ascii="標楷體" w:eastAsia="標楷體" w:hAnsi="標楷體" w:cs="DFKaiShu-SB-Estd-BF" w:hint="eastAsia"/>
          <w:bCs/>
        </w:rPr>
        <w:t>嗣</w:t>
      </w:r>
      <w:proofErr w:type="gramEnd"/>
      <w:r w:rsidRPr="00591FA2">
        <w:rPr>
          <w:rFonts w:ascii="標楷體" w:eastAsia="標楷體" w:hAnsi="標楷體" w:cs="DFKaiShu-SB-Estd-BF" w:hint="eastAsia"/>
          <w:bCs/>
        </w:rPr>
        <w:t>短期內該</w:t>
      </w:r>
      <w:r w:rsidRPr="00591FA2">
        <w:rPr>
          <w:rFonts w:ascii="標楷體" w:eastAsia="標楷體" w:hAnsi="標楷體" w:cs="DFKaiShu-SB-Estd-BF" w:hint="eastAsia"/>
          <w:szCs w:val="24"/>
        </w:rPr>
        <w:t>處</w:t>
      </w:r>
      <w:r w:rsidRPr="00591FA2">
        <w:rPr>
          <w:rFonts w:ascii="標楷體" w:eastAsia="標楷體" w:hAnsi="標楷體" w:cs="DFKaiShu-SB-Estd-BF" w:hint="eastAsia"/>
          <w:bCs/>
        </w:rPr>
        <w:t>重新檢視結果，有8株</w:t>
      </w:r>
      <w:proofErr w:type="gramStart"/>
      <w:r w:rsidRPr="00591FA2">
        <w:rPr>
          <w:rFonts w:ascii="標楷體" w:eastAsia="標楷體" w:hAnsi="標楷體" w:cs="DFKaiShu-SB-Estd-BF" w:hint="eastAsia"/>
          <w:bCs/>
        </w:rPr>
        <w:t>原址無樹或</w:t>
      </w:r>
      <w:proofErr w:type="gramEnd"/>
      <w:r w:rsidRPr="00591FA2">
        <w:rPr>
          <w:rFonts w:ascii="標楷體" w:eastAsia="標楷體" w:hAnsi="標楷體" w:cs="DFKaiShu-SB-Estd-BF" w:hint="eastAsia"/>
          <w:bCs/>
        </w:rPr>
        <w:t>已移除、7株屬重大危害等級或健康狀態不佳應予移除，顯示決策過程欠嚴謹周妥等情事，經函請檢討改善。據復：（1）爾後交付廠商辦理健檢追蹤調查前，將全面檢視並刪除已列管移除之樹木；預計114年6月底前完成修訂樹木安全評估判定及處理標準作業流程，增訂移除期限及實際移除日期，指定專人列冊控管，並規劃於</w:t>
      </w:r>
      <w:proofErr w:type="gramStart"/>
      <w:r w:rsidRPr="00591FA2">
        <w:rPr>
          <w:rFonts w:ascii="標楷體" w:eastAsia="標楷體" w:hAnsi="標楷體" w:cs="DFKaiShu-SB-Estd-BF" w:hint="eastAsia"/>
          <w:bCs/>
        </w:rPr>
        <w:t>115</w:t>
      </w:r>
      <w:proofErr w:type="gramEnd"/>
      <w:r w:rsidRPr="00591FA2">
        <w:rPr>
          <w:rFonts w:ascii="標楷體" w:eastAsia="標楷體" w:hAnsi="標楷體" w:cs="DFKaiShu-SB-Estd-BF" w:hint="eastAsia"/>
          <w:bCs/>
        </w:rPr>
        <w:t>年度上半年度完成資訊系統化管理之建置，以健全樹木移除案件控管機制；（2）屬重大危害等級及健康狀態不佳等7株樹木業已移除完成；另已要求現</w:t>
      </w:r>
      <w:proofErr w:type="gramStart"/>
      <w:r w:rsidRPr="00591FA2">
        <w:rPr>
          <w:rFonts w:ascii="標楷體" w:eastAsia="標楷體" w:hAnsi="標楷體" w:cs="DFKaiShu-SB-Estd-BF" w:hint="eastAsia"/>
          <w:bCs/>
        </w:rPr>
        <w:t>勘</w:t>
      </w:r>
      <w:proofErr w:type="gramEnd"/>
      <w:r w:rsidRPr="00591FA2">
        <w:rPr>
          <w:rFonts w:ascii="標楷體" w:eastAsia="標楷體" w:hAnsi="標楷體" w:cs="DFKaiShu-SB-Estd-BF" w:hint="eastAsia"/>
          <w:bCs/>
        </w:rPr>
        <w:t>人員爾後應重新檢陳安全評估調查表及拍攝樹木現況照片，並</w:t>
      </w:r>
      <w:proofErr w:type="gramStart"/>
      <w:r w:rsidRPr="00591FA2">
        <w:rPr>
          <w:rFonts w:ascii="標楷體" w:eastAsia="標楷體" w:hAnsi="標楷體" w:cs="DFKaiShu-SB-Estd-BF" w:hint="eastAsia"/>
          <w:bCs/>
        </w:rPr>
        <w:t>增訂解列之</w:t>
      </w:r>
      <w:proofErr w:type="gramEnd"/>
      <w:r w:rsidRPr="00591FA2">
        <w:rPr>
          <w:rFonts w:ascii="標楷體" w:eastAsia="標楷體" w:hAnsi="標楷體" w:cs="DFKaiShu-SB-Estd-BF" w:hint="eastAsia"/>
          <w:bCs/>
        </w:rPr>
        <w:t>決行</w:t>
      </w:r>
      <w:proofErr w:type="gramStart"/>
      <w:r w:rsidRPr="00591FA2">
        <w:rPr>
          <w:rFonts w:ascii="標楷體" w:eastAsia="標楷體" w:hAnsi="標楷體" w:cs="DFKaiShu-SB-Estd-BF" w:hint="eastAsia"/>
          <w:bCs/>
        </w:rPr>
        <w:t>層級經權管</w:t>
      </w:r>
      <w:proofErr w:type="gramEnd"/>
      <w:r w:rsidRPr="00591FA2">
        <w:rPr>
          <w:rFonts w:ascii="標楷體" w:eastAsia="標楷體" w:hAnsi="標楷體" w:cs="DFKaiShu-SB-Estd-BF" w:hint="eastAsia"/>
          <w:bCs/>
        </w:rPr>
        <w:t>單位之科室主管核可後始得辦理之規定。</w:t>
      </w:r>
    </w:p>
    <w:p w14:paraId="775A31DB" w14:textId="62D917BA" w:rsidR="00D74004" w:rsidRPr="00DB2473" w:rsidRDefault="00D74004" w:rsidP="00314635">
      <w:pPr>
        <w:widowControl/>
        <w:suppressAutoHyphens/>
        <w:overflowPunct w:val="0"/>
        <w:spacing w:beforeLines="30" w:before="108" w:afterLines="20" w:after="72" w:line="470" w:lineRule="exact"/>
        <w:ind w:firstLineChars="100" w:firstLine="280"/>
        <w:jc w:val="both"/>
        <w:rPr>
          <w:rFonts w:ascii="標楷體" w:eastAsia="標楷體" w:hAnsi="標楷體" w:cs="Times New Roman"/>
          <w:b/>
          <w:sz w:val="28"/>
          <w:szCs w:val="28"/>
        </w:rPr>
      </w:pPr>
      <w:r w:rsidRPr="00DB2473">
        <w:rPr>
          <w:rFonts w:ascii="標楷體" w:eastAsia="標楷體" w:hAnsi="標楷體" w:cs="Times New Roman" w:hint="eastAsia"/>
          <w:b/>
          <w:sz w:val="28"/>
          <w:szCs w:val="28"/>
        </w:rPr>
        <w:t>（七</w:t>
      </w:r>
      <w:r w:rsidRPr="00DB2473">
        <w:rPr>
          <w:rFonts w:ascii="標楷體" w:eastAsia="標楷體" w:hAnsi="標楷體" w:cs="Times New Roman" w:hint="eastAsia"/>
          <w:b/>
          <w:kern w:val="0"/>
          <w:sz w:val="28"/>
          <w:szCs w:val="28"/>
        </w:rPr>
        <w:t>）</w:t>
      </w:r>
      <w:r w:rsidRPr="00655740">
        <w:rPr>
          <w:rFonts w:ascii="標楷體" w:eastAsia="標楷體" w:hAnsi="標楷體" w:cs="Times New Roman" w:hint="eastAsia"/>
          <w:b/>
          <w:kern w:val="0"/>
          <w:sz w:val="28"/>
          <w:szCs w:val="28"/>
        </w:rPr>
        <w:t>新建工程處代辦中山區錦州街基地公共住宅新建工程</w:t>
      </w:r>
      <w:r>
        <w:rPr>
          <w:rFonts w:ascii="標楷體" w:eastAsia="標楷體" w:hAnsi="標楷體" w:cs="Times New Roman" w:hint="eastAsia"/>
          <w:b/>
          <w:kern w:val="0"/>
          <w:sz w:val="28"/>
          <w:szCs w:val="28"/>
        </w:rPr>
        <w:t>，以</w:t>
      </w:r>
      <w:r w:rsidRPr="00655740">
        <w:rPr>
          <w:rFonts w:ascii="標楷體" w:eastAsia="標楷體" w:hAnsi="標楷體" w:cs="Times New Roman" w:hint="eastAsia"/>
          <w:b/>
          <w:kern w:val="0"/>
          <w:sz w:val="28"/>
          <w:szCs w:val="28"/>
        </w:rPr>
        <w:t>配合市府</w:t>
      </w:r>
      <w:r>
        <w:rPr>
          <w:rFonts w:ascii="標楷體" w:eastAsia="標楷體" w:hAnsi="標楷體" w:cs="Times New Roman" w:hint="eastAsia"/>
          <w:b/>
          <w:kern w:val="0"/>
          <w:sz w:val="28"/>
          <w:szCs w:val="28"/>
        </w:rPr>
        <w:t>政策</w:t>
      </w:r>
      <w:r w:rsidRPr="00655740">
        <w:rPr>
          <w:rFonts w:ascii="標楷體" w:eastAsia="標楷體" w:hAnsi="標楷體" w:cs="Times New Roman" w:hint="eastAsia"/>
          <w:b/>
          <w:kern w:val="0"/>
          <w:sz w:val="28"/>
          <w:szCs w:val="28"/>
        </w:rPr>
        <w:t>持續提供優質之出租住宅居住環境，並落實居住正義，惟部分施工項目未依契約規定或實際施作情形估驗計價，</w:t>
      </w:r>
      <w:proofErr w:type="gramStart"/>
      <w:r w:rsidRPr="00655740">
        <w:rPr>
          <w:rFonts w:ascii="標楷體" w:eastAsia="標楷體" w:hAnsi="標楷體" w:cs="Times New Roman" w:hint="eastAsia"/>
          <w:b/>
          <w:kern w:val="0"/>
          <w:sz w:val="28"/>
          <w:szCs w:val="28"/>
        </w:rPr>
        <w:t>致溢估</w:t>
      </w:r>
      <w:proofErr w:type="gramEnd"/>
      <w:r w:rsidRPr="00655740">
        <w:rPr>
          <w:rFonts w:ascii="標楷體" w:eastAsia="標楷體" w:hAnsi="標楷體" w:cs="Times New Roman" w:hint="eastAsia"/>
          <w:b/>
          <w:kern w:val="0"/>
          <w:sz w:val="28"/>
          <w:szCs w:val="28"/>
        </w:rPr>
        <w:t>契約價金，另施工品質</w:t>
      </w:r>
      <w:proofErr w:type="gramStart"/>
      <w:r w:rsidRPr="00655740">
        <w:rPr>
          <w:rFonts w:ascii="標楷體" w:eastAsia="標楷體" w:hAnsi="標楷體" w:cs="Times New Roman" w:hint="eastAsia"/>
          <w:b/>
          <w:kern w:val="0"/>
          <w:sz w:val="28"/>
          <w:szCs w:val="28"/>
        </w:rPr>
        <w:t>間有未臻</w:t>
      </w:r>
      <w:proofErr w:type="gramEnd"/>
      <w:r w:rsidRPr="00655740">
        <w:rPr>
          <w:rFonts w:ascii="標楷體" w:eastAsia="標楷體" w:hAnsi="標楷體" w:cs="Times New Roman" w:hint="eastAsia"/>
          <w:b/>
          <w:kern w:val="0"/>
          <w:sz w:val="28"/>
          <w:szCs w:val="28"/>
        </w:rPr>
        <w:t>完善情事，</w:t>
      </w:r>
      <w:proofErr w:type="gramStart"/>
      <w:r w:rsidRPr="00655740">
        <w:rPr>
          <w:rFonts w:ascii="標楷體" w:eastAsia="標楷體" w:hAnsi="標楷體" w:cs="Times New Roman" w:hint="eastAsia"/>
          <w:b/>
          <w:kern w:val="0"/>
          <w:sz w:val="28"/>
          <w:szCs w:val="28"/>
        </w:rPr>
        <w:t>允待檢討</w:t>
      </w:r>
      <w:proofErr w:type="gramEnd"/>
      <w:r w:rsidRPr="00655740">
        <w:rPr>
          <w:rFonts w:ascii="標楷體" w:eastAsia="標楷體" w:hAnsi="標楷體" w:cs="Times New Roman" w:hint="eastAsia"/>
          <w:b/>
          <w:kern w:val="0"/>
          <w:sz w:val="28"/>
          <w:szCs w:val="28"/>
        </w:rPr>
        <w:t>改善</w:t>
      </w:r>
      <w:r w:rsidRPr="00DB2473">
        <w:rPr>
          <w:rFonts w:ascii="標楷體" w:eastAsia="標楷體" w:hAnsi="Times New Roman" w:cs="Times New Roman" w:hint="eastAsia"/>
          <w:b/>
          <w:sz w:val="28"/>
          <w:szCs w:val="28"/>
        </w:rPr>
        <w:t>。</w:t>
      </w:r>
    </w:p>
    <w:p w14:paraId="03E983B5" w14:textId="77777777" w:rsidR="00314635" w:rsidRDefault="00D74004" w:rsidP="00FA0A75">
      <w:pPr>
        <w:widowControl/>
        <w:tabs>
          <w:tab w:val="left" w:pos="1560"/>
        </w:tabs>
        <w:kinsoku w:val="0"/>
        <w:overflowPunct w:val="0"/>
        <w:spacing w:line="460" w:lineRule="exact"/>
        <w:ind w:firstLineChars="200" w:firstLine="480"/>
        <w:jc w:val="both"/>
        <w:rPr>
          <w:rFonts w:ascii="標楷體" w:eastAsia="標楷體" w:hAnsi="標楷體" w:cs="Times New Roman"/>
          <w:szCs w:val="20"/>
        </w:rPr>
      </w:pPr>
      <w:r>
        <w:rPr>
          <w:noProof/>
        </w:rPr>
        <w:lastRenderedPageBreak/>
        <mc:AlternateContent>
          <mc:Choice Requires="wpg">
            <w:drawing>
              <wp:anchor distT="0" distB="0" distL="114300" distR="114300" simplePos="0" relativeHeight="251795456" behindDoc="1" locked="0" layoutInCell="1" allowOverlap="1" wp14:anchorId="5D3B3F91" wp14:editId="115FA7AB">
                <wp:simplePos x="0" y="0"/>
                <wp:positionH relativeFrom="column">
                  <wp:posOffset>2240</wp:posOffset>
                </wp:positionH>
                <wp:positionV relativeFrom="page">
                  <wp:posOffset>1802921</wp:posOffset>
                </wp:positionV>
                <wp:extent cx="2966720" cy="2039620"/>
                <wp:effectExtent l="19050" t="0" r="5080" b="0"/>
                <wp:wrapTight wrapText="bothSides">
                  <wp:wrapPolygon edited="0">
                    <wp:start x="-139" y="1816"/>
                    <wp:lineTo x="-139" y="20376"/>
                    <wp:lineTo x="21498" y="20376"/>
                    <wp:lineTo x="21498" y="1816"/>
                    <wp:lineTo x="-139" y="1816"/>
                  </wp:wrapPolygon>
                </wp:wrapTight>
                <wp:docPr id="927419612" name="群組 7"/>
                <wp:cNvGraphicFramePr/>
                <a:graphic xmlns:a="http://schemas.openxmlformats.org/drawingml/2006/main">
                  <a:graphicData uri="http://schemas.microsoft.com/office/word/2010/wordprocessingGroup">
                    <wpg:wgp>
                      <wpg:cNvGrpSpPr/>
                      <wpg:grpSpPr>
                        <a:xfrm>
                          <a:off x="0" y="0"/>
                          <a:ext cx="2966720" cy="2039620"/>
                          <a:chOff x="0" y="0"/>
                          <a:chExt cx="2966720" cy="2040260"/>
                        </a:xfrm>
                      </wpg:grpSpPr>
                      <pic:pic xmlns:pic="http://schemas.openxmlformats.org/drawingml/2006/picture">
                        <pic:nvPicPr>
                          <pic:cNvPr id="927419614" name="圖片 927419614"/>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223529"/>
                            <a:ext cx="2910840" cy="1656080"/>
                          </a:xfrm>
                          <a:prstGeom prst="rect">
                            <a:avLst/>
                          </a:prstGeom>
                          <a:noFill/>
                          <a:ln>
                            <a:solidFill>
                              <a:schemeClr val="tx1"/>
                            </a:solidFill>
                          </a:ln>
                        </pic:spPr>
                      </pic:pic>
                      <wps:wsp>
                        <wps:cNvPr id="927419615" name="文字方塊 5"/>
                        <wps:cNvSpPr txBox="1"/>
                        <wps:spPr>
                          <a:xfrm>
                            <a:off x="0" y="0"/>
                            <a:ext cx="2910840" cy="228600"/>
                          </a:xfrm>
                          <a:prstGeom prst="rect">
                            <a:avLst/>
                          </a:prstGeom>
                          <a:noFill/>
                        </wps:spPr>
                        <wps:txbx>
                          <w:txbxContent>
                            <w:p w14:paraId="5805694F" w14:textId="77777777" w:rsidR="00D74004" w:rsidRDefault="00D74004" w:rsidP="00D74004">
                              <w:pPr>
                                <w:ind w:left="619" w:hanging="619"/>
                                <w:rPr>
                                  <w:rFonts w:ascii="標楷體" w:eastAsia="標楷體" w:hAnsi="標楷體"/>
                                  <w:b/>
                                  <w:bCs/>
                                  <w:color w:val="000000" w:themeColor="text1"/>
                                  <w:kern w:val="24"/>
                                  <w:szCs w:val="24"/>
                                </w:rPr>
                              </w:pPr>
                              <w:r>
                                <w:rPr>
                                  <w:rFonts w:ascii="標楷體" w:eastAsia="標楷體" w:hAnsi="標楷體" w:hint="eastAsia"/>
                                  <w:b/>
                                  <w:bCs/>
                                  <w:color w:val="000000" w:themeColor="text1"/>
                                  <w:kern w:val="24"/>
                                </w:rPr>
                                <w:t xml:space="preserve">圖1  </w:t>
                              </w:r>
                              <w:r>
                                <w:rPr>
                                  <w:rFonts w:ascii="標楷體" w:eastAsia="標楷體" w:hAnsi="標楷體" w:hint="eastAsia"/>
                                  <w:b/>
                                  <w:bCs/>
                                  <w:color w:val="000000" w:themeColor="text1"/>
                                  <w:spacing w:val="-6"/>
                                  <w:kern w:val="24"/>
                                </w:rPr>
                                <w:t>中山區錦州街基地公共住宅</w:t>
                              </w:r>
                              <w:r>
                                <w:rPr>
                                  <w:rFonts w:ascii="標楷體" w:eastAsia="標楷體" w:hAnsi="標楷體" w:hint="eastAsia"/>
                                  <w:b/>
                                  <w:bCs/>
                                  <w:color w:val="000000" w:themeColor="text1"/>
                                  <w:spacing w:val="-6"/>
                                </w:rPr>
                                <w:t>完工示意圖</w:t>
                              </w:r>
                            </w:p>
                          </w:txbxContent>
                        </wps:txbx>
                        <wps:bodyPr wrap="square" lIns="0" tIns="0" rIns="0" bIns="0" rtlCol="0">
                          <a:spAutoFit/>
                        </wps:bodyPr>
                      </wps:wsp>
                      <wps:wsp>
                        <wps:cNvPr id="927419616" name="文字方塊 6"/>
                        <wps:cNvSpPr txBox="1"/>
                        <wps:spPr>
                          <a:xfrm>
                            <a:off x="0" y="1913224"/>
                            <a:ext cx="2966720" cy="127036"/>
                          </a:xfrm>
                          <a:prstGeom prst="rect">
                            <a:avLst/>
                          </a:prstGeom>
                          <a:noFill/>
                        </wps:spPr>
                        <wps:txbx>
                          <w:txbxContent>
                            <w:p w14:paraId="110EC903" w14:textId="77777777" w:rsidR="00D74004" w:rsidRDefault="00D74004" w:rsidP="00D74004">
                              <w:pPr>
                                <w:spacing w:line="200" w:lineRule="exact"/>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資料來源：整理自都市發展局提供資料。</w:t>
                              </w:r>
                            </w:p>
                          </w:txbxContent>
                        </wps:txbx>
                        <wps:bodyPr wrap="square" lIns="0" tIns="0" rIns="0" bIns="0" rtlCol="0">
                          <a:spAutoFit/>
                        </wps:bodyPr>
                      </wps:wsp>
                    </wpg:wgp>
                  </a:graphicData>
                </a:graphic>
              </wp:anchor>
            </w:drawing>
          </mc:Choice>
          <mc:Fallback>
            <w:pict>
              <v:group w14:anchorId="5D3B3F91" id="群組 7" o:spid="_x0000_s1078" style="position:absolute;left:0;text-align:left;margin-left:.2pt;margin-top:141.95pt;width:233.6pt;height:160.6pt;z-index:-251521024;mso-position-vertical-relative:page" coordsize="29667,20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">
                <v:shape id="圖片 927419614" o:spid="_x0000_s1079" type="#_x0000_t75" style="position:absolute;top:2235;width:29108;height:16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" stroked="t" strokecolor="black [3213]">
                  <v:imagedata r:id="rId39" o:title=""/>
                </v:shape>
                <v:shape id="_x0000_s1080" type="#_x0000_t202" style="position:absolute;width:29108;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" filled="f" stroked="f">
                  <v:textbox style="mso-fit-shape-to-text:t" inset="0,0,0,0">
                    <w:txbxContent>
                      <w:p w14:paraId="5805694F" w14:textId="77777777" w:rsidR="00D74004" w:rsidRDefault="00D74004" w:rsidP="00D74004">
                        <w:pPr>
                          <w:ind w:left="619" w:hanging="619"/>
                          <w:rPr>
                            <w:rFonts w:ascii="標楷體" w:eastAsia="標楷體" w:hAnsi="標楷體"/>
                            <w:b/>
                            <w:bCs/>
                            <w:color w:val="000000" w:themeColor="text1"/>
                            <w:kern w:val="24"/>
                            <w:szCs w:val="24"/>
                          </w:rPr>
                        </w:pPr>
                        <w:r>
                          <w:rPr>
                            <w:rFonts w:ascii="標楷體" w:eastAsia="標楷體" w:hAnsi="標楷體" w:hint="eastAsia"/>
                            <w:b/>
                            <w:bCs/>
                            <w:color w:val="000000" w:themeColor="text1"/>
                            <w:kern w:val="24"/>
                          </w:rPr>
                          <w:t xml:space="preserve">圖1  </w:t>
                        </w:r>
                        <w:r>
                          <w:rPr>
                            <w:rFonts w:ascii="標楷體" w:eastAsia="標楷體" w:hAnsi="標楷體" w:hint="eastAsia"/>
                            <w:b/>
                            <w:bCs/>
                            <w:color w:val="000000" w:themeColor="text1"/>
                            <w:spacing w:val="-6"/>
                            <w:kern w:val="24"/>
                          </w:rPr>
                          <w:t>中山區錦州街基地公共住宅</w:t>
                        </w:r>
                        <w:r>
                          <w:rPr>
                            <w:rFonts w:ascii="標楷體" w:eastAsia="標楷體" w:hAnsi="標楷體" w:hint="eastAsia"/>
                            <w:b/>
                            <w:bCs/>
                            <w:color w:val="000000" w:themeColor="text1"/>
                            <w:spacing w:val="-6"/>
                          </w:rPr>
                          <w:t>完工示意圖</w:t>
                        </w:r>
                      </w:p>
                    </w:txbxContent>
                  </v:textbox>
                </v:shape>
                <v:shape id="_x0000_s1081" type="#_x0000_t202" style="position:absolute;top:19132;width:29667;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" filled="f" stroked="f">
                  <v:textbox style="mso-fit-shape-to-text:t" inset="0,0,0,0">
                    <w:txbxContent>
                      <w:p w14:paraId="110EC903" w14:textId="77777777" w:rsidR="00D74004" w:rsidRDefault="00D74004" w:rsidP="00D74004">
                        <w:pPr>
                          <w:spacing w:line="200" w:lineRule="exact"/>
                          <w:rPr>
                            <w:rFonts w:ascii="標楷體" w:eastAsia="標楷體" w:hAnsi="標楷體"/>
                            <w:color w:val="000000" w:themeColor="text1"/>
                            <w:kern w:val="24"/>
                            <w:sz w:val="18"/>
                            <w:szCs w:val="18"/>
                          </w:rPr>
                        </w:pPr>
                        <w:r>
                          <w:rPr>
                            <w:rFonts w:ascii="標楷體" w:eastAsia="標楷體" w:hAnsi="標楷體" w:hint="eastAsia"/>
                            <w:color w:val="000000" w:themeColor="text1"/>
                            <w:kern w:val="24"/>
                            <w:sz w:val="18"/>
                            <w:szCs w:val="18"/>
                          </w:rPr>
                          <w:t>資料來源：整理自都市發展局提供資料。</w:t>
                        </w:r>
                      </w:p>
                    </w:txbxContent>
                  </v:textbox>
                </v:shape>
                <w10:wrap type="tight" anchory="page"/>
              </v:group>
            </w:pict>
          </mc:Fallback>
        </mc:AlternateContent>
      </w:r>
      <w:r w:rsidRPr="00347BE9">
        <w:rPr>
          <w:rFonts w:ascii="標楷體" w:eastAsia="標楷體" w:hAnsi="標楷體" w:cs="Times New Roman" w:hint="eastAsia"/>
          <w:szCs w:val="20"/>
        </w:rPr>
        <w:t>臺北市政府為提高公共住宅比例，提供青年、就學、就業及弱勢家戶優質租戶環境，並落實居住正義、永續經營住宅資源及帶動地方經濟發展，由</w:t>
      </w:r>
      <w:r>
        <w:rPr>
          <w:rFonts w:ascii="標楷體" w:eastAsia="標楷體" w:hAnsi="標楷體" w:cs="Times New Roman" w:hint="eastAsia"/>
          <w:szCs w:val="20"/>
        </w:rPr>
        <w:t>臺北市政府</w:t>
      </w:r>
      <w:r w:rsidRPr="00347BE9">
        <w:rPr>
          <w:rFonts w:ascii="標楷體" w:eastAsia="標楷體" w:hAnsi="標楷體" w:cs="Times New Roman" w:hint="eastAsia"/>
          <w:szCs w:val="20"/>
        </w:rPr>
        <w:t>都市發展局（下稱都發局）規劃辦理「臺北市中山區錦州街基地公共住宅新建工程」，預計興建地下</w:t>
      </w:r>
      <w:r w:rsidRPr="00347BE9">
        <w:rPr>
          <w:rFonts w:ascii="標楷體" w:eastAsia="標楷體" w:hAnsi="標楷體" w:cs="Times New Roman"/>
          <w:szCs w:val="20"/>
        </w:rPr>
        <w:t>4</w:t>
      </w:r>
      <w:r w:rsidRPr="00347BE9">
        <w:rPr>
          <w:rFonts w:ascii="標楷體" w:eastAsia="標楷體" w:hAnsi="標楷體" w:cs="Times New Roman" w:hint="eastAsia"/>
          <w:szCs w:val="20"/>
        </w:rPr>
        <w:t>層、地上</w:t>
      </w:r>
      <w:r w:rsidRPr="00347BE9">
        <w:rPr>
          <w:rFonts w:ascii="標楷體" w:eastAsia="標楷體" w:hAnsi="標楷體" w:cs="Times New Roman"/>
          <w:szCs w:val="20"/>
        </w:rPr>
        <w:t>20</w:t>
      </w:r>
      <w:r w:rsidRPr="00347BE9">
        <w:rPr>
          <w:rFonts w:ascii="標楷體" w:eastAsia="標楷體" w:hAnsi="標楷體" w:cs="Times New Roman" w:hint="eastAsia"/>
          <w:szCs w:val="20"/>
        </w:rPr>
        <w:t>層鋼骨鋼筋混凝土造建築物，可提供社會住宅共</w:t>
      </w:r>
      <w:r w:rsidRPr="00347BE9">
        <w:rPr>
          <w:rFonts w:ascii="標楷體" w:eastAsia="標楷體" w:hAnsi="標楷體" w:cs="Times New Roman"/>
          <w:szCs w:val="20"/>
        </w:rPr>
        <w:t>387</w:t>
      </w:r>
      <w:r w:rsidRPr="00347BE9">
        <w:rPr>
          <w:rFonts w:ascii="標楷體" w:eastAsia="標楷體" w:hAnsi="標楷體" w:cs="Times New Roman" w:hint="eastAsia"/>
          <w:szCs w:val="20"/>
        </w:rPr>
        <w:t>戶</w:t>
      </w:r>
      <w:r>
        <w:rPr>
          <w:rFonts w:ascii="標楷體" w:eastAsia="標楷體" w:hAnsi="標楷體" w:cs="Times New Roman" w:hint="eastAsia"/>
          <w:szCs w:val="20"/>
        </w:rPr>
        <w:t>（圖1）</w:t>
      </w:r>
      <w:r w:rsidRPr="00347BE9">
        <w:rPr>
          <w:rFonts w:ascii="標楷體" w:eastAsia="標楷體" w:hAnsi="標楷體" w:cs="Times New Roman" w:hint="eastAsia"/>
          <w:szCs w:val="20"/>
        </w:rPr>
        <w:t>。案經都發局辦理工程發包，於</w:t>
      </w:r>
      <w:r w:rsidRPr="00347BE9">
        <w:rPr>
          <w:rFonts w:ascii="標楷體" w:eastAsia="標楷體" w:hAnsi="標楷體" w:cs="Times New Roman"/>
          <w:szCs w:val="20"/>
        </w:rPr>
        <w:t>108</w:t>
      </w:r>
      <w:r w:rsidRPr="00347BE9">
        <w:rPr>
          <w:rFonts w:ascii="標楷體" w:eastAsia="標楷體" w:hAnsi="標楷體" w:cs="Times New Roman" w:hint="eastAsia"/>
          <w:szCs w:val="20"/>
        </w:rPr>
        <w:t>年</w:t>
      </w:r>
      <w:r w:rsidRPr="00347BE9">
        <w:rPr>
          <w:rFonts w:ascii="標楷體" w:eastAsia="標楷體" w:hAnsi="標楷體" w:cs="Times New Roman"/>
          <w:szCs w:val="20"/>
        </w:rPr>
        <w:t>8</w:t>
      </w:r>
      <w:r w:rsidRPr="00347BE9">
        <w:rPr>
          <w:rFonts w:ascii="標楷體" w:eastAsia="標楷體" w:hAnsi="標楷體" w:cs="Times New Roman" w:hint="eastAsia"/>
          <w:szCs w:val="20"/>
        </w:rPr>
        <w:t>月</w:t>
      </w:r>
      <w:r w:rsidRPr="00347BE9">
        <w:rPr>
          <w:rFonts w:ascii="標楷體" w:eastAsia="標楷體" w:hAnsi="標楷體" w:cs="Times New Roman"/>
          <w:szCs w:val="20"/>
        </w:rPr>
        <w:t>27</w:t>
      </w:r>
      <w:r w:rsidRPr="00347BE9">
        <w:rPr>
          <w:rFonts w:ascii="標楷體" w:eastAsia="標楷體" w:hAnsi="標楷體" w:cs="Times New Roman" w:hint="eastAsia"/>
          <w:szCs w:val="20"/>
        </w:rPr>
        <w:t>日決標，決標金額</w:t>
      </w:r>
      <w:r w:rsidRPr="00347BE9">
        <w:rPr>
          <w:rFonts w:ascii="標楷體" w:eastAsia="標楷體" w:hAnsi="標楷體" w:cs="Times New Roman"/>
          <w:szCs w:val="20"/>
        </w:rPr>
        <w:t>22</w:t>
      </w:r>
      <w:r w:rsidRPr="00347BE9">
        <w:rPr>
          <w:rFonts w:ascii="標楷體" w:eastAsia="標楷體" w:hAnsi="標楷體" w:cs="Times New Roman" w:hint="eastAsia"/>
          <w:szCs w:val="20"/>
        </w:rPr>
        <w:t>億</w:t>
      </w:r>
      <w:r w:rsidRPr="00347BE9">
        <w:rPr>
          <w:rFonts w:ascii="標楷體" w:eastAsia="標楷體" w:hAnsi="標楷體" w:cs="Times New Roman"/>
          <w:szCs w:val="20"/>
        </w:rPr>
        <w:t>500</w:t>
      </w:r>
      <w:r w:rsidRPr="00347BE9">
        <w:rPr>
          <w:rFonts w:ascii="標楷體" w:eastAsia="標楷體" w:hAnsi="標楷體" w:cs="Times New Roman" w:hint="eastAsia"/>
          <w:szCs w:val="20"/>
        </w:rPr>
        <w:t>萬元，嗣後交由新建工程處（下稱新工處）代辦工程及委託監造履約事宜，已於</w:t>
      </w:r>
      <w:r w:rsidRPr="00347BE9">
        <w:rPr>
          <w:rFonts w:ascii="標楷體" w:eastAsia="標楷體" w:hAnsi="標楷體" w:cs="Times New Roman"/>
          <w:szCs w:val="20"/>
        </w:rPr>
        <w:t>109</w:t>
      </w:r>
      <w:r w:rsidRPr="00347BE9">
        <w:rPr>
          <w:rFonts w:ascii="標楷體" w:eastAsia="標楷體" w:hAnsi="標楷體" w:cs="Times New Roman" w:hint="eastAsia"/>
          <w:szCs w:val="20"/>
        </w:rPr>
        <w:t>年</w:t>
      </w:r>
      <w:r w:rsidRPr="00347BE9">
        <w:rPr>
          <w:rFonts w:ascii="標楷體" w:eastAsia="標楷體" w:hAnsi="標楷體" w:cs="Times New Roman"/>
          <w:szCs w:val="20"/>
        </w:rPr>
        <w:t>2</w:t>
      </w:r>
      <w:r w:rsidRPr="00347BE9">
        <w:rPr>
          <w:rFonts w:ascii="標楷體" w:eastAsia="標楷體" w:hAnsi="標楷體" w:cs="Times New Roman" w:hint="eastAsia"/>
          <w:szCs w:val="20"/>
        </w:rPr>
        <w:t>月</w:t>
      </w:r>
      <w:r w:rsidRPr="00347BE9">
        <w:rPr>
          <w:rFonts w:ascii="標楷體" w:eastAsia="標楷體" w:hAnsi="標楷體" w:cs="Times New Roman"/>
          <w:szCs w:val="20"/>
        </w:rPr>
        <w:t>17</w:t>
      </w:r>
      <w:r w:rsidRPr="00347BE9">
        <w:rPr>
          <w:rFonts w:ascii="標楷體" w:eastAsia="標楷體" w:hAnsi="標楷體" w:cs="Times New Roman" w:hint="eastAsia"/>
          <w:szCs w:val="20"/>
        </w:rPr>
        <w:t>日開工，截至</w:t>
      </w:r>
      <w:r w:rsidRPr="00347BE9">
        <w:rPr>
          <w:rFonts w:ascii="標楷體" w:eastAsia="標楷體" w:hAnsi="標楷體" w:cs="Times New Roman"/>
          <w:szCs w:val="20"/>
        </w:rPr>
        <w:t>113</w:t>
      </w:r>
      <w:r w:rsidRPr="00347BE9">
        <w:rPr>
          <w:rFonts w:ascii="標楷體" w:eastAsia="標楷體" w:hAnsi="標楷體" w:cs="Times New Roman" w:hint="eastAsia"/>
          <w:szCs w:val="20"/>
        </w:rPr>
        <w:t>年底</w:t>
      </w:r>
      <w:proofErr w:type="gramStart"/>
      <w:r w:rsidRPr="00347BE9">
        <w:rPr>
          <w:rFonts w:ascii="標楷體" w:eastAsia="標楷體" w:hAnsi="標楷體" w:cs="Times New Roman" w:hint="eastAsia"/>
          <w:szCs w:val="20"/>
        </w:rPr>
        <w:t>止</w:t>
      </w:r>
      <w:proofErr w:type="gramEnd"/>
      <w:r w:rsidRPr="00347BE9">
        <w:rPr>
          <w:rFonts w:ascii="標楷體" w:eastAsia="標楷體" w:hAnsi="標楷體" w:cs="Times New Roman" w:hint="eastAsia"/>
          <w:szCs w:val="20"/>
        </w:rPr>
        <w:t>尚在施工中。經查執行情形，核有：</w:t>
      </w:r>
      <w:r w:rsidRPr="00347BE9">
        <w:rPr>
          <w:rFonts w:ascii="標楷體" w:eastAsia="標楷體" w:hAnsi="標楷體" w:cs="Times New Roman"/>
          <w:szCs w:val="20"/>
        </w:rPr>
        <w:t>1</w:t>
      </w:r>
      <w:r w:rsidRPr="00347BE9">
        <w:rPr>
          <w:rFonts w:ascii="標楷體" w:eastAsia="標楷體" w:hAnsi="標楷體" w:cs="Times New Roman" w:hint="eastAsia"/>
          <w:szCs w:val="20"/>
        </w:rPr>
        <w:t>.依本工程契約所附臺北市政府工程採購物價指數調整</w:t>
      </w:r>
    </w:p>
    <w:p w14:paraId="35CEEDAC" w14:textId="77777777" w:rsidR="00314635" w:rsidRDefault="00D74004" w:rsidP="00314635">
      <w:pPr>
        <w:widowControl/>
        <w:tabs>
          <w:tab w:val="left" w:pos="1560"/>
        </w:tabs>
        <w:kinsoku w:val="0"/>
        <w:overflowPunct w:val="0"/>
        <w:spacing w:line="470" w:lineRule="exact"/>
        <w:jc w:val="both"/>
        <w:rPr>
          <w:rFonts w:ascii="標楷體" w:eastAsia="標楷體" w:hAnsi="標楷體" w:cs="Times New Roman"/>
          <w:szCs w:val="20"/>
        </w:rPr>
      </w:pPr>
      <w:r w:rsidRPr="00347BE9">
        <w:rPr>
          <w:rFonts w:ascii="標楷體" w:eastAsia="標楷體" w:hAnsi="標楷體" w:cs="Times New Roman" w:hint="eastAsia"/>
          <w:szCs w:val="20"/>
        </w:rPr>
        <w:t>計算規定附註第3點規定：「契約變更原則或方案經機關核定後，於完成契約變更程序前確有先行施作之必要時，屬新增項目者，機關於核定底價時應考量該項目之施工月實際市場行情，該部分無物價調整之適用；屬原契約項目者，按施作當月指數比較開標當月指數計算調整。」新工處辦理本工程契約變更作業，對於包含原契約項目且於完成契約變更程序前已先行施作之「土方工作，B2-B5類</w:t>
      </w:r>
      <w:proofErr w:type="gramStart"/>
      <w:r w:rsidRPr="00347BE9">
        <w:rPr>
          <w:rFonts w:ascii="標楷體" w:eastAsia="標楷體" w:hAnsi="標楷體" w:cs="Times New Roman" w:hint="eastAsia"/>
          <w:szCs w:val="20"/>
        </w:rPr>
        <w:t>土方運棄</w:t>
      </w:r>
      <w:proofErr w:type="gramEnd"/>
      <w:r w:rsidRPr="00347BE9">
        <w:rPr>
          <w:rFonts w:ascii="標楷體" w:eastAsia="標楷體" w:hAnsi="標楷體" w:cs="Times New Roman" w:hint="eastAsia"/>
          <w:szCs w:val="20"/>
        </w:rPr>
        <w:t>（不含棄土證明）」及「結構用混凝土，預拌，420kgf/cm</w:t>
      </w:r>
      <w:r w:rsidRPr="006C3541">
        <w:rPr>
          <w:rFonts w:ascii="標楷體" w:eastAsia="標楷體" w:hAnsi="標楷體" w:cs="Times New Roman" w:hint="eastAsia"/>
          <w:szCs w:val="20"/>
          <w:vertAlign w:val="superscript"/>
        </w:rPr>
        <w:t>2</w:t>
      </w:r>
      <w:r w:rsidRPr="00347BE9">
        <w:rPr>
          <w:rFonts w:ascii="標楷體" w:eastAsia="標楷體" w:hAnsi="標楷體" w:cs="Times New Roman" w:hint="eastAsia"/>
          <w:szCs w:val="20"/>
        </w:rPr>
        <w:t>卜</w:t>
      </w:r>
      <w:proofErr w:type="gramStart"/>
      <w:r w:rsidRPr="00347BE9">
        <w:rPr>
          <w:rFonts w:ascii="標楷體" w:eastAsia="標楷體" w:hAnsi="標楷體" w:cs="Times New Roman" w:hint="eastAsia"/>
          <w:szCs w:val="20"/>
        </w:rPr>
        <w:t>特</w:t>
      </w:r>
      <w:proofErr w:type="gramEnd"/>
      <w:r w:rsidRPr="00347BE9">
        <w:rPr>
          <w:rFonts w:ascii="標楷體" w:eastAsia="標楷體" w:hAnsi="標楷體" w:cs="Times New Roman" w:hint="eastAsia"/>
          <w:szCs w:val="20"/>
        </w:rPr>
        <w:t>蘭Ⅱ型」等2項新增工項，未依</w:t>
      </w:r>
      <w:proofErr w:type="gramStart"/>
      <w:r w:rsidRPr="00347BE9">
        <w:rPr>
          <w:rFonts w:ascii="標楷體" w:eastAsia="標楷體" w:hAnsi="標楷體" w:cs="Times New Roman" w:hint="eastAsia"/>
          <w:szCs w:val="20"/>
        </w:rPr>
        <w:t>規定按施作</w:t>
      </w:r>
      <w:proofErr w:type="gramEnd"/>
      <w:r w:rsidRPr="00347BE9">
        <w:rPr>
          <w:rFonts w:ascii="標楷體" w:eastAsia="標楷體" w:hAnsi="標楷體" w:cs="Times New Roman" w:hint="eastAsia"/>
          <w:szCs w:val="20"/>
        </w:rPr>
        <w:t>當月物價指數比較開標當月物價指數計算調整單價，</w:t>
      </w:r>
      <w:proofErr w:type="gramStart"/>
      <w:r w:rsidRPr="00347BE9">
        <w:rPr>
          <w:rFonts w:ascii="標楷體" w:eastAsia="標楷體" w:hAnsi="標楷體" w:cs="Times New Roman" w:hint="eastAsia"/>
          <w:szCs w:val="20"/>
        </w:rPr>
        <w:t>致溢估</w:t>
      </w:r>
      <w:proofErr w:type="gramEnd"/>
      <w:r w:rsidRPr="00347BE9">
        <w:rPr>
          <w:rFonts w:ascii="標楷體" w:eastAsia="標楷體" w:hAnsi="標楷體" w:cs="Times New Roman" w:hint="eastAsia"/>
          <w:szCs w:val="20"/>
        </w:rPr>
        <w:t>工程契約價金；2.本工程「施工護欄及圍籬，甲種施工圍籬，組合式固定，高度2.4M，</w:t>
      </w:r>
      <w:proofErr w:type="gramStart"/>
      <w:r w:rsidRPr="00347BE9">
        <w:rPr>
          <w:rFonts w:ascii="標楷體" w:eastAsia="標楷體" w:hAnsi="標楷體" w:cs="Times New Roman" w:hint="eastAsia"/>
          <w:szCs w:val="20"/>
        </w:rPr>
        <w:t>含警示</w:t>
      </w:r>
      <w:proofErr w:type="gramEnd"/>
      <w:r w:rsidRPr="00347BE9">
        <w:rPr>
          <w:rFonts w:ascii="標楷體" w:eastAsia="標楷體" w:hAnsi="標楷體" w:cs="Times New Roman" w:hint="eastAsia"/>
          <w:szCs w:val="20"/>
        </w:rPr>
        <w:t>燈（含防溢座及噴漆及圖樣處理）」、「施工圍籬，綠美化」及「土方工作，B8類棄土方（含廢棄物證明）」等3工項，未依實際施作情形辦理估驗計價；3.施工廠商於施工期間調派外籍勞工進行施工，惟未依契約規定認定外籍勞工人數，並據以扣減外籍勞工與本國勞工之人力成本價金差額；4.施工廠商施工過程因污染環境或噪音超標等事由，遭環境保護相關主管機關裁處罰鍰，惟部分違規案件未依契約</w:t>
      </w:r>
      <w:proofErr w:type="gramStart"/>
      <w:r w:rsidRPr="00347BE9">
        <w:rPr>
          <w:rFonts w:ascii="標楷體" w:eastAsia="標楷體" w:hAnsi="標楷體" w:cs="Times New Roman" w:hint="eastAsia"/>
          <w:szCs w:val="20"/>
        </w:rPr>
        <w:t>規定罰扣懲罰</w:t>
      </w:r>
      <w:proofErr w:type="gramEnd"/>
      <w:r w:rsidRPr="00347BE9">
        <w:rPr>
          <w:rFonts w:ascii="標楷體" w:eastAsia="標楷體" w:hAnsi="標楷體" w:cs="Times New Roman" w:hint="eastAsia"/>
          <w:szCs w:val="20"/>
        </w:rPr>
        <w:t>性違約金；5.本工程營建剩餘土石方（下稱餘土）處理方式，原規劃由施工廠商自覓合法</w:t>
      </w:r>
      <w:proofErr w:type="gramStart"/>
      <w:r w:rsidRPr="00347BE9">
        <w:rPr>
          <w:rFonts w:ascii="標楷體" w:eastAsia="標楷體" w:hAnsi="標楷體" w:cs="Times New Roman" w:hint="eastAsia"/>
          <w:szCs w:val="20"/>
        </w:rPr>
        <w:t>土資場或借土區，嗣</w:t>
      </w:r>
      <w:proofErr w:type="gramEnd"/>
      <w:r w:rsidRPr="00347BE9">
        <w:rPr>
          <w:rFonts w:ascii="標楷體" w:eastAsia="標楷體" w:hAnsi="標楷體" w:cs="Times New Roman" w:hint="eastAsia"/>
          <w:szCs w:val="20"/>
        </w:rPr>
        <w:t>該處協助施工廠商</w:t>
      </w:r>
      <w:proofErr w:type="gramStart"/>
      <w:r w:rsidRPr="00347BE9">
        <w:rPr>
          <w:rFonts w:ascii="標楷體" w:eastAsia="標楷體" w:hAnsi="標楷體" w:cs="Times New Roman" w:hint="eastAsia"/>
          <w:szCs w:val="20"/>
        </w:rPr>
        <w:t>將餘土</w:t>
      </w:r>
      <w:proofErr w:type="gramEnd"/>
      <w:r w:rsidRPr="00347BE9">
        <w:rPr>
          <w:rFonts w:ascii="標楷體" w:eastAsia="標楷體" w:hAnsi="標楷體" w:cs="Times New Roman" w:hint="eastAsia"/>
          <w:szCs w:val="20"/>
        </w:rPr>
        <w:t>處理改為交換至</w:t>
      </w:r>
      <w:proofErr w:type="gramStart"/>
      <w:r w:rsidRPr="00347BE9">
        <w:rPr>
          <w:rFonts w:ascii="標楷體" w:eastAsia="標楷體" w:hAnsi="標楷體" w:cs="Times New Roman" w:hint="eastAsia"/>
          <w:szCs w:val="20"/>
        </w:rPr>
        <w:t>臺</w:t>
      </w:r>
      <w:proofErr w:type="gramEnd"/>
      <w:r w:rsidRPr="00347BE9">
        <w:rPr>
          <w:rFonts w:ascii="標楷體" w:eastAsia="標楷體" w:hAnsi="標楷體" w:cs="Times New Roman" w:hint="eastAsia"/>
          <w:szCs w:val="20"/>
        </w:rPr>
        <w:t>北港收容，並辦理契約變更新增「土方工作，B2-B5類</w:t>
      </w:r>
      <w:proofErr w:type="gramStart"/>
      <w:r w:rsidRPr="00347BE9">
        <w:rPr>
          <w:rFonts w:ascii="標楷體" w:eastAsia="標楷體" w:hAnsi="標楷體" w:cs="Times New Roman" w:hint="eastAsia"/>
          <w:szCs w:val="20"/>
        </w:rPr>
        <w:t>土方運棄</w:t>
      </w:r>
      <w:proofErr w:type="gramEnd"/>
      <w:r w:rsidRPr="00347BE9">
        <w:rPr>
          <w:rFonts w:ascii="標楷體" w:eastAsia="標楷體" w:hAnsi="標楷體" w:cs="Times New Roman" w:hint="eastAsia"/>
          <w:szCs w:val="20"/>
        </w:rPr>
        <w:t>（不含棄土證明）」（單價為526.05元/M</w:t>
      </w:r>
      <w:r w:rsidRPr="00893F8F">
        <w:rPr>
          <w:rFonts w:ascii="標楷體" w:eastAsia="標楷體" w:hAnsi="標楷體" w:cs="Times New Roman" w:hint="eastAsia"/>
          <w:szCs w:val="20"/>
          <w:vertAlign w:val="superscript"/>
        </w:rPr>
        <w:t>3</w:t>
      </w:r>
      <w:r w:rsidRPr="00347BE9">
        <w:rPr>
          <w:rFonts w:ascii="標楷體" w:eastAsia="標楷體" w:hAnsi="標楷體" w:cs="Times New Roman" w:hint="eastAsia"/>
          <w:szCs w:val="20"/>
        </w:rPr>
        <w:t>）工項以支付價款，</w:t>
      </w:r>
      <w:proofErr w:type="gramStart"/>
      <w:r w:rsidRPr="00347BE9">
        <w:rPr>
          <w:rFonts w:ascii="標楷體" w:eastAsia="標楷體" w:hAnsi="標楷體" w:cs="Times New Roman" w:hint="eastAsia"/>
          <w:szCs w:val="20"/>
        </w:rPr>
        <w:t>惟查該工</w:t>
      </w:r>
      <w:proofErr w:type="gramEnd"/>
      <w:r w:rsidRPr="00347BE9">
        <w:rPr>
          <w:rFonts w:ascii="標楷體" w:eastAsia="標楷體" w:hAnsi="標楷體" w:cs="Times New Roman" w:hint="eastAsia"/>
          <w:szCs w:val="20"/>
        </w:rPr>
        <w:t>項中，編列有工作內容不明之「土方工作，棄土（不含棄土證明）」（單價為270.32元/M</w:t>
      </w:r>
      <w:r w:rsidRPr="00347BE9">
        <w:rPr>
          <w:rFonts w:ascii="標楷體" w:eastAsia="標楷體" w:hAnsi="標楷體" w:cs="Times New Roman" w:hint="eastAsia"/>
          <w:szCs w:val="20"/>
          <w:vertAlign w:val="superscript"/>
        </w:rPr>
        <w:t>3</w:t>
      </w:r>
      <w:r w:rsidRPr="00347BE9">
        <w:rPr>
          <w:rFonts w:ascii="標楷體" w:eastAsia="標楷體" w:hAnsi="標楷體" w:cs="Times New Roman" w:hint="eastAsia"/>
          <w:szCs w:val="20"/>
        </w:rPr>
        <w:t>）細項，且工務局工程發包參考單價之相關土方處理工（細）項中，亦查無該細項，新工處卻</w:t>
      </w:r>
      <w:proofErr w:type="gramStart"/>
      <w:r w:rsidRPr="00347BE9">
        <w:rPr>
          <w:rFonts w:ascii="標楷體" w:eastAsia="標楷體" w:hAnsi="標楷體" w:cs="Times New Roman" w:hint="eastAsia"/>
          <w:szCs w:val="20"/>
        </w:rPr>
        <w:t>支付該工項</w:t>
      </w:r>
      <w:proofErr w:type="gramEnd"/>
      <w:r w:rsidRPr="00347BE9">
        <w:rPr>
          <w:rFonts w:ascii="標楷體" w:eastAsia="標楷體" w:hAnsi="標楷體" w:cs="Times New Roman" w:hint="eastAsia"/>
          <w:szCs w:val="20"/>
        </w:rPr>
        <w:t>全部估驗計價款；6.經抽查現場施作項目，B棟20樓管道間牆壁因施工作業疏失造成壁面壁磚損壞、地下1至3樓連續壁</w:t>
      </w:r>
      <w:proofErr w:type="gramStart"/>
      <w:r w:rsidRPr="00347BE9">
        <w:rPr>
          <w:rFonts w:ascii="標楷體" w:eastAsia="標楷體" w:hAnsi="標楷體" w:cs="Times New Roman" w:hint="eastAsia"/>
          <w:szCs w:val="20"/>
        </w:rPr>
        <w:t>壁</w:t>
      </w:r>
      <w:proofErr w:type="gramEnd"/>
      <w:r w:rsidRPr="00347BE9">
        <w:rPr>
          <w:rFonts w:ascii="標楷體" w:eastAsia="標楷體" w:hAnsi="標楷體" w:cs="Times New Roman" w:hint="eastAsia"/>
          <w:szCs w:val="20"/>
        </w:rPr>
        <w:t>體有6處位置滲水等情事，經函請檢討改善。據復：1.經檢討「土方工作，B2-B5類</w:t>
      </w:r>
      <w:proofErr w:type="gramStart"/>
      <w:r w:rsidRPr="00347BE9">
        <w:rPr>
          <w:rFonts w:ascii="標楷體" w:eastAsia="標楷體" w:hAnsi="標楷體" w:cs="Times New Roman" w:hint="eastAsia"/>
          <w:szCs w:val="20"/>
        </w:rPr>
        <w:t>土方運棄</w:t>
      </w:r>
      <w:proofErr w:type="gramEnd"/>
      <w:r w:rsidRPr="00347BE9">
        <w:rPr>
          <w:rFonts w:ascii="標楷體" w:eastAsia="標楷體" w:hAnsi="標楷體" w:cs="Times New Roman" w:hint="eastAsia"/>
          <w:szCs w:val="20"/>
        </w:rPr>
        <w:t>（不含棄土證明）」及「結構用混凝土，預拌，420kgf/cm</w:t>
      </w:r>
      <w:r w:rsidRPr="006C3541">
        <w:rPr>
          <w:rFonts w:ascii="標楷體" w:eastAsia="標楷體" w:hAnsi="標楷體" w:cs="Times New Roman" w:hint="eastAsia"/>
          <w:szCs w:val="20"/>
          <w:vertAlign w:val="superscript"/>
        </w:rPr>
        <w:t>2</w:t>
      </w:r>
      <w:r w:rsidRPr="00347BE9">
        <w:rPr>
          <w:rFonts w:ascii="標楷體" w:eastAsia="標楷體" w:hAnsi="標楷體" w:cs="Times New Roman" w:hint="eastAsia"/>
          <w:szCs w:val="20"/>
        </w:rPr>
        <w:t>卜</w:t>
      </w:r>
      <w:proofErr w:type="gramStart"/>
      <w:r w:rsidRPr="00347BE9">
        <w:rPr>
          <w:rFonts w:ascii="標楷體" w:eastAsia="標楷體" w:hAnsi="標楷體" w:cs="Times New Roman" w:hint="eastAsia"/>
          <w:szCs w:val="20"/>
        </w:rPr>
        <w:t>特</w:t>
      </w:r>
      <w:proofErr w:type="gramEnd"/>
      <w:r w:rsidRPr="00347BE9">
        <w:rPr>
          <w:rFonts w:ascii="標楷體" w:eastAsia="標楷體" w:hAnsi="標楷體" w:cs="Times New Roman" w:hint="eastAsia"/>
          <w:szCs w:val="20"/>
        </w:rPr>
        <w:t>蘭Ⅱ型」等2工項，</w:t>
      </w:r>
      <w:proofErr w:type="gramStart"/>
      <w:r w:rsidRPr="00347BE9">
        <w:rPr>
          <w:rFonts w:ascii="標楷體" w:eastAsia="標楷體" w:hAnsi="標楷體" w:cs="Times New Roman" w:hint="eastAsia"/>
          <w:szCs w:val="20"/>
        </w:rPr>
        <w:t>分別溢估</w:t>
      </w:r>
      <w:proofErr w:type="gramEnd"/>
      <w:r w:rsidRPr="00347BE9">
        <w:rPr>
          <w:rFonts w:ascii="標楷體" w:eastAsia="標楷體" w:hAnsi="標楷體" w:cs="Times New Roman" w:hint="eastAsia"/>
          <w:szCs w:val="20"/>
        </w:rPr>
        <w:t>494萬餘元、8萬餘元，</w:t>
      </w:r>
    </w:p>
    <w:p w14:paraId="5A378D60" w14:textId="189561A0" w:rsidR="00D74004" w:rsidRPr="00DB2473" w:rsidRDefault="00D74004" w:rsidP="00314635">
      <w:pPr>
        <w:widowControl/>
        <w:tabs>
          <w:tab w:val="left" w:pos="1560"/>
        </w:tabs>
        <w:kinsoku w:val="0"/>
        <w:overflowPunct w:val="0"/>
        <w:spacing w:line="480" w:lineRule="exact"/>
        <w:jc w:val="both"/>
        <w:rPr>
          <w:rFonts w:ascii="標楷體" w:eastAsia="標楷體" w:hAnsi="標楷體" w:cs="Times New Roman"/>
          <w:b/>
          <w:kern w:val="0"/>
          <w:sz w:val="28"/>
          <w:szCs w:val="28"/>
        </w:rPr>
      </w:pPr>
      <w:r w:rsidRPr="00347BE9">
        <w:rPr>
          <w:rFonts w:ascii="標楷體" w:eastAsia="標楷體" w:hAnsi="標楷體" w:cs="Times New Roman" w:hint="eastAsia"/>
          <w:szCs w:val="20"/>
        </w:rPr>
        <w:lastRenderedPageBreak/>
        <w:t>已於估驗計價</w:t>
      </w:r>
      <w:proofErr w:type="gramStart"/>
      <w:r w:rsidRPr="00347BE9">
        <w:rPr>
          <w:rFonts w:ascii="標楷體" w:eastAsia="標楷體" w:hAnsi="標楷體" w:cs="Times New Roman" w:hint="eastAsia"/>
          <w:szCs w:val="20"/>
        </w:rPr>
        <w:t>中扣回</w:t>
      </w:r>
      <w:proofErr w:type="gramEnd"/>
      <w:r w:rsidRPr="00347BE9">
        <w:rPr>
          <w:rFonts w:ascii="標楷體" w:eastAsia="標楷體" w:hAnsi="標楷體" w:cs="Times New Roman" w:hint="eastAsia"/>
          <w:szCs w:val="20"/>
        </w:rPr>
        <w:t>；2.依實際數量計算後，「施工護欄及圍籬，甲種施工圍籬，組合式固定，高度2.4M，</w:t>
      </w:r>
      <w:proofErr w:type="gramStart"/>
      <w:r w:rsidRPr="00347BE9">
        <w:rPr>
          <w:rFonts w:ascii="標楷體" w:eastAsia="標楷體" w:hAnsi="標楷體" w:cs="Times New Roman" w:hint="eastAsia"/>
          <w:szCs w:val="20"/>
        </w:rPr>
        <w:t>含警示</w:t>
      </w:r>
      <w:proofErr w:type="gramEnd"/>
      <w:r w:rsidRPr="00347BE9">
        <w:rPr>
          <w:rFonts w:ascii="標楷體" w:eastAsia="標楷體" w:hAnsi="標楷體" w:cs="Times New Roman" w:hint="eastAsia"/>
          <w:szCs w:val="20"/>
        </w:rPr>
        <w:t>燈（含防溢座及噴漆及圖樣處理）」、「施工圍籬，綠美化」及「土方工作，B8類棄土方（含廢棄物證明）」等3工項，</w:t>
      </w:r>
      <w:proofErr w:type="gramStart"/>
      <w:r w:rsidRPr="00347BE9">
        <w:rPr>
          <w:rFonts w:ascii="標楷體" w:eastAsia="標楷體" w:hAnsi="標楷體" w:cs="Times New Roman" w:hint="eastAsia"/>
          <w:szCs w:val="20"/>
        </w:rPr>
        <w:t>分別溢估</w:t>
      </w:r>
      <w:proofErr w:type="gramEnd"/>
      <w:r w:rsidRPr="00347BE9">
        <w:rPr>
          <w:rFonts w:ascii="標楷體" w:eastAsia="標楷體" w:hAnsi="標楷體" w:cs="Times New Roman" w:hint="eastAsia"/>
          <w:szCs w:val="20"/>
        </w:rPr>
        <w:t>76萬餘元、86萬餘元及158萬餘元，已於估驗計價</w:t>
      </w:r>
      <w:proofErr w:type="gramStart"/>
      <w:r w:rsidRPr="00347BE9">
        <w:rPr>
          <w:rFonts w:ascii="標楷體" w:eastAsia="標楷體" w:hAnsi="標楷體" w:cs="Times New Roman" w:hint="eastAsia"/>
          <w:szCs w:val="20"/>
        </w:rPr>
        <w:t>中扣回</w:t>
      </w:r>
      <w:proofErr w:type="gramEnd"/>
      <w:r w:rsidRPr="00347BE9">
        <w:rPr>
          <w:rFonts w:ascii="標楷體" w:eastAsia="標楷體" w:hAnsi="標楷體" w:cs="Times New Roman" w:hint="eastAsia"/>
          <w:szCs w:val="20"/>
        </w:rPr>
        <w:t>，另檢討監造單位責任中；3.本工程外籍勞工共計8人，現場工作時間113年3月27日起至同年12月13日，已於估驗計價</w:t>
      </w:r>
      <w:proofErr w:type="gramStart"/>
      <w:r w:rsidRPr="00347BE9">
        <w:rPr>
          <w:rFonts w:ascii="標楷體" w:eastAsia="標楷體" w:hAnsi="標楷體" w:cs="Times New Roman" w:hint="eastAsia"/>
          <w:szCs w:val="20"/>
        </w:rPr>
        <w:t>中扣回與</w:t>
      </w:r>
      <w:proofErr w:type="gramEnd"/>
      <w:r w:rsidRPr="00347BE9">
        <w:rPr>
          <w:rFonts w:ascii="標楷體" w:eastAsia="標楷體" w:hAnsi="標楷體" w:cs="Times New Roman" w:hint="eastAsia"/>
          <w:szCs w:val="20"/>
        </w:rPr>
        <w:t>本國勞工人力價差79萬餘元；4.已依契約扣罰懲罰性違約金3萬餘元，爾後於收受目的事業主管機關裁罰（處）書後，將同步依據契約約定扣罰懲罰性違約金；5.「土方工作，B2-B5類</w:t>
      </w:r>
      <w:proofErr w:type="gramStart"/>
      <w:r w:rsidRPr="00347BE9">
        <w:rPr>
          <w:rFonts w:ascii="標楷體" w:eastAsia="標楷體" w:hAnsi="標楷體" w:cs="Times New Roman" w:hint="eastAsia"/>
          <w:szCs w:val="20"/>
        </w:rPr>
        <w:t>土方運棄</w:t>
      </w:r>
      <w:proofErr w:type="gramEnd"/>
      <w:r w:rsidRPr="00347BE9">
        <w:rPr>
          <w:rFonts w:ascii="標楷體" w:eastAsia="標楷體" w:hAnsi="標楷體" w:cs="Times New Roman" w:hint="eastAsia"/>
          <w:szCs w:val="20"/>
        </w:rPr>
        <w:t>（不含棄土證明）」工項項下之「土方工作，棄土</w:t>
      </w:r>
      <w:r>
        <w:rPr>
          <w:rFonts w:ascii="標楷體" w:eastAsia="標楷體" w:hAnsi="標楷體" w:cs="Times New Roman" w:hint="eastAsia"/>
          <w:szCs w:val="20"/>
        </w:rPr>
        <w:t>（</w:t>
      </w:r>
      <w:r w:rsidRPr="00347BE9">
        <w:rPr>
          <w:rFonts w:ascii="標楷體" w:eastAsia="標楷體" w:hAnsi="標楷體" w:cs="Times New Roman" w:hint="eastAsia"/>
          <w:szCs w:val="20"/>
        </w:rPr>
        <w:t>不含棄土證明</w:t>
      </w:r>
      <w:r>
        <w:rPr>
          <w:rFonts w:ascii="標楷體" w:eastAsia="標楷體" w:hAnsi="標楷體" w:cs="Times New Roman" w:hint="eastAsia"/>
          <w:szCs w:val="20"/>
        </w:rPr>
        <w:t>）</w:t>
      </w:r>
      <w:r w:rsidRPr="00347BE9">
        <w:rPr>
          <w:rFonts w:ascii="標楷體" w:eastAsia="標楷體" w:hAnsi="標楷體" w:cs="Times New Roman" w:hint="eastAsia"/>
          <w:szCs w:val="20"/>
        </w:rPr>
        <w:t>」</w:t>
      </w:r>
      <w:proofErr w:type="gramStart"/>
      <w:r w:rsidRPr="00347BE9">
        <w:rPr>
          <w:rFonts w:ascii="標楷體" w:eastAsia="標楷體" w:hAnsi="標楷體" w:cs="Times New Roman" w:hint="eastAsia"/>
          <w:szCs w:val="20"/>
        </w:rPr>
        <w:t>細項價金</w:t>
      </w:r>
      <w:proofErr w:type="gramEnd"/>
      <w:r w:rsidRPr="00347BE9">
        <w:rPr>
          <w:rFonts w:ascii="標楷體" w:eastAsia="標楷體" w:hAnsi="標楷體" w:cs="Times New Roman" w:hint="eastAsia"/>
          <w:szCs w:val="20"/>
        </w:rPr>
        <w:t>共計1,210萬餘元，將於估驗計價</w:t>
      </w:r>
      <w:proofErr w:type="gramStart"/>
      <w:r w:rsidRPr="00347BE9">
        <w:rPr>
          <w:rFonts w:ascii="標楷體" w:eastAsia="標楷體" w:hAnsi="標楷體" w:cs="Times New Roman" w:hint="eastAsia"/>
          <w:szCs w:val="20"/>
        </w:rPr>
        <w:t>中扣回</w:t>
      </w:r>
      <w:proofErr w:type="gramEnd"/>
      <w:r w:rsidRPr="00347BE9">
        <w:rPr>
          <w:rFonts w:ascii="標楷體" w:eastAsia="標楷體" w:hAnsi="標楷體" w:cs="Times New Roman" w:hint="eastAsia"/>
          <w:szCs w:val="20"/>
        </w:rPr>
        <w:t>，另檢討監造單位責任中；6.壁面壁磚損壞及</w:t>
      </w:r>
      <w:proofErr w:type="gramStart"/>
      <w:r w:rsidRPr="00347BE9">
        <w:rPr>
          <w:rFonts w:ascii="標楷體" w:eastAsia="標楷體" w:hAnsi="標楷體" w:cs="Times New Roman" w:hint="eastAsia"/>
          <w:szCs w:val="20"/>
        </w:rPr>
        <w:t>連續壁滲水</w:t>
      </w:r>
      <w:proofErr w:type="gramEnd"/>
      <w:r w:rsidRPr="00347BE9">
        <w:rPr>
          <w:rFonts w:ascii="標楷體" w:eastAsia="標楷體" w:hAnsi="標楷體" w:cs="Times New Roman" w:hint="eastAsia"/>
          <w:szCs w:val="20"/>
        </w:rPr>
        <w:t>等現場施工品質缺失部分，已督促施工廠商改善完成。</w:t>
      </w:r>
    </w:p>
    <w:p w14:paraId="20378E98" w14:textId="26C68C59" w:rsidR="00D74004" w:rsidRDefault="00D74004" w:rsidP="00314635">
      <w:pPr>
        <w:widowControl/>
        <w:suppressAutoHyphens/>
        <w:overflowPunct w:val="0"/>
        <w:spacing w:beforeLines="50" w:before="180" w:afterLines="20" w:after="72" w:line="500" w:lineRule="exact"/>
        <w:ind w:firstLineChars="100" w:firstLine="280"/>
        <w:jc w:val="both"/>
        <w:rPr>
          <w:rFonts w:ascii="標楷體" w:eastAsia="標楷體" w:hAnsi="標楷體" w:cs="Times New Roman"/>
          <w:b/>
          <w:kern w:val="0"/>
          <w:sz w:val="28"/>
          <w:szCs w:val="28"/>
        </w:rPr>
      </w:pPr>
      <w:bookmarkStart w:id="49" w:name="_Hlk169965016"/>
      <w:r w:rsidRPr="00DB2473">
        <w:rPr>
          <w:rFonts w:ascii="標楷體" w:eastAsia="標楷體" w:hAnsi="標楷體" w:cs="Times New Roman" w:hint="eastAsia"/>
          <w:b/>
          <w:sz w:val="28"/>
          <w:szCs w:val="28"/>
        </w:rPr>
        <w:t>（八</w:t>
      </w:r>
      <w:r w:rsidRPr="00DB2473">
        <w:rPr>
          <w:rFonts w:ascii="標楷體" w:eastAsia="標楷體" w:hAnsi="標楷體" w:cs="Times New Roman" w:hint="eastAsia"/>
          <w:b/>
          <w:kern w:val="0"/>
          <w:sz w:val="28"/>
          <w:szCs w:val="28"/>
        </w:rPr>
        <w:t>）</w:t>
      </w:r>
      <w:r w:rsidRPr="00655740">
        <w:rPr>
          <w:rFonts w:ascii="標楷體" w:eastAsia="標楷體" w:hAnsi="標楷體" w:cs="Times New Roman" w:hint="eastAsia"/>
          <w:b/>
          <w:kern w:val="0"/>
          <w:sz w:val="28"/>
          <w:szCs w:val="28"/>
        </w:rPr>
        <w:t>持續依污水下水道後續發展方案先期規劃興建污水下水道管線，惟部分公有處所或機關（單位）位於管線到達且經公告使用之區域，迄未依規定期限完成污水下水道聯接使用，且列管尚未接管之資料欠完整，有待檢討改善</w:t>
      </w:r>
      <w:r w:rsidRPr="00DB2473">
        <w:rPr>
          <w:rFonts w:ascii="標楷體" w:eastAsia="標楷體" w:hAnsi="標楷體" w:cs="Times New Roman" w:hint="eastAsia"/>
          <w:b/>
          <w:kern w:val="0"/>
          <w:sz w:val="28"/>
          <w:szCs w:val="28"/>
        </w:rPr>
        <w:t>。</w:t>
      </w:r>
    </w:p>
    <w:p w14:paraId="210F0D11" w14:textId="7D83CEC8" w:rsidR="006501C5" w:rsidRDefault="00314635" w:rsidP="00314635">
      <w:pPr>
        <w:widowControl/>
        <w:suppressAutoHyphens/>
        <w:overflowPunct w:val="0"/>
        <w:spacing w:beforeLines="30" w:before="108" w:line="490" w:lineRule="exact"/>
        <w:ind w:firstLineChars="200" w:firstLine="480"/>
        <w:jc w:val="both"/>
        <w:rPr>
          <w:rFonts w:ascii="標楷體" w:eastAsia="標楷體" w:hAnsi="標楷體" w:cs="Times New Roman"/>
          <w:kern w:val="0"/>
          <w:szCs w:val="24"/>
        </w:rPr>
      </w:pPr>
      <w:r w:rsidRPr="00FA0A75">
        <w:rPr>
          <w:noProof/>
        </w:rPr>
        <mc:AlternateContent>
          <mc:Choice Requires="wps">
            <w:drawing>
              <wp:anchor distT="0" distB="0" distL="114300" distR="114300" simplePos="0" relativeHeight="251800576" behindDoc="1" locked="0" layoutInCell="1" allowOverlap="1" wp14:anchorId="6C10E794" wp14:editId="5AB5AC0F">
                <wp:simplePos x="0" y="0"/>
                <wp:positionH relativeFrom="column">
                  <wp:posOffset>1607664</wp:posOffset>
                </wp:positionH>
                <wp:positionV relativeFrom="paragraph">
                  <wp:posOffset>1605362</wp:posOffset>
                </wp:positionV>
                <wp:extent cx="4796286" cy="3243532"/>
                <wp:effectExtent l="0" t="0" r="4445" b="0"/>
                <wp:wrapTight wrapText="bothSides">
                  <wp:wrapPolygon edited="0">
                    <wp:start x="0" y="0"/>
                    <wp:lineTo x="0" y="21444"/>
                    <wp:lineTo x="21534" y="21444"/>
                    <wp:lineTo x="21534" y="0"/>
                    <wp:lineTo x="0" y="0"/>
                  </wp:wrapPolygon>
                </wp:wrapTight>
                <wp:docPr id="7" name="文字方塊 7"/>
                <wp:cNvGraphicFramePr/>
                <a:graphic xmlns:a="http://schemas.openxmlformats.org/drawingml/2006/main">
                  <a:graphicData uri="http://schemas.microsoft.com/office/word/2010/wordprocessingShape">
                    <wps:wsp>
                      <wps:cNvSpPr txBox="1"/>
                      <wps:spPr>
                        <a:xfrm>
                          <a:off x="0" y="0"/>
                          <a:ext cx="4796286" cy="3243532"/>
                        </a:xfrm>
                        <a:prstGeom prst="rect">
                          <a:avLst/>
                        </a:prstGeom>
                        <a:solidFill>
                          <a:sysClr val="window" lastClr="FFFFFF"/>
                        </a:solidFill>
                        <a:ln w="6350">
                          <a:noFill/>
                        </a:ln>
                      </wps:spPr>
                      <wps:txbx>
                        <w:txbxContent>
                          <w:tbl>
                            <w:tblPr>
                              <w:tblStyle w:val="58"/>
                              <w:tblW w:w="7256" w:type="dxa"/>
                              <w:tblLook w:val="04A0" w:firstRow="1" w:lastRow="0" w:firstColumn="1" w:lastColumn="0" w:noHBand="0" w:noVBand="1"/>
                            </w:tblPr>
                            <w:tblGrid>
                              <w:gridCol w:w="510"/>
                              <w:gridCol w:w="2041"/>
                              <w:gridCol w:w="1077"/>
                              <w:gridCol w:w="510"/>
                              <w:gridCol w:w="2041"/>
                              <w:gridCol w:w="1077"/>
                            </w:tblGrid>
                            <w:tr w:rsidR="00FA0A75" w:rsidRPr="008F70FD" w14:paraId="4EAC4FF0" w14:textId="77777777" w:rsidTr="00ED75C9">
                              <w:tc>
                                <w:tcPr>
                                  <w:tcW w:w="7256" w:type="dxa"/>
                                  <w:gridSpan w:val="6"/>
                                  <w:tcBorders>
                                    <w:top w:val="nil"/>
                                    <w:left w:val="nil"/>
                                    <w:bottom w:val="single" w:sz="4" w:space="0" w:color="auto"/>
                                    <w:right w:val="nil"/>
                                  </w:tcBorders>
                                </w:tcPr>
                                <w:p w14:paraId="06FDB8EF" w14:textId="77777777" w:rsidR="00FA0A75" w:rsidRPr="008F70FD" w:rsidRDefault="00FA0A75" w:rsidP="008F70FD">
                                  <w:pPr>
                                    <w:spacing w:line="240" w:lineRule="exact"/>
                                    <w:ind w:left="673" w:hangingChars="280" w:hanging="673"/>
                                    <w:rPr>
                                      <w:sz w:val="20"/>
                                      <w:szCs w:val="20"/>
                                    </w:rPr>
                                  </w:pPr>
                                  <w:r w:rsidRPr="008F70FD">
                                    <w:rPr>
                                      <w:rFonts w:ascii="標楷體" w:eastAsia="標楷體" w:hAnsi="標楷體" w:hint="eastAsia"/>
                                      <w:b/>
                                      <w:bCs/>
                                      <w:color w:val="000000"/>
                                    </w:rPr>
                                    <w:t>表</w:t>
                                  </w:r>
                                  <w:r w:rsidRPr="008F70FD">
                                    <w:rPr>
                                      <w:rFonts w:ascii="標楷體" w:eastAsia="標楷體" w:hAnsi="標楷體"/>
                                      <w:b/>
                                      <w:bCs/>
                                      <w:color w:val="000000"/>
                                    </w:rPr>
                                    <w:t>5</w:t>
                                  </w:r>
                                  <w:r w:rsidRPr="008F70FD">
                                    <w:rPr>
                                      <w:rFonts w:ascii="標楷體" w:eastAsia="標楷體" w:hAnsi="標楷體" w:hint="eastAsia"/>
                                      <w:b/>
                                      <w:bCs/>
                                      <w:color w:val="000000"/>
                                    </w:rPr>
                                    <w:t xml:space="preserve">　</w:t>
                                  </w:r>
                                  <w:r w:rsidRPr="008F70FD">
                                    <w:rPr>
                                      <w:rFonts w:ascii="標楷體" w:eastAsia="標楷體" w:hAnsi="標楷體" w:hint="eastAsia"/>
                                      <w:b/>
                                      <w:bCs/>
                                      <w:color w:val="000000"/>
                                      <w:spacing w:val="-2"/>
                                      <w:szCs w:val="24"/>
                                    </w:rPr>
                                    <w:t>位於污水下水道公告區域尚未接管之公有處所或機關單位明細</w:t>
                                  </w:r>
                                  <w:r>
                                    <w:rPr>
                                      <w:rFonts w:ascii="標楷體" w:eastAsia="標楷體" w:hAnsi="標楷體" w:hint="eastAsia"/>
                                      <w:b/>
                                      <w:bCs/>
                                      <w:color w:val="000000"/>
                                      <w:spacing w:val="-2"/>
                                      <w:szCs w:val="24"/>
                                    </w:rPr>
                                    <w:t>及列管情形</w:t>
                                  </w:r>
                                </w:p>
                              </w:tc>
                            </w:tr>
                            <w:tr w:rsidR="00FA0A75" w:rsidRPr="008F70FD" w14:paraId="287953D5" w14:textId="77777777" w:rsidTr="00ED75C9">
                              <w:tc>
                                <w:tcPr>
                                  <w:tcW w:w="510" w:type="dxa"/>
                                  <w:tcBorders>
                                    <w:top w:val="single" w:sz="4" w:space="0" w:color="auto"/>
                                  </w:tcBorders>
                                  <w:vAlign w:val="center"/>
                                </w:tcPr>
                                <w:p w14:paraId="43837CFC"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序號</w:t>
                                  </w:r>
                                </w:p>
                              </w:tc>
                              <w:tc>
                                <w:tcPr>
                                  <w:tcW w:w="2041" w:type="dxa"/>
                                  <w:tcBorders>
                                    <w:top w:val="single" w:sz="4" w:space="0" w:color="auto"/>
                                  </w:tcBorders>
                                  <w:vAlign w:val="center"/>
                                </w:tcPr>
                                <w:p w14:paraId="265E9E60" w14:textId="77777777" w:rsidR="00FA0A75" w:rsidRPr="008F70FD" w:rsidRDefault="00FA0A75" w:rsidP="008F70FD">
                                  <w:pPr>
                                    <w:spacing w:line="240" w:lineRule="exact"/>
                                    <w:jc w:val="center"/>
                                    <w:rPr>
                                      <w:rFonts w:ascii="標楷體" w:eastAsia="標楷體" w:hAnsi="標楷體"/>
                                      <w:color w:val="000000"/>
                                      <w:sz w:val="20"/>
                                      <w:szCs w:val="20"/>
                                    </w:rPr>
                                  </w:pPr>
                                  <w:r w:rsidRPr="008F70FD">
                                    <w:rPr>
                                      <w:rFonts w:ascii="標楷體" w:eastAsia="標楷體" w:hAnsi="標楷體" w:hint="eastAsia"/>
                                      <w:color w:val="000000"/>
                                      <w:sz w:val="20"/>
                                      <w:szCs w:val="20"/>
                                    </w:rPr>
                                    <w:t>公有處所或機關</w:t>
                                  </w:r>
                                </w:p>
                                <w:p w14:paraId="16EE7FA7"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單位名稱</w:t>
                                  </w:r>
                                </w:p>
                              </w:tc>
                              <w:tc>
                                <w:tcPr>
                                  <w:tcW w:w="1077" w:type="dxa"/>
                                  <w:tcBorders>
                                    <w:top w:val="single" w:sz="4" w:space="0" w:color="auto"/>
                                  </w:tcBorders>
                                  <w:vAlign w:val="center"/>
                                </w:tcPr>
                                <w:p w14:paraId="56A3D4AD"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於未接管清冊登載情形</w:t>
                                  </w:r>
                                </w:p>
                              </w:tc>
                              <w:tc>
                                <w:tcPr>
                                  <w:tcW w:w="510" w:type="dxa"/>
                                  <w:tcBorders>
                                    <w:top w:val="single" w:sz="4" w:space="0" w:color="auto"/>
                                  </w:tcBorders>
                                  <w:vAlign w:val="center"/>
                                </w:tcPr>
                                <w:p w14:paraId="6622D4BA"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序號</w:t>
                                  </w:r>
                                </w:p>
                              </w:tc>
                              <w:tc>
                                <w:tcPr>
                                  <w:tcW w:w="2041" w:type="dxa"/>
                                  <w:tcBorders>
                                    <w:top w:val="single" w:sz="4" w:space="0" w:color="auto"/>
                                  </w:tcBorders>
                                  <w:vAlign w:val="center"/>
                                </w:tcPr>
                                <w:p w14:paraId="6147C247" w14:textId="77777777" w:rsidR="00FA0A75" w:rsidRPr="008F70FD" w:rsidRDefault="00FA0A75" w:rsidP="008F70FD">
                                  <w:pPr>
                                    <w:spacing w:line="240" w:lineRule="exact"/>
                                    <w:jc w:val="center"/>
                                    <w:rPr>
                                      <w:rFonts w:ascii="標楷體" w:eastAsia="標楷體" w:hAnsi="標楷體"/>
                                      <w:color w:val="000000"/>
                                      <w:sz w:val="20"/>
                                      <w:szCs w:val="20"/>
                                    </w:rPr>
                                  </w:pPr>
                                  <w:r w:rsidRPr="008F70FD">
                                    <w:rPr>
                                      <w:rFonts w:ascii="標楷體" w:eastAsia="標楷體" w:hAnsi="標楷體" w:hint="eastAsia"/>
                                      <w:color w:val="000000"/>
                                      <w:sz w:val="20"/>
                                      <w:szCs w:val="20"/>
                                    </w:rPr>
                                    <w:t>公有處所或機關</w:t>
                                  </w:r>
                                </w:p>
                                <w:p w14:paraId="18F50E6A"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單位名稱</w:t>
                                  </w:r>
                                </w:p>
                              </w:tc>
                              <w:tc>
                                <w:tcPr>
                                  <w:tcW w:w="1077" w:type="dxa"/>
                                  <w:tcBorders>
                                    <w:top w:val="single" w:sz="4" w:space="0" w:color="auto"/>
                                  </w:tcBorders>
                                  <w:vAlign w:val="center"/>
                                </w:tcPr>
                                <w:p w14:paraId="0C36AC36"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於未接管清冊登載情形</w:t>
                                  </w:r>
                                </w:p>
                              </w:tc>
                            </w:tr>
                            <w:tr w:rsidR="00FA0A75" w:rsidRPr="008F70FD" w14:paraId="553C3F4D" w14:textId="77777777" w:rsidTr="008F70FD">
                              <w:tc>
                                <w:tcPr>
                                  <w:tcW w:w="510" w:type="dxa"/>
                                  <w:vAlign w:val="center"/>
                                </w:tcPr>
                                <w:p w14:paraId="5191DF6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p>
                              </w:tc>
                              <w:tc>
                                <w:tcPr>
                                  <w:tcW w:w="2041" w:type="dxa"/>
                                  <w:vAlign w:val="center"/>
                                </w:tcPr>
                                <w:p w14:paraId="64346821"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南昌路派出所</w:t>
                                  </w:r>
                                </w:p>
                              </w:tc>
                              <w:tc>
                                <w:tcPr>
                                  <w:tcW w:w="1077" w:type="dxa"/>
                                  <w:vAlign w:val="center"/>
                                </w:tcPr>
                                <w:p w14:paraId="498BA18A"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有登載</w:t>
                                  </w:r>
                                </w:p>
                              </w:tc>
                              <w:tc>
                                <w:tcPr>
                                  <w:tcW w:w="510" w:type="dxa"/>
                                  <w:vAlign w:val="center"/>
                                </w:tcPr>
                                <w:p w14:paraId="0CC10606"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5</w:t>
                                  </w:r>
                                </w:p>
                              </w:tc>
                              <w:tc>
                                <w:tcPr>
                                  <w:tcW w:w="2041" w:type="dxa"/>
                                  <w:vAlign w:val="center"/>
                                </w:tcPr>
                                <w:p w14:paraId="6410D451"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中山區崇實活動中心</w:t>
                                  </w:r>
                                </w:p>
                              </w:tc>
                              <w:tc>
                                <w:tcPr>
                                  <w:tcW w:w="1077" w:type="dxa"/>
                                  <w:vAlign w:val="center"/>
                                </w:tcPr>
                                <w:p w14:paraId="74AE13D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51E0FC5A" w14:textId="77777777" w:rsidTr="008F70FD">
                              <w:tc>
                                <w:tcPr>
                                  <w:tcW w:w="510" w:type="dxa"/>
                                  <w:vAlign w:val="center"/>
                                </w:tcPr>
                                <w:p w14:paraId="0355544E" w14:textId="77777777" w:rsidR="00FA0A75" w:rsidRPr="008F70FD" w:rsidRDefault="00FA0A75" w:rsidP="00952955">
                                  <w:pPr>
                                    <w:spacing w:line="240" w:lineRule="exact"/>
                                    <w:jc w:val="center"/>
                                    <w:rPr>
                                      <w:sz w:val="20"/>
                                      <w:szCs w:val="20"/>
                                    </w:rPr>
                                  </w:pPr>
                                  <w:r w:rsidRPr="008F70FD">
                                    <w:rPr>
                                      <w:rFonts w:ascii="標楷體" w:eastAsia="標楷體" w:hAnsi="標楷體"/>
                                      <w:color w:val="000000"/>
                                      <w:sz w:val="20"/>
                                      <w:szCs w:val="20"/>
                                    </w:rPr>
                                    <w:t>2</w:t>
                                  </w:r>
                                </w:p>
                              </w:tc>
                              <w:tc>
                                <w:tcPr>
                                  <w:tcW w:w="2041" w:type="dxa"/>
                                  <w:vAlign w:val="center"/>
                                </w:tcPr>
                                <w:p w14:paraId="7B8FD3F4"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翠山派出所</w:t>
                                  </w:r>
                                </w:p>
                              </w:tc>
                              <w:tc>
                                <w:tcPr>
                                  <w:tcW w:w="1077" w:type="dxa"/>
                                  <w:vAlign w:val="center"/>
                                </w:tcPr>
                                <w:p w14:paraId="57C32A82"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75429929"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6</w:t>
                                  </w:r>
                                </w:p>
                              </w:tc>
                              <w:tc>
                                <w:tcPr>
                                  <w:tcW w:w="2041" w:type="dxa"/>
                                  <w:vAlign w:val="center"/>
                                </w:tcPr>
                                <w:p w14:paraId="16FAB53B"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中正區龍興活動中心</w:t>
                                  </w:r>
                                </w:p>
                              </w:tc>
                              <w:tc>
                                <w:tcPr>
                                  <w:tcW w:w="1077" w:type="dxa"/>
                                  <w:vAlign w:val="center"/>
                                </w:tcPr>
                                <w:p w14:paraId="2B074B50"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7DC7EB93" w14:textId="77777777" w:rsidTr="008F70FD">
                              <w:tc>
                                <w:tcPr>
                                  <w:tcW w:w="510" w:type="dxa"/>
                                  <w:vAlign w:val="center"/>
                                </w:tcPr>
                                <w:p w14:paraId="3F3DDCB1"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3</w:t>
                                  </w:r>
                                </w:p>
                              </w:tc>
                              <w:tc>
                                <w:tcPr>
                                  <w:tcW w:w="2041" w:type="dxa"/>
                                  <w:vAlign w:val="center"/>
                                </w:tcPr>
                                <w:p w14:paraId="43483D87"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山仔</w:t>
                                  </w:r>
                                  <w:proofErr w:type="gramStart"/>
                                  <w:r w:rsidRPr="008F70FD">
                                    <w:rPr>
                                      <w:rFonts w:ascii="標楷體" w:eastAsia="標楷體" w:hAnsi="標楷體" w:hint="eastAsia"/>
                                      <w:color w:val="000000"/>
                                      <w:sz w:val="20"/>
                                      <w:szCs w:val="20"/>
                                    </w:rPr>
                                    <w:t>后</w:t>
                                  </w:r>
                                  <w:proofErr w:type="gramEnd"/>
                                  <w:r w:rsidRPr="008F70FD">
                                    <w:rPr>
                                      <w:rFonts w:ascii="標楷體" w:eastAsia="標楷體" w:hAnsi="標楷體" w:hint="eastAsia"/>
                                      <w:color w:val="000000"/>
                                      <w:sz w:val="20"/>
                                      <w:szCs w:val="20"/>
                                    </w:rPr>
                                    <w:t>派出所</w:t>
                                  </w:r>
                                </w:p>
                              </w:tc>
                              <w:tc>
                                <w:tcPr>
                                  <w:tcW w:w="1077" w:type="dxa"/>
                                  <w:vAlign w:val="center"/>
                                </w:tcPr>
                                <w:p w14:paraId="456D4BF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0D084077"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7</w:t>
                                  </w:r>
                                </w:p>
                              </w:tc>
                              <w:tc>
                                <w:tcPr>
                                  <w:tcW w:w="2041" w:type="dxa"/>
                                  <w:vAlign w:val="center"/>
                                </w:tcPr>
                                <w:p w14:paraId="109DC0C4" w14:textId="77777777" w:rsidR="00FA0A75" w:rsidRPr="008F70FD" w:rsidRDefault="00FA0A75" w:rsidP="008F70FD">
                                  <w:pPr>
                                    <w:spacing w:line="240" w:lineRule="exact"/>
                                    <w:rPr>
                                      <w:sz w:val="20"/>
                                      <w:szCs w:val="20"/>
                                    </w:rPr>
                                  </w:pPr>
                                  <w:proofErr w:type="gramStart"/>
                                  <w:r w:rsidRPr="008F70FD">
                                    <w:rPr>
                                      <w:rFonts w:ascii="標楷體" w:eastAsia="標楷體" w:hAnsi="標楷體" w:hint="eastAsia"/>
                                      <w:color w:val="000000"/>
                                      <w:sz w:val="20"/>
                                      <w:szCs w:val="20"/>
                                    </w:rPr>
                                    <w:t>中正區富水活動</w:t>
                                  </w:r>
                                  <w:proofErr w:type="gramEnd"/>
                                  <w:r w:rsidRPr="008F70FD">
                                    <w:rPr>
                                      <w:rFonts w:ascii="標楷體" w:eastAsia="標楷體" w:hAnsi="標楷體" w:hint="eastAsia"/>
                                      <w:color w:val="000000"/>
                                      <w:sz w:val="20"/>
                                      <w:szCs w:val="20"/>
                                    </w:rPr>
                                    <w:t>中心</w:t>
                                  </w:r>
                                </w:p>
                              </w:tc>
                              <w:tc>
                                <w:tcPr>
                                  <w:tcW w:w="1077" w:type="dxa"/>
                                  <w:vAlign w:val="center"/>
                                </w:tcPr>
                                <w:p w14:paraId="0EF8E723"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2D467FD8" w14:textId="77777777" w:rsidTr="008F70FD">
                              <w:tc>
                                <w:tcPr>
                                  <w:tcW w:w="510" w:type="dxa"/>
                                  <w:vAlign w:val="center"/>
                                </w:tcPr>
                                <w:p w14:paraId="79A559A4"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4</w:t>
                                  </w:r>
                                </w:p>
                              </w:tc>
                              <w:tc>
                                <w:tcPr>
                                  <w:tcW w:w="2041" w:type="dxa"/>
                                  <w:vAlign w:val="center"/>
                                </w:tcPr>
                                <w:p w14:paraId="576CD081"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公園派出所</w:t>
                                  </w:r>
                                </w:p>
                              </w:tc>
                              <w:tc>
                                <w:tcPr>
                                  <w:tcW w:w="1077" w:type="dxa"/>
                                  <w:vAlign w:val="center"/>
                                </w:tcPr>
                                <w:p w14:paraId="0487BC4F"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664FD533"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8</w:t>
                                  </w:r>
                                </w:p>
                              </w:tc>
                              <w:tc>
                                <w:tcPr>
                                  <w:tcW w:w="2041" w:type="dxa"/>
                                  <w:vAlign w:val="center"/>
                                </w:tcPr>
                                <w:p w14:paraId="1FB2EFB4"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中正區幸市活動中心</w:t>
                                  </w:r>
                                </w:p>
                              </w:tc>
                              <w:tc>
                                <w:tcPr>
                                  <w:tcW w:w="1077" w:type="dxa"/>
                                  <w:vAlign w:val="center"/>
                                </w:tcPr>
                                <w:p w14:paraId="2EA28EA1"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73CB5536" w14:textId="77777777" w:rsidTr="008F70FD">
                              <w:tc>
                                <w:tcPr>
                                  <w:tcW w:w="510" w:type="dxa"/>
                                  <w:vAlign w:val="center"/>
                                </w:tcPr>
                                <w:p w14:paraId="04A354A5"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5</w:t>
                                  </w:r>
                                </w:p>
                              </w:tc>
                              <w:tc>
                                <w:tcPr>
                                  <w:tcW w:w="2041" w:type="dxa"/>
                                  <w:vAlign w:val="center"/>
                                </w:tcPr>
                                <w:p w14:paraId="08F2E2E2"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浩然敬老院</w:t>
                                  </w:r>
                                </w:p>
                              </w:tc>
                              <w:tc>
                                <w:tcPr>
                                  <w:tcW w:w="1077" w:type="dxa"/>
                                  <w:vAlign w:val="center"/>
                                </w:tcPr>
                                <w:p w14:paraId="68F6C0A1"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5D48DA1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9</w:t>
                                  </w:r>
                                </w:p>
                              </w:tc>
                              <w:tc>
                                <w:tcPr>
                                  <w:tcW w:w="2041" w:type="dxa"/>
                                  <w:vAlign w:val="center"/>
                                </w:tcPr>
                                <w:p w14:paraId="4EE3C35A"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內湖區陽光活動中心</w:t>
                                  </w:r>
                                </w:p>
                              </w:tc>
                              <w:tc>
                                <w:tcPr>
                                  <w:tcW w:w="1077" w:type="dxa"/>
                                  <w:vAlign w:val="center"/>
                                </w:tcPr>
                                <w:p w14:paraId="12CA3E79"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79ED8AB0" w14:textId="77777777" w:rsidTr="008F70FD">
                              <w:tc>
                                <w:tcPr>
                                  <w:tcW w:w="510" w:type="dxa"/>
                                  <w:vAlign w:val="center"/>
                                </w:tcPr>
                                <w:p w14:paraId="5A90EDBB"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6</w:t>
                                  </w:r>
                                </w:p>
                              </w:tc>
                              <w:tc>
                                <w:tcPr>
                                  <w:tcW w:w="2041" w:type="dxa"/>
                                  <w:vAlign w:val="center"/>
                                </w:tcPr>
                                <w:p w14:paraId="04FCF52E"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關渡派出所</w:t>
                                  </w:r>
                                </w:p>
                              </w:tc>
                              <w:tc>
                                <w:tcPr>
                                  <w:tcW w:w="1077" w:type="dxa"/>
                                  <w:vAlign w:val="center"/>
                                </w:tcPr>
                                <w:p w14:paraId="77569BCE"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50A43395"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0</w:t>
                                  </w:r>
                                </w:p>
                              </w:tc>
                              <w:tc>
                                <w:tcPr>
                                  <w:tcW w:w="2041" w:type="dxa"/>
                                  <w:vAlign w:val="center"/>
                                </w:tcPr>
                                <w:p w14:paraId="465BBDCF"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內湖區紫星活動中心</w:t>
                                  </w:r>
                                </w:p>
                              </w:tc>
                              <w:tc>
                                <w:tcPr>
                                  <w:tcW w:w="1077" w:type="dxa"/>
                                  <w:vAlign w:val="center"/>
                                </w:tcPr>
                                <w:p w14:paraId="488D9081"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4D1DB7AE" w14:textId="77777777" w:rsidTr="008F70FD">
                              <w:tc>
                                <w:tcPr>
                                  <w:tcW w:w="510" w:type="dxa"/>
                                  <w:vAlign w:val="center"/>
                                </w:tcPr>
                                <w:p w14:paraId="28EE7C5F"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7</w:t>
                                  </w:r>
                                </w:p>
                              </w:tc>
                              <w:tc>
                                <w:tcPr>
                                  <w:tcW w:w="2041" w:type="dxa"/>
                                  <w:vAlign w:val="center"/>
                                </w:tcPr>
                                <w:p w14:paraId="60261ADB"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景美市場</w:t>
                                  </w:r>
                                </w:p>
                              </w:tc>
                              <w:tc>
                                <w:tcPr>
                                  <w:tcW w:w="1077" w:type="dxa"/>
                                  <w:vAlign w:val="center"/>
                                </w:tcPr>
                                <w:p w14:paraId="30E1354D"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有登載</w:t>
                                  </w:r>
                                </w:p>
                              </w:tc>
                              <w:tc>
                                <w:tcPr>
                                  <w:tcW w:w="510" w:type="dxa"/>
                                  <w:vAlign w:val="center"/>
                                </w:tcPr>
                                <w:p w14:paraId="4AC69A79"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1</w:t>
                                  </w:r>
                                </w:p>
                              </w:tc>
                              <w:tc>
                                <w:tcPr>
                                  <w:tcW w:w="2041" w:type="dxa"/>
                                  <w:vAlign w:val="center"/>
                                </w:tcPr>
                                <w:p w14:paraId="4020E315"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文山區忠順活動中心</w:t>
                                  </w:r>
                                </w:p>
                              </w:tc>
                              <w:tc>
                                <w:tcPr>
                                  <w:tcW w:w="1077" w:type="dxa"/>
                                  <w:vAlign w:val="center"/>
                                </w:tcPr>
                                <w:p w14:paraId="48B46F46"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0060594E" w14:textId="77777777" w:rsidTr="008F70FD">
                              <w:tc>
                                <w:tcPr>
                                  <w:tcW w:w="510" w:type="dxa"/>
                                  <w:vAlign w:val="center"/>
                                </w:tcPr>
                                <w:p w14:paraId="081C739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8</w:t>
                                  </w:r>
                                </w:p>
                              </w:tc>
                              <w:tc>
                                <w:tcPr>
                                  <w:tcW w:w="2041" w:type="dxa"/>
                                  <w:vAlign w:val="center"/>
                                </w:tcPr>
                                <w:p w14:paraId="468B387A"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南湖國小</w:t>
                                  </w:r>
                                </w:p>
                              </w:tc>
                              <w:tc>
                                <w:tcPr>
                                  <w:tcW w:w="1077" w:type="dxa"/>
                                  <w:vAlign w:val="center"/>
                                </w:tcPr>
                                <w:p w14:paraId="66028B3E"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0AA4AB15"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2</w:t>
                                  </w:r>
                                </w:p>
                              </w:tc>
                              <w:tc>
                                <w:tcPr>
                                  <w:tcW w:w="2041" w:type="dxa"/>
                                  <w:vAlign w:val="center"/>
                                </w:tcPr>
                                <w:p w14:paraId="6A440B22"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文山區萬芳活動中心</w:t>
                                  </w:r>
                                </w:p>
                              </w:tc>
                              <w:tc>
                                <w:tcPr>
                                  <w:tcW w:w="1077" w:type="dxa"/>
                                  <w:vAlign w:val="center"/>
                                </w:tcPr>
                                <w:p w14:paraId="4F6C14A2"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55F39A5A" w14:textId="77777777" w:rsidTr="008F70FD">
                              <w:tc>
                                <w:tcPr>
                                  <w:tcW w:w="510" w:type="dxa"/>
                                  <w:vAlign w:val="center"/>
                                </w:tcPr>
                                <w:p w14:paraId="0B4EBFA2"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9</w:t>
                                  </w:r>
                                </w:p>
                              </w:tc>
                              <w:tc>
                                <w:tcPr>
                                  <w:tcW w:w="2041" w:type="dxa"/>
                                  <w:vAlign w:val="center"/>
                                </w:tcPr>
                                <w:p w14:paraId="671A6977" w14:textId="77777777" w:rsidR="00FA0A75" w:rsidRPr="008F70FD" w:rsidRDefault="00FA0A75" w:rsidP="008F70FD">
                                  <w:pPr>
                                    <w:spacing w:line="240" w:lineRule="exact"/>
                                    <w:rPr>
                                      <w:sz w:val="20"/>
                                      <w:szCs w:val="20"/>
                                    </w:rPr>
                                  </w:pPr>
                                  <w:proofErr w:type="gramStart"/>
                                  <w:r w:rsidRPr="008F70FD">
                                    <w:rPr>
                                      <w:rFonts w:ascii="標楷體" w:eastAsia="標楷體" w:hAnsi="標楷體" w:hint="eastAsia"/>
                                      <w:color w:val="000000"/>
                                      <w:sz w:val="20"/>
                                      <w:szCs w:val="20"/>
                                    </w:rPr>
                                    <w:t>士林區舊佳活動</w:t>
                                  </w:r>
                                  <w:proofErr w:type="gramEnd"/>
                                  <w:r w:rsidRPr="008F70FD">
                                    <w:rPr>
                                      <w:rFonts w:ascii="標楷體" w:eastAsia="標楷體" w:hAnsi="標楷體" w:hint="eastAsia"/>
                                      <w:color w:val="000000"/>
                                      <w:sz w:val="20"/>
                                      <w:szCs w:val="20"/>
                                    </w:rPr>
                                    <w:t>中心</w:t>
                                  </w:r>
                                </w:p>
                              </w:tc>
                              <w:tc>
                                <w:tcPr>
                                  <w:tcW w:w="1077" w:type="dxa"/>
                                  <w:vAlign w:val="center"/>
                                </w:tcPr>
                                <w:p w14:paraId="7B4CEA9C"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50D16545"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3</w:t>
                                  </w:r>
                                </w:p>
                              </w:tc>
                              <w:tc>
                                <w:tcPr>
                                  <w:tcW w:w="2041" w:type="dxa"/>
                                  <w:vAlign w:val="center"/>
                                </w:tcPr>
                                <w:p w14:paraId="0C26F8FD"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文山區景行活動中心</w:t>
                                  </w:r>
                                </w:p>
                              </w:tc>
                              <w:tc>
                                <w:tcPr>
                                  <w:tcW w:w="1077" w:type="dxa"/>
                                  <w:vAlign w:val="center"/>
                                </w:tcPr>
                                <w:p w14:paraId="4E2AAB1F"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29473CC1" w14:textId="77777777" w:rsidTr="008F70FD">
                              <w:tc>
                                <w:tcPr>
                                  <w:tcW w:w="510" w:type="dxa"/>
                                  <w:vAlign w:val="center"/>
                                </w:tcPr>
                                <w:p w14:paraId="7D756394"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0</w:t>
                                  </w:r>
                                </w:p>
                              </w:tc>
                              <w:tc>
                                <w:tcPr>
                                  <w:tcW w:w="2041" w:type="dxa"/>
                                  <w:vAlign w:val="center"/>
                                </w:tcPr>
                                <w:p w14:paraId="1B7A32C2"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士林區福林活動中心</w:t>
                                  </w:r>
                                </w:p>
                              </w:tc>
                              <w:tc>
                                <w:tcPr>
                                  <w:tcW w:w="1077" w:type="dxa"/>
                                  <w:vAlign w:val="center"/>
                                </w:tcPr>
                                <w:p w14:paraId="39F9F80C"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45ADA75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4</w:t>
                                  </w:r>
                                </w:p>
                              </w:tc>
                              <w:tc>
                                <w:tcPr>
                                  <w:tcW w:w="2041" w:type="dxa"/>
                                  <w:vAlign w:val="center"/>
                                </w:tcPr>
                                <w:p w14:paraId="31F9C3A5"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松山區安平活動中心</w:t>
                                  </w:r>
                                </w:p>
                              </w:tc>
                              <w:tc>
                                <w:tcPr>
                                  <w:tcW w:w="1077" w:type="dxa"/>
                                  <w:vAlign w:val="center"/>
                                </w:tcPr>
                                <w:p w14:paraId="55D36143"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79D215C5" w14:textId="77777777" w:rsidTr="008F70FD">
                              <w:tc>
                                <w:tcPr>
                                  <w:tcW w:w="510" w:type="dxa"/>
                                  <w:vAlign w:val="center"/>
                                </w:tcPr>
                                <w:p w14:paraId="2CF283CB"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1</w:t>
                                  </w:r>
                                </w:p>
                              </w:tc>
                              <w:tc>
                                <w:tcPr>
                                  <w:tcW w:w="2041" w:type="dxa"/>
                                  <w:vAlign w:val="center"/>
                                </w:tcPr>
                                <w:p w14:paraId="6EB6C7C1"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士林區臨溪活動中心</w:t>
                                  </w:r>
                                </w:p>
                              </w:tc>
                              <w:tc>
                                <w:tcPr>
                                  <w:tcW w:w="1077" w:type="dxa"/>
                                  <w:vAlign w:val="center"/>
                                </w:tcPr>
                                <w:p w14:paraId="751A1C1D"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05B57F0C"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5</w:t>
                                  </w:r>
                                </w:p>
                              </w:tc>
                              <w:tc>
                                <w:tcPr>
                                  <w:tcW w:w="2041" w:type="dxa"/>
                                  <w:vAlign w:val="center"/>
                                </w:tcPr>
                                <w:p w14:paraId="1ED7A23D"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南港區九如活動中心</w:t>
                                  </w:r>
                                </w:p>
                              </w:tc>
                              <w:tc>
                                <w:tcPr>
                                  <w:tcW w:w="1077" w:type="dxa"/>
                                  <w:vAlign w:val="center"/>
                                </w:tcPr>
                                <w:p w14:paraId="5177BE73"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6CEB835D" w14:textId="77777777" w:rsidTr="008F70FD">
                              <w:tc>
                                <w:tcPr>
                                  <w:tcW w:w="510" w:type="dxa"/>
                                  <w:vAlign w:val="center"/>
                                </w:tcPr>
                                <w:p w14:paraId="0B9A1829"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2</w:t>
                                  </w:r>
                                </w:p>
                              </w:tc>
                              <w:tc>
                                <w:tcPr>
                                  <w:tcW w:w="2041" w:type="dxa"/>
                                  <w:vAlign w:val="center"/>
                                </w:tcPr>
                                <w:p w14:paraId="319D9E75"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士林區承德活動中心</w:t>
                                  </w:r>
                                </w:p>
                              </w:tc>
                              <w:tc>
                                <w:tcPr>
                                  <w:tcW w:w="1077" w:type="dxa"/>
                                  <w:vAlign w:val="center"/>
                                </w:tcPr>
                                <w:p w14:paraId="06D4C5E0"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2BB7CDE9" w14:textId="77777777" w:rsidR="00FA0A75" w:rsidRPr="008F70FD" w:rsidRDefault="00FA0A75" w:rsidP="00952955">
                                  <w:pPr>
                                    <w:spacing w:line="240" w:lineRule="exact"/>
                                    <w:jc w:val="center"/>
                                    <w:rPr>
                                      <w:sz w:val="20"/>
                                      <w:szCs w:val="20"/>
                                    </w:rPr>
                                  </w:pPr>
                                  <w:r w:rsidRPr="008F70FD">
                                    <w:rPr>
                                      <w:rFonts w:ascii="標楷體" w:eastAsia="標楷體" w:hAnsi="標楷體"/>
                                      <w:color w:val="000000"/>
                                      <w:sz w:val="20"/>
                                      <w:szCs w:val="20"/>
                                    </w:rPr>
                                    <w:t>26</w:t>
                                  </w:r>
                                </w:p>
                              </w:tc>
                              <w:tc>
                                <w:tcPr>
                                  <w:tcW w:w="2041" w:type="dxa"/>
                                  <w:vAlign w:val="center"/>
                                </w:tcPr>
                                <w:p w14:paraId="45632B93"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南港區三重活動中心</w:t>
                                  </w:r>
                                </w:p>
                              </w:tc>
                              <w:tc>
                                <w:tcPr>
                                  <w:tcW w:w="1077" w:type="dxa"/>
                                  <w:vAlign w:val="center"/>
                                </w:tcPr>
                                <w:p w14:paraId="088B8EA2"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279B5782" w14:textId="77777777" w:rsidTr="00ED75C9">
                              <w:tc>
                                <w:tcPr>
                                  <w:tcW w:w="510" w:type="dxa"/>
                                  <w:tcBorders>
                                    <w:bottom w:val="single" w:sz="4" w:space="0" w:color="auto"/>
                                  </w:tcBorders>
                                  <w:vAlign w:val="center"/>
                                </w:tcPr>
                                <w:p w14:paraId="221B6E90"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3</w:t>
                                  </w:r>
                                </w:p>
                              </w:tc>
                              <w:tc>
                                <w:tcPr>
                                  <w:tcW w:w="2041" w:type="dxa"/>
                                  <w:tcBorders>
                                    <w:bottom w:val="single" w:sz="4" w:space="0" w:color="auto"/>
                                  </w:tcBorders>
                                  <w:vAlign w:val="center"/>
                                </w:tcPr>
                                <w:p w14:paraId="116D53D2"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士林區陽明活動中心</w:t>
                                  </w:r>
                                </w:p>
                              </w:tc>
                              <w:tc>
                                <w:tcPr>
                                  <w:tcW w:w="1077" w:type="dxa"/>
                                  <w:tcBorders>
                                    <w:bottom w:val="single" w:sz="4" w:space="0" w:color="auto"/>
                                  </w:tcBorders>
                                  <w:vAlign w:val="center"/>
                                </w:tcPr>
                                <w:p w14:paraId="2A355A09"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tcBorders>
                                    <w:bottom w:val="single" w:sz="4" w:space="0" w:color="auto"/>
                                  </w:tcBorders>
                                  <w:vAlign w:val="center"/>
                                </w:tcPr>
                                <w:p w14:paraId="5BCBCE54"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7</w:t>
                                  </w:r>
                                </w:p>
                              </w:tc>
                              <w:tc>
                                <w:tcPr>
                                  <w:tcW w:w="2041" w:type="dxa"/>
                                  <w:tcBorders>
                                    <w:bottom w:val="single" w:sz="4" w:space="0" w:color="auto"/>
                                  </w:tcBorders>
                                  <w:vAlign w:val="center"/>
                                </w:tcPr>
                                <w:p w14:paraId="34B75C29"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萬華區青山活動中心</w:t>
                                  </w:r>
                                </w:p>
                              </w:tc>
                              <w:tc>
                                <w:tcPr>
                                  <w:tcW w:w="1077" w:type="dxa"/>
                                  <w:tcBorders>
                                    <w:bottom w:val="single" w:sz="4" w:space="0" w:color="auto"/>
                                  </w:tcBorders>
                                  <w:vAlign w:val="center"/>
                                </w:tcPr>
                                <w:p w14:paraId="79575D1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4F037870" w14:textId="77777777" w:rsidTr="00ED75C9">
                              <w:tc>
                                <w:tcPr>
                                  <w:tcW w:w="510" w:type="dxa"/>
                                  <w:tcBorders>
                                    <w:bottom w:val="single" w:sz="4" w:space="0" w:color="auto"/>
                                  </w:tcBorders>
                                  <w:vAlign w:val="center"/>
                                </w:tcPr>
                                <w:p w14:paraId="0D78DE63"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4</w:t>
                                  </w:r>
                                </w:p>
                              </w:tc>
                              <w:tc>
                                <w:tcPr>
                                  <w:tcW w:w="2041" w:type="dxa"/>
                                  <w:tcBorders>
                                    <w:bottom w:val="single" w:sz="4" w:space="0" w:color="auto"/>
                                  </w:tcBorders>
                                  <w:vAlign w:val="center"/>
                                </w:tcPr>
                                <w:p w14:paraId="70F82C5E"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大安區嘉興活動中心</w:t>
                                  </w:r>
                                </w:p>
                              </w:tc>
                              <w:tc>
                                <w:tcPr>
                                  <w:tcW w:w="1077" w:type="dxa"/>
                                  <w:tcBorders>
                                    <w:bottom w:val="single" w:sz="4" w:space="0" w:color="auto"/>
                                  </w:tcBorders>
                                  <w:vAlign w:val="center"/>
                                </w:tcPr>
                                <w:p w14:paraId="7BCAF906"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3628" w:type="dxa"/>
                                  <w:gridSpan w:val="3"/>
                                  <w:tcBorders>
                                    <w:bottom w:val="single" w:sz="4" w:space="0" w:color="auto"/>
                                    <w:tl2br w:val="single" w:sz="4" w:space="0" w:color="auto"/>
                                  </w:tcBorders>
                                </w:tcPr>
                                <w:p w14:paraId="34C04428" w14:textId="77777777" w:rsidR="00FA0A75" w:rsidRPr="008F70FD" w:rsidRDefault="00FA0A75" w:rsidP="008F70FD">
                                  <w:pPr>
                                    <w:spacing w:line="240" w:lineRule="exact"/>
                                    <w:rPr>
                                      <w:sz w:val="20"/>
                                      <w:szCs w:val="20"/>
                                    </w:rPr>
                                  </w:pPr>
                                </w:p>
                              </w:tc>
                            </w:tr>
                            <w:tr w:rsidR="00FA0A75" w:rsidRPr="008F70FD" w14:paraId="7EF6DF8B" w14:textId="77777777" w:rsidTr="00ED75C9">
                              <w:tc>
                                <w:tcPr>
                                  <w:tcW w:w="7256" w:type="dxa"/>
                                  <w:gridSpan w:val="6"/>
                                  <w:tcBorders>
                                    <w:top w:val="single" w:sz="4" w:space="0" w:color="auto"/>
                                    <w:left w:val="nil"/>
                                    <w:bottom w:val="nil"/>
                                    <w:right w:val="nil"/>
                                  </w:tcBorders>
                                  <w:vAlign w:val="center"/>
                                </w:tcPr>
                                <w:p w14:paraId="53304C95" w14:textId="77777777" w:rsidR="00FA0A75" w:rsidRPr="008F70FD" w:rsidRDefault="00FA0A75" w:rsidP="00ED75C9">
                                  <w:pPr>
                                    <w:spacing w:line="240" w:lineRule="exact"/>
                                    <w:ind w:leftChars="-50" w:left="-120"/>
                                    <w:jc w:val="both"/>
                                    <w:rPr>
                                      <w:sz w:val="20"/>
                                      <w:szCs w:val="20"/>
                                    </w:rPr>
                                  </w:pPr>
                                  <w:r w:rsidRPr="00F956D0">
                                    <w:rPr>
                                      <w:rFonts w:ascii="標楷體" w:eastAsia="標楷體" w:hAnsi="標楷體" w:hint="eastAsia"/>
                                      <w:color w:val="000000"/>
                                      <w:sz w:val="18"/>
                                      <w:szCs w:val="18"/>
                                    </w:rPr>
                                    <w:t>資料來源：整理自</w:t>
                                  </w:r>
                                  <w:proofErr w:type="gramStart"/>
                                  <w:r w:rsidRPr="00F956D0">
                                    <w:rPr>
                                      <w:rFonts w:ascii="標楷體" w:eastAsia="標楷體" w:hAnsi="標楷體" w:hint="eastAsia"/>
                                      <w:color w:val="000000"/>
                                      <w:sz w:val="18"/>
                                      <w:szCs w:val="18"/>
                                    </w:rPr>
                                    <w:t>臺</w:t>
                                  </w:r>
                                  <w:proofErr w:type="gramEnd"/>
                                  <w:r w:rsidRPr="00F956D0">
                                    <w:rPr>
                                      <w:rFonts w:ascii="標楷體" w:eastAsia="標楷體" w:hAnsi="標楷體" w:hint="eastAsia"/>
                                      <w:color w:val="000000"/>
                                      <w:sz w:val="18"/>
                                      <w:szCs w:val="18"/>
                                    </w:rPr>
                                    <w:t>北資料大平</w:t>
                                  </w:r>
                                  <w:proofErr w:type="gramStart"/>
                                  <w:r w:rsidRPr="00F956D0">
                                    <w:rPr>
                                      <w:rFonts w:ascii="標楷體" w:eastAsia="標楷體" w:hAnsi="標楷體" w:hint="eastAsia"/>
                                      <w:color w:val="000000"/>
                                      <w:sz w:val="18"/>
                                      <w:szCs w:val="18"/>
                                    </w:rPr>
                                    <w:t>臺</w:t>
                                  </w:r>
                                  <w:proofErr w:type="gramEnd"/>
                                  <w:r w:rsidRPr="00F956D0">
                                    <w:rPr>
                                      <w:rFonts w:ascii="標楷體" w:eastAsia="標楷體" w:hAnsi="標楷體" w:hint="eastAsia"/>
                                      <w:color w:val="000000"/>
                                      <w:sz w:val="18"/>
                                      <w:szCs w:val="18"/>
                                    </w:rPr>
                                    <w:t>、</w:t>
                                  </w:r>
                                  <w:r>
                                    <w:rPr>
                                      <w:rFonts w:ascii="標楷體" w:eastAsia="標楷體" w:hAnsi="標楷體" w:hint="eastAsia"/>
                                      <w:color w:val="000000"/>
                                      <w:sz w:val="18"/>
                                      <w:szCs w:val="18"/>
                                    </w:rPr>
                                    <w:t>臺北市</w:t>
                                  </w:r>
                                  <w:r w:rsidRPr="00F956D0">
                                    <w:rPr>
                                      <w:rFonts w:ascii="標楷體" w:eastAsia="標楷體" w:hAnsi="標楷體" w:hint="eastAsia"/>
                                      <w:color w:val="000000"/>
                                      <w:sz w:val="18"/>
                                      <w:szCs w:val="18"/>
                                    </w:rPr>
                                    <w:t>市場處等網站，及衛生下水道工程處提供資料。</w:t>
                                  </w:r>
                                </w:p>
                              </w:tc>
                            </w:tr>
                          </w:tbl>
                          <w:p w14:paraId="5FEADB85" w14:textId="77777777" w:rsidR="00FA0A75" w:rsidRDefault="00FA0A75" w:rsidP="00FA0A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10E794" id="文字方塊 7" o:spid="_x0000_s1082" type="#_x0000_t202" style="position:absolute;left:0;text-align:left;margin-left:126.6pt;margin-top:126.4pt;width:377.65pt;height:255.4pt;z-index:-25151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" fillcolor="window" stroked="f" strokeweight=".5pt">
                <v:textbox>
                  <w:txbxContent>
                    <w:tbl>
                      <w:tblPr>
                        <w:tblStyle w:val="58"/>
                        <w:tblW w:w="7256" w:type="dxa"/>
                        <w:tblLook w:val="04A0" w:firstRow="1" w:lastRow="0" w:firstColumn="1" w:lastColumn="0" w:noHBand="0" w:noVBand="1"/>
                      </w:tblPr>
                      <w:tblGrid>
                        <w:gridCol w:w="510"/>
                        <w:gridCol w:w="2041"/>
                        <w:gridCol w:w="1077"/>
                        <w:gridCol w:w="510"/>
                        <w:gridCol w:w="2041"/>
                        <w:gridCol w:w="1077"/>
                      </w:tblGrid>
                      <w:tr w:rsidR="00FA0A75" w:rsidRPr="008F70FD" w14:paraId="4EAC4FF0" w14:textId="77777777" w:rsidTr="00ED75C9">
                        <w:tc>
                          <w:tcPr>
                            <w:tcW w:w="7256" w:type="dxa"/>
                            <w:gridSpan w:val="6"/>
                            <w:tcBorders>
                              <w:top w:val="nil"/>
                              <w:left w:val="nil"/>
                              <w:bottom w:val="single" w:sz="4" w:space="0" w:color="auto"/>
                              <w:right w:val="nil"/>
                            </w:tcBorders>
                          </w:tcPr>
                          <w:p w14:paraId="06FDB8EF" w14:textId="77777777" w:rsidR="00FA0A75" w:rsidRPr="008F70FD" w:rsidRDefault="00FA0A75" w:rsidP="008F70FD">
                            <w:pPr>
                              <w:spacing w:line="240" w:lineRule="exact"/>
                              <w:ind w:left="673" w:hangingChars="280" w:hanging="673"/>
                              <w:rPr>
                                <w:sz w:val="20"/>
                                <w:szCs w:val="20"/>
                              </w:rPr>
                            </w:pPr>
                            <w:r w:rsidRPr="008F70FD">
                              <w:rPr>
                                <w:rFonts w:ascii="標楷體" w:eastAsia="標楷體" w:hAnsi="標楷體" w:hint="eastAsia"/>
                                <w:b/>
                                <w:bCs/>
                                <w:color w:val="000000"/>
                              </w:rPr>
                              <w:t>表</w:t>
                            </w:r>
                            <w:r w:rsidRPr="008F70FD">
                              <w:rPr>
                                <w:rFonts w:ascii="標楷體" w:eastAsia="標楷體" w:hAnsi="標楷體"/>
                                <w:b/>
                                <w:bCs/>
                                <w:color w:val="000000"/>
                              </w:rPr>
                              <w:t>5</w:t>
                            </w:r>
                            <w:r w:rsidRPr="008F70FD">
                              <w:rPr>
                                <w:rFonts w:ascii="標楷體" w:eastAsia="標楷體" w:hAnsi="標楷體" w:hint="eastAsia"/>
                                <w:b/>
                                <w:bCs/>
                                <w:color w:val="000000"/>
                              </w:rPr>
                              <w:t xml:space="preserve">　</w:t>
                            </w:r>
                            <w:r w:rsidRPr="008F70FD">
                              <w:rPr>
                                <w:rFonts w:ascii="標楷體" w:eastAsia="標楷體" w:hAnsi="標楷體" w:hint="eastAsia"/>
                                <w:b/>
                                <w:bCs/>
                                <w:color w:val="000000"/>
                                <w:spacing w:val="-2"/>
                                <w:szCs w:val="24"/>
                              </w:rPr>
                              <w:t>位於污水下水道公告區域尚未接管之公有處所或機關單位明細</w:t>
                            </w:r>
                            <w:r>
                              <w:rPr>
                                <w:rFonts w:ascii="標楷體" w:eastAsia="標楷體" w:hAnsi="標楷體" w:hint="eastAsia"/>
                                <w:b/>
                                <w:bCs/>
                                <w:color w:val="000000"/>
                                <w:spacing w:val="-2"/>
                                <w:szCs w:val="24"/>
                              </w:rPr>
                              <w:t>及列管情形</w:t>
                            </w:r>
                          </w:p>
                        </w:tc>
                      </w:tr>
                      <w:tr w:rsidR="00FA0A75" w:rsidRPr="008F70FD" w14:paraId="287953D5" w14:textId="77777777" w:rsidTr="00ED75C9">
                        <w:tc>
                          <w:tcPr>
                            <w:tcW w:w="510" w:type="dxa"/>
                            <w:tcBorders>
                              <w:top w:val="single" w:sz="4" w:space="0" w:color="auto"/>
                            </w:tcBorders>
                            <w:vAlign w:val="center"/>
                          </w:tcPr>
                          <w:p w14:paraId="43837CFC"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序號</w:t>
                            </w:r>
                          </w:p>
                        </w:tc>
                        <w:tc>
                          <w:tcPr>
                            <w:tcW w:w="2041" w:type="dxa"/>
                            <w:tcBorders>
                              <w:top w:val="single" w:sz="4" w:space="0" w:color="auto"/>
                            </w:tcBorders>
                            <w:vAlign w:val="center"/>
                          </w:tcPr>
                          <w:p w14:paraId="265E9E60" w14:textId="77777777" w:rsidR="00FA0A75" w:rsidRPr="008F70FD" w:rsidRDefault="00FA0A75" w:rsidP="008F70FD">
                            <w:pPr>
                              <w:spacing w:line="240" w:lineRule="exact"/>
                              <w:jc w:val="center"/>
                              <w:rPr>
                                <w:rFonts w:ascii="標楷體" w:eastAsia="標楷體" w:hAnsi="標楷體"/>
                                <w:color w:val="000000"/>
                                <w:sz w:val="20"/>
                                <w:szCs w:val="20"/>
                              </w:rPr>
                            </w:pPr>
                            <w:r w:rsidRPr="008F70FD">
                              <w:rPr>
                                <w:rFonts w:ascii="標楷體" w:eastAsia="標楷體" w:hAnsi="標楷體" w:hint="eastAsia"/>
                                <w:color w:val="000000"/>
                                <w:sz w:val="20"/>
                                <w:szCs w:val="20"/>
                              </w:rPr>
                              <w:t>公有處所或機關</w:t>
                            </w:r>
                          </w:p>
                          <w:p w14:paraId="16EE7FA7"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單位名稱</w:t>
                            </w:r>
                          </w:p>
                        </w:tc>
                        <w:tc>
                          <w:tcPr>
                            <w:tcW w:w="1077" w:type="dxa"/>
                            <w:tcBorders>
                              <w:top w:val="single" w:sz="4" w:space="0" w:color="auto"/>
                            </w:tcBorders>
                            <w:vAlign w:val="center"/>
                          </w:tcPr>
                          <w:p w14:paraId="56A3D4AD"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於未接管清冊登載情形</w:t>
                            </w:r>
                          </w:p>
                        </w:tc>
                        <w:tc>
                          <w:tcPr>
                            <w:tcW w:w="510" w:type="dxa"/>
                            <w:tcBorders>
                              <w:top w:val="single" w:sz="4" w:space="0" w:color="auto"/>
                            </w:tcBorders>
                            <w:vAlign w:val="center"/>
                          </w:tcPr>
                          <w:p w14:paraId="6622D4BA"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序號</w:t>
                            </w:r>
                          </w:p>
                        </w:tc>
                        <w:tc>
                          <w:tcPr>
                            <w:tcW w:w="2041" w:type="dxa"/>
                            <w:tcBorders>
                              <w:top w:val="single" w:sz="4" w:space="0" w:color="auto"/>
                            </w:tcBorders>
                            <w:vAlign w:val="center"/>
                          </w:tcPr>
                          <w:p w14:paraId="6147C247" w14:textId="77777777" w:rsidR="00FA0A75" w:rsidRPr="008F70FD" w:rsidRDefault="00FA0A75" w:rsidP="008F70FD">
                            <w:pPr>
                              <w:spacing w:line="240" w:lineRule="exact"/>
                              <w:jc w:val="center"/>
                              <w:rPr>
                                <w:rFonts w:ascii="標楷體" w:eastAsia="標楷體" w:hAnsi="標楷體"/>
                                <w:color w:val="000000"/>
                                <w:sz w:val="20"/>
                                <w:szCs w:val="20"/>
                              </w:rPr>
                            </w:pPr>
                            <w:r w:rsidRPr="008F70FD">
                              <w:rPr>
                                <w:rFonts w:ascii="標楷體" w:eastAsia="標楷體" w:hAnsi="標楷體" w:hint="eastAsia"/>
                                <w:color w:val="000000"/>
                                <w:sz w:val="20"/>
                                <w:szCs w:val="20"/>
                              </w:rPr>
                              <w:t>公有處所或機關</w:t>
                            </w:r>
                          </w:p>
                          <w:p w14:paraId="18F50E6A"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單位名稱</w:t>
                            </w:r>
                          </w:p>
                        </w:tc>
                        <w:tc>
                          <w:tcPr>
                            <w:tcW w:w="1077" w:type="dxa"/>
                            <w:tcBorders>
                              <w:top w:val="single" w:sz="4" w:space="0" w:color="auto"/>
                            </w:tcBorders>
                            <w:vAlign w:val="center"/>
                          </w:tcPr>
                          <w:p w14:paraId="0C36AC36" w14:textId="77777777" w:rsidR="00FA0A75" w:rsidRPr="008F70FD" w:rsidRDefault="00FA0A75" w:rsidP="008F70FD">
                            <w:pPr>
                              <w:spacing w:line="240" w:lineRule="exact"/>
                              <w:jc w:val="center"/>
                              <w:rPr>
                                <w:sz w:val="20"/>
                                <w:szCs w:val="20"/>
                              </w:rPr>
                            </w:pPr>
                            <w:r w:rsidRPr="008F70FD">
                              <w:rPr>
                                <w:rFonts w:ascii="標楷體" w:eastAsia="標楷體" w:hAnsi="標楷體" w:hint="eastAsia"/>
                                <w:color w:val="000000"/>
                                <w:sz w:val="20"/>
                                <w:szCs w:val="20"/>
                              </w:rPr>
                              <w:t>於未接管清冊登載情形</w:t>
                            </w:r>
                          </w:p>
                        </w:tc>
                      </w:tr>
                      <w:tr w:rsidR="00FA0A75" w:rsidRPr="008F70FD" w14:paraId="553C3F4D" w14:textId="77777777" w:rsidTr="008F70FD">
                        <w:tc>
                          <w:tcPr>
                            <w:tcW w:w="510" w:type="dxa"/>
                            <w:vAlign w:val="center"/>
                          </w:tcPr>
                          <w:p w14:paraId="5191DF6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p>
                        </w:tc>
                        <w:tc>
                          <w:tcPr>
                            <w:tcW w:w="2041" w:type="dxa"/>
                            <w:vAlign w:val="center"/>
                          </w:tcPr>
                          <w:p w14:paraId="64346821"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南昌路派出所</w:t>
                            </w:r>
                          </w:p>
                        </w:tc>
                        <w:tc>
                          <w:tcPr>
                            <w:tcW w:w="1077" w:type="dxa"/>
                            <w:vAlign w:val="center"/>
                          </w:tcPr>
                          <w:p w14:paraId="498BA18A"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有登載</w:t>
                            </w:r>
                          </w:p>
                        </w:tc>
                        <w:tc>
                          <w:tcPr>
                            <w:tcW w:w="510" w:type="dxa"/>
                            <w:vAlign w:val="center"/>
                          </w:tcPr>
                          <w:p w14:paraId="0CC10606"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5</w:t>
                            </w:r>
                          </w:p>
                        </w:tc>
                        <w:tc>
                          <w:tcPr>
                            <w:tcW w:w="2041" w:type="dxa"/>
                            <w:vAlign w:val="center"/>
                          </w:tcPr>
                          <w:p w14:paraId="6410D451"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中山區崇實活動中心</w:t>
                            </w:r>
                          </w:p>
                        </w:tc>
                        <w:tc>
                          <w:tcPr>
                            <w:tcW w:w="1077" w:type="dxa"/>
                            <w:vAlign w:val="center"/>
                          </w:tcPr>
                          <w:p w14:paraId="74AE13D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51E0FC5A" w14:textId="77777777" w:rsidTr="008F70FD">
                        <w:tc>
                          <w:tcPr>
                            <w:tcW w:w="510" w:type="dxa"/>
                            <w:vAlign w:val="center"/>
                          </w:tcPr>
                          <w:p w14:paraId="0355544E" w14:textId="77777777" w:rsidR="00FA0A75" w:rsidRPr="008F70FD" w:rsidRDefault="00FA0A75" w:rsidP="00952955">
                            <w:pPr>
                              <w:spacing w:line="240" w:lineRule="exact"/>
                              <w:jc w:val="center"/>
                              <w:rPr>
                                <w:sz w:val="20"/>
                                <w:szCs w:val="20"/>
                              </w:rPr>
                            </w:pPr>
                            <w:r w:rsidRPr="008F70FD">
                              <w:rPr>
                                <w:rFonts w:ascii="標楷體" w:eastAsia="標楷體" w:hAnsi="標楷體"/>
                                <w:color w:val="000000"/>
                                <w:sz w:val="20"/>
                                <w:szCs w:val="20"/>
                              </w:rPr>
                              <w:t>2</w:t>
                            </w:r>
                          </w:p>
                        </w:tc>
                        <w:tc>
                          <w:tcPr>
                            <w:tcW w:w="2041" w:type="dxa"/>
                            <w:vAlign w:val="center"/>
                          </w:tcPr>
                          <w:p w14:paraId="7B8FD3F4"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翠山派出所</w:t>
                            </w:r>
                          </w:p>
                        </w:tc>
                        <w:tc>
                          <w:tcPr>
                            <w:tcW w:w="1077" w:type="dxa"/>
                            <w:vAlign w:val="center"/>
                          </w:tcPr>
                          <w:p w14:paraId="57C32A82"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75429929"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6</w:t>
                            </w:r>
                          </w:p>
                        </w:tc>
                        <w:tc>
                          <w:tcPr>
                            <w:tcW w:w="2041" w:type="dxa"/>
                            <w:vAlign w:val="center"/>
                          </w:tcPr>
                          <w:p w14:paraId="16FAB53B"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中正區龍興活動中心</w:t>
                            </w:r>
                          </w:p>
                        </w:tc>
                        <w:tc>
                          <w:tcPr>
                            <w:tcW w:w="1077" w:type="dxa"/>
                            <w:vAlign w:val="center"/>
                          </w:tcPr>
                          <w:p w14:paraId="2B074B50"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7DC7EB93" w14:textId="77777777" w:rsidTr="008F70FD">
                        <w:tc>
                          <w:tcPr>
                            <w:tcW w:w="510" w:type="dxa"/>
                            <w:vAlign w:val="center"/>
                          </w:tcPr>
                          <w:p w14:paraId="3F3DDCB1"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3</w:t>
                            </w:r>
                          </w:p>
                        </w:tc>
                        <w:tc>
                          <w:tcPr>
                            <w:tcW w:w="2041" w:type="dxa"/>
                            <w:vAlign w:val="center"/>
                          </w:tcPr>
                          <w:p w14:paraId="43483D87"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山仔</w:t>
                            </w:r>
                            <w:proofErr w:type="gramStart"/>
                            <w:r w:rsidRPr="008F70FD">
                              <w:rPr>
                                <w:rFonts w:ascii="標楷體" w:eastAsia="標楷體" w:hAnsi="標楷體" w:hint="eastAsia"/>
                                <w:color w:val="000000"/>
                                <w:sz w:val="20"/>
                                <w:szCs w:val="20"/>
                              </w:rPr>
                              <w:t>后</w:t>
                            </w:r>
                            <w:proofErr w:type="gramEnd"/>
                            <w:r w:rsidRPr="008F70FD">
                              <w:rPr>
                                <w:rFonts w:ascii="標楷體" w:eastAsia="標楷體" w:hAnsi="標楷體" w:hint="eastAsia"/>
                                <w:color w:val="000000"/>
                                <w:sz w:val="20"/>
                                <w:szCs w:val="20"/>
                              </w:rPr>
                              <w:t>派出所</w:t>
                            </w:r>
                          </w:p>
                        </w:tc>
                        <w:tc>
                          <w:tcPr>
                            <w:tcW w:w="1077" w:type="dxa"/>
                            <w:vAlign w:val="center"/>
                          </w:tcPr>
                          <w:p w14:paraId="456D4BF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0D084077"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7</w:t>
                            </w:r>
                          </w:p>
                        </w:tc>
                        <w:tc>
                          <w:tcPr>
                            <w:tcW w:w="2041" w:type="dxa"/>
                            <w:vAlign w:val="center"/>
                          </w:tcPr>
                          <w:p w14:paraId="109DC0C4" w14:textId="77777777" w:rsidR="00FA0A75" w:rsidRPr="008F70FD" w:rsidRDefault="00FA0A75" w:rsidP="008F70FD">
                            <w:pPr>
                              <w:spacing w:line="240" w:lineRule="exact"/>
                              <w:rPr>
                                <w:sz w:val="20"/>
                                <w:szCs w:val="20"/>
                              </w:rPr>
                            </w:pPr>
                            <w:proofErr w:type="gramStart"/>
                            <w:r w:rsidRPr="008F70FD">
                              <w:rPr>
                                <w:rFonts w:ascii="標楷體" w:eastAsia="標楷體" w:hAnsi="標楷體" w:hint="eastAsia"/>
                                <w:color w:val="000000"/>
                                <w:sz w:val="20"/>
                                <w:szCs w:val="20"/>
                              </w:rPr>
                              <w:t>中正區富水活動</w:t>
                            </w:r>
                            <w:proofErr w:type="gramEnd"/>
                            <w:r w:rsidRPr="008F70FD">
                              <w:rPr>
                                <w:rFonts w:ascii="標楷體" w:eastAsia="標楷體" w:hAnsi="標楷體" w:hint="eastAsia"/>
                                <w:color w:val="000000"/>
                                <w:sz w:val="20"/>
                                <w:szCs w:val="20"/>
                              </w:rPr>
                              <w:t>中心</w:t>
                            </w:r>
                          </w:p>
                        </w:tc>
                        <w:tc>
                          <w:tcPr>
                            <w:tcW w:w="1077" w:type="dxa"/>
                            <w:vAlign w:val="center"/>
                          </w:tcPr>
                          <w:p w14:paraId="0EF8E723"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2D467FD8" w14:textId="77777777" w:rsidTr="008F70FD">
                        <w:tc>
                          <w:tcPr>
                            <w:tcW w:w="510" w:type="dxa"/>
                            <w:vAlign w:val="center"/>
                          </w:tcPr>
                          <w:p w14:paraId="79A559A4"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4</w:t>
                            </w:r>
                          </w:p>
                        </w:tc>
                        <w:tc>
                          <w:tcPr>
                            <w:tcW w:w="2041" w:type="dxa"/>
                            <w:vAlign w:val="center"/>
                          </w:tcPr>
                          <w:p w14:paraId="576CD081"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公園派出所</w:t>
                            </w:r>
                          </w:p>
                        </w:tc>
                        <w:tc>
                          <w:tcPr>
                            <w:tcW w:w="1077" w:type="dxa"/>
                            <w:vAlign w:val="center"/>
                          </w:tcPr>
                          <w:p w14:paraId="0487BC4F"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664FD533"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8</w:t>
                            </w:r>
                          </w:p>
                        </w:tc>
                        <w:tc>
                          <w:tcPr>
                            <w:tcW w:w="2041" w:type="dxa"/>
                            <w:vAlign w:val="center"/>
                          </w:tcPr>
                          <w:p w14:paraId="1FB2EFB4"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中正區幸市活動中心</w:t>
                            </w:r>
                          </w:p>
                        </w:tc>
                        <w:tc>
                          <w:tcPr>
                            <w:tcW w:w="1077" w:type="dxa"/>
                            <w:vAlign w:val="center"/>
                          </w:tcPr>
                          <w:p w14:paraId="2EA28EA1"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73CB5536" w14:textId="77777777" w:rsidTr="008F70FD">
                        <w:tc>
                          <w:tcPr>
                            <w:tcW w:w="510" w:type="dxa"/>
                            <w:vAlign w:val="center"/>
                          </w:tcPr>
                          <w:p w14:paraId="04A354A5"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5</w:t>
                            </w:r>
                          </w:p>
                        </w:tc>
                        <w:tc>
                          <w:tcPr>
                            <w:tcW w:w="2041" w:type="dxa"/>
                            <w:vAlign w:val="center"/>
                          </w:tcPr>
                          <w:p w14:paraId="08F2E2E2"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浩然敬老院</w:t>
                            </w:r>
                          </w:p>
                        </w:tc>
                        <w:tc>
                          <w:tcPr>
                            <w:tcW w:w="1077" w:type="dxa"/>
                            <w:vAlign w:val="center"/>
                          </w:tcPr>
                          <w:p w14:paraId="68F6C0A1"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5D48DA1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9</w:t>
                            </w:r>
                          </w:p>
                        </w:tc>
                        <w:tc>
                          <w:tcPr>
                            <w:tcW w:w="2041" w:type="dxa"/>
                            <w:vAlign w:val="center"/>
                          </w:tcPr>
                          <w:p w14:paraId="4EE3C35A"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內湖區陽光活動中心</w:t>
                            </w:r>
                          </w:p>
                        </w:tc>
                        <w:tc>
                          <w:tcPr>
                            <w:tcW w:w="1077" w:type="dxa"/>
                            <w:vAlign w:val="center"/>
                          </w:tcPr>
                          <w:p w14:paraId="12CA3E79"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79ED8AB0" w14:textId="77777777" w:rsidTr="008F70FD">
                        <w:tc>
                          <w:tcPr>
                            <w:tcW w:w="510" w:type="dxa"/>
                            <w:vAlign w:val="center"/>
                          </w:tcPr>
                          <w:p w14:paraId="5A90EDBB"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6</w:t>
                            </w:r>
                          </w:p>
                        </w:tc>
                        <w:tc>
                          <w:tcPr>
                            <w:tcW w:w="2041" w:type="dxa"/>
                            <w:vAlign w:val="center"/>
                          </w:tcPr>
                          <w:p w14:paraId="04FCF52E"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關渡派出所</w:t>
                            </w:r>
                          </w:p>
                        </w:tc>
                        <w:tc>
                          <w:tcPr>
                            <w:tcW w:w="1077" w:type="dxa"/>
                            <w:vAlign w:val="center"/>
                          </w:tcPr>
                          <w:p w14:paraId="77569BCE"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50A43395"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0</w:t>
                            </w:r>
                          </w:p>
                        </w:tc>
                        <w:tc>
                          <w:tcPr>
                            <w:tcW w:w="2041" w:type="dxa"/>
                            <w:vAlign w:val="center"/>
                          </w:tcPr>
                          <w:p w14:paraId="465BBDCF"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內湖區紫星活動中心</w:t>
                            </w:r>
                          </w:p>
                        </w:tc>
                        <w:tc>
                          <w:tcPr>
                            <w:tcW w:w="1077" w:type="dxa"/>
                            <w:vAlign w:val="center"/>
                          </w:tcPr>
                          <w:p w14:paraId="488D9081"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4D1DB7AE" w14:textId="77777777" w:rsidTr="008F70FD">
                        <w:tc>
                          <w:tcPr>
                            <w:tcW w:w="510" w:type="dxa"/>
                            <w:vAlign w:val="center"/>
                          </w:tcPr>
                          <w:p w14:paraId="28EE7C5F"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7</w:t>
                            </w:r>
                          </w:p>
                        </w:tc>
                        <w:tc>
                          <w:tcPr>
                            <w:tcW w:w="2041" w:type="dxa"/>
                            <w:vAlign w:val="center"/>
                          </w:tcPr>
                          <w:p w14:paraId="60261ADB"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景美市場</w:t>
                            </w:r>
                          </w:p>
                        </w:tc>
                        <w:tc>
                          <w:tcPr>
                            <w:tcW w:w="1077" w:type="dxa"/>
                            <w:vAlign w:val="center"/>
                          </w:tcPr>
                          <w:p w14:paraId="30E1354D"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有登載</w:t>
                            </w:r>
                          </w:p>
                        </w:tc>
                        <w:tc>
                          <w:tcPr>
                            <w:tcW w:w="510" w:type="dxa"/>
                            <w:vAlign w:val="center"/>
                          </w:tcPr>
                          <w:p w14:paraId="4AC69A79"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1</w:t>
                            </w:r>
                          </w:p>
                        </w:tc>
                        <w:tc>
                          <w:tcPr>
                            <w:tcW w:w="2041" w:type="dxa"/>
                            <w:vAlign w:val="center"/>
                          </w:tcPr>
                          <w:p w14:paraId="4020E315"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文山區忠順活動中心</w:t>
                            </w:r>
                          </w:p>
                        </w:tc>
                        <w:tc>
                          <w:tcPr>
                            <w:tcW w:w="1077" w:type="dxa"/>
                            <w:vAlign w:val="center"/>
                          </w:tcPr>
                          <w:p w14:paraId="48B46F46"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0060594E" w14:textId="77777777" w:rsidTr="008F70FD">
                        <w:tc>
                          <w:tcPr>
                            <w:tcW w:w="510" w:type="dxa"/>
                            <w:vAlign w:val="center"/>
                          </w:tcPr>
                          <w:p w14:paraId="081C739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8</w:t>
                            </w:r>
                          </w:p>
                        </w:tc>
                        <w:tc>
                          <w:tcPr>
                            <w:tcW w:w="2041" w:type="dxa"/>
                            <w:vAlign w:val="center"/>
                          </w:tcPr>
                          <w:p w14:paraId="468B387A"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南湖國小</w:t>
                            </w:r>
                          </w:p>
                        </w:tc>
                        <w:tc>
                          <w:tcPr>
                            <w:tcW w:w="1077" w:type="dxa"/>
                            <w:vAlign w:val="center"/>
                          </w:tcPr>
                          <w:p w14:paraId="66028B3E"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0AA4AB15"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2</w:t>
                            </w:r>
                          </w:p>
                        </w:tc>
                        <w:tc>
                          <w:tcPr>
                            <w:tcW w:w="2041" w:type="dxa"/>
                            <w:vAlign w:val="center"/>
                          </w:tcPr>
                          <w:p w14:paraId="6A440B22"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文山區萬芳活動中心</w:t>
                            </w:r>
                          </w:p>
                        </w:tc>
                        <w:tc>
                          <w:tcPr>
                            <w:tcW w:w="1077" w:type="dxa"/>
                            <w:vAlign w:val="center"/>
                          </w:tcPr>
                          <w:p w14:paraId="4F6C14A2"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55F39A5A" w14:textId="77777777" w:rsidTr="008F70FD">
                        <w:tc>
                          <w:tcPr>
                            <w:tcW w:w="510" w:type="dxa"/>
                            <w:vAlign w:val="center"/>
                          </w:tcPr>
                          <w:p w14:paraId="0B4EBFA2"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9</w:t>
                            </w:r>
                          </w:p>
                        </w:tc>
                        <w:tc>
                          <w:tcPr>
                            <w:tcW w:w="2041" w:type="dxa"/>
                            <w:vAlign w:val="center"/>
                          </w:tcPr>
                          <w:p w14:paraId="671A6977" w14:textId="77777777" w:rsidR="00FA0A75" w:rsidRPr="008F70FD" w:rsidRDefault="00FA0A75" w:rsidP="008F70FD">
                            <w:pPr>
                              <w:spacing w:line="240" w:lineRule="exact"/>
                              <w:rPr>
                                <w:sz w:val="20"/>
                                <w:szCs w:val="20"/>
                              </w:rPr>
                            </w:pPr>
                            <w:proofErr w:type="gramStart"/>
                            <w:r w:rsidRPr="008F70FD">
                              <w:rPr>
                                <w:rFonts w:ascii="標楷體" w:eastAsia="標楷體" w:hAnsi="標楷體" w:hint="eastAsia"/>
                                <w:color w:val="000000"/>
                                <w:sz w:val="20"/>
                                <w:szCs w:val="20"/>
                              </w:rPr>
                              <w:t>士林區舊佳活動</w:t>
                            </w:r>
                            <w:proofErr w:type="gramEnd"/>
                            <w:r w:rsidRPr="008F70FD">
                              <w:rPr>
                                <w:rFonts w:ascii="標楷體" w:eastAsia="標楷體" w:hAnsi="標楷體" w:hint="eastAsia"/>
                                <w:color w:val="000000"/>
                                <w:sz w:val="20"/>
                                <w:szCs w:val="20"/>
                              </w:rPr>
                              <w:t>中心</w:t>
                            </w:r>
                          </w:p>
                        </w:tc>
                        <w:tc>
                          <w:tcPr>
                            <w:tcW w:w="1077" w:type="dxa"/>
                            <w:vAlign w:val="center"/>
                          </w:tcPr>
                          <w:p w14:paraId="7B4CEA9C"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50D16545"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3</w:t>
                            </w:r>
                          </w:p>
                        </w:tc>
                        <w:tc>
                          <w:tcPr>
                            <w:tcW w:w="2041" w:type="dxa"/>
                            <w:vAlign w:val="center"/>
                          </w:tcPr>
                          <w:p w14:paraId="0C26F8FD"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文山區景行活動中心</w:t>
                            </w:r>
                          </w:p>
                        </w:tc>
                        <w:tc>
                          <w:tcPr>
                            <w:tcW w:w="1077" w:type="dxa"/>
                            <w:vAlign w:val="center"/>
                          </w:tcPr>
                          <w:p w14:paraId="4E2AAB1F"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29473CC1" w14:textId="77777777" w:rsidTr="008F70FD">
                        <w:tc>
                          <w:tcPr>
                            <w:tcW w:w="510" w:type="dxa"/>
                            <w:vAlign w:val="center"/>
                          </w:tcPr>
                          <w:p w14:paraId="7D756394"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0</w:t>
                            </w:r>
                          </w:p>
                        </w:tc>
                        <w:tc>
                          <w:tcPr>
                            <w:tcW w:w="2041" w:type="dxa"/>
                            <w:vAlign w:val="center"/>
                          </w:tcPr>
                          <w:p w14:paraId="1B7A32C2"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士林區福林活動中心</w:t>
                            </w:r>
                          </w:p>
                        </w:tc>
                        <w:tc>
                          <w:tcPr>
                            <w:tcW w:w="1077" w:type="dxa"/>
                            <w:vAlign w:val="center"/>
                          </w:tcPr>
                          <w:p w14:paraId="39F9F80C"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45ADA75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4</w:t>
                            </w:r>
                          </w:p>
                        </w:tc>
                        <w:tc>
                          <w:tcPr>
                            <w:tcW w:w="2041" w:type="dxa"/>
                            <w:vAlign w:val="center"/>
                          </w:tcPr>
                          <w:p w14:paraId="31F9C3A5"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松山區安平活動中心</w:t>
                            </w:r>
                          </w:p>
                        </w:tc>
                        <w:tc>
                          <w:tcPr>
                            <w:tcW w:w="1077" w:type="dxa"/>
                            <w:vAlign w:val="center"/>
                          </w:tcPr>
                          <w:p w14:paraId="55D36143"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79D215C5" w14:textId="77777777" w:rsidTr="008F70FD">
                        <w:tc>
                          <w:tcPr>
                            <w:tcW w:w="510" w:type="dxa"/>
                            <w:vAlign w:val="center"/>
                          </w:tcPr>
                          <w:p w14:paraId="2CF283CB"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1</w:t>
                            </w:r>
                          </w:p>
                        </w:tc>
                        <w:tc>
                          <w:tcPr>
                            <w:tcW w:w="2041" w:type="dxa"/>
                            <w:vAlign w:val="center"/>
                          </w:tcPr>
                          <w:p w14:paraId="6EB6C7C1"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士林區臨溪活動中心</w:t>
                            </w:r>
                          </w:p>
                        </w:tc>
                        <w:tc>
                          <w:tcPr>
                            <w:tcW w:w="1077" w:type="dxa"/>
                            <w:vAlign w:val="center"/>
                          </w:tcPr>
                          <w:p w14:paraId="751A1C1D"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05B57F0C"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5</w:t>
                            </w:r>
                          </w:p>
                        </w:tc>
                        <w:tc>
                          <w:tcPr>
                            <w:tcW w:w="2041" w:type="dxa"/>
                            <w:vAlign w:val="center"/>
                          </w:tcPr>
                          <w:p w14:paraId="1ED7A23D"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南港區九如活動中心</w:t>
                            </w:r>
                          </w:p>
                        </w:tc>
                        <w:tc>
                          <w:tcPr>
                            <w:tcW w:w="1077" w:type="dxa"/>
                            <w:vAlign w:val="center"/>
                          </w:tcPr>
                          <w:p w14:paraId="5177BE73"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6CEB835D" w14:textId="77777777" w:rsidTr="008F70FD">
                        <w:tc>
                          <w:tcPr>
                            <w:tcW w:w="510" w:type="dxa"/>
                            <w:vAlign w:val="center"/>
                          </w:tcPr>
                          <w:p w14:paraId="0B9A1829"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2</w:t>
                            </w:r>
                          </w:p>
                        </w:tc>
                        <w:tc>
                          <w:tcPr>
                            <w:tcW w:w="2041" w:type="dxa"/>
                            <w:vAlign w:val="center"/>
                          </w:tcPr>
                          <w:p w14:paraId="319D9E75"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士林區承德活動中心</w:t>
                            </w:r>
                          </w:p>
                        </w:tc>
                        <w:tc>
                          <w:tcPr>
                            <w:tcW w:w="1077" w:type="dxa"/>
                            <w:vAlign w:val="center"/>
                          </w:tcPr>
                          <w:p w14:paraId="06D4C5E0"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vAlign w:val="center"/>
                          </w:tcPr>
                          <w:p w14:paraId="2BB7CDE9" w14:textId="77777777" w:rsidR="00FA0A75" w:rsidRPr="008F70FD" w:rsidRDefault="00FA0A75" w:rsidP="00952955">
                            <w:pPr>
                              <w:spacing w:line="240" w:lineRule="exact"/>
                              <w:jc w:val="center"/>
                              <w:rPr>
                                <w:sz w:val="20"/>
                                <w:szCs w:val="20"/>
                              </w:rPr>
                            </w:pPr>
                            <w:r w:rsidRPr="008F70FD">
                              <w:rPr>
                                <w:rFonts w:ascii="標楷體" w:eastAsia="標楷體" w:hAnsi="標楷體"/>
                                <w:color w:val="000000"/>
                                <w:sz w:val="20"/>
                                <w:szCs w:val="20"/>
                              </w:rPr>
                              <w:t>26</w:t>
                            </w:r>
                          </w:p>
                        </w:tc>
                        <w:tc>
                          <w:tcPr>
                            <w:tcW w:w="2041" w:type="dxa"/>
                            <w:vAlign w:val="center"/>
                          </w:tcPr>
                          <w:p w14:paraId="45632B93"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南港區三重活動中心</w:t>
                            </w:r>
                          </w:p>
                        </w:tc>
                        <w:tc>
                          <w:tcPr>
                            <w:tcW w:w="1077" w:type="dxa"/>
                            <w:vAlign w:val="center"/>
                          </w:tcPr>
                          <w:p w14:paraId="088B8EA2"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279B5782" w14:textId="77777777" w:rsidTr="00ED75C9">
                        <w:tc>
                          <w:tcPr>
                            <w:tcW w:w="510" w:type="dxa"/>
                            <w:tcBorders>
                              <w:bottom w:val="single" w:sz="4" w:space="0" w:color="auto"/>
                            </w:tcBorders>
                            <w:vAlign w:val="center"/>
                          </w:tcPr>
                          <w:p w14:paraId="221B6E90"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3</w:t>
                            </w:r>
                          </w:p>
                        </w:tc>
                        <w:tc>
                          <w:tcPr>
                            <w:tcW w:w="2041" w:type="dxa"/>
                            <w:tcBorders>
                              <w:bottom w:val="single" w:sz="4" w:space="0" w:color="auto"/>
                            </w:tcBorders>
                            <w:vAlign w:val="center"/>
                          </w:tcPr>
                          <w:p w14:paraId="116D53D2"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士林區陽明活動中心</w:t>
                            </w:r>
                          </w:p>
                        </w:tc>
                        <w:tc>
                          <w:tcPr>
                            <w:tcW w:w="1077" w:type="dxa"/>
                            <w:tcBorders>
                              <w:bottom w:val="single" w:sz="4" w:space="0" w:color="auto"/>
                            </w:tcBorders>
                            <w:vAlign w:val="center"/>
                          </w:tcPr>
                          <w:p w14:paraId="2A355A09"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510" w:type="dxa"/>
                            <w:tcBorders>
                              <w:bottom w:val="single" w:sz="4" w:space="0" w:color="auto"/>
                            </w:tcBorders>
                            <w:vAlign w:val="center"/>
                          </w:tcPr>
                          <w:p w14:paraId="5BCBCE54"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2</w:t>
                            </w:r>
                            <w:r w:rsidRPr="008F70FD">
                              <w:rPr>
                                <w:rFonts w:ascii="標楷體" w:eastAsia="標楷體" w:hAnsi="標楷體"/>
                                <w:color w:val="000000"/>
                                <w:sz w:val="20"/>
                                <w:szCs w:val="20"/>
                              </w:rPr>
                              <w:t>7</w:t>
                            </w:r>
                          </w:p>
                        </w:tc>
                        <w:tc>
                          <w:tcPr>
                            <w:tcW w:w="2041" w:type="dxa"/>
                            <w:tcBorders>
                              <w:bottom w:val="single" w:sz="4" w:space="0" w:color="auto"/>
                            </w:tcBorders>
                            <w:vAlign w:val="center"/>
                          </w:tcPr>
                          <w:p w14:paraId="34B75C29"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萬華區青山活動中心</w:t>
                            </w:r>
                          </w:p>
                        </w:tc>
                        <w:tc>
                          <w:tcPr>
                            <w:tcW w:w="1077" w:type="dxa"/>
                            <w:tcBorders>
                              <w:bottom w:val="single" w:sz="4" w:space="0" w:color="auto"/>
                            </w:tcBorders>
                            <w:vAlign w:val="center"/>
                          </w:tcPr>
                          <w:p w14:paraId="79575D18"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r>
                      <w:tr w:rsidR="00FA0A75" w:rsidRPr="008F70FD" w14:paraId="4F037870" w14:textId="77777777" w:rsidTr="00ED75C9">
                        <w:tc>
                          <w:tcPr>
                            <w:tcW w:w="510" w:type="dxa"/>
                            <w:tcBorders>
                              <w:bottom w:val="single" w:sz="4" w:space="0" w:color="auto"/>
                            </w:tcBorders>
                            <w:vAlign w:val="center"/>
                          </w:tcPr>
                          <w:p w14:paraId="0D78DE63"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1</w:t>
                            </w:r>
                            <w:r w:rsidRPr="008F70FD">
                              <w:rPr>
                                <w:rFonts w:ascii="標楷體" w:eastAsia="標楷體" w:hAnsi="標楷體"/>
                                <w:color w:val="000000"/>
                                <w:sz w:val="20"/>
                                <w:szCs w:val="20"/>
                              </w:rPr>
                              <w:t>4</w:t>
                            </w:r>
                          </w:p>
                        </w:tc>
                        <w:tc>
                          <w:tcPr>
                            <w:tcW w:w="2041" w:type="dxa"/>
                            <w:tcBorders>
                              <w:bottom w:val="single" w:sz="4" w:space="0" w:color="auto"/>
                            </w:tcBorders>
                            <w:vAlign w:val="center"/>
                          </w:tcPr>
                          <w:p w14:paraId="70F82C5E" w14:textId="77777777" w:rsidR="00FA0A75" w:rsidRPr="008F70FD" w:rsidRDefault="00FA0A75" w:rsidP="008F70FD">
                            <w:pPr>
                              <w:spacing w:line="240" w:lineRule="exact"/>
                              <w:rPr>
                                <w:sz w:val="20"/>
                                <w:szCs w:val="20"/>
                              </w:rPr>
                            </w:pPr>
                            <w:r w:rsidRPr="008F70FD">
                              <w:rPr>
                                <w:rFonts w:ascii="標楷體" w:eastAsia="標楷體" w:hAnsi="標楷體" w:hint="eastAsia"/>
                                <w:color w:val="000000"/>
                                <w:sz w:val="20"/>
                                <w:szCs w:val="20"/>
                              </w:rPr>
                              <w:t>大安區嘉興活動中心</w:t>
                            </w:r>
                          </w:p>
                        </w:tc>
                        <w:tc>
                          <w:tcPr>
                            <w:tcW w:w="1077" w:type="dxa"/>
                            <w:tcBorders>
                              <w:bottom w:val="single" w:sz="4" w:space="0" w:color="auto"/>
                            </w:tcBorders>
                            <w:vAlign w:val="center"/>
                          </w:tcPr>
                          <w:p w14:paraId="7BCAF906" w14:textId="77777777" w:rsidR="00FA0A75" w:rsidRPr="008F70FD" w:rsidRDefault="00FA0A75" w:rsidP="00952955">
                            <w:pPr>
                              <w:spacing w:line="240" w:lineRule="exact"/>
                              <w:jc w:val="center"/>
                              <w:rPr>
                                <w:sz w:val="20"/>
                                <w:szCs w:val="20"/>
                              </w:rPr>
                            </w:pPr>
                            <w:r w:rsidRPr="008F70FD">
                              <w:rPr>
                                <w:rFonts w:ascii="標楷體" w:eastAsia="標楷體" w:hAnsi="標楷體" w:hint="eastAsia"/>
                                <w:color w:val="000000"/>
                                <w:sz w:val="20"/>
                                <w:szCs w:val="20"/>
                              </w:rPr>
                              <w:t>未登載</w:t>
                            </w:r>
                          </w:p>
                        </w:tc>
                        <w:tc>
                          <w:tcPr>
                            <w:tcW w:w="3628" w:type="dxa"/>
                            <w:gridSpan w:val="3"/>
                            <w:tcBorders>
                              <w:bottom w:val="single" w:sz="4" w:space="0" w:color="auto"/>
                              <w:tl2br w:val="single" w:sz="4" w:space="0" w:color="auto"/>
                            </w:tcBorders>
                          </w:tcPr>
                          <w:p w14:paraId="34C04428" w14:textId="77777777" w:rsidR="00FA0A75" w:rsidRPr="008F70FD" w:rsidRDefault="00FA0A75" w:rsidP="008F70FD">
                            <w:pPr>
                              <w:spacing w:line="240" w:lineRule="exact"/>
                              <w:rPr>
                                <w:sz w:val="20"/>
                                <w:szCs w:val="20"/>
                              </w:rPr>
                            </w:pPr>
                          </w:p>
                        </w:tc>
                      </w:tr>
                      <w:tr w:rsidR="00FA0A75" w:rsidRPr="008F70FD" w14:paraId="7EF6DF8B" w14:textId="77777777" w:rsidTr="00ED75C9">
                        <w:tc>
                          <w:tcPr>
                            <w:tcW w:w="7256" w:type="dxa"/>
                            <w:gridSpan w:val="6"/>
                            <w:tcBorders>
                              <w:top w:val="single" w:sz="4" w:space="0" w:color="auto"/>
                              <w:left w:val="nil"/>
                              <w:bottom w:val="nil"/>
                              <w:right w:val="nil"/>
                            </w:tcBorders>
                            <w:vAlign w:val="center"/>
                          </w:tcPr>
                          <w:p w14:paraId="53304C95" w14:textId="77777777" w:rsidR="00FA0A75" w:rsidRPr="008F70FD" w:rsidRDefault="00FA0A75" w:rsidP="00ED75C9">
                            <w:pPr>
                              <w:spacing w:line="240" w:lineRule="exact"/>
                              <w:ind w:leftChars="-50" w:left="-120"/>
                              <w:jc w:val="both"/>
                              <w:rPr>
                                <w:sz w:val="20"/>
                                <w:szCs w:val="20"/>
                              </w:rPr>
                            </w:pPr>
                            <w:r w:rsidRPr="00F956D0">
                              <w:rPr>
                                <w:rFonts w:ascii="標楷體" w:eastAsia="標楷體" w:hAnsi="標楷體" w:hint="eastAsia"/>
                                <w:color w:val="000000"/>
                                <w:sz w:val="18"/>
                                <w:szCs w:val="18"/>
                              </w:rPr>
                              <w:t>資料來源：整理自</w:t>
                            </w:r>
                            <w:proofErr w:type="gramStart"/>
                            <w:r w:rsidRPr="00F956D0">
                              <w:rPr>
                                <w:rFonts w:ascii="標楷體" w:eastAsia="標楷體" w:hAnsi="標楷體" w:hint="eastAsia"/>
                                <w:color w:val="000000"/>
                                <w:sz w:val="18"/>
                                <w:szCs w:val="18"/>
                              </w:rPr>
                              <w:t>臺</w:t>
                            </w:r>
                            <w:proofErr w:type="gramEnd"/>
                            <w:r w:rsidRPr="00F956D0">
                              <w:rPr>
                                <w:rFonts w:ascii="標楷體" w:eastAsia="標楷體" w:hAnsi="標楷體" w:hint="eastAsia"/>
                                <w:color w:val="000000"/>
                                <w:sz w:val="18"/>
                                <w:szCs w:val="18"/>
                              </w:rPr>
                              <w:t>北資料大平</w:t>
                            </w:r>
                            <w:proofErr w:type="gramStart"/>
                            <w:r w:rsidRPr="00F956D0">
                              <w:rPr>
                                <w:rFonts w:ascii="標楷體" w:eastAsia="標楷體" w:hAnsi="標楷體" w:hint="eastAsia"/>
                                <w:color w:val="000000"/>
                                <w:sz w:val="18"/>
                                <w:szCs w:val="18"/>
                              </w:rPr>
                              <w:t>臺</w:t>
                            </w:r>
                            <w:proofErr w:type="gramEnd"/>
                            <w:r w:rsidRPr="00F956D0">
                              <w:rPr>
                                <w:rFonts w:ascii="標楷體" w:eastAsia="標楷體" w:hAnsi="標楷體" w:hint="eastAsia"/>
                                <w:color w:val="000000"/>
                                <w:sz w:val="18"/>
                                <w:szCs w:val="18"/>
                              </w:rPr>
                              <w:t>、</w:t>
                            </w:r>
                            <w:r>
                              <w:rPr>
                                <w:rFonts w:ascii="標楷體" w:eastAsia="標楷體" w:hAnsi="標楷體" w:hint="eastAsia"/>
                                <w:color w:val="000000"/>
                                <w:sz w:val="18"/>
                                <w:szCs w:val="18"/>
                              </w:rPr>
                              <w:t>臺北市</w:t>
                            </w:r>
                            <w:r w:rsidRPr="00F956D0">
                              <w:rPr>
                                <w:rFonts w:ascii="標楷體" w:eastAsia="標楷體" w:hAnsi="標楷體" w:hint="eastAsia"/>
                                <w:color w:val="000000"/>
                                <w:sz w:val="18"/>
                                <w:szCs w:val="18"/>
                              </w:rPr>
                              <w:t>市場處等網站，及衛生下水道工程處提供資料。</w:t>
                            </w:r>
                          </w:p>
                        </w:tc>
                      </w:tr>
                    </w:tbl>
                    <w:p w14:paraId="5FEADB85" w14:textId="77777777" w:rsidR="00FA0A75" w:rsidRDefault="00FA0A75" w:rsidP="00FA0A75"/>
                  </w:txbxContent>
                </v:textbox>
                <w10:wrap type="tight"/>
              </v:shape>
            </w:pict>
          </mc:Fallback>
        </mc:AlternateContent>
      </w:r>
      <w:r w:rsidR="00D74004" w:rsidRPr="00347BE9">
        <w:rPr>
          <w:rFonts w:ascii="標楷體" w:eastAsia="標楷體" w:hAnsi="標楷體" w:cs="Times New Roman" w:hint="eastAsia"/>
          <w:kern w:val="0"/>
          <w:szCs w:val="24"/>
        </w:rPr>
        <w:t>依下水道法施行細則第17條規定略</w:t>
      </w:r>
      <w:proofErr w:type="gramStart"/>
      <w:r w:rsidR="00D74004" w:rsidRPr="00347BE9">
        <w:rPr>
          <w:rFonts w:ascii="標楷體" w:eastAsia="標楷體" w:hAnsi="標楷體" w:cs="Times New Roman" w:hint="eastAsia"/>
          <w:kern w:val="0"/>
          <w:szCs w:val="24"/>
        </w:rPr>
        <w:t>以</w:t>
      </w:r>
      <w:proofErr w:type="gramEnd"/>
      <w:r w:rsidR="00D74004" w:rsidRPr="00347BE9">
        <w:rPr>
          <w:rFonts w:ascii="標楷體" w:eastAsia="標楷體" w:hAnsi="標楷體" w:cs="Times New Roman" w:hint="eastAsia"/>
          <w:kern w:val="0"/>
          <w:szCs w:val="24"/>
        </w:rPr>
        <w:t>，下水道可使用之地區，其用戶應於公告開始使用之日起6個月內與下水道完成聯接使用。經查衛生下水道工程處（下稱衛工處</w:t>
      </w:r>
      <w:r w:rsidR="00D74004">
        <w:rPr>
          <w:rFonts w:ascii="標楷體" w:eastAsia="標楷體" w:hAnsi="標楷體" w:cs="Times New Roman" w:hint="eastAsia"/>
          <w:kern w:val="0"/>
          <w:szCs w:val="24"/>
        </w:rPr>
        <w:t>）</w:t>
      </w:r>
      <w:r w:rsidR="00D74004" w:rsidRPr="00347BE9">
        <w:rPr>
          <w:rFonts w:ascii="標楷體" w:eastAsia="標楷體" w:hAnsi="標楷體" w:cs="Times New Roman" w:hint="eastAsia"/>
          <w:kern w:val="0"/>
          <w:szCs w:val="24"/>
        </w:rPr>
        <w:t>於</w:t>
      </w:r>
      <w:proofErr w:type="gramStart"/>
      <w:r w:rsidR="00D74004" w:rsidRPr="00347BE9">
        <w:rPr>
          <w:rFonts w:ascii="標楷體" w:eastAsia="標楷體" w:hAnsi="標楷體" w:cs="Times New Roman" w:hint="eastAsia"/>
          <w:kern w:val="0"/>
          <w:szCs w:val="24"/>
        </w:rPr>
        <w:t>105</w:t>
      </w:r>
      <w:proofErr w:type="gramEnd"/>
      <w:r w:rsidR="00D74004" w:rsidRPr="00347BE9">
        <w:rPr>
          <w:rFonts w:ascii="標楷體" w:eastAsia="標楷體" w:hAnsi="標楷體" w:cs="Times New Roman" w:hint="eastAsia"/>
          <w:kern w:val="0"/>
          <w:szCs w:val="24"/>
        </w:rPr>
        <w:t>年度提出「臺北市污水下水道後續發展方案先期規劃」等作為推動臺北市污水下水道建設藍圖及方向指引，預計於121年達成接管普及率為90.00％以上之目標。有關臺北市政府所屬公務機關污水下水道接管情形，核有臺北市政府消防局第四救災救護大隊北投中隊石牌分隊等19個機關單位尚</w:t>
      </w:r>
      <w:r w:rsidR="00326B6F" w:rsidRPr="00326B6F">
        <w:rPr>
          <w:rFonts w:ascii="標楷體" w:eastAsia="標楷體" w:hAnsi="標楷體" w:cs="Times New Roman" w:hint="eastAsia"/>
          <w:spacing w:val="2"/>
          <w:kern w:val="0"/>
          <w:szCs w:val="24"/>
        </w:rPr>
        <w:t>未</w:t>
      </w:r>
      <w:r w:rsidR="00D74004" w:rsidRPr="00326B6F">
        <w:rPr>
          <w:rFonts w:ascii="標楷體" w:eastAsia="標楷體" w:hAnsi="標楷體" w:cs="Times New Roman" w:hint="eastAsia"/>
          <w:spacing w:val="2"/>
          <w:kern w:val="0"/>
          <w:szCs w:val="24"/>
        </w:rPr>
        <w:t>完成聯接使用等情事，前經本處函請該處檢討改進，據復：6個機關單位已完成接管；7個機關單位</w:t>
      </w:r>
      <w:proofErr w:type="gramStart"/>
      <w:r w:rsidR="00D74004" w:rsidRPr="00326B6F">
        <w:rPr>
          <w:rFonts w:ascii="標楷體" w:eastAsia="標楷體" w:hAnsi="標楷體" w:cs="Times New Roman" w:hint="eastAsia"/>
          <w:spacing w:val="2"/>
          <w:kern w:val="0"/>
          <w:szCs w:val="24"/>
        </w:rPr>
        <w:t>自行錄案接管</w:t>
      </w:r>
      <w:proofErr w:type="gramEnd"/>
      <w:r w:rsidR="00D74004" w:rsidRPr="00326B6F">
        <w:rPr>
          <w:rFonts w:ascii="標楷體" w:eastAsia="標楷體" w:hAnsi="標楷體" w:cs="Times New Roman" w:hint="eastAsia"/>
          <w:spacing w:val="2"/>
          <w:kern w:val="0"/>
          <w:szCs w:val="24"/>
        </w:rPr>
        <w:t>；其餘6個機關單位，</w:t>
      </w:r>
      <w:proofErr w:type="gramStart"/>
      <w:r w:rsidR="00D74004" w:rsidRPr="00326B6F">
        <w:rPr>
          <w:rFonts w:ascii="標楷體" w:eastAsia="標楷體" w:hAnsi="標楷體" w:cs="Times New Roman" w:hint="eastAsia"/>
          <w:spacing w:val="2"/>
          <w:kern w:val="0"/>
          <w:szCs w:val="24"/>
        </w:rPr>
        <w:t>業發函</w:t>
      </w:r>
      <w:proofErr w:type="gramEnd"/>
      <w:r w:rsidR="00D74004" w:rsidRPr="00326B6F">
        <w:rPr>
          <w:rFonts w:ascii="標楷體" w:eastAsia="標楷體" w:hAnsi="標楷體" w:cs="Times New Roman" w:hint="eastAsia"/>
          <w:spacing w:val="2"/>
          <w:kern w:val="0"/>
          <w:szCs w:val="24"/>
        </w:rPr>
        <w:t>通知接管。</w:t>
      </w:r>
      <w:proofErr w:type="gramStart"/>
      <w:r w:rsidR="00D74004" w:rsidRPr="00326B6F">
        <w:rPr>
          <w:rFonts w:ascii="標楷體" w:eastAsia="標楷體" w:hAnsi="標楷體" w:cs="Times New Roman" w:hint="eastAsia"/>
          <w:spacing w:val="2"/>
          <w:kern w:val="0"/>
          <w:szCs w:val="24"/>
        </w:rPr>
        <w:t>嗣</w:t>
      </w:r>
      <w:proofErr w:type="gramEnd"/>
      <w:r w:rsidR="00D74004" w:rsidRPr="00326B6F">
        <w:rPr>
          <w:rFonts w:ascii="標楷體" w:eastAsia="標楷體" w:hAnsi="標楷體" w:cs="Times New Roman" w:hint="eastAsia"/>
          <w:spacing w:val="2"/>
          <w:kern w:val="0"/>
          <w:szCs w:val="24"/>
        </w:rPr>
        <w:t>經追蹤查核結果，南昌路派出所等6個機關單位（表</w:t>
      </w:r>
      <w:r w:rsidR="00D74004" w:rsidRPr="00326B6F">
        <w:rPr>
          <w:rFonts w:ascii="標楷體" w:eastAsia="標楷體" w:hAnsi="標楷體" w:cs="Times New Roman"/>
          <w:spacing w:val="2"/>
          <w:kern w:val="0"/>
          <w:szCs w:val="24"/>
        </w:rPr>
        <w:t>5</w:t>
      </w:r>
      <w:r w:rsidR="00D74004" w:rsidRPr="00326B6F">
        <w:rPr>
          <w:rFonts w:ascii="標楷體" w:eastAsia="標楷體" w:hAnsi="標楷體" w:cs="Times New Roman" w:hint="eastAsia"/>
          <w:spacing w:val="2"/>
          <w:kern w:val="0"/>
          <w:szCs w:val="24"/>
        </w:rPr>
        <w:t>，序號1至6），迄114年3月</w:t>
      </w:r>
    </w:p>
    <w:p w14:paraId="43AF5AC1" w14:textId="3E035635" w:rsidR="00D74004" w:rsidRPr="00DB2473" w:rsidRDefault="00D74004" w:rsidP="006501C5">
      <w:pPr>
        <w:widowControl/>
        <w:suppressAutoHyphens/>
        <w:overflowPunct w:val="0"/>
        <w:spacing w:beforeLines="30" w:before="108" w:line="490" w:lineRule="exact"/>
        <w:jc w:val="both"/>
        <w:rPr>
          <w:rFonts w:ascii="標楷體" w:eastAsia="標楷體" w:hAnsi="標楷體" w:cs="Times New Roman"/>
          <w:b/>
          <w:kern w:val="0"/>
          <w:sz w:val="28"/>
          <w:szCs w:val="28"/>
        </w:rPr>
      </w:pPr>
      <w:r w:rsidRPr="00347BE9">
        <w:rPr>
          <w:rFonts w:ascii="標楷體" w:eastAsia="標楷體" w:hAnsi="標楷體" w:cs="Times New Roman" w:hint="eastAsia"/>
          <w:kern w:val="0"/>
          <w:szCs w:val="24"/>
        </w:rPr>
        <w:lastRenderedPageBreak/>
        <w:t>7日仍未完成接管。另經運用衛工處所建置之「污水</w:t>
      </w:r>
      <w:proofErr w:type="gramStart"/>
      <w:r w:rsidRPr="00347BE9">
        <w:rPr>
          <w:rFonts w:ascii="標楷體" w:eastAsia="標楷體" w:hAnsi="標楷體" w:cs="Times New Roman" w:hint="eastAsia"/>
          <w:kern w:val="0"/>
          <w:szCs w:val="24"/>
        </w:rPr>
        <w:t>下水道圖資查詢</w:t>
      </w:r>
      <w:proofErr w:type="gramEnd"/>
      <w:r w:rsidRPr="00347BE9">
        <w:rPr>
          <w:rFonts w:ascii="標楷體" w:eastAsia="標楷體" w:hAnsi="標楷體" w:cs="Times New Roman" w:hint="eastAsia"/>
          <w:kern w:val="0"/>
          <w:szCs w:val="24"/>
        </w:rPr>
        <w:t>系統」查詢臺北市各區活動中心、各級學校及公有傳統市（商）場等處所之污水下水道接管情形，計有1所學校、19處活動中心、1處公有傳統市（商）場（表</w:t>
      </w:r>
      <w:r>
        <w:rPr>
          <w:rFonts w:ascii="標楷體" w:eastAsia="標楷體" w:hAnsi="標楷體" w:cs="Times New Roman" w:hint="eastAsia"/>
          <w:kern w:val="0"/>
          <w:szCs w:val="24"/>
        </w:rPr>
        <w:t>5</w:t>
      </w:r>
      <w:r w:rsidRPr="00347BE9">
        <w:rPr>
          <w:rFonts w:ascii="標楷體" w:eastAsia="標楷體" w:hAnsi="標楷體" w:cs="Times New Roman" w:hint="eastAsia"/>
          <w:kern w:val="0"/>
          <w:szCs w:val="24"/>
        </w:rPr>
        <w:t>，序號7至27），共計21個公有處所，位於公告下水道可使用之地區，截至114年3月7日止，尚未依規定期限完成污水下水道聯接使用。又上開27個公有處所或機關單位，計有25個公有處所</w:t>
      </w:r>
      <w:r w:rsidRPr="00E1493B">
        <w:rPr>
          <w:rFonts w:ascii="標楷體" w:eastAsia="標楷體" w:hAnsi="標楷體" w:cs="Times New Roman" w:hint="eastAsia"/>
          <w:kern w:val="0"/>
          <w:szCs w:val="24"/>
        </w:rPr>
        <w:t>或機關單位</w:t>
      </w:r>
      <w:proofErr w:type="gramStart"/>
      <w:r w:rsidRPr="00E1493B">
        <w:rPr>
          <w:rFonts w:ascii="標楷體" w:eastAsia="標楷體" w:hAnsi="標楷體" w:cs="Times New Roman" w:hint="eastAsia"/>
          <w:kern w:val="0"/>
          <w:szCs w:val="24"/>
        </w:rPr>
        <w:t>未納列於</w:t>
      </w:r>
      <w:proofErr w:type="gramEnd"/>
      <w:r w:rsidRPr="00E1493B">
        <w:rPr>
          <w:rFonts w:ascii="標楷體" w:eastAsia="標楷體" w:hAnsi="標楷體" w:cs="Times New Roman" w:hint="eastAsia"/>
          <w:kern w:val="0"/>
          <w:szCs w:val="24"/>
        </w:rPr>
        <w:t>該處未接管清冊，列管資料尚欠完整等情事，經函請檢討改善。據復：該</w:t>
      </w:r>
      <w:r w:rsidRPr="00347BE9">
        <w:rPr>
          <w:rFonts w:ascii="標楷體" w:eastAsia="標楷體" w:hAnsi="標楷體" w:cs="Times New Roman" w:hint="eastAsia"/>
          <w:kern w:val="0"/>
          <w:szCs w:val="24"/>
        </w:rPr>
        <w:t>27個機關、學校及公有處所，其中5個機關及學校預計於114至115年度施作或完成接管；2個機關於未來辦理都更重建；1處公有傳統市場，</w:t>
      </w:r>
      <w:proofErr w:type="gramStart"/>
      <w:r w:rsidRPr="00347BE9">
        <w:rPr>
          <w:rFonts w:ascii="標楷體" w:eastAsia="標楷體" w:hAnsi="標楷體" w:cs="Times New Roman" w:hint="eastAsia"/>
          <w:kern w:val="0"/>
          <w:szCs w:val="24"/>
        </w:rPr>
        <w:t>經試水結果</w:t>
      </w:r>
      <w:proofErr w:type="gramEnd"/>
      <w:r w:rsidRPr="00347BE9">
        <w:rPr>
          <w:rFonts w:ascii="標楷體" w:eastAsia="標楷體" w:hAnsi="標楷體" w:cs="Times New Roman" w:hint="eastAsia"/>
          <w:kern w:val="0"/>
          <w:szCs w:val="24"/>
        </w:rPr>
        <w:t>已完成接管，並補辦開徵污水下水道使用費；19處活動中心，已函請管理單位編列預算辦理接管。另因早期紙本建置有疏漏之虞，後續將清查整理未接管資料之正確性及完整性。</w:t>
      </w:r>
    </w:p>
    <w:p w14:paraId="39396E84" w14:textId="258E334D" w:rsidR="00D74004" w:rsidRDefault="00D74004" w:rsidP="00314635">
      <w:pPr>
        <w:widowControl/>
        <w:suppressAutoHyphens/>
        <w:overflowPunct w:val="0"/>
        <w:spacing w:beforeLines="50" w:before="180" w:afterLines="20" w:after="72" w:line="480" w:lineRule="exact"/>
        <w:ind w:firstLineChars="100" w:firstLine="280"/>
        <w:jc w:val="both"/>
        <w:rPr>
          <w:rFonts w:ascii="標楷體" w:eastAsia="標楷體" w:hAnsi="標楷體" w:cs="Times New Roman"/>
          <w:b/>
          <w:sz w:val="28"/>
          <w:szCs w:val="28"/>
        </w:rPr>
      </w:pPr>
      <w:r w:rsidRPr="00DB2473">
        <w:rPr>
          <w:rFonts w:ascii="標楷體" w:eastAsia="標楷體" w:hAnsi="標楷體" w:cs="Times New Roman" w:hint="eastAsia"/>
          <w:b/>
          <w:kern w:val="0"/>
          <w:sz w:val="28"/>
          <w:szCs w:val="28"/>
        </w:rPr>
        <w:t>（九）</w:t>
      </w:r>
      <w:r w:rsidRPr="00655740">
        <w:rPr>
          <w:rFonts w:ascii="標楷體" w:eastAsia="標楷體" w:hAnsi="標楷體" w:cs="Times New Roman" w:hint="eastAsia"/>
          <w:b/>
          <w:kern w:val="0"/>
          <w:sz w:val="28"/>
          <w:szCs w:val="28"/>
        </w:rPr>
        <w:t>委託廠商辦理污水</w:t>
      </w:r>
      <w:proofErr w:type="gramStart"/>
      <w:r w:rsidRPr="00655740">
        <w:rPr>
          <w:rFonts w:ascii="標楷體" w:eastAsia="標楷體" w:hAnsi="標楷體" w:cs="Times New Roman" w:hint="eastAsia"/>
          <w:b/>
          <w:kern w:val="0"/>
          <w:sz w:val="28"/>
          <w:szCs w:val="28"/>
        </w:rPr>
        <w:t>下水道試水作業</w:t>
      </w:r>
      <w:proofErr w:type="gramEnd"/>
      <w:r w:rsidRPr="00655740">
        <w:rPr>
          <w:rFonts w:ascii="標楷體" w:eastAsia="標楷體" w:hAnsi="標楷體" w:cs="Times New Roman" w:hint="eastAsia"/>
          <w:b/>
          <w:kern w:val="0"/>
          <w:sz w:val="28"/>
          <w:szCs w:val="28"/>
        </w:rPr>
        <w:t>，提升污水下水道使用費收費正確性，惟執行結果，對部分用戶未經核准更改管線致污水未排放至污水下水道者未限期責令改善，或未</w:t>
      </w:r>
      <w:proofErr w:type="gramStart"/>
      <w:r w:rsidRPr="00655740">
        <w:rPr>
          <w:rFonts w:ascii="標楷體" w:eastAsia="標楷體" w:hAnsi="標楷體" w:cs="Times New Roman" w:hint="eastAsia"/>
          <w:b/>
          <w:kern w:val="0"/>
          <w:sz w:val="28"/>
          <w:szCs w:val="28"/>
        </w:rPr>
        <w:t>依試水結果</w:t>
      </w:r>
      <w:proofErr w:type="gramEnd"/>
      <w:r w:rsidRPr="00655740">
        <w:rPr>
          <w:rFonts w:ascii="標楷體" w:eastAsia="標楷體" w:hAnsi="標楷體" w:cs="Times New Roman" w:hint="eastAsia"/>
          <w:b/>
          <w:kern w:val="0"/>
          <w:sz w:val="28"/>
          <w:szCs w:val="28"/>
        </w:rPr>
        <w:t>辦理開徵、停徵或退費事宜等情，亟待</w:t>
      </w:r>
      <w:proofErr w:type="gramStart"/>
      <w:r w:rsidRPr="00655740">
        <w:rPr>
          <w:rFonts w:ascii="標楷體" w:eastAsia="標楷體" w:hAnsi="標楷體" w:cs="Times New Roman" w:hint="eastAsia"/>
          <w:b/>
          <w:kern w:val="0"/>
          <w:sz w:val="28"/>
          <w:szCs w:val="28"/>
        </w:rPr>
        <w:t>檢討妥處</w:t>
      </w:r>
      <w:proofErr w:type="gramEnd"/>
      <w:r w:rsidRPr="00DB2473">
        <w:rPr>
          <w:rFonts w:ascii="標楷體" w:eastAsia="標楷體" w:hAnsi="標楷體" w:cs="Times New Roman" w:hint="eastAsia"/>
          <w:b/>
          <w:sz w:val="28"/>
          <w:szCs w:val="28"/>
        </w:rPr>
        <w:t>。</w:t>
      </w:r>
    </w:p>
    <w:bookmarkEnd w:id="49"/>
    <w:p w14:paraId="6B51849C" w14:textId="7DF7E9E4" w:rsidR="00D74004" w:rsidRPr="00E761E9" w:rsidRDefault="00D74004" w:rsidP="00314635">
      <w:pPr>
        <w:widowControl/>
        <w:tabs>
          <w:tab w:val="left" w:pos="1560"/>
        </w:tabs>
        <w:kinsoku w:val="0"/>
        <w:overflowPunct w:val="0"/>
        <w:spacing w:line="490" w:lineRule="exact"/>
        <w:ind w:firstLineChars="200" w:firstLine="480"/>
        <w:jc w:val="both"/>
        <w:rPr>
          <w:rFonts w:ascii="標楷體" w:eastAsia="標楷體" w:hAnsi="標楷體" w:cs="Times New Roman"/>
          <w:b/>
          <w:kern w:val="0"/>
          <w:sz w:val="28"/>
          <w:szCs w:val="28"/>
        </w:rPr>
      </w:pPr>
      <w:r w:rsidRPr="00E761E9">
        <w:rPr>
          <w:rFonts w:ascii="標楷體" w:eastAsia="標楷體" w:hAnsi="標楷體" w:cs="Times New Roman" w:hint="eastAsia"/>
          <w:szCs w:val="20"/>
        </w:rPr>
        <w:t>依下水道法第22條第1項規定略</w:t>
      </w:r>
      <w:proofErr w:type="gramStart"/>
      <w:r w:rsidRPr="00E761E9">
        <w:rPr>
          <w:rFonts w:ascii="標楷體" w:eastAsia="標楷體" w:hAnsi="標楷體" w:cs="Times New Roman" w:hint="eastAsia"/>
          <w:szCs w:val="20"/>
        </w:rPr>
        <w:t>以</w:t>
      </w:r>
      <w:proofErr w:type="gramEnd"/>
      <w:r w:rsidRPr="00E761E9">
        <w:rPr>
          <w:rFonts w:ascii="標楷體" w:eastAsia="標楷體" w:hAnsi="標楷體" w:cs="Times New Roman" w:hint="eastAsia"/>
          <w:szCs w:val="20"/>
        </w:rPr>
        <w:t>，用戶排水設備須經下水道機構檢驗合格，始得聯接於下水道。復依「臺北市政府工務局衛生下水道工程處污水下水道使用費停徵退費及部分徵收原則」所載內容略</w:t>
      </w:r>
      <w:proofErr w:type="gramStart"/>
      <w:r w:rsidRPr="00E761E9">
        <w:rPr>
          <w:rFonts w:ascii="標楷體" w:eastAsia="標楷體" w:hAnsi="標楷體" w:cs="Times New Roman" w:hint="eastAsia"/>
          <w:szCs w:val="20"/>
        </w:rPr>
        <w:t>以</w:t>
      </w:r>
      <w:proofErr w:type="gramEnd"/>
      <w:r w:rsidRPr="00E761E9">
        <w:rPr>
          <w:rFonts w:ascii="標楷體" w:eastAsia="標楷體" w:hAnsi="標楷體" w:cs="Times New Roman" w:hint="eastAsia"/>
          <w:szCs w:val="20"/>
        </w:rPr>
        <w:t>，化糞池、生活雜排水等管線完全接管者，徵收全部污水下水道使用費；化糞池、生活雜排水等管線完全未接管者，污水下水道</w:t>
      </w:r>
      <w:proofErr w:type="gramStart"/>
      <w:r w:rsidRPr="00E761E9">
        <w:rPr>
          <w:rFonts w:ascii="標楷體" w:eastAsia="標楷體" w:hAnsi="標楷體" w:cs="Times New Roman" w:hint="eastAsia"/>
          <w:szCs w:val="20"/>
        </w:rPr>
        <w:t>使用費全退</w:t>
      </w:r>
      <w:proofErr w:type="gramEnd"/>
      <w:r w:rsidRPr="00E761E9">
        <w:rPr>
          <w:rFonts w:ascii="標楷體" w:eastAsia="標楷體" w:hAnsi="標楷體" w:cs="Times New Roman" w:hint="eastAsia"/>
          <w:szCs w:val="20"/>
        </w:rPr>
        <w:t>。衛生下水道工程處（下稱衛工處）為有效解決早期污水下水道公告使用地區，部分住戶污水管線未完全接管，衍生停徵及退費案件，暨提升污水下水道收退費之正確性，自98年起委託廠商辦理臺北市污水下水道用戶接管清查作業。經委外廠商於111年3月至113年1月間清查臺北市境內7萬餘戶接管情形，後續應辦理開徵之用戶計3,179戶、應辦理退費之用戶計2,954戶。截至114年3月7日止，衛工處辦理污水下水道使用費（下稱污水使用費）徵收情形，核有：1.經委外</w:t>
      </w:r>
      <w:proofErr w:type="gramStart"/>
      <w:r w:rsidRPr="00E761E9">
        <w:rPr>
          <w:rFonts w:ascii="標楷體" w:eastAsia="標楷體" w:hAnsi="標楷體" w:cs="Times New Roman" w:hint="eastAsia"/>
          <w:szCs w:val="20"/>
        </w:rPr>
        <w:t>廠商試水結果</w:t>
      </w:r>
      <w:proofErr w:type="gramEnd"/>
      <w:r>
        <w:rPr>
          <w:rFonts w:ascii="標楷體" w:eastAsia="標楷體" w:hAnsi="標楷體" w:cs="Times New Roman" w:hint="eastAsia"/>
          <w:szCs w:val="20"/>
        </w:rPr>
        <w:t>，</w:t>
      </w:r>
      <w:r w:rsidRPr="00E761E9">
        <w:rPr>
          <w:rFonts w:ascii="標楷體" w:eastAsia="標楷體" w:hAnsi="標楷體" w:cs="Times New Roman" w:hint="eastAsia"/>
          <w:szCs w:val="20"/>
        </w:rPr>
        <w:t>用戶原先已接管污水下水道系統，後續未經核准更改污水管線，或自行新增給水設施，家庭生活污水未流入污水下水道系統者計46戶，該處未依規定督促民眾限期改善；另用戶之生活雜排水及化糞池未曾接管，</w:t>
      </w:r>
      <w:proofErr w:type="gramStart"/>
      <w:r w:rsidRPr="00E761E9">
        <w:rPr>
          <w:rFonts w:ascii="標楷體" w:eastAsia="標楷體" w:hAnsi="標楷體" w:cs="Times New Roman" w:hint="eastAsia"/>
          <w:szCs w:val="20"/>
        </w:rPr>
        <w:t>仍續收污水</w:t>
      </w:r>
      <w:proofErr w:type="gramEnd"/>
      <w:r w:rsidRPr="00E761E9">
        <w:rPr>
          <w:rFonts w:ascii="標楷體" w:eastAsia="標楷體" w:hAnsi="標楷體" w:cs="Times New Roman" w:hint="eastAsia"/>
          <w:szCs w:val="20"/>
        </w:rPr>
        <w:t>使用費者計43戶；2.經委外</w:t>
      </w:r>
      <w:proofErr w:type="gramStart"/>
      <w:r w:rsidRPr="00E761E9">
        <w:rPr>
          <w:rFonts w:ascii="標楷體" w:eastAsia="標楷體" w:hAnsi="標楷體" w:cs="Times New Roman" w:hint="eastAsia"/>
          <w:szCs w:val="20"/>
        </w:rPr>
        <w:t>廠商試水確認</w:t>
      </w:r>
      <w:proofErr w:type="gramEnd"/>
      <w:r w:rsidRPr="00E761E9">
        <w:rPr>
          <w:rFonts w:ascii="標楷體" w:eastAsia="標楷體" w:hAnsi="標楷體" w:cs="Times New Roman" w:hint="eastAsia"/>
          <w:szCs w:val="20"/>
        </w:rPr>
        <w:t>用戶之生活雜排水及化糞池皆已接管，惟未開徵污水使用費者，計有2戶等情事，經函請</w:t>
      </w:r>
      <w:proofErr w:type="gramStart"/>
      <w:r w:rsidRPr="00E761E9">
        <w:rPr>
          <w:rFonts w:ascii="標楷體" w:eastAsia="標楷體" w:hAnsi="標楷體" w:cs="Times New Roman" w:hint="eastAsia"/>
          <w:szCs w:val="20"/>
        </w:rPr>
        <w:t>檢討妥處</w:t>
      </w:r>
      <w:proofErr w:type="gramEnd"/>
      <w:r w:rsidRPr="00E761E9">
        <w:rPr>
          <w:rFonts w:ascii="標楷體" w:eastAsia="標楷體" w:hAnsi="標楷體" w:cs="Times New Roman" w:hint="eastAsia"/>
          <w:szCs w:val="20"/>
        </w:rPr>
        <w:t>。據復：1.用戶逕自更改或增設污水管線之46戶，</w:t>
      </w:r>
      <w:proofErr w:type="gramStart"/>
      <w:r w:rsidRPr="00E761E9">
        <w:rPr>
          <w:rFonts w:ascii="標楷體" w:eastAsia="標楷體" w:hAnsi="標楷體" w:cs="Times New Roman" w:hint="eastAsia"/>
          <w:szCs w:val="20"/>
        </w:rPr>
        <w:t>業函知</w:t>
      </w:r>
      <w:proofErr w:type="gramEnd"/>
      <w:r w:rsidRPr="00E761E9">
        <w:rPr>
          <w:rFonts w:ascii="標楷體" w:eastAsia="標楷體" w:hAnsi="標楷體" w:cs="Times New Roman" w:hint="eastAsia"/>
          <w:szCs w:val="20"/>
        </w:rPr>
        <w:t>用戶限期改善，並副知臺北市政府環境保護</w:t>
      </w:r>
      <w:proofErr w:type="gramStart"/>
      <w:r w:rsidRPr="00E761E9">
        <w:rPr>
          <w:rFonts w:ascii="標楷體" w:eastAsia="標楷體" w:hAnsi="標楷體" w:cs="Times New Roman" w:hint="eastAsia"/>
          <w:szCs w:val="20"/>
        </w:rPr>
        <w:t>局依權管</w:t>
      </w:r>
      <w:proofErr w:type="gramEnd"/>
      <w:r w:rsidRPr="00E761E9">
        <w:rPr>
          <w:rFonts w:ascii="標楷體" w:eastAsia="標楷體" w:hAnsi="標楷體" w:cs="Times New Roman" w:hint="eastAsia"/>
          <w:szCs w:val="20"/>
        </w:rPr>
        <w:t>法令處置及列管；未曾接管</w:t>
      </w:r>
      <w:proofErr w:type="gramStart"/>
      <w:r w:rsidRPr="00E761E9">
        <w:rPr>
          <w:rFonts w:ascii="標楷體" w:eastAsia="標楷體" w:hAnsi="標楷體" w:cs="Times New Roman" w:hint="eastAsia"/>
          <w:szCs w:val="20"/>
        </w:rPr>
        <w:t>仍續收污水</w:t>
      </w:r>
      <w:proofErr w:type="gramEnd"/>
      <w:r w:rsidRPr="00E761E9">
        <w:rPr>
          <w:rFonts w:ascii="標楷體" w:eastAsia="標楷體" w:hAnsi="標楷體" w:cs="Times New Roman" w:hint="eastAsia"/>
          <w:szCs w:val="20"/>
        </w:rPr>
        <w:t>使用費之43戶，業</w:t>
      </w:r>
      <w:proofErr w:type="gramStart"/>
      <w:r w:rsidRPr="00E761E9">
        <w:rPr>
          <w:rFonts w:ascii="標楷體" w:eastAsia="標楷體" w:hAnsi="標楷體" w:cs="Times New Roman" w:hint="eastAsia"/>
          <w:szCs w:val="20"/>
        </w:rPr>
        <w:t>辦竣停</w:t>
      </w:r>
      <w:proofErr w:type="gramEnd"/>
      <w:r w:rsidRPr="00E761E9">
        <w:rPr>
          <w:rFonts w:ascii="標楷體" w:eastAsia="標楷體" w:hAnsi="標楷體" w:cs="Times New Roman" w:hint="eastAsia"/>
          <w:szCs w:val="20"/>
        </w:rPr>
        <w:t>徵作業，預計於114年7月底前全數完成退費程序；2.已接管尚未開徵污水使用費之2戶，</w:t>
      </w:r>
      <w:proofErr w:type="gramStart"/>
      <w:r w:rsidRPr="00E761E9">
        <w:rPr>
          <w:rFonts w:ascii="標楷體" w:eastAsia="標楷體" w:hAnsi="標楷體" w:cs="Times New Roman" w:hint="eastAsia"/>
          <w:szCs w:val="20"/>
        </w:rPr>
        <w:t>業補辦</w:t>
      </w:r>
      <w:proofErr w:type="gramEnd"/>
      <w:r w:rsidRPr="00E761E9">
        <w:rPr>
          <w:rFonts w:ascii="標楷體" w:eastAsia="標楷體" w:hAnsi="標楷體" w:cs="Times New Roman" w:hint="eastAsia"/>
          <w:szCs w:val="20"/>
        </w:rPr>
        <w:t>開徵污水使用費。</w:t>
      </w:r>
    </w:p>
    <w:p w14:paraId="31593987" w14:textId="77777777" w:rsidR="00D74004" w:rsidRPr="00E761E9" w:rsidRDefault="00D74004" w:rsidP="00394556">
      <w:pPr>
        <w:widowControl/>
        <w:suppressAutoHyphens/>
        <w:overflowPunct w:val="0"/>
        <w:spacing w:beforeLines="50" w:before="180" w:afterLines="20" w:after="72" w:line="480" w:lineRule="exact"/>
        <w:ind w:firstLineChars="100" w:firstLine="280"/>
        <w:jc w:val="both"/>
        <w:rPr>
          <w:rFonts w:ascii="標楷體" w:eastAsia="標楷體" w:hAnsi="標楷體" w:cs="Times New Roman"/>
          <w:b/>
          <w:spacing w:val="2"/>
          <w:sz w:val="28"/>
          <w:szCs w:val="28"/>
        </w:rPr>
      </w:pPr>
      <w:r w:rsidRPr="00DB2473">
        <w:rPr>
          <w:rFonts w:ascii="標楷體" w:eastAsia="標楷體" w:hAnsi="標楷體" w:cs="Times New Roman" w:hint="eastAsia"/>
          <w:b/>
          <w:sz w:val="28"/>
          <w:szCs w:val="28"/>
        </w:rPr>
        <w:lastRenderedPageBreak/>
        <w:t>（十</w:t>
      </w:r>
      <w:r w:rsidRPr="00DB2473">
        <w:rPr>
          <w:rFonts w:ascii="標楷體" w:eastAsia="標楷體" w:hAnsi="標楷體" w:cs="Times New Roman" w:hint="eastAsia"/>
          <w:b/>
          <w:kern w:val="0"/>
          <w:sz w:val="28"/>
          <w:szCs w:val="28"/>
        </w:rPr>
        <w:t>）</w:t>
      </w:r>
      <w:r w:rsidRPr="00E761E9">
        <w:rPr>
          <w:rFonts w:ascii="標楷體" w:eastAsia="標楷體" w:hAnsi="標楷體" w:cs="Times New Roman" w:hint="eastAsia"/>
          <w:b/>
          <w:spacing w:val="2"/>
          <w:kern w:val="0"/>
          <w:sz w:val="28"/>
          <w:szCs w:val="28"/>
        </w:rPr>
        <w:t>為維護山坡地安全，降低災害發生之風險，辦理轄</w:t>
      </w:r>
      <w:proofErr w:type="gramStart"/>
      <w:r w:rsidRPr="00E761E9">
        <w:rPr>
          <w:rFonts w:ascii="標楷體" w:eastAsia="標楷體" w:hAnsi="標楷體" w:cs="Times New Roman" w:hint="eastAsia"/>
          <w:b/>
          <w:spacing w:val="2"/>
          <w:kern w:val="0"/>
          <w:sz w:val="28"/>
          <w:szCs w:val="28"/>
        </w:rPr>
        <w:t>內順向坡</w:t>
      </w:r>
      <w:proofErr w:type="gramEnd"/>
      <w:r w:rsidRPr="00E761E9">
        <w:rPr>
          <w:rFonts w:ascii="標楷體" w:eastAsia="標楷體" w:hAnsi="標楷體" w:cs="Times New Roman" w:hint="eastAsia"/>
          <w:b/>
          <w:spacing w:val="2"/>
          <w:kern w:val="0"/>
          <w:sz w:val="28"/>
          <w:szCs w:val="28"/>
        </w:rPr>
        <w:t>之安全管理維護計畫，</w:t>
      </w:r>
      <w:proofErr w:type="gramStart"/>
      <w:r w:rsidRPr="00E761E9">
        <w:rPr>
          <w:rFonts w:ascii="標楷體" w:eastAsia="標楷體" w:hAnsi="標楷體" w:cs="Times New Roman" w:hint="eastAsia"/>
          <w:b/>
          <w:spacing w:val="2"/>
          <w:kern w:val="0"/>
          <w:sz w:val="28"/>
          <w:szCs w:val="28"/>
        </w:rPr>
        <w:t>暨列管</w:t>
      </w:r>
      <w:proofErr w:type="gramEnd"/>
      <w:r w:rsidRPr="00E761E9">
        <w:rPr>
          <w:rFonts w:ascii="標楷體" w:eastAsia="標楷體" w:hAnsi="標楷體" w:cs="Times New Roman" w:hint="eastAsia"/>
          <w:b/>
          <w:spacing w:val="2"/>
          <w:kern w:val="0"/>
          <w:sz w:val="28"/>
          <w:szCs w:val="28"/>
        </w:rPr>
        <w:t>山坡地住宅及老舊聚落之例行性安全檢查及輔導計畫，惟部分轄管公園相鄰</w:t>
      </w:r>
      <w:proofErr w:type="gramStart"/>
      <w:r w:rsidRPr="00E761E9">
        <w:rPr>
          <w:rFonts w:ascii="標楷體" w:eastAsia="標楷體" w:hAnsi="標楷體" w:cs="Times New Roman" w:hint="eastAsia"/>
          <w:b/>
          <w:spacing w:val="2"/>
          <w:kern w:val="0"/>
          <w:sz w:val="28"/>
          <w:szCs w:val="28"/>
        </w:rPr>
        <w:t>順向坡之</w:t>
      </w:r>
      <w:proofErr w:type="gramEnd"/>
      <w:r w:rsidRPr="00E761E9">
        <w:rPr>
          <w:rFonts w:ascii="標楷體" w:eastAsia="標楷體" w:hAnsi="標楷體" w:cs="Times New Roman" w:hint="eastAsia"/>
          <w:b/>
          <w:spacing w:val="2"/>
          <w:kern w:val="0"/>
          <w:sz w:val="28"/>
          <w:szCs w:val="28"/>
        </w:rPr>
        <w:t>水土保持設施維護未盡周延，又山坡地住宅社區配置之觀測</w:t>
      </w:r>
      <w:proofErr w:type="gramStart"/>
      <w:r w:rsidRPr="00E761E9">
        <w:rPr>
          <w:rFonts w:ascii="標楷體" w:eastAsia="標楷體" w:hAnsi="標楷體" w:cs="Times New Roman" w:hint="eastAsia"/>
          <w:b/>
          <w:spacing w:val="2"/>
          <w:kern w:val="0"/>
          <w:sz w:val="28"/>
          <w:szCs w:val="28"/>
        </w:rPr>
        <w:t>儀器間有損壞</w:t>
      </w:r>
      <w:proofErr w:type="gramEnd"/>
      <w:r w:rsidRPr="00E761E9">
        <w:rPr>
          <w:rFonts w:ascii="標楷體" w:eastAsia="標楷體" w:hAnsi="標楷體" w:cs="Times New Roman" w:hint="eastAsia"/>
          <w:b/>
          <w:spacing w:val="2"/>
          <w:kern w:val="0"/>
          <w:sz w:val="28"/>
          <w:szCs w:val="28"/>
        </w:rPr>
        <w:t>或遭覆蓋迄未修復或排除障礙，影響觀測功能發揮，有待檢討</w:t>
      </w:r>
      <w:proofErr w:type="gramStart"/>
      <w:r w:rsidRPr="00E761E9">
        <w:rPr>
          <w:rFonts w:ascii="標楷體" w:eastAsia="標楷體" w:hAnsi="標楷體" w:cs="Times New Roman" w:hint="eastAsia"/>
          <w:b/>
          <w:spacing w:val="2"/>
          <w:kern w:val="0"/>
          <w:sz w:val="28"/>
          <w:szCs w:val="28"/>
        </w:rPr>
        <w:t>研</w:t>
      </w:r>
      <w:proofErr w:type="gramEnd"/>
      <w:r w:rsidRPr="00E761E9">
        <w:rPr>
          <w:rFonts w:ascii="標楷體" w:eastAsia="標楷體" w:hAnsi="標楷體" w:cs="Times New Roman" w:hint="eastAsia"/>
          <w:b/>
          <w:spacing w:val="2"/>
          <w:kern w:val="0"/>
          <w:sz w:val="28"/>
          <w:szCs w:val="28"/>
        </w:rPr>
        <w:t>謀改善</w:t>
      </w:r>
      <w:r w:rsidRPr="00E761E9">
        <w:rPr>
          <w:rFonts w:ascii="標楷體" w:eastAsia="標楷體" w:hAnsi="標楷體" w:cs="Times New Roman" w:hint="eastAsia"/>
          <w:b/>
          <w:spacing w:val="2"/>
          <w:sz w:val="28"/>
          <w:szCs w:val="28"/>
        </w:rPr>
        <w:t>。</w:t>
      </w:r>
    </w:p>
    <w:p w14:paraId="4700B667" w14:textId="77777777" w:rsidR="00D74004" w:rsidRDefault="00D74004" w:rsidP="00394556">
      <w:pPr>
        <w:widowControl/>
        <w:tabs>
          <w:tab w:val="left" w:pos="1560"/>
        </w:tabs>
        <w:kinsoku w:val="0"/>
        <w:overflowPunct w:val="0"/>
        <w:spacing w:line="460" w:lineRule="exact"/>
        <w:ind w:firstLineChars="200" w:firstLine="480"/>
        <w:jc w:val="both"/>
        <w:rPr>
          <w:rFonts w:ascii="標楷體" w:eastAsia="標楷體" w:hAnsi="標楷體" w:cs="Times New Roman"/>
          <w:szCs w:val="20"/>
        </w:rPr>
      </w:pPr>
      <w:r w:rsidRPr="00347BE9">
        <w:rPr>
          <w:rFonts w:ascii="標楷體" w:eastAsia="標楷體" w:hAnsi="標楷體" w:cs="Times New Roman" w:hint="eastAsia"/>
          <w:szCs w:val="20"/>
        </w:rPr>
        <w:t>大地工程處（下稱大地處）為辦理</w:t>
      </w:r>
      <w:proofErr w:type="gramStart"/>
      <w:r w:rsidRPr="00347BE9">
        <w:rPr>
          <w:rFonts w:ascii="標楷體" w:eastAsia="標楷體" w:hAnsi="標楷體" w:cs="Times New Roman" w:hint="eastAsia"/>
          <w:szCs w:val="20"/>
        </w:rPr>
        <w:t>境內順向坡</w:t>
      </w:r>
      <w:proofErr w:type="gramEnd"/>
      <w:r w:rsidRPr="00347BE9">
        <w:rPr>
          <w:rFonts w:ascii="標楷體" w:eastAsia="標楷體" w:hAnsi="標楷體" w:cs="Times New Roman" w:hint="eastAsia"/>
          <w:szCs w:val="20"/>
        </w:rPr>
        <w:t>及列管山坡地住宅、老舊聚落之安全管理維護計畫，持續委外辦理山崩與地滑地質敏感區（順向坡）、山坡地住宅及老舊聚落之巡</w:t>
      </w:r>
      <w:proofErr w:type="gramStart"/>
      <w:r w:rsidRPr="00347BE9">
        <w:rPr>
          <w:rFonts w:ascii="標楷體" w:eastAsia="標楷體" w:hAnsi="標楷體" w:cs="Times New Roman" w:hint="eastAsia"/>
          <w:szCs w:val="20"/>
        </w:rPr>
        <w:t>勘</w:t>
      </w:r>
      <w:proofErr w:type="gramEnd"/>
      <w:r w:rsidRPr="00347BE9">
        <w:rPr>
          <w:rFonts w:ascii="標楷體" w:eastAsia="標楷體" w:hAnsi="標楷體" w:cs="Times New Roman" w:hint="eastAsia"/>
          <w:szCs w:val="20"/>
        </w:rPr>
        <w:t>觀測及水土保持宣導作業，113年委外契約金額共計2,770萬元。經查執行情形，核有下列事項：</w:t>
      </w:r>
    </w:p>
    <w:p w14:paraId="01625667" w14:textId="77777777" w:rsidR="00D74004" w:rsidRPr="005A0949" w:rsidRDefault="00D74004" w:rsidP="00394556">
      <w:pPr>
        <w:widowControl/>
        <w:tabs>
          <w:tab w:val="left" w:pos="1560"/>
        </w:tabs>
        <w:kinsoku w:val="0"/>
        <w:overflowPunct w:val="0"/>
        <w:spacing w:beforeLines="20" w:before="72" w:line="480" w:lineRule="exact"/>
        <w:ind w:firstLineChars="200" w:firstLine="480"/>
        <w:jc w:val="both"/>
        <w:rPr>
          <w:rFonts w:ascii="標楷體" w:eastAsia="標楷體" w:hAnsi="標楷體" w:cs="Times New Roman"/>
          <w:szCs w:val="20"/>
        </w:rPr>
      </w:pPr>
      <w:r>
        <w:rPr>
          <w:rFonts w:ascii="標楷體" w:eastAsia="標楷體" w:hAnsi="標楷體" w:hint="eastAsia"/>
          <w:b/>
          <w:bCs/>
          <w:szCs w:val="20"/>
        </w:rPr>
        <w:t>1</w:t>
      </w:r>
      <w:r>
        <w:rPr>
          <w:rFonts w:ascii="標楷體" w:eastAsia="標楷體" w:hAnsi="標楷體"/>
          <w:b/>
          <w:bCs/>
          <w:szCs w:val="20"/>
        </w:rPr>
        <w:t>.</w:t>
      </w:r>
      <w:r w:rsidRPr="005A0949">
        <w:rPr>
          <w:rFonts w:ascii="標楷體" w:eastAsia="標楷體" w:hAnsi="標楷體" w:cs="Times New Roman" w:hint="eastAsia"/>
          <w:b/>
          <w:bCs/>
          <w:szCs w:val="20"/>
        </w:rPr>
        <w:t>部分轄管公園相鄰</w:t>
      </w:r>
      <w:proofErr w:type="gramStart"/>
      <w:r w:rsidRPr="005A0949">
        <w:rPr>
          <w:rFonts w:ascii="標楷體" w:eastAsia="標楷體" w:hAnsi="標楷體" w:cs="Times New Roman" w:hint="eastAsia"/>
          <w:b/>
          <w:bCs/>
          <w:szCs w:val="20"/>
        </w:rPr>
        <w:t>順向坡之</w:t>
      </w:r>
      <w:proofErr w:type="gramEnd"/>
      <w:r w:rsidRPr="005A0949">
        <w:rPr>
          <w:rFonts w:ascii="標楷體" w:eastAsia="標楷體" w:hAnsi="標楷體" w:cs="Times New Roman" w:hint="eastAsia"/>
          <w:b/>
          <w:bCs/>
          <w:szCs w:val="20"/>
        </w:rPr>
        <w:t>水土保持設施維護未盡周延，經山坡地主管機關多次建請公園管理單位改善，惟迄未妥為處理：</w:t>
      </w:r>
      <w:r w:rsidRPr="005A0949">
        <w:rPr>
          <w:rFonts w:ascii="標楷體" w:eastAsia="標楷體" w:hAnsi="標楷體" w:cs="Times New Roman" w:hint="eastAsia"/>
          <w:szCs w:val="20"/>
        </w:rPr>
        <w:t>大地處為維護山坡地安全，</w:t>
      </w:r>
      <w:proofErr w:type="gramStart"/>
      <w:r w:rsidRPr="005A0949">
        <w:rPr>
          <w:rFonts w:ascii="標楷體" w:eastAsia="標楷體" w:hAnsi="標楷體" w:cs="Times New Roman" w:hint="eastAsia"/>
          <w:szCs w:val="20"/>
        </w:rPr>
        <w:t>113</w:t>
      </w:r>
      <w:proofErr w:type="gramEnd"/>
      <w:r w:rsidRPr="005A0949">
        <w:rPr>
          <w:rFonts w:ascii="標楷體" w:eastAsia="標楷體" w:hAnsi="標楷體" w:cs="Times New Roman" w:hint="eastAsia"/>
          <w:szCs w:val="20"/>
        </w:rPr>
        <w:t>年度將境內北投、士林、中山、南港、大安、信義、文山及內湖等8個行政區，分3個採購案，委由3家廠商辦理巡</w:t>
      </w:r>
      <w:proofErr w:type="gramStart"/>
      <w:r w:rsidRPr="005A0949">
        <w:rPr>
          <w:rFonts w:ascii="標楷體" w:eastAsia="標楷體" w:hAnsi="標楷體" w:cs="Times New Roman" w:hint="eastAsia"/>
          <w:szCs w:val="20"/>
        </w:rPr>
        <w:t>勘</w:t>
      </w:r>
      <w:proofErr w:type="gramEnd"/>
      <w:r w:rsidRPr="005A0949">
        <w:rPr>
          <w:rFonts w:ascii="標楷體" w:eastAsia="標楷體" w:hAnsi="標楷體" w:cs="Times New Roman" w:hint="eastAsia"/>
          <w:szCs w:val="20"/>
        </w:rPr>
        <w:t>觀測作業。其中北投、士林、中山及南港等區山崩與地滑地質敏感區（順向坡）巡</w:t>
      </w:r>
      <w:proofErr w:type="gramStart"/>
      <w:r w:rsidRPr="005A0949">
        <w:rPr>
          <w:rFonts w:ascii="標楷體" w:eastAsia="標楷體" w:hAnsi="標楷體" w:cs="Times New Roman" w:hint="eastAsia"/>
          <w:szCs w:val="20"/>
        </w:rPr>
        <w:t>勘</w:t>
      </w:r>
      <w:proofErr w:type="gramEnd"/>
      <w:r w:rsidRPr="005A0949">
        <w:rPr>
          <w:rFonts w:ascii="標楷體" w:eastAsia="標楷體" w:hAnsi="標楷體" w:cs="Times New Roman" w:hint="eastAsia"/>
          <w:szCs w:val="20"/>
        </w:rPr>
        <w:t>觀測委託專業服務案，據廠商巡</w:t>
      </w:r>
      <w:proofErr w:type="gramStart"/>
      <w:r w:rsidRPr="005A0949">
        <w:rPr>
          <w:rFonts w:ascii="標楷體" w:eastAsia="標楷體" w:hAnsi="標楷體" w:cs="Times New Roman" w:hint="eastAsia"/>
          <w:szCs w:val="20"/>
        </w:rPr>
        <w:t>勘</w:t>
      </w:r>
      <w:proofErr w:type="gramEnd"/>
      <w:r w:rsidRPr="005A0949">
        <w:rPr>
          <w:rFonts w:ascii="標楷體" w:eastAsia="標楷體" w:hAnsi="標楷體" w:cs="Times New Roman" w:hint="eastAsia"/>
          <w:szCs w:val="20"/>
        </w:rPr>
        <w:t>觀測結果，發現公園路燈工程管理處（下稱公園處）所管之東華公園範圍內</w:t>
      </w:r>
      <w:proofErr w:type="gramStart"/>
      <w:r w:rsidRPr="005A0949">
        <w:rPr>
          <w:rFonts w:ascii="標楷體" w:eastAsia="標楷體" w:hAnsi="標楷體" w:cs="Times New Roman" w:hint="eastAsia"/>
          <w:szCs w:val="20"/>
        </w:rPr>
        <w:t>1處順向坡，有漿砌</w:t>
      </w:r>
      <w:proofErr w:type="gramEnd"/>
      <w:r w:rsidRPr="005A0949">
        <w:rPr>
          <w:rFonts w:ascii="標楷體" w:eastAsia="標楷體" w:hAnsi="標楷體" w:cs="Times New Roman" w:hint="eastAsia"/>
          <w:szCs w:val="20"/>
        </w:rPr>
        <w:t>石牆（即水土保持設施）輕微</w:t>
      </w:r>
      <w:proofErr w:type="gramStart"/>
      <w:r w:rsidRPr="005A0949">
        <w:rPr>
          <w:rFonts w:ascii="標楷體" w:eastAsia="標楷體" w:hAnsi="標楷體" w:cs="Times New Roman" w:hint="eastAsia"/>
          <w:szCs w:val="20"/>
        </w:rPr>
        <w:t>裂縫及砌石鼓</w:t>
      </w:r>
      <w:proofErr w:type="gramEnd"/>
      <w:r w:rsidRPr="005A0949">
        <w:rPr>
          <w:rFonts w:ascii="標楷體" w:eastAsia="標楷體" w:hAnsi="標楷體" w:cs="Times New Roman" w:hint="eastAsia"/>
          <w:szCs w:val="20"/>
        </w:rPr>
        <w:t>出跡象，且</w:t>
      </w:r>
      <w:proofErr w:type="gramStart"/>
      <w:r w:rsidRPr="005A0949">
        <w:rPr>
          <w:rFonts w:ascii="標楷體" w:eastAsia="標楷體" w:hAnsi="標楷體" w:cs="Times New Roman" w:hint="eastAsia"/>
          <w:szCs w:val="20"/>
        </w:rPr>
        <w:t>該順向坡所</w:t>
      </w:r>
      <w:proofErr w:type="gramEnd"/>
      <w:r w:rsidRPr="005A0949">
        <w:rPr>
          <w:rFonts w:ascii="標楷體" w:eastAsia="標楷體" w:hAnsi="標楷體" w:cs="Times New Roman" w:hint="eastAsia"/>
          <w:szCs w:val="20"/>
        </w:rPr>
        <w:t>建置之2處</w:t>
      </w:r>
      <w:proofErr w:type="gramStart"/>
      <w:r w:rsidRPr="005A0949">
        <w:rPr>
          <w:rFonts w:ascii="標楷體" w:eastAsia="標楷體" w:hAnsi="標楷體" w:cs="Times New Roman" w:hint="eastAsia"/>
          <w:szCs w:val="20"/>
        </w:rPr>
        <w:t>傾斜管皆有</w:t>
      </w:r>
      <w:proofErr w:type="gramEnd"/>
      <w:r w:rsidRPr="005A0949">
        <w:rPr>
          <w:rFonts w:ascii="標楷體" w:eastAsia="標楷體" w:hAnsi="標楷體" w:cs="Times New Roman" w:hint="eastAsia"/>
          <w:szCs w:val="20"/>
        </w:rPr>
        <w:t>一定位移傾向（尚未達注意值）。</w:t>
      </w:r>
      <w:proofErr w:type="gramStart"/>
      <w:r w:rsidRPr="005A0949">
        <w:rPr>
          <w:rFonts w:ascii="標楷體" w:eastAsia="標楷體" w:hAnsi="標楷體" w:cs="Times New Roman" w:hint="eastAsia"/>
          <w:szCs w:val="20"/>
        </w:rPr>
        <w:t>惟查該順向坡早</w:t>
      </w:r>
      <w:proofErr w:type="gramEnd"/>
      <w:r w:rsidRPr="005A0949">
        <w:rPr>
          <w:rFonts w:ascii="標楷體" w:eastAsia="標楷體" w:hAnsi="標楷體" w:cs="Times New Roman" w:hint="eastAsia"/>
          <w:szCs w:val="20"/>
        </w:rPr>
        <w:t>於</w:t>
      </w:r>
      <w:proofErr w:type="gramStart"/>
      <w:r w:rsidRPr="005A0949">
        <w:rPr>
          <w:rFonts w:ascii="標楷體" w:eastAsia="標楷體" w:hAnsi="標楷體" w:cs="Times New Roman" w:hint="eastAsia"/>
          <w:szCs w:val="20"/>
        </w:rPr>
        <w:t>109</w:t>
      </w:r>
      <w:proofErr w:type="gramEnd"/>
      <w:r w:rsidRPr="005A0949">
        <w:rPr>
          <w:rFonts w:ascii="標楷體" w:eastAsia="標楷體" w:hAnsi="標楷體" w:cs="Times New Roman" w:hint="eastAsia"/>
          <w:szCs w:val="20"/>
        </w:rPr>
        <w:t>年度業經大地處委託專業服務廠商發現</w:t>
      </w:r>
      <w:proofErr w:type="gramStart"/>
      <w:r w:rsidRPr="005A0949">
        <w:rPr>
          <w:rFonts w:ascii="標楷體" w:eastAsia="標楷體" w:hAnsi="標楷體" w:cs="Times New Roman" w:hint="eastAsia"/>
          <w:szCs w:val="20"/>
        </w:rPr>
        <w:t>漿砌石牆因牆身老</w:t>
      </w:r>
      <w:proofErr w:type="gramEnd"/>
      <w:r w:rsidRPr="005A0949">
        <w:rPr>
          <w:rFonts w:ascii="標楷體" w:eastAsia="標楷體" w:hAnsi="標楷體" w:cs="Times New Roman" w:hint="eastAsia"/>
          <w:szCs w:val="20"/>
        </w:rPr>
        <w:t>舊且</w:t>
      </w:r>
      <w:proofErr w:type="gramStart"/>
      <w:r w:rsidRPr="005A0949">
        <w:rPr>
          <w:rFonts w:ascii="標楷體" w:eastAsia="標楷體" w:hAnsi="標楷體" w:cs="Times New Roman" w:hint="eastAsia"/>
          <w:szCs w:val="20"/>
        </w:rPr>
        <w:t>洩</w:t>
      </w:r>
      <w:proofErr w:type="gramEnd"/>
      <w:r w:rsidRPr="005A0949">
        <w:rPr>
          <w:rFonts w:ascii="標楷體" w:eastAsia="標楷體" w:hAnsi="標楷體" w:cs="Times New Roman" w:hint="eastAsia"/>
          <w:szCs w:val="20"/>
        </w:rPr>
        <w:t>水孔不足，造成輕微</w:t>
      </w:r>
      <w:proofErr w:type="gramStart"/>
      <w:r w:rsidRPr="005A0949">
        <w:rPr>
          <w:rFonts w:ascii="標楷體" w:eastAsia="標楷體" w:hAnsi="標楷體" w:cs="Times New Roman" w:hint="eastAsia"/>
          <w:szCs w:val="20"/>
        </w:rPr>
        <w:t>裂縫及砌石鼓</w:t>
      </w:r>
      <w:proofErr w:type="gramEnd"/>
      <w:r w:rsidRPr="005A0949">
        <w:rPr>
          <w:rFonts w:ascii="標楷體" w:eastAsia="標楷體" w:hAnsi="標楷體" w:cs="Times New Roman" w:hint="eastAsia"/>
          <w:szCs w:val="20"/>
        </w:rPr>
        <w:t>出，建議水土保持義務人（即公園處）加裝排水孔，以減輕石牆所受到之水壓力，避免結構損壞或倒塌，另雖研判</w:t>
      </w:r>
      <w:proofErr w:type="gramStart"/>
      <w:r w:rsidRPr="005A0949">
        <w:rPr>
          <w:rFonts w:ascii="標楷體" w:eastAsia="標楷體" w:hAnsi="標楷體" w:cs="Times New Roman" w:hint="eastAsia"/>
          <w:szCs w:val="20"/>
        </w:rPr>
        <w:t>該順向坡無</w:t>
      </w:r>
      <w:proofErr w:type="gramEnd"/>
      <w:r w:rsidRPr="005A0949">
        <w:rPr>
          <w:rFonts w:ascii="標楷體" w:eastAsia="標楷體" w:hAnsi="標楷體" w:cs="Times New Roman" w:hint="eastAsia"/>
          <w:szCs w:val="20"/>
        </w:rPr>
        <w:t>立即危險，整體尚在安全範圍內，惟長期未改善仍存有潛在性災害發生之可能性。</w:t>
      </w:r>
      <w:proofErr w:type="gramStart"/>
      <w:r w:rsidRPr="005A0949">
        <w:rPr>
          <w:rFonts w:ascii="標楷體" w:eastAsia="標楷體" w:hAnsi="標楷體" w:cs="Times New Roman" w:hint="eastAsia"/>
          <w:szCs w:val="20"/>
        </w:rPr>
        <w:t>嗣</w:t>
      </w:r>
      <w:proofErr w:type="gramEnd"/>
      <w:r w:rsidRPr="005A0949">
        <w:rPr>
          <w:rFonts w:ascii="標楷體" w:eastAsia="標楷體" w:hAnsi="標楷體" w:cs="Times New Roman" w:hint="eastAsia"/>
          <w:szCs w:val="20"/>
        </w:rPr>
        <w:t>經大地處自109年2月起數度與公園處辦理會</w:t>
      </w:r>
      <w:proofErr w:type="gramStart"/>
      <w:r w:rsidRPr="005A0949">
        <w:rPr>
          <w:rFonts w:ascii="標楷體" w:eastAsia="標楷體" w:hAnsi="標楷體" w:cs="Times New Roman" w:hint="eastAsia"/>
          <w:szCs w:val="20"/>
        </w:rPr>
        <w:t>勘</w:t>
      </w:r>
      <w:proofErr w:type="gramEnd"/>
      <w:r w:rsidRPr="005A0949">
        <w:rPr>
          <w:rFonts w:ascii="標楷體" w:eastAsia="標楷體" w:hAnsi="標楷體" w:cs="Times New Roman" w:hint="eastAsia"/>
          <w:szCs w:val="20"/>
        </w:rPr>
        <w:t>，並建議其針對所屬設施物定期檢視維護，</w:t>
      </w:r>
      <w:proofErr w:type="gramStart"/>
      <w:r w:rsidRPr="005A0949">
        <w:rPr>
          <w:rFonts w:ascii="標楷體" w:eastAsia="標楷體" w:hAnsi="標楷體" w:cs="Times New Roman" w:hint="eastAsia"/>
          <w:szCs w:val="20"/>
        </w:rPr>
        <w:t>然迄至</w:t>
      </w:r>
      <w:proofErr w:type="gramEnd"/>
      <w:r w:rsidRPr="005A0949">
        <w:rPr>
          <w:rFonts w:ascii="標楷體" w:eastAsia="標楷體" w:hAnsi="標楷體" w:cs="Times New Roman" w:hint="eastAsia"/>
          <w:szCs w:val="20"/>
        </w:rPr>
        <w:t>113年12月16日止，公園處仍未完成改善，經函請工務局本於主管機關權責</w:t>
      </w:r>
      <w:proofErr w:type="gramStart"/>
      <w:r w:rsidRPr="005A0949">
        <w:rPr>
          <w:rFonts w:ascii="標楷體" w:eastAsia="標楷體" w:hAnsi="標楷體" w:cs="Times New Roman" w:hint="eastAsia"/>
          <w:szCs w:val="20"/>
        </w:rPr>
        <w:t>研</w:t>
      </w:r>
      <w:proofErr w:type="gramEnd"/>
      <w:r w:rsidRPr="005A0949">
        <w:rPr>
          <w:rFonts w:ascii="標楷體" w:eastAsia="標楷體" w:hAnsi="標楷體" w:cs="Times New Roman" w:hint="eastAsia"/>
          <w:szCs w:val="20"/>
        </w:rPr>
        <w:t>謀促請儘速改善，以維護公共場域安全。據復：公園處已於114年4月28日完成東華公園擋土牆上增設排水孔及疏通上層既有排水孔；至現有</w:t>
      </w:r>
      <w:proofErr w:type="gramStart"/>
      <w:r w:rsidRPr="005A0949">
        <w:rPr>
          <w:rFonts w:ascii="標楷體" w:eastAsia="標楷體" w:hAnsi="標楷體" w:cs="Times New Roman" w:hint="eastAsia"/>
          <w:szCs w:val="20"/>
        </w:rPr>
        <w:t>擋土牆牆身石塊</w:t>
      </w:r>
      <w:proofErr w:type="gramEnd"/>
      <w:r w:rsidRPr="005A0949">
        <w:rPr>
          <w:rFonts w:ascii="標楷體" w:eastAsia="標楷體" w:hAnsi="標楷體" w:cs="Times New Roman" w:hint="eastAsia"/>
          <w:szCs w:val="20"/>
        </w:rPr>
        <w:t>突出部分，目前尚無明顯變化，由大地處委外巡</w:t>
      </w:r>
      <w:proofErr w:type="gramStart"/>
      <w:r w:rsidRPr="005A0949">
        <w:rPr>
          <w:rFonts w:ascii="標楷體" w:eastAsia="標楷體" w:hAnsi="標楷體" w:cs="Times New Roman" w:hint="eastAsia"/>
          <w:szCs w:val="20"/>
        </w:rPr>
        <w:t>勘</w:t>
      </w:r>
      <w:proofErr w:type="gramEnd"/>
      <w:r w:rsidRPr="005A0949">
        <w:rPr>
          <w:rFonts w:ascii="標楷體" w:eastAsia="標楷體" w:hAnsi="標楷體" w:cs="Times New Roman" w:hint="eastAsia"/>
          <w:szCs w:val="20"/>
        </w:rPr>
        <w:t>持續觀察。</w:t>
      </w:r>
    </w:p>
    <w:p w14:paraId="23DAB4C1" w14:textId="77777777" w:rsidR="00394556" w:rsidRDefault="00D74004" w:rsidP="00394556">
      <w:pPr>
        <w:widowControl/>
        <w:tabs>
          <w:tab w:val="left" w:pos="1560"/>
        </w:tabs>
        <w:kinsoku w:val="0"/>
        <w:overflowPunct w:val="0"/>
        <w:spacing w:beforeLines="30" w:before="108" w:line="460" w:lineRule="exact"/>
        <w:ind w:firstLineChars="200" w:firstLine="472"/>
        <w:jc w:val="both"/>
        <w:rPr>
          <w:rFonts w:ascii="標楷體" w:eastAsia="標楷體" w:hAnsi="標楷體"/>
          <w:bCs/>
          <w:szCs w:val="24"/>
        </w:rPr>
      </w:pPr>
      <w:r w:rsidRPr="00E04CD8">
        <w:rPr>
          <w:rFonts w:ascii="標楷體" w:eastAsia="標楷體" w:hAnsi="標楷體" w:hint="eastAsia"/>
          <w:b/>
          <w:spacing w:val="-2"/>
          <w:szCs w:val="24"/>
        </w:rPr>
        <w:t>2.</w:t>
      </w:r>
      <w:r w:rsidRPr="00283743">
        <w:rPr>
          <w:rFonts w:ascii="標楷體" w:eastAsia="標楷體" w:hAnsi="標楷體" w:hint="eastAsia"/>
          <w:b/>
          <w:szCs w:val="24"/>
        </w:rPr>
        <w:t>持續於山坡地住宅社區及老舊聚落之邊坡及擋土設施設置觀測儀器監測地質潛勢變化，惟</w:t>
      </w:r>
      <w:proofErr w:type="gramStart"/>
      <w:r w:rsidRPr="00283743">
        <w:rPr>
          <w:rFonts w:ascii="標楷體" w:eastAsia="標楷體" w:hAnsi="標楷體" w:hint="eastAsia"/>
          <w:b/>
          <w:szCs w:val="24"/>
        </w:rPr>
        <w:t>儀器間有損壞</w:t>
      </w:r>
      <w:proofErr w:type="gramEnd"/>
      <w:r w:rsidRPr="00283743">
        <w:rPr>
          <w:rFonts w:ascii="標楷體" w:eastAsia="標楷體" w:hAnsi="標楷體" w:hint="eastAsia"/>
          <w:b/>
          <w:szCs w:val="24"/>
        </w:rPr>
        <w:t>或遭覆蓋1至2年，迄未修復或排除覆蓋物，恐難有效監控</w:t>
      </w:r>
      <w:proofErr w:type="gramStart"/>
      <w:r w:rsidRPr="00283743">
        <w:rPr>
          <w:rFonts w:ascii="標楷體" w:eastAsia="標楷體" w:hAnsi="標楷體" w:hint="eastAsia"/>
          <w:b/>
          <w:szCs w:val="24"/>
        </w:rPr>
        <w:t>邊坡潛勢</w:t>
      </w:r>
      <w:proofErr w:type="gramEnd"/>
      <w:r w:rsidRPr="00283743">
        <w:rPr>
          <w:rFonts w:ascii="標楷體" w:eastAsia="標楷體" w:hAnsi="標楷體" w:hint="eastAsia"/>
          <w:b/>
          <w:szCs w:val="24"/>
        </w:rPr>
        <w:t>變化及設施結構安全：</w:t>
      </w:r>
      <w:r w:rsidRPr="00283743">
        <w:rPr>
          <w:rFonts w:ascii="標楷體" w:eastAsia="標楷體" w:hAnsi="標楷體" w:hint="eastAsia"/>
          <w:bCs/>
          <w:szCs w:val="24"/>
        </w:rPr>
        <w:t>大地處</w:t>
      </w:r>
      <w:r>
        <w:rPr>
          <w:rFonts w:ascii="標楷體" w:eastAsia="標楷體" w:hAnsi="標楷體" w:hint="eastAsia"/>
          <w:bCs/>
          <w:szCs w:val="24"/>
        </w:rPr>
        <w:t>持續</w:t>
      </w:r>
      <w:r w:rsidRPr="00283743">
        <w:rPr>
          <w:rFonts w:ascii="標楷體" w:eastAsia="標楷體" w:hAnsi="標楷體" w:hint="eastAsia"/>
          <w:bCs/>
          <w:szCs w:val="24"/>
        </w:rPr>
        <w:t>委外辦理臺北市</w:t>
      </w:r>
      <w:r w:rsidRPr="00394556">
        <w:rPr>
          <w:rFonts w:ascii="標楷體" w:eastAsia="標楷體" w:hAnsi="標楷體" w:cs="Times New Roman" w:hint="eastAsia"/>
          <w:szCs w:val="20"/>
        </w:rPr>
        <w:t>山坡地</w:t>
      </w:r>
      <w:r w:rsidRPr="00283743">
        <w:rPr>
          <w:rFonts w:ascii="標楷體" w:eastAsia="標楷體" w:hAnsi="標楷體" w:hint="eastAsia"/>
          <w:bCs/>
          <w:szCs w:val="24"/>
        </w:rPr>
        <w:t>住宅社區及老舊聚落觀測服務，每年5至10月期間配合該處</w:t>
      </w:r>
      <w:r w:rsidRPr="005A0949">
        <w:rPr>
          <w:rFonts w:ascii="標楷體" w:eastAsia="標楷體" w:hAnsi="標楷體" w:cs="Times New Roman" w:hint="eastAsia"/>
          <w:szCs w:val="20"/>
        </w:rPr>
        <w:t>防汛</w:t>
      </w:r>
      <w:r w:rsidRPr="00283743">
        <w:rPr>
          <w:rFonts w:ascii="標楷體" w:eastAsia="標楷體" w:hAnsi="標楷體" w:hint="eastAsia"/>
          <w:bCs/>
          <w:szCs w:val="24"/>
        </w:rPr>
        <w:t>整備工作，針對臺北市政府列管50處山坡地住宅社區及24處老舊聚落進行防汛整備巡</w:t>
      </w:r>
      <w:proofErr w:type="gramStart"/>
      <w:r w:rsidRPr="00283743">
        <w:rPr>
          <w:rFonts w:ascii="標楷體" w:eastAsia="標楷體" w:hAnsi="標楷體" w:hint="eastAsia"/>
          <w:bCs/>
          <w:szCs w:val="24"/>
        </w:rPr>
        <w:t>勘</w:t>
      </w:r>
      <w:proofErr w:type="gramEnd"/>
      <w:r w:rsidRPr="00283743">
        <w:rPr>
          <w:rFonts w:ascii="標楷體" w:eastAsia="標楷體" w:hAnsi="標楷體" w:hint="eastAsia"/>
          <w:bCs/>
          <w:szCs w:val="24"/>
        </w:rPr>
        <w:t>，並蒐集邊坡及擋土構造物當月雨量、評估土中傾斜管、水位觀測井、</w:t>
      </w:r>
      <w:proofErr w:type="gramStart"/>
      <w:r w:rsidRPr="00283743">
        <w:rPr>
          <w:rFonts w:ascii="標楷體" w:eastAsia="標楷體" w:hAnsi="標楷體" w:hint="eastAsia"/>
          <w:bCs/>
          <w:szCs w:val="24"/>
        </w:rPr>
        <w:t>傾度盤</w:t>
      </w:r>
      <w:proofErr w:type="gramEnd"/>
      <w:r w:rsidRPr="00283743">
        <w:rPr>
          <w:rFonts w:ascii="標楷體" w:eastAsia="標楷體" w:hAnsi="標楷體" w:hint="eastAsia"/>
          <w:bCs/>
          <w:szCs w:val="24"/>
        </w:rPr>
        <w:t>及裂縫計等觀測儀器資料，來分析地質潛勢變化。</w:t>
      </w:r>
      <w:proofErr w:type="gramStart"/>
      <w:r w:rsidRPr="00283743">
        <w:rPr>
          <w:rFonts w:ascii="標楷體" w:eastAsia="標楷體" w:hAnsi="標楷體" w:hint="eastAsia"/>
          <w:bCs/>
          <w:szCs w:val="24"/>
        </w:rPr>
        <w:t>據委外</w:t>
      </w:r>
      <w:proofErr w:type="gramEnd"/>
      <w:r w:rsidRPr="00283743">
        <w:rPr>
          <w:rFonts w:ascii="標楷體" w:eastAsia="標楷體" w:hAnsi="標楷體" w:hint="eastAsia"/>
          <w:bCs/>
          <w:szCs w:val="24"/>
        </w:rPr>
        <w:t>廠商於111年12月提出之</w:t>
      </w:r>
      <w:proofErr w:type="gramStart"/>
      <w:r w:rsidRPr="00283743">
        <w:rPr>
          <w:rFonts w:ascii="標楷體" w:eastAsia="標楷體" w:hAnsi="標楷體" w:hint="eastAsia"/>
          <w:bCs/>
          <w:szCs w:val="24"/>
        </w:rPr>
        <w:t>111</w:t>
      </w:r>
      <w:proofErr w:type="gramEnd"/>
      <w:r w:rsidRPr="00283743">
        <w:rPr>
          <w:rFonts w:ascii="標楷體" w:eastAsia="標楷體" w:hAnsi="標楷體" w:hint="eastAsia"/>
          <w:bCs/>
          <w:szCs w:val="24"/>
        </w:rPr>
        <w:t>年度山坡地</w:t>
      </w:r>
    </w:p>
    <w:p w14:paraId="34995DBF" w14:textId="7127EDCD" w:rsidR="00D74004" w:rsidRPr="005A0949" w:rsidRDefault="00D74004" w:rsidP="00394556">
      <w:pPr>
        <w:widowControl/>
        <w:tabs>
          <w:tab w:val="left" w:pos="1560"/>
        </w:tabs>
        <w:kinsoku w:val="0"/>
        <w:overflowPunct w:val="0"/>
        <w:spacing w:beforeLines="30" w:before="108" w:line="460" w:lineRule="exact"/>
        <w:jc w:val="both"/>
        <w:rPr>
          <w:rFonts w:ascii="標楷體" w:eastAsia="標楷體" w:hAnsi="標楷體" w:cs="Times New Roman"/>
          <w:szCs w:val="20"/>
        </w:rPr>
      </w:pPr>
      <w:r w:rsidRPr="00283743">
        <w:rPr>
          <w:rFonts w:ascii="標楷體" w:eastAsia="標楷體" w:hAnsi="標楷體" w:hint="eastAsia"/>
          <w:bCs/>
          <w:szCs w:val="24"/>
        </w:rPr>
        <w:lastRenderedPageBreak/>
        <w:t>住宅老舊聚落巡</w:t>
      </w:r>
      <w:proofErr w:type="gramStart"/>
      <w:r w:rsidRPr="00283743">
        <w:rPr>
          <w:rFonts w:ascii="標楷體" w:eastAsia="標楷體" w:hAnsi="標楷體" w:hint="eastAsia"/>
          <w:bCs/>
          <w:szCs w:val="24"/>
        </w:rPr>
        <w:t>勘</w:t>
      </w:r>
      <w:proofErr w:type="gramEnd"/>
      <w:r w:rsidRPr="00283743">
        <w:rPr>
          <w:rFonts w:ascii="標楷體" w:eastAsia="標楷體" w:hAnsi="標楷體" w:hint="eastAsia"/>
          <w:bCs/>
          <w:szCs w:val="24"/>
        </w:rPr>
        <w:t>觀測及水土保持宣導委託專業服務案成果報告書列載，</w:t>
      </w:r>
      <w:r>
        <w:rPr>
          <w:rFonts w:ascii="標楷體" w:eastAsia="標楷體" w:hAnsi="標楷體" w:hint="eastAsia"/>
          <w:bCs/>
          <w:szCs w:val="24"/>
        </w:rPr>
        <w:t>有</w:t>
      </w:r>
      <w:r w:rsidRPr="00283743">
        <w:rPr>
          <w:rFonts w:ascii="標楷體" w:eastAsia="標楷體" w:hAnsi="標楷體" w:hint="eastAsia"/>
          <w:bCs/>
          <w:szCs w:val="24"/>
        </w:rPr>
        <w:t>5處山坡地住宅社區所配置之觀測儀器有遭瀝青、水泥覆蓋，或儀器鏽蝕損壞等情事，致無法觀測，建議應予重設，惟大地處</w:t>
      </w:r>
      <w:r>
        <w:rPr>
          <w:rFonts w:ascii="標楷體" w:eastAsia="標楷體" w:hAnsi="標楷體" w:hint="eastAsia"/>
          <w:bCs/>
          <w:szCs w:val="24"/>
        </w:rPr>
        <w:t>未</w:t>
      </w:r>
      <w:r w:rsidRPr="00283743">
        <w:rPr>
          <w:rFonts w:ascii="標楷體" w:eastAsia="標楷體" w:hAnsi="標楷體" w:hint="eastAsia"/>
          <w:bCs/>
          <w:szCs w:val="24"/>
        </w:rPr>
        <w:t>即時更換處理。</w:t>
      </w:r>
      <w:proofErr w:type="gramStart"/>
      <w:r w:rsidRPr="00283743">
        <w:rPr>
          <w:rFonts w:ascii="標楷體" w:eastAsia="標楷體" w:hAnsi="標楷體" w:hint="eastAsia"/>
          <w:bCs/>
          <w:szCs w:val="24"/>
        </w:rPr>
        <w:t>嗣</w:t>
      </w:r>
      <w:proofErr w:type="gramEnd"/>
      <w:r w:rsidRPr="00283743">
        <w:rPr>
          <w:rFonts w:ascii="標楷體" w:eastAsia="標楷體" w:hAnsi="標楷體" w:hint="eastAsia"/>
          <w:bCs/>
          <w:szCs w:val="24"/>
        </w:rPr>
        <w:t>大地處續辦112及</w:t>
      </w:r>
      <w:proofErr w:type="gramStart"/>
      <w:r w:rsidRPr="00283743">
        <w:rPr>
          <w:rFonts w:ascii="標楷體" w:eastAsia="標楷體" w:hAnsi="標楷體" w:hint="eastAsia"/>
          <w:bCs/>
          <w:szCs w:val="24"/>
        </w:rPr>
        <w:t>113</w:t>
      </w:r>
      <w:proofErr w:type="gramEnd"/>
      <w:r w:rsidRPr="00283743">
        <w:rPr>
          <w:rFonts w:ascii="標楷體" w:eastAsia="標楷體" w:hAnsi="標楷體" w:hint="eastAsia"/>
          <w:bCs/>
          <w:szCs w:val="24"/>
        </w:rPr>
        <w:t>年度山坡地住宅老舊聚落巡</w:t>
      </w:r>
      <w:proofErr w:type="gramStart"/>
      <w:r w:rsidRPr="00283743">
        <w:rPr>
          <w:rFonts w:ascii="標楷體" w:eastAsia="標楷體" w:hAnsi="標楷體" w:hint="eastAsia"/>
          <w:bCs/>
          <w:szCs w:val="24"/>
        </w:rPr>
        <w:t>勘</w:t>
      </w:r>
      <w:proofErr w:type="gramEnd"/>
      <w:r w:rsidRPr="00283743">
        <w:rPr>
          <w:rFonts w:ascii="標楷體" w:eastAsia="標楷體" w:hAnsi="標楷體" w:hint="eastAsia"/>
          <w:bCs/>
          <w:szCs w:val="24"/>
        </w:rPr>
        <w:t>觀測及水土保持宣導委託專業服務案觀測結果，委外廠商於112年12月及113年12月所提出之成果報告書仍列有相同情事，且迄至113年12月17日止，仍未修復或排除覆蓋物，恐難有效監控山坡地住宅社區邊坡</w:t>
      </w:r>
      <w:proofErr w:type="gramStart"/>
      <w:r w:rsidRPr="00283743">
        <w:rPr>
          <w:rFonts w:ascii="標楷體" w:eastAsia="標楷體" w:hAnsi="標楷體" w:hint="eastAsia"/>
          <w:bCs/>
          <w:szCs w:val="24"/>
        </w:rPr>
        <w:t>之潛移及</w:t>
      </w:r>
      <w:proofErr w:type="gramEnd"/>
      <w:r w:rsidRPr="00283743">
        <w:rPr>
          <w:rFonts w:ascii="標楷體" w:eastAsia="標楷體" w:hAnsi="標楷體" w:hint="eastAsia"/>
          <w:bCs/>
          <w:szCs w:val="24"/>
        </w:rPr>
        <w:t>擋土設施之結構安全</w:t>
      </w:r>
      <w:r w:rsidRPr="00283743">
        <w:rPr>
          <w:rFonts w:ascii="標楷體" w:eastAsia="標楷體" w:hAnsi="標楷體" w:hint="eastAsia"/>
          <w:szCs w:val="24"/>
        </w:rPr>
        <w:t>，經函請檢討改善</w:t>
      </w:r>
      <w:r w:rsidRPr="00283743">
        <w:rPr>
          <w:rFonts w:ascii="標楷體" w:eastAsia="標楷體" w:hAnsi="標楷體" w:hint="eastAsia"/>
          <w:bCs/>
          <w:szCs w:val="24"/>
        </w:rPr>
        <w:t>。據復：業於114年2月6日召開觀測儀器更新檢討會議，預計修復9個傾斜管、6個水位計及</w:t>
      </w:r>
      <w:proofErr w:type="gramStart"/>
      <w:r w:rsidRPr="00283743">
        <w:rPr>
          <w:rFonts w:ascii="標楷體" w:eastAsia="標楷體" w:hAnsi="標楷體" w:hint="eastAsia"/>
          <w:bCs/>
          <w:szCs w:val="24"/>
        </w:rPr>
        <w:t>28個傾度盤，其中傾度盤</w:t>
      </w:r>
      <w:proofErr w:type="gramEnd"/>
      <w:r w:rsidRPr="00283743">
        <w:rPr>
          <w:rFonts w:ascii="標楷體" w:eastAsia="標楷體" w:hAnsi="標楷體" w:hint="eastAsia"/>
          <w:bCs/>
          <w:szCs w:val="24"/>
        </w:rPr>
        <w:t>已更新完成，至傾斜管及</w:t>
      </w:r>
      <w:proofErr w:type="gramStart"/>
      <w:r w:rsidRPr="00283743">
        <w:rPr>
          <w:rFonts w:ascii="標楷體" w:eastAsia="標楷體" w:hAnsi="標楷體" w:hint="eastAsia"/>
          <w:bCs/>
          <w:szCs w:val="24"/>
        </w:rPr>
        <w:t>水位計因工程</w:t>
      </w:r>
      <w:proofErr w:type="gramEnd"/>
      <w:r w:rsidRPr="00283743">
        <w:rPr>
          <w:rFonts w:ascii="標楷體" w:eastAsia="標楷體" w:hAnsi="標楷體" w:hint="eastAsia"/>
          <w:bCs/>
          <w:szCs w:val="24"/>
        </w:rPr>
        <w:t>技術無法原址修復，需另尋他地重新設置，預計114年12月底前裝設完成</w:t>
      </w:r>
      <w:r w:rsidRPr="005A0949">
        <w:rPr>
          <w:rFonts w:ascii="標楷體" w:eastAsia="標楷體" w:hAnsi="標楷體" w:cs="Times New Roman" w:hint="eastAsia"/>
          <w:szCs w:val="20"/>
        </w:rPr>
        <w:t>。</w:t>
      </w:r>
    </w:p>
    <w:p w14:paraId="7AAE484B" w14:textId="77777777" w:rsidR="00D74004" w:rsidRPr="00DB2473" w:rsidRDefault="00D74004" w:rsidP="00394556">
      <w:pPr>
        <w:widowControl/>
        <w:suppressAutoHyphens/>
        <w:overflowPunct w:val="0"/>
        <w:spacing w:beforeLines="50" w:before="180" w:afterLines="20" w:after="72" w:line="480" w:lineRule="exact"/>
        <w:ind w:firstLineChars="100" w:firstLine="280"/>
        <w:jc w:val="both"/>
        <w:rPr>
          <w:rFonts w:ascii="標楷體" w:eastAsia="標楷體" w:hAnsi="標楷體" w:cs="Times New Roman"/>
          <w:b/>
          <w:sz w:val="28"/>
          <w:szCs w:val="28"/>
        </w:rPr>
      </w:pPr>
      <w:r w:rsidRPr="00DB2473">
        <w:rPr>
          <w:rFonts w:ascii="標楷體" w:eastAsia="標楷體" w:hAnsi="標楷體" w:cs="Times New Roman" w:hint="eastAsia"/>
          <w:b/>
          <w:sz w:val="28"/>
          <w:szCs w:val="28"/>
        </w:rPr>
        <w:t>（十</w:t>
      </w:r>
      <w:r>
        <w:rPr>
          <w:rFonts w:ascii="標楷體" w:eastAsia="標楷體" w:hAnsi="標楷體" w:cs="Times New Roman" w:hint="eastAsia"/>
          <w:b/>
          <w:sz w:val="28"/>
          <w:szCs w:val="28"/>
        </w:rPr>
        <w:t>一</w:t>
      </w:r>
      <w:r w:rsidRPr="00DB2473">
        <w:rPr>
          <w:rFonts w:ascii="標楷體" w:eastAsia="標楷體" w:hAnsi="標楷體" w:cs="Times New Roman" w:hint="eastAsia"/>
          <w:b/>
          <w:kern w:val="0"/>
          <w:sz w:val="28"/>
          <w:szCs w:val="28"/>
        </w:rPr>
        <w:t>）</w:t>
      </w:r>
      <w:r w:rsidRPr="00653E58">
        <w:rPr>
          <w:rFonts w:ascii="標楷體" w:eastAsia="標楷體" w:hAnsi="標楷體" w:cs="Times New Roman" w:hint="eastAsia"/>
          <w:b/>
          <w:kern w:val="0"/>
          <w:sz w:val="28"/>
          <w:szCs w:val="28"/>
        </w:rPr>
        <w:t>持續推動回收水再利用計畫，落實循環經濟政策理念，惟尚有近</w:t>
      </w:r>
      <w:proofErr w:type="gramStart"/>
      <w:r w:rsidRPr="00653E58">
        <w:rPr>
          <w:rFonts w:ascii="標楷體" w:eastAsia="標楷體" w:hAnsi="標楷體" w:cs="Times New Roman" w:hint="eastAsia"/>
          <w:b/>
          <w:kern w:val="0"/>
          <w:sz w:val="28"/>
          <w:szCs w:val="28"/>
        </w:rPr>
        <w:t>6成回收水餘裕</w:t>
      </w:r>
      <w:proofErr w:type="gramEnd"/>
      <w:r w:rsidRPr="00653E58">
        <w:rPr>
          <w:rFonts w:ascii="標楷體" w:eastAsia="標楷體" w:hAnsi="標楷體" w:cs="Times New Roman" w:hint="eastAsia"/>
          <w:b/>
          <w:kern w:val="0"/>
          <w:sz w:val="28"/>
          <w:szCs w:val="28"/>
        </w:rPr>
        <w:t>量能</w:t>
      </w:r>
      <w:proofErr w:type="gramStart"/>
      <w:r w:rsidRPr="00653E58">
        <w:rPr>
          <w:rFonts w:ascii="標楷體" w:eastAsia="標楷體" w:hAnsi="標楷體" w:cs="Times New Roman" w:hint="eastAsia"/>
          <w:b/>
          <w:kern w:val="0"/>
          <w:sz w:val="28"/>
          <w:szCs w:val="28"/>
        </w:rPr>
        <w:t>可供取用</w:t>
      </w:r>
      <w:proofErr w:type="gramEnd"/>
      <w:r w:rsidRPr="00653E58">
        <w:rPr>
          <w:rFonts w:ascii="標楷體" w:eastAsia="標楷體" w:hAnsi="標楷體" w:cs="Times New Roman" w:hint="eastAsia"/>
          <w:b/>
          <w:kern w:val="0"/>
          <w:sz w:val="28"/>
          <w:szCs w:val="28"/>
        </w:rPr>
        <w:t>，且近期有新建之水資源中心完工啟用增加回收水產量，有待</w:t>
      </w:r>
      <w:proofErr w:type="gramStart"/>
      <w:r w:rsidRPr="00653E58">
        <w:rPr>
          <w:rFonts w:ascii="標楷體" w:eastAsia="標楷體" w:hAnsi="標楷體" w:cs="Times New Roman" w:hint="eastAsia"/>
          <w:b/>
          <w:kern w:val="0"/>
          <w:sz w:val="28"/>
          <w:szCs w:val="28"/>
        </w:rPr>
        <w:t>研</w:t>
      </w:r>
      <w:proofErr w:type="gramEnd"/>
      <w:r w:rsidRPr="00653E58">
        <w:rPr>
          <w:rFonts w:ascii="標楷體" w:eastAsia="標楷體" w:hAnsi="標楷體" w:cs="Times New Roman" w:hint="eastAsia"/>
          <w:b/>
          <w:kern w:val="0"/>
          <w:sz w:val="28"/>
          <w:szCs w:val="28"/>
        </w:rPr>
        <w:t>謀提升取用量</w:t>
      </w:r>
      <w:r w:rsidRPr="00DB2473">
        <w:rPr>
          <w:rFonts w:ascii="標楷體" w:eastAsia="標楷體" w:hAnsi="標楷體" w:cs="Times New Roman" w:hint="eastAsia"/>
          <w:b/>
          <w:sz w:val="28"/>
          <w:szCs w:val="28"/>
        </w:rPr>
        <w:t>。</w:t>
      </w:r>
    </w:p>
    <w:p w14:paraId="59F02C4E" w14:textId="77777777" w:rsidR="00394556" w:rsidRDefault="00314635" w:rsidP="00394556">
      <w:pPr>
        <w:widowControl/>
        <w:tabs>
          <w:tab w:val="left" w:pos="1560"/>
        </w:tabs>
        <w:kinsoku w:val="0"/>
        <w:overflowPunct w:val="0"/>
        <w:spacing w:beforeLines="20" w:before="72" w:line="480" w:lineRule="exact"/>
        <w:ind w:firstLineChars="200" w:firstLine="480"/>
        <w:jc w:val="both"/>
        <w:rPr>
          <w:rFonts w:ascii="標楷體" w:eastAsia="標楷體" w:hAnsi="標楷體" w:cs="Times New Roman"/>
          <w:szCs w:val="20"/>
        </w:rPr>
      </w:pPr>
      <w:r w:rsidRPr="00EC0677">
        <w:rPr>
          <w:rFonts w:ascii="標楷體" w:eastAsia="標楷體" w:hAnsi="標楷體"/>
          <w:bCs/>
          <w:noProof/>
          <w:szCs w:val="24"/>
        </w:rPr>
        <mc:AlternateContent>
          <mc:Choice Requires="wps">
            <w:drawing>
              <wp:anchor distT="45720" distB="45720" distL="114300" distR="114300" simplePos="0" relativeHeight="251796480" behindDoc="1" locked="0" layoutInCell="1" allowOverlap="1" wp14:anchorId="0C08C51C" wp14:editId="047A4086">
                <wp:simplePos x="0" y="0"/>
                <wp:positionH relativeFrom="column">
                  <wp:posOffset>2251710</wp:posOffset>
                </wp:positionH>
                <wp:positionV relativeFrom="paragraph">
                  <wp:posOffset>2268591</wp:posOffset>
                </wp:positionV>
                <wp:extent cx="4133850" cy="2268220"/>
                <wp:effectExtent l="0" t="0" r="0" b="0"/>
                <wp:wrapTight wrapText="bothSides">
                  <wp:wrapPolygon edited="0">
                    <wp:start x="0" y="0"/>
                    <wp:lineTo x="0" y="21406"/>
                    <wp:lineTo x="21500" y="21406"/>
                    <wp:lineTo x="21500" y="0"/>
                    <wp:lineTo x="0" y="0"/>
                  </wp:wrapPolygon>
                </wp:wrapTight>
                <wp:docPr id="9274196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33850" cy="2268220"/>
                        </a:xfrm>
                        <a:prstGeom prst="rect">
                          <a:avLst/>
                        </a:prstGeom>
                        <a:solidFill>
                          <a:srgbClr val="FFFFFF"/>
                        </a:solidFill>
                        <a:ln w="9525">
                          <a:noFill/>
                          <a:miter lim="800000"/>
                          <a:headEnd/>
                          <a:tailEnd/>
                        </a:ln>
                      </wps:spPr>
                      <wps:txbx>
                        <w:txbxContent>
                          <w:tbl>
                            <w:tblPr>
                              <w:tblW w:w="6237" w:type="dxa"/>
                              <w:tblLook w:val="04A0" w:firstRow="1" w:lastRow="0" w:firstColumn="1" w:lastColumn="0" w:noHBand="0" w:noVBand="1"/>
                            </w:tblPr>
                            <w:tblGrid>
                              <w:gridCol w:w="709"/>
                              <w:gridCol w:w="1418"/>
                              <w:gridCol w:w="1275"/>
                              <w:gridCol w:w="851"/>
                              <w:gridCol w:w="1134"/>
                              <w:gridCol w:w="850"/>
                            </w:tblGrid>
                            <w:tr w:rsidR="00D74004" w:rsidRPr="007001C9" w14:paraId="0C7CF643" w14:textId="77777777" w:rsidTr="00824CD6">
                              <w:trPr>
                                <w:trHeight w:val="289"/>
                              </w:trPr>
                              <w:tc>
                                <w:tcPr>
                                  <w:tcW w:w="6237" w:type="dxa"/>
                                  <w:gridSpan w:val="6"/>
                                  <w:shd w:val="clear" w:color="auto" w:fill="auto"/>
                                  <w:noWrap/>
                                  <w:vAlign w:val="center"/>
                                </w:tcPr>
                                <w:p w14:paraId="29D5DC9B" w14:textId="77777777" w:rsidR="00D74004" w:rsidRPr="00BC7D23" w:rsidRDefault="00D74004" w:rsidP="00824CD6">
                                  <w:pPr>
                                    <w:spacing w:line="280" w:lineRule="exact"/>
                                    <w:jc w:val="center"/>
                                    <w:rPr>
                                      <w:rFonts w:ascii="標楷體" w:eastAsia="標楷體" w:hAnsi="標楷體" w:cs="Calibri"/>
                                      <w:b/>
                                      <w:color w:val="000000"/>
                                      <w:szCs w:val="24"/>
                                    </w:rPr>
                                  </w:pPr>
                                  <w:r w:rsidRPr="00BC7D23">
                                    <w:rPr>
                                      <w:rFonts w:ascii="標楷體" w:eastAsia="標楷體" w:hAnsi="標楷體" w:cs="Calibri" w:hint="eastAsia"/>
                                      <w:b/>
                                      <w:color w:val="000000"/>
                                      <w:szCs w:val="24"/>
                                    </w:rPr>
                                    <w:t>表</w:t>
                                  </w:r>
                                  <w:r>
                                    <w:rPr>
                                      <w:rFonts w:ascii="標楷體" w:eastAsia="標楷體" w:hAnsi="標楷體" w:cs="Calibri"/>
                                      <w:b/>
                                      <w:color w:val="000000"/>
                                      <w:szCs w:val="24"/>
                                    </w:rPr>
                                    <w:t>6</w:t>
                                  </w:r>
                                  <w:r w:rsidRPr="00BC7D23">
                                    <w:rPr>
                                      <w:rFonts w:ascii="標楷體" w:eastAsia="標楷體" w:hAnsi="標楷體" w:cs="Calibri" w:hint="eastAsia"/>
                                      <w:b/>
                                      <w:color w:val="000000"/>
                                      <w:szCs w:val="24"/>
                                    </w:rPr>
                                    <w:t xml:space="preserve">　內湖廠及迪化廠</w:t>
                                  </w:r>
                                  <w:r>
                                    <w:rPr>
                                      <w:rFonts w:ascii="標楷體" w:eastAsia="標楷體" w:hAnsi="標楷體" w:cs="Calibri" w:hint="eastAsia"/>
                                      <w:b/>
                                      <w:color w:val="000000"/>
                                      <w:szCs w:val="24"/>
                                    </w:rPr>
                                    <w:t>生產</w:t>
                                  </w:r>
                                  <w:r w:rsidRPr="00BC7D23">
                                    <w:rPr>
                                      <w:rFonts w:ascii="標楷體" w:eastAsia="標楷體" w:hAnsi="標楷體" w:cs="Calibri" w:hint="eastAsia"/>
                                      <w:b/>
                                      <w:color w:val="000000"/>
                                      <w:szCs w:val="24"/>
                                    </w:rPr>
                                    <w:t>回收水</w:t>
                                  </w:r>
                                  <w:r>
                                    <w:rPr>
                                      <w:rFonts w:ascii="標楷體" w:eastAsia="標楷體" w:hAnsi="標楷體" w:cs="Calibri" w:hint="eastAsia"/>
                                      <w:b/>
                                      <w:color w:val="000000"/>
                                      <w:szCs w:val="24"/>
                                    </w:rPr>
                                    <w:t>之</w:t>
                                  </w:r>
                                  <w:r w:rsidRPr="00BC7D23">
                                    <w:rPr>
                                      <w:rFonts w:ascii="標楷體" w:eastAsia="標楷體" w:hAnsi="標楷體" w:cs="Calibri" w:hint="eastAsia"/>
                                      <w:b/>
                                      <w:color w:val="000000"/>
                                      <w:szCs w:val="24"/>
                                    </w:rPr>
                                    <w:t>取用情形</w:t>
                                  </w:r>
                                </w:p>
                              </w:tc>
                            </w:tr>
                            <w:tr w:rsidR="00D74004" w:rsidRPr="007001C9" w14:paraId="6B211F24" w14:textId="77777777" w:rsidTr="00824CD6">
                              <w:trPr>
                                <w:trHeight w:val="227"/>
                              </w:trPr>
                              <w:tc>
                                <w:tcPr>
                                  <w:tcW w:w="6237" w:type="dxa"/>
                                  <w:gridSpan w:val="6"/>
                                  <w:shd w:val="clear" w:color="auto" w:fill="auto"/>
                                  <w:noWrap/>
                                  <w:vAlign w:val="center"/>
                                </w:tcPr>
                                <w:p w14:paraId="3100148C" w14:textId="77777777" w:rsidR="00D74004" w:rsidRPr="007001C9" w:rsidRDefault="00D74004" w:rsidP="00824CD6">
                                  <w:pPr>
                                    <w:spacing w:line="300" w:lineRule="exact"/>
                                    <w:jc w:val="right"/>
                                    <w:rPr>
                                      <w:rFonts w:ascii="標楷體" w:eastAsia="標楷體" w:hAnsi="標楷體" w:cs="Calibri"/>
                                      <w:color w:val="000000"/>
                                      <w:sz w:val="18"/>
                                      <w:szCs w:val="18"/>
                                    </w:rPr>
                                  </w:pPr>
                                  <w:r w:rsidRPr="00D45A2F">
                                    <w:rPr>
                                      <w:rFonts w:ascii="標楷體" w:eastAsia="標楷體" w:hAnsi="標楷體" w:cs="Calibri" w:hint="eastAsia"/>
                                      <w:color w:val="000000"/>
                                      <w:sz w:val="20"/>
                                      <w:szCs w:val="18"/>
                                    </w:rPr>
                                    <w:t>單位：噸、％</w:t>
                                  </w:r>
                                </w:p>
                              </w:tc>
                            </w:tr>
                            <w:tr w:rsidR="00D74004" w:rsidRPr="007001C9" w14:paraId="5B63BF36" w14:textId="77777777" w:rsidTr="00824CD6">
                              <w:trPr>
                                <w:trHeight w:val="227"/>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49193" w14:textId="77777777" w:rsidR="00D74004" w:rsidRPr="00BC7D23" w:rsidRDefault="00D74004" w:rsidP="00824CD6">
                                  <w:pPr>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年度</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1AB03" w14:textId="77777777" w:rsidR="00D74004" w:rsidRPr="00C656EB" w:rsidRDefault="00D74004" w:rsidP="00824CD6">
                                  <w:pPr>
                                    <w:jc w:val="center"/>
                                    <w:rPr>
                                      <w:rFonts w:ascii="標楷體" w:eastAsia="標楷體" w:hAnsi="標楷體" w:cs="Calibri"/>
                                      <w:color w:val="000000"/>
                                      <w:sz w:val="20"/>
                                      <w:szCs w:val="20"/>
                                    </w:rPr>
                                  </w:pPr>
                                  <w:r w:rsidRPr="00C656EB">
                                    <w:rPr>
                                      <w:rFonts w:ascii="標楷體" w:eastAsia="標楷體" w:hAnsi="標楷體" w:cs="新細明體" w:hint="eastAsia"/>
                                      <w:color w:val="000000"/>
                                      <w:sz w:val="20"/>
                                      <w:szCs w:val="20"/>
                                    </w:rPr>
                                    <w:t>合計</w:t>
                                  </w:r>
                                </w:p>
                              </w:tc>
                              <w:tc>
                                <w:tcPr>
                                  <w:tcW w:w="21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44A809C" w14:textId="77777777" w:rsidR="00D74004" w:rsidRPr="00BC7D23" w:rsidRDefault="00D74004" w:rsidP="00824CD6">
                                  <w:pPr>
                                    <w:spacing w:line="300" w:lineRule="exact"/>
                                    <w:jc w:val="center"/>
                                    <w:rPr>
                                      <w:rFonts w:ascii="標楷體" w:eastAsia="標楷體" w:hAnsi="標楷體" w:cs="Calibri"/>
                                      <w:color w:val="000000"/>
                                      <w:sz w:val="20"/>
                                      <w:szCs w:val="20"/>
                                    </w:rPr>
                                  </w:pPr>
                                  <w:r>
                                    <w:rPr>
                                      <w:rFonts w:ascii="標楷體" w:eastAsia="標楷體" w:hAnsi="標楷體" w:cs="Calibri" w:hint="eastAsia"/>
                                      <w:color w:val="000000"/>
                                      <w:sz w:val="20"/>
                                      <w:szCs w:val="20"/>
                                    </w:rPr>
                                    <w:t>污水處理廠內部</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5934B770" w14:textId="77777777" w:rsidR="00D74004" w:rsidRDefault="00D74004" w:rsidP="00824CD6">
                                  <w:pPr>
                                    <w:spacing w:line="300" w:lineRule="exact"/>
                                    <w:jc w:val="center"/>
                                    <w:rPr>
                                      <w:rFonts w:ascii="標楷體" w:eastAsia="標楷體" w:hAnsi="標楷體" w:cs="新細明體"/>
                                      <w:color w:val="000000"/>
                                      <w:sz w:val="20"/>
                                      <w:szCs w:val="20"/>
                                    </w:rPr>
                                  </w:pPr>
                                  <w:r w:rsidRPr="00BC7D23">
                                    <w:rPr>
                                      <w:rFonts w:ascii="標楷體" w:eastAsia="標楷體" w:hAnsi="標楷體" w:cs="新細明體" w:hint="eastAsia"/>
                                      <w:color w:val="000000"/>
                                      <w:sz w:val="20"/>
                                      <w:szCs w:val="20"/>
                                    </w:rPr>
                                    <w:t>其他機關單位</w:t>
                                  </w:r>
                                </w:p>
                                <w:p w14:paraId="566E2A90" w14:textId="77777777" w:rsidR="00D74004" w:rsidRPr="00BC7D23" w:rsidRDefault="00D74004" w:rsidP="00824CD6">
                                  <w:pPr>
                                    <w:spacing w:line="300" w:lineRule="exact"/>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及民間單位</w:t>
                                  </w:r>
                                </w:p>
                              </w:tc>
                            </w:tr>
                            <w:tr w:rsidR="00D74004" w:rsidRPr="007001C9" w14:paraId="6194BF5A" w14:textId="77777777" w:rsidTr="00824CD6">
                              <w:trPr>
                                <w:trHeight w:val="283"/>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AB5FD9" w14:textId="77777777" w:rsidR="00D74004" w:rsidRPr="00BC7D23" w:rsidRDefault="00D74004" w:rsidP="00824CD6">
                                  <w:pPr>
                                    <w:jc w:val="center"/>
                                    <w:rPr>
                                      <w:rFonts w:ascii="標楷體" w:eastAsia="標楷體" w:hAnsi="標楷體" w:cs="Calibri"/>
                                      <w:color w:val="000000"/>
                                      <w:sz w:val="20"/>
                                      <w:szCs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588CA84" w14:textId="77777777" w:rsidR="00D74004" w:rsidRPr="00BC7D23" w:rsidRDefault="00D74004" w:rsidP="00824CD6">
                                  <w:pPr>
                                    <w:jc w:val="center"/>
                                    <w:rPr>
                                      <w:rFonts w:ascii="標楷體" w:eastAsia="標楷體" w:hAnsi="標楷體" w:cs="Calibri"/>
                                      <w:b/>
                                      <w:bCs/>
                                      <w:color w:val="000000"/>
                                      <w:sz w:val="20"/>
                                      <w:szCs w:val="20"/>
                                    </w:rPr>
                                  </w:pP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BCE1D1F" w14:textId="77777777" w:rsidR="00D74004" w:rsidRPr="00BC7D23" w:rsidRDefault="00D74004" w:rsidP="00824CD6">
                                  <w:pPr>
                                    <w:spacing w:line="300" w:lineRule="exact"/>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取用量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4D3FE8C8" w14:textId="77777777" w:rsidR="00D74004" w:rsidRPr="00BC7D23" w:rsidRDefault="00D74004" w:rsidP="00824CD6">
                                  <w:pPr>
                                    <w:spacing w:line="300" w:lineRule="exact"/>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比率</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7D2152D" w14:textId="77777777" w:rsidR="00D74004" w:rsidRPr="00BC7D23" w:rsidRDefault="00D74004" w:rsidP="00824CD6">
                                  <w:pPr>
                                    <w:spacing w:line="300" w:lineRule="exact"/>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取用量</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18334FE" w14:textId="77777777" w:rsidR="00D74004" w:rsidRPr="00BC7D23" w:rsidRDefault="00D74004" w:rsidP="00824CD6">
                                  <w:pPr>
                                    <w:spacing w:line="300" w:lineRule="exact"/>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比率</w:t>
                                  </w:r>
                                </w:p>
                              </w:tc>
                            </w:tr>
                            <w:tr w:rsidR="00D74004" w:rsidRPr="007001C9" w14:paraId="372FF6EF" w14:textId="77777777" w:rsidTr="00394556">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7DB9B0" w14:textId="77777777" w:rsidR="00D74004" w:rsidRPr="00C656EB" w:rsidRDefault="00D74004" w:rsidP="00824CD6">
                                  <w:pPr>
                                    <w:spacing w:line="320" w:lineRule="exact"/>
                                    <w:jc w:val="center"/>
                                    <w:rPr>
                                      <w:rFonts w:ascii="標楷體" w:eastAsia="標楷體" w:hAnsi="標楷體" w:cs="Calibri"/>
                                      <w:b/>
                                      <w:bCs/>
                                      <w:color w:val="000000"/>
                                      <w:sz w:val="20"/>
                                      <w:szCs w:val="20"/>
                                    </w:rPr>
                                  </w:pPr>
                                  <w:r w:rsidRPr="00C656EB">
                                    <w:rPr>
                                      <w:rFonts w:ascii="標楷體" w:eastAsia="標楷體" w:hAnsi="標楷體" w:cs="新細明體" w:hint="eastAsia"/>
                                      <w:b/>
                                      <w:bCs/>
                                      <w:color w:val="000000"/>
                                      <w:sz w:val="20"/>
                                      <w:szCs w:val="20"/>
                                    </w:rPr>
                                    <w:t>合計</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4C494E2F" w14:textId="77777777" w:rsidR="00D74004" w:rsidRPr="00C656EB" w:rsidRDefault="00D74004" w:rsidP="00824CD6">
                                  <w:pPr>
                                    <w:spacing w:line="320" w:lineRule="exact"/>
                                    <w:jc w:val="right"/>
                                    <w:rPr>
                                      <w:rFonts w:ascii="標楷體" w:eastAsia="標楷體" w:hAnsi="標楷體" w:cs="Calibri"/>
                                      <w:b/>
                                      <w:bCs/>
                                      <w:color w:val="000000"/>
                                      <w:sz w:val="20"/>
                                      <w:szCs w:val="20"/>
                                    </w:rPr>
                                  </w:pPr>
                                  <w:r w:rsidRPr="00C656EB">
                                    <w:rPr>
                                      <w:rFonts w:ascii="標楷體" w:eastAsia="標楷體" w:hAnsi="標楷體" w:cs="Calibri"/>
                                      <w:b/>
                                      <w:bCs/>
                                      <w:color w:val="000000"/>
                                      <w:sz w:val="20"/>
                                      <w:szCs w:val="20"/>
                                    </w:rPr>
                                    <w:t>13,546,041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33493239" w14:textId="77777777" w:rsidR="00D74004" w:rsidRPr="00C656EB" w:rsidRDefault="00D74004" w:rsidP="00824CD6">
                                  <w:pPr>
                                    <w:spacing w:line="320" w:lineRule="exact"/>
                                    <w:jc w:val="right"/>
                                    <w:rPr>
                                      <w:rFonts w:ascii="標楷體" w:eastAsia="標楷體" w:hAnsi="標楷體" w:cs="Calibri"/>
                                      <w:b/>
                                      <w:bCs/>
                                      <w:color w:val="000000"/>
                                      <w:sz w:val="20"/>
                                      <w:szCs w:val="20"/>
                                    </w:rPr>
                                  </w:pPr>
                                  <w:r w:rsidRPr="00C656EB">
                                    <w:rPr>
                                      <w:rFonts w:ascii="標楷體" w:eastAsia="標楷體" w:hAnsi="標楷體" w:cs="Calibri"/>
                                      <w:b/>
                                      <w:bCs/>
                                      <w:color w:val="000000"/>
                                      <w:sz w:val="20"/>
                                      <w:szCs w:val="20"/>
                                    </w:rPr>
                                    <w:t>13,088,167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A1883AF" w14:textId="77777777" w:rsidR="00D74004" w:rsidRPr="00C656EB" w:rsidRDefault="00D74004" w:rsidP="00824CD6">
                                  <w:pPr>
                                    <w:spacing w:line="320" w:lineRule="exact"/>
                                    <w:jc w:val="right"/>
                                    <w:rPr>
                                      <w:rFonts w:ascii="標楷體" w:eastAsia="標楷體" w:hAnsi="標楷體" w:cs="Calibri"/>
                                      <w:b/>
                                      <w:bCs/>
                                      <w:color w:val="000000"/>
                                      <w:sz w:val="20"/>
                                      <w:szCs w:val="20"/>
                                    </w:rPr>
                                  </w:pPr>
                                  <w:r w:rsidRPr="00C656EB">
                                    <w:rPr>
                                      <w:rFonts w:ascii="標楷體" w:eastAsia="標楷體" w:hAnsi="標楷體" w:cs="Calibri"/>
                                      <w:b/>
                                      <w:bCs/>
                                      <w:color w:val="000000"/>
                                      <w:sz w:val="20"/>
                                      <w:szCs w:val="20"/>
                                    </w:rPr>
                                    <w:t>96.62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9809549" w14:textId="77777777" w:rsidR="00D74004" w:rsidRPr="00C656EB" w:rsidRDefault="00D74004" w:rsidP="00824CD6">
                                  <w:pPr>
                                    <w:spacing w:line="320" w:lineRule="exact"/>
                                    <w:jc w:val="right"/>
                                    <w:rPr>
                                      <w:rFonts w:ascii="標楷體" w:eastAsia="標楷體" w:hAnsi="標楷體" w:cs="Calibri"/>
                                      <w:b/>
                                      <w:bCs/>
                                      <w:color w:val="000000"/>
                                      <w:sz w:val="20"/>
                                      <w:szCs w:val="20"/>
                                    </w:rPr>
                                  </w:pPr>
                                  <w:r w:rsidRPr="00C656EB">
                                    <w:rPr>
                                      <w:rFonts w:ascii="標楷體" w:eastAsia="標楷體" w:hAnsi="標楷體" w:cs="Calibri"/>
                                      <w:b/>
                                      <w:bCs/>
                                      <w:color w:val="000000"/>
                                      <w:sz w:val="20"/>
                                      <w:szCs w:val="20"/>
                                    </w:rPr>
                                    <w:t>457,874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4EBDAA7" w14:textId="77777777" w:rsidR="00D74004" w:rsidRPr="00C656EB" w:rsidRDefault="00D74004" w:rsidP="00824CD6">
                                  <w:pPr>
                                    <w:spacing w:line="320" w:lineRule="exact"/>
                                    <w:jc w:val="right"/>
                                    <w:rPr>
                                      <w:rFonts w:ascii="標楷體" w:eastAsia="標楷體" w:hAnsi="標楷體" w:cs="Calibri"/>
                                      <w:b/>
                                      <w:bCs/>
                                      <w:color w:val="000000"/>
                                      <w:sz w:val="20"/>
                                      <w:szCs w:val="20"/>
                                    </w:rPr>
                                  </w:pPr>
                                  <w:r w:rsidRPr="00C656EB">
                                    <w:rPr>
                                      <w:rFonts w:ascii="標楷體" w:eastAsia="標楷體" w:hAnsi="標楷體" w:cs="Calibri"/>
                                      <w:b/>
                                      <w:bCs/>
                                      <w:color w:val="000000"/>
                                      <w:sz w:val="20"/>
                                      <w:szCs w:val="20"/>
                                    </w:rPr>
                                    <w:t>3.38</w:t>
                                  </w:r>
                                </w:p>
                              </w:tc>
                            </w:tr>
                            <w:tr w:rsidR="00D74004" w:rsidRPr="007001C9" w14:paraId="630F3C5E" w14:textId="77777777" w:rsidTr="00394556">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1067E" w14:textId="77777777" w:rsidR="00D74004" w:rsidRPr="00BC7D23" w:rsidRDefault="00D74004" w:rsidP="00824CD6">
                                  <w:pPr>
                                    <w:spacing w:line="320" w:lineRule="exact"/>
                                    <w:jc w:val="center"/>
                                    <w:rPr>
                                      <w:rFonts w:ascii="標楷體" w:eastAsia="標楷體" w:hAnsi="標楷體" w:cs="Calibri"/>
                                      <w:color w:val="000000"/>
                                      <w:sz w:val="20"/>
                                      <w:szCs w:val="20"/>
                                    </w:rPr>
                                  </w:pPr>
                                  <w:r w:rsidRPr="00BC7D23">
                                    <w:rPr>
                                      <w:rFonts w:ascii="標楷體" w:eastAsia="標楷體" w:hAnsi="標楷體" w:cs="Calibri"/>
                                      <w:color w:val="000000"/>
                                      <w:sz w:val="20"/>
                                      <w:szCs w:val="20"/>
                                    </w:rPr>
                                    <w:t>111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7C02D72D" w14:textId="77777777" w:rsidR="00D74004" w:rsidRPr="00BC7D23" w:rsidRDefault="00D74004" w:rsidP="00824CD6">
                                  <w:pPr>
                                    <w:spacing w:line="320" w:lineRule="exact"/>
                                    <w:jc w:val="right"/>
                                    <w:rPr>
                                      <w:rFonts w:ascii="標楷體" w:eastAsia="標楷體" w:hAnsi="標楷體" w:cs="Calibri"/>
                                      <w:b/>
                                      <w:bCs/>
                                      <w:color w:val="000000"/>
                                      <w:sz w:val="20"/>
                                      <w:szCs w:val="20"/>
                                    </w:rPr>
                                  </w:pPr>
                                  <w:r w:rsidRPr="00BC7D23">
                                    <w:rPr>
                                      <w:rFonts w:ascii="標楷體" w:eastAsia="標楷體" w:hAnsi="標楷體" w:cs="Calibri"/>
                                      <w:b/>
                                      <w:bCs/>
                                      <w:color w:val="000000"/>
                                      <w:sz w:val="20"/>
                                      <w:szCs w:val="20"/>
                                    </w:rPr>
                                    <w:t>4,222,794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405DD86"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4,090,514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4010210A"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96.87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5D061C9"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132,280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6443E19"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3.13</w:t>
                                  </w:r>
                                </w:p>
                              </w:tc>
                            </w:tr>
                            <w:tr w:rsidR="00D74004" w:rsidRPr="007001C9" w14:paraId="21C9018C" w14:textId="77777777" w:rsidTr="00394556">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BC294" w14:textId="77777777" w:rsidR="00D74004" w:rsidRPr="00BC7D23" w:rsidRDefault="00D74004" w:rsidP="00824CD6">
                                  <w:pPr>
                                    <w:spacing w:line="320" w:lineRule="exact"/>
                                    <w:jc w:val="center"/>
                                    <w:rPr>
                                      <w:rFonts w:ascii="標楷體" w:eastAsia="標楷體" w:hAnsi="標楷體" w:cs="Calibri"/>
                                      <w:color w:val="000000"/>
                                      <w:sz w:val="20"/>
                                      <w:szCs w:val="20"/>
                                    </w:rPr>
                                  </w:pPr>
                                  <w:r w:rsidRPr="00BC7D23">
                                    <w:rPr>
                                      <w:rFonts w:ascii="標楷體" w:eastAsia="標楷體" w:hAnsi="標楷體" w:cs="Calibri"/>
                                      <w:color w:val="000000"/>
                                      <w:sz w:val="20"/>
                                      <w:szCs w:val="20"/>
                                    </w:rPr>
                                    <w:t>112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3EB49F34" w14:textId="77777777" w:rsidR="00D74004" w:rsidRPr="00BC7D23" w:rsidRDefault="00D74004" w:rsidP="00824CD6">
                                  <w:pPr>
                                    <w:spacing w:line="320" w:lineRule="exact"/>
                                    <w:jc w:val="right"/>
                                    <w:rPr>
                                      <w:rFonts w:ascii="標楷體" w:eastAsia="標楷體" w:hAnsi="標楷體" w:cs="Calibri"/>
                                      <w:b/>
                                      <w:bCs/>
                                      <w:color w:val="000000"/>
                                      <w:sz w:val="20"/>
                                      <w:szCs w:val="20"/>
                                    </w:rPr>
                                  </w:pPr>
                                  <w:r w:rsidRPr="00BC7D23">
                                    <w:rPr>
                                      <w:rFonts w:ascii="標楷體" w:eastAsia="標楷體" w:hAnsi="標楷體" w:cs="Calibri"/>
                                      <w:b/>
                                      <w:bCs/>
                                      <w:color w:val="000000"/>
                                      <w:sz w:val="20"/>
                                      <w:szCs w:val="20"/>
                                    </w:rPr>
                                    <w:t>4,288,594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324C55E6"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4,116,346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5882163"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95.98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2759BB8"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172,248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4E3C9FF"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4.02</w:t>
                                  </w:r>
                                </w:p>
                              </w:tc>
                            </w:tr>
                            <w:tr w:rsidR="00D74004" w:rsidRPr="007001C9" w14:paraId="75C5E8DD" w14:textId="77777777" w:rsidTr="00394556">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D1D65" w14:textId="77777777" w:rsidR="00D74004" w:rsidRPr="00BC7D23" w:rsidRDefault="00D74004" w:rsidP="00824CD6">
                                  <w:pPr>
                                    <w:spacing w:line="320" w:lineRule="exact"/>
                                    <w:jc w:val="center"/>
                                    <w:rPr>
                                      <w:rFonts w:ascii="標楷體" w:eastAsia="標楷體" w:hAnsi="標楷體" w:cs="Calibri"/>
                                      <w:color w:val="000000"/>
                                      <w:sz w:val="20"/>
                                      <w:szCs w:val="20"/>
                                    </w:rPr>
                                  </w:pPr>
                                  <w:r w:rsidRPr="00BC7D23">
                                    <w:rPr>
                                      <w:rFonts w:ascii="標楷體" w:eastAsia="標楷體" w:hAnsi="標楷體" w:cs="Calibri"/>
                                      <w:color w:val="000000"/>
                                      <w:sz w:val="20"/>
                                      <w:szCs w:val="20"/>
                                    </w:rPr>
                                    <w:t>113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246D74C0" w14:textId="77777777" w:rsidR="00D74004" w:rsidRPr="00BC7D23" w:rsidRDefault="00D74004" w:rsidP="00824CD6">
                                  <w:pPr>
                                    <w:spacing w:line="320" w:lineRule="exact"/>
                                    <w:jc w:val="right"/>
                                    <w:rPr>
                                      <w:rFonts w:ascii="標楷體" w:eastAsia="標楷體" w:hAnsi="標楷體" w:cs="Calibri"/>
                                      <w:b/>
                                      <w:bCs/>
                                      <w:color w:val="000000"/>
                                      <w:sz w:val="20"/>
                                      <w:szCs w:val="20"/>
                                    </w:rPr>
                                  </w:pPr>
                                  <w:r w:rsidRPr="00BC7D23">
                                    <w:rPr>
                                      <w:rFonts w:ascii="標楷體" w:eastAsia="標楷體" w:hAnsi="標楷體" w:cs="Calibri"/>
                                      <w:b/>
                                      <w:bCs/>
                                      <w:color w:val="000000"/>
                                      <w:sz w:val="20"/>
                                      <w:szCs w:val="20"/>
                                    </w:rPr>
                                    <w:t>5,034,653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624A10D"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4,881,307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6432526"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96.95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8F4E9D7"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153,346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6BB9813"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3.05</w:t>
                                  </w:r>
                                </w:p>
                              </w:tc>
                            </w:tr>
                            <w:tr w:rsidR="00D74004" w:rsidRPr="007001C9" w14:paraId="0169CADE" w14:textId="77777777" w:rsidTr="00824CD6">
                              <w:trPr>
                                <w:trHeight w:val="278"/>
                              </w:trPr>
                              <w:tc>
                                <w:tcPr>
                                  <w:tcW w:w="6237" w:type="dxa"/>
                                  <w:gridSpan w:val="6"/>
                                  <w:tcBorders>
                                    <w:top w:val="single" w:sz="4" w:space="0" w:color="auto"/>
                                    <w:left w:val="nil"/>
                                    <w:bottom w:val="nil"/>
                                    <w:right w:val="nil"/>
                                  </w:tcBorders>
                                  <w:shd w:val="clear" w:color="auto" w:fill="auto"/>
                                  <w:noWrap/>
                                  <w:vAlign w:val="center"/>
                                  <w:hideMark/>
                                </w:tcPr>
                                <w:p w14:paraId="44836FEE" w14:textId="77777777" w:rsidR="00D74004" w:rsidRPr="00DB4644" w:rsidRDefault="00D74004" w:rsidP="00824CD6">
                                  <w:pPr>
                                    <w:spacing w:line="240" w:lineRule="exact"/>
                                    <w:rPr>
                                      <w:rFonts w:ascii="標楷體" w:eastAsia="標楷體" w:hAnsi="標楷體" w:cs="新細明體"/>
                                      <w:color w:val="000000"/>
                                      <w:sz w:val="18"/>
                                      <w:szCs w:val="18"/>
                                    </w:rPr>
                                  </w:pPr>
                                  <w:r w:rsidRPr="00DB4644">
                                    <w:rPr>
                                      <w:rFonts w:ascii="標楷體" w:eastAsia="標楷體" w:hAnsi="標楷體" w:cs="新細明體" w:hint="eastAsia"/>
                                      <w:color w:val="000000"/>
                                      <w:sz w:val="18"/>
                                      <w:szCs w:val="18"/>
                                    </w:rPr>
                                    <w:t>資料來源：整理自</w:t>
                                  </w:r>
                                  <w:r>
                                    <w:rPr>
                                      <w:rFonts w:ascii="標楷體" w:eastAsia="標楷體" w:hAnsi="標楷體" w:cs="新細明體" w:hint="eastAsia"/>
                                      <w:color w:val="000000"/>
                                      <w:sz w:val="18"/>
                                      <w:szCs w:val="18"/>
                                    </w:rPr>
                                    <w:t>衛生下水道工程</w:t>
                                  </w:r>
                                  <w:r w:rsidRPr="00DB4644">
                                    <w:rPr>
                                      <w:rFonts w:ascii="標楷體" w:eastAsia="標楷體" w:hAnsi="標楷體" w:cs="新細明體" w:hint="eastAsia"/>
                                      <w:color w:val="000000"/>
                                      <w:sz w:val="18"/>
                                      <w:szCs w:val="18"/>
                                    </w:rPr>
                                    <w:t>處提供資料。</w:t>
                                  </w:r>
                                </w:p>
                              </w:tc>
                            </w:tr>
                          </w:tbl>
                          <w:p w14:paraId="52984C1D" w14:textId="6FC1C370" w:rsidR="00D74004" w:rsidRDefault="00394556" w:rsidP="00D74004">
                            <w:r>
                              <w:rPr>
                                <w:rFonts w:hint="eastAsia"/>
                              </w:rPr>
                              <w:t>1</w:t>
                            </w:r>
                            <w:r>
                              <w:t>1111111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08C51C" id="_x0000_s1083" type="#_x0000_t202" style="position:absolute;left:0;text-align:left;margin-left:177.3pt;margin-top:178.65pt;width:325.5pt;height:178.6pt;z-index:-251520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" stroked="f">
                <v:textbox>
                  <w:txbxContent>
                    <w:tbl>
                      <w:tblPr>
                        <w:tblW w:w="6237" w:type="dxa"/>
                        <w:tblLook w:val="04A0" w:firstRow="1" w:lastRow="0" w:firstColumn="1" w:lastColumn="0" w:noHBand="0" w:noVBand="1"/>
                      </w:tblPr>
                      <w:tblGrid>
                        <w:gridCol w:w="709"/>
                        <w:gridCol w:w="1418"/>
                        <w:gridCol w:w="1275"/>
                        <w:gridCol w:w="851"/>
                        <w:gridCol w:w="1134"/>
                        <w:gridCol w:w="850"/>
                      </w:tblGrid>
                      <w:tr w:rsidR="00D74004" w:rsidRPr="007001C9" w14:paraId="0C7CF643" w14:textId="77777777" w:rsidTr="00824CD6">
                        <w:trPr>
                          <w:trHeight w:val="289"/>
                        </w:trPr>
                        <w:tc>
                          <w:tcPr>
                            <w:tcW w:w="6237" w:type="dxa"/>
                            <w:gridSpan w:val="6"/>
                            <w:shd w:val="clear" w:color="auto" w:fill="auto"/>
                            <w:noWrap/>
                            <w:vAlign w:val="center"/>
                          </w:tcPr>
                          <w:p w14:paraId="29D5DC9B" w14:textId="77777777" w:rsidR="00D74004" w:rsidRPr="00BC7D23" w:rsidRDefault="00D74004" w:rsidP="00824CD6">
                            <w:pPr>
                              <w:spacing w:line="280" w:lineRule="exact"/>
                              <w:jc w:val="center"/>
                              <w:rPr>
                                <w:rFonts w:ascii="標楷體" w:eastAsia="標楷體" w:hAnsi="標楷體" w:cs="Calibri"/>
                                <w:b/>
                                <w:color w:val="000000"/>
                                <w:szCs w:val="24"/>
                              </w:rPr>
                            </w:pPr>
                            <w:r w:rsidRPr="00BC7D23">
                              <w:rPr>
                                <w:rFonts w:ascii="標楷體" w:eastAsia="標楷體" w:hAnsi="標楷體" w:cs="Calibri" w:hint="eastAsia"/>
                                <w:b/>
                                <w:color w:val="000000"/>
                                <w:szCs w:val="24"/>
                              </w:rPr>
                              <w:t>表</w:t>
                            </w:r>
                            <w:r>
                              <w:rPr>
                                <w:rFonts w:ascii="標楷體" w:eastAsia="標楷體" w:hAnsi="標楷體" w:cs="Calibri"/>
                                <w:b/>
                                <w:color w:val="000000"/>
                                <w:szCs w:val="24"/>
                              </w:rPr>
                              <w:t>6</w:t>
                            </w:r>
                            <w:r w:rsidRPr="00BC7D23">
                              <w:rPr>
                                <w:rFonts w:ascii="標楷體" w:eastAsia="標楷體" w:hAnsi="標楷體" w:cs="Calibri" w:hint="eastAsia"/>
                                <w:b/>
                                <w:color w:val="000000"/>
                                <w:szCs w:val="24"/>
                              </w:rPr>
                              <w:t xml:space="preserve">　內湖廠及迪化廠</w:t>
                            </w:r>
                            <w:r>
                              <w:rPr>
                                <w:rFonts w:ascii="標楷體" w:eastAsia="標楷體" w:hAnsi="標楷體" w:cs="Calibri" w:hint="eastAsia"/>
                                <w:b/>
                                <w:color w:val="000000"/>
                                <w:szCs w:val="24"/>
                              </w:rPr>
                              <w:t>生產</w:t>
                            </w:r>
                            <w:r w:rsidRPr="00BC7D23">
                              <w:rPr>
                                <w:rFonts w:ascii="標楷體" w:eastAsia="標楷體" w:hAnsi="標楷體" w:cs="Calibri" w:hint="eastAsia"/>
                                <w:b/>
                                <w:color w:val="000000"/>
                                <w:szCs w:val="24"/>
                              </w:rPr>
                              <w:t>回收水</w:t>
                            </w:r>
                            <w:r>
                              <w:rPr>
                                <w:rFonts w:ascii="標楷體" w:eastAsia="標楷體" w:hAnsi="標楷體" w:cs="Calibri" w:hint="eastAsia"/>
                                <w:b/>
                                <w:color w:val="000000"/>
                                <w:szCs w:val="24"/>
                              </w:rPr>
                              <w:t>之</w:t>
                            </w:r>
                            <w:r w:rsidRPr="00BC7D23">
                              <w:rPr>
                                <w:rFonts w:ascii="標楷體" w:eastAsia="標楷體" w:hAnsi="標楷體" w:cs="Calibri" w:hint="eastAsia"/>
                                <w:b/>
                                <w:color w:val="000000"/>
                                <w:szCs w:val="24"/>
                              </w:rPr>
                              <w:t>取用情形</w:t>
                            </w:r>
                          </w:p>
                        </w:tc>
                      </w:tr>
                      <w:tr w:rsidR="00D74004" w:rsidRPr="007001C9" w14:paraId="6B211F24" w14:textId="77777777" w:rsidTr="00824CD6">
                        <w:trPr>
                          <w:trHeight w:val="227"/>
                        </w:trPr>
                        <w:tc>
                          <w:tcPr>
                            <w:tcW w:w="6237" w:type="dxa"/>
                            <w:gridSpan w:val="6"/>
                            <w:shd w:val="clear" w:color="auto" w:fill="auto"/>
                            <w:noWrap/>
                            <w:vAlign w:val="center"/>
                          </w:tcPr>
                          <w:p w14:paraId="3100148C" w14:textId="77777777" w:rsidR="00D74004" w:rsidRPr="007001C9" w:rsidRDefault="00D74004" w:rsidP="00824CD6">
                            <w:pPr>
                              <w:spacing w:line="300" w:lineRule="exact"/>
                              <w:jc w:val="right"/>
                              <w:rPr>
                                <w:rFonts w:ascii="標楷體" w:eastAsia="標楷體" w:hAnsi="標楷體" w:cs="Calibri"/>
                                <w:color w:val="000000"/>
                                <w:sz w:val="18"/>
                                <w:szCs w:val="18"/>
                              </w:rPr>
                            </w:pPr>
                            <w:r w:rsidRPr="00D45A2F">
                              <w:rPr>
                                <w:rFonts w:ascii="標楷體" w:eastAsia="標楷體" w:hAnsi="標楷體" w:cs="Calibri" w:hint="eastAsia"/>
                                <w:color w:val="000000"/>
                                <w:sz w:val="20"/>
                                <w:szCs w:val="18"/>
                              </w:rPr>
                              <w:t>單位：噸、％</w:t>
                            </w:r>
                          </w:p>
                        </w:tc>
                      </w:tr>
                      <w:tr w:rsidR="00D74004" w:rsidRPr="007001C9" w14:paraId="5B63BF36" w14:textId="77777777" w:rsidTr="00824CD6">
                        <w:trPr>
                          <w:trHeight w:val="227"/>
                        </w:trPr>
                        <w:tc>
                          <w:tcPr>
                            <w:tcW w:w="70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49193" w14:textId="77777777" w:rsidR="00D74004" w:rsidRPr="00BC7D23" w:rsidRDefault="00D74004" w:rsidP="00824CD6">
                            <w:pPr>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年度</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41AB03" w14:textId="77777777" w:rsidR="00D74004" w:rsidRPr="00C656EB" w:rsidRDefault="00D74004" w:rsidP="00824CD6">
                            <w:pPr>
                              <w:jc w:val="center"/>
                              <w:rPr>
                                <w:rFonts w:ascii="標楷體" w:eastAsia="標楷體" w:hAnsi="標楷體" w:cs="Calibri"/>
                                <w:color w:val="000000"/>
                                <w:sz w:val="20"/>
                                <w:szCs w:val="20"/>
                              </w:rPr>
                            </w:pPr>
                            <w:r w:rsidRPr="00C656EB">
                              <w:rPr>
                                <w:rFonts w:ascii="標楷體" w:eastAsia="標楷體" w:hAnsi="標楷體" w:cs="新細明體" w:hint="eastAsia"/>
                                <w:color w:val="000000"/>
                                <w:sz w:val="20"/>
                                <w:szCs w:val="20"/>
                              </w:rPr>
                              <w:t>合計</w:t>
                            </w:r>
                          </w:p>
                        </w:tc>
                        <w:tc>
                          <w:tcPr>
                            <w:tcW w:w="212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44A809C" w14:textId="77777777" w:rsidR="00D74004" w:rsidRPr="00BC7D23" w:rsidRDefault="00D74004" w:rsidP="00824CD6">
                            <w:pPr>
                              <w:spacing w:line="300" w:lineRule="exact"/>
                              <w:jc w:val="center"/>
                              <w:rPr>
                                <w:rFonts w:ascii="標楷體" w:eastAsia="標楷體" w:hAnsi="標楷體" w:cs="Calibri"/>
                                <w:color w:val="000000"/>
                                <w:sz w:val="20"/>
                                <w:szCs w:val="20"/>
                              </w:rPr>
                            </w:pPr>
                            <w:r>
                              <w:rPr>
                                <w:rFonts w:ascii="標楷體" w:eastAsia="標楷體" w:hAnsi="標楷體" w:cs="Calibri" w:hint="eastAsia"/>
                                <w:color w:val="000000"/>
                                <w:sz w:val="20"/>
                                <w:szCs w:val="20"/>
                              </w:rPr>
                              <w:t>污水處理廠內部</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5934B770" w14:textId="77777777" w:rsidR="00D74004" w:rsidRDefault="00D74004" w:rsidP="00824CD6">
                            <w:pPr>
                              <w:spacing w:line="300" w:lineRule="exact"/>
                              <w:jc w:val="center"/>
                              <w:rPr>
                                <w:rFonts w:ascii="標楷體" w:eastAsia="標楷體" w:hAnsi="標楷體" w:cs="新細明體"/>
                                <w:color w:val="000000"/>
                                <w:sz w:val="20"/>
                                <w:szCs w:val="20"/>
                              </w:rPr>
                            </w:pPr>
                            <w:r w:rsidRPr="00BC7D23">
                              <w:rPr>
                                <w:rFonts w:ascii="標楷體" w:eastAsia="標楷體" w:hAnsi="標楷體" w:cs="新細明體" w:hint="eastAsia"/>
                                <w:color w:val="000000"/>
                                <w:sz w:val="20"/>
                                <w:szCs w:val="20"/>
                              </w:rPr>
                              <w:t>其他機關單位</w:t>
                            </w:r>
                          </w:p>
                          <w:p w14:paraId="566E2A90" w14:textId="77777777" w:rsidR="00D74004" w:rsidRPr="00BC7D23" w:rsidRDefault="00D74004" w:rsidP="00824CD6">
                            <w:pPr>
                              <w:spacing w:line="300" w:lineRule="exact"/>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及民間單位</w:t>
                            </w:r>
                          </w:p>
                        </w:tc>
                      </w:tr>
                      <w:tr w:rsidR="00D74004" w:rsidRPr="007001C9" w14:paraId="6194BF5A" w14:textId="77777777" w:rsidTr="00824CD6">
                        <w:trPr>
                          <w:trHeight w:val="283"/>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AB5FD9" w14:textId="77777777" w:rsidR="00D74004" w:rsidRPr="00BC7D23" w:rsidRDefault="00D74004" w:rsidP="00824CD6">
                            <w:pPr>
                              <w:jc w:val="center"/>
                              <w:rPr>
                                <w:rFonts w:ascii="標楷體" w:eastAsia="標楷體" w:hAnsi="標楷體" w:cs="Calibri"/>
                                <w:color w:val="000000"/>
                                <w:sz w:val="20"/>
                                <w:szCs w:val="20"/>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7588CA84" w14:textId="77777777" w:rsidR="00D74004" w:rsidRPr="00BC7D23" w:rsidRDefault="00D74004" w:rsidP="00824CD6">
                            <w:pPr>
                              <w:jc w:val="center"/>
                              <w:rPr>
                                <w:rFonts w:ascii="標楷體" w:eastAsia="標楷體" w:hAnsi="標楷體" w:cs="Calibri"/>
                                <w:b/>
                                <w:bCs/>
                                <w:color w:val="000000"/>
                                <w:sz w:val="20"/>
                                <w:szCs w:val="20"/>
                              </w:rPr>
                            </w:pP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BCE1D1F" w14:textId="77777777" w:rsidR="00D74004" w:rsidRPr="00BC7D23" w:rsidRDefault="00D74004" w:rsidP="00824CD6">
                            <w:pPr>
                              <w:spacing w:line="300" w:lineRule="exact"/>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取用量</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4D3FE8C8" w14:textId="77777777" w:rsidR="00D74004" w:rsidRPr="00BC7D23" w:rsidRDefault="00D74004" w:rsidP="00824CD6">
                            <w:pPr>
                              <w:spacing w:line="300" w:lineRule="exact"/>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比率</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7D2152D" w14:textId="77777777" w:rsidR="00D74004" w:rsidRPr="00BC7D23" w:rsidRDefault="00D74004" w:rsidP="00824CD6">
                            <w:pPr>
                              <w:spacing w:line="300" w:lineRule="exact"/>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取用量</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418334FE" w14:textId="77777777" w:rsidR="00D74004" w:rsidRPr="00BC7D23" w:rsidRDefault="00D74004" w:rsidP="00824CD6">
                            <w:pPr>
                              <w:spacing w:line="300" w:lineRule="exact"/>
                              <w:jc w:val="center"/>
                              <w:rPr>
                                <w:rFonts w:ascii="標楷體" w:eastAsia="標楷體" w:hAnsi="標楷體" w:cs="Calibri"/>
                                <w:color w:val="000000"/>
                                <w:sz w:val="20"/>
                                <w:szCs w:val="20"/>
                              </w:rPr>
                            </w:pPr>
                            <w:r w:rsidRPr="00BC7D23">
                              <w:rPr>
                                <w:rFonts w:ascii="標楷體" w:eastAsia="標楷體" w:hAnsi="標楷體" w:cs="新細明體" w:hint="eastAsia"/>
                                <w:color w:val="000000"/>
                                <w:sz w:val="20"/>
                                <w:szCs w:val="20"/>
                              </w:rPr>
                              <w:t>比率</w:t>
                            </w:r>
                          </w:p>
                        </w:tc>
                      </w:tr>
                      <w:tr w:rsidR="00D74004" w:rsidRPr="007001C9" w14:paraId="372FF6EF" w14:textId="77777777" w:rsidTr="00394556">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7DB9B0" w14:textId="77777777" w:rsidR="00D74004" w:rsidRPr="00C656EB" w:rsidRDefault="00D74004" w:rsidP="00824CD6">
                            <w:pPr>
                              <w:spacing w:line="320" w:lineRule="exact"/>
                              <w:jc w:val="center"/>
                              <w:rPr>
                                <w:rFonts w:ascii="標楷體" w:eastAsia="標楷體" w:hAnsi="標楷體" w:cs="Calibri"/>
                                <w:b/>
                                <w:bCs/>
                                <w:color w:val="000000"/>
                                <w:sz w:val="20"/>
                                <w:szCs w:val="20"/>
                              </w:rPr>
                            </w:pPr>
                            <w:r w:rsidRPr="00C656EB">
                              <w:rPr>
                                <w:rFonts w:ascii="標楷體" w:eastAsia="標楷體" w:hAnsi="標楷體" w:cs="新細明體" w:hint="eastAsia"/>
                                <w:b/>
                                <w:bCs/>
                                <w:color w:val="000000"/>
                                <w:sz w:val="20"/>
                                <w:szCs w:val="20"/>
                              </w:rPr>
                              <w:t>合計</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4C494E2F" w14:textId="77777777" w:rsidR="00D74004" w:rsidRPr="00C656EB" w:rsidRDefault="00D74004" w:rsidP="00824CD6">
                            <w:pPr>
                              <w:spacing w:line="320" w:lineRule="exact"/>
                              <w:jc w:val="right"/>
                              <w:rPr>
                                <w:rFonts w:ascii="標楷體" w:eastAsia="標楷體" w:hAnsi="標楷體" w:cs="Calibri"/>
                                <w:b/>
                                <w:bCs/>
                                <w:color w:val="000000"/>
                                <w:sz w:val="20"/>
                                <w:szCs w:val="20"/>
                              </w:rPr>
                            </w:pPr>
                            <w:r w:rsidRPr="00C656EB">
                              <w:rPr>
                                <w:rFonts w:ascii="標楷體" w:eastAsia="標楷體" w:hAnsi="標楷體" w:cs="Calibri"/>
                                <w:b/>
                                <w:bCs/>
                                <w:color w:val="000000"/>
                                <w:sz w:val="20"/>
                                <w:szCs w:val="20"/>
                              </w:rPr>
                              <w:t>13,546,041</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33493239" w14:textId="77777777" w:rsidR="00D74004" w:rsidRPr="00C656EB" w:rsidRDefault="00D74004" w:rsidP="00824CD6">
                            <w:pPr>
                              <w:spacing w:line="320" w:lineRule="exact"/>
                              <w:jc w:val="right"/>
                              <w:rPr>
                                <w:rFonts w:ascii="標楷體" w:eastAsia="標楷體" w:hAnsi="標楷體" w:cs="Calibri"/>
                                <w:b/>
                                <w:bCs/>
                                <w:color w:val="000000"/>
                                <w:sz w:val="20"/>
                                <w:szCs w:val="20"/>
                              </w:rPr>
                            </w:pPr>
                            <w:r w:rsidRPr="00C656EB">
                              <w:rPr>
                                <w:rFonts w:ascii="標楷體" w:eastAsia="標楷體" w:hAnsi="標楷體" w:cs="Calibri"/>
                                <w:b/>
                                <w:bCs/>
                                <w:color w:val="000000"/>
                                <w:sz w:val="20"/>
                                <w:szCs w:val="20"/>
                              </w:rPr>
                              <w:t>13,088,167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A1883AF" w14:textId="77777777" w:rsidR="00D74004" w:rsidRPr="00C656EB" w:rsidRDefault="00D74004" w:rsidP="00824CD6">
                            <w:pPr>
                              <w:spacing w:line="320" w:lineRule="exact"/>
                              <w:jc w:val="right"/>
                              <w:rPr>
                                <w:rFonts w:ascii="標楷體" w:eastAsia="標楷體" w:hAnsi="標楷體" w:cs="Calibri"/>
                                <w:b/>
                                <w:bCs/>
                                <w:color w:val="000000"/>
                                <w:sz w:val="20"/>
                                <w:szCs w:val="20"/>
                              </w:rPr>
                            </w:pPr>
                            <w:r w:rsidRPr="00C656EB">
                              <w:rPr>
                                <w:rFonts w:ascii="標楷體" w:eastAsia="標楷體" w:hAnsi="標楷體" w:cs="Calibri"/>
                                <w:b/>
                                <w:bCs/>
                                <w:color w:val="000000"/>
                                <w:sz w:val="20"/>
                                <w:szCs w:val="20"/>
                              </w:rPr>
                              <w:t>96.62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9809549" w14:textId="77777777" w:rsidR="00D74004" w:rsidRPr="00C656EB" w:rsidRDefault="00D74004" w:rsidP="00824CD6">
                            <w:pPr>
                              <w:spacing w:line="320" w:lineRule="exact"/>
                              <w:jc w:val="right"/>
                              <w:rPr>
                                <w:rFonts w:ascii="標楷體" w:eastAsia="標楷體" w:hAnsi="標楷體" w:cs="Calibri"/>
                                <w:b/>
                                <w:bCs/>
                                <w:color w:val="000000"/>
                                <w:sz w:val="20"/>
                                <w:szCs w:val="20"/>
                              </w:rPr>
                            </w:pPr>
                            <w:r w:rsidRPr="00C656EB">
                              <w:rPr>
                                <w:rFonts w:ascii="標楷體" w:eastAsia="標楷體" w:hAnsi="標楷體" w:cs="Calibri"/>
                                <w:b/>
                                <w:bCs/>
                                <w:color w:val="000000"/>
                                <w:sz w:val="20"/>
                                <w:szCs w:val="20"/>
                              </w:rPr>
                              <w:t>457,874</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14EBDAA7" w14:textId="77777777" w:rsidR="00D74004" w:rsidRPr="00C656EB" w:rsidRDefault="00D74004" w:rsidP="00824CD6">
                            <w:pPr>
                              <w:spacing w:line="320" w:lineRule="exact"/>
                              <w:jc w:val="right"/>
                              <w:rPr>
                                <w:rFonts w:ascii="標楷體" w:eastAsia="標楷體" w:hAnsi="標楷體" w:cs="Calibri"/>
                                <w:b/>
                                <w:bCs/>
                                <w:color w:val="000000"/>
                                <w:sz w:val="20"/>
                                <w:szCs w:val="20"/>
                              </w:rPr>
                            </w:pPr>
                            <w:r w:rsidRPr="00C656EB">
                              <w:rPr>
                                <w:rFonts w:ascii="標楷體" w:eastAsia="標楷體" w:hAnsi="標楷體" w:cs="Calibri"/>
                                <w:b/>
                                <w:bCs/>
                                <w:color w:val="000000"/>
                                <w:sz w:val="20"/>
                                <w:szCs w:val="20"/>
                              </w:rPr>
                              <w:t>3.38</w:t>
                            </w:r>
                          </w:p>
                        </w:tc>
                      </w:tr>
                      <w:tr w:rsidR="00D74004" w:rsidRPr="007001C9" w14:paraId="630F3C5E" w14:textId="77777777" w:rsidTr="00394556">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1067E" w14:textId="77777777" w:rsidR="00D74004" w:rsidRPr="00BC7D23" w:rsidRDefault="00D74004" w:rsidP="00824CD6">
                            <w:pPr>
                              <w:spacing w:line="320" w:lineRule="exact"/>
                              <w:jc w:val="center"/>
                              <w:rPr>
                                <w:rFonts w:ascii="標楷體" w:eastAsia="標楷體" w:hAnsi="標楷體" w:cs="Calibri"/>
                                <w:color w:val="000000"/>
                                <w:sz w:val="20"/>
                                <w:szCs w:val="20"/>
                              </w:rPr>
                            </w:pPr>
                            <w:r w:rsidRPr="00BC7D23">
                              <w:rPr>
                                <w:rFonts w:ascii="標楷體" w:eastAsia="標楷體" w:hAnsi="標楷體" w:cs="Calibri"/>
                                <w:color w:val="000000"/>
                                <w:sz w:val="20"/>
                                <w:szCs w:val="20"/>
                              </w:rPr>
                              <w:t>111</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7C02D72D" w14:textId="77777777" w:rsidR="00D74004" w:rsidRPr="00BC7D23" w:rsidRDefault="00D74004" w:rsidP="00824CD6">
                            <w:pPr>
                              <w:spacing w:line="320" w:lineRule="exact"/>
                              <w:jc w:val="right"/>
                              <w:rPr>
                                <w:rFonts w:ascii="標楷體" w:eastAsia="標楷體" w:hAnsi="標楷體" w:cs="Calibri"/>
                                <w:b/>
                                <w:bCs/>
                                <w:color w:val="000000"/>
                                <w:sz w:val="20"/>
                                <w:szCs w:val="20"/>
                              </w:rPr>
                            </w:pPr>
                            <w:r w:rsidRPr="00BC7D23">
                              <w:rPr>
                                <w:rFonts w:ascii="標楷體" w:eastAsia="標楷體" w:hAnsi="標楷體" w:cs="Calibri"/>
                                <w:b/>
                                <w:bCs/>
                                <w:color w:val="000000"/>
                                <w:sz w:val="20"/>
                                <w:szCs w:val="20"/>
                              </w:rPr>
                              <w:t>4,222,794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405DD86"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4,090,514</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4010210A"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96.87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5D061C9"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132,280</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66443E19"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3.13</w:t>
                            </w:r>
                          </w:p>
                        </w:tc>
                      </w:tr>
                      <w:tr w:rsidR="00D74004" w:rsidRPr="007001C9" w14:paraId="21C9018C" w14:textId="77777777" w:rsidTr="00394556">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BC294" w14:textId="77777777" w:rsidR="00D74004" w:rsidRPr="00BC7D23" w:rsidRDefault="00D74004" w:rsidP="00824CD6">
                            <w:pPr>
                              <w:spacing w:line="320" w:lineRule="exact"/>
                              <w:jc w:val="center"/>
                              <w:rPr>
                                <w:rFonts w:ascii="標楷體" w:eastAsia="標楷體" w:hAnsi="標楷體" w:cs="Calibri"/>
                                <w:color w:val="000000"/>
                                <w:sz w:val="20"/>
                                <w:szCs w:val="20"/>
                              </w:rPr>
                            </w:pPr>
                            <w:r w:rsidRPr="00BC7D23">
                              <w:rPr>
                                <w:rFonts w:ascii="標楷體" w:eastAsia="標楷體" w:hAnsi="標楷體" w:cs="Calibri"/>
                                <w:color w:val="000000"/>
                                <w:sz w:val="20"/>
                                <w:szCs w:val="20"/>
                              </w:rPr>
                              <w:t>112</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3EB49F34" w14:textId="77777777" w:rsidR="00D74004" w:rsidRPr="00BC7D23" w:rsidRDefault="00D74004" w:rsidP="00824CD6">
                            <w:pPr>
                              <w:spacing w:line="320" w:lineRule="exact"/>
                              <w:jc w:val="right"/>
                              <w:rPr>
                                <w:rFonts w:ascii="標楷體" w:eastAsia="標楷體" w:hAnsi="標楷體" w:cs="Calibri"/>
                                <w:b/>
                                <w:bCs/>
                                <w:color w:val="000000"/>
                                <w:sz w:val="20"/>
                                <w:szCs w:val="20"/>
                              </w:rPr>
                            </w:pPr>
                            <w:r w:rsidRPr="00BC7D23">
                              <w:rPr>
                                <w:rFonts w:ascii="標楷體" w:eastAsia="標楷體" w:hAnsi="標楷體" w:cs="Calibri"/>
                                <w:b/>
                                <w:bCs/>
                                <w:color w:val="000000"/>
                                <w:sz w:val="20"/>
                                <w:szCs w:val="20"/>
                              </w:rPr>
                              <w:t>4,288,594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324C55E6"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4,116,346</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35882163"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95.98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2759BB8"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172,248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4E3C9FF"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4.02</w:t>
                            </w:r>
                          </w:p>
                        </w:tc>
                      </w:tr>
                      <w:tr w:rsidR="00D74004" w:rsidRPr="007001C9" w14:paraId="75C5E8DD" w14:textId="77777777" w:rsidTr="00394556">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4D1D65" w14:textId="77777777" w:rsidR="00D74004" w:rsidRPr="00BC7D23" w:rsidRDefault="00D74004" w:rsidP="00824CD6">
                            <w:pPr>
                              <w:spacing w:line="320" w:lineRule="exact"/>
                              <w:jc w:val="center"/>
                              <w:rPr>
                                <w:rFonts w:ascii="標楷體" w:eastAsia="標楷體" w:hAnsi="標楷體" w:cs="Calibri"/>
                                <w:color w:val="000000"/>
                                <w:sz w:val="20"/>
                                <w:szCs w:val="20"/>
                              </w:rPr>
                            </w:pPr>
                            <w:r w:rsidRPr="00BC7D23">
                              <w:rPr>
                                <w:rFonts w:ascii="標楷體" w:eastAsia="標楷體" w:hAnsi="標楷體" w:cs="Calibri"/>
                                <w:color w:val="000000"/>
                                <w:sz w:val="20"/>
                                <w:szCs w:val="20"/>
                              </w:rPr>
                              <w:t>113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246D74C0" w14:textId="77777777" w:rsidR="00D74004" w:rsidRPr="00BC7D23" w:rsidRDefault="00D74004" w:rsidP="00824CD6">
                            <w:pPr>
                              <w:spacing w:line="320" w:lineRule="exact"/>
                              <w:jc w:val="right"/>
                              <w:rPr>
                                <w:rFonts w:ascii="標楷體" w:eastAsia="標楷體" w:hAnsi="標楷體" w:cs="Calibri"/>
                                <w:b/>
                                <w:bCs/>
                                <w:color w:val="000000"/>
                                <w:sz w:val="20"/>
                                <w:szCs w:val="20"/>
                              </w:rPr>
                            </w:pPr>
                            <w:r w:rsidRPr="00BC7D23">
                              <w:rPr>
                                <w:rFonts w:ascii="標楷體" w:eastAsia="標楷體" w:hAnsi="標楷體" w:cs="Calibri"/>
                                <w:b/>
                                <w:bCs/>
                                <w:color w:val="000000"/>
                                <w:sz w:val="20"/>
                                <w:szCs w:val="20"/>
                              </w:rPr>
                              <w:t>5,034,653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624A10D"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4,881,307</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6432526"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96.95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8F4E9D7"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153,346</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56BB9813" w14:textId="77777777" w:rsidR="00D74004" w:rsidRPr="00BC7D23" w:rsidRDefault="00D74004" w:rsidP="00824CD6">
                            <w:pPr>
                              <w:spacing w:line="320" w:lineRule="exact"/>
                              <w:jc w:val="right"/>
                              <w:rPr>
                                <w:rFonts w:ascii="標楷體" w:eastAsia="標楷體" w:hAnsi="標楷體" w:cs="Calibri"/>
                                <w:color w:val="000000"/>
                                <w:sz w:val="20"/>
                                <w:szCs w:val="20"/>
                              </w:rPr>
                            </w:pPr>
                            <w:r w:rsidRPr="00BC7D23">
                              <w:rPr>
                                <w:rFonts w:ascii="標楷體" w:eastAsia="標楷體" w:hAnsi="標楷體" w:cs="Calibri"/>
                                <w:color w:val="000000"/>
                                <w:sz w:val="20"/>
                                <w:szCs w:val="20"/>
                              </w:rPr>
                              <w:t>3.05</w:t>
                            </w:r>
                          </w:p>
                        </w:tc>
                      </w:tr>
                      <w:tr w:rsidR="00D74004" w:rsidRPr="007001C9" w14:paraId="0169CADE" w14:textId="77777777" w:rsidTr="00824CD6">
                        <w:trPr>
                          <w:trHeight w:val="278"/>
                        </w:trPr>
                        <w:tc>
                          <w:tcPr>
                            <w:tcW w:w="6237" w:type="dxa"/>
                            <w:gridSpan w:val="6"/>
                            <w:tcBorders>
                              <w:top w:val="single" w:sz="4" w:space="0" w:color="auto"/>
                              <w:left w:val="nil"/>
                              <w:bottom w:val="nil"/>
                              <w:right w:val="nil"/>
                            </w:tcBorders>
                            <w:shd w:val="clear" w:color="auto" w:fill="auto"/>
                            <w:noWrap/>
                            <w:vAlign w:val="center"/>
                            <w:hideMark/>
                          </w:tcPr>
                          <w:p w14:paraId="44836FEE" w14:textId="77777777" w:rsidR="00D74004" w:rsidRPr="00DB4644" w:rsidRDefault="00D74004" w:rsidP="00824CD6">
                            <w:pPr>
                              <w:spacing w:line="240" w:lineRule="exact"/>
                              <w:rPr>
                                <w:rFonts w:ascii="標楷體" w:eastAsia="標楷體" w:hAnsi="標楷體" w:cs="新細明體"/>
                                <w:color w:val="000000"/>
                                <w:sz w:val="18"/>
                                <w:szCs w:val="18"/>
                              </w:rPr>
                            </w:pPr>
                            <w:r w:rsidRPr="00DB4644">
                              <w:rPr>
                                <w:rFonts w:ascii="標楷體" w:eastAsia="標楷體" w:hAnsi="標楷體" w:cs="新細明體" w:hint="eastAsia"/>
                                <w:color w:val="000000"/>
                                <w:sz w:val="18"/>
                                <w:szCs w:val="18"/>
                              </w:rPr>
                              <w:t>資料來源：整理自</w:t>
                            </w:r>
                            <w:r>
                              <w:rPr>
                                <w:rFonts w:ascii="標楷體" w:eastAsia="標楷體" w:hAnsi="標楷體" w:cs="新細明體" w:hint="eastAsia"/>
                                <w:color w:val="000000"/>
                                <w:sz w:val="18"/>
                                <w:szCs w:val="18"/>
                              </w:rPr>
                              <w:t>衛生下水道工程</w:t>
                            </w:r>
                            <w:r w:rsidRPr="00DB4644">
                              <w:rPr>
                                <w:rFonts w:ascii="標楷體" w:eastAsia="標楷體" w:hAnsi="標楷體" w:cs="新細明體" w:hint="eastAsia"/>
                                <w:color w:val="000000"/>
                                <w:sz w:val="18"/>
                                <w:szCs w:val="18"/>
                              </w:rPr>
                              <w:t>處提供資料。</w:t>
                            </w:r>
                          </w:p>
                        </w:tc>
                      </w:tr>
                    </w:tbl>
                    <w:p w14:paraId="52984C1D" w14:textId="6FC1C370" w:rsidR="00D74004" w:rsidRDefault="00394556" w:rsidP="00D74004">
                      <w:r>
                        <w:rPr>
                          <w:rFonts w:hint="eastAsia"/>
                        </w:rPr>
                        <w:t>1</w:t>
                      </w:r>
                      <w:r>
                        <w:t>1111111</w:t>
                      </w:r>
                    </w:p>
                  </w:txbxContent>
                </v:textbox>
                <w10:wrap type="tight"/>
              </v:shape>
            </w:pict>
          </mc:Fallback>
        </mc:AlternateContent>
      </w:r>
      <w:r w:rsidR="00D74004" w:rsidRPr="005A0949">
        <w:rPr>
          <w:rFonts w:ascii="標楷體" w:eastAsia="標楷體" w:hAnsi="標楷體" w:cs="Times New Roman" w:hint="eastAsia"/>
          <w:szCs w:val="20"/>
        </w:rPr>
        <w:t>衛生下水道工程處（下稱衛工處）為體現市政府循環經濟政策理念，妥善處理接管及截流污水，分別於93及95年啟用內湖、迪化污水處理廠（下稱內湖廠、迪化廠），設計污水處理量共74萬噸/日、可生產</w:t>
      </w:r>
      <w:proofErr w:type="gramStart"/>
      <w:r w:rsidR="00D74004" w:rsidRPr="005A0949">
        <w:rPr>
          <w:rFonts w:ascii="標楷體" w:eastAsia="標楷體" w:hAnsi="標楷體" w:cs="Times New Roman" w:hint="eastAsia"/>
          <w:szCs w:val="20"/>
        </w:rPr>
        <w:t>回收水共3萬噸</w:t>
      </w:r>
      <w:proofErr w:type="gramEnd"/>
      <w:r w:rsidR="00D74004" w:rsidRPr="005A0949">
        <w:rPr>
          <w:rFonts w:ascii="標楷體" w:eastAsia="標楷體" w:hAnsi="標楷體" w:cs="Times New Roman" w:hint="eastAsia"/>
          <w:szCs w:val="20"/>
        </w:rPr>
        <w:t>/日，並視實際需求量生產回收水，供</w:t>
      </w:r>
      <w:proofErr w:type="gramStart"/>
      <w:r w:rsidR="00D74004" w:rsidRPr="005A0949">
        <w:rPr>
          <w:rFonts w:ascii="標楷體" w:eastAsia="標楷體" w:hAnsi="標楷體" w:cs="Times New Roman" w:hint="eastAsia"/>
          <w:szCs w:val="20"/>
        </w:rPr>
        <w:t>內部、外部</w:t>
      </w:r>
      <w:proofErr w:type="gramEnd"/>
      <w:r w:rsidR="00D74004" w:rsidRPr="005A0949">
        <w:rPr>
          <w:rFonts w:ascii="標楷體" w:eastAsia="標楷體" w:hAnsi="標楷體" w:cs="Times New Roman" w:hint="eastAsia"/>
          <w:szCs w:val="20"/>
        </w:rPr>
        <w:t>機關單位及民間取用。衛工處</w:t>
      </w:r>
      <w:proofErr w:type="gramStart"/>
      <w:r w:rsidR="00D74004" w:rsidRPr="005A0949">
        <w:rPr>
          <w:rFonts w:ascii="標楷體" w:eastAsia="標楷體" w:hAnsi="標楷體" w:cs="Times New Roman" w:hint="eastAsia"/>
          <w:szCs w:val="20"/>
        </w:rPr>
        <w:t>113</w:t>
      </w:r>
      <w:proofErr w:type="gramEnd"/>
      <w:r w:rsidR="00D74004" w:rsidRPr="005A0949">
        <w:rPr>
          <w:rFonts w:ascii="標楷體" w:eastAsia="標楷體" w:hAnsi="標楷體" w:cs="Times New Roman" w:hint="eastAsia"/>
          <w:szCs w:val="20"/>
        </w:rPr>
        <w:t>年度編列2億5,600萬元，辦理內湖廠、迪化廠委託代操作維護工作，經統計111至113年度內湖廠及迪化廠回收</w:t>
      </w:r>
      <w:proofErr w:type="gramStart"/>
      <w:r w:rsidR="00D74004" w:rsidRPr="005A0949">
        <w:rPr>
          <w:rFonts w:ascii="標楷體" w:eastAsia="標楷體" w:hAnsi="標楷體" w:cs="Times New Roman" w:hint="eastAsia"/>
          <w:szCs w:val="20"/>
        </w:rPr>
        <w:t>水經取用</w:t>
      </w:r>
      <w:proofErr w:type="gramEnd"/>
      <w:r w:rsidR="00D74004" w:rsidRPr="005A0949">
        <w:rPr>
          <w:rFonts w:ascii="標楷體" w:eastAsia="標楷體" w:hAnsi="標楷體" w:cs="Times New Roman" w:hint="eastAsia"/>
          <w:szCs w:val="20"/>
        </w:rPr>
        <w:t>再利用情形，分別計422萬餘噸、428萬餘噸及503萬餘噸，實際取用量逐年增加，惟近3年</w:t>
      </w:r>
      <w:proofErr w:type="gramStart"/>
      <w:r w:rsidR="00D74004" w:rsidRPr="005A0949">
        <w:rPr>
          <w:rFonts w:ascii="標楷體" w:eastAsia="標楷體" w:hAnsi="標楷體" w:cs="Times New Roman" w:hint="eastAsia"/>
          <w:szCs w:val="20"/>
        </w:rPr>
        <w:t>回收水計生產</w:t>
      </w:r>
      <w:proofErr w:type="gramEnd"/>
      <w:r w:rsidR="00D74004" w:rsidRPr="005A0949">
        <w:rPr>
          <w:rFonts w:ascii="標楷體" w:eastAsia="標楷體" w:hAnsi="標楷體" w:cs="Times New Roman" w:hint="eastAsia"/>
          <w:szCs w:val="20"/>
        </w:rPr>
        <w:t>3,285萬噸，實際取用量計1,354萬餘噸，僅占約</w:t>
      </w:r>
      <w:proofErr w:type="gramStart"/>
      <w:r w:rsidR="00D74004" w:rsidRPr="005A0949">
        <w:rPr>
          <w:rFonts w:ascii="標楷體" w:eastAsia="標楷體" w:hAnsi="標楷體" w:cs="Times New Roman" w:hint="eastAsia"/>
          <w:szCs w:val="20"/>
        </w:rPr>
        <w:t>4成</w:t>
      </w:r>
      <w:proofErr w:type="gramEnd"/>
      <w:r w:rsidR="00D74004" w:rsidRPr="005A0949">
        <w:rPr>
          <w:rFonts w:ascii="標楷體" w:eastAsia="標楷體" w:hAnsi="標楷體" w:cs="Times New Roman" w:hint="eastAsia"/>
          <w:szCs w:val="20"/>
        </w:rPr>
        <w:t>（41.24％），尚有近</w:t>
      </w:r>
      <w:proofErr w:type="gramStart"/>
      <w:r w:rsidR="00D74004" w:rsidRPr="005A0949">
        <w:rPr>
          <w:rFonts w:ascii="標楷體" w:eastAsia="標楷體" w:hAnsi="標楷體" w:cs="Times New Roman" w:hint="eastAsia"/>
          <w:szCs w:val="20"/>
        </w:rPr>
        <w:t>6成</w:t>
      </w:r>
      <w:proofErr w:type="gramEnd"/>
      <w:r w:rsidR="00D74004" w:rsidRPr="005A0949">
        <w:rPr>
          <w:rFonts w:ascii="標楷體" w:eastAsia="標楷體" w:hAnsi="標楷體" w:cs="Times New Roman" w:hint="eastAsia"/>
          <w:szCs w:val="20"/>
        </w:rPr>
        <w:t>餘裕量能</w:t>
      </w:r>
      <w:proofErr w:type="gramStart"/>
      <w:r w:rsidR="00D74004" w:rsidRPr="005A0949">
        <w:rPr>
          <w:rFonts w:ascii="標楷體" w:eastAsia="標楷體" w:hAnsi="標楷體" w:cs="Times New Roman" w:hint="eastAsia"/>
          <w:szCs w:val="20"/>
        </w:rPr>
        <w:t>可供取用</w:t>
      </w:r>
      <w:proofErr w:type="gramEnd"/>
      <w:r w:rsidR="00D74004" w:rsidRPr="005A0949">
        <w:rPr>
          <w:rFonts w:ascii="標楷體" w:eastAsia="標楷體" w:hAnsi="標楷體" w:cs="Times New Roman" w:hint="eastAsia"/>
          <w:szCs w:val="20"/>
        </w:rPr>
        <w:t>；又經分析同期內湖廠及迪化廠生產之回收水，主要係供各該廠內部取用，其餘供市府其他機關單位及民間單位取用量合計45萬餘噸，僅占總</w:t>
      </w:r>
      <w:proofErr w:type="gramStart"/>
      <w:r w:rsidR="00D74004" w:rsidRPr="005A0949">
        <w:rPr>
          <w:rFonts w:ascii="標楷體" w:eastAsia="標楷體" w:hAnsi="標楷體" w:cs="Times New Roman" w:hint="eastAsia"/>
          <w:szCs w:val="20"/>
        </w:rPr>
        <w:t>回收水取用</w:t>
      </w:r>
      <w:proofErr w:type="gramEnd"/>
      <w:r w:rsidR="00D74004" w:rsidRPr="005A0949">
        <w:rPr>
          <w:rFonts w:ascii="標楷體" w:eastAsia="標楷體" w:hAnsi="標楷體" w:cs="Times New Roman" w:hint="eastAsia"/>
          <w:szCs w:val="20"/>
        </w:rPr>
        <w:t>量約3.38％（表</w:t>
      </w:r>
      <w:r w:rsidR="00D74004">
        <w:rPr>
          <w:rFonts w:ascii="標楷體" w:eastAsia="標楷體" w:hAnsi="標楷體" w:cs="Times New Roman" w:hint="eastAsia"/>
          <w:szCs w:val="20"/>
        </w:rPr>
        <w:t>6）</w:t>
      </w:r>
      <w:r w:rsidR="00D74004" w:rsidRPr="005A0949">
        <w:rPr>
          <w:rFonts w:ascii="標楷體" w:eastAsia="標楷體" w:hAnsi="標楷體" w:cs="Times New Roman" w:hint="eastAsia"/>
          <w:szCs w:val="20"/>
        </w:rPr>
        <w:t>，比率未及</w:t>
      </w:r>
      <w:proofErr w:type="gramStart"/>
      <w:r w:rsidR="00D74004" w:rsidRPr="005A0949">
        <w:rPr>
          <w:rFonts w:ascii="標楷體" w:eastAsia="標楷體" w:hAnsi="標楷體" w:cs="Times New Roman" w:hint="eastAsia"/>
          <w:szCs w:val="20"/>
        </w:rPr>
        <w:t>1成</w:t>
      </w:r>
      <w:proofErr w:type="gramEnd"/>
      <w:r w:rsidR="00D74004" w:rsidRPr="005A0949">
        <w:rPr>
          <w:rFonts w:ascii="標楷體" w:eastAsia="標楷體" w:hAnsi="標楷體" w:cs="Times New Roman" w:hint="eastAsia"/>
          <w:szCs w:val="20"/>
        </w:rPr>
        <w:t>，且新建中之民生水資源中心預計將於114年間完成興建啟用，屆時每日將再增加生產1萬噸之回收水，如未能提升取用量，恐無法發揮取代部分自來水用量，以達節約用水之目標，經函請</w:t>
      </w:r>
      <w:proofErr w:type="gramStart"/>
      <w:r w:rsidR="00D74004" w:rsidRPr="005A0949">
        <w:rPr>
          <w:rFonts w:ascii="標楷體" w:eastAsia="標楷體" w:hAnsi="標楷體" w:cs="Times New Roman" w:hint="eastAsia"/>
          <w:szCs w:val="20"/>
        </w:rPr>
        <w:t>研謀妥處</w:t>
      </w:r>
      <w:proofErr w:type="gramEnd"/>
      <w:r w:rsidR="00D74004" w:rsidRPr="005A0949">
        <w:rPr>
          <w:rFonts w:ascii="標楷體" w:eastAsia="標楷體" w:hAnsi="標楷體" w:cs="Times New Roman" w:hint="eastAsia"/>
          <w:szCs w:val="20"/>
        </w:rPr>
        <w:t>。據復：評估</w:t>
      </w:r>
      <w:proofErr w:type="gramStart"/>
      <w:r w:rsidR="00D74004" w:rsidRPr="005A0949">
        <w:rPr>
          <w:rFonts w:ascii="標楷體" w:eastAsia="標楷體" w:hAnsi="標楷體" w:cs="Times New Roman" w:hint="eastAsia"/>
          <w:szCs w:val="20"/>
        </w:rPr>
        <w:t>規劃布設回收</w:t>
      </w:r>
      <w:proofErr w:type="gramEnd"/>
      <w:r w:rsidR="00D74004" w:rsidRPr="005A0949">
        <w:rPr>
          <w:rFonts w:ascii="標楷體" w:eastAsia="標楷體" w:hAnsi="標楷體" w:cs="Times New Roman" w:hint="eastAsia"/>
          <w:szCs w:val="20"/>
        </w:rPr>
        <w:t>水專用管線至內湖區</w:t>
      </w:r>
      <w:proofErr w:type="gramStart"/>
      <w:r w:rsidR="00D74004" w:rsidRPr="005A0949">
        <w:rPr>
          <w:rFonts w:ascii="標楷體" w:eastAsia="標楷體" w:hAnsi="標楷體" w:cs="Times New Roman" w:hint="eastAsia"/>
          <w:szCs w:val="20"/>
        </w:rPr>
        <w:t>舊宗路2段</w:t>
      </w:r>
      <w:proofErr w:type="gramEnd"/>
      <w:r w:rsidR="00D74004" w:rsidRPr="005A0949">
        <w:rPr>
          <w:rFonts w:ascii="標楷體" w:eastAsia="標楷體" w:hAnsi="標楷體" w:cs="Times New Roman" w:hint="eastAsia"/>
          <w:szCs w:val="20"/>
        </w:rPr>
        <w:t>213巷1號，供內湖科技</w:t>
      </w:r>
    </w:p>
    <w:p w14:paraId="0B185DC6" w14:textId="610A0F0C" w:rsidR="00D74004" w:rsidRPr="00DB2473" w:rsidRDefault="00D74004" w:rsidP="00394556">
      <w:pPr>
        <w:widowControl/>
        <w:tabs>
          <w:tab w:val="left" w:pos="1560"/>
        </w:tabs>
        <w:kinsoku w:val="0"/>
        <w:overflowPunct w:val="0"/>
        <w:spacing w:beforeLines="20" w:before="72" w:line="480" w:lineRule="exact"/>
        <w:jc w:val="both"/>
        <w:rPr>
          <w:rFonts w:ascii="標楷體" w:eastAsia="標楷體" w:hAnsi="標楷體" w:cs="Times New Roman"/>
          <w:szCs w:val="20"/>
        </w:rPr>
      </w:pPr>
      <w:r w:rsidRPr="005A0949">
        <w:rPr>
          <w:rFonts w:ascii="標楷體" w:eastAsia="標楷體" w:hAnsi="標楷體" w:cs="Times New Roman" w:hint="eastAsia"/>
          <w:szCs w:val="20"/>
        </w:rPr>
        <w:lastRenderedPageBreak/>
        <w:t>園區附近住戶取用，並定期邀集兩廠周邊之機關及相關廠商辦理</w:t>
      </w:r>
      <w:proofErr w:type="gramStart"/>
      <w:r w:rsidRPr="005A0949">
        <w:rPr>
          <w:rFonts w:ascii="標楷體" w:eastAsia="標楷體" w:hAnsi="標楷體" w:cs="Times New Roman" w:hint="eastAsia"/>
          <w:szCs w:val="20"/>
        </w:rPr>
        <w:t>回收水取用</w:t>
      </w:r>
      <w:proofErr w:type="gramEnd"/>
      <w:r w:rsidRPr="005A0949">
        <w:rPr>
          <w:rFonts w:ascii="標楷體" w:eastAsia="標楷體" w:hAnsi="標楷體" w:cs="Times New Roman" w:hint="eastAsia"/>
          <w:szCs w:val="20"/>
        </w:rPr>
        <w:t>推廣說明會，加強宣傳推廣，以提升回收水使用量。</w:t>
      </w:r>
    </w:p>
    <w:p w14:paraId="40D21BD1" w14:textId="77777777" w:rsidR="00D74004" w:rsidRPr="00DB2473" w:rsidRDefault="00D74004" w:rsidP="00D74004">
      <w:pPr>
        <w:spacing w:before="120" w:after="120" w:line="460" w:lineRule="exact"/>
        <w:jc w:val="both"/>
        <w:outlineLvl w:val="2"/>
        <w:rPr>
          <w:rFonts w:ascii="標楷體" w:eastAsia="標楷體" w:hAnsi="Times New Roman" w:cs="Times New Roman"/>
          <w:b/>
          <w:sz w:val="32"/>
          <w:szCs w:val="32"/>
        </w:rPr>
      </w:pPr>
      <w:r w:rsidRPr="00DB2473">
        <w:rPr>
          <w:rFonts w:ascii="標楷體" w:eastAsia="標楷體" w:hAnsi="Times New Roman" w:cs="Times New Roman" w:hint="eastAsia"/>
          <w:b/>
          <w:sz w:val="32"/>
          <w:szCs w:val="32"/>
        </w:rPr>
        <w:t>四、</w:t>
      </w:r>
      <w:proofErr w:type="gramStart"/>
      <w:r w:rsidRPr="00DB2473">
        <w:rPr>
          <w:rFonts w:ascii="標楷體" w:eastAsia="標楷體" w:hAnsi="Times New Roman" w:cs="Times New Roman"/>
          <w:b/>
          <w:sz w:val="32"/>
          <w:szCs w:val="32"/>
        </w:rPr>
        <w:t>11</w:t>
      </w:r>
      <w:r>
        <w:rPr>
          <w:rFonts w:ascii="標楷體" w:eastAsia="標楷體" w:hAnsi="Times New Roman" w:cs="Times New Roman"/>
          <w:b/>
          <w:sz w:val="32"/>
          <w:szCs w:val="32"/>
        </w:rPr>
        <w:t>2</w:t>
      </w:r>
      <w:proofErr w:type="gramEnd"/>
      <w:r w:rsidRPr="00DB2473">
        <w:rPr>
          <w:rFonts w:ascii="標楷體" w:eastAsia="標楷體" w:hAnsi="Times New Roman" w:cs="Times New Roman" w:hint="eastAsia"/>
          <w:b/>
          <w:sz w:val="32"/>
          <w:szCs w:val="32"/>
        </w:rPr>
        <w:t>年度重要審核意見追蹤查核情形</w:t>
      </w:r>
    </w:p>
    <w:p w14:paraId="5782052E" w14:textId="77777777" w:rsidR="00D74004" w:rsidRPr="005A0949" w:rsidRDefault="00D74004" w:rsidP="00394556">
      <w:pPr>
        <w:widowControl/>
        <w:overflowPunct w:val="0"/>
        <w:spacing w:line="460" w:lineRule="exact"/>
        <w:ind w:firstLineChars="200" w:firstLine="480"/>
        <w:jc w:val="both"/>
        <w:rPr>
          <w:rFonts w:ascii="標楷體" w:eastAsia="標楷體" w:hAnsi="標楷體" w:cs="Times New Roman"/>
          <w:szCs w:val="24"/>
        </w:rPr>
      </w:pPr>
      <w:r w:rsidRPr="00DB2473">
        <w:rPr>
          <w:rFonts w:ascii="標楷體" w:eastAsia="標楷體" w:hAnsi="Times New Roman" w:cs="Times New Roman" w:hint="eastAsia"/>
          <w:szCs w:val="24"/>
        </w:rPr>
        <w:t>本處於</w:t>
      </w:r>
      <w:proofErr w:type="gramStart"/>
      <w:r w:rsidRPr="00DB2473">
        <w:rPr>
          <w:rFonts w:ascii="標楷體" w:eastAsia="標楷體" w:hAnsi="Times New Roman" w:cs="Times New Roman"/>
          <w:szCs w:val="24"/>
        </w:rPr>
        <w:t>11</w:t>
      </w:r>
      <w:r>
        <w:rPr>
          <w:rFonts w:ascii="標楷體" w:eastAsia="標楷體" w:hAnsi="Times New Roman" w:cs="Times New Roman"/>
          <w:szCs w:val="24"/>
        </w:rPr>
        <w:t>2</w:t>
      </w:r>
      <w:proofErr w:type="gramEnd"/>
      <w:r w:rsidRPr="00DB2473">
        <w:rPr>
          <w:rFonts w:ascii="標楷體" w:eastAsia="標楷體" w:hAnsi="Times New Roman" w:cs="Times New Roman" w:hint="eastAsia"/>
          <w:szCs w:val="24"/>
        </w:rPr>
        <w:t>年度審核報告內列重要審核意見</w:t>
      </w:r>
      <w:r>
        <w:rPr>
          <w:rFonts w:ascii="標楷體" w:eastAsia="標楷體" w:hAnsi="Times New Roman" w:cs="Times New Roman"/>
          <w:szCs w:val="24"/>
        </w:rPr>
        <w:t>10</w:t>
      </w:r>
      <w:r w:rsidRPr="00DB2473">
        <w:rPr>
          <w:rFonts w:ascii="標楷體" w:eastAsia="標楷體" w:hAnsi="Times New Roman" w:cs="Times New Roman" w:hint="eastAsia"/>
          <w:szCs w:val="24"/>
        </w:rPr>
        <w:t>項，經</w:t>
      </w:r>
      <w:proofErr w:type="gramStart"/>
      <w:r w:rsidRPr="00DB2473">
        <w:rPr>
          <w:rFonts w:ascii="標楷體" w:eastAsia="標楷體" w:hAnsi="Times New Roman" w:cs="Times New Roman" w:hint="eastAsia"/>
          <w:szCs w:val="24"/>
        </w:rPr>
        <w:t>賡</w:t>
      </w:r>
      <w:proofErr w:type="gramEnd"/>
      <w:r w:rsidRPr="00DB2473">
        <w:rPr>
          <w:rFonts w:ascii="標楷體" w:eastAsia="標楷體" w:hAnsi="Times New Roman" w:cs="Times New Roman" w:hint="eastAsia"/>
          <w:szCs w:val="24"/>
        </w:rPr>
        <w:t>續追蹤查核實際辦理結果，均已</w:t>
      </w:r>
      <w:proofErr w:type="gramStart"/>
      <w:r w:rsidRPr="00DB2473">
        <w:rPr>
          <w:rFonts w:ascii="標楷體" w:eastAsia="標楷體" w:hAnsi="Times New Roman" w:cs="Times New Roman" w:hint="eastAsia"/>
          <w:szCs w:val="24"/>
        </w:rPr>
        <w:t>研</w:t>
      </w:r>
      <w:proofErr w:type="gramEnd"/>
      <w:r w:rsidRPr="00DB2473">
        <w:rPr>
          <w:rFonts w:ascii="標楷體" w:eastAsia="標楷體" w:hAnsi="Times New Roman" w:cs="Times New Roman" w:hint="eastAsia"/>
          <w:szCs w:val="24"/>
        </w:rPr>
        <w:t>謀改善或依改善措施持續辦理</w:t>
      </w:r>
      <w:r w:rsidRPr="005A0949">
        <w:rPr>
          <w:rFonts w:ascii="標楷體" w:eastAsia="標楷體" w:hAnsi="標楷體" w:cs="Times New Roman" w:hint="eastAsia"/>
          <w:szCs w:val="24"/>
        </w:rPr>
        <w:t>（表7）。</w:t>
      </w:r>
    </w:p>
    <w:p w14:paraId="320D90E6" w14:textId="77777777" w:rsidR="00D74004" w:rsidRPr="00DB2473" w:rsidRDefault="00D74004" w:rsidP="00394556">
      <w:pPr>
        <w:widowControl/>
        <w:spacing w:line="460" w:lineRule="exact"/>
        <w:ind w:left="720" w:rightChars="-167" w:right="-401" w:hanging="1004"/>
        <w:jc w:val="center"/>
        <w:rPr>
          <w:rFonts w:ascii="標楷體" w:eastAsia="標楷體" w:hAnsi="標楷體" w:cs="Times New Roman"/>
          <w:b/>
          <w:szCs w:val="20"/>
          <w:highlight w:val="yellow"/>
        </w:rPr>
      </w:pPr>
      <w:r w:rsidRPr="005A0949">
        <w:rPr>
          <w:rFonts w:ascii="標楷體" w:eastAsia="標楷體" w:hAnsi="標楷體" w:cs="Times New Roman" w:hint="eastAsia"/>
          <w:b/>
          <w:szCs w:val="20"/>
        </w:rPr>
        <w:t xml:space="preserve">表7　</w:t>
      </w:r>
      <w:proofErr w:type="gramStart"/>
      <w:r w:rsidRPr="005A0949">
        <w:rPr>
          <w:rFonts w:ascii="標楷體" w:eastAsia="標楷體" w:hAnsi="標楷體" w:cs="Times New Roman"/>
          <w:b/>
          <w:szCs w:val="20"/>
        </w:rPr>
        <w:t>112</w:t>
      </w:r>
      <w:proofErr w:type="gramEnd"/>
      <w:r w:rsidRPr="005A0949">
        <w:rPr>
          <w:rFonts w:ascii="標楷體" w:eastAsia="標楷體" w:hAnsi="標楷體" w:cs="Times New Roman" w:hint="eastAsia"/>
          <w:b/>
          <w:szCs w:val="20"/>
        </w:rPr>
        <w:t>年度審</w:t>
      </w:r>
      <w:r w:rsidRPr="00DB2473">
        <w:rPr>
          <w:rFonts w:ascii="標楷體" w:eastAsia="標楷體" w:hAnsi="標楷體" w:cs="Times New Roman" w:hint="eastAsia"/>
          <w:b/>
          <w:szCs w:val="20"/>
        </w:rPr>
        <w:t>核報告所列工務局主管重要審核意見覆核辦理情形</w:t>
      </w:r>
    </w:p>
    <w:p w14:paraId="4D7CA391" w14:textId="77777777" w:rsidR="00D74004" w:rsidRPr="00DB2473" w:rsidRDefault="00D74004" w:rsidP="00D74004">
      <w:pPr>
        <w:widowControl/>
        <w:overflowPunct w:val="0"/>
        <w:spacing w:line="20" w:lineRule="exact"/>
        <w:jc w:val="both"/>
        <w:rPr>
          <w:rFonts w:ascii="標楷體" w:eastAsia="標楷體" w:hAnsi="Times New Roman" w:cs="Times New Roman"/>
          <w:color w:val="FF0000"/>
          <w:spacing w:val="-2"/>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798"/>
        <w:gridCol w:w="3115"/>
      </w:tblGrid>
      <w:tr w:rsidR="00D74004" w:rsidRPr="00DB2473" w14:paraId="59976074" w14:textId="77777777" w:rsidTr="00394556">
        <w:trPr>
          <w:trHeight w:val="340"/>
          <w:tblHeader/>
          <w:jc w:val="center"/>
        </w:trPr>
        <w:tc>
          <w:tcPr>
            <w:tcW w:w="3429" w:type="pct"/>
            <w:tcBorders>
              <w:top w:val="single" w:sz="4" w:space="0" w:color="auto"/>
              <w:left w:val="single" w:sz="4" w:space="0" w:color="auto"/>
              <w:bottom w:val="single" w:sz="4" w:space="0" w:color="auto"/>
              <w:right w:val="single" w:sz="4" w:space="0" w:color="auto"/>
            </w:tcBorders>
            <w:vAlign w:val="center"/>
          </w:tcPr>
          <w:p w14:paraId="419BCD9D" w14:textId="77777777" w:rsidR="00D74004" w:rsidRPr="00DB2473" w:rsidRDefault="00D74004" w:rsidP="00824CD6">
            <w:pPr>
              <w:widowControl/>
              <w:spacing w:line="240" w:lineRule="exact"/>
              <w:jc w:val="center"/>
              <w:rPr>
                <w:rFonts w:ascii="標楷體" w:eastAsia="標楷體" w:hAnsi="標楷體" w:cs="Times New Roman"/>
                <w:sz w:val="20"/>
                <w:szCs w:val="24"/>
              </w:rPr>
            </w:pPr>
            <w:bookmarkStart w:id="50" w:name="_Hlk43284992"/>
            <w:r w:rsidRPr="00DB2473">
              <w:rPr>
                <w:rFonts w:ascii="標楷體" w:eastAsia="標楷體" w:hAnsi="標楷體" w:cs="Times New Roman" w:hint="eastAsia"/>
                <w:sz w:val="20"/>
                <w:szCs w:val="24"/>
              </w:rPr>
              <w:t>重要審核意見標題</w:t>
            </w:r>
          </w:p>
        </w:tc>
        <w:tc>
          <w:tcPr>
            <w:tcW w:w="1571" w:type="pct"/>
            <w:tcBorders>
              <w:top w:val="single" w:sz="4" w:space="0" w:color="auto"/>
              <w:left w:val="single" w:sz="4" w:space="0" w:color="auto"/>
              <w:bottom w:val="single" w:sz="4" w:space="0" w:color="auto"/>
              <w:right w:val="single" w:sz="4" w:space="0" w:color="auto"/>
            </w:tcBorders>
            <w:vAlign w:val="center"/>
          </w:tcPr>
          <w:p w14:paraId="112BD502" w14:textId="77777777" w:rsidR="00D74004" w:rsidRPr="00DB2473" w:rsidRDefault="00D74004" w:rsidP="00824CD6">
            <w:pPr>
              <w:widowControl/>
              <w:spacing w:line="240" w:lineRule="exact"/>
              <w:jc w:val="center"/>
              <w:rPr>
                <w:rFonts w:ascii="標楷體" w:eastAsia="標楷體" w:hAnsi="標楷體" w:cs="Times New Roman"/>
                <w:sz w:val="20"/>
                <w:szCs w:val="24"/>
              </w:rPr>
            </w:pPr>
            <w:r w:rsidRPr="00DB2473">
              <w:rPr>
                <w:rFonts w:ascii="標楷體" w:eastAsia="標楷體" w:hAnsi="標楷體" w:cs="Times New Roman" w:hint="eastAsia"/>
                <w:sz w:val="20"/>
                <w:szCs w:val="24"/>
              </w:rPr>
              <w:t>說明</w:t>
            </w:r>
          </w:p>
        </w:tc>
      </w:tr>
      <w:tr w:rsidR="00D74004" w:rsidRPr="00DB2473" w14:paraId="2B7F1FCC" w14:textId="77777777" w:rsidTr="00394556">
        <w:trPr>
          <w:trHeight w:val="397"/>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1F5C1ADC" w14:textId="77777777" w:rsidR="00D74004" w:rsidRPr="00DB2473" w:rsidRDefault="00D74004" w:rsidP="00824CD6">
            <w:pPr>
              <w:widowControl/>
              <w:spacing w:line="240" w:lineRule="exact"/>
              <w:jc w:val="both"/>
              <w:rPr>
                <w:rFonts w:ascii="標楷體" w:eastAsia="標楷體" w:hAnsi="標楷體" w:cs="Times New Roman"/>
                <w:b/>
                <w:sz w:val="20"/>
                <w:szCs w:val="24"/>
              </w:rPr>
            </w:pPr>
            <w:r w:rsidRPr="00DB2473">
              <w:rPr>
                <w:rFonts w:ascii="標楷體" w:eastAsia="標楷體" w:hAnsi="標楷體" w:cs="Times New Roman" w:hint="eastAsia"/>
                <w:b/>
                <w:noProof/>
                <w:sz w:val="20"/>
                <w:szCs w:val="24"/>
              </w:rPr>
              <w:t>已研謀改善或依改善措施持續辦理</w:t>
            </w:r>
          </w:p>
        </w:tc>
      </w:tr>
      <w:tr w:rsidR="00AC6C73" w:rsidRPr="00DB2473" w14:paraId="6B3C8514" w14:textId="77777777" w:rsidTr="006501C5">
        <w:trPr>
          <w:trHeight w:val="1247"/>
          <w:jc w:val="center"/>
        </w:trPr>
        <w:tc>
          <w:tcPr>
            <w:tcW w:w="3429" w:type="pct"/>
            <w:tcBorders>
              <w:top w:val="single" w:sz="4" w:space="0" w:color="auto"/>
              <w:left w:val="single" w:sz="4" w:space="0" w:color="auto"/>
              <w:bottom w:val="single" w:sz="4" w:space="0" w:color="auto"/>
              <w:right w:val="single" w:sz="4" w:space="0" w:color="auto"/>
            </w:tcBorders>
            <w:vAlign w:val="center"/>
          </w:tcPr>
          <w:p w14:paraId="46F39F97" w14:textId="77777777" w:rsidR="00AC6C73" w:rsidRPr="00DB2473" w:rsidRDefault="00AC6C73" w:rsidP="00824CD6">
            <w:pPr>
              <w:widowControl/>
              <w:spacing w:after="20" w:line="300" w:lineRule="exact"/>
              <w:ind w:leftChars="-10" w:left="572" w:hangingChars="298" w:hanging="596"/>
              <w:jc w:val="both"/>
              <w:rPr>
                <w:rFonts w:ascii="標楷體" w:eastAsia="標楷體" w:hAnsi="標楷體" w:cs="Times New Roman"/>
                <w:noProof/>
                <w:sz w:val="20"/>
                <w:szCs w:val="24"/>
              </w:rPr>
            </w:pPr>
            <w:r w:rsidRPr="00DB2473">
              <w:rPr>
                <w:rFonts w:ascii="標楷體" w:eastAsia="標楷體" w:hAnsi="標楷體" w:cs="Times New Roman" w:hint="eastAsia"/>
                <w:noProof/>
                <w:sz w:val="20"/>
                <w:szCs w:val="24"/>
              </w:rPr>
              <w:t>（一）</w:t>
            </w:r>
            <w:r w:rsidRPr="00CA5BFE">
              <w:rPr>
                <w:rFonts w:ascii="標楷體" w:eastAsia="標楷體" w:hAnsi="標楷體" w:cs="Times New Roman" w:hint="eastAsia"/>
                <w:noProof/>
                <w:sz w:val="20"/>
                <w:szCs w:val="20"/>
              </w:rPr>
              <w:t>為提升登山步道、風景區、露營場遊憩品質並掌握山坡地變化情形，辦理維護管理及巡勘觀測勞務採購案，惟廠商提送估驗計價履約文件，核有於不同時間、地點之維護照片涉及高度雷同者達1,072張，有待檢討改善。</w:t>
            </w:r>
          </w:p>
        </w:tc>
        <w:tc>
          <w:tcPr>
            <w:tcW w:w="1571" w:type="pct"/>
            <w:vMerge w:val="restart"/>
            <w:tcBorders>
              <w:top w:val="single" w:sz="4" w:space="0" w:color="auto"/>
              <w:left w:val="single" w:sz="4" w:space="0" w:color="auto"/>
              <w:right w:val="single" w:sz="4" w:space="0" w:color="auto"/>
              <w:tl2br w:val="single" w:sz="4" w:space="0" w:color="auto"/>
            </w:tcBorders>
          </w:tcPr>
          <w:p w14:paraId="0B3E2C77" w14:textId="77777777" w:rsidR="00AC6C73" w:rsidRPr="00DB2473" w:rsidRDefault="00AC6C73" w:rsidP="00824CD6">
            <w:pPr>
              <w:widowControl/>
              <w:spacing w:line="0" w:lineRule="atLeast"/>
              <w:jc w:val="both"/>
              <w:rPr>
                <w:rFonts w:ascii="標楷體" w:eastAsia="標楷體" w:hAnsi="標楷體" w:cs="Times New Roman"/>
                <w:sz w:val="20"/>
                <w:szCs w:val="24"/>
              </w:rPr>
            </w:pPr>
          </w:p>
        </w:tc>
      </w:tr>
      <w:tr w:rsidR="00AC6C73" w:rsidRPr="00DB2473" w14:paraId="23B8AC06" w14:textId="77777777" w:rsidTr="00394556">
        <w:trPr>
          <w:trHeight w:val="964"/>
          <w:jc w:val="center"/>
        </w:trPr>
        <w:tc>
          <w:tcPr>
            <w:tcW w:w="3429" w:type="pct"/>
            <w:tcBorders>
              <w:top w:val="single" w:sz="4" w:space="0" w:color="auto"/>
              <w:left w:val="single" w:sz="4" w:space="0" w:color="auto"/>
              <w:bottom w:val="single" w:sz="4" w:space="0" w:color="auto"/>
              <w:right w:val="single" w:sz="4" w:space="0" w:color="auto"/>
            </w:tcBorders>
            <w:vAlign w:val="center"/>
          </w:tcPr>
          <w:p w14:paraId="0BCA44C8" w14:textId="77777777" w:rsidR="00AC6C73" w:rsidRPr="00DB2473" w:rsidRDefault="00AC6C73" w:rsidP="00ED75C9">
            <w:pPr>
              <w:widowControl/>
              <w:spacing w:after="20" w:line="300" w:lineRule="exact"/>
              <w:ind w:leftChars="-10" w:left="536" w:hangingChars="280" w:hanging="560"/>
              <w:jc w:val="both"/>
              <w:rPr>
                <w:rFonts w:ascii="標楷體" w:eastAsia="標楷體" w:hAnsi="標楷體" w:cs="Times New Roman"/>
                <w:noProof/>
                <w:sz w:val="20"/>
                <w:szCs w:val="24"/>
              </w:rPr>
            </w:pPr>
            <w:r w:rsidRPr="00347BE9">
              <w:rPr>
                <w:rFonts w:ascii="標楷體" w:eastAsia="標楷體" w:hAnsi="標楷體" w:cs="Times New Roman" w:hint="eastAsia"/>
                <w:noProof/>
                <w:sz w:val="20"/>
                <w:szCs w:val="24"/>
              </w:rPr>
              <w:t>（二）新建工程處及大地工程處辦理公共工程，間有未依規定覈實編列及計付工程剩餘土石方交換處理及運輸費用情事，致溢付廠商價金逾千萬元，有待檢討改善。</w:t>
            </w:r>
          </w:p>
        </w:tc>
        <w:tc>
          <w:tcPr>
            <w:tcW w:w="1571" w:type="pct"/>
            <w:vMerge/>
            <w:tcBorders>
              <w:left w:val="single" w:sz="4" w:space="0" w:color="auto"/>
              <w:right w:val="single" w:sz="4" w:space="0" w:color="auto"/>
              <w:tl2br w:val="single" w:sz="4" w:space="0" w:color="auto"/>
            </w:tcBorders>
          </w:tcPr>
          <w:p w14:paraId="69BD7183" w14:textId="77777777" w:rsidR="00AC6C73" w:rsidRPr="00DB2473" w:rsidRDefault="00AC6C73" w:rsidP="00824CD6">
            <w:pPr>
              <w:widowControl/>
              <w:spacing w:line="0" w:lineRule="atLeast"/>
              <w:jc w:val="both"/>
              <w:rPr>
                <w:rFonts w:ascii="標楷體" w:eastAsia="標楷體" w:hAnsi="標楷體" w:cs="Times New Roman"/>
                <w:sz w:val="20"/>
                <w:szCs w:val="24"/>
              </w:rPr>
            </w:pPr>
          </w:p>
        </w:tc>
      </w:tr>
      <w:tr w:rsidR="00AC6C73" w:rsidRPr="00DB2473" w14:paraId="6CA0A60F" w14:textId="77777777" w:rsidTr="00394556">
        <w:trPr>
          <w:trHeight w:val="680"/>
          <w:jc w:val="center"/>
        </w:trPr>
        <w:tc>
          <w:tcPr>
            <w:tcW w:w="3429" w:type="pct"/>
            <w:tcBorders>
              <w:top w:val="single" w:sz="4" w:space="0" w:color="auto"/>
              <w:left w:val="single" w:sz="4" w:space="0" w:color="auto"/>
              <w:bottom w:val="single" w:sz="4" w:space="0" w:color="auto"/>
              <w:right w:val="single" w:sz="4" w:space="0" w:color="auto"/>
            </w:tcBorders>
            <w:vAlign w:val="center"/>
          </w:tcPr>
          <w:p w14:paraId="7EAC1833" w14:textId="77777777" w:rsidR="00AC6C73" w:rsidRPr="00C74081" w:rsidRDefault="00AC6C73" w:rsidP="00824CD6">
            <w:pPr>
              <w:widowControl/>
              <w:spacing w:after="20" w:line="300" w:lineRule="exact"/>
              <w:ind w:leftChars="-10" w:left="572" w:hangingChars="298" w:hanging="596"/>
              <w:jc w:val="both"/>
              <w:rPr>
                <w:rFonts w:ascii="標楷體" w:eastAsia="標楷體" w:hAnsi="標楷體" w:cs="Times New Roman"/>
                <w:noProof/>
                <w:sz w:val="20"/>
                <w:szCs w:val="24"/>
              </w:rPr>
            </w:pPr>
            <w:r w:rsidRPr="00DB2473">
              <w:rPr>
                <w:rFonts w:ascii="標楷體" w:eastAsia="標楷體" w:hAnsi="標楷體" w:cs="Times New Roman" w:hint="eastAsia"/>
                <w:noProof/>
                <w:sz w:val="20"/>
                <w:szCs w:val="24"/>
              </w:rPr>
              <w:t>（三）</w:t>
            </w:r>
            <w:r w:rsidRPr="00CA5BFE">
              <w:rPr>
                <w:rFonts w:ascii="標楷體" w:eastAsia="標楷體" w:hAnsi="標楷體" w:cs="Times New Roman" w:hint="eastAsia"/>
                <w:noProof/>
                <w:sz w:val="20"/>
                <w:szCs w:val="24"/>
              </w:rPr>
              <w:t>為提升民眾居住品質，水利工程處代辦中山區培英公共住宅新建工程，經核廠商有未依契約規定派足品管人員、分項計畫改正逾期等情，該處疏漏扣繳、罰款計663萬餘元，允待檢討改善</w:t>
            </w:r>
            <w:r w:rsidRPr="00DB2473">
              <w:rPr>
                <w:rFonts w:ascii="標楷體" w:eastAsia="標楷體" w:hAnsi="標楷體" w:cs="Times New Roman" w:hint="eastAsia"/>
                <w:noProof/>
                <w:sz w:val="20"/>
                <w:szCs w:val="24"/>
              </w:rPr>
              <w:t>。</w:t>
            </w:r>
          </w:p>
        </w:tc>
        <w:tc>
          <w:tcPr>
            <w:tcW w:w="1571" w:type="pct"/>
            <w:vMerge/>
            <w:tcBorders>
              <w:left w:val="single" w:sz="4" w:space="0" w:color="auto"/>
              <w:right w:val="single" w:sz="4" w:space="0" w:color="auto"/>
              <w:tl2br w:val="single" w:sz="4" w:space="0" w:color="auto"/>
            </w:tcBorders>
          </w:tcPr>
          <w:p w14:paraId="2B295B4F" w14:textId="77777777" w:rsidR="00AC6C73" w:rsidRPr="00DB2473" w:rsidRDefault="00AC6C73" w:rsidP="00824CD6">
            <w:pPr>
              <w:widowControl/>
              <w:spacing w:line="0" w:lineRule="atLeast"/>
              <w:jc w:val="both"/>
              <w:rPr>
                <w:rFonts w:ascii="標楷體" w:eastAsia="標楷體" w:hAnsi="標楷體" w:cs="Times New Roman"/>
                <w:sz w:val="20"/>
                <w:szCs w:val="24"/>
              </w:rPr>
            </w:pPr>
          </w:p>
        </w:tc>
      </w:tr>
      <w:tr w:rsidR="00AC6C73" w:rsidRPr="008D09C9" w14:paraId="005E041A" w14:textId="77777777" w:rsidTr="00394556">
        <w:trPr>
          <w:trHeight w:val="907"/>
          <w:jc w:val="center"/>
        </w:trPr>
        <w:tc>
          <w:tcPr>
            <w:tcW w:w="3429" w:type="pct"/>
            <w:tcBorders>
              <w:top w:val="single" w:sz="4" w:space="0" w:color="auto"/>
              <w:left w:val="single" w:sz="4" w:space="0" w:color="auto"/>
              <w:bottom w:val="single" w:sz="4" w:space="0" w:color="auto"/>
              <w:right w:val="single" w:sz="4" w:space="0" w:color="auto"/>
            </w:tcBorders>
            <w:vAlign w:val="center"/>
          </w:tcPr>
          <w:p w14:paraId="6A0F8EC6" w14:textId="77777777" w:rsidR="00AC6C73" w:rsidRPr="00DB2473" w:rsidRDefault="00AC6C73" w:rsidP="00824CD6">
            <w:pPr>
              <w:widowControl/>
              <w:spacing w:after="20" w:line="300" w:lineRule="exact"/>
              <w:ind w:leftChars="-10" w:left="572" w:hangingChars="298" w:hanging="596"/>
              <w:jc w:val="both"/>
              <w:rPr>
                <w:rFonts w:ascii="標楷體" w:eastAsia="標楷體" w:hAnsi="標楷體" w:cs="Times New Roman"/>
                <w:noProof/>
                <w:sz w:val="20"/>
                <w:szCs w:val="24"/>
              </w:rPr>
            </w:pPr>
            <w:r w:rsidRPr="00DB2473">
              <w:rPr>
                <w:rFonts w:ascii="標楷體" w:eastAsia="標楷體" w:hAnsi="標楷體" w:cs="Times New Roman" w:hint="eastAsia"/>
                <w:noProof/>
                <w:sz w:val="20"/>
                <w:szCs w:val="24"/>
              </w:rPr>
              <w:t>（四）</w:t>
            </w:r>
            <w:r w:rsidRPr="00ED75C9">
              <w:rPr>
                <w:rFonts w:ascii="標楷體" w:eastAsia="標楷體" w:hAnsi="標楷體" w:cs="Times New Roman" w:hint="eastAsia"/>
                <w:noProof/>
                <w:spacing w:val="2"/>
                <w:sz w:val="20"/>
                <w:szCs w:val="24"/>
              </w:rPr>
              <w:t>為推動社會住宅政策，落實居住正義，大地工程處代辦臺北市內湖區舊宗公共住宅新建工程，惟辦理工期檢討未就影響進度網圖之要徑作業覈實計算，疏漏減免廠商逾期責任及超估工程款等近千萬元，有待檢討改善。</w:t>
            </w:r>
          </w:p>
        </w:tc>
        <w:tc>
          <w:tcPr>
            <w:tcW w:w="1571" w:type="pct"/>
            <w:vMerge/>
            <w:tcBorders>
              <w:left w:val="single" w:sz="4" w:space="0" w:color="auto"/>
              <w:right w:val="single" w:sz="4" w:space="0" w:color="auto"/>
              <w:tl2br w:val="single" w:sz="4" w:space="0" w:color="auto"/>
            </w:tcBorders>
          </w:tcPr>
          <w:p w14:paraId="71E52F8C" w14:textId="77777777" w:rsidR="00AC6C73" w:rsidRPr="00DB2473" w:rsidRDefault="00AC6C73" w:rsidP="00824CD6">
            <w:pPr>
              <w:widowControl/>
              <w:spacing w:line="0" w:lineRule="atLeast"/>
              <w:jc w:val="both"/>
              <w:rPr>
                <w:rFonts w:ascii="標楷體" w:eastAsia="標楷體" w:hAnsi="標楷體" w:cs="Times New Roman"/>
                <w:sz w:val="20"/>
                <w:szCs w:val="24"/>
              </w:rPr>
            </w:pPr>
          </w:p>
        </w:tc>
      </w:tr>
      <w:tr w:rsidR="00AC6C73" w:rsidRPr="00DB2473" w14:paraId="6FA47519" w14:textId="77777777" w:rsidTr="00394556">
        <w:trPr>
          <w:trHeight w:val="964"/>
          <w:jc w:val="center"/>
        </w:trPr>
        <w:tc>
          <w:tcPr>
            <w:tcW w:w="3429" w:type="pct"/>
            <w:tcBorders>
              <w:top w:val="single" w:sz="4" w:space="0" w:color="auto"/>
              <w:left w:val="single" w:sz="4" w:space="0" w:color="auto"/>
              <w:bottom w:val="single" w:sz="4" w:space="0" w:color="auto"/>
              <w:right w:val="single" w:sz="4" w:space="0" w:color="auto"/>
            </w:tcBorders>
            <w:vAlign w:val="center"/>
          </w:tcPr>
          <w:p w14:paraId="0A931102" w14:textId="77777777" w:rsidR="00AC6C73" w:rsidRPr="00DB2473" w:rsidRDefault="00AC6C73" w:rsidP="00824CD6">
            <w:pPr>
              <w:widowControl/>
              <w:spacing w:after="20" w:line="300" w:lineRule="exact"/>
              <w:ind w:leftChars="-10" w:left="572" w:hangingChars="298" w:hanging="596"/>
              <w:jc w:val="both"/>
              <w:rPr>
                <w:rFonts w:ascii="標楷體" w:eastAsia="標楷體" w:hAnsi="標楷體" w:cs="Times New Roman"/>
                <w:noProof/>
                <w:sz w:val="20"/>
                <w:szCs w:val="24"/>
              </w:rPr>
            </w:pPr>
            <w:r w:rsidRPr="00DB2473">
              <w:rPr>
                <w:rFonts w:ascii="標楷體" w:eastAsia="標楷體" w:hAnsi="標楷體" w:cs="Times New Roman" w:hint="eastAsia"/>
                <w:noProof/>
                <w:sz w:val="20"/>
                <w:szCs w:val="24"/>
              </w:rPr>
              <w:t>（五）</w:t>
            </w:r>
            <w:r w:rsidRPr="00F07EC7">
              <w:rPr>
                <w:rFonts w:ascii="標楷體" w:eastAsia="標楷體" w:hAnsi="標楷體" w:cs="Times New Roman" w:hint="eastAsia"/>
                <w:noProof/>
                <w:sz w:val="20"/>
                <w:szCs w:val="24"/>
              </w:rPr>
              <w:t>為提供市民優質生活環境，新建工程處代辦社會福利設施等公共建設，惟工程採購之品質管理及驗收點交作業，間有水電裝接、契約變更及驗收過程未依規定期限辦理，及部分送審項目提送及審查逾期等情事，均待檢討改善</w:t>
            </w:r>
            <w:r w:rsidRPr="00DB2473">
              <w:rPr>
                <w:rFonts w:ascii="標楷體" w:eastAsia="標楷體" w:hAnsi="標楷體" w:cs="Times New Roman" w:hint="eastAsia"/>
                <w:noProof/>
                <w:sz w:val="20"/>
                <w:szCs w:val="24"/>
              </w:rPr>
              <w:t>。</w:t>
            </w:r>
          </w:p>
        </w:tc>
        <w:tc>
          <w:tcPr>
            <w:tcW w:w="1571" w:type="pct"/>
            <w:vMerge/>
            <w:tcBorders>
              <w:left w:val="single" w:sz="4" w:space="0" w:color="auto"/>
              <w:right w:val="single" w:sz="4" w:space="0" w:color="auto"/>
              <w:tl2br w:val="single" w:sz="4" w:space="0" w:color="auto"/>
            </w:tcBorders>
          </w:tcPr>
          <w:p w14:paraId="47004002" w14:textId="77777777" w:rsidR="00AC6C73" w:rsidRPr="00DB2473" w:rsidRDefault="00AC6C73" w:rsidP="00824CD6">
            <w:pPr>
              <w:widowControl/>
              <w:spacing w:line="0" w:lineRule="atLeast"/>
              <w:jc w:val="both"/>
              <w:rPr>
                <w:rFonts w:ascii="標楷體" w:eastAsia="標楷體" w:hAnsi="標楷體" w:cs="Times New Roman"/>
                <w:sz w:val="20"/>
                <w:szCs w:val="24"/>
              </w:rPr>
            </w:pPr>
          </w:p>
        </w:tc>
      </w:tr>
      <w:tr w:rsidR="00AC6C73" w:rsidRPr="00DB2473" w14:paraId="49DC4BC5" w14:textId="77777777" w:rsidTr="00394556">
        <w:trPr>
          <w:trHeight w:val="964"/>
          <w:jc w:val="center"/>
        </w:trPr>
        <w:tc>
          <w:tcPr>
            <w:tcW w:w="3429" w:type="pct"/>
            <w:tcBorders>
              <w:top w:val="single" w:sz="4" w:space="0" w:color="auto"/>
              <w:left w:val="single" w:sz="4" w:space="0" w:color="auto"/>
              <w:bottom w:val="single" w:sz="4" w:space="0" w:color="auto"/>
              <w:right w:val="single" w:sz="4" w:space="0" w:color="auto"/>
            </w:tcBorders>
            <w:vAlign w:val="center"/>
          </w:tcPr>
          <w:p w14:paraId="132D4143" w14:textId="77777777" w:rsidR="00AC6C73" w:rsidRPr="00F07EC7" w:rsidRDefault="00AC6C73" w:rsidP="00824CD6">
            <w:pPr>
              <w:widowControl/>
              <w:spacing w:after="20" w:line="300" w:lineRule="exact"/>
              <w:ind w:leftChars="-4" w:left="582" w:hangingChars="296" w:hanging="592"/>
              <w:jc w:val="both"/>
              <w:rPr>
                <w:rFonts w:ascii="標楷體" w:eastAsia="標楷體" w:hAnsi="標楷體" w:cs="Times New Roman"/>
                <w:noProof/>
                <w:sz w:val="20"/>
                <w:szCs w:val="24"/>
              </w:rPr>
            </w:pPr>
            <w:r w:rsidRPr="00DB2473">
              <w:rPr>
                <w:rFonts w:ascii="標楷體" w:eastAsia="標楷體" w:hAnsi="標楷體" w:cs="Times New Roman" w:hint="eastAsia"/>
                <w:noProof/>
                <w:sz w:val="20"/>
                <w:szCs w:val="24"/>
              </w:rPr>
              <w:t>（六）</w:t>
            </w:r>
            <w:r w:rsidRPr="001E72D7">
              <w:rPr>
                <w:rFonts w:ascii="標楷體" w:eastAsia="標楷體" w:hAnsi="標楷體" w:cs="Times New Roman" w:hint="eastAsia"/>
                <w:noProof/>
                <w:spacing w:val="2"/>
                <w:sz w:val="20"/>
                <w:szCs w:val="24"/>
              </w:rPr>
              <w:t>為提升全市降雨容受力及強化都市防洪韌性，辦理排水防洪設施管理維護與興建，惟雨水下水道間有管線橫越影響水流，經列管多年尚待改善等情，有待加速辦理。</w:t>
            </w:r>
          </w:p>
        </w:tc>
        <w:tc>
          <w:tcPr>
            <w:tcW w:w="1571" w:type="pct"/>
            <w:vMerge/>
            <w:tcBorders>
              <w:left w:val="single" w:sz="4" w:space="0" w:color="auto"/>
              <w:right w:val="single" w:sz="4" w:space="0" w:color="auto"/>
              <w:tl2br w:val="single" w:sz="4" w:space="0" w:color="auto"/>
            </w:tcBorders>
          </w:tcPr>
          <w:p w14:paraId="4A2D6083" w14:textId="77777777" w:rsidR="00AC6C73" w:rsidRPr="00DB2473" w:rsidRDefault="00AC6C73" w:rsidP="00824CD6">
            <w:pPr>
              <w:widowControl/>
              <w:spacing w:line="0" w:lineRule="atLeast"/>
              <w:jc w:val="both"/>
              <w:rPr>
                <w:rFonts w:ascii="標楷體" w:eastAsia="標楷體" w:hAnsi="標楷體" w:cs="Times New Roman"/>
                <w:sz w:val="20"/>
                <w:szCs w:val="24"/>
              </w:rPr>
            </w:pPr>
          </w:p>
        </w:tc>
      </w:tr>
      <w:tr w:rsidR="00AC6C73" w:rsidRPr="00DB2473" w14:paraId="41457A5F" w14:textId="77777777" w:rsidTr="00394556">
        <w:trPr>
          <w:trHeight w:val="964"/>
          <w:jc w:val="center"/>
        </w:trPr>
        <w:tc>
          <w:tcPr>
            <w:tcW w:w="3429" w:type="pct"/>
            <w:tcBorders>
              <w:top w:val="single" w:sz="4" w:space="0" w:color="auto"/>
              <w:left w:val="single" w:sz="4" w:space="0" w:color="auto"/>
              <w:bottom w:val="single" w:sz="4" w:space="0" w:color="auto"/>
              <w:right w:val="single" w:sz="4" w:space="0" w:color="auto"/>
            </w:tcBorders>
            <w:vAlign w:val="center"/>
          </w:tcPr>
          <w:p w14:paraId="235397AA" w14:textId="77777777" w:rsidR="00AC6C73" w:rsidRPr="00DB2473" w:rsidRDefault="00AC6C73" w:rsidP="00ED75C9">
            <w:pPr>
              <w:widowControl/>
              <w:spacing w:after="20" w:line="300" w:lineRule="exact"/>
              <w:ind w:leftChars="-10" w:left="536" w:hangingChars="280" w:hanging="560"/>
              <w:jc w:val="both"/>
              <w:rPr>
                <w:rFonts w:ascii="標楷體" w:eastAsia="標楷體" w:hAnsi="標楷體" w:cs="Times New Roman"/>
                <w:noProof/>
                <w:sz w:val="20"/>
                <w:szCs w:val="24"/>
              </w:rPr>
            </w:pPr>
            <w:r w:rsidRPr="00F07EC7">
              <w:rPr>
                <w:rFonts w:ascii="標楷體" w:eastAsia="標楷體" w:hAnsi="標楷體" w:cs="Times New Roman" w:hint="eastAsia"/>
                <w:noProof/>
                <w:sz w:val="20"/>
                <w:szCs w:val="24"/>
              </w:rPr>
              <w:t>（七）為美化城市景觀風貌，辦理纜線地下化，惟因用地問題及管線障礙等影響地下化進程，另架空管線巡查作業發現之缺失欠缺後續改善成果及複檢資料可稽，允待檢討改善。</w:t>
            </w:r>
          </w:p>
        </w:tc>
        <w:tc>
          <w:tcPr>
            <w:tcW w:w="1571" w:type="pct"/>
            <w:vMerge/>
            <w:tcBorders>
              <w:left w:val="single" w:sz="4" w:space="0" w:color="auto"/>
              <w:right w:val="single" w:sz="4" w:space="0" w:color="auto"/>
              <w:tl2br w:val="single" w:sz="4" w:space="0" w:color="auto"/>
            </w:tcBorders>
          </w:tcPr>
          <w:p w14:paraId="58EE1917" w14:textId="77777777" w:rsidR="00AC6C73" w:rsidRPr="00DB2473" w:rsidRDefault="00AC6C73" w:rsidP="00824CD6">
            <w:pPr>
              <w:widowControl/>
              <w:spacing w:line="0" w:lineRule="atLeast"/>
              <w:jc w:val="both"/>
              <w:rPr>
                <w:rFonts w:ascii="標楷體" w:eastAsia="標楷體" w:hAnsi="標楷體" w:cs="Times New Roman"/>
                <w:sz w:val="20"/>
                <w:szCs w:val="24"/>
              </w:rPr>
            </w:pPr>
          </w:p>
        </w:tc>
      </w:tr>
      <w:tr w:rsidR="00AC6C73" w:rsidRPr="00DB2473" w14:paraId="18D675B5" w14:textId="77777777" w:rsidTr="00394556">
        <w:trPr>
          <w:trHeight w:val="964"/>
          <w:jc w:val="center"/>
        </w:trPr>
        <w:tc>
          <w:tcPr>
            <w:tcW w:w="3429" w:type="pct"/>
            <w:tcBorders>
              <w:top w:val="single" w:sz="4" w:space="0" w:color="auto"/>
              <w:left w:val="single" w:sz="4" w:space="0" w:color="auto"/>
              <w:bottom w:val="single" w:sz="4" w:space="0" w:color="auto"/>
              <w:right w:val="single" w:sz="4" w:space="0" w:color="auto"/>
            </w:tcBorders>
            <w:vAlign w:val="center"/>
          </w:tcPr>
          <w:p w14:paraId="21746162" w14:textId="77777777" w:rsidR="00AC6C73" w:rsidRPr="00F07EC7" w:rsidRDefault="00AC6C73" w:rsidP="00C254C1">
            <w:pPr>
              <w:widowControl/>
              <w:spacing w:after="20" w:line="300" w:lineRule="exact"/>
              <w:ind w:leftChars="-10" w:left="540" w:hangingChars="282" w:hanging="564"/>
              <w:jc w:val="both"/>
              <w:rPr>
                <w:rFonts w:ascii="標楷體" w:eastAsia="標楷體" w:hAnsi="標楷體" w:cs="Times New Roman"/>
                <w:noProof/>
                <w:sz w:val="20"/>
                <w:szCs w:val="24"/>
              </w:rPr>
            </w:pPr>
            <w:r w:rsidRPr="00F07EC7">
              <w:rPr>
                <w:rFonts w:ascii="標楷體" w:eastAsia="標楷體" w:hAnsi="標楷體" w:cs="Times New Roman" w:hint="eastAsia"/>
                <w:noProof/>
                <w:sz w:val="20"/>
                <w:szCs w:val="24"/>
              </w:rPr>
              <w:t>（八</w:t>
            </w:r>
            <w:r w:rsidRPr="00C254C1">
              <w:rPr>
                <w:rFonts w:ascii="標楷體" w:eastAsia="標楷體" w:hAnsi="標楷體" w:cs="Times New Roman" w:hint="eastAsia"/>
                <w:noProof/>
                <w:spacing w:val="-14"/>
                <w:sz w:val="20"/>
                <w:szCs w:val="24"/>
              </w:rPr>
              <w:t>）</w:t>
            </w:r>
            <w:r w:rsidRPr="001E72D7">
              <w:rPr>
                <w:rFonts w:ascii="標楷體" w:eastAsia="標楷體" w:hAnsi="標楷體" w:cs="Times New Roman" w:hint="eastAsia"/>
                <w:noProof/>
                <w:spacing w:val="2"/>
                <w:sz w:val="20"/>
                <w:szCs w:val="24"/>
              </w:rPr>
              <w:t>市府機關單位與電力、電信機構施作工程挖掘道路，違反管理規定而裁罰者眾，且部分施工承商有多次違規情事，允待研謀強化輔導，以維道路品質。</w:t>
            </w:r>
          </w:p>
        </w:tc>
        <w:tc>
          <w:tcPr>
            <w:tcW w:w="1571" w:type="pct"/>
            <w:vMerge/>
            <w:tcBorders>
              <w:left w:val="single" w:sz="4" w:space="0" w:color="auto"/>
              <w:right w:val="single" w:sz="4" w:space="0" w:color="auto"/>
              <w:tl2br w:val="single" w:sz="4" w:space="0" w:color="auto"/>
            </w:tcBorders>
          </w:tcPr>
          <w:p w14:paraId="08C8C266" w14:textId="77777777" w:rsidR="00AC6C73" w:rsidRPr="00DB2473" w:rsidRDefault="00AC6C73" w:rsidP="00824CD6">
            <w:pPr>
              <w:widowControl/>
              <w:spacing w:line="0" w:lineRule="atLeast"/>
              <w:jc w:val="both"/>
              <w:rPr>
                <w:rFonts w:ascii="標楷體" w:eastAsia="標楷體" w:hAnsi="標楷體" w:cs="Times New Roman"/>
                <w:sz w:val="20"/>
                <w:szCs w:val="24"/>
              </w:rPr>
            </w:pPr>
          </w:p>
        </w:tc>
      </w:tr>
      <w:tr w:rsidR="00AC6C73" w:rsidRPr="00DB2473" w14:paraId="4CC85A2D" w14:textId="77777777" w:rsidTr="00394556">
        <w:trPr>
          <w:trHeight w:val="624"/>
          <w:jc w:val="center"/>
        </w:trPr>
        <w:tc>
          <w:tcPr>
            <w:tcW w:w="3429" w:type="pct"/>
            <w:tcBorders>
              <w:top w:val="single" w:sz="4" w:space="0" w:color="auto"/>
              <w:left w:val="single" w:sz="4" w:space="0" w:color="auto"/>
              <w:bottom w:val="single" w:sz="4" w:space="0" w:color="auto"/>
              <w:right w:val="single" w:sz="4" w:space="0" w:color="auto"/>
            </w:tcBorders>
            <w:vAlign w:val="center"/>
          </w:tcPr>
          <w:p w14:paraId="766E727F" w14:textId="77777777" w:rsidR="00AC6C73" w:rsidRPr="00F07EC7" w:rsidRDefault="00AC6C73" w:rsidP="00C254C1">
            <w:pPr>
              <w:widowControl/>
              <w:spacing w:after="20" w:line="300" w:lineRule="exact"/>
              <w:ind w:leftChars="-10" w:left="540" w:hangingChars="282" w:hanging="564"/>
              <w:jc w:val="both"/>
              <w:rPr>
                <w:rFonts w:ascii="標楷體" w:eastAsia="標楷體" w:hAnsi="標楷體" w:cs="Times New Roman"/>
                <w:noProof/>
                <w:sz w:val="20"/>
                <w:szCs w:val="24"/>
              </w:rPr>
            </w:pPr>
            <w:r w:rsidRPr="00F07EC7">
              <w:rPr>
                <w:rFonts w:ascii="標楷體" w:eastAsia="標楷體" w:hAnsi="標楷體" w:cs="Times New Roman" w:hint="eastAsia"/>
                <w:noProof/>
                <w:sz w:val="20"/>
                <w:szCs w:val="24"/>
              </w:rPr>
              <w:t>（九</w:t>
            </w:r>
            <w:r w:rsidRPr="00C254C1">
              <w:rPr>
                <w:rFonts w:ascii="標楷體" w:eastAsia="標楷體" w:hAnsi="標楷體" w:cs="Times New Roman" w:hint="eastAsia"/>
                <w:noProof/>
                <w:spacing w:val="-16"/>
                <w:sz w:val="20"/>
                <w:szCs w:val="24"/>
              </w:rPr>
              <w:t>）</w:t>
            </w:r>
            <w:r w:rsidRPr="00ED75C9">
              <w:rPr>
                <w:rFonts w:ascii="標楷體" w:eastAsia="標楷體" w:hAnsi="標楷體" w:cs="Times New Roman" w:hint="eastAsia"/>
                <w:noProof/>
                <w:spacing w:val="4"/>
                <w:sz w:val="20"/>
                <w:szCs w:val="24"/>
              </w:rPr>
              <w:t>推動污水下水道建設，接管率已達8成，惟部分行政區接管戶數較低，又污水截流設施截流範圍尚未涵蓋所有未接管用戶，仍待研謀加速推進。</w:t>
            </w:r>
          </w:p>
        </w:tc>
        <w:tc>
          <w:tcPr>
            <w:tcW w:w="1571" w:type="pct"/>
            <w:vMerge/>
            <w:tcBorders>
              <w:left w:val="single" w:sz="4" w:space="0" w:color="auto"/>
              <w:right w:val="single" w:sz="4" w:space="0" w:color="auto"/>
              <w:tl2br w:val="single" w:sz="4" w:space="0" w:color="auto"/>
            </w:tcBorders>
          </w:tcPr>
          <w:p w14:paraId="062B78DD" w14:textId="77777777" w:rsidR="00AC6C73" w:rsidRPr="00DB2473" w:rsidRDefault="00AC6C73" w:rsidP="00824CD6">
            <w:pPr>
              <w:widowControl/>
              <w:spacing w:line="0" w:lineRule="atLeast"/>
              <w:jc w:val="both"/>
              <w:rPr>
                <w:rFonts w:ascii="標楷體" w:eastAsia="標楷體" w:hAnsi="標楷體" w:cs="Times New Roman"/>
                <w:sz w:val="20"/>
                <w:szCs w:val="24"/>
              </w:rPr>
            </w:pPr>
          </w:p>
        </w:tc>
      </w:tr>
      <w:tr w:rsidR="00AC6C73" w:rsidRPr="00DB2473" w14:paraId="0A6F7A3D" w14:textId="77777777" w:rsidTr="006501C5">
        <w:trPr>
          <w:trHeight w:val="680"/>
          <w:jc w:val="center"/>
        </w:trPr>
        <w:tc>
          <w:tcPr>
            <w:tcW w:w="3429" w:type="pct"/>
            <w:tcBorders>
              <w:top w:val="single" w:sz="4" w:space="0" w:color="auto"/>
              <w:left w:val="single" w:sz="4" w:space="0" w:color="auto"/>
              <w:bottom w:val="single" w:sz="4" w:space="0" w:color="auto"/>
              <w:right w:val="single" w:sz="4" w:space="0" w:color="auto"/>
            </w:tcBorders>
            <w:vAlign w:val="center"/>
          </w:tcPr>
          <w:p w14:paraId="3D384A69" w14:textId="77777777" w:rsidR="00AC6C73" w:rsidRPr="00F07EC7" w:rsidRDefault="00AC6C73" w:rsidP="00ED75C9">
            <w:pPr>
              <w:widowControl/>
              <w:spacing w:after="20" w:line="300" w:lineRule="exact"/>
              <w:ind w:leftChars="-10" w:left="536" w:hangingChars="280" w:hanging="560"/>
              <w:jc w:val="both"/>
              <w:rPr>
                <w:rFonts w:ascii="標楷體" w:eastAsia="標楷體" w:hAnsi="標楷體" w:cs="Times New Roman"/>
                <w:noProof/>
                <w:sz w:val="20"/>
                <w:szCs w:val="24"/>
              </w:rPr>
            </w:pPr>
            <w:r w:rsidRPr="00F07EC7">
              <w:rPr>
                <w:rFonts w:ascii="標楷體" w:eastAsia="標楷體" w:hAnsi="標楷體" w:cs="Times New Roman" w:hint="eastAsia"/>
                <w:noProof/>
                <w:sz w:val="20"/>
                <w:szCs w:val="24"/>
              </w:rPr>
              <w:t>（十）辦理民眾接用污水下水道系統使用費徵收作業，已研謀精進，惟自用戶完成接管後至完成開徵之作業期程間有費時情形，有待檢討改善。</w:t>
            </w:r>
          </w:p>
        </w:tc>
        <w:tc>
          <w:tcPr>
            <w:tcW w:w="1571" w:type="pct"/>
            <w:vMerge/>
            <w:tcBorders>
              <w:left w:val="single" w:sz="4" w:space="0" w:color="auto"/>
              <w:right w:val="single" w:sz="4" w:space="0" w:color="auto"/>
              <w:tl2br w:val="single" w:sz="4" w:space="0" w:color="auto"/>
            </w:tcBorders>
          </w:tcPr>
          <w:p w14:paraId="338B84B9" w14:textId="77777777" w:rsidR="00AC6C73" w:rsidRPr="00DB2473" w:rsidRDefault="00AC6C73" w:rsidP="00824CD6">
            <w:pPr>
              <w:widowControl/>
              <w:spacing w:line="0" w:lineRule="atLeast"/>
              <w:jc w:val="both"/>
              <w:rPr>
                <w:rFonts w:ascii="標楷體" w:eastAsia="標楷體" w:hAnsi="標楷體" w:cs="Times New Roman"/>
                <w:sz w:val="20"/>
                <w:szCs w:val="24"/>
              </w:rPr>
            </w:pPr>
          </w:p>
        </w:tc>
      </w:tr>
      <w:bookmarkEnd w:id="50"/>
    </w:tbl>
    <w:p w14:paraId="06987E78" w14:textId="77777777" w:rsidR="00CC5AFC" w:rsidRPr="00430C9E" w:rsidRDefault="007351A0" w:rsidP="00CC5AFC">
      <w:pPr>
        <w:suppressAutoHyphens/>
        <w:overflowPunct w:val="0"/>
        <w:spacing w:afterLines="50" w:after="180" w:line="460" w:lineRule="exact"/>
        <w:jc w:val="both"/>
        <w:outlineLvl w:val="1"/>
        <w:rPr>
          <w:rFonts w:ascii="標楷體" w:eastAsia="標楷體" w:hAnsi="標楷體" w:cs="標楷體"/>
          <w:b/>
          <w:sz w:val="36"/>
          <w:szCs w:val="36"/>
        </w:rPr>
      </w:pPr>
      <w:r>
        <w:rPr>
          <w:rFonts w:ascii="標楷體" w:eastAsia="標楷體" w:hAnsi="標楷體" w:cs="Times New Roman"/>
          <w:b/>
          <w:sz w:val="36"/>
          <w:szCs w:val="36"/>
        </w:rPr>
        <w:br w:type="page"/>
      </w:r>
      <w:r w:rsidR="00CC5AFC" w:rsidRPr="00430C9E">
        <w:rPr>
          <w:rFonts w:ascii="標楷體" w:eastAsia="標楷體" w:hAnsi="標楷體" w:cs="標楷體" w:hint="eastAsia"/>
          <w:b/>
          <w:sz w:val="36"/>
          <w:szCs w:val="36"/>
        </w:rPr>
        <w:lastRenderedPageBreak/>
        <w:t>捌、交通局主管</w:t>
      </w:r>
    </w:p>
    <w:p w14:paraId="23386A95" w14:textId="77777777" w:rsidR="00CC5AFC" w:rsidRPr="00430C9E" w:rsidRDefault="00CC5AFC" w:rsidP="00606D4C">
      <w:pPr>
        <w:overflowPunct w:val="0"/>
        <w:spacing w:line="400" w:lineRule="exact"/>
        <w:ind w:firstLineChars="200" w:firstLine="480"/>
        <w:jc w:val="both"/>
        <w:rPr>
          <w:rFonts w:ascii="標楷體" w:eastAsia="標楷體" w:hAnsi="Times New Roman" w:cs="Times New Roman"/>
          <w:szCs w:val="24"/>
        </w:rPr>
      </w:pPr>
      <w:r w:rsidRPr="00430C9E">
        <w:rPr>
          <w:rFonts w:ascii="標楷體" w:eastAsia="標楷體" w:hAnsi="Times New Roman" w:cs="Times New Roman" w:hint="eastAsia"/>
          <w:szCs w:val="24"/>
        </w:rPr>
        <w:t>交通局主管計有公務機關</w:t>
      </w:r>
      <w:r w:rsidRPr="00430C9E">
        <w:rPr>
          <w:rFonts w:ascii="標楷體" w:eastAsia="標楷體" w:hAnsi="Times New Roman" w:cs="Times New Roman"/>
          <w:szCs w:val="24"/>
        </w:rPr>
        <w:t>5</w:t>
      </w:r>
      <w:r w:rsidRPr="00430C9E">
        <w:rPr>
          <w:rFonts w:ascii="標楷體" w:eastAsia="標楷體" w:hAnsi="Times New Roman" w:cs="Times New Roman" w:hint="eastAsia"/>
          <w:szCs w:val="24"/>
        </w:rPr>
        <w:t>個，市營事業單位</w:t>
      </w:r>
      <w:r w:rsidRPr="00430C9E">
        <w:rPr>
          <w:rFonts w:ascii="標楷體" w:eastAsia="標楷體" w:hAnsi="Times New Roman" w:cs="Times New Roman"/>
          <w:szCs w:val="24"/>
        </w:rPr>
        <w:t>1</w:t>
      </w:r>
      <w:r w:rsidRPr="00430C9E">
        <w:rPr>
          <w:rFonts w:ascii="標楷體" w:eastAsia="標楷體" w:hAnsi="Times New Roman" w:cs="Times New Roman" w:hint="eastAsia"/>
          <w:szCs w:val="24"/>
        </w:rPr>
        <w:t>個，非營業特種基金單位</w:t>
      </w:r>
      <w:r w:rsidRPr="00430C9E">
        <w:rPr>
          <w:rFonts w:ascii="標楷體" w:eastAsia="標楷體" w:hAnsi="Times New Roman" w:cs="Times New Roman"/>
          <w:szCs w:val="24"/>
        </w:rPr>
        <w:t>1</w:t>
      </w:r>
      <w:r w:rsidRPr="00430C9E">
        <w:rPr>
          <w:rFonts w:ascii="標楷體" w:eastAsia="標楷體" w:hAnsi="Times New Roman" w:cs="Times New Roman" w:hint="eastAsia"/>
          <w:szCs w:val="24"/>
        </w:rPr>
        <w:t>個，已結束待清理事業</w:t>
      </w:r>
      <w:r w:rsidRPr="00430C9E">
        <w:rPr>
          <w:rFonts w:ascii="標楷體" w:eastAsia="標楷體" w:hAnsi="Times New Roman" w:cs="Times New Roman"/>
          <w:szCs w:val="24"/>
        </w:rPr>
        <w:t>1</w:t>
      </w:r>
      <w:r w:rsidRPr="00430C9E">
        <w:rPr>
          <w:rFonts w:ascii="標楷體" w:eastAsia="標楷體" w:hAnsi="Times New Roman" w:cs="Times New Roman" w:hint="eastAsia"/>
          <w:szCs w:val="24"/>
        </w:rPr>
        <w:t>個，各該單位決算、附屬單位決算營業及非營業部分之審核情形如次：</w:t>
      </w:r>
    </w:p>
    <w:p w14:paraId="465D9751" w14:textId="77777777" w:rsidR="00CC5AFC" w:rsidRPr="00430C9E" w:rsidRDefault="00CC5AFC" w:rsidP="00606D4C">
      <w:pPr>
        <w:suppressAutoHyphens/>
        <w:overflowPunct w:val="0"/>
        <w:spacing w:beforeLines="30" w:before="108" w:line="440" w:lineRule="exact"/>
        <w:jc w:val="both"/>
        <w:outlineLvl w:val="2"/>
        <w:rPr>
          <w:rFonts w:ascii="標楷體" w:eastAsia="標楷體" w:hAnsi="Times New Roman" w:cs="Times New Roman"/>
          <w:b/>
          <w:sz w:val="32"/>
          <w:szCs w:val="32"/>
        </w:rPr>
      </w:pPr>
      <w:r w:rsidRPr="00430C9E">
        <w:rPr>
          <w:rFonts w:ascii="標楷體" w:eastAsia="標楷體" w:hAnsi="Times New Roman" w:cs="Times New Roman" w:hint="eastAsia"/>
          <w:b/>
          <w:sz w:val="32"/>
          <w:szCs w:val="32"/>
        </w:rPr>
        <w:t>一、單位決算部分</w:t>
      </w:r>
    </w:p>
    <w:p w14:paraId="0F82D951" w14:textId="77777777" w:rsidR="00CC5AFC" w:rsidRPr="00430C9E" w:rsidRDefault="00CC5AFC" w:rsidP="00606D4C">
      <w:pPr>
        <w:overflowPunct w:val="0"/>
        <w:spacing w:beforeLines="20" w:before="72" w:line="440" w:lineRule="exact"/>
        <w:ind w:firstLineChars="200" w:firstLine="480"/>
        <w:jc w:val="both"/>
        <w:rPr>
          <w:rFonts w:ascii="標楷體" w:eastAsia="標楷體" w:hAnsi="Times New Roman" w:cs="Times New Roman"/>
          <w:szCs w:val="24"/>
        </w:rPr>
      </w:pPr>
      <w:r w:rsidRPr="00430C9E">
        <w:rPr>
          <w:rFonts w:ascii="標楷體" w:eastAsia="標楷體" w:hAnsi="Times New Roman" w:cs="Times New Roman" w:hint="eastAsia"/>
          <w:szCs w:val="24"/>
        </w:rPr>
        <w:t>交通局主管包括交通局、停車管理工程處、交通管制工程處、公共運輸處及交通事件裁決所等</w:t>
      </w:r>
      <w:r w:rsidRPr="00430C9E">
        <w:rPr>
          <w:rFonts w:ascii="標楷體" w:eastAsia="標楷體" w:hAnsi="Times New Roman" w:cs="Times New Roman"/>
          <w:szCs w:val="24"/>
        </w:rPr>
        <w:t>5</w:t>
      </w:r>
      <w:r w:rsidRPr="00430C9E">
        <w:rPr>
          <w:rFonts w:ascii="標楷體" w:eastAsia="標楷體" w:hAnsi="Times New Roman" w:cs="Times New Roman" w:hint="eastAsia"/>
          <w:szCs w:val="24"/>
        </w:rPr>
        <w:t>個機關，掌理臺北市交通運輸政策、交通管制工程、運輸業管理、大眾捷運運輸業、道路交通安全及智慧型運輸系統資訊整合分析等業務。茲將</w:t>
      </w:r>
      <w:proofErr w:type="gramStart"/>
      <w:r w:rsidRPr="00430C9E">
        <w:rPr>
          <w:rFonts w:ascii="標楷體" w:eastAsia="標楷體" w:hAnsi="Times New Roman" w:cs="Times New Roman" w:hint="eastAsia"/>
          <w:szCs w:val="24"/>
        </w:rPr>
        <w:t>1</w:t>
      </w:r>
      <w:r>
        <w:rPr>
          <w:rFonts w:ascii="標楷體" w:eastAsia="標楷體" w:hAnsi="Times New Roman" w:cs="Times New Roman" w:hint="eastAsia"/>
          <w:szCs w:val="24"/>
        </w:rPr>
        <w:t>13</w:t>
      </w:r>
      <w:proofErr w:type="gramEnd"/>
      <w:r w:rsidRPr="00430C9E">
        <w:rPr>
          <w:rFonts w:ascii="標楷體" w:eastAsia="標楷體" w:hAnsi="Times New Roman" w:cs="Times New Roman" w:hint="eastAsia"/>
          <w:szCs w:val="24"/>
        </w:rPr>
        <w:t>年度決算審核結果說明如次：</w:t>
      </w:r>
    </w:p>
    <w:p w14:paraId="29D7B891" w14:textId="77777777" w:rsidR="00CC5AFC" w:rsidRPr="00430C9E" w:rsidRDefault="00CC5AFC" w:rsidP="00606D4C">
      <w:pPr>
        <w:suppressAutoHyphens/>
        <w:overflowPunct w:val="0"/>
        <w:spacing w:beforeLines="50" w:before="180" w:line="460" w:lineRule="exact"/>
        <w:ind w:firstLineChars="100" w:firstLine="280"/>
        <w:jc w:val="both"/>
        <w:rPr>
          <w:rFonts w:ascii="標楷體" w:eastAsia="標楷體" w:hAnsi="Times New Roman" w:cs="Times New Roman"/>
          <w:b/>
          <w:sz w:val="28"/>
          <w:szCs w:val="28"/>
        </w:rPr>
      </w:pPr>
      <w:r w:rsidRPr="00430C9E">
        <w:rPr>
          <w:rFonts w:ascii="標楷體" w:eastAsia="標楷體" w:hAnsi="Times New Roman" w:cs="Times New Roman" w:hint="eastAsia"/>
          <w:b/>
          <w:sz w:val="28"/>
          <w:szCs w:val="28"/>
        </w:rPr>
        <w:t>（一）計畫實施之查核</w:t>
      </w:r>
    </w:p>
    <w:p w14:paraId="53D058BC" w14:textId="77777777" w:rsidR="00CC5AFC" w:rsidRPr="00212CEF" w:rsidRDefault="00CC5AFC" w:rsidP="00606D4C">
      <w:pPr>
        <w:overflowPunct w:val="0"/>
        <w:spacing w:beforeLines="20" w:before="72" w:line="440" w:lineRule="exact"/>
        <w:ind w:firstLineChars="200" w:firstLine="476"/>
        <w:jc w:val="both"/>
        <w:rPr>
          <w:rFonts w:ascii="標楷體" w:eastAsia="標楷體" w:hAnsi="標楷體" w:cs="Times New Roman"/>
          <w:spacing w:val="-1"/>
          <w:szCs w:val="24"/>
        </w:rPr>
      </w:pPr>
      <w:r w:rsidRPr="00212CEF">
        <w:rPr>
          <w:rFonts w:ascii="標楷體" w:eastAsia="標楷體" w:hAnsi="Times New Roman" w:cs="Times New Roman" w:hint="eastAsia"/>
          <w:spacing w:val="-1"/>
          <w:szCs w:val="24"/>
        </w:rPr>
        <w:t>業務計畫23項，下分工作計畫27項，包括持續落實</w:t>
      </w:r>
      <w:proofErr w:type="gramStart"/>
      <w:r w:rsidRPr="00212CEF">
        <w:rPr>
          <w:rFonts w:ascii="標楷體" w:eastAsia="標楷體" w:hAnsi="Times New Roman" w:cs="Times New Roman" w:hint="eastAsia"/>
          <w:spacing w:val="-1"/>
          <w:szCs w:val="24"/>
        </w:rPr>
        <w:t>人本永續</w:t>
      </w:r>
      <w:proofErr w:type="gramEnd"/>
      <w:r w:rsidRPr="00212CEF">
        <w:rPr>
          <w:rFonts w:ascii="標楷體" w:eastAsia="標楷體" w:hAnsi="Times New Roman" w:cs="Times New Roman" w:hint="eastAsia"/>
          <w:spacing w:val="-1"/>
          <w:szCs w:val="24"/>
        </w:rPr>
        <w:t>交通政策、建置智慧化交通管制系統、推動智慧號</w:t>
      </w:r>
      <w:proofErr w:type="gramStart"/>
      <w:r w:rsidRPr="00212CEF">
        <w:rPr>
          <w:rFonts w:ascii="標楷體" w:eastAsia="標楷體" w:hAnsi="Times New Roman" w:cs="Times New Roman" w:hint="eastAsia"/>
          <w:spacing w:val="-1"/>
          <w:szCs w:val="24"/>
        </w:rPr>
        <w:t>誌</w:t>
      </w:r>
      <w:proofErr w:type="gramEnd"/>
      <w:r w:rsidRPr="00606D4C">
        <w:rPr>
          <w:rFonts w:ascii="標楷體" w:eastAsia="標楷體" w:hAnsi="Times New Roman" w:cs="Times New Roman" w:hint="eastAsia"/>
          <w:szCs w:val="24"/>
        </w:rPr>
        <w:t>計畫</w:t>
      </w:r>
      <w:r w:rsidRPr="00212CEF">
        <w:rPr>
          <w:rFonts w:ascii="標楷體" w:eastAsia="標楷體" w:hAnsi="Times New Roman" w:cs="Times New Roman" w:hint="eastAsia"/>
          <w:spacing w:val="-1"/>
          <w:szCs w:val="24"/>
        </w:rPr>
        <w:t>、停車企劃</w:t>
      </w:r>
      <w:r>
        <w:rPr>
          <w:rFonts w:ascii="標楷體" w:eastAsia="標楷體" w:hAnsi="標楷體" w:cs="Times New Roman" w:hint="eastAsia"/>
          <w:spacing w:val="-1"/>
          <w:szCs w:val="24"/>
        </w:rPr>
        <w:t>及</w:t>
      </w:r>
      <w:r w:rsidRPr="00212CEF">
        <w:rPr>
          <w:rFonts w:ascii="標楷體" w:eastAsia="標楷體" w:hAnsi="Times New Roman" w:cs="Times New Roman" w:hint="eastAsia"/>
          <w:spacing w:val="-1"/>
          <w:szCs w:val="24"/>
        </w:rPr>
        <w:t>營運管理業務、新建及更新公車候車亭、建置</w:t>
      </w:r>
      <w:proofErr w:type="gramStart"/>
      <w:r w:rsidRPr="00212CEF">
        <w:rPr>
          <w:rFonts w:ascii="標楷體" w:eastAsia="標楷體" w:hAnsi="Times New Roman" w:cs="Times New Roman" w:hint="eastAsia"/>
          <w:spacing w:val="-1"/>
          <w:szCs w:val="24"/>
        </w:rPr>
        <w:t>汰</w:t>
      </w:r>
      <w:proofErr w:type="gramEnd"/>
      <w:r>
        <w:rPr>
          <w:rFonts w:ascii="標楷體" w:eastAsia="標楷體" w:hAnsi="Times New Roman" w:cs="Times New Roman" w:hint="eastAsia"/>
          <w:spacing w:val="-1"/>
          <w:szCs w:val="24"/>
        </w:rPr>
        <w:t>換</w:t>
      </w:r>
      <w:r w:rsidRPr="00212CEF">
        <w:rPr>
          <w:rFonts w:ascii="標楷體" w:eastAsia="標楷體" w:hAnsi="Times New Roman" w:cs="Times New Roman" w:hint="eastAsia"/>
          <w:spacing w:val="-1"/>
          <w:szCs w:val="24"/>
        </w:rPr>
        <w:t>及維護公車智慧型站牌、</w:t>
      </w:r>
      <w:r>
        <w:rPr>
          <w:rFonts w:ascii="標楷體" w:eastAsia="標楷體" w:hAnsi="Times New Roman" w:cs="Times New Roman" w:hint="eastAsia"/>
          <w:spacing w:val="-1"/>
          <w:szCs w:val="24"/>
        </w:rPr>
        <w:t>推動</w:t>
      </w:r>
      <w:r w:rsidRPr="00212CEF">
        <w:rPr>
          <w:rFonts w:ascii="標楷體" w:eastAsia="標楷體" w:hAnsi="Times New Roman" w:cs="Times New Roman" w:hint="eastAsia"/>
          <w:spacing w:val="-1"/>
          <w:szCs w:val="24"/>
        </w:rPr>
        <w:t>公車汰舊換新、補貼公車票價與運價差額及服務性公車路線營運虧損等重要施政項目，其中已執行完成者21項，尚在執行者6項，主要係</w:t>
      </w:r>
      <w:r w:rsidRPr="00161883">
        <w:rPr>
          <w:rFonts w:ascii="標楷體" w:eastAsia="標楷體" w:hAnsi="Times New Roman" w:cs="Times New Roman" w:hint="eastAsia"/>
          <w:spacing w:val="-1"/>
          <w:szCs w:val="24"/>
        </w:rPr>
        <w:t>交通管制工程處執行交通號</w:t>
      </w:r>
      <w:proofErr w:type="gramStart"/>
      <w:r w:rsidRPr="00161883">
        <w:rPr>
          <w:rFonts w:ascii="標楷體" w:eastAsia="標楷體" w:hAnsi="Times New Roman" w:cs="Times New Roman" w:hint="eastAsia"/>
          <w:spacing w:val="-1"/>
          <w:szCs w:val="24"/>
        </w:rPr>
        <w:t>誌</w:t>
      </w:r>
      <w:proofErr w:type="gramEnd"/>
      <w:r w:rsidRPr="00161883">
        <w:rPr>
          <w:rFonts w:ascii="標楷體" w:eastAsia="標楷體" w:hAnsi="Times New Roman" w:cs="Times New Roman" w:hint="eastAsia"/>
          <w:spacing w:val="-1"/>
          <w:szCs w:val="24"/>
        </w:rPr>
        <w:t>纜</w:t>
      </w:r>
      <w:proofErr w:type="gramStart"/>
      <w:r w:rsidRPr="00161883">
        <w:rPr>
          <w:rFonts w:ascii="標楷體" w:eastAsia="標楷體" w:hAnsi="Times New Roman" w:cs="Times New Roman" w:hint="eastAsia"/>
          <w:spacing w:val="-1"/>
          <w:szCs w:val="24"/>
        </w:rPr>
        <w:t>線清整</w:t>
      </w:r>
      <w:proofErr w:type="gramEnd"/>
      <w:r w:rsidRPr="00161883">
        <w:rPr>
          <w:rFonts w:ascii="標楷體" w:eastAsia="標楷體" w:hAnsi="Times New Roman" w:cs="Times New Roman" w:hint="eastAsia"/>
          <w:spacing w:val="-1"/>
          <w:szCs w:val="24"/>
        </w:rPr>
        <w:t>、交通號</w:t>
      </w:r>
      <w:proofErr w:type="gramStart"/>
      <w:r w:rsidRPr="00161883">
        <w:rPr>
          <w:rFonts w:ascii="標楷體" w:eastAsia="標楷體" w:hAnsi="Times New Roman" w:cs="Times New Roman" w:hint="eastAsia"/>
          <w:spacing w:val="-1"/>
          <w:szCs w:val="24"/>
        </w:rPr>
        <w:t>誌</w:t>
      </w:r>
      <w:proofErr w:type="gramEnd"/>
      <w:r w:rsidRPr="00161883">
        <w:rPr>
          <w:rFonts w:ascii="標楷體" w:eastAsia="標楷體" w:hAnsi="Times New Roman" w:cs="Times New Roman" w:hint="eastAsia"/>
          <w:spacing w:val="-1"/>
          <w:szCs w:val="24"/>
        </w:rPr>
        <w:t>及管道工程</w:t>
      </w:r>
      <w:r>
        <w:rPr>
          <w:rFonts w:ascii="標楷體" w:eastAsia="標楷體" w:hAnsi="Times New Roman" w:cs="Times New Roman" w:hint="eastAsia"/>
          <w:spacing w:val="-1"/>
          <w:szCs w:val="24"/>
        </w:rPr>
        <w:t>；</w:t>
      </w:r>
      <w:r w:rsidRPr="00161883">
        <w:rPr>
          <w:rFonts w:ascii="標楷體" w:eastAsia="標楷體" w:hAnsi="Times New Roman" w:cs="Times New Roman" w:hint="eastAsia"/>
          <w:spacing w:val="-1"/>
          <w:szCs w:val="24"/>
        </w:rPr>
        <w:t>公共運輸處執行113年臺北市公車路網優化改善空氣品質專案計畫</w:t>
      </w:r>
      <w:r>
        <w:rPr>
          <w:rFonts w:ascii="標楷體" w:eastAsia="標楷體" w:hAnsi="標楷體" w:cs="Times New Roman" w:hint="eastAsia"/>
          <w:spacing w:val="-1"/>
          <w:szCs w:val="24"/>
        </w:rPr>
        <w:t>、</w:t>
      </w:r>
      <w:r w:rsidRPr="00161883">
        <w:rPr>
          <w:rFonts w:ascii="標楷體" w:eastAsia="標楷體" w:hAnsi="Times New Roman" w:cs="Times New Roman" w:hint="eastAsia"/>
          <w:spacing w:val="-1"/>
          <w:szCs w:val="24"/>
        </w:rPr>
        <w:t>貓空纜車動物園站增設電梯及出口廊道；交通局辦理</w:t>
      </w:r>
      <w:proofErr w:type="gramStart"/>
      <w:r w:rsidRPr="00161883">
        <w:rPr>
          <w:rFonts w:ascii="標楷體" w:eastAsia="標楷體" w:hAnsi="Times New Roman" w:cs="Times New Roman" w:hint="eastAsia"/>
          <w:spacing w:val="-1"/>
          <w:szCs w:val="24"/>
        </w:rPr>
        <w:t>113</w:t>
      </w:r>
      <w:proofErr w:type="gramEnd"/>
      <w:r w:rsidRPr="00161883">
        <w:rPr>
          <w:rFonts w:ascii="標楷體" w:eastAsia="標楷體" w:hAnsi="Times New Roman" w:cs="Times New Roman" w:hint="eastAsia"/>
          <w:spacing w:val="-1"/>
          <w:szCs w:val="24"/>
        </w:rPr>
        <w:t>年度臺北市交通事故分析平台維運及系統功能擴充</w:t>
      </w:r>
      <w:r>
        <w:rPr>
          <w:rFonts w:ascii="標楷體" w:eastAsia="標楷體" w:hAnsi="Times New Roman" w:cs="Times New Roman" w:hint="eastAsia"/>
          <w:spacing w:val="-1"/>
          <w:szCs w:val="24"/>
        </w:rPr>
        <w:t>等</w:t>
      </w:r>
      <w:r w:rsidRPr="00161883">
        <w:rPr>
          <w:rFonts w:ascii="標楷體" w:eastAsia="標楷體" w:hAnsi="Times New Roman" w:cs="Times New Roman" w:hint="eastAsia"/>
          <w:spacing w:val="-1"/>
          <w:szCs w:val="24"/>
        </w:rPr>
        <w:t>案，</w:t>
      </w:r>
      <w:r>
        <w:rPr>
          <w:rFonts w:ascii="標楷體" w:eastAsia="標楷體" w:hAnsi="Times New Roman" w:cs="Times New Roman" w:hint="eastAsia"/>
          <w:spacing w:val="-1"/>
          <w:szCs w:val="24"/>
        </w:rPr>
        <w:t>尚未完工，或待驗收，</w:t>
      </w:r>
      <w:proofErr w:type="gramStart"/>
      <w:r>
        <w:rPr>
          <w:rFonts w:ascii="標楷體" w:eastAsia="標楷體" w:hAnsi="Times New Roman" w:cs="Times New Roman" w:hint="eastAsia"/>
          <w:spacing w:val="-1"/>
          <w:szCs w:val="24"/>
        </w:rPr>
        <w:t>或尚有</w:t>
      </w:r>
      <w:proofErr w:type="gramEnd"/>
      <w:r>
        <w:rPr>
          <w:rFonts w:ascii="標楷體" w:eastAsia="標楷體" w:hAnsi="Times New Roman" w:cs="Times New Roman" w:hint="eastAsia"/>
          <w:spacing w:val="-1"/>
          <w:szCs w:val="24"/>
        </w:rPr>
        <w:t>經費待核銷，或契約期程跨年度</w:t>
      </w:r>
      <w:r w:rsidRPr="00212CEF">
        <w:rPr>
          <w:rFonts w:ascii="標楷體" w:eastAsia="標楷體" w:hAnsi="Times New Roman" w:cs="Times New Roman" w:hint="eastAsia"/>
          <w:spacing w:val="-1"/>
          <w:szCs w:val="24"/>
        </w:rPr>
        <w:t>，</w:t>
      </w:r>
      <w:r>
        <w:rPr>
          <w:rFonts w:ascii="標楷體" w:eastAsia="標楷體" w:hAnsi="Times New Roman" w:cs="Times New Roman" w:hint="eastAsia"/>
          <w:spacing w:val="-1"/>
          <w:szCs w:val="24"/>
        </w:rPr>
        <w:t>仍</w:t>
      </w:r>
      <w:r w:rsidRPr="00212CEF">
        <w:rPr>
          <w:rFonts w:ascii="標楷體" w:eastAsia="標楷體" w:hAnsi="Times New Roman" w:cs="Times New Roman" w:hint="eastAsia"/>
          <w:spacing w:val="-1"/>
          <w:szCs w:val="24"/>
        </w:rPr>
        <w:t>須繼續執行。</w:t>
      </w:r>
    </w:p>
    <w:p w14:paraId="7AE8F7C4" w14:textId="77777777" w:rsidR="00CC5AFC" w:rsidRPr="00430C9E" w:rsidRDefault="00CC5AFC" w:rsidP="00606D4C">
      <w:pPr>
        <w:suppressAutoHyphens/>
        <w:overflowPunct w:val="0"/>
        <w:spacing w:beforeLines="50" w:before="180" w:line="460" w:lineRule="exact"/>
        <w:ind w:firstLineChars="100" w:firstLine="280"/>
        <w:jc w:val="both"/>
        <w:rPr>
          <w:rFonts w:ascii="標楷體" w:eastAsia="標楷體" w:hAnsi="Times New Roman" w:cs="Times New Roman"/>
          <w:b/>
          <w:sz w:val="28"/>
          <w:szCs w:val="28"/>
        </w:rPr>
      </w:pPr>
      <w:r w:rsidRPr="00430C9E">
        <w:rPr>
          <w:rFonts w:ascii="標楷體" w:eastAsia="標楷體" w:hAnsi="Times New Roman" w:cs="Times New Roman" w:hint="eastAsia"/>
          <w:b/>
          <w:sz w:val="28"/>
          <w:szCs w:val="28"/>
        </w:rPr>
        <w:t>（二）預算執行之審核</w:t>
      </w:r>
    </w:p>
    <w:p w14:paraId="56760161" w14:textId="77777777" w:rsidR="00CC5AFC" w:rsidRPr="00430C9E" w:rsidRDefault="00CC5AFC" w:rsidP="00606D4C">
      <w:pPr>
        <w:overflowPunct w:val="0"/>
        <w:spacing w:line="410" w:lineRule="exact"/>
        <w:ind w:firstLineChars="200" w:firstLine="480"/>
        <w:jc w:val="both"/>
        <w:rPr>
          <w:rFonts w:ascii="標楷體" w:eastAsia="標楷體" w:hAnsi="Times New Roman" w:cs="Times New Roman"/>
          <w:szCs w:val="24"/>
        </w:rPr>
      </w:pPr>
      <w:r w:rsidRPr="00430C9E">
        <w:rPr>
          <w:rFonts w:ascii="標楷體" w:eastAsia="標楷體" w:hAnsi="Times New Roman" w:cs="Times New Roman"/>
          <w:szCs w:val="24"/>
        </w:rPr>
        <w:t>1.</w:t>
      </w:r>
      <w:r w:rsidRPr="00430C9E">
        <w:rPr>
          <w:rFonts w:ascii="標楷體" w:eastAsia="標楷體" w:hAnsi="Times New Roman" w:cs="Times New Roman" w:hint="eastAsia"/>
          <w:szCs w:val="24"/>
        </w:rPr>
        <w:t>歲入原編列預算數</w:t>
      </w:r>
      <w:r w:rsidRPr="00C7313B">
        <w:rPr>
          <w:rFonts w:ascii="標楷體" w:eastAsia="標楷體" w:hAnsi="標楷體"/>
          <w:kern w:val="0"/>
          <w:szCs w:val="24"/>
        </w:rPr>
        <w:t>58億3,531萬餘元</w:t>
      </w:r>
      <w:r w:rsidRPr="00430C9E">
        <w:rPr>
          <w:rFonts w:ascii="標楷體" w:eastAsia="標楷體" w:hAnsi="Times New Roman" w:cs="Times New Roman" w:hint="eastAsia"/>
          <w:szCs w:val="24"/>
        </w:rPr>
        <w:t>，經追加預算</w:t>
      </w:r>
      <w:r w:rsidRPr="00C7313B">
        <w:rPr>
          <w:rFonts w:ascii="標楷體" w:eastAsia="標楷體" w:hAnsi="標楷體"/>
          <w:kern w:val="0"/>
          <w:szCs w:val="24"/>
        </w:rPr>
        <w:t>20億1,076萬餘元</w:t>
      </w:r>
      <w:r w:rsidRPr="00430C9E">
        <w:rPr>
          <w:rFonts w:ascii="標楷體" w:eastAsia="標楷體" w:hAnsi="Times New Roman" w:cs="Times New Roman" w:hint="eastAsia"/>
          <w:szCs w:val="24"/>
        </w:rPr>
        <w:t>，合計</w:t>
      </w:r>
      <w:r w:rsidRPr="00C7313B">
        <w:rPr>
          <w:rFonts w:ascii="標楷體" w:eastAsia="標楷體" w:hAnsi="標楷體"/>
          <w:kern w:val="0"/>
          <w:szCs w:val="24"/>
        </w:rPr>
        <w:t>78億4,608萬元</w:t>
      </w:r>
      <w:r w:rsidRPr="00430C9E">
        <w:rPr>
          <w:rFonts w:ascii="標楷體" w:eastAsia="標楷體" w:hAnsi="Times New Roman" w:cs="Times New Roman" w:hint="eastAsia"/>
          <w:szCs w:val="24"/>
        </w:rPr>
        <w:t>，決算審核結果，</w:t>
      </w:r>
      <w:r>
        <w:rPr>
          <w:rFonts w:ascii="標楷體" w:eastAsia="標楷體" w:hAnsi="Times New Roman" w:cs="Times New Roman" w:hint="eastAsia"/>
          <w:szCs w:val="24"/>
        </w:rPr>
        <w:t>修正增列應收保留數198萬元，係增列臺北市公有收費停車場基金賸餘繳庫數；</w:t>
      </w:r>
      <w:r w:rsidRPr="00430C9E">
        <w:rPr>
          <w:rFonts w:ascii="標楷體" w:eastAsia="標楷體" w:hAnsi="Times New Roman" w:cs="Times New Roman" w:hint="eastAsia"/>
          <w:szCs w:val="24"/>
        </w:rPr>
        <w:t>審定實現數</w:t>
      </w:r>
      <w:r>
        <w:rPr>
          <w:rFonts w:ascii="標楷體" w:eastAsia="標楷體" w:hAnsi="Times New Roman" w:cs="Times New Roman" w:hint="eastAsia"/>
          <w:szCs w:val="24"/>
        </w:rPr>
        <w:t>75</w:t>
      </w:r>
      <w:r w:rsidRPr="00430C9E">
        <w:rPr>
          <w:rFonts w:ascii="標楷體" w:eastAsia="標楷體" w:hAnsi="標楷體" w:cs="Times New Roman" w:hint="eastAsia"/>
          <w:szCs w:val="24"/>
        </w:rPr>
        <w:t>億</w:t>
      </w:r>
      <w:r>
        <w:rPr>
          <w:rFonts w:ascii="標楷體" w:eastAsia="標楷體" w:hAnsi="標楷體" w:cs="Times New Roman" w:hint="eastAsia"/>
          <w:szCs w:val="24"/>
        </w:rPr>
        <w:t>1</w:t>
      </w:r>
      <w:r w:rsidRPr="00430C9E">
        <w:rPr>
          <w:rFonts w:ascii="標楷體" w:eastAsia="標楷體" w:hAnsi="標楷體" w:cs="Times New Roman"/>
          <w:szCs w:val="24"/>
        </w:rPr>
        <w:t>,</w:t>
      </w:r>
      <w:r>
        <w:rPr>
          <w:rFonts w:ascii="標楷體" w:eastAsia="標楷體" w:hAnsi="標楷體" w:cs="Times New Roman" w:hint="eastAsia"/>
          <w:szCs w:val="24"/>
        </w:rPr>
        <w:t>119</w:t>
      </w:r>
      <w:r w:rsidRPr="00430C9E">
        <w:rPr>
          <w:rFonts w:ascii="標楷體" w:eastAsia="標楷體" w:hAnsi="標楷體" w:cs="Times New Roman" w:hint="eastAsia"/>
          <w:szCs w:val="24"/>
        </w:rPr>
        <w:t>萬餘元，應收保留數</w:t>
      </w:r>
      <w:r>
        <w:rPr>
          <w:rFonts w:ascii="標楷體" w:eastAsia="標楷體" w:hAnsi="標楷體" w:cs="Times New Roman" w:hint="eastAsia"/>
          <w:szCs w:val="24"/>
        </w:rPr>
        <w:t>6</w:t>
      </w:r>
      <w:r w:rsidRPr="00430C9E">
        <w:rPr>
          <w:rFonts w:ascii="標楷體" w:eastAsia="標楷體" w:hAnsi="標楷體" w:cs="Times New Roman" w:hint="eastAsia"/>
          <w:szCs w:val="24"/>
        </w:rPr>
        <w:t>億</w:t>
      </w:r>
      <w:r>
        <w:rPr>
          <w:rFonts w:ascii="標楷體" w:eastAsia="標楷體" w:hAnsi="標楷體" w:cs="Times New Roman" w:hint="eastAsia"/>
          <w:szCs w:val="24"/>
        </w:rPr>
        <w:t>9</w:t>
      </w:r>
      <w:r w:rsidRPr="00430C9E">
        <w:rPr>
          <w:rFonts w:ascii="標楷體" w:eastAsia="標楷體" w:hAnsi="標楷體" w:cs="Times New Roman"/>
          <w:szCs w:val="24"/>
        </w:rPr>
        <w:t>,</w:t>
      </w:r>
      <w:r>
        <w:rPr>
          <w:rFonts w:ascii="標楷體" w:eastAsia="標楷體" w:hAnsi="標楷體" w:cs="Times New Roman" w:hint="eastAsia"/>
          <w:szCs w:val="24"/>
        </w:rPr>
        <w:t>655</w:t>
      </w:r>
      <w:r w:rsidRPr="00430C9E">
        <w:rPr>
          <w:rFonts w:ascii="標楷體" w:eastAsia="標楷體" w:hAnsi="標楷體" w:cs="Times New Roman" w:hint="eastAsia"/>
          <w:szCs w:val="24"/>
        </w:rPr>
        <w:t>萬餘元</w:t>
      </w:r>
      <w:r w:rsidRPr="00430C9E">
        <w:rPr>
          <w:rFonts w:ascii="標楷體" w:eastAsia="標楷體" w:hAnsi="Times New Roman" w:cs="Times New Roman" w:hint="eastAsia"/>
          <w:szCs w:val="24"/>
        </w:rPr>
        <w:t>，主</w:t>
      </w:r>
      <w:r w:rsidRPr="00430C9E">
        <w:rPr>
          <w:rFonts w:ascii="標楷體" w:eastAsia="標楷體" w:hAnsi="標楷體" w:cs="Times New Roman" w:hint="eastAsia"/>
          <w:szCs w:val="24"/>
        </w:rPr>
        <w:t>要係交通事件裁決所</w:t>
      </w:r>
      <w:r>
        <w:rPr>
          <w:rFonts w:ascii="標楷體" w:eastAsia="標楷體" w:hAnsi="標楷體" w:cs="Times New Roman" w:hint="eastAsia"/>
          <w:szCs w:val="24"/>
        </w:rPr>
        <w:t>應收</w:t>
      </w:r>
      <w:r w:rsidRPr="00430C9E">
        <w:rPr>
          <w:rFonts w:ascii="標楷體" w:eastAsia="標楷體" w:hAnsi="標楷體" w:cs="Times New Roman" w:hint="eastAsia"/>
          <w:szCs w:val="24"/>
        </w:rPr>
        <w:t>違反道路交通管理處罰條例之罰鍰</w:t>
      </w:r>
      <w:r>
        <w:rPr>
          <w:rFonts w:ascii="標楷體" w:eastAsia="標楷體" w:hAnsi="標楷體" w:cs="Times New Roman" w:hint="eastAsia"/>
          <w:szCs w:val="24"/>
        </w:rPr>
        <w:t>尚</w:t>
      </w:r>
      <w:r w:rsidRPr="00430C9E">
        <w:rPr>
          <w:rFonts w:ascii="標楷體" w:eastAsia="標楷體" w:hAnsi="標楷體" w:cs="Times New Roman" w:hint="eastAsia"/>
          <w:szCs w:val="24"/>
        </w:rPr>
        <w:t>待收繳</w:t>
      </w:r>
      <w:r w:rsidRPr="00430C9E">
        <w:rPr>
          <w:rFonts w:ascii="標楷體" w:eastAsia="標楷體" w:hAnsi="Times New Roman" w:cs="Times New Roman" w:hint="eastAsia"/>
          <w:szCs w:val="24"/>
        </w:rPr>
        <w:t>；合計決算審定數為</w:t>
      </w:r>
      <w:r>
        <w:rPr>
          <w:rFonts w:ascii="標楷體" w:eastAsia="標楷體" w:hAnsi="Times New Roman" w:cs="Times New Roman" w:hint="eastAsia"/>
          <w:szCs w:val="24"/>
        </w:rPr>
        <w:t>82</w:t>
      </w:r>
      <w:r w:rsidRPr="00430C9E">
        <w:rPr>
          <w:rFonts w:ascii="標楷體" w:eastAsia="標楷體" w:hAnsi="Times New Roman" w:cs="Times New Roman" w:hint="eastAsia"/>
          <w:szCs w:val="24"/>
        </w:rPr>
        <w:t>億</w:t>
      </w:r>
      <w:r>
        <w:rPr>
          <w:rFonts w:ascii="標楷體" w:eastAsia="標楷體" w:hAnsi="Times New Roman" w:cs="Times New Roman" w:hint="eastAsia"/>
          <w:szCs w:val="24"/>
        </w:rPr>
        <w:t>775</w:t>
      </w:r>
      <w:r w:rsidRPr="00430C9E">
        <w:rPr>
          <w:rFonts w:ascii="標楷體" w:eastAsia="標楷體" w:hAnsi="Times New Roman" w:cs="Times New Roman" w:hint="eastAsia"/>
          <w:szCs w:val="24"/>
        </w:rPr>
        <w:t>萬餘元，較預算</w:t>
      </w:r>
      <w:r>
        <w:rPr>
          <w:rFonts w:ascii="標楷體" w:eastAsia="標楷體" w:hAnsi="Times New Roman" w:cs="Times New Roman" w:hint="eastAsia"/>
          <w:szCs w:val="24"/>
        </w:rPr>
        <w:t>增加3</w:t>
      </w:r>
      <w:r w:rsidRPr="00430C9E">
        <w:rPr>
          <w:rFonts w:ascii="標楷體" w:eastAsia="標楷體" w:hAnsi="標楷體" w:cs="Times New Roman" w:hint="eastAsia"/>
          <w:szCs w:val="24"/>
        </w:rPr>
        <w:t>億</w:t>
      </w:r>
      <w:r>
        <w:rPr>
          <w:rFonts w:ascii="標楷體" w:eastAsia="標楷體" w:hAnsi="標楷體" w:cs="Times New Roman" w:hint="eastAsia"/>
          <w:szCs w:val="24"/>
        </w:rPr>
        <w:t>6</w:t>
      </w:r>
      <w:r w:rsidRPr="00430C9E">
        <w:rPr>
          <w:rFonts w:ascii="標楷體" w:eastAsia="標楷體" w:hAnsi="標楷體" w:cs="Times New Roman"/>
          <w:szCs w:val="24"/>
        </w:rPr>
        <w:t>,</w:t>
      </w:r>
      <w:r>
        <w:rPr>
          <w:rFonts w:ascii="標楷體" w:eastAsia="標楷體" w:hAnsi="標楷體" w:cs="Times New Roman" w:hint="eastAsia"/>
          <w:szCs w:val="24"/>
        </w:rPr>
        <w:t>167</w:t>
      </w:r>
      <w:r w:rsidRPr="00430C9E">
        <w:rPr>
          <w:rFonts w:ascii="標楷體" w:eastAsia="標楷體" w:hAnsi="標楷體" w:cs="Times New Roman" w:hint="eastAsia"/>
          <w:szCs w:val="24"/>
        </w:rPr>
        <w:t>萬餘元（</w:t>
      </w:r>
      <w:r>
        <w:rPr>
          <w:rFonts w:ascii="標楷體" w:eastAsia="標楷體" w:hAnsi="標楷體" w:cs="Times New Roman" w:hint="eastAsia"/>
          <w:szCs w:val="24"/>
        </w:rPr>
        <w:t>4.61</w:t>
      </w:r>
      <w:r w:rsidRPr="00430C9E">
        <w:rPr>
          <w:rFonts w:ascii="標楷體" w:eastAsia="標楷體" w:hAnsi="標楷體" w:cs="Times New Roman" w:hint="eastAsia"/>
          <w:szCs w:val="24"/>
        </w:rPr>
        <w:t>％）</w:t>
      </w:r>
      <w:r w:rsidRPr="00430C9E">
        <w:rPr>
          <w:rFonts w:ascii="標楷體" w:eastAsia="標楷體" w:hAnsi="Times New Roman" w:cs="Times New Roman" w:hint="eastAsia"/>
          <w:szCs w:val="24"/>
        </w:rPr>
        <w:t>，主要係</w:t>
      </w:r>
      <w:r w:rsidRPr="00430C9E">
        <w:rPr>
          <w:rFonts w:ascii="標楷體" w:eastAsia="標楷體" w:hAnsi="標楷體" w:cs="Times New Roman" w:hint="eastAsia"/>
          <w:szCs w:val="24"/>
        </w:rPr>
        <w:t>交通事件裁決所之應收違反道路交通管理處罰條例</w:t>
      </w:r>
      <w:proofErr w:type="gramStart"/>
      <w:r w:rsidRPr="00430C9E">
        <w:rPr>
          <w:rFonts w:ascii="標楷體" w:eastAsia="標楷體" w:hAnsi="標楷體" w:cs="Times New Roman" w:hint="eastAsia"/>
          <w:szCs w:val="24"/>
        </w:rPr>
        <w:t>裁</w:t>
      </w:r>
      <w:proofErr w:type="gramEnd"/>
      <w:r>
        <w:rPr>
          <w:rFonts w:ascii="標楷體" w:eastAsia="標楷體" w:hAnsi="標楷體" w:cs="Times New Roman" w:hint="eastAsia"/>
          <w:szCs w:val="24"/>
        </w:rPr>
        <w:t>罰金額，</w:t>
      </w:r>
      <w:r w:rsidRPr="00430C9E">
        <w:rPr>
          <w:rFonts w:ascii="標楷體" w:eastAsia="標楷體" w:hAnsi="標楷體" w:cs="Times New Roman" w:hint="eastAsia"/>
          <w:szCs w:val="24"/>
        </w:rPr>
        <w:t>暨</w:t>
      </w:r>
      <w:r>
        <w:rPr>
          <w:rFonts w:ascii="標楷體" w:eastAsia="標楷體" w:hAnsi="標楷體" w:cs="Times New Roman" w:hint="eastAsia"/>
          <w:szCs w:val="24"/>
        </w:rPr>
        <w:t>公共運輸處</w:t>
      </w:r>
      <w:r w:rsidRPr="00113A85">
        <w:rPr>
          <w:rFonts w:ascii="標楷體" w:eastAsia="標楷體" w:hAnsi="標楷體" w:cs="Times New Roman" w:hint="eastAsia"/>
          <w:szCs w:val="24"/>
        </w:rPr>
        <w:t>收回</w:t>
      </w:r>
      <w:r>
        <w:rPr>
          <w:rFonts w:ascii="標楷體" w:eastAsia="標楷體" w:hAnsi="標楷體" w:cs="Times New Roman" w:hint="eastAsia"/>
          <w:szCs w:val="24"/>
        </w:rPr>
        <w:t>「1280</w:t>
      </w:r>
      <w:r w:rsidRPr="00D763FB">
        <w:rPr>
          <w:rFonts w:ascii="標楷體" w:eastAsia="標楷體" w:hAnsi="標楷體" w:cs="Times New Roman" w:hint="eastAsia"/>
          <w:szCs w:val="24"/>
        </w:rPr>
        <w:t>公共運輸</w:t>
      </w:r>
      <w:r w:rsidRPr="00945712">
        <w:rPr>
          <w:rFonts w:ascii="標楷體" w:eastAsia="標楷體" w:hAnsi="標楷體" w:cs="Times New Roman" w:hint="eastAsia"/>
          <w:szCs w:val="24"/>
        </w:rPr>
        <w:t>定期票</w:t>
      </w:r>
      <w:r>
        <w:rPr>
          <w:rFonts w:ascii="標楷體" w:eastAsia="標楷體" w:hAnsi="標楷體" w:cs="Times New Roman" w:hint="eastAsia"/>
          <w:szCs w:val="24"/>
        </w:rPr>
        <w:t>」</w:t>
      </w:r>
      <w:r w:rsidRPr="00945712">
        <w:rPr>
          <w:rFonts w:ascii="標楷體" w:eastAsia="標楷體" w:hAnsi="標楷體" w:cs="Times New Roman" w:hint="eastAsia"/>
          <w:szCs w:val="24"/>
        </w:rPr>
        <w:t>補貼賸餘款</w:t>
      </w:r>
      <w:r>
        <w:rPr>
          <w:rFonts w:ascii="標楷體" w:eastAsia="標楷體" w:hAnsi="標楷體" w:cs="Times New Roman" w:hint="eastAsia"/>
          <w:szCs w:val="24"/>
        </w:rPr>
        <w:t>等收入較預計增加</w:t>
      </w:r>
      <w:r w:rsidRPr="00430C9E">
        <w:rPr>
          <w:rFonts w:ascii="標楷體" w:eastAsia="標楷體" w:hAnsi="Times New Roman" w:cs="Times New Roman" w:hint="eastAsia"/>
          <w:szCs w:val="24"/>
        </w:rPr>
        <w:t>。</w:t>
      </w:r>
    </w:p>
    <w:p w14:paraId="081FC4BA" w14:textId="77777777" w:rsidR="00CC5AFC" w:rsidRPr="00430C9E" w:rsidRDefault="00CC5AFC" w:rsidP="00606D4C">
      <w:pPr>
        <w:overflowPunct w:val="0"/>
        <w:spacing w:line="410" w:lineRule="exact"/>
        <w:ind w:firstLineChars="200" w:firstLine="480"/>
        <w:jc w:val="both"/>
        <w:rPr>
          <w:rFonts w:ascii="標楷體" w:eastAsia="標楷體" w:hAnsi="標楷體" w:cs="Times New Roman"/>
          <w:szCs w:val="24"/>
        </w:rPr>
      </w:pPr>
      <w:r w:rsidRPr="00430C9E">
        <w:rPr>
          <w:rFonts w:ascii="標楷體" w:eastAsia="標楷體" w:hAnsi="Times New Roman" w:cs="Times New Roman"/>
          <w:szCs w:val="24"/>
        </w:rPr>
        <w:t>2.</w:t>
      </w:r>
      <w:r w:rsidRPr="00430C9E">
        <w:rPr>
          <w:rFonts w:ascii="標楷體" w:eastAsia="標楷體" w:hAnsi="Times New Roman" w:cs="Times New Roman" w:hint="eastAsia"/>
          <w:szCs w:val="24"/>
        </w:rPr>
        <w:t>以前年度歲入轉入數計</w:t>
      </w:r>
      <w:r w:rsidRPr="00C7313B">
        <w:rPr>
          <w:rFonts w:ascii="標楷體" w:eastAsia="標楷體" w:hAnsi="標楷體"/>
          <w:kern w:val="0"/>
          <w:szCs w:val="24"/>
        </w:rPr>
        <w:t>8億2,497萬餘元</w:t>
      </w:r>
      <w:r w:rsidRPr="00430C9E">
        <w:rPr>
          <w:rFonts w:ascii="標楷體" w:eastAsia="標楷體" w:hAnsi="Times New Roman" w:cs="Times New Roman" w:hint="eastAsia"/>
          <w:szCs w:val="24"/>
        </w:rPr>
        <w:t>，決算審核結果，審定</w:t>
      </w:r>
      <w:r w:rsidRPr="00430C9E">
        <w:rPr>
          <w:rFonts w:ascii="標楷體" w:eastAsia="標楷體" w:hAnsi="標楷體" w:cs="Times New Roman" w:hint="eastAsia"/>
          <w:szCs w:val="24"/>
        </w:rPr>
        <w:t>實現數</w:t>
      </w:r>
      <w:r w:rsidRPr="00C7313B">
        <w:rPr>
          <w:rFonts w:ascii="標楷體" w:eastAsia="標楷體" w:hAnsi="標楷體"/>
          <w:kern w:val="0"/>
          <w:szCs w:val="24"/>
        </w:rPr>
        <w:t>6億9,474萬餘元（84.21％）</w:t>
      </w:r>
      <w:r w:rsidRPr="00430C9E">
        <w:rPr>
          <w:rFonts w:ascii="標楷體" w:eastAsia="標楷體" w:hAnsi="Times New Roman" w:cs="Times New Roman" w:hint="eastAsia"/>
          <w:szCs w:val="24"/>
        </w:rPr>
        <w:t>；</w:t>
      </w:r>
      <w:r w:rsidRPr="00C7313B">
        <w:rPr>
          <w:rFonts w:ascii="標楷體" w:eastAsia="標楷體" w:hAnsi="標楷體"/>
          <w:kern w:val="0"/>
          <w:szCs w:val="24"/>
        </w:rPr>
        <w:t>減免（註銷）數1億1,280萬餘元（13.67％）</w:t>
      </w:r>
      <w:r w:rsidRPr="00430C9E">
        <w:rPr>
          <w:rFonts w:ascii="標楷體" w:eastAsia="標楷體" w:hAnsi="Times New Roman" w:cs="Times New Roman" w:hint="eastAsia"/>
          <w:szCs w:val="24"/>
        </w:rPr>
        <w:t>，</w:t>
      </w:r>
      <w:r w:rsidRPr="00113A85">
        <w:rPr>
          <w:rFonts w:ascii="標楷體" w:eastAsia="標楷體" w:hAnsi="Times New Roman" w:cs="Times New Roman" w:hint="eastAsia"/>
          <w:szCs w:val="24"/>
        </w:rPr>
        <w:t>主要係交通事件裁決所註銷已取得執行憑證或撤銷原處分、移轉管轄等裁罰案件應收罰鍰</w:t>
      </w:r>
      <w:r w:rsidRPr="00430C9E">
        <w:rPr>
          <w:rFonts w:ascii="標楷體" w:eastAsia="標楷體" w:hAnsi="Times New Roman" w:cs="Times New Roman" w:hint="eastAsia"/>
          <w:szCs w:val="24"/>
        </w:rPr>
        <w:t>；</w:t>
      </w:r>
      <w:r w:rsidRPr="00C7313B">
        <w:rPr>
          <w:rFonts w:ascii="標楷體" w:eastAsia="標楷體" w:hAnsi="標楷體"/>
          <w:kern w:val="0"/>
          <w:szCs w:val="24"/>
        </w:rPr>
        <w:t>應收保留數1,742萬餘元（2.11％）</w:t>
      </w:r>
      <w:r w:rsidRPr="00430C9E">
        <w:rPr>
          <w:rFonts w:ascii="標楷體" w:eastAsia="標楷體" w:hAnsi="Times New Roman" w:cs="Times New Roman" w:hint="eastAsia"/>
          <w:szCs w:val="24"/>
        </w:rPr>
        <w:t>，</w:t>
      </w:r>
      <w:r w:rsidRPr="00E26C84">
        <w:rPr>
          <w:rFonts w:ascii="標楷體" w:eastAsia="標楷體" w:hAnsi="Times New Roman" w:cs="Times New Roman" w:hint="eastAsia"/>
          <w:szCs w:val="24"/>
        </w:rPr>
        <w:t>主要係</w:t>
      </w:r>
      <w:r w:rsidRPr="00113A85">
        <w:rPr>
          <w:rFonts w:ascii="標楷體" w:eastAsia="標楷體" w:hAnsi="Times New Roman" w:cs="Times New Roman" w:hint="eastAsia"/>
          <w:szCs w:val="24"/>
        </w:rPr>
        <w:t>交通事件裁決所</w:t>
      </w:r>
      <w:r>
        <w:rPr>
          <w:rFonts w:ascii="標楷體" w:eastAsia="標楷體" w:hAnsi="Times New Roman" w:cs="Times New Roman" w:hint="eastAsia"/>
          <w:szCs w:val="24"/>
        </w:rPr>
        <w:t>應收</w:t>
      </w:r>
      <w:r w:rsidRPr="00E26C84">
        <w:rPr>
          <w:rFonts w:ascii="標楷體" w:eastAsia="標楷體" w:hAnsi="Times New Roman" w:cs="Times New Roman" w:hint="eastAsia"/>
          <w:szCs w:val="24"/>
        </w:rPr>
        <w:t>違反</w:t>
      </w:r>
      <w:r w:rsidRPr="00430C9E">
        <w:rPr>
          <w:rFonts w:ascii="標楷體" w:eastAsia="標楷體" w:hAnsi="標楷體" w:cs="Times New Roman" w:hint="eastAsia"/>
          <w:szCs w:val="24"/>
        </w:rPr>
        <w:t>道路交通管理處罰條例</w:t>
      </w:r>
      <w:r w:rsidRPr="00E26C84">
        <w:rPr>
          <w:rFonts w:ascii="標楷體" w:eastAsia="標楷體" w:hAnsi="Times New Roman" w:cs="Times New Roman" w:hint="eastAsia"/>
          <w:szCs w:val="24"/>
        </w:rPr>
        <w:t>之罰鍰</w:t>
      </w:r>
      <w:r>
        <w:rPr>
          <w:rFonts w:ascii="標楷體" w:eastAsia="標楷體" w:hAnsi="Times New Roman" w:cs="Times New Roman" w:hint="eastAsia"/>
          <w:szCs w:val="24"/>
        </w:rPr>
        <w:t>尚</w:t>
      </w:r>
      <w:r w:rsidRPr="00E26C84">
        <w:rPr>
          <w:rFonts w:ascii="標楷體" w:eastAsia="標楷體" w:hAnsi="Times New Roman" w:cs="Times New Roman" w:hint="eastAsia"/>
          <w:szCs w:val="24"/>
        </w:rPr>
        <w:t>待收繳。</w:t>
      </w:r>
    </w:p>
    <w:p w14:paraId="6717D1D1" w14:textId="77777777" w:rsidR="00606D4C" w:rsidRDefault="00CC5AFC" w:rsidP="00606D4C">
      <w:pPr>
        <w:overflowPunct w:val="0"/>
        <w:spacing w:line="410" w:lineRule="exact"/>
        <w:ind w:firstLineChars="200" w:firstLine="480"/>
        <w:jc w:val="both"/>
        <w:rPr>
          <w:rFonts w:ascii="標楷體" w:eastAsia="標楷體" w:hAnsi="Times New Roman" w:cs="Times New Roman"/>
          <w:szCs w:val="24"/>
        </w:rPr>
      </w:pPr>
      <w:r w:rsidRPr="00430C9E">
        <w:rPr>
          <w:rFonts w:ascii="標楷體" w:eastAsia="標楷體" w:hAnsi="Times New Roman" w:cs="Times New Roman"/>
          <w:szCs w:val="24"/>
        </w:rPr>
        <w:t>3.</w:t>
      </w:r>
      <w:r w:rsidRPr="00430C9E">
        <w:rPr>
          <w:rFonts w:ascii="標楷體" w:eastAsia="標楷體" w:hAnsi="Times New Roman" w:cs="Times New Roman" w:hint="eastAsia"/>
          <w:szCs w:val="24"/>
        </w:rPr>
        <w:t>歲出原編列預算數</w:t>
      </w:r>
      <w:r w:rsidRPr="00C7313B">
        <w:rPr>
          <w:rFonts w:ascii="標楷體" w:eastAsia="標楷體" w:hAnsi="標楷體"/>
          <w:kern w:val="0"/>
          <w:szCs w:val="24"/>
        </w:rPr>
        <w:t>98億1,206萬餘元</w:t>
      </w:r>
      <w:r w:rsidRPr="00430C9E">
        <w:rPr>
          <w:rFonts w:ascii="標楷體" w:eastAsia="標楷體" w:hAnsi="Times New Roman" w:cs="Times New Roman" w:hint="eastAsia"/>
          <w:szCs w:val="24"/>
        </w:rPr>
        <w:t>，經追加預算</w:t>
      </w:r>
      <w:r w:rsidRPr="001104B2">
        <w:rPr>
          <w:rFonts w:ascii="標楷體" w:eastAsia="標楷體" w:hAnsi="Times New Roman" w:cs="Times New Roman" w:hint="eastAsia"/>
          <w:szCs w:val="24"/>
        </w:rPr>
        <w:t>20億1,274萬</w:t>
      </w:r>
      <w:r w:rsidRPr="00430C9E">
        <w:rPr>
          <w:rFonts w:ascii="標楷體" w:eastAsia="標楷體" w:hAnsi="Times New Roman" w:cs="Times New Roman" w:hint="eastAsia"/>
          <w:szCs w:val="24"/>
        </w:rPr>
        <w:t>餘元，並因</w:t>
      </w:r>
      <w:r w:rsidRPr="00430C9E">
        <w:rPr>
          <w:rFonts w:ascii="標楷體" w:eastAsia="標楷體" w:hAnsi="標楷體" w:cs="Times New Roman" w:hint="eastAsia"/>
          <w:kern w:val="0"/>
          <w:szCs w:val="24"/>
        </w:rPr>
        <w:t>交通局</w:t>
      </w:r>
      <w:r w:rsidRPr="003F6336">
        <w:rPr>
          <w:rFonts w:ascii="標楷體" w:eastAsia="標楷體" w:hAnsi="標楷體" w:cs="Times New Roman" w:hint="eastAsia"/>
          <w:kern w:val="0"/>
          <w:szCs w:val="24"/>
        </w:rPr>
        <w:t>辦理「爭取2029智慧運輸世界大會主辦權之競標工作案」</w:t>
      </w:r>
      <w:r w:rsidRPr="00430C9E">
        <w:rPr>
          <w:rFonts w:ascii="標楷體" w:eastAsia="標楷體" w:hAnsi="標楷體" w:cs="Times New Roman" w:hint="eastAsia"/>
          <w:kern w:val="0"/>
          <w:szCs w:val="24"/>
        </w:rPr>
        <w:t>等經費需求</w:t>
      </w:r>
      <w:r w:rsidRPr="00430C9E">
        <w:rPr>
          <w:rFonts w:ascii="標楷體" w:eastAsia="標楷體" w:hAnsi="Times New Roman" w:cs="Times New Roman" w:hint="eastAsia"/>
          <w:szCs w:val="24"/>
        </w:rPr>
        <w:t>，經動支第二預備</w:t>
      </w:r>
      <w:r>
        <w:rPr>
          <w:rFonts w:ascii="標楷體" w:eastAsia="標楷體" w:hAnsi="Times New Roman" w:cs="Times New Roman" w:hint="eastAsia"/>
          <w:szCs w:val="24"/>
        </w:rPr>
        <w:t>金</w:t>
      </w:r>
      <w:r w:rsidRPr="00C7313B">
        <w:rPr>
          <w:rFonts w:ascii="標楷體" w:eastAsia="標楷體" w:hAnsi="標楷體"/>
          <w:kern w:val="0"/>
          <w:szCs w:val="24"/>
        </w:rPr>
        <w:t>911萬餘元</w:t>
      </w:r>
      <w:r w:rsidRPr="00430C9E">
        <w:rPr>
          <w:rFonts w:ascii="標楷體" w:eastAsia="標楷體" w:hAnsi="Times New Roman" w:cs="Times New Roman" w:hint="eastAsia"/>
          <w:szCs w:val="24"/>
        </w:rPr>
        <w:t>，</w:t>
      </w:r>
      <w:r>
        <w:rPr>
          <w:rFonts w:ascii="標楷體" w:eastAsia="標楷體" w:hAnsi="Times New Roman" w:cs="Times New Roman" w:hint="eastAsia"/>
          <w:szCs w:val="24"/>
        </w:rPr>
        <w:t>暨</w:t>
      </w:r>
      <w:r w:rsidRPr="00430C9E">
        <w:rPr>
          <w:rFonts w:ascii="標楷體" w:eastAsia="標楷體" w:hAnsi="Times New Roman" w:cs="Times New Roman" w:hint="eastAsia"/>
          <w:szCs w:val="24"/>
        </w:rPr>
        <w:t>交通局</w:t>
      </w:r>
      <w:r>
        <w:rPr>
          <w:rFonts w:ascii="標楷體" w:eastAsia="標楷體" w:hAnsi="Times New Roman" w:cs="Times New Roman" w:hint="eastAsia"/>
          <w:szCs w:val="24"/>
        </w:rPr>
        <w:t>、</w:t>
      </w:r>
      <w:r w:rsidRPr="00606D4C">
        <w:rPr>
          <w:rFonts w:ascii="標楷體" w:eastAsia="標楷體" w:hAnsi="標楷體" w:hint="eastAsia"/>
          <w:kern w:val="0"/>
          <w:szCs w:val="24"/>
        </w:rPr>
        <w:t>停車</w:t>
      </w:r>
      <w:r>
        <w:rPr>
          <w:rFonts w:ascii="標楷體" w:eastAsia="標楷體" w:hAnsi="Times New Roman" w:cs="Times New Roman" w:hint="eastAsia"/>
          <w:szCs w:val="24"/>
        </w:rPr>
        <w:t>管理工程處、交通管制工程處、公共運輸處及交通事件裁決所因</w:t>
      </w:r>
      <w:r w:rsidRPr="00430C9E">
        <w:rPr>
          <w:rFonts w:ascii="標楷體" w:eastAsia="標楷體" w:hAnsi="Times New Roman" w:cs="Times New Roman" w:hint="eastAsia"/>
          <w:szCs w:val="24"/>
        </w:rPr>
        <w:t>人事費不</w:t>
      </w:r>
      <w:r w:rsidRPr="00606D4C">
        <w:rPr>
          <w:rFonts w:ascii="標楷體" w:eastAsia="標楷體" w:hAnsi="Times New Roman" w:cs="Times New Roman" w:hint="eastAsia"/>
          <w:spacing w:val="2"/>
          <w:szCs w:val="24"/>
        </w:rPr>
        <w:t>足申請動支各類員工待遇準備</w:t>
      </w:r>
      <w:r w:rsidRPr="00606D4C">
        <w:rPr>
          <w:rFonts w:ascii="標楷體" w:eastAsia="標楷體" w:hAnsi="標楷體"/>
          <w:spacing w:val="2"/>
          <w:kern w:val="0"/>
          <w:szCs w:val="24"/>
        </w:rPr>
        <w:t>3,116萬餘元</w:t>
      </w:r>
      <w:r w:rsidRPr="00606D4C">
        <w:rPr>
          <w:rFonts w:ascii="標楷體" w:eastAsia="標楷體" w:hAnsi="Times New Roman" w:cs="Times New Roman" w:hint="eastAsia"/>
          <w:spacing w:val="2"/>
          <w:szCs w:val="24"/>
        </w:rPr>
        <w:t>，合計</w:t>
      </w:r>
      <w:r w:rsidRPr="00606D4C">
        <w:rPr>
          <w:rFonts w:ascii="標楷體" w:eastAsia="標楷體" w:hAnsi="標楷體"/>
          <w:spacing w:val="2"/>
          <w:kern w:val="0"/>
          <w:szCs w:val="24"/>
        </w:rPr>
        <w:t>118億6,508萬餘元</w:t>
      </w:r>
      <w:r w:rsidRPr="00606D4C">
        <w:rPr>
          <w:rFonts w:ascii="標楷體" w:eastAsia="標楷體" w:hAnsi="Times New Roman" w:cs="Times New Roman" w:hint="eastAsia"/>
          <w:spacing w:val="2"/>
          <w:szCs w:val="24"/>
        </w:rPr>
        <w:t>，決算審核結果，審定</w:t>
      </w:r>
    </w:p>
    <w:p w14:paraId="45CAC8EB" w14:textId="745B2142" w:rsidR="00CC5AFC" w:rsidRPr="00220D10" w:rsidRDefault="00CC5AFC" w:rsidP="00606D4C">
      <w:pPr>
        <w:overflowPunct w:val="0"/>
        <w:spacing w:line="410" w:lineRule="exact"/>
        <w:jc w:val="both"/>
        <w:rPr>
          <w:rFonts w:ascii="標楷體" w:eastAsia="標楷體" w:hAnsi="Times New Roman" w:cs="Times New Roman"/>
          <w:color w:val="FF0000"/>
          <w:szCs w:val="24"/>
        </w:rPr>
      </w:pPr>
      <w:r w:rsidRPr="00430C9E">
        <w:rPr>
          <w:rFonts w:ascii="標楷體" w:eastAsia="標楷體" w:hAnsi="標楷體" w:cs="Times New Roman" w:hint="eastAsia"/>
          <w:szCs w:val="24"/>
        </w:rPr>
        <w:lastRenderedPageBreak/>
        <w:t>實現數</w:t>
      </w:r>
      <w:r w:rsidRPr="00C7313B">
        <w:rPr>
          <w:rFonts w:ascii="標楷體" w:eastAsia="標楷體" w:hAnsi="標楷體"/>
          <w:kern w:val="0"/>
          <w:szCs w:val="24"/>
        </w:rPr>
        <w:t>116億2,156萬餘元（97.95％）</w:t>
      </w:r>
      <w:r w:rsidRPr="00430C9E">
        <w:rPr>
          <w:rFonts w:ascii="標楷體" w:eastAsia="標楷體" w:hAnsi="標楷體" w:cs="Times New Roman" w:hint="eastAsia"/>
          <w:szCs w:val="24"/>
        </w:rPr>
        <w:t>，應付</w:t>
      </w:r>
      <w:r w:rsidRPr="00606D4C">
        <w:rPr>
          <w:rFonts w:ascii="標楷體" w:eastAsia="標楷體" w:hAnsi="標楷體" w:hint="eastAsia"/>
          <w:kern w:val="0"/>
          <w:szCs w:val="24"/>
        </w:rPr>
        <w:t>保留</w:t>
      </w:r>
      <w:r w:rsidRPr="00430C9E">
        <w:rPr>
          <w:rFonts w:ascii="標楷體" w:eastAsia="標楷體" w:hAnsi="標楷體" w:cs="Times New Roman" w:hint="eastAsia"/>
          <w:szCs w:val="24"/>
        </w:rPr>
        <w:t>數</w:t>
      </w:r>
      <w:r w:rsidRPr="00C7313B">
        <w:rPr>
          <w:rFonts w:ascii="標楷體" w:eastAsia="標楷體" w:hAnsi="標楷體"/>
          <w:kern w:val="0"/>
          <w:szCs w:val="24"/>
        </w:rPr>
        <w:t>1億4,812萬餘元（1.25％）</w:t>
      </w:r>
      <w:r w:rsidRPr="00430C9E">
        <w:rPr>
          <w:rFonts w:ascii="標楷體" w:eastAsia="標楷體" w:hAnsi="Times New Roman" w:cs="Times New Roman" w:hint="eastAsia"/>
          <w:szCs w:val="24"/>
        </w:rPr>
        <w:t>，保留原因詳「（一）計畫實施之查核」說明；合計決算審定數為</w:t>
      </w:r>
      <w:r w:rsidRPr="00C7313B">
        <w:rPr>
          <w:rFonts w:ascii="標楷體" w:eastAsia="標楷體" w:hAnsi="標楷體"/>
          <w:kern w:val="0"/>
          <w:szCs w:val="24"/>
        </w:rPr>
        <w:t>117億6,968萬餘元</w:t>
      </w:r>
      <w:r w:rsidRPr="00430C9E">
        <w:rPr>
          <w:rFonts w:ascii="標楷體" w:eastAsia="標楷體" w:hAnsi="Times New Roman" w:cs="Times New Roman" w:hint="eastAsia"/>
          <w:szCs w:val="24"/>
        </w:rPr>
        <w:t>，</w:t>
      </w:r>
      <w:r w:rsidRPr="00430C9E">
        <w:rPr>
          <w:rFonts w:ascii="標楷體" w:eastAsia="標楷體" w:hAnsi="標楷體" w:cs="Times New Roman" w:hint="eastAsia"/>
          <w:szCs w:val="24"/>
        </w:rPr>
        <w:t>預算賸餘</w:t>
      </w:r>
      <w:r w:rsidRPr="00C7313B">
        <w:rPr>
          <w:rFonts w:ascii="標楷體" w:eastAsia="標楷體" w:hAnsi="標楷體"/>
          <w:kern w:val="0"/>
          <w:szCs w:val="24"/>
        </w:rPr>
        <w:t>9,540萬餘元（0.80％）</w:t>
      </w:r>
      <w:r w:rsidRPr="00430C9E">
        <w:rPr>
          <w:rFonts w:ascii="標楷體" w:eastAsia="標楷體" w:hAnsi="Times New Roman" w:cs="Times New Roman" w:hint="eastAsia"/>
          <w:szCs w:val="24"/>
        </w:rPr>
        <w:t>，</w:t>
      </w:r>
      <w:r w:rsidRPr="00E26C84">
        <w:rPr>
          <w:rFonts w:ascii="標楷體" w:eastAsia="標楷體" w:hAnsi="Times New Roman" w:cs="Times New Roman" w:hint="eastAsia"/>
          <w:szCs w:val="24"/>
        </w:rPr>
        <w:t>主要係</w:t>
      </w:r>
      <w:r w:rsidRPr="00E26C84">
        <w:rPr>
          <w:rFonts w:ascii="標楷體" w:eastAsia="標楷體" w:hAnsi="Courier New" w:hint="eastAsia"/>
          <w:kern w:val="0"/>
          <w:szCs w:val="24"/>
        </w:rPr>
        <w:t>公共運輸處</w:t>
      </w:r>
      <w:r>
        <w:rPr>
          <w:rFonts w:ascii="標楷體" w:eastAsia="標楷體" w:hAnsi="Courier New" w:hint="eastAsia"/>
          <w:kern w:val="0"/>
          <w:szCs w:val="24"/>
        </w:rPr>
        <w:t>依臺北市電動公車營運人次補貼作業原則及實際需求辦理之結餘，暨交通管制工程處辦理纜線改善及交通標（號）</w:t>
      </w:r>
      <w:proofErr w:type="gramStart"/>
      <w:r>
        <w:rPr>
          <w:rFonts w:ascii="標楷體" w:eastAsia="標楷體" w:hAnsi="Courier New" w:hint="eastAsia"/>
          <w:kern w:val="0"/>
          <w:szCs w:val="24"/>
        </w:rPr>
        <w:t>誌</w:t>
      </w:r>
      <w:proofErr w:type="gramEnd"/>
      <w:r>
        <w:rPr>
          <w:rFonts w:ascii="標楷體" w:eastAsia="標楷體" w:hAnsi="Courier New" w:hint="eastAsia"/>
          <w:kern w:val="0"/>
          <w:szCs w:val="24"/>
        </w:rPr>
        <w:t>工程之結餘</w:t>
      </w:r>
      <w:r w:rsidRPr="00E26C84">
        <w:rPr>
          <w:rFonts w:ascii="標楷體" w:eastAsia="標楷體" w:hAnsi="Times New Roman" w:cs="Times New Roman" w:hint="eastAsia"/>
          <w:szCs w:val="24"/>
        </w:rPr>
        <w:t>。</w:t>
      </w:r>
    </w:p>
    <w:p w14:paraId="0F8AC5CD" w14:textId="77777777" w:rsidR="00CC5AFC" w:rsidRPr="008F3D97" w:rsidRDefault="00CC5AFC" w:rsidP="00606D4C">
      <w:pPr>
        <w:overflowPunct w:val="0"/>
        <w:spacing w:line="410" w:lineRule="exact"/>
        <w:ind w:firstLineChars="200" w:firstLine="480"/>
        <w:jc w:val="both"/>
        <w:rPr>
          <w:rFonts w:ascii="標楷體" w:eastAsia="標楷體" w:hAnsi="Times New Roman" w:cs="Times New Roman"/>
          <w:spacing w:val="-2"/>
          <w:szCs w:val="24"/>
        </w:rPr>
      </w:pPr>
      <w:r w:rsidRPr="003D79BA">
        <w:rPr>
          <w:rFonts w:ascii="標楷體" w:eastAsia="標楷體" w:hAnsi="Times New Roman" w:cs="Times New Roman"/>
          <w:szCs w:val="24"/>
        </w:rPr>
        <w:t>4.</w:t>
      </w:r>
      <w:r w:rsidRPr="008F3D97">
        <w:rPr>
          <w:rFonts w:ascii="標楷體" w:eastAsia="標楷體" w:hAnsi="Times New Roman" w:cs="Times New Roman" w:hint="eastAsia"/>
          <w:spacing w:val="-2"/>
          <w:szCs w:val="24"/>
        </w:rPr>
        <w:t>以前年度歲出轉入數計</w:t>
      </w:r>
      <w:r w:rsidRPr="008F3D97">
        <w:rPr>
          <w:rFonts w:ascii="標楷體" w:eastAsia="標楷體" w:hAnsi="標楷體"/>
          <w:spacing w:val="-2"/>
          <w:kern w:val="0"/>
          <w:szCs w:val="24"/>
        </w:rPr>
        <w:t>13億5,661萬餘元</w:t>
      </w:r>
      <w:r w:rsidRPr="008F3D97">
        <w:rPr>
          <w:rFonts w:ascii="標楷體" w:eastAsia="標楷體" w:hAnsi="Times New Roman" w:cs="Times New Roman" w:hint="eastAsia"/>
          <w:spacing w:val="-2"/>
          <w:szCs w:val="24"/>
        </w:rPr>
        <w:t>，決算審核結果，審定實現數</w:t>
      </w:r>
      <w:r w:rsidRPr="008F3D97">
        <w:rPr>
          <w:rFonts w:ascii="標楷體" w:eastAsia="標楷體" w:hAnsi="標楷體"/>
          <w:spacing w:val="-2"/>
          <w:kern w:val="0"/>
          <w:szCs w:val="24"/>
        </w:rPr>
        <w:t>13億1,864萬餘元（97.20％）</w:t>
      </w:r>
      <w:r w:rsidRPr="008F3D97">
        <w:rPr>
          <w:rFonts w:ascii="標楷體" w:eastAsia="標楷體" w:hAnsi="標楷體" w:cs="Times New Roman" w:hint="eastAsia"/>
          <w:spacing w:val="-2"/>
          <w:szCs w:val="24"/>
        </w:rPr>
        <w:t>，</w:t>
      </w:r>
      <w:r w:rsidRPr="008F3D97">
        <w:rPr>
          <w:rFonts w:ascii="標楷體" w:eastAsia="標楷體" w:hAnsi="標楷體"/>
          <w:spacing w:val="-2"/>
          <w:kern w:val="0"/>
          <w:szCs w:val="24"/>
        </w:rPr>
        <w:t>減免（註銷）數89萬餘元（0.07％）</w:t>
      </w:r>
      <w:r w:rsidRPr="008F3D97">
        <w:rPr>
          <w:rFonts w:ascii="標楷體" w:eastAsia="標楷體" w:hAnsi="Times New Roman" w:cs="Times New Roman" w:hint="eastAsia"/>
          <w:spacing w:val="-2"/>
          <w:szCs w:val="24"/>
        </w:rPr>
        <w:t>，</w:t>
      </w:r>
      <w:r w:rsidRPr="008F3D97">
        <w:rPr>
          <w:rFonts w:ascii="標楷體" w:eastAsia="標楷體" w:hAnsi="標楷體" w:cs="Times New Roman" w:hint="eastAsia"/>
          <w:spacing w:val="-2"/>
          <w:szCs w:val="24"/>
        </w:rPr>
        <w:t>主要係交通管制工程處交由</w:t>
      </w:r>
      <w:r>
        <w:rPr>
          <w:rFonts w:ascii="標楷體" w:eastAsia="標楷體" w:hAnsi="標楷體" w:cs="Times New Roman" w:hint="eastAsia"/>
          <w:spacing w:val="-2"/>
          <w:szCs w:val="24"/>
        </w:rPr>
        <w:t>他機關</w:t>
      </w:r>
      <w:r w:rsidRPr="008F3D97">
        <w:rPr>
          <w:rFonts w:ascii="標楷體" w:eastAsia="標楷體" w:hAnsi="Times New Roman" w:cs="Times New Roman" w:hint="eastAsia"/>
          <w:spacing w:val="-2"/>
          <w:szCs w:val="24"/>
        </w:rPr>
        <w:t>代辦路燈及綠化預約工程</w:t>
      </w:r>
      <w:r>
        <w:rPr>
          <w:rFonts w:ascii="標楷體" w:eastAsia="標楷體" w:hAnsi="Times New Roman" w:cs="Times New Roman" w:hint="eastAsia"/>
          <w:spacing w:val="-2"/>
          <w:szCs w:val="24"/>
        </w:rPr>
        <w:t>之</w:t>
      </w:r>
      <w:r w:rsidRPr="008F3D97">
        <w:rPr>
          <w:rFonts w:ascii="標楷體" w:eastAsia="標楷體" w:hAnsi="標楷體" w:cs="Times New Roman" w:hint="eastAsia"/>
          <w:spacing w:val="-2"/>
          <w:szCs w:val="24"/>
        </w:rPr>
        <w:t>結餘；</w:t>
      </w:r>
      <w:r w:rsidRPr="008F3D97">
        <w:rPr>
          <w:rFonts w:ascii="標楷體" w:eastAsia="標楷體" w:hAnsi="標楷體"/>
          <w:spacing w:val="-2"/>
          <w:kern w:val="0"/>
          <w:szCs w:val="24"/>
        </w:rPr>
        <w:t>應付保留數3,707萬餘元（2.73％）</w:t>
      </w:r>
      <w:r w:rsidRPr="008F3D97">
        <w:rPr>
          <w:rFonts w:ascii="標楷體" w:eastAsia="標楷體" w:hAnsi="標楷體" w:cs="Times New Roman" w:hint="eastAsia"/>
          <w:spacing w:val="-2"/>
          <w:szCs w:val="24"/>
        </w:rPr>
        <w:t>，主要係公共運輸處推動北投機廠設置電動公車共享充電場域計畫期程跨年度，須保留繼續執行。</w:t>
      </w:r>
    </w:p>
    <w:p w14:paraId="59D30890" w14:textId="77777777" w:rsidR="00CC5AFC" w:rsidRPr="00430C9E" w:rsidRDefault="00CC5AFC" w:rsidP="00606D4C">
      <w:pPr>
        <w:suppressAutoHyphens/>
        <w:overflowPunct w:val="0"/>
        <w:spacing w:beforeLines="50" w:before="180" w:line="460" w:lineRule="exact"/>
        <w:jc w:val="both"/>
        <w:outlineLvl w:val="2"/>
        <w:rPr>
          <w:rFonts w:ascii="標楷體" w:eastAsia="標楷體" w:hAnsi="Times New Roman" w:cs="Times New Roman"/>
          <w:b/>
          <w:sz w:val="32"/>
          <w:szCs w:val="32"/>
        </w:rPr>
      </w:pPr>
      <w:r w:rsidRPr="00430C9E">
        <w:rPr>
          <w:rFonts w:ascii="標楷體" w:eastAsia="標楷體" w:hAnsi="Times New Roman" w:cs="Times New Roman" w:hint="eastAsia"/>
          <w:b/>
          <w:sz w:val="32"/>
          <w:szCs w:val="32"/>
        </w:rPr>
        <w:t>二、附屬單位決算營業部分</w:t>
      </w:r>
    </w:p>
    <w:p w14:paraId="0FFC53E8" w14:textId="77777777" w:rsidR="00CC5AFC" w:rsidRPr="00430C9E" w:rsidRDefault="00CC5AFC" w:rsidP="00606D4C">
      <w:pPr>
        <w:overflowPunct w:val="0"/>
        <w:spacing w:line="440" w:lineRule="exact"/>
        <w:ind w:firstLineChars="200" w:firstLine="480"/>
        <w:jc w:val="both"/>
        <w:rPr>
          <w:rFonts w:ascii="標楷體" w:eastAsia="標楷體" w:hAnsi="Times New Roman" w:cs="Times New Roman"/>
          <w:szCs w:val="24"/>
        </w:rPr>
      </w:pPr>
      <w:r w:rsidRPr="00430C9E">
        <w:rPr>
          <w:rFonts w:ascii="標楷體" w:eastAsia="標楷體" w:hAnsi="Times New Roman" w:cs="Times New Roman" w:hint="eastAsia"/>
          <w:szCs w:val="24"/>
        </w:rPr>
        <w:t>交通局主管僅</w:t>
      </w:r>
      <w:proofErr w:type="gramStart"/>
      <w:r w:rsidRPr="00430C9E">
        <w:rPr>
          <w:rFonts w:ascii="標楷體" w:eastAsia="標楷體" w:hAnsi="Times New Roman" w:cs="Times New Roman" w:hint="eastAsia"/>
          <w:szCs w:val="24"/>
        </w:rPr>
        <w:t>臺</w:t>
      </w:r>
      <w:proofErr w:type="gramEnd"/>
      <w:r w:rsidRPr="00430C9E">
        <w:rPr>
          <w:rFonts w:ascii="標楷體" w:eastAsia="標楷體" w:hAnsi="Times New Roman" w:cs="Times New Roman" w:hint="eastAsia"/>
          <w:szCs w:val="24"/>
        </w:rPr>
        <w:t>北大眾捷運</w:t>
      </w:r>
      <w:r w:rsidRPr="00606D4C">
        <w:rPr>
          <w:rFonts w:ascii="標楷體" w:eastAsia="標楷體" w:hAnsi="標楷體" w:hint="eastAsia"/>
          <w:spacing w:val="-2"/>
          <w:kern w:val="0"/>
          <w:szCs w:val="24"/>
        </w:rPr>
        <w:t>股份有限公司</w:t>
      </w:r>
      <w:r w:rsidRPr="00430C9E">
        <w:rPr>
          <w:rFonts w:ascii="標楷體" w:eastAsia="標楷體" w:hAnsi="Times New Roman" w:cs="Times New Roman"/>
          <w:szCs w:val="24"/>
        </w:rPr>
        <w:t>1</w:t>
      </w:r>
      <w:r w:rsidRPr="00430C9E">
        <w:rPr>
          <w:rFonts w:ascii="標楷體" w:eastAsia="標楷體" w:hAnsi="Times New Roman" w:cs="Times New Roman" w:hint="eastAsia"/>
          <w:szCs w:val="24"/>
        </w:rPr>
        <w:t>個單位，茲將</w:t>
      </w:r>
      <w:proofErr w:type="gramStart"/>
      <w:r w:rsidRPr="00430C9E">
        <w:rPr>
          <w:rFonts w:ascii="標楷體" w:eastAsia="標楷體" w:hAnsi="Times New Roman" w:cs="Times New Roman" w:hint="eastAsia"/>
          <w:szCs w:val="24"/>
        </w:rPr>
        <w:t>11</w:t>
      </w:r>
      <w:r>
        <w:rPr>
          <w:rFonts w:ascii="標楷體" w:eastAsia="標楷體" w:hAnsi="Times New Roman" w:cs="Times New Roman" w:hint="eastAsia"/>
          <w:szCs w:val="24"/>
        </w:rPr>
        <w:t>3</w:t>
      </w:r>
      <w:proofErr w:type="gramEnd"/>
      <w:r w:rsidRPr="00430C9E">
        <w:rPr>
          <w:rFonts w:ascii="標楷體" w:eastAsia="標楷體" w:hAnsi="Times New Roman" w:cs="Times New Roman" w:hint="eastAsia"/>
          <w:szCs w:val="24"/>
        </w:rPr>
        <w:t>年度決算審核結果說明如次：</w:t>
      </w:r>
    </w:p>
    <w:p w14:paraId="5E2BABB8" w14:textId="77777777" w:rsidR="00CC5AFC" w:rsidRPr="00430C9E" w:rsidRDefault="00CC5AFC" w:rsidP="00606D4C">
      <w:pPr>
        <w:suppressAutoHyphens/>
        <w:overflowPunct w:val="0"/>
        <w:spacing w:beforeLines="50" w:before="180" w:line="460" w:lineRule="exact"/>
        <w:ind w:firstLineChars="100" w:firstLine="280"/>
        <w:jc w:val="both"/>
        <w:rPr>
          <w:rFonts w:ascii="標楷體" w:eastAsia="標楷體" w:hAnsi="Times New Roman" w:cs="Times New Roman"/>
          <w:b/>
          <w:sz w:val="28"/>
          <w:szCs w:val="28"/>
        </w:rPr>
      </w:pPr>
      <w:r w:rsidRPr="00430C9E">
        <w:rPr>
          <w:rFonts w:ascii="標楷體" w:eastAsia="標楷體" w:hAnsi="Times New Roman" w:cs="Times New Roman" w:hint="eastAsia"/>
          <w:b/>
          <w:sz w:val="28"/>
          <w:szCs w:val="28"/>
        </w:rPr>
        <w:t>（一）計畫實施之查核</w:t>
      </w:r>
    </w:p>
    <w:p w14:paraId="4C6793C6" w14:textId="77777777" w:rsidR="00CC5AFC" w:rsidRPr="00430C9E" w:rsidRDefault="00CC5AFC" w:rsidP="006C4AF5">
      <w:pPr>
        <w:overflowPunct w:val="0"/>
        <w:spacing w:beforeLines="20" w:before="72" w:line="420" w:lineRule="exact"/>
        <w:ind w:firstLineChars="200" w:firstLine="480"/>
        <w:jc w:val="both"/>
        <w:rPr>
          <w:rFonts w:ascii="標楷體" w:eastAsia="標楷體" w:hAnsi="Times New Roman" w:cs="Times New Roman"/>
          <w:szCs w:val="24"/>
        </w:rPr>
      </w:pPr>
      <w:r w:rsidRPr="00304AE3">
        <w:rPr>
          <w:rFonts w:ascii="標楷體" w:eastAsia="標楷體" w:hAnsi="Times New Roman" w:cs="Times New Roman" w:hint="eastAsia"/>
          <w:szCs w:val="24"/>
        </w:rPr>
        <w:t>營運計畫僅列有票</w:t>
      </w:r>
      <w:proofErr w:type="gramStart"/>
      <w:r w:rsidRPr="00304AE3">
        <w:rPr>
          <w:rFonts w:ascii="標楷體" w:eastAsia="標楷體" w:hAnsi="Times New Roman" w:cs="Times New Roman" w:hint="eastAsia"/>
          <w:szCs w:val="24"/>
        </w:rPr>
        <w:t>務</w:t>
      </w:r>
      <w:proofErr w:type="gramEnd"/>
      <w:r w:rsidRPr="00304AE3">
        <w:rPr>
          <w:rFonts w:ascii="標楷體" w:eastAsia="標楷體" w:hAnsi="Times New Roman" w:cs="Times New Roman" w:hint="eastAsia"/>
          <w:szCs w:val="24"/>
        </w:rPr>
        <w:t>收入</w:t>
      </w:r>
      <w:r w:rsidRPr="00304AE3">
        <w:rPr>
          <w:rFonts w:ascii="標楷體" w:eastAsia="標楷體" w:hAnsi="Times New Roman" w:cs="Times New Roman"/>
          <w:szCs w:val="24"/>
        </w:rPr>
        <w:t>1</w:t>
      </w:r>
      <w:r w:rsidRPr="00304AE3">
        <w:rPr>
          <w:rFonts w:ascii="標楷體" w:eastAsia="標楷體" w:hAnsi="Times New Roman" w:cs="Times New Roman" w:hint="eastAsia"/>
          <w:szCs w:val="24"/>
        </w:rPr>
        <w:t>項，實施結果，業達預計目標。</w:t>
      </w:r>
    </w:p>
    <w:p w14:paraId="3C9CFC48" w14:textId="77777777" w:rsidR="00CC5AFC" w:rsidRPr="00430C9E" w:rsidRDefault="00CC5AFC" w:rsidP="00606D4C">
      <w:pPr>
        <w:suppressAutoHyphens/>
        <w:overflowPunct w:val="0"/>
        <w:spacing w:beforeLines="50" w:before="180" w:line="460" w:lineRule="exact"/>
        <w:ind w:firstLineChars="100" w:firstLine="280"/>
        <w:jc w:val="both"/>
        <w:rPr>
          <w:rFonts w:ascii="標楷體" w:eastAsia="標楷體" w:hAnsi="Times New Roman" w:cs="Times New Roman"/>
          <w:b/>
          <w:sz w:val="28"/>
          <w:szCs w:val="28"/>
        </w:rPr>
      </w:pPr>
      <w:r w:rsidRPr="00430C9E">
        <w:rPr>
          <w:rFonts w:ascii="標楷體" w:eastAsia="標楷體" w:hAnsi="Times New Roman" w:cs="Times New Roman" w:hint="eastAsia"/>
          <w:b/>
          <w:sz w:val="28"/>
          <w:szCs w:val="28"/>
        </w:rPr>
        <w:t>（二）盈虧之審定</w:t>
      </w:r>
    </w:p>
    <w:p w14:paraId="6D871877" w14:textId="2321A4AE" w:rsidR="00CC5AFC" w:rsidRPr="00C46881" w:rsidRDefault="00CC5AFC" w:rsidP="00DC0A25">
      <w:pPr>
        <w:overflowPunct w:val="0"/>
        <w:spacing w:beforeLines="20" w:before="72" w:line="426" w:lineRule="exact"/>
        <w:ind w:firstLineChars="200" w:firstLine="480"/>
        <w:jc w:val="both"/>
        <w:rPr>
          <w:rFonts w:ascii="標楷體" w:eastAsia="標楷體" w:hAnsi="Times New Roman" w:cs="Times New Roman"/>
          <w:szCs w:val="24"/>
        </w:rPr>
      </w:pPr>
      <w:r w:rsidRPr="00C46881">
        <w:rPr>
          <w:rFonts w:ascii="標楷體" w:eastAsia="標楷體" w:hAnsi="Times New Roman" w:cs="Times New Roman" w:hint="eastAsia"/>
          <w:szCs w:val="24"/>
        </w:rPr>
        <w:t>決算審核結果，修正減列收入442萬餘元，</w:t>
      </w:r>
      <w:proofErr w:type="gramStart"/>
      <w:r>
        <w:rPr>
          <w:rFonts w:ascii="標楷體" w:eastAsia="標楷體" w:hAnsi="Times New Roman" w:cs="Times New Roman" w:hint="eastAsia"/>
          <w:szCs w:val="24"/>
        </w:rPr>
        <w:t>減列稅前</w:t>
      </w:r>
      <w:proofErr w:type="gramEnd"/>
      <w:r>
        <w:rPr>
          <w:rFonts w:ascii="標楷體" w:eastAsia="標楷體" w:hAnsi="Times New Roman" w:cs="Times New Roman" w:hint="eastAsia"/>
          <w:szCs w:val="24"/>
        </w:rPr>
        <w:t>淨利4</w:t>
      </w:r>
      <w:r>
        <w:rPr>
          <w:rFonts w:ascii="標楷體" w:eastAsia="標楷體" w:hAnsi="Times New Roman" w:cs="Times New Roman"/>
          <w:szCs w:val="24"/>
        </w:rPr>
        <w:t>42</w:t>
      </w:r>
      <w:r>
        <w:rPr>
          <w:rFonts w:ascii="標楷體" w:eastAsia="標楷體" w:hAnsi="Times New Roman" w:cs="Times New Roman" w:hint="eastAsia"/>
          <w:szCs w:val="24"/>
        </w:rPr>
        <w:t>萬餘元，</w:t>
      </w:r>
      <w:proofErr w:type="gramStart"/>
      <w:r w:rsidRPr="00C46881">
        <w:rPr>
          <w:rFonts w:ascii="標楷體" w:eastAsia="標楷體" w:hAnsi="Times New Roman" w:cs="Times New Roman" w:hint="eastAsia"/>
          <w:szCs w:val="24"/>
        </w:rPr>
        <w:t>係減列溢計</w:t>
      </w:r>
      <w:proofErr w:type="gramEnd"/>
      <w:r w:rsidRPr="00C46881">
        <w:rPr>
          <w:rFonts w:ascii="標楷體" w:eastAsia="標楷體" w:hAnsi="Times New Roman" w:cs="Times New Roman" w:hint="eastAsia"/>
          <w:szCs w:val="24"/>
        </w:rPr>
        <w:t>之投資收益；</w:t>
      </w:r>
      <w:r w:rsidRPr="00C46881">
        <w:rPr>
          <w:rFonts w:ascii="標楷體" w:eastAsia="標楷體" w:hAnsi="Courier New" w:hint="eastAsia"/>
          <w:szCs w:val="24"/>
        </w:rPr>
        <w:t>審定</w:t>
      </w:r>
      <w:r w:rsidR="00E72978">
        <w:rPr>
          <w:rFonts w:ascii="標楷體" w:eastAsia="標楷體" w:hAnsi="Courier New" w:hint="eastAsia"/>
          <w:szCs w:val="24"/>
        </w:rPr>
        <w:t>本期</w:t>
      </w:r>
      <w:r w:rsidRPr="00C46881">
        <w:rPr>
          <w:rFonts w:ascii="標楷體" w:eastAsia="標楷體" w:hAnsi="Courier New" w:hint="eastAsia"/>
          <w:szCs w:val="24"/>
        </w:rPr>
        <w:t>淨利為3億5,572萬餘元</w:t>
      </w:r>
      <w:r w:rsidRPr="00C46881">
        <w:rPr>
          <w:rFonts w:ascii="標楷體" w:eastAsia="標楷體" w:hAnsi="Times New Roman" w:cs="Times New Roman" w:hint="eastAsia"/>
          <w:szCs w:val="24"/>
        </w:rPr>
        <w:t>，</w:t>
      </w:r>
      <w:r w:rsidRPr="00C46881">
        <w:rPr>
          <w:rFonts w:ascii="標楷體" w:eastAsia="標楷體" w:hAnsi="Courier New" w:hint="eastAsia"/>
          <w:szCs w:val="24"/>
        </w:rPr>
        <w:t>較預算數</w:t>
      </w:r>
      <w:r w:rsidRPr="00C46881">
        <w:rPr>
          <w:rFonts w:ascii="標楷體" w:eastAsia="標楷體" w:hAnsi="Courier New"/>
          <w:szCs w:val="24"/>
        </w:rPr>
        <w:t>2</w:t>
      </w:r>
      <w:r w:rsidRPr="00C46881">
        <w:rPr>
          <w:rFonts w:ascii="標楷體" w:eastAsia="標楷體" w:hAnsi="Courier New" w:hint="eastAsia"/>
          <w:szCs w:val="24"/>
        </w:rPr>
        <w:t>億7</w:t>
      </w:r>
      <w:r w:rsidRPr="00C46881">
        <w:rPr>
          <w:rFonts w:ascii="標楷體" w:eastAsia="標楷體" w:hAnsi="Courier New"/>
          <w:szCs w:val="24"/>
        </w:rPr>
        <w:t>,367</w:t>
      </w:r>
      <w:r w:rsidRPr="00C46881">
        <w:rPr>
          <w:rFonts w:ascii="標楷體" w:eastAsia="標楷體" w:hAnsi="Courier New" w:hint="eastAsia"/>
          <w:szCs w:val="24"/>
        </w:rPr>
        <w:t>萬</w:t>
      </w:r>
      <w:r>
        <w:rPr>
          <w:rFonts w:ascii="標楷體" w:eastAsia="標楷體" w:hAnsi="Courier New" w:hint="eastAsia"/>
          <w:szCs w:val="24"/>
        </w:rPr>
        <w:t>餘</w:t>
      </w:r>
      <w:r w:rsidRPr="00C46881">
        <w:rPr>
          <w:rFonts w:ascii="標楷體" w:eastAsia="標楷體" w:hAnsi="Courier New"/>
          <w:szCs w:val="24"/>
        </w:rPr>
        <w:t>元</w:t>
      </w:r>
      <w:r w:rsidRPr="00C46881">
        <w:rPr>
          <w:rFonts w:ascii="標楷體" w:eastAsia="標楷體" w:hAnsi="Times New Roman" w:cs="Times New Roman"/>
          <w:szCs w:val="24"/>
        </w:rPr>
        <w:t>，</w:t>
      </w:r>
      <w:r w:rsidRPr="00C46881">
        <w:rPr>
          <w:rFonts w:ascii="標楷體" w:eastAsia="標楷體" w:hAnsi="Times New Roman" w:cs="Times New Roman" w:hint="eastAsia"/>
          <w:szCs w:val="24"/>
        </w:rPr>
        <w:t>增加</w:t>
      </w:r>
      <w:r w:rsidRPr="00C46881">
        <w:rPr>
          <w:rFonts w:ascii="標楷體" w:eastAsia="標楷體" w:hAnsi="Times New Roman" w:cs="Times New Roman"/>
          <w:szCs w:val="24"/>
        </w:rPr>
        <w:t>8,204</w:t>
      </w:r>
      <w:r w:rsidRPr="00C46881">
        <w:rPr>
          <w:rFonts w:ascii="標楷體" w:eastAsia="標楷體" w:hAnsi="Times New Roman" w:cs="Times New Roman" w:hint="eastAsia"/>
          <w:szCs w:val="24"/>
        </w:rPr>
        <w:t>萬餘元，約</w:t>
      </w:r>
      <w:r w:rsidRPr="00C46881">
        <w:rPr>
          <w:rFonts w:ascii="標楷體" w:eastAsia="標楷體" w:hAnsi="Times New Roman" w:cs="Times New Roman"/>
          <w:szCs w:val="24"/>
        </w:rPr>
        <w:t>29.98</w:t>
      </w:r>
      <w:r w:rsidRPr="00C46881">
        <w:rPr>
          <w:rFonts w:ascii="標楷體" w:eastAsia="標楷體" w:hAnsi="Times New Roman" w:cs="Times New Roman" w:hint="eastAsia"/>
          <w:szCs w:val="24"/>
        </w:rPr>
        <w:t>％，</w:t>
      </w:r>
      <w:r w:rsidRPr="00C46881">
        <w:rPr>
          <w:rFonts w:ascii="標楷體" w:eastAsia="標楷體" w:hAnsi="Courier New" w:hint="eastAsia"/>
          <w:szCs w:val="24"/>
        </w:rPr>
        <w:t>主要係投資金融商品及民營事業，獲有投資收益較預計增加</w:t>
      </w:r>
      <w:r w:rsidRPr="00C46881">
        <w:rPr>
          <w:rFonts w:ascii="標楷體" w:eastAsia="標楷體" w:hAnsi="Courier New" w:hint="eastAsia"/>
          <w:kern w:val="0"/>
          <w:szCs w:val="24"/>
        </w:rPr>
        <w:t>所致</w:t>
      </w:r>
      <w:r w:rsidRPr="00C46881">
        <w:rPr>
          <w:rFonts w:ascii="標楷體" w:eastAsia="標楷體" w:hAnsi="Courier New" w:hint="eastAsia"/>
          <w:szCs w:val="24"/>
        </w:rPr>
        <w:t>。</w:t>
      </w:r>
    </w:p>
    <w:p w14:paraId="72C283EA" w14:textId="77777777" w:rsidR="00CC5AFC" w:rsidRPr="008F3D97" w:rsidRDefault="00CC5AFC" w:rsidP="00DC0A25">
      <w:pPr>
        <w:overflowPunct w:val="0"/>
        <w:spacing w:line="426" w:lineRule="exact"/>
        <w:ind w:firstLineChars="200" w:firstLine="472"/>
        <w:jc w:val="both"/>
        <w:rPr>
          <w:rFonts w:ascii="標楷體" w:eastAsia="標楷體" w:hAnsi="Times New Roman" w:cs="Times New Roman"/>
          <w:spacing w:val="-2"/>
          <w:szCs w:val="24"/>
        </w:rPr>
      </w:pPr>
      <w:r w:rsidRPr="008F3D97">
        <w:rPr>
          <w:rFonts w:ascii="標楷體" w:eastAsia="標楷體" w:hAnsi="Times New Roman" w:cs="Times New Roman" w:hint="eastAsia"/>
          <w:spacing w:val="-2"/>
          <w:szCs w:val="24"/>
        </w:rPr>
        <w:t>另交通局主管之已結束尚待清理事業，</w:t>
      </w:r>
      <w:r w:rsidRPr="00D763FB">
        <w:rPr>
          <w:rFonts w:ascii="標楷體" w:eastAsia="標楷體" w:hAnsi="Times New Roman" w:cs="Times New Roman" w:hint="eastAsia"/>
          <w:spacing w:val="-2"/>
          <w:szCs w:val="24"/>
        </w:rPr>
        <w:t>僅</w:t>
      </w:r>
      <w:r w:rsidRPr="008F3D97">
        <w:rPr>
          <w:rFonts w:ascii="標楷體" w:eastAsia="標楷體" w:hAnsi="Times New Roman" w:cs="Times New Roman" w:hint="eastAsia"/>
          <w:spacing w:val="-2"/>
          <w:szCs w:val="24"/>
        </w:rPr>
        <w:t>臺北市公共汽車管理處</w:t>
      </w:r>
      <w:r w:rsidRPr="008F3D97">
        <w:rPr>
          <w:rFonts w:ascii="標楷體" w:eastAsia="標楷體" w:hAnsi="Times New Roman" w:cs="Times New Roman"/>
          <w:spacing w:val="-2"/>
          <w:szCs w:val="24"/>
        </w:rPr>
        <w:t>1</w:t>
      </w:r>
      <w:r w:rsidRPr="008F3D97">
        <w:rPr>
          <w:rFonts w:ascii="標楷體" w:eastAsia="標楷體" w:hAnsi="Times New Roman" w:cs="Times New Roman" w:hint="eastAsia"/>
          <w:spacing w:val="-2"/>
          <w:szCs w:val="24"/>
        </w:rPr>
        <w:t>單位，經於</w:t>
      </w:r>
      <w:r w:rsidRPr="008F3D97">
        <w:rPr>
          <w:rFonts w:ascii="標楷體" w:eastAsia="標楷體" w:hAnsi="Times New Roman" w:cs="Times New Roman"/>
          <w:spacing w:val="-2"/>
          <w:szCs w:val="24"/>
        </w:rPr>
        <w:t>92</w:t>
      </w:r>
      <w:r w:rsidRPr="008F3D97">
        <w:rPr>
          <w:rFonts w:ascii="標楷體" w:eastAsia="標楷體" w:hAnsi="Times New Roman" w:cs="Times New Roman" w:hint="eastAsia"/>
          <w:spacing w:val="-2"/>
          <w:szCs w:val="24"/>
        </w:rPr>
        <w:t>年</w:t>
      </w:r>
      <w:r w:rsidRPr="008F3D97">
        <w:rPr>
          <w:rFonts w:ascii="標楷體" w:eastAsia="標楷體" w:hAnsi="Times New Roman" w:cs="Times New Roman"/>
          <w:spacing w:val="-2"/>
          <w:szCs w:val="24"/>
        </w:rPr>
        <w:t>12</w:t>
      </w:r>
      <w:r w:rsidRPr="008F3D97">
        <w:rPr>
          <w:rFonts w:ascii="標楷體" w:eastAsia="標楷體" w:hAnsi="Times New Roman" w:cs="Times New Roman" w:hint="eastAsia"/>
          <w:spacing w:val="-2"/>
          <w:szCs w:val="24"/>
        </w:rPr>
        <w:t>月</w:t>
      </w:r>
      <w:r w:rsidRPr="008F3D97">
        <w:rPr>
          <w:rFonts w:ascii="標楷體" w:eastAsia="標楷體" w:hAnsi="Times New Roman" w:cs="Times New Roman"/>
          <w:spacing w:val="-2"/>
          <w:szCs w:val="24"/>
        </w:rPr>
        <w:t>31</w:t>
      </w:r>
      <w:r w:rsidRPr="008F3D97">
        <w:rPr>
          <w:rFonts w:ascii="標楷體" w:eastAsia="標楷體" w:hAnsi="Times New Roman" w:cs="Times New Roman" w:hint="eastAsia"/>
          <w:spacing w:val="-2"/>
          <w:szCs w:val="24"/>
        </w:rPr>
        <w:t>日結束營運，並於</w:t>
      </w:r>
      <w:r w:rsidRPr="008F3D97">
        <w:rPr>
          <w:rFonts w:ascii="標楷體" w:eastAsia="標楷體" w:hAnsi="Times New Roman" w:cs="Times New Roman"/>
          <w:spacing w:val="-2"/>
          <w:szCs w:val="24"/>
        </w:rPr>
        <w:t>93</w:t>
      </w:r>
      <w:r w:rsidRPr="008F3D97">
        <w:rPr>
          <w:rFonts w:ascii="標楷體" w:eastAsia="標楷體" w:hAnsi="Times New Roman" w:cs="Times New Roman" w:hint="eastAsia"/>
          <w:spacing w:val="-2"/>
          <w:szCs w:val="24"/>
        </w:rPr>
        <w:t>年</w:t>
      </w:r>
      <w:r w:rsidRPr="008F3D97">
        <w:rPr>
          <w:rFonts w:ascii="標楷體" w:eastAsia="標楷體" w:hAnsi="Times New Roman" w:cs="Times New Roman"/>
          <w:spacing w:val="-2"/>
          <w:szCs w:val="24"/>
        </w:rPr>
        <w:t>1</w:t>
      </w:r>
      <w:r w:rsidRPr="008F3D97">
        <w:rPr>
          <w:rFonts w:ascii="標楷體" w:eastAsia="標楷體" w:hAnsi="Times New Roman" w:cs="Times New Roman" w:hint="eastAsia"/>
          <w:spacing w:val="-2"/>
          <w:szCs w:val="24"/>
        </w:rPr>
        <w:t>月</w:t>
      </w:r>
      <w:r w:rsidRPr="008F3D97">
        <w:rPr>
          <w:rFonts w:ascii="標楷體" w:eastAsia="標楷體" w:hAnsi="Times New Roman" w:cs="Times New Roman"/>
          <w:spacing w:val="-2"/>
          <w:szCs w:val="24"/>
        </w:rPr>
        <w:t>1</w:t>
      </w:r>
      <w:r w:rsidRPr="008F3D97">
        <w:rPr>
          <w:rFonts w:ascii="標楷體" w:eastAsia="標楷體" w:hAnsi="Times New Roman" w:cs="Times New Roman" w:hint="eastAsia"/>
          <w:spacing w:val="-2"/>
          <w:szCs w:val="24"/>
        </w:rPr>
        <w:t>日將客運運輸業務移轉由市政府投資（</w:t>
      </w:r>
      <w:r w:rsidRPr="008F3D97">
        <w:rPr>
          <w:rFonts w:ascii="標楷體" w:eastAsia="標楷體" w:hAnsi="Times New Roman" w:cs="Times New Roman"/>
          <w:spacing w:val="-2"/>
          <w:szCs w:val="24"/>
        </w:rPr>
        <w:t>38</w:t>
      </w:r>
      <w:r w:rsidRPr="008F3D97">
        <w:rPr>
          <w:rFonts w:ascii="標楷體" w:eastAsia="標楷體" w:hAnsi="Times New Roman" w:cs="Times New Roman" w:hint="eastAsia"/>
          <w:spacing w:val="-2"/>
          <w:szCs w:val="24"/>
        </w:rPr>
        <w:t>％）及員工集資（</w:t>
      </w:r>
      <w:r w:rsidRPr="008F3D97">
        <w:rPr>
          <w:rFonts w:ascii="標楷體" w:eastAsia="標楷體" w:hAnsi="Times New Roman" w:cs="Times New Roman"/>
          <w:spacing w:val="-2"/>
          <w:szCs w:val="24"/>
        </w:rPr>
        <w:t>62</w:t>
      </w:r>
      <w:r w:rsidRPr="008F3D97">
        <w:rPr>
          <w:rFonts w:ascii="標楷體" w:eastAsia="標楷體" w:hAnsi="Times New Roman" w:cs="Times New Roman" w:hint="eastAsia"/>
          <w:spacing w:val="-2"/>
          <w:szCs w:val="24"/>
        </w:rPr>
        <w:t>％）之大都會汽車客運股份有限公司經營，完成業務</w:t>
      </w:r>
      <w:r w:rsidRPr="008F3D97">
        <w:rPr>
          <w:rFonts w:ascii="標楷體" w:eastAsia="標楷體" w:hAnsi="Courier New" w:cs="Times New Roman" w:hint="eastAsia"/>
          <w:spacing w:val="-2"/>
          <w:szCs w:val="24"/>
        </w:rPr>
        <w:t>移轉</w:t>
      </w:r>
      <w:r w:rsidRPr="008F3D97">
        <w:rPr>
          <w:rFonts w:ascii="標楷體" w:eastAsia="標楷體" w:hAnsi="Times New Roman" w:cs="Times New Roman" w:hint="eastAsia"/>
          <w:spacing w:val="-2"/>
          <w:szCs w:val="24"/>
        </w:rPr>
        <w:t>民營化，並依臺北市政府</w:t>
      </w:r>
      <w:r w:rsidRPr="008F3D97">
        <w:rPr>
          <w:rFonts w:ascii="標楷體" w:eastAsia="標楷體" w:hAnsi="Times New Roman" w:cs="Times New Roman"/>
          <w:spacing w:val="-2"/>
          <w:szCs w:val="24"/>
        </w:rPr>
        <w:t>92</w:t>
      </w:r>
      <w:r w:rsidRPr="008F3D97">
        <w:rPr>
          <w:rFonts w:ascii="標楷體" w:eastAsia="標楷體" w:hAnsi="Times New Roman" w:cs="Times New Roman" w:hint="eastAsia"/>
          <w:spacing w:val="-2"/>
          <w:szCs w:val="24"/>
        </w:rPr>
        <w:t>年</w:t>
      </w:r>
      <w:r w:rsidRPr="008F3D97">
        <w:rPr>
          <w:rFonts w:ascii="標楷體" w:eastAsia="標楷體" w:hAnsi="Times New Roman" w:cs="Times New Roman"/>
          <w:spacing w:val="-2"/>
          <w:szCs w:val="24"/>
        </w:rPr>
        <w:t>5</w:t>
      </w:r>
      <w:r w:rsidRPr="008F3D97">
        <w:rPr>
          <w:rFonts w:ascii="標楷體" w:eastAsia="標楷體" w:hAnsi="Times New Roman" w:cs="Times New Roman" w:hint="eastAsia"/>
          <w:spacing w:val="-2"/>
          <w:szCs w:val="24"/>
        </w:rPr>
        <w:t>月</w:t>
      </w:r>
      <w:r w:rsidRPr="008F3D97">
        <w:rPr>
          <w:rFonts w:ascii="標楷體" w:eastAsia="標楷體" w:hAnsi="Times New Roman" w:cs="Times New Roman"/>
          <w:spacing w:val="-2"/>
          <w:szCs w:val="24"/>
        </w:rPr>
        <w:t>20</w:t>
      </w:r>
      <w:r w:rsidRPr="008F3D97">
        <w:rPr>
          <w:rFonts w:ascii="標楷體" w:eastAsia="標楷體" w:hAnsi="Times New Roman" w:cs="Times New Roman" w:hint="eastAsia"/>
          <w:spacing w:val="-2"/>
          <w:szCs w:val="24"/>
        </w:rPr>
        <w:t>日市政會議審議通過之「臺北市公共汽車</w:t>
      </w:r>
      <w:r w:rsidRPr="006C4AF5">
        <w:rPr>
          <w:rFonts w:ascii="標楷體" w:eastAsia="標楷體" w:hAnsi="Courier New" w:hint="eastAsia"/>
          <w:szCs w:val="24"/>
        </w:rPr>
        <w:t>管理處</w:t>
      </w:r>
      <w:r w:rsidRPr="008F3D97">
        <w:rPr>
          <w:rFonts w:ascii="標楷體" w:eastAsia="標楷體" w:hAnsi="Times New Roman" w:cs="Times New Roman" w:hint="eastAsia"/>
          <w:spacing w:val="-2"/>
          <w:szCs w:val="24"/>
        </w:rPr>
        <w:t>營運業務民營化執行計畫」進行清理，及於99年6月將清理期限由107年底延至</w:t>
      </w:r>
      <w:r w:rsidRPr="008F3D97">
        <w:rPr>
          <w:rFonts w:ascii="標楷體" w:eastAsia="標楷體" w:hAnsi="Times New Roman" w:cs="Times New Roman"/>
          <w:spacing w:val="-2"/>
          <w:szCs w:val="24"/>
        </w:rPr>
        <w:t>122</w:t>
      </w:r>
      <w:r w:rsidRPr="008F3D97">
        <w:rPr>
          <w:rFonts w:ascii="標楷體" w:eastAsia="標楷體" w:hAnsi="Times New Roman" w:cs="Times New Roman" w:hint="eastAsia"/>
          <w:spacing w:val="-2"/>
          <w:szCs w:val="24"/>
        </w:rPr>
        <w:t>年底，</w:t>
      </w:r>
      <w:proofErr w:type="gramStart"/>
      <w:r w:rsidRPr="008F3D97">
        <w:rPr>
          <w:rFonts w:ascii="標楷體" w:eastAsia="標楷體" w:hAnsi="Times New Roman" w:cs="Times New Roman" w:hint="eastAsia"/>
          <w:spacing w:val="-2"/>
          <w:szCs w:val="24"/>
        </w:rPr>
        <w:t>113</w:t>
      </w:r>
      <w:proofErr w:type="gramEnd"/>
      <w:r w:rsidRPr="008F3D97">
        <w:rPr>
          <w:rFonts w:ascii="標楷體" w:eastAsia="標楷體" w:hAnsi="Times New Roman" w:cs="Times New Roman" w:hint="eastAsia"/>
          <w:spacing w:val="-2"/>
          <w:szCs w:val="24"/>
        </w:rPr>
        <w:t>年度決算清理收入2</w:t>
      </w:r>
      <w:r w:rsidRPr="008F3D97">
        <w:rPr>
          <w:rFonts w:ascii="標楷體" w:eastAsia="標楷體" w:hAnsi="Times New Roman" w:cs="Times New Roman"/>
          <w:spacing w:val="-2"/>
          <w:szCs w:val="24"/>
        </w:rPr>
        <w:t>,</w:t>
      </w:r>
      <w:r w:rsidRPr="008F3D97">
        <w:rPr>
          <w:rFonts w:ascii="標楷體" w:eastAsia="標楷體" w:hAnsi="Times New Roman" w:cs="Times New Roman" w:hint="eastAsia"/>
          <w:spacing w:val="-2"/>
          <w:szCs w:val="24"/>
        </w:rPr>
        <w:t>298</w:t>
      </w:r>
      <w:r w:rsidRPr="008F3D97">
        <w:rPr>
          <w:rFonts w:ascii="標楷體" w:eastAsia="標楷體" w:hAnsi="標楷體" w:cs="Times New Roman" w:hint="eastAsia"/>
          <w:spacing w:val="-2"/>
          <w:szCs w:val="24"/>
        </w:rPr>
        <w:t>萬餘元</w:t>
      </w:r>
      <w:r>
        <w:rPr>
          <w:rFonts w:ascii="標楷體" w:eastAsia="標楷體" w:hAnsi="標楷體" w:cs="Times New Roman" w:hint="eastAsia"/>
          <w:spacing w:val="-2"/>
          <w:szCs w:val="24"/>
        </w:rPr>
        <w:t>，無清理費用，</w:t>
      </w:r>
      <w:r w:rsidRPr="00D763FB">
        <w:rPr>
          <w:rFonts w:ascii="標楷體" w:eastAsia="標楷體" w:hAnsi="標楷體" w:cs="Times New Roman" w:hint="eastAsia"/>
          <w:spacing w:val="-2"/>
          <w:szCs w:val="24"/>
        </w:rPr>
        <w:t>清理利益</w:t>
      </w:r>
      <w:r>
        <w:rPr>
          <w:rFonts w:ascii="標楷體" w:eastAsia="標楷體" w:hAnsi="標楷體" w:cs="Times New Roman" w:hint="eastAsia"/>
          <w:spacing w:val="-2"/>
          <w:szCs w:val="24"/>
        </w:rPr>
        <w:t>2</w:t>
      </w:r>
      <w:r>
        <w:rPr>
          <w:rFonts w:ascii="標楷體" w:eastAsia="標楷體" w:hAnsi="標楷體" w:cs="Times New Roman"/>
          <w:spacing w:val="-2"/>
          <w:szCs w:val="24"/>
        </w:rPr>
        <w:t>,298</w:t>
      </w:r>
      <w:r>
        <w:rPr>
          <w:rFonts w:ascii="標楷體" w:eastAsia="標楷體" w:hAnsi="標楷體" w:cs="Times New Roman" w:hint="eastAsia"/>
          <w:spacing w:val="-2"/>
          <w:szCs w:val="24"/>
        </w:rPr>
        <w:t>萬餘元</w:t>
      </w:r>
      <w:r w:rsidRPr="008F3D97">
        <w:rPr>
          <w:rFonts w:ascii="標楷體" w:eastAsia="標楷體" w:hAnsi="Times New Roman" w:cs="Times New Roman" w:hint="eastAsia"/>
          <w:spacing w:val="-2"/>
          <w:szCs w:val="24"/>
        </w:rPr>
        <w:t>。</w:t>
      </w:r>
    </w:p>
    <w:p w14:paraId="2B4B9D6C" w14:textId="77777777" w:rsidR="00CC5AFC" w:rsidRPr="00430C9E" w:rsidRDefault="00CC5AFC" w:rsidP="006C4AF5">
      <w:pPr>
        <w:suppressAutoHyphens/>
        <w:overflowPunct w:val="0"/>
        <w:spacing w:beforeLines="50" w:before="180" w:line="460" w:lineRule="exact"/>
        <w:jc w:val="both"/>
        <w:outlineLvl w:val="2"/>
        <w:rPr>
          <w:rFonts w:ascii="標楷體" w:eastAsia="標楷體" w:hAnsi="Times New Roman" w:cs="Times New Roman"/>
          <w:b/>
          <w:sz w:val="32"/>
          <w:szCs w:val="32"/>
        </w:rPr>
      </w:pPr>
      <w:r w:rsidRPr="00430C9E">
        <w:rPr>
          <w:rFonts w:ascii="標楷體" w:eastAsia="標楷體" w:hAnsi="Times New Roman" w:cs="Times New Roman" w:hint="eastAsia"/>
          <w:b/>
          <w:sz w:val="32"/>
          <w:szCs w:val="32"/>
        </w:rPr>
        <w:t>三、附屬單位決算非營業部分</w:t>
      </w:r>
    </w:p>
    <w:p w14:paraId="0EE303FD" w14:textId="77777777" w:rsidR="00CC5AFC" w:rsidRPr="00430C9E" w:rsidRDefault="00CC5AFC" w:rsidP="006C4AF5">
      <w:pPr>
        <w:overflowPunct w:val="0"/>
        <w:spacing w:beforeLines="20" w:before="72" w:line="420" w:lineRule="exact"/>
        <w:ind w:firstLineChars="200" w:firstLine="480"/>
        <w:jc w:val="both"/>
        <w:rPr>
          <w:rFonts w:ascii="標楷體" w:eastAsia="標楷體" w:hAnsi="Times New Roman" w:cs="Times New Roman"/>
          <w:szCs w:val="24"/>
        </w:rPr>
      </w:pPr>
      <w:r w:rsidRPr="00430C9E">
        <w:rPr>
          <w:rFonts w:ascii="標楷體" w:eastAsia="標楷體" w:hAnsi="Times New Roman" w:cs="Times New Roman" w:hint="eastAsia"/>
          <w:szCs w:val="24"/>
        </w:rPr>
        <w:t>交通局主管僅作業基金－臺北市</w:t>
      </w:r>
      <w:r w:rsidRPr="00606D4C">
        <w:rPr>
          <w:rFonts w:ascii="標楷體" w:eastAsia="標楷體" w:hAnsi="Times New Roman" w:cs="Times New Roman" w:hint="eastAsia"/>
          <w:spacing w:val="-2"/>
          <w:szCs w:val="24"/>
        </w:rPr>
        <w:t>公有</w:t>
      </w:r>
      <w:r w:rsidRPr="00430C9E">
        <w:rPr>
          <w:rFonts w:ascii="標楷體" w:eastAsia="標楷體" w:hAnsi="Times New Roman" w:cs="Times New Roman" w:hint="eastAsia"/>
          <w:szCs w:val="24"/>
        </w:rPr>
        <w:t>收費停車場基金</w:t>
      </w:r>
      <w:r w:rsidRPr="00430C9E">
        <w:rPr>
          <w:rFonts w:ascii="標楷體" w:eastAsia="標楷體" w:hAnsi="Times New Roman" w:cs="Times New Roman"/>
          <w:szCs w:val="24"/>
        </w:rPr>
        <w:t>1</w:t>
      </w:r>
      <w:r w:rsidRPr="00430C9E">
        <w:rPr>
          <w:rFonts w:ascii="標楷體" w:eastAsia="標楷體" w:hAnsi="Times New Roman" w:cs="Times New Roman" w:hint="eastAsia"/>
          <w:szCs w:val="24"/>
        </w:rPr>
        <w:t>個單位，茲將</w:t>
      </w:r>
      <w:proofErr w:type="gramStart"/>
      <w:r w:rsidRPr="00430C9E">
        <w:rPr>
          <w:rFonts w:ascii="標楷體" w:eastAsia="標楷體" w:hAnsi="Times New Roman" w:cs="Times New Roman" w:hint="eastAsia"/>
          <w:szCs w:val="24"/>
        </w:rPr>
        <w:t>11</w:t>
      </w:r>
      <w:r>
        <w:rPr>
          <w:rFonts w:ascii="標楷體" w:eastAsia="標楷體" w:hAnsi="Times New Roman" w:cs="Times New Roman" w:hint="eastAsia"/>
          <w:szCs w:val="24"/>
        </w:rPr>
        <w:t>3</w:t>
      </w:r>
      <w:proofErr w:type="gramEnd"/>
      <w:r w:rsidRPr="00430C9E">
        <w:rPr>
          <w:rFonts w:ascii="標楷體" w:eastAsia="標楷體" w:hAnsi="Times New Roman" w:cs="Times New Roman" w:hint="eastAsia"/>
          <w:szCs w:val="24"/>
        </w:rPr>
        <w:t>年度決算審核結果說明如次：</w:t>
      </w:r>
    </w:p>
    <w:p w14:paraId="361CCCE3" w14:textId="77777777" w:rsidR="00CC5AFC" w:rsidRPr="00430C9E" w:rsidRDefault="00CC5AFC" w:rsidP="00606D4C">
      <w:pPr>
        <w:suppressAutoHyphens/>
        <w:overflowPunct w:val="0"/>
        <w:spacing w:beforeLines="50" w:before="180" w:line="460" w:lineRule="exact"/>
        <w:ind w:firstLineChars="100" w:firstLine="280"/>
        <w:jc w:val="both"/>
        <w:rPr>
          <w:rFonts w:ascii="標楷體" w:eastAsia="標楷體" w:hAnsi="Times New Roman" w:cs="Times New Roman"/>
          <w:b/>
          <w:sz w:val="28"/>
          <w:szCs w:val="28"/>
        </w:rPr>
      </w:pPr>
      <w:r w:rsidRPr="00430C9E">
        <w:rPr>
          <w:rFonts w:ascii="標楷體" w:eastAsia="標楷體" w:hAnsi="Times New Roman" w:cs="Times New Roman" w:hint="eastAsia"/>
          <w:b/>
          <w:sz w:val="28"/>
          <w:szCs w:val="28"/>
        </w:rPr>
        <w:t>（一）計畫實施之查核</w:t>
      </w:r>
    </w:p>
    <w:p w14:paraId="09ED015A" w14:textId="1BB9CDF4" w:rsidR="00CC5AFC" w:rsidRPr="006C4AF5" w:rsidRDefault="00CC5AFC" w:rsidP="006C4AF5">
      <w:pPr>
        <w:overflowPunct w:val="0"/>
        <w:spacing w:beforeLines="20" w:before="72" w:line="420" w:lineRule="exact"/>
        <w:ind w:firstLineChars="200" w:firstLine="480"/>
        <w:jc w:val="both"/>
        <w:rPr>
          <w:rFonts w:ascii="標楷體" w:eastAsia="標楷體" w:hAnsi="Times New Roman" w:cs="Times New Roman"/>
          <w:szCs w:val="24"/>
        </w:rPr>
      </w:pPr>
      <w:r w:rsidRPr="006C4AF5">
        <w:rPr>
          <w:rFonts w:ascii="標楷體" w:eastAsia="標楷體" w:hAnsi="Times New Roman" w:cs="Times New Roman" w:hint="eastAsia"/>
          <w:szCs w:val="24"/>
        </w:rPr>
        <w:t>營運計畫主要有管理收入（停車場營運）、其他勞務收入、權利金收入（停車場委託經營）及雜項業務收入等</w:t>
      </w:r>
      <w:r w:rsidRPr="006C4AF5">
        <w:rPr>
          <w:rFonts w:ascii="標楷體" w:eastAsia="標楷體" w:hAnsi="Times New Roman" w:cs="Times New Roman"/>
          <w:szCs w:val="24"/>
        </w:rPr>
        <w:t>4</w:t>
      </w:r>
      <w:r w:rsidRPr="006C4AF5">
        <w:rPr>
          <w:rFonts w:ascii="標楷體" w:eastAsia="標楷體" w:hAnsi="Times New Roman" w:cs="Times New Roman" w:hint="eastAsia"/>
          <w:szCs w:val="24"/>
        </w:rPr>
        <w:t>項，實施結果，計有其他勞務收入、權利金收入（停車場委託經營）等2項，或因警察局交通警察大隊執行拖吊違規停車車次較預期減少</w:t>
      </w:r>
      <w:r w:rsidRPr="006C4AF5">
        <w:rPr>
          <w:rFonts w:ascii="標楷體" w:eastAsia="標楷體" w:hAnsi="標楷體" w:cs="Times New Roman" w:hint="eastAsia"/>
          <w:szCs w:val="24"/>
        </w:rPr>
        <w:t>；</w:t>
      </w:r>
      <w:r w:rsidRPr="006C4AF5">
        <w:rPr>
          <w:rFonts w:ascii="標楷體" w:eastAsia="標楷體" w:hAnsi="Times New Roman" w:cs="Times New Roman" w:hint="eastAsia"/>
          <w:szCs w:val="24"/>
        </w:rPr>
        <w:t>或因</w:t>
      </w:r>
      <w:r w:rsidRPr="006C4AF5">
        <w:rPr>
          <w:rFonts w:ascii="標楷體" w:eastAsia="標楷體" w:hAnsi="標楷體" w:cs="Times New Roman" w:hint="eastAsia"/>
          <w:szCs w:val="24"/>
        </w:rPr>
        <w:t>部分預計委託經營停車場尚未完工</w:t>
      </w:r>
      <w:r w:rsidRPr="006C4AF5">
        <w:rPr>
          <w:rFonts w:ascii="標楷體" w:eastAsia="標楷體" w:hAnsi="Times New Roman" w:cs="Times New Roman" w:hint="eastAsia"/>
          <w:szCs w:val="24"/>
        </w:rPr>
        <w:t>，致未達預計目標。</w:t>
      </w:r>
    </w:p>
    <w:p w14:paraId="645987D9" w14:textId="77777777" w:rsidR="00CC5AFC" w:rsidRPr="00430C9E" w:rsidRDefault="00CC5AFC" w:rsidP="00606D4C">
      <w:pPr>
        <w:suppressAutoHyphens/>
        <w:overflowPunct w:val="0"/>
        <w:spacing w:line="400" w:lineRule="exact"/>
        <w:ind w:firstLineChars="100" w:firstLine="280"/>
        <w:jc w:val="both"/>
        <w:rPr>
          <w:rFonts w:ascii="標楷體" w:eastAsia="標楷體" w:hAnsi="Times New Roman" w:cs="Times New Roman"/>
          <w:b/>
          <w:sz w:val="28"/>
          <w:szCs w:val="28"/>
        </w:rPr>
      </w:pPr>
      <w:r w:rsidRPr="00430C9E">
        <w:rPr>
          <w:rFonts w:ascii="標楷體" w:eastAsia="標楷體" w:hAnsi="Times New Roman" w:cs="Times New Roman" w:hint="eastAsia"/>
          <w:b/>
          <w:sz w:val="28"/>
          <w:szCs w:val="28"/>
        </w:rPr>
        <w:lastRenderedPageBreak/>
        <w:t>（二）餘</w:t>
      </w:r>
      <w:proofErr w:type="gramStart"/>
      <w:r w:rsidRPr="00430C9E">
        <w:rPr>
          <w:rFonts w:ascii="標楷體" w:eastAsia="標楷體" w:hAnsi="Times New Roman" w:cs="Times New Roman" w:hint="eastAsia"/>
          <w:b/>
          <w:sz w:val="28"/>
          <w:szCs w:val="28"/>
        </w:rPr>
        <w:t>絀</w:t>
      </w:r>
      <w:proofErr w:type="gramEnd"/>
      <w:r w:rsidRPr="00430C9E">
        <w:rPr>
          <w:rFonts w:ascii="標楷體" w:eastAsia="標楷體" w:hAnsi="Times New Roman" w:cs="Times New Roman" w:hint="eastAsia"/>
          <w:b/>
          <w:sz w:val="28"/>
          <w:szCs w:val="28"/>
        </w:rPr>
        <w:t>之審定</w:t>
      </w:r>
    </w:p>
    <w:p w14:paraId="59BD8BD6" w14:textId="7BC10894" w:rsidR="00CC5AFC" w:rsidRPr="003F6336" w:rsidRDefault="00CC5AFC" w:rsidP="00606D4C">
      <w:pPr>
        <w:overflowPunct w:val="0"/>
        <w:spacing w:line="400" w:lineRule="exact"/>
        <w:ind w:firstLineChars="200" w:firstLine="480"/>
        <w:jc w:val="both"/>
        <w:rPr>
          <w:rFonts w:ascii="標楷體" w:eastAsia="標楷體" w:hAnsi="Times New Roman" w:cs="Times New Roman"/>
          <w:szCs w:val="24"/>
        </w:rPr>
      </w:pPr>
      <w:r w:rsidRPr="003F6336">
        <w:rPr>
          <w:rFonts w:ascii="標楷體" w:eastAsia="標楷體" w:hAnsi="Times New Roman" w:cs="Times New Roman" w:hint="eastAsia"/>
          <w:szCs w:val="24"/>
        </w:rPr>
        <w:t>決算審核結果，審定賸餘23億5</w:t>
      </w:r>
      <w:r w:rsidRPr="003F6336">
        <w:rPr>
          <w:rFonts w:ascii="標楷體" w:eastAsia="標楷體" w:hAnsi="Times New Roman" w:cs="Times New Roman"/>
          <w:szCs w:val="24"/>
        </w:rPr>
        <w:t>,</w:t>
      </w:r>
      <w:r w:rsidRPr="003F6336">
        <w:rPr>
          <w:rFonts w:ascii="標楷體" w:eastAsia="標楷體" w:hAnsi="Times New Roman" w:cs="Times New Roman" w:hint="eastAsia"/>
          <w:szCs w:val="24"/>
        </w:rPr>
        <w:t>432萬餘元，較預算賸餘</w:t>
      </w:r>
      <w:r w:rsidRPr="003F6336">
        <w:rPr>
          <w:rFonts w:ascii="標楷體" w:eastAsia="標楷體" w:hAnsi="Courier New" w:cs="Times New Roman"/>
          <w:szCs w:val="24"/>
        </w:rPr>
        <w:t>2</w:t>
      </w:r>
      <w:r w:rsidRPr="003F6336">
        <w:rPr>
          <w:rFonts w:ascii="標楷體" w:eastAsia="標楷體" w:hAnsi="Courier New" w:cs="Times New Roman" w:hint="eastAsia"/>
          <w:szCs w:val="24"/>
        </w:rPr>
        <w:t>3億2,767萬餘元</w:t>
      </w:r>
      <w:r w:rsidRPr="003F6336">
        <w:rPr>
          <w:rFonts w:ascii="標楷體" w:eastAsia="標楷體" w:hAnsi="Times New Roman" w:cs="Times New Roman" w:hint="eastAsia"/>
          <w:szCs w:val="24"/>
        </w:rPr>
        <w:t>，</w:t>
      </w:r>
      <w:r w:rsidRPr="003F6336">
        <w:rPr>
          <w:rFonts w:ascii="標楷體" w:eastAsia="標楷體" w:hAnsi="Courier New" w:cs="Times New Roman" w:hint="eastAsia"/>
          <w:szCs w:val="24"/>
        </w:rPr>
        <w:t>增加2,6</w:t>
      </w:r>
      <w:r w:rsidRPr="003F6336">
        <w:rPr>
          <w:rFonts w:ascii="標楷體" w:eastAsia="標楷體" w:hAnsi="Courier New" w:cs="Times New Roman"/>
          <w:szCs w:val="24"/>
        </w:rPr>
        <w:t>64</w:t>
      </w:r>
      <w:r w:rsidRPr="003F6336">
        <w:rPr>
          <w:rFonts w:ascii="標楷體" w:eastAsia="標楷體" w:hAnsi="Courier New" w:cs="Times New Roman" w:hint="eastAsia"/>
          <w:szCs w:val="24"/>
        </w:rPr>
        <w:t>萬餘元，約</w:t>
      </w:r>
      <w:r w:rsidRPr="003F6336">
        <w:rPr>
          <w:rFonts w:ascii="標楷體" w:eastAsia="標楷體" w:hAnsi="Courier New" w:cs="Times New Roman"/>
          <w:szCs w:val="24"/>
        </w:rPr>
        <w:t>1.14</w:t>
      </w:r>
      <w:r w:rsidRPr="003F6336">
        <w:rPr>
          <w:rFonts w:ascii="標楷體" w:eastAsia="標楷體" w:hAnsi="Courier New" w:cs="Times New Roman" w:hint="eastAsia"/>
          <w:szCs w:val="24"/>
        </w:rPr>
        <w:t>％</w:t>
      </w:r>
      <w:r w:rsidRPr="003F6336">
        <w:rPr>
          <w:rFonts w:ascii="標楷體" w:eastAsia="標楷體" w:hAnsi="Times New Roman" w:cs="Times New Roman" w:hint="eastAsia"/>
          <w:szCs w:val="24"/>
        </w:rPr>
        <w:t>，</w:t>
      </w:r>
      <w:r>
        <w:rPr>
          <w:rFonts w:ascii="標楷體" w:eastAsia="標楷體" w:hAnsi="Times New Roman" w:cs="Times New Roman" w:hint="eastAsia"/>
          <w:szCs w:val="24"/>
        </w:rPr>
        <w:t>主要</w:t>
      </w:r>
      <w:proofErr w:type="gramStart"/>
      <w:r>
        <w:rPr>
          <w:rFonts w:ascii="標楷體" w:eastAsia="標楷體" w:hAnsi="Times New Roman" w:cs="Times New Roman" w:hint="eastAsia"/>
          <w:szCs w:val="24"/>
        </w:rPr>
        <w:t>係</w:t>
      </w:r>
      <w:r>
        <w:rPr>
          <w:rFonts w:ascii="標楷體" w:eastAsia="標楷體" w:hAnsi="標楷體" w:cs="Times New Roman" w:hint="eastAsia"/>
          <w:szCs w:val="20"/>
        </w:rPr>
        <w:t>請領前</w:t>
      </w:r>
      <w:proofErr w:type="gramEnd"/>
      <w:r>
        <w:rPr>
          <w:rFonts w:ascii="標楷體" w:eastAsia="標楷體" w:hAnsi="標楷體" w:cs="Times New Roman" w:hint="eastAsia"/>
          <w:szCs w:val="20"/>
        </w:rPr>
        <w:t>瞻基礎建設「臺北市公共充電樁補助計畫」補助款，原預算未編列，及轉投資民營事業獲有投資賸餘等所致</w:t>
      </w:r>
      <w:r w:rsidRPr="009C52C1">
        <w:rPr>
          <w:rFonts w:ascii="標楷體" w:eastAsia="標楷體" w:hAnsi="標楷體" w:cs="Times New Roman" w:hint="eastAsia"/>
          <w:szCs w:val="20"/>
        </w:rPr>
        <w:t>。</w:t>
      </w:r>
    </w:p>
    <w:p w14:paraId="57AA822F" w14:textId="32A6C316" w:rsidR="00CC5AFC" w:rsidRDefault="00CC5AFC" w:rsidP="00606D4C">
      <w:pPr>
        <w:suppressAutoHyphens/>
        <w:overflowPunct w:val="0"/>
        <w:spacing w:beforeLines="50" w:before="180" w:line="460" w:lineRule="exact"/>
        <w:jc w:val="both"/>
        <w:outlineLvl w:val="2"/>
        <w:rPr>
          <w:rFonts w:ascii="標楷體" w:eastAsia="標楷體" w:hAnsi="Times New Roman" w:cs="Times New Roman"/>
          <w:b/>
          <w:sz w:val="32"/>
          <w:szCs w:val="32"/>
        </w:rPr>
      </w:pPr>
      <w:r w:rsidRPr="00430C9E">
        <w:rPr>
          <w:rFonts w:ascii="標楷體" w:eastAsia="標楷體" w:hAnsi="Times New Roman" w:cs="Times New Roman" w:hint="eastAsia"/>
          <w:b/>
          <w:sz w:val="32"/>
          <w:szCs w:val="32"/>
        </w:rPr>
        <w:t>四、重要審核意見</w:t>
      </w:r>
    </w:p>
    <w:p w14:paraId="43511F10" w14:textId="23ED473E" w:rsidR="00CC5AFC" w:rsidRDefault="00CC5AFC" w:rsidP="00606D4C">
      <w:pPr>
        <w:suppressAutoHyphens/>
        <w:overflowPunct w:val="0"/>
        <w:spacing w:beforeLines="50" w:before="180" w:line="460" w:lineRule="exact"/>
        <w:ind w:firstLineChars="100" w:firstLine="280"/>
        <w:jc w:val="both"/>
        <w:rPr>
          <w:rFonts w:ascii="標楷體" w:eastAsia="標楷體" w:hAnsi="標楷體" w:cs="Times New Roman"/>
          <w:b/>
          <w:sz w:val="28"/>
          <w:szCs w:val="28"/>
        </w:rPr>
      </w:pPr>
      <w:r w:rsidRPr="00012274">
        <w:rPr>
          <w:rFonts w:ascii="標楷體" w:eastAsia="標楷體" w:hAnsi="標楷體" w:cs="Times New Roman" w:hint="eastAsia"/>
          <w:b/>
          <w:sz w:val="28"/>
          <w:szCs w:val="28"/>
        </w:rPr>
        <w:t>（一）</w:t>
      </w:r>
      <w:proofErr w:type="spellStart"/>
      <w:r w:rsidRPr="00D7624C">
        <w:rPr>
          <w:rFonts w:ascii="標楷體" w:eastAsia="標楷體" w:hAnsi="標楷體" w:cs="Times New Roman" w:hint="eastAsia"/>
          <w:b/>
          <w:sz w:val="28"/>
          <w:szCs w:val="28"/>
        </w:rPr>
        <w:t>YouBike</w:t>
      </w:r>
      <w:proofErr w:type="spellEnd"/>
      <w:r w:rsidRPr="00D7624C">
        <w:rPr>
          <w:rFonts w:ascii="標楷體" w:eastAsia="標楷體" w:hAnsi="標楷體" w:cs="Times New Roman" w:hint="eastAsia"/>
          <w:b/>
          <w:sz w:val="28"/>
          <w:szCs w:val="28"/>
        </w:rPr>
        <w:t>整體見車率</w:t>
      </w:r>
      <w:r>
        <w:rPr>
          <w:rFonts w:ascii="標楷體" w:eastAsia="標楷體" w:hAnsi="標楷體" w:cs="Times New Roman" w:hint="eastAsia"/>
          <w:b/>
          <w:sz w:val="28"/>
          <w:szCs w:val="28"/>
        </w:rPr>
        <w:t>已</w:t>
      </w:r>
      <w:r w:rsidRPr="00D7624C">
        <w:rPr>
          <w:rFonts w:ascii="標楷體" w:eastAsia="標楷體" w:hAnsi="標楷體" w:cs="Times New Roman" w:hint="eastAsia"/>
          <w:b/>
          <w:sz w:val="28"/>
          <w:szCs w:val="28"/>
        </w:rPr>
        <w:t>達</w:t>
      </w:r>
      <w:proofErr w:type="gramStart"/>
      <w:r w:rsidRPr="00D7624C">
        <w:rPr>
          <w:rFonts w:ascii="標楷體" w:eastAsia="標楷體" w:hAnsi="標楷體" w:cs="Times New Roman" w:hint="eastAsia"/>
          <w:b/>
          <w:sz w:val="28"/>
          <w:szCs w:val="28"/>
        </w:rPr>
        <w:t>9成</w:t>
      </w:r>
      <w:proofErr w:type="gramEnd"/>
      <w:r w:rsidRPr="00D7624C">
        <w:rPr>
          <w:rFonts w:ascii="標楷體" w:eastAsia="標楷體" w:hAnsi="標楷體" w:cs="Times New Roman" w:hint="eastAsia"/>
          <w:b/>
          <w:sz w:val="28"/>
          <w:szCs w:val="28"/>
        </w:rPr>
        <w:t>之營運目標，</w:t>
      </w:r>
      <w:proofErr w:type="gramStart"/>
      <w:r w:rsidRPr="00D7624C">
        <w:rPr>
          <w:rFonts w:ascii="標楷體" w:eastAsia="標楷體" w:hAnsi="標楷體" w:cs="Times New Roman" w:hint="eastAsia"/>
          <w:b/>
          <w:sz w:val="28"/>
          <w:szCs w:val="28"/>
        </w:rPr>
        <w:t>惟間有部分站點見車</w:t>
      </w:r>
      <w:proofErr w:type="gramEnd"/>
      <w:r w:rsidRPr="00D7624C">
        <w:rPr>
          <w:rFonts w:ascii="標楷體" w:eastAsia="標楷體" w:hAnsi="標楷體" w:cs="Times New Roman" w:hint="eastAsia"/>
          <w:b/>
          <w:sz w:val="28"/>
          <w:szCs w:val="28"/>
        </w:rPr>
        <w:t>率</w:t>
      </w:r>
      <w:r>
        <w:rPr>
          <w:rFonts w:ascii="標楷體" w:eastAsia="標楷體" w:hAnsi="標楷體" w:cs="Times New Roman" w:hint="eastAsia"/>
          <w:b/>
          <w:sz w:val="28"/>
          <w:szCs w:val="28"/>
        </w:rPr>
        <w:t>仍</w:t>
      </w:r>
      <w:r w:rsidRPr="00D7624C">
        <w:rPr>
          <w:rFonts w:ascii="標楷體" w:eastAsia="標楷體" w:hAnsi="標楷體" w:cs="Times New Roman" w:hint="eastAsia"/>
          <w:b/>
          <w:sz w:val="28"/>
          <w:szCs w:val="28"/>
        </w:rPr>
        <w:t>低，</w:t>
      </w:r>
      <w:r w:rsidRPr="00D364A3">
        <w:rPr>
          <w:rFonts w:ascii="標楷體" w:eastAsia="標楷體" w:hAnsi="標楷體" w:cs="Times New Roman" w:hint="eastAsia"/>
          <w:b/>
          <w:sz w:val="28"/>
          <w:szCs w:val="28"/>
        </w:rPr>
        <w:t>或於交通尖峰時段出現無車可借情形</w:t>
      </w:r>
      <w:r>
        <w:rPr>
          <w:rFonts w:ascii="標楷體" w:eastAsia="標楷體" w:hAnsi="標楷體" w:cs="Times New Roman" w:hint="eastAsia"/>
          <w:b/>
          <w:sz w:val="28"/>
          <w:szCs w:val="28"/>
        </w:rPr>
        <w:t>；另</w:t>
      </w:r>
      <w:r w:rsidRPr="000B1274">
        <w:rPr>
          <w:rFonts w:ascii="標楷體" w:eastAsia="標楷體" w:hAnsi="標楷體" w:cs="Times New Roman" w:hint="eastAsia"/>
          <w:b/>
          <w:sz w:val="28"/>
          <w:szCs w:val="28"/>
        </w:rPr>
        <w:t>為</w:t>
      </w:r>
      <w:r w:rsidRPr="006E5689">
        <w:rPr>
          <w:rFonts w:ascii="標楷體" w:eastAsia="標楷體" w:hAnsi="標楷體" w:cs="Times New Roman" w:hint="eastAsia"/>
          <w:b/>
          <w:sz w:val="28"/>
          <w:szCs w:val="28"/>
        </w:rPr>
        <w:t>騎乘</w:t>
      </w:r>
      <w:r w:rsidRPr="000B1274">
        <w:rPr>
          <w:rFonts w:ascii="標楷體" w:eastAsia="標楷體" w:hAnsi="標楷體" w:cs="Times New Roman" w:hint="eastAsia"/>
          <w:b/>
          <w:sz w:val="28"/>
          <w:szCs w:val="28"/>
        </w:rPr>
        <w:t>民眾投保傷害險</w:t>
      </w:r>
      <w:r>
        <w:rPr>
          <w:rFonts w:ascii="標楷體" w:eastAsia="標楷體" w:hAnsi="標楷體" w:cs="Times New Roman" w:hint="eastAsia"/>
          <w:b/>
          <w:sz w:val="28"/>
          <w:szCs w:val="28"/>
        </w:rPr>
        <w:t>之</w:t>
      </w:r>
      <w:r w:rsidRPr="000B1274">
        <w:rPr>
          <w:rFonts w:ascii="標楷體" w:eastAsia="標楷體" w:hAnsi="標楷體" w:cs="Times New Roman" w:hint="eastAsia"/>
          <w:b/>
          <w:sz w:val="28"/>
          <w:szCs w:val="28"/>
        </w:rPr>
        <w:t>投保率僅</w:t>
      </w:r>
      <w:r>
        <w:rPr>
          <w:rFonts w:ascii="標楷體" w:eastAsia="標楷體" w:hAnsi="標楷體" w:cs="Times New Roman" w:hint="eastAsia"/>
          <w:b/>
          <w:sz w:val="28"/>
          <w:szCs w:val="28"/>
        </w:rPr>
        <w:t>為</w:t>
      </w:r>
      <w:r w:rsidRPr="000B1274">
        <w:rPr>
          <w:rFonts w:ascii="標楷體" w:eastAsia="標楷體" w:hAnsi="標楷體" w:cs="Times New Roman" w:hint="eastAsia"/>
          <w:b/>
          <w:sz w:val="28"/>
          <w:szCs w:val="28"/>
        </w:rPr>
        <w:t>借用次數85％</w:t>
      </w:r>
      <w:r>
        <w:rPr>
          <w:rFonts w:ascii="標楷體" w:eastAsia="標楷體" w:hAnsi="標楷體" w:cs="Times New Roman" w:hint="eastAsia"/>
          <w:b/>
          <w:sz w:val="28"/>
          <w:szCs w:val="28"/>
        </w:rPr>
        <w:t>，且</w:t>
      </w:r>
      <w:r w:rsidRPr="000B1274">
        <w:rPr>
          <w:rFonts w:ascii="標楷體" w:eastAsia="標楷體" w:hAnsi="標楷體" w:cs="Times New Roman" w:hint="eastAsia"/>
          <w:b/>
          <w:sz w:val="28"/>
          <w:szCs w:val="28"/>
        </w:rPr>
        <w:t>投保範圍</w:t>
      </w:r>
      <w:r>
        <w:rPr>
          <w:rFonts w:ascii="標楷體" w:eastAsia="標楷體" w:hAnsi="標楷體" w:cs="Times New Roman" w:hint="eastAsia"/>
          <w:b/>
          <w:sz w:val="28"/>
          <w:szCs w:val="28"/>
        </w:rPr>
        <w:t>迄</w:t>
      </w:r>
      <w:proofErr w:type="gramStart"/>
      <w:r w:rsidRPr="000B1274">
        <w:rPr>
          <w:rFonts w:ascii="標楷體" w:eastAsia="標楷體" w:hAnsi="標楷體" w:cs="Times New Roman" w:hint="eastAsia"/>
          <w:b/>
          <w:sz w:val="28"/>
          <w:szCs w:val="28"/>
        </w:rPr>
        <w:t>未納列</w:t>
      </w:r>
      <w:proofErr w:type="gramEnd"/>
      <w:r w:rsidRPr="000B1274">
        <w:rPr>
          <w:rFonts w:ascii="標楷體" w:eastAsia="標楷體" w:hAnsi="標楷體" w:cs="Times New Roman" w:hint="eastAsia"/>
          <w:b/>
          <w:sz w:val="28"/>
          <w:szCs w:val="28"/>
        </w:rPr>
        <w:t>「單次租借者」</w:t>
      </w:r>
      <w:r w:rsidRPr="00D7624C">
        <w:rPr>
          <w:rFonts w:ascii="標楷體" w:eastAsia="標楷體" w:hAnsi="標楷體" w:cs="Times New Roman" w:hint="eastAsia"/>
          <w:b/>
          <w:sz w:val="28"/>
          <w:szCs w:val="28"/>
        </w:rPr>
        <w:t>等情</w:t>
      </w:r>
      <w:r>
        <w:rPr>
          <w:rFonts w:ascii="標楷體" w:eastAsia="標楷體" w:hAnsi="標楷體" w:cs="Times New Roman" w:hint="eastAsia"/>
          <w:b/>
          <w:sz w:val="28"/>
          <w:szCs w:val="28"/>
        </w:rPr>
        <w:t>事</w:t>
      </w:r>
      <w:r w:rsidRPr="00D7624C">
        <w:rPr>
          <w:rFonts w:ascii="標楷體" w:eastAsia="標楷體" w:hAnsi="標楷體" w:cs="Times New Roman" w:hint="eastAsia"/>
          <w:b/>
          <w:sz w:val="28"/>
          <w:szCs w:val="28"/>
        </w:rPr>
        <w:t>，有待</w:t>
      </w:r>
      <w:proofErr w:type="gramStart"/>
      <w:r>
        <w:rPr>
          <w:rFonts w:ascii="標楷體" w:eastAsia="標楷體" w:hAnsi="標楷體" w:cs="Times New Roman" w:hint="eastAsia"/>
          <w:b/>
          <w:sz w:val="28"/>
          <w:szCs w:val="28"/>
        </w:rPr>
        <w:t>研</w:t>
      </w:r>
      <w:proofErr w:type="gramEnd"/>
      <w:r>
        <w:rPr>
          <w:rFonts w:ascii="標楷體" w:eastAsia="標楷體" w:hAnsi="標楷體" w:cs="Times New Roman" w:hint="eastAsia"/>
          <w:b/>
          <w:sz w:val="28"/>
          <w:szCs w:val="28"/>
        </w:rPr>
        <w:t>謀</w:t>
      </w:r>
      <w:r w:rsidRPr="00D7624C">
        <w:rPr>
          <w:rFonts w:ascii="標楷體" w:eastAsia="標楷體" w:hAnsi="標楷體" w:cs="Times New Roman" w:hint="eastAsia"/>
          <w:b/>
          <w:sz w:val="28"/>
          <w:szCs w:val="28"/>
        </w:rPr>
        <w:t>改善</w:t>
      </w:r>
      <w:r w:rsidRPr="00012274">
        <w:rPr>
          <w:rFonts w:ascii="標楷體" w:eastAsia="標楷體" w:hAnsi="標楷體" w:cs="Times New Roman" w:hint="eastAsia"/>
          <w:b/>
          <w:sz w:val="28"/>
          <w:szCs w:val="28"/>
        </w:rPr>
        <w:t>。</w:t>
      </w:r>
    </w:p>
    <w:p w14:paraId="1A21886C" w14:textId="7B880812" w:rsidR="00CC5AFC" w:rsidRPr="00595036" w:rsidRDefault="00CC5AFC" w:rsidP="00595036">
      <w:pPr>
        <w:overflowPunct w:val="0"/>
        <w:spacing w:line="450" w:lineRule="exact"/>
        <w:ind w:firstLineChars="200" w:firstLine="476"/>
        <w:jc w:val="both"/>
        <w:rPr>
          <w:rFonts w:ascii="標楷體" w:eastAsia="標楷體" w:hAnsi="標楷體" w:cs="Times New Roman"/>
          <w:spacing w:val="-1"/>
          <w:szCs w:val="24"/>
        </w:rPr>
      </w:pPr>
      <w:r w:rsidRPr="00595036">
        <w:rPr>
          <w:rFonts w:ascii="標楷體" w:eastAsia="標楷體" w:hAnsi="標楷體" w:cs="Times New Roman" w:hint="eastAsia"/>
          <w:spacing w:val="-1"/>
          <w:szCs w:val="24"/>
        </w:rPr>
        <w:t>為鼓勵民眾使用公共自行車作為短程</w:t>
      </w:r>
      <w:proofErr w:type="gramStart"/>
      <w:r w:rsidRPr="00595036">
        <w:rPr>
          <w:rFonts w:ascii="標楷體" w:eastAsia="標楷體" w:hAnsi="標楷體" w:cs="Times New Roman" w:hint="eastAsia"/>
          <w:spacing w:val="-1"/>
          <w:szCs w:val="24"/>
        </w:rPr>
        <w:t>接駁載具</w:t>
      </w:r>
      <w:proofErr w:type="gramEnd"/>
      <w:r w:rsidRPr="00595036">
        <w:rPr>
          <w:rFonts w:ascii="標楷體" w:eastAsia="標楷體" w:hAnsi="標楷體" w:cs="Times New Roman" w:hint="eastAsia"/>
          <w:spacing w:val="-1"/>
          <w:szCs w:val="24"/>
        </w:rPr>
        <w:t>，降低私人機動車輛使用率，改善市區道路擁擠及空氣污染環境，交通局於100年間委外建置公共自行車租賃系統，並於107年10月至113年2月間陸續決標辦理臺北市公共自行車租賃系統營運管理及委託廠商提供服務；截至113年8月</w:t>
      </w:r>
      <w:proofErr w:type="gramStart"/>
      <w:r w:rsidRPr="00595036">
        <w:rPr>
          <w:rFonts w:ascii="標楷體" w:eastAsia="標楷體" w:hAnsi="標楷體" w:cs="Times New Roman" w:hint="eastAsia"/>
          <w:spacing w:val="-1"/>
          <w:szCs w:val="24"/>
        </w:rPr>
        <w:t>止</w:t>
      </w:r>
      <w:proofErr w:type="gramEnd"/>
      <w:r w:rsidRPr="00595036">
        <w:rPr>
          <w:rFonts w:ascii="標楷體" w:eastAsia="標楷體" w:hAnsi="標楷體" w:cs="Times New Roman" w:hint="eastAsia"/>
          <w:spacing w:val="-1"/>
          <w:szCs w:val="24"/>
        </w:rPr>
        <w:t>建置之營運</w:t>
      </w:r>
      <w:proofErr w:type="gramStart"/>
      <w:r w:rsidRPr="00595036">
        <w:rPr>
          <w:rFonts w:ascii="標楷體" w:eastAsia="標楷體" w:hAnsi="標楷體" w:cs="Times New Roman" w:hint="eastAsia"/>
          <w:spacing w:val="-1"/>
          <w:szCs w:val="24"/>
        </w:rPr>
        <w:t>站點共</w:t>
      </w:r>
      <w:proofErr w:type="gramEnd"/>
      <w:r w:rsidRPr="00595036">
        <w:rPr>
          <w:rFonts w:ascii="標楷體" w:eastAsia="標楷體" w:hAnsi="標楷體" w:cs="Times New Roman" w:hint="eastAsia"/>
          <w:spacing w:val="-1"/>
          <w:szCs w:val="24"/>
        </w:rPr>
        <w:t>1,450站，公共自行車2萬1,515 輛。經查執行情形，核有下列</w:t>
      </w:r>
      <w:r w:rsidR="005A4859">
        <w:rPr>
          <w:rFonts w:ascii="標楷體" w:eastAsia="標楷體" w:hAnsi="標楷體" w:cs="Times New Roman" w:hint="eastAsia"/>
          <w:spacing w:val="-1"/>
          <w:szCs w:val="24"/>
        </w:rPr>
        <w:t>事項</w:t>
      </w:r>
      <w:r w:rsidRPr="00595036">
        <w:rPr>
          <w:rFonts w:ascii="標楷體" w:eastAsia="標楷體" w:hAnsi="標楷體" w:cs="Times New Roman" w:hint="eastAsia"/>
          <w:spacing w:val="-1"/>
          <w:szCs w:val="24"/>
        </w:rPr>
        <w:t>：</w:t>
      </w:r>
    </w:p>
    <w:p w14:paraId="51D54D28" w14:textId="77777777" w:rsidR="00595036" w:rsidRDefault="006C4AF5" w:rsidP="00595036">
      <w:pPr>
        <w:overflowPunct w:val="0"/>
        <w:spacing w:line="420" w:lineRule="exact"/>
        <w:ind w:firstLineChars="200" w:firstLine="480"/>
        <w:jc w:val="both"/>
        <w:rPr>
          <w:rFonts w:ascii="標楷體" w:eastAsia="標楷體" w:hAnsi="標楷體" w:cs="Times New Roman"/>
          <w:spacing w:val="-2"/>
        </w:rPr>
      </w:pPr>
      <w:r w:rsidRPr="007A01F6">
        <w:rPr>
          <w:rFonts w:ascii="標楷體" w:eastAsia="標楷體" w:hAnsi="標楷體"/>
          <w:b/>
          <w:bCs/>
          <w:noProof/>
          <w:szCs w:val="32"/>
        </w:rPr>
        <mc:AlternateContent>
          <mc:Choice Requires="wps">
            <w:drawing>
              <wp:anchor distT="45720" distB="45720" distL="114300" distR="114300" simplePos="0" relativeHeight="251761664" behindDoc="1" locked="0" layoutInCell="1" allowOverlap="1" wp14:anchorId="3959F9D9" wp14:editId="7BFA85DA">
                <wp:simplePos x="0" y="0"/>
                <wp:positionH relativeFrom="margin">
                  <wp:posOffset>3103880</wp:posOffset>
                </wp:positionH>
                <wp:positionV relativeFrom="page">
                  <wp:posOffset>6191250</wp:posOffset>
                </wp:positionV>
                <wp:extent cx="3219450" cy="3590925"/>
                <wp:effectExtent l="0" t="0" r="0" b="9525"/>
                <wp:wrapTight wrapText="bothSides">
                  <wp:wrapPolygon edited="0">
                    <wp:start x="0" y="0"/>
                    <wp:lineTo x="0" y="21543"/>
                    <wp:lineTo x="21472" y="21543"/>
                    <wp:lineTo x="21472" y="0"/>
                    <wp:lineTo x="0" y="0"/>
                  </wp:wrapPolygon>
                </wp:wrapTight>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9450" cy="3590925"/>
                        </a:xfrm>
                        <a:prstGeom prst="rect">
                          <a:avLst/>
                        </a:prstGeom>
                        <a:solidFill>
                          <a:srgbClr val="FFFFFF"/>
                        </a:solidFill>
                        <a:ln w="9525">
                          <a:noFill/>
                          <a:miter lim="800000"/>
                          <a:headEnd/>
                          <a:tailEnd/>
                        </a:ln>
                      </wps:spPr>
                      <wps:txbx>
                        <w:txbxContent>
                          <w:tbl>
                            <w:tblPr>
                              <w:tblStyle w:val="64"/>
                              <w:tblW w:w="4975" w:type="dxa"/>
                              <w:jc w:val="center"/>
                              <w:tblLook w:val="04A0" w:firstRow="1" w:lastRow="0" w:firstColumn="1" w:lastColumn="0" w:noHBand="0" w:noVBand="1"/>
                            </w:tblPr>
                            <w:tblGrid>
                              <w:gridCol w:w="571"/>
                              <w:gridCol w:w="3540"/>
                              <w:gridCol w:w="824"/>
                              <w:gridCol w:w="40"/>
                            </w:tblGrid>
                            <w:tr w:rsidR="00CC5AFC" w14:paraId="07C6D8EA" w14:textId="77777777" w:rsidTr="00824CD6">
                              <w:trPr>
                                <w:gridAfter w:val="1"/>
                                <w:wAfter w:w="40" w:type="dxa"/>
                                <w:trHeight w:val="227"/>
                                <w:jc w:val="center"/>
                              </w:trPr>
                              <w:tc>
                                <w:tcPr>
                                  <w:tcW w:w="4935" w:type="dxa"/>
                                  <w:gridSpan w:val="3"/>
                                  <w:tcBorders>
                                    <w:top w:val="nil"/>
                                    <w:left w:val="nil"/>
                                    <w:bottom w:val="nil"/>
                                    <w:right w:val="nil"/>
                                  </w:tcBorders>
                                  <w:shd w:val="clear" w:color="auto" w:fill="auto"/>
                                </w:tcPr>
                                <w:p w14:paraId="30C4C503" w14:textId="77777777" w:rsidR="00CC5AFC" w:rsidRPr="00933221" w:rsidRDefault="00CC5AFC" w:rsidP="00A41E76">
                                  <w:pPr>
                                    <w:spacing w:line="240" w:lineRule="exact"/>
                                    <w:ind w:leftChars="-35" w:left="402" w:rightChars="-43" w:right="-103" w:hangingChars="213" w:hanging="486"/>
                                    <w:jc w:val="center"/>
                                    <w:rPr>
                                      <w:rFonts w:ascii="標楷體" w:eastAsia="標楷體" w:hAnsi="標楷體"/>
                                      <w:spacing w:val="-4"/>
                                    </w:rPr>
                                  </w:pPr>
                                  <w:r w:rsidRPr="00933221">
                                    <w:rPr>
                                      <w:rFonts w:ascii="標楷體" w:eastAsia="標楷體" w:hAnsi="標楷體" w:hint="eastAsia"/>
                                      <w:b/>
                                      <w:spacing w:val="-6"/>
                                    </w:rPr>
                                    <w:t>表</w:t>
                                  </w:r>
                                  <w:r>
                                    <w:rPr>
                                      <w:rFonts w:ascii="標楷體" w:eastAsia="標楷體" w:hAnsi="標楷體"/>
                                      <w:b/>
                                      <w:spacing w:val="-6"/>
                                    </w:rPr>
                                    <w:t>1</w:t>
                                  </w:r>
                                  <w:r w:rsidRPr="00933221">
                                    <w:rPr>
                                      <w:rFonts w:ascii="標楷體" w:eastAsia="標楷體" w:hAnsi="標楷體"/>
                                      <w:b/>
                                      <w:spacing w:val="-6"/>
                                    </w:rPr>
                                    <w:t xml:space="preserve"> </w:t>
                                  </w:r>
                                  <w:r>
                                    <w:rPr>
                                      <w:rFonts w:ascii="標楷體" w:eastAsia="標楷體" w:hAnsi="標楷體"/>
                                      <w:b/>
                                      <w:spacing w:val="-6"/>
                                    </w:rPr>
                                    <w:t xml:space="preserve"> </w:t>
                                  </w:r>
                                  <w:r>
                                    <w:rPr>
                                      <w:rFonts w:ascii="標楷體" w:eastAsia="標楷體" w:hAnsi="標楷體" w:hint="eastAsia"/>
                                      <w:b/>
                                      <w:spacing w:val="-6"/>
                                    </w:rPr>
                                    <w:t>1</w:t>
                                  </w:r>
                                  <w:r>
                                    <w:rPr>
                                      <w:rFonts w:ascii="標楷體" w:eastAsia="標楷體" w:hAnsi="標楷體"/>
                                      <w:b/>
                                      <w:spacing w:val="-6"/>
                                    </w:rPr>
                                    <w:t>13</w:t>
                                  </w:r>
                                  <w:r>
                                    <w:rPr>
                                      <w:rFonts w:ascii="標楷體" w:eastAsia="標楷體" w:hAnsi="標楷體" w:hint="eastAsia"/>
                                      <w:b/>
                                      <w:spacing w:val="-6"/>
                                    </w:rPr>
                                    <w:t>年8月平均見車率未達八成之租賃站</w:t>
                                  </w:r>
                                </w:p>
                              </w:tc>
                            </w:tr>
                            <w:tr w:rsidR="00CC5AFC" w14:paraId="20F5CC12" w14:textId="77777777" w:rsidTr="00824CD6">
                              <w:trPr>
                                <w:gridAfter w:val="1"/>
                                <w:wAfter w:w="40" w:type="dxa"/>
                                <w:trHeight w:val="227"/>
                                <w:jc w:val="center"/>
                              </w:trPr>
                              <w:tc>
                                <w:tcPr>
                                  <w:tcW w:w="4935" w:type="dxa"/>
                                  <w:gridSpan w:val="3"/>
                                  <w:tcBorders>
                                    <w:top w:val="nil"/>
                                    <w:left w:val="nil"/>
                                    <w:bottom w:val="single" w:sz="4" w:space="0" w:color="auto"/>
                                    <w:right w:val="nil"/>
                                  </w:tcBorders>
                                  <w:shd w:val="clear" w:color="auto" w:fill="auto"/>
                                  <w:vAlign w:val="center"/>
                                </w:tcPr>
                                <w:p w14:paraId="727C2DCB" w14:textId="77777777" w:rsidR="00CC5AFC" w:rsidRPr="006D6EB3" w:rsidRDefault="00CC5AFC" w:rsidP="00824CD6">
                                  <w:pPr>
                                    <w:spacing w:line="220" w:lineRule="exact"/>
                                    <w:jc w:val="right"/>
                                    <w:rPr>
                                      <w:rFonts w:ascii="標楷體" w:eastAsia="標楷體" w:hAnsi="標楷體"/>
                                      <w:spacing w:val="-4"/>
                                      <w:sz w:val="18"/>
                                      <w:szCs w:val="18"/>
                                    </w:rPr>
                                  </w:pPr>
                                  <w:r w:rsidRPr="006D6EB3">
                                    <w:rPr>
                                      <w:rFonts w:ascii="標楷體" w:eastAsia="標楷體" w:hAnsi="標楷體" w:hint="eastAsia"/>
                                      <w:spacing w:val="-4"/>
                                      <w:sz w:val="18"/>
                                      <w:szCs w:val="18"/>
                                    </w:rPr>
                                    <w:t>單位</w:t>
                                  </w:r>
                                  <w:r>
                                    <w:rPr>
                                      <w:rFonts w:ascii="標楷體" w:eastAsia="標楷體" w:hAnsi="標楷體" w:hint="eastAsia"/>
                                      <w:spacing w:val="-4"/>
                                      <w:sz w:val="18"/>
                                      <w:szCs w:val="18"/>
                                    </w:rPr>
                                    <w:t>：％</w:t>
                                  </w:r>
                                </w:p>
                              </w:tc>
                            </w:tr>
                            <w:tr w:rsidR="00CC5AFC" w14:paraId="47606A8B" w14:textId="77777777" w:rsidTr="00A41E76">
                              <w:trPr>
                                <w:trHeight w:val="340"/>
                                <w:jc w:val="center"/>
                              </w:trPr>
                              <w:tc>
                                <w:tcPr>
                                  <w:tcW w:w="571" w:type="dxa"/>
                                  <w:tcBorders>
                                    <w:top w:val="single" w:sz="4" w:space="0" w:color="auto"/>
                                  </w:tcBorders>
                                  <w:shd w:val="clear" w:color="auto" w:fill="auto"/>
                                  <w:vAlign w:val="center"/>
                                </w:tcPr>
                                <w:p w14:paraId="10A283D1" w14:textId="77777777" w:rsidR="00CC5AFC" w:rsidRPr="00123D86" w:rsidRDefault="00CC5AFC" w:rsidP="00A41E76">
                                  <w:pPr>
                                    <w:spacing w:line="240" w:lineRule="exact"/>
                                    <w:jc w:val="center"/>
                                    <w:rPr>
                                      <w:rFonts w:ascii="標楷體" w:eastAsia="標楷體" w:hAnsi="標楷體"/>
                                      <w:spacing w:val="-4"/>
                                      <w:sz w:val="20"/>
                                    </w:rPr>
                                  </w:pPr>
                                  <w:r w:rsidRPr="00123D86">
                                    <w:rPr>
                                      <w:rFonts w:ascii="標楷體" w:eastAsia="標楷體" w:hAnsi="標楷體" w:hint="eastAsia"/>
                                      <w:spacing w:val="-4"/>
                                      <w:sz w:val="20"/>
                                    </w:rPr>
                                    <w:t>項目</w:t>
                                  </w:r>
                                </w:p>
                              </w:tc>
                              <w:tc>
                                <w:tcPr>
                                  <w:tcW w:w="3540" w:type="dxa"/>
                                  <w:tcBorders>
                                    <w:top w:val="single" w:sz="4" w:space="0" w:color="auto"/>
                                  </w:tcBorders>
                                  <w:shd w:val="clear" w:color="auto" w:fill="auto"/>
                                  <w:vAlign w:val="center"/>
                                </w:tcPr>
                                <w:p w14:paraId="45A7A205" w14:textId="77777777" w:rsidR="00CC5AFC" w:rsidRPr="00123D86" w:rsidRDefault="00CC5AFC" w:rsidP="00824CD6">
                                  <w:pPr>
                                    <w:spacing w:line="280" w:lineRule="exact"/>
                                    <w:ind w:leftChars="-44" w:left="-106"/>
                                    <w:jc w:val="center"/>
                                    <w:rPr>
                                      <w:rFonts w:ascii="標楷體" w:eastAsia="標楷體" w:hAnsi="標楷體"/>
                                      <w:spacing w:val="-4"/>
                                      <w:sz w:val="20"/>
                                    </w:rPr>
                                  </w:pPr>
                                  <w:r w:rsidRPr="00123D86">
                                    <w:rPr>
                                      <w:rFonts w:ascii="標楷體" w:eastAsia="標楷體" w:hAnsi="標楷體" w:hint="eastAsia"/>
                                      <w:spacing w:val="-4"/>
                                      <w:sz w:val="20"/>
                                    </w:rPr>
                                    <w:t>站 名</w:t>
                                  </w:r>
                                </w:p>
                              </w:tc>
                              <w:tc>
                                <w:tcPr>
                                  <w:tcW w:w="864" w:type="dxa"/>
                                  <w:gridSpan w:val="2"/>
                                  <w:tcBorders>
                                    <w:top w:val="single" w:sz="4" w:space="0" w:color="auto"/>
                                  </w:tcBorders>
                                  <w:shd w:val="clear" w:color="auto" w:fill="auto"/>
                                  <w:vAlign w:val="center"/>
                                </w:tcPr>
                                <w:p w14:paraId="4AFF8364" w14:textId="77777777" w:rsidR="00CC5AFC" w:rsidRPr="00123D86" w:rsidRDefault="00CC5AFC" w:rsidP="00824CD6">
                                  <w:pPr>
                                    <w:spacing w:line="280" w:lineRule="exact"/>
                                    <w:ind w:leftChars="-45" w:left="-108" w:rightChars="-46" w:right="-110"/>
                                    <w:jc w:val="center"/>
                                    <w:rPr>
                                      <w:rFonts w:ascii="標楷體" w:eastAsia="標楷體" w:hAnsi="標楷體"/>
                                      <w:spacing w:val="-4"/>
                                      <w:sz w:val="20"/>
                                    </w:rPr>
                                  </w:pPr>
                                  <w:r w:rsidRPr="00123D86">
                                    <w:rPr>
                                      <w:rFonts w:ascii="標楷體" w:eastAsia="標楷體" w:hAnsi="標楷體" w:hint="eastAsia"/>
                                      <w:spacing w:val="-4"/>
                                      <w:sz w:val="20"/>
                                    </w:rPr>
                                    <w:t>見車率</w:t>
                                  </w:r>
                                </w:p>
                              </w:tc>
                            </w:tr>
                            <w:tr w:rsidR="00CC5AFC" w14:paraId="0CDC49E4" w14:textId="77777777" w:rsidTr="00824CD6">
                              <w:trPr>
                                <w:jc w:val="center"/>
                              </w:trPr>
                              <w:tc>
                                <w:tcPr>
                                  <w:tcW w:w="571" w:type="dxa"/>
                                  <w:vAlign w:val="center"/>
                                </w:tcPr>
                                <w:p w14:paraId="58E440D1" w14:textId="77777777" w:rsidR="00CC5AFC" w:rsidRPr="00123D86" w:rsidRDefault="00CC5AFC" w:rsidP="00824CD6">
                                  <w:pPr>
                                    <w:spacing w:line="280" w:lineRule="exact"/>
                                    <w:jc w:val="center"/>
                                    <w:rPr>
                                      <w:rFonts w:ascii="標楷體" w:eastAsia="標楷體" w:hAnsi="標楷體"/>
                                      <w:spacing w:val="-4"/>
                                      <w:sz w:val="20"/>
                                    </w:rPr>
                                  </w:pPr>
                                  <w:r w:rsidRPr="00123D86">
                                    <w:rPr>
                                      <w:rFonts w:ascii="標楷體" w:eastAsia="標楷體" w:hAnsi="標楷體" w:hint="eastAsia"/>
                                      <w:spacing w:val="-4"/>
                                      <w:sz w:val="20"/>
                                    </w:rPr>
                                    <w:t>1</w:t>
                                  </w:r>
                                </w:p>
                              </w:tc>
                              <w:tc>
                                <w:tcPr>
                                  <w:tcW w:w="3540" w:type="dxa"/>
                                </w:tcPr>
                                <w:p w14:paraId="47978876"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興雅國中</w:t>
                                  </w:r>
                                </w:p>
                              </w:tc>
                              <w:tc>
                                <w:tcPr>
                                  <w:tcW w:w="864" w:type="dxa"/>
                                  <w:gridSpan w:val="2"/>
                                  <w:vAlign w:val="center"/>
                                </w:tcPr>
                                <w:p w14:paraId="1B5AFE59"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4.00</w:t>
                                  </w:r>
                                </w:p>
                              </w:tc>
                            </w:tr>
                            <w:tr w:rsidR="00CC5AFC" w14:paraId="0211094A" w14:textId="77777777" w:rsidTr="00824CD6">
                              <w:trPr>
                                <w:jc w:val="center"/>
                              </w:trPr>
                              <w:tc>
                                <w:tcPr>
                                  <w:tcW w:w="571" w:type="dxa"/>
                                  <w:shd w:val="clear" w:color="auto" w:fill="FFFFFF" w:themeFill="background1"/>
                                  <w:vAlign w:val="center"/>
                                </w:tcPr>
                                <w:p w14:paraId="7A0B7416" w14:textId="77777777" w:rsidR="00CC5AFC" w:rsidRPr="00623F33" w:rsidRDefault="00CC5AFC" w:rsidP="00824CD6">
                                  <w:pPr>
                                    <w:spacing w:line="280" w:lineRule="exact"/>
                                    <w:jc w:val="center"/>
                                    <w:rPr>
                                      <w:rFonts w:ascii="標楷體" w:eastAsia="標楷體" w:hAnsi="標楷體"/>
                                      <w:spacing w:val="-4"/>
                                      <w:sz w:val="20"/>
                                    </w:rPr>
                                  </w:pPr>
                                  <w:r w:rsidRPr="00623F33">
                                    <w:rPr>
                                      <w:rFonts w:ascii="標楷體" w:eastAsia="標楷體" w:hAnsi="標楷體" w:hint="eastAsia"/>
                                      <w:spacing w:val="-4"/>
                                      <w:sz w:val="20"/>
                                    </w:rPr>
                                    <w:t>2</w:t>
                                  </w:r>
                                </w:p>
                              </w:tc>
                              <w:tc>
                                <w:tcPr>
                                  <w:tcW w:w="3540" w:type="dxa"/>
                                  <w:shd w:val="clear" w:color="auto" w:fill="FFFFFF" w:themeFill="background1"/>
                                </w:tcPr>
                                <w:p w14:paraId="24715C0A" w14:textId="77777777" w:rsidR="00CC5AFC" w:rsidRPr="00623F33" w:rsidRDefault="00CC5AFC" w:rsidP="00824CD6">
                                  <w:pPr>
                                    <w:spacing w:line="280" w:lineRule="exact"/>
                                    <w:ind w:leftChars="-40" w:left="-96"/>
                                    <w:jc w:val="both"/>
                                    <w:rPr>
                                      <w:rFonts w:ascii="標楷體" w:eastAsia="標楷體" w:hAnsi="標楷體"/>
                                      <w:sz w:val="20"/>
                                    </w:rPr>
                                  </w:pPr>
                                  <w:r w:rsidRPr="00623F33">
                                    <w:rPr>
                                      <w:rFonts w:ascii="標楷體" w:eastAsia="標楷體" w:hAnsi="標楷體" w:hint="eastAsia"/>
                                      <w:sz w:val="20"/>
                                    </w:rPr>
                                    <w:t>捷運南京三民站（4號出口）</w:t>
                                  </w:r>
                                </w:p>
                              </w:tc>
                              <w:tc>
                                <w:tcPr>
                                  <w:tcW w:w="864" w:type="dxa"/>
                                  <w:gridSpan w:val="2"/>
                                  <w:shd w:val="clear" w:color="auto" w:fill="FFFFFF" w:themeFill="background1"/>
                                  <w:vAlign w:val="center"/>
                                </w:tcPr>
                                <w:p w14:paraId="2BE4C2C7" w14:textId="77777777" w:rsidR="00CC5AFC" w:rsidRPr="00623F33" w:rsidRDefault="00CC5AFC" w:rsidP="00824CD6">
                                  <w:pPr>
                                    <w:spacing w:line="280" w:lineRule="exact"/>
                                    <w:ind w:leftChars="-40" w:left="-96"/>
                                    <w:jc w:val="right"/>
                                    <w:rPr>
                                      <w:rFonts w:ascii="標楷體" w:eastAsia="標楷體" w:hAnsi="標楷體"/>
                                      <w:spacing w:val="-8"/>
                                      <w:sz w:val="20"/>
                                    </w:rPr>
                                  </w:pPr>
                                  <w:r w:rsidRPr="00623F33">
                                    <w:rPr>
                                      <w:rFonts w:ascii="標楷體" w:eastAsia="標楷體" w:hAnsi="標楷體" w:hint="eastAsia"/>
                                      <w:spacing w:val="-8"/>
                                      <w:sz w:val="20"/>
                                    </w:rPr>
                                    <w:t>7</w:t>
                                  </w:r>
                                  <w:r w:rsidRPr="00623F33">
                                    <w:rPr>
                                      <w:rFonts w:ascii="標楷體" w:eastAsia="標楷體" w:hAnsi="標楷體"/>
                                      <w:spacing w:val="-8"/>
                                      <w:sz w:val="20"/>
                                    </w:rPr>
                                    <w:t>4.11</w:t>
                                  </w:r>
                                </w:p>
                              </w:tc>
                            </w:tr>
                            <w:tr w:rsidR="00CC5AFC" w14:paraId="477AB1B0" w14:textId="77777777" w:rsidTr="00824CD6">
                              <w:trPr>
                                <w:jc w:val="center"/>
                              </w:trPr>
                              <w:tc>
                                <w:tcPr>
                                  <w:tcW w:w="571" w:type="dxa"/>
                                  <w:vAlign w:val="center"/>
                                </w:tcPr>
                                <w:p w14:paraId="629E09D0" w14:textId="77777777" w:rsidR="00CC5AFC" w:rsidRPr="00123D86" w:rsidRDefault="00CC5AFC" w:rsidP="00824CD6">
                                  <w:pPr>
                                    <w:spacing w:line="280" w:lineRule="exact"/>
                                    <w:jc w:val="center"/>
                                    <w:rPr>
                                      <w:rFonts w:ascii="標楷體" w:eastAsia="標楷體" w:hAnsi="標楷體"/>
                                      <w:spacing w:val="-4"/>
                                      <w:sz w:val="20"/>
                                    </w:rPr>
                                  </w:pPr>
                                  <w:r w:rsidRPr="00123D86">
                                    <w:rPr>
                                      <w:rFonts w:ascii="標楷體" w:eastAsia="標楷體" w:hAnsi="標楷體" w:hint="eastAsia"/>
                                      <w:spacing w:val="-4"/>
                                      <w:sz w:val="20"/>
                                    </w:rPr>
                                    <w:t>3</w:t>
                                  </w:r>
                                </w:p>
                              </w:tc>
                              <w:tc>
                                <w:tcPr>
                                  <w:tcW w:w="3540" w:type="dxa"/>
                                </w:tcPr>
                                <w:p w14:paraId="63EB57AA"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捷運台北101/世貿站（3號出口）</w:t>
                                  </w:r>
                                </w:p>
                              </w:tc>
                              <w:tc>
                                <w:tcPr>
                                  <w:tcW w:w="864" w:type="dxa"/>
                                  <w:gridSpan w:val="2"/>
                                  <w:vAlign w:val="center"/>
                                </w:tcPr>
                                <w:p w14:paraId="568F0333"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6.08</w:t>
                                  </w:r>
                                </w:p>
                              </w:tc>
                            </w:tr>
                            <w:tr w:rsidR="00CC5AFC" w14:paraId="41BF13EC" w14:textId="77777777" w:rsidTr="00824CD6">
                              <w:trPr>
                                <w:jc w:val="center"/>
                              </w:trPr>
                              <w:tc>
                                <w:tcPr>
                                  <w:tcW w:w="571" w:type="dxa"/>
                                  <w:vAlign w:val="center"/>
                                </w:tcPr>
                                <w:p w14:paraId="48FF97EF"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4</w:t>
                                  </w:r>
                                </w:p>
                              </w:tc>
                              <w:tc>
                                <w:tcPr>
                                  <w:tcW w:w="3540" w:type="dxa"/>
                                </w:tcPr>
                                <w:p w14:paraId="1074945A" w14:textId="77777777" w:rsidR="00CC5AFC" w:rsidRPr="00A44988" w:rsidRDefault="00CC5AFC" w:rsidP="00824CD6">
                                  <w:pPr>
                                    <w:spacing w:line="280" w:lineRule="exact"/>
                                    <w:ind w:leftChars="-40" w:left="-96"/>
                                    <w:jc w:val="both"/>
                                    <w:rPr>
                                      <w:rFonts w:ascii="標楷體" w:eastAsia="標楷體" w:hAnsi="標楷體"/>
                                      <w:sz w:val="20"/>
                                    </w:rPr>
                                  </w:pPr>
                                  <w:proofErr w:type="gramStart"/>
                                  <w:r w:rsidRPr="00A44988">
                                    <w:rPr>
                                      <w:rFonts w:ascii="標楷體" w:eastAsia="標楷體" w:hAnsi="標楷體" w:hint="eastAsia"/>
                                      <w:sz w:val="20"/>
                                    </w:rPr>
                                    <w:t>臺</w:t>
                                  </w:r>
                                  <w:proofErr w:type="gramEnd"/>
                                  <w:r w:rsidRPr="00A44988">
                                    <w:rPr>
                                      <w:rFonts w:ascii="標楷體" w:eastAsia="標楷體" w:hAnsi="標楷體" w:hint="eastAsia"/>
                                      <w:sz w:val="20"/>
                                    </w:rPr>
                                    <w:t>北文化體育園區辦公大樓</w:t>
                                  </w:r>
                                </w:p>
                              </w:tc>
                              <w:tc>
                                <w:tcPr>
                                  <w:tcW w:w="864" w:type="dxa"/>
                                  <w:gridSpan w:val="2"/>
                                  <w:vAlign w:val="center"/>
                                </w:tcPr>
                                <w:p w14:paraId="636C0314" w14:textId="77777777" w:rsidR="00CC5AFC" w:rsidRPr="00856C04" w:rsidRDefault="00CC5AFC" w:rsidP="00824CD6">
                                  <w:pPr>
                                    <w:spacing w:line="280" w:lineRule="exact"/>
                                    <w:ind w:leftChars="-40" w:left="-96"/>
                                    <w:jc w:val="right"/>
                                    <w:rPr>
                                      <w:rFonts w:ascii="標楷體" w:eastAsia="標楷體" w:hAnsi="標楷體"/>
                                      <w:spacing w:val="-8"/>
                                      <w:sz w:val="20"/>
                                    </w:rPr>
                                  </w:pPr>
                                  <w:r w:rsidRPr="00856C04">
                                    <w:rPr>
                                      <w:rFonts w:ascii="標楷體" w:eastAsia="標楷體" w:hAnsi="標楷體" w:hint="eastAsia"/>
                                      <w:spacing w:val="-8"/>
                                      <w:sz w:val="20"/>
                                    </w:rPr>
                                    <w:t>7</w:t>
                                  </w:r>
                                  <w:r w:rsidRPr="00856C04">
                                    <w:rPr>
                                      <w:rFonts w:ascii="標楷體" w:eastAsia="標楷體" w:hAnsi="標楷體"/>
                                      <w:spacing w:val="-8"/>
                                      <w:sz w:val="20"/>
                                    </w:rPr>
                                    <w:t>7.39</w:t>
                                  </w:r>
                                </w:p>
                              </w:tc>
                            </w:tr>
                            <w:tr w:rsidR="00CC5AFC" w14:paraId="19035446" w14:textId="77777777" w:rsidTr="00824CD6">
                              <w:trPr>
                                <w:jc w:val="center"/>
                              </w:trPr>
                              <w:tc>
                                <w:tcPr>
                                  <w:tcW w:w="571" w:type="dxa"/>
                                  <w:vAlign w:val="center"/>
                                </w:tcPr>
                                <w:p w14:paraId="5A6C0FA9"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5</w:t>
                                  </w:r>
                                </w:p>
                              </w:tc>
                              <w:tc>
                                <w:tcPr>
                                  <w:tcW w:w="3540" w:type="dxa"/>
                                </w:tcPr>
                                <w:p w14:paraId="7EA1B8CE"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忠孝東路四段49巷口</w:t>
                                  </w:r>
                                </w:p>
                              </w:tc>
                              <w:tc>
                                <w:tcPr>
                                  <w:tcW w:w="864" w:type="dxa"/>
                                  <w:gridSpan w:val="2"/>
                                  <w:vAlign w:val="center"/>
                                </w:tcPr>
                                <w:p w14:paraId="1D3BC50D"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7.53</w:t>
                                  </w:r>
                                </w:p>
                              </w:tc>
                            </w:tr>
                            <w:tr w:rsidR="00CC5AFC" w14:paraId="2AD04F82" w14:textId="77777777" w:rsidTr="00824CD6">
                              <w:trPr>
                                <w:jc w:val="center"/>
                              </w:trPr>
                              <w:tc>
                                <w:tcPr>
                                  <w:tcW w:w="571" w:type="dxa"/>
                                  <w:vAlign w:val="center"/>
                                </w:tcPr>
                                <w:p w14:paraId="2FC4BF06"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6</w:t>
                                  </w:r>
                                </w:p>
                              </w:tc>
                              <w:tc>
                                <w:tcPr>
                                  <w:tcW w:w="3540" w:type="dxa"/>
                                </w:tcPr>
                                <w:p w14:paraId="29E1087F"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松仁路121巷口</w:t>
                                  </w:r>
                                </w:p>
                              </w:tc>
                              <w:tc>
                                <w:tcPr>
                                  <w:tcW w:w="864" w:type="dxa"/>
                                  <w:gridSpan w:val="2"/>
                                  <w:vAlign w:val="center"/>
                                </w:tcPr>
                                <w:p w14:paraId="390FB645"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7.53</w:t>
                                  </w:r>
                                </w:p>
                              </w:tc>
                            </w:tr>
                            <w:tr w:rsidR="00CC5AFC" w14:paraId="2A2ACD0F" w14:textId="77777777" w:rsidTr="00824CD6">
                              <w:trPr>
                                <w:jc w:val="center"/>
                              </w:trPr>
                              <w:tc>
                                <w:tcPr>
                                  <w:tcW w:w="571" w:type="dxa"/>
                                  <w:vAlign w:val="center"/>
                                </w:tcPr>
                                <w:p w14:paraId="1486EAEC"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7</w:t>
                                  </w:r>
                                </w:p>
                              </w:tc>
                              <w:tc>
                                <w:tcPr>
                                  <w:tcW w:w="3540" w:type="dxa"/>
                                </w:tcPr>
                                <w:p w14:paraId="16EF1829"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捷運小南門站（2號出口）</w:t>
                                  </w:r>
                                </w:p>
                              </w:tc>
                              <w:tc>
                                <w:tcPr>
                                  <w:tcW w:w="864" w:type="dxa"/>
                                  <w:gridSpan w:val="2"/>
                                  <w:vAlign w:val="center"/>
                                </w:tcPr>
                                <w:p w14:paraId="6D7E87C0"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7.61</w:t>
                                  </w:r>
                                </w:p>
                              </w:tc>
                            </w:tr>
                            <w:tr w:rsidR="00CC5AFC" w14:paraId="6A7BA2EA" w14:textId="77777777" w:rsidTr="00824CD6">
                              <w:trPr>
                                <w:jc w:val="center"/>
                              </w:trPr>
                              <w:tc>
                                <w:tcPr>
                                  <w:tcW w:w="571" w:type="dxa"/>
                                  <w:shd w:val="clear" w:color="auto" w:fill="FFFFFF" w:themeFill="background1"/>
                                  <w:vAlign w:val="center"/>
                                </w:tcPr>
                                <w:p w14:paraId="4709791D"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8</w:t>
                                  </w:r>
                                </w:p>
                              </w:tc>
                              <w:tc>
                                <w:tcPr>
                                  <w:tcW w:w="3540" w:type="dxa"/>
                                  <w:shd w:val="clear" w:color="auto" w:fill="FFFFFF" w:themeFill="background1"/>
                                </w:tcPr>
                                <w:p w14:paraId="51781E02" w14:textId="77777777" w:rsidR="00CC5AFC" w:rsidRPr="006E5689" w:rsidRDefault="00CC5AFC" w:rsidP="00824CD6">
                                  <w:pPr>
                                    <w:spacing w:line="280" w:lineRule="exact"/>
                                    <w:ind w:leftChars="-40" w:left="-96"/>
                                    <w:jc w:val="both"/>
                                    <w:rPr>
                                      <w:rFonts w:ascii="標楷體" w:eastAsia="標楷體" w:hAnsi="標楷體"/>
                                      <w:sz w:val="20"/>
                                    </w:rPr>
                                  </w:pPr>
                                  <w:r w:rsidRPr="006E5689">
                                    <w:rPr>
                                      <w:rFonts w:ascii="標楷體" w:eastAsia="標楷體" w:hAnsi="標楷體" w:hint="eastAsia"/>
                                      <w:sz w:val="20"/>
                                    </w:rPr>
                                    <w:t>捷運中正紀念堂站（6號出口）</w:t>
                                  </w:r>
                                </w:p>
                              </w:tc>
                              <w:tc>
                                <w:tcPr>
                                  <w:tcW w:w="864" w:type="dxa"/>
                                  <w:gridSpan w:val="2"/>
                                  <w:shd w:val="clear" w:color="auto" w:fill="FFFFFF" w:themeFill="background1"/>
                                  <w:vAlign w:val="center"/>
                                </w:tcPr>
                                <w:p w14:paraId="08240FB7"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7.62</w:t>
                                  </w:r>
                                </w:p>
                              </w:tc>
                            </w:tr>
                            <w:tr w:rsidR="00CC5AFC" w14:paraId="1C4B0D51" w14:textId="77777777" w:rsidTr="00824CD6">
                              <w:trPr>
                                <w:jc w:val="center"/>
                              </w:trPr>
                              <w:tc>
                                <w:tcPr>
                                  <w:tcW w:w="571" w:type="dxa"/>
                                  <w:vAlign w:val="center"/>
                                </w:tcPr>
                                <w:p w14:paraId="2425D722"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9</w:t>
                                  </w:r>
                                </w:p>
                              </w:tc>
                              <w:tc>
                                <w:tcPr>
                                  <w:tcW w:w="3540" w:type="dxa"/>
                                </w:tcPr>
                                <w:p w14:paraId="5ABAEAF2"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松智松壽路口</w:t>
                                  </w:r>
                                </w:p>
                              </w:tc>
                              <w:tc>
                                <w:tcPr>
                                  <w:tcW w:w="864" w:type="dxa"/>
                                  <w:gridSpan w:val="2"/>
                                  <w:vAlign w:val="center"/>
                                </w:tcPr>
                                <w:p w14:paraId="4FD43D93"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7.70</w:t>
                                  </w:r>
                                </w:p>
                              </w:tc>
                            </w:tr>
                            <w:tr w:rsidR="00CC5AFC" w14:paraId="31391B85" w14:textId="77777777" w:rsidTr="00824CD6">
                              <w:trPr>
                                <w:jc w:val="center"/>
                              </w:trPr>
                              <w:tc>
                                <w:tcPr>
                                  <w:tcW w:w="571" w:type="dxa"/>
                                  <w:vAlign w:val="center"/>
                                </w:tcPr>
                                <w:p w14:paraId="064A98E6"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1</w:t>
                                  </w:r>
                                  <w:r>
                                    <w:rPr>
                                      <w:rFonts w:ascii="標楷體" w:eastAsia="標楷體" w:hAnsi="標楷體"/>
                                      <w:spacing w:val="-4"/>
                                      <w:sz w:val="20"/>
                                    </w:rPr>
                                    <w:t>0</w:t>
                                  </w:r>
                                </w:p>
                              </w:tc>
                              <w:tc>
                                <w:tcPr>
                                  <w:tcW w:w="3540" w:type="dxa"/>
                                </w:tcPr>
                                <w:p w14:paraId="76D85311"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市府松壽路口</w:t>
                                  </w:r>
                                </w:p>
                              </w:tc>
                              <w:tc>
                                <w:tcPr>
                                  <w:tcW w:w="864" w:type="dxa"/>
                                  <w:gridSpan w:val="2"/>
                                  <w:vAlign w:val="center"/>
                                </w:tcPr>
                                <w:p w14:paraId="63F7B71F"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7.77</w:t>
                                  </w:r>
                                </w:p>
                              </w:tc>
                            </w:tr>
                            <w:tr w:rsidR="00CC5AFC" w14:paraId="08F30A5F" w14:textId="77777777" w:rsidTr="00824CD6">
                              <w:trPr>
                                <w:jc w:val="center"/>
                              </w:trPr>
                              <w:tc>
                                <w:tcPr>
                                  <w:tcW w:w="571" w:type="dxa"/>
                                  <w:vAlign w:val="center"/>
                                </w:tcPr>
                                <w:p w14:paraId="76E18F6F"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1</w:t>
                                  </w:r>
                                  <w:r>
                                    <w:rPr>
                                      <w:rFonts w:ascii="標楷體" w:eastAsia="標楷體" w:hAnsi="標楷體"/>
                                      <w:spacing w:val="-4"/>
                                      <w:sz w:val="20"/>
                                    </w:rPr>
                                    <w:t>1</w:t>
                                  </w:r>
                                </w:p>
                              </w:tc>
                              <w:tc>
                                <w:tcPr>
                                  <w:tcW w:w="3540" w:type="dxa"/>
                                </w:tcPr>
                                <w:p w14:paraId="46489886"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基隆忠孝路口西南側</w:t>
                                  </w:r>
                                </w:p>
                              </w:tc>
                              <w:tc>
                                <w:tcPr>
                                  <w:tcW w:w="864" w:type="dxa"/>
                                  <w:gridSpan w:val="2"/>
                                  <w:vAlign w:val="center"/>
                                </w:tcPr>
                                <w:p w14:paraId="6A10289D"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7.94</w:t>
                                  </w:r>
                                </w:p>
                              </w:tc>
                            </w:tr>
                            <w:tr w:rsidR="00CC5AFC" w14:paraId="492E9B83" w14:textId="77777777" w:rsidTr="00824CD6">
                              <w:trPr>
                                <w:jc w:val="center"/>
                              </w:trPr>
                              <w:tc>
                                <w:tcPr>
                                  <w:tcW w:w="571" w:type="dxa"/>
                                  <w:shd w:val="clear" w:color="auto" w:fill="FFFFFF" w:themeFill="background1"/>
                                  <w:vAlign w:val="center"/>
                                </w:tcPr>
                                <w:p w14:paraId="6EE1913C"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1</w:t>
                                  </w:r>
                                  <w:r>
                                    <w:rPr>
                                      <w:rFonts w:ascii="標楷體" w:eastAsia="標楷體" w:hAnsi="標楷體"/>
                                      <w:spacing w:val="-4"/>
                                      <w:sz w:val="20"/>
                                    </w:rPr>
                                    <w:t>2</w:t>
                                  </w:r>
                                </w:p>
                              </w:tc>
                              <w:tc>
                                <w:tcPr>
                                  <w:tcW w:w="3540" w:type="dxa"/>
                                  <w:shd w:val="clear" w:color="auto" w:fill="FFFFFF" w:themeFill="background1"/>
                                </w:tcPr>
                                <w:p w14:paraId="5E8DA9E0"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捷運大安站（4號出口）</w:t>
                                  </w:r>
                                </w:p>
                              </w:tc>
                              <w:tc>
                                <w:tcPr>
                                  <w:tcW w:w="864" w:type="dxa"/>
                                  <w:gridSpan w:val="2"/>
                                  <w:shd w:val="clear" w:color="auto" w:fill="FFFFFF" w:themeFill="background1"/>
                                  <w:vAlign w:val="center"/>
                                </w:tcPr>
                                <w:p w14:paraId="7BBAD29C"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8.20</w:t>
                                  </w:r>
                                </w:p>
                              </w:tc>
                            </w:tr>
                            <w:tr w:rsidR="00CC5AFC" w14:paraId="29FA1956" w14:textId="77777777" w:rsidTr="00824CD6">
                              <w:trPr>
                                <w:jc w:val="center"/>
                              </w:trPr>
                              <w:tc>
                                <w:tcPr>
                                  <w:tcW w:w="571" w:type="dxa"/>
                                  <w:vAlign w:val="center"/>
                                </w:tcPr>
                                <w:p w14:paraId="1C10DFB6"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1</w:t>
                                  </w:r>
                                  <w:r>
                                    <w:rPr>
                                      <w:rFonts w:ascii="標楷體" w:eastAsia="標楷體" w:hAnsi="標楷體"/>
                                      <w:spacing w:val="-4"/>
                                      <w:sz w:val="20"/>
                                    </w:rPr>
                                    <w:t>3</w:t>
                                  </w:r>
                                </w:p>
                              </w:tc>
                              <w:tc>
                                <w:tcPr>
                                  <w:tcW w:w="3540" w:type="dxa"/>
                                </w:tcPr>
                                <w:p w14:paraId="4E630AE7"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捷運公館站（4號出口）</w:t>
                                  </w:r>
                                </w:p>
                              </w:tc>
                              <w:tc>
                                <w:tcPr>
                                  <w:tcW w:w="864" w:type="dxa"/>
                                  <w:gridSpan w:val="2"/>
                                  <w:vAlign w:val="center"/>
                                </w:tcPr>
                                <w:p w14:paraId="48A62C30"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9.15</w:t>
                                  </w:r>
                                </w:p>
                              </w:tc>
                            </w:tr>
                            <w:tr w:rsidR="00CC5AFC" w14:paraId="70325054" w14:textId="77777777" w:rsidTr="00824CD6">
                              <w:trPr>
                                <w:jc w:val="center"/>
                              </w:trPr>
                              <w:tc>
                                <w:tcPr>
                                  <w:tcW w:w="571" w:type="dxa"/>
                                  <w:shd w:val="clear" w:color="auto" w:fill="FFFFFF" w:themeFill="background1"/>
                                  <w:vAlign w:val="center"/>
                                </w:tcPr>
                                <w:p w14:paraId="7AAAC14B"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1</w:t>
                                  </w:r>
                                  <w:r>
                                    <w:rPr>
                                      <w:rFonts w:ascii="標楷體" w:eastAsia="標楷體" w:hAnsi="標楷體"/>
                                      <w:spacing w:val="-4"/>
                                      <w:sz w:val="20"/>
                                    </w:rPr>
                                    <w:t>4</w:t>
                                  </w:r>
                                </w:p>
                              </w:tc>
                              <w:tc>
                                <w:tcPr>
                                  <w:tcW w:w="3540" w:type="dxa"/>
                                  <w:shd w:val="clear" w:color="auto" w:fill="FFFFFF" w:themeFill="background1"/>
                                </w:tcPr>
                                <w:p w14:paraId="03C65E46"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松江路77巷口</w:t>
                                  </w:r>
                                </w:p>
                              </w:tc>
                              <w:tc>
                                <w:tcPr>
                                  <w:tcW w:w="864" w:type="dxa"/>
                                  <w:gridSpan w:val="2"/>
                                  <w:shd w:val="clear" w:color="auto" w:fill="FFFFFF" w:themeFill="background1"/>
                                  <w:vAlign w:val="center"/>
                                </w:tcPr>
                                <w:p w14:paraId="6C1B5900"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9.94</w:t>
                                  </w:r>
                                </w:p>
                              </w:tc>
                            </w:tr>
                            <w:tr w:rsidR="00CC5AFC" w14:paraId="09C4DC17" w14:textId="77777777" w:rsidTr="00824CD6">
                              <w:trPr>
                                <w:gridAfter w:val="1"/>
                                <w:wAfter w:w="40" w:type="dxa"/>
                                <w:trHeight w:val="58"/>
                                <w:jc w:val="center"/>
                              </w:trPr>
                              <w:tc>
                                <w:tcPr>
                                  <w:tcW w:w="4935" w:type="dxa"/>
                                  <w:gridSpan w:val="3"/>
                                  <w:tcBorders>
                                    <w:top w:val="single" w:sz="4" w:space="0" w:color="auto"/>
                                    <w:left w:val="nil"/>
                                    <w:bottom w:val="nil"/>
                                    <w:right w:val="nil"/>
                                  </w:tcBorders>
                                  <w:vAlign w:val="center"/>
                                </w:tcPr>
                                <w:p w14:paraId="5540A61E" w14:textId="77777777" w:rsidR="00CC5AFC" w:rsidRPr="00FB07C8" w:rsidRDefault="00CC5AFC" w:rsidP="00595036">
                                  <w:pPr>
                                    <w:spacing w:line="240" w:lineRule="exact"/>
                                    <w:ind w:leftChars="-18" w:left="497" w:rightChars="-20" w:right="-48" w:hangingChars="300" w:hanging="540"/>
                                    <w:jc w:val="both"/>
                                    <w:rPr>
                                      <w:rFonts w:ascii="標楷體" w:eastAsia="標楷體" w:hAnsi="標楷體"/>
                                      <w:sz w:val="18"/>
                                      <w:szCs w:val="18"/>
                                    </w:rPr>
                                  </w:pPr>
                                  <w:proofErr w:type="gramStart"/>
                                  <w:r w:rsidRPr="00FB07C8">
                                    <w:rPr>
                                      <w:rFonts w:ascii="標楷體" w:eastAsia="標楷體" w:hAnsi="標楷體" w:hint="eastAsia"/>
                                      <w:sz w:val="18"/>
                                      <w:szCs w:val="18"/>
                                    </w:rPr>
                                    <w:t>註</w:t>
                                  </w:r>
                                  <w:proofErr w:type="gramEnd"/>
                                  <w:r w:rsidRPr="00FB07C8">
                                    <w:rPr>
                                      <w:rFonts w:ascii="標楷體" w:eastAsia="標楷體" w:hAnsi="標楷體" w:hint="eastAsia"/>
                                      <w:sz w:val="18"/>
                                      <w:szCs w:val="18"/>
                                    </w:rPr>
                                    <w:t>：1</w:t>
                                  </w:r>
                                  <w:r w:rsidRPr="00FB07C8">
                                    <w:rPr>
                                      <w:rFonts w:ascii="標楷體" w:eastAsia="標楷體" w:hAnsi="標楷體"/>
                                      <w:sz w:val="18"/>
                                      <w:szCs w:val="18"/>
                                    </w:rPr>
                                    <w:t>.</w:t>
                                  </w:r>
                                  <w:r w:rsidRPr="00FB07C8">
                                    <w:rPr>
                                      <w:rFonts w:ascii="標楷體" w:eastAsia="標楷體" w:hAnsi="標楷體" w:hint="eastAsia"/>
                                      <w:sz w:val="18"/>
                                      <w:szCs w:val="18"/>
                                    </w:rPr>
                                    <w:t>本表未含國立臺灣大學校園內之租賃站。</w:t>
                                  </w:r>
                                </w:p>
                                <w:p w14:paraId="2C31B3A0" w14:textId="77777777" w:rsidR="00CC5AFC" w:rsidRPr="00933221" w:rsidRDefault="00CC5AFC" w:rsidP="00595036">
                                  <w:pPr>
                                    <w:spacing w:line="240" w:lineRule="exact"/>
                                    <w:ind w:leftChars="130" w:left="582" w:rightChars="-20" w:right="-48" w:hangingChars="150" w:hanging="270"/>
                                    <w:jc w:val="both"/>
                                    <w:rPr>
                                      <w:rFonts w:ascii="標楷體" w:eastAsia="標楷體" w:hAnsi="標楷體"/>
                                      <w:spacing w:val="-4"/>
                                      <w:sz w:val="22"/>
                                    </w:rPr>
                                  </w:pPr>
                                  <w:r w:rsidRPr="00FB07C8">
                                    <w:rPr>
                                      <w:rFonts w:ascii="標楷體" w:eastAsia="標楷體" w:hAnsi="標楷體"/>
                                      <w:sz w:val="18"/>
                                      <w:szCs w:val="18"/>
                                    </w:rPr>
                                    <w:t>2.</w:t>
                                  </w:r>
                                  <w:r w:rsidRPr="00FB07C8">
                                    <w:rPr>
                                      <w:rFonts w:ascii="標楷體" w:eastAsia="標楷體" w:hAnsi="標楷體" w:hint="eastAsia"/>
                                      <w:sz w:val="18"/>
                                      <w:szCs w:val="18"/>
                                    </w:rPr>
                                    <w:t>資料來源：整理自交通局提供資料。</w:t>
                                  </w:r>
                                </w:p>
                              </w:tc>
                            </w:tr>
                          </w:tbl>
                          <w:p w14:paraId="603C2576" w14:textId="77777777" w:rsidR="00CC5AFC" w:rsidRPr="0033673C" w:rsidRDefault="00CC5AFC" w:rsidP="00CC5AFC">
                            <w:pPr>
                              <w:spacing w:line="280" w:lineRule="exact"/>
                              <w:ind w:rightChars="-40" w:right="-96"/>
                              <w:jc w:val="both"/>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59F9D9" id="_x0000_s1084" type="#_x0000_t202" style="position:absolute;left:0;text-align:left;margin-left:244.4pt;margin-top:487.5pt;width:253.5pt;height:282.75pt;z-index:-251554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" stroked="f">
                <v:textbox>
                  <w:txbxContent>
                    <w:tbl>
                      <w:tblPr>
                        <w:tblStyle w:val="64"/>
                        <w:tblW w:w="4975" w:type="dxa"/>
                        <w:jc w:val="center"/>
                        <w:tblLook w:val="04A0" w:firstRow="1" w:lastRow="0" w:firstColumn="1" w:lastColumn="0" w:noHBand="0" w:noVBand="1"/>
                      </w:tblPr>
                      <w:tblGrid>
                        <w:gridCol w:w="571"/>
                        <w:gridCol w:w="3540"/>
                        <w:gridCol w:w="824"/>
                        <w:gridCol w:w="40"/>
                      </w:tblGrid>
                      <w:tr w:rsidR="00CC5AFC" w14:paraId="07C6D8EA" w14:textId="77777777" w:rsidTr="00824CD6">
                        <w:trPr>
                          <w:gridAfter w:val="1"/>
                          <w:wAfter w:w="40" w:type="dxa"/>
                          <w:trHeight w:val="227"/>
                          <w:jc w:val="center"/>
                        </w:trPr>
                        <w:tc>
                          <w:tcPr>
                            <w:tcW w:w="4935" w:type="dxa"/>
                            <w:gridSpan w:val="3"/>
                            <w:tcBorders>
                              <w:top w:val="nil"/>
                              <w:left w:val="nil"/>
                              <w:bottom w:val="nil"/>
                              <w:right w:val="nil"/>
                            </w:tcBorders>
                            <w:shd w:val="clear" w:color="auto" w:fill="auto"/>
                          </w:tcPr>
                          <w:p w14:paraId="30C4C503" w14:textId="77777777" w:rsidR="00CC5AFC" w:rsidRPr="00933221" w:rsidRDefault="00CC5AFC" w:rsidP="00A41E76">
                            <w:pPr>
                              <w:spacing w:line="240" w:lineRule="exact"/>
                              <w:ind w:leftChars="-35" w:left="402" w:rightChars="-43" w:right="-103" w:hangingChars="213" w:hanging="486"/>
                              <w:jc w:val="center"/>
                              <w:rPr>
                                <w:rFonts w:ascii="標楷體" w:eastAsia="標楷體" w:hAnsi="標楷體"/>
                                <w:spacing w:val="-4"/>
                              </w:rPr>
                            </w:pPr>
                            <w:r w:rsidRPr="00933221">
                              <w:rPr>
                                <w:rFonts w:ascii="標楷體" w:eastAsia="標楷體" w:hAnsi="標楷體" w:hint="eastAsia"/>
                                <w:b/>
                                <w:spacing w:val="-6"/>
                              </w:rPr>
                              <w:t>表</w:t>
                            </w:r>
                            <w:r>
                              <w:rPr>
                                <w:rFonts w:ascii="標楷體" w:eastAsia="標楷體" w:hAnsi="標楷體"/>
                                <w:b/>
                                <w:spacing w:val="-6"/>
                              </w:rPr>
                              <w:t>1</w:t>
                            </w:r>
                            <w:r w:rsidRPr="00933221">
                              <w:rPr>
                                <w:rFonts w:ascii="標楷體" w:eastAsia="標楷體" w:hAnsi="標楷體"/>
                                <w:b/>
                                <w:spacing w:val="-6"/>
                              </w:rPr>
                              <w:t xml:space="preserve"> </w:t>
                            </w:r>
                            <w:r>
                              <w:rPr>
                                <w:rFonts w:ascii="標楷體" w:eastAsia="標楷體" w:hAnsi="標楷體"/>
                                <w:b/>
                                <w:spacing w:val="-6"/>
                              </w:rPr>
                              <w:t xml:space="preserve"> </w:t>
                            </w:r>
                            <w:r>
                              <w:rPr>
                                <w:rFonts w:ascii="標楷體" w:eastAsia="標楷體" w:hAnsi="標楷體" w:hint="eastAsia"/>
                                <w:b/>
                                <w:spacing w:val="-6"/>
                              </w:rPr>
                              <w:t>1</w:t>
                            </w:r>
                            <w:r>
                              <w:rPr>
                                <w:rFonts w:ascii="標楷體" w:eastAsia="標楷體" w:hAnsi="標楷體"/>
                                <w:b/>
                                <w:spacing w:val="-6"/>
                              </w:rPr>
                              <w:t>13</w:t>
                            </w:r>
                            <w:r>
                              <w:rPr>
                                <w:rFonts w:ascii="標楷體" w:eastAsia="標楷體" w:hAnsi="標楷體" w:hint="eastAsia"/>
                                <w:b/>
                                <w:spacing w:val="-6"/>
                              </w:rPr>
                              <w:t>年8月平均見車率未達八成之租賃站</w:t>
                            </w:r>
                          </w:p>
                        </w:tc>
                      </w:tr>
                      <w:tr w:rsidR="00CC5AFC" w14:paraId="20F5CC12" w14:textId="77777777" w:rsidTr="00824CD6">
                        <w:trPr>
                          <w:gridAfter w:val="1"/>
                          <w:wAfter w:w="40" w:type="dxa"/>
                          <w:trHeight w:val="227"/>
                          <w:jc w:val="center"/>
                        </w:trPr>
                        <w:tc>
                          <w:tcPr>
                            <w:tcW w:w="4935" w:type="dxa"/>
                            <w:gridSpan w:val="3"/>
                            <w:tcBorders>
                              <w:top w:val="nil"/>
                              <w:left w:val="nil"/>
                              <w:bottom w:val="single" w:sz="4" w:space="0" w:color="auto"/>
                              <w:right w:val="nil"/>
                            </w:tcBorders>
                            <w:shd w:val="clear" w:color="auto" w:fill="auto"/>
                            <w:vAlign w:val="center"/>
                          </w:tcPr>
                          <w:p w14:paraId="727C2DCB" w14:textId="77777777" w:rsidR="00CC5AFC" w:rsidRPr="006D6EB3" w:rsidRDefault="00CC5AFC" w:rsidP="00824CD6">
                            <w:pPr>
                              <w:spacing w:line="220" w:lineRule="exact"/>
                              <w:jc w:val="right"/>
                              <w:rPr>
                                <w:rFonts w:ascii="標楷體" w:eastAsia="標楷體" w:hAnsi="標楷體"/>
                                <w:spacing w:val="-4"/>
                                <w:sz w:val="18"/>
                                <w:szCs w:val="18"/>
                              </w:rPr>
                            </w:pPr>
                            <w:r w:rsidRPr="006D6EB3">
                              <w:rPr>
                                <w:rFonts w:ascii="標楷體" w:eastAsia="標楷體" w:hAnsi="標楷體" w:hint="eastAsia"/>
                                <w:spacing w:val="-4"/>
                                <w:sz w:val="18"/>
                                <w:szCs w:val="18"/>
                              </w:rPr>
                              <w:t>單位</w:t>
                            </w:r>
                            <w:r>
                              <w:rPr>
                                <w:rFonts w:ascii="標楷體" w:eastAsia="標楷體" w:hAnsi="標楷體" w:hint="eastAsia"/>
                                <w:spacing w:val="-4"/>
                                <w:sz w:val="18"/>
                                <w:szCs w:val="18"/>
                              </w:rPr>
                              <w:t>：％</w:t>
                            </w:r>
                          </w:p>
                        </w:tc>
                      </w:tr>
                      <w:tr w:rsidR="00CC5AFC" w14:paraId="47606A8B" w14:textId="77777777" w:rsidTr="00A41E76">
                        <w:trPr>
                          <w:trHeight w:val="340"/>
                          <w:jc w:val="center"/>
                        </w:trPr>
                        <w:tc>
                          <w:tcPr>
                            <w:tcW w:w="571" w:type="dxa"/>
                            <w:tcBorders>
                              <w:top w:val="single" w:sz="4" w:space="0" w:color="auto"/>
                            </w:tcBorders>
                            <w:shd w:val="clear" w:color="auto" w:fill="auto"/>
                            <w:vAlign w:val="center"/>
                          </w:tcPr>
                          <w:p w14:paraId="10A283D1" w14:textId="77777777" w:rsidR="00CC5AFC" w:rsidRPr="00123D86" w:rsidRDefault="00CC5AFC" w:rsidP="00A41E76">
                            <w:pPr>
                              <w:spacing w:line="240" w:lineRule="exact"/>
                              <w:jc w:val="center"/>
                              <w:rPr>
                                <w:rFonts w:ascii="標楷體" w:eastAsia="標楷體" w:hAnsi="標楷體"/>
                                <w:spacing w:val="-4"/>
                                <w:sz w:val="20"/>
                              </w:rPr>
                            </w:pPr>
                            <w:r w:rsidRPr="00123D86">
                              <w:rPr>
                                <w:rFonts w:ascii="標楷體" w:eastAsia="標楷體" w:hAnsi="標楷體" w:hint="eastAsia"/>
                                <w:spacing w:val="-4"/>
                                <w:sz w:val="20"/>
                              </w:rPr>
                              <w:t>項目</w:t>
                            </w:r>
                          </w:p>
                        </w:tc>
                        <w:tc>
                          <w:tcPr>
                            <w:tcW w:w="3540" w:type="dxa"/>
                            <w:tcBorders>
                              <w:top w:val="single" w:sz="4" w:space="0" w:color="auto"/>
                            </w:tcBorders>
                            <w:shd w:val="clear" w:color="auto" w:fill="auto"/>
                            <w:vAlign w:val="center"/>
                          </w:tcPr>
                          <w:p w14:paraId="45A7A205" w14:textId="77777777" w:rsidR="00CC5AFC" w:rsidRPr="00123D86" w:rsidRDefault="00CC5AFC" w:rsidP="00824CD6">
                            <w:pPr>
                              <w:spacing w:line="280" w:lineRule="exact"/>
                              <w:ind w:leftChars="-44" w:left="-106"/>
                              <w:jc w:val="center"/>
                              <w:rPr>
                                <w:rFonts w:ascii="標楷體" w:eastAsia="標楷體" w:hAnsi="標楷體"/>
                                <w:spacing w:val="-4"/>
                                <w:sz w:val="20"/>
                              </w:rPr>
                            </w:pPr>
                            <w:r w:rsidRPr="00123D86">
                              <w:rPr>
                                <w:rFonts w:ascii="標楷體" w:eastAsia="標楷體" w:hAnsi="標楷體" w:hint="eastAsia"/>
                                <w:spacing w:val="-4"/>
                                <w:sz w:val="20"/>
                              </w:rPr>
                              <w:t>站 名</w:t>
                            </w:r>
                          </w:p>
                        </w:tc>
                        <w:tc>
                          <w:tcPr>
                            <w:tcW w:w="864" w:type="dxa"/>
                            <w:gridSpan w:val="2"/>
                            <w:tcBorders>
                              <w:top w:val="single" w:sz="4" w:space="0" w:color="auto"/>
                            </w:tcBorders>
                            <w:shd w:val="clear" w:color="auto" w:fill="auto"/>
                            <w:vAlign w:val="center"/>
                          </w:tcPr>
                          <w:p w14:paraId="4AFF8364" w14:textId="77777777" w:rsidR="00CC5AFC" w:rsidRPr="00123D86" w:rsidRDefault="00CC5AFC" w:rsidP="00824CD6">
                            <w:pPr>
                              <w:spacing w:line="280" w:lineRule="exact"/>
                              <w:ind w:leftChars="-45" w:left="-108" w:rightChars="-46" w:right="-110"/>
                              <w:jc w:val="center"/>
                              <w:rPr>
                                <w:rFonts w:ascii="標楷體" w:eastAsia="標楷體" w:hAnsi="標楷體"/>
                                <w:spacing w:val="-4"/>
                                <w:sz w:val="20"/>
                              </w:rPr>
                            </w:pPr>
                            <w:r w:rsidRPr="00123D86">
                              <w:rPr>
                                <w:rFonts w:ascii="標楷體" w:eastAsia="標楷體" w:hAnsi="標楷體" w:hint="eastAsia"/>
                                <w:spacing w:val="-4"/>
                                <w:sz w:val="20"/>
                              </w:rPr>
                              <w:t>見車率</w:t>
                            </w:r>
                          </w:p>
                        </w:tc>
                      </w:tr>
                      <w:tr w:rsidR="00CC5AFC" w14:paraId="0CDC49E4" w14:textId="77777777" w:rsidTr="00824CD6">
                        <w:trPr>
                          <w:jc w:val="center"/>
                        </w:trPr>
                        <w:tc>
                          <w:tcPr>
                            <w:tcW w:w="571" w:type="dxa"/>
                            <w:vAlign w:val="center"/>
                          </w:tcPr>
                          <w:p w14:paraId="58E440D1" w14:textId="77777777" w:rsidR="00CC5AFC" w:rsidRPr="00123D86" w:rsidRDefault="00CC5AFC" w:rsidP="00824CD6">
                            <w:pPr>
                              <w:spacing w:line="280" w:lineRule="exact"/>
                              <w:jc w:val="center"/>
                              <w:rPr>
                                <w:rFonts w:ascii="標楷體" w:eastAsia="標楷體" w:hAnsi="標楷體"/>
                                <w:spacing w:val="-4"/>
                                <w:sz w:val="20"/>
                              </w:rPr>
                            </w:pPr>
                            <w:r w:rsidRPr="00123D86">
                              <w:rPr>
                                <w:rFonts w:ascii="標楷體" w:eastAsia="標楷體" w:hAnsi="標楷體" w:hint="eastAsia"/>
                                <w:spacing w:val="-4"/>
                                <w:sz w:val="20"/>
                              </w:rPr>
                              <w:t>1</w:t>
                            </w:r>
                          </w:p>
                        </w:tc>
                        <w:tc>
                          <w:tcPr>
                            <w:tcW w:w="3540" w:type="dxa"/>
                          </w:tcPr>
                          <w:p w14:paraId="47978876"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興雅國中</w:t>
                            </w:r>
                          </w:p>
                        </w:tc>
                        <w:tc>
                          <w:tcPr>
                            <w:tcW w:w="864" w:type="dxa"/>
                            <w:gridSpan w:val="2"/>
                            <w:vAlign w:val="center"/>
                          </w:tcPr>
                          <w:p w14:paraId="1B5AFE59"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4.00</w:t>
                            </w:r>
                          </w:p>
                        </w:tc>
                      </w:tr>
                      <w:tr w:rsidR="00CC5AFC" w14:paraId="0211094A" w14:textId="77777777" w:rsidTr="00824CD6">
                        <w:trPr>
                          <w:jc w:val="center"/>
                        </w:trPr>
                        <w:tc>
                          <w:tcPr>
                            <w:tcW w:w="571" w:type="dxa"/>
                            <w:shd w:val="clear" w:color="auto" w:fill="FFFFFF" w:themeFill="background1"/>
                            <w:vAlign w:val="center"/>
                          </w:tcPr>
                          <w:p w14:paraId="7A0B7416" w14:textId="77777777" w:rsidR="00CC5AFC" w:rsidRPr="00623F33" w:rsidRDefault="00CC5AFC" w:rsidP="00824CD6">
                            <w:pPr>
                              <w:spacing w:line="280" w:lineRule="exact"/>
                              <w:jc w:val="center"/>
                              <w:rPr>
                                <w:rFonts w:ascii="標楷體" w:eastAsia="標楷體" w:hAnsi="標楷體"/>
                                <w:spacing w:val="-4"/>
                                <w:sz w:val="20"/>
                              </w:rPr>
                            </w:pPr>
                            <w:r w:rsidRPr="00623F33">
                              <w:rPr>
                                <w:rFonts w:ascii="標楷體" w:eastAsia="標楷體" w:hAnsi="標楷體" w:hint="eastAsia"/>
                                <w:spacing w:val="-4"/>
                                <w:sz w:val="20"/>
                              </w:rPr>
                              <w:t>2</w:t>
                            </w:r>
                          </w:p>
                        </w:tc>
                        <w:tc>
                          <w:tcPr>
                            <w:tcW w:w="3540" w:type="dxa"/>
                            <w:shd w:val="clear" w:color="auto" w:fill="FFFFFF" w:themeFill="background1"/>
                          </w:tcPr>
                          <w:p w14:paraId="24715C0A" w14:textId="77777777" w:rsidR="00CC5AFC" w:rsidRPr="00623F33" w:rsidRDefault="00CC5AFC" w:rsidP="00824CD6">
                            <w:pPr>
                              <w:spacing w:line="280" w:lineRule="exact"/>
                              <w:ind w:leftChars="-40" w:left="-96"/>
                              <w:jc w:val="both"/>
                              <w:rPr>
                                <w:rFonts w:ascii="標楷體" w:eastAsia="標楷體" w:hAnsi="標楷體"/>
                                <w:sz w:val="20"/>
                              </w:rPr>
                            </w:pPr>
                            <w:r w:rsidRPr="00623F33">
                              <w:rPr>
                                <w:rFonts w:ascii="標楷體" w:eastAsia="標楷體" w:hAnsi="標楷體" w:hint="eastAsia"/>
                                <w:sz w:val="20"/>
                              </w:rPr>
                              <w:t>捷運南京三民站（4號出口）</w:t>
                            </w:r>
                          </w:p>
                        </w:tc>
                        <w:tc>
                          <w:tcPr>
                            <w:tcW w:w="864" w:type="dxa"/>
                            <w:gridSpan w:val="2"/>
                            <w:shd w:val="clear" w:color="auto" w:fill="FFFFFF" w:themeFill="background1"/>
                            <w:vAlign w:val="center"/>
                          </w:tcPr>
                          <w:p w14:paraId="2BE4C2C7" w14:textId="77777777" w:rsidR="00CC5AFC" w:rsidRPr="00623F33" w:rsidRDefault="00CC5AFC" w:rsidP="00824CD6">
                            <w:pPr>
                              <w:spacing w:line="280" w:lineRule="exact"/>
                              <w:ind w:leftChars="-40" w:left="-96"/>
                              <w:jc w:val="right"/>
                              <w:rPr>
                                <w:rFonts w:ascii="標楷體" w:eastAsia="標楷體" w:hAnsi="標楷體"/>
                                <w:spacing w:val="-8"/>
                                <w:sz w:val="20"/>
                              </w:rPr>
                            </w:pPr>
                            <w:r w:rsidRPr="00623F33">
                              <w:rPr>
                                <w:rFonts w:ascii="標楷體" w:eastAsia="標楷體" w:hAnsi="標楷體" w:hint="eastAsia"/>
                                <w:spacing w:val="-8"/>
                                <w:sz w:val="20"/>
                              </w:rPr>
                              <w:t>7</w:t>
                            </w:r>
                            <w:r w:rsidRPr="00623F33">
                              <w:rPr>
                                <w:rFonts w:ascii="標楷體" w:eastAsia="標楷體" w:hAnsi="標楷體"/>
                                <w:spacing w:val="-8"/>
                                <w:sz w:val="20"/>
                              </w:rPr>
                              <w:t>4.11</w:t>
                            </w:r>
                          </w:p>
                        </w:tc>
                      </w:tr>
                      <w:tr w:rsidR="00CC5AFC" w14:paraId="477AB1B0" w14:textId="77777777" w:rsidTr="00824CD6">
                        <w:trPr>
                          <w:jc w:val="center"/>
                        </w:trPr>
                        <w:tc>
                          <w:tcPr>
                            <w:tcW w:w="571" w:type="dxa"/>
                            <w:vAlign w:val="center"/>
                          </w:tcPr>
                          <w:p w14:paraId="629E09D0" w14:textId="77777777" w:rsidR="00CC5AFC" w:rsidRPr="00123D86" w:rsidRDefault="00CC5AFC" w:rsidP="00824CD6">
                            <w:pPr>
                              <w:spacing w:line="280" w:lineRule="exact"/>
                              <w:jc w:val="center"/>
                              <w:rPr>
                                <w:rFonts w:ascii="標楷體" w:eastAsia="標楷體" w:hAnsi="標楷體"/>
                                <w:spacing w:val="-4"/>
                                <w:sz w:val="20"/>
                              </w:rPr>
                            </w:pPr>
                            <w:r w:rsidRPr="00123D86">
                              <w:rPr>
                                <w:rFonts w:ascii="標楷體" w:eastAsia="標楷體" w:hAnsi="標楷體" w:hint="eastAsia"/>
                                <w:spacing w:val="-4"/>
                                <w:sz w:val="20"/>
                              </w:rPr>
                              <w:t>3</w:t>
                            </w:r>
                          </w:p>
                        </w:tc>
                        <w:tc>
                          <w:tcPr>
                            <w:tcW w:w="3540" w:type="dxa"/>
                          </w:tcPr>
                          <w:p w14:paraId="63EB57AA"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捷運台北101/世貿站（3號出口）</w:t>
                            </w:r>
                          </w:p>
                        </w:tc>
                        <w:tc>
                          <w:tcPr>
                            <w:tcW w:w="864" w:type="dxa"/>
                            <w:gridSpan w:val="2"/>
                            <w:vAlign w:val="center"/>
                          </w:tcPr>
                          <w:p w14:paraId="568F0333"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6.08</w:t>
                            </w:r>
                          </w:p>
                        </w:tc>
                      </w:tr>
                      <w:tr w:rsidR="00CC5AFC" w14:paraId="41BF13EC" w14:textId="77777777" w:rsidTr="00824CD6">
                        <w:trPr>
                          <w:jc w:val="center"/>
                        </w:trPr>
                        <w:tc>
                          <w:tcPr>
                            <w:tcW w:w="571" w:type="dxa"/>
                            <w:vAlign w:val="center"/>
                          </w:tcPr>
                          <w:p w14:paraId="48FF97EF"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4</w:t>
                            </w:r>
                          </w:p>
                        </w:tc>
                        <w:tc>
                          <w:tcPr>
                            <w:tcW w:w="3540" w:type="dxa"/>
                          </w:tcPr>
                          <w:p w14:paraId="1074945A" w14:textId="77777777" w:rsidR="00CC5AFC" w:rsidRPr="00A44988" w:rsidRDefault="00CC5AFC" w:rsidP="00824CD6">
                            <w:pPr>
                              <w:spacing w:line="280" w:lineRule="exact"/>
                              <w:ind w:leftChars="-40" w:left="-96"/>
                              <w:jc w:val="both"/>
                              <w:rPr>
                                <w:rFonts w:ascii="標楷體" w:eastAsia="標楷體" w:hAnsi="標楷體"/>
                                <w:sz w:val="20"/>
                              </w:rPr>
                            </w:pPr>
                            <w:proofErr w:type="gramStart"/>
                            <w:r w:rsidRPr="00A44988">
                              <w:rPr>
                                <w:rFonts w:ascii="標楷體" w:eastAsia="標楷體" w:hAnsi="標楷體" w:hint="eastAsia"/>
                                <w:sz w:val="20"/>
                              </w:rPr>
                              <w:t>臺</w:t>
                            </w:r>
                            <w:proofErr w:type="gramEnd"/>
                            <w:r w:rsidRPr="00A44988">
                              <w:rPr>
                                <w:rFonts w:ascii="標楷體" w:eastAsia="標楷體" w:hAnsi="標楷體" w:hint="eastAsia"/>
                                <w:sz w:val="20"/>
                              </w:rPr>
                              <w:t>北文化體育園區辦公大樓</w:t>
                            </w:r>
                          </w:p>
                        </w:tc>
                        <w:tc>
                          <w:tcPr>
                            <w:tcW w:w="864" w:type="dxa"/>
                            <w:gridSpan w:val="2"/>
                            <w:vAlign w:val="center"/>
                          </w:tcPr>
                          <w:p w14:paraId="636C0314" w14:textId="77777777" w:rsidR="00CC5AFC" w:rsidRPr="00856C04" w:rsidRDefault="00CC5AFC" w:rsidP="00824CD6">
                            <w:pPr>
                              <w:spacing w:line="280" w:lineRule="exact"/>
                              <w:ind w:leftChars="-40" w:left="-96"/>
                              <w:jc w:val="right"/>
                              <w:rPr>
                                <w:rFonts w:ascii="標楷體" w:eastAsia="標楷體" w:hAnsi="標楷體"/>
                                <w:spacing w:val="-8"/>
                                <w:sz w:val="20"/>
                              </w:rPr>
                            </w:pPr>
                            <w:r w:rsidRPr="00856C04">
                              <w:rPr>
                                <w:rFonts w:ascii="標楷體" w:eastAsia="標楷體" w:hAnsi="標楷體" w:hint="eastAsia"/>
                                <w:spacing w:val="-8"/>
                                <w:sz w:val="20"/>
                              </w:rPr>
                              <w:t>7</w:t>
                            </w:r>
                            <w:r w:rsidRPr="00856C04">
                              <w:rPr>
                                <w:rFonts w:ascii="標楷體" w:eastAsia="標楷體" w:hAnsi="標楷體"/>
                                <w:spacing w:val="-8"/>
                                <w:sz w:val="20"/>
                              </w:rPr>
                              <w:t>7.39</w:t>
                            </w:r>
                          </w:p>
                        </w:tc>
                      </w:tr>
                      <w:tr w:rsidR="00CC5AFC" w14:paraId="19035446" w14:textId="77777777" w:rsidTr="00824CD6">
                        <w:trPr>
                          <w:jc w:val="center"/>
                        </w:trPr>
                        <w:tc>
                          <w:tcPr>
                            <w:tcW w:w="571" w:type="dxa"/>
                            <w:vAlign w:val="center"/>
                          </w:tcPr>
                          <w:p w14:paraId="5A6C0FA9"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5</w:t>
                            </w:r>
                          </w:p>
                        </w:tc>
                        <w:tc>
                          <w:tcPr>
                            <w:tcW w:w="3540" w:type="dxa"/>
                          </w:tcPr>
                          <w:p w14:paraId="7EA1B8CE"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忠孝東路四段49巷口</w:t>
                            </w:r>
                          </w:p>
                        </w:tc>
                        <w:tc>
                          <w:tcPr>
                            <w:tcW w:w="864" w:type="dxa"/>
                            <w:gridSpan w:val="2"/>
                            <w:vAlign w:val="center"/>
                          </w:tcPr>
                          <w:p w14:paraId="1D3BC50D"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7.53</w:t>
                            </w:r>
                          </w:p>
                        </w:tc>
                      </w:tr>
                      <w:tr w:rsidR="00CC5AFC" w14:paraId="2AD04F82" w14:textId="77777777" w:rsidTr="00824CD6">
                        <w:trPr>
                          <w:jc w:val="center"/>
                        </w:trPr>
                        <w:tc>
                          <w:tcPr>
                            <w:tcW w:w="571" w:type="dxa"/>
                            <w:vAlign w:val="center"/>
                          </w:tcPr>
                          <w:p w14:paraId="2FC4BF06"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6</w:t>
                            </w:r>
                          </w:p>
                        </w:tc>
                        <w:tc>
                          <w:tcPr>
                            <w:tcW w:w="3540" w:type="dxa"/>
                          </w:tcPr>
                          <w:p w14:paraId="29E1087F"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松仁路121巷口</w:t>
                            </w:r>
                          </w:p>
                        </w:tc>
                        <w:tc>
                          <w:tcPr>
                            <w:tcW w:w="864" w:type="dxa"/>
                            <w:gridSpan w:val="2"/>
                            <w:vAlign w:val="center"/>
                          </w:tcPr>
                          <w:p w14:paraId="390FB645"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7.53</w:t>
                            </w:r>
                          </w:p>
                        </w:tc>
                      </w:tr>
                      <w:tr w:rsidR="00CC5AFC" w14:paraId="2A2ACD0F" w14:textId="77777777" w:rsidTr="00824CD6">
                        <w:trPr>
                          <w:jc w:val="center"/>
                        </w:trPr>
                        <w:tc>
                          <w:tcPr>
                            <w:tcW w:w="571" w:type="dxa"/>
                            <w:vAlign w:val="center"/>
                          </w:tcPr>
                          <w:p w14:paraId="1486EAEC"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7</w:t>
                            </w:r>
                          </w:p>
                        </w:tc>
                        <w:tc>
                          <w:tcPr>
                            <w:tcW w:w="3540" w:type="dxa"/>
                          </w:tcPr>
                          <w:p w14:paraId="16EF1829"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捷運小南門站（2號出口）</w:t>
                            </w:r>
                          </w:p>
                        </w:tc>
                        <w:tc>
                          <w:tcPr>
                            <w:tcW w:w="864" w:type="dxa"/>
                            <w:gridSpan w:val="2"/>
                            <w:vAlign w:val="center"/>
                          </w:tcPr>
                          <w:p w14:paraId="6D7E87C0"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7.61</w:t>
                            </w:r>
                          </w:p>
                        </w:tc>
                      </w:tr>
                      <w:tr w:rsidR="00CC5AFC" w14:paraId="6A7BA2EA" w14:textId="77777777" w:rsidTr="00824CD6">
                        <w:trPr>
                          <w:jc w:val="center"/>
                        </w:trPr>
                        <w:tc>
                          <w:tcPr>
                            <w:tcW w:w="571" w:type="dxa"/>
                            <w:shd w:val="clear" w:color="auto" w:fill="FFFFFF" w:themeFill="background1"/>
                            <w:vAlign w:val="center"/>
                          </w:tcPr>
                          <w:p w14:paraId="4709791D"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8</w:t>
                            </w:r>
                          </w:p>
                        </w:tc>
                        <w:tc>
                          <w:tcPr>
                            <w:tcW w:w="3540" w:type="dxa"/>
                            <w:shd w:val="clear" w:color="auto" w:fill="FFFFFF" w:themeFill="background1"/>
                          </w:tcPr>
                          <w:p w14:paraId="51781E02" w14:textId="77777777" w:rsidR="00CC5AFC" w:rsidRPr="006E5689" w:rsidRDefault="00CC5AFC" w:rsidP="00824CD6">
                            <w:pPr>
                              <w:spacing w:line="280" w:lineRule="exact"/>
                              <w:ind w:leftChars="-40" w:left="-96"/>
                              <w:jc w:val="both"/>
                              <w:rPr>
                                <w:rFonts w:ascii="標楷體" w:eastAsia="標楷體" w:hAnsi="標楷體"/>
                                <w:sz w:val="20"/>
                              </w:rPr>
                            </w:pPr>
                            <w:r w:rsidRPr="006E5689">
                              <w:rPr>
                                <w:rFonts w:ascii="標楷體" w:eastAsia="標楷體" w:hAnsi="標楷體" w:hint="eastAsia"/>
                                <w:sz w:val="20"/>
                              </w:rPr>
                              <w:t>捷運中正紀念堂站（6號出口）</w:t>
                            </w:r>
                          </w:p>
                        </w:tc>
                        <w:tc>
                          <w:tcPr>
                            <w:tcW w:w="864" w:type="dxa"/>
                            <w:gridSpan w:val="2"/>
                            <w:shd w:val="clear" w:color="auto" w:fill="FFFFFF" w:themeFill="background1"/>
                            <w:vAlign w:val="center"/>
                          </w:tcPr>
                          <w:p w14:paraId="08240FB7"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7.62</w:t>
                            </w:r>
                          </w:p>
                        </w:tc>
                      </w:tr>
                      <w:tr w:rsidR="00CC5AFC" w14:paraId="1C4B0D51" w14:textId="77777777" w:rsidTr="00824CD6">
                        <w:trPr>
                          <w:jc w:val="center"/>
                        </w:trPr>
                        <w:tc>
                          <w:tcPr>
                            <w:tcW w:w="571" w:type="dxa"/>
                            <w:vAlign w:val="center"/>
                          </w:tcPr>
                          <w:p w14:paraId="2425D722"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9</w:t>
                            </w:r>
                          </w:p>
                        </w:tc>
                        <w:tc>
                          <w:tcPr>
                            <w:tcW w:w="3540" w:type="dxa"/>
                          </w:tcPr>
                          <w:p w14:paraId="5ABAEAF2"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松智松壽路口</w:t>
                            </w:r>
                          </w:p>
                        </w:tc>
                        <w:tc>
                          <w:tcPr>
                            <w:tcW w:w="864" w:type="dxa"/>
                            <w:gridSpan w:val="2"/>
                            <w:vAlign w:val="center"/>
                          </w:tcPr>
                          <w:p w14:paraId="4FD43D93"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7.70</w:t>
                            </w:r>
                          </w:p>
                        </w:tc>
                      </w:tr>
                      <w:tr w:rsidR="00CC5AFC" w14:paraId="31391B85" w14:textId="77777777" w:rsidTr="00824CD6">
                        <w:trPr>
                          <w:jc w:val="center"/>
                        </w:trPr>
                        <w:tc>
                          <w:tcPr>
                            <w:tcW w:w="571" w:type="dxa"/>
                            <w:vAlign w:val="center"/>
                          </w:tcPr>
                          <w:p w14:paraId="064A98E6"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1</w:t>
                            </w:r>
                            <w:r>
                              <w:rPr>
                                <w:rFonts w:ascii="標楷體" w:eastAsia="標楷體" w:hAnsi="標楷體"/>
                                <w:spacing w:val="-4"/>
                                <w:sz w:val="20"/>
                              </w:rPr>
                              <w:t>0</w:t>
                            </w:r>
                          </w:p>
                        </w:tc>
                        <w:tc>
                          <w:tcPr>
                            <w:tcW w:w="3540" w:type="dxa"/>
                          </w:tcPr>
                          <w:p w14:paraId="76D85311"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市府松壽路口</w:t>
                            </w:r>
                          </w:p>
                        </w:tc>
                        <w:tc>
                          <w:tcPr>
                            <w:tcW w:w="864" w:type="dxa"/>
                            <w:gridSpan w:val="2"/>
                            <w:vAlign w:val="center"/>
                          </w:tcPr>
                          <w:p w14:paraId="63F7B71F"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7.77</w:t>
                            </w:r>
                          </w:p>
                        </w:tc>
                      </w:tr>
                      <w:tr w:rsidR="00CC5AFC" w14:paraId="08F30A5F" w14:textId="77777777" w:rsidTr="00824CD6">
                        <w:trPr>
                          <w:jc w:val="center"/>
                        </w:trPr>
                        <w:tc>
                          <w:tcPr>
                            <w:tcW w:w="571" w:type="dxa"/>
                            <w:vAlign w:val="center"/>
                          </w:tcPr>
                          <w:p w14:paraId="76E18F6F"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1</w:t>
                            </w:r>
                            <w:r>
                              <w:rPr>
                                <w:rFonts w:ascii="標楷體" w:eastAsia="標楷體" w:hAnsi="標楷體"/>
                                <w:spacing w:val="-4"/>
                                <w:sz w:val="20"/>
                              </w:rPr>
                              <w:t>1</w:t>
                            </w:r>
                          </w:p>
                        </w:tc>
                        <w:tc>
                          <w:tcPr>
                            <w:tcW w:w="3540" w:type="dxa"/>
                          </w:tcPr>
                          <w:p w14:paraId="46489886"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基隆忠孝路口西南側</w:t>
                            </w:r>
                          </w:p>
                        </w:tc>
                        <w:tc>
                          <w:tcPr>
                            <w:tcW w:w="864" w:type="dxa"/>
                            <w:gridSpan w:val="2"/>
                            <w:vAlign w:val="center"/>
                          </w:tcPr>
                          <w:p w14:paraId="6A10289D"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7.94</w:t>
                            </w:r>
                          </w:p>
                        </w:tc>
                      </w:tr>
                      <w:tr w:rsidR="00CC5AFC" w14:paraId="492E9B83" w14:textId="77777777" w:rsidTr="00824CD6">
                        <w:trPr>
                          <w:jc w:val="center"/>
                        </w:trPr>
                        <w:tc>
                          <w:tcPr>
                            <w:tcW w:w="571" w:type="dxa"/>
                            <w:shd w:val="clear" w:color="auto" w:fill="FFFFFF" w:themeFill="background1"/>
                            <w:vAlign w:val="center"/>
                          </w:tcPr>
                          <w:p w14:paraId="6EE1913C"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1</w:t>
                            </w:r>
                            <w:r>
                              <w:rPr>
                                <w:rFonts w:ascii="標楷體" w:eastAsia="標楷體" w:hAnsi="標楷體"/>
                                <w:spacing w:val="-4"/>
                                <w:sz w:val="20"/>
                              </w:rPr>
                              <w:t>2</w:t>
                            </w:r>
                          </w:p>
                        </w:tc>
                        <w:tc>
                          <w:tcPr>
                            <w:tcW w:w="3540" w:type="dxa"/>
                            <w:shd w:val="clear" w:color="auto" w:fill="FFFFFF" w:themeFill="background1"/>
                          </w:tcPr>
                          <w:p w14:paraId="5E8DA9E0"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捷運大安站（4號出口）</w:t>
                            </w:r>
                          </w:p>
                        </w:tc>
                        <w:tc>
                          <w:tcPr>
                            <w:tcW w:w="864" w:type="dxa"/>
                            <w:gridSpan w:val="2"/>
                            <w:shd w:val="clear" w:color="auto" w:fill="FFFFFF" w:themeFill="background1"/>
                            <w:vAlign w:val="center"/>
                          </w:tcPr>
                          <w:p w14:paraId="7BBAD29C"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8.20</w:t>
                            </w:r>
                          </w:p>
                        </w:tc>
                      </w:tr>
                      <w:tr w:rsidR="00CC5AFC" w14:paraId="29FA1956" w14:textId="77777777" w:rsidTr="00824CD6">
                        <w:trPr>
                          <w:jc w:val="center"/>
                        </w:trPr>
                        <w:tc>
                          <w:tcPr>
                            <w:tcW w:w="571" w:type="dxa"/>
                            <w:vAlign w:val="center"/>
                          </w:tcPr>
                          <w:p w14:paraId="1C10DFB6"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1</w:t>
                            </w:r>
                            <w:r>
                              <w:rPr>
                                <w:rFonts w:ascii="標楷體" w:eastAsia="標楷體" w:hAnsi="標楷體"/>
                                <w:spacing w:val="-4"/>
                                <w:sz w:val="20"/>
                              </w:rPr>
                              <w:t>3</w:t>
                            </w:r>
                          </w:p>
                        </w:tc>
                        <w:tc>
                          <w:tcPr>
                            <w:tcW w:w="3540" w:type="dxa"/>
                          </w:tcPr>
                          <w:p w14:paraId="4E630AE7"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捷運公館站（4號出口）</w:t>
                            </w:r>
                          </w:p>
                        </w:tc>
                        <w:tc>
                          <w:tcPr>
                            <w:tcW w:w="864" w:type="dxa"/>
                            <w:gridSpan w:val="2"/>
                            <w:vAlign w:val="center"/>
                          </w:tcPr>
                          <w:p w14:paraId="48A62C30"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9.15</w:t>
                            </w:r>
                          </w:p>
                        </w:tc>
                      </w:tr>
                      <w:tr w:rsidR="00CC5AFC" w14:paraId="70325054" w14:textId="77777777" w:rsidTr="00824CD6">
                        <w:trPr>
                          <w:jc w:val="center"/>
                        </w:trPr>
                        <w:tc>
                          <w:tcPr>
                            <w:tcW w:w="571" w:type="dxa"/>
                            <w:shd w:val="clear" w:color="auto" w:fill="FFFFFF" w:themeFill="background1"/>
                            <w:vAlign w:val="center"/>
                          </w:tcPr>
                          <w:p w14:paraId="7AAAC14B" w14:textId="77777777" w:rsidR="00CC5AFC" w:rsidRPr="00123D86" w:rsidRDefault="00CC5AFC" w:rsidP="00824CD6">
                            <w:pPr>
                              <w:spacing w:line="280" w:lineRule="exact"/>
                              <w:jc w:val="center"/>
                              <w:rPr>
                                <w:rFonts w:ascii="標楷體" w:eastAsia="標楷體" w:hAnsi="標楷體"/>
                                <w:spacing w:val="-4"/>
                                <w:sz w:val="20"/>
                              </w:rPr>
                            </w:pPr>
                            <w:r>
                              <w:rPr>
                                <w:rFonts w:ascii="標楷體" w:eastAsia="標楷體" w:hAnsi="標楷體" w:hint="eastAsia"/>
                                <w:spacing w:val="-4"/>
                                <w:sz w:val="20"/>
                              </w:rPr>
                              <w:t>1</w:t>
                            </w:r>
                            <w:r>
                              <w:rPr>
                                <w:rFonts w:ascii="標楷體" w:eastAsia="標楷體" w:hAnsi="標楷體"/>
                                <w:spacing w:val="-4"/>
                                <w:sz w:val="20"/>
                              </w:rPr>
                              <w:t>4</w:t>
                            </w:r>
                          </w:p>
                        </w:tc>
                        <w:tc>
                          <w:tcPr>
                            <w:tcW w:w="3540" w:type="dxa"/>
                            <w:shd w:val="clear" w:color="auto" w:fill="FFFFFF" w:themeFill="background1"/>
                          </w:tcPr>
                          <w:p w14:paraId="03C65E46" w14:textId="77777777" w:rsidR="00CC5AFC" w:rsidRPr="00A44988" w:rsidRDefault="00CC5AFC" w:rsidP="00824CD6">
                            <w:pPr>
                              <w:spacing w:line="280" w:lineRule="exact"/>
                              <w:ind w:leftChars="-40" w:left="-96"/>
                              <w:jc w:val="both"/>
                              <w:rPr>
                                <w:rFonts w:ascii="標楷體" w:eastAsia="標楷體" w:hAnsi="標楷體"/>
                                <w:sz w:val="20"/>
                              </w:rPr>
                            </w:pPr>
                            <w:r w:rsidRPr="00A44988">
                              <w:rPr>
                                <w:rFonts w:ascii="標楷體" w:eastAsia="標楷體" w:hAnsi="標楷體" w:hint="eastAsia"/>
                                <w:sz w:val="20"/>
                              </w:rPr>
                              <w:t>松江路77巷口</w:t>
                            </w:r>
                          </w:p>
                        </w:tc>
                        <w:tc>
                          <w:tcPr>
                            <w:tcW w:w="864" w:type="dxa"/>
                            <w:gridSpan w:val="2"/>
                            <w:shd w:val="clear" w:color="auto" w:fill="FFFFFF" w:themeFill="background1"/>
                            <w:vAlign w:val="center"/>
                          </w:tcPr>
                          <w:p w14:paraId="6C1B5900" w14:textId="77777777" w:rsidR="00CC5AFC" w:rsidRPr="00123D86" w:rsidRDefault="00CC5AFC" w:rsidP="00824CD6">
                            <w:pPr>
                              <w:spacing w:line="280" w:lineRule="exact"/>
                              <w:ind w:leftChars="-40" w:left="-96"/>
                              <w:jc w:val="right"/>
                              <w:rPr>
                                <w:rFonts w:ascii="標楷體" w:eastAsia="標楷體" w:hAnsi="標楷體"/>
                                <w:spacing w:val="-8"/>
                                <w:sz w:val="20"/>
                              </w:rPr>
                            </w:pPr>
                            <w:r w:rsidRPr="00123D86">
                              <w:rPr>
                                <w:rFonts w:ascii="標楷體" w:eastAsia="標楷體" w:hAnsi="標楷體" w:hint="eastAsia"/>
                                <w:spacing w:val="-8"/>
                                <w:sz w:val="20"/>
                              </w:rPr>
                              <w:t>7</w:t>
                            </w:r>
                            <w:r w:rsidRPr="00123D86">
                              <w:rPr>
                                <w:rFonts w:ascii="標楷體" w:eastAsia="標楷體" w:hAnsi="標楷體"/>
                                <w:spacing w:val="-8"/>
                                <w:sz w:val="20"/>
                              </w:rPr>
                              <w:t>9.94</w:t>
                            </w:r>
                          </w:p>
                        </w:tc>
                      </w:tr>
                      <w:tr w:rsidR="00CC5AFC" w14:paraId="09C4DC17" w14:textId="77777777" w:rsidTr="00824CD6">
                        <w:trPr>
                          <w:gridAfter w:val="1"/>
                          <w:wAfter w:w="40" w:type="dxa"/>
                          <w:trHeight w:val="58"/>
                          <w:jc w:val="center"/>
                        </w:trPr>
                        <w:tc>
                          <w:tcPr>
                            <w:tcW w:w="4935" w:type="dxa"/>
                            <w:gridSpan w:val="3"/>
                            <w:tcBorders>
                              <w:top w:val="single" w:sz="4" w:space="0" w:color="auto"/>
                              <w:left w:val="nil"/>
                              <w:bottom w:val="nil"/>
                              <w:right w:val="nil"/>
                            </w:tcBorders>
                            <w:vAlign w:val="center"/>
                          </w:tcPr>
                          <w:p w14:paraId="5540A61E" w14:textId="77777777" w:rsidR="00CC5AFC" w:rsidRPr="00FB07C8" w:rsidRDefault="00CC5AFC" w:rsidP="00595036">
                            <w:pPr>
                              <w:spacing w:line="240" w:lineRule="exact"/>
                              <w:ind w:leftChars="-18" w:left="497" w:rightChars="-20" w:right="-48" w:hangingChars="300" w:hanging="540"/>
                              <w:jc w:val="both"/>
                              <w:rPr>
                                <w:rFonts w:ascii="標楷體" w:eastAsia="標楷體" w:hAnsi="標楷體"/>
                                <w:sz w:val="18"/>
                                <w:szCs w:val="18"/>
                              </w:rPr>
                            </w:pPr>
                            <w:proofErr w:type="gramStart"/>
                            <w:r w:rsidRPr="00FB07C8">
                              <w:rPr>
                                <w:rFonts w:ascii="標楷體" w:eastAsia="標楷體" w:hAnsi="標楷體" w:hint="eastAsia"/>
                                <w:sz w:val="18"/>
                                <w:szCs w:val="18"/>
                              </w:rPr>
                              <w:t>註</w:t>
                            </w:r>
                            <w:proofErr w:type="gramEnd"/>
                            <w:r w:rsidRPr="00FB07C8">
                              <w:rPr>
                                <w:rFonts w:ascii="標楷體" w:eastAsia="標楷體" w:hAnsi="標楷體" w:hint="eastAsia"/>
                                <w:sz w:val="18"/>
                                <w:szCs w:val="18"/>
                              </w:rPr>
                              <w:t>：1</w:t>
                            </w:r>
                            <w:r w:rsidRPr="00FB07C8">
                              <w:rPr>
                                <w:rFonts w:ascii="標楷體" w:eastAsia="標楷體" w:hAnsi="標楷體"/>
                                <w:sz w:val="18"/>
                                <w:szCs w:val="18"/>
                              </w:rPr>
                              <w:t>.</w:t>
                            </w:r>
                            <w:r w:rsidRPr="00FB07C8">
                              <w:rPr>
                                <w:rFonts w:ascii="標楷體" w:eastAsia="標楷體" w:hAnsi="標楷體" w:hint="eastAsia"/>
                                <w:sz w:val="18"/>
                                <w:szCs w:val="18"/>
                              </w:rPr>
                              <w:t>本表未含國立臺灣大學校園內之租賃站。</w:t>
                            </w:r>
                          </w:p>
                          <w:p w14:paraId="2C31B3A0" w14:textId="77777777" w:rsidR="00CC5AFC" w:rsidRPr="00933221" w:rsidRDefault="00CC5AFC" w:rsidP="00595036">
                            <w:pPr>
                              <w:spacing w:line="240" w:lineRule="exact"/>
                              <w:ind w:leftChars="130" w:left="582" w:rightChars="-20" w:right="-48" w:hangingChars="150" w:hanging="270"/>
                              <w:jc w:val="both"/>
                              <w:rPr>
                                <w:rFonts w:ascii="標楷體" w:eastAsia="標楷體" w:hAnsi="標楷體"/>
                                <w:spacing w:val="-4"/>
                                <w:sz w:val="22"/>
                              </w:rPr>
                            </w:pPr>
                            <w:r w:rsidRPr="00FB07C8">
                              <w:rPr>
                                <w:rFonts w:ascii="標楷體" w:eastAsia="標楷體" w:hAnsi="標楷體"/>
                                <w:sz w:val="18"/>
                                <w:szCs w:val="18"/>
                              </w:rPr>
                              <w:t>2.</w:t>
                            </w:r>
                            <w:r w:rsidRPr="00FB07C8">
                              <w:rPr>
                                <w:rFonts w:ascii="標楷體" w:eastAsia="標楷體" w:hAnsi="標楷體" w:hint="eastAsia"/>
                                <w:sz w:val="18"/>
                                <w:szCs w:val="18"/>
                              </w:rPr>
                              <w:t>資料來源：整理自交通局提供資料。</w:t>
                            </w:r>
                          </w:p>
                        </w:tc>
                      </w:tr>
                    </w:tbl>
                    <w:p w14:paraId="603C2576" w14:textId="77777777" w:rsidR="00CC5AFC" w:rsidRPr="0033673C" w:rsidRDefault="00CC5AFC" w:rsidP="00CC5AFC">
                      <w:pPr>
                        <w:spacing w:line="280" w:lineRule="exact"/>
                        <w:ind w:rightChars="-40" w:right="-96"/>
                        <w:jc w:val="both"/>
                        <w:rPr>
                          <w:rFonts w:ascii="標楷體" w:eastAsia="標楷體" w:hAnsi="標楷體"/>
                          <w:sz w:val="18"/>
                          <w:szCs w:val="18"/>
                        </w:rPr>
                      </w:pPr>
                    </w:p>
                  </w:txbxContent>
                </v:textbox>
                <w10:wrap type="tight" anchorx="margin" anchory="page"/>
              </v:shape>
            </w:pict>
          </mc:Fallback>
        </mc:AlternateContent>
      </w:r>
      <w:r w:rsidR="00CC5AFC" w:rsidRPr="007A01F6">
        <w:rPr>
          <w:rFonts w:ascii="標楷體" w:eastAsia="標楷體" w:hAnsi="標楷體" w:cs="Times New Roman" w:hint="eastAsia"/>
          <w:b/>
          <w:bCs/>
        </w:rPr>
        <w:t>1.部分</w:t>
      </w:r>
      <w:proofErr w:type="gramStart"/>
      <w:r w:rsidR="00CC5AFC" w:rsidRPr="007A01F6">
        <w:rPr>
          <w:rFonts w:ascii="標楷體" w:eastAsia="標楷體" w:hAnsi="標楷體" w:cs="Times New Roman" w:hint="eastAsia"/>
          <w:b/>
          <w:bCs/>
        </w:rPr>
        <w:t>站點見車</w:t>
      </w:r>
      <w:proofErr w:type="gramEnd"/>
      <w:r w:rsidR="00CC5AFC" w:rsidRPr="007A01F6">
        <w:rPr>
          <w:rFonts w:ascii="標楷體" w:eastAsia="標楷體" w:hAnsi="標楷體" w:cs="Times New Roman" w:hint="eastAsia"/>
          <w:b/>
          <w:bCs/>
        </w:rPr>
        <w:t>率</w:t>
      </w:r>
      <w:r w:rsidR="00CC5AFC">
        <w:rPr>
          <w:rFonts w:ascii="標楷體" w:eastAsia="標楷體" w:hAnsi="標楷體" w:cs="Times New Roman" w:hint="eastAsia"/>
          <w:b/>
          <w:bCs/>
        </w:rPr>
        <w:t>仍</w:t>
      </w:r>
      <w:r w:rsidR="00CC5AFC" w:rsidRPr="007A01F6">
        <w:rPr>
          <w:rFonts w:ascii="標楷體" w:eastAsia="標楷體" w:hAnsi="標楷體" w:cs="Times New Roman" w:hint="eastAsia"/>
          <w:b/>
          <w:bCs/>
        </w:rPr>
        <w:t>低，或於交通尖峰時段出現無車可借情形</w:t>
      </w:r>
      <w:r w:rsidR="00CC5AFC">
        <w:rPr>
          <w:rFonts w:ascii="標楷體" w:eastAsia="標楷體" w:hAnsi="標楷體" w:cs="Times New Roman" w:hint="eastAsia"/>
          <w:b/>
          <w:bCs/>
        </w:rPr>
        <w:t>：</w:t>
      </w:r>
      <w:r w:rsidR="00CC5AFC" w:rsidRPr="00E5474A">
        <w:rPr>
          <w:rFonts w:ascii="標楷體" w:eastAsia="標楷體" w:hAnsi="標楷體" w:cs="Times New Roman" w:hint="eastAsia"/>
        </w:rPr>
        <w:t>交通局辦理「臺北市公共自行車租賃系統營運管理（後續擴充）」及「113年臺北市公共自行車租賃系統擴充營運管理委託服務案」等2</w:t>
      </w:r>
      <w:r w:rsidR="00CC5AFC">
        <w:rPr>
          <w:rFonts w:ascii="標楷體" w:eastAsia="標楷體" w:hAnsi="標楷體" w:cs="Times New Roman" w:hint="eastAsia"/>
        </w:rPr>
        <w:t>件採購</w:t>
      </w:r>
      <w:r w:rsidR="00CC5AFC" w:rsidRPr="00E5474A">
        <w:rPr>
          <w:rFonts w:ascii="標楷體" w:eastAsia="標楷體" w:hAnsi="標楷體" w:cs="Times New Roman" w:hint="eastAsia"/>
        </w:rPr>
        <w:t>案</w:t>
      </w:r>
      <w:r w:rsidR="00CC5AFC">
        <w:rPr>
          <w:rFonts w:ascii="標楷體" w:eastAsia="標楷體" w:hAnsi="標楷體" w:cs="Times New Roman" w:hint="eastAsia"/>
        </w:rPr>
        <w:t>，分別於110年3月26日及113年2月2日決標，該2案契約</w:t>
      </w:r>
      <w:r w:rsidR="00CC5AFC" w:rsidRPr="00E5474A">
        <w:rPr>
          <w:rFonts w:ascii="標楷體" w:eastAsia="標楷體" w:hAnsi="標楷體" w:cs="Times New Roman" w:hint="eastAsia"/>
        </w:rPr>
        <w:t>工作執行計畫書第四章營運（管理）計畫</w:t>
      </w:r>
      <w:r w:rsidR="00CC5AFC">
        <w:rPr>
          <w:rFonts w:ascii="標楷體" w:eastAsia="標楷體" w:hAnsi="標楷體" w:cs="Times New Roman" w:hint="eastAsia"/>
        </w:rPr>
        <w:t>規定</w:t>
      </w:r>
      <w:r w:rsidR="00CC5AFC" w:rsidRPr="00E5474A">
        <w:rPr>
          <w:rFonts w:ascii="標楷體" w:eastAsia="標楷體" w:hAnsi="標楷體" w:cs="Times New Roman" w:hint="eastAsia"/>
        </w:rPr>
        <w:t>略</w:t>
      </w:r>
      <w:proofErr w:type="gramStart"/>
      <w:r w:rsidR="00CC5AFC" w:rsidRPr="00E5474A">
        <w:rPr>
          <w:rFonts w:ascii="標楷體" w:eastAsia="標楷體" w:hAnsi="標楷體" w:cs="Times New Roman" w:hint="eastAsia"/>
        </w:rPr>
        <w:t>以</w:t>
      </w:r>
      <w:proofErr w:type="gramEnd"/>
      <w:r w:rsidR="00CC5AFC" w:rsidRPr="00E5474A">
        <w:rPr>
          <w:rFonts w:ascii="標楷體" w:eastAsia="標楷體" w:hAnsi="標楷體" w:cs="Times New Roman" w:hint="eastAsia"/>
        </w:rPr>
        <w:t>，</w:t>
      </w:r>
      <w:r w:rsidR="00CC5AFC">
        <w:rPr>
          <w:rFonts w:ascii="標楷體" w:eastAsia="標楷體" w:hAnsi="標楷體" w:cs="Times New Roman" w:hint="eastAsia"/>
        </w:rPr>
        <w:t>為維持多數時間，各自行車租賃站有足夠車輛、車位可供</w:t>
      </w:r>
      <w:proofErr w:type="gramStart"/>
      <w:r w:rsidR="00CC5AFC">
        <w:rPr>
          <w:rFonts w:ascii="標楷體" w:eastAsia="標楷體" w:hAnsi="標楷體" w:cs="Times New Roman" w:hint="eastAsia"/>
        </w:rPr>
        <w:t>民眾借還</w:t>
      </w:r>
      <w:proofErr w:type="gramEnd"/>
      <w:r w:rsidR="00CC5AFC">
        <w:rPr>
          <w:rFonts w:ascii="標楷體" w:eastAsia="標楷體" w:hAnsi="標楷體" w:cs="Times New Roman" w:hint="eastAsia"/>
        </w:rPr>
        <w:t>，由廠商</w:t>
      </w:r>
      <w:r w:rsidR="00CC5AFC" w:rsidRPr="00A04A96">
        <w:rPr>
          <w:rFonts w:ascii="標楷體" w:eastAsia="標楷體" w:hAnsi="標楷體" w:cs="Times New Roman" w:hint="eastAsia"/>
        </w:rPr>
        <w:t>視場站使用潮汐現象及尖離峰時段，進行自行車輛與人力調整</w:t>
      </w:r>
      <w:r w:rsidR="00CC5AFC">
        <w:rPr>
          <w:rFonts w:ascii="標楷體" w:eastAsia="標楷體" w:hAnsi="標楷體" w:cs="Times New Roman" w:hint="eastAsia"/>
        </w:rPr>
        <w:t>；</w:t>
      </w:r>
      <w:r w:rsidR="00CC5AFC" w:rsidRPr="00E5474A">
        <w:rPr>
          <w:rFonts w:ascii="標楷體" w:eastAsia="標楷體" w:hAnsi="標楷體" w:cs="Times New Roman" w:hint="eastAsia"/>
        </w:rPr>
        <w:t>另</w:t>
      </w:r>
      <w:r w:rsidR="00CC5AFC">
        <w:rPr>
          <w:rFonts w:ascii="標楷體" w:eastAsia="標楷體" w:hAnsi="標楷體" w:cs="Times New Roman" w:hint="eastAsia"/>
        </w:rPr>
        <w:t>臺北市公共自行車調度設有2</w:t>
      </w:r>
      <w:r w:rsidR="00CC5AFC">
        <w:rPr>
          <w:rFonts w:ascii="標楷體" w:eastAsia="標楷體" w:hAnsi="標楷體" w:cs="Times New Roman"/>
        </w:rPr>
        <w:t>4</w:t>
      </w:r>
      <w:r w:rsidR="00CC5AFC">
        <w:rPr>
          <w:rFonts w:ascii="標楷體" w:eastAsia="標楷體" w:hAnsi="標楷體" w:cs="Times New Roman" w:hint="eastAsia"/>
        </w:rPr>
        <w:t>小時3班制，分</w:t>
      </w:r>
      <w:r w:rsidR="00CC5AFC" w:rsidRPr="00E5474A">
        <w:rPr>
          <w:rFonts w:ascii="標楷體" w:eastAsia="標楷體" w:hAnsi="標楷體" w:cs="Times New Roman" w:hint="eastAsia"/>
        </w:rPr>
        <w:t>為早上、下午、晚上</w:t>
      </w:r>
      <w:proofErr w:type="gramStart"/>
      <w:r w:rsidR="00CC5AFC" w:rsidRPr="00E5474A">
        <w:rPr>
          <w:rFonts w:ascii="標楷體" w:eastAsia="標楷體" w:hAnsi="標楷體" w:cs="Times New Roman" w:hint="eastAsia"/>
        </w:rPr>
        <w:t>及大夜等</w:t>
      </w:r>
      <w:proofErr w:type="gramEnd"/>
      <w:r w:rsidR="00CC5AFC" w:rsidRPr="00E5474A">
        <w:rPr>
          <w:rFonts w:ascii="標楷體" w:eastAsia="標楷體" w:hAnsi="標楷體" w:cs="Times New Roman" w:hint="eastAsia"/>
        </w:rPr>
        <w:t>時段，並配合尖峰時間於住宅區、捷運站及交通節點調度車輛。又</w:t>
      </w:r>
      <w:r w:rsidR="00CC5AFC">
        <w:rPr>
          <w:rFonts w:ascii="標楷體" w:eastAsia="標楷體" w:hAnsi="標楷體" w:cs="Times New Roman" w:hint="eastAsia"/>
        </w:rPr>
        <w:t>交通</w:t>
      </w:r>
      <w:r w:rsidR="00CC5AFC" w:rsidRPr="00E5474A">
        <w:rPr>
          <w:rFonts w:ascii="標楷體" w:eastAsia="標楷體" w:hAnsi="標楷體" w:cs="Times New Roman" w:hint="eastAsia"/>
        </w:rPr>
        <w:t>局為優化公共自行車調度措</w:t>
      </w:r>
      <w:r w:rsidR="00CC5AFC" w:rsidRPr="00623F33">
        <w:rPr>
          <w:rFonts w:ascii="標楷體" w:eastAsia="標楷體" w:hAnsi="標楷體" w:cs="Times New Roman" w:hint="eastAsia"/>
          <w:spacing w:val="-2"/>
        </w:rPr>
        <w:t>施，經於112年12月1日邀集營運廠商等召開</w:t>
      </w:r>
      <w:proofErr w:type="spellStart"/>
      <w:r w:rsidR="00CC5AFC" w:rsidRPr="00623F33">
        <w:rPr>
          <w:rFonts w:ascii="標楷體" w:eastAsia="標楷體" w:hAnsi="標楷體" w:cs="Times New Roman" w:hint="eastAsia"/>
          <w:spacing w:val="-2"/>
        </w:rPr>
        <w:t>YouBike</w:t>
      </w:r>
      <w:proofErr w:type="spellEnd"/>
      <w:r w:rsidR="00CC5AFC" w:rsidRPr="00623F33">
        <w:rPr>
          <w:rFonts w:ascii="標楷體" w:eastAsia="標楷體" w:hAnsi="標楷體" w:cs="Times New Roman" w:hint="eastAsia"/>
          <w:spacing w:val="-2"/>
        </w:rPr>
        <w:t>調度精進會議，請廠商</w:t>
      </w:r>
      <w:proofErr w:type="gramStart"/>
      <w:r w:rsidR="00CC5AFC" w:rsidRPr="00623F33">
        <w:rPr>
          <w:rFonts w:ascii="標楷體" w:eastAsia="標楷體" w:hAnsi="標楷體" w:cs="Times New Roman" w:hint="eastAsia"/>
          <w:spacing w:val="-2"/>
        </w:rPr>
        <w:t>針對低見車</w:t>
      </w:r>
      <w:proofErr w:type="gramEnd"/>
      <w:r w:rsidR="00CC5AFC" w:rsidRPr="00623F33">
        <w:rPr>
          <w:rFonts w:ascii="標楷體" w:eastAsia="標楷體" w:hAnsi="標楷體" w:cs="Times New Roman" w:hint="eastAsia"/>
          <w:spacing w:val="-2"/>
        </w:rPr>
        <w:t>率、</w:t>
      </w:r>
      <w:proofErr w:type="gramStart"/>
      <w:r w:rsidR="00CC5AFC" w:rsidRPr="00623F33">
        <w:rPr>
          <w:rFonts w:ascii="標楷體" w:eastAsia="標楷體" w:hAnsi="標楷體" w:cs="Times New Roman" w:hint="eastAsia"/>
          <w:spacing w:val="-2"/>
        </w:rPr>
        <w:t>低調度場站</w:t>
      </w:r>
      <w:proofErr w:type="gramEnd"/>
      <w:r w:rsidR="00CC5AFC" w:rsidRPr="00623F33">
        <w:rPr>
          <w:rFonts w:ascii="標楷體" w:eastAsia="標楷體" w:hAnsi="標楷體" w:cs="Times New Roman" w:hint="eastAsia"/>
          <w:spacing w:val="-2"/>
        </w:rPr>
        <w:t>優先配置及改善，目標全市平均見車率達90.00％。據交通局提供營運廠商113年8月營運資料，臺北市</w:t>
      </w:r>
      <w:proofErr w:type="spellStart"/>
      <w:r w:rsidR="00CC5AFC" w:rsidRPr="00623F33">
        <w:rPr>
          <w:rFonts w:ascii="標楷體" w:eastAsia="標楷體" w:hAnsi="標楷體" w:cs="Times New Roman" w:hint="eastAsia"/>
          <w:spacing w:val="-2"/>
        </w:rPr>
        <w:t>YouBike</w:t>
      </w:r>
      <w:proofErr w:type="spellEnd"/>
      <w:r w:rsidR="00CC5AFC" w:rsidRPr="00623F33">
        <w:rPr>
          <w:rFonts w:ascii="標楷體" w:eastAsia="標楷體" w:hAnsi="標楷體" w:cs="Times New Roman" w:hint="eastAsia"/>
          <w:spacing w:val="-2"/>
        </w:rPr>
        <w:t>租賃站整體見車率為93.03％，惟當月營運中1,443站租賃站，仍有317</w:t>
      </w:r>
      <w:proofErr w:type="gramStart"/>
      <w:r w:rsidR="00CC5AFC" w:rsidRPr="00623F33">
        <w:rPr>
          <w:rFonts w:ascii="標楷體" w:eastAsia="標楷體" w:hAnsi="標楷體" w:cs="Times New Roman" w:hint="eastAsia"/>
          <w:spacing w:val="-2"/>
        </w:rPr>
        <w:t>站見車</w:t>
      </w:r>
      <w:proofErr w:type="gramEnd"/>
      <w:r w:rsidR="00CC5AFC" w:rsidRPr="00623F33">
        <w:rPr>
          <w:rFonts w:ascii="標楷體" w:eastAsia="標楷體" w:hAnsi="標楷體" w:cs="Times New Roman" w:hint="eastAsia"/>
          <w:spacing w:val="-2"/>
        </w:rPr>
        <w:t>率未達</w:t>
      </w:r>
      <w:proofErr w:type="gramStart"/>
      <w:r w:rsidR="00CC5AFC" w:rsidRPr="00623F33">
        <w:rPr>
          <w:rFonts w:ascii="標楷體" w:eastAsia="標楷體" w:hAnsi="標楷體" w:cs="Times New Roman" w:hint="eastAsia"/>
          <w:spacing w:val="-2"/>
        </w:rPr>
        <w:t>9</w:t>
      </w:r>
      <w:r w:rsidR="00966326" w:rsidRPr="00966326">
        <w:rPr>
          <w:rFonts w:ascii="標楷體" w:eastAsia="標楷體" w:hAnsi="標楷體" w:cs="Times New Roman" w:hint="eastAsia"/>
        </w:rPr>
        <w:t>成</w:t>
      </w:r>
      <w:proofErr w:type="gramEnd"/>
      <w:r w:rsidR="00966326" w:rsidRPr="00966326">
        <w:rPr>
          <w:rFonts w:ascii="標楷體" w:eastAsia="標楷體" w:hAnsi="標楷體" w:cs="Times New Roman" w:hint="eastAsia"/>
        </w:rPr>
        <w:t>，占整體比率約21.97％，且經排除學生租還車頻率較多之校園租賃站後，計有位於市區內捷</w:t>
      </w:r>
      <w:r w:rsidR="00CC5AFC" w:rsidRPr="00623F33">
        <w:rPr>
          <w:rFonts w:ascii="標楷體" w:eastAsia="標楷體" w:hAnsi="標楷體" w:cs="Times New Roman" w:hint="eastAsia"/>
          <w:spacing w:val="-2"/>
        </w:rPr>
        <w:t>運站出口、或人潮密集區等1</w:t>
      </w:r>
      <w:r w:rsidR="00CC5AFC" w:rsidRPr="00623F33">
        <w:rPr>
          <w:rFonts w:ascii="標楷體" w:eastAsia="標楷體" w:hAnsi="標楷體" w:cs="Times New Roman"/>
          <w:spacing w:val="-2"/>
        </w:rPr>
        <w:t>4</w:t>
      </w:r>
      <w:r w:rsidR="00CC5AFC" w:rsidRPr="00623F33">
        <w:rPr>
          <w:rFonts w:ascii="標楷體" w:eastAsia="標楷體" w:hAnsi="標楷體" w:cs="Times New Roman" w:hint="eastAsia"/>
          <w:spacing w:val="-2"/>
        </w:rPr>
        <w:t>站平均見車率僅74.00％至79.94％（表1）；另113年8月上午7至9時及下午5至7時等</w:t>
      </w:r>
      <w:r w:rsidR="00CC5AFC" w:rsidRPr="00595036">
        <w:rPr>
          <w:rFonts w:ascii="標楷體" w:eastAsia="標楷體" w:hAnsi="標楷體" w:cs="Times New Roman" w:hint="eastAsia"/>
        </w:rPr>
        <w:t>2個交通尖峰時段平均見車</w:t>
      </w:r>
      <w:proofErr w:type="gramStart"/>
      <w:r w:rsidR="00CC5AFC" w:rsidRPr="00595036">
        <w:rPr>
          <w:rFonts w:ascii="標楷體" w:eastAsia="標楷體" w:hAnsi="標楷體" w:cs="Times New Roman" w:hint="eastAsia"/>
        </w:rPr>
        <w:t>率均未達9成</w:t>
      </w:r>
      <w:proofErr w:type="gramEnd"/>
      <w:r w:rsidR="00CC5AFC" w:rsidRPr="00595036">
        <w:rPr>
          <w:rFonts w:ascii="標楷體" w:eastAsia="標楷體" w:hAnsi="標楷體" w:cs="Times New Roman" w:hint="eastAsia"/>
        </w:rPr>
        <w:t>者，</w:t>
      </w:r>
    </w:p>
    <w:p w14:paraId="137B6862" w14:textId="059575D0" w:rsidR="00CC5AFC" w:rsidRPr="00595036" w:rsidRDefault="00CC5AFC" w:rsidP="00595036">
      <w:pPr>
        <w:overflowPunct w:val="0"/>
        <w:spacing w:line="420" w:lineRule="exact"/>
        <w:jc w:val="both"/>
        <w:rPr>
          <w:rFonts w:ascii="標楷體" w:eastAsia="標楷體" w:hAnsi="標楷體" w:cs="Times New Roman"/>
        </w:rPr>
      </w:pPr>
      <w:r w:rsidRPr="00595036">
        <w:rPr>
          <w:rFonts w:ascii="標楷體" w:eastAsia="標楷體" w:hAnsi="標楷體" w:cs="Times New Roman" w:hint="eastAsia"/>
        </w:rPr>
        <w:lastRenderedPageBreak/>
        <w:t>計有「仁愛路四段512巷」等63站，平均見車率僅介於59.86％至89.82％間，顯示部分租賃站尚有未能及時配置與調度可供租借之自行車輛等情事，經函請</w:t>
      </w:r>
      <w:proofErr w:type="gramStart"/>
      <w:r w:rsidRPr="00595036">
        <w:rPr>
          <w:rFonts w:ascii="標楷體" w:eastAsia="標楷體" w:hAnsi="標楷體" w:cs="Times New Roman" w:hint="eastAsia"/>
        </w:rPr>
        <w:t>研</w:t>
      </w:r>
      <w:proofErr w:type="gramEnd"/>
      <w:r w:rsidRPr="00595036">
        <w:rPr>
          <w:rFonts w:ascii="標楷體" w:eastAsia="標楷體" w:hAnsi="標楷體" w:cs="Times New Roman" w:hint="eastAsia"/>
        </w:rPr>
        <w:t>謀改善。據復：已要求廠商針對見車率仍低之站點進行分析，廠商</w:t>
      </w:r>
      <w:proofErr w:type="gramStart"/>
      <w:r w:rsidRPr="00595036">
        <w:rPr>
          <w:rFonts w:ascii="標楷體" w:eastAsia="標楷體" w:hAnsi="標楷體" w:cs="Times New Roman" w:hint="eastAsia"/>
        </w:rPr>
        <w:t>業依站點</w:t>
      </w:r>
      <w:proofErr w:type="gramEnd"/>
      <w:r w:rsidRPr="00595036">
        <w:rPr>
          <w:rFonts w:ascii="標楷體" w:eastAsia="標楷體" w:hAnsi="標楷體" w:cs="Times New Roman" w:hint="eastAsia"/>
        </w:rPr>
        <w:t>特性訂定車輛調度計畫；另為降低交通尖峰時段無車可借及無位可還情形，已請廠商增補調度人力，並優化調度作業執行。</w:t>
      </w:r>
    </w:p>
    <w:p w14:paraId="00604695" w14:textId="77777777" w:rsidR="00CC5AFC" w:rsidRDefault="00CC5AFC" w:rsidP="004654B1">
      <w:pPr>
        <w:overflowPunct w:val="0"/>
        <w:spacing w:line="440" w:lineRule="exact"/>
        <w:ind w:firstLineChars="200" w:firstLine="480"/>
        <w:jc w:val="both"/>
        <w:rPr>
          <w:rFonts w:ascii="標楷體" w:eastAsia="標楷體" w:hAnsi="標楷體" w:cs="Times New Roman"/>
          <w:spacing w:val="-2"/>
        </w:rPr>
      </w:pPr>
      <w:r w:rsidRPr="00206B51">
        <w:rPr>
          <w:rFonts w:ascii="標楷體" w:eastAsia="標楷體" w:hAnsi="標楷體" w:hint="eastAsia"/>
          <w:noProof/>
        </w:rPr>
        <mc:AlternateContent>
          <mc:Choice Requires="wps">
            <w:drawing>
              <wp:anchor distT="45720" distB="45720" distL="114300" distR="114300" simplePos="0" relativeHeight="251760640" behindDoc="1" locked="0" layoutInCell="1" allowOverlap="1" wp14:anchorId="6FC1F9AA" wp14:editId="072ABE00">
                <wp:simplePos x="0" y="0"/>
                <wp:positionH relativeFrom="margin">
                  <wp:posOffset>2237105</wp:posOffset>
                </wp:positionH>
                <wp:positionV relativeFrom="page">
                  <wp:posOffset>4286250</wp:posOffset>
                </wp:positionV>
                <wp:extent cx="4184650" cy="1790700"/>
                <wp:effectExtent l="0" t="0" r="6350" b="0"/>
                <wp:wrapTight wrapText="bothSides">
                  <wp:wrapPolygon edited="0">
                    <wp:start x="0" y="0"/>
                    <wp:lineTo x="0" y="21370"/>
                    <wp:lineTo x="21534" y="21370"/>
                    <wp:lineTo x="21534" y="0"/>
                    <wp:lineTo x="0" y="0"/>
                  </wp:wrapPolygon>
                </wp:wrapTight>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4650" cy="1790700"/>
                        </a:xfrm>
                        <a:prstGeom prst="rect">
                          <a:avLst/>
                        </a:prstGeom>
                        <a:solidFill>
                          <a:srgbClr val="FFFFFF"/>
                        </a:solidFill>
                        <a:ln w="9525">
                          <a:noFill/>
                          <a:miter lim="800000"/>
                          <a:headEnd/>
                          <a:tailEnd/>
                        </a:ln>
                      </wps:spPr>
                      <wps:txbx>
                        <w:txbxContent>
                          <w:p w14:paraId="11242D78" w14:textId="77777777" w:rsidR="00CC5AFC" w:rsidRDefault="00CC5AFC" w:rsidP="009900E9">
                            <w:pPr>
                              <w:spacing w:line="240" w:lineRule="exact"/>
                              <w:jc w:val="center"/>
                              <w:rPr>
                                <w:rFonts w:ascii="標楷體" w:eastAsia="標楷體" w:hAnsi="標楷體"/>
                                <w:b/>
                                <w:szCs w:val="24"/>
                              </w:rPr>
                            </w:pPr>
                            <w:r>
                              <w:rPr>
                                <w:rFonts w:ascii="標楷體" w:eastAsia="標楷體" w:hAnsi="標楷體" w:hint="eastAsia"/>
                                <w:b/>
                                <w:szCs w:val="24"/>
                              </w:rPr>
                              <w:t>表</w:t>
                            </w:r>
                            <w:r>
                              <w:rPr>
                                <w:rFonts w:ascii="標楷體" w:eastAsia="標楷體" w:hAnsi="標楷體"/>
                                <w:b/>
                                <w:szCs w:val="24"/>
                              </w:rPr>
                              <w:t>2</w:t>
                            </w:r>
                            <w:r>
                              <w:rPr>
                                <w:rFonts w:ascii="標楷體" w:eastAsia="標楷體" w:hAnsi="標楷體" w:hint="eastAsia"/>
                                <w:b/>
                                <w:szCs w:val="24"/>
                              </w:rPr>
                              <w:t xml:space="preserve"> </w:t>
                            </w:r>
                            <w:r>
                              <w:rPr>
                                <w:rFonts w:ascii="標楷體" w:eastAsia="標楷體" w:hAnsi="標楷體"/>
                                <w:b/>
                                <w:szCs w:val="24"/>
                              </w:rPr>
                              <w:t xml:space="preserve"> </w:t>
                            </w:r>
                            <w:r>
                              <w:rPr>
                                <w:rFonts w:ascii="標楷體" w:eastAsia="標楷體" w:hAnsi="標楷體" w:hint="eastAsia"/>
                                <w:b/>
                                <w:szCs w:val="24"/>
                              </w:rPr>
                              <w:t>113年9月份民眾投保傷害險情形</w:t>
                            </w:r>
                          </w:p>
                          <w:p w14:paraId="33F111F6" w14:textId="77777777" w:rsidR="00CC5AFC" w:rsidRDefault="00CC5AFC" w:rsidP="00CC5AFC">
                            <w:pPr>
                              <w:spacing w:line="240" w:lineRule="exact"/>
                              <w:jc w:val="right"/>
                              <w:rPr>
                                <w:rFonts w:ascii="標楷體" w:eastAsia="標楷體" w:hAnsi="標楷體"/>
                                <w:sz w:val="20"/>
                                <w:szCs w:val="24"/>
                              </w:rPr>
                            </w:pPr>
                            <w:r>
                              <w:rPr>
                                <w:rFonts w:ascii="標楷體" w:eastAsia="標楷體" w:hAnsi="標楷體" w:hint="eastAsia"/>
                                <w:sz w:val="20"/>
                                <w:szCs w:val="24"/>
                              </w:rPr>
                              <w:t>單位：次、％</w:t>
                            </w:r>
                          </w:p>
                          <w:tbl>
                            <w:tblPr>
                              <w:tblStyle w:val="21"/>
                              <w:tblW w:w="6232" w:type="dxa"/>
                              <w:tblInd w:w="0" w:type="dxa"/>
                              <w:tblLayout w:type="fixed"/>
                              <w:tblLook w:val="04A0" w:firstRow="1" w:lastRow="0" w:firstColumn="1" w:lastColumn="0" w:noHBand="0" w:noVBand="1"/>
                            </w:tblPr>
                            <w:tblGrid>
                              <w:gridCol w:w="1413"/>
                              <w:gridCol w:w="1118"/>
                              <w:gridCol w:w="1118"/>
                              <w:gridCol w:w="1449"/>
                              <w:gridCol w:w="1134"/>
                            </w:tblGrid>
                            <w:tr w:rsidR="00CC5AFC" w14:paraId="03988510" w14:textId="77777777" w:rsidTr="009900E9">
                              <w:trPr>
                                <w:trHeight w:val="510"/>
                              </w:trPr>
                              <w:tc>
                                <w:tcPr>
                                  <w:tcW w:w="2531"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4ADB24" w14:textId="77777777" w:rsidR="00CC5AFC" w:rsidRDefault="00CC5AFC">
                                  <w:pPr>
                                    <w:spacing w:line="240" w:lineRule="exact"/>
                                    <w:jc w:val="center"/>
                                    <w:rPr>
                                      <w:rFonts w:ascii="標楷體" w:eastAsia="標楷體" w:hAnsi="標楷體"/>
                                    </w:rPr>
                                  </w:pPr>
                                  <w:r>
                                    <w:rPr>
                                      <w:rFonts w:ascii="標楷體" w:eastAsia="標楷體" w:hAnsi="標楷體" w:hint="eastAsia"/>
                                    </w:rPr>
                                    <w:t>借用人(車)次</w:t>
                                  </w:r>
                                </w:p>
                                <w:p w14:paraId="4CC5C693" w14:textId="77777777" w:rsidR="00CC5AFC" w:rsidRDefault="00CC5AFC">
                                  <w:pPr>
                                    <w:spacing w:line="240" w:lineRule="exact"/>
                                    <w:jc w:val="center"/>
                                    <w:rPr>
                                      <w:rFonts w:ascii="標楷體" w:eastAsia="標楷體" w:hAnsi="標楷體"/>
                                    </w:rPr>
                                  </w:pPr>
                                  <w:r>
                                    <w:rPr>
                                      <w:rFonts w:ascii="標楷體" w:eastAsia="標楷體" w:hAnsi="標楷體" w:hint="eastAsia"/>
                                    </w:rPr>
                                    <w:t>(A)</w:t>
                                  </w:r>
                                </w:p>
                              </w:tc>
                              <w:tc>
                                <w:tcPr>
                                  <w:tcW w:w="11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5FCEB7" w14:textId="77777777" w:rsidR="00CC5AFC" w:rsidRDefault="00CC5AFC">
                                  <w:pPr>
                                    <w:spacing w:line="240" w:lineRule="exact"/>
                                    <w:jc w:val="center"/>
                                    <w:rPr>
                                      <w:rFonts w:ascii="標楷體" w:eastAsia="標楷體" w:hAnsi="標楷體"/>
                                    </w:rPr>
                                  </w:pPr>
                                  <w:r>
                                    <w:rPr>
                                      <w:rFonts w:ascii="標楷體" w:eastAsia="標楷體" w:hAnsi="標楷體" w:hint="eastAsia"/>
                                    </w:rPr>
                                    <w:t>投保騎乘次數(B)</w:t>
                                  </w:r>
                                </w:p>
                              </w:tc>
                              <w:tc>
                                <w:tcPr>
                                  <w:tcW w:w="144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8A301A" w14:textId="77777777" w:rsidR="00CC5AFC" w:rsidRDefault="00CC5AFC" w:rsidP="00824CD6">
                                  <w:pPr>
                                    <w:spacing w:line="240" w:lineRule="exact"/>
                                    <w:ind w:leftChars="-44" w:left="-106" w:rightChars="-47" w:right="-113"/>
                                    <w:jc w:val="center"/>
                                    <w:rPr>
                                      <w:rFonts w:ascii="標楷體" w:eastAsia="標楷體" w:hAnsi="標楷體"/>
                                    </w:rPr>
                                  </w:pPr>
                                  <w:r>
                                    <w:rPr>
                                      <w:rFonts w:ascii="標楷體" w:eastAsia="標楷體" w:hAnsi="標楷體" w:hint="eastAsia"/>
                                    </w:rPr>
                                    <w:t>未投保騎乘次數</w:t>
                                  </w:r>
                                </w:p>
                                <w:p w14:paraId="58642551" w14:textId="77777777" w:rsidR="00CC5AFC" w:rsidRDefault="00CC5AFC">
                                  <w:pPr>
                                    <w:spacing w:line="240" w:lineRule="exact"/>
                                    <w:jc w:val="center"/>
                                    <w:rPr>
                                      <w:rFonts w:ascii="標楷體" w:eastAsia="標楷體" w:hAnsi="標楷體"/>
                                    </w:rPr>
                                  </w:pPr>
                                  <w:r>
                                    <w:rPr>
                                      <w:rFonts w:ascii="標楷體" w:eastAsia="標楷體" w:hAnsi="標楷體" w:hint="eastAsia"/>
                                    </w:rPr>
                                    <w:t>(C=A-B)</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88665" w14:textId="77777777" w:rsidR="00CC5AFC" w:rsidRDefault="00CC5AFC">
                                  <w:pPr>
                                    <w:spacing w:line="240" w:lineRule="exact"/>
                                    <w:jc w:val="center"/>
                                    <w:rPr>
                                      <w:rFonts w:ascii="標楷體" w:eastAsia="標楷體" w:hAnsi="標楷體"/>
                                    </w:rPr>
                                  </w:pPr>
                                  <w:r>
                                    <w:rPr>
                                      <w:rFonts w:ascii="標楷體" w:eastAsia="標楷體" w:hAnsi="標楷體" w:hint="eastAsia"/>
                                    </w:rPr>
                                    <w:t>投保率</w:t>
                                  </w:r>
                                </w:p>
                                <w:p w14:paraId="1D488EBC" w14:textId="79D8873A" w:rsidR="00CC5AFC" w:rsidRDefault="00CC5AFC">
                                  <w:pPr>
                                    <w:spacing w:line="240" w:lineRule="exact"/>
                                    <w:jc w:val="center"/>
                                    <w:rPr>
                                      <w:rFonts w:ascii="標楷體" w:eastAsia="標楷體" w:hAnsi="標楷體"/>
                                      <w:spacing w:val="-14"/>
                                    </w:rPr>
                                  </w:pPr>
                                  <w:r>
                                    <w:rPr>
                                      <w:rFonts w:ascii="標楷體" w:eastAsia="標楷體" w:hAnsi="標楷體" w:hint="eastAsia"/>
                                    </w:rPr>
                                    <w:t>(B/A</w:t>
                                  </w:r>
                                  <w:r w:rsidR="005A4859" w:rsidRPr="005A4859">
                                    <w:rPr>
                                      <w:rFonts w:ascii="標楷體" w:eastAsia="標楷體" w:hAnsi="標楷體" w:hint="eastAsia"/>
                                    </w:rPr>
                                    <w:t>×</w:t>
                                  </w:r>
                                  <w:r>
                                    <w:rPr>
                                      <w:rFonts w:ascii="標楷體" w:eastAsia="標楷體" w:hAnsi="標楷體" w:hint="eastAsia"/>
                                    </w:rPr>
                                    <w:t>100)</w:t>
                                  </w:r>
                                </w:p>
                              </w:tc>
                            </w:tr>
                            <w:tr w:rsidR="00CC5AFC" w14:paraId="71D167F5" w14:textId="77777777" w:rsidTr="00824CD6">
                              <w:trPr>
                                <w:trHeight w:val="340"/>
                              </w:trPr>
                              <w:tc>
                                <w:tcPr>
                                  <w:tcW w:w="1413" w:type="dxa"/>
                                  <w:tcBorders>
                                    <w:top w:val="single" w:sz="4" w:space="0" w:color="auto"/>
                                    <w:left w:val="single" w:sz="4" w:space="0" w:color="auto"/>
                                    <w:bottom w:val="single" w:sz="4" w:space="0" w:color="auto"/>
                                    <w:right w:val="single" w:sz="4" w:space="0" w:color="auto"/>
                                  </w:tcBorders>
                                  <w:vAlign w:val="center"/>
                                  <w:hideMark/>
                                </w:tcPr>
                                <w:p w14:paraId="0D356439" w14:textId="245E43C1" w:rsidR="00CC5AFC" w:rsidRDefault="00CC5AFC" w:rsidP="00824CD6">
                                  <w:pPr>
                                    <w:spacing w:line="240" w:lineRule="exact"/>
                                    <w:jc w:val="center"/>
                                    <w:rPr>
                                      <w:rFonts w:ascii="標楷體" w:eastAsia="標楷體" w:hAnsi="標楷體"/>
                                      <w:b/>
                                    </w:rPr>
                                  </w:pPr>
                                  <w:r>
                                    <w:rPr>
                                      <w:rFonts w:ascii="標楷體" w:eastAsia="標楷體" w:hAnsi="標楷體" w:hint="eastAsia"/>
                                      <w:b/>
                                    </w:rPr>
                                    <w:t xml:space="preserve">合 </w:t>
                                  </w:r>
                                  <w:r w:rsidR="009900E9">
                                    <w:rPr>
                                      <w:rFonts w:ascii="標楷體" w:eastAsia="標楷體" w:hAnsi="標楷體"/>
                                      <w:b/>
                                    </w:rPr>
                                    <w:t xml:space="preserve">   </w:t>
                                  </w:r>
                                  <w:r>
                                    <w:rPr>
                                      <w:rFonts w:ascii="標楷體" w:eastAsia="標楷體" w:hAnsi="標楷體" w:hint="eastAsia"/>
                                      <w:b/>
                                    </w:rPr>
                                    <w:t>計</w:t>
                                  </w:r>
                                </w:p>
                              </w:tc>
                              <w:tc>
                                <w:tcPr>
                                  <w:tcW w:w="1118" w:type="dxa"/>
                                  <w:tcBorders>
                                    <w:top w:val="single" w:sz="4" w:space="0" w:color="auto"/>
                                    <w:left w:val="single" w:sz="4" w:space="0" w:color="auto"/>
                                    <w:bottom w:val="single" w:sz="4" w:space="0" w:color="auto"/>
                                    <w:right w:val="single" w:sz="4" w:space="0" w:color="auto"/>
                                  </w:tcBorders>
                                  <w:vAlign w:val="center"/>
                                  <w:hideMark/>
                                </w:tcPr>
                                <w:p w14:paraId="54529507" w14:textId="77777777" w:rsidR="00CC5AFC" w:rsidRDefault="00CC5AFC" w:rsidP="00824CD6">
                                  <w:pPr>
                                    <w:spacing w:line="240" w:lineRule="exact"/>
                                    <w:jc w:val="right"/>
                                    <w:rPr>
                                      <w:rFonts w:ascii="標楷體" w:eastAsia="標楷體" w:hAnsi="標楷體"/>
                                      <w:b/>
                                    </w:rPr>
                                  </w:pPr>
                                  <w:r>
                                    <w:rPr>
                                      <w:rFonts w:ascii="標楷體" w:eastAsia="標楷體" w:hAnsi="標楷體" w:hint="eastAsia"/>
                                      <w:b/>
                                    </w:rPr>
                                    <w:t>6,131,223</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2C21D4" w14:textId="77777777" w:rsidR="00CC5AFC" w:rsidRDefault="00CC5AFC" w:rsidP="00824CD6">
                                  <w:pPr>
                                    <w:spacing w:line="240" w:lineRule="exact"/>
                                    <w:jc w:val="right"/>
                                    <w:rPr>
                                      <w:rFonts w:ascii="標楷體" w:eastAsia="標楷體" w:hAnsi="標楷體"/>
                                      <w:b/>
                                    </w:rPr>
                                  </w:pPr>
                                  <w:r>
                                    <w:rPr>
                                      <w:rFonts w:ascii="標楷體" w:eastAsia="標楷體" w:hAnsi="標楷體" w:hint="eastAsia"/>
                                      <w:b/>
                                    </w:rPr>
                                    <w:t>5,194,865</w:t>
                                  </w:r>
                                </w:p>
                              </w:tc>
                              <w:tc>
                                <w:tcPr>
                                  <w:tcW w:w="1449" w:type="dxa"/>
                                  <w:tcBorders>
                                    <w:top w:val="single" w:sz="4" w:space="0" w:color="auto"/>
                                    <w:left w:val="single" w:sz="4" w:space="0" w:color="auto"/>
                                    <w:bottom w:val="single" w:sz="4" w:space="0" w:color="auto"/>
                                    <w:right w:val="single" w:sz="4" w:space="0" w:color="auto"/>
                                  </w:tcBorders>
                                  <w:vAlign w:val="center"/>
                                  <w:hideMark/>
                                </w:tcPr>
                                <w:p w14:paraId="5B1ABE9F" w14:textId="77777777" w:rsidR="00CC5AFC" w:rsidRDefault="00CC5AFC" w:rsidP="00824CD6">
                                  <w:pPr>
                                    <w:spacing w:line="240" w:lineRule="exact"/>
                                    <w:jc w:val="right"/>
                                    <w:rPr>
                                      <w:rFonts w:ascii="標楷體" w:eastAsia="標楷體" w:hAnsi="標楷體"/>
                                      <w:b/>
                                    </w:rPr>
                                  </w:pPr>
                                  <w:r>
                                    <w:rPr>
                                      <w:rFonts w:ascii="標楷體" w:eastAsia="標楷體" w:hAnsi="標楷體" w:hint="eastAsia"/>
                                      <w:b/>
                                    </w:rPr>
                                    <w:t>936,358</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C0FB64D" w14:textId="77777777" w:rsidR="00CC5AFC" w:rsidRDefault="00CC5AFC">
                                  <w:pPr>
                                    <w:spacing w:line="240" w:lineRule="exact"/>
                                    <w:jc w:val="center"/>
                                    <w:rPr>
                                      <w:rFonts w:ascii="標楷體" w:eastAsia="標楷體" w:hAnsi="標楷體"/>
                                    </w:rPr>
                                  </w:pPr>
                                  <w:r>
                                    <w:rPr>
                                      <w:rFonts w:ascii="標楷體" w:eastAsia="標楷體" w:hAnsi="標楷體" w:hint="eastAsia"/>
                                    </w:rPr>
                                    <w:t>84.73</w:t>
                                  </w:r>
                                </w:p>
                              </w:tc>
                            </w:tr>
                            <w:tr w:rsidR="00CC5AFC" w14:paraId="5B7B97CA" w14:textId="77777777" w:rsidTr="00824CD6">
                              <w:trPr>
                                <w:trHeight w:val="340"/>
                              </w:trPr>
                              <w:tc>
                                <w:tcPr>
                                  <w:tcW w:w="1413" w:type="dxa"/>
                                  <w:tcBorders>
                                    <w:top w:val="single" w:sz="4" w:space="0" w:color="auto"/>
                                    <w:left w:val="single" w:sz="4" w:space="0" w:color="auto"/>
                                    <w:bottom w:val="single" w:sz="4" w:space="0" w:color="auto"/>
                                    <w:right w:val="single" w:sz="4" w:space="0" w:color="auto"/>
                                  </w:tcBorders>
                                  <w:vAlign w:val="center"/>
                                  <w:hideMark/>
                                </w:tcPr>
                                <w:p w14:paraId="098E26DB" w14:textId="77777777" w:rsidR="00CC5AFC" w:rsidRPr="00901091" w:rsidRDefault="00CC5AFC" w:rsidP="00824CD6">
                                  <w:pPr>
                                    <w:spacing w:line="240" w:lineRule="exact"/>
                                    <w:jc w:val="center"/>
                                    <w:rPr>
                                      <w:rFonts w:ascii="標楷體" w:eastAsia="標楷體" w:hAnsi="標楷體"/>
                                    </w:rPr>
                                  </w:pPr>
                                  <w:r w:rsidRPr="00901091">
                                    <w:rPr>
                                      <w:rFonts w:ascii="標楷體" w:eastAsia="標楷體" w:hAnsi="標楷體" w:hint="eastAsia"/>
                                    </w:rPr>
                                    <w:t>靠卡租借</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D7554FC"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color w:val="000000"/>
                                    </w:rPr>
                                    <w:t>5,509,484</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094A0E95"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rPr>
                                    <w:t>5,194,865</w:t>
                                  </w:r>
                                </w:p>
                              </w:tc>
                              <w:tc>
                                <w:tcPr>
                                  <w:tcW w:w="1449" w:type="dxa"/>
                                  <w:vMerge w:val="restart"/>
                                  <w:tcBorders>
                                    <w:top w:val="single" w:sz="4" w:space="0" w:color="auto"/>
                                    <w:left w:val="single" w:sz="4" w:space="0" w:color="auto"/>
                                    <w:bottom w:val="single" w:sz="4" w:space="0" w:color="auto"/>
                                    <w:right w:val="single" w:sz="4" w:space="0" w:color="auto"/>
                                  </w:tcBorders>
                                  <w:vAlign w:val="center"/>
                                  <w:hideMark/>
                                </w:tcPr>
                                <w:p w14:paraId="791E2518"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color w:val="000000"/>
                                    </w:rPr>
                                    <w:t>923,906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82080D" w14:textId="77777777" w:rsidR="00CC5AFC" w:rsidRDefault="00CC5AFC">
                                  <w:pPr>
                                    <w:widowControl/>
                                    <w:rPr>
                                      <w:rFonts w:ascii="標楷體" w:eastAsia="標楷體" w:hAnsi="標楷體"/>
                                    </w:rPr>
                                  </w:pPr>
                                </w:p>
                              </w:tc>
                            </w:tr>
                            <w:tr w:rsidR="00CC5AFC" w14:paraId="0D4C6F26" w14:textId="77777777" w:rsidTr="00824CD6">
                              <w:trPr>
                                <w:trHeight w:val="340"/>
                              </w:trPr>
                              <w:tc>
                                <w:tcPr>
                                  <w:tcW w:w="1413" w:type="dxa"/>
                                  <w:tcBorders>
                                    <w:top w:val="single" w:sz="4" w:space="0" w:color="auto"/>
                                    <w:left w:val="single" w:sz="4" w:space="0" w:color="auto"/>
                                    <w:bottom w:val="single" w:sz="4" w:space="0" w:color="auto"/>
                                    <w:right w:val="single" w:sz="4" w:space="0" w:color="auto"/>
                                  </w:tcBorders>
                                  <w:vAlign w:val="center"/>
                                  <w:hideMark/>
                                </w:tcPr>
                                <w:p w14:paraId="2F7AFBA6" w14:textId="77777777" w:rsidR="00CC5AFC" w:rsidRPr="00901091" w:rsidRDefault="00CC5AFC" w:rsidP="00824CD6">
                                  <w:pPr>
                                    <w:spacing w:line="240" w:lineRule="exact"/>
                                    <w:jc w:val="center"/>
                                    <w:rPr>
                                      <w:rFonts w:ascii="標楷體" w:eastAsia="標楷體" w:hAnsi="標楷體"/>
                                    </w:rPr>
                                  </w:pPr>
                                  <w:proofErr w:type="gramStart"/>
                                  <w:r w:rsidRPr="00901091">
                                    <w:rPr>
                                      <w:rFonts w:ascii="標楷體" w:eastAsia="標楷體" w:hAnsi="標楷體" w:hint="eastAsia"/>
                                    </w:rPr>
                                    <w:t>掃碼租借</w:t>
                                  </w:r>
                                  <w:proofErr w:type="gramEnd"/>
                                </w:p>
                              </w:tc>
                              <w:tc>
                                <w:tcPr>
                                  <w:tcW w:w="1118" w:type="dxa"/>
                                  <w:tcBorders>
                                    <w:top w:val="single" w:sz="4" w:space="0" w:color="auto"/>
                                    <w:left w:val="single" w:sz="4" w:space="0" w:color="auto"/>
                                    <w:bottom w:val="single" w:sz="4" w:space="0" w:color="auto"/>
                                    <w:right w:val="single" w:sz="4" w:space="0" w:color="auto"/>
                                  </w:tcBorders>
                                  <w:vAlign w:val="center"/>
                                  <w:hideMark/>
                                </w:tcPr>
                                <w:p w14:paraId="1C14CBED"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color w:val="000000"/>
                                    </w:rPr>
                                    <w:t>609,287</w:t>
                                  </w: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64DFF48C" w14:textId="77777777" w:rsidR="00CC5AFC" w:rsidRDefault="00CC5AFC" w:rsidP="00824CD6">
                                  <w:pPr>
                                    <w:widowControl/>
                                    <w:spacing w:line="240" w:lineRule="exact"/>
                                    <w:jc w:val="right"/>
                                    <w:rPr>
                                      <w:rFonts w:ascii="標楷體" w:eastAsia="標楷體" w:hAnsi="標楷體"/>
                                      <w:color w:val="000000"/>
                                    </w:rPr>
                                  </w:pPr>
                                </w:p>
                              </w:tc>
                              <w:tc>
                                <w:tcPr>
                                  <w:tcW w:w="1449" w:type="dxa"/>
                                  <w:vMerge/>
                                  <w:tcBorders>
                                    <w:top w:val="single" w:sz="4" w:space="0" w:color="auto"/>
                                    <w:left w:val="single" w:sz="4" w:space="0" w:color="auto"/>
                                    <w:bottom w:val="single" w:sz="4" w:space="0" w:color="auto"/>
                                    <w:right w:val="single" w:sz="4" w:space="0" w:color="auto"/>
                                  </w:tcBorders>
                                  <w:vAlign w:val="center"/>
                                  <w:hideMark/>
                                </w:tcPr>
                                <w:p w14:paraId="7EB59A90" w14:textId="77777777" w:rsidR="00CC5AFC" w:rsidRDefault="00CC5AFC" w:rsidP="00824CD6">
                                  <w:pPr>
                                    <w:widowControl/>
                                    <w:spacing w:line="240" w:lineRule="exact"/>
                                    <w:jc w:val="right"/>
                                    <w:rPr>
                                      <w:rFonts w:ascii="標楷體" w:eastAsia="標楷體" w:hAnsi="標楷體"/>
                                      <w:color w:val="00000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7F7823F" w14:textId="77777777" w:rsidR="00CC5AFC" w:rsidRDefault="00CC5AFC">
                                  <w:pPr>
                                    <w:widowControl/>
                                    <w:rPr>
                                      <w:rFonts w:ascii="標楷體" w:eastAsia="標楷體" w:hAnsi="標楷體"/>
                                    </w:rPr>
                                  </w:pPr>
                                </w:p>
                              </w:tc>
                            </w:tr>
                            <w:tr w:rsidR="00CC5AFC" w14:paraId="596CF1ED" w14:textId="77777777" w:rsidTr="00824CD6">
                              <w:trPr>
                                <w:trHeight w:val="340"/>
                              </w:trPr>
                              <w:tc>
                                <w:tcPr>
                                  <w:tcW w:w="1413" w:type="dxa"/>
                                  <w:tcBorders>
                                    <w:top w:val="single" w:sz="4" w:space="0" w:color="auto"/>
                                    <w:left w:val="single" w:sz="4" w:space="0" w:color="auto"/>
                                    <w:bottom w:val="single" w:sz="4" w:space="0" w:color="auto"/>
                                    <w:right w:val="single" w:sz="4" w:space="0" w:color="auto"/>
                                  </w:tcBorders>
                                  <w:vAlign w:val="center"/>
                                  <w:hideMark/>
                                </w:tcPr>
                                <w:p w14:paraId="4850CA7D" w14:textId="77777777" w:rsidR="00CC5AFC" w:rsidRPr="00901091" w:rsidRDefault="00CC5AFC" w:rsidP="00824CD6">
                                  <w:pPr>
                                    <w:spacing w:line="240" w:lineRule="exact"/>
                                    <w:jc w:val="center"/>
                                    <w:rPr>
                                      <w:rFonts w:ascii="標楷體" w:eastAsia="標楷體" w:hAnsi="標楷體"/>
                                    </w:rPr>
                                  </w:pPr>
                                  <w:r w:rsidRPr="00901091">
                                    <w:rPr>
                                      <w:rFonts w:ascii="標楷體" w:eastAsia="標楷體" w:hAnsi="標楷體" w:hint="eastAsia"/>
                                    </w:rPr>
                                    <w:t>單次租借</w:t>
                                  </w:r>
                                </w:p>
                              </w:tc>
                              <w:tc>
                                <w:tcPr>
                                  <w:tcW w:w="1118" w:type="dxa"/>
                                  <w:tcBorders>
                                    <w:top w:val="single" w:sz="4" w:space="0" w:color="auto"/>
                                    <w:left w:val="single" w:sz="4" w:space="0" w:color="auto"/>
                                    <w:bottom w:val="single" w:sz="4" w:space="0" w:color="auto"/>
                                    <w:right w:val="single" w:sz="4" w:space="0" w:color="auto"/>
                                  </w:tcBorders>
                                  <w:vAlign w:val="center"/>
                                  <w:hideMark/>
                                </w:tcPr>
                                <w:p w14:paraId="5E74F466"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color w:val="000000"/>
                                    </w:rPr>
                                    <w:t>12,452</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7D0E8D6" w14:textId="298BEAED" w:rsidR="00CC5AFC" w:rsidRDefault="005A4859" w:rsidP="00824CD6">
                                  <w:pPr>
                                    <w:spacing w:line="240" w:lineRule="exact"/>
                                    <w:jc w:val="right"/>
                                    <w:rPr>
                                      <w:rFonts w:ascii="標楷體" w:eastAsia="標楷體" w:hAnsi="標楷體"/>
                                      <w:color w:val="000000"/>
                                    </w:rPr>
                                  </w:pPr>
                                  <w:r>
                                    <w:rPr>
                                      <w:rFonts w:ascii="標楷體" w:eastAsia="標楷體" w:hAnsi="標楷體" w:hint="eastAsia"/>
                                      <w:color w:val="000000"/>
                                    </w:rPr>
                                    <w:t>－</w:t>
                                  </w:r>
                                </w:p>
                              </w:tc>
                              <w:tc>
                                <w:tcPr>
                                  <w:tcW w:w="1449" w:type="dxa"/>
                                  <w:tcBorders>
                                    <w:top w:val="single" w:sz="4" w:space="0" w:color="auto"/>
                                    <w:left w:val="single" w:sz="4" w:space="0" w:color="auto"/>
                                    <w:bottom w:val="single" w:sz="4" w:space="0" w:color="auto"/>
                                    <w:right w:val="single" w:sz="4" w:space="0" w:color="auto"/>
                                  </w:tcBorders>
                                  <w:vAlign w:val="center"/>
                                  <w:hideMark/>
                                </w:tcPr>
                                <w:p w14:paraId="34813648"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color w:val="000000"/>
                                    </w:rPr>
                                    <w:t>12,452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0C2825" w14:textId="77777777" w:rsidR="00CC5AFC" w:rsidRDefault="00CC5AFC">
                                  <w:pPr>
                                    <w:widowControl/>
                                    <w:rPr>
                                      <w:rFonts w:ascii="標楷體" w:eastAsia="標楷體" w:hAnsi="標楷體"/>
                                    </w:rPr>
                                  </w:pPr>
                                </w:p>
                              </w:tc>
                            </w:tr>
                          </w:tbl>
                          <w:p w14:paraId="4389ECCF" w14:textId="77777777" w:rsidR="00CC5AFC" w:rsidRDefault="00CC5AFC" w:rsidP="009900E9">
                            <w:pPr>
                              <w:spacing w:line="240" w:lineRule="exact"/>
                              <w:rPr>
                                <w:rFonts w:ascii="標楷體" w:eastAsia="標楷體" w:hAnsi="標楷體"/>
                                <w:sz w:val="18"/>
                                <w:szCs w:val="18"/>
                              </w:rPr>
                            </w:pPr>
                            <w:r>
                              <w:rPr>
                                <w:rFonts w:ascii="標楷體" w:eastAsia="標楷體" w:hAnsi="標楷體" w:hint="eastAsia"/>
                                <w:sz w:val="18"/>
                                <w:szCs w:val="18"/>
                              </w:rPr>
                              <w:t>資料來源：整理自交通局提供資料。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C1F9AA" id="_x0000_s1085" type="#_x0000_t202" style="position:absolute;left:0;text-align:left;margin-left:176.15pt;margin-top:337.5pt;width:329.5pt;height:141pt;z-index:-251555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" stroked="f">
                <v:textbox>
                  <w:txbxContent>
                    <w:p w14:paraId="11242D78" w14:textId="77777777" w:rsidR="00CC5AFC" w:rsidRDefault="00CC5AFC" w:rsidP="009900E9">
                      <w:pPr>
                        <w:spacing w:line="240" w:lineRule="exact"/>
                        <w:jc w:val="center"/>
                        <w:rPr>
                          <w:rFonts w:ascii="標楷體" w:eastAsia="標楷體" w:hAnsi="標楷體"/>
                          <w:b/>
                          <w:szCs w:val="24"/>
                        </w:rPr>
                      </w:pPr>
                      <w:r>
                        <w:rPr>
                          <w:rFonts w:ascii="標楷體" w:eastAsia="標楷體" w:hAnsi="標楷體" w:hint="eastAsia"/>
                          <w:b/>
                          <w:szCs w:val="24"/>
                        </w:rPr>
                        <w:t>表</w:t>
                      </w:r>
                      <w:r>
                        <w:rPr>
                          <w:rFonts w:ascii="標楷體" w:eastAsia="標楷體" w:hAnsi="標楷體"/>
                          <w:b/>
                          <w:szCs w:val="24"/>
                        </w:rPr>
                        <w:t>2</w:t>
                      </w:r>
                      <w:r>
                        <w:rPr>
                          <w:rFonts w:ascii="標楷體" w:eastAsia="標楷體" w:hAnsi="標楷體" w:hint="eastAsia"/>
                          <w:b/>
                          <w:szCs w:val="24"/>
                        </w:rPr>
                        <w:t xml:space="preserve"> </w:t>
                      </w:r>
                      <w:r>
                        <w:rPr>
                          <w:rFonts w:ascii="標楷體" w:eastAsia="標楷體" w:hAnsi="標楷體"/>
                          <w:b/>
                          <w:szCs w:val="24"/>
                        </w:rPr>
                        <w:t xml:space="preserve"> </w:t>
                      </w:r>
                      <w:r>
                        <w:rPr>
                          <w:rFonts w:ascii="標楷體" w:eastAsia="標楷體" w:hAnsi="標楷體" w:hint="eastAsia"/>
                          <w:b/>
                          <w:szCs w:val="24"/>
                        </w:rPr>
                        <w:t>113年9月份民眾投保傷害險情形</w:t>
                      </w:r>
                    </w:p>
                    <w:p w14:paraId="33F111F6" w14:textId="77777777" w:rsidR="00CC5AFC" w:rsidRDefault="00CC5AFC" w:rsidP="00CC5AFC">
                      <w:pPr>
                        <w:spacing w:line="240" w:lineRule="exact"/>
                        <w:jc w:val="right"/>
                        <w:rPr>
                          <w:rFonts w:ascii="標楷體" w:eastAsia="標楷體" w:hAnsi="標楷體"/>
                          <w:sz w:val="20"/>
                          <w:szCs w:val="24"/>
                        </w:rPr>
                      </w:pPr>
                      <w:r>
                        <w:rPr>
                          <w:rFonts w:ascii="標楷體" w:eastAsia="標楷體" w:hAnsi="標楷體" w:hint="eastAsia"/>
                          <w:sz w:val="20"/>
                          <w:szCs w:val="24"/>
                        </w:rPr>
                        <w:t>單位：次、％</w:t>
                      </w:r>
                    </w:p>
                    <w:tbl>
                      <w:tblPr>
                        <w:tblStyle w:val="21"/>
                        <w:tblW w:w="6232" w:type="dxa"/>
                        <w:tblInd w:w="0" w:type="dxa"/>
                        <w:tblLayout w:type="fixed"/>
                        <w:tblLook w:val="04A0" w:firstRow="1" w:lastRow="0" w:firstColumn="1" w:lastColumn="0" w:noHBand="0" w:noVBand="1"/>
                      </w:tblPr>
                      <w:tblGrid>
                        <w:gridCol w:w="1413"/>
                        <w:gridCol w:w="1118"/>
                        <w:gridCol w:w="1118"/>
                        <w:gridCol w:w="1449"/>
                        <w:gridCol w:w="1134"/>
                      </w:tblGrid>
                      <w:tr w:rsidR="00CC5AFC" w14:paraId="03988510" w14:textId="77777777" w:rsidTr="009900E9">
                        <w:trPr>
                          <w:trHeight w:val="510"/>
                        </w:trPr>
                        <w:tc>
                          <w:tcPr>
                            <w:tcW w:w="2531"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4ADB24" w14:textId="77777777" w:rsidR="00CC5AFC" w:rsidRDefault="00CC5AFC">
                            <w:pPr>
                              <w:spacing w:line="240" w:lineRule="exact"/>
                              <w:jc w:val="center"/>
                              <w:rPr>
                                <w:rFonts w:ascii="標楷體" w:eastAsia="標楷體" w:hAnsi="標楷體"/>
                              </w:rPr>
                            </w:pPr>
                            <w:r>
                              <w:rPr>
                                <w:rFonts w:ascii="標楷體" w:eastAsia="標楷體" w:hAnsi="標楷體" w:hint="eastAsia"/>
                              </w:rPr>
                              <w:t>借用人(車)次</w:t>
                            </w:r>
                          </w:p>
                          <w:p w14:paraId="4CC5C693" w14:textId="77777777" w:rsidR="00CC5AFC" w:rsidRDefault="00CC5AFC">
                            <w:pPr>
                              <w:spacing w:line="240" w:lineRule="exact"/>
                              <w:jc w:val="center"/>
                              <w:rPr>
                                <w:rFonts w:ascii="標楷體" w:eastAsia="標楷體" w:hAnsi="標楷體"/>
                              </w:rPr>
                            </w:pPr>
                            <w:r>
                              <w:rPr>
                                <w:rFonts w:ascii="標楷體" w:eastAsia="標楷體" w:hAnsi="標楷體" w:hint="eastAsia"/>
                              </w:rPr>
                              <w:t>(A)</w:t>
                            </w:r>
                          </w:p>
                        </w:tc>
                        <w:tc>
                          <w:tcPr>
                            <w:tcW w:w="111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5FCEB7" w14:textId="77777777" w:rsidR="00CC5AFC" w:rsidRDefault="00CC5AFC">
                            <w:pPr>
                              <w:spacing w:line="240" w:lineRule="exact"/>
                              <w:jc w:val="center"/>
                              <w:rPr>
                                <w:rFonts w:ascii="標楷體" w:eastAsia="標楷體" w:hAnsi="標楷體"/>
                              </w:rPr>
                            </w:pPr>
                            <w:r>
                              <w:rPr>
                                <w:rFonts w:ascii="標楷體" w:eastAsia="標楷體" w:hAnsi="標楷體" w:hint="eastAsia"/>
                              </w:rPr>
                              <w:t>投保騎乘次數(B)</w:t>
                            </w:r>
                          </w:p>
                        </w:tc>
                        <w:tc>
                          <w:tcPr>
                            <w:tcW w:w="144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8A301A" w14:textId="77777777" w:rsidR="00CC5AFC" w:rsidRDefault="00CC5AFC" w:rsidP="00824CD6">
                            <w:pPr>
                              <w:spacing w:line="240" w:lineRule="exact"/>
                              <w:ind w:leftChars="-44" w:left="-106" w:rightChars="-47" w:right="-113"/>
                              <w:jc w:val="center"/>
                              <w:rPr>
                                <w:rFonts w:ascii="標楷體" w:eastAsia="標楷體" w:hAnsi="標楷體"/>
                              </w:rPr>
                            </w:pPr>
                            <w:r>
                              <w:rPr>
                                <w:rFonts w:ascii="標楷體" w:eastAsia="標楷體" w:hAnsi="標楷體" w:hint="eastAsia"/>
                              </w:rPr>
                              <w:t>未投保騎乘次數</w:t>
                            </w:r>
                          </w:p>
                          <w:p w14:paraId="58642551" w14:textId="77777777" w:rsidR="00CC5AFC" w:rsidRDefault="00CC5AFC">
                            <w:pPr>
                              <w:spacing w:line="240" w:lineRule="exact"/>
                              <w:jc w:val="center"/>
                              <w:rPr>
                                <w:rFonts w:ascii="標楷體" w:eastAsia="標楷體" w:hAnsi="標楷體"/>
                              </w:rPr>
                            </w:pPr>
                            <w:r>
                              <w:rPr>
                                <w:rFonts w:ascii="標楷體" w:eastAsia="標楷體" w:hAnsi="標楷體" w:hint="eastAsia"/>
                              </w:rPr>
                              <w:t>(C=A-B)</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88665" w14:textId="77777777" w:rsidR="00CC5AFC" w:rsidRDefault="00CC5AFC">
                            <w:pPr>
                              <w:spacing w:line="240" w:lineRule="exact"/>
                              <w:jc w:val="center"/>
                              <w:rPr>
                                <w:rFonts w:ascii="標楷體" w:eastAsia="標楷體" w:hAnsi="標楷體"/>
                              </w:rPr>
                            </w:pPr>
                            <w:r>
                              <w:rPr>
                                <w:rFonts w:ascii="標楷體" w:eastAsia="標楷體" w:hAnsi="標楷體" w:hint="eastAsia"/>
                              </w:rPr>
                              <w:t>投保率</w:t>
                            </w:r>
                          </w:p>
                          <w:p w14:paraId="1D488EBC" w14:textId="79D8873A" w:rsidR="00CC5AFC" w:rsidRDefault="00CC5AFC">
                            <w:pPr>
                              <w:spacing w:line="240" w:lineRule="exact"/>
                              <w:jc w:val="center"/>
                              <w:rPr>
                                <w:rFonts w:ascii="標楷體" w:eastAsia="標楷體" w:hAnsi="標楷體"/>
                                <w:spacing w:val="-14"/>
                              </w:rPr>
                            </w:pPr>
                            <w:r>
                              <w:rPr>
                                <w:rFonts w:ascii="標楷體" w:eastAsia="標楷體" w:hAnsi="標楷體" w:hint="eastAsia"/>
                              </w:rPr>
                              <w:t>(B/A</w:t>
                            </w:r>
                            <w:r w:rsidR="005A4859" w:rsidRPr="005A4859">
                              <w:rPr>
                                <w:rFonts w:ascii="標楷體" w:eastAsia="標楷體" w:hAnsi="標楷體" w:hint="eastAsia"/>
                              </w:rPr>
                              <w:t>×</w:t>
                            </w:r>
                            <w:r>
                              <w:rPr>
                                <w:rFonts w:ascii="標楷體" w:eastAsia="標楷體" w:hAnsi="標楷體" w:hint="eastAsia"/>
                              </w:rPr>
                              <w:t>100)</w:t>
                            </w:r>
                          </w:p>
                        </w:tc>
                      </w:tr>
                      <w:tr w:rsidR="00CC5AFC" w14:paraId="71D167F5" w14:textId="77777777" w:rsidTr="00824CD6">
                        <w:trPr>
                          <w:trHeight w:val="340"/>
                        </w:trPr>
                        <w:tc>
                          <w:tcPr>
                            <w:tcW w:w="1413" w:type="dxa"/>
                            <w:tcBorders>
                              <w:top w:val="single" w:sz="4" w:space="0" w:color="auto"/>
                              <w:left w:val="single" w:sz="4" w:space="0" w:color="auto"/>
                              <w:bottom w:val="single" w:sz="4" w:space="0" w:color="auto"/>
                              <w:right w:val="single" w:sz="4" w:space="0" w:color="auto"/>
                            </w:tcBorders>
                            <w:vAlign w:val="center"/>
                            <w:hideMark/>
                          </w:tcPr>
                          <w:p w14:paraId="0D356439" w14:textId="245E43C1" w:rsidR="00CC5AFC" w:rsidRDefault="00CC5AFC" w:rsidP="00824CD6">
                            <w:pPr>
                              <w:spacing w:line="240" w:lineRule="exact"/>
                              <w:jc w:val="center"/>
                              <w:rPr>
                                <w:rFonts w:ascii="標楷體" w:eastAsia="標楷體" w:hAnsi="標楷體"/>
                                <w:b/>
                              </w:rPr>
                            </w:pPr>
                            <w:r>
                              <w:rPr>
                                <w:rFonts w:ascii="標楷體" w:eastAsia="標楷體" w:hAnsi="標楷體" w:hint="eastAsia"/>
                                <w:b/>
                              </w:rPr>
                              <w:t xml:space="preserve">合 </w:t>
                            </w:r>
                            <w:r w:rsidR="009900E9">
                              <w:rPr>
                                <w:rFonts w:ascii="標楷體" w:eastAsia="標楷體" w:hAnsi="標楷體"/>
                                <w:b/>
                              </w:rPr>
                              <w:t xml:space="preserve">   </w:t>
                            </w:r>
                            <w:r>
                              <w:rPr>
                                <w:rFonts w:ascii="標楷體" w:eastAsia="標楷體" w:hAnsi="標楷體" w:hint="eastAsia"/>
                                <w:b/>
                              </w:rPr>
                              <w:t>計</w:t>
                            </w:r>
                          </w:p>
                        </w:tc>
                        <w:tc>
                          <w:tcPr>
                            <w:tcW w:w="1118" w:type="dxa"/>
                            <w:tcBorders>
                              <w:top w:val="single" w:sz="4" w:space="0" w:color="auto"/>
                              <w:left w:val="single" w:sz="4" w:space="0" w:color="auto"/>
                              <w:bottom w:val="single" w:sz="4" w:space="0" w:color="auto"/>
                              <w:right w:val="single" w:sz="4" w:space="0" w:color="auto"/>
                            </w:tcBorders>
                            <w:vAlign w:val="center"/>
                            <w:hideMark/>
                          </w:tcPr>
                          <w:p w14:paraId="54529507" w14:textId="77777777" w:rsidR="00CC5AFC" w:rsidRDefault="00CC5AFC" w:rsidP="00824CD6">
                            <w:pPr>
                              <w:spacing w:line="240" w:lineRule="exact"/>
                              <w:jc w:val="right"/>
                              <w:rPr>
                                <w:rFonts w:ascii="標楷體" w:eastAsia="標楷體" w:hAnsi="標楷體"/>
                                <w:b/>
                              </w:rPr>
                            </w:pPr>
                            <w:r>
                              <w:rPr>
                                <w:rFonts w:ascii="標楷體" w:eastAsia="標楷體" w:hAnsi="標楷體" w:hint="eastAsia"/>
                                <w:b/>
                              </w:rPr>
                              <w:t>6,131,223</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2C21D4" w14:textId="77777777" w:rsidR="00CC5AFC" w:rsidRDefault="00CC5AFC" w:rsidP="00824CD6">
                            <w:pPr>
                              <w:spacing w:line="240" w:lineRule="exact"/>
                              <w:jc w:val="right"/>
                              <w:rPr>
                                <w:rFonts w:ascii="標楷體" w:eastAsia="標楷體" w:hAnsi="標楷體"/>
                                <w:b/>
                              </w:rPr>
                            </w:pPr>
                            <w:r>
                              <w:rPr>
                                <w:rFonts w:ascii="標楷體" w:eastAsia="標楷體" w:hAnsi="標楷體" w:hint="eastAsia"/>
                                <w:b/>
                              </w:rPr>
                              <w:t>5,194,865</w:t>
                            </w:r>
                          </w:p>
                        </w:tc>
                        <w:tc>
                          <w:tcPr>
                            <w:tcW w:w="1449" w:type="dxa"/>
                            <w:tcBorders>
                              <w:top w:val="single" w:sz="4" w:space="0" w:color="auto"/>
                              <w:left w:val="single" w:sz="4" w:space="0" w:color="auto"/>
                              <w:bottom w:val="single" w:sz="4" w:space="0" w:color="auto"/>
                              <w:right w:val="single" w:sz="4" w:space="0" w:color="auto"/>
                            </w:tcBorders>
                            <w:vAlign w:val="center"/>
                            <w:hideMark/>
                          </w:tcPr>
                          <w:p w14:paraId="5B1ABE9F" w14:textId="77777777" w:rsidR="00CC5AFC" w:rsidRDefault="00CC5AFC" w:rsidP="00824CD6">
                            <w:pPr>
                              <w:spacing w:line="240" w:lineRule="exact"/>
                              <w:jc w:val="right"/>
                              <w:rPr>
                                <w:rFonts w:ascii="標楷體" w:eastAsia="標楷體" w:hAnsi="標楷體"/>
                                <w:b/>
                              </w:rPr>
                            </w:pPr>
                            <w:r>
                              <w:rPr>
                                <w:rFonts w:ascii="標楷體" w:eastAsia="標楷體" w:hAnsi="標楷體" w:hint="eastAsia"/>
                                <w:b/>
                              </w:rPr>
                              <w:t>936,358</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C0FB64D" w14:textId="77777777" w:rsidR="00CC5AFC" w:rsidRDefault="00CC5AFC">
                            <w:pPr>
                              <w:spacing w:line="240" w:lineRule="exact"/>
                              <w:jc w:val="center"/>
                              <w:rPr>
                                <w:rFonts w:ascii="標楷體" w:eastAsia="標楷體" w:hAnsi="標楷體"/>
                              </w:rPr>
                            </w:pPr>
                            <w:r>
                              <w:rPr>
                                <w:rFonts w:ascii="標楷體" w:eastAsia="標楷體" w:hAnsi="標楷體" w:hint="eastAsia"/>
                              </w:rPr>
                              <w:t>84.73</w:t>
                            </w:r>
                          </w:p>
                        </w:tc>
                      </w:tr>
                      <w:tr w:rsidR="00CC5AFC" w14:paraId="5B7B97CA" w14:textId="77777777" w:rsidTr="00824CD6">
                        <w:trPr>
                          <w:trHeight w:val="340"/>
                        </w:trPr>
                        <w:tc>
                          <w:tcPr>
                            <w:tcW w:w="1413" w:type="dxa"/>
                            <w:tcBorders>
                              <w:top w:val="single" w:sz="4" w:space="0" w:color="auto"/>
                              <w:left w:val="single" w:sz="4" w:space="0" w:color="auto"/>
                              <w:bottom w:val="single" w:sz="4" w:space="0" w:color="auto"/>
                              <w:right w:val="single" w:sz="4" w:space="0" w:color="auto"/>
                            </w:tcBorders>
                            <w:vAlign w:val="center"/>
                            <w:hideMark/>
                          </w:tcPr>
                          <w:p w14:paraId="098E26DB" w14:textId="77777777" w:rsidR="00CC5AFC" w:rsidRPr="00901091" w:rsidRDefault="00CC5AFC" w:rsidP="00824CD6">
                            <w:pPr>
                              <w:spacing w:line="240" w:lineRule="exact"/>
                              <w:jc w:val="center"/>
                              <w:rPr>
                                <w:rFonts w:ascii="標楷體" w:eastAsia="標楷體" w:hAnsi="標楷體"/>
                              </w:rPr>
                            </w:pPr>
                            <w:r w:rsidRPr="00901091">
                              <w:rPr>
                                <w:rFonts w:ascii="標楷體" w:eastAsia="標楷體" w:hAnsi="標楷體" w:hint="eastAsia"/>
                              </w:rPr>
                              <w:t>靠卡租借</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D7554FC"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color w:val="000000"/>
                              </w:rPr>
                              <w:t>5,509,484</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094A0E95"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rPr>
                              <w:t>5,194,865</w:t>
                            </w:r>
                          </w:p>
                        </w:tc>
                        <w:tc>
                          <w:tcPr>
                            <w:tcW w:w="1449" w:type="dxa"/>
                            <w:vMerge w:val="restart"/>
                            <w:tcBorders>
                              <w:top w:val="single" w:sz="4" w:space="0" w:color="auto"/>
                              <w:left w:val="single" w:sz="4" w:space="0" w:color="auto"/>
                              <w:bottom w:val="single" w:sz="4" w:space="0" w:color="auto"/>
                              <w:right w:val="single" w:sz="4" w:space="0" w:color="auto"/>
                            </w:tcBorders>
                            <w:vAlign w:val="center"/>
                            <w:hideMark/>
                          </w:tcPr>
                          <w:p w14:paraId="791E2518"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color w:val="000000"/>
                              </w:rPr>
                              <w:t>923,906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82080D" w14:textId="77777777" w:rsidR="00CC5AFC" w:rsidRDefault="00CC5AFC">
                            <w:pPr>
                              <w:widowControl/>
                              <w:rPr>
                                <w:rFonts w:ascii="標楷體" w:eastAsia="標楷體" w:hAnsi="標楷體"/>
                              </w:rPr>
                            </w:pPr>
                          </w:p>
                        </w:tc>
                      </w:tr>
                      <w:tr w:rsidR="00CC5AFC" w14:paraId="0D4C6F26" w14:textId="77777777" w:rsidTr="00824CD6">
                        <w:trPr>
                          <w:trHeight w:val="340"/>
                        </w:trPr>
                        <w:tc>
                          <w:tcPr>
                            <w:tcW w:w="1413" w:type="dxa"/>
                            <w:tcBorders>
                              <w:top w:val="single" w:sz="4" w:space="0" w:color="auto"/>
                              <w:left w:val="single" w:sz="4" w:space="0" w:color="auto"/>
                              <w:bottom w:val="single" w:sz="4" w:space="0" w:color="auto"/>
                              <w:right w:val="single" w:sz="4" w:space="0" w:color="auto"/>
                            </w:tcBorders>
                            <w:vAlign w:val="center"/>
                            <w:hideMark/>
                          </w:tcPr>
                          <w:p w14:paraId="2F7AFBA6" w14:textId="77777777" w:rsidR="00CC5AFC" w:rsidRPr="00901091" w:rsidRDefault="00CC5AFC" w:rsidP="00824CD6">
                            <w:pPr>
                              <w:spacing w:line="240" w:lineRule="exact"/>
                              <w:jc w:val="center"/>
                              <w:rPr>
                                <w:rFonts w:ascii="標楷體" w:eastAsia="標楷體" w:hAnsi="標楷體"/>
                              </w:rPr>
                            </w:pPr>
                            <w:proofErr w:type="gramStart"/>
                            <w:r w:rsidRPr="00901091">
                              <w:rPr>
                                <w:rFonts w:ascii="標楷體" w:eastAsia="標楷體" w:hAnsi="標楷體" w:hint="eastAsia"/>
                              </w:rPr>
                              <w:t>掃碼租借</w:t>
                            </w:r>
                            <w:proofErr w:type="gramEnd"/>
                          </w:p>
                        </w:tc>
                        <w:tc>
                          <w:tcPr>
                            <w:tcW w:w="1118" w:type="dxa"/>
                            <w:tcBorders>
                              <w:top w:val="single" w:sz="4" w:space="0" w:color="auto"/>
                              <w:left w:val="single" w:sz="4" w:space="0" w:color="auto"/>
                              <w:bottom w:val="single" w:sz="4" w:space="0" w:color="auto"/>
                              <w:right w:val="single" w:sz="4" w:space="0" w:color="auto"/>
                            </w:tcBorders>
                            <w:vAlign w:val="center"/>
                            <w:hideMark/>
                          </w:tcPr>
                          <w:p w14:paraId="1C14CBED"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color w:val="000000"/>
                              </w:rPr>
                              <w:t>609,287</w:t>
                            </w: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64DFF48C" w14:textId="77777777" w:rsidR="00CC5AFC" w:rsidRDefault="00CC5AFC" w:rsidP="00824CD6">
                            <w:pPr>
                              <w:widowControl/>
                              <w:spacing w:line="240" w:lineRule="exact"/>
                              <w:jc w:val="right"/>
                              <w:rPr>
                                <w:rFonts w:ascii="標楷體" w:eastAsia="標楷體" w:hAnsi="標楷體"/>
                                <w:color w:val="000000"/>
                              </w:rPr>
                            </w:pPr>
                          </w:p>
                        </w:tc>
                        <w:tc>
                          <w:tcPr>
                            <w:tcW w:w="1449" w:type="dxa"/>
                            <w:vMerge/>
                            <w:tcBorders>
                              <w:top w:val="single" w:sz="4" w:space="0" w:color="auto"/>
                              <w:left w:val="single" w:sz="4" w:space="0" w:color="auto"/>
                              <w:bottom w:val="single" w:sz="4" w:space="0" w:color="auto"/>
                              <w:right w:val="single" w:sz="4" w:space="0" w:color="auto"/>
                            </w:tcBorders>
                            <w:vAlign w:val="center"/>
                            <w:hideMark/>
                          </w:tcPr>
                          <w:p w14:paraId="7EB59A90" w14:textId="77777777" w:rsidR="00CC5AFC" w:rsidRDefault="00CC5AFC" w:rsidP="00824CD6">
                            <w:pPr>
                              <w:widowControl/>
                              <w:spacing w:line="240" w:lineRule="exact"/>
                              <w:jc w:val="right"/>
                              <w:rPr>
                                <w:rFonts w:ascii="標楷體" w:eastAsia="標楷體" w:hAnsi="標楷體"/>
                                <w:color w:val="00000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7F7823F" w14:textId="77777777" w:rsidR="00CC5AFC" w:rsidRDefault="00CC5AFC">
                            <w:pPr>
                              <w:widowControl/>
                              <w:rPr>
                                <w:rFonts w:ascii="標楷體" w:eastAsia="標楷體" w:hAnsi="標楷體"/>
                              </w:rPr>
                            </w:pPr>
                          </w:p>
                        </w:tc>
                      </w:tr>
                      <w:tr w:rsidR="00CC5AFC" w14:paraId="596CF1ED" w14:textId="77777777" w:rsidTr="00824CD6">
                        <w:trPr>
                          <w:trHeight w:val="340"/>
                        </w:trPr>
                        <w:tc>
                          <w:tcPr>
                            <w:tcW w:w="1413" w:type="dxa"/>
                            <w:tcBorders>
                              <w:top w:val="single" w:sz="4" w:space="0" w:color="auto"/>
                              <w:left w:val="single" w:sz="4" w:space="0" w:color="auto"/>
                              <w:bottom w:val="single" w:sz="4" w:space="0" w:color="auto"/>
                              <w:right w:val="single" w:sz="4" w:space="0" w:color="auto"/>
                            </w:tcBorders>
                            <w:vAlign w:val="center"/>
                            <w:hideMark/>
                          </w:tcPr>
                          <w:p w14:paraId="4850CA7D" w14:textId="77777777" w:rsidR="00CC5AFC" w:rsidRPr="00901091" w:rsidRDefault="00CC5AFC" w:rsidP="00824CD6">
                            <w:pPr>
                              <w:spacing w:line="240" w:lineRule="exact"/>
                              <w:jc w:val="center"/>
                              <w:rPr>
                                <w:rFonts w:ascii="標楷體" w:eastAsia="標楷體" w:hAnsi="標楷體"/>
                              </w:rPr>
                            </w:pPr>
                            <w:r w:rsidRPr="00901091">
                              <w:rPr>
                                <w:rFonts w:ascii="標楷體" w:eastAsia="標楷體" w:hAnsi="標楷體" w:hint="eastAsia"/>
                              </w:rPr>
                              <w:t>單次租借</w:t>
                            </w:r>
                          </w:p>
                        </w:tc>
                        <w:tc>
                          <w:tcPr>
                            <w:tcW w:w="1118" w:type="dxa"/>
                            <w:tcBorders>
                              <w:top w:val="single" w:sz="4" w:space="0" w:color="auto"/>
                              <w:left w:val="single" w:sz="4" w:space="0" w:color="auto"/>
                              <w:bottom w:val="single" w:sz="4" w:space="0" w:color="auto"/>
                              <w:right w:val="single" w:sz="4" w:space="0" w:color="auto"/>
                            </w:tcBorders>
                            <w:vAlign w:val="center"/>
                            <w:hideMark/>
                          </w:tcPr>
                          <w:p w14:paraId="5E74F466"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color w:val="000000"/>
                              </w:rPr>
                              <w:t>12,452</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7D0E8D6" w14:textId="298BEAED" w:rsidR="00CC5AFC" w:rsidRDefault="005A4859" w:rsidP="00824CD6">
                            <w:pPr>
                              <w:spacing w:line="240" w:lineRule="exact"/>
                              <w:jc w:val="right"/>
                              <w:rPr>
                                <w:rFonts w:ascii="標楷體" w:eastAsia="標楷體" w:hAnsi="標楷體"/>
                                <w:color w:val="000000"/>
                              </w:rPr>
                            </w:pPr>
                            <w:r>
                              <w:rPr>
                                <w:rFonts w:ascii="標楷體" w:eastAsia="標楷體" w:hAnsi="標楷體" w:hint="eastAsia"/>
                                <w:color w:val="000000"/>
                              </w:rPr>
                              <w:t>－</w:t>
                            </w:r>
                          </w:p>
                        </w:tc>
                        <w:tc>
                          <w:tcPr>
                            <w:tcW w:w="1449" w:type="dxa"/>
                            <w:tcBorders>
                              <w:top w:val="single" w:sz="4" w:space="0" w:color="auto"/>
                              <w:left w:val="single" w:sz="4" w:space="0" w:color="auto"/>
                              <w:bottom w:val="single" w:sz="4" w:space="0" w:color="auto"/>
                              <w:right w:val="single" w:sz="4" w:space="0" w:color="auto"/>
                            </w:tcBorders>
                            <w:vAlign w:val="center"/>
                            <w:hideMark/>
                          </w:tcPr>
                          <w:p w14:paraId="34813648" w14:textId="77777777" w:rsidR="00CC5AFC" w:rsidRDefault="00CC5AFC" w:rsidP="00824CD6">
                            <w:pPr>
                              <w:spacing w:line="240" w:lineRule="exact"/>
                              <w:jc w:val="right"/>
                              <w:rPr>
                                <w:rFonts w:ascii="標楷體" w:eastAsia="標楷體" w:hAnsi="標楷體"/>
                                <w:color w:val="000000"/>
                              </w:rPr>
                            </w:pPr>
                            <w:r>
                              <w:rPr>
                                <w:rFonts w:ascii="標楷體" w:eastAsia="標楷體" w:hAnsi="標楷體" w:hint="eastAsia"/>
                                <w:color w:val="000000"/>
                              </w:rPr>
                              <w:t>12,452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0C2825" w14:textId="77777777" w:rsidR="00CC5AFC" w:rsidRDefault="00CC5AFC">
                            <w:pPr>
                              <w:widowControl/>
                              <w:rPr>
                                <w:rFonts w:ascii="標楷體" w:eastAsia="標楷體" w:hAnsi="標楷體"/>
                              </w:rPr>
                            </w:pPr>
                          </w:p>
                        </w:tc>
                      </w:tr>
                    </w:tbl>
                    <w:p w14:paraId="4389ECCF" w14:textId="77777777" w:rsidR="00CC5AFC" w:rsidRDefault="00CC5AFC" w:rsidP="009900E9">
                      <w:pPr>
                        <w:spacing w:line="240" w:lineRule="exact"/>
                        <w:rPr>
                          <w:rFonts w:ascii="標楷體" w:eastAsia="標楷體" w:hAnsi="標楷體"/>
                          <w:sz w:val="18"/>
                          <w:szCs w:val="18"/>
                        </w:rPr>
                      </w:pPr>
                      <w:r>
                        <w:rPr>
                          <w:rFonts w:ascii="標楷體" w:eastAsia="標楷體" w:hAnsi="標楷體" w:hint="eastAsia"/>
                          <w:sz w:val="18"/>
                          <w:szCs w:val="18"/>
                        </w:rPr>
                        <w:t>資料來源：整理自交通局提供資料。</w:t>
                      </w:r>
                    </w:p>
                  </w:txbxContent>
                </v:textbox>
                <w10:wrap type="tight" anchorx="margin" anchory="page"/>
              </v:shape>
            </w:pict>
          </mc:Fallback>
        </mc:AlternateContent>
      </w:r>
      <w:r w:rsidRPr="00800957">
        <w:rPr>
          <w:rFonts w:ascii="標楷體" w:eastAsia="標楷體" w:hAnsi="標楷體" w:cs="Times New Roman" w:hint="eastAsia"/>
          <w:b/>
          <w:bCs/>
        </w:rPr>
        <w:t>2.YouBike</w:t>
      </w:r>
      <w:r>
        <w:rPr>
          <w:rFonts w:ascii="標楷體" w:eastAsia="標楷體" w:hAnsi="標楷體" w:cs="Times New Roman" w:hint="eastAsia"/>
          <w:b/>
          <w:bCs/>
        </w:rPr>
        <w:t>公共自行車傷害保險之單月投保率僅為借用次數85％，且</w:t>
      </w:r>
      <w:proofErr w:type="gramStart"/>
      <w:r>
        <w:rPr>
          <w:rFonts w:ascii="標楷體" w:eastAsia="標楷體" w:hAnsi="標楷體" w:cs="Times New Roman" w:hint="eastAsia"/>
          <w:b/>
          <w:bCs/>
        </w:rPr>
        <w:t>未納列</w:t>
      </w:r>
      <w:proofErr w:type="gramEnd"/>
      <w:r>
        <w:rPr>
          <w:rFonts w:ascii="標楷體" w:eastAsia="標楷體" w:hAnsi="標楷體" w:cs="Times New Roman" w:hint="eastAsia"/>
          <w:b/>
          <w:bCs/>
        </w:rPr>
        <w:t>「單次租借者」：</w:t>
      </w:r>
      <w:r w:rsidRPr="00800957">
        <w:rPr>
          <w:rFonts w:ascii="標楷體" w:eastAsia="標楷體" w:hAnsi="標楷體" w:cs="Times New Roman" w:hint="eastAsia"/>
        </w:rPr>
        <w:t>為使民眾</w:t>
      </w:r>
      <w:r>
        <w:rPr>
          <w:rFonts w:ascii="標楷體" w:eastAsia="標楷體" w:hAnsi="標楷體" w:cs="Times New Roman" w:hint="eastAsia"/>
        </w:rPr>
        <w:t>騎乘</w:t>
      </w:r>
      <w:r w:rsidRPr="00800957">
        <w:rPr>
          <w:rFonts w:ascii="標楷體" w:eastAsia="標楷體" w:hAnsi="標楷體" w:cs="Times New Roman" w:hint="eastAsia"/>
        </w:rPr>
        <w:t>公共自行車時多1份傷害保障</w:t>
      </w:r>
      <w:r>
        <w:rPr>
          <w:rFonts w:ascii="標楷體" w:eastAsia="標楷體" w:hAnsi="標楷體" w:cs="Times New Roman" w:hint="eastAsia"/>
        </w:rPr>
        <w:t>，交通局</w:t>
      </w:r>
      <w:r w:rsidRPr="00800957">
        <w:rPr>
          <w:rFonts w:ascii="標楷體" w:eastAsia="標楷體" w:hAnsi="標楷體" w:cs="Times New Roman" w:hint="eastAsia"/>
        </w:rPr>
        <w:t>辦理「臺北市公共自行車租賃系統營運管理（後續擴充）」及「</w:t>
      </w:r>
      <w:r w:rsidRPr="00606D4C">
        <w:rPr>
          <w:rFonts w:ascii="標楷體" w:eastAsia="標楷體" w:hAnsi="標楷體" w:cs="Times New Roman" w:hint="eastAsia"/>
          <w:spacing w:val="-2"/>
        </w:rPr>
        <w:t>113</w:t>
      </w:r>
      <w:r w:rsidRPr="00800957">
        <w:rPr>
          <w:rFonts w:ascii="標楷體" w:eastAsia="標楷體" w:hAnsi="標楷體" w:cs="Times New Roman" w:hint="eastAsia"/>
        </w:rPr>
        <w:t>年臺北市公共自行車租賃系統擴充營運管理委託服務案」等2</w:t>
      </w:r>
      <w:r>
        <w:rPr>
          <w:rFonts w:ascii="標楷體" w:eastAsia="標楷體" w:hAnsi="標楷體" w:cs="Times New Roman" w:hint="eastAsia"/>
        </w:rPr>
        <w:t>件採購案</w:t>
      </w:r>
      <w:r w:rsidRPr="00800957">
        <w:rPr>
          <w:rFonts w:ascii="標楷體" w:eastAsia="標楷體" w:hAnsi="標楷體" w:cs="Times New Roman" w:hint="eastAsia"/>
        </w:rPr>
        <w:t>，</w:t>
      </w:r>
      <w:r>
        <w:rPr>
          <w:rFonts w:ascii="標楷體" w:eastAsia="標楷體" w:hAnsi="標楷體" w:cs="Times New Roman" w:hint="eastAsia"/>
        </w:rPr>
        <w:t>該2案契約均</w:t>
      </w:r>
      <w:r w:rsidRPr="00800957">
        <w:rPr>
          <w:rFonts w:ascii="標楷體" w:eastAsia="標楷體" w:hAnsi="標楷體" w:cs="Times New Roman" w:hint="eastAsia"/>
        </w:rPr>
        <w:t>約定廠商於履約期間辦理民眾騎乘公共自行車傷害保險</w:t>
      </w:r>
      <w:r>
        <w:rPr>
          <w:rFonts w:ascii="標楷體" w:eastAsia="標楷體" w:hAnsi="標楷體" w:cs="Times New Roman" w:hint="eastAsia"/>
        </w:rPr>
        <w:t>，</w:t>
      </w:r>
      <w:r w:rsidRPr="000B1274">
        <w:rPr>
          <w:rFonts w:ascii="標楷體" w:eastAsia="標楷體" w:hAnsi="標楷體" w:cs="Times New Roman" w:hint="eastAsia"/>
        </w:rPr>
        <w:t>包括但不限於使用電子票證之本國籍完成同意代為投保程序之公共自行車使用者。</w:t>
      </w:r>
      <w:r w:rsidRPr="00CE74DF">
        <w:rPr>
          <w:rFonts w:ascii="標楷體" w:eastAsia="標楷體" w:hAnsi="標楷體" w:cs="Times New Roman" w:hint="eastAsia"/>
        </w:rPr>
        <w:t>據交通局提供</w:t>
      </w:r>
      <w:r>
        <w:rPr>
          <w:rFonts w:ascii="標楷體" w:eastAsia="標楷體" w:hAnsi="標楷體" w:cs="Times New Roman" w:hint="eastAsia"/>
        </w:rPr>
        <w:t>資料，</w:t>
      </w:r>
      <w:r w:rsidRPr="00CE74DF">
        <w:rPr>
          <w:rFonts w:ascii="標楷體" w:eastAsia="標楷體" w:hAnsi="標楷體" w:cs="Times New Roman" w:hint="eastAsia"/>
        </w:rPr>
        <w:t>現行民眾使用</w:t>
      </w:r>
      <w:proofErr w:type="spellStart"/>
      <w:r w:rsidRPr="00CE74DF">
        <w:rPr>
          <w:rFonts w:ascii="標楷體" w:eastAsia="標楷體" w:hAnsi="標楷體" w:cs="Times New Roman" w:hint="eastAsia"/>
        </w:rPr>
        <w:t>YouBike</w:t>
      </w:r>
      <w:proofErr w:type="spellEnd"/>
      <w:r w:rsidRPr="00CE74DF">
        <w:rPr>
          <w:rFonts w:ascii="標楷體" w:eastAsia="標楷體" w:hAnsi="標楷體" w:cs="Times New Roman" w:hint="eastAsia"/>
        </w:rPr>
        <w:t>之租借方式，</w:t>
      </w:r>
      <w:proofErr w:type="gramStart"/>
      <w:r w:rsidRPr="00CE74DF">
        <w:rPr>
          <w:rFonts w:ascii="標楷體" w:eastAsia="標楷體" w:hAnsi="標楷體" w:cs="Times New Roman" w:hint="eastAsia"/>
        </w:rPr>
        <w:t>包含持悠遊</w:t>
      </w:r>
      <w:proofErr w:type="gramEnd"/>
      <w:r w:rsidRPr="00CE74DF">
        <w:rPr>
          <w:rFonts w:ascii="標楷體" w:eastAsia="標楷體" w:hAnsi="標楷體" w:cs="Times New Roman" w:hint="eastAsia"/>
        </w:rPr>
        <w:t>卡租借、掃瞄公共自行車QR碼租借及單次租借等</w:t>
      </w:r>
      <w:r>
        <w:rPr>
          <w:rFonts w:ascii="標楷體" w:eastAsia="標楷體" w:hAnsi="標楷體" w:cs="Times New Roman" w:hint="eastAsia"/>
        </w:rPr>
        <w:t>，</w:t>
      </w:r>
      <w:r w:rsidRPr="00CE74DF">
        <w:rPr>
          <w:rFonts w:ascii="標楷體" w:eastAsia="標楷體" w:hAnsi="標楷體" w:cs="Times New Roman" w:hint="eastAsia"/>
        </w:rPr>
        <w:t>112年1月至113年9月</w:t>
      </w:r>
      <w:proofErr w:type="gramStart"/>
      <w:r w:rsidRPr="00CE74DF">
        <w:rPr>
          <w:rFonts w:ascii="標楷體" w:eastAsia="標楷體" w:hAnsi="標楷體" w:cs="Times New Roman" w:hint="eastAsia"/>
        </w:rPr>
        <w:t>止</w:t>
      </w:r>
      <w:proofErr w:type="gramEnd"/>
      <w:r w:rsidRPr="00CE74DF">
        <w:rPr>
          <w:rFonts w:ascii="標楷體" w:eastAsia="標楷體" w:hAnsi="標楷體" w:cs="Times New Roman" w:hint="eastAsia"/>
        </w:rPr>
        <w:t>臺北市公共自行車傷害保險</w:t>
      </w:r>
      <w:r>
        <w:rPr>
          <w:rFonts w:ascii="標楷體" w:eastAsia="標楷體" w:hAnsi="標楷體" w:cs="Times New Roman" w:hint="eastAsia"/>
        </w:rPr>
        <w:t>之單月投保率</w:t>
      </w:r>
      <w:r w:rsidRPr="00CE74DF">
        <w:rPr>
          <w:rFonts w:ascii="標楷體" w:eastAsia="標楷體" w:hAnsi="標楷體" w:cs="Times New Roman" w:hint="eastAsia"/>
        </w:rPr>
        <w:t>雖由112年1月之48.31％上升至113年9月之84.73％</w:t>
      </w:r>
      <w:r>
        <w:rPr>
          <w:rFonts w:ascii="標楷體" w:eastAsia="標楷體" w:hAnsi="標楷體" w:cs="Times New Roman" w:hint="eastAsia"/>
        </w:rPr>
        <w:t>，惟</w:t>
      </w:r>
      <w:r w:rsidRPr="00CE74DF">
        <w:rPr>
          <w:rFonts w:ascii="標楷體" w:eastAsia="標楷體" w:hAnsi="標楷體" w:cs="Times New Roman" w:hint="eastAsia"/>
        </w:rPr>
        <w:t>113年9月借用人（車）</w:t>
      </w:r>
      <w:proofErr w:type="gramStart"/>
      <w:r w:rsidRPr="00CE74DF">
        <w:rPr>
          <w:rFonts w:ascii="標楷體" w:eastAsia="標楷體" w:hAnsi="標楷體" w:cs="Times New Roman" w:hint="eastAsia"/>
        </w:rPr>
        <w:t>次計</w:t>
      </w:r>
      <w:proofErr w:type="gramEnd"/>
      <w:r w:rsidRPr="00CE74DF">
        <w:rPr>
          <w:rFonts w:ascii="標楷體" w:eastAsia="標楷體" w:hAnsi="標楷體" w:cs="Times New Roman" w:hint="eastAsia"/>
        </w:rPr>
        <w:t>613萬餘人（車）次，投保騎乘次數519萬</w:t>
      </w:r>
      <w:r w:rsidRPr="00185996">
        <w:rPr>
          <w:rFonts w:ascii="標楷體" w:eastAsia="標楷體" w:hAnsi="標楷體" w:cs="Times New Roman" w:hint="eastAsia"/>
          <w:spacing w:val="-2"/>
        </w:rPr>
        <w:t>餘人（車）次，仍有高達93萬餘人（車）次（表2）、比率15.27％，未獲廠商代為投保傷害險，且其中單次租借者因係以綁定信用卡作為支付工具，</w:t>
      </w:r>
      <w:proofErr w:type="gramStart"/>
      <w:r w:rsidRPr="00185996">
        <w:rPr>
          <w:rFonts w:ascii="標楷體" w:eastAsia="標楷體" w:hAnsi="標楷體" w:cs="Times New Roman" w:hint="eastAsia"/>
          <w:spacing w:val="-2"/>
        </w:rPr>
        <w:t>尚未納列投保</w:t>
      </w:r>
      <w:proofErr w:type="gramEnd"/>
      <w:r w:rsidRPr="00185996">
        <w:rPr>
          <w:rFonts w:ascii="標楷體" w:eastAsia="標楷體" w:hAnsi="標楷體" w:cs="Times New Roman" w:hint="eastAsia"/>
          <w:spacing w:val="-2"/>
        </w:rPr>
        <w:t>範圍</w:t>
      </w:r>
      <w:r>
        <w:rPr>
          <w:rFonts w:ascii="標楷體" w:eastAsia="標楷體" w:hAnsi="標楷體" w:cs="Times New Roman" w:hint="eastAsia"/>
          <w:spacing w:val="-2"/>
        </w:rPr>
        <w:t>等情事，</w:t>
      </w:r>
      <w:r w:rsidRPr="00185996">
        <w:rPr>
          <w:rFonts w:ascii="標楷體" w:eastAsia="標楷體" w:hAnsi="標楷體" w:cs="Times New Roman" w:hint="eastAsia"/>
          <w:spacing w:val="-2"/>
        </w:rPr>
        <w:t>經函請</w:t>
      </w:r>
      <w:proofErr w:type="gramStart"/>
      <w:r w:rsidRPr="00185996">
        <w:rPr>
          <w:rFonts w:ascii="標楷體" w:eastAsia="標楷體" w:hAnsi="標楷體" w:cs="Times New Roman" w:hint="eastAsia"/>
          <w:spacing w:val="-2"/>
        </w:rPr>
        <w:t>檢討妥處</w:t>
      </w:r>
      <w:proofErr w:type="gramEnd"/>
      <w:r w:rsidRPr="00185996">
        <w:rPr>
          <w:rFonts w:ascii="標楷體" w:eastAsia="標楷體" w:hAnsi="標楷體" w:cs="Times New Roman" w:hint="eastAsia"/>
          <w:spacing w:val="-2"/>
        </w:rPr>
        <w:t>。據復：</w:t>
      </w:r>
      <w:r>
        <w:rPr>
          <w:rFonts w:ascii="標楷體" w:eastAsia="標楷體" w:hAnsi="標楷體" w:cs="Times New Roman" w:hint="eastAsia"/>
          <w:spacing w:val="-2"/>
        </w:rPr>
        <w:t>已</w:t>
      </w:r>
      <w:r w:rsidRPr="00185996">
        <w:rPr>
          <w:rFonts w:ascii="標楷體" w:eastAsia="標楷體" w:hAnsi="標楷體" w:cs="Times New Roman" w:hint="eastAsia"/>
          <w:spacing w:val="-2"/>
        </w:rPr>
        <w:t>請廠商進行系統</w:t>
      </w:r>
      <w:r>
        <w:rPr>
          <w:rFonts w:ascii="標楷體" w:eastAsia="標楷體" w:hAnsi="標楷體" w:cs="Times New Roman" w:hint="eastAsia"/>
          <w:spacing w:val="-2"/>
        </w:rPr>
        <w:t>相關介面</w:t>
      </w:r>
      <w:r w:rsidRPr="00185996">
        <w:rPr>
          <w:rFonts w:ascii="標楷體" w:eastAsia="標楷體" w:hAnsi="標楷體" w:cs="Times New Roman" w:hint="eastAsia"/>
          <w:spacing w:val="-2"/>
        </w:rPr>
        <w:t>開發，將單次租借者納入傷害險保險範圍</w:t>
      </w:r>
      <w:r>
        <w:rPr>
          <w:rFonts w:ascii="標楷體" w:eastAsia="標楷體" w:hAnsi="標楷體" w:cs="Times New Roman" w:hint="eastAsia"/>
          <w:spacing w:val="-2"/>
        </w:rPr>
        <w:t>；未來將透過</w:t>
      </w:r>
      <w:r w:rsidRPr="00185996">
        <w:rPr>
          <w:rFonts w:ascii="標楷體" w:eastAsia="標楷體" w:hAnsi="標楷體" w:cs="Times New Roman" w:hint="eastAsia"/>
          <w:spacing w:val="-2"/>
        </w:rPr>
        <w:t>微笑單車官方平</w:t>
      </w:r>
      <w:proofErr w:type="gramStart"/>
      <w:r w:rsidRPr="00185996">
        <w:rPr>
          <w:rFonts w:ascii="標楷體" w:eastAsia="標楷體" w:hAnsi="標楷體" w:cs="Times New Roman" w:hint="eastAsia"/>
          <w:spacing w:val="-2"/>
        </w:rPr>
        <w:t>臺</w:t>
      </w:r>
      <w:proofErr w:type="gramEnd"/>
      <w:r w:rsidRPr="00185996">
        <w:rPr>
          <w:rFonts w:ascii="標楷體" w:eastAsia="標楷體" w:hAnsi="標楷體" w:cs="Times New Roman" w:hint="eastAsia"/>
          <w:spacing w:val="-2"/>
        </w:rPr>
        <w:t>、車柱、車輛等宣傳管道，持續宣導民眾投保公共自行車傷害險</w:t>
      </w:r>
      <w:r>
        <w:rPr>
          <w:rFonts w:ascii="標楷體" w:eastAsia="標楷體" w:hAnsi="標楷體" w:cs="Times New Roman" w:hint="eastAsia"/>
          <w:spacing w:val="-2"/>
        </w:rPr>
        <w:t>，以提升</w:t>
      </w:r>
      <w:r w:rsidRPr="00185996">
        <w:rPr>
          <w:rFonts w:ascii="標楷體" w:eastAsia="標楷體" w:hAnsi="標楷體" w:cs="Times New Roman" w:hint="eastAsia"/>
          <w:spacing w:val="-2"/>
        </w:rPr>
        <w:t>騎乘公共自行車</w:t>
      </w:r>
      <w:r>
        <w:rPr>
          <w:rFonts w:ascii="標楷體" w:eastAsia="標楷體" w:hAnsi="標楷體" w:cs="Times New Roman" w:hint="eastAsia"/>
          <w:spacing w:val="-2"/>
        </w:rPr>
        <w:t>民眾之保障。</w:t>
      </w:r>
    </w:p>
    <w:p w14:paraId="0880607B" w14:textId="046CB7D1" w:rsidR="00CC5AFC" w:rsidRDefault="00CC5AFC" w:rsidP="004654B1">
      <w:pPr>
        <w:suppressAutoHyphens/>
        <w:overflowPunct w:val="0"/>
        <w:spacing w:beforeLines="50" w:before="180" w:line="460" w:lineRule="exact"/>
        <w:ind w:firstLineChars="100" w:firstLine="280"/>
        <w:jc w:val="both"/>
        <w:rPr>
          <w:rFonts w:ascii="標楷體" w:eastAsia="標楷體"/>
          <w:b/>
          <w:sz w:val="28"/>
          <w:szCs w:val="28"/>
        </w:rPr>
      </w:pPr>
      <w:r>
        <w:rPr>
          <w:rFonts w:ascii="標楷體" w:eastAsia="標楷體" w:hint="eastAsia"/>
          <w:b/>
          <w:sz w:val="28"/>
          <w:szCs w:val="28"/>
        </w:rPr>
        <w:t>（二）</w:t>
      </w:r>
      <w:r w:rsidRPr="00A31C81">
        <w:rPr>
          <w:rFonts w:ascii="標楷體" w:eastAsia="標楷體" w:hint="eastAsia"/>
          <w:b/>
          <w:sz w:val="28"/>
          <w:szCs w:val="28"/>
        </w:rPr>
        <w:t>持續稽查民營停車場</w:t>
      </w:r>
      <w:r>
        <w:rPr>
          <w:rFonts w:ascii="標楷體" w:eastAsia="標楷體" w:hint="eastAsia"/>
          <w:b/>
          <w:sz w:val="28"/>
          <w:szCs w:val="28"/>
        </w:rPr>
        <w:t>違規營業情形並輔導</w:t>
      </w:r>
      <w:r w:rsidRPr="00A31C81">
        <w:rPr>
          <w:rFonts w:ascii="標楷體" w:eastAsia="標楷體" w:hint="eastAsia"/>
          <w:b/>
          <w:sz w:val="28"/>
          <w:szCs w:val="28"/>
        </w:rPr>
        <w:t>申領登記證後營業，</w:t>
      </w:r>
      <w:proofErr w:type="gramStart"/>
      <w:r w:rsidRPr="00A31C81">
        <w:rPr>
          <w:rFonts w:ascii="標楷體" w:eastAsia="標楷體" w:hint="eastAsia"/>
          <w:b/>
          <w:sz w:val="28"/>
          <w:szCs w:val="28"/>
        </w:rPr>
        <w:t>惟間有未</w:t>
      </w:r>
      <w:proofErr w:type="gramEnd"/>
      <w:r>
        <w:rPr>
          <w:rFonts w:ascii="標楷體" w:eastAsia="標楷體" w:hint="eastAsia"/>
          <w:b/>
          <w:sz w:val="28"/>
          <w:szCs w:val="28"/>
        </w:rPr>
        <w:t>掌握</w:t>
      </w:r>
      <w:r w:rsidRPr="00A31C81">
        <w:rPr>
          <w:rFonts w:ascii="標楷體" w:eastAsia="標楷體" w:hint="eastAsia"/>
          <w:b/>
          <w:sz w:val="28"/>
          <w:szCs w:val="28"/>
        </w:rPr>
        <w:t>業者未領證</w:t>
      </w:r>
      <w:r>
        <w:rPr>
          <w:rFonts w:ascii="標楷體" w:eastAsia="標楷體" w:hint="eastAsia"/>
          <w:b/>
          <w:sz w:val="28"/>
          <w:szCs w:val="28"/>
        </w:rPr>
        <w:t>違規</w:t>
      </w:r>
      <w:r w:rsidRPr="00A31C81">
        <w:rPr>
          <w:rFonts w:ascii="標楷體" w:eastAsia="標楷體" w:hint="eastAsia"/>
          <w:b/>
          <w:sz w:val="28"/>
          <w:szCs w:val="28"/>
        </w:rPr>
        <w:t>營業</w:t>
      </w:r>
      <w:r>
        <w:rPr>
          <w:rFonts w:ascii="標楷體" w:eastAsia="標楷體" w:hint="eastAsia"/>
          <w:b/>
          <w:sz w:val="28"/>
          <w:szCs w:val="28"/>
        </w:rPr>
        <w:t>情形</w:t>
      </w:r>
      <w:r w:rsidRPr="00A31C81">
        <w:rPr>
          <w:rFonts w:ascii="標楷體" w:eastAsia="標楷體" w:hint="eastAsia"/>
          <w:b/>
          <w:sz w:val="28"/>
          <w:szCs w:val="28"/>
        </w:rPr>
        <w:t>，</w:t>
      </w:r>
      <w:r>
        <w:rPr>
          <w:rFonts w:ascii="標楷體" w:eastAsia="標楷體" w:hint="eastAsia"/>
          <w:b/>
          <w:sz w:val="28"/>
          <w:szCs w:val="28"/>
        </w:rPr>
        <w:t>另針對</w:t>
      </w:r>
      <w:r w:rsidRPr="00A31C81">
        <w:rPr>
          <w:rFonts w:ascii="標楷體" w:eastAsia="標楷體" w:hint="eastAsia"/>
          <w:b/>
          <w:sz w:val="28"/>
          <w:szCs w:val="28"/>
        </w:rPr>
        <w:t>效期</w:t>
      </w:r>
      <w:r w:rsidRPr="00606D4C">
        <w:rPr>
          <w:rFonts w:ascii="標楷體" w:eastAsia="標楷體" w:hAnsi="標楷體" w:cs="Times New Roman" w:hint="eastAsia"/>
          <w:b/>
          <w:sz w:val="28"/>
          <w:szCs w:val="28"/>
        </w:rPr>
        <w:t>屆滿</w:t>
      </w:r>
      <w:r>
        <w:rPr>
          <w:rFonts w:ascii="標楷體" w:eastAsia="標楷體" w:hint="eastAsia"/>
          <w:b/>
          <w:sz w:val="28"/>
          <w:szCs w:val="28"/>
        </w:rPr>
        <w:t>後未換證者，亦未積極控管其有無營業事實</w:t>
      </w:r>
      <w:r w:rsidRPr="00A31C81">
        <w:rPr>
          <w:rFonts w:ascii="標楷體" w:eastAsia="標楷體" w:hint="eastAsia"/>
          <w:b/>
          <w:sz w:val="28"/>
          <w:szCs w:val="28"/>
        </w:rPr>
        <w:t>，有待檢討</w:t>
      </w:r>
      <w:r>
        <w:rPr>
          <w:rFonts w:ascii="標楷體" w:eastAsia="標楷體" w:hint="eastAsia"/>
          <w:b/>
          <w:sz w:val="28"/>
          <w:szCs w:val="28"/>
        </w:rPr>
        <w:t>強化稽查作為</w:t>
      </w:r>
      <w:r w:rsidRPr="00A31C81">
        <w:rPr>
          <w:rFonts w:ascii="標楷體" w:eastAsia="標楷體" w:hint="eastAsia"/>
          <w:b/>
          <w:sz w:val="28"/>
          <w:szCs w:val="28"/>
        </w:rPr>
        <w:t>，以健全停車場管理。</w:t>
      </w:r>
    </w:p>
    <w:p w14:paraId="43241BE0" w14:textId="019F720A" w:rsidR="004654B1" w:rsidRPr="004654B1" w:rsidRDefault="004654B1" w:rsidP="004654B1">
      <w:pPr>
        <w:suppressAutoHyphens/>
        <w:overflowPunct w:val="0"/>
        <w:spacing w:beforeLines="30" w:before="108" w:line="450" w:lineRule="exact"/>
        <w:ind w:firstLineChars="200" w:firstLine="480"/>
        <w:jc w:val="both"/>
        <w:rPr>
          <w:rFonts w:ascii="標楷體" w:eastAsia="標楷體" w:hAnsi="標楷體"/>
          <w:b/>
          <w:spacing w:val="2"/>
        </w:rPr>
      </w:pPr>
      <w:r w:rsidRPr="00A31C81">
        <w:rPr>
          <w:rFonts w:ascii="標楷體" w:eastAsia="標楷體" w:hAnsi="標楷體" w:hint="eastAsia"/>
        </w:rPr>
        <w:t>按停車場法第25條第1項、第26條及第37條規定，路外公共停車場應於開放使用前，由負責人訂定管理規範，向地方主管機關報請核備，領得停車場登記證後，始得依法營業；違反第25條或第26條規定者，處負責人新臺幣3,000元以上1萬5,000元以下罰鍰，並責令限期改正。</w:t>
      </w:r>
      <w:r>
        <w:rPr>
          <w:rFonts w:ascii="標楷體" w:eastAsia="標楷體" w:hAnsi="標楷體" w:hint="eastAsia"/>
        </w:rPr>
        <w:t>又</w:t>
      </w:r>
      <w:r w:rsidRPr="00F3081D">
        <w:rPr>
          <w:rFonts w:ascii="標楷體" w:eastAsia="標楷體" w:hAnsi="標楷體" w:hint="eastAsia"/>
        </w:rPr>
        <w:t>停車管理工程處肩負</w:t>
      </w:r>
      <w:r>
        <w:rPr>
          <w:rFonts w:ascii="標楷體" w:eastAsia="標楷體" w:hAnsi="標楷體" w:hint="eastAsia"/>
        </w:rPr>
        <w:t>臺</w:t>
      </w:r>
      <w:r w:rsidRPr="00F3081D">
        <w:rPr>
          <w:rFonts w:ascii="標楷體" w:eastAsia="標楷體" w:hAnsi="標楷體" w:hint="eastAsia"/>
        </w:rPr>
        <w:t>北市停車場管理職責</w:t>
      </w:r>
      <w:r>
        <w:rPr>
          <w:rFonts w:ascii="標楷體" w:eastAsia="標楷體" w:hAnsi="標楷體" w:hint="eastAsia"/>
        </w:rPr>
        <w:t>，為執行停車場法規定，</w:t>
      </w:r>
      <w:r w:rsidRPr="00F3081D">
        <w:rPr>
          <w:rFonts w:ascii="標楷體" w:eastAsia="標楷體" w:hAnsi="標楷體" w:hint="eastAsia"/>
        </w:rPr>
        <w:t>訂有「未辦理停車場登記證違規營業停車場之查核與輔導作業」機制，</w:t>
      </w:r>
      <w:r>
        <w:rPr>
          <w:rFonts w:ascii="標楷體" w:eastAsia="標楷體" w:hAnsi="標楷體" w:hint="eastAsia"/>
        </w:rPr>
        <w:t>並於</w:t>
      </w:r>
      <w:proofErr w:type="gramStart"/>
      <w:r w:rsidRPr="00F3081D">
        <w:rPr>
          <w:rFonts w:ascii="標楷體" w:eastAsia="標楷體" w:hAnsi="標楷體" w:hint="eastAsia"/>
        </w:rPr>
        <w:t>113</w:t>
      </w:r>
      <w:proofErr w:type="gramEnd"/>
      <w:r w:rsidRPr="00F3081D">
        <w:rPr>
          <w:rFonts w:ascii="標楷體" w:eastAsia="標楷體" w:hAnsi="標楷體" w:hint="eastAsia"/>
        </w:rPr>
        <w:t>年度編列裁處罰鍰及</w:t>
      </w:r>
      <w:r>
        <w:rPr>
          <w:rFonts w:ascii="標楷體" w:eastAsia="標楷體" w:hAnsi="標楷體" w:hint="eastAsia"/>
        </w:rPr>
        <w:t>收取</w:t>
      </w:r>
      <w:r w:rsidRPr="00F3081D">
        <w:rPr>
          <w:rFonts w:ascii="標楷體" w:eastAsia="標楷體" w:hAnsi="標楷體" w:hint="eastAsia"/>
        </w:rPr>
        <w:t>規費</w:t>
      </w:r>
      <w:r>
        <w:rPr>
          <w:rFonts w:ascii="標楷體" w:eastAsia="標楷體" w:hAnsi="標楷體" w:hint="eastAsia"/>
        </w:rPr>
        <w:t>等</w:t>
      </w:r>
      <w:r w:rsidRPr="00F3081D">
        <w:rPr>
          <w:rFonts w:ascii="標楷體" w:eastAsia="標楷體" w:hAnsi="標楷體" w:hint="eastAsia"/>
        </w:rPr>
        <w:t>歲入預算268萬餘元、</w:t>
      </w:r>
      <w:r>
        <w:rPr>
          <w:rFonts w:ascii="標楷體" w:eastAsia="標楷體" w:hAnsi="標楷體" w:hint="eastAsia"/>
        </w:rPr>
        <w:t>停車管理</w:t>
      </w:r>
      <w:proofErr w:type="gramStart"/>
      <w:r>
        <w:rPr>
          <w:rFonts w:ascii="標楷體" w:eastAsia="標楷體" w:hAnsi="標楷體" w:hint="eastAsia"/>
        </w:rPr>
        <w:t>業務等</w:t>
      </w:r>
      <w:r w:rsidRPr="00F3081D">
        <w:rPr>
          <w:rFonts w:ascii="標楷體" w:eastAsia="標楷體" w:hAnsi="標楷體" w:hint="eastAsia"/>
        </w:rPr>
        <w:t>歲出</w:t>
      </w:r>
      <w:proofErr w:type="gramEnd"/>
      <w:r w:rsidRPr="00F3081D">
        <w:rPr>
          <w:rFonts w:ascii="標楷體" w:eastAsia="標楷體" w:hAnsi="標楷體" w:hint="eastAsia"/>
        </w:rPr>
        <w:t>預算15萬餘元。</w:t>
      </w:r>
      <w:r>
        <w:rPr>
          <w:rFonts w:ascii="標楷體" w:eastAsia="標楷體" w:hAnsi="標楷體" w:hint="eastAsia"/>
        </w:rPr>
        <w:t>停車管理工程處</w:t>
      </w:r>
      <w:r w:rsidRPr="00F3081D">
        <w:rPr>
          <w:rFonts w:ascii="標楷體" w:eastAsia="標楷體" w:hAnsi="標楷體" w:hint="eastAsia"/>
        </w:rPr>
        <w:t>截至113年8月7日</w:t>
      </w:r>
      <w:r w:rsidRPr="004654B1">
        <w:rPr>
          <w:rFonts w:ascii="標楷體" w:eastAsia="標楷體" w:hAnsi="標楷體" w:hint="eastAsia"/>
          <w:spacing w:val="2"/>
        </w:rPr>
        <w:t>止計列管轄內1,340場民營停車場登記證資料，經運用政府資料開放平</w:t>
      </w:r>
      <w:proofErr w:type="gramStart"/>
      <w:r w:rsidRPr="004654B1">
        <w:rPr>
          <w:rFonts w:ascii="標楷體" w:eastAsia="標楷體" w:hAnsi="標楷體" w:hint="eastAsia"/>
          <w:spacing w:val="2"/>
        </w:rPr>
        <w:t>臺</w:t>
      </w:r>
      <w:proofErr w:type="gramEnd"/>
      <w:r w:rsidRPr="004654B1">
        <w:rPr>
          <w:rFonts w:ascii="標楷體" w:eastAsia="標楷體" w:hAnsi="標楷體" w:hint="eastAsia"/>
          <w:spacing w:val="2"/>
        </w:rPr>
        <w:t>公告之全國營業</w:t>
      </w:r>
      <w:proofErr w:type="gramStart"/>
      <w:r w:rsidRPr="004654B1">
        <w:rPr>
          <w:rFonts w:ascii="標楷體" w:eastAsia="標楷體" w:hAnsi="標楷體" w:hint="eastAsia"/>
          <w:spacing w:val="2"/>
        </w:rPr>
        <w:t>（</w:t>
      </w:r>
      <w:proofErr w:type="gramEnd"/>
      <w:r w:rsidRPr="004654B1">
        <w:rPr>
          <w:rFonts w:ascii="標楷體" w:eastAsia="標楷體" w:hAnsi="標楷體" w:hint="eastAsia"/>
          <w:spacing w:val="2"/>
        </w:rPr>
        <w:t>稅</w:t>
      </w:r>
    </w:p>
    <w:p w14:paraId="4001F174" w14:textId="03528B2D" w:rsidR="00CC5AFC" w:rsidRDefault="004654B1" w:rsidP="004654B1">
      <w:pPr>
        <w:overflowPunct w:val="0"/>
        <w:spacing w:line="440" w:lineRule="exact"/>
        <w:jc w:val="both"/>
        <w:rPr>
          <w:rFonts w:ascii="標楷體" w:eastAsia="標楷體" w:hAnsi="標楷體"/>
        </w:rPr>
      </w:pPr>
      <w:r w:rsidRPr="00B679CA">
        <w:rPr>
          <w:rFonts w:ascii="標楷體" w:eastAsia="標楷體" w:hAnsi="標楷體" w:cs="Times New Roman"/>
          <w:noProof/>
          <w:szCs w:val="20"/>
        </w:rPr>
        <w:lastRenderedPageBreak/>
        <mc:AlternateContent>
          <mc:Choice Requires="wps">
            <w:drawing>
              <wp:anchor distT="45720" distB="45720" distL="114300" distR="114300" simplePos="0" relativeHeight="251762688" behindDoc="1" locked="0" layoutInCell="1" allowOverlap="1" wp14:anchorId="69518464" wp14:editId="1719BC17">
                <wp:simplePos x="0" y="0"/>
                <wp:positionH relativeFrom="column">
                  <wp:posOffset>2332355</wp:posOffset>
                </wp:positionH>
                <wp:positionV relativeFrom="page">
                  <wp:posOffset>933450</wp:posOffset>
                </wp:positionV>
                <wp:extent cx="4000500" cy="4354830"/>
                <wp:effectExtent l="0" t="0" r="0" b="7620"/>
                <wp:wrapTight wrapText="bothSides">
                  <wp:wrapPolygon edited="0">
                    <wp:start x="0" y="0"/>
                    <wp:lineTo x="0" y="21543"/>
                    <wp:lineTo x="21497" y="21543"/>
                    <wp:lineTo x="21497" y="0"/>
                    <wp:lineTo x="0" y="0"/>
                  </wp:wrapPolygon>
                </wp:wrapTight>
                <wp:docPr id="57" name="文字方塊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4354830"/>
                        </a:xfrm>
                        <a:prstGeom prst="rect">
                          <a:avLst/>
                        </a:prstGeom>
                        <a:solidFill>
                          <a:srgbClr val="FFFFFF"/>
                        </a:solidFill>
                        <a:ln w="9525">
                          <a:noFill/>
                          <a:miter lim="800000"/>
                          <a:headEnd/>
                          <a:tailEnd/>
                        </a:ln>
                      </wps:spPr>
                      <wps:txbx>
                        <w:txbxContent>
                          <w:p w14:paraId="6D818A93" w14:textId="77777777" w:rsidR="00CC5AFC" w:rsidRPr="00B679CA" w:rsidRDefault="00CC5AFC" w:rsidP="009900E9">
                            <w:pPr>
                              <w:pStyle w:val="3e"/>
                              <w:keepNext w:val="0"/>
                              <w:overflowPunct w:val="0"/>
                              <w:adjustRightInd w:val="0"/>
                              <w:spacing w:line="260" w:lineRule="exact"/>
                              <w:jc w:val="center"/>
                              <w:outlineLvl w:val="9"/>
                              <w:rPr>
                                <w:rFonts w:ascii="標楷體" w:hAnsi="標楷體"/>
                                <w:b/>
                                <w:color w:val="000000"/>
                                <w:kern w:val="0"/>
                                <w:sz w:val="24"/>
                                <w:szCs w:val="24"/>
                              </w:rPr>
                            </w:pPr>
                            <w:r w:rsidRPr="00B679CA">
                              <w:rPr>
                                <w:rFonts w:ascii="標楷體" w:hAnsi="標楷體" w:hint="eastAsia"/>
                                <w:b/>
                                <w:color w:val="000000"/>
                                <w:kern w:val="0"/>
                                <w:sz w:val="24"/>
                                <w:szCs w:val="24"/>
                              </w:rPr>
                              <w:t>表</w:t>
                            </w:r>
                            <w:r>
                              <w:rPr>
                                <w:rFonts w:ascii="標楷體" w:hAnsi="標楷體"/>
                                <w:b/>
                                <w:color w:val="000000"/>
                                <w:kern w:val="0"/>
                                <w:sz w:val="24"/>
                                <w:szCs w:val="24"/>
                              </w:rPr>
                              <w:t>3</w:t>
                            </w:r>
                            <w:r w:rsidRPr="00B679CA">
                              <w:rPr>
                                <w:rFonts w:ascii="標楷體" w:hAnsi="標楷體" w:hint="eastAsia"/>
                                <w:b/>
                                <w:color w:val="000000"/>
                                <w:kern w:val="0"/>
                                <w:sz w:val="24"/>
                                <w:szCs w:val="24"/>
                              </w:rPr>
                              <w:t xml:space="preserve"> </w:t>
                            </w:r>
                            <w:r>
                              <w:rPr>
                                <w:rFonts w:ascii="標楷體" w:hAnsi="標楷體"/>
                                <w:b/>
                                <w:color w:val="000000"/>
                                <w:kern w:val="0"/>
                                <w:sz w:val="24"/>
                                <w:szCs w:val="24"/>
                              </w:rPr>
                              <w:t xml:space="preserve"> </w:t>
                            </w:r>
                            <w:r w:rsidRPr="00B679CA">
                              <w:rPr>
                                <w:rFonts w:ascii="標楷體" w:hAnsi="標楷體" w:hint="eastAsia"/>
                                <w:b/>
                                <w:color w:val="000000"/>
                                <w:kern w:val="0"/>
                                <w:sz w:val="24"/>
                                <w:szCs w:val="24"/>
                              </w:rPr>
                              <w:t>民營停車場有</w:t>
                            </w:r>
                            <w:proofErr w:type="gramStart"/>
                            <w:r w:rsidRPr="00B679CA">
                              <w:rPr>
                                <w:rFonts w:ascii="標楷體" w:hAnsi="標楷體" w:hint="eastAsia"/>
                                <w:b/>
                                <w:color w:val="000000"/>
                                <w:kern w:val="0"/>
                                <w:sz w:val="24"/>
                                <w:szCs w:val="24"/>
                              </w:rPr>
                              <w:t>營業稅籍卻未</w:t>
                            </w:r>
                            <w:proofErr w:type="gramEnd"/>
                            <w:r w:rsidRPr="00B679CA">
                              <w:rPr>
                                <w:rFonts w:ascii="標楷體" w:hAnsi="標楷體" w:hint="eastAsia"/>
                                <w:b/>
                                <w:color w:val="000000"/>
                                <w:kern w:val="0"/>
                                <w:sz w:val="24"/>
                                <w:szCs w:val="24"/>
                              </w:rPr>
                              <w:t>申領停車場登記證情形</w:t>
                            </w:r>
                          </w:p>
                          <w:tbl>
                            <w:tblPr>
                              <w:tblStyle w:val="a6"/>
                              <w:tblW w:w="6033" w:type="dxa"/>
                              <w:tblLook w:val="04A0" w:firstRow="1" w:lastRow="0" w:firstColumn="1" w:lastColumn="0" w:noHBand="0" w:noVBand="1"/>
                            </w:tblPr>
                            <w:tblGrid>
                              <w:gridCol w:w="704"/>
                              <w:gridCol w:w="5329"/>
                            </w:tblGrid>
                            <w:tr w:rsidR="00CC5AFC" w14:paraId="5DB21DB9" w14:textId="77777777" w:rsidTr="009900E9">
                              <w:trPr>
                                <w:trHeight w:val="340"/>
                                <w:tblHeader/>
                              </w:trPr>
                              <w:tc>
                                <w:tcPr>
                                  <w:tcW w:w="704" w:type="dxa"/>
                                  <w:shd w:val="clear" w:color="auto" w:fill="FFFFFF"/>
                                  <w:vAlign w:val="center"/>
                                </w:tcPr>
                                <w:p w14:paraId="1DAE275C"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序號</w:t>
                                  </w:r>
                                </w:p>
                              </w:tc>
                              <w:tc>
                                <w:tcPr>
                                  <w:tcW w:w="5329" w:type="dxa"/>
                                  <w:shd w:val="clear" w:color="auto" w:fill="FFFFFF"/>
                                  <w:vAlign w:val="center"/>
                                </w:tcPr>
                                <w:p w14:paraId="3D28B4F0" w14:textId="77777777" w:rsidR="00CC5AFC" w:rsidRPr="00EB0AAE" w:rsidRDefault="00CC5AFC" w:rsidP="00824CD6">
                                  <w:pPr>
                                    <w:pStyle w:val="3e"/>
                                    <w:keepNext w:val="0"/>
                                    <w:overflowPunct w:val="0"/>
                                    <w:adjustRightInd w:val="0"/>
                                    <w:spacing w:line="240" w:lineRule="exact"/>
                                    <w:ind w:firstLine="400"/>
                                    <w:jc w:val="center"/>
                                    <w:outlineLvl w:val="9"/>
                                    <w:rPr>
                                      <w:rFonts w:ascii="標楷體" w:hAnsi="標楷體"/>
                                      <w:sz w:val="20"/>
                                    </w:rPr>
                                  </w:pPr>
                                  <w:r w:rsidRPr="00B679CA">
                                    <w:rPr>
                                      <w:rFonts w:ascii="標楷體" w:hAnsi="標楷體" w:hint="eastAsia"/>
                                      <w:color w:val="000000"/>
                                      <w:kern w:val="0"/>
                                      <w:sz w:val="20"/>
                                    </w:rPr>
                                    <w:t>名稱</w:t>
                                  </w:r>
                                </w:p>
                              </w:tc>
                            </w:tr>
                            <w:tr w:rsidR="00CC5AFC" w14:paraId="6B254DAD" w14:textId="77777777" w:rsidTr="009900E9">
                              <w:trPr>
                                <w:trHeight w:val="340"/>
                                <w:tblHeader/>
                              </w:trPr>
                              <w:tc>
                                <w:tcPr>
                                  <w:tcW w:w="704" w:type="dxa"/>
                                  <w:vAlign w:val="center"/>
                                </w:tcPr>
                                <w:p w14:paraId="152B2770"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w:t>
                                  </w:r>
                                </w:p>
                              </w:tc>
                              <w:tc>
                                <w:tcPr>
                                  <w:tcW w:w="5329" w:type="dxa"/>
                                  <w:vAlign w:val="center"/>
                                </w:tcPr>
                                <w:p w14:paraId="3394B660" w14:textId="77777777" w:rsidR="00CC5AFC" w:rsidRPr="00EA530B" w:rsidRDefault="00CC5AFC" w:rsidP="009900E9">
                                  <w:pPr>
                                    <w:pStyle w:val="3e"/>
                                    <w:keepNext w:val="0"/>
                                    <w:overflowPunct w:val="0"/>
                                    <w:adjustRightInd w:val="0"/>
                                    <w:spacing w:line="260" w:lineRule="exact"/>
                                    <w:jc w:val="left"/>
                                    <w:outlineLvl w:val="9"/>
                                    <w:rPr>
                                      <w:rFonts w:ascii="標楷體" w:hAnsi="標楷體"/>
                                      <w:color w:val="000000"/>
                                      <w:sz w:val="20"/>
                                    </w:rPr>
                                  </w:pPr>
                                  <w:r w:rsidRPr="00B679CA">
                                    <w:rPr>
                                      <w:rFonts w:ascii="標楷體" w:hAnsi="標楷體" w:hint="eastAsia"/>
                                      <w:color w:val="000000"/>
                                      <w:kern w:val="0"/>
                                      <w:sz w:val="20"/>
                                    </w:rPr>
                                    <w:t>新○○企業有限公司瑞○大樓停車場</w:t>
                                  </w:r>
                                </w:p>
                              </w:tc>
                            </w:tr>
                            <w:tr w:rsidR="00CC5AFC" w14:paraId="37BD75E5" w14:textId="77777777" w:rsidTr="009900E9">
                              <w:trPr>
                                <w:trHeight w:val="340"/>
                                <w:tblHeader/>
                              </w:trPr>
                              <w:tc>
                                <w:tcPr>
                                  <w:tcW w:w="704" w:type="dxa"/>
                                  <w:vAlign w:val="center"/>
                                </w:tcPr>
                                <w:p w14:paraId="1121C6A8"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2</w:t>
                                  </w:r>
                                </w:p>
                              </w:tc>
                              <w:tc>
                                <w:tcPr>
                                  <w:tcW w:w="5329" w:type="dxa"/>
                                  <w:vAlign w:val="center"/>
                                </w:tcPr>
                                <w:p w14:paraId="57CEE895"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和○行動服務股份有限公司台北北○路停車場</w:t>
                                  </w:r>
                                </w:p>
                              </w:tc>
                            </w:tr>
                            <w:tr w:rsidR="00CC5AFC" w14:paraId="4925F93E" w14:textId="77777777" w:rsidTr="009900E9">
                              <w:trPr>
                                <w:trHeight w:val="340"/>
                                <w:tblHeader/>
                              </w:trPr>
                              <w:tc>
                                <w:tcPr>
                                  <w:tcW w:w="704" w:type="dxa"/>
                                  <w:vAlign w:val="center"/>
                                </w:tcPr>
                                <w:p w14:paraId="7A609CE4"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3</w:t>
                                  </w:r>
                                </w:p>
                              </w:tc>
                              <w:tc>
                                <w:tcPr>
                                  <w:tcW w:w="5329" w:type="dxa"/>
                                  <w:vAlign w:val="center"/>
                                </w:tcPr>
                                <w:p w14:paraId="676FDAB3"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新○建設首○天下停車場</w:t>
                                  </w:r>
                                </w:p>
                              </w:tc>
                            </w:tr>
                            <w:tr w:rsidR="00CC5AFC" w14:paraId="7BF04D4E" w14:textId="77777777" w:rsidTr="009900E9">
                              <w:trPr>
                                <w:trHeight w:val="340"/>
                                <w:tblHeader/>
                              </w:trPr>
                              <w:tc>
                                <w:tcPr>
                                  <w:tcW w:w="704" w:type="dxa"/>
                                  <w:vAlign w:val="center"/>
                                </w:tcPr>
                                <w:p w14:paraId="50D78ECC"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4</w:t>
                                  </w:r>
                                </w:p>
                              </w:tc>
                              <w:tc>
                                <w:tcPr>
                                  <w:tcW w:w="5329" w:type="dxa"/>
                                  <w:vAlign w:val="center"/>
                                </w:tcPr>
                                <w:p w14:paraId="788E08B0" w14:textId="77777777" w:rsidR="00CC5AFC" w:rsidRPr="00EA530B" w:rsidRDefault="00CC5AFC" w:rsidP="009900E9">
                                  <w:pPr>
                                    <w:pStyle w:val="3e"/>
                                    <w:keepNext w:val="0"/>
                                    <w:overflowPunct w:val="0"/>
                                    <w:adjustRightInd w:val="0"/>
                                    <w:spacing w:line="260" w:lineRule="exact"/>
                                    <w:jc w:val="left"/>
                                    <w:outlineLvl w:val="9"/>
                                    <w:rPr>
                                      <w:rFonts w:ascii="標楷體" w:hAnsi="標楷體"/>
                                      <w:color w:val="000000"/>
                                      <w:sz w:val="20"/>
                                    </w:rPr>
                                  </w:pPr>
                                  <w:r w:rsidRPr="00B679CA">
                                    <w:rPr>
                                      <w:rFonts w:ascii="標楷體" w:hAnsi="標楷體" w:hint="eastAsia"/>
                                      <w:color w:val="000000"/>
                                      <w:kern w:val="0"/>
                                      <w:sz w:val="20"/>
                                    </w:rPr>
                                    <w:t>新○○企業有限公司吉○停車場</w:t>
                                  </w:r>
                                </w:p>
                              </w:tc>
                            </w:tr>
                            <w:tr w:rsidR="00CC5AFC" w14:paraId="037B422B" w14:textId="77777777" w:rsidTr="009900E9">
                              <w:trPr>
                                <w:trHeight w:val="340"/>
                                <w:tblHeader/>
                              </w:trPr>
                              <w:tc>
                                <w:tcPr>
                                  <w:tcW w:w="704" w:type="dxa"/>
                                  <w:vAlign w:val="center"/>
                                </w:tcPr>
                                <w:p w14:paraId="4CD2B5D3"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5</w:t>
                                  </w:r>
                                </w:p>
                              </w:tc>
                              <w:tc>
                                <w:tcPr>
                                  <w:tcW w:w="5329" w:type="dxa"/>
                                  <w:vAlign w:val="center"/>
                                </w:tcPr>
                                <w:p w14:paraId="4A964FAB"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台灣普客○○股份有限公司大○街停車場</w:t>
                                  </w:r>
                                </w:p>
                              </w:tc>
                            </w:tr>
                            <w:tr w:rsidR="00CC5AFC" w14:paraId="5ED3F5C9" w14:textId="77777777" w:rsidTr="009900E9">
                              <w:trPr>
                                <w:trHeight w:val="340"/>
                                <w:tblHeader/>
                              </w:trPr>
                              <w:tc>
                                <w:tcPr>
                                  <w:tcW w:w="704" w:type="dxa"/>
                                  <w:vAlign w:val="center"/>
                                </w:tcPr>
                                <w:p w14:paraId="2AA62671"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6</w:t>
                                  </w:r>
                                </w:p>
                              </w:tc>
                              <w:tc>
                                <w:tcPr>
                                  <w:tcW w:w="5329" w:type="dxa"/>
                                  <w:vAlign w:val="center"/>
                                </w:tcPr>
                                <w:p w14:paraId="431D8714" w14:textId="77777777" w:rsidR="00CC5AFC" w:rsidRPr="00EA530B" w:rsidRDefault="00CC5AFC" w:rsidP="009900E9">
                                  <w:pPr>
                                    <w:pStyle w:val="3e"/>
                                    <w:keepNext w:val="0"/>
                                    <w:overflowPunct w:val="0"/>
                                    <w:adjustRightInd w:val="0"/>
                                    <w:spacing w:line="260" w:lineRule="exact"/>
                                    <w:jc w:val="left"/>
                                    <w:outlineLvl w:val="9"/>
                                    <w:rPr>
                                      <w:rFonts w:ascii="標楷體" w:hAnsi="標楷體"/>
                                      <w:color w:val="000000"/>
                                      <w:sz w:val="20"/>
                                    </w:rPr>
                                  </w:pPr>
                                  <w:r w:rsidRPr="00B679CA">
                                    <w:rPr>
                                      <w:rFonts w:ascii="標楷體" w:hAnsi="標楷體" w:hint="eastAsia"/>
                                      <w:color w:val="000000"/>
                                      <w:kern w:val="0"/>
                                      <w:sz w:val="20"/>
                                    </w:rPr>
                                    <w:t>台灣普客○○股份有限公司杭○南路停車場</w:t>
                                  </w:r>
                                </w:p>
                              </w:tc>
                            </w:tr>
                            <w:tr w:rsidR="00CC5AFC" w14:paraId="0B20B7FC" w14:textId="77777777" w:rsidTr="009900E9">
                              <w:trPr>
                                <w:trHeight w:val="340"/>
                                <w:tblHeader/>
                              </w:trPr>
                              <w:tc>
                                <w:tcPr>
                                  <w:tcW w:w="704" w:type="dxa"/>
                                  <w:vAlign w:val="center"/>
                                </w:tcPr>
                                <w:p w14:paraId="048912F7"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7</w:t>
                                  </w:r>
                                </w:p>
                              </w:tc>
                              <w:tc>
                                <w:tcPr>
                                  <w:tcW w:w="5329" w:type="dxa"/>
                                  <w:vAlign w:val="center"/>
                                </w:tcPr>
                                <w:p w14:paraId="19A93346"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台灣普客○○股份有限公司杭○南路第3停車場</w:t>
                                  </w:r>
                                </w:p>
                              </w:tc>
                            </w:tr>
                            <w:tr w:rsidR="00CC5AFC" w14:paraId="15026357" w14:textId="77777777" w:rsidTr="009900E9">
                              <w:trPr>
                                <w:trHeight w:val="340"/>
                                <w:tblHeader/>
                              </w:trPr>
                              <w:tc>
                                <w:tcPr>
                                  <w:tcW w:w="704" w:type="dxa"/>
                                  <w:vAlign w:val="center"/>
                                </w:tcPr>
                                <w:p w14:paraId="013EF0D4"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8</w:t>
                                  </w:r>
                                </w:p>
                              </w:tc>
                              <w:tc>
                                <w:tcPr>
                                  <w:tcW w:w="5329" w:type="dxa"/>
                                  <w:vAlign w:val="center"/>
                                </w:tcPr>
                                <w:p w14:paraId="66A9A3EB"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貴○停車場</w:t>
                                  </w:r>
                                </w:p>
                              </w:tc>
                            </w:tr>
                            <w:tr w:rsidR="00CC5AFC" w14:paraId="26238754" w14:textId="77777777" w:rsidTr="009900E9">
                              <w:trPr>
                                <w:trHeight w:val="340"/>
                                <w:tblHeader/>
                              </w:trPr>
                              <w:tc>
                                <w:tcPr>
                                  <w:tcW w:w="704" w:type="dxa"/>
                                  <w:vAlign w:val="center"/>
                                </w:tcPr>
                                <w:p w14:paraId="17A9ADF1"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9</w:t>
                                  </w:r>
                                </w:p>
                              </w:tc>
                              <w:tc>
                                <w:tcPr>
                                  <w:tcW w:w="5329" w:type="dxa"/>
                                  <w:vAlign w:val="center"/>
                                </w:tcPr>
                                <w:p w14:paraId="6382A5E7"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和○行動服務股份有限公司台北臨○街停車場</w:t>
                                  </w:r>
                                </w:p>
                              </w:tc>
                            </w:tr>
                            <w:tr w:rsidR="00CC5AFC" w14:paraId="703BAA1E" w14:textId="77777777" w:rsidTr="009900E9">
                              <w:trPr>
                                <w:trHeight w:val="340"/>
                                <w:tblHeader/>
                              </w:trPr>
                              <w:tc>
                                <w:tcPr>
                                  <w:tcW w:w="704" w:type="dxa"/>
                                  <w:vAlign w:val="center"/>
                                </w:tcPr>
                                <w:p w14:paraId="3C0B7762"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10</w:t>
                                  </w:r>
                                </w:p>
                              </w:tc>
                              <w:tc>
                                <w:tcPr>
                                  <w:tcW w:w="5329" w:type="dxa"/>
                                  <w:vAlign w:val="center"/>
                                </w:tcPr>
                                <w:p w14:paraId="1EEFCA96"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台灣○○停車場開發股份有限公司松山慈○堂停車場</w:t>
                                  </w:r>
                                </w:p>
                              </w:tc>
                            </w:tr>
                            <w:tr w:rsidR="00CC5AFC" w14:paraId="58450214" w14:textId="77777777" w:rsidTr="009900E9">
                              <w:trPr>
                                <w:trHeight w:val="340"/>
                                <w:tblHeader/>
                              </w:trPr>
                              <w:tc>
                                <w:tcPr>
                                  <w:tcW w:w="704" w:type="dxa"/>
                                  <w:vAlign w:val="center"/>
                                </w:tcPr>
                                <w:p w14:paraId="3BFA21A2"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11</w:t>
                                  </w:r>
                                </w:p>
                              </w:tc>
                              <w:tc>
                                <w:tcPr>
                                  <w:tcW w:w="5329" w:type="dxa"/>
                                  <w:vAlign w:val="center"/>
                                </w:tcPr>
                                <w:p w14:paraId="05E90A83"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吳○停車場</w:t>
                                  </w:r>
                                </w:p>
                              </w:tc>
                            </w:tr>
                            <w:tr w:rsidR="00CC5AFC" w14:paraId="446064BD" w14:textId="77777777" w:rsidTr="009900E9">
                              <w:trPr>
                                <w:trHeight w:val="340"/>
                                <w:tblHeader/>
                              </w:trPr>
                              <w:tc>
                                <w:tcPr>
                                  <w:tcW w:w="704" w:type="dxa"/>
                                  <w:vAlign w:val="center"/>
                                </w:tcPr>
                                <w:p w14:paraId="6A6DA5D6"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12</w:t>
                                  </w:r>
                                </w:p>
                              </w:tc>
                              <w:tc>
                                <w:tcPr>
                                  <w:tcW w:w="5329" w:type="dxa"/>
                                  <w:vAlign w:val="center"/>
                                </w:tcPr>
                                <w:p w14:paraId="0B7FE427"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榮○停車場</w:t>
                                  </w:r>
                                </w:p>
                              </w:tc>
                            </w:tr>
                            <w:tr w:rsidR="00CC5AFC" w14:paraId="680C4F9C" w14:textId="77777777" w:rsidTr="009900E9">
                              <w:trPr>
                                <w:trHeight w:val="340"/>
                                <w:tblHeader/>
                              </w:trPr>
                              <w:tc>
                                <w:tcPr>
                                  <w:tcW w:w="704" w:type="dxa"/>
                                  <w:vAlign w:val="center"/>
                                </w:tcPr>
                                <w:p w14:paraId="410585D2"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13</w:t>
                                  </w:r>
                                </w:p>
                              </w:tc>
                              <w:tc>
                                <w:tcPr>
                                  <w:tcW w:w="5329" w:type="dxa"/>
                                  <w:vAlign w:val="center"/>
                                </w:tcPr>
                                <w:p w14:paraId="0BEB96FE"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博○停車場開發股份有限公司松○站</w:t>
                                  </w:r>
                                </w:p>
                              </w:tc>
                            </w:tr>
                            <w:tr w:rsidR="00CC5AFC" w14:paraId="052E79DE" w14:textId="77777777" w:rsidTr="009900E9">
                              <w:trPr>
                                <w:trHeight w:val="340"/>
                                <w:tblHeader/>
                              </w:trPr>
                              <w:tc>
                                <w:tcPr>
                                  <w:tcW w:w="704" w:type="dxa"/>
                                  <w:vAlign w:val="center"/>
                                </w:tcPr>
                                <w:p w14:paraId="3B56FC7F"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14</w:t>
                                  </w:r>
                                </w:p>
                              </w:tc>
                              <w:tc>
                                <w:tcPr>
                                  <w:tcW w:w="5329" w:type="dxa"/>
                                  <w:vAlign w:val="center"/>
                                </w:tcPr>
                                <w:p w14:paraId="13217266"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安○停車事業有限公司雅○停車場</w:t>
                                  </w:r>
                                </w:p>
                              </w:tc>
                            </w:tr>
                            <w:tr w:rsidR="00CC5AFC" w14:paraId="65305091" w14:textId="77777777" w:rsidTr="009900E9">
                              <w:trPr>
                                <w:trHeight w:val="340"/>
                                <w:tblHeader/>
                              </w:trPr>
                              <w:tc>
                                <w:tcPr>
                                  <w:tcW w:w="704" w:type="dxa"/>
                                  <w:vAlign w:val="center"/>
                                </w:tcPr>
                                <w:p w14:paraId="6305DFB6"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15</w:t>
                                  </w:r>
                                </w:p>
                              </w:tc>
                              <w:tc>
                                <w:tcPr>
                                  <w:tcW w:w="5329" w:type="dxa"/>
                                  <w:vAlign w:val="center"/>
                                </w:tcPr>
                                <w:p w14:paraId="73642D71" w14:textId="77777777" w:rsidR="00CC5AFC" w:rsidRPr="00EA530B" w:rsidRDefault="00CC5AFC" w:rsidP="009900E9">
                                  <w:pPr>
                                    <w:pStyle w:val="3e"/>
                                    <w:keepNext w:val="0"/>
                                    <w:overflowPunct w:val="0"/>
                                    <w:adjustRightInd w:val="0"/>
                                    <w:spacing w:line="260" w:lineRule="exact"/>
                                    <w:jc w:val="left"/>
                                    <w:outlineLvl w:val="9"/>
                                    <w:rPr>
                                      <w:rFonts w:ascii="標楷體" w:hAnsi="標楷體"/>
                                      <w:color w:val="000000"/>
                                      <w:sz w:val="20"/>
                                    </w:rPr>
                                  </w:pPr>
                                  <w:r w:rsidRPr="00B679CA">
                                    <w:rPr>
                                      <w:rFonts w:ascii="標楷體" w:hAnsi="標楷體" w:hint="eastAsia"/>
                                      <w:color w:val="000000"/>
                                      <w:kern w:val="0"/>
                                      <w:sz w:val="20"/>
                                    </w:rPr>
                                    <w:t>台灣普客○○股份有限公司松○路第3停車場</w:t>
                                  </w:r>
                                </w:p>
                              </w:tc>
                            </w:tr>
                            <w:tr w:rsidR="00CC5AFC" w14:paraId="6CC80728" w14:textId="77777777" w:rsidTr="009900E9">
                              <w:trPr>
                                <w:trHeight w:val="340"/>
                                <w:tblHeader/>
                              </w:trPr>
                              <w:tc>
                                <w:tcPr>
                                  <w:tcW w:w="704" w:type="dxa"/>
                                  <w:tcBorders>
                                    <w:bottom w:val="single" w:sz="4" w:space="0" w:color="auto"/>
                                  </w:tcBorders>
                                  <w:vAlign w:val="center"/>
                                </w:tcPr>
                                <w:p w14:paraId="098FC915"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16</w:t>
                                  </w:r>
                                </w:p>
                              </w:tc>
                              <w:tc>
                                <w:tcPr>
                                  <w:tcW w:w="5329" w:type="dxa"/>
                                  <w:tcBorders>
                                    <w:bottom w:val="single" w:sz="4" w:space="0" w:color="auto"/>
                                  </w:tcBorders>
                                  <w:vAlign w:val="center"/>
                                </w:tcPr>
                                <w:p w14:paraId="6C21EE83" w14:textId="77777777" w:rsidR="00CC5AFC" w:rsidRPr="00EA530B" w:rsidRDefault="00CC5AFC" w:rsidP="009900E9">
                                  <w:pPr>
                                    <w:pStyle w:val="3e"/>
                                    <w:keepNext w:val="0"/>
                                    <w:overflowPunct w:val="0"/>
                                    <w:adjustRightInd w:val="0"/>
                                    <w:spacing w:line="260" w:lineRule="exact"/>
                                    <w:jc w:val="left"/>
                                    <w:outlineLvl w:val="9"/>
                                    <w:rPr>
                                      <w:rFonts w:ascii="標楷體" w:hAnsi="標楷體"/>
                                      <w:color w:val="000000"/>
                                      <w:sz w:val="20"/>
                                    </w:rPr>
                                  </w:pPr>
                                  <w:r w:rsidRPr="00B679CA">
                                    <w:rPr>
                                      <w:rFonts w:ascii="標楷體" w:hAnsi="標楷體" w:hint="eastAsia"/>
                                      <w:color w:val="000000"/>
                                      <w:kern w:val="0"/>
                                      <w:sz w:val="20"/>
                                    </w:rPr>
                                    <w:t>榮○科技股份有限公司樂○二路停車場</w:t>
                                  </w:r>
                                </w:p>
                              </w:tc>
                            </w:tr>
                          </w:tbl>
                          <w:p w14:paraId="50C77534" w14:textId="77777777" w:rsidR="00CC5AFC" w:rsidRDefault="00CC5AFC" w:rsidP="00CC5AFC">
                            <w:pPr>
                              <w:spacing w:line="240" w:lineRule="exact"/>
                              <w:rPr>
                                <w:rFonts w:ascii="標楷體" w:eastAsia="標楷體" w:hAnsi="標楷體"/>
                                <w:sz w:val="18"/>
                                <w:szCs w:val="14"/>
                              </w:rPr>
                            </w:pPr>
                            <w:proofErr w:type="gramStart"/>
                            <w:r>
                              <w:rPr>
                                <w:rFonts w:ascii="標楷體" w:eastAsia="標楷體" w:hAnsi="標楷體" w:hint="eastAsia"/>
                                <w:sz w:val="18"/>
                                <w:szCs w:val="14"/>
                              </w:rPr>
                              <w:t>註</w:t>
                            </w:r>
                            <w:proofErr w:type="gramEnd"/>
                            <w:r>
                              <w:rPr>
                                <w:rFonts w:ascii="標楷體" w:eastAsia="標楷體" w:hAnsi="標楷體" w:hint="eastAsia"/>
                                <w:sz w:val="18"/>
                                <w:szCs w:val="14"/>
                              </w:rPr>
                              <w:t>：1</w:t>
                            </w:r>
                            <w:r>
                              <w:rPr>
                                <w:rFonts w:ascii="標楷體" w:eastAsia="標楷體" w:hAnsi="標楷體"/>
                                <w:sz w:val="18"/>
                                <w:szCs w:val="14"/>
                              </w:rPr>
                              <w:t>.</w:t>
                            </w:r>
                            <w:r>
                              <w:rPr>
                                <w:rFonts w:ascii="標楷體" w:eastAsia="標楷體" w:hAnsi="標楷體" w:hint="eastAsia"/>
                                <w:sz w:val="18"/>
                                <w:szCs w:val="14"/>
                              </w:rPr>
                              <w:t>資料統計截止日為1</w:t>
                            </w:r>
                            <w:r>
                              <w:rPr>
                                <w:rFonts w:ascii="標楷體" w:eastAsia="標楷體" w:hAnsi="標楷體"/>
                                <w:sz w:val="18"/>
                                <w:szCs w:val="14"/>
                              </w:rPr>
                              <w:t>13</w:t>
                            </w:r>
                            <w:r>
                              <w:rPr>
                                <w:rFonts w:ascii="標楷體" w:eastAsia="標楷體" w:hAnsi="標楷體" w:hint="eastAsia"/>
                                <w:sz w:val="18"/>
                                <w:szCs w:val="14"/>
                              </w:rPr>
                              <w:t>年10月30日。</w:t>
                            </w:r>
                          </w:p>
                          <w:p w14:paraId="0EE8267B" w14:textId="77777777" w:rsidR="00CC5AFC" w:rsidRPr="006D26F8" w:rsidRDefault="00CC5AFC" w:rsidP="00CC5AFC">
                            <w:pPr>
                              <w:spacing w:line="240" w:lineRule="exact"/>
                              <w:ind w:firstLineChars="200" w:firstLine="360"/>
                              <w:rPr>
                                <w:rFonts w:ascii="標楷體" w:eastAsia="標楷體" w:hAnsi="標楷體"/>
                                <w:sz w:val="18"/>
                                <w:szCs w:val="14"/>
                              </w:rPr>
                            </w:pPr>
                            <w:r>
                              <w:rPr>
                                <w:rFonts w:ascii="標楷體" w:eastAsia="標楷體" w:hAnsi="標楷體"/>
                                <w:sz w:val="18"/>
                                <w:szCs w:val="14"/>
                              </w:rPr>
                              <w:t>2.</w:t>
                            </w:r>
                            <w:r w:rsidRPr="006D26F8">
                              <w:rPr>
                                <w:rFonts w:ascii="標楷體" w:eastAsia="標楷體" w:hAnsi="標楷體" w:hint="eastAsia"/>
                                <w:sz w:val="18"/>
                                <w:szCs w:val="14"/>
                              </w:rPr>
                              <w:t>資料來源</w:t>
                            </w:r>
                            <w:r>
                              <w:rPr>
                                <w:rFonts w:ascii="標楷體" w:eastAsia="標楷體" w:hAnsi="標楷體" w:hint="eastAsia"/>
                                <w:sz w:val="18"/>
                                <w:szCs w:val="14"/>
                              </w:rPr>
                              <w:t>：</w:t>
                            </w:r>
                            <w:r w:rsidRPr="006D26F8">
                              <w:rPr>
                                <w:rFonts w:ascii="標楷體" w:eastAsia="標楷體" w:hAnsi="標楷體" w:hint="eastAsia"/>
                                <w:sz w:val="18"/>
                                <w:szCs w:val="14"/>
                              </w:rPr>
                              <w:t>整理自</w:t>
                            </w:r>
                            <w:r>
                              <w:rPr>
                                <w:rFonts w:ascii="標楷體" w:eastAsia="標楷體" w:hAnsi="標楷體" w:hint="eastAsia"/>
                                <w:sz w:val="18"/>
                                <w:szCs w:val="14"/>
                              </w:rPr>
                              <w:t>停車</w:t>
                            </w:r>
                            <w:r w:rsidRPr="006D26F8">
                              <w:rPr>
                                <w:rFonts w:ascii="標楷體" w:eastAsia="標楷體" w:hAnsi="標楷體" w:hint="eastAsia"/>
                                <w:sz w:val="18"/>
                                <w:szCs w:val="14"/>
                              </w:rPr>
                              <w:t>管</w:t>
                            </w:r>
                            <w:r>
                              <w:rPr>
                                <w:rFonts w:ascii="標楷體" w:eastAsia="標楷體" w:hAnsi="標楷體" w:hint="eastAsia"/>
                                <w:sz w:val="18"/>
                                <w:szCs w:val="14"/>
                              </w:rPr>
                              <w:t>理工程</w:t>
                            </w:r>
                            <w:r w:rsidRPr="006D26F8">
                              <w:rPr>
                                <w:rFonts w:ascii="標楷體" w:eastAsia="標楷體" w:hAnsi="標楷體" w:hint="eastAsia"/>
                                <w:sz w:val="18"/>
                                <w:szCs w:val="14"/>
                              </w:rPr>
                              <w:t>處提供資料。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9518464" id="文字方塊 57" o:spid="_x0000_s1086" type="#_x0000_t202" style="position:absolute;left:0;text-align:left;margin-left:183.65pt;margin-top:73.5pt;width:315pt;height:342.9pt;z-index:-2515537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" stroked="f">
                <v:textbox style="mso-fit-shape-to-text:t">
                  <w:txbxContent>
                    <w:p w14:paraId="6D818A93" w14:textId="77777777" w:rsidR="00CC5AFC" w:rsidRPr="00B679CA" w:rsidRDefault="00CC5AFC" w:rsidP="009900E9">
                      <w:pPr>
                        <w:pStyle w:val="3e"/>
                        <w:keepNext w:val="0"/>
                        <w:overflowPunct w:val="0"/>
                        <w:adjustRightInd w:val="0"/>
                        <w:spacing w:line="260" w:lineRule="exact"/>
                        <w:jc w:val="center"/>
                        <w:outlineLvl w:val="9"/>
                        <w:rPr>
                          <w:rFonts w:ascii="標楷體" w:hAnsi="標楷體"/>
                          <w:b/>
                          <w:color w:val="000000"/>
                          <w:kern w:val="0"/>
                          <w:sz w:val="24"/>
                          <w:szCs w:val="24"/>
                        </w:rPr>
                      </w:pPr>
                      <w:r w:rsidRPr="00B679CA">
                        <w:rPr>
                          <w:rFonts w:ascii="標楷體" w:hAnsi="標楷體" w:hint="eastAsia"/>
                          <w:b/>
                          <w:color w:val="000000"/>
                          <w:kern w:val="0"/>
                          <w:sz w:val="24"/>
                          <w:szCs w:val="24"/>
                        </w:rPr>
                        <w:t>表</w:t>
                      </w:r>
                      <w:r>
                        <w:rPr>
                          <w:rFonts w:ascii="標楷體" w:hAnsi="標楷體"/>
                          <w:b/>
                          <w:color w:val="000000"/>
                          <w:kern w:val="0"/>
                          <w:sz w:val="24"/>
                          <w:szCs w:val="24"/>
                        </w:rPr>
                        <w:t>3</w:t>
                      </w:r>
                      <w:r w:rsidRPr="00B679CA">
                        <w:rPr>
                          <w:rFonts w:ascii="標楷體" w:hAnsi="標楷體" w:hint="eastAsia"/>
                          <w:b/>
                          <w:color w:val="000000"/>
                          <w:kern w:val="0"/>
                          <w:sz w:val="24"/>
                          <w:szCs w:val="24"/>
                        </w:rPr>
                        <w:t xml:space="preserve"> </w:t>
                      </w:r>
                      <w:r>
                        <w:rPr>
                          <w:rFonts w:ascii="標楷體" w:hAnsi="標楷體"/>
                          <w:b/>
                          <w:color w:val="000000"/>
                          <w:kern w:val="0"/>
                          <w:sz w:val="24"/>
                          <w:szCs w:val="24"/>
                        </w:rPr>
                        <w:t xml:space="preserve"> </w:t>
                      </w:r>
                      <w:r w:rsidRPr="00B679CA">
                        <w:rPr>
                          <w:rFonts w:ascii="標楷體" w:hAnsi="標楷體" w:hint="eastAsia"/>
                          <w:b/>
                          <w:color w:val="000000"/>
                          <w:kern w:val="0"/>
                          <w:sz w:val="24"/>
                          <w:szCs w:val="24"/>
                        </w:rPr>
                        <w:t>民營停車場有</w:t>
                      </w:r>
                      <w:proofErr w:type="gramStart"/>
                      <w:r w:rsidRPr="00B679CA">
                        <w:rPr>
                          <w:rFonts w:ascii="標楷體" w:hAnsi="標楷體" w:hint="eastAsia"/>
                          <w:b/>
                          <w:color w:val="000000"/>
                          <w:kern w:val="0"/>
                          <w:sz w:val="24"/>
                          <w:szCs w:val="24"/>
                        </w:rPr>
                        <w:t>營業稅籍卻未</w:t>
                      </w:r>
                      <w:proofErr w:type="gramEnd"/>
                      <w:r w:rsidRPr="00B679CA">
                        <w:rPr>
                          <w:rFonts w:ascii="標楷體" w:hAnsi="標楷體" w:hint="eastAsia"/>
                          <w:b/>
                          <w:color w:val="000000"/>
                          <w:kern w:val="0"/>
                          <w:sz w:val="24"/>
                          <w:szCs w:val="24"/>
                        </w:rPr>
                        <w:t>申領停車場登記證情形</w:t>
                      </w:r>
                    </w:p>
                    <w:tbl>
                      <w:tblPr>
                        <w:tblStyle w:val="a6"/>
                        <w:tblW w:w="6033" w:type="dxa"/>
                        <w:tblLook w:val="04A0" w:firstRow="1" w:lastRow="0" w:firstColumn="1" w:lastColumn="0" w:noHBand="0" w:noVBand="1"/>
                      </w:tblPr>
                      <w:tblGrid>
                        <w:gridCol w:w="704"/>
                        <w:gridCol w:w="5329"/>
                      </w:tblGrid>
                      <w:tr w:rsidR="00CC5AFC" w14:paraId="5DB21DB9" w14:textId="77777777" w:rsidTr="009900E9">
                        <w:trPr>
                          <w:trHeight w:val="340"/>
                          <w:tblHeader/>
                        </w:trPr>
                        <w:tc>
                          <w:tcPr>
                            <w:tcW w:w="704" w:type="dxa"/>
                            <w:shd w:val="clear" w:color="auto" w:fill="FFFFFF"/>
                            <w:vAlign w:val="center"/>
                          </w:tcPr>
                          <w:p w14:paraId="1DAE275C"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序號</w:t>
                            </w:r>
                          </w:p>
                        </w:tc>
                        <w:tc>
                          <w:tcPr>
                            <w:tcW w:w="5329" w:type="dxa"/>
                            <w:shd w:val="clear" w:color="auto" w:fill="FFFFFF"/>
                            <w:vAlign w:val="center"/>
                          </w:tcPr>
                          <w:p w14:paraId="3D28B4F0" w14:textId="77777777" w:rsidR="00CC5AFC" w:rsidRPr="00EB0AAE" w:rsidRDefault="00CC5AFC" w:rsidP="00824CD6">
                            <w:pPr>
                              <w:pStyle w:val="3e"/>
                              <w:keepNext w:val="0"/>
                              <w:overflowPunct w:val="0"/>
                              <w:adjustRightInd w:val="0"/>
                              <w:spacing w:line="240" w:lineRule="exact"/>
                              <w:ind w:firstLine="400"/>
                              <w:jc w:val="center"/>
                              <w:outlineLvl w:val="9"/>
                              <w:rPr>
                                <w:rFonts w:ascii="標楷體" w:hAnsi="標楷體"/>
                                <w:sz w:val="20"/>
                              </w:rPr>
                            </w:pPr>
                            <w:r w:rsidRPr="00B679CA">
                              <w:rPr>
                                <w:rFonts w:ascii="標楷體" w:hAnsi="標楷體" w:hint="eastAsia"/>
                                <w:color w:val="000000"/>
                                <w:kern w:val="0"/>
                                <w:sz w:val="20"/>
                              </w:rPr>
                              <w:t>名稱</w:t>
                            </w:r>
                          </w:p>
                        </w:tc>
                      </w:tr>
                      <w:tr w:rsidR="00CC5AFC" w14:paraId="6B254DAD" w14:textId="77777777" w:rsidTr="009900E9">
                        <w:trPr>
                          <w:trHeight w:val="340"/>
                          <w:tblHeader/>
                        </w:trPr>
                        <w:tc>
                          <w:tcPr>
                            <w:tcW w:w="704" w:type="dxa"/>
                            <w:vAlign w:val="center"/>
                          </w:tcPr>
                          <w:p w14:paraId="152B2770"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w:t>
                            </w:r>
                          </w:p>
                        </w:tc>
                        <w:tc>
                          <w:tcPr>
                            <w:tcW w:w="5329" w:type="dxa"/>
                            <w:vAlign w:val="center"/>
                          </w:tcPr>
                          <w:p w14:paraId="3394B660" w14:textId="77777777" w:rsidR="00CC5AFC" w:rsidRPr="00EA530B" w:rsidRDefault="00CC5AFC" w:rsidP="009900E9">
                            <w:pPr>
                              <w:pStyle w:val="3e"/>
                              <w:keepNext w:val="0"/>
                              <w:overflowPunct w:val="0"/>
                              <w:adjustRightInd w:val="0"/>
                              <w:spacing w:line="260" w:lineRule="exact"/>
                              <w:jc w:val="left"/>
                              <w:outlineLvl w:val="9"/>
                              <w:rPr>
                                <w:rFonts w:ascii="標楷體" w:hAnsi="標楷體"/>
                                <w:color w:val="000000"/>
                                <w:sz w:val="20"/>
                              </w:rPr>
                            </w:pPr>
                            <w:r w:rsidRPr="00B679CA">
                              <w:rPr>
                                <w:rFonts w:ascii="標楷體" w:hAnsi="標楷體" w:hint="eastAsia"/>
                                <w:color w:val="000000"/>
                                <w:kern w:val="0"/>
                                <w:sz w:val="20"/>
                              </w:rPr>
                              <w:t>新○○企業有限公司瑞○大樓停車場</w:t>
                            </w:r>
                          </w:p>
                        </w:tc>
                      </w:tr>
                      <w:tr w:rsidR="00CC5AFC" w14:paraId="37BD75E5" w14:textId="77777777" w:rsidTr="009900E9">
                        <w:trPr>
                          <w:trHeight w:val="340"/>
                          <w:tblHeader/>
                        </w:trPr>
                        <w:tc>
                          <w:tcPr>
                            <w:tcW w:w="704" w:type="dxa"/>
                            <w:vAlign w:val="center"/>
                          </w:tcPr>
                          <w:p w14:paraId="1121C6A8"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2</w:t>
                            </w:r>
                          </w:p>
                        </w:tc>
                        <w:tc>
                          <w:tcPr>
                            <w:tcW w:w="5329" w:type="dxa"/>
                            <w:vAlign w:val="center"/>
                          </w:tcPr>
                          <w:p w14:paraId="57CEE895"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和○行動服務股份有限公司台北北○路停車場</w:t>
                            </w:r>
                          </w:p>
                        </w:tc>
                      </w:tr>
                      <w:tr w:rsidR="00CC5AFC" w14:paraId="4925F93E" w14:textId="77777777" w:rsidTr="009900E9">
                        <w:trPr>
                          <w:trHeight w:val="340"/>
                          <w:tblHeader/>
                        </w:trPr>
                        <w:tc>
                          <w:tcPr>
                            <w:tcW w:w="704" w:type="dxa"/>
                            <w:vAlign w:val="center"/>
                          </w:tcPr>
                          <w:p w14:paraId="7A609CE4"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3</w:t>
                            </w:r>
                          </w:p>
                        </w:tc>
                        <w:tc>
                          <w:tcPr>
                            <w:tcW w:w="5329" w:type="dxa"/>
                            <w:vAlign w:val="center"/>
                          </w:tcPr>
                          <w:p w14:paraId="676FDAB3"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新○建設首○天下停車場</w:t>
                            </w:r>
                          </w:p>
                        </w:tc>
                      </w:tr>
                      <w:tr w:rsidR="00CC5AFC" w14:paraId="7BF04D4E" w14:textId="77777777" w:rsidTr="009900E9">
                        <w:trPr>
                          <w:trHeight w:val="340"/>
                          <w:tblHeader/>
                        </w:trPr>
                        <w:tc>
                          <w:tcPr>
                            <w:tcW w:w="704" w:type="dxa"/>
                            <w:vAlign w:val="center"/>
                          </w:tcPr>
                          <w:p w14:paraId="50D78ECC"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4</w:t>
                            </w:r>
                          </w:p>
                        </w:tc>
                        <w:tc>
                          <w:tcPr>
                            <w:tcW w:w="5329" w:type="dxa"/>
                            <w:vAlign w:val="center"/>
                          </w:tcPr>
                          <w:p w14:paraId="788E08B0" w14:textId="77777777" w:rsidR="00CC5AFC" w:rsidRPr="00EA530B" w:rsidRDefault="00CC5AFC" w:rsidP="009900E9">
                            <w:pPr>
                              <w:pStyle w:val="3e"/>
                              <w:keepNext w:val="0"/>
                              <w:overflowPunct w:val="0"/>
                              <w:adjustRightInd w:val="0"/>
                              <w:spacing w:line="260" w:lineRule="exact"/>
                              <w:jc w:val="left"/>
                              <w:outlineLvl w:val="9"/>
                              <w:rPr>
                                <w:rFonts w:ascii="標楷體" w:hAnsi="標楷體"/>
                                <w:color w:val="000000"/>
                                <w:sz w:val="20"/>
                              </w:rPr>
                            </w:pPr>
                            <w:r w:rsidRPr="00B679CA">
                              <w:rPr>
                                <w:rFonts w:ascii="標楷體" w:hAnsi="標楷體" w:hint="eastAsia"/>
                                <w:color w:val="000000"/>
                                <w:kern w:val="0"/>
                                <w:sz w:val="20"/>
                              </w:rPr>
                              <w:t>新○○企業有限公司吉○停車場</w:t>
                            </w:r>
                          </w:p>
                        </w:tc>
                      </w:tr>
                      <w:tr w:rsidR="00CC5AFC" w14:paraId="037B422B" w14:textId="77777777" w:rsidTr="009900E9">
                        <w:trPr>
                          <w:trHeight w:val="340"/>
                          <w:tblHeader/>
                        </w:trPr>
                        <w:tc>
                          <w:tcPr>
                            <w:tcW w:w="704" w:type="dxa"/>
                            <w:vAlign w:val="center"/>
                          </w:tcPr>
                          <w:p w14:paraId="4CD2B5D3"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5</w:t>
                            </w:r>
                          </w:p>
                        </w:tc>
                        <w:tc>
                          <w:tcPr>
                            <w:tcW w:w="5329" w:type="dxa"/>
                            <w:vAlign w:val="center"/>
                          </w:tcPr>
                          <w:p w14:paraId="4A964FAB"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台灣普客○○股份有限公司大○街停車場</w:t>
                            </w:r>
                          </w:p>
                        </w:tc>
                      </w:tr>
                      <w:tr w:rsidR="00CC5AFC" w14:paraId="5ED3F5C9" w14:textId="77777777" w:rsidTr="009900E9">
                        <w:trPr>
                          <w:trHeight w:val="340"/>
                          <w:tblHeader/>
                        </w:trPr>
                        <w:tc>
                          <w:tcPr>
                            <w:tcW w:w="704" w:type="dxa"/>
                            <w:vAlign w:val="center"/>
                          </w:tcPr>
                          <w:p w14:paraId="2AA62671"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6</w:t>
                            </w:r>
                          </w:p>
                        </w:tc>
                        <w:tc>
                          <w:tcPr>
                            <w:tcW w:w="5329" w:type="dxa"/>
                            <w:vAlign w:val="center"/>
                          </w:tcPr>
                          <w:p w14:paraId="431D8714" w14:textId="77777777" w:rsidR="00CC5AFC" w:rsidRPr="00EA530B" w:rsidRDefault="00CC5AFC" w:rsidP="009900E9">
                            <w:pPr>
                              <w:pStyle w:val="3e"/>
                              <w:keepNext w:val="0"/>
                              <w:overflowPunct w:val="0"/>
                              <w:adjustRightInd w:val="0"/>
                              <w:spacing w:line="260" w:lineRule="exact"/>
                              <w:jc w:val="left"/>
                              <w:outlineLvl w:val="9"/>
                              <w:rPr>
                                <w:rFonts w:ascii="標楷體" w:hAnsi="標楷體"/>
                                <w:color w:val="000000"/>
                                <w:sz w:val="20"/>
                              </w:rPr>
                            </w:pPr>
                            <w:r w:rsidRPr="00B679CA">
                              <w:rPr>
                                <w:rFonts w:ascii="標楷體" w:hAnsi="標楷體" w:hint="eastAsia"/>
                                <w:color w:val="000000"/>
                                <w:kern w:val="0"/>
                                <w:sz w:val="20"/>
                              </w:rPr>
                              <w:t>台灣普客○○股份有限公司杭○南路停車場</w:t>
                            </w:r>
                          </w:p>
                        </w:tc>
                      </w:tr>
                      <w:tr w:rsidR="00CC5AFC" w14:paraId="0B20B7FC" w14:textId="77777777" w:rsidTr="009900E9">
                        <w:trPr>
                          <w:trHeight w:val="340"/>
                          <w:tblHeader/>
                        </w:trPr>
                        <w:tc>
                          <w:tcPr>
                            <w:tcW w:w="704" w:type="dxa"/>
                            <w:vAlign w:val="center"/>
                          </w:tcPr>
                          <w:p w14:paraId="048912F7"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7</w:t>
                            </w:r>
                          </w:p>
                        </w:tc>
                        <w:tc>
                          <w:tcPr>
                            <w:tcW w:w="5329" w:type="dxa"/>
                            <w:vAlign w:val="center"/>
                          </w:tcPr>
                          <w:p w14:paraId="19A93346"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台灣普客○○股份有限公司杭○南路第3停車場</w:t>
                            </w:r>
                          </w:p>
                        </w:tc>
                      </w:tr>
                      <w:tr w:rsidR="00CC5AFC" w14:paraId="15026357" w14:textId="77777777" w:rsidTr="009900E9">
                        <w:trPr>
                          <w:trHeight w:val="340"/>
                          <w:tblHeader/>
                        </w:trPr>
                        <w:tc>
                          <w:tcPr>
                            <w:tcW w:w="704" w:type="dxa"/>
                            <w:vAlign w:val="center"/>
                          </w:tcPr>
                          <w:p w14:paraId="013EF0D4"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8</w:t>
                            </w:r>
                          </w:p>
                        </w:tc>
                        <w:tc>
                          <w:tcPr>
                            <w:tcW w:w="5329" w:type="dxa"/>
                            <w:vAlign w:val="center"/>
                          </w:tcPr>
                          <w:p w14:paraId="66A9A3EB"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貴○停車場</w:t>
                            </w:r>
                          </w:p>
                        </w:tc>
                      </w:tr>
                      <w:tr w:rsidR="00CC5AFC" w14:paraId="26238754" w14:textId="77777777" w:rsidTr="009900E9">
                        <w:trPr>
                          <w:trHeight w:val="340"/>
                          <w:tblHeader/>
                        </w:trPr>
                        <w:tc>
                          <w:tcPr>
                            <w:tcW w:w="704" w:type="dxa"/>
                            <w:vAlign w:val="center"/>
                          </w:tcPr>
                          <w:p w14:paraId="17A9ADF1"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9</w:t>
                            </w:r>
                          </w:p>
                        </w:tc>
                        <w:tc>
                          <w:tcPr>
                            <w:tcW w:w="5329" w:type="dxa"/>
                            <w:vAlign w:val="center"/>
                          </w:tcPr>
                          <w:p w14:paraId="6382A5E7"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和○行動服務股份有限公司台北臨○街停車場</w:t>
                            </w:r>
                          </w:p>
                        </w:tc>
                      </w:tr>
                      <w:tr w:rsidR="00CC5AFC" w14:paraId="703BAA1E" w14:textId="77777777" w:rsidTr="009900E9">
                        <w:trPr>
                          <w:trHeight w:val="340"/>
                          <w:tblHeader/>
                        </w:trPr>
                        <w:tc>
                          <w:tcPr>
                            <w:tcW w:w="704" w:type="dxa"/>
                            <w:vAlign w:val="center"/>
                          </w:tcPr>
                          <w:p w14:paraId="3C0B7762"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10</w:t>
                            </w:r>
                          </w:p>
                        </w:tc>
                        <w:tc>
                          <w:tcPr>
                            <w:tcW w:w="5329" w:type="dxa"/>
                            <w:vAlign w:val="center"/>
                          </w:tcPr>
                          <w:p w14:paraId="1EEFCA96"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台灣○○停車場開發股份有限公司松山慈○堂停車場</w:t>
                            </w:r>
                          </w:p>
                        </w:tc>
                      </w:tr>
                      <w:tr w:rsidR="00CC5AFC" w14:paraId="58450214" w14:textId="77777777" w:rsidTr="009900E9">
                        <w:trPr>
                          <w:trHeight w:val="340"/>
                          <w:tblHeader/>
                        </w:trPr>
                        <w:tc>
                          <w:tcPr>
                            <w:tcW w:w="704" w:type="dxa"/>
                            <w:vAlign w:val="center"/>
                          </w:tcPr>
                          <w:p w14:paraId="3BFA21A2"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11</w:t>
                            </w:r>
                          </w:p>
                        </w:tc>
                        <w:tc>
                          <w:tcPr>
                            <w:tcW w:w="5329" w:type="dxa"/>
                            <w:vAlign w:val="center"/>
                          </w:tcPr>
                          <w:p w14:paraId="05E90A83"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吳○停車場</w:t>
                            </w:r>
                          </w:p>
                        </w:tc>
                      </w:tr>
                      <w:tr w:rsidR="00CC5AFC" w14:paraId="446064BD" w14:textId="77777777" w:rsidTr="009900E9">
                        <w:trPr>
                          <w:trHeight w:val="340"/>
                          <w:tblHeader/>
                        </w:trPr>
                        <w:tc>
                          <w:tcPr>
                            <w:tcW w:w="704" w:type="dxa"/>
                            <w:vAlign w:val="center"/>
                          </w:tcPr>
                          <w:p w14:paraId="6A6DA5D6"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12</w:t>
                            </w:r>
                          </w:p>
                        </w:tc>
                        <w:tc>
                          <w:tcPr>
                            <w:tcW w:w="5329" w:type="dxa"/>
                            <w:vAlign w:val="center"/>
                          </w:tcPr>
                          <w:p w14:paraId="0B7FE427"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榮○停車場</w:t>
                            </w:r>
                          </w:p>
                        </w:tc>
                      </w:tr>
                      <w:tr w:rsidR="00CC5AFC" w14:paraId="680C4F9C" w14:textId="77777777" w:rsidTr="009900E9">
                        <w:trPr>
                          <w:trHeight w:val="340"/>
                          <w:tblHeader/>
                        </w:trPr>
                        <w:tc>
                          <w:tcPr>
                            <w:tcW w:w="704" w:type="dxa"/>
                            <w:vAlign w:val="center"/>
                          </w:tcPr>
                          <w:p w14:paraId="410585D2"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13</w:t>
                            </w:r>
                          </w:p>
                        </w:tc>
                        <w:tc>
                          <w:tcPr>
                            <w:tcW w:w="5329" w:type="dxa"/>
                            <w:vAlign w:val="center"/>
                          </w:tcPr>
                          <w:p w14:paraId="0BEB96FE"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博○停車場開發股份有限公司松○站</w:t>
                            </w:r>
                          </w:p>
                        </w:tc>
                      </w:tr>
                      <w:tr w:rsidR="00CC5AFC" w14:paraId="052E79DE" w14:textId="77777777" w:rsidTr="009900E9">
                        <w:trPr>
                          <w:trHeight w:val="340"/>
                          <w:tblHeader/>
                        </w:trPr>
                        <w:tc>
                          <w:tcPr>
                            <w:tcW w:w="704" w:type="dxa"/>
                            <w:vAlign w:val="center"/>
                          </w:tcPr>
                          <w:p w14:paraId="3B56FC7F"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14</w:t>
                            </w:r>
                          </w:p>
                        </w:tc>
                        <w:tc>
                          <w:tcPr>
                            <w:tcW w:w="5329" w:type="dxa"/>
                            <w:vAlign w:val="center"/>
                          </w:tcPr>
                          <w:p w14:paraId="13217266" w14:textId="77777777" w:rsidR="00CC5AFC" w:rsidRPr="00B679CA" w:rsidRDefault="00CC5AFC" w:rsidP="009900E9">
                            <w:pPr>
                              <w:pStyle w:val="3e"/>
                              <w:keepNext w:val="0"/>
                              <w:overflowPunct w:val="0"/>
                              <w:adjustRightInd w:val="0"/>
                              <w:spacing w:line="260" w:lineRule="exact"/>
                              <w:jc w:val="left"/>
                              <w:outlineLvl w:val="9"/>
                              <w:rPr>
                                <w:rFonts w:ascii="標楷體" w:hAnsi="標楷體"/>
                                <w:color w:val="000000"/>
                                <w:kern w:val="0"/>
                                <w:sz w:val="20"/>
                              </w:rPr>
                            </w:pPr>
                            <w:r w:rsidRPr="00B679CA">
                              <w:rPr>
                                <w:rFonts w:ascii="標楷體" w:hAnsi="標楷體" w:hint="eastAsia"/>
                                <w:color w:val="000000"/>
                                <w:kern w:val="0"/>
                                <w:sz w:val="20"/>
                              </w:rPr>
                              <w:t>安○停車事業有限公司雅○停車場</w:t>
                            </w:r>
                          </w:p>
                        </w:tc>
                      </w:tr>
                      <w:tr w:rsidR="00CC5AFC" w14:paraId="65305091" w14:textId="77777777" w:rsidTr="009900E9">
                        <w:trPr>
                          <w:trHeight w:val="340"/>
                          <w:tblHeader/>
                        </w:trPr>
                        <w:tc>
                          <w:tcPr>
                            <w:tcW w:w="704" w:type="dxa"/>
                            <w:vAlign w:val="center"/>
                          </w:tcPr>
                          <w:p w14:paraId="6305DFB6"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15</w:t>
                            </w:r>
                          </w:p>
                        </w:tc>
                        <w:tc>
                          <w:tcPr>
                            <w:tcW w:w="5329" w:type="dxa"/>
                            <w:vAlign w:val="center"/>
                          </w:tcPr>
                          <w:p w14:paraId="73642D71" w14:textId="77777777" w:rsidR="00CC5AFC" w:rsidRPr="00EA530B" w:rsidRDefault="00CC5AFC" w:rsidP="009900E9">
                            <w:pPr>
                              <w:pStyle w:val="3e"/>
                              <w:keepNext w:val="0"/>
                              <w:overflowPunct w:val="0"/>
                              <w:adjustRightInd w:val="0"/>
                              <w:spacing w:line="260" w:lineRule="exact"/>
                              <w:jc w:val="left"/>
                              <w:outlineLvl w:val="9"/>
                              <w:rPr>
                                <w:rFonts w:ascii="標楷體" w:hAnsi="標楷體"/>
                                <w:color w:val="000000"/>
                                <w:sz w:val="20"/>
                              </w:rPr>
                            </w:pPr>
                            <w:r w:rsidRPr="00B679CA">
                              <w:rPr>
                                <w:rFonts w:ascii="標楷體" w:hAnsi="標楷體" w:hint="eastAsia"/>
                                <w:color w:val="000000"/>
                                <w:kern w:val="0"/>
                                <w:sz w:val="20"/>
                              </w:rPr>
                              <w:t>台灣普客○○股份有限公司松○路第3停車場</w:t>
                            </w:r>
                          </w:p>
                        </w:tc>
                      </w:tr>
                      <w:tr w:rsidR="00CC5AFC" w14:paraId="6CC80728" w14:textId="77777777" w:rsidTr="009900E9">
                        <w:trPr>
                          <w:trHeight w:val="340"/>
                          <w:tblHeader/>
                        </w:trPr>
                        <w:tc>
                          <w:tcPr>
                            <w:tcW w:w="704" w:type="dxa"/>
                            <w:tcBorders>
                              <w:bottom w:val="single" w:sz="4" w:space="0" w:color="auto"/>
                            </w:tcBorders>
                            <w:vAlign w:val="center"/>
                          </w:tcPr>
                          <w:p w14:paraId="098FC915" w14:textId="77777777" w:rsidR="00CC5AFC" w:rsidRPr="00B679CA" w:rsidRDefault="00CC5AFC" w:rsidP="009900E9">
                            <w:pPr>
                              <w:pStyle w:val="3e"/>
                              <w:keepNext w:val="0"/>
                              <w:overflowPunct w:val="0"/>
                              <w:adjustRightInd w:val="0"/>
                              <w:spacing w:line="240" w:lineRule="exact"/>
                              <w:jc w:val="center"/>
                              <w:outlineLvl w:val="9"/>
                              <w:rPr>
                                <w:rFonts w:ascii="標楷體" w:hAnsi="標楷體"/>
                                <w:color w:val="000000"/>
                                <w:kern w:val="0"/>
                                <w:sz w:val="20"/>
                              </w:rPr>
                            </w:pPr>
                            <w:r w:rsidRPr="00B679CA">
                              <w:rPr>
                                <w:rFonts w:ascii="標楷體" w:hAnsi="標楷體" w:hint="eastAsia"/>
                                <w:color w:val="000000"/>
                                <w:kern w:val="0"/>
                                <w:sz w:val="20"/>
                              </w:rPr>
                              <w:t>16</w:t>
                            </w:r>
                          </w:p>
                        </w:tc>
                        <w:tc>
                          <w:tcPr>
                            <w:tcW w:w="5329" w:type="dxa"/>
                            <w:tcBorders>
                              <w:bottom w:val="single" w:sz="4" w:space="0" w:color="auto"/>
                            </w:tcBorders>
                            <w:vAlign w:val="center"/>
                          </w:tcPr>
                          <w:p w14:paraId="6C21EE83" w14:textId="77777777" w:rsidR="00CC5AFC" w:rsidRPr="00EA530B" w:rsidRDefault="00CC5AFC" w:rsidP="009900E9">
                            <w:pPr>
                              <w:pStyle w:val="3e"/>
                              <w:keepNext w:val="0"/>
                              <w:overflowPunct w:val="0"/>
                              <w:adjustRightInd w:val="0"/>
                              <w:spacing w:line="260" w:lineRule="exact"/>
                              <w:jc w:val="left"/>
                              <w:outlineLvl w:val="9"/>
                              <w:rPr>
                                <w:rFonts w:ascii="標楷體" w:hAnsi="標楷體"/>
                                <w:color w:val="000000"/>
                                <w:sz w:val="20"/>
                              </w:rPr>
                            </w:pPr>
                            <w:r w:rsidRPr="00B679CA">
                              <w:rPr>
                                <w:rFonts w:ascii="標楷體" w:hAnsi="標楷體" w:hint="eastAsia"/>
                                <w:color w:val="000000"/>
                                <w:kern w:val="0"/>
                                <w:sz w:val="20"/>
                              </w:rPr>
                              <w:t>榮○科技股份有限公司樂○二路停車場</w:t>
                            </w:r>
                          </w:p>
                        </w:tc>
                      </w:tr>
                    </w:tbl>
                    <w:p w14:paraId="50C77534" w14:textId="77777777" w:rsidR="00CC5AFC" w:rsidRDefault="00CC5AFC" w:rsidP="00CC5AFC">
                      <w:pPr>
                        <w:spacing w:line="240" w:lineRule="exact"/>
                        <w:rPr>
                          <w:rFonts w:ascii="標楷體" w:eastAsia="標楷體" w:hAnsi="標楷體"/>
                          <w:sz w:val="18"/>
                          <w:szCs w:val="14"/>
                        </w:rPr>
                      </w:pPr>
                      <w:proofErr w:type="gramStart"/>
                      <w:r>
                        <w:rPr>
                          <w:rFonts w:ascii="標楷體" w:eastAsia="標楷體" w:hAnsi="標楷體" w:hint="eastAsia"/>
                          <w:sz w:val="18"/>
                          <w:szCs w:val="14"/>
                        </w:rPr>
                        <w:t>註</w:t>
                      </w:r>
                      <w:proofErr w:type="gramEnd"/>
                      <w:r>
                        <w:rPr>
                          <w:rFonts w:ascii="標楷體" w:eastAsia="標楷體" w:hAnsi="標楷體" w:hint="eastAsia"/>
                          <w:sz w:val="18"/>
                          <w:szCs w:val="14"/>
                        </w:rPr>
                        <w:t>：1</w:t>
                      </w:r>
                      <w:r>
                        <w:rPr>
                          <w:rFonts w:ascii="標楷體" w:eastAsia="標楷體" w:hAnsi="標楷體"/>
                          <w:sz w:val="18"/>
                          <w:szCs w:val="14"/>
                        </w:rPr>
                        <w:t>.</w:t>
                      </w:r>
                      <w:r>
                        <w:rPr>
                          <w:rFonts w:ascii="標楷體" w:eastAsia="標楷體" w:hAnsi="標楷體" w:hint="eastAsia"/>
                          <w:sz w:val="18"/>
                          <w:szCs w:val="14"/>
                        </w:rPr>
                        <w:t>資料統計截止日為1</w:t>
                      </w:r>
                      <w:r>
                        <w:rPr>
                          <w:rFonts w:ascii="標楷體" w:eastAsia="標楷體" w:hAnsi="標楷體"/>
                          <w:sz w:val="18"/>
                          <w:szCs w:val="14"/>
                        </w:rPr>
                        <w:t>13</w:t>
                      </w:r>
                      <w:r>
                        <w:rPr>
                          <w:rFonts w:ascii="標楷體" w:eastAsia="標楷體" w:hAnsi="標楷體" w:hint="eastAsia"/>
                          <w:sz w:val="18"/>
                          <w:szCs w:val="14"/>
                        </w:rPr>
                        <w:t>年10月30日。</w:t>
                      </w:r>
                    </w:p>
                    <w:p w14:paraId="0EE8267B" w14:textId="77777777" w:rsidR="00CC5AFC" w:rsidRPr="006D26F8" w:rsidRDefault="00CC5AFC" w:rsidP="00CC5AFC">
                      <w:pPr>
                        <w:spacing w:line="240" w:lineRule="exact"/>
                        <w:ind w:firstLineChars="200" w:firstLine="360"/>
                        <w:rPr>
                          <w:rFonts w:ascii="標楷體" w:eastAsia="標楷體" w:hAnsi="標楷體"/>
                          <w:sz w:val="18"/>
                          <w:szCs w:val="14"/>
                        </w:rPr>
                      </w:pPr>
                      <w:r>
                        <w:rPr>
                          <w:rFonts w:ascii="標楷體" w:eastAsia="標楷體" w:hAnsi="標楷體"/>
                          <w:sz w:val="18"/>
                          <w:szCs w:val="14"/>
                        </w:rPr>
                        <w:t>2.</w:t>
                      </w:r>
                      <w:r w:rsidRPr="006D26F8">
                        <w:rPr>
                          <w:rFonts w:ascii="標楷體" w:eastAsia="標楷體" w:hAnsi="標楷體" w:hint="eastAsia"/>
                          <w:sz w:val="18"/>
                          <w:szCs w:val="14"/>
                        </w:rPr>
                        <w:t>資料來源</w:t>
                      </w:r>
                      <w:r>
                        <w:rPr>
                          <w:rFonts w:ascii="標楷體" w:eastAsia="標楷體" w:hAnsi="標楷體" w:hint="eastAsia"/>
                          <w:sz w:val="18"/>
                          <w:szCs w:val="14"/>
                        </w:rPr>
                        <w:t>：</w:t>
                      </w:r>
                      <w:r w:rsidRPr="006D26F8">
                        <w:rPr>
                          <w:rFonts w:ascii="標楷體" w:eastAsia="標楷體" w:hAnsi="標楷體" w:hint="eastAsia"/>
                          <w:sz w:val="18"/>
                          <w:szCs w:val="14"/>
                        </w:rPr>
                        <w:t>整理自</w:t>
                      </w:r>
                      <w:r>
                        <w:rPr>
                          <w:rFonts w:ascii="標楷體" w:eastAsia="標楷體" w:hAnsi="標楷體" w:hint="eastAsia"/>
                          <w:sz w:val="18"/>
                          <w:szCs w:val="14"/>
                        </w:rPr>
                        <w:t>停車</w:t>
                      </w:r>
                      <w:r w:rsidRPr="006D26F8">
                        <w:rPr>
                          <w:rFonts w:ascii="標楷體" w:eastAsia="標楷體" w:hAnsi="標楷體" w:hint="eastAsia"/>
                          <w:sz w:val="18"/>
                          <w:szCs w:val="14"/>
                        </w:rPr>
                        <w:t>管</w:t>
                      </w:r>
                      <w:r>
                        <w:rPr>
                          <w:rFonts w:ascii="標楷體" w:eastAsia="標楷體" w:hAnsi="標楷體" w:hint="eastAsia"/>
                          <w:sz w:val="18"/>
                          <w:szCs w:val="14"/>
                        </w:rPr>
                        <w:t>理工程</w:t>
                      </w:r>
                      <w:r w:rsidRPr="006D26F8">
                        <w:rPr>
                          <w:rFonts w:ascii="標楷體" w:eastAsia="標楷體" w:hAnsi="標楷體" w:hint="eastAsia"/>
                          <w:sz w:val="18"/>
                          <w:szCs w:val="14"/>
                        </w:rPr>
                        <w:t>處提供資料。</w:t>
                      </w:r>
                    </w:p>
                  </w:txbxContent>
                </v:textbox>
                <w10:wrap type="tight" anchory="page"/>
              </v:shape>
            </w:pict>
          </mc:Fallback>
        </mc:AlternateContent>
      </w:r>
      <w:r w:rsidR="00CC5AFC" w:rsidRPr="00A31C81">
        <w:rPr>
          <w:rFonts w:ascii="標楷體" w:eastAsia="標楷體" w:hAnsi="標楷體" w:hint="eastAsia"/>
        </w:rPr>
        <w:t>籍</w:t>
      </w:r>
      <w:proofErr w:type="gramStart"/>
      <w:r w:rsidR="00CC5AFC" w:rsidRPr="00A31C81">
        <w:rPr>
          <w:rFonts w:ascii="標楷體" w:eastAsia="標楷體" w:hAnsi="標楷體" w:hint="eastAsia"/>
        </w:rPr>
        <w:t>）</w:t>
      </w:r>
      <w:proofErr w:type="gramEnd"/>
      <w:r w:rsidR="00CC5AFC" w:rsidRPr="00A31C81">
        <w:rPr>
          <w:rFonts w:ascii="標楷體" w:eastAsia="標楷體" w:hAnsi="標楷體" w:hint="eastAsia"/>
        </w:rPr>
        <w:t>登記資料集（113年7月18日更新），篩選「行業名稱」為「停車場」，與</w:t>
      </w:r>
      <w:r w:rsidR="00CC5AFC">
        <w:rPr>
          <w:rFonts w:ascii="標楷體" w:eastAsia="標楷體" w:hAnsi="標楷體" w:hint="eastAsia"/>
        </w:rPr>
        <w:t>該處上開</w:t>
      </w:r>
      <w:r w:rsidR="00CC5AFC" w:rsidRPr="00A31C81">
        <w:rPr>
          <w:rFonts w:ascii="標楷體" w:eastAsia="標楷體" w:hAnsi="標楷體" w:hint="eastAsia"/>
        </w:rPr>
        <w:t>列管資料比對</w:t>
      </w:r>
      <w:r w:rsidR="00CC5AFC">
        <w:rPr>
          <w:rFonts w:ascii="標楷體" w:eastAsia="標楷體" w:hAnsi="標楷體" w:hint="eastAsia"/>
        </w:rPr>
        <w:t>結果</w:t>
      </w:r>
      <w:r w:rsidR="00CC5AFC" w:rsidRPr="00A31C81">
        <w:rPr>
          <w:rFonts w:ascii="標楷體" w:eastAsia="標楷體" w:hAnsi="標楷體" w:hint="eastAsia"/>
        </w:rPr>
        <w:t>，</w:t>
      </w:r>
      <w:r w:rsidR="00CC5AFC">
        <w:rPr>
          <w:rFonts w:ascii="標楷體" w:eastAsia="標楷體" w:hAnsi="標楷體" w:hint="eastAsia"/>
        </w:rPr>
        <w:t>發現16</w:t>
      </w:r>
      <w:r w:rsidR="00CC5AFC" w:rsidRPr="00A31C81">
        <w:rPr>
          <w:rFonts w:ascii="標楷體" w:eastAsia="標楷體" w:hAnsi="標楷體" w:hint="eastAsia"/>
        </w:rPr>
        <w:t>場</w:t>
      </w:r>
      <w:r w:rsidR="00CC5AFC">
        <w:rPr>
          <w:rFonts w:ascii="標楷體" w:eastAsia="標楷體" w:hAnsi="標楷體" w:hint="eastAsia"/>
        </w:rPr>
        <w:t>有</w:t>
      </w:r>
      <w:proofErr w:type="gramStart"/>
      <w:r w:rsidR="00CC5AFC">
        <w:rPr>
          <w:rFonts w:ascii="標楷體" w:eastAsia="標楷體" w:hAnsi="標楷體" w:hint="eastAsia"/>
        </w:rPr>
        <w:t>營業稅籍卻無</w:t>
      </w:r>
      <w:proofErr w:type="gramEnd"/>
      <w:r w:rsidR="00CC5AFC">
        <w:rPr>
          <w:rFonts w:ascii="標楷體" w:eastAsia="標楷體" w:hAnsi="標楷體" w:hint="eastAsia"/>
        </w:rPr>
        <w:t>停車場登記證</w:t>
      </w:r>
      <w:r w:rsidR="00CC5AFC" w:rsidRPr="00A31C81">
        <w:rPr>
          <w:rFonts w:ascii="標楷體" w:eastAsia="標楷體" w:hAnsi="標楷體" w:hint="eastAsia"/>
        </w:rPr>
        <w:t>（</w:t>
      </w:r>
      <w:r w:rsidR="00CC5AFC">
        <w:rPr>
          <w:rFonts w:ascii="標楷體" w:eastAsia="標楷體" w:hAnsi="標楷體" w:hint="eastAsia"/>
        </w:rPr>
        <w:t>表3</w:t>
      </w:r>
      <w:r w:rsidR="00CC5AFC" w:rsidRPr="00A31C81">
        <w:rPr>
          <w:rFonts w:ascii="標楷體" w:eastAsia="標楷體" w:hAnsi="標楷體" w:hint="eastAsia"/>
        </w:rPr>
        <w:t>），</w:t>
      </w:r>
      <w:r w:rsidR="00CC5AFC">
        <w:rPr>
          <w:rFonts w:ascii="標楷體" w:eastAsia="標楷體" w:hAnsi="標楷體" w:hint="eastAsia"/>
        </w:rPr>
        <w:t>惟該處未掌握業者未</w:t>
      </w:r>
      <w:proofErr w:type="gramStart"/>
      <w:r w:rsidR="00CC5AFC">
        <w:rPr>
          <w:rFonts w:ascii="標楷體" w:eastAsia="標楷體" w:hAnsi="標楷體" w:hint="eastAsia"/>
        </w:rPr>
        <w:t>領證即違規</w:t>
      </w:r>
      <w:proofErr w:type="gramEnd"/>
      <w:r w:rsidR="00CC5AFC">
        <w:rPr>
          <w:rFonts w:ascii="標楷體" w:eastAsia="標楷體" w:hAnsi="標楷體" w:hint="eastAsia"/>
        </w:rPr>
        <w:t>營業情形；另該處</w:t>
      </w:r>
      <w:r w:rsidR="00CC5AFC" w:rsidRPr="00A31C81">
        <w:rPr>
          <w:rFonts w:ascii="標楷體" w:eastAsia="標楷體" w:hAnsi="標楷體" w:hint="eastAsia"/>
        </w:rPr>
        <w:t>針對登記證到期停車場</w:t>
      </w:r>
      <w:r w:rsidR="00CC5AFC">
        <w:rPr>
          <w:rFonts w:ascii="標楷體" w:eastAsia="標楷體" w:hAnsi="標楷體" w:hint="eastAsia"/>
        </w:rPr>
        <w:t>，已</w:t>
      </w:r>
      <w:r w:rsidR="00CC5AFC" w:rsidRPr="00A31C81">
        <w:rPr>
          <w:rFonts w:ascii="標楷體" w:eastAsia="標楷體" w:hAnsi="標楷體" w:hint="eastAsia"/>
        </w:rPr>
        <w:t>陸續通知業者辦理換證，惟</w:t>
      </w:r>
      <w:r w:rsidR="00CC5AFC">
        <w:rPr>
          <w:rFonts w:ascii="標楷體" w:eastAsia="標楷體" w:hAnsi="標楷體" w:hint="eastAsia"/>
        </w:rPr>
        <w:t>因未落實執行</w:t>
      </w:r>
      <w:r w:rsidR="00CC5AFC" w:rsidRPr="00A31C81">
        <w:rPr>
          <w:rFonts w:ascii="標楷體" w:eastAsia="標楷體" w:hAnsi="標楷體" w:hint="eastAsia"/>
        </w:rPr>
        <w:t>於登記證到期後赴現場稽查</w:t>
      </w:r>
      <w:r w:rsidR="00CC5AFC">
        <w:rPr>
          <w:rFonts w:ascii="標楷體" w:eastAsia="標楷體" w:hAnsi="標楷體" w:hint="eastAsia"/>
        </w:rPr>
        <w:t>作業</w:t>
      </w:r>
      <w:r w:rsidR="00CC5AFC" w:rsidRPr="00A31C81">
        <w:rPr>
          <w:rFonts w:ascii="標楷體" w:eastAsia="標楷體" w:hAnsi="標楷體" w:hint="eastAsia"/>
        </w:rPr>
        <w:t>，截至113年11月26日止，仍有21</w:t>
      </w:r>
      <w:r w:rsidR="00CC5AFC">
        <w:rPr>
          <w:rFonts w:ascii="標楷體" w:eastAsia="標楷體" w:hAnsi="標楷體" w:hint="eastAsia"/>
        </w:rPr>
        <w:t>處停車</w:t>
      </w:r>
      <w:r w:rsidR="00CC5AFC" w:rsidRPr="00A31C81">
        <w:rPr>
          <w:rFonts w:ascii="標楷體" w:eastAsia="標楷體" w:hAnsi="標楷體" w:hint="eastAsia"/>
        </w:rPr>
        <w:t>場登記證業</w:t>
      </w:r>
      <w:r w:rsidR="00CC5AFC">
        <w:rPr>
          <w:rFonts w:ascii="標楷體" w:eastAsia="標楷體" w:hAnsi="標楷體" w:hint="eastAsia"/>
        </w:rPr>
        <w:t>已到</w:t>
      </w:r>
      <w:r w:rsidR="00CC5AFC" w:rsidRPr="00A31C81">
        <w:rPr>
          <w:rFonts w:ascii="標楷體" w:eastAsia="標楷體" w:hAnsi="標楷體" w:hint="eastAsia"/>
        </w:rPr>
        <w:t>期</w:t>
      </w:r>
      <w:r w:rsidR="00CC5AFC">
        <w:rPr>
          <w:rFonts w:ascii="標楷體" w:eastAsia="標楷體" w:hAnsi="標楷體" w:hint="eastAsia"/>
        </w:rPr>
        <w:t>而</w:t>
      </w:r>
      <w:r w:rsidR="00CC5AFC" w:rsidRPr="00A31C81">
        <w:rPr>
          <w:rFonts w:ascii="標楷體" w:eastAsia="標楷體" w:hAnsi="標楷體" w:hint="eastAsia"/>
        </w:rPr>
        <w:t>未換證，</w:t>
      </w:r>
      <w:r w:rsidR="00CC5AFC">
        <w:rPr>
          <w:rFonts w:ascii="標楷體" w:eastAsia="標楷體" w:hAnsi="標楷體" w:hint="eastAsia"/>
        </w:rPr>
        <w:t>且持續</w:t>
      </w:r>
      <w:r w:rsidR="00CC5AFC" w:rsidRPr="00A31C81">
        <w:rPr>
          <w:rFonts w:ascii="標楷體" w:eastAsia="標楷體" w:hAnsi="標楷體" w:hint="eastAsia"/>
        </w:rPr>
        <w:t>無證違規營業</w:t>
      </w:r>
      <w:r w:rsidR="00CC5AFC">
        <w:rPr>
          <w:rFonts w:ascii="標楷體" w:eastAsia="標楷體" w:hAnsi="標楷體" w:hint="eastAsia"/>
        </w:rPr>
        <w:t>，</w:t>
      </w:r>
      <w:r w:rsidR="00CC5AFC" w:rsidRPr="005E7BDB">
        <w:rPr>
          <w:rFonts w:ascii="標楷體" w:eastAsia="標楷體" w:hAnsi="標楷體" w:hint="eastAsia"/>
          <w:spacing w:val="4"/>
        </w:rPr>
        <w:t>經函請</w:t>
      </w:r>
      <w:proofErr w:type="gramStart"/>
      <w:r w:rsidR="00CC5AFC" w:rsidRPr="005E7BDB">
        <w:rPr>
          <w:rFonts w:ascii="標楷體" w:eastAsia="標楷體" w:hAnsi="標楷體" w:hint="eastAsia"/>
          <w:spacing w:val="4"/>
        </w:rPr>
        <w:t>檢討妥處</w:t>
      </w:r>
      <w:proofErr w:type="gramEnd"/>
      <w:r w:rsidR="00CC5AFC" w:rsidRPr="005E7BDB">
        <w:rPr>
          <w:rFonts w:ascii="標楷體" w:eastAsia="標楷體" w:hAnsi="標楷體" w:hint="eastAsia"/>
          <w:spacing w:val="4"/>
        </w:rPr>
        <w:t>。據復：已檢討修正「未辦理停車場登記證違規營業停車場之查核與輔導作業」，增列主動稽查項目包含登記證到期之停車場是否仍有營業行為，及將開單員協助回</w:t>
      </w:r>
      <w:r w:rsidR="00CC5AFC">
        <w:rPr>
          <w:rFonts w:ascii="標楷體" w:eastAsia="標楷體" w:hAnsi="標楷體" w:hint="eastAsia"/>
        </w:rPr>
        <w:t>報</w:t>
      </w:r>
      <w:proofErr w:type="gramStart"/>
      <w:r w:rsidR="00CC5AFC">
        <w:rPr>
          <w:rFonts w:ascii="標楷體" w:eastAsia="標楷體" w:hAnsi="標楷體" w:hint="eastAsia"/>
        </w:rPr>
        <w:t>疑</w:t>
      </w:r>
      <w:proofErr w:type="gramEnd"/>
      <w:r w:rsidR="00CC5AFC">
        <w:rPr>
          <w:rFonts w:ascii="標楷體" w:eastAsia="標楷體" w:hAnsi="標楷體" w:hint="eastAsia"/>
        </w:rPr>
        <w:t>有營業停車場等納入例行性重點稽核。截至1</w:t>
      </w:r>
      <w:r w:rsidR="00CC5AFC">
        <w:rPr>
          <w:rFonts w:ascii="標楷體" w:eastAsia="標楷體" w:hAnsi="標楷體"/>
        </w:rPr>
        <w:t>14</w:t>
      </w:r>
      <w:r w:rsidR="00CC5AFC">
        <w:rPr>
          <w:rFonts w:ascii="標楷體" w:eastAsia="標楷體" w:hAnsi="標楷體" w:hint="eastAsia"/>
        </w:rPr>
        <w:t>年3月底止，其中有</w:t>
      </w:r>
      <w:proofErr w:type="gramStart"/>
      <w:r w:rsidR="00CC5AFC" w:rsidRPr="001C3E96">
        <w:rPr>
          <w:rFonts w:ascii="標楷體" w:eastAsia="標楷體" w:hAnsi="標楷體" w:hint="eastAsia"/>
        </w:rPr>
        <w:t>營業稅籍無停車場</w:t>
      </w:r>
      <w:proofErr w:type="gramEnd"/>
      <w:r w:rsidR="00CC5AFC" w:rsidRPr="001C3E96">
        <w:rPr>
          <w:rFonts w:ascii="標楷體" w:eastAsia="標楷體" w:hAnsi="標楷體" w:hint="eastAsia"/>
        </w:rPr>
        <w:t>登記證</w:t>
      </w:r>
      <w:r w:rsidR="00CC5AFC">
        <w:rPr>
          <w:rFonts w:ascii="標楷體" w:eastAsia="標楷體" w:hAnsi="標楷體" w:hint="eastAsia"/>
        </w:rPr>
        <w:t>之16場，已有5場取得登記證，6場無營業事實，</w:t>
      </w:r>
      <w:r w:rsidR="00CC5AFC">
        <w:rPr>
          <w:rFonts w:ascii="標楷體" w:eastAsia="標楷體" w:hAnsi="標楷體"/>
        </w:rPr>
        <w:t>5</w:t>
      </w:r>
      <w:r w:rsidR="00CC5AFC">
        <w:rPr>
          <w:rFonts w:ascii="標楷體" w:eastAsia="標楷體" w:hAnsi="標楷體" w:hint="eastAsia"/>
        </w:rPr>
        <w:t>場由該處裁罰中；另登記證到期未換證之2</w:t>
      </w:r>
      <w:r w:rsidR="00CC5AFC">
        <w:rPr>
          <w:rFonts w:ascii="標楷體" w:eastAsia="標楷體" w:hAnsi="標楷體"/>
        </w:rPr>
        <w:t>1</w:t>
      </w:r>
      <w:r w:rsidR="00CC5AFC">
        <w:rPr>
          <w:rFonts w:ascii="標楷體" w:eastAsia="標楷體" w:hAnsi="標楷體" w:hint="eastAsia"/>
        </w:rPr>
        <w:t>場，已有2</w:t>
      </w:r>
      <w:r w:rsidR="00CC5AFC">
        <w:rPr>
          <w:rFonts w:ascii="標楷體" w:eastAsia="標楷體" w:hAnsi="標楷體"/>
        </w:rPr>
        <w:t>0</w:t>
      </w:r>
      <w:r w:rsidR="00CC5AFC">
        <w:rPr>
          <w:rFonts w:ascii="標楷體" w:eastAsia="標楷體" w:hAnsi="標楷體" w:hint="eastAsia"/>
        </w:rPr>
        <w:t>場取得登記證，餘1場刻由業者補件中。</w:t>
      </w:r>
    </w:p>
    <w:p w14:paraId="2598BBC9" w14:textId="10908D09" w:rsidR="00CC5AFC" w:rsidRDefault="006D5524" w:rsidP="004654B1">
      <w:pPr>
        <w:suppressAutoHyphens/>
        <w:overflowPunct w:val="0"/>
        <w:spacing w:beforeLines="50" w:before="180" w:line="460" w:lineRule="exact"/>
        <w:ind w:firstLineChars="100" w:firstLine="320"/>
        <w:jc w:val="both"/>
        <w:rPr>
          <w:rFonts w:ascii="標楷體" w:eastAsia="標楷體" w:hAnsi="標楷體"/>
          <w:b/>
          <w:sz w:val="28"/>
          <w:szCs w:val="28"/>
        </w:rPr>
      </w:pPr>
      <w:r w:rsidRPr="00B679CA">
        <w:rPr>
          <w:rFonts w:ascii="Times New Roman" w:eastAsia="新細明體" w:hAnsi="標楷體" w:cs="Times New Roman"/>
          <w:noProof/>
          <w:sz w:val="32"/>
          <w:szCs w:val="32"/>
        </w:rPr>
        <mc:AlternateContent>
          <mc:Choice Requires="wps">
            <w:drawing>
              <wp:anchor distT="0" distB="0" distL="114300" distR="114300" simplePos="0" relativeHeight="251763712" behindDoc="1" locked="0" layoutInCell="1" allowOverlap="1" wp14:anchorId="74038749" wp14:editId="7033929C">
                <wp:simplePos x="0" y="0"/>
                <wp:positionH relativeFrom="margin">
                  <wp:posOffset>3312160</wp:posOffset>
                </wp:positionH>
                <wp:positionV relativeFrom="page">
                  <wp:posOffset>7761605</wp:posOffset>
                </wp:positionV>
                <wp:extent cx="3019425" cy="2052955"/>
                <wp:effectExtent l="0" t="0" r="0" b="4445"/>
                <wp:wrapTight wrapText="bothSides">
                  <wp:wrapPolygon edited="0">
                    <wp:start x="409" y="0"/>
                    <wp:lineTo x="409" y="21446"/>
                    <wp:lineTo x="21123" y="21446"/>
                    <wp:lineTo x="21123" y="0"/>
                    <wp:lineTo x="409" y="0"/>
                  </wp:wrapPolygon>
                </wp:wrapTight>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2052955"/>
                        </a:xfrm>
                        <a:prstGeom prst="rect">
                          <a:avLst/>
                        </a:prstGeom>
                        <a:noFill/>
                        <a:ln w="9525">
                          <a:noFill/>
                          <a:miter lim="800000"/>
                          <a:headEnd/>
                          <a:tailEnd/>
                        </a:ln>
                      </wps:spPr>
                      <wps:txbx>
                        <w:txbxContent>
                          <w:p w14:paraId="0A3A5E9C" w14:textId="77777777" w:rsidR="00CC5AFC" w:rsidRDefault="00CC5AFC" w:rsidP="00CC5AFC">
                            <w:pPr>
                              <w:jc w:val="both"/>
                              <w:rPr>
                                <w:rFonts w:ascii="標楷體" w:eastAsia="標楷體" w:hAnsi="標楷體"/>
                                <w:sz w:val="20"/>
                                <w:shd w:val="clear" w:color="auto" w:fill="FFFFFF"/>
                              </w:rPr>
                            </w:pPr>
                            <w:r w:rsidRPr="00AC2653">
                              <w:rPr>
                                <w:noProof/>
                              </w:rPr>
                              <w:drawing>
                                <wp:inline distT="0" distB="0" distL="0" distR="0" wp14:anchorId="2F6F38FF" wp14:editId="4111B265">
                                  <wp:extent cx="2734553" cy="1536265"/>
                                  <wp:effectExtent l="19050" t="19050" r="27940" b="26035"/>
                                  <wp:docPr id="95" name="圖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a:extLst>
                                              <a:ext uri="{28A0092B-C50C-407E-A947-70E740481C1C}">
                                                <a14:useLocalDpi xmlns:a14="http://schemas.microsoft.com/office/drawing/2010/main" val="0"/>
                                              </a:ext>
                                            </a:extLst>
                                          </a:blip>
                                          <a:srcRect l="2750" t="4393" r="3138" b="4089"/>
                                          <a:stretch/>
                                        </pic:blipFill>
                                        <pic:spPr bwMode="auto">
                                          <a:xfrm>
                                            <a:off x="0" y="0"/>
                                            <a:ext cx="2754050" cy="1547218"/>
                                          </a:xfrm>
                                          <a:prstGeom prst="rect">
                                            <a:avLst/>
                                          </a:prstGeom>
                                          <a:ln w="9525" cap="sq">
                                            <a:solidFill>
                                              <a:srgbClr val="000000"/>
                                            </a:solidFill>
                                            <a:prstDash val="solid"/>
                                            <a:miter lim="800000"/>
                                          </a:ln>
                                          <a:effectLst/>
                                          <a:extLst>
                                            <a:ext uri="{53640926-AAD7-44D8-BBD7-CCE9431645EC}">
                                              <a14:shadowObscured xmlns:a14="http://schemas.microsoft.com/office/drawing/2010/main"/>
                                            </a:ext>
                                          </a:extLst>
                                        </pic:spPr>
                                      </pic:pic>
                                    </a:graphicData>
                                  </a:graphic>
                                </wp:inline>
                              </w:drawing>
                            </w:r>
                          </w:p>
                          <w:p w14:paraId="7C4C325A" w14:textId="77777777" w:rsidR="00CC5AFC" w:rsidRPr="001C4148" w:rsidRDefault="00CC5AFC" w:rsidP="006D5524">
                            <w:pPr>
                              <w:spacing w:line="260" w:lineRule="exact"/>
                              <w:jc w:val="center"/>
                              <w:rPr>
                                <w:rFonts w:ascii="標楷體" w:eastAsia="標楷體" w:hAnsi="標楷體"/>
                                <w:b/>
                                <w:snapToGrid w:val="0"/>
                                <w:kern w:val="0"/>
                                <w:szCs w:val="24"/>
                              </w:rPr>
                            </w:pPr>
                            <w:r w:rsidRPr="00AC2653">
                              <w:rPr>
                                <w:rFonts w:ascii="標楷體" w:eastAsia="標楷體" w:hAnsi="標楷體" w:hint="eastAsia"/>
                                <w:b/>
                                <w:snapToGrid w:val="0"/>
                                <w:kern w:val="0"/>
                                <w:szCs w:val="24"/>
                              </w:rPr>
                              <w:t>公1公園附建地下停車場透視模擬圖</w:t>
                            </w:r>
                          </w:p>
                          <w:p w14:paraId="1234A2EE" w14:textId="77777777" w:rsidR="00CC5AFC" w:rsidRPr="00C254C1" w:rsidRDefault="00CC5AFC" w:rsidP="00CC5AFC">
                            <w:pPr>
                              <w:spacing w:line="300" w:lineRule="exact"/>
                              <w:ind w:leftChars="12" w:left="283" w:hangingChars="141" w:hanging="254"/>
                              <w:jc w:val="center"/>
                              <w:rPr>
                                <w:rFonts w:ascii="標楷體" w:eastAsia="標楷體" w:hAnsi="標楷體"/>
                                <w:sz w:val="18"/>
                                <w:szCs w:val="18"/>
                              </w:rPr>
                            </w:pPr>
                            <w:proofErr w:type="gramStart"/>
                            <w:r w:rsidRPr="00C254C1">
                              <w:rPr>
                                <w:rFonts w:ascii="標楷體" w:eastAsia="標楷體" w:hAnsi="標楷體" w:hint="eastAsia"/>
                                <w:sz w:val="18"/>
                                <w:szCs w:val="18"/>
                              </w:rPr>
                              <w:t>（</w:t>
                            </w:r>
                            <w:proofErr w:type="gramEnd"/>
                            <w:r w:rsidRPr="00C254C1">
                              <w:rPr>
                                <w:rFonts w:ascii="標楷體" w:eastAsia="標楷體" w:hAnsi="標楷體" w:hint="eastAsia"/>
                                <w:sz w:val="18"/>
                                <w:szCs w:val="18"/>
                                <w:shd w:val="clear" w:color="auto" w:fill="FFFFFF"/>
                              </w:rPr>
                              <w:t>圖片</w:t>
                            </w:r>
                            <w:r w:rsidRPr="00C254C1">
                              <w:rPr>
                                <w:rFonts w:ascii="標楷體" w:eastAsia="標楷體" w:hAnsi="標楷體"/>
                                <w:sz w:val="18"/>
                                <w:szCs w:val="18"/>
                                <w:shd w:val="clear" w:color="auto" w:fill="FFFFFF"/>
                              </w:rPr>
                              <w:t>來源：</w:t>
                            </w:r>
                            <w:r w:rsidRPr="00C254C1">
                              <w:rPr>
                                <w:rFonts w:ascii="標楷體" w:eastAsia="標楷體" w:hAnsi="標楷體" w:hint="eastAsia"/>
                                <w:sz w:val="18"/>
                                <w:szCs w:val="18"/>
                                <w:shd w:val="clear" w:color="auto" w:fill="FFFFFF"/>
                              </w:rPr>
                              <w:t>停車管理工程處</w:t>
                            </w:r>
                            <w:r w:rsidRPr="00C254C1">
                              <w:rPr>
                                <w:rFonts w:ascii="標楷體" w:eastAsia="標楷體" w:hAnsi="標楷體"/>
                                <w:sz w:val="18"/>
                                <w:szCs w:val="18"/>
                                <w:shd w:val="clear" w:color="auto" w:fill="FFFFFF"/>
                              </w:rPr>
                              <w:t>提供</w:t>
                            </w:r>
                            <w:proofErr w:type="gramStart"/>
                            <w:r w:rsidRPr="00C254C1">
                              <w:rPr>
                                <w:rFonts w:ascii="標楷體" w:eastAsia="標楷體" w:hAnsi="標楷體" w:hint="eastAsia"/>
                                <w:sz w:val="18"/>
                                <w:szCs w:val="18"/>
                              </w:rPr>
                              <w: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038749" id="_x0000_s1087" type="#_x0000_t202" style="position:absolute;left:0;text-align:left;margin-left:260.8pt;margin-top:611.15pt;width:237.75pt;height:161.65pt;z-index:-2515527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" filled="f" stroked="f">
                <v:textbox>
                  <w:txbxContent>
                    <w:p w14:paraId="0A3A5E9C" w14:textId="77777777" w:rsidR="00CC5AFC" w:rsidRDefault="00CC5AFC" w:rsidP="00CC5AFC">
                      <w:pPr>
                        <w:jc w:val="both"/>
                        <w:rPr>
                          <w:rFonts w:ascii="標楷體" w:eastAsia="標楷體" w:hAnsi="標楷體"/>
                          <w:sz w:val="20"/>
                          <w:shd w:val="clear" w:color="auto" w:fill="FFFFFF"/>
                        </w:rPr>
                      </w:pPr>
                      <w:r w:rsidRPr="00AC2653">
                        <w:rPr>
                          <w:noProof/>
                        </w:rPr>
                        <w:drawing>
                          <wp:inline distT="0" distB="0" distL="0" distR="0" wp14:anchorId="2F6F38FF" wp14:editId="4111B265">
                            <wp:extent cx="2734553" cy="1536265"/>
                            <wp:effectExtent l="19050" t="19050" r="27940" b="26035"/>
                            <wp:docPr id="95" name="圖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1">
                                      <a:extLst>
                                        <a:ext uri="{28A0092B-C50C-407E-A947-70E740481C1C}">
                                          <a14:useLocalDpi xmlns:a14="http://schemas.microsoft.com/office/drawing/2010/main" val="0"/>
                                        </a:ext>
                                      </a:extLst>
                                    </a:blip>
                                    <a:srcRect l="2750" t="4393" r="3138" b="4089"/>
                                    <a:stretch/>
                                  </pic:blipFill>
                                  <pic:spPr bwMode="auto">
                                    <a:xfrm>
                                      <a:off x="0" y="0"/>
                                      <a:ext cx="2754050" cy="1547218"/>
                                    </a:xfrm>
                                    <a:prstGeom prst="rect">
                                      <a:avLst/>
                                    </a:prstGeom>
                                    <a:ln w="9525" cap="sq">
                                      <a:solidFill>
                                        <a:srgbClr val="000000"/>
                                      </a:solidFill>
                                      <a:prstDash val="solid"/>
                                      <a:miter lim="800000"/>
                                    </a:ln>
                                    <a:effectLst/>
                                    <a:extLst>
                                      <a:ext uri="{53640926-AAD7-44D8-BBD7-CCE9431645EC}">
                                        <a14:shadowObscured xmlns:a14="http://schemas.microsoft.com/office/drawing/2010/main"/>
                                      </a:ext>
                                    </a:extLst>
                                  </pic:spPr>
                                </pic:pic>
                              </a:graphicData>
                            </a:graphic>
                          </wp:inline>
                        </w:drawing>
                      </w:r>
                    </w:p>
                    <w:p w14:paraId="7C4C325A" w14:textId="77777777" w:rsidR="00CC5AFC" w:rsidRPr="001C4148" w:rsidRDefault="00CC5AFC" w:rsidP="006D5524">
                      <w:pPr>
                        <w:spacing w:line="260" w:lineRule="exact"/>
                        <w:jc w:val="center"/>
                        <w:rPr>
                          <w:rFonts w:ascii="標楷體" w:eastAsia="標楷體" w:hAnsi="標楷體"/>
                          <w:b/>
                          <w:snapToGrid w:val="0"/>
                          <w:kern w:val="0"/>
                          <w:szCs w:val="24"/>
                        </w:rPr>
                      </w:pPr>
                      <w:r w:rsidRPr="00AC2653">
                        <w:rPr>
                          <w:rFonts w:ascii="標楷體" w:eastAsia="標楷體" w:hAnsi="標楷體" w:hint="eastAsia"/>
                          <w:b/>
                          <w:snapToGrid w:val="0"/>
                          <w:kern w:val="0"/>
                          <w:szCs w:val="24"/>
                        </w:rPr>
                        <w:t>公1公園附建地下停車場透視模擬圖</w:t>
                      </w:r>
                    </w:p>
                    <w:p w14:paraId="1234A2EE" w14:textId="77777777" w:rsidR="00CC5AFC" w:rsidRPr="00C254C1" w:rsidRDefault="00CC5AFC" w:rsidP="00CC5AFC">
                      <w:pPr>
                        <w:spacing w:line="300" w:lineRule="exact"/>
                        <w:ind w:leftChars="12" w:left="283" w:hangingChars="141" w:hanging="254"/>
                        <w:jc w:val="center"/>
                        <w:rPr>
                          <w:rFonts w:ascii="標楷體" w:eastAsia="標楷體" w:hAnsi="標楷體"/>
                          <w:sz w:val="18"/>
                          <w:szCs w:val="18"/>
                        </w:rPr>
                      </w:pPr>
                      <w:proofErr w:type="gramStart"/>
                      <w:r w:rsidRPr="00C254C1">
                        <w:rPr>
                          <w:rFonts w:ascii="標楷體" w:eastAsia="標楷體" w:hAnsi="標楷體" w:hint="eastAsia"/>
                          <w:sz w:val="18"/>
                          <w:szCs w:val="18"/>
                        </w:rPr>
                        <w:t>（</w:t>
                      </w:r>
                      <w:proofErr w:type="gramEnd"/>
                      <w:r w:rsidRPr="00C254C1">
                        <w:rPr>
                          <w:rFonts w:ascii="標楷體" w:eastAsia="標楷體" w:hAnsi="標楷體" w:hint="eastAsia"/>
                          <w:sz w:val="18"/>
                          <w:szCs w:val="18"/>
                          <w:shd w:val="clear" w:color="auto" w:fill="FFFFFF"/>
                        </w:rPr>
                        <w:t>圖片</w:t>
                      </w:r>
                      <w:r w:rsidRPr="00C254C1">
                        <w:rPr>
                          <w:rFonts w:ascii="標楷體" w:eastAsia="標楷體" w:hAnsi="標楷體"/>
                          <w:sz w:val="18"/>
                          <w:szCs w:val="18"/>
                          <w:shd w:val="clear" w:color="auto" w:fill="FFFFFF"/>
                        </w:rPr>
                        <w:t>來源：</w:t>
                      </w:r>
                      <w:r w:rsidRPr="00C254C1">
                        <w:rPr>
                          <w:rFonts w:ascii="標楷體" w:eastAsia="標楷體" w:hAnsi="標楷體" w:hint="eastAsia"/>
                          <w:sz w:val="18"/>
                          <w:szCs w:val="18"/>
                          <w:shd w:val="clear" w:color="auto" w:fill="FFFFFF"/>
                        </w:rPr>
                        <w:t>停車管理工程處</w:t>
                      </w:r>
                      <w:r w:rsidRPr="00C254C1">
                        <w:rPr>
                          <w:rFonts w:ascii="標楷體" w:eastAsia="標楷體" w:hAnsi="標楷體"/>
                          <w:sz w:val="18"/>
                          <w:szCs w:val="18"/>
                          <w:shd w:val="clear" w:color="auto" w:fill="FFFFFF"/>
                        </w:rPr>
                        <w:t>提供</w:t>
                      </w:r>
                      <w:proofErr w:type="gramStart"/>
                      <w:r w:rsidRPr="00C254C1">
                        <w:rPr>
                          <w:rFonts w:ascii="標楷體" w:eastAsia="標楷體" w:hAnsi="標楷體" w:hint="eastAsia"/>
                          <w:sz w:val="18"/>
                          <w:szCs w:val="18"/>
                        </w:rPr>
                        <w:t>）</w:t>
                      </w:r>
                      <w:proofErr w:type="gramEnd"/>
                    </w:p>
                  </w:txbxContent>
                </v:textbox>
                <w10:wrap type="tight" anchorx="margin" anchory="page"/>
              </v:shape>
            </w:pict>
          </mc:Fallback>
        </mc:AlternateContent>
      </w:r>
      <w:r w:rsidR="00CC5AFC" w:rsidRPr="00CF553D">
        <w:rPr>
          <w:rFonts w:ascii="標楷體" w:eastAsia="標楷體" w:hAnsi="標楷體" w:hint="eastAsia"/>
          <w:b/>
          <w:sz w:val="28"/>
          <w:szCs w:val="28"/>
        </w:rPr>
        <w:t>（</w:t>
      </w:r>
      <w:r w:rsidR="00CC5AFC">
        <w:rPr>
          <w:rFonts w:ascii="標楷體" w:eastAsia="標楷體" w:hAnsi="標楷體" w:hint="eastAsia"/>
          <w:b/>
          <w:sz w:val="28"/>
          <w:szCs w:val="28"/>
        </w:rPr>
        <w:t>三</w:t>
      </w:r>
      <w:r w:rsidR="00CC5AFC" w:rsidRPr="00CF553D">
        <w:rPr>
          <w:rFonts w:ascii="標楷體" w:eastAsia="標楷體" w:hAnsi="標楷體" w:hint="eastAsia"/>
          <w:b/>
          <w:sz w:val="28"/>
          <w:szCs w:val="28"/>
        </w:rPr>
        <w:t>）</w:t>
      </w:r>
      <w:r w:rsidR="00CC5AFC" w:rsidRPr="00776889">
        <w:rPr>
          <w:rFonts w:ascii="標楷體" w:eastAsia="標楷體" w:hAnsi="標楷體" w:hint="eastAsia"/>
          <w:b/>
          <w:sz w:val="28"/>
          <w:szCs w:val="28"/>
        </w:rPr>
        <w:t>為應北投士林科技園區開發</w:t>
      </w:r>
      <w:r w:rsidR="00CC5AFC">
        <w:rPr>
          <w:rFonts w:ascii="標楷體" w:eastAsia="標楷體" w:hAnsi="標楷體" w:hint="eastAsia"/>
          <w:b/>
          <w:sz w:val="28"/>
          <w:szCs w:val="28"/>
        </w:rPr>
        <w:t>所</w:t>
      </w:r>
      <w:r w:rsidR="00CC5AFC" w:rsidRPr="00776889">
        <w:rPr>
          <w:rFonts w:ascii="標楷體" w:eastAsia="標楷體" w:hAnsi="標楷體" w:hint="eastAsia"/>
          <w:b/>
          <w:sz w:val="28"/>
          <w:szCs w:val="28"/>
        </w:rPr>
        <w:t>衍生之公共停車需求，辦理公</w:t>
      </w:r>
      <w:r w:rsidR="00CC5AFC" w:rsidRPr="00776889">
        <w:rPr>
          <w:rFonts w:ascii="標楷體" w:eastAsia="標楷體" w:hAnsi="標楷體"/>
          <w:b/>
          <w:sz w:val="28"/>
          <w:szCs w:val="28"/>
        </w:rPr>
        <w:t>1</w:t>
      </w:r>
      <w:r w:rsidR="00CC5AFC" w:rsidRPr="00776889">
        <w:rPr>
          <w:rFonts w:ascii="標楷體" w:eastAsia="標楷體" w:hAnsi="標楷體" w:hint="eastAsia"/>
          <w:b/>
          <w:sz w:val="28"/>
          <w:szCs w:val="28"/>
        </w:rPr>
        <w:t>公園附建地下停車場新建工程，</w:t>
      </w:r>
      <w:proofErr w:type="gramStart"/>
      <w:r w:rsidR="00CC5AFC" w:rsidRPr="00776889">
        <w:rPr>
          <w:rFonts w:ascii="標楷體" w:eastAsia="標楷體" w:hAnsi="標楷體" w:hint="eastAsia"/>
          <w:b/>
          <w:sz w:val="28"/>
          <w:szCs w:val="28"/>
        </w:rPr>
        <w:t>惟間有未</w:t>
      </w:r>
      <w:proofErr w:type="gramEnd"/>
      <w:r w:rsidR="00CC5AFC" w:rsidRPr="00776889">
        <w:rPr>
          <w:rFonts w:ascii="標楷體" w:eastAsia="標楷體" w:hAnsi="標楷體" w:hint="eastAsia"/>
          <w:b/>
          <w:sz w:val="28"/>
          <w:szCs w:val="28"/>
        </w:rPr>
        <w:t>依契約規定辦理工程保險加保</w:t>
      </w:r>
      <w:r w:rsidR="00CC5AFC">
        <w:rPr>
          <w:rFonts w:ascii="標楷體" w:eastAsia="標楷體" w:hAnsi="標楷體" w:hint="eastAsia"/>
          <w:b/>
          <w:sz w:val="28"/>
          <w:szCs w:val="28"/>
        </w:rPr>
        <w:t>事宜</w:t>
      </w:r>
      <w:r w:rsidR="00CC5AFC" w:rsidRPr="00776889">
        <w:rPr>
          <w:rFonts w:ascii="標楷體" w:eastAsia="標楷體" w:hAnsi="標楷體" w:hint="eastAsia"/>
          <w:b/>
          <w:sz w:val="28"/>
          <w:szCs w:val="28"/>
        </w:rPr>
        <w:t>、給付物價指數調整款未扣除不得納入</w:t>
      </w:r>
      <w:r w:rsidR="00CC5AFC">
        <w:rPr>
          <w:rFonts w:ascii="標楷體" w:eastAsia="標楷體" w:hAnsi="標楷體" w:hint="eastAsia"/>
          <w:b/>
          <w:sz w:val="28"/>
          <w:szCs w:val="28"/>
        </w:rPr>
        <w:t>計算</w:t>
      </w:r>
      <w:r w:rsidR="00CC5AFC" w:rsidRPr="00776889">
        <w:rPr>
          <w:rFonts w:ascii="標楷體" w:eastAsia="標楷體" w:hAnsi="標楷體" w:hint="eastAsia"/>
          <w:b/>
          <w:sz w:val="28"/>
          <w:szCs w:val="28"/>
        </w:rPr>
        <w:t>之工項費用，及契約變更</w:t>
      </w:r>
      <w:proofErr w:type="gramStart"/>
      <w:r w:rsidR="00CC5AFC" w:rsidRPr="00776889">
        <w:rPr>
          <w:rFonts w:ascii="標楷體" w:eastAsia="標楷體" w:hAnsi="標楷體" w:hint="eastAsia"/>
          <w:b/>
          <w:sz w:val="28"/>
          <w:szCs w:val="28"/>
        </w:rPr>
        <w:t>加帳</w:t>
      </w:r>
      <w:r w:rsidR="00CC5AFC">
        <w:rPr>
          <w:rFonts w:ascii="標楷體" w:eastAsia="標楷體" w:hAnsi="標楷體" w:hint="eastAsia"/>
          <w:b/>
          <w:sz w:val="28"/>
          <w:szCs w:val="28"/>
        </w:rPr>
        <w:t>時</w:t>
      </w:r>
      <w:proofErr w:type="gramEnd"/>
      <w:r w:rsidR="00CC5AFC" w:rsidRPr="00776889">
        <w:rPr>
          <w:rFonts w:ascii="標楷體" w:eastAsia="標楷體" w:hAnsi="標楷體" w:hint="eastAsia"/>
          <w:b/>
          <w:sz w:val="28"/>
          <w:szCs w:val="28"/>
        </w:rPr>
        <w:t>未依比例補足履約保證金等情事，有待</w:t>
      </w:r>
      <w:proofErr w:type="gramStart"/>
      <w:r w:rsidR="00CC5AFC" w:rsidRPr="00776889">
        <w:rPr>
          <w:rFonts w:ascii="標楷體" w:eastAsia="標楷體" w:hAnsi="標楷體" w:hint="eastAsia"/>
          <w:b/>
          <w:sz w:val="28"/>
          <w:szCs w:val="28"/>
        </w:rPr>
        <w:t>檢討</w:t>
      </w:r>
      <w:r w:rsidR="00CC5AFC">
        <w:rPr>
          <w:rFonts w:ascii="標楷體" w:eastAsia="標楷體" w:hAnsi="標楷體" w:hint="eastAsia"/>
          <w:b/>
          <w:sz w:val="28"/>
          <w:szCs w:val="28"/>
        </w:rPr>
        <w:t>妥處</w:t>
      </w:r>
      <w:proofErr w:type="gramEnd"/>
      <w:r w:rsidR="00CC5AFC" w:rsidRPr="004C7713">
        <w:rPr>
          <w:rFonts w:ascii="標楷體" w:eastAsia="標楷體" w:hAnsi="標楷體" w:hint="eastAsia"/>
          <w:b/>
          <w:sz w:val="28"/>
          <w:szCs w:val="28"/>
        </w:rPr>
        <w:t>。</w:t>
      </w:r>
    </w:p>
    <w:p w14:paraId="1CC86841" w14:textId="5357D5F7" w:rsidR="007634F6" w:rsidRPr="005A4859" w:rsidRDefault="00CC5AFC" w:rsidP="00086DC1">
      <w:pPr>
        <w:overflowPunct w:val="0"/>
        <w:spacing w:line="450" w:lineRule="exact"/>
        <w:ind w:firstLineChars="200" w:firstLine="496"/>
        <w:jc w:val="both"/>
        <w:rPr>
          <w:rFonts w:ascii="標楷體" w:eastAsia="標楷體" w:hAnsi="標楷體"/>
          <w:spacing w:val="4"/>
        </w:rPr>
      </w:pPr>
      <w:r w:rsidRPr="005A4859">
        <w:rPr>
          <w:rFonts w:ascii="標楷體" w:eastAsia="標楷體" w:hAnsi="標楷體" w:hint="eastAsia"/>
          <w:spacing w:val="4"/>
        </w:rPr>
        <w:t>停車管理工程處為應北投士林科技園區開發所衍生之公共停車需求，辦理「公1公園附建地下停車場新建工程」，規劃於北投區文林北路與承德路六段交會處之公1公園（即福星公園）南側興建地下2層停車場，預計建置425席汽車位、50席機車位，除滿足區域停車需求外，地面層為公園綠化景觀及交通公園，可提供民眾休憩</w:t>
      </w:r>
    </w:p>
    <w:p w14:paraId="6F68D19A" w14:textId="10AB7587" w:rsidR="00CC5AFC" w:rsidRPr="00B679CA" w:rsidRDefault="00CC5AFC" w:rsidP="007634F6">
      <w:pPr>
        <w:overflowPunct w:val="0"/>
        <w:spacing w:line="450" w:lineRule="exact"/>
        <w:jc w:val="both"/>
        <w:rPr>
          <w:rFonts w:ascii="標楷體" w:eastAsia="標楷體" w:hAnsi="標楷體"/>
          <w:noProof/>
        </w:rPr>
      </w:pPr>
      <w:r w:rsidRPr="00C16675">
        <w:rPr>
          <w:rFonts w:ascii="標楷體" w:eastAsia="標楷體" w:hAnsi="標楷體" w:hint="eastAsia"/>
        </w:rPr>
        <w:lastRenderedPageBreak/>
        <w:t>使用。該工程契約金額9億8,900萬元</w:t>
      </w:r>
      <w:r w:rsidRPr="00FF37D9">
        <w:rPr>
          <w:rFonts w:ascii="標楷體" w:eastAsia="標楷體" w:hAnsi="標楷體" w:hint="eastAsia"/>
        </w:rPr>
        <w:t>，於110年6月16日決標，</w:t>
      </w:r>
      <w:r>
        <w:rPr>
          <w:rFonts w:ascii="標楷體" w:eastAsia="標楷體" w:hAnsi="標楷體" w:hint="eastAsia"/>
        </w:rPr>
        <w:t>同</w:t>
      </w:r>
      <w:r w:rsidRPr="00FF37D9">
        <w:rPr>
          <w:rFonts w:ascii="標楷體" w:eastAsia="標楷體" w:hAnsi="標楷體" w:hint="eastAsia"/>
        </w:rPr>
        <w:t>年9月9日開工</w:t>
      </w:r>
      <w:r>
        <w:rPr>
          <w:rFonts w:ascii="標楷體" w:eastAsia="標楷體" w:hAnsi="標楷體" w:hint="eastAsia"/>
        </w:rPr>
        <w:t>，截至1</w:t>
      </w:r>
      <w:r>
        <w:rPr>
          <w:rFonts w:ascii="標楷體" w:eastAsia="標楷體" w:hAnsi="標楷體"/>
        </w:rPr>
        <w:t>13</w:t>
      </w:r>
      <w:r>
        <w:rPr>
          <w:rFonts w:ascii="標楷體" w:eastAsia="標楷體" w:hAnsi="標楷體" w:hint="eastAsia"/>
        </w:rPr>
        <w:t>年底尚在施工中</w:t>
      </w:r>
      <w:r w:rsidRPr="00F95B0D">
        <w:rPr>
          <w:rFonts w:ascii="標楷體" w:eastAsia="標楷體" w:hAnsi="標楷體" w:hint="eastAsia"/>
          <w:noProof/>
        </w:rPr>
        <w:t>。</w:t>
      </w:r>
      <w:r w:rsidRPr="00F95B0D">
        <w:rPr>
          <w:rFonts w:ascii="標楷體" w:eastAsia="標楷體" w:hAnsi="標楷體" w:hint="eastAsia"/>
        </w:rPr>
        <w:t>經查</w:t>
      </w:r>
      <w:r w:rsidRPr="00F95B0D">
        <w:rPr>
          <w:rFonts w:ascii="標楷體" w:eastAsia="標楷體" w:hAnsi="標楷體"/>
        </w:rPr>
        <w:t>執行情</w:t>
      </w:r>
      <w:r w:rsidRPr="00F95B0D">
        <w:rPr>
          <w:rFonts w:ascii="標楷體" w:eastAsia="標楷體" w:hAnsi="標楷體" w:hint="eastAsia"/>
        </w:rPr>
        <w:t>形，核有：1.</w:t>
      </w:r>
      <w:r w:rsidRPr="00F95B0D">
        <w:rPr>
          <w:rFonts w:ascii="標楷體" w:eastAsia="標楷體" w:hAnsi="標楷體" w:hint="eastAsia"/>
          <w:noProof/>
        </w:rPr>
        <w:t>工程施工期間因</w:t>
      </w:r>
      <w:proofErr w:type="gramStart"/>
      <w:r w:rsidRPr="005D55C7">
        <w:rPr>
          <w:rFonts w:ascii="標楷體" w:eastAsia="標楷體" w:hAnsi="標楷體" w:hint="eastAsia"/>
        </w:rPr>
        <w:t>土方運棄</w:t>
      </w:r>
      <w:proofErr w:type="gramEnd"/>
      <w:r w:rsidRPr="005D55C7">
        <w:rPr>
          <w:rFonts w:ascii="標楷體" w:eastAsia="標楷體" w:hAnsi="標楷體" w:hint="eastAsia"/>
        </w:rPr>
        <w:t>、開挖及結構體構築變更</w:t>
      </w:r>
      <w:r>
        <w:rPr>
          <w:rFonts w:ascii="標楷體" w:eastAsia="標楷體" w:hAnsi="標楷體" w:hint="eastAsia"/>
        </w:rPr>
        <w:t>、</w:t>
      </w:r>
      <w:proofErr w:type="gramStart"/>
      <w:r w:rsidRPr="005D55C7">
        <w:rPr>
          <w:rFonts w:ascii="標楷體" w:eastAsia="標楷體" w:hAnsi="標楷體" w:hint="eastAsia"/>
        </w:rPr>
        <w:t>臺</w:t>
      </w:r>
      <w:proofErr w:type="gramEnd"/>
      <w:r w:rsidRPr="005D55C7">
        <w:rPr>
          <w:rFonts w:ascii="標楷體" w:eastAsia="標楷體" w:hAnsi="標楷體" w:hint="eastAsia"/>
        </w:rPr>
        <w:t>北港土方暫停收容影響施工</w:t>
      </w:r>
      <w:proofErr w:type="gramStart"/>
      <w:r w:rsidRPr="005D55C7">
        <w:rPr>
          <w:rFonts w:ascii="標楷體" w:eastAsia="標楷體" w:hAnsi="標楷體" w:hint="eastAsia"/>
        </w:rPr>
        <w:t>要徑</w:t>
      </w:r>
      <w:r>
        <w:rPr>
          <w:rFonts w:ascii="標楷體" w:eastAsia="標楷體" w:hAnsi="標楷體" w:hint="eastAsia"/>
        </w:rPr>
        <w:t>等由</w:t>
      </w:r>
      <w:proofErr w:type="gramEnd"/>
      <w:r>
        <w:rPr>
          <w:rFonts w:ascii="標楷體" w:eastAsia="標楷體" w:hAnsi="標楷體" w:hint="eastAsia"/>
        </w:rPr>
        <w:t>，辦理</w:t>
      </w:r>
      <w:r w:rsidRPr="00F95B0D">
        <w:rPr>
          <w:rFonts w:ascii="標楷體" w:eastAsia="標楷體" w:hAnsi="標楷體" w:hint="eastAsia"/>
          <w:noProof/>
        </w:rPr>
        <w:t>契約變更增加契約價金及展延工期，惟施工廠商未依契約規定辦理工程保險加保及展延保險期限，</w:t>
      </w:r>
      <w:r>
        <w:rPr>
          <w:rFonts w:ascii="標楷體" w:eastAsia="標楷體" w:hAnsi="標楷體" w:hint="eastAsia"/>
          <w:noProof/>
        </w:rPr>
        <w:t>該處仍</w:t>
      </w:r>
      <w:r w:rsidRPr="00F95B0D">
        <w:rPr>
          <w:rFonts w:ascii="標楷體" w:eastAsia="標楷體" w:hAnsi="標楷體" w:hint="eastAsia"/>
          <w:noProof/>
        </w:rPr>
        <w:t>未依約檢討扣罰；2</w:t>
      </w:r>
      <w:r w:rsidRPr="00F95B0D">
        <w:rPr>
          <w:rFonts w:ascii="標楷體" w:eastAsia="標楷體" w:hAnsi="標楷體"/>
          <w:noProof/>
        </w:rPr>
        <w:t>.</w:t>
      </w:r>
      <w:r w:rsidRPr="00F95B0D">
        <w:rPr>
          <w:rFonts w:ascii="標楷體" w:eastAsia="標楷體" w:hAnsi="標楷體" w:hint="eastAsia"/>
          <w:noProof/>
        </w:rPr>
        <w:t>給付物價指數調整款未依契約規定扣除</w:t>
      </w:r>
      <w:r w:rsidRPr="005D55C7">
        <w:rPr>
          <w:rFonts w:ascii="標楷體" w:eastAsia="標楷體" w:hAnsi="標楷體" w:hint="eastAsia"/>
        </w:rPr>
        <w:t>訓練、檢（試）驗、審查及製圖等</w:t>
      </w:r>
      <w:r>
        <w:rPr>
          <w:rFonts w:ascii="標楷體" w:eastAsia="標楷體" w:hAnsi="標楷體" w:hint="eastAsia"/>
        </w:rPr>
        <w:t>不予計算物價指數調整款之</w:t>
      </w:r>
      <w:r w:rsidRPr="005D55C7">
        <w:rPr>
          <w:rFonts w:ascii="標楷體" w:eastAsia="標楷體" w:hAnsi="標楷體" w:hint="eastAsia"/>
        </w:rPr>
        <w:t>費用</w:t>
      </w:r>
      <w:r>
        <w:rPr>
          <w:rFonts w:ascii="標楷體" w:eastAsia="標楷體" w:hAnsi="標楷體" w:hint="eastAsia"/>
        </w:rPr>
        <w:t>，且</w:t>
      </w:r>
      <w:r>
        <w:rPr>
          <w:rFonts w:ascii="標楷體" w:eastAsia="標楷體" w:hAnsi="標楷體" w:hint="eastAsia"/>
          <w:noProof/>
        </w:rPr>
        <w:t>假設工程及工程品質管理費項下，重複編列</w:t>
      </w:r>
      <w:r w:rsidRPr="00F95B0D">
        <w:rPr>
          <w:rFonts w:ascii="標楷體" w:eastAsia="標楷體" w:hAnsi="標楷體" w:hint="eastAsia"/>
          <w:noProof/>
        </w:rPr>
        <w:t>資料送審及圖說繪製等工項</w:t>
      </w:r>
      <w:r>
        <w:rPr>
          <w:rFonts w:ascii="標楷體" w:eastAsia="標楷體" w:hAnsi="標楷體" w:hint="eastAsia"/>
          <w:noProof/>
        </w:rPr>
        <w:t>費用</w:t>
      </w:r>
      <w:r w:rsidRPr="00F95B0D">
        <w:rPr>
          <w:rFonts w:ascii="標楷體" w:eastAsia="標楷體" w:hAnsi="標楷體" w:hint="eastAsia"/>
          <w:noProof/>
        </w:rPr>
        <w:t>；</w:t>
      </w:r>
      <w:r w:rsidRPr="00F95B0D">
        <w:rPr>
          <w:rFonts w:ascii="標楷體" w:eastAsia="標楷體" w:hAnsi="標楷體"/>
          <w:noProof/>
        </w:rPr>
        <w:t>3.</w:t>
      </w:r>
      <w:r w:rsidRPr="00F95B0D">
        <w:rPr>
          <w:rFonts w:ascii="標楷體" w:eastAsia="標楷體" w:hAnsi="標楷體" w:hint="eastAsia"/>
          <w:noProof/>
        </w:rPr>
        <w:t>因應土方運棄及結構體構築變更等事由，辦理工程契約變更加帳，惟未通知施工廠商依比例補足履約保證金等情</w:t>
      </w:r>
      <w:r w:rsidRPr="00F95B0D">
        <w:rPr>
          <w:rFonts w:ascii="標楷體" w:eastAsia="標楷體" w:hAnsi="標楷體" w:hint="eastAsia"/>
        </w:rPr>
        <w:t>事，經函請</w:t>
      </w:r>
      <w:proofErr w:type="gramStart"/>
      <w:r w:rsidRPr="00F95B0D">
        <w:rPr>
          <w:rFonts w:ascii="標楷體" w:eastAsia="標楷體" w:hAnsi="標楷體" w:hint="eastAsia"/>
        </w:rPr>
        <w:t>查明妥處</w:t>
      </w:r>
      <w:proofErr w:type="gramEnd"/>
      <w:r w:rsidRPr="00F95B0D">
        <w:rPr>
          <w:rFonts w:ascii="標楷體" w:eastAsia="標楷體" w:hAnsi="標楷體" w:hint="eastAsia"/>
        </w:rPr>
        <w:t>。</w:t>
      </w:r>
      <w:r w:rsidRPr="00F95B0D">
        <w:rPr>
          <w:rFonts w:ascii="標楷體" w:eastAsia="標楷體" w:hAnsi="標楷體"/>
        </w:rPr>
        <w:t>據復：</w:t>
      </w:r>
      <w:r w:rsidRPr="00262517">
        <w:rPr>
          <w:rFonts w:ascii="標楷體" w:eastAsia="標楷體" w:hAnsi="標楷體" w:hint="eastAsia"/>
          <w:noProof/>
        </w:rPr>
        <w:t>1</w:t>
      </w:r>
      <w:r w:rsidRPr="00262517">
        <w:rPr>
          <w:rFonts w:ascii="標楷體" w:eastAsia="標楷體" w:hAnsi="標楷體"/>
          <w:noProof/>
        </w:rPr>
        <w:t>.</w:t>
      </w:r>
      <w:r>
        <w:rPr>
          <w:rFonts w:ascii="標楷體" w:eastAsia="標楷體" w:hAnsi="標楷體" w:hint="eastAsia"/>
          <w:noProof/>
        </w:rPr>
        <w:t>已督促施工廠商完成工程保險加保及展延保險期限，另</w:t>
      </w:r>
      <w:r w:rsidRPr="00262517">
        <w:rPr>
          <w:rFonts w:ascii="標楷體" w:eastAsia="標楷體" w:hAnsi="標楷體" w:hint="eastAsia"/>
          <w:noProof/>
        </w:rPr>
        <w:t>經檢討</w:t>
      </w:r>
      <w:r>
        <w:rPr>
          <w:rFonts w:ascii="標楷體" w:eastAsia="標楷體" w:hAnsi="標楷體" w:hint="eastAsia"/>
          <w:noProof/>
        </w:rPr>
        <w:t>已扣罰</w:t>
      </w:r>
      <w:r w:rsidRPr="00262517">
        <w:rPr>
          <w:rFonts w:ascii="標楷體" w:eastAsia="標楷體" w:hAnsi="標楷體" w:hint="eastAsia"/>
          <w:noProof/>
        </w:rPr>
        <w:t>施工廠商83萬</w:t>
      </w:r>
      <w:r>
        <w:rPr>
          <w:rFonts w:ascii="標楷體" w:eastAsia="標楷體" w:hAnsi="標楷體" w:hint="eastAsia"/>
          <w:noProof/>
        </w:rPr>
        <w:t>餘</w:t>
      </w:r>
      <w:r w:rsidRPr="00262517">
        <w:rPr>
          <w:rFonts w:ascii="標楷體" w:eastAsia="標楷體" w:hAnsi="標楷體" w:hint="eastAsia"/>
          <w:noProof/>
        </w:rPr>
        <w:t>元</w:t>
      </w:r>
      <w:r>
        <w:rPr>
          <w:rFonts w:ascii="標楷體" w:eastAsia="標楷體" w:hAnsi="標楷體" w:hint="eastAsia"/>
          <w:noProof/>
        </w:rPr>
        <w:t>，並將</w:t>
      </w:r>
      <w:r w:rsidRPr="00262517">
        <w:rPr>
          <w:rFonts w:ascii="標楷體" w:eastAsia="標楷體" w:hAnsi="標楷體" w:hint="eastAsia"/>
          <w:noProof/>
        </w:rPr>
        <w:t>檢討監造廠</w:t>
      </w:r>
      <w:r w:rsidRPr="00B52FA2">
        <w:rPr>
          <w:rFonts w:ascii="標楷體" w:eastAsia="標楷體" w:hAnsi="標楷體" w:hint="eastAsia"/>
          <w:noProof/>
        </w:rPr>
        <w:t>商責任；</w:t>
      </w:r>
      <w:r w:rsidRPr="00B52FA2">
        <w:rPr>
          <w:rFonts w:ascii="標楷體" w:eastAsia="標楷體" w:hAnsi="標楷體" w:hint="eastAsia"/>
        </w:rPr>
        <w:t>2</w:t>
      </w:r>
      <w:r w:rsidRPr="00B52FA2">
        <w:rPr>
          <w:rFonts w:ascii="標楷體" w:eastAsia="標楷體" w:hAnsi="標楷體"/>
        </w:rPr>
        <w:t>.</w:t>
      </w:r>
      <w:r w:rsidRPr="00B52FA2">
        <w:rPr>
          <w:rFonts w:ascii="標楷體" w:eastAsia="標楷體" w:hAnsi="標楷體" w:hint="eastAsia"/>
          <w:noProof/>
        </w:rPr>
        <w:t>已</w:t>
      </w:r>
      <w:r w:rsidRPr="00B52FA2">
        <w:rPr>
          <w:rFonts w:ascii="標楷體" w:eastAsia="標楷體" w:hAnsi="標楷體"/>
          <w:noProof/>
        </w:rPr>
        <w:t>扣回</w:t>
      </w:r>
      <w:r>
        <w:rPr>
          <w:rFonts w:ascii="標楷體" w:eastAsia="標楷體" w:hAnsi="標楷體" w:hint="eastAsia"/>
          <w:noProof/>
        </w:rPr>
        <w:t>物價調整款</w:t>
      </w:r>
      <w:r w:rsidRPr="00B52FA2">
        <w:rPr>
          <w:rFonts w:ascii="標楷體" w:eastAsia="標楷體" w:hAnsi="標楷體" w:hint="eastAsia"/>
          <w:noProof/>
        </w:rPr>
        <w:t>1萬餘元，</w:t>
      </w:r>
      <w:r>
        <w:rPr>
          <w:rFonts w:ascii="標楷體" w:eastAsia="標楷體" w:hAnsi="標楷體" w:hint="eastAsia"/>
          <w:noProof/>
        </w:rPr>
        <w:t>另</w:t>
      </w:r>
      <w:r w:rsidRPr="00B52FA2">
        <w:rPr>
          <w:rFonts w:ascii="標楷體" w:eastAsia="標楷體" w:hAnsi="標楷體" w:hint="eastAsia"/>
          <w:noProof/>
        </w:rPr>
        <w:t>將針對重複編列資料送審及圖說繪製等</w:t>
      </w:r>
      <w:r>
        <w:rPr>
          <w:rFonts w:ascii="標楷體" w:eastAsia="標楷體" w:hAnsi="標楷體" w:hint="eastAsia"/>
          <w:noProof/>
        </w:rPr>
        <w:t>工項</w:t>
      </w:r>
      <w:r w:rsidRPr="00B52FA2">
        <w:rPr>
          <w:rFonts w:ascii="標楷體" w:eastAsia="標楷體" w:hAnsi="標楷體" w:hint="eastAsia"/>
          <w:noProof/>
        </w:rPr>
        <w:t>扣回相關費用，並檢討設計單位疏失責任；3</w:t>
      </w:r>
      <w:r w:rsidRPr="00B52FA2">
        <w:rPr>
          <w:rFonts w:ascii="標楷體" w:eastAsia="標楷體" w:hAnsi="標楷體"/>
          <w:noProof/>
        </w:rPr>
        <w:t>.</w:t>
      </w:r>
      <w:r w:rsidRPr="00B52FA2">
        <w:rPr>
          <w:rFonts w:ascii="標楷體" w:eastAsia="標楷體" w:hAnsi="標楷體" w:hint="eastAsia"/>
          <w:noProof/>
        </w:rPr>
        <w:t>已請施工廠商補足履約保證金差額。</w:t>
      </w:r>
    </w:p>
    <w:p w14:paraId="233DFB01" w14:textId="69D67E02" w:rsidR="00CC5AFC" w:rsidRDefault="00CC5AFC" w:rsidP="007634F6">
      <w:pPr>
        <w:suppressAutoHyphens/>
        <w:overflowPunct w:val="0"/>
        <w:spacing w:beforeLines="50" w:before="180" w:line="460" w:lineRule="exact"/>
        <w:ind w:firstLineChars="100" w:firstLine="280"/>
        <w:jc w:val="both"/>
        <w:rPr>
          <w:rFonts w:ascii="標楷體" w:eastAsia="標楷體" w:hAnsi="標楷體"/>
          <w:b/>
          <w:sz w:val="28"/>
          <w:szCs w:val="28"/>
        </w:rPr>
      </w:pPr>
      <w:r w:rsidRPr="00A86E92">
        <w:rPr>
          <w:rFonts w:ascii="標楷體" w:eastAsia="標楷體" w:hAnsi="標楷體" w:hint="eastAsia"/>
          <w:b/>
          <w:sz w:val="28"/>
          <w:szCs w:val="28"/>
        </w:rPr>
        <w:t>（</w:t>
      </w:r>
      <w:r>
        <w:rPr>
          <w:rFonts w:ascii="標楷體" w:eastAsia="標楷體" w:hAnsi="標楷體" w:hint="eastAsia"/>
          <w:b/>
          <w:sz w:val="28"/>
          <w:szCs w:val="28"/>
        </w:rPr>
        <w:t>四</w:t>
      </w:r>
      <w:r w:rsidRPr="00A86E92">
        <w:rPr>
          <w:rFonts w:ascii="標楷體" w:eastAsia="標楷體" w:hAnsi="標楷體"/>
          <w:b/>
          <w:sz w:val="28"/>
          <w:szCs w:val="28"/>
        </w:rPr>
        <w:t>）</w:t>
      </w:r>
      <w:proofErr w:type="gramStart"/>
      <w:r>
        <w:rPr>
          <w:rFonts w:ascii="標楷體" w:eastAsia="標楷體" w:hAnsi="標楷體" w:hint="eastAsia"/>
          <w:b/>
          <w:sz w:val="28"/>
          <w:szCs w:val="28"/>
        </w:rPr>
        <w:t>為使轄內</w:t>
      </w:r>
      <w:proofErr w:type="gramEnd"/>
      <w:r>
        <w:rPr>
          <w:rFonts w:ascii="標楷體" w:eastAsia="標楷體" w:hAnsi="標楷體" w:hint="eastAsia"/>
          <w:b/>
          <w:sz w:val="28"/>
          <w:szCs w:val="28"/>
        </w:rPr>
        <w:t>重大公共工程之出土作業順利進行</w:t>
      </w:r>
      <w:r w:rsidRPr="0078072E">
        <w:rPr>
          <w:rFonts w:ascii="標楷體" w:eastAsia="標楷體" w:hAnsi="標楷體" w:hint="eastAsia"/>
          <w:b/>
          <w:sz w:val="28"/>
          <w:szCs w:val="28"/>
        </w:rPr>
        <w:t>，協助</w:t>
      </w:r>
      <w:r>
        <w:rPr>
          <w:rFonts w:ascii="標楷體" w:eastAsia="標楷體" w:hAnsi="標楷體" w:hint="eastAsia"/>
          <w:b/>
          <w:sz w:val="28"/>
          <w:szCs w:val="28"/>
        </w:rPr>
        <w:t>承</w:t>
      </w:r>
      <w:r w:rsidRPr="0078072E">
        <w:rPr>
          <w:rFonts w:ascii="標楷體" w:eastAsia="標楷體" w:hAnsi="標楷體" w:hint="eastAsia"/>
          <w:b/>
          <w:sz w:val="28"/>
          <w:szCs w:val="28"/>
        </w:rPr>
        <w:t>商將</w:t>
      </w:r>
      <w:r>
        <w:rPr>
          <w:rFonts w:ascii="標楷體" w:eastAsia="標楷體" w:hAnsi="標楷體" w:hint="eastAsia"/>
          <w:b/>
          <w:sz w:val="28"/>
          <w:szCs w:val="28"/>
        </w:rPr>
        <w:t>部分營建剩餘土石方由運至民間</w:t>
      </w:r>
      <w:proofErr w:type="gramStart"/>
      <w:r>
        <w:rPr>
          <w:rFonts w:ascii="標楷體" w:eastAsia="標楷體" w:hAnsi="標楷體" w:hint="eastAsia"/>
          <w:b/>
          <w:sz w:val="28"/>
          <w:szCs w:val="28"/>
        </w:rPr>
        <w:t>土資場</w:t>
      </w:r>
      <w:proofErr w:type="gramEnd"/>
      <w:r>
        <w:rPr>
          <w:rFonts w:ascii="標楷體" w:eastAsia="標楷體" w:hAnsi="標楷體" w:hint="eastAsia"/>
          <w:b/>
          <w:sz w:val="28"/>
          <w:szCs w:val="28"/>
        </w:rPr>
        <w:t>處理，變更</w:t>
      </w:r>
      <w:r w:rsidRPr="0078072E">
        <w:rPr>
          <w:rFonts w:ascii="標楷體" w:eastAsia="標楷體" w:hAnsi="標楷體" w:hint="eastAsia"/>
          <w:b/>
          <w:sz w:val="28"/>
          <w:szCs w:val="28"/>
        </w:rPr>
        <w:t>為全數交換至</w:t>
      </w:r>
      <w:proofErr w:type="gramStart"/>
      <w:r w:rsidRPr="0078072E">
        <w:rPr>
          <w:rFonts w:ascii="標楷體" w:eastAsia="標楷體" w:hAnsi="標楷體" w:hint="eastAsia"/>
          <w:b/>
          <w:sz w:val="28"/>
          <w:szCs w:val="28"/>
        </w:rPr>
        <w:t>臺</w:t>
      </w:r>
      <w:proofErr w:type="gramEnd"/>
      <w:r w:rsidRPr="0078072E">
        <w:rPr>
          <w:rFonts w:ascii="標楷體" w:eastAsia="標楷體" w:hAnsi="標楷體" w:hint="eastAsia"/>
          <w:b/>
          <w:sz w:val="28"/>
          <w:szCs w:val="28"/>
        </w:rPr>
        <w:t>北港收容，惟</w:t>
      </w:r>
      <w:r>
        <w:rPr>
          <w:rFonts w:ascii="標楷體" w:eastAsia="標楷體" w:hAnsi="標楷體" w:hint="eastAsia"/>
          <w:b/>
          <w:sz w:val="28"/>
          <w:szCs w:val="28"/>
        </w:rPr>
        <w:t>未依實際處理數量計付</w:t>
      </w:r>
      <w:r w:rsidRPr="0078072E">
        <w:rPr>
          <w:rFonts w:ascii="標楷體" w:eastAsia="標楷體" w:hAnsi="標楷體" w:hint="eastAsia"/>
          <w:b/>
          <w:sz w:val="28"/>
          <w:szCs w:val="28"/>
        </w:rPr>
        <w:t>土石方處理費用，</w:t>
      </w:r>
      <w:proofErr w:type="gramStart"/>
      <w:r w:rsidRPr="0078072E">
        <w:rPr>
          <w:rFonts w:ascii="標楷體" w:eastAsia="標楷體" w:hAnsi="標楷體" w:hint="eastAsia"/>
          <w:b/>
          <w:sz w:val="28"/>
          <w:szCs w:val="28"/>
        </w:rPr>
        <w:t>致溢付承</w:t>
      </w:r>
      <w:proofErr w:type="gramEnd"/>
      <w:r w:rsidRPr="0078072E">
        <w:rPr>
          <w:rFonts w:ascii="標楷體" w:eastAsia="標楷體" w:hAnsi="標楷體" w:hint="eastAsia"/>
          <w:b/>
          <w:sz w:val="28"/>
          <w:szCs w:val="28"/>
        </w:rPr>
        <w:t>商</w:t>
      </w:r>
      <w:r>
        <w:rPr>
          <w:rFonts w:ascii="標楷體" w:eastAsia="標楷體" w:hAnsi="標楷體" w:hint="eastAsia"/>
          <w:b/>
          <w:sz w:val="28"/>
          <w:szCs w:val="28"/>
        </w:rPr>
        <w:t>工程</w:t>
      </w:r>
      <w:r w:rsidRPr="0078072E">
        <w:rPr>
          <w:rFonts w:ascii="標楷體" w:eastAsia="標楷體" w:hAnsi="標楷體" w:hint="eastAsia"/>
          <w:b/>
          <w:sz w:val="28"/>
          <w:szCs w:val="28"/>
        </w:rPr>
        <w:t>價</w:t>
      </w:r>
      <w:r>
        <w:rPr>
          <w:rFonts w:ascii="標楷體" w:eastAsia="標楷體" w:hAnsi="標楷體" w:hint="eastAsia"/>
          <w:b/>
          <w:sz w:val="28"/>
          <w:szCs w:val="28"/>
        </w:rPr>
        <w:t>款</w:t>
      </w:r>
      <w:r w:rsidRPr="0078072E">
        <w:rPr>
          <w:rFonts w:ascii="標楷體" w:eastAsia="標楷體" w:hAnsi="標楷體" w:hint="eastAsia"/>
          <w:b/>
          <w:sz w:val="28"/>
          <w:szCs w:val="28"/>
        </w:rPr>
        <w:t>，有待</w:t>
      </w:r>
      <w:proofErr w:type="gramStart"/>
      <w:r w:rsidRPr="0078072E">
        <w:rPr>
          <w:rFonts w:ascii="標楷體" w:eastAsia="標楷體" w:hAnsi="標楷體" w:hint="eastAsia"/>
          <w:b/>
          <w:sz w:val="28"/>
          <w:szCs w:val="28"/>
        </w:rPr>
        <w:t>檢討</w:t>
      </w:r>
      <w:r>
        <w:rPr>
          <w:rFonts w:ascii="標楷體" w:eastAsia="標楷體" w:hAnsi="標楷體" w:hint="eastAsia"/>
          <w:b/>
          <w:sz w:val="28"/>
          <w:szCs w:val="28"/>
        </w:rPr>
        <w:t>妥處</w:t>
      </w:r>
      <w:proofErr w:type="gramEnd"/>
      <w:r w:rsidRPr="0078072E">
        <w:rPr>
          <w:rFonts w:ascii="標楷體" w:eastAsia="標楷體" w:hAnsi="標楷體" w:hint="eastAsia"/>
          <w:b/>
          <w:sz w:val="28"/>
          <w:szCs w:val="28"/>
        </w:rPr>
        <w:t>。</w:t>
      </w:r>
    </w:p>
    <w:p w14:paraId="78E6158E" w14:textId="64AD13C0" w:rsidR="00652A5F" w:rsidRDefault="00C254C1" w:rsidP="007634F6">
      <w:pPr>
        <w:overflowPunct w:val="0"/>
        <w:spacing w:line="440" w:lineRule="exact"/>
        <w:ind w:firstLineChars="200" w:firstLine="480"/>
        <w:jc w:val="both"/>
        <w:rPr>
          <w:rFonts w:ascii="標楷體" w:eastAsia="標楷體" w:hAnsi="標楷體"/>
        </w:rPr>
      </w:pPr>
      <w:r w:rsidRPr="00A0202C">
        <w:rPr>
          <w:rFonts w:ascii="標楷體" w:eastAsia="標楷體" w:hAnsi="標楷體" w:cs="Times New Roman" w:hint="eastAsia"/>
          <w:noProof/>
          <w:kern w:val="0"/>
          <w:szCs w:val="24"/>
        </w:rPr>
        <mc:AlternateContent>
          <mc:Choice Requires="wps">
            <w:drawing>
              <wp:anchor distT="0" distB="0" distL="114300" distR="114300" simplePos="0" relativeHeight="251764736" behindDoc="1" locked="0" layoutInCell="1" allowOverlap="1" wp14:anchorId="6B52354C" wp14:editId="58D5404E">
                <wp:simplePos x="0" y="0"/>
                <wp:positionH relativeFrom="column">
                  <wp:posOffset>3710940</wp:posOffset>
                </wp:positionH>
                <wp:positionV relativeFrom="paragraph">
                  <wp:posOffset>54610</wp:posOffset>
                </wp:positionV>
                <wp:extent cx="2681605" cy="2461260"/>
                <wp:effectExtent l="0" t="0" r="4445" b="0"/>
                <wp:wrapTight wrapText="bothSides">
                  <wp:wrapPolygon edited="0">
                    <wp:start x="0" y="0"/>
                    <wp:lineTo x="0" y="21399"/>
                    <wp:lineTo x="21482" y="21399"/>
                    <wp:lineTo x="21482" y="0"/>
                    <wp:lineTo x="0" y="0"/>
                  </wp:wrapPolygon>
                </wp:wrapTight>
                <wp:docPr id="59" name="文字方塊 59"/>
                <wp:cNvGraphicFramePr/>
                <a:graphic xmlns:a="http://schemas.openxmlformats.org/drawingml/2006/main">
                  <a:graphicData uri="http://schemas.microsoft.com/office/word/2010/wordprocessingShape">
                    <wps:wsp>
                      <wps:cNvSpPr txBox="1"/>
                      <wps:spPr>
                        <a:xfrm>
                          <a:off x="0" y="0"/>
                          <a:ext cx="2681605" cy="2461260"/>
                        </a:xfrm>
                        <a:prstGeom prst="rect">
                          <a:avLst/>
                        </a:prstGeom>
                        <a:solidFill>
                          <a:sysClr val="window" lastClr="FFFFFF"/>
                        </a:solidFill>
                        <a:ln w="6350">
                          <a:noFill/>
                        </a:ln>
                      </wps:spPr>
                      <wps:txbx>
                        <w:txbxContent>
                          <w:p w14:paraId="33832452" w14:textId="77777777" w:rsidR="00CC5AFC" w:rsidRDefault="00CC5AFC" w:rsidP="00CC5AFC">
                            <w:r>
                              <w:rPr>
                                <w:noProof/>
                              </w:rPr>
                              <w:drawing>
                                <wp:inline distT="0" distB="0" distL="0" distR="0" wp14:anchorId="38D391A3" wp14:editId="1F232418">
                                  <wp:extent cx="2466232" cy="1808328"/>
                                  <wp:effectExtent l="19050" t="19050" r="10795" b="20955"/>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70910" cy="1811758"/>
                                          </a:xfrm>
                                          <a:prstGeom prst="rect">
                                            <a:avLst/>
                                          </a:prstGeom>
                                          <a:noFill/>
                                          <a:ln>
                                            <a:solidFill>
                                              <a:schemeClr val="tx1"/>
                                            </a:solidFill>
                                          </a:ln>
                                        </pic:spPr>
                                      </pic:pic>
                                    </a:graphicData>
                                  </a:graphic>
                                </wp:inline>
                              </w:drawing>
                            </w:r>
                          </w:p>
                          <w:p w14:paraId="491534A1" w14:textId="77777777" w:rsidR="00CC5AFC" w:rsidRDefault="00CC5AFC" w:rsidP="00C254C1">
                            <w:pPr>
                              <w:spacing w:line="220" w:lineRule="exact"/>
                              <w:jc w:val="center"/>
                              <w:rPr>
                                <w:rFonts w:ascii="標楷體" w:eastAsia="標楷體" w:hAnsi="標楷體"/>
                                <w:b/>
                              </w:rPr>
                            </w:pPr>
                            <w:r w:rsidRPr="00A80BAF">
                              <w:rPr>
                                <w:rFonts w:ascii="標楷體" w:eastAsia="標楷體" w:hAnsi="標楷體" w:hint="eastAsia"/>
                                <w:b/>
                              </w:rPr>
                              <w:t>振華公園附建地下停車場新建工程</w:t>
                            </w:r>
                          </w:p>
                          <w:p w14:paraId="4D90F255" w14:textId="77777777" w:rsidR="00CC5AFC" w:rsidRPr="00C62686" w:rsidRDefault="00CC5AFC" w:rsidP="00CC5AFC">
                            <w:pPr>
                              <w:spacing w:line="0" w:lineRule="atLeast"/>
                              <w:jc w:val="center"/>
                              <w:rPr>
                                <w:rFonts w:ascii="標楷體" w:eastAsia="標楷體" w:hAnsi="標楷體"/>
                                <w:b/>
                              </w:rPr>
                            </w:pPr>
                            <w:proofErr w:type="gramStart"/>
                            <w:r w:rsidRPr="00C2590F">
                              <w:rPr>
                                <w:rFonts w:ascii="標楷體" w:eastAsia="標楷體" w:hAnsi="標楷體" w:hint="eastAsia"/>
                                <w:sz w:val="18"/>
                                <w:szCs w:val="18"/>
                              </w:rPr>
                              <w:t>（</w:t>
                            </w:r>
                            <w:proofErr w:type="gramEnd"/>
                            <w:r w:rsidRPr="00C2590F">
                              <w:rPr>
                                <w:rFonts w:ascii="標楷體" w:eastAsia="標楷體" w:hAnsi="標楷體" w:hint="eastAsia"/>
                                <w:sz w:val="18"/>
                                <w:szCs w:val="18"/>
                              </w:rPr>
                              <w:t>圖片</w:t>
                            </w:r>
                            <w:r w:rsidRPr="00C2590F">
                              <w:rPr>
                                <w:rFonts w:ascii="標楷體" w:eastAsia="標楷體" w:hAnsi="標楷體"/>
                                <w:sz w:val="18"/>
                                <w:szCs w:val="18"/>
                              </w:rPr>
                              <w:t>來</w:t>
                            </w:r>
                            <w:r w:rsidRPr="00C2590F">
                              <w:rPr>
                                <w:rFonts w:ascii="標楷體" w:eastAsia="標楷體" w:hAnsi="標楷體" w:hint="eastAsia"/>
                                <w:sz w:val="18"/>
                                <w:szCs w:val="18"/>
                              </w:rPr>
                              <w:t>源：</w:t>
                            </w:r>
                            <w:r>
                              <w:rPr>
                                <w:rFonts w:ascii="標楷體" w:eastAsia="標楷體" w:hAnsi="標楷體" w:hint="eastAsia"/>
                                <w:sz w:val="18"/>
                                <w:szCs w:val="18"/>
                              </w:rPr>
                              <w:t>擷取自臺北市政府全球資訊網</w:t>
                            </w:r>
                            <w:proofErr w:type="gramStart"/>
                            <w:r w:rsidRPr="00C2590F">
                              <w:rPr>
                                <w:rFonts w:ascii="標楷體" w:eastAsia="標楷體" w:hAnsi="標楷體" w:hint="eastAsia"/>
                                <w:sz w:val="18"/>
                                <w:szCs w:val="18"/>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52354C" id="文字方塊 59" o:spid="_x0000_s1088" type="#_x0000_t202" style="position:absolute;left:0;text-align:left;margin-left:292.2pt;margin-top:4.3pt;width:211.15pt;height:193.8pt;z-index:-25155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" fillcolor="window" stroked="f" strokeweight=".5pt">
                <v:textbox>
                  <w:txbxContent>
                    <w:p w14:paraId="33832452" w14:textId="77777777" w:rsidR="00CC5AFC" w:rsidRDefault="00CC5AFC" w:rsidP="00CC5AFC">
                      <w:r>
                        <w:rPr>
                          <w:noProof/>
                        </w:rPr>
                        <w:drawing>
                          <wp:inline distT="0" distB="0" distL="0" distR="0" wp14:anchorId="38D391A3" wp14:editId="1F232418">
                            <wp:extent cx="2466232" cy="1808328"/>
                            <wp:effectExtent l="19050" t="19050" r="10795" b="20955"/>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70910" cy="1811758"/>
                                    </a:xfrm>
                                    <a:prstGeom prst="rect">
                                      <a:avLst/>
                                    </a:prstGeom>
                                    <a:noFill/>
                                    <a:ln>
                                      <a:solidFill>
                                        <a:schemeClr val="tx1"/>
                                      </a:solidFill>
                                    </a:ln>
                                  </pic:spPr>
                                </pic:pic>
                              </a:graphicData>
                            </a:graphic>
                          </wp:inline>
                        </w:drawing>
                      </w:r>
                    </w:p>
                    <w:p w14:paraId="491534A1" w14:textId="77777777" w:rsidR="00CC5AFC" w:rsidRDefault="00CC5AFC" w:rsidP="00C254C1">
                      <w:pPr>
                        <w:spacing w:line="220" w:lineRule="exact"/>
                        <w:jc w:val="center"/>
                        <w:rPr>
                          <w:rFonts w:ascii="標楷體" w:eastAsia="標楷體" w:hAnsi="標楷體"/>
                          <w:b/>
                        </w:rPr>
                      </w:pPr>
                      <w:r w:rsidRPr="00A80BAF">
                        <w:rPr>
                          <w:rFonts w:ascii="標楷體" w:eastAsia="標楷體" w:hAnsi="標楷體" w:hint="eastAsia"/>
                          <w:b/>
                        </w:rPr>
                        <w:t>振華公園附建地下停車場新建工程</w:t>
                      </w:r>
                    </w:p>
                    <w:p w14:paraId="4D90F255" w14:textId="77777777" w:rsidR="00CC5AFC" w:rsidRPr="00C62686" w:rsidRDefault="00CC5AFC" w:rsidP="00CC5AFC">
                      <w:pPr>
                        <w:spacing w:line="0" w:lineRule="atLeast"/>
                        <w:jc w:val="center"/>
                        <w:rPr>
                          <w:rFonts w:ascii="標楷體" w:eastAsia="標楷體" w:hAnsi="標楷體"/>
                          <w:b/>
                        </w:rPr>
                      </w:pPr>
                      <w:proofErr w:type="gramStart"/>
                      <w:r w:rsidRPr="00C2590F">
                        <w:rPr>
                          <w:rFonts w:ascii="標楷體" w:eastAsia="標楷體" w:hAnsi="標楷體" w:hint="eastAsia"/>
                          <w:sz w:val="18"/>
                          <w:szCs w:val="18"/>
                        </w:rPr>
                        <w:t>（</w:t>
                      </w:r>
                      <w:proofErr w:type="gramEnd"/>
                      <w:r w:rsidRPr="00C2590F">
                        <w:rPr>
                          <w:rFonts w:ascii="標楷體" w:eastAsia="標楷體" w:hAnsi="標楷體" w:hint="eastAsia"/>
                          <w:sz w:val="18"/>
                          <w:szCs w:val="18"/>
                        </w:rPr>
                        <w:t>圖片</w:t>
                      </w:r>
                      <w:r w:rsidRPr="00C2590F">
                        <w:rPr>
                          <w:rFonts w:ascii="標楷體" w:eastAsia="標楷體" w:hAnsi="標楷體"/>
                          <w:sz w:val="18"/>
                          <w:szCs w:val="18"/>
                        </w:rPr>
                        <w:t>來</w:t>
                      </w:r>
                      <w:r w:rsidRPr="00C2590F">
                        <w:rPr>
                          <w:rFonts w:ascii="標楷體" w:eastAsia="標楷體" w:hAnsi="標楷體" w:hint="eastAsia"/>
                          <w:sz w:val="18"/>
                          <w:szCs w:val="18"/>
                        </w:rPr>
                        <w:t>源：</w:t>
                      </w:r>
                      <w:r>
                        <w:rPr>
                          <w:rFonts w:ascii="標楷體" w:eastAsia="標楷體" w:hAnsi="標楷體" w:hint="eastAsia"/>
                          <w:sz w:val="18"/>
                          <w:szCs w:val="18"/>
                        </w:rPr>
                        <w:t>擷取自臺北市政府全球資訊網</w:t>
                      </w:r>
                      <w:proofErr w:type="gramStart"/>
                      <w:r w:rsidRPr="00C2590F">
                        <w:rPr>
                          <w:rFonts w:ascii="標楷體" w:eastAsia="標楷體" w:hAnsi="標楷體" w:hint="eastAsia"/>
                          <w:sz w:val="18"/>
                          <w:szCs w:val="18"/>
                        </w:rPr>
                        <w:t>）</w:t>
                      </w:r>
                      <w:proofErr w:type="gramEnd"/>
                    </w:p>
                  </w:txbxContent>
                </v:textbox>
                <w10:wrap type="tight"/>
              </v:shape>
            </w:pict>
          </mc:Fallback>
        </mc:AlternateContent>
      </w:r>
      <w:r w:rsidR="00CC5AFC" w:rsidRPr="000376A1">
        <w:rPr>
          <w:rFonts w:ascii="標楷體" w:eastAsia="標楷體" w:hAnsi="標楷體" w:hint="eastAsia"/>
        </w:rPr>
        <w:t>依內政部訂定「公共工程及公有建築工程營建剩餘土石方交換利用作業要點」</w:t>
      </w:r>
      <w:r w:rsidR="00CC5AFC" w:rsidRPr="006062A6">
        <w:rPr>
          <w:rFonts w:ascii="標楷體" w:eastAsia="標楷體" w:hAnsi="標楷體" w:cs="標楷體" w:hint="eastAsia"/>
          <w:bCs/>
          <w:color w:val="000000" w:themeColor="text1"/>
          <w:szCs w:val="32"/>
        </w:rPr>
        <w:t>（</w:t>
      </w:r>
      <w:r w:rsidR="00CC5AFC" w:rsidRPr="000E41BA">
        <w:rPr>
          <w:rFonts w:ascii="標楷體" w:eastAsia="標楷體" w:hAnsi="標楷體" w:hint="eastAsia"/>
        </w:rPr>
        <w:t>下稱土石方交換作業要點）</w:t>
      </w:r>
      <w:r w:rsidR="00CC5AFC" w:rsidRPr="000376A1">
        <w:rPr>
          <w:rFonts w:ascii="標楷體" w:eastAsia="標楷體" w:hAnsi="標楷體" w:hint="eastAsia"/>
        </w:rPr>
        <w:t>第11點第1款規定，主辦機關應將土石方交換協調結果納入土石方資源處理或來源規劃構想，並依該規劃構想</w:t>
      </w:r>
      <w:proofErr w:type="gramStart"/>
      <w:r w:rsidR="00CC5AFC" w:rsidRPr="000376A1">
        <w:rPr>
          <w:rFonts w:ascii="標楷體" w:eastAsia="標楷體" w:hAnsi="標楷體" w:hint="eastAsia"/>
        </w:rPr>
        <w:t>覈</w:t>
      </w:r>
      <w:proofErr w:type="gramEnd"/>
      <w:r w:rsidR="00CC5AFC" w:rsidRPr="000376A1">
        <w:rPr>
          <w:rFonts w:ascii="標楷體" w:eastAsia="標楷體" w:hAnsi="標楷體" w:hint="eastAsia"/>
        </w:rPr>
        <w:t>實編列土石方開挖、處理、運輸、購置、</w:t>
      </w:r>
      <w:proofErr w:type="gramStart"/>
      <w:r w:rsidR="00CC5AFC" w:rsidRPr="000376A1">
        <w:rPr>
          <w:rFonts w:ascii="標楷體" w:eastAsia="標楷體" w:hAnsi="標楷體" w:hint="eastAsia"/>
        </w:rPr>
        <w:t>夯實等</w:t>
      </w:r>
      <w:proofErr w:type="gramEnd"/>
      <w:r w:rsidR="00CC5AFC" w:rsidRPr="000376A1">
        <w:rPr>
          <w:rFonts w:ascii="標楷體" w:eastAsia="標楷體" w:hAnsi="標楷體" w:hint="eastAsia"/>
        </w:rPr>
        <w:t>相關費用，依實際處理</w:t>
      </w:r>
      <w:r w:rsidR="00CC5AFC" w:rsidRPr="000376A1">
        <w:rPr>
          <w:rFonts w:ascii="標楷體" w:eastAsia="標楷體" w:hAnsi="標楷體" w:hint="eastAsia"/>
          <w:noProof/>
        </w:rPr>
        <w:t>數量</w:t>
      </w:r>
      <w:r w:rsidR="00CC5AFC" w:rsidRPr="000376A1">
        <w:rPr>
          <w:rFonts w:ascii="標楷體" w:eastAsia="標楷體" w:hAnsi="標楷體" w:hint="eastAsia"/>
        </w:rPr>
        <w:t>計價。停車管理工程處</w:t>
      </w:r>
      <w:r w:rsidR="00CC5AFC">
        <w:rPr>
          <w:rFonts w:ascii="標楷體" w:eastAsia="標楷體" w:hAnsi="標楷體" w:hint="eastAsia"/>
        </w:rPr>
        <w:t>為配合地區停車需求，於北投區振華街</w:t>
      </w:r>
      <w:r w:rsidR="00CC5AFC" w:rsidRPr="000376A1">
        <w:rPr>
          <w:rFonts w:ascii="標楷體" w:eastAsia="標楷體" w:hAnsi="標楷體" w:hint="eastAsia"/>
        </w:rPr>
        <w:t>辦理「振華公園附建地下停車場新建工程」，</w:t>
      </w:r>
      <w:r w:rsidR="00CC5AFC">
        <w:rPr>
          <w:rFonts w:ascii="標楷體" w:eastAsia="標楷體" w:hAnsi="標楷體" w:hint="eastAsia"/>
        </w:rPr>
        <w:t>興建地上1層、地下2層之鋼筋混凝土造建築物，預計提供小型汽車405席、機車144席及大型重型機車專用4席之停車格位。本工程</w:t>
      </w:r>
      <w:r w:rsidR="00CC5AFC" w:rsidRPr="000376A1">
        <w:rPr>
          <w:rFonts w:ascii="標楷體" w:eastAsia="標楷體" w:hAnsi="標楷體" w:hint="eastAsia"/>
        </w:rPr>
        <w:t>於110年1月8日決標，</w:t>
      </w:r>
      <w:r w:rsidR="00CC5AFC">
        <w:rPr>
          <w:rFonts w:ascii="標楷體" w:eastAsia="標楷體" w:hAnsi="標楷體" w:hint="eastAsia"/>
        </w:rPr>
        <w:t>決標</w:t>
      </w:r>
      <w:r w:rsidR="00CC5AFC" w:rsidRPr="000376A1">
        <w:rPr>
          <w:rFonts w:ascii="標楷體" w:eastAsia="標楷體" w:hAnsi="標楷體" w:hint="eastAsia"/>
        </w:rPr>
        <w:t>金額為11億42萬餘元</w:t>
      </w:r>
      <w:r w:rsidR="00CC5AFC">
        <w:rPr>
          <w:rFonts w:ascii="標楷體" w:eastAsia="標楷體" w:hAnsi="標楷體" w:hint="eastAsia"/>
        </w:rPr>
        <w:t>，</w:t>
      </w:r>
      <w:r w:rsidR="00CC5AFC" w:rsidRPr="00856EE2">
        <w:rPr>
          <w:rFonts w:ascii="標楷體" w:eastAsia="標楷體" w:hAnsi="標楷體" w:hint="eastAsia"/>
        </w:rPr>
        <w:t>於110年5月22日開工</w:t>
      </w:r>
      <w:r w:rsidR="00CC5AFC" w:rsidRPr="000376A1">
        <w:rPr>
          <w:rFonts w:ascii="標楷體" w:eastAsia="標楷體" w:hAnsi="標楷體" w:hint="eastAsia"/>
        </w:rPr>
        <w:t>，</w:t>
      </w:r>
      <w:r w:rsidR="00CC5AFC">
        <w:rPr>
          <w:rFonts w:ascii="標楷體" w:eastAsia="標楷體" w:hAnsi="標楷體" w:hint="eastAsia"/>
        </w:rPr>
        <w:t>截至113年12月底尚在施工中。經查停車管理工程</w:t>
      </w:r>
      <w:r w:rsidR="00CC5AFC" w:rsidRPr="000376A1">
        <w:rPr>
          <w:rFonts w:ascii="標楷體" w:eastAsia="標楷體" w:hAnsi="標楷體" w:hint="eastAsia"/>
        </w:rPr>
        <w:t>處為</w:t>
      </w:r>
      <w:r w:rsidR="00CC5AFC">
        <w:rPr>
          <w:rFonts w:ascii="標楷體" w:eastAsia="標楷體" w:hAnsi="標楷體" w:hint="eastAsia"/>
        </w:rPr>
        <w:t>使本</w:t>
      </w:r>
      <w:r w:rsidR="00CC5AFC" w:rsidRPr="000376A1">
        <w:rPr>
          <w:rFonts w:ascii="標楷體" w:eastAsia="標楷體" w:hAnsi="標楷體" w:hint="eastAsia"/>
        </w:rPr>
        <w:t>工程出土</w:t>
      </w:r>
      <w:r w:rsidR="00CC5AFC">
        <w:rPr>
          <w:rFonts w:ascii="標楷體" w:eastAsia="標楷體" w:hAnsi="標楷體" w:hint="eastAsia"/>
        </w:rPr>
        <w:t>作業</w:t>
      </w:r>
      <w:r w:rsidR="00CC5AFC" w:rsidRPr="000376A1">
        <w:rPr>
          <w:rFonts w:ascii="標楷體" w:eastAsia="標楷體" w:hAnsi="標楷體" w:hint="eastAsia"/>
        </w:rPr>
        <w:t>順利進行</w:t>
      </w:r>
      <w:r w:rsidR="00CC5AFC">
        <w:rPr>
          <w:rFonts w:ascii="標楷體" w:eastAsia="標楷體" w:hAnsi="標楷體" w:hint="eastAsia"/>
        </w:rPr>
        <w:t>，於施工期間協助承商</w:t>
      </w:r>
      <w:r w:rsidR="00CC5AFC" w:rsidRPr="000376A1">
        <w:rPr>
          <w:rFonts w:ascii="標楷體" w:eastAsia="標楷體" w:hAnsi="標楷體" w:hint="eastAsia"/>
        </w:rPr>
        <w:t>將</w:t>
      </w:r>
      <w:r w:rsidR="00CC5AFC">
        <w:rPr>
          <w:rFonts w:ascii="標楷體" w:eastAsia="標楷體" w:hAnsi="標楷體" w:hint="eastAsia"/>
        </w:rPr>
        <w:t>本工程</w:t>
      </w:r>
      <w:r w:rsidR="00CC5AFC" w:rsidRPr="000376A1">
        <w:rPr>
          <w:rFonts w:ascii="標楷體" w:eastAsia="標楷體" w:hAnsi="標楷體" w:hint="eastAsia"/>
        </w:rPr>
        <w:t>契約原</w:t>
      </w:r>
      <w:r w:rsidR="00CC5AFC">
        <w:rPr>
          <w:rFonts w:ascii="標楷體" w:eastAsia="標楷體" w:hAnsi="標楷體" w:hint="eastAsia"/>
        </w:rPr>
        <w:t>規劃</w:t>
      </w:r>
      <w:r w:rsidR="00CC5AFC" w:rsidRPr="000376A1">
        <w:rPr>
          <w:rFonts w:ascii="標楷體" w:eastAsia="標楷體" w:hAnsi="標楷體" w:hint="eastAsia"/>
        </w:rPr>
        <w:t>運至民間</w:t>
      </w:r>
      <w:proofErr w:type="gramStart"/>
      <w:r w:rsidR="00CC5AFC">
        <w:rPr>
          <w:rFonts w:ascii="標楷體" w:eastAsia="標楷體" w:hAnsi="標楷體" w:hint="eastAsia"/>
        </w:rPr>
        <w:t>土資</w:t>
      </w:r>
      <w:r w:rsidR="00CC5AFC" w:rsidRPr="000376A1">
        <w:rPr>
          <w:rFonts w:ascii="標楷體" w:eastAsia="標楷體" w:hAnsi="標楷體" w:hint="eastAsia"/>
        </w:rPr>
        <w:t>場</w:t>
      </w:r>
      <w:proofErr w:type="gramEnd"/>
      <w:r w:rsidR="00CC5AFC">
        <w:rPr>
          <w:rFonts w:ascii="標楷體" w:eastAsia="標楷體" w:hAnsi="標楷體" w:hint="eastAsia"/>
        </w:rPr>
        <w:t>處理之營建剩餘</w:t>
      </w:r>
      <w:r w:rsidR="00CC5AFC" w:rsidRPr="000376A1">
        <w:rPr>
          <w:rFonts w:ascii="標楷體" w:eastAsia="標楷體" w:hAnsi="標楷體" w:hint="eastAsia"/>
        </w:rPr>
        <w:t>土</w:t>
      </w:r>
      <w:r w:rsidR="00CC5AFC">
        <w:rPr>
          <w:rFonts w:ascii="標楷體" w:eastAsia="標楷體" w:hAnsi="標楷體" w:hint="eastAsia"/>
        </w:rPr>
        <w:t>石</w:t>
      </w:r>
      <w:r w:rsidR="00CC5AFC" w:rsidRPr="000376A1">
        <w:rPr>
          <w:rFonts w:ascii="標楷體" w:eastAsia="標楷體" w:hAnsi="標楷體" w:hint="eastAsia"/>
        </w:rPr>
        <w:t>方（不包括B7類泥漿</w:t>
      </w:r>
      <w:r w:rsidR="00CC5AFC">
        <w:rPr>
          <w:rFonts w:ascii="標楷體" w:eastAsia="標楷體" w:hAnsi="標楷體" w:hint="eastAsia"/>
        </w:rPr>
        <w:t>，下稱餘方</w:t>
      </w:r>
      <w:r w:rsidR="00CC5AFC" w:rsidRPr="000376A1">
        <w:rPr>
          <w:rFonts w:ascii="標楷體" w:eastAsia="標楷體" w:hAnsi="標楷體" w:hint="eastAsia"/>
        </w:rPr>
        <w:t>）</w:t>
      </w:r>
      <w:r w:rsidR="00CC5AFC">
        <w:rPr>
          <w:rFonts w:ascii="標楷體" w:eastAsia="標楷體" w:hAnsi="標楷體" w:hint="eastAsia"/>
        </w:rPr>
        <w:t>，</w:t>
      </w:r>
      <w:r w:rsidR="00CC5AFC" w:rsidRPr="00A24C72">
        <w:rPr>
          <w:rFonts w:ascii="標楷體" w:eastAsia="標楷體" w:hAnsi="標楷體" w:hint="eastAsia"/>
        </w:rPr>
        <w:t>透過營建剩餘土石方交換利用機制</w:t>
      </w:r>
      <w:r w:rsidR="00CC5AFC">
        <w:rPr>
          <w:rFonts w:ascii="標楷體" w:eastAsia="標楷體" w:hAnsi="標楷體" w:hint="eastAsia"/>
        </w:rPr>
        <w:t>，</w:t>
      </w:r>
      <w:r w:rsidR="00CC5AFC" w:rsidRPr="000376A1">
        <w:rPr>
          <w:rFonts w:ascii="標楷體" w:eastAsia="標楷體" w:hAnsi="標楷體" w:hint="eastAsia"/>
        </w:rPr>
        <w:t>變更</w:t>
      </w:r>
      <w:r w:rsidR="00CC5AFC">
        <w:rPr>
          <w:rFonts w:ascii="標楷體" w:eastAsia="標楷體" w:hAnsi="標楷體" w:hint="eastAsia"/>
        </w:rPr>
        <w:t>為</w:t>
      </w:r>
      <w:r w:rsidR="00CC5AFC" w:rsidRPr="000376A1">
        <w:rPr>
          <w:rFonts w:ascii="標楷體" w:eastAsia="標楷體" w:hAnsi="標楷體" w:hint="eastAsia"/>
        </w:rPr>
        <w:t>全數</w:t>
      </w:r>
      <w:r w:rsidR="00CC5AFC" w:rsidRPr="00A24C72">
        <w:rPr>
          <w:rFonts w:ascii="標楷體" w:eastAsia="標楷體" w:hAnsi="標楷體" w:hint="eastAsia"/>
        </w:rPr>
        <w:t>交換至新北市八里區「</w:t>
      </w:r>
      <w:proofErr w:type="gramStart"/>
      <w:r w:rsidR="00CC5AFC" w:rsidRPr="00A24C72">
        <w:rPr>
          <w:rFonts w:ascii="標楷體" w:eastAsia="標楷體" w:hAnsi="標楷體" w:hint="eastAsia"/>
        </w:rPr>
        <w:t>臺</w:t>
      </w:r>
      <w:proofErr w:type="gramEnd"/>
      <w:r w:rsidR="00CC5AFC" w:rsidRPr="00A24C72">
        <w:rPr>
          <w:rFonts w:ascii="標楷體" w:eastAsia="標楷體" w:hAnsi="標楷體" w:hint="eastAsia"/>
        </w:rPr>
        <w:t>北商港物流倉儲區填海造地計畫</w:t>
      </w:r>
      <w:proofErr w:type="gramStart"/>
      <w:r w:rsidR="00CC5AFC" w:rsidRPr="00A24C72">
        <w:rPr>
          <w:rFonts w:ascii="標楷體" w:eastAsia="標楷體" w:hAnsi="標楷體" w:hint="eastAsia"/>
        </w:rPr>
        <w:t>第二期造地</w:t>
      </w:r>
      <w:proofErr w:type="gramEnd"/>
      <w:r w:rsidR="00CC5AFC" w:rsidRPr="00A24C72">
        <w:rPr>
          <w:rFonts w:ascii="標楷體" w:eastAsia="標楷體" w:hAnsi="標楷體" w:hint="eastAsia"/>
        </w:rPr>
        <w:t>工程」（下稱</w:t>
      </w:r>
      <w:proofErr w:type="gramStart"/>
      <w:r w:rsidR="00CC5AFC" w:rsidRPr="00A24C72">
        <w:rPr>
          <w:rFonts w:ascii="標楷體" w:eastAsia="標楷體" w:hAnsi="標楷體" w:hint="eastAsia"/>
        </w:rPr>
        <w:t>臺</w:t>
      </w:r>
      <w:proofErr w:type="gramEnd"/>
      <w:r w:rsidR="00CC5AFC" w:rsidRPr="00A24C72">
        <w:rPr>
          <w:rFonts w:ascii="標楷體" w:eastAsia="標楷體" w:hAnsi="標楷體" w:hint="eastAsia"/>
        </w:rPr>
        <w:t>北港）收容</w:t>
      </w:r>
      <w:r w:rsidR="00CC5AFC">
        <w:rPr>
          <w:rFonts w:ascii="標楷體" w:eastAsia="標楷體" w:hAnsi="標楷體" w:hint="eastAsia"/>
        </w:rPr>
        <w:t>，辦理相關工項契約變更</w:t>
      </w:r>
      <w:r w:rsidR="00CC5AFC" w:rsidRPr="000977C0">
        <w:rPr>
          <w:rFonts w:ascii="標楷體" w:eastAsia="標楷體" w:hAnsi="標楷體" w:hint="eastAsia"/>
        </w:rPr>
        <w:t>，</w:t>
      </w:r>
      <w:r w:rsidR="00CC5AFC">
        <w:rPr>
          <w:rFonts w:ascii="標楷體" w:eastAsia="標楷體" w:hAnsi="標楷體" w:hint="eastAsia"/>
        </w:rPr>
        <w:t>並</w:t>
      </w:r>
      <w:r w:rsidR="00CC5AFC" w:rsidRPr="000977C0">
        <w:rPr>
          <w:rFonts w:ascii="標楷體" w:eastAsia="標楷體" w:hAnsi="標楷體" w:hint="eastAsia"/>
        </w:rPr>
        <w:t>由</w:t>
      </w:r>
      <w:proofErr w:type="gramStart"/>
      <w:r w:rsidR="00CC5AFC" w:rsidRPr="000977C0">
        <w:rPr>
          <w:rFonts w:ascii="標楷體" w:eastAsia="標楷體" w:hAnsi="標楷體" w:hint="eastAsia"/>
        </w:rPr>
        <w:t>承商按施工</w:t>
      </w:r>
      <w:proofErr w:type="gramEnd"/>
      <w:r w:rsidR="00CC5AFC" w:rsidRPr="000977C0">
        <w:rPr>
          <w:rFonts w:ascii="標楷體" w:eastAsia="標楷體" w:hAnsi="標楷體" w:hint="eastAsia"/>
        </w:rPr>
        <w:t>實際情形辦理出土作業，依「</w:t>
      </w:r>
      <w:proofErr w:type="gramStart"/>
      <w:r w:rsidR="00CC5AFC" w:rsidRPr="000977C0">
        <w:rPr>
          <w:rFonts w:ascii="標楷體" w:eastAsia="標楷體" w:hAnsi="標楷體" w:hint="eastAsia"/>
        </w:rPr>
        <w:t>臺</w:t>
      </w:r>
      <w:proofErr w:type="gramEnd"/>
      <w:r w:rsidR="00CC5AFC" w:rsidRPr="000977C0">
        <w:rPr>
          <w:rFonts w:ascii="標楷體" w:eastAsia="標楷體" w:hAnsi="標楷體" w:hint="eastAsia"/>
        </w:rPr>
        <w:t>北港收容公共工程營建剩餘土石方作業規定」訂</w:t>
      </w:r>
      <w:proofErr w:type="gramStart"/>
      <w:r w:rsidR="00CC5AFC" w:rsidRPr="000977C0">
        <w:rPr>
          <w:rFonts w:ascii="標楷體" w:eastAsia="標楷體" w:hAnsi="標楷體" w:hint="eastAsia"/>
        </w:rPr>
        <w:t>定收土</w:t>
      </w:r>
      <w:proofErr w:type="gramEnd"/>
      <w:r w:rsidR="00CC5AFC" w:rsidRPr="000977C0">
        <w:rPr>
          <w:rFonts w:ascii="標楷體" w:eastAsia="標楷體" w:hAnsi="標楷體" w:hint="eastAsia"/>
        </w:rPr>
        <w:t>作業所收取之土方管理費率繳納費用予</w:t>
      </w:r>
      <w:proofErr w:type="gramStart"/>
      <w:r w:rsidR="00CC5AFC" w:rsidRPr="000977C0">
        <w:rPr>
          <w:rFonts w:ascii="標楷體" w:eastAsia="標楷體" w:hAnsi="標楷體" w:hint="eastAsia"/>
        </w:rPr>
        <w:t>臺</w:t>
      </w:r>
      <w:proofErr w:type="gramEnd"/>
      <w:r w:rsidR="00CC5AFC" w:rsidRPr="000977C0">
        <w:rPr>
          <w:rFonts w:ascii="標楷體" w:eastAsia="標楷體" w:hAnsi="標楷體" w:hint="eastAsia"/>
        </w:rPr>
        <w:t>北港管理單位</w:t>
      </w:r>
      <w:r w:rsidR="00CC5AFC">
        <w:rPr>
          <w:rFonts w:ascii="標楷體" w:eastAsia="標楷體" w:hAnsi="標楷體" w:hint="eastAsia"/>
        </w:rPr>
        <w:t>。</w:t>
      </w:r>
      <w:r w:rsidR="00CC5AFC" w:rsidRPr="00E5021D">
        <w:rPr>
          <w:rFonts w:ascii="標楷體" w:eastAsia="標楷體" w:hAnsi="標楷體" w:hint="eastAsia"/>
        </w:rPr>
        <w:t>據停</w:t>
      </w:r>
      <w:r w:rsidR="00CC5AFC">
        <w:rPr>
          <w:rFonts w:ascii="標楷體" w:eastAsia="標楷體" w:hAnsi="標楷體" w:hint="eastAsia"/>
        </w:rPr>
        <w:t>車</w:t>
      </w:r>
      <w:r w:rsidR="00CC5AFC" w:rsidRPr="00E5021D">
        <w:rPr>
          <w:rFonts w:ascii="標楷體" w:eastAsia="標楷體" w:hAnsi="標楷體" w:hint="eastAsia"/>
        </w:rPr>
        <w:t>管</w:t>
      </w:r>
      <w:r w:rsidR="00CC5AFC">
        <w:rPr>
          <w:rFonts w:ascii="標楷體" w:eastAsia="標楷體" w:hAnsi="標楷體" w:hint="eastAsia"/>
        </w:rPr>
        <w:t>理工程</w:t>
      </w:r>
      <w:r w:rsidR="00CC5AFC" w:rsidRPr="00E5021D">
        <w:rPr>
          <w:rFonts w:ascii="標楷體" w:eastAsia="標楷體" w:hAnsi="標楷體" w:hint="eastAsia"/>
        </w:rPr>
        <w:t>處統計，截至113年9月底止，本工程餘方係全數運往</w:t>
      </w:r>
      <w:proofErr w:type="gramStart"/>
      <w:r w:rsidR="00CC5AFC" w:rsidRPr="00E5021D">
        <w:rPr>
          <w:rFonts w:ascii="標楷體" w:eastAsia="標楷體" w:hAnsi="標楷體" w:hint="eastAsia"/>
        </w:rPr>
        <w:t>臺</w:t>
      </w:r>
      <w:proofErr w:type="gramEnd"/>
      <w:r w:rsidR="00CC5AFC" w:rsidRPr="00E5021D">
        <w:rPr>
          <w:rFonts w:ascii="標楷體" w:eastAsia="標楷體" w:hAnsi="標楷體" w:hint="eastAsia"/>
        </w:rPr>
        <w:t>北港收容，數量</w:t>
      </w:r>
      <w:r w:rsidR="00CC5AFC">
        <w:rPr>
          <w:rFonts w:ascii="標楷體" w:eastAsia="標楷體" w:hAnsi="標楷體" w:hint="eastAsia"/>
        </w:rPr>
        <w:t>總共</w:t>
      </w:r>
      <w:r w:rsidR="00CC5AFC" w:rsidRPr="00E5021D">
        <w:rPr>
          <w:rFonts w:ascii="標楷體" w:eastAsia="標楷體" w:hAnsi="標楷體" w:hint="eastAsia"/>
        </w:rPr>
        <w:t>10萬</w:t>
      </w:r>
    </w:p>
    <w:p w14:paraId="1BD32B29" w14:textId="07D7B276" w:rsidR="00CC5AFC" w:rsidRDefault="00CC5AFC" w:rsidP="003E1813">
      <w:pPr>
        <w:overflowPunct w:val="0"/>
        <w:spacing w:line="420" w:lineRule="exact"/>
        <w:jc w:val="both"/>
        <w:rPr>
          <w:rFonts w:ascii="標楷體" w:eastAsia="標楷體" w:hAnsi="標楷體"/>
        </w:rPr>
      </w:pPr>
      <w:r w:rsidRPr="00E5021D">
        <w:rPr>
          <w:rFonts w:ascii="標楷體" w:eastAsia="標楷體" w:hAnsi="標楷體" w:hint="eastAsia"/>
        </w:rPr>
        <w:lastRenderedPageBreak/>
        <w:t>8,936立方公尺</w:t>
      </w:r>
      <w:r>
        <w:rPr>
          <w:rFonts w:ascii="標楷體" w:eastAsia="標楷體" w:hAnsi="標楷體" w:hint="eastAsia"/>
        </w:rPr>
        <w:t>，惟經</w:t>
      </w:r>
      <w:r w:rsidRPr="005426C6">
        <w:rPr>
          <w:rFonts w:ascii="標楷體" w:eastAsia="標楷體" w:hAnsi="標楷體" w:hint="eastAsia"/>
        </w:rPr>
        <w:t>抽查</w:t>
      </w:r>
      <w:r>
        <w:rPr>
          <w:rFonts w:ascii="標楷體" w:eastAsia="標楷體" w:hAnsi="標楷體" w:hint="eastAsia"/>
        </w:rPr>
        <w:t>該</w:t>
      </w:r>
      <w:r w:rsidRPr="005426C6">
        <w:rPr>
          <w:rFonts w:ascii="標楷體" w:eastAsia="標楷體" w:hAnsi="標楷體" w:hint="eastAsia"/>
        </w:rPr>
        <w:t>處核定113年9月</w:t>
      </w:r>
      <w:proofErr w:type="gramStart"/>
      <w:r>
        <w:rPr>
          <w:rFonts w:ascii="標楷體" w:eastAsia="標楷體" w:hAnsi="標楷體" w:hint="eastAsia"/>
        </w:rPr>
        <w:t>承商</w:t>
      </w:r>
      <w:r w:rsidRPr="005426C6">
        <w:rPr>
          <w:rFonts w:ascii="標楷體" w:eastAsia="標楷體" w:hAnsi="標楷體" w:hint="eastAsia"/>
        </w:rPr>
        <w:t>估驗</w:t>
      </w:r>
      <w:proofErr w:type="gramEnd"/>
      <w:r w:rsidRPr="005426C6">
        <w:rPr>
          <w:rFonts w:ascii="標楷體" w:eastAsia="標楷體" w:hAnsi="標楷體" w:hint="eastAsia"/>
        </w:rPr>
        <w:t>計價資料發現，</w:t>
      </w:r>
      <w:r>
        <w:rPr>
          <w:rFonts w:ascii="標楷體" w:eastAsia="標楷體" w:hAnsi="標楷體" w:hint="eastAsia"/>
        </w:rPr>
        <w:t>本工程已計價付款之</w:t>
      </w:r>
      <w:proofErr w:type="gramStart"/>
      <w:r>
        <w:rPr>
          <w:rFonts w:ascii="標楷體" w:eastAsia="標楷體" w:hAnsi="標楷體" w:hint="eastAsia"/>
        </w:rPr>
        <w:t>臺</w:t>
      </w:r>
      <w:proofErr w:type="gramEnd"/>
      <w:r>
        <w:rPr>
          <w:rFonts w:ascii="標楷體" w:eastAsia="標楷體" w:hAnsi="標楷體" w:hint="eastAsia"/>
        </w:rPr>
        <w:t>北港土方管理費及棄土區費用、</w:t>
      </w:r>
      <w:r w:rsidRPr="0002591A">
        <w:rPr>
          <w:rFonts w:ascii="標楷體" w:eastAsia="標楷體" w:hAnsi="標楷體" w:hint="eastAsia"/>
        </w:rPr>
        <w:t>使用</w:t>
      </w:r>
      <w:proofErr w:type="gramStart"/>
      <w:r w:rsidRPr="0002591A">
        <w:rPr>
          <w:rFonts w:ascii="標楷體" w:eastAsia="標楷體" w:hAnsi="標楷體" w:hint="eastAsia"/>
        </w:rPr>
        <w:t>35</w:t>
      </w:r>
      <w:r>
        <w:rPr>
          <w:rFonts w:ascii="標楷體" w:eastAsia="標楷體" w:hAnsi="標楷體" w:hint="eastAsia"/>
        </w:rPr>
        <w:t>噸</w:t>
      </w:r>
      <w:r w:rsidRPr="0002591A">
        <w:rPr>
          <w:rFonts w:ascii="標楷體" w:eastAsia="標楷體" w:hAnsi="標楷體" w:hint="eastAsia"/>
        </w:rPr>
        <w:t>傾</w:t>
      </w:r>
      <w:proofErr w:type="gramEnd"/>
      <w:r w:rsidRPr="0002591A">
        <w:rPr>
          <w:rFonts w:ascii="標楷體" w:eastAsia="標楷體" w:hAnsi="標楷體" w:hint="eastAsia"/>
        </w:rPr>
        <w:t>卸貨車</w:t>
      </w:r>
      <w:r>
        <w:rPr>
          <w:rFonts w:ascii="標楷體" w:eastAsia="標楷體" w:hAnsi="標楷體" w:hint="eastAsia"/>
        </w:rPr>
        <w:t>辦理餘方運輸等工項之數量，</w:t>
      </w:r>
      <w:proofErr w:type="gramStart"/>
      <w:r>
        <w:rPr>
          <w:rFonts w:ascii="標楷體" w:eastAsia="標楷體" w:hAnsi="標楷體" w:hint="eastAsia"/>
        </w:rPr>
        <w:t>均超逾</w:t>
      </w:r>
      <w:proofErr w:type="gramEnd"/>
      <w:r>
        <w:rPr>
          <w:rFonts w:ascii="標楷體" w:eastAsia="標楷體" w:hAnsi="標楷體" w:hint="eastAsia"/>
        </w:rPr>
        <w:t>11萬4</w:t>
      </w:r>
      <w:r>
        <w:rPr>
          <w:rFonts w:ascii="標楷體" w:eastAsia="標楷體" w:hAnsi="標楷體"/>
        </w:rPr>
        <w:t>,</w:t>
      </w:r>
      <w:r>
        <w:rPr>
          <w:rFonts w:ascii="標楷體" w:eastAsia="標楷體" w:hAnsi="標楷體" w:hint="eastAsia"/>
        </w:rPr>
        <w:t>626立方公尺</w:t>
      </w:r>
      <w:r w:rsidRPr="000E41BA">
        <w:rPr>
          <w:rFonts w:ascii="標楷體" w:eastAsia="標楷體" w:hAnsi="標楷體" w:hint="eastAsia"/>
        </w:rPr>
        <w:t>，存有計價數量超出實作數量情</w:t>
      </w:r>
      <w:r>
        <w:rPr>
          <w:rFonts w:ascii="標楷體" w:eastAsia="標楷體" w:hAnsi="標楷體" w:hint="eastAsia"/>
        </w:rPr>
        <w:t>形，</w:t>
      </w:r>
      <w:proofErr w:type="gramStart"/>
      <w:r>
        <w:rPr>
          <w:rFonts w:ascii="標楷體" w:eastAsia="標楷體" w:hAnsi="標楷體" w:hint="eastAsia"/>
        </w:rPr>
        <w:t>且核</w:t>
      </w:r>
      <w:r w:rsidRPr="000E41BA">
        <w:rPr>
          <w:rFonts w:ascii="標楷體" w:eastAsia="標楷體" w:hAnsi="標楷體" w:hint="eastAsia"/>
        </w:rPr>
        <w:t>與</w:t>
      </w:r>
      <w:proofErr w:type="gramEnd"/>
      <w:r w:rsidRPr="000E41BA">
        <w:rPr>
          <w:rFonts w:ascii="標楷體" w:eastAsia="標楷體" w:hAnsi="標楷體" w:hint="eastAsia"/>
        </w:rPr>
        <w:t>土石方交換作業要點第11點第1款規定不符，</w:t>
      </w:r>
      <w:r>
        <w:rPr>
          <w:rFonts w:ascii="標楷體" w:eastAsia="標楷體" w:hAnsi="標楷體" w:hint="eastAsia"/>
        </w:rPr>
        <w:t>並導</w:t>
      </w:r>
      <w:r w:rsidRPr="000E41BA">
        <w:rPr>
          <w:rFonts w:ascii="標楷體" w:eastAsia="標楷體" w:hAnsi="標楷體" w:hint="eastAsia"/>
        </w:rPr>
        <w:t>致</w:t>
      </w:r>
      <w:proofErr w:type="gramStart"/>
      <w:r w:rsidRPr="000E41BA">
        <w:rPr>
          <w:rFonts w:ascii="標楷體" w:eastAsia="標楷體" w:hAnsi="標楷體" w:hint="eastAsia"/>
        </w:rPr>
        <w:t>溢付</w:t>
      </w:r>
      <w:r>
        <w:rPr>
          <w:rFonts w:ascii="標楷體" w:eastAsia="標楷體" w:hAnsi="標楷體" w:hint="eastAsia"/>
        </w:rPr>
        <w:t>承商</w:t>
      </w:r>
      <w:proofErr w:type="gramEnd"/>
      <w:r w:rsidRPr="000E41BA">
        <w:rPr>
          <w:rFonts w:ascii="標楷體" w:eastAsia="標楷體" w:hAnsi="標楷體" w:hint="eastAsia"/>
        </w:rPr>
        <w:t>工程價款情事，經函請</w:t>
      </w:r>
      <w:proofErr w:type="gramStart"/>
      <w:r w:rsidRPr="000E41BA">
        <w:rPr>
          <w:rFonts w:ascii="標楷體" w:eastAsia="標楷體" w:hAnsi="標楷體" w:hint="eastAsia"/>
        </w:rPr>
        <w:t>檢討</w:t>
      </w:r>
      <w:r>
        <w:rPr>
          <w:rFonts w:ascii="標楷體" w:eastAsia="標楷體" w:hAnsi="標楷體" w:hint="eastAsia"/>
        </w:rPr>
        <w:t>妥處</w:t>
      </w:r>
      <w:proofErr w:type="gramEnd"/>
      <w:r w:rsidRPr="000E41BA">
        <w:rPr>
          <w:rFonts w:ascii="標楷體" w:eastAsia="標楷體" w:hAnsi="標楷體" w:hint="eastAsia"/>
        </w:rPr>
        <w:t>。據復：本工程餘方處理之棄土區費用，將按</w:t>
      </w:r>
      <w:proofErr w:type="gramStart"/>
      <w:r w:rsidRPr="000E41BA">
        <w:rPr>
          <w:rFonts w:ascii="標楷體" w:eastAsia="標楷體" w:hAnsi="標楷體" w:hint="eastAsia"/>
        </w:rPr>
        <w:t>臺</w:t>
      </w:r>
      <w:proofErr w:type="gramEnd"/>
      <w:r w:rsidRPr="000E41BA">
        <w:rPr>
          <w:rFonts w:ascii="標楷體" w:eastAsia="標楷體" w:hAnsi="標楷體" w:hint="eastAsia"/>
        </w:rPr>
        <w:t>北港實際收容本工程餘方數量，於後續估驗</w:t>
      </w:r>
      <w:proofErr w:type="gramStart"/>
      <w:r w:rsidRPr="000E41BA">
        <w:rPr>
          <w:rFonts w:ascii="標楷體" w:eastAsia="標楷體" w:hAnsi="標楷體" w:hint="eastAsia"/>
        </w:rPr>
        <w:t>計價扣回溢</w:t>
      </w:r>
      <w:proofErr w:type="gramEnd"/>
      <w:r w:rsidRPr="000E41BA">
        <w:rPr>
          <w:rFonts w:ascii="標楷體" w:eastAsia="標楷體" w:hAnsi="標楷體" w:hint="eastAsia"/>
        </w:rPr>
        <w:t>付款項232萬餘元</w:t>
      </w:r>
      <w:r>
        <w:rPr>
          <w:rFonts w:ascii="標楷體" w:eastAsia="標楷體" w:hAnsi="標楷體" w:hint="eastAsia"/>
        </w:rPr>
        <w:t>；另</w:t>
      </w:r>
      <w:r w:rsidRPr="000E41BA">
        <w:rPr>
          <w:rFonts w:ascii="標楷體" w:eastAsia="標楷體" w:hAnsi="標楷體" w:hint="eastAsia"/>
        </w:rPr>
        <w:t>本工程餘方處理之</w:t>
      </w:r>
      <w:proofErr w:type="gramStart"/>
      <w:r>
        <w:rPr>
          <w:rFonts w:ascii="標楷體" w:eastAsia="標楷體" w:hAnsi="標楷體" w:hint="eastAsia"/>
        </w:rPr>
        <w:t>35噸傾</w:t>
      </w:r>
      <w:proofErr w:type="gramEnd"/>
      <w:r>
        <w:rPr>
          <w:rFonts w:ascii="標楷體" w:eastAsia="標楷體" w:hAnsi="標楷體" w:hint="eastAsia"/>
        </w:rPr>
        <w:t>卸貨車</w:t>
      </w:r>
      <w:r w:rsidRPr="000E41BA">
        <w:rPr>
          <w:rFonts w:ascii="標楷體" w:eastAsia="標楷體" w:hAnsi="標楷體" w:hint="eastAsia"/>
        </w:rPr>
        <w:t>運輸費用，已辦理檢討作業</w:t>
      </w:r>
      <w:r>
        <w:rPr>
          <w:rFonts w:ascii="標楷體" w:eastAsia="標楷體" w:hAnsi="標楷體" w:hint="eastAsia"/>
        </w:rPr>
        <w:t>中</w:t>
      </w:r>
      <w:r w:rsidRPr="000E41BA">
        <w:rPr>
          <w:rFonts w:ascii="標楷體" w:eastAsia="標楷體" w:hAnsi="標楷體" w:hint="eastAsia"/>
        </w:rPr>
        <w:t>，</w:t>
      </w:r>
      <w:r>
        <w:rPr>
          <w:rFonts w:ascii="標楷體" w:eastAsia="標楷體" w:hAnsi="標楷體" w:hint="eastAsia"/>
        </w:rPr>
        <w:t>將</w:t>
      </w:r>
      <w:r w:rsidRPr="000E41BA">
        <w:rPr>
          <w:rFonts w:ascii="標楷體" w:eastAsia="標楷體" w:hAnsi="標楷體" w:hint="eastAsia"/>
        </w:rPr>
        <w:t>於後續估驗計價時，依約核實辦理計價。</w:t>
      </w:r>
    </w:p>
    <w:p w14:paraId="0F2B768D" w14:textId="77777777" w:rsidR="00CC5AFC" w:rsidRPr="00EB3085" w:rsidRDefault="00CC5AFC" w:rsidP="003E1813">
      <w:pPr>
        <w:suppressAutoHyphens/>
        <w:overflowPunct w:val="0"/>
        <w:spacing w:beforeLines="30" w:before="108" w:line="440" w:lineRule="exact"/>
        <w:ind w:firstLineChars="100" w:firstLine="280"/>
        <w:jc w:val="both"/>
        <w:rPr>
          <w:rFonts w:ascii="標楷體" w:eastAsia="標楷體" w:hAnsi="標楷體"/>
          <w:b/>
          <w:sz w:val="28"/>
          <w:szCs w:val="28"/>
        </w:rPr>
      </w:pPr>
      <w:r w:rsidRPr="00EB3085">
        <w:rPr>
          <w:rFonts w:ascii="標楷體" w:eastAsia="標楷體" w:hAnsi="標楷體" w:hint="eastAsia"/>
          <w:b/>
          <w:sz w:val="28"/>
          <w:szCs w:val="28"/>
        </w:rPr>
        <w:t>（</w:t>
      </w:r>
      <w:r>
        <w:rPr>
          <w:rFonts w:ascii="標楷體" w:eastAsia="標楷體" w:hAnsi="標楷體" w:hint="eastAsia"/>
          <w:b/>
          <w:sz w:val="28"/>
          <w:szCs w:val="28"/>
        </w:rPr>
        <w:t>五</w:t>
      </w:r>
      <w:r w:rsidRPr="00EB3085">
        <w:rPr>
          <w:rFonts w:ascii="標楷體" w:eastAsia="標楷體" w:hAnsi="標楷體" w:hint="eastAsia"/>
          <w:b/>
          <w:sz w:val="28"/>
          <w:szCs w:val="28"/>
        </w:rPr>
        <w:t>）為推動公路公共運輸</w:t>
      </w:r>
      <w:proofErr w:type="gramStart"/>
      <w:r w:rsidRPr="00EB3085">
        <w:rPr>
          <w:rFonts w:ascii="標楷體" w:eastAsia="標楷體" w:hAnsi="標楷體" w:hint="eastAsia"/>
          <w:b/>
          <w:sz w:val="28"/>
          <w:szCs w:val="28"/>
        </w:rPr>
        <w:t>永續及交通</w:t>
      </w:r>
      <w:proofErr w:type="gramEnd"/>
      <w:r w:rsidRPr="00EB3085">
        <w:rPr>
          <w:rFonts w:ascii="標楷體" w:eastAsia="標楷體" w:hAnsi="標楷體" w:hint="eastAsia"/>
          <w:b/>
          <w:sz w:val="28"/>
          <w:szCs w:val="28"/>
        </w:rPr>
        <w:t>平權，辦理公路公共運輸服務升級計畫及發行公共運輸通勤月票，惟尚未將私人運具使用者有效移轉至公共運輸</w:t>
      </w:r>
      <w:r>
        <w:rPr>
          <w:rFonts w:ascii="標楷體" w:eastAsia="標楷體" w:hAnsi="標楷體" w:hint="eastAsia"/>
          <w:b/>
          <w:sz w:val="28"/>
          <w:szCs w:val="28"/>
        </w:rPr>
        <w:t>，且仍有</w:t>
      </w:r>
      <w:r w:rsidRPr="00EB3085">
        <w:rPr>
          <w:rFonts w:ascii="標楷體" w:eastAsia="標楷體" w:hAnsi="標楷體" w:hint="eastAsia"/>
          <w:b/>
          <w:sz w:val="28"/>
          <w:szCs w:val="28"/>
        </w:rPr>
        <w:t>市區客運駕駛不足、營運虧損</w:t>
      </w:r>
      <w:r>
        <w:rPr>
          <w:rFonts w:ascii="標楷體" w:eastAsia="標楷體" w:hAnsi="標楷體" w:hint="eastAsia"/>
          <w:b/>
          <w:sz w:val="28"/>
          <w:szCs w:val="28"/>
        </w:rPr>
        <w:t>補</w:t>
      </w:r>
      <w:r w:rsidRPr="00EB3085">
        <w:rPr>
          <w:rFonts w:ascii="標楷體" w:eastAsia="標楷體" w:hAnsi="標楷體" w:hint="eastAsia"/>
          <w:b/>
          <w:sz w:val="28"/>
          <w:szCs w:val="28"/>
        </w:rPr>
        <w:t>貼作業未</w:t>
      </w:r>
      <w:proofErr w:type="gramStart"/>
      <w:r w:rsidRPr="00EB3085">
        <w:rPr>
          <w:rFonts w:ascii="標楷體" w:eastAsia="標楷體" w:hAnsi="標楷體" w:hint="eastAsia"/>
          <w:b/>
          <w:sz w:val="28"/>
          <w:szCs w:val="28"/>
        </w:rPr>
        <w:t>臻</w:t>
      </w:r>
      <w:proofErr w:type="gramEnd"/>
      <w:r w:rsidRPr="00EB3085">
        <w:rPr>
          <w:rFonts w:ascii="標楷體" w:eastAsia="標楷體" w:hAnsi="標楷體" w:hint="eastAsia"/>
          <w:b/>
          <w:sz w:val="28"/>
          <w:szCs w:val="28"/>
        </w:rPr>
        <w:t>周妥</w:t>
      </w:r>
      <w:r>
        <w:rPr>
          <w:rFonts w:ascii="標楷體" w:eastAsia="標楷體" w:hAnsi="標楷體" w:hint="eastAsia"/>
          <w:b/>
          <w:sz w:val="28"/>
          <w:szCs w:val="28"/>
        </w:rPr>
        <w:t>情事，又1</w:t>
      </w:r>
      <w:r>
        <w:rPr>
          <w:rFonts w:ascii="標楷體" w:eastAsia="標楷體" w:hAnsi="標楷體"/>
          <w:b/>
          <w:sz w:val="28"/>
          <w:szCs w:val="28"/>
        </w:rPr>
        <w:t>13</w:t>
      </w:r>
      <w:r>
        <w:rPr>
          <w:rFonts w:ascii="標楷體" w:eastAsia="標楷體" w:hAnsi="標楷體" w:hint="eastAsia"/>
          <w:b/>
          <w:sz w:val="28"/>
          <w:szCs w:val="28"/>
        </w:rPr>
        <w:t>年</w:t>
      </w:r>
      <w:r w:rsidRPr="00EB3085">
        <w:rPr>
          <w:rFonts w:ascii="標楷體" w:eastAsia="標楷體" w:hAnsi="標楷體" w:hint="eastAsia"/>
          <w:b/>
          <w:sz w:val="28"/>
          <w:szCs w:val="28"/>
        </w:rPr>
        <w:t>公車</w:t>
      </w:r>
      <w:r>
        <w:rPr>
          <w:rFonts w:ascii="標楷體" w:eastAsia="標楷體" w:hAnsi="標楷體" w:hint="eastAsia"/>
          <w:b/>
          <w:sz w:val="28"/>
          <w:szCs w:val="28"/>
        </w:rPr>
        <w:t>事故</w:t>
      </w:r>
      <w:r w:rsidRPr="00EB3085">
        <w:rPr>
          <w:rFonts w:ascii="標楷體" w:eastAsia="標楷體" w:hAnsi="標楷體" w:hint="eastAsia"/>
          <w:b/>
          <w:sz w:val="28"/>
          <w:szCs w:val="28"/>
        </w:rPr>
        <w:t>死傷人數大幅增加，亟待檢討改善。</w:t>
      </w:r>
    </w:p>
    <w:p w14:paraId="116FAA9C" w14:textId="5A711C8E" w:rsidR="00CC5AFC" w:rsidRPr="00610D97" w:rsidRDefault="00CC5AFC" w:rsidP="00202D8D">
      <w:pPr>
        <w:overflowPunct w:val="0"/>
        <w:spacing w:line="430" w:lineRule="exact"/>
        <w:ind w:firstLineChars="200" w:firstLine="480"/>
        <w:jc w:val="both"/>
        <w:rPr>
          <w:rFonts w:ascii="標楷體" w:eastAsia="標楷體" w:hAnsi="標楷體"/>
          <w:color w:val="FF0000"/>
        </w:rPr>
      </w:pPr>
      <w:r w:rsidRPr="00550396">
        <w:rPr>
          <w:rFonts w:ascii="標楷體" w:eastAsia="標楷體" w:hAnsi="標楷體" w:hint="eastAsia"/>
          <w:color w:val="000000" w:themeColor="text1"/>
        </w:rPr>
        <w:t>臺</w:t>
      </w:r>
      <w:r w:rsidRPr="00550396">
        <w:rPr>
          <w:rFonts w:ascii="標楷體" w:eastAsia="標楷體" w:hAnsi="標楷體"/>
          <w:color w:val="000000" w:themeColor="text1"/>
        </w:rPr>
        <w:t>北市政府</w:t>
      </w:r>
      <w:r w:rsidRPr="00550396">
        <w:rPr>
          <w:rFonts w:ascii="標楷體" w:eastAsia="標楷體" w:hAnsi="標楷體" w:hint="eastAsia"/>
          <w:color w:val="000000" w:themeColor="text1"/>
        </w:rPr>
        <w:t>為推動公路公共運輸</w:t>
      </w:r>
      <w:proofErr w:type="gramStart"/>
      <w:r w:rsidRPr="00550396">
        <w:rPr>
          <w:rFonts w:ascii="標楷體" w:eastAsia="標楷體" w:hAnsi="標楷體" w:hint="eastAsia"/>
          <w:color w:val="000000" w:themeColor="text1"/>
        </w:rPr>
        <w:t>永續及交通</w:t>
      </w:r>
      <w:proofErr w:type="gramEnd"/>
      <w:r w:rsidRPr="00550396">
        <w:rPr>
          <w:rFonts w:ascii="標楷體" w:eastAsia="標楷體" w:hAnsi="標楷體" w:hint="eastAsia"/>
          <w:color w:val="000000" w:themeColor="text1"/>
        </w:rPr>
        <w:t>平權，配合交通部公路公共運輸服務升級計畫（110</w:t>
      </w:r>
      <w:r w:rsidR="005A4859">
        <w:rPr>
          <w:rFonts w:ascii="標楷體" w:eastAsia="標楷體" w:hAnsi="標楷體" w:hint="eastAsia"/>
          <w:color w:val="000000" w:themeColor="text1"/>
        </w:rPr>
        <w:t>－</w:t>
      </w:r>
      <w:r w:rsidRPr="00550396">
        <w:rPr>
          <w:rFonts w:ascii="標楷體" w:eastAsia="標楷體" w:hAnsi="標楷體" w:hint="eastAsia"/>
          <w:color w:val="000000" w:themeColor="text1"/>
        </w:rPr>
        <w:t>113年），辦理</w:t>
      </w:r>
      <w:proofErr w:type="gramStart"/>
      <w:r w:rsidRPr="00550396">
        <w:rPr>
          <w:rFonts w:ascii="標楷體" w:eastAsia="標楷體" w:hAnsi="標楷體" w:hint="eastAsia"/>
          <w:color w:val="000000" w:themeColor="text1"/>
        </w:rPr>
        <w:t>填補公運服務</w:t>
      </w:r>
      <w:proofErr w:type="gramEnd"/>
      <w:r w:rsidRPr="00550396">
        <w:rPr>
          <w:rFonts w:ascii="標楷體" w:eastAsia="標楷體" w:hAnsi="標楷體" w:hint="eastAsia"/>
          <w:color w:val="000000" w:themeColor="text1"/>
        </w:rPr>
        <w:t>缺口、精進虧損補貼與評鑑制度、推廣電動大客車等業務，另因受</w:t>
      </w:r>
      <w:proofErr w:type="gramStart"/>
      <w:r w:rsidRPr="00550396">
        <w:rPr>
          <w:rFonts w:ascii="標楷體" w:eastAsia="標楷體" w:hAnsi="標楷體" w:hint="eastAsia"/>
          <w:color w:val="000000" w:themeColor="text1"/>
        </w:rPr>
        <w:t>新型冠</w:t>
      </w:r>
      <w:proofErr w:type="gramEnd"/>
      <w:r w:rsidRPr="00550396">
        <w:rPr>
          <w:rFonts w:ascii="標楷體" w:eastAsia="標楷體" w:hAnsi="標楷體" w:hint="eastAsia"/>
          <w:color w:val="000000" w:themeColor="text1"/>
        </w:rPr>
        <w:t>狀病毒肺炎（COVID－19）</w:t>
      </w:r>
      <w:proofErr w:type="gramStart"/>
      <w:r w:rsidRPr="00550396">
        <w:rPr>
          <w:rFonts w:ascii="標楷體" w:eastAsia="標楷體" w:hAnsi="標楷體" w:hint="eastAsia"/>
          <w:color w:val="000000" w:themeColor="text1"/>
        </w:rPr>
        <w:t>疫</w:t>
      </w:r>
      <w:proofErr w:type="gramEnd"/>
      <w:r w:rsidRPr="00550396">
        <w:rPr>
          <w:rFonts w:ascii="標楷體" w:eastAsia="標楷體" w:hAnsi="標楷體" w:hint="eastAsia"/>
          <w:color w:val="000000" w:themeColor="text1"/>
        </w:rPr>
        <w:t>情影響，配合行政院促進公共運輸使用方案（方案期程為112至114年），推動公共運輸通勤月票，以振興公共運輸市場。截至113年底，</w:t>
      </w:r>
      <w:r>
        <w:rPr>
          <w:rFonts w:ascii="標楷體" w:eastAsia="標楷體" w:hAnsi="標楷體" w:hint="eastAsia"/>
          <w:color w:val="000000" w:themeColor="text1"/>
        </w:rPr>
        <w:t>該府提報相關公共運輸服務計畫經</w:t>
      </w:r>
      <w:r w:rsidRPr="00550396">
        <w:rPr>
          <w:rFonts w:ascii="標楷體" w:eastAsia="標楷體" w:hAnsi="標楷體" w:hint="eastAsia"/>
          <w:color w:val="000000" w:themeColor="text1"/>
        </w:rPr>
        <w:t>中央</w:t>
      </w:r>
      <w:r>
        <w:rPr>
          <w:rFonts w:ascii="標楷體" w:eastAsia="標楷體" w:hAnsi="標楷體" w:hint="eastAsia"/>
          <w:color w:val="000000" w:themeColor="text1"/>
        </w:rPr>
        <w:t>核定</w:t>
      </w:r>
      <w:r w:rsidRPr="00550396">
        <w:rPr>
          <w:rFonts w:ascii="標楷體" w:eastAsia="標楷體" w:hAnsi="標楷體" w:hint="eastAsia"/>
          <w:color w:val="000000" w:themeColor="text1"/>
        </w:rPr>
        <w:t>補助及自籌</w:t>
      </w:r>
      <w:r>
        <w:rPr>
          <w:rFonts w:ascii="標楷體" w:eastAsia="標楷體" w:hAnsi="標楷體" w:hint="eastAsia"/>
          <w:color w:val="000000" w:themeColor="text1"/>
        </w:rPr>
        <w:t>經費</w:t>
      </w:r>
      <w:r w:rsidRPr="00D77846">
        <w:rPr>
          <w:rFonts w:ascii="標楷體" w:eastAsia="標楷體" w:hAnsi="標楷體" w:hint="eastAsia"/>
        </w:rPr>
        <w:t>共計1</w:t>
      </w:r>
      <w:r w:rsidRPr="00D77846">
        <w:rPr>
          <w:rFonts w:ascii="標楷體" w:eastAsia="標楷體" w:hAnsi="標楷體"/>
        </w:rPr>
        <w:t>79</w:t>
      </w:r>
      <w:r w:rsidRPr="00D77846">
        <w:rPr>
          <w:rFonts w:ascii="標楷體" w:eastAsia="標楷體" w:hAnsi="標楷體" w:hint="eastAsia"/>
        </w:rPr>
        <w:t>億</w:t>
      </w:r>
      <w:r w:rsidRPr="00D77846">
        <w:rPr>
          <w:rFonts w:ascii="標楷體" w:eastAsia="標楷體" w:hAnsi="標楷體"/>
        </w:rPr>
        <w:t>6</w:t>
      </w:r>
      <w:r w:rsidRPr="00D77846">
        <w:rPr>
          <w:rFonts w:ascii="標楷體" w:eastAsia="標楷體" w:hAnsi="標楷體" w:hint="eastAsia"/>
        </w:rPr>
        <w:t>,</w:t>
      </w:r>
      <w:r w:rsidRPr="00D77846">
        <w:rPr>
          <w:rFonts w:ascii="標楷體" w:eastAsia="標楷體" w:hAnsi="標楷體"/>
        </w:rPr>
        <w:t>683</w:t>
      </w:r>
      <w:r w:rsidRPr="00D77846">
        <w:rPr>
          <w:rFonts w:ascii="標楷體" w:eastAsia="標楷體" w:hAnsi="標楷體" w:hint="eastAsia"/>
        </w:rPr>
        <w:t>萬餘</w:t>
      </w:r>
      <w:r w:rsidRPr="00550396">
        <w:rPr>
          <w:rFonts w:ascii="標楷體" w:eastAsia="標楷體" w:hAnsi="標楷體" w:hint="eastAsia"/>
          <w:color w:val="000000" w:themeColor="text1"/>
        </w:rPr>
        <w:t>元，</w:t>
      </w:r>
      <w:r w:rsidRPr="00550396">
        <w:rPr>
          <w:rFonts w:ascii="標楷體" w:eastAsia="標楷體" w:hAnsi="標楷體"/>
          <w:color w:val="000000" w:themeColor="text1"/>
        </w:rPr>
        <w:t>由</w:t>
      </w:r>
      <w:r w:rsidRPr="00550396">
        <w:rPr>
          <w:rFonts w:ascii="標楷體" w:eastAsia="標楷體" w:hAnsi="標楷體" w:hint="eastAsia"/>
          <w:color w:val="000000" w:themeColor="text1"/>
        </w:rPr>
        <w:t>交通局及所屬</w:t>
      </w:r>
      <w:r w:rsidRPr="00550396">
        <w:rPr>
          <w:rFonts w:ascii="標楷體" w:eastAsia="標楷體" w:hAnsi="標楷體"/>
          <w:color w:val="000000" w:themeColor="text1"/>
        </w:rPr>
        <w:t>辦理相關作業</w:t>
      </w:r>
      <w:r>
        <w:rPr>
          <w:rFonts w:ascii="標楷體" w:eastAsia="標楷體" w:hAnsi="標楷體" w:hint="eastAsia"/>
          <w:color w:val="000000" w:themeColor="text1"/>
        </w:rPr>
        <w:t>。</w:t>
      </w:r>
      <w:r w:rsidRPr="00550396">
        <w:rPr>
          <w:rFonts w:ascii="標楷體" w:eastAsia="標楷體" w:hAnsi="標楷體" w:hint="eastAsia"/>
          <w:color w:val="000000" w:themeColor="text1"/>
        </w:rPr>
        <w:t>經查其執行情形，核有下列</w:t>
      </w:r>
      <w:r w:rsidR="005A4859">
        <w:rPr>
          <w:rFonts w:ascii="標楷體" w:eastAsia="標楷體" w:hAnsi="標楷體" w:hint="eastAsia"/>
          <w:color w:val="000000" w:themeColor="text1"/>
        </w:rPr>
        <w:t>事項</w:t>
      </w:r>
      <w:r w:rsidRPr="00550396">
        <w:rPr>
          <w:rFonts w:ascii="標楷體" w:eastAsia="標楷體" w:hAnsi="標楷體" w:hint="eastAsia"/>
          <w:color w:val="000000" w:themeColor="text1"/>
        </w:rPr>
        <w:t>：</w:t>
      </w:r>
    </w:p>
    <w:p w14:paraId="5A6EFD1C" w14:textId="77777777" w:rsidR="00DC0A25" w:rsidRDefault="00DC0A25" w:rsidP="00DC0A25">
      <w:pPr>
        <w:overflowPunct w:val="0"/>
        <w:spacing w:beforeLines="30" w:before="108" w:line="420" w:lineRule="exact"/>
        <w:ind w:firstLineChars="200" w:firstLine="640"/>
        <w:jc w:val="both"/>
        <w:rPr>
          <w:rFonts w:ascii="標楷體" w:eastAsia="標楷體" w:hAnsi="標楷體"/>
          <w:spacing w:val="-4"/>
        </w:rPr>
      </w:pPr>
      <w:r w:rsidRPr="00DC0A25">
        <w:rPr>
          <w:rFonts w:ascii="Times New Roman" w:eastAsia="新細明體" w:hAnsi="標楷體" w:cs="Times New Roman"/>
          <w:noProof/>
          <w:sz w:val="32"/>
          <w:szCs w:val="32"/>
        </w:rPr>
        <mc:AlternateContent>
          <mc:Choice Requires="wps">
            <w:drawing>
              <wp:anchor distT="0" distB="0" distL="114300" distR="114300" simplePos="0" relativeHeight="251840512" behindDoc="1" locked="0" layoutInCell="1" allowOverlap="1" wp14:anchorId="41980217" wp14:editId="5A6D1773">
                <wp:simplePos x="0" y="0"/>
                <wp:positionH relativeFrom="margin">
                  <wp:posOffset>2904774</wp:posOffset>
                </wp:positionH>
                <wp:positionV relativeFrom="paragraph">
                  <wp:posOffset>1286065</wp:posOffset>
                </wp:positionV>
                <wp:extent cx="3493770" cy="2797175"/>
                <wp:effectExtent l="0" t="0" r="0" b="3175"/>
                <wp:wrapSquare wrapText="bothSides"/>
                <wp:docPr id="9274196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3770" cy="2797175"/>
                        </a:xfrm>
                        <a:prstGeom prst="rect">
                          <a:avLst/>
                        </a:prstGeom>
                        <a:noFill/>
                        <a:ln w="9525">
                          <a:noFill/>
                          <a:miter lim="800000"/>
                          <a:headEnd/>
                          <a:tailEnd/>
                        </a:ln>
                      </wps:spPr>
                      <wps:txbx>
                        <w:txbxContent>
                          <w:p w14:paraId="7888D6E3" w14:textId="76C600CC" w:rsidR="00DC0A25" w:rsidRPr="00114CCA" w:rsidRDefault="00DC0A25" w:rsidP="00DC0A25">
                            <w:pPr>
                              <w:spacing w:line="320" w:lineRule="exact"/>
                              <w:jc w:val="center"/>
                              <w:rPr>
                                <w:rFonts w:ascii="標楷體" w:eastAsia="標楷體" w:hAnsi="標楷體"/>
                                <w:b/>
                                <w:snapToGrid w:val="0"/>
                                <w:kern w:val="0"/>
                                <w:szCs w:val="24"/>
                              </w:rPr>
                            </w:pPr>
                            <w:r w:rsidRPr="00114CCA">
                              <w:rPr>
                                <w:rFonts w:ascii="標楷體" w:eastAsia="標楷體" w:hAnsi="標楷體" w:hint="eastAsia"/>
                                <w:b/>
                                <w:snapToGrid w:val="0"/>
                                <w:kern w:val="0"/>
                                <w:szCs w:val="24"/>
                              </w:rPr>
                              <w:t>圖</w:t>
                            </w:r>
                            <w:r w:rsidR="007B44C4">
                              <w:rPr>
                                <w:rFonts w:ascii="標楷體" w:eastAsia="標楷體" w:hAnsi="標楷體" w:hint="eastAsia"/>
                                <w:b/>
                                <w:snapToGrid w:val="0"/>
                                <w:kern w:val="0"/>
                                <w:szCs w:val="24"/>
                              </w:rPr>
                              <w:t>1</w:t>
                            </w:r>
                            <w:r w:rsidRPr="00114CCA">
                              <w:rPr>
                                <w:rFonts w:ascii="標楷體" w:eastAsia="標楷體" w:hAnsi="標楷體"/>
                                <w:b/>
                                <w:snapToGrid w:val="0"/>
                                <w:kern w:val="0"/>
                                <w:szCs w:val="24"/>
                              </w:rPr>
                              <w:t xml:space="preserve"> </w:t>
                            </w:r>
                            <w:r w:rsidRPr="00376672">
                              <w:rPr>
                                <w:rFonts w:ascii="標楷體" w:eastAsia="標楷體" w:hAnsi="標楷體" w:hint="eastAsia"/>
                                <w:b/>
                                <w:snapToGrid w:val="0"/>
                                <w:kern w:val="0"/>
                                <w:szCs w:val="24"/>
                              </w:rPr>
                              <w:t>近6年臺北市市區汽車客運載客</w:t>
                            </w:r>
                            <w:r>
                              <w:rPr>
                                <w:rFonts w:ascii="標楷體" w:eastAsia="標楷體" w:hAnsi="標楷體" w:hint="eastAsia"/>
                                <w:b/>
                                <w:snapToGrid w:val="0"/>
                                <w:kern w:val="0"/>
                                <w:szCs w:val="24"/>
                              </w:rPr>
                              <w:t>概況</w:t>
                            </w:r>
                          </w:p>
                          <w:p w14:paraId="34A8AE83" w14:textId="77777777" w:rsidR="00DC0A25" w:rsidRDefault="00DC0A25" w:rsidP="00DC0A25">
                            <w:pPr>
                              <w:jc w:val="both"/>
                              <w:rPr>
                                <w:rFonts w:ascii="標楷體" w:eastAsia="標楷體" w:hAnsi="標楷體"/>
                                <w:sz w:val="20"/>
                                <w:shd w:val="clear" w:color="auto" w:fill="FFFFFF"/>
                              </w:rPr>
                            </w:pPr>
                            <w:r w:rsidRPr="00633E74">
                              <w:rPr>
                                <w:noProof/>
                              </w:rPr>
                              <w:drawing>
                                <wp:inline distT="0" distB="0" distL="0" distR="0" wp14:anchorId="7AAB1F49" wp14:editId="5588BE8B">
                                  <wp:extent cx="3248167" cy="2242435"/>
                                  <wp:effectExtent l="0" t="0" r="0" b="5715"/>
                                  <wp:docPr id="103" name="圖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4">
                                            <a:extLst>
                                              <a:ext uri="{28A0092B-C50C-407E-A947-70E740481C1C}">
                                                <a14:useLocalDpi xmlns:a14="http://schemas.microsoft.com/office/drawing/2010/main" val="0"/>
                                              </a:ext>
                                            </a:extLst>
                                          </a:blip>
                                          <a:srcRect l="12532" r="6584" b="4600"/>
                                          <a:stretch/>
                                        </pic:blipFill>
                                        <pic:spPr bwMode="auto">
                                          <a:xfrm>
                                            <a:off x="0" y="0"/>
                                            <a:ext cx="3301182" cy="2279035"/>
                                          </a:xfrm>
                                          <a:prstGeom prst="rect">
                                            <a:avLst/>
                                          </a:prstGeom>
                                          <a:noFill/>
                                          <a:ln>
                                            <a:noFill/>
                                          </a:ln>
                                          <a:extLst>
                                            <a:ext uri="{53640926-AAD7-44D8-BBD7-CCE9431645EC}">
                                              <a14:shadowObscured xmlns:a14="http://schemas.microsoft.com/office/drawing/2010/main"/>
                                            </a:ext>
                                          </a:extLst>
                                        </pic:spPr>
                                      </pic:pic>
                                    </a:graphicData>
                                  </a:graphic>
                                </wp:inline>
                              </w:drawing>
                            </w:r>
                          </w:p>
                          <w:p w14:paraId="463BAEBB" w14:textId="77777777" w:rsidR="00DC0A25" w:rsidRPr="00114CCA" w:rsidRDefault="00DC0A25" w:rsidP="00DC0A25">
                            <w:pPr>
                              <w:spacing w:line="240" w:lineRule="exact"/>
                              <w:ind w:leftChars="119" w:left="540" w:hangingChars="141" w:hanging="254"/>
                              <w:rPr>
                                <w:rFonts w:ascii="標楷體" w:eastAsia="標楷體" w:hAnsi="標楷體"/>
                                <w:sz w:val="18"/>
                                <w:szCs w:val="18"/>
                              </w:rPr>
                            </w:pPr>
                            <w:r w:rsidRPr="00114CCA">
                              <w:rPr>
                                <w:rFonts w:ascii="標楷體" w:eastAsia="標楷體" w:hAnsi="標楷體"/>
                                <w:sz w:val="18"/>
                                <w:szCs w:val="18"/>
                                <w:shd w:val="clear" w:color="auto" w:fill="FFFFFF"/>
                              </w:rPr>
                              <w:t>資料來源：整理自</w:t>
                            </w:r>
                            <w:r>
                              <w:rPr>
                                <w:rFonts w:ascii="標楷體" w:eastAsia="標楷體" w:hAnsi="標楷體" w:hint="eastAsia"/>
                                <w:sz w:val="18"/>
                                <w:szCs w:val="18"/>
                                <w:shd w:val="clear" w:color="auto" w:fill="FFFFFF"/>
                              </w:rPr>
                              <w:t>公共運輸處</w:t>
                            </w:r>
                            <w:r w:rsidRPr="00114CCA">
                              <w:rPr>
                                <w:rFonts w:ascii="標楷體" w:eastAsia="標楷體" w:hAnsi="標楷體"/>
                                <w:sz w:val="18"/>
                                <w:szCs w:val="18"/>
                                <w:shd w:val="clear" w:color="auto" w:fill="FFFFFF"/>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980217" id="_x0000_s1089" type="#_x0000_t202" style="position:absolute;left:0;text-align:left;margin-left:228.7pt;margin-top:101.25pt;width:275.1pt;height:220.25pt;z-index:-251475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" filled="f" stroked="f">
                <v:textbox>
                  <w:txbxContent>
                    <w:p w14:paraId="7888D6E3" w14:textId="76C600CC" w:rsidR="00DC0A25" w:rsidRPr="00114CCA" w:rsidRDefault="00DC0A25" w:rsidP="00DC0A25">
                      <w:pPr>
                        <w:spacing w:line="320" w:lineRule="exact"/>
                        <w:jc w:val="center"/>
                        <w:rPr>
                          <w:rFonts w:ascii="標楷體" w:eastAsia="標楷體" w:hAnsi="標楷體"/>
                          <w:b/>
                          <w:snapToGrid w:val="0"/>
                          <w:kern w:val="0"/>
                          <w:szCs w:val="24"/>
                        </w:rPr>
                      </w:pPr>
                      <w:r w:rsidRPr="00114CCA">
                        <w:rPr>
                          <w:rFonts w:ascii="標楷體" w:eastAsia="標楷體" w:hAnsi="標楷體" w:hint="eastAsia"/>
                          <w:b/>
                          <w:snapToGrid w:val="0"/>
                          <w:kern w:val="0"/>
                          <w:szCs w:val="24"/>
                        </w:rPr>
                        <w:t>圖</w:t>
                      </w:r>
                      <w:r w:rsidR="007B44C4">
                        <w:rPr>
                          <w:rFonts w:ascii="標楷體" w:eastAsia="標楷體" w:hAnsi="標楷體" w:hint="eastAsia"/>
                          <w:b/>
                          <w:snapToGrid w:val="0"/>
                          <w:kern w:val="0"/>
                          <w:szCs w:val="24"/>
                        </w:rPr>
                        <w:t>1</w:t>
                      </w:r>
                      <w:r w:rsidRPr="00114CCA">
                        <w:rPr>
                          <w:rFonts w:ascii="標楷體" w:eastAsia="標楷體" w:hAnsi="標楷體"/>
                          <w:b/>
                          <w:snapToGrid w:val="0"/>
                          <w:kern w:val="0"/>
                          <w:szCs w:val="24"/>
                        </w:rPr>
                        <w:t xml:space="preserve"> </w:t>
                      </w:r>
                      <w:r w:rsidRPr="00376672">
                        <w:rPr>
                          <w:rFonts w:ascii="標楷體" w:eastAsia="標楷體" w:hAnsi="標楷體" w:hint="eastAsia"/>
                          <w:b/>
                          <w:snapToGrid w:val="0"/>
                          <w:kern w:val="0"/>
                          <w:szCs w:val="24"/>
                        </w:rPr>
                        <w:t>近6年臺北市市區汽車客運載客</w:t>
                      </w:r>
                      <w:r>
                        <w:rPr>
                          <w:rFonts w:ascii="標楷體" w:eastAsia="標楷體" w:hAnsi="標楷體" w:hint="eastAsia"/>
                          <w:b/>
                          <w:snapToGrid w:val="0"/>
                          <w:kern w:val="0"/>
                          <w:szCs w:val="24"/>
                        </w:rPr>
                        <w:t>概況</w:t>
                      </w:r>
                    </w:p>
                    <w:p w14:paraId="34A8AE83" w14:textId="77777777" w:rsidR="00DC0A25" w:rsidRDefault="00DC0A25" w:rsidP="00DC0A25">
                      <w:pPr>
                        <w:jc w:val="both"/>
                        <w:rPr>
                          <w:rFonts w:ascii="標楷體" w:eastAsia="標楷體" w:hAnsi="標楷體"/>
                          <w:sz w:val="20"/>
                          <w:shd w:val="clear" w:color="auto" w:fill="FFFFFF"/>
                        </w:rPr>
                      </w:pPr>
                      <w:r w:rsidRPr="00633E74">
                        <w:rPr>
                          <w:noProof/>
                        </w:rPr>
                        <w:drawing>
                          <wp:inline distT="0" distB="0" distL="0" distR="0" wp14:anchorId="7AAB1F49" wp14:editId="5588BE8B">
                            <wp:extent cx="3248167" cy="2242435"/>
                            <wp:effectExtent l="0" t="0" r="0" b="5715"/>
                            <wp:docPr id="103" name="圖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5">
                                      <a:extLst>
                                        <a:ext uri="{28A0092B-C50C-407E-A947-70E740481C1C}">
                                          <a14:useLocalDpi xmlns:a14="http://schemas.microsoft.com/office/drawing/2010/main" val="0"/>
                                        </a:ext>
                                      </a:extLst>
                                    </a:blip>
                                    <a:srcRect l="12532" r="6584" b="4600"/>
                                    <a:stretch/>
                                  </pic:blipFill>
                                  <pic:spPr bwMode="auto">
                                    <a:xfrm>
                                      <a:off x="0" y="0"/>
                                      <a:ext cx="3301182" cy="2279035"/>
                                    </a:xfrm>
                                    <a:prstGeom prst="rect">
                                      <a:avLst/>
                                    </a:prstGeom>
                                    <a:noFill/>
                                    <a:ln>
                                      <a:noFill/>
                                    </a:ln>
                                    <a:extLst>
                                      <a:ext uri="{53640926-AAD7-44D8-BBD7-CCE9431645EC}">
                                        <a14:shadowObscured xmlns:a14="http://schemas.microsoft.com/office/drawing/2010/main"/>
                                      </a:ext>
                                    </a:extLst>
                                  </pic:spPr>
                                </pic:pic>
                              </a:graphicData>
                            </a:graphic>
                          </wp:inline>
                        </w:drawing>
                      </w:r>
                    </w:p>
                    <w:p w14:paraId="463BAEBB" w14:textId="77777777" w:rsidR="00DC0A25" w:rsidRPr="00114CCA" w:rsidRDefault="00DC0A25" w:rsidP="00DC0A25">
                      <w:pPr>
                        <w:spacing w:line="240" w:lineRule="exact"/>
                        <w:ind w:leftChars="119" w:left="540" w:hangingChars="141" w:hanging="254"/>
                        <w:rPr>
                          <w:rFonts w:ascii="標楷體" w:eastAsia="標楷體" w:hAnsi="標楷體"/>
                          <w:sz w:val="18"/>
                          <w:szCs w:val="18"/>
                        </w:rPr>
                      </w:pPr>
                      <w:r w:rsidRPr="00114CCA">
                        <w:rPr>
                          <w:rFonts w:ascii="標楷體" w:eastAsia="標楷體" w:hAnsi="標楷體"/>
                          <w:sz w:val="18"/>
                          <w:szCs w:val="18"/>
                          <w:shd w:val="clear" w:color="auto" w:fill="FFFFFF"/>
                        </w:rPr>
                        <w:t>資料來源：整理自</w:t>
                      </w:r>
                      <w:r>
                        <w:rPr>
                          <w:rFonts w:ascii="標楷體" w:eastAsia="標楷體" w:hAnsi="標楷體" w:hint="eastAsia"/>
                          <w:sz w:val="18"/>
                          <w:szCs w:val="18"/>
                          <w:shd w:val="clear" w:color="auto" w:fill="FFFFFF"/>
                        </w:rPr>
                        <w:t>公共運輸處</w:t>
                      </w:r>
                      <w:r w:rsidRPr="00114CCA">
                        <w:rPr>
                          <w:rFonts w:ascii="標楷體" w:eastAsia="標楷體" w:hAnsi="標楷體"/>
                          <w:sz w:val="18"/>
                          <w:szCs w:val="18"/>
                          <w:shd w:val="clear" w:color="auto" w:fill="FFFFFF"/>
                        </w:rPr>
                        <w:t>提供資料。</w:t>
                      </w:r>
                    </w:p>
                  </w:txbxContent>
                </v:textbox>
                <w10:wrap type="square" anchorx="margin"/>
              </v:shape>
            </w:pict>
          </mc:Fallback>
        </mc:AlternateContent>
      </w:r>
      <w:r w:rsidR="00CC5AFC" w:rsidRPr="00B2590E">
        <w:rPr>
          <w:rFonts w:ascii="標楷體" w:eastAsia="標楷體" w:hAnsi="標楷體" w:hint="eastAsia"/>
          <w:b/>
        </w:rPr>
        <w:t>1</w:t>
      </w:r>
      <w:r w:rsidR="00CC5AFC" w:rsidRPr="00B2590E">
        <w:rPr>
          <w:rFonts w:ascii="標楷體" w:eastAsia="標楷體" w:hAnsi="標楷體"/>
          <w:b/>
        </w:rPr>
        <w:t>.</w:t>
      </w:r>
      <w:r w:rsidR="00CC5AFC" w:rsidRPr="00D77846">
        <w:rPr>
          <w:rFonts w:ascii="標楷體" w:eastAsia="標楷體" w:hAnsi="標楷體" w:hint="eastAsia"/>
          <w:b/>
        </w:rPr>
        <w:t>持續辦理運價票差補貼、轉乘優惠，並推動公共運輸通勤月票，惟市區汽車客運載客量未恢復</w:t>
      </w:r>
      <w:r w:rsidR="00CC5AFC" w:rsidRPr="00F675DA">
        <w:rPr>
          <w:rFonts w:ascii="標楷體" w:eastAsia="標楷體" w:hAnsi="標楷體" w:hint="eastAsia"/>
          <w:b/>
          <w:bCs/>
          <w:color w:val="000000" w:themeColor="text1"/>
        </w:rPr>
        <w:t>COVID－19</w:t>
      </w:r>
      <w:proofErr w:type="gramStart"/>
      <w:r w:rsidR="00CC5AFC" w:rsidRPr="00D77846">
        <w:rPr>
          <w:rFonts w:ascii="標楷體" w:eastAsia="標楷體" w:hAnsi="標楷體" w:hint="eastAsia"/>
          <w:b/>
        </w:rPr>
        <w:t>疫</w:t>
      </w:r>
      <w:proofErr w:type="gramEnd"/>
      <w:r w:rsidR="00CC5AFC" w:rsidRPr="00D77846">
        <w:rPr>
          <w:rFonts w:ascii="標楷體" w:eastAsia="標楷體" w:hAnsi="標楷體" w:hint="eastAsia"/>
          <w:b/>
        </w:rPr>
        <w:t>前水準，通勤月票銷售量亦未達預期目標</w:t>
      </w:r>
      <w:r w:rsidR="00CC5AFC" w:rsidRPr="00B2590E">
        <w:rPr>
          <w:rFonts w:ascii="標楷體" w:eastAsia="標楷體" w:hAnsi="標楷體" w:hint="eastAsia"/>
          <w:b/>
        </w:rPr>
        <w:t>：</w:t>
      </w:r>
      <w:r w:rsidR="00CC5AFC">
        <w:rPr>
          <w:rFonts w:ascii="標楷體" w:eastAsia="標楷體" w:hAnsi="標楷體" w:hint="eastAsia"/>
        </w:rPr>
        <w:t>按</w:t>
      </w:r>
      <w:r w:rsidR="00CC5AFC" w:rsidRPr="00ED49A3">
        <w:rPr>
          <w:rFonts w:ascii="標楷體" w:eastAsia="標楷體" w:hAnsi="標楷體" w:hint="eastAsia"/>
        </w:rPr>
        <w:t>「公路公共運輸服務升級計畫（110－113年）」載客量績效指標</w:t>
      </w:r>
      <w:r w:rsidR="00CC5AFC">
        <w:rPr>
          <w:rFonts w:ascii="標楷體" w:eastAsia="標楷體" w:hAnsi="標楷體" w:hint="eastAsia"/>
        </w:rPr>
        <w:t>，</w:t>
      </w:r>
      <w:r w:rsidR="00CC5AFC" w:rsidRPr="00ED49A3">
        <w:rPr>
          <w:rFonts w:ascii="標楷體" w:eastAsia="標楷體" w:hAnsi="標楷體" w:hint="eastAsia"/>
        </w:rPr>
        <w:t>113年6都地區</w:t>
      </w:r>
      <w:r w:rsidR="00CC5AFC">
        <w:rPr>
          <w:rFonts w:ascii="標楷體" w:eastAsia="標楷體" w:hAnsi="標楷體" w:hint="eastAsia"/>
        </w:rPr>
        <w:t>應</w:t>
      </w:r>
      <w:r w:rsidR="00CC5AFC" w:rsidRPr="00ED49A3">
        <w:rPr>
          <w:rFonts w:ascii="標楷體" w:eastAsia="標楷體" w:hAnsi="標楷體" w:hint="eastAsia"/>
        </w:rPr>
        <w:t>較108年成長2％。另依「基北</w:t>
      </w:r>
      <w:proofErr w:type="gramStart"/>
      <w:r w:rsidR="00CC5AFC" w:rsidRPr="00ED49A3">
        <w:rPr>
          <w:rFonts w:ascii="標楷體" w:eastAsia="標楷體" w:hAnsi="標楷體" w:hint="eastAsia"/>
        </w:rPr>
        <w:t>北</w:t>
      </w:r>
      <w:proofErr w:type="gramEnd"/>
      <w:r w:rsidR="00CC5AFC" w:rsidRPr="00ED49A3">
        <w:rPr>
          <w:rFonts w:ascii="標楷體" w:eastAsia="標楷體" w:hAnsi="標楷體" w:hint="eastAsia"/>
        </w:rPr>
        <w:t>桃公共運輸通勤月票計畫書」，113年預期效益包括售票數量單月最高達75萬張、基北</w:t>
      </w:r>
      <w:proofErr w:type="gramStart"/>
      <w:r w:rsidR="00CC5AFC" w:rsidRPr="00ED49A3">
        <w:rPr>
          <w:rFonts w:ascii="標楷體" w:eastAsia="標楷體" w:hAnsi="標楷體" w:hint="eastAsia"/>
        </w:rPr>
        <w:t>北</w:t>
      </w:r>
      <w:proofErr w:type="gramEnd"/>
      <w:r w:rsidR="00CC5AFC" w:rsidRPr="00ED49A3">
        <w:rPr>
          <w:rFonts w:ascii="標楷體" w:eastAsia="標楷體" w:hAnsi="標楷體" w:hint="eastAsia"/>
        </w:rPr>
        <w:t>桃整體生活圈內之私人運具運量</w:t>
      </w:r>
      <w:r w:rsidR="00CC5AFC" w:rsidRPr="005A628D">
        <w:rPr>
          <w:rFonts w:ascii="標楷體" w:eastAsia="標楷體" w:hAnsi="標楷體" w:hint="eastAsia"/>
        </w:rPr>
        <w:t>下降等。經查臺北市市區汽車客運108年載客4億8,057萬餘</w:t>
      </w:r>
      <w:proofErr w:type="gramStart"/>
      <w:r w:rsidR="00CC5AFC" w:rsidRPr="005A628D">
        <w:rPr>
          <w:rFonts w:ascii="標楷體" w:eastAsia="標楷體" w:hAnsi="標楷體" w:hint="eastAsia"/>
        </w:rPr>
        <w:t>人次，</w:t>
      </w:r>
      <w:proofErr w:type="gramEnd"/>
      <w:r w:rsidR="00CC5AFC" w:rsidRPr="00EF0E2E">
        <w:rPr>
          <w:rFonts w:ascii="標楷體" w:eastAsia="標楷體" w:hAnsi="標楷體" w:hint="eastAsia"/>
        </w:rPr>
        <w:t>109、110年因</w:t>
      </w:r>
      <w:r w:rsidR="00CC5AFC" w:rsidRPr="00550396">
        <w:rPr>
          <w:rFonts w:ascii="標楷體" w:eastAsia="標楷體" w:hAnsi="標楷體" w:hint="eastAsia"/>
          <w:color w:val="000000" w:themeColor="text1"/>
        </w:rPr>
        <w:t>COVID－19</w:t>
      </w:r>
      <w:proofErr w:type="gramStart"/>
      <w:r w:rsidR="00CC5AFC" w:rsidRPr="00EF0E2E">
        <w:rPr>
          <w:rFonts w:ascii="標楷體" w:eastAsia="標楷體" w:hAnsi="標楷體" w:hint="eastAsia"/>
        </w:rPr>
        <w:t>疫</w:t>
      </w:r>
      <w:proofErr w:type="gramEnd"/>
      <w:r w:rsidR="00CC5AFC" w:rsidRPr="00EF0E2E">
        <w:rPr>
          <w:rFonts w:ascii="標楷體" w:eastAsia="標楷體" w:hAnsi="標楷體" w:hint="eastAsia"/>
        </w:rPr>
        <w:t>情影響，載客人次明顯降低，</w:t>
      </w:r>
      <w:proofErr w:type="gramStart"/>
      <w:r w:rsidR="00CC5AFC" w:rsidRPr="00EF0E2E">
        <w:rPr>
          <w:rFonts w:ascii="標楷體" w:eastAsia="標楷體" w:hAnsi="標楷體" w:hint="eastAsia"/>
        </w:rPr>
        <w:t>疫</w:t>
      </w:r>
      <w:proofErr w:type="gramEnd"/>
      <w:r w:rsidR="00CC5AFC" w:rsidRPr="00EF0E2E">
        <w:rPr>
          <w:rFonts w:ascii="標楷體" w:eastAsia="標楷體" w:hAnsi="標楷體" w:hint="eastAsia"/>
        </w:rPr>
        <w:t>情結束後，113年雖略有提升，惟仍未恢復</w:t>
      </w:r>
      <w:proofErr w:type="gramStart"/>
      <w:r w:rsidR="00CC5AFC" w:rsidRPr="00EF0E2E">
        <w:rPr>
          <w:rFonts w:ascii="標楷體" w:eastAsia="標楷體" w:hAnsi="標楷體" w:hint="eastAsia"/>
        </w:rPr>
        <w:t>疫</w:t>
      </w:r>
      <w:proofErr w:type="gramEnd"/>
      <w:r w:rsidR="00CC5AFC" w:rsidRPr="00EF0E2E">
        <w:rPr>
          <w:rFonts w:ascii="標楷體" w:eastAsia="標楷體" w:hAnsi="標楷體" w:hint="eastAsia"/>
        </w:rPr>
        <w:t>前水準</w:t>
      </w:r>
      <w:r w:rsidR="00CC5AFC">
        <w:rPr>
          <w:rFonts w:ascii="標楷體" w:eastAsia="標楷體" w:hAnsi="標楷體" w:hint="eastAsia"/>
        </w:rPr>
        <w:t>，</w:t>
      </w:r>
      <w:r w:rsidR="00CC5AFC" w:rsidRPr="005A628D">
        <w:rPr>
          <w:rFonts w:ascii="標楷體" w:eastAsia="標楷體" w:hAnsi="標楷體" w:hint="eastAsia"/>
        </w:rPr>
        <w:t>較108年載客人次下</w:t>
      </w:r>
      <w:r w:rsidR="00CC5AFC" w:rsidRPr="002832A9">
        <w:rPr>
          <w:rFonts w:ascii="標楷體" w:eastAsia="標楷體" w:hAnsi="標楷體" w:hint="eastAsia"/>
        </w:rPr>
        <w:t>降16.99％</w:t>
      </w:r>
      <w:r w:rsidR="00CC5AFC" w:rsidRPr="005A628D">
        <w:rPr>
          <w:rFonts w:ascii="標楷體" w:eastAsia="標楷體" w:hAnsi="標楷體" w:hint="eastAsia"/>
        </w:rPr>
        <w:t>（圖</w:t>
      </w:r>
      <w:r w:rsidR="00CC5AFC">
        <w:rPr>
          <w:rFonts w:ascii="標楷體" w:eastAsia="標楷體" w:hAnsi="標楷體" w:hint="eastAsia"/>
        </w:rPr>
        <w:t>1</w:t>
      </w:r>
      <w:r w:rsidR="00CC5AFC" w:rsidRPr="005A628D">
        <w:rPr>
          <w:rFonts w:ascii="標楷體" w:eastAsia="標楷體" w:hAnsi="標楷體" w:hint="eastAsia"/>
        </w:rPr>
        <w:t>）</w:t>
      </w:r>
      <w:r w:rsidR="00CC5AFC">
        <w:rPr>
          <w:rFonts w:ascii="標楷體" w:eastAsia="標楷體" w:hAnsi="標楷體" w:hint="eastAsia"/>
        </w:rPr>
        <w:t>，</w:t>
      </w:r>
      <w:r w:rsidR="00CC5AFC" w:rsidRPr="00EF0E2E">
        <w:rPr>
          <w:rFonts w:ascii="標楷體" w:eastAsia="標楷體" w:hAnsi="標楷體" w:hint="eastAsia"/>
        </w:rPr>
        <w:t>與</w:t>
      </w:r>
      <w:r w:rsidR="00CC5AFC" w:rsidRPr="00EF0E2E">
        <w:rPr>
          <w:rFonts w:ascii="標楷體" w:eastAsia="標楷體" w:hAnsi="標楷體"/>
        </w:rPr>
        <w:t>「公路公共運輸服務升級計畫（110－113年）」</w:t>
      </w:r>
      <w:r w:rsidR="00CC5AFC" w:rsidRPr="00EF0E2E">
        <w:rPr>
          <w:rFonts w:ascii="標楷體" w:eastAsia="標楷體" w:hAnsi="標楷體" w:hint="eastAsia"/>
        </w:rPr>
        <w:t>載客量成長之目標有間</w:t>
      </w:r>
      <w:r w:rsidR="00CC5AFC" w:rsidRPr="005A628D">
        <w:rPr>
          <w:rFonts w:ascii="標楷體" w:eastAsia="標楷體" w:hAnsi="標楷體" w:hint="eastAsia"/>
        </w:rPr>
        <w:t>。另依桃園市政府提報</w:t>
      </w:r>
      <w:r w:rsidR="00CC5AFC" w:rsidRPr="000645C0">
        <w:rPr>
          <w:rFonts w:ascii="標楷體" w:eastAsia="標楷體" w:hAnsi="標楷體" w:hint="eastAsia"/>
          <w:spacing w:val="2"/>
        </w:rPr>
        <w:t>交通部公路局之「『基北</w:t>
      </w:r>
      <w:proofErr w:type="gramStart"/>
      <w:r w:rsidR="00CC5AFC" w:rsidRPr="000645C0">
        <w:rPr>
          <w:rFonts w:ascii="標楷體" w:eastAsia="標楷體" w:hAnsi="標楷體" w:hint="eastAsia"/>
          <w:spacing w:val="2"/>
        </w:rPr>
        <w:t>北</w:t>
      </w:r>
      <w:proofErr w:type="gramEnd"/>
      <w:r w:rsidR="00CC5AFC" w:rsidRPr="000645C0">
        <w:rPr>
          <w:rFonts w:ascii="標楷體" w:eastAsia="標楷體" w:hAnsi="標楷體" w:hint="eastAsia"/>
          <w:spacing w:val="2"/>
        </w:rPr>
        <w:t>桃TPASS行政院</w:t>
      </w:r>
      <w:r w:rsidR="00CC5AFC" w:rsidRPr="0067307F">
        <w:rPr>
          <w:rFonts w:ascii="標楷體" w:eastAsia="標楷體" w:hAnsi="標楷體" w:hint="eastAsia"/>
          <w:spacing w:val="-2"/>
        </w:rPr>
        <w:t>通勤</w:t>
      </w:r>
      <w:r w:rsidR="00CC5AFC" w:rsidRPr="00202D8D">
        <w:rPr>
          <w:rFonts w:ascii="標楷體" w:eastAsia="標楷體" w:hAnsi="標楷體" w:hint="eastAsia"/>
          <w:spacing w:val="-4"/>
        </w:rPr>
        <w:t>月票』113年成果報告書」顯示，基北</w:t>
      </w:r>
      <w:proofErr w:type="gramStart"/>
      <w:r w:rsidR="00CC5AFC" w:rsidRPr="00202D8D">
        <w:rPr>
          <w:rFonts w:ascii="標楷體" w:eastAsia="標楷體" w:hAnsi="標楷體" w:hint="eastAsia"/>
          <w:spacing w:val="-4"/>
        </w:rPr>
        <w:t>北</w:t>
      </w:r>
      <w:proofErr w:type="gramEnd"/>
      <w:r w:rsidR="00CC5AFC" w:rsidRPr="00202D8D">
        <w:rPr>
          <w:rFonts w:ascii="標楷體" w:eastAsia="標楷體" w:hAnsi="標楷體" w:hint="eastAsia"/>
          <w:spacing w:val="-4"/>
        </w:rPr>
        <w:t>桃通勤月票單月銷售張數最高僅57萬張，</w:t>
      </w:r>
    </w:p>
    <w:p w14:paraId="03F0DCAC" w14:textId="2216A970" w:rsidR="00CC5AFC" w:rsidRPr="008D714C" w:rsidRDefault="00CC5AFC" w:rsidP="00DC0A25">
      <w:pPr>
        <w:overflowPunct w:val="0"/>
        <w:spacing w:beforeLines="30" w:before="108" w:line="420" w:lineRule="exact"/>
        <w:jc w:val="both"/>
        <w:rPr>
          <w:rFonts w:ascii="標楷體" w:eastAsia="標楷體" w:hAnsi="標楷體"/>
        </w:rPr>
      </w:pPr>
      <w:r w:rsidRPr="00202D8D">
        <w:rPr>
          <w:rFonts w:ascii="標楷體" w:eastAsia="標楷體" w:hAnsi="標楷體" w:hint="eastAsia"/>
          <w:spacing w:val="-4"/>
        </w:rPr>
        <w:lastRenderedPageBreak/>
        <w:t>未達預</w:t>
      </w:r>
      <w:r w:rsidRPr="0067307F">
        <w:rPr>
          <w:rFonts w:ascii="標楷體" w:eastAsia="標楷體" w:hAnsi="標楷體" w:hint="eastAsia"/>
          <w:spacing w:val="-2"/>
        </w:rPr>
        <w:t>期最高75萬張。又據交通部公路局統計近5年（109至113年）臺北市汽機車登記數大致持平，私人持有汽機車輛數並未明顯減少，顯示私人運具使用者並未因通勤月票等政策大幅轉向使用公共運輸，經</w:t>
      </w:r>
      <w:proofErr w:type="gramStart"/>
      <w:r w:rsidRPr="0067307F">
        <w:rPr>
          <w:rFonts w:ascii="標楷體" w:eastAsia="標楷體" w:hAnsi="標楷體" w:hint="eastAsia"/>
          <w:spacing w:val="-2"/>
        </w:rPr>
        <w:t>函請允宜</w:t>
      </w:r>
      <w:proofErr w:type="gramEnd"/>
      <w:r w:rsidRPr="0067307F">
        <w:rPr>
          <w:rFonts w:ascii="標楷體" w:eastAsia="標楷體" w:hAnsi="標楷體" w:hint="eastAsia"/>
          <w:spacing w:val="-2"/>
        </w:rPr>
        <w:t>因應民眾需求，</w:t>
      </w:r>
      <w:proofErr w:type="gramStart"/>
      <w:r w:rsidRPr="0067307F">
        <w:rPr>
          <w:rFonts w:ascii="標楷體" w:eastAsia="標楷體" w:hAnsi="標楷體" w:hint="eastAsia"/>
          <w:spacing w:val="-2"/>
        </w:rPr>
        <w:t>研</w:t>
      </w:r>
      <w:proofErr w:type="gramEnd"/>
      <w:r w:rsidRPr="0067307F">
        <w:rPr>
          <w:rFonts w:ascii="標楷體" w:eastAsia="標楷體" w:hAnsi="標楷體" w:hint="eastAsia"/>
          <w:spacing w:val="-2"/>
        </w:rPr>
        <w:t>擬規劃不同運具、期限、通勤區域等多元方案，以吸引潛在客源。據復：</w:t>
      </w:r>
      <w:proofErr w:type="gramStart"/>
      <w:r w:rsidRPr="0067307F">
        <w:rPr>
          <w:rFonts w:ascii="標楷體" w:eastAsia="標楷體" w:hAnsi="標楷體" w:hint="eastAsia"/>
          <w:spacing w:val="-2"/>
        </w:rPr>
        <w:t>因基北北</w:t>
      </w:r>
      <w:proofErr w:type="gramEnd"/>
      <w:r w:rsidRPr="0067307F">
        <w:rPr>
          <w:rFonts w:ascii="標楷體" w:eastAsia="標楷體" w:hAnsi="標楷體" w:hint="eastAsia"/>
          <w:spacing w:val="-2"/>
        </w:rPr>
        <w:t>桃通勤月票係以</w:t>
      </w:r>
      <w:proofErr w:type="gramStart"/>
      <w:r w:rsidRPr="0067307F">
        <w:rPr>
          <w:rFonts w:ascii="標楷體" w:eastAsia="標楷體" w:hAnsi="標楷體" w:hint="eastAsia"/>
          <w:spacing w:val="-2"/>
        </w:rPr>
        <w:t>1</w:t>
      </w:r>
      <w:r w:rsidRPr="0067307F">
        <w:rPr>
          <w:rFonts w:ascii="標楷體" w:eastAsia="標楷體" w:hAnsi="標楷體"/>
          <w:spacing w:val="-2"/>
        </w:rPr>
        <w:t>280</w:t>
      </w:r>
      <w:r w:rsidRPr="0067307F">
        <w:rPr>
          <w:rFonts w:ascii="標楷體" w:eastAsia="標楷體" w:hAnsi="標楷體" w:hint="eastAsia"/>
          <w:spacing w:val="-2"/>
        </w:rPr>
        <w:t>雙北定期票</w:t>
      </w:r>
      <w:proofErr w:type="gramEnd"/>
      <w:r w:rsidRPr="0067307F">
        <w:rPr>
          <w:rFonts w:ascii="標楷體" w:eastAsia="標楷體" w:hAnsi="標楷體" w:hint="eastAsia"/>
          <w:spacing w:val="-2"/>
        </w:rPr>
        <w:t>為基底，調降票價並擴大適用範圍至基隆市及桃園市，</w:t>
      </w:r>
      <w:proofErr w:type="gramStart"/>
      <w:r w:rsidRPr="0067307F">
        <w:rPr>
          <w:rFonts w:ascii="標楷體" w:eastAsia="標楷體" w:hAnsi="標楷體" w:hint="eastAsia"/>
          <w:spacing w:val="-2"/>
        </w:rPr>
        <w:t>故基北北</w:t>
      </w:r>
      <w:proofErr w:type="gramEnd"/>
      <w:r w:rsidRPr="0067307F">
        <w:rPr>
          <w:rFonts w:ascii="標楷體" w:eastAsia="標楷體" w:hAnsi="標楷體" w:hint="eastAsia"/>
          <w:spacing w:val="-2"/>
        </w:rPr>
        <w:t>桃通勤月票推出</w:t>
      </w:r>
      <w:proofErr w:type="gramStart"/>
      <w:r w:rsidRPr="0067307F">
        <w:rPr>
          <w:rFonts w:ascii="標楷體" w:eastAsia="標楷體" w:hAnsi="標楷體" w:hint="eastAsia"/>
          <w:spacing w:val="-2"/>
        </w:rPr>
        <w:t>後雙北地區</w:t>
      </w:r>
      <w:proofErr w:type="gramEnd"/>
      <w:r w:rsidRPr="0067307F">
        <w:rPr>
          <w:rFonts w:ascii="標楷體" w:eastAsia="標楷體" w:hAnsi="標楷體" w:hint="eastAsia"/>
          <w:spacing w:val="-2"/>
        </w:rPr>
        <w:t>販售量成長幅度相對較小，致販售張數未達預期，後續將持續加強宣導推廣、增加運具班次、改善候車環境、配合交通部公路局辦理公共運輸常客優惠回饋，以因應不同通勤族群之多元需求，引導民眾搭乘公共運輸。</w:t>
      </w:r>
    </w:p>
    <w:p w14:paraId="4A4E563A" w14:textId="7926C278" w:rsidR="00CC5AFC" w:rsidRPr="00AC7FDA" w:rsidRDefault="00DC0A25" w:rsidP="00D51423">
      <w:pPr>
        <w:overflowPunct w:val="0"/>
        <w:spacing w:beforeLines="20" w:before="72" w:line="440" w:lineRule="exact"/>
        <w:ind w:firstLineChars="200" w:firstLine="640"/>
        <w:jc w:val="both"/>
        <w:rPr>
          <w:rFonts w:ascii="標楷體" w:eastAsia="標楷體" w:hAnsi="標楷體"/>
          <w:bCs/>
          <w:kern w:val="52"/>
          <w:szCs w:val="24"/>
        </w:rPr>
      </w:pPr>
      <w:r w:rsidRPr="00DC0A25">
        <w:rPr>
          <w:rFonts w:ascii="Times New Roman" w:eastAsia="新細明體" w:hAnsi="標楷體" w:cs="Times New Roman"/>
          <w:noProof/>
          <w:sz w:val="32"/>
          <w:szCs w:val="32"/>
        </w:rPr>
        <mc:AlternateContent>
          <mc:Choice Requires="wps">
            <w:drawing>
              <wp:anchor distT="0" distB="0" distL="114300" distR="114300" simplePos="0" relativeHeight="251838464" behindDoc="1" locked="0" layoutInCell="1" allowOverlap="1" wp14:anchorId="5EFF7CFD" wp14:editId="7F439D7C">
                <wp:simplePos x="0" y="0"/>
                <wp:positionH relativeFrom="margin">
                  <wp:posOffset>2697480</wp:posOffset>
                </wp:positionH>
                <wp:positionV relativeFrom="paragraph">
                  <wp:posOffset>898026</wp:posOffset>
                </wp:positionV>
                <wp:extent cx="3657600" cy="2712720"/>
                <wp:effectExtent l="0" t="0" r="0" b="0"/>
                <wp:wrapTight wrapText="bothSides">
                  <wp:wrapPolygon edited="0">
                    <wp:start x="338" y="0"/>
                    <wp:lineTo x="338" y="21388"/>
                    <wp:lineTo x="21150" y="21388"/>
                    <wp:lineTo x="21150" y="0"/>
                    <wp:lineTo x="338" y="0"/>
                  </wp:wrapPolygon>
                </wp:wrapTight>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12720"/>
                        </a:xfrm>
                        <a:prstGeom prst="rect">
                          <a:avLst/>
                        </a:prstGeom>
                        <a:noFill/>
                        <a:ln w="9525">
                          <a:noFill/>
                          <a:miter lim="800000"/>
                          <a:headEnd/>
                          <a:tailEnd/>
                        </a:ln>
                      </wps:spPr>
                      <wps:txbx>
                        <w:txbxContent>
                          <w:p w14:paraId="26562159" w14:textId="661358B5" w:rsidR="00DC0A25" w:rsidRPr="00114CCA" w:rsidRDefault="00DC0A25" w:rsidP="00DC0A25">
                            <w:pPr>
                              <w:spacing w:line="280" w:lineRule="exact"/>
                              <w:jc w:val="center"/>
                              <w:rPr>
                                <w:rFonts w:ascii="標楷體" w:eastAsia="標楷體" w:hAnsi="標楷體"/>
                                <w:b/>
                                <w:snapToGrid w:val="0"/>
                                <w:kern w:val="0"/>
                                <w:szCs w:val="24"/>
                              </w:rPr>
                            </w:pPr>
                            <w:r w:rsidRPr="00114CCA">
                              <w:rPr>
                                <w:rFonts w:ascii="標楷體" w:eastAsia="標楷體" w:hAnsi="標楷體" w:hint="eastAsia"/>
                                <w:b/>
                                <w:snapToGrid w:val="0"/>
                                <w:kern w:val="0"/>
                                <w:szCs w:val="24"/>
                              </w:rPr>
                              <w:t>圖</w:t>
                            </w:r>
                            <w:r>
                              <w:rPr>
                                <w:rFonts w:ascii="標楷體" w:eastAsia="標楷體" w:hAnsi="標楷體"/>
                                <w:b/>
                                <w:snapToGrid w:val="0"/>
                                <w:kern w:val="0"/>
                                <w:szCs w:val="24"/>
                              </w:rPr>
                              <w:t>2</w:t>
                            </w:r>
                            <w:r>
                              <w:rPr>
                                <w:rFonts w:ascii="標楷體" w:eastAsia="標楷體" w:hAnsi="標楷體" w:hint="eastAsia"/>
                                <w:b/>
                                <w:snapToGrid w:val="0"/>
                                <w:kern w:val="0"/>
                                <w:szCs w:val="24"/>
                              </w:rPr>
                              <w:t xml:space="preserve">　</w:t>
                            </w:r>
                            <w:r w:rsidRPr="00DC0A25">
                              <w:rPr>
                                <w:rFonts w:ascii="標楷體" w:eastAsia="標楷體" w:hAnsi="標楷體" w:hint="eastAsia"/>
                                <w:b/>
                                <w:snapToGrid w:val="0"/>
                                <w:spacing w:val="-6"/>
                                <w:kern w:val="0"/>
                                <w:szCs w:val="24"/>
                              </w:rPr>
                              <w:t>近5年臺北市市區汽車客運駕駛人數增減情形</w:t>
                            </w:r>
                          </w:p>
                          <w:p w14:paraId="514A20F5" w14:textId="77777777" w:rsidR="00DC0A25" w:rsidRDefault="00DC0A25" w:rsidP="00DC0A25">
                            <w:pPr>
                              <w:jc w:val="center"/>
                              <w:rPr>
                                <w:rFonts w:ascii="標楷體" w:eastAsia="標楷體" w:hAnsi="標楷體"/>
                                <w:sz w:val="20"/>
                                <w:shd w:val="clear" w:color="auto" w:fill="FFFFFF"/>
                              </w:rPr>
                            </w:pPr>
                            <w:r w:rsidRPr="008C4FED">
                              <w:rPr>
                                <w:noProof/>
                              </w:rPr>
                              <w:drawing>
                                <wp:inline distT="0" distB="0" distL="0" distR="0" wp14:anchorId="456A143E" wp14:editId="696B1733">
                                  <wp:extent cx="3399548" cy="2209390"/>
                                  <wp:effectExtent l="0" t="0" r="0" b="635"/>
                                  <wp:docPr id="104" name="圖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6">
                                            <a:extLst>
                                              <a:ext uri="{28A0092B-C50C-407E-A947-70E740481C1C}">
                                                <a14:useLocalDpi xmlns:a14="http://schemas.microsoft.com/office/drawing/2010/main" val="0"/>
                                              </a:ext>
                                            </a:extLst>
                                          </a:blip>
                                          <a:srcRect l="14010" r="5907" b="6194"/>
                                          <a:stretch/>
                                        </pic:blipFill>
                                        <pic:spPr bwMode="auto">
                                          <a:xfrm>
                                            <a:off x="0" y="0"/>
                                            <a:ext cx="3409270" cy="2215708"/>
                                          </a:xfrm>
                                          <a:prstGeom prst="rect">
                                            <a:avLst/>
                                          </a:prstGeom>
                                          <a:noFill/>
                                          <a:ln>
                                            <a:noFill/>
                                          </a:ln>
                                          <a:extLst>
                                            <a:ext uri="{53640926-AAD7-44D8-BBD7-CCE9431645EC}">
                                              <a14:shadowObscured xmlns:a14="http://schemas.microsoft.com/office/drawing/2010/main"/>
                                            </a:ext>
                                          </a:extLst>
                                        </pic:spPr>
                                      </pic:pic>
                                    </a:graphicData>
                                  </a:graphic>
                                </wp:inline>
                              </w:drawing>
                            </w:r>
                          </w:p>
                          <w:p w14:paraId="23DF37BD" w14:textId="77777777" w:rsidR="00DC0A25" w:rsidRPr="00114CCA" w:rsidRDefault="00DC0A25" w:rsidP="00DC0A25">
                            <w:pPr>
                              <w:spacing w:line="240" w:lineRule="exact"/>
                              <w:ind w:leftChars="119" w:left="540" w:hangingChars="141" w:hanging="254"/>
                              <w:rPr>
                                <w:rFonts w:ascii="標楷體" w:eastAsia="標楷體" w:hAnsi="標楷體"/>
                                <w:sz w:val="18"/>
                                <w:szCs w:val="18"/>
                              </w:rPr>
                            </w:pPr>
                            <w:r w:rsidRPr="00114CCA">
                              <w:rPr>
                                <w:rFonts w:ascii="標楷體" w:eastAsia="標楷體" w:hAnsi="標楷體"/>
                                <w:sz w:val="18"/>
                                <w:szCs w:val="18"/>
                                <w:shd w:val="clear" w:color="auto" w:fill="FFFFFF"/>
                              </w:rPr>
                              <w:t>資料來源：整理自</w:t>
                            </w:r>
                            <w:r>
                              <w:rPr>
                                <w:rFonts w:ascii="標楷體" w:eastAsia="標楷體" w:hAnsi="標楷體" w:hint="eastAsia"/>
                                <w:sz w:val="18"/>
                                <w:szCs w:val="18"/>
                                <w:shd w:val="clear" w:color="auto" w:fill="FFFFFF"/>
                              </w:rPr>
                              <w:t>公共運輸處</w:t>
                            </w:r>
                            <w:r w:rsidRPr="00114CCA">
                              <w:rPr>
                                <w:rFonts w:ascii="標楷體" w:eastAsia="標楷體" w:hAnsi="標楷體"/>
                                <w:sz w:val="18"/>
                                <w:szCs w:val="18"/>
                                <w:shd w:val="clear" w:color="auto" w:fill="FFFFFF"/>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FF7CFD" id="_x0000_s1090" type="#_x0000_t202" style="position:absolute;left:0;text-align:left;margin-left:212.4pt;margin-top:70.7pt;width:4in;height:213.6pt;z-index:-251478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" filled="f" stroked="f">
                <v:textbox>
                  <w:txbxContent>
                    <w:p w14:paraId="26562159" w14:textId="661358B5" w:rsidR="00DC0A25" w:rsidRPr="00114CCA" w:rsidRDefault="00DC0A25" w:rsidP="00DC0A25">
                      <w:pPr>
                        <w:spacing w:line="280" w:lineRule="exact"/>
                        <w:jc w:val="center"/>
                        <w:rPr>
                          <w:rFonts w:ascii="標楷體" w:eastAsia="標楷體" w:hAnsi="標楷體"/>
                          <w:b/>
                          <w:snapToGrid w:val="0"/>
                          <w:kern w:val="0"/>
                          <w:szCs w:val="24"/>
                        </w:rPr>
                      </w:pPr>
                      <w:r w:rsidRPr="00114CCA">
                        <w:rPr>
                          <w:rFonts w:ascii="標楷體" w:eastAsia="標楷體" w:hAnsi="標楷體" w:hint="eastAsia"/>
                          <w:b/>
                          <w:snapToGrid w:val="0"/>
                          <w:kern w:val="0"/>
                          <w:szCs w:val="24"/>
                        </w:rPr>
                        <w:t>圖</w:t>
                      </w:r>
                      <w:r>
                        <w:rPr>
                          <w:rFonts w:ascii="標楷體" w:eastAsia="標楷體" w:hAnsi="標楷體"/>
                          <w:b/>
                          <w:snapToGrid w:val="0"/>
                          <w:kern w:val="0"/>
                          <w:szCs w:val="24"/>
                        </w:rPr>
                        <w:t>2</w:t>
                      </w:r>
                      <w:r>
                        <w:rPr>
                          <w:rFonts w:ascii="標楷體" w:eastAsia="標楷體" w:hAnsi="標楷體" w:hint="eastAsia"/>
                          <w:b/>
                          <w:snapToGrid w:val="0"/>
                          <w:kern w:val="0"/>
                          <w:szCs w:val="24"/>
                        </w:rPr>
                        <w:t xml:space="preserve">　</w:t>
                      </w:r>
                      <w:r w:rsidRPr="00DC0A25">
                        <w:rPr>
                          <w:rFonts w:ascii="標楷體" w:eastAsia="標楷體" w:hAnsi="標楷體" w:hint="eastAsia"/>
                          <w:b/>
                          <w:snapToGrid w:val="0"/>
                          <w:spacing w:val="-6"/>
                          <w:kern w:val="0"/>
                          <w:szCs w:val="24"/>
                        </w:rPr>
                        <w:t>近5年臺北市市區汽車客運駕駛人數增減情形</w:t>
                      </w:r>
                    </w:p>
                    <w:p w14:paraId="514A20F5" w14:textId="77777777" w:rsidR="00DC0A25" w:rsidRDefault="00DC0A25" w:rsidP="00DC0A25">
                      <w:pPr>
                        <w:jc w:val="center"/>
                        <w:rPr>
                          <w:rFonts w:ascii="標楷體" w:eastAsia="標楷體" w:hAnsi="標楷體"/>
                          <w:sz w:val="20"/>
                          <w:shd w:val="clear" w:color="auto" w:fill="FFFFFF"/>
                        </w:rPr>
                      </w:pPr>
                      <w:r w:rsidRPr="008C4FED">
                        <w:rPr>
                          <w:noProof/>
                        </w:rPr>
                        <w:drawing>
                          <wp:inline distT="0" distB="0" distL="0" distR="0" wp14:anchorId="456A143E" wp14:editId="696B1733">
                            <wp:extent cx="3399548" cy="2209390"/>
                            <wp:effectExtent l="0" t="0" r="0" b="635"/>
                            <wp:docPr id="104" name="圖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7">
                                      <a:extLst>
                                        <a:ext uri="{28A0092B-C50C-407E-A947-70E740481C1C}">
                                          <a14:useLocalDpi xmlns:a14="http://schemas.microsoft.com/office/drawing/2010/main" val="0"/>
                                        </a:ext>
                                      </a:extLst>
                                    </a:blip>
                                    <a:srcRect l="14010" r="5907" b="6194"/>
                                    <a:stretch/>
                                  </pic:blipFill>
                                  <pic:spPr bwMode="auto">
                                    <a:xfrm>
                                      <a:off x="0" y="0"/>
                                      <a:ext cx="3409270" cy="2215708"/>
                                    </a:xfrm>
                                    <a:prstGeom prst="rect">
                                      <a:avLst/>
                                    </a:prstGeom>
                                    <a:noFill/>
                                    <a:ln>
                                      <a:noFill/>
                                    </a:ln>
                                    <a:extLst>
                                      <a:ext uri="{53640926-AAD7-44D8-BBD7-CCE9431645EC}">
                                        <a14:shadowObscured xmlns:a14="http://schemas.microsoft.com/office/drawing/2010/main"/>
                                      </a:ext>
                                    </a:extLst>
                                  </pic:spPr>
                                </pic:pic>
                              </a:graphicData>
                            </a:graphic>
                          </wp:inline>
                        </w:drawing>
                      </w:r>
                    </w:p>
                    <w:p w14:paraId="23DF37BD" w14:textId="77777777" w:rsidR="00DC0A25" w:rsidRPr="00114CCA" w:rsidRDefault="00DC0A25" w:rsidP="00DC0A25">
                      <w:pPr>
                        <w:spacing w:line="240" w:lineRule="exact"/>
                        <w:ind w:leftChars="119" w:left="540" w:hangingChars="141" w:hanging="254"/>
                        <w:rPr>
                          <w:rFonts w:ascii="標楷體" w:eastAsia="標楷體" w:hAnsi="標楷體"/>
                          <w:sz w:val="18"/>
                          <w:szCs w:val="18"/>
                        </w:rPr>
                      </w:pPr>
                      <w:r w:rsidRPr="00114CCA">
                        <w:rPr>
                          <w:rFonts w:ascii="標楷體" w:eastAsia="標楷體" w:hAnsi="標楷體"/>
                          <w:sz w:val="18"/>
                          <w:szCs w:val="18"/>
                          <w:shd w:val="clear" w:color="auto" w:fill="FFFFFF"/>
                        </w:rPr>
                        <w:t>資料來源：整理自</w:t>
                      </w:r>
                      <w:r>
                        <w:rPr>
                          <w:rFonts w:ascii="標楷體" w:eastAsia="標楷體" w:hAnsi="標楷體" w:hint="eastAsia"/>
                          <w:sz w:val="18"/>
                          <w:szCs w:val="18"/>
                          <w:shd w:val="clear" w:color="auto" w:fill="FFFFFF"/>
                        </w:rPr>
                        <w:t>公共運輸處</w:t>
                      </w:r>
                      <w:r w:rsidRPr="00114CCA">
                        <w:rPr>
                          <w:rFonts w:ascii="標楷體" w:eastAsia="標楷體" w:hAnsi="標楷體"/>
                          <w:sz w:val="18"/>
                          <w:szCs w:val="18"/>
                          <w:shd w:val="clear" w:color="auto" w:fill="FFFFFF"/>
                        </w:rPr>
                        <w:t>提供資料。</w:t>
                      </w:r>
                    </w:p>
                  </w:txbxContent>
                </v:textbox>
                <w10:wrap type="tight" anchorx="margin"/>
              </v:shape>
            </w:pict>
          </mc:Fallback>
        </mc:AlternateContent>
      </w:r>
      <w:r w:rsidR="00CC5AFC" w:rsidRPr="00B2590E">
        <w:rPr>
          <w:rFonts w:ascii="標楷體" w:eastAsia="標楷體" w:hAnsi="標楷體" w:hint="eastAsia"/>
          <w:b/>
          <w:bCs/>
          <w:kern w:val="52"/>
          <w:szCs w:val="24"/>
        </w:rPr>
        <w:t>2.</w:t>
      </w:r>
      <w:r w:rsidR="00CC5AFC" w:rsidRPr="00D77846">
        <w:rPr>
          <w:rFonts w:ascii="標楷體" w:eastAsia="標楷體" w:hAnsi="標楷體" w:hint="eastAsia"/>
          <w:b/>
          <w:bCs/>
          <w:kern w:val="52"/>
          <w:szCs w:val="24"/>
        </w:rPr>
        <w:t>轄內市區汽車客運業</w:t>
      </w:r>
      <w:r w:rsidR="00CC5AFC">
        <w:rPr>
          <w:rFonts w:ascii="標楷體" w:eastAsia="標楷體" w:hAnsi="標楷體" w:hint="eastAsia"/>
          <w:b/>
          <w:bCs/>
          <w:kern w:val="52"/>
          <w:szCs w:val="24"/>
        </w:rPr>
        <w:t>部分</w:t>
      </w:r>
      <w:r w:rsidR="00CC5AFC" w:rsidRPr="00D77846">
        <w:rPr>
          <w:rFonts w:ascii="標楷體" w:eastAsia="標楷體" w:hAnsi="標楷體" w:hint="eastAsia"/>
          <w:b/>
          <w:bCs/>
          <w:kern w:val="52"/>
          <w:szCs w:val="24"/>
        </w:rPr>
        <w:t>駕駛於</w:t>
      </w:r>
      <w:r w:rsidR="00CC5AFC" w:rsidRPr="00F675DA">
        <w:rPr>
          <w:rFonts w:ascii="標楷體" w:eastAsia="標楷體" w:hAnsi="標楷體" w:hint="eastAsia"/>
          <w:b/>
          <w:bCs/>
          <w:color w:val="000000" w:themeColor="text1"/>
        </w:rPr>
        <w:t>COVID－19</w:t>
      </w:r>
      <w:proofErr w:type="gramStart"/>
      <w:r w:rsidR="00CC5AFC" w:rsidRPr="00D77846">
        <w:rPr>
          <w:rFonts w:ascii="標楷體" w:eastAsia="標楷體" w:hAnsi="標楷體" w:hint="eastAsia"/>
          <w:b/>
          <w:bCs/>
          <w:kern w:val="52"/>
          <w:szCs w:val="24"/>
        </w:rPr>
        <w:t>疫</w:t>
      </w:r>
      <w:proofErr w:type="gramEnd"/>
      <w:r w:rsidR="00CC5AFC" w:rsidRPr="00D77846">
        <w:rPr>
          <w:rFonts w:ascii="標楷體" w:eastAsia="標楷體" w:hAnsi="標楷體" w:hint="eastAsia"/>
          <w:b/>
          <w:bCs/>
          <w:kern w:val="52"/>
          <w:szCs w:val="24"/>
        </w:rPr>
        <w:t>情</w:t>
      </w:r>
      <w:r w:rsidR="00CC5AFC">
        <w:rPr>
          <w:rFonts w:ascii="標楷體" w:eastAsia="標楷體" w:hAnsi="標楷體" w:hint="eastAsia"/>
          <w:b/>
          <w:bCs/>
          <w:kern w:val="52"/>
          <w:szCs w:val="24"/>
        </w:rPr>
        <w:t>期間離職，惟</w:t>
      </w:r>
      <w:proofErr w:type="gramStart"/>
      <w:r w:rsidR="00CC5AFC">
        <w:rPr>
          <w:rFonts w:ascii="標楷體" w:eastAsia="標楷體" w:hAnsi="標楷體" w:hint="eastAsia"/>
          <w:b/>
          <w:bCs/>
          <w:kern w:val="52"/>
          <w:szCs w:val="24"/>
        </w:rPr>
        <w:t>疫</w:t>
      </w:r>
      <w:proofErr w:type="gramEnd"/>
      <w:r w:rsidR="00CC5AFC" w:rsidRPr="00D77846">
        <w:rPr>
          <w:rFonts w:ascii="標楷體" w:eastAsia="標楷體" w:hAnsi="標楷體" w:hint="eastAsia"/>
          <w:b/>
          <w:bCs/>
          <w:kern w:val="52"/>
          <w:szCs w:val="24"/>
        </w:rPr>
        <w:t>後未能</w:t>
      </w:r>
      <w:r w:rsidR="00CC5AFC">
        <w:rPr>
          <w:rFonts w:ascii="標楷體" w:eastAsia="標楷體" w:hAnsi="標楷體" w:hint="eastAsia"/>
          <w:b/>
          <w:bCs/>
          <w:kern w:val="52"/>
          <w:szCs w:val="24"/>
        </w:rPr>
        <w:t>全數</w:t>
      </w:r>
      <w:r w:rsidR="00CC5AFC" w:rsidRPr="00D77846">
        <w:rPr>
          <w:rFonts w:ascii="標楷體" w:eastAsia="標楷體" w:hAnsi="標楷體" w:hint="eastAsia"/>
          <w:b/>
          <w:bCs/>
          <w:kern w:val="52"/>
          <w:szCs w:val="24"/>
        </w:rPr>
        <w:t>回流，影響客運班次調度，屢遭民眾投訴公車未依核定班距發車</w:t>
      </w:r>
      <w:r w:rsidR="00CC5AFC" w:rsidRPr="005C49F5">
        <w:rPr>
          <w:rFonts w:ascii="標楷體" w:eastAsia="標楷體" w:hAnsi="標楷體" w:hint="eastAsia"/>
          <w:b/>
          <w:bCs/>
          <w:kern w:val="52"/>
          <w:szCs w:val="24"/>
        </w:rPr>
        <w:t>：</w:t>
      </w:r>
      <w:r w:rsidR="00CC5AFC" w:rsidRPr="005C49F5">
        <w:rPr>
          <w:rFonts w:ascii="標楷體" w:eastAsia="標楷體" w:hAnsi="標楷體" w:hint="eastAsia"/>
          <w:bCs/>
          <w:kern w:val="52"/>
          <w:szCs w:val="24"/>
        </w:rPr>
        <w:t>經查臺北市轄內109年市區汽車客運業駕駛有4,267人，110至113年駕駛人數自3,817人減少至3,672人，113年與109年相較，減少13.94％（圖</w:t>
      </w:r>
      <w:r w:rsidR="00CC5AFC">
        <w:rPr>
          <w:rFonts w:ascii="標楷體" w:eastAsia="標楷體" w:hAnsi="標楷體" w:hint="eastAsia"/>
          <w:bCs/>
          <w:kern w:val="52"/>
          <w:szCs w:val="24"/>
        </w:rPr>
        <w:t>2</w:t>
      </w:r>
      <w:r w:rsidR="00CC5AFC" w:rsidRPr="005C49F5">
        <w:rPr>
          <w:rFonts w:ascii="標楷體" w:eastAsia="標楷體" w:hAnsi="標楷體" w:hint="eastAsia"/>
          <w:bCs/>
          <w:kern w:val="52"/>
          <w:szCs w:val="24"/>
        </w:rPr>
        <w:t>），主要係</w:t>
      </w:r>
      <w:r w:rsidR="00CC5AFC" w:rsidRPr="00550396">
        <w:rPr>
          <w:rFonts w:ascii="標楷體" w:eastAsia="標楷體" w:hAnsi="標楷體" w:hint="eastAsia"/>
          <w:color w:val="000000" w:themeColor="text1"/>
        </w:rPr>
        <w:t>COVID－19</w:t>
      </w:r>
      <w:proofErr w:type="gramStart"/>
      <w:r w:rsidR="00CC5AFC" w:rsidRPr="005C49F5">
        <w:rPr>
          <w:rFonts w:ascii="標楷體" w:eastAsia="標楷體" w:hAnsi="標楷體" w:hint="eastAsia"/>
          <w:bCs/>
          <w:kern w:val="52"/>
          <w:szCs w:val="24"/>
        </w:rPr>
        <w:t>疫</w:t>
      </w:r>
      <w:proofErr w:type="gramEnd"/>
      <w:r w:rsidR="00CC5AFC" w:rsidRPr="005C49F5">
        <w:rPr>
          <w:rFonts w:ascii="標楷體" w:eastAsia="標楷體" w:hAnsi="標楷體" w:hint="eastAsia"/>
          <w:bCs/>
          <w:kern w:val="52"/>
          <w:szCs w:val="24"/>
        </w:rPr>
        <w:t>情</w:t>
      </w:r>
      <w:proofErr w:type="gramStart"/>
      <w:r w:rsidR="00CC5AFC" w:rsidRPr="005C49F5">
        <w:rPr>
          <w:rFonts w:ascii="標楷體" w:eastAsia="標楷體" w:hAnsi="標楷體" w:hint="eastAsia"/>
          <w:bCs/>
          <w:kern w:val="52"/>
          <w:szCs w:val="24"/>
        </w:rPr>
        <w:t>期間，</w:t>
      </w:r>
      <w:proofErr w:type="gramEnd"/>
      <w:r w:rsidR="00CC5AFC" w:rsidRPr="005C49F5">
        <w:rPr>
          <w:rFonts w:ascii="標楷體" w:eastAsia="標楷體" w:hAnsi="標楷體" w:hint="eastAsia"/>
          <w:bCs/>
          <w:kern w:val="52"/>
          <w:szCs w:val="24"/>
        </w:rPr>
        <w:t>客源減少，業者出車班次需求量隨之減少，部分大客車駕駛因收入減少而離職，</w:t>
      </w:r>
      <w:proofErr w:type="gramStart"/>
      <w:r w:rsidR="00CC5AFC" w:rsidRPr="005C49F5">
        <w:rPr>
          <w:rFonts w:ascii="標楷體" w:eastAsia="標楷體" w:hAnsi="標楷體" w:hint="eastAsia"/>
          <w:bCs/>
          <w:kern w:val="52"/>
          <w:szCs w:val="24"/>
        </w:rPr>
        <w:t>疫</w:t>
      </w:r>
      <w:proofErr w:type="gramEnd"/>
      <w:r w:rsidR="00CC5AFC" w:rsidRPr="005C49F5">
        <w:rPr>
          <w:rFonts w:ascii="標楷體" w:eastAsia="標楷體" w:hAnsi="標楷體" w:hint="eastAsia"/>
          <w:bCs/>
          <w:kern w:val="52"/>
          <w:szCs w:val="24"/>
        </w:rPr>
        <w:t>後客源雖逐漸增加，惟部分駕駛已轉職駕駛遊覽車或</w:t>
      </w:r>
      <w:proofErr w:type="gramStart"/>
      <w:r w:rsidR="00CC5AFC" w:rsidRPr="005C49F5">
        <w:rPr>
          <w:rFonts w:ascii="標楷體" w:eastAsia="標楷體" w:hAnsi="標楷體" w:hint="eastAsia"/>
          <w:bCs/>
          <w:kern w:val="52"/>
          <w:szCs w:val="24"/>
        </w:rPr>
        <w:t>外送業</w:t>
      </w:r>
      <w:proofErr w:type="gramEnd"/>
      <w:r w:rsidR="00CC5AFC" w:rsidRPr="005C49F5">
        <w:rPr>
          <w:rFonts w:ascii="標楷體" w:eastAsia="標楷體" w:hAnsi="標楷體" w:hint="eastAsia"/>
          <w:bCs/>
          <w:kern w:val="52"/>
          <w:szCs w:val="24"/>
        </w:rPr>
        <w:t>，因市區汽車客運駕駛薪資低、工時長等，未有足夠誘因促使駕駛再度投入市區汽車客運業工作。截至113年底，臺北市市區汽車客運業僅有3,672名駕駛，若以</w:t>
      </w:r>
      <w:proofErr w:type="gramStart"/>
      <w:r w:rsidR="00CC5AFC" w:rsidRPr="005C49F5">
        <w:rPr>
          <w:rFonts w:ascii="標楷體" w:eastAsia="標楷體" w:hAnsi="標楷體" w:hint="eastAsia"/>
          <w:bCs/>
          <w:kern w:val="52"/>
          <w:szCs w:val="24"/>
        </w:rPr>
        <w:t>疫情前</w:t>
      </w:r>
      <w:proofErr w:type="gramEnd"/>
      <w:r w:rsidR="00CC5AFC" w:rsidRPr="005C49F5">
        <w:rPr>
          <w:rFonts w:ascii="標楷體" w:eastAsia="標楷體" w:hAnsi="標楷體" w:hint="eastAsia"/>
          <w:bCs/>
          <w:kern w:val="52"/>
          <w:szCs w:val="24"/>
        </w:rPr>
        <w:t>（108年）實際人車比1.26為標準推算，缺額高達643名</w:t>
      </w:r>
      <w:r w:rsidR="00CC5AFC">
        <w:rPr>
          <w:rFonts w:ascii="標楷體" w:eastAsia="標楷體" w:hAnsi="標楷體" w:hint="eastAsia"/>
          <w:bCs/>
          <w:kern w:val="52"/>
          <w:szCs w:val="24"/>
        </w:rPr>
        <w:t>；另</w:t>
      </w:r>
      <w:r w:rsidR="00CC5AFC" w:rsidRPr="005C49F5">
        <w:rPr>
          <w:rFonts w:ascii="標楷體" w:eastAsia="標楷體" w:hAnsi="標楷體" w:hint="eastAsia"/>
          <w:bCs/>
          <w:kern w:val="52"/>
          <w:szCs w:val="24"/>
        </w:rPr>
        <w:t>經統計112年</w:t>
      </w:r>
      <w:r w:rsidR="00CC5AFC">
        <w:rPr>
          <w:rFonts w:ascii="標楷體" w:eastAsia="標楷體" w:hAnsi="標楷體" w:hint="eastAsia"/>
          <w:bCs/>
          <w:kern w:val="52"/>
          <w:szCs w:val="24"/>
        </w:rPr>
        <w:t>公共運輸</w:t>
      </w:r>
      <w:r w:rsidR="00CC5AFC" w:rsidRPr="005C49F5">
        <w:rPr>
          <w:rFonts w:ascii="標楷體" w:eastAsia="標楷體" w:hAnsi="標楷體" w:hint="eastAsia"/>
          <w:bCs/>
          <w:kern w:val="52"/>
          <w:szCs w:val="24"/>
        </w:rPr>
        <w:t>處依違反公路法</w:t>
      </w:r>
      <w:r w:rsidR="00CC5AFC">
        <w:rPr>
          <w:rFonts w:ascii="標楷體" w:eastAsia="標楷體" w:hAnsi="標楷體" w:hint="eastAsia"/>
          <w:bCs/>
          <w:kern w:val="52"/>
          <w:szCs w:val="24"/>
        </w:rPr>
        <w:t>第</w:t>
      </w:r>
      <w:r w:rsidR="00CC5AFC" w:rsidRPr="005C49F5">
        <w:rPr>
          <w:rFonts w:ascii="標楷體" w:eastAsia="標楷體" w:hAnsi="標楷體" w:hint="eastAsia"/>
          <w:bCs/>
          <w:kern w:val="52"/>
          <w:szCs w:val="24"/>
        </w:rPr>
        <w:t>77條第1項裁罰基準認定未依核定班距發車者計265案，113年成長至809案，</w:t>
      </w:r>
      <w:r w:rsidR="00CC5AFC">
        <w:rPr>
          <w:rFonts w:ascii="標楷體" w:eastAsia="標楷體" w:hAnsi="標楷體" w:hint="eastAsia"/>
          <w:bCs/>
          <w:kern w:val="52"/>
          <w:szCs w:val="24"/>
        </w:rPr>
        <w:t>且交通部</w:t>
      </w:r>
      <w:r w:rsidR="00CC5AFC" w:rsidRPr="00FA332E">
        <w:rPr>
          <w:rFonts w:ascii="標楷體" w:eastAsia="標楷體" w:hAnsi="標楷體" w:hint="eastAsia"/>
          <w:bCs/>
          <w:kern w:val="52"/>
          <w:szCs w:val="24"/>
        </w:rPr>
        <w:t>已於公路公共運輸服務升級計畫（110</w:t>
      </w:r>
      <w:r w:rsidR="00202D8D">
        <w:rPr>
          <w:rFonts w:ascii="標楷體" w:eastAsia="標楷體" w:hAnsi="標楷體" w:hint="eastAsia"/>
          <w:bCs/>
          <w:kern w:val="52"/>
          <w:szCs w:val="24"/>
        </w:rPr>
        <w:t>－</w:t>
      </w:r>
      <w:r w:rsidR="00CC5AFC" w:rsidRPr="00FA332E">
        <w:rPr>
          <w:rFonts w:ascii="標楷體" w:eastAsia="標楷體" w:hAnsi="標楷體" w:hint="eastAsia"/>
          <w:bCs/>
          <w:kern w:val="52"/>
          <w:szCs w:val="24"/>
        </w:rPr>
        <w:t>113年）內提供補助擴編駕駛人力之提案申請，惟臺北市</w:t>
      </w:r>
      <w:proofErr w:type="gramStart"/>
      <w:r w:rsidR="00CC5AFC">
        <w:rPr>
          <w:rFonts w:ascii="標楷體" w:eastAsia="標楷體" w:hAnsi="標楷體" w:hint="eastAsia"/>
          <w:bCs/>
          <w:kern w:val="52"/>
          <w:szCs w:val="24"/>
        </w:rPr>
        <w:t>政府</w:t>
      </w:r>
      <w:r w:rsidR="00CC5AFC" w:rsidRPr="00FA332E">
        <w:rPr>
          <w:rFonts w:ascii="標楷體" w:eastAsia="標楷體" w:hAnsi="標楷體" w:hint="eastAsia"/>
          <w:bCs/>
          <w:kern w:val="52"/>
          <w:szCs w:val="24"/>
        </w:rPr>
        <w:t>均無提出</w:t>
      </w:r>
      <w:proofErr w:type="gramEnd"/>
      <w:r w:rsidR="00CC5AFC" w:rsidRPr="00FA332E">
        <w:rPr>
          <w:rFonts w:ascii="標楷體" w:eastAsia="標楷體" w:hAnsi="標楷體" w:hint="eastAsia"/>
          <w:bCs/>
          <w:kern w:val="52"/>
          <w:szCs w:val="24"/>
        </w:rPr>
        <w:t>相關提案</w:t>
      </w:r>
      <w:r w:rsidR="00CC5AFC">
        <w:rPr>
          <w:rFonts w:ascii="標楷體" w:eastAsia="標楷體" w:hAnsi="標楷體" w:hint="eastAsia"/>
          <w:bCs/>
          <w:kern w:val="52"/>
          <w:szCs w:val="24"/>
        </w:rPr>
        <w:t>，因而</w:t>
      </w:r>
      <w:r w:rsidR="00CC5AFC" w:rsidRPr="005C49F5">
        <w:rPr>
          <w:rFonts w:ascii="標楷體" w:eastAsia="標楷體" w:hAnsi="標楷體" w:hint="eastAsia"/>
          <w:bCs/>
          <w:kern w:val="52"/>
          <w:szCs w:val="24"/>
        </w:rPr>
        <w:t>於</w:t>
      </w:r>
      <w:proofErr w:type="gramStart"/>
      <w:r w:rsidR="00CC5AFC" w:rsidRPr="005C49F5">
        <w:rPr>
          <w:rFonts w:ascii="標楷體" w:eastAsia="標楷體" w:hAnsi="標楷體" w:hint="eastAsia"/>
          <w:bCs/>
          <w:kern w:val="52"/>
          <w:szCs w:val="24"/>
        </w:rPr>
        <w:t>疫</w:t>
      </w:r>
      <w:proofErr w:type="gramEnd"/>
      <w:r w:rsidR="00CC5AFC" w:rsidRPr="005C49F5">
        <w:rPr>
          <w:rFonts w:ascii="標楷體" w:eastAsia="標楷體" w:hAnsi="標楷體" w:hint="eastAsia"/>
          <w:bCs/>
          <w:kern w:val="52"/>
          <w:szCs w:val="24"/>
        </w:rPr>
        <w:t>後客源及行車班次增加，駕駛人力卻未回流情形下，</w:t>
      </w:r>
      <w:r w:rsidR="00CC5AFC">
        <w:rPr>
          <w:rFonts w:ascii="標楷體" w:eastAsia="標楷體" w:hAnsi="標楷體" w:hint="eastAsia"/>
          <w:bCs/>
          <w:kern w:val="52"/>
          <w:szCs w:val="24"/>
        </w:rPr>
        <w:t>屢</w:t>
      </w:r>
      <w:r w:rsidR="00CC5AFC" w:rsidRPr="005C49F5">
        <w:rPr>
          <w:rFonts w:ascii="標楷體" w:eastAsia="標楷體" w:hAnsi="標楷體" w:hint="eastAsia"/>
          <w:bCs/>
          <w:kern w:val="52"/>
          <w:szCs w:val="24"/>
        </w:rPr>
        <w:t>有民眾投訴公車未依核定班距發車情事，經函請</w:t>
      </w:r>
      <w:r w:rsidR="00CC5AFC" w:rsidRPr="00D201D7">
        <w:rPr>
          <w:rFonts w:ascii="標楷體" w:eastAsia="標楷體" w:hAnsi="標楷體" w:hint="eastAsia"/>
          <w:bCs/>
          <w:kern w:val="52"/>
          <w:szCs w:val="24"/>
        </w:rPr>
        <w:t>交通局督促公共運輸處</w:t>
      </w:r>
      <w:r w:rsidR="00CC5AFC" w:rsidRPr="005C49F5">
        <w:rPr>
          <w:rFonts w:ascii="標楷體" w:eastAsia="標楷體" w:hAnsi="標楷體" w:hint="eastAsia"/>
          <w:bCs/>
          <w:kern w:val="52"/>
          <w:szCs w:val="24"/>
        </w:rPr>
        <w:t>多元開闢招募人力管道，健全公車駕駛就業環境，以及早彌補客</w:t>
      </w:r>
      <w:r w:rsidR="00CC5AFC" w:rsidRPr="00AC7FDA">
        <w:rPr>
          <w:rFonts w:ascii="標楷體" w:eastAsia="標楷體" w:hAnsi="標楷體" w:hint="eastAsia"/>
          <w:bCs/>
          <w:kern w:val="52"/>
          <w:szCs w:val="24"/>
        </w:rPr>
        <w:t>運業者駕駛人力缺口。據復：業積極協助客運業者招募公車駕駛，並配合新運價實施調高駕駛薪資。另透過</w:t>
      </w:r>
      <w:r w:rsidR="00CC5AFC" w:rsidRPr="00DD059B">
        <w:rPr>
          <w:rFonts w:ascii="標楷體" w:eastAsia="標楷體" w:hAnsi="標楷體" w:hint="eastAsia"/>
          <w:bCs/>
          <w:kern w:val="52"/>
          <w:szCs w:val="24"/>
        </w:rPr>
        <w:t>臺北市公共汽車客運商業同業公會</w:t>
      </w:r>
      <w:r w:rsidR="00CC5AFC" w:rsidRPr="00AC7FDA">
        <w:rPr>
          <w:rFonts w:ascii="標楷體" w:eastAsia="標楷體" w:hAnsi="標楷體" w:hint="eastAsia"/>
          <w:bCs/>
          <w:kern w:val="52"/>
          <w:szCs w:val="24"/>
        </w:rPr>
        <w:t>成立「公車學院」，藉由教育訓練提高</w:t>
      </w:r>
      <w:r w:rsidR="00CC5AFC">
        <w:rPr>
          <w:rFonts w:ascii="標楷體" w:eastAsia="標楷體" w:hAnsi="標楷體" w:hint="eastAsia"/>
          <w:bCs/>
          <w:kern w:val="52"/>
          <w:szCs w:val="24"/>
        </w:rPr>
        <w:t>駕</w:t>
      </w:r>
      <w:r w:rsidR="00CC5AFC" w:rsidRPr="00AC7FDA">
        <w:rPr>
          <w:rFonts w:ascii="標楷體" w:eastAsia="標楷體" w:hAnsi="標楷體" w:hint="eastAsia"/>
          <w:bCs/>
          <w:kern w:val="52"/>
          <w:szCs w:val="24"/>
        </w:rPr>
        <w:t>駛能力並降低事故發生風險，進而減輕駕駛工作壓力，並轉請中央</w:t>
      </w:r>
      <w:proofErr w:type="gramStart"/>
      <w:r w:rsidR="00CC5AFC" w:rsidRPr="00AC7FDA">
        <w:rPr>
          <w:rFonts w:ascii="標楷體" w:eastAsia="標楷體" w:hAnsi="標楷體" w:hint="eastAsia"/>
          <w:bCs/>
          <w:kern w:val="52"/>
          <w:szCs w:val="24"/>
        </w:rPr>
        <w:t>研</w:t>
      </w:r>
      <w:proofErr w:type="gramEnd"/>
      <w:r w:rsidR="00CC5AFC" w:rsidRPr="00AC7FDA">
        <w:rPr>
          <w:rFonts w:ascii="標楷體" w:eastAsia="標楷體" w:hAnsi="標楷體" w:hint="eastAsia"/>
          <w:bCs/>
          <w:kern w:val="52"/>
          <w:szCs w:val="24"/>
        </w:rPr>
        <w:t>議開放外籍駕駛，以招募各類人才資源投入。</w:t>
      </w:r>
    </w:p>
    <w:p w14:paraId="501FDE2B" w14:textId="2665564A" w:rsidR="00AE147C" w:rsidRDefault="00CC5AFC" w:rsidP="00D51423">
      <w:pPr>
        <w:overflowPunct w:val="0"/>
        <w:spacing w:beforeLines="10" w:before="36" w:line="420" w:lineRule="exact"/>
        <w:ind w:firstLineChars="200" w:firstLine="480"/>
        <w:jc w:val="both"/>
        <w:rPr>
          <w:rFonts w:ascii="標楷體" w:eastAsia="標楷體" w:hAnsi="標楷體"/>
          <w:bCs/>
          <w:kern w:val="52"/>
          <w:szCs w:val="24"/>
        </w:rPr>
      </w:pPr>
      <w:r>
        <w:rPr>
          <w:rFonts w:ascii="標楷體" w:eastAsia="標楷體" w:hAnsi="標楷體"/>
          <w:b/>
          <w:bCs/>
          <w:kern w:val="52"/>
          <w:szCs w:val="24"/>
        </w:rPr>
        <w:t>3</w:t>
      </w:r>
      <w:r w:rsidRPr="00B2590E">
        <w:rPr>
          <w:rFonts w:ascii="標楷體" w:eastAsia="標楷體" w:hAnsi="標楷體" w:hint="eastAsia"/>
          <w:b/>
          <w:bCs/>
          <w:kern w:val="52"/>
          <w:szCs w:val="24"/>
        </w:rPr>
        <w:t>.</w:t>
      </w:r>
      <w:r w:rsidRPr="00D77846">
        <w:rPr>
          <w:rFonts w:ascii="標楷體" w:eastAsia="標楷體" w:hAnsi="標楷體" w:hint="eastAsia"/>
          <w:b/>
          <w:bCs/>
          <w:kern w:val="52"/>
          <w:szCs w:val="24"/>
        </w:rPr>
        <w:t>為滿足服務性路線民行需求，連年補助市區汽車客運業營運虧損，惟部分路線營運虧損嚴重情形持續，且有補貼金額超過規定上限及</w:t>
      </w:r>
      <w:r>
        <w:rPr>
          <w:rFonts w:ascii="標楷體" w:eastAsia="標楷體" w:hAnsi="標楷體" w:hint="eastAsia"/>
          <w:b/>
          <w:bCs/>
          <w:kern w:val="52"/>
          <w:szCs w:val="24"/>
        </w:rPr>
        <w:t>對</w:t>
      </w:r>
      <w:r w:rsidRPr="00D77846">
        <w:rPr>
          <w:rFonts w:ascii="標楷體" w:eastAsia="標楷體" w:hAnsi="標楷體" w:hint="eastAsia"/>
          <w:b/>
          <w:bCs/>
          <w:kern w:val="52"/>
          <w:szCs w:val="24"/>
        </w:rPr>
        <w:t>缺失</w:t>
      </w:r>
      <w:r>
        <w:rPr>
          <w:rFonts w:ascii="標楷體" w:eastAsia="標楷體" w:hAnsi="標楷體" w:hint="eastAsia"/>
          <w:b/>
          <w:bCs/>
          <w:kern w:val="52"/>
          <w:szCs w:val="24"/>
        </w:rPr>
        <w:t>未</w:t>
      </w:r>
      <w:r w:rsidRPr="00D77846">
        <w:rPr>
          <w:rFonts w:ascii="標楷體" w:eastAsia="標楷體" w:hAnsi="標楷體" w:hint="eastAsia"/>
          <w:b/>
          <w:bCs/>
          <w:kern w:val="52"/>
          <w:szCs w:val="24"/>
        </w:rPr>
        <w:t>依規定扣減補貼款等情事</w:t>
      </w:r>
      <w:r w:rsidRPr="00B2590E">
        <w:rPr>
          <w:rFonts w:ascii="標楷體" w:eastAsia="標楷體" w:hAnsi="標楷體" w:hint="eastAsia"/>
          <w:b/>
          <w:bCs/>
          <w:kern w:val="52"/>
          <w:szCs w:val="24"/>
        </w:rPr>
        <w:t>：</w:t>
      </w:r>
      <w:r w:rsidRPr="0089611A">
        <w:rPr>
          <w:rFonts w:ascii="標楷體" w:eastAsia="標楷體" w:hAnsi="標楷體" w:hint="eastAsia"/>
          <w:bCs/>
          <w:kern w:val="52"/>
          <w:szCs w:val="24"/>
        </w:rPr>
        <w:t>為維持業者營運虧損路線之正常營運，公共運輸處持續配合交通部「公路公共運輸服務升級計畫</w:t>
      </w:r>
      <w:proofErr w:type="gramStart"/>
      <w:r w:rsidRPr="0089611A">
        <w:rPr>
          <w:rFonts w:ascii="標楷體" w:eastAsia="標楷體" w:hAnsi="標楷體" w:hint="eastAsia"/>
          <w:bCs/>
          <w:kern w:val="52"/>
          <w:szCs w:val="24"/>
        </w:rPr>
        <w:t>（</w:t>
      </w:r>
      <w:proofErr w:type="gramEnd"/>
      <w:r w:rsidRPr="0089611A">
        <w:rPr>
          <w:rFonts w:ascii="標楷體" w:eastAsia="標楷體" w:hAnsi="標楷體" w:hint="eastAsia"/>
          <w:bCs/>
          <w:kern w:val="52"/>
          <w:szCs w:val="24"/>
        </w:rPr>
        <w:t>110</w:t>
      </w:r>
      <w:r w:rsidR="00202D8D">
        <w:rPr>
          <w:rFonts w:ascii="標楷體" w:eastAsia="標楷體" w:hAnsi="標楷體" w:hint="eastAsia"/>
          <w:bCs/>
          <w:kern w:val="52"/>
          <w:szCs w:val="24"/>
        </w:rPr>
        <w:t>－</w:t>
      </w:r>
      <w:r w:rsidRPr="0089611A">
        <w:rPr>
          <w:rFonts w:ascii="標楷體" w:eastAsia="標楷體" w:hAnsi="標楷體" w:hint="eastAsia"/>
          <w:bCs/>
          <w:kern w:val="52"/>
          <w:szCs w:val="24"/>
        </w:rPr>
        <w:t>113</w:t>
      </w:r>
    </w:p>
    <w:p w14:paraId="79705BFB" w14:textId="33C99235" w:rsidR="00CC5AFC" w:rsidRPr="00EE113F" w:rsidRDefault="00CC5AFC" w:rsidP="00AE147C">
      <w:pPr>
        <w:overflowPunct w:val="0"/>
        <w:spacing w:line="420" w:lineRule="exact"/>
        <w:jc w:val="both"/>
        <w:rPr>
          <w:rFonts w:ascii="標楷體" w:eastAsia="標楷體" w:hAnsi="標楷體"/>
          <w:bCs/>
          <w:spacing w:val="-2"/>
          <w:kern w:val="52"/>
          <w:szCs w:val="24"/>
        </w:rPr>
      </w:pPr>
      <w:r w:rsidRPr="00EE113F">
        <w:rPr>
          <w:rFonts w:ascii="標楷體" w:eastAsia="標楷體" w:hAnsi="標楷體" w:hint="eastAsia"/>
          <w:bCs/>
          <w:spacing w:val="-2"/>
          <w:kern w:val="52"/>
          <w:szCs w:val="24"/>
        </w:rPr>
        <w:t>年</w:t>
      </w:r>
      <w:proofErr w:type="gramStart"/>
      <w:r w:rsidRPr="00EE113F">
        <w:rPr>
          <w:rFonts w:ascii="標楷體" w:eastAsia="標楷體" w:hAnsi="標楷體" w:hint="eastAsia"/>
          <w:bCs/>
          <w:spacing w:val="-2"/>
          <w:kern w:val="52"/>
          <w:szCs w:val="24"/>
        </w:rPr>
        <w:t>）</w:t>
      </w:r>
      <w:proofErr w:type="gramEnd"/>
      <w:r w:rsidRPr="00EE113F">
        <w:rPr>
          <w:rFonts w:ascii="標楷體" w:eastAsia="標楷體" w:hAnsi="標楷體" w:hint="eastAsia"/>
          <w:bCs/>
          <w:spacing w:val="-2"/>
          <w:kern w:val="52"/>
          <w:szCs w:val="24"/>
        </w:rPr>
        <w:t>」，補助市區汽車客運業營運虧損，並依「臺北市聯營公車服務路線營運虧損補貼審議作業</w:t>
      </w:r>
      <w:r w:rsidRPr="00EE113F">
        <w:rPr>
          <w:rFonts w:ascii="標楷體" w:eastAsia="標楷體" w:hAnsi="標楷體" w:hint="eastAsia"/>
          <w:bCs/>
          <w:spacing w:val="-2"/>
          <w:kern w:val="52"/>
          <w:szCs w:val="24"/>
        </w:rPr>
        <w:lastRenderedPageBreak/>
        <w:t>規定」第9點第5款及「臺北市聯營公車服務性路線營運補貼計畫執行管理要點」（下稱營運補貼要點</w:t>
      </w:r>
      <w:r w:rsidRPr="00EE113F">
        <w:rPr>
          <w:rFonts w:ascii="標楷體" w:eastAsia="標楷體" w:hAnsi="標楷體"/>
          <w:bCs/>
          <w:spacing w:val="-2"/>
          <w:kern w:val="52"/>
          <w:szCs w:val="24"/>
        </w:rPr>
        <w:t>）</w:t>
      </w:r>
      <w:r w:rsidRPr="00EE113F">
        <w:rPr>
          <w:rFonts w:ascii="標楷體" w:eastAsia="標楷體" w:hAnsi="標楷體" w:hint="eastAsia"/>
          <w:bCs/>
          <w:spacing w:val="-2"/>
          <w:kern w:val="52"/>
          <w:szCs w:val="24"/>
        </w:rPr>
        <w:t>第4點第3款規定，規範單一路線虧損補貼上限，及針對發車誤點、脫班、</w:t>
      </w:r>
      <w:proofErr w:type="gramStart"/>
      <w:r w:rsidRPr="00EE113F">
        <w:rPr>
          <w:rFonts w:ascii="標楷體" w:eastAsia="標楷體" w:hAnsi="標楷體" w:hint="eastAsia"/>
          <w:bCs/>
          <w:spacing w:val="-2"/>
          <w:kern w:val="52"/>
          <w:szCs w:val="24"/>
        </w:rPr>
        <w:t>漏班及</w:t>
      </w:r>
      <w:proofErr w:type="gramEnd"/>
      <w:r w:rsidRPr="00EE113F">
        <w:rPr>
          <w:rFonts w:ascii="標楷體" w:eastAsia="標楷體" w:hAnsi="標楷體" w:hint="eastAsia"/>
          <w:bCs/>
          <w:spacing w:val="-2"/>
          <w:kern w:val="52"/>
          <w:szCs w:val="24"/>
        </w:rPr>
        <w:t>拒載乘客等違反補貼計畫情形予以扣款，以促使市區汽車客運業者提升服務品質。另依</w:t>
      </w:r>
      <w:r w:rsidRPr="00EE113F">
        <w:rPr>
          <w:rFonts w:ascii="標楷體" w:eastAsia="標楷體" w:hAnsi="標楷體"/>
          <w:bCs/>
          <w:spacing w:val="-2"/>
          <w:kern w:val="52"/>
          <w:szCs w:val="24"/>
        </w:rPr>
        <w:t>「</w:t>
      </w:r>
      <w:r w:rsidR="00EE113F" w:rsidRPr="00EE113F">
        <w:rPr>
          <w:rFonts w:ascii="標楷體" w:eastAsia="標楷體" w:hAnsi="標楷體" w:hint="eastAsia"/>
          <w:bCs/>
          <w:spacing w:val="-2"/>
          <w:kern w:val="52"/>
          <w:szCs w:val="24"/>
        </w:rPr>
        <w:t>臺北市政府交通局</w:t>
      </w:r>
      <w:r w:rsidRPr="00EE113F">
        <w:rPr>
          <w:rFonts w:ascii="標楷體" w:eastAsia="標楷體" w:hAnsi="標楷體"/>
          <w:bCs/>
          <w:spacing w:val="-2"/>
          <w:kern w:val="52"/>
          <w:szCs w:val="24"/>
        </w:rPr>
        <w:t>處理市區汽車客運業違反公路法第77條第1項事件統一裁罰基準」</w:t>
      </w:r>
      <w:r w:rsidRPr="00EE113F">
        <w:rPr>
          <w:rFonts w:ascii="標楷體" w:eastAsia="標楷體" w:hAnsi="標楷體" w:hint="eastAsia"/>
          <w:bCs/>
          <w:spacing w:val="-2"/>
          <w:kern w:val="52"/>
          <w:szCs w:val="24"/>
        </w:rPr>
        <w:t>（下稱違反公路法第7</w:t>
      </w:r>
      <w:r w:rsidRPr="00EE113F">
        <w:rPr>
          <w:rFonts w:ascii="標楷體" w:eastAsia="標楷體" w:hAnsi="標楷體"/>
          <w:bCs/>
          <w:spacing w:val="-2"/>
          <w:kern w:val="52"/>
          <w:szCs w:val="24"/>
        </w:rPr>
        <w:t>7</w:t>
      </w:r>
      <w:r w:rsidRPr="00EE113F">
        <w:rPr>
          <w:rFonts w:ascii="標楷體" w:eastAsia="標楷體" w:hAnsi="標楷體" w:hint="eastAsia"/>
          <w:bCs/>
          <w:spacing w:val="-2"/>
          <w:kern w:val="52"/>
          <w:szCs w:val="24"/>
        </w:rPr>
        <w:t>條第1項裁罰基準</w:t>
      </w:r>
      <w:r w:rsidRPr="00EE113F">
        <w:rPr>
          <w:rFonts w:ascii="標楷體" w:eastAsia="標楷體" w:hAnsi="標楷體"/>
          <w:bCs/>
          <w:spacing w:val="-2"/>
          <w:kern w:val="52"/>
          <w:szCs w:val="24"/>
        </w:rPr>
        <w:t>）</w:t>
      </w:r>
      <w:r w:rsidRPr="00EE113F">
        <w:rPr>
          <w:rFonts w:ascii="標楷體" w:eastAsia="標楷體" w:hAnsi="標楷體" w:hint="eastAsia"/>
          <w:bCs/>
          <w:spacing w:val="-2"/>
          <w:kern w:val="52"/>
          <w:szCs w:val="24"/>
        </w:rPr>
        <w:t>，如業者有未依核定時間或班距發車、未依核定路線行駛、無正當理由不讓乘客上車等情事，應予裁罰。經查公共運輸處</w:t>
      </w:r>
      <w:r w:rsidRPr="00EE113F">
        <w:rPr>
          <w:rFonts w:ascii="標楷體" w:eastAsia="標楷體" w:hAnsi="標楷體"/>
          <w:bCs/>
          <w:spacing w:val="-2"/>
          <w:kern w:val="52"/>
          <w:szCs w:val="24"/>
        </w:rPr>
        <w:t>110至113年總計補貼13家</w:t>
      </w:r>
      <w:r w:rsidRPr="00EE113F">
        <w:rPr>
          <w:rFonts w:ascii="標楷體" w:eastAsia="標楷體" w:hAnsi="標楷體" w:hint="eastAsia"/>
          <w:bCs/>
          <w:spacing w:val="-2"/>
          <w:kern w:val="52"/>
          <w:szCs w:val="24"/>
        </w:rPr>
        <w:t>客運</w:t>
      </w:r>
      <w:r w:rsidRPr="00EE113F">
        <w:rPr>
          <w:rFonts w:ascii="標楷體" w:eastAsia="標楷體" w:hAnsi="標楷體"/>
          <w:bCs/>
          <w:spacing w:val="-2"/>
          <w:kern w:val="52"/>
          <w:szCs w:val="24"/>
        </w:rPr>
        <w:t>業者</w:t>
      </w:r>
      <w:r w:rsidRPr="00EE113F">
        <w:rPr>
          <w:rFonts w:ascii="標楷體" w:eastAsia="標楷體" w:hAnsi="標楷體" w:hint="eastAsia"/>
          <w:bCs/>
          <w:spacing w:val="-2"/>
          <w:kern w:val="52"/>
          <w:szCs w:val="24"/>
        </w:rPr>
        <w:t>之</w:t>
      </w:r>
      <w:r w:rsidRPr="00EE113F">
        <w:rPr>
          <w:rFonts w:ascii="標楷體" w:eastAsia="標楷體" w:hAnsi="標楷體"/>
          <w:bCs/>
          <w:spacing w:val="-2"/>
          <w:kern w:val="52"/>
          <w:szCs w:val="24"/>
        </w:rPr>
        <w:t>185條路線</w:t>
      </w:r>
      <w:r w:rsidRPr="00EE113F">
        <w:rPr>
          <w:rFonts w:ascii="標楷體" w:eastAsia="標楷體" w:hAnsi="標楷體" w:hint="eastAsia"/>
          <w:bCs/>
          <w:spacing w:val="-2"/>
          <w:kern w:val="52"/>
          <w:szCs w:val="24"/>
        </w:rPr>
        <w:t>，補貼金額</w:t>
      </w:r>
      <w:r w:rsidRPr="00EE113F">
        <w:rPr>
          <w:rFonts w:ascii="標楷體" w:eastAsia="標楷體" w:hAnsi="標楷體"/>
          <w:bCs/>
          <w:spacing w:val="-2"/>
          <w:kern w:val="52"/>
          <w:szCs w:val="24"/>
        </w:rPr>
        <w:t>達13億6,289萬餘元</w:t>
      </w:r>
      <w:r w:rsidRPr="00EE113F">
        <w:rPr>
          <w:rFonts w:ascii="標楷體" w:eastAsia="標楷體" w:hAnsi="標楷體" w:hint="eastAsia"/>
          <w:bCs/>
          <w:spacing w:val="-2"/>
          <w:kern w:val="52"/>
          <w:szCs w:val="24"/>
        </w:rPr>
        <w:t>，其中551、681、303區、小15、小16、小3、棕5等7條路線，於112及</w:t>
      </w:r>
      <w:proofErr w:type="gramStart"/>
      <w:r w:rsidRPr="00EE113F">
        <w:rPr>
          <w:rFonts w:ascii="標楷體" w:eastAsia="標楷體" w:hAnsi="標楷體" w:hint="eastAsia"/>
          <w:bCs/>
          <w:spacing w:val="-2"/>
          <w:kern w:val="52"/>
          <w:szCs w:val="24"/>
        </w:rPr>
        <w:t>113年均達補貼</w:t>
      </w:r>
      <w:proofErr w:type="gramEnd"/>
      <w:r w:rsidRPr="00EE113F">
        <w:rPr>
          <w:rFonts w:ascii="標楷體" w:eastAsia="標楷體" w:hAnsi="標楷體" w:hint="eastAsia"/>
          <w:bCs/>
          <w:spacing w:val="-2"/>
          <w:kern w:val="52"/>
          <w:szCs w:val="24"/>
        </w:rPr>
        <w:t>金額上限門檻500萬元，且6</w:t>
      </w:r>
      <w:r w:rsidRPr="00EE113F">
        <w:rPr>
          <w:rFonts w:ascii="標楷體" w:eastAsia="標楷體" w:hAnsi="標楷體"/>
          <w:bCs/>
          <w:spacing w:val="-2"/>
          <w:kern w:val="52"/>
          <w:szCs w:val="24"/>
        </w:rPr>
        <w:t>81</w:t>
      </w:r>
      <w:r w:rsidRPr="00EE113F">
        <w:rPr>
          <w:rFonts w:ascii="標楷體" w:eastAsia="標楷體" w:hAnsi="標楷體" w:hint="eastAsia"/>
          <w:bCs/>
          <w:spacing w:val="-2"/>
          <w:kern w:val="52"/>
          <w:szCs w:val="24"/>
        </w:rPr>
        <w:t>路線核有撥付業者補貼金額超過規定上限之情事；另</w:t>
      </w:r>
      <w:proofErr w:type="gramStart"/>
      <w:r w:rsidRPr="00EE113F">
        <w:rPr>
          <w:rFonts w:ascii="標楷體" w:eastAsia="標楷體" w:hAnsi="標楷體" w:hint="eastAsia"/>
          <w:bCs/>
          <w:spacing w:val="-2"/>
          <w:kern w:val="52"/>
          <w:szCs w:val="24"/>
        </w:rPr>
        <w:t>經抽核</w:t>
      </w:r>
      <w:proofErr w:type="gramEnd"/>
      <w:r w:rsidRPr="00EE113F">
        <w:rPr>
          <w:rFonts w:ascii="標楷體" w:eastAsia="標楷體" w:hAnsi="標楷體" w:hint="eastAsia"/>
          <w:bCs/>
          <w:spacing w:val="-2"/>
          <w:kern w:val="52"/>
          <w:szCs w:val="24"/>
        </w:rPr>
        <w:t>該處核算市區客運營運虧損補貼資料，</w:t>
      </w:r>
      <w:proofErr w:type="gramStart"/>
      <w:r w:rsidRPr="00EE113F">
        <w:rPr>
          <w:rFonts w:ascii="標楷體" w:eastAsia="標楷體" w:hAnsi="標楷體" w:hint="eastAsia"/>
          <w:bCs/>
          <w:spacing w:val="-2"/>
          <w:kern w:val="52"/>
          <w:szCs w:val="24"/>
        </w:rPr>
        <w:t>與依違反</w:t>
      </w:r>
      <w:proofErr w:type="gramEnd"/>
      <w:r w:rsidRPr="00EE113F">
        <w:rPr>
          <w:rFonts w:ascii="標楷體" w:eastAsia="標楷體" w:hAnsi="標楷體" w:hint="eastAsia"/>
          <w:bCs/>
          <w:spacing w:val="-2"/>
          <w:kern w:val="52"/>
          <w:szCs w:val="24"/>
        </w:rPr>
        <w:t>公路法第7</w:t>
      </w:r>
      <w:r w:rsidRPr="00EE113F">
        <w:rPr>
          <w:rFonts w:ascii="標楷體" w:eastAsia="標楷體" w:hAnsi="標楷體"/>
          <w:bCs/>
          <w:spacing w:val="-2"/>
          <w:kern w:val="52"/>
          <w:szCs w:val="24"/>
        </w:rPr>
        <w:t>7</w:t>
      </w:r>
      <w:r w:rsidRPr="00EE113F">
        <w:rPr>
          <w:rFonts w:ascii="標楷體" w:eastAsia="標楷體" w:hAnsi="標楷體" w:hint="eastAsia"/>
          <w:bCs/>
          <w:spacing w:val="-2"/>
          <w:kern w:val="52"/>
          <w:szCs w:val="24"/>
        </w:rPr>
        <w:t>條第1項裁罰基準裁罰資料，就112年11月至113年10月間市區客運發生「發車誤點、脫班、</w:t>
      </w:r>
      <w:proofErr w:type="gramStart"/>
      <w:r w:rsidRPr="00EE113F">
        <w:rPr>
          <w:rFonts w:ascii="標楷體" w:eastAsia="標楷體" w:hAnsi="標楷體" w:hint="eastAsia"/>
          <w:bCs/>
          <w:spacing w:val="-2"/>
          <w:kern w:val="52"/>
          <w:szCs w:val="24"/>
        </w:rPr>
        <w:t>漏班</w:t>
      </w:r>
      <w:proofErr w:type="gramEnd"/>
      <w:r w:rsidRPr="00EE113F">
        <w:rPr>
          <w:rFonts w:ascii="標楷體" w:eastAsia="標楷體" w:hAnsi="標楷體" w:hint="eastAsia"/>
          <w:bCs/>
          <w:spacing w:val="-2"/>
          <w:kern w:val="52"/>
          <w:szCs w:val="24"/>
        </w:rPr>
        <w:t>」（即未依核定時間或班距發車</w:t>
      </w:r>
      <w:r w:rsidRPr="00EE113F">
        <w:rPr>
          <w:rFonts w:ascii="標楷體" w:eastAsia="標楷體" w:hAnsi="標楷體"/>
          <w:bCs/>
          <w:spacing w:val="-2"/>
          <w:kern w:val="52"/>
          <w:szCs w:val="24"/>
        </w:rPr>
        <w:t>）</w:t>
      </w:r>
      <w:r w:rsidRPr="00EE113F">
        <w:rPr>
          <w:rFonts w:ascii="標楷體" w:eastAsia="標楷體" w:hAnsi="標楷體" w:hint="eastAsia"/>
          <w:bCs/>
          <w:spacing w:val="-2"/>
          <w:kern w:val="52"/>
          <w:szCs w:val="24"/>
        </w:rPr>
        <w:t>、「未依核定路線行駛」、「拒載乘客」（即無正當理由不讓乘客上車</w:t>
      </w:r>
      <w:r w:rsidRPr="00EE113F">
        <w:rPr>
          <w:rFonts w:ascii="標楷體" w:eastAsia="標楷體" w:hAnsi="標楷體"/>
          <w:bCs/>
          <w:spacing w:val="-2"/>
          <w:kern w:val="52"/>
          <w:szCs w:val="24"/>
        </w:rPr>
        <w:t>）</w:t>
      </w:r>
      <w:r w:rsidRPr="00EE113F">
        <w:rPr>
          <w:rFonts w:ascii="標楷體" w:eastAsia="標楷體" w:hAnsi="標楷體" w:hint="eastAsia"/>
          <w:bCs/>
          <w:spacing w:val="-2"/>
          <w:kern w:val="52"/>
          <w:szCs w:val="24"/>
        </w:rPr>
        <w:t>等情形相互勾</w:t>
      </w:r>
      <w:proofErr w:type="gramStart"/>
      <w:r w:rsidRPr="00EE113F">
        <w:rPr>
          <w:rFonts w:ascii="標楷體" w:eastAsia="標楷體" w:hAnsi="標楷體" w:hint="eastAsia"/>
          <w:bCs/>
          <w:spacing w:val="-2"/>
          <w:kern w:val="52"/>
          <w:szCs w:val="24"/>
        </w:rPr>
        <w:t>稽</w:t>
      </w:r>
      <w:proofErr w:type="gramEnd"/>
      <w:r w:rsidRPr="00EE113F">
        <w:rPr>
          <w:rFonts w:ascii="標楷體" w:eastAsia="標楷體" w:hAnsi="標楷體" w:hint="eastAsia"/>
          <w:bCs/>
          <w:spacing w:val="-2"/>
          <w:kern w:val="52"/>
          <w:szCs w:val="24"/>
        </w:rPr>
        <w:t>，發現客運業者有前開違規事實，惟該處漏未依營運補貼要點或違反公路法第7</w:t>
      </w:r>
      <w:r w:rsidRPr="00EE113F">
        <w:rPr>
          <w:rFonts w:ascii="標楷體" w:eastAsia="標楷體" w:hAnsi="標楷體"/>
          <w:bCs/>
          <w:spacing w:val="-2"/>
          <w:kern w:val="52"/>
          <w:szCs w:val="24"/>
        </w:rPr>
        <w:t>7</w:t>
      </w:r>
      <w:r w:rsidRPr="00EE113F">
        <w:rPr>
          <w:rFonts w:ascii="標楷體" w:eastAsia="標楷體" w:hAnsi="標楷體" w:hint="eastAsia"/>
          <w:bCs/>
          <w:spacing w:val="-2"/>
          <w:kern w:val="52"/>
          <w:szCs w:val="24"/>
        </w:rPr>
        <w:t>條第1項裁罰基準辦理等情事，經函請交通局督促公共運輸處檢討改善。據復：將函請營運虧損補貼金額持續達規定上限之路線業者妥適調整營運方式，避免虧損情形持續惡化，並收回6</w:t>
      </w:r>
      <w:r w:rsidRPr="00EE113F">
        <w:rPr>
          <w:rFonts w:ascii="標楷體" w:eastAsia="標楷體" w:hAnsi="標楷體"/>
          <w:bCs/>
          <w:spacing w:val="-2"/>
          <w:kern w:val="52"/>
          <w:szCs w:val="24"/>
        </w:rPr>
        <w:t>81</w:t>
      </w:r>
      <w:r w:rsidRPr="00EE113F">
        <w:rPr>
          <w:rFonts w:ascii="標楷體" w:eastAsia="標楷體" w:hAnsi="標楷體" w:hint="eastAsia"/>
          <w:bCs/>
          <w:spacing w:val="-2"/>
          <w:kern w:val="52"/>
          <w:szCs w:val="24"/>
        </w:rPr>
        <w:t>路線</w:t>
      </w:r>
      <w:proofErr w:type="gramStart"/>
      <w:r w:rsidRPr="00EE113F">
        <w:rPr>
          <w:rFonts w:ascii="標楷體" w:eastAsia="標楷體" w:hAnsi="標楷體" w:hint="eastAsia"/>
          <w:bCs/>
          <w:spacing w:val="-2"/>
          <w:kern w:val="52"/>
          <w:szCs w:val="24"/>
        </w:rPr>
        <w:t>溢</w:t>
      </w:r>
      <w:proofErr w:type="gramEnd"/>
      <w:r w:rsidRPr="00EE113F">
        <w:rPr>
          <w:rFonts w:ascii="標楷體" w:eastAsia="標楷體" w:hAnsi="標楷體" w:hint="eastAsia"/>
          <w:bCs/>
          <w:spacing w:val="-2"/>
          <w:kern w:val="52"/>
          <w:szCs w:val="24"/>
        </w:rPr>
        <w:t>撥款1</w:t>
      </w:r>
      <w:r w:rsidRPr="00EE113F">
        <w:rPr>
          <w:rFonts w:ascii="標楷體" w:eastAsia="標楷體" w:hAnsi="標楷體"/>
          <w:bCs/>
          <w:spacing w:val="-2"/>
          <w:kern w:val="52"/>
          <w:szCs w:val="24"/>
        </w:rPr>
        <w:t>47</w:t>
      </w:r>
      <w:r w:rsidRPr="00EE113F">
        <w:rPr>
          <w:rFonts w:ascii="標楷體" w:eastAsia="標楷體" w:hAnsi="標楷體" w:hint="eastAsia"/>
          <w:bCs/>
          <w:spacing w:val="-2"/>
          <w:kern w:val="52"/>
          <w:szCs w:val="24"/>
        </w:rPr>
        <w:t>萬餘元；另嗣後如依違反公路法第7</w:t>
      </w:r>
      <w:r w:rsidRPr="00EE113F">
        <w:rPr>
          <w:rFonts w:ascii="標楷體" w:eastAsia="標楷體" w:hAnsi="標楷體"/>
          <w:bCs/>
          <w:spacing w:val="-2"/>
          <w:kern w:val="52"/>
          <w:szCs w:val="24"/>
        </w:rPr>
        <w:t>7</w:t>
      </w:r>
      <w:r w:rsidRPr="00EE113F">
        <w:rPr>
          <w:rFonts w:ascii="標楷體" w:eastAsia="標楷體" w:hAnsi="標楷體" w:hint="eastAsia"/>
          <w:bCs/>
          <w:spacing w:val="-2"/>
          <w:kern w:val="52"/>
          <w:szCs w:val="24"/>
        </w:rPr>
        <w:t>條第1項裁罰基準就未依核定時間或班距發車等情事</w:t>
      </w:r>
      <w:proofErr w:type="gramStart"/>
      <w:r w:rsidRPr="00EE113F">
        <w:rPr>
          <w:rFonts w:ascii="標楷體" w:eastAsia="標楷體" w:hAnsi="標楷體" w:hint="eastAsia"/>
          <w:bCs/>
          <w:spacing w:val="-2"/>
          <w:kern w:val="52"/>
          <w:szCs w:val="24"/>
        </w:rPr>
        <w:t>裁罰時</w:t>
      </w:r>
      <w:proofErr w:type="gramEnd"/>
      <w:r w:rsidRPr="00EE113F">
        <w:rPr>
          <w:rFonts w:ascii="標楷體" w:eastAsia="標楷體" w:hAnsi="標楷體" w:hint="eastAsia"/>
          <w:bCs/>
          <w:spacing w:val="-2"/>
          <w:kern w:val="52"/>
          <w:szCs w:val="24"/>
        </w:rPr>
        <w:t>，將按營運補貼要點規定扣減補貼款，又如依營運補貼要點規定核算發車誤點、脫班、</w:t>
      </w:r>
      <w:proofErr w:type="gramStart"/>
      <w:r w:rsidRPr="00EE113F">
        <w:rPr>
          <w:rFonts w:ascii="標楷體" w:eastAsia="標楷體" w:hAnsi="標楷體" w:hint="eastAsia"/>
          <w:bCs/>
          <w:spacing w:val="-2"/>
          <w:kern w:val="52"/>
          <w:szCs w:val="24"/>
        </w:rPr>
        <w:t>漏班等</w:t>
      </w:r>
      <w:proofErr w:type="gramEnd"/>
      <w:r w:rsidRPr="00EE113F">
        <w:rPr>
          <w:rFonts w:ascii="標楷體" w:eastAsia="標楷體" w:hAnsi="標楷體" w:hint="eastAsia"/>
          <w:bCs/>
          <w:spacing w:val="-2"/>
          <w:kern w:val="52"/>
          <w:szCs w:val="24"/>
        </w:rPr>
        <w:t>情事之補貼扣款時，一併檢討有無公路法第7</w:t>
      </w:r>
      <w:r w:rsidRPr="00EE113F">
        <w:rPr>
          <w:rFonts w:ascii="標楷體" w:eastAsia="標楷體" w:hAnsi="標楷體"/>
          <w:bCs/>
          <w:spacing w:val="-2"/>
          <w:kern w:val="52"/>
          <w:szCs w:val="24"/>
        </w:rPr>
        <w:t>7</w:t>
      </w:r>
      <w:r w:rsidRPr="00EE113F">
        <w:rPr>
          <w:rFonts w:ascii="標楷體" w:eastAsia="標楷體" w:hAnsi="標楷體" w:hint="eastAsia"/>
          <w:bCs/>
          <w:spacing w:val="-2"/>
          <w:kern w:val="52"/>
          <w:szCs w:val="24"/>
        </w:rPr>
        <w:t>條第1項裁罰基準之適用。</w:t>
      </w:r>
    </w:p>
    <w:p w14:paraId="3A81D33D" w14:textId="08D9F4EC" w:rsidR="00432984" w:rsidRDefault="00CC5AFC" w:rsidP="003F038E">
      <w:pPr>
        <w:overflowPunct w:val="0"/>
        <w:spacing w:beforeLines="10" w:before="36" w:line="452" w:lineRule="exact"/>
        <w:ind w:firstLineChars="200" w:firstLine="640"/>
        <w:jc w:val="both"/>
        <w:rPr>
          <w:rFonts w:ascii="標楷體" w:eastAsia="標楷體" w:hAnsi="標楷體"/>
          <w:bCs/>
          <w:kern w:val="52"/>
          <w:szCs w:val="24"/>
        </w:rPr>
      </w:pPr>
      <w:bookmarkStart w:id="51" w:name="_Hlk203663550"/>
      <w:r>
        <w:rPr>
          <w:rFonts w:hAnsi="標楷體"/>
          <w:noProof/>
          <w:sz w:val="32"/>
          <w:szCs w:val="32"/>
        </w:rPr>
        <mc:AlternateContent>
          <mc:Choice Requires="wps">
            <w:drawing>
              <wp:anchor distT="0" distB="0" distL="114300" distR="114300" simplePos="0" relativeHeight="251768832" behindDoc="1" locked="0" layoutInCell="1" allowOverlap="0" wp14:anchorId="695AAAB4" wp14:editId="0B02E379">
                <wp:simplePos x="0" y="0"/>
                <wp:positionH relativeFrom="margin">
                  <wp:posOffset>3366135</wp:posOffset>
                </wp:positionH>
                <wp:positionV relativeFrom="page">
                  <wp:posOffset>8115300</wp:posOffset>
                </wp:positionV>
                <wp:extent cx="3009900" cy="1318260"/>
                <wp:effectExtent l="0" t="0" r="0" b="0"/>
                <wp:wrapTight wrapText="bothSides">
                  <wp:wrapPolygon edited="0">
                    <wp:start x="410" y="0"/>
                    <wp:lineTo x="410" y="21225"/>
                    <wp:lineTo x="21053" y="21225"/>
                    <wp:lineTo x="21053" y="0"/>
                    <wp:lineTo x="410" y="0"/>
                  </wp:wrapPolygon>
                </wp:wrapTight>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1318260"/>
                        </a:xfrm>
                        <a:prstGeom prst="rect">
                          <a:avLst/>
                        </a:prstGeom>
                        <a:noFill/>
                        <a:ln w="9525">
                          <a:noFill/>
                          <a:miter lim="800000"/>
                          <a:headEnd/>
                          <a:tailEnd/>
                        </a:ln>
                      </wps:spPr>
                      <wps:txbx>
                        <w:txbxContent>
                          <w:p w14:paraId="753659D2" w14:textId="77777777" w:rsidR="00CC5AFC" w:rsidRPr="00610C5E" w:rsidRDefault="00CC5AFC" w:rsidP="00C254C1">
                            <w:pPr>
                              <w:spacing w:line="280" w:lineRule="exact"/>
                              <w:ind w:firstLineChars="40" w:firstLine="96"/>
                              <w:jc w:val="center"/>
                              <w:rPr>
                                <w:rFonts w:ascii="標楷體" w:eastAsia="標楷體" w:hAnsi="標楷體"/>
                                <w:b/>
                                <w:snapToGrid w:val="0"/>
                                <w:kern w:val="0"/>
                                <w:szCs w:val="24"/>
                              </w:rPr>
                            </w:pPr>
                            <w:r w:rsidRPr="00610C5E">
                              <w:rPr>
                                <w:rFonts w:ascii="標楷體" w:eastAsia="標楷體" w:hAnsi="標楷體"/>
                                <w:b/>
                                <w:snapToGrid w:val="0"/>
                                <w:kern w:val="0"/>
                                <w:szCs w:val="24"/>
                              </w:rPr>
                              <w:t>表</w:t>
                            </w:r>
                            <w:r>
                              <w:rPr>
                                <w:rFonts w:ascii="標楷體" w:eastAsia="標楷體" w:hAnsi="標楷體"/>
                                <w:b/>
                                <w:snapToGrid w:val="0"/>
                                <w:kern w:val="0"/>
                                <w:szCs w:val="24"/>
                              </w:rPr>
                              <w:t>4</w:t>
                            </w:r>
                            <w:r w:rsidRPr="00610C5E">
                              <w:rPr>
                                <w:rFonts w:ascii="標楷體" w:eastAsia="標楷體" w:hAnsi="標楷體"/>
                                <w:b/>
                                <w:snapToGrid w:val="0"/>
                                <w:kern w:val="0"/>
                                <w:szCs w:val="24"/>
                              </w:rPr>
                              <w:t xml:space="preserve"> 臺北市市區</w:t>
                            </w:r>
                            <w:r w:rsidRPr="00610C5E">
                              <w:rPr>
                                <w:rFonts w:ascii="標楷體" w:eastAsia="標楷體" w:hAnsi="標楷體" w:hint="eastAsia"/>
                                <w:b/>
                                <w:snapToGrid w:val="0"/>
                                <w:kern w:val="0"/>
                                <w:szCs w:val="24"/>
                              </w:rPr>
                              <w:t>汽</w:t>
                            </w:r>
                            <w:r w:rsidRPr="00610C5E">
                              <w:rPr>
                                <w:rFonts w:ascii="標楷體" w:eastAsia="標楷體" w:hAnsi="標楷體"/>
                                <w:b/>
                                <w:snapToGrid w:val="0"/>
                                <w:kern w:val="0"/>
                                <w:szCs w:val="24"/>
                              </w:rPr>
                              <w:t>車</w:t>
                            </w:r>
                            <w:r w:rsidRPr="00610C5E">
                              <w:rPr>
                                <w:rFonts w:ascii="標楷體" w:eastAsia="標楷體" w:hAnsi="標楷體" w:hint="eastAsia"/>
                                <w:b/>
                                <w:snapToGrid w:val="0"/>
                                <w:kern w:val="0"/>
                                <w:szCs w:val="24"/>
                              </w:rPr>
                              <w:t>客</w:t>
                            </w:r>
                            <w:r w:rsidRPr="00610C5E">
                              <w:rPr>
                                <w:rFonts w:ascii="標楷體" w:eastAsia="標楷體" w:hAnsi="標楷體"/>
                                <w:b/>
                                <w:snapToGrid w:val="0"/>
                                <w:kern w:val="0"/>
                                <w:szCs w:val="24"/>
                              </w:rPr>
                              <w:t>運</w:t>
                            </w:r>
                            <w:r w:rsidRPr="00610C5E">
                              <w:rPr>
                                <w:rFonts w:ascii="標楷體" w:eastAsia="標楷體" w:hAnsi="標楷體" w:hint="eastAsia"/>
                                <w:b/>
                                <w:snapToGrid w:val="0"/>
                                <w:kern w:val="0"/>
                                <w:szCs w:val="24"/>
                              </w:rPr>
                              <w:t>交</w:t>
                            </w:r>
                            <w:r w:rsidRPr="00610C5E">
                              <w:rPr>
                                <w:rFonts w:ascii="標楷體" w:eastAsia="標楷體" w:hAnsi="標楷體"/>
                                <w:b/>
                                <w:snapToGrid w:val="0"/>
                                <w:kern w:val="0"/>
                                <w:szCs w:val="24"/>
                              </w:rPr>
                              <w:t>通事故</w:t>
                            </w:r>
                            <w:r w:rsidRPr="00610C5E">
                              <w:rPr>
                                <w:rFonts w:ascii="標楷體" w:eastAsia="標楷體" w:hAnsi="標楷體" w:hint="eastAsia"/>
                                <w:b/>
                                <w:snapToGrid w:val="0"/>
                                <w:kern w:val="0"/>
                                <w:szCs w:val="24"/>
                              </w:rPr>
                              <w:t>情</w:t>
                            </w:r>
                            <w:r w:rsidRPr="00610C5E">
                              <w:rPr>
                                <w:rFonts w:ascii="標楷體" w:eastAsia="標楷體" w:hAnsi="標楷體"/>
                                <w:b/>
                                <w:snapToGrid w:val="0"/>
                                <w:kern w:val="0"/>
                                <w:szCs w:val="24"/>
                              </w:rPr>
                              <w:t>形</w:t>
                            </w:r>
                          </w:p>
                          <w:p w14:paraId="4120B7EA" w14:textId="77777777" w:rsidR="00CC5AFC" w:rsidRPr="00E65601" w:rsidRDefault="00CC5AFC" w:rsidP="00CC5AFC">
                            <w:pPr>
                              <w:spacing w:beforeLines="10" w:before="36" w:line="200" w:lineRule="exact"/>
                              <w:ind w:rightChars="37" w:right="89"/>
                              <w:jc w:val="right"/>
                              <w:rPr>
                                <w:rFonts w:ascii="標楷體" w:hAnsi="標楷體"/>
                                <w:b/>
                                <w:sz w:val="20"/>
                              </w:rPr>
                            </w:pPr>
                            <w:r w:rsidRPr="00E65601">
                              <w:rPr>
                                <w:rFonts w:ascii="標楷體" w:eastAsia="標楷體" w:hAnsi="標楷體"/>
                                <w:sz w:val="20"/>
                                <w:shd w:val="clear" w:color="auto" w:fill="FFFFFF"/>
                              </w:rPr>
                              <w:t>單位：</w:t>
                            </w:r>
                            <w:r w:rsidRPr="00E65601">
                              <w:rPr>
                                <w:rFonts w:ascii="標楷體" w:eastAsia="標楷體" w:hAnsi="標楷體" w:hint="eastAsia"/>
                                <w:sz w:val="20"/>
                                <w:shd w:val="clear" w:color="auto" w:fill="FFFFFF"/>
                              </w:rPr>
                              <w:t>件</w:t>
                            </w:r>
                            <w:r w:rsidRPr="00E65601">
                              <w:rPr>
                                <w:rFonts w:ascii="標楷體" w:eastAsia="標楷體" w:hAnsi="標楷體"/>
                                <w:sz w:val="20"/>
                                <w:shd w:val="clear" w:color="auto" w:fill="FFFFFF"/>
                              </w:rPr>
                              <w:t>、人</w:t>
                            </w:r>
                          </w:p>
                          <w:tbl>
                            <w:tblPr>
                              <w:tblW w:w="4935" w:type="pct"/>
                              <w:tblInd w:w="79" w:type="dxa"/>
                              <w:tblCellMar>
                                <w:left w:w="10" w:type="dxa"/>
                                <w:right w:w="10" w:type="dxa"/>
                              </w:tblCellMar>
                              <w:tblLook w:val="0000" w:firstRow="0" w:lastRow="0" w:firstColumn="0" w:lastColumn="0" w:noHBand="0" w:noVBand="0"/>
                            </w:tblPr>
                            <w:tblGrid>
                              <w:gridCol w:w="1314"/>
                              <w:gridCol w:w="767"/>
                              <w:gridCol w:w="768"/>
                              <w:gridCol w:w="768"/>
                              <w:gridCol w:w="768"/>
                            </w:tblGrid>
                            <w:tr w:rsidR="00CC5AFC" w14:paraId="2A818FFA" w14:textId="77777777" w:rsidTr="00824CD6">
                              <w:trPr>
                                <w:trHeight w:hRule="exact" w:val="284"/>
                                <w:tblHeader/>
                              </w:trPr>
                              <w:tc>
                                <w:tcPr>
                                  <w:tcW w:w="13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C51C5" w14:textId="77777777" w:rsidR="00CC5AFC" w:rsidRPr="00F675DA" w:rsidRDefault="00CC5AFC" w:rsidP="00824CD6">
                                  <w:pPr>
                                    <w:spacing w:line="200" w:lineRule="exact"/>
                                    <w:jc w:val="center"/>
                                    <w:rPr>
                                      <w:rFonts w:ascii="標楷體" w:eastAsia="標楷體" w:hAnsi="標楷體"/>
                                      <w:kern w:val="0"/>
                                      <w:sz w:val="20"/>
                                    </w:rPr>
                                  </w:pPr>
                                  <w:r w:rsidRPr="00F675DA">
                                    <w:rPr>
                                      <w:rFonts w:ascii="標楷體" w:eastAsia="標楷體" w:hAnsi="標楷體" w:hint="eastAsia"/>
                                      <w:kern w:val="0"/>
                                      <w:sz w:val="20"/>
                                    </w:rPr>
                                    <w:t xml:space="preserve">年    </w:t>
                                  </w:r>
                                  <w:r w:rsidRPr="00F675DA">
                                    <w:rPr>
                                      <w:rFonts w:ascii="標楷體" w:eastAsia="標楷體" w:hAnsi="標楷體"/>
                                      <w:kern w:val="0"/>
                                      <w:sz w:val="20"/>
                                    </w:rPr>
                                    <w:t>度</w:t>
                                  </w:r>
                                </w:p>
                              </w:tc>
                              <w:tc>
                                <w:tcPr>
                                  <w:tcW w:w="7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9AA29" w14:textId="77777777" w:rsidR="00CC5AFC" w:rsidRPr="00F675DA" w:rsidRDefault="00CC5AFC" w:rsidP="00824CD6">
                                  <w:pPr>
                                    <w:spacing w:line="200" w:lineRule="exact"/>
                                    <w:jc w:val="center"/>
                                    <w:rPr>
                                      <w:rFonts w:ascii="標楷體" w:eastAsia="標楷體" w:hAnsi="標楷體"/>
                                      <w:kern w:val="0"/>
                                      <w:sz w:val="20"/>
                                    </w:rPr>
                                  </w:pPr>
                                  <w:r w:rsidRPr="00F675DA">
                                    <w:rPr>
                                      <w:rFonts w:ascii="標楷體" w:eastAsia="標楷體" w:hAnsi="標楷體" w:hint="eastAsia"/>
                                      <w:kern w:val="0"/>
                                      <w:sz w:val="20"/>
                                    </w:rPr>
                                    <w:t>1</w:t>
                                  </w:r>
                                  <w:r w:rsidRPr="00F675DA">
                                    <w:rPr>
                                      <w:rFonts w:ascii="標楷體" w:eastAsia="標楷體" w:hAnsi="標楷體"/>
                                      <w:kern w:val="0"/>
                                      <w:sz w:val="20"/>
                                    </w:rPr>
                                    <w:t>10</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A1DE8E" w14:textId="77777777" w:rsidR="00CC5AFC" w:rsidRPr="00F675DA" w:rsidRDefault="00CC5AFC" w:rsidP="00824CD6">
                                  <w:pPr>
                                    <w:spacing w:line="200" w:lineRule="exact"/>
                                    <w:jc w:val="center"/>
                                    <w:rPr>
                                      <w:rFonts w:ascii="標楷體" w:eastAsia="標楷體" w:hAnsi="標楷體"/>
                                      <w:kern w:val="0"/>
                                      <w:sz w:val="20"/>
                                    </w:rPr>
                                  </w:pPr>
                                  <w:r w:rsidRPr="00F675DA">
                                    <w:rPr>
                                      <w:rFonts w:ascii="標楷體" w:eastAsia="標楷體" w:hAnsi="標楷體" w:hint="eastAsia"/>
                                      <w:kern w:val="0"/>
                                      <w:sz w:val="20"/>
                                    </w:rPr>
                                    <w:t>111</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3CA7F" w14:textId="77777777" w:rsidR="00CC5AFC" w:rsidRPr="00F675DA" w:rsidRDefault="00CC5AFC" w:rsidP="00824CD6">
                                  <w:pPr>
                                    <w:spacing w:line="200" w:lineRule="exact"/>
                                    <w:jc w:val="center"/>
                                    <w:rPr>
                                      <w:rFonts w:ascii="標楷體" w:eastAsia="標楷體" w:hAnsi="標楷體"/>
                                      <w:kern w:val="0"/>
                                      <w:sz w:val="20"/>
                                    </w:rPr>
                                  </w:pPr>
                                  <w:r w:rsidRPr="00F675DA">
                                    <w:rPr>
                                      <w:rFonts w:ascii="標楷體" w:eastAsia="標楷體" w:hAnsi="標楷體" w:hint="eastAsia"/>
                                      <w:kern w:val="0"/>
                                      <w:sz w:val="20"/>
                                    </w:rPr>
                                    <w:t>112</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C4CF7" w14:textId="77777777" w:rsidR="00CC5AFC" w:rsidRPr="00F675DA" w:rsidRDefault="00CC5AFC" w:rsidP="00824CD6">
                                  <w:pPr>
                                    <w:spacing w:line="200" w:lineRule="exact"/>
                                    <w:jc w:val="center"/>
                                    <w:rPr>
                                      <w:rFonts w:ascii="標楷體" w:eastAsia="標楷體" w:hAnsi="標楷體"/>
                                      <w:sz w:val="20"/>
                                    </w:rPr>
                                  </w:pPr>
                                  <w:r w:rsidRPr="00F675DA">
                                    <w:rPr>
                                      <w:rFonts w:ascii="標楷體" w:eastAsia="標楷體" w:hAnsi="標楷體" w:hint="eastAsia"/>
                                      <w:sz w:val="20"/>
                                    </w:rPr>
                                    <w:t>113</w:t>
                                  </w:r>
                                </w:p>
                              </w:tc>
                            </w:tr>
                            <w:tr w:rsidR="00CC5AFC" w14:paraId="58217B7F" w14:textId="77777777" w:rsidTr="00824CD6">
                              <w:trPr>
                                <w:trHeight w:hRule="exact" w:val="284"/>
                              </w:trPr>
                              <w:tc>
                                <w:tcPr>
                                  <w:tcW w:w="13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D2131" w14:textId="77777777" w:rsidR="00CC5AFC" w:rsidRPr="00E65601" w:rsidRDefault="00CC5AFC" w:rsidP="00824CD6">
                                  <w:pPr>
                                    <w:spacing w:line="200" w:lineRule="exact"/>
                                    <w:jc w:val="center"/>
                                    <w:rPr>
                                      <w:rFonts w:ascii="標楷體" w:eastAsia="標楷體" w:hAnsi="標楷體"/>
                                      <w:kern w:val="0"/>
                                      <w:sz w:val="20"/>
                                      <w:shd w:val="clear" w:color="auto" w:fill="FFFFFF"/>
                                    </w:rPr>
                                  </w:pPr>
                                  <w:r w:rsidRPr="00E65601">
                                    <w:rPr>
                                      <w:rFonts w:ascii="標楷體" w:eastAsia="標楷體" w:hAnsi="標楷體" w:hint="eastAsia"/>
                                      <w:kern w:val="0"/>
                                      <w:sz w:val="20"/>
                                      <w:shd w:val="clear" w:color="auto" w:fill="FFFFFF"/>
                                    </w:rPr>
                                    <w:t>事故</w:t>
                                  </w:r>
                                  <w:r w:rsidRPr="00E65601">
                                    <w:rPr>
                                      <w:rFonts w:ascii="標楷體" w:eastAsia="標楷體" w:hAnsi="標楷體"/>
                                      <w:kern w:val="0"/>
                                      <w:sz w:val="20"/>
                                      <w:shd w:val="clear" w:color="auto" w:fill="FFFFFF"/>
                                    </w:rPr>
                                    <w:t>件數</w:t>
                                  </w:r>
                                </w:p>
                              </w:tc>
                              <w:tc>
                                <w:tcPr>
                                  <w:tcW w:w="7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F378F"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232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B32BDD"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242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678A1"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344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E8CEF"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340 </w:t>
                                  </w:r>
                                </w:p>
                              </w:tc>
                            </w:tr>
                            <w:tr w:rsidR="00CC5AFC" w14:paraId="4FC177D5" w14:textId="77777777" w:rsidTr="00824CD6">
                              <w:trPr>
                                <w:trHeight w:hRule="exact" w:val="284"/>
                              </w:trPr>
                              <w:tc>
                                <w:tcPr>
                                  <w:tcW w:w="13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BACB4" w14:textId="77777777" w:rsidR="00CC5AFC" w:rsidRPr="00E65601" w:rsidRDefault="00CC5AFC" w:rsidP="00824CD6">
                                  <w:pPr>
                                    <w:spacing w:line="200" w:lineRule="exact"/>
                                    <w:jc w:val="center"/>
                                    <w:rPr>
                                      <w:rFonts w:ascii="標楷體" w:eastAsia="標楷體" w:hAnsi="標楷體"/>
                                      <w:kern w:val="0"/>
                                      <w:sz w:val="20"/>
                                      <w:shd w:val="clear" w:color="auto" w:fill="FFFFFF"/>
                                    </w:rPr>
                                  </w:pPr>
                                  <w:r w:rsidRPr="00E65601">
                                    <w:rPr>
                                      <w:rFonts w:ascii="標楷體" w:eastAsia="標楷體" w:hAnsi="標楷體" w:hint="eastAsia"/>
                                      <w:kern w:val="0"/>
                                      <w:sz w:val="20"/>
                                      <w:shd w:val="clear" w:color="auto" w:fill="FFFFFF"/>
                                    </w:rPr>
                                    <w:t>死亡</w:t>
                                  </w:r>
                                  <w:r w:rsidRPr="00E65601">
                                    <w:rPr>
                                      <w:rFonts w:ascii="標楷體" w:eastAsia="標楷體" w:hAnsi="標楷體"/>
                                      <w:kern w:val="0"/>
                                      <w:sz w:val="20"/>
                                      <w:shd w:val="clear" w:color="auto" w:fill="FFFFFF"/>
                                    </w:rPr>
                                    <w:t>人數</w:t>
                                  </w:r>
                                </w:p>
                              </w:tc>
                              <w:tc>
                                <w:tcPr>
                                  <w:tcW w:w="7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6D28A4"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2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CFEB5"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1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844B82"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0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518754"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1 </w:t>
                                  </w:r>
                                </w:p>
                              </w:tc>
                            </w:tr>
                            <w:tr w:rsidR="00CC5AFC" w14:paraId="2B69BCF3" w14:textId="77777777" w:rsidTr="00824CD6">
                              <w:trPr>
                                <w:trHeight w:hRule="exact" w:val="284"/>
                              </w:trPr>
                              <w:tc>
                                <w:tcPr>
                                  <w:tcW w:w="13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1F09CF" w14:textId="77777777" w:rsidR="00CC5AFC" w:rsidRPr="00E65601" w:rsidRDefault="00CC5AFC" w:rsidP="00824CD6">
                                  <w:pPr>
                                    <w:spacing w:line="200" w:lineRule="exact"/>
                                    <w:jc w:val="center"/>
                                    <w:rPr>
                                      <w:rFonts w:ascii="標楷體" w:eastAsia="標楷體" w:hAnsi="標楷體"/>
                                      <w:kern w:val="0"/>
                                      <w:sz w:val="20"/>
                                      <w:shd w:val="clear" w:color="auto" w:fill="FFFFFF"/>
                                    </w:rPr>
                                  </w:pPr>
                                  <w:r w:rsidRPr="00E65601">
                                    <w:rPr>
                                      <w:rFonts w:ascii="標楷體" w:eastAsia="標楷體" w:hAnsi="標楷體" w:hint="eastAsia"/>
                                      <w:kern w:val="0"/>
                                      <w:sz w:val="20"/>
                                      <w:shd w:val="clear" w:color="auto" w:fill="FFFFFF"/>
                                    </w:rPr>
                                    <w:t>受</w:t>
                                  </w:r>
                                  <w:r w:rsidRPr="00E65601">
                                    <w:rPr>
                                      <w:rFonts w:ascii="標楷體" w:eastAsia="標楷體" w:hAnsi="標楷體"/>
                                      <w:kern w:val="0"/>
                                      <w:sz w:val="20"/>
                                      <w:shd w:val="clear" w:color="auto" w:fill="FFFFFF"/>
                                    </w:rPr>
                                    <w:t>傷人數</w:t>
                                  </w:r>
                                </w:p>
                              </w:tc>
                              <w:tc>
                                <w:tcPr>
                                  <w:tcW w:w="7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C82576"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134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202D8"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104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4416A5"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102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25B3A5"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228 </w:t>
                                  </w:r>
                                </w:p>
                              </w:tc>
                            </w:tr>
                          </w:tbl>
                          <w:p w14:paraId="1282816F" w14:textId="77777777" w:rsidR="00CC5AFC" w:rsidRPr="00610C5E" w:rsidRDefault="00CC5AFC" w:rsidP="00CC5AFC">
                            <w:pPr>
                              <w:spacing w:line="240" w:lineRule="exact"/>
                              <w:ind w:leftChars="52" w:left="193" w:hangingChars="38" w:hanging="68"/>
                              <w:rPr>
                                <w:rFonts w:ascii="標楷體" w:eastAsia="標楷體" w:hAnsi="標楷體"/>
                                <w:sz w:val="18"/>
                                <w:szCs w:val="18"/>
                              </w:rPr>
                            </w:pPr>
                            <w:r w:rsidRPr="00610C5E">
                              <w:rPr>
                                <w:rFonts w:ascii="標楷體" w:eastAsia="標楷體" w:hAnsi="標楷體"/>
                                <w:sz w:val="18"/>
                                <w:szCs w:val="18"/>
                                <w:shd w:val="clear" w:color="auto" w:fill="FFFFFF"/>
                              </w:rPr>
                              <w:t>資料來源：整理自公</w:t>
                            </w:r>
                            <w:r>
                              <w:rPr>
                                <w:rFonts w:ascii="標楷體" w:eastAsia="標楷體" w:hAnsi="標楷體" w:hint="eastAsia"/>
                                <w:sz w:val="18"/>
                                <w:szCs w:val="18"/>
                                <w:shd w:val="clear" w:color="auto" w:fill="FFFFFF"/>
                              </w:rPr>
                              <w:t>共</w:t>
                            </w:r>
                            <w:r w:rsidRPr="00610C5E">
                              <w:rPr>
                                <w:rFonts w:ascii="標楷體" w:eastAsia="標楷體" w:hAnsi="標楷體"/>
                                <w:sz w:val="18"/>
                                <w:szCs w:val="18"/>
                                <w:shd w:val="clear" w:color="auto" w:fill="FFFFFF"/>
                              </w:rPr>
                              <w:t>運</w:t>
                            </w:r>
                            <w:r>
                              <w:rPr>
                                <w:rFonts w:ascii="標楷體" w:eastAsia="標楷體" w:hAnsi="標楷體" w:hint="eastAsia"/>
                                <w:sz w:val="18"/>
                                <w:szCs w:val="18"/>
                                <w:shd w:val="clear" w:color="auto" w:fill="FFFFFF"/>
                              </w:rPr>
                              <w:t>輸</w:t>
                            </w:r>
                            <w:r w:rsidRPr="00610C5E">
                              <w:rPr>
                                <w:rFonts w:ascii="標楷體" w:eastAsia="標楷體" w:hAnsi="標楷體"/>
                                <w:sz w:val="18"/>
                                <w:szCs w:val="18"/>
                                <w:shd w:val="clear" w:color="auto" w:fill="FFFFFF"/>
                              </w:rPr>
                              <w:t>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5AAAB4" id="_x0000_s1091" type="#_x0000_t202" style="position:absolute;left:0;text-align:left;margin-left:265.05pt;margin-top:639pt;width:237pt;height:103.8pt;z-index:-2515476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" o:allowoverlap="f" filled="f" stroked="f">
                <v:textbox>
                  <w:txbxContent>
                    <w:p w14:paraId="753659D2" w14:textId="77777777" w:rsidR="00CC5AFC" w:rsidRPr="00610C5E" w:rsidRDefault="00CC5AFC" w:rsidP="00C254C1">
                      <w:pPr>
                        <w:spacing w:line="280" w:lineRule="exact"/>
                        <w:ind w:firstLineChars="40" w:firstLine="96"/>
                        <w:jc w:val="center"/>
                        <w:rPr>
                          <w:rFonts w:ascii="標楷體" w:eastAsia="標楷體" w:hAnsi="標楷體"/>
                          <w:b/>
                          <w:snapToGrid w:val="0"/>
                          <w:kern w:val="0"/>
                          <w:szCs w:val="24"/>
                        </w:rPr>
                      </w:pPr>
                      <w:r w:rsidRPr="00610C5E">
                        <w:rPr>
                          <w:rFonts w:ascii="標楷體" w:eastAsia="標楷體" w:hAnsi="標楷體"/>
                          <w:b/>
                          <w:snapToGrid w:val="0"/>
                          <w:kern w:val="0"/>
                          <w:szCs w:val="24"/>
                        </w:rPr>
                        <w:t>表</w:t>
                      </w:r>
                      <w:r>
                        <w:rPr>
                          <w:rFonts w:ascii="標楷體" w:eastAsia="標楷體" w:hAnsi="標楷體"/>
                          <w:b/>
                          <w:snapToGrid w:val="0"/>
                          <w:kern w:val="0"/>
                          <w:szCs w:val="24"/>
                        </w:rPr>
                        <w:t>4</w:t>
                      </w:r>
                      <w:r w:rsidRPr="00610C5E">
                        <w:rPr>
                          <w:rFonts w:ascii="標楷體" w:eastAsia="標楷體" w:hAnsi="標楷體"/>
                          <w:b/>
                          <w:snapToGrid w:val="0"/>
                          <w:kern w:val="0"/>
                          <w:szCs w:val="24"/>
                        </w:rPr>
                        <w:t xml:space="preserve"> 臺北市市區</w:t>
                      </w:r>
                      <w:r w:rsidRPr="00610C5E">
                        <w:rPr>
                          <w:rFonts w:ascii="標楷體" w:eastAsia="標楷體" w:hAnsi="標楷體" w:hint="eastAsia"/>
                          <w:b/>
                          <w:snapToGrid w:val="0"/>
                          <w:kern w:val="0"/>
                          <w:szCs w:val="24"/>
                        </w:rPr>
                        <w:t>汽</w:t>
                      </w:r>
                      <w:r w:rsidRPr="00610C5E">
                        <w:rPr>
                          <w:rFonts w:ascii="標楷體" w:eastAsia="標楷體" w:hAnsi="標楷體"/>
                          <w:b/>
                          <w:snapToGrid w:val="0"/>
                          <w:kern w:val="0"/>
                          <w:szCs w:val="24"/>
                        </w:rPr>
                        <w:t>車</w:t>
                      </w:r>
                      <w:r w:rsidRPr="00610C5E">
                        <w:rPr>
                          <w:rFonts w:ascii="標楷體" w:eastAsia="標楷體" w:hAnsi="標楷體" w:hint="eastAsia"/>
                          <w:b/>
                          <w:snapToGrid w:val="0"/>
                          <w:kern w:val="0"/>
                          <w:szCs w:val="24"/>
                        </w:rPr>
                        <w:t>客</w:t>
                      </w:r>
                      <w:r w:rsidRPr="00610C5E">
                        <w:rPr>
                          <w:rFonts w:ascii="標楷體" w:eastAsia="標楷體" w:hAnsi="標楷體"/>
                          <w:b/>
                          <w:snapToGrid w:val="0"/>
                          <w:kern w:val="0"/>
                          <w:szCs w:val="24"/>
                        </w:rPr>
                        <w:t>運</w:t>
                      </w:r>
                      <w:r w:rsidRPr="00610C5E">
                        <w:rPr>
                          <w:rFonts w:ascii="標楷體" w:eastAsia="標楷體" w:hAnsi="標楷體" w:hint="eastAsia"/>
                          <w:b/>
                          <w:snapToGrid w:val="0"/>
                          <w:kern w:val="0"/>
                          <w:szCs w:val="24"/>
                        </w:rPr>
                        <w:t>交</w:t>
                      </w:r>
                      <w:r w:rsidRPr="00610C5E">
                        <w:rPr>
                          <w:rFonts w:ascii="標楷體" w:eastAsia="標楷體" w:hAnsi="標楷體"/>
                          <w:b/>
                          <w:snapToGrid w:val="0"/>
                          <w:kern w:val="0"/>
                          <w:szCs w:val="24"/>
                        </w:rPr>
                        <w:t>通事故</w:t>
                      </w:r>
                      <w:r w:rsidRPr="00610C5E">
                        <w:rPr>
                          <w:rFonts w:ascii="標楷體" w:eastAsia="標楷體" w:hAnsi="標楷體" w:hint="eastAsia"/>
                          <w:b/>
                          <w:snapToGrid w:val="0"/>
                          <w:kern w:val="0"/>
                          <w:szCs w:val="24"/>
                        </w:rPr>
                        <w:t>情</w:t>
                      </w:r>
                      <w:r w:rsidRPr="00610C5E">
                        <w:rPr>
                          <w:rFonts w:ascii="標楷體" w:eastAsia="標楷體" w:hAnsi="標楷體"/>
                          <w:b/>
                          <w:snapToGrid w:val="0"/>
                          <w:kern w:val="0"/>
                          <w:szCs w:val="24"/>
                        </w:rPr>
                        <w:t>形</w:t>
                      </w:r>
                    </w:p>
                    <w:p w14:paraId="4120B7EA" w14:textId="77777777" w:rsidR="00CC5AFC" w:rsidRPr="00E65601" w:rsidRDefault="00CC5AFC" w:rsidP="00CC5AFC">
                      <w:pPr>
                        <w:spacing w:beforeLines="10" w:before="36" w:line="200" w:lineRule="exact"/>
                        <w:ind w:rightChars="37" w:right="89"/>
                        <w:jc w:val="right"/>
                        <w:rPr>
                          <w:rFonts w:ascii="標楷體" w:hAnsi="標楷體"/>
                          <w:b/>
                          <w:sz w:val="20"/>
                        </w:rPr>
                      </w:pPr>
                      <w:r w:rsidRPr="00E65601">
                        <w:rPr>
                          <w:rFonts w:ascii="標楷體" w:eastAsia="標楷體" w:hAnsi="標楷體"/>
                          <w:sz w:val="20"/>
                          <w:shd w:val="clear" w:color="auto" w:fill="FFFFFF"/>
                        </w:rPr>
                        <w:t>單位：</w:t>
                      </w:r>
                      <w:r w:rsidRPr="00E65601">
                        <w:rPr>
                          <w:rFonts w:ascii="標楷體" w:eastAsia="標楷體" w:hAnsi="標楷體" w:hint="eastAsia"/>
                          <w:sz w:val="20"/>
                          <w:shd w:val="clear" w:color="auto" w:fill="FFFFFF"/>
                        </w:rPr>
                        <w:t>件</w:t>
                      </w:r>
                      <w:r w:rsidRPr="00E65601">
                        <w:rPr>
                          <w:rFonts w:ascii="標楷體" w:eastAsia="標楷體" w:hAnsi="標楷體"/>
                          <w:sz w:val="20"/>
                          <w:shd w:val="clear" w:color="auto" w:fill="FFFFFF"/>
                        </w:rPr>
                        <w:t>、人</w:t>
                      </w:r>
                    </w:p>
                    <w:tbl>
                      <w:tblPr>
                        <w:tblW w:w="4935" w:type="pct"/>
                        <w:tblInd w:w="79" w:type="dxa"/>
                        <w:tblCellMar>
                          <w:left w:w="10" w:type="dxa"/>
                          <w:right w:w="10" w:type="dxa"/>
                        </w:tblCellMar>
                        <w:tblLook w:val="0000" w:firstRow="0" w:lastRow="0" w:firstColumn="0" w:lastColumn="0" w:noHBand="0" w:noVBand="0"/>
                      </w:tblPr>
                      <w:tblGrid>
                        <w:gridCol w:w="1314"/>
                        <w:gridCol w:w="767"/>
                        <w:gridCol w:w="768"/>
                        <w:gridCol w:w="768"/>
                        <w:gridCol w:w="768"/>
                      </w:tblGrid>
                      <w:tr w:rsidR="00CC5AFC" w14:paraId="2A818FFA" w14:textId="77777777" w:rsidTr="00824CD6">
                        <w:trPr>
                          <w:trHeight w:hRule="exact" w:val="284"/>
                          <w:tblHeader/>
                        </w:trPr>
                        <w:tc>
                          <w:tcPr>
                            <w:tcW w:w="13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F3C51C5" w14:textId="77777777" w:rsidR="00CC5AFC" w:rsidRPr="00F675DA" w:rsidRDefault="00CC5AFC" w:rsidP="00824CD6">
                            <w:pPr>
                              <w:spacing w:line="200" w:lineRule="exact"/>
                              <w:jc w:val="center"/>
                              <w:rPr>
                                <w:rFonts w:ascii="標楷體" w:eastAsia="標楷體" w:hAnsi="標楷體"/>
                                <w:kern w:val="0"/>
                                <w:sz w:val="20"/>
                              </w:rPr>
                            </w:pPr>
                            <w:r w:rsidRPr="00F675DA">
                              <w:rPr>
                                <w:rFonts w:ascii="標楷體" w:eastAsia="標楷體" w:hAnsi="標楷體" w:hint="eastAsia"/>
                                <w:kern w:val="0"/>
                                <w:sz w:val="20"/>
                              </w:rPr>
                              <w:t xml:space="preserve">年    </w:t>
                            </w:r>
                            <w:r w:rsidRPr="00F675DA">
                              <w:rPr>
                                <w:rFonts w:ascii="標楷體" w:eastAsia="標楷體" w:hAnsi="標楷體"/>
                                <w:kern w:val="0"/>
                                <w:sz w:val="20"/>
                              </w:rPr>
                              <w:t>度</w:t>
                            </w:r>
                          </w:p>
                        </w:tc>
                        <w:tc>
                          <w:tcPr>
                            <w:tcW w:w="7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819AA29" w14:textId="77777777" w:rsidR="00CC5AFC" w:rsidRPr="00F675DA" w:rsidRDefault="00CC5AFC" w:rsidP="00824CD6">
                            <w:pPr>
                              <w:spacing w:line="200" w:lineRule="exact"/>
                              <w:jc w:val="center"/>
                              <w:rPr>
                                <w:rFonts w:ascii="標楷體" w:eastAsia="標楷體" w:hAnsi="標楷體"/>
                                <w:kern w:val="0"/>
                                <w:sz w:val="20"/>
                              </w:rPr>
                            </w:pPr>
                            <w:r w:rsidRPr="00F675DA">
                              <w:rPr>
                                <w:rFonts w:ascii="標楷體" w:eastAsia="標楷體" w:hAnsi="標楷體" w:hint="eastAsia"/>
                                <w:kern w:val="0"/>
                                <w:sz w:val="20"/>
                              </w:rPr>
                              <w:t>1</w:t>
                            </w:r>
                            <w:r w:rsidRPr="00F675DA">
                              <w:rPr>
                                <w:rFonts w:ascii="標楷體" w:eastAsia="標楷體" w:hAnsi="標楷體"/>
                                <w:kern w:val="0"/>
                                <w:sz w:val="20"/>
                              </w:rPr>
                              <w:t>10</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A1DE8E" w14:textId="77777777" w:rsidR="00CC5AFC" w:rsidRPr="00F675DA" w:rsidRDefault="00CC5AFC" w:rsidP="00824CD6">
                            <w:pPr>
                              <w:spacing w:line="200" w:lineRule="exact"/>
                              <w:jc w:val="center"/>
                              <w:rPr>
                                <w:rFonts w:ascii="標楷體" w:eastAsia="標楷體" w:hAnsi="標楷體"/>
                                <w:kern w:val="0"/>
                                <w:sz w:val="20"/>
                              </w:rPr>
                            </w:pPr>
                            <w:r w:rsidRPr="00F675DA">
                              <w:rPr>
                                <w:rFonts w:ascii="標楷體" w:eastAsia="標楷體" w:hAnsi="標楷體" w:hint="eastAsia"/>
                                <w:kern w:val="0"/>
                                <w:sz w:val="20"/>
                              </w:rPr>
                              <w:t>111</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E3CA7F" w14:textId="77777777" w:rsidR="00CC5AFC" w:rsidRPr="00F675DA" w:rsidRDefault="00CC5AFC" w:rsidP="00824CD6">
                            <w:pPr>
                              <w:spacing w:line="200" w:lineRule="exact"/>
                              <w:jc w:val="center"/>
                              <w:rPr>
                                <w:rFonts w:ascii="標楷體" w:eastAsia="標楷體" w:hAnsi="標楷體"/>
                                <w:kern w:val="0"/>
                                <w:sz w:val="20"/>
                              </w:rPr>
                            </w:pPr>
                            <w:r w:rsidRPr="00F675DA">
                              <w:rPr>
                                <w:rFonts w:ascii="標楷體" w:eastAsia="標楷體" w:hAnsi="標楷體" w:hint="eastAsia"/>
                                <w:kern w:val="0"/>
                                <w:sz w:val="20"/>
                              </w:rPr>
                              <w:t>112</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CDC4CF7" w14:textId="77777777" w:rsidR="00CC5AFC" w:rsidRPr="00F675DA" w:rsidRDefault="00CC5AFC" w:rsidP="00824CD6">
                            <w:pPr>
                              <w:spacing w:line="200" w:lineRule="exact"/>
                              <w:jc w:val="center"/>
                              <w:rPr>
                                <w:rFonts w:ascii="標楷體" w:eastAsia="標楷體" w:hAnsi="標楷體"/>
                                <w:sz w:val="20"/>
                              </w:rPr>
                            </w:pPr>
                            <w:r w:rsidRPr="00F675DA">
                              <w:rPr>
                                <w:rFonts w:ascii="標楷體" w:eastAsia="標楷體" w:hAnsi="標楷體" w:hint="eastAsia"/>
                                <w:sz w:val="20"/>
                              </w:rPr>
                              <w:t>113</w:t>
                            </w:r>
                          </w:p>
                        </w:tc>
                      </w:tr>
                      <w:tr w:rsidR="00CC5AFC" w14:paraId="58217B7F" w14:textId="77777777" w:rsidTr="00824CD6">
                        <w:trPr>
                          <w:trHeight w:hRule="exact" w:val="284"/>
                        </w:trPr>
                        <w:tc>
                          <w:tcPr>
                            <w:tcW w:w="13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D2131" w14:textId="77777777" w:rsidR="00CC5AFC" w:rsidRPr="00E65601" w:rsidRDefault="00CC5AFC" w:rsidP="00824CD6">
                            <w:pPr>
                              <w:spacing w:line="200" w:lineRule="exact"/>
                              <w:jc w:val="center"/>
                              <w:rPr>
                                <w:rFonts w:ascii="標楷體" w:eastAsia="標楷體" w:hAnsi="標楷體"/>
                                <w:kern w:val="0"/>
                                <w:sz w:val="20"/>
                                <w:shd w:val="clear" w:color="auto" w:fill="FFFFFF"/>
                              </w:rPr>
                            </w:pPr>
                            <w:r w:rsidRPr="00E65601">
                              <w:rPr>
                                <w:rFonts w:ascii="標楷體" w:eastAsia="標楷體" w:hAnsi="標楷體" w:hint="eastAsia"/>
                                <w:kern w:val="0"/>
                                <w:sz w:val="20"/>
                                <w:shd w:val="clear" w:color="auto" w:fill="FFFFFF"/>
                              </w:rPr>
                              <w:t>事故</w:t>
                            </w:r>
                            <w:r w:rsidRPr="00E65601">
                              <w:rPr>
                                <w:rFonts w:ascii="標楷體" w:eastAsia="標楷體" w:hAnsi="標楷體"/>
                                <w:kern w:val="0"/>
                                <w:sz w:val="20"/>
                                <w:shd w:val="clear" w:color="auto" w:fill="FFFFFF"/>
                              </w:rPr>
                              <w:t>件數</w:t>
                            </w:r>
                          </w:p>
                        </w:tc>
                        <w:tc>
                          <w:tcPr>
                            <w:tcW w:w="7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6F378F"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232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3B32BDD"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242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BA678A1"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344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6E8CEF"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340 </w:t>
                            </w:r>
                          </w:p>
                        </w:tc>
                      </w:tr>
                      <w:tr w:rsidR="00CC5AFC" w14:paraId="4FC177D5" w14:textId="77777777" w:rsidTr="00824CD6">
                        <w:trPr>
                          <w:trHeight w:hRule="exact" w:val="284"/>
                        </w:trPr>
                        <w:tc>
                          <w:tcPr>
                            <w:tcW w:w="13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BACB4" w14:textId="77777777" w:rsidR="00CC5AFC" w:rsidRPr="00E65601" w:rsidRDefault="00CC5AFC" w:rsidP="00824CD6">
                            <w:pPr>
                              <w:spacing w:line="200" w:lineRule="exact"/>
                              <w:jc w:val="center"/>
                              <w:rPr>
                                <w:rFonts w:ascii="標楷體" w:eastAsia="標楷體" w:hAnsi="標楷體"/>
                                <w:kern w:val="0"/>
                                <w:sz w:val="20"/>
                                <w:shd w:val="clear" w:color="auto" w:fill="FFFFFF"/>
                              </w:rPr>
                            </w:pPr>
                            <w:r w:rsidRPr="00E65601">
                              <w:rPr>
                                <w:rFonts w:ascii="標楷體" w:eastAsia="標楷體" w:hAnsi="標楷體" w:hint="eastAsia"/>
                                <w:kern w:val="0"/>
                                <w:sz w:val="20"/>
                                <w:shd w:val="clear" w:color="auto" w:fill="FFFFFF"/>
                              </w:rPr>
                              <w:t>死亡</w:t>
                            </w:r>
                            <w:r w:rsidRPr="00E65601">
                              <w:rPr>
                                <w:rFonts w:ascii="標楷體" w:eastAsia="標楷體" w:hAnsi="標楷體"/>
                                <w:kern w:val="0"/>
                                <w:sz w:val="20"/>
                                <w:shd w:val="clear" w:color="auto" w:fill="FFFFFF"/>
                              </w:rPr>
                              <w:t>人數</w:t>
                            </w:r>
                          </w:p>
                        </w:tc>
                        <w:tc>
                          <w:tcPr>
                            <w:tcW w:w="7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6D28A4"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2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ABCFEB5"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1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844B82"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0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1518754"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1 </w:t>
                            </w:r>
                          </w:p>
                        </w:tc>
                      </w:tr>
                      <w:tr w:rsidR="00CC5AFC" w14:paraId="2B69BCF3" w14:textId="77777777" w:rsidTr="00824CD6">
                        <w:trPr>
                          <w:trHeight w:hRule="exact" w:val="284"/>
                        </w:trPr>
                        <w:tc>
                          <w:tcPr>
                            <w:tcW w:w="13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1F09CF" w14:textId="77777777" w:rsidR="00CC5AFC" w:rsidRPr="00E65601" w:rsidRDefault="00CC5AFC" w:rsidP="00824CD6">
                            <w:pPr>
                              <w:spacing w:line="200" w:lineRule="exact"/>
                              <w:jc w:val="center"/>
                              <w:rPr>
                                <w:rFonts w:ascii="標楷體" w:eastAsia="標楷體" w:hAnsi="標楷體"/>
                                <w:kern w:val="0"/>
                                <w:sz w:val="20"/>
                                <w:shd w:val="clear" w:color="auto" w:fill="FFFFFF"/>
                              </w:rPr>
                            </w:pPr>
                            <w:r w:rsidRPr="00E65601">
                              <w:rPr>
                                <w:rFonts w:ascii="標楷體" w:eastAsia="標楷體" w:hAnsi="標楷體" w:hint="eastAsia"/>
                                <w:kern w:val="0"/>
                                <w:sz w:val="20"/>
                                <w:shd w:val="clear" w:color="auto" w:fill="FFFFFF"/>
                              </w:rPr>
                              <w:t>受</w:t>
                            </w:r>
                            <w:r w:rsidRPr="00E65601">
                              <w:rPr>
                                <w:rFonts w:ascii="標楷體" w:eastAsia="標楷體" w:hAnsi="標楷體"/>
                                <w:kern w:val="0"/>
                                <w:sz w:val="20"/>
                                <w:shd w:val="clear" w:color="auto" w:fill="FFFFFF"/>
                              </w:rPr>
                              <w:t>傷人數</w:t>
                            </w:r>
                          </w:p>
                        </w:tc>
                        <w:tc>
                          <w:tcPr>
                            <w:tcW w:w="76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C82576"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134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5202D8"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104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4416A5"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102 </w:t>
                            </w:r>
                          </w:p>
                        </w:tc>
                        <w:tc>
                          <w:tcPr>
                            <w:tcW w:w="7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25B3A5" w14:textId="77777777" w:rsidR="00CC5AFC" w:rsidRPr="00E65601" w:rsidRDefault="00CC5AFC" w:rsidP="00824CD6">
                            <w:pPr>
                              <w:spacing w:line="200" w:lineRule="exact"/>
                              <w:ind w:rightChars="50" w:right="120"/>
                              <w:jc w:val="right"/>
                              <w:rPr>
                                <w:rFonts w:ascii="標楷體" w:eastAsia="標楷體" w:hAnsi="標楷體"/>
                                <w:sz w:val="20"/>
                              </w:rPr>
                            </w:pPr>
                            <w:r w:rsidRPr="00E65601">
                              <w:rPr>
                                <w:rFonts w:ascii="標楷體" w:eastAsia="標楷體" w:hAnsi="標楷體" w:hint="eastAsia"/>
                                <w:sz w:val="20"/>
                              </w:rPr>
                              <w:t xml:space="preserve">228 </w:t>
                            </w:r>
                          </w:p>
                        </w:tc>
                      </w:tr>
                    </w:tbl>
                    <w:p w14:paraId="1282816F" w14:textId="77777777" w:rsidR="00CC5AFC" w:rsidRPr="00610C5E" w:rsidRDefault="00CC5AFC" w:rsidP="00CC5AFC">
                      <w:pPr>
                        <w:spacing w:line="240" w:lineRule="exact"/>
                        <w:ind w:leftChars="52" w:left="193" w:hangingChars="38" w:hanging="68"/>
                        <w:rPr>
                          <w:rFonts w:ascii="標楷體" w:eastAsia="標楷體" w:hAnsi="標楷體"/>
                          <w:sz w:val="18"/>
                          <w:szCs w:val="18"/>
                        </w:rPr>
                      </w:pPr>
                      <w:r w:rsidRPr="00610C5E">
                        <w:rPr>
                          <w:rFonts w:ascii="標楷體" w:eastAsia="標楷體" w:hAnsi="標楷體"/>
                          <w:sz w:val="18"/>
                          <w:szCs w:val="18"/>
                          <w:shd w:val="clear" w:color="auto" w:fill="FFFFFF"/>
                        </w:rPr>
                        <w:t>資料來源：整理自公</w:t>
                      </w:r>
                      <w:r>
                        <w:rPr>
                          <w:rFonts w:ascii="標楷體" w:eastAsia="標楷體" w:hAnsi="標楷體" w:hint="eastAsia"/>
                          <w:sz w:val="18"/>
                          <w:szCs w:val="18"/>
                          <w:shd w:val="clear" w:color="auto" w:fill="FFFFFF"/>
                        </w:rPr>
                        <w:t>共</w:t>
                      </w:r>
                      <w:r w:rsidRPr="00610C5E">
                        <w:rPr>
                          <w:rFonts w:ascii="標楷體" w:eastAsia="標楷體" w:hAnsi="標楷體"/>
                          <w:sz w:val="18"/>
                          <w:szCs w:val="18"/>
                          <w:shd w:val="clear" w:color="auto" w:fill="FFFFFF"/>
                        </w:rPr>
                        <w:t>運</w:t>
                      </w:r>
                      <w:r>
                        <w:rPr>
                          <w:rFonts w:ascii="標楷體" w:eastAsia="標楷體" w:hAnsi="標楷體" w:hint="eastAsia"/>
                          <w:sz w:val="18"/>
                          <w:szCs w:val="18"/>
                          <w:shd w:val="clear" w:color="auto" w:fill="FFFFFF"/>
                        </w:rPr>
                        <w:t>輸</w:t>
                      </w:r>
                      <w:r w:rsidRPr="00610C5E">
                        <w:rPr>
                          <w:rFonts w:ascii="標楷體" w:eastAsia="標楷體" w:hAnsi="標楷體"/>
                          <w:sz w:val="18"/>
                          <w:szCs w:val="18"/>
                          <w:shd w:val="clear" w:color="auto" w:fill="FFFFFF"/>
                        </w:rPr>
                        <w:t>處提供資料。</w:t>
                      </w:r>
                    </w:p>
                  </w:txbxContent>
                </v:textbox>
                <w10:wrap type="tight" anchorx="margin" anchory="page"/>
              </v:shape>
            </w:pict>
          </mc:Fallback>
        </mc:AlternateContent>
      </w:r>
      <w:r>
        <w:rPr>
          <w:rFonts w:ascii="標楷體" w:eastAsia="標楷體" w:hAnsi="標楷體"/>
          <w:b/>
          <w:bCs/>
          <w:kern w:val="52"/>
          <w:szCs w:val="24"/>
        </w:rPr>
        <w:t>4</w:t>
      </w:r>
      <w:r w:rsidRPr="00B2590E">
        <w:rPr>
          <w:rFonts w:ascii="標楷體" w:eastAsia="標楷體" w:hAnsi="標楷體" w:hint="eastAsia"/>
          <w:b/>
          <w:bCs/>
          <w:kern w:val="52"/>
          <w:szCs w:val="24"/>
        </w:rPr>
        <w:t>.</w:t>
      </w:r>
      <w:r w:rsidRPr="00D77846">
        <w:rPr>
          <w:rFonts w:ascii="標楷體" w:eastAsia="標楷體" w:hAnsi="標楷體" w:hint="eastAsia"/>
          <w:b/>
          <w:bCs/>
          <w:kern w:val="52"/>
          <w:szCs w:val="24"/>
        </w:rPr>
        <w:t>為維護公共交通安全，推動公車安全管理相關措施，惟113年死傷人數較往年大幅增加，又裝設危險駕駛行為偵測及先進車輛安全輔助系統之</w:t>
      </w:r>
      <w:proofErr w:type="gramStart"/>
      <w:r w:rsidRPr="00D77846">
        <w:rPr>
          <w:rFonts w:ascii="標楷體" w:eastAsia="標楷體" w:hAnsi="標楷體" w:hint="eastAsia"/>
          <w:b/>
          <w:bCs/>
          <w:kern w:val="52"/>
          <w:szCs w:val="24"/>
        </w:rPr>
        <w:t>車輛</w:t>
      </w:r>
      <w:r>
        <w:rPr>
          <w:rFonts w:ascii="標楷體" w:eastAsia="標楷體" w:hAnsi="標楷體" w:hint="eastAsia"/>
          <w:b/>
          <w:bCs/>
          <w:kern w:val="52"/>
          <w:szCs w:val="24"/>
        </w:rPr>
        <w:t>仍</w:t>
      </w:r>
      <w:r w:rsidRPr="00D77846">
        <w:rPr>
          <w:rFonts w:ascii="標楷體" w:eastAsia="標楷體" w:hAnsi="標楷體" w:hint="eastAsia"/>
          <w:b/>
          <w:bCs/>
          <w:kern w:val="52"/>
          <w:szCs w:val="24"/>
        </w:rPr>
        <w:t>少</w:t>
      </w:r>
      <w:proofErr w:type="gramEnd"/>
      <w:r w:rsidRPr="00D77846">
        <w:rPr>
          <w:rFonts w:ascii="標楷體" w:eastAsia="標楷體" w:hAnsi="標楷體" w:hint="eastAsia"/>
          <w:b/>
          <w:bCs/>
          <w:kern w:val="52"/>
          <w:szCs w:val="24"/>
        </w:rPr>
        <w:t>，</w:t>
      </w:r>
      <w:r>
        <w:rPr>
          <w:rFonts w:ascii="標楷體" w:eastAsia="標楷體" w:hAnsi="標楷體" w:hint="eastAsia"/>
          <w:b/>
          <w:bCs/>
          <w:kern w:val="52"/>
          <w:szCs w:val="24"/>
        </w:rPr>
        <w:t>尚</w:t>
      </w:r>
      <w:r w:rsidRPr="00D77846">
        <w:rPr>
          <w:rFonts w:ascii="標楷體" w:eastAsia="標楷體" w:hAnsi="標楷體" w:hint="eastAsia"/>
          <w:b/>
          <w:bCs/>
          <w:kern w:val="52"/>
          <w:szCs w:val="24"/>
        </w:rPr>
        <w:t>未能充分運用先進技術增加行車安全性</w:t>
      </w:r>
      <w:r w:rsidRPr="00B2590E">
        <w:rPr>
          <w:rFonts w:ascii="標楷體" w:eastAsia="標楷體" w:hAnsi="標楷體" w:hint="eastAsia"/>
          <w:b/>
          <w:bCs/>
          <w:kern w:val="52"/>
          <w:szCs w:val="24"/>
        </w:rPr>
        <w:t>：</w:t>
      </w:r>
      <w:r w:rsidRPr="007D10C0">
        <w:rPr>
          <w:rFonts w:ascii="標楷體" w:eastAsia="標楷體" w:hAnsi="標楷體" w:hint="eastAsia"/>
          <w:bCs/>
          <w:kern w:val="52"/>
          <w:szCs w:val="24"/>
        </w:rPr>
        <w:t>按「公路公共運輸服務升級計畫（110－113年）」</w:t>
      </w:r>
      <w:r w:rsidRPr="007A317F">
        <w:rPr>
          <w:rFonts w:ascii="標楷體" w:eastAsia="標楷體" w:hAnsi="標楷體" w:hint="eastAsia"/>
          <w:bCs/>
          <w:kern w:val="52"/>
          <w:szCs w:val="24"/>
        </w:rPr>
        <w:t>公車近3年</w:t>
      </w:r>
      <w:proofErr w:type="gramStart"/>
      <w:r w:rsidRPr="007A317F">
        <w:rPr>
          <w:rFonts w:ascii="標楷體" w:eastAsia="標楷體" w:hAnsi="標楷體" w:hint="eastAsia"/>
          <w:bCs/>
          <w:kern w:val="52"/>
          <w:szCs w:val="24"/>
        </w:rPr>
        <w:t>每百萬延車公里</w:t>
      </w:r>
      <w:proofErr w:type="gramEnd"/>
      <w:r w:rsidRPr="007A317F">
        <w:rPr>
          <w:rFonts w:ascii="標楷體" w:eastAsia="標楷體" w:hAnsi="標楷體" w:hint="eastAsia"/>
          <w:bCs/>
          <w:kern w:val="52"/>
          <w:szCs w:val="24"/>
        </w:rPr>
        <w:t>涉入事故死傷人數</w:t>
      </w:r>
      <w:r w:rsidRPr="007D10C0">
        <w:rPr>
          <w:rFonts w:ascii="標楷體" w:eastAsia="標楷體" w:hAnsi="標楷體" w:hint="eastAsia"/>
          <w:bCs/>
          <w:kern w:val="52"/>
          <w:szCs w:val="24"/>
        </w:rPr>
        <w:t>績效指標</w:t>
      </w:r>
      <w:r>
        <w:rPr>
          <w:rFonts w:ascii="標楷體" w:eastAsia="標楷體" w:hAnsi="標楷體" w:hint="eastAsia"/>
          <w:bCs/>
          <w:kern w:val="52"/>
          <w:szCs w:val="24"/>
        </w:rPr>
        <w:t>，</w:t>
      </w:r>
      <w:r w:rsidRPr="007A317F">
        <w:rPr>
          <w:rFonts w:ascii="標楷體" w:eastAsia="標楷體" w:hAnsi="標楷體" w:hint="eastAsia"/>
          <w:bCs/>
          <w:kern w:val="52"/>
          <w:szCs w:val="24"/>
        </w:rPr>
        <w:t>113年目標值為2.49人。經統計</w:t>
      </w:r>
      <w:r>
        <w:rPr>
          <w:rFonts w:ascii="標楷體" w:eastAsia="標楷體" w:hAnsi="標楷體" w:hint="eastAsia"/>
          <w:bCs/>
          <w:kern w:val="52"/>
          <w:szCs w:val="24"/>
        </w:rPr>
        <w:t>臺北市</w:t>
      </w:r>
      <w:r w:rsidRPr="007A317F">
        <w:rPr>
          <w:rFonts w:ascii="標楷體" w:eastAsia="標楷體" w:hAnsi="標楷體" w:hint="eastAsia"/>
          <w:bCs/>
          <w:kern w:val="52"/>
          <w:szCs w:val="24"/>
        </w:rPr>
        <w:t>市區汽車客運</w:t>
      </w:r>
      <w:r>
        <w:rPr>
          <w:rFonts w:ascii="標楷體" w:eastAsia="標楷體" w:hAnsi="標楷體"/>
          <w:bCs/>
          <w:kern w:val="52"/>
          <w:szCs w:val="24"/>
        </w:rPr>
        <w:t>113</w:t>
      </w:r>
      <w:r>
        <w:rPr>
          <w:rFonts w:ascii="標楷體" w:eastAsia="標楷體" w:hAnsi="標楷體" w:hint="eastAsia"/>
          <w:bCs/>
          <w:kern w:val="52"/>
          <w:szCs w:val="24"/>
        </w:rPr>
        <w:t>年之近3年</w:t>
      </w:r>
      <w:proofErr w:type="gramStart"/>
      <w:r w:rsidRPr="007A317F">
        <w:rPr>
          <w:rFonts w:ascii="標楷體" w:eastAsia="標楷體" w:hAnsi="標楷體" w:hint="eastAsia"/>
          <w:bCs/>
          <w:kern w:val="52"/>
          <w:szCs w:val="24"/>
        </w:rPr>
        <w:t>每百萬延車公里</w:t>
      </w:r>
      <w:proofErr w:type="gramEnd"/>
      <w:r w:rsidRPr="007A317F">
        <w:rPr>
          <w:rFonts w:ascii="標楷體" w:eastAsia="標楷體" w:hAnsi="標楷體" w:hint="eastAsia"/>
          <w:bCs/>
          <w:kern w:val="52"/>
          <w:szCs w:val="24"/>
        </w:rPr>
        <w:t>涉入事故死傷人數為1.06人，尚符合計畫目標值</w:t>
      </w:r>
      <w:r>
        <w:rPr>
          <w:rFonts w:ascii="標楷體" w:eastAsia="標楷體" w:hAnsi="標楷體" w:hint="eastAsia"/>
          <w:bCs/>
          <w:kern w:val="52"/>
          <w:szCs w:val="24"/>
        </w:rPr>
        <w:t>，</w:t>
      </w:r>
      <w:r w:rsidRPr="007A317F">
        <w:rPr>
          <w:rFonts w:ascii="標楷體" w:eastAsia="標楷體" w:hAnsi="標楷體" w:hint="eastAsia"/>
          <w:bCs/>
          <w:kern w:val="52"/>
          <w:szCs w:val="24"/>
        </w:rPr>
        <w:t>惟110至113年</w:t>
      </w:r>
      <w:r>
        <w:rPr>
          <w:rFonts w:ascii="標楷體" w:eastAsia="標楷體" w:hAnsi="標楷體" w:hint="eastAsia"/>
          <w:bCs/>
          <w:kern w:val="52"/>
          <w:szCs w:val="24"/>
        </w:rPr>
        <w:t>公車</w:t>
      </w:r>
      <w:r w:rsidRPr="007A317F">
        <w:rPr>
          <w:rFonts w:ascii="標楷體" w:eastAsia="標楷體" w:hAnsi="標楷體" w:hint="eastAsia"/>
          <w:bCs/>
          <w:kern w:val="52"/>
          <w:szCs w:val="24"/>
        </w:rPr>
        <w:t>事故共造成4人死亡，受傷人數由110年134人，降至111及112年各104及102人，卻於113年大幅增加至228人（表</w:t>
      </w:r>
      <w:r>
        <w:rPr>
          <w:rFonts w:ascii="標楷體" w:eastAsia="標楷體" w:hAnsi="標楷體" w:hint="eastAsia"/>
          <w:bCs/>
          <w:kern w:val="52"/>
          <w:szCs w:val="24"/>
        </w:rPr>
        <w:t>4</w:t>
      </w:r>
      <w:r w:rsidRPr="007A317F">
        <w:rPr>
          <w:rFonts w:ascii="標楷體" w:eastAsia="標楷體" w:hAnsi="標楷體" w:hint="eastAsia"/>
          <w:bCs/>
          <w:kern w:val="52"/>
          <w:szCs w:val="24"/>
        </w:rPr>
        <w:t>）。另據臺北市政府公告113年第1期及第2期市區公車營運服務指標評鑑結果，就行車安全性相關指標部分，其中重大違規（E2）指標及行車安全業務檢查（E4）指標較前期統計顯著退步，且於違反道路交通管理處罰條例案件（E3）指標有半數以上</w:t>
      </w:r>
      <w:proofErr w:type="gramStart"/>
      <w:r w:rsidRPr="007A317F">
        <w:rPr>
          <w:rFonts w:ascii="標楷體" w:eastAsia="標楷體" w:hAnsi="標楷體" w:hint="eastAsia"/>
          <w:bCs/>
          <w:kern w:val="52"/>
          <w:szCs w:val="24"/>
        </w:rPr>
        <w:t>業者均未得分</w:t>
      </w:r>
      <w:proofErr w:type="gramEnd"/>
      <w:r w:rsidRPr="007A317F">
        <w:rPr>
          <w:rFonts w:ascii="標楷體" w:eastAsia="標楷體" w:hAnsi="標楷體" w:hint="eastAsia"/>
          <w:bCs/>
          <w:kern w:val="52"/>
          <w:szCs w:val="24"/>
        </w:rPr>
        <w:t>，</w:t>
      </w:r>
      <w:r>
        <w:rPr>
          <w:rFonts w:ascii="標楷體" w:eastAsia="標楷體" w:hAnsi="標楷體" w:hint="eastAsia"/>
          <w:bCs/>
          <w:kern w:val="52"/>
          <w:szCs w:val="24"/>
        </w:rPr>
        <w:t>又</w:t>
      </w:r>
      <w:r w:rsidRPr="007A317F">
        <w:rPr>
          <w:rFonts w:ascii="標楷體" w:eastAsia="標楷體" w:hAnsi="標楷體" w:hint="eastAsia"/>
          <w:bCs/>
          <w:kern w:val="52"/>
          <w:szCs w:val="24"/>
        </w:rPr>
        <w:t>駕駛人未依規定使用方向燈及闖紅燈之情形，為所有違規項目中發生數量之前兩名，顯示公車安全管理措施有待加強。依美國國家公路交通安全管理</w:t>
      </w:r>
      <w:r w:rsidR="00F05D26" w:rsidRPr="007A317F">
        <w:rPr>
          <w:rFonts w:ascii="標楷體" w:eastAsia="標楷體" w:hAnsi="標楷體" w:hint="eastAsia"/>
          <w:bCs/>
          <w:kern w:val="52"/>
          <w:szCs w:val="24"/>
        </w:rPr>
        <w:t>局研究指出，94％嚴重車禍是人為疏失所造成，善用危險駕駛行為偵測及先進車輛安全輔助系統之車輛，可以協助駕駛更安全地操作車輛。</w:t>
      </w:r>
      <w:r w:rsidR="00F05D26">
        <w:rPr>
          <w:rFonts w:ascii="標楷體" w:eastAsia="標楷體" w:hAnsi="標楷體" w:hint="eastAsia"/>
          <w:bCs/>
          <w:kern w:val="52"/>
          <w:szCs w:val="24"/>
        </w:rPr>
        <w:t>經</w:t>
      </w:r>
      <w:r w:rsidR="00F05D26" w:rsidRPr="007A317F">
        <w:rPr>
          <w:rFonts w:ascii="標楷體" w:eastAsia="標楷體" w:hAnsi="標楷體" w:hint="eastAsia"/>
          <w:bCs/>
          <w:kern w:val="52"/>
          <w:szCs w:val="24"/>
        </w:rPr>
        <w:t>查「公路公共運輸服務升級計畫（110</w:t>
      </w:r>
      <w:r w:rsidR="00F05D26">
        <w:rPr>
          <w:rFonts w:ascii="標楷體" w:eastAsia="標楷體" w:hAnsi="標楷體" w:hint="eastAsia"/>
          <w:bCs/>
          <w:kern w:val="52"/>
          <w:szCs w:val="24"/>
        </w:rPr>
        <w:t>－</w:t>
      </w:r>
      <w:r w:rsidR="00F05D26" w:rsidRPr="007A317F">
        <w:rPr>
          <w:rFonts w:ascii="標楷體" w:eastAsia="標楷體" w:hAnsi="標楷體" w:hint="eastAsia"/>
          <w:bCs/>
          <w:kern w:val="52"/>
          <w:szCs w:val="24"/>
        </w:rPr>
        <w:t>113年）」</w:t>
      </w:r>
    </w:p>
    <w:bookmarkEnd w:id="51"/>
    <w:p w14:paraId="66859ED2" w14:textId="46D9975A" w:rsidR="00CC5AFC" w:rsidRDefault="00CC5AFC" w:rsidP="00D51423">
      <w:pPr>
        <w:overflowPunct w:val="0"/>
        <w:spacing w:line="420" w:lineRule="exact"/>
        <w:jc w:val="both"/>
        <w:rPr>
          <w:rFonts w:ascii="標楷體" w:eastAsia="標楷體" w:hAnsi="標楷體" w:cs="Times New Roman"/>
          <w:b/>
          <w:sz w:val="28"/>
          <w:szCs w:val="28"/>
        </w:rPr>
      </w:pPr>
      <w:r w:rsidRPr="007A317F">
        <w:rPr>
          <w:rFonts w:ascii="標楷體" w:eastAsia="標楷體" w:hAnsi="標楷體" w:hint="eastAsia"/>
          <w:bCs/>
          <w:kern w:val="52"/>
          <w:szCs w:val="24"/>
        </w:rPr>
        <w:lastRenderedPageBreak/>
        <w:t>內已提供業者裝設「車輛安全性及危險駕駛行為自動診斷警示系統」及「主動式先進車輛安全系統」</w:t>
      </w:r>
      <w:r>
        <w:rPr>
          <w:rFonts w:ascii="標楷體" w:eastAsia="標楷體" w:hAnsi="標楷體" w:hint="eastAsia"/>
          <w:bCs/>
          <w:kern w:val="52"/>
          <w:szCs w:val="24"/>
        </w:rPr>
        <w:t>之</w:t>
      </w:r>
      <w:r w:rsidRPr="007A317F">
        <w:rPr>
          <w:rFonts w:ascii="標楷體" w:eastAsia="標楷體" w:hAnsi="標楷體" w:hint="eastAsia"/>
          <w:bCs/>
          <w:kern w:val="52"/>
          <w:szCs w:val="24"/>
        </w:rPr>
        <w:t>補助</w:t>
      </w:r>
      <w:r>
        <w:rPr>
          <w:rFonts w:ascii="標楷體" w:eastAsia="標楷體" w:hAnsi="標楷體" w:hint="eastAsia"/>
          <w:bCs/>
          <w:kern w:val="52"/>
          <w:szCs w:val="24"/>
        </w:rPr>
        <w:t>經費</w:t>
      </w:r>
      <w:r w:rsidRPr="007A317F">
        <w:rPr>
          <w:rFonts w:ascii="標楷體" w:eastAsia="標楷體" w:hAnsi="標楷體" w:hint="eastAsia"/>
          <w:bCs/>
          <w:kern w:val="52"/>
          <w:szCs w:val="24"/>
        </w:rPr>
        <w:t>，</w:t>
      </w:r>
      <w:r>
        <w:rPr>
          <w:rFonts w:ascii="標楷體" w:eastAsia="標楷體" w:hAnsi="標楷體" w:hint="eastAsia"/>
          <w:bCs/>
          <w:kern w:val="52"/>
          <w:szCs w:val="24"/>
        </w:rPr>
        <w:t>包括</w:t>
      </w:r>
      <w:r w:rsidRPr="002E64EE">
        <w:rPr>
          <w:rFonts w:ascii="標楷體" w:eastAsia="標楷體" w:hAnsi="標楷體" w:hint="eastAsia"/>
          <w:bCs/>
          <w:kern w:val="52"/>
          <w:szCs w:val="24"/>
        </w:rPr>
        <w:t>胎壓檢測裝置及車載自我診斷，及駕駛人瞌睡、彎道速度過快等危險駕駛行為偵測及警示功能，另有車輛穩定性電子式控制、煞車輔助、主動車距控制巡航及緊急煞車輔助等系統。</w:t>
      </w:r>
      <w:proofErr w:type="gramStart"/>
      <w:r w:rsidRPr="007A317F">
        <w:rPr>
          <w:rFonts w:ascii="標楷體" w:eastAsia="標楷體" w:hAnsi="標楷體" w:hint="eastAsia"/>
          <w:bCs/>
          <w:kern w:val="52"/>
          <w:szCs w:val="24"/>
        </w:rPr>
        <w:t>惟</w:t>
      </w:r>
      <w:proofErr w:type="gramEnd"/>
      <w:r w:rsidRPr="007A317F">
        <w:rPr>
          <w:rFonts w:ascii="標楷體" w:eastAsia="標楷體" w:hAnsi="標楷體" w:hint="eastAsia"/>
          <w:bCs/>
          <w:kern w:val="52"/>
          <w:szCs w:val="24"/>
        </w:rPr>
        <w:t>截至113年底，</w:t>
      </w:r>
      <w:r>
        <w:rPr>
          <w:rFonts w:ascii="標楷體" w:eastAsia="標楷體" w:hAnsi="標楷體" w:hint="eastAsia"/>
          <w:bCs/>
          <w:kern w:val="52"/>
          <w:szCs w:val="24"/>
        </w:rPr>
        <w:t>臺北市</w:t>
      </w:r>
      <w:r w:rsidRPr="007A317F">
        <w:rPr>
          <w:rFonts w:ascii="標楷體" w:eastAsia="標楷體" w:hAnsi="標楷體" w:hint="eastAsia"/>
          <w:bCs/>
          <w:kern w:val="52"/>
          <w:szCs w:val="24"/>
        </w:rPr>
        <w:t>市區汽車客運業裝有危險駕駛行為偵測及先進車輛安全輔助系統之車輛僅</w:t>
      </w:r>
      <w:r>
        <w:rPr>
          <w:rFonts w:ascii="標楷體" w:eastAsia="標楷體" w:hAnsi="標楷體"/>
          <w:bCs/>
          <w:kern w:val="52"/>
          <w:szCs w:val="24"/>
        </w:rPr>
        <w:t>243</w:t>
      </w:r>
      <w:r w:rsidRPr="007A317F">
        <w:rPr>
          <w:rFonts w:ascii="標楷體" w:eastAsia="標楷體" w:hAnsi="標楷體" w:hint="eastAsia"/>
          <w:bCs/>
          <w:kern w:val="52"/>
          <w:szCs w:val="24"/>
        </w:rPr>
        <w:t>輛，占總車輛數</w:t>
      </w:r>
      <w:r>
        <w:rPr>
          <w:rFonts w:ascii="標楷體" w:eastAsia="標楷體" w:hAnsi="標楷體"/>
          <w:bCs/>
          <w:kern w:val="52"/>
          <w:szCs w:val="24"/>
        </w:rPr>
        <w:t>3,390</w:t>
      </w:r>
      <w:r w:rsidRPr="007A317F">
        <w:rPr>
          <w:rFonts w:ascii="標楷體" w:eastAsia="標楷體" w:hAnsi="標楷體" w:hint="eastAsia"/>
          <w:bCs/>
          <w:kern w:val="52"/>
          <w:szCs w:val="24"/>
        </w:rPr>
        <w:t>輛</w:t>
      </w:r>
      <w:r w:rsidRPr="00B63F3A">
        <w:rPr>
          <w:rFonts w:ascii="標楷體" w:eastAsia="標楷體" w:hAnsi="標楷體" w:hint="eastAsia"/>
          <w:bCs/>
          <w:kern w:val="52"/>
          <w:szCs w:val="24"/>
        </w:rPr>
        <w:t>之</w:t>
      </w:r>
      <w:r w:rsidRPr="00B63F3A">
        <w:rPr>
          <w:rFonts w:ascii="標楷體" w:eastAsia="標楷體" w:hAnsi="標楷體"/>
          <w:bCs/>
          <w:kern w:val="52"/>
          <w:szCs w:val="24"/>
        </w:rPr>
        <w:t>7.17</w:t>
      </w:r>
      <w:r w:rsidRPr="00B63F3A">
        <w:rPr>
          <w:rFonts w:ascii="標楷體" w:eastAsia="標楷體" w:hAnsi="標楷體" w:hint="eastAsia"/>
          <w:bCs/>
          <w:kern w:val="52"/>
          <w:szCs w:val="24"/>
        </w:rPr>
        <w:t>％</w:t>
      </w:r>
      <w:r>
        <w:rPr>
          <w:rFonts w:ascii="標楷體" w:eastAsia="標楷體" w:hAnsi="標楷體" w:hint="eastAsia"/>
          <w:bCs/>
          <w:kern w:val="52"/>
          <w:szCs w:val="24"/>
        </w:rPr>
        <w:t>，尚未能充分運用先進技術增加行車安全性</w:t>
      </w:r>
      <w:r w:rsidRPr="00B63F3A">
        <w:rPr>
          <w:rFonts w:ascii="標楷體" w:eastAsia="標楷體" w:hAnsi="標楷體" w:hint="eastAsia"/>
          <w:bCs/>
          <w:kern w:val="52"/>
          <w:szCs w:val="24"/>
        </w:rPr>
        <w:t>，經函請交通局督促公共運輸處檢討改善。據復：經統計臺北市市區汽車客運有責事故前3</w:t>
      </w:r>
      <w:proofErr w:type="gramStart"/>
      <w:r w:rsidRPr="00B63F3A">
        <w:rPr>
          <w:rFonts w:ascii="標楷體" w:eastAsia="標楷體" w:hAnsi="標楷體" w:hint="eastAsia"/>
          <w:bCs/>
          <w:kern w:val="52"/>
          <w:szCs w:val="24"/>
        </w:rPr>
        <w:t>大肇因為</w:t>
      </w:r>
      <w:proofErr w:type="gramEnd"/>
      <w:r w:rsidRPr="00B63F3A">
        <w:rPr>
          <w:rFonts w:ascii="標楷體" w:eastAsia="標楷體" w:hAnsi="標楷體" w:hint="eastAsia"/>
          <w:bCs/>
          <w:kern w:val="52"/>
          <w:szCs w:val="24"/>
        </w:rPr>
        <w:t>「未保持安全間隔」、「變換車道不當」及「未注意車前人車動態」，已於109年起要求業者裝設先進駕駛輔助系統（</w:t>
      </w:r>
      <w:r w:rsidRPr="00B63F3A">
        <w:rPr>
          <w:rFonts w:ascii="標楷體" w:eastAsia="標楷體" w:hAnsi="標楷體"/>
          <w:bCs/>
          <w:kern w:val="52"/>
          <w:szCs w:val="24"/>
        </w:rPr>
        <w:t>ADAS</w:t>
      </w:r>
      <w:r w:rsidRPr="00B63F3A">
        <w:rPr>
          <w:rFonts w:ascii="標楷體" w:eastAsia="標楷體" w:hAnsi="標楷體" w:hint="eastAsia"/>
          <w:bCs/>
          <w:kern w:val="52"/>
          <w:szCs w:val="24"/>
        </w:rPr>
        <w:t>）之</w:t>
      </w:r>
      <w:proofErr w:type="gramStart"/>
      <w:r w:rsidRPr="00B63F3A">
        <w:rPr>
          <w:rFonts w:ascii="標楷體" w:eastAsia="標楷體" w:hAnsi="標楷體" w:hint="eastAsia"/>
          <w:bCs/>
          <w:kern w:val="52"/>
          <w:szCs w:val="24"/>
        </w:rPr>
        <w:t>前方防</w:t>
      </w:r>
      <w:proofErr w:type="gramEnd"/>
      <w:r w:rsidRPr="00B63F3A">
        <w:rPr>
          <w:rFonts w:ascii="標楷體" w:eastAsia="標楷體" w:hAnsi="標楷體" w:hint="eastAsia"/>
          <w:bCs/>
          <w:kern w:val="52"/>
          <w:szCs w:val="24"/>
        </w:rPr>
        <w:t>碰撞預警、車道偏移預警及行車盲點偵測等3項功能，嗣後將持續檢討裝設相關科技輔助設備之可行性，以利行車安全。</w:t>
      </w:r>
    </w:p>
    <w:p w14:paraId="2F2ADB32" w14:textId="64E8DE93" w:rsidR="00CC5AFC" w:rsidRPr="00012274" w:rsidRDefault="00CC5AFC" w:rsidP="00D51423">
      <w:pPr>
        <w:suppressAutoHyphens/>
        <w:overflowPunct w:val="0"/>
        <w:spacing w:beforeLines="30" w:before="108" w:line="440" w:lineRule="exact"/>
        <w:ind w:firstLineChars="100" w:firstLine="280"/>
        <w:jc w:val="both"/>
        <w:rPr>
          <w:rFonts w:ascii="標楷體" w:eastAsia="標楷體" w:hAnsi="標楷體" w:cs="Times New Roman"/>
          <w:sz w:val="18"/>
          <w:szCs w:val="18"/>
        </w:rPr>
      </w:pPr>
      <w:r w:rsidRPr="00012274">
        <w:rPr>
          <w:rFonts w:ascii="標楷體" w:eastAsia="標楷體" w:hAnsi="標楷體" w:cs="Times New Roman" w:hint="eastAsia"/>
          <w:b/>
          <w:sz w:val="28"/>
          <w:szCs w:val="28"/>
        </w:rPr>
        <w:t>（</w:t>
      </w:r>
      <w:r>
        <w:rPr>
          <w:rFonts w:ascii="標楷體" w:eastAsia="標楷體" w:hAnsi="標楷體" w:cs="Times New Roman" w:hint="eastAsia"/>
          <w:b/>
          <w:sz w:val="28"/>
          <w:szCs w:val="28"/>
        </w:rPr>
        <w:t>六</w:t>
      </w:r>
      <w:r w:rsidRPr="00012274">
        <w:rPr>
          <w:rFonts w:ascii="標楷體" w:eastAsia="標楷體" w:hAnsi="標楷體" w:cs="Times New Roman" w:hint="eastAsia"/>
          <w:b/>
          <w:sz w:val="28"/>
          <w:szCs w:val="28"/>
        </w:rPr>
        <w:t>）</w:t>
      </w:r>
      <w:proofErr w:type="gramStart"/>
      <w:r w:rsidRPr="00E83E2E">
        <w:rPr>
          <w:rFonts w:ascii="標楷體" w:eastAsia="標楷體" w:hAnsi="標楷體" w:cs="Times New Roman" w:hint="eastAsia"/>
          <w:b/>
          <w:sz w:val="28"/>
          <w:szCs w:val="28"/>
        </w:rPr>
        <w:t>臺</w:t>
      </w:r>
      <w:proofErr w:type="gramEnd"/>
      <w:r w:rsidRPr="00E83E2E">
        <w:rPr>
          <w:rFonts w:ascii="標楷體" w:eastAsia="標楷體" w:hAnsi="標楷體" w:cs="Times New Roman" w:hint="eastAsia"/>
          <w:b/>
          <w:sz w:val="28"/>
          <w:szCs w:val="28"/>
        </w:rPr>
        <w:t>北捷運系統設有多處強震儀監測地震訊息，以應地震發生時即時採取應變措施，</w:t>
      </w:r>
      <w:proofErr w:type="gramStart"/>
      <w:r w:rsidRPr="00E83E2E">
        <w:rPr>
          <w:rFonts w:ascii="標楷體" w:eastAsia="標楷體" w:hAnsi="標楷體" w:cs="Times New Roman" w:hint="eastAsia"/>
          <w:b/>
          <w:sz w:val="28"/>
          <w:szCs w:val="28"/>
        </w:rPr>
        <w:t>惟間有</w:t>
      </w:r>
      <w:r>
        <w:rPr>
          <w:rFonts w:ascii="標楷體" w:eastAsia="標楷體" w:hAnsi="標楷體" w:cs="Times New Roman" w:hint="eastAsia"/>
          <w:b/>
          <w:sz w:val="28"/>
          <w:szCs w:val="28"/>
        </w:rPr>
        <w:t>漏</w:t>
      </w:r>
      <w:proofErr w:type="gramEnd"/>
      <w:r w:rsidRPr="00E83E2E">
        <w:rPr>
          <w:rFonts w:ascii="標楷體" w:eastAsia="標楷體" w:hAnsi="標楷體" w:cs="Times New Roman" w:hint="eastAsia"/>
          <w:b/>
          <w:sz w:val="28"/>
          <w:szCs w:val="28"/>
        </w:rPr>
        <w:t>未依</w:t>
      </w:r>
      <w:r>
        <w:rPr>
          <w:rFonts w:ascii="標楷體" w:eastAsia="標楷體" w:hAnsi="標楷體" w:cs="Times New Roman" w:hint="eastAsia"/>
          <w:b/>
          <w:sz w:val="28"/>
          <w:szCs w:val="28"/>
        </w:rPr>
        <w:t>所訂作業</w:t>
      </w:r>
      <w:r w:rsidRPr="00E83E2E">
        <w:rPr>
          <w:rFonts w:ascii="標楷體" w:eastAsia="標楷體" w:hAnsi="標楷體" w:cs="Times New Roman" w:hint="eastAsia"/>
          <w:b/>
          <w:sz w:val="28"/>
          <w:szCs w:val="28"/>
        </w:rPr>
        <w:t>規範</w:t>
      </w:r>
      <w:r>
        <w:rPr>
          <w:rFonts w:ascii="標楷體" w:eastAsia="標楷體" w:hAnsi="標楷體" w:cs="Times New Roman" w:hint="eastAsia"/>
          <w:b/>
          <w:sz w:val="28"/>
          <w:szCs w:val="28"/>
        </w:rPr>
        <w:t>執行</w:t>
      </w:r>
      <w:r w:rsidRPr="00E83E2E">
        <w:rPr>
          <w:rFonts w:ascii="標楷體" w:eastAsia="標楷體" w:hAnsi="標楷體" w:cs="Times New Roman" w:hint="eastAsia"/>
          <w:b/>
          <w:sz w:val="28"/>
          <w:szCs w:val="28"/>
        </w:rPr>
        <w:t>強震儀功能</w:t>
      </w:r>
      <w:r>
        <w:rPr>
          <w:rFonts w:ascii="標楷體" w:eastAsia="標楷體" w:hAnsi="標楷體" w:cs="Times New Roman" w:hint="eastAsia"/>
          <w:b/>
          <w:sz w:val="28"/>
          <w:szCs w:val="28"/>
        </w:rPr>
        <w:t>季檢查</w:t>
      </w:r>
      <w:r w:rsidRPr="00E83E2E">
        <w:rPr>
          <w:rFonts w:ascii="標楷體" w:eastAsia="標楷體" w:hAnsi="標楷體" w:cs="Times New Roman" w:hint="eastAsia"/>
          <w:b/>
          <w:sz w:val="28"/>
          <w:szCs w:val="28"/>
        </w:rPr>
        <w:t>，或按季執行檢查卻未涵</w:t>
      </w:r>
      <w:proofErr w:type="gramStart"/>
      <w:r w:rsidRPr="00E83E2E">
        <w:rPr>
          <w:rFonts w:ascii="標楷體" w:eastAsia="標楷體" w:hAnsi="標楷體" w:cs="Times New Roman" w:hint="eastAsia"/>
          <w:b/>
          <w:sz w:val="28"/>
          <w:szCs w:val="28"/>
        </w:rPr>
        <w:t>括</w:t>
      </w:r>
      <w:proofErr w:type="gramEnd"/>
      <w:r w:rsidRPr="00E83E2E">
        <w:rPr>
          <w:rFonts w:ascii="標楷體" w:eastAsia="標楷體" w:hAnsi="標楷體" w:cs="Times New Roman" w:hint="eastAsia"/>
          <w:b/>
          <w:sz w:val="28"/>
          <w:szCs w:val="28"/>
        </w:rPr>
        <w:t>全數檢查項目等，</w:t>
      </w:r>
      <w:proofErr w:type="gramStart"/>
      <w:r w:rsidRPr="00E83E2E">
        <w:rPr>
          <w:rFonts w:ascii="標楷體" w:eastAsia="標楷體" w:hAnsi="標楷體" w:cs="Times New Roman" w:hint="eastAsia"/>
          <w:b/>
          <w:sz w:val="28"/>
          <w:szCs w:val="28"/>
        </w:rPr>
        <w:t>允待檢討</w:t>
      </w:r>
      <w:proofErr w:type="gramEnd"/>
      <w:r w:rsidRPr="00E83E2E">
        <w:rPr>
          <w:rFonts w:ascii="標楷體" w:eastAsia="標楷體" w:hAnsi="標楷體" w:cs="Times New Roman" w:hint="eastAsia"/>
          <w:b/>
          <w:sz w:val="28"/>
          <w:szCs w:val="28"/>
        </w:rPr>
        <w:t>改進，以維持</w:t>
      </w:r>
      <w:r w:rsidRPr="00A8594A">
        <w:rPr>
          <w:rFonts w:ascii="標楷體" w:eastAsia="標楷體" w:hAnsi="標楷體" w:hint="eastAsia"/>
          <w:b/>
          <w:sz w:val="28"/>
          <w:szCs w:val="28"/>
        </w:rPr>
        <w:t>設施</w:t>
      </w:r>
      <w:r w:rsidRPr="00E83E2E">
        <w:rPr>
          <w:rFonts w:ascii="標楷體" w:eastAsia="標楷體" w:hAnsi="標楷體" w:cs="Times New Roman" w:hint="eastAsia"/>
          <w:b/>
          <w:sz w:val="28"/>
          <w:szCs w:val="28"/>
        </w:rPr>
        <w:t>功能有效性</w:t>
      </w:r>
      <w:r w:rsidRPr="00012274">
        <w:rPr>
          <w:rFonts w:ascii="標楷體" w:eastAsia="標楷體" w:hAnsi="標楷體" w:cs="Times New Roman" w:hint="eastAsia"/>
          <w:b/>
          <w:sz w:val="28"/>
          <w:szCs w:val="28"/>
        </w:rPr>
        <w:t>。</w:t>
      </w:r>
    </w:p>
    <w:p w14:paraId="3BC5EAD2" w14:textId="21C8AC4D" w:rsidR="003B77D0" w:rsidRDefault="00CC5AFC" w:rsidP="003E1813">
      <w:pPr>
        <w:overflowPunct w:val="0"/>
        <w:spacing w:line="420" w:lineRule="exact"/>
        <w:ind w:firstLineChars="200" w:firstLine="480"/>
        <w:jc w:val="both"/>
        <w:rPr>
          <w:rFonts w:ascii="標楷體" w:eastAsia="標楷體" w:hAnsi="標楷體" w:cs="Times New Roman"/>
        </w:rPr>
      </w:pPr>
      <w:proofErr w:type="gramStart"/>
      <w:r>
        <w:rPr>
          <w:rFonts w:ascii="標楷體" w:eastAsia="標楷體" w:hAnsi="標楷體" w:cs="Times New Roman" w:hint="eastAsia"/>
        </w:rPr>
        <w:t>臺</w:t>
      </w:r>
      <w:proofErr w:type="gramEnd"/>
      <w:r>
        <w:rPr>
          <w:rFonts w:ascii="標楷體" w:eastAsia="標楷體" w:hAnsi="標楷體" w:cs="Times New Roman" w:hint="eastAsia"/>
        </w:rPr>
        <w:t>北大眾捷運股份有限</w:t>
      </w:r>
      <w:r w:rsidRPr="003D2D45">
        <w:rPr>
          <w:rFonts w:ascii="標楷體" w:eastAsia="標楷體" w:hAnsi="標楷體" w:cs="Times New Roman" w:hint="eastAsia"/>
        </w:rPr>
        <w:t>公司</w:t>
      </w:r>
      <w:r>
        <w:rPr>
          <w:rFonts w:ascii="標楷體" w:eastAsia="標楷體" w:hAnsi="標楷體" w:cs="Times New Roman" w:hint="eastAsia"/>
        </w:rPr>
        <w:t>（下稱捷運公司）</w:t>
      </w:r>
      <w:r w:rsidRPr="003D2D45">
        <w:rPr>
          <w:rFonts w:ascii="標楷體" w:eastAsia="標楷體" w:hAnsi="標楷體" w:cs="Times New Roman" w:hint="eastAsia"/>
        </w:rPr>
        <w:t>為維護旅客搭乘捷運安全，於交九行控中心等15處設置強震儀，24小時監測地震訊息，以應地震級數不同，採取列車慢速行駛</w:t>
      </w:r>
      <w:proofErr w:type="gramStart"/>
      <w:r w:rsidRPr="003D2D45">
        <w:rPr>
          <w:rFonts w:ascii="標楷體" w:eastAsia="標楷體" w:hAnsi="標楷體" w:cs="Times New Roman" w:hint="eastAsia"/>
        </w:rPr>
        <w:t>巡軌或系統</w:t>
      </w:r>
      <w:proofErr w:type="gramEnd"/>
      <w:r w:rsidRPr="003D2D45">
        <w:rPr>
          <w:rFonts w:ascii="標楷體" w:eastAsia="標楷體" w:hAnsi="標楷體" w:cs="Times New Roman" w:hint="eastAsia"/>
        </w:rPr>
        <w:t>暫停營運等措施</w:t>
      </w:r>
      <w:r>
        <w:rPr>
          <w:rFonts w:ascii="標楷體" w:eastAsia="標楷體" w:hAnsi="標楷體" w:cs="Times New Roman" w:hint="eastAsia"/>
        </w:rPr>
        <w:t>；</w:t>
      </w:r>
      <w:r w:rsidRPr="003D2D45">
        <w:rPr>
          <w:rFonts w:ascii="標楷體" w:eastAsia="標楷體" w:hAnsi="標楷體" w:cs="Times New Roman" w:hint="eastAsia"/>
        </w:rPr>
        <w:t>另為維持強震儀及</w:t>
      </w:r>
      <w:r w:rsidRPr="00606D4C">
        <w:rPr>
          <w:rFonts w:ascii="標楷體" w:eastAsia="標楷體" w:hAnsi="標楷體" w:hint="eastAsia"/>
          <w:bCs/>
          <w:kern w:val="52"/>
          <w:szCs w:val="24"/>
        </w:rPr>
        <w:t>地震</w:t>
      </w:r>
      <w:r w:rsidRPr="003D2D45">
        <w:rPr>
          <w:rFonts w:ascii="標楷體" w:eastAsia="標楷體" w:hAnsi="標楷體" w:cs="Times New Roman" w:hint="eastAsia"/>
        </w:rPr>
        <w:t>警報系統監控程式有效性，並訂有「強震即時警報系統維護工作說明書」，</w:t>
      </w:r>
      <w:r w:rsidRPr="00093471">
        <w:rPr>
          <w:rFonts w:ascii="標楷體" w:eastAsia="標楷體" w:hAnsi="標楷體" w:cs="Times New Roman" w:hint="eastAsia"/>
        </w:rPr>
        <w:t>規定</w:t>
      </w:r>
      <w:r w:rsidRPr="003D2D45">
        <w:rPr>
          <w:rFonts w:ascii="標楷體" w:eastAsia="標楷體" w:hAnsi="標楷體" w:cs="Times New Roman" w:hint="eastAsia"/>
        </w:rPr>
        <w:t>按月執行強震儀四周地面是否清潔等10項檢查</w:t>
      </w:r>
      <w:r>
        <w:rPr>
          <w:rFonts w:ascii="標楷體" w:eastAsia="標楷體" w:hAnsi="標楷體" w:cs="Times New Roman" w:hint="eastAsia"/>
        </w:rPr>
        <w:t>、</w:t>
      </w:r>
      <w:r w:rsidRPr="003D2D45">
        <w:rPr>
          <w:rFonts w:ascii="標楷體" w:eastAsia="標楷體" w:hAnsi="標楷體" w:cs="Times New Roman" w:hint="eastAsia"/>
        </w:rPr>
        <w:t>按季（含當月）執行現場</w:t>
      </w:r>
    </w:p>
    <w:p w14:paraId="75677B82" w14:textId="3543D451" w:rsidR="00D51423" w:rsidRDefault="00D51423" w:rsidP="00D51423">
      <w:pPr>
        <w:overflowPunct w:val="0"/>
        <w:spacing w:line="420" w:lineRule="exact"/>
        <w:jc w:val="both"/>
        <w:rPr>
          <w:rFonts w:ascii="標楷體" w:eastAsia="標楷體" w:hAnsi="標楷體" w:cs="Times New Roman"/>
        </w:rPr>
      </w:pPr>
      <w:r w:rsidRPr="00AE05F3">
        <w:rPr>
          <w:rFonts w:ascii="Calibri" w:eastAsia="新細明體" w:hAnsi="Calibri" w:cs="Times New Roman"/>
          <w:noProof/>
          <w:szCs w:val="32"/>
        </w:rPr>
        <mc:AlternateContent>
          <mc:Choice Requires="wps">
            <w:drawing>
              <wp:anchor distT="45720" distB="45720" distL="114300" distR="114300" simplePos="0" relativeHeight="251772928" behindDoc="1" locked="0" layoutInCell="1" allowOverlap="1" wp14:anchorId="4EDF6DD6" wp14:editId="39FD0532">
                <wp:simplePos x="0" y="0"/>
                <wp:positionH relativeFrom="margin">
                  <wp:posOffset>2894330</wp:posOffset>
                </wp:positionH>
                <wp:positionV relativeFrom="page">
                  <wp:posOffset>6686550</wp:posOffset>
                </wp:positionV>
                <wp:extent cx="3481070" cy="3152775"/>
                <wp:effectExtent l="0" t="0" r="5080" b="9525"/>
                <wp:wrapTight wrapText="bothSides">
                  <wp:wrapPolygon edited="0">
                    <wp:start x="0" y="0"/>
                    <wp:lineTo x="0" y="21535"/>
                    <wp:lineTo x="21513" y="21535"/>
                    <wp:lineTo x="21513" y="0"/>
                    <wp:lineTo x="0" y="0"/>
                  </wp:wrapPolygon>
                </wp:wrapTight>
                <wp:docPr id="927419597" name="文字方塊 9274195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1070" cy="3152775"/>
                        </a:xfrm>
                        <a:prstGeom prst="rect">
                          <a:avLst/>
                        </a:prstGeom>
                        <a:solidFill>
                          <a:srgbClr val="FFFFFF"/>
                        </a:solidFill>
                        <a:ln w="9525">
                          <a:noFill/>
                          <a:miter lim="800000"/>
                          <a:headEnd/>
                          <a:tailEnd/>
                        </a:ln>
                      </wps:spPr>
                      <wps:txbx>
                        <w:txbxContent>
                          <w:p w14:paraId="04659C88" w14:textId="77777777" w:rsidR="00CC5AFC" w:rsidRPr="001574F8" w:rsidRDefault="00CC5AFC" w:rsidP="00CC5AFC">
                            <w:pPr>
                              <w:pStyle w:val="Default"/>
                              <w:spacing w:line="240" w:lineRule="exact"/>
                              <w:ind w:left="553" w:hangingChars="230" w:hanging="553"/>
                              <w:jc w:val="center"/>
                              <w:rPr>
                                <w:rFonts w:hAnsi="標楷體"/>
                                <w:b/>
                              </w:rPr>
                            </w:pPr>
                            <w:r w:rsidRPr="001574F8">
                              <w:rPr>
                                <w:rFonts w:hAnsi="標楷體" w:hint="eastAsia"/>
                                <w:b/>
                              </w:rPr>
                              <w:t>表</w:t>
                            </w:r>
                            <w:r>
                              <w:rPr>
                                <w:rFonts w:hAnsi="標楷體"/>
                                <w:b/>
                              </w:rPr>
                              <w:t xml:space="preserve">5  </w:t>
                            </w:r>
                            <w:r w:rsidRPr="00C86A35">
                              <w:rPr>
                                <w:rFonts w:hAnsi="標楷體" w:hint="eastAsia"/>
                                <w:b/>
                                <w:spacing w:val="4"/>
                              </w:rPr>
                              <w:t>規劃1</w:t>
                            </w:r>
                            <w:r w:rsidRPr="00C86A35">
                              <w:rPr>
                                <w:rFonts w:hAnsi="標楷體"/>
                                <w:b/>
                                <w:spacing w:val="4"/>
                              </w:rPr>
                              <w:t>5</w:t>
                            </w:r>
                            <w:r w:rsidRPr="00C86A35">
                              <w:rPr>
                                <w:rFonts w:hAnsi="標楷體" w:hint="eastAsia"/>
                                <w:b/>
                                <w:spacing w:val="4"/>
                              </w:rPr>
                              <w:t>處強震儀辦理季檢查情形</w:t>
                            </w:r>
                          </w:p>
                          <w:tbl>
                            <w:tblPr>
                              <w:tblStyle w:val="201"/>
                              <w:tblW w:w="5240" w:type="dxa"/>
                              <w:tblLook w:val="04A0" w:firstRow="1" w:lastRow="0" w:firstColumn="1" w:lastColumn="0" w:noHBand="0" w:noVBand="1"/>
                            </w:tblPr>
                            <w:tblGrid>
                              <w:gridCol w:w="409"/>
                              <w:gridCol w:w="409"/>
                              <w:gridCol w:w="2296"/>
                              <w:gridCol w:w="2126"/>
                            </w:tblGrid>
                            <w:tr w:rsidR="00CC5AFC" w:rsidRPr="001574F8" w14:paraId="7D5B3B17" w14:textId="77777777" w:rsidTr="00CC5AFC">
                              <w:trPr>
                                <w:trHeight w:val="470"/>
                              </w:trPr>
                              <w:tc>
                                <w:tcPr>
                                  <w:tcW w:w="818" w:type="dxa"/>
                                  <w:gridSpan w:val="2"/>
                                  <w:shd w:val="clear" w:color="auto" w:fill="auto"/>
                                  <w:vAlign w:val="center"/>
                                </w:tcPr>
                                <w:p w14:paraId="4932C767"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項目</w:t>
                                  </w:r>
                                </w:p>
                              </w:tc>
                              <w:tc>
                                <w:tcPr>
                                  <w:tcW w:w="2296" w:type="dxa"/>
                                  <w:shd w:val="clear" w:color="auto" w:fill="auto"/>
                                  <w:vAlign w:val="center"/>
                                </w:tcPr>
                                <w:p w14:paraId="3C188486"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型號</w:t>
                                  </w:r>
                                  <w:r w:rsidRPr="00CC5AFC">
                                    <w:rPr>
                                      <w:rFonts w:ascii="標楷體" w:eastAsia="標楷體" w:hAnsi="標楷體"/>
                                      <w:spacing w:val="-4"/>
                                      <w:sz w:val="20"/>
                                      <w:szCs w:val="20"/>
                                    </w:rPr>
                                    <w:t>Palert 220</w:t>
                                  </w:r>
                                </w:p>
                                <w:p w14:paraId="13A0D4CF"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強震儀</w:t>
                                  </w:r>
                                </w:p>
                              </w:tc>
                              <w:tc>
                                <w:tcPr>
                                  <w:tcW w:w="2126" w:type="dxa"/>
                                  <w:shd w:val="clear" w:color="auto" w:fill="auto"/>
                                  <w:vAlign w:val="center"/>
                                </w:tcPr>
                                <w:p w14:paraId="1C10D1A8"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型號</w:t>
                                  </w:r>
                                  <w:r w:rsidRPr="00CC5AFC">
                                    <w:rPr>
                                      <w:rFonts w:ascii="標楷體" w:eastAsia="標楷體" w:hAnsi="標楷體"/>
                                      <w:spacing w:val="-4"/>
                                      <w:sz w:val="20"/>
                                      <w:szCs w:val="20"/>
                                    </w:rPr>
                                    <w:t>Palert F330</w:t>
                                  </w:r>
                                </w:p>
                                <w:p w14:paraId="4C47E64F"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強震儀</w:t>
                                  </w:r>
                                </w:p>
                              </w:tc>
                            </w:tr>
                            <w:tr w:rsidR="00CC5AFC" w:rsidRPr="001574F8" w14:paraId="762E2D23" w14:textId="77777777" w:rsidTr="00824CD6">
                              <w:trPr>
                                <w:trHeight w:val="971"/>
                              </w:trPr>
                              <w:tc>
                                <w:tcPr>
                                  <w:tcW w:w="818" w:type="dxa"/>
                                  <w:gridSpan w:val="2"/>
                                  <w:vAlign w:val="center"/>
                                </w:tcPr>
                                <w:p w14:paraId="2FF6CBC1"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設置</w:t>
                                  </w:r>
                                </w:p>
                                <w:p w14:paraId="29F38242"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地點</w:t>
                                  </w:r>
                                </w:p>
                              </w:tc>
                              <w:tc>
                                <w:tcPr>
                                  <w:tcW w:w="2296" w:type="dxa"/>
                                  <w:vAlign w:val="center"/>
                                </w:tcPr>
                                <w:p w14:paraId="7DD8DAF7" w14:textId="77777777" w:rsidR="00CC5AFC" w:rsidRPr="00CC5AFC" w:rsidRDefault="00CC5AFC" w:rsidP="00CC5AFC">
                                  <w:pPr>
                                    <w:spacing w:line="240" w:lineRule="exact"/>
                                    <w:jc w:val="both"/>
                                    <w:rPr>
                                      <w:rFonts w:ascii="標楷體" w:eastAsia="標楷體" w:hAnsi="標楷體"/>
                                      <w:spacing w:val="-4"/>
                                      <w:sz w:val="20"/>
                                      <w:szCs w:val="20"/>
                                    </w:rPr>
                                  </w:pPr>
                                  <w:bookmarkStart w:id="52" w:name="_Hlk199510646"/>
                                  <w:r w:rsidRPr="00CC5AFC">
                                    <w:rPr>
                                      <w:rFonts w:ascii="標楷體" w:eastAsia="標楷體" w:hAnsi="標楷體" w:hint="eastAsia"/>
                                      <w:spacing w:val="-4"/>
                                      <w:sz w:val="20"/>
                                      <w:szCs w:val="20"/>
                                    </w:rPr>
                                    <w:t>紅樹林</w:t>
                                  </w:r>
                                  <w:bookmarkEnd w:id="52"/>
                                  <w:r w:rsidRPr="00CC5AFC">
                                    <w:rPr>
                                      <w:rFonts w:ascii="標楷體" w:eastAsia="標楷體" w:hAnsi="標楷體" w:hint="eastAsia"/>
                                      <w:spacing w:val="-4"/>
                                      <w:sz w:val="20"/>
                                      <w:szCs w:val="20"/>
                                    </w:rPr>
                                    <w:t>、大橋頭、永寧、</w:t>
                                  </w:r>
                                  <w:proofErr w:type="gramStart"/>
                                  <w:r w:rsidRPr="00CC5AFC">
                                    <w:rPr>
                                      <w:rFonts w:ascii="標楷體" w:eastAsia="標楷體" w:hAnsi="標楷體" w:hint="eastAsia"/>
                                      <w:spacing w:val="-4"/>
                                      <w:sz w:val="20"/>
                                      <w:szCs w:val="20"/>
                                    </w:rPr>
                                    <w:t>迴</w:t>
                                  </w:r>
                                  <w:proofErr w:type="gramEnd"/>
                                  <w:r w:rsidRPr="00CC5AFC">
                                    <w:rPr>
                                      <w:rFonts w:ascii="標楷體" w:eastAsia="標楷體" w:hAnsi="標楷體" w:hint="eastAsia"/>
                                      <w:spacing w:val="-4"/>
                                      <w:sz w:val="20"/>
                                      <w:szCs w:val="20"/>
                                    </w:rPr>
                                    <w:t>龍、三民高中、大湖公園、南港展覽館等7處</w:t>
                                  </w:r>
                                </w:p>
                              </w:tc>
                              <w:tc>
                                <w:tcPr>
                                  <w:tcW w:w="2126" w:type="dxa"/>
                                  <w:vAlign w:val="center"/>
                                </w:tcPr>
                                <w:p w14:paraId="03553064" w14:textId="77777777" w:rsidR="00CC5AFC" w:rsidRPr="00CC5AFC" w:rsidRDefault="00CC5AFC" w:rsidP="00CC5AFC">
                                  <w:pPr>
                                    <w:spacing w:line="240" w:lineRule="exact"/>
                                    <w:jc w:val="both"/>
                                    <w:rPr>
                                      <w:rFonts w:ascii="標楷體" w:eastAsia="標楷體" w:hAnsi="標楷體"/>
                                      <w:spacing w:val="-4"/>
                                      <w:sz w:val="20"/>
                                      <w:szCs w:val="20"/>
                                    </w:rPr>
                                  </w:pPr>
                                  <w:r w:rsidRPr="00CC5AFC">
                                    <w:rPr>
                                      <w:rFonts w:ascii="標楷體" w:eastAsia="標楷體" w:hAnsi="標楷體" w:hint="eastAsia"/>
                                      <w:spacing w:val="-4"/>
                                      <w:sz w:val="20"/>
                                      <w:szCs w:val="20"/>
                                    </w:rPr>
                                    <w:t>交九行控中心、北投機廠、木柵機廠、景安、七張、市政府、江子翠、南京復興等8處</w:t>
                                  </w:r>
                                </w:p>
                              </w:tc>
                            </w:tr>
                            <w:tr w:rsidR="00CC5AFC" w:rsidRPr="001574F8" w14:paraId="6059B283" w14:textId="77777777" w:rsidTr="00824CD6">
                              <w:trPr>
                                <w:trHeight w:val="577"/>
                              </w:trPr>
                              <w:tc>
                                <w:tcPr>
                                  <w:tcW w:w="818" w:type="dxa"/>
                                  <w:gridSpan w:val="2"/>
                                  <w:vAlign w:val="center"/>
                                </w:tcPr>
                                <w:p w14:paraId="64869C7D"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設置</w:t>
                                  </w:r>
                                </w:p>
                                <w:p w14:paraId="1B2E533C"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經費</w:t>
                                  </w:r>
                                </w:p>
                              </w:tc>
                              <w:tc>
                                <w:tcPr>
                                  <w:tcW w:w="2296" w:type="dxa"/>
                                  <w:vAlign w:val="center"/>
                                </w:tcPr>
                                <w:p w14:paraId="5B3BE6E2"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1</w:t>
                                  </w:r>
                                  <w:r w:rsidRPr="00CC5AFC">
                                    <w:rPr>
                                      <w:rFonts w:ascii="標楷體" w:eastAsia="標楷體" w:hAnsi="標楷體"/>
                                      <w:spacing w:val="-4"/>
                                      <w:sz w:val="20"/>
                                      <w:szCs w:val="20"/>
                                    </w:rPr>
                                    <w:t>,366,806</w:t>
                                  </w:r>
                                  <w:r w:rsidRPr="00CC5AFC">
                                    <w:rPr>
                                      <w:rFonts w:ascii="標楷體" w:eastAsia="標楷體" w:hAnsi="標楷體" w:hint="eastAsia"/>
                                      <w:spacing w:val="-4"/>
                                      <w:sz w:val="20"/>
                                      <w:szCs w:val="20"/>
                                    </w:rPr>
                                    <w:t>元</w:t>
                                  </w:r>
                                </w:p>
                              </w:tc>
                              <w:tc>
                                <w:tcPr>
                                  <w:tcW w:w="2126" w:type="dxa"/>
                                  <w:vAlign w:val="center"/>
                                </w:tcPr>
                                <w:p w14:paraId="24154DE3"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2</w:t>
                                  </w:r>
                                  <w:r w:rsidRPr="00CC5AFC">
                                    <w:rPr>
                                      <w:rFonts w:ascii="標楷體" w:eastAsia="標楷體" w:hAnsi="標楷體"/>
                                      <w:spacing w:val="-4"/>
                                      <w:sz w:val="20"/>
                                      <w:szCs w:val="20"/>
                                    </w:rPr>
                                    <w:t>,588,460</w:t>
                                  </w:r>
                                  <w:r w:rsidRPr="00CC5AFC">
                                    <w:rPr>
                                      <w:rFonts w:ascii="標楷體" w:eastAsia="標楷體" w:hAnsi="標楷體" w:hint="eastAsia"/>
                                      <w:spacing w:val="-4"/>
                                      <w:sz w:val="20"/>
                                      <w:szCs w:val="20"/>
                                    </w:rPr>
                                    <w:t>元</w:t>
                                  </w:r>
                                </w:p>
                              </w:tc>
                            </w:tr>
                            <w:tr w:rsidR="00CC5AFC" w:rsidRPr="001574F8" w14:paraId="19962505" w14:textId="77777777" w:rsidTr="00824CD6">
                              <w:trPr>
                                <w:trHeight w:val="504"/>
                              </w:trPr>
                              <w:tc>
                                <w:tcPr>
                                  <w:tcW w:w="818" w:type="dxa"/>
                                  <w:gridSpan w:val="2"/>
                                  <w:vAlign w:val="center"/>
                                </w:tcPr>
                                <w:p w14:paraId="6C223C81"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完成驗收時間</w:t>
                                  </w:r>
                                </w:p>
                              </w:tc>
                              <w:tc>
                                <w:tcPr>
                                  <w:tcW w:w="2296" w:type="dxa"/>
                                  <w:vAlign w:val="center"/>
                                </w:tcPr>
                                <w:p w14:paraId="787816CC"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108年10月30日</w:t>
                                  </w:r>
                                </w:p>
                              </w:tc>
                              <w:tc>
                                <w:tcPr>
                                  <w:tcW w:w="2126" w:type="dxa"/>
                                  <w:vAlign w:val="center"/>
                                </w:tcPr>
                                <w:p w14:paraId="320F8CB7"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1</w:t>
                                  </w:r>
                                  <w:r w:rsidRPr="00CC5AFC">
                                    <w:rPr>
                                      <w:rFonts w:ascii="標楷體" w:eastAsia="標楷體" w:hAnsi="標楷體"/>
                                      <w:spacing w:val="-4"/>
                                      <w:sz w:val="20"/>
                                      <w:szCs w:val="20"/>
                                    </w:rPr>
                                    <w:t>12</w:t>
                                  </w:r>
                                  <w:r w:rsidRPr="00CC5AFC">
                                    <w:rPr>
                                      <w:rFonts w:ascii="標楷體" w:eastAsia="標楷體" w:hAnsi="標楷體" w:hint="eastAsia"/>
                                      <w:spacing w:val="-4"/>
                                      <w:sz w:val="20"/>
                                      <w:szCs w:val="20"/>
                                    </w:rPr>
                                    <w:t>年9月11日</w:t>
                                  </w:r>
                                </w:p>
                              </w:tc>
                            </w:tr>
                            <w:tr w:rsidR="00CC5AFC" w:rsidRPr="001574F8" w14:paraId="21125D1C" w14:textId="77777777" w:rsidTr="00824CD6">
                              <w:trPr>
                                <w:trHeight w:val="553"/>
                              </w:trPr>
                              <w:tc>
                                <w:tcPr>
                                  <w:tcW w:w="409" w:type="dxa"/>
                                  <w:vMerge w:val="restart"/>
                                  <w:vAlign w:val="center"/>
                                </w:tcPr>
                                <w:p w14:paraId="3016F0CE"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規劃按季檢查</w:t>
                                  </w:r>
                                </w:p>
                              </w:tc>
                              <w:tc>
                                <w:tcPr>
                                  <w:tcW w:w="409" w:type="dxa"/>
                                  <w:vAlign w:val="center"/>
                                </w:tcPr>
                                <w:p w14:paraId="7B20ED51"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期間</w:t>
                                  </w:r>
                                </w:p>
                              </w:tc>
                              <w:tc>
                                <w:tcPr>
                                  <w:tcW w:w="2296" w:type="dxa"/>
                                  <w:vAlign w:val="center"/>
                                </w:tcPr>
                                <w:p w14:paraId="393D3E81"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spacing w:val="-4"/>
                                      <w:sz w:val="20"/>
                                      <w:szCs w:val="20"/>
                                    </w:rPr>
                                    <w:t>113</w:t>
                                  </w:r>
                                  <w:r w:rsidRPr="00CC5AFC">
                                    <w:rPr>
                                      <w:rFonts w:ascii="標楷體" w:eastAsia="標楷體" w:hAnsi="標楷體" w:hint="eastAsia"/>
                                      <w:spacing w:val="-4"/>
                                      <w:sz w:val="20"/>
                                      <w:szCs w:val="20"/>
                                    </w:rPr>
                                    <w:t>年4月1日</w:t>
                                  </w:r>
                                </w:p>
                                <w:p w14:paraId="7D939AEC"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至1</w:t>
                                  </w:r>
                                  <w:r w:rsidRPr="00CC5AFC">
                                    <w:rPr>
                                      <w:rFonts w:ascii="標楷體" w:eastAsia="標楷體" w:hAnsi="標楷體"/>
                                      <w:spacing w:val="-4"/>
                                      <w:sz w:val="20"/>
                                      <w:szCs w:val="20"/>
                                    </w:rPr>
                                    <w:t>16</w:t>
                                  </w:r>
                                  <w:r w:rsidRPr="00CC5AFC">
                                    <w:rPr>
                                      <w:rFonts w:ascii="標楷體" w:eastAsia="標楷體" w:hAnsi="標楷體" w:hint="eastAsia"/>
                                      <w:spacing w:val="-4"/>
                                      <w:sz w:val="20"/>
                                      <w:szCs w:val="20"/>
                                    </w:rPr>
                                    <w:t>年</w:t>
                                  </w:r>
                                  <w:r w:rsidRPr="00CC5AFC">
                                    <w:rPr>
                                      <w:rFonts w:ascii="標楷體" w:eastAsia="標楷體" w:hAnsi="標楷體"/>
                                      <w:spacing w:val="-4"/>
                                      <w:sz w:val="20"/>
                                      <w:szCs w:val="20"/>
                                    </w:rPr>
                                    <w:t>4</w:t>
                                  </w:r>
                                  <w:r w:rsidRPr="00CC5AFC">
                                    <w:rPr>
                                      <w:rFonts w:ascii="標楷體" w:eastAsia="標楷體" w:hAnsi="標楷體" w:hint="eastAsia"/>
                                      <w:spacing w:val="-4"/>
                                      <w:sz w:val="20"/>
                                      <w:szCs w:val="20"/>
                                    </w:rPr>
                                    <w:t>月1日</w:t>
                                  </w:r>
                                </w:p>
                              </w:tc>
                              <w:tc>
                                <w:tcPr>
                                  <w:tcW w:w="2126" w:type="dxa"/>
                                  <w:vAlign w:val="center"/>
                                </w:tcPr>
                                <w:p w14:paraId="22AB5B8D"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spacing w:val="-4"/>
                                      <w:sz w:val="20"/>
                                      <w:szCs w:val="20"/>
                                    </w:rPr>
                                    <w:t>115</w:t>
                                  </w:r>
                                  <w:r w:rsidRPr="00CC5AFC">
                                    <w:rPr>
                                      <w:rFonts w:ascii="標楷體" w:eastAsia="標楷體" w:hAnsi="標楷體" w:hint="eastAsia"/>
                                      <w:spacing w:val="-4"/>
                                      <w:sz w:val="20"/>
                                      <w:szCs w:val="20"/>
                                    </w:rPr>
                                    <w:t>年</w:t>
                                  </w:r>
                                  <w:r w:rsidRPr="00CC5AFC">
                                    <w:rPr>
                                      <w:rFonts w:ascii="標楷體" w:eastAsia="標楷體" w:hAnsi="標楷體"/>
                                      <w:spacing w:val="-4"/>
                                      <w:sz w:val="20"/>
                                      <w:szCs w:val="20"/>
                                    </w:rPr>
                                    <w:t>9</w:t>
                                  </w:r>
                                  <w:r w:rsidRPr="00CC5AFC">
                                    <w:rPr>
                                      <w:rFonts w:ascii="標楷體" w:eastAsia="標楷體" w:hAnsi="標楷體" w:hint="eastAsia"/>
                                      <w:spacing w:val="-4"/>
                                      <w:sz w:val="20"/>
                                      <w:szCs w:val="20"/>
                                    </w:rPr>
                                    <w:t>月1</w:t>
                                  </w:r>
                                  <w:r w:rsidRPr="00CC5AFC">
                                    <w:rPr>
                                      <w:rFonts w:ascii="標楷體" w:eastAsia="標楷體" w:hAnsi="標楷體"/>
                                      <w:spacing w:val="-4"/>
                                      <w:sz w:val="20"/>
                                      <w:szCs w:val="20"/>
                                    </w:rPr>
                                    <w:t>1</w:t>
                                  </w:r>
                                  <w:r w:rsidRPr="00CC5AFC">
                                    <w:rPr>
                                      <w:rFonts w:ascii="標楷體" w:eastAsia="標楷體" w:hAnsi="標楷體" w:hint="eastAsia"/>
                                      <w:spacing w:val="-4"/>
                                      <w:sz w:val="20"/>
                                      <w:szCs w:val="20"/>
                                    </w:rPr>
                                    <w:t>日</w:t>
                                  </w:r>
                                </w:p>
                                <w:p w14:paraId="22E407F7"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至1</w:t>
                                  </w:r>
                                  <w:r w:rsidRPr="00CC5AFC">
                                    <w:rPr>
                                      <w:rFonts w:ascii="標楷體" w:eastAsia="標楷體" w:hAnsi="標楷體"/>
                                      <w:spacing w:val="-4"/>
                                      <w:sz w:val="20"/>
                                      <w:szCs w:val="20"/>
                                    </w:rPr>
                                    <w:t>16</w:t>
                                  </w:r>
                                  <w:r w:rsidRPr="00CC5AFC">
                                    <w:rPr>
                                      <w:rFonts w:ascii="標楷體" w:eastAsia="標楷體" w:hAnsi="標楷體" w:hint="eastAsia"/>
                                      <w:spacing w:val="-4"/>
                                      <w:sz w:val="20"/>
                                      <w:szCs w:val="20"/>
                                    </w:rPr>
                                    <w:t>年</w:t>
                                  </w:r>
                                  <w:r w:rsidRPr="00CC5AFC">
                                    <w:rPr>
                                      <w:rFonts w:ascii="標楷體" w:eastAsia="標楷體" w:hAnsi="標楷體"/>
                                      <w:spacing w:val="-4"/>
                                      <w:sz w:val="20"/>
                                      <w:szCs w:val="20"/>
                                    </w:rPr>
                                    <w:t>4</w:t>
                                  </w:r>
                                  <w:r w:rsidRPr="00CC5AFC">
                                    <w:rPr>
                                      <w:rFonts w:ascii="標楷體" w:eastAsia="標楷體" w:hAnsi="標楷體" w:hint="eastAsia"/>
                                      <w:spacing w:val="-4"/>
                                      <w:sz w:val="20"/>
                                      <w:szCs w:val="20"/>
                                    </w:rPr>
                                    <w:t>月1日</w:t>
                                  </w:r>
                                </w:p>
                              </w:tc>
                            </w:tr>
                            <w:tr w:rsidR="00CC5AFC" w:rsidRPr="001574F8" w14:paraId="780EC69C" w14:textId="77777777" w:rsidTr="00824CD6">
                              <w:trPr>
                                <w:trHeight w:val="1166"/>
                              </w:trPr>
                              <w:tc>
                                <w:tcPr>
                                  <w:tcW w:w="409" w:type="dxa"/>
                                  <w:vMerge/>
                                  <w:vAlign w:val="center"/>
                                </w:tcPr>
                                <w:p w14:paraId="588AAE7F" w14:textId="77777777" w:rsidR="00CC5AFC" w:rsidRPr="00CC5AFC" w:rsidRDefault="00CC5AFC" w:rsidP="00CC5AFC">
                                  <w:pPr>
                                    <w:spacing w:line="240" w:lineRule="exact"/>
                                    <w:jc w:val="center"/>
                                    <w:rPr>
                                      <w:rFonts w:ascii="標楷體" w:eastAsia="標楷體" w:hAnsi="標楷體"/>
                                      <w:spacing w:val="-4"/>
                                      <w:sz w:val="20"/>
                                      <w:szCs w:val="20"/>
                                    </w:rPr>
                                  </w:pPr>
                                </w:p>
                              </w:tc>
                              <w:tc>
                                <w:tcPr>
                                  <w:tcW w:w="409" w:type="dxa"/>
                                  <w:vAlign w:val="center"/>
                                </w:tcPr>
                                <w:p w14:paraId="5B55283C"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期別及月數</w:t>
                                  </w:r>
                                </w:p>
                              </w:tc>
                              <w:tc>
                                <w:tcPr>
                                  <w:tcW w:w="2296" w:type="dxa"/>
                                  <w:vAlign w:val="center"/>
                                </w:tcPr>
                                <w:p w14:paraId="6CF5676D"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1</w:t>
                                  </w:r>
                                  <w:r w:rsidRPr="00CC5AFC">
                                    <w:rPr>
                                      <w:rFonts w:ascii="標楷體" w:eastAsia="標楷體" w:hAnsi="標楷體"/>
                                      <w:spacing w:val="-4"/>
                                      <w:sz w:val="20"/>
                                      <w:szCs w:val="20"/>
                                    </w:rPr>
                                    <w:t>2</w:t>
                                  </w:r>
                                  <w:r w:rsidRPr="00CC5AFC">
                                    <w:rPr>
                                      <w:rFonts w:ascii="標楷體" w:eastAsia="標楷體" w:hAnsi="標楷體" w:hint="eastAsia"/>
                                      <w:spacing w:val="-4"/>
                                      <w:sz w:val="20"/>
                                      <w:szCs w:val="20"/>
                                    </w:rPr>
                                    <w:t>期、3</w:t>
                                  </w:r>
                                  <w:r w:rsidRPr="00CC5AFC">
                                    <w:rPr>
                                      <w:rFonts w:ascii="標楷體" w:eastAsia="標楷體" w:hAnsi="標楷體"/>
                                      <w:spacing w:val="-4"/>
                                      <w:sz w:val="20"/>
                                      <w:szCs w:val="20"/>
                                    </w:rPr>
                                    <w:t>6</w:t>
                                  </w:r>
                                  <w:r w:rsidRPr="00CC5AFC">
                                    <w:rPr>
                                      <w:rFonts w:ascii="標楷體" w:eastAsia="標楷體" w:hAnsi="標楷體" w:hint="eastAsia"/>
                                      <w:spacing w:val="-4"/>
                                      <w:sz w:val="20"/>
                                      <w:szCs w:val="20"/>
                                    </w:rPr>
                                    <w:t>個月</w:t>
                                  </w:r>
                                </w:p>
                              </w:tc>
                              <w:tc>
                                <w:tcPr>
                                  <w:tcW w:w="2126" w:type="dxa"/>
                                  <w:vAlign w:val="center"/>
                                </w:tcPr>
                                <w:p w14:paraId="1D8DB470" w14:textId="77777777" w:rsidR="00CC5AFC" w:rsidRPr="00CC5AFC" w:rsidRDefault="00CC5AFC" w:rsidP="00C254C1">
                                  <w:pPr>
                                    <w:spacing w:line="240" w:lineRule="exact"/>
                                    <w:ind w:leftChars="-13" w:left="-31" w:rightChars="-30" w:right="-72"/>
                                    <w:jc w:val="both"/>
                                    <w:rPr>
                                      <w:rFonts w:ascii="標楷體" w:eastAsia="標楷體" w:hAnsi="標楷體"/>
                                      <w:spacing w:val="-4"/>
                                      <w:sz w:val="20"/>
                                      <w:szCs w:val="20"/>
                                    </w:rPr>
                                  </w:pPr>
                                  <w:r w:rsidRPr="00CC5AFC">
                                    <w:rPr>
                                      <w:rFonts w:ascii="標楷體" w:eastAsia="標楷體" w:hAnsi="標楷體" w:hint="eastAsia"/>
                                      <w:spacing w:val="-4"/>
                                      <w:sz w:val="20"/>
                                      <w:szCs w:val="20"/>
                                    </w:rPr>
                                    <w:t>2期、6個月（預防保養）；</w:t>
                                  </w:r>
                                </w:p>
                                <w:p w14:paraId="604FFFA2" w14:textId="77777777" w:rsidR="00CC5AFC" w:rsidRPr="00CC5AFC" w:rsidRDefault="00CC5AFC" w:rsidP="00C254C1">
                                  <w:pPr>
                                    <w:spacing w:line="240" w:lineRule="exact"/>
                                    <w:ind w:leftChars="-13" w:left="-31" w:rightChars="-30" w:right="-72"/>
                                    <w:jc w:val="both"/>
                                    <w:rPr>
                                      <w:rFonts w:ascii="標楷體" w:eastAsia="標楷體" w:hAnsi="標楷體"/>
                                      <w:spacing w:val="-4"/>
                                      <w:sz w:val="20"/>
                                      <w:szCs w:val="20"/>
                                    </w:rPr>
                                  </w:pPr>
                                  <w:r w:rsidRPr="00CC5AFC">
                                    <w:rPr>
                                      <w:rFonts w:ascii="標楷體" w:eastAsia="標楷體" w:hAnsi="標楷體"/>
                                      <w:spacing w:val="-4"/>
                                      <w:sz w:val="20"/>
                                      <w:szCs w:val="20"/>
                                    </w:rPr>
                                    <w:t>2.2</w:t>
                                  </w:r>
                                  <w:r w:rsidRPr="00CC5AFC">
                                    <w:rPr>
                                      <w:rFonts w:ascii="標楷體" w:eastAsia="標楷體" w:hAnsi="標楷體" w:hint="eastAsia"/>
                                      <w:spacing w:val="-4"/>
                                      <w:sz w:val="20"/>
                                      <w:szCs w:val="20"/>
                                    </w:rPr>
                                    <w:t>期、6</w:t>
                                  </w:r>
                                  <w:r w:rsidRPr="00CC5AFC">
                                    <w:rPr>
                                      <w:rFonts w:ascii="標楷體" w:eastAsia="標楷體" w:hAnsi="標楷體"/>
                                      <w:spacing w:val="-4"/>
                                      <w:sz w:val="20"/>
                                      <w:szCs w:val="20"/>
                                    </w:rPr>
                                    <w:t>.6</w:t>
                                  </w:r>
                                  <w:r w:rsidRPr="00CC5AFC">
                                    <w:rPr>
                                      <w:rFonts w:ascii="標楷體" w:eastAsia="標楷體" w:hAnsi="標楷體" w:hint="eastAsia"/>
                                      <w:spacing w:val="-4"/>
                                      <w:sz w:val="20"/>
                                      <w:szCs w:val="20"/>
                                    </w:rPr>
                                    <w:t>個月（故障檢修）</w:t>
                                  </w:r>
                                </w:p>
                              </w:tc>
                            </w:tr>
                          </w:tbl>
                          <w:p w14:paraId="69E649ED" w14:textId="77777777" w:rsidR="00CC5AFC" w:rsidRPr="001574F8" w:rsidRDefault="00CC5AFC" w:rsidP="00CC5AFC">
                            <w:pPr>
                              <w:spacing w:line="0" w:lineRule="atLeast"/>
                              <w:ind w:rightChars="-40" w:right="-96"/>
                              <w:rPr>
                                <w:rFonts w:ascii="標楷體" w:eastAsia="標楷體" w:hAnsi="標楷體"/>
                                <w:sz w:val="18"/>
                                <w:szCs w:val="18"/>
                              </w:rPr>
                            </w:pPr>
                            <w:r w:rsidRPr="001574F8">
                              <w:rPr>
                                <w:rFonts w:ascii="標楷體" w:eastAsia="標楷體" w:hAnsi="標楷體" w:hint="eastAsia"/>
                                <w:sz w:val="18"/>
                                <w:szCs w:val="18"/>
                              </w:rPr>
                              <w:t>資料來源</w:t>
                            </w:r>
                            <w:r>
                              <w:rPr>
                                <w:rFonts w:ascii="標楷體" w:eastAsia="標楷體" w:hAnsi="標楷體" w:hint="eastAsia"/>
                                <w:sz w:val="18"/>
                                <w:szCs w:val="18"/>
                              </w:rPr>
                              <w:t>：</w:t>
                            </w:r>
                            <w:r w:rsidRPr="001574F8">
                              <w:rPr>
                                <w:rFonts w:ascii="標楷體" w:eastAsia="標楷體" w:hAnsi="標楷體" w:hint="eastAsia"/>
                                <w:sz w:val="18"/>
                                <w:szCs w:val="18"/>
                              </w:rPr>
                              <w:t>整理自</w:t>
                            </w:r>
                            <w:r w:rsidRPr="00E13AC9">
                              <w:rPr>
                                <w:rFonts w:ascii="標楷體" w:eastAsia="標楷體" w:hAnsi="標楷體" w:hint="eastAsia"/>
                                <w:sz w:val="18"/>
                                <w:szCs w:val="18"/>
                              </w:rPr>
                              <w:t>捷運公司</w:t>
                            </w:r>
                            <w:r w:rsidRPr="001574F8">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DF6DD6" id="文字方塊 927419597" o:spid="_x0000_s1092" type="#_x0000_t202" style="position:absolute;left:0;text-align:left;margin-left:227.9pt;margin-top:526.5pt;width:274.1pt;height:248.25pt;z-index:-251543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" stroked="f">
                <v:textbox>
                  <w:txbxContent>
                    <w:p w14:paraId="04659C88" w14:textId="77777777" w:rsidR="00CC5AFC" w:rsidRPr="001574F8" w:rsidRDefault="00CC5AFC" w:rsidP="00CC5AFC">
                      <w:pPr>
                        <w:pStyle w:val="Default"/>
                        <w:spacing w:line="240" w:lineRule="exact"/>
                        <w:ind w:left="553" w:hangingChars="230" w:hanging="553"/>
                        <w:jc w:val="center"/>
                        <w:rPr>
                          <w:rFonts w:hAnsi="標楷體"/>
                          <w:b/>
                        </w:rPr>
                      </w:pPr>
                      <w:r w:rsidRPr="001574F8">
                        <w:rPr>
                          <w:rFonts w:hAnsi="標楷體" w:hint="eastAsia"/>
                          <w:b/>
                        </w:rPr>
                        <w:t>表</w:t>
                      </w:r>
                      <w:r>
                        <w:rPr>
                          <w:rFonts w:hAnsi="標楷體"/>
                          <w:b/>
                        </w:rPr>
                        <w:t xml:space="preserve">5  </w:t>
                      </w:r>
                      <w:r w:rsidRPr="00C86A35">
                        <w:rPr>
                          <w:rFonts w:hAnsi="標楷體" w:hint="eastAsia"/>
                          <w:b/>
                          <w:spacing w:val="4"/>
                        </w:rPr>
                        <w:t>規劃1</w:t>
                      </w:r>
                      <w:r w:rsidRPr="00C86A35">
                        <w:rPr>
                          <w:rFonts w:hAnsi="標楷體"/>
                          <w:b/>
                          <w:spacing w:val="4"/>
                        </w:rPr>
                        <w:t>5</w:t>
                      </w:r>
                      <w:r w:rsidRPr="00C86A35">
                        <w:rPr>
                          <w:rFonts w:hAnsi="標楷體" w:hint="eastAsia"/>
                          <w:b/>
                          <w:spacing w:val="4"/>
                        </w:rPr>
                        <w:t>處強震儀辦理季檢查情形</w:t>
                      </w:r>
                    </w:p>
                    <w:tbl>
                      <w:tblPr>
                        <w:tblStyle w:val="201"/>
                        <w:tblW w:w="5240" w:type="dxa"/>
                        <w:tblLook w:val="04A0" w:firstRow="1" w:lastRow="0" w:firstColumn="1" w:lastColumn="0" w:noHBand="0" w:noVBand="1"/>
                      </w:tblPr>
                      <w:tblGrid>
                        <w:gridCol w:w="409"/>
                        <w:gridCol w:w="409"/>
                        <w:gridCol w:w="2296"/>
                        <w:gridCol w:w="2126"/>
                      </w:tblGrid>
                      <w:tr w:rsidR="00CC5AFC" w:rsidRPr="001574F8" w14:paraId="7D5B3B17" w14:textId="77777777" w:rsidTr="00CC5AFC">
                        <w:trPr>
                          <w:trHeight w:val="470"/>
                        </w:trPr>
                        <w:tc>
                          <w:tcPr>
                            <w:tcW w:w="818" w:type="dxa"/>
                            <w:gridSpan w:val="2"/>
                            <w:shd w:val="clear" w:color="auto" w:fill="auto"/>
                            <w:vAlign w:val="center"/>
                          </w:tcPr>
                          <w:p w14:paraId="4932C767"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項目</w:t>
                            </w:r>
                          </w:p>
                        </w:tc>
                        <w:tc>
                          <w:tcPr>
                            <w:tcW w:w="2296" w:type="dxa"/>
                            <w:shd w:val="clear" w:color="auto" w:fill="auto"/>
                            <w:vAlign w:val="center"/>
                          </w:tcPr>
                          <w:p w14:paraId="3C188486"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型號</w:t>
                            </w:r>
                            <w:r w:rsidRPr="00CC5AFC">
                              <w:rPr>
                                <w:rFonts w:ascii="標楷體" w:eastAsia="標楷體" w:hAnsi="標楷體"/>
                                <w:spacing w:val="-4"/>
                                <w:sz w:val="20"/>
                                <w:szCs w:val="20"/>
                              </w:rPr>
                              <w:t>Palert 220</w:t>
                            </w:r>
                          </w:p>
                          <w:p w14:paraId="13A0D4CF"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強震儀</w:t>
                            </w:r>
                          </w:p>
                        </w:tc>
                        <w:tc>
                          <w:tcPr>
                            <w:tcW w:w="2126" w:type="dxa"/>
                            <w:shd w:val="clear" w:color="auto" w:fill="auto"/>
                            <w:vAlign w:val="center"/>
                          </w:tcPr>
                          <w:p w14:paraId="1C10D1A8"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型號</w:t>
                            </w:r>
                            <w:r w:rsidRPr="00CC5AFC">
                              <w:rPr>
                                <w:rFonts w:ascii="標楷體" w:eastAsia="標楷體" w:hAnsi="標楷體"/>
                                <w:spacing w:val="-4"/>
                                <w:sz w:val="20"/>
                                <w:szCs w:val="20"/>
                              </w:rPr>
                              <w:t>Palert F330</w:t>
                            </w:r>
                          </w:p>
                          <w:p w14:paraId="4C47E64F"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強震儀</w:t>
                            </w:r>
                          </w:p>
                        </w:tc>
                      </w:tr>
                      <w:tr w:rsidR="00CC5AFC" w:rsidRPr="001574F8" w14:paraId="762E2D23" w14:textId="77777777" w:rsidTr="00824CD6">
                        <w:trPr>
                          <w:trHeight w:val="971"/>
                        </w:trPr>
                        <w:tc>
                          <w:tcPr>
                            <w:tcW w:w="818" w:type="dxa"/>
                            <w:gridSpan w:val="2"/>
                            <w:vAlign w:val="center"/>
                          </w:tcPr>
                          <w:p w14:paraId="2FF6CBC1"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設置</w:t>
                            </w:r>
                          </w:p>
                          <w:p w14:paraId="29F38242"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地點</w:t>
                            </w:r>
                          </w:p>
                        </w:tc>
                        <w:tc>
                          <w:tcPr>
                            <w:tcW w:w="2296" w:type="dxa"/>
                            <w:vAlign w:val="center"/>
                          </w:tcPr>
                          <w:p w14:paraId="7DD8DAF7" w14:textId="77777777" w:rsidR="00CC5AFC" w:rsidRPr="00CC5AFC" w:rsidRDefault="00CC5AFC" w:rsidP="00CC5AFC">
                            <w:pPr>
                              <w:spacing w:line="240" w:lineRule="exact"/>
                              <w:jc w:val="both"/>
                              <w:rPr>
                                <w:rFonts w:ascii="標楷體" w:eastAsia="標楷體" w:hAnsi="標楷體"/>
                                <w:spacing w:val="-4"/>
                                <w:sz w:val="20"/>
                                <w:szCs w:val="20"/>
                              </w:rPr>
                            </w:pPr>
                            <w:bookmarkStart w:id="53" w:name="_Hlk199510646"/>
                            <w:r w:rsidRPr="00CC5AFC">
                              <w:rPr>
                                <w:rFonts w:ascii="標楷體" w:eastAsia="標楷體" w:hAnsi="標楷體" w:hint="eastAsia"/>
                                <w:spacing w:val="-4"/>
                                <w:sz w:val="20"/>
                                <w:szCs w:val="20"/>
                              </w:rPr>
                              <w:t>紅樹林</w:t>
                            </w:r>
                            <w:bookmarkEnd w:id="53"/>
                            <w:r w:rsidRPr="00CC5AFC">
                              <w:rPr>
                                <w:rFonts w:ascii="標楷體" w:eastAsia="標楷體" w:hAnsi="標楷體" w:hint="eastAsia"/>
                                <w:spacing w:val="-4"/>
                                <w:sz w:val="20"/>
                                <w:szCs w:val="20"/>
                              </w:rPr>
                              <w:t>、大橋頭、永寧、</w:t>
                            </w:r>
                            <w:proofErr w:type="gramStart"/>
                            <w:r w:rsidRPr="00CC5AFC">
                              <w:rPr>
                                <w:rFonts w:ascii="標楷體" w:eastAsia="標楷體" w:hAnsi="標楷體" w:hint="eastAsia"/>
                                <w:spacing w:val="-4"/>
                                <w:sz w:val="20"/>
                                <w:szCs w:val="20"/>
                              </w:rPr>
                              <w:t>迴</w:t>
                            </w:r>
                            <w:proofErr w:type="gramEnd"/>
                            <w:r w:rsidRPr="00CC5AFC">
                              <w:rPr>
                                <w:rFonts w:ascii="標楷體" w:eastAsia="標楷體" w:hAnsi="標楷體" w:hint="eastAsia"/>
                                <w:spacing w:val="-4"/>
                                <w:sz w:val="20"/>
                                <w:szCs w:val="20"/>
                              </w:rPr>
                              <w:t>龍、三民高中、大湖公園、南港展覽館等7處</w:t>
                            </w:r>
                          </w:p>
                        </w:tc>
                        <w:tc>
                          <w:tcPr>
                            <w:tcW w:w="2126" w:type="dxa"/>
                            <w:vAlign w:val="center"/>
                          </w:tcPr>
                          <w:p w14:paraId="03553064" w14:textId="77777777" w:rsidR="00CC5AFC" w:rsidRPr="00CC5AFC" w:rsidRDefault="00CC5AFC" w:rsidP="00CC5AFC">
                            <w:pPr>
                              <w:spacing w:line="240" w:lineRule="exact"/>
                              <w:jc w:val="both"/>
                              <w:rPr>
                                <w:rFonts w:ascii="標楷體" w:eastAsia="標楷體" w:hAnsi="標楷體"/>
                                <w:spacing w:val="-4"/>
                                <w:sz w:val="20"/>
                                <w:szCs w:val="20"/>
                              </w:rPr>
                            </w:pPr>
                            <w:r w:rsidRPr="00CC5AFC">
                              <w:rPr>
                                <w:rFonts w:ascii="標楷體" w:eastAsia="標楷體" w:hAnsi="標楷體" w:hint="eastAsia"/>
                                <w:spacing w:val="-4"/>
                                <w:sz w:val="20"/>
                                <w:szCs w:val="20"/>
                              </w:rPr>
                              <w:t>交九行控中心、北投機廠、木柵機廠、景安、七張、市政府、江子翠、南京復興等8處</w:t>
                            </w:r>
                          </w:p>
                        </w:tc>
                      </w:tr>
                      <w:tr w:rsidR="00CC5AFC" w:rsidRPr="001574F8" w14:paraId="6059B283" w14:textId="77777777" w:rsidTr="00824CD6">
                        <w:trPr>
                          <w:trHeight w:val="577"/>
                        </w:trPr>
                        <w:tc>
                          <w:tcPr>
                            <w:tcW w:w="818" w:type="dxa"/>
                            <w:gridSpan w:val="2"/>
                            <w:vAlign w:val="center"/>
                          </w:tcPr>
                          <w:p w14:paraId="64869C7D"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設置</w:t>
                            </w:r>
                          </w:p>
                          <w:p w14:paraId="1B2E533C"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經費</w:t>
                            </w:r>
                          </w:p>
                        </w:tc>
                        <w:tc>
                          <w:tcPr>
                            <w:tcW w:w="2296" w:type="dxa"/>
                            <w:vAlign w:val="center"/>
                          </w:tcPr>
                          <w:p w14:paraId="5B3BE6E2"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1</w:t>
                            </w:r>
                            <w:r w:rsidRPr="00CC5AFC">
                              <w:rPr>
                                <w:rFonts w:ascii="標楷體" w:eastAsia="標楷體" w:hAnsi="標楷體"/>
                                <w:spacing w:val="-4"/>
                                <w:sz w:val="20"/>
                                <w:szCs w:val="20"/>
                              </w:rPr>
                              <w:t>,366,806</w:t>
                            </w:r>
                            <w:r w:rsidRPr="00CC5AFC">
                              <w:rPr>
                                <w:rFonts w:ascii="標楷體" w:eastAsia="標楷體" w:hAnsi="標楷體" w:hint="eastAsia"/>
                                <w:spacing w:val="-4"/>
                                <w:sz w:val="20"/>
                                <w:szCs w:val="20"/>
                              </w:rPr>
                              <w:t>元</w:t>
                            </w:r>
                          </w:p>
                        </w:tc>
                        <w:tc>
                          <w:tcPr>
                            <w:tcW w:w="2126" w:type="dxa"/>
                            <w:vAlign w:val="center"/>
                          </w:tcPr>
                          <w:p w14:paraId="24154DE3"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2</w:t>
                            </w:r>
                            <w:r w:rsidRPr="00CC5AFC">
                              <w:rPr>
                                <w:rFonts w:ascii="標楷體" w:eastAsia="標楷體" w:hAnsi="標楷體"/>
                                <w:spacing w:val="-4"/>
                                <w:sz w:val="20"/>
                                <w:szCs w:val="20"/>
                              </w:rPr>
                              <w:t>,588,460</w:t>
                            </w:r>
                            <w:r w:rsidRPr="00CC5AFC">
                              <w:rPr>
                                <w:rFonts w:ascii="標楷體" w:eastAsia="標楷體" w:hAnsi="標楷體" w:hint="eastAsia"/>
                                <w:spacing w:val="-4"/>
                                <w:sz w:val="20"/>
                                <w:szCs w:val="20"/>
                              </w:rPr>
                              <w:t>元</w:t>
                            </w:r>
                          </w:p>
                        </w:tc>
                      </w:tr>
                      <w:tr w:rsidR="00CC5AFC" w:rsidRPr="001574F8" w14:paraId="19962505" w14:textId="77777777" w:rsidTr="00824CD6">
                        <w:trPr>
                          <w:trHeight w:val="504"/>
                        </w:trPr>
                        <w:tc>
                          <w:tcPr>
                            <w:tcW w:w="818" w:type="dxa"/>
                            <w:gridSpan w:val="2"/>
                            <w:vAlign w:val="center"/>
                          </w:tcPr>
                          <w:p w14:paraId="6C223C81"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完成驗收時間</w:t>
                            </w:r>
                          </w:p>
                        </w:tc>
                        <w:tc>
                          <w:tcPr>
                            <w:tcW w:w="2296" w:type="dxa"/>
                            <w:vAlign w:val="center"/>
                          </w:tcPr>
                          <w:p w14:paraId="787816CC"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108年10月30日</w:t>
                            </w:r>
                          </w:p>
                        </w:tc>
                        <w:tc>
                          <w:tcPr>
                            <w:tcW w:w="2126" w:type="dxa"/>
                            <w:vAlign w:val="center"/>
                          </w:tcPr>
                          <w:p w14:paraId="320F8CB7"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1</w:t>
                            </w:r>
                            <w:r w:rsidRPr="00CC5AFC">
                              <w:rPr>
                                <w:rFonts w:ascii="標楷體" w:eastAsia="標楷體" w:hAnsi="標楷體"/>
                                <w:spacing w:val="-4"/>
                                <w:sz w:val="20"/>
                                <w:szCs w:val="20"/>
                              </w:rPr>
                              <w:t>12</w:t>
                            </w:r>
                            <w:r w:rsidRPr="00CC5AFC">
                              <w:rPr>
                                <w:rFonts w:ascii="標楷體" w:eastAsia="標楷體" w:hAnsi="標楷體" w:hint="eastAsia"/>
                                <w:spacing w:val="-4"/>
                                <w:sz w:val="20"/>
                                <w:szCs w:val="20"/>
                              </w:rPr>
                              <w:t>年9月11日</w:t>
                            </w:r>
                          </w:p>
                        </w:tc>
                      </w:tr>
                      <w:tr w:rsidR="00CC5AFC" w:rsidRPr="001574F8" w14:paraId="21125D1C" w14:textId="77777777" w:rsidTr="00824CD6">
                        <w:trPr>
                          <w:trHeight w:val="553"/>
                        </w:trPr>
                        <w:tc>
                          <w:tcPr>
                            <w:tcW w:w="409" w:type="dxa"/>
                            <w:vMerge w:val="restart"/>
                            <w:vAlign w:val="center"/>
                          </w:tcPr>
                          <w:p w14:paraId="3016F0CE"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規劃按季檢查</w:t>
                            </w:r>
                          </w:p>
                        </w:tc>
                        <w:tc>
                          <w:tcPr>
                            <w:tcW w:w="409" w:type="dxa"/>
                            <w:vAlign w:val="center"/>
                          </w:tcPr>
                          <w:p w14:paraId="7B20ED51"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期間</w:t>
                            </w:r>
                          </w:p>
                        </w:tc>
                        <w:tc>
                          <w:tcPr>
                            <w:tcW w:w="2296" w:type="dxa"/>
                            <w:vAlign w:val="center"/>
                          </w:tcPr>
                          <w:p w14:paraId="393D3E81"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spacing w:val="-4"/>
                                <w:sz w:val="20"/>
                                <w:szCs w:val="20"/>
                              </w:rPr>
                              <w:t>113</w:t>
                            </w:r>
                            <w:r w:rsidRPr="00CC5AFC">
                              <w:rPr>
                                <w:rFonts w:ascii="標楷體" w:eastAsia="標楷體" w:hAnsi="標楷體" w:hint="eastAsia"/>
                                <w:spacing w:val="-4"/>
                                <w:sz w:val="20"/>
                                <w:szCs w:val="20"/>
                              </w:rPr>
                              <w:t>年4月1日</w:t>
                            </w:r>
                          </w:p>
                          <w:p w14:paraId="7D939AEC"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至1</w:t>
                            </w:r>
                            <w:r w:rsidRPr="00CC5AFC">
                              <w:rPr>
                                <w:rFonts w:ascii="標楷體" w:eastAsia="標楷體" w:hAnsi="標楷體"/>
                                <w:spacing w:val="-4"/>
                                <w:sz w:val="20"/>
                                <w:szCs w:val="20"/>
                              </w:rPr>
                              <w:t>16</w:t>
                            </w:r>
                            <w:r w:rsidRPr="00CC5AFC">
                              <w:rPr>
                                <w:rFonts w:ascii="標楷體" w:eastAsia="標楷體" w:hAnsi="標楷體" w:hint="eastAsia"/>
                                <w:spacing w:val="-4"/>
                                <w:sz w:val="20"/>
                                <w:szCs w:val="20"/>
                              </w:rPr>
                              <w:t>年</w:t>
                            </w:r>
                            <w:r w:rsidRPr="00CC5AFC">
                              <w:rPr>
                                <w:rFonts w:ascii="標楷體" w:eastAsia="標楷體" w:hAnsi="標楷體"/>
                                <w:spacing w:val="-4"/>
                                <w:sz w:val="20"/>
                                <w:szCs w:val="20"/>
                              </w:rPr>
                              <w:t>4</w:t>
                            </w:r>
                            <w:r w:rsidRPr="00CC5AFC">
                              <w:rPr>
                                <w:rFonts w:ascii="標楷體" w:eastAsia="標楷體" w:hAnsi="標楷體" w:hint="eastAsia"/>
                                <w:spacing w:val="-4"/>
                                <w:sz w:val="20"/>
                                <w:szCs w:val="20"/>
                              </w:rPr>
                              <w:t>月1日</w:t>
                            </w:r>
                          </w:p>
                        </w:tc>
                        <w:tc>
                          <w:tcPr>
                            <w:tcW w:w="2126" w:type="dxa"/>
                            <w:vAlign w:val="center"/>
                          </w:tcPr>
                          <w:p w14:paraId="22AB5B8D"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spacing w:val="-4"/>
                                <w:sz w:val="20"/>
                                <w:szCs w:val="20"/>
                              </w:rPr>
                              <w:t>115</w:t>
                            </w:r>
                            <w:r w:rsidRPr="00CC5AFC">
                              <w:rPr>
                                <w:rFonts w:ascii="標楷體" w:eastAsia="標楷體" w:hAnsi="標楷體" w:hint="eastAsia"/>
                                <w:spacing w:val="-4"/>
                                <w:sz w:val="20"/>
                                <w:szCs w:val="20"/>
                              </w:rPr>
                              <w:t>年</w:t>
                            </w:r>
                            <w:r w:rsidRPr="00CC5AFC">
                              <w:rPr>
                                <w:rFonts w:ascii="標楷體" w:eastAsia="標楷體" w:hAnsi="標楷體"/>
                                <w:spacing w:val="-4"/>
                                <w:sz w:val="20"/>
                                <w:szCs w:val="20"/>
                              </w:rPr>
                              <w:t>9</w:t>
                            </w:r>
                            <w:r w:rsidRPr="00CC5AFC">
                              <w:rPr>
                                <w:rFonts w:ascii="標楷體" w:eastAsia="標楷體" w:hAnsi="標楷體" w:hint="eastAsia"/>
                                <w:spacing w:val="-4"/>
                                <w:sz w:val="20"/>
                                <w:szCs w:val="20"/>
                              </w:rPr>
                              <w:t>月1</w:t>
                            </w:r>
                            <w:r w:rsidRPr="00CC5AFC">
                              <w:rPr>
                                <w:rFonts w:ascii="標楷體" w:eastAsia="標楷體" w:hAnsi="標楷體"/>
                                <w:spacing w:val="-4"/>
                                <w:sz w:val="20"/>
                                <w:szCs w:val="20"/>
                              </w:rPr>
                              <w:t>1</w:t>
                            </w:r>
                            <w:r w:rsidRPr="00CC5AFC">
                              <w:rPr>
                                <w:rFonts w:ascii="標楷體" w:eastAsia="標楷體" w:hAnsi="標楷體" w:hint="eastAsia"/>
                                <w:spacing w:val="-4"/>
                                <w:sz w:val="20"/>
                                <w:szCs w:val="20"/>
                              </w:rPr>
                              <w:t>日</w:t>
                            </w:r>
                          </w:p>
                          <w:p w14:paraId="22E407F7"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至1</w:t>
                            </w:r>
                            <w:r w:rsidRPr="00CC5AFC">
                              <w:rPr>
                                <w:rFonts w:ascii="標楷體" w:eastAsia="標楷體" w:hAnsi="標楷體"/>
                                <w:spacing w:val="-4"/>
                                <w:sz w:val="20"/>
                                <w:szCs w:val="20"/>
                              </w:rPr>
                              <w:t>16</w:t>
                            </w:r>
                            <w:r w:rsidRPr="00CC5AFC">
                              <w:rPr>
                                <w:rFonts w:ascii="標楷體" w:eastAsia="標楷體" w:hAnsi="標楷體" w:hint="eastAsia"/>
                                <w:spacing w:val="-4"/>
                                <w:sz w:val="20"/>
                                <w:szCs w:val="20"/>
                              </w:rPr>
                              <w:t>年</w:t>
                            </w:r>
                            <w:r w:rsidRPr="00CC5AFC">
                              <w:rPr>
                                <w:rFonts w:ascii="標楷體" w:eastAsia="標楷體" w:hAnsi="標楷體"/>
                                <w:spacing w:val="-4"/>
                                <w:sz w:val="20"/>
                                <w:szCs w:val="20"/>
                              </w:rPr>
                              <w:t>4</w:t>
                            </w:r>
                            <w:r w:rsidRPr="00CC5AFC">
                              <w:rPr>
                                <w:rFonts w:ascii="標楷體" w:eastAsia="標楷體" w:hAnsi="標楷體" w:hint="eastAsia"/>
                                <w:spacing w:val="-4"/>
                                <w:sz w:val="20"/>
                                <w:szCs w:val="20"/>
                              </w:rPr>
                              <w:t>月1日</w:t>
                            </w:r>
                          </w:p>
                        </w:tc>
                      </w:tr>
                      <w:tr w:rsidR="00CC5AFC" w:rsidRPr="001574F8" w14:paraId="780EC69C" w14:textId="77777777" w:rsidTr="00824CD6">
                        <w:trPr>
                          <w:trHeight w:val="1166"/>
                        </w:trPr>
                        <w:tc>
                          <w:tcPr>
                            <w:tcW w:w="409" w:type="dxa"/>
                            <w:vMerge/>
                            <w:vAlign w:val="center"/>
                          </w:tcPr>
                          <w:p w14:paraId="588AAE7F" w14:textId="77777777" w:rsidR="00CC5AFC" w:rsidRPr="00CC5AFC" w:rsidRDefault="00CC5AFC" w:rsidP="00CC5AFC">
                            <w:pPr>
                              <w:spacing w:line="240" w:lineRule="exact"/>
                              <w:jc w:val="center"/>
                              <w:rPr>
                                <w:rFonts w:ascii="標楷體" w:eastAsia="標楷體" w:hAnsi="標楷體"/>
                                <w:spacing w:val="-4"/>
                                <w:sz w:val="20"/>
                                <w:szCs w:val="20"/>
                              </w:rPr>
                            </w:pPr>
                          </w:p>
                        </w:tc>
                        <w:tc>
                          <w:tcPr>
                            <w:tcW w:w="409" w:type="dxa"/>
                            <w:vAlign w:val="center"/>
                          </w:tcPr>
                          <w:p w14:paraId="5B55283C"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期別及月數</w:t>
                            </w:r>
                          </w:p>
                        </w:tc>
                        <w:tc>
                          <w:tcPr>
                            <w:tcW w:w="2296" w:type="dxa"/>
                            <w:vAlign w:val="center"/>
                          </w:tcPr>
                          <w:p w14:paraId="6CF5676D" w14:textId="77777777" w:rsidR="00CC5AFC" w:rsidRPr="00CC5AFC" w:rsidRDefault="00CC5AFC" w:rsidP="00CC5AFC">
                            <w:pPr>
                              <w:spacing w:line="240" w:lineRule="exact"/>
                              <w:jc w:val="center"/>
                              <w:rPr>
                                <w:rFonts w:ascii="標楷體" w:eastAsia="標楷體" w:hAnsi="標楷體"/>
                                <w:spacing w:val="-4"/>
                                <w:sz w:val="20"/>
                                <w:szCs w:val="20"/>
                              </w:rPr>
                            </w:pPr>
                            <w:r w:rsidRPr="00CC5AFC">
                              <w:rPr>
                                <w:rFonts w:ascii="標楷體" w:eastAsia="標楷體" w:hAnsi="標楷體" w:hint="eastAsia"/>
                                <w:spacing w:val="-4"/>
                                <w:sz w:val="20"/>
                                <w:szCs w:val="20"/>
                              </w:rPr>
                              <w:t>1</w:t>
                            </w:r>
                            <w:r w:rsidRPr="00CC5AFC">
                              <w:rPr>
                                <w:rFonts w:ascii="標楷體" w:eastAsia="標楷體" w:hAnsi="標楷體"/>
                                <w:spacing w:val="-4"/>
                                <w:sz w:val="20"/>
                                <w:szCs w:val="20"/>
                              </w:rPr>
                              <w:t>2</w:t>
                            </w:r>
                            <w:r w:rsidRPr="00CC5AFC">
                              <w:rPr>
                                <w:rFonts w:ascii="標楷體" w:eastAsia="標楷體" w:hAnsi="標楷體" w:hint="eastAsia"/>
                                <w:spacing w:val="-4"/>
                                <w:sz w:val="20"/>
                                <w:szCs w:val="20"/>
                              </w:rPr>
                              <w:t>期、3</w:t>
                            </w:r>
                            <w:r w:rsidRPr="00CC5AFC">
                              <w:rPr>
                                <w:rFonts w:ascii="標楷體" w:eastAsia="標楷體" w:hAnsi="標楷體"/>
                                <w:spacing w:val="-4"/>
                                <w:sz w:val="20"/>
                                <w:szCs w:val="20"/>
                              </w:rPr>
                              <w:t>6</w:t>
                            </w:r>
                            <w:r w:rsidRPr="00CC5AFC">
                              <w:rPr>
                                <w:rFonts w:ascii="標楷體" w:eastAsia="標楷體" w:hAnsi="標楷體" w:hint="eastAsia"/>
                                <w:spacing w:val="-4"/>
                                <w:sz w:val="20"/>
                                <w:szCs w:val="20"/>
                              </w:rPr>
                              <w:t>個月</w:t>
                            </w:r>
                          </w:p>
                        </w:tc>
                        <w:tc>
                          <w:tcPr>
                            <w:tcW w:w="2126" w:type="dxa"/>
                            <w:vAlign w:val="center"/>
                          </w:tcPr>
                          <w:p w14:paraId="1D8DB470" w14:textId="77777777" w:rsidR="00CC5AFC" w:rsidRPr="00CC5AFC" w:rsidRDefault="00CC5AFC" w:rsidP="00C254C1">
                            <w:pPr>
                              <w:spacing w:line="240" w:lineRule="exact"/>
                              <w:ind w:leftChars="-13" w:left="-31" w:rightChars="-30" w:right="-72"/>
                              <w:jc w:val="both"/>
                              <w:rPr>
                                <w:rFonts w:ascii="標楷體" w:eastAsia="標楷體" w:hAnsi="標楷體"/>
                                <w:spacing w:val="-4"/>
                                <w:sz w:val="20"/>
                                <w:szCs w:val="20"/>
                              </w:rPr>
                            </w:pPr>
                            <w:r w:rsidRPr="00CC5AFC">
                              <w:rPr>
                                <w:rFonts w:ascii="標楷體" w:eastAsia="標楷體" w:hAnsi="標楷體" w:hint="eastAsia"/>
                                <w:spacing w:val="-4"/>
                                <w:sz w:val="20"/>
                                <w:szCs w:val="20"/>
                              </w:rPr>
                              <w:t>2期、6個月（預防保養）；</w:t>
                            </w:r>
                          </w:p>
                          <w:p w14:paraId="604FFFA2" w14:textId="77777777" w:rsidR="00CC5AFC" w:rsidRPr="00CC5AFC" w:rsidRDefault="00CC5AFC" w:rsidP="00C254C1">
                            <w:pPr>
                              <w:spacing w:line="240" w:lineRule="exact"/>
                              <w:ind w:leftChars="-13" w:left="-31" w:rightChars="-30" w:right="-72"/>
                              <w:jc w:val="both"/>
                              <w:rPr>
                                <w:rFonts w:ascii="標楷體" w:eastAsia="標楷體" w:hAnsi="標楷體"/>
                                <w:spacing w:val="-4"/>
                                <w:sz w:val="20"/>
                                <w:szCs w:val="20"/>
                              </w:rPr>
                            </w:pPr>
                            <w:r w:rsidRPr="00CC5AFC">
                              <w:rPr>
                                <w:rFonts w:ascii="標楷體" w:eastAsia="標楷體" w:hAnsi="標楷體"/>
                                <w:spacing w:val="-4"/>
                                <w:sz w:val="20"/>
                                <w:szCs w:val="20"/>
                              </w:rPr>
                              <w:t>2.2</w:t>
                            </w:r>
                            <w:r w:rsidRPr="00CC5AFC">
                              <w:rPr>
                                <w:rFonts w:ascii="標楷體" w:eastAsia="標楷體" w:hAnsi="標楷體" w:hint="eastAsia"/>
                                <w:spacing w:val="-4"/>
                                <w:sz w:val="20"/>
                                <w:szCs w:val="20"/>
                              </w:rPr>
                              <w:t>期、6</w:t>
                            </w:r>
                            <w:r w:rsidRPr="00CC5AFC">
                              <w:rPr>
                                <w:rFonts w:ascii="標楷體" w:eastAsia="標楷體" w:hAnsi="標楷體"/>
                                <w:spacing w:val="-4"/>
                                <w:sz w:val="20"/>
                                <w:szCs w:val="20"/>
                              </w:rPr>
                              <w:t>.6</w:t>
                            </w:r>
                            <w:r w:rsidRPr="00CC5AFC">
                              <w:rPr>
                                <w:rFonts w:ascii="標楷體" w:eastAsia="標楷體" w:hAnsi="標楷體" w:hint="eastAsia"/>
                                <w:spacing w:val="-4"/>
                                <w:sz w:val="20"/>
                                <w:szCs w:val="20"/>
                              </w:rPr>
                              <w:t>個月（故障檢修）</w:t>
                            </w:r>
                          </w:p>
                        </w:tc>
                      </w:tr>
                    </w:tbl>
                    <w:p w14:paraId="69E649ED" w14:textId="77777777" w:rsidR="00CC5AFC" w:rsidRPr="001574F8" w:rsidRDefault="00CC5AFC" w:rsidP="00CC5AFC">
                      <w:pPr>
                        <w:spacing w:line="0" w:lineRule="atLeast"/>
                        <w:ind w:rightChars="-40" w:right="-96"/>
                        <w:rPr>
                          <w:rFonts w:ascii="標楷體" w:eastAsia="標楷體" w:hAnsi="標楷體"/>
                          <w:sz w:val="18"/>
                          <w:szCs w:val="18"/>
                        </w:rPr>
                      </w:pPr>
                      <w:r w:rsidRPr="001574F8">
                        <w:rPr>
                          <w:rFonts w:ascii="標楷體" w:eastAsia="標楷體" w:hAnsi="標楷體" w:hint="eastAsia"/>
                          <w:sz w:val="18"/>
                          <w:szCs w:val="18"/>
                        </w:rPr>
                        <w:t>資料來源</w:t>
                      </w:r>
                      <w:r>
                        <w:rPr>
                          <w:rFonts w:ascii="標楷體" w:eastAsia="標楷體" w:hAnsi="標楷體" w:hint="eastAsia"/>
                          <w:sz w:val="18"/>
                          <w:szCs w:val="18"/>
                        </w:rPr>
                        <w:t>：</w:t>
                      </w:r>
                      <w:r w:rsidRPr="001574F8">
                        <w:rPr>
                          <w:rFonts w:ascii="標楷體" w:eastAsia="標楷體" w:hAnsi="標楷體" w:hint="eastAsia"/>
                          <w:sz w:val="18"/>
                          <w:szCs w:val="18"/>
                        </w:rPr>
                        <w:t>整理自</w:t>
                      </w:r>
                      <w:r w:rsidRPr="00E13AC9">
                        <w:rPr>
                          <w:rFonts w:ascii="標楷體" w:eastAsia="標楷體" w:hAnsi="標楷體" w:hint="eastAsia"/>
                          <w:sz w:val="18"/>
                          <w:szCs w:val="18"/>
                        </w:rPr>
                        <w:t>捷運公司</w:t>
                      </w:r>
                      <w:r w:rsidRPr="001574F8">
                        <w:rPr>
                          <w:rFonts w:ascii="標楷體" w:eastAsia="標楷體" w:hAnsi="標楷體" w:hint="eastAsia"/>
                          <w:sz w:val="18"/>
                          <w:szCs w:val="18"/>
                        </w:rPr>
                        <w:t>提供資料。</w:t>
                      </w:r>
                    </w:p>
                  </w:txbxContent>
                </v:textbox>
                <w10:wrap type="tight" anchorx="margin" anchory="page"/>
              </v:shape>
            </w:pict>
          </mc:Fallback>
        </mc:AlternateContent>
      </w:r>
      <w:r w:rsidR="00CC5AFC" w:rsidRPr="003D2D45">
        <w:rPr>
          <w:rFonts w:ascii="標楷體" w:eastAsia="標楷體" w:hAnsi="標楷體" w:cs="Times New Roman" w:hint="eastAsia"/>
        </w:rPr>
        <w:t>敲擊測試量值是否正常等8項維護檢查。經查</w:t>
      </w:r>
      <w:r w:rsidR="00CC5AFC">
        <w:rPr>
          <w:rFonts w:ascii="標楷體" w:eastAsia="標楷體" w:hAnsi="標楷體" w:cs="Times New Roman" w:hint="eastAsia"/>
        </w:rPr>
        <w:t>該</w:t>
      </w:r>
      <w:r w:rsidR="00CC5AFC" w:rsidRPr="003D2D45">
        <w:rPr>
          <w:rFonts w:ascii="標楷體" w:eastAsia="標楷體" w:hAnsi="標楷體" w:cs="Times New Roman" w:hint="eastAsia"/>
        </w:rPr>
        <w:t>公司已按月</w:t>
      </w:r>
      <w:r w:rsidR="00CC5AFC">
        <w:rPr>
          <w:rFonts w:ascii="標楷體" w:eastAsia="標楷體" w:hAnsi="標楷體" w:cs="Times New Roman" w:hint="eastAsia"/>
        </w:rPr>
        <w:t>於</w:t>
      </w:r>
      <w:r w:rsidR="00CC5AFC" w:rsidRPr="003D2D45">
        <w:rPr>
          <w:rFonts w:ascii="標楷體" w:eastAsia="標楷體" w:hAnsi="標楷體" w:cs="Times New Roman" w:hint="eastAsia"/>
        </w:rPr>
        <w:t>113年第2季及第3季</w:t>
      </w:r>
      <w:r w:rsidR="00CC5AFC">
        <w:rPr>
          <w:rFonts w:ascii="標楷體" w:eastAsia="標楷體" w:hAnsi="標楷體" w:cs="Times New Roman" w:hint="eastAsia"/>
        </w:rPr>
        <w:t>辦理上開</w:t>
      </w:r>
      <w:r w:rsidR="00CC5AFC" w:rsidRPr="003D2D45">
        <w:rPr>
          <w:rFonts w:ascii="標楷體" w:eastAsia="標楷體" w:hAnsi="標楷體" w:cs="Times New Roman" w:hint="eastAsia"/>
        </w:rPr>
        <w:t>15處</w:t>
      </w:r>
      <w:proofErr w:type="gramStart"/>
      <w:r w:rsidR="00CC5AFC" w:rsidRPr="003D2D45">
        <w:rPr>
          <w:rFonts w:ascii="標楷體" w:eastAsia="標楷體" w:hAnsi="標楷體" w:cs="Times New Roman" w:hint="eastAsia"/>
        </w:rPr>
        <w:t>強震儀</w:t>
      </w:r>
      <w:r w:rsidR="00CC5AFC">
        <w:rPr>
          <w:rFonts w:ascii="標楷體" w:eastAsia="標楷體" w:hAnsi="標楷體" w:cs="Times New Roman" w:hint="eastAsia"/>
        </w:rPr>
        <w:t>月</w:t>
      </w:r>
      <w:r w:rsidR="00CC5AFC" w:rsidRPr="003D2D45">
        <w:rPr>
          <w:rFonts w:ascii="標楷體" w:eastAsia="標楷體" w:hAnsi="標楷體" w:cs="Times New Roman" w:hint="eastAsia"/>
        </w:rPr>
        <w:t>檢查</w:t>
      </w:r>
      <w:proofErr w:type="gramEnd"/>
      <w:r w:rsidR="00CC5AFC" w:rsidRPr="003D2D45">
        <w:rPr>
          <w:rFonts w:ascii="標楷體" w:eastAsia="標楷體" w:hAnsi="標楷體" w:cs="Times New Roman" w:hint="eastAsia"/>
        </w:rPr>
        <w:t>，且為執行季檢查</w:t>
      </w:r>
      <w:r w:rsidR="00CC5AFC">
        <w:rPr>
          <w:rFonts w:ascii="標楷體" w:eastAsia="標楷體" w:hAnsi="標楷體" w:cs="Times New Roman" w:hint="eastAsia"/>
        </w:rPr>
        <w:t>項目</w:t>
      </w:r>
      <w:r w:rsidR="00CC5AFC" w:rsidRPr="003D2D45">
        <w:rPr>
          <w:rFonts w:ascii="標楷體" w:eastAsia="標楷體" w:hAnsi="標楷體" w:cs="Times New Roman" w:hint="eastAsia"/>
        </w:rPr>
        <w:t>，於113年1月11日辦理「地震即時警報系統維護與調</w:t>
      </w:r>
      <w:r w:rsidR="00CC5AFC">
        <w:rPr>
          <w:rFonts w:ascii="標楷體" w:eastAsia="標楷體" w:hAnsi="標楷體" w:cs="Times New Roman" w:hint="eastAsia"/>
        </w:rPr>
        <w:t>校</w:t>
      </w:r>
      <w:r w:rsidR="00CC5AFC" w:rsidRPr="003D2D45">
        <w:rPr>
          <w:rFonts w:ascii="標楷體" w:eastAsia="標楷體" w:hAnsi="標楷體" w:cs="Times New Roman" w:hint="eastAsia"/>
        </w:rPr>
        <w:t>工作」採購案，決標</w:t>
      </w:r>
      <w:r w:rsidR="00CC5AFC">
        <w:rPr>
          <w:rFonts w:ascii="標楷體" w:eastAsia="標楷體" w:hAnsi="標楷體" w:cs="Times New Roman" w:hint="eastAsia"/>
        </w:rPr>
        <w:t>金額</w:t>
      </w:r>
      <w:r w:rsidR="00CC5AFC" w:rsidRPr="003D2D45">
        <w:rPr>
          <w:rFonts w:ascii="標楷體" w:eastAsia="標楷體" w:hAnsi="標楷體" w:cs="Times New Roman" w:hint="eastAsia"/>
        </w:rPr>
        <w:t>142萬餘元</w:t>
      </w:r>
      <w:r w:rsidR="00CC5AFC">
        <w:rPr>
          <w:rFonts w:ascii="標楷體" w:eastAsia="標楷體" w:hAnsi="標楷體" w:cs="Times New Roman" w:hint="eastAsia"/>
        </w:rPr>
        <w:t>，</w:t>
      </w:r>
      <w:r w:rsidR="00CC5AFC" w:rsidRPr="003D2D45">
        <w:rPr>
          <w:rFonts w:ascii="標楷體" w:eastAsia="標楷體" w:hAnsi="標楷體" w:cs="Times New Roman" w:hint="eastAsia"/>
        </w:rPr>
        <w:t>期間自113年4月1日至116年4月1日止</w:t>
      </w:r>
      <w:r w:rsidR="00CC5AFC">
        <w:rPr>
          <w:rFonts w:ascii="標楷體" w:eastAsia="標楷體" w:hAnsi="標楷體" w:cs="Times New Roman" w:hint="eastAsia"/>
        </w:rPr>
        <w:t>；</w:t>
      </w:r>
      <w:proofErr w:type="gramStart"/>
      <w:r w:rsidR="00CC5AFC" w:rsidRPr="004422CF">
        <w:rPr>
          <w:rFonts w:ascii="標楷體" w:eastAsia="標楷體" w:hAnsi="標楷體" w:cs="Times New Roman" w:hint="eastAsia"/>
          <w:spacing w:val="4"/>
        </w:rPr>
        <w:t>惟所設置</w:t>
      </w:r>
      <w:proofErr w:type="gramEnd"/>
      <w:r w:rsidR="00CC5AFC" w:rsidRPr="004422CF">
        <w:rPr>
          <w:rFonts w:ascii="標楷體" w:eastAsia="標楷體" w:hAnsi="標楷體" w:cs="Times New Roman" w:hint="eastAsia"/>
          <w:spacing w:val="4"/>
        </w:rPr>
        <w:t>之15處強震儀，其中交九行控中心等8處強震儀自1</w:t>
      </w:r>
      <w:r w:rsidR="00CC5AFC" w:rsidRPr="004422CF">
        <w:rPr>
          <w:rFonts w:ascii="標楷體" w:eastAsia="標楷體" w:hAnsi="標楷體" w:cs="Times New Roman"/>
          <w:spacing w:val="4"/>
        </w:rPr>
        <w:t>12</w:t>
      </w:r>
      <w:r w:rsidR="00CC5AFC" w:rsidRPr="004422CF">
        <w:rPr>
          <w:rFonts w:ascii="標楷體" w:eastAsia="標楷體" w:hAnsi="標楷體" w:cs="Times New Roman" w:hint="eastAsia"/>
          <w:spacing w:val="4"/>
        </w:rPr>
        <w:t>年9月11日完成</w:t>
      </w:r>
      <w:proofErr w:type="gramStart"/>
      <w:r w:rsidR="00CC5AFC" w:rsidRPr="004422CF">
        <w:rPr>
          <w:rFonts w:ascii="標楷體" w:eastAsia="標楷體" w:hAnsi="標楷體" w:cs="Times New Roman" w:hint="eastAsia"/>
          <w:spacing w:val="4"/>
        </w:rPr>
        <w:t>驗收迄</w:t>
      </w:r>
      <w:proofErr w:type="gramEnd"/>
      <w:r w:rsidR="00CC5AFC" w:rsidRPr="004422CF">
        <w:rPr>
          <w:rFonts w:ascii="標楷體" w:eastAsia="標楷體" w:hAnsi="標楷體" w:cs="Times New Roman" w:hint="eastAsia"/>
          <w:spacing w:val="4"/>
        </w:rPr>
        <w:t>至113年11月22日，</w:t>
      </w:r>
      <w:proofErr w:type="gramStart"/>
      <w:r w:rsidR="00CC5AFC" w:rsidRPr="004422CF">
        <w:rPr>
          <w:rFonts w:ascii="標楷體" w:eastAsia="標楷體" w:hAnsi="標楷體" w:cs="Times New Roman" w:hint="eastAsia"/>
          <w:spacing w:val="4"/>
        </w:rPr>
        <w:t>均未辦理</w:t>
      </w:r>
      <w:proofErr w:type="gramEnd"/>
      <w:r w:rsidR="00CC5AFC" w:rsidRPr="004422CF">
        <w:rPr>
          <w:rFonts w:ascii="標楷體" w:eastAsia="標楷體" w:hAnsi="標楷體" w:cs="Times New Roman" w:hint="eastAsia"/>
          <w:spacing w:val="4"/>
        </w:rPr>
        <w:t>季檢</w:t>
      </w:r>
      <w:r w:rsidR="00CC5AFC" w:rsidRPr="00E83E2E">
        <w:rPr>
          <w:rFonts w:ascii="標楷體" w:eastAsia="標楷體" w:hAnsi="標楷體" w:cs="Times New Roman" w:hint="eastAsia"/>
        </w:rPr>
        <w:t>查</w:t>
      </w:r>
      <w:r w:rsidR="00CC5AFC">
        <w:rPr>
          <w:rFonts w:ascii="標楷體" w:eastAsia="標楷體" w:hAnsi="標楷體" w:cs="Times New Roman" w:hint="eastAsia"/>
        </w:rPr>
        <w:t>，且規劃自115年9月11日起開始辦理季檢查；餘</w:t>
      </w:r>
      <w:r w:rsidR="00CC5AFC" w:rsidRPr="0065040D">
        <w:rPr>
          <w:rFonts w:ascii="標楷體" w:eastAsia="標楷體" w:hAnsi="標楷體" w:cs="Times New Roman" w:hint="eastAsia"/>
        </w:rPr>
        <w:t>紅樹林</w:t>
      </w:r>
      <w:r w:rsidR="00CC5AFC" w:rsidRPr="00E83E2E">
        <w:rPr>
          <w:rFonts w:ascii="標楷體" w:eastAsia="標楷體" w:hAnsi="標楷體" w:cs="Times New Roman" w:hint="eastAsia"/>
        </w:rPr>
        <w:t>等</w:t>
      </w:r>
      <w:r w:rsidR="00CC5AFC">
        <w:rPr>
          <w:rFonts w:ascii="標楷體" w:eastAsia="標楷體" w:hAnsi="標楷體" w:cs="Times New Roman" w:hint="eastAsia"/>
        </w:rPr>
        <w:t>7</w:t>
      </w:r>
    </w:p>
    <w:p w14:paraId="1A27DF23" w14:textId="0A8F4482" w:rsidR="00CC5AFC" w:rsidRDefault="00CC5AFC" w:rsidP="00B01D29">
      <w:pPr>
        <w:overflowPunct w:val="0"/>
        <w:spacing w:line="416" w:lineRule="exact"/>
        <w:jc w:val="both"/>
        <w:rPr>
          <w:rFonts w:ascii="標楷體" w:eastAsia="標楷體" w:hAnsi="標楷體" w:cs="Times New Roman"/>
        </w:rPr>
      </w:pPr>
      <w:r w:rsidRPr="00E83E2E">
        <w:rPr>
          <w:rFonts w:ascii="標楷體" w:eastAsia="標楷體" w:hAnsi="標楷體" w:cs="Times New Roman" w:hint="eastAsia"/>
        </w:rPr>
        <w:t>處強震儀</w:t>
      </w:r>
      <w:r>
        <w:rPr>
          <w:rFonts w:ascii="標楷體" w:eastAsia="標楷體" w:hAnsi="標楷體" w:cs="Times New Roman" w:hint="eastAsia"/>
        </w:rPr>
        <w:t>，委外廠商已執行</w:t>
      </w:r>
      <w:r w:rsidRPr="00E83E2E">
        <w:rPr>
          <w:rFonts w:ascii="標楷體" w:eastAsia="標楷體" w:hAnsi="標楷體" w:cs="Times New Roman" w:hint="eastAsia"/>
        </w:rPr>
        <w:t>113年</w:t>
      </w:r>
      <w:r w:rsidRPr="00937CF1">
        <w:rPr>
          <w:rFonts w:ascii="標楷體" w:eastAsia="標楷體" w:hAnsi="標楷體" w:cs="Times New Roman" w:hint="eastAsia"/>
        </w:rPr>
        <w:t>第2季及第3季</w:t>
      </w:r>
      <w:r>
        <w:rPr>
          <w:rFonts w:ascii="標楷體" w:eastAsia="標楷體" w:hAnsi="標楷體" w:cs="Times New Roman" w:hint="eastAsia"/>
        </w:rPr>
        <w:t>2次</w:t>
      </w:r>
      <w:r w:rsidRPr="00E83E2E">
        <w:rPr>
          <w:rFonts w:ascii="標楷體" w:eastAsia="標楷體" w:hAnsi="標楷體" w:cs="Times New Roman" w:hint="eastAsia"/>
        </w:rPr>
        <w:t>季檢查</w:t>
      </w:r>
      <w:r w:rsidRPr="003D2D45">
        <w:rPr>
          <w:rFonts w:ascii="標楷體" w:eastAsia="標楷體" w:hAnsi="標楷體" w:cs="Times New Roman" w:hint="eastAsia"/>
        </w:rPr>
        <w:t>（</w:t>
      </w:r>
      <w:r>
        <w:rPr>
          <w:rFonts w:ascii="標楷體" w:eastAsia="標楷體" w:hAnsi="標楷體" w:cs="Times New Roman" w:hint="eastAsia"/>
        </w:rPr>
        <w:t>表5</w:t>
      </w:r>
      <w:r w:rsidRPr="003D2D45">
        <w:rPr>
          <w:rFonts w:ascii="標楷體" w:eastAsia="標楷體" w:hAnsi="標楷體" w:cs="Times New Roman" w:hint="eastAsia"/>
        </w:rPr>
        <w:t>）</w:t>
      </w:r>
      <w:r>
        <w:rPr>
          <w:rFonts w:ascii="標楷體" w:eastAsia="標楷體" w:hAnsi="標楷體" w:cs="Times New Roman" w:hint="eastAsia"/>
        </w:rPr>
        <w:t>，惟實際檢查</w:t>
      </w:r>
      <w:r w:rsidRPr="00E83E2E">
        <w:rPr>
          <w:rFonts w:ascii="標楷體" w:eastAsia="標楷體" w:hAnsi="標楷體" w:cs="Times New Roman" w:hint="eastAsia"/>
        </w:rPr>
        <w:t>項目與</w:t>
      </w:r>
      <w:r>
        <w:rPr>
          <w:rFonts w:ascii="標楷體" w:eastAsia="標楷體" w:hAnsi="標楷體" w:cs="Times New Roman" w:hint="eastAsia"/>
        </w:rPr>
        <w:t>捷運</w:t>
      </w:r>
      <w:r w:rsidRPr="003D2D45">
        <w:rPr>
          <w:rFonts w:ascii="標楷體" w:eastAsia="標楷體" w:hAnsi="標楷體" w:cs="Times New Roman" w:hint="eastAsia"/>
        </w:rPr>
        <w:t>公司</w:t>
      </w:r>
      <w:r>
        <w:rPr>
          <w:rFonts w:ascii="標楷體" w:eastAsia="標楷體" w:hAnsi="標楷體" w:cs="Times New Roman" w:hint="eastAsia"/>
        </w:rPr>
        <w:t>所訂作業</w:t>
      </w:r>
      <w:r w:rsidRPr="0042239A">
        <w:rPr>
          <w:rFonts w:ascii="標楷體" w:eastAsia="標楷體" w:hAnsi="標楷體" w:cs="Times New Roman" w:hint="eastAsia"/>
        </w:rPr>
        <w:t>規範</w:t>
      </w:r>
      <w:r>
        <w:rPr>
          <w:rFonts w:ascii="標楷體" w:eastAsia="標楷體" w:hAnsi="標楷體" w:cs="Times New Roman" w:hint="eastAsia"/>
        </w:rPr>
        <w:t>應辦理季</w:t>
      </w:r>
      <w:r w:rsidRPr="00E83E2E">
        <w:rPr>
          <w:rFonts w:ascii="標楷體" w:eastAsia="標楷體" w:hAnsi="標楷體" w:cs="Times New Roman" w:hint="eastAsia"/>
        </w:rPr>
        <w:t>檢查項目</w:t>
      </w:r>
      <w:r>
        <w:rPr>
          <w:rFonts w:ascii="標楷體" w:eastAsia="標楷體" w:hAnsi="標楷體" w:cs="Times New Roman" w:hint="eastAsia"/>
        </w:rPr>
        <w:t>相較，尚有敲擊測試等5項未辦理等情事</w:t>
      </w:r>
      <w:r w:rsidRPr="003D2D45">
        <w:rPr>
          <w:rFonts w:ascii="標楷體" w:eastAsia="標楷體" w:hAnsi="標楷體" w:cs="Times New Roman" w:hint="eastAsia"/>
        </w:rPr>
        <w:t>，</w:t>
      </w:r>
      <w:r>
        <w:rPr>
          <w:rFonts w:ascii="標楷體" w:eastAsia="標楷體" w:hAnsi="標楷體" w:cs="Times New Roman" w:hint="eastAsia"/>
        </w:rPr>
        <w:t>經函請檢討改善。據復：</w:t>
      </w:r>
      <w:proofErr w:type="gramStart"/>
      <w:r>
        <w:rPr>
          <w:rFonts w:ascii="標楷體" w:eastAsia="標楷體" w:hAnsi="標楷體" w:cs="Times New Roman" w:hint="eastAsia"/>
        </w:rPr>
        <w:t>原未辦理</w:t>
      </w:r>
      <w:proofErr w:type="gramEnd"/>
      <w:r>
        <w:rPr>
          <w:rFonts w:ascii="標楷體" w:eastAsia="標楷體" w:hAnsi="標楷體" w:cs="Times New Roman" w:hint="eastAsia"/>
        </w:rPr>
        <w:t>季檢查之8處</w:t>
      </w:r>
      <w:r w:rsidRPr="00093471">
        <w:rPr>
          <w:rFonts w:ascii="標楷體" w:eastAsia="標楷體" w:hAnsi="標楷體" w:cs="Times New Roman" w:hint="eastAsia"/>
        </w:rPr>
        <w:t>強震儀</w:t>
      </w:r>
      <w:r>
        <w:rPr>
          <w:rFonts w:ascii="標楷體" w:eastAsia="標楷體" w:hAnsi="標楷體" w:cs="Times New Roman" w:hint="eastAsia"/>
        </w:rPr>
        <w:t>，尚於保固</w:t>
      </w:r>
      <w:proofErr w:type="gramStart"/>
      <w:r>
        <w:rPr>
          <w:rFonts w:ascii="標楷體" w:eastAsia="標楷體" w:hAnsi="標楷體" w:cs="Times New Roman" w:hint="eastAsia"/>
        </w:rPr>
        <w:t>期間</w:t>
      </w:r>
      <w:r w:rsidRPr="00093471">
        <w:rPr>
          <w:rFonts w:ascii="標楷體" w:eastAsia="標楷體" w:hAnsi="標楷體" w:cs="Times New Roman" w:hint="eastAsia"/>
        </w:rPr>
        <w:t>，</w:t>
      </w:r>
      <w:proofErr w:type="gramEnd"/>
      <w:r>
        <w:rPr>
          <w:rFonts w:ascii="標楷體" w:eastAsia="標楷體" w:hAnsi="標楷體" w:cs="Times New Roman" w:hint="eastAsia"/>
        </w:rPr>
        <w:t>因</w:t>
      </w:r>
      <w:r w:rsidRPr="00093471">
        <w:rPr>
          <w:rFonts w:ascii="標楷體" w:eastAsia="標楷體" w:hAnsi="標楷體" w:cs="Times New Roman" w:hint="eastAsia"/>
        </w:rPr>
        <w:t>人員錯誤認知</w:t>
      </w:r>
      <w:r>
        <w:rPr>
          <w:rFonts w:ascii="標楷體" w:eastAsia="標楷體" w:hAnsi="標楷體" w:cs="Times New Roman" w:hint="eastAsia"/>
        </w:rPr>
        <w:t>而未</w:t>
      </w:r>
      <w:r w:rsidRPr="00093471">
        <w:rPr>
          <w:rFonts w:ascii="標楷體" w:eastAsia="標楷體" w:hAnsi="標楷體" w:cs="Times New Roman" w:hint="eastAsia"/>
        </w:rPr>
        <w:t>安排季檢查，已</w:t>
      </w:r>
      <w:r>
        <w:rPr>
          <w:rFonts w:ascii="標楷體" w:eastAsia="標楷體" w:hAnsi="標楷體" w:cs="Times New Roman" w:hint="eastAsia"/>
        </w:rPr>
        <w:t>自</w:t>
      </w:r>
      <w:r w:rsidRPr="00093471">
        <w:rPr>
          <w:rFonts w:ascii="標楷體" w:eastAsia="標楷體" w:hAnsi="標楷體" w:cs="Times New Roman" w:hint="eastAsia"/>
        </w:rPr>
        <w:t>113年12月起，依不同檢查周期完成自主檢查項目</w:t>
      </w:r>
      <w:r>
        <w:rPr>
          <w:rFonts w:ascii="標楷體" w:eastAsia="標楷體" w:hAnsi="標楷體" w:cs="Times New Roman" w:hint="eastAsia"/>
        </w:rPr>
        <w:t>；另</w:t>
      </w:r>
      <w:r w:rsidRPr="005A60F3">
        <w:rPr>
          <w:rFonts w:ascii="標楷體" w:eastAsia="標楷體" w:hAnsi="標楷體" w:cs="Times New Roman" w:hint="eastAsia"/>
        </w:rPr>
        <w:t>已</w:t>
      </w:r>
      <w:r>
        <w:rPr>
          <w:rFonts w:ascii="標楷體" w:eastAsia="標楷體" w:hAnsi="標楷體" w:cs="Times New Roman" w:hint="eastAsia"/>
        </w:rPr>
        <w:t>檢視相關強震</w:t>
      </w:r>
      <w:proofErr w:type="gramStart"/>
      <w:r>
        <w:rPr>
          <w:rFonts w:ascii="標楷體" w:eastAsia="標楷體" w:hAnsi="標楷體" w:cs="Times New Roman" w:hint="eastAsia"/>
        </w:rPr>
        <w:t>儀預檢</w:t>
      </w:r>
      <w:proofErr w:type="gramEnd"/>
      <w:r>
        <w:rPr>
          <w:rFonts w:ascii="標楷體" w:eastAsia="標楷體" w:hAnsi="標楷體" w:cs="Times New Roman" w:hint="eastAsia"/>
        </w:rPr>
        <w:t>作業，並檢討修正</w:t>
      </w:r>
      <w:r w:rsidRPr="005A60F3">
        <w:rPr>
          <w:rFonts w:ascii="標楷體" w:eastAsia="標楷體" w:hAnsi="標楷體" w:cs="Times New Roman" w:hint="eastAsia"/>
        </w:rPr>
        <w:t>廠商預防保養檢修</w:t>
      </w:r>
      <w:r>
        <w:rPr>
          <w:rFonts w:ascii="標楷體" w:eastAsia="標楷體" w:hAnsi="標楷體" w:cs="Times New Roman" w:hint="eastAsia"/>
        </w:rPr>
        <w:t>紀錄表，應包括所有季檢查</w:t>
      </w:r>
      <w:r w:rsidRPr="005A60F3">
        <w:rPr>
          <w:rFonts w:ascii="標楷體" w:eastAsia="標楷體" w:hAnsi="標楷體" w:cs="Times New Roman" w:hint="eastAsia"/>
        </w:rPr>
        <w:t>項目</w:t>
      </w:r>
      <w:r>
        <w:rPr>
          <w:rFonts w:ascii="標楷體" w:eastAsia="標楷體" w:hAnsi="標楷體" w:cs="Times New Roman" w:hint="eastAsia"/>
        </w:rPr>
        <w:t>內容</w:t>
      </w:r>
      <w:r w:rsidRPr="005A60F3">
        <w:rPr>
          <w:rFonts w:ascii="標楷體" w:eastAsia="標楷體" w:hAnsi="標楷體" w:cs="Times New Roman" w:hint="eastAsia"/>
        </w:rPr>
        <w:t>，</w:t>
      </w:r>
      <w:r>
        <w:rPr>
          <w:rFonts w:ascii="標楷體" w:eastAsia="標楷體" w:hAnsi="標楷體" w:cs="Times New Roman" w:hint="eastAsia"/>
        </w:rPr>
        <w:t>據以按季檢查強震儀，</w:t>
      </w:r>
      <w:r w:rsidRPr="0002418F">
        <w:rPr>
          <w:rFonts w:ascii="標楷體" w:eastAsia="標楷體" w:hAnsi="標楷體" w:cs="Times New Roman" w:hint="eastAsia"/>
        </w:rPr>
        <w:t>以維持設施功能有效性</w:t>
      </w:r>
      <w:r>
        <w:rPr>
          <w:rFonts w:ascii="標楷體" w:eastAsia="標楷體" w:hAnsi="標楷體" w:cs="Times New Roman" w:hint="eastAsia"/>
        </w:rPr>
        <w:t>。</w:t>
      </w:r>
    </w:p>
    <w:p w14:paraId="06A8109E" w14:textId="21FE5C0A" w:rsidR="00CC5AFC" w:rsidRPr="00012274" w:rsidRDefault="00CC5AFC" w:rsidP="003E1813">
      <w:pPr>
        <w:suppressAutoHyphens/>
        <w:overflowPunct w:val="0"/>
        <w:spacing w:beforeLines="50" w:before="180" w:line="440" w:lineRule="exact"/>
        <w:ind w:firstLineChars="100" w:firstLine="280"/>
        <w:jc w:val="both"/>
        <w:rPr>
          <w:rFonts w:ascii="標楷體" w:eastAsia="標楷體" w:hAnsi="標楷體" w:cs="Times New Roman"/>
          <w:sz w:val="18"/>
          <w:szCs w:val="18"/>
        </w:rPr>
      </w:pPr>
      <w:r w:rsidRPr="00012274">
        <w:rPr>
          <w:rFonts w:ascii="標楷體" w:eastAsia="標楷體" w:hAnsi="標楷體" w:cs="Times New Roman" w:hint="eastAsia"/>
          <w:b/>
          <w:sz w:val="28"/>
          <w:szCs w:val="28"/>
        </w:rPr>
        <w:lastRenderedPageBreak/>
        <w:t>（</w:t>
      </w:r>
      <w:r>
        <w:rPr>
          <w:rFonts w:ascii="標楷體" w:eastAsia="標楷體" w:hAnsi="標楷體" w:cs="Times New Roman" w:hint="eastAsia"/>
          <w:b/>
          <w:sz w:val="28"/>
          <w:szCs w:val="28"/>
        </w:rPr>
        <w:t>七</w:t>
      </w:r>
      <w:r w:rsidRPr="00012274">
        <w:rPr>
          <w:rFonts w:ascii="標楷體" w:eastAsia="標楷體" w:hAnsi="標楷體" w:cs="Times New Roman" w:hint="eastAsia"/>
          <w:b/>
          <w:sz w:val="28"/>
          <w:szCs w:val="28"/>
        </w:rPr>
        <w:t>）</w:t>
      </w:r>
      <w:r>
        <w:rPr>
          <w:rFonts w:ascii="標楷體" w:eastAsia="標楷體" w:hAnsi="標楷體" w:cs="Times New Roman" w:hint="eastAsia"/>
          <w:b/>
          <w:sz w:val="28"/>
          <w:szCs w:val="28"/>
        </w:rPr>
        <w:t>為提升捷運橋梁之檢查強度，委外廠</w:t>
      </w:r>
      <w:r w:rsidRPr="00D80366">
        <w:rPr>
          <w:rFonts w:ascii="標楷體" w:eastAsia="標楷體" w:hAnsi="標楷體" w:cs="Times New Roman" w:hint="eastAsia"/>
          <w:b/>
          <w:sz w:val="28"/>
          <w:szCs w:val="28"/>
        </w:rPr>
        <w:t>商</w:t>
      </w:r>
      <w:r>
        <w:rPr>
          <w:rFonts w:ascii="標楷體" w:eastAsia="標楷體" w:hAnsi="標楷體" w:cs="Times New Roman" w:hint="eastAsia"/>
          <w:b/>
          <w:sz w:val="28"/>
          <w:szCs w:val="28"/>
        </w:rPr>
        <w:t>依中央規範</w:t>
      </w:r>
      <w:r w:rsidRPr="00D80366">
        <w:rPr>
          <w:rFonts w:ascii="標楷體" w:eastAsia="標楷體" w:hAnsi="標楷體" w:cs="Times New Roman" w:hint="eastAsia"/>
          <w:b/>
          <w:sz w:val="28"/>
          <w:szCs w:val="28"/>
        </w:rPr>
        <w:t>辦理強震後捷運橋梁特別檢查項目，且檢查範圍擴大納入北投機廠之人行</w:t>
      </w:r>
      <w:r>
        <w:rPr>
          <w:rFonts w:ascii="標楷體" w:eastAsia="標楷體" w:hAnsi="標楷體" w:cs="Times New Roman" w:hint="eastAsia"/>
          <w:b/>
          <w:sz w:val="28"/>
          <w:szCs w:val="28"/>
        </w:rPr>
        <w:t>天</w:t>
      </w:r>
      <w:r w:rsidRPr="00D80366">
        <w:rPr>
          <w:rFonts w:ascii="標楷體" w:eastAsia="標楷體" w:hAnsi="標楷體" w:cs="Times New Roman" w:hint="eastAsia"/>
          <w:b/>
          <w:sz w:val="28"/>
          <w:szCs w:val="28"/>
        </w:rPr>
        <w:t>橋或聯絡橋梁，惟內部相關</w:t>
      </w:r>
      <w:r>
        <w:rPr>
          <w:rFonts w:ascii="標楷體" w:eastAsia="標楷體" w:hAnsi="標楷體" w:cs="Times New Roman" w:hint="eastAsia"/>
          <w:b/>
          <w:sz w:val="28"/>
          <w:szCs w:val="28"/>
        </w:rPr>
        <w:t>作業</w:t>
      </w:r>
      <w:r w:rsidRPr="00D80366">
        <w:rPr>
          <w:rFonts w:ascii="標楷體" w:eastAsia="標楷體" w:hAnsi="標楷體" w:cs="Times New Roman" w:hint="eastAsia"/>
          <w:b/>
          <w:sz w:val="28"/>
          <w:szCs w:val="28"/>
        </w:rPr>
        <w:t>規範未</w:t>
      </w:r>
      <w:r>
        <w:rPr>
          <w:rFonts w:ascii="標楷體" w:eastAsia="標楷體" w:hAnsi="標楷體" w:cs="Times New Roman" w:hint="eastAsia"/>
          <w:b/>
          <w:sz w:val="28"/>
          <w:szCs w:val="28"/>
        </w:rPr>
        <w:t>依實際檢查項目及範圍</w:t>
      </w:r>
      <w:proofErr w:type="gramStart"/>
      <w:r w:rsidRPr="00D80366">
        <w:rPr>
          <w:rFonts w:ascii="標楷體" w:eastAsia="標楷體" w:hAnsi="標楷體" w:cs="Times New Roman" w:hint="eastAsia"/>
          <w:b/>
          <w:sz w:val="28"/>
          <w:szCs w:val="28"/>
        </w:rPr>
        <w:t>研</w:t>
      </w:r>
      <w:proofErr w:type="gramEnd"/>
      <w:r w:rsidRPr="00D80366">
        <w:rPr>
          <w:rFonts w:ascii="標楷體" w:eastAsia="標楷體" w:hAnsi="標楷體" w:cs="Times New Roman" w:hint="eastAsia"/>
          <w:b/>
          <w:sz w:val="28"/>
          <w:szCs w:val="28"/>
        </w:rPr>
        <w:t>議修正，允宜</w:t>
      </w:r>
      <w:proofErr w:type="gramStart"/>
      <w:r>
        <w:rPr>
          <w:rFonts w:ascii="標楷體" w:eastAsia="標楷體" w:hAnsi="標楷體" w:cs="Times New Roman" w:hint="eastAsia"/>
          <w:b/>
          <w:sz w:val="28"/>
          <w:szCs w:val="28"/>
        </w:rPr>
        <w:t>研</w:t>
      </w:r>
      <w:proofErr w:type="gramEnd"/>
      <w:r>
        <w:rPr>
          <w:rFonts w:ascii="標楷體" w:eastAsia="標楷體" w:hAnsi="標楷體" w:cs="Times New Roman" w:hint="eastAsia"/>
          <w:b/>
          <w:sz w:val="28"/>
          <w:szCs w:val="28"/>
        </w:rPr>
        <w:t>謀改善</w:t>
      </w:r>
      <w:r w:rsidRPr="00D80366">
        <w:rPr>
          <w:rFonts w:ascii="標楷體" w:eastAsia="標楷體" w:hAnsi="標楷體" w:cs="Times New Roman" w:hint="eastAsia"/>
          <w:b/>
          <w:sz w:val="28"/>
          <w:szCs w:val="28"/>
        </w:rPr>
        <w:t>，以健全機制</w:t>
      </w:r>
      <w:r w:rsidRPr="00012274">
        <w:rPr>
          <w:rFonts w:ascii="標楷體" w:eastAsia="標楷體" w:hAnsi="標楷體" w:cs="Times New Roman" w:hint="eastAsia"/>
          <w:b/>
          <w:sz w:val="28"/>
          <w:szCs w:val="28"/>
        </w:rPr>
        <w:t>。</w:t>
      </w:r>
    </w:p>
    <w:p w14:paraId="78923B23" w14:textId="40097C31" w:rsidR="00CC5AFC" w:rsidRPr="00730459" w:rsidRDefault="00CC5AFC" w:rsidP="003E1813">
      <w:pPr>
        <w:overflowPunct w:val="0"/>
        <w:spacing w:line="430" w:lineRule="exact"/>
        <w:ind w:firstLineChars="200" w:firstLine="480"/>
        <w:jc w:val="both"/>
        <w:rPr>
          <w:rFonts w:ascii="標楷體" w:eastAsia="標楷體" w:hAnsi="標楷體"/>
          <w:noProof/>
          <w:szCs w:val="32"/>
        </w:rPr>
      </w:pPr>
      <w:r w:rsidRPr="00730459">
        <w:rPr>
          <w:rFonts w:ascii="標楷體" w:eastAsia="標楷體" w:hAnsi="標楷體" w:hint="eastAsia"/>
          <w:noProof/>
          <w:szCs w:val="32"/>
        </w:rPr>
        <w:t>交通部107年12月頒布之「鐵路橋梁之檢測及補強規範」第四章、C4.1「一般說明」及C4.2「地震後特別檢測」，載述特別檢測之目的主要在於瞭解橋梁設施是否受損及探討損傷原因、決定是否進行維修補強等；若地震達到捷運主管機關所訂之震度，進行橋梁特別檢測，並以目視方式判斷橋梁結構損傷或行車安全，同時完成特別檢測評估表格，用以快速掌握地震後橋梁安全</w:t>
      </w:r>
      <w:r>
        <w:rPr>
          <w:rFonts w:ascii="標楷體" w:eastAsia="標楷體" w:hAnsi="標楷體" w:hint="eastAsia"/>
          <w:noProof/>
          <w:szCs w:val="32"/>
        </w:rPr>
        <w:t>。又</w:t>
      </w:r>
      <w:r w:rsidRPr="00FB42DF">
        <w:rPr>
          <w:rFonts w:ascii="標楷體" w:eastAsia="標楷體" w:hAnsi="標楷體" w:hint="eastAsia"/>
          <w:noProof/>
          <w:szCs w:val="32"/>
        </w:rPr>
        <w:t>捷運公司</w:t>
      </w:r>
      <w:r w:rsidRPr="00730459">
        <w:rPr>
          <w:rFonts w:ascii="標楷體" w:eastAsia="標楷體" w:hAnsi="標楷體" w:hint="eastAsia"/>
          <w:noProof/>
          <w:szCs w:val="32"/>
        </w:rPr>
        <w:t>於113年4月3日</w:t>
      </w:r>
      <w:r w:rsidRPr="00FB42DF">
        <w:rPr>
          <w:rFonts w:ascii="標楷體" w:eastAsia="標楷體" w:hAnsi="標楷體" w:hint="eastAsia"/>
          <w:noProof/>
          <w:szCs w:val="32"/>
        </w:rPr>
        <w:t>臺北市</w:t>
      </w:r>
      <w:r w:rsidRPr="00730459">
        <w:rPr>
          <w:rFonts w:ascii="標楷體" w:eastAsia="標楷體" w:hAnsi="標楷體" w:hint="eastAsia"/>
          <w:noProof/>
          <w:szCs w:val="32"/>
        </w:rPr>
        <w:t>發生5級弱地震後，為確保所經管各捷運路線58座鐵道橋梁、北投機廠天橋通道等</w:t>
      </w:r>
      <w:bookmarkStart w:id="54" w:name="_Hlk199960731"/>
      <w:r w:rsidRPr="00730459">
        <w:rPr>
          <w:rFonts w:ascii="標楷體" w:eastAsia="標楷體" w:hAnsi="標楷體" w:hint="eastAsia"/>
          <w:noProof/>
          <w:szCs w:val="32"/>
        </w:rPr>
        <w:t>7座</w:t>
      </w:r>
      <w:r w:rsidRPr="00F50DAC">
        <w:rPr>
          <w:rFonts w:ascii="標楷體" w:eastAsia="標楷體" w:hAnsi="標楷體" w:hint="eastAsia"/>
          <w:noProof/>
          <w:szCs w:val="32"/>
        </w:rPr>
        <w:t>人行天橋或聯絡橋梁</w:t>
      </w:r>
      <w:bookmarkEnd w:id="54"/>
      <w:r w:rsidRPr="00F50DAC">
        <w:rPr>
          <w:rFonts w:ascii="標楷體" w:eastAsia="標楷體" w:hAnsi="標楷體" w:hint="eastAsia"/>
          <w:noProof/>
          <w:szCs w:val="32"/>
        </w:rPr>
        <w:t>，共65座捷運橋梁結構安全，經委請廠商辦理地震後橋梁特別檢查，並請廠商使用交通部</w:t>
      </w:r>
      <w:r w:rsidRPr="00730459">
        <w:rPr>
          <w:rFonts w:ascii="標楷體" w:eastAsia="標楷體" w:hAnsi="標楷體" w:hint="eastAsia"/>
          <w:noProof/>
          <w:szCs w:val="32"/>
        </w:rPr>
        <w:t>「鐵路橋梁之檢測及補強規範」建議之</w:t>
      </w:r>
      <w:r>
        <w:rPr>
          <w:rFonts w:ascii="標楷體" w:eastAsia="標楷體" w:hAnsi="標楷體" w:hint="eastAsia"/>
          <w:noProof/>
          <w:szCs w:val="32"/>
        </w:rPr>
        <w:t>「</w:t>
      </w:r>
      <w:r w:rsidRPr="00730459">
        <w:rPr>
          <w:rFonts w:ascii="標楷體" w:eastAsia="標楷體" w:hAnsi="標楷體" w:hint="eastAsia"/>
          <w:noProof/>
          <w:szCs w:val="32"/>
        </w:rPr>
        <w:t>橋梁特別檢</w:t>
      </w:r>
      <w:r>
        <w:rPr>
          <w:rFonts w:ascii="標楷體" w:eastAsia="標楷體" w:hAnsi="標楷體" w:hint="eastAsia"/>
          <w:noProof/>
          <w:szCs w:val="32"/>
        </w:rPr>
        <w:t>測評估</w:t>
      </w:r>
      <w:r w:rsidRPr="00730459">
        <w:rPr>
          <w:rFonts w:ascii="標楷體" w:eastAsia="標楷體" w:hAnsi="標楷體" w:hint="eastAsia"/>
          <w:noProof/>
          <w:szCs w:val="32"/>
        </w:rPr>
        <w:t>表</w:t>
      </w:r>
      <w:r>
        <w:rPr>
          <w:rFonts w:ascii="標楷體" w:eastAsia="標楷體" w:hAnsi="標楷體" w:hint="eastAsia"/>
          <w:noProof/>
          <w:szCs w:val="32"/>
        </w:rPr>
        <w:t>」</w:t>
      </w:r>
      <w:r w:rsidRPr="00730459">
        <w:rPr>
          <w:rFonts w:ascii="標楷體" w:eastAsia="標楷體" w:hAnsi="標楷體" w:hint="eastAsia"/>
          <w:noProof/>
          <w:szCs w:val="32"/>
        </w:rPr>
        <w:t>格式，包含</w:t>
      </w:r>
      <w:r w:rsidRPr="00606D4C">
        <w:rPr>
          <w:rFonts w:ascii="標楷體" w:eastAsia="標楷體" w:hAnsi="標楷體" w:hint="eastAsia"/>
          <w:bCs/>
          <w:kern w:val="52"/>
          <w:szCs w:val="24"/>
        </w:rPr>
        <w:t>檢查</w:t>
      </w:r>
      <w:r w:rsidRPr="00730459">
        <w:rPr>
          <w:rFonts w:ascii="標楷體" w:eastAsia="標楷體" w:hAnsi="標楷體" w:hint="eastAsia"/>
          <w:noProof/>
          <w:szCs w:val="32"/>
        </w:rPr>
        <w:t>每座橋梁之整體穩定性、上部結構（RC、PC、鋼構）、橋墩（RC、PC、鋼構）等12個項目損壞狀況，每1檢測項目各有2至6項之損壞狀況選項、3個評估等級/損壞程度（安全、須補強、危險）等，據以評估判斷</w:t>
      </w:r>
      <w:r w:rsidRPr="00211CE3">
        <w:rPr>
          <w:rFonts w:ascii="標楷體" w:eastAsia="標楷體" w:hAnsi="標楷體" w:cs="Times New Roman" w:hint="eastAsia"/>
        </w:rPr>
        <w:t>橋梁</w:t>
      </w:r>
      <w:r w:rsidRPr="00730459">
        <w:rPr>
          <w:rFonts w:ascii="標楷體" w:eastAsia="標楷體" w:hAnsi="標楷體" w:hint="eastAsia"/>
          <w:noProof/>
          <w:szCs w:val="32"/>
        </w:rPr>
        <w:t>是否可持續通行。惟</w:t>
      </w:r>
      <w:r w:rsidRPr="00FB42DF">
        <w:rPr>
          <w:rFonts w:ascii="標楷體" w:eastAsia="標楷體" w:hAnsi="標楷體" w:hint="eastAsia"/>
          <w:noProof/>
          <w:szCs w:val="32"/>
        </w:rPr>
        <w:t>捷運公司</w:t>
      </w:r>
      <w:r w:rsidRPr="00730459">
        <w:rPr>
          <w:rFonts w:ascii="標楷體" w:eastAsia="標楷體" w:hAnsi="標楷體" w:hint="eastAsia"/>
          <w:noProof/>
          <w:szCs w:val="32"/>
        </w:rPr>
        <w:t>自訂之「地震後土建結構檢測工作說明書」規範，其橋梁特別檢查表格式僅為檢查橋梁清單之檢查結果（正常或異常）、註記異常橋墩編號、摘述異常構件等格式內容，與上開交通部規定之格式</w:t>
      </w:r>
      <w:r>
        <w:rPr>
          <w:rFonts w:ascii="標楷體" w:eastAsia="標楷體" w:hAnsi="標楷體" w:hint="eastAsia"/>
          <w:noProof/>
          <w:szCs w:val="32"/>
        </w:rPr>
        <w:t>內容</w:t>
      </w:r>
      <w:r w:rsidRPr="00730459">
        <w:rPr>
          <w:rFonts w:ascii="標楷體" w:eastAsia="標楷體" w:hAnsi="標楷體" w:hint="eastAsia"/>
          <w:noProof/>
          <w:szCs w:val="32"/>
        </w:rPr>
        <w:t>有間；另</w:t>
      </w:r>
      <w:r>
        <w:rPr>
          <w:rFonts w:ascii="標楷體" w:eastAsia="標楷體" w:hAnsi="標楷體" w:hint="eastAsia"/>
          <w:noProof/>
          <w:szCs w:val="32"/>
        </w:rPr>
        <w:t>該</w:t>
      </w:r>
      <w:r w:rsidRPr="00730459">
        <w:rPr>
          <w:rFonts w:ascii="標楷體" w:eastAsia="標楷體" w:hAnsi="標楷體" w:hint="eastAsia"/>
          <w:noProof/>
          <w:szCs w:val="32"/>
        </w:rPr>
        <w:t>公司</w:t>
      </w:r>
      <w:r>
        <w:rPr>
          <w:rFonts w:ascii="標楷體" w:eastAsia="標楷體" w:hAnsi="標楷體" w:hint="eastAsia"/>
          <w:noProof/>
          <w:szCs w:val="32"/>
        </w:rPr>
        <w:t>委外廠</w:t>
      </w:r>
      <w:r w:rsidRPr="00730459">
        <w:rPr>
          <w:rFonts w:ascii="標楷體" w:eastAsia="標楷體" w:hAnsi="標楷體" w:hint="eastAsia"/>
          <w:noProof/>
          <w:szCs w:val="32"/>
        </w:rPr>
        <w:t>商辦理橋梁特別檢查清單，範圍涵括全數經管65座橋梁，其中北投機廠天橋通道等7座人行</w:t>
      </w:r>
      <w:r w:rsidRPr="00F50DAC">
        <w:rPr>
          <w:rFonts w:ascii="標楷體" w:eastAsia="標楷體" w:hAnsi="標楷體" w:hint="eastAsia"/>
          <w:noProof/>
          <w:szCs w:val="32"/>
        </w:rPr>
        <w:t>天</w:t>
      </w:r>
      <w:r w:rsidRPr="00730459">
        <w:rPr>
          <w:rFonts w:ascii="標楷體" w:eastAsia="標楷體" w:hAnsi="標楷體" w:hint="eastAsia"/>
          <w:noProof/>
          <w:szCs w:val="32"/>
        </w:rPr>
        <w:t>橋或聯絡橋梁，未屬</w:t>
      </w:r>
      <w:r>
        <w:rPr>
          <w:rFonts w:ascii="標楷體" w:eastAsia="標楷體" w:hAnsi="標楷體" w:hint="eastAsia"/>
          <w:noProof/>
          <w:szCs w:val="32"/>
        </w:rPr>
        <w:t>該公司</w:t>
      </w:r>
      <w:r w:rsidRPr="00730459">
        <w:rPr>
          <w:rFonts w:ascii="標楷體" w:eastAsia="標楷體" w:hAnsi="標楷體" w:hint="eastAsia"/>
          <w:noProof/>
          <w:szCs w:val="32"/>
        </w:rPr>
        <w:t>「地震後土建結構檢測工作說明書」所規範</w:t>
      </w:r>
      <w:r>
        <w:rPr>
          <w:rFonts w:ascii="標楷體" w:eastAsia="標楷體" w:hAnsi="標楷體" w:hint="eastAsia"/>
          <w:noProof/>
          <w:szCs w:val="32"/>
        </w:rPr>
        <w:t>於</w:t>
      </w:r>
      <w:r w:rsidRPr="00730459">
        <w:rPr>
          <w:rFonts w:ascii="標楷體" w:eastAsia="標楷體" w:hAnsi="標楷體" w:hint="eastAsia"/>
          <w:noProof/>
          <w:szCs w:val="32"/>
        </w:rPr>
        <w:t>地震後須辦理特別檢查之橋梁</w:t>
      </w:r>
      <w:r>
        <w:rPr>
          <w:rFonts w:ascii="標楷體" w:eastAsia="標楷體" w:hAnsi="標楷體" w:cs="Times New Roman" w:hint="eastAsia"/>
        </w:rPr>
        <w:t>，</w:t>
      </w:r>
      <w:r w:rsidRPr="00FB42DF">
        <w:rPr>
          <w:rFonts w:ascii="標楷體" w:eastAsia="標楷體" w:hAnsi="標楷體" w:cs="Times New Roman" w:hint="eastAsia"/>
        </w:rPr>
        <w:t>內部相關作業規範</w:t>
      </w:r>
      <w:r>
        <w:rPr>
          <w:rFonts w:ascii="標楷體" w:eastAsia="標楷體" w:hAnsi="標楷體" w:cs="Times New Roman" w:hint="eastAsia"/>
        </w:rPr>
        <w:t>之檢查項目及範圍有待</w:t>
      </w:r>
      <w:proofErr w:type="gramStart"/>
      <w:r>
        <w:rPr>
          <w:rFonts w:ascii="標楷體" w:eastAsia="標楷體" w:hAnsi="標楷體" w:cs="Times New Roman" w:hint="eastAsia"/>
        </w:rPr>
        <w:t>研</w:t>
      </w:r>
      <w:proofErr w:type="gramEnd"/>
      <w:r>
        <w:rPr>
          <w:rFonts w:ascii="標楷體" w:eastAsia="標楷體" w:hAnsi="標楷體" w:cs="Times New Roman" w:hint="eastAsia"/>
        </w:rPr>
        <w:t>議修正，經函請</w:t>
      </w:r>
      <w:proofErr w:type="gramStart"/>
      <w:r>
        <w:rPr>
          <w:rFonts w:ascii="標楷體" w:eastAsia="標楷體" w:hAnsi="標楷體" w:cs="Times New Roman" w:hint="eastAsia"/>
        </w:rPr>
        <w:t>檢討妥處</w:t>
      </w:r>
      <w:proofErr w:type="gramEnd"/>
      <w:r>
        <w:rPr>
          <w:rFonts w:ascii="標楷體" w:eastAsia="標楷體" w:hAnsi="標楷體" w:cs="Times New Roman" w:hint="eastAsia"/>
        </w:rPr>
        <w:t>。據復：</w:t>
      </w:r>
      <w:r w:rsidRPr="00730459">
        <w:rPr>
          <w:rFonts w:ascii="標楷體" w:eastAsia="標楷體" w:hAnsi="標楷體" w:cs="Times New Roman" w:hint="eastAsia"/>
        </w:rPr>
        <w:t>已於114年2月修訂「地震後土建結構檢測工作說明書」，將北投機廠天橋通道等7座人</w:t>
      </w:r>
      <w:r w:rsidRPr="00A65156">
        <w:rPr>
          <w:rFonts w:ascii="標楷體" w:eastAsia="標楷體" w:hAnsi="標楷體" w:cs="Times New Roman" w:hint="eastAsia"/>
        </w:rPr>
        <w:t>行天橋或聯絡橋</w:t>
      </w:r>
      <w:r>
        <w:rPr>
          <w:rFonts w:ascii="標楷體" w:eastAsia="標楷體" w:hAnsi="標楷體" w:cs="Times New Roman" w:hint="eastAsia"/>
        </w:rPr>
        <w:t>梁</w:t>
      </w:r>
      <w:r w:rsidRPr="00730459">
        <w:rPr>
          <w:rFonts w:ascii="標楷體" w:eastAsia="標楷體" w:hAnsi="標楷體" w:cs="Times New Roman" w:hint="eastAsia"/>
        </w:rPr>
        <w:t>納入</w:t>
      </w:r>
      <w:r>
        <w:rPr>
          <w:rFonts w:ascii="標楷體" w:eastAsia="標楷體" w:hAnsi="標楷體" w:cs="Times New Roman" w:hint="eastAsia"/>
        </w:rPr>
        <w:t>須</w:t>
      </w:r>
      <w:r w:rsidRPr="00730459">
        <w:rPr>
          <w:rFonts w:ascii="標楷體" w:eastAsia="標楷體" w:hAnsi="標楷體" w:cs="Times New Roman" w:hint="eastAsia"/>
        </w:rPr>
        <w:t>檢查</w:t>
      </w:r>
      <w:r>
        <w:rPr>
          <w:rFonts w:ascii="標楷體" w:eastAsia="標楷體" w:hAnsi="標楷體" w:cs="Times New Roman" w:hint="eastAsia"/>
        </w:rPr>
        <w:t>範圍；</w:t>
      </w:r>
      <w:proofErr w:type="gramStart"/>
      <w:r>
        <w:rPr>
          <w:rFonts w:ascii="標楷體" w:eastAsia="標楷體" w:hAnsi="標楷體" w:cs="Times New Roman" w:hint="eastAsia"/>
        </w:rPr>
        <w:t>另為符中央</w:t>
      </w:r>
      <w:proofErr w:type="gramEnd"/>
      <w:r>
        <w:rPr>
          <w:rFonts w:ascii="標楷體" w:eastAsia="標楷體" w:hAnsi="標楷體" w:cs="Times New Roman" w:hint="eastAsia"/>
        </w:rPr>
        <w:t>規範</w:t>
      </w:r>
      <w:r w:rsidRPr="003369BB">
        <w:rPr>
          <w:rFonts w:ascii="標楷體" w:eastAsia="標楷體" w:hAnsi="標楷體" w:cs="Times New Roman" w:hint="eastAsia"/>
        </w:rPr>
        <w:t>強震後捷運橋梁特別檢查項目</w:t>
      </w:r>
      <w:r>
        <w:rPr>
          <w:rFonts w:ascii="標楷體" w:eastAsia="標楷體" w:hAnsi="標楷體" w:cs="Times New Roman" w:hint="eastAsia"/>
        </w:rPr>
        <w:t>內容，已於</w:t>
      </w:r>
      <w:r w:rsidRPr="003369BB">
        <w:rPr>
          <w:rFonts w:ascii="標楷體" w:eastAsia="標楷體" w:hAnsi="標楷體" w:cs="Times New Roman" w:hint="eastAsia"/>
        </w:rPr>
        <w:t>「地震後土建結構檢測工作說明書」</w:t>
      </w:r>
      <w:r>
        <w:rPr>
          <w:rFonts w:ascii="標楷體" w:eastAsia="標楷體" w:hAnsi="標楷體" w:cs="Times New Roman" w:hint="eastAsia"/>
        </w:rPr>
        <w:t>增列</w:t>
      </w:r>
      <w:r w:rsidRPr="00730459">
        <w:rPr>
          <w:rFonts w:ascii="標楷體" w:eastAsia="標楷體" w:hAnsi="標楷體" w:cs="Times New Roman" w:hint="eastAsia"/>
        </w:rPr>
        <w:t>「橋梁特別檢測</w:t>
      </w:r>
      <w:r>
        <w:rPr>
          <w:rFonts w:ascii="標楷體" w:eastAsia="標楷體" w:hAnsi="標楷體" w:cs="Times New Roman" w:hint="eastAsia"/>
        </w:rPr>
        <w:t>評估</w:t>
      </w:r>
      <w:r w:rsidRPr="00730459">
        <w:rPr>
          <w:rFonts w:ascii="標楷體" w:eastAsia="標楷體" w:hAnsi="標楷體" w:cs="Times New Roman" w:hint="eastAsia"/>
        </w:rPr>
        <w:t>表」，</w:t>
      </w:r>
      <w:r>
        <w:rPr>
          <w:rFonts w:ascii="標楷體" w:eastAsia="標楷體" w:hAnsi="標楷體" w:cs="Times New Roman" w:hint="eastAsia"/>
        </w:rPr>
        <w:t>載明使用時機及作業方式等。</w:t>
      </w:r>
    </w:p>
    <w:p w14:paraId="1CF3A155" w14:textId="60770C03" w:rsidR="00CC5AFC" w:rsidRPr="006062A6" w:rsidRDefault="00CC5AFC" w:rsidP="00660AF8">
      <w:pPr>
        <w:suppressAutoHyphens/>
        <w:overflowPunct w:val="0"/>
        <w:spacing w:beforeLines="30" w:before="108" w:line="440" w:lineRule="exact"/>
        <w:ind w:firstLineChars="100" w:firstLine="280"/>
        <w:jc w:val="both"/>
        <w:rPr>
          <w:rFonts w:ascii="標楷體" w:eastAsia="標楷體" w:hAnsi="標楷體"/>
          <w:b/>
          <w:color w:val="000000" w:themeColor="text1"/>
          <w:kern w:val="0"/>
          <w:sz w:val="28"/>
          <w:szCs w:val="28"/>
        </w:rPr>
      </w:pPr>
      <w:r w:rsidRPr="006062A6">
        <w:rPr>
          <w:rFonts w:ascii="標楷體" w:eastAsia="標楷體" w:hAnsi="標楷體" w:hint="eastAsia"/>
          <w:b/>
          <w:color w:val="000000" w:themeColor="text1"/>
          <w:kern w:val="0"/>
          <w:sz w:val="28"/>
          <w:szCs w:val="28"/>
        </w:rPr>
        <w:t>（</w:t>
      </w:r>
      <w:r>
        <w:rPr>
          <w:rFonts w:ascii="標楷體" w:eastAsia="標楷體" w:hAnsi="標楷體" w:hint="eastAsia"/>
          <w:b/>
          <w:color w:val="000000" w:themeColor="text1"/>
          <w:kern w:val="0"/>
          <w:sz w:val="28"/>
          <w:szCs w:val="28"/>
        </w:rPr>
        <w:t>八</w:t>
      </w:r>
      <w:r w:rsidRPr="006062A6">
        <w:rPr>
          <w:rFonts w:ascii="標楷體" w:eastAsia="標楷體" w:hAnsi="標楷體" w:hint="eastAsia"/>
          <w:b/>
          <w:color w:val="000000" w:themeColor="text1"/>
          <w:kern w:val="0"/>
          <w:sz w:val="28"/>
          <w:szCs w:val="28"/>
        </w:rPr>
        <w:t>）推動捷運士林站轉乘設施空間活化及多元服務建置計畫，</w:t>
      </w:r>
      <w:r>
        <w:rPr>
          <w:rFonts w:ascii="標楷體" w:eastAsia="標楷體" w:hAnsi="標楷體" w:hint="eastAsia"/>
          <w:b/>
          <w:color w:val="000000" w:themeColor="text1"/>
          <w:kern w:val="0"/>
          <w:sz w:val="28"/>
          <w:szCs w:val="28"/>
        </w:rPr>
        <w:t>期帶動周邊地區朝向大眾運輸導向發展，</w:t>
      </w:r>
      <w:proofErr w:type="gramStart"/>
      <w:r>
        <w:rPr>
          <w:rFonts w:ascii="標楷體" w:eastAsia="標楷體" w:hAnsi="標楷體" w:hint="eastAsia"/>
          <w:b/>
          <w:color w:val="000000" w:themeColor="text1"/>
          <w:kern w:val="0"/>
          <w:sz w:val="28"/>
          <w:szCs w:val="28"/>
        </w:rPr>
        <w:t>惟</w:t>
      </w:r>
      <w:r w:rsidRPr="006062A6">
        <w:rPr>
          <w:rFonts w:ascii="標楷體" w:eastAsia="標楷體" w:hAnsi="標楷體" w:hint="eastAsia"/>
          <w:b/>
          <w:color w:val="000000" w:themeColor="text1"/>
          <w:kern w:val="0"/>
          <w:sz w:val="28"/>
          <w:szCs w:val="28"/>
        </w:rPr>
        <w:t>核有</w:t>
      </w:r>
      <w:r>
        <w:rPr>
          <w:rFonts w:ascii="標楷體" w:eastAsia="標楷體" w:hAnsi="標楷體" w:hint="eastAsia"/>
          <w:b/>
          <w:color w:val="000000" w:themeColor="text1"/>
          <w:kern w:val="0"/>
          <w:sz w:val="28"/>
          <w:szCs w:val="28"/>
        </w:rPr>
        <w:t>建置案統包</w:t>
      </w:r>
      <w:proofErr w:type="gramEnd"/>
      <w:r>
        <w:rPr>
          <w:rFonts w:ascii="標楷體" w:eastAsia="標楷體" w:hAnsi="標楷體" w:hint="eastAsia"/>
          <w:b/>
          <w:color w:val="000000" w:themeColor="text1"/>
          <w:kern w:val="0"/>
          <w:sz w:val="28"/>
          <w:szCs w:val="28"/>
        </w:rPr>
        <w:t>工程</w:t>
      </w:r>
      <w:r w:rsidRPr="006062A6">
        <w:rPr>
          <w:rFonts w:ascii="標楷體" w:eastAsia="標楷體" w:hAnsi="標楷體" w:hint="eastAsia"/>
          <w:b/>
          <w:color w:val="000000" w:themeColor="text1"/>
          <w:kern w:val="0"/>
          <w:sz w:val="28"/>
          <w:szCs w:val="28"/>
        </w:rPr>
        <w:t>物價指數調整計算</w:t>
      </w:r>
      <w:proofErr w:type="gramStart"/>
      <w:r w:rsidRPr="006062A6">
        <w:rPr>
          <w:rFonts w:ascii="標楷體" w:eastAsia="標楷體" w:hAnsi="標楷體" w:hint="eastAsia"/>
          <w:b/>
          <w:color w:val="000000" w:themeColor="text1"/>
          <w:kern w:val="0"/>
          <w:sz w:val="28"/>
          <w:szCs w:val="28"/>
        </w:rPr>
        <w:t>錯誤致溢付款</w:t>
      </w:r>
      <w:proofErr w:type="gramEnd"/>
      <w:r w:rsidRPr="006062A6">
        <w:rPr>
          <w:rFonts w:ascii="標楷體" w:eastAsia="標楷體" w:hAnsi="標楷體" w:hint="eastAsia"/>
          <w:b/>
          <w:color w:val="000000" w:themeColor="text1"/>
          <w:kern w:val="0"/>
          <w:sz w:val="28"/>
          <w:szCs w:val="28"/>
        </w:rPr>
        <w:t>項、</w:t>
      </w:r>
      <w:r>
        <w:rPr>
          <w:rFonts w:ascii="標楷體" w:eastAsia="標楷體" w:hAnsi="標楷體" w:hint="eastAsia"/>
          <w:b/>
          <w:color w:val="000000" w:themeColor="text1"/>
          <w:kern w:val="0"/>
          <w:sz w:val="28"/>
          <w:szCs w:val="28"/>
        </w:rPr>
        <w:t>未依規定</w:t>
      </w:r>
      <w:r w:rsidRPr="006062A6">
        <w:rPr>
          <w:rFonts w:ascii="標楷體" w:eastAsia="標楷體" w:hAnsi="標楷體" w:hint="eastAsia"/>
          <w:b/>
          <w:color w:val="000000" w:themeColor="text1"/>
          <w:kern w:val="0"/>
          <w:sz w:val="28"/>
          <w:szCs w:val="28"/>
        </w:rPr>
        <w:t>展延工期、外露鋼材未依規定進行防</w:t>
      </w:r>
      <w:proofErr w:type="gramStart"/>
      <w:r w:rsidRPr="006062A6">
        <w:rPr>
          <w:rFonts w:ascii="標楷體" w:eastAsia="標楷體" w:hAnsi="標楷體" w:hint="eastAsia"/>
          <w:b/>
          <w:color w:val="000000" w:themeColor="text1"/>
          <w:kern w:val="0"/>
          <w:sz w:val="28"/>
          <w:szCs w:val="28"/>
        </w:rPr>
        <w:t>銹</w:t>
      </w:r>
      <w:proofErr w:type="gramEnd"/>
      <w:r w:rsidRPr="006062A6">
        <w:rPr>
          <w:rFonts w:ascii="標楷體" w:eastAsia="標楷體" w:hAnsi="標楷體" w:hint="eastAsia"/>
          <w:b/>
          <w:color w:val="000000" w:themeColor="text1"/>
          <w:kern w:val="0"/>
          <w:sz w:val="28"/>
          <w:szCs w:val="28"/>
        </w:rPr>
        <w:t>處理及統包廠商未依約派駐專職機電主任等情事，</w:t>
      </w:r>
      <w:proofErr w:type="gramStart"/>
      <w:r w:rsidRPr="006062A6">
        <w:rPr>
          <w:rFonts w:ascii="標楷體" w:eastAsia="標楷體" w:hAnsi="標楷體" w:hint="eastAsia"/>
          <w:b/>
          <w:color w:val="000000" w:themeColor="text1"/>
          <w:kern w:val="0"/>
          <w:sz w:val="28"/>
          <w:szCs w:val="28"/>
        </w:rPr>
        <w:t>均待檢討</w:t>
      </w:r>
      <w:proofErr w:type="gramEnd"/>
      <w:r w:rsidRPr="006062A6">
        <w:rPr>
          <w:rFonts w:ascii="標楷體" w:eastAsia="標楷體" w:hAnsi="標楷體" w:hint="eastAsia"/>
          <w:b/>
          <w:color w:val="000000" w:themeColor="text1"/>
          <w:kern w:val="0"/>
          <w:sz w:val="28"/>
          <w:szCs w:val="28"/>
        </w:rPr>
        <w:t>改善。</w:t>
      </w:r>
    </w:p>
    <w:p w14:paraId="08B41D16" w14:textId="0868B7CA" w:rsidR="00660AF8" w:rsidRDefault="00CC5AFC" w:rsidP="00660AF8">
      <w:pPr>
        <w:overflowPunct w:val="0"/>
        <w:spacing w:beforeLines="20" w:before="72" w:line="420" w:lineRule="exact"/>
        <w:ind w:firstLineChars="200" w:firstLine="480"/>
        <w:jc w:val="both"/>
        <w:rPr>
          <w:rFonts w:ascii="標楷體" w:eastAsia="標楷體" w:hAnsi="標楷體" w:cs="標楷體"/>
          <w:bCs/>
          <w:color w:val="000000" w:themeColor="text1"/>
          <w:szCs w:val="32"/>
        </w:rPr>
      </w:pPr>
      <w:r w:rsidRPr="006062A6">
        <w:rPr>
          <w:rFonts w:ascii="標楷體" w:eastAsia="標楷體" w:hAnsi="標楷體" w:cs="標楷體" w:hint="eastAsia"/>
          <w:bCs/>
          <w:color w:val="000000" w:themeColor="text1"/>
          <w:szCs w:val="32"/>
        </w:rPr>
        <w:t>臺北市政府推動大眾運輸導向發展（</w:t>
      </w:r>
      <w:r w:rsidRPr="006062A6">
        <w:rPr>
          <w:rFonts w:ascii="標楷體" w:eastAsia="標楷體" w:hAnsi="標楷體" w:cs="標楷體"/>
          <w:bCs/>
          <w:color w:val="000000" w:themeColor="text1"/>
          <w:szCs w:val="32"/>
        </w:rPr>
        <w:t>Transit</w:t>
      </w:r>
      <w:r w:rsidR="005F740F">
        <w:rPr>
          <w:rFonts w:ascii="標楷體" w:eastAsia="標楷體" w:hAnsi="標楷體" w:cs="標楷體" w:hint="eastAsia"/>
          <w:bCs/>
          <w:color w:val="000000" w:themeColor="text1"/>
          <w:szCs w:val="32"/>
        </w:rPr>
        <w:t>－</w:t>
      </w:r>
      <w:r w:rsidRPr="006062A6">
        <w:rPr>
          <w:rFonts w:ascii="標楷體" w:eastAsia="標楷體" w:hAnsi="標楷體" w:cs="標楷體"/>
          <w:bCs/>
          <w:color w:val="000000" w:themeColor="text1"/>
          <w:szCs w:val="32"/>
        </w:rPr>
        <w:t xml:space="preserve">Oriented </w:t>
      </w:r>
      <w:proofErr w:type="spellStart"/>
      <w:r w:rsidRPr="006062A6">
        <w:rPr>
          <w:rFonts w:ascii="標楷體" w:eastAsia="標楷體" w:hAnsi="標楷體" w:cs="標楷體"/>
          <w:bCs/>
          <w:color w:val="000000" w:themeColor="text1"/>
          <w:szCs w:val="32"/>
        </w:rPr>
        <w:t>Development,TOD</w:t>
      </w:r>
      <w:proofErr w:type="spellEnd"/>
      <w:r w:rsidRPr="006062A6">
        <w:rPr>
          <w:rFonts w:ascii="標楷體" w:eastAsia="標楷體" w:hAnsi="標楷體" w:cs="標楷體" w:hint="eastAsia"/>
          <w:bCs/>
          <w:color w:val="000000" w:themeColor="text1"/>
          <w:szCs w:val="32"/>
        </w:rPr>
        <w:t>）場站開發政策，鼓勵開發捷運場站周邊地區，提升大眾運輸使用率，並改善地區之交通及環境品質。捷運公司為配合</w:t>
      </w:r>
      <w:proofErr w:type="gramStart"/>
      <w:r w:rsidRPr="006062A6">
        <w:rPr>
          <w:rFonts w:ascii="標楷體" w:eastAsia="標楷體" w:hAnsi="標楷體" w:cs="標楷體" w:hint="eastAsia"/>
          <w:bCs/>
          <w:color w:val="000000" w:themeColor="text1"/>
          <w:szCs w:val="32"/>
        </w:rPr>
        <w:t>前揭場站</w:t>
      </w:r>
      <w:proofErr w:type="gramEnd"/>
      <w:r w:rsidRPr="006062A6">
        <w:rPr>
          <w:rFonts w:ascii="標楷體" w:eastAsia="標楷體" w:hAnsi="標楷體" w:cs="標楷體" w:hint="eastAsia"/>
          <w:bCs/>
          <w:color w:val="000000" w:themeColor="text1"/>
          <w:szCs w:val="32"/>
        </w:rPr>
        <w:t>開發政策，規劃以捷運士林站進行開發示範，期帶動周邊地區朝向大眾運輸導向發展，</w:t>
      </w:r>
      <w:r>
        <w:rPr>
          <w:rFonts w:ascii="標楷體" w:eastAsia="標楷體" w:hAnsi="標楷體" w:cs="標楷體" w:hint="eastAsia"/>
          <w:bCs/>
          <w:color w:val="000000" w:themeColor="text1"/>
          <w:szCs w:val="32"/>
        </w:rPr>
        <w:t>並</w:t>
      </w:r>
      <w:r w:rsidRPr="006062A6">
        <w:rPr>
          <w:rFonts w:ascii="標楷體" w:eastAsia="標楷體" w:hAnsi="標楷體" w:cs="標楷體" w:hint="eastAsia"/>
          <w:bCs/>
          <w:color w:val="000000" w:themeColor="text1"/>
          <w:szCs w:val="32"/>
        </w:rPr>
        <w:t>於109年5月辦理「捷運士林站TOD轉乘設施空間活化及多元服務</w:t>
      </w:r>
      <w:proofErr w:type="gramStart"/>
      <w:r w:rsidRPr="006062A6">
        <w:rPr>
          <w:rFonts w:ascii="標楷體" w:eastAsia="標楷體" w:hAnsi="標楷體" w:cs="標楷體" w:hint="eastAsia"/>
          <w:bCs/>
          <w:color w:val="000000" w:themeColor="text1"/>
          <w:szCs w:val="32"/>
        </w:rPr>
        <w:t>建置案統包</w:t>
      </w:r>
      <w:proofErr w:type="gramEnd"/>
      <w:r w:rsidRPr="006062A6">
        <w:rPr>
          <w:rFonts w:ascii="標楷體" w:eastAsia="標楷體" w:hAnsi="標楷體" w:cs="標楷體" w:hint="eastAsia"/>
          <w:bCs/>
          <w:color w:val="000000" w:themeColor="text1"/>
          <w:szCs w:val="32"/>
        </w:rPr>
        <w:t>工程」，決標金額18億997萬元，預定興建地下4層、地上20層之大樓，使用用途包括商場、辦公室及飯店等，計畫期程為109</w:t>
      </w:r>
      <w:r>
        <w:rPr>
          <w:rFonts w:ascii="標楷體" w:eastAsia="標楷體" w:hAnsi="標楷體" w:cs="標楷體" w:hint="eastAsia"/>
          <w:bCs/>
          <w:color w:val="000000" w:themeColor="text1"/>
          <w:szCs w:val="32"/>
        </w:rPr>
        <w:t>至</w:t>
      </w:r>
      <w:r w:rsidRPr="006062A6">
        <w:rPr>
          <w:rFonts w:ascii="標楷體" w:eastAsia="標楷體" w:hAnsi="標楷體" w:cs="標楷體" w:hint="eastAsia"/>
          <w:bCs/>
          <w:color w:val="000000" w:themeColor="text1"/>
          <w:szCs w:val="32"/>
        </w:rPr>
        <w:t>113年。經查執行情形，核有：1</w:t>
      </w:r>
      <w:r w:rsidRPr="006062A6">
        <w:rPr>
          <w:rFonts w:ascii="標楷體" w:eastAsia="標楷體" w:hAnsi="標楷體" w:cs="標楷體"/>
          <w:bCs/>
          <w:color w:val="000000" w:themeColor="text1"/>
          <w:szCs w:val="32"/>
        </w:rPr>
        <w:t>.</w:t>
      </w:r>
      <w:proofErr w:type="gramStart"/>
      <w:r w:rsidRPr="006062A6">
        <w:rPr>
          <w:rFonts w:ascii="標楷體" w:eastAsia="標楷體" w:hAnsi="標楷體" w:cs="標楷體" w:hint="eastAsia"/>
          <w:bCs/>
          <w:color w:val="000000" w:themeColor="text1"/>
          <w:szCs w:val="32"/>
        </w:rPr>
        <w:t>依統包</w:t>
      </w:r>
      <w:proofErr w:type="gramEnd"/>
      <w:r w:rsidRPr="006062A6">
        <w:rPr>
          <w:rFonts w:ascii="標楷體" w:eastAsia="標楷體" w:hAnsi="標楷體" w:cs="標楷體" w:hint="eastAsia"/>
          <w:bCs/>
          <w:color w:val="000000" w:themeColor="text1"/>
          <w:szCs w:val="32"/>
        </w:rPr>
        <w:t>工程契約內附「臺北市政</w:t>
      </w:r>
    </w:p>
    <w:p w14:paraId="4980F7D8" w14:textId="7350B404" w:rsidR="00CC5AFC" w:rsidRDefault="00660AF8" w:rsidP="00FB1A40">
      <w:pPr>
        <w:overflowPunct w:val="0"/>
        <w:spacing w:line="400" w:lineRule="exact"/>
        <w:jc w:val="both"/>
        <w:rPr>
          <w:rFonts w:ascii="標楷體" w:eastAsia="標楷體" w:hAnsi="標楷體" w:cs="標楷體"/>
          <w:bCs/>
          <w:color w:val="000000" w:themeColor="text1"/>
          <w:szCs w:val="32"/>
        </w:rPr>
      </w:pPr>
      <w:r w:rsidRPr="00AE05F3">
        <w:rPr>
          <w:rFonts w:ascii="標楷體" w:eastAsia="標楷體" w:hAnsi="標楷體" w:cs="標楷體"/>
          <w:bCs/>
          <w:noProof/>
          <w:color w:val="000000"/>
          <w:szCs w:val="32"/>
          <w:lang w:val="zh-TW"/>
        </w:rPr>
        <w:lastRenderedPageBreak/>
        <mc:AlternateContent>
          <mc:Choice Requires="wpg">
            <w:drawing>
              <wp:anchor distT="0" distB="0" distL="114300" distR="114300" simplePos="0" relativeHeight="251767808" behindDoc="1" locked="0" layoutInCell="1" allowOverlap="1" wp14:anchorId="11C34451" wp14:editId="6024BB28">
                <wp:simplePos x="0" y="0"/>
                <wp:positionH relativeFrom="margin">
                  <wp:posOffset>3942080</wp:posOffset>
                </wp:positionH>
                <wp:positionV relativeFrom="page">
                  <wp:posOffset>1047750</wp:posOffset>
                </wp:positionV>
                <wp:extent cx="2428875" cy="2526030"/>
                <wp:effectExtent l="0" t="19050" r="9525" b="7620"/>
                <wp:wrapSquare wrapText="bothSides"/>
                <wp:docPr id="927419584" name="群組 927419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28875" cy="2526030"/>
                          <a:chOff x="-1706" y="0"/>
                          <a:chExt cx="23812" cy="26382"/>
                        </a:xfrm>
                      </wpg:grpSpPr>
                      <pic:pic xmlns:pic="http://schemas.openxmlformats.org/drawingml/2006/picture">
                        <pic:nvPicPr>
                          <pic:cNvPr id="927419585" name="圖片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190" y="0"/>
                            <a:ext cx="21128" cy="22020"/>
                          </a:xfrm>
                          <a:prstGeom prst="rect">
                            <a:avLst/>
                          </a:prstGeom>
                          <a:noFill/>
                          <a:ln w="9525">
                            <a:solidFill>
                              <a:sysClr val="windowText" lastClr="000000">
                                <a:lumMod val="100000"/>
                                <a:lumOff val="0"/>
                              </a:sysClr>
                            </a:solidFill>
                            <a:miter lim="800000"/>
                            <a:headEnd/>
                            <a:tailEnd/>
                          </a:ln>
                          <a:extLst>
                            <a:ext uri="{909E8E84-426E-40DD-AFC4-6F175D3DCCD1}">
                              <a14:hiddenFill xmlns:a14="http://schemas.microsoft.com/office/drawing/2010/main">
                                <a:solidFill>
                                  <a:srgbClr val="FFFFFF"/>
                                </a:solidFill>
                              </a14:hiddenFill>
                            </a:ext>
                          </a:extLst>
                        </pic:spPr>
                      </pic:pic>
                      <wps:wsp>
                        <wps:cNvPr id="927419586" name="文字方塊 2"/>
                        <wps:cNvSpPr txBox="1">
                          <a:spLocks noChangeArrowheads="1"/>
                        </wps:cNvSpPr>
                        <wps:spPr bwMode="auto">
                          <a:xfrm>
                            <a:off x="-1706" y="22096"/>
                            <a:ext cx="23812" cy="428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8B8215" w14:textId="77777777" w:rsidR="00CC5AFC" w:rsidRPr="000764E3" w:rsidRDefault="00CC5AFC" w:rsidP="00CC5AFC">
                              <w:pPr>
                                <w:spacing w:line="240" w:lineRule="exact"/>
                                <w:jc w:val="center"/>
                                <w:rPr>
                                  <w:rFonts w:ascii="標楷體" w:eastAsia="標楷體" w:hAnsi="標楷體"/>
                                  <w:b/>
                                  <w:bCs/>
                                </w:rPr>
                              </w:pPr>
                              <w:r w:rsidRPr="00826A4E">
                                <w:rPr>
                                  <w:rFonts w:ascii="標楷體" w:eastAsia="標楷體" w:hAnsi="標楷體" w:hint="eastAsia"/>
                                  <w:b/>
                                  <w:bCs/>
                                  <w:color w:val="000000"/>
                                </w:rPr>
                                <w:t>士林T</w:t>
                              </w:r>
                              <w:r w:rsidRPr="00826A4E">
                                <w:rPr>
                                  <w:rFonts w:ascii="標楷體" w:eastAsia="標楷體" w:hAnsi="標楷體"/>
                                  <w:b/>
                                  <w:bCs/>
                                  <w:color w:val="000000"/>
                                </w:rPr>
                                <w:t>OD</w:t>
                              </w:r>
                              <w:r w:rsidRPr="00826A4E">
                                <w:rPr>
                                  <w:rFonts w:ascii="標楷體" w:eastAsia="標楷體" w:hAnsi="標楷體" w:hint="eastAsia"/>
                                  <w:b/>
                                  <w:bCs/>
                                  <w:color w:val="000000"/>
                                </w:rPr>
                                <w:t>大樓</w:t>
                              </w:r>
                              <w:r w:rsidRPr="000764E3">
                                <w:rPr>
                                  <w:rFonts w:ascii="標楷體" w:eastAsia="標楷體" w:hAnsi="標楷體" w:hint="eastAsia"/>
                                  <w:b/>
                                  <w:bCs/>
                                </w:rPr>
                                <w:t>外觀</w:t>
                              </w:r>
                              <w:r>
                                <w:rPr>
                                  <w:rFonts w:ascii="標楷體" w:eastAsia="標楷體" w:hAnsi="標楷體" w:hint="eastAsia"/>
                                  <w:b/>
                                  <w:bCs/>
                                </w:rPr>
                                <w:t>示意圖</w:t>
                              </w:r>
                            </w:p>
                            <w:p w14:paraId="510A1D25" w14:textId="77777777" w:rsidR="00CC5AFC" w:rsidRPr="00D03DD1" w:rsidRDefault="00CC5AFC" w:rsidP="00CC5AFC">
                              <w:pPr>
                                <w:spacing w:line="240" w:lineRule="exact"/>
                                <w:jc w:val="center"/>
                                <w:rPr>
                                  <w:rFonts w:ascii="標楷體" w:eastAsia="標楷體" w:hAnsi="標楷體"/>
                                  <w:sz w:val="18"/>
                                  <w:szCs w:val="20"/>
                                </w:rPr>
                              </w:pPr>
                              <w:r w:rsidRPr="00D03DD1">
                                <w:rPr>
                                  <w:rFonts w:ascii="標楷體" w:eastAsia="標楷體" w:hAnsi="標楷體" w:hint="eastAsia"/>
                                  <w:sz w:val="18"/>
                                  <w:szCs w:val="20"/>
                                </w:rPr>
                                <w:t>(圖片來源：都市發展局網站)</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C34451" id="群組 927419584" o:spid="_x0000_s1093" style="position:absolute;left:0;text-align:left;margin-left:310.4pt;margin-top:82.5pt;width:191.25pt;height:198.9pt;z-index:-251548672;mso-position-horizontal-relative:margin;mso-position-vertical-relative:page" coordorigin="-1706" coordsize="23812,26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">
                <v:shape id="圖片 1" o:spid="_x0000_s1094" type="#_x0000_t75" style="position:absolute;left:190;width:21128;height:22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" stroked="t">
                  <v:imagedata r:id="rId49" o:title=""/>
                </v:shape>
                <v:shape id="_x0000_s1095" type="#_x0000_t202" style="position:absolute;left:-1706;top:22096;width:23812;height:4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" stroked="f">
                  <v:textbox>
                    <w:txbxContent>
                      <w:p w14:paraId="268B8215" w14:textId="77777777" w:rsidR="00CC5AFC" w:rsidRPr="000764E3" w:rsidRDefault="00CC5AFC" w:rsidP="00CC5AFC">
                        <w:pPr>
                          <w:spacing w:line="240" w:lineRule="exact"/>
                          <w:jc w:val="center"/>
                          <w:rPr>
                            <w:rFonts w:ascii="標楷體" w:eastAsia="標楷體" w:hAnsi="標楷體"/>
                            <w:b/>
                            <w:bCs/>
                          </w:rPr>
                        </w:pPr>
                        <w:r w:rsidRPr="00826A4E">
                          <w:rPr>
                            <w:rFonts w:ascii="標楷體" w:eastAsia="標楷體" w:hAnsi="標楷體" w:hint="eastAsia"/>
                            <w:b/>
                            <w:bCs/>
                            <w:color w:val="000000"/>
                          </w:rPr>
                          <w:t>士林T</w:t>
                        </w:r>
                        <w:r w:rsidRPr="00826A4E">
                          <w:rPr>
                            <w:rFonts w:ascii="標楷體" w:eastAsia="標楷體" w:hAnsi="標楷體"/>
                            <w:b/>
                            <w:bCs/>
                            <w:color w:val="000000"/>
                          </w:rPr>
                          <w:t>OD</w:t>
                        </w:r>
                        <w:r w:rsidRPr="00826A4E">
                          <w:rPr>
                            <w:rFonts w:ascii="標楷體" w:eastAsia="標楷體" w:hAnsi="標楷體" w:hint="eastAsia"/>
                            <w:b/>
                            <w:bCs/>
                            <w:color w:val="000000"/>
                          </w:rPr>
                          <w:t>大樓</w:t>
                        </w:r>
                        <w:r w:rsidRPr="000764E3">
                          <w:rPr>
                            <w:rFonts w:ascii="標楷體" w:eastAsia="標楷體" w:hAnsi="標楷體" w:hint="eastAsia"/>
                            <w:b/>
                            <w:bCs/>
                          </w:rPr>
                          <w:t>外觀</w:t>
                        </w:r>
                        <w:r>
                          <w:rPr>
                            <w:rFonts w:ascii="標楷體" w:eastAsia="標楷體" w:hAnsi="標楷體" w:hint="eastAsia"/>
                            <w:b/>
                            <w:bCs/>
                          </w:rPr>
                          <w:t>示意圖</w:t>
                        </w:r>
                      </w:p>
                      <w:p w14:paraId="510A1D25" w14:textId="77777777" w:rsidR="00CC5AFC" w:rsidRPr="00D03DD1" w:rsidRDefault="00CC5AFC" w:rsidP="00CC5AFC">
                        <w:pPr>
                          <w:spacing w:line="240" w:lineRule="exact"/>
                          <w:jc w:val="center"/>
                          <w:rPr>
                            <w:rFonts w:ascii="標楷體" w:eastAsia="標楷體" w:hAnsi="標楷體"/>
                            <w:sz w:val="18"/>
                            <w:szCs w:val="20"/>
                          </w:rPr>
                        </w:pPr>
                        <w:r w:rsidRPr="00D03DD1">
                          <w:rPr>
                            <w:rFonts w:ascii="標楷體" w:eastAsia="標楷體" w:hAnsi="標楷體" w:hint="eastAsia"/>
                            <w:sz w:val="18"/>
                            <w:szCs w:val="20"/>
                          </w:rPr>
                          <w:t>(圖片來源：都市發展局網站)</w:t>
                        </w:r>
                      </w:p>
                    </w:txbxContent>
                  </v:textbox>
                </v:shape>
                <w10:wrap type="square" anchorx="margin" anchory="page"/>
              </v:group>
            </w:pict>
          </mc:Fallback>
        </mc:AlternateContent>
      </w:r>
      <w:r w:rsidR="00CC5AFC" w:rsidRPr="006062A6">
        <w:rPr>
          <w:rFonts w:ascii="標楷體" w:eastAsia="標楷體" w:hAnsi="標楷體" w:cs="標楷體" w:hint="eastAsia"/>
          <w:bCs/>
          <w:color w:val="000000" w:themeColor="text1"/>
          <w:szCs w:val="32"/>
        </w:rPr>
        <w:t>府工程採購物價指數調整計算規定」，</w:t>
      </w:r>
      <w:r w:rsidR="00CC5AFC" w:rsidRPr="006062A6">
        <w:rPr>
          <w:rFonts w:ascii="標楷體" w:eastAsia="標楷體" w:hAnsi="標楷體" w:cs="標楷體"/>
          <w:bCs/>
          <w:color w:val="000000" w:themeColor="text1"/>
          <w:szCs w:val="32"/>
        </w:rPr>
        <w:t>統包廠商所提細部設計項目之單價，應以開標當月之物價作為編列依據</w:t>
      </w:r>
      <w:r w:rsidR="00CC5AFC" w:rsidRPr="006062A6">
        <w:rPr>
          <w:rFonts w:ascii="標楷體" w:eastAsia="標楷體" w:hAnsi="標楷體" w:cs="標楷體" w:hint="eastAsia"/>
          <w:bCs/>
          <w:color w:val="000000" w:themeColor="text1"/>
          <w:szCs w:val="32"/>
        </w:rPr>
        <w:t>，</w:t>
      </w:r>
      <w:proofErr w:type="gramStart"/>
      <w:r w:rsidR="00CC5AFC" w:rsidRPr="006062A6">
        <w:rPr>
          <w:rFonts w:ascii="標楷體" w:eastAsia="標楷體" w:hAnsi="標楷體" w:cs="標楷體" w:hint="eastAsia"/>
          <w:bCs/>
          <w:color w:val="000000" w:themeColor="text1"/>
          <w:szCs w:val="32"/>
        </w:rPr>
        <w:t>惟查捷運</w:t>
      </w:r>
      <w:proofErr w:type="gramEnd"/>
      <w:r w:rsidR="00CC5AFC" w:rsidRPr="006062A6">
        <w:rPr>
          <w:rFonts w:ascii="標楷體" w:eastAsia="標楷體" w:hAnsi="標楷體" w:cs="標楷體" w:hint="eastAsia"/>
          <w:bCs/>
          <w:color w:val="000000" w:themeColor="text1"/>
          <w:szCs w:val="32"/>
        </w:rPr>
        <w:t>公司於111年8月核定統包廠商提送之統包工程預算書，其中型鋼及鋼筋等材料之預算單價與開標月（109年5月）營建物價相較，比率高達143％～162％</w:t>
      </w:r>
      <w:r w:rsidR="00CC5AFC">
        <w:rPr>
          <w:rFonts w:ascii="標楷體" w:eastAsia="標楷體" w:hAnsi="標楷體" w:cs="標楷體" w:hint="eastAsia"/>
          <w:bCs/>
          <w:color w:val="000000" w:themeColor="text1"/>
          <w:szCs w:val="32"/>
        </w:rPr>
        <w:t>，因以此超額編列之預算單價作為估算物價調整費用之結果，</w:t>
      </w:r>
      <w:proofErr w:type="gramStart"/>
      <w:r w:rsidR="00CC5AFC" w:rsidRPr="006062A6">
        <w:rPr>
          <w:rFonts w:ascii="標楷體" w:eastAsia="標楷體" w:hAnsi="標楷體" w:cs="標楷體" w:hint="eastAsia"/>
          <w:bCs/>
          <w:color w:val="000000" w:themeColor="text1"/>
          <w:szCs w:val="32"/>
        </w:rPr>
        <w:t>致溢付</w:t>
      </w:r>
      <w:proofErr w:type="gramEnd"/>
      <w:r w:rsidR="00CC5AFC" w:rsidRPr="006062A6">
        <w:rPr>
          <w:rFonts w:ascii="標楷體" w:eastAsia="標楷體" w:hAnsi="標楷體" w:cs="標楷體" w:hint="eastAsia"/>
          <w:bCs/>
          <w:color w:val="000000" w:themeColor="text1"/>
          <w:szCs w:val="32"/>
        </w:rPr>
        <w:t>物價調整款</w:t>
      </w:r>
      <w:r w:rsidR="00CC5AFC">
        <w:rPr>
          <w:rFonts w:ascii="標楷體" w:eastAsia="標楷體" w:hAnsi="標楷體" w:cs="標楷體" w:hint="eastAsia"/>
          <w:bCs/>
          <w:color w:val="000000" w:themeColor="text1"/>
          <w:szCs w:val="32"/>
        </w:rPr>
        <w:t>逾千萬元；</w:t>
      </w:r>
      <w:proofErr w:type="gramStart"/>
      <w:r w:rsidR="00CC5AFC">
        <w:rPr>
          <w:rFonts w:ascii="標楷體" w:eastAsia="標楷體" w:hAnsi="標楷體" w:cs="標楷體" w:hint="eastAsia"/>
          <w:bCs/>
          <w:color w:val="000000" w:themeColor="text1"/>
          <w:szCs w:val="32"/>
        </w:rPr>
        <w:t>另</w:t>
      </w:r>
      <w:r w:rsidR="00CC5AFC" w:rsidRPr="006062A6">
        <w:rPr>
          <w:rFonts w:ascii="標楷體" w:eastAsia="標楷體" w:hAnsi="標楷體" w:cs="標楷體" w:hint="eastAsia"/>
          <w:bCs/>
          <w:color w:val="000000" w:themeColor="text1"/>
          <w:szCs w:val="32"/>
        </w:rPr>
        <w:t>抽核部分</w:t>
      </w:r>
      <w:proofErr w:type="gramEnd"/>
      <w:r w:rsidR="00CC5AFC" w:rsidRPr="006062A6">
        <w:rPr>
          <w:rFonts w:ascii="標楷體" w:eastAsia="標楷體" w:hAnsi="標楷體" w:cs="標楷體" w:hint="eastAsia"/>
          <w:bCs/>
          <w:color w:val="000000" w:themeColor="text1"/>
          <w:szCs w:val="32"/>
        </w:rPr>
        <w:t>估驗計價</w:t>
      </w:r>
      <w:r w:rsidR="00CC5AFC">
        <w:rPr>
          <w:rFonts w:ascii="標楷體" w:eastAsia="標楷體" w:hAnsi="標楷體" w:cs="標楷體" w:hint="eastAsia"/>
          <w:bCs/>
          <w:color w:val="000000" w:themeColor="text1"/>
          <w:szCs w:val="32"/>
        </w:rPr>
        <w:t>之物價調整費用計算</w:t>
      </w:r>
      <w:r w:rsidR="00CC5AFC" w:rsidRPr="006062A6">
        <w:rPr>
          <w:rFonts w:ascii="標楷體" w:eastAsia="標楷體" w:hAnsi="標楷體" w:cs="標楷體" w:hint="eastAsia"/>
          <w:bCs/>
          <w:color w:val="000000" w:themeColor="text1"/>
          <w:szCs w:val="32"/>
        </w:rPr>
        <w:t>資料，發現</w:t>
      </w:r>
      <w:r w:rsidR="00CC5AFC">
        <w:rPr>
          <w:rFonts w:ascii="標楷體" w:eastAsia="標楷體" w:hAnsi="標楷體" w:cs="標楷體" w:hint="eastAsia"/>
          <w:bCs/>
          <w:color w:val="000000" w:themeColor="text1"/>
          <w:szCs w:val="32"/>
        </w:rPr>
        <w:t>部分材料已</w:t>
      </w:r>
      <w:r w:rsidR="00CC5AFC" w:rsidRPr="006062A6">
        <w:rPr>
          <w:rFonts w:ascii="標楷體" w:eastAsia="標楷體" w:hAnsi="標楷體" w:cs="標楷體" w:hint="eastAsia"/>
          <w:bCs/>
          <w:color w:val="000000" w:themeColor="text1"/>
          <w:szCs w:val="32"/>
        </w:rPr>
        <w:t>引用</w:t>
      </w:r>
      <w:r w:rsidR="00CC5AFC" w:rsidRPr="00A06B8C">
        <w:rPr>
          <w:rFonts w:ascii="標楷體" w:eastAsia="標楷體" w:hAnsi="標楷體" w:cs="標楷體" w:hint="eastAsia"/>
          <w:bCs/>
          <w:color w:val="000000" w:themeColor="text1"/>
          <w:szCs w:val="32"/>
        </w:rPr>
        <w:t>「</w:t>
      </w:r>
      <w:r w:rsidR="00CC5AFC">
        <w:rPr>
          <w:rFonts w:ascii="標楷體" w:eastAsia="標楷體" w:hAnsi="標楷體" w:cs="標楷體" w:hint="eastAsia"/>
          <w:bCs/>
          <w:color w:val="000000" w:themeColor="text1"/>
          <w:szCs w:val="32"/>
        </w:rPr>
        <w:t>個別</w:t>
      </w:r>
      <w:r w:rsidR="00CC5AFC" w:rsidRPr="00A06B8C">
        <w:rPr>
          <w:rFonts w:ascii="標楷體" w:eastAsia="標楷體" w:hAnsi="標楷體" w:cs="標楷體" w:hint="eastAsia"/>
          <w:bCs/>
          <w:color w:val="000000" w:themeColor="text1"/>
          <w:szCs w:val="32"/>
        </w:rPr>
        <w:t>項目</w:t>
      </w:r>
      <w:r w:rsidR="00CC5AFC">
        <w:rPr>
          <w:rFonts w:ascii="標楷體" w:eastAsia="標楷體" w:hAnsi="標楷體" w:cs="標楷體" w:hint="eastAsia"/>
          <w:bCs/>
          <w:color w:val="000000" w:themeColor="text1"/>
          <w:szCs w:val="32"/>
        </w:rPr>
        <w:t>」</w:t>
      </w:r>
      <w:r w:rsidR="00CC5AFC" w:rsidRPr="006062A6">
        <w:rPr>
          <w:rFonts w:ascii="標楷體" w:eastAsia="標楷體" w:hAnsi="標楷體" w:cs="標楷體" w:hint="eastAsia"/>
          <w:bCs/>
          <w:color w:val="000000" w:themeColor="text1"/>
          <w:szCs w:val="32"/>
        </w:rPr>
        <w:t>指數</w:t>
      </w:r>
      <w:r w:rsidR="00CC5AFC">
        <w:rPr>
          <w:rFonts w:ascii="標楷體" w:eastAsia="標楷體" w:hAnsi="標楷體" w:cs="標楷體" w:hint="eastAsia"/>
          <w:bCs/>
          <w:color w:val="000000" w:themeColor="text1"/>
          <w:szCs w:val="32"/>
        </w:rPr>
        <w:t>估算物價調整費用，惟於辦理</w:t>
      </w:r>
      <w:r w:rsidR="00CC5AFC" w:rsidRPr="00A06B8C">
        <w:rPr>
          <w:rFonts w:ascii="標楷體" w:eastAsia="標楷體" w:hAnsi="標楷體" w:cs="標楷體" w:hint="eastAsia"/>
          <w:bCs/>
          <w:color w:val="000000" w:themeColor="text1"/>
          <w:szCs w:val="32"/>
        </w:rPr>
        <w:t>「中分類項目</w:t>
      </w:r>
      <w:r w:rsidR="00CC5AFC">
        <w:rPr>
          <w:rFonts w:ascii="標楷體" w:eastAsia="標楷體" w:hAnsi="標楷體" w:cs="標楷體" w:hint="eastAsia"/>
          <w:bCs/>
          <w:color w:val="000000" w:themeColor="text1"/>
          <w:szCs w:val="32"/>
        </w:rPr>
        <w:t>」物價調整款計算時，所引用之指數卻未排除前揭</w:t>
      </w:r>
      <w:r w:rsidR="00CC5AFC" w:rsidRPr="00A06B8C">
        <w:rPr>
          <w:rFonts w:ascii="標楷體" w:eastAsia="標楷體" w:hAnsi="標楷體" w:cs="標楷體" w:hint="eastAsia"/>
          <w:bCs/>
          <w:color w:val="000000" w:themeColor="text1"/>
          <w:szCs w:val="32"/>
        </w:rPr>
        <w:t>「</w:t>
      </w:r>
      <w:r w:rsidR="00CC5AFC">
        <w:rPr>
          <w:rFonts w:ascii="標楷體" w:eastAsia="標楷體" w:hAnsi="標楷體" w:cs="標楷體" w:hint="eastAsia"/>
          <w:bCs/>
          <w:color w:val="000000" w:themeColor="text1"/>
          <w:szCs w:val="32"/>
        </w:rPr>
        <w:t>個別</w:t>
      </w:r>
      <w:r w:rsidR="00CC5AFC" w:rsidRPr="00A06B8C">
        <w:rPr>
          <w:rFonts w:ascii="標楷體" w:eastAsia="標楷體" w:hAnsi="標楷體" w:cs="標楷體" w:hint="eastAsia"/>
          <w:bCs/>
          <w:color w:val="000000" w:themeColor="text1"/>
          <w:szCs w:val="32"/>
        </w:rPr>
        <w:t>項目</w:t>
      </w:r>
      <w:r w:rsidR="00CC5AFC">
        <w:rPr>
          <w:rFonts w:ascii="標楷體" w:eastAsia="標楷體" w:hAnsi="標楷體" w:cs="標楷體" w:hint="eastAsia"/>
          <w:bCs/>
          <w:color w:val="000000" w:themeColor="text1"/>
          <w:szCs w:val="32"/>
        </w:rPr>
        <w:t>」已調整部分，核有指數引用</w:t>
      </w:r>
      <w:r w:rsidR="00CC5AFC" w:rsidRPr="006062A6">
        <w:rPr>
          <w:rFonts w:ascii="標楷體" w:eastAsia="標楷體" w:hAnsi="標楷體" w:cs="標楷體" w:hint="eastAsia"/>
          <w:bCs/>
          <w:color w:val="000000" w:themeColor="text1"/>
          <w:szCs w:val="32"/>
        </w:rPr>
        <w:t>錯誤</w:t>
      </w:r>
      <w:r w:rsidR="00CC5AFC">
        <w:rPr>
          <w:rFonts w:ascii="標楷體" w:eastAsia="標楷體" w:hAnsi="標楷體" w:cs="標楷體" w:hint="eastAsia"/>
          <w:bCs/>
          <w:color w:val="000000" w:themeColor="text1"/>
          <w:szCs w:val="32"/>
        </w:rPr>
        <w:t>情形，且物價調整款計算時</w:t>
      </w:r>
      <w:r w:rsidR="00CC5AFC" w:rsidRPr="006062A6">
        <w:rPr>
          <w:rFonts w:ascii="標楷體" w:eastAsia="標楷體" w:hAnsi="標楷體" w:cs="標楷體" w:hint="eastAsia"/>
          <w:bCs/>
          <w:color w:val="000000" w:themeColor="text1"/>
          <w:szCs w:val="32"/>
        </w:rPr>
        <w:t>未扣除不得</w:t>
      </w:r>
      <w:proofErr w:type="gramStart"/>
      <w:r w:rsidR="00CC5AFC" w:rsidRPr="006062A6">
        <w:rPr>
          <w:rFonts w:ascii="標楷體" w:eastAsia="標楷體" w:hAnsi="標楷體" w:cs="標楷體" w:hint="eastAsia"/>
          <w:bCs/>
          <w:color w:val="000000" w:themeColor="text1"/>
          <w:szCs w:val="32"/>
        </w:rPr>
        <w:t>納入物調計算</w:t>
      </w:r>
      <w:proofErr w:type="gramEnd"/>
      <w:r w:rsidR="00CC5AFC" w:rsidRPr="006062A6">
        <w:rPr>
          <w:rFonts w:ascii="標楷體" w:eastAsia="標楷體" w:hAnsi="標楷體" w:cs="標楷體" w:hint="eastAsia"/>
          <w:bCs/>
          <w:color w:val="000000" w:themeColor="text1"/>
          <w:szCs w:val="32"/>
        </w:rPr>
        <w:t>之契約工項，</w:t>
      </w:r>
      <w:r w:rsidR="00CC5AFC">
        <w:rPr>
          <w:rFonts w:ascii="標楷體" w:eastAsia="標楷體" w:hAnsi="標楷體" w:cs="標楷體" w:hint="eastAsia"/>
          <w:bCs/>
          <w:color w:val="000000" w:themeColor="text1"/>
          <w:szCs w:val="32"/>
        </w:rPr>
        <w:t>均造成</w:t>
      </w:r>
      <w:r w:rsidR="00CC5AFC" w:rsidRPr="006062A6">
        <w:rPr>
          <w:rFonts w:ascii="標楷體" w:eastAsia="標楷體" w:hAnsi="標楷體" w:cs="標楷體" w:hint="eastAsia"/>
          <w:bCs/>
          <w:color w:val="000000" w:themeColor="text1"/>
          <w:szCs w:val="32"/>
        </w:rPr>
        <w:t>溢付物價調整款項；2</w:t>
      </w:r>
      <w:r w:rsidR="00CC5AFC" w:rsidRPr="006062A6">
        <w:rPr>
          <w:rFonts w:ascii="標楷體" w:eastAsia="標楷體" w:hAnsi="標楷體" w:cs="標楷體"/>
          <w:bCs/>
          <w:color w:val="000000" w:themeColor="text1"/>
          <w:szCs w:val="32"/>
        </w:rPr>
        <w:t>.</w:t>
      </w:r>
      <w:r w:rsidR="00CC5AFC" w:rsidRPr="006062A6">
        <w:rPr>
          <w:rFonts w:ascii="標楷體" w:eastAsia="標楷體" w:hAnsi="標楷體" w:cs="標楷體" w:hint="eastAsia"/>
          <w:bCs/>
          <w:color w:val="000000" w:themeColor="text1"/>
          <w:szCs w:val="32"/>
        </w:rPr>
        <w:t>統包廠商</w:t>
      </w:r>
      <w:r w:rsidR="00CC5AFC">
        <w:rPr>
          <w:rFonts w:ascii="標楷體" w:eastAsia="標楷體" w:hAnsi="標楷體" w:cs="標楷體" w:hint="eastAsia"/>
          <w:bCs/>
          <w:color w:val="000000" w:themeColor="text1"/>
          <w:szCs w:val="32"/>
        </w:rPr>
        <w:t>依</w:t>
      </w:r>
      <w:r w:rsidR="00CC5AFC" w:rsidRPr="00A06B8C">
        <w:rPr>
          <w:rFonts w:ascii="標楷體" w:eastAsia="標楷體" w:hAnsi="標楷體" w:cs="標楷體" w:hint="eastAsia"/>
          <w:bCs/>
          <w:color w:val="000000" w:themeColor="text1"/>
          <w:szCs w:val="32"/>
        </w:rPr>
        <w:t>「</w:t>
      </w:r>
      <w:r w:rsidR="00CC5AFC">
        <w:rPr>
          <w:rFonts w:ascii="標楷體" w:eastAsia="標楷體" w:hAnsi="標楷體" w:cs="標楷體" w:hint="eastAsia"/>
          <w:bCs/>
          <w:color w:val="000000" w:themeColor="text1"/>
          <w:szCs w:val="32"/>
        </w:rPr>
        <w:t>臺北市政府工程契約訂約後工期核算要點」規定</w:t>
      </w:r>
      <w:r w:rsidR="00CC5AFC" w:rsidRPr="006062A6">
        <w:rPr>
          <w:rFonts w:ascii="標楷體" w:eastAsia="標楷體" w:hAnsi="標楷體" w:cs="標楷體" w:hint="eastAsia"/>
          <w:bCs/>
          <w:color w:val="000000" w:themeColor="text1"/>
          <w:szCs w:val="32"/>
        </w:rPr>
        <w:t>申請不計及展延工期作業，</w:t>
      </w:r>
      <w:r w:rsidR="00CC5AFC">
        <w:rPr>
          <w:rFonts w:ascii="標楷體" w:eastAsia="標楷體" w:hAnsi="標楷體" w:cs="標楷體" w:hint="eastAsia"/>
          <w:bCs/>
          <w:color w:val="000000" w:themeColor="text1"/>
          <w:szCs w:val="32"/>
        </w:rPr>
        <w:t>其中</w:t>
      </w:r>
      <w:r w:rsidR="00CC5AFC" w:rsidRPr="006062A6">
        <w:rPr>
          <w:rFonts w:ascii="標楷體" w:eastAsia="標楷體" w:hAnsi="標楷體" w:cs="標楷體" w:hint="eastAsia"/>
          <w:bCs/>
          <w:color w:val="000000" w:themeColor="text1"/>
          <w:szCs w:val="32"/>
        </w:rPr>
        <w:t>不計工期之</w:t>
      </w:r>
      <w:r w:rsidR="00CC5AFC">
        <w:rPr>
          <w:rFonts w:ascii="標楷體" w:eastAsia="標楷體" w:hAnsi="標楷體" w:cs="標楷體" w:hint="eastAsia"/>
          <w:bCs/>
          <w:color w:val="000000" w:themeColor="text1"/>
          <w:szCs w:val="32"/>
        </w:rPr>
        <w:t>天數計算錯誤</w:t>
      </w:r>
      <w:r w:rsidR="00CC5AFC" w:rsidRPr="006062A6">
        <w:rPr>
          <w:rFonts w:ascii="標楷體" w:eastAsia="標楷體" w:hAnsi="標楷體" w:cs="標楷體" w:hint="eastAsia"/>
          <w:bCs/>
          <w:color w:val="000000" w:themeColor="text1"/>
          <w:szCs w:val="32"/>
        </w:rPr>
        <w:t>，或申請</w:t>
      </w:r>
      <w:r w:rsidR="00CC5AFC">
        <w:rPr>
          <w:rFonts w:ascii="標楷體" w:eastAsia="標楷體" w:hAnsi="標楷體" w:cs="標楷體" w:hint="eastAsia"/>
          <w:bCs/>
          <w:color w:val="000000" w:themeColor="text1"/>
          <w:szCs w:val="32"/>
        </w:rPr>
        <w:t>展期</w:t>
      </w:r>
      <w:r w:rsidR="00CC5AFC" w:rsidRPr="006062A6">
        <w:rPr>
          <w:rFonts w:ascii="標楷體" w:eastAsia="標楷體" w:hAnsi="標楷體" w:cs="標楷體" w:hint="eastAsia"/>
          <w:bCs/>
          <w:color w:val="000000" w:themeColor="text1"/>
          <w:szCs w:val="32"/>
        </w:rPr>
        <w:t>事由不符天災</w:t>
      </w:r>
      <w:r w:rsidR="00CC5AFC">
        <w:rPr>
          <w:rFonts w:ascii="標楷體" w:eastAsia="標楷體" w:hAnsi="標楷體" w:cs="標楷體" w:hint="eastAsia"/>
          <w:bCs/>
          <w:color w:val="000000" w:themeColor="text1"/>
          <w:szCs w:val="32"/>
        </w:rPr>
        <w:t>之要件</w:t>
      </w:r>
      <w:r w:rsidR="00CC5AFC" w:rsidRPr="006062A6">
        <w:rPr>
          <w:rFonts w:ascii="標楷體" w:eastAsia="標楷體" w:hAnsi="標楷體" w:cs="標楷體" w:hint="eastAsia"/>
          <w:bCs/>
          <w:color w:val="000000" w:themeColor="text1"/>
          <w:szCs w:val="32"/>
        </w:rPr>
        <w:t>，惟機關及監造單位未加詳查仍予同意，</w:t>
      </w:r>
      <w:proofErr w:type="gramStart"/>
      <w:r w:rsidR="00CC5AFC" w:rsidRPr="006062A6">
        <w:rPr>
          <w:rFonts w:ascii="標楷體" w:eastAsia="標楷體" w:hAnsi="標楷體" w:cs="標楷體" w:hint="eastAsia"/>
          <w:bCs/>
          <w:color w:val="000000" w:themeColor="text1"/>
          <w:szCs w:val="32"/>
        </w:rPr>
        <w:t>溢列工程</w:t>
      </w:r>
      <w:proofErr w:type="gramEnd"/>
      <w:r w:rsidR="00CC5AFC" w:rsidRPr="006062A6">
        <w:rPr>
          <w:rFonts w:ascii="標楷體" w:eastAsia="標楷體" w:hAnsi="標楷體" w:cs="標楷體" w:hint="eastAsia"/>
          <w:bCs/>
          <w:color w:val="000000" w:themeColor="text1"/>
          <w:szCs w:val="32"/>
        </w:rPr>
        <w:t>展期天數計</w:t>
      </w:r>
      <w:r w:rsidR="00CC5AFC" w:rsidRPr="006062A6">
        <w:rPr>
          <w:rFonts w:ascii="標楷體" w:eastAsia="標楷體" w:hAnsi="標楷體" w:cs="標楷體"/>
          <w:bCs/>
          <w:color w:val="000000" w:themeColor="text1"/>
          <w:szCs w:val="32"/>
        </w:rPr>
        <w:t>50.5</w:t>
      </w:r>
      <w:r w:rsidR="00CC5AFC" w:rsidRPr="006062A6">
        <w:rPr>
          <w:rFonts w:ascii="標楷體" w:eastAsia="標楷體" w:hAnsi="標楷體" w:cs="標楷體" w:hint="eastAsia"/>
          <w:bCs/>
          <w:color w:val="000000" w:themeColor="text1"/>
          <w:szCs w:val="32"/>
        </w:rPr>
        <w:t>天；3</w:t>
      </w:r>
      <w:r w:rsidR="00CC5AFC" w:rsidRPr="006062A6">
        <w:rPr>
          <w:rFonts w:ascii="標楷體" w:eastAsia="標楷體" w:hAnsi="標楷體" w:cs="標楷體"/>
          <w:bCs/>
          <w:color w:val="000000" w:themeColor="text1"/>
          <w:szCs w:val="32"/>
        </w:rPr>
        <w:t>.</w:t>
      </w:r>
      <w:r w:rsidR="00CC5AFC" w:rsidRPr="006062A6">
        <w:rPr>
          <w:rFonts w:ascii="標楷體" w:eastAsia="標楷體" w:hAnsi="標楷體" w:cs="標楷體" w:hint="eastAsia"/>
          <w:bCs/>
          <w:color w:val="000000" w:themeColor="text1"/>
          <w:szCs w:val="32"/>
        </w:rPr>
        <w:t>部分區域外露鋼材未依</w:t>
      </w:r>
      <w:r w:rsidR="00CC5AFC">
        <w:rPr>
          <w:rFonts w:ascii="標楷體" w:eastAsia="標楷體" w:hAnsi="標楷體" w:cs="標楷體" w:hint="eastAsia"/>
          <w:bCs/>
          <w:color w:val="000000" w:themeColor="text1"/>
          <w:szCs w:val="32"/>
        </w:rPr>
        <w:t>契約內附需求書</w:t>
      </w:r>
      <w:r w:rsidR="00CC5AFC" w:rsidRPr="006062A6">
        <w:rPr>
          <w:rFonts w:ascii="標楷體" w:eastAsia="標楷體" w:hAnsi="標楷體" w:cs="標楷體" w:hint="eastAsia"/>
          <w:bCs/>
          <w:color w:val="000000" w:themeColor="text1"/>
          <w:szCs w:val="32"/>
        </w:rPr>
        <w:t>規定以熱浸鍍鋅進行防</w:t>
      </w:r>
      <w:proofErr w:type="gramStart"/>
      <w:r w:rsidR="00CC5AFC" w:rsidRPr="006062A6">
        <w:rPr>
          <w:rFonts w:ascii="標楷體" w:eastAsia="標楷體" w:hAnsi="標楷體" w:cs="標楷體" w:hint="eastAsia"/>
          <w:bCs/>
          <w:color w:val="000000" w:themeColor="text1"/>
          <w:szCs w:val="32"/>
        </w:rPr>
        <w:t>銹</w:t>
      </w:r>
      <w:proofErr w:type="gramEnd"/>
      <w:r w:rsidR="00CC5AFC" w:rsidRPr="006062A6">
        <w:rPr>
          <w:rFonts w:ascii="標楷體" w:eastAsia="標楷體" w:hAnsi="標楷體" w:cs="標楷體" w:hint="eastAsia"/>
          <w:bCs/>
          <w:color w:val="000000" w:themeColor="text1"/>
          <w:szCs w:val="32"/>
        </w:rPr>
        <w:t>處理，</w:t>
      </w:r>
      <w:proofErr w:type="gramStart"/>
      <w:r w:rsidR="00CC5AFC" w:rsidRPr="006062A6">
        <w:rPr>
          <w:rFonts w:ascii="標楷體" w:eastAsia="標楷體" w:hAnsi="標楷體" w:cs="標楷體" w:hint="eastAsia"/>
          <w:bCs/>
          <w:color w:val="000000" w:themeColor="text1"/>
          <w:szCs w:val="32"/>
        </w:rPr>
        <w:t>且統包</w:t>
      </w:r>
      <w:proofErr w:type="gramEnd"/>
      <w:r w:rsidR="00CC5AFC" w:rsidRPr="006062A6">
        <w:rPr>
          <w:rFonts w:ascii="標楷體" w:eastAsia="標楷體" w:hAnsi="標楷體" w:cs="標楷體" w:hint="eastAsia"/>
          <w:bCs/>
          <w:color w:val="000000" w:themeColor="text1"/>
          <w:szCs w:val="32"/>
        </w:rPr>
        <w:t>廠商未依服務建議書派駐專職機電主任人員</w:t>
      </w:r>
      <w:r w:rsidR="00CC5AFC">
        <w:rPr>
          <w:rFonts w:ascii="標楷體" w:eastAsia="標楷體" w:hAnsi="標楷體" w:cs="標楷體" w:hint="eastAsia"/>
          <w:bCs/>
          <w:color w:val="000000" w:themeColor="text1"/>
          <w:szCs w:val="32"/>
        </w:rPr>
        <w:t>等情事</w:t>
      </w:r>
      <w:r w:rsidR="00CC5AFC" w:rsidRPr="006062A6">
        <w:rPr>
          <w:rFonts w:ascii="標楷體" w:eastAsia="標楷體" w:hAnsi="標楷體" w:cs="標楷體" w:hint="eastAsia"/>
          <w:bCs/>
          <w:color w:val="000000" w:themeColor="text1"/>
          <w:szCs w:val="32"/>
        </w:rPr>
        <w:t>，經函請檢討改善。據復：1.已完成統包工程預算書重新編列及檢討扣除不得</w:t>
      </w:r>
      <w:proofErr w:type="gramStart"/>
      <w:r w:rsidR="00CC5AFC" w:rsidRPr="006062A6">
        <w:rPr>
          <w:rFonts w:ascii="標楷體" w:eastAsia="標楷體" w:hAnsi="標楷體" w:cs="標楷體" w:hint="eastAsia"/>
          <w:bCs/>
          <w:color w:val="000000" w:themeColor="text1"/>
          <w:szCs w:val="32"/>
        </w:rPr>
        <w:t>納入物調計算</w:t>
      </w:r>
      <w:proofErr w:type="gramEnd"/>
      <w:r w:rsidR="00CC5AFC" w:rsidRPr="006062A6">
        <w:rPr>
          <w:rFonts w:ascii="標楷體" w:eastAsia="標楷體" w:hAnsi="標楷體" w:cs="標楷體" w:hint="eastAsia"/>
          <w:bCs/>
          <w:color w:val="000000" w:themeColor="text1"/>
          <w:szCs w:val="32"/>
        </w:rPr>
        <w:t>之契約工項，並</w:t>
      </w:r>
      <w:proofErr w:type="gramStart"/>
      <w:r w:rsidR="00CC5AFC" w:rsidRPr="006062A6">
        <w:rPr>
          <w:rFonts w:ascii="標楷體" w:eastAsia="標楷體" w:hAnsi="標楷體" w:cs="標楷體" w:hint="eastAsia"/>
          <w:bCs/>
          <w:color w:val="000000" w:themeColor="text1"/>
          <w:szCs w:val="32"/>
        </w:rPr>
        <w:t>清查已估驗</w:t>
      </w:r>
      <w:proofErr w:type="gramEnd"/>
      <w:r w:rsidR="00CC5AFC" w:rsidRPr="006062A6">
        <w:rPr>
          <w:rFonts w:ascii="標楷體" w:eastAsia="標楷體" w:hAnsi="標楷體" w:cs="標楷體" w:hint="eastAsia"/>
          <w:bCs/>
          <w:color w:val="000000" w:themeColor="text1"/>
          <w:szCs w:val="32"/>
        </w:rPr>
        <w:t>計價之各期物價調整金額，業於114年2月估驗</w:t>
      </w:r>
      <w:proofErr w:type="gramStart"/>
      <w:r w:rsidR="00CC5AFC" w:rsidRPr="006062A6">
        <w:rPr>
          <w:rFonts w:ascii="標楷體" w:eastAsia="標楷體" w:hAnsi="標楷體" w:cs="標楷體" w:hint="eastAsia"/>
          <w:bCs/>
          <w:color w:val="000000" w:themeColor="text1"/>
          <w:szCs w:val="32"/>
        </w:rPr>
        <w:t>計價扣回溢</w:t>
      </w:r>
      <w:proofErr w:type="gramEnd"/>
      <w:r w:rsidR="00CC5AFC" w:rsidRPr="006062A6">
        <w:rPr>
          <w:rFonts w:ascii="標楷體" w:eastAsia="標楷體" w:hAnsi="標楷體" w:cs="標楷體" w:hint="eastAsia"/>
          <w:bCs/>
          <w:color w:val="000000" w:themeColor="text1"/>
          <w:szCs w:val="32"/>
        </w:rPr>
        <w:t>付款項共計1,393萬餘元；2.已於113年3月15日</w:t>
      </w:r>
      <w:proofErr w:type="gramStart"/>
      <w:r w:rsidR="00CC5AFC" w:rsidRPr="006062A6">
        <w:rPr>
          <w:rFonts w:ascii="標楷體" w:eastAsia="標楷體" w:hAnsi="標楷體" w:cs="標楷體" w:hint="eastAsia"/>
          <w:bCs/>
          <w:color w:val="000000" w:themeColor="text1"/>
          <w:szCs w:val="32"/>
        </w:rPr>
        <w:t>將溢列不計</w:t>
      </w:r>
      <w:proofErr w:type="gramEnd"/>
      <w:r w:rsidR="00CC5AFC" w:rsidRPr="006062A6">
        <w:rPr>
          <w:rFonts w:ascii="標楷體" w:eastAsia="標楷體" w:hAnsi="標楷體" w:cs="標楷體" w:hint="eastAsia"/>
          <w:bCs/>
          <w:color w:val="000000" w:themeColor="text1"/>
          <w:szCs w:val="32"/>
        </w:rPr>
        <w:t>工期天數50.5天全部追回；3.外露鋼材</w:t>
      </w:r>
      <w:r w:rsidR="00CC5AFC" w:rsidRPr="0033093A">
        <w:rPr>
          <w:rFonts w:ascii="標楷體" w:eastAsia="標楷體" w:hAnsi="標楷體" w:cs="標楷體" w:hint="eastAsia"/>
          <w:bCs/>
          <w:color w:val="000000" w:themeColor="text1"/>
          <w:spacing w:val="2"/>
          <w:szCs w:val="32"/>
        </w:rPr>
        <w:t>未以熱浸鍍鋅進行防</w:t>
      </w:r>
      <w:proofErr w:type="gramStart"/>
      <w:r w:rsidR="00CC5AFC" w:rsidRPr="0033093A">
        <w:rPr>
          <w:rFonts w:ascii="標楷體" w:eastAsia="標楷體" w:hAnsi="標楷體" w:cs="標楷體" w:hint="eastAsia"/>
          <w:bCs/>
          <w:color w:val="000000" w:themeColor="text1"/>
          <w:spacing w:val="2"/>
          <w:szCs w:val="32"/>
        </w:rPr>
        <w:t>銹</w:t>
      </w:r>
      <w:proofErr w:type="gramEnd"/>
      <w:r w:rsidR="00CC5AFC" w:rsidRPr="0033093A">
        <w:rPr>
          <w:rFonts w:ascii="標楷體" w:eastAsia="標楷體" w:hAnsi="標楷體" w:cs="標楷體" w:hint="eastAsia"/>
          <w:bCs/>
          <w:color w:val="000000" w:themeColor="text1"/>
          <w:spacing w:val="2"/>
          <w:szCs w:val="32"/>
        </w:rPr>
        <w:t>處理部分，已於113年10月23日結算與原契約差異金額172萬餘元，</w:t>
      </w:r>
      <w:r w:rsidR="00CC5AFC" w:rsidRPr="006062A6">
        <w:rPr>
          <w:rFonts w:ascii="標楷體" w:eastAsia="標楷體" w:hAnsi="標楷體" w:cs="標楷體" w:hint="eastAsia"/>
          <w:bCs/>
          <w:color w:val="000000" w:themeColor="text1"/>
          <w:szCs w:val="32"/>
        </w:rPr>
        <w:t>後續將於驗收階段</w:t>
      </w:r>
      <w:proofErr w:type="gramStart"/>
      <w:r w:rsidR="00CC5AFC" w:rsidRPr="006062A6">
        <w:rPr>
          <w:rFonts w:ascii="標楷體" w:eastAsia="標楷體" w:hAnsi="標楷體" w:cs="標楷體" w:hint="eastAsia"/>
          <w:bCs/>
          <w:color w:val="000000" w:themeColor="text1"/>
          <w:szCs w:val="32"/>
        </w:rPr>
        <w:t>採</w:t>
      </w:r>
      <w:proofErr w:type="gramEnd"/>
      <w:r w:rsidR="00CC5AFC" w:rsidRPr="006062A6">
        <w:rPr>
          <w:rFonts w:ascii="標楷體" w:eastAsia="標楷體" w:hAnsi="標楷體" w:cs="標楷體" w:hint="eastAsia"/>
          <w:bCs/>
          <w:color w:val="000000" w:themeColor="text1"/>
          <w:szCs w:val="32"/>
        </w:rPr>
        <w:t>減價收受辦理；另</w:t>
      </w:r>
      <w:r w:rsidR="00CC5AFC">
        <w:rPr>
          <w:rFonts w:ascii="標楷體" w:eastAsia="標楷體" w:hAnsi="標楷體" w:cs="標楷體" w:hint="eastAsia"/>
          <w:bCs/>
          <w:color w:val="000000" w:themeColor="text1"/>
          <w:szCs w:val="32"/>
        </w:rPr>
        <w:t>機電主任缺額，</w:t>
      </w:r>
      <w:r w:rsidR="00CC5AFC" w:rsidRPr="006062A6">
        <w:rPr>
          <w:rFonts w:ascii="標楷體" w:eastAsia="標楷體" w:hAnsi="標楷體" w:cs="標楷體" w:hint="eastAsia"/>
          <w:bCs/>
          <w:color w:val="000000" w:themeColor="text1"/>
          <w:szCs w:val="32"/>
        </w:rPr>
        <w:t>於113年9月23日</w:t>
      </w:r>
      <w:proofErr w:type="gramStart"/>
      <w:r w:rsidR="00CC5AFC" w:rsidRPr="006062A6">
        <w:rPr>
          <w:rFonts w:ascii="標楷體" w:eastAsia="標楷體" w:hAnsi="標楷體" w:cs="標楷體" w:hint="eastAsia"/>
          <w:bCs/>
          <w:color w:val="000000" w:themeColor="text1"/>
          <w:szCs w:val="32"/>
        </w:rPr>
        <w:t>計罰統</w:t>
      </w:r>
      <w:proofErr w:type="gramEnd"/>
      <w:r w:rsidR="00CC5AFC" w:rsidRPr="006062A6">
        <w:rPr>
          <w:rFonts w:ascii="標楷體" w:eastAsia="標楷體" w:hAnsi="標楷體" w:cs="標楷體" w:hint="eastAsia"/>
          <w:bCs/>
          <w:color w:val="000000" w:themeColor="text1"/>
          <w:szCs w:val="32"/>
        </w:rPr>
        <w:t>包廠商252萬元，並依</w:t>
      </w:r>
      <w:r w:rsidR="00CC5AFC">
        <w:rPr>
          <w:rFonts w:ascii="標楷體" w:eastAsia="標楷體" w:hAnsi="標楷體" w:cs="標楷體" w:hint="eastAsia"/>
          <w:bCs/>
          <w:color w:val="000000" w:themeColor="text1"/>
          <w:szCs w:val="32"/>
        </w:rPr>
        <w:t>契約規定</w:t>
      </w:r>
      <w:r w:rsidR="00CC5AFC" w:rsidRPr="006062A6">
        <w:rPr>
          <w:rFonts w:ascii="標楷體" w:eastAsia="標楷體" w:hAnsi="標楷體" w:cs="標楷體" w:hint="eastAsia"/>
          <w:bCs/>
          <w:color w:val="000000" w:themeColor="text1"/>
          <w:szCs w:val="32"/>
        </w:rPr>
        <w:t>檢討專案管理（含監造）廠商及統包廠商前開各項違失責任，共計扣罰4萬餘元，又專案管理（含監造）廠商部分，亦將依「臺北市政府委託技術服務履約績效管理要點」履約績效</w:t>
      </w:r>
      <w:proofErr w:type="gramStart"/>
      <w:r w:rsidR="00CC5AFC" w:rsidRPr="006062A6">
        <w:rPr>
          <w:rFonts w:ascii="標楷體" w:eastAsia="標楷體" w:hAnsi="標楷體" w:cs="標楷體" w:hint="eastAsia"/>
          <w:bCs/>
          <w:color w:val="000000" w:themeColor="text1"/>
          <w:szCs w:val="32"/>
        </w:rPr>
        <w:t>評量表各評量</w:t>
      </w:r>
      <w:proofErr w:type="gramEnd"/>
      <w:r w:rsidR="00CC5AFC" w:rsidRPr="006062A6">
        <w:rPr>
          <w:rFonts w:ascii="標楷體" w:eastAsia="標楷體" w:hAnsi="標楷體" w:cs="標楷體" w:hint="eastAsia"/>
          <w:bCs/>
          <w:color w:val="000000" w:themeColor="text1"/>
          <w:szCs w:val="32"/>
        </w:rPr>
        <w:t>項目按實際疏漏情形予以扣分。</w:t>
      </w:r>
    </w:p>
    <w:p w14:paraId="73B0FB9F" w14:textId="50027F82" w:rsidR="00CC5AFC" w:rsidRDefault="00CC5AFC" w:rsidP="00FB1A40">
      <w:pPr>
        <w:spacing w:beforeLines="50" w:before="180" w:line="460" w:lineRule="exact"/>
        <w:ind w:firstLineChars="100" w:firstLine="280"/>
        <w:jc w:val="both"/>
        <w:rPr>
          <w:rFonts w:ascii="標楷體" w:eastAsia="標楷體" w:hAnsi="標楷體"/>
          <w:b/>
          <w:sz w:val="28"/>
          <w:szCs w:val="28"/>
        </w:rPr>
      </w:pPr>
      <w:r w:rsidRPr="006F3276">
        <w:rPr>
          <w:rFonts w:ascii="標楷體" w:eastAsia="標楷體" w:hint="eastAsia"/>
          <w:b/>
          <w:sz w:val="28"/>
          <w:szCs w:val="28"/>
        </w:rPr>
        <w:t>（</w:t>
      </w:r>
      <w:r>
        <w:rPr>
          <w:rFonts w:ascii="標楷體" w:eastAsia="標楷體" w:hint="eastAsia"/>
          <w:b/>
          <w:sz w:val="28"/>
          <w:szCs w:val="28"/>
        </w:rPr>
        <w:t>九</w:t>
      </w:r>
      <w:r w:rsidRPr="006F3276">
        <w:rPr>
          <w:rFonts w:ascii="標楷體" w:eastAsia="標楷體" w:hint="eastAsia"/>
          <w:b/>
          <w:sz w:val="28"/>
          <w:szCs w:val="28"/>
        </w:rPr>
        <w:t>）</w:t>
      </w:r>
      <w:r w:rsidRPr="007F2B4B">
        <w:rPr>
          <w:rFonts w:ascii="標楷體" w:eastAsia="標楷體" w:hAnsi="標楷體"/>
          <w:b/>
          <w:sz w:val="28"/>
          <w:szCs w:val="28"/>
        </w:rPr>
        <w:t>為</w:t>
      </w:r>
      <w:r w:rsidRPr="00B8091D">
        <w:rPr>
          <w:rFonts w:ascii="標楷體" w:eastAsia="標楷體" w:hAnsi="標楷體" w:hint="eastAsia"/>
          <w:b/>
          <w:sz w:val="28"/>
          <w:szCs w:val="28"/>
        </w:rPr>
        <w:t>維護</w:t>
      </w:r>
      <w:proofErr w:type="gramStart"/>
      <w:r w:rsidRPr="00B8091D">
        <w:rPr>
          <w:rFonts w:ascii="標楷體" w:eastAsia="標楷體" w:hAnsi="標楷體" w:hint="eastAsia"/>
          <w:b/>
          <w:sz w:val="28"/>
          <w:szCs w:val="28"/>
        </w:rPr>
        <w:t>臺</w:t>
      </w:r>
      <w:proofErr w:type="gramEnd"/>
      <w:r w:rsidRPr="00B8091D">
        <w:rPr>
          <w:rFonts w:ascii="標楷體" w:eastAsia="標楷體" w:hAnsi="標楷體" w:hint="eastAsia"/>
          <w:b/>
          <w:sz w:val="28"/>
          <w:szCs w:val="28"/>
        </w:rPr>
        <w:t>北都會區大眾捷運系統營運品質</w:t>
      </w:r>
      <w:r>
        <w:rPr>
          <w:rFonts w:ascii="標楷體" w:eastAsia="標楷體" w:hAnsi="標楷體" w:hint="eastAsia"/>
          <w:b/>
          <w:sz w:val="28"/>
          <w:szCs w:val="28"/>
        </w:rPr>
        <w:t>，</w:t>
      </w:r>
      <w:r w:rsidRPr="00B8091D">
        <w:rPr>
          <w:rFonts w:ascii="標楷體" w:eastAsia="標楷體" w:hAnsi="標楷體" w:hint="eastAsia"/>
          <w:b/>
          <w:sz w:val="28"/>
          <w:szCs w:val="28"/>
        </w:rPr>
        <w:t>定期採</w:t>
      </w:r>
      <w:r>
        <w:rPr>
          <w:rFonts w:ascii="標楷體" w:eastAsia="標楷體" w:hAnsi="標楷體" w:hint="eastAsia"/>
          <w:b/>
          <w:sz w:val="28"/>
          <w:szCs w:val="28"/>
        </w:rPr>
        <w:t>購</w:t>
      </w:r>
      <w:r w:rsidRPr="00B8091D">
        <w:rPr>
          <w:rFonts w:ascii="標楷體" w:eastAsia="標楷體" w:hAnsi="標楷體" w:hint="eastAsia"/>
          <w:b/>
          <w:sz w:val="28"/>
          <w:szCs w:val="28"/>
        </w:rPr>
        <w:t>原廠維修備品</w:t>
      </w:r>
      <w:r>
        <w:rPr>
          <w:rFonts w:ascii="標楷體" w:eastAsia="標楷體" w:hAnsi="標楷體" w:hint="eastAsia"/>
          <w:b/>
          <w:sz w:val="28"/>
          <w:szCs w:val="28"/>
        </w:rPr>
        <w:t>以利設備損耗或故障時即時更換</w:t>
      </w:r>
      <w:r w:rsidRPr="00B8091D">
        <w:rPr>
          <w:rFonts w:ascii="標楷體" w:eastAsia="標楷體" w:hAnsi="標楷體" w:hint="eastAsia"/>
          <w:b/>
          <w:sz w:val="28"/>
          <w:szCs w:val="28"/>
        </w:rPr>
        <w:t>，</w:t>
      </w:r>
      <w:r>
        <w:rPr>
          <w:rFonts w:ascii="標楷體" w:eastAsia="標楷體" w:hAnsi="標楷體" w:hint="eastAsia"/>
          <w:b/>
          <w:sz w:val="28"/>
          <w:szCs w:val="28"/>
        </w:rPr>
        <w:t>惟對於廠商提供</w:t>
      </w:r>
      <w:r w:rsidRPr="00C32954">
        <w:rPr>
          <w:rFonts w:ascii="標楷體" w:eastAsia="標楷體" w:hAnsi="標楷體" w:hint="eastAsia"/>
          <w:b/>
          <w:sz w:val="28"/>
          <w:szCs w:val="28"/>
        </w:rPr>
        <w:t>進口貨</w:t>
      </w:r>
      <w:r>
        <w:rPr>
          <w:rFonts w:ascii="標楷體" w:eastAsia="標楷體" w:hAnsi="標楷體" w:hint="eastAsia"/>
          <w:b/>
          <w:sz w:val="28"/>
          <w:szCs w:val="28"/>
        </w:rPr>
        <w:t>品來源證明之契約規範及履約執行未</w:t>
      </w:r>
      <w:proofErr w:type="gramStart"/>
      <w:r>
        <w:rPr>
          <w:rFonts w:ascii="標楷體" w:eastAsia="標楷體" w:hAnsi="標楷體" w:hint="eastAsia"/>
          <w:b/>
          <w:sz w:val="28"/>
          <w:szCs w:val="28"/>
        </w:rPr>
        <w:t>臻</w:t>
      </w:r>
      <w:proofErr w:type="gramEnd"/>
      <w:r>
        <w:rPr>
          <w:rFonts w:ascii="標楷體" w:eastAsia="標楷體" w:hAnsi="標楷體" w:hint="eastAsia"/>
          <w:b/>
          <w:sz w:val="28"/>
          <w:szCs w:val="28"/>
        </w:rPr>
        <w:t>妥適，且部分案件驗收作業亦有</w:t>
      </w:r>
      <w:proofErr w:type="gramStart"/>
      <w:r>
        <w:rPr>
          <w:rFonts w:ascii="標楷體" w:eastAsia="標楷體" w:hAnsi="標楷體" w:hint="eastAsia"/>
          <w:b/>
          <w:sz w:val="28"/>
          <w:szCs w:val="28"/>
        </w:rPr>
        <w:t>未周，</w:t>
      </w:r>
      <w:proofErr w:type="gramEnd"/>
      <w:r>
        <w:rPr>
          <w:rFonts w:ascii="標楷體" w:eastAsia="標楷體" w:hAnsi="標楷體" w:hint="eastAsia"/>
          <w:b/>
          <w:sz w:val="28"/>
          <w:szCs w:val="28"/>
        </w:rPr>
        <w:t>亟待檢討改進。</w:t>
      </w:r>
    </w:p>
    <w:p w14:paraId="260621B4" w14:textId="5CA1A4BD" w:rsidR="00FB1A40" w:rsidRDefault="00660AF8" w:rsidP="00FB1A40">
      <w:pPr>
        <w:spacing w:beforeLines="10" w:before="36" w:line="400" w:lineRule="exact"/>
        <w:ind w:firstLineChars="200" w:firstLine="480"/>
        <w:jc w:val="both"/>
        <w:rPr>
          <w:rFonts w:ascii="標楷體" w:eastAsia="標楷體" w:hAnsi="標楷體"/>
        </w:rPr>
      </w:pPr>
      <w:r w:rsidRPr="006062A6">
        <w:rPr>
          <w:rFonts w:ascii="標楷體" w:eastAsia="標楷體" w:hAnsi="標楷體" w:cs="標楷體" w:hint="eastAsia"/>
          <w:bCs/>
          <w:color w:val="000000" w:themeColor="text1"/>
          <w:szCs w:val="32"/>
        </w:rPr>
        <w:t>捷運公司</w:t>
      </w:r>
      <w:r w:rsidRPr="00970724">
        <w:rPr>
          <w:rFonts w:ascii="標楷體" w:eastAsia="標楷體" w:hAnsi="標楷體" w:hint="eastAsia"/>
          <w:color w:val="000000" w:themeColor="text1"/>
        </w:rPr>
        <w:t>為維護</w:t>
      </w:r>
      <w:proofErr w:type="gramStart"/>
      <w:r w:rsidRPr="00970724">
        <w:rPr>
          <w:rFonts w:ascii="標楷體" w:eastAsia="標楷體" w:hAnsi="標楷體" w:hint="eastAsia"/>
          <w:color w:val="000000" w:themeColor="text1"/>
        </w:rPr>
        <w:t>臺</w:t>
      </w:r>
      <w:proofErr w:type="gramEnd"/>
      <w:r w:rsidRPr="00970724">
        <w:rPr>
          <w:rFonts w:ascii="標楷體" w:eastAsia="標楷體" w:hAnsi="標楷體" w:hint="eastAsia"/>
          <w:color w:val="000000" w:themeColor="text1"/>
        </w:rPr>
        <w:t>北都會區大眾捷運系統營運品質，定期採購外國廠商提供之原廠維修備品，以供捷運系統機組零件損耗過度或故障時得以立即維修更換，確</w:t>
      </w:r>
      <w:r w:rsidRPr="003A133E">
        <w:rPr>
          <w:rFonts w:ascii="標楷體" w:eastAsia="標楷體" w:hAnsi="標楷體" w:hint="eastAsia"/>
        </w:rPr>
        <w:t>保捷運系統</w:t>
      </w:r>
      <w:r>
        <w:rPr>
          <w:rFonts w:ascii="標楷體" w:eastAsia="標楷體" w:hAnsi="標楷體" w:hint="eastAsia"/>
        </w:rPr>
        <w:t>運作</w:t>
      </w:r>
      <w:r w:rsidRPr="003A133E">
        <w:rPr>
          <w:rFonts w:ascii="標楷體" w:eastAsia="標楷體" w:hAnsi="標楷體" w:hint="eastAsia"/>
        </w:rPr>
        <w:t>穩定度。經抽查該公司109至112年度辦理23件</w:t>
      </w:r>
      <w:r>
        <w:rPr>
          <w:rFonts w:ascii="標楷體" w:eastAsia="標楷體" w:hAnsi="標楷體" w:hint="eastAsia"/>
        </w:rPr>
        <w:t>維修備品</w:t>
      </w:r>
      <w:r w:rsidRPr="003A133E">
        <w:rPr>
          <w:rFonts w:ascii="標楷體" w:eastAsia="標楷體" w:hAnsi="標楷體" w:hint="eastAsia"/>
        </w:rPr>
        <w:t>財物採購，決標金額合計2億789萬餘元，</w:t>
      </w:r>
      <w:r>
        <w:rPr>
          <w:rFonts w:ascii="標楷體" w:eastAsia="標楷體" w:hAnsi="標楷體" w:hint="eastAsia"/>
        </w:rPr>
        <w:t>其執行情形，</w:t>
      </w:r>
      <w:r w:rsidRPr="003A133E">
        <w:rPr>
          <w:rFonts w:ascii="標楷體" w:eastAsia="標楷體" w:hAnsi="標楷體" w:hint="eastAsia"/>
        </w:rPr>
        <w:t>核有：1</w:t>
      </w:r>
      <w:r w:rsidRPr="003A133E">
        <w:rPr>
          <w:rFonts w:ascii="標楷體" w:eastAsia="標楷體" w:hAnsi="標楷體"/>
        </w:rPr>
        <w:t>.辦理「370型電子聯結器銷</w:t>
      </w:r>
      <w:proofErr w:type="gramStart"/>
      <w:r w:rsidRPr="003A133E">
        <w:rPr>
          <w:rFonts w:ascii="標楷體" w:eastAsia="標楷體" w:hAnsi="標楷體"/>
        </w:rPr>
        <w:t>座等</w:t>
      </w:r>
      <w:proofErr w:type="gramEnd"/>
      <w:r w:rsidRPr="003A133E">
        <w:rPr>
          <w:rFonts w:ascii="標楷體" w:eastAsia="標楷體" w:hAnsi="標楷體"/>
        </w:rPr>
        <w:t>4項採購</w:t>
      </w:r>
      <w:proofErr w:type="gramStart"/>
      <w:r w:rsidRPr="003A133E">
        <w:rPr>
          <w:rFonts w:ascii="標楷體" w:eastAsia="標楷體" w:hAnsi="標楷體" w:hint="eastAsia"/>
        </w:rPr>
        <w:t>（</w:t>
      </w:r>
      <w:proofErr w:type="gramEnd"/>
      <w:r w:rsidRPr="003A133E">
        <w:rPr>
          <w:rFonts w:ascii="標楷體" w:eastAsia="標楷體" w:hAnsi="標楷體"/>
        </w:rPr>
        <w:t>案號：C08A04814</w:t>
      </w:r>
      <w:proofErr w:type="gramStart"/>
      <w:r w:rsidRPr="003A133E">
        <w:rPr>
          <w:rFonts w:ascii="標楷體" w:eastAsia="標楷體" w:hAnsi="標楷體" w:hint="eastAsia"/>
        </w:rPr>
        <w:t>）</w:t>
      </w:r>
      <w:proofErr w:type="gramEnd"/>
      <w:r w:rsidRPr="003A133E">
        <w:rPr>
          <w:rFonts w:ascii="標楷體" w:eastAsia="標楷體" w:hAnsi="標楷體"/>
        </w:rPr>
        <w:t>」等18件採購案，於契約規定廠商應以切</w:t>
      </w:r>
      <w:proofErr w:type="gramStart"/>
      <w:r w:rsidRPr="003A133E">
        <w:rPr>
          <w:rFonts w:ascii="標楷體" w:eastAsia="標楷體" w:hAnsi="標楷體"/>
        </w:rPr>
        <w:t>結書</w:t>
      </w:r>
      <w:r w:rsidRPr="003A133E">
        <w:rPr>
          <w:rFonts w:ascii="標楷體" w:eastAsia="標楷體" w:hAnsi="標楷體" w:hint="eastAsia"/>
        </w:rPr>
        <w:t>切結</w:t>
      </w:r>
      <w:proofErr w:type="gramEnd"/>
      <w:r w:rsidRPr="003A133E">
        <w:rPr>
          <w:rFonts w:ascii="標楷體" w:eastAsia="標楷體" w:hAnsi="標楷體"/>
        </w:rPr>
        <w:t>進口貨物係用於</w:t>
      </w:r>
      <w:r w:rsidRPr="003A133E">
        <w:rPr>
          <w:rFonts w:ascii="標楷體" w:eastAsia="標楷體" w:hAnsi="標楷體" w:hint="eastAsia"/>
        </w:rPr>
        <w:t>各該</w:t>
      </w:r>
      <w:r w:rsidRPr="003A133E">
        <w:rPr>
          <w:rFonts w:ascii="標楷體" w:eastAsia="標楷體" w:hAnsi="標楷體"/>
        </w:rPr>
        <w:t>案</w:t>
      </w:r>
      <w:r w:rsidRPr="003A133E">
        <w:rPr>
          <w:rFonts w:ascii="標楷體" w:eastAsia="標楷體" w:hAnsi="標楷體" w:hint="eastAsia"/>
        </w:rPr>
        <w:t>件</w:t>
      </w:r>
      <w:r w:rsidRPr="003A133E">
        <w:rPr>
          <w:rFonts w:ascii="標楷體" w:eastAsia="標楷體" w:hAnsi="標楷體"/>
        </w:rPr>
        <w:t>，</w:t>
      </w:r>
      <w:r w:rsidRPr="003A133E">
        <w:rPr>
          <w:rFonts w:ascii="標楷體" w:eastAsia="標楷體" w:hAnsi="標楷體" w:hint="eastAsia"/>
        </w:rPr>
        <w:t>而無須提出其證明文件，</w:t>
      </w:r>
      <w:r w:rsidRPr="003A133E">
        <w:rPr>
          <w:rFonts w:ascii="標楷體" w:eastAsia="標楷體" w:hAnsi="標楷體"/>
        </w:rPr>
        <w:t>導致</w:t>
      </w:r>
      <w:r>
        <w:rPr>
          <w:rFonts w:ascii="標楷體" w:eastAsia="標楷體" w:hAnsi="標楷體" w:hint="eastAsia"/>
        </w:rPr>
        <w:t>對</w:t>
      </w:r>
      <w:r w:rsidRPr="003A133E">
        <w:rPr>
          <w:rFonts w:ascii="標楷體" w:eastAsia="標楷體" w:hAnsi="標楷體"/>
        </w:rPr>
        <w:t>廠商</w:t>
      </w:r>
      <w:r>
        <w:rPr>
          <w:rFonts w:ascii="標楷體" w:eastAsia="標楷體" w:hAnsi="標楷體" w:hint="eastAsia"/>
        </w:rPr>
        <w:t>所</w:t>
      </w:r>
      <w:r w:rsidRPr="003A133E">
        <w:rPr>
          <w:rFonts w:ascii="標楷體" w:eastAsia="標楷體" w:hAnsi="標楷體"/>
        </w:rPr>
        <w:t>交貨</w:t>
      </w:r>
      <w:r>
        <w:rPr>
          <w:rFonts w:ascii="標楷體" w:eastAsia="標楷體" w:hAnsi="標楷體" w:hint="eastAsia"/>
        </w:rPr>
        <w:t>品</w:t>
      </w:r>
      <w:r w:rsidRPr="003A133E">
        <w:rPr>
          <w:rFonts w:ascii="標楷體" w:eastAsia="標楷體" w:hAnsi="標楷體"/>
        </w:rPr>
        <w:t>無法聯結</w:t>
      </w:r>
      <w:proofErr w:type="gramStart"/>
      <w:r w:rsidRPr="003A133E">
        <w:rPr>
          <w:rFonts w:ascii="標楷體" w:eastAsia="標楷體" w:hAnsi="標楷體"/>
        </w:rPr>
        <w:t>完整商源</w:t>
      </w:r>
      <w:proofErr w:type="gramEnd"/>
      <w:r w:rsidRPr="003A133E">
        <w:rPr>
          <w:rFonts w:ascii="標楷體" w:eastAsia="標楷體" w:hAnsi="標楷體"/>
        </w:rPr>
        <w:t>關係，衍生供貨來源疑義；</w:t>
      </w:r>
      <w:r w:rsidRPr="003A133E">
        <w:rPr>
          <w:rFonts w:ascii="標楷體" w:eastAsia="標楷體" w:hAnsi="標楷體" w:hint="eastAsia"/>
        </w:rPr>
        <w:t>2.</w:t>
      </w:r>
      <w:r w:rsidRPr="003A133E">
        <w:rPr>
          <w:rFonts w:ascii="標楷體" w:eastAsia="標楷體" w:hAnsi="標楷體"/>
        </w:rPr>
        <w:t>辦理「行走輪鋼圈採購</w:t>
      </w:r>
      <w:proofErr w:type="gramStart"/>
      <w:r w:rsidRPr="003A133E">
        <w:rPr>
          <w:rFonts w:ascii="標楷體" w:eastAsia="標楷體" w:hAnsi="標楷體" w:hint="eastAsia"/>
        </w:rPr>
        <w:t>（</w:t>
      </w:r>
      <w:proofErr w:type="gramEnd"/>
      <w:r w:rsidRPr="003A133E">
        <w:rPr>
          <w:rFonts w:ascii="標楷體" w:eastAsia="標楷體" w:hAnsi="標楷體"/>
        </w:rPr>
        <w:t>案號：</w:t>
      </w:r>
      <w:r w:rsidR="00CC5AFC" w:rsidRPr="003A133E">
        <w:rPr>
          <w:rFonts w:ascii="標楷體" w:eastAsia="標楷體" w:hAnsi="標楷體"/>
        </w:rPr>
        <w:t>C11A06106</w:t>
      </w:r>
      <w:proofErr w:type="gramStart"/>
      <w:r w:rsidR="00CC5AFC" w:rsidRPr="003A133E">
        <w:rPr>
          <w:rFonts w:ascii="標楷體" w:eastAsia="標楷體" w:hAnsi="標楷體" w:hint="eastAsia"/>
        </w:rPr>
        <w:t>）</w:t>
      </w:r>
      <w:proofErr w:type="gramEnd"/>
      <w:r w:rsidR="00CC5AFC" w:rsidRPr="003A133E">
        <w:rPr>
          <w:rFonts w:ascii="標楷體" w:eastAsia="標楷體" w:hAnsi="標楷體"/>
        </w:rPr>
        <w:t>」等2件採購案，廠商出具切</w:t>
      </w:r>
      <w:proofErr w:type="gramStart"/>
      <w:r w:rsidR="00CC5AFC" w:rsidRPr="003A133E">
        <w:rPr>
          <w:rFonts w:ascii="標楷體" w:eastAsia="標楷體" w:hAnsi="標楷體"/>
        </w:rPr>
        <w:t>結書切結</w:t>
      </w:r>
      <w:proofErr w:type="gramEnd"/>
      <w:r w:rsidR="00CC5AFC" w:rsidRPr="003A133E">
        <w:rPr>
          <w:rFonts w:ascii="標楷體" w:eastAsia="標楷體" w:hAnsi="標楷體"/>
        </w:rPr>
        <w:t>進口報單上之貨物係用於該案，</w:t>
      </w:r>
      <w:r w:rsidR="00CC5AFC" w:rsidRPr="003A133E">
        <w:rPr>
          <w:rFonts w:ascii="標楷體" w:eastAsia="標楷體" w:hAnsi="標楷體" w:hint="eastAsia"/>
        </w:rPr>
        <w:t>卻未出具其相關證明文件，核</w:t>
      </w:r>
      <w:r w:rsidR="00CC5AFC" w:rsidRPr="003A133E">
        <w:rPr>
          <w:rFonts w:ascii="標楷體" w:eastAsia="標楷體" w:hAnsi="標楷體"/>
        </w:rPr>
        <w:t>與契約</w:t>
      </w:r>
      <w:r w:rsidR="00CC5AFC" w:rsidRPr="003A133E">
        <w:rPr>
          <w:rFonts w:ascii="標楷體" w:eastAsia="標楷體" w:hAnsi="標楷體" w:hint="eastAsia"/>
        </w:rPr>
        <w:t>所訂「廠商應出具證明進口報單之貨物係用於本案之貨物」</w:t>
      </w:r>
      <w:r w:rsidR="00CC5AFC" w:rsidRPr="003A133E">
        <w:rPr>
          <w:rFonts w:ascii="標楷體" w:eastAsia="標楷體" w:hAnsi="標楷體"/>
        </w:rPr>
        <w:t>規定未合；</w:t>
      </w:r>
    </w:p>
    <w:p w14:paraId="67B20104" w14:textId="4EBE3BA4" w:rsidR="00CC5AFC" w:rsidRDefault="00FB1A40" w:rsidP="00FB1A40">
      <w:pPr>
        <w:spacing w:line="400" w:lineRule="exact"/>
        <w:jc w:val="both"/>
        <w:rPr>
          <w:rFonts w:ascii="標楷體" w:eastAsia="標楷體" w:hAnsi="標楷體"/>
          <w:color w:val="000000" w:themeColor="text1"/>
        </w:rPr>
      </w:pPr>
      <w:r w:rsidRPr="00BA2FCE">
        <w:rPr>
          <w:rFonts w:ascii="標楷體" w:eastAsia="標楷體" w:hAnsi="標楷體" w:cs="標楷體"/>
          <w:bCs/>
          <w:noProof/>
          <w:color w:val="000000" w:themeColor="text1"/>
          <w:szCs w:val="32"/>
        </w:rPr>
        <w:lastRenderedPageBreak/>
        <mc:AlternateContent>
          <mc:Choice Requires="wps">
            <w:drawing>
              <wp:anchor distT="45720" distB="45720" distL="114300" distR="114300" simplePos="0" relativeHeight="251774976" behindDoc="1" locked="0" layoutInCell="1" allowOverlap="1" wp14:anchorId="36B8C569" wp14:editId="59F064CC">
                <wp:simplePos x="0" y="0"/>
                <wp:positionH relativeFrom="column">
                  <wp:posOffset>4166870</wp:posOffset>
                </wp:positionH>
                <wp:positionV relativeFrom="page">
                  <wp:posOffset>902970</wp:posOffset>
                </wp:positionV>
                <wp:extent cx="2190750" cy="2244725"/>
                <wp:effectExtent l="0" t="0" r="0" b="3175"/>
                <wp:wrapTight wrapText="bothSides">
                  <wp:wrapPolygon edited="0">
                    <wp:start x="0" y="0"/>
                    <wp:lineTo x="0" y="21447"/>
                    <wp:lineTo x="21412" y="21447"/>
                    <wp:lineTo x="21412" y="0"/>
                    <wp:lineTo x="0" y="0"/>
                  </wp:wrapPolygon>
                </wp:wrapTight>
                <wp:docPr id="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0" cy="2244725"/>
                        </a:xfrm>
                        <a:prstGeom prst="rect">
                          <a:avLst/>
                        </a:prstGeom>
                        <a:solidFill>
                          <a:srgbClr val="FFFFFF"/>
                        </a:solidFill>
                        <a:ln w="9525">
                          <a:noFill/>
                          <a:miter lim="800000"/>
                          <a:headEnd/>
                          <a:tailEnd/>
                        </a:ln>
                      </wps:spPr>
                      <wps:txbx>
                        <w:txbxContent>
                          <w:p w14:paraId="625B5594" w14:textId="77777777" w:rsidR="00FB1A40" w:rsidRDefault="00FB1A40" w:rsidP="00FB1A40">
                            <w:pPr>
                              <w:jc w:val="center"/>
                            </w:pPr>
                            <w:r>
                              <w:rPr>
                                <w:noProof/>
                              </w:rPr>
                              <w:drawing>
                                <wp:inline distT="0" distB="0" distL="0" distR="0" wp14:anchorId="4A207E12" wp14:editId="1799B79C">
                                  <wp:extent cx="2095878" cy="1681480"/>
                                  <wp:effectExtent l="19050" t="19050" r="19050" b="13970"/>
                                  <wp:docPr id="108" name="Picture 12"/>
                                  <wp:cNvGraphicFramePr/>
                                  <a:graphic xmlns:a="http://schemas.openxmlformats.org/drawingml/2006/main">
                                    <a:graphicData uri="http://schemas.openxmlformats.org/drawingml/2006/picture">
                                      <pic:pic xmlns:pic="http://schemas.openxmlformats.org/drawingml/2006/picture">
                                        <pic:nvPicPr>
                                          <pic:cNvPr id="1" name="Picture 12"/>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97930" cy="1683127"/>
                                          </a:xfrm>
                                          <a:prstGeom prst="rect">
                                            <a:avLst/>
                                          </a:prstGeom>
                                          <a:noFill/>
                                          <a:ln>
                                            <a:solidFill>
                                              <a:schemeClr val="tx1"/>
                                            </a:solidFill>
                                          </a:ln>
                                        </pic:spPr>
                                      </pic:pic>
                                    </a:graphicData>
                                  </a:graphic>
                                </wp:inline>
                              </w:drawing>
                            </w:r>
                          </w:p>
                          <w:p w14:paraId="64EF024E" w14:textId="77777777" w:rsidR="00FB1A40" w:rsidRDefault="00FB1A40" w:rsidP="005E7522">
                            <w:pPr>
                              <w:spacing w:line="240" w:lineRule="exact"/>
                              <w:jc w:val="center"/>
                              <w:rPr>
                                <w:rFonts w:ascii="標楷體" w:eastAsia="標楷體" w:hAnsi="標楷體"/>
                                <w:b/>
                              </w:rPr>
                            </w:pPr>
                            <w:r>
                              <w:rPr>
                                <w:rFonts w:ascii="標楷體" w:eastAsia="標楷體" w:hAnsi="標楷體" w:hint="eastAsia"/>
                                <w:b/>
                              </w:rPr>
                              <w:t>電聯車</w:t>
                            </w:r>
                            <w:r w:rsidRPr="00C55741">
                              <w:rPr>
                                <w:rFonts w:ascii="標楷體" w:eastAsia="標楷體" w:hAnsi="標楷體" w:hint="eastAsia"/>
                                <w:b/>
                              </w:rPr>
                              <w:t>行走輪鋼圈</w:t>
                            </w:r>
                          </w:p>
                          <w:p w14:paraId="4038479F" w14:textId="77777777" w:rsidR="00FB1A40" w:rsidRPr="00BA2FCE" w:rsidRDefault="00FB1A40" w:rsidP="005E7522">
                            <w:pPr>
                              <w:spacing w:line="240" w:lineRule="exact"/>
                              <w:jc w:val="center"/>
                            </w:pPr>
                            <w:r w:rsidRPr="00EF7EC7">
                              <w:rPr>
                                <w:rFonts w:ascii="標楷體" w:eastAsia="標楷體" w:hAnsi="標楷體" w:hint="eastAsia"/>
                                <w:sz w:val="18"/>
                                <w:szCs w:val="18"/>
                              </w:rPr>
                              <w:t>(圖片來源：捷運公司提供)</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6B8C569" id="_x0000_s1096" type="#_x0000_t202" style="position:absolute;left:0;text-align:left;margin-left:328.1pt;margin-top:71.1pt;width:172.5pt;height:176.75pt;z-index:-251541504;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" stroked="f">
                <v:textbox inset="0,0,0,0">
                  <w:txbxContent>
                    <w:p w14:paraId="625B5594" w14:textId="77777777" w:rsidR="00FB1A40" w:rsidRDefault="00FB1A40" w:rsidP="00FB1A40">
                      <w:pPr>
                        <w:jc w:val="center"/>
                      </w:pPr>
                      <w:r>
                        <w:rPr>
                          <w:noProof/>
                        </w:rPr>
                        <w:drawing>
                          <wp:inline distT="0" distB="0" distL="0" distR="0" wp14:anchorId="4A207E12" wp14:editId="1799B79C">
                            <wp:extent cx="2095878" cy="1681480"/>
                            <wp:effectExtent l="19050" t="19050" r="19050" b="13970"/>
                            <wp:docPr id="108" name="Picture 12"/>
                            <wp:cNvGraphicFramePr/>
                            <a:graphic xmlns:a="http://schemas.openxmlformats.org/drawingml/2006/main">
                              <a:graphicData uri="http://schemas.openxmlformats.org/drawingml/2006/picture">
                                <pic:pic xmlns:pic="http://schemas.openxmlformats.org/drawingml/2006/picture">
                                  <pic:nvPicPr>
                                    <pic:cNvPr id="1" name="Picture 12"/>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97930" cy="1683127"/>
                                    </a:xfrm>
                                    <a:prstGeom prst="rect">
                                      <a:avLst/>
                                    </a:prstGeom>
                                    <a:noFill/>
                                    <a:ln>
                                      <a:solidFill>
                                        <a:schemeClr val="tx1"/>
                                      </a:solidFill>
                                    </a:ln>
                                  </pic:spPr>
                                </pic:pic>
                              </a:graphicData>
                            </a:graphic>
                          </wp:inline>
                        </w:drawing>
                      </w:r>
                    </w:p>
                    <w:p w14:paraId="64EF024E" w14:textId="77777777" w:rsidR="00FB1A40" w:rsidRDefault="00FB1A40" w:rsidP="005E7522">
                      <w:pPr>
                        <w:spacing w:line="240" w:lineRule="exact"/>
                        <w:jc w:val="center"/>
                        <w:rPr>
                          <w:rFonts w:ascii="標楷體" w:eastAsia="標楷體" w:hAnsi="標楷體"/>
                          <w:b/>
                        </w:rPr>
                      </w:pPr>
                      <w:r>
                        <w:rPr>
                          <w:rFonts w:ascii="標楷體" w:eastAsia="標楷體" w:hAnsi="標楷體" w:hint="eastAsia"/>
                          <w:b/>
                        </w:rPr>
                        <w:t>電聯車</w:t>
                      </w:r>
                      <w:r w:rsidRPr="00C55741">
                        <w:rPr>
                          <w:rFonts w:ascii="標楷體" w:eastAsia="標楷體" w:hAnsi="標楷體" w:hint="eastAsia"/>
                          <w:b/>
                        </w:rPr>
                        <w:t>行走輪鋼圈</w:t>
                      </w:r>
                    </w:p>
                    <w:p w14:paraId="4038479F" w14:textId="77777777" w:rsidR="00FB1A40" w:rsidRPr="00BA2FCE" w:rsidRDefault="00FB1A40" w:rsidP="005E7522">
                      <w:pPr>
                        <w:spacing w:line="240" w:lineRule="exact"/>
                        <w:jc w:val="center"/>
                      </w:pPr>
                      <w:r w:rsidRPr="00EF7EC7">
                        <w:rPr>
                          <w:rFonts w:ascii="標楷體" w:eastAsia="標楷體" w:hAnsi="標楷體" w:hint="eastAsia"/>
                          <w:sz w:val="18"/>
                          <w:szCs w:val="18"/>
                        </w:rPr>
                        <w:t>(圖片來源：捷運公司提供)</w:t>
                      </w:r>
                    </w:p>
                  </w:txbxContent>
                </v:textbox>
                <w10:wrap type="tight" anchory="page"/>
              </v:shape>
            </w:pict>
          </mc:Fallback>
        </mc:AlternateContent>
      </w:r>
      <w:r w:rsidR="00CC5AFC" w:rsidRPr="003A133E">
        <w:rPr>
          <w:rFonts w:ascii="標楷體" w:eastAsia="標楷體" w:hAnsi="標楷體" w:hint="eastAsia"/>
        </w:rPr>
        <w:t>3</w:t>
      </w:r>
      <w:r w:rsidR="00CC5AFC" w:rsidRPr="003A133E">
        <w:rPr>
          <w:rFonts w:ascii="標楷體" w:eastAsia="標楷體" w:hAnsi="標楷體"/>
        </w:rPr>
        <w:t>.辦理「CPU i7</w:t>
      </w:r>
      <w:r w:rsidR="005F740F">
        <w:rPr>
          <w:rFonts w:ascii="標楷體" w:eastAsia="標楷體" w:hAnsi="標楷體" w:hint="eastAsia"/>
        </w:rPr>
        <w:t>－</w:t>
      </w:r>
      <w:r w:rsidR="00CC5AFC" w:rsidRPr="003A133E">
        <w:rPr>
          <w:rFonts w:ascii="標楷體" w:eastAsia="標楷體" w:hAnsi="標楷體"/>
        </w:rPr>
        <w:t>2655LE 模組等31項採購</w:t>
      </w:r>
      <w:proofErr w:type="gramStart"/>
      <w:r w:rsidR="00CC5AFC" w:rsidRPr="003A133E">
        <w:rPr>
          <w:rFonts w:ascii="標楷體" w:eastAsia="標楷體" w:hAnsi="標楷體" w:hint="eastAsia"/>
        </w:rPr>
        <w:t>（</w:t>
      </w:r>
      <w:proofErr w:type="gramEnd"/>
      <w:r w:rsidR="00CC5AFC" w:rsidRPr="003A133E">
        <w:rPr>
          <w:rFonts w:ascii="標楷體" w:eastAsia="標楷體" w:hAnsi="標楷體"/>
        </w:rPr>
        <w:t>案號：C09C08128</w:t>
      </w:r>
      <w:proofErr w:type="gramStart"/>
      <w:r w:rsidR="00CC5AFC" w:rsidRPr="003A133E">
        <w:rPr>
          <w:rFonts w:ascii="標楷體" w:eastAsia="標楷體" w:hAnsi="標楷體" w:hint="eastAsia"/>
        </w:rPr>
        <w:t>）</w:t>
      </w:r>
      <w:proofErr w:type="gramEnd"/>
      <w:r w:rsidR="00CC5AFC" w:rsidRPr="003A133E">
        <w:rPr>
          <w:rFonts w:ascii="標楷體" w:eastAsia="標楷體" w:hAnsi="標楷體"/>
        </w:rPr>
        <w:t>」，</w:t>
      </w:r>
      <w:r w:rsidR="00CC5AFC" w:rsidRPr="003A133E">
        <w:rPr>
          <w:rFonts w:ascii="標楷體" w:eastAsia="標楷體" w:hAnsi="標楷體" w:hint="eastAsia"/>
        </w:rPr>
        <w:t>依契約規格說明書三、(二)、1.規定</w:t>
      </w:r>
      <w:r w:rsidR="00CC5AFC">
        <w:rPr>
          <w:rFonts w:ascii="標楷體" w:eastAsia="標楷體" w:hAnsi="標楷體" w:hint="eastAsia"/>
          <w:color w:val="000000" w:themeColor="text1"/>
        </w:rPr>
        <w:t>，</w:t>
      </w:r>
      <w:r w:rsidR="00CC5AFC" w:rsidRPr="000152EE">
        <w:rPr>
          <w:rFonts w:ascii="標楷體" w:eastAsia="標楷體" w:hAnsi="標楷體" w:hint="eastAsia"/>
          <w:color w:val="000000" w:themeColor="text1"/>
        </w:rPr>
        <w:t>廠商應於交貨時提供交貨日前</w:t>
      </w:r>
      <w:proofErr w:type="gramStart"/>
      <w:r w:rsidR="002235B0">
        <w:rPr>
          <w:rFonts w:ascii="標楷體" w:eastAsia="標楷體" w:hAnsi="標楷體" w:hint="eastAsia"/>
          <w:color w:val="000000" w:themeColor="text1"/>
        </w:rPr>
        <w:t>一</w:t>
      </w:r>
      <w:proofErr w:type="gramEnd"/>
      <w:r w:rsidR="00CC5AFC" w:rsidRPr="000152EE">
        <w:rPr>
          <w:rFonts w:ascii="標楷體" w:eastAsia="標楷體" w:hAnsi="標楷體" w:hint="eastAsia"/>
          <w:color w:val="000000" w:themeColor="text1"/>
        </w:rPr>
        <w:t>年內之原廠</w:t>
      </w:r>
      <w:r w:rsidR="00CC5AFC" w:rsidRPr="000152EE">
        <w:rPr>
          <w:rFonts w:ascii="標楷體" w:eastAsia="標楷體" w:hAnsi="標楷體"/>
          <w:color w:val="000000" w:themeColor="text1"/>
        </w:rPr>
        <w:t>Ansaldo STS</w:t>
      </w:r>
      <w:r w:rsidR="00CC5AFC" w:rsidRPr="000152EE">
        <w:rPr>
          <w:rFonts w:ascii="標楷體" w:eastAsia="標楷體" w:hAnsi="標楷體" w:hint="eastAsia"/>
          <w:color w:val="000000" w:themeColor="text1"/>
        </w:rPr>
        <w:t>或</w:t>
      </w:r>
      <w:r w:rsidR="00CC5AFC" w:rsidRPr="000152EE">
        <w:rPr>
          <w:rFonts w:ascii="標楷體" w:eastAsia="標楷體" w:hAnsi="標楷體"/>
          <w:color w:val="000000" w:themeColor="text1"/>
        </w:rPr>
        <w:t xml:space="preserve">Hitachi Rail STS </w:t>
      </w:r>
      <w:r w:rsidR="00CC5AFC" w:rsidRPr="000152EE">
        <w:rPr>
          <w:rFonts w:ascii="標楷體" w:eastAsia="標楷體" w:hAnsi="標楷體" w:hint="eastAsia"/>
          <w:color w:val="000000" w:themeColor="text1"/>
        </w:rPr>
        <w:t>製造或出廠證明文件，惟</w:t>
      </w:r>
      <w:r w:rsidR="00CC5AFC" w:rsidRPr="00970724">
        <w:rPr>
          <w:rFonts w:ascii="標楷體" w:eastAsia="標楷體" w:hAnsi="標楷體"/>
          <w:color w:val="000000" w:themeColor="text1"/>
        </w:rPr>
        <w:t>廠商提交之第2、3批驗收資料，缺漏電纜線、接頭等諸多配件係交貨日前1年內製造或出廠之原廠證明文件，仍</w:t>
      </w:r>
      <w:proofErr w:type="gramStart"/>
      <w:r w:rsidR="00CC5AFC" w:rsidRPr="00970724">
        <w:rPr>
          <w:rFonts w:ascii="標楷體" w:eastAsia="標楷體" w:hAnsi="標楷體"/>
          <w:color w:val="000000" w:themeColor="text1"/>
        </w:rPr>
        <w:t>予審</w:t>
      </w:r>
      <w:proofErr w:type="gramEnd"/>
      <w:r w:rsidR="00CC5AFC" w:rsidRPr="00970724">
        <w:rPr>
          <w:rFonts w:ascii="標楷體" w:eastAsia="標楷體" w:hAnsi="標楷體"/>
          <w:color w:val="000000" w:themeColor="text1"/>
        </w:rPr>
        <w:t>查通過並驗收合格等情事</w:t>
      </w:r>
      <w:r w:rsidR="00CC5AFC">
        <w:rPr>
          <w:rFonts w:ascii="標楷體" w:eastAsia="標楷體" w:hAnsi="標楷體" w:hint="eastAsia"/>
          <w:color w:val="000000" w:themeColor="text1"/>
        </w:rPr>
        <w:t>，經函請檢討改進。據復：</w:t>
      </w:r>
      <w:r w:rsidR="00CC5AFC">
        <w:rPr>
          <w:rFonts w:ascii="標楷體" w:eastAsia="標楷體" w:hAnsi="標楷體"/>
          <w:color w:val="000000" w:themeColor="text1"/>
        </w:rPr>
        <w:t>1</w:t>
      </w:r>
      <w:r w:rsidR="00CC5AFC" w:rsidRPr="00970724">
        <w:rPr>
          <w:rFonts w:ascii="標楷體" w:eastAsia="標楷體" w:hAnsi="標楷體"/>
          <w:color w:val="000000" w:themeColor="text1"/>
        </w:rPr>
        <w:t>.</w:t>
      </w:r>
      <w:r w:rsidR="00CC5AFC">
        <w:rPr>
          <w:rFonts w:ascii="標楷體" w:eastAsia="標楷體" w:hAnsi="標楷體" w:hint="eastAsia"/>
          <w:color w:val="000000" w:themeColor="text1"/>
        </w:rPr>
        <w:t>因曾有廠商反應</w:t>
      </w:r>
      <w:proofErr w:type="gramStart"/>
      <w:r w:rsidR="00CC5AFC">
        <w:rPr>
          <w:rFonts w:ascii="標楷體" w:eastAsia="標楷體" w:hAnsi="標楷體" w:hint="eastAsia"/>
          <w:color w:val="000000" w:themeColor="text1"/>
        </w:rPr>
        <w:t>商源須</w:t>
      </w:r>
      <w:proofErr w:type="gramEnd"/>
      <w:r w:rsidR="00CC5AFC">
        <w:rPr>
          <w:rFonts w:ascii="標楷體" w:eastAsia="標楷體" w:hAnsi="標楷體" w:hint="eastAsia"/>
          <w:color w:val="000000" w:themeColor="text1"/>
        </w:rPr>
        <w:t>保密等情況，</w:t>
      </w:r>
      <w:proofErr w:type="gramStart"/>
      <w:r w:rsidR="00CC5AFC">
        <w:rPr>
          <w:rFonts w:ascii="標楷體" w:eastAsia="標楷體" w:hAnsi="標楷體" w:hint="eastAsia"/>
          <w:color w:val="000000" w:themeColor="text1"/>
        </w:rPr>
        <w:t>爰</w:t>
      </w:r>
      <w:proofErr w:type="gramEnd"/>
      <w:r w:rsidR="00CC5AFC">
        <w:rPr>
          <w:rFonts w:ascii="標楷體" w:eastAsia="標楷體" w:hAnsi="標楷體" w:hint="eastAsia"/>
          <w:color w:val="000000" w:themeColor="text1"/>
        </w:rPr>
        <w:t>當時規範要求以出具切結書方式請廠商佐證貨源，</w:t>
      </w:r>
      <w:proofErr w:type="gramStart"/>
      <w:r w:rsidR="00CC5AFC">
        <w:rPr>
          <w:rFonts w:ascii="標楷體" w:eastAsia="標楷體" w:hAnsi="標楷體" w:hint="eastAsia"/>
          <w:color w:val="000000" w:themeColor="text1"/>
        </w:rPr>
        <w:t>嗣</w:t>
      </w:r>
      <w:proofErr w:type="gramEnd"/>
      <w:r w:rsidR="00CC5AFC">
        <w:rPr>
          <w:rFonts w:ascii="標楷體" w:eastAsia="標楷體" w:hAnsi="標楷體" w:hint="eastAsia"/>
          <w:color w:val="000000" w:themeColor="text1"/>
        </w:rPr>
        <w:t>經檢討後</w:t>
      </w:r>
      <w:r w:rsidR="00CC5AFC" w:rsidRPr="00970724">
        <w:rPr>
          <w:rFonts w:ascii="標楷體" w:eastAsia="標楷體" w:hAnsi="標楷體"/>
          <w:color w:val="000000" w:themeColor="text1"/>
        </w:rPr>
        <w:t>於111年4月22日將「規格說明書範本」中進口報單文件規定修</w:t>
      </w:r>
      <w:r w:rsidR="00CC5AFC">
        <w:rPr>
          <w:rFonts w:ascii="標楷體" w:eastAsia="標楷體" w:hAnsi="標楷體" w:hint="eastAsia"/>
          <w:color w:val="000000" w:themeColor="text1"/>
        </w:rPr>
        <w:t>改</w:t>
      </w:r>
      <w:r w:rsidR="00CC5AFC" w:rsidRPr="00970724">
        <w:rPr>
          <w:rFonts w:ascii="標楷體" w:eastAsia="標楷體" w:hAnsi="標楷體"/>
          <w:color w:val="000000" w:themeColor="text1"/>
        </w:rPr>
        <w:t>為</w:t>
      </w:r>
      <w:r w:rsidR="00CC5AFC" w:rsidRPr="00041009">
        <w:rPr>
          <w:rFonts w:ascii="標楷體" w:eastAsia="標楷體" w:hAnsi="標楷體" w:hint="eastAsia"/>
          <w:color w:val="000000" w:themeColor="text1"/>
        </w:rPr>
        <w:t>「若進口報單之納稅義務人非廠商，應出具證明其進口報單之貨物係用於本案之貨物」</w:t>
      </w:r>
      <w:r w:rsidR="00CC5AFC" w:rsidRPr="00970724">
        <w:rPr>
          <w:rFonts w:ascii="標楷體" w:eastAsia="標楷體" w:hAnsi="標楷體"/>
          <w:color w:val="000000" w:themeColor="text1"/>
        </w:rPr>
        <w:t>，</w:t>
      </w:r>
      <w:r w:rsidR="00CC5AFC">
        <w:rPr>
          <w:rFonts w:ascii="標楷體" w:eastAsia="標楷體" w:hAnsi="標楷體" w:hint="eastAsia"/>
          <w:color w:val="000000" w:themeColor="text1"/>
        </w:rPr>
        <w:t>另</w:t>
      </w:r>
      <w:r w:rsidR="00CC5AFC" w:rsidRPr="00041009">
        <w:rPr>
          <w:rFonts w:ascii="標楷體" w:eastAsia="標楷體" w:hAnsi="標楷體" w:hint="eastAsia"/>
          <w:color w:val="000000" w:themeColor="text1"/>
        </w:rPr>
        <w:t>「交換式直流電源模組</w:t>
      </w:r>
      <w:r w:rsidR="00CC5AFC" w:rsidRPr="00606D4C">
        <w:rPr>
          <w:rFonts w:ascii="標楷體" w:eastAsia="標楷體" w:hAnsi="標楷體" w:cs="標楷體" w:hint="eastAsia"/>
          <w:bCs/>
          <w:color w:val="000000" w:themeColor="text1"/>
          <w:szCs w:val="32"/>
        </w:rPr>
        <w:t>採購</w:t>
      </w:r>
      <w:r w:rsidR="00CC5AFC" w:rsidRPr="00041009">
        <w:rPr>
          <w:rFonts w:ascii="標楷體" w:eastAsia="標楷體" w:hAnsi="標楷體" w:hint="eastAsia"/>
          <w:color w:val="000000" w:themeColor="text1"/>
        </w:rPr>
        <w:t>(案號：C12A02827)」</w:t>
      </w:r>
      <w:r w:rsidR="00CC5AFC">
        <w:rPr>
          <w:rFonts w:ascii="標楷體" w:eastAsia="標楷體" w:hAnsi="標楷體" w:hint="eastAsia"/>
          <w:color w:val="000000" w:themeColor="text1"/>
        </w:rPr>
        <w:t>等</w:t>
      </w:r>
      <w:r w:rsidR="00CC5AFC" w:rsidRPr="00970724">
        <w:rPr>
          <w:rFonts w:ascii="標楷體" w:eastAsia="標楷體" w:hAnsi="標楷體"/>
          <w:color w:val="000000" w:themeColor="text1"/>
        </w:rPr>
        <w:t>4案決標日期於111年4月22日之</w:t>
      </w:r>
      <w:r w:rsidR="00CC5AFC" w:rsidRPr="003A133E">
        <w:rPr>
          <w:rFonts w:ascii="標楷體" w:eastAsia="標楷體" w:hAnsi="標楷體"/>
        </w:rPr>
        <w:t>後，不慎</w:t>
      </w:r>
      <w:r w:rsidR="00CC5AFC" w:rsidRPr="003A133E">
        <w:rPr>
          <w:rFonts w:ascii="標楷體" w:eastAsia="標楷體" w:hAnsi="標楷體" w:hint="eastAsia"/>
        </w:rPr>
        <w:t>誤</w:t>
      </w:r>
      <w:r w:rsidR="00CC5AFC" w:rsidRPr="003A133E">
        <w:rPr>
          <w:rFonts w:ascii="標楷體" w:eastAsia="標楷體" w:hAnsi="標楷體"/>
        </w:rPr>
        <w:t>用舊版招標文件規定，嗣後將</w:t>
      </w:r>
      <w:r w:rsidR="00CC5AFC" w:rsidRPr="003A133E">
        <w:rPr>
          <w:rFonts w:ascii="標楷體" w:eastAsia="標楷體" w:hAnsi="標楷體" w:hint="eastAsia"/>
        </w:rPr>
        <w:t>加強宣導備標人員應</w:t>
      </w:r>
      <w:r w:rsidR="00CC5AFC" w:rsidRPr="003A133E">
        <w:rPr>
          <w:rFonts w:ascii="標楷體" w:eastAsia="標楷體" w:hAnsi="標楷體"/>
        </w:rPr>
        <w:t>仔細覆核檢查；2.廠商應檢附之證明文件未全，已請廠商</w:t>
      </w:r>
      <w:r w:rsidR="00CC5AFC" w:rsidRPr="003A133E">
        <w:rPr>
          <w:rFonts w:ascii="標楷體" w:eastAsia="標楷體" w:hAnsi="標楷體" w:hint="eastAsia"/>
        </w:rPr>
        <w:t>補行</w:t>
      </w:r>
      <w:r w:rsidR="00CC5AFC" w:rsidRPr="003A133E">
        <w:rPr>
          <w:rFonts w:ascii="標楷體" w:eastAsia="標楷體" w:hAnsi="標楷體"/>
        </w:rPr>
        <w:t>提供上游廠商交易證明，證明</w:t>
      </w:r>
      <w:proofErr w:type="gramStart"/>
      <w:r w:rsidR="00CC5AFC" w:rsidRPr="003A133E">
        <w:rPr>
          <w:rFonts w:ascii="標楷體" w:eastAsia="標楷體" w:hAnsi="標楷體"/>
        </w:rPr>
        <w:t>完整商源</w:t>
      </w:r>
      <w:proofErr w:type="gramEnd"/>
      <w:r w:rsidR="00CC5AFC" w:rsidRPr="003A133E">
        <w:rPr>
          <w:rFonts w:ascii="標楷體" w:eastAsia="標楷體" w:hAnsi="標楷體"/>
        </w:rPr>
        <w:t>供貨資料，嗣後將加強人員教育訓練</w:t>
      </w:r>
      <w:r w:rsidR="00CC5AFC" w:rsidRPr="003A133E">
        <w:rPr>
          <w:rFonts w:ascii="標楷體" w:eastAsia="標楷體" w:hAnsi="標楷體" w:hint="eastAsia"/>
        </w:rPr>
        <w:t>及</w:t>
      </w:r>
      <w:r w:rsidR="00CC5AFC" w:rsidRPr="003A133E">
        <w:rPr>
          <w:rFonts w:ascii="標楷體" w:eastAsia="標楷體" w:hAnsi="標楷體"/>
        </w:rPr>
        <w:t>宣導進口報單審核注意事項，並於驗收時詳加審查核對；</w:t>
      </w:r>
      <w:r w:rsidR="00CC5AFC" w:rsidRPr="003A133E">
        <w:rPr>
          <w:rFonts w:ascii="標楷體" w:eastAsia="標楷體" w:hAnsi="標楷體" w:hint="eastAsia"/>
        </w:rPr>
        <w:t>3</w:t>
      </w:r>
      <w:r w:rsidR="00CC5AFC" w:rsidRPr="003A133E">
        <w:rPr>
          <w:rFonts w:ascii="標楷體" w:eastAsia="標楷體" w:hAnsi="標楷體"/>
        </w:rPr>
        <w:t>.已修訂「規格說明書範本」，規範廠商應提出原廠證明文件</w:t>
      </w:r>
      <w:r w:rsidR="00CC5AFC" w:rsidRPr="003A133E">
        <w:rPr>
          <w:rFonts w:ascii="標楷體" w:eastAsia="標楷體" w:hAnsi="標楷體" w:hint="eastAsia"/>
        </w:rPr>
        <w:t>之</w:t>
      </w:r>
      <w:r w:rsidR="00CC5AFC" w:rsidRPr="003A133E">
        <w:rPr>
          <w:rFonts w:ascii="標楷體" w:eastAsia="標楷體" w:hAnsi="標楷體"/>
        </w:rPr>
        <w:t>出廠或製造時限要求</w:t>
      </w:r>
      <w:r w:rsidR="00CC5AFC">
        <w:rPr>
          <w:rFonts w:ascii="標楷體" w:eastAsia="標楷體" w:hAnsi="標楷體" w:hint="eastAsia"/>
        </w:rPr>
        <w:t>，</w:t>
      </w:r>
      <w:r w:rsidR="00CC5AFC" w:rsidRPr="003A133E">
        <w:rPr>
          <w:rFonts w:ascii="標楷體" w:eastAsia="標楷體" w:hAnsi="標楷體"/>
        </w:rPr>
        <w:t>由備標單位擇選</w:t>
      </w:r>
      <w:r w:rsidR="00CC5AFC">
        <w:rPr>
          <w:rFonts w:ascii="標楷體" w:eastAsia="標楷體" w:hAnsi="標楷體" w:hint="eastAsia"/>
        </w:rPr>
        <w:t>配件</w:t>
      </w:r>
      <w:r w:rsidR="00CC5AFC" w:rsidRPr="003A133E">
        <w:rPr>
          <w:rFonts w:ascii="標楷體" w:eastAsia="標楷體" w:hAnsi="標楷體"/>
        </w:rPr>
        <w:t>是否</w:t>
      </w:r>
      <w:r w:rsidR="00CC5AFC">
        <w:rPr>
          <w:rFonts w:ascii="標楷體" w:eastAsia="標楷體" w:hAnsi="標楷體" w:hint="eastAsia"/>
        </w:rPr>
        <w:t>適用該項要求</w:t>
      </w:r>
      <w:r w:rsidR="00CC5AFC" w:rsidRPr="003A133E">
        <w:rPr>
          <w:rFonts w:ascii="標楷體" w:eastAsia="標楷體" w:hAnsi="標楷體"/>
        </w:rPr>
        <w:t>，並加強宣導</w:t>
      </w:r>
      <w:r w:rsidR="00CC5AFC" w:rsidRPr="003A133E">
        <w:rPr>
          <w:rFonts w:ascii="標楷體" w:eastAsia="標楷體" w:hAnsi="標楷體" w:hint="eastAsia"/>
        </w:rPr>
        <w:t>驗收</w:t>
      </w:r>
      <w:r w:rsidR="00CC5AFC" w:rsidRPr="003A133E">
        <w:rPr>
          <w:rFonts w:ascii="標楷體" w:eastAsia="標楷體" w:hAnsi="標楷體"/>
        </w:rPr>
        <w:t>注意事項，確實抽查驗核</w:t>
      </w:r>
      <w:r w:rsidR="00CC5AFC">
        <w:rPr>
          <w:rFonts w:ascii="標楷體" w:eastAsia="標楷體" w:hAnsi="標楷體" w:hint="eastAsia"/>
        </w:rPr>
        <w:t>，以資周延</w:t>
      </w:r>
      <w:r w:rsidR="00CC5AFC" w:rsidRPr="00970724">
        <w:rPr>
          <w:rFonts w:ascii="標楷體" w:eastAsia="標楷體" w:hAnsi="標楷體" w:hint="eastAsia"/>
          <w:color w:val="000000" w:themeColor="text1"/>
        </w:rPr>
        <w:t>。</w:t>
      </w:r>
    </w:p>
    <w:p w14:paraId="32DDD2D7" w14:textId="77777777" w:rsidR="00CC5AFC" w:rsidRPr="00430C9E" w:rsidRDefault="00CC5AFC" w:rsidP="00FB1A40">
      <w:pPr>
        <w:suppressAutoHyphens/>
        <w:overflowPunct w:val="0"/>
        <w:spacing w:line="420" w:lineRule="exact"/>
        <w:jc w:val="both"/>
        <w:outlineLvl w:val="2"/>
        <w:rPr>
          <w:rFonts w:ascii="標楷體" w:eastAsia="標楷體" w:hAnsi="Times New Roman" w:cs="Times New Roman"/>
          <w:b/>
          <w:sz w:val="32"/>
          <w:szCs w:val="32"/>
        </w:rPr>
      </w:pPr>
      <w:bookmarkStart w:id="55" w:name="_Hlk106810078"/>
      <w:r w:rsidRPr="00430C9E">
        <w:rPr>
          <w:rFonts w:ascii="標楷體" w:eastAsia="標楷體" w:hAnsi="Times New Roman" w:cs="Times New Roman" w:hint="eastAsia"/>
          <w:b/>
          <w:sz w:val="32"/>
          <w:szCs w:val="32"/>
        </w:rPr>
        <w:t>五、</w:t>
      </w:r>
      <w:proofErr w:type="gramStart"/>
      <w:r w:rsidRPr="00430C9E">
        <w:rPr>
          <w:rFonts w:ascii="標楷體" w:eastAsia="標楷體" w:hAnsi="Times New Roman" w:cs="Times New Roman" w:hint="eastAsia"/>
          <w:b/>
          <w:sz w:val="32"/>
          <w:szCs w:val="32"/>
        </w:rPr>
        <w:t>11</w:t>
      </w:r>
      <w:r>
        <w:rPr>
          <w:rFonts w:ascii="標楷體" w:eastAsia="標楷體" w:hAnsi="Times New Roman" w:cs="Times New Roman" w:hint="eastAsia"/>
          <w:b/>
          <w:sz w:val="32"/>
          <w:szCs w:val="32"/>
        </w:rPr>
        <w:t>2</w:t>
      </w:r>
      <w:proofErr w:type="gramEnd"/>
      <w:r w:rsidRPr="00430C9E">
        <w:rPr>
          <w:rFonts w:ascii="標楷體" w:eastAsia="標楷體" w:hAnsi="Times New Roman" w:cs="Times New Roman" w:hint="eastAsia"/>
          <w:b/>
          <w:sz w:val="32"/>
          <w:szCs w:val="32"/>
        </w:rPr>
        <w:t>年度重要審核意見追蹤查核情形</w:t>
      </w:r>
    </w:p>
    <w:p w14:paraId="02EE5A86" w14:textId="77777777" w:rsidR="00CC5AFC" w:rsidRPr="00430C9E" w:rsidRDefault="00CC5AFC" w:rsidP="00FB1A40">
      <w:pPr>
        <w:overflowPunct w:val="0"/>
        <w:spacing w:line="400" w:lineRule="exact"/>
        <w:ind w:firstLineChars="200" w:firstLine="480"/>
        <w:jc w:val="both"/>
        <w:rPr>
          <w:rFonts w:ascii="標楷體" w:eastAsia="標楷體" w:hAnsi="Times New Roman" w:cs="Times New Roman"/>
          <w:szCs w:val="24"/>
        </w:rPr>
      </w:pPr>
      <w:r w:rsidRPr="00430C9E">
        <w:rPr>
          <w:rFonts w:ascii="標楷體" w:eastAsia="標楷體" w:hAnsi="Times New Roman" w:cs="Times New Roman" w:hint="eastAsia"/>
          <w:szCs w:val="24"/>
        </w:rPr>
        <w:t>本處於</w:t>
      </w:r>
      <w:proofErr w:type="gramStart"/>
      <w:r w:rsidRPr="00430C9E">
        <w:rPr>
          <w:rFonts w:ascii="標楷體" w:eastAsia="標楷體" w:hAnsi="Times New Roman" w:cs="Times New Roman"/>
          <w:szCs w:val="24"/>
        </w:rPr>
        <w:t>1</w:t>
      </w:r>
      <w:r w:rsidRPr="00430C9E">
        <w:rPr>
          <w:rFonts w:ascii="標楷體" w:eastAsia="標楷體" w:hAnsi="Times New Roman" w:cs="Times New Roman" w:hint="eastAsia"/>
          <w:szCs w:val="24"/>
        </w:rPr>
        <w:t>1</w:t>
      </w:r>
      <w:r>
        <w:rPr>
          <w:rFonts w:ascii="標楷體" w:eastAsia="標楷體" w:hAnsi="Times New Roman" w:cs="Times New Roman" w:hint="eastAsia"/>
          <w:szCs w:val="24"/>
        </w:rPr>
        <w:t>2</w:t>
      </w:r>
      <w:proofErr w:type="gramEnd"/>
      <w:r w:rsidRPr="00430C9E">
        <w:rPr>
          <w:rFonts w:ascii="標楷體" w:eastAsia="標楷體" w:hAnsi="Times New Roman" w:cs="Times New Roman" w:hint="eastAsia"/>
          <w:szCs w:val="24"/>
        </w:rPr>
        <w:t>年度內列重要審核意見</w:t>
      </w:r>
      <w:r>
        <w:rPr>
          <w:rFonts w:ascii="標楷體" w:eastAsia="標楷體" w:hAnsi="Times New Roman" w:cs="Times New Roman" w:hint="eastAsia"/>
          <w:szCs w:val="24"/>
        </w:rPr>
        <w:t>7</w:t>
      </w:r>
      <w:r w:rsidRPr="00430C9E">
        <w:rPr>
          <w:rFonts w:ascii="標楷體" w:eastAsia="標楷體" w:hAnsi="Times New Roman" w:cs="Times New Roman" w:hint="eastAsia"/>
          <w:szCs w:val="24"/>
        </w:rPr>
        <w:t>項，經</w:t>
      </w:r>
      <w:proofErr w:type="gramStart"/>
      <w:r w:rsidRPr="00430C9E">
        <w:rPr>
          <w:rFonts w:ascii="標楷體" w:eastAsia="標楷體" w:hAnsi="Times New Roman" w:cs="Times New Roman" w:hint="eastAsia"/>
          <w:szCs w:val="24"/>
        </w:rPr>
        <w:t>賡</w:t>
      </w:r>
      <w:proofErr w:type="gramEnd"/>
      <w:r w:rsidRPr="00430C9E">
        <w:rPr>
          <w:rFonts w:ascii="標楷體" w:eastAsia="標楷體" w:hAnsi="Times New Roman" w:cs="Times New Roman" w:hint="eastAsia"/>
          <w:szCs w:val="24"/>
        </w:rPr>
        <w:t>續追蹤查核實際辦理結果，均已</w:t>
      </w:r>
      <w:proofErr w:type="gramStart"/>
      <w:r w:rsidRPr="00430C9E">
        <w:rPr>
          <w:rFonts w:ascii="標楷體" w:eastAsia="標楷體" w:hAnsi="Times New Roman" w:cs="Times New Roman" w:hint="eastAsia"/>
          <w:szCs w:val="24"/>
        </w:rPr>
        <w:t>研</w:t>
      </w:r>
      <w:proofErr w:type="gramEnd"/>
      <w:r w:rsidRPr="00430C9E">
        <w:rPr>
          <w:rFonts w:ascii="標楷體" w:eastAsia="標楷體" w:hAnsi="Times New Roman" w:cs="Times New Roman" w:hint="eastAsia"/>
          <w:szCs w:val="24"/>
        </w:rPr>
        <w:t>謀改善或依改善措施持續辦理</w:t>
      </w:r>
      <w:r w:rsidRPr="00335301">
        <w:rPr>
          <w:rFonts w:ascii="標楷體" w:eastAsia="標楷體" w:hAnsi="Times New Roman" w:cs="Times New Roman" w:hint="eastAsia"/>
          <w:szCs w:val="24"/>
        </w:rPr>
        <w:t>（表</w:t>
      </w:r>
      <w:r w:rsidRPr="00335301">
        <w:rPr>
          <w:rFonts w:ascii="標楷體" w:eastAsia="標楷體" w:hAnsi="Times New Roman" w:cs="Times New Roman"/>
          <w:szCs w:val="24"/>
        </w:rPr>
        <w:t>6</w:t>
      </w:r>
      <w:r w:rsidRPr="00335301">
        <w:rPr>
          <w:rFonts w:ascii="標楷體" w:eastAsia="標楷體" w:hAnsi="Times New Roman" w:cs="Times New Roman" w:hint="eastAsia"/>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81"/>
        <w:gridCol w:w="1842"/>
      </w:tblGrid>
      <w:tr w:rsidR="00CC5AFC" w:rsidRPr="00430C9E" w14:paraId="41308BF6" w14:textId="77777777" w:rsidTr="005E7522">
        <w:trPr>
          <w:trHeight w:val="283"/>
        </w:trPr>
        <w:tc>
          <w:tcPr>
            <w:tcW w:w="5000" w:type="pct"/>
            <w:gridSpan w:val="2"/>
            <w:tcBorders>
              <w:top w:val="nil"/>
              <w:left w:val="nil"/>
              <w:bottom w:val="single" w:sz="4" w:space="0" w:color="auto"/>
              <w:right w:val="nil"/>
            </w:tcBorders>
            <w:vAlign w:val="center"/>
            <w:hideMark/>
          </w:tcPr>
          <w:p w14:paraId="0D13870C" w14:textId="77777777" w:rsidR="00CC5AFC" w:rsidRPr="00430C9E" w:rsidRDefault="00CC5AFC" w:rsidP="005E7522">
            <w:pPr>
              <w:adjustRightInd w:val="0"/>
              <w:snapToGrid w:val="0"/>
              <w:spacing w:line="280" w:lineRule="exact"/>
              <w:jc w:val="center"/>
              <w:rPr>
                <w:rFonts w:ascii="標楷體" w:eastAsia="標楷體" w:hAnsi="標楷體" w:cs="Times New Roman"/>
                <w:b/>
                <w:szCs w:val="24"/>
              </w:rPr>
            </w:pPr>
            <w:bookmarkStart w:id="56" w:name="_Hlk138172262"/>
            <w:bookmarkEnd w:id="55"/>
            <w:r w:rsidRPr="00335301">
              <w:rPr>
                <w:rFonts w:ascii="標楷體" w:eastAsia="標楷體" w:hAnsi="標楷體" w:cs="Times New Roman" w:hint="eastAsia"/>
                <w:b/>
                <w:szCs w:val="24"/>
              </w:rPr>
              <w:t>表</w:t>
            </w:r>
            <w:r w:rsidRPr="00335301">
              <w:rPr>
                <w:rFonts w:ascii="標楷體" w:eastAsia="標楷體" w:hAnsi="標楷體" w:cs="Times New Roman"/>
                <w:b/>
                <w:szCs w:val="24"/>
              </w:rPr>
              <w:t>6</w:t>
            </w:r>
            <w:r w:rsidRPr="00430C9E">
              <w:rPr>
                <w:rFonts w:ascii="標楷體" w:eastAsia="標楷體" w:hAnsi="標楷體" w:cs="Times New Roman" w:hint="eastAsia"/>
                <w:b/>
                <w:szCs w:val="24"/>
              </w:rPr>
              <w:t xml:space="preserve">　</w:t>
            </w:r>
            <w:proofErr w:type="gramStart"/>
            <w:r w:rsidRPr="00430C9E">
              <w:rPr>
                <w:rFonts w:ascii="標楷體" w:eastAsia="標楷體" w:hAnsi="標楷體" w:cs="Times New Roman" w:hint="eastAsia"/>
                <w:b/>
                <w:szCs w:val="24"/>
              </w:rPr>
              <w:t>11</w:t>
            </w:r>
            <w:r>
              <w:rPr>
                <w:rFonts w:ascii="標楷體" w:eastAsia="標楷體" w:hAnsi="標楷體" w:cs="Times New Roman" w:hint="eastAsia"/>
                <w:b/>
                <w:szCs w:val="24"/>
              </w:rPr>
              <w:t>2</w:t>
            </w:r>
            <w:proofErr w:type="gramEnd"/>
            <w:r w:rsidRPr="00430C9E">
              <w:rPr>
                <w:rFonts w:ascii="標楷體" w:eastAsia="標楷體" w:hAnsi="標楷體" w:cs="Times New Roman" w:hint="eastAsia"/>
                <w:b/>
                <w:szCs w:val="24"/>
              </w:rPr>
              <w:t>年度審核報告所列交通局主管重要審核意見覆核辦理情形</w:t>
            </w:r>
          </w:p>
        </w:tc>
      </w:tr>
      <w:tr w:rsidR="00CC5AFC" w:rsidRPr="00430C9E" w14:paraId="6118F024" w14:textId="77777777" w:rsidTr="005F740F">
        <w:trPr>
          <w:trHeight w:val="397"/>
        </w:trPr>
        <w:tc>
          <w:tcPr>
            <w:tcW w:w="4072" w:type="pct"/>
            <w:tcBorders>
              <w:top w:val="single" w:sz="4" w:space="0" w:color="auto"/>
              <w:left w:val="single" w:sz="4" w:space="0" w:color="auto"/>
              <w:bottom w:val="single" w:sz="4" w:space="0" w:color="auto"/>
              <w:right w:val="single" w:sz="4" w:space="0" w:color="auto"/>
            </w:tcBorders>
            <w:vAlign w:val="center"/>
            <w:hideMark/>
          </w:tcPr>
          <w:p w14:paraId="7E763A77" w14:textId="77777777" w:rsidR="00CC5AFC" w:rsidRPr="00430C9E" w:rsidRDefault="00CC5AFC" w:rsidP="005F740F">
            <w:pPr>
              <w:adjustRightInd w:val="0"/>
              <w:snapToGrid w:val="0"/>
              <w:spacing w:line="240" w:lineRule="exact"/>
              <w:jc w:val="center"/>
              <w:rPr>
                <w:rFonts w:ascii="標楷體" w:eastAsia="標楷體" w:hAnsi="標楷體" w:cs="Times New Roman"/>
                <w:sz w:val="20"/>
                <w:szCs w:val="20"/>
              </w:rPr>
            </w:pPr>
            <w:r w:rsidRPr="00430C9E">
              <w:rPr>
                <w:rFonts w:ascii="標楷體" w:eastAsia="標楷體" w:hAnsi="標楷體" w:cs="Times New Roman" w:hint="eastAsia"/>
                <w:sz w:val="20"/>
                <w:szCs w:val="20"/>
              </w:rPr>
              <w:t>重要審核意見標題</w:t>
            </w:r>
          </w:p>
        </w:tc>
        <w:tc>
          <w:tcPr>
            <w:tcW w:w="928" w:type="pct"/>
            <w:tcBorders>
              <w:top w:val="single" w:sz="4" w:space="0" w:color="auto"/>
              <w:left w:val="single" w:sz="4" w:space="0" w:color="auto"/>
              <w:bottom w:val="single" w:sz="4" w:space="0" w:color="auto"/>
              <w:right w:val="single" w:sz="4" w:space="0" w:color="auto"/>
            </w:tcBorders>
            <w:vAlign w:val="center"/>
            <w:hideMark/>
          </w:tcPr>
          <w:p w14:paraId="18ADDD8C" w14:textId="77777777" w:rsidR="00CC5AFC" w:rsidRPr="00430C9E" w:rsidRDefault="00CC5AFC" w:rsidP="005F740F">
            <w:pPr>
              <w:adjustRightInd w:val="0"/>
              <w:snapToGrid w:val="0"/>
              <w:spacing w:line="240" w:lineRule="exact"/>
              <w:jc w:val="center"/>
              <w:rPr>
                <w:rFonts w:ascii="標楷體" w:eastAsia="標楷體" w:hAnsi="標楷體" w:cs="Times New Roman"/>
                <w:sz w:val="20"/>
                <w:szCs w:val="20"/>
              </w:rPr>
            </w:pPr>
            <w:r w:rsidRPr="00430C9E">
              <w:rPr>
                <w:rFonts w:ascii="標楷體" w:eastAsia="標楷體" w:hAnsi="標楷體" w:cs="Times New Roman" w:hint="eastAsia"/>
                <w:sz w:val="20"/>
                <w:szCs w:val="20"/>
              </w:rPr>
              <w:t>說明</w:t>
            </w:r>
          </w:p>
        </w:tc>
      </w:tr>
      <w:tr w:rsidR="00CC5AFC" w:rsidRPr="00430C9E" w14:paraId="64292CD0" w14:textId="77777777" w:rsidTr="005E7522">
        <w:trPr>
          <w:trHeight w:val="340"/>
        </w:trPr>
        <w:tc>
          <w:tcPr>
            <w:tcW w:w="4072" w:type="pct"/>
            <w:tcBorders>
              <w:top w:val="single" w:sz="4" w:space="0" w:color="auto"/>
              <w:left w:val="single" w:sz="4" w:space="0" w:color="auto"/>
              <w:bottom w:val="single" w:sz="4" w:space="0" w:color="auto"/>
              <w:right w:val="nil"/>
            </w:tcBorders>
            <w:vAlign w:val="center"/>
            <w:hideMark/>
          </w:tcPr>
          <w:p w14:paraId="14C17C55" w14:textId="77777777" w:rsidR="00CC5AFC" w:rsidRPr="00430C9E" w:rsidRDefault="00CC5AFC" w:rsidP="00824CD6">
            <w:pPr>
              <w:adjustRightInd w:val="0"/>
              <w:snapToGrid w:val="0"/>
              <w:spacing w:line="240" w:lineRule="exact"/>
              <w:rPr>
                <w:rFonts w:ascii="標楷體" w:eastAsia="標楷體" w:hAnsi="標楷體" w:cs="Times New Roman"/>
                <w:b/>
                <w:sz w:val="20"/>
                <w:szCs w:val="20"/>
              </w:rPr>
            </w:pPr>
            <w:r w:rsidRPr="00430C9E">
              <w:rPr>
                <w:rFonts w:ascii="標楷體" w:eastAsia="標楷體" w:hAnsi="標楷體" w:cs="Times New Roman" w:hint="eastAsia"/>
                <w:b/>
                <w:sz w:val="20"/>
                <w:szCs w:val="20"/>
              </w:rPr>
              <w:t>已</w:t>
            </w:r>
            <w:proofErr w:type="gramStart"/>
            <w:r w:rsidRPr="00430C9E">
              <w:rPr>
                <w:rFonts w:ascii="標楷體" w:eastAsia="標楷體" w:hAnsi="標楷體" w:cs="Times New Roman" w:hint="eastAsia"/>
                <w:b/>
                <w:sz w:val="20"/>
                <w:szCs w:val="20"/>
              </w:rPr>
              <w:t>研</w:t>
            </w:r>
            <w:proofErr w:type="gramEnd"/>
            <w:r w:rsidRPr="00430C9E">
              <w:rPr>
                <w:rFonts w:ascii="標楷體" w:eastAsia="標楷體" w:hAnsi="標楷體" w:cs="Times New Roman" w:hint="eastAsia"/>
                <w:b/>
                <w:sz w:val="20"/>
                <w:szCs w:val="20"/>
              </w:rPr>
              <w:t>謀改善或依改善措施持續辦理</w:t>
            </w:r>
          </w:p>
        </w:tc>
        <w:tc>
          <w:tcPr>
            <w:tcW w:w="928" w:type="pct"/>
            <w:tcBorders>
              <w:top w:val="single" w:sz="4" w:space="0" w:color="auto"/>
              <w:left w:val="nil"/>
              <w:bottom w:val="single" w:sz="4" w:space="0" w:color="auto"/>
              <w:right w:val="single" w:sz="4" w:space="0" w:color="auto"/>
            </w:tcBorders>
            <w:vAlign w:val="center"/>
          </w:tcPr>
          <w:p w14:paraId="5DCB87E4" w14:textId="77777777" w:rsidR="00CC5AFC" w:rsidRPr="00430C9E" w:rsidRDefault="00CC5AFC" w:rsidP="00824CD6">
            <w:pPr>
              <w:adjustRightInd w:val="0"/>
              <w:snapToGrid w:val="0"/>
              <w:spacing w:line="240" w:lineRule="exact"/>
              <w:rPr>
                <w:rFonts w:ascii="標楷體" w:eastAsia="標楷體" w:hAnsi="標楷體" w:cs="Times New Roman"/>
                <w:sz w:val="20"/>
                <w:szCs w:val="20"/>
              </w:rPr>
            </w:pPr>
          </w:p>
        </w:tc>
      </w:tr>
      <w:tr w:rsidR="00CC5AFC" w:rsidRPr="00430C9E" w14:paraId="501F00D1" w14:textId="77777777" w:rsidTr="00FB1A40">
        <w:trPr>
          <w:trHeight w:val="567"/>
        </w:trPr>
        <w:tc>
          <w:tcPr>
            <w:tcW w:w="4072" w:type="pct"/>
            <w:tcBorders>
              <w:top w:val="single" w:sz="4" w:space="0" w:color="auto"/>
              <w:left w:val="single" w:sz="4" w:space="0" w:color="auto"/>
              <w:bottom w:val="single" w:sz="4" w:space="0" w:color="auto"/>
              <w:right w:val="single" w:sz="4" w:space="0" w:color="auto"/>
            </w:tcBorders>
            <w:vAlign w:val="center"/>
            <w:hideMark/>
          </w:tcPr>
          <w:p w14:paraId="1AA9127D" w14:textId="4D2019BB" w:rsidR="00CC5AFC" w:rsidRPr="00430C9E" w:rsidRDefault="00CC5AFC" w:rsidP="005E7522">
            <w:pPr>
              <w:adjustRightInd w:val="0"/>
              <w:snapToGrid w:val="0"/>
              <w:spacing w:line="280" w:lineRule="exact"/>
              <w:ind w:leftChars="-9" w:left="578" w:hangingChars="300" w:hanging="600"/>
              <w:jc w:val="both"/>
              <w:rPr>
                <w:rFonts w:ascii="標楷體" w:eastAsia="標楷體" w:hAnsi="標楷體" w:cs="Times New Roman"/>
                <w:sz w:val="20"/>
                <w:szCs w:val="20"/>
              </w:rPr>
            </w:pPr>
            <w:r w:rsidRPr="00843FF4">
              <w:rPr>
                <w:rFonts w:ascii="標楷體" w:eastAsia="標楷體" w:hAnsi="標楷體" w:cs="Times New Roman" w:hint="eastAsia"/>
                <w:sz w:val="20"/>
                <w:szCs w:val="20"/>
              </w:rPr>
              <w:t>（一）</w:t>
            </w:r>
            <w:r w:rsidRPr="00826A4E">
              <w:rPr>
                <w:rFonts w:ascii="標楷體" w:eastAsia="標楷體" w:hAnsi="標楷體" w:cs="Times New Roman" w:hint="eastAsia"/>
                <w:sz w:val="20"/>
                <w:szCs w:val="20"/>
              </w:rPr>
              <w:t>為建構高齡者友善及安全的交通環境，跨局處成立高齡者防制交通事故推動小組，</w:t>
            </w:r>
            <w:proofErr w:type="gramStart"/>
            <w:r w:rsidRPr="00826A4E">
              <w:rPr>
                <w:rFonts w:ascii="標楷體" w:eastAsia="標楷體" w:hAnsi="標楷體" w:cs="Times New Roman" w:hint="eastAsia"/>
                <w:sz w:val="20"/>
                <w:szCs w:val="20"/>
              </w:rPr>
              <w:t>惟間有列</w:t>
            </w:r>
            <w:proofErr w:type="gramEnd"/>
            <w:r w:rsidRPr="00826A4E">
              <w:rPr>
                <w:rFonts w:ascii="標楷體" w:eastAsia="標楷體" w:hAnsi="標楷體" w:cs="Times New Roman" w:hint="eastAsia"/>
                <w:sz w:val="20"/>
                <w:szCs w:val="20"/>
              </w:rPr>
              <w:t>管計畫進度落後、部分行政區路老師宣講觸及率低等，</w:t>
            </w:r>
            <w:proofErr w:type="gramStart"/>
            <w:r w:rsidRPr="00826A4E">
              <w:rPr>
                <w:rFonts w:ascii="標楷體" w:eastAsia="標楷體" w:hAnsi="標楷體" w:cs="Times New Roman" w:hint="eastAsia"/>
                <w:sz w:val="20"/>
                <w:szCs w:val="20"/>
              </w:rPr>
              <w:t>均待檢討</w:t>
            </w:r>
            <w:proofErr w:type="gramEnd"/>
            <w:r w:rsidRPr="00826A4E">
              <w:rPr>
                <w:rFonts w:ascii="標楷體" w:eastAsia="標楷體" w:hAnsi="標楷體" w:cs="Times New Roman" w:hint="eastAsia"/>
                <w:sz w:val="20"/>
                <w:szCs w:val="20"/>
              </w:rPr>
              <w:t>改善</w:t>
            </w:r>
            <w:r w:rsidR="002235B0">
              <w:rPr>
                <w:rFonts w:ascii="標楷體" w:eastAsia="標楷體" w:hAnsi="標楷體" w:cs="Times New Roman" w:hint="eastAsia"/>
                <w:sz w:val="20"/>
                <w:szCs w:val="20"/>
              </w:rPr>
              <w:t>。</w:t>
            </w:r>
          </w:p>
        </w:tc>
        <w:tc>
          <w:tcPr>
            <w:tcW w:w="928" w:type="pct"/>
            <w:vMerge w:val="restart"/>
            <w:tcBorders>
              <w:top w:val="single" w:sz="4" w:space="0" w:color="auto"/>
              <w:left w:val="single" w:sz="4" w:space="0" w:color="auto"/>
              <w:right w:val="single" w:sz="4" w:space="0" w:color="auto"/>
              <w:tl2br w:val="single" w:sz="4" w:space="0" w:color="auto"/>
            </w:tcBorders>
            <w:hideMark/>
          </w:tcPr>
          <w:p w14:paraId="6337009A" w14:textId="77777777" w:rsidR="00CC5AFC" w:rsidRPr="000E7C29" w:rsidRDefault="00CC5AFC" w:rsidP="00824CD6">
            <w:pPr>
              <w:spacing w:line="320" w:lineRule="exact"/>
              <w:rPr>
                <w:rFonts w:ascii="標楷體" w:eastAsia="標楷體" w:hAnsi="標楷體" w:cs="Times New Roman"/>
                <w:sz w:val="20"/>
                <w:szCs w:val="20"/>
              </w:rPr>
            </w:pPr>
          </w:p>
        </w:tc>
      </w:tr>
      <w:tr w:rsidR="00CC5AFC" w:rsidRPr="00430C9E" w14:paraId="3EEF7C07" w14:textId="77777777" w:rsidTr="00FB1A40">
        <w:trPr>
          <w:trHeight w:val="907"/>
        </w:trPr>
        <w:tc>
          <w:tcPr>
            <w:tcW w:w="4072" w:type="pct"/>
            <w:tcBorders>
              <w:top w:val="single" w:sz="4" w:space="0" w:color="auto"/>
              <w:left w:val="single" w:sz="4" w:space="0" w:color="auto"/>
              <w:bottom w:val="single" w:sz="4" w:space="0" w:color="auto"/>
              <w:right w:val="single" w:sz="4" w:space="0" w:color="auto"/>
            </w:tcBorders>
            <w:vAlign w:val="center"/>
          </w:tcPr>
          <w:p w14:paraId="506F28D8" w14:textId="4ACD9D80" w:rsidR="00CC5AFC" w:rsidRPr="00430C9E" w:rsidRDefault="00CC5AFC" w:rsidP="005B024E">
            <w:pPr>
              <w:adjustRightInd w:val="0"/>
              <w:snapToGrid w:val="0"/>
              <w:spacing w:line="280" w:lineRule="exact"/>
              <w:ind w:leftChars="-8" w:left="589" w:hangingChars="304" w:hanging="608"/>
              <w:jc w:val="both"/>
              <w:rPr>
                <w:rFonts w:ascii="標楷體" w:eastAsia="標楷體" w:hAnsi="標楷體" w:cs="Times New Roman"/>
                <w:sz w:val="20"/>
                <w:szCs w:val="20"/>
              </w:rPr>
            </w:pPr>
            <w:r w:rsidRPr="00843FF4">
              <w:rPr>
                <w:rFonts w:ascii="標楷體" w:eastAsia="標楷體" w:hAnsi="標楷體" w:cs="Times New Roman" w:hint="eastAsia"/>
                <w:sz w:val="20"/>
                <w:szCs w:val="20"/>
              </w:rPr>
              <w:t>（二）</w:t>
            </w:r>
            <w:r w:rsidRPr="00826A4E">
              <w:rPr>
                <w:rFonts w:ascii="標楷體" w:eastAsia="標楷體" w:hAnsi="標楷體" w:cs="Times New Roman" w:hint="eastAsia"/>
                <w:sz w:val="20"/>
                <w:szCs w:val="20"/>
              </w:rPr>
              <w:t>交通局推動視障者預約公車服務，於公車上設置專用喇叭、警示燈，</w:t>
            </w:r>
            <w:proofErr w:type="gramStart"/>
            <w:r w:rsidRPr="00826A4E">
              <w:rPr>
                <w:rFonts w:ascii="標楷體" w:eastAsia="標楷體" w:hAnsi="標楷體" w:cs="Times New Roman" w:hint="eastAsia"/>
                <w:sz w:val="20"/>
                <w:szCs w:val="20"/>
              </w:rPr>
              <w:t>惟間有未</w:t>
            </w:r>
            <w:proofErr w:type="gramEnd"/>
            <w:r w:rsidRPr="00826A4E">
              <w:rPr>
                <w:rFonts w:ascii="標楷體" w:eastAsia="標楷體" w:hAnsi="標楷體" w:cs="Times New Roman" w:hint="eastAsia"/>
                <w:sz w:val="20"/>
                <w:szCs w:val="20"/>
              </w:rPr>
              <w:t>掌握拆移</w:t>
            </w:r>
            <w:proofErr w:type="gramStart"/>
            <w:r w:rsidRPr="00826A4E">
              <w:rPr>
                <w:rFonts w:ascii="標楷體" w:eastAsia="標楷體" w:hAnsi="標楷體" w:cs="Times New Roman" w:hint="eastAsia"/>
                <w:sz w:val="20"/>
                <w:szCs w:val="20"/>
              </w:rPr>
              <w:t>機暨車</w:t>
            </w:r>
            <w:proofErr w:type="gramEnd"/>
            <w:r w:rsidRPr="00826A4E">
              <w:rPr>
                <w:rFonts w:ascii="標楷體" w:eastAsia="標楷體" w:hAnsi="標楷體" w:cs="Times New Roman" w:hint="eastAsia"/>
                <w:sz w:val="20"/>
                <w:szCs w:val="20"/>
              </w:rPr>
              <w:t>機韌體更新情形，及未將協助視障者搭公車之周邊設備納入稽核等情，均有待檢討改善</w:t>
            </w:r>
            <w:r w:rsidR="002235B0">
              <w:rPr>
                <w:rFonts w:ascii="標楷體" w:eastAsia="標楷體" w:hAnsi="標楷體" w:cs="Times New Roman" w:hint="eastAsia"/>
                <w:sz w:val="20"/>
                <w:szCs w:val="20"/>
              </w:rPr>
              <w:t>。</w:t>
            </w:r>
          </w:p>
        </w:tc>
        <w:tc>
          <w:tcPr>
            <w:tcW w:w="928" w:type="pct"/>
            <w:vMerge/>
            <w:tcBorders>
              <w:left w:val="single" w:sz="4" w:space="0" w:color="auto"/>
              <w:right w:val="single" w:sz="4" w:space="0" w:color="auto"/>
              <w:tl2br w:val="single" w:sz="4" w:space="0" w:color="auto"/>
            </w:tcBorders>
            <w:vAlign w:val="center"/>
            <w:hideMark/>
          </w:tcPr>
          <w:p w14:paraId="537EB4EB" w14:textId="77777777" w:rsidR="00CC5AFC" w:rsidRPr="00430C9E" w:rsidRDefault="00CC5AFC" w:rsidP="00824CD6">
            <w:pPr>
              <w:spacing w:line="260" w:lineRule="exact"/>
              <w:rPr>
                <w:rFonts w:ascii="標楷體" w:eastAsia="標楷體" w:hAnsi="標楷體" w:cs="Times New Roman"/>
                <w:sz w:val="20"/>
                <w:szCs w:val="20"/>
              </w:rPr>
            </w:pPr>
          </w:p>
        </w:tc>
      </w:tr>
      <w:tr w:rsidR="00CC5AFC" w:rsidRPr="00430C9E" w14:paraId="740F381B" w14:textId="77777777" w:rsidTr="00FB1A40">
        <w:trPr>
          <w:trHeight w:val="624"/>
        </w:trPr>
        <w:tc>
          <w:tcPr>
            <w:tcW w:w="4072" w:type="pct"/>
            <w:tcBorders>
              <w:top w:val="single" w:sz="4" w:space="0" w:color="auto"/>
              <w:left w:val="single" w:sz="4" w:space="0" w:color="auto"/>
              <w:bottom w:val="single" w:sz="4" w:space="0" w:color="auto"/>
              <w:right w:val="single" w:sz="4" w:space="0" w:color="auto"/>
            </w:tcBorders>
            <w:vAlign w:val="center"/>
          </w:tcPr>
          <w:p w14:paraId="0475FE86" w14:textId="6558D69A" w:rsidR="00CC5AFC" w:rsidRPr="00430C9E" w:rsidRDefault="00CC5AFC" w:rsidP="005B024E">
            <w:pPr>
              <w:adjustRightInd w:val="0"/>
              <w:snapToGrid w:val="0"/>
              <w:spacing w:line="280" w:lineRule="exact"/>
              <w:ind w:leftChars="-12" w:left="587" w:hangingChars="308" w:hanging="616"/>
              <w:jc w:val="both"/>
              <w:rPr>
                <w:rFonts w:ascii="標楷體" w:eastAsia="標楷體" w:hAnsi="標楷體" w:cs="Times New Roman"/>
                <w:sz w:val="20"/>
                <w:szCs w:val="20"/>
              </w:rPr>
            </w:pPr>
            <w:r w:rsidRPr="00843FF4">
              <w:rPr>
                <w:rFonts w:ascii="標楷體" w:eastAsia="標楷體" w:hAnsi="標楷體" w:cs="Times New Roman" w:hint="eastAsia"/>
                <w:sz w:val="20"/>
                <w:szCs w:val="20"/>
              </w:rPr>
              <w:t>（三）</w:t>
            </w:r>
            <w:r w:rsidR="005B024E">
              <w:rPr>
                <w:rFonts w:ascii="標楷體" w:eastAsia="標楷體" w:hAnsi="標楷體" w:cs="Times New Roman" w:hint="eastAsia"/>
                <w:sz w:val="20"/>
                <w:szCs w:val="20"/>
              </w:rPr>
              <w:t xml:space="preserve"> </w:t>
            </w:r>
            <w:r w:rsidRPr="00826A4E">
              <w:rPr>
                <w:rFonts w:ascii="標楷體" w:eastAsia="標楷體" w:hAnsi="標楷體" w:cs="Times New Roman" w:hint="eastAsia"/>
                <w:sz w:val="20"/>
                <w:szCs w:val="20"/>
              </w:rPr>
              <w:t>為協助視障者順利搭乘公車，篩選部分公車路線優先辦理車機設備友善功能安裝作業，</w:t>
            </w:r>
            <w:proofErr w:type="gramStart"/>
            <w:r w:rsidRPr="00826A4E">
              <w:rPr>
                <w:rFonts w:ascii="標楷體" w:eastAsia="標楷體" w:hAnsi="標楷體" w:cs="Times New Roman" w:hint="eastAsia"/>
                <w:sz w:val="20"/>
                <w:szCs w:val="20"/>
              </w:rPr>
              <w:t>惟間有安裝</w:t>
            </w:r>
            <w:proofErr w:type="gramEnd"/>
            <w:r w:rsidRPr="00826A4E">
              <w:rPr>
                <w:rFonts w:ascii="標楷體" w:eastAsia="標楷體" w:hAnsi="標楷體" w:cs="Times New Roman" w:hint="eastAsia"/>
                <w:sz w:val="20"/>
                <w:szCs w:val="20"/>
              </w:rPr>
              <w:t>於將報廢車輛等不經濟情事，及設備妥善率不佳情事，有待檢討改善。</w:t>
            </w:r>
          </w:p>
        </w:tc>
        <w:tc>
          <w:tcPr>
            <w:tcW w:w="928" w:type="pct"/>
            <w:vMerge/>
            <w:tcBorders>
              <w:left w:val="single" w:sz="4" w:space="0" w:color="auto"/>
              <w:right w:val="single" w:sz="4" w:space="0" w:color="auto"/>
              <w:tl2br w:val="single" w:sz="4" w:space="0" w:color="auto"/>
            </w:tcBorders>
            <w:vAlign w:val="center"/>
            <w:hideMark/>
          </w:tcPr>
          <w:p w14:paraId="3DB21653" w14:textId="77777777" w:rsidR="00CC5AFC" w:rsidRPr="00430C9E" w:rsidRDefault="00CC5AFC" w:rsidP="00824CD6">
            <w:pPr>
              <w:spacing w:line="260" w:lineRule="exact"/>
              <w:rPr>
                <w:rFonts w:ascii="標楷體" w:eastAsia="標楷體" w:hAnsi="標楷體" w:cs="Times New Roman"/>
                <w:sz w:val="20"/>
                <w:szCs w:val="20"/>
              </w:rPr>
            </w:pPr>
          </w:p>
        </w:tc>
      </w:tr>
      <w:tr w:rsidR="00CC5AFC" w:rsidRPr="00430C9E" w14:paraId="0DE56852" w14:textId="77777777" w:rsidTr="00FB1A40">
        <w:trPr>
          <w:trHeight w:val="907"/>
        </w:trPr>
        <w:tc>
          <w:tcPr>
            <w:tcW w:w="4072" w:type="pct"/>
            <w:tcBorders>
              <w:top w:val="single" w:sz="4" w:space="0" w:color="auto"/>
              <w:left w:val="single" w:sz="4" w:space="0" w:color="auto"/>
              <w:bottom w:val="single" w:sz="4" w:space="0" w:color="auto"/>
              <w:right w:val="single" w:sz="4" w:space="0" w:color="auto"/>
            </w:tcBorders>
            <w:vAlign w:val="center"/>
          </w:tcPr>
          <w:p w14:paraId="06E8485E" w14:textId="77777777" w:rsidR="00CC5AFC" w:rsidRPr="00843FF4" w:rsidRDefault="00CC5AFC" w:rsidP="005E7522">
            <w:pPr>
              <w:adjustRightInd w:val="0"/>
              <w:snapToGrid w:val="0"/>
              <w:spacing w:line="280" w:lineRule="exact"/>
              <w:ind w:leftChars="-9" w:left="578" w:hangingChars="300" w:hanging="600"/>
              <w:jc w:val="both"/>
              <w:rPr>
                <w:rFonts w:ascii="標楷體" w:eastAsia="標楷體" w:hAnsi="標楷體" w:cs="Times New Roman"/>
                <w:sz w:val="20"/>
                <w:szCs w:val="20"/>
              </w:rPr>
            </w:pPr>
            <w:r w:rsidRPr="00843FF4">
              <w:rPr>
                <w:rFonts w:ascii="標楷體" w:eastAsia="標楷體" w:hAnsi="標楷體" w:cs="Times New Roman" w:hint="eastAsia"/>
                <w:sz w:val="20"/>
                <w:szCs w:val="20"/>
              </w:rPr>
              <w:t>（四）</w:t>
            </w:r>
            <w:r w:rsidRPr="00826A4E">
              <w:rPr>
                <w:rFonts w:ascii="標楷體" w:eastAsia="標楷體" w:hAnsi="標楷體" w:cs="Times New Roman" w:hint="eastAsia"/>
                <w:sz w:val="20"/>
                <w:szCs w:val="20"/>
              </w:rPr>
              <w:t>交通管制工程處辦理行人號</w:t>
            </w:r>
            <w:proofErr w:type="gramStart"/>
            <w:r w:rsidRPr="00826A4E">
              <w:rPr>
                <w:rFonts w:ascii="標楷體" w:eastAsia="標楷體" w:hAnsi="標楷體" w:cs="Times New Roman" w:hint="eastAsia"/>
                <w:sz w:val="20"/>
                <w:szCs w:val="20"/>
              </w:rPr>
              <w:t>誌</w:t>
            </w:r>
            <w:proofErr w:type="gramEnd"/>
            <w:r w:rsidRPr="00826A4E">
              <w:rPr>
                <w:rFonts w:ascii="標楷體" w:eastAsia="標楷體" w:hAnsi="標楷體" w:cs="Times New Roman" w:hint="eastAsia"/>
                <w:sz w:val="20"/>
                <w:szCs w:val="20"/>
              </w:rPr>
              <w:t>加裝有聲設備協助視障者通行，</w:t>
            </w:r>
            <w:proofErr w:type="gramStart"/>
            <w:r w:rsidRPr="00826A4E">
              <w:rPr>
                <w:rFonts w:ascii="標楷體" w:eastAsia="標楷體" w:hAnsi="標楷體" w:cs="Times New Roman" w:hint="eastAsia"/>
                <w:sz w:val="20"/>
                <w:szCs w:val="20"/>
              </w:rPr>
              <w:t>間有未</w:t>
            </w:r>
            <w:proofErr w:type="gramEnd"/>
            <w:r w:rsidRPr="00826A4E">
              <w:rPr>
                <w:rFonts w:ascii="標楷體" w:eastAsia="標楷體" w:hAnsi="標楷體" w:cs="Times New Roman" w:hint="eastAsia"/>
                <w:sz w:val="20"/>
                <w:szCs w:val="20"/>
              </w:rPr>
              <w:t>依規定填報有聲號</w:t>
            </w:r>
            <w:proofErr w:type="gramStart"/>
            <w:r w:rsidRPr="00826A4E">
              <w:rPr>
                <w:rFonts w:ascii="標楷體" w:eastAsia="標楷體" w:hAnsi="標楷體" w:cs="Times New Roman" w:hint="eastAsia"/>
                <w:sz w:val="20"/>
                <w:szCs w:val="20"/>
              </w:rPr>
              <w:t>誌</w:t>
            </w:r>
            <w:proofErr w:type="gramEnd"/>
            <w:r w:rsidRPr="00826A4E">
              <w:rPr>
                <w:rFonts w:ascii="標楷體" w:eastAsia="標楷體" w:hAnsi="標楷體" w:cs="Times New Roman" w:hint="eastAsia"/>
                <w:sz w:val="20"/>
                <w:szCs w:val="20"/>
              </w:rPr>
              <w:t>維修表件並有故障率攀升，或有聲號</w:t>
            </w:r>
            <w:proofErr w:type="gramStart"/>
            <w:r w:rsidRPr="00826A4E">
              <w:rPr>
                <w:rFonts w:ascii="標楷體" w:eastAsia="標楷體" w:hAnsi="標楷體" w:cs="Times New Roman" w:hint="eastAsia"/>
                <w:sz w:val="20"/>
                <w:szCs w:val="20"/>
              </w:rPr>
              <w:t>誌</w:t>
            </w:r>
            <w:proofErr w:type="gramEnd"/>
            <w:r w:rsidRPr="00826A4E">
              <w:rPr>
                <w:rFonts w:ascii="標楷體" w:eastAsia="標楷體" w:hAnsi="標楷體" w:cs="Times New Roman" w:hint="eastAsia"/>
                <w:sz w:val="20"/>
                <w:szCs w:val="20"/>
              </w:rPr>
              <w:t>周邊行人動線有障礙物、未鋪設導盲磚設施等情，</w:t>
            </w:r>
            <w:proofErr w:type="gramStart"/>
            <w:r w:rsidRPr="00826A4E">
              <w:rPr>
                <w:rFonts w:ascii="標楷體" w:eastAsia="標楷體" w:hAnsi="標楷體" w:cs="Times New Roman" w:hint="eastAsia"/>
                <w:sz w:val="20"/>
                <w:szCs w:val="20"/>
              </w:rPr>
              <w:t>均待檢討</w:t>
            </w:r>
            <w:proofErr w:type="gramEnd"/>
            <w:r w:rsidRPr="00826A4E">
              <w:rPr>
                <w:rFonts w:ascii="標楷體" w:eastAsia="標楷體" w:hAnsi="標楷體" w:cs="Times New Roman" w:hint="eastAsia"/>
                <w:sz w:val="20"/>
                <w:szCs w:val="20"/>
              </w:rPr>
              <w:t>改善。</w:t>
            </w:r>
          </w:p>
        </w:tc>
        <w:tc>
          <w:tcPr>
            <w:tcW w:w="928" w:type="pct"/>
            <w:vMerge/>
            <w:tcBorders>
              <w:left w:val="single" w:sz="4" w:space="0" w:color="auto"/>
              <w:right w:val="single" w:sz="4" w:space="0" w:color="auto"/>
              <w:tl2br w:val="single" w:sz="4" w:space="0" w:color="auto"/>
            </w:tcBorders>
            <w:vAlign w:val="center"/>
            <w:hideMark/>
          </w:tcPr>
          <w:p w14:paraId="182CE8A3" w14:textId="77777777" w:rsidR="00CC5AFC" w:rsidRPr="00430C9E" w:rsidRDefault="00CC5AFC" w:rsidP="00824CD6">
            <w:pPr>
              <w:spacing w:line="260" w:lineRule="exact"/>
              <w:rPr>
                <w:rFonts w:ascii="標楷體" w:eastAsia="標楷體" w:hAnsi="標楷體" w:cs="Times New Roman"/>
                <w:sz w:val="20"/>
                <w:szCs w:val="20"/>
              </w:rPr>
            </w:pPr>
          </w:p>
        </w:tc>
      </w:tr>
      <w:tr w:rsidR="00CC5AFC" w:rsidRPr="00430C9E" w14:paraId="5AD7FE0B" w14:textId="77777777" w:rsidTr="00FB1A40">
        <w:trPr>
          <w:trHeight w:val="567"/>
        </w:trPr>
        <w:tc>
          <w:tcPr>
            <w:tcW w:w="4072" w:type="pct"/>
            <w:tcBorders>
              <w:top w:val="single" w:sz="4" w:space="0" w:color="auto"/>
              <w:left w:val="single" w:sz="4" w:space="0" w:color="auto"/>
              <w:bottom w:val="single" w:sz="4" w:space="0" w:color="auto"/>
              <w:right w:val="single" w:sz="4" w:space="0" w:color="auto"/>
            </w:tcBorders>
            <w:vAlign w:val="center"/>
          </w:tcPr>
          <w:p w14:paraId="34DFC09F" w14:textId="77777777" w:rsidR="00CC5AFC" w:rsidRPr="00843FF4" w:rsidRDefault="00CC5AFC" w:rsidP="005E7522">
            <w:pPr>
              <w:adjustRightInd w:val="0"/>
              <w:snapToGrid w:val="0"/>
              <w:spacing w:line="280" w:lineRule="exact"/>
              <w:ind w:leftChars="-9" w:left="578" w:hangingChars="300" w:hanging="600"/>
              <w:jc w:val="both"/>
              <w:rPr>
                <w:rFonts w:ascii="標楷體" w:eastAsia="標楷體" w:hAnsi="標楷體" w:cs="Times New Roman"/>
                <w:sz w:val="20"/>
                <w:szCs w:val="20"/>
              </w:rPr>
            </w:pPr>
            <w:r w:rsidRPr="00843FF4">
              <w:rPr>
                <w:rFonts w:ascii="標楷體" w:eastAsia="標楷體" w:hAnsi="標楷體" w:cs="Times New Roman" w:hint="eastAsia"/>
                <w:sz w:val="20"/>
                <w:szCs w:val="20"/>
              </w:rPr>
              <w:t>（五）</w:t>
            </w:r>
            <w:r w:rsidRPr="00826A4E">
              <w:rPr>
                <w:rFonts w:ascii="標楷體" w:eastAsia="標楷體" w:hAnsi="標楷體" w:cs="Times New Roman" w:hint="eastAsia"/>
                <w:sz w:val="20"/>
                <w:szCs w:val="20"/>
              </w:rPr>
              <w:t>為厚植道路安全文化以維護用路人安全，透過多元媒體通路強化交通安全宣導，惟部分宣導場次等數據下降，尚待檢討改善。</w:t>
            </w:r>
          </w:p>
        </w:tc>
        <w:tc>
          <w:tcPr>
            <w:tcW w:w="928" w:type="pct"/>
            <w:vMerge/>
            <w:tcBorders>
              <w:left w:val="single" w:sz="4" w:space="0" w:color="auto"/>
              <w:right w:val="single" w:sz="4" w:space="0" w:color="auto"/>
              <w:tl2br w:val="single" w:sz="4" w:space="0" w:color="auto"/>
            </w:tcBorders>
            <w:vAlign w:val="center"/>
            <w:hideMark/>
          </w:tcPr>
          <w:p w14:paraId="06ED5B66" w14:textId="77777777" w:rsidR="00CC5AFC" w:rsidRPr="00430C9E" w:rsidRDefault="00CC5AFC" w:rsidP="00824CD6">
            <w:pPr>
              <w:spacing w:line="260" w:lineRule="exact"/>
              <w:rPr>
                <w:rFonts w:ascii="標楷體" w:eastAsia="標楷體" w:hAnsi="標楷體" w:cs="Times New Roman"/>
                <w:sz w:val="20"/>
                <w:szCs w:val="20"/>
              </w:rPr>
            </w:pPr>
          </w:p>
        </w:tc>
      </w:tr>
      <w:tr w:rsidR="00CC5AFC" w:rsidRPr="00430C9E" w14:paraId="74D750C1" w14:textId="77777777" w:rsidTr="00FB1A40">
        <w:trPr>
          <w:trHeight w:val="794"/>
        </w:trPr>
        <w:tc>
          <w:tcPr>
            <w:tcW w:w="4072" w:type="pct"/>
            <w:tcBorders>
              <w:top w:val="single" w:sz="4" w:space="0" w:color="auto"/>
              <w:left w:val="single" w:sz="4" w:space="0" w:color="auto"/>
              <w:bottom w:val="single" w:sz="4" w:space="0" w:color="auto"/>
              <w:right w:val="single" w:sz="4" w:space="0" w:color="auto"/>
            </w:tcBorders>
            <w:vAlign w:val="center"/>
          </w:tcPr>
          <w:p w14:paraId="2B39C95C" w14:textId="77777777" w:rsidR="00CC5AFC" w:rsidRPr="00843FF4" w:rsidRDefault="00CC5AFC" w:rsidP="005E7522">
            <w:pPr>
              <w:adjustRightInd w:val="0"/>
              <w:snapToGrid w:val="0"/>
              <w:spacing w:line="280" w:lineRule="exact"/>
              <w:ind w:leftChars="-9" w:left="578" w:hangingChars="300" w:hanging="600"/>
              <w:jc w:val="both"/>
              <w:rPr>
                <w:rFonts w:ascii="標楷體" w:eastAsia="標楷體" w:hAnsi="標楷體" w:cs="Times New Roman"/>
                <w:sz w:val="20"/>
                <w:szCs w:val="20"/>
              </w:rPr>
            </w:pPr>
            <w:r w:rsidRPr="00843FF4">
              <w:rPr>
                <w:rFonts w:ascii="標楷體" w:eastAsia="標楷體" w:hAnsi="標楷體" w:cs="Times New Roman" w:hint="eastAsia"/>
                <w:sz w:val="20"/>
                <w:szCs w:val="20"/>
              </w:rPr>
              <w:t>（六）</w:t>
            </w:r>
            <w:r w:rsidRPr="00826A4E">
              <w:rPr>
                <w:rFonts w:ascii="標楷體" w:eastAsia="標楷體" w:hAnsi="標楷體" w:cs="Times New Roman" w:hint="eastAsia"/>
                <w:sz w:val="20"/>
                <w:szCs w:val="20"/>
              </w:rPr>
              <w:t>公共運輸處為提供乾淨整潔之市容環境，辦理公車候車亭清潔維護工作採購案，惟履約期間廠商提送之估驗計價履約文件，存有不同時間、地點之維護照片，涉有高度雷同者共305張，有待檢討改善。</w:t>
            </w:r>
          </w:p>
        </w:tc>
        <w:tc>
          <w:tcPr>
            <w:tcW w:w="928" w:type="pct"/>
            <w:vMerge/>
            <w:tcBorders>
              <w:left w:val="single" w:sz="4" w:space="0" w:color="auto"/>
              <w:right w:val="single" w:sz="4" w:space="0" w:color="auto"/>
              <w:tl2br w:val="single" w:sz="4" w:space="0" w:color="auto"/>
            </w:tcBorders>
            <w:vAlign w:val="center"/>
          </w:tcPr>
          <w:p w14:paraId="62EE8E55" w14:textId="77777777" w:rsidR="00CC5AFC" w:rsidRPr="00430C9E" w:rsidRDefault="00CC5AFC" w:rsidP="00824CD6">
            <w:pPr>
              <w:spacing w:line="260" w:lineRule="exact"/>
              <w:rPr>
                <w:rFonts w:ascii="標楷體" w:eastAsia="標楷體" w:hAnsi="標楷體" w:cs="Times New Roman"/>
                <w:sz w:val="20"/>
                <w:szCs w:val="20"/>
              </w:rPr>
            </w:pPr>
          </w:p>
        </w:tc>
      </w:tr>
      <w:tr w:rsidR="00CC5AFC" w:rsidRPr="00430C9E" w14:paraId="675E6C98" w14:textId="77777777" w:rsidTr="00FB1A40">
        <w:trPr>
          <w:trHeight w:val="794"/>
        </w:trPr>
        <w:tc>
          <w:tcPr>
            <w:tcW w:w="4072" w:type="pct"/>
            <w:tcBorders>
              <w:top w:val="single" w:sz="4" w:space="0" w:color="auto"/>
              <w:left w:val="single" w:sz="4" w:space="0" w:color="auto"/>
              <w:bottom w:val="single" w:sz="4" w:space="0" w:color="auto"/>
              <w:right w:val="single" w:sz="4" w:space="0" w:color="auto"/>
            </w:tcBorders>
            <w:vAlign w:val="center"/>
          </w:tcPr>
          <w:p w14:paraId="03420250" w14:textId="77777777" w:rsidR="00CC5AFC" w:rsidRPr="00430C9E" w:rsidRDefault="00CC5AFC" w:rsidP="005B024E">
            <w:pPr>
              <w:adjustRightInd w:val="0"/>
              <w:snapToGrid w:val="0"/>
              <w:spacing w:line="280" w:lineRule="exact"/>
              <w:ind w:leftChars="-9" w:left="560" w:hangingChars="291" w:hanging="582"/>
              <w:jc w:val="both"/>
              <w:rPr>
                <w:rFonts w:ascii="標楷體" w:eastAsia="標楷體" w:hAnsi="標楷體" w:cs="Times New Roman"/>
                <w:sz w:val="20"/>
                <w:szCs w:val="20"/>
              </w:rPr>
            </w:pPr>
            <w:r w:rsidRPr="00843FF4">
              <w:rPr>
                <w:rFonts w:ascii="標楷體" w:eastAsia="標楷體" w:hAnsi="標楷體" w:cs="Times New Roman" w:hint="eastAsia"/>
                <w:sz w:val="20"/>
                <w:szCs w:val="20"/>
              </w:rPr>
              <w:t>（七）</w:t>
            </w:r>
            <w:proofErr w:type="gramStart"/>
            <w:r w:rsidRPr="00826A4E">
              <w:rPr>
                <w:rFonts w:ascii="標楷體" w:eastAsia="標楷體" w:hAnsi="標楷體" w:cs="Times New Roman" w:hint="eastAsia"/>
                <w:sz w:val="20"/>
                <w:szCs w:val="20"/>
              </w:rPr>
              <w:t>臺</w:t>
            </w:r>
            <w:proofErr w:type="gramEnd"/>
            <w:r w:rsidRPr="00826A4E">
              <w:rPr>
                <w:rFonts w:ascii="標楷體" w:eastAsia="標楷體" w:hAnsi="標楷體" w:cs="Times New Roman" w:hint="eastAsia"/>
                <w:sz w:val="20"/>
                <w:szCs w:val="20"/>
              </w:rPr>
              <w:t>北大眾捷運股份有限公司為美化</w:t>
            </w:r>
            <w:proofErr w:type="gramStart"/>
            <w:r w:rsidRPr="00826A4E">
              <w:rPr>
                <w:rFonts w:ascii="標楷體" w:eastAsia="標楷體" w:hAnsi="標楷體" w:cs="Times New Roman" w:hint="eastAsia"/>
                <w:sz w:val="20"/>
                <w:szCs w:val="20"/>
              </w:rPr>
              <w:t>臺</w:t>
            </w:r>
            <w:proofErr w:type="gramEnd"/>
            <w:r w:rsidRPr="00826A4E">
              <w:rPr>
                <w:rFonts w:ascii="標楷體" w:eastAsia="標楷體" w:hAnsi="標楷體" w:cs="Times New Roman" w:hint="eastAsia"/>
                <w:sz w:val="20"/>
                <w:szCs w:val="20"/>
              </w:rPr>
              <w:t>北捷運</w:t>
            </w:r>
            <w:proofErr w:type="gramStart"/>
            <w:r w:rsidRPr="00826A4E">
              <w:rPr>
                <w:rFonts w:ascii="標楷體" w:eastAsia="標楷體" w:hAnsi="標楷體" w:cs="Times New Roman" w:hint="eastAsia"/>
                <w:sz w:val="20"/>
                <w:szCs w:val="20"/>
              </w:rPr>
              <w:t>文湖線</w:t>
            </w:r>
            <w:proofErr w:type="gramEnd"/>
            <w:r w:rsidRPr="00826A4E">
              <w:rPr>
                <w:rFonts w:ascii="標楷體" w:eastAsia="標楷體" w:hAnsi="標楷體" w:cs="Times New Roman" w:hint="eastAsia"/>
                <w:sz w:val="20"/>
                <w:szCs w:val="20"/>
              </w:rPr>
              <w:t>、板南線、松山線沿線之交通環境，辦理景觀植栽維護勞務採購案，惟履約期間廠商</w:t>
            </w:r>
            <w:proofErr w:type="gramStart"/>
            <w:r w:rsidRPr="00826A4E">
              <w:rPr>
                <w:rFonts w:ascii="標楷體" w:eastAsia="標楷體" w:hAnsi="標楷體" w:cs="Times New Roman" w:hint="eastAsia"/>
                <w:sz w:val="20"/>
                <w:szCs w:val="20"/>
              </w:rPr>
              <w:t>提送估驗</w:t>
            </w:r>
            <w:proofErr w:type="gramEnd"/>
            <w:r w:rsidRPr="00826A4E">
              <w:rPr>
                <w:rFonts w:ascii="標楷體" w:eastAsia="標楷體" w:hAnsi="標楷體" w:cs="Times New Roman" w:hint="eastAsia"/>
                <w:sz w:val="20"/>
                <w:szCs w:val="20"/>
              </w:rPr>
              <w:t>計價履約文件，存有不同時間、地點之維護照片，涉有高度雷同者共246張，有待檢討改善。</w:t>
            </w:r>
          </w:p>
        </w:tc>
        <w:tc>
          <w:tcPr>
            <w:tcW w:w="928" w:type="pct"/>
            <w:vMerge/>
            <w:tcBorders>
              <w:left w:val="single" w:sz="4" w:space="0" w:color="auto"/>
              <w:right w:val="single" w:sz="4" w:space="0" w:color="auto"/>
              <w:tl2br w:val="single" w:sz="4" w:space="0" w:color="auto"/>
            </w:tcBorders>
            <w:vAlign w:val="center"/>
          </w:tcPr>
          <w:p w14:paraId="165F76D4" w14:textId="77777777" w:rsidR="00CC5AFC" w:rsidRPr="00430C9E" w:rsidRDefault="00CC5AFC" w:rsidP="00824CD6">
            <w:pPr>
              <w:spacing w:line="260" w:lineRule="exact"/>
              <w:rPr>
                <w:rFonts w:ascii="標楷體" w:eastAsia="標楷體" w:hAnsi="標楷體" w:cs="Times New Roman"/>
                <w:sz w:val="20"/>
                <w:szCs w:val="20"/>
              </w:rPr>
            </w:pPr>
          </w:p>
        </w:tc>
      </w:tr>
      <w:bookmarkEnd w:id="56"/>
    </w:tbl>
    <w:p w14:paraId="1DA26F99" w14:textId="4CD55978" w:rsidR="007B1B13" w:rsidRPr="007B1B13" w:rsidRDefault="00C0210B" w:rsidP="007B1B13">
      <w:pPr>
        <w:widowControl/>
        <w:rPr>
          <w:rFonts w:ascii="標楷體" w:eastAsia="標楷體" w:hAnsi="標楷體"/>
          <w:b/>
          <w:bCs/>
          <w:sz w:val="36"/>
          <w:szCs w:val="36"/>
        </w:rPr>
      </w:pPr>
      <w:r>
        <w:rPr>
          <w:rFonts w:ascii="標楷體" w:eastAsia="標楷體" w:hAnsi="標楷體" w:cs="Times New Roman"/>
          <w:b/>
          <w:sz w:val="36"/>
          <w:szCs w:val="36"/>
        </w:rPr>
        <w:br w:type="page"/>
      </w:r>
      <w:r w:rsidR="007B1B13" w:rsidRPr="007B1B13">
        <w:rPr>
          <w:rFonts w:ascii="標楷體" w:eastAsia="標楷體" w:hAnsi="標楷體" w:hint="eastAsia"/>
          <w:b/>
          <w:bCs/>
          <w:sz w:val="36"/>
          <w:szCs w:val="36"/>
        </w:rPr>
        <w:lastRenderedPageBreak/>
        <w:t>玖、</w:t>
      </w:r>
      <w:r w:rsidR="007B1B13" w:rsidRPr="007B1B13">
        <w:rPr>
          <w:rFonts w:ascii="標楷體" w:eastAsia="標楷體" w:hAnsi="標楷體" w:cs="Times New Roman" w:hint="eastAsia"/>
          <w:b/>
          <w:bCs/>
          <w:sz w:val="36"/>
          <w:szCs w:val="36"/>
        </w:rPr>
        <w:t>社會局</w:t>
      </w:r>
      <w:r w:rsidR="007B1B13" w:rsidRPr="007B1B13">
        <w:rPr>
          <w:rFonts w:ascii="標楷體" w:eastAsia="標楷體" w:hAnsi="標楷體" w:hint="eastAsia"/>
          <w:b/>
          <w:bCs/>
          <w:sz w:val="36"/>
          <w:szCs w:val="36"/>
        </w:rPr>
        <w:t>主管</w:t>
      </w:r>
    </w:p>
    <w:p w14:paraId="7B9FFDDF" w14:textId="77777777" w:rsidR="007B1B13" w:rsidRDefault="007B1B13" w:rsidP="007B1B13">
      <w:pPr>
        <w:pStyle w:val="05"/>
        <w:spacing w:before="120" w:beforeAutospacing="0" w:after="120" w:afterAutospacing="0"/>
        <w:ind w:firstLine="480"/>
      </w:pPr>
      <w:r>
        <w:rPr>
          <w:rFonts w:hint="eastAsia"/>
        </w:rPr>
        <w:t>社會局主管計有公務機關4個，非營業特種基金單位1個，各該單位決算及附屬單位決算非營業部分之審核情形如次：</w:t>
      </w:r>
    </w:p>
    <w:p w14:paraId="43DB442E" w14:textId="77777777" w:rsidR="007B1B13" w:rsidRDefault="007B1B13" w:rsidP="00902B73">
      <w:pPr>
        <w:spacing w:beforeLines="50" w:before="180" w:line="460" w:lineRule="exact"/>
        <w:jc w:val="both"/>
        <w:outlineLvl w:val="2"/>
        <w:rPr>
          <w:rFonts w:ascii="標楷體" w:eastAsia="標楷體"/>
          <w:b/>
          <w:sz w:val="32"/>
          <w:szCs w:val="32"/>
        </w:rPr>
      </w:pPr>
      <w:r>
        <w:rPr>
          <w:rFonts w:ascii="標楷體" w:eastAsia="標楷體" w:hint="eastAsia"/>
          <w:b/>
          <w:sz w:val="32"/>
          <w:szCs w:val="32"/>
        </w:rPr>
        <w:t>一、單位決算部分</w:t>
      </w:r>
    </w:p>
    <w:p w14:paraId="4DD36F67" w14:textId="77777777" w:rsidR="007B1B13" w:rsidRDefault="007B1B13" w:rsidP="00902B73">
      <w:pPr>
        <w:pStyle w:val="05"/>
        <w:spacing w:beforeLines="30" w:before="108" w:beforeAutospacing="0" w:after="0" w:afterAutospacing="0"/>
        <w:ind w:firstLine="480"/>
      </w:pPr>
      <w:r>
        <w:rPr>
          <w:rFonts w:hint="eastAsia"/>
        </w:rPr>
        <w:t>社會局主管包括社會局、陽明教養院、浩然敬老院、家庭暴力暨性侵害防治中心等4個機關，掌理臺北市社會福利服務之規劃與推展，包括救助服務、不同族群與對象之保護、支持、成長與發展等福利政策與措施、社區工作、志願服務等。茲將</w:t>
      </w:r>
      <w:proofErr w:type="gramStart"/>
      <w:r>
        <w:rPr>
          <w:rFonts w:hint="eastAsia"/>
        </w:rPr>
        <w:t>113</w:t>
      </w:r>
      <w:proofErr w:type="gramEnd"/>
      <w:r>
        <w:rPr>
          <w:rFonts w:hint="eastAsia"/>
        </w:rPr>
        <w:t>年度決算審核結果說明如次：</w:t>
      </w:r>
    </w:p>
    <w:p w14:paraId="4365A254" w14:textId="77777777" w:rsidR="007B1B13" w:rsidRDefault="007B1B13" w:rsidP="00902B73">
      <w:pPr>
        <w:spacing w:beforeLines="30" w:before="108" w:line="460" w:lineRule="exact"/>
        <w:ind w:firstLineChars="100" w:firstLine="280"/>
        <w:jc w:val="both"/>
        <w:outlineLvl w:val="3"/>
        <w:rPr>
          <w:rFonts w:ascii="標楷體" w:eastAsia="標楷體"/>
          <w:b/>
          <w:sz w:val="28"/>
          <w:szCs w:val="28"/>
        </w:rPr>
      </w:pPr>
      <w:r>
        <w:rPr>
          <w:rFonts w:ascii="標楷體" w:eastAsia="標楷體" w:hint="eastAsia"/>
          <w:b/>
          <w:sz w:val="28"/>
          <w:szCs w:val="28"/>
        </w:rPr>
        <w:t>（一）計畫實施之查核</w:t>
      </w:r>
    </w:p>
    <w:p w14:paraId="2D11372D" w14:textId="77777777" w:rsidR="007B1B13" w:rsidRDefault="007B1B13" w:rsidP="00826ADA">
      <w:pPr>
        <w:pStyle w:val="05"/>
        <w:spacing w:before="0" w:beforeAutospacing="0" w:after="0" w:afterAutospacing="0"/>
        <w:ind w:firstLine="484"/>
        <w:rPr>
          <w:color w:val="FF0000"/>
          <w:spacing w:val="1"/>
        </w:rPr>
      </w:pPr>
      <w:r>
        <w:rPr>
          <w:rFonts w:hint="eastAsia"/>
          <w:spacing w:val="1"/>
        </w:rPr>
        <w:t>業務計畫</w:t>
      </w:r>
      <w:r>
        <w:rPr>
          <w:rFonts w:hint="eastAsia"/>
          <w:color w:val="000000" w:themeColor="text1"/>
          <w:spacing w:val="1"/>
        </w:rPr>
        <w:t>17</w:t>
      </w:r>
      <w:r>
        <w:rPr>
          <w:rFonts w:hint="eastAsia"/>
          <w:spacing w:val="1"/>
        </w:rPr>
        <w:t>項，下分工作計</w:t>
      </w:r>
      <w:r>
        <w:rPr>
          <w:rFonts w:hint="eastAsia"/>
          <w:color w:val="000000" w:themeColor="text1"/>
          <w:spacing w:val="1"/>
        </w:rPr>
        <w:t>畫23</w:t>
      </w:r>
      <w:r>
        <w:rPr>
          <w:rFonts w:hint="eastAsia"/>
          <w:spacing w:val="1"/>
        </w:rPr>
        <w:t>項，包括推動多元方案協助經濟弱勢自立、布建社福設施及完善服務體系，保障弱勢居住權益、建</w:t>
      </w:r>
      <w:proofErr w:type="gramStart"/>
      <w:r>
        <w:rPr>
          <w:rFonts w:hint="eastAsia"/>
          <w:spacing w:val="1"/>
        </w:rPr>
        <w:t>構長青樂齡</w:t>
      </w:r>
      <w:proofErr w:type="gramEnd"/>
      <w:r>
        <w:rPr>
          <w:rFonts w:hint="eastAsia"/>
          <w:spacing w:val="1"/>
        </w:rPr>
        <w:t>環境</w:t>
      </w:r>
      <w:r>
        <w:rPr>
          <w:rFonts w:hAnsi="標楷體" w:hint="eastAsia"/>
          <w:spacing w:val="1"/>
        </w:rPr>
        <w:t>、打造友善生養城市、深化社區</w:t>
      </w:r>
      <w:proofErr w:type="gramStart"/>
      <w:r>
        <w:rPr>
          <w:rFonts w:hAnsi="標楷體" w:hint="eastAsia"/>
          <w:spacing w:val="1"/>
        </w:rPr>
        <w:t>多元障</w:t>
      </w:r>
      <w:proofErr w:type="gramEnd"/>
      <w:r>
        <w:rPr>
          <w:rFonts w:hAnsi="標楷體" w:hint="eastAsia"/>
          <w:spacing w:val="1"/>
        </w:rPr>
        <w:t>別及家庭支持服務，促進生活共融、強化社區安全網絡、精進福利機構服務及照顧品質</w:t>
      </w:r>
      <w:r>
        <w:rPr>
          <w:rFonts w:hint="eastAsia"/>
          <w:spacing w:val="1"/>
        </w:rPr>
        <w:t>等重要施政項目，其中已執行完成者</w:t>
      </w:r>
      <w:r>
        <w:rPr>
          <w:rFonts w:hint="eastAsia"/>
          <w:color w:val="000000" w:themeColor="text1"/>
          <w:spacing w:val="1"/>
        </w:rPr>
        <w:t>14</w:t>
      </w:r>
      <w:r>
        <w:rPr>
          <w:rFonts w:hint="eastAsia"/>
          <w:spacing w:val="1"/>
        </w:rPr>
        <w:t>項，尚在執行者</w:t>
      </w:r>
      <w:r>
        <w:rPr>
          <w:rFonts w:hint="eastAsia"/>
          <w:color w:val="000000" w:themeColor="text1"/>
          <w:spacing w:val="1"/>
        </w:rPr>
        <w:t>9</w:t>
      </w:r>
      <w:r>
        <w:rPr>
          <w:rFonts w:hint="eastAsia"/>
          <w:spacing w:val="1"/>
        </w:rPr>
        <w:t>項，主要係</w:t>
      </w:r>
      <w:r>
        <w:rPr>
          <w:rFonts w:hint="eastAsia"/>
          <w:color w:val="000000" w:themeColor="text1"/>
          <w:spacing w:val="1"/>
        </w:rPr>
        <w:t>社會局辦理社區照顧關懷據點並設置巷</w:t>
      </w:r>
      <w:proofErr w:type="gramStart"/>
      <w:r>
        <w:rPr>
          <w:rFonts w:hint="eastAsia"/>
          <w:color w:val="000000" w:themeColor="text1"/>
          <w:spacing w:val="1"/>
        </w:rPr>
        <w:t>弄長照站</w:t>
      </w:r>
      <w:proofErr w:type="gramEnd"/>
      <w:r>
        <w:rPr>
          <w:rFonts w:hint="eastAsia"/>
          <w:color w:val="000000" w:themeColor="text1"/>
          <w:spacing w:val="1"/>
        </w:rPr>
        <w:t>整合計畫及減少照護機構</w:t>
      </w:r>
      <w:proofErr w:type="gramStart"/>
      <w:r>
        <w:rPr>
          <w:rFonts w:hint="eastAsia"/>
          <w:color w:val="000000" w:themeColor="text1"/>
          <w:spacing w:val="1"/>
        </w:rPr>
        <w:t>住民至醫療機構</w:t>
      </w:r>
      <w:proofErr w:type="gramEnd"/>
      <w:r>
        <w:rPr>
          <w:rFonts w:hint="eastAsia"/>
          <w:color w:val="000000" w:themeColor="text1"/>
          <w:spacing w:val="1"/>
        </w:rPr>
        <w:t>就醫方案</w:t>
      </w:r>
      <w:r>
        <w:rPr>
          <w:rFonts w:hAnsi="標楷體" w:hint="eastAsia"/>
          <w:color w:val="000000" w:themeColor="text1"/>
          <w:spacing w:val="1"/>
        </w:rPr>
        <w:t>，</w:t>
      </w:r>
      <w:proofErr w:type="gramStart"/>
      <w:r>
        <w:rPr>
          <w:rFonts w:hAnsi="標楷體" w:hint="eastAsia"/>
          <w:color w:val="000000" w:themeColor="text1"/>
          <w:spacing w:val="1"/>
        </w:rPr>
        <w:t>與</w:t>
      </w:r>
      <w:r>
        <w:rPr>
          <w:rFonts w:hint="eastAsia"/>
          <w:color w:val="000000" w:themeColor="text1"/>
          <w:spacing w:val="1"/>
        </w:rPr>
        <w:t>參建忠義</w:t>
      </w:r>
      <w:proofErr w:type="gramEnd"/>
      <w:r>
        <w:rPr>
          <w:rFonts w:hint="eastAsia"/>
          <w:color w:val="000000" w:themeColor="text1"/>
          <w:spacing w:val="1"/>
        </w:rPr>
        <w:t>教育社</w:t>
      </w:r>
      <w:proofErr w:type="gramStart"/>
      <w:r>
        <w:rPr>
          <w:rFonts w:hint="eastAsia"/>
          <w:color w:val="000000" w:themeColor="text1"/>
          <w:spacing w:val="1"/>
        </w:rPr>
        <w:t>福園區暨捷運</w:t>
      </w:r>
      <w:proofErr w:type="gramEnd"/>
      <w:r>
        <w:rPr>
          <w:rFonts w:hint="eastAsia"/>
          <w:color w:val="000000" w:themeColor="text1"/>
          <w:spacing w:val="1"/>
        </w:rPr>
        <w:t>共構大樓等新建工程，或因未及於年度內完成核銷作業，</w:t>
      </w:r>
      <w:r>
        <w:rPr>
          <w:rFonts w:hint="eastAsia"/>
          <w:spacing w:val="1"/>
        </w:rPr>
        <w:t>或尚在執行中，仍須保留繼續執行。</w:t>
      </w:r>
    </w:p>
    <w:p w14:paraId="087E77D7" w14:textId="77777777" w:rsidR="007B1B13" w:rsidRDefault="007B1B13" w:rsidP="00902B73">
      <w:pPr>
        <w:spacing w:beforeLines="30" w:before="108" w:line="460" w:lineRule="exact"/>
        <w:ind w:firstLineChars="100" w:firstLine="280"/>
        <w:jc w:val="both"/>
        <w:outlineLvl w:val="3"/>
        <w:rPr>
          <w:rFonts w:ascii="標楷體" w:eastAsia="標楷體"/>
          <w:b/>
          <w:sz w:val="28"/>
          <w:szCs w:val="28"/>
        </w:rPr>
      </w:pPr>
      <w:r>
        <w:rPr>
          <w:rFonts w:ascii="標楷體" w:eastAsia="標楷體" w:hint="eastAsia"/>
          <w:b/>
          <w:sz w:val="28"/>
          <w:szCs w:val="28"/>
        </w:rPr>
        <w:t>（二）預算執行之審核</w:t>
      </w:r>
    </w:p>
    <w:p w14:paraId="76C8394F" w14:textId="77777777" w:rsidR="007B1B13" w:rsidRDefault="007B1B13" w:rsidP="00902B73">
      <w:pPr>
        <w:pStyle w:val="05"/>
        <w:spacing w:beforeLines="20" w:before="72" w:beforeAutospacing="0" w:after="0" w:afterAutospacing="0"/>
        <w:ind w:firstLine="480"/>
        <w:rPr>
          <w:color w:val="EE0000"/>
        </w:rPr>
      </w:pPr>
      <w:r>
        <w:rPr>
          <w:rFonts w:hint="eastAsia"/>
        </w:rPr>
        <w:t>1.歲入原編列預算數1億3,772萬餘元，經追加預算53億5,506萬餘元，合計54億9,279萬餘元，決算審核結果，</w:t>
      </w:r>
      <w:r w:rsidRPr="00365115">
        <w:rPr>
          <w:rFonts w:hint="eastAsia"/>
          <w:color w:val="000000" w:themeColor="text1"/>
          <w:spacing w:val="1"/>
        </w:rPr>
        <w:t>審定</w:t>
      </w:r>
      <w:r>
        <w:rPr>
          <w:rFonts w:hint="eastAsia"/>
        </w:rPr>
        <w:t>實現數53億8,512萬餘元，應收保留數1,678萬餘元，主要係衛生福利部補助辦理臺北市新移民婦女暨家庭服務中心及減少住民就醫方案</w:t>
      </w:r>
      <w:r>
        <w:rPr>
          <w:rFonts w:hAnsi="標楷體" w:hint="eastAsia"/>
        </w:rPr>
        <w:t>，</w:t>
      </w:r>
      <w:proofErr w:type="gramStart"/>
      <w:r>
        <w:rPr>
          <w:rFonts w:hint="eastAsia"/>
        </w:rPr>
        <w:t>尚待依執行</w:t>
      </w:r>
      <w:proofErr w:type="gramEnd"/>
      <w:r>
        <w:rPr>
          <w:rFonts w:hint="eastAsia"/>
        </w:rPr>
        <w:t>進度申撥款項；合計決算審定數為54億190</w:t>
      </w:r>
      <w:r w:rsidRPr="00826ADA">
        <w:rPr>
          <w:rFonts w:hint="eastAsia"/>
          <w:color w:val="000000" w:themeColor="text1"/>
          <w:spacing w:val="1"/>
        </w:rPr>
        <w:t>萬餘</w:t>
      </w:r>
      <w:r>
        <w:rPr>
          <w:rFonts w:hint="eastAsia"/>
        </w:rPr>
        <w:t>元，較預算減少9,089萬餘元（1.65％），主要係中央政府補助社會局辦理</w:t>
      </w:r>
      <w:proofErr w:type="gramStart"/>
      <w:r>
        <w:rPr>
          <w:rFonts w:hint="eastAsia"/>
        </w:rPr>
        <w:t>111</w:t>
      </w:r>
      <w:proofErr w:type="gramEnd"/>
      <w:r>
        <w:rPr>
          <w:rFonts w:hint="eastAsia"/>
        </w:rPr>
        <w:t>年度長照2.0整合型計畫有關長照服務給付及支付、營養餐飲請增經費，依實際執行數</w:t>
      </w:r>
      <w:proofErr w:type="gramStart"/>
      <w:r>
        <w:rPr>
          <w:rFonts w:hint="eastAsia"/>
        </w:rPr>
        <w:t>減撥所</w:t>
      </w:r>
      <w:proofErr w:type="gramEnd"/>
      <w:r>
        <w:rPr>
          <w:rFonts w:hint="eastAsia"/>
        </w:rPr>
        <w:t>致。</w:t>
      </w:r>
    </w:p>
    <w:p w14:paraId="6086352B" w14:textId="77777777" w:rsidR="00826ADA" w:rsidRDefault="007B1B13" w:rsidP="00902B73">
      <w:pPr>
        <w:pStyle w:val="05"/>
        <w:spacing w:beforeLines="10" w:before="36" w:beforeAutospacing="0" w:after="0" w:afterAutospacing="0"/>
        <w:ind w:firstLine="480"/>
      </w:pPr>
      <w:r>
        <w:rPr>
          <w:rFonts w:hint="eastAsia"/>
        </w:rPr>
        <w:t>2.以前年度歲入轉入數計2,567萬餘元，決算審核結果，審定實現數2,167萬餘元（84.44％）</w:t>
      </w:r>
      <w:r>
        <w:rPr>
          <w:rFonts w:hAnsi="標楷體" w:hint="eastAsia"/>
        </w:rPr>
        <w:t>，</w:t>
      </w:r>
      <w:r>
        <w:rPr>
          <w:rFonts w:hint="eastAsia"/>
        </w:rPr>
        <w:t>減免（註銷）數72萬餘元（2.84％），主要係社會局應收違反性騷擾防治法等行政罰鍰案件取得執行憑證後辦理註銷；應收保留數326萬餘元（12.73％），主要</w:t>
      </w:r>
      <w:proofErr w:type="gramStart"/>
      <w:r>
        <w:rPr>
          <w:rFonts w:hint="eastAsia"/>
        </w:rPr>
        <w:t>係溢列</w:t>
      </w:r>
      <w:proofErr w:type="gramEnd"/>
      <w:r>
        <w:rPr>
          <w:rFonts w:hint="eastAsia"/>
        </w:rPr>
        <w:t>老人保護安置費及違反性騷擾防治法等行政罰鍰尚待收繳，須保留繼續執行。</w:t>
      </w:r>
    </w:p>
    <w:p w14:paraId="0DFC9634" w14:textId="77777777" w:rsidR="00AE147C" w:rsidRPr="00AE00FE" w:rsidRDefault="007B1B13" w:rsidP="00826ADA">
      <w:pPr>
        <w:pStyle w:val="a7"/>
        <w:adjustRightInd w:val="0"/>
        <w:spacing w:before="120" w:after="120"/>
        <w:ind w:firstLine="480"/>
        <w:rPr>
          <w:color w:val="auto"/>
          <w:spacing w:val="2"/>
        </w:rPr>
      </w:pPr>
      <w:r>
        <w:rPr>
          <w:rFonts w:hint="eastAsia"/>
          <w:color w:val="auto"/>
        </w:rPr>
        <w:t>3.歲出原編列預算數207億7,707萬餘元，經追加預算54億2,776萬餘元，追減預算2,572</w:t>
      </w:r>
      <w:r w:rsidRPr="00AE00FE">
        <w:rPr>
          <w:rFonts w:hint="eastAsia"/>
          <w:color w:val="auto"/>
          <w:spacing w:val="2"/>
        </w:rPr>
        <w:t>萬餘元</w:t>
      </w:r>
      <w:r w:rsidRPr="00AE00FE">
        <w:rPr>
          <w:rFonts w:hint="eastAsia"/>
          <w:spacing w:val="2"/>
        </w:rPr>
        <w:t>，並因社會局人事費不足申請動支各</w:t>
      </w:r>
      <w:r w:rsidRPr="00AE00FE">
        <w:rPr>
          <w:rFonts w:hint="eastAsia"/>
          <w:color w:val="auto"/>
          <w:spacing w:val="2"/>
        </w:rPr>
        <w:t>類員工待遇準備2,225萬餘元，合計262億136萬</w:t>
      </w:r>
    </w:p>
    <w:p w14:paraId="40654187" w14:textId="386ECEB4" w:rsidR="007B1B13" w:rsidRPr="00826ADA" w:rsidRDefault="007B1B13" w:rsidP="00AE147C">
      <w:pPr>
        <w:pStyle w:val="a7"/>
        <w:adjustRightInd w:val="0"/>
        <w:spacing w:before="120" w:after="120"/>
        <w:ind w:firstLineChars="0" w:firstLine="0"/>
      </w:pPr>
      <w:r>
        <w:rPr>
          <w:rFonts w:hint="eastAsia"/>
          <w:color w:val="auto"/>
        </w:rPr>
        <w:lastRenderedPageBreak/>
        <w:t>餘元，決算審核結果</w:t>
      </w:r>
      <w:r>
        <w:rPr>
          <w:rFonts w:hAnsi="標楷體" w:hint="eastAsia"/>
          <w:color w:val="auto"/>
        </w:rPr>
        <w:t>，</w:t>
      </w:r>
      <w:r>
        <w:rPr>
          <w:rFonts w:hint="eastAsia"/>
          <w:color w:val="auto"/>
        </w:rPr>
        <w:t>審定實現數243億2,332萬餘元（92.83％），應付保留數5億402萬餘元（1.92％）</w:t>
      </w:r>
      <w:r>
        <w:rPr>
          <w:rFonts w:hint="eastAsia"/>
        </w:rPr>
        <w:t>，保留原因詳「（一）計畫實施之查核」說明；合計決算審定數為248億2,735萬餘元，預算賸餘13億7,401萬餘元（5.24％），主要係社會局依實際需求辦理社會福利津貼及補助案件較預計減少之賸餘。</w:t>
      </w:r>
    </w:p>
    <w:p w14:paraId="078FB748" w14:textId="43CA935D" w:rsidR="007B1B13" w:rsidRDefault="007B1B13" w:rsidP="007B1B13">
      <w:pPr>
        <w:pStyle w:val="a7"/>
        <w:adjustRightInd w:val="0"/>
        <w:spacing w:before="120" w:after="120"/>
        <w:ind w:firstLine="480"/>
      </w:pPr>
      <w:r>
        <w:rPr>
          <w:rFonts w:hint="eastAsia"/>
          <w:color w:val="auto"/>
        </w:rPr>
        <w:t>4.以前年度歲出轉入數計11億811萬餘元，決算審核結果，審定實現數7億1,098萬餘元（64.16％）</w:t>
      </w:r>
      <w:r>
        <w:rPr>
          <w:rFonts w:hint="eastAsia"/>
        </w:rPr>
        <w:t>，</w:t>
      </w:r>
      <w:r>
        <w:rPr>
          <w:rFonts w:hint="eastAsia"/>
          <w:color w:val="auto"/>
        </w:rPr>
        <w:t>減免（註銷）數1億5,033萬餘元（13.57％）</w:t>
      </w:r>
      <w:r>
        <w:rPr>
          <w:rFonts w:hint="eastAsia"/>
        </w:rPr>
        <w:t>，主要係中央政府補助社會局辦理</w:t>
      </w:r>
      <w:proofErr w:type="gramStart"/>
      <w:r>
        <w:rPr>
          <w:rFonts w:hint="eastAsia"/>
        </w:rPr>
        <w:t>112</w:t>
      </w:r>
      <w:proofErr w:type="gramEnd"/>
      <w:r>
        <w:rPr>
          <w:rFonts w:hint="eastAsia"/>
        </w:rPr>
        <w:t>年度住宿式服務機構使用者補助方案之賸餘；應付保留數2億4,679萬餘元（22.27％），主要係社會局</w:t>
      </w:r>
      <w:proofErr w:type="gramStart"/>
      <w:r>
        <w:rPr>
          <w:rFonts w:hint="eastAsia"/>
        </w:rPr>
        <w:t>參建廣</w:t>
      </w:r>
      <w:proofErr w:type="gramEnd"/>
      <w:r>
        <w:rPr>
          <w:rFonts w:hint="eastAsia"/>
        </w:rPr>
        <w:t>慈博愛園區</w:t>
      </w:r>
      <w:r>
        <w:rPr>
          <w:rFonts w:ascii="新細明體" w:eastAsia="新細明體" w:hAnsi="新細明體" w:hint="eastAsia"/>
        </w:rPr>
        <w:t>、</w:t>
      </w:r>
      <w:r>
        <w:rPr>
          <w:rFonts w:hint="eastAsia"/>
        </w:rPr>
        <w:t>中山區培英基地及內湖區河濱高中基地社會住宅等新建</w:t>
      </w:r>
      <w:r w:rsidR="00D537EA">
        <w:rPr>
          <w:rFonts w:hint="eastAsia"/>
        </w:rPr>
        <w:t>（</w:t>
      </w:r>
      <w:r>
        <w:rPr>
          <w:rFonts w:hint="eastAsia"/>
        </w:rPr>
        <w:t>統包</w:t>
      </w:r>
      <w:r w:rsidR="00D537EA">
        <w:rPr>
          <w:rFonts w:hint="eastAsia"/>
        </w:rPr>
        <w:t>）</w:t>
      </w:r>
      <w:r>
        <w:rPr>
          <w:rFonts w:hint="eastAsia"/>
        </w:rPr>
        <w:t>工程，尚在執行中，須保留繼續執行。</w:t>
      </w:r>
    </w:p>
    <w:p w14:paraId="2F76F377" w14:textId="77777777" w:rsidR="007B1B13" w:rsidRDefault="007B1B13" w:rsidP="00902B73">
      <w:pPr>
        <w:spacing w:beforeLines="50" w:before="180" w:line="460" w:lineRule="exact"/>
        <w:jc w:val="both"/>
        <w:outlineLvl w:val="2"/>
        <w:rPr>
          <w:rFonts w:ascii="標楷體" w:eastAsia="標楷體"/>
          <w:b/>
          <w:sz w:val="32"/>
          <w:szCs w:val="32"/>
        </w:rPr>
      </w:pPr>
      <w:r>
        <w:rPr>
          <w:rFonts w:ascii="標楷體" w:eastAsia="標楷體" w:hint="eastAsia"/>
          <w:b/>
          <w:sz w:val="32"/>
          <w:szCs w:val="32"/>
        </w:rPr>
        <w:t>二、附屬單位決算非營業部分</w:t>
      </w:r>
    </w:p>
    <w:p w14:paraId="0166D973" w14:textId="77777777" w:rsidR="007B1B13" w:rsidRDefault="007B1B13" w:rsidP="00902B73">
      <w:pPr>
        <w:pStyle w:val="05"/>
        <w:spacing w:beforeLines="20" w:before="72" w:beforeAutospacing="0" w:after="0" w:afterAutospacing="0"/>
        <w:ind w:firstLine="456"/>
        <w:rPr>
          <w:spacing w:val="-6"/>
        </w:rPr>
      </w:pPr>
      <w:r>
        <w:rPr>
          <w:rFonts w:hint="eastAsia"/>
          <w:spacing w:val="-6"/>
        </w:rPr>
        <w:t>社會局主管僅特別收入基金－臺北市公益彩券盈餘分配基金1個單位。茲將</w:t>
      </w:r>
      <w:proofErr w:type="gramStart"/>
      <w:r>
        <w:rPr>
          <w:rFonts w:hint="eastAsia"/>
          <w:spacing w:val="-6"/>
        </w:rPr>
        <w:t>113</w:t>
      </w:r>
      <w:proofErr w:type="gramEnd"/>
      <w:r>
        <w:rPr>
          <w:rFonts w:hint="eastAsia"/>
          <w:spacing w:val="-6"/>
        </w:rPr>
        <w:t>年度決算審核結果說明如次：</w:t>
      </w:r>
    </w:p>
    <w:p w14:paraId="61B0D39D" w14:textId="77777777" w:rsidR="007B1B13" w:rsidRDefault="007B1B13" w:rsidP="00902B73">
      <w:pPr>
        <w:spacing w:beforeLines="30" w:before="108" w:line="460" w:lineRule="exact"/>
        <w:ind w:firstLineChars="100" w:firstLine="280"/>
        <w:jc w:val="both"/>
        <w:outlineLvl w:val="3"/>
        <w:rPr>
          <w:rFonts w:ascii="標楷體" w:eastAsia="標楷體"/>
          <w:b/>
          <w:sz w:val="28"/>
          <w:szCs w:val="28"/>
        </w:rPr>
      </w:pPr>
      <w:r>
        <w:rPr>
          <w:rFonts w:ascii="標楷體" w:eastAsia="標楷體" w:hint="eastAsia"/>
          <w:b/>
          <w:sz w:val="28"/>
          <w:szCs w:val="28"/>
        </w:rPr>
        <w:t>（一）計畫實施之查核</w:t>
      </w:r>
    </w:p>
    <w:p w14:paraId="57B308C6" w14:textId="77777777" w:rsidR="007B1B13" w:rsidRDefault="007B1B13" w:rsidP="00FD3789">
      <w:pPr>
        <w:pStyle w:val="05"/>
        <w:spacing w:beforeLines="20" w:before="72" w:beforeAutospacing="0" w:afterLines="50" w:after="180" w:afterAutospacing="0"/>
        <w:ind w:firstLine="480"/>
      </w:pPr>
      <w:r>
        <w:rPr>
          <w:rFonts w:hint="eastAsia"/>
        </w:rPr>
        <w:t>業務計畫僅列有社會福利及慈善公益計畫1項，實施結果，因補助辦理老人社會參與方案</w:t>
      </w:r>
      <w:r>
        <w:rPr>
          <w:rFonts w:hAnsi="標楷體" w:hint="eastAsia"/>
        </w:rPr>
        <w:t>（據點）案件未如預期</w:t>
      </w:r>
      <w:r>
        <w:rPr>
          <w:rFonts w:hint="eastAsia"/>
        </w:rPr>
        <w:t>，致未達預計目標。</w:t>
      </w:r>
    </w:p>
    <w:p w14:paraId="0A6477F6" w14:textId="77777777" w:rsidR="007B1B13" w:rsidRDefault="007B1B13" w:rsidP="00902B73">
      <w:pPr>
        <w:spacing w:beforeLines="30" w:before="108" w:line="460" w:lineRule="exact"/>
        <w:ind w:firstLineChars="100" w:firstLine="280"/>
        <w:jc w:val="both"/>
        <w:outlineLvl w:val="3"/>
        <w:rPr>
          <w:rFonts w:ascii="標楷體" w:eastAsia="標楷體"/>
          <w:b/>
          <w:sz w:val="28"/>
          <w:szCs w:val="28"/>
        </w:rPr>
      </w:pPr>
      <w:r>
        <w:rPr>
          <w:rFonts w:ascii="標楷體" w:eastAsia="標楷體" w:hint="eastAsia"/>
          <w:b/>
          <w:sz w:val="28"/>
          <w:szCs w:val="28"/>
        </w:rPr>
        <w:t>（二）餘</w:t>
      </w:r>
      <w:proofErr w:type="gramStart"/>
      <w:r>
        <w:rPr>
          <w:rFonts w:ascii="標楷體" w:eastAsia="標楷體" w:hint="eastAsia"/>
          <w:b/>
          <w:sz w:val="28"/>
          <w:szCs w:val="28"/>
        </w:rPr>
        <w:t>絀</w:t>
      </w:r>
      <w:proofErr w:type="gramEnd"/>
      <w:r>
        <w:rPr>
          <w:rFonts w:ascii="標楷體" w:eastAsia="標楷體" w:hint="eastAsia"/>
          <w:b/>
          <w:sz w:val="28"/>
          <w:szCs w:val="28"/>
        </w:rPr>
        <w:t>之審定</w:t>
      </w:r>
    </w:p>
    <w:p w14:paraId="4B5ADEA6" w14:textId="77777777" w:rsidR="007B1B13" w:rsidRDefault="007B1B13" w:rsidP="00FD3789">
      <w:pPr>
        <w:pStyle w:val="05"/>
        <w:spacing w:beforeLines="20" w:before="72" w:beforeAutospacing="0" w:afterLines="50" w:after="180" w:afterAutospacing="0"/>
        <w:ind w:firstLine="472"/>
        <w:rPr>
          <w:spacing w:val="-2"/>
        </w:rPr>
      </w:pPr>
      <w:r>
        <w:rPr>
          <w:rFonts w:hint="eastAsia"/>
          <w:spacing w:val="-2"/>
        </w:rPr>
        <w:t>決算審核結果，審定賸餘4億6,087萬餘元，與預算短</w:t>
      </w:r>
      <w:proofErr w:type="gramStart"/>
      <w:r>
        <w:rPr>
          <w:rFonts w:hint="eastAsia"/>
          <w:spacing w:val="-2"/>
        </w:rPr>
        <w:t>絀</w:t>
      </w:r>
      <w:proofErr w:type="gramEnd"/>
      <w:r>
        <w:rPr>
          <w:rFonts w:hint="eastAsia"/>
          <w:spacing w:val="-2"/>
        </w:rPr>
        <w:t>4億9,089萬餘元，相距9億5,176萬餘元</w:t>
      </w:r>
      <w:r>
        <w:rPr>
          <w:rFonts w:hAnsi="標楷體" w:hint="eastAsia"/>
          <w:spacing w:val="-2"/>
        </w:rPr>
        <w:t>，主</w:t>
      </w:r>
      <w:r>
        <w:rPr>
          <w:rFonts w:hint="eastAsia"/>
          <w:spacing w:val="-2"/>
        </w:rPr>
        <w:t>要係公益彩券銷售量較預計為佳，依法獲配盈餘</w:t>
      </w:r>
      <w:proofErr w:type="gramStart"/>
      <w:r>
        <w:rPr>
          <w:rFonts w:hint="eastAsia"/>
          <w:spacing w:val="-2"/>
        </w:rPr>
        <w:t>收入隨增所</w:t>
      </w:r>
      <w:proofErr w:type="gramEnd"/>
      <w:r>
        <w:rPr>
          <w:rFonts w:hint="eastAsia"/>
          <w:spacing w:val="-2"/>
        </w:rPr>
        <w:t>致。</w:t>
      </w:r>
    </w:p>
    <w:p w14:paraId="781C6EAD" w14:textId="77777777" w:rsidR="007B1B13" w:rsidRDefault="007B1B13" w:rsidP="00902B73">
      <w:pPr>
        <w:spacing w:beforeLines="50" w:before="180" w:line="460" w:lineRule="exact"/>
        <w:jc w:val="both"/>
        <w:outlineLvl w:val="2"/>
        <w:rPr>
          <w:rFonts w:ascii="標楷體" w:eastAsia="標楷體"/>
          <w:b/>
          <w:sz w:val="32"/>
          <w:szCs w:val="32"/>
        </w:rPr>
      </w:pPr>
      <w:r>
        <w:rPr>
          <w:rFonts w:ascii="標楷體" w:eastAsia="標楷體" w:hint="eastAsia"/>
          <w:b/>
          <w:sz w:val="32"/>
          <w:szCs w:val="32"/>
        </w:rPr>
        <w:t>三、重要審核意見</w:t>
      </w:r>
    </w:p>
    <w:p w14:paraId="75CEE405" w14:textId="77777777" w:rsidR="007B1B13" w:rsidRDefault="007B1B13" w:rsidP="00FD3789">
      <w:pPr>
        <w:pStyle w:val="04"/>
        <w:widowControl w:val="0"/>
        <w:suppressAutoHyphens w:val="0"/>
        <w:spacing w:beforeLines="50" w:before="180" w:line="500" w:lineRule="exact"/>
        <w:ind w:firstLine="280"/>
        <w:rPr>
          <w:rFonts w:hAnsi="標楷體"/>
          <w:b w:val="0"/>
          <w:color w:val="000000" w:themeColor="text1"/>
          <w:spacing w:val="-4"/>
          <w:sz w:val="24"/>
        </w:rPr>
      </w:pPr>
      <w:r>
        <w:rPr>
          <w:rFonts w:hint="eastAsia"/>
          <w:szCs w:val="28"/>
        </w:rPr>
        <w:t>（一）</w:t>
      </w:r>
      <w:r>
        <w:rPr>
          <w:rFonts w:hint="eastAsia"/>
          <w:spacing w:val="-4"/>
          <w:szCs w:val="28"/>
        </w:rPr>
        <w:t>持續提供多元托育服務，健全友善育兒環境，</w:t>
      </w:r>
      <w:proofErr w:type="gramStart"/>
      <w:r>
        <w:rPr>
          <w:rFonts w:hint="eastAsia"/>
          <w:spacing w:val="-4"/>
          <w:szCs w:val="28"/>
        </w:rPr>
        <w:t>惟核有</w:t>
      </w:r>
      <w:proofErr w:type="gramEnd"/>
      <w:r>
        <w:rPr>
          <w:rFonts w:hint="eastAsia"/>
          <w:spacing w:val="-4"/>
          <w:szCs w:val="28"/>
        </w:rPr>
        <w:t>公共化及</w:t>
      </w:r>
      <w:proofErr w:type="gramStart"/>
      <w:r>
        <w:rPr>
          <w:rFonts w:hint="eastAsia"/>
          <w:spacing w:val="-4"/>
          <w:szCs w:val="28"/>
        </w:rPr>
        <w:t>準</w:t>
      </w:r>
      <w:proofErr w:type="gramEnd"/>
      <w:r>
        <w:rPr>
          <w:rFonts w:hint="eastAsia"/>
          <w:spacing w:val="-4"/>
          <w:szCs w:val="28"/>
        </w:rPr>
        <w:t>公共托育服務量能未達預計目標、逾半</w:t>
      </w:r>
      <w:proofErr w:type="gramStart"/>
      <w:r>
        <w:rPr>
          <w:rFonts w:hint="eastAsia"/>
          <w:spacing w:val="-4"/>
          <w:szCs w:val="28"/>
        </w:rPr>
        <w:t>準</w:t>
      </w:r>
      <w:proofErr w:type="gramEnd"/>
      <w:r>
        <w:rPr>
          <w:rFonts w:hint="eastAsia"/>
          <w:spacing w:val="-4"/>
          <w:szCs w:val="28"/>
        </w:rPr>
        <w:t>公共托育業者未符申請優化照顧比獎勵資格而中斷獎助、居家托育服務中心訪視輔導員工作負荷</w:t>
      </w:r>
      <w:proofErr w:type="gramStart"/>
      <w:r>
        <w:rPr>
          <w:rFonts w:hint="eastAsia"/>
          <w:spacing w:val="-4"/>
          <w:szCs w:val="28"/>
        </w:rPr>
        <w:t>不</w:t>
      </w:r>
      <w:proofErr w:type="gramEnd"/>
      <w:r>
        <w:rPr>
          <w:rFonts w:hint="eastAsia"/>
          <w:spacing w:val="-4"/>
          <w:szCs w:val="28"/>
        </w:rPr>
        <w:t>一等情，均有待檢討改善。</w:t>
      </w:r>
    </w:p>
    <w:p w14:paraId="1D0E99B7" w14:textId="77777777" w:rsidR="007B1B13" w:rsidRDefault="007B1B13" w:rsidP="00FD3789">
      <w:pPr>
        <w:pStyle w:val="a7"/>
        <w:spacing w:beforeLines="50" w:before="180" w:after="0" w:line="480" w:lineRule="exact"/>
        <w:ind w:firstLine="480"/>
        <w:rPr>
          <w:rFonts w:hAnsi="標楷體" w:cs="細明體"/>
          <w:kern w:val="0"/>
          <w:szCs w:val="32"/>
        </w:rPr>
      </w:pPr>
      <w:r>
        <w:rPr>
          <w:rFonts w:hAnsi="標楷體" w:cs="細明體" w:hint="eastAsia"/>
          <w:kern w:val="0"/>
          <w:szCs w:val="32"/>
        </w:rPr>
        <w:t>社會局為提供多元托育服務，健全友善育兒環境，</w:t>
      </w:r>
      <w:proofErr w:type="gramStart"/>
      <w:r>
        <w:rPr>
          <w:rFonts w:hAnsi="標楷體" w:cs="細明體" w:hint="eastAsia"/>
          <w:kern w:val="0"/>
          <w:szCs w:val="32"/>
        </w:rPr>
        <w:t>113</w:t>
      </w:r>
      <w:proofErr w:type="gramEnd"/>
      <w:r>
        <w:rPr>
          <w:rFonts w:hAnsi="標楷體" w:cs="細明體" w:hint="eastAsia"/>
          <w:kern w:val="0"/>
          <w:szCs w:val="32"/>
        </w:rPr>
        <w:t>年度於公務預算及臺北市公益彩券盈餘分配基金編列預算共4億3,517萬餘元，持續</w:t>
      </w:r>
      <w:proofErr w:type="gramStart"/>
      <w:r>
        <w:rPr>
          <w:rFonts w:hAnsi="標楷體" w:cs="細明體" w:hint="eastAsia"/>
          <w:kern w:val="0"/>
          <w:szCs w:val="32"/>
        </w:rPr>
        <w:t>布建公辦</w:t>
      </w:r>
      <w:proofErr w:type="gramEnd"/>
      <w:r>
        <w:rPr>
          <w:rFonts w:hAnsi="標楷體" w:cs="細明體" w:hint="eastAsia"/>
          <w:kern w:val="0"/>
          <w:szCs w:val="32"/>
        </w:rPr>
        <w:t>民營托嬰機構，及推動</w:t>
      </w:r>
      <w:proofErr w:type="gramStart"/>
      <w:r>
        <w:rPr>
          <w:rFonts w:hAnsi="標楷體" w:cs="細明體" w:hint="eastAsia"/>
          <w:kern w:val="0"/>
          <w:szCs w:val="32"/>
        </w:rPr>
        <w:t>準</w:t>
      </w:r>
      <w:proofErr w:type="gramEnd"/>
      <w:r>
        <w:rPr>
          <w:rFonts w:hAnsi="標楷體" w:cs="細明體" w:hint="eastAsia"/>
          <w:kern w:val="0"/>
          <w:szCs w:val="32"/>
        </w:rPr>
        <w:t>公共托育服務，並獎勵優化照顧比，以擴展平價、優質、近便之托育服務，並委託民間團體於臺北市12個行政區辦理居家托育服務中心，進行居家托育人員管理輔導及提供有托育需求家長諮詢及媒合管道。經查執行情形，核有下列事項：</w:t>
      </w:r>
    </w:p>
    <w:p w14:paraId="2DA71DE8" w14:textId="59ABE0BD" w:rsidR="00F01D09" w:rsidRDefault="00F01D09" w:rsidP="00F01D09">
      <w:pPr>
        <w:pStyle w:val="a7"/>
        <w:spacing w:before="0" w:after="0" w:line="430" w:lineRule="exact"/>
        <w:ind w:firstLine="480"/>
        <w:rPr>
          <w:rFonts w:hAnsi="標楷體" w:cs="細明體"/>
          <w:kern w:val="0"/>
          <w:szCs w:val="32"/>
        </w:rPr>
      </w:pPr>
      <w:r>
        <w:rPr>
          <w:rFonts w:hint="eastAsia"/>
          <w:noProof/>
        </w:rPr>
        <w:lastRenderedPageBreak/>
        <mc:AlternateContent>
          <mc:Choice Requires="wps">
            <w:drawing>
              <wp:anchor distT="45720" distB="45720" distL="114300" distR="114300" simplePos="0" relativeHeight="251755520" behindDoc="1" locked="0" layoutInCell="1" allowOverlap="1" wp14:anchorId="24DDE728" wp14:editId="0D19A19D">
                <wp:simplePos x="0" y="0"/>
                <wp:positionH relativeFrom="page">
                  <wp:posOffset>1866900</wp:posOffset>
                </wp:positionH>
                <wp:positionV relativeFrom="paragraph">
                  <wp:posOffset>5611495</wp:posOffset>
                </wp:positionV>
                <wp:extent cx="5135880" cy="3275965"/>
                <wp:effectExtent l="0" t="0" r="7620" b="635"/>
                <wp:wrapTight wrapText="bothSides">
                  <wp:wrapPolygon edited="0">
                    <wp:start x="0" y="0"/>
                    <wp:lineTo x="0" y="21479"/>
                    <wp:lineTo x="21552" y="21479"/>
                    <wp:lineTo x="21552" y="0"/>
                    <wp:lineTo x="0" y="0"/>
                  </wp:wrapPolygon>
                </wp:wrapTight>
                <wp:docPr id="927419640" name="文字方塊 927419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5880" cy="3275965"/>
                        </a:xfrm>
                        <a:prstGeom prst="rect">
                          <a:avLst/>
                        </a:prstGeom>
                        <a:solidFill>
                          <a:srgbClr val="FFFFFF"/>
                        </a:solidFill>
                        <a:ln w="9525">
                          <a:noFill/>
                          <a:miter lim="800000"/>
                          <a:headEnd/>
                          <a:tailEnd/>
                        </a:ln>
                      </wps:spPr>
                      <wps:txbx>
                        <w:txbxContent>
                          <w:tbl>
                            <w:tblPr>
                              <w:tblW w:w="7935" w:type="dxa"/>
                              <w:tblInd w:w="-142" w:type="dxa"/>
                              <w:tblLayout w:type="fixed"/>
                              <w:tblCellMar>
                                <w:left w:w="28" w:type="dxa"/>
                                <w:right w:w="28" w:type="dxa"/>
                              </w:tblCellMar>
                              <w:tblLook w:val="04A0" w:firstRow="1" w:lastRow="0" w:firstColumn="1" w:lastColumn="0" w:noHBand="0" w:noVBand="1"/>
                            </w:tblPr>
                            <w:tblGrid>
                              <w:gridCol w:w="416"/>
                              <w:gridCol w:w="801"/>
                              <w:gridCol w:w="557"/>
                              <w:gridCol w:w="557"/>
                              <w:gridCol w:w="558"/>
                              <w:gridCol w:w="558"/>
                              <w:gridCol w:w="558"/>
                              <w:gridCol w:w="558"/>
                              <w:gridCol w:w="558"/>
                              <w:gridCol w:w="559"/>
                              <w:gridCol w:w="558"/>
                              <w:gridCol w:w="558"/>
                              <w:gridCol w:w="558"/>
                              <w:gridCol w:w="581"/>
                            </w:tblGrid>
                            <w:tr w:rsidR="007B1B13" w14:paraId="5782D293" w14:textId="77777777">
                              <w:trPr>
                                <w:trHeight w:val="283"/>
                              </w:trPr>
                              <w:tc>
                                <w:tcPr>
                                  <w:tcW w:w="7928" w:type="dxa"/>
                                  <w:gridSpan w:val="14"/>
                                  <w:vAlign w:val="center"/>
                                  <w:hideMark/>
                                </w:tcPr>
                                <w:p w14:paraId="34DE8436" w14:textId="77777777" w:rsidR="007B1B13" w:rsidRDefault="007B1B13">
                                  <w:pPr>
                                    <w:spacing w:line="220" w:lineRule="exact"/>
                                    <w:ind w:leftChars="5" w:left="12" w:rightChars="5" w:right="12"/>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表1　臺北市公共及</w:t>
                                  </w:r>
                                  <w:proofErr w:type="gramStart"/>
                                  <w:r>
                                    <w:rPr>
                                      <w:rFonts w:ascii="標楷體" w:eastAsia="標楷體" w:hAnsi="標楷體" w:cs="新細明體" w:hint="eastAsia"/>
                                      <w:b/>
                                      <w:bCs/>
                                      <w:color w:val="000000"/>
                                      <w:kern w:val="0"/>
                                    </w:rPr>
                                    <w:t>準</w:t>
                                  </w:r>
                                  <w:proofErr w:type="gramEnd"/>
                                  <w:r>
                                    <w:rPr>
                                      <w:rFonts w:ascii="標楷體" w:eastAsia="標楷體" w:hAnsi="標楷體" w:cs="新細明體" w:hint="eastAsia"/>
                                      <w:b/>
                                      <w:bCs/>
                                      <w:color w:val="000000"/>
                                      <w:kern w:val="0"/>
                                    </w:rPr>
                                    <w:t>公共托嬰量能供給及使用狀況</w:t>
                                  </w:r>
                                </w:p>
                              </w:tc>
                            </w:tr>
                            <w:tr w:rsidR="007B1B13" w14:paraId="1CFCDA4B" w14:textId="77777777">
                              <w:trPr>
                                <w:trHeight w:val="283"/>
                              </w:trPr>
                              <w:tc>
                                <w:tcPr>
                                  <w:tcW w:w="7928" w:type="dxa"/>
                                  <w:gridSpan w:val="14"/>
                                  <w:tcBorders>
                                    <w:top w:val="nil"/>
                                    <w:left w:val="nil"/>
                                    <w:bottom w:val="single" w:sz="4" w:space="0" w:color="auto"/>
                                    <w:right w:val="nil"/>
                                  </w:tcBorders>
                                  <w:vAlign w:val="center"/>
                                  <w:hideMark/>
                                </w:tcPr>
                                <w:p w14:paraId="50D52BC4" w14:textId="71E5DC85" w:rsidR="007B1B13" w:rsidRDefault="007B1B13">
                                  <w:pPr>
                                    <w:spacing w:line="220" w:lineRule="exact"/>
                                    <w:ind w:leftChars="5" w:left="12" w:rightChars="5" w:right="1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r w:rsidR="00025E8C">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人、％</w:t>
                                  </w:r>
                                </w:p>
                              </w:tc>
                            </w:tr>
                            <w:tr w:rsidR="007B1B13" w14:paraId="008DE263" w14:textId="77777777">
                              <w:trPr>
                                <w:trHeight w:val="283"/>
                              </w:trPr>
                              <w:tc>
                                <w:tcPr>
                                  <w:tcW w:w="1214" w:type="dxa"/>
                                  <w:gridSpan w:val="2"/>
                                  <w:tcBorders>
                                    <w:top w:val="single" w:sz="4" w:space="0" w:color="auto"/>
                                    <w:left w:val="single" w:sz="4" w:space="0" w:color="auto"/>
                                    <w:bottom w:val="single" w:sz="4" w:space="0" w:color="auto"/>
                                    <w:right w:val="single" w:sz="4" w:space="0" w:color="auto"/>
                                  </w:tcBorders>
                                  <w:vAlign w:val="center"/>
                                  <w:hideMark/>
                                </w:tcPr>
                                <w:p w14:paraId="2B4F2BCA" w14:textId="77777777" w:rsidR="007B1B13" w:rsidRDefault="007B1B13">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2227" w:type="dxa"/>
                                  <w:gridSpan w:val="4"/>
                                  <w:tcBorders>
                                    <w:top w:val="single" w:sz="4" w:space="0" w:color="auto"/>
                                    <w:left w:val="nil"/>
                                    <w:bottom w:val="single" w:sz="4" w:space="0" w:color="auto"/>
                                    <w:right w:val="single" w:sz="4" w:space="0" w:color="auto"/>
                                  </w:tcBorders>
                                  <w:vAlign w:val="center"/>
                                  <w:hideMark/>
                                </w:tcPr>
                                <w:p w14:paraId="174FB53C" w14:textId="77777777" w:rsidR="007B1B13" w:rsidRDefault="007B1B13">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核定收托人數（A）</w:t>
                                  </w:r>
                                </w:p>
                              </w:tc>
                              <w:tc>
                                <w:tcPr>
                                  <w:tcW w:w="2233" w:type="dxa"/>
                                  <w:gridSpan w:val="4"/>
                                  <w:tcBorders>
                                    <w:top w:val="single" w:sz="4" w:space="0" w:color="auto"/>
                                    <w:left w:val="nil"/>
                                    <w:bottom w:val="single" w:sz="4" w:space="0" w:color="auto"/>
                                    <w:right w:val="single" w:sz="4" w:space="0" w:color="auto"/>
                                  </w:tcBorders>
                                  <w:vAlign w:val="center"/>
                                  <w:hideMark/>
                                </w:tcPr>
                                <w:p w14:paraId="67E871E5" w14:textId="77777777" w:rsidR="007B1B13" w:rsidRDefault="007B1B13">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實際收托人數（B）</w:t>
                                  </w:r>
                                </w:p>
                              </w:tc>
                              <w:tc>
                                <w:tcPr>
                                  <w:tcW w:w="2254" w:type="dxa"/>
                                  <w:gridSpan w:val="4"/>
                                  <w:tcBorders>
                                    <w:top w:val="single" w:sz="4" w:space="0" w:color="auto"/>
                                    <w:left w:val="nil"/>
                                    <w:bottom w:val="single" w:sz="4" w:space="0" w:color="auto"/>
                                    <w:right w:val="single" w:sz="4" w:space="0" w:color="auto"/>
                                  </w:tcBorders>
                                  <w:vAlign w:val="center"/>
                                  <w:hideMark/>
                                </w:tcPr>
                                <w:p w14:paraId="5B6659BF" w14:textId="10440454" w:rsidR="007B1B13" w:rsidRDefault="007B1B13">
                                  <w:pPr>
                                    <w:spacing w:line="220" w:lineRule="exact"/>
                                    <w:ind w:leftChars="5" w:left="12" w:rightChars="5" w:right="12"/>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收托率</w:t>
                                  </w:r>
                                  <w:proofErr w:type="gramEnd"/>
                                  <w:r>
                                    <w:rPr>
                                      <w:rFonts w:ascii="標楷體" w:eastAsia="標楷體" w:hAnsi="標楷體" w:cs="新細明體" w:hint="eastAsia"/>
                                      <w:color w:val="000000"/>
                                      <w:spacing w:val="-20"/>
                                      <w:kern w:val="0"/>
                                      <w:sz w:val="20"/>
                                      <w:szCs w:val="20"/>
                                    </w:rPr>
                                    <w:t>（C）=（B/A</w:t>
                                  </w:r>
                                  <w:r w:rsidR="00870502">
                                    <w:rPr>
                                      <w:rFonts w:ascii="標楷體" w:eastAsia="標楷體" w:hAnsi="標楷體" w:cs="新細明體" w:hint="eastAsia"/>
                                      <w:color w:val="000000"/>
                                      <w:spacing w:val="-20"/>
                                      <w:kern w:val="0"/>
                                      <w:sz w:val="20"/>
                                      <w:szCs w:val="20"/>
                                    </w:rPr>
                                    <w:t>×</w:t>
                                  </w:r>
                                  <w:r w:rsidR="00870502">
                                    <w:rPr>
                                      <w:rFonts w:ascii="標楷體" w:eastAsia="標楷體" w:hAnsi="標楷體" w:cs="新細明體"/>
                                      <w:color w:val="000000"/>
                                      <w:spacing w:val="-20"/>
                                      <w:kern w:val="0"/>
                                      <w:sz w:val="20"/>
                                      <w:szCs w:val="20"/>
                                    </w:rPr>
                                    <w:t>100</w:t>
                                  </w:r>
                                  <w:r>
                                    <w:rPr>
                                      <w:rFonts w:ascii="標楷體" w:eastAsia="標楷體" w:hAnsi="標楷體" w:cs="新細明體" w:hint="eastAsia"/>
                                      <w:color w:val="000000"/>
                                      <w:spacing w:val="-20"/>
                                      <w:kern w:val="0"/>
                                      <w:sz w:val="20"/>
                                      <w:szCs w:val="20"/>
                                    </w:rPr>
                                    <w:t>）</w:t>
                                  </w:r>
                                </w:p>
                              </w:tc>
                            </w:tr>
                            <w:tr w:rsidR="007B1B13" w14:paraId="517607A3" w14:textId="77777777">
                              <w:trPr>
                                <w:trHeight w:val="283"/>
                              </w:trPr>
                              <w:tc>
                                <w:tcPr>
                                  <w:tcW w:w="1214" w:type="dxa"/>
                                  <w:gridSpan w:val="2"/>
                                  <w:tcBorders>
                                    <w:top w:val="single" w:sz="4" w:space="0" w:color="auto"/>
                                    <w:left w:val="single" w:sz="4" w:space="0" w:color="auto"/>
                                    <w:bottom w:val="single" w:sz="4" w:space="0" w:color="auto"/>
                                    <w:right w:val="single" w:sz="4" w:space="0" w:color="auto"/>
                                  </w:tcBorders>
                                  <w:vAlign w:val="center"/>
                                  <w:hideMark/>
                                </w:tcPr>
                                <w:p w14:paraId="5E3295F4" w14:textId="77777777" w:rsidR="007B1B13" w:rsidRDefault="007B1B13">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556" w:type="dxa"/>
                                  <w:tcBorders>
                                    <w:top w:val="nil"/>
                                    <w:left w:val="nil"/>
                                    <w:bottom w:val="single" w:sz="4" w:space="0" w:color="auto"/>
                                    <w:right w:val="single" w:sz="4" w:space="0" w:color="auto"/>
                                  </w:tcBorders>
                                  <w:vAlign w:val="center"/>
                                  <w:hideMark/>
                                </w:tcPr>
                                <w:p w14:paraId="55AF8F00"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110</w:t>
                                  </w:r>
                                </w:p>
                              </w:tc>
                              <w:tc>
                                <w:tcPr>
                                  <w:tcW w:w="556" w:type="dxa"/>
                                  <w:tcBorders>
                                    <w:top w:val="nil"/>
                                    <w:left w:val="nil"/>
                                    <w:bottom w:val="single" w:sz="4" w:space="0" w:color="auto"/>
                                    <w:right w:val="single" w:sz="4" w:space="0" w:color="auto"/>
                                  </w:tcBorders>
                                  <w:vAlign w:val="center"/>
                                  <w:hideMark/>
                                </w:tcPr>
                                <w:p w14:paraId="4B0DE4BE" w14:textId="77777777" w:rsidR="007B1B13" w:rsidRDefault="007B1B13">
                                  <w:pPr>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111</w:t>
                                  </w:r>
                                </w:p>
                              </w:tc>
                              <w:tc>
                                <w:tcPr>
                                  <w:tcW w:w="557" w:type="dxa"/>
                                  <w:tcBorders>
                                    <w:top w:val="nil"/>
                                    <w:left w:val="nil"/>
                                    <w:bottom w:val="single" w:sz="4" w:space="0" w:color="auto"/>
                                    <w:right w:val="single" w:sz="4" w:space="0" w:color="auto"/>
                                  </w:tcBorders>
                                  <w:noWrap/>
                                  <w:vAlign w:val="center"/>
                                  <w:hideMark/>
                                </w:tcPr>
                                <w:p w14:paraId="6F0D1C85"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112</w:t>
                                  </w:r>
                                </w:p>
                              </w:tc>
                              <w:tc>
                                <w:tcPr>
                                  <w:tcW w:w="558" w:type="dxa"/>
                                  <w:tcBorders>
                                    <w:top w:val="nil"/>
                                    <w:left w:val="nil"/>
                                    <w:bottom w:val="single" w:sz="4" w:space="0" w:color="auto"/>
                                    <w:right w:val="single" w:sz="4" w:space="0" w:color="auto"/>
                                  </w:tcBorders>
                                  <w:noWrap/>
                                  <w:vAlign w:val="center"/>
                                  <w:hideMark/>
                                </w:tcPr>
                                <w:p w14:paraId="650C0FCD"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113</w:t>
                                  </w:r>
                                </w:p>
                              </w:tc>
                              <w:tc>
                                <w:tcPr>
                                  <w:tcW w:w="558" w:type="dxa"/>
                                  <w:tcBorders>
                                    <w:top w:val="nil"/>
                                    <w:left w:val="nil"/>
                                    <w:bottom w:val="single" w:sz="4" w:space="0" w:color="auto"/>
                                    <w:right w:val="single" w:sz="4" w:space="0" w:color="auto"/>
                                  </w:tcBorders>
                                  <w:vAlign w:val="center"/>
                                  <w:hideMark/>
                                </w:tcPr>
                                <w:p w14:paraId="1AC7247C"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110</w:t>
                                  </w:r>
                                </w:p>
                              </w:tc>
                              <w:tc>
                                <w:tcPr>
                                  <w:tcW w:w="558" w:type="dxa"/>
                                  <w:tcBorders>
                                    <w:top w:val="nil"/>
                                    <w:left w:val="nil"/>
                                    <w:bottom w:val="single" w:sz="4" w:space="0" w:color="auto"/>
                                    <w:right w:val="single" w:sz="4" w:space="0" w:color="auto"/>
                                  </w:tcBorders>
                                  <w:vAlign w:val="center"/>
                                  <w:hideMark/>
                                </w:tcPr>
                                <w:p w14:paraId="64CF69EF" w14:textId="77777777" w:rsidR="007B1B13" w:rsidRDefault="007B1B13">
                                  <w:pPr>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111</w:t>
                                  </w:r>
                                </w:p>
                              </w:tc>
                              <w:tc>
                                <w:tcPr>
                                  <w:tcW w:w="558" w:type="dxa"/>
                                  <w:tcBorders>
                                    <w:top w:val="nil"/>
                                    <w:left w:val="nil"/>
                                    <w:bottom w:val="single" w:sz="4" w:space="0" w:color="auto"/>
                                    <w:right w:val="single" w:sz="4" w:space="0" w:color="auto"/>
                                  </w:tcBorders>
                                  <w:noWrap/>
                                  <w:vAlign w:val="center"/>
                                  <w:hideMark/>
                                </w:tcPr>
                                <w:p w14:paraId="041FDB35"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112</w:t>
                                  </w:r>
                                </w:p>
                              </w:tc>
                              <w:tc>
                                <w:tcPr>
                                  <w:tcW w:w="559" w:type="dxa"/>
                                  <w:tcBorders>
                                    <w:top w:val="nil"/>
                                    <w:left w:val="nil"/>
                                    <w:bottom w:val="single" w:sz="4" w:space="0" w:color="auto"/>
                                    <w:right w:val="single" w:sz="4" w:space="0" w:color="auto"/>
                                  </w:tcBorders>
                                  <w:noWrap/>
                                  <w:vAlign w:val="center"/>
                                  <w:hideMark/>
                                </w:tcPr>
                                <w:p w14:paraId="55292A83"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113</w:t>
                                  </w:r>
                                </w:p>
                              </w:tc>
                              <w:tc>
                                <w:tcPr>
                                  <w:tcW w:w="558" w:type="dxa"/>
                                  <w:tcBorders>
                                    <w:top w:val="single" w:sz="4" w:space="0" w:color="auto"/>
                                    <w:left w:val="nil"/>
                                    <w:bottom w:val="single" w:sz="4" w:space="0" w:color="auto"/>
                                    <w:right w:val="single" w:sz="4" w:space="0" w:color="auto"/>
                                  </w:tcBorders>
                                  <w:vAlign w:val="center"/>
                                  <w:hideMark/>
                                </w:tcPr>
                                <w:p w14:paraId="2750CE84"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110</w:t>
                                  </w:r>
                                </w:p>
                              </w:tc>
                              <w:tc>
                                <w:tcPr>
                                  <w:tcW w:w="558" w:type="dxa"/>
                                  <w:tcBorders>
                                    <w:top w:val="single" w:sz="4" w:space="0" w:color="auto"/>
                                    <w:left w:val="nil"/>
                                    <w:bottom w:val="single" w:sz="4" w:space="0" w:color="auto"/>
                                    <w:right w:val="single" w:sz="4" w:space="0" w:color="auto"/>
                                  </w:tcBorders>
                                  <w:vAlign w:val="center"/>
                                  <w:hideMark/>
                                </w:tcPr>
                                <w:p w14:paraId="620F5925" w14:textId="77777777" w:rsidR="007B1B13" w:rsidRDefault="007B1B13">
                                  <w:pPr>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111</w:t>
                                  </w:r>
                                </w:p>
                              </w:tc>
                              <w:tc>
                                <w:tcPr>
                                  <w:tcW w:w="558" w:type="dxa"/>
                                  <w:tcBorders>
                                    <w:top w:val="single" w:sz="4" w:space="0" w:color="auto"/>
                                    <w:left w:val="single" w:sz="4" w:space="0" w:color="auto"/>
                                    <w:bottom w:val="single" w:sz="4" w:space="0" w:color="auto"/>
                                    <w:right w:val="single" w:sz="4" w:space="0" w:color="auto"/>
                                  </w:tcBorders>
                                  <w:vAlign w:val="center"/>
                                  <w:hideMark/>
                                </w:tcPr>
                                <w:p w14:paraId="01DBCD51"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112</w:t>
                                  </w:r>
                                </w:p>
                              </w:tc>
                              <w:tc>
                                <w:tcPr>
                                  <w:tcW w:w="580" w:type="dxa"/>
                                  <w:tcBorders>
                                    <w:top w:val="single" w:sz="4" w:space="0" w:color="auto"/>
                                    <w:left w:val="single" w:sz="4" w:space="0" w:color="auto"/>
                                    <w:bottom w:val="single" w:sz="4" w:space="0" w:color="auto"/>
                                    <w:right w:val="single" w:sz="4" w:space="0" w:color="auto"/>
                                  </w:tcBorders>
                                  <w:vAlign w:val="center"/>
                                  <w:hideMark/>
                                </w:tcPr>
                                <w:p w14:paraId="68604CFA"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113</w:t>
                                  </w:r>
                                </w:p>
                              </w:tc>
                            </w:tr>
                            <w:tr w:rsidR="007B1B13" w14:paraId="0B59A74F" w14:textId="77777777">
                              <w:trPr>
                                <w:trHeight w:val="283"/>
                              </w:trPr>
                              <w:tc>
                                <w:tcPr>
                                  <w:tcW w:w="1214" w:type="dxa"/>
                                  <w:gridSpan w:val="2"/>
                                  <w:tcBorders>
                                    <w:top w:val="single" w:sz="4" w:space="0" w:color="auto"/>
                                    <w:left w:val="single" w:sz="4" w:space="0" w:color="auto"/>
                                    <w:bottom w:val="single" w:sz="4" w:space="0" w:color="auto"/>
                                    <w:right w:val="single" w:sz="4" w:space="0" w:color="auto"/>
                                  </w:tcBorders>
                                  <w:vAlign w:val="center"/>
                                  <w:hideMark/>
                                </w:tcPr>
                                <w:p w14:paraId="380FC983" w14:textId="77777777" w:rsidR="007B1B13" w:rsidRDefault="007B1B13">
                                  <w:pPr>
                                    <w:widowControl/>
                                    <w:spacing w:line="280" w:lineRule="exact"/>
                                    <w:jc w:val="center"/>
                                    <w:rPr>
                                      <w:rFonts w:ascii="標楷體" w:eastAsia="標楷體" w:hAnsi="標楷體" w:cs="新細明體"/>
                                      <w:b/>
                                      <w:bCs/>
                                      <w:color w:val="000000"/>
                                      <w:spacing w:val="-8"/>
                                      <w:kern w:val="0"/>
                                      <w:sz w:val="20"/>
                                      <w:szCs w:val="20"/>
                                    </w:rPr>
                                  </w:pPr>
                                  <w:r>
                                    <w:rPr>
                                      <w:rFonts w:ascii="標楷體" w:eastAsia="標楷體" w:hAnsi="標楷體" w:cs="新細明體" w:hint="eastAsia"/>
                                      <w:b/>
                                      <w:bCs/>
                                      <w:color w:val="000000"/>
                                      <w:spacing w:val="-8"/>
                                      <w:kern w:val="0"/>
                                      <w:sz w:val="20"/>
                                      <w:szCs w:val="20"/>
                                    </w:rPr>
                                    <w:t>機構類合計</w:t>
                                  </w:r>
                                </w:p>
                              </w:tc>
                              <w:tc>
                                <w:tcPr>
                                  <w:tcW w:w="556" w:type="dxa"/>
                                  <w:tcBorders>
                                    <w:top w:val="nil"/>
                                    <w:left w:val="nil"/>
                                    <w:bottom w:val="single" w:sz="4" w:space="0" w:color="auto"/>
                                    <w:right w:val="single" w:sz="4" w:space="0" w:color="auto"/>
                                  </w:tcBorders>
                                  <w:vAlign w:val="center"/>
                                  <w:hideMark/>
                                </w:tcPr>
                                <w:p w14:paraId="50B28380" w14:textId="77777777" w:rsidR="007B1B13" w:rsidRDefault="007B1B13">
                                  <w:pPr>
                                    <w:spacing w:line="280" w:lineRule="exact"/>
                                    <w:ind w:leftChars="-50" w:left="-120" w:rightChars="5" w:right="12"/>
                                    <w:jc w:val="right"/>
                                    <w:rPr>
                                      <w:rFonts w:ascii="標楷體" w:eastAsia="標楷體" w:hAnsi="標楷體" w:cs="Times New Roman"/>
                                      <w:b/>
                                      <w:color w:val="000000"/>
                                      <w:spacing w:val="-4"/>
                                      <w:kern w:val="0"/>
                                      <w:sz w:val="20"/>
                                      <w:szCs w:val="20"/>
                                    </w:rPr>
                                  </w:pPr>
                                  <w:r>
                                    <w:rPr>
                                      <w:rFonts w:ascii="標楷體" w:eastAsia="標楷體" w:hAnsi="標楷體" w:hint="eastAsia"/>
                                      <w:b/>
                                      <w:color w:val="000000"/>
                                      <w:spacing w:val="-4"/>
                                      <w:kern w:val="0"/>
                                      <w:sz w:val="20"/>
                                      <w:szCs w:val="20"/>
                                    </w:rPr>
                                    <w:t>5,316</w:t>
                                  </w:r>
                                </w:p>
                              </w:tc>
                              <w:tc>
                                <w:tcPr>
                                  <w:tcW w:w="556" w:type="dxa"/>
                                  <w:tcBorders>
                                    <w:top w:val="nil"/>
                                    <w:left w:val="nil"/>
                                    <w:bottom w:val="single" w:sz="4" w:space="0" w:color="auto"/>
                                    <w:right w:val="single" w:sz="4" w:space="0" w:color="auto"/>
                                  </w:tcBorders>
                                  <w:vAlign w:val="center"/>
                                  <w:hideMark/>
                                </w:tcPr>
                                <w:p w14:paraId="6B6BA854"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5,796</w:t>
                                  </w:r>
                                </w:p>
                              </w:tc>
                              <w:tc>
                                <w:tcPr>
                                  <w:tcW w:w="557" w:type="dxa"/>
                                  <w:tcBorders>
                                    <w:top w:val="nil"/>
                                    <w:left w:val="nil"/>
                                    <w:bottom w:val="single" w:sz="4" w:space="0" w:color="auto"/>
                                    <w:right w:val="single" w:sz="4" w:space="0" w:color="auto"/>
                                  </w:tcBorders>
                                  <w:vAlign w:val="center"/>
                                  <w:hideMark/>
                                </w:tcPr>
                                <w:p w14:paraId="1C258EC3"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6,278</w:t>
                                  </w:r>
                                </w:p>
                              </w:tc>
                              <w:tc>
                                <w:tcPr>
                                  <w:tcW w:w="558" w:type="dxa"/>
                                  <w:tcBorders>
                                    <w:top w:val="nil"/>
                                    <w:left w:val="nil"/>
                                    <w:bottom w:val="single" w:sz="4" w:space="0" w:color="auto"/>
                                    <w:right w:val="single" w:sz="4" w:space="0" w:color="auto"/>
                                  </w:tcBorders>
                                  <w:vAlign w:val="center"/>
                                  <w:hideMark/>
                                </w:tcPr>
                                <w:p w14:paraId="67E28636"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6,541</w:t>
                                  </w:r>
                                </w:p>
                              </w:tc>
                              <w:tc>
                                <w:tcPr>
                                  <w:tcW w:w="558" w:type="dxa"/>
                                  <w:tcBorders>
                                    <w:top w:val="nil"/>
                                    <w:left w:val="nil"/>
                                    <w:bottom w:val="single" w:sz="4" w:space="0" w:color="auto"/>
                                    <w:right w:val="single" w:sz="4" w:space="0" w:color="auto"/>
                                  </w:tcBorders>
                                  <w:vAlign w:val="center"/>
                                  <w:hideMark/>
                                </w:tcPr>
                                <w:p w14:paraId="7843A85F"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4,594</w:t>
                                  </w:r>
                                </w:p>
                              </w:tc>
                              <w:tc>
                                <w:tcPr>
                                  <w:tcW w:w="558" w:type="dxa"/>
                                  <w:tcBorders>
                                    <w:top w:val="nil"/>
                                    <w:left w:val="nil"/>
                                    <w:bottom w:val="single" w:sz="4" w:space="0" w:color="auto"/>
                                    <w:right w:val="single" w:sz="4" w:space="0" w:color="auto"/>
                                  </w:tcBorders>
                                  <w:vAlign w:val="center"/>
                                  <w:hideMark/>
                                </w:tcPr>
                                <w:p w14:paraId="569F2DC9"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5,142</w:t>
                                  </w:r>
                                </w:p>
                              </w:tc>
                              <w:tc>
                                <w:tcPr>
                                  <w:tcW w:w="558" w:type="dxa"/>
                                  <w:tcBorders>
                                    <w:top w:val="nil"/>
                                    <w:left w:val="nil"/>
                                    <w:bottom w:val="single" w:sz="4" w:space="0" w:color="auto"/>
                                    <w:right w:val="single" w:sz="4" w:space="0" w:color="auto"/>
                                  </w:tcBorders>
                                  <w:vAlign w:val="center"/>
                                  <w:hideMark/>
                                </w:tcPr>
                                <w:p w14:paraId="33AC59CD"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5,519</w:t>
                                  </w:r>
                                </w:p>
                              </w:tc>
                              <w:tc>
                                <w:tcPr>
                                  <w:tcW w:w="559" w:type="dxa"/>
                                  <w:tcBorders>
                                    <w:top w:val="nil"/>
                                    <w:left w:val="nil"/>
                                    <w:bottom w:val="single" w:sz="4" w:space="0" w:color="auto"/>
                                    <w:right w:val="single" w:sz="4" w:space="0" w:color="auto"/>
                                  </w:tcBorders>
                                  <w:vAlign w:val="center"/>
                                  <w:hideMark/>
                                </w:tcPr>
                                <w:p w14:paraId="75FDE8E2"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5,308</w:t>
                                  </w:r>
                                </w:p>
                              </w:tc>
                              <w:tc>
                                <w:tcPr>
                                  <w:tcW w:w="558" w:type="dxa"/>
                                  <w:tcBorders>
                                    <w:top w:val="single" w:sz="4" w:space="0" w:color="auto"/>
                                    <w:left w:val="nil"/>
                                    <w:bottom w:val="single" w:sz="4" w:space="0" w:color="auto"/>
                                    <w:right w:val="single" w:sz="4" w:space="0" w:color="auto"/>
                                  </w:tcBorders>
                                  <w:vAlign w:val="center"/>
                                  <w:hideMark/>
                                </w:tcPr>
                                <w:p w14:paraId="28DC1705" w14:textId="77777777" w:rsidR="007B1B13" w:rsidRDefault="007B1B13">
                                  <w:pPr>
                                    <w:spacing w:line="280" w:lineRule="exact"/>
                                    <w:ind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86.42</w:t>
                                  </w:r>
                                </w:p>
                              </w:tc>
                              <w:tc>
                                <w:tcPr>
                                  <w:tcW w:w="558" w:type="dxa"/>
                                  <w:tcBorders>
                                    <w:top w:val="single" w:sz="4" w:space="0" w:color="auto"/>
                                    <w:left w:val="nil"/>
                                    <w:bottom w:val="single" w:sz="4" w:space="0" w:color="auto"/>
                                    <w:right w:val="single" w:sz="4" w:space="0" w:color="auto"/>
                                  </w:tcBorders>
                                  <w:vAlign w:val="center"/>
                                  <w:hideMark/>
                                </w:tcPr>
                                <w:p w14:paraId="1E6BEA78" w14:textId="77777777" w:rsidR="007B1B13" w:rsidRDefault="007B1B13">
                                  <w:pPr>
                                    <w:spacing w:line="280" w:lineRule="exact"/>
                                    <w:ind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88.72</w:t>
                                  </w:r>
                                </w:p>
                              </w:tc>
                              <w:tc>
                                <w:tcPr>
                                  <w:tcW w:w="558" w:type="dxa"/>
                                  <w:tcBorders>
                                    <w:top w:val="single" w:sz="4" w:space="0" w:color="auto"/>
                                    <w:left w:val="single" w:sz="4" w:space="0" w:color="auto"/>
                                    <w:bottom w:val="single" w:sz="4" w:space="0" w:color="auto"/>
                                    <w:right w:val="single" w:sz="4" w:space="0" w:color="auto"/>
                                  </w:tcBorders>
                                  <w:vAlign w:val="center"/>
                                  <w:hideMark/>
                                </w:tcPr>
                                <w:p w14:paraId="2D0EB44B" w14:textId="77777777" w:rsidR="007B1B13" w:rsidRDefault="007B1B13">
                                  <w:pPr>
                                    <w:spacing w:line="280" w:lineRule="exact"/>
                                    <w:ind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87.91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8276BA7" w14:textId="77777777" w:rsidR="007B1B13" w:rsidRDefault="007B1B13">
                                  <w:pPr>
                                    <w:spacing w:line="280" w:lineRule="exact"/>
                                    <w:ind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81.15</w:t>
                                  </w:r>
                                </w:p>
                              </w:tc>
                            </w:tr>
                            <w:tr w:rsidR="007B1B13" w14:paraId="26A933F2" w14:textId="77777777">
                              <w:trPr>
                                <w:trHeight w:val="283"/>
                              </w:trPr>
                              <w:tc>
                                <w:tcPr>
                                  <w:tcW w:w="415" w:type="dxa"/>
                                  <w:vMerge w:val="restart"/>
                                  <w:tcBorders>
                                    <w:top w:val="single" w:sz="4" w:space="0" w:color="auto"/>
                                    <w:left w:val="single" w:sz="4" w:space="0" w:color="auto"/>
                                    <w:bottom w:val="single" w:sz="4" w:space="0" w:color="auto"/>
                                    <w:right w:val="single" w:sz="4" w:space="0" w:color="auto"/>
                                  </w:tcBorders>
                                  <w:vAlign w:val="center"/>
                                  <w:hideMark/>
                                </w:tcPr>
                                <w:p w14:paraId="50992A4E" w14:textId="77777777" w:rsidR="00CA2F82" w:rsidRDefault="007B1B13">
                                  <w:pPr>
                                    <w:spacing w:line="280" w:lineRule="exact"/>
                                    <w:jc w:val="center"/>
                                    <w:rPr>
                                      <w:rFonts w:ascii="標楷體" w:eastAsia="標楷體" w:hAnsi="標楷體" w:cs="新細明體"/>
                                      <w:color w:val="000000"/>
                                      <w:spacing w:val="-14"/>
                                      <w:kern w:val="0"/>
                                      <w:sz w:val="20"/>
                                      <w:szCs w:val="20"/>
                                    </w:rPr>
                                  </w:pPr>
                                  <w:r>
                                    <w:rPr>
                                      <w:rFonts w:ascii="標楷體" w:eastAsia="標楷體" w:hAnsi="標楷體" w:cs="新細明體" w:hint="eastAsia"/>
                                      <w:color w:val="000000"/>
                                      <w:spacing w:val="-14"/>
                                      <w:kern w:val="0"/>
                                      <w:sz w:val="20"/>
                                      <w:szCs w:val="20"/>
                                    </w:rPr>
                                    <w:t>公</w:t>
                                  </w:r>
                                </w:p>
                                <w:p w14:paraId="48EEB555" w14:textId="77777777" w:rsidR="00CA2F82" w:rsidRDefault="007B1B13">
                                  <w:pPr>
                                    <w:spacing w:line="280" w:lineRule="exact"/>
                                    <w:jc w:val="center"/>
                                    <w:rPr>
                                      <w:rFonts w:ascii="標楷體" w:eastAsia="標楷體" w:hAnsi="標楷體" w:cs="新細明體"/>
                                      <w:color w:val="000000"/>
                                      <w:spacing w:val="-14"/>
                                      <w:kern w:val="0"/>
                                      <w:sz w:val="20"/>
                                      <w:szCs w:val="20"/>
                                    </w:rPr>
                                  </w:pPr>
                                  <w:r>
                                    <w:rPr>
                                      <w:rFonts w:ascii="標楷體" w:eastAsia="標楷體" w:hAnsi="標楷體" w:cs="新細明體" w:hint="eastAsia"/>
                                      <w:color w:val="000000"/>
                                      <w:spacing w:val="-14"/>
                                      <w:kern w:val="0"/>
                                      <w:sz w:val="20"/>
                                      <w:szCs w:val="20"/>
                                    </w:rPr>
                                    <w:t>共</w:t>
                                  </w:r>
                                </w:p>
                                <w:p w14:paraId="097439AD" w14:textId="1EF8C6C8" w:rsidR="007B1B13" w:rsidRDefault="007B1B13">
                                  <w:pPr>
                                    <w:spacing w:line="28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color w:val="000000"/>
                                      <w:spacing w:val="-14"/>
                                      <w:kern w:val="0"/>
                                      <w:sz w:val="20"/>
                                      <w:szCs w:val="20"/>
                                    </w:rPr>
                                    <w:t>化</w:t>
                                  </w:r>
                                </w:p>
                              </w:tc>
                              <w:tc>
                                <w:tcPr>
                                  <w:tcW w:w="799" w:type="dxa"/>
                                  <w:tcBorders>
                                    <w:top w:val="single" w:sz="4" w:space="0" w:color="auto"/>
                                    <w:left w:val="single" w:sz="4" w:space="0" w:color="auto"/>
                                    <w:bottom w:val="single" w:sz="4" w:space="0" w:color="auto"/>
                                    <w:right w:val="single" w:sz="4" w:space="0" w:color="auto"/>
                                  </w:tcBorders>
                                  <w:vAlign w:val="center"/>
                                  <w:hideMark/>
                                </w:tcPr>
                                <w:p w14:paraId="4AD54942" w14:textId="77777777" w:rsidR="007B1B13" w:rsidRDefault="007B1B13">
                                  <w:pPr>
                                    <w:widowControl/>
                                    <w:spacing w:line="28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小計</w:t>
                                  </w:r>
                                </w:p>
                              </w:tc>
                              <w:tc>
                                <w:tcPr>
                                  <w:tcW w:w="556" w:type="dxa"/>
                                  <w:tcBorders>
                                    <w:top w:val="nil"/>
                                    <w:left w:val="nil"/>
                                    <w:bottom w:val="single" w:sz="4" w:space="0" w:color="auto"/>
                                    <w:right w:val="single" w:sz="4" w:space="0" w:color="auto"/>
                                  </w:tcBorders>
                                  <w:vAlign w:val="center"/>
                                  <w:hideMark/>
                                </w:tcPr>
                                <w:p w14:paraId="736857A5" w14:textId="77777777" w:rsidR="007B1B13" w:rsidRDefault="007B1B13">
                                  <w:pPr>
                                    <w:spacing w:line="280" w:lineRule="exact"/>
                                    <w:ind w:leftChars="-50" w:left="-120" w:rightChars="5" w:right="12"/>
                                    <w:jc w:val="right"/>
                                    <w:rPr>
                                      <w:rFonts w:ascii="標楷體" w:eastAsia="標楷體" w:hAnsi="標楷體" w:cs="Times New Roman"/>
                                      <w:b/>
                                      <w:color w:val="000000"/>
                                      <w:spacing w:val="-4"/>
                                      <w:kern w:val="0"/>
                                      <w:sz w:val="20"/>
                                      <w:szCs w:val="20"/>
                                    </w:rPr>
                                  </w:pPr>
                                  <w:r>
                                    <w:rPr>
                                      <w:rFonts w:ascii="標楷體" w:eastAsia="標楷體" w:hAnsi="標楷體" w:hint="eastAsia"/>
                                      <w:b/>
                                      <w:color w:val="000000"/>
                                      <w:spacing w:val="-4"/>
                                      <w:kern w:val="0"/>
                                      <w:sz w:val="20"/>
                                      <w:szCs w:val="20"/>
                                    </w:rPr>
                                    <w:t>1,655</w:t>
                                  </w:r>
                                </w:p>
                              </w:tc>
                              <w:tc>
                                <w:tcPr>
                                  <w:tcW w:w="556" w:type="dxa"/>
                                  <w:tcBorders>
                                    <w:top w:val="nil"/>
                                    <w:left w:val="nil"/>
                                    <w:bottom w:val="single" w:sz="4" w:space="0" w:color="auto"/>
                                    <w:right w:val="single" w:sz="4" w:space="0" w:color="auto"/>
                                  </w:tcBorders>
                                  <w:vAlign w:val="center"/>
                                  <w:hideMark/>
                                </w:tcPr>
                                <w:p w14:paraId="04F739A6"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1,712</w:t>
                                  </w:r>
                                </w:p>
                              </w:tc>
                              <w:tc>
                                <w:tcPr>
                                  <w:tcW w:w="557" w:type="dxa"/>
                                  <w:tcBorders>
                                    <w:top w:val="nil"/>
                                    <w:left w:val="nil"/>
                                    <w:bottom w:val="single" w:sz="4" w:space="0" w:color="auto"/>
                                    <w:right w:val="single" w:sz="4" w:space="0" w:color="auto"/>
                                  </w:tcBorders>
                                  <w:vAlign w:val="center"/>
                                  <w:hideMark/>
                                </w:tcPr>
                                <w:p w14:paraId="1B6B4D94"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1,796</w:t>
                                  </w:r>
                                </w:p>
                              </w:tc>
                              <w:tc>
                                <w:tcPr>
                                  <w:tcW w:w="558" w:type="dxa"/>
                                  <w:tcBorders>
                                    <w:top w:val="nil"/>
                                    <w:left w:val="nil"/>
                                    <w:bottom w:val="single" w:sz="4" w:space="0" w:color="auto"/>
                                    <w:right w:val="single" w:sz="4" w:space="0" w:color="auto"/>
                                  </w:tcBorders>
                                  <w:vAlign w:val="center"/>
                                  <w:hideMark/>
                                </w:tcPr>
                                <w:p w14:paraId="7E8BEA0C"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1,800</w:t>
                                  </w:r>
                                </w:p>
                              </w:tc>
                              <w:tc>
                                <w:tcPr>
                                  <w:tcW w:w="558" w:type="dxa"/>
                                  <w:tcBorders>
                                    <w:top w:val="nil"/>
                                    <w:left w:val="nil"/>
                                    <w:bottom w:val="single" w:sz="4" w:space="0" w:color="auto"/>
                                    <w:right w:val="single" w:sz="4" w:space="0" w:color="auto"/>
                                  </w:tcBorders>
                                  <w:vAlign w:val="center"/>
                                  <w:hideMark/>
                                </w:tcPr>
                                <w:p w14:paraId="589ED2E8"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1,655</w:t>
                                  </w:r>
                                </w:p>
                              </w:tc>
                              <w:tc>
                                <w:tcPr>
                                  <w:tcW w:w="558" w:type="dxa"/>
                                  <w:tcBorders>
                                    <w:top w:val="nil"/>
                                    <w:left w:val="nil"/>
                                    <w:bottom w:val="single" w:sz="4" w:space="0" w:color="auto"/>
                                    <w:right w:val="single" w:sz="4" w:space="0" w:color="auto"/>
                                  </w:tcBorders>
                                  <w:vAlign w:val="center"/>
                                  <w:hideMark/>
                                </w:tcPr>
                                <w:p w14:paraId="600DF48F"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1,712</w:t>
                                  </w:r>
                                </w:p>
                              </w:tc>
                              <w:tc>
                                <w:tcPr>
                                  <w:tcW w:w="558" w:type="dxa"/>
                                  <w:tcBorders>
                                    <w:top w:val="nil"/>
                                    <w:left w:val="nil"/>
                                    <w:bottom w:val="single" w:sz="4" w:space="0" w:color="auto"/>
                                    <w:right w:val="single" w:sz="4" w:space="0" w:color="auto"/>
                                  </w:tcBorders>
                                  <w:vAlign w:val="center"/>
                                  <w:hideMark/>
                                </w:tcPr>
                                <w:p w14:paraId="126BE978"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1,796</w:t>
                                  </w:r>
                                </w:p>
                              </w:tc>
                              <w:tc>
                                <w:tcPr>
                                  <w:tcW w:w="559" w:type="dxa"/>
                                  <w:tcBorders>
                                    <w:top w:val="nil"/>
                                    <w:left w:val="nil"/>
                                    <w:bottom w:val="single" w:sz="4" w:space="0" w:color="auto"/>
                                    <w:right w:val="single" w:sz="4" w:space="0" w:color="auto"/>
                                  </w:tcBorders>
                                  <w:vAlign w:val="center"/>
                                  <w:hideMark/>
                                </w:tcPr>
                                <w:p w14:paraId="50E85A10"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1,800</w:t>
                                  </w:r>
                                </w:p>
                              </w:tc>
                              <w:tc>
                                <w:tcPr>
                                  <w:tcW w:w="558" w:type="dxa"/>
                                  <w:tcBorders>
                                    <w:top w:val="single" w:sz="4" w:space="0" w:color="auto"/>
                                    <w:left w:val="nil"/>
                                    <w:bottom w:val="single" w:sz="4" w:space="0" w:color="auto"/>
                                    <w:right w:val="single" w:sz="4" w:space="0" w:color="auto"/>
                                  </w:tcBorders>
                                  <w:vAlign w:val="center"/>
                                  <w:hideMark/>
                                </w:tcPr>
                                <w:p w14:paraId="7CD3FDDD" w14:textId="77777777" w:rsidR="007B1B13" w:rsidRDefault="007B1B13">
                                  <w:pPr>
                                    <w:spacing w:line="280" w:lineRule="exact"/>
                                    <w:ind w:leftChars="-50" w:left="-120"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100.00</w:t>
                                  </w:r>
                                </w:p>
                              </w:tc>
                              <w:tc>
                                <w:tcPr>
                                  <w:tcW w:w="558" w:type="dxa"/>
                                  <w:tcBorders>
                                    <w:top w:val="single" w:sz="4" w:space="0" w:color="auto"/>
                                    <w:left w:val="nil"/>
                                    <w:bottom w:val="single" w:sz="4" w:space="0" w:color="auto"/>
                                    <w:right w:val="single" w:sz="4" w:space="0" w:color="auto"/>
                                  </w:tcBorders>
                                  <w:vAlign w:val="center"/>
                                  <w:hideMark/>
                                </w:tcPr>
                                <w:p w14:paraId="6BBEF042" w14:textId="77777777" w:rsidR="007B1B13" w:rsidRDefault="007B1B13">
                                  <w:pPr>
                                    <w:spacing w:line="280" w:lineRule="exact"/>
                                    <w:ind w:leftChars="-50" w:left="-120"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100.00</w:t>
                                  </w:r>
                                </w:p>
                              </w:tc>
                              <w:tc>
                                <w:tcPr>
                                  <w:tcW w:w="558" w:type="dxa"/>
                                  <w:tcBorders>
                                    <w:top w:val="single" w:sz="4" w:space="0" w:color="auto"/>
                                    <w:left w:val="single" w:sz="4" w:space="0" w:color="auto"/>
                                    <w:bottom w:val="single" w:sz="4" w:space="0" w:color="auto"/>
                                    <w:right w:val="single" w:sz="4" w:space="0" w:color="auto"/>
                                  </w:tcBorders>
                                  <w:vAlign w:val="center"/>
                                  <w:hideMark/>
                                </w:tcPr>
                                <w:p w14:paraId="17140040" w14:textId="77777777" w:rsidR="007B1B13" w:rsidRDefault="007B1B13">
                                  <w:pPr>
                                    <w:spacing w:line="280" w:lineRule="exact"/>
                                    <w:ind w:leftChars="-50" w:left="-81" w:rightChars="5" w:right="12" w:hangingChars="23" w:hanging="39"/>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100.00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55A5CDB" w14:textId="77777777" w:rsidR="007B1B13" w:rsidRDefault="007B1B13">
                                  <w:pPr>
                                    <w:spacing w:line="280" w:lineRule="exact"/>
                                    <w:ind w:leftChars="-50" w:left="-83" w:rightChars="5" w:right="12" w:hangingChars="22" w:hanging="37"/>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100.00</w:t>
                                  </w:r>
                                </w:p>
                              </w:tc>
                            </w:tr>
                            <w:tr w:rsidR="007B1B13" w14:paraId="03D009C5" w14:textId="77777777">
                              <w:trPr>
                                <w:trHeight w:val="485"/>
                              </w:trPr>
                              <w:tc>
                                <w:tcPr>
                                  <w:tcW w:w="7928" w:type="dxa"/>
                                  <w:vMerge/>
                                  <w:tcBorders>
                                    <w:top w:val="single" w:sz="4" w:space="0" w:color="auto"/>
                                    <w:left w:val="single" w:sz="4" w:space="0" w:color="auto"/>
                                    <w:bottom w:val="single" w:sz="4" w:space="0" w:color="auto"/>
                                    <w:right w:val="single" w:sz="4" w:space="0" w:color="auto"/>
                                  </w:tcBorders>
                                  <w:vAlign w:val="center"/>
                                  <w:hideMark/>
                                </w:tcPr>
                                <w:p w14:paraId="443AA474" w14:textId="77777777" w:rsidR="007B1B13" w:rsidRDefault="007B1B13">
                                  <w:pPr>
                                    <w:widowControl/>
                                    <w:rPr>
                                      <w:rFonts w:ascii="標楷體" w:eastAsia="標楷體" w:hAnsi="標楷體" w:cs="新細明體"/>
                                      <w:b/>
                                      <w:bCs/>
                                      <w:color w:val="000000"/>
                                      <w:kern w:val="0"/>
                                      <w:sz w:val="20"/>
                                      <w:szCs w:val="20"/>
                                    </w:rPr>
                                  </w:pPr>
                                </w:p>
                              </w:tc>
                              <w:tc>
                                <w:tcPr>
                                  <w:tcW w:w="799" w:type="dxa"/>
                                  <w:tcBorders>
                                    <w:top w:val="nil"/>
                                    <w:left w:val="single" w:sz="4" w:space="0" w:color="auto"/>
                                    <w:bottom w:val="single" w:sz="4" w:space="0" w:color="auto"/>
                                    <w:right w:val="single" w:sz="4" w:space="0" w:color="auto"/>
                                  </w:tcBorders>
                                  <w:vAlign w:val="center"/>
                                  <w:hideMark/>
                                </w:tcPr>
                                <w:p w14:paraId="18C3D24E" w14:textId="77777777" w:rsidR="007B1B13" w:rsidRDefault="007B1B13">
                                  <w:pPr>
                                    <w:widowControl/>
                                    <w:spacing w:line="240" w:lineRule="exact"/>
                                    <w:jc w:val="both"/>
                                    <w:rPr>
                                      <w:rFonts w:ascii="標楷體" w:eastAsia="標楷體" w:hAnsi="標楷體" w:cs="新細明體"/>
                                      <w:color w:val="000000"/>
                                      <w:spacing w:val="-20"/>
                                      <w:kern w:val="0"/>
                                      <w:sz w:val="20"/>
                                      <w:szCs w:val="20"/>
                                    </w:rPr>
                                  </w:pPr>
                                  <w:r>
                                    <w:rPr>
                                      <w:rFonts w:ascii="標楷體" w:eastAsia="標楷體" w:hAnsi="標楷體" w:cs="新細明體" w:hint="eastAsia"/>
                                      <w:color w:val="000000"/>
                                      <w:spacing w:val="-20"/>
                                      <w:kern w:val="0"/>
                                      <w:sz w:val="20"/>
                                      <w:szCs w:val="20"/>
                                    </w:rPr>
                                    <w:t>公辦民營托嬰中心（大公托）</w:t>
                                  </w:r>
                                </w:p>
                              </w:tc>
                              <w:tc>
                                <w:tcPr>
                                  <w:tcW w:w="556" w:type="dxa"/>
                                  <w:tcBorders>
                                    <w:top w:val="nil"/>
                                    <w:left w:val="nil"/>
                                    <w:bottom w:val="single" w:sz="4" w:space="0" w:color="auto"/>
                                    <w:right w:val="single" w:sz="4" w:space="0" w:color="auto"/>
                                  </w:tcBorders>
                                  <w:vAlign w:val="center"/>
                                  <w:hideMark/>
                                </w:tcPr>
                                <w:p w14:paraId="2B67BDD9" w14:textId="77777777" w:rsidR="007B1B13" w:rsidRDefault="007B1B13">
                                  <w:pPr>
                                    <w:widowControl/>
                                    <w:spacing w:line="360" w:lineRule="exact"/>
                                    <w:ind w:leftChars="-50" w:left="-120"/>
                                    <w:jc w:val="right"/>
                                    <w:rPr>
                                      <w:rFonts w:ascii="標楷體" w:eastAsia="標楷體" w:hAnsi="標楷體" w:cs="Times New Roman"/>
                                      <w:color w:val="000000"/>
                                      <w:spacing w:val="-4"/>
                                      <w:kern w:val="0"/>
                                      <w:sz w:val="20"/>
                                      <w:szCs w:val="20"/>
                                    </w:rPr>
                                  </w:pPr>
                                  <w:r>
                                    <w:rPr>
                                      <w:rFonts w:ascii="標楷體" w:eastAsia="標楷體" w:hAnsi="標楷體" w:hint="eastAsia"/>
                                      <w:color w:val="000000"/>
                                      <w:spacing w:val="-4"/>
                                      <w:kern w:val="0"/>
                                      <w:sz w:val="20"/>
                                      <w:szCs w:val="20"/>
                                    </w:rPr>
                                    <w:t>995</w:t>
                                  </w:r>
                                </w:p>
                              </w:tc>
                              <w:tc>
                                <w:tcPr>
                                  <w:tcW w:w="556" w:type="dxa"/>
                                  <w:tcBorders>
                                    <w:top w:val="nil"/>
                                    <w:left w:val="nil"/>
                                    <w:bottom w:val="single" w:sz="4" w:space="0" w:color="auto"/>
                                    <w:right w:val="single" w:sz="4" w:space="0" w:color="auto"/>
                                  </w:tcBorders>
                                  <w:vAlign w:val="center"/>
                                  <w:hideMark/>
                                </w:tcPr>
                                <w:p w14:paraId="45EAFA8F" w14:textId="77777777" w:rsidR="007B1B13" w:rsidRDefault="007B1B13">
                                  <w:pPr>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1,040</w:t>
                                  </w:r>
                                </w:p>
                              </w:tc>
                              <w:tc>
                                <w:tcPr>
                                  <w:tcW w:w="557" w:type="dxa"/>
                                  <w:tcBorders>
                                    <w:top w:val="nil"/>
                                    <w:left w:val="nil"/>
                                    <w:bottom w:val="single" w:sz="4" w:space="0" w:color="auto"/>
                                    <w:right w:val="single" w:sz="4" w:space="0" w:color="auto"/>
                                  </w:tcBorders>
                                  <w:vAlign w:val="center"/>
                                  <w:hideMark/>
                                </w:tcPr>
                                <w:p w14:paraId="629B19C9" w14:textId="77777777" w:rsidR="007B1B13" w:rsidRDefault="007B1B13">
                                  <w:pPr>
                                    <w:widowControl/>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1,108</w:t>
                                  </w:r>
                                </w:p>
                              </w:tc>
                              <w:tc>
                                <w:tcPr>
                                  <w:tcW w:w="558" w:type="dxa"/>
                                  <w:tcBorders>
                                    <w:top w:val="nil"/>
                                    <w:left w:val="nil"/>
                                    <w:bottom w:val="single" w:sz="4" w:space="0" w:color="auto"/>
                                    <w:right w:val="single" w:sz="4" w:space="0" w:color="auto"/>
                                  </w:tcBorders>
                                  <w:vAlign w:val="center"/>
                                  <w:hideMark/>
                                </w:tcPr>
                                <w:p w14:paraId="73392C0D" w14:textId="77777777" w:rsidR="007B1B13" w:rsidRDefault="007B1B13">
                                  <w:pPr>
                                    <w:widowControl/>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1,112</w:t>
                                  </w:r>
                                </w:p>
                              </w:tc>
                              <w:tc>
                                <w:tcPr>
                                  <w:tcW w:w="558" w:type="dxa"/>
                                  <w:tcBorders>
                                    <w:top w:val="nil"/>
                                    <w:left w:val="nil"/>
                                    <w:bottom w:val="single" w:sz="4" w:space="0" w:color="auto"/>
                                    <w:right w:val="single" w:sz="4" w:space="0" w:color="auto"/>
                                  </w:tcBorders>
                                  <w:vAlign w:val="center"/>
                                  <w:hideMark/>
                                </w:tcPr>
                                <w:p w14:paraId="735BEE79" w14:textId="77777777" w:rsidR="007B1B13" w:rsidRDefault="007B1B13">
                                  <w:pPr>
                                    <w:widowControl/>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995</w:t>
                                  </w:r>
                                </w:p>
                              </w:tc>
                              <w:tc>
                                <w:tcPr>
                                  <w:tcW w:w="558" w:type="dxa"/>
                                  <w:tcBorders>
                                    <w:top w:val="nil"/>
                                    <w:left w:val="nil"/>
                                    <w:bottom w:val="single" w:sz="4" w:space="0" w:color="auto"/>
                                    <w:right w:val="single" w:sz="4" w:space="0" w:color="auto"/>
                                  </w:tcBorders>
                                  <w:vAlign w:val="center"/>
                                  <w:hideMark/>
                                </w:tcPr>
                                <w:p w14:paraId="28D88C9F" w14:textId="77777777" w:rsidR="007B1B13" w:rsidRDefault="007B1B13">
                                  <w:pPr>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1,040</w:t>
                                  </w:r>
                                </w:p>
                              </w:tc>
                              <w:tc>
                                <w:tcPr>
                                  <w:tcW w:w="558" w:type="dxa"/>
                                  <w:tcBorders>
                                    <w:top w:val="nil"/>
                                    <w:left w:val="nil"/>
                                    <w:bottom w:val="single" w:sz="4" w:space="0" w:color="auto"/>
                                    <w:right w:val="single" w:sz="4" w:space="0" w:color="auto"/>
                                  </w:tcBorders>
                                  <w:vAlign w:val="center"/>
                                  <w:hideMark/>
                                </w:tcPr>
                                <w:p w14:paraId="1697828F" w14:textId="77777777" w:rsidR="007B1B13" w:rsidRDefault="007B1B13">
                                  <w:pPr>
                                    <w:widowControl/>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1,108</w:t>
                                  </w:r>
                                </w:p>
                              </w:tc>
                              <w:tc>
                                <w:tcPr>
                                  <w:tcW w:w="559" w:type="dxa"/>
                                  <w:tcBorders>
                                    <w:top w:val="nil"/>
                                    <w:left w:val="nil"/>
                                    <w:bottom w:val="single" w:sz="4" w:space="0" w:color="auto"/>
                                    <w:right w:val="single" w:sz="4" w:space="0" w:color="auto"/>
                                  </w:tcBorders>
                                  <w:noWrap/>
                                  <w:vAlign w:val="center"/>
                                  <w:hideMark/>
                                </w:tcPr>
                                <w:p w14:paraId="4D7876C6" w14:textId="77777777" w:rsidR="007B1B13" w:rsidRDefault="007B1B13">
                                  <w:pPr>
                                    <w:widowControl/>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1,112</w:t>
                                  </w:r>
                                </w:p>
                              </w:tc>
                              <w:tc>
                                <w:tcPr>
                                  <w:tcW w:w="558" w:type="dxa"/>
                                  <w:tcBorders>
                                    <w:top w:val="single" w:sz="4" w:space="0" w:color="auto"/>
                                    <w:left w:val="nil"/>
                                    <w:bottom w:val="single" w:sz="4" w:space="0" w:color="auto"/>
                                    <w:right w:val="single" w:sz="4" w:space="0" w:color="auto"/>
                                  </w:tcBorders>
                                  <w:noWrap/>
                                  <w:vAlign w:val="center"/>
                                  <w:hideMark/>
                                </w:tcPr>
                                <w:p w14:paraId="21716711" w14:textId="77777777" w:rsidR="007B1B13" w:rsidRDefault="007B1B13">
                                  <w:pPr>
                                    <w:spacing w:line="36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58" w:type="dxa"/>
                                  <w:tcBorders>
                                    <w:top w:val="single" w:sz="4" w:space="0" w:color="auto"/>
                                    <w:left w:val="nil"/>
                                    <w:bottom w:val="single" w:sz="4" w:space="0" w:color="auto"/>
                                    <w:right w:val="single" w:sz="4" w:space="0" w:color="auto"/>
                                  </w:tcBorders>
                                  <w:vAlign w:val="center"/>
                                  <w:hideMark/>
                                </w:tcPr>
                                <w:p w14:paraId="168BC88D" w14:textId="77777777" w:rsidR="007B1B13" w:rsidRDefault="007B1B13">
                                  <w:pPr>
                                    <w:spacing w:line="36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58" w:type="dxa"/>
                                  <w:tcBorders>
                                    <w:top w:val="single" w:sz="4" w:space="0" w:color="auto"/>
                                    <w:left w:val="single" w:sz="4" w:space="0" w:color="auto"/>
                                    <w:bottom w:val="single" w:sz="4" w:space="0" w:color="auto"/>
                                    <w:right w:val="single" w:sz="4" w:space="0" w:color="auto"/>
                                  </w:tcBorders>
                                  <w:vAlign w:val="center"/>
                                  <w:hideMark/>
                                </w:tcPr>
                                <w:p w14:paraId="0B9986BE" w14:textId="77777777" w:rsidR="007B1B13" w:rsidRDefault="007B1B13">
                                  <w:pPr>
                                    <w:spacing w:line="36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BD2DF5F" w14:textId="77777777" w:rsidR="007B1B13" w:rsidRDefault="007B1B13">
                                  <w:pPr>
                                    <w:spacing w:line="36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r>
                            <w:tr w:rsidR="007B1B13" w14:paraId="3DDD7A25" w14:textId="77777777">
                              <w:trPr>
                                <w:trHeight w:val="281"/>
                              </w:trPr>
                              <w:tc>
                                <w:tcPr>
                                  <w:tcW w:w="7928" w:type="dxa"/>
                                  <w:vMerge/>
                                  <w:tcBorders>
                                    <w:top w:val="single" w:sz="4" w:space="0" w:color="auto"/>
                                    <w:left w:val="single" w:sz="4" w:space="0" w:color="auto"/>
                                    <w:bottom w:val="single" w:sz="4" w:space="0" w:color="auto"/>
                                    <w:right w:val="single" w:sz="4" w:space="0" w:color="auto"/>
                                  </w:tcBorders>
                                  <w:vAlign w:val="center"/>
                                  <w:hideMark/>
                                </w:tcPr>
                                <w:p w14:paraId="5F137E44" w14:textId="77777777" w:rsidR="007B1B13" w:rsidRDefault="007B1B13">
                                  <w:pPr>
                                    <w:widowControl/>
                                    <w:rPr>
                                      <w:rFonts w:ascii="標楷體" w:eastAsia="標楷體" w:hAnsi="標楷體" w:cs="新細明體"/>
                                      <w:b/>
                                      <w:bCs/>
                                      <w:color w:val="000000"/>
                                      <w:kern w:val="0"/>
                                      <w:sz w:val="20"/>
                                      <w:szCs w:val="20"/>
                                    </w:rPr>
                                  </w:pPr>
                                </w:p>
                              </w:tc>
                              <w:tc>
                                <w:tcPr>
                                  <w:tcW w:w="799" w:type="dxa"/>
                                  <w:tcBorders>
                                    <w:top w:val="nil"/>
                                    <w:left w:val="single" w:sz="4" w:space="0" w:color="auto"/>
                                    <w:bottom w:val="single" w:sz="4" w:space="0" w:color="auto"/>
                                    <w:right w:val="single" w:sz="4" w:space="0" w:color="auto"/>
                                  </w:tcBorders>
                                  <w:vAlign w:val="center"/>
                                  <w:hideMark/>
                                </w:tcPr>
                                <w:p w14:paraId="09DFDD49" w14:textId="77777777" w:rsidR="007B1B13" w:rsidRDefault="007B1B13">
                                  <w:pPr>
                                    <w:widowControl/>
                                    <w:spacing w:line="240" w:lineRule="exact"/>
                                    <w:jc w:val="both"/>
                                    <w:rPr>
                                      <w:rFonts w:ascii="標楷體" w:eastAsia="標楷體" w:hAnsi="標楷體" w:cs="新細明體"/>
                                      <w:color w:val="000000"/>
                                      <w:spacing w:val="-20"/>
                                      <w:kern w:val="0"/>
                                      <w:sz w:val="20"/>
                                      <w:szCs w:val="20"/>
                                    </w:rPr>
                                  </w:pPr>
                                  <w:r>
                                    <w:rPr>
                                      <w:rFonts w:ascii="標楷體" w:eastAsia="標楷體" w:hAnsi="標楷體" w:cs="新細明體" w:hint="eastAsia"/>
                                      <w:color w:val="000000"/>
                                      <w:spacing w:val="-20"/>
                                      <w:kern w:val="0"/>
                                      <w:sz w:val="20"/>
                                      <w:szCs w:val="20"/>
                                    </w:rPr>
                                    <w:t>社區公共托育家園（小家園）</w:t>
                                  </w:r>
                                </w:p>
                              </w:tc>
                              <w:tc>
                                <w:tcPr>
                                  <w:tcW w:w="556" w:type="dxa"/>
                                  <w:tcBorders>
                                    <w:top w:val="nil"/>
                                    <w:left w:val="nil"/>
                                    <w:bottom w:val="single" w:sz="4" w:space="0" w:color="auto"/>
                                    <w:right w:val="single" w:sz="4" w:space="0" w:color="auto"/>
                                  </w:tcBorders>
                                  <w:vAlign w:val="center"/>
                                  <w:hideMark/>
                                </w:tcPr>
                                <w:p w14:paraId="6C38E02E" w14:textId="77777777" w:rsidR="007B1B13" w:rsidRDefault="007B1B13">
                                  <w:pPr>
                                    <w:widowControl/>
                                    <w:spacing w:line="320" w:lineRule="exact"/>
                                    <w:ind w:leftChars="-50" w:left="-120"/>
                                    <w:jc w:val="right"/>
                                    <w:rPr>
                                      <w:rFonts w:ascii="標楷體" w:eastAsia="標楷體" w:hAnsi="標楷體" w:cs="Times New Roman"/>
                                      <w:color w:val="000000"/>
                                      <w:spacing w:val="-4"/>
                                      <w:kern w:val="0"/>
                                      <w:sz w:val="20"/>
                                      <w:szCs w:val="20"/>
                                    </w:rPr>
                                  </w:pPr>
                                  <w:r>
                                    <w:rPr>
                                      <w:rFonts w:ascii="標楷體" w:eastAsia="標楷體" w:hAnsi="標楷體" w:hint="eastAsia"/>
                                      <w:color w:val="000000"/>
                                      <w:spacing w:val="-4"/>
                                      <w:kern w:val="0"/>
                                      <w:sz w:val="20"/>
                                      <w:szCs w:val="20"/>
                                    </w:rPr>
                                    <w:t>660</w:t>
                                  </w:r>
                                </w:p>
                              </w:tc>
                              <w:tc>
                                <w:tcPr>
                                  <w:tcW w:w="556" w:type="dxa"/>
                                  <w:tcBorders>
                                    <w:top w:val="nil"/>
                                    <w:left w:val="nil"/>
                                    <w:bottom w:val="single" w:sz="4" w:space="0" w:color="auto"/>
                                    <w:right w:val="single" w:sz="4" w:space="0" w:color="auto"/>
                                  </w:tcBorders>
                                  <w:vAlign w:val="center"/>
                                  <w:hideMark/>
                                </w:tcPr>
                                <w:p w14:paraId="5CFD3A6C" w14:textId="77777777" w:rsidR="007B1B13" w:rsidRDefault="007B1B13">
                                  <w:pPr>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672</w:t>
                                  </w:r>
                                </w:p>
                              </w:tc>
                              <w:tc>
                                <w:tcPr>
                                  <w:tcW w:w="557" w:type="dxa"/>
                                  <w:tcBorders>
                                    <w:top w:val="nil"/>
                                    <w:left w:val="nil"/>
                                    <w:bottom w:val="single" w:sz="4" w:space="0" w:color="auto"/>
                                    <w:right w:val="single" w:sz="4" w:space="0" w:color="auto"/>
                                  </w:tcBorders>
                                  <w:vAlign w:val="center"/>
                                  <w:hideMark/>
                                </w:tcPr>
                                <w:p w14:paraId="79B728DB" w14:textId="77777777" w:rsidR="007B1B13" w:rsidRDefault="007B1B13">
                                  <w:pPr>
                                    <w:widowControl/>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688</w:t>
                                  </w:r>
                                </w:p>
                              </w:tc>
                              <w:tc>
                                <w:tcPr>
                                  <w:tcW w:w="558" w:type="dxa"/>
                                  <w:tcBorders>
                                    <w:top w:val="nil"/>
                                    <w:left w:val="nil"/>
                                    <w:bottom w:val="single" w:sz="4" w:space="0" w:color="auto"/>
                                    <w:right w:val="single" w:sz="4" w:space="0" w:color="auto"/>
                                  </w:tcBorders>
                                  <w:vAlign w:val="center"/>
                                  <w:hideMark/>
                                </w:tcPr>
                                <w:p w14:paraId="02A761C8" w14:textId="77777777" w:rsidR="007B1B13" w:rsidRDefault="007B1B13">
                                  <w:pPr>
                                    <w:widowControl/>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688</w:t>
                                  </w:r>
                                </w:p>
                              </w:tc>
                              <w:tc>
                                <w:tcPr>
                                  <w:tcW w:w="558" w:type="dxa"/>
                                  <w:tcBorders>
                                    <w:top w:val="nil"/>
                                    <w:left w:val="nil"/>
                                    <w:bottom w:val="single" w:sz="4" w:space="0" w:color="auto"/>
                                    <w:right w:val="single" w:sz="4" w:space="0" w:color="auto"/>
                                  </w:tcBorders>
                                  <w:vAlign w:val="center"/>
                                  <w:hideMark/>
                                </w:tcPr>
                                <w:p w14:paraId="6A5EF1D2" w14:textId="77777777" w:rsidR="007B1B13" w:rsidRDefault="007B1B13">
                                  <w:pPr>
                                    <w:widowControl/>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660</w:t>
                                  </w:r>
                                </w:p>
                              </w:tc>
                              <w:tc>
                                <w:tcPr>
                                  <w:tcW w:w="558" w:type="dxa"/>
                                  <w:tcBorders>
                                    <w:top w:val="nil"/>
                                    <w:left w:val="nil"/>
                                    <w:bottom w:val="single" w:sz="4" w:space="0" w:color="auto"/>
                                    <w:right w:val="single" w:sz="4" w:space="0" w:color="auto"/>
                                  </w:tcBorders>
                                  <w:vAlign w:val="center"/>
                                  <w:hideMark/>
                                </w:tcPr>
                                <w:p w14:paraId="57700006" w14:textId="77777777" w:rsidR="007B1B13" w:rsidRDefault="007B1B13">
                                  <w:pPr>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672</w:t>
                                  </w:r>
                                </w:p>
                              </w:tc>
                              <w:tc>
                                <w:tcPr>
                                  <w:tcW w:w="558" w:type="dxa"/>
                                  <w:tcBorders>
                                    <w:top w:val="nil"/>
                                    <w:left w:val="nil"/>
                                    <w:bottom w:val="single" w:sz="4" w:space="0" w:color="auto"/>
                                    <w:right w:val="single" w:sz="4" w:space="0" w:color="auto"/>
                                  </w:tcBorders>
                                  <w:vAlign w:val="center"/>
                                  <w:hideMark/>
                                </w:tcPr>
                                <w:p w14:paraId="7EBDC4E3" w14:textId="77777777" w:rsidR="007B1B13" w:rsidRDefault="007B1B13">
                                  <w:pPr>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688</w:t>
                                  </w:r>
                                </w:p>
                              </w:tc>
                              <w:tc>
                                <w:tcPr>
                                  <w:tcW w:w="559" w:type="dxa"/>
                                  <w:tcBorders>
                                    <w:top w:val="nil"/>
                                    <w:left w:val="nil"/>
                                    <w:bottom w:val="single" w:sz="4" w:space="0" w:color="auto"/>
                                    <w:right w:val="single" w:sz="4" w:space="0" w:color="auto"/>
                                  </w:tcBorders>
                                  <w:noWrap/>
                                  <w:vAlign w:val="center"/>
                                  <w:hideMark/>
                                </w:tcPr>
                                <w:p w14:paraId="51372915" w14:textId="77777777" w:rsidR="007B1B13" w:rsidRDefault="007B1B13">
                                  <w:pPr>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688</w:t>
                                  </w:r>
                                </w:p>
                              </w:tc>
                              <w:tc>
                                <w:tcPr>
                                  <w:tcW w:w="558" w:type="dxa"/>
                                  <w:tcBorders>
                                    <w:top w:val="single" w:sz="4" w:space="0" w:color="auto"/>
                                    <w:left w:val="nil"/>
                                    <w:bottom w:val="single" w:sz="4" w:space="0" w:color="auto"/>
                                    <w:right w:val="single" w:sz="4" w:space="0" w:color="auto"/>
                                  </w:tcBorders>
                                  <w:noWrap/>
                                  <w:vAlign w:val="center"/>
                                  <w:hideMark/>
                                </w:tcPr>
                                <w:p w14:paraId="4C2FE4C4" w14:textId="77777777" w:rsidR="007B1B13" w:rsidRDefault="007B1B13">
                                  <w:pPr>
                                    <w:spacing w:line="32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58" w:type="dxa"/>
                                  <w:tcBorders>
                                    <w:top w:val="single" w:sz="4" w:space="0" w:color="auto"/>
                                    <w:left w:val="nil"/>
                                    <w:bottom w:val="single" w:sz="4" w:space="0" w:color="auto"/>
                                    <w:right w:val="single" w:sz="4" w:space="0" w:color="auto"/>
                                  </w:tcBorders>
                                  <w:vAlign w:val="center"/>
                                  <w:hideMark/>
                                </w:tcPr>
                                <w:p w14:paraId="646820BF" w14:textId="77777777" w:rsidR="007B1B13" w:rsidRDefault="007B1B13">
                                  <w:pPr>
                                    <w:spacing w:line="32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58" w:type="dxa"/>
                                  <w:tcBorders>
                                    <w:top w:val="single" w:sz="4" w:space="0" w:color="auto"/>
                                    <w:left w:val="single" w:sz="4" w:space="0" w:color="auto"/>
                                    <w:bottom w:val="single" w:sz="4" w:space="0" w:color="auto"/>
                                    <w:right w:val="single" w:sz="4" w:space="0" w:color="auto"/>
                                  </w:tcBorders>
                                  <w:vAlign w:val="center"/>
                                  <w:hideMark/>
                                </w:tcPr>
                                <w:p w14:paraId="09BD2EA9" w14:textId="77777777" w:rsidR="007B1B13" w:rsidRDefault="007B1B13">
                                  <w:pPr>
                                    <w:spacing w:line="32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9B3B2C1" w14:textId="77777777" w:rsidR="007B1B13" w:rsidRDefault="007B1B13">
                                  <w:pPr>
                                    <w:spacing w:line="32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r>
                            <w:tr w:rsidR="007B1B13" w14:paraId="27034486" w14:textId="77777777">
                              <w:trPr>
                                <w:trHeight w:val="281"/>
                              </w:trPr>
                              <w:tc>
                                <w:tcPr>
                                  <w:tcW w:w="1214" w:type="dxa"/>
                                  <w:gridSpan w:val="2"/>
                                  <w:tcBorders>
                                    <w:top w:val="nil"/>
                                    <w:left w:val="single" w:sz="4" w:space="0" w:color="auto"/>
                                    <w:bottom w:val="double" w:sz="4" w:space="0" w:color="auto"/>
                                    <w:right w:val="single" w:sz="4" w:space="0" w:color="auto"/>
                                  </w:tcBorders>
                                  <w:vAlign w:val="center"/>
                                  <w:hideMark/>
                                </w:tcPr>
                                <w:p w14:paraId="74A3A3B9" w14:textId="77777777" w:rsidR="007B1B13" w:rsidRDefault="007B1B13">
                                  <w:pPr>
                                    <w:widowControl/>
                                    <w:spacing w:line="220" w:lineRule="exact"/>
                                    <w:jc w:val="center"/>
                                    <w:rPr>
                                      <w:rFonts w:ascii="標楷體" w:eastAsia="標楷體" w:hAnsi="標楷體" w:cs="新細明體"/>
                                      <w:color w:val="000000"/>
                                      <w:spacing w:val="-20"/>
                                      <w:kern w:val="0"/>
                                      <w:sz w:val="20"/>
                                      <w:szCs w:val="20"/>
                                    </w:rPr>
                                  </w:pPr>
                                  <w:proofErr w:type="gramStart"/>
                                  <w:r>
                                    <w:rPr>
                                      <w:rFonts w:ascii="標楷體" w:eastAsia="標楷體" w:hAnsi="標楷體" w:cs="新細明體" w:hint="eastAsia"/>
                                      <w:color w:val="000000"/>
                                      <w:spacing w:val="-20"/>
                                      <w:kern w:val="0"/>
                                      <w:sz w:val="20"/>
                                      <w:szCs w:val="20"/>
                                    </w:rPr>
                                    <w:t>準</w:t>
                                  </w:r>
                                  <w:proofErr w:type="gramEnd"/>
                                  <w:r>
                                    <w:rPr>
                                      <w:rFonts w:ascii="標楷體" w:eastAsia="標楷體" w:hAnsi="標楷體" w:cs="新細明體" w:hint="eastAsia"/>
                                      <w:color w:val="000000"/>
                                      <w:spacing w:val="-20"/>
                                      <w:kern w:val="0"/>
                                      <w:sz w:val="20"/>
                                      <w:szCs w:val="20"/>
                                    </w:rPr>
                                    <w:t>公共化之</w:t>
                                  </w:r>
                                </w:p>
                                <w:p w14:paraId="44CCD895" w14:textId="77777777" w:rsidR="007B1B13" w:rsidRDefault="007B1B13">
                                  <w:pPr>
                                    <w:widowControl/>
                                    <w:spacing w:line="220" w:lineRule="exact"/>
                                    <w:ind w:leftChars="-20" w:left="-48" w:rightChars="-10" w:right="-24"/>
                                    <w:jc w:val="center"/>
                                    <w:rPr>
                                      <w:rFonts w:ascii="標楷體" w:eastAsia="標楷體" w:hAnsi="標楷體" w:cs="新細明體"/>
                                      <w:color w:val="000000"/>
                                      <w:spacing w:val="-22"/>
                                      <w:kern w:val="0"/>
                                      <w:sz w:val="20"/>
                                      <w:szCs w:val="20"/>
                                    </w:rPr>
                                  </w:pPr>
                                  <w:r>
                                    <w:rPr>
                                      <w:rFonts w:ascii="標楷體" w:eastAsia="標楷體" w:hAnsi="標楷體" w:cs="新細明體" w:hint="eastAsia"/>
                                      <w:color w:val="000000"/>
                                      <w:spacing w:val="-22"/>
                                      <w:kern w:val="0"/>
                                      <w:sz w:val="20"/>
                                      <w:szCs w:val="20"/>
                                    </w:rPr>
                                    <w:t>私立托嬰中心</w:t>
                                  </w:r>
                                </w:p>
                              </w:tc>
                              <w:tc>
                                <w:tcPr>
                                  <w:tcW w:w="556" w:type="dxa"/>
                                  <w:tcBorders>
                                    <w:top w:val="nil"/>
                                    <w:left w:val="nil"/>
                                    <w:bottom w:val="double" w:sz="4" w:space="0" w:color="auto"/>
                                    <w:right w:val="single" w:sz="4" w:space="0" w:color="auto"/>
                                  </w:tcBorders>
                                  <w:vAlign w:val="center"/>
                                  <w:hideMark/>
                                </w:tcPr>
                                <w:p w14:paraId="019DA705" w14:textId="77777777" w:rsidR="007B1B13" w:rsidRDefault="007B1B13">
                                  <w:pPr>
                                    <w:spacing w:line="260" w:lineRule="exact"/>
                                    <w:ind w:leftChars="-50" w:left="-120"/>
                                    <w:jc w:val="right"/>
                                    <w:rPr>
                                      <w:rFonts w:ascii="標楷體" w:eastAsia="標楷體" w:hAnsi="標楷體" w:cs="Times New Roman"/>
                                      <w:color w:val="000000"/>
                                      <w:spacing w:val="-4"/>
                                      <w:kern w:val="0"/>
                                      <w:sz w:val="20"/>
                                      <w:szCs w:val="20"/>
                                    </w:rPr>
                                  </w:pPr>
                                  <w:r>
                                    <w:rPr>
                                      <w:rFonts w:ascii="標楷體" w:eastAsia="標楷體" w:hAnsi="標楷體" w:hint="eastAsia"/>
                                      <w:color w:val="000000"/>
                                      <w:spacing w:val="-4"/>
                                      <w:kern w:val="0"/>
                                      <w:sz w:val="20"/>
                                      <w:szCs w:val="20"/>
                                    </w:rPr>
                                    <w:t>3,661</w:t>
                                  </w:r>
                                </w:p>
                              </w:tc>
                              <w:tc>
                                <w:tcPr>
                                  <w:tcW w:w="556" w:type="dxa"/>
                                  <w:tcBorders>
                                    <w:top w:val="nil"/>
                                    <w:left w:val="nil"/>
                                    <w:bottom w:val="double" w:sz="4" w:space="0" w:color="auto"/>
                                    <w:right w:val="single" w:sz="4" w:space="0" w:color="auto"/>
                                  </w:tcBorders>
                                  <w:vAlign w:val="center"/>
                                  <w:hideMark/>
                                </w:tcPr>
                                <w:p w14:paraId="181D2AF5"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4,084</w:t>
                                  </w:r>
                                </w:p>
                              </w:tc>
                              <w:tc>
                                <w:tcPr>
                                  <w:tcW w:w="557" w:type="dxa"/>
                                  <w:tcBorders>
                                    <w:top w:val="nil"/>
                                    <w:left w:val="nil"/>
                                    <w:bottom w:val="double" w:sz="4" w:space="0" w:color="auto"/>
                                    <w:right w:val="single" w:sz="4" w:space="0" w:color="auto"/>
                                  </w:tcBorders>
                                  <w:vAlign w:val="center"/>
                                  <w:hideMark/>
                                </w:tcPr>
                                <w:p w14:paraId="3205BF10"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4,482</w:t>
                                  </w:r>
                                </w:p>
                              </w:tc>
                              <w:tc>
                                <w:tcPr>
                                  <w:tcW w:w="558" w:type="dxa"/>
                                  <w:tcBorders>
                                    <w:top w:val="nil"/>
                                    <w:left w:val="nil"/>
                                    <w:bottom w:val="double" w:sz="4" w:space="0" w:color="auto"/>
                                    <w:right w:val="single" w:sz="4" w:space="0" w:color="auto"/>
                                  </w:tcBorders>
                                  <w:vAlign w:val="center"/>
                                  <w:hideMark/>
                                </w:tcPr>
                                <w:p w14:paraId="217FA7C9"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4,741</w:t>
                                  </w:r>
                                </w:p>
                              </w:tc>
                              <w:tc>
                                <w:tcPr>
                                  <w:tcW w:w="558" w:type="dxa"/>
                                  <w:tcBorders>
                                    <w:top w:val="nil"/>
                                    <w:left w:val="nil"/>
                                    <w:bottom w:val="double" w:sz="4" w:space="0" w:color="auto"/>
                                    <w:right w:val="single" w:sz="4" w:space="0" w:color="auto"/>
                                  </w:tcBorders>
                                  <w:vAlign w:val="center"/>
                                  <w:hideMark/>
                                </w:tcPr>
                                <w:p w14:paraId="3954997B"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2,939</w:t>
                                  </w:r>
                                </w:p>
                              </w:tc>
                              <w:tc>
                                <w:tcPr>
                                  <w:tcW w:w="558" w:type="dxa"/>
                                  <w:tcBorders>
                                    <w:top w:val="nil"/>
                                    <w:left w:val="nil"/>
                                    <w:bottom w:val="double" w:sz="4" w:space="0" w:color="auto"/>
                                    <w:right w:val="single" w:sz="4" w:space="0" w:color="auto"/>
                                  </w:tcBorders>
                                  <w:vAlign w:val="center"/>
                                  <w:hideMark/>
                                </w:tcPr>
                                <w:p w14:paraId="7D90E280"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3,430</w:t>
                                  </w:r>
                                </w:p>
                              </w:tc>
                              <w:tc>
                                <w:tcPr>
                                  <w:tcW w:w="558" w:type="dxa"/>
                                  <w:tcBorders>
                                    <w:top w:val="nil"/>
                                    <w:left w:val="nil"/>
                                    <w:bottom w:val="double" w:sz="4" w:space="0" w:color="auto"/>
                                    <w:right w:val="single" w:sz="4" w:space="0" w:color="auto"/>
                                  </w:tcBorders>
                                  <w:vAlign w:val="center"/>
                                  <w:hideMark/>
                                </w:tcPr>
                                <w:p w14:paraId="3A4E56B7"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3,723</w:t>
                                  </w:r>
                                </w:p>
                              </w:tc>
                              <w:tc>
                                <w:tcPr>
                                  <w:tcW w:w="559" w:type="dxa"/>
                                  <w:tcBorders>
                                    <w:top w:val="nil"/>
                                    <w:left w:val="nil"/>
                                    <w:bottom w:val="double" w:sz="4" w:space="0" w:color="auto"/>
                                    <w:right w:val="single" w:sz="4" w:space="0" w:color="auto"/>
                                  </w:tcBorders>
                                  <w:noWrap/>
                                  <w:vAlign w:val="center"/>
                                  <w:hideMark/>
                                </w:tcPr>
                                <w:p w14:paraId="6A617B07"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3,508</w:t>
                                  </w:r>
                                </w:p>
                              </w:tc>
                              <w:tc>
                                <w:tcPr>
                                  <w:tcW w:w="558" w:type="dxa"/>
                                  <w:tcBorders>
                                    <w:top w:val="single" w:sz="4" w:space="0" w:color="auto"/>
                                    <w:left w:val="nil"/>
                                    <w:bottom w:val="double" w:sz="4" w:space="0" w:color="auto"/>
                                    <w:right w:val="single" w:sz="4" w:space="0" w:color="auto"/>
                                  </w:tcBorders>
                                  <w:noWrap/>
                                  <w:vAlign w:val="center"/>
                                  <w:hideMark/>
                                </w:tcPr>
                                <w:p w14:paraId="38B99F80" w14:textId="77777777" w:rsidR="007B1B13" w:rsidRDefault="007B1B13">
                                  <w:pPr>
                                    <w:spacing w:line="260" w:lineRule="exact"/>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80.28</w:t>
                                  </w:r>
                                </w:p>
                              </w:tc>
                              <w:tc>
                                <w:tcPr>
                                  <w:tcW w:w="558" w:type="dxa"/>
                                  <w:tcBorders>
                                    <w:top w:val="single" w:sz="4" w:space="0" w:color="auto"/>
                                    <w:left w:val="nil"/>
                                    <w:bottom w:val="double" w:sz="4" w:space="0" w:color="auto"/>
                                    <w:right w:val="single" w:sz="4" w:space="0" w:color="auto"/>
                                  </w:tcBorders>
                                  <w:vAlign w:val="center"/>
                                  <w:hideMark/>
                                </w:tcPr>
                                <w:p w14:paraId="4428B0D1" w14:textId="77777777" w:rsidR="007B1B13" w:rsidRDefault="007B1B13">
                                  <w:pPr>
                                    <w:spacing w:line="260" w:lineRule="exact"/>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83.99</w:t>
                                  </w:r>
                                </w:p>
                              </w:tc>
                              <w:tc>
                                <w:tcPr>
                                  <w:tcW w:w="558" w:type="dxa"/>
                                  <w:tcBorders>
                                    <w:top w:val="single" w:sz="4" w:space="0" w:color="auto"/>
                                    <w:left w:val="single" w:sz="4" w:space="0" w:color="auto"/>
                                    <w:bottom w:val="double" w:sz="4" w:space="0" w:color="auto"/>
                                    <w:right w:val="single" w:sz="4" w:space="0" w:color="auto"/>
                                  </w:tcBorders>
                                  <w:vAlign w:val="center"/>
                                  <w:hideMark/>
                                </w:tcPr>
                                <w:p w14:paraId="6814080E" w14:textId="77777777" w:rsidR="007B1B13" w:rsidRDefault="007B1B13">
                                  <w:pPr>
                                    <w:spacing w:line="260" w:lineRule="exact"/>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83.07</w:t>
                                  </w:r>
                                </w:p>
                              </w:tc>
                              <w:tc>
                                <w:tcPr>
                                  <w:tcW w:w="580" w:type="dxa"/>
                                  <w:tcBorders>
                                    <w:top w:val="single" w:sz="4" w:space="0" w:color="auto"/>
                                    <w:left w:val="single" w:sz="4" w:space="0" w:color="auto"/>
                                    <w:bottom w:val="double" w:sz="4" w:space="0" w:color="auto"/>
                                    <w:right w:val="single" w:sz="4" w:space="0" w:color="auto"/>
                                  </w:tcBorders>
                                  <w:vAlign w:val="center"/>
                                  <w:hideMark/>
                                </w:tcPr>
                                <w:p w14:paraId="638601E3" w14:textId="77777777" w:rsidR="007B1B13" w:rsidRDefault="007B1B13">
                                  <w:pPr>
                                    <w:spacing w:line="260" w:lineRule="exact"/>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73.99</w:t>
                                  </w:r>
                                </w:p>
                              </w:tc>
                            </w:tr>
                            <w:tr w:rsidR="007B1B13" w14:paraId="1B580185" w14:textId="77777777">
                              <w:trPr>
                                <w:trHeight w:val="283"/>
                              </w:trPr>
                              <w:tc>
                                <w:tcPr>
                                  <w:tcW w:w="1214" w:type="dxa"/>
                                  <w:gridSpan w:val="2"/>
                                  <w:tcBorders>
                                    <w:top w:val="double" w:sz="4" w:space="0" w:color="auto"/>
                                    <w:left w:val="single" w:sz="4" w:space="0" w:color="auto"/>
                                    <w:bottom w:val="single" w:sz="4" w:space="0" w:color="auto"/>
                                    <w:right w:val="single" w:sz="4" w:space="0" w:color="auto"/>
                                  </w:tcBorders>
                                  <w:vAlign w:val="center"/>
                                  <w:hideMark/>
                                </w:tcPr>
                                <w:p w14:paraId="4368811A" w14:textId="77777777" w:rsidR="007B1B13" w:rsidRDefault="007B1B13">
                                  <w:pPr>
                                    <w:widowControl/>
                                    <w:spacing w:line="240" w:lineRule="exact"/>
                                    <w:jc w:val="center"/>
                                    <w:rPr>
                                      <w:rFonts w:ascii="標楷體" w:eastAsia="標楷體" w:hAnsi="標楷體" w:cs="新細明體"/>
                                      <w:spacing w:val="-20"/>
                                      <w:kern w:val="0"/>
                                      <w:sz w:val="20"/>
                                      <w:szCs w:val="20"/>
                                    </w:rPr>
                                  </w:pPr>
                                  <w:proofErr w:type="gramStart"/>
                                  <w:r>
                                    <w:rPr>
                                      <w:rFonts w:ascii="標楷體" w:eastAsia="標楷體" w:hAnsi="標楷體" w:cs="新細明體" w:hint="eastAsia"/>
                                      <w:spacing w:val="-20"/>
                                      <w:kern w:val="0"/>
                                      <w:sz w:val="20"/>
                                      <w:szCs w:val="20"/>
                                    </w:rPr>
                                    <w:t>準</w:t>
                                  </w:r>
                                  <w:proofErr w:type="gramEnd"/>
                                  <w:r>
                                    <w:rPr>
                                      <w:rFonts w:ascii="標楷體" w:eastAsia="標楷體" w:hAnsi="標楷體" w:cs="新細明體" w:hint="eastAsia"/>
                                      <w:spacing w:val="-20"/>
                                      <w:kern w:val="0"/>
                                      <w:sz w:val="20"/>
                                      <w:szCs w:val="20"/>
                                    </w:rPr>
                                    <w:t>公共保母</w:t>
                                  </w:r>
                                </w:p>
                              </w:tc>
                              <w:tc>
                                <w:tcPr>
                                  <w:tcW w:w="556" w:type="dxa"/>
                                  <w:tcBorders>
                                    <w:top w:val="double" w:sz="4" w:space="0" w:color="auto"/>
                                    <w:left w:val="nil"/>
                                    <w:bottom w:val="single" w:sz="4" w:space="0" w:color="auto"/>
                                    <w:right w:val="single" w:sz="4" w:space="0" w:color="auto"/>
                                  </w:tcBorders>
                                  <w:vAlign w:val="center"/>
                                  <w:hideMark/>
                                </w:tcPr>
                                <w:p w14:paraId="1B2D93AC" w14:textId="77777777" w:rsidR="007B1B13" w:rsidRDefault="007B1B13">
                                  <w:pPr>
                                    <w:spacing w:line="240" w:lineRule="exact"/>
                                    <w:ind w:leftChars="-50" w:left="-120"/>
                                    <w:jc w:val="right"/>
                                    <w:rPr>
                                      <w:rFonts w:ascii="標楷體" w:eastAsia="標楷體" w:hAnsi="標楷體" w:cs="Times New Roman"/>
                                      <w:spacing w:val="-4"/>
                                      <w:kern w:val="0"/>
                                      <w:sz w:val="20"/>
                                      <w:szCs w:val="20"/>
                                    </w:rPr>
                                  </w:pPr>
                                  <w:r>
                                    <w:rPr>
                                      <w:rFonts w:ascii="標楷體" w:eastAsia="標楷體" w:hAnsi="標楷體" w:hint="eastAsia"/>
                                      <w:spacing w:val="-4"/>
                                      <w:kern w:val="0"/>
                                      <w:sz w:val="20"/>
                                      <w:szCs w:val="20"/>
                                    </w:rPr>
                                    <w:t>2,514</w:t>
                                  </w:r>
                                </w:p>
                              </w:tc>
                              <w:tc>
                                <w:tcPr>
                                  <w:tcW w:w="556" w:type="dxa"/>
                                  <w:tcBorders>
                                    <w:top w:val="double" w:sz="4" w:space="0" w:color="auto"/>
                                    <w:left w:val="nil"/>
                                    <w:bottom w:val="single" w:sz="4" w:space="0" w:color="auto"/>
                                    <w:right w:val="single" w:sz="4" w:space="0" w:color="auto"/>
                                  </w:tcBorders>
                                  <w:vAlign w:val="center"/>
                                  <w:hideMark/>
                                </w:tcPr>
                                <w:p w14:paraId="3E86DD10"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2,407</w:t>
                                  </w:r>
                                </w:p>
                              </w:tc>
                              <w:tc>
                                <w:tcPr>
                                  <w:tcW w:w="557" w:type="dxa"/>
                                  <w:tcBorders>
                                    <w:top w:val="double" w:sz="4" w:space="0" w:color="auto"/>
                                    <w:left w:val="nil"/>
                                    <w:bottom w:val="single" w:sz="4" w:space="0" w:color="auto"/>
                                    <w:right w:val="single" w:sz="4" w:space="0" w:color="auto"/>
                                  </w:tcBorders>
                                  <w:vAlign w:val="center"/>
                                  <w:hideMark/>
                                </w:tcPr>
                                <w:p w14:paraId="56DB95C3"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2,402</w:t>
                                  </w:r>
                                </w:p>
                              </w:tc>
                              <w:tc>
                                <w:tcPr>
                                  <w:tcW w:w="558" w:type="dxa"/>
                                  <w:tcBorders>
                                    <w:top w:val="double" w:sz="4" w:space="0" w:color="auto"/>
                                    <w:left w:val="nil"/>
                                    <w:bottom w:val="single" w:sz="4" w:space="0" w:color="auto"/>
                                    <w:right w:val="single" w:sz="4" w:space="0" w:color="auto"/>
                                  </w:tcBorders>
                                  <w:vAlign w:val="center"/>
                                  <w:hideMark/>
                                </w:tcPr>
                                <w:p w14:paraId="410D49B5"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2,399</w:t>
                                  </w:r>
                                </w:p>
                              </w:tc>
                              <w:tc>
                                <w:tcPr>
                                  <w:tcW w:w="558" w:type="dxa"/>
                                  <w:tcBorders>
                                    <w:top w:val="double" w:sz="4" w:space="0" w:color="auto"/>
                                    <w:left w:val="nil"/>
                                    <w:bottom w:val="single" w:sz="4" w:space="0" w:color="auto"/>
                                    <w:right w:val="single" w:sz="4" w:space="0" w:color="auto"/>
                                  </w:tcBorders>
                                  <w:vAlign w:val="center"/>
                                  <w:hideMark/>
                                </w:tcPr>
                                <w:p w14:paraId="35D185DD"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2,514</w:t>
                                  </w:r>
                                </w:p>
                              </w:tc>
                              <w:tc>
                                <w:tcPr>
                                  <w:tcW w:w="558" w:type="dxa"/>
                                  <w:tcBorders>
                                    <w:top w:val="double" w:sz="4" w:space="0" w:color="auto"/>
                                    <w:left w:val="nil"/>
                                    <w:bottom w:val="single" w:sz="4" w:space="0" w:color="auto"/>
                                    <w:right w:val="single" w:sz="4" w:space="0" w:color="auto"/>
                                  </w:tcBorders>
                                  <w:vAlign w:val="center"/>
                                  <w:hideMark/>
                                </w:tcPr>
                                <w:p w14:paraId="42093259"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2,407</w:t>
                                  </w:r>
                                </w:p>
                              </w:tc>
                              <w:tc>
                                <w:tcPr>
                                  <w:tcW w:w="558" w:type="dxa"/>
                                  <w:tcBorders>
                                    <w:top w:val="double" w:sz="4" w:space="0" w:color="auto"/>
                                    <w:left w:val="nil"/>
                                    <w:bottom w:val="single" w:sz="4" w:space="0" w:color="auto"/>
                                    <w:right w:val="single" w:sz="4" w:space="0" w:color="auto"/>
                                  </w:tcBorders>
                                  <w:vAlign w:val="center"/>
                                  <w:hideMark/>
                                </w:tcPr>
                                <w:p w14:paraId="75DD499C"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2,402</w:t>
                                  </w:r>
                                </w:p>
                              </w:tc>
                              <w:tc>
                                <w:tcPr>
                                  <w:tcW w:w="559" w:type="dxa"/>
                                  <w:tcBorders>
                                    <w:top w:val="double" w:sz="4" w:space="0" w:color="auto"/>
                                    <w:left w:val="nil"/>
                                    <w:bottom w:val="single" w:sz="4" w:space="0" w:color="auto"/>
                                    <w:right w:val="single" w:sz="4" w:space="0" w:color="auto"/>
                                  </w:tcBorders>
                                  <w:noWrap/>
                                  <w:vAlign w:val="center"/>
                                  <w:hideMark/>
                                </w:tcPr>
                                <w:p w14:paraId="455DD83D"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2,399</w:t>
                                  </w:r>
                                </w:p>
                              </w:tc>
                              <w:tc>
                                <w:tcPr>
                                  <w:tcW w:w="2254" w:type="dxa"/>
                                  <w:gridSpan w:val="4"/>
                                  <w:tcBorders>
                                    <w:top w:val="double" w:sz="4" w:space="0" w:color="auto"/>
                                    <w:left w:val="nil"/>
                                    <w:bottom w:val="single" w:sz="4" w:space="0" w:color="auto"/>
                                    <w:right w:val="single" w:sz="4" w:space="0" w:color="auto"/>
                                    <w:tl2br w:val="single" w:sz="4" w:space="0" w:color="auto"/>
                                  </w:tcBorders>
                                  <w:noWrap/>
                                  <w:vAlign w:val="center"/>
                                </w:tcPr>
                                <w:p w14:paraId="3C3D6BA9" w14:textId="77777777" w:rsidR="007B1B13" w:rsidRDefault="007B1B13">
                                  <w:pPr>
                                    <w:widowControl/>
                                    <w:spacing w:line="280" w:lineRule="exact"/>
                                    <w:ind w:rightChars="20" w:right="48"/>
                                    <w:jc w:val="right"/>
                                    <w:rPr>
                                      <w:rFonts w:ascii="標楷體" w:eastAsia="標楷體" w:hAnsi="標楷體"/>
                                      <w:color w:val="000000"/>
                                      <w:kern w:val="0"/>
                                      <w:sz w:val="20"/>
                                      <w:szCs w:val="20"/>
                                    </w:rPr>
                                  </w:pPr>
                                </w:p>
                              </w:tc>
                            </w:tr>
                          </w:tbl>
                          <w:p w14:paraId="1A3F1DF7" w14:textId="77777777" w:rsidR="007B1B13" w:rsidRDefault="007B1B13" w:rsidP="007B1B13">
                            <w:pPr>
                              <w:spacing w:line="200" w:lineRule="exact"/>
                              <w:ind w:leftChars="-50" w:left="-120"/>
                              <w:jc w:val="both"/>
                              <w:rPr>
                                <w:rFonts w:ascii="標楷體" w:eastAsia="標楷體" w:hAnsi="標楷體" w:cs="Times New Roman"/>
                                <w:spacing w:val="-1"/>
                                <w:sz w:val="18"/>
                                <w:szCs w:val="18"/>
                              </w:rPr>
                            </w:pPr>
                            <w:proofErr w:type="gramStart"/>
                            <w:r>
                              <w:rPr>
                                <w:rFonts w:ascii="標楷體" w:eastAsia="標楷體" w:hAnsi="標楷體" w:hint="eastAsia"/>
                                <w:spacing w:val="-1"/>
                                <w:sz w:val="18"/>
                                <w:szCs w:val="18"/>
                              </w:rPr>
                              <w:t>註</w:t>
                            </w:r>
                            <w:proofErr w:type="gramEnd"/>
                            <w:r>
                              <w:rPr>
                                <w:rFonts w:ascii="標楷體" w:eastAsia="標楷體" w:hAnsi="標楷體" w:hint="eastAsia"/>
                                <w:spacing w:val="-1"/>
                                <w:sz w:val="18"/>
                                <w:szCs w:val="18"/>
                              </w:rPr>
                              <w:t>：1.113年度資料僅統計至8月底止。</w:t>
                            </w:r>
                          </w:p>
                          <w:p w14:paraId="026D4D9F" w14:textId="1DAB21DD" w:rsidR="007B1B13" w:rsidRDefault="007B1B13" w:rsidP="007B1B13">
                            <w:pPr>
                              <w:spacing w:line="200" w:lineRule="exact"/>
                              <w:ind w:leftChars="100" w:left="418" w:hangingChars="100" w:hanging="178"/>
                              <w:jc w:val="both"/>
                              <w:rPr>
                                <w:rFonts w:ascii="標楷體" w:eastAsia="標楷體" w:hAnsi="標楷體"/>
                                <w:spacing w:val="-1"/>
                                <w:sz w:val="18"/>
                                <w:szCs w:val="18"/>
                              </w:rPr>
                            </w:pPr>
                            <w:r>
                              <w:rPr>
                                <w:rFonts w:ascii="標楷體" w:eastAsia="標楷體" w:hAnsi="標楷體" w:hint="eastAsia"/>
                                <w:spacing w:val="-1"/>
                                <w:sz w:val="18"/>
                                <w:szCs w:val="18"/>
                              </w:rPr>
                              <w:t>2.目前我國</w:t>
                            </w:r>
                            <w:proofErr w:type="gramStart"/>
                            <w:r>
                              <w:rPr>
                                <w:rFonts w:ascii="標楷體" w:eastAsia="標楷體" w:hAnsi="標楷體" w:hint="eastAsia"/>
                                <w:spacing w:val="-1"/>
                                <w:sz w:val="18"/>
                                <w:szCs w:val="18"/>
                              </w:rPr>
                              <w:t>每一位托育</w:t>
                            </w:r>
                            <w:proofErr w:type="gramEnd"/>
                            <w:r>
                              <w:rPr>
                                <w:rFonts w:ascii="標楷體" w:eastAsia="標楷體" w:hAnsi="標楷體" w:hint="eastAsia"/>
                                <w:spacing w:val="-1"/>
                                <w:sz w:val="18"/>
                                <w:szCs w:val="18"/>
                              </w:rPr>
                              <w:t>人員</w:t>
                            </w:r>
                            <w:r w:rsidR="00B418C5">
                              <w:rPr>
                                <w:rFonts w:ascii="標楷體" w:eastAsia="標楷體" w:hAnsi="標楷體" w:hint="eastAsia"/>
                                <w:spacing w:val="-1"/>
                                <w:sz w:val="18"/>
                                <w:szCs w:val="18"/>
                              </w:rPr>
                              <w:t>（</w:t>
                            </w:r>
                            <w:r>
                              <w:rPr>
                                <w:rFonts w:ascii="標楷體" w:eastAsia="標楷體" w:hAnsi="標楷體" w:hint="eastAsia"/>
                                <w:spacing w:val="-1"/>
                                <w:sz w:val="18"/>
                                <w:szCs w:val="18"/>
                              </w:rPr>
                              <w:t>保母</w:t>
                            </w:r>
                            <w:r w:rsidR="00B418C5">
                              <w:rPr>
                                <w:rFonts w:ascii="標楷體" w:eastAsia="標楷體" w:hAnsi="標楷體" w:hint="eastAsia"/>
                                <w:spacing w:val="-1"/>
                                <w:sz w:val="18"/>
                                <w:szCs w:val="18"/>
                              </w:rPr>
                              <w:t>）</w:t>
                            </w:r>
                            <w:r>
                              <w:rPr>
                                <w:rFonts w:ascii="標楷體" w:eastAsia="標楷體" w:hAnsi="標楷體" w:hint="eastAsia"/>
                                <w:spacing w:val="-1"/>
                                <w:sz w:val="18"/>
                                <w:szCs w:val="18"/>
                              </w:rPr>
                              <w:t>可收托幼兒數，係按</w:t>
                            </w:r>
                            <w:proofErr w:type="gramStart"/>
                            <w:r>
                              <w:rPr>
                                <w:rFonts w:ascii="標楷體" w:eastAsia="標楷體" w:hAnsi="標楷體" w:hint="eastAsia"/>
                                <w:spacing w:val="-1"/>
                                <w:sz w:val="18"/>
                                <w:szCs w:val="18"/>
                              </w:rPr>
                              <w:t>居家式托育</w:t>
                            </w:r>
                            <w:proofErr w:type="gramEnd"/>
                            <w:r>
                              <w:rPr>
                                <w:rFonts w:ascii="標楷體" w:eastAsia="標楷體" w:hAnsi="標楷體" w:hint="eastAsia"/>
                                <w:spacing w:val="-1"/>
                                <w:sz w:val="18"/>
                                <w:szCs w:val="18"/>
                              </w:rPr>
                              <w:t>服務提供者登記及管理辦法第7條規定辦理，</w:t>
                            </w:r>
                            <w:proofErr w:type="gramStart"/>
                            <w:r>
                              <w:rPr>
                                <w:rFonts w:ascii="標楷體" w:eastAsia="標楷體" w:hAnsi="標楷體" w:hint="eastAsia"/>
                                <w:spacing w:val="-1"/>
                                <w:sz w:val="18"/>
                                <w:szCs w:val="18"/>
                              </w:rPr>
                              <w:t>爰</w:t>
                            </w:r>
                            <w:proofErr w:type="gramEnd"/>
                            <w:r>
                              <w:rPr>
                                <w:rFonts w:ascii="標楷體" w:eastAsia="標楷體" w:hAnsi="標楷體" w:hint="eastAsia"/>
                                <w:spacing w:val="-1"/>
                                <w:sz w:val="18"/>
                                <w:szCs w:val="18"/>
                              </w:rPr>
                              <w:t>社會局未核定該等從業人員可收托幼兒人數，惟為便於計算臺北市公共及</w:t>
                            </w:r>
                            <w:proofErr w:type="gramStart"/>
                            <w:r>
                              <w:rPr>
                                <w:rFonts w:ascii="標楷體" w:eastAsia="標楷體" w:hAnsi="標楷體" w:hint="eastAsia"/>
                                <w:spacing w:val="-1"/>
                                <w:sz w:val="18"/>
                                <w:szCs w:val="18"/>
                              </w:rPr>
                              <w:t>準</w:t>
                            </w:r>
                            <w:proofErr w:type="gramEnd"/>
                            <w:r>
                              <w:rPr>
                                <w:rFonts w:ascii="標楷體" w:eastAsia="標楷體" w:hAnsi="標楷體" w:hint="eastAsia"/>
                                <w:spacing w:val="-1"/>
                                <w:sz w:val="18"/>
                                <w:szCs w:val="18"/>
                              </w:rPr>
                              <w:t>公共育兒服務量能供給情形，其核定收托人數係以實際收托人數計算之。</w:t>
                            </w:r>
                          </w:p>
                          <w:p w14:paraId="36478BC7" w14:textId="77777777" w:rsidR="007B1B13" w:rsidRDefault="007B1B13" w:rsidP="007B1B13">
                            <w:pPr>
                              <w:spacing w:line="200" w:lineRule="exact"/>
                              <w:ind w:leftChars="100" w:left="240"/>
                              <w:jc w:val="both"/>
                              <w:rPr>
                                <w:rFonts w:ascii="標楷體" w:eastAsia="標楷體" w:hAnsi="標楷體"/>
                                <w:spacing w:val="-2"/>
                                <w:sz w:val="18"/>
                                <w:szCs w:val="18"/>
                              </w:rPr>
                            </w:pPr>
                            <w:r>
                              <w:rPr>
                                <w:rFonts w:ascii="標楷體" w:eastAsia="標楷體" w:hAnsi="標楷體" w:hint="eastAsia"/>
                                <w:spacing w:val="-1"/>
                                <w:sz w:val="18"/>
                                <w:szCs w:val="18"/>
                              </w:rPr>
                              <w:t>3.資料來源：整理自社會局提供資料。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DDE728" id="文字方塊 927419640" o:spid="_x0000_s1097" type="#_x0000_t202" style="position:absolute;left:0;text-align:left;margin-left:147pt;margin-top:441.85pt;width:404.4pt;height:257.95pt;z-index:-2515609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" stroked="f">
                <v:textbox>
                  <w:txbxContent>
                    <w:tbl>
                      <w:tblPr>
                        <w:tblW w:w="7935" w:type="dxa"/>
                        <w:tblInd w:w="-142" w:type="dxa"/>
                        <w:tblLayout w:type="fixed"/>
                        <w:tblCellMar>
                          <w:left w:w="28" w:type="dxa"/>
                          <w:right w:w="28" w:type="dxa"/>
                        </w:tblCellMar>
                        <w:tblLook w:val="04A0" w:firstRow="1" w:lastRow="0" w:firstColumn="1" w:lastColumn="0" w:noHBand="0" w:noVBand="1"/>
                      </w:tblPr>
                      <w:tblGrid>
                        <w:gridCol w:w="416"/>
                        <w:gridCol w:w="801"/>
                        <w:gridCol w:w="557"/>
                        <w:gridCol w:w="557"/>
                        <w:gridCol w:w="558"/>
                        <w:gridCol w:w="558"/>
                        <w:gridCol w:w="558"/>
                        <w:gridCol w:w="558"/>
                        <w:gridCol w:w="558"/>
                        <w:gridCol w:w="559"/>
                        <w:gridCol w:w="558"/>
                        <w:gridCol w:w="558"/>
                        <w:gridCol w:w="558"/>
                        <w:gridCol w:w="581"/>
                      </w:tblGrid>
                      <w:tr w:rsidR="007B1B13" w14:paraId="5782D293" w14:textId="77777777">
                        <w:trPr>
                          <w:trHeight w:val="283"/>
                        </w:trPr>
                        <w:tc>
                          <w:tcPr>
                            <w:tcW w:w="7928" w:type="dxa"/>
                            <w:gridSpan w:val="14"/>
                            <w:vAlign w:val="center"/>
                            <w:hideMark/>
                          </w:tcPr>
                          <w:p w14:paraId="34DE8436" w14:textId="77777777" w:rsidR="007B1B13" w:rsidRDefault="007B1B13">
                            <w:pPr>
                              <w:spacing w:line="220" w:lineRule="exact"/>
                              <w:ind w:leftChars="5" w:left="12" w:rightChars="5" w:right="12"/>
                              <w:jc w:val="center"/>
                              <w:rPr>
                                <w:rFonts w:ascii="標楷體" w:eastAsia="標楷體" w:hAnsi="標楷體" w:cs="新細明體"/>
                                <w:b/>
                                <w:bCs/>
                                <w:color w:val="000000"/>
                                <w:kern w:val="0"/>
                              </w:rPr>
                            </w:pPr>
                            <w:r>
                              <w:rPr>
                                <w:rFonts w:ascii="標楷體" w:eastAsia="標楷體" w:hAnsi="標楷體" w:cs="新細明體" w:hint="eastAsia"/>
                                <w:b/>
                                <w:bCs/>
                                <w:color w:val="000000"/>
                                <w:kern w:val="0"/>
                              </w:rPr>
                              <w:t>表1　臺北市公共及</w:t>
                            </w:r>
                            <w:proofErr w:type="gramStart"/>
                            <w:r>
                              <w:rPr>
                                <w:rFonts w:ascii="標楷體" w:eastAsia="標楷體" w:hAnsi="標楷體" w:cs="新細明體" w:hint="eastAsia"/>
                                <w:b/>
                                <w:bCs/>
                                <w:color w:val="000000"/>
                                <w:kern w:val="0"/>
                              </w:rPr>
                              <w:t>準</w:t>
                            </w:r>
                            <w:proofErr w:type="gramEnd"/>
                            <w:r>
                              <w:rPr>
                                <w:rFonts w:ascii="標楷體" w:eastAsia="標楷體" w:hAnsi="標楷體" w:cs="新細明體" w:hint="eastAsia"/>
                                <w:b/>
                                <w:bCs/>
                                <w:color w:val="000000"/>
                                <w:kern w:val="0"/>
                              </w:rPr>
                              <w:t>公共托嬰量能供給及使用狀況</w:t>
                            </w:r>
                          </w:p>
                        </w:tc>
                      </w:tr>
                      <w:tr w:rsidR="007B1B13" w14:paraId="1CFCDA4B" w14:textId="77777777">
                        <w:trPr>
                          <w:trHeight w:val="283"/>
                        </w:trPr>
                        <w:tc>
                          <w:tcPr>
                            <w:tcW w:w="7928" w:type="dxa"/>
                            <w:gridSpan w:val="14"/>
                            <w:tcBorders>
                              <w:top w:val="nil"/>
                              <w:left w:val="nil"/>
                              <w:bottom w:val="single" w:sz="4" w:space="0" w:color="auto"/>
                              <w:right w:val="nil"/>
                            </w:tcBorders>
                            <w:vAlign w:val="center"/>
                            <w:hideMark/>
                          </w:tcPr>
                          <w:p w14:paraId="50D52BC4" w14:textId="71E5DC85" w:rsidR="007B1B13" w:rsidRDefault="007B1B13">
                            <w:pPr>
                              <w:spacing w:line="220" w:lineRule="exact"/>
                              <w:ind w:leftChars="5" w:left="12" w:rightChars="5" w:right="12"/>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r w:rsidR="00025E8C">
                              <w:rPr>
                                <w:rFonts w:ascii="標楷體" w:eastAsia="標楷體" w:hAnsi="標楷體" w:cs="新細明體" w:hint="eastAsia"/>
                                <w:color w:val="000000"/>
                                <w:kern w:val="0"/>
                                <w:sz w:val="20"/>
                                <w:szCs w:val="20"/>
                              </w:rPr>
                              <w:t>：</w:t>
                            </w:r>
                            <w:r>
                              <w:rPr>
                                <w:rFonts w:ascii="標楷體" w:eastAsia="標楷體" w:hAnsi="標楷體" w:cs="新細明體" w:hint="eastAsia"/>
                                <w:color w:val="000000"/>
                                <w:kern w:val="0"/>
                                <w:sz w:val="20"/>
                                <w:szCs w:val="20"/>
                              </w:rPr>
                              <w:t>人、％</w:t>
                            </w:r>
                          </w:p>
                        </w:tc>
                      </w:tr>
                      <w:tr w:rsidR="007B1B13" w14:paraId="008DE263" w14:textId="77777777">
                        <w:trPr>
                          <w:trHeight w:val="283"/>
                        </w:trPr>
                        <w:tc>
                          <w:tcPr>
                            <w:tcW w:w="1214" w:type="dxa"/>
                            <w:gridSpan w:val="2"/>
                            <w:tcBorders>
                              <w:top w:val="single" w:sz="4" w:space="0" w:color="auto"/>
                              <w:left w:val="single" w:sz="4" w:space="0" w:color="auto"/>
                              <w:bottom w:val="single" w:sz="4" w:space="0" w:color="auto"/>
                              <w:right w:val="single" w:sz="4" w:space="0" w:color="auto"/>
                            </w:tcBorders>
                            <w:vAlign w:val="center"/>
                            <w:hideMark/>
                          </w:tcPr>
                          <w:p w14:paraId="2B4F2BCA" w14:textId="77777777" w:rsidR="007B1B13" w:rsidRDefault="007B1B13">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項目</w:t>
                            </w:r>
                          </w:p>
                        </w:tc>
                        <w:tc>
                          <w:tcPr>
                            <w:tcW w:w="2227" w:type="dxa"/>
                            <w:gridSpan w:val="4"/>
                            <w:tcBorders>
                              <w:top w:val="single" w:sz="4" w:space="0" w:color="auto"/>
                              <w:left w:val="nil"/>
                              <w:bottom w:val="single" w:sz="4" w:space="0" w:color="auto"/>
                              <w:right w:val="single" w:sz="4" w:space="0" w:color="auto"/>
                            </w:tcBorders>
                            <w:vAlign w:val="center"/>
                            <w:hideMark/>
                          </w:tcPr>
                          <w:p w14:paraId="174FB53C" w14:textId="77777777" w:rsidR="007B1B13" w:rsidRDefault="007B1B13">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核定收托人數（A）</w:t>
                            </w:r>
                          </w:p>
                        </w:tc>
                        <w:tc>
                          <w:tcPr>
                            <w:tcW w:w="2233" w:type="dxa"/>
                            <w:gridSpan w:val="4"/>
                            <w:tcBorders>
                              <w:top w:val="single" w:sz="4" w:space="0" w:color="auto"/>
                              <w:left w:val="nil"/>
                              <w:bottom w:val="single" w:sz="4" w:space="0" w:color="auto"/>
                              <w:right w:val="single" w:sz="4" w:space="0" w:color="auto"/>
                            </w:tcBorders>
                            <w:vAlign w:val="center"/>
                            <w:hideMark/>
                          </w:tcPr>
                          <w:p w14:paraId="67E871E5" w14:textId="77777777" w:rsidR="007B1B13" w:rsidRDefault="007B1B13">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實際收托人數（B）</w:t>
                            </w:r>
                          </w:p>
                        </w:tc>
                        <w:tc>
                          <w:tcPr>
                            <w:tcW w:w="2254" w:type="dxa"/>
                            <w:gridSpan w:val="4"/>
                            <w:tcBorders>
                              <w:top w:val="single" w:sz="4" w:space="0" w:color="auto"/>
                              <w:left w:val="nil"/>
                              <w:bottom w:val="single" w:sz="4" w:space="0" w:color="auto"/>
                              <w:right w:val="single" w:sz="4" w:space="0" w:color="auto"/>
                            </w:tcBorders>
                            <w:vAlign w:val="center"/>
                            <w:hideMark/>
                          </w:tcPr>
                          <w:p w14:paraId="5B6659BF" w14:textId="10440454" w:rsidR="007B1B13" w:rsidRDefault="007B1B13">
                            <w:pPr>
                              <w:spacing w:line="220" w:lineRule="exact"/>
                              <w:ind w:leftChars="5" w:left="12" w:rightChars="5" w:right="12"/>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收托率</w:t>
                            </w:r>
                            <w:proofErr w:type="gramEnd"/>
                            <w:r>
                              <w:rPr>
                                <w:rFonts w:ascii="標楷體" w:eastAsia="標楷體" w:hAnsi="標楷體" w:cs="新細明體" w:hint="eastAsia"/>
                                <w:color w:val="000000"/>
                                <w:spacing w:val="-20"/>
                                <w:kern w:val="0"/>
                                <w:sz w:val="20"/>
                                <w:szCs w:val="20"/>
                              </w:rPr>
                              <w:t>（C）=（B/A</w:t>
                            </w:r>
                            <w:r w:rsidR="00870502">
                              <w:rPr>
                                <w:rFonts w:ascii="標楷體" w:eastAsia="標楷體" w:hAnsi="標楷體" w:cs="新細明體" w:hint="eastAsia"/>
                                <w:color w:val="000000"/>
                                <w:spacing w:val="-20"/>
                                <w:kern w:val="0"/>
                                <w:sz w:val="20"/>
                                <w:szCs w:val="20"/>
                              </w:rPr>
                              <w:t>×</w:t>
                            </w:r>
                            <w:r w:rsidR="00870502">
                              <w:rPr>
                                <w:rFonts w:ascii="標楷體" w:eastAsia="標楷體" w:hAnsi="標楷體" w:cs="新細明體"/>
                                <w:color w:val="000000"/>
                                <w:spacing w:val="-20"/>
                                <w:kern w:val="0"/>
                                <w:sz w:val="20"/>
                                <w:szCs w:val="20"/>
                              </w:rPr>
                              <w:t>100</w:t>
                            </w:r>
                            <w:r>
                              <w:rPr>
                                <w:rFonts w:ascii="標楷體" w:eastAsia="標楷體" w:hAnsi="標楷體" w:cs="新細明體" w:hint="eastAsia"/>
                                <w:color w:val="000000"/>
                                <w:spacing w:val="-20"/>
                                <w:kern w:val="0"/>
                                <w:sz w:val="20"/>
                                <w:szCs w:val="20"/>
                              </w:rPr>
                              <w:t>）</w:t>
                            </w:r>
                          </w:p>
                        </w:tc>
                      </w:tr>
                      <w:tr w:rsidR="007B1B13" w14:paraId="517607A3" w14:textId="77777777">
                        <w:trPr>
                          <w:trHeight w:val="283"/>
                        </w:trPr>
                        <w:tc>
                          <w:tcPr>
                            <w:tcW w:w="1214" w:type="dxa"/>
                            <w:gridSpan w:val="2"/>
                            <w:tcBorders>
                              <w:top w:val="single" w:sz="4" w:space="0" w:color="auto"/>
                              <w:left w:val="single" w:sz="4" w:space="0" w:color="auto"/>
                              <w:bottom w:val="single" w:sz="4" w:space="0" w:color="auto"/>
                              <w:right w:val="single" w:sz="4" w:space="0" w:color="auto"/>
                            </w:tcBorders>
                            <w:vAlign w:val="center"/>
                            <w:hideMark/>
                          </w:tcPr>
                          <w:p w14:paraId="5E3295F4" w14:textId="77777777" w:rsidR="007B1B13" w:rsidRDefault="007B1B13">
                            <w:pPr>
                              <w:widowControl/>
                              <w:spacing w:line="28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年度</w:t>
                            </w:r>
                          </w:p>
                        </w:tc>
                        <w:tc>
                          <w:tcPr>
                            <w:tcW w:w="556" w:type="dxa"/>
                            <w:tcBorders>
                              <w:top w:val="nil"/>
                              <w:left w:val="nil"/>
                              <w:bottom w:val="single" w:sz="4" w:space="0" w:color="auto"/>
                              <w:right w:val="single" w:sz="4" w:space="0" w:color="auto"/>
                            </w:tcBorders>
                            <w:vAlign w:val="center"/>
                            <w:hideMark/>
                          </w:tcPr>
                          <w:p w14:paraId="55AF8F00"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110</w:t>
                            </w:r>
                          </w:p>
                        </w:tc>
                        <w:tc>
                          <w:tcPr>
                            <w:tcW w:w="556" w:type="dxa"/>
                            <w:tcBorders>
                              <w:top w:val="nil"/>
                              <w:left w:val="nil"/>
                              <w:bottom w:val="single" w:sz="4" w:space="0" w:color="auto"/>
                              <w:right w:val="single" w:sz="4" w:space="0" w:color="auto"/>
                            </w:tcBorders>
                            <w:vAlign w:val="center"/>
                            <w:hideMark/>
                          </w:tcPr>
                          <w:p w14:paraId="4B0DE4BE" w14:textId="77777777" w:rsidR="007B1B13" w:rsidRDefault="007B1B13">
                            <w:pPr>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111</w:t>
                            </w:r>
                          </w:p>
                        </w:tc>
                        <w:tc>
                          <w:tcPr>
                            <w:tcW w:w="557" w:type="dxa"/>
                            <w:tcBorders>
                              <w:top w:val="nil"/>
                              <w:left w:val="nil"/>
                              <w:bottom w:val="single" w:sz="4" w:space="0" w:color="auto"/>
                              <w:right w:val="single" w:sz="4" w:space="0" w:color="auto"/>
                            </w:tcBorders>
                            <w:noWrap/>
                            <w:vAlign w:val="center"/>
                            <w:hideMark/>
                          </w:tcPr>
                          <w:p w14:paraId="6F0D1C85"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112</w:t>
                            </w:r>
                          </w:p>
                        </w:tc>
                        <w:tc>
                          <w:tcPr>
                            <w:tcW w:w="558" w:type="dxa"/>
                            <w:tcBorders>
                              <w:top w:val="nil"/>
                              <w:left w:val="nil"/>
                              <w:bottom w:val="single" w:sz="4" w:space="0" w:color="auto"/>
                              <w:right w:val="single" w:sz="4" w:space="0" w:color="auto"/>
                            </w:tcBorders>
                            <w:noWrap/>
                            <w:vAlign w:val="center"/>
                            <w:hideMark/>
                          </w:tcPr>
                          <w:p w14:paraId="650C0FCD"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113</w:t>
                            </w:r>
                          </w:p>
                        </w:tc>
                        <w:tc>
                          <w:tcPr>
                            <w:tcW w:w="558" w:type="dxa"/>
                            <w:tcBorders>
                              <w:top w:val="nil"/>
                              <w:left w:val="nil"/>
                              <w:bottom w:val="single" w:sz="4" w:space="0" w:color="auto"/>
                              <w:right w:val="single" w:sz="4" w:space="0" w:color="auto"/>
                            </w:tcBorders>
                            <w:vAlign w:val="center"/>
                            <w:hideMark/>
                          </w:tcPr>
                          <w:p w14:paraId="1AC7247C"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110</w:t>
                            </w:r>
                          </w:p>
                        </w:tc>
                        <w:tc>
                          <w:tcPr>
                            <w:tcW w:w="558" w:type="dxa"/>
                            <w:tcBorders>
                              <w:top w:val="nil"/>
                              <w:left w:val="nil"/>
                              <w:bottom w:val="single" w:sz="4" w:space="0" w:color="auto"/>
                              <w:right w:val="single" w:sz="4" w:space="0" w:color="auto"/>
                            </w:tcBorders>
                            <w:vAlign w:val="center"/>
                            <w:hideMark/>
                          </w:tcPr>
                          <w:p w14:paraId="64CF69EF" w14:textId="77777777" w:rsidR="007B1B13" w:rsidRDefault="007B1B13">
                            <w:pPr>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111</w:t>
                            </w:r>
                          </w:p>
                        </w:tc>
                        <w:tc>
                          <w:tcPr>
                            <w:tcW w:w="558" w:type="dxa"/>
                            <w:tcBorders>
                              <w:top w:val="nil"/>
                              <w:left w:val="nil"/>
                              <w:bottom w:val="single" w:sz="4" w:space="0" w:color="auto"/>
                              <w:right w:val="single" w:sz="4" w:space="0" w:color="auto"/>
                            </w:tcBorders>
                            <w:noWrap/>
                            <w:vAlign w:val="center"/>
                            <w:hideMark/>
                          </w:tcPr>
                          <w:p w14:paraId="041FDB35"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112</w:t>
                            </w:r>
                          </w:p>
                        </w:tc>
                        <w:tc>
                          <w:tcPr>
                            <w:tcW w:w="559" w:type="dxa"/>
                            <w:tcBorders>
                              <w:top w:val="nil"/>
                              <w:left w:val="nil"/>
                              <w:bottom w:val="single" w:sz="4" w:space="0" w:color="auto"/>
                              <w:right w:val="single" w:sz="4" w:space="0" w:color="auto"/>
                            </w:tcBorders>
                            <w:noWrap/>
                            <w:vAlign w:val="center"/>
                            <w:hideMark/>
                          </w:tcPr>
                          <w:p w14:paraId="55292A83"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113</w:t>
                            </w:r>
                          </w:p>
                        </w:tc>
                        <w:tc>
                          <w:tcPr>
                            <w:tcW w:w="558" w:type="dxa"/>
                            <w:tcBorders>
                              <w:top w:val="single" w:sz="4" w:space="0" w:color="auto"/>
                              <w:left w:val="nil"/>
                              <w:bottom w:val="single" w:sz="4" w:space="0" w:color="auto"/>
                              <w:right w:val="single" w:sz="4" w:space="0" w:color="auto"/>
                            </w:tcBorders>
                            <w:vAlign w:val="center"/>
                            <w:hideMark/>
                          </w:tcPr>
                          <w:p w14:paraId="2750CE84"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110</w:t>
                            </w:r>
                          </w:p>
                        </w:tc>
                        <w:tc>
                          <w:tcPr>
                            <w:tcW w:w="558" w:type="dxa"/>
                            <w:tcBorders>
                              <w:top w:val="single" w:sz="4" w:space="0" w:color="auto"/>
                              <w:left w:val="nil"/>
                              <w:bottom w:val="single" w:sz="4" w:space="0" w:color="auto"/>
                              <w:right w:val="single" w:sz="4" w:space="0" w:color="auto"/>
                            </w:tcBorders>
                            <w:vAlign w:val="center"/>
                            <w:hideMark/>
                          </w:tcPr>
                          <w:p w14:paraId="620F5925" w14:textId="77777777" w:rsidR="007B1B13" w:rsidRDefault="007B1B13">
                            <w:pPr>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111</w:t>
                            </w:r>
                          </w:p>
                        </w:tc>
                        <w:tc>
                          <w:tcPr>
                            <w:tcW w:w="558" w:type="dxa"/>
                            <w:tcBorders>
                              <w:top w:val="single" w:sz="4" w:space="0" w:color="auto"/>
                              <w:left w:val="single" w:sz="4" w:space="0" w:color="auto"/>
                              <w:bottom w:val="single" w:sz="4" w:space="0" w:color="auto"/>
                              <w:right w:val="single" w:sz="4" w:space="0" w:color="auto"/>
                            </w:tcBorders>
                            <w:vAlign w:val="center"/>
                            <w:hideMark/>
                          </w:tcPr>
                          <w:p w14:paraId="01DBCD51"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112</w:t>
                            </w:r>
                          </w:p>
                        </w:tc>
                        <w:tc>
                          <w:tcPr>
                            <w:tcW w:w="580" w:type="dxa"/>
                            <w:tcBorders>
                              <w:top w:val="single" w:sz="4" w:space="0" w:color="auto"/>
                              <w:left w:val="single" w:sz="4" w:space="0" w:color="auto"/>
                              <w:bottom w:val="single" w:sz="4" w:space="0" w:color="auto"/>
                              <w:right w:val="single" w:sz="4" w:space="0" w:color="auto"/>
                            </w:tcBorders>
                            <w:vAlign w:val="center"/>
                            <w:hideMark/>
                          </w:tcPr>
                          <w:p w14:paraId="68604CFA" w14:textId="77777777" w:rsidR="007B1B13" w:rsidRDefault="007B1B13">
                            <w:pPr>
                              <w:widowControl/>
                              <w:spacing w:line="28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113</w:t>
                            </w:r>
                          </w:p>
                        </w:tc>
                      </w:tr>
                      <w:tr w:rsidR="007B1B13" w14:paraId="0B59A74F" w14:textId="77777777">
                        <w:trPr>
                          <w:trHeight w:val="283"/>
                        </w:trPr>
                        <w:tc>
                          <w:tcPr>
                            <w:tcW w:w="1214" w:type="dxa"/>
                            <w:gridSpan w:val="2"/>
                            <w:tcBorders>
                              <w:top w:val="single" w:sz="4" w:space="0" w:color="auto"/>
                              <w:left w:val="single" w:sz="4" w:space="0" w:color="auto"/>
                              <w:bottom w:val="single" w:sz="4" w:space="0" w:color="auto"/>
                              <w:right w:val="single" w:sz="4" w:space="0" w:color="auto"/>
                            </w:tcBorders>
                            <w:vAlign w:val="center"/>
                            <w:hideMark/>
                          </w:tcPr>
                          <w:p w14:paraId="380FC983" w14:textId="77777777" w:rsidR="007B1B13" w:rsidRDefault="007B1B13">
                            <w:pPr>
                              <w:widowControl/>
                              <w:spacing w:line="280" w:lineRule="exact"/>
                              <w:jc w:val="center"/>
                              <w:rPr>
                                <w:rFonts w:ascii="標楷體" w:eastAsia="標楷體" w:hAnsi="標楷體" w:cs="新細明體"/>
                                <w:b/>
                                <w:bCs/>
                                <w:color w:val="000000"/>
                                <w:spacing w:val="-8"/>
                                <w:kern w:val="0"/>
                                <w:sz w:val="20"/>
                                <w:szCs w:val="20"/>
                              </w:rPr>
                            </w:pPr>
                            <w:r>
                              <w:rPr>
                                <w:rFonts w:ascii="標楷體" w:eastAsia="標楷體" w:hAnsi="標楷體" w:cs="新細明體" w:hint="eastAsia"/>
                                <w:b/>
                                <w:bCs/>
                                <w:color w:val="000000"/>
                                <w:spacing w:val="-8"/>
                                <w:kern w:val="0"/>
                                <w:sz w:val="20"/>
                                <w:szCs w:val="20"/>
                              </w:rPr>
                              <w:t>機構類合計</w:t>
                            </w:r>
                          </w:p>
                        </w:tc>
                        <w:tc>
                          <w:tcPr>
                            <w:tcW w:w="556" w:type="dxa"/>
                            <w:tcBorders>
                              <w:top w:val="nil"/>
                              <w:left w:val="nil"/>
                              <w:bottom w:val="single" w:sz="4" w:space="0" w:color="auto"/>
                              <w:right w:val="single" w:sz="4" w:space="0" w:color="auto"/>
                            </w:tcBorders>
                            <w:vAlign w:val="center"/>
                            <w:hideMark/>
                          </w:tcPr>
                          <w:p w14:paraId="50B28380" w14:textId="77777777" w:rsidR="007B1B13" w:rsidRDefault="007B1B13">
                            <w:pPr>
                              <w:spacing w:line="280" w:lineRule="exact"/>
                              <w:ind w:leftChars="-50" w:left="-120" w:rightChars="5" w:right="12"/>
                              <w:jc w:val="right"/>
                              <w:rPr>
                                <w:rFonts w:ascii="標楷體" w:eastAsia="標楷體" w:hAnsi="標楷體" w:cs="Times New Roman"/>
                                <w:b/>
                                <w:color w:val="000000"/>
                                <w:spacing w:val="-4"/>
                                <w:kern w:val="0"/>
                                <w:sz w:val="20"/>
                                <w:szCs w:val="20"/>
                              </w:rPr>
                            </w:pPr>
                            <w:r>
                              <w:rPr>
                                <w:rFonts w:ascii="標楷體" w:eastAsia="標楷體" w:hAnsi="標楷體" w:hint="eastAsia"/>
                                <w:b/>
                                <w:color w:val="000000"/>
                                <w:spacing w:val="-4"/>
                                <w:kern w:val="0"/>
                                <w:sz w:val="20"/>
                                <w:szCs w:val="20"/>
                              </w:rPr>
                              <w:t>5,316</w:t>
                            </w:r>
                          </w:p>
                        </w:tc>
                        <w:tc>
                          <w:tcPr>
                            <w:tcW w:w="556" w:type="dxa"/>
                            <w:tcBorders>
                              <w:top w:val="nil"/>
                              <w:left w:val="nil"/>
                              <w:bottom w:val="single" w:sz="4" w:space="0" w:color="auto"/>
                              <w:right w:val="single" w:sz="4" w:space="0" w:color="auto"/>
                            </w:tcBorders>
                            <w:vAlign w:val="center"/>
                            <w:hideMark/>
                          </w:tcPr>
                          <w:p w14:paraId="6B6BA854"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5,796</w:t>
                            </w:r>
                          </w:p>
                        </w:tc>
                        <w:tc>
                          <w:tcPr>
                            <w:tcW w:w="557" w:type="dxa"/>
                            <w:tcBorders>
                              <w:top w:val="nil"/>
                              <w:left w:val="nil"/>
                              <w:bottom w:val="single" w:sz="4" w:space="0" w:color="auto"/>
                              <w:right w:val="single" w:sz="4" w:space="0" w:color="auto"/>
                            </w:tcBorders>
                            <w:vAlign w:val="center"/>
                            <w:hideMark/>
                          </w:tcPr>
                          <w:p w14:paraId="1C258EC3"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6,278</w:t>
                            </w:r>
                          </w:p>
                        </w:tc>
                        <w:tc>
                          <w:tcPr>
                            <w:tcW w:w="558" w:type="dxa"/>
                            <w:tcBorders>
                              <w:top w:val="nil"/>
                              <w:left w:val="nil"/>
                              <w:bottom w:val="single" w:sz="4" w:space="0" w:color="auto"/>
                              <w:right w:val="single" w:sz="4" w:space="0" w:color="auto"/>
                            </w:tcBorders>
                            <w:vAlign w:val="center"/>
                            <w:hideMark/>
                          </w:tcPr>
                          <w:p w14:paraId="67E28636"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6,541</w:t>
                            </w:r>
                          </w:p>
                        </w:tc>
                        <w:tc>
                          <w:tcPr>
                            <w:tcW w:w="558" w:type="dxa"/>
                            <w:tcBorders>
                              <w:top w:val="nil"/>
                              <w:left w:val="nil"/>
                              <w:bottom w:val="single" w:sz="4" w:space="0" w:color="auto"/>
                              <w:right w:val="single" w:sz="4" w:space="0" w:color="auto"/>
                            </w:tcBorders>
                            <w:vAlign w:val="center"/>
                            <w:hideMark/>
                          </w:tcPr>
                          <w:p w14:paraId="7843A85F"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4,594</w:t>
                            </w:r>
                          </w:p>
                        </w:tc>
                        <w:tc>
                          <w:tcPr>
                            <w:tcW w:w="558" w:type="dxa"/>
                            <w:tcBorders>
                              <w:top w:val="nil"/>
                              <w:left w:val="nil"/>
                              <w:bottom w:val="single" w:sz="4" w:space="0" w:color="auto"/>
                              <w:right w:val="single" w:sz="4" w:space="0" w:color="auto"/>
                            </w:tcBorders>
                            <w:vAlign w:val="center"/>
                            <w:hideMark/>
                          </w:tcPr>
                          <w:p w14:paraId="569F2DC9"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5,142</w:t>
                            </w:r>
                          </w:p>
                        </w:tc>
                        <w:tc>
                          <w:tcPr>
                            <w:tcW w:w="558" w:type="dxa"/>
                            <w:tcBorders>
                              <w:top w:val="nil"/>
                              <w:left w:val="nil"/>
                              <w:bottom w:val="single" w:sz="4" w:space="0" w:color="auto"/>
                              <w:right w:val="single" w:sz="4" w:space="0" w:color="auto"/>
                            </w:tcBorders>
                            <w:vAlign w:val="center"/>
                            <w:hideMark/>
                          </w:tcPr>
                          <w:p w14:paraId="33AC59CD"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5,519</w:t>
                            </w:r>
                          </w:p>
                        </w:tc>
                        <w:tc>
                          <w:tcPr>
                            <w:tcW w:w="559" w:type="dxa"/>
                            <w:tcBorders>
                              <w:top w:val="nil"/>
                              <w:left w:val="nil"/>
                              <w:bottom w:val="single" w:sz="4" w:space="0" w:color="auto"/>
                              <w:right w:val="single" w:sz="4" w:space="0" w:color="auto"/>
                            </w:tcBorders>
                            <w:vAlign w:val="center"/>
                            <w:hideMark/>
                          </w:tcPr>
                          <w:p w14:paraId="75FDE8E2"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5,308</w:t>
                            </w:r>
                          </w:p>
                        </w:tc>
                        <w:tc>
                          <w:tcPr>
                            <w:tcW w:w="558" w:type="dxa"/>
                            <w:tcBorders>
                              <w:top w:val="single" w:sz="4" w:space="0" w:color="auto"/>
                              <w:left w:val="nil"/>
                              <w:bottom w:val="single" w:sz="4" w:space="0" w:color="auto"/>
                              <w:right w:val="single" w:sz="4" w:space="0" w:color="auto"/>
                            </w:tcBorders>
                            <w:vAlign w:val="center"/>
                            <w:hideMark/>
                          </w:tcPr>
                          <w:p w14:paraId="28DC1705" w14:textId="77777777" w:rsidR="007B1B13" w:rsidRDefault="007B1B13">
                            <w:pPr>
                              <w:spacing w:line="280" w:lineRule="exact"/>
                              <w:ind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86.42</w:t>
                            </w:r>
                          </w:p>
                        </w:tc>
                        <w:tc>
                          <w:tcPr>
                            <w:tcW w:w="558" w:type="dxa"/>
                            <w:tcBorders>
                              <w:top w:val="single" w:sz="4" w:space="0" w:color="auto"/>
                              <w:left w:val="nil"/>
                              <w:bottom w:val="single" w:sz="4" w:space="0" w:color="auto"/>
                              <w:right w:val="single" w:sz="4" w:space="0" w:color="auto"/>
                            </w:tcBorders>
                            <w:vAlign w:val="center"/>
                            <w:hideMark/>
                          </w:tcPr>
                          <w:p w14:paraId="1E6BEA78" w14:textId="77777777" w:rsidR="007B1B13" w:rsidRDefault="007B1B13">
                            <w:pPr>
                              <w:spacing w:line="280" w:lineRule="exact"/>
                              <w:ind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88.72</w:t>
                            </w:r>
                          </w:p>
                        </w:tc>
                        <w:tc>
                          <w:tcPr>
                            <w:tcW w:w="558" w:type="dxa"/>
                            <w:tcBorders>
                              <w:top w:val="single" w:sz="4" w:space="0" w:color="auto"/>
                              <w:left w:val="single" w:sz="4" w:space="0" w:color="auto"/>
                              <w:bottom w:val="single" w:sz="4" w:space="0" w:color="auto"/>
                              <w:right w:val="single" w:sz="4" w:space="0" w:color="auto"/>
                            </w:tcBorders>
                            <w:vAlign w:val="center"/>
                            <w:hideMark/>
                          </w:tcPr>
                          <w:p w14:paraId="2D0EB44B" w14:textId="77777777" w:rsidR="007B1B13" w:rsidRDefault="007B1B13">
                            <w:pPr>
                              <w:spacing w:line="280" w:lineRule="exact"/>
                              <w:ind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87.91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8276BA7" w14:textId="77777777" w:rsidR="007B1B13" w:rsidRDefault="007B1B13">
                            <w:pPr>
                              <w:spacing w:line="280" w:lineRule="exact"/>
                              <w:ind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81.15</w:t>
                            </w:r>
                          </w:p>
                        </w:tc>
                      </w:tr>
                      <w:tr w:rsidR="007B1B13" w14:paraId="26A933F2" w14:textId="77777777">
                        <w:trPr>
                          <w:trHeight w:val="283"/>
                        </w:trPr>
                        <w:tc>
                          <w:tcPr>
                            <w:tcW w:w="415" w:type="dxa"/>
                            <w:vMerge w:val="restart"/>
                            <w:tcBorders>
                              <w:top w:val="single" w:sz="4" w:space="0" w:color="auto"/>
                              <w:left w:val="single" w:sz="4" w:space="0" w:color="auto"/>
                              <w:bottom w:val="single" w:sz="4" w:space="0" w:color="auto"/>
                              <w:right w:val="single" w:sz="4" w:space="0" w:color="auto"/>
                            </w:tcBorders>
                            <w:vAlign w:val="center"/>
                            <w:hideMark/>
                          </w:tcPr>
                          <w:p w14:paraId="50992A4E" w14:textId="77777777" w:rsidR="00CA2F82" w:rsidRDefault="007B1B13">
                            <w:pPr>
                              <w:spacing w:line="280" w:lineRule="exact"/>
                              <w:jc w:val="center"/>
                              <w:rPr>
                                <w:rFonts w:ascii="標楷體" w:eastAsia="標楷體" w:hAnsi="標楷體" w:cs="新細明體"/>
                                <w:color w:val="000000"/>
                                <w:spacing w:val="-14"/>
                                <w:kern w:val="0"/>
                                <w:sz w:val="20"/>
                                <w:szCs w:val="20"/>
                              </w:rPr>
                            </w:pPr>
                            <w:r>
                              <w:rPr>
                                <w:rFonts w:ascii="標楷體" w:eastAsia="標楷體" w:hAnsi="標楷體" w:cs="新細明體" w:hint="eastAsia"/>
                                <w:color w:val="000000"/>
                                <w:spacing w:val="-14"/>
                                <w:kern w:val="0"/>
                                <w:sz w:val="20"/>
                                <w:szCs w:val="20"/>
                              </w:rPr>
                              <w:t>公</w:t>
                            </w:r>
                          </w:p>
                          <w:p w14:paraId="48EEB555" w14:textId="77777777" w:rsidR="00CA2F82" w:rsidRDefault="007B1B13">
                            <w:pPr>
                              <w:spacing w:line="280" w:lineRule="exact"/>
                              <w:jc w:val="center"/>
                              <w:rPr>
                                <w:rFonts w:ascii="標楷體" w:eastAsia="標楷體" w:hAnsi="標楷體" w:cs="新細明體"/>
                                <w:color w:val="000000"/>
                                <w:spacing w:val="-14"/>
                                <w:kern w:val="0"/>
                                <w:sz w:val="20"/>
                                <w:szCs w:val="20"/>
                              </w:rPr>
                            </w:pPr>
                            <w:r>
                              <w:rPr>
                                <w:rFonts w:ascii="標楷體" w:eastAsia="標楷體" w:hAnsi="標楷體" w:cs="新細明體" w:hint="eastAsia"/>
                                <w:color w:val="000000"/>
                                <w:spacing w:val="-14"/>
                                <w:kern w:val="0"/>
                                <w:sz w:val="20"/>
                                <w:szCs w:val="20"/>
                              </w:rPr>
                              <w:t>共</w:t>
                            </w:r>
                          </w:p>
                          <w:p w14:paraId="097439AD" w14:textId="1EF8C6C8" w:rsidR="007B1B13" w:rsidRDefault="007B1B13">
                            <w:pPr>
                              <w:spacing w:line="28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color w:val="000000"/>
                                <w:spacing w:val="-14"/>
                                <w:kern w:val="0"/>
                                <w:sz w:val="20"/>
                                <w:szCs w:val="20"/>
                              </w:rPr>
                              <w:t>化</w:t>
                            </w:r>
                          </w:p>
                        </w:tc>
                        <w:tc>
                          <w:tcPr>
                            <w:tcW w:w="799" w:type="dxa"/>
                            <w:tcBorders>
                              <w:top w:val="single" w:sz="4" w:space="0" w:color="auto"/>
                              <w:left w:val="single" w:sz="4" w:space="0" w:color="auto"/>
                              <w:bottom w:val="single" w:sz="4" w:space="0" w:color="auto"/>
                              <w:right w:val="single" w:sz="4" w:space="0" w:color="auto"/>
                            </w:tcBorders>
                            <w:vAlign w:val="center"/>
                            <w:hideMark/>
                          </w:tcPr>
                          <w:p w14:paraId="4AD54942" w14:textId="77777777" w:rsidR="007B1B13" w:rsidRDefault="007B1B13">
                            <w:pPr>
                              <w:widowControl/>
                              <w:spacing w:line="280" w:lineRule="exact"/>
                              <w:jc w:val="center"/>
                              <w:rPr>
                                <w:rFonts w:ascii="標楷體" w:eastAsia="標楷體" w:hAnsi="標楷體" w:cs="新細明體"/>
                                <w:b/>
                                <w:bCs/>
                                <w:color w:val="000000"/>
                                <w:kern w:val="0"/>
                                <w:sz w:val="20"/>
                                <w:szCs w:val="20"/>
                              </w:rPr>
                            </w:pPr>
                            <w:r>
                              <w:rPr>
                                <w:rFonts w:ascii="標楷體" w:eastAsia="標楷體" w:hAnsi="標楷體" w:cs="新細明體" w:hint="eastAsia"/>
                                <w:b/>
                                <w:bCs/>
                                <w:color w:val="000000"/>
                                <w:kern w:val="0"/>
                                <w:sz w:val="20"/>
                                <w:szCs w:val="20"/>
                              </w:rPr>
                              <w:t>小計</w:t>
                            </w:r>
                          </w:p>
                        </w:tc>
                        <w:tc>
                          <w:tcPr>
                            <w:tcW w:w="556" w:type="dxa"/>
                            <w:tcBorders>
                              <w:top w:val="nil"/>
                              <w:left w:val="nil"/>
                              <w:bottom w:val="single" w:sz="4" w:space="0" w:color="auto"/>
                              <w:right w:val="single" w:sz="4" w:space="0" w:color="auto"/>
                            </w:tcBorders>
                            <w:vAlign w:val="center"/>
                            <w:hideMark/>
                          </w:tcPr>
                          <w:p w14:paraId="736857A5" w14:textId="77777777" w:rsidR="007B1B13" w:rsidRDefault="007B1B13">
                            <w:pPr>
                              <w:spacing w:line="280" w:lineRule="exact"/>
                              <w:ind w:leftChars="-50" w:left="-120" w:rightChars="5" w:right="12"/>
                              <w:jc w:val="right"/>
                              <w:rPr>
                                <w:rFonts w:ascii="標楷體" w:eastAsia="標楷體" w:hAnsi="標楷體" w:cs="Times New Roman"/>
                                <w:b/>
                                <w:color w:val="000000"/>
                                <w:spacing w:val="-4"/>
                                <w:kern w:val="0"/>
                                <w:sz w:val="20"/>
                                <w:szCs w:val="20"/>
                              </w:rPr>
                            </w:pPr>
                            <w:r>
                              <w:rPr>
                                <w:rFonts w:ascii="標楷體" w:eastAsia="標楷體" w:hAnsi="標楷體" w:hint="eastAsia"/>
                                <w:b/>
                                <w:color w:val="000000"/>
                                <w:spacing w:val="-4"/>
                                <w:kern w:val="0"/>
                                <w:sz w:val="20"/>
                                <w:szCs w:val="20"/>
                              </w:rPr>
                              <w:t>1,655</w:t>
                            </w:r>
                          </w:p>
                        </w:tc>
                        <w:tc>
                          <w:tcPr>
                            <w:tcW w:w="556" w:type="dxa"/>
                            <w:tcBorders>
                              <w:top w:val="nil"/>
                              <w:left w:val="nil"/>
                              <w:bottom w:val="single" w:sz="4" w:space="0" w:color="auto"/>
                              <w:right w:val="single" w:sz="4" w:space="0" w:color="auto"/>
                            </w:tcBorders>
                            <w:vAlign w:val="center"/>
                            <w:hideMark/>
                          </w:tcPr>
                          <w:p w14:paraId="04F739A6"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1,712</w:t>
                            </w:r>
                          </w:p>
                        </w:tc>
                        <w:tc>
                          <w:tcPr>
                            <w:tcW w:w="557" w:type="dxa"/>
                            <w:tcBorders>
                              <w:top w:val="nil"/>
                              <w:left w:val="nil"/>
                              <w:bottom w:val="single" w:sz="4" w:space="0" w:color="auto"/>
                              <w:right w:val="single" w:sz="4" w:space="0" w:color="auto"/>
                            </w:tcBorders>
                            <w:vAlign w:val="center"/>
                            <w:hideMark/>
                          </w:tcPr>
                          <w:p w14:paraId="1B6B4D94"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1,796</w:t>
                            </w:r>
                          </w:p>
                        </w:tc>
                        <w:tc>
                          <w:tcPr>
                            <w:tcW w:w="558" w:type="dxa"/>
                            <w:tcBorders>
                              <w:top w:val="nil"/>
                              <w:left w:val="nil"/>
                              <w:bottom w:val="single" w:sz="4" w:space="0" w:color="auto"/>
                              <w:right w:val="single" w:sz="4" w:space="0" w:color="auto"/>
                            </w:tcBorders>
                            <w:vAlign w:val="center"/>
                            <w:hideMark/>
                          </w:tcPr>
                          <w:p w14:paraId="7E8BEA0C"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1,800</w:t>
                            </w:r>
                          </w:p>
                        </w:tc>
                        <w:tc>
                          <w:tcPr>
                            <w:tcW w:w="558" w:type="dxa"/>
                            <w:tcBorders>
                              <w:top w:val="nil"/>
                              <w:left w:val="nil"/>
                              <w:bottom w:val="single" w:sz="4" w:space="0" w:color="auto"/>
                              <w:right w:val="single" w:sz="4" w:space="0" w:color="auto"/>
                            </w:tcBorders>
                            <w:vAlign w:val="center"/>
                            <w:hideMark/>
                          </w:tcPr>
                          <w:p w14:paraId="589ED2E8"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1,655</w:t>
                            </w:r>
                          </w:p>
                        </w:tc>
                        <w:tc>
                          <w:tcPr>
                            <w:tcW w:w="558" w:type="dxa"/>
                            <w:tcBorders>
                              <w:top w:val="nil"/>
                              <w:left w:val="nil"/>
                              <w:bottom w:val="single" w:sz="4" w:space="0" w:color="auto"/>
                              <w:right w:val="single" w:sz="4" w:space="0" w:color="auto"/>
                            </w:tcBorders>
                            <w:vAlign w:val="center"/>
                            <w:hideMark/>
                          </w:tcPr>
                          <w:p w14:paraId="600DF48F"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1,712</w:t>
                            </w:r>
                          </w:p>
                        </w:tc>
                        <w:tc>
                          <w:tcPr>
                            <w:tcW w:w="558" w:type="dxa"/>
                            <w:tcBorders>
                              <w:top w:val="nil"/>
                              <w:left w:val="nil"/>
                              <w:bottom w:val="single" w:sz="4" w:space="0" w:color="auto"/>
                              <w:right w:val="single" w:sz="4" w:space="0" w:color="auto"/>
                            </w:tcBorders>
                            <w:vAlign w:val="center"/>
                            <w:hideMark/>
                          </w:tcPr>
                          <w:p w14:paraId="126BE978"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1,796</w:t>
                            </w:r>
                          </w:p>
                        </w:tc>
                        <w:tc>
                          <w:tcPr>
                            <w:tcW w:w="559" w:type="dxa"/>
                            <w:tcBorders>
                              <w:top w:val="nil"/>
                              <w:left w:val="nil"/>
                              <w:bottom w:val="single" w:sz="4" w:space="0" w:color="auto"/>
                              <w:right w:val="single" w:sz="4" w:space="0" w:color="auto"/>
                            </w:tcBorders>
                            <w:vAlign w:val="center"/>
                            <w:hideMark/>
                          </w:tcPr>
                          <w:p w14:paraId="50E85A10" w14:textId="77777777" w:rsidR="007B1B13" w:rsidRDefault="007B1B13">
                            <w:pPr>
                              <w:spacing w:line="280" w:lineRule="exact"/>
                              <w:ind w:leftChars="-50" w:left="-120" w:rightChars="5" w:right="12"/>
                              <w:jc w:val="right"/>
                              <w:rPr>
                                <w:rFonts w:ascii="標楷體" w:eastAsia="標楷體" w:hAnsi="標楷體"/>
                                <w:b/>
                                <w:color w:val="000000"/>
                                <w:spacing w:val="-4"/>
                                <w:kern w:val="0"/>
                                <w:sz w:val="20"/>
                                <w:szCs w:val="20"/>
                              </w:rPr>
                            </w:pPr>
                            <w:r>
                              <w:rPr>
                                <w:rFonts w:ascii="標楷體" w:eastAsia="標楷體" w:hAnsi="標楷體" w:hint="eastAsia"/>
                                <w:b/>
                                <w:color w:val="000000"/>
                                <w:spacing w:val="-4"/>
                                <w:kern w:val="0"/>
                                <w:sz w:val="20"/>
                                <w:szCs w:val="20"/>
                              </w:rPr>
                              <w:t>1,800</w:t>
                            </w:r>
                          </w:p>
                        </w:tc>
                        <w:tc>
                          <w:tcPr>
                            <w:tcW w:w="558" w:type="dxa"/>
                            <w:tcBorders>
                              <w:top w:val="single" w:sz="4" w:space="0" w:color="auto"/>
                              <w:left w:val="nil"/>
                              <w:bottom w:val="single" w:sz="4" w:space="0" w:color="auto"/>
                              <w:right w:val="single" w:sz="4" w:space="0" w:color="auto"/>
                            </w:tcBorders>
                            <w:vAlign w:val="center"/>
                            <w:hideMark/>
                          </w:tcPr>
                          <w:p w14:paraId="7CD3FDDD" w14:textId="77777777" w:rsidR="007B1B13" w:rsidRDefault="007B1B13">
                            <w:pPr>
                              <w:spacing w:line="280" w:lineRule="exact"/>
                              <w:ind w:leftChars="-50" w:left="-120"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100.00</w:t>
                            </w:r>
                          </w:p>
                        </w:tc>
                        <w:tc>
                          <w:tcPr>
                            <w:tcW w:w="558" w:type="dxa"/>
                            <w:tcBorders>
                              <w:top w:val="single" w:sz="4" w:space="0" w:color="auto"/>
                              <w:left w:val="nil"/>
                              <w:bottom w:val="single" w:sz="4" w:space="0" w:color="auto"/>
                              <w:right w:val="single" w:sz="4" w:space="0" w:color="auto"/>
                            </w:tcBorders>
                            <w:vAlign w:val="center"/>
                            <w:hideMark/>
                          </w:tcPr>
                          <w:p w14:paraId="6BBEF042" w14:textId="77777777" w:rsidR="007B1B13" w:rsidRDefault="007B1B13">
                            <w:pPr>
                              <w:spacing w:line="280" w:lineRule="exact"/>
                              <w:ind w:leftChars="-50" w:left="-120" w:rightChars="5" w:right="12"/>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100.00</w:t>
                            </w:r>
                          </w:p>
                        </w:tc>
                        <w:tc>
                          <w:tcPr>
                            <w:tcW w:w="558" w:type="dxa"/>
                            <w:tcBorders>
                              <w:top w:val="single" w:sz="4" w:space="0" w:color="auto"/>
                              <w:left w:val="single" w:sz="4" w:space="0" w:color="auto"/>
                              <w:bottom w:val="single" w:sz="4" w:space="0" w:color="auto"/>
                              <w:right w:val="single" w:sz="4" w:space="0" w:color="auto"/>
                            </w:tcBorders>
                            <w:vAlign w:val="center"/>
                            <w:hideMark/>
                          </w:tcPr>
                          <w:p w14:paraId="17140040" w14:textId="77777777" w:rsidR="007B1B13" w:rsidRDefault="007B1B13">
                            <w:pPr>
                              <w:spacing w:line="280" w:lineRule="exact"/>
                              <w:ind w:leftChars="-50" w:left="-81" w:rightChars="5" w:right="12" w:hangingChars="23" w:hanging="39"/>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100.00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55A5CDB" w14:textId="77777777" w:rsidR="007B1B13" w:rsidRDefault="007B1B13">
                            <w:pPr>
                              <w:spacing w:line="280" w:lineRule="exact"/>
                              <w:ind w:leftChars="-50" w:left="-83" w:rightChars="5" w:right="12" w:hangingChars="22" w:hanging="37"/>
                              <w:jc w:val="right"/>
                              <w:rPr>
                                <w:rFonts w:ascii="標楷體" w:eastAsia="標楷體" w:hAnsi="標楷體"/>
                                <w:b/>
                                <w:color w:val="000000"/>
                                <w:spacing w:val="-16"/>
                                <w:kern w:val="0"/>
                                <w:sz w:val="20"/>
                                <w:szCs w:val="20"/>
                              </w:rPr>
                            </w:pPr>
                            <w:r>
                              <w:rPr>
                                <w:rFonts w:ascii="標楷體" w:eastAsia="標楷體" w:hAnsi="標楷體" w:hint="eastAsia"/>
                                <w:b/>
                                <w:color w:val="000000"/>
                                <w:spacing w:val="-16"/>
                                <w:kern w:val="0"/>
                                <w:sz w:val="20"/>
                                <w:szCs w:val="20"/>
                              </w:rPr>
                              <w:t>100.00</w:t>
                            </w:r>
                          </w:p>
                        </w:tc>
                      </w:tr>
                      <w:tr w:rsidR="007B1B13" w14:paraId="03D009C5" w14:textId="77777777">
                        <w:trPr>
                          <w:trHeight w:val="485"/>
                        </w:trPr>
                        <w:tc>
                          <w:tcPr>
                            <w:tcW w:w="7928" w:type="dxa"/>
                            <w:vMerge/>
                            <w:tcBorders>
                              <w:top w:val="single" w:sz="4" w:space="0" w:color="auto"/>
                              <w:left w:val="single" w:sz="4" w:space="0" w:color="auto"/>
                              <w:bottom w:val="single" w:sz="4" w:space="0" w:color="auto"/>
                              <w:right w:val="single" w:sz="4" w:space="0" w:color="auto"/>
                            </w:tcBorders>
                            <w:vAlign w:val="center"/>
                            <w:hideMark/>
                          </w:tcPr>
                          <w:p w14:paraId="443AA474" w14:textId="77777777" w:rsidR="007B1B13" w:rsidRDefault="007B1B13">
                            <w:pPr>
                              <w:widowControl/>
                              <w:rPr>
                                <w:rFonts w:ascii="標楷體" w:eastAsia="標楷體" w:hAnsi="標楷體" w:cs="新細明體"/>
                                <w:b/>
                                <w:bCs/>
                                <w:color w:val="000000"/>
                                <w:kern w:val="0"/>
                                <w:sz w:val="20"/>
                                <w:szCs w:val="20"/>
                              </w:rPr>
                            </w:pPr>
                          </w:p>
                        </w:tc>
                        <w:tc>
                          <w:tcPr>
                            <w:tcW w:w="799" w:type="dxa"/>
                            <w:tcBorders>
                              <w:top w:val="nil"/>
                              <w:left w:val="single" w:sz="4" w:space="0" w:color="auto"/>
                              <w:bottom w:val="single" w:sz="4" w:space="0" w:color="auto"/>
                              <w:right w:val="single" w:sz="4" w:space="0" w:color="auto"/>
                            </w:tcBorders>
                            <w:vAlign w:val="center"/>
                            <w:hideMark/>
                          </w:tcPr>
                          <w:p w14:paraId="18C3D24E" w14:textId="77777777" w:rsidR="007B1B13" w:rsidRDefault="007B1B13">
                            <w:pPr>
                              <w:widowControl/>
                              <w:spacing w:line="240" w:lineRule="exact"/>
                              <w:jc w:val="both"/>
                              <w:rPr>
                                <w:rFonts w:ascii="標楷體" w:eastAsia="標楷體" w:hAnsi="標楷體" w:cs="新細明體"/>
                                <w:color w:val="000000"/>
                                <w:spacing w:val="-20"/>
                                <w:kern w:val="0"/>
                                <w:sz w:val="20"/>
                                <w:szCs w:val="20"/>
                              </w:rPr>
                            </w:pPr>
                            <w:r>
                              <w:rPr>
                                <w:rFonts w:ascii="標楷體" w:eastAsia="標楷體" w:hAnsi="標楷體" w:cs="新細明體" w:hint="eastAsia"/>
                                <w:color w:val="000000"/>
                                <w:spacing w:val="-20"/>
                                <w:kern w:val="0"/>
                                <w:sz w:val="20"/>
                                <w:szCs w:val="20"/>
                              </w:rPr>
                              <w:t>公辦民營托嬰中心（大公托）</w:t>
                            </w:r>
                          </w:p>
                        </w:tc>
                        <w:tc>
                          <w:tcPr>
                            <w:tcW w:w="556" w:type="dxa"/>
                            <w:tcBorders>
                              <w:top w:val="nil"/>
                              <w:left w:val="nil"/>
                              <w:bottom w:val="single" w:sz="4" w:space="0" w:color="auto"/>
                              <w:right w:val="single" w:sz="4" w:space="0" w:color="auto"/>
                            </w:tcBorders>
                            <w:vAlign w:val="center"/>
                            <w:hideMark/>
                          </w:tcPr>
                          <w:p w14:paraId="2B67BDD9" w14:textId="77777777" w:rsidR="007B1B13" w:rsidRDefault="007B1B13">
                            <w:pPr>
                              <w:widowControl/>
                              <w:spacing w:line="360" w:lineRule="exact"/>
                              <w:ind w:leftChars="-50" w:left="-120"/>
                              <w:jc w:val="right"/>
                              <w:rPr>
                                <w:rFonts w:ascii="標楷體" w:eastAsia="標楷體" w:hAnsi="標楷體" w:cs="Times New Roman"/>
                                <w:color w:val="000000"/>
                                <w:spacing w:val="-4"/>
                                <w:kern w:val="0"/>
                                <w:sz w:val="20"/>
                                <w:szCs w:val="20"/>
                              </w:rPr>
                            </w:pPr>
                            <w:r>
                              <w:rPr>
                                <w:rFonts w:ascii="標楷體" w:eastAsia="標楷體" w:hAnsi="標楷體" w:hint="eastAsia"/>
                                <w:color w:val="000000"/>
                                <w:spacing w:val="-4"/>
                                <w:kern w:val="0"/>
                                <w:sz w:val="20"/>
                                <w:szCs w:val="20"/>
                              </w:rPr>
                              <w:t>995</w:t>
                            </w:r>
                          </w:p>
                        </w:tc>
                        <w:tc>
                          <w:tcPr>
                            <w:tcW w:w="556" w:type="dxa"/>
                            <w:tcBorders>
                              <w:top w:val="nil"/>
                              <w:left w:val="nil"/>
                              <w:bottom w:val="single" w:sz="4" w:space="0" w:color="auto"/>
                              <w:right w:val="single" w:sz="4" w:space="0" w:color="auto"/>
                            </w:tcBorders>
                            <w:vAlign w:val="center"/>
                            <w:hideMark/>
                          </w:tcPr>
                          <w:p w14:paraId="45EAFA8F" w14:textId="77777777" w:rsidR="007B1B13" w:rsidRDefault="007B1B13">
                            <w:pPr>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1,040</w:t>
                            </w:r>
                          </w:p>
                        </w:tc>
                        <w:tc>
                          <w:tcPr>
                            <w:tcW w:w="557" w:type="dxa"/>
                            <w:tcBorders>
                              <w:top w:val="nil"/>
                              <w:left w:val="nil"/>
                              <w:bottom w:val="single" w:sz="4" w:space="0" w:color="auto"/>
                              <w:right w:val="single" w:sz="4" w:space="0" w:color="auto"/>
                            </w:tcBorders>
                            <w:vAlign w:val="center"/>
                            <w:hideMark/>
                          </w:tcPr>
                          <w:p w14:paraId="629B19C9" w14:textId="77777777" w:rsidR="007B1B13" w:rsidRDefault="007B1B13">
                            <w:pPr>
                              <w:widowControl/>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1,108</w:t>
                            </w:r>
                          </w:p>
                        </w:tc>
                        <w:tc>
                          <w:tcPr>
                            <w:tcW w:w="558" w:type="dxa"/>
                            <w:tcBorders>
                              <w:top w:val="nil"/>
                              <w:left w:val="nil"/>
                              <w:bottom w:val="single" w:sz="4" w:space="0" w:color="auto"/>
                              <w:right w:val="single" w:sz="4" w:space="0" w:color="auto"/>
                            </w:tcBorders>
                            <w:vAlign w:val="center"/>
                            <w:hideMark/>
                          </w:tcPr>
                          <w:p w14:paraId="73392C0D" w14:textId="77777777" w:rsidR="007B1B13" w:rsidRDefault="007B1B13">
                            <w:pPr>
                              <w:widowControl/>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1,112</w:t>
                            </w:r>
                          </w:p>
                        </w:tc>
                        <w:tc>
                          <w:tcPr>
                            <w:tcW w:w="558" w:type="dxa"/>
                            <w:tcBorders>
                              <w:top w:val="nil"/>
                              <w:left w:val="nil"/>
                              <w:bottom w:val="single" w:sz="4" w:space="0" w:color="auto"/>
                              <w:right w:val="single" w:sz="4" w:space="0" w:color="auto"/>
                            </w:tcBorders>
                            <w:vAlign w:val="center"/>
                            <w:hideMark/>
                          </w:tcPr>
                          <w:p w14:paraId="735BEE79" w14:textId="77777777" w:rsidR="007B1B13" w:rsidRDefault="007B1B13">
                            <w:pPr>
                              <w:widowControl/>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995</w:t>
                            </w:r>
                          </w:p>
                        </w:tc>
                        <w:tc>
                          <w:tcPr>
                            <w:tcW w:w="558" w:type="dxa"/>
                            <w:tcBorders>
                              <w:top w:val="nil"/>
                              <w:left w:val="nil"/>
                              <w:bottom w:val="single" w:sz="4" w:space="0" w:color="auto"/>
                              <w:right w:val="single" w:sz="4" w:space="0" w:color="auto"/>
                            </w:tcBorders>
                            <w:vAlign w:val="center"/>
                            <w:hideMark/>
                          </w:tcPr>
                          <w:p w14:paraId="28D88C9F" w14:textId="77777777" w:rsidR="007B1B13" w:rsidRDefault="007B1B13">
                            <w:pPr>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1,040</w:t>
                            </w:r>
                          </w:p>
                        </w:tc>
                        <w:tc>
                          <w:tcPr>
                            <w:tcW w:w="558" w:type="dxa"/>
                            <w:tcBorders>
                              <w:top w:val="nil"/>
                              <w:left w:val="nil"/>
                              <w:bottom w:val="single" w:sz="4" w:space="0" w:color="auto"/>
                              <w:right w:val="single" w:sz="4" w:space="0" w:color="auto"/>
                            </w:tcBorders>
                            <w:vAlign w:val="center"/>
                            <w:hideMark/>
                          </w:tcPr>
                          <w:p w14:paraId="1697828F" w14:textId="77777777" w:rsidR="007B1B13" w:rsidRDefault="007B1B13">
                            <w:pPr>
                              <w:widowControl/>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1,108</w:t>
                            </w:r>
                          </w:p>
                        </w:tc>
                        <w:tc>
                          <w:tcPr>
                            <w:tcW w:w="559" w:type="dxa"/>
                            <w:tcBorders>
                              <w:top w:val="nil"/>
                              <w:left w:val="nil"/>
                              <w:bottom w:val="single" w:sz="4" w:space="0" w:color="auto"/>
                              <w:right w:val="single" w:sz="4" w:space="0" w:color="auto"/>
                            </w:tcBorders>
                            <w:noWrap/>
                            <w:vAlign w:val="center"/>
                            <w:hideMark/>
                          </w:tcPr>
                          <w:p w14:paraId="4D7876C6" w14:textId="77777777" w:rsidR="007B1B13" w:rsidRDefault="007B1B13">
                            <w:pPr>
                              <w:widowControl/>
                              <w:spacing w:line="3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1,112</w:t>
                            </w:r>
                          </w:p>
                        </w:tc>
                        <w:tc>
                          <w:tcPr>
                            <w:tcW w:w="558" w:type="dxa"/>
                            <w:tcBorders>
                              <w:top w:val="single" w:sz="4" w:space="0" w:color="auto"/>
                              <w:left w:val="nil"/>
                              <w:bottom w:val="single" w:sz="4" w:space="0" w:color="auto"/>
                              <w:right w:val="single" w:sz="4" w:space="0" w:color="auto"/>
                            </w:tcBorders>
                            <w:noWrap/>
                            <w:vAlign w:val="center"/>
                            <w:hideMark/>
                          </w:tcPr>
                          <w:p w14:paraId="21716711" w14:textId="77777777" w:rsidR="007B1B13" w:rsidRDefault="007B1B13">
                            <w:pPr>
                              <w:spacing w:line="36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58" w:type="dxa"/>
                            <w:tcBorders>
                              <w:top w:val="single" w:sz="4" w:space="0" w:color="auto"/>
                              <w:left w:val="nil"/>
                              <w:bottom w:val="single" w:sz="4" w:space="0" w:color="auto"/>
                              <w:right w:val="single" w:sz="4" w:space="0" w:color="auto"/>
                            </w:tcBorders>
                            <w:vAlign w:val="center"/>
                            <w:hideMark/>
                          </w:tcPr>
                          <w:p w14:paraId="168BC88D" w14:textId="77777777" w:rsidR="007B1B13" w:rsidRDefault="007B1B13">
                            <w:pPr>
                              <w:spacing w:line="36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58" w:type="dxa"/>
                            <w:tcBorders>
                              <w:top w:val="single" w:sz="4" w:space="0" w:color="auto"/>
                              <w:left w:val="single" w:sz="4" w:space="0" w:color="auto"/>
                              <w:bottom w:val="single" w:sz="4" w:space="0" w:color="auto"/>
                              <w:right w:val="single" w:sz="4" w:space="0" w:color="auto"/>
                            </w:tcBorders>
                            <w:vAlign w:val="center"/>
                            <w:hideMark/>
                          </w:tcPr>
                          <w:p w14:paraId="0B9986BE" w14:textId="77777777" w:rsidR="007B1B13" w:rsidRDefault="007B1B13">
                            <w:pPr>
                              <w:spacing w:line="36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BD2DF5F" w14:textId="77777777" w:rsidR="007B1B13" w:rsidRDefault="007B1B13">
                            <w:pPr>
                              <w:spacing w:line="36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r>
                      <w:tr w:rsidR="007B1B13" w14:paraId="3DDD7A25" w14:textId="77777777">
                        <w:trPr>
                          <w:trHeight w:val="281"/>
                        </w:trPr>
                        <w:tc>
                          <w:tcPr>
                            <w:tcW w:w="7928" w:type="dxa"/>
                            <w:vMerge/>
                            <w:tcBorders>
                              <w:top w:val="single" w:sz="4" w:space="0" w:color="auto"/>
                              <w:left w:val="single" w:sz="4" w:space="0" w:color="auto"/>
                              <w:bottom w:val="single" w:sz="4" w:space="0" w:color="auto"/>
                              <w:right w:val="single" w:sz="4" w:space="0" w:color="auto"/>
                            </w:tcBorders>
                            <w:vAlign w:val="center"/>
                            <w:hideMark/>
                          </w:tcPr>
                          <w:p w14:paraId="5F137E44" w14:textId="77777777" w:rsidR="007B1B13" w:rsidRDefault="007B1B13">
                            <w:pPr>
                              <w:widowControl/>
                              <w:rPr>
                                <w:rFonts w:ascii="標楷體" w:eastAsia="標楷體" w:hAnsi="標楷體" w:cs="新細明體"/>
                                <w:b/>
                                <w:bCs/>
                                <w:color w:val="000000"/>
                                <w:kern w:val="0"/>
                                <w:sz w:val="20"/>
                                <w:szCs w:val="20"/>
                              </w:rPr>
                            </w:pPr>
                          </w:p>
                        </w:tc>
                        <w:tc>
                          <w:tcPr>
                            <w:tcW w:w="799" w:type="dxa"/>
                            <w:tcBorders>
                              <w:top w:val="nil"/>
                              <w:left w:val="single" w:sz="4" w:space="0" w:color="auto"/>
                              <w:bottom w:val="single" w:sz="4" w:space="0" w:color="auto"/>
                              <w:right w:val="single" w:sz="4" w:space="0" w:color="auto"/>
                            </w:tcBorders>
                            <w:vAlign w:val="center"/>
                            <w:hideMark/>
                          </w:tcPr>
                          <w:p w14:paraId="09DFDD49" w14:textId="77777777" w:rsidR="007B1B13" w:rsidRDefault="007B1B13">
                            <w:pPr>
                              <w:widowControl/>
                              <w:spacing w:line="240" w:lineRule="exact"/>
                              <w:jc w:val="both"/>
                              <w:rPr>
                                <w:rFonts w:ascii="標楷體" w:eastAsia="標楷體" w:hAnsi="標楷體" w:cs="新細明體"/>
                                <w:color w:val="000000"/>
                                <w:spacing w:val="-20"/>
                                <w:kern w:val="0"/>
                                <w:sz w:val="20"/>
                                <w:szCs w:val="20"/>
                              </w:rPr>
                            </w:pPr>
                            <w:r>
                              <w:rPr>
                                <w:rFonts w:ascii="標楷體" w:eastAsia="標楷體" w:hAnsi="標楷體" w:cs="新細明體" w:hint="eastAsia"/>
                                <w:color w:val="000000"/>
                                <w:spacing w:val="-20"/>
                                <w:kern w:val="0"/>
                                <w:sz w:val="20"/>
                                <w:szCs w:val="20"/>
                              </w:rPr>
                              <w:t>社區公共托育家園（小家園）</w:t>
                            </w:r>
                          </w:p>
                        </w:tc>
                        <w:tc>
                          <w:tcPr>
                            <w:tcW w:w="556" w:type="dxa"/>
                            <w:tcBorders>
                              <w:top w:val="nil"/>
                              <w:left w:val="nil"/>
                              <w:bottom w:val="single" w:sz="4" w:space="0" w:color="auto"/>
                              <w:right w:val="single" w:sz="4" w:space="0" w:color="auto"/>
                            </w:tcBorders>
                            <w:vAlign w:val="center"/>
                            <w:hideMark/>
                          </w:tcPr>
                          <w:p w14:paraId="6C38E02E" w14:textId="77777777" w:rsidR="007B1B13" w:rsidRDefault="007B1B13">
                            <w:pPr>
                              <w:widowControl/>
                              <w:spacing w:line="320" w:lineRule="exact"/>
                              <w:ind w:leftChars="-50" w:left="-120"/>
                              <w:jc w:val="right"/>
                              <w:rPr>
                                <w:rFonts w:ascii="標楷體" w:eastAsia="標楷體" w:hAnsi="標楷體" w:cs="Times New Roman"/>
                                <w:color w:val="000000"/>
                                <w:spacing w:val="-4"/>
                                <w:kern w:val="0"/>
                                <w:sz w:val="20"/>
                                <w:szCs w:val="20"/>
                              </w:rPr>
                            </w:pPr>
                            <w:r>
                              <w:rPr>
                                <w:rFonts w:ascii="標楷體" w:eastAsia="標楷體" w:hAnsi="標楷體" w:hint="eastAsia"/>
                                <w:color w:val="000000"/>
                                <w:spacing w:val="-4"/>
                                <w:kern w:val="0"/>
                                <w:sz w:val="20"/>
                                <w:szCs w:val="20"/>
                              </w:rPr>
                              <w:t>660</w:t>
                            </w:r>
                          </w:p>
                        </w:tc>
                        <w:tc>
                          <w:tcPr>
                            <w:tcW w:w="556" w:type="dxa"/>
                            <w:tcBorders>
                              <w:top w:val="nil"/>
                              <w:left w:val="nil"/>
                              <w:bottom w:val="single" w:sz="4" w:space="0" w:color="auto"/>
                              <w:right w:val="single" w:sz="4" w:space="0" w:color="auto"/>
                            </w:tcBorders>
                            <w:vAlign w:val="center"/>
                            <w:hideMark/>
                          </w:tcPr>
                          <w:p w14:paraId="5CFD3A6C" w14:textId="77777777" w:rsidR="007B1B13" w:rsidRDefault="007B1B13">
                            <w:pPr>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672</w:t>
                            </w:r>
                          </w:p>
                        </w:tc>
                        <w:tc>
                          <w:tcPr>
                            <w:tcW w:w="557" w:type="dxa"/>
                            <w:tcBorders>
                              <w:top w:val="nil"/>
                              <w:left w:val="nil"/>
                              <w:bottom w:val="single" w:sz="4" w:space="0" w:color="auto"/>
                              <w:right w:val="single" w:sz="4" w:space="0" w:color="auto"/>
                            </w:tcBorders>
                            <w:vAlign w:val="center"/>
                            <w:hideMark/>
                          </w:tcPr>
                          <w:p w14:paraId="79B728DB" w14:textId="77777777" w:rsidR="007B1B13" w:rsidRDefault="007B1B13">
                            <w:pPr>
                              <w:widowControl/>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688</w:t>
                            </w:r>
                          </w:p>
                        </w:tc>
                        <w:tc>
                          <w:tcPr>
                            <w:tcW w:w="558" w:type="dxa"/>
                            <w:tcBorders>
                              <w:top w:val="nil"/>
                              <w:left w:val="nil"/>
                              <w:bottom w:val="single" w:sz="4" w:space="0" w:color="auto"/>
                              <w:right w:val="single" w:sz="4" w:space="0" w:color="auto"/>
                            </w:tcBorders>
                            <w:vAlign w:val="center"/>
                            <w:hideMark/>
                          </w:tcPr>
                          <w:p w14:paraId="02A761C8" w14:textId="77777777" w:rsidR="007B1B13" w:rsidRDefault="007B1B13">
                            <w:pPr>
                              <w:widowControl/>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688</w:t>
                            </w:r>
                          </w:p>
                        </w:tc>
                        <w:tc>
                          <w:tcPr>
                            <w:tcW w:w="558" w:type="dxa"/>
                            <w:tcBorders>
                              <w:top w:val="nil"/>
                              <w:left w:val="nil"/>
                              <w:bottom w:val="single" w:sz="4" w:space="0" w:color="auto"/>
                              <w:right w:val="single" w:sz="4" w:space="0" w:color="auto"/>
                            </w:tcBorders>
                            <w:vAlign w:val="center"/>
                            <w:hideMark/>
                          </w:tcPr>
                          <w:p w14:paraId="6A5EF1D2" w14:textId="77777777" w:rsidR="007B1B13" w:rsidRDefault="007B1B13">
                            <w:pPr>
                              <w:widowControl/>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660</w:t>
                            </w:r>
                          </w:p>
                        </w:tc>
                        <w:tc>
                          <w:tcPr>
                            <w:tcW w:w="558" w:type="dxa"/>
                            <w:tcBorders>
                              <w:top w:val="nil"/>
                              <w:left w:val="nil"/>
                              <w:bottom w:val="single" w:sz="4" w:space="0" w:color="auto"/>
                              <w:right w:val="single" w:sz="4" w:space="0" w:color="auto"/>
                            </w:tcBorders>
                            <w:vAlign w:val="center"/>
                            <w:hideMark/>
                          </w:tcPr>
                          <w:p w14:paraId="57700006" w14:textId="77777777" w:rsidR="007B1B13" w:rsidRDefault="007B1B13">
                            <w:pPr>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672</w:t>
                            </w:r>
                          </w:p>
                        </w:tc>
                        <w:tc>
                          <w:tcPr>
                            <w:tcW w:w="558" w:type="dxa"/>
                            <w:tcBorders>
                              <w:top w:val="nil"/>
                              <w:left w:val="nil"/>
                              <w:bottom w:val="single" w:sz="4" w:space="0" w:color="auto"/>
                              <w:right w:val="single" w:sz="4" w:space="0" w:color="auto"/>
                            </w:tcBorders>
                            <w:vAlign w:val="center"/>
                            <w:hideMark/>
                          </w:tcPr>
                          <w:p w14:paraId="7EBDC4E3" w14:textId="77777777" w:rsidR="007B1B13" w:rsidRDefault="007B1B13">
                            <w:pPr>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688</w:t>
                            </w:r>
                          </w:p>
                        </w:tc>
                        <w:tc>
                          <w:tcPr>
                            <w:tcW w:w="559" w:type="dxa"/>
                            <w:tcBorders>
                              <w:top w:val="nil"/>
                              <w:left w:val="nil"/>
                              <w:bottom w:val="single" w:sz="4" w:space="0" w:color="auto"/>
                              <w:right w:val="single" w:sz="4" w:space="0" w:color="auto"/>
                            </w:tcBorders>
                            <w:noWrap/>
                            <w:vAlign w:val="center"/>
                            <w:hideMark/>
                          </w:tcPr>
                          <w:p w14:paraId="51372915" w14:textId="77777777" w:rsidR="007B1B13" w:rsidRDefault="007B1B13">
                            <w:pPr>
                              <w:spacing w:line="32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688</w:t>
                            </w:r>
                          </w:p>
                        </w:tc>
                        <w:tc>
                          <w:tcPr>
                            <w:tcW w:w="558" w:type="dxa"/>
                            <w:tcBorders>
                              <w:top w:val="single" w:sz="4" w:space="0" w:color="auto"/>
                              <w:left w:val="nil"/>
                              <w:bottom w:val="single" w:sz="4" w:space="0" w:color="auto"/>
                              <w:right w:val="single" w:sz="4" w:space="0" w:color="auto"/>
                            </w:tcBorders>
                            <w:noWrap/>
                            <w:vAlign w:val="center"/>
                            <w:hideMark/>
                          </w:tcPr>
                          <w:p w14:paraId="4C2FE4C4" w14:textId="77777777" w:rsidR="007B1B13" w:rsidRDefault="007B1B13">
                            <w:pPr>
                              <w:spacing w:line="32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58" w:type="dxa"/>
                            <w:tcBorders>
                              <w:top w:val="single" w:sz="4" w:space="0" w:color="auto"/>
                              <w:left w:val="nil"/>
                              <w:bottom w:val="single" w:sz="4" w:space="0" w:color="auto"/>
                              <w:right w:val="single" w:sz="4" w:space="0" w:color="auto"/>
                            </w:tcBorders>
                            <w:vAlign w:val="center"/>
                            <w:hideMark/>
                          </w:tcPr>
                          <w:p w14:paraId="646820BF" w14:textId="77777777" w:rsidR="007B1B13" w:rsidRDefault="007B1B13">
                            <w:pPr>
                              <w:spacing w:line="32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58" w:type="dxa"/>
                            <w:tcBorders>
                              <w:top w:val="single" w:sz="4" w:space="0" w:color="auto"/>
                              <w:left w:val="single" w:sz="4" w:space="0" w:color="auto"/>
                              <w:bottom w:val="single" w:sz="4" w:space="0" w:color="auto"/>
                              <w:right w:val="single" w:sz="4" w:space="0" w:color="auto"/>
                            </w:tcBorders>
                            <w:vAlign w:val="center"/>
                            <w:hideMark/>
                          </w:tcPr>
                          <w:p w14:paraId="09BD2EA9" w14:textId="77777777" w:rsidR="007B1B13" w:rsidRDefault="007B1B13">
                            <w:pPr>
                              <w:spacing w:line="32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9B3B2C1" w14:textId="77777777" w:rsidR="007B1B13" w:rsidRDefault="007B1B13">
                            <w:pPr>
                              <w:spacing w:line="320" w:lineRule="exact"/>
                              <w:ind w:leftChars="-50" w:left="-120"/>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100.00</w:t>
                            </w:r>
                          </w:p>
                        </w:tc>
                      </w:tr>
                      <w:tr w:rsidR="007B1B13" w14:paraId="27034486" w14:textId="77777777">
                        <w:trPr>
                          <w:trHeight w:val="281"/>
                        </w:trPr>
                        <w:tc>
                          <w:tcPr>
                            <w:tcW w:w="1214" w:type="dxa"/>
                            <w:gridSpan w:val="2"/>
                            <w:tcBorders>
                              <w:top w:val="nil"/>
                              <w:left w:val="single" w:sz="4" w:space="0" w:color="auto"/>
                              <w:bottom w:val="double" w:sz="4" w:space="0" w:color="auto"/>
                              <w:right w:val="single" w:sz="4" w:space="0" w:color="auto"/>
                            </w:tcBorders>
                            <w:vAlign w:val="center"/>
                            <w:hideMark/>
                          </w:tcPr>
                          <w:p w14:paraId="74A3A3B9" w14:textId="77777777" w:rsidR="007B1B13" w:rsidRDefault="007B1B13">
                            <w:pPr>
                              <w:widowControl/>
                              <w:spacing w:line="220" w:lineRule="exact"/>
                              <w:jc w:val="center"/>
                              <w:rPr>
                                <w:rFonts w:ascii="標楷體" w:eastAsia="標楷體" w:hAnsi="標楷體" w:cs="新細明體"/>
                                <w:color w:val="000000"/>
                                <w:spacing w:val="-20"/>
                                <w:kern w:val="0"/>
                                <w:sz w:val="20"/>
                                <w:szCs w:val="20"/>
                              </w:rPr>
                            </w:pPr>
                            <w:proofErr w:type="gramStart"/>
                            <w:r>
                              <w:rPr>
                                <w:rFonts w:ascii="標楷體" w:eastAsia="標楷體" w:hAnsi="標楷體" w:cs="新細明體" w:hint="eastAsia"/>
                                <w:color w:val="000000"/>
                                <w:spacing w:val="-20"/>
                                <w:kern w:val="0"/>
                                <w:sz w:val="20"/>
                                <w:szCs w:val="20"/>
                              </w:rPr>
                              <w:t>準</w:t>
                            </w:r>
                            <w:proofErr w:type="gramEnd"/>
                            <w:r>
                              <w:rPr>
                                <w:rFonts w:ascii="標楷體" w:eastAsia="標楷體" w:hAnsi="標楷體" w:cs="新細明體" w:hint="eastAsia"/>
                                <w:color w:val="000000"/>
                                <w:spacing w:val="-20"/>
                                <w:kern w:val="0"/>
                                <w:sz w:val="20"/>
                                <w:szCs w:val="20"/>
                              </w:rPr>
                              <w:t>公共化之</w:t>
                            </w:r>
                          </w:p>
                          <w:p w14:paraId="44CCD895" w14:textId="77777777" w:rsidR="007B1B13" w:rsidRDefault="007B1B13">
                            <w:pPr>
                              <w:widowControl/>
                              <w:spacing w:line="220" w:lineRule="exact"/>
                              <w:ind w:leftChars="-20" w:left="-48" w:rightChars="-10" w:right="-24"/>
                              <w:jc w:val="center"/>
                              <w:rPr>
                                <w:rFonts w:ascii="標楷體" w:eastAsia="標楷體" w:hAnsi="標楷體" w:cs="新細明體"/>
                                <w:color w:val="000000"/>
                                <w:spacing w:val="-22"/>
                                <w:kern w:val="0"/>
                                <w:sz w:val="20"/>
                                <w:szCs w:val="20"/>
                              </w:rPr>
                            </w:pPr>
                            <w:r>
                              <w:rPr>
                                <w:rFonts w:ascii="標楷體" w:eastAsia="標楷體" w:hAnsi="標楷體" w:cs="新細明體" w:hint="eastAsia"/>
                                <w:color w:val="000000"/>
                                <w:spacing w:val="-22"/>
                                <w:kern w:val="0"/>
                                <w:sz w:val="20"/>
                                <w:szCs w:val="20"/>
                              </w:rPr>
                              <w:t>私立托嬰中心</w:t>
                            </w:r>
                          </w:p>
                        </w:tc>
                        <w:tc>
                          <w:tcPr>
                            <w:tcW w:w="556" w:type="dxa"/>
                            <w:tcBorders>
                              <w:top w:val="nil"/>
                              <w:left w:val="nil"/>
                              <w:bottom w:val="double" w:sz="4" w:space="0" w:color="auto"/>
                              <w:right w:val="single" w:sz="4" w:space="0" w:color="auto"/>
                            </w:tcBorders>
                            <w:vAlign w:val="center"/>
                            <w:hideMark/>
                          </w:tcPr>
                          <w:p w14:paraId="019DA705" w14:textId="77777777" w:rsidR="007B1B13" w:rsidRDefault="007B1B13">
                            <w:pPr>
                              <w:spacing w:line="260" w:lineRule="exact"/>
                              <w:ind w:leftChars="-50" w:left="-120"/>
                              <w:jc w:val="right"/>
                              <w:rPr>
                                <w:rFonts w:ascii="標楷體" w:eastAsia="標楷體" w:hAnsi="標楷體" w:cs="Times New Roman"/>
                                <w:color w:val="000000"/>
                                <w:spacing w:val="-4"/>
                                <w:kern w:val="0"/>
                                <w:sz w:val="20"/>
                                <w:szCs w:val="20"/>
                              </w:rPr>
                            </w:pPr>
                            <w:r>
                              <w:rPr>
                                <w:rFonts w:ascii="標楷體" w:eastAsia="標楷體" w:hAnsi="標楷體" w:hint="eastAsia"/>
                                <w:color w:val="000000"/>
                                <w:spacing w:val="-4"/>
                                <w:kern w:val="0"/>
                                <w:sz w:val="20"/>
                                <w:szCs w:val="20"/>
                              </w:rPr>
                              <w:t>3,661</w:t>
                            </w:r>
                          </w:p>
                        </w:tc>
                        <w:tc>
                          <w:tcPr>
                            <w:tcW w:w="556" w:type="dxa"/>
                            <w:tcBorders>
                              <w:top w:val="nil"/>
                              <w:left w:val="nil"/>
                              <w:bottom w:val="double" w:sz="4" w:space="0" w:color="auto"/>
                              <w:right w:val="single" w:sz="4" w:space="0" w:color="auto"/>
                            </w:tcBorders>
                            <w:vAlign w:val="center"/>
                            <w:hideMark/>
                          </w:tcPr>
                          <w:p w14:paraId="181D2AF5"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4,084</w:t>
                            </w:r>
                          </w:p>
                        </w:tc>
                        <w:tc>
                          <w:tcPr>
                            <w:tcW w:w="557" w:type="dxa"/>
                            <w:tcBorders>
                              <w:top w:val="nil"/>
                              <w:left w:val="nil"/>
                              <w:bottom w:val="double" w:sz="4" w:space="0" w:color="auto"/>
                              <w:right w:val="single" w:sz="4" w:space="0" w:color="auto"/>
                            </w:tcBorders>
                            <w:vAlign w:val="center"/>
                            <w:hideMark/>
                          </w:tcPr>
                          <w:p w14:paraId="3205BF10"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4,482</w:t>
                            </w:r>
                          </w:p>
                        </w:tc>
                        <w:tc>
                          <w:tcPr>
                            <w:tcW w:w="558" w:type="dxa"/>
                            <w:tcBorders>
                              <w:top w:val="nil"/>
                              <w:left w:val="nil"/>
                              <w:bottom w:val="double" w:sz="4" w:space="0" w:color="auto"/>
                              <w:right w:val="single" w:sz="4" w:space="0" w:color="auto"/>
                            </w:tcBorders>
                            <w:vAlign w:val="center"/>
                            <w:hideMark/>
                          </w:tcPr>
                          <w:p w14:paraId="217FA7C9"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4,741</w:t>
                            </w:r>
                          </w:p>
                        </w:tc>
                        <w:tc>
                          <w:tcPr>
                            <w:tcW w:w="558" w:type="dxa"/>
                            <w:tcBorders>
                              <w:top w:val="nil"/>
                              <w:left w:val="nil"/>
                              <w:bottom w:val="double" w:sz="4" w:space="0" w:color="auto"/>
                              <w:right w:val="single" w:sz="4" w:space="0" w:color="auto"/>
                            </w:tcBorders>
                            <w:vAlign w:val="center"/>
                            <w:hideMark/>
                          </w:tcPr>
                          <w:p w14:paraId="3954997B"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2,939</w:t>
                            </w:r>
                          </w:p>
                        </w:tc>
                        <w:tc>
                          <w:tcPr>
                            <w:tcW w:w="558" w:type="dxa"/>
                            <w:tcBorders>
                              <w:top w:val="nil"/>
                              <w:left w:val="nil"/>
                              <w:bottom w:val="double" w:sz="4" w:space="0" w:color="auto"/>
                              <w:right w:val="single" w:sz="4" w:space="0" w:color="auto"/>
                            </w:tcBorders>
                            <w:vAlign w:val="center"/>
                            <w:hideMark/>
                          </w:tcPr>
                          <w:p w14:paraId="7D90E280"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3,430</w:t>
                            </w:r>
                          </w:p>
                        </w:tc>
                        <w:tc>
                          <w:tcPr>
                            <w:tcW w:w="558" w:type="dxa"/>
                            <w:tcBorders>
                              <w:top w:val="nil"/>
                              <w:left w:val="nil"/>
                              <w:bottom w:val="double" w:sz="4" w:space="0" w:color="auto"/>
                              <w:right w:val="single" w:sz="4" w:space="0" w:color="auto"/>
                            </w:tcBorders>
                            <w:vAlign w:val="center"/>
                            <w:hideMark/>
                          </w:tcPr>
                          <w:p w14:paraId="3A4E56B7"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3,723</w:t>
                            </w:r>
                          </w:p>
                        </w:tc>
                        <w:tc>
                          <w:tcPr>
                            <w:tcW w:w="559" w:type="dxa"/>
                            <w:tcBorders>
                              <w:top w:val="nil"/>
                              <w:left w:val="nil"/>
                              <w:bottom w:val="double" w:sz="4" w:space="0" w:color="auto"/>
                              <w:right w:val="single" w:sz="4" w:space="0" w:color="auto"/>
                            </w:tcBorders>
                            <w:noWrap/>
                            <w:vAlign w:val="center"/>
                            <w:hideMark/>
                          </w:tcPr>
                          <w:p w14:paraId="6A617B07" w14:textId="77777777" w:rsidR="007B1B13" w:rsidRDefault="007B1B13">
                            <w:pPr>
                              <w:spacing w:line="260" w:lineRule="exact"/>
                              <w:ind w:leftChars="-50" w:left="-120"/>
                              <w:jc w:val="right"/>
                              <w:rPr>
                                <w:rFonts w:ascii="標楷體" w:eastAsia="標楷體" w:hAnsi="標楷體"/>
                                <w:color w:val="000000"/>
                                <w:spacing w:val="-4"/>
                                <w:kern w:val="0"/>
                                <w:sz w:val="20"/>
                                <w:szCs w:val="20"/>
                              </w:rPr>
                            </w:pPr>
                            <w:r>
                              <w:rPr>
                                <w:rFonts w:ascii="標楷體" w:eastAsia="標楷體" w:hAnsi="標楷體" w:hint="eastAsia"/>
                                <w:color w:val="000000"/>
                                <w:spacing w:val="-4"/>
                                <w:kern w:val="0"/>
                                <w:sz w:val="20"/>
                                <w:szCs w:val="20"/>
                              </w:rPr>
                              <w:t>3,508</w:t>
                            </w:r>
                          </w:p>
                        </w:tc>
                        <w:tc>
                          <w:tcPr>
                            <w:tcW w:w="558" w:type="dxa"/>
                            <w:tcBorders>
                              <w:top w:val="single" w:sz="4" w:space="0" w:color="auto"/>
                              <w:left w:val="nil"/>
                              <w:bottom w:val="double" w:sz="4" w:space="0" w:color="auto"/>
                              <w:right w:val="single" w:sz="4" w:space="0" w:color="auto"/>
                            </w:tcBorders>
                            <w:noWrap/>
                            <w:vAlign w:val="center"/>
                            <w:hideMark/>
                          </w:tcPr>
                          <w:p w14:paraId="38B99F80" w14:textId="77777777" w:rsidR="007B1B13" w:rsidRDefault="007B1B13">
                            <w:pPr>
                              <w:spacing w:line="260" w:lineRule="exact"/>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80.28</w:t>
                            </w:r>
                          </w:p>
                        </w:tc>
                        <w:tc>
                          <w:tcPr>
                            <w:tcW w:w="558" w:type="dxa"/>
                            <w:tcBorders>
                              <w:top w:val="single" w:sz="4" w:space="0" w:color="auto"/>
                              <w:left w:val="nil"/>
                              <w:bottom w:val="double" w:sz="4" w:space="0" w:color="auto"/>
                              <w:right w:val="single" w:sz="4" w:space="0" w:color="auto"/>
                            </w:tcBorders>
                            <w:vAlign w:val="center"/>
                            <w:hideMark/>
                          </w:tcPr>
                          <w:p w14:paraId="4428B0D1" w14:textId="77777777" w:rsidR="007B1B13" w:rsidRDefault="007B1B13">
                            <w:pPr>
                              <w:spacing w:line="260" w:lineRule="exact"/>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83.99</w:t>
                            </w:r>
                          </w:p>
                        </w:tc>
                        <w:tc>
                          <w:tcPr>
                            <w:tcW w:w="558" w:type="dxa"/>
                            <w:tcBorders>
                              <w:top w:val="single" w:sz="4" w:space="0" w:color="auto"/>
                              <w:left w:val="single" w:sz="4" w:space="0" w:color="auto"/>
                              <w:bottom w:val="double" w:sz="4" w:space="0" w:color="auto"/>
                              <w:right w:val="single" w:sz="4" w:space="0" w:color="auto"/>
                            </w:tcBorders>
                            <w:vAlign w:val="center"/>
                            <w:hideMark/>
                          </w:tcPr>
                          <w:p w14:paraId="6814080E" w14:textId="77777777" w:rsidR="007B1B13" w:rsidRDefault="007B1B13">
                            <w:pPr>
                              <w:spacing w:line="260" w:lineRule="exact"/>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83.07</w:t>
                            </w:r>
                          </w:p>
                        </w:tc>
                        <w:tc>
                          <w:tcPr>
                            <w:tcW w:w="580" w:type="dxa"/>
                            <w:tcBorders>
                              <w:top w:val="single" w:sz="4" w:space="0" w:color="auto"/>
                              <w:left w:val="single" w:sz="4" w:space="0" w:color="auto"/>
                              <w:bottom w:val="double" w:sz="4" w:space="0" w:color="auto"/>
                              <w:right w:val="single" w:sz="4" w:space="0" w:color="auto"/>
                            </w:tcBorders>
                            <w:vAlign w:val="center"/>
                            <w:hideMark/>
                          </w:tcPr>
                          <w:p w14:paraId="638601E3" w14:textId="77777777" w:rsidR="007B1B13" w:rsidRDefault="007B1B13">
                            <w:pPr>
                              <w:spacing w:line="260" w:lineRule="exact"/>
                              <w:jc w:val="right"/>
                              <w:rPr>
                                <w:rFonts w:ascii="標楷體" w:eastAsia="標楷體" w:hAnsi="標楷體"/>
                                <w:color w:val="000000"/>
                                <w:spacing w:val="-16"/>
                                <w:kern w:val="0"/>
                                <w:sz w:val="20"/>
                                <w:szCs w:val="20"/>
                              </w:rPr>
                            </w:pPr>
                            <w:r>
                              <w:rPr>
                                <w:rFonts w:ascii="標楷體" w:eastAsia="標楷體" w:hAnsi="標楷體" w:hint="eastAsia"/>
                                <w:color w:val="000000"/>
                                <w:spacing w:val="-16"/>
                                <w:kern w:val="0"/>
                                <w:sz w:val="20"/>
                                <w:szCs w:val="20"/>
                              </w:rPr>
                              <w:t>73.99</w:t>
                            </w:r>
                          </w:p>
                        </w:tc>
                      </w:tr>
                      <w:tr w:rsidR="007B1B13" w14:paraId="1B580185" w14:textId="77777777">
                        <w:trPr>
                          <w:trHeight w:val="283"/>
                        </w:trPr>
                        <w:tc>
                          <w:tcPr>
                            <w:tcW w:w="1214" w:type="dxa"/>
                            <w:gridSpan w:val="2"/>
                            <w:tcBorders>
                              <w:top w:val="double" w:sz="4" w:space="0" w:color="auto"/>
                              <w:left w:val="single" w:sz="4" w:space="0" w:color="auto"/>
                              <w:bottom w:val="single" w:sz="4" w:space="0" w:color="auto"/>
                              <w:right w:val="single" w:sz="4" w:space="0" w:color="auto"/>
                            </w:tcBorders>
                            <w:vAlign w:val="center"/>
                            <w:hideMark/>
                          </w:tcPr>
                          <w:p w14:paraId="4368811A" w14:textId="77777777" w:rsidR="007B1B13" w:rsidRDefault="007B1B13">
                            <w:pPr>
                              <w:widowControl/>
                              <w:spacing w:line="240" w:lineRule="exact"/>
                              <w:jc w:val="center"/>
                              <w:rPr>
                                <w:rFonts w:ascii="標楷體" w:eastAsia="標楷體" w:hAnsi="標楷體" w:cs="新細明體"/>
                                <w:spacing w:val="-20"/>
                                <w:kern w:val="0"/>
                                <w:sz w:val="20"/>
                                <w:szCs w:val="20"/>
                              </w:rPr>
                            </w:pPr>
                            <w:proofErr w:type="gramStart"/>
                            <w:r>
                              <w:rPr>
                                <w:rFonts w:ascii="標楷體" w:eastAsia="標楷體" w:hAnsi="標楷體" w:cs="新細明體" w:hint="eastAsia"/>
                                <w:spacing w:val="-20"/>
                                <w:kern w:val="0"/>
                                <w:sz w:val="20"/>
                                <w:szCs w:val="20"/>
                              </w:rPr>
                              <w:t>準</w:t>
                            </w:r>
                            <w:proofErr w:type="gramEnd"/>
                            <w:r>
                              <w:rPr>
                                <w:rFonts w:ascii="標楷體" w:eastAsia="標楷體" w:hAnsi="標楷體" w:cs="新細明體" w:hint="eastAsia"/>
                                <w:spacing w:val="-20"/>
                                <w:kern w:val="0"/>
                                <w:sz w:val="20"/>
                                <w:szCs w:val="20"/>
                              </w:rPr>
                              <w:t>公共保母</w:t>
                            </w:r>
                          </w:p>
                        </w:tc>
                        <w:tc>
                          <w:tcPr>
                            <w:tcW w:w="556" w:type="dxa"/>
                            <w:tcBorders>
                              <w:top w:val="double" w:sz="4" w:space="0" w:color="auto"/>
                              <w:left w:val="nil"/>
                              <w:bottom w:val="single" w:sz="4" w:space="0" w:color="auto"/>
                              <w:right w:val="single" w:sz="4" w:space="0" w:color="auto"/>
                            </w:tcBorders>
                            <w:vAlign w:val="center"/>
                            <w:hideMark/>
                          </w:tcPr>
                          <w:p w14:paraId="1B2D93AC" w14:textId="77777777" w:rsidR="007B1B13" w:rsidRDefault="007B1B13">
                            <w:pPr>
                              <w:spacing w:line="240" w:lineRule="exact"/>
                              <w:ind w:leftChars="-50" w:left="-120"/>
                              <w:jc w:val="right"/>
                              <w:rPr>
                                <w:rFonts w:ascii="標楷體" w:eastAsia="標楷體" w:hAnsi="標楷體" w:cs="Times New Roman"/>
                                <w:spacing w:val="-4"/>
                                <w:kern w:val="0"/>
                                <w:sz w:val="20"/>
                                <w:szCs w:val="20"/>
                              </w:rPr>
                            </w:pPr>
                            <w:r>
                              <w:rPr>
                                <w:rFonts w:ascii="標楷體" w:eastAsia="標楷體" w:hAnsi="標楷體" w:hint="eastAsia"/>
                                <w:spacing w:val="-4"/>
                                <w:kern w:val="0"/>
                                <w:sz w:val="20"/>
                                <w:szCs w:val="20"/>
                              </w:rPr>
                              <w:t>2,514</w:t>
                            </w:r>
                          </w:p>
                        </w:tc>
                        <w:tc>
                          <w:tcPr>
                            <w:tcW w:w="556" w:type="dxa"/>
                            <w:tcBorders>
                              <w:top w:val="double" w:sz="4" w:space="0" w:color="auto"/>
                              <w:left w:val="nil"/>
                              <w:bottom w:val="single" w:sz="4" w:space="0" w:color="auto"/>
                              <w:right w:val="single" w:sz="4" w:space="0" w:color="auto"/>
                            </w:tcBorders>
                            <w:vAlign w:val="center"/>
                            <w:hideMark/>
                          </w:tcPr>
                          <w:p w14:paraId="3E86DD10"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2,407</w:t>
                            </w:r>
                          </w:p>
                        </w:tc>
                        <w:tc>
                          <w:tcPr>
                            <w:tcW w:w="557" w:type="dxa"/>
                            <w:tcBorders>
                              <w:top w:val="double" w:sz="4" w:space="0" w:color="auto"/>
                              <w:left w:val="nil"/>
                              <w:bottom w:val="single" w:sz="4" w:space="0" w:color="auto"/>
                              <w:right w:val="single" w:sz="4" w:space="0" w:color="auto"/>
                            </w:tcBorders>
                            <w:vAlign w:val="center"/>
                            <w:hideMark/>
                          </w:tcPr>
                          <w:p w14:paraId="56DB95C3"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2,402</w:t>
                            </w:r>
                          </w:p>
                        </w:tc>
                        <w:tc>
                          <w:tcPr>
                            <w:tcW w:w="558" w:type="dxa"/>
                            <w:tcBorders>
                              <w:top w:val="double" w:sz="4" w:space="0" w:color="auto"/>
                              <w:left w:val="nil"/>
                              <w:bottom w:val="single" w:sz="4" w:space="0" w:color="auto"/>
                              <w:right w:val="single" w:sz="4" w:space="0" w:color="auto"/>
                            </w:tcBorders>
                            <w:vAlign w:val="center"/>
                            <w:hideMark/>
                          </w:tcPr>
                          <w:p w14:paraId="410D49B5"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2,399</w:t>
                            </w:r>
                          </w:p>
                        </w:tc>
                        <w:tc>
                          <w:tcPr>
                            <w:tcW w:w="558" w:type="dxa"/>
                            <w:tcBorders>
                              <w:top w:val="double" w:sz="4" w:space="0" w:color="auto"/>
                              <w:left w:val="nil"/>
                              <w:bottom w:val="single" w:sz="4" w:space="0" w:color="auto"/>
                              <w:right w:val="single" w:sz="4" w:space="0" w:color="auto"/>
                            </w:tcBorders>
                            <w:vAlign w:val="center"/>
                            <w:hideMark/>
                          </w:tcPr>
                          <w:p w14:paraId="35D185DD"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2,514</w:t>
                            </w:r>
                          </w:p>
                        </w:tc>
                        <w:tc>
                          <w:tcPr>
                            <w:tcW w:w="558" w:type="dxa"/>
                            <w:tcBorders>
                              <w:top w:val="double" w:sz="4" w:space="0" w:color="auto"/>
                              <w:left w:val="nil"/>
                              <w:bottom w:val="single" w:sz="4" w:space="0" w:color="auto"/>
                              <w:right w:val="single" w:sz="4" w:space="0" w:color="auto"/>
                            </w:tcBorders>
                            <w:vAlign w:val="center"/>
                            <w:hideMark/>
                          </w:tcPr>
                          <w:p w14:paraId="42093259"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2,407</w:t>
                            </w:r>
                          </w:p>
                        </w:tc>
                        <w:tc>
                          <w:tcPr>
                            <w:tcW w:w="558" w:type="dxa"/>
                            <w:tcBorders>
                              <w:top w:val="double" w:sz="4" w:space="0" w:color="auto"/>
                              <w:left w:val="nil"/>
                              <w:bottom w:val="single" w:sz="4" w:space="0" w:color="auto"/>
                              <w:right w:val="single" w:sz="4" w:space="0" w:color="auto"/>
                            </w:tcBorders>
                            <w:vAlign w:val="center"/>
                            <w:hideMark/>
                          </w:tcPr>
                          <w:p w14:paraId="75DD499C"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2,402</w:t>
                            </w:r>
                          </w:p>
                        </w:tc>
                        <w:tc>
                          <w:tcPr>
                            <w:tcW w:w="559" w:type="dxa"/>
                            <w:tcBorders>
                              <w:top w:val="double" w:sz="4" w:space="0" w:color="auto"/>
                              <w:left w:val="nil"/>
                              <w:bottom w:val="single" w:sz="4" w:space="0" w:color="auto"/>
                              <w:right w:val="single" w:sz="4" w:space="0" w:color="auto"/>
                            </w:tcBorders>
                            <w:noWrap/>
                            <w:vAlign w:val="center"/>
                            <w:hideMark/>
                          </w:tcPr>
                          <w:p w14:paraId="455DD83D" w14:textId="77777777" w:rsidR="007B1B13" w:rsidRDefault="007B1B13">
                            <w:pPr>
                              <w:spacing w:line="240" w:lineRule="exact"/>
                              <w:ind w:leftChars="-50" w:left="-120"/>
                              <w:jc w:val="right"/>
                              <w:rPr>
                                <w:rFonts w:ascii="標楷體" w:eastAsia="標楷體" w:hAnsi="標楷體"/>
                                <w:spacing w:val="-4"/>
                                <w:kern w:val="0"/>
                                <w:sz w:val="20"/>
                                <w:szCs w:val="20"/>
                              </w:rPr>
                            </w:pPr>
                            <w:r>
                              <w:rPr>
                                <w:rFonts w:ascii="標楷體" w:eastAsia="標楷體" w:hAnsi="標楷體" w:hint="eastAsia"/>
                                <w:spacing w:val="-4"/>
                                <w:kern w:val="0"/>
                                <w:sz w:val="20"/>
                                <w:szCs w:val="20"/>
                              </w:rPr>
                              <w:t>2,399</w:t>
                            </w:r>
                          </w:p>
                        </w:tc>
                        <w:tc>
                          <w:tcPr>
                            <w:tcW w:w="2254" w:type="dxa"/>
                            <w:gridSpan w:val="4"/>
                            <w:tcBorders>
                              <w:top w:val="double" w:sz="4" w:space="0" w:color="auto"/>
                              <w:left w:val="nil"/>
                              <w:bottom w:val="single" w:sz="4" w:space="0" w:color="auto"/>
                              <w:right w:val="single" w:sz="4" w:space="0" w:color="auto"/>
                              <w:tl2br w:val="single" w:sz="4" w:space="0" w:color="auto"/>
                            </w:tcBorders>
                            <w:noWrap/>
                            <w:vAlign w:val="center"/>
                          </w:tcPr>
                          <w:p w14:paraId="3C3D6BA9" w14:textId="77777777" w:rsidR="007B1B13" w:rsidRDefault="007B1B13">
                            <w:pPr>
                              <w:widowControl/>
                              <w:spacing w:line="280" w:lineRule="exact"/>
                              <w:ind w:rightChars="20" w:right="48"/>
                              <w:jc w:val="right"/>
                              <w:rPr>
                                <w:rFonts w:ascii="標楷體" w:eastAsia="標楷體" w:hAnsi="標楷體"/>
                                <w:color w:val="000000"/>
                                <w:kern w:val="0"/>
                                <w:sz w:val="20"/>
                                <w:szCs w:val="20"/>
                              </w:rPr>
                            </w:pPr>
                          </w:p>
                        </w:tc>
                      </w:tr>
                    </w:tbl>
                    <w:p w14:paraId="1A3F1DF7" w14:textId="77777777" w:rsidR="007B1B13" w:rsidRDefault="007B1B13" w:rsidP="007B1B13">
                      <w:pPr>
                        <w:spacing w:line="200" w:lineRule="exact"/>
                        <w:ind w:leftChars="-50" w:left="-120"/>
                        <w:jc w:val="both"/>
                        <w:rPr>
                          <w:rFonts w:ascii="標楷體" w:eastAsia="標楷體" w:hAnsi="標楷體" w:cs="Times New Roman"/>
                          <w:spacing w:val="-1"/>
                          <w:sz w:val="18"/>
                          <w:szCs w:val="18"/>
                        </w:rPr>
                      </w:pPr>
                      <w:proofErr w:type="gramStart"/>
                      <w:r>
                        <w:rPr>
                          <w:rFonts w:ascii="標楷體" w:eastAsia="標楷體" w:hAnsi="標楷體" w:hint="eastAsia"/>
                          <w:spacing w:val="-1"/>
                          <w:sz w:val="18"/>
                          <w:szCs w:val="18"/>
                        </w:rPr>
                        <w:t>註</w:t>
                      </w:r>
                      <w:proofErr w:type="gramEnd"/>
                      <w:r>
                        <w:rPr>
                          <w:rFonts w:ascii="標楷體" w:eastAsia="標楷體" w:hAnsi="標楷體" w:hint="eastAsia"/>
                          <w:spacing w:val="-1"/>
                          <w:sz w:val="18"/>
                          <w:szCs w:val="18"/>
                        </w:rPr>
                        <w:t>：1.113年度資料僅統計至8月底止。</w:t>
                      </w:r>
                    </w:p>
                    <w:p w14:paraId="026D4D9F" w14:textId="1DAB21DD" w:rsidR="007B1B13" w:rsidRDefault="007B1B13" w:rsidP="007B1B13">
                      <w:pPr>
                        <w:spacing w:line="200" w:lineRule="exact"/>
                        <w:ind w:leftChars="100" w:left="418" w:hangingChars="100" w:hanging="178"/>
                        <w:jc w:val="both"/>
                        <w:rPr>
                          <w:rFonts w:ascii="標楷體" w:eastAsia="標楷體" w:hAnsi="標楷體"/>
                          <w:spacing w:val="-1"/>
                          <w:sz w:val="18"/>
                          <w:szCs w:val="18"/>
                        </w:rPr>
                      </w:pPr>
                      <w:r>
                        <w:rPr>
                          <w:rFonts w:ascii="標楷體" w:eastAsia="標楷體" w:hAnsi="標楷體" w:hint="eastAsia"/>
                          <w:spacing w:val="-1"/>
                          <w:sz w:val="18"/>
                          <w:szCs w:val="18"/>
                        </w:rPr>
                        <w:t>2.目前我國</w:t>
                      </w:r>
                      <w:proofErr w:type="gramStart"/>
                      <w:r>
                        <w:rPr>
                          <w:rFonts w:ascii="標楷體" w:eastAsia="標楷體" w:hAnsi="標楷體" w:hint="eastAsia"/>
                          <w:spacing w:val="-1"/>
                          <w:sz w:val="18"/>
                          <w:szCs w:val="18"/>
                        </w:rPr>
                        <w:t>每一位托育</w:t>
                      </w:r>
                      <w:proofErr w:type="gramEnd"/>
                      <w:r>
                        <w:rPr>
                          <w:rFonts w:ascii="標楷體" w:eastAsia="標楷體" w:hAnsi="標楷體" w:hint="eastAsia"/>
                          <w:spacing w:val="-1"/>
                          <w:sz w:val="18"/>
                          <w:szCs w:val="18"/>
                        </w:rPr>
                        <w:t>人員</w:t>
                      </w:r>
                      <w:r w:rsidR="00B418C5">
                        <w:rPr>
                          <w:rFonts w:ascii="標楷體" w:eastAsia="標楷體" w:hAnsi="標楷體" w:hint="eastAsia"/>
                          <w:spacing w:val="-1"/>
                          <w:sz w:val="18"/>
                          <w:szCs w:val="18"/>
                        </w:rPr>
                        <w:t>（</w:t>
                      </w:r>
                      <w:r>
                        <w:rPr>
                          <w:rFonts w:ascii="標楷體" w:eastAsia="標楷體" w:hAnsi="標楷體" w:hint="eastAsia"/>
                          <w:spacing w:val="-1"/>
                          <w:sz w:val="18"/>
                          <w:szCs w:val="18"/>
                        </w:rPr>
                        <w:t>保母</w:t>
                      </w:r>
                      <w:r w:rsidR="00B418C5">
                        <w:rPr>
                          <w:rFonts w:ascii="標楷體" w:eastAsia="標楷體" w:hAnsi="標楷體" w:hint="eastAsia"/>
                          <w:spacing w:val="-1"/>
                          <w:sz w:val="18"/>
                          <w:szCs w:val="18"/>
                        </w:rPr>
                        <w:t>）</w:t>
                      </w:r>
                      <w:r>
                        <w:rPr>
                          <w:rFonts w:ascii="標楷體" w:eastAsia="標楷體" w:hAnsi="標楷體" w:hint="eastAsia"/>
                          <w:spacing w:val="-1"/>
                          <w:sz w:val="18"/>
                          <w:szCs w:val="18"/>
                        </w:rPr>
                        <w:t>可收托幼兒數，係按</w:t>
                      </w:r>
                      <w:proofErr w:type="gramStart"/>
                      <w:r>
                        <w:rPr>
                          <w:rFonts w:ascii="標楷體" w:eastAsia="標楷體" w:hAnsi="標楷體" w:hint="eastAsia"/>
                          <w:spacing w:val="-1"/>
                          <w:sz w:val="18"/>
                          <w:szCs w:val="18"/>
                        </w:rPr>
                        <w:t>居家式托育</w:t>
                      </w:r>
                      <w:proofErr w:type="gramEnd"/>
                      <w:r>
                        <w:rPr>
                          <w:rFonts w:ascii="標楷體" w:eastAsia="標楷體" w:hAnsi="標楷體" w:hint="eastAsia"/>
                          <w:spacing w:val="-1"/>
                          <w:sz w:val="18"/>
                          <w:szCs w:val="18"/>
                        </w:rPr>
                        <w:t>服務提供者登記及管理辦法第7條規定辦理，</w:t>
                      </w:r>
                      <w:proofErr w:type="gramStart"/>
                      <w:r>
                        <w:rPr>
                          <w:rFonts w:ascii="標楷體" w:eastAsia="標楷體" w:hAnsi="標楷體" w:hint="eastAsia"/>
                          <w:spacing w:val="-1"/>
                          <w:sz w:val="18"/>
                          <w:szCs w:val="18"/>
                        </w:rPr>
                        <w:t>爰</w:t>
                      </w:r>
                      <w:proofErr w:type="gramEnd"/>
                      <w:r>
                        <w:rPr>
                          <w:rFonts w:ascii="標楷體" w:eastAsia="標楷體" w:hAnsi="標楷體" w:hint="eastAsia"/>
                          <w:spacing w:val="-1"/>
                          <w:sz w:val="18"/>
                          <w:szCs w:val="18"/>
                        </w:rPr>
                        <w:t>社會局未核定該等從業人員可收托幼兒人數，惟為便於計算臺北市公共及</w:t>
                      </w:r>
                      <w:proofErr w:type="gramStart"/>
                      <w:r>
                        <w:rPr>
                          <w:rFonts w:ascii="標楷體" w:eastAsia="標楷體" w:hAnsi="標楷體" w:hint="eastAsia"/>
                          <w:spacing w:val="-1"/>
                          <w:sz w:val="18"/>
                          <w:szCs w:val="18"/>
                        </w:rPr>
                        <w:t>準</w:t>
                      </w:r>
                      <w:proofErr w:type="gramEnd"/>
                      <w:r>
                        <w:rPr>
                          <w:rFonts w:ascii="標楷體" w:eastAsia="標楷體" w:hAnsi="標楷體" w:hint="eastAsia"/>
                          <w:spacing w:val="-1"/>
                          <w:sz w:val="18"/>
                          <w:szCs w:val="18"/>
                        </w:rPr>
                        <w:t>公共育兒服務量能供給情形，其核定收托人數係以實際收托人數計算之。</w:t>
                      </w:r>
                    </w:p>
                    <w:p w14:paraId="36478BC7" w14:textId="77777777" w:rsidR="007B1B13" w:rsidRDefault="007B1B13" w:rsidP="007B1B13">
                      <w:pPr>
                        <w:spacing w:line="200" w:lineRule="exact"/>
                        <w:ind w:leftChars="100" w:left="240"/>
                        <w:jc w:val="both"/>
                        <w:rPr>
                          <w:rFonts w:ascii="標楷體" w:eastAsia="標楷體" w:hAnsi="標楷體"/>
                          <w:spacing w:val="-2"/>
                          <w:sz w:val="18"/>
                          <w:szCs w:val="18"/>
                        </w:rPr>
                      </w:pPr>
                      <w:r>
                        <w:rPr>
                          <w:rFonts w:ascii="標楷體" w:eastAsia="標楷體" w:hAnsi="標楷體" w:hint="eastAsia"/>
                          <w:spacing w:val="-1"/>
                          <w:sz w:val="18"/>
                          <w:szCs w:val="18"/>
                        </w:rPr>
                        <w:t>3.資料來源：整理自社會局提供資料。</w:t>
                      </w:r>
                    </w:p>
                  </w:txbxContent>
                </v:textbox>
                <w10:wrap type="tight" anchorx="page"/>
              </v:shape>
            </w:pict>
          </mc:Fallback>
        </mc:AlternateContent>
      </w:r>
      <w:r w:rsidR="007B1B13">
        <w:rPr>
          <w:rFonts w:hAnsi="標楷體" w:cs="細明體" w:hint="eastAsia"/>
          <w:b/>
          <w:bCs/>
          <w:kern w:val="0"/>
          <w:szCs w:val="32"/>
        </w:rPr>
        <w:t>1.持續擴增公共化及</w:t>
      </w:r>
      <w:proofErr w:type="gramStart"/>
      <w:r w:rsidR="007B1B13">
        <w:rPr>
          <w:rFonts w:hAnsi="標楷體" w:cs="細明體" w:hint="eastAsia"/>
          <w:b/>
          <w:bCs/>
          <w:kern w:val="0"/>
          <w:szCs w:val="32"/>
        </w:rPr>
        <w:t>準</w:t>
      </w:r>
      <w:proofErr w:type="gramEnd"/>
      <w:r w:rsidR="007B1B13">
        <w:rPr>
          <w:rFonts w:hAnsi="標楷體" w:cs="細明體" w:hint="eastAsia"/>
          <w:b/>
          <w:bCs/>
          <w:kern w:val="0"/>
          <w:szCs w:val="32"/>
        </w:rPr>
        <w:t>公共托育量能，惟服務供給率未達預計目標，且</w:t>
      </w:r>
      <w:proofErr w:type="gramStart"/>
      <w:r w:rsidR="007B1B13">
        <w:rPr>
          <w:rFonts w:hAnsi="標楷體" w:cs="細明體" w:hint="eastAsia"/>
          <w:b/>
          <w:bCs/>
          <w:kern w:val="0"/>
          <w:szCs w:val="32"/>
        </w:rPr>
        <w:t>準</w:t>
      </w:r>
      <w:proofErr w:type="gramEnd"/>
      <w:r w:rsidR="007B1B13">
        <w:rPr>
          <w:rFonts w:hAnsi="標楷體" w:cs="細明體" w:hint="eastAsia"/>
          <w:b/>
          <w:bCs/>
          <w:kern w:val="0"/>
          <w:szCs w:val="32"/>
        </w:rPr>
        <w:t>公共托育機構實際收托人數不增反減：</w:t>
      </w:r>
      <w:r w:rsidR="007B1B13">
        <w:rPr>
          <w:rFonts w:hAnsi="標楷體" w:cs="細明體" w:hint="eastAsia"/>
          <w:kern w:val="0"/>
          <w:szCs w:val="32"/>
        </w:rPr>
        <w:t>本處前於抽查社會局</w:t>
      </w:r>
      <w:proofErr w:type="gramStart"/>
      <w:r w:rsidR="007B1B13">
        <w:rPr>
          <w:rFonts w:hAnsi="標楷體" w:cs="細明體" w:hint="eastAsia"/>
          <w:kern w:val="0"/>
          <w:szCs w:val="32"/>
        </w:rPr>
        <w:t>110</w:t>
      </w:r>
      <w:proofErr w:type="gramEnd"/>
      <w:r w:rsidR="007B1B13">
        <w:rPr>
          <w:rFonts w:hAnsi="標楷體" w:cs="細明體" w:hint="eastAsia"/>
          <w:kern w:val="0"/>
          <w:szCs w:val="32"/>
        </w:rPr>
        <w:t>年度財務收支時，曾就公辦民營托育機構需求殷切，登記入園人數大於供給量，另部分</w:t>
      </w:r>
      <w:proofErr w:type="gramStart"/>
      <w:r w:rsidR="007B1B13">
        <w:rPr>
          <w:rFonts w:hAnsi="標楷體" w:cs="細明體" w:hint="eastAsia"/>
          <w:kern w:val="0"/>
          <w:szCs w:val="32"/>
        </w:rPr>
        <w:t>準</w:t>
      </w:r>
      <w:proofErr w:type="gramEnd"/>
      <w:r w:rsidR="007B1B13">
        <w:rPr>
          <w:rFonts w:hAnsi="標楷體" w:cs="細明體" w:hint="eastAsia"/>
          <w:kern w:val="0"/>
          <w:szCs w:val="32"/>
        </w:rPr>
        <w:t>公共托育機構卻招生不足1節，函請注意</w:t>
      </w:r>
      <w:proofErr w:type="gramStart"/>
      <w:r w:rsidR="007B1B13">
        <w:rPr>
          <w:rFonts w:hAnsi="標楷體" w:cs="細明體" w:hint="eastAsia"/>
          <w:kern w:val="0"/>
          <w:szCs w:val="32"/>
        </w:rPr>
        <w:t>研</w:t>
      </w:r>
      <w:proofErr w:type="gramEnd"/>
      <w:r w:rsidR="007B1B13">
        <w:rPr>
          <w:rFonts w:hAnsi="標楷體" w:cs="細明體" w:hint="eastAsia"/>
          <w:kern w:val="0"/>
          <w:szCs w:val="32"/>
        </w:rPr>
        <w:t>謀改善。據復：已爭取場地積極布建</w:t>
      </w:r>
      <w:proofErr w:type="gramStart"/>
      <w:r w:rsidR="007B1B13">
        <w:rPr>
          <w:rFonts w:hAnsi="標楷體" w:cs="細明體" w:hint="eastAsia"/>
          <w:kern w:val="0"/>
          <w:szCs w:val="32"/>
        </w:rPr>
        <w:t>公共化托嬰</w:t>
      </w:r>
      <w:proofErr w:type="gramEnd"/>
      <w:r w:rsidR="007B1B13">
        <w:rPr>
          <w:rFonts w:hAnsi="標楷體" w:cs="細明體" w:hint="eastAsia"/>
          <w:kern w:val="0"/>
          <w:szCs w:val="32"/>
        </w:rPr>
        <w:t>機構，並透過法定評鑑考核機制及獎勵措施，提升托育人</w:t>
      </w:r>
      <w:r w:rsidR="007B1B13" w:rsidRPr="001B3116">
        <w:rPr>
          <w:rFonts w:hAnsi="標楷體" w:cs="細明體" w:hint="eastAsia"/>
          <w:spacing w:val="2"/>
          <w:kern w:val="0"/>
          <w:szCs w:val="32"/>
        </w:rPr>
        <w:t>員薪資福利及降低師生比，精進</w:t>
      </w:r>
      <w:proofErr w:type="gramStart"/>
      <w:r w:rsidR="007B1B13" w:rsidRPr="001B3116">
        <w:rPr>
          <w:rFonts w:hAnsi="標楷體" w:cs="細明體" w:hint="eastAsia"/>
          <w:spacing w:val="2"/>
          <w:kern w:val="0"/>
          <w:szCs w:val="32"/>
        </w:rPr>
        <w:t>準</w:t>
      </w:r>
      <w:proofErr w:type="gramEnd"/>
      <w:r w:rsidR="007B1B13" w:rsidRPr="001B3116">
        <w:rPr>
          <w:rFonts w:hAnsi="標楷體" w:cs="細明體" w:hint="eastAsia"/>
          <w:spacing w:val="2"/>
          <w:kern w:val="0"/>
          <w:szCs w:val="32"/>
        </w:rPr>
        <w:t>公共托育服務品質，未來臺北市公共化及</w:t>
      </w:r>
      <w:proofErr w:type="gramStart"/>
      <w:r w:rsidR="007B1B13" w:rsidRPr="001B3116">
        <w:rPr>
          <w:rFonts w:hAnsi="標楷體" w:cs="細明體" w:hint="eastAsia"/>
          <w:spacing w:val="2"/>
          <w:kern w:val="0"/>
          <w:szCs w:val="32"/>
        </w:rPr>
        <w:t>準</w:t>
      </w:r>
      <w:proofErr w:type="gramEnd"/>
      <w:r w:rsidR="007B1B13" w:rsidRPr="001B3116">
        <w:rPr>
          <w:rFonts w:hAnsi="標楷體" w:cs="細明體" w:hint="eastAsia"/>
          <w:spacing w:val="2"/>
          <w:kern w:val="0"/>
          <w:szCs w:val="32"/>
        </w:rPr>
        <w:t>公共托育服務供給率將朝向80.00％為目標邁進。案經追蹤覆核結果，截至113年8月底止，臺北市布建</w:t>
      </w:r>
      <w:proofErr w:type="gramStart"/>
      <w:r w:rsidR="007B1B13" w:rsidRPr="001B3116">
        <w:rPr>
          <w:rFonts w:hAnsi="標楷體" w:cs="細明體" w:hint="eastAsia"/>
          <w:spacing w:val="2"/>
          <w:kern w:val="0"/>
          <w:szCs w:val="32"/>
        </w:rPr>
        <w:t>公共化托嬰</w:t>
      </w:r>
      <w:proofErr w:type="gramEnd"/>
      <w:r w:rsidR="007B1B13" w:rsidRPr="001B3116">
        <w:rPr>
          <w:rFonts w:hAnsi="標楷體" w:cs="細明體" w:hint="eastAsia"/>
          <w:spacing w:val="2"/>
          <w:kern w:val="0"/>
          <w:szCs w:val="32"/>
        </w:rPr>
        <w:t>機構83家，</w:t>
      </w:r>
      <w:proofErr w:type="gramStart"/>
      <w:r w:rsidR="007B1B13" w:rsidRPr="001B3116">
        <w:rPr>
          <w:rFonts w:hAnsi="標楷體" w:cs="細明體" w:hint="eastAsia"/>
          <w:spacing w:val="2"/>
          <w:kern w:val="0"/>
          <w:szCs w:val="32"/>
        </w:rPr>
        <w:t>準</w:t>
      </w:r>
      <w:proofErr w:type="gramEnd"/>
      <w:r w:rsidR="007B1B13" w:rsidRPr="001B3116">
        <w:rPr>
          <w:rFonts w:hAnsi="標楷體" w:cs="細明體" w:hint="eastAsia"/>
          <w:spacing w:val="2"/>
          <w:kern w:val="0"/>
          <w:szCs w:val="32"/>
        </w:rPr>
        <w:t>公共托育機構148家，</w:t>
      </w:r>
      <w:proofErr w:type="gramStart"/>
      <w:r w:rsidR="007B1B13" w:rsidRPr="001B3116">
        <w:rPr>
          <w:rFonts w:hAnsi="標楷體" w:cs="細明體" w:hint="eastAsia"/>
          <w:spacing w:val="2"/>
          <w:kern w:val="0"/>
          <w:szCs w:val="32"/>
        </w:rPr>
        <w:t>準</w:t>
      </w:r>
      <w:proofErr w:type="gramEnd"/>
      <w:r w:rsidR="007B1B13" w:rsidRPr="001B3116">
        <w:rPr>
          <w:rFonts w:hAnsi="標楷體" w:cs="細明體" w:hint="eastAsia"/>
          <w:spacing w:val="2"/>
          <w:kern w:val="0"/>
          <w:szCs w:val="32"/>
        </w:rPr>
        <w:t>公共居家托育人員（保母）2,125人，核定總收托人數為8,940人（表1），占整體公私托育服務量能11,510人之77.67％，雖較</w:t>
      </w:r>
      <w:proofErr w:type="gramStart"/>
      <w:r w:rsidR="007B1B13" w:rsidRPr="001B3116">
        <w:rPr>
          <w:rFonts w:hAnsi="標楷體" w:cs="細明體" w:hint="eastAsia"/>
          <w:spacing w:val="2"/>
          <w:kern w:val="0"/>
          <w:szCs w:val="32"/>
        </w:rPr>
        <w:t>110</w:t>
      </w:r>
      <w:proofErr w:type="gramEnd"/>
      <w:r w:rsidR="007B1B13" w:rsidRPr="001B3116">
        <w:rPr>
          <w:rFonts w:hAnsi="標楷體" w:cs="細明體" w:hint="eastAsia"/>
          <w:spacing w:val="2"/>
          <w:kern w:val="0"/>
          <w:szCs w:val="32"/>
        </w:rPr>
        <w:t>年度公共化及</w:t>
      </w:r>
      <w:proofErr w:type="gramStart"/>
      <w:r w:rsidR="007B1B13" w:rsidRPr="001B3116">
        <w:rPr>
          <w:rFonts w:hAnsi="標楷體" w:cs="細明體" w:hint="eastAsia"/>
          <w:spacing w:val="2"/>
          <w:kern w:val="0"/>
          <w:szCs w:val="32"/>
        </w:rPr>
        <w:t>準</w:t>
      </w:r>
      <w:proofErr w:type="gramEnd"/>
      <w:r w:rsidR="007B1B13" w:rsidRPr="001B3116">
        <w:rPr>
          <w:rFonts w:hAnsi="標楷體" w:cs="細明體" w:hint="eastAsia"/>
          <w:spacing w:val="2"/>
          <w:kern w:val="0"/>
          <w:szCs w:val="32"/>
        </w:rPr>
        <w:t>公共托育服務供給率76.00％，增加1.67個百分點，惟仍未達預計目標80.00％。另查該局111至113年度雖已持續結合中央資源，擴充公共化及</w:t>
      </w:r>
      <w:proofErr w:type="gramStart"/>
      <w:r w:rsidR="007B1B13" w:rsidRPr="001B3116">
        <w:rPr>
          <w:rFonts w:hAnsi="標楷體" w:cs="細明體" w:hint="eastAsia"/>
          <w:spacing w:val="2"/>
          <w:kern w:val="0"/>
          <w:szCs w:val="32"/>
        </w:rPr>
        <w:t>準</w:t>
      </w:r>
      <w:proofErr w:type="gramEnd"/>
      <w:r w:rsidR="007B1B13" w:rsidRPr="001B3116">
        <w:rPr>
          <w:rFonts w:hAnsi="標楷體" w:cs="細明體" w:hint="eastAsia"/>
          <w:spacing w:val="2"/>
          <w:kern w:val="0"/>
          <w:szCs w:val="32"/>
        </w:rPr>
        <w:t>公共托育量能，促進</w:t>
      </w:r>
      <w:proofErr w:type="gramStart"/>
      <w:r w:rsidR="007B1B13" w:rsidRPr="001B3116">
        <w:rPr>
          <w:rFonts w:hAnsi="標楷體" w:cs="細明體" w:hint="eastAsia"/>
          <w:spacing w:val="2"/>
          <w:kern w:val="0"/>
          <w:szCs w:val="32"/>
        </w:rPr>
        <w:t>家長送托近便</w:t>
      </w:r>
      <w:proofErr w:type="gramEnd"/>
      <w:r w:rsidR="007B1B13" w:rsidRPr="001B3116">
        <w:rPr>
          <w:rFonts w:hAnsi="標楷體" w:cs="細明體" w:hint="eastAsia"/>
          <w:spacing w:val="2"/>
          <w:kern w:val="0"/>
          <w:szCs w:val="32"/>
        </w:rPr>
        <w:t>性，並提供臺北市友善托育補助，降低家長經濟負擔，減少公共化與</w:t>
      </w:r>
      <w:proofErr w:type="gramStart"/>
      <w:r w:rsidR="007B1B13" w:rsidRPr="001B3116">
        <w:rPr>
          <w:rFonts w:hAnsi="標楷體" w:cs="細明體" w:hint="eastAsia"/>
          <w:spacing w:val="2"/>
          <w:kern w:val="0"/>
          <w:szCs w:val="32"/>
        </w:rPr>
        <w:t>準</w:t>
      </w:r>
      <w:proofErr w:type="gramEnd"/>
      <w:r w:rsidR="007B1B13" w:rsidRPr="001B3116">
        <w:rPr>
          <w:rFonts w:hAnsi="標楷體" w:cs="細明體" w:hint="eastAsia"/>
          <w:spacing w:val="2"/>
          <w:kern w:val="0"/>
          <w:szCs w:val="32"/>
        </w:rPr>
        <w:t>公共托嬰中心負擔之差距，惟因民眾依舊偏好選用收費較為低廉之</w:t>
      </w:r>
      <w:proofErr w:type="gramStart"/>
      <w:r w:rsidR="007B1B13" w:rsidRPr="001B3116">
        <w:rPr>
          <w:rFonts w:hAnsi="標楷體" w:cs="細明體" w:hint="eastAsia"/>
          <w:spacing w:val="2"/>
          <w:kern w:val="0"/>
          <w:szCs w:val="32"/>
        </w:rPr>
        <w:t>公共化托嬰</w:t>
      </w:r>
      <w:proofErr w:type="gramEnd"/>
      <w:r w:rsidR="007B1B13" w:rsidRPr="001B3116">
        <w:rPr>
          <w:rFonts w:hAnsi="標楷體" w:cs="細明體" w:hint="eastAsia"/>
          <w:spacing w:val="2"/>
          <w:kern w:val="0"/>
          <w:szCs w:val="32"/>
        </w:rPr>
        <w:t>機構，肇致</w:t>
      </w:r>
      <w:proofErr w:type="gramStart"/>
      <w:r w:rsidR="007B1B13" w:rsidRPr="001B3116">
        <w:rPr>
          <w:rFonts w:hAnsi="標楷體" w:cs="細明體" w:hint="eastAsia"/>
          <w:spacing w:val="2"/>
          <w:kern w:val="0"/>
          <w:szCs w:val="32"/>
        </w:rPr>
        <w:t>公共化托嬰</w:t>
      </w:r>
      <w:proofErr w:type="gramEnd"/>
      <w:r w:rsidR="007B1B13" w:rsidRPr="001B3116">
        <w:rPr>
          <w:rFonts w:hAnsi="標楷體" w:cs="細明體" w:hint="eastAsia"/>
          <w:spacing w:val="2"/>
          <w:kern w:val="0"/>
          <w:szCs w:val="32"/>
        </w:rPr>
        <w:t>機構連年額滿，截至113年9月19日止，</w:t>
      </w:r>
      <w:proofErr w:type="gramStart"/>
      <w:r w:rsidR="007B1B13" w:rsidRPr="001B3116">
        <w:rPr>
          <w:rFonts w:hAnsi="標楷體" w:cs="細明體" w:hint="eastAsia"/>
          <w:spacing w:val="2"/>
          <w:kern w:val="0"/>
          <w:szCs w:val="32"/>
        </w:rPr>
        <w:t>公共化托嬰</w:t>
      </w:r>
      <w:proofErr w:type="gramEnd"/>
      <w:r w:rsidR="007B1B13" w:rsidRPr="001B3116">
        <w:rPr>
          <w:rFonts w:hAnsi="標楷體" w:cs="細明體" w:hint="eastAsia"/>
          <w:spacing w:val="2"/>
          <w:kern w:val="0"/>
          <w:szCs w:val="32"/>
        </w:rPr>
        <w:t>機構之登記候補人數為3,605人</w:t>
      </w:r>
      <w:r w:rsidR="00B418C5">
        <w:rPr>
          <w:rFonts w:hAnsi="標楷體" w:cs="細明體" w:hint="eastAsia"/>
          <w:spacing w:val="2"/>
          <w:kern w:val="0"/>
          <w:szCs w:val="32"/>
        </w:rPr>
        <w:t>（</w:t>
      </w:r>
      <w:r w:rsidR="007B1B13" w:rsidRPr="001B3116">
        <w:rPr>
          <w:rFonts w:hAnsi="標楷體" w:cs="細明體" w:hint="eastAsia"/>
          <w:spacing w:val="2"/>
          <w:kern w:val="0"/>
          <w:szCs w:val="32"/>
        </w:rPr>
        <w:t>已扣除重複登記大公托及小家園人數</w:t>
      </w:r>
      <w:r w:rsidR="00B418C5">
        <w:rPr>
          <w:rFonts w:hAnsi="標楷體" w:cs="細明體" w:hint="eastAsia"/>
          <w:spacing w:val="2"/>
          <w:kern w:val="0"/>
          <w:szCs w:val="32"/>
        </w:rPr>
        <w:t>）</w:t>
      </w:r>
      <w:r w:rsidR="007B1B13" w:rsidRPr="001B3116">
        <w:rPr>
          <w:rFonts w:hAnsi="標楷體" w:cs="細明體" w:hint="eastAsia"/>
          <w:spacing w:val="2"/>
          <w:kern w:val="0"/>
          <w:szCs w:val="32"/>
        </w:rPr>
        <w:t>，</w:t>
      </w:r>
      <w:r w:rsidR="007B1B13" w:rsidRPr="00B418C5">
        <w:rPr>
          <w:rFonts w:hAnsi="標楷體" w:cs="細明體" w:hint="eastAsia"/>
          <w:kern w:val="0"/>
          <w:szCs w:val="32"/>
        </w:rPr>
        <w:t>為核定收托人數（1,800人）之2倍；又該局雖已規劃113至118年間於信義區等10個行政區，再建置</w:t>
      </w:r>
      <w:proofErr w:type="gramStart"/>
      <w:r w:rsidR="007B1B13" w:rsidRPr="00B418C5">
        <w:rPr>
          <w:rFonts w:hAnsi="標楷體" w:cs="細明體" w:hint="eastAsia"/>
          <w:kern w:val="0"/>
          <w:szCs w:val="32"/>
        </w:rPr>
        <w:t>公共化托嬰</w:t>
      </w:r>
      <w:proofErr w:type="gramEnd"/>
      <w:r w:rsidR="007B1B13" w:rsidRPr="00B418C5">
        <w:rPr>
          <w:rFonts w:hAnsi="標楷體" w:cs="細明體" w:hint="eastAsia"/>
          <w:kern w:val="0"/>
          <w:szCs w:val="32"/>
        </w:rPr>
        <w:t>機構共26家，預計可增加收托人數共724人，惟與現在登記候補人數相較，差距仍遠，尚無法滿足民眾殷切需求。復查截至113年8月底止，臺北市</w:t>
      </w:r>
      <w:proofErr w:type="gramStart"/>
      <w:r w:rsidR="007B1B13" w:rsidRPr="00B418C5">
        <w:rPr>
          <w:rFonts w:hAnsi="標楷體" w:cs="細明體" w:hint="eastAsia"/>
          <w:kern w:val="0"/>
          <w:szCs w:val="32"/>
        </w:rPr>
        <w:t>準</w:t>
      </w:r>
      <w:proofErr w:type="gramEnd"/>
      <w:r w:rsidR="007B1B13" w:rsidRPr="00B418C5">
        <w:rPr>
          <w:rFonts w:hAnsi="標楷體" w:cs="細明體" w:hint="eastAsia"/>
          <w:kern w:val="0"/>
          <w:szCs w:val="32"/>
        </w:rPr>
        <w:t>公共托育供給量雖已擴充至4,741人，較</w:t>
      </w:r>
      <w:proofErr w:type="gramStart"/>
      <w:r w:rsidR="007B1B13" w:rsidRPr="00B418C5">
        <w:rPr>
          <w:rFonts w:hAnsi="標楷體" w:cs="細明體" w:hint="eastAsia"/>
          <w:kern w:val="0"/>
          <w:szCs w:val="32"/>
        </w:rPr>
        <w:t>110</w:t>
      </w:r>
      <w:proofErr w:type="gramEnd"/>
      <w:r w:rsidR="007B1B13" w:rsidRPr="00B418C5">
        <w:rPr>
          <w:rFonts w:hAnsi="標楷體" w:cs="細明體" w:hint="eastAsia"/>
          <w:kern w:val="0"/>
          <w:szCs w:val="32"/>
        </w:rPr>
        <w:t>年度之3,661人成長近</w:t>
      </w:r>
      <w:proofErr w:type="gramStart"/>
      <w:r w:rsidR="007B1B13" w:rsidRPr="00B418C5">
        <w:rPr>
          <w:rFonts w:hAnsi="標楷體" w:cs="細明體" w:hint="eastAsia"/>
          <w:kern w:val="0"/>
          <w:szCs w:val="32"/>
        </w:rPr>
        <w:t>3成</w:t>
      </w:r>
      <w:proofErr w:type="gramEnd"/>
      <w:r w:rsidR="007B1B13" w:rsidRPr="00B418C5">
        <w:rPr>
          <w:rFonts w:hAnsi="標楷體" w:cs="細明體" w:hint="eastAsia"/>
          <w:kern w:val="0"/>
          <w:szCs w:val="32"/>
        </w:rPr>
        <w:t>，惟實際收托人數及</w:t>
      </w:r>
      <w:proofErr w:type="gramStart"/>
      <w:r w:rsidR="007B1B13" w:rsidRPr="00B418C5">
        <w:rPr>
          <w:rFonts w:hAnsi="標楷體" w:cs="細明體" w:hint="eastAsia"/>
          <w:kern w:val="0"/>
          <w:szCs w:val="32"/>
        </w:rPr>
        <w:t>收托率</w:t>
      </w:r>
      <w:proofErr w:type="gramEnd"/>
      <w:r w:rsidR="007B1B13" w:rsidRPr="00B418C5">
        <w:rPr>
          <w:rFonts w:hAnsi="標楷體" w:cs="細明體" w:hint="eastAsia"/>
          <w:kern w:val="0"/>
          <w:szCs w:val="32"/>
        </w:rPr>
        <w:t>，僅分別為3,508人及73.99％，且較</w:t>
      </w:r>
      <w:proofErr w:type="gramStart"/>
      <w:r w:rsidR="007B1B13" w:rsidRPr="00B418C5">
        <w:rPr>
          <w:rFonts w:hAnsi="標楷體" w:cs="細明體" w:hint="eastAsia"/>
          <w:kern w:val="0"/>
          <w:szCs w:val="32"/>
        </w:rPr>
        <w:t>112</w:t>
      </w:r>
      <w:proofErr w:type="gramEnd"/>
      <w:r w:rsidR="007B1B13" w:rsidRPr="00B418C5">
        <w:rPr>
          <w:rFonts w:hAnsi="標楷體" w:cs="細明體" w:hint="eastAsia"/>
          <w:kern w:val="0"/>
          <w:szCs w:val="32"/>
        </w:rPr>
        <w:t>年度實際</w:t>
      </w:r>
      <w:r w:rsidR="00B418C5" w:rsidRPr="00B418C5">
        <w:rPr>
          <w:rFonts w:hAnsi="標楷體" w:cs="細明體" w:hint="eastAsia"/>
          <w:kern w:val="0"/>
          <w:szCs w:val="32"/>
        </w:rPr>
        <w:t>收</w:t>
      </w:r>
      <w:r w:rsidR="007B1B13" w:rsidRPr="00B418C5">
        <w:rPr>
          <w:rFonts w:hAnsi="標楷體" w:cs="細明體" w:hint="eastAsia"/>
          <w:kern w:val="0"/>
          <w:szCs w:val="32"/>
        </w:rPr>
        <w:t>托人數及</w:t>
      </w:r>
      <w:proofErr w:type="gramStart"/>
      <w:r w:rsidR="007B1B13" w:rsidRPr="00B418C5">
        <w:rPr>
          <w:rFonts w:hAnsi="標楷體" w:cs="細明體" w:hint="eastAsia"/>
          <w:kern w:val="0"/>
          <w:szCs w:val="32"/>
        </w:rPr>
        <w:t>收托率減少</w:t>
      </w:r>
      <w:proofErr w:type="gramEnd"/>
      <w:r w:rsidR="007B1B13" w:rsidRPr="00B418C5">
        <w:rPr>
          <w:rFonts w:hAnsi="標楷體" w:cs="細明體" w:hint="eastAsia"/>
          <w:kern w:val="0"/>
          <w:szCs w:val="32"/>
        </w:rPr>
        <w:t>215人及9.08個百分點（表1）等情事，經函請檢討</w:t>
      </w:r>
      <w:proofErr w:type="gramStart"/>
      <w:r w:rsidR="007B1B13" w:rsidRPr="00B418C5">
        <w:rPr>
          <w:rFonts w:hAnsi="標楷體" w:cs="細明體" w:hint="eastAsia"/>
          <w:kern w:val="0"/>
          <w:szCs w:val="32"/>
        </w:rPr>
        <w:t>研</w:t>
      </w:r>
      <w:proofErr w:type="gramEnd"/>
      <w:r w:rsidR="007B1B13" w:rsidRPr="00B418C5">
        <w:rPr>
          <w:rFonts w:hAnsi="標楷體" w:cs="細明體" w:hint="eastAsia"/>
          <w:kern w:val="0"/>
          <w:szCs w:val="32"/>
        </w:rPr>
        <w:t>謀改善，以減輕家長家</w:t>
      </w:r>
      <w:proofErr w:type="gramStart"/>
      <w:r w:rsidR="007B1B13" w:rsidRPr="00B418C5">
        <w:rPr>
          <w:rFonts w:hAnsi="標楷體" w:cs="細明體" w:hint="eastAsia"/>
          <w:kern w:val="0"/>
          <w:szCs w:val="32"/>
        </w:rPr>
        <w:t>外送托之</w:t>
      </w:r>
      <w:proofErr w:type="gramEnd"/>
      <w:r w:rsidR="007B1B13" w:rsidRPr="00B418C5">
        <w:rPr>
          <w:rFonts w:hAnsi="標楷體" w:cs="細明體" w:hint="eastAsia"/>
          <w:kern w:val="0"/>
          <w:szCs w:val="32"/>
        </w:rPr>
        <w:t>經濟負擔，</w:t>
      </w:r>
      <w:r w:rsidR="007B1B13" w:rsidRPr="00B418C5">
        <w:rPr>
          <w:rFonts w:hAnsi="標楷體" w:cs="細明體" w:hint="eastAsia"/>
          <w:spacing w:val="2"/>
          <w:kern w:val="0"/>
          <w:szCs w:val="32"/>
        </w:rPr>
        <w:t>並確保托育服務品質。據復：將持續盤點各類市有餘</w:t>
      </w:r>
      <w:proofErr w:type="gramStart"/>
      <w:r w:rsidR="007B1B13" w:rsidRPr="00B418C5">
        <w:rPr>
          <w:rFonts w:hAnsi="標楷體" w:cs="細明體" w:hint="eastAsia"/>
          <w:spacing w:val="2"/>
          <w:kern w:val="0"/>
          <w:szCs w:val="32"/>
        </w:rPr>
        <w:t>裕</w:t>
      </w:r>
      <w:proofErr w:type="gramEnd"/>
      <w:r w:rsidR="007B1B13" w:rsidRPr="00B418C5">
        <w:rPr>
          <w:rFonts w:hAnsi="標楷體" w:cs="細明體" w:hint="eastAsia"/>
          <w:spacing w:val="2"/>
          <w:kern w:val="0"/>
          <w:szCs w:val="32"/>
        </w:rPr>
        <w:t>空間，以爭取設置公辦民營托嬰機構，</w:t>
      </w:r>
    </w:p>
    <w:p w14:paraId="542BCBBC" w14:textId="7FE5A0A4" w:rsidR="007B1B13" w:rsidRDefault="00F01D09" w:rsidP="00F01D09">
      <w:pPr>
        <w:pStyle w:val="a7"/>
        <w:spacing w:before="0" w:after="0" w:line="450" w:lineRule="exact"/>
        <w:ind w:firstLineChars="0" w:firstLine="0"/>
        <w:rPr>
          <w:rFonts w:hAnsi="標楷體" w:cs="細明體"/>
          <w:kern w:val="0"/>
          <w:szCs w:val="32"/>
        </w:rPr>
      </w:pPr>
      <w:r>
        <w:rPr>
          <w:rFonts w:hAnsi="標楷體" w:cs="細明體" w:hint="eastAsia"/>
          <w:kern w:val="0"/>
          <w:szCs w:val="32"/>
        </w:rPr>
        <w:t>回應家長</w:t>
      </w:r>
      <w:proofErr w:type="gramStart"/>
      <w:r>
        <w:rPr>
          <w:rFonts w:hAnsi="標楷體" w:cs="細明體" w:hint="eastAsia"/>
          <w:kern w:val="0"/>
          <w:szCs w:val="32"/>
        </w:rPr>
        <w:t>對公</w:t>
      </w:r>
      <w:r w:rsidR="007B1B13">
        <w:rPr>
          <w:rFonts w:hAnsi="標楷體" w:cs="細明體" w:hint="eastAsia"/>
          <w:kern w:val="0"/>
          <w:szCs w:val="32"/>
        </w:rPr>
        <w:t>托需求</w:t>
      </w:r>
      <w:proofErr w:type="gramEnd"/>
      <w:r w:rsidR="007B1B13">
        <w:rPr>
          <w:rFonts w:hAnsi="標楷體" w:cs="細明體" w:hint="eastAsia"/>
          <w:kern w:val="0"/>
          <w:szCs w:val="32"/>
        </w:rPr>
        <w:t>；另將持續推動</w:t>
      </w:r>
      <w:proofErr w:type="gramStart"/>
      <w:r w:rsidR="007B1B13">
        <w:rPr>
          <w:rFonts w:hAnsi="標楷體" w:cs="細明體" w:hint="eastAsia"/>
          <w:kern w:val="0"/>
          <w:szCs w:val="32"/>
        </w:rPr>
        <w:t>準</w:t>
      </w:r>
      <w:proofErr w:type="gramEnd"/>
      <w:r w:rsidR="007B1B13">
        <w:rPr>
          <w:rFonts w:hAnsi="標楷體" w:cs="細明體" w:hint="eastAsia"/>
          <w:kern w:val="0"/>
          <w:szCs w:val="32"/>
        </w:rPr>
        <w:t>公共托育服務，透過</w:t>
      </w:r>
      <w:proofErr w:type="gramStart"/>
      <w:r w:rsidR="007B1B13">
        <w:rPr>
          <w:rFonts w:hAnsi="標楷體" w:cs="細明體" w:hint="eastAsia"/>
          <w:kern w:val="0"/>
          <w:szCs w:val="32"/>
        </w:rPr>
        <w:t>平價凍漲機制</w:t>
      </w:r>
      <w:proofErr w:type="gramEnd"/>
      <w:r w:rsidR="007B1B13">
        <w:rPr>
          <w:rFonts w:hAnsi="標楷體" w:cs="細明體" w:hint="eastAsia"/>
          <w:kern w:val="0"/>
          <w:szCs w:val="32"/>
        </w:rPr>
        <w:t>，搭配托育補助，縮減與</w:t>
      </w:r>
      <w:proofErr w:type="gramStart"/>
      <w:r w:rsidR="007B1B13">
        <w:rPr>
          <w:rFonts w:hAnsi="標楷體" w:cs="細明體" w:hint="eastAsia"/>
          <w:kern w:val="0"/>
          <w:szCs w:val="32"/>
        </w:rPr>
        <w:t>公共化托嬰</w:t>
      </w:r>
      <w:proofErr w:type="gramEnd"/>
      <w:r w:rsidR="007B1B13">
        <w:rPr>
          <w:rFonts w:hAnsi="標楷體" w:cs="細明體" w:hint="eastAsia"/>
          <w:kern w:val="0"/>
          <w:szCs w:val="32"/>
        </w:rPr>
        <w:t>負擔差距，並透過評鑑考核機制及獎勵措施，持續精進</w:t>
      </w:r>
      <w:proofErr w:type="gramStart"/>
      <w:r w:rsidR="007B1B13">
        <w:rPr>
          <w:rFonts w:hAnsi="標楷體" w:cs="細明體" w:hint="eastAsia"/>
          <w:kern w:val="0"/>
          <w:szCs w:val="32"/>
        </w:rPr>
        <w:t>準</w:t>
      </w:r>
      <w:proofErr w:type="gramEnd"/>
      <w:r w:rsidR="007B1B13">
        <w:rPr>
          <w:rFonts w:hAnsi="標楷體" w:cs="細明體" w:hint="eastAsia"/>
          <w:kern w:val="0"/>
          <w:szCs w:val="32"/>
        </w:rPr>
        <w:t>公共托育服務品質。</w:t>
      </w:r>
    </w:p>
    <w:p w14:paraId="2F33C55D" w14:textId="77777777" w:rsidR="007B1B13" w:rsidRDefault="007B1B13" w:rsidP="00F67ECA">
      <w:pPr>
        <w:pStyle w:val="a7"/>
        <w:spacing w:before="0" w:after="0" w:line="440" w:lineRule="exact"/>
        <w:ind w:firstLine="480"/>
        <w:rPr>
          <w:rFonts w:hAnsi="標楷體" w:cs="細明體"/>
          <w:kern w:val="0"/>
          <w:szCs w:val="32"/>
        </w:rPr>
      </w:pPr>
      <w:r>
        <w:rPr>
          <w:rFonts w:hAnsi="標楷體" w:cs="細明體" w:hint="eastAsia"/>
          <w:b/>
          <w:bCs/>
          <w:kern w:val="0"/>
          <w:szCs w:val="32"/>
        </w:rPr>
        <w:lastRenderedPageBreak/>
        <w:t>2.配合中央推動</w:t>
      </w:r>
      <w:proofErr w:type="gramStart"/>
      <w:r>
        <w:rPr>
          <w:rFonts w:hAnsi="標楷體" w:cs="細明體" w:hint="eastAsia"/>
          <w:b/>
          <w:bCs/>
          <w:kern w:val="0"/>
          <w:szCs w:val="32"/>
        </w:rPr>
        <w:t>準</w:t>
      </w:r>
      <w:proofErr w:type="gramEnd"/>
      <w:r>
        <w:rPr>
          <w:rFonts w:hAnsi="標楷體" w:cs="細明體" w:hint="eastAsia"/>
          <w:b/>
          <w:bCs/>
          <w:kern w:val="0"/>
          <w:szCs w:val="32"/>
        </w:rPr>
        <w:t>公共托嬰中心照顧比優化政策，以確保托育服務品質，惟有近</w:t>
      </w:r>
      <w:proofErr w:type="gramStart"/>
      <w:r>
        <w:rPr>
          <w:rFonts w:hAnsi="標楷體" w:cs="細明體" w:hint="eastAsia"/>
          <w:b/>
          <w:bCs/>
          <w:kern w:val="0"/>
          <w:szCs w:val="32"/>
        </w:rPr>
        <w:t>6成</w:t>
      </w:r>
      <w:proofErr w:type="gramEnd"/>
      <w:r>
        <w:rPr>
          <w:rFonts w:hAnsi="標楷體" w:cs="細明體" w:hint="eastAsia"/>
          <w:b/>
          <w:bCs/>
          <w:kern w:val="0"/>
          <w:szCs w:val="32"/>
        </w:rPr>
        <w:t>申請補助</w:t>
      </w:r>
      <w:proofErr w:type="gramStart"/>
      <w:r>
        <w:rPr>
          <w:rFonts w:hAnsi="標楷體" w:cs="細明體" w:hint="eastAsia"/>
          <w:b/>
          <w:bCs/>
          <w:kern w:val="0"/>
          <w:szCs w:val="32"/>
        </w:rPr>
        <w:t>者因托育</w:t>
      </w:r>
      <w:proofErr w:type="gramEnd"/>
      <w:r>
        <w:rPr>
          <w:rFonts w:hAnsi="標楷體" w:cs="細明體" w:hint="eastAsia"/>
          <w:b/>
          <w:bCs/>
          <w:kern w:val="0"/>
          <w:szCs w:val="32"/>
        </w:rPr>
        <w:t>人員流動，致未足額聘用而中斷獎助資格：</w:t>
      </w:r>
      <w:r>
        <w:rPr>
          <w:rFonts w:hAnsi="標楷體" w:cs="細明體" w:hint="eastAsia"/>
          <w:kern w:val="0"/>
          <w:szCs w:val="32"/>
        </w:rPr>
        <w:t>社會局為配合中央自110年8月起推動公共化及</w:t>
      </w:r>
      <w:proofErr w:type="gramStart"/>
      <w:r>
        <w:rPr>
          <w:rFonts w:hAnsi="標楷體" w:cs="細明體" w:hint="eastAsia"/>
          <w:kern w:val="0"/>
          <w:szCs w:val="32"/>
        </w:rPr>
        <w:t>準</w:t>
      </w:r>
      <w:proofErr w:type="gramEnd"/>
      <w:r>
        <w:rPr>
          <w:rFonts w:hAnsi="標楷體" w:cs="細明體" w:hint="eastAsia"/>
          <w:kern w:val="0"/>
          <w:szCs w:val="32"/>
        </w:rPr>
        <w:t>公共托嬰中心照顧比優化政策需要，110至113年度向中央申請補助及自籌預算共2億3,038萬元，依衛生福利部修訂之「直轄市、縣（市）政府辦理未滿二歲兒童托育公共化及</w:t>
      </w:r>
      <w:proofErr w:type="gramStart"/>
      <w:r>
        <w:rPr>
          <w:rFonts w:hAnsi="標楷體" w:cs="細明體" w:hint="eastAsia"/>
          <w:kern w:val="0"/>
          <w:szCs w:val="32"/>
        </w:rPr>
        <w:t>準</w:t>
      </w:r>
      <w:proofErr w:type="gramEnd"/>
      <w:r>
        <w:rPr>
          <w:rFonts w:hAnsi="標楷體" w:cs="細明體" w:hint="eastAsia"/>
          <w:kern w:val="0"/>
          <w:szCs w:val="32"/>
        </w:rPr>
        <w:t>公共服務作業要點」第22點及第23點規定，按季補助轄內公共化及</w:t>
      </w:r>
      <w:proofErr w:type="gramStart"/>
      <w:r>
        <w:rPr>
          <w:rFonts w:hAnsi="標楷體" w:cs="細明體" w:hint="eastAsia"/>
          <w:kern w:val="0"/>
          <w:szCs w:val="32"/>
        </w:rPr>
        <w:t>準</w:t>
      </w:r>
      <w:proofErr w:type="gramEnd"/>
      <w:r>
        <w:rPr>
          <w:rFonts w:hAnsi="標楷體" w:cs="細明體" w:hint="eastAsia"/>
          <w:kern w:val="0"/>
          <w:szCs w:val="32"/>
        </w:rPr>
        <w:t>公共托嬰中心於合作契約存續</w:t>
      </w:r>
      <w:proofErr w:type="gramStart"/>
      <w:r>
        <w:rPr>
          <w:rFonts w:hAnsi="標楷體" w:cs="細明體" w:hint="eastAsia"/>
          <w:kern w:val="0"/>
          <w:szCs w:val="32"/>
        </w:rPr>
        <w:t>期間，</w:t>
      </w:r>
      <w:proofErr w:type="gramEnd"/>
      <w:r>
        <w:rPr>
          <w:rFonts w:hAnsi="標楷體" w:cs="細明體" w:hint="eastAsia"/>
          <w:kern w:val="0"/>
          <w:szCs w:val="32"/>
        </w:rPr>
        <w:t>為將照顧比由法定1：5調降為1：4所增聘人力之相關成本；每人每年最高獎助50萬元，期提升幼兒照顧品質。執行結果，臺北市</w:t>
      </w:r>
      <w:proofErr w:type="gramStart"/>
      <w:r>
        <w:rPr>
          <w:rFonts w:hAnsi="標楷體" w:cs="細明體" w:hint="eastAsia"/>
          <w:kern w:val="0"/>
          <w:szCs w:val="32"/>
        </w:rPr>
        <w:t>準</w:t>
      </w:r>
      <w:proofErr w:type="gramEnd"/>
      <w:r>
        <w:rPr>
          <w:rFonts w:hAnsi="標楷體" w:cs="細明體" w:hint="eastAsia"/>
          <w:kern w:val="0"/>
          <w:szCs w:val="32"/>
        </w:rPr>
        <w:t>公共托嬰中心每季符合申請照顧比</w:t>
      </w:r>
      <w:proofErr w:type="gramStart"/>
      <w:r>
        <w:rPr>
          <w:rFonts w:hAnsi="標楷體" w:cs="細明體" w:hint="eastAsia"/>
          <w:kern w:val="0"/>
          <w:szCs w:val="32"/>
        </w:rPr>
        <w:t>優化獎</w:t>
      </w:r>
      <w:proofErr w:type="gramEnd"/>
      <w:r>
        <w:rPr>
          <w:rFonts w:hAnsi="標楷體" w:cs="細明體" w:hint="eastAsia"/>
          <w:kern w:val="0"/>
          <w:szCs w:val="32"/>
        </w:rPr>
        <w:t>助資格之家數，已由110年第3季之42家逐年增加至113年第1季之95家，成長1倍，已有成效，惟截至113年8月底止，臺北市148家</w:t>
      </w:r>
      <w:proofErr w:type="gramStart"/>
      <w:r>
        <w:rPr>
          <w:rFonts w:hAnsi="標楷體" w:cs="細明體" w:hint="eastAsia"/>
          <w:kern w:val="0"/>
          <w:szCs w:val="32"/>
        </w:rPr>
        <w:t>準</w:t>
      </w:r>
      <w:proofErr w:type="gramEnd"/>
      <w:r>
        <w:rPr>
          <w:rFonts w:hAnsi="標楷體" w:cs="細明體" w:hint="eastAsia"/>
          <w:kern w:val="0"/>
          <w:szCs w:val="32"/>
        </w:rPr>
        <w:t>公共托嬰中心曾於前開期間申請照顧比優化補助經費者計有110家（74.32％），其中近一年度（112年第2季至113年第1季）每季皆符合獎助資格者計有45家，僅占申請補助家數110家之40.91％，其餘65家（59.09％）則因部分期間未依規定足額聘用托育人員，致喪失獎助資格，從而</w:t>
      </w:r>
      <w:proofErr w:type="gramStart"/>
      <w:r>
        <w:rPr>
          <w:rFonts w:hAnsi="標楷體" w:cs="細明體" w:hint="eastAsia"/>
          <w:kern w:val="0"/>
          <w:szCs w:val="32"/>
        </w:rPr>
        <w:t>中斷或迄未</w:t>
      </w:r>
      <w:proofErr w:type="gramEnd"/>
      <w:r>
        <w:rPr>
          <w:rFonts w:hAnsi="標楷體" w:cs="細明體" w:hint="eastAsia"/>
          <w:kern w:val="0"/>
          <w:szCs w:val="32"/>
        </w:rPr>
        <w:t>再申請補助款，經函請督促檢討癥結，並輔導改善，以落實政策美意。據復：為鼓勵上開機構托育人員留任，該局已另自籌經費提供久任獎金及部分員工福利補助，並於</w:t>
      </w:r>
      <w:proofErr w:type="gramStart"/>
      <w:r>
        <w:rPr>
          <w:rFonts w:hAnsi="標楷體" w:cs="細明體" w:hint="eastAsia"/>
          <w:kern w:val="0"/>
          <w:szCs w:val="32"/>
        </w:rPr>
        <w:t>113</w:t>
      </w:r>
      <w:proofErr w:type="gramEnd"/>
      <w:r>
        <w:rPr>
          <w:rFonts w:hAnsi="標楷體" w:cs="細明體" w:hint="eastAsia"/>
          <w:kern w:val="0"/>
          <w:szCs w:val="32"/>
        </w:rPr>
        <w:t>年度下半年舉辦優良托育人員表揚選拔，期協助托育機構留任托育人才。</w:t>
      </w:r>
    </w:p>
    <w:p w14:paraId="7AD4F001" w14:textId="08B60CE8" w:rsidR="00554A80" w:rsidRDefault="007B1B13" w:rsidP="00E37C06">
      <w:pPr>
        <w:pStyle w:val="a7"/>
        <w:spacing w:beforeLines="10" w:before="36" w:after="0"/>
        <w:ind w:firstLine="480"/>
        <w:rPr>
          <w:rFonts w:hAnsi="標楷體" w:cs="細明體"/>
          <w:kern w:val="0"/>
          <w:szCs w:val="32"/>
        </w:rPr>
      </w:pPr>
      <w:r>
        <w:rPr>
          <w:rFonts w:hAnsi="標楷體" w:cs="細明體" w:hint="eastAsia"/>
          <w:b/>
          <w:bCs/>
          <w:kern w:val="0"/>
          <w:szCs w:val="32"/>
        </w:rPr>
        <w:t>3.委託經營臺北市居家托育服務中心，完善居家托育制度，</w:t>
      </w:r>
      <w:proofErr w:type="gramStart"/>
      <w:r>
        <w:rPr>
          <w:rFonts w:hAnsi="標楷體" w:cs="細明體" w:hint="eastAsia"/>
          <w:b/>
          <w:bCs/>
          <w:kern w:val="0"/>
          <w:szCs w:val="32"/>
        </w:rPr>
        <w:t>惟核有</w:t>
      </w:r>
      <w:proofErr w:type="gramEnd"/>
      <w:r>
        <w:rPr>
          <w:rFonts w:hAnsi="標楷體" w:cs="細明體" w:hint="eastAsia"/>
          <w:b/>
          <w:bCs/>
          <w:kern w:val="0"/>
          <w:szCs w:val="32"/>
        </w:rPr>
        <w:t>逾半數中心訪視輔導人力未補實，或整體</w:t>
      </w:r>
      <w:proofErr w:type="gramStart"/>
      <w:r>
        <w:rPr>
          <w:rFonts w:hAnsi="標楷體" w:cs="細明體" w:hint="eastAsia"/>
          <w:b/>
          <w:bCs/>
          <w:kern w:val="0"/>
          <w:szCs w:val="32"/>
        </w:rPr>
        <w:t>托育媒合成</w:t>
      </w:r>
      <w:proofErr w:type="gramEnd"/>
      <w:r>
        <w:rPr>
          <w:rFonts w:hAnsi="標楷體" w:cs="細明體" w:hint="eastAsia"/>
          <w:b/>
          <w:bCs/>
          <w:kern w:val="0"/>
          <w:szCs w:val="32"/>
        </w:rPr>
        <w:t>功率低於</w:t>
      </w:r>
      <w:proofErr w:type="gramStart"/>
      <w:r>
        <w:rPr>
          <w:rFonts w:hAnsi="標楷體" w:cs="細明體" w:hint="eastAsia"/>
          <w:b/>
          <w:bCs/>
          <w:kern w:val="0"/>
          <w:szCs w:val="32"/>
        </w:rPr>
        <w:t>3成</w:t>
      </w:r>
      <w:proofErr w:type="gramEnd"/>
      <w:r>
        <w:rPr>
          <w:rFonts w:hAnsi="標楷體" w:cs="細明體" w:hint="eastAsia"/>
          <w:b/>
          <w:bCs/>
          <w:kern w:val="0"/>
          <w:szCs w:val="32"/>
        </w:rPr>
        <w:t>，或對部分工作成果之計算內容未盡一致等情：</w:t>
      </w:r>
      <w:r>
        <w:rPr>
          <w:rFonts w:hAnsi="標楷體" w:cs="細明體" w:hint="eastAsia"/>
          <w:kern w:val="0"/>
          <w:szCs w:val="32"/>
        </w:rPr>
        <w:t>社會局依兒童及少年福利與權益保障法第26條第3項規定，於臺北市每一行政區成立1處居家托育服務中心（下稱居托中心），</w:t>
      </w:r>
      <w:proofErr w:type="gramStart"/>
      <w:r>
        <w:rPr>
          <w:rFonts w:hAnsi="標楷體" w:cs="細明體" w:hint="eastAsia"/>
          <w:kern w:val="0"/>
          <w:szCs w:val="32"/>
        </w:rPr>
        <w:t>113年度匡列預算</w:t>
      </w:r>
      <w:proofErr w:type="gramEnd"/>
      <w:r>
        <w:rPr>
          <w:rFonts w:hAnsi="標楷體" w:cs="細明體" w:hint="eastAsia"/>
          <w:kern w:val="0"/>
          <w:szCs w:val="32"/>
        </w:rPr>
        <w:t>9,157萬餘元，委託民間團體經營管理居托中心，辦理居家托育人員管理輔導，並提供有托育需求之家長諮詢及媒合服務。經查執行情形，核有：（1）該局</w:t>
      </w:r>
      <w:proofErr w:type="gramStart"/>
      <w:r>
        <w:rPr>
          <w:rFonts w:hAnsi="標楷體" w:cs="細明體" w:hint="eastAsia"/>
          <w:kern w:val="0"/>
          <w:szCs w:val="32"/>
        </w:rPr>
        <w:t>鑑</w:t>
      </w:r>
      <w:proofErr w:type="gramEnd"/>
      <w:r>
        <w:rPr>
          <w:rFonts w:hAnsi="標楷體" w:cs="細明體" w:hint="eastAsia"/>
          <w:kern w:val="0"/>
          <w:szCs w:val="32"/>
        </w:rPr>
        <w:t>於居托中心之訪視輔導員係專職辦理居家托育人員之登記、管理、輔導、監督與檢查等事項，協助政府把關托育品質，並提供家長親職支持服務，其工作內容繁雜，</w:t>
      </w:r>
      <w:proofErr w:type="gramStart"/>
      <w:r>
        <w:rPr>
          <w:rFonts w:hAnsi="標楷體" w:cs="細明體" w:hint="eastAsia"/>
          <w:kern w:val="0"/>
          <w:szCs w:val="32"/>
        </w:rPr>
        <w:t>爰</w:t>
      </w:r>
      <w:proofErr w:type="gramEnd"/>
      <w:r>
        <w:rPr>
          <w:rFonts w:hAnsi="標楷體" w:cs="細明體" w:hint="eastAsia"/>
          <w:kern w:val="0"/>
          <w:szCs w:val="32"/>
        </w:rPr>
        <w:t>於「委託辦理居家托育人員登記、管理及輔導服務」實施計畫規定，各居托中心應置專職訪視輔導員人數之標準。</w:t>
      </w:r>
      <w:proofErr w:type="gramStart"/>
      <w:r>
        <w:rPr>
          <w:rFonts w:hAnsi="標楷體" w:cs="細明體" w:hint="eastAsia"/>
          <w:kern w:val="0"/>
          <w:szCs w:val="32"/>
        </w:rPr>
        <w:t>惟查臺北市</w:t>
      </w:r>
      <w:proofErr w:type="gramEnd"/>
      <w:r>
        <w:rPr>
          <w:rFonts w:hAnsi="標楷體" w:cs="細明體" w:hint="eastAsia"/>
          <w:kern w:val="0"/>
          <w:szCs w:val="32"/>
        </w:rPr>
        <w:t>12區居托中心113年1至6月訪視輔導人力聘用情形，發現松山區等9處居托中心聘用輔導</w:t>
      </w:r>
      <w:proofErr w:type="gramStart"/>
      <w:r>
        <w:rPr>
          <w:rFonts w:hAnsi="標楷體" w:cs="細明體" w:hint="eastAsia"/>
          <w:kern w:val="0"/>
          <w:szCs w:val="32"/>
        </w:rPr>
        <w:t>訪視員人數</w:t>
      </w:r>
      <w:proofErr w:type="gramEnd"/>
      <w:r>
        <w:rPr>
          <w:rFonts w:hAnsi="標楷體" w:cs="細明體" w:hint="eastAsia"/>
          <w:kern w:val="0"/>
          <w:szCs w:val="32"/>
        </w:rPr>
        <w:t>，</w:t>
      </w:r>
      <w:proofErr w:type="gramStart"/>
      <w:r>
        <w:rPr>
          <w:rFonts w:hAnsi="標楷體" w:cs="細明體" w:hint="eastAsia"/>
          <w:kern w:val="0"/>
          <w:szCs w:val="32"/>
        </w:rPr>
        <w:t>均有較</w:t>
      </w:r>
      <w:proofErr w:type="gramEnd"/>
      <w:r>
        <w:rPr>
          <w:rFonts w:hAnsi="標楷體" w:cs="細明體" w:hint="eastAsia"/>
          <w:kern w:val="0"/>
          <w:szCs w:val="32"/>
        </w:rPr>
        <w:t>規定配置人數短缺1至2人，致每人平均負擔訪視人數超逾規定標準60人（表2），亟待積極檢討補足短缺之訪視輔導人力；（2）臺北市12區居托中心</w:t>
      </w:r>
      <w:proofErr w:type="gramStart"/>
      <w:r>
        <w:rPr>
          <w:rFonts w:hAnsi="標楷體" w:cs="細明體" w:hint="eastAsia"/>
          <w:kern w:val="0"/>
          <w:szCs w:val="32"/>
        </w:rPr>
        <w:t>112</w:t>
      </w:r>
      <w:proofErr w:type="gramEnd"/>
      <w:r>
        <w:rPr>
          <w:rFonts w:hAnsi="標楷體" w:cs="細明體" w:hint="eastAsia"/>
          <w:kern w:val="0"/>
          <w:szCs w:val="32"/>
        </w:rPr>
        <w:t>年度辦理</w:t>
      </w:r>
      <w:proofErr w:type="gramStart"/>
      <w:r>
        <w:rPr>
          <w:rFonts w:hAnsi="標楷體" w:cs="細明體" w:hint="eastAsia"/>
          <w:kern w:val="0"/>
          <w:szCs w:val="32"/>
        </w:rPr>
        <w:t>托育媒合</w:t>
      </w:r>
      <w:proofErr w:type="gramEnd"/>
      <w:r>
        <w:rPr>
          <w:rFonts w:hAnsi="標楷體" w:cs="細明體" w:hint="eastAsia"/>
          <w:kern w:val="0"/>
          <w:szCs w:val="32"/>
        </w:rPr>
        <w:t>服務結果，因未能提供適宜或鄰近社區之托育人員名單，</w:t>
      </w:r>
      <w:proofErr w:type="gramStart"/>
      <w:r>
        <w:rPr>
          <w:rFonts w:hAnsi="標楷體" w:cs="細明體" w:hint="eastAsia"/>
          <w:kern w:val="0"/>
          <w:szCs w:val="32"/>
        </w:rPr>
        <w:t>致媒合成</w:t>
      </w:r>
      <w:proofErr w:type="gramEnd"/>
      <w:r>
        <w:rPr>
          <w:rFonts w:hAnsi="標楷體" w:cs="細明體" w:hint="eastAsia"/>
          <w:kern w:val="0"/>
          <w:szCs w:val="32"/>
        </w:rPr>
        <w:t>功率約介於5.74％至50.76％</w:t>
      </w:r>
      <w:proofErr w:type="gramStart"/>
      <w:r>
        <w:rPr>
          <w:rFonts w:hAnsi="標楷體" w:cs="細明體" w:hint="eastAsia"/>
          <w:kern w:val="0"/>
          <w:szCs w:val="32"/>
        </w:rPr>
        <w:t>之間，</w:t>
      </w:r>
      <w:proofErr w:type="gramEnd"/>
      <w:r>
        <w:rPr>
          <w:rFonts w:hAnsi="標楷體" w:cs="細明體" w:hint="eastAsia"/>
          <w:kern w:val="0"/>
          <w:szCs w:val="32"/>
        </w:rPr>
        <w:t>整體平均</w:t>
      </w:r>
      <w:proofErr w:type="gramStart"/>
      <w:r>
        <w:rPr>
          <w:rFonts w:hAnsi="標楷體" w:cs="細明體" w:hint="eastAsia"/>
          <w:kern w:val="0"/>
          <w:szCs w:val="32"/>
        </w:rPr>
        <w:t>媒</w:t>
      </w:r>
      <w:proofErr w:type="gramEnd"/>
      <w:r>
        <w:rPr>
          <w:rFonts w:hAnsi="標楷體" w:cs="細明體" w:hint="eastAsia"/>
          <w:kern w:val="0"/>
          <w:szCs w:val="32"/>
        </w:rPr>
        <w:t>合成功率為28.43％，</w:t>
      </w:r>
      <w:proofErr w:type="gramStart"/>
      <w:r>
        <w:rPr>
          <w:rFonts w:hAnsi="標楷體" w:cs="細明體" w:hint="eastAsia"/>
          <w:kern w:val="0"/>
          <w:szCs w:val="32"/>
        </w:rPr>
        <w:t>成效欠彰</w:t>
      </w:r>
      <w:proofErr w:type="gramEnd"/>
      <w:r>
        <w:rPr>
          <w:rFonts w:hAnsi="標楷體" w:cs="細明體" w:hint="eastAsia"/>
          <w:kern w:val="0"/>
          <w:szCs w:val="32"/>
        </w:rPr>
        <w:t>；（3）依前開實施計畫</w:t>
      </w:r>
      <w:proofErr w:type="gramStart"/>
      <w:r>
        <w:rPr>
          <w:rFonts w:hAnsi="標楷體" w:cs="細明體" w:hint="eastAsia"/>
          <w:kern w:val="0"/>
          <w:szCs w:val="32"/>
        </w:rPr>
        <w:t>柒</w:t>
      </w:r>
      <w:proofErr w:type="gramEnd"/>
      <w:r>
        <w:rPr>
          <w:rFonts w:hAnsi="標楷體" w:cs="細明體" w:hint="eastAsia"/>
          <w:kern w:val="0"/>
          <w:szCs w:val="32"/>
        </w:rPr>
        <w:t>、三規定，居托中心對於登記托育人員之初次或收托1年以上者，每年至少應依</w:t>
      </w:r>
      <w:proofErr w:type="gramStart"/>
      <w:r>
        <w:rPr>
          <w:rFonts w:hAnsi="標楷體" w:cs="細明體" w:hint="eastAsia"/>
          <w:kern w:val="0"/>
          <w:szCs w:val="32"/>
        </w:rPr>
        <w:t>居家式托育</w:t>
      </w:r>
      <w:proofErr w:type="gramEnd"/>
      <w:r>
        <w:rPr>
          <w:rFonts w:hAnsi="標楷體" w:cs="細明體" w:hint="eastAsia"/>
          <w:kern w:val="0"/>
          <w:szCs w:val="32"/>
        </w:rPr>
        <w:t>服務提供者登記及管理辦法第18條規定各辦理4次及2次訪視；另對領取托育費用補助之親屬托育人員每年至少應進行1次訪視。惟經檢視各區居托中心</w:t>
      </w:r>
      <w:proofErr w:type="gramStart"/>
      <w:r>
        <w:rPr>
          <w:rFonts w:hAnsi="標楷體" w:cs="細明體" w:hint="eastAsia"/>
          <w:kern w:val="0"/>
          <w:szCs w:val="32"/>
        </w:rPr>
        <w:t>112</w:t>
      </w:r>
      <w:proofErr w:type="gramEnd"/>
      <w:r>
        <w:rPr>
          <w:rFonts w:hAnsi="標楷體" w:cs="細明體" w:hint="eastAsia"/>
          <w:kern w:val="0"/>
          <w:szCs w:val="32"/>
        </w:rPr>
        <w:t>年度工作成果報告</w:t>
      </w:r>
    </w:p>
    <w:p w14:paraId="702740FF" w14:textId="7FF7F797" w:rsidR="007B1B13" w:rsidRDefault="00323817" w:rsidP="00323817">
      <w:pPr>
        <w:pStyle w:val="a7"/>
        <w:spacing w:before="0" w:after="0" w:line="450" w:lineRule="exact"/>
        <w:ind w:firstLineChars="0" w:firstLine="0"/>
        <w:rPr>
          <w:rFonts w:hAnsi="標楷體"/>
          <w:b/>
          <w:sz w:val="28"/>
          <w:szCs w:val="28"/>
        </w:rPr>
      </w:pPr>
      <w:r>
        <w:rPr>
          <w:rFonts w:hint="eastAsia"/>
          <w:noProof/>
        </w:rPr>
        <w:lastRenderedPageBreak/>
        <mc:AlternateContent>
          <mc:Choice Requires="wps">
            <w:drawing>
              <wp:anchor distT="45720" distB="45720" distL="114300" distR="114300" simplePos="0" relativeHeight="251758592" behindDoc="1" locked="0" layoutInCell="1" allowOverlap="1" wp14:anchorId="6FF9B2F5" wp14:editId="7B710881">
                <wp:simplePos x="0" y="0"/>
                <wp:positionH relativeFrom="page">
                  <wp:posOffset>4000500</wp:posOffset>
                </wp:positionH>
                <wp:positionV relativeFrom="paragraph">
                  <wp:posOffset>118110</wp:posOffset>
                </wp:positionV>
                <wp:extent cx="2933700" cy="4067175"/>
                <wp:effectExtent l="0" t="0" r="0" b="9525"/>
                <wp:wrapTight wrapText="bothSides">
                  <wp:wrapPolygon edited="0">
                    <wp:start x="0" y="0"/>
                    <wp:lineTo x="0" y="21549"/>
                    <wp:lineTo x="21460" y="21549"/>
                    <wp:lineTo x="21460" y="0"/>
                    <wp:lineTo x="0" y="0"/>
                  </wp:wrapPolygon>
                </wp:wrapTight>
                <wp:docPr id="927419639" name="文字方塊 927419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4067175"/>
                        </a:xfrm>
                        <a:prstGeom prst="rect">
                          <a:avLst/>
                        </a:prstGeom>
                        <a:solidFill>
                          <a:srgbClr val="FFFFFF"/>
                        </a:solidFill>
                        <a:ln w="9525">
                          <a:noFill/>
                          <a:miter lim="800000"/>
                          <a:headEnd/>
                          <a:tailEnd/>
                        </a:ln>
                      </wps:spPr>
                      <wps:txbx>
                        <w:txbxContent>
                          <w:p w14:paraId="71CA21EA" w14:textId="77777777" w:rsidR="007B1B13" w:rsidRDefault="007B1B13" w:rsidP="007B1B13">
                            <w:pPr>
                              <w:spacing w:line="240" w:lineRule="exact"/>
                              <w:ind w:left="649" w:hangingChars="270" w:hanging="649"/>
                              <w:jc w:val="both"/>
                              <w:rPr>
                                <w:rFonts w:ascii="標楷體" w:eastAsia="標楷體" w:hAnsi="標楷體"/>
                                <w:b/>
                              </w:rPr>
                            </w:pPr>
                            <w:r>
                              <w:rPr>
                                <w:rFonts w:ascii="標楷體" w:eastAsia="標楷體" w:hAnsi="標楷體" w:hint="eastAsia"/>
                                <w:b/>
                              </w:rPr>
                              <w:t>表2　113年1至6月臺北市各居托中心</w:t>
                            </w:r>
                            <w:proofErr w:type="gramStart"/>
                            <w:r>
                              <w:rPr>
                                <w:rFonts w:ascii="標楷體" w:eastAsia="標楷體" w:hAnsi="標楷體" w:hint="eastAsia"/>
                                <w:b/>
                              </w:rPr>
                              <w:t>訪視員人力</w:t>
                            </w:r>
                            <w:proofErr w:type="gramEnd"/>
                            <w:r>
                              <w:rPr>
                                <w:rFonts w:ascii="標楷體" w:eastAsia="標楷體" w:hAnsi="標楷體" w:hint="eastAsia"/>
                                <w:b/>
                              </w:rPr>
                              <w:t>及工作負荷情形</w:t>
                            </w:r>
                          </w:p>
                          <w:p w14:paraId="72840FEE" w14:textId="77777777" w:rsidR="007B1B13" w:rsidRDefault="007B1B13" w:rsidP="007B1B13">
                            <w:pPr>
                              <w:spacing w:line="200" w:lineRule="exact"/>
                              <w:jc w:val="right"/>
                              <w:rPr>
                                <w:rFonts w:ascii="標楷體" w:eastAsia="標楷體" w:hAnsi="標楷體"/>
                                <w:sz w:val="20"/>
                                <w:szCs w:val="20"/>
                              </w:rPr>
                            </w:pPr>
                            <w:r>
                              <w:rPr>
                                <w:rFonts w:ascii="標楷體" w:eastAsia="標楷體" w:hAnsi="標楷體" w:hint="eastAsia"/>
                                <w:sz w:val="20"/>
                                <w:szCs w:val="20"/>
                              </w:rPr>
                              <w:t>單位：人、％</w:t>
                            </w:r>
                          </w:p>
                          <w:tbl>
                            <w:tblPr>
                              <w:tblW w:w="4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9"/>
                              <w:gridCol w:w="623"/>
                              <w:gridCol w:w="624"/>
                              <w:gridCol w:w="624"/>
                              <w:gridCol w:w="624"/>
                              <w:gridCol w:w="454"/>
                              <w:gridCol w:w="737"/>
                            </w:tblGrid>
                            <w:tr w:rsidR="007B1B13" w14:paraId="1B6803BD" w14:textId="77777777">
                              <w:trPr>
                                <w:trHeight w:val="277"/>
                              </w:trPr>
                              <w:tc>
                                <w:tcPr>
                                  <w:tcW w:w="680" w:type="dxa"/>
                                  <w:vMerge w:val="restart"/>
                                  <w:tcBorders>
                                    <w:top w:val="single" w:sz="4" w:space="0" w:color="auto"/>
                                    <w:left w:val="single" w:sz="4" w:space="0" w:color="auto"/>
                                    <w:bottom w:val="single" w:sz="4" w:space="0" w:color="auto"/>
                                    <w:right w:val="single" w:sz="4" w:space="0" w:color="auto"/>
                                  </w:tcBorders>
                                  <w:noWrap/>
                                  <w:vAlign w:val="center"/>
                                  <w:hideMark/>
                                </w:tcPr>
                                <w:p w14:paraId="4F641C77"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行政區</w:t>
                                  </w:r>
                                </w:p>
                              </w:tc>
                              <w:tc>
                                <w:tcPr>
                                  <w:tcW w:w="624" w:type="dxa"/>
                                  <w:vMerge w:val="restart"/>
                                  <w:tcBorders>
                                    <w:top w:val="single" w:sz="4" w:space="0" w:color="auto"/>
                                    <w:left w:val="single" w:sz="4" w:space="0" w:color="auto"/>
                                    <w:bottom w:val="single" w:sz="4" w:space="0" w:color="auto"/>
                                    <w:right w:val="single" w:sz="4" w:space="0" w:color="auto"/>
                                  </w:tcBorders>
                                  <w:vAlign w:val="center"/>
                                  <w:hideMark/>
                                </w:tcPr>
                                <w:p w14:paraId="4EA4D693" w14:textId="77777777" w:rsidR="007B1B13" w:rsidRDefault="007B1B13">
                                  <w:pPr>
                                    <w:widowControl/>
                                    <w:spacing w:line="200" w:lineRule="exact"/>
                                    <w:ind w:leftChars="5" w:left="12" w:rightChars="5" w:right="12"/>
                                    <w:jc w:val="distribute"/>
                                    <w:rPr>
                                      <w:rFonts w:ascii="標楷體" w:eastAsia="標楷體" w:hAnsi="標楷體" w:cs="新細明體"/>
                                      <w:color w:val="000000"/>
                                      <w:spacing w:val="-20"/>
                                      <w:kern w:val="0"/>
                                      <w:sz w:val="20"/>
                                      <w:szCs w:val="20"/>
                                    </w:rPr>
                                  </w:pPr>
                                  <w:r>
                                    <w:rPr>
                                      <w:rFonts w:ascii="標楷體" w:eastAsia="標楷體" w:hAnsi="標楷體" w:cs="新細明體" w:hint="eastAsia"/>
                                      <w:color w:val="000000"/>
                                      <w:spacing w:val="-20"/>
                                      <w:kern w:val="0"/>
                                      <w:sz w:val="20"/>
                                      <w:szCs w:val="20"/>
                                    </w:rPr>
                                    <w:t>登記托育人員113年1至6月平均數</w:t>
                                  </w:r>
                                </w:p>
                              </w:tc>
                              <w:tc>
                                <w:tcPr>
                                  <w:tcW w:w="624" w:type="dxa"/>
                                  <w:vMerge w:val="restart"/>
                                  <w:tcBorders>
                                    <w:top w:val="single" w:sz="4" w:space="0" w:color="auto"/>
                                    <w:left w:val="single" w:sz="4" w:space="0" w:color="auto"/>
                                    <w:bottom w:val="single" w:sz="4" w:space="0" w:color="auto"/>
                                    <w:right w:val="single" w:sz="4" w:space="0" w:color="auto"/>
                                  </w:tcBorders>
                                  <w:vAlign w:val="center"/>
                                  <w:hideMark/>
                                </w:tcPr>
                                <w:p w14:paraId="24C89AF9" w14:textId="0CC4243F" w:rsidR="007B1B13" w:rsidRDefault="007B1B13">
                                  <w:pPr>
                                    <w:widowControl/>
                                    <w:spacing w:line="200" w:lineRule="exact"/>
                                    <w:ind w:leftChars="5" w:left="12" w:rightChars="5" w:right="12"/>
                                    <w:jc w:val="distribute"/>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依實施計畫規定得聘用之訪視人員數</w:t>
                                  </w:r>
                                  <w:r w:rsidR="00B418C5">
                                    <w:rPr>
                                      <w:rFonts w:ascii="標楷體" w:eastAsia="標楷體" w:hAnsi="標楷體" w:cs="新細明體" w:hint="eastAsia"/>
                                      <w:color w:val="000000"/>
                                      <w:spacing w:val="-12"/>
                                      <w:kern w:val="0"/>
                                      <w:sz w:val="20"/>
                                      <w:szCs w:val="20"/>
                                    </w:rPr>
                                    <w:t>（</w:t>
                                  </w:r>
                                  <w:r>
                                    <w:rPr>
                                      <w:rFonts w:ascii="標楷體" w:eastAsia="標楷體" w:hAnsi="標楷體" w:cs="新細明體" w:hint="eastAsia"/>
                                      <w:color w:val="000000"/>
                                      <w:spacing w:val="-12"/>
                                      <w:kern w:val="0"/>
                                      <w:sz w:val="20"/>
                                      <w:szCs w:val="20"/>
                                    </w:rPr>
                                    <w:t>A</w:t>
                                  </w:r>
                                  <w:r w:rsidR="00B418C5">
                                    <w:rPr>
                                      <w:rFonts w:ascii="標楷體" w:eastAsia="標楷體" w:hAnsi="標楷體" w:cs="新細明體" w:hint="eastAsia"/>
                                      <w:color w:val="000000"/>
                                      <w:spacing w:val="-12"/>
                                      <w:kern w:val="0"/>
                                      <w:sz w:val="20"/>
                                      <w:szCs w:val="20"/>
                                    </w:rPr>
                                    <w:t>）</w:t>
                                  </w:r>
                                </w:p>
                              </w:tc>
                              <w:tc>
                                <w:tcPr>
                                  <w:tcW w:w="624" w:type="dxa"/>
                                  <w:vMerge w:val="restart"/>
                                  <w:tcBorders>
                                    <w:top w:val="single" w:sz="4" w:space="0" w:color="auto"/>
                                    <w:left w:val="single" w:sz="4" w:space="0" w:color="auto"/>
                                    <w:bottom w:val="single" w:sz="4" w:space="0" w:color="auto"/>
                                    <w:right w:val="single" w:sz="4" w:space="0" w:color="auto"/>
                                  </w:tcBorders>
                                  <w:vAlign w:val="center"/>
                                  <w:hideMark/>
                                </w:tcPr>
                                <w:p w14:paraId="3EEE0691" w14:textId="7C114F46" w:rsidR="007B1B13" w:rsidRDefault="007B1B13">
                                  <w:pPr>
                                    <w:widowControl/>
                                    <w:spacing w:line="200" w:lineRule="exact"/>
                                    <w:ind w:leftChars="5" w:left="12" w:rightChars="5" w:right="12"/>
                                    <w:jc w:val="distribute"/>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各居托中心實際聘用訪視人員數</w:t>
                                  </w:r>
                                  <w:r w:rsidR="00B418C5">
                                    <w:rPr>
                                      <w:rFonts w:ascii="標楷體" w:eastAsia="標楷體" w:hAnsi="標楷體" w:cs="新細明體" w:hint="eastAsia"/>
                                      <w:color w:val="000000"/>
                                      <w:spacing w:val="-12"/>
                                      <w:kern w:val="0"/>
                                      <w:sz w:val="20"/>
                                      <w:szCs w:val="20"/>
                                    </w:rPr>
                                    <w:t>（</w:t>
                                  </w:r>
                                  <w:r>
                                    <w:rPr>
                                      <w:rFonts w:ascii="標楷體" w:eastAsia="標楷體" w:hAnsi="標楷體" w:cs="新細明體" w:hint="eastAsia"/>
                                      <w:color w:val="000000"/>
                                      <w:spacing w:val="-12"/>
                                      <w:kern w:val="0"/>
                                      <w:sz w:val="20"/>
                                      <w:szCs w:val="20"/>
                                    </w:rPr>
                                    <w:t>B</w:t>
                                  </w:r>
                                  <w:r w:rsidR="00B418C5">
                                    <w:rPr>
                                      <w:rFonts w:ascii="標楷體" w:eastAsia="標楷體" w:hAnsi="標楷體" w:cs="新細明體" w:hint="eastAsia"/>
                                      <w:color w:val="000000"/>
                                      <w:spacing w:val="-12"/>
                                      <w:kern w:val="0"/>
                                      <w:sz w:val="20"/>
                                      <w:szCs w:val="20"/>
                                    </w:rPr>
                                    <w:t>）</w:t>
                                  </w:r>
                                </w:p>
                              </w:tc>
                              <w:tc>
                                <w:tcPr>
                                  <w:tcW w:w="624" w:type="dxa"/>
                                  <w:vMerge w:val="restart"/>
                                  <w:tcBorders>
                                    <w:top w:val="single" w:sz="4" w:space="0" w:color="auto"/>
                                    <w:left w:val="single" w:sz="4" w:space="0" w:color="auto"/>
                                    <w:bottom w:val="single" w:sz="4" w:space="0" w:color="auto"/>
                                    <w:right w:val="single" w:sz="4" w:space="0" w:color="auto"/>
                                  </w:tcBorders>
                                  <w:vAlign w:val="center"/>
                                  <w:hideMark/>
                                </w:tcPr>
                                <w:p w14:paraId="4C7EC6C9" w14:textId="77777777" w:rsidR="007B1B13" w:rsidRDefault="007B1B13">
                                  <w:pPr>
                                    <w:widowControl/>
                                    <w:spacing w:line="200" w:lineRule="exact"/>
                                    <w:ind w:leftChars="5" w:left="12" w:rightChars="5" w:right="12"/>
                                    <w:jc w:val="distribute"/>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平均每位</w:t>
                                  </w:r>
                                  <w:proofErr w:type="gramStart"/>
                                  <w:r>
                                    <w:rPr>
                                      <w:rFonts w:ascii="標楷體" w:eastAsia="標楷體" w:hAnsi="標楷體" w:cs="新細明體" w:hint="eastAsia"/>
                                      <w:color w:val="000000"/>
                                      <w:spacing w:val="-12"/>
                                      <w:kern w:val="0"/>
                                      <w:sz w:val="20"/>
                                      <w:szCs w:val="20"/>
                                    </w:rPr>
                                    <w:t>訪視員應</w:t>
                                  </w:r>
                                  <w:proofErr w:type="gramEnd"/>
                                  <w:r>
                                    <w:rPr>
                                      <w:rFonts w:ascii="標楷體" w:eastAsia="標楷體" w:hAnsi="標楷體" w:cs="新細明體" w:hint="eastAsia"/>
                                      <w:color w:val="000000"/>
                                      <w:spacing w:val="-12"/>
                                      <w:kern w:val="0"/>
                                      <w:sz w:val="20"/>
                                      <w:szCs w:val="20"/>
                                    </w:rPr>
                                    <w:t>負責訪視人數</w:t>
                                  </w:r>
                                </w:p>
                              </w:tc>
                              <w:tc>
                                <w:tcPr>
                                  <w:tcW w:w="1191" w:type="dxa"/>
                                  <w:gridSpan w:val="2"/>
                                  <w:tcBorders>
                                    <w:top w:val="single" w:sz="4" w:space="0" w:color="auto"/>
                                    <w:left w:val="single" w:sz="4" w:space="0" w:color="auto"/>
                                    <w:bottom w:val="single" w:sz="4" w:space="0" w:color="auto"/>
                                    <w:right w:val="single" w:sz="4" w:space="0" w:color="auto"/>
                                  </w:tcBorders>
                                  <w:vAlign w:val="center"/>
                                  <w:hideMark/>
                                </w:tcPr>
                                <w:p w14:paraId="369CEC41" w14:textId="77777777" w:rsidR="007B1B13" w:rsidRDefault="007B1B13">
                                  <w:pPr>
                                    <w:spacing w:line="200" w:lineRule="exact"/>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人力差短情形</w:t>
                                  </w:r>
                                </w:p>
                                <w:p w14:paraId="3D204E48" w14:textId="604C226C" w:rsidR="007B1B13" w:rsidRPr="00B418C5" w:rsidRDefault="00B418C5">
                                  <w:pPr>
                                    <w:spacing w:line="200" w:lineRule="exact"/>
                                    <w:jc w:val="center"/>
                                    <w:rPr>
                                      <w:rFonts w:ascii="標楷體" w:eastAsia="標楷體" w:hAnsi="標楷體" w:cs="新細明體"/>
                                      <w:color w:val="000000"/>
                                      <w:spacing w:val="-16"/>
                                      <w:kern w:val="0"/>
                                      <w:sz w:val="20"/>
                                      <w:szCs w:val="20"/>
                                    </w:rPr>
                                  </w:pPr>
                                  <w:r w:rsidRPr="00B418C5">
                                    <w:rPr>
                                      <w:rFonts w:ascii="標楷體" w:eastAsia="標楷體" w:hAnsi="標楷體" w:cs="新細明體" w:hint="eastAsia"/>
                                      <w:color w:val="000000"/>
                                      <w:spacing w:val="-16"/>
                                      <w:kern w:val="0"/>
                                      <w:sz w:val="20"/>
                                      <w:szCs w:val="20"/>
                                    </w:rPr>
                                    <w:t>（</w:t>
                                  </w:r>
                                  <w:r w:rsidR="007B1B13" w:rsidRPr="00B418C5">
                                    <w:rPr>
                                      <w:rFonts w:ascii="標楷體" w:eastAsia="標楷體" w:hAnsi="標楷體" w:cs="新細明體" w:hint="eastAsia"/>
                                      <w:color w:val="000000"/>
                                      <w:spacing w:val="-16"/>
                                      <w:kern w:val="0"/>
                                      <w:sz w:val="20"/>
                                      <w:szCs w:val="20"/>
                                    </w:rPr>
                                    <w:t>C</w:t>
                                  </w:r>
                                  <w:r w:rsidRPr="00B418C5">
                                    <w:rPr>
                                      <w:rFonts w:ascii="標楷體" w:eastAsia="標楷體" w:hAnsi="標楷體" w:cs="新細明體" w:hint="eastAsia"/>
                                      <w:color w:val="000000"/>
                                      <w:spacing w:val="-16"/>
                                      <w:kern w:val="0"/>
                                      <w:sz w:val="20"/>
                                      <w:szCs w:val="20"/>
                                    </w:rPr>
                                    <w:t>）</w:t>
                                  </w:r>
                                  <w:r w:rsidR="007B1B13" w:rsidRPr="00B418C5">
                                    <w:rPr>
                                      <w:rFonts w:ascii="標楷體" w:eastAsia="標楷體" w:hAnsi="標楷體" w:cs="新細明體" w:hint="eastAsia"/>
                                      <w:color w:val="000000"/>
                                      <w:spacing w:val="-16"/>
                                      <w:kern w:val="0"/>
                                      <w:sz w:val="20"/>
                                      <w:szCs w:val="20"/>
                                    </w:rPr>
                                    <w:t>=</w:t>
                                  </w:r>
                                  <w:r w:rsidRPr="00B418C5">
                                    <w:rPr>
                                      <w:rFonts w:ascii="標楷體" w:eastAsia="標楷體" w:hAnsi="標楷體" w:cs="新細明體" w:hint="eastAsia"/>
                                      <w:color w:val="000000"/>
                                      <w:spacing w:val="-16"/>
                                      <w:kern w:val="0"/>
                                      <w:sz w:val="20"/>
                                      <w:szCs w:val="20"/>
                                    </w:rPr>
                                    <w:t>（</w:t>
                                  </w:r>
                                  <w:r w:rsidR="007B1B13" w:rsidRPr="00B418C5">
                                    <w:rPr>
                                      <w:rFonts w:ascii="標楷體" w:eastAsia="標楷體" w:hAnsi="標楷體" w:cs="新細明體" w:hint="eastAsia"/>
                                      <w:color w:val="000000"/>
                                      <w:spacing w:val="-16"/>
                                      <w:kern w:val="0"/>
                                      <w:sz w:val="20"/>
                                      <w:szCs w:val="20"/>
                                    </w:rPr>
                                    <w:t>B-A</w:t>
                                  </w:r>
                                  <w:r w:rsidRPr="00B418C5">
                                    <w:rPr>
                                      <w:rFonts w:ascii="標楷體" w:eastAsia="標楷體" w:hAnsi="標楷體" w:cs="新細明體" w:hint="eastAsia"/>
                                      <w:color w:val="000000"/>
                                      <w:spacing w:val="-16"/>
                                      <w:kern w:val="0"/>
                                      <w:sz w:val="20"/>
                                      <w:szCs w:val="20"/>
                                    </w:rPr>
                                    <w:t>）</w:t>
                                  </w:r>
                                </w:p>
                              </w:tc>
                            </w:tr>
                            <w:tr w:rsidR="007B1B13" w14:paraId="07D35E5D" w14:textId="77777777">
                              <w:trPr>
                                <w:trHeight w:val="258"/>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00642C80" w14:textId="77777777" w:rsidR="007B1B13" w:rsidRDefault="007B1B13">
                                  <w:pPr>
                                    <w:widowControl/>
                                    <w:rPr>
                                      <w:rFonts w:ascii="標楷體" w:eastAsia="標楷體" w:hAnsi="標楷體" w:cs="新細明體"/>
                                      <w:color w:val="000000"/>
                                      <w:kern w:val="0"/>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1E0BDEE1" w14:textId="77777777" w:rsidR="007B1B13" w:rsidRDefault="007B1B13">
                                  <w:pPr>
                                    <w:widowControl/>
                                    <w:rPr>
                                      <w:rFonts w:ascii="標楷體" w:eastAsia="標楷體" w:hAnsi="標楷體" w:cs="新細明體"/>
                                      <w:color w:val="000000"/>
                                      <w:spacing w:val="-20"/>
                                      <w:kern w:val="0"/>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8720FF1" w14:textId="77777777" w:rsidR="007B1B13" w:rsidRDefault="007B1B13">
                                  <w:pPr>
                                    <w:widowControl/>
                                    <w:rPr>
                                      <w:rFonts w:ascii="標楷體" w:eastAsia="標楷體" w:hAnsi="標楷體" w:cs="新細明體"/>
                                      <w:color w:val="000000"/>
                                      <w:spacing w:val="-12"/>
                                      <w:kern w:val="0"/>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ADA6D3C" w14:textId="77777777" w:rsidR="007B1B13" w:rsidRDefault="007B1B13">
                                  <w:pPr>
                                    <w:widowControl/>
                                    <w:rPr>
                                      <w:rFonts w:ascii="標楷體" w:eastAsia="標楷體" w:hAnsi="標楷體" w:cs="新細明體"/>
                                      <w:color w:val="000000"/>
                                      <w:spacing w:val="-12"/>
                                      <w:kern w:val="0"/>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089D8B17" w14:textId="77777777" w:rsidR="007B1B13" w:rsidRDefault="007B1B13">
                                  <w:pPr>
                                    <w:widowControl/>
                                    <w:rPr>
                                      <w:rFonts w:ascii="標楷體" w:eastAsia="標楷體" w:hAnsi="標楷體" w:cs="新細明體"/>
                                      <w:color w:val="000000"/>
                                      <w:spacing w:val="-12"/>
                                      <w:kern w:val="0"/>
                                      <w:sz w:val="20"/>
                                      <w:szCs w:val="20"/>
                                    </w:rPr>
                                  </w:pPr>
                                </w:p>
                              </w:tc>
                              <w:tc>
                                <w:tcPr>
                                  <w:tcW w:w="454" w:type="dxa"/>
                                  <w:tcBorders>
                                    <w:top w:val="single" w:sz="4" w:space="0" w:color="auto"/>
                                    <w:left w:val="single" w:sz="4" w:space="0" w:color="auto"/>
                                    <w:bottom w:val="single" w:sz="4" w:space="0" w:color="auto"/>
                                    <w:right w:val="single" w:sz="4" w:space="0" w:color="auto"/>
                                  </w:tcBorders>
                                  <w:vAlign w:val="center"/>
                                  <w:hideMark/>
                                </w:tcPr>
                                <w:p w14:paraId="1EEDA13D" w14:textId="77777777" w:rsidR="007B1B13" w:rsidRDefault="007B1B13">
                                  <w:pPr>
                                    <w:spacing w:line="200" w:lineRule="exact"/>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人數</w:t>
                                  </w:r>
                                </w:p>
                              </w:tc>
                              <w:tc>
                                <w:tcPr>
                                  <w:tcW w:w="737" w:type="dxa"/>
                                  <w:tcBorders>
                                    <w:top w:val="single" w:sz="4" w:space="0" w:color="auto"/>
                                    <w:left w:val="single" w:sz="4" w:space="0" w:color="auto"/>
                                    <w:bottom w:val="single" w:sz="4" w:space="0" w:color="auto"/>
                                    <w:right w:val="single" w:sz="4" w:space="0" w:color="auto"/>
                                  </w:tcBorders>
                                  <w:vAlign w:val="center"/>
                                  <w:hideMark/>
                                </w:tcPr>
                                <w:p w14:paraId="1D4F5743" w14:textId="77777777" w:rsidR="007B1B13" w:rsidRDefault="007B1B13">
                                  <w:pPr>
                                    <w:spacing w:line="200" w:lineRule="exact"/>
                                    <w:ind w:leftChars="-10" w:left="-24"/>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B1B13" w14:paraId="6769650E"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52D7D207"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松山區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3CA131E2"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250</w:t>
                                  </w:r>
                                </w:p>
                              </w:tc>
                              <w:tc>
                                <w:tcPr>
                                  <w:tcW w:w="624" w:type="dxa"/>
                                  <w:tcBorders>
                                    <w:top w:val="single" w:sz="4" w:space="0" w:color="auto"/>
                                    <w:left w:val="single" w:sz="4" w:space="0" w:color="auto"/>
                                    <w:bottom w:val="single" w:sz="4" w:space="0" w:color="auto"/>
                                    <w:right w:val="single" w:sz="4" w:space="0" w:color="auto"/>
                                  </w:tcBorders>
                                  <w:vAlign w:val="center"/>
                                  <w:hideMark/>
                                </w:tcPr>
                                <w:p w14:paraId="0F036EB1"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624" w:type="dxa"/>
                                  <w:tcBorders>
                                    <w:top w:val="single" w:sz="4" w:space="0" w:color="auto"/>
                                    <w:left w:val="single" w:sz="4" w:space="0" w:color="auto"/>
                                    <w:bottom w:val="single" w:sz="4" w:space="0" w:color="auto"/>
                                    <w:right w:val="single" w:sz="4" w:space="0" w:color="auto"/>
                                  </w:tcBorders>
                                  <w:vAlign w:val="center"/>
                                  <w:hideMark/>
                                </w:tcPr>
                                <w:p w14:paraId="11BA29A3"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2DDC0192"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125</w:t>
                                  </w:r>
                                </w:p>
                              </w:tc>
                              <w:tc>
                                <w:tcPr>
                                  <w:tcW w:w="454" w:type="dxa"/>
                                  <w:tcBorders>
                                    <w:top w:val="single" w:sz="4" w:space="0" w:color="auto"/>
                                    <w:left w:val="single" w:sz="4" w:space="0" w:color="auto"/>
                                    <w:bottom w:val="single" w:sz="4" w:space="0" w:color="auto"/>
                                    <w:right w:val="single" w:sz="4" w:space="0" w:color="auto"/>
                                  </w:tcBorders>
                                  <w:vAlign w:val="center"/>
                                  <w:hideMark/>
                                </w:tcPr>
                                <w:p w14:paraId="6C351015"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- 2</w:t>
                                  </w:r>
                                </w:p>
                              </w:tc>
                              <w:tc>
                                <w:tcPr>
                                  <w:tcW w:w="737" w:type="dxa"/>
                                  <w:tcBorders>
                                    <w:top w:val="single" w:sz="4" w:space="0" w:color="auto"/>
                                    <w:left w:val="nil"/>
                                    <w:bottom w:val="single" w:sz="4" w:space="0" w:color="auto"/>
                                    <w:right w:val="single" w:sz="4" w:space="0" w:color="auto"/>
                                  </w:tcBorders>
                                  <w:vAlign w:val="center"/>
                                  <w:hideMark/>
                                </w:tcPr>
                                <w:p w14:paraId="4AB6F1DC"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- 50.00</w:t>
                                  </w:r>
                                </w:p>
                              </w:tc>
                            </w:tr>
                            <w:tr w:rsidR="007B1B13" w14:paraId="0BC2CA43"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5156A5A6"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信義區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041DA9CD"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393</w:t>
                                  </w:r>
                                </w:p>
                              </w:tc>
                              <w:tc>
                                <w:tcPr>
                                  <w:tcW w:w="624" w:type="dxa"/>
                                  <w:tcBorders>
                                    <w:top w:val="single" w:sz="4" w:space="0" w:color="auto"/>
                                    <w:left w:val="single" w:sz="4" w:space="0" w:color="auto"/>
                                    <w:bottom w:val="single" w:sz="4" w:space="0" w:color="auto"/>
                                    <w:right w:val="single" w:sz="4" w:space="0" w:color="auto"/>
                                  </w:tcBorders>
                                  <w:vAlign w:val="center"/>
                                  <w:hideMark/>
                                </w:tcPr>
                                <w:p w14:paraId="0107BE72"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624" w:type="dxa"/>
                                  <w:tcBorders>
                                    <w:top w:val="single" w:sz="4" w:space="0" w:color="auto"/>
                                    <w:left w:val="single" w:sz="4" w:space="0" w:color="auto"/>
                                    <w:bottom w:val="single" w:sz="4" w:space="0" w:color="auto"/>
                                    <w:right w:val="single" w:sz="4" w:space="0" w:color="auto"/>
                                  </w:tcBorders>
                                  <w:vAlign w:val="center"/>
                                  <w:hideMark/>
                                </w:tcPr>
                                <w:p w14:paraId="2121CBE5"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2897D7AD"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w:t>
                                  </w:r>
                                </w:p>
                              </w:tc>
                              <w:tc>
                                <w:tcPr>
                                  <w:tcW w:w="454" w:type="dxa"/>
                                  <w:tcBorders>
                                    <w:top w:val="single" w:sz="4" w:space="0" w:color="auto"/>
                                    <w:left w:val="single" w:sz="4" w:space="0" w:color="auto"/>
                                    <w:bottom w:val="single" w:sz="4" w:space="0" w:color="auto"/>
                                    <w:right w:val="single" w:sz="4" w:space="0" w:color="auto"/>
                                  </w:tcBorders>
                                  <w:vAlign w:val="center"/>
                                  <w:hideMark/>
                                </w:tcPr>
                                <w:p w14:paraId="6439D1C3"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- 2</w:t>
                                  </w:r>
                                </w:p>
                              </w:tc>
                              <w:tc>
                                <w:tcPr>
                                  <w:tcW w:w="737" w:type="dxa"/>
                                  <w:tcBorders>
                                    <w:top w:val="single" w:sz="4" w:space="0" w:color="auto"/>
                                    <w:left w:val="nil"/>
                                    <w:bottom w:val="single" w:sz="4" w:space="0" w:color="auto"/>
                                    <w:right w:val="single" w:sz="4" w:space="0" w:color="auto"/>
                                  </w:tcBorders>
                                  <w:vAlign w:val="center"/>
                                  <w:hideMark/>
                                </w:tcPr>
                                <w:p w14:paraId="19311A18"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- 28.57</w:t>
                                  </w:r>
                                </w:p>
                              </w:tc>
                            </w:tr>
                            <w:tr w:rsidR="007B1B13" w14:paraId="23CD1752"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4AD62104"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大安區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13BD6488"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495</w:t>
                                  </w:r>
                                </w:p>
                              </w:tc>
                              <w:tc>
                                <w:tcPr>
                                  <w:tcW w:w="624" w:type="dxa"/>
                                  <w:tcBorders>
                                    <w:top w:val="single" w:sz="4" w:space="0" w:color="auto"/>
                                    <w:left w:val="single" w:sz="4" w:space="0" w:color="auto"/>
                                    <w:bottom w:val="single" w:sz="4" w:space="0" w:color="auto"/>
                                    <w:right w:val="single" w:sz="4" w:space="0" w:color="auto"/>
                                  </w:tcBorders>
                                  <w:vAlign w:val="center"/>
                                  <w:hideMark/>
                                </w:tcPr>
                                <w:p w14:paraId="63C67338"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624" w:type="dxa"/>
                                  <w:tcBorders>
                                    <w:top w:val="single" w:sz="4" w:space="0" w:color="auto"/>
                                    <w:left w:val="single" w:sz="4" w:space="0" w:color="auto"/>
                                    <w:bottom w:val="single" w:sz="4" w:space="0" w:color="auto"/>
                                    <w:right w:val="single" w:sz="4" w:space="0" w:color="auto"/>
                                  </w:tcBorders>
                                  <w:vAlign w:val="center"/>
                                  <w:hideMark/>
                                </w:tcPr>
                                <w:p w14:paraId="4F3F25ED"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449ED53B"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71</w:t>
                                  </w:r>
                                </w:p>
                              </w:tc>
                              <w:tc>
                                <w:tcPr>
                                  <w:tcW w:w="454" w:type="dxa"/>
                                  <w:tcBorders>
                                    <w:top w:val="single" w:sz="4" w:space="0" w:color="auto"/>
                                    <w:left w:val="single" w:sz="4" w:space="0" w:color="auto"/>
                                    <w:bottom w:val="single" w:sz="4" w:space="0" w:color="auto"/>
                                    <w:right w:val="single" w:sz="4" w:space="0" w:color="auto"/>
                                  </w:tcBorders>
                                  <w:vAlign w:val="center"/>
                                  <w:hideMark/>
                                </w:tcPr>
                                <w:p w14:paraId="1C671400"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- 1</w:t>
                                  </w:r>
                                </w:p>
                              </w:tc>
                              <w:tc>
                                <w:tcPr>
                                  <w:tcW w:w="737" w:type="dxa"/>
                                  <w:tcBorders>
                                    <w:top w:val="single" w:sz="4" w:space="0" w:color="auto"/>
                                    <w:left w:val="nil"/>
                                    <w:bottom w:val="single" w:sz="4" w:space="0" w:color="auto"/>
                                    <w:right w:val="single" w:sz="4" w:space="0" w:color="auto"/>
                                  </w:tcBorders>
                                  <w:vAlign w:val="center"/>
                                  <w:hideMark/>
                                </w:tcPr>
                                <w:p w14:paraId="3976F621"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- 12.50</w:t>
                                  </w:r>
                                </w:p>
                              </w:tc>
                            </w:tr>
                            <w:tr w:rsidR="007B1B13" w14:paraId="426F3AB0"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E047BA2"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中山區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5D07BD55"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394</w:t>
                                  </w:r>
                                </w:p>
                              </w:tc>
                              <w:tc>
                                <w:tcPr>
                                  <w:tcW w:w="624" w:type="dxa"/>
                                  <w:tcBorders>
                                    <w:top w:val="single" w:sz="4" w:space="0" w:color="auto"/>
                                    <w:left w:val="single" w:sz="4" w:space="0" w:color="auto"/>
                                    <w:bottom w:val="single" w:sz="4" w:space="0" w:color="auto"/>
                                    <w:right w:val="single" w:sz="4" w:space="0" w:color="auto"/>
                                  </w:tcBorders>
                                  <w:vAlign w:val="center"/>
                                  <w:hideMark/>
                                </w:tcPr>
                                <w:p w14:paraId="0CF74AA9"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624" w:type="dxa"/>
                                  <w:tcBorders>
                                    <w:top w:val="single" w:sz="4" w:space="0" w:color="auto"/>
                                    <w:left w:val="single" w:sz="4" w:space="0" w:color="auto"/>
                                    <w:bottom w:val="single" w:sz="4" w:space="0" w:color="auto"/>
                                    <w:right w:val="single" w:sz="4" w:space="0" w:color="auto"/>
                                  </w:tcBorders>
                                  <w:vAlign w:val="center"/>
                                  <w:hideMark/>
                                </w:tcPr>
                                <w:p w14:paraId="05F7F4A3"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1470D062"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66</w:t>
                                  </w:r>
                                </w:p>
                              </w:tc>
                              <w:tc>
                                <w:tcPr>
                                  <w:tcW w:w="454" w:type="dxa"/>
                                  <w:tcBorders>
                                    <w:top w:val="single" w:sz="4" w:space="0" w:color="auto"/>
                                    <w:left w:val="single" w:sz="4" w:space="0" w:color="auto"/>
                                    <w:bottom w:val="single" w:sz="4" w:space="0" w:color="auto"/>
                                    <w:right w:val="single" w:sz="4" w:space="0" w:color="auto"/>
                                  </w:tcBorders>
                                  <w:vAlign w:val="center"/>
                                  <w:hideMark/>
                                </w:tcPr>
                                <w:p w14:paraId="46F6F7CC"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- 1</w:t>
                                  </w:r>
                                </w:p>
                              </w:tc>
                              <w:tc>
                                <w:tcPr>
                                  <w:tcW w:w="737" w:type="dxa"/>
                                  <w:tcBorders>
                                    <w:top w:val="single" w:sz="4" w:space="0" w:color="auto"/>
                                    <w:left w:val="nil"/>
                                    <w:bottom w:val="single" w:sz="4" w:space="0" w:color="auto"/>
                                    <w:right w:val="single" w:sz="4" w:space="0" w:color="auto"/>
                                  </w:tcBorders>
                                  <w:vAlign w:val="center"/>
                                  <w:hideMark/>
                                </w:tcPr>
                                <w:p w14:paraId="0B8D2FCB"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- 14.29</w:t>
                                  </w:r>
                                </w:p>
                              </w:tc>
                            </w:tr>
                            <w:tr w:rsidR="007B1B13" w14:paraId="262BE16E"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402B57C4"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中正區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59D2CE45"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247</w:t>
                                  </w:r>
                                </w:p>
                              </w:tc>
                              <w:tc>
                                <w:tcPr>
                                  <w:tcW w:w="624" w:type="dxa"/>
                                  <w:tcBorders>
                                    <w:top w:val="single" w:sz="4" w:space="0" w:color="auto"/>
                                    <w:left w:val="single" w:sz="4" w:space="0" w:color="auto"/>
                                    <w:bottom w:val="single" w:sz="4" w:space="0" w:color="auto"/>
                                    <w:right w:val="single" w:sz="4" w:space="0" w:color="auto"/>
                                  </w:tcBorders>
                                  <w:vAlign w:val="center"/>
                                  <w:hideMark/>
                                </w:tcPr>
                                <w:p w14:paraId="074025A1" w14:textId="77777777" w:rsidR="007B1B13" w:rsidRDefault="007B1B13">
                                  <w:pPr>
                                    <w:spacing w:line="20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624" w:type="dxa"/>
                                  <w:tcBorders>
                                    <w:top w:val="single" w:sz="4" w:space="0" w:color="auto"/>
                                    <w:left w:val="single" w:sz="4" w:space="0" w:color="auto"/>
                                    <w:bottom w:val="single" w:sz="4" w:space="0" w:color="auto"/>
                                    <w:right w:val="single" w:sz="4" w:space="0" w:color="auto"/>
                                  </w:tcBorders>
                                  <w:vAlign w:val="center"/>
                                  <w:hideMark/>
                                </w:tcPr>
                                <w:p w14:paraId="42F04EEE"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kern w:val="0"/>
                                      <w:sz w:val="20"/>
                                      <w:szCs w:val="20"/>
                                    </w:rPr>
                                    <w:t>3</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1810D834"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82</w:t>
                                  </w:r>
                                </w:p>
                              </w:tc>
                              <w:tc>
                                <w:tcPr>
                                  <w:tcW w:w="454" w:type="dxa"/>
                                  <w:tcBorders>
                                    <w:top w:val="single" w:sz="4" w:space="0" w:color="auto"/>
                                    <w:left w:val="single" w:sz="4" w:space="0" w:color="auto"/>
                                    <w:bottom w:val="single" w:sz="4" w:space="0" w:color="auto"/>
                                    <w:right w:val="single" w:sz="4" w:space="0" w:color="auto"/>
                                  </w:tcBorders>
                                  <w:vAlign w:val="center"/>
                                  <w:hideMark/>
                                </w:tcPr>
                                <w:p w14:paraId="59431144" w14:textId="77777777" w:rsidR="007B1B13" w:rsidRDefault="007B1B13">
                                  <w:pPr>
                                    <w:widowControl/>
                                    <w:spacing w:line="200" w:lineRule="exact"/>
                                    <w:ind w:rightChars="20" w:right="48"/>
                                    <w:jc w:val="right"/>
                                    <w:rPr>
                                      <w:rFonts w:ascii="標楷體" w:eastAsia="標楷體" w:hAnsi="標楷體" w:cs="新細明體"/>
                                      <w:spacing w:val="-12"/>
                                      <w:kern w:val="0"/>
                                      <w:sz w:val="20"/>
                                      <w:szCs w:val="20"/>
                                    </w:rPr>
                                  </w:pPr>
                                  <w:r>
                                    <w:rPr>
                                      <w:rFonts w:ascii="標楷體" w:eastAsia="標楷體" w:hAnsi="標楷體" w:cs="新細明體" w:hint="eastAsia"/>
                                      <w:color w:val="000000"/>
                                      <w:spacing w:val="-12"/>
                                      <w:kern w:val="0"/>
                                      <w:sz w:val="20"/>
                                      <w:szCs w:val="20"/>
                                    </w:rPr>
                                    <w:t>- 1</w:t>
                                  </w:r>
                                </w:p>
                              </w:tc>
                              <w:tc>
                                <w:tcPr>
                                  <w:tcW w:w="737" w:type="dxa"/>
                                  <w:tcBorders>
                                    <w:top w:val="single" w:sz="4" w:space="0" w:color="auto"/>
                                    <w:left w:val="nil"/>
                                    <w:bottom w:val="single" w:sz="4" w:space="0" w:color="auto"/>
                                    <w:right w:val="single" w:sz="4" w:space="0" w:color="auto"/>
                                  </w:tcBorders>
                                  <w:vAlign w:val="center"/>
                                  <w:hideMark/>
                                </w:tcPr>
                                <w:p w14:paraId="7CFA3764"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- 25.00</w:t>
                                  </w:r>
                                </w:p>
                              </w:tc>
                            </w:tr>
                            <w:tr w:rsidR="007B1B13" w14:paraId="0C93E86A"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7C73F43A"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大同區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076D48EA"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239</w:t>
                                  </w:r>
                                </w:p>
                              </w:tc>
                              <w:tc>
                                <w:tcPr>
                                  <w:tcW w:w="624" w:type="dxa"/>
                                  <w:tcBorders>
                                    <w:top w:val="single" w:sz="4" w:space="0" w:color="auto"/>
                                    <w:left w:val="single" w:sz="4" w:space="0" w:color="auto"/>
                                    <w:bottom w:val="single" w:sz="4" w:space="0" w:color="auto"/>
                                    <w:right w:val="single" w:sz="4" w:space="0" w:color="auto"/>
                                  </w:tcBorders>
                                  <w:vAlign w:val="center"/>
                                  <w:hideMark/>
                                </w:tcPr>
                                <w:p w14:paraId="0692E598" w14:textId="77777777" w:rsidR="007B1B13" w:rsidRDefault="007B1B13">
                                  <w:pPr>
                                    <w:spacing w:line="20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624" w:type="dxa"/>
                                  <w:tcBorders>
                                    <w:top w:val="single" w:sz="4" w:space="0" w:color="auto"/>
                                    <w:left w:val="single" w:sz="4" w:space="0" w:color="auto"/>
                                    <w:bottom w:val="single" w:sz="4" w:space="0" w:color="auto"/>
                                    <w:right w:val="single" w:sz="4" w:space="0" w:color="auto"/>
                                  </w:tcBorders>
                                  <w:vAlign w:val="center"/>
                                  <w:hideMark/>
                                </w:tcPr>
                                <w:p w14:paraId="4C7EAE9E"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kern w:val="0"/>
                                      <w:sz w:val="20"/>
                                      <w:szCs w:val="20"/>
                                    </w:rPr>
                                    <w:t>3</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32FDB84B"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80</w:t>
                                  </w:r>
                                </w:p>
                              </w:tc>
                              <w:tc>
                                <w:tcPr>
                                  <w:tcW w:w="454" w:type="dxa"/>
                                  <w:tcBorders>
                                    <w:top w:val="single" w:sz="4" w:space="0" w:color="auto"/>
                                    <w:left w:val="single" w:sz="4" w:space="0" w:color="auto"/>
                                    <w:bottom w:val="single" w:sz="4" w:space="0" w:color="auto"/>
                                    <w:right w:val="single" w:sz="4" w:space="0" w:color="auto"/>
                                  </w:tcBorders>
                                  <w:vAlign w:val="center"/>
                                  <w:hideMark/>
                                </w:tcPr>
                                <w:p w14:paraId="4A93E75E" w14:textId="77777777" w:rsidR="007B1B13" w:rsidRDefault="007B1B13">
                                  <w:pPr>
                                    <w:widowControl/>
                                    <w:spacing w:line="200" w:lineRule="exact"/>
                                    <w:ind w:rightChars="20" w:right="48"/>
                                    <w:jc w:val="right"/>
                                    <w:rPr>
                                      <w:rFonts w:ascii="標楷體" w:eastAsia="標楷體" w:hAnsi="標楷體" w:cs="新細明體"/>
                                      <w:spacing w:val="-12"/>
                                      <w:kern w:val="0"/>
                                      <w:sz w:val="20"/>
                                      <w:szCs w:val="20"/>
                                    </w:rPr>
                                  </w:pPr>
                                  <w:r>
                                    <w:rPr>
                                      <w:rFonts w:ascii="標楷體" w:eastAsia="標楷體" w:hAnsi="標楷體" w:cs="新細明體" w:hint="eastAsia"/>
                                      <w:color w:val="000000"/>
                                      <w:spacing w:val="-12"/>
                                      <w:kern w:val="0"/>
                                      <w:sz w:val="20"/>
                                      <w:szCs w:val="20"/>
                                    </w:rPr>
                                    <w:t>- 1</w:t>
                                  </w:r>
                                </w:p>
                              </w:tc>
                              <w:tc>
                                <w:tcPr>
                                  <w:tcW w:w="737" w:type="dxa"/>
                                  <w:tcBorders>
                                    <w:top w:val="single" w:sz="4" w:space="0" w:color="auto"/>
                                    <w:left w:val="nil"/>
                                    <w:bottom w:val="single" w:sz="4" w:space="0" w:color="auto"/>
                                    <w:right w:val="single" w:sz="4" w:space="0" w:color="auto"/>
                                  </w:tcBorders>
                                  <w:vAlign w:val="center"/>
                                  <w:hideMark/>
                                </w:tcPr>
                                <w:p w14:paraId="271FDDFD"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- 25.00</w:t>
                                  </w:r>
                                </w:p>
                              </w:tc>
                            </w:tr>
                            <w:tr w:rsidR="007B1B13" w14:paraId="071D4989"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2147D226"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萬華區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5B55B2A7"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271</w:t>
                                  </w:r>
                                </w:p>
                              </w:tc>
                              <w:tc>
                                <w:tcPr>
                                  <w:tcW w:w="624" w:type="dxa"/>
                                  <w:tcBorders>
                                    <w:top w:val="single" w:sz="4" w:space="0" w:color="auto"/>
                                    <w:left w:val="single" w:sz="4" w:space="0" w:color="auto"/>
                                    <w:bottom w:val="single" w:sz="4" w:space="0" w:color="auto"/>
                                    <w:right w:val="single" w:sz="4" w:space="0" w:color="auto"/>
                                  </w:tcBorders>
                                  <w:vAlign w:val="center"/>
                                  <w:hideMark/>
                                </w:tcPr>
                                <w:p w14:paraId="01B38903"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624" w:type="dxa"/>
                                  <w:tcBorders>
                                    <w:top w:val="single" w:sz="4" w:space="0" w:color="auto"/>
                                    <w:left w:val="single" w:sz="4" w:space="0" w:color="auto"/>
                                    <w:bottom w:val="single" w:sz="4" w:space="0" w:color="auto"/>
                                    <w:right w:val="single" w:sz="4" w:space="0" w:color="auto"/>
                                  </w:tcBorders>
                                  <w:vAlign w:val="center"/>
                                  <w:hideMark/>
                                </w:tcPr>
                                <w:p w14:paraId="5F9BF17C"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7C8C0121"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w:t>
                                  </w:r>
                                </w:p>
                              </w:tc>
                              <w:tc>
                                <w:tcPr>
                                  <w:tcW w:w="454" w:type="dxa"/>
                                  <w:tcBorders>
                                    <w:top w:val="single" w:sz="4" w:space="0" w:color="auto"/>
                                    <w:left w:val="single" w:sz="4" w:space="0" w:color="auto"/>
                                    <w:bottom w:val="single" w:sz="4" w:space="0" w:color="auto"/>
                                    <w:right w:val="single" w:sz="4" w:space="0" w:color="auto"/>
                                  </w:tcBorders>
                                  <w:vAlign w:val="center"/>
                                  <w:hideMark/>
                                </w:tcPr>
                                <w:p w14:paraId="22145317" w14:textId="77777777" w:rsidR="007B1B13" w:rsidRDefault="007B1B13">
                                  <w:pPr>
                                    <w:widowControl/>
                                    <w:wordWrap w:val="0"/>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- 1</w:t>
                                  </w:r>
                                </w:p>
                              </w:tc>
                              <w:tc>
                                <w:tcPr>
                                  <w:tcW w:w="737" w:type="dxa"/>
                                  <w:tcBorders>
                                    <w:top w:val="single" w:sz="4" w:space="0" w:color="auto"/>
                                    <w:left w:val="single" w:sz="4" w:space="0" w:color="auto"/>
                                    <w:bottom w:val="single" w:sz="4" w:space="0" w:color="auto"/>
                                    <w:right w:val="single" w:sz="4" w:space="0" w:color="auto"/>
                                  </w:tcBorders>
                                  <w:vAlign w:val="center"/>
                                  <w:hideMark/>
                                </w:tcPr>
                                <w:p w14:paraId="00C455D4"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- 20.00</w:t>
                                  </w:r>
                                </w:p>
                              </w:tc>
                            </w:tr>
                            <w:tr w:rsidR="007B1B13" w14:paraId="4FD03956"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99AC3FF"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文山區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115DC799"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446</w:t>
                                  </w:r>
                                </w:p>
                              </w:tc>
                              <w:tc>
                                <w:tcPr>
                                  <w:tcW w:w="624" w:type="dxa"/>
                                  <w:tcBorders>
                                    <w:top w:val="single" w:sz="4" w:space="0" w:color="auto"/>
                                    <w:left w:val="single" w:sz="4" w:space="0" w:color="auto"/>
                                    <w:bottom w:val="single" w:sz="4" w:space="0" w:color="auto"/>
                                    <w:right w:val="single" w:sz="4" w:space="0" w:color="auto"/>
                                  </w:tcBorders>
                                  <w:vAlign w:val="center"/>
                                  <w:hideMark/>
                                </w:tcPr>
                                <w:p w14:paraId="55BEEC05" w14:textId="77777777" w:rsidR="007B1B13" w:rsidRDefault="007B1B13">
                                  <w:pPr>
                                    <w:spacing w:line="20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624" w:type="dxa"/>
                                  <w:tcBorders>
                                    <w:top w:val="single" w:sz="4" w:space="0" w:color="auto"/>
                                    <w:left w:val="single" w:sz="4" w:space="0" w:color="auto"/>
                                    <w:bottom w:val="single" w:sz="4" w:space="0" w:color="auto"/>
                                    <w:right w:val="single" w:sz="4" w:space="0" w:color="auto"/>
                                  </w:tcBorders>
                                  <w:vAlign w:val="center"/>
                                  <w:hideMark/>
                                </w:tcPr>
                                <w:p w14:paraId="18715D30"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kern w:val="0"/>
                                      <w:sz w:val="20"/>
                                      <w:szCs w:val="20"/>
                                    </w:rPr>
                                    <w:t>8</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5010C2AB"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w:t>
                                  </w:r>
                                </w:p>
                              </w:tc>
                              <w:tc>
                                <w:tcPr>
                                  <w:tcW w:w="454" w:type="dxa"/>
                                  <w:tcBorders>
                                    <w:top w:val="single" w:sz="4" w:space="0" w:color="auto"/>
                                    <w:left w:val="single" w:sz="4" w:space="0" w:color="auto"/>
                                    <w:bottom w:val="single" w:sz="4" w:space="0" w:color="auto"/>
                                    <w:right w:val="single" w:sz="4" w:space="0" w:color="auto"/>
                                  </w:tcBorders>
                                  <w:vAlign w:val="center"/>
                                  <w:hideMark/>
                                </w:tcPr>
                                <w:p w14:paraId="2E08F7DC" w14:textId="77777777" w:rsidR="007B1B13" w:rsidRDefault="007B1B13">
                                  <w:pPr>
                                    <w:widowControl/>
                                    <w:spacing w:line="200" w:lineRule="exact"/>
                                    <w:ind w:rightChars="20" w:right="48"/>
                                    <w:jc w:val="right"/>
                                    <w:rPr>
                                      <w:rFonts w:ascii="標楷體" w:eastAsia="標楷體" w:hAnsi="標楷體" w:cs="新細明體"/>
                                      <w:spacing w:val="-12"/>
                                      <w:kern w:val="0"/>
                                      <w:sz w:val="20"/>
                                      <w:szCs w:val="20"/>
                                    </w:rPr>
                                  </w:pPr>
                                  <w:r>
                                    <w:rPr>
                                      <w:rFonts w:ascii="標楷體" w:eastAsia="標楷體" w:hAnsi="標楷體" w:cs="新細明體" w:hint="eastAsia"/>
                                      <w:color w:val="000000"/>
                                      <w:spacing w:val="-12"/>
                                      <w:kern w:val="0"/>
                                      <w:sz w:val="20"/>
                                      <w:szCs w:val="20"/>
                                    </w:rPr>
                                    <w:t>1</w:t>
                                  </w:r>
                                </w:p>
                              </w:tc>
                              <w:tc>
                                <w:tcPr>
                                  <w:tcW w:w="737" w:type="dxa"/>
                                  <w:tcBorders>
                                    <w:top w:val="single" w:sz="4" w:space="0" w:color="auto"/>
                                    <w:left w:val="nil"/>
                                    <w:bottom w:val="single" w:sz="4" w:space="0" w:color="auto"/>
                                    <w:right w:val="single" w:sz="4" w:space="0" w:color="auto"/>
                                  </w:tcBorders>
                                  <w:vAlign w:val="center"/>
                                  <w:hideMark/>
                                </w:tcPr>
                                <w:p w14:paraId="29196F51"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14.29</w:t>
                                  </w:r>
                                </w:p>
                              </w:tc>
                            </w:tr>
                            <w:tr w:rsidR="007B1B13" w14:paraId="5B423756"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23479F4"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南港區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323733B9"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195</w:t>
                                  </w:r>
                                </w:p>
                              </w:tc>
                              <w:tc>
                                <w:tcPr>
                                  <w:tcW w:w="624" w:type="dxa"/>
                                  <w:tcBorders>
                                    <w:top w:val="single" w:sz="4" w:space="0" w:color="auto"/>
                                    <w:left w:val="single" w:sz="4" w:space="0" w:color="auto"/>
                                    <w:bottom w:val="single" w:sz="4" w:space="0" w:color="auto"/>
                                    <w:right w:val="single" w:sz="4" w:space="0" w:color="auto"/>
                                  </w:tcBorders>
                                  <w:vAlign w:val="center"/>
                                  <w:hideMark/>
                                </w:tcPr>
                                <w:p w14:paraId="0AC80EE3"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624" w:type="dxa"/>
                                  <w:tcBorders>
                                    <w:top w:val="single" w:sz="4" w:space="0" w:color="auto"/>
                                    <w:left w:val="single" w:sz="4" w:space="0" w:color="auto"/>
                                    <w:bottom w:val="single" w:sz="4" w:space="0" w:color="auto"/>
                                    <w:right w:val="single" w:sz="4" w:space="0" w:color="auto"/>
                                  </w:tcBorders>
                                  <w:vAlign w:val="center"/>
                                  <w:hideMark/>
                                </w:tcPr>
                                <w:p w14:paraId="37EFDA4E"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0796B2E3"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195</w:t>
                                  </w:r>
                                </w:p>
                              </w:tc>
                              <w:tc>
                                <w:tcPr>
                                  <w:tcW w:w="454" w:type="dxa"/>
                                  <w:tcBorders>
                                    <w:top w:val="single" w:sz="4" w:space="0" w:color="auto"/>
                                    <w:left w:val="single" w:sz="4" w:space="0" w:color="auto"/>
                                    <w:bottom w:val="single" w:sz="4" w:space="0" w:color="auto"/>
                                    <w:right w:val="single" w:sz="4" w:space="0" w:color="auto"/>
                                  </w:tcBorders>
                                  <w:vAlign w:val="center"/>
                                  <w:hideMark/>
                                </w:tcPr>
                                <w:p w14:paraId="3B596C0E"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- 2</w:t>
                                  </w:r>
                                </w:p>
                              </w:tc>
                              <w:tc>
                                <w:tcPr>
                                  <w:tcW w:w="737" w:type="dxa"/>
                                  <w:tcBorders>
                                    <w:top w:val="single" w:sz="4" w:space="0" w:color="auto"/>
                                    <w:left w:val="nil"/>
                                    <w:bottom w:val="single" w:sz="4" w:space="0" w:color="auto"/>
                                    <w:right w:val="single" w:sz="4" w:space="0" w:color="auto"/>
                                  </w:tcBorders>
                                  <w:vAlign w:val="center"/>
                                  <w:hideMark/>
                                </w:tcPr>
                                <w:p w14:paraId="70933AC3"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xml:space="preserve"> - 66.67</w:t>
                                  </w:r>
                                </w:p>
                              </w:tc>
                            </w:tr>
                            <w:tr w:rsidR="007B1B13" w14:paraId="14B97347"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1651B8AF"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內湖區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5826CE44"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492</w:t>
                                  </w:r>
                                </w:p>
                              </w:tc>
                              <w:tc>
                                <w:tcPr>
                                  <w:tcW w:w="624" w:type="dxa"/>
                                  <w:tcBorders>
                                    <w:top w:val="single" w:sz="4" w:space="0" w:color="auto"/>
                                    <w:left w:val="single" w:sz="4" w:space="0" w:color="auto"/>
                                    <w:bottom w:val="single" w:sz="4" w:space="0" w:color="auto"/>
                                    <w:right w:val="single" w:sz="4" w:space="0" w:color="auto"/>
                                  </w:tcBorders>
                                  <w:vAlign w:val="center"/>
                                  <w:hideMark/>
                                </w:tcPr>
                                <w:p w14:paraId="63C3E57C"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624" w:type="dxa"/>
                                  <w:tcBorders>
                                    <w:top w:val="single" w:sz="4" w:space="0" w:color="auto"/>
                                    <w:left w:val="single" w:sz="4" w:space="0" w:color="auto"/>
                                    <w:bottom w:val="single" w:sz="4" w:space="0" w:color="auto"/>
                                    <w:right w:val="single" w:sz="4" w:space="0" w:color="auto"/>
                                  </w:tcBorders>
                                  <w:vAlign w:val="center"/>
                                  <w:hideMark/>
                                </w:tcPr>
                                <w:p w14:paraId="6D47BDA1"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7442C5CB"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82</w:t>
                                  </w:r>
                                </w:p>
                              </w:tc>
                              <w:tc>
                                <w:tcPr>
                                  <w:tcW w:w="454" w:type="dxa"/>
                                  <w:tcBorders>
                                    <w:top w:val="single" w:sz="4" w:space="0" w:color="auto"/>
                                    <w:left w:val="single" w:sz="4" w:space="0" w:color="auto"/>
                                    <w:bottom w:val="single" w:sz="4" w:space="0" w:color="auto"/>
                                    <w:right w:val="single" w:sz="4" w:space="0" w:color="auto"/>
                                  </w:tcBorders>
                                  <w:vAlign w:val="center"/>
                                  <w:hideMark/>
                                </w:tcPr>
                                <w:p w14:paraId="40AAE3C6"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- 2</w:t>
                                  </w:r>
                                </w:p>
                              </w:tc>
                              <w:tc>
                                <w:tcPr>
                                  <w:tcW w:w="737" w:type="dxa"/>
                                  <w:tcBorders>
                                    <w:top w:val="single" w:sz="4" w:space="0" w:color="auto"/>
                                    <w:left w:val="nil"/>
                                    <w:bottom w:val="single" w:sz="4" w:space="0" w:color="auto"/>
                                    <w:right w:val="single" w:sz="4" w:space="0" w:color="auto"/>
                                  </w:tcBorders>
                                  <w:vAlign w:val="center"/>
                                  <w:hideMark/>
                                </w:tcPr>
                                <w:p w14:paraId="76F0F379"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- 25.00</w:t>
                                  </w:r>
                                </w:p>
                              </w:tc>
                            </w:tr>
                            <w:tr w:rsidR="007B1B13" w14:paraId="5CBE07C3"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29882A42"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士林區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67C9FA0B"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441</w:t>
                                  </w:r>
                                </w:p>
                              </w:tc>
                              <w:tc>
                                <w:tcPr>
                                  <w:tcW w:w="624" w:type="dxa"/>
                                  <w:tcBorders>
                                    <w:top w:val="single" w:sz="4" w:space="0" w:color="auto"/>
                                    <w:left w:val="single" w:sz="4" w:space="0" w:color="auto"/>
                                    <w:bottom w:val="single" w:sz="4" w:space="0" w:color="auto"/>
                                    <w:right w:val="single" w:sz="4" w:space="0" w:color="auto"/>
                                  </w:tcBorders>
                                  <w:vAlign w:val="center"/>
                                  <w:hideMark/>
                                </w:tcPr>
                                <w:p w14:paraId="4A8A708E"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624" w:type="dxa"/>
                                  <w:tcBorders>
                                    <w:top w:val="single" w:sz="4" w:space="0" w:color="auto"/>
                                    <w:left w:val="single" w:sz="4" w:space="0" w:color="auto"/>
                                    <w:bottom w:val="single" w:sz="4" w:space="0" w:color="auto"/>
                                    <w:right w:val="single" w:sz="4" w:space="0" w:color="auto"/>
                                  </w:tcBorders>
                                  <w:vAlign w:val="center"/>
                                  <w:hideMark/>
                                </w:tcPr>
                                <w:p w14:paraId="3C0CDB64"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54496311"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63</w:t>
                                  </w:r>
                                </w:p>
                              </w:tc>
                              <w:tc>
                                <w:tcPr>
                                  <w:tcW w:w="454" w:type="dxa"/>
                                  <w:tcBorders>
                                    <w:top w:val="single" w:sz="4" w:space="0" w:color="auto"/>
                                    <w:left w:val="single" w:sz="4" w:space="0" w:color="auto"/>
                                    <w:bottom w:val="single" w:sz="4" w:space="0" w:color="auto"/>
                                    <w:right w:val="single" w:sz="4" w:space="0" w:color="auto"/>
                                  </w:tcBorders>
                                  <w:vAlign w:val="center"/>
                                  <w:hideMark/>
                                </w:tcPr>
                                <w:p w14:paraId="1E6A77EB"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hideMark/>
                                </w:tcPr>
                                <w:p w14:paraId="758725B2"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w:t>
                                  </w:r>
                                </w:p>
                              </w:tc>
                            </w:tr>
                            <w:tr w:rsidR="007B1B13" w14:paraId="13BB09B9"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13CA57A"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北投區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0EA4E070"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382</w:t>
                                  </w:r>
                                </w:p>
                              </w:tc>
                              <w:tc>
                                <w:tcPr>
                                  <w:tcW w:w="624" w:type="dxa"/>
                                  <w:tcBorders>
                                    <w:top w:val="single" w:sz="4" w:space="0" w:color="auto"/>
                                    <w:left w:val="single" w:sz="4" w:space="0" w:color="auto"/>
                                    <w:bottom w:val="single" w:sz="4" w:space="0" w:color="auto"/>
                                    <w:right w:val="single" w:sz="4" w:space="0" w:color="auto"/>
                                  </w:tcBorders>
                                  <w:vAlign w:val="center"/>
                                  <w:hideMark/>
                                </w:tcPr>
                                <w:p w14:paraId="6642D51F"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624" w:type="dxa"/>
                                  <w:tcBorders>
                                    <w:top w:val="single" w:sz="4" w:space="0" w:color="auto"/>
                                    <w:left w:val="single" w:sz="4" w:space="0" w:color="auto"/>
                                    <w:bottom w:val="single" w:sz="4" w:space="0" w:color="auto"/>
                                    <w:right w:val="single" w:sz="4" w:space="0" w:color="auto"/>
                                  </w:tcBorders>
                                  <w:vAlign w:val="center"/>
                                  <w:hideMark/>
                                </w:tcPr>
                                <w:p w14:paraId="2CF6E097"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1612C63E"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64</w:t>
                                  </w:r>
                                </w:p>
                              </w:tc>
                              <w:tc>
                                <w:tcPr>
                                  <w:tcW w:w="454" w:type="dxa"/>
                                  <w:tcBorders>
                                    <w:top w:val="single" w:sz="4" w:space="0" w:color="auto"/>
                                    <w:left w:val="single" w:sz="4" w:space="0" w:color="auto"/>
                                    <w:bottom w:val="single" w:sz="4" w:space="0" w:color="auto"/>
                                    <w:right w:val="single" w:sz="4" w:space="0" w:color="auto"/>
                                  </w:tcBorders>
                                  <w:vAlign w:val="center"/>
                                  <w:hideMark/>
                                </w:tcPr>
                                <w:p w14:paraId="694BF3A4"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hideMark/>
                                </w:tcPr>
                                <w:p w14:paraId="21CEC07C"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w:t>
                                  </w:r>
                                </w:p>
                              </w:tc>
                            </w:tr>
                          </w:tbl>
                          <w:p w14:paraId="0970CC49" w14:textId="77777777" w:rsidR="007B1B13" w:rsidRDefault="007B1B13" w:rsidP="007B1B13">
                            <w:pPr>
                              <w:spacing w:line="200" w:lineRule="exact"/>
                              <w:ind w:left="540" w:hangingChars="300" w:hanging="540"/>
                              <w:jc w:val="both"/>
                              <w:rPr>
                                <w:rFonts w:ascii="標楷體" w:eastAsia="標楷體" w:hAnsi="標楷體" w:cs="Times New Roman"/>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：1.本表僅表達訪視人員負擔登記托育人員工作案量情形，已排除因親屬托育人員所得聘用及應聘用之訪視人員各1名。</w:t>
                            </w:r>
                          </w:p>
                          <w:p w14:paraId="4759CA56" w14:textId="77777777" w:rsidR="007B1B13" w:rsidRDefault="007B1B13" w:rsidP="007B1B13">
                            <w:pPr>
                              <w:spacing w:line="200" w:lineRule="exact"/>
                              <w:ind w:leftChars="150" w:left="540" w:hangingChars="100" w:hanging="180"/>
                              <w:jc w:val="both"/>
                              <w:rPr>
                                <w:rFonts w:ascii="標楷體" w:eastAsia="標楷體" w:hAnsi="標楷體"/>
                                <w:sz w:val="18"/>
                                <w:szCs w:val="18"/>
                              </w:rPr>
                            </w:pPr>
                            <w:r>
                              <w:rPr>
                                <w:rFonts w:ascii="標楷體" w:eastAsia="標楷體" w:hAnsi="標楷體" w:hint="eastAsia"/>
                                <w:sz w:val="18"/>
                                <w:szCs w:val="18"/>
                              </w:rPr>
                              <w:t>2.資料來源：整理自社會局提供資料。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F9B2F5" id="文字方塊 927419639" o:spid="_x0000_s1098" type="#_x0000_t202" style="position:absolute;left:0;text-align:left;margin-left:315pt;margin-top:9.3pt;width:231pt;height:320.25pt;z-index:-2515578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" stroked="f">
                <v:textbox>
                  <w:txbxContent>
                    <w:p w14:paraId="71CA21EA" w14:textId="77777777" w:rsidR="007B1B13" w:rsidRDefault="007B1B13" w:rsidP="007B1B13">
                      <w:pPr>
                        <w:spacing w:line="240" w:lineRule="exact"/>
                        <w:ind w:left="649" w:hangingChars="270" w:hanging="649"/>
                        <w:jc w:val="both"/>
                        <w:rPr>
                          <w:rFonts w:ascii="標楷體" w:eastAsia="標楷體" w:hAnsi="標楷體"/>
                          <w:b/>
                        </w:rPr>
                      </w:pPr>
                      <w:r>
                        <w:rPr>
                          <w:rFonts w:ascii="標楷體" w:eastAsia="標楷體" w:hAnsi="標楷體" w:hint="eastAsia"/>
                          <w:b/>
                        </w:rPr>
                        <w:t>表2　113年1至6月臺北市各居托中心</w:t>
                      </w:r>
                      <w:proofErr w:type="gramStart"/>
                      <w:r>
                        <w:rPr>
                          <w:rFonts w:ascii="標楷體" w:eastAsia="標楷體" w:hAnsi="標楷體" w:hint="eastAsia"/>
                          <w:b/>
                        </w:rPr>
                        <w:t>訪視員人力</w:t>
                      </w:r>
                      <w:proofErr w:type="gramEnd"/>
                      <w:r>
                        <w:rPr>
                          <w:rFonts w:ascii="標楷體" w:eastAsia="標楷體" w:hAnsi="標楷體" w:hint="eastAsia"/>
                          <w:b/>
                        </w:rPr>
                        <w:t>及工作負荷情形</w:t>
                      </w:r>
                    </w:p>
                    <w:p w14:paraId="72840FEE" w14:textId="77777777" w:rsidR="007B1B13" w:rsidRDefault="007B1B13" w:rsidP="007B1B13">
                      <w:pPr>
                        <w:spacing w:line="200" w:lineRule="exact"/>
                        <w:jc w:val="right"/>
                        <w:rPr>
                          <w:rFonts w:ascii="標楷體" w:eastAsia="標楷體" w:hAnsi="標楷體"/>
                          <w:sz w:val="20"/>
                          <w:szCs w:val="20"/>
                        </w:rPr>
                      </w:pPr>
                      <w:r>
                        <w:rPr>
                          <w:rFonts w:ascii="標楷體" w:eastAsia="標楷體" w:hAnsi="標楷體" w:hint="eastAsia"/>
                          <w:sz w:val="20"/>
                          <w:szCs w:val="20"/>
                        </w:rPr>
                        <w:t>單位：人、％</w:t>
                      </w:r>
                    </w:p>
                    <w:tbl>
                      <w:tblPr>
                        <w:tblW w:w="4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9"/>
                        <w:gridCol w:w="623"/>
                        <w:gridCol w:w="624"/>
                        <w:gridCol w:w="624"/>
                        <w:gridCol w:w="624"/>
                        <w:gridCol w:w="454"/>
                        <w:gridCol w:w="737"/>
                      </w:tblGrid>
                      <w:tr w:rsidR="007B1B13" w14:paraId="1B6803BD" w14:textId="77777777">
                        <w:trPr>
                          <w:trHeight w:val="277"/>
                        </w:trPr>
                        <w:tc>
                          <w:tcPr>
                            <w:tcW w:w="680" w:type="dxa"/>
                            <w:vMerge w:val="restart"/>
                            <w:tcBorders>
                              <w:top w:val="single" w:sz="4" w:space="0" w:color="auto"/>
                              <w:left w:val="single" w:sz="4" w:space="0" w:color="auto"/>
                              <w:bottom w:val="single" w:sz="4" w:space="0" w:color="auto"/>
                              <w:right w:val="single" w:sz="4" w:space="0" w:color="auto"/>
                            </w:tcBorders>
                            <w:noWrap/>
                            <w:vAlign w:val="center"/>
                            <w:hideMark/>
                          </w:tcPr>
                          <w:p w14:paraId="4F641C77"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行政區</w:t>
                            </w:r>
                          </w:p>
                        </w:tc>
                        <w:tc>
                          <w:tcPr>
                            <w:tcW w:w="624" w:type="dxa"/>
                            <w:vMerge w:val="restart"/>
                            <w:tcBorders>
                              <w:top w:val="single" w:sz="4" w:space="0" w:color="auto"/>
                              <w:left w:val="single" w:sz="4" w:space="0" w:color="auto"/>
                              <w:bottom w:val="single" w:sz="4" w:space="0" w:color="auto"/>
                              <w:right w:val="single" w:sz="4" w:space="0" w:color="auto"/>
                            </w:tcBorders>
                            <w:vAlign w:val="center"/>
                            <w:hideMark/>
                          </w:tcPr>
                          <w:p w14:paraId="4EA4D693" w14:textId="77777777" w:rsidR="007B1B13" w:rsidRDefault="007B1B13">
                            <w:pPr>
                              <w:widowControl/>
                              <w:spacing w:line="200" w:lineRule="exact"/>
                              <w:ind w:leftChars="5" w:left="12" w:rightChars="5" w:right="12"/>
                              <w:jc w:val="distribute"/>
                              <w:rPr>
                                <w:rFonts w:ascii="標楷體" w:eastAsia="標楷體" w:hAnsi="標楷體" w:cs="新細明體"/>
                                <w:color w:val="000000"/>
                                <w:spacing w:val="-20"/>
                                <w:kern w:val="0"/>
                                <w:sz w:val="20"/>
                                <w:szCs w:val="20"/>
                              </w:rPr>
                            </w:pPr>
                            <w:r>
                              <w:rPr>
                                <w:rFonts w:ascii="標楷體" w:eastAsia="標楷體" w:hAnsi="標楷體" w:cs="新細明體" w:hint="eastAsia"/>
                                <w:color w:val="000000"/>
                                <w:spacing w:val="-20"/>
                                <w:kern w:val="0"/>
                                <w:sz w:val="20"/>
                                <w:szCs w:val="20"/>
                              </w:rPr>
                              <w:t>登記托育人員113年1至6月平均數</w:t>
                            </w:r>
                          </w:p>
                        </w:tc>
                        <w:tc>
                          <w:tcPr>
                            <w:tcW w:w="624" w:type="dxa"/>
                            <w:vMerge w:val="restart"/>
                            <w:tcBorders>
                              <w:top w:val="single" w:sz="4" w:space="0" w:color="auto"/>
                              <w:left w:val="single" w:sz="4" w:space="0" w:color="auto"/>
                              <w:bottom w:val="single" w:sz="4" w:space="0" w:color="auto"/>
                              <w:right w:val="single" w:sz="4" w:space="0" w:color="auto"/>
                            </w:tcBorders>
                            <w:vAlign w:val="center"/>
                            <w:hideMark/>
                          </w:tcPr>
                          <w:p w14:paraId="24C89AF9" w14:textId="0CC4243F" w:rsidR="007B1B13" w:rsidRDefault="007B1B13">
                            <w:pPr>
                              <w:widowControl/>
                              <w:spacing w:line="200" w:lineRule="exact"/>
                              <w:ind w:leftChars="5" w:left="12" w:rightChars="5" w:right="12"/>
                              <w:jc w:val="distribute"/>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依實施計畫規定得聘用之訪視人員數</w:t>
                            </w:r>
                            <w:r w:rsidR="00B418C5">
                              <w:rPr>
                                <w:rFonts w:ascii="標楷體" w:eastAsia="標楷體" w:hAnsi="標楷體" w:cs="新細明體" w:hint="eastAsia"/>
                                <w:color w:val="000000"/>
                                <w:spacing w:val="-12"/>
                                <w:kern w:val="0"/>
                                <w:sz w:val="20"/>
                                <w:szCs w:val="20"/>
                              </w:rPr>
                              <w:t>（</w:t>
                            </w:r>
                            <w:r>
                              <w:rPr>
                                <w:rFonts w:ascii="標楷體" w:eastAsia="標楷體" w:hAnsi="標楷體" w:cs="新細明體" w:hint="eastAsia"/>
                                <w:color w:val="000000"/>
                                <w:spacing w:val="-12"/>
                                <w:kern w:val="0"/>
                                <w:sz w:val="20"/>
                                <w:szCs w:val="20"/>
                              </w:rPr>
                              <w:t>A</w:t>
                            </w:r>
                            <w:r w:rsidR="00B418C5">
                              <w:rPr>
                                <w:rFonts w:ascii="標楷體" w:eastAsia="標楷體" w:hAnsi="標楷體" w:cs="新細明體" w:hint="eastAsia"/>
                                <w:color w:val="000000"/>
                                <w:spacing w:val="-12"/>
                                <w:kern w:val="0"/>
                                <w:sz w:val="20"/>
                                <w:szCs w:val="20"/>
                              </w:rPr>
                              <w:t>）</w:t>
                            </w:r>
                          </w:p>
                        </w:tc>
                        <w:tc>
                          <w:tcPr>
                            <w:tcW w:w="624" w:type="dxa"/>
                            <w:vMerge w:val="restart"/>
                            <w:tcBorders>
                              <w:top w:val="single" w:sz="4" w:space="0" w:color="auto"/>
                              <w:left w:val="single" w:sz="4" w:space="0" w:color="auto"/>
                              <w:bottom w:val="single" w:sz="4" w:space="0" w:color="auto"/>
                              <w:right w:val="single" w:sz="4" w:space="0" w:color="auto"/>
                            </w:tcBorders>
                            <w:vAlign w:val="center"/>
                            <w:hideMark/>
                          </w:tcPr>
                          <w:p w14:paraId="3EEE0691" w14:textId="7C114F46" w:rsidR="007B1B13" w:rsidRDefault="007B1B13">
                            <w:pPr>
                              <w:widowControl/>
                              <w:spacing w:line="200" w:lineRule="exact"/>
                              <w:ind w:leftChars="5" w:left="12" w:rightChars="5" w:right="12"/>
                              <w:jc w:val="distribute"/>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各居托中心實際聘用訪視人員數</w:t>
                            </w:r>
                            <w:r w:rsidR="00B418C5">
                              <w:rPr>
                                <w:rFonts w:ascii="標楷體" w:eastAsia="標楷體" w:hAnsi="標楷體" w:cs="新細明體" w:hint="eastAsia"/>
                                <w:color w:val="000000"/>
                                <w:spacing w:val="-12"/>
                                <w:kern w:val="0"/>
                                <w:sz w:val="20"/>
                                <w:szCs w:val="20"/>
                              </w:rPr>
                              <w:t>（</w:t>
                            </w:r>
                            <w:r>
                              <w:rPr>
                                <w:rFonts w:ascii="標楷體" w:eastAsia="標楷體" w:hAnsi="標楷體" w:cs="新細明體" w:hint="eastAsia"/>
                                <w:color w:val="000000"/>
                                <w:spacing w:val="-12"/>
                                <w:kern w:val="0"/>
                                <w:sz w:val="20"/>
                                <w:szCs w:val="20"/>
                              </w:rPr>
                              <w:t>B</w:t>
                            </w:r>
                            <w:r w:rsidR="00B418C5">
                              <w:rPr>
                                <w:rFonts w:ascii="標楷體" w:eastAsia="標楷體" w:hAnsi="標楷體" w:cs="新細明體" w:hint="eastAsia"/>
                                <w:color w:val="000000"/>
                                <w:spacing w:val="-12"/>
                                <w:kern w:val="0"/>
                                <w:sz w:val="20"/>
                                <w:szCs w:val="20"/>
                              </w:rPr>
                              <w:t>）</w:t>
                            </w:r>
                          </w:p>
                        </w:tc>
                        <w:tc>
                          <w:tcPr>
                            <w:tcW w:w="624" w:type="dxa"/>
                            <w:vMerge w:val="restart"/>
                            <w:tcBorders>
                              <w:top w:val="single" w:sz="4" w:space="0" w:color="auto"/>
                              <w:left w:val="single" w:sz="4" w:space="0" w:color="auto"/>
                              <w:bottom w:val="single" w:sz="4" w:space="0" w:color="auto"/>
                              <w:right w:val="single" w:sz="4" w:space="0" w:color="auto"/>
                            </w:tcBorders>
                            <w:vAlign w:val="center"/>
                            <w:hideMark/>
                          </w:tcPr>
                          <w:p w14:paraId="4C7EC6C9" w14:textId="77777777" w:rsidR="007B1B13" w:rsidRDefault="007B1B13">
                            <w:pPr>
                              <w:widowControl/>
                              <w:spacing w:line="200" w:lineRule="exact"/>
                              <w:ind w:leftChars="5" w:left="12" w:rightChars="5" w:right="12"/>
                              <w:jc w:val="distribute"/>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平均每位</w:t>
                            </w:r>
                            <w:proofErr w:type="gramStart"/>
                            <w:r>
                              <w:rPr>
                                <w:rFonts w:ascii="標楷體" w:eastAsia="標楷體" w:hAnsi="標楷體" w:cs="新細明體" w:hint="eastAsia"/>
                                <w:color w:val="000000"/>
                                <w:spacing w:val="-12"/>
                                <w:kern w:val="0"/>
                                <w:sz w:val="20"/>
                                <w:szCs w:val="20"/>
                              </w:rPr>
                              <w:t>訪視員應</w:t>
                            </w:r>
                            <w:proofErr w:type="gramEnd"/>
                            <w:r>
                              <w:rPr>
                                <w:rFonts w:ascii="標楷體" w:eastAsia="標楷體" w:hAnsi="標楷體" w:cs="新細明體" w:hint="eastAsia"/>
                                <w:color w:val="000000"/>
                                <w:spacing w:val="-12"/>
                                <w:kern w:val="0"/>
                                <w:sz w:val="20"/>
                                <w:szCs w:val="20"/>
                              </w:rPr>
                              <w:t>負責訪視人數</w:t>
                            </w:r>
                          </w:p>
                        </w:tc>
                        <w:tc>
                          <w:tcPr>
                            <w:tcW w:w="1191" w:type="dxa"/>
                            <w:gridSpan w:val="2"/>
                            <w:tcBorders>
                              <w:top w:val="single" w:sz="4" w:space="0" w:color="auto"/>
                              <w:left w:val="single" w:sz="4" w:space="0" w:color="auto"/>
                              <w:bottom w:val="single" w:sz="4" w:space="0" w:color="auto"/>
                              <w:right w:val="single" w:sz="4" w:space="0" w:color="auto"/>
                            </w:tcBorders>
                            <w:vAlign w:val="center"/>
                            <w:hideMark/>
                          </w:tcPr>
                          <w:p w14:paraId="369CEC41" w14:textId="77777777" w:rsidR="007B1B13" w:rsidRDefault="007B1B13">
                            <w:pPr>
                              <w:spacing w:line="200" w:lineRule="exact"/>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人力差短情形</w:t>
                            </w:r>
                          </w:p>
                          <w:p w14:paraId="3D204E48" w14:textId="604C226C" w:rsidR="007B1B13" w:rsidRPr="00B418C5" w:rsidRDefault="00B418C5">
                            <w:pPr>
                              <w:spacing w:line="200" w:lineRule="exact"/>
                              <w:jc w:val="center"/>
                              <w:rPr>
                                <w:rFonts w:ascii="標楷體" w:eastAsia="標楷體" w:hAnsi="標楷體" w:cs="新細明體"/>
                                <w:color w:val="000000"/>
                                <w:spacing w:val="-16"/>
                                <w:kern w:val="0"/>
                                <w:sz w:val="20"/>
                                <w:szCs w:val="20"/>
                              </w:rPr>
                            </w:pPr>
                            <w:r w:rsidRPr="00B418C5">
                              <w:rPr>
                                <w:rFonts w:ascii="標楷體" w:eastAsia="標楷體" w:hAnsi="標楷體" w:cs="新細明體" w:hint="eastAsia"/>
                                <w:color w:val="000000"/>
                                <w:spacing w:val="-16"/>
                                <w:kern w:val="0"/>
                                <w:sz w:val="20"/>
                                <w:szCs w:val="20"/>
                              </w:rPr>
                              <w:t>（</w:t>
                            </w:r>
                            <w:r w:rsidR="007B1B13" w:rsidRPr="00B418C5">
                              <w:rPr>
                                <w:rFonts w:ascii="標楷體" w:eastAsia="標楷體" w:hAnsi="標楷體" w:cs="新細明體" w:hint="eastAsia"/>
                                <w:color w:val="000000"/>
                                <w:spacing w:val="-16"/>
                                <w:kern w:val="0"/>
                                <w:sz w:val="20"/>
                                <w:szCs w:val="20"/>
                              </w:rPr>
                              <w:t>C</w:t>
                            </w:r>
                            <w:r w:rsidRPr="00B418C5">
                              <w:rPr>
                                <w:rFonts w:ascii="標楷體" w:eastAsia="標楷體" w:hAnsi="標楷體" w:cs="新細明體" w:hint="eastAsia"/>
                                <w:color w:val="000000"/>
                                <w:spacing w:val="-16"/>
                                <w:kern w:val="0"/>
                                <w:sz w:val="20"/>
                                <w:szCs w:val="20"/>
                              </w:rPr>
                              <w:t>）</w:t>
                            </w:r>
                            <w:r w:rsidR="007B1B13" w:rsidRPr="00B418C5">
                              <w:rPr>
                                <w:rFonts w:ascii="標楷體" w:eastAsia="標楷體" w:hAnsi="標楷體" w:cs="新細明體" w:hint="eastAsia"/>
                                <w:color w:val="000000"/>
                                <w:spacing w:val="-16"/>
                                <w:kern w:val="0"/>
                                <w:sz w:val="20"/>
                                <w:szCs w:val="20"/>
                              </w:rPr>
                              <w:t>=</w:t>
                            </w:r>
                            <w:r w:rsidRPr="00B418C5">
                              <w:rPr>
                                <w:rFonts w:ascii="標楷體" w:eastAsia="標楷體" w:hAnsi="標楷體" w:cs="新細明體" w:hint="eastAsia"/>
                                <w:color w:val="000000"/>
                                <w:spacing w:val="-16"/>
                                <w:kern w:val="0"/>
                                <w:sz w:val="20"/>
                                <w:szCs w:val="20"/>
                              </w:rPr>
                              <w:t>（</w:t>
                            </w:r>
                            <w:r w:rsidR="007B1B13" w:rsidRPr="00B418C5">
                              <w:rPr>
                                <w:rFonts w:ascii="標楷體" w:eastAsia="標楷體" w:hAnsi="標楷體" w:cs="新細明體" w:hint="eastAsia"/>
                                <w:color w:val="000000"/>
                                <w:spacing w:val="-16"/>
                                <w:kern w:val="0"/>
                                <w:sz w:val="20"/>
                                <w:szCs w:val="20"/>
                              </w:rPr>
                              <w:t>B-A</w:t>
                            </w:r>
                            <w:r w:rsidRPr="00B418C5">
                              <w:rPr>
                                <w:rFonts w:ascii="標楷體" w:eastAsia="標楷體" w:hAnsi="標楷體" w:cs="新細明體" w:hint="eastAsia"/>
                                <w:color w:val="000000"/>
                                <w:spacing w:val="-16"/>
                                <w:kern w:val="0"/>
                                <w:sz w:val="20"/>
                                <w:szCs w:val="20"/>
                              </w:rPr>
                              <w:t>）</w:t>
                            </w:r>
                          </w:p>
                        </w:tc>
                      </w:tr>
                      <w:tr w:rsidR="007B1B13" w14:paraId="07D35E5D" w14:textId="77777777">
                        <w:trPr>
                          <w:trHeight w:val="258"/>
                        </w:trPr>
                        <w:tc>
                          <w:tcPr>
                            <w:tcW w:w="680" w:type="dxa"/>
                            <w:vMerge/>
                            <w:tcBorders>
                              <w:top w:val="single" w:sz="4" w:space="0" w:color="auto"/>
                              <w:left w:val="single" w:sz="4" w:space="0" w:color="auto"/>
                              <w:bottom w:val="single" w:sz="4" w:space="0" w:color="auto"/>
                              <w:right w:val="single" w:sz="4" w:space="0" w:color="auto"/>
                            </w:tcBorders>
                            <w:vAlign w:val="center"/>
                            <w:hideMark/>
                          </w:tcPr>
                          <w:p w14:paraId="00642C80" w14:textId="77777777" w:rsidR="007B1B13" w:rsidRDefault="007B1B13">
                            <w:pPr>
                              <w:widowControl/>
                              <w:rPr>
                                <w:rFonts w:ascii="標楷體" w:eastAsia="標楷體" w:hAnsi="標楷體" w:cs="新細明體"/>
                                <w:color w:val="000000"/>
                                <w:kern w:val="0"/>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1E0BDEE1" w14:textId="77777777" w:rsidR="007B1B13" w:rsidRDefault="007B1B13">
                            <w:pPr>
                              <w:widowControl/>
                              <w:rPr>
                                <w:rFonts w:ascii="標楷體" w:eastAsia="標楷體" w:hAnsi="標楷體" w:cs="新細明體"/>
                                <w:color w:val="000000"/>
                                <w:spacing w:val="-20"/>
                                <w:kern w:val="0"/>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8720FF1" w14:textId="77777777" w:rsidR="007B1B13" w:rsidRDefault="007B1B13">
                            <w:pPr>
                              <w:widowControl/>
                              <w:rPr>
                                <w:rFonts w:ascii="標楷體" w:eastAsia="標楷體" w:hAnsi="標楷體" w:cs="新細明體"/>
                                <w:color w:val="000000"/>
                                <w:spacing w:val="-12"/>
                                <w:kern w:val="0"/>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ADA6D3C" w14:textId="77777777" w:rsidR="007B1B13" w:rsidRDefault="007B1B13">
                            <w:pPr>
                              <w:widowControl/>
                              <w:rPr>
                                <w:rFonts w:ascii="標楷體" w:eastAsia="標楷體" w:hAnsi="標楷體" w:cs="新細明體"/>
                                <w:color w:val="000000"/>
                                <w:spacing w:val="-12"/>
                                <w:kern w:val="0"/>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089D8B17" w14:textId="77777777" w:rsidR="007B1B13" w:rsidRDefault="007B1B13">
                            <w:pPr>
                              <w:widowControl/>
                              <w:rPr>
                                <w:rFonts w:ascii="標楷體" w:eastAsia="標楷體" w:hAnsi="標楷體" w:cs="新細明體"/>
                                <w:color w:val="000000"/>
                                <w:spacing w:val="-12"/>
                                <w:kern w:val="0"/>
                                <w:sz w:val="20"/>
                                <w:szCs w:val="20"/>
                              </w:rPr>
                            </w:pPr>
                          </w:p>
                        </w:tc>
                        <w:tc>
                          <w:tcPr>
                            <w:tcW w:w="454" w:type="dxa"/>
                            <w:tcBorders>
                              <w:top w:val="single" w:sz="4" w:space="0" w:color="auto"/>
                              <w:left w:val="single" w:sz="4" w:space="0" w:color="auto"/>
                              <w:bottom w:val="single" w:sz="4" w:space="0" w:color="auto"/>
                              <w:right w:val="single" w:sz="4" w:space="0" w:color="auto"/>
                            </w:tcBorders>
                            <w:vAlign w:val="center"/>
                            <w:hideMark/>
                          </w:tcPr>
                          <w:p w14:paraId="1EEDA13D" w14:textId="77777777" w:rsidR="007B1B13" w:rsidRDefault="007B1B13">
                            <w:pPr>
                              <w:spacing w:line="200" w:lineRule="exact"/>
                              <w:jc w:val="center"/>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人數</w:t>
                            </w:r>
                          </w:p>
                        </w:tc>
                        <w:tc>
                          <w:tcPr>
                            <w:tcW w:w="737" w:type="dxa"/>
                            <w:tcBorders>
                              <w:top w:val="single" w:sz="4" w:space="0" w:color="auto"/>
                              <w:left w:val="single" w:sz="4" w:space="0" w:color="auto"/>
                              <w:bottom w:val="single" w:sz="4" w:space="0" w:color="auto"/>
                              <w:right w:val="single" w:sz="4" w:space="0" w:color="auto"/>
                            </w:tcBorders>
                            <w:vAlign w:val="center"/>
                            <w:hideMark/>
                          </w:tcPr>
                          <w:p w14:paraId="1D4F5743" w14:textId="77777777" w:rsidR="007B1B13" w:rsidRDefault="007B1B13">
                            <w:pPr>
                              <w:spacing w:line="200" w:lineRule="exact"/>
                              <w:ind w:leftChars="-10" w:left="-24"/>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p>
                        </w:tc>
                      </w:tr>
                      <w:tr w:rsidR="007B1B13" w14:paraId="6769650E"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52D7D207"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松山區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3CA131E2"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250</w:t>
                            </w:r>
                          </w:p>
                        </w:tc>
                        <w:tc>
                          <w:tcPr>
                            <w:tcW w:w="624" w:type="dxa"/>
                            <w:tcBorders>
                              <w:top w:val="single" w:sz="4" w:space="0" w:color="auto"/>
                              <w:left w:val="single" w:sz="4" w:space="0" w:color="auto"/>
                              <w:bottom w:val="single" w:sz="4" w:space="0" w:color="auto"/>
                              <w:right w:val="single" w:sz="4" w:space="0" w:color="auto"/>
                            </w:tcBorders>
                            <w:vAlign w:val="center"/>
                            <w:hideMark/>
                          </w:tcPr>
                          <w:p w14:paraId="0F036EB1"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624" w:type="dxa"/>
                            <w:tcBorders>
                              <w:top w:val="single" w:sz="4" w:space="0" w:color="auto"/>
                              <w:left w:val="single" w:sz="4" w:space="0" w:color="auto"/>
                              <w:bottom w:val="single" w:sz="4" w:space="0" w:color="auto"/>
                              <w:right w:val="single" w:sz="4" w:space="0" w:color="auto"/>
                            </w:tcBorders>
                            <w:vAlign w:val="center"/>
                            <w:hideMark/>
                          </w:tcPr>
                          <w:p w14:paraId="11BA29A3"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2DDC0192"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125</w:t>
                            </w:r>
                          </w:p>
                        </w:tc>
                        <w:tc>
                          <w:tcPr>
                            <w:tcW w:w="454" w:type="dxa"/>
                            <w:tcBorders>
                              <w:top w:val="single" w:sz="4" w:space="0" w:color="auto"/>
                              <w:left w:val="single" w:sz="4" w:space="0" w:color="auto"/>
                              <w:bottom w:val="single" w:sz="4" w:space="0" w:color="auto"/>
                              <w:right w:val="single" w:sz="4" w:space="0" w:color="auto"/>
                            </w:tcBorders>
                            <w:vAlign w:val="center"/>
                            <w:hideMark/>
                          </w:tcPr>
                          <w:p w14:paraId="6C351015"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- 2</w:t>
                            </w:r>
                          </w:p>
                        </w:tc>
                        <w:tc>
                          <w:tcPr>
                            <w:tcW w:w="737" w:type="dxa"/>
                            <w:tcBorders>
                              <w:top w:val="single" w:sz="4" w:space="0" w:color="auto"/>
                              <w:left w:val="nil"/>
                              <w:bottom w:val="single" w:sz="4" w:space="0" w:color="auto"/>
                              <w:right w:val="single" w:sz="4" w:space="0" w:color="auto"/>
                            </w:tcBorders>
                            <w:vAlign w:val="center"/>
                            <w:hideMark/>
                          </w:tcPr>
                          <w:p w14:paraId="4AB6F1DC"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- 50.00</w:t>
                            </w:r>
                          </w:p>
                        </w:tc>
                      </w:tr>
                      <w:tr w:rsidR="007B1B13" w14:paraId="0BC2CA43"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5156A5A6"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信義區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041DA9CD"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393</w:t>
                            </w:r>
                          </w:p>
                        </w:tc>
                        <w:tc>
                          <w:tcPr>
                            <w:tcW w:w="624" w:type="dxa"/>
                            <w:tcBorders>
                              <w:top w:val="single" w:sz="4" w:space="0" w:color="auto"/>
                              <w:left w:val="single" w:sz="4" w:space="0" w:color="auto"/>
                              <w:bottom w:val="single" w:sz="4" w:space="0" w:color="auto"/>
                              <w:right w:val="single" w:sz="4" w:space="0" w:color="auto"/>
                            </w:tcBorders>
                            <w:vAlign w:val="center"/>
                            <w:hideMark/>
                          </w:tcPr>
                          <w:p w14:paraId="0107BE72"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624" w:type="dxa"/>
                            <w:tcBorders>
                              <w:top w:val="single" w:sz="4" w:space="0" w:color="auto"/>
                              <w:left w:val="single" w:sz="4" w:space="0" w:color="auto"/>
                              <w:bottom w:val="single" w:sz="4" w:space="0" w:color="auto"/>
                              <w:right w:val="single" w:sz="4" w:space="0" w:color="auto"/>
                            </w:tcBorders>
                            <w:vAlign w:val="center"/>
                            <w:hideMark/>
                          </w:tcPr>
                          <w:p w14:paraId="2121CBE5"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2897D7AD"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w:t>
                            </w:r>
                          </w:p>
                        </w:tc>
                        <w:tc>
                          <w:tcPr>
                            <w:tcW w:w="454" w:type="dxa"/>
                            <w:tcBorders>
                              <w:top w:val="single" w:sz="4" w:space="0" w:color="auto"/>
                              <w:left w:val="single" w:sz="4" w:space="0" w:color="auto"/>
                              <w:bottom w:val="single" w:sz="4" w:space="0" w:color="auto"/>
                              <w:right w:val="single" w:sz="4" w:space="0" w:color="auto"/>
                            </w:tcBorders>
                            <w:vAlign w:val="center"/>
                            <w:hideMark/>
                          </w:tcPr>
                          <w:p w14:paraId="6439D1C3"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- 2</w:t>
                            </w:r>
                          </w:p>
                        </w:tc>
                        <w:tc>
                          <w:tcPr>
                            <w:tcW w:w="737" w:type="dxa"/>
                            <w:tcBorders>
                              <w:top w:val="single" w:sz="4" w:space="0" w:color="auto"/>
                              <w:left w:val="nil"/>
                              <w:bottom w:val="single" w:sz="4" w:space="0" w:color="auto"/>
                              <w:right w:val="single" w:sz="4" w:space="0" w:color="auto"/>
                            </w:tcBorders>
                            <w:vAlign w:val="center"/>
                            <w:hideMark/>
                          </w:tcPr>
                          <w:p w14:paraId="19311A18"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- 28.57</w:t>
                            </w:r>
                          </w:p>
                        </w:tc>
                      </w:tr>
                      <w:tr w:rsidR="007B1B13" w14:paraId="23CD1752"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4AD62104"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大安區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13BD6488"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495</w:t>
                            </w:r>
                          </w:p>
                        </w:tc>
                        <w:tc>
                          <w:tcPr>
                            <w:tcW w:w="624" w:type="dxa"/>
                            <w:tcBorders>
                              <w:top w:val="single" w:sz="4" w:space="0" w:color="auto"/>
                              <w:left w:val="single" w:sz="4" w:space="0" w:color="auto"/>
                              <w:bottom w:val="single" w:sz="4" w:space="0" w:color="auto"/>
                              <w:right w:val="single" w:sz="4" w:space="0" w:color="auto"/>
                            </w:tcBorders>
                            <w:vAlign w:val="center"/>
                            <w:hideMark/>
                          </w:tcPr>
                          <w:p w14:paraId="63C67338"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624" w:type="dxa"/>
                            <w:tcBorders>
                              <w:top w:val="single" w:sz="4" w:space="0" w:color="auto"/>
                              <w:left w:val="single" w:sz="4" w:space="0" w:color="auto"/>
                              <w:bottom w:val="single" w:sz="4" w:space="0" w:color="auto"/>
                              <w:right w:val="single" w:sz="4" w:space="0" w:color="auto"/>
                            </w:tcBorders>
                            <w:vAlign w:val="center"/>
                            <w:hideMark/>
                          </w:tcPr>
                          <w:p w14:paraId="4F3F25ED"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449ED53B"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71</w:t>
                            </w:r>
                          </w:p>
                        </w:tc>
                        <w:tc>
                          <w:tcPr>
                            <w:tcW w:w="454" w:type="dxa"/>
                            <w:tcBorders>
                              <w:top w:val="single" w:sz="4" w:space="0" w:color="auto"/>
                              <w:left w:val="single" w:sz="4" w:space="0" w:color="auto"/>
                              <w:bottom w:val="single" w:sz="4" w:space="0" w:color="auto"/>
                              <w:right w:val="single" w:sz="4" w:space="0" w:color="auto"/>
                            </w:tcBorders>
                            <w:vAlign w:val="center"/>
                            <w:hideMark/>
                          </w:tcPr>
                          <w:p w14:paraId="1C671400"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- 1</w:t>
                            </w:r>
                          </w:p>
                        </w:tc>
                        <w:tc>
                          <w:tcPr>
                            <w:tcW w:w="737" w:type="dxa"/>
                            <w:tcBorders>
                              <w:top w:val="single" w:sz="4" w:space="0" w:color="auto"/>
                              <w:left w:val="nil"/>
                              <w:bottom w:val="single" w:sz="4" w:space="0" w:color="auto"/>
                              <w:right w:val="single" w:sz="4" w:space="0" w:color="auto"/>
                            </w:tcBorders>
                            <w:vAlign w:val="center"/>
                            <w:hideMark/>
                          </w:tcPr>
                          <w:p w14:paraId="3976F621"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- 12.50</w:t>
                            </w:r>
                          </w:p>
                        </w:tc>
                      </w:tr>
                      <w:tr w:rsidR="007B1B13" w14:paraId="426F3AB0"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E047BA2"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中山區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5D07BD55"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394</w:t>
                            </w:r>
                          </w:p>
                        </w:tc>
                        <w:tc>
                          <w:tcPr>
                            <w:tcW w:w="624" w:type="dxa"/>
                            <w:tcBorders>
                              <w:top w:val="single" w:sz="4" w:space="0" w:color="auto"/>
                              <w:left w:val="single" w:sz="4" w:space="0" w:color="auto"/>
                              <w:bottom w:val="single" w:sz="4" w:space="0" w:color="auto"/>
                              <w:right w:val="single" w:sz="4" w:space="0" w:color="auto"/>
                            </w:tcBorders>
                            <w:vAlign w:val="center"/>
                            <w:hideMark/>
                          </w:tcPr>
                          <w:p w14:paraId="0CF74AA9"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624" w:type="dxa"/>
                            <w:tcBorders>
                              <w:top w:val="single" w:sz="4" w:space="0" w:color="auto"/>
                              <w:left w:val="single" w:sz="4" w:space="0" w:color="auto"/>
                              <w:bottom w:val="single" w:sz="4" w:space="0" w:color="auto"/>
                              <w:right w:val="single" w:sz="4" w:space="0" w:color="auto"/>
                            </w:tcBorders>
                            <w:vAlign w:val="center"/>
                            <w:hideMark/>
                          </w:tcPr>
                          <w:p w14:paraId="05F7F4A3"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1470D062"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66</w:t>
                            </w:r>
                          </w:p>
                        </w:tc>
                        <w:tc>
                          <w:tcPr>
                            <w:tcW w:w="454" w:type="dxa"/>
                            <w:tcBorders>
                              <w:top w:val="single" w:sz="4" w:space="0" w:color="auto"/>
                              <w:left w:val="single" w:sz="4" w:space="0" w:color="auto"/>
                              <w:bottom w:val="single" w:sz="4" w:space="0" w:color="auto"/>
                              <w:right w:val="single" w:sz="4" w:space="0" w:color="auto"/>
                            </w:tcBorders>
                            <w:vAlign w:val="center"/>
                            <w:hideMark/>
                          </w:tcPr>
                          <w:p w14:paraId="46F6F7CC"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- 1</w:t>
                            </w:r>
                          </w:p>
                        </w:tc>
                        <w:tc>
                          <w:tcPr>
                            <w:tcW w:w="737" w:type="dxa"/>
                            <w:tcBorders>
                              <w:top w:val="single" w:sz="4" w:space="0" w:color="auto"/>
                              <w:left w:val="nil"/>
                              <w:bottom w:val="single" w:sz="4" w:space="0" w:color="auto"/>
                              <w:right w:val="single" w:sz="4" w:space="0" w:color="auto"/>
                            </w:tcBorders>
                            <w:vAlign w:val="center"/>
                            <w:hideMark/>
                          </w:tcPr>
                          <w:p w14:paraId="0B8D2FCB"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- 14.29</w:t>
                            </w:r>
                          </w:p>
                        </w:tc>
                      </w:tr>
                      <w:tr w:rsidR="007B1B13" w14:paraId="262BE16E"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402B57C4"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中正區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59D2CE45"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247</w:t>
                            </w:r>
                          </w:p>
                        </w:tc>
                        <w:tc>
                          <w:tcPr>
                            <w:tcW w:w="624" w:type="dxa"/>
                            <w:tcBorders>
                              <w:top w:val="single" w:sz="4" w:space="0" w:color="auto"/>
                              <w:left w:val="single" w:sz="4" w:space="0" w:color="auto"/>
                              <w:bottom w:val="single" w:sz="4" w:space="0" w:color="auto"/>
                              <w:right w:val="single" w:sz="4" w:space="0" w:color="auto"/>
                            </w:tcBorders>
                            <w:vAlign w:val="center"/>
                            <w:hideMark/>
                          </w:tcPr>
                          <w:p w14:paraId="074025A1" w14:textId="77777777" w:rsidR="007B1B13" w:rsidRDefault="007B1B13">
                            <w:pPr>
                              <w:spacing w:line="20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624" w:type="dxa"/>
                            <w:tcBorders>
                              <w:top w:val="single" w:sz="4" w:space="0" w:color="auto"/>
                              <w:left w:val="single" w:sz="4" w:space="0" w:color="auto"/>
                              <w:bottom w:val="single" w:sz="4" w:space="0" w:color="auto"/>
                              <w:right w:val="single" w:sz="4" w:space="0" w:color="auto"/>
                            </w:tcBorders>
                            <w:vAlign w:val="center"/>
                            <w:hideMark/>
                          </w:tcPr>
                          <w:p w14:paraId="42F04EEE"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kern w:val="0"/>
                                <w:sz w:val="20"/>
                                <w:szCs w:val="20"/>
                              </w:rPr>
                              <w:t>3</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1810D834"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82</w:t>
                            </w:r>
                          </w:p>
                        </w:tc>
                        <w:tc>
                          <w:tcPr>
                            <w:tcW w:w="454" w:type="dxa"/>
                            <w:tcBorders>
                              <w:top w:val="single" w:sz="4" w:space="0" w:color="auto"/>
                              <w:left w:val="single" w:sz="4" w:space="0" w:color="auto"/>
                              <w:bottom w:val="single" w:sz="4" w:space="0" w:color="auto"/>
                              <w:right w:val="single" w:sz="4" w:space="0" w:color="auto"/>
                            </w:tcBorders>
                            <w:vAlign w:val="center"/>
                            <w:hideMark/>
                          </w:tcPr>
                          <w:p w14:paraId="59431144" w14:textId="77777777" w:rsidR="007B1B13" w:rsidRDefault="007B1B13">
                            <w:pPr>
                              <w:widowControl/>
                              <w:spacing w:line="200" w:lineRule="exact"/>
                              <w:ind w:rightChars="20" w:right="48"/>
                              <w:jc w:val="right"/>
                              <w:rPr>
                                <w:rFonts w:ascii="標楷體" w:eastAsia="標楷體" w:hAnsi="標楷體" w:cs="新細明體"/>
                                <w:spacing w:val="-12"/>
                                <w:kern w:val="0"/>
                                <w:sz w:val="20"/>
                                <w:szCs w:val="20"/>
                              </w:rPr>
                            </w:pPr>
                            <w:r>
                              <w:rPr>
                                <w:rFonts w:ascii="標楷體" w:eastAsia="標楷體" w:hAnsi="標楷體" w:cs="新細明體" w:hint="eastAsia"/>
                                <w:color w:val="000000"/>
                                <w:spacing w:val="-12"/>
                                <w:kern w:val="0"/>
                                <w:sz w:val="20"/>
                                <w:szCs w:val="20"/>
                              </w:rPr>
                              <w:t>- 1</w:t>
                            </w:r>
                          </w:p>
                        </w:tc>
                        <w:tc>
                          <w:tcPr>
                            <w:tcW w:w="737" w:type="dxa"/>
                            <w:tcBorders>
                              <w:top w:val="single" w:sz="4" w:space="0" w:color="auto"/>
                              <w:left w:val="nil"/>
                              <w:bottom w:val="single" w:sz="4" w:space="0" w:color="auto"/>
                              <w:right w:val="single" w:sz="4" w:space="0" w:color="auto"/>
                            </w:tcBorders>
                            <w:vAlign w:val="center"/>
                            <w:hideMark/>
                          </w:tcPr>
                          <w:p w14:paraId="7CFA3764"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- 25.00</w:t>
                            </w:r>
                          </w:p>
                        </w:tc>
                      </w:tr>
                      <w:tr w:rsidR="007B1B13" w14:paraId="0C93E86A"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7C73F43A"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大同區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076D48EA"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239</w:t>
                            </w:r>
                          </w:p>
                        </w:tc>
                        <w:tc>
                          <w:tcPr>
                            <w:tcW w:w="624" w:type="dxa"/>
                            <w:tcBorders>
                              <w:top w:val="single" w:sz="4" w:space="0" w:color="auto"/>
                              <w:left w:val="single" w:sz="4" w:space="0" w:color="auto"/>
                              <w:bottom w:val="single" w:sz="4" w:space="0" w:color="auto"/>
                              <w:right w:val="single" w:sz="4" w:space="0" w:color="auto"/>
                            </w:tcBorders>
                            <w:vAlign w:val="center"/>
                            <w:hideMark/>
                          </w:tcPr>
                          <w:p w14:paraId="0692E598" w14:textId="77777777" w:rsidR="007B1B13" w:rsidRDefault="007B1B13">
                            <w:pPr>
                              <w:spacing w:line="20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w:t>
                            </w:r>
                          </w:p>
                        </w:tc>
                        <w:tc>
                          <w:tcPr>
                            <w:tcW w:w="624" w:type="dxa"/>
                            <w:tcBorders>
                              <w:top w:val="single" w:sz="4" w:space="0" w:color="auto"/>
                              <w:left w:val="single" w:sz="4" w:space="0" w:color="auto"/>
                              <w:bottom w:val="single" w:sz="4" w:space="0" w:color="auto"/>
                              <w:right w:val="single" w:sz="4" w:space="0" w:color="auto"/>
                            </w:tcBorders>
                            <w:vAlign w:val="center"/>
                            <w:hideMark/>
                          </w:tcPr>
                          <w:p w14:paraId="4C7EAE9E"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kern w:val="0"/>
                                <w:sz w:val="20"/>
                                <w:szCs w:val="20"/>
                              </w:rPr>
                              <w:t>3</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32FDB84B"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80</w:t>
                            </w:r>
                          </w:p>
                        </w:tc>
                        <w:tc>
                          <w:tcPr>
                            <w:tcW w:w="454" w:type="dxa"/>
                            <w:tcBorders>
                              <w:top w:val="single" w:sz="4" w:space="0" w:color="auto"/>
                              <w:left w:val="single" w:sz="4" w:space="0" w:color="auto"/>
                              <w:bottom w:val="single" w:sz="4" w:space="0" w:color="auto"/>
                              <w:right w:val="single" w:sz="4" w:space="0" w:color="auto"/>
                            </w:tcBorders>
                            <w:vAlign w:val="center"/>
                            <w:hideMark/>
                          </w:tcPr>
                          <w:p w14:paraId="4A93E75E" w14:textId="77777777" w:rsidR="007B1B13" w:rsidRDefault="007B1B13">
                            <w:pPr>
                              <w:widowControl/>
                              <w:spacing w:line="200" w:lineRule="exact"/>
                              <w:ind w:rightChars="20" w:right="48"/>
                              <w:jc w:val="right"/>
                              <w:rPr>
                                <w:rFonts w:ascii="標楷體" w:eastAsia="標楷體" w:hAnsi="標楷體" w:cs="新細明體"/>
                                <w:spacing w:val="-12"/>
                                <w:kern w:val="0"/>
                                <w:sz w:val="20"/>
                                <w:szCs w:val="20"/>
                              </w:rPr>
                            </w:pPr>
                            <w:r>
                              <w:rPr>
                                <w:rFonts w:ascii="標楷體" w:eastAsia="標楷體" w:hAnsi="標楷體" w:cs="新細明體" w:hint="eastAsia"/>
                                <w:color w:val="000000"/>
                                <w:spacing w:val="-12"/>
                                <w:kern w:val="0"/>
                                <w:sz w:val="20"/>
                                <w:szCs w:val="20"/>
                              </w:rPr>
                              <w:t>- 1</w:t>
                            </w:r>
                          </w:p>
                        </w:tc>
                        <w:tc>
                          <w:tcPr>
                            <w:tcW w:w="737" w:type="dxa"/>
                            <w:tcBorders>
                              <w:top w:val="single" w:sz="4" w:space="0" w:color="auto"/>
                              <w:left w:val="nil"/>
                              <w:bottom w:val="single" w:sz="4" w:space="0" w:color="auto"/>
                              <w:right w:val="single" w:sz="4" w:space="0" w:color="auto"/>
                            </w:tcBorders>
                            <w:vAlign w:val="center"/>
                            <w:hideMark/>
                          </w:tcPr>
                          <w:p w14:paraId="271FDDFD"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- 25.00</w:t>
                            </w:r>
                          </w:p>
                        </w:tc>
                      </w:tr>
                      <w:tr w:rsidR="007B1B13" w14:paraId="071D4989"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2147D226"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萬華區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5B55B2A7"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271</w:t>
                            </w:r>
                          </w:p>
                        </w:tc>
                        <w:tc>
                          <w:tcPr>
                            <w:tcW w:w="624" w:type="dxa"/>
                            <w:tcBorders>
                              <w:top w:val="single" w:sz="4" w:space="0" w:color="auto"/>
                              <w:left w:val="single" w:sz="4" w:space="0" w:color="auto"/>
                              <w:bottom w:val="single" w:sz="4" w:space="0" w:color="auto"/>
                              <w:right w:val="single" w:sz="4" w:space="0" w:color="auto"/>
                            </w:tcBorders>
                            <w:vAlign w:val="center"/>
                            <w:hideMark/>
                          </w:tcPr>
                          <w:p w14:paraId="01B38903"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624" w:type="dxa"/>
                            <w:tcBorders>
                              <w:top w:val="single" w:sz="4" w:space="0" w:color="auto"/>
                              <w:left w:val="single" w:sz="4" w:space="0" w:color="auto"/>
                              <w:bottom w:val="single" w:sz="4" w:space="0" w:color="auto"/>
                              <w:right w:val="single" w:sz="4" w:space="0" w:color="auto"/>
                            </w:tcBorders>
                            <w:vAlign w:val="center"/>
                            <w:hideMark/>
                          </w:tcPr>
                          <w:p w14:paraId="5F9BF17C"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7C8C0121"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w:t>
                            </w:r>
                          </w:p>
                        </w:tc>
                        <w:tc>
                          <w:tcPr>
                            <w:tcW w:w="454" w:type="dxa"/>
                            <w:tcBorders>
                              <w:top w:val="single" w:sz="4" w:space="0" w:color="auto"/>
                              <w:left w:val="single" w:sz="4" w:space="0" w:color="auto"/>
                              <w:bottom w:val="single" w:sz="4" w:space="0" w:color="auto"/>
                              <w:right w:val="single" w:sz="4" w:space="0" w:color="auto"/>
                            </w:tcBorders>
                            <w:vAlign w:val="center"/>
                            <w:hideMark/>
                          </w:tcPr>
                          <w:p w14:paraId="22145317" w14:textId="77777777" w:rsidR="007B1B13" w:rsidRDefault="007B1B13">
                            <w:pPr>
                              <w:widowControl/>
                              <w:wordWrap w:val="0"/>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- 1</w:t>
                            </w:r>
                          </w:p>
                        </w:tc>
                        <w:tc>
                          <w:tcPr>
                            <w:tcW w:w="737" w:type="dxa"/>
                            <w:tcBorders>
                              <w:top w:val="single" w:sz="4" w:space="0" w:color="auto"/>
                              <w:left w:val="single" w:sz="4" w:space="0" w:color="auto"/>
                              <w:bottom w:val="single" w:sz="4" w:space="0" w:color="auto"/>
                              <w:right w:val="single" w:sz="4" w:space="0" w:color="auto"/>
                            </w:tcBorders>
                            <w:vAlign w:val="center"/>
                            <w:hideMark/>
                          </w:tcPr>
                          <w:p w14:paraId="00C455D4"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- 20.00</w:t>
                            </w:r>
                          </w:p>
                        </w:tc>
                      </w:tr>
                      <w:tr w:rsidR="007B1B13" w14:paraId="4FD03956"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99AC3FF"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文山區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115DC799"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446</w:t>
                            </w:r>
                          </w:p>
                        </w:tc>
                        <w:tc>
                          <w:tcPr>
                            <w:tcW w:w="624" w:type="dxa"/>
                            <w:tcBorders>
                              <w:top w:val="single" w:sz="4" w:space="0" w:color="auto"/>
                              <w:left w:val="single" w:sz="4" w:space="0" w:color="auto"/>
                              <w:bottom w:val="single" w:sz="4" w:space="0" w:color="auto"/>
                              <w:right w:val="single" w:sz="4" w:space="0" w:color="auto"/>
                            </w:tcBorders>
                            <w:vAlign w:val="center"/>
                            <w:hideMark/>
                          </w:tcPr>
                          <w:p w14:paraId="55BEEC05" w14:textId="77777777" w:rsidR="007B1B13" w:rsidRDefault="007B1B13">
                            <w:pPr>
                              <w:spacing w:line="200" w:lineRule="exact"/>
                              <w:ind w:rightChars="20" w:right="48"/>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w:t>
                            </w:r>
                          </w:p>
                        </w:tc>
                        <w:tc>
                          <w:tcPr>
                            <w:tcW w:w="624" w:type="dxa"/>
                            <w:tcBorders>
                              <w:top w:val="single" w:sz="4" w:space="0" w:color="auto"/>
                              <w:left w:val="single" w:sz="4" w:space="0" w:color="auto"/>
                              <w:bottom w:val="single" w:sz="4" w:space="0" w:color="auto"/>
                              <w:right w:val="single" w:sz="4" w:space="0" w:color="auto"/>
                            </w:tcBorders>
                            <w:vAlign w:val="center"/>
                            <w:hideMark/>
                          </w:tcPr>
                          <w:p w14:paraId="18715D30"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kern w:val="0"/>
                                <w:sz w:val="20"/>
                                <w:szCs w:val="20"/>
                              </w:rPr>
                              <w:t>8</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5010C2AB"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w:t>
                            </w:r>
                          </w:p>
                        </w:tc>
                        <w:tc>
                          <w:tcPr>
                            <w:tcW w:w="454" w:type="dxa"/>
                            <w:tcBorders>
                              <w:top w:val="single" w:sz="4" w:space="0" w:color="auto"/>
                              <w:left w:val="single" w:sz="4" w:space="0" w:color="auto"/>
                              <w:bottom w:val="single" w:sz="4" w:space="0" w:color="auto"/>
                              <w:right w:val="single" w:sz="4" w:space="0" w:color="auto"/>
                            </w:tcBorders>
                            <w:vAlign w:val="center"/>
                            <w:hideMark/>
                          </w:tcPr>
                          <w:p w14:paraId="2E08F7DC" w14:textId="77777777" w:rsidR="007B1B13" w:rsidRDefault="007B1B13">
                            <w:pPr>
                              <w:widowControl/>
                              <w:spacing w:line="200" w:lineRule="exact"/>
                              <w:ind w:rightChars="20" w:right="48"/>
                              <w:jc w:val="right"/>
                              <w:rPr>
                                <w:rFonts w:ascii="標楷體" w:eastAsia="標楷體" w:hAnsi="標楷體" w:cs="新細明體"/>
                                <w:spacing w:val="-12"/>
                                <w:kern w:val="0"/>
                                <w:sz w:val="20"/>
                                <w:szCs w:val="20"/>
                              </w:rPr>
                            </w:pPr>
                            <w:r>
                              <w:rPr>
                                <w:rFonts w:ascii="標楷體" w:eastAsia="標楷體" w:hAnsi="標楷體" w:cs="新細明體" w:hint="eastAsia"/>
                                <w:color w:val="000000"/>
                                <w:spacing w:val="-12"/>
                                <w:kern w:val="0"/>
                                <w:sz w:val="20"/>
                                <w:szCs w:val="20"/>
                              </w:rPr>
                              <w:t>1</w:t>
                            </w:r>
                          </w:p>
                        </w:tc>
                        <w:tc>
                          <w:tcPr>
                            <w:tcW w:w="737" w:type="dxa"/>
                            <w:tcBorders>
                              <w:top w:val="single" w:sz="4" w:space="0" w:color="auto"/>
                              <w:left w:val="nil"/>
                              <w:bottom w:val="single" w:sz="4" w:space="0" w:color="auto"/>
                              <w:right w:val="single" w:sz="4" w:space="0" w:color="auto"/>
                            </w:tcBorders>
                            <w:vAlign w:val="center"/>
                            <w:hideMark/>
                          </w:tcPr>
                          <w:p w14:paraId="29196F51"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14.29</w:t>
                            </w:r>
                          </w:p>
                        </w:tc>
                      </w:tr>
                      <w:tr w:rsidR="007B1B13" w14:paraId="5B423756"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23479F4"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南港區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323733B9"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195</w:t>
                            </w:r>
                          </w:p>
                        </w:tc>
                        <w:tc>
                          <w:tcPr>
                            <w:tcW w:w="624" w:type="dxa"/>
                            <w:tcBorders>
                              <w:top w:val="single" w:sz="4" w:space="0" w:color="auto"/>
                              <w:left w:val="single" w:sz="4" w:space="0" w:color="auto"/>
                              <w:bottom w:val="single" w:sz="4" w:space="0" w:color="auto"/>
                              <w:right w:val="single" w:sz="4" w:space="0" w:color="auto"/>
                            </w:tcBorders>
                            <w:vAlign w:val="center"/>
                            <w:hideMark/>
                          </w:tcPr>
                          <w:p w14:paraId="0AC80EE3"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624" w:type="dxa"/>
                            <w:tcBorders>
                              <w:top w:val="single" w:sz="4" w:space="0" w:color="auto"/>
                              <w:left w:val="single" w:sz="4" w:space="0" w:color="auto"/>
                              <w:bottom w:val="single" w:sz="4" w:space="0" w:color="auto"/>
                              <w:right w:val="single" w:sz="4" w:space="0" w:color="auto"/>
                            </w:tcBorders>
                            <w:vAlign w:val="center"/>
                            <w:hideMark/>
                          </w:tcPr>
                          <w:p w14:paraId="37EFDA4E"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0796B2E3"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195</w:t>
                            </w:r>
                          </w:p>
                        </w:tc>
                        <w:tc>
                          <w:tcPr>
                            <w:tcW w:w="454" w:type="dxa"/>
                            <w:tcBorders>
                              <w:top w:val="single" w:sz="4" w:space="0" w:color="auto"/>
                              <w:left w:val="single" w:sz="4" w:space="0" w:color="auto"/>
                              <w:bottom w:val="single" w:sz="4" w:space="0" w:color="auto"/>
                              <w:right w:val="single" w:sz="4" w:space="0" w:color="auto"/>
                            </w:tcBorders>
                            <w:vAlign w:val="center"/>
                            <w:hideMark/>
                          </w:tcPr>
                          <w:p w14:paraId="3B596C0E"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- 2</w:t>
                            </w:r>
                          </w:p>
                        </w:tc>
                        <w:tc>
                          <w:tcPr>
                            <w:tcW w:w="737" w:type="dxa"/>
                            <w:tcBorders>
                              <w:top w:val="single" w:sz="4" w:space="0" w:color="auto"/>
                              <w:left w:val="nil"/>
                              <w:bottom w:val="single" w:sz="4" w:space="0" w:color="auto"/>
                              <w:right w:val="single" w:sz="4" w:space="0" w:color="auto"/>
                            </w:tcBorders>
                            <w:vAlign w:val="center"/>
                            <w:hideMark/>
                          </w:tcPr>
                          <w:p w14:paraId="70933AC3"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xml:space="preserve"> - 66.67</w:t>
                            </w:r>
                          </w:p>
                        </w:tc>
                      </w:tr>
                      <w:tr w:rsidR="007B1B13" w14:paraId="14B97347"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1651B8AF"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內湖區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5826CE44"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492</w:t>
                            </w:r>
                          </w:p>
                        </w:tc>
                        <w:tc>
                          <w:tcPr>
                            <w:tcW w:w="624" w:type="dxa"/>
                            <w:tcBorders>
                              <w:top w:val="single" w:sz="4" w:space="0" w:color="auto"/>
                              <w:left w:val="single" w:sz="4" w:space="0" w:color="auto"/>
                              <w:bottom w:val="single" w:sz="4" w:space="0" w:color="auto"/>
                              <w:right w:val="single" w:sz="4" w:space="0" w:color="auto"/>
                            </w:tcBorders>
                            <w:vAlign w:val="center"/>
                            <w:hideMark/>
                          </w:tcPr>
                          <w:p w14:paraId="63C3E57C"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624" w:type="dxa"/>
                            <w:tcBorders>
                              <w:top w:val="single" w:sz="4" w:space="0" w:color="auto"/>
                              <w:left w:val="single" w:sz="4" w:space="0" w:color="auto"/>
                              <w:bottom w:val="single" w:sz="4" w:space="0" w:color="auto"/>
                              <w:right w:val="single" w:sz="4" w:space="0" w:color="auto"/>
                            </w:tcBorders>
                            <w:vAlign w:val="center"/>
                            <w:hideMark/>
                          </w:tcPr>
                          <w:p w14:paraId="6D47BDA1"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7442C5CB"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82</w:t>
                            </w:r>
                          </w:p>
                        </w:tc>
                        <w:tc>
                          <w:tcPr>
                            <w:tcW w:w="454" w:type="dxa"/>
                            <w:tcBorders>
                              <w:top w:val="single" w:sz="4" w:space="0" w:color="auto"/>
                              <w:left w:val="single" w:sz="4" w:space="0" w:color="auto"/>
                              <w:bottom w:val="single" w:sz="4" w:space="0" w:color="auto"/>
                              <w:right w:val="single" w:sz="4" w:space="0" w:color="auto"/>
                            </w:tcBorders>
                            <w:vAlign w:val="center"/>
                            <w:hideMark/>
                          </w:tcPr>
                          <w:p w14:paraId="40AAE3C6"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- 2</w:t>
                            </w:r>
                          </w:p>
                        </w:tc>
                        <w:tc>
                          <w:tcPr>
                            <w:tcW w:w="737" w:type="dxa"/>
                            <w:tcBorders>
                              <w:top w:val="single" w:sz="4" w:space="0" w:color="auto"/>
                              <w:left w:val="nil"/>
                              <w:bottom w:val="single" w:sz="4" w:space="0" w:color="auto"/>
                              <w:right w:val="single" w:sz="4" w:space="0" w:color="auto"/>
                            </w:tcBorders>
                            <w:vAlign w:val="center"/>
                            <w:hideMark/>
                          </w:tcPr>
                          <w:p w14:paraId="76F0F379"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hint="eastAsia"/>
                                <w:color w:val="000000"/>
                                <w:spacing w:val="-12"/>
                                <w:sz w:val="20"/>
                                <w:szCs w:val="20"/>
                              </w:rPr>
                              <w:t>- 25.00</w:t>
                            </w:r>
                          </w:p>
                        </w:tc>
                      </w:tr>
                      <w:tr w:rsidR="007B1B13" w14:paraId="5CBE07C3"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29882A42"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士林區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67C9FA0B"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441</w:t>
                            </w:r>
                          </w:p>
                        </w:tc>
                        <w:tc>
                          <w:tcPr>
                            <w:tcW w:w="624" w:type="dxa"/>
                            <w:tcBorders>
                              <w:top w:val="single" w:sz="4" w:space="0" w:color="auto"/>
                              <w:left w:val="single" w:sz="4" w:space="0" w:color="auto"/>
                              <w:bottom w:val="single" w:sz="4" w:space="0" w:color="auto"/>
                              <w:right w:val="single" w:sz="4" w:space="0" w:color="auto"/>
                            </w:tcBorders>
                            <w:vAlign w:val="center"/>
                            <w:hideMark/>
                          </w:tcPr>
                          <w:p w14:paraId="4A8A708E"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624" w:type="dxa"/>
                            <w:tcBorders>
                              <w:top w:val="single" w:sz="4" w:space="0" w:color="auto"/>
                              <w:left w:val="single" w:sz="4" w:space="0" w:color="auto"/>
                              <w:bottom w:val="single" w:sz="4" w:space="0" w:color="auto"/>
                              <w:right w:val="single" w:sz="4" w:space="0" w:color="auto"/>
                            </w:tcBorders>
                            <w:vAlign w:val="center"/>
                            <w:hideMark/>
                          </w:tcPr>
                          <w:p w14:paraId="3C0CDB64"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54496311"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63</w:t>
                            </w:r>
                          </w:p>
                        </w:tc>
                        <w:tc>
                          <w:tcPr>
                            <w:tcW w:w="454" w:type="dxa"/>
                            <w:tcBorders>
                              <w:top w:val="single" w:sz="4" w:space="0" w:color="auto"/>
                              <w:left w:val="single" w:sz="4" w:space="0" w:color="auto"/>
                              <w:bottom w:val="single" w:sz="4" w:space="0" w:color="auto"/>
                              <w:right w:val="single" w:sz="4" w:space="0" w:color="auto"/>
                            </w:tcBorders>
                            <w:vAlign w:val="center"/>
                            <w:hideMark/>
                          </w:tcPr>
                          <w:p w14:paraId="1E6A77EB"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hideMark/>
                          </w:tcPr>
                          <w:p w14:paraId="758725B2"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w:t>
                            </w:r>
                          </w:p>
                        </w:tc>
                      </w:tr>
                      <w:tr w:rsidR="007B1B13" w14:paraId="13BB09B9" w14:textId="77777777" w:rsidTr="00323817">
                        <w:trPr>
                          <w:trHeight w:val="283"/>
                        </w:trPr>
                        <w:tc>
                          <w:tcPr>
                            <w:tcW w:w="680" w:type="dxa"/>
                            <w:tcBorders>
                              <w:top w:val="single" w:sz="4" w:space="0" w:color="auto"/>
                              <w:left w:val="single" w:sz="4" w:space="0" w:color="auto"/>
                              <w:bottom w:val="single" w:sz="4" w:space="0" w:color="auto"/>
                              <w:right w:val="single" w:sz="4" w:space="0" w:color="auto"/>
                            </w:tcBorders>
                            <w:noWrap/>
                            <w:vAlign w:val="center"/>
                            <w:hideMark/>
                          </w:tcPr>
                          <w:p w14:paraId="013CA57A" w14:textId="77777777" w:rsidR="007B1B13" w:rsidRDefault="007B1B13">
                            <w:pPr>
                              <w:widowControl/>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北投區</w:t>
                            </w:r>
                          </w:p>
                        </w:tc>
                        <w:tc>
                          <w:tcPr>
                            <w:tcW w:w="624" w:type="dxa"/>
                            <w:tcBorders>
                              <w:top w:val="single" w:sz="4" w:space="0" w:color="auto"/>
                              <w:left w:val="single" w:sz="4" w:space="0" w:color="auto"/>
                              <w:bottom w:val="single" w:sz="4" w:space="0" w:color="auto"/>
                              <w:right w:val="single" w:sz="4" w:space="0" w:color="auto"/>
                            </w:tcBorders>
                            <w:vAlign w:val="center"/>
                            <w:hideMark/>
                          </w:tcPr>
                          <w:p w14:paraId="0EA4E070" w14:textId="77777777" w:rsidR="007B1B13" w:rsidRDefault="007B1B13">
                            <w:pPr>
                              <w:widowControl/>
                              <w:spacing w:line="200" w:lineRule="exact"/>
                              <w:ind w:rightChars="20" w:right="48"/>
                              <w:jc w:val="right"/>
                              <w:rPr>
                                <w:rFonts w:ascii="標楷體" w:eastAsia="標楷體" w:hAnsi="標楷體" w:cs="Times New Roman"/>
                                <w:kern w:val="0"/>
                                <w:sz w:val="20"/>
                                <w:szCs w:val="20"/>
                              </w:rPr>
                            </w:pPr>
                            <w:r>
                              <w:rPr>
                                <w:rFonts w:ascii="標楷體" w:eastAsia="標楷體" w:hAnsi="標楷體" w:cs="新細明體" w:hint="eastAsia"/>
                                <w:color w:val="000000"/>
                                <w:kern w:val="0"/>
                                <w:sz w:val="20"/>
                                <w:szCs w:val="20"/>
                              </w:rPr>
                              <w:t>382</w:t>
                            </w:r>
                          </w:p>
                        </w:tc>
                        <w:tc>
                          <w:tcPr>
                            <w:tcW w:w="624" w:type="dxa"/>
                            <w:tcBorders>
                              <w:top w:val="single" w:sz="4" w:space="0" w:color="auto"/>
                              <w:left w:val="single" w:sz="4" w:space="0" w:color="auto"/>
                              <w:bottom w:val="single" w:sz="4" w:space="0" w:color="auto"/>
                              <w:right w:val="single" w:sz="4" w:space="0" w:color="auto"/>
                            </w:tcBorders>
                            <w:vAlign w:val="center"/>
                            <w:hideMark/>
                          </w:tcPr>
                          <w:p w14:paraId="6642D51F"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624" w:type="dxa"/>
                            <w:tcBorders>
                              <w:top w:val="single" w:sz="4" w:space="0" w:color="auto"/>
                              <w:left w:val="single" w:sz="4" w:space="0" w:color="auto"/>
                              <w:bottom w:val="single" w:sz="4" w:space="0" w:color="auto"/>
                              <w:right w:val="single" w:sz="4" w:space="0" w:color="auto"/>
                            </w:tcBorders>
                            <w:vAlign w:val="center"/>
                            <w:hideMark/>
                          </w:tcPr>
                          <w:p w14:paraId="2CF6E097"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624" w:type="dxa"/>
                            <w:tcBorders>
                              <w:top w:val="single" w:sz="4" w:space="0" w:color="auto"/>
                              <w:left w:val="single" w:sz="4" w:space="0" w:color="auto"/>
                              <w:bottom w:val="single" w:sz="4" w:space="0" w:color="auto"/>
                              <w:right w:val="single" w:sz="4" w:space="0" w:color="auto"/>
                            </w:tcBorders>
                            <w:noWrap/>
                            <w:vAlign w:val="center"/>
                            <w:hideMark/>
                          </w:tcPr>
                          <w:p w14:paraId="1612C63E" w14:textId="77777777" w:rsidR="007B1B13" w:rsidRDefault="007B1B13">
                            <w:pPr>
                              <w:spacing w:line="200" w:lineRule="exact"/>
                              <w:ind w:rightChars="20" w:right="48"/>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64</w:t>
                            </w:r>
                          </w:p>
                        </w:tc>
                        <w:tc>
                          <w:tcPr>
                            <w:tcW w:w="454" w:type="dxa"/>
                            <w:tcBorders>
                              <w:top w:val="single" w:sz="4" w:space="0" w:color="auto"/>
                              <w:left w:val="single" w:sz="4" w:space="0" w:color="auto"/>
                              <w:bottom w:val="single" w:sz="4" w:space="0" w:color="auto"/>
                              <w:right w:val="single" w:sz="4" w:space="0" w:color="auto"/>
                            </w:tcBorders>
                            <w:vAlign w:val="center"/>
                            <w:hideMark/>
                          </w:tcPr>
                          <w:p w14:paraId="694BF3A4" w14:textId="77777777" w:rsidR="007B1B13" w:rsidRDefault="007B1B13">
                            <w:pPr>
                              <w:widowControl/>
                              <w:spacing w:line="200" w:lineRule="exact"/>
                              <w:ind w:rightChars="20" w:right="48"/>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w:t>
                            </w:r>
                          </w:p>
                        </w:tc>
                        <w:tc>
                          <w:tcPr>
                            <w:tcW w:w="737" w:type="dxa"/>
                            <w:tcBorders>
                              <w:top w:val="single" w:sz="4" w:space="0" w:color="auto"/>
                              <w:left w:val="single" w:sz="4" w:space="0" w:color="auto"/>
                              <w:bottom w:val="single" w:sz="4" w:space="0" w:color="auto"/>
                              <w:right w:val="single" w:sz="4" w:space="0" w:color="auto"/>
                            </w:tcBorders>
                            <w:vAlign w:val="center"/>
                            <w:hideMark/>
                          </w:tcPr>
                          <w:p w14:paraId="21CEC07C" w14:textId="77777777" w:rsidR="007B1B13" w:rsidRDefault="007B1B13">
                            <w:pPr>
                              <w:widowControl/>
                              <w:spacing w:line="200" w:lineRule="exact"/>
                              <w:ind w:leftChars="-10" w:left="-24" w:rightChars="5" w:right="12"/>
                              <w:jc w:val="right"/>
                              <w:rPr>
                                <w:rFonts w:ascii="標楷體" w:eastAsia="標楷體" w:hAnsi="標楷體" w:cs="新細明體"/>
                                <w:color w:val="000000"/>
                                <w:spacing w:val="-12"/>
                                <w:kern w:val="0"/>
                                <w:sz w:val="20"/>
                                <w:szCs w:val="20"/>
                              </w:rPr>
                            </w:pPr>
                            <w:r>
                              <w:rPr>
                                <w:rFonts w:ascii="標楷體" w:eastAsia="標楷體" w:hAnsi="標楷體" w:cs="新細明體" w:hint="eastAsia"/>
                                <w:color w:val="000000"/>
                                <w:spacing w:val="-12"/>
                                <w:kern w:val="0"/>
                                <w:sz w:val="20"/>
                                <w:szCs w:val="20"/>
                              </w:rPr>
                              <w:t>－</w:t>
                            </w:r>
                          </w:p>
                        </w:tc>
                      </w:tr>
                    </w:tbl>
                    <w:p w14:paraId="0970CC49" w14:textId="77777777" w:rsidR="007B1B13" w:rsidRDefault="007B1B13" w:rsidP="007B1B13">
                      <w:pPr>
                        <w:spacing w:line="200" w:lineRule="exact"/>
                        <w:ind w:left="540" w:hangingChars="300" w:hanging="540"/>
                        <w:jc w:val="both"/>
                        <w:rPr>
                          <w:rFonts w:ascii="標楷體" w:eastAsia="標楷體" w:hAnsi="標楷體" w:cs="Times New Roman"/>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：1.本表僅表達訪視人員負擔登記托育人員工作案量情形，已排除因親屬托育人員所得聘用及應聘用之訪視人員各1名。</w:t>
                      </w:r>
                    </w:p>
                    <w:p w14:paraId="4759CA56" w14:textId="77777777" w:rsidR="007B1B13" w:rsidRDefault="007B1B13" w:rsidP="007B1B13">
                      <w:pPr>
                        <w:spacing w:line="200" w:lineRule="exact"/>
                        <w:ind w:leftChars="150" w:left="540" w:hangingChars="100" w:hanging="180"/>
                        <w:jc w:val="both"/>
                        <w:rPr>
                          <w:rFonts w:ascii="標楷體" w:eastAsia="標楷體" w:hAnsi="標楷體"/>
                          <w:sz w:val="18"/>
                          <w:szCs w:val="18"/>
                        </w:rPr>
                      </w:pPr>
                      <w:r>
                        <w:rPr>
                          <w:rFonts w:ascii="標楷體" w:eastAsia="標楷體" w:hAnsi="標楷體" w:hint="eastAsia"/>
                          <w:sz w:val="18"/>
                          <w:szCs w:val="18"/>
                        </w:rPr>
                        <w:t>2.資料來源：整理自社會局提供資料。</w:t>
                      </w:r>
                    </w:p>
                  </w:txbxContent>
                </v:textbox>
                <w10:wrap type="tight" anchorx="page"/>
              </v:shape>
            </w:pict>
          </mc:Fallback>
        </mc:AlternateContent>
      </w:r>
      <w:r w:rsidR="007B1B13">
        <w:rPr>
          <w:rFonts w:hAnsi="標楷體" w:cs="細明體" w:hint="eastAsia"/>
          <w:kern w:val="0"/>
          <w:szCs w:val="32"/>
        </w:rPr>
        <w:t>編製情形，發現各中心對於辦理</w:t>
      </w:r>
      <w:proofErr w:type="gramStart"/>
      <w:r w:rsidR="007B1B13">
        <w:rPr>
          <w:rFonts w:hAnsi="標楷體" w:cs="細明體" w:hint="eastAsia"/>
          <w:kern w:val="0"/>
          <w:szCs w:val="32"/>
        </w:rPr>
        <w:t>轄內托育</w:t>
      </w:r>
      <w:proofErr w:type="gramEnd"/>
      <w:r w:rsidR="007B1B13">
        <w:rPr>
          <w:rFonts w:hAnsi="標楷體" w:cs="細明體" w:hint="eastAsia"/>
          <w:kern w:val="0"/>
          <w:szCs w:val="32"/>
        </w:rPr>
        <w:t>人員之訪視業務成果表達情形，</w:t>
      </w:r>
      <w:proofErr w:type="gramStart"/>
      <w:r w:rsidR="007B1B13">
        <w:rPr>
          <w:rFonts w:hAnsi="標楷體" w:cs="細明體" w:hint="eastAsia"/>
          <w:kern w:val="0"/>
          <w:szCs w:val="32"/>
        </w:rPr>
        <w:t>間有未</w:t>
      </w:r>
      <w:proofErr w:type="gramEnd"/>
      <w:r w:rsidR="007B1B13">
        <w:rPr>
          <w:rFonts w:hAnsi="標楷體" w:cs="細明體" w:hint="eastAsia"/>
          <w:kern w:val="0"/>
          <w:szCs w:val="32"/>
        </w:rPr>
        <w:t>依規定分類載明各類托育人員之應訪視人數及實際訪視次數，或</w:t>
      </w:r>
      <w:proofErr w:type="gramStart"/>
      <w:r w:rsidR="007B1B13">
        <w:rPr>
          <w:rFonts w:hAnsi="標楷體" w:cs="細明體" w:hint="eastAsia"/>
          <w:kern w:val="0"/>
          <w:szCs w:val="32"/>
        </w:rPr>
        <w:t>對於托育媒</w:t>
      </w:r>
      <w:proofErr w:type="gramEnd"/>
      <w:r w:rsidR="007B1B13">
        <w:rPr>
          <w:rFonts w:hAnsi="標楷體" w:cs="細明體" w:hint="eastAsia"/>
          <w:kern w:val="0"/>
          <w:szCs w:val="32"/>
        </w:rPr>
        <w:t>合轉</w:t>
      </w:r>
      <w:proofErr w:type="gramStart"/>
      <w:r w:rsidR="007B1B13">
        <w:rPr>
          <w:rFonts w:hAnsi="標楷體" w:cs="細明體" w:hint="eastAsia"/>
          <w:kern w:val="0"/>
          <w:szCs w:val="32"/>
        </w:rPr>
        <w:t>介</w:t>
      </w:r>
      <w:proofErr w:type="gramEnd"/>
      <w:r w:rsidR="007B1B13">
        <w:rPr>
          <w:rFonts w:hAnsi="標楷體" w:cs="細明體" w:hint="eastAsia"/>
          <w:kern w:val="0"/>
          <w:szCs w:val="32"/>
        </w:rPr>
        <w:t>成果之統計基礎欠一致，致無法直接透過各該報告內容，檢核渠等工作狀況是否已達規定之訪視標準，或影響</w:t>
      </w:r>
      <w:proofErr w:type="gramStart"/>
      <w:r w:rsidR="007B1B13">
        <w:rPr>
          <w:rFonts w:hAnsi="標楷體" w:cs="細明體" w:hint="eastAsia"/>
          <w:kern w:val="0"/>
          <w:szCs w:val="32"/>
        </w:rPr>
        <w:t>托育媒合</w:t>
      </w:r>
      <w:proofErr w:type="gramEnd"/>
      <w:r w:rsidR="007B1B13">
        <w:rPr>
          <w:rFonts w:hAnsi="標楷體" w:cs="細明體" w:hint="eastAsia"/>
          <w:kern w:val="0"/>
          <w:szCs w:val="32"/>
        </w:rPr>
        <w:t>轉</w:t>
      </w:r>
      <w:proofErr w:type="gramStart"/>
      <w:r w:rsidR="007B1B13">
        <w:rPr>
          <w:rFonts w:hAnsi="標楷體" w:cs="細明體" w:hint="eastAsia"/>
          <w:kern w:val="0"/>
          <w:szCs w:val="32"/>
        </w:rPr>
        <w:t>介</w:t>
      </w:r>
      <w:proofErr w:type="gramEnd"/>
      <w:r w:rsidR="007B1B13">
        <w:rPr>
          <w:rFonts w:hAnsi="標楷體" w:cs="細明體" w:hint="eastAsia"/>
          <w:kern w:val="0"/>
          <w:szCs w:val="32"/>
        </w:rPr>
        <w:t>成果之比較性等情事，經函請督促檢討改善。據復：（1）截至114年2月底止，各居托中心皆已</w:t>
      </w:r>
      <w:proofErr w:type="gramStart"/>
      <w:r w:rsidR="007B1B13">
        <w:rPr>
          <w:rFonts w:hAnsi="標楷體" w:cs="細明體" w:hint="eastAsia"/>
          <w:kern w:val="0"/>
          <w:szCs w:val="32"/>
        </w:rPr>
        <w:t>聘足訪</w:t>
      </w:r>
      <w:proofErr w:type="gramEnd"/>
      <w:r w:rsidR="007B1B13">
        <w:rPr>
          <w:rFonts w:hAnsi="標楷體" w:cs="細明體" w:hint="eastAsia"/>
          <w:kern w:val="0"/>
          <w:szCs w:val="32"/>
        </w:rPr>
        <w:t>視人力；未來若有人事缺額影響其運作者，將發函行政指導或限期改善；（2）各居托中心將積極至托育人員專業訓練班招募新進人員，並依家長個別需求更精</w:t>
      </w:r>
      <w:proofErr w:type="gramStart"/>
      <w:r w:rsidR="007B1B13">
        <w:rPr>
          <w:rFonts w:hAnsi="標楷體" w:cs="細明體" w:hint="eastAsia"/>
          <w:kern w:val="0"/>
          <w:szCs w:val="32"/>
        </w:rPr>
        <w:t>準</w:t>
      </w:r>
      <w:proofErr w:type="gramEnd"/>
      <w:r w:rsidR="007B1B13">
        <w:rPr>
          <w:rFonts w:hAnsi="標楷體" w:cs="細明體" w:hint="eastAsia"/>
          <w:kern w:val="0"/>
          <w:szCs w:val="32"/>
        </w:rPr>
        <w:t>提供托育人員名單，以提高媒合成功機率；（3）為完整呈現訪視次數及</w:t>
      </w:r>
      <w:proofErr w:type="gramStart"/>
      <w:r w:rsidR="007B1B13">
        <w:rPr>
          <w:rFonts w:hAnsi="標楷體" w:cs="細明體" w:hint="eastAsia"/>
          <w:kern w:val="0"/>
          <w:szCs w:val="32"/>
        </w:rPr>
        <w:t>托育媒合</w:t>
      </w:r>
      <w:proofErr w:type="gramEnd"/>
      <w:r w:rsidR="007B1B13">
        <w:rPr>
          <w:rFonts w:hAnsi="標楷體" w:cs="細明體" w:hint="eastAsia"/>
          <w:kern w:val="0"/>
          <w:szCs w:val="32"/>
        </w:rPr>
        <w:t>成果，將請居托中心依托育型態分別列計，並開會討論</w:t>
      </w:r>
      <w:proofErr w:type="gramStart"/>
      <w:r w:rsidR="007B1B13">
        <w:rPr>
          <w:rFonts w:hAnsi="標楷體" w:cs="細明體" w:hint="eastAsia"/>
          <w:kern w:val="0"/>
          <w:szCs w:val="32"/>
        </w:rPr>
        <w:t>托育媒合</w:t>
      </w:r>
      <w:proofErr w:type="gramEnd"/>
      <w:r w:rsidR="007B1B13">
        <w:rPr>
          <w:rFonts w:hAnsi="標楷體" w:cs="細明體" w:hint="eastAsia"/>
          <w:kern w:val="0"/>
          <w:szCs w:val="32"/>
        </w:rPr>
        <w:t>之共同統計方式。</w:t>
      </w:r>
    </w:p>
    <w:p w14:paraId="2CF56A07" w14:textId="77777777" w:rsidR="007B1B13" w:rsidRDefault="007B1B13" w:rsidP="00CB5CD1">
      <w:pPr>
        <w:pStyle w:val="04"/>
        <w:widowControl w:val="0"/>
        <w:suppressAutoHyphens w:val="0"/>
        <w:spacing w:beforeLines="50" w:before="180" w:line="490" w:lineRule="exact"/>
        <w:ind w:firstLine="282"/>
        <w:rPr>
          <w:spacing w:val="1"/>
          <w:szCs w:val="28"/>
        </w:rPr>
      </w:pPr>
      <w:r>
        <w:rPr>
          <w:rFonts w:hint="eastAsia"/>
          <w:spacing w:val="1"/>
          <w:szCs w:val="28"/>
        </w:rPr>
        <w:t>（二）布建多元身心障礙者個人照顧及家庭支持服務，推動多元共融社會，惟各區服務資源之配置未</w:t>
      </w:r>
      <w:proofErr w:type="gramStart"/>
      <w:r>
        <w:rPr>
          <w:rFonts w:hint="eastAsia"/>
          <w:spacing w:val="1"/>
          <w:szCs w:val="28"/>
        </w:rPr>
        <w:t>臻</w:t>
      </w:r>
      <w:proofErr w:type="gramEnd"/>
      <w:r>
        <w:rPr>
          <w:rFonts w:hint="eastAsia"/>
          <w:spacing w:val="1"/>
          <w:szCs w:val="28"/>
        </w:rPr>
        <w:t>衡平，且部分委辦服務計畫未妥為擬訂績效考核指標，有待</w:t>
      </w:r>
      <w:proofErr w:type="gramStart"/>
      <w:r>
        <w:rPr>
          <w:rFonts w:hint="eastAsia"/>
          <w:spacing w:val="1"/>
          <w:szCs w:val="28"/>
        </w:rPr>
        <w:t>研</w:t>
      </w:r>
      <w:proofErr w:type="gramEnd"/>
      <w:r>
        <w:rPr>
          <w:rFonts w:hint="eastAsia"/>
          <w:spacing w:val="1"/>
          <w:szCs w:val="28"/>
        </w:rPr>
        <w:t>謀改善。</w:t>
      </w:r>
    </w:p>
    <w:p w14:paraId="3C50803C" w14:textId="77777777" w:rsidR="00323817" w:rsidRDefault="007B1B13" w:rsidP="00323817">
      <w:pPr>
        <w:overflowPunct w:val="0"/>
        <w:autoSpaceDE w:val="0"/>
        <w:autoSpaceDN w:val="0"/>
        <w:adjustRightInd w:val="0"/>
        <w:spacing w:beforeLines="20" w:before="72" w:line="460" w:lineRule="exact"/>
        <w:ind w:firstLineChars="200" w:firstLine="480"/>
        <w:jc w:val="both"/>
        <w:rPr>
          <w:rFonts w:ascii="標楷體" w:eastAsia="標楷體" w:hAnsi="標楷體" w:cs="細明體"/>
          <w:kern w:val="0"/>
        </w:rPr>
      </w:pPr>
      <w:r>
        <w:rPr>
          <w:rFonts w:ascii="標楷體" w:eastAsia="標楷體" w:hAnsi="標楷體" w:cs="細明體" w:hint="eastAsia"/>
          <w:kern w:val="0"/>
        </w:rPr>
        <w:t>社會局為落實「身心障礙者權利公約（Convention on the Rights of Persons with Disabilities）」第19條精神，讓臺北市身心障礙者（下稱身障者）能享有於社區生活之平等與選擇權利，並使其與社區融合及參與社區，</w:t>
      </w:r>
      <w:proofErr w:type="gramStart"/>
      <w:r>
        <w:rPr>
          <w:rFonts w:ascii="標楷體" w:eastAsia="標楷體" w:hAnsi="標楷體" w:cs="細明體" w:hint="eastAsia"/>
          <w:kern w:val="0"/>
        </w:rPr>
        <w:t>113</w:t>
      </w:r>
      <w:proofErr w:type="gramEnd"/>
      <w:r>
        <w:rPr>
          <w:rFonts w:ascii="標楷體" w:eastAsia="標楷體" w:hAnsi="標楷體" w:cs="細明體" w:hint="eastAsia"/>
          <w:kern w:val="0"/>
        </w:rPr>
        <w:t>年度分別於公務預算及臺北市公益彩券盈餘分配基金各編列6,689萬餘元及1億2,156萬餘元，持續提供身障者有關社區居住家園、社區日間作業設施、日間照顧（含機構式、社區式及長照機構）及</w:t>
      </w:r>
      <w:proofErr w:type="gramStart"/>
      <w:r>
        <w:rPr>
          <w:rFonts w:ascii="標楷體" w:eastAsia="標楷體" w:hAnsi="標楷體" w:cs="細明體" w:hint="eastAsia"/>
          <w:kern w:val="0"/>
        </w:rPr>
        <w:t>家庭托顧等</w:t>
      </w:r>
      <w:proofErr w:type="gramEnd"/>
      <w:r>
        <w:rPr>
          <w:rFonts w:ascii="標楷體" w:eastAsia="標楷體" w:hAnsi="標楷體" w:cs="細明體" w:hint="eastAsia"/>
          <w:kern w:val="0"/>
        </w:rPr>
        <w:t>服務，使其能自立生活於社區，且讓長期處於照顧密度高之家庭得以喘息。經查執行情形，核有：1.據該局統計，截至113年8月底止，臺北市身心障礙人口數已達12萬餘人，經其推估臺北市身障者社區式照顧服務需求人數為3,457人，已布建社區居住家園等多元社區照顧服務據點計92處，整體可服務人數為2,149人，整體服務涵蓋率為62.16％，服務供給量能猶有不足；且因各區域間之服務涵蓋率介於21.11％至158.88％（表3），資源配置差異甚大，致身障</w:t>
      </w:r>
      <w:proofErr w:type="gramStart"/>
      <w:r>
        <w:rPr>
          <w:rFonts w:ascii="標楷體" w:eastAsia="標楷體" w:hAnsi="標楷體" w:cs="細明體" w:hint="eastAsia"/>
          <w:kern w:val="0"/>
        </w:rPr>
        <w:t>者須跨區</w:t>
      </w:r>
      <w:proofErr w:type="gramEnd"/>
      <w:r>
        <w:rPr>
          <w:rFonts w:ascii="標楷體" w:eastAsia="標楷體" w:hAnsi="標楷體" w:cs="細明體" w:hint="eastAsia"/>
          <w:kern w:val="0"/>
        </w:rPr>
        <w:t>使用服務情形頻仍，尚難提供身障者及其照顧者「可近性」、「在地化」之社區服務，落實協助渠等融入社區自立生活之目標。復查</w:t>
      </w:r>
      <w:r w:rsidRPr="00590E56">
        <w:rPr>
          <w:rFonts w:ascii="標楷體" w:eastAsia="標楷體" w:hAnsi="標楷體" w:cs="細明體" w:hint="eastAsia"/>
          <w:spacing w:val="2"/>
          <w:kern w:val="0"/>
        </w:rPr>
        <w:t>該局為持續改善前開問題，雖已規劃於未來5年（至117年）再新增37處服務據點，將托收</w:t>
      </w:r>
      <w:proofErr w:type="gramStart"/>
      <w:r w:rsidRPr="00590E56">
        <w:rPr>
          <w:rFonts w:ascii="標楷體" w:eastAsia="標楷體" w:hAnsi="標楷體" w:cs="細明體" w:hint="eastAsia"/>
          <w:spacing w:val="2"/>
          <w:kern w:val="0"/>
        </w:rPr>
        <w:t>（</w:t>
      </w:r>
      <w:proofErr w:type="gramEnd"/>
      <w:r w:rsidRPr="00590E56">
        <w:rPr>
          <w:rFonts w:ascii="標楷體" w:eastAsia="標楷體" w:hAnsi="標楷體" w:cs="細明體" w:hint="eastAsia"/>
          <w:spacing w:val="2"/>
          <w:kern w:val="0"/>
        </w:rPr>
        <w:t>服</w:t>
      </w:r>
    </w:p>
    <w:p w14:paraId="43BEC48C" w14:textId="77777777" w:rsidR="00CB5CD1" w:rsidRDefault="00CB5CD1" w:rsidP="00CB5CD1">
      <w:pPr>
        <w:overflowPunct w:val="0"/>
        <w:autoSpaceDE w:val="0"/>
        <w:autoSpaceDN w:val="0"/>
        <w:adjustRightInd w:val="0"/>
        <w:spacing w:line="380" w:lineRule="exact"/>
        <w:jc w:val="both"/>
        <w:rPr>
          <w:rFonts w:ascii="標楷體" w:eastAsia="標楷體" w:hAnsi="標楷體" w:cs="細明體"/>
          <w:kern w:val="0"/>
        </w:rPr>
      </w:pPr>
      <w:r>
        <w:rPr>
          <w:rFonts w:hint="eastAsia"/>
          <w:noProof/>
          <w:szCs w:val="24"/>
        </w:rPr>
        <w:lastRenderedPageBreak/>
        <mc:AlternateContent>
          <mc:Choice Requires="wps">
            <w:drawing>
              <wp:anchor distT="45720" distB="45720" distL="114300" distR="114300" simplePos="0" relativeHeight="251750400" behindDoc="0" locked="0" layoutInCell="1" allowOverlap="1" wp14:anchorId="59536181" wp14:editId="100A200C">
                <wp:simplePos x="0" y="0"/>
                <wp:positionH relativeFrom="margin">
                  <wp:posOffset>8255</wp:posOffset>
                </wp:positionH>
                <wp:positionV relativeFrom="margin">
                  <wp:posOffset>-33655</wp:posOffset>
                </wp:positionV>
                <wp:extent cx="6283960" cy="3876675"/>
                <wp:effectExtent l="0" t="0" r="2540" b="9525"/>
                <wp:wrapSquare wrapText="bothSides"/>
                <wp:docPr id="927419638" name="文字方塊 927419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3960" cy="3876675"/>
                        </a:xfrm>
                        <a:prstGeom prst="rect">
                          <a:avLst/>
                        </a:prstGeom>
                        <a:solidFill>
                          <a:srgbClr val="FFFFFF"/>
                        </a:solidFill>
                        <a:ln w="9525">
                          <a:noFill/>
                          <a:miter lim="800000"/>
                          <a:headEnd/>
                          <a:tailEnd/>
                        </a:ln>
                      </wps:spPr>
                      <wps:txbx>
                        <w:txbxContent>
                          <w:p w14:paraId="4A41A400" w14:textId="77777777" w:rsidR="007B1B13" w:rsidRDefault="007B1B13" w:rsidP="007B1B13">
                            <w:pPr>
                              <w:spacing w:line="240" w:lineRule="exact"/>
                              <w:ind w:left="649" w:hangingChars="270" w:hanging="649"/>
                              <w:jc w:val="center"/>
                              <w:rPr>
                                <w:rFonts w:ascii="標楷體" w:eastAsia="標楷體" w:hAnsi="標楷體"/>
                                <w:b/>
                              </w:rPr>
                            </w:pPr>
                            <w:r>
                              <w:rPr>
                                <w:rFonts w:ascii="標楷體" w:eastAsia="標楷體" w:hAnsi="標楷體" w:hint="eastAsia"/>
                                <w:b/>
                              </w:rPr>
                              <w:t>表3　臺北市身障者社區式照顧服務資源既有及預計建置情形</w:t>
                            </w:r>
                          </w:p>
                          <w:p w14:paraId="533D6F90" w14:textId="77777777" w:rsidR="007B1B13" w:rsidRDefault="007B1B13" w:rsidP="007B1B13">
                            <w:pPr>
                              <w:spacing w:line="240" w:lineRule="exact"/>
                              <w:ind w:right="100"/>
                              <w:jc w:val="right"/>
                              <w:rPr>
                                <w:rFonts w:ascii="標楷體" w:eastAsia="標楷體" w:hAnsi="標楷體"/>
                                <w:b/>
                              </w:rPr>
                            </w:pPr>
                            <w:r>
                              <w:rPr>
                                <w:rFonts w:ascii="標楷體" w:eastAsia="標楷體" w:hAnsi="標楷體" w:hint="eastAsia"/>
                                <w:sz w:val="20"/>
                              </w:rPr>
                              <w:t>單位：人、處、％</w:t>
                            </w:r>
                          </w:p>
                          <w:tbl>
                            <w:tblPr>
                              <w:tblW w:w="9495" w:type="dxa"/>
                              <w:tblInd w:w="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706"/>
                              <w:gridCol w:w="744"/>
                              <w:gridCol w:w="595"/>
                              <w:gridCol w:w="745"/>
                              <w:gridCol w:w="1192"/>
                              <w:gridCol w:w="744"/>
                              <w:gridCol w:w="896"/>
                              <w:gridCol w:w="624"/>
                              <w:gridCol w:w="644"/>
                              <w:gridCol w:w="728"/>
                              <w:gridCol w:w="854"/>
                              <w:gridCol w:w="1023"/>
                            </w:tblGrid>
                            <w:tr w:rsidR="007B1B13" w14:paraId="3BC81246" w14:textId="77777777">
                              <w:trPr>
                                <w:trHeight w:val="359"/>
                                <w:tblHeader/>
                              </w:trPr>
                              <w:tc>
                                <w:tcPr>
                                  <w:tcW w:w="70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6EDBFCD" w14:textId="77777777" w:rsidR="007B1B13" w:rsidRDefault="007B1B13">
                                  <w:pPr>
                                    <w:snapToGrid w:val="0"/>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服務</w:t>
                                  </w:r>
                                </w:p>
                                <w:p w14:paraId="19E4092C" w14:textId="77777777" w:rsidR="007B1B13" w:rsidRDefault="007B1B13">
                                  <w:pPr>
                                    <w:snapToGrid w:val="0"/>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區域</w:t>
                                  </w:r>
                                </w:p>
                              </w:tc>
                              <w:tc>
                                <w:tcPr>
                                  <w:tcW w:w="74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408D76" w14:textId="77777777" w:rsidR="007B1B13" w:rsidRDefault="007B1B13">
                                  <w:pPr>
                                    <w:snapToGrid w:val="0"/>
                                    <w:spacing w:line="220" w:lineRule="exact"/>
                                    <w:jc w:val="center"/>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20"/>
                                      <w:kern w:val="0"/>
                                      <w:sz w:val="20"/>
                                      <w:szCs w:val="20"/>
                                    </w:rPr>
                                    <w:t>評估服務需求人數</w:t>
                                  </w:r>
                                  <w:r>
                                    <w:rPr>
                                      <w:rFonts w:ascii="標楷體" w:eastAsia="標楷體" w:hAnsi="標楷體" w:cs="新細明體" w:hint="eastAsia"/>
                                      <w:color w:val="000000"/>
                                      <w:spacing w:val="-10"/>
                                      <w:kern w:val="0"/>
                                      <w:sz w:val="16"/>
                                      <w:szCs w:val="16"/>
                                    </w:rPr>
                                    <w:t>（A）</w:t>
                                  </w:r>
                                </w:p>
                              </w:tc>
                              <w:tc>
                                <w:tcPr>
                                  <w:tcW w:w="4173" w:type="dxa"/>
                                  <w:gridSpan w:val="5"/>
                                  <w:tcBorders>
                                    <w:top w:val="single" w:sz="4" w:space="0" w:color="auto"/>
                                    <w:left w:val="single" w:sz="4" w:space="0" w:color="auto"/>
                                    <w:bottom w:val="single" w:sz="4" w:space="0" w:color="auto"/>
                                    <w:right w:val="double" w:sz="4" w:space="0" w:color="auto"/>
                                  </w:tcBorders>
                                  <w:shd w:val="clear" w:color="auto" w:fill="FFFFFF" w:themeFill="background1"/>
                                  <w:noWrap/>
                                  <w:vAlign w:val="center"/>
                                  <w:hideMark/>
                                </w:tcPr>
                                <w:p w14:paraId="337FD5B7" w14:textId="77777777" w:rsidR="007B1B13" w:rsidRDefault="007B1B13">
                                  <w:pPr>
                                    <w:widowControl/>
                                    <w:snapToGrid w:val="0"/>
                                    <w:spacing w:line="220" w:lineRule="exact"/>
                                    <w:jc w:val="center"/>
                                    <w:rPr>
                                      <w:rFonts w:ascii="標楷體" w:eastAsia="標楷體" w:hAnsi="標楷體" w:cs="Arial"/>
                                      <w:color w:val="000000"/>
                                      <w:spacing w:val="-10"/>
                                      <w:sz w:val="20"/>
                                      <w:szCs w:val="20"/>
                                    </w:rPr>
                                  </w:pPr>
                                  <w:r>
                                    <w:rPr>
                                      <w:rFonts w:ascii="標楷體" w:eastAsia="標楷體" w:hAnsi="標楷體" w:cs="新細明體" w:hint="eastAsia"/>
                                      <w:color w:val="000000"/>
                                      <w:kern w:val="0"/>
                                      <w:sz w:val="20"/>
                                      <w:szCs w:val="20"/>
                                    </w:rPr>
                                    <w:t>113年8月既有服務量能</w:t>
                                  </w:r>
                                </w:p>
                              </w:tc>
                              <w:tc>
                                <w:tcPr>
                                  <w:tcW w:w="1268" w:type="dxa"/>
                                  <w:gridSpan w:val="2"/>
                                  <w:tcBorders>
                                    <w:top w:val="single" w:sz="4" w:space="0" w:color="auto"/>
                                    <w:left w:val="double" w:sz="4" w:space="0" w:color="auto"/>
                                    <w:bottom w:val="single" w:sz="4" w:space="0" w:color="auto"/>
                                    <w:right w:val="single" w:sz="4" w:space="0" w:color="auto"/>
                                  </w:tcBorders>
                                  <w:shd w:val="clear" w:color="auto" w:fill="FFFFFF" w:themeFill="background1"/>
                                  <w:vAlign w:val="center"/>
                                  <w:hideMark/>
                                </w:tcPr>
                                <w:p w14:paraId="4A368BE5" w14:textId="77777777" w:rsidR="007B1B13" w:rsidRDefault="007B1B13">
                                  <w:pPr>
                                    <w:widowControl/>
                                    <w:snapToGrid w:val="0"/>
                                    <w:spacing w:line="220" w:lineRule="exact"/>
                                    <w:jc w:val="center"/>
                                    <w:rPr>
                                      <w:rFonts w:ascii="標楷體" w:eastAsia="標楷體" w:hAnsi="標楷體" w:cs="Arial"/>
                                      <w:color w:val="000000"/>
                                      <w:spacing w:val="-12"/>
                                      <w:sz w:val="20"/>
                                      <w:szCs w:val="20"/>
                                    </w:rPr>
                                  </w:pPr>
                                  <w:r>
                                    <w:rPr>
                                      <w:rFonts w:ascii="標楷體" w:eastAsia="標楷體" w:hAnsi="標楷體" w:cs="Arial" w:hint="eastAsia"/>
                                      <w:color w:val="000000"/>
                                      <w:spacing w:val="-12"/>
                                      <w:sz w:val="20"/>
                                      <w:szCs w:val="20"/>
                                    </w:rPr>
                                    <w:t>113年9月至117年預計新增</w:t>
                                  </w:r>
                                </w:p>
                              </w:tc>
                              <w:tc>
                                <w:tcPr>
                                  <w:tcW w:w="2605"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1B5CC" w14:textId="77777777" w:rsidR="007B1B13" w:rsidRDefault="007B1B13">
                                  <w:pPr>
                                    <w:widowControl/>
                                    <w:snapToGrid w:val="0"/>
                                    <w:spacing w:line="220" w:lineRule="exact"/>
                                    <w:jc w:val="center"/>
                                    <w:rPr>
                                      <w:rFonts w:ascii="標楷體" w:eastAsia="標楷體" w:hAnsi="標楷體" w:cs="Arial"/>
                                      <w:color w:val="000000"/>
                                      <w:spacing w:val="-4"/>
                                      <w:sz w:val="20"/>
                                      <w:szCs w:val="20"/>
                                    </w:rPr>
                                  </w:pPr>
                                  <w:r>
                                    <w:rPr>
                                      <w:rFonts w:ascii="標楷體" w:eastAsia="標楷體" w:hAnsi="標楷體" w:cs="Arial" w:hint="eastAsia"/>
                                      <w:color w:val="000000"/>
                                      <w:spacing w:val="-4"/>
                                      <w:sz w:val="20"/>
                                      <w:szCs w:val="20"/>
                                    </w:rPr>
                                    <w:t>至117年布建完成後</w:t>
                                  </w:r>
                                </w:p>
                              </w:tc>
                            </w:tr>
                            <w:tr w:rsidR="007B1B13" w14:paraId="0A7094A5" w14:textId="77777777" w:rsidTr="00B418C5">
                              <w:trPr>
                                <w:trHeight w:val="189"/>
                                <w:tblHeader/>
                              </w:trPr>
                              <w:tc>
                                <w:tcPr>
                                  <w:tcW w:w="707"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71E5FE" w14:textId="77777777" w:rsidR="007B1B13" w:rsidRDefault="007B1B13">
                                  <w:pPr>
                                    <w:widowControl/>
                                    <w:rPr>
                                      <w:rFonts w:ascii="標楷體" w:eastAsia="標楷體" w:hAnsi="標楷體" w:cs="新細明體"/>
                                      <w:color w:val="000000"/>
                                      <w:kern w:val="0"/>
                                      <w:sz w:val="20"/>
                                      <w:szCs w:val="20"/>
                                    </w:rPr>
                                  </w:pPr>
                                </w:p>
                              </w:tc>
                              <w:tc>
                                <w:tcPr>
                                  <w:tcW w:w="7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90FD96" w14:textId="77777777" w:rsidR="007B1B13" w:rsidRDefault="007B1B13">
                                  <w:pPr>
                                    <w:widowControl/>
                                    <w:rPr>
                                      <w:rFonts w:ascii="標楷體" w:eastAsia="標楷體" w:hAnsi="標楷體" w:cs="新細明體"/>
                                      <w:color w:val="000000"/>
                                      <w:spacing w:val="-10"/>
                                      <w:kern w:val="0"/>
                                      <w:sz w:val="20"/>
                                      <w:szCs w:val="20"/>
                                    </w:rPr>
                                  </w:pPr>
                                </w:p>
                              </w:tc>
                              <w:tc>
                                <w:tcPr>
                                  <w:tcW w:w="59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5D6C29" w14:textId="77777777" w:rsidR="007B1B13" w:rsidRDefault="007B1B13">
                                  <w:pPr>
                                    <w:widowControl/>
                                    <w:snapToGrid w:val="0"/>
                                    <w:spacing w:line="220" w:lineRule="exact"/>
                                    <w:jc w:val="center"/>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據點數</w:t>
                                  </w:r>
                                </w:p>
                                <w:p w14:paraId="210B46B9" w14:textId="77777777" w:rsidR="007B1B13" w:rsidRDefault="007B1B13">
                                  <w:pPr>
                                    <w:widowControl/>
                                    <w:snapToGrid w:val="0"/>
                                    <w:spacing w:line="220" w:lineRule="exact"/>
                                    <w:jc w:val="center"/>
                                    <w:rPr>
                                      <w:rFonts w:ascii="標楷體" w:eastAsia="標楷體" w:hAnsi="標楷體" w:cs="新細明體"/>
                                      <w:color w:val="000000"/>
                                      <w:kern w:val="0"/>
                                      <w:sz w:val="16"/>
                                      <w:szCs w:val="16"/>
                                    </w:rPr>
                                  </w:pPr>
                                  <w:r>
                                    <w:rPr>
                                      <w:rFonts w:ascii="標楷體" w:eastAsia="標楷體" w:hAnsi="標楷體" w:cs="新細明體" w:hint="eastAsia"/>
                                      <w:color w:val="000000"/>
                                      <w:kern w:val="0"/>
                                      <w:sz w:val="16"/>
                                      <w:szCs w:val="16"/>
                                    </w:rPr>
                                    <w:t>（B）</w:t>
                                  </w:r>
                                </w:p>
                              </w:tc>
                              <w:tc>
                                <w:tcPr>
                                  <w:tcW w:w="74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A4FB47" w14:textId="77777777" w:rsidR="007B1B13" w:rsidRDefault="007B1B13">
                                  <w:pPr>
                                    <w:widowControl/>
                                    <w:snapToGrid w:val="0"/>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核定服務人數</w:t>
                                  </w:r>
                                  <w:r>
                                    <w:rPr>
                                      <w:rFonts w:ascii="標楷體" w:eastAsia="標楷體" w:hAnsi="標楷體" w:cs="新細明體" w:hint="eastAsia"/>
                                      <w:color w:val="000000"/>
                                      <w:kern w:val="0"/>
                                      <w:sz w:val="16"/>
                                      <w:szCs w:val="16"/>
                                    </w:rPr>
                                    <w:t>（C）</w:t>
                                  </w:r>
                                </w:p>
                              </w:tc>
                              <w:tc>
                                <w:tcPr>
                                  <w:tcW w:w="11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48A4FC" w14:textId="77777777" w:rsidR="007B1B13" w:rsidRDefault="007B1B13" w:rsidP="00B418C5">
                                  <w:pPr>
                                    <w:widowControl/>
                                    <w:snapToGrid w:val="0"/>
                                    <w:spacing w:line="220" w:lineRule="exact"/>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服務涵蓋率</w:t>
                                  </w:r>
                                </w:p>
                                <w:p w14:paraId="09EE61B8" w14:textId="0AD6A745" w:rsidR="007B1B13" w:rsidRDefault="00B418C5" w:rsidP="00D03DD1">
                                  <w:pPr>
                                    <w:widowControl/>
                                    <w:snapToGrid w:val="0"/>
                                    <w:spacing w:line="220" w:lineRule="exact"/>
                                    <w:ind w:leftChars="-40" w:left="-96" w:rightChars="-39" w:right="-94"/>
                                    <w:jc w:val="center"/>
                                    <w:rPr>
                                      <w:rFonts w:ascii="標楷體" w:eastAsia="標楷體" w:hAnsi="標楷體" w:cs="新細明體"/>
                                      <w:color w:val="000000"/>
                                      <w:spacing w:val="-20"/>
                                      <w:kern w:val="0"/>
                                      <w:sz w:val="20"/>
                                      <w:szCs w:val="20"/>
                                    </w:rPr>
                                  </w:pPr>
                                  <w:r>
                                    <w:rPr>
                                      <w:rFonts w:ascii="標楷體" w:eastAsia="標楷體" w:hAnsi="標楷體" w:cs="新細明體" w:hint="eastAsia"/>
                                      <w:color w:val="000000"/>
                                      <w:spacing w:val="-20"/>
                                      <w:kern w:val="0"/>
                                      <w:sz w:val="18"/>
                                      <w:szCs w:val="18"/>
                                    </w:rPr>
                                    <w:t>（</w:t>
                                  </w:r>
                                  <w:r w:rsidR="007B1B13">
                                    <w:rPr>
                                      <w:rFonts w:ascii="標楷體" w:eastAsia="標楷體" w:hAnsi="標楷體" w:cs="新細明體" w:hint="eastAsia"/>
                                      <w:color w:val="000000"/>
                                      <w:spacing w:val="-20"/>
                                      <w:kern w:val="0"/>
                                      <w:sz w:val="18"/>
                                      <w:szCs w:val="18"/>
                                    </w:rPr>
                                    <w:t>D）=</w:t>
                                  </w:r>
                                  <w:r>
                                    <w:rPr>
                                      <w:rFonts w:ascii="標楷體" w:eastAsia="標楷體" w:hAnsi="標楷體" w:cs="新細明體" w:hint="eastAsia"/>
                                      <w:color w:val="000000"/>
                                      <w:spacing w:val="-20"/>
                                      <w:kern w:val="0"/>
                                      <w:sz w:val="18"/>
                                      <w:szCs w:val="18"/>
                                    </w:rPr>
                                    <w:t>（</w:t>
                                  </w:r>
                                  <w:r w:rsidR="007B1B13">
                                    <w:rPr>
                                      <w:rFonts w:ascii="標楷體" w:eastAsia="標楷體" w:hAnsi="標楷體" w:cs="新細明體" w:hint="eastAsia"/>
                                      <w:color w:val="000000"/>
                                      <w:spacing w:val="-20"/>
                                      <w:kern w:val="0"/>
                                      <w:sz w:val="18"/>
                                      <w:szCs w:val="18"/>
                                    </w:rPr>
                                    <w:t>C/A×100）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278139" w14:textId="77777777" w:rsidR="007B1B13" w:rsidRDefault="007B1B13">
                                  <w:pPr>
                                    <w:widowControl/>
                                    <w:snapToGrid w:val="0"/>
                                    <w:spacing w:line="22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實際服務人數</w:t>
                                  </w:r>
                                  <w:r>
                                    <w:rPr>
                                      <w:rFonts w:ascii="標楷體" w:eastAsia="標楷體" w:hAnsi="標楷體" w:cs="新細明體" w:hint="eastAsia"/>
                                      <w:color w:val="000000"/>
                                      <w:spacing w:val="-14"/>
                                      <w:kern w:val="0"/>
                                      <w:sz w:val="18"/>
                                      <w:szCs w:val="18"/>
                                    </w:rPr>
                                    <w:t>（E）</w:t>
                                  </w:r>
                                </w:p>
                              </w:tc>
                              <w:tc>
                                <w:tcPr>
                                  <w:tcW w:w="896" w:type="dxa"/>
                                  <w:tcBorders>
                                    <w:top w:val="single" w:sz="4" w:space="0" w:color="auto"/>
                                    <w:left w:val="single" w:sz="4" w:space="0" w:color="auto"/>
                                    <w:bottom w:val="single" w:sz="4" w:space="0" w:color="auto"/>
                                    <w:right w:val="double" w:sz="4" w:space="0" w:color="auto"/>
                                  </w:tcBorders>
                                  <w:shd w:val="clear" w:color="auto" w:fill="FFFFFF" w:themeFill="background1"/>
                                  <w:vAlign w:val="center"/>
                                  <w:hideMark/>
                                </w:tcPr>
                                <w:p w14:paraId="1B953616" w14:textId="77777777" w:rsidR="007B1B13" w:rsidRDefault="007B1B13">
                                  <w:pPr>
                                    <w:widowControl/>
                                    <w:snapToGrid w:val="0"/>
                                    <w:spacing w:line="220" w:lineRule="exact"/>
                                    <w:ind w:leftChars="-20" w:left="-48"/>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使用率</w:t>
                                  </w:r>
                                </w:p>
                                <w:p w14:paraId="46489D51" w14:textId="77777777" w:rsidR="007B1B13" w:rsidRDefault="007B1B13">
                                  <w:pPr>
                                    <w:widowControl/>
                                    <w:snapToGrid w:val="0"/>
                                    <w:spacing w:line="220" w:lineRule="exact"/>
                                    <w:ind w:leftChars="-40" w:left="-96" w:rightChars="10" w:right="24"/>
                                    <w:jc w:val="both"/>
                                    <w:rPr>
                                      <w:rFonts w:ascii="標楷體" w:eastAsia="標楷體" w:hAnsi="標楷體" w:cs="Arial"/>
                                      <w:color w:val="000000"/>
                                      <w:sz w:val="20"/>
                                      <w:szCs w:val="20"/>
                                    </w:rPr>
                                  </w:pPr>
                                  <w:r>
                                    <w:rPr>
                                      <w:rFonts w:ascii="標楷體" w:eastAsia="標楷體" w:hAnsi="標楷體" w:cs="新細明體" w:hint="eastAsia"/>
                                      <w:color w:val="000000"/>
                                      <w:spacing w:val="-30"/>
                                      <w:kern w:val="0"/>
                                      <w:sz w:val="18"/>
                                      <w:szCs w:val="18"/>
                                    </w:rPr>
                                    <w:t>（F）=（E/C×100）</w:t>
                                  </w:r>
                                </w:p>
                              </w:tc>
                              <w:tc>
                                <w:tcPr>
                                  <w:tcW w:w="624" w:type="dxa"/>
                                  <w:tcBorders>
                                    <w:top w:val="single" w:sz="4" w:space="0" w:color="auto"/>
                                    <w:left w:val="double" w:sz="4" w:space="0" w:color="auto"/>
                                    <w:bottom w:val="single" w:sz="4" w:space="0" w:color="auto"/>
                                    <w:right w:val="single" w:sz="4" w:space="0" w:color="auto"/>
                                  </w:tcBorders>
                                  <w:shd w:val="clear" w:color="auto" w:fill="FFFFFF" w:themeFill="background1"/>
                                  <w:vAlign w:val="center"/>
                                  <w:hideMark/>
                                </w:tcPr>
                                <w:p w14:paraId="6AC81686" w14:textId="77777777" w:rsidR="007B1B13" w:rsidRDefault="007B1B13">
                                  <w:pPr>
                                    <w:widowControl/>
                                    <w:snapToGrid w:val="0"/>
                                    <w:spacing w:line="220" w:lineRule="exact"/>
                                    <w:jc w:val="center"/>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據點數</w:t>
                                  </w:r>
                                </w:p>
                                <w:p w14:paraId="1914F450" w14:textId="77777777" w:rsidR="007B1B13" w:rsidRDefault="007B1B13">
                                  <w:pPr>
                                    <w:widowControl/>
                                    <w:snapToGrid w:val="0"/>
                                    <w:spacing w:line="220" w:lineRule="exact"/>
                                    <w:jc w:val="center"/>
                                    <w:rPr>
                                      <w:rFonts w:ascii="標楷體" w:eastAsia="標楷體" w:hAnsi="標楷體" w:cs="新細明體"/>
                                      <w:color w:val="000000"/>
                                      <w:kern w:val="0"/>
                                      <w:sz w:val="16"/>
                                      <w:szCs w:val="16"/>
                                    </w:rPr>
                                  </w:pPr>
                                  <w:r>
                                    <w:rPr>
                                      <w:rFonts w:ascii="標楷體" w:eastAsia="標楷體" w:hAnsi="標楷體" w:cs="新細明體" w:hint="eastAsia"/>
                                      <w:color w:val="000000"/>
                                      <w:kern w:val="0"/>
                                      <w:sz w:val="16"/>
                                      <w:szCs w:val="16"/>
                                    </w:rPr>
                                    <w:t>（G）</w:t>
                                  </w:r>
                                </w:p>
                              </w:tc>
                              <w:tc>
                                <w:tcPr>
                                  <w:tcW w:w="644" w:type="dxa"/>
                                  <w:tcBorders>
                                    <w:top w:val="single" w:sz="4" w:space="0" w:color="auto"/>
                                    <w:left w:val="nil"/>
                                    <w:bottom w:val="single" w:sz="4" w:space="0" w:color="auto"/>
                                    <w:right w:val="single" w:sz="4" w:space="0" w:color="auto"/>
                                  </w:tcBorders>
                                  <w:shd w:val="clear" w:color="auto" w:fill="FFFFFF" w:themeFill="background1"/>
                                  <w:vAlign w:val="center"/>
                                  <w:hideMark/>
                                </w:tcPr>
                                <w:p w14:paraId="53ED6E9D" w14:textId="77777777" w:rsidR="007B1B13" w:rsidRDefault="007B1B13">
                                  <w:pPr>
                                    <w:widowControl/>
                                    <w:snapToGrid w:val="0"/>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服務人數</w:t>
                                  </w:r>
                                </w:p>
                                <w:p w14:paraId="56B956CC" w14:textId="77777777" w:rsidR="007B1B13" w:rsidRDefault="007B1B13">
                                  <w:pPr>
                                    <w:widowControl/>
                                    <w:snapToGrid w:val="0"/>
                                    <w:spacing w:line="200" w:lineRule="exact"/>
                                    <w:jc w:val="center"/>
                                    <w:rPr>
                                      <w:rFonts w:ascii="標楷體" w:eastAsia="標楷體" w:hAnsi="標楷體" w:cs="新細明體"/>
                                      <w:color w:val="000000"/>
                                      <w:kern w:val="0"/>
                                      <w:sz w:val="16"/>
                                      <w:szCs w:val="16"/>
                                    </w:rPr>
                                  </w:pPr>
                                  <w:r>
                                    <w:rPr>
                                      <w:rFonts w:ascii="標楷體" w:eastAsia="標楷體" w:hAnsi="標楷體" w:cs="新細明體" w:hint="eastAsia"/>
                                      <w:color w:val="000000"/>
                                      <w:kern w:val="0"/>
                                      <w:sz w:val="16"/>
                                      <w:szCs w:val="16"/>
                                    </w:rPr>
                                    <w:t>（H）</w:t>
                                  </w:r>
                                </w:p>
                              </w:tc>
                              <w:tc>
                                <w:tcPr>
                                  <w:tcW w:w="7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43C12E" w14:textId="77777777" w:rsidR="007B1B13" w:rsidRDefault="007B1B13">
                                  <w:pPr>
                                    <w:widowControl/>
                                    <w:snapToGrid w:val="0"/>
                                    <w:spacing w:line="22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據點數</w:t>
                                  </w:r>
                                </w:p>
                                <w:p w14:paraId="0556B8DD" w14:textId="77777777" w:rsidR="007B1B13" w:rsidRDefault="007B1B13">
                                  <w:pPr>
                                    <w:widowControl/>
                                    <w:snapToGrid w:val="0"/>
                                    <w:spacing w:line="220" w:lineRule="exact"/>
                                    <w:ind w:leftChars="-40" w:left="-96" w:rightChars="10" w:right="24"/>
                                    <w:jc w:val="both"/>
                                    <w:rPr>
                                      <w:rFonts w:ascii="標楷體" w:eastAsia="標楷體" w:hAnsi="標楷體" w:cs="Arial"/>
                                      <w:color w:val="000000"/>
                                      <w:spacing w:val="-28"/>
                                      <w:sz w:val="16"/>
                                      <w:szCs w:val="16"/>
                                    </w:rPr>
                                  </w:pPr>
                                  <w:r>
                                    <w:rPr>
                                      <w:rFonts w:ascii="標楷體" w:eastAsia="標楷體" w:hAnsi="標楷體" w:cs="Arial" w:hint="eastAsia"/>
                                      <w:color w:val="000000"/>
                                      <w:spacing w:val="-28"/>
                                      <w:sz w:val="16"/>
                                      <w:szCs w:val="16"/>
                                    </w:rPr>
                                    <w:t>（I）=（B）+（G）</w:t>
                                  </w:r>
                                </w:p>
                              </w:tc>
                              <w:tc>
                                <w:tcPr>
                                  <w:tcW w:w="854" w:type="dxa"/>
                                  <w:tcBorders>
                                    <w:top w:val="single" w:sz="4" w:space="0" w:color="auto"/>
                                    <w:left w:val="nil"/>
                                    <w:bottom w:val="single" w:sz="4" w:space="0" w:color="auto"/>
                                    <w:right w:val="single" w:sz="4" w:space="0" w:color="auto"/>
                                  </w:tcBorders>
                                  <w:shd w:val="clear" w:color="auto" w:fill="FFFFFF" w:themeFill="background1"/>
                                  <w:vAlign w:val="center"/>
                                  <w:hideMark/>
                                </w:tcPr>
                                <w:p w14:paraId="6AFE9DC5" w14:textId="77777777" w:rsidR="007B1B13" w:rsidRDefault="007B1B13">
                                  <w:pPr>
                                    <w:widowControl/>
                                    <w:snapToGrid w:val="0"/>
                                    <w:spacing w:line="220" w:lineRule="exact"/>
                                    <w:jc w:val="center"/>
                                    <w:rPr>
                                      <w:rFonts w:ascii="標楷體" w:eastAsia="標楷體" w:hAnsi="標楷體" w:cs="Arial"/>
                                      <w:color w:val="000000"/>
                                      <w:spacing w:val="-6"/>
                                      <w:sz w:val="20"/>
                                      <w:szCs w:val="20"/>
                                    </w:rPr>
                                  </w:pPr>
                                  <w:r>
                                    <w:rPr>
                                      <w:rFonts w:ascii="標楷體" w:eastAsia="標楷體" w:hAnsi="標楷體" w:cs="Arial" w:hint="eastAsia"/>
                                      <w:color w:val="000000"/>
                                      <w:spacing w:val="-6"/>
                                      <w:sz w:val="20"/>
                                      <w:szCs w:val="20"/>
                                    </w:rPr>
                                    <w:t>服務人數</w:t>
                                  </w:r>
                                </w:p>
                                <w:p w14:paraId="44F78434" w14:textId="77777777" w:rsidR="007B1B13" w:rsidRDefault="007B1B13">
                                  <w:pPr>
                                    <w:widowControl/>
                                    <w:snapToGrid w:val="0"/>
                                    <w:spacing w:line="220" w:lineRule="exact"/>
                                    <w:ind w:leftChars="-40" w:left="-96" w:rightChars="10" w:right="24"/>
                                    <w:jc w:val="both"/>
                                    <w:rPr>
                                      <w:rFonts w:ascii="標楷體" w:eastAsia="標楷體" w:hAnsi="標楷體" w:cs="Arial"/>
                                      <w:color w:val="000000"/>
                                      <w:spacing w:val="-10"/>
                                      <w:sz w:val="16"/>
                                      <w:szCs w:val="16"/>
                                    </w:rPr>
                                  </w:pPr>
                                  <w:r>
                                    <w:rPr>
                                      <w:rFonts w:ascii="標楷體" w:eastAsia="標楷體" w:hAnsi="標楷體" w:cs="Arial" w:hint="eastAsia"/>
                                      <w:color w:val="000000"/>
                                      <w:spacing w:val="-10"/>
                                      <w:sz w:val="16"/>
                                      <w:szCs w:val="16"/>
                                    </w:rPr>
                                    <w:t>（J）=（C）+（H）</w:t>
                                  </w:r>
                                </w:p>
                              </w:tc>
                              <w:tc>
                                <w:tcPr>
                                  <w:tcW w:w="102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979F9F" w14:textId="77777777" w:rsidR="007B1B13" w:rsidRDefault="007B1B13">
                                  <w:pPr>
                                    <w:widowControl/>
                                    <w:snapToGrid w:val="0"/>
                                    <w:spacing w:line="220" w:lineRule="exact"/>
                                    <w:jc w:val="center"/>
                                    <w:rPr>
                                      <w:rFonts w:ascii="標楷體" w:eastAsia="標楷體" w:hAnsi="標楷體" w:cs="Arial"/>
                                      <w:color w:val="000000"/>
                                      <w:spacing w:val="-10"/>
                                      <w:sz w:val="20"/>
                                      <w:szCs w:val="20"/>
                                    </w:rPr>
                                  </w:pPr>
                                  <w:r>
                                    <w:rPr>
                                      <w:rFonts w:ascii="標楷體" w:eastAsia="標楷體" w:hAnsi="標楷體" w:cs="Arial" w:hint="eastAsia"/>
                                      <w:color w:val="000000"/>
                                      <w:spacing w:val="-10"/>
                                      <w:sz w:val="20"/>
                                      <w:szCs w:val="20"/>
                                    </w:rPr>
                                    <w:t>服務涵蓋率</w:t>
                                  </w:r>
                                </w:p>
                                <w:p w14:paraId="61D383B5" w14:textId="77777777" w:rsidR="007B1B13" w:rsidRDefault="007B1B13">
                                  <w:pPr>
                                    <w:widowControl/>
                                    <w:snapToGrid w:val="0"/>
                                    <w:spacing w:line="220" w:lineRule="exact"/>
                                    <w:ind w:rightChars="10" w:right="24"/>
                                    <w:jc w:val="center"/>
                                    <w:rPr>
                                      <w:rFonts w:ascii="標楷體" w:eastAsia="標楷體" w:hAnsi="標楷體" w:cs="Arial"/>
                                      <w:color w:val="000000"/>
                                      <w:spacing w:val="-14"/>
                                      <w:sz w:val="16"/>
                                      <w:szCs w:val="16"/>
                                    </w:rPr>
                                  </w:pPr>
                                  <w:proofErr w:type="gramStart"/>
                                  <w:r>
                                    <w:rPr>
                                      <w:rFonts w:ascii="標楷體" w:eastAsia="標楷體" w:hAnsi="標楷體" w:cs="Arial" w:hint="eastAsia"/>
                                      <w:color w:val="000000"/>
                                      <w:spacing w:val="-14"/>
                                      <w:sz w:val="16"/>
                                      <w:szCs w:val="16"/>
                                    </w:rPr>
                                    <w:t>（</w:t>
                                  </w:r>
                                  <w:proofErr w:type="gramEnd"/>
                                  <w:r>
                                    <w:rPr>
                                      <w:rFonts w:ascii="標楷體" w:eastAsia="標楷體" w:hAnsi="標楷體" w:cs="Arial" w:hint="eastAsia"/>
                                      <w:color w:val="000000"/>
                                      <w:spacing w:val="-14"/>
                                      <w:sz w:val="16"/>
                                      <w:szCs w:val="16"/>
                                    </w:rPr>
                                    <w:t>K)=(J/A×100)</w:t>
                                  </w:r>
                                </w:p>
                              </w:tc>
                            </w:tr>
                            <w:tr w:rsidR="007B1B13" w14:paraId="388BAD03" w14:textId="77777777" w:rsidTr="00D537EA">
                              <w:trPr>
                                <w:trHeight w:val="283"/>
                              </w:trPr>
                              <w:tc>
                                <w:tcPr>
                                  <w:tcW w:w="70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0321E9" w14:textId="77777777" w:rsidR="007B1B13" w:rsidRDefault="007B1B13">
                                  <w:pPr>
                                    <w:widowControl/>
                                    <w:snapToGrid w:val="0"/>
                                    <w:spacing w:line="220" w:lineRule="exact"/>
                                    <w:jc w:val="center"/>
                                    <w:rPr>
                                      <w:rFonts w:ascii="標楷體" w:eastAsia="標楷體" w:hAnsi="標楷體" w:cs="新細明體"/>
                                      <w:b/>
                                      <w:color w:val="000000"/>
                                      <w:kern w:val="0"/>
                                      <w:sz w:val="20"/>
                                      <w:szCs w:val="20"/>
                                    </w:rPr>
                                  </w:pPr>
                                  <w:r>
                                    <w:rPr>
                                      <w:rFonts w:ascii="標楷體" w:eastAsia="標楷體" w:hAnsi="標楷體" w:hint="eastAsia"/>
                                      <w:b/>
                                      <w:bCs/>
                                      <w:color w:val="000000"/>
                                      <w:sz w:val="20"/>
                                      <w:szCs w:val="20"/>
                                    </w:rPr>
                                    <w:t>合計</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38A250" w14:textId="77777777" w:rsidR="007B1B13" w:rsidRDefault="007B1B13" w:rsidP="00AE00FE">
                                  <w:pPr>
                                    <w:widowControl/>
                                    <w:snapToGrid w:val="0"/>
                                    <w:spacing w:line="220" w:lineRule="exact"/>
                                    <w:ind w:rightChars="20" w:right="48"/>
                                    <w:jc w:val="right"/>
                                    <w:rPr>
                                      <w:rFonts w:ascii="標楷體" w:eastAsia="標楷體" w:hAnsi="標楷體" w:cs="Arial"/>
                                      <w:b/>
                                      <w:sz w:val="20"/>
                                      <w:szCs w:val="20"/>
                                    </w:rPr>
                                  </w:pPr>
                                  <w:r>
                                    <w:rPr>
                                      <w:rFonts w:ascii="標楷體" w:eastAsia="標楷體" w:hAnsi="標楷體" w:hint="eastAsia"/>
                                      <w:b/>
                                      <w:bCs/>
                                      <w:color w:val="000000"/>
                                      <w:sz w:val="20"/>
                                      <w:szCs w:val="20"/>
                                    </w:rPr>
                                    <w:t>3,457</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B7B984" w14:textId="77777777" w:rsidR="007B1B13" w:rsidRDefault="007B1B13" w:rsidP="00AE00FE">
                                  <w:pPr>
                                    <w:widowControl/>
                                    <w:snapToGrid w:val="0"/>
                                    <w:spacing w:line="220" w:lineRule="exact"/>
                                    <w:ind w:rightChars="20" w:right="48"/>
                                    <w:jc w:val="right"/>
                                    <w:rPr>
                                      <w:rFonts w:ascii="標楷體" w:eastAsia="標楷體" w:hAnsi="標楷體" w:cs="新細明體"/>
                                      <w:b/>
                                      <w:color w:val="000000"/>
                                      <w:kern w:val="0"/>
                                      <w:sz w:val="20"/>
                                      <w:szCs w:val="20"/>
                                    </w:rPr>
                                  </w:pPr>
                                  <w:r>
                                    <w:rPr>
                                      <w:rFonts w:ascii="標楷體" w:eastAsia="標楷體" w:hAnsi="標楷體" w:hint="eastAsia"/>
                                      <w:b/>
                                      <w:bCs/>
                                      <w:color w:val="000000"/>
                                      <w:sz w:val="20"/>
                                      <w:szCs w:val="20"/>
                                    </w:rPr>
                                    <w:t>92</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4F0B7" w14:textId="77777777" w:rsidR="007B1B13" w:rsidRDefault="007B1B13" w:rsidP="00AE00FE">
                                  <w:pPr>
                                    <w:widowControl/>
                                    <w:snapToGrid w:val="0"/>
                                    <w:spacing w:line="220" w:lineRule="exact"/>
                                    <w:ind w:rightChars="20" w:right="48"/>
                                    <w:jc w:val="right"/>
                                    <w:rPr>
                                      <w:rFonts w:ascii="標楷體" w:eastAsia="標楷體" w:hAnsi="標楷體" w:cs="新細明體"/>
                                      <w:b/>
                                      <w:color w:val="000000"/>
                                      <w:kern w:val="0"/>
                                      <w:sz w:val="20"/>
                                      <w:szCs w:val="20"/>
                                    </w:rPr>
                                  </w:pPr>
                                  <w:r>
                                    <w:rPr>
                                      <w:rFonts w:ascii="標楷體" w:eastAsia="標楷體" w:hAnsi="標楷體" w:cs="Arial" w:hint="eastAsia"/>
                                      <w:b/>
                                      <w:bCs/>
                                      <w:color w:val="000000"/>
                                      <w:sz w:val="20"/>
                                      <w:szCs w:val="20"/>
                                    </w:rPr>
                                    <w:t>2,149</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8EBF" w14:textId="77777777" w:rsidR="007B1B13" w:rsidRDefault="007B1B13" w:rsidP="00AE00FE">
                                  <w:pPr>
                                    <w:widowControl/>
                                    <w:snapToGrid w:val="0"/>
                                    <w:spacing w:line="220" w:lineRule="exact"/>
                                    <w:ind w:rightChars="20" w:right="48"/>
                                    <w:jc w:val="right"/>
                                    <w:rPr>
                                      <w:rFonts w:ascii="標楷體" w:eastAsia="標楷體" w:hAnsi="標楷體" w:cs="Arial"/>
                                      <w:b/>
                                      <w:sz w:val="20"/>
                                      <w:szCs w:val="20"/>
                                    </w:rPr>
                                  </w:pPr>
                                  <w:r>
                                    <w:rPr>
                                      <w:rFonts w:ascii="標楷體" w:eastAsia="標楷體" w:hAnsi="標楷體" w:cs="Arial" w:hint="eastAsia"/>
                                      <w:b/>
                                      <w:bCs/>
                                      <w:color w:val="000000"/>
                                      <w:sz w:val="20"/>
                                      <w:szCs w:val="20"/>
                                    </w:rPr>
                                    <w:t>62.16</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80F60" w14:textId="77777777" w:rsidR="007B1B13" w:rsidRDefault="007B1B13" w:rsidP="00AE00FE">
                                  <w:pPr>
                                    <w:widowControl/>
                                    <w:snapToGrid w:val="0"/>
                                    <w:spacing w:line="220" w:lineRule="exact"/>
                                    <w:ind w:rightChars="20" w:right="48"/>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1,943</w:t>
                                  </w:r>
                                </w:p>
                              </w:tc>
                              <w:tc>
                                <w:tcPr>
                                  <w:tcW w:w="896"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5962B57B" w14:textId="77777777" w:rsidR="007B1B13" w:rsidRDefault="007B1B13" w:rsidP="00AE00FE">
                                  <w:pPr>
                                    <w:widowControl/>
                                    <w:snapToGrid w:val="0"/>
                                    <w:spacing w:line="220" w:lineRule="exact"/>
                                    <w:ind w:rightChars="20" w:right="48"/>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90.41</w:t>
                                  </w:r>
                                </w:p>
                              </w:tc>
                              <w:tc>
                                <w:tcPr>
                                  <w:tcW w:w="624"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3AD92732" w14:textId="77777777" w:rsidR="007B1B13" w:rsidRDefault="007B1B13" w:rsidP="00AE00FE">
                                  <w:pPr>
                                    <w:widowControl/>
                                    <w:snapToGrid w:val="0"/>
                                    <w:spacing w:line="220" w:lineRule="exact"/>
                                    <w:ind w:rightChars="20" w:right="48"/>
                                    <w:jc w:val="right"/>
                                    <w:rPr>
                                      <w:rFonts w:ascii="標楷體" w:eastAsia="標楷體" w:hAnsi="標楷體" w:cs="Arial"/>
                                      <w:b/>
                                      <w:sz w:val="20"/>
                                      <w:szCs w:val="20"/>
                                    </w:rPr>
                                  </w:pPr>
                                  <w:r>
                                    <w:rPr>
                                      <w:rFonts w:ascii="標楷體" w:eastAsia="標楷體" w:hAnsi="標楷體" w:cs="Arial" w:hint="eastAsia"/>
                                      <w:b/>
                                      <w:bCs/>
                                      <w:color w:val="000000"/>
                                      <w:sz w:val="20"/>
                                      <w:szCs w:val="20"/>
                                    </w:rPr>
                                    <w:t>37</w:t>
                                  </w:r>
                                </w:p>
                              </w:tc>
                              <w:tc>
                                <w:tcPr>
                                  <w:tcW w:w="644" w:type="dxa"/>
                                  <w:tcBorders>
                                    <w:top w:val="single" w:sz="4" w:space="0" w:color="auto"/>
                                    <w:left w:val="nil"/>
                                    <w:bottom w:val="single" w:sz="4" w:space="0" w:color="auto"/>
                                    <w:right w:val="single" w:sz="4" w:space="0" w:color="auto"/>
                                  </w:tcBorders>
                                  <w:shd w:val="clear" w:color="auto" w:fill="auto"/>
                                  <w:vAlign w:val="center"/>
                                  <w:hideMark/>
                                </w:tcPr>
                                <w:p w14:paraId="37C17824" w14:textId="77777777" w:rsidR="007B1B13" w:rsidRDefault="007B1B13" w:rsidP="00AE00FE">
                                  <w:pPr>
                                    <w:widowControl/>
                                    <w:snapToGrid w:val="0"/>
                                    <w:spacing w:line="220" w:lineRule="exact"/>
                                    <w:ind w:rightChars="20" w:right="48"/>
                                    <w:jc w:val="right"/>
                                    <w:rPr>
                                      <w:rFonts w:ascii="標楷體" w:eastAsia="標楷體" w:hAnsi="標楷體" w:cs="Arial"/>
                                      <w:b/>
                                      <w:sz w:val="20"/>
                                      <w:szCs w:val="20"/>
                                    </w:rPr>
                                  </w:pPr>
                                  <w:r>
                                    <w:rPr>
                                      <w:rFonts w:ascii="標楷體" w:eastAsia="標楷體" w:hAnsi="標楷體" w:cs="Arial" w:hint="eastAsia"/>
                                      <w:b/>
                                      <w:bCs/>
                                      <w:color w:val="000000"/>
                                      <w:sz w:val="20"/>
                                      <w:szCs w:val="20"/>
                                    </w:rPr>
                                    <w:t>549</w:t>
                                  </w:r>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AC1CA" w14:textId="77777777" w:rsidR="007B1B13" w:rsidRDefault="007B1B13" w:rsidP="00AE00FE">
                                  <w:pPr>
                                    <w:widowControl/>
                                    <w:snapToGrid w:val="0"/>
                                    <w:spacing w:line="220" w:lineRule="exact"/>
                                    <w:ind w:rightChars="20" w:right="48"/>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129</w:t>
                                  </w:r>
                                </w:p>
                              </w:tc>
                              <w:tc>
                                <w:tcPr>
                                  <w:tcW w:w="854" w:type="dxa"/>
                                  <w:tcBorders>
                                    <w:top w:val="single" w:sz="4" w:space="0" w:color="auto"/>
                                    <w:left w:val="nil"/>
                                    <w:bottom w:val="single" w:sz="4" w:space="0" w:color="auto"/>
                                    <w:right w:val="single" w:sz="4" w:space="0" w:color="auto"/>
                                  </w:tcBorders>
                                  <w:shd w:val="clear" w:color="auto" w:fill="auto"/>
                                  <w:vAlign w:val="center"/>
                                  <w:hideMark/>
                                </w:tcPr>
                                <w:p w14:paraId="47592B83" w14:textId="77777777" w:rsidR="007B1B13" w:rsidRDefault="007B1B13" w:rsidP="00AE00FE">
                                  <w:pPr>
                                    <w:widowControl/>
                                    <w:snapToGrid w:val="0"/>
                                    <w:spacing w:line="220" w:lineRule="exact"/>
                                    <w:ind w:rightChars="20" w:right="48"/>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2,698</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E72538" w14:textId="77777777" w:rsidR="007B1B13" w:rsidRDefault="007B1B13" w:rsidP="00AE00FE">
                                  <w:pPr>
                                    <w:widowControl/>
                                    <w:snapToGrid w:val="0"/>
                                    <w:spacing w:line="220" w:lineRule="exact"/>
                                    <w:ind w:rightChars="20" w:right="48"/>
                                    <w:jc w:val="right"/>
                                    <w:rPr>
                                      <w:rFonts w:ascii="標楷體" w:eastAsia="標楷體" w:hAnsi="標楷體" w:cs="Arial"/>
                                      <w:color w:val="000000"/>
                                      <w:sz w:val="20"/>
                                      <w:szCs w:val="20"/>
                                    </w:rPr>
                                  </w:pPr>
                                  <w:r>
                                    <w:rPr>
                                      <w:rFonts w:ascii="標楷體" w:eastAsia="標楷體" w:hAnsi="標楷體" w:cs="Arial" w:hint="eastAsia"/>
                                      <w:b/>
                                      <w:bCs/>
                                      <w:color w:val="000000"/>
                                      <w:sz w:val="20"/>
                                      <w:szCs w:val="20"/>
                                    </w:rPr>
                                    <w:t>78.04</w:t>
                                  </w:r>
                                </w:p>
                              </w:tc>
                            </w:tr>
                            <w:tr w:rsidR="007B1B13" w14:paraId="0EC2AFC7"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179137F" w14:textId="77777777" w:rsidR="007B1B13" w:rsidRDefault="007B1B13">
                                  <w:pPr>
                                    <w:widowControl/>
                                    <w:snapToGrid w:val="0"/>
                                    <w:spacing w:line="220" w:lineRule="exact"/>
                                    <w:jc w:val="center"/>
                                    <w:rPr>
                                      <w:rFonts w:ascii="標楷體" w:eastAsia="標楷體" w:hAnsi="標楷體" w:cs="新細明體"/>
                                      <w:b/>
                                      <w:color w:val="000000"/>
                                      <w:kern w:val="0"/>
                                      <w:sz w:val="20"/>
                                      <w:szCs w:val="20"/>
                                    </w:rPr>
                                  </w:pPr>
                                  <w:r>
                                    <w:rPr>
                                      <w:rFonts w:ascii="標楷體" w:eastAsia="標楷體" w:hAnsi="標楷體" w:hint="eastAsia"/>
                                      <w:color w:val="000000"/>
                                      <w:sz w:val="20"/>
                                      <w:szCs w:val="20"/>
                                    </w:rPr>
                                    <w:t>南港區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EDCCF2"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hint="eastAsia"/>
                                      <w:color w:val="000000"/>
                                      <w:sz w:val="20"/>
                                      <w:szCs w:val="20"/>
                                    </w:rPr>
                                    <w:t>199</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9DC49A3"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hint="eastAsia"/>
                                      <w:color w:val="000000"/>
                                      <w:sz w:val="20"/>
                                      <w:szCs w:val="20"/>
                                    </w:rPr>
                                    <w:t>2</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2301D772"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cs="Arial" w:hint="eastAsia"/>
                                      <w:color w:val="000000"/>
                                      <w:sz w:val="20"/>
                                      <w:szCs w:val="20"/>
                                    </w:rPr>
                                    <w:t>42</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18B2F31A"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cs="Arial" w:hint="eastAsia"/>
                                      <w:color w:val="000000"/>
                                      <w:sz w:val="20"/>
                                      <w:szCs w:val="20"/>
                                    </w:rPr>
                                    <w:t>▲ 21.11</w:t>
                                  </w:r>
                                </w:p>
                              </w:tc>
                              <w:tc>
                                <w:tcPr>
                                  <w:tcW w:w="744" w:type="dxa"/>
                                  <w:tcBorders>
                                    <w:top w:val="nil"/>
                                    <w:left w:val="single" w:sz="4" w:space="0" w:color="auto"/>
                                    <w:bottom w:val="single" w:sz="4" w:space="0" w:color="auto"/>
                                    <w:right w:val="single" w:sz="4" w:space="0" w:color="auto"/>
                                  </w:tcBorders>
                                  <w:shd w:val="clear" w:color="auto" w:fill="auto"/>
                                  <w:hideMark/>
                                </w:tcPr>
                                <w:p w14:paraId="2424F940"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38</w:t>
                                  </w:r>
                                </w:p>
                              </w:tc>
                              <w:tc>
                                <w:tcPr>
                                  <w:tcW w:w="896" w:type="dxa"/>
                                  <w:tcBorders>
                                    <w:top w:val="nil"/>
                                    <w:left w:val="single" w:sz="4" w:space="0" w:color="auto"/>
                                    <w:bottom w:val="single" w:sz="4" w:space="0" w:color="auto"/>
                                    <w:right w:val="double" w:sz="4" w:space="0" w:color="auto"/>
                                  </w:tcBorders>
                                  <w:shd w:val="clear" w:color="auto" w:fill="auto"/>
                                  <w:hideMark/>
                                </w:tcPr>
                                <w:p w14:paraId="397AC6B2"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90.48</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36256837"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cs="Arial" w:hint="eastAsia"/>
                                      <w:color w:val="000000"/>
                                      <w:sz w:val="20"/>
                                      <w:szCs w:val="20"/>
                                    </w:rPr>
                                    <w:t>4</w:t>
                                  </w:r>
                                </w:p>
                              </w:tc>
                              <w:tc>
                                <w:tcPr>
                                  <w:tcW w:w="644" w:type="dxa"/>
                                  <w:tcBorders>
                                    <w:top w:val="nil"/>
                                    <w:left w:val="nil"/>
                                    <w:bottom w:val="single" w:sz="4" w:space="0" w:color="auto"/>
                                    <w:right w:val="single" w:sz="4" w:space="0" w:color="auto"/>
                                  </w:tcBorders>
                                  <w:shd w:val="clear" w:color="auto" w:fill="auto"/>
                                  <w:vAlign w:val="bottom"/>
                                  <w:hideMark/>
                                </w:tcPr>
                                <w:p w14:paraId="541BDFBE"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cs="Arial" w:hint="eastAsia"/>
                                      <w:color w:val="000000"/>
                                      <w:sz w:val="20"/>
                                      <w:szCs w:val="20"/>
                                    </w:rPr>
                                    <w:t>92</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4C636D1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6</w:t>
                                  </w:r>
                                </w:p>
                              </w:tc>
                              <w:tc>
                                <w:tcPr>
                                  <w:tcW w:w="854" w:type="dxa"/>
                                  <w:tcBorders>
                                    <w:top w:val="nil"/>
                                    <w:left w:val="nil"/>
                                    <w:bottom w:val="single" w:sz="4" w:space="0" w:color="auto"/>
                                    <w:right w:val="single" w:sz="4" w:space="0" w:color="auto"/>
                                  </w:tcBorders>
                                  <w:shd w:val="clear" w:color="auto" w:fill="auto"/>
                                  <w:vAlign w:val="bottom"/>
                                  <w:hideMark/>
                                </w:tcPr>
                                <w:p w14:paraId="1D5CE8DE"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134</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105E5A81"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67.34</w:t>
                                  </w:r>
                                </w:p>
                              </w:tc>
                            </w:tr>
                            <w:tr w:rsidR="007B1B13" w14:paraId="628C7B10"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DE1F83"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大安區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6BC39A"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295</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A3BAAB6"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7E10D1B1"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cs="Arial" w:hint="eastAsia"/>
                                      <w:color w:val="000000"/>
                                      <w:sz w:val="20"/>
                                      <w:szCs w:val="20"/>
                                    </w:rPr>
                                    <w:t>66</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664981B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22.37</w:t>
                                  </w:r>
                                </w:p>
                              </w:tc>
                              <w:tc>
                                <w:tcPr>
                                  <w:tcW w:w="744" w:type="dxa"/>
                                  <w:tcBorders>
                                    <w:top w:val="nil"/>
                                    <w:left w:val="single" w:sz="4" w:space="0" w:color="auto"/>
                                    <w:bottom w:val="single" w:sz="4" w:space="0" w:color="auto"/>
                                    <w:right w:val="single" w:sz="4" w:space="0" w:color="auto"/>
                                  </w:tcBorders>
                                  <w:shd w:val="clear" w:color="auto" w:fill="auto"/>
                                  <w:hideMark/>
                                </w:tcPr>
                                <w:p w14:paraId="2D03150A"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73</w:t>
                                  </w:r>
                                </w:p>
                              </w:tc>
                              <w:tc>
                                <w:tcPr>
                                  <w:tcW w:w="896" w:type="dxa"/>
                                  <w:tcBorders>
                                    <w:top w:val="nil"/>
                                    <w:left w:val="single" w:sz="4" w:space="0" w:color="auto"/>
                                    <w:bottom w:val="single" w:sz="4" w:space="0" w:color="auto"/>
                                    <w:right w:val="double" w:sz="4" w:space="0" w:color="auto"/>
                                  </w:tcBorders>
                                  <w:shd w:val="clear" w:color="auto" w:fill="auto"/>
                                  <w:hideMark/>
                                </w:tcPr>
                                <w:p w14:paraId="6A4AF141"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110.61</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58163589"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w:t>
                                  </w:r>
                                </w:p>
                              </w:tc>
                              <w:tc>
                                <w:tcPr>
                                  <w:tcW w:w="644" w:type="dxa"/>
                                  <w:tcBorders>
                                    <w:top w:val="nil"/>
                                    <w:left w:val="nil"/>
                                    <w:bottom w:val="single" w:sz="4" w:space="0" w:color="auto"/>
                                    <w:right w:val="single" w:sz="4" w:space="0" w:color="auto"/>
                                  </w:tcBorders>
                                  <w:shd w:val="clear" w:color="auto" w:fill="auto"/>
                                  <w:vAlign w:val="bottom"/>
                                  <w:hideMark/>
                                </w:tcPr>
                                <w:p w14:paraId="6710AA53"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40</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05631F0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6</w:t>
                                  </w:r>
                                </w:p>
                              </w:tc>
                              <w:tc>
                                <w:tcPr>
                                  <w:tcW w:w="854" w:type="dxa"/>
                                  <w:tcBorders>
                                    <w:top w:val="nil"/>
                                    <w:left w:val="nil"/>
                                    <w:bottom w:val="single" w:sz="4" w:space="0" w:color="auto"/>
                                    <w:right w:val="single" w:sz="4" w:space="0" w:color="auto"/>
                                  </w:tcBorders>
                                  <w:shd w:val="clear" w:color="auto" w:fill="auto"/>
                                  <w:vAlign w:val="bottom"/>
                                  <w:hideMark/>
                                </w:tcPr>
                                <w:p w14:paraId="46AA0019"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106</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02D28D89"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35.93</w:t>
                                  </w:r>
                                </w:p>
                              </w:tc>
                            </w:tr>
                            <w:tr w:rsidR="007B1B13" w14:paraId="554C141C"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59FACB"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士林區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F71065"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384</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3CB394"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40C21A25" w14:textId="77777777" w:rsidR="007B1B13" w:rsidRDefault="007B1B13">
                                  <w:pPr>
                                    <w:widowControl/>
                                    <w:snapToGrid w:val="0"/>
                                    <w:spacing w:line="220" w:lineRule="exact"/>
                                    <w:ind w:rightChars="15" w:right="36"/>
                                    <w:jc w:val="right"/>
                                    <w:rPr>
                                      <w:rFonts w:ascii="標楷體" w:eastAsia="標楷體" w:hAnsi="標楷體" w:cs="新細明體"/>
                                      <w:color w:val="000000" w:themeColor="text1"/>
                                      <w:kern w:val="0"/>
                                      <w:sz w:val="20"/>
                                      <w:szCs w:val="20"/>
                                    </w:rPr>
                                  </w:pPr>
                                  <w:r>
                                    <w:rPr>
                                      <w:rFonts w:ascii="標楷體" w:eastAsia="標楷體" w:hAnsi="標楷體" w:cs="Arial" w:hint="eastAsia"/>
                                      <w:color w:val="000000" w:themeColor="text1"/>
                                      <w:sz w:val="20"/>
                                      <w:szCs w:val="20"/>
                                    </w:rPr>
                                    <w:t>132</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7171CE23"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34.38</w:t>
                                  </w:r>
                                </w:p>
                              </w:tc>
                              <w:tc>
                                <w:tcPr>
                                  <w:tcW w:w="744" w:type="dxa"/>
                                  <w:tcBorders>
                                    <w:top w:val="single" w:sz="4" w:space="0" w:color="auto"/>
                                    <w:left w:val="single" w:sz="4" w:space="0" w:color="auto"/>
                                    <w:bottom w:val="single" w:sz="4" w:space="0" w:color="auto"/>
                                    <w:right w:val="single" w:sz="4" w:space="0" w:color="auto"/>
                                  </w:tcBorders>
                                  <w:shd w:val="clear" w:color="auto" w:fill="auto"/>
                                  <w:hideMark/>
                                </w:tcPr>
                                <w:p w14:paraId="35FE069B"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hint="eastAsia"/>
                                      <w:color w:val="000000"/>
                                      <w:sz w:val="20"/>
                                      <w:szCs w:val="20"/>
                                    </w:rPr>
                                    <w:t>89</w:t>
                                  </w:r>
                                </w:p>
                              </w:tc>
                              <w:tc>
                                <w:tcPr>
                                  <w:tcW w:w="896" w:type="dxa"/>
                                  <w:tcBorders>
                                    <w:top w:val="single" w:sz="4" w:space="0" w:color="auto"/>
                                    <w:left w:val="single" w:sz="4" w:space="0" w:color="auto"/>
                                    <w:bottom w:val="single" w:sz="4" w:space="0" w:color="auto"/>
                                    <w:right w:val="double" w:sz="4" w:space="0" w:color="auto"/>
                                  </w:tcBorders>
                                  <w:shd w:val="clear" w:color="auto" w:fill="FFFFFF"/>
                                  <w:hideMark/>
                                </w:tcPr>
                                <w:p w14:paraId="6D5045BE"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hint="eastAsia"/>
                                      <w:color w:val="000000"/>
                                      <w:sz w:val="20"/>
                                      <w:szCs w:val="20"/>
                                    </w:rPr>
                                    <w:t>67.42</w:t>
                                  </w:r>
                                </w:p>
                              </w:tc>
                              <w:tc>
                                <w:tcPr>
                                  <w:tcW w:w="624" w:type="dxa"/>
                                  <w:tcBorders>
                                    <w:top w:val="single" w:sz="4" w:space="0" w:color="auto"/>
                                    <w:left w:val="double" w:sz="4" w:space="0" w:color="auto"/>
                                    <w:bottom w:val="single" w:sz="4" w:space="0" w:color="auto"/>
                                    <w:right w:val="single" w:sz="4" w:space="0" w:color="auto"/>
                                  </w:tcBorders>
                                  <w:shd w:val="clear" w:color="auto" w:fill="FFFFFF"/>
                                  <w:vAlign w:val="center"/>
                                  <w:hideMark/>
                                </w:tcPr>
                                <w:p w14:paraId="3B907745"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3C659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1812FFD2"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w:t>
                                  </w:r>
                                </w:p>
                              </w:tc>
                              <w:tc>
                                <w:tcPr>
                                  <w:tcW w:w="854" w:type="dxa"/>
                                  <w:tcBorders>
                                    <w:top w:val="nil"/>
                                    <w:left w:val="nil"/>
                                    <w:bottom w:val="single" w:sz="4" w:space="0" w:color="auto"/>
                                    <w:right w:val="single" w:sz="4" w:space="0" w:color="auto"/>
                                  </w:tcBorders>
                                  <w:shd w:val="clear" w:color="auto" w:fill="auto"/>
                                  <w:vAlign w:val="bottom"/>
                                  <w:hideMark/>
                                </w:tcPr>
                                <w:p w14:paraId="2BECCF3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132</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36D6461A"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 34.38</w:t>
                                  </w:r>
                                </w:p>
                              </w:tc>
                            </w:tr>
                            <w:tr w:rsidR="007B1B13" w14:paraId="040E7A96"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AC46A5"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內湖區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1F04EE"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343</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F0CE1E5"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11</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5C42FA50" w14:textId="77777777" w:rsidR="007B1B13" w:rsidRDefault="007B1B13">
                                  <w:pPr>
                                    <w:widowControl/>
                                    <w:snapToGrid w:val="0"/>
                                    <w:spacing w:line="220" w:lineRule="exact"/>
                                    <w:ind w:rightChars="15" w:right="36"/>
                                    <w:jc w:val="right"/>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118</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1089AD1A"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34.40</w:t>
                                  </w:r>
                                </w:p>
                              </w:tc>
                              <w:tc>
                                <w:tcPr>
                                  <w:tcW w:w="744" w:type="dxa"/>
                                  <w:tcBorders>
                                    <w:top w:val="nil"/>
                                    <w:left w:val="single" w:sz="4" w:space="0" w:color="auto"/>
                                    <w:bottom w:val="single" w:sz="4" w:space="0" w:color="auto"/>
                                    <w:right w:val="single" w:sz="4" w:space="0" w:color="auto"/>
                                  </w:tcBorders>
                                  <w:shd w:val="clear" w:color="auto" w:fill="auto"/>
                                  <w:hideMark/>
                                </w:tcPr>
                                <w:p w14:paraId="0CC2705A"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129</w:t>
                                  </w:r>
                                </w:p>
                              </w:tc>
                              <w:tc>
                                <w:tcPr>
                                  <w:tcW w:w="896" w:type="dxa"/>
                                  <w:tcBorders>
                                    <w:top w:val="nil"/>
                                    <w:left w:val="single" w:sz="4" w:space="0" w:color="auto"/>
                                    <w:bottom w:val="single" w:sz="4" w:space="0" w:color="auto"/>
                                    <w:right w:val="double" w:sz="4" w:space="0" w:color="auto"/>
                                  </w:tcBorders>
                                  <w:shd w:val="clear" w:color="auto" w:fill="auto"/>
                                  <w:hideMark/>
                                </w:tcPr>
                                <w:p w14:paraId="1A5CDF20"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109.32</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77E88B77"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5</w:t>
                                  </w:r>
                                </w:p>
                              </w:tc>
                              <w:tc>
                                <w:tcPr>
                                  <w:tcW w:w="644" w:type="dxa"/>
                                  <w:tcBorders>
                                    <w:top w:val="nil"/>
                                    <w:left w:val="nil"/>
                                    <w:bottom w:val="single" w:sz="4" w:space="0" w:color="auto"/>
                                    <w:right w:val="single" w:sz="4" w:space="0" w:color="auto"/>
                                  </w:tcBorders>
                                  <w:shd w:val="clear" w:color="auto" w:fill="auto"/>
                                  <w:vAlign w:val="bottom"/>
                                  <w:hideMark/>
                                </w:tcPr>
                                <w:p w14:paraId="2F3B40F4"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88</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0F3799B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16</w:t>
                                  </w:r>
                                </w:p>
                              </w:tc>
                              <w:tc>
                                <w:tcPr>
                                  <w:tcW w:w="854" w:type="dxa"/>
                                  <w:tcBorders>
                                    <w:top w:val="nil"/>
                                    <w:left w:val="nil"/>
                                    <w:bottom w:val="single" w:sz="4" w:space="0" w:color="auto"/>
                                    <w:right w:val="single" w:sz="4" w:space="0" w:color="auto"/>
                                  </w:tcBorders>
                                  <w:shd w:val="clear" w:color="auto" w:fill="auto"/>
                                  <w:vAlign w:val="bottom"/>
                                  <w:hideMark/>
                                </w:tcPr>
                                <w:p w14:paraId="63101F5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206</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7C8E8EF0"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60.06</w:t>
                                  </w:r>
                                </w:p>
                              </w:tc>
                            </w:tr>
                            <w:tr w:rsidR="007B1B13" w14:paraId="19501A95"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818776"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萬華區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3691D6"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344</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6857BA9"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09E5CFB9" w14:textId="77777777" w:rsidR="007B1B13" w:rsidRDefault="007B1B13">
                                  <w:pPr>
                                    <w:widowControl/>
                                    <w:snapToGrid w:val="0"/>
                                    <w:spacing w:line="220" w:lineRule="exact"/>
                                    <w:ind w:rightChars="15" w:right="36"/>
                                    <w:jc w:val="right"/>
                                    <w:rPr>
                                      <w:rFonts w:ascii="標楷體" w:eastAsia="標楷體" w:hAnsi="標楷體" w:cs="新細明體"/>
                                      <w:color w:val="000000" w:themeColor="text1"/>
                                      <w:kern w:val="0"/>
                                      <w:sz w:val="20"/>
                                      <w:szCs w:val="20"/>
                                    </w:rPr>
                                  </w:pPr>
                                  <w:r>
                                    <w:rPr>
                                      <w:rFonts w:ascii="標楷體" w:eastAsia="標楷體" w:hAnsi="標楷體" w:cs="Arial" w:hint="eastAsia"/>
                                      <w:color w:val="000000" w:themeColor="text1"/>
                                      <w:sz w:val="20"/>
                                      <w:szCs w:val="20"/>
                                    </w:rPr>
                                    <w:t>119</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505EB111"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34.59</w:t>
                                  </w:r>
                                </w:p>
                              </w:tc>
                              <w:tc>
                                <w:tcPr>
                                  <w:tcW w:w="744" w:type="dxa"/>
                                  <w:tcBorders>
                                    <w:top w:val="nil"/>
                                    <w:left w:val="single" w:sz="4" w:space="0" w:color="auto"/>
                                    <w:bottom w:val="single" w:sz="4" w:space="0" w:color="auto"/>
                                    <w:right w:val="single" w:sz="4" w:space="0" w:color="auto"/>
                                  </w:tcBorders>
                                  <w:shd w:val="clear" w:color="auto" w:fill="auto"/>
                                  <w:hideMark/>
                                </w:tcPr>
                                <w:p w14:paraId="5BBBB03E"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96</w:t>
                                  </w:r>
                                </w:p>
                              </w:tc>
                              <w:tc>
                                <w:tcPr>
                                  <w:tcW w:w="896" w:type="dxa"/>
                                  <w:tcBorders>
                                    <w:top w:val="nil"/>
                                    <w:left w:val="single" w:sz="4" w:space="0" w:color="auto"/>
                                    <w:bottom w:val="single" w:sz="4" w:space="0" w:color="auto"/>
                                    <w:right w:val="double" w:sz="4" w:space="0" w:color="auto"/>
                                  </w:tcBorders>
                                  <w:shd w:val="clear" w:color="auto" w:fill="auto"/>
                                  <w:hideMark/>
                                </w:tcPr>
                                <w:p w14:paraId="4A6516E9"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80.67</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232CC110"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1</w:t>
                                  </w:r>
                                </w:p>
                              </w:tc>
                              <w:tc>
                                <w:tcPr>
                                  <w:tcW w:w="644" w:type="dxa"/>
                                  <w:tcBorders>
                                    <w:top w:val="nil"/>
                                    <w:left w:val="nil"/>
                                    <w:bottom w:val="single" w:sz="4" w:space="0" w:color="auto"/>
                                    <w:right w:val="single" w:sz="4" w:space="0" w:color="auto"/>
                                  </w:tcBorders>
                                  <w:shd w:val="clear" w:color="auto" w:fill="auto"/>
                                  <w:vAlign w:val="bottom"/>
                                  <w:hideMark/>
                                </w:tcPr>
                                <w:p w14:paraId="06F7432E"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30</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56D8F04F"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7</w:t>
                                  </w:r>
                                </w:p>
                              </w:tc>
                              <w:tc>
                                <w:tcPr>
                                  <w:tcW w:w="854" w:type="dxa"/>
                                  <w:tcBorders>
                                    <w:top w:val="nil"/>
                                    <w:left w:val="nil"/>
                                    <w:bottom w:val="single" w:sz="4" w:space="0" w:color="auto"/>
                                    <w:right w:val="single" w:sz="4" w:space="0" w:color="auto"/>
                                  </w:tcBorders>
                                  <w:shd w:val="clear" w:color="auto" w:fill="auto"/>
                                  <w:vAlign w:val="bottom"/>
                                  <w:hideMark/>
                                </w:tcPr>
                                <w:p w14:paraId="5B87F42B"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149</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09AEFDED"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43.31</w:t>
                                  </w:r>
                                </w:p>
                              </w:tc>
                            </w:tr>
                            <w:tr w:rsidR="007B1B13" w14:paraId="14E5854E"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18836C"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北投區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76900B"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355</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380A641"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10</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6BE31" w14:textId="77777777" w:rsidR="007B1B13" w:rsidRDefault="007B1B13">
                                  <w:pPr>
                                    <w:widowControl/>
                                    <w:snapToGrid w:val="0"/>
                                    <w:spacing w:line="220" w:lineRule="exact"/>
                                    <w:ind w:rightChars="15" w:right="36"/>
                                    <w:jc w:val="right"/>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214</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6B2893"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60.28</w:t>
                                  </w:r>
                                </w:p>
                              </w:tc>
                              <w:tc>
                                <w:tcPr>
                                  <w:tcW w:w="744" w:type="dxa"/>
                                  <w:tcBorders>
                                    <w:top w:val="single" w:sz="4" w:space="0" w:color="auto"/>
                                    <w:left w:val="single" w:sz="4" w:space="0" w:color="auto"/>
                                    <w:bottom w:val="single" w:sz="4" w:space="0" w:color="auto"/>
                                    <w:right w:val="single" w:sz="4" w:space="0" w:color="auto"/>
                                  </w:tcBorders>
                                  <w:shd w:val="clear" w:color="auto" w:fill="auto"/>
                                  <w:hideMark/>
                                </w:tcPr>
                                <w:p w14:paraId="59009A3E"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193</w:t>
                                  </w:r>
                                </w:p>
                              </w:tc>
                              <w:tc>
                                <w:tcPr>
                                  <w:tcW w:w="896" w:type="dxa"/>
                                  <w:tcBorders>
                                    <w:top w:val="single" w:sz="4" w:space="0" w:color="auto"/>
                                    <w:left w:val="single" w:sz="4" w:space="0" w:color="auto"/>
                                    <w:bottom w:val="single" w:sz="4" w:space="0" w:color="auto"/>
                                    <w:right w:val="double" w:sz="4" w:space="0" w:color="auto"/>
                                  </w:tcBorders>
                                  <w:shd w:val="clear" w:color="auto" w:fill="auto"/>
                                  <w:hideMark/>
                                </w:tcPr>
                                <w:p w14:paraId="072A2CB2"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90.19</w:t>
                                  </w:r>
                                </w:p>
                              </w:tc>
                              <w:tc>
                                <w:tcPr>
                                  <w:tcW w:w="624" w:type="dxa"/>
                                  <w:tcBorders>
                                    <w:top w:val="single" w:sz="4" w:space="0" w:color="auto"/>
                                    <w:left w:val="double" w:sz="4" w:space="0" w:color="auto"/>
                                    <w:bottom w:val="single" w:sz="4" w:space="0" w:color="auto"/>
                                    <w:right w:val="single" w:sz="4" w:space="0" w:color="auto"/>
                                  </w:tcBorders>
                                  <w:shd w:val="clear" w:color="auto" w:fill="auto"/>
                                  <w:vAlign w:val="bottom"/>
                                  <w:hideMark/>
                                </w:tcPr>
                                <w:p w14:paraId="780158EA"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1</w:t>
                                  </w:r>
                                </w:p>
                              </w:tc>
                              <w:tc>
                                <w:tcPr>
                                  <w:tcW w:w="644" w:type="dxa"/>
                                  <w:tcBorders>
                                    <w:top w:val="single" w:sz="4" w:space="0" w:color="auto"/>
                                    <w:left w:val="nil"/>
                                    <w:bottom w:val="single" w:sz="4" w:space="0" w:color="auto"/>
                                    <w:right w:val="single" w:sz="4" w:space="0" w:color="auto"/>
                                  </w:tcBorders>
                                  <w:shd w:val="clear" w:color="auto" w:fill="auto"/>
                                  <w:vAlign w:val="bottom"/>
                                  <w:hideMark/>
                                </w:tcPr>
                                <w:p w14:paraId="66BD084F"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55</w:t>
                                  </w:r>
                                </w:p>
                              </w:tc>
                              <w:tc>
                                <w:tcPr>
                                  <w:tcW w:w="72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CF4AFEA"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11</w:t>
                                  </w:r>
                                </w:p>
                              </w:tc>
                              <w:tc>
                                <w:tcPr>
                                  <w:tcW w:w="854" w:type="dxa"/>
                                  <w:tcBorders>
                                    <w:top w:val="single" w:sz="4" w:space="0" w:color="auto"/>
                                    <w:left w:val="nil"/>
                                    <w:bottom w:val="single" w:sz="4" w:space="0" w:color="auto"/>
                                    <w:right w:val="single" w:sz="4" w:space="0" w:color="auto"/>
                                  </w:tcBorders>
                                  <w:shd w:val="clear" w:color="auto" w:fill="auto"/>
                                  <w:vAlign w:val="bottom"/>
                                  <w:hideMark/>
                                </w:tcPr>
                                <w:p w14:paraId="520D8F74"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269</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454142"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75.77</w:t>
                                  </w:r>
                                </w:p>
                              </w:tc>
                            </w:tr>
                            <w:tr w:rsidR="007B1B13" w14:paraId="3EC87AD2"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37AC6B"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文山區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DE6FB8"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392</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70C06F"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8</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932CF5" w14:textId="77777777" w:rsidR="007B1B13" w:rsidRDefault="007B1B13">
                                  <w:pPr>
                                    <w:widowControl/>
                                    <w:snapToGrid w:val="0"/>
                                    <w:spacing w:line="220" w:lineRule="exact"/>
                                    <w:ind w:rightChars="15" w:right="36"/>
                                    <w:jc w:val="right"/>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273</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730632F"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69.64</w:t>
                                  </w:r>
                                </w:p>
                              </w:tc>
                              <w:tc>
                                <w:tcPr>
                                  <w:tcW w:w="744" w:type="dxa"/>
                                  <w:tcBorders>
                                    <w:top w:val="single" w:sz="4" w:space="0" w:color="auto"/>
                                    <w:left w:val="single" w:sz="4" w:space="0" w:color="auto"/>
                                    <w:bottom w:val="single" w:sz="4" w:space="0" w:color="auto"/>
                                    <w:right w:val="single" w:sz="4" w:space="0" w:color="auto"/>
                                  </w:tcBorders>
                                  <w:shd w:val="clear" w:color="auto" w:fill="auto"/>
                                  <w:hideMark/>
                                </w:tcPr>
                                <w:p w14:paraId="7659D40B"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hint="eastAsia"/>
                                      <w:color w:val="000000"/>
                                      <w:sz w:val="20"/>
                                      <w:szCs w:val="20"/>
                                    </w:rPr>
                                    <w:t>249</w:t>
                                  </w:r>
                                </w:p>
                              </w:tc>
                              <w:tc>
                                <w:tcPr>
                                  <w:tcW w:w="896" w:type="dxa"/>
                                  <w:tcBorders>
                                    <w:top w:val="single" w:sz="4" w:space="0" w:color="auto"/>
                                    <w:left w:val="single" w:sz="4" w:space="0" w:color="auto"/>
                                    <w:bottom w:val="single" w:sz="4" w:space="0" w:color="auto"/>
                                    <w:right w:val="double" w:sz="4" w:space="0" w:color="auto"/>
                                  </w:tcBorders>
                                  <w:shd w:val="clear" w:color="auto" w:fill="FFFFFF"/>
                                  <w:hideMark/>
                                </w:tcPr>
                                <w:p w14:paraId="6F289F42"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hint="eastAsia"/>
                                      <w:color w:val="000000"/>
                                      <w:sz w:val="20"/>
                                      <w:szCs w:val="20"/>
                                    </w:rPr>
                                    <w:t>91.21</w:t>
                                  </w:r>
                                </w:p>
                              </w:tc>
                              <w:tc>
                                <w:tcPr>
                                  <w:tcW w:w="624" w:type="dxa"/>
                                  <w:tcBorders>
                                    <w:top w:val="single" w:sz="4" w:space="0" w:color="auto"/>
                                    <w:left w:val="double" w:sz="4" w:space="0" w:color="auto"/>
                                    <w:bottom w:val="single" w:sz="4" w:space="0" w:color="auto"/>
                                    <w:right w:val="single" w:sz="4" w:space="0" w:color="auto"/>
                                  </w:tcBorders>
                                  <w:shd w:val="clear" w:color="auto" w:fill="FFFFFF"/>
                                  <w:vAlign w:val="center"/>
                                  <w:hideMark/>
                                </w:tcPr>
                                <w:p w14:paraId="04728B29"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5151D4"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72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FBCF2C0"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w:t>
                                  </w:r>
                                </w:p>
                              </w:tc>
                              <w:tc>
                                <w:tcPr>
                                  <w:tcW w:w="854" w:type="dxa"/>
                                  <w:tcBorders>
                                    <w:top w:val="single" w:sz="4" w:space="0" w:color="auto"/>
                                    <w:left w:val="nil"/>
                                    <w:bottom w:val="single" w:sz="4" w:space="0" w:color="auto"/>
                                    <w:right w:val="single" w:sz="4" w:space="0" w:color="auto"/>
                                  </w:tcBorders>
                                  <w:shd w:val="clear" w:color="auto" w:fill="auto"/>
                                  <w:vAlign w:val="bottom"/>
                                  <w:hideMark/>
                                </w:tcPr>
                                <w:p w14:paraId="0EB9AD8F"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273</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443F988"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69.64</w:t>
                                  </w:r>
                                </w:p>
                              </w:tc>
                            </w:tr>
                            <w:tr w:rsidR="007B1B13" w14:paraId="6EB89851"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1CAEC5"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中山區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69854B"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275</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22B8442"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3A7DB50A" w14:textId="77777777" w:rsidR="007B1B13" w:rsidRDefault="007B1B13">
                                  <w:pPr>
                                    <w:widowControl/>
                                    <w:snapToGrid w:val="0"/>
                                    <w:spacing w:line="220" w:lineRule="exact"/>
                                    <w:ind w:rightChars="15" w:right="36"/>
                                    <w:jc w:val="right"/>
                                    <w:rPr>
                                      <w:rFonts w:ascii="標楷體" w:eastAsia="標楷體" w:hAnsi="標楷體" w:cs="新細明體"/>
                                      <w:color w:val="000000" w:themeColor="text1"/>
                                      <w:kern w:val="0"/>
                                      <w:sz w:val="20"/>
                                      <w:szCs w:val="20"/>
                                    </w:rPr>
                                  </w:pPr>
                                  <w:r>
                                    <w:rPr>
                                      <w:rFonts w:ascii="標楷體" w:eastAsia="標楷體" w:hAnsi="標楷體" w:cs="Arial" w:hint="eastAsia"/>
                                      <w:color w:val="000000" w:themeColor="text1"/>
                                      <w:sz w:val="20"/>
                                      <w:szCs w:val="20"/>
                                    </w:rPr>
                                    <w:t>226</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03970B0A"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82.18</w:t>
                                  </w:r>
                                </w:p>
                              </w:tc>
                              <w:tc>
                                <w:tcPr>
                                  <w:tcW w:w="744" w:type="dxa"/>
                                  <w:tcBorders>
                                    <w:top w:val="nil"/>
                                    <w:left w:val="single" w:sz="4" w:space="0" w:color="auto"/>
                                    <w:bottom w:val="single" w:sz="4" w:space="0" w:color="auto"/>
                                    <w:right w:val="single" w:sz="4" w:space="0" w:color="auto"/>
                                  </w:tcBorders>
                                  <w:shd w:val="clear" w:color="auto" w:fill="auto"/>
                                  <w:hideMark/>
                                </w:tcPr>
                                <w:p w14:paraId="548F4045"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182</w:t>
                                  </w:r>
                                </w:p>
                              </w:tc>
                              <w:tc>
                                <w:tcPr>
                                  <w:tcW w:w="896" w:type="dxa"/>
                                  <w:tcBorders>
                                    <w:top w:val="nil"/>
                                    <w:left w:val="single" w:sz="4" w:space="0" w:color="auto"/>
                                    <w:bottom w:val="single" w:sz="4" w:space="0" w:color="auto"/>
                                    <w:right w:val="double" w:sz="4" w:space="0" w:color="auto"/>
                                  </w:tcBorders>
                                  <w:shd w:val="clear" w:color="auto" w:fill="auto"/>
                                  <w:hideMark/>
                                </w:tcPr>
                                <w:p w14:paraId="16A1756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80.53</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4B21BE31"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w:t>
                                  </w:r>
                                </w:p>
                              </w:tc>
                              <w:tc>
                                <w:tcPr>
                                  <w:tcW w:w="644" w:type="dxa"/>
                                  <w:tcBorders>
                                    <w:top w:val="nil"/>
                                    <w:left w:val="nil"/>
                                    <w:bottom w:val="single" w:sz="4" w:space="0" w:color="auto"/>
                                    <w:right w:val="single" w:sz="4" w:space="0" w:color="auto"/>
                                  </w:tcBorders>
                                  <w:shd w:val="clear" w:color="auto" w:fill="auto"/>
                                  <w:vAlign w:val="bottom"/>
                                  <w:hideMark/>
                                </w:tcPr>
                                <w:p w14:paraId="688A4C78"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70</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1CA47C4D"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w:t>
                                  </w:r>
                                </w:p>
                              </w:tc>
                              <w:tc>
                                <w:tcPr>
                                  <w:tcW w:w="854" w:type="dxa"/>
                                  <w:tcBorders>
                                    <w:top w:val="nil"/>
                                    <w:left w:val="nil"/>
                                    <w:bottom w:val="single" w:sz="4" w:space="0" w:color="auto"/>
                                    <w:right w:val="single" w:sz="4" w:space="0" w:color="auto"/>
                                  </w:tcBorders>
                                  <w:shd w:val="clear" w:color="auto" w:fill="auto"/>
                                  <w:vAlign w:val="bottom"/>
                                  <w:hideMark/>
                                </w:tcPr>
                                <w:p w14:paraId="6D414E3E"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296</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7D638A2B"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107.64</w:t>
                                  </w:r>
                                </w:p>
                              </w:tc>
                            </w:tr>
                            <w:tr w:rsidR="007B1B13" w14:paraId="5D15BA4A"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B84FA4"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大同區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D415E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187</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25A0CA7"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8</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73A41731" w14:textId="77777777" w:rsidR="007B1B13" w:rsidRDefault="007B1B13">
                                  <w:pPr>
                                    <w:widowControl/>
                                    <w:snapToGrid w:val="0"/>
                                    <w:spacing w:line="220" w:lineRule="exact"/>
                                    <w:ind w:rightChars="15" w:right="36"/>
                                    <w:jc w:val="right"/>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157</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791A994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83.96</w:t>
                                  </w:r>
                                </w:p>
                              </w:tc>
                              <w:tc>
                                <w:tcPr>
                                  <w:tcW w:w="744" w:type="dxa"/>
                                  <w:tcBorders>
                                    <w:top w:val="nil"/>
                                    <w:left w:val="single" w:sz="4" w:space="0" w:color="auto"/>
                                    <w:bottom w:val="single" w:sz="4" w:space="0" w:color="auto"/>
                                    <w:right w:val="single" w:sz="4" w:space="0" w:color="auto"/>
                                  </w:tcBorders>
                                  <w:shd w:val="clear" w:color="auto" w:fill="auto"/>
                                  <w:hideMark/>
                                </w:tcPr>
                                <w:p w14:paraId="0C780B66"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146</w:t>
                                  </w:r>
                                </w:p>
                              </w:tc>
                              <w:tc>
                                <w:tcPr>
                                  <w:tcW w:w="896" w:type="dxa"/>
                                  <w:tcBorders>
                                    <w:top w:val="nil"/>
                                    <w:left w:val="single" w:sz="4" w:space="0" w:color="auto"/>
                                    <w:bottom w:val="single" w:sz="4" w:space="0" w:color="auto"/>
                                    <w:right w:val="double" w:sz="4" w:space="0" w:color="auto"/>
                                  </w:tcBorders>
                                  <w:shd w:val="clear" w:color="auto" w:fill="auto"/>
                                  <w:hideMark/>
                                </w:tcPr>
                                <w:p w14:paraId="7459F53C"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92.99</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3A21ECF1"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1</w:t>
                                  </w:r>
                                </w:p>
                              </w:tc>
                              <w:tc>
                                <w:tcPr>
                                  <w:tcW w:w="644" w:type="dxa"/>
                                  <w:tcBorders>
                                    <w:top w:val="nil"/>
                                    <w:left w:val="nil"/>
                                    <w:bottom w:val="single" w:sz="4" w:space="0" w:color="auto"/>
                                    <w:right w:val="single" w:sz="4" w:space="0" w:color="auto"/>
                                  </w:tcBorders>
                                  <w:shd w:val="clear" w:color="auto" w:fill="auto"/>
                                  <w:vAlign w:val="bottom"/>
                                  <w:hideMark/>
                                </w:tcPr>
                                <w:p w14:paraId="428BB3F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20</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0484D3F8"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w:t>
                                  </w:r>
                                </w:p>
                              </w:tc>
                              <w:tc>
                                <w:tcPr>
                                  <w:tcW w:w="854" w:type="dxa"/>
                                  <w:tcBorders>
                                    <w:top w:val="nil"/>
                                    <w:left w:val="nil"/>
                                    <w:bottom w:val="single" w:sz="4" w:space="0" w:color="auto"/>
                                    <w:right w:val="single" w:sz="4" w:space="0" w:color="auto"/>
                                  </w:tcBorders>
                                  <w:shd w:val="clear" w:color="auto" w:fill="auto"/>
                                  <w:vAlign w:val="bottom"/>
                                  <w:hideMark/>
                                </w:tcPr>
                                <w:p w14:paraId="76C4898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177</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6CDC5E2C"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94.65</w:t>
                                  </w:r>
                                </w:p>
                              </w:tc>
                            </w:tr>
                            <w:tr w:rsidR="007B1B13" w14:paraId="4B8CD79D"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988FE9"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信義區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D5AE1E"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292</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8591E2"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673A74E6"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cs="Arial" w:hint="eastAsia"/>
                                      <w:color w:val="000000"/>
                                      <w:sz w:val="20"/>
                                      <w:szCs w:val="20"/>
                                    </w:rPr>
                                    <w:t>262</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48A387A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89.73</w:t>
                                  </w:r>
                                </w:p>
                              </w:tc>
                              <w:tc>
                                <w:tcPr>
                                  <w:tcW w:w="744" w:type="dxa"/>
                                  <w:tcBorders>
                                    <w:top w:val="nil"/>
                                    <w:left w:val="single" w:sz="4" w:space="0" w:color="auto"/>
                                    <w:bottom w:val="single" w:sz="4" w:space="0" w:color="auto"/>
                                    <w:right w:val="single" w:sz="4" w:space="0" w:color="auto"/>
                                  </w:tcBorders>
                                  <w:shd w:val="clear" w:color="auto" w:fill="auto"/>
                                  <w:hideMark/>
                                </w:tcPr>
                                <w:p w14:paraId="4498D5CF"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219</w:t>
                                  </w:r>
                                </w:p>
                              </w:tc>
                              <w:tc>
                                <w:tcPr>
                                  <w:tcW w:w="896" w:type="dxa"/>
                                  <w:tcBorders>
                                    <w:top w:val="nil"/>
                                    <w:left w:val="single" w:sz="4" w:space="0" w:color="auto"/>
                                    <w:bottom w:val="single" w:sz="4" w:space="0" w:color="auto"/>
                                    <w:right w:val="double" w:sz="4" w:space="0" w:color="auto"/>
                                  </w:tcBorders>
                                  <w:shd w:val="clear" w:color="auto" w:fill="auto"/>
                                  <w:hideMark/>
                                </w:tcPr>
                                <w:p w14:paraId="364F377F"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83.59</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1810E00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w:t>
                                  </w:r>
                                </w:p>
                              </w:tc>
                              <w:tc>
                                <w:tcPr>
                                  <w:tcW w:w="644" w:type="dxa"/>
                                  <w:tcBorders>
                                    <w:top w:val="nil"/>
                                    <w:left w:val="nil"/>
                                    <w:bottom w:val="single" w:sz="4" w:space="0" w:color="auto"/>
                                    <w:right w:val="single" w:sz="4" w:space="0" w:color="auto"/>
                                  </w:tcBorders>
                                  <w:shd w:val="clear" w:color="auto" w:fill="auto"/>
                                  <w:vAlign w:val="bottom"/>
                                  <w:hideMark/>
                                </w:tcPr>
                                <w:p w14:paraId="5A700F30"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12</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180394AF"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w:t>
                                  </w:r>
                                </w:p>
                              </w:tc>
                              <w:tc>
                                <w:tcPr>
                                  <w:tcW w:w="854" w:type="dxa"/>
                                  <w:tcBorders>
                                    <w:top w:val="nil"/>
                                    <w:left w:val="nil"/>
                                    <w:bottom w:val="single" w:sz="4" w:space="0" w:color="auto"/>
                                    <w:right w:val="single" w:sz="4" w:space="0" w:color="auto"/>
                                  </w:tcBorders>
                                  <w:shd w:val="clear" w:color="auto" w:fill="auto"/>
                                  <w:vAlign w:val="bottom"/>
                                  <w:hideMark/>
                                </w:tcPr>
                                <w:p w14:paraId="5C6BB4CC"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274</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2B03CAEE"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93.84</w:t>
                                  </w:r>
                                </w:p>
                              </w:tc>
                            </w:tr>
                            <w:tr w:rsidR="007B1B13" w14:paraId="43323887"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3882FD"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松山區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0625C4"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194</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AE37B70"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7</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14034A1D"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cs="Arial" w:hint="eastAsia"/>
                                      <w:color w:val="000000"/>
                                      <w:sz w:val="20"/>
                                      <w:szCs w:val="20"/>
                                    </w:rPr>
                                    <w:t>188</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5D3EE684"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96.91</w:t>
                                  </w:r>
                                </w:p>
                              </w:tc>
                              <w:tc>
                                <w:tcPr>
                                  <w:tcW w:w="744" w:type="dxa"/>
                                  <w:tcBorders>
                                    <w:top w:val="single" w:sz="4" w:space="0" w:color="auto"/>
                                    <w:left w:val="single" w:sz="4" w:space="0" w:color="auto"/>
                                    <w:bottom w:val="single" w:sz="4" w:space="0" w:color="auto"/>
                                    <w:right w:val="single" w:sz="4" w:space="0" w:color="auto"/>
                                  </w:tcBorders>
                                  <w:shd w:val="clear" w:color="auto" w:fill="auto"/>
                                  <w:hideMark/>
                                </w:tcPr>
                                <w:p w14:paraId="511E47B2"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hint="eastAsia"/>
                                      <w:color w:val="000000"/>
                                      <w:sz w:val="20"/>
                                      <w:szCs w:val="20"/>
                                    </w:rPr>
                                    <w:t>155</w:t>
                                  </w:r>
                                </w:p>
                              </w:tc>
                              <w:tc>
                                <w:tcPr>
                                  <w:tcW w:w="896" w:type="dxa"/>
                                  <w:tcBorders>
                                    <w:top w:val="single" w:sz="4" w:space="0" w:color="auto"/>
                                    <w:left w:val="single" w:sz="4" w:space="0" w:color="auto"/>
                                    <w:bottom w:val="single" w:sz="4" w:space="0" w:color="auto"/>
                                    <w:right w:val="double" w:sz="4" w:space="0" w:color="auto"/>
                                  </w:tcBorders>
                                  <w:shd w:val="clear" w:color="auto" w:fill="FFFFFF"/>
                                  <w:hideMark/>
                                </w:tcPr>
                                <w:p w14:paraId="11B1472B"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hint="eastAsia"/>
                                      <w:color w:val="000000"/>
                                      <w:sz w:val="20"/>
                                      <w:szCs w:val="20"/>
                                    </w:rPr>
                                    <w:t>82.45</w:t>
                                  </w:r>
                                </w:p>
                              </w:tc>
                              <w:tc>
                                <w:tcPr>
                                  <w:tcW w:w="624" w:type="dxa"/>
                                  <w:tcBorders>
                                    <w:top w:val="single" w:sz="4" w:space="0" w:color="auto"/>
                                    <w:left w:val="double" w:sz="4" w:space="0" w:color="auto"/>
                                    <w:bottom w:val="single" w:sz="4" w:space="0" w:color="auto"/>
                                    <w:right w:val="single" w:sz="4" w:space="0" w:color="auto"/>
                                  </w:tcBorders>
                                  <w:shd w:val="clear" w:color="auto" w:fill="FFFFFF"/>
                                  <w:vAlign w:val="center"/>
                                  <w:hideMark/>
                                </w:tcPr>
                                <w:p w14:paraId="5903E562"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83B340"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28805F24"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7</w:t>
                                  </w:r>
                                </w:p>
                              </w:tc>
                              <w:tc>
                                <w:tcPr>
                                  <w:tcW w:w="854" w:type="dxa"/>
                                  <w:tcBorders>
                                    <w:top w:val="nil"/>
                                    <w:left w:val="nil"/>
                                    <w:bottom w:val="single" w:sz="4" w:space="0" w:color="auto"/>
                                    <w:right w:val="single" w:sz="4" w:space="0" w:color="auto"/>
                                  </w:tcBorders>
                                  <w:shd w:val="clear" w:color="auto" w:fill="auto"/>
                                  <w:vAlign w:val="bottom"/>
                                  <w:hideMark/>
                                </w:tcPr>
                                <w:p w14:paraId="5FCEA71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188</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15ED1458"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96.91</w:t>
                                  </w:r>
                                </w:p>
                              </w:tc>
                            </w:tr>
                            <w:tr w:rsidR="007B1B13" w14:paraId="2BD47208"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AF7499"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中正區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18FE73"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197</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FE67F22"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11</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68A810D8"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cs="Arial" w:hint="eastAsia"/>
                                      <w:color w:val="000000"/>
                                      <w:sz w:val="20"/>
                                      <w:szCs w:val="20"/>
                                    </w:rPr>
                                    <w:t>313</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129B11FA"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 158.88</w:t>
                                  </w:r>
                                </w:p>
                              </w:tc>
                              <w:tc>
                                <w:tcPr>
                                  <w:tcW w:w="744" w:type="dxa"/>
                                  <w:tcBorders>
                                    <w:top w:val="nil"/>
                                    <w:left w:val="single" w:sz="4" w:space="0" w:color="auto"/>
                                    <w:bottom w:val="single" w:sz="4" w:space="0" w:color="auto"/>
                                    <w:right w:val="single" w:sz="4" w:space="0" w:color="auto"/>
                                  </w:tcBorders>
                                  <w:shd w:val="clear" w:color="auto" w:fill="auto"/>
                                  <w:hideMark/>
                                </w:tcPr>
                                <w:p w14:paraId="620D5FB0"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341</w:t>
                                  </w:r>
                                </w:p>
                              </w:tc>
                              <w:tc>
                                <w:tcPr>
                                  <w:tcW w:w="896" w:type="dxa"/>
                                  <w:tcBorders>
                                    <w:top w:val="nil"/>
                                    <w:left w:val="single" w:sz="4" w:space="0" w:color="auto"/>
                                    <w:bottom w:val="single" w:sz="4" w:space="0" w:color="auto"/>
                                    <w:right w:val="double" w:sz="4" w:space="0" w:color="auto"/>
                                  </w:tcBorders>
                                  <w:shd w:val="clear" w:color="auto" w:fill="auto"/>
                                  <w:hideMark/>
                                </w:tcPr>
                                <w:p w14:paraId="361CC1CC"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108.95</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0843874E"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w:t>
                                  </w:r>
                                </w:p>
                              </w:tc>
                              <w:tc>
                                <w:tcPr>
                                  <w:tcW w:w="644" w:type="dxa"/>
                                  <w:tcBorders>
                                    <w:top w:val="nil"/>
                                    <w:left w:val="nil"/>
                                    <w:bottom w:val="single" w:sz="4" w:space="0" w:color="auto"/>
                                    <w:right w:val="single" w:sz="4" w:space="0" w:color="auto"/>
                                  </w:tcBorders>
                                  <w:shd w:val="clear" w:color="auto" w:fill="auto"/>
                                  <w:vAlign w:val="bottom"/>
                                  <w:hideMark/>
                                </w:tcPr>
                                <w:p w14:paraId="21AA66CC"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40</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2136611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13</w:t>
                                  </w:r>
                                </w:p>
                              </w:tc>
                              <w:tc>
                                <w:tcPr>
                                  <w:tcW w:w="854" w:type="dxa"/>
                                  <w:tcBorders>
                                    <w:top w:val="nil"/>
                                    <w:left w:val="nil"/>
                                    <w:bottom w:val="single" w:sz="4" w:space="0" w:color="auto"/>
                                    <w:right w:val="single" w:sz="4" w:space="0" w:color="auto"/>
                                  </w:tcBorders>
                                  <w:shd w:val="clear" w:color="auto" w:fill="auto"/>
                                  <w:vAlign w:val="bottom"/>
                                  <w:hideMark/>
                                </w:tcPr>
                                <w:p w14:paraId="3E36DBE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353</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599E5FF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◎179.19</w:t>
                                  </w:r>
                                </w:p>
                              </w:tc>
                            </w:tr>
                            <w:tr w:rsidR="007B1B13" w14:paraId="4E2964E7"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275495"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新北市</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FE48A08"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D902DB3"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6F35E8DE"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cs="Arial" w:hint="eastAsia"/>
                                      <w:color w:val="000000"/>
                                      <w:sz w:val="20"/>
                                      <w:szCs w:val="20"/>
                                    </w:rPr>
                                    <w:t>39</w:t>
                                  </w:r>
                                </w:p>
                              </w:tc>
                              <w:tc>
                                <w:tcPr>
                                  <w:tcW w:w="11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2337960"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FFFFFF"/>
                                  <w:hideMark/>
                                </w:tcPr>
                                <w:p w14:paraId="0BC3FA92"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hint="eastAsia"/>
                                      <w:color w:val="000000"/>
                                      <w:sz w:val="20"/>
                                      <w:szCs w:val="20"/>
                                    </w:rPr>
                                    <w:t>33</w:t>
                                  </w:r>
                                </w:p>
                              </w:tc>
                              <w:tc>
                                <w:tcPr>
                                  <w:tcW w:w="896" w:type="dxa"/>
                                  <w:tcBorders>
                                    <w:top w:val="single" w:sz="4" w:space="0" w:color="auto"/>
                                    <w:left w:val="single" w:sz="4" w:space="0" w:color="auto"/>
                                    <w:bottom w:val="single" w:sz="4" w:space="0" w:color="auto"/>
                                    <w:right w:val="double" w:sz="4" w:space="0" w:color="auto"/>
                                  </w:tcBorders>
                                  <w:shd w:val="clear" w:color="auto" w:fill="FFFFFF"/>
                                  <w:hideMark/>
                                </w:tcPr>
                                <w:p w14:paraId="78706A56"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hint="eastAsia"/>
                                      <w:color w:val="000000"/>
                                      <w:sz w:val="20"/>
                                      <w:szCs w:val="20"/>
                                    </w:rPr>
                                    <w:t>84.62</w:t>
                                  </w:r>
                                </w:p>
                              </w:tc>
                              <w:tc>
                                <w:tcPr>
                                  <w:tcW w:w="624" w:type="dxa"/>
                                  <w:tcBorders>
                                    <w:top w:val="single" w:sz="4" w:space="0" w:color="auto"/>
                                    <w:left w:val="double" w:sz="4" w:space="0" w:color="auto"/>
                                    <w:bottom w:val="single" w:sz="4" w:space="0" w:color="auto"/>
                                    <w:right w:val="single" w:sz="4" w:space="0" w:color="auto"/>
                                  </w:tcBorders>
                                  <w:shd w:val="clear" w:color="auto" w:fill="FFFFFF"/>
                                  <w:vAlign w:val="center"/>
                                  <w:hideMark/>
                                </w:tcPr>
                                <w:p w14:paraId="0BAC5807"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B9B35F"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08233183"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cs="Arial" w:hint="eastAsia"/>
                                      <w:color w:val="000000"/>
                                      <w:sz w:val="20"/>
                                      <w:szCs w:val="20"/>
                                    </w:rPr>
                                    <w:t>3</w:t>
                                  </w:r>
                                </w:p>
                              </w:tc>
                              <w:tc>
                                <w:tcPr>
                                  <w:tcW w:w="854" w:type="dxa"/>
                                  <w:tcBorders>
                                    <w:top w:val="nil"/>
                                    <w:left w:val="nil"/>
                                    <w:bottom w:val="single" w:sz="4" w:space="0" w:color="auto"/>
                                    <w:right w:val="single" w:sz="4" w:space="0" w:color="auto"/>
                                  </w:tcBorders>
                                  <w:shd w:val="clear" w:color="auto" w:fill="auto"/>
                                  <w:vAlign w:val="bottom"/>
                                  <w:hideMark/>
                                </w:tcPr>
                                <w:p w14:paraId="492F1494"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cs="Arial" w:hint="eastAsia"/>
                                      <w:color w:val="000000"/>
                                      <w:sz w:val="20"/>
                                      <w:szCs w:val="20"/>
                                    </w:rPr>
                                    <w:t>39</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354F21"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hint="eastAsia"/>
                                      <w:color w:val="000000"/>
                                      <w:sz w:val="20"/>
                                      <w:szCs w:val="20"/>
                                    </w:rPr>
                                    <w:t>－</w:t>
                                  </w:r>
                                </w:p>
                              </w:tc>
                            </w:tr>
                            <w:tr w:rsidR="007B1B13" w14:paraId="21F81330"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10C970" w14:textId="77777777" w:rsidR="007B1B13" w:rsidRDefault="007B1B13">
                                  <w:pPr>
                                    <w:widowControl/>
                                    <w:snapToGrid w:val="0"/>
                                    <w:spacing w:line="220" w:lineRule="exact"/>
                                    <w:jc w:val="center"/>
                                    <w:rPr>
                                      <w:rFonts w:ascii="標楷體" w:eastAsia="標楷體" w:hAnsi="標楷體" w:cs="Times New Roman"/>
                                      <w:color w:val="000000"/>
                                      <w:sz w:val="20"/>
                                      <w:szCs w:val="20"/>
                                    </w:rPr>
                                  </w:pPr>
                                  <w:r>
                                    <w:rPr>
                                      <w:rFonts w:ascii="標楷體" w:eastAsia="標楷體" w:hAnsi="標楷體" w:hint="eastAsia"/>
                                      <w:color w:val="000000"/>
                                      <w:sz w:val="20"/>
                                      <w:szCs w:val="20"/>
                                    </w:rPr>
                                    <w:t>未定</w:t>
                                  </w:r>
                                </w:p>
                              </w:tc>
                              <w:tc>
                                <w:tcPr>
                                  <w:tcW w:w="745"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cPr>
                                <w:p w14:paraId="100C8729"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p>
                              </w:tc>
                              <w:tc>
                                <w:tcPr>
                                  <w:tcW w:w="596"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tcPr>
                                <w:p w14:paraId="4BA9EF95"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p>
                              </w:tc>
                              <w:tc>
                                <w:tcPr>
                                  <w:tcW w:w="745"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tcPr>
                                <w:p w14:paraId="5159101A"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p>
                              </w:tc>
                              <w:tc>
                                <w:tcPr>
                                  <w:tcW w:w="1192"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cPr>
                                <w:p w14:paraId="60CBA1A4"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p>
                              </w:tc>
                              <w:tc>
                                <w:tcPr>
                                  <w:tcW w:w="744" w:type="dxa"/>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7F04F581"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p>
                              </w:tc>
                              <w:tc>
                                <w:tcPr>
                                  <w:tcW w:w="896" w:type="dxa"/>
                                  <w:tcBorders>
                                    <w:top w:val="single" w:sz="4" w:space="0" w:color="auto"/>
                                    <w:left w:val="single" w:sz="4" w:space="0" w:color="auto"/>
                                    <w:bottom w:val="single" w:sz="4" w:space="0" w:color="auto"/>
                                    <w:right w:val="double" w:sz="4" w:space="0" w:color="auto"/>
                                    <w:tl2br w:val="single" w:sz="4" w:space="0" w:color="auto"/>
                                  </w:tcBorders>
                                  <w:shd w:val="clear" w:color="auto" w:fill="auto"/>
                                </w:tcPr>
                                <w:p w14:paraId="7C4B4966"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6F4BD1DA"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17</w:t>
                                  </w:r>
                                </w:p>
                              </w:tc>
                              <w:tc>
                                <w:tcPr>
                                  <w:tcW w:w="644" w:type="dxa"/>
                                  <w:tcBorders>
                                    <w:top w:val="nil"/>
                                    <w:left w:val="nil"/>
                                    <w:bottom w:val="single" w:sz="4" w:space="0" w:color="auto"/>
                                    <w:right w:val="single" w:sz="4" w:space="0" w:color="auto"/>
                                  </w:tcBorders>
                                  <w:shd w:val="clear" w:color="auto" w:fill="auto"/>
                                  <w:vAlign w:val="bottom"/>
                                  <w:hideMark/>
                                </w:tcPr>
                                <w:p w14:paraId="4ABE8584"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102</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0A14F365"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cs="Arial" w:hint="eastAsia"/>
                                      <w:color w:val="000000"/>
                                      <w:sz w:val="20"/>
                                      <w:szCs w:val="20"/>
                                    </w:rPr>
                                    <w:t>17</w:t>
                                  </w:r>
                                </w:p>
                              </w:tc>
                              <w:tc>
                                <w:tcPr>
                                  <w:tcW w:w="854" w:type="dxa"/>
                                  <w:tcBorders>
                                    <w:top w:val="nil"/>
                                    <w:left w:val="nil"/>
                                    <w:bottom w:val="single" w:sz="4" w:space="0" w:color="auto"/>
                                    <w:right w:val="single" w:sz="4" w:space="0" w:color="auto"/>
                                  </w:tcBorders>
                                  <w:shd w:val="clear" w:color="auto" w:fill="auto"/>
                                  <w:vAlign w:val="bottom"/>
                                  <w:hideMark/>
                                </w:tcPr>
                                <w:p w14:paraId="60CA2662"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cs="Arial" w:hint="eastAsia"/>
                                      <w:color w:val="000000"/>
                                      <w:sz w:val="20"/>
                                      <w:szCs w:val="20"/>
                                    </w:rPr>
                                    <w:t>102</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2F5C6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hint="eastAsia"/>
                                      <w:color w:val="000000"/>
                                      <w:sz w:val="20"/>
                                      <w:szCs w:val="20"/>
                                    </w:rPr>
                                    <w:t>－</w:t>
                                  </w:r>
                                </w:p>
                              </w:tc>
                            </w:tr>
                          </w:tbl>
                          <w:p w14:paraId="4504EE61" w14:textId="77777777" w:rsidR="007B1B13" w:rsidRDefault="007B1B13" w:rsidP="007B1B13">
                            <w:pPr>
                              <w:snapToGrid w:val="0"/>
                              <w:spacing w:line="200" w:lineRule="exact"/>
                              <w:ind w:left="495" w:hangingChars="275" w:hanging="495"/>
                              <w:rPr>
                                <w:rFonts w:ascii="標楷體" w:eastAsia="標楷體" w:hAnsi="標楷體" w:cs="Times New Roman"/>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：1.資料統計時點：113年8月底。</w:t>
                            </w:r>
                          </w:p>
                          <w:p w14:paraId="6939E630" w14:textId="77777777" w:rsidR="007B1B13" w:rsidRDefault="007B1B13" w:rsidP="007B1B13">
                            <w:pPr>
                              <w:snapToGrid w:val="0"/>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2.新北市設有3處服務據點，服務對象限於臺北市民。</w:t>
                            </w:r>
                          </w:p>
                          <w:p w14:paraId="6D40AF4E" w14:textId="77777777" w:rsidR="007B1B13" w:rsidRDefault="007B1B13" w:rsidP="007B1B13">
                            <w:pPr>
                              <w:snapToGrid w:val="0"/>
                              <w:spacing w:line="200" w:lineRule="exact"/>
                              <w:ind w:leftChars="150" w:left="540" w:hangingChars="100" w:hanging="180"/>
                              <w:rPr>
                                <w:rFonts w:ascii="標楷體" w:eastAsia="標楷體" w:hAnsi="標楷體"/>
                                <w:sz w:val="18"/>
                                <w:szCs w:val="18"/>
                              </w:rPr>
                            </w:pPr>
                            <w:r>
                              <w:rPr>
                                <w:rFonts w:ascii="標楷體" w:eastAsia="標楷體" w:hAnsi="標楷體" w:hint="eastAsia"/>
                                <w:sz w:val="18"/>
                                <w:szCs w:val="18"/>
                              </w:rPr>
                              <w:t>3.表內「▲</w:t>
                            </w:r>
                            <w:r>
                              <w:rPr>
                                <w:rFonts w:ascii="新細明體" w:hAnsi="新細明體" w:hint="eastAsia"/>
                                <w:sz w:val="18"/>
                                <w:szCs w:val="18"/>
                              </w:rPr>
                              <w:t>」</w:t>
                            </w:r>
                            <w:r>
                              <w:rPr>
                                <w:rFonts w:ascii="標楷體" w:eastAsia="標楷體" w:hAnsi="標楷體" w:hint="eastAsia"/>
                                <w:sz w:val="18"/>
                                <w:szCs w:val="18"/>
                              </w:rPr>
                              <w:t>代表服務涵蓋率最低者；「◎</w:t>
                            </w:r>
                            <w:r>
                              <w:rPr>
                                <w:rFonts w:ascii="新細明體" w:hAnsi="新細明體" w:hint="eastAsia"/>
                                <w:sz w:val="18"/>
                                <w:szCs w:val="18"/>
                              </w:rPr>
                              <w:t>」</w:t>
                            </w:r>
                            <w:r>
                              <w:rPr>
                                <w:rFonts w:ascii="標楷體" w:eastAsia="標楷體" w:hAnsi="標楷體" w:hint="eastAsia"/>
                                <w:sz w:val="18"/>
                                <w:szCs w:val="18"/>
                              </w:rPr>
                              <w:t>代表服務涵蓋率最高者。</w:t>
                            </w:r>
                          </w:p>
                          <w:p w14:paraId="65922471" w14:textId="77777777" w:rsidR="007B1B13" w:rsidRDefault="007B1B13" w:rsidP="007B1B13">
                            <w:pPr>
                              <w:snapToGrid w:val="0"/>
                              <w:spacing w:line="200" w:lineRule="exact"/>
                              <w:ind w:leftChars="150" w:left="540" w:hangingChars="100" w:hanging="180"/>
                              <w:rPr>
                                <w:rFonts w:ascii="標楷體" w:eastAsia="標楷體" w:hAnsi="標楷體"/>
                                <w:sz w:val="18"/>
                                <w:szCs w:val="18"/>
                              </w:rPr>
                            </w:pPr>
                            <w:r>
                              <w:rPr>
                                <w:rFonts w:ascii="標楷體" w:eastAsia="標楷體" w:hAnsi="標楷體" w:hint="eastAsia"/>
                                <w:sz w:val="18"/>
                                <w:szCs w:val="18"/>
                              </w:rPr>
                              <w:t>4.資料來源：整理自社會局提供資料。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536181" id="文字方塊 927419638" o:spid="_x0000_s1099" type="#_x0000_t202" style="position:absolute;left:0;text-align:left;margin-left:.65pt;margin-top:-2.65pt;width:494.8pt;height:305.25pt;z-index:251750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" stroked="f">
                <v:textbox>
                  <w:txbxContent>
                    <w:p w14:paraId="4A41A400" w14:textId="77777777" w:rsidR="007B1B13" w:rsidRDefault="007B1B13" w:rsidP="007B1B13">
                      <w:pPr>
                        <w:spacing w:line="240" w:lineRule="exact"/>
                        <w:ind w:left="649" w:hangingChars="270" w:hanging="649"/>
                        <w:jc w:val="center"/>
                        <w:rPr>
                          <w:rFonts w:ascii="標楷體" w:eastAsia="標楷體" w:hAnsi="標楷體"/>
                          <w:b/>
                        </w:rPr>
                      </w:pPr>
                      <w:r>
                        <w:rPr>
                          <w:rFonts w:ascii="標楷體" w:eastAsia="標楷體" w:hAnsi="標楷體" w:hint="eastAsia"/>
                          <w:b/>
                        </w:rPr>
                        <w:t>表3　臺北市身障者社區式照顧服務資源既有及預計建置情形</w:t>
                      </w:r>
                    </w:p>
                    <w:p w14:paraId="533D6F90" w14:textId="77777777" w:rsidR="007B1B13" w:rsidRDefault="007B1B13" w:rsidP="007B1B13">
                      <w:pPr>
                        <w:spacing w:line="240" w:lineRule="exact"/>
                        <w:ind w:right="100"/>
                        <w:jc w:val="right"/>
                        <w:rPr>
                          <w:rFonts w:ascii="標楷體" w:eastAsia="標楷體" w:hAnsi="標楷體"/>
                          <w:b/>
                        </w:rPr>
                      </w:pPr>
                      <w:r>
                        <w:rPr>
                          <w:rFonts w:ascii="標楷體" w:eastAsia="標楷體" w:hAnsi="標楷體" w:hint="eastAsia"/>
                          <w:sz w:val="20"/>
                        </w:rPr>
                        <w:t>單位：人、處、％</w:t>
                      </w:r>
                    </w:p>
                    <w:tbl>
                      <w:tblPr>
                        <w:tblW w:w="9495" w:type="dxa"/>
                        <w:tblInd w:w="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28" w:type="dxa"/>
                          <w:right w:w="28" w:type="dxa"/>
                        </w:tblCellMar>
                        <w:tblLook w:val="04A0" w:firstRow="1" w:lastRow="0" w:firstColumn="1" w:lastColumn="0" w:noHBand="0" w:noVBand="1"/>
                      </w:tblPr>
                      <w:tblGrid>
                        <w:gridCol w:w="706"/>
                        <w:gridCol w:w="744"/>
                        <w:gridCol w:w="595"/>
                        <w:gridCol w:w="745"/>
                        <w:gridCol w:w="1192"/>
                        <w:gridCol w:w="744"/>
                        <w:gridCol w:w="896"/>
                        <w:gridCol w:w="624"/>
                        <w:gridCol w:w="644"/>
                        <w:gridCol w:w="728"/>
                        <w:gridCol w:w="854"/>
                        <w:gridCol w:w="1023"/>
                      </w:tblGrid>
                      <w:tr w:rsidR="007B1B13" w14:paraId="3BC81246" w14:textId="77777777">
                        <w:trPr>
                          <w:trHeight w:val="359"/>
                          <w:tblHeader/>
                        </w:trPr>
                        <w:tc>
                          <w:tcPr>
                            <w:tcW w:w="707" w:type="dxa"/>
                            <w:vMerge w:val="restar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6EDBFCD" w14:textId="77777777" w:rsidR="007B1B13" w:rsidRDefault="007B1B13">
                            <w:pPr>
                              <w:snapToGrid w:val="0"/>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服務</w:t>
                            </w:r>
                          </w:p>
                          <w:p w14:paraId="19E4092C" w14:textId="77777777" w:rsidR="007B1B13" w:rsidRDefault="007B1B13">
                            <w:pPr>
                              <w:snapToGrid w:val="0"/>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區域</w:t>
                            </w:r>
                          </w:p>
                        </w:tc>
                        <w:tc>
                          <w:tcPr>
                            <w:tcW w:w="745"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408D76" w14:textId="77777777" w:rsidR="007B1B13" w:rsidRDefault="007B1B13">
                            <w:pPr>
                              <w:snapToGrid w:val="0"/>
                              <w:spacing w:line="220" w:lineRule="exact"/>
                              <w:jc w:val="center"/>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20"/>
                                <w:kern w:val="0"/>
                                <w:sz w:val="20"/>
                                <w:szCs w:val="20"/>
                              </w:rPr>
                              <w:t>評估服務需求人數</w:t>
                            </w:r>
                            <w:r>
                              <w:rPr>
                                <w:rFonts w:ascii="標楷體" w:eastAsia="標楷體" w:hAnsi="標楷體" w:cs="新細明體" w:hint="eastAsia"/>
                                <w:color w:val="000000"/>
                                <w:spacing w:val="-10"/>
                                <w:kern w:val="0"/>
                                <w:sz w:val="16"/>
                                <w:szCs w:val="16"/>
                              </w:rPr>
                              <w:t>（A）</w:t>
                            </w:r>
                          </w:p>
                        </w:tc>
                        <w:tc>
                          <w:tcPr>
                            <w:tcW w:w="4173" w:type="dxa"/>
                            <w:gridSpan w:val="5"/>
                            <w:tcBorders>
                              <w:top w:val="single" w:sz="4" w:space="0" w:color="auto"/>
                              <w:left w:val="single" w:sz="4" w:space="0" w:color="auto"/>
                              <w:bottom w:val="single" w:sz="4" w:space="0" w:color="auto"/>
                              <w:right w:val="double" w:sz="4" w:space="0" w:color="auto"/>
                            </w:tcBorders>
                            <w:shd w:val="clear" w:color="auto" w:fill="FFFFFF" w:themeFill="background1"/>
                            <w:noWrap/>
                            <w:vAlign w:val="center"/>
                            <w:hideMark/>
                          </w:tcPr>
                          <w:p w14:paraId="337FD5B7" w14:textId="77777777" w:rsidR="007B1B13" w:rsidRDefault="007B1B13">
                            <w:pPr>
                              <w:widowControl/>
                              <w:snapToGrid w:val="0"/>
                              <w:spacing w:line="220" w:lineRule="exact"/>
                              <w:jc w:val="center"/>
                              <w:rPr>
                                <w:rFonts w:ascii="標楷體" w:eastAsia="標楷體" w:hAnsi="標楷體" w:cs="Arial"/>
                                <w:color w:val="000000"/>
                                <w:spacing w:val="-10"/>
                                <w:sz w:val="20"/>
                                <w:szCs w:val="20"/>
                              </w:rPr>
                            </w:pPr>
                            <w:r>
                              <w:rPr>
                                <w:rFonts w:ascii="標楷體" w:eastAsia="標楷體" w:hAnsi="標楷體" w:cs="新細明體" w:hint="eastAsia"/>
                                <w:color w:val="000000"/>
                                <w:kern w:val="0"/>
                                <w:sz w:val="20"/>
                                <w:szCs w:val="20"/>
                              </w:rPr>
                              <w:t>113年8月既有服務量能</w:t>
                            </w:r>
                          </w:p>
                        </w:tc>
                        <w:tc>
                          <w:tcPr>
                            <w:tcW w:w="1268" w:type="dxa"/>
                            <w:gridSpan w:val="2"/>
                            <w:tcBorders>
                              <w:top w:val="single" w:sz="4" w:space="0" w:color="auto"/>
                              <w:left w:val="double" w:sz="4" w:space="0" w:color="auto"/>
                              <w:bottom w:val="single" w:sz="4" w:space="0" w:color="auto"/>
                              <w:right w:val="single" w:sz="4" w:space="0" w:color="auto"/>
                            </w:tcBorders>
                            <w:shd w:val="clear" w:color="auto" w:fill="FFFFFF" w:themeFill="background1"/>
                            <w:vAlign w:val="center"/>
                            <w:hideMark/>
                          </w:tcPr>
                          <w:p w14:paraId="4A368BE5" w14:textId="77777777" w:rsidR="007B1B13" w:rsidRDefault="007B1B13">
                            <w:pPr>
                              <w:widowControl/>
                              <w:snapToGrid w:val="0"/>
                              <w:spacing w:line="220" w:lineRule="exact"/>
                              <w:jc w:val="center"/>
                              <w:rPr>
                                <w:rFonts w:ascii="標楷體" w:eastAsia="標楷體" w:hAnsi="標楷體" w:cs="Arial"/>
                                <w:color w:val="000000"/>
                                <w:spacing w:val="-12"/>
                                <w:sz w:val="20"/>
                                <w:szCs w:val="20"/>
                              </w:rPr>
                            </w:pPr>
                            <w:r>
                              <w:rPr>
                                <w:rFonts w:ascii="標楷體" w:eastAsia="標楷體" w:hAnsi="標楷體" w:cs="Arial" w:hint="eastAsia"/>
                                <w:color w:val="000000"/>
                                <w:spacing w:val="-12"/>
                                <w:sz w:val="20"/>
                                <w:szCs w:val="20"/>
                              </w:rPr>
                              <w:t>113年9月至117年預計新增</w:t>
                            </w:r>
                          </w:p>
                        </w:tc>
                        <w:tc>
                          <w:tcPr>
                            <w:tcW w:w="2605"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1B5CC" w14:textId="77777777" w:rsidR="007B1B13" w:rsidRDefault="007B1B13">
                            <w:pPr>
                              <w:widowControl/>
                              <w:snapToGrid w:val="0"/>
                              <w:spacing w:line="220" w:lineRule="exact"/>
                              <w:jc w:val="center"/>
                              <w:rPr>
                                <w:rFonts w:ascii="標楷體" w:eastAsia="標楷體" w:hAnsi="標楷體" w:cs="Arial"/>
                                <w:color w:val="000000"/>
                                <w:spacing w:val="-4"/>
                                <w:sz w:val="20"/>
                                <w:szCs w:val="20"/>
                              </w:rPr>
                            </w:pPr>
                            <w:r>
                              <w:rPr>
                                <w:rFonts w:ascii="標楷體" w:eastAsia="標楷體" w:hAnsi="標楷體" w:cs="Arial" w:hint="eastAsia"/>
                                <w:color w:val="000000"/>
                                <w:spacing w:val="-4"/>
                                <w:sz w:val="20"/>
                                <w:szCs w:val="20"/>
                              </w:rPr>
                              <w:t>至117年布建完成後</w:t>
                            </w:r>
                          </w:p>
                        </w:tc>
                      </w:tr>
                      <w:tr w:rsidR="007B1B13" w14:paraId="0A7094A5" w14:textId="77777777" w:rsidTr="00B418C5">
                        <w:trPr>
                          <w:trHeight w:val="189"/>
                          <w:tblHeader/>
                        </w:trPr>
                        <w:tc>
                          <w:tcPr>
                            <w:tcW w:w="707"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71E5FE" w14:textId="77777777" w:rsidR="007B1B13" w:rsidRDefault="007B1B13">
                            <w:pPr>
                              <w:widowControl/>
                              <w:rPr>
                                <w:rFonts w:ascii="標楷體" w:eastAsia="標楷體" w:hAnsi="標楷體" w:cs="新細明體"/>
                                <w:color w:val="000000"/>
                                <w:kern w:val="0"/>
                                <w:sz w:val="20"/>
                                <w:szCs w:val="20"/>
                              </w:rPr>
                            </w:pPr>
                          </w:p>
                        </w:tc>
                        <w:tc>
                          <w:tcPr>
                            <w:tcW w:w="745"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90FD96" w14:textId="77777777" w:rsidR="007B1B13" w:rsidRDefault="007B1B13">
                            <w:pPr>
                              <w:widowControl/>
                              <w:rPr>
                                <w:rFonts w:ascii="標楷體" w:eastAsia="標楷體" w:hAnsi="標楷體" w:cs="新細明體"/>
                                <w:color w:val="000000"/>
                                <w:spacing w:val="-10"/>
                                <w:kern w:val="0"/>
                                <w:sz w:val="20"/>
                                <w:szCs w:val="20"/>
                              </w:rPr>
                            </w:pPr>
                          </w:p>
                        </w:tc>
                        <w:tc>
                          <w:tcPr>
                            <w:tcW w:w="596"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E5D6C29" w14:textId="77777777" w:rsidR="007B1B13" w:rsidRDefault="007B1B13">
                            <w:pPr>
                              <w:widowControl/>
                              <w:snapToGrid w:val="0"/>
                              <w:spacing w:line="220" w:lineRule="exact"/>
                              <w:jc w:val="center"/>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據點數</w:t>
                            </w:r>
                          </w:p>
                          <w:p w14:paraId="210B46B9" w14:textId="77777777" w:rsidR="007B1B13" w:rsidRDefault="007B1B13">
                            <w:pPr>
                              <w:widowControl/>
                              <w:snapToGrid w:val="0"/>
                              <w:spacing w:line="220" w:lineRule="exact"/>
                              <w:jc w:val="center"/>
                              <w:rPr>
                                <w:rFonts w:ascii="標楷體" w:eastAsia="標楷體" w:hAnsi="標楷體" w:cs="新細明體"/>
                                <w:color w:val="000000"/>
                                <w:kern w:val="0"/>
                                <w:sz w:val="16"/>
                                <w:szCs w:val="16"/>
                              </w:rPr>
                            </w:pPr>
                            <w:r>
                              <w:rPr>
                                <w:rFonts w:ascii="標楷體" w:eastAsia="標楷體" w:hAnsi="標楷體" w:cs="新細明體" w:hint="eastAsia"/>
                                <w:color w:val="000000"/>
                                <w:kern w:val="0"/>
                                <w:sz w:val="16"/>
                                <w:szCs w:val="16"/>
                              </w:rPr>
                              <w:t>（B）</w:t>
                            </w:r>
                          </w:p>
                        </w:tc>
                        <w:tc>
                          <w:tcPr>
                            <w:tcW w:w="74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A4FB47" w14:textId="77777777" w:rsidR="007B1B13" w:rsidRDefault="007B1B13">
                            <w:pPr>
                              <w:widowControl/>
                              <w:snapToGrid w:val="0"/>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核定服務人數</w:t>
                            </w:r>
                            <w:r>
                              <w:rPr>
                                <w:rFonts w:ascii="標楷體" w:eastAsia="標楷體" w:hAnsi="標楷體" w:cs="新細明體" w:hint="eastAsia"/>
                                <w:color w:val="000000"/>
                                <w:kern w:val="0"/>
                                <w:sz w:val="16"/>
                                <w:szCs w:val="16"/>
                              </w:rPr>
                              <w:t>（C）</w:t>
                            </w:r>
                          </w:p>
                        </w:tc>
                        <w:tc>
                          <w:tcPr>
                            <w:tcW w:w="11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48A4FC" w14:textId="77777777" w:rsidR="007B1B13" w:rsidRDefault="007B1B13" w:rsidP="00B418C5">
                            <w:pPr>
                              <w:widowControl/>
                              <w:snapToGrid w:val="0"/>
                              <w:spacing w:line="220" w:lineRule="exact"/>
                              <w:jc w:val="distribute"/>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服務涵蓋率</w:t>
                            </w:r>
                          </w:p>
                          <w:p w14:paraId="09EE61B8" w14:textId="0AD6A745" w:rsidR="007B1B13" w:rsidRDefault="00B418C5" w:rsidP="00D03DD1">
                            <w:pPr>
                              <w:widowControl/>
                              <w:snapToGrid w:val="0"/>
                              <w:spacing w:line="220" w:lineRule="exact"/>
                              <w:ind w:leftChars="-40" w:left="-96" w:rightChars="-39" w:right="-94"/>
                              <w:jc w:val="center"/>
                              <w:rPr>
                                <w:rFonts w:ascii="標楷體" w:eastAsia="標楷體" w:hAnsi="標楷體" w:cs="新細明體"/>
                                <w:color w:val="000000"/>
                                <w:spacing w:val="-20"/>
                                <w:kern w:val="0"/>
                                <w:sz w:val="20"/>
                                <w:szCs w:val="20"/>
                              </w:rPr>
                            </w:pPr>
                            <w:r>
                              <w:rPr>
                                <w:rFonts w:ascii="標楷體" w:eastAsia="標楷體" w:hAnsi="標楷體" w:cs="新細明體" w:hint="eastAsia"/>
                                <w:color w:val="000000"/>
                                <w:spacing w:val="-20"/>
                                <w:kern w:val="0"/>
                                <w:sz w:val="18"/>
                                <w:szCs w:val="18"/>
                              </w:rPr>
                              <w:t>（</w:t>
                            </w:r>
                            <w:r w:rsidR="007B1B13">
                              <w:rPr>
                                <w:rFonts w:ascii="標楷體" w:eastAsia="標楷體" w:hAnsi="標楷體" w:cs="新細明體" w:hint="eastAsia"/>
                                <w:color w:val="000000"/>
                                <w:spacing w:val="-20"/>
                                <w:kern w:val="0"/>
                                <w:sz w:val="18"/>
                                <w:szCs w:val="18"/>
                              </w:rPr>
                              <w:t>D）=</w:t>
                            </w:r>
                            <w:r>
                              <w:rPr>
                                <w:rFonts w:ascii="標楷體" w:eastAsia="標楷體" w:hAnsi="標楷體" w:cs="新細明體" w:hint="eastAsia"/>
                                <w:color w:val="000000"/>
                                <w:spacing w:val="-20"/>
                                <w:kern w:val="0"/>
                                <w:sz w:val="18"/>
                                <w:szCs w:val="18"/>
                              </w:rPr>
                              <w:t>（</w:t>
                            </w:r>
                            <w:r w:rsidR="007B1B13">
                              <w:rPr>
                                <w:rFonts w:ascii="標楷體" w:eastAsia="標楷體" w:hAnsi="標楷體" w:cs="新細明體" w:hint="eastAsia"/>
                                <w:color w:val="000000"/>
                                <w:spacing w:val="-20"/>
                                <w:kern w:val="0"/>
                                <w:sz w:val="18"/>
                                <w:szCs w:val="18"/>
                              </w:rPr>
                              <w:t>C/A×100）</w:t>
                            </w:r>
                          </w:p>
                        </w:tc>
                        <w:tc>
                          <w:tcPr>
                            <w:tcW w:w="74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9278139" w14:textId="77777777" w:rsidR="007B1B13" w:rsidRDefault="007B1B13">
                            <w:pPr>
                              <w:widowControl/>
                              <w:snapToGrid w:val="0"/>
                              <w:spacing w:line="22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實際服務人數</w:t>
                            </w:r>
                            <w:r>
                              <w:rPr>
                                <w:rFonts w:ascii="標楷體" w:eastAsia="標楷體" w:hAnsi="標楷體" w:cs="新細明體" w:hint="eastAsia"/>
                                <w:color w:val="000000"/>
                                <w:spacing w:val="-14"/>
                                <w:kern w:val="0"/>
                                <w:sz w:val="18"/>
                                <w:szCs w:val="18"/>
                              </w:rPr>
                              <w:t>（E）</w:t>
                            </w:r>
                          </w:p>
                        </w:tc>
                        <w:tc>
                          <w:tcPr>
                            <w:tcW w:w="896" w:type="dxa"/>
                            <w:tcBorders>
                              <w:top w:val="single" w:sz="4" w:space="0" w:color="auto"/>
                              <w:left w:val="single" w:sz="4" w:space="0" w:color="auto"/>
                              <w:bottom w:val="single" w:sz="4" w:space="0" w:color="auto"/>
                              <w:right w:val="double" w:sz="4" w:space="0" w:color="auto"/>
                            </w:tcBorders>
                            <w:shd w:val="clear" w:color="auto" w:fill="FFFFFF" w:themeFill="background1"/>
                            <w:vAlign w:val="center"/>
                            <w:hideMark/>
                          </w:tcPr>
                          <w:p w14:paraId="1B953616" w14:textId="77777777" w:rsidR="007B1B13" w:rsidRDefault="007B1B13">
                            <w:pPr>
                              <w:widowControl/>
                              <w:snapToGrid w:val="0"/>
                              <w:spacing w:line="220" w:lineRule="exact"/>
                              <w:ind w:leftChars="-20" w:left="-48"/>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使用率</w:t>
                            </w:r>
                          </w:p>
                          <w:p w14:paraId="46489D51" w14:textId="77777777" w:rsidR="007B1B13" w:rsidRDefault="007B1B13">
                            <w:pPr>
                              <w:widowControl/>
                              <w:snapToGrid w:val="0"/>
                              <w:spacing w:line="220" w:lineRule="exact"/>
                              <w:ind w:leftChars="-40" w:left="-96" w:rightChars="10" w:right="24"/>
                              <w:jc w:val="both"/>
                              <w:rPr>
                                <w:rFonts w:ascii="標楷體" w:eastAsia="標楷體" w:hAnsi="標楷體" w:cs="Arial"/>
                                <w:color w:val="000000"/>
                                <w:sz w:val="20"/>
                                <w:szCs w:val="20"/>
                              </w:rPr>
                            </w:pPr>
                            <w:r>
                              <w:rPr>
                                <w:rFonts w:ascii="標楷體" w:eastAsia="標楷體" w:hAnsi="標楷體" w:cs="新細明體" w:hint="eastAsia"/>
                                <w:color w:val="000000"/>
                                <w:spacing w:val="-30"/>
                                <w:kern w:val="0"/>
                                <w:sz w:val="18"/>
                                <w:szCs w:val="18"/>
                              </w:rPr>
                              <w:t>（F）=（E/C×100）</w:t>
                            </w:r>
                          </w:p>
                        </w:tc>
                        <w:tc>
                          <w:tcPr>
                            <w:tcW w:w="624" w:type="dxa"/>
                            <w:tcBorders>
                              <w:top w:val="single" w:sz="4" w:space="0" w:color="auto"/>
                              <w:left w:val="double" w:sz="4" w:space="0" w:color="auto"/>
                              <w:bottom w:val="single" w:sz="4" w:space="0" w:color="auto"/>
                              <w:right w:val="single" w:sz="4" w:space="0" w:color="auto"/>
                            </w:tcBorders>
                            <w:shd w:val="clear" w:color="auto" w:fill="FFFFFF" w:themeFill="background1"/>
                            <w:vAlign w:val="center"/>
                            <w:hideMark/>
                          </w:tcPr>
                          <w:p w14:paraId="6AC81686" w14:textId="77777777" w:rsidR="007B1B13" w:rsidRDefault="007B1B13">
                            <w:pPr>
                              <w:widowControl/>
                              <w:snapToGrid w:val="0"/>
                              <w:spacing w:line="220" w:lineRule="exact"/>
                              <w:jc w:val="center"/>
                              <w:rPr>
                                <w:rFonts w:ascii="標楷體" w:eastAsia="標楷體" w:hAnsi="標楷體" w:cs="新細明體"/>
                                <w:color w:val="000000"/>
                                <w:spacing w:val="-16"/>
                                <w:kern w:val="0"/>
                                <w:sz w:val="20"/>
                                <w:szCs w:val="20"/>
                              </w:rPr>
                            </w:pPr>
                            <w:r>
                              <w:rPr>
                                <w:rFonts w:ascii="標楷體" w:eastAsia="標楷體" w:hAnsi="標楷體" w:cs="新細明體" w:hint="eastAsia"/>
                                <w:color w:val="000000"/>
                                <w:spacing w:val="-16"/>
                                <w:kern w:val="0"/>
                                <w:sz w:val="20"/>
                                <w:szCs w:val="20"/>
                              </w:rPr>
                              <w:t>據點數</w:t>
                            </w:r>
                          </w:p>
                          <w:p w14:paraId="1914F450" w14:textId="77777777" w:rsidR="007B1B13" w:rsidRDefault="007B1B13">
                            <w:pPr>
                              <w:widowControl/>
                              <w:snapToGrid w:val="0"/>
                              <w:spacing w:line="220" w:lineRule="exact"/>
                              <w:jc w:val="center"/>
                              <w:rPr>
                                <w:rFonts w:ascii="標楷體" w:eastAsia="標楷體" w:hAnsi="標楷體" w:cs="新細明體"/>
                                <w:color w:val="000000"/>
                                <w:kern w:val="0"/>
                                <w:sz w:val="16"/>
                                <w:szCs w:val="16"/>
                              </w:rPr>
                            </w:pPr>
                            <w:r>
                              <w:rPr>
                                <w:rFonts w:ascii="標楷體" w:eastAsia="標楷體" w:hAnsi="標楷體" w:cs="新細明體" w:hint="eastAsia"/>
                                <w:color w:val="000000"/>
                                <w:kern w:val="0"/>
                                <w:sz w:val="16"/>
                                <w:szCs w:val="16"/>
                              </w:rPr>
                              <w:t>（G）</w:t>
                            </w:r>
                          </w:p>
                        </w:tc>
                        <w:tc>
                          <w:tcPr>
                            <w:tcW w:w="644" w:type="dxa"/>
                            <w:tcBorders>
                              <w:top w:val="single" w:sz="4" w:space="0" w:color="auto"/>
                              <w:left w:val="nil"/>
                              <w:bottom w:val="single" w:sz="4" w:space="0" w:color="auto"/>
                              <w:right w:val="single" w:sz="4" w:space="0" w:color="auto"/>
                            </w:tcBorders>
                            <w:shd w:val="clear" w:color="auto" w:fill="FFFFFF" w:themeFill="background1"/>
                            <w:vAlign w:val="center"/>
                            <w:hideMark/>
                          </w:tcPr>
                          <w:p w14:paraId="53ED6E9D" w14:textId="77777777" w:rsidR="007B1B13" w:rsidRDefault="007B1B13">
                            <w:pPr>
                              <w:widowControl/>
                              <w:snapToGrid w:val="0"/>
                              <w:spacing w:line="20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服務人數</w:t>
                            </w:r>
                          </w:p>
                          <w:p w14:paraId="56B956CC" w14:textId="77777777" w:rsidR="007B1B13" w:rsidRDefault="007B1B13">
                            <w:pPr>
                              <w:widowControl/>
                              <w:snapToGrid w:val="0"/>
                              <w:spacing w:line="200" w:lineRule="exact"/>
                              <w:jc w:val="center"/>
                              <w:rPr>
                                <w:rFonts w:ascii="標楷體" w:eastAsia="標楷體" w:hAnsi="標楷體" w:cs="新細明體"/>
                                <w:color w:val="000000"/>
                                <w:kern w:val="0"/>
                                <w:sz w:val="16"/>
                                <w:szCs w:val="16"/>
                              </w:rPr>
                            </w:pPr>
                            <w:r>
                              <w:rPr>
                                <w:rFonts w:ascii="標楷體" w:eastAsia="標楷體" w:hAnsi="標楷體" w:cs="新細明體" w:hint="eastAsia"/>
                                <w:color w:val="000000"/>
                                <w:kern w:val="0"/>
                                <w:sz w:val="16"/>
                                <w:szCs w:val="16"/>
                              </w:rPr>
                              <w:t>（H）</w:t>
                            </w:r>
                          </w:p>
                        </w:tc>
                        <w:tc>
                          <w:tcPr>
                            <w:tcW w:w="72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43C12E" w14:textId="77777777" w:rsidR="007B1B13" w:rsidRDefault="007B1B13">
                            <w:pPr>
                              <w:widowControl/>
                              <w:snapToGrid w:val="0"/>
                              <w:spacing w:line="220" w:lineRule="exact"/>
                              <w:jc w:val="center"/>
                              <w:rPr>
                                <w:rFonts w:ascii="標楷體" w:eastAsia="標楷體" w:hAnsi="標楷體" w:cs="Arial"/>
                                <w:color w:val="000000"/>
                                <w:sz w:val="20"/>
                                <w:szCs w:val="20"/>
                              </w:rPr>
                            </w:pPr>
                            <w:r>
                              <w:rPr>
                                <w:rFonts w:ascii="標楷體" w:eastAsia="標楷體" w:hAnsi="標楷體" w:cs="Arial" w:hint="eastAsia"/>
                                <w:color w:val="000000"/>
                                <w:sz w:val="20"/>
                                <w:szCs w:val="20"/>
                              </w:rPr>
                              <w:t>據點數</w:t>
                            </w:r>
                          </w:p>
                          <w:p w14:paraId="0556B8DD" w14:textId="77777777" w:rsidR="007B1B13" w:rsidRDefault="007B1B13">
                            <w:pPr>
                              <w:widowControl/>
                              <w:snapToGrid w:val="0"/>
                              <w:spacing w:line="220" w:lineRule="exact"/>
                              <w:ind w:leftChars="-40" w:left="-96" w:rightChars="10" w:right="24"/>
                              <w:jc w:val="both"/>
                              <w:rPr>
                                <w:rFonts w:ascii="標楷體" w:eastAsia="標楷體" w:hAnsi="標楷體" w:cs="Arial"/>
                                <w:color w:val="000000"/>
                                <w:spacing w:val="-28"/>
                                <w:sz w:val="16"/>
                                <w:szCs w:val="16"/>
                              </w:rPr>
                            </w:pPr>
                            <w:r>
                              <w:rPr>
                                <w:rFonts w:ascii="標楷體" w:eastAsia="標楷體" w:hAnsi="標楷體" w:cs="Arial" w:hint="eastAsia"/>
                                <w:color w:val="000000"/>
                                <w:spacing w:val="-28"/>
                                <w:sz w:val="16"/>
                                <w:szCs w:val="16"/>
                              </w:rPr>
                              <w:t>（I）=（B）+（G）</w:t>
                            </w:r>
                          </w:p>
                        </w:tc>
                        <w:tc>
                          <w:tcPr>
                            <w:tcW w:w="854" w:type="dxa"/>
                            <w:tcBorders>
                              <w:top w:val="single" w:sz="4" w:space="0" w:color="auto"/>
                              <w:left w:val="nil"/>
                              <w:bottom w:val="single" w:sz="4" w:space="0" w:color="auto"/>
                              <w:right w:val="single" w:sz="4" w:space="0" w:color="auto"/>
                            </w:tcBorders>
                            <w:shd w:val="clear" w:color="auto" w:fill="FFFFFF" w:themeFill="background1"/>
                            <w:vAlign w:val="center"/>
                            <w:hideMark/>
                          </w:tcPr>
                          <w:p w14:paraId="6AFE9DC5" w14:textId="77777777" w:rsidR="007B1B13" w:rsidRDefault="007B1B13">
                            <w:pPr>
                              <w:widowControl/>
                              <w:snapToGrid w:val="0"/>
                              <w:spacing w:line="220" w:lineRule="exact"/>
                              <w:jc w:val="center"/>
                              <w:rPr>
                                <w:rFonts w:ascii="標楷體" w:eastAsia="標楷體" w:hAnsi="標楷體" w:cs="Arial"/>
                                <w:color w:val="000000"/>
                                <w:spacing w:val="-6"/>
                                <w:sz w:val="20"/>
                                <w:szCs w:val="20"/>
                              </w:rPr>
                            </w:pPr>
                            <w:r>
                              <w:rPr>
                                <w:rFonts w:ascii="標楷體" w:eastAsia="標楷體" w:hAnsi="標楷體" w:cs="Arial" w:hint="eastAsia"/>
                                <w:color w:val="000000"/>
                                <w:spacing w:val="-6"/>
                                <w:sz w:val="20"/>
                                <w:szCs w:val="20"/>
                              </w:rPr>
                              <w:t>服務人數</w:t>
                            </w:r>
                          </w:p>
                          <w:p w14:paraId="44F78434" w14:textId="77777777" w:rsidR="007B1B13" w:rsidRDefault="007B1B13">
                            <w:pPr>
                              <w:widowControl/>
                              <w:snapToGrid w:val="0"/>
                              <w:spacing w:line="220" w:lineRule="exact"/>
                              <w:ind w:leftChars="-40" w:left="-96" w:rightChars="10" w:right="24"/>
                              <w:jc w:val="both"/>
                              <w:rPr>
                                <w:rFonts w:ascii="標楷體" w:eastAsia="標楷體" w:hAnsi="標楷體" w:cs="Arial"/>
                                <w:color w:val="000000"/>
                                <w:spacing w:val="-10"/>
                                <w:sz w:val="16"/>
                                <w:szCs w:val="16"/>
                              </w:rPr>
                            </w:pPr>
                            <w:r>
                              <w:rPr>
                                <w:rFonts w:ascii="標楷體" w:eastAsia="標楷體" w:hAnsi="標楷體" w:cs="Arial" w:hint="eastAsia"/>
                                <w:color w:val="000000"/>
                                <w:spacing w:val="-10"/>
                                <w:sz w:val="16"/>
                                <w:szCs w:val="16"/>
                              </w:rPr>
                              <w:t>（J）=（C）+（H）</w:t>
                            </w:r>
                          </w:p>
                        </w:tc>
                        <w:tc>
                          <w:tcPr>
                            <w:tcW w:w="102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979F9F" w14:textId="77777777" w:rsidR="007B1B13" w:rsidRDefault="007B1B13">
                            <w:pPr>
                              <w:widowControl/>
                              <w:snapToGrid w:val="0"/>
                              <w:spacing w:line="220" w:lineRule="exact"/>
                              <w:jc w:val="center"/>
                              <w:rPr>
                                <w:rFonts w:ascii="標楷體" w:eastAsia="標楷體" w:hAnsi="標楷體" w:cs="Arial"/>
                                <w:color w:val="000000"/>
                                <w:spacing w:val="-10"/>
                                <w:sz w:val="20"/>
                                <w:szCs w:val="20"/>
                              </w:rPr>
                            </w:pPr>
                            <w:r>
                              <w:rPr>
                                <w:rFonts w:ascii="標楷體" w:eastAsia="標楷體" w:hAnsi="標楷體" w:cs="Arial" w:hint="eastAsia"/>
                                <w:color w:val="000000"/>
                                <w:spacing w:val="-10"/>
                                <w:sz w:val="20"/>
                                <w:szCs w:val="20"/>
                              </w:rPr>
                              <w:t>服務涵蓋率</w:t>
                            </w:r>
                          </w:p>
                          <w:p w14:paraId="61D383B5" w14:textId="77777777" w:rsidR="007B1B13" w:rsidRDefault="007B1B13">
                            <w:pPr>
                              <w:widowControl/>
                              <w:snapToGrid w:val="0"/>
                              <w:spacing w:line="220" w:lineRule="exact"/>
                              <w:ind w:rightChars="10" w:right="24"/>
                              <w:jc w:val="center"/>
                              <w:rPr>
                                <w:rFonts w:ascii="標楷體" w:eastAsia="標楷體" w:hAnsi="標楷體" w:cs="Arial"/>
                                <w:color w:val="000000"/>
                                <w:spacing w:val="-14"/>
                                <w:sz w:val="16"/>
                                <w:szCs w:val="16"/>
                              </w:rPr>
                            </w:pPr>
                            <w:proofErr w:type="gramStart"/>
                            <w:r>
                              <w:rPr>
                                <w:rFonts w:ascii="標楷體" w:eastAsia="標楷體" w:hAnsi="標楷體" w:cs="Arial" w:hint="eastAsia"/>
                                <w:color w:val="000000"/>
                                <w:spacing w:val="-14"/>
                                <w:sz w:val="16"/>
                                <w:szCs w:val="16"/>
                              </w:rPr>
                              <w:t>（</w:t>
                            </w:r>
                            <w:proofErr w:type="gramEnd"/>
                            <w:r>
                              <w:rPr>
                                <w:rFonts w:ascii="標楷體" w:eastAsia="標楷體" w:hAnsi="標楷體" w:cs="Arial" w:hint="eastAsia"/>
                                <w:color w:val="000000"/>
                                <w:spacing w:val="-14"/>
                                <w:sz w:val="16"/>
                                <w:szCs w:val="16"/>
                              </w:rPr>
                              <w:t>K)=(J/A×100)</w:t>
                            </w:r>
                          </w:p>
                        </w:tc>
                      </w:tr>
                      <w:tr w:rsidR="007B1B13" w14:paraId="388BAD03" w14:textId="77777777" w:rsidTr="00D537EA">
                        <w:trPr>
                          <w:trHeight w:val="283"/>
                        </w:trPr>
                        <w:tc>
                          <w:tcPr>
                            <w:tcW w:w="70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0321E9" w14:textId="77777777" w:rsidR="007B1B13" w:rsidRDefault="007B1B13">
                            <w:pPr>
                              <w:widowControl/>
                              <w:snapToGrid w:val="0"/>
                              <w:spacing w:line="220" w:lineRule="exact"/>
                              <w:jc w:val="center"/>
                              <w:rPr>
                                <w:rFonts w:ascii="標楷體" w:eastAsia="標楷體" w:hAnsi="標楷體" w:cs="新細明體"/>
                                <w:b/>
                                <w:color w:val="000000"/>
                                <w:kern w:val="0"/>
                                <w:sz w:val="20"/>
                                <w:szCs w:val="20"/>
                              </w:rPr>
                            </w:pPr>
                            <w:r>
                              <w:rPr>
                                <w:rFonts w:ascii="標楷體" w:eastAsia="標楷體" w:hAnsi="標楷體" w:hint="eastAsia"/>
                                <w:b/>
                                <w:bCs/>
                                <w:color w:val="000000"/>
                                <w:sz w:val="20"/>
                                <w:szCs w:val="20"/>
                              </w:rPr>
                              <w:t>合計</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38A250" w14:textId="77777777" w:rsidR="007B1B13" w:rsidRDefault="007B1B13" w:rsidP="00AE00FE">
                            <w:pPr>
                              <w:widowControl/>
                              <w:snapToGrid w:val="0"/>
                              <w:spacing w:line="220" w:lineRule="exact"/>
                              <w:ind w:rightChars="20" w:right="48"/>
                              <w:jc w:val="right"/>
                              <w:rPr>
                                <w:rFonts w:ascii="標楷體" w:eastAsia="標楷體" w:hAnsi="標楷體" w:cs="Arial"/>
                                <w:b/>
                                <w:sz w:val="20"/>
                                <w:szCs w:val="20"/>
                              </w:rPr>
                            </w:pPr>
                            <w:r>
                              <w:rPr>
                                <w:rFonts w:ascii="標楷體" w:eastAsia="標楷體" w:hAnsi="標楷體" w:hint="eastAsia"/>
                                <w:b/>
                                <w:bCs/>
                                <w:color w:val="000000"/>
                                <w:sz w:val="20"/>
                                <w:szCs w:val="20"/>
                              </w:rPr>
                              <w:t>3,457</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B7B984" w14:textId="77777777" w:rsidR="007B1B13" w:rsidRDefault="007B1B13" w:rsidP="00AE00FE">
                            <w:pPr>
                              <w:widowControl/>
                              <w:snapToGrid w:val="0"/>
                              <w:spacing w:line="220" w:lineRule="exact"/>
                              <w:ind w:rightChars="20" w:right="48"/>
                              <w:jc w:val="right"/>
                              <w:rPr>
                                <w:rFonts w:ascii="標楷體" w:eastAsia="標楷體" w:hAnsi="標楷體" w:cs="新細明體"/>
                                <w:b/>
                                <w:color w:val="000000"/>
                                <w:kern w:val="0"/>
                                <w:sz w:val="20"/>
                                <w:szCs w:val="20"/>
                              </w:rPr>
                            </w:pPr>
                            <w:r>
                              <w:rPr>
                                <w:rFonts w:ascii="標楷體" w:eastAsia="標楷體" w:hAnsi="標楷體" w:hint="eastAsia"/>
                                <w:b/>
                                <w:bCs/>
                                <w:color w:val="000000"/>
                                <w:sz w:val="20"/>
                                <w:szCs w:val="20"/>
                              </w:rPr>
                              <w:t>92</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4F0B7" w14:textId="77777777" w:rsidR="007B1B13" w:rsidRDefault="007B1B13" w:rsidP="00AE00FE">
                            <w:pPr>
                              <w:widowControl/>
                              <w:snapToGrid w:val="0"/>
                              <w:spacing w:line="220" w:lineRule="exact"/>
                              <w:ind w:rightChars="20" w:right="48"/>
                              <w:jc w:val="right"/>
                              <w:rPr>
                                <w:rFonts w:ascii="標楷體" w:eastAsia="標楷體" w:hAnsi="標楷體" w:cs="新細明體"/>
                                <w:b/>
                                <w:color w:val="000000"/>
                                <w:kern w:val="0"/>
                                <w:sz w:val="20"/>
                                <w:szCs w:val="20"/>
                              </w:rPr>
                            </w:pPr>
                            <w:r>
                              <w:rPr>
                                <w:rFonts w:ascii="標楷體" w:eastAsia="標楷體" w:hAnsi="標楷體" w:cs="Arial" w:hint="eastAsia"/>
                                <w:b/>
                                <w:bCs/>
                                <w:color w:val="000000"/>
                                <w:sz w:val="20"/>
                                <w:szCs w:val="20"/>
                              </w:rPr>
                              <w:t>2,149</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8EBF" w14:textId="77777777" w:rsidR="007B1B13" w:rsidRDefault="007B1B13" w:rsidP="00AE00FE">
                            <w:pPr>
                              <w:widowControl/>
                              <w:snapToGrid w:val="0"/>
                              <w:spacing w:line="220" w:lineRule="exact"/>
                              <w:ind w:rightChars="20" w:right="48"/>
                              <w:jc w:val="right"/>
                              <w:rPr>
                                <w:rFonts w:ascii="標楷體" w:eastAsia="標楷體" w:hAnsi="標楷體" w:cs="Arial"/>
                                <w:b/>
                                <w:sz w:val="20"/>
                                <w:szCs w:val="20"/>
                              </w:rPr>
                            </w:pPr>
                            <w:r>
                              <w:rPr>
                                <w:rFonts w:ascii="標楷體" w:eastAsia="標楷體" w:hAnsi="標楷體" w:cs="Arial" w:hint="eastAsia"/>
                                <w:b/>
                                <w:bCs/>
                                <w:color w:val="000000"/>
                                <w:sz w:val="20"/>
                                <w:szCs w:val="20"/>
                              </w:rPr>
                              <w:t>62.16</w:t>
                            </w:r>
                          </w:p>
                        </w:tc>
                        <w:tc>
                          <w:tcPr>
                            <w:tcW w:w="7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80F60" w14:textId="77777777" w:rsidR="007B1B13" w:rsidRDefault="007B1B13" w:rsidP="00AE00FE">
                            <w:pPr>
                              <w:widowControl/>
                              <w:snapToGrid w:val="0"/>
                              <w:spacing w:line="220" w:lineRule="exact"/>
                              <w:ind w:rightChars="20" w:right="48"/>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1,943</w:t>
                            </w:r>
                          </w:p>
                        </w:tc>
                        <w:tc>
                          <w:tcPr>
                            <w:tcW w:w="896"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5962B57B" w14:textId="77777777" w:rsidR="007B1B13" w:rsidRDefault="007B1B13" w:rsidP="00AE00FE">
                            <w:pPr>
                              <w:widowControl/>
                              <w:snapToGrid w:val="0"/>
                              <w:spacing w:line="220" w:lineRule="exact"/>
                              <w:ind w:rightChars="20" w:right="48"/>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90.41</w:t>
                            </w:r>
                          </w:p>
                        </w:tc>
                        <w:tc>
                          <w:tcPr>
                            <w:tcW w:w="624" w:type="dxa"/>
                            <w:tcBorders>
                              <w:top w:val="single" w:sz="4" w:space="0" w:color="auto"/>
                              <w:left w:val="double" w:sz="4" w:space="0" w:color="auto"/>
                              <w:bottom w:val="single" w:sz="4" w:space="0" w:color="auto"/>
                              <w:right w:val="single" w:sz="4" w:space="0" w:color="auto"/>
                            </w:tcBorders>
                            <w:shd w:val="clear" w:color="auto" w:fill="auto"/>
                            <w:vAlign w:val="center"/>
                            <w:hideMark/>
                          </w:tcPr>
                          <w:p w14:paraId="3AD92732" w14:textId="77777777" w:rsidR="007B1B13" w:rsidRDefault="007B1B13" w:rsidP="00AE00FE">
                            <w:pPr>
                              <w:widowControl/>
                              <w:snapToGrid w:val="0"/>
                              <w:spacing w:line="220" w:lineRule="exact"/>
                              <w:ind w:rightChars="20" w:right="48"/>
                              <w:jc w:val="right"/>
                              <w:rPr>
                                <w:rFonts w:ascii="標楷體" w:eastAsia="標楷體" w:hAnsi="標楷體" w:cs="Arial"/>
                                <w:b/>
                                <w:sz w:val="20"/>
                                <w:szCs w:val="20"/>
                              </w:rPr>
                            </w:pPr>
                            <w:r>
                              <w:rPr>
                                <w:rFonts w:ascii="標楷體" w:eastAsia="標楷體" w:hAnsi="標楷體" w:cs="Arial" w:hint="eastAsia"/>
                                <w:b/>
                                <w:bCs/>
                                <w:color w:val="000000"/>
                                <w:sz w:val="20"/>
                                <w:szCs w:val="20"/>
                              </w:rPr>
                              <w:t>37</w:t>
                            </w:r>
                          </w:p>
                        </w:tc>
                        <w:tc>
                          <w:tcPr>
                            <w:tcW w:w="644" w:type="dxa"/>
                            <w:tcBorders>
                              <w:top w:val="single" w:sz="4" w:space="0" w:color="auto"/>
                              <w:left w:val="nil"/>
                              <w:bottom w:val="single" w:sz="4" w:space="0" w:color="auto"/>
                              <w:right w:val="single" w:sz="4" w:space="0" w:color="auto"/>
                            </w:tcBorders>
                            <w:shd w:val="clear" w:color="auto" w:fill="auto"/>
                            <w:vAlign w:val="center"/>
                            <w:hideMark/>
                          </w:tcPr>
                          <w:p w14:paraId="37C17824" w14:textId="77777777" w:rsidR="007B1B13" w:rsidRDefault="007B1B13" w:rsidP="00AE00FE">
                            <w:pPr>
                              <w:widowControl/>
                              <w:snapToGrid w:val="0"/>
                              <w:spacing w:line="220" w:lineRule="exact"/>
                              <w:ind w:rightChars="20" w:right="48"/>
                              <w:jc w:val="right"/>
                              <w:rPr>
                                <w:rFonts w:ascii="標楷體" w:eastAsia="標楷體" w:hAnsi="標楷體" w:cs="Arial"/>
                                <w:b/>
                                <w:sz w:val="20"/>
                                <w:szCs w:val="20"/>
                              </w:rPr>
                            </w:pPr>
                            <w:r>
                              <w:rPr>
                                <w:rFonts w:ascii="標楷體" w:eastAsia="標楷體" w:hAnsi="標楷體" w:cs="Arial" w:hint="eastAsia"/>
                                <w:b/>
                                <w:bCs/>
                                <w:color w:val="000000"/>
                                <w:sz w:val="20"/>
                                <w:szCs w:val="20"/>
                              </w:rPr>
                              <w:t>549</w:t>
                            </w:r>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AC1CA" w14:textId="77777777" w:rsidR="007B1B13" w:rsidRDefault="007B1B13" w:rsidP="00AE00FE">
                            <w:pPr>
                              <w:widowControl/>
                              <w:snapToGrid w:val="0"/>
                              <w:spacing w:line="220" w:lineRule="exact"/>
                              <w:ind w:rightChars="20" w:right="48"/>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129</w:t>
                            </w:r>
                          </w:p>
                        </w:tc>
                        <w:tc>
                          <w:tcPr>
                            <w:tcW w:w="854" w:type="dxa"/>
                            <w:tcBorders>
                              <w:top w:val="single" w:sz="4" w:space="0" w:color="auto"/>
                              <w:left w:val="nil"/>
                              <w:bottom w:val="single" w:sz="4" w:space="0" w:color="auto"/>
                              <w:right w:val="single" w:sz="4" w:space="0" w:color="auto"/>
                            </w:tcBorders>
                            <w:shd w:val="clear" w:color="auto" w:fill="auto"/>
                            <w:vAlign w:val="center"/>
                            <w:hideMark/>
                          </w:tcPr>
                          <w:p w14:paraId="47592B83" w14:textId="77777777" w:rsidR="007B1B13" w:rsidRDefault="007B1B13" w:rsidP="00AE00FE">
                            <w:pPr>
                              <w:widowControl/>
                              <w:snapToGrid w:val="0"/>
                              <w:spacing w:line="220" w:lineRule="exact"/>
                              <w:ind w:rightChars="20" w:right="48"/>
                              <w:jc w:val="right"/>
                              <w:rPr>
                                <w:rFonts w:ascii="標楷體" w:eastAsia="標楷體" w:hAnsi="標楷體" w:cs="Arial"/>
                                <w:b/>
                                <w:bCs/>
                                <w:color w:val="000000"/>
                                <w:sz w:val="20"/>
                                <w:szCs w:val="20"/>
                              </w:rPr>
                            </w:pPr>
                            <w:r>
                              <w:rPr>
                                <w:rFonts w:ascii="標楷體" w:eastAsia="標楷體" w:hAnsi="標楷體" w:cs="Arial" w:hint="eastAsia"/>
                                <w:b/>
                                <w:bCs/>
                                <w:color w:val="000000"/>
                                <w:sz w:val="20"/>
                                <w:szCs w:val="20"/>
                              </w:rPr>
                              <w:t>2,698</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E72538" w14:textId="77777777" w:rsidR="007B1B13" w:rsidRDefault="007B1B13" w:rsidP="00AE00FE">
                            <w:pPr>
                              <w:widowControl/>
                              <w:snapToGrid w:val="0"/>
                              <w:spacing w:line="220" w:lineRule="exact"/>
                              <w:ind w:rightChars="20" w:right="48"/>
                              <w:jc w:val="right"/>
                              <w:rPr>
                                <w:rFonts w:ascii="標楷體" w:eastAsia="標楷體" w:hAnsi="標楷體" w:cs="Arial"/>
                                <w:color w:val="000000"/>
                                <w:sz w:val="20"/>
                                <w:szCs w:val="20"/>
                              </w:rPr>
                            </w:pPr>
                            <w:r>
                              <w:rPr>
                                <w:rFonts w:ascii="標楷體" w:eastAsia="標楷體" w:hAnsi="標楷體" w:cs="Arial" w:hint="eastAsia"/>
                                <w:b/>
                                <w:bCs/>
                                <w:color w:val="000000"/>
                                <w:sz w:val="20"/>
                                <w:szCs w:val="20"/>
                              </w:rPr>
                              <w:t>78.04</w:t>
                            </w:r>
                          </w:p>
                        </w:tc>
                      </w:tr>
                      <w:tr w:rsidR="007B1B13" w14:paraId="0EC2AFC7"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179137F" w14:textId="77777777" w:rsidR="007B1B13" w:rsidRDefault="007B1B13">
                            <w:pPr>
                              <w:widowControl/>
                              <w:snapToGrid w:val="0"/>
                              <w:spacing w:line="220" w:lineRule="exact"/>
                              <w:jc w:val="center"/>
                              <w:rPr>
                                <w:rFonts w:ascii="標楷體" w:eastAsia="標楷體" w:hAnsi="標楷體" w:cs="新細明體"/>
                                <w:b/>
                                <w:color w:val="000000"/>
                                <w:kern w:val="0"/>
                                <w:sz w:val="20"/>
                                <w:szCs w:val="20"/>
                              </w:rPr>
                            </w:pPr>
                            <w:r>
                              <w:rPr>
                                <w:rFonts w:ascii="標楷體" w:eastAsia="標楷體" w:hAnsi="標楷體" w:hint="eastAsia"/>
                                <w:color w:val="000000"/>
                                <w:sz w:val="20"/>
                                <w:szCs w:val="20"/>
                              </w:rPr>
                              <w:t>南港區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EDCCF2"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hint="eastAsia"/>
                                <w:color w:val="000000"/>
                                <w:sz w:val="20"/>
                                <w:szCs w:val="20"/>
                              </w:rPr>
                              <w:t>199</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9DC49A3"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hint="eastAsia"/>
                                <w:color w:val="000000"/>
                                <w:sz w:val="20"/>
                                <w:szCs w:val="20"/>
                              </w:rPr>
                              <w:t>2</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2301D772"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cs="Arial" w:hint="eastAsia"/>
                                <w:color w:val="000000"/>
                                <w:sz w:val="20"/>
                                <w:szCs w:val="20"/>
                              </w:rPr>
                              <w:t>42</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18B2F31A"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cs="Arial" w:hint="eastAsia"/>
                                <w:color w:val="000000"/>
                                <w:sz w:val="20"/>
                                <w:szCs w:val="20"/>
                              </w:rPr>
                              <w:t>▲ 21.11</w:t>
                            </w:r>
                          </w:p>
                        </w:tc>
                        <w:tc>
                          <w:tcPr>
                            <w:tcW w:w="744" w:type="dxa"/>
                            <w:tcBorders>
                              <w:top w:val="nil"/>
                              <w:left w:val="single" w:sz="4" w:space="0" w:color="auto"/>
                              <w:bottom w:val="single" w:sz="4" w:space="0" w:color="auto"/>
                              <w:right w:val="single" w:sz="4" w:space="0" w:color="auto"/>
                            </w:tcBorders>
                            <w:shd w:val="clear" w:color="auto" w:fill="auto"/>
                            <w:hideMark/>
                          </w:tcPr>
                          <w:p w14:paraId="2424F940"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38</w:t>
                            </w:r>
                          </w:p>
                        </w:tc>
                        <w:tc>
                          <w:tcPr>
                            <w:tcW w:w="896" w:type="dxa"/>
                            <w:tcBorders>
                              <w:top w:val="nil"/>
                              <w:left w:val="single" w:sz="4" w:space="0" w:color="auto"/>
                              <w:bottom w:val="single" w:sz="4" w:space="0" w:color="auto"/>
                              <w:right w:val="double" w:sz="4" w:space="0" w:color="auto"/>
                            </w:tcBorders>
                            <w:shd w:val="clear" w:color="auto" w:fill="auto"/>
                            <w:hideMark/>
                          </w:tcPr>
                          <w:p w14:paraId="397AC6B2"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90.48</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36256837"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cs="Arial" w:hint="eastAsia"/>
                                <w:color w:val="000000"/>
                                <w:sz w:val="20"/>
                                <w:szCs w:val="20"/>
                              </w:rPr>
                              <w:t>4</w:t>
                            </w:r>
                          </w:p>
                        </w:tc>
                        <w:tc>
                          <w:tcPr>
                            <w:tcW w:w="644" w:type="dxa"/>
                            <w:tcBorders>
                              <w:top w:val="nil"/>
                              <w:left w:val="nil"/>
                              <w:bottom w:val="single" w:sz="4" w:space="0" w:color="auto"/>
                              <w:right w:val="single" w:sz="4" w:space="0" w:color="auto"/>
                            </w:tcBorders>
                            <w:shd w:val="clear" w:color="auto" w:fill="auto"/>
                            <w:vAlign w:val="bottom"/>
                            <w:hideMark/>
                          </w:tcPr>
                          <w:p w14:paraId="541BDFBE" w14:textId="77777777" w:rsidR="007B1B13" w:rsidRDefault="007B1B13">
                            <w:pPr>
                              <w:widowControl/>
                              <w:snapToGrid w:val="0"/>
                              <w:spacing w:line="220" w:lineRule="exact"/>
                              <w:ind w:rightChars="15" w:right="36"/>
                              <w:jc w:val="right"/>
                              <w:rPr>
                                <w:rFonts w:ascii="標楷體" w:eastAsia="標楷體" w:hAnsi="標楷體" w:cs="Arial"/>
                                <w:b/>
                                <w:sz w:val="20"/>
                                <w:szCs w:val="20"/>
                              </w:rPr>
                            </w:pPr>
                            <w:r>
                              <w:rPr>
                                <w:rFonts w:ascii="標楷體" w:eastAsia="標楷體" w:hAnsi="標楷體" w:cs="Arial" w:hint="eastAsia"/>
                                <w:color w:val="000000"/>
                                <w:sz w:val="20"/>
                                <w:szCs w:val="20"/>
                              </w:rPr>
                              <w:t>92</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4C636D1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6</w:t>
                            </w:r>
                          </w:p>
                        </w:tc>
                        <w:tc>
                          <w:tcPr>
                            <w:tcW w:w="854" w:type="dxa"/>
                            <w:tcBorders>
                              <w:top w:val="nil"/>
                              <w:left w:val="nil"/>
                              <w:bottom w:val="single" w:sz="4" w:space="0" w:color="auto"/>
                              <w:right w:val="single" w:sz="4" w:space="0" w:color="auto"/>
                            </w:tcBorders>
                            <w:shd w:val="clear" w:color="auto" w:fill="auto"/>
                            <w:vAlign w:val="bottom"/>
                            <w:hideMark/>
                          </w:tcPr>
                          <w:p w14:paraId="1D5CE8DE"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134</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105E5A81"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67.34</w:t>
                            </w:r>
                          </w:p>
                        </w:tc>
                      </w:tr>
                      <w:tr w:rsidR="007B1B13" w14:paraId="628C7B10"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DE1F83"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大安區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6BC39A"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295</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A3BAAB6"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4</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7E10D1B1"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cs="Arial" w:hint="eastAsia"/>
                                <w:color w:val="000000"/>
                                <w:sz w:val="20"/>
                                <w:szCs w:val="20"/>
                              </w:rPr>
                              <w:t>66</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664981B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22.37</w:t>
                            </w:r>
                          </w:p>
                        </w:tc>
                        <w:tc>
                          <w:tcPr>
                            <w:tcW w:w="744" w:type="dxa"/>
                            <w:tcBorders>
                              <w:top w:val="nil"/>
                              <w:left w:val="single" w:sz="4" w:space="0" w:color="auto"/>
                              <w:bottom w:val="single" w:sz="4" w:space="0" w:color="auto"/>
                              <w:right w:val="single" w:sz="4" w:space="0" w:color="auto"/>
                            </w:tcBorders>
                            <w:shd w:val="clear" w:color="auto" w:fill="auto"/>
                            <w:hideMark/>
                          </w:tcPr>
                          <w:p w14:paraId="2D03150A"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73</w:t>
                            </w:r>
                          </w:p>
                        </w:tc>
                        <w:tc>
                          <w:tcPr>
                            <w:tcW w:w="896" w:type="dxa"/>
                            <w:tcBorders>
                              <w:top w:val="nil"/>
                              <w:left w:val="single" w:sz="4" w:space="0" w:color="auto"/>
                              <w:bottom w:val="single" w:sz="4" w:space="0" w:color="auto"/>
                              <w:right w:val="double" w:sz="4" w:space="0" w:color="auto"/>
                            </w:tcBorders>
                            <w:shd w:val="clear" w:color="auto" w:fill="auto"/>
                            <w:hideMark/>
                          </w:tcPr>
                          <w:p w14:paraId="6A4AF141"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110.61</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58163589"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w:t>
                            </w:r>
                          </w:p>
                        </w:tc>
                        <w:tc>
                          <w:tcPr>
                            <w:tcW w:w="644" w:type="dxa"/>
                            <w:tcBorders>
                              <w:top w:val="nil"/>
                              <w:left w:val="nil"/>
                              <w:bottom w:val="single" w:sz="4" w:space="0" w:color="auto"/>
                              <w:right w:val="single" w:sz="4" w:space="0" w:color="auto"/>
                            </w:tcBorders>
                            <w:shd w:val="clear" w:color="auto" w:fill="auto"/>
                            <w:vAlign w:val="bottom"/>
                            <w:hideMark/>
                          </w:tcPr>
                          <w:p w14:paraId="6710AA53"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40</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05631F0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6</w:t>
                            </w:r>
                          </w:p>
                        </w:tc>
                        <w:tc>
                          <w:tcPr>
                            <w:tcW w:w="854" w:type="dxa"/>
                            <w:tcBorders>
                              <w:top w:val="nil"/>
                              <w:left w:val="nil"/>
                              <w:bottom w:val="single" w:sz="4" w:space="0" w:color="auto"/>
                              <w:right w:val="single" w:sz="4" w:space="0" w:color="auto"/>
                            </w:tcBorders>
                            <w:shd w:val="clear" w:color="auto" w:fill="auto"/>
                            <w:vAlign w:val="bottom"/>
                            <w:hideMark/>
                          </w:tcPr>
                          <w:p w14:paraId="46AA0019"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106</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02D28D89"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35.93</w:t>
                            </w:r>
                          </w:p>
                        </w:tc>
                      </w:tr>
                      <w:tr w:rsidR="007B1B13" w14:paraId="554C141C"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59FACB"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士林區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F71065"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384</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13CB394"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40C21A25" w14:textId="77777777" w:rsidR="007B1B13" w:rsidRDefault="007B1B13">
                            <w:pPr>
                              <w:widowControl/>
                              <w:snapToGrid w:val="0"/>
                              <w:spacing w:line="220" w:lineRule="exact"/>
                              <w:ind w:rightChars="15" w:right="36"/>
                              <w:jc w:val="right"/>
                              <w:rPr>
                                <w:rFonts w:ascii="標楷體" w:eastAsia="標楷體" w:hAnsi="標楷體" w:cs="新細明體"/>
                                <w:color w:val="000000" w:themeColor="text1"/>
                                <w:kern w:val="0"/>
                                <w:sz w:val="20"/>
                                <w:szCs w:val="20"/>
                              </w:rPr>
                            </w:pPr>
                            <w:r>
                              <w:rPr>
                                <w:rFonts w:ascii="標楷體" w:eastAsia="標楷體" w:hAnsi="標楷體" w:cs="Arial" w:hint="eastAsia"/>
                                <w:color w:val="000000" w:themeColor="text1"/>
                                <w:sz w:val="20"/>
                                <w:szCs w:val="20"/>
                              </w:rPr>
                              <w:t>132</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7171CE23"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34.38</w:t>
                            </w:r>
                          </w:p>
                        </w:tc>
                        <w:tc>
                          <w:tcPr>
                            <w:tcW w:w="744" w:type="dxa"/>
                            <w:tcBorders>
                              <w:top w:val="single" w:sz="4" w:space="0" w:color="auto"/>
                              <w:left w:val="single" w:sz="4" w:space="0" w:color="auto"/>
                              <w:bottom w:val="single" w:sz="4" w:space="0" w:color="auto"/>
                              <w:right w:val="single" w:sz="4" w:space="0" w:color="auto"/>
                            </w:tcBorders>
                            <w:shd w:val="clear" w:color="auto" w:fill="auto"/>
                            <w:hideMark/>
                          </w:tcPr>
                          <w:p w14:paraId="35FE069B"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hint="eastAsia"/>
                                <w:color w:val="000000"/>
                                <w:sz w:val="20"/>
                                <w:szCs w:val="20"/>
                              </w:rPr>
                              <w:t>89</w:t>
                            </w:r>
                          </w:p>
                        </w:tc>
                        <w:tc>
                          <w:tcPr>
                            <w:tcW w:w="896" w:type="dxa"/>
                            <w:tcBorders>
                              <w:top w:val="single" w:sz="4" w:space="0" w:color="auto"/>
                              <w:left w:val="single" w:sz="4" w:space="0" w:color="auto"/>
                              <w:bottom w:val="single" w:sz="4" w:space="0" w:color="auto"/>
                              <w:right w:val="double" w:sz="4" w:space="0" w:color="auto"/>
                            </w:tcBorders>
                            <w:shd w:val="clear" w:color="auto" w:fill="FFFFFF"/>
                            <w:hideMark/>
                          </w:tcPr>
                          <w:p w14:paraId="6D5045BE"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hint="eastAsia"/>
                                <w:color w:val="000000"/>
                                <w:sz w:val="20"/>
                                <w:szCs w:val="20"/>
                              </w:rPr>
                              <w:t>67.42</w:t>
                            </w:r>
                          </w:p>
                        </w:tc>
                        <w:tc>
                          <w:tcPr>
                            <w:tcW w:w="624" w:type="dxa"/>
                            <w:tcBorders>
                              <w:top w:val="single" w:sz="4" w:space="0" w:color="auto"/>
                              <w:left w:val="double" w:sz="4" w:space="0" w:color="auto"/>
                              <w:bottom w:val="single" w:sz="4" w:space="0" w:color="auto"/>
                              <w:right w:val="single" w:sz="4" w:space="0" w:color="auto"/>
                            </w:tcBorders>
                            <w:shd w:val="clear" w:color="auto" w:fill="FFFFFF"/>
                            <w:vAlign w:val="center"/>
                            <w:hideMark/>
                          </w:tcPr>
                          <w:p w14:paraId="3B907745"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3C659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1812FFD2"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w:t>
                            </w:r>
                          </w:p>
                        </w:tc>
                        <w:tc>
                          <w:tcPr>
                            <w:tcW w:w="854" w:type="dxa"/>
                            <w:tcBorders>
                              <w:top w:val="nil"/>
                              <w:left w:val="nil"/>
                              <w:bottom w:val="single" w:sz="4" w:space="0" w:color="auto"/>
                              <w:right w:val="single" w:sz="4" w:space="0" w:color="auto"/>
                            </w:tcBorders>
                            <w:shd w:val="clear" w:color="auto" w:fill="auto"/>
                            <w:vAlign w:val="bottom"/>
                            <w:hideMark/>
                          </w:tcPr>
                          <w:p w14:paraId="2BECCF3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132</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36D6461A"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 34.38</w:t>
                            </w:r>
                          </w:p>
                        </w:tc>
                      </w:tr>
                      <w:tr w:rsidR="007B1B13" w14:paraId="040E7A96"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2AC46A5"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內湖區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1F04EE"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343</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F0CE1E5"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11</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5C42FA50" w14:textId="77777777" w:rsidR="007B1B13" w:rsidRDefault="007B1B13">
                            <w:pPr>
                              <w:widowControl/>
                              <w:snapToGrid w:val="0"/>
                              <w:spacing w:line="220" w:lineRule="exact"/>
                              <w:ind w:rightChars="15" w:right="36"/>
                              <w:jc w:val="right"/>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118</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1089AD1A"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34.40</w:t>
                            </w:r>
                          </w:p>
                        </w:tc>
                        <w:tc>
                          <w:tcPr>
                            <w:tcW w:w="744" w:type="dxa"/>
                            <w:tcBorders>
                              <w:top w:val="nil"/>
                              <w:left w:val="single" w:sz="4" w:space="0" w:color="auto"/>
                              <w:bottom w:val="single" w:sz="4" w:space="0" w:color="auto"/>
                              <w:right w:val="single" w:sz="4" w:space="0" w:color="auto"/>
                            </w:tcBorders>
                            <w:shd w:val="clear" w:color="auto" w:fill="auto"/>
                            <w:hideMark/>
                          </w:tcPr>
                          <w:p w14:paraId="0CC2705A"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129</w:t>
                            </w:r>
                          </w:p>
                        </w:tc>
                        <w:tc>
                          <w:tcPr>
                            <w:tcW w:w="896" w:type="dxa"/>
                            <w:tcBorders>
                              <w:top w:val="nil"/>
                              <w:left w:val="single" w:sz="4" w:space="0" w:color="auto"/>
                              <w:bottom w:val="single" w:sz="4" w:space="0" w:color="auto"/>
                              <w:right w:val="double" w:sz="4" w:space="0" w:color="auto"/>
                            </w:tcBorders>
                            <w:shd w:val="clear" w:color="auto" w:fill="auto"/>
                            <w:hideMark/>
                          </w:tcPr>
                          <w:p w14:paraId="1A5CDF20"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109.32</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77E88B77"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5</w:t>
                            </w:r>
                          </w:p>
                        </w:tc>
                        <w:tc>
                          <w:tcPr>
                            <w:tcW w:w="644" w:type="dxa"/>
                            <w:tcBorders>
                              <w:top w:val="nil"/>
                              <w:left w:val="nil"/>
                              <w:bottom w:val="single" w:sz="4" w:space="0" w:color="auto"/>
                              <w:right w:val="single" w:sz="4" w:space="0" w:color="auto"/>
                            </w:tcBorders>
                            <w:shd w:val="clear" w:color="auto" w:fill="auto"/>
                            <w:vAlign w:val="bottom"/>
                            <w:hideMark/>
                          </w:tcPr>
                          <w:p w14:paraId="2F3B40F4"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88</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0F3799B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16</w:t>
                            </w:r>
                          </w:p>
                        </w:tc>
                        <w:tc>
                          <w:tcPr>
                            <w:tcW w:w="854" w:type="dxa"/>
                            <w:tcBorders>
                              <w:top w:val="nil"/>
                              <w:left w:val="nil"/>
                              <w:bottom w:val="single" w:sz="4" w:space="0" w:color="auto"/>
                              <w:right w:val="single" w:sz="4" w:space="0" w:color="auto"/>
                            </w:tcBorders>
                            <w:shd w:val="clear" w:color="auto" w:fill="auto"/>
                            <w:vAlign w:val="bottom"/>
                            <w:hideMark/>
                          </w:tcPr>
                          <w:p w14:paraId="63101F5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206</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7C8E8EF0"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60.06</w:t>
                            </w:r>
                          </w:p>
                        </w:tc>
                      </w:tr>
                      <w:tr w:rsidR="007B1B13" w14:paraId="19501A95"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818776"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萬華區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3691D6"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344</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6857BA9"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09E5CFB9" w14:textId="77777777" w:rsidR="007B1B13" w:rsidRDefault="007B1B13">
                            <w:pPr>
                              <w:widowControl/>
                              <w:snapToGrid w:val="0"/>
                              <w:spacing w:line="220" w:lineRule="exact"/>
                              <w:ind w:rightChars="15" w:right="36"/>
                              <w:jc w:val="right"/>
                              <w:rPr>
                                <w:rFonts w:ascii="標楷體" w:eastAsia="標楷體" w:hAnsi="標楷體" w:cs="新細明體"/>
                                <w:color w:val="000000" w:themeColor="text1"/>
                                <w:kern w:val="0"/>
                                <w:sz w:val="20"/>
                                <w:szCs w:val="20"/>
                              </w:rPr>
                            </w:pPr>
                            <w:r>
                              <w:rPr>
                                <w:rFonts w:ascii="標楷體" w:eastAsia="標楷體" w:hAnsi="標楷體" w:cs="Arial" w:hint="eastAsia"/>
                                <w:color w:val="000000" w:themeColor="text1"/>
                                <w:sz w:val="20"/>
                                <w:szCs w:val="20"/>
                              </w:rPr>
                              <w:t>119</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505EB111"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34.59</w:t>
                            </w:r>
                          </w:p>
                        </w:tc>
                        <w:tc>
                          <w:tcPr>
                            <w:tcW w:w="744" w:type="dxa"/>
                            <w:tcBorders>
                              <w:top w:val="nil"/>
                              <w:left w:val="single" w:sz="4" w:space="0" w:color="auto"/>
                              <w:bottom w:val="single" w:sz="4" w:space="0" w:color="auto"/>
                              <w:right w:val="single" w:sz="4" w:space="0" w:color="auto"/>
                            </w:tcBorders>
                            <w:shd w:val="clear" w:color="auto" w:fill="auto"/>
                            <w:hideMark/>
                          </w:tcPr>
                          <w:p w14:paraId="5BBBB03E"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96</w:t>
                            </w:r>
                          </w:p>
                        </w:tc>
                        <w:tc>
                          <w:tcPr>
                            <w:tcW w:w="896" w:type="dxa"/>
                            <w:tcBorders>
                              <w:top w:val="nil"/>
                              <w:left w:val="single" w:sz="4" w:space="0" w:color="auto"/>
                              <w:bottom w:val="single" w:sz="4" w:space="0" w:color="auto"/>
                              <w:right w:val="double" w:sz="4" w:space="0" w:color="auto"/>
                            </w:tcBorders>
                            <w:shd w:val="clear" w:color="auto" w:fill="auto"/>
                            <w:hideMark/>
                          </w:tcPr>
                          <w:p w14:paraId="4A6516E9"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80.67</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232CC110"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1</w:t>
                            </w:r>
                          </w:p>
                        </w:tc>
                        <w:tc>
                          <w:tcPr>
                            <w:tcW w:w="644" w:type="dxa"/>
                            <w:tcBorders>
                              <w:top w:val="nil"/>
                              <w:left w:val="nil"/>
                              <w:bottom w:val="single" w:sz="4" w:space="0" w:color="auto"/>
                              <w:right w:val="single" w:sz="4" w:space="0" w:color="auto"/>
                            </w:tcBorders>
                            <w:shd w:val="clear" w:color="auto" w:fill="auto"/>
                            <w:vAlign w:val="bottom"/>
                            <w:hideMark/>
                          </w:tcPr>
                          <w:p w14:paraId="06F7432E"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30</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56D8F04F"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7</w:t>
                            </w:r>
                          </w:p>
                        </w:tc>
                        <w:tc>
                          <w:tcPr>
                            <w:tcW w:w="854" w:type="dxa"/>
                            <w:tcBorders>
                              <w:top w:val="nil"/>
                              <w:left w:val="nil"/>
                              <w:bottom w:val="single" w:sz="4" w:space="0" w:color="auto"/>
                              <w:right w:val="single" w:sz="4" w:space="0" w:color="auto"/>
                            </w:tcBorders>
                            <w:shd w:val="clear" w:color="auto" w:fill="auto"/>
                            <w:vAlign w:val="bottom"/>
                            <w:hideMark/>
                          </w:tcPr>
                          <w:p w14:paraId="5B87F42B"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149</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09AEFDED"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43.31</w:t>
                            </w:r>
                          </w:p>
                        </w:tc>
                      </w:tr>
                      <w:tr w:rsidR="007B1B13" w14:paraId="14E5854E"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18836C"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北投區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76900B"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355</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380A641"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10</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6BE31" w14:textId="77777777" w:rsidR="007B1B13" w:rsidRDefault="007B1B13">
                            <w:pPr>
                              <w:widowControl/>
                              <w:snapToGrid w:val="0"/>
                              <w:spacing w:line="220" w:lineRule="exact"/>
                              <w:ind w:rightChars="15" w:right="36"/>
                              <w:jc w:val="right"/>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214</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6B2893"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60.28</w:t>
                            </w:r>
                          </w:p>
                        </w:tc>
                        <w:tc>
                          <w:tcPr>
                            <w:tcW w:w="744" w:type="dxa"/>
                            <w:tcBorders>
                              <w:top w:val="single" w:sz="4" w:space="0" w:color="auto"/>
                              <w:left w:val="single" w:sz="4" w:space="0" w:color="auto"/>
                              <w:bottom w:val="single" w:sz="4" w:space="0" w:color="auto"/>
                              <w:right w:val="single" w:sz="4" w:space="0" w:color="auto"/>
                            </w:tcBorders>
                            <w:shd w:val="clear" w:color="auto" w:fill="auto"/>
                            <w:hideMark/>
                          </w:tcPr>
                          <w:p w14:paraId="59009A3E"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193</w:t>
                            </w:r>
                          </w:p>
                        </w:tc>
                        <w:tc>
                          <w:tcPr>
                            <w:tcW w:w="896" w:type="dxa"/>
                            <w:tcBorders>
                              <w:top w:val="single" w:sz="4" w:space="0" w:color="auto"/>
                              <w:left w:val="single" w:sz="4" w:space="0" w:color="auto"/>
                              <w:bottom w:val="single" w:sz="4" w:space="0" w:color="auto"/>
                              <w:right w:val="double" w:sz="4" w:space="0" w:color="auto"/>
                            </w:tcBorders>
                            <w:shd w:val="clear" w:color="auto" w:fill="auto"/>
                            <w:hideMark/>
                          </w:tcPr>
                          <w:p w14:paraId="072A2CB2"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90.19</w:t>
                            </w:r>
                          </w:p>
                        </w:tc>
                        <w:tc>
                          <w:tcPr>
                            <w:tcW w:w="624" w:type="dxa"/>
                            <w:tcBorders>
                              <w:top w:val="single" w:sz="4" w:space="0" w:color="auto"/>
                              <w:left w:val="double" w:sz="4" w:space="0" w:color="auto"/>
                              <w:bottom w:val="single" w:sz="4" w:space="0" w:color="auto"/>
                              <w:right w:val="single" w:sz="4" w:space="0" w:color="auto"/>
                            </w:tcBorders>
                            <w:shd w:val="clear" w:color="auto" w:fill="auto"/>
                            <w:vAlign w:val="bottom"/>
                            <w:hideMark/>
                          </w:tcPr>
                          <w:p w14:paraId="780158EA"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1</w:t>
                            </w:r>
                          </w:p>
                        </w:tc>
                        <w:tc>
                          <w:tcPr>
                            <w:tcW w:w="644" w:type="dxa"/>
                            <w:tcBorders>
                              <w:top w:val="single" w:sz="4" w:space="0" w:color="auto"/>
                              <w:left w:val="nil"/>
                              <w:bottom w:val="single" w:sz="4" w:space="0" w:color="auto"/>
                              <w:right w:val="single" w:sz="4" w:space="0" w:color="auto"/>
                            </w:tcBorders>
                            <w:shd w:val="clear" w:color="auto" w:fill="auto"/>
                            <w:vAlign w:val="bottom"/>
                            <w:hideMark/>
                          </w:tcPr>
                          <w:p w14:paraId="66BD084F"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55</w:t>
                            </w:r>
                          </w:p>
                        </w:tc>
                        <w:tc>
                          <w:tcPr>
                            <w:tcW w:w="72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CF4AFEA"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11</w:t>
                            </w:r>
                          </w:p>
                        </w:tc>
                        <w:tc>
                          <w:tcPr>
                            <w:tcW w:w="854" w:type="dxa"/>
                            <w:tcBorders>
                              <w:top w:val="single" w:sz="4" w:space="0" w:color="auto"/>
                              <w:left w:val="nil"/>
                              <w:bottom w:val="single" w:sz="4" w:space="0" w:color="auto"/>
                              <w:right w:val="single" w:sz="4" w:space="0" w:color="auto"/>
                            </w:tcBorders>
                            <w:shd w:val="clear" w:color="auto" w:fill="auto"/>
                            <w:vAlign w:val="bottom"/>
                            <w:hideMark/>
                          </w:tcPr>
                          <w:p w14:paraId="520D8F74"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269</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454142"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75.77</w:t>
                            </w:r>
                          </w:p>
                        </w:tc>
                      </w:tr>
                      <w:tr w:rsidR="007B1B13" w14:paraId="3EC87AD2"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37AC6B"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文山區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DE6FB8"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392</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70C06F"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8</w:t>
                            </w:r>
                          </w:p>
                        </w:tc>
                        <w:tc>
                          <w:tcPr>
                            <w:tcW w:w="7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932CF5" w14:textId="77777777" w:rsidR="007B1B13" w:rsidRDefault="007B1B13">
                            <w:pPr>
                              <w:widowControl/>
                              <w:snapToGrid w:val="0"/>
                              <w:spacing w:line="220" w:lineRule="exact"/>
                              <w:ind w:rightChars="15" w:right="36"/>
                              <w:jc w:val="right"/>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273</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730632F"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69.64</w:t>
                            </w:r>
                          </w:p>
                        </w:tc>
                        <w:tc>
                          <w:tcPr>
                            <w:tcW w:w="744" w:type="dxa"/>
                            <w:tcBorders>
                              <w:top w:val="single" w:sz="4" w:space="0" w:color="auto"/>
                              <w:left w:val="single" w:sz="4" w:space="0" w:color="auto"/>
                              <w:bottom w:val="single" w:sz="4" w:space="0" w:color="auto"/>
                              <w:right w:val="single" w:sz="4" w:space="0" w:color="auto"/>
                            </w:tcBorders>
                            <w:shd w:val="clear" w:color="auto" w:fill="auto"/>
                            <w:hideMark/>
                          </w:tcPr>
                          <w:p w14:paraId="7659D40B"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hint="eastAsia"/>
                                <w:color w:val="000000"/>
                                <w:sz w:val="20"/>
                                <w:szCs w:val="20"/>
                              </w:rPr>
                              <w:t>249</w:t>
                            </w:r>
                          </w:p>
                        </w:tc>
                        <w:tc>
                          <w:tcPr>
                            <w:tcW w:w="896" w:type="dxa"/>
                            <w:tcBorders>
                              <w:top w:val="single" w:sz="4" w:space="0" w:color="auto"/>
                              <w:left w:val="single" w:sz="4" w:space="0" w:color="auto"/>
                              <w:bottom w:val="single" w:sz="4" w:space="0" w:color="auto"/>
                              <w:right w:val="double" w:sz="4" w:space="0" w:color="auto"/>
                            </w:tcBorders>
                            <w:shd w:val="clear" w:color="auto" w:fill="FFFFFF"/>
                            <w:hideMark/>
                          </w:tcPr>
                          <w:p w14:paraId="6F289F42"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hint="eastAsia"/>
                                <w:color w:val="000000"/>
                                <w:sz w:val="20"/>
                                <w:szCs w:val="20"/>
                              </w:rPr>
                              <w:t>91.21</w:t>
                            </w:r>
                          </w:p>
                        </w:tc>
                        <w:tc>
                          <w:tcPr>
                            <w:tcW w:w="624" w:type="dxa"/>
                            <w:tcBorders>
                              <w:top w:val="single" w:sz="4" w:space="0" w:color="auto"/>
                              <w:left w:val="double" w:sz="4" w:space="0" w:color="auto"/>
                              <w:bottom w:val="single" w:sz="4" w:space="0" w:color="auto"/>
                              <w:right w:val="single" w:sz="4" w:space="0" w:color="auto"/>
                            </w:tcBorders>
                            <w:shd w:val="clear" w:color="auto" w:fill="FFFFFF"/>
                            <w:vAlign w:val="center"/>
                            <w:hideMark/>
                          </w:tcPr>
                          <w:p w14:paraId="04728B29"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5151D4"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72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FBCF2C0"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w:t>
                            </w:r>
                          </w:p>
                        </w:tc>
                        <w:tc>
                          <w:tcPr>
                            <w:tcW w:w="854" w:type="dxa"/>
                            <w:tcBorders>
                              <w:top w:val="single" w:sz="4" w:space="0" w:color="auto"/>
                              <w:left w:val="nil"/>
                              <w:bottom w:val="single" w:sz="4" w:space="0" w:color="auto"/>
                              <w:right w:val="single" w:sz="4" w:space="0" w:color="auto"/>
                            </w:tcBorders>
                            <w:shd w:val="clear" w:color="auto" w:fill="auto"/>
                            <w:vAlign w:val="bottom"/>
                            <w:hideMark/>
                          </w:tcPr>
                          <w:p w14:paraId="0EB9AD8F"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273</w:t>
                            </w:r>
                          </w:p>
                        </w:tc>
                        <w:tc>
                          <w:tcPr>
                            <w:tcW w:w="102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443F988"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69.64</w:t>
                            </w:r>
                          </w:p>
                        </w:tc>
                      </w:tr>
                      <w:tr w:rsidR="007B1B13" w14:paraId="6EB89851"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1CAEC5"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中山區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69854B"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275</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22B8442"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6</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3A7DB50A" w14:textId="77777777" w:rsidR="007B1B13" w:rsidRDefault="007B1B13">
                            <w:pPr>
                              <w:widowControl/>
                              <w:snapToGrid w:val="0"/>
                              <w:spacing w:line="220" w:lineRule="exact"/>
                              <w:ind w:rightChars="15" w:right="36"/>
                              <w:jc w:val="right"/>
                              <w:rPr>
                                <w:rFonts w:ascii="標楷體" w:eastAsia="標楷體" w:hAnsi="標楷體" w:cs="新細明體"/>
                                <w:color w:val="000000" w:themeColor="text1"/>
                                <w:kern w:val="0"/>
                                <w:sz w:val="20"/>
                                <w:szCs w:val="20"/>
                              </w:rPr>
                            </w:pPr>
                            <w:r>
                              <w:rPr>
                                <w:rFonts w:ascii="標楷體" w:eastAsia="標楷體" w:hAnsi="標楷體" w:cs="Arial" w:hint="eastAsia"/>
                                <w:color w:val="000000" w:themeColor="text1"/>
                                <w:sz w:val="20"/>
                                <w:szCs w:val="20"/>
                              </w:rPr>
                              <w:t>226</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03970B0A"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82.18</w:t>
                            </w:r>
                          </w:p>
                        </w:tc>
                        <w:tc>
                          <w:tcPr>
                            <w:tcW w:w="744" w:type="dxa"/>
                            <w:tcBorders>
                              <w:top w:val="nil"/>
                              <w:left w:val="single" w:sz="4" w:space="0" w:color="auto"/>
                              <w:bottom w:val="single" w:sz="4" w:space="0" w:color="auto"/>
                              <w:right w:val="single" w:sz="4" w:space="0" w:color="auto"/>
                            </w:tcBorders>
                            <w:shd w:val="clear" w:color="auto" w:fill="auto"/>
                            <w:hideMark/>
                          </w:tcPr>
                          <w:p w14:paraId="548F4045"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182</w:t>
                            </w:r>
                          </w:p>
                        </w:tc>
                        <w:tc>
                          <w:tcPr>
                            <w:tcW w:w="896" w:type="dxa"/>
                            <w:tcBorders>
                              <w:top w:val="nil"/>
                              <w:left w:val="single" w:sz="4" w:space="0" w:color="auto"/>
                              <w:bottom w:val="single" w:sz="4" w:space="0" w:color="auto"/>
                              <w:right w:val="double" w:sz="4" w:space="0" w:color="auto"/>
                            </w:tcBorders>
                            <w:shd w:val="clear" w:color="auto" w:fill="auto"/>
                            <w:hideMark/>
                          </w:tcPr>
                          <w:p w14:paraId="16A1756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80.53</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4B21BE31"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w:t>
                            </w:r>
                          </w:p>
                        </w:tc>
                        <w:tc>
                          <w:tcPr>
                            <w:tcW w:w="644" w:type="dxa"/>
                            <w:tcBorders>
                              <w:top w:val="nil"/>
                              <w:left w:val="nil"/>
                              <w:bottom w:val="single" w:sz="4" w:space="0" w:color="auto"/>
                              <w:right w:val="single" w:sz="4" w:space="0" w:color="auto"/>
                            </w:tcBorders>
                            <w:shd w:val="clear" w:color="auto" w:fill="auto"/>
                            <w:vAlign w:val="bottom"/>
                            <w:hideMark/>
                          </w:tcPr>
                          <w:p w14:paraId="688A4C78"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70</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1CA47C4D"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w:t>
                            </w:r>
                          </w:p>
                        </w:tc>
                        <w:tc>
                          <w:tcPr>
                            <w:tcW w:w="854" w:type="dxa"/>
                            <w:tcBorders>
                              <w:top w:val="nil"/>
                              <w:left w:val="nil"/>
                              <w:bottom w:val="single" w:sz="4" w:space="0" w:color="auto"/>
                              <w:right w:val="single" w:sz="4" w:space="0" w:color="auto"/>
                            </w:tcBorders>
                            <w:shd w:val="clear" w:color="auto" w:fill="auto"/>
                            <w:vAlign w:val="bottom"/>
                            <w:hideMark/>
                          </w:tcPr>
                          <w:p w14:paraId="6D414E3E"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296</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7D638A2B"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107.64</w:t>
                            </w:r>
                          </w:p>
                        </w:tc>
                      </w:tr>
                      <w:tr w:rsidR="007B1B13" w14:paraId="5D15BA4A"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B84FA4"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大同區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BD415E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187</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25A0CA7"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8</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73A41731" w14:textId="77777777" w:rsidR="007B1B13" w:rsidRDefault="007B1B13">
                            <w:pPr>
                              <w:widowControl/>
                              <w:snapToGrid w:val="0"/>
                              <w:spacing w:line="220" w:lineRule="exact"/>
                              <w:ind w:rightChars="15" w:right="36"/>
                              <w:jc w:val="right"/>
                              <w:rPr>
                                <w:rFonts w:ascii="標楷體" w:eastAsia="標楷體" w:hAnsi="標楷體" w:cs="Arial"/>
                                <w:color w:val="000000" w:themeColor="text1"/>
                                <w:sz w:val="20"/>
                                <w:szCs w:val="20"/>
                              </w:rPr>
                            </w:pPr>
                            <w:r>
                              <w:rPr>
                                <w:rFonts w:ascii="標楷體" w:eastAsia="標楷體" w:hAnsi="標楷體" w:cs="Arial" w:hint="eastAsia"/>
                                <w:color w:val="000000" w:themeColor="text1"/>
                                <w:sz w:val="20"/>
                                <w:szCs w:val="20"/>
                              </w:rPr>
                              <w:t>157</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791A994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83.96</w:t>
                            </w:r>
                          </w:p>
                        </w:tc>
                        <w:tc>
                          <w:tcPr>
                            <w:tcW w:w="744" w:type="dxa"/>
                            <w:tcBorders>
                              <w:top w:val="nil"/>
                              <w:left w:val="single" w:sz="4" w:space="0" w:color="auto"/>
                              <w:bottom w:val="single" w:sz="4" w:space="0" w:color="auto"/>
                              <w:right w:val="single" w:sz="4" w:space="0" w:color="auto"/>
                            </w:tcBorders>
                            <w:shd w:val="clear" w:color="auto" w:fill="auto"/>
                            <w:hideMark/>
                          </w:tcPr>
                          <w:p w14:paraId="0C780B66"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146</w:t>
                            </w:r>
                          </w:p>
                        </w:tc>
                        <w:tc>
                          <w:tcPr>
                            <w:tcW w:w="896" w:type="dxa"/>
                            <w:tcBorders>
                              <w:top w:val="nil"/>
                              <w:left w:val="single" w:sz="4" w:space="0" w:color="auto"/>
                              <w:bottom w:val="single" w:sz="4" w:space="0" w:color="auto"/>
                              <w:right w:val="double" w:sz="4" w:space="0" w:color="auto"/>
                            </w:tcBorders>
                            <w:shd w:val="clear" w:color="auto" w:fill="auto"/>
                            <w:hideMark/>
                          </w:tcPr>
                          <w:p w14:paraId="7459F53C"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92.99</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3A21ECF1"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1</w:t>
                            </w:r>
                          </w:p>
                        </w:tc>
                        <w:tc>
                          <w:tcPr>
                            <w:tcW w:w="644" w:type="dxa"/>
                            <w:tcBorders>
                              <w:top w:val="nil"/>
                              <w:left w:val="nil"/>
                              <w:bottom w:val="single" w:sz="4" w:space="0" w:color="auto"/>
                              <w:right w:val="single" w:sz="4" w:space="0" w:color="auto"/>
                            </w:tcBorders>
                            <w:shd w:val="clear" w:color="auto" w:fill="auto"/>
                            <w:vAlign w:val="bottom"/>
                            <w:hideMark/>
                          </w:tcPr>
                          <w:p w14:paraId="428BB3F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20</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0484D3F8"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w:t>
                            </w:r>
                          </w:p>
                        </w:tc>
                        <w:tc>
                          <w:tcPr>
                            <w:tcW w:w="854" w:type="dxa"/>
                            <w:tcBorders>
                              <w:top w:val="nil"/>
                              <w:left w:val="nil"/>
                              <w:bottom w:val="single" w:sz="4" w:space="0" w:color="auto"/>
                              <w:right w:val="single" w:sz="4" w:space="0" w:color="auto"/>
                            </w:tcBorders>
                            <w:shd w:val="clear" w:color="auto" w:fill="auto"/>
                            <w:vAlign w:val="bottom"/>
                            <w:hideMark/>
                          </w:tcPr>
                          <w:p w14:paraId="76C4898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177</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6CDC5E2C"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94.65</w:t>
                            </w:r>
                          </w:p>
                        </w:tc>
                      </w:tr>
                      <w:tr w:rsidR="007B1B13" w14:paraId="4B8CD79D"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988FE9"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信義區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D5AE1E"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292</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8591E2"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8</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673A74E6"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cs="Arial" w:hint="eastAsia"/>
                                <w:color w:val="000000"/>
                                <w:sz w:val="20"/>
                                <w:szCs w:val="20"/>
                              </w:rPr>
                              <w:t>262</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48A387A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89.73</w:t>
                            </w:r>
                          </w:p>
                        </w:tc>
                        <w:tc>
                          <w:tcPr>
                            <w:tcW w:w="744" w:type="dxa"/>
                            <w:tcBorders>
                              <w:top w:val="nil"/>
                              <w:left w:val="single" w:sz="4" w:space="0" w:color="auto"/>
                              <w:bottom w:val="single" w:sz="4" w:space="0" w:color="auto"/>
                              <w:right w:val="single" w:sz="4" w:space="0" w:color="auto"/>
                            </w:tcBorders>
                            <w:shd w:val="clear" w:color="auto" w:fill="auto"/>
                            <w:hideMark/>
                          </w:tcPr>
                          <w:p w14:paraId="4498D5CF"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219</w:t>
                            </w:r>
                          </w:p>
                        </w:tc>
                        <w:tc>
                          <w:tcPr>
                            <w:tcW w:w="896" w:type="dxa"/>
                            <w:tcBorders>
                              <w:top w:val="nil"/>
                              <w:left w:val="single" w:sz="4" w:space="0" w:color="auto"/>
                              <w:bottom w:val="single" w:sz="4" w:space="0" w:color="auto"/>
                              <w:right w:val="double" w:sz="4" w:space="0" w:color="auto"/>
                            </w:tcBorders>
                            <w:shd w:val="clear" w:color="auto" w:fill="auto"/>
                            <w:hideMark/>
                          </w:tcPr>
                          <w:p w14:paraId="364F377F"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83.59</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1810E00D"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w:t>
                            </w:r>
                          </w:p>
                        </w:tc>
                        <w:tc>
                          <w:tcPr>
                            <w:tcW w:w="644" w:type="dxa"/>
                            <w:tcBorders>
                              <w:top w:val="nil"/>
                              <w:left w:val="nil"/>
                              <w:bottom w:val="single" w:sz="4" w:space="0" w:color="auto"/>
                              <w:right w:val="single" w:sz="4" w:space="0" w:color="auto"/>
                            </w:tcBorders>
                            <w:shd w:val="clear" w:color="auto" w:fill="auto"/>
                            <w:vAlign w:val="bottom"/>
                            <w:hideMark/>
                          </w:tcPr>
                          <w:p w14:paraId="5A700F30"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12</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180394AF"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w:t>
                            </w:r>
                          </w:p>
                        </w:tc>
                        <w:tc>
                          <w:tcPr>
                            <w:tcW w:w="854" w:type="dxa"/>
                            <w:tcBorders>
                              <w:top w:val="nil"/>
                              <w:left w:val="nil"/>
                              <w:bottom w:val="single" w:sz="4" w:space="0" w:color="auto"/>
                              <w:right w:val="single" w:sz="4" w:space="0" w:color="auto"/>
                            </w:tcBorders>
                            <w:shd w:val="clear" w:color="auto" w:fill="auto"/>
                            <w:vAlign w:val="bottom"/>
                            <w:hideMark/>
                          </w:tcPr>
                          <w:p w14:paraId="5C6BB4CC"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274</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2B03CAEE"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93.84</w:t>
                            </w:r>
                          </w:p>
                        </w:tc>
                      </w:tr>
                      <w:tr w:rsidR="007B1B13" w14:paraId="43323887"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53882FD"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松山區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0625C4"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194</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AE37B70"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7</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14034A1D"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cs="Arial" w:hint="eastAsia"/>
                                <w:color w:val="000000"/>
                                <w:sz w:val="20"/>
                                <w:szCs w:val="20"/>
                              </w:rPr>
                              <w:t>188</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5D3EE684"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96.91</w:t>
                            </w:r>
                          </w:p>
                        </w:tc>
                        <w:tc>
                          <w:tcPr>
                            <w:tcW w:w="744" w:type="dxa"/>
                            <w:tcBorders>
                              <w:top w:val="single" w:sz="4" w:space="0" w:color="auto"/>
                              <w:left w:val="single" w:sz="4" w:space="0" w:color="auto"/>
                              <w:bottom w:val="single" w:sz="4" w:space="0" w:color="auto"/>
                              <w:right w:val="single" w:sz="4" w:space="0" w:color="auto"/>
                            </w:tcBorders>
                            <w:shd w:val="clear" w:color="auto" w:fill="auto"/>
                            <w:hideMark/>
                          </w:tcPr>
                          <w:p w14:paraId="511E47B2"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hint="eastAsia"/>
                                <w:color w:val="000000"/>
                                <w:sz w:val="20"/>
                                <w:szCs w:val="20"/>
                              </w:rPr>
                              <w:t>155</w:t>
                            </w:r>
                          </w:p>
                        </w:tc>
                        <w:tc>
                          <w:tcPr>
                            <w:tcW w:w="896" w:type="dxa"/>
                            <w:tcBorders>
                              <w:top w:val="single" w:sz="4" w:space="0" w:color="auto"/>
                              <w:left w:val="single" w:sz="4" w:space="0" w:color="auto"/>
                              <w:bottom w:val="single" w:sz="4" w:space="0" w:color="auto"/>
                              <w:right w:val="double" w:sz="4" w:space="0" w:color="auto"/>
                            </w:tcBorders>
                            <w:shd w:val="clear" w:color="auto" w:fill="FFFFFF"/>
                            <w:hideMark/>
                          </w:tcPr>
                          <w:p w14:paraId="11B1472B"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hint="eastAsia"/>
                                <w:color w:val="000000"/>
                                <w:sz w:val="20"/>
                                <w:szCs w:val="20"/>
                              </w:rPr>
                              <w:t>82.45</w:t>
                            </w:r>
                          </w:p>
                        </w:tc>
                        <w:tc>
                          <w:tcPr>
                            <w:tcW w:w="624" w:type="dxa"/>
                            <w:tcBorders>
                              <w:top w:val="single" w:sz="4" w:space="0" w:color="auto"/>
                              <w:left w:val="double" w:sz="4" w:space="0" w:color="auto"/>
                              <w:bottom w:val="single" w:sz="4" w:space="0" w:color="auto"/>
                              <w:right w:val="single" w:sz="4" w:space="0" w:color="auto"/>
                            </w:tcBorders>
                            <w:shd w:val="clear" w:color="auto" w:fill="FFFFFF"/>
                            <w:vAlign w:val="center"/>
                            <w:hideMark/>
                          </w:tcPr>
                          <w:p w14:paraId="5903E562"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83B340"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28805F24"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7</w:t>
                            </w:r>
                          </w:p>
                        </w:tc>
                        <w:tc>
                          <w:tcPr>
                            <w:tcW w:w="854" w:type="dxa"/>
                            <w:tcBorders>
                              <w:top w:val="nil"/>
                              <w:left w:val="nil"/>
                              <w:bottom w:val="single" w:sz="4" w:space="0" w:color="auto"/>
                              <w:right w:val="single" w:sz="4" w:space="0" w:color="auto"/>
                            </w:tcBorders>
                            <w:shd w:val="clear" w:color="auto" w:fill="auto"/>
                            <w:vAlign w:val="bottom"/>
                            <w:hideMark/>
                          </w:tcPr>
                          <w:p w14:paraId="5FCEA71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188</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15ED1458"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96.91</w:t>
                            </w:r>
                          </w:p>
                        </w:tc>
                      </w:tr>
                      <w:tr w:rsidR="007B1B13" w14:paraId="2BD47208"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AF7499"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中正區</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18FE73"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197</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FE67F22"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11</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68A810D8"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cs="Arial" w:hint="eastAsia"/>
                                <w:color w:val="000000"/>
                                <w:sz w:val="20"/>
                                <w:szCs w:val="20"/>
                              </w:rPr>
                              <w:t>313</w:t>
                            </w:r>
                          </w:p>
                        </w:tc>
                        <w:tc>
                          <w:tcPr>
                            <w:tcW w:w="1192" w:type="dxa"/>
                            <w:tcBorders>
                              <w:top w:val="nil"/>
                              <w:left w:val="single" w:sz="4" w:space="0" w:color="auto"/>
                              <w:bottom w:val="single" w:sz="4" w:space="0" w:color="auto"/>
                              <w:right w:val="single" w:sz="4" w:space="0" w:color="auto"/>
                            </w:tcBorders>
                            <w:shd w:val="clear" w:color="auto" w:fill="auto"/>
                            <w:vAlign w:val="bottom"/>
                            <w:hideMark/>
                          </w:tcPr>
                          <w:p w14:paraId="129B11FA"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 158.88</w:t>
                            </w:r>
                          </w:p>
                        </w:tc>
                        <w:tc>
                          <w:tcPr>
                            <w:tcW w:w="744" w:type="dxa"/>
                            <w:tcBorders>
                              <w:top w:val="nil"/>
                              <w:left w:val="single" w:sz="4" w:space="0" w:color="auto"/>
                              <w:bottom w:val="single" w:sz="4" w:space="0" w:color="auto"/>
                              <w:right w:val="single" w:sz="4" w:space="0" w:color="auto"/>
                            </w:tcBorders>
                            <w:shd w:val="clear" w:color="auto" w:fill="auto"/>
                            <w:hideMark/>
                          </w:tcPr>
                          <w:p w14:paraId="620D5FB0"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341</w:t>
                            </w:r>
                          </w:p>
                        </w:tc>
                        <w:tc>
                          <w:tcPr>
                            <w:tcW w:w="896" w:type="dxa"/>
                            <w:tcBorders>
                              <w:top w:val="nil"/>
                              <w:left w:val="single" w:sz="4" w:space="0" w:color="auto"/>
                              <w:bottom w:val="single" w:sz="4" w:space="0" w:color="auto"/>
                              <w:right w:val="double" w:sz="4" w:space="0" w:color="auto"/>
                            </w:tcBorders>
                            <w:shd w:val="clear" w:color="auto" w:fill="auto"/>
                            <w:hideMark/>
                          </w:tcPr>
                          <w:p w14:paraId="361CC1CC"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108.95</w:t>
                            </w: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0843874E"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2</w:t>
                            </w:r>
                          </w:p>
                        </w:tc>
                        <w:tc>
                          <w:tcPr>
                            <w:tcW w:w="644" w:type="dxa"/>
                            <w:tcBorders>
                              <w:top w:val="nil"/>
                              <w:left w:val="nil"/>
                              <w:bottom w:val="single" w:sz="4" w:space="0" w:color="auto"/>
                              <w:right w:val="single" w:sz="4" w:space="0" w:color="auto"/>
                            </w:tcBorders>
                            <w:shd w:val="clear" w:color="auto" w:fill="auto"/>
                            <w:vAlign w:val="bottom"/>
                            <w:hideMark/>
                          </w:tcPr>
                          <w:p w14:paraId="21AA66CC"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cs="Arial" w:hint="eastAsia"/>
                                <w:color w:val="000000"/>
                                <w:sz w:val="20"/>
                                <w:szCs w:val="20"/>
                              </w:rPr>
                              <w:t>40</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2136611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13</w:t>
                            </w:r>
                          </w:p>
                        </w:tc>
                        <w:tc>
                          <w:tcPr>
                            <w:tcW w:w="854" w:type="dxa"/>
                            <w:tcBorders>
                              <w:top w:val="nil"/>
                              <w:left w:val="nil"/>
                              <w:bottom w:val="single" w:sz="4" w:space="0" w:color="auto"/>
                              <w:right w:val="single" w:sz="4" w:space="0" w:color="auto"/>
                            </w:tcBorders>
                            <w:shd w:val="clear" w:color="auto" w:fill="auto"/>
                            <w:vAlign w:val="bottom"/>
                            <w:hideMark/>
                          </w:tcPr>
                          <w:p w14:paraId="3E36DBE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353</w:t>
                            </w:r>
                          </w:p>
                        </w:tc>
                        <w:tc>
                          <w:tcPr>
                            <w:tcW w:w="1023" w:type="dxa"/>
                            <w:tcBorders>
                              <w:top w:val="nil"/>
                              <w:left w:val="single" w:sz="4" w:space="0" w:color="auto"/>
                              <w:bottom w:val="single" w:sz="4" w:space="0" w:color="auto"/>
                              <w:right w:val="single" w:sz="4" w:space="0" w:color="auto"/>
                            </w:tcBorders>
                            <w:shd w:val="clear" w:color="auto" w:fill="auto"/>
                            <w:vAlign w:val="bottom"/>
                            <w:hideMark/>
                          </w:tcPr>
                          <w:p w14:paraId="599E5FF7"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◎179.19</w:t>
                            </w:r>
                          </w:p>
                        </w:tc>
                      </w:tr>
                      <w:tr w:rsidR="007B1B13" w14:paraId="4E2964E7"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275495" w14:textId="77777777" w:rsidR="007B1B13" w:rsidRDefault="007B1B13">
                            <w:pPr>
                              <w:widowControl/>
                              <w:snapToGrid w:val="0"/>
                              <w:spacing w:line="220" w:lineRule="exact"/>
                              <w:jc w:val="center"/>
                              <w:rPr>
                                <w:rFonts w:ascii="標楷體" w:eastAsia="標楷體" w:hAnsi="標楷體" w:cs="新細明體"/>
                                <w:color w:val="000000"/>
                                <w:kern w:val="0"/>
                                <w:sz w:val="20"/>
                                <w:szCs w:val="20"/>
                              </w:rPr>
                            </w:pPr>
                            <w:r>
                              <w:rPr>
                                <w:rFonts w:ascii="標楷體" w:eastAsia="標楷體" w:hAnsi="標楷體" w:hint="eastAsia"/>
                                <w:color w:val="000000"/>
                                <w:sz w:val="20"/>
                                <w:szCs w:val="20"/>
                              </w:rPr>
                              <w:t>新北市</w:t>
                            </w:r>
                          </w:p>
                        </w:tc>
                        <w:tc>
                          <w:tcPr>
                            <w:tcW w:w="74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FE48A08"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596"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D902DB3"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hint="eastAsia"/>
                                <w:color w:val="000000"/>
                                <w:sz w:val="20"/>
                                <w:szCs w:val="20"/>
                              </w:rPr>
                              <w:t>3</w:t>
                            </w:r>
                          </w:p>
                        </w:tc>
                        <w:tc>
                          <w:tcPr>
                            <w:tcW w:w="745" w:type="dxa"/>
                            <w:tcBorders>
                              <w:top w:val="nil"/>
                              <w:left w:val="single" w:sz="4" w:space="0" w:color="auto"/>
                              <w:bottom w:val="single" w:sz="4" w:space="0" w:color="auto"/>
                              <w:right w:val="single" w:sz="4" w:space="0" w:color="auto"/>
                            </w:tcBorders>
                            <w:shd w:val="clear" w:color="auto" w:fill="auto"/>
                            <w:noWrap/>
                            <w:vAlign w:val="bottom"/>
                            <w:hideMark/>
                          </w:tcPr>
                          <w:p w14:paraId="6F35E8DE" w14:textId="77777777" w:rsidR="007B1B13" w:rsidRDefault="007B1B13">
                            <w:pPr>
                              <w:widowControl/>
                              <w:snapToGrid w:val="0"/>
                              <w:spacing w:line="220" w:lineRule="exact"/>
                              <w:ind w:rightChars="15" w:right="36"/>
                              <w:jc w:val="right"/>
                              <w:rPr>
                                <w:rFonts w:ascii="標楷體" w:eastAsia="標楷體" w:hAnsi="標楷體" w:cs="新細明體"/>
                                <w:color w:val="000000"/>
                                <w:kern w:val="0"/>
                                <w:sz w:val="20"/>
                                <w:szCs w:val="20"/>
                              </w:rPr>
                            </w:pPr>
                            <w:r>
                              <w:rPr>
                                <w:rFonts w:ascii="標楷體" w:eastAsia="標楷體" w:hAnsi="標楷體" w:cs="Arial" w:hint="eastAsia"/>
                                <w:color w:val="000000"/>
                                <w:sz w:val="20"/>
                                <w:szCs w:val="20"/>
                              </w:rPr>
                              <w:t>39</w:t>
                            </w:r>
                          </w:p>
                        </w:tc>
                        <w:tc>
                          <w:tcPr>
                            <w:tcW w:w="11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2337960"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744" w:type="dxa"/>
                            <w:tcBorders>
                              <w:top w:val="single" w:sz="4" w:space="0" w:color="auto"/>
                              <w:left w:val="single" w:sz="4" w:space="0" w:color="auto"/>
                              <w:bottom w:val="single" w:sz="4" w:space="0" w:color="auto"/>
                              <w:right w:val="single" w:sz="4" w:space="0" w:color="auto"/>
                            </w:tcBorders>
                            <w:shd w:val="clear" w:color="auto" w:fill="FFFFFF"/>
                            <w:hideMark/>
                          </w:tcPr>
                          <w:p w14:paraId="0BC3FA92"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hint="eastAsia"/>
                                <w:color w:val="000000"/>
                                <w:sz w:val="20"/>
                                <w:szCs w:val="20"/>
                              </w:rPr>
                              <w:t>33</w:t>
                            </w:r>
                          </w:p>
                        </w:tc>
                        <w:tc>
                          <w:tcPr>
                            <w:tcW w:w="896" w:type="dxa"/>
                            <w:tcBorders>
                              <w:top w:val="single" w:sz="4" w:space="0" w:color="auto"/>
                              <w:left w:val="single" w:sz="4" w:space="0" w:color="auto"/>
                              <w:bottom w:val="single" w:sz="4" w:space="0" w:color="auto"/>
                              <w:right w:val="double" w:sz="4" w:space="0" w:color="auto"/>
                            </w:tcBorders>
                            <w:shd w:val="clear" w:color="auto" w:fill="FFFFFF"/>
                            <w:hideMark/>
                          </w:tcPr>
                          <w:p w14:paraId="78706A56"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hint="eastAsia"/>
                                <w:color w:val="000000"/>
                                <w:sz w:val="20"/>
                                <w:szCs w:val="20"/>
                              </w:rPr>
                              <w:t>84.62</w:t>
                            </w:r>
                          </w:p>
                        </w:tc>
                        <w:tc>
                          <w:tcPr>
                            <w:tcW w:w="624" w:type="dxa"/>
                            <w:tcBorders>
                              <w:top w:val="single" w:sz="4" w:space="0" w:color="auto"/>
                              <w:left w:val="double" w:sz="4" w:space="0" w:color="auto"/>
                              <w:bottom w:val="single" w:sz="4" w:space="0" w:color="auto"/>
                              <w:right w:val="single" w:sz="4" w:space="0" w:color="auto"/>
                            </w:tcBorders>
                            <w:shd w:val="clear" w:color="auto" w:fill="FFFFFF"/>
                            <w:vAlign w:val="center"/>
                            <w:hideMark/>
                          </w:tcPr>
                          <w:p w14:paraId="0BAC5807"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B9B35F" w14:textId="77777777" w:rsidR="007B1B13" w:rsidRDefault="007B1B13">
                            <w:pPr>
                              <w:widowControl/>
                              <w:snapToGrid w:val="0"/>
                              <w:spacing w:line="220" w:lineRule="exact"/>
                              <w:ind w:rightChars="15" w:right="36"/>
                              <w:jc w:val="right"/>
                              <w:rPr>
                                <w:rFonts w:ascii="標楷體" w:eastAsia="標楷體" w:hAnsi="標楷體" w:cs="Arial"/>
                                <w:sz w:val="20"/>
                                <w:szCs w:val="20"/>
                              </w:rPr>
                            </w:pPr>
                            <w:r>
                              <w:rPr>
                                <w:rFonts w:ascii="標楷體" w:eastAsia="標楷體" w:hAnsi="標楷體" w:hint="eastAsia"/>
                                <w:color w:val="000000"/>
                                <w:sz w:val="20"/>
                                <w:szCs w:val="20"/>
                              </w:rPr>
                              <w:t>－</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08233183"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cs="Arial" w:hint="eastAsia"/>
                                <w:color w:val="000000"/>
                                <w:sz w:val="20"/>
                                <w:szCs w:val="20"/>
                              </w:rPr>
                              <w:t>3</w:t>
                            </w:r>
                          </w:p>
                        </w:tc>
                        <w:tc>
                          <w:tcPr>
                            <w:tcW w:w="854" w:type="dxa"/>
                            <w:tcBorders>
                              <w:top w:val="nil"/>
                              <w:left w:val="nil"/>
                              <w:bottom w:val="single" w:sz="4" w:space="0" w:color="auto"/>
                              <w:right w:val="single" w:sz="4" w:space="0" w:color="auto"/>
                            </w:tcBorders>
                            <w:shd w:val="clear" w:color="auto" w:fill="auto"/>
                            <w:vAlign w:val="bottom"/>
                            <w:hideMark/>
                          </w:tcPr>
                          <w:p w14:paraId="492F1494"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cs="Arial" w:hint="eastAsia"/>
                                <w:color w:val="000000"/>
                                <w:sz w:val="20"/>
                                <w:szCs w:val="20"/>
                              </w:rPr>
                              <w:t>39</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354F21"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hint="eastAsia"/>
                                <w:color w:val="000000"/>
                                <w:sz w:val="20"/>
                                <w:szCs w:val="20"/>
                              </w:rPr>
                              <w:t>－</w:t>
                            </w:r>
                          </w:p>
                        </w:tc>
                      </w:tr>
                      <w:tr w:rsidR="007B1B13" w14:paraId="21F81330" w14:textId="77777777">
                        <w:trPr>
                          <w:trHeight w:val="189"/>
                        </w:trPr>
                        <w:tc>
                          <w:tcPr>
                            <w:tcW w:w="7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10C970" w14:textId="77777777" w:rsidR="007B1B13" w:rsidRDefault="007B1B13">
                            <w:pPr>
                              <w:widowControl/>
                              <w:snapToGrid w:val="0"/>
                              <w:spacing w:line="220" w:lineRule="exact"/>
                              <w:jc w:val="center"/>
                              <w:rPr>
                                <w:rFonts w:ascii="標楷體" w:eastAsia="標楷體" w:hAnsi="標楷體" w:cs="Times New Roman"/>
                                <w:color w:val="000000"/>
                                <w:sz w:val="20"/>
                                <w:szCs w:val="20"/>
                              </w:rPr>
                            </w:pPr>
                            <w:r>
                              <w:rPr>
                                <w:rFonts w:ascii="標楷體" w:eastAsia="標楷體" w:hAnsi="標楷體" w:hint="eastAsia"/>
                                <w:color w:val="000000"/>
                                <w:sz w:val="20"/>
                                <w:szCs w:val="20"/>
                              </w:rPr>
                              <w:t>未定</w:t>
                            </w:r>
                          </w:p>
                        </w:tc>
                        <w:tc>
                          <w:tcPr>
                            <w:tcW w:w="745"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cPr>
                          <w:p w14:paraId="100C8729"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p>
                        </w:tc>
                        <w:tc>
                          <w:tcPr>
                            <w:tcW w:w="596" w:type="dxa"/>
                            <w:tcBorders>
                              <w:top w:val="single" w:sz="4" w:space="0" w:color="auto"/>
                              <w:left w:val="single" w:sz="4" w:space="0" w:color="auto"/>
                              <w:bottom w:val="single" w:sz="4" w:space="0" w:color="auto"/>
                              <w:right w:val="single" w:sz="4" w:space="0" w:color="auto"/>
                              <w:tl2br w:val="single" w:sz="4" w:space="0" w:color="auto"/>
                            </w:tcBorders>
                            <w:shd w:val="clear" w:color="auto" w:fill="FFFFFF"/>
                            <w:noWrap/>
                          </w:tcPr>
                          <w:p w14:paraId="4BA9EF95"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p>
                        </w:tc>
                        <w:tc>
                          <w:tcPr>
                            <w:tcW w:w="745"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tcPr>
                          <w:p w14:paraId="5159101A"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p>
                        </w:tc>
                        <w:tc>
                          <w:tcPr>
                            <w:tcW w:w="1192" w:type="dxa"/>
                            <w:tcBorders>
                              <w:top w:val="single" w:sz="4" w:space="0" w:color="auto"/>
                              <w:left w:val="single" w:sz="4" w:space="0" w:color="auto"/>
                              <w:bottom w:val="single" w:sz="4" w:space="0" w:color="auto"/>
                              <w:right w:val="single" w:sz="4" w:space="0" w:color="auto"/>
                              <w:tl2br w:val="single" w:sz="4" w:space="0" w:color="auto"/>
                            </w:tcBorders>
                            <w:shd w:val="clear" w:color="auto" w:fill="FFFFFF"/>
                          </w:tcPr>
                          <w:p w14:paraId="60CBA1A4"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p>
                        </w:tc>
                        <w:tc>
                          <w:tcPr>
                            <w:tcW w:w="744" w:type="dxa"/>
                            <w:tcBorders>
                              <w:top w:val="single" w:sz="4" w:space="0" w:color="auto"/>
                              <w:left w:val="single" w:sz="4" w:space="0" w:color="auto"/>
                              <w:bottom w:val="single" w:sz="4" w:space="0" w:color="auto"/>
                              <w:right w:val="single" w:sz="4" w:space="0" w:color="auto"/>
                              <w:tl2br w:val="single" w:sz="4" w:space="0" w:color="auto"/>
                            </w:tcBorders>
                            <w:shd w:val="clear" w:color="auto" w:fill="auto"/>
                          </w:tcPr>
                          <w:p w14:paraId="7F04F581"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p>
                        </w:tc>
                        <w:tc>
                          <w:tcPr>
                            <w:tcW w:w="896" w:type="dxa"/>
                            <w:tcBorders>
                              <w:top w:val="single" w:sz="4" w:space="0" w:color="auto"/>
                              <w:left w:val="single" w:sz="4" w:space="0" w:color="auto"/>
                              <w:bottom w:val="single" w:sz="4" w:space="0" w:color="auto"/>
                              <w:right w:val="double" w:sz="4" w:space="0" w:color="auto"/>
                              <w:tl2br w:val="single" w:sz="4" w:space="0" w:color="auto"/>
                            </w:tcBorders>
                            <w:shd w:val="clear" w:color="auto" w:fill="auto"/>
                          </w:tcPr>
                          <w:p w14:paraId="7C4B4966"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p>
                        </w:tc>
                        <w:tc>
                          <w:tcPr>
                            <w:tcW w:w="624" w:type="dxa"/>
                            <w:tcBorders>
                              <w:top w:val="nil"/>
                              <w:left w:val="double" w:sz="4" w:space="0" w:color="auto"/>
                              <w:bottom w:val="single" w:sz="4" w:space="0" w:color="auto"/>
                              <w:right w:val="single" w:sz="4" w:space="0" w:color="auto"/>
                            </w:tcBorders>
                            <w:shd w:val="clear" w:color="auto" w:fill="auto"/>
                            <w:vAlign w:val="bottom"/>
                            <w:hideMark/>
                          </w:tcPr>
                          <w:p w14:paraId="6F4BD1DA"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17</w:t>
                            </w:r>
                          </w:p>
                        </w:tc>
                        <w:tc>
                          <w:tcPr>
                            <w:tcW w:w="644" w:type="dxa"/>
                            <w:tcBorders>
                              <w:top w:val="nil"/>
                              <w:left w:val="nil"/>
                              <w:bottom w:val="single" w:sz="4" w:space="0" w:color="auto"/>
                              <w:right w:val="single" w:sz="4" w:space="0" w:color="auto"/>
                            </w:tcBorders>
                            <w:shd w:val="clear" w:color="auto" w:fill="auto"/>
                            <w:vAlign w:val="bottom"/>
                            <w:hideMark/>
                          </w:tcPr>
                          <w:p w14:paraId="4ABE8584"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cs="Arial" w:hint="eastAsia"/>
                                <w:color w:val="000000"/>
                                <w:sz w:val="20"/>
                                <w:szCs w:val="20"/>
                              </w:rPr>
                              <w:t>102</w:t>
                            </w:r>
                          </w:p>
                        </w:tc>
                        <w:tc>
                          <w:tcPr>
                            <w:tcW w:w="728" w:type="dxa"/>
                            <w:tcBorders>
                              <w:top w:val="nil"/>
                              <w:left w:val="single" w:sz="4" w:space="0" w:color="auto"/>
                              <w:bottom w:val="single" w:sz="4" w:space="0" w:color="auto"/>
                              <w:right w:val="single" w:sz="4" w:space="0" w:color="auto"/>
                            </w:tcBorders>
                            <w:shd w:val="clear" w:color="auto" w:fill="auto"/>
                            <w:vAlign w:val="bottom"/>
                            <w:hideMark/>
                          </w:tcPr>
                          <w:p w14:paraId="0A14F365" w14:textId="77777777" w:rsidR="007B1B13" w:rsidRDefault="007B1B13">
                            <w:pPr>
                              <w:widowControl/>
                              <w:snapToGrid w:val="0"/>
                              <w:spacing w:line="220" w:lineRule="exact"/>
                              <w:ind w:rightChars="15" w:right="36"/>
                              <w:jc w:val="right"/>
                              <w:rPr>
                                <w:rFonts w:ascii="標楷體" w:eastAsia="標楷體" w:hAnsi="標楷體" w:cs="Times New Roman"/>
                                <w:color w:val="000000"/>
                                <w:sz w:val="20"/>
                                <w:szCs w:val="20"/>
                              </w:rPr>
                            </w:pPr>
                            <w:r>
                              <w:rPr>
                                <w:rFonts w:ascii="標楷體" w:eastAsia="標楷體" w:hAnsi="標楷體" w:cs="Arial" w:hint="eastAsia"/>
                                <w:color w:val="000000"/>
                                <w:sz w:val="20"/>
                                <w:szCs w:val="20"/>
                              </w:rPr>
                              <w:t>17</w:t>
                            </w:r>
                          </w:p>
                        </w:tc>
                        <w:tc>
                          <w:tcPr>
                            <w:tcW w:w="854" w:type="dxa"/>
                            <w:tcBorders>
                              <w:top w:val="nil"/>
                              <w:left w:val="nil"/>
                              <w:bottom w:val="single" w:sz="4" w:space="0" w:color="auto"/>
                              <w:right w:val="single" w:sz="4" w:space="0" w:color="auto"/>
                            </w:tcBorders>
                            <w:shd w:val="clear" w:color="auto" w:fill="auto"/>
                            <w:vAlign w:val="bottom"/>
                            <w:hideMark/>
                          </w:tcPr>
                          <w:p w14:paraId="60CA2662" w14:textId="77777777" w:rsidR="007B1B13" w:rsidRDefault="007B1B13">
                            <w:pPr>
                              <w:widowControl/>
                              <w:snapToGrid w:val="0"/>
                              <w:spacing w:line="220" w:lineRule="exact"/>
                              <w:ind w:rightChars="15" w:right="36"/>
                              <w:jc w:val="right"/>
                              <w:rPr>
                                <w:rFonts w:ascii="標楷體" w:eastAsia="標楷體" w:hAnsi="標楷體"/>
                                <w:color w:val="000000"/>
                                <w:sz w:val="20"/>
                                <w:szCs w:val="20"/>
                              </w:rPr>
                            </w:pPr>
                            <w:r>
                              <w:rPr>
                                <w:rFonts w:ascii="標楷體" w:eastAsia="標楷體" w:hAnsi="標楷體" w:cs="Arial" w:hint="eastAsia"/>
                                <w:color w:val="000000"/>
                                <w:sz w:val="20"/>
                                <w:szCs w:val="20"/>
                              </w:rPr>
                              <w:t>102</w:t>
                            </w:r>
                          </w:p>
                        </w:tc>
                        <w:tc>
                          <w:tcPr>
                            <w:tcW w:w="102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62F5C63" w14:textId="77777777" w:rsidR="007B1B13" w:rsidRDefault="007B1B13">
                            <w:pPr>
                              <w:widowControl/>
                              <w:snapToGrid w:val="0"/>
                              <w:spacing w:line="220" w:lineRule="exact"/>
                              <w:ind w:rightChars="15" w:right="36"/>
                              <w:jc w:val="right"/>
                              <w:rPr>
                                <w:rFonts w:ascii="標楷體" w:eastAsia="標楷體" w:hAnsi="標楷體" w:cs="Arial"/>
                                <w:color w:val="000000"/>
                                <w:sz w:val="20"/>
                                <w:szCs w:val="20"/>
                              </w:rPr>
                            </w:pPr>
                            <w:r>
                              <w:rPr>
                                <w:rFonts w:ascii="標楷體" w:eastAsia="標楷體" w:hAnsi="標楷體" w:hint="eastAsia"/>
                                <w:color w:val="000000"/>
                                <w:sz w:val="20"/>
                                <w:szCs w:val="20"/>
                              </w:rPr>
                              <w:t>－</w:t>
                            </w:r>
                          </w:p>
                        </w:tc>
                      </w:tr>
                    </w:tbl>
                    <w:p w14:paraId="4504EE61" w14:textId="77777777" w:rsidR="007B1B13" w:rsidRDefault="007B1B13" w:rsidP="007B1B13">
                      <w:pPr>
                        <w:snapToGrid w:val="0"/>
                        <w:spacing w:line="200" w:lineRule="exact"/>
                        <w:ind w:left="495" w:hangingChars="275" w:hanging="495"/>
                        <w:rPr>
                          <w:rFonts w:ascii="標楷體" w:eastAsia="標楷體" w:hAnsi="標楷體" w:cs="Times New Roman"/>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：1.資料統計時點：113年8月底。</w:t>
                      </w:r>
                    </w:p>
                    <w:p w14:paraId="6939E630" w14:textId="77777777" w:rsidR="007B1B13" w:rsidRDefault="007B1B13" w:rsidP="007B1B13">
                      <w:pPr>
                        <w:snapToGrid w:val="0"/>
                        <w:spacing w:line="200" w:lineRule="exact"/>
                        <w:ind w:firstLineChars="200" w:firstLine="360"/>
                        <w:rPr>
                          <w:rFonts w:ascii="標楷體" w:eastAsia="標楷體" w:hAnsi="標楷體"/>
                          <w:sz w:val="18"/>
                          <w:szCs w:val="18"/>
                        </w:rPr>
                      </w:pPr>
                      <w:r>
                        <w:rPr>
                          <w:rFonts w:ascii="標楷體" w:eastAsia="標楷體" w:hAnsi="標楷體" w:hint="eastAsia"/>
                          <w:sz w:val="18"/>
                          <w:szCs w:val="18"/>
                        </w:rPr>
                        <w:t>2.新北市設有3處服務據點，服務對象限於臺北市民。</w:t>
                      </w:r>
                    </w:p>
                    <w:p w14:paraId="6D40AF4E" w14:textId="77777777" w:rsidR="007B1B13" w:rsidRDefault="007B1B13" w:rsidP="007B1B13">
                      <w:pPr>
                        <w:snapToGrid w:val="0"/>
                        <w:spacing w:line="200" w:lineRule="exact"/>
                        <w:ind w:leftChars="150" w:left="540" w:hangingChars="100" w:hanging="180"/>
                        <w:rPr>
                          <w:rFonts w:ascii="標楷體" w:eastAsia="標楷體" w:hAnsi="標楷體"/>
                          <w:sz w:val="18"/>
                          <w:szCs w:val="18"/>
                        </w:rPr>
                      </w:pPr>
                      <w:r>
                        <w:rPr>
                          <w:rFonts w:ascii="標楷體" w:eastAsia="標楷體" w:hAnsi="標楷體" w:hint="eastAsia"/>
                          <w:sz w:val="18"/>
                          <w:szCs w:val="18"/>
                        </w:rPr>
                        <w:t>3.表內「▲</w:t>
                      </w:r>
                      <w:r>
                        <w:rPr>
                          <w:rFonts w:ascii="新細明體" w:hAnsi="新細明體" w:hint="eastAsia"/>
                          <w:sz w:val="18"/>
                          <w:szCs w:val="18"/>
                        </w:rPr>
                        <w:t>」</w:t>
                      </w:r>
                      <w:r>
                        <w:rPr>
                          <w:rFonts w:ascii="標楷體" w:eastAsia="標楷體" w:hAnsi="標楷體" w:hint="eastAsia"/>
                          <w:sz w:val="18"/>
                          <w:szCs w:val="18"/>
                        </w:rPr>
                        <w:t>代表服務涵蓋率最低者；「◎</w:t>
                      </w:r>
                      <w:r>
                        <w:rPr>
                          <w:rFonts w:ascii="新細明體" w:hAnsi="新細明體" w:hint="eastAsia"/>
                          <w:sz w:val="18"/>
                          <w:szCs w:val="18"/>
                        </w:rPr>
                        <w:t>」</w:t>
                      </w:r>
                      <w:r>
                        <w:rPr>
                          <w:rFonts w:ascii="標楷體" w:eastAsia="標楷體" w:hAnsi="標楷體" w:hint="eastAsia"/>
                          <w:sz w:val="18"/>
                          <w:szCs w:val="18"/>
                        </w:rPr>
                        <w:t>代表服務涵蓋率最高者。</w:t>
                      </w:r>
                    </w:p>
                    <w:p w14:paraId="65922471" w14:textId="77777777" w:rsidR="007B1B13" w:rsidRDefault="007B1B13" w:rsidP="007B1B13">
                      <w:pPr>
                        <w:snapToGrid w:val="0"/>
                        <w:spacing w:line="200" w:lineRule="exact"/>
                        <w:ind w:leftChars="150" w:left="540" w:hangingChars="100" w:hanging="180"/>
                        <w:rPr>
                          <w:rFonts w:ascii="標楷體" w:eastAsia="標楷體" w:hAnsi="標楷體"/>
                          <w:sz w:val="18"/>
                          <w:szCs w:val="18"/>
                        </w:rPr>
                      </w:pPr>
                      <w:r>
                        <w:rPr>
                          <w:rFonts w:ascii="標楷體" w:eastAsia="標楷體" w:hAnsi="標楷體" w:hint="eastAsia"/>
                          <w:sz w:val="18"/>
                          <w:szCs w:val="18"/>
                        </w:rPr>
                        <w:t>4.資料來源：整理自社會局提供資料。</w:t>
                      </w:r>
                    </w:p>
                  </w:txbxContent>
                </v:textbox>
                <w10:wrap type="square" anchorx="margin" anchory="margin"/>
              </v:shape>
            </w:pict>
          </mc:Fallback>
        </mc:AlternateContent>
      </w:r>
      <w:proofErr w:type="gramStart"/>
      <w:r w:rsidR="007B1B13">
        <w:rPr>
          <w:rFonts w:ascii="標楷體" w:eastAsia="標楷體" w:hAnsi="標楷體" w:cs="細明體" w:hint="eastAsia"/>
          <w:kern w:val="0"/>
        </w:rPr>
        <w:t>務）</w:t>
      </w:r>
      <w:proofErr w:type="gramEnd"/>
      <w:r w:rsidR="007B1B13">
        <w:rPr>
          <w:rFonts w:ascii="標楷體" w:eastAsia="標楷體" w:hAnsi="標楷體" w:cs="細明體" w:hint="eastAsia"/>
          <w:kern w:val="0"/>
        </w:rPr>
        <w:t>量能擴增至2,698人，預計整體服務涵蓋率可提升至現階段需求人數之78.04％，</w:t>
      </w:r>
      <w:proofErr w:type="gramStart"/>
      <w:r w:rsidR="007B1B13">
        <w:rPr>
          <w:rFonts w:ascii="標楷體" w:eastAsia="標楷體" w:hAnsi="標楷體" w:cs="細明體" w:hint="eastAsia"/>
          <w:kern w:val="0"/>
        </w:rPr>
        <w:t>惟查前</w:t>
      </w:r>
      <w:proofErr w:type="gramEnd"/>
      <w:r w:rsidR="007B1B13">
        <w:rPr>
          <w:rFonts w:ascii="標楷體" w:eastAsia="標楷體" w:hAnsi="標楷體" w:cs="細明體" w:hint="eastAsia"/>
          <w:kern w:val="0"/>
        </w:rPr>
        <w:t>開服</w:t>
      </w:r>
    </w:p>
    <w:p w14:paraId="5DF15DE4" w14:textId="76660AF1" w:rsidR="007B1B13" w:rsidRDefault="007B1B13" w:rsidP="00323817">
      <w:pPr>
        <w:overflowPunct w:val="0"/>
        <w:autoSpaceDE w:val="0"/>
        <w:autoSpaceDN w:val="0"/>
        <w:adjustRightInd w:val="0"/>
        <w:spacing w:line="440" w:lineRule="exact"/>
        <w:jc w:val="both"/>
        <w:rPr>
          <w:rFonts w:ascii="標楷體" w:eastAsia="標楷體" w:hAnsi="標楷體" w:cs="細明體"/>
          <w:kern w:val="0"/>
          <w:szCs w:val="24"/>
        </w:rPr>
      </w:pPr>
      <w:proofErr w:type="gramStart"/>
      <w:r>
        <w:rPr>
          <w:rFonts w:ascii="標楷體" w:eastAsia="標楷體" w:hAnsi="標楷體" w:cs="細明體" w:hint="eastAsia"/>
          <w:kern w:val="0"/>
        </w:rPr>
        <w:t>務</w:t>
      </w:r>
      <w:proofErr w:type="gramEnd"/>
      <w:r>
        <w:rPr>
          <w:rFonts w:ascii="標楷體" w:eastAsia="標楷體" w:hAnsi="標楷體" w:cs="細明體" w:hint="eastAsia"/>
          <w:kern w:val="0"/>
        </w:rPr>
        <w:t>資源布建完成後，南港區等7個區域之服務量能依舊低於整體服務涵蓋率，另中山區及中正區卻有供過於求之情事（表3），顯未能有效改善身障者跨區使用服務問題，並衍生資源豐沛地區未來經營風險；2.該局為提供18歲以上心智障礙者獨立生活服務，期透過生活自理、家事訓練及財務管理等課程，協助其獨立於社區生活，</w:t>
      </w:r>
      <w:proofErr w:type="gramStart"/>
      <w:r>
        <w:rPr>
          <w:rFonts w:ascii="標楷體" w:eastAsia="標楷體" w:hAnsi="標楷體" w:cs="細明體" w:hint="eastAsia"/>
          <w:kern w:val="0"/>
        </w:rPr>
        <w:t>113</w:t>
      </w:r>
      <w:proofErr w:type="gramEnd"/>
      <w:r>
        <w:rPr>
          <w:rFonts w:ascii="標楷體" w:eastAsia="標楷體" w:hAnsi="標楷體" w:cs="細明體" w:hint="eastAsia"/>
          <w:kern w:val="0"/>
        </w:rPr>
        <w:t>年度</w:t>
      </w:r>
      <w:proofErr w:type="gramStart"/>
      <w:r>
        <w:rPr>
          <w:rFonts w:ascii="標楷體" w:eastAsia="標楷體" w:hAnsi="標楷體" w:cs="細明體" w:hint="eastAsia"/>
          <w:kern w:val="0"/>
        </w:rPr>
        <w:t>持續匡列預算</w:t>
      </w:r>
      <w:proofErr w:type="gramEnd"/>
      <w:r>
        <w:rPr>
          <w:rFonts w:ascii="標楷體" w:eastAsia="標楷體" w:hAnsi="標楷體" w:cs="細明體" w:hint="eastAsia"/>
          <w:kern w:val="0"/>
        </w:rPr>
        <w:t>2,923萬餘元，委託辦理身障者社區居住家園實施計畫，主要服務項目，包含居住環境之規劃、個別化生活支持規劃及健康管理等8項服務，截至113年8月底止，已委託7家民間團體開辦15處社區居住家園。經查該局於擬訂前開實施計畫時，雖已規範各受託單位應達成「協助成年身障者有機會獨立生活於社區中，擁有居住平等與融合社會之權利」、「輔助成年身障者提升生活自理能力，促進家庭關係，使其能回歸家庭生活」等2項目標，惟未針對廠商提供前開8項服務內容，酌予</w:t>
      </w:r>
      <w:proofErr w:type="gramStart"/>
      <w:r>
        <w:rPr>
          <w:rFonts w:ascii="標楷體" w:eastAsia="標楷體" w:hAnsi="標楷體" w:cs="細明體" w:hint="eastAsia"/>
          <w:kern w:val="0"/>
        </w:rPr>
        <w:t>研</w:t>
      </w:r>
      <w:proofErr w:type="gramEnd"/>
      <w:r>
        <w:rPr>
          <w:rFonts w:ascii="標楷體" w:eastAsia="標楷體" w:hAnsi="標楷體" w:cs="細明體" w:hint="eastAsia"/>
          <w:kern w:val="0"/>
        </w:rPr>
        <w:t>訂量化衡量指標；且因廠商每年依前開實施計畫規定所提出之工作計畫內容，對於「個別化生活支持規劃」等6服務項目之辦理方式，</w:t>
      </w:r>
      <w:proofErr w:type="gramStart"/>
      <w:r>
        <w:rPr>
          <w:rFonts w:ascii="標楷體" w:eastAsia="標楷體" w:hAnsi="標楷體" w:cs="細明體" w:hint="eastAsia"/>
          <w:kern w:val="0"/>
        </w:rPr>
        <w:t>間有未</w:t>
      </w:r>
      <w:proofErr w:type="gramEnd"/>
      <w:r>
        <w:rPr>
          <w:rFonts w:ascii="標楷體" w:eastAsia="標楷體" w:hAnsi="標楷體" w:cs="細明體" w:hint="eastAsia"/>
          <w:kern w:val="0"/>
        </w:rPr>
        <w:t>敘明各項服務工作之執行內容或辦理頻率，或有各受託單位執行同一服務之工作內容差異甚大，致有難以考核及分析比較各受託單位辦理計畫之成效等情事，經函請注意</w:t>
      </w:r>
      <w:proofErr w:type="gramStart"/>
      <w:r>
        <w:rPr>
          <w:rFonts w:ascii="標楷體" w:eastAsia="標楷體" w:hAnsi="標楷體" w:cs="細明體" w:hint="eastAsia"/>
          <w:kern w:val="0"/>
        </w:rPr>
        <w:t>研</w:t>
      </w:r>
      <w:proofErr w:type="gramEnd"/>
      <w:r>
        <w:rPr>
          <w:rFonts w:ascii="標楷體" w:eastAsia="標楷體" w:hAnsi="標楷體" w:cs="細明體" w:hint="eastAsia"/>
          <w:kern w:val="0"/>
        </w:rPr>
        <w:t>謀改善。據復：1.經考量臺北市土地取得成本、建物新建成本高，且身障服務設施相較於其他公共服務資源，仍屬較易受到排擠與鄰避效應影響之設施，又各行政區之區域界線，亦因多元便捷之交通運輸方式而淡化等情，後續將綜合評估適當</w:t>
      </w:r>
      <w:proofErr w:type="gramStart"/>
      <w:r>
        <w:rPr>
          <w:rFonts w:ascii="標楷體" w:eastAsia="標楷體" w:hAnsi="標楷體" w:cs="細明體" w:hint="eastAsia"/>
          <w:kern w:val="0"/>
        </w:rPr>
        <w:t>場域並結合</w:t>
      </w:r>
      <w:proofErr w:type="gramEnd"/>
      <w:r>
        <w:rPr>
          <w:rFonts w:ascii="標楷體" w:eastAsia="標楷體" w:hAnsi="標楷體" w:cs="細明體" w:hint="eastAsia"/>
          <w:kern w:val="0"/>
        </w:rPr>
        <w:t>交通服務，及兼顧布建成本情況下，持續</w:t>
      </w:r>
      <w:proofErr w:type="gramStart"/>
      <w:r>
        <w:rPr>
          <w:rFonts w:ascii="標楷體" w:eastAsia="標楷體" w:hAnsi="標楷體" w:cs="細明體" w:hint="eastAsia"/>
          <w:kern w:val="0"/>
        </w:rPr>
        <w:t>充實身</w:t>
      </w:r>
      <w:proofErr w:type="gramEnd"/>
      <w:r>
        <w:rPr>
          <w:rFonts w:ascii="標楷體" w:eastAsia="標楷體" w:hAnsi="標楷體" w:cs="細明體" w:hint="eastAsia"/>
          <w:kern w:val="0"/>
        </w:rPr>
        <w:t>障服務量能；2.經檢討本案服務工作內容具高度個別化特性，後續將歸納各式個別化服務之性質，</w:t>
      </w:r>
      <w:proofErr w:type="gramStart"/>
      <w:r>
        <w:rPr>
          <w:rFonts w:ascii="標楷體" w:eastAsia="標楷體" w:hAnsi="標楷體" w:cs="細明體" w:hint="eastAsia"/>
          <w:kern w:val="0"/>
        </w:rPr>
        <w:t>研</w:t>
      </w:r>
      <w:proofErr w:type="gramEnd"/>
      <w:r>
        <w:rPr>
          <w:rFonts w:ascii="標楷體" w:eastAsia="標楷體" w:hAnsi="標楷體" w:cs="細明體" w:hint="eastAsia"/>
          <w:kern w:val="0"/>
        </w:rPr>
        <w:t>議於年度工作計畫中呈現辦理目標</w:t>
      </w:r>
      <w:r>
        <w:rPr>
          <w:rFonts w:ascii="新細明體" w:hAnsi="新細明體" w:cs="細明體" w:hint="eastAsia"/>
          <w:kern w:val="0"/>
        </w:rPr>
        <w:t>。</w:t>
      </w:r>
    </w:p>
    <w:p w14:paraId="0FABDB62" w14:textId="77777777" w:rsidR="007B1B13" w:rsidRDefault="007B1B13" w:rsidP="00C072DE">
      <w:pPr>
        <w:pStyle w:val="a7"/>
        <w:widowControl w:val="0"/>
        <w:spacing w:beforeLines="50" w:before="180" w:after="0" w:line="470" w:lineRule="exact"/>
        <w:ind w:firstLineChars="100" w:firstLine="288"/>
        <w:rPr>
          <w:b/>
          <w:spacing w:val="4"/>
          <w:sz w:val="28"/>
          <w:szCs w:val="28"/>
        </w:rPr>
      </w:pPr>
      <w:r>
        <w:rPr>
          <w:rFonts w:hAnsi="標楷體" w:hint="eastAsia"/>
          <w:b/>
          <w:spacing w:val="4"/>
          <w:sz w:val="28"/>
          <w:szCs w:val="28"/>
        </w:rPr>
        <w:lastRenderedPageBreak/>
        <w:t>（三）為提供受</w:t>
      </w:r>
      <w:proofErr w:type="gramStart"/>
      <w:r>
        <w:rPr>
          <w:rFonts w:hAnsi="標楷體" w:hint="eastAsia"/>
          <w:b/>
          <w:spacing w:val="4"/>
          <w:sz w:val="28"/>
          <w:szCs w:val="28"/>
        </w:rPr>
        <w:t>虐</w:t>
      </w:r>
      <w:proofErr w:type="gramEnd"/>
      <w:r>
        <w:rPr>
          <w:rFonts w:hAnsi="標楷體" w:hint="eastAsia"/>
          <w:b/>
          <w:spacing w:val="4"/>
          <w:sz w:val="28"/>
          <w:szCs w:val="28"/>
        </w:rPr>
        <w:t>或</w:t>
      </w:r>
      <w:proofErr w:type="gramStart"/>
      <w:r>
        <w:rPr>
          <w:rFonts w:hAnsi="標楷體" w:hint="eastAsia"/>
          <w:b/>
          <w:spacing w:val="4"/>
          <w:sz w:val="28"/>
          <w:szCs w:val="28"/>
        </w:rPr>
        <w:t>失家兒少適</w:t>
      </w:r>
      <w:proofErr w:type="gramEnd"/>
      <w:r>
        <w:rPr>
          <w:rFonts w:hAnsi="標楷體" w:hint="eastAsia"/>
          <w:b/>
          <w:spacing w:val="4"/>
          <w:sz w:val="28"/>
          <w:szCs w:val="28"/>
        </w:rPr>
        <w:t>性替代性照顧，持續發展不同類型家外安置資源，惟寄養家庭量能呈現萎縮及主要照顧者高齡化趨勢，且部分安置處所工作人員流動率仍高等情事，有待</w:t>
      </w:r>
      <w:proofErr w:type="gramStart"/>
      <w:r>
        <w:rPr>
          <w:rFonts w:hAnsi="標楷體" w:hint="eastAsia"/>
          <w:b/>
          <w:spacing w:val="4"/>
          <w:sz w:val="28"/>
          <w:szCs w:val="28"/>
        </w:rPr>
        <w:t>研</w:t>
      </w:r>
      <w:proofErr w:type="gramEnd"/>
      <w:r>
        <w:rPr>
          <w:rFonts w:hAnsi="標楷體" w:hint="eastAsia"/>
          <w:b/>
          <w:spacing w:val="4"/>
          <w:sz w:val="28"/>
          <w:szCs w:val="28"/>
        </w:rPr>
        <w:t>謀改善。</w:t>
      </w:r>
    </w:p>
    <w:p w14:paraId="4F0BF320" w14:textId="77777777" w:rsidR="007B1B13" w:rsidRDefault="007B1B13" w:rsidP="007B1B13">
      <w:pPr>
        <w:pStyle w:val="04"/>
        <w:spacing w:before="100" w:line="440" w:lineRule="exact"/>
        <w:ind w:firstLineChars="200" w:firstLine="480"/>
        <w:rPr>
          <w:rFonts w:hAnsi="標楷體"/>
          <w:b w:val="0"/>
          <w:color w:val="000000" w:themeColor="text1"/>
          <w:sz w:val="24"/>
        </w:rPr>
      </w:pPr>
      <w:r>
        <w:rPr>
          <w:rFonts w:hAnsi="標楷體" w:hint="eastAsia"/>
          <w:b w:val="0"/>
          <w:color w:val="000000" w:themeColor="text1"/>
          <w:sz w:val="24"/>
        </w:rPr>
        <w:t>社會局為應安置受</w:t>
      </w:r>
      <w:proofErr w:type="gramStart"/>
      <w:r>
        <w:rPr>
          <w:rFonts w:hAnsi="標楷體" w:hint="eastAsia"/>
          <w:b w:val="0"/>
          <w:color w:val="000000" w:themeColor="text1"/>
          <w:sz w:val="24"/>
        </w:rPr>
        <w:t>虐</w:t>
      </w:r>
      <w:proofErr w:type="gramEnd"/>
      <w:r>
        <w:rPr>
          <w:rFonts w:hAnsi="標楷體" w:hint="eastAsia"/>
          <w:b w:val="0"/>
          <w:color w:val="000000" w:themeColor="text1"/>
          <w:sz w:val="24"/>
        </w:rPr>
        <w:t>或無依之兒童及少年，</w:t>
      </w:r>
      <w:proofErr w:type="gramStart"/>
      <w:r>
        <w:rPr>
          <w:rFonts w:hAnsi="標楷體" w:hint="eastAsia"/>
          <w:b w:val="0"/>
          <w:color w:val="000000" w:themeColor="text1"/>
          <w:sz w:val="24"/>
        </w:rPr>
        <w:t>113</w:t>
      </w:r>
      <w:proofErr w:type="gramEnd"/>
      <w:r>
        <w:rPr>
          <w:rFonts w:hAnsi="標楷體" w:hint="eastAsia"/>
          <w:b w:val="0"/>
          <w:color w:val="000000" w:themeColor="text1"/>
          <w:sz w:val="24"/>
        </w:rPr>
        <w:t>年度</w:t>
      </w:r>
      <w:proofErr w:type="gramStart"/>
      <w:r>
        <w:rPr>
          <w:rFonts w:hAnsi="標楷體" w:hint="eastAsia"/>
          <w:b w:val="0"/>
          <w:color w:val="000000" w:themeColor="text1"/>
          <w:sz w:val="24"/>
        </w:rPr>
        <w:t>賡</w:t>
      </w:r>
      <w:proofErr w:type="gramEnd"/>
      <w:r>
        <w:rPr>
          <w:rFonts w:hAnsi="標楷體" w:hint="eastAsia"/>
          <w:b w:val="0"/>
          <w:color w:val="000000" w:themeColor="text1"/>
          <w:sz w:val="24"/>
        </w:rPr>
        <w:t>續於公務預算編列1億2,510萬餘元，辦理團體家庭及寄養服務，或委託辦理兒童及少年安置及教養機構（下稱兒少安置機構）等，以建置兒少多元替代性照顧資源；並於臺北市公益彩券盈餘分配基金（下稱</w:t>
      </w:r>
      <w:r>
        <w:rPr>
          <w:rFonts w:hAnsi="標楷體" w:hint="eastAsia"/>
          <w:b w:val="0"/>
          <w:bCs/>
          <w:color w:val="000000" w:themeColor="text1"/>
          <w:sz w:val="24"/>
        </w:rPr>
        <w:t>公彩基金</w:t>
      </w:r>
      <w:r>
        <w:rPr>
          <w:rFonts w:hAnsi="標楷體" w:hint="eastAsia"/>
          <w:b w:val="0"/>
          <w:color w:val="000000" w:themeColor="text1"/>
          <w:sz w:val="24"/>
        </w:rPr>
        <w:t>）編列500萬元預算，補助臺北市兒少安置單位辦理提升照顧服務品質及健全兒童及少年身心發展計畫。據統計，截至113年12月底止，臺北市轄內設有16家兒少安置機構、6家團體家庭及77家合格寄養家庭。經查執行情形，核有下列事項：</w:t>
      </w:r>
    </w:p>
    <w:p w14:paraId="0C6A7C12" w14:textId="77777777" w:rsidR="00B22C9F" w:rsidRDefault="00F21FCC" w:rsidP="007B1B13">
      <w:pPr>
        <w:pStyle w:val="04"/>
        <w:spacing w:before="100" w:line="440" w:lineRule="exact"/>
        <w:ind w:firstLineChars="200" w:firstLine="561"/>
        <w:rPr>
          <w:rFonts w:hAnsi="標楷體"/>
          <w:b w:val="0"/>
          <w:color w:val="000000" w:themeColor="text1"/>
          <w:sz w:val="24"/>
        </w:rPr>
      </w:pPr>
      <w:r>
        <w:rPr>
          <w:rFonts w:hint="eastAsia"/>
          <w:noProof/>
        </w:rPr>
        <mc:AlternateContent>
          <mc:Choice Requires="wps">
            <w:drawing>
              <wp:anchor distT="0" distB="0" distL="114300" distR="114300" simplePos="0" relativeHeight="251751424" behindDoc="1" locked="0" layoutInCell="1" allowOverlap="1" wp14:anchorId="4FB787EB" wp14:editId="7106B85E">
                <wp:simplePos x="0" y="0"/>
                <wp:positionH relativeFrom="margin">
                  <wp:posOffset>3180715</wp:posOffset>
                </wp:positionH>
                <wp:positionV relativeFrom="paragraph">
                  <wp:posOffset>2396490</wp:posOffset>
                </wp:positionV>
                <wp:extent cx="3119120" cy="1554480"/>
                <wp:effectExtent l="0" t="0" r="0" b="0"/>
                <wp:wrapSquare wrapText="bothSides"/>
                <wp:docPr id="927419636" name="矩形 927419636"/>
                <wp:cNvGraphicFramePr/>
                <a:graphic xmlns:a="http://schemas.openxmlformats.org/drawingml/2006/main">
                  <a:graphicData uri="http://schemas.microsoft.com/office/word/2010/wordprocessingShape">
                    <wps:wsp>
                      <wps:cNvSpPr/>
                      <wps:spPr>
                        <a:xfrm>
                          <a:off x="0" y="0"/>
                          <a:ext cx="3119120" cy="1554480"/>
                        </a:xfrm>
                        <a:prstGeom prst="rect">
                          <a:avLst/>
                        </a:prstGeom>
                        <a:noFill/>
                        <a:ln w="12700" cap="flat" cmpd="sng" algn="ctr">
                          <a:noFill/>
                          <a:prstDash val="solid"/>
                          <a:miter lim="800000"/>
                        </a:ln>
                        <a:effectLst/>
                      </wps:spPr>
                      <wps:txbx>
                        <w:txbxContent>
                          <w:tbl>
                            <w:tblPr>
                              <w:tblW w:w="4678" w:type="dxa"/>
                              <w:tblCellMar>
                                <w:left w:w="28" w:type="dxa"/>
                                <w:right w:w="28" w:type="dxa"/>
                              </w:tblCellMar>
                              <w:tblLook w:val="04A0" w:firstRow="1" w:lastRow="0" w:firstColumn="1" w:lastColumn="0" w:noHBand="0" w:noVBand="1"/>
                            </w:tblPr>
                            <w:tblGrid>
                              <w:gridCol w:w="993"/>
                              <w:gridCol w:w="567"/>
                              <w:gridCol w:w="850"/>
                              <w:gridCol w:w="709"/>
                              <w:gridCol w:w="850"/>
                              <w:gridCol w:w="709"/>
                            </w:tblGrid>
                            <w:tr w:rsidR="007B1B13" w14:paraId="45C3A5A3" w14:textId="77777777">
                              <w:trPr>
                                <w:trHeight w:val="308"/>
                              </w:trPr>
                              <w:tc>
                                <w:tcPr>
                                  <w:tcW w:w="4678" w:type="dxa"/>
                                  <w:gridSpan w:val="6"/>
                                  <w:tcBorders>
                                    <w:top w:val="nil"/>
                                    <w:left w:val="nil"/>
                                    <w:bottom w:val="single" w:sz="4" w:space="0" w:color="auto"/>
                                    <w:right w:val="nil"/>
                                  </w:tcBorders>
                                  <w:hideMark/>
                                </w:tcPr>
                                <w:p w14:paraId="025DFAA4" w14:textId="24AA0FFD" w:rsidR="007B1B13" w:rsidRDefault="007B1B13">
                                  <w:pPr>
                                    <w:widowControl/>
                                    <w:spacing w:line="240" w:lineRule="exact"/>
                                    <w:jc w:val="center"/>
                                    <w:rPr>
                                      <w:rFonts w:ascii="標楷體" w:eastAsia="標楷體" w:hAnsi="標楷體" w:cs="新細明體"/>
                                      <w:b/>
                                      <w:color w:val="000000"/>
                                      <w:kern w:val="0"/>
                                    </w:rPr>
                                  </w:pPr>
                                  <w:r>
                                    <w:rPr>
                                      <w:rFonts w:ascii="標楷體" w:eastAsia="標楷體" w:hAnsi="標楷體" w:cs="新細明體" w:hint="eastAsia"/>
                                      <w:b/>
                                      <w:color w:val="000000"/>
                                      <w:kern w:val="0"/>
                                    </w:rPr>
                                    <w:t>表4</w:t>
                                  </w:r>
                                  <w:r w:rsidR="00B418C5">
                                    <w:rPr>
                                      <w:rFonts w:ascii="標楷體" w:eastAsia="標楷體" w:hAnsi="標楷體" w:cs="新細明體" w:hint="eastAsia"/>
                                      <w:b/>
                                      <w:color w:val="000000"/>
                                      <w:kern w:val="0"/>
                                    </w:rPr>
                                    <w:t xml:space="preserve">　</w:t>
                                  </w:r>
                                  <w:r>
                                    <w:rPr>
                                      <w:rFonts w:ascii="標楷體" w:eastAsia="標楷體" w:hAnsi="標楷體" w:cs="新細明體" w:hint="eastAsia"/>
                                      <w:b/>
                                      <w:color w:val="000000"/>
                                      <w:kern w:val="0"/>
                                    </w:rPr>
                                    <w:t>臺北市寄養家庭數及空床數</w:t>
                                  </w:r>
                                </w:p>
                                <w:p w14:paraId="6A652830"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單位：戶數</w:t>
                                  </w:r>
                                </w:p>
                              </w:tc>
                            </w:tr>
                            <w:tr w:rsidR="007B1B13" w14:paraId="3C17DAD8" w14:textId="77777777" w:rsidTr="00B418C5">
                              <w:trPr>
                                <w:trHeight w:val="148"/>
                              </w:trPr>
                              <w:tc>
                                <w:tcPr>
                                  <w:tcW w:w="993" w:type="dxa"/>
                                  <w:vMerge w:val="restart"/>
                                  <w:tcBorders>
                                    <w:top w:val="nil"/>
                                    <w:left w:val="single" w:sz="4" w:space="0" w:color="auto"/>
                                    <w:bottom w:val="single" w:sz="4" w:space="0" w:color="auto"/>
                                    <w:right w:val="single" w:sz="4" w:space="0" w:color="auto"/>
                                  </w:tcBorders>
                                  <w:noWrap/>
                                  <w:vAlign w:val="center"/>
                                  <w:hideMark/>
                                </w:tcPr>
                                <w:p w14:paraId="7DB633C8" w14:textId="77777777" w:rsidR="007B1B13" w:rsidRDefault="007B1B1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     度</w:t>
                                  </w:r>
                                </w:p>
                              </w:tc>
                              <w:tc>
                                <w:tcPr>
                                  <w:tcW w:w="1417" w:type="dxa"/>
                                  <w:gridSpan w:val="2"/>
                                  <w:tcBorders>
                                    <w:top w:val="nil"/>
                                    <w:left w:val="nil"/>
                                    <w:bottom w:val="single" w:sz="4" w:space="0" w:color="auto"/>
                                    <w:right w:val="single" w:sz="4" w:space="0" w:color="auto"/>
                                  </w:tcBorders>
                                  <w:noWrap/>
                                  <w:vAlign w:val="center"/>
                                  <w:hideMark/>
                                </w:tcPr>
                                <w:p w14:paraId="51ED6A21" w14:textId="77777777" w:rsidR="007B1B13" w:rsidRDefault="007B1B13">
                                  <w:pPr>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合格寄養家庭</w:t>
                                  </w:r>
                                </w:p>
                              </w:tc>
                              <w:tc>
                                <w:tcPr>
                                  <w:tcW w:w="709" w:type="dxa"/>
                                  <w:vMerge w:val="restart"/>
                                  <w:tcBorders>
                                    <w:top w:val="nil"/>
                                    <w:left w:val="single" w:sz="4" w:space="0" w:color="auto"/>
                                    <w:bottom w:val="single" w:sz="4" w:space="0" w:color="auto"/>
                                    <w:right w:val="single" w:sz="4" w:space="0" w:color="auto"/>
                                  </w:tcBorders>
                                  <w:noWrap/>
                                  <w:vAlign w:val="center"/>
                                  <w:hideMark/>
                                </w:tcPr>
                                <w:p w14:paraId="1C0D522D" w14:textId="77777777" w:rsidR="007B1B13" w:rsidRDefault="007B1B13" w:rsidP="00B418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儲備</w:t>
                                  </w:r>
                                </w:p>
                                <w:p w14:paraId="46164830" w14:textId="77777777" w:rsidR="007B1B13" w:rsidRDefault="007B1B13" w:rsidP="00B418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家庭數</w:t>
                                  </w:r>
                                </w:p>
                              </w:tc>
                              <w:tc>
                                <w:tcPr>
                                  <w:tcW w:w="850" w:type="dxa"/>
                                  <w:vMerge w:val="restart"/>
                                  <w:tcBorders>
                                    <w:top w:val="nil"/>
                                    <w:left w:val="nil"/>
                                    <w:bottom w:val="single" w:sz="4" w:space="0" w:color="auto"/>
                                    <w:right w:val="double" w:sz="4" w:space="0" w:color="auto"/>
                                  </w:tcBorders>
                                  <w:vAlign w:val="center"/>
                                  <w:hideMark/>
                                </w:tcPr>
                                <w:p w14:paraId="5FDC29FC" w14:textId="77777777" w:rsidR="007B1B13" w:rsidRDefault="007B1B13" w:rsidP="00B418C5">
                                  <w:pPr>
                                    <w:widowControl/>
                                    <w:spacing w:line="240" w:lineRule="exact"/>
                                    <w:jc w:val="center"/>
                                    <w:rPr>
                                      <w:rFonts w:ascii="標楷體" w:eastAsia="標楷體" w:hAnsi="標楷體" w:cs="Times New Roman"/>
                                      <w:color w:val="000000"/>
                                      <w:spacing w:val="-10"/>
                                      <w:sz w:val="20"/>
                                    </w:rPr>
                                  </w:pPr>
                                  <w:r>
                                    <w:rPr>
                                      <w:rFonts w:ascii="標楷體" w:eastAsia="標楷體" w:hAnsi="標楷體" w:hint="eastAsia"/>
                                      <w:color w:val="000000"/>
                                      <w:spacing w:val="-10"/>
                                      <w:sz w:val="20"/>
                                    </w:rPr>
                                    <w:t>服務中寄養家庭數</w:t>
                                  </w:r>
                                </w:p>
                              </w:tc>
                              <w:tc>
                                <w:tcPr>
                                  <w:tcW w:w="709" w:type="dxa"/>
                                  <w:vMerge w:val="restart"/>
                                  <w:tcBorders>
                                    <w:top w:val="nil"/>
                                    <w:left w:val="double" w:sz="4" w:space="0" w:color="auto"/>
                                    <w:bottom w:val="single" w:sz="4" w:space="0" w:color="auto"/>
                                    <w:right w:val="single" w:sz="4" w:space="0" w:color="auto"/>
                                  </w:tcBorders>
                                  <w:vAlign w:val="center"/>
                                  <w:hideMark/>
                                </w:tcPr>
                                <w:p w14:paraId="1C438C81" w14:textId="77777777" w:rsidR="007B1B13" w:rsidRDefault="007B1B13" w:rsidP="00B418C5">
                                  <w:pPr>
                                    <w:spacing w:line="240" w:lineRule="exact"/>
                                    <w:jc w:val="center"/>
                                    <w:rPr>
                                      <w:rFonts w:ascii="標楷體" w:eastAsia="標楷體" w:hAnsi="標楷體"/>
                                      <w:color w:val="000000"/>
                                      <w:sz w:val="20"/>
                                    </w:rPr>
                                  </w:pPr>
                                  <w:r>
                                    <w:rPr>
                                      <w:rFonts w:ascii="標楷體" w:eastAsia="標楷體" w:hAnsi="標楷體" w:hint="eastAsia"/>
                                      <w:color w:val="000000"/>
                                      <w:sz w:val="20"/>
                                    </w:rPr>
                                    <w:t>寄養</w:t>
                                  </w:r>
                                </w:p>
                                <w:p w14:paraId="6671F02D" w14:textId="77777777" w:rsidR="007B1B13" w:rsidRDefault="007B1B13" w:rsidP="00B418C5">
                                  <w:pPr>
                                    <w:spacing w:line="240" w:lineRule="exact"/>
                                    <w:jc w:val="center"/>
                                    <w:rPr>
                                      <w:rFonts w:ascii="標楷體" w:eastAsia="標楷體" w:hAnsi="標楷體"/>
                                      <w:color w:val="000000"/>
                                      <w:sz w:val="20"/>
                                    </w:rPr>
                                  </w:pPr>
                                  <w:r>
                                    <w:rPr>
                                      <w:rFonts w:ascii="標楷體" w:eastAsia="標楷體" w:hAnsi="標楷體" w:hint="eastAsia"/>
                                      <w:color w:val="000000"/>
                                      <w:sz w:val="20"/>
                                    </w:rPr>
                                    <w:t>空床位</w:t>
                                  </w:r>
                                </w:p>
                              </w:tc>
                            </w:tr>
                            <w:tr w:rsidR="007B1B13" w14:paraId="75C03415" w14:textId="77777777">
                              <w:trPr>
                                <w:trHeight w:val="380"/>
                              </w:trPr>
                              <w:tc>
                                <w:tcPr>
                                  <w:tcW w:w="0" w:type="auto"/>
                                  <w:vMerge/>
                                  <w:tcBorders>
                                    <w:top w:val="nil"/>
                                    <w:left w:val="single" w:sz="4" w:space="0" w:color="auto"/>
                                    <w:bottom w:val="single" w:sz="4" w:space="0" w:color="auto"/>
                                    <w:right w:val="single" w:sz="4" w:space="0" w:color="auto"/>
                                  </w:tcBorders>
                                  <w:vAlign w:val="center"/>
                                  <w:hideMark/>
                                </w:tcPr>
                                <w:p w14:paraId="7A336AE7" w14:textId="77777777" w:rsidR="007B1B13" w:rsidRDefault="007B1B13">
                                  <w:pPr>
                                    <w:widowControl/>
                                    <w:rPr>
                                      <w:rFonts w:ascii="標楷體" w:eastAsia="標楷體" w:hAnsi="標楷體" w:cs="新細明體"/>
                                      <w:color w:val="000000"/>
                                      <w:kern w:val="0"/>
                                      <w:sz w:val="20"/>
                                      <w:szCs w:val="24"/>
                                    </w:rPr>
                                  </w:pPr>
                                </w:p>
                              </w:tc>
                              <w:tc>
                                <w:tcPr>
                                  <w:tcW w:w="567" w:type="dxa"/>
                                  <w:tcBorders>
                                    <w:top w:val="single" w:sz="4" w:space="0" w:color="auto"/>
                                    <w:left w:val="nil"/>
                                    <w:bottom w:val="single" w:sz="4" w:space="0" w:color="auto"/>
                                    <w:right w:val="single" w:sz="4" w:space="0" w:color="auto"/>
                                  </w:tcBorders>
                                  <w:noWrap/>
                                  <w:vAlign w:val="center"/>
                                  <w:hideMark/>
                                </w:tcPr>
                                <w:p w14:paraId="21992957" w14:textId="77777777" w:rsidR="007B1B13" w:rsidRDefault="007B1B13">
                                  <w:pPr>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戶數</w:t>
                                  </w:r>
                                </w:p>
                              </w:tc>
                              <w:tc>
                                <w:tcPr>
                                  <w:tcW w:w="850" w:type="dxa"/>
                                  <w:tcBorders>
                                    <w:top w:val="single" w:sz="4" w:space="0" w:color="auto"/>
                                    <w:left w:val="nil"/>
                                    <w:bottom w:val="single" w:sz="4" w:space="0" w:color="auto"/>
                                    <w:right w:val="single" w:sz="4" w:space="0" w:color="auto"/>
                                  </w:tcBorders>
                                  <w:vAlign w:val="center"/>
                                  <w:hideMark/>
                                </w:tcPr>
                                <w:p w14:paraId="0BD3A72E" w14:textId="77777777" w:rsidR="007B1B13" w:rsidRDefault="007B1B13">
                                  <w:pPr>
                                    <w:widowControl/>
                                    <w:spacing w:line="240" w:lineRule="exact"/>
                                    <w:jc w:val="center"/>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最高可收</w:t>
                                  </w:r>
                                </w:p>
                                <w:p w14:paraId="51C14881" w14:textId="77777777" w:rsidR="007B1B13" w:rsidRDefault="007B1B13">
                                  <w:pPr>
                                    <w:widowControl/>
                                    <w:spacing w:line="240" w:lineRule="exact"/>
                                    <w:ind w:leftChars="20" w:left="48" w:rightChars="20" w:right="48"/>
                                    <w:jc w:val="center"/>
                                    <w:rPr>
                                      <w:rFonts w:ascii="標楷體" w:eastAsia="標楷體" w:hAnsi="標楷體" w:cs="新細明體"/>
                                      <w:color w:val="000000"/>
                                      <w:kern w:val="0"/>
                                      <w:sz w:val="20"/>
                                    </w:rPr>
                                  </w:pPr>
                                  <w:r>
                                    <w:rPr>
                                      <w:rFonts w:ascii="標楷體" w:eastAsia="標楷體" w:hAnsi="標楷體" w:cs="新細明體" w:hint="eastAsia"/>
                                      <w:color w:val="000000"/>
                                      <w:spacing w:val="-20"/>
                                      <w:kern w:val="0"/>
                                      <w:sz w:val="20"/>
                                    </w:rPr>
                                    <w:t>床 位 數</w:t>
                                  </w:r>
                                </w:p>
                              </w:tc>
                              <w:tc>
                                <w:tcPr>
                                  <w:tcW w:w="0" w:type="auto"/>
                                  <w:vMerge/>
                                  <w:tcBorders>
                                    <w:top w:val="nil"/>
                                    <w:left w:val="single" w:sz="4" w:space="0" w:color="auto"/>
                                    <w:bottom w:val="single" w:sz="4" w:space="0" w:color="auto"/>
                                    <w:right w:val="single" w:sz="4" w:space="0" w:color="auto"/>
                                  </w:tcBorders>
                                  <w:vAlign w:val="center"/>
                                  <w:hideMark/>
                                </w:tcPr>
                                <w:p w14:paraId="7F0770EC" w14:textId="77777777" w:rsidR="007B1B13" w:rsidRDefault="007B1B13">
                                  <w:pPr>
                                    <w:widowControl/>
                                    <w:rPr>
                                      <w:rFonts w:ascii="標楷體" w:eastAsia="標楷體" w:hAnsi="標楷體" w:cs="新細明體"/>
                                      <w:color w:val="000000"/>
                                      <w:kern w:val="0"/>
                                      <w:sz w:val="20"/>
                                      <w:szCs w:val="24"/>
                                    </w:rPr>
                                  </w:pPr>
                                </w:p>
                              </w:tc>
                              <w:tc>
                                <w:tcPr>
                                  <w:tcW w:w="0" w:type="auto"/>
                                  <w:vMerge/>
                                  <w:tcBorders>
                                    <w:top w:val="nil"/>
                                    <w:left w:val="nil"/>
                                    <w:bottom w:val="single" w:sz="4" w:space="0" w:color="auto"/>
                                    <w:right w:val="double" w:sz="4" w:space="0" w:color="auto"/>
                                  </w:tcBorders>
                                  <w:vAlign w:val="center"/>
                                  <w:hideMark/>
                                </w:tcPr>
                                <w:p w14:paraId="5B841BCC" w14:textId="77777777" w:rsidR="007B1B13" w:rsidRDefault="007B1B13">
                                  <w:pPr>
                                    <w:widowControl/>
                                    <w:rPr>
                                      <w:rFonts w:ascii="標楷體" w:eastAsia="標楷體" w:hAnsi="標楷體"/>
                                      <w:color w:val="000000"/>
                                      <w:spacing w:val="-10"/>
                                      <w:sz w:val="20"/>
                                      <w:szCs w:val="24"/>
                                    </w:rPr>
                                  </w:pPr>
                                </w:p>
                              </w:tc>
                              <w:tc>
                                <w:tcPr>
                                  <w:tcW w:w="0" w:type="auto"/>
                                  <w:vMerge/>
                                  <w:tcBorders>
                                    <w:top w:val="nil"/>
                                    <w:left w:val="double" w:sz="4" w:space="0" w:color="auto"/>
                                    <w:bottom w:val="single" w:sz="4" w:space="0" w:color="auto"/>
                                    <w:right w:val="single" w:sz="4" w:space="0" w:color="auto"/>
                                  </w:tcBorders>
                                  <w:vAlign w:val="center"/>
                                  <w:hideMark/>
                                </w:tcPr>
                                <w:p w14:paraId="762B49EE" w14:textId="77777777" w:rsidR="007B1B13" w:rsidRDefault="007B1B13">
                                  <w:pPr>
                                    <w:widowControl/>
                                    <w:rPr>
                                      <w:rFonts w:ascii="標楷體" w:eastAsia="標楷體" w:hAnsi="標楷體"/>
                                      <w:color w:val="000000"/>
                                      <w:sz w:val="20"/>
                                      <w:szCs w:val="24"/>
                                    </w:rPr>
                                  </w:pPr>
                                </w:p>
                              </w:tc>
                            </w:tr>
                            <w:tr w:rsidR="007B1B13" w14:paraId="722ECA6F" w14:textId="77777777">
                              <w:trPr>
                                <w:trHeight w:val="227"/>
                              </w:trPr>
                              <w:tc>
                                <w:tcPr>
                                  <w:tcW w:w="993" w:type="dxa"/>
                                  <w:tcBorders>
                                    <w:top w:val="nil"/>
                                    <w:left w:val="single" w:sz="4" w:space="0" w:color="auto"/>
                                    <w:bottom w:val="single" w:sz="4" w:space="0" w:color="auto"/>
                                    <w:right w:val="single" w:sz="4" w:space="0" w:color="auto"/>
                                  </w:tcBorders>
                                  <w:noWrap/>
                                  <w:vAlign w:val="center"/>
                                  <w:hideMark/>
                                </w:tcPr>
                                <w:p w14:paraId="699AF6F2" w14:textId="77777777" w:rsidR="007B1B13" w:rsidRDefault="007B1B13">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111年底</w:t>
                                  </w:r>
                                </w:p>
                              </w:tc>
                              <w:tc>
                                <w:tcPr>
                                  <w:tcW w:w="567" w:type="dxa"/>
                                  <w:tcBorders>
                                    <w:top w:val="nil"/>
                                    <w:left w:val="nil"/>
                                    <w:bottom w:val="single" w:sz="4" w:space="0" w:color="auto"/>
                                    <w:right w:val="single" w:sz="4" w:space="0" w:color="auto"/>
                                  </w:tcBorders>
                                  <w:noWrap/>
                                  <w:vAlign w:val="center"/>
                                  <w:hideMark/>
                                </w:tcPr>
                                <w:p w14:paraId="7900A2B6"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120</w:t>
                                  </w:r>
                                </w:p>
                              </w:tc>
                              <w:tc>
                                <w:tcPr>
                                  <w:tcW w:w="850" w:type="dxa"/>
                                  <w:tcBorders>
                                    <w:top w:val="single" w:sz="4" w:space="0" w:color="auto"/>
                                    <w:left w:val="nil"/>
                                    <w:bottom w:val="single" w:sz="4" w:space="0" w:color="auto"/>
                                    <w:right w:val="single" w:sz="4" w:space="0" w:color="auto"/>
                                  </w:tcBorders>
                                  <w:hideMark/>
                                </w:tcPr>
                                <w:p w14:paraId="286F298A"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210</w:t>
                                  </w:r>
                                </w:p>
                              </w:tc>
                              <w:tc>
                                <w:tcPr>
                                  <w:tcW w:w="709" w:type="dxa"/>
                                  <w:tcBorders>
                                    <w:top w:val="nil"/>
                                    <w:left w:val="single" w:sz="4" w:space="0" w:color="auto"/>
                                    <w:bottom w:val="single" w:sz="4" w:space="0" w:color="auto"/>
                                    <w:right w:val="single" w:sz="4" w:space="0" w:color="auto"/>
                                  </w:tcBorders>
                                  <w:noWrap/>
                                  <w:vAlign w:val="center"/>
                                  <w:hideMark/>
                                </w:tcPr>
                                <w:p w14:paraId="4B994BB4"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33</w:t>
                                  </w:r>
                                </w:p>
                              </w:tc>
                              <w:tc>
                                <w:tcPr>
                                  <w:tcW w:w="850" w:type="dxa"/>
                                  <w:tcBorders>
                                    <w:top w:val="nil"/>
                                    <w:left w:val="nil"/>
                                    <w:bottom w:val="single" w:sz="4" w:space="0" w:color="auto"/>
                                    <w:right w:val="double" w:sz="4" w:space="0" w:color="auto"/>
                                  </w:tcBorders>
                                  <w:noWrap/>
                                  <w:vAlign w:val="center"/>
                                  <w:hideMark/>
                                </w:tcPr>
                                <w:p w14:paraId="52FA178C"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87</w:t>
                                  </w:r>
                                </w:p>
                              </w:tc>
                              <w:tc>
                                <w:tcPr>
                                  <w:tcW w:w="709" w:type="dxa"/>
                                  <w:tcBorders>
                                    <w:top w:val="single" w:sz="4" w:space="0" w:color="auto"/>
                                    <w:left w:val="double" w:sz="4" w:space="0" w:color="auto"/>
                                    <w:bottom w:val="single" w:sz="4" w:space="0" w:color="auto"/>
                                    <w:right w:val="single" w:sz="4" w:space="0" w:color="auto"/>
                                  </w:tcBorders>
                                  <w:noWrap/>
                                  <w:vAlign w:val="center"/>
                                  <w:hideMark/>
                                </w:tcPr>
                                <w:p w14:paraId="5F6649EC"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r>
                            <w:tr w:rsidR="007B1B13" w14:paraId="7F315325" w14:textId="77777777">
                              <w:trPr>
                                <w:trHeight w:val="227"/>
                              </w:trPr>
                              <w:tc>
                                <w:tcPr>
                                  <w:tcW w:w="993" w:type="dxa"/>
                                  <w:tcBorders>
                                    <w:top w:val="nil"/>
                                    <w:left w:val="single" w:sz="4" w:space="0" w:color="auto"/>
                                    <w:bottom w:val="single" w:sz="4" w:space="0" w:color="auto"/>
                                    <w:right w:val="single" w:sz="4" w:space="0" w:color="auto"/>
                                  </w:tcBorders>
                                  <w:noWrap/>
                                  <w:vAlign w:val="center"/>
                                  <w:hideMark/>
                                </w:tcPr>
                                <w:p w14:paraId="0818ED27" w14:textId="77777777" w:rsidR="007B1B13" w:rsidRDefault="007B1B13">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112年底</w:t>
                                  </w:r>
                                </w:p>
                              </w:tc>
                              <w:tc>
                                <w:tcPr>
                                  <w:tcW w:w="567" w:type="dxa"/>
                                  <w:tcBorders>
                                    <w:top w:val="nil"/>
                                    <w:left w:val="nil"/>
                                    <w:bottom w:val="single" w:sz="4" w:space="0" w:color="auto"/>
                                    <w:right w:val="single" w:sz="4" w:space="0" w:color="auto"/>
                                  </w:tcBorders>
                                  <w:noWrap/>
                                  <w:vAlign w:val="center"/>
                                  <w:hideMark/>
                                </w:tcPr>
                                <w:p w14:paraId="3F4EA924"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103</w:t>
                                  </w:r>
                                </w:p>
                              </w:tc>
                              <w:tc>
                                <w:tcPr>
                                  <w:tcW w:w="850" w:type="dxa"/>
                                  <w:tcBorders>
                                    <w:top w:val="single" w:sz="4" w:space="0" w:color="auto"/>
                                    <w:left w:val="nil"/>
                                    <w:bottom w:val="single" w:sz="4" w:space="0" w:color="auto"/>
                                    <w:right w:val="single" w:sz="4" w:space="0" w:color="auto"/>
                                  </w:tcBorders>
                                  <w:hideMark/>
                                </w:tcPr>
                                <w:p w14:paraId="47BB97DB"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170</w:t>
                                  </w:r>
                                </w:p>
                              </w:tc>
                              <w:tc>
                                <w:tcPr>
                                  <w:tcW w:w="709" w:type="dxa"/>
                                  <w:tcBorders>
                                    <w:top w:val="nil"/>
                                    <w:left w:val="single" w:sz="4" w:space="0" w:color="auto"/>
                                    <w:bottom w:val="single" w:sz="4" w:space="0" w:color="auto"/>
                                    <w:right w:val="single" w:sz="4" w:space="0" w:color="auto"/>
                                  </w:tcBorders>
                                  <w:noWrap/>
                                  <w:vAlign w:val="center"/>
                                  <w:hideMark/>
                                </w:tcPr>
                                <w:p w14:paraId="02BD74DE"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37</w:t>
                                  </w:r>
                                </w:p>
                              </w:tc>
                              <w:tc>
                                <w:tcPr>
                                  <w:tcW w:w="850" w:type="dxa"/>
                                  <w:tcBorders>
                                    <w:top w:val="nil"/>
                                    <w:left w:val="nil"/>
                                    <w:bottom w:val="single" w:sz="4" w:space="0" w:color="auto"/>
                                    <w:right w:val="double" w:sz="4" w:space="0" w:color="auto"/>
                                  </w:tcBorders>
                                  <w:noWrap/>
                                  <w:vAlign w:val="center"/>
                                  <w:hideMark/>
                                </w:tcPr>
                                <w:p w14:paraId="393926FD"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66</w:t>
                                  </w:r>
                                </w:p>
                              </w:tc>
                              <w:tc>
                                <w:tcPr>
                                  <w:tcW w:w="709" w:type="dxa"/>
                                  <w:tcBorders>
                                    <w:top w:val="single" w:sz="4" w:space="0" w:color="auto"/>
                                    <w:left w:val="double" w:sz="4" w:space="0" w:color="auto"/>
                                    <w:bottom w:val="single" w:sz="4" w:space="0" w:color="auto"/>
                                    <w:right w:val="single" w:sz="4" w:space="0" w:color="auto"/>
                                  </w:tcBorders>
                                  <w:noWrap/>
                                  <w:vAlign w:val="center"/>
                                  <w:hideMark/>
                                </w:tcPr>
                                <w:p w14:paraId="6099968C"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r>
                            <w:tr w:rsidR="007B1B13" w14:paraId="36A88A64" w14:textId="77777777">
                              <w:trPr>
                                <w:trHeight w:val="227"/>
                              </w:trPr>
                              <w:tc>
                                <w:tcPr>
                                  <w:tcW w:w="993" w:type="dxa"/>
                                  <w:tcBorders>
                                    <w:top w:val="nil"/>
                                    <w:left w:val="single" w:sz="4" w:space="0" w:color="auto"/>
                                    <w:bottom w:val="single" w:sz="4" w:space="0" w:color="auto"/>
                                    <w:right w:val="single" w:sz="4" w:space="0" w:color="auto"/>
                                  </w:tcBorders>
                                  <w:noWrap/>
                                  <w:vAlign w:val="center"/>
                                  <w:hideMark/>
                                </w:tcPr>
                                <w:p w14:paraId="224FADED" w14:textId="77777777" w:rsidR="007B1B13" w:rsidRDefault="007B1B13">
                                  <w:pPr>
                                    <w:widowControl/>
                                    <w:spacing w:line="240" w:lineRule="exact"/>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113年8月底</w:t>
                                  </w:r>
                                </w:p>
                              </w:tc>
                              <w:tc>
                                <w:tcPr>
                                  <w:tcW w:w="567" w:type="dxa"/>
                                  <w:tcBorders>
                                    <w:top w:val="nil"/>
                                    <w:left w:val="nil"/>
                                    <w:bottom w:val="single" w:sz="4" w:space="0" w:color="auto"/>
                                    <w:right w:val="single" w:sz="4" w:space="0" w:color="auto"/>
                                  </w:tcBorders>
                                  <w:noWrap/>
                                  <w:vAlign w:val="center"/>
                                  <w:hideMark/>
                                </w:tcPr>
                                <w:p w14:paraId="65D01DC2"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78</w:t>
                                  </w:r>
                                </w:p>
                              </w:tc>
                              <w:tc>
                                <w:tcPr>
                                  <w:tcW w:w="850" w:type="dxa"/>
                                  <w:tcBorders>
                                    <w:top w:val="single" w:sz="4" w:space="0" w:color="auto"/>
                                    <w:left w:val="nil"/>
                                    <w:bottom w:val="single" w:sz="4" w:space="0" w:color="auto"/>
                                    <w:right w:val="single" w:sz="4" w:space="0" w:color="auto"/>
                                  </w:tcBorders>
                                  <w:hideMark/>
                                </w:tcPr>
                                <w:p w14:paraId="7C12924F"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170</w:t>
                                  </w:r>
                                </w:p>
                              </w:tc>
                              <w:tc>
                                <w:tcPr>
                                  <w:tcW w:w="709" w:type="dxa"/>
                                  <w:tcBorders>
                                    <w:top w:val="nil"/>
                                    <w:left w:val="single" w:sz="4" w:space="0" w:color="auto"/>
                                    <w:bottom w:val="single" w:sz="4" w:space="0" w:color="auto"/>
                                    <w:right w:val="single" w:sz="4" w:space="0" w:color="auto"/>
                                  </w:tcBorders>
                                  <w:noWrap/>
                                  <w:vAlign w:val="center"/>
                                  <w:hideMark/>
                                </w:tcPr>
                                <w:p w14:paraId="6F83E40C"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850" w:type="dxa"/>
                                  <w:tcBorders>
                                    <w:top w:val="nil"/>
                                    <w:left w:val="nil"/>
                                    <w:bottom w:val="single" w:sz="4" w:space="0" w:color="auto"/>
                                    <w:right w:val="double" w:sz="4" w:space="0" w:color="auto"/>
                                  </w:tcBorders>
                                  <w:noWrap/>
                                  <w:vAlign w:val="center"/>
                                  <w:hideMark/>
                                </w:tcPr>
                                <w:p w14:paraId="31D08A3C"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66</w:t>
                                  </w:r>
                                </w:p>
                              </w:tc>
                              <w:tc>
                                <w:tcPr>
                                  <w:tcW w:w="709" w:type="dxa"/>
                                  <w:tcBorders>
                                    <w:top w:val="single" w:sz="4" w:space="0" w:color="auto"/>
                                    <w:left w:val="double" w:sz="4" w:space="0" w:color="auto"/>
                                    <w:bottom w:val="single" w:sz="4" w:space="0" w:color="auto"/>
                                    <w:right w:val="single" w:sz="4" w:space="0" w:color="auto"/>
                                  </w:tcBorders>
                                  <w:noWrap/>
                                  <w:vAlign w:val="center"/>
                                  <w:hideMark/>
                                </w:tcPr>
                                <w:p w14:paraId="2853EC9A"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r>
                          </w:tbl>
                          <w:p w14:paraId="7AD1EBE0" w14:textId="77777777" w:rsidR="007B1B13" w:rsidRDefault="007B1B13" w:rsidP="007B1B13">
                            <w:pPr>
                              <w:spacing w:line="240" w:lineRule="exact"/>
                              <w:ind w:left="540" w:rightChars="47" w:right="113" w:hangingChars="300" w:hanging="540"/>
                              <w:rPr>
                                <w:rFonts w:ascii="標楷體" w:eastAsia="標楷體" w:hAnsi="標楷體" w:cs="Times New Roman"/>
                                <w:sz w:val="18"/>
                                <w:szCs w:val="18"/>
                              </w:rPr>
                            </w:pPr>
                            <w:r>
                              <w:rPr>
                                <w:rFonts w:ascii="標楷體" w:eastAsia="標楷體" w:hAnsi="標楷體" w:hint="eastAsia"/>
                                <w:color w:val="000000"/>
                                <w:sz w:val="18"/>
                                <w:szCs w:val="18"/>
                              </w:rPr>
                              <w:t>資料來源：整理自社會局提供資料。</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B787EB" id="矩形 927419636" o:spid="_x0000_s1100" style="position:absolute;left:0;text-align:left;margin-left:250.45pt;margin-top:188.7pt;width:245.6pt;height:122.4pt;z-index:-251565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" filled="f" stroked="f" strokeweight="1pt">
                <v:textbox>
                  <w:txbxContent>
                    <w:tbl>
                      <w:tblPr>
                        <w:tblW w:w="4678" w:type="dxa"/>
                        <w:tblCellMar>
                          <w:left w:w="28" w:type="dxa"/>
                          <w:right w:w="28" w:type="dxa"/>
                        </w:tblCellMar>
                        <w:tblLook w:val="04A0" w:firstRow="1" w:lastRow="0" w:firstColumn="1" w:lastColumn="0" w:noHBand="0" w:noVBand="1"/>
                      </w:tblPr>
                      <w:tblGrid>
                        <w:gridCol w:w="993"/>
                        <w:gridCol w:w="567"/>
                        <w:gridCol w:w="850"/>
                        <w:gridCol w:w="709"/>
                        <w:gridCol w:w="850"/>
                        <w:gridCol w:w="709"/>
                      </w:tblGrid>
                      <w:tr w:rsidR="007B1B13" w14:paraId="45C3A5A3" w14:textId="77777777">
                        <w:trPr>
                          <w:trHeight w:val="308"/>
                        </w:trPr>
                        <w:tc>
                          <w:tcPr>
                            <w:tcW w:w="4678" w:type="dxa"/>
                            <w:gridSpan w:val="6"/>
                            <w:tcBorders>
                              <w:top w:val="nil"/>
                              <w:left w:val="nil"/>
                              <w:bottom w:val="single" w:sz="4" w:space="0" w:color="auto"/>
                              <w:right w:val="nil"/>
                            </w:tcBorders>
                            <w:hideMark/>
                          </w:tcPr>
                          <w:p w14:paraId="025DFAA4" w14:textId="24AA0FFD" w:rsidR="007B1B13" w:rsidRDefault="007B1B13">
                            <w:pPr>
                              <w:widowControl/>
                              <w:spacing w:line="240" w:lineRule="exact"/>
                              <w:jc w:val="center"/>
                              <w:rPr>
                                <w:rFonts w:ascii="標楷體" w:eastAsia="標楷體" w:hAnsi="標楷體" w:cs="新細明體"/>
                                <w:b/>
                                <w:color w:val="000000"/>
                                <w:kern w:val="0"/>
                              </w:rPr>
                            </w:pPr>
                            <w:r>
                              <w:rPr>
                                <w:rFonts w:ascii="標楷體" w:eastAsia="標楷體" w:hAnsi="標楷體" w:cs="新細明體" w:hint="eastAsia"/>
                                <w:b/>
                                <w:color w:val="000000"/>
                                <w:kern w:val="0"/>
                              </w:rPr>
                              <w:t>表4</w:t>
                            </w:r>
                            <w:r w:rsidR="00B418C5">
                              <w:rPr>
                                <w:rFonts w:ascii="標楷體" w:eastAsia="標楷體" w:hAnsi="標楷體" w:cs="新細明體" w:hint="eastAsia"/>
                                <w:b/>
                                <w:color w:val="000000"/>
                                <w:kern w:val="0"/>
                              </w:rPr>
                              <w:t xml:space="preserve">　</w:t>
                            </w:r>
                            <w:r>
                              <w:rPr>
                                <w:rFonts w:ascii="標楷體" w:eastAsia="標楷體" w:hAnsi="標楷體" w:cs="新細明體" w:hint="eastAsia"/>
                                <w:b/>
                                <w:color w:val="000000"/>
                                <w:kern w:val="0"/>
                              </w:rPr>
                              <w:t>臺北市寄養家庭數及空床數</w:t>
                            </w:r>
                          </w:p>
                          <w:p w14:paraId="6A652830"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單位：戶數</w:t>
                            </w:r>
                          </w:p>
                        </w:tc>
                      </w:tr>
                      <w:tr w:rsidR="007B1B13" w14:paraId="3C17DAD8" w14:textId="77777777" w:rsidTr="00B418C5">
                        <w:trPr>
                          <w:trHeight w:val="148"/>
                        </w:trPr>
                        <w:tc>
                          <w:tcPr>
                            <w:tcW w:w="993" w:type="dxa"/>
                            <w:vMerge w:val="restart"/>
                            <w:tcBorders>
                              <w:top w:val="nil"/>
                              <w:left w:val="single" w:sz="4" w:space="0" w:color="auto"/>
                              <w:bottom w:val="single" w:sz="4" w:space="0" w:color="auto"/>
                              <w:right w:val="single" w:sz="4" w:space="0" w:color="auto"/>
                            </w:tcBorders>
                            <w:noWrap/>
                            <w:vAlign w:val="center"/>
                            <w:hideMark/>
                          </w:tcPr>
                          <w:p w14:paraId="7DB633C8" w14:textId="77777777" w:rsidR="007B1B13" w:rsidRDefault="007B1B1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     度</w:t>
                            </w:r>
                          </w:p>
                        </w:tc>
                        <w:tc>
                          <w:tcPr>
                            <w:tcW w:w="1417" w:type="dxa"/>
                            <w:gridSpan w:val="2"/>
                            <w:tcBorders>
                              <w:top w:val="nil"/>
                              <w:left w:val="nil"/>
                              <w:bottom w:val="single" w:sz="4" w:space="0" w:color="auto"/>
                              <w:right w:val="single" w:sz="4" w:space="0" w:color="auto"/>
                            </w:tcBorders>
                            <w:noWrap/>
                            <w:vAlign w:val="center"/>
                            <w:hideMark/>
                          </w:tcPr>
                          <w:p w14:paraId="51ED6A21" w14:textId="77777777" w:rsidR="007B1B13" w:rsidRDefault="007B1B13">
                            <w:pPr>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合格寄養家庭</w:t>
                            </w:r>
                          </w:p>
                        </w:tc>
                        <w:tc>
                          <w:tcPr>
                            <w:tcW w:w="709" w:type="dxa"/>
                            <w:vMerge w:val="restart"/>
                            <w:tcBorders>
                              <w:top w:val="nil"/>
                              <w:left w:val="single" w:sz="4" w:space="0" w:color="auto"/>
                              <w:bottom w:val="single" w:sz="4" w:space="0" w:color="auto"/>
                              <w:right w:val="single" w:sz="4" w:space="0" w:color="auto"/>
                            </w:tcBorders>
                            <w:noWrap/>
                            <w:vAlign w:val="center"/>
                            <w:hideMark/>
                          </w:tcPr>
                          <w:p w14:paraId="1C0D522D" w14:textId="77777777" w:rsidR="007B1B13" w:rsidRDefault="007B1B13" w:rsidP="00B418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儲備</w:t>
                            </w:r>
                          </w:p>
                          <w:p w14:paraId="46164830" w14:textId="77777777" w:rsidR="007B1B13" w:rsidRDefault="007B1B13" w:rsidP="00B418C5">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家庭數</w:t>
                            </w:r>
                          </w:p>
                        </w:tc>
                        <w:tc>
                          <w:tcPr>
                            <w:tcW w:w="850" w:type="dxa"/>
                            <w:vMerge w:val="restart"/>
                            <w:tcBorders>
                              <w:top w:val="nil"/>
                              <w:left w:val="nil"/>
                              <w:bottom w:val="single" w:sz="4" w:space="0" w:color="auto"/>
                              <w:right w:val="double" w:sz="4" w:space="0" w:color="auto"/>
                            </w:tcBorders>
                            <w:vAlign w:val="center"/>
                            <w:hideMark/>
                          </w:tcPr>
                          <w:p w14:paraId="5FDC29FC" w14:textId="77777777" w:rsidR="007B1B13" w:rsidRDefault="007B1B13" w:rsidP="00B418C5">
                            <w:pPr>
                              <w:widowControl/>
                              <w:spacing w:line="240" w:lineRule="exact"/>
                              <w:jc w:val="center"/>
                              <w:rPr>
                                <w:rFonts w:ascii="標楷體" w:eastAsia="標楷體" w:hAnsi="標楷體" w:cs="Times New Roman"/>
                                <w:color w:val="000000"/>
                                <w:spacing w:val="-10"/>
                                <w:sz w:val="20"/>
                              </w:rPr>
                            </w:pPr>
                            <w:r>
                              <w:rPr>
                                <w:rFonts w:ascii="標楷體" w:eastAsia="標楷體" w:hAnsi="標楷體" w:hint="eastAsia"/>
                                <w:color w:val="000000"/>
                                <w:spacing w:val="-10"/>
                                <w:sz w:val="20"/>
                              </w:rPr>
                              <w:t>服務中寄養家庭數</w:t>
                            </w:r>
                          </w:p>
                        </w:tc>
                        <w:tc>
                          <w:tcPr>
                            <w:tcW w:w="709" w:type="dxa"/>
                            <w:vMerge w:val="restart"/>
                            <w:tcBorders>
                              <w:top w:val="nil"/>
                              <w:left w:val="double" w:sz="4" w:space="0" w:color="auto"/>
                              <w:bottom w:val="single" w:sz="4" w:space="0" w:color="auto"/>
                              <w:right w:val="single" w:sz="4" w:space="0" w:color="auto"/>
                            </w:tcBorders>
                            <w:vAlign w:val="center"/>
                            <w:hideMark/>
                          </w:tcPr>
                          <w:p w14:paraId="1C438C81" w14:textId="77777777" w:rsidR="007B1B13" w:rsidRDefault="007B1B13" w:rsidP="00B418C5">
                            <w:pPr>
                              <w:spacing w:line="240" w:lineRule="exact"/>
                              <w:jc w:val="center"/>
                              <w:rPr>
                                <w:rFonts w:ascii="標楷體" w:eastAsia="標楷體" w:hAnsi="標楷體"/>
                                <w:color w:val="000000"/>
                                <w:sz w:val="20"/>
                              </w:rPr>
                            </w:pPr>
                            <w:r>
                              <w:rPr>
                                <w:rFonts w:ascii="標楷體" w:eastAsia="標楷體" w:hAnsi="標楷體" w:hint="eastAsia"/>
                                <w:color w:val="000000"/>
                                <w:sz w:val="20"/>
                              </w:rPr>
                              <w:t>寄養</w:t>
                            </w:r>
                          </w:p>
                          <w:p w14:paraId="6671F02D" w14:textId="77777777" w:rsidR="007B1B13" w:rsidRDefault="007B1B13" w:rsidP="00B418C5">
                            <w:pPr>
                              <w:spacing w:line="240" w:lineRule="exact"/>
                              <w:jc w:val="center"/>
                              <w:rPr>
                                <w:rFonts w:ascii="標楷體" w:eastAsia="標楷體" w:hAnsi="標楷體"/>
                                <w:color w:val="000000"/>
                                <w:sz w:val="20"/>
                              </w:rPr>
                            </w:pPr>
                            <w:r>
                              <w:rPr>
                                <w:rFonts w:ascii="標楷體" w:eastAsia="標楷體" w:hAnsi="標楷體" w:hint="eastAsia"/>
                                <w:color w:val="000000"/>
                                <w:sz w:val="20"/>
                              </w:rPr>
                              <w:t>空床位</w:t>
                            </w:r>
                          </w:p>
                        </w:tc>
                      </w:tr>
                      <w:tr w:rsidR="007B1B13" w14:paraId="75C03415" w14:textId="77777777">
                        <w:trPr>
                          <w:trHeight w:val="380"/>
                        </w:trPr>
                        <w:tc>
                          <w:tcPr>
                            <w:tcW w:w="0" w:type="auto"/>
                            <w:vMerge/>
                            <w:tcBorders>
                              <w:top w:val="nil"/>
                              <w:left w:val="single" w:sz="4" w:space="0" w:color="auto"/>
                              <w:bottom w:val="single" w:sz="4" w:space="0" w:color="auto"/>
                              <w:right w:val="single" w:sz="4" w:space="0" w:color="auto"/>
                            </w:tcBorders>
                            <w:vAlign w:val="center"/>
                            <w:hideMark/>
                          </w:tcPr>
                          <w:p w14:paraId="7A336AE7" w14:textId="77777777" w:rsidR="007B1B13" w:rsidRDefault="007B1B13">
                            <w:pPr>
                              <w:widowControl/>
                              <w:rPr>
                                <w:rFonts w:ascii="標楷體" w:eastAsia="標楷體" w:hAnsi="標楷體" w:cs="新細明體"/>
                                <w:color w:val="000000"/>
                                <w:kern w:val="0"/>
                                <w:sz w:val="20"/>
                                <w:szCs w:val="24"/>
                              </w:rPr>
                            </w:pPr>
                          </w:p>
                        </w:tc>
                        <w:tc>
                          <w:tcPr>
                            <w:tcW w:w="567" w:type="dxa"/>
                            <w:tcBorders>
                              <w:top w:val="single" w:sz="4" w:space="0" w:color="auto"/>
                              <w:left w:val="nil"/>
                              <w:bottom w:val="single" w:sz="4" w:space="0" w:color="auto"/>
                              <w:right w:val="single" w:sz="4" w:space="0" w:color="auto"/>
                            </w:tcBorders>
                            <w:noWrap/>
                            <w:vAlign w:val="center"/>
                            <w:hideMark/>
                          </w:tcPr>
                          <w:p w14:paraId="21992957" w14:textId="77777777" w:rsidR="007B1B13" w:rsidRDefault="007B1B13">
                            <w:pPr>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戶數</w:t>
                            </w:r>
                          </w:p>
                        </w:tc>
                        <w:tc>
                          <w:tcPr>
                            <w:tcW w:w="850" w:type="dxa"/>
                            <w:tcBorders>
                              <w:top w:val="single" w:sz="4" w:space="0" w:color="auto"/>
                              <w:left w:val="nil"/>
                              <w:bottom w:val="single" w:sz="4" w:space="0" w:color="auto"/>
                              <w:right w:val="single" w:sz="4" w:space="0" w:color="auto"/>
                            </w:tcBorders>
                            <w:vAlign w:val="center"/>
                            <w:hideMark/>
                          </w:tcPr>
                          <w:p w14:paraId="0BD3A72E" w14:textId="77777777" w:rsidR="007B1B13" w:rsidRDefault="007B1B13">
                            <w:pPr>
                              <w:widowControl/>
                              <w:spacing w:line="240" w:lineRule="exact"/>
                              <w:jc w:val="center"/>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最高可收</w:t>
                            </w:r>
                          </w:p>
                          <w:p w14:paraId="51C14881" w14:textId="77777777" w:rsidR="007B1B13" w:rsidRDefault="007B1B13">
                            <w:pPr>
                              <w:widowControl/>
                              <w:spacing w:line="240" w:lineRule="exact"/>
                              <w:ind w:leftChars="20" w:left="48" w:rightChars="20" w:right="48"/>
                              <w:jc w:val="center"/>
                              <w:rPr>
                                <w:rFonts w:ascii="標楷體" w:eastAsia="標楷體" w:hAnsi="標楷體" w:cs="新細明體"/>
                                <w:color w:val="000000"/>
                                <w:kern w:val="0"/>
                                <w:sz w:val="20"/>
                              </w:rPr>
                            </w:pPr>
                            <w:r>
                              <w:rPr>
                                <w:rFonts w:ascii="標楷體" w:eastAsia="標楷體" w:hAnsi="標楷體" w:cs="新細明體" w:hint="eastAsia"/>
                                <w:color w:val="000000"/>
                                <w:spacing w:val="-20"/>
                                <w:kern w:val="0"/>
                                <w:sz w:val="20"/>
                              </w:rPr>
                              <w:t>床 位 數</w:t>
                            </w:r>
                          </w:p>
                        </w:tc>
                        <w:tc>
                          <w:tcPr>
                            <w:tcW w:w="0" w:type="auto"/>
                            <w:vMerge/>
                            <w:tcBorders>
                              <w:top w:val="nil"/>
                              <w:left w:val="single" w:sz="4" w:space="0" w:color="auto"/>
                              <w:bottom w:val="single" w:sz="4" w:space="0" w:color="auto"/>
                              <w:right w:val="single" w:sz="4" w:space="0" w:color="auto"/>
                            </w:tcBorders>
                            <w:vAlign w:val="center"/>
                            <w:hideMark/>
                          </w:tcPr>
                          <w:p w14:paraId="7F0770EC" w14:textId="77777777" w:rsidR="007B1B13" w:rsidRDefault="007B1B13">
                            <w:pPr>
                              <w:widowControl/>
                              <w:rPr>
                                <w:rFonts w:ascii="標楷體" w:eastAsia="標楷體" w:hAnsi="標楷體" w:cs="新細明體"/>
                                <w:color w:val="000000"/>
                                <w:kern w:val="0"/>
                                <w:sz w:val="20"/>
                                <w:szCs w:val="24"/>
                              </w:rPr>
                            </w:pPr>
                          </w:p>
                        </w:tc>
                        <w:tc>
                          <w:tcPr>
                            <w:tcW w:w="0" w:type="auto"/>
                            <w:vMerge/>
                            <w:tcBorders>
                              <w:top w:val="nil"/>
                              <w:left w:val="nil"/>
                              <w:bottom w:val="single" w:sz="4" w:space="0" w:color="auto"/>
                              <w:right w:val="double" w:sz="4" w:space="0" w:color="auto"/>
                            </w:tcBorders>
                            <w:vAlign w:val="center"/>
                            <w:hideMark/>
                          </w:tcPr>
                          <w:p w14:paraId="5B841BCC" w14:textId="77777777" w:rsidR="007B1B13" w:rsidRDefault="007B1B13">
                            <w:pPr>
                              <w:widowControl/>
                              <w:rPr>
                                <w:rFonts w:ascii="標楷體" w:eastAsia="標楷體" w:hAnsi="標楷體"/>
                                <w:color w:val="000000"/>
                                <w:spacing w:val="-10"/>
                                <w:sz w:val="20"/>
                                <w:szCs w:val="24"/>
                              </w:rPr>
                            </w:pPr>
                          </w:p>
                        </w:tc>
                        <w:tc>
                          <w:tcPr>
                            <w:tcW w:w="0" w:type="auto"/>
                            <w:vMerge/>
                            <w:tcBorders>
                              <w:top w:val="nil"/>
                              <w:left w:val="double" w:sz="4" w:space="0" w:color="auto"/>
                              <w:bottom w:val="single" w:sz="4" w:space="0" w:color="auto"/>
                              <w:right w:val="single" w:sz="4" w:space="0" w:color="auto"/>
                            </w:tcBorders>
                            <w:vAlign w:val="center"/>
                            <w:hideMark/>
                          </w:tcPr>
                          <w:p w14:paraId="762B49EE" w14:textId="77777777" w:rsidR="007B1B13" w:rsidRDefault="007B1B13">
                            <w:pPr>
                              <w:widowControl/>
                              <w:rPr>
                                <w:rFonts w:ascii="標楷體" w:eastAsia="標楷體" w:hAnsi="標楷體"/>
                                <w:color w:val="000000"/>
                                <w:sz w:val="20"/>
                                <w:szCs w:val="24"/>
                              </w:rPr>
                            </w:pPr>
                          </w:p>
                        </w:tc>
                      </w:tr>
                      <w:tr w:rsidR="007B1B13" w14:paraId="722ECA6F" w14:textId="77777777">
                        <w:trPr>
                          <w:trHeight w:val="227"/>
                        </w:trPr>
                        <w:tc>
                          <w:tcPr>
                            <w:tcW w:w="993" w:type="dxa"/>
                            <w:tcBorders>
                              <w:top w:val="nil"/>
                              <w:left w:val="single" w:sz="4" w:space="0" w:color="auto"/>
                              <w:bottom w:val="single" w:sz="4" w:space="0" w:color="auto"/>
                              <w:right w:val="single" w:sz="4" w:space="0" w:color="auto"/>
                            </w:tcBorders>
                            <w:noWrap/>
                            <w:vAlign w:val="center"/>
                            <w:hideMark/>
                          </w:tcPr>
                          <w:p w14:paraId="699AF6F2" w14:textId="77777777" w:rsidR="007B1B13" w:rsidRDefault="007B1B13">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111年底</w:t>
                            </w:r>
                          </w:p>
                        </w:tc>
                        <w:tc>
                          <w:tcPr>
                            <w:tcW w:w="567" w:type="dxa"/>
                            <w:tcBorders>
                              <w:top w:val="nil"/>
                              <w:left w:val="nil"/>
                              <w:bottom w:val="single" w:sz="4" w:space="0" w:color="auto"/>
                              <w:right w:val="single" w:sz="4" w:space="0" w:color="auto"/>
                            </w:tcBorders>
                            <w:noWrap/>
                            <w:vAlign w:val="center"/>
                            <w:hideMark/>
                          </w:tcPr>
                          <w:p w14:paraId="7900A2B6"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120</w:t>
                            </w:r>
                          </w:p>
                        </w:tc>
                        <w:tc>
                          <w:tcPr>
                            <w:tcW w:w="850" w:type="dxa"/>
                            <w:tcBorders>
                              <w:top w:val="single" w:sz="4" w:space="0" w:color="auto"/>
                              <w:left w:val="nil"/>
                              <w:bottom w:val="single" w:sz="4" w:space="0" w:color="auto"/>
                              <w:right w:val="single" w:sz="4" w:space="0" w:color="auto"/>
                            </w:tcBorders>
                            <w:hideMark/>
                          </w:tcPr>
                          <w:p w14:paraId="286F298A"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210</w:t>
                            </w:r>
                          </w:p>
                        </w:tc>
                        <w:tc>
                          <w:tcPr>
                            <w:tcW w:w="709" w:type="dxa"/>
                            <w:tcBorders>
                              <w:top w:val="nil"/>
                              <w:left w:val="single" w:sz="4" w:space="0" w:color="auto"/>
                              <w:bottom w:val="single" w:sz="4" w:space="0" w:color="auto"/>
                              <w:right w:val="single" w:sz="4" w:space="0" w:color="auto"/>
                            </w:tcBorders>
                            <w:noWrap/>
                            <w:vAlign w:val="center"/>
                            <w:hideMark/>
                          </w:tcPr>
                          <w:p w14:paraId="4B994BB4"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33</w:t>
                            </w:r>
                          </w:p>
                        </w:tc>
                        <w:tc>
                          <w:tcPr>
                            <w:tcW w:w="850" w:type="dxa"/>
                            <w:tcBorders>
                              <w:top w:val="nil"/>
                              <w:left w:val="nil"/>
                              <w:bottom w:val="single" w:sz="4" w:space="0" w:color="auto"/>
                              <w:right w:val="double" w:sz="4" w:space="0" w:color="auto"/>
                            </w:tcBorders>
                            <w:noWrap/>
                            <w:vAlign w:val="center"/>
                            <w:hideMark/>
                          </w:tcPr>
                          <w:p w14:paraId="52FA178C"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87</w:t>
                            </w:r>
                          </w:p>
                        </w:tc>
                        <w:tc>
                          <w:tcPr>
                            <w:tcW w:w="709" w:type="dxa"/>
                            <w:tcBorders>
                              <w:top w:val="single" w:sz="4" w:space="0" w:color="auto"/>
                              <w:left w:val="double" w:sz="4" w:space="0" w:color="auto"/>
                              <w:bottom w:val="single" w:sz="4" w:space="0" w:color="auto"/>
                              <w:right w:val="single" w:sz="4" w:space="0" w:color="auto"/>
                            </w:tcBorders>
                            <w:noWrap/>
                            <w:vAlign w:val="center"/>
                            <w:hideMark/>
                          </w:tcPr>
                          <w:p w14:paraId="5F6649EC"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r>
                      <w:tr w:rsidR="007B1B13" w14:paraId="7F315325" w14:textId="77777777">
                        <w:trPr>
                          <w:trHeight w:val="227"/>
                        </w:trPr>
                        <w:tc>
                          <w:tcPr>
                            <w:tcW w:w="993" w:type="dxa"/>
                            <w:tcBorders>
                              <w:top w:val="nil"/>
                              <w:left w:val="single" w:sz="4" w:space="0" w:color="auto"/>
                              <w:bottom w:val="single" w:sz="4" w:space="0" w:color="auto"/>
                              <w:right w:val="single" w:sz="4" w:space="0" w:color="auto"/>
                            </w:tcBorders>
                            <w:noWrap/>
                            <w:vAlign w:val="center"/>
                            <w:hideMark/>
                          </w:tcPr>
                          <w:p w14:paraId="0818ED27" w14:textId="77777777" w:rsidR="007B1B13" w:rsidRDefault="007B1B13">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112年底</w:t>
                            </w:r>
                          </w:p>
                        </w:tc>
                        <w:tc>
                          <w:tcPr>
                            <w:tcW w:w="567" w:type="dxa"/>
                            <w:tcBorders>
                              <w:top w:val="nil"/>
                              <w:left w:val="nil"/>
                              <w:bottom w:val="single" w:sz="4" w:space="0" w:color="auto"/>
                              <w:right w:val="single" w:sz="4" w:space="0" w:color="auto"/>
                            </w:tcBorders>
                            <w:noWrap/>
                            <w:vAlign w:val="center"/>
                            <w:hideMark/>
                          </w:tcPr>
                          <w:p w14:paraId="3F4EA924"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103</w:t>
                            </w:r>
                          </w:p>
                        </w:tc>
                        <w:tc>
                          <w:tcPr>
                            <w:tcW w:w="850" w:type="dxa"/>
                            <w:tcBorders>
                              <w:top w:val="single" w:sz="4" w:space="0" w:color="auto"/>
                              <w:left w:val="nil"/>
                              <w:bottom w:val="single" w:sz="4" w:space="0" w:color="auto"/>
                              <w:right w:val="single" w:sz="4" w:space="0" w:color="auto"/>
                            </w:tcBorders>
                            <w:hideMark/>
                          </w:tcPr>
                          <w:p w14:paraId="47BB97DB"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170</w:t>
                            </w:r>
                          </w:p>
                        </w:tc>
                        <w:tc>
                          <w:tcPr>
                            <w:tcW w:w="709" w:type="dxa"/>
                            <w:tcBorders>
                              <w:top w:val="nil"/>
                              <w:left w:val="single" w:sz="4" w:space="0" w:color="auto"/>
                              <w:bottom w:val="single" w:sz="4" w:space="0" w:color="auto"/>
                              <w:right w:val="single" w:sz="4" w:space="0" w:color="auto"/>
                            </w:tcBorders>
                            <w:noWrap/>
                            <w:vAlign w:val="center"/>
                            <w:hideMark/>
                          </w:tcPr>
                          <w:p w14:paraId="02BD74DE"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37</w:t>
                            </w:r>
                          </w:p>
                        </w:tc>
                        <w:tc>
                          <w:tcPr>
                            <w:tcW w:w="850" w:type="dxa"/>
                            <w:tcBorders>
                              <w:top w:val="nil"/>
                              <w:left w:val="nil"/>
                              <w:bottom w:val="single" w:sz="4" w:space="0" w:color="auto"/>
                              <w:right w:val="double" w:sz="4" w:space="0" w:color="auto"/>
                            </w:tcBorders>
                            <w:noWrap/>
                            <w:vAlign w:val="center"/>
                            <w:hideMark/>
                          </w:tcPr>
                          <w:p w14:paraId="393926FD"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66</w:t>
                            </w:r>
                          </w:p>
                        </w:tc>
                        <w:tc>
                          <w:tcPr>
                            <w:tcW w:w="709" w:type="dxa"/>
                            <w:tcBorders>
                              <w:top w:val="single" w:sz="4" w:space="0" w:color="auto"/>
                              <w:left w:val="double" w:sz="4" w:space="0" w:color="auto"/>
                              <w:bottom w:val="single" w:sz="4" w:space="0" w:color="auto"/>
                              <w:right w:val="single" w:sz="4" w:space="0" w:color="auto"/>
                            </w:tcBorders>
                            <w:noWrap/>
                            <w:vAlign w:val="center"/>
                            <w:hideMark/>
                          </w:tcPr>
                          <w:p w14:paraId="6099968C"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r>
                      <w:tr w:rsidR="007B1B13" w14:paraId="36A88A64" w14:textId="77777777">
                        <w:trPr>
                          <w:trHeight w:val="227"/>
                        </w:trPr>
                        <w:tc>
                          <w:tcPr>
                            <w:tcW w:w="993" w:type="dxa"/>
                            <w:tcBorders>
                              <w:top w:val="nil"/>
                              <w:left w:val="single" w:sz="4" w:space="0" w:color="auto"/>
                              <w:bottom w:val="single" w:sz="4" w:space="0" w:color="auto"/>
                              <w:right w:val="single" w:sz="4" w:space="0" w:color="auto"/>
                            </w:tcBorders>
                            <w:noWrap/>
                            <w:vAlign w:val="center"/>
                            <w:hideMark/>
                          </w:tcPr>
                          <w:p w14:paraId="224FADED" w14:textId="77777777" w:rsidR="007B1B13" w:rsidRDefault="007B1B13">
                            <w:pPr>
                              <w:widowControl/>
                              <w:spacing w:line="240" w:lineRule="exact"/>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113年8月底</w:t>
                            </w:r>
                          </w:p>
                        </w:tc>
                        <w:tc>
                          <w:tcPr>
                            <w:tcW w:w="567" w:type="dxa"/>
                            <w:tcBorders>
                              <w:top w:val="nil"/>
                              <w:left w:val="nil"/>
                              <w:bottom w:val="single" w:sz="4" w:space="0" w:color="auto"/>
                              <w:right w:val="single" w:sz="4" w:space="0" w:color="auto"/>
                            </w:tcBorders>
                            <w:noWrap/>
                            <w:vAlign w:val="center"/>
                            <w:hideMark/>
                          </w:tcPr>
                          <w:p w14:paraId="65D01DC2"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78</w:t>
                            </w:r>
                          </w:p>
                        </w:tc>
                        <w:tc>
                          <w:tcPr>
                            <w:tcW w:w="850" w:type="dxa"/>
                            <w:tcBorders>
                              <w:top w:val="single" w:sz="4" w:space="0" w:color="auto"/>
                              <w:left w:val="nil"/>
                              <w:bottom w:val="single" w:sz="4" w:space="0" w:color="auto"/>
                              <w:right w:val="single" w:sz="4" w:space="0" w:color="auto"/>
                            </w:tcBorders>
                            <w:hideMark/>
                          </w:tcPr>
                          <w:p w14:paraId="7C12924F"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170</w:t>
                            </w:r>
                          </w:p>
                        </w:tc>
                        <w:tc>
                          <w:tcPr>
                            <w:tcW w:w="709" w:type="dxa"/>
                            <w:tcBorders>
                              <w:top w:val="nil"/>
                              <w:left w:val="single" w:sz="4" w:space="0" w:color="auto"/>
                              <w:bottom w:val="single" w:sz="4" w:space="0" w:color="auto"/>
                              <w:right w:val="single" w:sz="4" w:space="0" w:color="auto"/>
                            </w:tcBorders>
                            <w:noWrap/>
                            <w:vAlign w:val="center"/>
                            <w:hideMark/>
                          </w:tcPr>
                          <w:p w14:paraId="6F83E40C"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850" w:type="dxa"/>
                            <w:tcBorders>
                              <w:top w:val="nil"/>
                              <w:left w:val="nil"/>
                              <w:bottom w:val="single" w:sz="4" w:space="0" w:color="auto"/>
                              <w:right w:val="double" w:sz="4" w:space="0" w:color="auto"/>
                            </w:tcBorders>
                            <w:noWrap/>
                            <w:vAlign w:val="center"/>
                            <w:hideMark/>
                          </w:tcPr>
                          <w:p w14:paraId="31D08A3C"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66</w:t>
                            </w:r>
                          </w:p>
                        </w:tc>
                        <w:tc>
                          <w:tcPr>
                            <w:tcW w:w="709" w:type="dxa"/>
                            <w:tcBorders>
                              <w:top w:val="single" w:sz="4" w:space="0" w:color="auto"/>
                              <w:left w:val="double" w:sz="4" w:space="0" w:color="auto"/>
                              <w:bottom w:val="single" w:sz="4" w:space="0" w:color="auto"/>
                              <w:right w:val="single" w:sz="4" w:space="0" w:color="auto"/>
                            </w:tcBorders>
                            <w:noWrap/>
                            <w:vAlign w:val="center"/>
                            <w:hideMark/>
                          </w:tcPr>
                          <w:p w14:paraId="2853EC9A"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r>
                    </w:tbl>
                    <w:p w14:paraId="7AD1EBE0" w14:textId="77777777" w:rsidR="007B1B13" w:rsidRDefault="007B1B13" w:rsidP="007B1B13">
                      <w:pPr>
                        <w:spacing w:line="240" w:lineRule="exact"/>
                        <w:ind w:left="540" w:rightChars="47" w:right="113" w:hangingChars="300" w:hanging="540"/>
                        <w:rPr>
                          <w:rFonts w:ascii="標楷體" w:eastAsia="標楷體" w:hAnsi="標楷體" w:cs="Times New Roman"/>
                          <w:sz w:val="18"/>
                          <w:szCs w:val="18"/>
                        </w:rPr>
                      </w:pPr>
                      <w:r>
                        <w:rPr>
                          <w:rFonts w:ascii="標楷體" w:eastAsia="標楷體" w:hAnsi="標楷體" w:hint="eastAsia"/>
                          <w:color w:val="000000"/>
                          <w:sz w:val="18"/>
                          <w:szCs w:val="18"/>
                        </w:rPr>
                        <w:t>資料來源：整理自社會局提供資料。</w:t>
                      </w:r>
                    </w:p>
                  </w:txbxContent>
                </v:textbox>
                <w10:wrap type="square" anchorx="margin"/>
              </v:rect>
            </w:pict>
          </mc:Fallback>
        </mc:AlternateContent>
      </w:r>
      <w:r>
        <w:rPr>
          <w:rFonts w:hint="eastAsia"/>
          <w:noProof/>
        </w:rPr>
        <mc:AlternateContent>
          <mc:Choice Requires="wps">
            <w:drawing>
              <wp:anchor distT="45720" distB="45720" distL="114300" distR="114300" simplePos="0" relativeHeight="251756544" behindDoc="1" locked="0" layoutInCell="1" allowOverlap="1" wp14:anchorId="6ED07F7B" wp14:editId="5B7C20E5">
                <wp:simplePos x="0" y="0"/>
                <wp:positionH relativeFrom="margin">
                  <wp:posOffset>1693545</wp:posOffset>
                </wp:positionH>
                <wp:positionV relativeFrom="paragraph">
                  <wp:posOffset>4290695</wp:posOffset>
                </wp:positionV>
                <wp:extent cx="4751705" cy="1979930"/>
                <wp:effectExtent l="0" t="0" r="0" b="1270"/>
                <wp:wrapTight wrapText="bothSides">
                  <wp:wrapPolygon edited="0">
                    <wp:start x="0" y="0"/>
                    <wp:lineTo x="0" y="21406"/>
                    <wp:lineTo x="21476" y="21406"/>
                    <wp:lineTo x="21476" y="0"/>
                    <wp:lineTo x="0" y="0"/>
                  </wp:wrapPolygon>
                </wp:wrapTight>
                <wp:docPr id="166876643" name="文字方塊 166876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1705" cy="1979930"/>
                        </a:xfrm>
                        <a:prstGeom prst="rect">
                          <a:avLst/>
                        </a:prstGeom>
                        <a:solidFill>
                          <a:srgbClr val="FFFFFF"/>
                        </a:solidFill>
                        <a:ln w="9525">
                          <a:noFill/>
                          <a:miter lim="800000"/>
                          <a:headEnd/>
                          <a:tailEnd/>
                        </a:ln>
                      </wps:spPr>
                      <wps:txbx>
                        <w:txbxContent>
                          <w:p w14:paraId="60D45925" w14:textId="25038D42" w:rsidR="007B1B13" w:rsidRDefault="007B1B13" w:rsidP="007B1B13">
                            <w:pPr>
                              <w:pStyle w:val="Web"/>
                              <w:spacing w:before="0" w:beforeAutospacing="0" w:after="0" w:afterAutospacing="0" w:line="260" w:lineRule="exact"/>
                              <w:jc w:val="center"/>
                              <w:textAlignment w:val="baseline"/>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圖1</w:t>
                            </w:r>
                            <w:r w:rsidR="00B418C5">
                              <w:rPr>
                                <w:rFonts w:ascii="標楷體" w:eastAsia="標楷體" w:hAnsi="標楷體" w:cstheme="minorBidi" w:hint="eastAsia"/>
                                <w:b/>
                                <w:bCs/>
                                <w:color w:val="FF0000"/>
                                <w:kern w:val="24"/>
                              </w:rPr>
                              <w:t xml:space="preserve">　</w:t>
                            </w:r>
                            <w:r>
                              <w:rPr>
                                <w:rFonts w:ascii="標楷體" w:eastAsia="標楷體" w:hAnsi="標楷體" w:cstheme="minorBidi" w:hint="eastAsia"/>
                                <w:b/>
                                <w:bCs/>
                                <w:color w:val="000000"/>
                                <w:kern w:val="24"/>
                              </w:rPr>
                              <w:t>臺北市寄養家庭主要照顧者年齡分布情形</w:t>
                            </w:r>
                          </w:p>
                          <w:p w14:paraId="4D6CD63A" w14:textId="4B5E749F" w:rsidR="007B1B13" w:rsidRDefault="007B1B13" w:rsidP="007B1B13">
                            <w:pPr>
                              <w:rPr>
                                <w:rFonts w:ascii="Times New Roman" w:eastAsia="新細明體" w:hAnsi="Times New Roman" w:cs="Times New Roman"/>
                                <w:sz w:val="18"/>
                                <w:szCs w:val="18"/>
                              </w:rPr>
                            </w:pPr>
                            <w:r>
                              <w:rPr>
                                <w:rFonts w:ascii="Times New Roman" w:eastAsia="新細明體" w:hAnsi="Times New Roman" w:cs="Times New Roman"/>
                                <w:noProof/>
                                <w:szCs w:val="24"/>
                              </w:rPr>
                              <w:drawing>
                                <wp:inline distT="0" distB="0" distL="0" distR="0" wp14:anchorId="6358CD99" wp14:editId="195E2281">
                                  <wp:extent cx="4629150" cy="1438275"/>
                                  <wp:effectExtent l="0" t="0" r="0" b="0"/>
                                  <wp:docPr id="121" name="圖表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63635D96" w14:textId="77777777" w:rsidR="007B1B13" w:rsidRDefault="007B1B13" w:rsidP="007B1B13">
                            <w:pPr>
                              <w:spacing w:line="180" w:lineRule="exact"/>
                              <w:rPr>
                                <w:rFonts w:ascii="標楷體" w:eastAsia="標楷體" w:hAnsi="標楷體"/>
                                <w:sz w:val="18"/>
                                <w:szCs w:val="18"/>
                              </w:rPr>
                            </w:pPr>
                            <w:r>
                              <w:rPr>
                                <w:rFonts w:ascii="標楷體" w:eastAsia="標楷體" w:hAnsi="標楷體" w:hint="eastAsia"/>
                                <w:sz w:val="18"/>
                                <w:szCs w:val="18"/>
                              </w:rPr>
                              <w:t>資料來源：整理自社會局提供資料。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D07F7B" id="文字方塊 166876643" o:spid="_x0000_s1101" type="#_x0000_t202" style="position:absolute;left:0;text-align:left;margin-left:133.35pt;margin-top:337.85pt;width:374.15pt;height:155.9pt;z-index:-251559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" stroked="f">
                <v:textbox>
                  <w:txbxContent>
                    <w:p w14:paraId="60D45925" w14:textId="25038D42" w:rsidR="007B1B13" w:rsidRDefault="007B1B13" w:rsidP="007B1B13">
                      <w:pPr>
                        <w:pStyle w:val="Web"/>
                        <w:spacing w:before="0" w:beforeAutospacing="0" w:after="0" w:afterAutospacing="0" w:line="260" w:lineRule="exact"/>
                        <w:jc w:val="center"/>
                        <w:textAlignment w:val="baseline"/>
                        <w:rPr>
                          <w:rFonts w:ascii="標楷體" w:eastAsia="標楷體" w:hAnsi="標楷體" w:cstheme="minorBidi"/>
                          <w:b/>
                          <w:bCs/>
                          <w:color w:val="000000" w:themeColor="text1"/>
                          <w:kern w:val="24"/>
                        </w:rPr>
                      </w:pPr>
                      <w:r>
                        <w:rPr>
                          <w:rFonts w:ascii="標楷體" w:eastAsia="標楷體" w:hAnsi="標楷體" w:cstheme="minorBidi" w:hint="eastAsia"/>
                          <w:b/>
                          <w:bCs/>
                          <w:color w:val="000000" w:themeColor="text1"/>
                          <w:kern w:val="24"/>
                        </w:rPr>
                        <w:t>圖1</w:t>
                      </w:r>
                      <w:r w:rsidR="00B418C5">
                        <w:rPr>
                          <w:rFonts w:ascii="標楷體" w:eastAsia="標楷體" w:hAnsi="標楷體" w:cstheme="minorBidi" w:hint="eastAsia"/>
                          <w:b/>
                          <w:bCs/>
                          <w:color w:val="FF0000"/>
                          <w:kern w:val="24"/>
                        </w:rPr>
                        <w:t xml:space="preserve">　</w:t>
                      </w:r>
                      <w:r>
                        <w:rPr>
                          <w:rFonts w:ascii="標楷體" w:eastAsia="標楷體" w:hAnsi="標楷體" w:cstheme="minorBidi" w:hint="eastAsia"/>
                          <w:b/>
                          <w:bCs/>
                          <w:color w:val="000000"/>
                          <w:kern w:val="24"/>
                        </w:rPr>
                        <w:t>臺北市寄養家庭主要照顧者年齡分布情形</w:t>
                      </w:r>
                    </w:p>
                    <w:p w14:paraId="4D6CD63A" w14:textId="4B5E749F" w:rsidR="007B1B13" w:rsidRDefault="007B1B13" w:rsidP="007B1B13">
                      <w:pPr>
                        <w:rPr>
                          <w:rFonts w:ascii="Times New Roman" w:eastAsia="新細明體" w:hAnsi="Times New Roman" w:cs="Times New Roman"/>
                          <w:sz w:val="18"/>
                          <w:szCs w:val="18"/>
                        </w:rPr>
                      </w:pPr>
                      <w:r>
                        <w:rPr>
                          <w:rFonts w:ascii="Times New Roman" w:eastAsia="新細明體" w:hAnsi="Times New Roman" w:cs="Times New Roman"/>
                          <w:noProof/>
                          <w:szCs w:val="24"/>
                        </w:rPr>
                        <w:drawing>
                          <wp:inline distT="0" distB="0" distL="0" distR="0" wp14:anchorId="6358CD99" wp14:editId="195E2281">
                            <wp:extent cx="4629150" cy="1438275"/>
                            <wp:effectExtent l="0" t="0" r="0" b="0"/>
                            <wp:docPr id="121" name="圖表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3635D96" w14:textId="77777777" w:rsidR="007B1B13" w:rsidRDefault="007B1B13" w:rsidP="007B1B13">
                      <w:pPr>
                        <w:spacing w:line="180" w:lineRule="exact"/>
                        <w:rPr>
                          <w:rFonts w:ascii="標楷體" w:eastAsia="標楷體" w:hAnsi="標楷體"/>
                          <w:sz w:val="18"/>
                          <w:szCs w:val="18"/>
                        </w:rPr>
                      </w:pPr>
                      <w:r>
                        <w:rPr>
                          <w:rFonts w:ascii="標楷體" w:eastAsia="標楷體" w:hAnsi="標楷體" w:hint="eastAsia"/>
                          <w:sz w:val="18"/>
                          <w:szCs w:val="18"/>
                        </w:rPr>
                        <w:t>資料來源：整理自社會局提供資料。</w:t>
                      </w:r>
                    </w:p>
                  </w:txbxContent>
                </v:textbox>
                <w10:wrap type="tight" anchorx="margin"/>
              </v:shape>
            </w:pict>
          </mc:Fallback>
        </mc:AlternateContent>
      </w:r>
      <w:r w:rsidR="007B1B13">
        <w:rPr>
          <w:rFonts w:hAnsi="標楷體" w:hint="eastAsia"/>
          <w:bCs/>
          <w:color w:val="000000" w:themeColor="text1"/>
          <w:sz w:val="24"/>
        </w:rPr>
        <w:t>1.為加強寄養家庭服務品質，於112年增訂寄養家庭退場機制，並調高其服務考核獎勵金，惟寄養家庭量能呈現遞減及高齡化趨勢，亟待</w:t>
      </w:r>
      <w:proofErr w:type="gramStart"/>
      <w:r w:rsidR="007B1B13">
        <w:rPr>
          <w:rFonts w:hAnsi="標楷體" w:hint="eastAsia"/>
          <w:bCs/>
          <w:color w:val="000000" w:themeColor="text1"/>
          <w:sz w:val="24"/>
        </w:rPr>
        <w:t>研謀善策</w:t>
      </w:r>
      <w:proofErr w:type="gramEnd"/>
      <w:r w:rsidR="007B1B13">
        <w:rPr>
          <w:rFonts w:hAnsi="標楷體" w:hint="eastAsia"/>
          <w:bCs/>
          <w:color w:val="000000" w:themeColor="text1"/>
          <w:sz w:val="24"/>
        </w:rPr>
        <w:t>因應，以穩固家庭式照顧量能：</w:t>
      </w:r>
      <w:r w:rsidR="007B1B13">
        <w:rPr>
          <w:rFonts w:hAnsi="標楷體" w:hint="eastAsia"/>
          <w:b w:val="0"/>
          <w:color w:val="000000" w:themeColor="text1"/>
          <w:sz w:val="24"/>
        </w:rPr>
        <w:t>依衛生福利部</w:t>
      </w:r>
      <w:proofErr w:type="gramStart"/>
      <w:r w:rsidR="007B1B13">
        <w:rPr>
          <w:rFonts w:hAnsi="標楷體" w:hint="eastAsia"/>
          <w:b w:val="0"/>
          <w:color w:val="000000" w:themeColor="text1"/>
          <w:sz w:val="24"/>
        </w:rPr>
        <w:t>113年5月修頒之</w:t>
      </w:r>
      <w:proofErr w:type="gramEnd"/>
      <w:r w:rsidR="007B1B13">
        <w:rPr>
          <w:rFonts w:hAnsi="標楷體" w:hint="eastAsia"/>
          <w:b w:val="0"/>
          <w:color w:val="000000" w:themeColor="text1"/>
          <w:sz w:val="24"/>
        </w:rPr>
        <w:t>「兒少替代性照顧政策」第參章節內容載列，為使我國替代性照顧政策，得以呼應聯合國兒童權利公約（Convention on the Rights of the Child）信念，將以確保兒少獲得適當之替代性照顧與保障其生活福祉，且家外安置應以親屬安置為優先、其次是寄養家庭、安置機構，以作為政策制定原則。經查社會局為加強寄養家庭服務品質及獎勵其服務辛勞，於112年6月修正「臺北市兒童及少年寄養家庭管理自治條例」，於第11條增訂寄養家庭退場機制，並調高寄養家庭考核成績優等及甲等之獎勵金。據統計，臺北市近3（111至113）年度合格寄養家庭戶數及空床數分別從111年底之120戶及16床，緩減至113年8月底之78戶及6床（表4），減幅達35.00％及62.50％；復經分析臺北市寄養家庭主要照顧者年齡分布情形，發現因受寄養父母高齡化陸續辦理退休，或近年民眾晚婚晚育，延後投入寄養服務時間，</w:t>
      </w:r>
    </w:p>
    <w:p w14:paraId="187AF921" w14:textId="7E227EE1" w:rsidR="007B1B13" w:rsidRDefault="007B1B13" w:rsidP="00B22C9F">
      <w:pPr>
        <w:pStyle w:val="04"/>
        <w:spacing w:before="0" w:line="448" w:lineRule="exact"/>
        <w:ind w:firstLineChars="0" w:firstLine="0"/>
        <w:rPr>
          <w:rFonts w:hAnsi="標楷體" w:cs="標楷體"/>
          <w:sz w:val="32"/>
          <w:szCs w:val="32"/>
        </w:rPr>
      </w:pPr>
      <w:r>
        <w:rPr>
          <w:rFonts w:hAnsi="標楷體" w:hint="eastAsia"/>
          <w:b w:val="0"/>
          <w:color w:val="000000" w:themeColor="text1"/>
          <w:sz w:val="24"/>
        </w:rPr>
        <w:t>及自112年6月起親職功能不佳之寄養家庭已依前開規定退場等因素影響，截至113年8月底止，55歲以上未滿65歲及65歲以上之寄養家庭數分別為44戶及13戶，占總戶數之56.41％</w:t>
      </w:r>
      <w:r>
        <w:rPr>
          <w:rFonts w:hAnsi="標楷體" w:hint="eastAsia"/>
          <w:b w:val="0"/>
          <w:color w:val="000000" w:themeColor="text1"/>
          <w:sz w:val="24"/>
        </w:rPr>
        <w:lastRenderedPageBreak/>
        <w:t>及16.67％，較111年底同項占比53.33％及14.17％（圖1），分別增加3.08及2.5個百分點，且有無法優先提供多重障礙之特殊需求兒少及2歲以下嬰幼兒適當性照顧等情事，經函請檢討改善。據復：</w:t>
      </w:r>
      <w:proofErr w:type="gramStart"/>
      <w:r>
        <w:rPr>
          <w:rFonts w:hAnsi="標楷體" w:hint="eastAsia"/>
          <w:b w:val="0"/>
          <w:color w:val="000000" w:themeColor="text1"/>
          <w:sz w:val="24"/>
        </w:rPr>
        <w:t>鑑</w:t>
      </w:r>
      <w:proofErr w:type="gramEnd"/>
      <w:r>
        <w:rPr>
          <w:rFonts w:hAnsi="標楷體" w:hint="eastAsia"/>
          <w:b w:val="0"/>
          <w:color w:val="000000" w:themeColor="text1"/>
          <w:sz w:val="24"/>
        </w:rPr>
        <w:t>於近年安置個案有複雜身心議題，致照顧困難度提升，</w:t>
      </w:r>
      <w:proofErr w:type="gramStart"/>
      <w:r>
        <w:rPr>
          <w:rFonts w:hAnsi="標楷體" w:hint="eastAsia"/>
          <w:b w:val="0"/>
          <w:color w:val="000000" w:themeColor="text1"/>
          <w:sz w:val="24"/>
        </w:rPr>
        <w:t>為讓渠等</w:t>
      </w:r>
      <w:proofErr w:type="gramEnd"/>
      <w:r>
        <w:rPr>
          <w:rFonts w:hAnsi="標楷體" w:hint="eastAsia"/>
          <w:b w:val="0"/>
          <w:color w:val="000000" w:themeColor="text1"/>
          <w:sz w:val="24"/>
        </w:rPr>
        <w:t>得以在家庭式環境成長，該局已積極拓展兒少團體家庭作為替代資源，另為減緩寄養家庭流失，除持續積極招募外，亦提供寄養家庭親職諮商、喘息服務、支持團體、親職到宅服務等，以提高家長寄養服務意願，穩定寄養家庭照顧量能。</w:t>
      </w:r>
    </w:p>
    <w:p w14:paraId="40B42D0C" w14:textId="598A881F" w:rsidR="007B1B13" w:rsidRDefault="007B1B13" w:rsidP="007B1B13">
      <w:pPr>
        <w:pStyle w:val="a7"/>
        <w:spacing w:before="0" w:after="120" w:line="440" w:lineRule="exact"/>
        <w:ind w:firstLine="472"/>
        <w:rPr>
          <w:rFonts w:hAnsi="標楷體"/>
        </w:rPr>
      </w:pPr>
      <w:r>
        <w:rPr>
          <w:rFonts w:hAnsi="標楷體" w:hint="eastAsia"/>
          <w:b/>
          <w:bCs/>
          <w:spacing w:val="-2"/>
        </w:rPr>
        <w:t>2.持續補助安置機構及團體家庭人事費及在職訓練經費，以穩固照顧能量，惟仍有部分安置單位員工流動率偏高：</w:t>
      </w:r>
      <w:r>
        <w:rPr>
          <w:rFonts w:hAnsi="標楷體" w:hint="eastAsia"/>
          <w:bCs/>
          <w:spacing w:val="-2"/>
        </w:rPr>
        <w:t>社會局</w:t>
      </w:r>
      <w:proofErr w:type="gramStart"/>
      <w:r>
        <w:rPr>
          <w:rFonts w:hAnsi="標楷體" w:hint="eastAsia"/>
          <w:bCs/>
          <w:spacing w:val="-2"/>
        </w:rPr>
        <w:t>鑑於兒</w:t>
      </w:r>
      <w:proofErr w:type="gramEnd"/>
      <w:r>
        <w:rPr>
          <w:rFonts w:hAnsi="標楷體" w:hint="eastAsia"/>
          <w:bCs/>
          <w:spacing w:val="-2"/>
        </w:rPr>
        <w:t>少安置機構及團體頻繁更換照顧者對安置兒少之依附關係建立有負面影響，除於</w:t>
      </w:r>
      <w:proofErr w:type="gramStart"/>
      <w:r>
        <w:rPr>
          <w:rFonts w:hAnsi="標楷體" w:hint="eastAsia"/>
          <w:bCs/>
          <w:spacing w:val="-2"/>
        </w:rPr>
        <w:t>113</w:t>
      </w:r>
      <w:proofErr w:type="gramEnd"/>
      <w:r>
        <w:rPr>
          <w:rFonts w:hAnsi="標楷體" w:hint="eastAsia"/>
          <w:bCs/>
          <w:spacing w:val="-2"/>
        </w:rPr>
        <w:t>年度公務預算編列</w:t>
      </w:r>
      <w:proofErr w:type="gramStart"/>
      <w:r>
        <w:rPr>
          <w:rFonts w:hAnsi="標楷體" w:hint="eastAsia"/>
          <w:bCs/>
          <w:spacing w:val="-2"/>
        </w:rPr>
        <w:t>委辦兒少</w:t>
      </w:r>
      <w:proofErr w:type="gramEnd"/>
      <w:r>
        <w:rPr>
          <w:rFonts w:hAnsi="標楷體" w:hint="eastAsia"/>
          <w:bCs/>
          <w:spacing w:val="-2"/>
        </w:rPr>
        <w:t>安置機構及團體家庭所需人事費9,178萬餘元外，並協助8家</w:t>
      </w:r>
      <w:proofErr w:type="gramStart"/>
      <w:r>
        <w:rPr>
          <w:rFonts w:hAnsi="標楷體" w:hint="eastAsia"/>
          <w:bCs/>
          <w:spacing w:val="-2"/>
        </w:rPr>
        <w:t>私立兒</w:t>
      </w:r>
      <w:proofErr w:type="gramEnd"/>
      <w:r>
        <w:rPr>
          <w:rFonts w:hAnsi="標楷體" w:hint="eastAsia"/>
          <w:bCs/>
          <w:spacing w:val="-2"/>
        </w:rPr>
        <w:t>少安置機構向衛生福利部申請補助專業服務人員用人費共2,291萬餘元，另</w:t>
      </w:r>
      <w:proofErr w:type="gramStart"/>
      <w:r>
        <w:rPr>
          <w:rFonts w:hAnsi="標楷體" w:hint="eastAsia"/>
          <w:bCs/>
          <w:spacing w:val="-2"/>
        </w:rPr>
        <w:t>於公彩基金</w:t>
      </w:r>
      <w:proofErr w:type="gramEnd"/>
      <w:r>
        <w:rPr>
          <w:rFonts w:hAnsi="標楷體" w:hint="eastAsia"/>
          <w:bCs/>
          <w:spacing w:val="-2"/>
        </w:rPr>
        <w:t>編列500萬元預算，補助兒少安置機構及團體工作人員在職訓練、照顧人員服務費及機構創新、轉型或其他可提升照顧服務品質方案等經費，期能穩固兒少安置單位服務量能及服務品質。經查執行結果，截至113年8月底止，臺北市16家兒少安置機構及6家團體家庭，員工流動率超過30％者，計有6家，占整體22家之27.27％，雖較</w:t>
      </w:r>
      <w:proofErr w:type="gramStart"/>
      <w:r>
        <w:rPr>
          <w:rFonts w:hAnsi="標楷體" w:hint="eastAsia"/>
          <w:bCs/>
          <w:spacing w:val="-2"/>
        </w:rPr>
        <w:t>112</w:t>
      </w:r>
      <w:proofErr w:type="gramEnd"/>
      <w:r>
        <w:rPr>
          <w:rFonts w:hAnsi="標楷體" w:hint="eastAsia"/>
          <w:bCs/>
          <w:spacing w:val="-2"/>
        </w:rPr>
        <w:t>年度員工流動率超過30％之家數（9家）減少3家，</w:t>
      </w:r>
      <w:proofErr w:type="gramStart"/>
      <w:r>
        <w:rPr>
          <w:rFonts w:hAnsi="標楷體" w:hint="eastAsia"/>
          <w:bCs/>
          <w:spacing w:val="-2"/>
        </w:rPr>
        <w:t>惟間有3家</w:t>
      </w:r>
      <w:proofErr w:type="gramEnd"/>
      <w:r>
        <w:rPr>
          <w:rFonts w:hAnsi="標楷體" w:hint="eastAsia"/>
          <w:bCs/>
          <w:spacing w:val="-2"/>
        </w:rPr>
        <w:t>之員工流動率高達50％以上，或已分別連續2年及3年逾30％等情事，</w:t>
      </w:r>
      <w:r>
        <w:rPr>
          <w:rFonts w:hAnsi="標楷體" w:hint="eastAsia"/>
          <w:spacing w:val="-2"/>
        </w:rPr>
        <w:t>經函請</w:t>
      </w:r>
      <w:proofErr w:type="gramStart"/>
      <w:r>
        <w:rPr>
          <w:rFonts w:hAnsi="標楷體" w:hint="eastAsia"/>
          <w:spacing w:val="-2"/>
        </w:rPr>
        <w:t>研</w:t>
      </w:r>
      <w:proofErr w:type="gramEnd"/>
      <w:r>
        <w:rPr>
          <w:rFonts w:hAnsi="標楷體" w:hint="eastAsia"/>
          <w:spacing w:val="-2"/>
        </w:rPr>
        <w:t>謀改善</w:t>
      </w:r>
      <w:r>
        <w:rPr>
          <w:rFonts w:hAnsi="標楷體" w:hint="eastAsia"/>
          <w:bCs/>
          <w:spacing w:val="-2"/>
        </w:rPr>
        <w:t>。</w:t>
      </w:r>
      <w:r>
        <w:rPr>
          <w:rFonts w:hAnsi="標楷體" w:hint="eastAsia"/>
          <w:spacing w:val="-2"/>
        </w:rPr>
        <w:t>據復：除自113年起調整公辦民營兒少安置處所社工人員及專業人員之薪資幅度外，</w:t>
      </w:r>
      <w:proofErr w:type="gramStart"/>
      <w:r>
        <w:rPr>
          <w:rFonts w:hAnsi="標楷體" w:hint="eastAsia"/>
          <w:spacing w:val="-2"/>
        </w:rPr>
        <w:t>114</w:t>
      </w:r>
      <w:proofErr w:type="gramEnd"/>
      <w:r>
        <w:rPr>
          <w:rFonts w:hAnsi="標楷體" w:hint="eastAsia"/>
          <w:spacing w:val="-2"/>
        </w:rPr>
        <w:t>年度將持續邀請特殊需求兒少在地評估小組進入安置處所進行巡迴輔導，以協助機構改善收容空間環境，降低兒少身心不適之行為發生，並將邀請心理或諮商等專家學者提供相關實務訓練，以協助一線照顧者面對情緒障礙兒少時，有確切之因應策略，</w:t>
      </w:r>
      <w:proofErr w:type="gramStart"/>
      <w:r>
        <w:rPr>
          <w:rFonts w:hAnsi="標楷體" w:hint="eastAsia"/>
          <w:spacing w:val="-2"/>
        </w:rPr>
        <w:t>減少其照護</w:t>
      </w:r>
      <w:proofErr w:type="gramEnd"/>
      <w:r>
        <w:rPr>
          <w:rFonts w:hAnsi="標楷體" w:hint="eastAsia"/>
          <w:spacing w:val="-2"/>
        </w:rPr>
        <w:t>壓力，以提升渠等留任意願。</w:t>
      </w:r>
    </w:p>
    <w:p w14:paraId="5B30F8D4" w14:textId="2735688C" w:rsidR="007B1B13" w:rsidRDefault="007B1B13" w:rsidP="007B1B13">
      <w:pPr>
        <w:pStyle w:val="04"/>
        <w:widowControl w:val="0"/>
        <w:suppressAutoHyphens w:val="0"/>
        <w:spacing w:beforeLines="50" w:before="180"/>
        <w:ind w:firstLine="280"/>
        <w:rPr>
          <w:szCs w:val="28"/>
        </w:rPr>
      </w:pPr>
      <w:r>
        <w:rPr>
          <w:rFonts w:hint="eastAsia"/>
          <w:szCs w:val="28"/>
        </w:rPr>
        <w:t>（四）</w:t>
      </w:r>
      <w:bookmarkStart w:id="57" w:name="_Hlk199165894"/>
      <w:r>
        <w:rPr>
          <w:rFonts w:hAnsi="標楷體" w:hint="eastAsia"/>
          <w:spacing w:val="-4"/>
          <w:szCs w:val="28"/>
        </w:rPr>
        <w:t>為因應臺北市人口快速老化，積極布建社區式長期照顧機構，並建置相關機構空位查詢系統，便利民眾找尋相關服務資源，</w:t>
      </w:r>
      <w:proofErr w:type="gramStart"/>
      <w:r>
        <w:rPr>
          <w:rFonts w:hAnsi="標楷體" w:hint="eastAsia"/>
          <w:spacing w:val="-4"/>
          <w:szCs w:val="28"/>
        </w:rPr>
        <w:t>惟間有家庭</w:t>
      </w:r>
      <w:proofErr w:type="gramEnd"/>
      <w:r>
        <w:rPr>
          <w:rFonts w:hAnsi="標楷體" w:hint="eastAsia"/>
          <w:spacing w:val="-4"/>
          <w:szCs w:val="28"/>
        </w:rPr>
        <w:t>托顧及失智症團體家屋服務量能不增反減，或有部分資訊揭露欠完整或未即時更新等情事，有待</w:t>
      </w:r>
      <w:proofErr w:type="gramStart"/>
      <w:r>
        <w:rPr>
          <w:rFonts w:hAnsi="標楷體" w:hint="eastAsia"/>
          <w:spacing w:val="-4"/>
          <w:szCs w:val="28"/>
        </w:rPr>
        <w:t>研</w:t>
      </w:r>
      <w:proofErr w:type="gramEnd"/>
      <w:r>
        <w:rPr>
          <w:rFonts w:hAnsi="標楷體" w:hint="eastAsia"/>
          <w:spacing w:val="-4"/>
          <w:szCs w:val="28"/>
        </w:rPr>
        <w:t>謀改善</w:t>
      </w:r>
      <w:bookmarkEnd w:id="57"/>
      <w:r>
        <w:rPr>
          <w:rFonts w:hAnsi="標楷體" w:hint="eastAsia"/>
          <w:szCs w:val="28"/>
        </w:rPr>
        <w:t>。</w:t>
      </w:r>
    </w:p>
    <w:p w14:paraId="2412B7B9" w14:textId="77777777" w:rsidR="00AE147C" w:rsidRDefault="007B1B13" w:rsidP="00F21FCC">
      <w:pPr>
        <w:kinsoku w:val="0"/>
        <w:overflowPunct w:val="0"/>
        <w:autoSpaceDE w:val="0"/>
        <w:autoSpaceDN w:val="0"/>
        <w:adjustRightInd w:val="0"/>
        <w:snapToGrid w:val="0"/>
        <w:spacing w:beforeLines="20" w:before="72" w:line="440" w:lineRule="exact"/>
        <w:ind w:firstLineChars="200" w:firstLine="480"/>
        <w:jc w:val="both"/>
        <w:rPr>
          <w:rFonts w:ascii="標楷體" w:eastAsia="標楷體" w:hAnsi="標楷體"/>
          <w:color w:val="000000" w:themeColor="text1"/>
        </w:rPr>
      </w:pPr>
      <w:r>
        <w:rPr>
          <w:rFonts w:ascii="標楷體" w:eastAsia="標楷體" w:hAnsi="標楷體" w:hint="eastAsia"/>
          <w:color w:val="000000" w:themeColor="text1"/>
        </w:rPr>
        <w:t>社會局為應臺北市自111年起邁入超高齡（Super－aged）社會，衍生長者失能、失智之長期照顧（下稱長照）需求，</w:t>
      </w:r>
      <w:proofErr w:type="gramStart"/>
      <w:r>
        <w:rPr>
          <w:rFonts w:ascii="標楷體" w:eastAsia="標楷體" w:hAnsi="標楷體" w:hint="eastAsia"/>
          <w:color w:val="000000" w:themeColor="text1"/>
        </w:rPr>
        <w:t>113</w:t>
      </w:r>
      <w:proofErr w:type="gramEnd"/>
      <w:r>
        <w:rPr>
          <w:rFonts w:ascii="標楷體" w:eastAsia="標楷體" w:hAnsi="標楷體" w:hint="eastAsia"/>
          <w:color w:val="000000" w:themeColor="text1"/>
        </w:rPr>
        <w:t>年度</w:t>
      </w:r>
      <w:proofErr w:type="gramStart"/>
      <w:r>
        <w:rPr>
          <w:rFonts w:ascii="標楷體" w:eastAsia="標楷體" w:hAnsi="標楷體" w:hint="eastAsia"/>
          <w:color w:val="000000" w:themeColor="text1"/>
        </w:rPr>
        <w:t>賡</w:t>
      </w:r>
      <w:proofErr w:type="gramEnd"/>
      <w:r>
        <w:rPr>
          <w:rFonts w:ascii="標楷體" w:eastAsia="標楷體" w:hAnsi="標楷體" w:hint="eastAsia"/>
          <w:color w:val="000000" w:themeColor="text1"/>
        </w:rPr>
        <w:t>續於公務預算及臺北市公益彩券盈餘分配基金預算項下</w:t>
      </w:r>
      <w:proofErr w:type="gramStart"/>
      <w:r>
        <w:rPr>
          <w:rFonts w:ascii="標楷體" w:eastAsia="標楷體" w:hAnsi="標楷體" w:hint="eastAsia"/>
          <w:color w:val="000000" w:themeColor="text1"/>
        </w:rPr>
        <w:t>匡列共</w:t>
      </w:r>
      <w:proofErr w:type="gramEnd"/>
      <w:r>
        <w:rPr>
          <w:rFonts w:ascii="標楷體" w:eastAsia="標楷體" w:hAnsi="標楷體" w:hint="eastAsia"/>
          <w:color w:val="000000" w:themeColor="text1"/>
        </w:rPr>
        <w:t>2億2,917萬餘元經費，委託或補助辦理老人服務中心及日間照顧中心，與推動</w:t>
      </w:r>
      <w:proofErr w:type="gramStart"/>
      <w:r>
        <w:rPr>
          <w:rFonts w:ascii="標楷體" w:eastAsia="標楷體" w:hAnsi="標楷體" w:hint="eastAsia"/>
          <w:color w:val="000000" w:themeColor="text1"/>
        </w:rPr>
        <w:t>家庭托顧服務</w:t>
      </w:r>
      <w:proofErr w:type="gramEnd"/>
      <w:r>
        <w:rPr>
          <w:rFonts w:ascii="標楷體" w:eastAsia="標楷體" w:hAnsi="標楷體" w:hint="eastAsia"/>
          <w:color w:val="000000" w:themeColor="text1"/>
        </w:rPr>
        <w:t>等業務。截至113年8月底止，臺北市特約社區式長期照顧機構（下稱社區式長照機構）80家，包括日間照顧中心及小規模多機能服務中心72家（不含身心障礙者日間照顧，以下統稱日照中心）、失智症團體家屋（下稱團體家屋）1家及</w:t>
      </w:r>
      <w:proofErr w:type="gramStart"/>
      <w:r>
        <w:rPr>
          <w:rFonts w:ascii="標楷體" w:eastAsia="標楷體" w:hAnsi="標楷體" w:hint="eastAsia"/>
          <w:color w:val="000000" w:themeColor="text1"/>
        </w:rPr>
        <w:t>家庭托顧服務</w:t>
      </w:r>
      <w:proofErr w:type="gramEnd"/>
      <w:r>
        <w:rPr>
          <w:rFonts w:ascii="標楷體" w:eastAsia="標楷體" w:hAnsi="標楷體" w:hint="eastAsia"/>
          <w:color w:val="000000" w:themeColor="text1"/>
        </w:rPr>
        <w:t>單位7家。另為利民眾查詢老人福利機構（下稱老福機構）及前開</w:t>
      </w:r>
      <w:proofErr w:type="gramStart"/>
      <w:r>
        <w:rPr>
          <w:rFonts w:ascii="標楷體" w:eastAsia="標楷體" w:hAnsi="標楷體" w:hint="eastAsia"/>
          <w:color w:val="000000" w:themeColor="text1"/>
        </w:rPr>
        <w:t>社區式長照</w:t>
      </w:r>
      <w:proofErr w:type="gramEnd"/>
      <w:r>
        <w:rPr>
          <w:rFonts w:ascii="標楷體" w:eastAsia="標楷體" w:hAnsi="標楷體" w:hint="eastAsia"/>
          <w:color w:val="000000" w:themeColor="text1"/>
        </w:rPr>
        <w:t>機構等社會福利設施之即時空位等資訊，以促進機構間轉</w:t>
      </w:r>
      <w:proofErr w:type="gramStart"/>
      <w:r>
        <w:rPr>
          <w:rFonts w:ascii="標楷體" w:eastAsia="標楷體" w:hAnsi="標楷體" w:hint="eastAsia"/>
          <w:color w:val="000000" w:themeColor="text1"/>
        </w:rPr>
        <w:t>介</w:t>
      </w:r>
      <w:proofErr w:type="gramEnd"/>
      <w:r>
        <w:rPr>
          <w:rFonts w:ascii="標楷體" w:eastAsia="標楷體" w:hAnsi="標楷體" w:hint="eastAsia"/>
          <w:color w:val="000000" w:themeColor="text1"/>
        </w:rPr>
        <w:t>機制，強化經營管理效能等目的，與新北市政府合作建立前開機構空位查詢系統</w:t>
      </w:r>
      <w:proofErr w:type="gramStart"/>
      <w:r>
        <w:rPr>
          <w:rFonts w:ascii="標楷體" w:eastAsia="標楷體" w:hAnsi="標楷體" w:hint="eastAsia"/>
          <w:color w:val="000000" w:themeColor="text1"/>
        </w:rPr>
        <w:t>（</w:t>
      </w:r>
      <w:proofErr w:type="gramEnd"/>
      <w:r>
        <w:rPr>
          <w:rFonts w:ascii="標楷體" w:eastAsia="標楷體" w:hAnsi="標楷體" w:hint="eastAsia"/>
          <w:color w:val="000000" w:themeColor="text1"/>
        </w:rPr>
        <w:t>下稱空位查</w:t>
      </w:r>
    </w:p>
    <w:p w14:paraId="00C6C432" w14:textId="082F9278" w:rsidR="007B1B13" w:rsidRDefault="00F21FCC" w:rsidP="00AE147C">
      <w:pPr>
        <w:kinsoku w:val="0"/>
        <w:overflowPunct w:val="0"/>
        <w:autoSpaceDE w:val="0"/>
        <w:autoSpaceDN w:val="0"/>
        <w:adjustRightInd w:val="0"/>
        <w:snapToGrid w:val="0"/>
        <w:spacing w:beforeLines="20" w:before="72" w:line="440" w:lineRule="exact"/>
        <w:jc w:val="both"/>
        <w:rPr>
          <w:rFonts w:ascii="標楷體" w:eastAsia="標楷體" w:hAnsi="標楷體"/>
          <w:color w:val="000000" w:themeColor="text1"/>
          <w:szCs w:val="24"/>
        </w:rPr>
      </w:pPr>
      <w:r>
        <w:rPr>
          <w:rFonts w:hint="eastAsia"/>
          <w:noProof/>
          <w:szCs w:val="24"/>
        </w:rPr>
        <w:lastRenderedPageBreak/>
        <mc:AlternateContent>
          <mc:Choice Requires="wps">
            <w:drawing>
              <wp:anchor distT="0" distB="0" distL="114300" distR="114300" simplePos="0" relativeHeight="251753472" behindDoc="1" locked="0" layoutInCell="1" allowOverlap="1" wp14:anchorId="4EE6347C" wp14:editId="505EC7F8">
                <wp:simplePos x="0" y="0"/>
                <wp:positionH relativeFrom="column">
                  <wp:posOffset>2179955</wp:posOffset>
                </wp:positionH>
                <wp:positionV relativeFrom="page">
                  <wp:posOffset>933450</wp:posOffset>
                </wp:positionV>
                <wp:extent cx="4259580" cy="2453640"/>
                <wp:effectExtent l="0" t="0" r="7620" b="3810"/>
                <wp:wrapTight wrapText="bothSides">
                  <wp:wrapPolygon edited="0">
                    <wp:start x="0" y="0"/>
                    <wp:lineTo x="0" y="21466"/>
                    <wp:lineTo x="21542" y="21466"/>
                    <wp:lineTo x="21542" y="0"/>
                    <wp:lineTo x="0" y="0"/>
                  </wp:wrapPolygon>
                </wp:wrapTight>
                <wp:docPr id="927419635" name="文字方塊 927419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9580" cy="2453640"/>
                        </a:xfrm>
                        <a:prstGeom prst="rect">
                          <a:avLst/>
                        </a:prstGeom>
                        <a:solidFill>
                          <a:srgbClr val="FFFFFF"/>
                        </a:solidFill>
                        <a:ln w="9525">
                          <a:noFill/>
                          <a:miter lim="800000"/>
                          <a:headEnd/>
                          <a:tailEnd/>
                        </a:ln>
                      </wps:spPr>
                      <wps:txbx>
                        <w:txbxContent>
                          <w:p w14:paraId="38BC0AEE" w14:textId="77777777" w:rsidR="007B1B13" w:rsidRDefault="007B1B13" w:rsidP="007B1B13">
                            <w:pPr>
                              <w:spacing w:line="260" w:lineRule="exact"/>
                              <w:jc w:val="center"/>
                              <w:rPr>
                                <w:rFonts w:ascii="標楷體" w:eastAsia="標楷體" w:hAnsi="標楷體"/>
                                <w:b/>
                              </w:rPr>
                            </w:pPr>
                            <w:r>
                              <w:rPr>
                                <w:rFonts w:ascii="標楷體" w:eastAsia="標楷體" w:hAnsi="標楷體" w:hint="eastAsia"/>
                                <w:b/>
                              </w:rPr>
                              <w:t>圖2  臺北市家庭托顧及團體家屋服務辦理情形</w:t>
                            </w:r>
                          </w:p>
                          <w:p w14:paraId="20FC1212" w14:textId="2FC7F5F4" w:rsidR="007B1B13" w:rsidRDefault="007B1B13" w:rsidP="007B1B13">
                            <w:pPr>
                              <w:rPr>
                                <w:rFonts w:ascii="Times New Roman" w:eastAsia="新細明體" w:hAnsi="Times New Roman"/>
                              </w:rPr>
                            </w:pPr>
                            <w:r>
                              <w:rPr>
                                <w:rFonts w:ascii="Times New Roman" w:eastAsia="新細明體" w:hAnsi="Times New Roman" w:cs="Times New Roman"/>
                                <w:noProof/>
                                <w:szCs w:val="24"/>
                              </w:rPr>
                              <w:drawing>
                                <wp:inline distT="0" distB="0" distL="0" distR="0" wp14:anchorId="22E14FB8" wp14:editId="571777ED">
                                  <wp:extent cx="4086225" cy="2019300"/>
                                  <wp:effectExtent l="0" t="0" r="0" b="0"/>
                                  <wp:docPr id="122" name="圖表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14E0C91" w14:textId="77777777" w:rsidR="007B1B13" w:rsidRDefault="007B1B13" w:rsidP="00B418C5">
                            <w:pPr>
                              <w:spacing w:line="200" w:lineRule="exact"/>
                              <w:ind w:leftChars="100" w:left="240"/>
                              <w:rPr>
                                <w:rFonts w:ascii="標楷體" w:eastAsia="標楷體" w:hAnsi="標楷體"/>
                                <w:sz w:val="18"/>
                                <w:szCs w:val="18"/>
                              </w:rPr>
                            </w:pPr>
                            <w:r>
                              <w:rPr>
                                <w:rFonts w:ascii="標楷體" w:eastAsia="標楷體" w:hAnsi="標楷體" w:hint="eastAsia"/>
                                <w:sz w:val="18"/>
                                <w:szCs w:val="18"/>
                              </w:rPr>
                              <w:t>資料來源：整理自社會局提供資料。</w:t>
                            </w:r>
                          </w:p>
                        </w:txbxContent>
                      </wps:txbx>
                      <wps:bodyPr rot="0" vertOverflow="clip" horzOverflow="clip"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w14:anchorId="4EE6347C" id="文字方塊 927419635" o:spid="_x0000_s1102" type="#_x0000_t202" style="position:absolute;left:0;text-align:left;margin-left:171.65pt;margin-top:73.5pt;width:335.4pt;height:193.2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" stroked="f">
                <v:textbox>
                  <w:txbxContent>
                    <w:p w14:paraId="38BC0AEE" w14:textId="77777777" w:rsidR="007B1B13" w:rsidRDefault="007B1B13" w:rsidP="007B1B13">
                      <w:pPr>
                        <w:spacing w:line="260" w:lineRule="exact"/>
                        <w:jc w:val="center"/>
                        <w:rPr>
                          <w:rFonts w:ascii="標楷體" w:eastAsia="標楷體" w:hAnsi="標楷體"/>
                          <w:b/>
                        </w:rPr>
                      </w:pPr>
                      <w:r>
                        <w:rPr>
                          <w:rFonts w:ascii="標楷體" w:eastAsia="標楷體" w:hAnsi="標楷體" w:hint="eastAsia"/>
                          <w:b/>
                        </w:rPr>
                        <w:t>圖2  臺北市家庭托顧及團體家屋服務辦理情形</w:t>
                      </w:r>
                    </w:p>
                    <w:p w14:paraId="20FC1212" w14:textId="2FC7F5F4" w:rsidR="007B1B13" w:rsidRDefault="007B1B13" w:rsidP="007B1B13">
                      <w:pPr>
                        <w:rPr>
                          <w:rFonts w:ascii="Times New Roman" w:eastAsia="新細明體" w:hAnsi="Times New Roman"/>
                        </w:rPr>
                      </w:pPr>
                      <w:r>
                        <w:rPr>
                          <w:rFonts w:ascii="Times New Roman" w:eastAsia="新細明體" w:hAnsi="Times New Roman" w:cs="Times New Roman"/>
                          <w:noProof/>
                          <w:szCs w:val="24"/>
                        </w:rPr>
                        <w:drawing>
                          <wp:inline distT="0" distB="0" distL="0" distR="0" wp14:anchorId="22E14FB8" wp14:editId="571777ED">
                            <wp:extent cx="4086225" cy="2019300"/>
                            <wp:effectExtent l="0" t="0" r="0" b="0"/>
                            <wp:docPr id="122" name="圖表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14E0C91" w14:textId="77777777" w:rsidR="007B1B13" w:rsidRDefault="007B1B13" w:rsidP="00B418C5">
                      <w:pPr>
                        <w:spacing w:line="200" w:lineRule="exact"/>
                        <w:ind w:leftChars="100" w:left="240"/>
                        <w:rPr>
                          <w:rFonts w:ascii="標楷體" w:eastAsia="標楷體" w:hAnsi="標楷體"/>
                          <w:sz w:val="18"/>
                          <w:szCs w:val="18"/>
                        </w:rPr>
                      </w:pPr>
                      <w:r>
                        <w:rPr>
                          <w:rFonts w:ascii="標楷體" w:eastAsia="標楷體" w:hAnsi="標楷體" w:hint="eastAsia"/>
                          <w:sz w:val="18"/>
                          <w:szCs w:val="18"/>
                        </w:rPr>
                        <w:t>資料來源：整理自社會局提供資料。</w:t>
                      </w:r>
                    </w:p>
                  </w:txbxContent>
                </v:textbox>
                <w10:wrap type="tight" anchory="page"/>
              </v:shape>
            </w:pict>
          </mc:Fallback>
        </mc:AlternateContent>
      </w:r>
      <w:proofErr w:type="gramStart"/>
      <w:r w:rsidR="007B1B13">
        <w:rPr>
          <w:rFonts w:ascii="標楷體" w:eastAsia="標楷體" w:hAnsi="標楷體" w:hint="eastAsia"/>
          <w:color w:val="000000" w:themeColor="text1"/>
        </w:rPr>
        <w:t>詢</w:t>
      </w:r>
      <w:proofErr w:type="gramEnd"/>
      <w:r w:rsidR="007B1B13">
        <w:rPr>
          <w:rFonts w:ascii="標楷體" w:eastAsia="標楷體" w:hAnsi="標楷體" w:hint="eastAsia"/>
          <w:color w:val="000000" w:themeColor="text1"/>
        </w:rPr>
        <w:t>系統</w:t>
      </w:r>
      <w:proofErr w:type="gramStart"/>
      <w:r w:rsidR="007B1B13">
        <w:rPr>
          <w:rFonts w:ascii="標楷體" w:eastAsia="標楷體" w:hAnsi="標楷體" w:hint="eastAsia"/>
          <w:color w:val="000000" w:themeColor="text1"/>
        </w:rPr>
        <w:t>）</w:t>
      </w:r>
      <w:proofErr w:type="gramEnd"/>
      <w:r w:rsidR="007B1B13">
        <w:rPr>
          <w:rFonts w:ascii="標楷體" w:eastAsia="標楷體" w:hAnsi="標楷體" w:hint="eastAsia"/>
          <w:color w:val="000000" w:themeColor="text1"/>
        </w:rPr>
        <w:t>，</w:t>
      </w:r>
      <w:proofErr w:type="gramStart"/>
      <w:r w:rsidR="007B1B13">
        <w:rPr>
          <w:rFonts w:ascii="標楷體" w:eastAsia="標楷體" w:hAnsi="標楷體" w:hint="eastAsia"/>
          <w:color w:val="000000" w:themeColor="text1"/>
        </w:rPr>
        <w:t>113</w:t>
      </w:r>
      <w:proofErr w:type="gramEnd"/>
      <w:r w:rsidR="007B1B13">
        <w:rPr>
          <w:rFonts w:ascii="標楷體" w:eastAsia="標楷體" w:hAnsi="標楷體" w:hint="eastAsia"/>
          <w:color w:val="000000" w:themeColor="text1"/>
        </w:rPr>
        <w:t>年度</w:t>
      </w:r>
      <w:proofErr w:type="gramStart"/>
      <w:r w:rsidR="007B1B13">
        <w:rPr>
          <w:rFonts w:ascii="標楷體" w:eastAsia="標楷體" w:hAnsi="標楷體" w:hint="eastAsia"/>
          <w:color w:val="000000" w:themeColor="text1"/>
        </w:rPr>
        <w:t>賡</w:t>
      </w:r>
      <w:proofErr w:type="gramEnd"/>
      <w:r w:rsidR="007B1B13">
        <w:rPr>
          <w:rFonts w:ascii="標楷體" w:eastAsia="標楷體" w:hAnsi="標楷體" w:hint="eastAsia"/>
          <w:color w:val="000000" w:themeColor="text1"/>
        </w:rPr>
        <w:t>續於公務預算編列18</w:t>
      </w:r>
      <w:proofErr w:type="gramStart"/>
      <w:r w:rsidR="007B1B13">
        <w:rPr>
          <w:rFonts w:ascii="標楷體" w:eastAsia="標楷體" w:hAnsi="標楷體" w:hint="eastAsia"/>
          <w:color w:val="000000" w:themeColor="text1"/>
        </w:rPr>
        <w:t>萬餘元委外</w:t>
      </w:r>
      <w:proofErr w:type="gramEnd"/>
      <w:r w:rsidR="007B1B13">
        <w:rPr>
          <w:rFonts w:ascii="標楷體" w:eastAsia="標楷體" w:hAnsi="標楷體" w:hint="eastAsia"/>
          <w:color w:val="000000" w:themeColor="text1"/>
        </w:rPr>
        <w:t>維護管理該系統。經查執行情形，核有：1.111至</w:t>
      </w:r>
      <w:proofErr w:type="gramStart"/>
      <w:r w:rsidR="007B1B13">
        <w:rPr>
          <w:rFonts w:ascii="標楷體" w:eastAsia="標楷體" w:hAnsi="標楷體" w:hint="eastAsia"/>
          <w:color w:val="000000" w:themeColor="text1"/>
        </w:rPr>
        <w:t>113</w:t>
      </w:r>
      <w:proofErr w:type="gramEnd"/>
      <w:r w:rsidR="007B1B13">
        <w:rPr>
          <w:rFonts w:ascii="標楷體" w:eastAsia="標楷體" w:hAnsi="標楷體" w:hint="eastAsia"/>
          <w:color w:val="000000" w:themeColor="text1"/>
        </w:rPr>
        <w:t>年度該局配合衛生福利部推動布建</w:t>
      </w:r>
      <w:proofErr w:type="gramStart"/>
      <w:r w:rsidR="007B1B13">
        <w:rPr>
          <w:rFonts w:ascii="標楷體" w:eastAsia="標楷體" w:hAnsi="標楷體" w:hint="eastAsia"/>
          <w:color w:val="000000" w:themeColor="text1"/>
        </w:rPr>
        <w:t>家庭托顧服務</w:t>
      </w:r>
      <w:proofErr w:type="gramEnd"/>
      <w:r w:rsidR="007B1B13">
        <w:rPr>
          <w:rFonts w:ascii="標楷體" w:eastAsia="標楷體" w:hAnsi="標楷體" w:hint="eastAsia"/>
          <w:color w:val="000000" w:themeColor="text1"/>
        </w:rPr>
        <w:t>單位及團體家屋情形，其中前者核准設立數量雖由111年底之6家微增至113年8月底之7家，惟服務人數卻由111年底之29人下</w:t>
      </w:r>
      <w:r w:rsidR="00815553">
        <w:rPr>
          <w:rFonts w:hint="eastAsia"/>
          <w:noProof/>
          <w:szCs w:val="24"/>
        </w:rPr>
        <mc:AlternateContent>
          <mc:Choice Requires="wps">
            <w:drawing>
              <wp:anchor distT="0" distB="0" distL="114300" distR="114300" simplePos="0" relativeHeight="251752448" behindDoc="1" locked="0" layoutInCell="1" allowOverlap="1" wp14:anchorId="70786B63" wp14:editId="79F8BB5B">
                <wp:simplePos x="0" y="0"/>
                <wp:positionH relativeFrom="margin">
                  <wp:posOffset>3199130</wp:posOffset>
                </wp:positionH>
                <wp:positionV relativeFrom="page">
                  <wp:posOffset>3590925</wp:posOffset>
                </wp:positionV>
                <wp:extent cx="3114040" cy="1485900"/>
                <wp:effectExtent l="0" t="0" r="0" b="0"/>
                <wp:wrapTight wrapText="bothSides">
                  <wp:wrapPolygon edited="0">
                    <wp:start x="0" y="0"/>
                    <wp:lineTo x="0" y="21323"/>
                    <wp:lineTo x="21406" y="21323"/>
                    <wp:lineTo x="21406" y="0"/>
                    <wp:lineTo x="0" y="0"/>
                  </wp:wrapPolygon>
                </wp:wrapTight>
                <wp:docPr id="927419633" name="矩形 927419633"/>
                <wp:cNvGraphicFramePr/>
                <a:graphic xmlns:a="http://schemas.openxmlformats.org/drawingml/2006/main">
                  <a:graphicData uri="http://schemas.microsoft.com/office/word/2010/wordprocessingShape">
                    <wps:wsp>
                      <wps:cNvSpPr/>
                      <wps:spPr>
                        <a:xfrm>
                          <a:off x="0" y="0"/>
                          <a:ext cx="3114040" cy="1485900"/>
                        </a:xfrm>
                        <a:prstGeom prst="rect">
                          <a:avLst/>
                        </a:prstGeom>
                        <a:solidFill>
                          <a:sysClr val="window" lastClr="FFFFFF"/>
                        </a:solidFill>
                        <a:ln w="12700" cap="flat" cmpd="sng" algn="ctr">
                          <a:noFill/>
                          <a:prstDash val="solid"/>
                          <a:miter lim="800000"/>
                        </a:ln>
                        <a:effectLst/>
                      </wps:spPr>
                      <wps:txbx>
                        <w:txbxContent>
                          <w:tbl>
                            <w:tblPr>
                              <w:tblW w:w="4680" w:type="dxa"/>
                              <w:tblLayout w:type="fixed"/>
                              <w:tblCellMar>
                                <w:left w:w="28" w:type="dxa"/>
                                <w:right w:w="28" w:type="dxa"/>
                              </w:tblCellMar>
                              <w:tblLook w:val="04A0" w:firstRow="1" w:lastRow="0" w:firstColumn="1" w:lastColumn="0" w:noHBand="0" w:noVBand="1"/>
                            </w:tblPr>
                            <w:tblGrid>
                              <w:gridCol w:w="994"/>
                              <w:gridCol w:w="709"/>
                              <w:gridCol w:w="1134"/>
                              <w:gridCol w:w="709"/>
                              <w:gridCol w:w="1134"/>
                            </w:tblGrid>
                            <w:tr w:rsidR="007B1B13" w14:paraId="4E20A1B3" w14:textId="77777777">
                              <w:trPr>
                                <w:trHeight w:val="221"/>
                              </w:trPr>
                              <w:tc>
                                <w:tcPr>
                                  <w:tcW w:w="4678" w:type="dxa"/>
                                  <w:gridSpan w:val="5"/>
                                  <w:noWrap/>
                                  <w:vAlign w:val="center"/>
                                  <w:hideMark/>
                                </w:tcPr>
                                <w:p w14:paraId="2C15746F" w14:textId="136D3DDB" w:rsidR="007B1B13" w:rsidRPr="007B1B13" w:rsidRDefault="007B1B13" w:rsidP="007B1B13">
                                  <w:pPr>
                                    <w:widowControl/>
                                    <w:rPr>
                                      <w:kern w:val="0"/>
                                      <w:sz w:val="20"/>
                                      <w:szCs w:val="20"/>
                                    </w:rPr>
                                  </w:pPr>
                                  <w:r>
                                    <w:rPr>
                                      <w:rFonts w:ascii="標楷體" w:eastAsia="標楷體" w:hAnsi="標楷體" w:cs="新細明體" w:hint="eastAsia"/>
                                      <w:b/>
                                      <w:bCs/>
                                      <w:color w:val="000000"/>
                                      <w:spacing w:val="-10"/>
                                      <w:kern w:val="0"/>
                                    </w:rPr>
                                    <w:t>表5</w:t>
                                  </w:r>
                                  <w:r>
                                    <w:rPr>
                                      <w:rFonts w:ascii="標楷體" w:eastAsia="標楷體" w:hAnsi="標楷體" w:cs="新細明體" w:hint="eastAsia"/>
                                      <w:b/>
                                      <w:bCs/>
                                      <w:color w:val="FFFFFF" w:themeColor="background1"/>
                                      <w:spacing w:val="-10"/>
                                      <w:kern w:val="0"/>
                                    </w:rPr>
                                    <w:t>■</w:t>
                                  </w:r>
                                  <w:r>
                                    <w:rPr>
                                      <w:rFonts w:ascii="標楷體" w:eastAsia="標楷體" w:hAnsi="標楷體" w:cs="新細明體" w:hint="eastAsia"/>
                                      <w:b/>
                                      <w:bCs/>
                                      <w:color w:val="000000"/>
                                      <w:spacing w:val="-10"/>
                                      <w:kern w:val="0"/>
                                    </w:rPr>
                                    <w:t>臺北市家庭托顧及團體家屋資源布建情形</w:t>
                                  </w:r>
                                </w:p>
                              </w:tc>
                            </w:tr>
                            <w:tr w:rsidR="007B1B13" w14:paraId="69AACAA5" w14:textId="77777777">
                              <w:trPr>
                                <w:trHeight w:val="154"/>
                              </w:trPr>
                              <w:tc>
                                <w:tcPr>
                                  <w:tcW w:w="4678" w:type="dxa"/>
                                  <w:gridSpan w:val="5"/>
                                  <w:tcBorders>
                                    <w:top w:val="nil"/>
                                    <w:left w:val="nil"/>
                                    <w:bottom w:val="single" w:sz="4" w:space="0" w:color="auto"/>
                                    <w:right w:val="nil"/>
                                  </w:tcBorders>
                                  <w:noWrap/>
                                  <w:vAlign w:val="center"/>
                                  <w:hideMark/>
                                </w:tcPr>
                                <w:p w14:paraId="54E82A47"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單位：家、人</w:t>
                                  </w:r>
                                </w:p>
                              </w:tc>
                            </w:tr>
                            <w:tr w:rsidR="007B1B13" w14:paraId="5B709B32" w14:textId="77777777">
                              <w:trPr>
                                <w:trHeight w:val="154"/>
                              </w:trPr>
                              <w:tc>
                                <w:tcPr>
                                  <w:tcW w:w="993" w:type="dxa"/>
                                  <w:vMerge w:val="restart"/>
                                  <w:tcBorders>
                                    <w:top w:val="nil"/>
                                    <w:left w:val="single" w:sz="4" w:space="0" w:color="auto"/>
                                    <w:bottom w:val="single" w:sz="4" w:space="0" w:color="000000"/>
                                    <w:right w:val="single" w:sz="4" w:space="0" w:color="auto"/>
                                  </w:tcBorders>
                                  <w:noWrap/>
                                  <w:vAlign w:val="center"/>
                                  <w:hideMark/>
                                </w:tcPr>
                                <w:p w14:paraId="582D0883" w14:textId="77777777" w:rsidR="007B1B13" w:rsidRDefault="007B1B13">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tc>
                              <w:tc>
                                <w:tcPr>
                                  <w:tcW w:w="1842" w:type="dxa"/>
                                  <w:gridSpan w:val="2"/>
                                  <w:tcBorders>
                                    <w:top w:val="single" w:sz="4" w:space="0" w:color="auto"/>
                                    <w:left w:val="nil"/>
                                    <w:bottom w:val="single" w:sz="4" w:space="0" w:color="auto"/>
                                    <w:right w:val="single" w:sz="4" w:space="0" w:color="auto"/>
                                  </w:tcBorders>
                                  <w:noWrap/>
                                  <w:vAlign w:val="center"/>
                                  <w:hideMark/>
                                </w:tcPr>
                                <w:p w14:paraId="52AC6AFF" w14:textId="77777777" w:rsidR="007B1B13" w:rsidRDefault="007B1B1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資源布建數</w:t>
                                  </w:r>
                                </w:p>
                              </w:tc>
                              <w:tc>
                                <w:tcPr>
                                  <w:tcW w:w="1843" w:type="dxa"/>
                                  <w:gridSpan w:val="2"/>
                                  <w:tcBorders>
                                    <w:top w:val="single" w:sz="4" w:space="0" w:color="auto"/>
                                    <w:left w:val="nil"/>
                                    <w:bottom w:val="single" w:sz="4" w:space="0" w:color="auto"/>
                                    <w:right w:val="single" w:sz="4" w:space="0" w:color="auto"/>
                                  </w:tcBorders>
                                  <w:noWrap/>
                                  <w:vAlign w:val="center"/>
                                  <w:hideMark/>
                                </w:tcPr>
                                <w:p w14:paraId="3B919792" w14:textId="77777777" w:rsidR="007B1B13" w:rsidRDefault="007B1B1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服務人數</w:t>
                                  </w:r>
                                </w:p>
                              </w:tc>
                            </w:tr>
                            <w:tr w:rsidR="007B1B13" w14:paraId="0A4B9A94" w14:textId="77777777">
                              <w:trPr>
                                <w:trHeight w:val="154"/>
                              </w:trPr>
                              <w:tc>
                                <w:tcPr>
                                  <w:tcW w:w="4678" w:type="dxa"/>
                                  <w:vMerge/>
                                  <w:tcBorders>
                                    <w:top w:val="nil"/>
                                    <w:left w:val="single" w:sz="4" w:space="0" w:color="auto"/>
                                    <w:bottom w:val="single" w:sz="4" w:space="0" w:color="000000"/>
                                    <w:right w:val="single" w:sz="4" w:space="0" w:color="auto"/>
                                  </w:tcBorders>
                                  <w:vAlign w:val="center"/>
                                  <w:hideMark/>
                                </w:tcPr>
                                <w:p w14:paraId="09FEC13B" w14:textId="77777777" w:rsidR="007B1B13" w:rsidRDefault="007B1B13">
                                  <w:pPr>
                                    <w:widowControl/>
                                    <w:rPr>
                                      <w:rFonts w:ascii="標楷體" w:eastAsia="標楷體" w:hAnsi="標楷體" w:cs="新細明體"/>
                                      <w:color w:val="000000"/>
                                      <w:kern w:val="0"/>
                                      <w:sz w:val="20"/>
                                      <w:szCs w:val="24"/>
                                    </w:rPr>
                                  </w:pPr>
                                </w:p>
                              </w:tc>
                              <w:tc>
                                <w:tcPr>
                                  <w:tcW w:w="708" w:type="dxa"/>
                                  <w:tcBorders>
                                    <w:top w:val="nil"/>
                                    <w:left w:val="nil"/>
                                    <w:bottom w:val="single" w:sz="4" w:space="0" w:color="auto"/>
                                    <w:right w:val="single" w:sz="4" w:space="0" w:color="auto"/>
                                  </w:tcBorders>
                                  <w:noWrap/>
                                  <w:vAlign w:val="center"/>
                                  <w:hideMark/>
                                </w:tcPr>
                                <w:p w14:paraId="0D47B5C6" w14:textId="77777777" w:rsidR="007B1B13" w:rsidRDefault="007B1B13">
                                  <w:pPr>
                                    <w:widowControl/>
                                    <w:spacing w:line="2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113年</w:t>
                                  </w:r>
                                </w:p>
                                <w:p w14:paraId="13152F65" w14:textId="77777777" w:rsidR="007B1B13" w:rsidRDefault="007B1B13">
                                  <w:pPr>
                                    <w:widowControl/>
                                    <w:spacing w:line="2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目標數</w:t>
                                  </w:r>
                                </w:p>
                              </w:tc>
                              <w:tc>
                                <w:tcPr>
                                  <w:tcW w:w="1134" w:type="dxa"/>
                                  <w:tcBorders>
                                    <w:top w:val="nil"/>
                                    <w:left w:val="nil"/>
                                    <w:bottom w:val="single" w:sz="4" w:space="0" w:color="auto"/>
                                    <w:right w:val="single" w:sz="4" w:space="0" w:color="auto"/>
                                  </w:tcBorders>
                                  <w:noWrap/>
                                  <w:vAlign w:val="center"/>
                                  <w:hideMark/>
                                </w:tcPr>
                                <w:p w14:paraId="2EC7ED97" w14:textId="77777777" w:rsidR="007B1B13" w:rsidRDefault="007B1B13">
                                  <w:pPr>
                                    <w:widowControl/>
                                    <w:spacing w:line="220" w:lineRule="exact"/>
                                    <w:jc w:val="center"/>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截至113年8月底</w:t>
                                  </w:r>
                                  <w:proofErr w:type="gramStart"/>
                                  <w:r>
                                    <w:rPr>
                                      <w:rFonts w:ascii="標楷體" w:eastAsia="標楷體" w:hAnsi="標楷體" w:cs="新細明體" w:hint="eastAsia"/>
                                      <w:color w:val="000000"/>
                                      <w:spacing w:val="-20"/>
                                      <w:kern w:val="0"/>
                                      <w:sz w:val="20"/>
                                    </w:rPr>
                                    <w:t>止</w:t>
                                  </w:r>
                                  <w:proofErr w:type="gramEnd"/>
                                  <w:r>
                                    <w:rPr>
                                      <w:rFonts w:ascii="標楷體" w:eastAsia="標楷體" w:hAnsi="標楷體" w:cs="新細明體" w:hint="eastAsia"/>
                                      <w:color w:val="000000"/>
                                      <w:spacing w:val="-20"/>
                                      <w:kern w:val="0"/>
                                      <w:sz w:val="20"/>
                                    </w:rPr>
                                    <w:t>實際數</w:t>
                                  </w:r>
                                </w:p>
                              </w:tc>
                              <w:tc>
                                <w:tcPr>
                                  <w:tcW w:w="709" w:type="dxa"/>
                                  <w:tcBorders>
                                    <w:top w:val="nil"/>
                                    <w:left w:val="nil"/>
                                    <w:bottom w:val="single" w:sz="4" w:space="0" w:color="auto"/>
                                    <w:right w:val="single" w:sz="4" w:space="0" w:color="auto"/>
                                  </w:tcBorders>
                                  <w:noWrap/>
                                  <w:vAlign w:val="center"/>
                                  <w:hideMark/>
                                </w:tcPr>
                                <w:p w14:paraId="46F280AA" w14:textId="77777777" w:rsidR="007B1B13" w:rsidRDefault="007B1B13">
                                  <w:pPr>
                                    <w:widowControl/>
                                    <w:spacing w:line="2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113年</w:t>
                                  </w:r>
                                </w:p>
                                <w:p w14:paraId="603EC62F" w14:textId="77777777" w:rsidR="007B1B13" w:rsidRDefault="007B1B13">
                                  <w:pPr>
                                    <w:widowControl/>
                                    <w:spacing w:line="2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目標數</w:t>
                                  </w:r>
                                </w:p>
                              </w:tc>
                              <w:tc>
                                <w:tcPr>
                                  <w:tcW w:w="1134" w:type="dxa"/>
                                  <w:tcBorders>
                                    <w:top w:val="nil"/>
                                    <w:left w:val="nil"/>
                                    <w:bottom w:val="single" w:sz="4" w:space="0" w:color="auto"/>
                                    <w:right w:val="single" w:sz="4" w:space="0" w:color="auto"/>
                                  </w:tcBorders>
                                  <w:noWrap/>
                                  <w:vAlign w:val="center"/>
                                  <w:hideMark/>
                                </w:tcPr>
                                <w:p w14:paraId="6345DD67" w14:textId="77777777" w:rsidR="007B1B13" w:rsidRDefault="007B1B13">
                                  <w:pPr>
                                    <w:widowControl/>
                                    <w:spacing w:line="2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spacing w:val="-20"/>
                                      <w:kern w:val="0"/>
                                      <w:sz w:val="20"/>
                                    </w:rPr>
                                    <w:t>截至113年8月底</w:t>
                                  </w:r>
                                  <w:proofErr w:type="gramStart"/>
                                  <w:r>
                                    <w:rPr>
                                      <w:rFonts w:ascii="標楷體" w:eastAsia="標楷體" w:hAnsi="標楷體" w:cs="新細明體" w:hint="eastAsia"/>
                                      <w:color w:val="000000"/>
                                      <w:spacing w:val="-20"/>
                                      <w:kern w:val="0"/>
                                      <w:sz w:val="20"/>
                                    </w:rPr>
                                    <w:t>止</w:t>
                                  </w:r>
                                  <w:proofErr w:type="gramEnd"/>
                                  <w:r>
                                    <w:rPr>
                                      <w:rFonts w:ascii="標楷體" w:eastAsia="標楷體" w:hAnsi="標楷體" w:cs="新細明體" w:hint="eastAsia"/>
                                      <w:color w:val="000000"/>
                                      <w:spacing w:val="-20"/>
                                      <w:kern w:val="0"/>
                                      <w:sz w:val="20"/>
                                    </w:rPr>
                                    <w:t>實際數</w:t>
                                  </w:r>
                                </w:p>
                              </w:tc>
                            </w:tr>
                            <w:tr w:rsidR="007B1B13" w14:paraId="7499ABB9" w14:textId="77777777">
                              <w:trPr>
                                <w:trHeight w:hRule="exact" w:val="283"/>
                              </w:trPr>
                              <w:tc>
                                <w:tcPr>
                                  <w:tcW w:w="993" w:type="dxa"/>
                                  <w:tcBorders>
                                    <w:top w:val="nil"/>
                                    <w:left w:val="single" w:sz="4" w:space="0" w:color="auto"/>
                                    <w:bottom w:val="single" w:sz="4" w:space="0" w:color="auto"/>
                                    <w:right w:val="single" w:sz="4" w:space="0" w:color="auto"/>
                                  </w:tcBorders>
                                  <w:noWrap/>
                                  <w:vAlign w:val="center"/>
                                  <w:hideMark/>
                                </w:tcPr>
                                <w:p w14:paraId="1175D14C" w14:textId="77777777" w:rsidR="007B1B13" w:rsidRDefault="007B1B13">
                                  <w:pPr>
                                    <w:widowControl/>
                                    <w:spacing w:line="240" w:lineRule="exact"/>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家庭托顧</w:t>
                                  </w:r>
                                  <w:proofErr w:type="gramEnd"/>
                                </w:p>
                              </w:tc>
                              <w:tc>
                                <w:tcPr>
                                  <w:tcW w:w="708" w:type="dxa"/>
                                  <w:tcBorders>
                                    <w:top w:val="nil"/>
                                    <w:left w:val="nil"/>
                                    <w:bottom w:val="single" w:sz="4" w:space="0" w:color="auto"/>
                                    <w:right w:val="single" w:sz="4" w:space="0" w:color="auto"/>
                                  </w:tcBorders>
                                  <w:noWrap/>
                                  <w:vAlign w:val="center"/>
                                  <w:hideMark/>
                                </w:tcPr>
                                <w:p w14:paraId="6FEB068E"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1134" w:type="dxa"/>
                                  <w:tcBorders>
                                    <w:top w:val="nil"/>
                                    <w:left w:val="nil"/>
                                    <w:bottom w:val="single" w:sz="4" w:space="0" w:color="auto"/>
                                    <w:right w:val="single" w:sz="4" w:space="0" w:color="auto"/>
                                  </w:tcBorders>
                                  <w:noWrap/>
                                  <w:vAlign w:val="center"/>
                                  <w:hideMark/>
                                </w:tcPr>
                                <w:p w14:paraId="26676D66"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709" w:type="dxa"/>
                                  <w:tcBorders>
                                    <w:top w:val="nil"/>
                                    <w:left w:val="nil"/>
                                    <w:bottom w:val="single" w:sz="4" w:space="0" w:color="auto"/>
                                    <w:right w:val="single" w:sz="4" w:space="0" w:color="auto"/>
                                  </w:tcBorders>
                                  <w:noWrap/>
                                  <w:vAlign w:val="center"/>
                                  <w:hideMark/>
                                </w:tcPr>
                                <w:p w14:paraId="68DCA69D"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36</w:t>
                                  </w:r>
                                </w:p>
                              </w:tc>
                              <w:tc>
                                <w:tcPr>
                                  <w:tcW w:w="1134" w:type="dxa"/>
                                  <w:tcBorders>
                                    <w:top w:val="nil"/>
                                    <w:left w:val="nil"/>
                                    <w:bottom w:val="single" w:sz="4" w:space="0" w:color="auto"/>
                                    <w:right w:val="single" w:sz="4" w:space="0" w:color="auto"/>
                                  </w:tcBorders>
                                  <w:noWrap/>
                                  <w:vAlign w:val="center"/>
                                  <w:hideMark/>
                                </w:tcPr>
                                <w:p w14:paraId="73F0B697"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w:t>
                                  </w:r>
                                </w:p>
                              </w:tc>
                            </w:tr>
                            <w:tr w:rsidR="007B1B13" w14:paraId="74FB6A23" w14:textId="77777777">
                              <w:trPr>
                                <w:trHeight w:hRule="exact" w:val="283"/>
                              </w:trPr>
                              <w:tc>
                                <w:tcPr>
                                  <w:tcW w:w="993" w:type="dxa"/>
                                  <w:tcBorders>
                                    <w:top w:val="nil"/>
                                    <w:left w:val="single" w:sz="4" w:space="0" w:color="auto"/>
                                    <w:bottom w:val="single" w:sz="4" w:space="0" w:color="auto"/>
                                    <w:right w:val="single" w:sz="4" w:space="0" w:color="auto"/>
                                  </w:tcBorders>
                                  <w:noWrap/>
                                  <w:vAlign w:val="center"/>
                                  <w:hideMark/>
                                </w:tcPr>
                                <w:p w14:paraId="465DD590" w14:textId="77777777" w:rsidR="007B1B13" w:rsidRDefault="007B1B13">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團體家屋</w:t>
                                  </w:r>
                                </w:p>
                              </w:tc>
                              <w:tc>
                                <w:tcPr>
                                  <w:tcW w:w="708" w:type="dxa"/>
                                  <w:tcBorders>
                                    <w:top w:val="nil"/>
                                    <w:left w:val="nil"/>
                                    <w:bottom w:val="single" w:sz="4" w:space="0" w:color="auto"/>
                                    <w:right w:val="single" w:sz="4" w:space="0" w:color="auto"/>
                                  </w:tcBorders>
                                  <w:noWrap/>
                                  <w:vAlign w:val="center"/>
                                  <w:hideMark/>
                                </w:tcPr>
                                <w:p w14:paraId="18D6CACF"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1134" w:type="dxa"/>
                                  <w:tcBorders>
                                    <w:top w:val="nil"/>
                                    <w:left w:val="nil"/>
                                    <w:bottom w:val="single" w:sz="4" w:space="0" w:color="auto"/>
                                    <w:right w:val="single" w:sz="4" w:space="0" w:color="auto"/>
                                  </w:tcBorders>
                                  <w:noWrap/>
                                  <w:vAlign w:val="center"/>
                                  <w:hideMark/>
                                </w:tcPr>
                                <w:p w14:paraId="032F2458"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709" w:type="dxa"/>
                                  <w:tcBorders>
                                    <w:top w:val="nil"/>
                                    <w:left w:val="nil"/>
                                    <w:bottom w:val="single" w:sz="4" w:space="0" w:color="auto"/>
                                    <w:right w:val="single" w:sz="4" w:space="0" w:color="auto"/>
                                  </w:tcBorders>
                                  <w:noWrap/>
                                  <w:vAlign w:val="center"/>
                                  <w:hideMark/>
                                </w:tcPr>
                                <w:p w14:paraId="4291FFD6"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1134" w:type="dxa"/>
                                  <w:tcBorders>
                                    <w:top w:val="nil"/>
                                    <w:left w:val="nil"/>
                                    <w:bottom w:val="single" w:sz="4" w:space="0" w:color="auto"/>
                                    <w:right w:val="single" w:sz="4" w:space="0" w:color="auto"/>
                                  </w:tcBorders>
                                  <w:noWrap/>
                                  <w:vAlign w:val="center"/>
                                  <w:hideMark/>
                                </w:tcPr>
                                <w:p w14:paraId="7610939A"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r>
                            <w:tr w:rsidR="007B1B13" w14:paraId="301D669B" w14:textId="77777777">
                              <w:trPr>
                                <w:trHeight w:val="227"/>
                              </w:trPr>
                              <w:tc>
                                <w:tcPr>
                                  <w:tcW w:w="4678" w:type="dxa"/>
                                  <w:gridSpan w:val="5"/>
                                  <w:tcBorders>
                                    <w:top w:val="single" w:sz="4" w:space="0" w:color="auto"/>
                                    <w:left w:val="nil"/>
                                    <w:bottom w:val="nil"/>
                                    <w:right w:val="nil"/>
                                  </w:tcBorders>
                                  <w:noWrap/>
                                  <w:vAlign w:val="center"/>
                                  <w:hideMark/>
                                </w:tcPr>
                                <w:p w14:paraId="6C23AFD5" w14:textId="77777777" w:rsidR="007B1B13" w:rsidRDefault="007B1B13">
                                  <w:pPr>
                                    <w:widowControl/>
                                    <w:spacing w:line="20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資料來源：整理自社會局提供資料。</w:t>
                                  </w:r>
                                </w:p>
                              </w:tc>
                            </w:tr>
                          </w:tbl>
                          <w:p w14:paraId="72F61542" w14:textId="77777777" w:rsidR="007B1B13" w:rsidRDefault="007B1B13" w:rsidP="007B1B13">
                            <w:pPr>
                              <w:jc w:val="center"/>
                              <w:rPr>
                                <w:rFonts w:ascii="標楷體" w:eastAsia="標楷體" w:hAnsi="標楷體" w:cs="Times New Roman"/>
                                <w:szCs w:val="24"/>
                              </w:rPr>
                            </w:pP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786B63" id="矩形 927419633" o:spid="_x0000_s1103" style="position:absolute;left:0;text-align:left;margin-left:251.9pt;margin-top:282.75pt;width:245.2pt;height:117pt;z-index:-2515640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" fillcolor="window" stroked="f" strokeweight="1pt">
                <v:textbox>
                  <w:txbxContent>
                    <w:tbl>
                      <w:tblPr>
                        <w:tblW w:w="4680" w:type="dxa"/>
                        <w:tblLayout w:type="fixed"/>
                        <w:tblCellMar>
                          <w:left w:w="28" w:type="dxa"/>
                          <w:right w:w="28" w:type="dxa"/>
                        </w:tblCellMar>
                        <w:tblLook w:val="04A0" w:firstRow="1" w:lastRow="0" w:firstColumn="1" w:lastColumn="0" w:noHBand="0" w:noVBand="1"/>
                      </w:tblPr>
                      <w:tblGrid>
                        <w:gridCol w:w="994"/>
                        <w:gridCol w:w="709"/>
                        <w:gridCol w:w="1134"/>
                        <w:gridCol w:w="709"/>
                        <w:gridCol w:w="1134"/>
                      </w:tblGrid>
                      <w:tr w:rsidR="007B1B13" w14:paraId="4E20A1B3" w14:textId="77777777">
                        <w:trPr>
                          <w:trHeight w:val="221"/>
                        </w:trPr>
                        <w:tc>
                          <w:tcPr>
                            <w:tcW w:w="4678" w:type="dxa"/>
                            <w:gridSpan w:val="5"/>
                            <w:noWrap/>
                            <w:vAlign w:val="center"/>
                            <w:hideMark/>
                          </w:tcPr>
                          <w:p w14:paraId="2C15746F" w14:textId="136D3DDB" w:rsidR="007B1B13" w:rsidRPr="007B1B13" w:rsidRDefault="007B1B13" w:rsidP="007B1B13">
                            <w:pPr>
                              <w:widowControl/>
                              <w:rPr>
                                <w:kern w:val="0"/>
                                <w:sz w:val="20"/>
                                <w:szCs w:val="20"/>
                              </w:rPr>
                            </w:pPr>
                            <w:r>
                              <w:rPr>
                                <w:rFonts w:ascii="標楷體" w:eastAsia="標楷體" w:hAnsi="標楷體" w:cs="新細明體" w:hint="eastAsia"/>
                                <w:b/>
                                <w:bCs/>
                                <w:color w:val="000000"/>
                                <w:spacing w:val="-10"/>
                                <w:kern w:val="0"/>
                              </w:rPr>
                              <w:t>表5</w:t>
                            </w:r>
                            <w:r>
                              <w:rPr>
                                <w:rFonts w:ascii="標楷體" w:eastAsia="標楷體" w:hAnsi="標楷體" w:cs="新細明體" w:hint="eastAsia"/>
                                <w:b/>
                                <w:bCs/>
                                <w:color w:val="FFFFFF" w:themeColor="background1"/>
                                <w:spacing w:val="-10"/>
                                <w:kern w:val="0"/>
                              </w:rPr>
                              <w:t>■</w:t>
                            </w:r>
                            <w:r>
                              <w:rPr>
                                <w:rFonts w:ascii="標楷體" w:eastAsia="標楷體" w:hAnsi="標楷體" w:cs="新細明體" w:hint="eastAsia"/>
                                <w:b/>
                                <w:bCs/>
                                <w:color w:val="000000"/>
                                <w:spacing w:val="-10"/>
                                <w:kern w:val="0"/>
                              </w:rPr>
                              <w:t>臺北市家庭托顧及團體家屋資源布建情形</w:t>
                            </w:r>
                          </w:p>
                        </w:tc>
                      </w:tr>
                      <w:tr w:rsidR="007B1B13" w14:paraId="69AACAA5" w14:textId="77777777">
                        <w:trPr>
                          <w:trHeight w:val="154"/>
                        </w:trPr>
                        <w:tc>
                          <w:tcPr>
                            <w:tcW w:w="4678" w:type="dxa"/>
                            <w:gridSpan w:val="5"/>
                            <w:tcBorders>
                              <w:top w:val="nil"/>
                              <w:left w:val="nil"/>
                              <w:bottom w:val="single" w:sz="4" w:space="0" w:color="auto"/>
                              <w:right w:val="nil"/>
                            </w:tcBorders>
                            <w:noWrap/>
                            <w:vAlign w:val="center"/>
                            <w:hideMark/>
                          </w:tcPr>
                          <w:p w14:paraId="54E82A47"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單位：家、人</w:t>
                            </w:r>
                          </w:p>
                        </w:tc>
                      </w:tr>
                      <w:tr w:rsidR="007B1B13" w14:paraId="5B709B32" w14:textId="77777777">
                        <w:trPr>
                          <w:trHeight w:val="154"/>
                        </w:trPr>
                        <w:tc>
                          <w:tcPr>
                            <w:tcW w:w="993" w:type="dxa"/>
                            <w:vMerge w:val="restart"/>
                            <w:tcBorders>
                              <w:top w:val="nil"/>
                              <w:left w:val="single" w:sz="4" w:space="0" w:color="auto"/>
                              <w:bottom w:val="single" w:sz="4" w:space="0" w:color="000000"/>
                              <w:right w:val="single" w:sz="4" w:space="0" w:color="auto"/>
                            </w:tcBorders>
                            <w:noWrap/>
                            <w:vAlign w:val="center"/>
                            <w:hideMark/>
                          </w:tcPr>
                          <w:p w14:paraId="582D0883" w14:textId="77777777" w:rsidR="007B1B13" w:rsidRDefault="007B1B13">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tc>
                        <w:tc>
                          <w:tcPr>
                            <w:tcW w:w="1842" w:type="dxa"/>
                            <w:gridSpan w:val="2"/>
                            <w:tcBorders>
                              <w:top w:val="single" w:sz="4" w:space="0" w:color="auto"/>
                              <w:left w:val="nil"/>
                              <w:bottom w:val="single" w:sz="4" w:space="0" w:color="auto"/>
                              <w:right w:val="single" w:sz="4" w:space="0" w:color="auto"/>
                            </w:tcBorders>
                            <w:noWrap/>
                            <w:vAlign w:val="center"/>
                            <w:hideMark/>
                          </w:tcPr>
                          <w:p w14:paraId="52AC6AFF" w14:textId="77777777" w:rsidR="007B1B13" w:rsidRDefault="007B1B1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資源布建數</w:t>
                            </w:r>
                          </w:p>
                        </w:tc>
                        <w:tc>
                          <w:tcPr>
                            <w:tcW w:w="1843" w:type="dxa"/>
                            <w:gridSpan w:val="2"/>
                            <w:tcBorders>
                              <w:top w:val="single" w:sz="4" w:space="0" w:color="auto"/>
                              <w:left w:val="nil"/>
                              <w:bottom w:val="single" w:sz="4" w:space="0" w:color="auto"/>
                              <w:right w:val="single" w:sz="4" w:space="0" w:color="auto"/>
                            </w:tcBorders>
                            <w:noWrap/>
                            <w:vAlign w:val="center"/>
                            <w:hideMark/>
                          </w:tcPr>
                          <w:p w14:paraId="3B919792" w14:textId="77777777" w:rsidR="007B1B13" w:rsidRDefault="007B1B13">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服務人數</w:t>
                            </w:r>
                          </w:p>
                        </w:tc>
                      </w:tr>
                      <w:tr w:rsidR="007B1B13" w14:paraId="0A4B9A94" w14:textId="77777777">
                        <w:trPr>
                          <w:trHeight w:val="154"/>
                        </w:trPr>
                        <w:tc>
                          <w:tcPr>
                            <w:tcW w:w="4678" w:type="dxa"/>
                            <w:vMerge/>
                            <w:tcBorders>
                              <w:top w:val="nil"/>
                              <w:left w:val="single" w:sz="4" w:space="0" w:color="auto"/>
                              <w:bottom w:val="single" w:sz="4" w:space="0" w:color="000000"/>
                              <w:right w:val="single" w:sz="4" w:space="0" w:color="auto"/>
                            </w:tcBorders>
                            <w:vAlign w:val="center"/>
                            <w:hideMark/>
                          </w:tcPr>
                          <w:p w14:paraId="09FEC13B" w14:textId="77777777" w:rsidR="007B1B13" w:rsidRDefault="007B1B13">
                            <w:pPr>
                              <w:widowControl/>
                              <w:rPr>
                                <w:rFonts w:ascii="標楷體" w:eastAsia="標楷體" w:hAnsi="標楷體" w:cs="新細明體"/>
                                <w:color w:val="000000"/>
                                <w:kern w:val="0"/>
                                <w:sz w:val="20"/>
                                <w:szCs w:val="24"/>
                              </w:rPr>
                            </w:pPr>
                          </w:p>
                        </w:tc>
                        <w:tc>
                          <w:tcPr>
                            <w:tcW w:w="708" w:type="dxa"/>
                            <w:tcBorders>
                              <w:top w:val="nil"/>
                              <w:left w:val="nil"/>
                              <w:bottom w:val="single" w:sz="4" w:space="0" w:color="auto"/>
                              <w:right w:val="single" w:sz="4" w:space="0" w:color="auto"/>
                            </w:tcBorders>
                            <w:noWrap/>
                            <w:vAlign w:val="center"/>
                            <w:hideMark/>
                          </w:tcPr>
                          <w:p w14:paraId="0D47B5C6" w14:textId="77777777" w:rsidR="007B1B13" w:rsidRDefault="007B1B13">
                            <w:pPr>
                              <w:widowControl/>
                              <w:spacing w:line="2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113年</w:t>
                            </w:r>
                          </w:p>
                          <w:p w14:paraId="13152F65" w14:textId="77777777" w:rsidR="007B1B13" w:rsidRDefault="007B1B13">
                            <w:pPr>
                              <w:widowControl/>
                              <w:spacing w:line="2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目標數</w:t>
                            </w:r>
                          </w:p>
                        </w:tc>
                        <w:tc>
                          <w:tcPr>
                            <w:tcW w:w="1134" w:type="dxa"/>
                            <w:tcBorders>
                              <w:top w:val="nil"/>
                              <w:left w:val="nil"/>
                              <w:bottom w:val="single" w:sz="4" w:space="0" w:color="auto"/>
                              <w:right w:val="single" w:sz="4" w:space="0" w:color="auto"/>
                            </w:tcBorders>
                            <w:noWrap/>
                            <w:vAlign w:val="center"/>
                            <w:hideMark/>
                          </w:tcPr>
                          <w:p w14:paraId="2EC7ED97" w14:textId="77777777" w:rsidR="007B1B13" w:rsidRDefault="007B1B13">
                            <w:pPr>
                              <w:widowControl/>
                              <w:spacing w:line="220" w:lineRule="exact"/>
                              <w:jc w:val="center"/>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截至113年8月底</w:t>
                            </w:r>
                            <w:proofErr w:type="gramStart"/>
                            <w:r>
                              <w:rPr>
                                <w:rFonts w:ascii="標楷體" w:eastAsia="標楷體" w:hAnsi="標楷體" w:cs="新細明體" w:hint="eastAsia"/>
                                <w:color w:val="000000"/>
                                <w:spacing w:val="-20"/>
                                <w:kern w:val="0"/>
                                <w:sz w:val="20"/>
                              </w:rPr>
                              <w:t>止</w:t>
                            </w:r>
                            <w:proofErr w:type="gramEnd"/>
                            <w:r>
                              <w:rPr>
                                <w:rFonts w:ascii="標楷體" w:eastAsia="標楷體" w:hAnsi="標楷體" w:cs="新細明體" w:hint="eastAsia"/>
                                <w:color w:val="000000"/>
                                <w:spacing w:val="-20"/>
                                <w:kern w:val="0"/>
                                <w:sz w:val="20"/>
                              </w:rPr>
                              <w:t>實際數</w:t>
                            </w:r>
                          </w:p>
                        </w:tc>
                        <w:tc>
                          <w:tcPr>
                            <w:tcW w:w="709" w:type="dxa"/>
                            <w:tcBorders>
                              <w:top w:val="nil"/>
                              <w:left w:val="nil"/>
                              <w:bottom w:val="single" w:sz="4" w:space="0" w:color="auto"/>
                              <w:right w:val="single" w:sz="4" w:space="0" w:color="auto"/>
                            </w:tcBorders>
                            <w:noWrap/>
                            <w:vAlign w:val="center"/>
                            <w:hideMark/>
                          </w:tcPr>
                          <w:p w14:paraId="46F280AA" w14:textId="77777777" w:rsidR="007B1B13" w:rsidRDefault="007B1B13">
                            <w:pPr>
                              <w:widowControl/>
                              <w:spacing w:line="2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113年</w:t>
                            </w:r>
                          </w:p>
                          <w:p w14:paraId="603EC62F" w14:textId="77777777" w:rsidR="007B1B13" w:rsidRDefault="007B1B13">
                            <w:pPr>
                              <w:widowControl/>
                              <w:spacing w:line="2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目標數</w:t>
                            </w:r>
                          </w:p>
                        </w:tc>
                        <w:tc>
                          <w:tcPr>
                            <w:tcW w:w="1134" w:type="dxa"/>
                            <w:tcBorders>
                              <w:top w:val="nil"/>
                              <w:left w:val="nil"/>
                              <w:bottom w:val="single" w:sz="4" w:space="0" w:color="auto"/>
                              <w:right w:val="single" w:sz="4" w:space="0" w:color="auto"/>
                            </w:tcBorders>
                            <w:noWrap/>
                            <w:vAlign w:val="center"/>
                            <w:hideMark/>
                          </w:tcPr>
                          <w:p w14:paraId="6345DD67" w14:textId="77777777" w:rsidR="007B1B13" w:rsidRDefault="007B1B13">
                            <w:pPr>
                              <w:widowControl/>
                              <w:spacing w:line="220" w:lineRule="exact"/>
                              <w:jc w:val="center"/>
                              <w:rPr>
                                <w:rFonts w:ascii="標楷體" w:eastAsia="標楷體" w:hAnsi="標楷體" w:cs="新細明體"/>
                                <w:color w:val="000000"/>
                                <w:kern w:val="0"/>
                                <w:sz w:val="20"/>
                              </w:rPr>
                            </w:pPr>
                            <w:r>
                              <w:rPr>
                                <w:rFonts w:ascii="標楷體" w:eastAsia="標楷體" w:hAnsi="標楷體" w:cs="新細明體" w:hint="eastAsia"/>
                                <w:color w:val="000000"/>
                                <w:spacing w:val="-20"/>
                                <w:kern w:val="0"/>
                                <w:sz w:val="20"/>
                              </w:rPr>
                              <w:t>截至113年8月底</w:t>
                            </w:r>
                            <w:proofErr w:type="gramStart"/>
                            <w:r>
                              <w:rPr>
                                <w:rFonts w:ascii="標楷體" w:eastAsia="標楷體" w:hAnsi="標楷體" w:cs="新細明體" w:hint="eastAsia"/>
                                <w:color w:val="000000"/>
                                <w:spacing w:val="-20"/>
                                <w:kern w:val="0"/>
                                <w:sz w:val="20"/>
                              </w:rPr>
                              <w:t>止</w:t>
                            </w:r>
                            <w:proofErr w:type="gramEnd"/>
                            <w:r>
                              <w:rPr>
                                <w:rFonts w:ascii="標楷體" w:eastAsia="標楷體" w:hAnsi="標楷體" w:cs="新細明體" w:hint="eastAsia"/>
                                <w:color w:val="000000"/>
                                <w:spacing w:val="-20"/>
                                <w:kern w:val="0"/>
                                <w:sz w:val="20"/>
                              </w:rPr>
                              <w:t>實際數</w:t>
                            </w:r>
                          </w:p>
                        </w:tc>
                      </w:tr>
                      <w:tr w:rsidR="007B1B13" w14:paraId="7499ABB9" w14:textId="77777777">
                        <w:trPr>
                          <w:trHeight w:hRule="exact" w:val="283"/>
                        </w:trPr>
                        <w:tc>
                          <w:tcPr>
                            <w:tcW w:w="993" w:type="dxa"/>
                            <w:tcBorders>
                              <w:top w:val="nil"/>
                              <w:left w:val="single" w:sz="4" w:space="0" w:color="auto"/>
                              <w:bottom w:val="single" w:sz="4" w:space="0" w:color="auto"/>
                              <w:right w:val="single" w:sz="4" w:space="0" w:color="auto"/>
                            </w:tcBorders>
                            <w:noWrap/>
                            <w:vAlign w:val="center"/>
                            <w:hideMark/>
                          </w:tcPr>
                          <w:p w14:paraId="1175D14C" w14:textId="77777777" w:rsidR="007B1B13" w:rsidRDefault="007B1B13">
                            <w:pPr>
                              <w:widowControl/>
                              <w:spacing w:line="240" w:lineRule="exact"/>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家庭托顧</w:t>
                            </w:r>
                            <w:proofErr w:type="gramEnd"/>
                          </w:p>
                        </w:tc>
                        <w:tc>
                          <w:tcPr>
                            <w:tcW w:w="708" w:type="dxa"/>
                            <w:tcBorders>
                              <w:top w:val="nil"/>
                              <w:left w:val="nil"/>
                              <w:bottom w:val="single" w:sz="4" w:space="0" w:color="auto"/>
                              <w:right w:val="single" w:sz="4" w:space="0" w:color="auto"/>
                            </w:tcBorders>
                            <w:noWrap/>
                            <w:vAlign w:val="center"/>
                            <w:hideMark/>
                          </w:tcPr>
                          <w:p w14:paraId="6FEB068E"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1134" w:type="dxa"/>
                            <w:tcBorders>
                              <w:top w:val="nil"/>
                              <w:left w:val="nil"/>
                              <w:bottom w:val="single" w:sz="4" w:space="0" w:color="auto"/>
                              <w:right w:val="single" w:sz="4" w:space="0" w:color="auto"/>
                            </w:tcBorders>
                            <w:noWrap/>
                            <w:vAlign w:val="center"/>
                            <w:hideMark/>
                          </w:tcPr>
                          <w:p w14:paraId="26676D66"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709" w:type="dxa"/>
                            <w:tcBorders>
                              <w:top w:val="nil"/>
                              <w:left w:val="nil"/>
                              <w:bottom w:val="single" w:sz="4" w:space="0" w:color="auto"/>
                              <w:right w:val="single" w:sz="4" w:space="0" w:color="auto"/>
                            </w:tcBorders>
                            <w:noWrap/>
                            <w:vAlign w:val="center"/>
                            <w:hideMark/>
                          </w:tcPr>
                          <w:p w14:paraId="68DCA69D"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36</w:t>
                            </w:r>
                          </w:p>
                        </w:tc>
                        <w:tc>
                          <w:tcPr>
                            <w:tcW w:w="1134" w:type="dxa"/>
                            <w:tcBorders>
                              <w:top w:val="nil"/>
                              <w:left w:val="nil"/>
                              <w:bottom w:val="single" w:sz="4" w:space="0" w:color="auto"/>
                              <w:right w:val="single" w:sz="4" w:space="0" w:color="auto"/>
                            </w:tcBorders>
                            <w:noWrap/>
                            <w:vAlign w:val="center"/>
                            <w:hideMark/>
                          </w:tcPr>
                          <w:p w14:paraId="73F0B697"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w:t>
                            </w:r>
                          </w:p>
                        </w:tc>
                      </w:tr>
                      <w:tr w:rsidR="007B1B13" w14:paraId="74FB6A23" w14:textId="77777777">
                        <w:trPr>
                          <w:trHeight w:hRule="exact" w:val="283"/>
                        </w:trPr>
                        <w:tc>
                          <w:tcPr>
                            <w:tcW w:w="993" w:type="dxa"/>
                            <w:tcBorders>
                              <w:top w:val="nil"/>
                              <w:left w:val="single" w:sz="4" w:space="0" w:color="auto"/>
                              <w:bottom w:val="single" w:sz="4" w:space="0" w:color="auto"/>
                              <w:right w:val="single" w:sz="4" w:space="0" w:color="auto"/>
                            </w:tcBorders>
                            <w:noWrap/>
                            <w:vAlign w:val="center"/>
                            <w:hideMark/>
                          </w:tcPr>
                          <w:p w14:paraId="465DD590" w14:textId="77777777" w:rsidR="007B1B13" w:rsidRDefault="007B1B13">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團體家屋</w:t>
                            </w:r>
                          </w:p>
                        </w:tc>
                        <w:tc>
                          <w:tcPr>
                            <w:tcW w:w="708" w:type="dxa"/>
                            <w:tcBorders>
                              <w:top w:val="nil"/>
                              <w:left w:val="nil"/>
                              <w:bottom w:val="single" w:sz="4" w:space="0" w:color="auto"/>
                              <w:right w:val="single" w:sz="4" w:space="0" w:color="auto"/>
                            </w:tcBorders>
                            <w:noWrap/>
                            <w:vAlign w:val="center"/>
                            <w:hideMark/>
                          </w:tcPr>
                          <w:p w14:paraId="18D6CACF"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1134" w:type="dxa"/>
                            <w:tcBorders>
                              <w:top w:val="nil"/>
                              <w:left w:val="nil"/>
                              <w:bottom w:val="single" w:sz="4" w:space="0" w:color="auto"/>
                              <w:right w:val="single" w:sz="4" w:space="0" w:color="auto"/>
                            </w:tcBorders>
                            <w:noWrap/>
                            <w:vAlign w:val="center"/>
                            <w:hideMark/>
                          </w:tcPr>
                          <w:p w14:paraId="032F2458"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709" w:type="dxa"/>
                            <w:tcBorders>
                              <w:top w:val="nil"/>
                              <w:left w:val="nil"/>
                              <w:bottom w:val="single" w:sz="4" w:space="0" w:color="auto"/>
                              <w:right w:val="single" w:sz="4" w:space="0" w:color="auto"/>
                            </w:tcBorders>
                            <w:noWrap/>
                            <w:vAlign w:val="center"/>
                            <w:hideMark/>
                          </w:tcPr>
                          <w:p w14:paraId="4291FFD6"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1134" w:type="dxa"/>
                            <w:tcBorders>
                              <w:top w:val="nil"/>
                              <w:left w:val="nil"/>
                              <w:bottom w:val="single" w:sz="4" w:space="0" w:color="auto"/>
                              <w:right w:val="single" w:sz="4" w:space="0" w:color="auto"/>
                            </w:tcBorders>
                            <w:noWrap/>
                            <w:vAlign w:val="center"/>
                            <w:hideMark/>
                          </w:tcPr>
                          <w:p w14:paraId="7610939A" w14:textId="77777777" w:rsidR="007B1B13" w:rsidRDefault="007B1B13">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r>
                      <w:tr w:rsidR="007B1B13" w14:paraId="301D669B" w14:textId="77777777">
                        <w:trPr>
                          <w:trHeight w:val="227"/>
                        </w:trPr>
                        <w:tc>
                          <w:tcPr>
                            <w:tcW w:w="4678" w:type="dxa"/>
                            <w:gridSpan w:val="5"/>
                            <w:tcBorders>
                              <w:top w:val="single" w:sz="4" w:space="0" w:color="auto"/>
                              <w:left w:val="nil"/>
                              <w:bottom w:val="nil"/>
                              <w:right w:val="nil"/>
                            </w:tcBorders>
                            <w:noWrap/>
                            <w:vAlign w:val="center"/>
                            <w:hideMark/>
                          </w:tcPr>
                          <w:p w14:paraId="6C23AFD5" w14:textId="77777777" w:rsidR="007B1B13" w:rsidRDefault="007B1B13">
                            <w:pPr>
                              <w:widowControl/>
                              <w:spacing w:line="20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資料來源：整理自社會局提供資料。</w:t>
                            </w:r>
                          </w:p>
                        </w:tc>
                      </w:tr>
                    </w:tbl>
                    <w:p w14:paraId="72F61542" w14:textId="77777777" w:rsidR="007B1B13" w:rsidRDefault="007B1B13" w:rsidP="007B1B13">
                      <w:pPr>
                        <w:jc w:val="center"/>
                        <w:rPr>
                          <w:rFonts w:ascii="標楷體" w:eastAsia="標楷體" w:hAnsi="標楷體" w:cs="Times New Roman"/>
                          <w:szCs w:val="24"/>
                        </w:rPr>
                      </w:pPr>
                    </w:p>
                  </w:txbxContent>
                </v:textbox>
                <w10:wrap type="tight" anchorx="margin" anchory="page"/>
              </v:rect>
            </w:pict>
          </mc:Fallback>
        </mc:AlternateContent>
      </w:r>
      <w:r w:rsidR="007B1B13">
        <w:rPr>
          <w:rFonts w:ascii="標楷體" w:eastAsia="標楷體" w:hAnsi="標楷體" w:hint="eastAsia"/>
          <w:color w:val="000000" w:themeColor="text1"/>
        </w:rPr>
        <w:t>降至113年8月底之23人；後者核准設立數量則由111年底之2家，減少至113年8月底之1家，且服務人數由111年底之32人下降至113年8月底之9人（圖2），</w:t>
      </w:r>
      <w:proofErr w:type="gramStart"/>
      <w:r w:rsidR="007B1B13">
        <w:rPr>
          <w:rFonts w:ascii="標楷體" w:eastAsia="標楷體" w:hAnsi="標楷體" w:hint="eastAsia"/>
          <w:color w:val="000000" w:themeColor="text1"/>
        </w:rPr>
        <w:t>均未達</w:t>
      </w:r>
      <w:proofErr w:type="gramEnd"/>
      <w:r w:rsidR="007B1B13">
        <w:rPr>
          <w:rFonts w:ascii="標楷體" w:eastAsia="標楷體" w:hAnsi="標楷體" w:hint="eastAsia"/>
          <w:color w:val="000000" w:themeColor="text1"/>
        </w:rPr>
        <w:t>原預計設立目標數及服務量能（表5），顯示臺北市尚無法提供適性多元照顧服務選擇，以貫徹在地老化目標；2.該局</w:t>
      </w:r>
      <w:proofErr w:type="gramStart"/>
      <w:r w:rsidR="007B1B13">
        <w:rPr>
          <w:rFonts w:ascii="標楷體" w:eastAsia="標楷體" w:hAnsi="標楷體" w:hint="eastAsia"/>
          <w:color w:val="000000" w:themeColor="text1"/>
        </w:rPr>
        <w:t>113</w:t>
      </w:r>
      <w:proofErr w:type="gramEnd"/>
      <w:r w:rsidR="007B1B13">
        <w:rPr>
          <w:rFonts w:ascii="標楷體" w:eastAsia="標楷體" w:hAnsi="標楷體" w:hint="eastAsia"/>
          <w:color w:val="000000" w:themeColor="text1"/>
        </w:rPr>
        <w:t>年度委外維護空位查詢系統情形，</w:t>
      </w:r>
      <w:proofErr w:type="gramStart"/>
      <w:r w:rsidR="007B1B13">
        <w:rPr>
          <w:rFonts w:ascii="標楷體" w:eastAsia="標楷體" w:hAnsi="標楷體" w:hint="eastAsia"/>
          <w:color w:val="000000" w:themeColor="text1"/>
        </w:rPr>
        <w:t>間有未能</w:t>
      </w:r>
      <w:proofErr w:type="gramEnd"/>
      <w:r w:rsidR="007B1B13">
        <w:rPr>
          <w:rFonts w:ascii="標楷體" w:eastAsia="標楷體" w:hAnsi="標楷體" w:hint="eastAsia"/>
          <w:color w:val="000000" w:themeColor="text1"/>
        </w:rPr>
        <w:t>審酌日照中心與老福機構等二類社會福利機構，係分別依據長期照顧服務法或老人福利法設置，其所提供之照顧服務項目及入住申請方式均</w:t>
      </w:r>
      <w:proofErr w:type="gramStart"/>
      <w:r w:rsidR="007B1B13">
        <w:rPr>
          <w:rFonts w:ascii="標楷體" w:eastAsia="標楷體" w:hAnsi="標楷體" w:hint="eastAsia"/>
          <w:color w:val="000000" w:themeColor="text1"/>
        </w:rPr>
        <w:t>不</w:t>
      </w:r>
      <w:proofErr w:type="gramEnd"/>
      <w:r w:rsidR="007B1B13">
        <w:rPr>
          <w:rFonts w:ascii="標楷體" w:eastAsia="標楷體" w:hAnsi="標楷體" w:hint="eastAsia"/>
          <w:color w:val="000000" w:themeColor="text1"/>
        </w:rPr>
        <w:t>同等問題，妥為建置相關說明或連結網址，仍不利民眾快速、方便地取得長照服務資訊；且該系統公告部分老人日照中心相關營運資訊登載情形，</w:t>
      </w:r>
      <w:proofErr w:type="gramStart"/>
      <w:r w:rsidR="007B1B13">
        <w:rPr>
          <w:rFonts w:ascii="標楷體" w:eastAsia="標楷體" w:hAnsi="標楷體" w:hint="eastAsia"/>
          <w:color w:val="000000" w:themeColor="text1"/>
        </w:rPr>
        <w:t>間有逾</w:t>
      </w:r>
      <w:proofErr w:type="gramEnd"/>
      <w:r w:rsidR="007B1B13">
        <w:rPr>
          <w:rFonts w:ascii="標楷體" w:eastAsia="標楷體" w:hAnsi="標楷體" w:hint="eastAsia"/>
          <w:color w:val="000000" w:themeColor="text1"/>
        </w:rPr>
        <w:t>3個月未更新系統資訊，或公告之「核定服務量」資訊與原核定內容不符等情事，經函請</w:t>
      </w:r>
      <w:proofErr w:type="gramStart"/>
      <w:r w:rsidR="007B1B13">
        <w:rPr>
          <w:rFonts w:ascii="標楷體" w:eastAsia="標楷體" w:hAnsi="標楷體" w:hint="eastAsia"/>
          <w:color w:val="000000" w:themeColor="text1"/>
        </w:rPr>
        <w:t>研</w:t>
      </w:r>
      <w:proofErr w:type="gramEnd"/>
      <w:r w:rsidR="007B1B13">
        <w:rPr>
          <w:rFonts w:ascii="標楷體" w:eastAsia="標楷體" w:hAnsi="標楷體" w:hint="eastAsia"/>
          <w:color w:val="000000" w:themeColor="text1"/>
        </w:rPr>
        <w:t>謀改善。據復：1.臺北市既有團體家屋服務量能成效欠佳，主要係因位處陽明山交通不便及照顧服務員人才招募不易所致，該局已規劃於信義區逸仙路及</w:t>
      </w:r>
      <w:proofErr w:type="gramStart"/>
      <w:r w:rsidR="007B1B13">
        <w:rPr>
          <w:rFonts w:ascii="標楷體" w:eastAsia="標楷體" w:hAnsi="標楷體" w:hint="eastAsia"/>
          <w:color w:val="000000" w:themeColor="text1"/>
        </w:rPr>
        <w:t>麟</w:t>
      </w:r>
      <w:proofErr w:type="gramEnd"/>
      <w:r w:rsidR="007B1B13">
        <w:rPr>
          <w:rFonts w:ascii="標楷體" w:eastAsia="標楷體" w:hAnsi="標楷體" w:hint="eastAsia"/>
          <w:color w:val="000000" w:themeColor="text1"/>
        </w:rPr>
        <w:t>光站、南港區後山</w:t>
      </w:r>
      <w:proofErr w:type="gramStart"/>
      <w:r w:rsidR="007B1B13">
        <w:rPr>
          <w:rFonts w:ascii="標楷體" w:eastAsia="標楷體" w:hAnsi="標楷體" w:hint="eastAsia"/>
          <w:color w:val="000000" w:themeColor="text1"/>
        </w:rPr>
        <w:t>埤</w:t>
      </w:r>
      <w:proofErr w:type="gramEnd"/>
      <w:r w:rsidR="007B1B13">
        <w:rPr>
          <w:rFonts w:ascii="標楷體" w:eastAsia="標楷體" w:hAnsi="標楷體" w:hint="eastAsia"/>
          <w:color w:val="000000" w:themeColor="text1"/>
        </w:rPr>
        <w:t>站等交通便捷處增設3處團體家屋服務據點，期改善工作人員聘僱不易之困境；另</w:t>
      </w:r>
      <w:proofErr w:type="gramStart"/>
      <w:r w:rsidR="007B1B13">
        <w:rPr>
          <w:rFonts w:ascii="標楷體" w:eastAsia="標楷體" w:hAnsi="標楷體" w:hint="eastAsia"/>
          <w:color w:val="000000" w:themeColor="text1"/>
        </w:rPr>
        <w:t>鑑</w:t>
      </w:r>
      <w:proofErr w:type="gramEnd"/>
      <w:r w:rsidR="007B1B13">
        <w:rPr>
          <w:rFonts w:ascii="標楷體" w:eastAsia="標楷體" w:hAnsi="標楷體" w:hint="eastAsia"/>
          <w:color w:val="000000" w:themeColor="text1"/>
        </w:rPr>
        <w:t>於</w:t>
      </w:r>
      <w:proofErr w:type="gramStart"/>
      <w:r w:rsidR="007B1B13">
        <w:rPr>
          <w:rFonts w:ascii="標楷體" w:eastAsia="標楷體" w:hAnsi="標楷體" w:hint="eastAsia"/>
          <w:color w:val="000000" w:themeColor="text1"/>
        </w:rPr>
        <w:t>家庭托顧單位</w:t>
      </w:r>
      <w:proofErr w:type="gramEnd"/>
      <w:r w:rsidR="007B1B13">
        <w:rPr>
          <w:rFonts w:ascii="標楷體" w:eastAsia="標楷體" w:hAnsi="標楷體" w:hint="eastAsia"/>
          <w:color w:val="000000" w:themeColor="text1"/>
        </w:rPr>
        <w:t>屬一人機構，</w:t>
      </w:r>
      <w:proofErr w:type="gramStart"/>
      <w:r w:rsidR="007B1B13">
        <w:rPr>
          <w:rFonts w:ascii="標楷體" w:eastAsia="標楷體" w:hAnsi="標楷體" w:hint="eastAsia"/>
          <w:color w:val="000000" w:themeColor="text1"/>
        </w:rPr>
        <w:t>須身兼</w:t>
      </w:r>
      <w:proofErr w:type="gramEnd"/>
      <w:r w:rsidR="007B1B13">
        <w:rPr>
          <w:rFonts w:ascii="標楷體" w:eastAsia="標楷體" w:hAnsi="標楷體" w:hint="eastAsia"/>
          <w:color w:val="000000" w:themeColor="text1"/>
        </w:rPr>
        <w:t>多職，為增加民間投入</w:t>
      </w:r>
      <w:proofErr w:type="gramStart"/>
      <w:r w:rsidR="007B1B13">
        <w:rPr>
          <w:rFonts w:ascii="標楷體" w:eastAsia="標楷體" w:hAnsi="標楷體" w:hint="eastAsia"/>
          <w:color w:val="000000" w:themeColor="text1"/>
        </w:rPr>
        <w:t>家庭托顧服務</w:t>
      </w:r>
      <w:proofErr w:type="gramEnd"/>
      <w:r w:rsidR="007B1B13">
        <w:rPr>
          <w:rFonts w:ascii="標楷體" w:eastAsia="標楷體" w:hAnsi="標楷體" w:hint="eastAsia"/>
          <w:color w:val="000000" w:themeColor="text1"/>
        </w:rPr>
        <w:t>誘因，</w:t>
      </w:r>
      <w:proofErr w:type="gramStart"/>
      <w:r w:rsidR="007B1B13">
        <w:rPr>
          <w:rFonts w:ascii="標楷體" w:eastAsia="標楷體" w:hAnsi="標楷體" w:hint="eastAsia"/>
          <w:color w:val="000000" w:themeColor="text1"/>
        </w:rPr>
        <w:t>113</w:t>
      </w:r>
      <w:proofErr w:type="gramEnd"/>
      <w:r w:rsidR="007B1B13">
        <w:rPr>
          <w:rFonts w:ascii="標楷體" w:eastAsia="標楷體" w:hAnsi="標楷體" w:hint="eastAsia"/>
          <w:color w:val="000000" w:themeColor="text1"/>
        </w:rPr>
        <w:t>年度已委外協助輔導設立</w:t>
      </w:r>
      <w:proofErr w:type="gramStart"/>
      <w:r w:rsidR="007B1B13">
        <w:rPr>
          <w:rFonts w:ascii="標楷體" w:eastAsia="標楷體" w:hAnsi="標楷體" w:hint="eastAsia"/>
          <w:color w:val="000000" w:themeColor="text1"/>
        </w:rPr>
        <w:t>家庭托顧機構</w:t>
      </w:r>
      <w:proofErr w:type="gramEnd"/>
      <w:r w:rsidR="007B1B13">
        <w:rPr>
          <w:rFonts w:ascii="標楷體" w:eastAsia="標楷體" w:hAnsi="標楷體" w:hint="eastAsia"/>
          <w:color w:val="000000" w:themeColor="text1"/>
        </w:rPr>
        <w:t>，預計每年新增1家</w:t>
      </w:r>
      <w:proofErr w:type="gramStart"/>
      <w:r w:rsidR="007B1B13">
        <w:rPr>
          <w:rFonts w:ascii="標楷體" w:eastAsia="標楷體" w:hAnsi="標楷體" w:hint="eastAsia"/>
          <w:color w:val="000000" w:themeColor="text1"/>
        </w:rPr>
        <w:t>家庭托顧機構</w:t>
      </w:r>
      <w:proofErr w:type="gramEnd"/>
      <w:r w:rsidR="007B1B13">
        <w:rPr>
          <w:rFonts w:ascii="標楷體" w:eastAsia="標楷體" w:hAnsi="標楷體" w:hint="eastAsia"/>
          <w:color w:val="000000" w:themeColor="text1"/>
        </w:rPr>
        <w:t>，並將</w:t>
      </w:r>
      <w:proofErr w:type="gramStart"/>
      <w:r w:rsidR="007B1B13">
        <w:rPr>
          <w:rFonts w:ascii="標楷體" w:eastAsia="標楷體" w:hAnsi="標楷體" w:hint="eastAsia"/>
          <w:color w:val="000000" w:themeColor="text1"/>
        </w:rPr>
        <w:t>家庭托顧服務</w:t>
      </w:r>
      <w:proofErr w:type="gramEnd"/>
      <w:r w:rsidR="007B1B13">
        <w:rPr>
          <w:rFonts w:ascii="標楷體" w:eastAsia="標楷體" w:hAnsi="標楷體" w:hint="eastAsia"/>
          <w:color w:val="000000" w:themeColor="text1"/>
        </w:rPr>
        <w:t>對象納入該局114至115年度交通接送服務計畫，期提升</w:t>
      </w:r>
      <w:proofErr w:type="gramStart"/>
      <w:r w:rsidR="007B1B13">
        <w:rPr>
          <w:rFonts w:ascii="標楷體" w:eastAsia="標楷體" w:hAnsi="標楷體" w:hint="eastAsia"/>
          <w:color w:val="000000" w:themeColor="text1"/>
        </w:rPr>
        <w:t>家庭托顧之</w:t>
      </w:r>
      <w:proofErr w:type="gramEnd"/>
      <w:r w:rsidR="007B1B13">
        <w:rPr>
          <w:rFonts w:ascii="標楷體" w:eastAsia="標楷體" w:hAnsi="標楷體" w:hint="eastAsia"/>
          <w:color w:val="000000" w:themeColor="text1"/>
        </w:rPr>
        <w:t>服務量能及成效；2.將於空位查詢系統頁面增加老福機構及日照中心照顧服務項目不同之說明，並註明民眾可透過長照專線1966或聯絡照管中心等方式，由專員到府進行失能等級評估，並依需求提供長照服務等資訊；另爾後每月將請日照中心再次確認與更新前開系統資訊，以提升為民服務品質。</w:t>
      </w:r>
    </w:p>
    <w:p w14:paraId="64616A35" w14:textId="77777777" w:rsidR="007B1B13" w:rsidRDefault="007B1B13" w:rsidP="00815553">
      <w:pPr>
        <w:kinsoku w:val="0"/>
        <w:overflowPunct w:val="0"/>
        <w:autoSpaceDE w:val="0"/>
        <w:autoSpaceDN w:val="0"/>
        <w:adjustRightInd w:val="0"/>
        <w:snapToGrid w:val="0"/>
        <w:spacing w:beforeLines="50" w:before="180" w:line="50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（五）持續辦理</w:t>
      </w:r>
      <w:proofErr w:type="gramStart"/>
      <w:r>
        <w:rPr>
          <w:rFonts w:ascii="標楷體" w:eastAsia="標楷體" w:hAnsi="標楷體" w:hint="eastAsia"/>
          <w:b/>
          <w:sz w:val="28"/>
          <w:szCs w:val="28"/>
        </w:rPr>
        <w:t>居家式長照</w:t>
      </w:r>
      <w:proofErr w:type="gramEnd"/>
      <w:r>
        <w:rPr>
          <w:rFonts w:ascii="標楷體" w:eastAsia="標楷體" w:hAnsi="標楷體" w:hint="eastAsia"/>
          <w:b/>
          <w:sz w:val="28"/>
          <w:szCs w:val="28"/>
        </w:rPr>
        <w:t>機構設立、補助、法定評鑑及不定期查核，以擴</w:t>
      </w:r>
      <w:proofErr w:type="gramStart"/>
      <w:r>
        <w:rPr>
          <w:rFonts w:ascii="標楷體" w:eastAsia="標楷體" w:hAnsi="標楷體" w:hint="eastAsia"/>
          <w:b/>
          <w:sz w:val="28"/>
          <w:szCs w:val="28"/>
        </w:rPr>
        <w:t>增居服</w:t>
      </w:r>
      <w:proofErr w:type="gramEnd"/>
      <w:r>
        <w:rPr>
          <w:rFonts w:ascii="標楷體" w:eastAsia="標楷體" w:hAnsi="標楷體" w:hint="eastAsia"/>
          <w:b/>
          <w:sz w:val="28"/>
          <w:szCs w:val="28"/>
        </w:rPr>
        <w:t>量能及確保服務品質，惟部分補助計畫項目執行成效</w:t>
      </w:r>
      <w:proofErr w:type="gramStart"/>
      <w:r>
        <w:rPr>
          <w:rFonts w:ascii="標楷體" w:eastAsia="標楷體" w:hAnsi="標楷體" w:hint="eastAsia"/>
          <w:b/>
          <w:sz w:val="28"/>
          <w:szCs w:val="28"/>
        </w:rPr>
        <w:t>不</w:t>
      </w:r>
      <w:proofErr w:type="gramEnd"/>
      <w:r>
        <w:rPr>
          <w:rFonts w:ascii="標楷體" w:eastAsia="標楷體" w:hAnsi="標楷體" w:hint="eastAsia"/>
          <w:b/>
          <w:sz w:val="28"/>
          <w:szCs w:val="28"/>
        </w:rPr>
        <w:t>彰，且評鑑結果仍有</w:t>
      </w:r>
      <w:proofErr w:type="gramStart"/>
      <w:r>
        <w:rPr>
          <w:rFonts w:ascii="標楷體" w:eastAsia="標楷體" w:hAnsi="標楷體" w:hint="eastAsia"/>
          <w:b/>
          <w:sz w:val="28"/>
          <w:szCs w:val="28"/>
        </w:rPr>
        <w:t>3成</w:t>
      </w:r>
      <w:proofErr w:type="gramEnd"/>
      <w:r>
        <w:rPr>
          <w:rFonts w:ascii="標楷體" w:eastAsia="標楷體" w:hAnsi="標楷體" w:hint="eastAsia"/>
          <w:b/>
          <w:sz w:val="28"/>
          <w:szCs w:val="28"/>
        </w:rPr>
        <w:t>機構不合格等情，有待</w:t>
      </w:r>
      <w:proofErr w:type="gramStart"/>
      <w:r>
        <w:rPr>
          <w:rFonts w:ascii="標楷體" w:eastAsia="標楷體" w:hAnsi="標楷體" w:hint="eastAsia"/>
          <w:b/>
          <w:sz w:val="28"/>
          <w:szCs w:val="28"/>
        </w:rPr>
        <w:t>研</w:t>
      </w:r>
      <w:proofErr w:type="gramEnd"/>
      <w:r>
        <w:rPr>
          <w:rFonts w:ascii="標楷體" w:eastAsia="標楷體" w:hAnsi="標楷體" w:hint="eastAsia"/>
          <w:b/>
          <w:sz w:val="28"/>
          <w:szCs w:val="28"/>
        </w:rPr>
        <w:t>謀改善。</w:t>
      </w:r>
    </w:p>
    <w:p w14:paraId="1134FF0A" w14:textId="77777777" w:rsidR="00815553" w:rsidRDefault="007B1B13" w:rsidP="007B1B13">
      <w:pPr>
        <w:pStyle w:val="a7"/>
        <w:spacing w:before="0" w:after="0" w:line="440" w:lineRule="exact"/>
        <w:ind w:firstLine="480"/>
        <w:rPr>
          <w:color w:val="auto"/>
        </w:rPr>
      </w:pPr>
      <w:r>
        <w:rPr>
          <w:rFonts w:hint="eastAsia"/>
          <w:noProof/>
        </w:rPr>
        <w:lastRenderedPageBreak/>
        <mc:AlternateContent>
          <mc:Choice Requires="wps">
            <w:drawing>
              <wp:anchor distT="45720" distB="45720" distL="114300" distR="114300" simplePos="0" relativeHeight="251754496" behindDoc="1" locked="0" layoutInCell="1" allowOverlap="1" wp14:anchorId="56BC95D9" wp14:editId="402E1AF8">
                <wp:simplePos x="0" y="0"/>
                <wp:positionH relativeFrom="margin">
                  <wp:posOffset>2770505</wp:posOffset>
                </wp:positionH>
                <wp:positionV relativeFrom="page">
                  <wp:posOffset>5200650</wp:posOffset>
                </wp:positionV>
                <wp:extent cx="3632835" cy="1871980"/>
                <wp:effectExtent l="0" t="0" r="0" b="0"/>
                <wp:wrapTight wrapText="bothSides">
                  <wp:wrapPolygon edited="0">
                    <wp:start x="340" y="0"/>
                    <wp:lineTo x="340" y="21322"/>
                    <wp:lineTo x="21181" y="21322"/>
                    <wp:lineTo x="21181" y="0"/>
                    <wp:lineTo x="340" y="0"/>
                  </wp:wrapPolygon>
                </wp:wrapTight>
                <wp:docPr id="927419632" name="文字方塊 927419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2835" cy="1871980"/>
                        </a:xfrm>
                        <a:prstGeom prst="rect">
                          <a:avLst/>
                        </a:prstGeom>
                        <a:noFill/>
                        <a:ln w="9525">
                          <a:noFill/>
                          <a:miter lim="800000"/>
                          <a:headEnd/>
                          <a:tailEnd/>
                        </a:ln>
                      </wps:spPr>
                      <wps:txbx>
                        <w:txbxContent>
                          <w:tbl>
                            <w:tblPr>
                              <w:tblW w:w="5244" w:type="dxa"/>
                              <w:tblCellMar>
                                <w:left w:w="28" w:type="dxa"/>
                                <w:right w:w="28" w:type="dxa"/>
                              </w:tblCellMar>
                              <w:tblLook w:val="04A0" w:firstRow="1" w:lastRow="0" w:firstColumn="1" w:lastColumn="0" w:noHBand="0" w:noVBand="1"/>
                            </w:tblPr>
                            <w:tblGrid>
                              <w:gridCol w:w="851"/>
                              <w:gridCol w:w="656"/>
                              <w:gridCol w:w="504"/>
                              <w:gridCol w:w="682"/>
                              <w:gridCol w:w="709"/>
                              <w:gridCol w:w="556"/>
                              <w:gridCol w:w="709"/>
                              <w:gridCol w:w="708"/>
                            </w:tblGrid>
                            <w:tr w:rsidR="007B1B13" w14:paraId="15BB7336" w14:textId="77777777">
                              <w:trPr>
                                <w:trHeight w:val="283"/>
                              </w:trPr>
                              <w:tc>
                                <w:tcPr>
                                  <w:tcW w:w="5244" w:type="dxa"/>
                                  <w:gridSpan w:val="8"/>
                                  <w:vAlign w:val="center"/>
                                  <w:hideMark/>
                                </w:tcPr>
                                <w:p w14:paraId="715645AA" w14:textId="77777777" w:rsidR="007B1B13" w:rsidRDefault="007B1B13">
                                  <w:pPr>
                                    <w:widowControl/>
                                    <w:spacing w:afterLines="30" w:after="108" w:line="280" w:lineRule="exact"/>
                                    <w:jc w:val="center"/>
                                    <w:rPr>
                                      <w:rFonts w:ascii="標楷體" w:eastAsia="標楷體" w:hAnsi="標楷體"/>
                                      <w:b/>
                                    </w:rPr>
                                  </w:pPr>
                                  <w:bookmarkStart w:id="58" w:name="_Hlk180401032"/>
                                  <w:bookmarkEnd w:id="58"/>
                                  <w:r>
                                    <w:rPr>
                                      <w:rFonts w:ascii="標楷體" w:eastAsia="標楷體" w:hAnsi="標楷體" w:hint="eastAsia"/>
                                      <w:b/>
                                    </w:rPr>
                                    <w:t>表6　強化居家服務資源補助計畫預算執行情形</w:t>
                                  </w:r>
                                </w:p>
                              </w:tc>
                            </w:tr>
                            <w:tr w:rsidR="007B1B13" w14:paraId="4A0AE66C" w14:textId="77777777">
                              <w:trPr>
                                <w:trHeight w:val="283"/>
                              </w:trPr>
                              <w:tc>
                                <w:tcPr>
                                  <w:tcW w:w="5244" w:type="dxa"/>
                                  <w:gridSpan w:val="8"/>
                                  <w:tcBorders>
                                    <w:top w:val="nil"/>
                                    <w:left w:val="nil"/>
                                    <w:bottom w:val="single" w:sz="4" w:space="0" w:color="auto"/>
                                    <w:right w:val="nil"/>
                                  </w:tcBorders>
                                  <w:vAlign w:val="bottom"/>
                                  <w:hideMark/>
                                </w:tcPr>
                                <w:p w14:paraId="533F9A2F" w14:textId="77777777" w:rsidR="007B1B13" w:rsidRDefault="007B1B13">
                                  <w:pPr>
                                    <w:widowControl/>
                                    <w:snapToGrid w:val="0"/>
                                    <w:spacing w:line="240" w:lineRule="exact"/>
                                    <w:jc w:val="right"/>
                                    <w:rPr>
                                      <w:rFonts w:ascii="標楷體" w:eastAsia="標楷體" w:hAnsi="標楷體"/>
                                      <w:sz w:val="20"/>
                                    </w:rPr>
                                  </w:pPr>
                                  <w:r>
                                    <w:rPr>
                                      <w:rFonts w:ascii="標楷體" w:eastAsia="標楷體" w:hAnsi="標楷體" w:hint="eastAsia"/>
                                      <w:sz w:val="20"/>
                                    </w:rPr>
                                    <w:t>單位：新臺幣千元、家、％</w:t>
                                  </w:r>
                                </w:p>
                              </w:tc>
                            </w:tr>
                            <w:tr w:rsidR="007B1B13" w14:paraId="66F4DD45" w14:textId="77777777">
                              <w:trPr>
                                <w:trHeight w:val="152"/>
                              </w:trPr>
                              <w:tc>
                                <w:tcPr>
                                  <w:tcW w:w="851" w:type="dxa"/>
                                  <w:vMerge w:val="restart"/>
                                  <w:tcBorders>
                                    <w:top w:val="nil"/>
                                    <w:left w:val="single" w:sz="4" w:space="0" w:color="auto"/>
                                    <w:bottom w:val="single" w:sz="4" w:space="0" w:color="auto"/>
                                    <w:right w:val="single" w:sz="4" w:space="0" w:color="auto"/>
                                  </w:tcBorders>
                                  <w:noWrap/>
                                  <w:vAlign w:val="center"/>
                                  <w:hideMark/>
                                </w:tcPr>
                                <w:p w14:paraId="1F36A5E9" w14:textId="77777777" w:rsidR="007B1B13" w:rsidRDefault="007B1B13">
                                  <w:pPr>
                                    <w:widowControl/>
                                    <w:spacing w:line="240" w:lineRule="exact"/>
                                    <w:jc w:val="center"/>
                                    <w:rPr>
                                      <w:rFonts w:ascii="標楷體" w:eastAsia="標楷體" w:hAnsi="標楷體"/>
                                      <w:sz w:val="20"/>
                                      <w:szCs w:val="20"/>
                                    </w:rPr>
                                  </w:pPr>
                                  <w:r>
                                    <w:rPr>
                                      <w:rFonts w:ascii="標楷體" w:eastAsia="標楷體" w:hAnsi="標楷體" w:hint="eastAsia"/>
                                      <w:sz w:val="20"/>
                                      <w:szCs w:val="20"/>
                                    </w:rPr>
                                    <w:t>年度</w:t>
                                  </w:r>
                                </w:p>
                              </w:tc>
                              <w:tc>
                                <w:tcPr>
                                  <w:tcW w:w="514" w:type="dxa"/>
                                  <w:vMerge w:val="restart"/>
                                  <w:tcBorders>
                                    <w:top w:val="nil"/>
                                    <w:left w:val="nil"/>
                                    <w:bottom w:val="single" w:sz="4" w:space="0" w:color="auto"/>
                                    <w:right w:val="single" w:sz="4" w:space="0" w:color="auto"/>
                                  </w:tcBorders>
                                  <w:noWrap/>
                                  <w:vAlign w:val="center"/>
                                  <w:hideMark/>
                                </w:tcPr>
                                <w:p w14:paraId="0E87ABF9" w14:textId="77777777" w:rsidR="007B1B13" w:rsidRDefault="007B1B13">
                                  <w:pPr>
                                    <w:widowControl/>
                                    <w:spacing w:line="240" w:lineRule="exact"/>
                                    <w:jc w:val="center"/>
                                    <w:rPr>
                                      <w:rFonts w:ascii="標楷體" w:eastAsia="標楷體" w:hAnsi="標楷體"/>
                                      <w:sz w:val="20"/>
                                      <w:szCs w:val="20"/>
                                    </w:rPr>
                                  </w:pPr>
                                  <w:r>
                                    <w:rPr>
                                      <w:rFonts w:ascii="標楷體" w:eastAsia="標楷體" w:hAnsi="標楷體" w:hint="eastAsia"/>
                                      <w:sz w:val="20"/>
                                      <w:szCs w:val="20"/>
                                    </w:rPr>
                                    <w:t>預算數</w:t>
                                  </w:r>
                                </w:p>
                              </w:tc>
                              <w:tc>
                                <w:tcPr>
                                  <w:tcW w:w="1895" w:type="dxa"/>
                                  <w:gridSpan w:val="3"/>
                                  <w:tcBorders>
                                    <w:top w:val="nil"/>
                                    <w:left w:val="nil"/>
                                    <w:bottom w:val="single" w:sz="4" w:space="0" w:color="auto"/>
                                    <w:right w:val="double" w:sz="4" w:space="0" w:color="auto"/>
                                  </w:tcBorders>
                                  <w:noWrap/>
                                  <w:vAlign w:val="center"/>
                                  <w:hideMark/>
                                </w:tcPr>
                                <w:p w14:paraId="05DD1826" w14:textId="77777777" w:rsidR="007B1B13" w:rsidRDefault="007B1B13">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核定補助情形</w:t>
                                  </w:r>
                                </w:p>
                              </w:tc>
                              <w:tc>
                                <w:tcPr>
                                  <w:tcW w:w="1984" w:type="dxa"/>
                                  <w:gridSpan w:val="3"/>
                                  <w:tcBorders>
                                    <w:top w:val="nil"/>
                                    <w:left w:val="double" w:sz="4" w:space="0" w:color="auto"/>
                                    <w:bottom w:val="single" w:sz="4" w:space="0" w:color="auto"/>
                                    <w:right w:val="single" w:sz="4" w:space="0" w:color="auto"/>
                                  </w:tcBorders>
                                  <w:hideMark/>
                                </w:tcPr>
                                <w:p w14:paraId="0DF40F1F" w14:textId="77777777" w:rsidR="007B1B13" w:rsidRDefault="007B1B13">
                                  <w:pPr>
                                    <w:widowControl/>
                                    <w:spacing w:line="280" w:lineRule="exact"/>
                                    <w:jc w:val="center"/>
                                    <w:rPr>
                                      <w:rFonts w:ascii="標楷體" w:eastAsia="標楷體" w:hAnsi="標楷體" w:cs="新細明體"/>
                                      <w:spacing w:val="-2"/>
                                      <w:kern w:val="0"/>
                                      <w:sz w:val="20"/>
                                      <w:szCs w:val="20"/>
                                    </w:rPr>
                                  </w:pPr>
                                  <w:r>
                                    <w:rPr>
                                      <w:rFonts w:ascii="標楷體" w:eastAsia="標楷體" w:hAnsi="標楷體" w:cs="新細明體" w:hint="eastAsia"/>
                                      <w:kern w:val="0"/>
                                      <w:sz w:val="20"/>
                                      <w:szCs w:val="20"/>
                                    </w:rPr>
                                    <w:t>實際執行情形</w:t>
                                  </w:r>
                                </w:p>
                              </w:tc>
                            </w:tr>
                            <w:tr w:rsidR="007B1B13" w14:paraId="3765EF35" w14:textId="77777777">
                              <w:trPr>
                                <w:trHeight w:val="231"/>
                              </w:trPr>
                              <w:tc>
                                <w:tcPr>
                                  <w:tcW w:w="0" w:type="auto"/>
                                  <w:vMerge/>
                                  <w:tcBorders>
                                    <w:top w:val="nil"/>
                                    <w:left w:val="single" w:sz="4" w:space="0" w:color="auto"/>
                                    <w:bottom w:val="single" w:sz="4" w:space="0" w:color="auto"/>
                                    <w:right w:val="single" w:sz="4" w:space="0" w:color="auto"/>
                                  </w:tcBorders>
                                  <w:vAlign w:val="center"/>
                                  <w:hideMark/>
                                </w:tcPr>
                                <w:p w14:paraId="5AD98512" w14:textId="77777777" w:rsidR="007B1B13" w:rsidRDefault="007B1B13">
                                  <w:pPr>
                                    <w:widowControl/>
                                    <w:rPr>
                                      <w:rFonts w:ascii="標楷體" w:eastAsia="標楷體" w:hAnsi="標楷體"/>
                                      <w:sz w:val="20"/>
                                      <w:szCs w:val="20"/>
                                    </w:rPr>
                                  </w:pPr>
                                </w:p>
                              </w:tc>
                              <w:tc>
                                <w:tcPr>
                                  <w:tcW w:w="0" w:type="auto"/>
                                  <w:vMerge/>
                                  <w:tcBorders>
                                    <w:top w:val="nil"/>
                                    <w:left w:val="nil"/>
                                    <w:bottom w:val="single" w:sz="4" w:space="0" w:color="auto"/>
                                    <w:right w:val="single" w:sz="4" w:space="0" w:color="auto"/>
                                  </w:tcBorders>
                                  <w:vAlign w:val="center"/>
                                  <w:hideMark/>
                                </w:tcPr>
                                <w:p w14:paraId="65D2D7AE" w14:textId="77777777" w:rsidR="007B1B13" w:rsidRDefault="007B1B13">
                                  <w:pPr>
                                    <w:widowControl/>
                                    <w:rPr>
                                      <w:rFonts w:ascii="標楷體" w:eastAsia="標楷體" w:hAnsi="標楷體"/>
                                      <w:sz w:val="20"/>
                                      <w:szCs w:val="20"/>
                                    </w:rPr>
                                  </w:pPr>
                                </w:p>
                              </w:tc>
                              <w:tc>
                                <w:tcPr>
                                  <w:tcW w:w="504" w:type="dxa"/>
                                  <w:tcBorders>
                                    <w:top w:val="single" w:sz="4" w:space="0" w:color="auto"/>
                                    <w:left w:val="nil"/>
                                    <w:bottom w:val="single" w:sz="4" w:space="0" w:color="auto"/>
                                    <w:right w:val="single" w:sz="4" w:space="0" w:color="auto"/>
                                  </w:tcBorders>
                                  <w:noWrap/>
                                  <w:vAlign w:val="center"/>
                                  <w:hideMark/>
                                </w:tcPr>
                                <w:p w14:paraId="64A92DBD" w14:textId="77777777" w:rsidR="007B1B13" w:rsidRDefault="007B1B13">
                                  <w:pPr>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家數</w:t>
                                  </w:r>
                                </w:p>
                              </w:tc>
                              <w:tc>
                                <w:tcPr>
                                  <w:tcW w:w="682" w:type="dxa"/>
                                  <w:tcBorders>
                                    <w:top w:val="single" w:sz="4" w:space="0" w:color="auto"/>
                                    <w:left w:val="single" w:sz="4" w:space="0" w:color="auto"/>
                                    <w:bottom w:val="single" w:sz="4" w:space="0" w:color="auto"/>
                                    <w:right w:val="single" w:sz="4" w:space="0" w:color="auto"/>
                                  </w:tcBorders>
                                  <w:vAlign w:val="center"/>
                                  <w:hideMark/>
                                </w:tcPr>
                                <w:p w14:paraId="494C8B58" w14:textId="77777777" w:rsidR="007B1B13" w:rsidRDefault="007B1B13">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金額</w:t>
                                  </w:r>
                                </w:p>
                              </w:tc>
                              <w:tc>
                                <w:tcPr>
                                  <w:tcW w:w="709" w:type="dxa"/>
                                  <w:tcBorders>
                                    <w:top w:val="single" w:sz="4" w:space="0" w:color="auto"/>
                                    <w:left w:val="single" w:sz="4" w:space="0" w:color="auto"/>
                                    <w:bottom w:val="single" w:sz="4" w:space="0" w:color="auto"/>
                                    <w:right w:val="double" w:sz="4" w:space="0" w:color="auto"/>
                                  </w:tcBorders>
                                  <w:vAlign w:val="center"/>
                                  <w:hideMark/>
                                </w:tcPr>
                                <w:p w14:paraId="188A8716" w14:textId="77777777" w:rsidR="007B1B13" w:rsidRDefault="007B1B13">
                                  <w:pPr>
                                    <w:widowControl/>
                                    <w:spacing w:line="220" w:lineRule="exact"/>
                                    <w:jc w:val="center"/>
                                    <w:rPr>
                                      <w:rFonts w:ascii="標楷體" w:eastAsia="標楷體" w:hAnsi="標楷體" w:cs="新細明體"/>
                                      <w:spacing w:val="-20"/>
                                      <w:kern w:val="0"/>
                                      <w:sz w:val="20"/>
                                      <w:szCs w:val="20"/>
                                    </w:rPr>
                                  </w:pPr>
                                  <w:r>
                                    <w:rPr>
                                      <w:rFonts w:ascii="標楷體" w:eastAsia="標楷體" w:hAnsi="標楷體" w:cs="新細明體" w:hint="eastAsia"/>
                                      <w:spacing w:val="-20"/>
                                      <w:kern w:val="0"/>
                                      <w:sz w:val="20"/>
                                      <w:szCs w:val="20"/>
                                    </w:rPr>
                                    <w:t>占預算數比率</w:t>
                                  </w:r>
                                </w:p>
                              </w:tc>
                              <w:tc>
                                <w:tcPr>
                                  <w:tcW w:w="567" w:type="dxa"/>
                                  <w:tcBorders>
                                    <w:top w:val="single" w:sz="4" w:space="0" w:color="auto"/>
                                    <w:left w:val="double" w:sz="4" w:space="0" w:color="auto"/>
                                    <w:bottom w:val="single" w:sz="4" w:space="0" w:color="auto"/>
                                    <w:right w:val="single" w:sz="4" w:space="0" w:color="auto"/>
                                  </w:tcBorders>
                                  <w:vAlign w:val="center"/>
                                  <w:hideMark/>
                                </w:tcPr>
                                <w:p w14:paraId="156D21D9" w14:textId="77777777" w:rsidR="007B1B13" w:rsidRDefault="007B1B13">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金額</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6B846EB" w14:textId="77777777" w:rsidR="007B1B13" w:rsidRDefault="007B1B13">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spacing w:val="-20"/>
                                      <w:kern w:val="0"/>
                                      <w:sz w:val="20"/>
                                      <w:szCs w:val="20"/>
                                    </w:rPr>
                                    <w:t>占核定數比率</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36856AFB" w14:textId="77777777" w:rsidR="007B1B13" w:rsidRDefault="007B1B13">
                                  <w:pPr>
                                    <w:widowControl/>
                                    <w:spacing w:line="220" w:lineRule="exact"/>
                                    <w:jc w:val="center"/>
                                    <w:rPr>
                                      <w:rFonts w:ascii="標楷體" w:eastAsia="標楷體" w:hAnsi="標楷體" w:cs="新細明體"/>
                                      <w:spacing w:val="-2"/>
                                      <w:kern w:val="0"/>
                                      <w:sz w:val="20"/>
                                      <w:szCs w:val="20"/>
                                    </w:rPr>
                                  </w:pPr>
                                  <w:r>
                                    <w:rPr>
                                      <w:rFonts w:ascii="標楷體" w:eastAsia="標楷體" w:hAnsi="標楷體" w:cs="新細明體" w:hint="eastAsia"/>
                                      <w:spacing w:val="-20"/>
                                      <w:kern w:val="0"/>
                                      <w:sz w:val="20"/>
                                      <w:szCs w:val="20"/>
                                    </w:rPr>
                                    <w:t>占預算數比率</w:t>
                                  </w:r>
                                </w:p>
                              </w:tc>
                            </w:tr>
                            <w:tr w:rsidR="007B1B13" w14:paraId="3B0CDA54" w14:textId="77777777">
                              <w:trPr>
                                <w:trHeight w:val="340"/>
                              </w:trPr>
                              <w:tc>
                                <w:tcPr>
                                  <w:tcW w:w="851" w:type="dxa"/>
                                  <w:tcBorders>
                                    <w:top w:val="nil"/>
                                    <w:left w:val="single" w:sz="4" w:space="0" w:color="auto"/>
                                    <w:bottom w:val="single" w:sz="4" w:space="0" w:color="auto"/>
                                    <w:right w:val="single" w:sz="4" w:space="0" w:color="auto"/>
                                  </w:tcBorders>
                                  <w:noWrap/>
                                  <w:vAlign w:val="center"/>
                                  <w:hideMark/>
                                </w:tcPr>
                                <w:p w14:paraId="5C969DCB" w14:textId="77777777" w:rsidR="007B1B13" w:rsidRDefault="007B1B13">
                                  <w:pPr>
                                    <w:widowControl/>
                                    <w:spacing w:line="220" w:lineRule="exact"/>
                                    <w:jc w:val="center"/>
                                    <w:rPr>
                                      <w:rFonts w:ascii="標楷體" w:eastAsia="標楷體" w:hAnsi="標楷體" w:cs="Times New Roman"/>
                                      <w:sz w:val="20"/>
                                      <w:szCs w:val="20"/>
                                    </w:rPr>
                                  </w:pPr>
                                  <w:r>
                                    <w:rPr>
                                      <w:rFonts w:ascii="標楷體" w:eastAsia="標楷體" w:hAnsi="標楷體" w:hint="eastAsia"/>
                                      <w:sz w:val="20"/>
                                      <w:szCs w:val="20"/>
                                    </w:rPr>
                                    <w:t>111</w:t>
                                  </w:r>
                                </w:p>
                              </w:tc>
                              <w:tc>
                                <w:tcPr>
                                  <w:tcW w:w="514" w:type="dxa"/>
                                  <w:tcBorders>
                                    <w:top w:val="nil"/>
                                    <w:left w:val="nil"/>
                                    <w:bottom w:val="single" w:sz="4" w:space="0" w:color="auto"/>
                                    <w:right w:val="single" w:sz="4" w:space="0" w:color="auto"/>
                                  </w:tcBorders>
                                  <w:noWrap/>
                                  <w:vAlign w:val="center"/>
                                  <w:hideMark/>
                                </w:tcPr>
                                <w:p w14:paraId="193050E9" w14:textId="77777777" w:rsidR="007B1B13" w:rsidRDefault="007B1B13">
                                  <w:pPr>
                                    <w:widowControl/>
                                    <w:spacing w:line="220" w:lineRule="exact"/>
                                    <w:jc w:val="right"/>
                                    <w:rPr>
                                      <w:rFonts w:ascii="標楷體" w:eastAsia="標楷體" w:hAnsi="標楷體"/>
                                      <w:sz w:val="20"/>
                                      <w:szCs w:val="20"/>
                                    </w:rPr>
                                  </w:pPr>
                                  <w:r>
                                    <w:rPr>
                                      <w:rFonts w:ascii="標楷體" w:eastAsia="標楷體" w:hAnsi="標楷體" w:hint="eastAsia"/>
                                      <w:sz w:val="20"/>
                                      <w:szCs w:val="20"/>
                                    </w:rPr>
                                    <w:t>13,143</w:t>
                                  </w:r>
                                </w:p>
                              </w:tc>
                              <w:tc>
                                <w:tcPr>
                                  <w:tcW w:w="504" w:type="dxa"/>
                                  <w:tcBorders>
                                    <w:top w:val="single" w:sz="4" w:space="0" w:color="auto"/>
                                    <w:left w:val="nil"/>
                                    <w:bottom w:val="single" w:sz="4" w:space="0" w:color="auto"/>
                                    <w:right w:val="single" w:sz="4" w:space="0" w:color="auto"/>
                                  </w:tcBorders>
                                  <w:noWrap/>
                                  <w:vAlign w:val="center"/>
                                  <w:hideMark/>
                                </w:tcPr>
                                <w:p w14:paraId="6D9CBE27"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47</w:t>
                                  </w:r>
                                </w:p>
                              </w:tc>
                              <w:tc>
                                <w:tcPr>
                                  <w:tcW w:w="682" w:type="dxa"/>
                                  <w:tcBorders>
                                    <w:top w:val="single" w:sz="4" w:space="0" w:color="auto"/>
                                    <w:left w:val="single" w:sz="4" w:space="0" w:color="auto"/>
                                    <w:bottom w:val="single" w:sz="4" w:space="0" w:color="auto"/>
                                    <w:right w:val="single" w:sz="4" w:space="0" w:color="auto"/>
                                  </w:tcBorders>
                                  <w:vAlign w:val="center"/>
                                  <w:hideMark/>
                                </w:tcPr>
                                <w:p w14:paraId="3137D142"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11,477</w:t>
                                  </w:r>
                                </w:p>
                              </w:tc>
                              <w:tc>
                                <w:tcPr>
                                  <w:tcW w:w="709" w:type="dxa"/>
                                  <w:tcBorders>
                                    <w:top w:val="single" w:sz="4" w:space="0" w:color="auto"/>
                                    <w:left w:val="single" w:sz="4" w:space="0" w:color="auto"/>
                                    <w:bottom w:val="single" w:sz="4" w:space="0" w:color="auto"/>
                                    <w:right w:val="double" w:sz="4" w:space="0" w:color="auto"/>
                                  </w:tcBorders>
                                  <w:vAlign w:val="center"/>
                                  <w:hideMark/>
                                </w:tcPr>
                                <w:p w14:paraId="4563AAD1"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87.33</w:t>
                                  </w:r>
                                </w:p>
                              </w:tc>
                              <w:tc>
                                <w:tcPr>
                                  <w:tcW w:w="567" w:type="dxa"/>
                                  <w:tcBorders>
                                    <w:top w:val="single" w:sz="4" w:space="0" w:color="auto"/>
                                    <w:left w:val="double" w:sz="4" w:space="0" w:color="auto"/>
                                    <w:bottom w:val="single" w:sz="4" w:space="0" w:color="auto"/>
                                    <w:right w:val="single" w:sz="4" w:space="0" w:color="auto"/>
                                  </w:tcBorders>
                                  <w:vAlign w:val="center"/>
                                  <w:hideMark/>
                                </w:tcPr>
                                <w:p w14:paraId="1B9CE59A"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7,316</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D20F7F8"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63.74</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24D5D9AF"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55.67</w:t>
                                  </w:r>
                                </w:p>
                              </w:tc>
                            </w:tr>
                            <w:tr w:rsidR="007B1B13" w14:paraId="39235736" w14:textId="77777777">
                              <w:trPr>
                                <w:trHeight w:val="340"/>
                              </w:trPr>
                              <w:tc>
                                <w:tcPr>
                                  <w:tcW w:w="851" w:type="dxa"/>
                                  <w:tcBorders>
                                    <w:top w:val="nil"/>
                                    <w:left w:val="single" w:sz="4" w:space="0" w:color="auto"/>
                                    <w:bottom w:val="single" w:sz="4" w:space="0" w:color="auto"/>
                                    <w:right w:val="single" w:sz="4" w:space="0" w:color="auto"/>
                                  </w:tcBorders>
                                  <w:noWrap/>
                                  <w:vAlign w:val="center"/>
                                  <w:hideMark/>
                                </w:tcPr>
                                <w:p w14:paraId="7720947D" w14:textId="77777777" w:rsidR="007B1B13" w:rsidRDefault="007B1B13">
                                  <w:pPr>
                                    <w:widowControl/>
                                    <w:spacing w:line="220" w:lineRule="exact"/>
                                    <w:jc w:val="center"/>
                                    <w:rPr>
                                      <w:rFonts w:ascii="標楷體" w:eastAsia="標楷體" w:hAnsi="標楷體" w:cs="Times New Roman"/>
                                      <w:sz w:val="20"/>
                                      <w:szCs w:val="20"/>
                                    </w:rPr>
                                  </w:pPr>
                                  <w:r>
                                    <w:rPr>
                                      <w:rFonts w:ascii="標楷體" w:eastAsia="標楷體" w:hAnsi="標楷體" w:hint="eastAsia"/>
                                      <w:sz w:val="20"/>
                                      <w:szCs w:val="20"/>
                                    </w:rPr>
                                    <w:t>112</w:t>
                                  </w:r>
                                </w:p>
                              </w:tc>
                              <w:tc>
                                <w:tcPr>
                                  <w:tcW w:w="514" w:type="dxa"/>
                                  <w:tcBorders>
                                    <w:top w:val="nil"/>
                                    <w:left w:val="nil"/>
                                    <w:bottom w:val="single" w:sz="4" w:space="0" w:color="auto"/>
                                    <w:right w:val="single" w:sz="4" w:space="0" w:color="auto"/>
                                  </w:tcBorders>
                                  <w:noWrap/>
                                  <w:vAlign w:val="center"/>
                                  <w:hideMark/>
                                </w:tcPr>
                                <w:p w14:paraId="37ED86A8" w14:textId="77777777" w:rsidR="007B1B13" w:rsidRDefault="007B1B13">
                                  <w:pPr>
                                    <w:widowControl/>
                                    <w:spacing w:line="220" w:lineRule="exact"/>
                                    <w:jc w:val="right"/>
                                    <w:rPr>
                                      <w:rFonts w:ascii="標楷體" w:eastAsia="標楷體" w:hAnsi="標楷體"/>
                                      <w:sz w:val="20"/>
                                      <w:szCs w:val="20"/>
                                    </w:rPr>
                                  </w:pPr>
                                  <w:r>
                                    <w:rPr>
                                      <w:rFonts w:ascii="標楷體" w:eastAsia="標楷體" w:hAnsi="標楷體" w:hint="eastAsia"/>
                                      <w:sz w:val="20"/>
                                      <w:szCs w:val="20"/>
                                    </w:rPr>
                                    <w:t>9,000</w:t>
                                  </w:r>
                                </w:p>
                              </w:tc>
                              <w:tc>
                                <w:tcPr>
                                  <w:tcW w:w="504" w:type="dxa"/>
                                  <w:tcBorders>
                                    <w:top w:val="single" w:sz="4" w:space="0" w:color="auto"/>
                                    <w:left w:val="nil"/>
                                    <w:bottom w:val="single" w:sz="4" w:space="0" w:color="auto"/>
                                    <w:right w:val="single" w:sz="4" w:space="0" w:color="auto"/>
                                  </w:tcBorders>
                                  <w:noWrap/>
                                  <w:vAlign w:val="center"/>
                                  <w:hideMark/>
                                </w:tcPr>
                                <w:p w14:paraId="2E53AFA0"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47</w:t>
                                  </w:r>
                                </w:p>
                              </w:tc>
                              <w:tc>
                                <w:tcPr>
                                  <w:tcW w:w="682" w:type="dxa"/>
                                  <w:tcBorders>
                                    <w:top w:val="single" w:sz="4" w:space="0" w:color="auto"/>
                                    <w:left w:val="single" w:sz="4" w:space="0" w:color="auto"/>
                                    <w:bottom w:val="single" w:sz="4" w:space="0" w:color="auto"/>
                                    <w:right w:val="single" w:sz="4" w:space="0" w:color="auto"/>
                                  </w:tcBorders>
                                  <w:vAlign w:val="center"/>
                                  <w:hideMark/>
                                </w:tcPr>
                                <w:p w14:paraId="5B8569BC"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7,136</w:t>
                                  </w:r>
                                </w:p>
                              </w:tc>
                              <w:tc>
                                <w:tcPr>
                                  <w:tcW w:w="709" w:type="dxa"/>
                                  <w:tcBorders>
                                    <w:top w:val="single" w:sz="4" w:space="0" w:color="auto"/>
                                    <w:left w:val="single" w:sz="4" w:space="0" w:color="auto"/>
                                    <w:bottom w:val="single" w:sz="4" w:space="0" w:color="auto"/>
                                    <w:right w:val="double" w:sz="4" w:space="0" w:color="auto"/>
                                  </w:tcBorders>
                                  <w:vAlign w:val="center"/>
                                  <w:hideMark/>
                                </w:tcPr>
                                <w:p w14:paraId="28363E9E"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79.30</w:t>
                                  </w:r>
                                </w:p>
                              </w:tc>
                              <w:tc>
                                <w:tcPr>
                                  <w:tcW w:w="567" w:type="dxa"/>
                                  <w:tcBorders>
                                    <w:top w:val="single" w:sz="4" w:space="0" w:color="auto"/>
                                    <w:left w:val="double" w:sz="4" w:space="0" w:color="auto"/>
                                    <w:bottom w:val="single" w:sz="4" w:space="0" w:color="auto"/>
                                    <w:right w:val="single" w:sz="4" w:space="0" w:color="auto"/>
                                  </w:tcBorders>
                                  <w:vAlign w:val="center"/>
                                  <w:hideMark/>
                                </w:tcPr>
                                <w:p w14:paraId="440D0DC3"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4,991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3D5CDED"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69.93</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7C49E000"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55.46</w:t>
                                  </w:r>
                                </w:p>
                              </w:tc>
                            </w:tr>
                            <w:tr w:rsidR="007B1B13" w14:paraId="77E1B77A" w14:textId="77777777">
                              <w:trPr>
                                <w:trHeight w:val="340"/>
                              </w:trPr>
                              <w:tc>
                                <w:tcPr>
                                  <w:tcW w:w="851" w:type="dxa"/>
                                  <w:tcBorders>
                                    <w:top w:val="nil"/>
                                    <w:left w:val="single" w:sz="4" w:space="0" w:color="auto"/>
                                    <w:bottom w:val="single" w:sz="4" w:space="0" w:color="auto"/>
                                    <w:right w:val="single" w:sz="4" w:space="0" w:color="auto"/>
                                  </w:tcBorders>
                                  <w:noWrap/>
                                  <w:vAlign w:val="center"/>
                                  <w:hideMark/>
                                </w:tcPr>
                                <w:p w14:paraId="1BD58C29" w14:textId="77777777" w:rsidR="007B1B13" w:rsidRDefault="007B1B13">
                                  <w:pPr>
                                    <w:widowControl/>
                                    <w:spacing w:line="220" w:lineRule="exact"/>
                                    <w:jc w:val="center"/>
                                    <w:rPr>
                                      <w:rFonts w:ascii="標楷體" w:eastAsia="標楷體" w:hAnsi="標楷體" w:cs="Times New Roman"/>
                                      <w:sz w:val="20"/>
                                      <w:szCs w:val="20"/>
                                    </w:rPr>
                                  </w:pPr>
                                  <w:r>
                                    <w:rPr>
                                      <w:rFonts w:ascii="標楷體" w:eastAsia="標楷體" w:hAnsi="標楷體" w:hint="eastAsia"/>
                                      <w:sz w:val="20"/>
                                      <w:szCs w:val="20"/>
                                    </w:rPr>
                                    <w:t>113</w:t>
                                  </w:r>
                                </w:p>
                                <w:p w14:paraId="6A6EB6B1" w14:textId="77777777" w:rsidR="007B1B13" w:rsidRDefault="007B1B13">
                                  <w:pPr>
                                    <w:widowControl/>
                                    <w:spacing w:line="220" w:lineRule="exact"/>
                                    <w:jc w:val="center"/>
                                    <w:rPr>
                                      <w:rFonts w:ascii="標楷體" w:eastAsia="標楷體" w:hAnsi="標楷體"/>
                                      <w:spacing w:val="-34"/>
                                      <w:sz w:val="20"/>
                                      <w:szCs w:val="20"/>
                                    </w:rPr>
                                  </w:pPr>
                                  <w:r>
                                    <w:rPr>
                                      <w:rFonts w:ascii="標楷體" w:eastAsia="標楷體" w:hAnsi="標楷體" w:hint="eastAsia"/>
                                      <w:spacing w:val="-34"/>
                                      <w:sz w:val="20"/>
                                      <w:szCs w:val="20"/>
                                    </w:rPr>
                                    <w:t>(截至8月底)</w:t>
                                  </w:r>
                                </w:p>
                              </w:tc>
                              <w:tc>
                                <w:tcPr>
                                  <w:tcW w:w="514" w:type="dxa"/>
                                  <w:tcBorders>
                                    <w:top w:val="nil"/>
                                    <w:left w:val="nil"/>
                                    <w:bottom w:val="single" w:sz="4" w:space="0" w:color="auto"/>
                                    <w:right w:val="single" w:sz="4" w:space="0" w:color="auto"/>
                                  </w:tcBorders>
                                  <w:noWrap/>
                                  <w:vAlign w:val="center"/>
                                  <w:hideMark/>
                                </w:tcPr>
                                <w:p w14:paraId="34638E2D" w14:textId="77777777" w:rsidR="007B1B13" w:rsidRDefault="007B1B13">
                                  <w:pPr>
                                    <w:widowControl/>
                                    <w:spacing w:line="220" w:lineRule="exact"/>
                                    <w:jc w:val="right"/>
                                    <w:rPr>
                                      <w:rFonts w:ascii="標楷體" w:eastAsia="標楷體" w:hAnsi="標楷體"/>
                                      <w:sz w:val="20"/>
                                      <w:szCs w:val="20"/>
                                    </w:rPr>
                                  </w:pPr>
                                  <w:r>
                                    <w:rPr>
                                      <w:rFonts w:ascii="標楷體" w:eastAsia="標楷體" w:hAnsi="標楷體" w:hint="eastAsia"/>
                                      <w:sz w:val="20"/>
                                      <w:szCs w:val="20"/>
                                    </w:rPr>
                                    <w:t>8,472</w:t>
                                  </w:r>
                                </w:p>
                              </w:tc>
                              <w:tc>
                                <w:tcPr>
                                  <w:tcW w:w="504" w:type="dxa"/>
                                  <w:tcBorders>
                                    <w:top w:val="single" w:sz="4" w:space="0" w:color="auto"/>
                                    <w:left w:val="nil"/>
                                    <w:bottom w:val="single" w:sz="4" w:space="0" w:color="auto"/>
                                    <w:right w:val="single" w:sz="4" w:space="0" w:color="auto"/>
                                  </w:tcBorders>
                                  <w:noWrap/>
                                  <w:vAlign w:val="center"/>
                                  <w:hideMark/>
                                </w:tcPr>
                                <w:p w14:paraId="6A522112"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55</w:t>
                                  </w:r>
                                </w:p>
                              </w:tc>
                              <w:tc>
                                <w:tcPr>
                                  <w:tcW w:w="682" w:type="dxa"/>
                                  <w:tcBorders>
                                    <w:top w:val="single" w:sz="4" w:space="0" w:color="auto"/>
                                    <w:left w:val="single" w:sz="4" w:space="0" w:color="auto"/>
                                    <w:bottom w:val="single" w:sz="4" w:space="0" w:color="auto"/>
                                    <w:right w:val="single" w:sz="4" w:space="0" w:color="auto"/>
                                  </w:tcBorders>
                                  <w:vAlign w:val="center"/>
                                  <w:hideMark/>
                                </w:tcPr>
                                <w:p w14:paraId="6BCBAFBD"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7,263</w:t>
                                  </w:r>
                                </w:p>
                              </w:tc>
                              <w:tc>
                                <w:tcPr>
                                  <w:tcW w:w="709" w:type="dxa"/>
                                  <w:tcBorders>
                                    <w:top w:val="single" w:sz="4" w:space="0" w:color="auto"/>
                                    <w:left w:val="single" w:sz="4" w:space="0" w:color="auto"/>
                                    <w:bottom w:val="single" w:sz="4" w:space="0" w:color="auto"/>
                                    <w:right w:val="double" w:sz="4" w:space="0" w:color="auto"/>
                                  </w:tcBorders>
                                  <w:vAlign w:val="center"/>
                                  <w:hideMark/>
                                </w:tcPr>
                                <w:p w14:paraId="0021DDB3"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85.73</w:t>
                                  </w:r>
                                </w:p>
                              </w:tc>
                              <w:tc>
                                <w:tcPr>
                                  <w:tcW w:w="567" w:type="dxa"/>
                                  <w:tcBorders>
                                    <w:top w:val="single" w:sz="4" w:space="0" w:color="auto"/>
                                    <w:left w:val="double" w:sz="4" w:space="0" w:color="auto"/>
                                    <w:bottom w:val="single" w:sz="4" w:space="0" w:color="auto"/>
                                    <w:right w:val="single" w:sz="4" w:space="0" w:color="auto"/>
                                  </w:tcBorders>
                                  <w:vAlign w:val="center"/>
                                  <w:hideMark/>
                                </w:tcPr>
                                <w:p w14:paraId="2E42CF34"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1,348</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413DA0E"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18.56</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18A11CFC"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15.91</w:t>
                                  </w:r>
                                </w:p>
                              </w:tc>
                            </w:tr>
                            <w:tr w:rsidR="007B1B13" w14:paraId="63E9E6CF" w14:textId="77777777">
                              <w:trPr>
                                <w:trHeight w:val="283"/>
                              </w:trPr>
                              <w:tc>
                                <w:tcPr>
                                  <w:tcW w:w="5244" w:type="dxa"/>
                                  <w:gridSpan w:val="8"/>
                                  <w:hideMark/>
                                </w:tcPr>
                                <w:p w14:paraId="2948AB8C" w14:textId="77777777" w:rsidR="007B1B13" w:rsidRDefault="007B1B13">
                                  <w:pPr>
                                    <w:widowControl/>
                                    <w:adjustRightInd w:val="0"/>
                                    <w:spacing w:line="220" w:lineRule="exact"/>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資料來源：整理自社會局提供資料。</w:t>
                                  </w:r>
                                </w:p>
                              </w:tc>
                            </w:tr>
                          </w:tbl>
                          <w:p w14:paraId="1F4881F2" w14:textId="77777777" w:rsidR="007B1B13" w:rsidRDefault="007B1B13" w:rsidP="007B1B13">
                            <w:pPr>
                              <w:rPr>
                                <w:rFonts w:ascii="標楷體" w:eastAsia="標楷體" w:hAnsi="標楷體" w:cs="Times New Roman"/>
                                <w:szCs w:val="24"/>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BC95D9" id="文字方塊 927419632" o:spid="_x0000_s1104" type="#_x0000_t202" style="position:absolute;left:0;text-align:left;margin-left:218.15pt;margin-top:409.5pt;width:286.05pt;height:147.4pt;z-index:-251561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" filled="f" stroked="f">
                <v:textbox>
                  <w:txbxContent>
                    <w:tbl>
                      <w:tblPr>
                        <w:tblW w:w="5244" w:type="dxa"/>
                        <w:tblCellMar>
                          <w:left w:w="28" w:type="dxa"/>
                          <w:right w:w="28" w:type="dxa"/>
                        </w:tblCellMar>
                        <w:tblLook w:val="04A0" w:firstRow="1" w:lastRow="0" w:firstColumn="1" w:lastColumn="0" w:noHBand="0" w:noVBand="1"/>
                      </w:tblPr>
                      <w:tblGrid>
                        <w:gridCol w:w="851"/>
                        <w:gridCol w:w="656"/>
                        <w:gridCol w:w="504"/>
                        <w:gridCol w:w="682"/>
                        <w:gridCol w:w="709"/>
                        <w:gridCol w:w="556"/>
                        <w:gridCol w:w="709"/>
                        <w:gridCol w:w="708"/>
                      </w:tblGrid>
                      <w:tr w:rsidR="007B1B13" w14:paraId="15BB7336" w14:textId="77777777">
                        <w:trPr>
                          <w:trHeight w:val="283"/>
                        </w:trPr>
                        <w:tc>
                          <w:tcPr>
                            <w:tcW w:w="5244" w:type="dxa"/>
                            <w:gridSpan w:val="8"/>
                            <w:vAlign w:val="center"/>
                            <w:hideMark/>
                          </w:tcPr>
                          <w:p w14:paraId="715645AA" w14:textId="77777777" w:rsidR="007B1B13" w:rsidRDefault="007B1B13">
                            <w:pPr>
                              <w:widowControl/>
                              <w:spacing w:afterLines="30" w:after="108" w:line="280" w:lineRule="exact"/>
                              <w:jc w:val="center"/>
                              <w:rPr>
                                <w:rFonts w:ascii="標楷體" w:eastAsia="標楷體" w:hAnsi="標楷體"/>
                                <w:b/>
                              </w:rPr>
                            </w:pPr>
                            <w:bookmarkStart w:id="59" w:name="_Hlk180401032"/>
                            <w:bookmarkEnd w:id="59"/>
                            <w:r>
                              <w:rPr>
                                <w:rFonts w:ascii="標楷體" w:eastAsia="標楷體" w:hAnsi="標楷體" w:hint="eastAsia"/>
                                <w:b/>
                              </w:rPr>
                              <w:t>表6　強化居家服務資源補助計畫預算執行情形</w:t>
                            </w:r>
                          </w:p>
                        </w:tc>
                      </w:tr>
                      <w:tr w:rsidR="007B1B13" w14:paraId="4A0AE66C" w14:textId="77777777">
                        <w:trPr>
                          <w:trHeight w:val="283"/>
                        </w:trPr>
                        <w:tc>
                          <w:tcPr>
                            <w:tcW w:w="5244" w:type="dxa"/>
                            <w:gridSpan w:val="8"/>
                            <w:tcBorders>
                              <w:top w:val="nil"/>
                              <w:left w:val="nil"/>
                              <w:bottom w:val="single" w:sz="4" w:space="0" w:color="auto"/>
                              <w:right w:val="nil"/>
                            </w:tcBorders>
                            <w:vAlign w:val="bottom"/>
                            <w:hideMark/>
                          </w:tcPr>
                          <w:p w14:paraId="533F9A2F" w14:textId="77777777" w:rsidR="007B1B13" w:rsidRDefault="007B1B13">
                            <w:pPr>
                              <w:widowControl/>
                              <w:snapToGrid w:val="0"/>
                              <w:spacing w:line="240" w:lineRule="exact"/>
                              <w:jc w:val="right"/>
                              <w:rPr>
                                <w:rFonts w:ascii="標楷體" w:eastAsia="標楷體" w:hAnsi="標楷體"/>
                                <w:sz w:val="20"/>
                              </w:rPr>
                            </w:pPr>
                            <w:r>
                              <w:rPr>
                                <w:rFonts w:ascii="標楷體" w:eastAsia="標楷體" w:hAnsi="標楷體" w:hint="eastAsia"/>
                                <w:sz w:val="20"/>
                              </w:rPr>
                              <w:t>單位：新臺幣千元、家、％</w:t>
                            </w:r>
                          </w:p>
                        </w:tc>
                      </w:tr>
                      <w:tr w:rsidR="007B1B13" w14:paraId="66F4DD45" w14:textId="77777777">
                        <w:trPr>
                          <w:trHeight w:val="152"/>
                        </w:trPr>
                        <w:tc>
                          <w:tcPr>
                            <w:tcW w:w="851" w:type="dxa"/>
                            <w:vMerge w:val="restart"/>
                            <w:tcBorders>
                              <w:top w:val="nil"/>
                              <w:left w:val="single" w:sz="4" w:space="0" w:color="auto"/>
                              <w:bottom w:val="single" w:sz="4" w:space="0" w:color="auto"/>
                              <w:right w:val="single" w:sz="4" w:space="0" w:color="auto"/>
                            </w:tcBorders>
                            <w:noWrap/>
                            <w:vAlign w:val="center"/>
                            <w:hideMark/>
                          </w:tcPr>
                          <w:p w14:paraId="1F36A5E9" w14:textId="77777777" w:rsidR="007B1B13" w:rsidRDefault="007B1B13">
                            <w:pPr>
                              <w:widowControl/>
                              <w:spacing w:line="240" w:lineRule="exact"/>
                              <w:jc w:val="center"/>
                              <w:rPr>
                                <w:rFonts w:ascii="標楷體" w:eastAsia="標楷體" w:hAnsi="標楷體"/>
                                <w:sz w:val="20"/>
                                <w:szCs w:val="20"/>
                              </w:rPr>
                            </w:pPr>
                            <w:r>
                              <w:rPr>
                                <w:rFonts w:ascii="標楷體" w:eastAsia="標楷體" w:hAnsi="標楷體" w:hint="eastAsia"/>
                                <w:sz w:val="20"/>
                                <w:szCs w:val="20"/>
                              </w:rPr>
                              <w:t>年度</w:t>
                            </w:r>
                          </w:p>
                        </w:tc>
                        <w:tc>
                          <w:tcPr>
                            <w:tcW w:w="514" w:type="dxa"/>
                            <w:vMerge w:val="restart"/>
                            <w:tcBorders>
                              <w:top w:val="nil"/>
                              <w:left w:val="nil"/>
                              <w:bottom w:val="single" w:sz="4" w:space="0" w:color="auto"/>
                              <w:right w:val="single" w:sz="4" w:space="0" w:color="auto"/>
                            </w:tcBorders>
                            <w:noWrap/>
                            <w:vAlign w:val="center"/>
                            <w:hideMark/>
                          </w:tcPr>
                          <w:p w14:paraId="0E87ABF9" w14:textId="77777777" w:rsidR="007B1B13" w:rsidRDefault="007B1B13">
                            <w:pPr>
                              <w:widowControl/>
                              <w:spacing w:line="240" w:lineRule="exact"/>
                              <w:jc w:val="center"/>
                              <w:rPr>
                                <w:rFonts w:ascii="標楷體" w:eastAsia="標楷體" w:hAnsi="標楷體"/>
                                <w:sz w:val="20"/>
                                <w:szCs w:val="20"/>
                              </w:rPr>
                            </w:pPr>
                            <w:r>
                              <w:rPr>
                                <w:rFonts w:ascii="標楷體" w:eastAsia="標楷體" w:hAnsi="標楷體" w:hint="eastAsia"/>
                                <w:sz w:val="20"/>
                                <w:szCs w:val="20"/>
                              </w:rPr>
                              <w:t>預算數</w:t>
                            </w:r>
                          </w:p>
                        </w:tc>
                        <w:tc>
                          <w:tcPr>
                            <w:tcW w:w="1895" w:type="dxa"/>
                            <w:gridSpan w:val="3"/>
                            <w:tcBorders>
                              <w:top w:val="nil"/>
                              <w:left w:val="nil"/>
                              <w:bottom w:val="single" w:sz="4" w:space="0" w:color="auto"/>
                              <w:right w:val="double" w:sz="4" w:space="0" w:color="auto"/>
                            </w:tcBorders>
                            <w:noWrap/>
                            <w:vAlign w:val="center"/>
                            <w:hideMark/>
                          </w:tcPr>
                          <w:p w14:paraId="05DD1826" w14:textId="77777777" w:rsidR="007B1B13" w:rsidRDefault="007B1B13">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核定補助情形</w:t>
                            </w:r>
                          </w:p>
                        </w:tc>
                        <w:tc>
                          <w:tcPr>
                            <w:tcW w:w="1984" w:type="dxa"/>
                            <w:gridSpan w:val="3"/>
                            <w:tcBorders>
                              <w:top w:val="nil"/>
                              <w:left w:val="double" w:sz="4" w:space="0" w:color="auto"/>
                              <w:bottom w:val="single" w:sz="4" w:space="0" w:color="auto"/>
                              <w:right w:val="single" w:sz="4" w:space="0" w:color="auto"/>
                            </w:tcBorders>
                            <w:hideMark/>
                          </w:tcPr>
                          <w:p w14:paraId="0DF40F1F" w14:textId="77777777" w:rsidR="007B1B13" w:rsidRDefault="007B1B13">
                            <w:pPr>
                              <w:widowControl/>
                              <w:spacing w:line="280" w:lineRule="exact"/>
                              <w:jc w:val="center"/>
                              <w:rPr>
                                <w:rFonts w:ascii="標楷體" w:eastAsia="標楷體" w:hAnsi="標楷體" w:cs="新細明體"/>
                                <w:spacing w:val="-2"/>
                                <w:kern w:val="0"/>
                                <w:sz w:val="20"/>
                                <w:szCs w:val="20"/>
                              </w:rPr>
                            </w:pPr>
                            <w:r>
                              <w:rPr>
                                <w:rFonts w:ascii="標楷體" w:eastAsia="標楷體" w:hAnsi="標楷體" w:cs="新細明體" w:hint="eastAsia"/>
                                <w:kern w:val="0"/>
                                <w:sz w:val="20"/>
                                <w:szCs w:val="20"/>
                              </w:rPr>
                              <w:t>實際執行情形</w:t>
                            </w:r>
                          </w:p>
                        </w:tc>
                      </w:tr>
                      <w:tr w:rsidR="007B1B13" w14:paraId="3765EF35" w14:textId="77777777">
                        <w:trPr>
                          <w:trHeight w:val="231"/>
                        </w:trPr>
                        <w:tc>
                          <w:tcPr>
                            <w:tcW w:w="0" w:type="auto"/>
                            <w:vMerge/>
                            <w:tcBorders>
                              <w:top w:val="nil"/>
                              <w:left w:val="single" w:sz="4" w:space="0" w:color="auto"/>
                              <w:bottom w:val="single" w:sz="4" w:space="0" w:color="auto"/>
                              <w:right w:val="single" w:sz="4" w:space="0" w:color="auto"/>
                            </w:tcBorders>
                            <w:vAlign w:val="center"/>
                            <w:hideMark/>
                          </w:tcPr>
                          <w:p w14:paraId="5AD98512" w14:textId="77777777" w:rsidR="007B1B13" w:rsidRDefault="007B1B13">
                            <w:pPr>
                              <w:widowControl/>
                              <w:rPr>
                                <w:rFonts w:ascii="標楷體" w:eastAsia="標楷體" w:hAnsi="標楷體"/>
                                <w:sz w:val="20"/>
                                <w:szCs w:val="20"/>
                              </w:rPr>
                            </w:pPr>
                          </w:p>
                        </w:tc>
                        <w:tc>
                          <w:tcPr>
                            <w:tcW w:w="0" w:type="auto"/>
                            <w:vMerge/>
                            <w:tcBorders>
                              <w:top w:val="nil"/>
                              <w:left w:val="nil"/>
                              <w:bottom w:val="single" w:sz="4" w:space="0" w:color="auto"/>
                              <w:right w:val="single" w:sz="4" w:space="0" w:color="auto"/>
                            </w:tcBorders>
                            <w:vAlign w:val="center"/>
                            <w:hideMark/>
                          </w:tcPr>
                          <w:p w14:paraId="65D2D7AE" w14:textId="77777777" w:rsidR="007B1B13" w:rsidRDefault="007B1B13">
                            <w:pPr>
                              <w:widowControl/>
                              <w:rPr>
                                <w:rFonts w:ascii="標楷體" w:eastAsia="標楷體" w:hAnsi="標楷體"/>
                                <w:sz w:val="20"/>
                                <w:szCs w:val="20"/>
                              </w:rPr>
                            </w:pPr>
                          </w:p>
                        </w:tc>
                        <w:tc>
                          <w:tcPr>
                            <w:tcW w:w="504" w:type="dxa"/>
                            <w:tcBorders>
                              <w:top w:val="single" w:sz="4" w:space="0" w:color="auto"/>
                              <w:left w:val="nil"/>
                              <w:bottom w:val="single" w:sz="4" w:space="0" w:color="auto"/>
                              <w:right w:val="single" w:sz="4" w:space="0" w:color="auto"/>
                            </w:tcBorders>
                            <w:noWrap/>
                            <w:vAlign w:val="center"/>
                            <w:hideMark/>
                          </w:tcPr>
                          <w:p w14:paraId="64A92DBD" w14:textId="77777777" w:rsidR="007B1B13" w:rsidRDefault="007B1B13">
                            <w:pPr>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家數</w:t>
                            </w:r>
                          </w:p>
                        </w:tc>
                        <w:tc>
                          <w:tcPr>
                            <w:tcW w:w="682" w:type="dxa"/>
                            <w:tcBorders>
                              <w:top w:val="single" w:sz="4" w:space="0" w:color="auto"/>
                              <w:left w:val="single" w:sz="4" w:space="0" w:color="auto"/>
                              <w:bottom w:val="single" w:sz="4" w:space="0" w:color="auto"/>
                              <w:right w:val="single" w:sz="4" w:space="0" w:color="auto"/>
                            </w:tcBorders>
                            <w:vAlign w:val="center"/>
                            <w:hideMark/>
                          </w:tcPr>
                          <w:p w14:paraId="494C8B58" w14:textId="77777777" w:rsidR="007B1B13" w:rsidRDefault="007B1B13">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金額</w:t>
                            </w:r>
                          </w:p>
                        </w:tc>
                        <w:tc>
                          <w:tcPr>
                            <w:tcW w:w="709" w:type="dxa"/>
                            <w:tcBorders>
                              <w:top w:val="single" w:sz="4" w:space="0" w:color="auto"/>
                              <w:left w:val="single" w:sz="4" w:space="0" w:color="auto"/>
                              <w:bottom w:val="single" w:sz="4" w:space="0" w:color="auto"/>
                              <w:right w:val="double" w:sz="4" w:space="0" w:color="auto"/>
                            </w:tcBorders>
                            <w:vAlign w:val="center"/>
                            <w:hideMark/>
                          </w:tcPr>
                          <w:p w14:paraId="188A8716" w14:textId="77777777" w:rsidR="007B1B13" w:rsidRDefault="007B1B13">
                            <w:pPr>
                              <w:widowControl/>
                              <w:spacing w:line="220" w:lineRule="exact"/>
                              <w:jc w:val="center"/>
                              <w:rPr>
                                <w:rFonts w:ascii="標楷體" w:eastAsia="標楷體" w:hAnsi="標楷體" w:cs="新細明體"/>
                                <w:spacing w:val="-20"/>
                                <w:kern w:val="0"/>
                                <w:sz w:val="20"/>
                                <w:szCs w:val="20"/>
                              </w:rPr>
                            </w:pPr>
                            <w:r>
                              <w:rPr>
                                <w:rFonts w:ascii="標楷體" w:eastAsia="標楷體" w:hAnsi="標楷體" w:cs="新細明體" w:hint="eastAsia"/>
                                <w:spacing w:val="-20"/>
                                <w:kern w:val="0"/>
                                <w:sz w:val="20"/>
                                <w:szCs w:val="20"/>
                              </w:rPr>
                              <w:t>占預算數比率</w:t>
                            </w:r>
                          </w:p>
                        </w:tc>
                        <w:tc>
                          <w:tcPr>
                            <w:tcW w:w="567" w:type="dxa"/>
                            <w:tcBorders>
                              <w:top w:val="single" w:sz="4" w:space="0" w:color="auto"/>
                              <w:left w:val="double" w:sz="4" w:space="0" w:color="auto"/>
                              <w:bottom w:val="single" w:sz="4" w:space="0" w:color="auto"/>
                              <w:right w:val="single" w:sz="4" w:space="0" w:color="auto"/>
                            </w:tcBorders>
                            <w:vAlign w:val="center"/>
                            <w:hideMark/>
                          </w:tcPr>
                          <w:p w14:paraId="156D21D9" w14:textId="77777777" w:rsidR="007B1B13" w:rsidRDefault="007B1B13">
                            <w:pPr>
                              <w:widowControl/>
                              <w:spacing w:line="28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金額</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6B846EB" w14:textId="77777777" w:rsidR="007B1B13" w:rsidRDefault="007B1B13">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spacing w:val="-20"/>
                                <w:kern w:val="0"/>
                                <w:sz w:val="20"/>
                                <w:szCs w:val="20"/>
                              </w:rPr>
                              <w:t>占核定數比率</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36856AFB" w14:textId="77777777" w:rsidR="007B1B13" w:rsidRDefault="007B1B13">
                            <w:pPr>
                              <w:widowControl/>
                              <w:spacing w:line="220" w:lineRule="exact"/>
                              <w:jc w:val="center"/>
                              <w:rPr>
                                <w:rFonts w:ascii="標楷體" w:eastAsia="標楷體" w:hAnsi="標楷體" w:cs="新細明體"/>
                                <w:spacing w:val="-2"/>
                                <w:kern w:val="0"/>
                                <w:sz w:val="20"/>
                                <w:szCs w:val="20"/>
                              </w:rPr>
                            </w:pPr>
                            <w:r>
                              <w:rPr>
                                <w:rFonts w:ascii="標楷體" w:eastAsia="標楷體" w:hAnsi="標楷體" w:cs="新細明體" w:hint="eastAsia"/>
                                <w:spacing w:val="-20"/>
                                <w:kern w:val="0"/>
                                <w:sz w:val="20"/>
                                <w:szCs w:val="20"/>
                              </w:rPr>
                              <w:t>占預算數比率</w:t>
                            </w:r>
                          </w:p>
                        </w:tc>
                      </w:tr>
                      <w:tr w:rsidR="007B1B13" w14:paraId="3B0CDA54" w14:textId="77777777">
                        <w:trPr>
                          <w:trHeight w:val="340"/>
                        </w:trPr>
                        <w:tc>
                          <w:tcPr>
                            <w:tcW w:w="851" w:type="dxa"/>
                            <w:tcBorders>
                              <w:top w:val="nil"/>
                              <w:left w:val="single" w:sz="4" w:space="0" w:color="auto"/>
                              <w:bottom w:val="single" w:sz="4" w:space="0" w:color="auto"/>
                              <w:right w:val="single" w:sz="4" w:space="0" w:color="auto"/>
                            </w:tcBorders>
                            <w:noWrap/>
                            <w:vAlign w:val="center"/>
                            <w:hideMark/>
                          </w:tcPr>
                          <w:p w14:paraId="5C969DCB" w14:textId="77777777" w:rsidR="007B1B13" w:rsidRDefault="007B1B13">
                            <w:pPr>
                              <w:widowControl/>
                              <w:spacing w:line="220" w:lineRule="exact"/>
                              <w:jc w:val="center"/>
                              <w:rPr>
                                <w:rFonts w:ascii="標楷體" w:eastAsia="標楷體" w:hAnsi="標楷體" w:cs="Times New Roman"/>
                                <w:sz w:val="20"/>
                                <w:szCs w:val="20"/>
                              </w:rPr>
                            </w:pPr>
                            <w:r>
                              <w:rPr>
                                <w:rFonts w:ascii="標楷體" w:eastAsia="標楷體" w:hAnsi="標楷體" w:hint="eastAsia"/>
                                <w:sz w:val="20"/>
                                <w:szCs w:val="20"/>
                              </w:rPr>
                              <w:t>111</w:t>
                            </w:r>
                          </w:p>
                        </w:tc>
                        <w:tc>
                          <w:tcPr>
                            <w:tcW w:w="514" w:type="dxa"/>
                            <w:tcBorders>
                              <w:top w:val="nil"/>
                              <w:left w:val="nil"/>
                              <w:bottom w:val="single" w:sz="4" w:space="0" w:color="auto"/>
                              <w:right w:val="single" w:sz="4" w:space="0" w:color="auto"/>
                            </w:tcBorders>
                            <w:noWrap/>
                            <w:vAlign w:val="center"/>
                            <w:hideMark/>
                          </w:tcPr>
                          <w:p w14:paraId="193050E9" w14:textId="77777777" w:rsidR="007B1B13" w:rsidRDefault="007B1B13">
                            <w:pPr>
                              <w:widowControl/>
                              <w:spacing w:line="220" w:lineRule="exact"/>
                              <w:jc w:val="right"/>
                              <w:rPr>
                                <w:rFonts w:ascii="標楷體" w:eastAsia="標楷體" w:hAnsi="標楷體"/>
                                <w:sz w:val="20"/>
                                <w:szCs w:val="20"/>
                              </w:rPr>
                            </w:pPr>
                            <w:r>
                              <w:rPr>
                                <w:rFonts w:ascii="標楷體" w:eastAsia="標楷體" w:hAnsi="標楷體" w:hint="eastAsia"/>
                                <w:sz w:val="20"/>
                                <w:szCs w:val="20"/>
                              </w:rPr>
                              <w:t>13,143</w:t>
                            </w:r>
                          </w:p>
                        </w:tc>
                        <w:tc>
                          <w:tcPr>
                            <w:tcW w:w="504" w:type="dxa"/>
                            <w:tcBorders>
                              <w:top w:val="single" w:sz="4" w:space="0" w:color="auto"/>
                              <w:left w:val="nil"/>
                              <w:bottom w:val="single" w:sz="4" w:space="0" w:color="auto"/>
                              <w:right w:val="single" w:sz="4" w:space="0" w:color="auto"/>
                            </w:tcBorders>
                            <w:noWrap/>
                            <w:vAlign w:val="center"/>
                            <w:hideMark/>
                          </w:tcPr>
                          <w:p w14:paraId="6D9CBE27"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47</w:t>
                            </w:r>
                          </w:p>
                        </w:tc>
                        <w:tc>
                          <w:tcPr>
                            <w:tcW w:w="682" w:type="dxa"/>
                            <w:tcBorders>
                              <w:top w:val="single" w:sz="4" w:space="0" w:color="auto"/>
                              <w:left w:val="single" w:sz="4" w:space="0" w:color="auto"/>
                              <w:bottom w:val="single" w:sz="4" w:space="0" w:color="auto"/>
                              <w:right w:val="single" w:sz="4" w:space="0" w:color="auto"/>
                            </w:tcBorders>
                            <w:vAlign w:val="center"/>
                            <w:hideMark/>
                          </w:tcPr>
                          <w:p w14:paraId="3137D142"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11,477</w:t>
                            </w:r>
                          </w:p>
                        </w:tc>
                        <w:tc>
                          <w:tcPr>
                            <w:tcW w:w="709" w:type="dxa"/>
                            <w:tcBorders>
                              <w:top w:val="single" w:sz="4" w:space="0" w:color="auto"/>
                              <w:left w:val="single" w:sz="4" w:space="0" w:color="auto"/>
                              <w:bottom w:val="single" w:sz="4" w:space="0" w:color="auto"/>
                              <w:right w:val="double" w:sz="4" w:space="0" w:color="auto"/>
                            </w:tcBorders>
                            <w:vAlign w:val="center"/>
                            <w:hideMark/>
                          </w:tcPr>
                          <w:p w14:paraId="4563AAD1"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87.33</w:t>
                            </w:r>
                          </w:p>
                        </w:tc>
                        <w:tc>
                          <w:tcPr>
                            <w:tcW w:w="567" w:type="dxa"/>
                            <w:tcBorders>
                              <w:top w:val="single" w:sz="4" w:space="0" w:color="auto"/>
                              <w:left w:val="double" w:sz="4" w:space="0" w:color="auto"/>
                              <w:bottom w:val="single" w:sz="4" w:space="0" w:color="auto"/>
                              <w:right w:val="single" w:sz="4" w:space="0" w:color="auto"/>
                            </w:tcBorders>
                            <w:vAlign w:val="center"/>
                            <w:hideMark/>
                          </w:tcPr>
                          <w:p w14:paraId="1B9CE59A"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7,316</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D20F7F8"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63.74</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24D5D9AF"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55.67</w:t>
                            </w:r>
                          </w:p>
                        </w:tc>
                      </w:tr>
                      <w:tr w:rsidR="007B1B13" w14:paraId="39235736" w14:textId="77777777">
                        <w:trPr>
                          <w:trHeight w:val="340"/>
                        </w:trPr>
                        <w:tc>
                          <w:tcPr>
                            <w:tcW w:w="851" w:type="dxa"/>
                            <w:tcBorders>
                              <w:top w:val="nil"/>
                              <w:left w:val="single" w:sz="4" w:space="0" w:color="auto"/>
                              <w:bottom w:val="single" w:sz="4" w:space="0" w:color="auto"/>
                              <w:right w:val="single" w:sz="4" w:space="0" w:color="auto"/>
                            </w:tcBorders>
                            <w:noWrap/>
                            <w:vAlign w:val="center"/>
                            <w:hideMark/>
                          </w:tcPr>
                          <w:p w14:paraId="7720947D" w14:textId="77777777" w:rsidR="007B1B13" w:rsidRDefault="007B1B13">
                            <w:pPr>
                              <w:widowControl/>
                              <w:spacing w:line="220" w:lineRule="exact"/>
                              <w:jc w:val="center"/>
                              <w:rPr>
                                <w:rFonts w:ascii="標楷體" w:eastAsia="標楷體" w:hAnsi="標楷體" w:cs="Times New Roman"/>
                                <w:sz w:val="20"/>
                                <w:szCs w:val="20"/>
                              </w:rPr>
                            </w:pPr>
                            <w:r>
                              <w:rPr>
                                <w:rFonts w:ascii="標楷體" w:eastAsia="標楷體" w:hAnsi="標楷體" w:hint="eastAsia"/>
                                <w:sz w:val="20"/>
                                <w:szCs w:val="20"/>
                              </w:rPr>
                              <w:t>112</w:t>
                            </w:r>
                          </w:p>
                        </w:tc>
                        <w:tc>
                          <w:tcPr>
                            <w:tcW w:w="514" w:type="dxa"/>
                            <w:tcBorders>
                              <w:top w:val="nil"/>
                              <w:left w:val="nil"/>
                              <w:bottom w:val="single" w:sz="4" w:space="0" w:color="auto"/>
                              <w:right w:val="single" w:sz="4" w:space="0" w:color="auto"/>
                            </w:tcBorders>
                            <w:noWrap/>
                            <w:vAlign w:val="center"/>
                            <w:hideMark/>
                          </w:tcPr>
                          <w:p w14:paraId="37ED86A8" w14:textId="77777777" w:rsidR="007B1B13" w:rsidRDefault="007B1B13">
                            <w:pPr>
                              <w:widowControl/>
                              <w:spacing w:line="220" w:lineRule="exact"/>
                              <w:jc w:val="right"/>
                              <w:rPr>
                                <w:rFonts w:ascii="標楷體" w:eastAsia="標楷體" w:hAnsi="標楷體"/>
                                <w:sz w:val="20"/>
                                <w:szCs w:val="20"/>
                              </w:rPr>
                            </w:pPr>
                            <w:r>
                              <w:rPr>
                                <w:rFonts w:ascii="標楷體" w:eastAsia="標楷體" w:hAnsi="標楷體" w:hint="eastAsia"/>
                                <w:sz w:val="20"/>
                                <w:szCs w:val="20"/>
                              </w:rPr>
                              <w:t>9,000</w:t>
                            </w:r>
                          </w:p>
                        </w:tc>
                        <w:tc>
                          <w:tcPr>
                            <w:tcW w:w="504" w:type="dxa"/>
                            <w:tcBorders>
                              <w:top w:val="single" w:sz="4" w:space="0" w:color="auto"/>
                              <w:left w:val="nil"/>
                              <w:bottom w:val="single" w:sz="4" w:space="0" w:color="auto"/>
                              <w:right w:val="single" w:sz="4" w:space="0" w:color="auto"/>
                            </w:tcBorders>
                            <w:noWrap/>
                            <w:vAlign w:val="center"/>
                            <w:hideMark/>
                          </w:tcPr>
                          <w:p w14:paraId="2E53AFA0"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47</w:t>
                            </w:r>
                          </w:p>
                        </w:tc>
                        <w:tc>
                          <w:tcPr>
                            <w:tcW w:w="682" w:type="dxa"/>
                            <w:tcBorders>
                              <w:top w:val="single" w:sz="4" w:space="0" w:color="auto"/>
                              <w:left w:val="single" w:sz="4" w:space="0" w:color="auto"/>
                              <w:bottom w:val="single" w:sz="4" w:space="0" w:color="auto"/>
                              <w:right w:val="single" w:sz="4" w:space="0" w:color="auto"/>
                            </w:tcBorders>
                            <w:vAlign w:val="center"/>
                            <w:hideMark/>
                          </w:tcPr>
                          <w:p w14:paraId="5B8569BC"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7,136</w:t>
                            </w:r>
                          </w:p>
                        </w:tc>
                        <w:tc>
                          <w:tcPr>
                            <w:tcW w:w="709" w:type="dxa"/>
                            <w:tcBorders>
                              <w:top w:val="single" w:sz="4" w:space="0" w:color="auto"/>
                              <w:left w:val="single" w:sz="4" w:space="0" w:color="auto"/>
                              <w:bottom w:val="single" w:sz="4" w:space="0" w:color="auto"/>
                              <w:right w:val="double" w:sz="4" w:space="0" w:color="auto"/>
                            </w:tcBorders>
                            <w:vAlign w:val="center"/>
                            <w:hideMark/>
                          </w:tcPr>
                          <w:p w14:paraId="28363E9E"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79.30</w:t>
                            </w:r>
                          </w:p>
                        </w:tc>
                        <w:tc>
                          <w:tcPr>
                            <w:tcW w:w="567" w:type="dxa"/>
                            <w:tcBorders>
                              <w:top w:val="single" w:sz="4" w:space="0" w:color="auto"/>
                              <w:left w:val="double" w:sz="4" w:space="0" w:color="auto"/>
                              <w:bottom w:val="single" w:sz="4" w:space="0" w:color="auto"/>
                              <w:right w:val="single" w:sz="4" w:space="0" w:color="auto"/>
                            </w:tcBorders>
                            <w:vAlign w:val="center"/>
                            <w:hideMark/>
                          </w:tcPr>
                          <w:p w14:paraId="440D0DC3"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4,991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3D5CDED"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69.93</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7C49E000"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55.46</w:t>
                            </w:r>
                          </w:p>
                        </w:tc>
                      </w:tr>
                      <w:tr w:rsidR="007B1B13" w14:paraId="77E1B77A" w14:textId="77777777">
                        <w:trPr>
                          <w:trHeight w:val="340"/>
                        </w:trPr>
                        <w:tc>
                          <w:tcPr>
                            <w:tcW w:w="851" w:type="dxa"/>
                            <w:tcBorders>
                              <w:top w:val="nil"/>
                              <w:left w:val="single" w:sz="4" w:space="0" w:color="auto"/>
                              <w:bottom w:val="single" w:sz="4" w:space="0" w:color="auto"/>
                              <w:right w:val="single" w:sz="4" w:space="0" w:color="auto"/>
                            </w:tcBorders>
                            <w:noWrap/>
                            <w:vAlign w:val="center"/>
                            <w:hideMark/>
                          </w:tcPr>
                          <w:p w14:paraId="1BD58C29" w14:textId="77777777" w:rsidR="007B1B13" w:rsidRDefault="007B1B13">
                            <w:pPr>
                              <w:widowControl/>
                              <w:spacing w:line="220" w:lineRule="exact"/>
                              <w:jc w:val="center"/>
                              <w:rPr>
                                <w:rFonts w:ascii="標楷體" w:eastAsia="標楷體" w:hAnsi="標楷體" w:cs="Times New Roman"/>
                                <w:sz w:val="20"/>
                                <w:szCs w:val="20"/>
                              </w:rPr>
                            </w:pPr>
                            <w:r>
                              <w:rPr>
                                <w:rFonts w:ascii="標楷體" w:eastAsia="標楷體" w:hAnsi="標楷體" w:hint="eastAsia"/>
                                <w:sz w:val="20"/>
                                <w:szCs w:val="20"/>
                              </w:rPr>
                              <w:t>113</w:t>
                            </w:r>
                          </w:p>
                          <w:p w14:paraId="6A6EB6B1" w14:textId="77777777" w:rsidR="007B1B13" w:rsidRDefault="007B1B13">
                            <w:pPr>
                              <w:widowControl/>
                              <w:spacing w:line="220" w:lineRule="exact"/>
                              <w:jc w:val="center"/>
                              <w:rPr>
                                <w:rFonts w:ascii="標楷體" w:eastAsia="標楷體" w:hAnsi="標楷體"/>
                                <w:spacing w:val="-34"/>
                                <w:sz w:val="20"/>
                                <w:szCs w:val="20"/>
                              </w:rPr>
                            </w:pPr>
                            <w:r>
                              <w:rPr>
                                <w:rFonts w:ascii="標楷體" w:eastAsia="標楷體" w:hAnsi="標楷體" w:hint="eastAsia"/>
                                <w:spacing w:val="-34"/>
                                <w:sz w:val="20"/>
                                <w:szCs w:val="20"/>
                              </w:rPr>
                              <w:t>(截至8月底)</w:t>
                            </w:r>
                          </w:p>
                        </w:tc>
                        <w:tc>
                          <w:tcPr>
                            <w:tcW w:w="514" w:type="dxa"/>
                            <w:tcBorders>
                              <w:top w:val="nil"/>
                              <w:left w:val="nil"/>
                              <w:bottom w:val="single" w:sz="4" w:space="0" w:color="auto"/>
                              <w:right w:val="single" w:sz="4" w:space="0" w:color="auto"/>
                            </w:tcBorders>
                            <w:noWrap/>
                            <w:vAlign w:val="center"/>
                            <w:hideMark/>
                          </w:tcPr>
                          <w:p w14:paraId="34638E2D" w14:textId="77777777" w:rsidR="007B1B13" w:rsidRDefault="007B1B13">
                            <w:pPr>
                              <w:widowControl/>
                              <w:spacing w:line="220" w:lineRule="exact"/>
                              <w:jc w:val="right"/>
                              <w:rPr>
                                <w:rFonts w:ascii="標楷體" w:eastAsia="標楷體" w:hAnsi="標楷體"/>
                                <w:sz w:val="20"/>
                                <w:szCs w:val="20"/>
                              </w:rPr>
                            </w:pPr>
                            <w:r>
                              <w:rPr>
                                <w:rFonts w:ascii="標楷體" w:eastAsia="標楷體" w:hAnsi="標楷體" w:hint="eastAsia"/>
                                <w:sz w:val="20"/>
                                <w:szCs w:val="20"/>
                              </w:rPr>
                              <w:t>8,472</w:t>
                            </w:r>
                          </w:p>
                        </w:tc>
                        <w:tc>
                          <w:tcPr>
                            <w:tcW w:w="504" w:type="dxa"/>
                            <w:tcBorders>
                              <w:top w:val="single" w:sz="4" w:space="0" w:color="auto"/>
                              <w:left w:val="nil"/>
                              <w:bottom w:val="single" w:sz="4" w:space="0" w:color="auto"/>
                              <w:right w:val="single" w:sz="4" w:space="0" w:color="auto"/>
                            </w:tcBorders>
                            <w:noWrap/>
                            <w:vAlign w:val="center"/>
                            <w:hideMark/>
                          </w:tcPr>
                          <w:p w14:paraId="6A522112"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55</w:t>
                            </w:r>
                          </w:p>
                        </w:tc>
                        <w:tc>
                          <w:tcPr>
                            <w:tcW w:w="682" w:type="dxa"/>
                            <w:tcBorders>
                              <w:top w:val="single" w:sz="4" w:space="0" w:color="auto"/>
                              <w:left w:val="single" w:sz="4" w:space="0" w:color="auto"/>
                              <w:bottom w:val="single" w:sz="4" w:space="0" w:color="auto"/>
                              <w:right w:val="single" w:sz="4" w:space="0" w:color="auto"/>
                            </w:tcBorders>
                            <w:vAlign w:val="center"/>
                            <w:hideMark/>
                          </w:tcPr>
                          <w:p w14:paraId="6BCBAFBD"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7,263</w:t>
                            </w:r>
                          </w:p>
                        </w:tc>
                        <w:tc>
                          <w:tcPr>
                            <w:tcW w:w="709" w:type="dxa"/>
                            <w:tcBorders>
                              <w:top w:val="single" w:sz="4" w:space="0" w:color="auto"/>
                              <w:left w:val="single" w:sz="4" w:space="0" w:color="auto"/>
                              <w:bottom w:val="single" w:sz="4" w:space="0" w:color="auto"/>
                              <w:right w:val="double" w:sz="4" w:space="0" w:color="auto"/>
                            </w:tcBorders>
                            <w:vAlign w:val="center"/>
                            <w:hideMark/>
                          </w:tcPr>
                          <w:p w14:paraId="0021DDB3"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85.73</w:t>
                            </w:r>
                          </w:p>
                        </w:tc>
                        <w:tc>
                          <w:tcPr>
                            <w:tcW w:w="567" w:type="dxa"/>
                            <w:tcBorders>
                              <w:top w:val="single" w:sz="4" w:space="0" w:color="auto"/>
                              <w:left w:val="double" w:sz="4" w:space="0" w:color="auto"/>
                              <w:bottom w:val="single" w:sz="4" w:space="0" w:color="auto"/>
                              <w:right w:val="single" w:sz="4" w:space="0" w:color="auto"/>
                            </w:tcBorders>
                            <w:vAlign w:val="center"/>
                            <w:hideMark/>
                          </w:tcPr>
                          <w:p w14:paraId="2E42CF34"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1,348</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413DA0E"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18.56</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18A11CFC" w14:textId="77777777" w:rsidR="007B1B13" w:rsidRDefault="007B1B13">
                            <w:pPr>
                              <w:widowControl/>
                              <w:spacing w:line="220" w:lineRule="exact"/>
                              <w:jc w:val="right"/>
                              <w:rPr>
                                <w:rFonts w:ascii="標楷體" w:eastAsia="標楷體" w:hAnsi="標楷體" w:cs="新細明體"/>
                                <w:kern w:val="0"/>
                                <w:sz w:val="20"/>
                                <w:szCs w:val="20"/>
                              </w:rPr>
                            </w:pPr>
                            <w:r>
                              <w:rPr>
                                <w:rFonts w:ascii="標楷體" w:eastAsia="標楷體" w:hAnsi="標楷體" w:hint="eastAsia"/>
                                <w:sz w:val="20"/>
                                <w:szCs w:val="20"/>
                              </w:rPr>
                              <w:t>15.91</w:t>
                            </w:r>
                          </w:p>
                        </w:tc>
                      </w:tr>
                      <w:tr w:rsidR="007B1B13" w14:paraId="63E9E6CF" w14:textId="77777777">
                        <w:trPr>
                          <w:trHeight w:val="283"/>
                        </w:trPr>
                        <w:tc>
                          <w:tcPr>
                            <w:tcW w:w="5244" w:type="dxa"/>
                            <w:gridSpan w:val="8"/>
                            <w:hideMark/>
                          </w:tcPr>
                          <w:p w14:paraId="2948AB8C" w14:textId="77777777" w:rsidR="007B1B13" w:rsidRDefault="007B1B13">
                            <w:pPr>
                              <w:widowControl/>
                              <w:adjustRightInd w:val="0"/>
                              <w:spacing w:line="220" w:lineRule="exact"/>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資料來源：整理自社會局提供資料。</w:t>
                            </w:r>
                          </w:p>
                        </w:tc>
                      </w:tr>
                    </w:tbl>
                    <w:p w14:paraId="1F4881F2" w14:textId="77777777" w:rsidR="007B1B13" w:rsidRDefault="007B1B13" w:rsidP="007B1B13">
                      <w:pPr>
                        <w:rPr>
                          <w:rFonts w:ascii="標楷體" w:eastAsia="標楷體" w:hAnsi="標楷體" w:cs="Times New Roman"/>
                          <w:szCs w:val="24"/>
                        </w:rPr>
                      </w:pPr>
                    </w:p>
                  </w:txbxContent>
                </v:textbox>
                <w10:wrap type="tight" anchorx="margin" anchory="page"/>
              </v:shape>
            </w:pict>
          </mc:Fallback>
        </mc:AlternateContent>
      </w:r>
      <w:r>
        <w:rPr>
          <w:rFonts w:hAnsi="標楷體" w:cs="細明體" w:hint="eastAsia"/>
          <w:color w:val="auto"/>
          <w:kern w:val="0"/>
          <w:szCs w:val="32"/>
        </w:rPr>
        <w:t>社會局為監督管理轄內特約居家式長期照顧機構[包括居家服務機構，及居家服務</w:t>
      </w:r>
      <w:proofErr w:type="gramStart"/>
      <w:r>
        <w:rPr>
          <w:rFonts w:hAnsi="標楷體" w:cs="細明體" w:hint="eastAsia"/>
          <w:color w:val="auto"/>
          <w:kern w:val="0"/>
          <w:szCs w:val="32"/>
        </w:rPr>
        <w:t>併居家復能機構</w:t>
      </w:r>
      <w:proofErr w:type="gramEnd"/>
      <w:r>
        <w:rPr>
          <w:rFonts w:hAnsi="標楷體" w:cs="細明體" w:hint="eastAsia"/>
          <w:color w:val="auto"/>
          <w:kern w:val="0"/>
          <w:szCs w:val="32"/>
        </w:rPr>
        <w:t>（下稱居家</w:t>
      </w:r>
      <w:r>
        <w:rPr>
          <w:rFonts w:hAnsi="標楷體" w:cs="細明體" w:hint="eastAsia"/>
          <w:color w:val="auto"/>
          <w:spacing w:val="-2"/>
          <w:kern w:val="0"/>
          <w:szCs w:val="32"/>
        </w:rPr>
        <w:t>服務</w:t>
      </w:r>
      <w:proofErr w:type="gramStart"/>
      <w:r>
        <w:rPr>
          <w:rFonts w:hAnsi="標楷體" w:cs="細明體" w:hint="eastAsia"/>
          <w:color w:val="auto"/>
          <w:spacing w:val="-2"/>
          <w:kern w:val="0"/>
          <w:szCs w:val="32"/>
        </w:rPr>
        <w:t>併復能</w:t>
      </w:r>
      <w:proofErr w:type="gramEnd"/>
      <w:r>
        <w:rPr>
          <w:rFonts w:hAnsi="標楷體" w:cs="細明體" w:hint="eastAsia"/>
          <w:color w:val="auto"/>
          <w:spacing w:val="-2"/>
          <w:kern w:val="0"/>
          <w:szCs w:val="32"/>
        </w:rPr>
        <w:t>機構）等2類型機構，以下</w:t>
      </w:r>
      <w:proofErr w:type="gramStart"/>
      <w:r>
        <w:rPr>
          <w:rFonts w:hAnsi="標楷體" w:cs="細明體" w:hint="eastAsia"/>
          <w:color w:val="auto"/>
          <w:spacing w:val="-2"/>
          <w:kern w:val="0"/>
          <w:szCs w:val="32"/>
        </w:rPr>
        <w:t>統稱居服機構</w:t>
      </w:r>
      <w:proofErr w:type="gramEnd"/>
      <w:r>
        <w:rPr>
          <w:rFonts w:hAnsi="標楷體" w:cs="細明體" w:hint="eastAsia"/>
          <w:color w:val="auto"/>
          <w:spacing w:val="-2"/>
          <w:kern w:val="0"/>
          <w:szCs w:val="32"/>
        </w:rPr>
        <w:t>]，積極擴增並穩固居家服務人力，提升居家服務品質，111至113年度於公務預算及臺北市公益彩券盈餘分配基金累計編列經費5,191萬餘元，委託辦理長期照顧服務</w:t>
      </w:r>
      <w:proofErr w:type="gramStart"/>
      <w:r>
        <w:rPr>
          <w:rFonts w:hAnsi="標楷體" w:cs="細明體" w:hint="eastAsia"/>
          <w:color w:val="auto"/>
          <w:spacing w:val="-2"/>
          <w:kern w:val="0"/>
          <w:szCs w:val="32"/>
        </w:rPr>
        <w:t>研</w:t>
      </w:r>
      <w:proofErr w:type="gramEnd"/>
      <w:r>
        <w:rPr>
          <w:rFonts w:hAnsi="標楷體" w:cs="細明體" w:hint="eastAsia"/>
          <w:color w:val="auto"/>
          <w:spacing w:val="-2"/>
          <w:kern w:val="0"/>
          <w:szCs w:val="32"/>
        </w:rPr>
        <w:t>訓及評鑑事宜，與</w:t>
      </w:r>
      <w:proofErr w:type="gramStart"/>
      <w:r>
        <w:rPr>
          <w:rFonts w:hAnsi="標楷體" w:cs="細明體" w:hint="eastAsia"/>
          <w:color w:val="auto"/>
          <w:spacing w:val="-2"/>
          <w:kern w:val="0"/>
          <w:szCs w:val="32"/>
        </w:rPr>
        <w:t>補助居服機構</w:t>
      </w:r>
      <w:proofErr w:type="gramEnd"/>
      <w:r>
        <w:rPr>
          <w:rFonts w:hAnsi="標楷體" w:cs="細明體" w:hint="eastAsia"/>
          <w:color w:val="auto"/>
          <w:spacing w:val="-2"/>
          <w:kern w:val="0"/>
          <w:szCs w:val="32"/>
        </w:rPr>
        <w:t>辦理強化居家服務資源補助計畫，以強化居家服務人力資源。據該局統計，截至113年12月底止，臺北市</w:t>
      </w:r>
      <w:proofErr w:type="gramStart"/>
      <w:r>
        <w:rPr>
          <w:rFonts w:hAnsi="標楷體" w:cs="細明體" w:hint="eastAsia"/>
          <w:color w:val="auto"/>
          <w:spacing w:val="-2"/>
          <w:kern w:val="0"/>
          <w:szCs w:val="32"/>
        </w:rPr>
        <w:t>特約居服機構</w:t>
      </w:r>
      <w:proofErr w:type="gramEnd"/>
      <w:r>
        <w:rPr>
          <w:rFonts w:hAnsi="標楷體" w:cs="細明體" w:hint="eastAsia"/>
          <w:color w:val="auto"/>
          <w:spacing w:val="-2"/>
          <w:kern w:val="0"/>
          <w:szCs w:val="32"/>
        </w:rPr>
        <w:t>計有172家，累計服務892萬餘人次。經查執行情形，核有：1.</w:t>
      </w:r>
      <w:bookmarkStart w:id="60" w:name="_Hlk179979369"/>
      <w:r>
        <w:rPr>
          <w:rFonts w:hint="eastAsia"/>
          <w:color w:val="auto"/>
        </w:rPr>
        <w:t>該局111至113年度持續辦理</w:t>
      </w:r>
      <w:proofErr w:type="gramStart"/>
      <w:r>
        <w:rPr>
          <w:rFonts w:hint="eastAsia"/>
          <w:color w:val="auto"/>
        </w:rPr>
        <w:t>臺北市居服機構</w:t>
      </w:r>
      <w:proofErr w:type="gramEnd"/>
      <w:r>
        <w:rPr>
          <w:rFonts w:hint="eastAsia"/>
          <w:color w:val="auto"/>
        </w:rPr>
        <w:t>辦理強化居家服務資源補助計畫，針對渠等核發有關居家服務督導員（照顧服務員轉任居家服務督導員）津貼、居家服務實務指導員津貼，或辦理人力提升方案、居家服務督導員資格訓練課程，或服務資源缺乏區域及特殊情形個案等6事項，依規定標準補助部分經費。執行結果，111至113年度（截至8月底止）</w:t>
      </w:r>
      <w:bookmarkEnd w:id="60"/>
      <w:r>
        <w:rPr>
          <w:rFonts w:hint="eastAsia"/>
          <w:color w:val="auto"/>
        </w:rPr>
        <w:t>分別核定</w:t>
      </w:r>
      <w:proofErr w:type="gramStart"/>
      <w:r>
        <w:rPr>
          <w:rFonts w:hint="eastAsia"/>
          <w:color w:val="auto"/>
        </w:rPr>
        <w:t>補助居服機構</w:t>
      </w:r>
      <w:proofErr w:type="gramEnd"/>
      <w:r>
        <w:rPr>
          <w:rFonts w:hint="eastAsia"/>
          <w:color w:val="auto"/>
        </w:rPr>
        <w:t>47家、47家及55家，核定補助金額各為1,147萬餘元、713萬餘元及726萬餘元，</w:t>
      </w:r>
      <w:proofErr w:type="gramStart"/>
      <w:r>
        <w:rPr>
          <w:rFonts w:hint="eastAsia"/>
          <w:color w:val="auto"/>
        </w:rPr>
        <w:t>均未達</w:t>
      </w:r>
      <w:proofErr w:type="gramEnd"/>
      <w:r>
        <w:rPr>
          <w:rFonts w:hint="eastAsia"/>
          <w:color w:val="auto"/>
        </w:rPr>
        <w:t>預算數</w:t>
      </w:r>
      <w:proofErr w:type="gramStart"/>
      <w:r>
        <w:rPr>
          <w:rFonts w:hint="eastAsia"/>
          <w:color w:val="auto"/>
        </w:rPr>
        <w:t>9成</w:t>
      </w:r>
      <w:proofErr w:type="gramEnd"/>
      <w:r>
        <w:rPr>
          <w:rFonts w:hint="eastAsia"/>
          <w:color w:val="auto"/>
        </w:rPr>
        <w:t>；且該局111及</w:t>
      </w:r>
      <w:proofErr w:type="gramStart"/>
      <w:r>
        <w:rPr>
          <w:rFonts w:hint="eastAsia"/>
          <w:color w:val="auto"/>
        </w:rPr>
        <w:t>112</w:t>
      </w:r>
      <w:proofErr w:type="gramEnd"/>
      <w:r>
        <w:rPr>
          <w:rFonts w:hint="eastAsia"/>
          <w:color w:val="auto"/>
        </w:rPr>
        <w:t>年度</w:t>
      </w:r>
      <w:proofErr w:type="gramStart"/>
      <w:r>
        <w:rPr>
          <w:rFonts w:hint="eastAsia"/>
          <w:color w:val="auto"/>
        </w:rPr>
        <w:t>補助居服機構</w:t>
      </w:r>
      <w:proofErr w:type="gramEnd"/>
      <w:r>
        <w:rPr>
          <w:rFonts w:hint="eastAsia"/>
          <w:color w:val="auto"/>
        </w:rPr>
        <w:t>辦理</w:t>
      </w:r>
      <w:r>
        <w:rPr>
          <w:rFonts w:hAnsi="標楷體" w:hint="eastAsia"/>
          <w:color w:val="auto"/>
        </w:rPr>
        <w:t>「居家服務實務指導員津貼」等3項或「照顧服務員轉任居家服務督導員津貼」等4項業務情形</w:t>
      </w:r>
      <w:r>
        <w:rPr>
          <w:rFonts w:hint="eastAsia"/>
          <w:color w:val="auto"/>
        </w:rPr>
        <w:t>，或因受申請補助</w:t>
      </w:r>
      <w:proofErr w:type="gramStart"/>
      <w:r>
        <w:rPr>
          <w:rFonts w:hint="eastAsia"/>
          <w:color w:val="auto"/>
        </w:rPr>
        <w:t>之居服機構</w:t>
      </w:r>
      <w:proofErr w:type="gramEnd"/>
      <w:r>
        <w:rPr>
          <w:rFonts w:hint="eastAsia"/>
          <w:color w:val="auto"/>
        </w:rPr>
        <w:t>原資深照顧服務員無轉任督導意願、或因原居家服務督導員離職、或因無新進照顧服務員，或因機構人力不足，或因機構無法配合個案要求之服務時間及人力等影響，</w:t>
      </w:r>
      <w:proofErr w:type="gramStart"/>
      <w:r>
        <w:rPr>
          <w:rFonts w:hint="eastAsia"/>
          <w:color w:val="auto"/>
        </w:rPr>
        <w:t>均有逾</w:t>
      </w:r>
      <w:proofErr w:type="gramEnd"/>
      <w:r>
        <w:rPr>
          <w:rFonts w:hint="eastAsia"/>
          <w:color w:val="auto"/>
        </w:rPr>
        <w:t>半數受補助機構之預算執行成效未達預期目標，且其中放棄申請補助者，</w:t>
      </w:r>
      <w:proofErr w:type="gramStart"/>
      <w:r>
        <w:rPr>
          <w:rFonts w:hint="eastAsia"/>
          <w:color w:val="auto"/>
        </w:rPr>
        <w:t>約占原核定</w:t>
      </w:r>
      <w:proofErr w:type="gramEnd"/>
      <w:r>
        <w:rPr>
          <w:rFonts w:hint="eastAsia"/>
          <w:color w:val="auto"/>
        </w:rPr>
        <w:t>機構總數之7.14％至77.78％不等，造成前開</w:t>
      </w:r>
      <w:proofErr w:type="gramStart"/>
      <w:r>
        <w:rPr>
          <w:rFonts w:hint="eastAsia"/>
          <w:color w:val="auto"/>
        </w:rPr>
        <w:t>2</w:t>
      </w:r>
      <w:proofErr w:type="gramEnd"/>
      <w:r>
        <w:rPr>
          <w:rFonts w:hint="eastAsia"/>
          <w:color w:val="auto"/>
        </w:rPr>
        <w:t>年度整體預算之執行率均低於</w:t>
      </w:r>
      <w:proofErr w:type="gramStart"/>
      <w:r>
        <w:rPr>
          <w:rFonts w:hint="eastAsia"/>
          <w:color w:val="auto"/>
        </w:rPr>
        <w:t>6成</w:t>
      </w:r>
      <w:proofErr w:type="gramEnd"/>
      <w:r>
        <w:rPr>
          <w:rFonts w:hint="eastAsia"/>
          <w:color w:val="auto"/>
        </w:rPr>
        <w:t>（表6），不利持續穩固居家服務人力照顧品質及服務量能</w:t>
      </w:r>
      <w:bookmarkStart w:id="61" w:name="_Toc184111049"/>
      <w:r>
        <w:rPr>
          <w:rFonts w:hint="eastAsia"/>
          <w:color w:val="auto"/>
        </w:rPr>
        <w:t>；</w:t>
      </w:r>
      <w:bookmarkEnd w:id="61"/>
      <w:r>
        <w:rPr>
          <w:rFonts w:hint="eastAsia"/>
          <w:color w:val="auto"/>
        </w:rPr>
        <w:t>2.該局為持續</w:t>
      </w:r>
      <w:proofErr w:type="gramStart"/>
      <w:r>
        <w:rPr>
          <w:rFonts w:hint="eastAsia"/>
          <w:color w:val="auto"/>
        </w:rPr>
        <w:t>督導居服機構</w:t>
      </w:r>
      <w:proofErr w:type="gramEnd"/>
      <w:r>
        <w:rPr>
          <w:rFonts w:hint="eastAsia"/>
          <w:color w:val="auto"/>
        </w:rPr>
        <w:t>營運效能及提升長照服務品質，</w:t>
      </w:r>
      <w:proofErr w:type="gramStart"/>
      <w:r>
        <w:rPr>
          <w:rFonts w:hint="eastAsia"/>
          <w:color w:val="auto"/>
        </w:rPr>
        <w:t>每年均依</w:t>
      </w:r>
      <w:r w:rsidRPr="00CF1B20">
        <w:rPr>
          <w:rFonts w:hint="eastAsia"/>
          <w:color w:val="auto"/>
          <w:spacing w:val="4"/>
          <w:kern w:val="0"/>
          <w:fitText w:val="4274" w:id="-686115070"/>
        </w:rPr>
        <w:t>長期</w:t>
      </w:r>
      <w:proofErr w:type="gramEnd"/>
      <w:r w:rsidRPr="00CF1B20">
        <w:rPr>
          <w:rFonts w:hint="eastAsia"/>
          <w:color w:val="auto"/>
          <w:spacing w:val="4"/>
          <w:kern w:val="0"/>
          <w:fitText w:val="4274" w:id="-686115070"/>
        </w:rPr>
        <w:t>照顧服務法第5條及第39條第1</w:t>
      </w:r>
      <w:r w:rsidRPr="00CF1B20">
        <w:rPr>
          <w:rFonts w:hint="eastAsia"/>
          <w:color w:val="auto"/>
          <w:spacing w:val="-28"/>
          <w:kern w:val="0"/>
          <w:fitText w:val="4274" w:id="-686115070"/>
        </w:rPr>
        <w:t>項</w:t>
      </w:r>
    </w:p>
    <w:p w14:paraId="6E59D19D" w14:textId="2B6FD243" w:rsidR="00815553" w:rsidRDefault="007B1B13" w:rsidP="00870502">
      <w:pPr>
        <w:pStyle w:val="a7"/>
        <w:spacing w:before="0" w:after="0" w:line="480" w:lineRule="exact"/>
        <w:ind w:firstLineChars="0" w:firstLine="0"/>
        <w:rPr>
          <w:color w:val="auto"/>
        </w:rPr>
      </w:pPr>
      <w:r>
        <w:rPr>
          <w:rFonts w:hint="eastAsia"/>
          <w:color w:val="auto"/>
        </w:rPr>
        <w:t>前段等規定，委外辦理該等機構法定評鑑作業，評鑑項目主要分成經營管理效能等3項目，並設有評估與</w:t>
      </w:r>
      <w:proofErr w:type="gramStart"/>
      <w:r>
        <w:rPr>
          <w:rFonts w:hint="eastAsia"/>
          <w:color w:val="auto"/>
        </w:rPr>
        <w:t>處遇等7項</w:t>
      </w:r>
      <w:proofErr w:type="gramEnd"/>
      <w:r>
        <w:rPr>
          <w:rFonts w:hint="eastAsia"/>
          <w:color w:val="auto"/>
        </w:rPr>
        <w:t>考核指標。經查該局辦理</w:t>
      </w:r>
      <w:proofErr w:type="gramStart"/>
      <w:r>
        <w:rPr>
          <w:rFonts w:hint="eastAsia"/>
          <w:color w:val="auto"/>
        </w:rPr>
        <w:t>109至112年度居服機構</w:t>
      </w:r>
      <w:proofErr w:type="gramEnd"/>
      <w:r>
        <w:rPr>
          <w:rFonts w:hint="eastAsia"/>
          <w:color w:val="auto"/>
        </w:rPr>
        <w:t>評鑑作業情形，其中居家服務機構受評家數分別為6家、3家、50家及63家，居家服務</w:t>
      </w:r>
      <w:proofErr w:type="gramStart"/>
      <w:r>
        <w:rPr>
          <w:rFonts w:hint="eastAsia"/>
          <w:color w:val="auto"/>
        </w:rPr>
        <w:t>併復能</w:t>
      </w:r>
      <w:proofErr w:type="gramEnd"/>
      <w:r>
        <w:rPr>
          <w:rFonts w:hint="eastAsia"/>
          <w:color w:val="auto"/>
        </w:rPr>
        <w:t>機構評鑑家數分別為2家、零家、9家及5家，評鑑結果前者為</w:t>
      </w:r>
      <w:proofErr w:type="gramStart"/>
      <w:r>
        <w:rPr>
          <w:rFonts w:hint="eastAsia"/>
          <w:color w:val="auto"/>
        </w:rPr>
        <w:t>不</w:t>
      </w:r>
      <w:proofErr w:type="gramEnd"/>
      <w:r>
        <w:rPr>
          <w:rFonts w:hint="eastAsia"/>
          <w:color w:val="auto"/>
        </w:rPr>
        <w:t>合格者計4家（66.67％）、零家、19家（38.00％）及21家（33.33％），不合格比率雖有逐年下降趨勢，惟</w:t>
      </w:r>
      <w:proofErr w:type="gramStart"/>
      <w:r>
        <w:rPr>
          <w:rFonts w:hint="eastAsia"/>
          <w:color w:val="auto"/>
        </w:rPr>
        <w:t>112</w:t>
      </w:r>
      <w:proofErr w:type="gramEnd"/>
      <w:r>
        <w:rPr>
          <w:rFonts w:hint="eastAsia"/>
          <w:color w:val="auto"/>
        </w:rPr>
        <w:t>年度不合格比率仍高於</w:t>
      </w:r>
      <w:proofErr w:type="gramStart"/>
      <w:r>
        <w:rPr>
          <w:rFonts w:hint="eastAsia"/>
          <w:color w:val="auto"/>
        </w:rPr>
        <w:t>3成</w:t>
      </w:r>
      <w:proofErr w:type="gramEnd"/>
      <w:r>
        <w:rPr>
          <w:rFonts w:hint="eastAsia"/>
          <w:color w:val="auto"/>
        </w:rPr>
        <w:t>，主要係「評估與處遇」等5項考核指標之得分表現（表7），持續欠佳；後者</w:t>
      </w:r>
      <w:proofErr w:type="gramStart"/>
      <w:r>
        <w:rPr>
          <w:rFonts w:hint="eastAsia"/>
          <w:color w:val="auto"/>
        </w:rPr>
        <w:t>不</w:t>
      </w:r>
      <w:proofErr w:type="gramEnd"/>
      <w:r>
        <w:rPr>
          <w:rFonts w:hint="eastAsia"/>
          <w:color w:val="auto"/>
        </w:rPr>
        <w:t>合格者計零家、零家、5家（55.56％）及3家（60.00％），</w:t>
      </w:r>
      <w:proofErr w:type="gramStart"/>
      <w:r>
        <w:rPr>
          <w:rFonts w:hint="eastAsia"/>
          <w:color w:val="auto"/>
        </w:rPr>
        <w:t>112</w:t>
      </w:r>
      <w:proofErr w:type="gramEnd"/>
      <w:r>
        <w:rPr>
          <w:rFonts w:hint="eastAsia"/>
          <w:color w:val="auto"/>
        </w:rPr>
        <w:t>年度不合格比率達60％且有較</w:t>
      </w:r>
      <w:proofErr w:type="gramStart"/>
      <w:r>
        <w:rPr>
          <w:rFonts w:hint="eastAsia"/>
          <w:color w:val="auto"/>
        </w:rPr>
        <w:t>111</w:t>
      </w:r>
      <w:proofErr w:type="gramEnd"/>
      <w:r>
        <w:rPr>
          <w:rFonts w:hint="eastAsia"/>
          <w:color w:val="auto"/>
        </w:rPr>
        <w:t>年度增加情事，主要係「個案權益保障」等6項指標之得分表現，</w:t>
      </w:r>
      <w:proofErr w:type="gramStart"/>
      <w:r>
        <w:rPr>
          <w:rFonts w:hint="eastAsia"/>
          <w:color w:val="auto"/>
        </w:rPr>
        <w:t>均未達</w:t>
      </w:r>
      <w:proofErr w:type="gramEnd"/>
      <w:r>
        <w:rPr>
          <w:rFonts w:hint="eastAsia"/>
          <w:color w:val="auto"/>
        </w:rPr>
        <w:t>規定標準（表7）等情事，經函請</w:t>
      </w:r>
      <w:proofErr w:type="gramStart"/>
      <w:r>
        <w:rPr>
          <w:rFonts w:hint="eastAsia"/>
          <w:color w:val="auto"/>
        </w:rPr>
        <w:t>研</w:t>
      </w:r>
      <w:proofErr w:type="gramEnd"/>
      <w:r>
        <w:rPr>
          <w:rFonts w:hint="eastAsia"/>
          <w:color w:val="auto"/>
        </w:rPr>
        <w:t>謀改</w:t>
      </w:r>
      <w:r w:rsidR="00815553">
        <w:rPr>
          <w:rFonts w:hint="eastAsia"/>
          <w:color w:val="auto"/>
        </w:rPr>
        <w:t>善。據復：1.已針對預算執行不力癥結採取精進策略，包括</w:t>
      </w:r>
      <w:r w:rsidR="00815553">
        <w:rPr>
          <w:rFonts w:hAnsi="標楷體" w:hint="eastAsia"/>
          <w:color w:val="auto"/>
        </w:rPr>
        <w:t>將請已申請補助之機構持續辦理內部</w:t>
      </w:r>
    </w:p>
    <w:p w14:paraId="08346E5E" w14:textId="58933D89" w:rsidR="007B1B13" w:rsidRDefault="00815553" w:rsidP="00F17DD1">
      <w:pPr>
        <w:pStyle w:val="a7"/>
        <w:spacing w:before="0" w:after="0" w:line="440" w:lineRule="exact"/>
        <w:ind w:firstLineChars="0" w:firstLine="0"/>
        <w:rPr>
          <w:rFonts w:hAnsi="標楷體"/>
        </w:rPr>
      </w:pPr>
      <w:r>
        <w:rPr>
          <w:rFonts w:hint="eastAsia"/>
          <w:noProof/>
        </w:rPr>
        <w:lastRenderedPageBreak/>
        <mc:AlternateContent>
          <mc:Choice Requires="wps">
            <w:drawing>
              <wp:anchor distT="45720" distB="45720" distL="114300" distR="114300" simplePos="0" relativeHeight="251757568" behindDoc="1" locked="0" layoutInCell="1" allowOverlap="1" wp14:anchorId="1BCD7A6E" wp14:editId="4A737EA6">
                <wp:simplePos x="0" y="0"/>
                <wp:positionH relativeFrom="margin">
                  <wp:posOffset>2284730</wp:posOffset>
                </wp:positionH>
                <wp:positionV relativeFrom="page">
                  <wp:posOffset>942340</wp:posOffset>
                </wp:positionV>
                <wp:extent cx="4008120" cy="3819525"/>
                <wp:effectExtent l="0" t="0" r="0" b="9525"/>
                <wp:wrapTight wrapText="bothSides">
                  <wp:wrapPolygon edited="0">
                    <wp:start x="0" y="0"/>
                    <wp:lineTo x="0" y="21546"/>
                    <wp:lineTo x="21456" y="21546"/>
                    <wp:lineTo x="21456" y="0"/>
                    <wp:lineTo x="0" y="0"/>
                  </wp:wrapPolygon>
                </wp:wrapTight>
                <wp:docPr id="927419631" name="文字方塊 927419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8120" cy="3819525"/>
                        </a:xfrm>
                        <a:prstGeom prst="rect">
                          <a:avLst/>
                        </a:prstGeom>
                        <a:solidFill>
                          <a:srgbClr val="FFFFFF"/>
                        </a:solidFill>
                        <a:ln w="9525">
                          <a:noFill/>
                          <a:miter lim="800000"/>
                          <a:headEnd/>
                          <a:tailEnd/>
                        </a:ln>
                      </wps:spPr>
                      <wps:txbx>
                        <w:txbxContent>
                          <w:tbl>
                            <w:tblPr>
                              <w:tblW w:w="21585" w:type="dxa"/>
                              <w:tblInd w:w="142" w:type="dxa"/>
                              <w:tblLayout w:type="fixed"/>
                              <w:tblCellMar>
                                <w:left w:w="28" w:type="dxa"/>
                                <w:right w:w="28" w:type="dxa"/>
                              </w:tblCellMar>
                              <w:tblLook w:val="04A0" w:firstRow="1" w:lastRow="0" w:firstColumn="1" w:lastColumn="0" w:noHBand="0" w:noVBand="1"/>
                            </w:tblPr>
                            <w:tblGrid>
                              <w:gridCol w:w="708"/>
                              <w:gridCol w:w="1701"/>
                              <w:gridCol w:w="709"/>
                              <w:gridCol w:w="708"/>
                              <w:gridCol w:w="709"/>
                              <w:gridCol w:w="709"/>
                              <w:gridCol w:w="709"/>
                              <w:gridCol w:w="12032"/>
                              <w:gridCol w:w="1200"/>
                              <w:gridCol w:w="1200"/>
                              <w:gridCol w:w="1200"/>
                            </w:tblGrid>
                            <w:tr w:rsidR="007B1B13" w14:paraId="1DDF11D0" w14:textId="77777777">
                              <w:trPr>
                                <w:gridAfter w:val="4"/>
                                <w:wAfter w:w="15633" w:type="dxa"/>
                                <w:trHeight w:val="193"/>
                              </w:trPr>
                              <w:tc>
                                <w:tcPr>
                                  <w:tcW w:w="5954" w:type="dxa"/>
                                  <w:gridSpan w:val="7"/>
                                  <w:noWrap/>
                                  <w:hideMark/>
                                </w:tcPr>
                                <w:p w14:paraId="7730955D" w14:textId="1CB583A1" w:rsidR="007B1B13" w:rsidRPr="007B1B13" w:rsidRDefault="007B1B13" w:rsidP="007B1B13">
                                  <w:pPr>
                                    <w:widowControl/>
                                    <w:rPr>
                                      <w:kern w:val="0"/>
                                      <w:sz w:val="20"/>
                                      <w:szCs w:val="20"/>
                                    </w:rPr>
                                  </w:pPr>
                                  <w:r>
                                    <w:rPr>
                                      <w:rFonts w:ascii="標楷體" w:eastAsia="標楷體" w:hAnsi="標楷體" w:cs="新細明體" w:hint="eastAsia"/>
                                      <w:b/>
                                      <w:color w:val="000000"/>
                                      <w:spacing w:val="-14"/>
                                      <w:kern w:val="0"/>
                                    </w:rPr>
                                    <w:t>表7  評鑑不合格之居家服務長照機構各評鑑項目平均得分情形</w:t>
                                  </w:r>
                                </w:p>
                              </w:tc>
                            </w:tr>
                            <w:tr w:rsidR="007B1B13" w14:paraId="5452F90E" w14:textId="77777777">
                              <w:trPr>
                                <w:gridAfter w:val="4"/>
                                <w:wAfter w:w="15633" w:type="dxa"/>
                                <w:trHeight w:val="193"/>
                              </w:trPr>
                              <w:tc>
                                <w:tcPr>
                                  <w:tcW w:w="5954" w:type="dxa"/>
                                  <w:gridSpan w:val="7"/>
                                  <w:tcBorders>
                                    <w:top w:val="nil"/>
                                    <w:left w:val="nil"/>
                                    <w:bottom w:val="single" w:sz="4" w:space="0" w:color="auto"/>
                                    <w:right w:val="nil"/>
                                  </w:tcBorders>
                                  <w:noWrap/>
                                  <w:vAlign w:val="bottom"/>
                                  <w:hideMark/>
                                </w:tcPr>
                                <w:p w14:paraId="11BB2A50" w14:textId="77777777" w:rsidR="007B1B13" w:rsidRDefault="007B1B13">
                                  <w:pPr>
                                    <w:widowControl/>
                                    <w:spacing w:beforeLines="30" w:before="108"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p>
                              </w:tc>
                            </w:tr>
                            <w:tr w:rsidR="007B1B13" w14:paraId="56D0939F" w14:textId="77777777" w:rsidTr="00F17DD1">
                              <w:trPr>
                                <w:gridAfter w:val="4"/>
                                <w:wAfter w:w="15633" w:type="dxa"/>
                                <w:trHeight w:val="624"/>
                              </w:trPr>
                              <w:tc>
                                <w:tcPr>
                                  <w:tcW w:w="2410" w:type="dxa"/>
                                  <w:gridSpan w:val="2"/>
                                  <w:vMerge w:val="restart"/>
                                  <w:tcBorders>
                                    <w:top w:val="single" w:sz="4" w:space="0" w:color="auto"/>
                                    <w:left w:val="single" w:sz="4" w:space="0" w:color="auto"/>
                                    <w:bottom w:val="single" w:sz="4" w:space="0" w:color="auto"/>
                                    <w:right w:val="single" w:sz="4" w:space="0" w:color="auto"/>
                                    <w:tl2br w:val="single" w:sz="4" w:space="0" w:color="auto"/>
                                  </w:tcBorders>
                                  <w:noWrap/>
                                  <w:hideMark/>
                                </w:tcPr>
                                <w:p w14:paraId="0E297E8F" w14:textId="77777777" w:rsidR="007B1B13" w:rsidRDefault="007B1B13">
                                  <w:pPr>
                                    <w:widowControl/>
                                    <w:ind w:firstLineChars="700" w:firstLine="1400"/>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機構類型</w:t>
                                  </w:r>
                                </w:p>
                                <w:p w14:paraId="47725697" w14:textId="77777777" w:rsidR="00AE00FE" w:rsidRDefault="00AE00FE">
                                  <w:pPr>
                                    <w:widowControl/>
                                    <w:spacing w:line="240" w:lineRule="exact"/>
                                    <w:rPr>
                                      <w:rFonts w:ascii="標楷體" w:eastAsia="標楷體" w:hAnsi="標楷體" w:cs="新細明體"/>
                                      <w:color w:val="000000"/>
                                      <w:kern w:val="0"/>
                                      <w:sz w:val="20"/>
                                      <w:szCs w:val="20"/>
                                    </w:rPr>
                                  </w:pPr>
                                </w:p>
                                <w:p w14:paraId="68E8D9B6" w14:textId="4BF314D0" w:rsidR="007B1B13" w:rsidRDefault="007B1B13">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評鑑項目</w:t>
                                  </w:r>
                                </w:p>
                              </w:tc>
                              <w:tc>
                                <w:tcPr>
                                  <w:tcW w:w="2126" w:type="dxa"/>
                                  <w:gridSpan w:val="3"/>
                                  <w:tcBorders>
                                    <w:top w:val="single" w:sz="4" w:space="0" w:color="auto"/>
                                    <w:left w:val="nil"/>
                                    <w:bottom w:val="single" w:sz="4" w:space="0" w:color="auto"/>
                                    <w:right w:val="double" w:sz="4" w:space="0" w:color="auto"/>
                                  </w:tcBorders>
                                  <w:noWrap/>
                                  <w:vAlign w:val="center"/>
                                  <w:hideMark/>
                                </w:tcPr>
                                <w:p w14:paraId="47F509F0" w14:textId="77777777" w:rsidR="007B1B13" w:rsidRDefault="007B1B13">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居家服務機構</w:t>
                                  </w:r>
                                  <w:r>
                                    <w:rPr>
                                      <w:rFonts w:ascii="標楷體" w:eastAsia="標楷體" w:hAnsi="標楷體" w:cs="新細明體" w:hint="eastAsia"/>
                                      <w:color w:val="000000"/>
                                      <w:spacing w:val="-20"/>
                                      <w:kern w:val="0"/>
                                      <w:sz w:val="20"/>
                                      <w:szCs w:val="20"/>
                                    </w:rPr>
                                    <w:t>得分比率</w:t>
                                  </w:r>
                                </w:p>
                              </w:tc>
                              <w:tc>
                                <w:tcPr>
                                  <w:tcW w:w="1418" w:type="dxa"/>
                                  <w:gridSpan w:val="2"/>
                                  <w:tcBorders>
                                    <w:top w:val="single" w:sz="4" w:space="0" w:color="auto"/>
                                    <w:left w:val="double" w:sz="4" w:space="0" w:color="auto"/>
                                    <w:bottom w:val="single" w:sz="4" w:space="0" w:color="auto"/>
                                    <w:right w:val="single" w:sz="4" w:space="0" w:color="auto"/>
                                  </w:tcBorders>
                                  <w:noWrap/>
                                  <w:vAlign w:val="center"/>
                                  <w:hideMark/>
                                </w:tcPr>
                                <w:p w14:paraId="1E8B0878" w14:textId="77777777" w:rsidR="007B1B13" w:rsidRDefault="007B1B13">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居家服務</w:t>
                                  </w:r>
                                  <w:proofErr w:type="gramStart"/>
                                  <w:r>
                                    <w:rPr>
                                      <w:rFonts w:ascii="標楷體" w:eastAsia="標楷體" w:hAnsi="標楷體" w:cs="新細明體" w:hint="eastAsia"/>
                                      <w:color w:val="000000"/>
                                      <w:kern w:val="0"/>
                                      <w:sz w:val="20"/>
                                      <w:szCs w:val="20"/>
                                    </w:rPr>
                                    <w:t>併復能</w:t>
                                  </w:r>
                                  <w:proofErr w:type="gramEnd"/>
                                  <w:r>
                                    <w:rPr>
                                      <w:rFonts w:ascii="標楷體" w:eastAsia="標楷體" w:hAnsi="標楷體" w:cs="新細明體" w:hint="eastAsia"/>
                                      <w:color w:val="000000"/>
                                      <w:kern w:val="0"/>
                                      <w:sz w:val="20"/>
                                      <w:szCs w:val="20"/>
                                    </w:rPr>
                                    <w:t>機構</w:t>
                                  </w:r>
                                  <w:r>
                                    <w:rPr>
                                      <w:rFonts w:ascii="標楷體" w:eastAsia="標楷體" w:hAnsi="標楷體" w:cs="新細明體" w:hint="eastAsia"/>
                                      <w:color w:val="000000"/>
                                      <w:spacing w:val="-20"/>
                                      <w:kern w:val="0"/>
                                      <w:sz w:val="20"/>
                                      <w:szCs w:val="20"/>
                                    </w:rPr>
                                    <w:t>得分比率</w:t>
                                  </w:r>
                                </w:p>
                              </w:tc>
                            </w:tr>
                            <w:tr w:rsidR="007B1B13" w14:paraId="45DA0D6B" w14:textId="77777777" w:rsidTr="00F17DD1">
                              <w:trPr>
                                <w:gridAfter w:val="4"/>
                                <w:wAfter w:w="15633" w:type="dxa"/>
                                <w:trHeight w:val="397"/>
                              </w:trPr>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14:paraId="1ABC252A" w14:textId="77777777" w:rsidR="007B1B13" w:rsidRDefault="007B1B13">
                                  <w:pPr>
                                    <w:widowControl/>
                                    <w:rPr>
                                      <w:rFonts w:ascii="標楷體" w:eastAsia="標楷體" w:hAnsi="標楷體" w:cs="新細明體"/>
                                      <w:color w:val="000000"/>
                                      <w:kern w:val="0"/>
                                      <w:sz w:val="20"/>
                                      <w:szCs w:val="20"/>
                                    </w:rPr>
                                  </w:pPr>
                                </w:p>
                              </w:tc>
                              <w:tc>
                                <w:tcPr>
                                  <w:tcW w:w="709" w:type="dxa"/>
                                  <w:tcBorders>
                                    <w:top w:val="single" w:sz="4" w:space="0" w:color="auto"/>
                                    <w:left w:val="nil"/>
                                    <w:bottom w:val="single" w:sz="4" w:space="0" w:color="auto"/>
                                    <w:right w:val="single" w:sz="4" w:space="0" w:color="auto"/>
                                  </w:tcBorders>
                                  <w:vAlign w:val="center"/>
                                  <w:hideMark/>
                                </w:tcPr>
                                <w:p w14:paraId="3EEA6D09" w14:textId="77777777" w:rsidR="007B1B13" w:rsidRDefault="007B1B13">
                                  <w:pPr>
                                    <w:widowControl/>
                                    <w:spacing w:line="240" w:lineRule="exact"/>
                                    <w:jc w:val="center"/>
                                    <w:rPr>
                                      <w:rFonts w:ascii="標楷體" w:eastAsia="標楷體" w:hAnsi="標楷體" w:cs="新細明體"/>
                                      <w:color w:val="000000"/>
                                      <w:spacing w:val="-16"/>
                                      <w:kern w:val="0"/>
                                      <w:sz w:val="20"/>
                                      <w:szCs w:val="20"/>
                                    </w:rPr>
                                  </w:pPr>
                                  <w:proofErr w:type="gramStart"/>
                                  <w:r>
                                    <w:rPr>
                                      <w:rFonts w:ascii="標楷體" w:eastAsia="標楷體" w:hAnsi="標楷體" w:cs="新細明體" w:hint="eastAsia"/>
                                      <w:color w:val="000000"/>
                                      <w:spacing w:val="-16"/>
                                      <w:kern w:val="0"/>
                                      <w:sz w:val="20"/>
                                      <w:szCs w:val="20"/>
                                    </w:rPr>
                                    <w:t>109</w:t>
                                  </w:r>
                                  <w:proofErr w:type="gramEnd"/>
                                  <w:r>
                                    <w:rPr>
                                      <w:rFonts w:ascii="標楷體" w:eastAsia="標楷體" w:hAnsi="標楷體" w:cs="新細明體" w:hint="eastAsia"/>
                                      <w:color w:val="000000"/>
                                      <w:spacing w:val="-16"/>
                                      <w:kern w:val="0"/>
                                      <w:sz w:val="20"/>
                                      <w:szCs w:val="20"/>
                                    </w:rPr>
                                    <w:t>年度</w:t>
                                  </w:r>
                                </w:p>
                              </w:tc>
                              <w:tc>
                                <w:tcPr>
                                  <w:tcW w:w="708" w:type="dxa"/>
                                  <w:tcBorders>
                                    <w:top w:val="single" w:sz="4" w:space="0" w:color="auto"/>
                                    <w:left w:val="nil"/>
                                    <w:bottom w:val="single" w:sz="4" w:space="0" w:color="auto"/>
                                    <w:right w:val="single" w:sz="4" w:space="0" w:color="auto"/>
                                  </w:tcBorders>
                                  <w:vAlign w:val="center"/>
                                  <w:hideMark/>
                                </w:tcPr>
                                <w:p w14:paraId="4265D5A0" w14:textId="77777777" w:rsidR="007B1B13" w:rsidRDefault="007B1B13">
                                  <w:pPr>
                                    <w:widowControl/>
                                    <w:spacing w:line="240" w:lineRule="exact"/>
                                    <w:jc w:val="center"/>
                                    <w:rPr>
                                      <w:rFonts w:ascii="標楷體" w:eastAsia="標楷體" w:hAnsi="標楷體" w:cs="新細明體"/>
                                      <w:color w:val="000000"/>
                                      <w:spacing w:val="-20"/>
                                      <w:kern w:val="0"/>
                                      <w:sz w:val="20"/>
                                      <w:szCs w:val="20"/>
                                    </w:rPr>
                                  </w:pPr>
                                  <w:proofErr w:type="gramStart"/>
                                  <w:r>
                                    <w:rPr>
                                      <w:rFonts w:ascii="標楷體" w:eastAsia="標楷體" w:hAnsi="標楷體" w:cs="新細明體" w:hint="eastAsia"/>
                                      <w:color w:val="000000"/>
                                      <w:spacing w:val="-20"/>
                                      <w:kern w:val="0"/>
                                      <w:sz w:val="20"/>
                                      <w:szCs w:val="20"/>
                                    </w:rPr>
                                    <w:t>111</w:t>
                                  </w:r>
                                  <w:proofErr w:type="gramEnd"/>
                                  <w:r>
                                    <w:rPr>
                                      <w:rFonts w:ascii="標楷體" w:eastAsia="標楷體" w:hAnsi="標楷體" w:cs="新細明體" w:hint="eastAsia"/>
                                      <w:color w:val="000000"/>
                                      <w:spacing w:val="-20"/>
                                      <w:kern w:val="0"/>
                                      <w:sz w:val="20"/>
                                      <w:szCs w:val="20"/>
                                    </w:rPr>
                                    <w:t>年度</w:t>
                                  </w:r>
                                </w:p>
                              </w:tc>
                              <w:tc>
                                <w:tcPr>
                                  <w:tcW w:w="709" w:type="dxa"/>
                                  <w:tcBorders>
                                    <w:top w:val="single" w:sz="4" w:space="0" w:color="auto"/>
                                    <w:left w:val="nil"/>
                                    <w:bottom w:val="single" w:sz="4" w:space="0" w:color="auto"/>
                                    <w:right w:val="double" w:sz="4" w:space="0" w:color="auto"/>
                                  </w:tcBorders>
                                  <w:vAlign w:val="center"/>
                                  <w:hideMark/>
                                </w:tcPr>
                                <w:p w14:paraId="57C12F6B" w14:textId="77777777" w:rsidR="007B1B13" w:rsidRDefault="007B1B13">
                                  <w:pPr>
                                    <w:widowControl/>
                                    <w:spacing w:line="240" w:lineRule="exact"/>
                                    <w:jc w:val="center"/>
                                    <w:rPr>
                                      <w:rFonts w:ascii="標楷體" w:eastAsia="標楷體" w:hAnsi="標楷體" w:cs="新細明體"/>
                                      <w:color w:val="000000"/>
                                      <w:spacing w:val="-20"/>
                                      <w:kern w:val="0"/>
                                      <w:sz w:val="20"/>
                                      <w:szCs w:val="20"/>
                                    </w:rPr>
                                  </w:pPr>
                                  <w:proofErr w:type="gramStart"/>
                                  <w:r>
                                    <w:rPr>
                                      <w:rFonts w:ascii="標楷體" w:eastAsia="標楷體" w:hAnsi="標楷體" w:cs="新細明體" w:hint="eastAsia"/>
                                      <w:color w:val="000000"/>
                                      <w:spacing w:val="-20"/>
                                      <w:kern w:val="0"/>
                                      <w:sz w:val="20"/>
                                      <w:szCs w:val="20"/>
                                    </w:rPr>
                                    <w:t>112</w:t>
                                  </w:r>
                                  <w:proofErr w:type="gramEnd"/>
                                  <w:r>
                                    <w:rPr>
                                      <w:rFonts w:ascii="標楷體" w:eastAsia="標楷體" w:hAnsi="標楷體" w:cs="新細明體" w:hint="eastAsia"/>
                                      <w:color w:val="000000"/>
                                      <w:spacing w:val="-20"/>
                                      <w:kern w:val="0"/>
                                      <w:sz w:val="20"/>
                                      <w:szCs w:val="20"/>
                                    </w:rPr>
                                    <w:t>年度</w:t>
                                  </w:r>
                                </w:p>
                              </w:tc>
                              <w:tc>
                                <w:tcPr>
                                  <w:tcW w:w="709" w:type="dxa"/>
                                  <w:tcBorders>
                                    <w:top w:val="single" w:sz="4" w:space="0" w:color="auto"/>
                                    <w:left w:val="double" w:sz="4" w:space="0" w:color="auto"/>
                                    <w:bottom w:val="single" w:sz="4" w:space="0" w:color="auto"/>
                                    <w:right w:val="single" w:sz="4" w:space="0" w:color="auto"/>
                                  </w:tcBorders>
                                  <w:vAlign w:val="center"/>
                                  <w:hideMark/>
                                </w:tcPr>
                                <w:p w14:paraId="294502F9" w14:textId="77777777" w:rsidR="007B1B13" w:rsidRDefault="007B1B13">
                                  <w:pPr>
                                    <w:widowControl/>
                                    <w:spacing w:line="240" w:lineRule="exact"/>
                                    <w:jc w:val="center"/>
                                    <w:rPr>
                                      <w:rFonts w:ascii="標楷體" w:eastAsia="標楷體" w:hAnsi="標楷體" w:cs="新細明體"/>
                                      <w:color w:val="000000"/>
                                      <w:spacing w:val="-20"/>
                                      <w:kern w:val="0"/>
                                      <w:sz w:val="20"/>
                                      <w:szCs w:val="20"/>
                                    </w:rPr>
                                  </w:pPr>
                                  <w:proofErr w:type="gramStart"/>
                                  <w:r>
                                    <w:rPr>
                                      <w:rFonts w:ascii="標楷體" w:eastAsia="標楷體" w:hAnsi="標楷體" w:cs="新細明體" w:hint="eastAsia"/>
                                      <w:color w:val="000000"/>
                                      <w:spacing w:val="-20"/>
                                      <w:kern w:val="0"/>
                                      <w:sz w:val="20"/>
                                      <w:szCs w:val="20"/>
                                    </w:rPr>
                                    <w:t>111</w:t>
                                  </w:r>
                                  <w:proofErr w:type="gramEnd"/>
                                  <w:r>
                                    <w:rPr>
                                      <w:rFonts w:ascii="標楷體" w:eastAsia="標楷體" w:hAnsi="標楷體" w:cs="新細明體" w:hint="eastAsia"/>
                                      <w:color w:val="000000"/>
                                      <w:spacing w:val="-20"/>
                                      <w:kern w:val="0"/>
                                      <w:sz w:val="20"/>
                                      <w:szCs w:val="20"/>
                                    </w:rPr>
                                    <w:t>年度</w:t>
                                  </w:r>
                                </w:p>
                              </w:tc>
                              <w:tc>
                                <w:tcPr>
                                  <w:tcW w:w="709" w:type="dxa"/>
                                  <w:tcBorders>
                                    <w:top w:val="nil"/>
                                    <w:left w:val="nil"/>
                                    <w:bottom w:val="nil"/>
                                    <w:right w:val="single" w:sz="4" w:space="0" w:color="auto"/>
                                  </w:tcBorders>
                                  <w:vAlign w:val="center"/>
                                  <w:hideMark/>
                                </w:tcPr>
                                <w:p w14:paraId="578FE1E6" w14:textId="77777777" w:rsidR="007B1B13" w:rsidRDefault="007B1B13">
                                  <w:pPr>
                                    <w:widowControl/>
                                    <w:spacing w:line="240" w:lineRule="exact"/>
                                    <w:jc w:val="center"/>
                                    <w:rPr>
                                      <w:rFonts w:ascii="標楷體" w:eastAsia="標楷體" w:hAnsi="標楷體" w:cs="新細明體"/>
                                      <w:color w:val="000000"/>
                                      <w:spacing w:val="-20"/>
                                      <w:kern w:val="0"/>
                                      <w:sz w:val="20"/>
                                      <w:szCs w:val="20"/>
                                    </w:rPr>
                                  </w:pPr>
                                  <w:proofErr w:type="gramStart"/>
                                  <w:r>
                                    <w:rPr>
                                      <w:rFonts w:ascii="標楷體" w:eastAsia="標楷體" w:hAnsi="標楷體" w:cs="新細明體" w:hint="eastAsia"/>
                                      <w:color w:val="000000"/>
                                      <w:spacing w:val="-20"/>
                                      <w:kern w:val="0"/>
                                      <w:sz w:val="20"/>
                                      <w:szCs w:val="20"/>
                                    </w:rPr>
                                    <w:t>112</w:t>
                                  </w:r>
                                  <w:proofErr w:type="gramEnd"/>
                                  <w:r>
                                    <w:rPr>
                                      <w:rFonts w:ascii="標楷體" w:eastAsia="標楷體" w:hAnsi="標楷體" w:cs="新細明體" w:hint="eastAsia"/>
                                      <w:color w:val="000000"/>
                                      <w:spacing w:val="-20"/>
                                      <w:kern w:val="0"/>
                                      <w:sz w:val="20"/>
                                      <w:szCs w:val="20"/>
                                    </w:rPr>
                                    <w:t>年度</w:t>
                                  </w:r>
                                </w:p>
                              </w:tc>
                            </w:tr>
                            <w:tr w:rsidR="007B1B13" w14:paraId="4B85929F" w14:textId="77777777" w:rsidTr="00F17DD1">
                              <w:trPr>
                                <w:gridAfter w:val="4"/>
                                <w:wAfter w:w="15633" w:type="dxa"/>
                                <w:trHeight w:val="397"/>
                              </w:trPr>
                              <w:tc>
                                <w:tcPr>
                                  <w:tcW w:w="2410" w:type="dxa"/>
                                  <w:gridSpan w:val="2"/>
                                  <w:tcBorders>
                                    <w:top w:val="single" w:sz="4" w:space="0" w:color="auto"/>
                                    <w:left w:val="single" w:sz="4" w:space="0" w:color="auto"/>
                                    <w:bottom w:val="single" w:sz="4" w:space="0" w:color="auto"/>
                                    <w:right w:val="single" w:sz="4" w:space="0" w:color="auto"/>
                                  </w:tcBorders>
                                  <w:noWrap/>
                                  <w:vAlign w:val="center"/>
                                  <w:hideMark/>
                                </w:tcPr>
                                <w:p w14:paraId="5941AC0B" w14:textId="77777777" w:rsidR="007B1B13" w:rsidRDefault="007B1B13">
                                  <w:pPr>
                                    <w:widowControl/>
                                    <w:spacing w:line="18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個案權益保障</w:t>
                                  </w:r>
                                </w:p>
                              </w:tc>
                              <w:tc>
                                <w:tcPr>
                                  <w:tcW w:w="709" w:type="dxa"/>
                                  <w:tcBorders>
                                    <w:top w:val="single" w:sz="4" w:space="0" w:color="auto"/>
                                    <w:left w:val="nil"/>
                                    <w:bottom w:val="single" w:sz="4" w:space="0" w:color="auto"/>
                                    <w:right w:val="single" w:sz="4" w:space="0" w:color="auto"/>
                                  </w:tcBorders>
                                  <w:vAlign w:val="center"/>
                                  <w:hideMark/>
                                </w:tcPr>
                                <w:p w14:paraId="47720A99"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59.36</w:t>
                                  </w:r>
                                </w:p>
                              </w:tc>
                              <w:tc>
                                <w:tcPr>
                                  <w:tcW w:w="708" w:type="dxa"/>
                                  <w:tcBorders>
                                    <w:top w:val="single" w:sz="4" w:space="0" w:color="auto"/>
                                    <w:left w:val="nil"/>
                                    <w:bottom w:val="single" w:sz="4" w:space="0" w:color="auto"/>
                                    <w:right w:val="single" w:sz="4" w:space="0" w:color="auto"/>
                                  </w:tcBorders>
                                  <w:vAlign w:val="center"/>
                                  <w:hideMark/>
                                </w:tcPr>
                                <w:p w14:paraId="7D0D58EF"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68.79</w:t>
                                  </w:r>
                                </w:p>
                              </w:tc>
                              <w:tc>
                                <w:tcPr>
                                  <w:tcW w:w="709" w:type="dxa"/>
                                  <w:tcBorders>
                                    <w:top w:val="single" w:sz="4" w:space="0" w:color="auto"/>
                                    <w:left w:val="nil"/>
                                    <w:bottom w:val="single" w:sz="4" w:space="0" w:color="auto"/>
                                    <w:right w:val="double" w:sz="4" w:space="0" w:color="auto"/>
                                  </w:tcBorders>
                                  <w:shd w:val="clear" w:color="auto" w:fill="D9D9D9" w:themeFill="background1" w:themeFillShade="D9"/>
                                  <w:vAlign w:val="center"/>
                                  <w:hideMark/>
                                </w:tcPr>
                                <w:p w14:paraId="0419C25D"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70.21</w:t>
                                  </w:r>
                                </w:p>
                              </w:tc>
                              <w:tc>
                                <w:tcPr>
                                  <w:tcW w:w="709" w:type="dxa"/>
                                  <w:tcBorders>
                                    <w:top w:val="single" w:sz="4" w:space="0" w:color="auto"/>
                                    <w:left w:val="double" w:sz="4" w:space="0" w:color="auto"/>
                                    <w:bottom w:val="single" w:sz="4" w:space="0" w:color="auto"/>
                                    <w:right w:val="single" w:sz="4" w:space="0" w:color="auto"/>
                                  </w:tcBorders>
                                  <w:vAlign w:val="center"/>
                                  <w:hideMark/>
                                </w:tcPr>
                                <w:p w14:paraId="6B420EDF"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56.29</w:t>
                                  </w:r>
                                </w:p>
                              </w:tc>
                              <w:tc>
                                <w:tcPr>
                                  <w:tcW w:w="709" w:type="dxa"/>
                                  <w:tcBorders>
                                    <w:top w:val="single" w:sz="4" w:space="0" w:color="auto"/>
                                    <w:left w:val="nil"/>
                                    <w:bottom w:val="single" w:sz="4" w:space="0" w:color="auto"/>
                                    <w:right w:val="single" w:sz="4" w:space="0" w:color="auto"/>
                                  </w:tcBorders>
                                  <w:vAlign w:val="center"/>
                                  <w:hideMark/>
                                </w:tcPr>
                                <w:p w14:paraId="60417DD7"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54.14</w:t>
                                  </w:r>
                                </w:p>
                              </w:tc>
                            </w:tr>
                            <w:tr w:rsidR="007B1B13" w14:paraId="2B86EEBC" w14:textId="77777777" w:rsidTr="00F17DD1">
                              <w:trPr>
                                <w:gridAfter w:val="4"/>
                                <w:wAfter w:w="15633" w:type="dxa"/>
                                <w:trHeight w:val="397"/>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5E56BEB8" w14:textId="77777777" w:rsidR="007B1B13" w:rsidRDefault="007B1B1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專業照護品質</w:t>
                                  </w:r>
                                </w:p>
                              </w:tc>
                              <w:tc>
                                <w:tcPr>
                                  <w:tcW w:w="1701" w:type="dxa"/>
                                  <w:tcBorders>
                                    <w:top w:val="single" w:sz="4" w:space="0" w:color="auto"/>
                                    <w:left w:val="nil"/>
                                    <w:bottom w:val="single" w:sz="4" w:space="0" w:color="auto"/>
                                    <w:right w:val="single" w:sz="4" w:space="0" w:color="auto"/>
                                  </w:tcBorders>
                                  <w:noWrap/>
                                  <w:vAlign w:val="center"/>
                                  <w:hideMark/>
                                </w:tcPr>
                                <w:p w14:paraId="40DF7455"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（一）評估與處遇</w:t>
                                  </w:r>
                                </w:p>
                              </w:tc>
                              <w:tc>
                                <w:tcPr>
                                  <w:tcW w:w="709" w:type="dxa"/>
                                  <w:tcBorders>
                                    <w:top w:val="single" w:sz="4" w:space="0" w:color="auto"/>
                                    <w:left w:val="nil"/>
                                    <w:bottom w:val="single" w:sz="4" w:space="0" w:color="auto"/>
                                    <w:right w:val="single" w:sz="4" w:space="0" w:color="auto"/>
                                  </w:tcBorders>
                                  <w:vAlign w:val="center"/>
                                  <w:hideMark/>
                                </w:tcPr>
                                <w:p w14:paraId="577EB266"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40.89</w:t>
                                  </w:r>
                                </w:p>
                              </w:tc>
                              <w:tc>
                                <w:tcPr>
                                  <w:tcW w:w="708" w:type="dxa"/>
                                  <w:tcBorders>
                                    <w:top w:val="single" w:sz="4" w:space="0" w:color="auto"/>
                                    <w:left w:val="nil"/>
                                    <w:bottom w:val="single" w:sz="4" w:space="0" w:color="auto"/>
                                    <w:right w:val="single" w:sz="4" w:space="0" w:color="auto"/>
                                  </w:tcBorders>
                                  <w:vAlign w:val="center"/>
                                  <w:hideMark/>
                                </w:tcPr>
                                <w:p w14:paraId="328EE4DF"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57.00</w:t>
                                  </w:r>
                                </w:p>
                              </w:tc>
                              <w:tc>
                                <w:tcPr>
                                  <w:tcW w:w="709" w:type="dxa"/>
                                  <w:tcBorders>
                                    <w:top w:val="nil"/>
                                    <w:left w:val="nil"/>
                                    <w:bottom w:val="single" w:sz="4" w:space="0" w:color="auto"/>
                                    <w:right w:val="double" w:sz="4" w:space="0" w:color="auto"/>
                                  </w:tcBorders>
                                  <w:vAlign w:val="center"/>
                                  <w:hideMark/>
                                </w:tcPr>
                                <w:p w14:paraId="2EEF157B"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47.75</w:t>
                                  </w:r>
                                </w:p>
                              </w:tc>
                              <w:tc>
                                <w:tcPr>
                                  <w:tcW w:w="709" w:type="dxa"/>
                                  <w:tcBorders>
                                    <w:top w:val="single" w:sz="4" w:space="0" w:color="auto"/>
                                    <w:left w:val="double" w:sz="4" w:space="0" w:color="auto"/>
                                    <w:bottom w:val="single" w:sz="4" w:space="0" w:color="auto"/>
                                    <w:right w:val="single" w:sz="4" w:space="0" w:color="auto"/>
                                  </w:tcBorders>
                                  <w:vAlign w:val="center"/>
                                  <w:hideMark/>
                                </w:tcPr>
                                <w:p w14:paraId="2517DAB0"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47.40</w:t>
                                  </w:r>
                                </w:p>
                              </w:tc>
                              <w:tc>
                                <w:tcPr>
                                  <w:tcW w:w="709" w:type="dxa"/>
                                  <w:tcBorders>
                                    <w:top w:val="single" w:sz="4" w:space="0" w:color="auto"/>
                                    <w:left w:val="nil"/>
                                    <w:bottom w:val="single" w:sz="4" w:space="0" w:color="auto"/>
                                    <w:right w:val="single" w:sz="4" w:space="0" w:color="auto"/>
                                  </w:tcBorders>
                                  <w:vAlign w:val="center"/>
                                  <w:hideMark/>
                                </w:tcPr>
                                <w:p w14:paraId="1F2D64F6"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44.13</w:t>
                                  </w:r>
                                </w:p>
                              </w:tc>
                            </w:tr>
                            <w:tr w:rsidR="007B1B13" w14:paraId="34FC8802" w14:textId="77777777" w:rsidTr="00F17DD1">
                              <w:trPr>
                                <w:gridAfter w:val="4"/>
                                <w:wAfter w:w="15633" w:type="dxa"/>
                                <w:trHeight w:val="397"/>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72817311" w14:textId="77777777" w:rsidR="007B1B13" w:rsidRDefault="007B1B13">
                                  <w:pPr>
                                    <w:widowControl/>
                                    <w:rPr>
                                      <w:rFonts w:ascii="標楷體" w:eastAsia="標楷體" w:hAnsi="標楷體" w:cs="新細明體"/>
                                      <w:color w:val="000000"/>
                                      <w:kern w:val="0"/>
                                      <w:sz w:val="20"/>
                                      <w:szCs w:val="20"/>
                                    </w:rPr>
                                  </w:pPr>
                                </w:p>
                              </w:tc>
                              <w:tc>
                                <w:tcPr>
                                  <w:tcW w:w="1701" w:type="dxa"/>
                                  <w:tcBorders>
                                    <w:top w:val="nil"/>
                                    <w:left w:val="nil"/>
                                    <w:bottom w:val="single" w:sz="4" w:space="0" w:color="auto"/>
                                    <w:right w:val="single" w:sz="4" w:space="0" w:color="auto"/>
                                  </w:tcBorders>
                                  <w:noWrap/>
                                  <w:vAlign w:val="center"/>
                                  <w:hideMark/>
                                </w:tcPr>
                                <w:p w14:paraId="6B284C08"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（二）健康生活照顧</w:t>
                                  </w:r>
                                </w:p>
                              </w:tc>
                              <w:tc>
                                <w:tcPr>
                                  <w:tcW w:w="709" w:type="dxa"/>
                                  <w:tcBorders>
                                    <w:top w:val="nil"/>
                                    <w:left w:val="nil"/>
                                    <w:bottom w:val="single" w:sz="4" w:space="0" w:color="auto"/>
                                    <w:right w:val="single" w:sz="4" w:space="0" w:color="auto"/>
                                  </w:tcBorders>
                                  <w:vAlign w:val="center"/>
                                  <w:hideMark/>
                                </w:tcPr>
                                <w:p w14:paraId="03F9CEAA"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51.00</w:t>
                                  </w:r>
                                </w:p>
                              </w:tc>
                              <w:tc>
                                <w:tcPr>
                                  <w:tcW w:w="708" w:type="dxa"/>
                                  <w:tcBorders>
                                    <w:top w:val="nil"/>
                                    <w:left w:val="nil"/>
                                    <w:bottom w:val="single" w:sz="4" w:space="0" w:color="auto"/>
                                    <w:right w:val="single" w:sz="4" w:space="0" w:color="auto"/>
                                  </w:tcBorders>
                                  <w:vAlign w:val="center"/>
                                  <w:hideMark/>
                                </w:tcPr>
                                <w:p w14:paraId="2179F7B2"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51.14</w:t>
                                  </w:r>
                                </w:p>
                              </w:tc>
                              <w:tc>
                                <w:tcPr>
                                  <w:tcW w:w="709" w:type="dxa"/>
                                  <w:tcBorders>
                                    <w:top w:val="nil"/>
                                    <w:left w:val="nil"/>
                                    <w:bottom w:val="single" w:sz="4" w:space="0" w:color="auto"/>
                                    <w:right w:val="double" w:sz="4" w:space="0" w:color="auto"/>
                                  </w:tcBorders>
                                  <w:vAlign w:val="center"/>
                                  <w:hideMark/>
                                </w:tcPr>
                                <w:p w14:paraId="5F203A62"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43.43</w:t>
                                  </w:r>
                                </w:p>
                              </w:tc>
                              <w:tc>
                                <w:tcPr>
                                  <w:tcW w:w="709" w:type="dxa"/>
                                  <w:tcBorders>
                                    <w:top w:val="single" w:sz="4" w:space="0" w:color="auto"/>
                                    <w:left w:val="double" w:sz="4" w:space="0" w:color="auto"/>
                                    <w:bottom w:val="single" w:sz="4" w:space="0" w:color="auto"/>
                                    <w:right w:val="single" w:sz="4" w:space="0" w:color="auto"/>
                                  </w:tcBorders>
                                  <w:vAlign w:val="center"/>
                                  <w:hideMark/>
                                </w:tcPr>
                                <w:p w14:paraId="726CAFD1"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45.05</w:t>
                                  </w:r>
                                </w:p>
                              </w:tc>
                              <w:tc>
                                <w:tcPr>
                                  <w:tcW w:w="709" w:type="dxa"/>
                                  <w:tcBorders>
                                    <w:top w:val="single" w:sz="4" w:space="0" w:color="auto"/>
                                    <w:left w:val="nil"/>
                                    <w:bottom w:val="single" w:sz="4" w:space="0" w:color="auto"/>
                                    <w:right w:val="single" w:sz="4" w:space="0" w:color="auto"/>
                                  </w:tcBorders>
                                  <w:vAlign w:val="center"/>
                                  <w:hideMark/>
                                </w:tcPr>
                                <w:p w14:paraId="4EA1EC8C"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39.81</w:t>
                                  </w:r>
                                </w:p>
                              </w:tc>
                            </w:tr>
                            <w:tr w:rsidR="007B1B13" w14:paraId="4C1BAC73" w14:textId="77777777" w:rsidTr="00F17DD1">
                              <w:trPr>
                                <w:gridAfter w:val="4"/>
                                <w:wAfter w:w="15633" w:type="dxa"/>
                                <w:trHeight w:val="397"/>
                              </w:trPr>
                              <w:tc>
                                <w:tcPr>
                                  <w:tcW w:w="709" w:type="dxa"/>
                                  <w:vMerge w:val="restart"/>
                                  <w:tcBorders>
                                    <w:top w:val="nil"/>
                                    <w:left w:val="single" w:sz="4" w:space="0" w:color="auto"/>
                                    <w:bottom w:val="single" w:sz="4" w:space="0" w:color="auto"/>
                                    <w:right w:val="single" w:sz="4" w:space="0" w:color="auto"/>
                                  </w:tcBorders>
                                  <w:vAlign w:val="center"/>
                                  <w:hideMark/>
                                </w:tcPr>
                                <w:p w14:paraId="56FA83B3" w14:textId="77777777" w:rsidR="007B1B13" w:rsidRDefault="007B1B1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經營管理效能</w:t>
                                  </w:r>
                                </w:p>
                              </w:tc>
                              <w:tc>
                                <w:tcPr>
                                  <w:tcW w:w="1701" w:type="dxa"/>
                                  <w:tcBorders>
                                    <w:top w:val="nil"/>
                                    <w:left w:val="nil"/>
                                    <w:bottom w:val="single" w:sz="4" w:space="0" w:color="auto"/>
                                    <w:right w:val="single" w:sz="4" w:space="0" w:color="auto"/>
                                  </w:tcBorders>
                                  <w:noWrap/>
                                  <w:vAlign w:val="center"/>
                                  <w:hideMark/>
                                </w:tcPr>
                                <w:p w14:paraId="639B5519"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（一）行政制度</w:t>
                                  </w:r>
                                </w:p>
                              </w:tc>
                              <w:tc>
                                <w:tcPr>
                                  <w:tcW w:w="709" w:type="dxa"/>
                                  <w:tcBorders>
                                    <w:top w:val="nil"/>
                                    <w:left w:val="nil"/>
                                    <w:bottom w:val="single" w:sz="4" w:space="0" w:color="auto"/>
                                    <w:right w:val="single" w:sz="4" w:space="0" w:color="auto"/>
                                  </w:tcBorders>
                                  <w:vAlign w:val="center"/>
                                  <w:hideMark/>
                                </w:tcPr>
                                <w:p w14:paraId="591C8F93"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39.95</w:t>
                                  </w:r>
                                </w:p>
                              </w:tc>
                              <w:tc>
                                <w:tcPr>
                                  <w:tcW w:w="708" w:type="dxa"/>
                                  <w:tcBorders>
                                    <w:top w:val="nil"/>
                                    <w:left w:val="nil"/>
                                    <w:bottom w:val="single" w:sz="4" w:space="0" w:color="auto"/>
                                    <w:right w:val="single" w:sz="4" w:space="0" w:color="auto"/>
                                  </w:tcBorders>
                                  <w:vAlign w:val="center"/>
                                  <w:hideMark/>
                                </w:tcPr>
                                <w:p w14:paraId="37BCDF08"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48.05</w:t>
                                  </w:r>
                                </w:p>
                              </w:tc>
                              <w:tc>
                                <w:tcPr>
                                  <w:tcW w:w="709" w:type="dxa"/>
                                  <w:tcBorders>
                                    <w:top w:val="nil"/>
                                    <w:left w:val="nil"/>
                                    <w:bottom w:val="single" w:sz="4" w:space="0" w:color="auto"/>
                                    <w:right w:val="double" w:sz="4" w:space="0" w:color="auto"/>
                                  </w:tcBorders>
                                  <w:vAlign w:val="center"/>
                                  <w:hideMark/>
                                </w:tcPr>
                                <w:p w14:paraId="63C50D92"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49.43</w:t>
                                  </w:r>
                                </w:p>
                              </w:tc>
                              <w:tc>
                                <w:tcPr>
                                  <w:tcW w:w="709" w:type="dxa"/>
                                  <w:tcBorders>
                                    <w:top w:val="single" w:sz="4" w:space="0" w:color="auto"/>
                                    <w:left w:val="double" w:sz="4" w:space="0" w:color="auto"/>
                                    <w:bottom w:val="single" w:sz="4" w:space="0" w:color="auto"/>
                                    <w:right w:val="single" w:sz="4" w:space="0" w:color="auto"/>
                                  </w:tcBorders>
                                  <w:vAlign w:val="center"/>
                                  <w:hideMark/>
                                </w:tcPr>
                                <w:p w14:paraId="19A687D0"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39.57</w:t>
                                  </w:r>
                                </w:p>
                              </w:tc>
                              <w:tc>
                                <w:tcPr>
                                  <w:tcW w:w="709" w:type="dxa"/>
                                  <w:tcBorders>
                                    <w:top w:val="single" w:sz="4" w:space="0" w:color="auto"/>
                                    <w:left w:val="nil"/>
                                    <w:bottom w:val="single" w:sz="4" w:space="0" w:color="auto"/>
                                    <w:right w:val="single" w:sz="4" w:space="0" w:color="auto"/>
                                  </w:tcBorders>
                                  <w:vAlign w:val="center"/>
                                  <w:hideMark/>
                                </w:tcPr>
                                <w:p w14:paraId="24B4EE03"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56.25</w:t>
                                  </w:r>
                                </w:p>
                              </w:tc>
                            </w:tr>
                            <w:tr w:rsidR="007B1B13" w14:paraId="452630F5" w14:textId="77777777" w:rsidTr="00F17DD1">
                              <w:trPr>
                                <w:gridAfter w:val="4"/>
                                <w:wAfter w:w="15633" w:type="dxa"/>
                                <w:trHeight w:val="397"/>
                              </w:trPr>
                              <w:tc>
                                <w:tcPr>
                                  <w:tcW w:w="300" w:type="dxa"/>
                                  <w:vMerge/>
                                  <w:tcBorders>
                                    <w:top w:val="nil"/>
                                    <w:left w:val="single" w:sz="4" w:space="0" w:color="auto"/>
                                    <w:bottom w:val="single" w:sz="4" w:space="0" w:color="auto"/>
                                    <w:right w:val="single" w:sz="4" w:space="0" w:color="auto"/>
                                  </w:tcBorders>
                                  <w:vAlign w:val="center"/>
                                  <w:hideMark/>
                                </w:tcPr>
                                <w:p w14:paraId="5CB39CEE" w14:textId="77777777" w:rsidR="007B1B13" w:rsidRDefault="007B1B13">
                                  <w:pPr>
                                    <w:widowControl/>
                                    <w:rPr>
                                      <w:rFonts w:ascii="標楷體" w:eastAsia="標楷體" w:hAnsi="標楷體" w:cs="新細明體"/>
                                      <w:color w:val="000000"/>
                                      <w:kern w:val="0"/>
                                      <w:sz w:val="20"/>
                                      <w:szCs w:val="20"/>
                                    </w:rPr>
                                  </w:pPr>
                                </w:p>
                              </w:tc>
                              <w:tc>
                                <w:tcPr>
                                  <w:tcW w:w="1701" w:type="dxa"/>
                                  <w:tcBorders>
                                    <w:top w:val="nil"/>
                                    <w:left w:val="nil"/>
                                    <w:bottom w:val="single" w:sz="4" w:space="0" w:color="auto"/>
                                    <w:right w:val="single" w:sz="4" w:space="0" w:color="auto"/>
                                  </w:tcBorders>
                                  <w:noWrap/>
                                  <w:vAlign w:val="center"/>
                                  <w:hideMark/>
                                </w:tcPr>
                                <w:p w14:paraId="7198388A"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（二）服務人員管理</w:t>
                                  </w:r>
                                </w:p>
                              </w:tc>
                              <w:tc>
                                <w:tcPr>
                                  <w:tcW w:w="709" w:type="dxa"/>
                                  <w:tcBorders>
                                    <w:top w:val="nil"/>
                                    <w:left w:val="nil"/>
                                    <w:bottom w:val="single" w:sz="4" w:space="0" w:color="auto"/>
                                    <w:right w:val="single" w:sz="4" w:space="0" w:color="auto"/>
                                  </w:tcBorders>
                                  <w:vAlign w:val="center"/>
                                  <w:hideMark/>
                                </w:tcPr>
                                <w:p w14:paraId="77BDFD6A"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48.62</w:t>
                                  </w:r>
                                </w:p>
                              </w:tc>
                              <w:tc>
                                <w:tcPr>
                                  <w:tcW w:w="708" w:type="dxa"/>
                                  <w:tcBorders>
                                    <w:top w:val="nil"/>
                                    <w:left w:val="nil"/>
                                    <w:bottom w:val="single" w:sz="4" w:space="0" w:color="auto"/>
                                    <w:right w:val="single" w:sz="4" w:space="0" w:color="auto"/>
                                  </w:tcBorders>
                                  <w:vAlign w:val="center"/>
                                  <w:hideMark/>
                                </w:tcPr>
                                <w:p w14:paraId="4EAFD24E"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59.95</w:t>
                                  </w:r>
                                </w:p>
                              </w:tc>
                              <w:tc>
                                <w:tcPr>
                                  <w:tcW w:w="709" w:type="dxa"/>
                                  <w:tcBorders>
                                    <w:top w:val="nil"/>
                                    <w:left w:val="nil"/>
                                    <w:bottom w:val="single" w:sz="4" w:space="0" w:color="auto"/>
                                    <w:right w:val="double" w:sz="4" w:space="0" w:color="auto"/>
                                  </w:tcBorders>
                                  <w:vAlign w:val="center"/>
                                  <w:hideMark/>
                                </w:tcPr>
                                <w:p w14:paraId="4A23CB7C"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56.65</w:t>
                                  </w:r>
                                </w:p>
                              </w:tc>
                              <w:tc>
                                <w:tcPr>
                                  <w:tcW w:w="709" w:type="dxa"/>
                                  <w:tcBorders>
                                    <w:top w:val="single" w:sz="4" w:space="0" w:color="auto"/>
                                    <w:left w:val="double" w:sz="4" w:space="0" w:color="auto"/>
                                    <w:bottom w:val="single" w:sz="4" w:space="0" w:color="auto"/>
                                    <w:right w:val="single" w:sz="4" w:space="0" w:color="auto"/>
                                  </w:tcBorders>
                                  <w:vAlign w:val="center"/>
                                  <w:hideMark/>
                                </w:tcPr>
                                <w:p w14:paraId="5A422305"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58.90</w:t>
                                  </w:r>
                                </w:p>
                              </w:tc>
                              <w:tc>
                                <w:tcPr>
                                  <w:tcW w:w="709" w:type="dxa"/>
                                  <w:tcBorders>
                                    <w:top w:val="single" w:sz="4" w:space="0" w:color="auto"/>
                                    <w:left w:val="nil"/>
                                    <w:bottom w:val="single" w:sz="4" w:space="0" w:color="auto"/>
                                    <w:right w:val="single" w:sz="4" w:space="0" w:color="auto"/>
                                  </w:tcBorders>
                                  <w:vAlign w:val="center"/>
                                  <w:hideMark/>
                                </w:tcPr>
                                <w:p w14:paraId="364661E4"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41.67</w:t>
                                  </w:r>
                                </w:p>
                              </w:tc>
                            </w:tr>
                            <w:tr w:rsidR="007B1B13" w14:paraId="030EEBCC" w14:textId="77777777" w:rsidTr="00F17DD1">
                              <w:trPr>
                                <w:gridAfter w:val="4"/>
                                <w:wAfter w:w="15633" w:type="dxa"/>
                                <w:trHeight w:val="397"/>
                              </w:trPr>
                              <w:tc>
                                <w:tcPr>
                                  <w:tcW w:w="300" w:type="dxa"/>
                                  <w:vMerge/>
                                  <w:tcBorders>
                                    <w:top w:val="nil"/>
                                    <w:left w:val="single" w:sz="4" w:space="0" w:color="auto"/>
                                    <w:bottom w:val="single" w:sz="4" w:space="0" w:color="auto"/>
                                    <w:right w:val="single" w:sz="4" w:space="0" w:color="auto"/>
                                  </w:tcBorders>
                                  <w:vAlign w:val="center"/>
                                  <w:hideMark/>
                                </w:tcPr>
                                <w:p w14:paraId="65310BA1" w14:textId="77777777" w:rsidR="007B1B13" w:rsidRDefault="007B1B13">
                                  <w:pPr>
                                    <w:widowControl/>
                                    <w:rPr>
                                      <w:rFonts w:ascii="標楷體" w:eastAsia="標楷體" w:hAnsi="標楷體" w:cs="新細明體"/>
                                      <w:color w:val="000000"/>
                                      <w:kern w:val="0"/>
                                      <w:sz w:val="20"/>
                                      <w:szCs w:val="20"/>
                                    </w:rPr>
                                  </w:pPr>
                                </w:p>
                              </w:tc>
                              <w:tc>
                                <w:tcPr>
                                  <w:tcW w:w="1701" w:type="dxa"/>
                                  <w:tcBorders>
                                    <w:top w:val="nil"/>
                                    <w:left w:val="nil"/>
                                    <w:bottom w:val="single" w:sz="4" w:space="0" w:color="auto"/>
                                    <w:right w:val="single" w:sz="4" w:space="0" w:color="auto"/>
                                  </w:tcBorders>
                                  <w:noWrap/>
                                  <w:vAlign w:val="center"/>
                                  <w:hideMark/>
                                </w:tcPr>
                                <w:p w14:paraId="25981D85"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（三）財務管理</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B13EB9"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75.14</w:t>
                                  </w:r>
                                </w:p>
                              </w:tc>
                              <w:tc>
                                <w:tcPr>
                                  <w:tcW w:w="708" w:type="dxa"/>
                                  <w:tcBorders>
                                    <w:top w:val="nil"/>
                                    <w:left w:val="nil"/>
                                    <w:bottom w:val="single" w:sz="4" w:space="0" w:color="auto"/>
                                    <w:right w:val="single" w:sz="4" w:space="0" w:color="auto"/>
                                  </w:tcBorders>
                                  <w:vAlign w:val="center"/>
                                  <w:hideMark/>
                                </w:tcPr>
                                <w:p w14:paraId="45C01D04"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59.14</w:t>
                                  </w:r>
                                </w:p>
                              </w:tc>
                              <w:tc>
                                <w:tcPr>
                                  <w:tcW w:w="709" w:type="dxa"/>
                                  <w:tcBorders>
                                    <w:top w:val="single" w:sz="4" w:space="0" w:color="auto"/>
                                    <w:left w:val="nil"/>
                                    <w:bottom w:val="single" w:sz="4" w:space="0" w:color="auto"/>
                                    <w:right w:val="double" w:sz="4" w:space="0" w:color="auto"/>
                                  </w:tcBorders>
                                  <w:shd w:val="clear" w:color="auto" w:fill="D9D9D9" w:themeFill="background1" w:themeFillShade="D9"/>
                                  <w:vAlign w:val="center"/>
                                  <w:hideMark/>
                                </w:tcPr>
                                <w:p w14:paraId="76260C2D"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79.71</w:t>
                                  </w:r>
                                </w:p>
                              </w:tc>
                              <w:tc>
                                <w:tcPr>
                                  <w:tcW w:w="709" w:type="dxa"/>
                                  <w:tcBorders>
                                    <w:top w:val="single" w:sz="4" w:space="0" w:color="auto"/>
                                    <w:left w:val="double" w:sz="4" w:space="0" w:color="auto"/>
                                    <w:bottom w:val="single" w:sz="4" w:space="0" w:color="auto"/>
                                    <w:right w:val="single" w:sz="4" w:space="0" w:color="auto"/>
                                  </w:tcBorders>
                                  <w:vAlign w:val="center"/>
                                  <w:hideMark/>
                                </w:tcPr>
                                <w:p w14:paraId="2CADFF81"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65.14</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A2FB3BC"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91</w:t>
                                  </w:r>
                                  <w:r>
                                    <w:rPr>
                                      <w:rFonts w:ascii="標楷體" w:eastAsia="標楷體" w:hAnsi="標楷體" w:cs="新細明體" w:hint="eastAsia"/>
                                      <w:color w:val="000000"/>
                                      <w:kern w:val="0"/>
                                      <w:sz w:val="20"/>
                                      <w:szCs w:val="20"/>
                                      <w:shd w:val="clear" w:color="auto" w:fill="D9D9D9" w:themeFill="background1" w:themeFillShade="D9"/>
                                    </w:rPr>
                                    <w:t>.</w:t>
                                  </w:r>
                                  <w:r>
                                    <w:rPr>
                                      <w:rFonts w:ascii="標楷體" w:eastAsia="標楷體" w:hAnsi="標楷體" w:cs="新細明體" w:hint="eastAsia"/>
                                      <w:color w:val="000000"/>
                                      <w:kern w:val="0"/>
                                      <w:sz w:val="20"/>
                                      <w:szCs w:val="20"/>
                                    </w:rPr>
                                    <w:t>71</w:t>
                                  </w:r>
                                </w:p>
                              </w:tc>
                            </w:tr>
                            <w:tr w:rsidR="007B1B13" w14:paraId="1D4F9AAA" w14:textId="77777777" w:rsidTr="00F17DD1">
                              <w:trPr>
                                <w:gridAfter w:val="4"/>
                                <w:wAfter w:w="15633" w:type="dxa"/>
                                <w:trHeight w:val="397"/>
                              </w:trPr>
                              <w:tc>
                                <w:tcPr>
                                  <w:tcW w:w="300" w:type="dxa"/>
                                  <w:vMerge/>
                                  <w:tcBorders>
                                    <w:top w:val="nil"/>
                                    <w:left w:val="single" w:sz="4" w:space="0" w:color="auto"/>
                                    <w:bottom w:val="single" w:sz="4" w:space="0" w:color="auto"/>
                                    <w:right w:val="single" w:sz="4" w:space="0" w:color="auto"/>
                                  </w:tcBorders>
                                  <w:vAlign w:val="center"/>
                                  <w:hideMark/>
                                </w:tcPr>
                                <w:p w14:paraId="6E78A2EF" w14:textId="77777777" w:rsidR="007B1B13" w:rsidRDefault="007B1B13">
                                  <w:pPr>
                                    <w:widowControl/>
                                    <w:rPr>
                                      <w:rFonts w:ascii="標楷體" w:eastAsia="標楷體" w:hAnsi="標楷體" w:cs="新細明體"/>
                                      <w:color w:val="000000"/>
                                      <w:kern w:val="0"/>
                                      <w:sz w:val="20"/>
                                      <w:szCs w:val="20"/>
                                    </w:rPr>
                                  </w:pPr>
                                </w:p>
                              </w:tc>
                              <w:tc>
                                <w:tcPr>
                                  <w:tcW w:w="1701" w:type="dxa"/>
                                  <w:tcBorders>
                                    <w:top w:val="nil"/>
                                    <w:left w:val="nil"/>
                                    <w:bottom w:val="single" w:sz="4" w:space="0" w:color="auto"/>
                                    <w:right w:val="single" w:sz="4" w:space="0" w:color="auto"/>
                                  </w:tcBorders>
                                  <w:noWrap/>
                                  <w:vAlign w:val="center"/>
                                  <w:hideMark/>
                                </w:tcPr>
                                <w:p w14:paraId="250FA303"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（四）緊急事件管理</w:t>
                                  </w:r>
                                </w:p>
                              </w:tc>
                              <w:tc>
                                <w:tcPr>
                                  <w:tcW w:w="709" w:type="dxa"/>
                                  <w:tcBorders>
                                    <w:top w:val="nil"/>
                                    <w:left w:val="nil"/>
                                    <w:bottom w:val="single" w:sz="4" w:space="0" w:color="auto"/>
                                    <w:right w:val="single" w:sz="4" w:space="0" w:color="auto"/>
                                  </w:tcBorders>
                                  <w:vAlign w:val="center"/>
                                  <w:hideMark/>
                                </w:tcPr>
                                <w:p w14:paraId="63ED8221"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62.57</w:t>
                                  </w:r>
                                </w:p>
                              </w:tc>
                              <w:tc>
                                <w:tcPr>
                                  <w:tcW w:w="708" w:type="dxa"/>
                                  <w:tcBorders>
                                    <w:top w:val="nil"/>
                                    <w:left w:val="nil"/>
                                    <w:bottom w:val="single" w:sz="4" w:space="0" w:color="auto"/>
                                    <w:right w:val="single" w:sz="4" w:space="0" w:color="auto"/>
                                  </w:tcBorders>
                                  <w:vAlign w:val="center"/>
                                  <w:hideMark/>
                                </w:tcPr>
                                <w:p w14:paraId="29A6163D"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45.43</w:t>
                                  </w:r>
                                </w:p>
                              </w:tc>
                              <w:tc>
                                <w:tcPr>
                                  <w:tcW w:w="709" w:type="dxa"/>
                                  <w:tcBorders>
                                    <w:top w:val="nil"/>
                                    <w:left w:val="nil"/>
                                    <w:bottom w:val="single" w:sz="4" w:space="0" w:color="auto"/>
                                    <w:right w:val="double" w:sz="4" w:space="0" w:color="auto"/>
                                  </w:tcBorders>
                                  <w:vAlign w:val="center"/>
                                  <w:hideMark/>
                                </w:tcPr>
                                <w:p w14:paraId="63AFEB5D"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54.71</w:t>
                                  </w:r>
                                </w:p>
                              </w:tc>
                              <w:tc>
                                <w:tcPr>
                                  <w:tcW w:w="709" w:type="dxa"/>
                                  <w:tcBorders>
                                    <w:top w:val="single" w:sz="4" w:space="0" w:color="auto"/>
                                    <w:left w:val="double" w:sz="4" w:space="0" w:color="auto"/>
                                    <w:bottom w:val="single" w:sz="4" w:space="0" w:color="auto"/>
                                    <w:right w:val="single" w:sz="4" w:space="0" w:color="auto"/>
                                  </w:tcBorders>
                                  <w:vAlign w:val="center"/>
                                  <w:hideMark/>
                                </w:tcPr>
                                <w:p w14:paraId="6EE53A61"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55.00</w:t>
                                  </w:r>
                                </w:p>
                              </w:tc>
                              <w:tc>
                                <w:tcPr>
                                  <w:tcW w:w="709" w:type="dxa"/>
                                  <w:tcBorders>
                                    <w:top w:val="nil"/>
                                    <w:left w:val="nil"/>
                                    <w:bottom w:val="single" w:sz="4" w:space="0" w:color="auto"/>
                                    <w:right w:val="single" w:sz="4" w:space="0" w:color="auto"/>
                                  </w:tcBorders>
                                  <w:vAlign w:val="center"/>
                                  <w:hideMark/>
                                </w:tcPr>
                                <w:p w14:paraId="6AFD9525"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66.71</w:t>
                                  </w:r>
                                </w:p>
                              </w:tc>
                            </w:tr>
                            <w:tr w:rsidR="007B1B13" w14:paraId="66D01394" w14:textId="77777777">
                              <w:trPr>
                                <w:gridAfter w:val="4"/>
                                <w:wAfter w:w="15633" w:type="dxa"/>
                                <w:trHeight w:val="907"/>
                              </w:trPr>
                              <w:tc>
                                <w:tcPr>
                                  <w:tcW w:w="5954" w:type="dxa"/>
                                  <w:gridSpan w:val="7"/>
                                  <w:tcBorders>
                                    <w:top w:val="single" w:sz="4" w:space="0" w:color="auto"/>
                                    <w:left w:val="nil"/>
                                    <w:bottom w:val="nil"/>
                                    <w:right w:val="nil"/>
                                  </w:tcBorders>
                                  <w:hideMark/>
                                </w:tcPr>
                                <w:p w14:paraId="11ED26BB" w14:textId="77777777" w:rsidR="007B1B13" w:rsidRDefault="007B1B13" w:rsidP="00815553">
                                  <w:pPr>
                                    <w:widowControl/>
                                    <w:spacing w:line="240" w:lineRule="exact"/>
                                    <w:ind w:left="540" w:hangingChars="300" w:hanging="540"/>
                                    <w:jc w:val="both"/>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：1.110年度因受</w:t>
                                  </w:r>
                                  <w:proofErr w:type="gramStart"/>
                                  <w:r>
                                    <w:rPr>
                                      <w:rFonts w:ascii="標楷體" w:eastAsia="標楷體" w:hAnsi="標楷體" w:cs="新細明體" w:hint="eastAsia"/>
                                      <w:color w:val="000000"/>
                                      <w:kern w:val="0"/>
                                      <w:sz w:val="18"/>
                                      <w:szCs w:val="18"/>
                                    </w:rPr>
                                    <w:t>新型冠</w:t>
                                  </w:r>
                                  <w:proofErr w:type="gramEnd"/>
                                  <w:r>
                                    <w:rPr>
                                      <w:rFonts w:ascii="標楷體" w:eastAsia="標楷體" w:hAnsi="標楷體" w:cs="新細明體" w:hint="eastAsia"/>
                                      <w:color w:val="000000"/>
                                      <w:kern w:val="0"/>
                                      <w:sz w:val="18"/>
                                      <w:szCs w:val="18"/>
                                    </w:rPr>
                                    <w:t>狀病毒肺炎（COVID－19）</w:t>
                                  </w:r>
                                  <w:proofErr w:type="gramStart"/>
                                  <w:r>
                                    <w:rPr>
                                      <w:rFonts w:ascii="標楷體" w:eastAsia="標楷體" w:hAnsi="標楷體" w:cs="新細明體" w:hint="eastAsia"/>
                                      <w:color w:val="000000"/>
                                      <w:kern w:val="0"/>
                                      <w:sz w:val="18"/>
                                      <w:szCs w:val="18"/>
                                    </w:rPr>
                                    <w:t>疫</w:t>
                                  </w:r>
                                  <w:proofErr w:type="gramEnd"/>
                                  <w:r>
                                    <w:rPr>
                                      <w:rFonts w:ascii="標楷體" w:eastAsia="標楷體" w:hAnsi="標楷體" w:cs="新細明體" w:hint="eastAsia"/>
                                      <w:color w:val="000000"/>
                                      <w:kern w:val="0"/>
                                      <w:sz w:val="18"/>
                                      <w:szCs w:val="18"/>
                                    </w:rPr>
                                    <w:t>情影響，</w:t>
                                  </w:r>
                                  <w:r>
                                    <w:rPr>
                                      <w:rFonts w:ascii="標楷體" w:eastAsia="標楷體" w:hAnsi="標楷體" w:cs="新細明體" w:hint="eastAsia"/>
                                      <w:color w:val="000000"/>
                                      <w:kern w:val="0"/>
                                      <w:sz w:val="20"/>
                                      <w:szCs w:val="20"/>
                                    </w:rPr>
                                    <w:t>居家服務</w:t>
                                  </w:r>
                                  <w:proofErr w:type="gramStart"/>
                                  <w:r>
                                    <w:rPr>
                                      <w:rFonts w:ascii="標楷體" w:eastAsia="標楷體" w:hAnsi="標楷體" w:cs="新細明體" w:hint="eastAsia"/>
                                      <w:color w:val="000000"/>
                                      <w:kern w:val="0"/>
                                      <w:sz w:val="20"/>
                                      <w:szCs w:val="20"/>
                                    </w:rPr>
                                    <w:t>併復能</w:t>
                                  </w:r>
                                  <w:proofErr w:type="gramEnd"/>
                                  <w:r>
                                    <w:rPr>
                                      <w:rFonts w:ascii="標楷體" w:eastAsia="標楷體" w:hAnsi="標楷體" w:cs="新細明體" w:hint="eastAsia"/>
                                      <w:color w:val="000000"/>
                                      <w:kern w:val="0"/>
                                      <w:sz w:val="20"/>
                                      <w:szCs w:val="20"/>
                                    </w:rPr>
                                    <w:t>機構</w:t>
                                  </w:r>
                                  <w:r>
                                    <w:rPr>
                                      <w:rFonts w:ascii="標楷體" w:eastAsia="標楷體" w:hAnsi="標楷體" w:cs="新細明體" w:hint="eastAsia"/>
                                      <w:color w:val="000000"/>
                                      <w:kern w:val="0"/>
                                      <w:sz w:val="18"/>
                                      <w:szCs w:val="18"/>
                                    </w:rPr>
                                    <w:t>未辦理評鑑作業。</w:t>
                                  </w:r>
                                </w:p>
                                <w:p w14:paraId="51F38589" w14:textId="77777777" w:rsidR="007B1B13" w:rsidRDefault="007B1B13" w:rsidP="00815553">
                                  <w:pPr>
                                    <w:widowControl/>
                                    <w:spacing w:line="240" w:lineRule="exact"/>
                                    <w:ind w:firstLineChars="200" w:firstLine="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2.評鑑總分達70分（含）以上為合格分數。</w:t>
                                  </w:r>
                                </w:p>
                                <w:p w14:paraId="0656BC0E" w14:textId="77777777" w:rsidR="007B1B13" w:rsidRDefault="007B1B13" w:rsidP="00815553">
                                  <w:pPr>
                                    <w:widowControl/>
                                    <w:spacing w:line="240" w:lineRule="exact"/>
                                    <w:ind w:firstLineChars="200" w:firstLine="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3.數值標示底色者為得分比率大於70％者。</w:t>
                                  </w:r>
                                </w:p>
                                <w:p w14:paraId="48790C0C" w14:textId="77777777" w:rsidR="007B1B13" w:rsidRDefault="007B1B13" w:rsidP="00815553">
                                  <w:pPr>
                                    <w:widowControl/>
                                    <w:spacing w:line="240" w:lineRule="exact"/>
                                    <w:ind w:firstLineChars="200" w:firstLine="36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18"/>
                                      <w:szCs w:val="18"/>
                                    </w:rPr>
                                    <w:t>4.資料來源：整理自社會局提供資料。</w:t>
                                  </w:r>
                                </w:p>
                              </w:tc>
                            </w:tr>
                            <w:tr w:rsidR="007B1B13" w14:paraId="5BE21483" w14:textId="77777777">
                              <w:trPr>
                                <w:trHeight w:val="429"/>
                              </w:trPr>
                              <w:tc>
                                <w:tcPr>
                                  <w:tcW w:w="17987" w:type="dxa"/>
                                  <w:gridSpan w:val="8"/>
                                  <w:vAlign w:val="center"/>
                                  <w:hideMark/>
                                </w:tcPr>
                                <w:p w14:paraId="578C1232" w14:textId="77777777" w:rsidR="007B1B13" w:rsidRDefault="007B1B13"/>
                              </w:tc>
                              <w:tc>
                                <w:tcPr>
                                  <w:tcW w:w="1200" w:type="dxa"/>
                                  <w:vAlign w:val="center"/>
                                  <w:hideMark/>
                                </w:tcPr>
                                <w:p w14:paraId="33A2E48D" w14:textId="77777777" w:rsidR="007B1B13" w:rsidRDefault="007B1B1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p>
                              </w:tc>
                              <w:tc>
                                <w:tcPr>
                                  <w:tcW w:w="1200" w:type="dxa"/>
                                  <w:vAlign w:val="center"/>
                                  <w:hideMark/>
                                </w:tcPr>
                                <w:p w14:paraId="0B26CDA4" w14:textId="77777777" w:rsidR="007B1B13" w:rsidRDefault="007B1B1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p>
                              </w:tc>
                              <w:tc>
                                <w:tcPr>
                                  <w:tcW w:w="1200" w:type="dxa"/>
                                  <w:vAlign w:val="center"/>
                                  <w:hideMark/>
                                </w:tcPr>
                                <w:p w14:paraId="6AABCCF0" w14:textId="77777777" w:rsidR="007B1B13" w:rsidRDefault="007B1B1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p>
                              </w:tc>
                            </w:tr>
                          </w:tbl>
                          <w:p w14:paraId="0B39D310" w14:textId="77777777" w:rsidR="007B1B13" w:rsidRDefault="007B1B13" w:rsidP="007B1B13">
                            <w:pPr>
                              <w:rPr>
                                <w:rFonts w:ascii="標楷體" w:eastAsia="標楷體" w:hAnsi="標楷體" w:cs="Times New Roman"/>
                                <w:szCs w:val="24"/>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CD7A6E" id="文字方塊 927419631" o:spid="_x0000_s1105" type="#_x0000_t202" style="position:absolute;left:0;text-align:left;margin-left:179.9pt;margin-top:74.2pt;width:315.6pt;height:300.75pt;z-index:-251558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" stroked="f">
                <v:textbox>
                  <w:txbxContent>
                    <w:tbl>
                      <w:tblPr>
                        <w:tblW w:w="21585" w:type="dxa"/>
                        <w:tblInd w:w="142" w:type="dxa"/>
                        <w:tblLayout w:type="fixed"/>
                        <w:tblCellMar>
                          <w:left w:w="28" w:type="dxa"/>
                          <w:right w:w="28" w:type="dxa"/>
                        </w:tblCellMar>
                        <w:tblLook w:val="04A0" w:firstRow="1" w:lastRow="0" w:firstColumn="1" w:lastColumn="0" w:noHBand="0" w:noVBand="1"/>
                      </w:tblPr>
                      <w:tblGrid>
                        <w:gridCol w:w="708"/>
                        <w:gridCol w:w="1701"/>
                        <w:gridCol w:w="709"/>
                        <w:gridCol w:w="708"/>
                        <w:gridCol w:w="709"/>
                        <w:gridCol w:w="709"/>
                        <w:gridCol w:w="709"/>
                        <w:gridCol w:w="12032"/>
                        <w:gridCol w:w="1200"/>
                        <w:gridCol w:w="1200"/>
                        <w:gridCol w:w="1200"/>
                      </w:tblGrid>
                      <w:tr w:rsidR="007B1B13" w14:paraId="1DDF11D0" w14:textId="77777777">
                        <w:trPr>
                          <w:gridAfter w:val="4"/>
                          <w:wAfter w:w="15633" w:type="dxa"/>
                          <w:trHeight w:val="193"/>
                        </w:trPr>
                        <w:tc>
                          <w:tcPr>
                            <w:tcW w:w="5954" w:type="dxa"/>
                            <w:gridSpan w:val="7"/>
                            <w:noWrap/>
                            <w:hideMark/>
                          </w:tcPr>
                          <w:p w14:paraId="7730955D" w14:textId="1CB583A1" w:rsidR="007B1B13" w:rsidRPr="007B1B13" w:rsidRDefault="007B1B13" w:rsidP="007B1B13">
                            <w:pPr>
                              <w:widowControl/>
                              <w:rPr>
                                <w:kern w:val="0"/>
                                <w:sz w:val="20"/>
                                <w:szCs w:val="20"/>
                              </w:rPr>
                            </w:pPr>
                            <w:r>
                              <w:rPr>
                                <w:rFonts w:ascii="標楷體" w:eastAsia="標楷體" w:hAnsi="標楷體" w:cs="新細明體" w:hint="eastAsia"/>
                                <w:b/>
                                <w:color w:val="000000"/>
                                <w:spacing w:val="-14"/>
                                <w:kern w:val="0"/>
                              </w:rPr>
                              <w:t>表7  評鑑不合格之居家服務長照機構各評鑑項目平均得分情形</w:t>
                            </w:r>
                          </w:p>
                        </w:tc>
                      </w:tr>
                      <w:tr w:rsidR="007B1B13" w14:paraId="5452F90E" w14:textId="77777777">
                        <w:trPr>
                          <w:gridAfter w:val="4"/>
                          <w:wAfter w:w="15633" w:type="dxa"/>
                          <w:trHeight w:val="193"/>
                        </w:trPr>
                        <w:tc>
                          <w:tcPr>
                            <w:tcW w:w="5954" w:type="dxa"/>
                            <w:gridSpan w:val="7"/>
                            <w:tcBorders>
                              <w:top w:val="nil"/>
                              <w:left w:val="nil"/>
                              <w:bottom w:val="single" w:sz="4" w:space="0" w:color="auto"/>
                              <w:right w:val="nil"/>
                            </w:tcBorders>
                            <w:noWrap/>
                            <w:vAlign w:val="bottom"/>
                            <w:hideMark/>
                          </w:tcPr>
                          <w:p w14:paraId="11BB2A50" w14:textId="77777777" w:rsidR="007B1B13" w:rsidRDefault="007B1B13">
                            <w:pPr>
                              <w:widowControl/>
                              <w:spacing w:beforeLines="30" w:before="108" w:line="24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p>
                        </w:tc>
                      </w:tr>
                      <w:tr w:rsidR="007B1B13" w14:paraId="56D0939F" w14:textId="77777777" w:rsidTr="00F17DD1">
                        <w:trPr>
                          <w:gridAfter w:val="4"/>
                          <w:wAfter w:w="15633" w:type="dxa"/>
                          <w:trHeight w:val="624"/>
                        </w:trPr>
                        <w:tc>
                          <w:tcPr>
                            <w:tcW w:w="2410" w:type="dxa"/>
                            <w:gridSpan w:val="2"/>
                            <w:vMerge w:val="restart"/>
                            <w:tcBorders>
                              <w:top w:val="single" w:sz="4" w:space="0" w:color="auto"/>
                              <w:left w:val="single" w:sz="4" w:space="0" w:color="auto"/>
                              <w:bottom w:val="single" w:sz="4" w:space="0" w:color="auto"/>
                              <w:right w:val="single" w:sz="4" w:space="0" w:color="auto"/>
                              <w:tl2br w:val="single" w:sz="4" w:space="0" w:color="auto"/>
                            </w:tcBorders>
                            <w:noWrap/>
                            <w:hideMark/>
                          </w:tcPr>
                          <w:p w14:paraId="0E297E8F" w14:textId="77777777" w:rsidR="007B1B13" w:rsidRDefault="007B1B13">
                            <w:pPr>
                              <w:widowControl/>
                              <w:ind w:firstLineChars="700" w:firstLine="1400"/>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機構類型</w:t>
                            </w:r>
                          </w:p>
                          <w:p w14:paraId="47725697" w14:textId="77777777" w:rsidR="00AE00FE" w:rsidRDefault="00AE00FE">
                            <w:pPr>
                              <w:widowControl/>
                              <w:spacing w:line="240" w:lineRule="exact"/>
                              <w:rPr>
                                <w:rFonts w:ascii="標楷體" w:eastAsia="標楷體" w:hAnsi="標楷體" w:cs="新細明體"/>
                                <w:color w:val="000000"/>
                                <w:kern w:val="0"/>
                                <w:sz w:val="20"/>
                                <w:szCs w:val="20"/>
                              </w:rPr>
                            </w:pPr>
                          </w:p>
                          <w:p w14:paraId="68E8D9B6" w14:textId="4BF314D0" w:rsidR="007B1B13" w:rsidRDefault="007B1B13">
                            <w:pPr>
                              <w:widowControl/>
                              <w:spacing w:line="24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評鑑項目</w:t>
                            </w:r>
                          </w:p>
                        </w:tc>
                        <w:tc>
                          <w:tcPr>
                            <w:tcW w:w="2126" w:type="dxa"/>
                            <w:gridSpan w:val="3"/>
                            <w:tcBorders>
                              <w:top w:val="single" w:sz="4" w:space="0" w:color="auto"/>
                              <w:left w:val="nil"/>
                              <w:bottom w:val="single" w:sz="4" w:space="0" w:color="auto"/>
                              <w:right w:val="double" w:sz="4" w:space="0" w:color="auto"/>
                            </w:tcBorders>
                            <w:noWrap/>
                            <w:vAlign w:val="center"/>
                            <w:hideMark/>
                          </w:tcPr>
                          <w:p w14:paraId="47F509F0" w14:textId="77777777" w:rsidR="007B1B13" w:rsidRDefault="007B1B13">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居家服務機構</w:t>
                            </w:r>
                            <w:r>
                              <w:rPr>
                                <w:rFonts w:ascii="標楷體" w:eastAsia="標楷體" w:hAnsi="標楷體" w:cs="新細明體" w:hint="eastAsia"/>
                                <w:color w:val="000000"/>
                                <w:spacing w:val="-20"/>
                                <w:kern w:val="0"/>
                                <w:sz w:val="20"/>
                                <w:szCs w:val="20"/>
                              </w:rPr>
                              <w:t>得分比率</w:t>
                            </w:r>
                          </w:p>
                        </w:tc>
                        <w:tc>
                          <w:tcPr>
                            <w:tcW w:w="1418" w:type="dxa"/>
                            <w:gridSpan w:val="2"/>
                            <w:tcBorders>
                              <w:top w:val="single" w:sz="4" w:space="0" w:color="auto"/>
                              <w:left w:val="double" w:sz="4" w:space="0" w:color="auto"/>
                              <w:bottom w:val="single" w:sz="4" w:space="0" w:color="auto"/>
                              <w:right w:val="single" w:sz="4" w:space="0" w:color="auto"/>
                            </w:tcBorders>
                            <w:noWrap/>
                            <w:vAlign w:val="center"/>
                            <w:hideMark/>
                          </w:tcPr>
                          <w:p w14:paraId="1E8B0878" w14:textId="77777777" w:rsidR="007B1B13" w:rsidRDefault="007B1B13">
                            <w:pPr>
                              <w:widowControl/>
                              <w:spacing w:line="26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居家服務</w:t>
                            </w:r>
                            <w:proofErr w:type="gramStart"/>
                            <w:r>
                              <w:rPr>
                                <w:rFonts w:ascii="標楷體" w:eastAsia="標楷體" w:hAnsi="標楷體" w:cs="新細明體" w:hint="eastAsia"/>
                                <w:color w:val="000000"/>
                                <w:kern w:val="0"/>
                                <w:sz w:val="20"/>
                                <w:szCs w:val="20"/>
                              </w:rPr>
                              <w:t>併復能</w:t>
                            </w:r>
                            <w:proofErr w:type="gramEnd"/>
                            <w:r>
                              <w:rPr>
                                <w:rFonts w:ascii="標楷體" w:eastAsia="標楷體" w:hAnsi="標楷體" w:cs="新細明體" w:hint="eastAsia"/>
                                <w:color w:val="000000"/>
                                <w:kern w:val="0"/>
                                <w:sz w:val="20"/>
                                <w:szCs w:val="20"/>
                              </w:rPr>
                              <w:t>機構</w:t>
                            </w:r>
                            <w:r>
                              <w:rPr>
                                <w:rFonts w:ascii="標楷體" w:eastAsia="標楷體" w:hAnsi="標楷體" w:cs="新細明體" w:hint="eastAsia"/>
                                <w:color w:val="000000"/>
                                <w:spacing w:val="-20"/>
                                <w:kern w:val="0"/>
                                <w:sz w:val="20"/>
                                <w:szCs w:val="20"/>
                              </w:rPr>
                              <w:t>得分比率</w:t>
                            </w:r>
                          </w:p>
                        </w:tc>
                      </w:tr>
                      <w:tr w:rsidR="007B1B13" w14:paraId="45DA0D6B" w14:textId="77777777" w:rsidTr="00F17DD1">
                        <w:trPr>
                          <w:gridAfter w:val="4"/>
                          <w:wAfter w:w="15633" w:type="dxa"/>
                          <w:trHeight w:val="397"/>
                        </w:trPr>
                        <w:tc>
                          <w:tcPr>
                            <w:tcW w:w="600" w:type="dxa"/>
                            <w:gridSpan w:val="2"/>
                            <w:vMerge/>
                            <w:tcBorders>
                              <w:top w:val="single" w:sz="4" w:space="0" w:color="auto"/>
                              <w:left w:val="single" w:sz="4" w:space="0" w:color="auto"/>
                              <w:bottom w:val="single" w:sz="4" w:space="0" w:color="auto"/>
                              <w:right w:val="single" w:sz="4" w:space="0" w:color="auto"/>
                            </w:tcBorders>
                            <w:vAlign w:val="center"/>
                            <w:hideMark/>
                          </w:tcPr>
                          <w:p w14:paraId="1ABC252A" w14:textId="77777777" w:rsidR="007B1B13" w:rsidRDefault="007B1B13">
                            <w:pPr>
                              <w:widowControl/>
                              <w:rPr>
                                <w:rFonts w:ascii="標楷體" w:eastAsia="標楷體" w:hAnsi="標楷體" w:cs="新細明體"/>
                                <w:color w:val="000000"/>
                                <w:kern w:val="0"/>
                                <w:sz w:val="20"/>
                                <w:szCs w:val="20"/>
                              </w:rPr>
                            </w:pPr>
                          </w:p>
                        </w:tc>
                        <w:tc>
                          <w:tcPr>
                            <w:tcW w:w="709" w:type="dxa"/>
                            <w:tcBorders>
                              <w:top w:val="single" w:sz="4" w:space="0" w:color="auto"/>
                              <w:left w:val="nil"/>
                              <w:bottom w:val="single" w:sz="4" w:space="0" w:color="auto"/>
                              <w:right w:val="single" w:sz="4" w:space="0" w:color="auto"/>
                            </w:tcBorders>
                            <w:vAlign w:val="center"/>
                            <w:hideMark/>
                          </w:tcPr>
                          <w:p w14:paraId="3EEA6D09" w14:textId="77777777" w:rsidR="007B1B13" w:rsidRDefault="007B1B13">
                            <w:pPr>
                              <w:widowControl/>
                              <w:spacing w:line="240" w:lineRule="exact"/>
                              <w:jc w:val="center"/>
                              <w:rPr>
                                <w:rFonts w:ascii="標楷體" w:eastAsia="標楷體" w:hAnsi="標楷體" w:cs="新細明體"/>
                                <w:color w:val="000000"/>
                                <w:spacing w:val="-16"/>
                                <w:kern w:val="0"/>
                                <w:sz w:val="20"/>
                                <w:szCs w:val="20"/>
                              </w:rPr>
                            </w:pPr>
                            <w:proofErr w:type="gramStart"/>
                            <w:r>
                              <w:rPr>
                                <w:rFonts w:ascii="標楷體" w:eastAsia="標楷體" w:hAnsi="標楷體" w:cs="新細明體" w:hint="eastAsia"/>
                                <w:color w:val="000000"/>
                                <w:spacing w:val="-16"/>
                                <w:kern w:val="0"/>
                                <w:sz w:val="20"/>
                                <w:szCs w:val="20"/>
                              </w:rPr>
                              <w:t>109</w:t>
                            </w:r>
                            <w:proofErr w:type="gramEnd"/>
                            <w:r>
                              <w:rPr>
                                <w:rFonts w:ascii="標楷體" w:eastAsia="標楷體" w:hAnsi="標楷體" w:cs="新細明體" w:hint="eastAsia"/>
                                <w:color w:val="000000"/>
                                <w:spacing w:val="-16"/>
                                <w:kern w:val="0"/>
                                <w:sz w:val="20"/>
                                <w:szCs w:val="20"/>
                              </w:rPr>
                              <w:t>年度</w:t>
                            </w:r>
                          </w:p>
                        </w:tc>
                        <w:tc>
                          <w:tcPr>
                            <w:tcW w:w="708" w:type="dxa"/>
                            <w:tcBorders>
                              <w:top w:val="single" w:sz="4" w:space="0" w:color="auto"/>
                              <w:left w:val="nil"/>
                              <w:bottom w:val="single" w:sz="4" w:space="0" w:color="auto"/>
                              <w:right w:val="single" w:sz="4" w:space="0" w:color="auto"/>
                            </w:tcBorders>
                            <w:vAlign w:val="center"/>
                            <w:hideMark/>
                          </w:tcPr>
                          <w:p w14:paraId="4265D5A0" w14:textId="77777777" w:rsidR="007B1B13" w:rsidRDefault="007B1B13">
                            <w:pPr>
                              <w:widowControl/>
                              <w:spacing w:line="240" w:lineRule="exact"/>
                              <w:jc w:val="center"/>
                              <w:rPr>
                                <w:rFonts w:ascii="標楷體" w:eastAsia="標楷體" w:hAnsi="標楷體" w:cs="新細明體"/>
                                <w:color w:val="000000"/>
                                <w:spacing w:val="-20"/>
                                <w:kern w:val="0"/>
                                <w:sz w:val="20"/>
                                <w:szCs w:val="20"/>
                              </w:rPr>
                            </w:pPr>
                            <w:proofErr w:type="gramStart"/>
                            <w:r>
                              <w:rPr>
                                <w:rFonts w:ascii="標楷體" w:eastAsia="標楷體" w:hAnsi="標楷體" w:cs="新細明體" w:hint="eastAsia"/>
                                <w:color w:val="000000"/>
                                <w:spacing w:val="-20"/>
                                <w:kern w:val="0"/>
                                <w:sz w:val="20"/>
                                <w:szCs w:val="20"/>
                              </w:rPr>
                              <w:t>111</w:t>
                            </w:r>
                            <w:proofErr w:type="gramEnd"/>
                            <w:r>
                              <w:rPr>
                                <w:rFonts w:ascii="標楷體" w:eastAsia="標楷體" w:hAnsi="標楷體" w:cs="新細明體" w:hint="eastAsia"/>
                                <w:color w:val="000000"/>
                                <w:spacing w:val="-20"/>
                                <w:kern w:val="0"/>
                                <w:sz w:val="20"/>
                                <w:szCs w:val="20"/>
                              </w:rPr>
                              <w:t>年度</w:t>
                            </w:r>
                          </w:p>
                        </w:tc>
                        <w:tc>
                          <w:tcPr>
                            <w:tcW w:w="709" w:type="dxa"/>
                            <w:tcBorders>
                              <w:top w:val="single" w:sz="4" w:space="0" w:color="auto"/>
                              <w:left w:val="nil"/>
                              <w:bottom w:val="single" w:sz="4" w:space="0" w:color="auto"/>
                              <w:right w:val="double" w:sz="4" w:space="0" w:color="auto"/>
                            </w:tcBorders>
                            <w:vAlign w:val="center"/>
                            <w:hideMark/>
                          </w:tcPr>
                          <w:p w14:paraId="57C12F6B" w14:textId="77777777" w:rsidR="007B1B13" w:rsidRDefault="007B1B13">
                            <w:pPr>
                              <w:widowControl/>
                              <w:spacing w:line="240" w:lineRule="exact"/>
                              <w:jc w:val="center"/>
                              <w:rPr>
                                <w:rFonts w:ascii="標楷體" w:eastAsia="標楷體" w:hAnsi="標楷體" w:cs="新細明體"/>
                                <w:color w:val="000000"/>
                                <w:spacing w:val="-20"/>
                                <w:kern w:val="0"/>
                                <w:sz w:val="20"/>
                                <w:szCs w:val="20"/>
                              </w:rPr>
                            </w:pPr>
                            <w:proofErr w:type="gramStart"/>
                            <w:r>
                              <w:rPr>
                                <w:rFonts w:ascii="標楷體" w:eastAsia="標楷體" w:hAnsi="標楷體" w:cs="新細明體" w:hint="eastAsia"/>
                                <w:color w:val="000000"/>
                                <w:spacing w:val="-20"/>
                                <w:kern w:val="0"/>
                                <w:sz w:val="20"/>
                                <w:szCs w:val="20"/>
                              </w:rPr>
                              <w:t>112</w:t>
                            </w:r>
                            <w:proofErr w:type="gramEnd"/>
                            <w:r>
                              <w:rPr>
                                <w:rFonts w:ascii="標楷體" w:eastAsia="標楷體" w:hAnsi="標楷體" w:cs="新細明體" w:hint="eastAsia"/>
                                <w:color w:val="000000"/>
                                <w:spacing w:val="-20"/>
                                <w:kern w:val="0"/>
                                <w:sz w:val="20"/>
                                <w:szCs w:val="20"/>
                              </w:rPr>
                              <w:t>年度</w:t>
                            </w:r>
                          </w:p>
                        </w:tc>
                        <w:tc>
                          <w:tcPr>
                            <w:tcW w:w="709" w:type="dxa"/>
                            <w:tcBorders>
                              <w:top w:val="single" w:sz="4" w:space="0" w:color="auto"/>
                              <w:left w:val="double" w:sz="4" w:space="0" w:color="auto"/>
                              <w:bottom w:val="single" w:sz="4" w:space="0" w:color="auto"/>
                              <w:right w:val="single" w:sz="4" w:space="0" w:color="auto"/>
                            </w:tcBorders>
                            <w:vAlign w:val="center"/>
                            <w:hideMark/>
                          </w:tcPr>
                          <w:p w14:paraId="294502F9" w14:textId="77777777" w:rsidR="007B1B13" w:rsidRDefault="007B1B13">
                            <w:pPr>
                              <w:widowControl/>
                              <w:spacing w:line="240" w:lineRule="exact"/>
                              <w:jc w:val="center"/>
                              <w:rPr>
                                <w:rFonts w:ascii="標楷體" w:eastAsia="標楷體" w:hAnsi="標楷體" w:cs="新細明體"/>
                                <w:color w:val="000000"/>
                                <w:spacing w:val="-20"/>
                                <w:kern w:val="0"/>
                                <w:sz w:val="20"/>
                                <w:szCs w:val="20"/>
                              </w:rPr>
                            </w:pPr>
                            <w:proofErr w:type="gramStart"/>
                            <w:r>
                              <w:rPr>
                                <w:rFonts w:ascii="標楷體" w:eastAsia="標楷體" w:hAnsi="標楷體" w:cs="新細明體" w:hint="eastAsia"/>
                                <w:color w:val="000000"/>
                                <w:spacing w:val="-20"/>
                                <w:kern w:val="0"/>
                                <w:sz w:val="20"/>
                                <w:szCs w:val="20"/>
                              </w:rPr>
                              <w:t>111</w:t>
                            </w:r>
                            <w:proofErr w:type="gramEnd"/>
                            <w:r>
                              <w:rPr>
                                <w:rFonts w:ascii="標楷體" w:eastAsia="標楷體" w:hAnsi="標楷體" w:cs="新細明體" w:hint="eastAsia"/>
                                <w:color w:val="000000"/>
                                <w:spacing w:val="-20"/>
                                <w:kern w:val="0"/>
                                <w:sz w:val="20"/>
                                <w:szCs w:val="20"/>
                              </w:rPr>
                              <w:t>年度</w:t>
                            </w:r>
                          </w:p>
                        </w:tc>
                        <w:tc>
                          <w:tcPr>
                            <w:tcW w:w="709" w:type="dxa"/>
                            <w:tcBorders>
                              <w:top w:val="nil"/>
                              <w:left w:val="nil"/>
                              <w:bottom w:val="nil"/>
                              <w:right w:val="single" w:sz="4" w:space="0" w:color="auto"/>
                            </w:tcBorders>
                            <w:vAlign w:val="center"/>
                            <w:hideMark/>
                          </w:tcPr>
                          <w:p w14:paraId="578FE1E6" w14:textId="77777777" w:rsidR="007B1B13" w:rsidRDefault="007B1B13">
                            <w:pPr>
                              <w:widowControl/>
                              <w:spacing w:line="240" w:lineRule="exact"/>
                              <w:jc w:val="center"/>
                              <w:rPr>
                                <w:rFonts w:ascii="標楷體" w:eastAsia="標楷體" w:hAnsi="標楷體" w:cs="新細明體"/>
                                <w:color w:val="000000"/>
                                <w:spacing w:val="-20"/>
                                <w:kern w:val="0"/>
                                <w:sz w:val="20"/>
                                <w:szCs w:val="20"/>
                              </w:rPr>
                            </w:pPr>
                            <w:proofErr w:type="gramStart"/>
                            <w:r>
                              <w:rPr>
                                <w:rFonts w:ascii="標楷體" w:eastAsia="標楷體" w:hAnsi="標楷體" w:cs="新細明體" w:hint="eastAsia"/>
                                <w:color w:val="000000"/>
                                <w:spacing w:val="-20"/>
                                <w:kern w:val="0"/>
                                <w:sz w:val="20"/>
                                <w:szCs w:val="20"/>
                              </w:rPr>
                              <w:t>112</w:t>
                            </w:r>
                            <w:proofErr w:type="gramEnd"/>
                            <w:r>
                              <w:rPr>
                                <w:rFonts w:ascii="標楷體" w:eastAsia="標楷體" w:hAnsi="標楷體" w:cs="新細明體" w:hint="eastAsia"/>
                                <w:color w:val="000000"/>
                                <w:spacing w:val="-20"/>
                                <w:kern w:val="0"/>
                                <w:sz w:val="20"/>
                                <w:szCs w:val="20"/>
                              </w:rPr>
                              <w:t>年度</w:t>
                            </w:r>
                          </w:p>
                        </w:tc>
                      </w:tr>
                      <w:tr w:rsidR="007B1B13" w14:paraId="4B85929F" w14:textId="77777777" w:rsidTr="00F17DD1">
                        <w:trPr>
                          <w:gridAfter w:val="4"/>
                          <w:wAfter w:w="15633" w:type="dxa"/>
                          <w:trHeight w:val="397"/>
                        </w:trPr>
                        <w:tc>
                          <w:tcPr>
                            <w:tcW w:w="2410" w:type="dxa"/>
                            <w:gridSpan w:val="2"/>
                            <w:tcBorders>
                              <w:top w:val="single" w:sz="4" w:space="0" w:color="auto"/>
                              <w:left w:val="single" w:sz="4" w:space="0" w:color="auto"/>
                              <w:bottom w:val="single" w:sz="4" w:space="0" w:color="auto"/>
                              <w:right w:val="single" w:sz="4" w:space="0" w:color="auto"/>
                            </w:tcBorders>
                            <w:noWrap/>
                            <w:vAlign w:val="center"/>
                            <w:hideMark/>
                          </w:tcPr>
                          <w:p w14:paraId="5941AC0B" w14:textId="77777777" w:rsidR="007B1B13" w:rsidRDefault="007B1B13">
                            <w:pPr>
                              <w:widowControl/>
                              <w:spacing w:line="180" w:lineRule="exac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個案權益保障</w:t>
                            </w:r>
                          </w:p>
                        </w:tc>
                        <w:tc>
                          <w:tcPr>
                            <w:tcW w:w="709" w:type="dxa"/>
                            <w:tcBorders>
                              <w:top w:val="single" w:sz="4" w:space="0" w:color="auto"/>
                              <w:left w:val="nil"/>
                              <w:bottom w:val="single" w:sz="4" w:space="0" w:color="auto"/>
                              <w:right w:val="single" w:sz="4" w:space="0" w:color="auto"/>
                            </w:tcBorders>
                            <w:vAlign w:val="center"/>
                            <w:hideMark/>
                          </w:tcPr>
                          <w:p w14:paraId="47720A99"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59.36</w:t>
                            </w:r>
                          </w:p>
                        </w:tc>
                        <w:tc>
                          <w:tcPr>
                            <w:tcW w:w="708" w:type="dxa"/>
                            <w:tcBorders>
                              <w:top w:val="single" w:sz="4" w:space="0" w:color="auto"/>
                              <w:left w:val="nil"/>
                              <w:bottom w:val="single" w:sz="4" w:space="0" w:color="auto"/>
                              <w:right w:val="single" w:sz="4" w:space="0" w:color="auto"/>
                            </w:tcBorders>
                            <w:vAlign w:val="center"/>
                            <w:hideMark/>
                          </w:tcPr>
                          <w:p w14:paraId="7D0D58EF"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68.79</w:t>
                            </w:r>
                          </w:p>
                        </w:tc>
                        <w:tc>
                          <w:tcPr>
                            <w:tcW w:w="709" w:type="dxa"/>
                            <w:tcBorders>
                              <w:top w:val="single" w:sz="4" w:space="0" w:color="auto"/>
                              <w:left w:val="nil"/>
                              <w:bottom w:val="single" w:sz="4" w:space="0" w:color="auto"/>
                              <w:right w:val="double" w:sz="4" w:space="0" w:color="auto"/>
                            </w:tcBorders>
                            <w:shd w:val="clear" w:color="auto" w:fill="D9D9D9" w:themeFill="background1" w:themeFillShade="D9"/>
                            <w:vAlign w:val="center"/>
                            <w:hideMark/>
                          </w:tcPr>
                          <w:p w14:paraId="0419C25D"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70.21</w:t>
                            </w:r>
                          </w:p>
                        </w:tc>
                        <w:tc>
                          <w:tcPr>
                            <w:tcW w:w="709" w:type="dxa"/>
                            <w:tcBorders>
                              <w:top w:val="single" w:sz="4" w:space="0" w:color="auto"/>
                              <w:left w:val="double" w:sz="4" w:space="0" w:color="auto"/>
                              <w:bottom w:val="single" w:sz="4" w:space="0" w:color="auto"/>
                              <w:right w:val="single" w:sz="4" w:space="0" w:color="auto"/>
                            </w:tcBorders>
                            <w:vAlign w:val="center"/>
                            <w:hideMark/>
                          </w:tcPr>
                          <w:p w14:paraId="6B420EDF"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56.29</w:t>
                            </w:r>
                          </w:p>
                        </w:tc>
                        <w:tc>
                          <w:tcPr>
                            <w:tcW w:w="709" w:type="dxa"/>
                            <w:tcBorders>
                              <w:top w:val="single" w:sz="4" w:space="0" w:color="auto"/>
                              <w:left w:val="nil"/>
                              <w:bottom w:val="single" w:sz="4" w:space="0" w:color="auto"/>
                              <w:right w:val="single" w:sz="4" w:space="0" w:color="auto"/>
                            </w:tcBorders>
                            <w:vAlign w:val="center"/>
                            <w:hideMark/>
                          </w:tcPr>
                          <w:p w14:paraId="60417DD7"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54.14</w:t>
                            </w:r>
                          </w:p>
                        </w:tc>
                      </w:tr>
                      <w:tr w:rsidR="007B1B13" w14:paraId="2B86EEBC" w14:textId="77777777" w:rsidTr="00F17DD1">
                        <w:trPr>
                          <w:gridAfter w:val="4"/>
                          <w:wAfter w:w="15633" w:type="dxa"/>
                          <w:trHeight w:val="397"/>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5E56BEB8" w14:textId="77777777" w:rsidR="007B1B13" w:rsidRDefault="007B1B1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專業照護品質</w:t>
                            </w:r>
                          </w:p>
                        </w:tc>
                        <w:tc>
                          <w:tcPr>
                            <w:tcW w:w="1701" w:type="dxa"/>
                            <w:tcBorders>
                              <w:top w:val="single" w:sz="4" w:space="0" w:color="auto"/>
                              <w:left w:val="nil"/>
                              <w:bottom w:val="single" w:sz="4" w:space="0" w:color="auto"/>
                              <w:right w:val="single" w:sz="4" w:space="0" w:color="auto"/>
                            </w:tcBorders>
                            <w:noWrap/>
                            <w:vAlign w:val="center"/>
                            <w:hideMark/>
                          </w:tcPr>
                          <w:p w14:paraId="40DF7455"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（一）評估與處遇</w:t>
                            </w:r>
                          </w:p>
                        </w:tc>
                        <w:tc>
                          <w:tcPr>
                            <w:tcW w:w="709" w:type="dxa"/>
                            <w:tcBorders>
                              <w:top w:val="single" w:sz="4" w:space="0" w:color="auto"/>
                              <w:left w:val="nil"/>
                              <w:bottom w:val="single" w:sz="4" w:space="0" w:color="auto"/>
                              <w:right w:val="single" w:sz="4" w:space="0" w:color="auto"/>
                            </w:tcBorders>
                            <w:vAlign w:val="center"/>
                            <w:hideMark/>
                          </w:tcPr>
                          <w:p w14:paraId="577EB266"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40.89</w:t>
                            </w:r>
                          </w:p>
                        </w:tc>
                        <w:tc>
                          <w:tcPr>
                            <w:tcW w:w="708" w:type="dxa"/>
                            <w:tcBorders>
                              <w:top w:val="single" w:sz="4" w:space="0" w:color="auto"/>
                              <w:left w:val="nil"/>
                              <w:bottom w:val="single" w:sz="4" w:space="0" w:color="auto"/>
                              <w:right w:val="single" w:sz="4" w:space="0" w:color="auto"/>
                            </w:tcBorders>
                            <w:vAlign w:val="center"/>
                            <w:hideMark/>
                          </w:tcPr>
                          <w:p w14:paraId="328EE4DF"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57.00</w:t>
                            </w:r>
                          </w:p>
                        </w:tc>
                        <w:tc>
                          <w:tcPr>
                            <w:tcW w:w="709" w:type="dxa"/>
                            <w:tcBorders>
                              <w:top w:val="nil"/>
                              <w:left w:val="nil"/>
                              <w:bottom w:val="single" w:sz="4" w:space="0" w:color="auto"/>
                              <w:right w:val="double" w:sz="4" w:space="0" w:color="auto"/>
                            </w:tcBorders>
                            <w:vAlign w:val="center"/>
                            <w:hideMark/>
                          </w:tcPr>
                          <w:p w14:paraId="2EEF157B"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47.75</w:t>
                            </w:r>
                          </w:p>
                        </w:tc>
                        <w:tc>
                          <w:tcPr>
                            <w:tcW w:w="709" w:type="dxa"/>
                            <w:tcBorders>
                              <w:top w:val="single" w:sz="4" w:space="0" w:color="auto"/>
                              <w:left w:val="double" w:sz="4" w:space="0" w:color="auto"/>
                              <w:bottom w:val="single" w:sz="4" w:space="0" w:color="auto"/>
                              <w:right w:val="single" w:sz="4" w:space="0" w:color="auto"/>
                            </w:tcBorders>
                            <w:vAlign w:val="center"/>
                            <w:hideMark/>
                          </w:tcPr>
                          <w:p w14:paraId="2517DAB0"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47.40</w:t>
                            </w:r>
                          </w:p>
                        </w:tc>
                        <w:tc>
                          <w:tcPr>
                            <w:tcW w:w="709" w:type="dxa"/>
                            <w:tcBorders>
                              <w:top w:val="single" w:sz="4" w:space="0" w:color="auto"/>
                              <w:left w:val="nil"/>
                              <w:bottom w:val="single" w:sz="4" w:space="0" w:color="auto"/>
                              <w:right w:val="single" w:sz="4" w:space="0" w:color="auto"/>
                            </w:tcBorders>
                            <w:vAlign w:val="center"/>
                            <w:hideMark/>
                          </w:tcPr>
                          <w:p w14:paraId="1F2D64F6"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44.13</w:t>
                            </w:r>
                          </w:p>
                        </w:tc>
                      </w:tr>
                      <w:tr w:rsidR="007B1B13" w14:paraId="34FC8802" w14:textId="77777777" w:rsidTr="00F17DD1">
                        <w:trPr>
                          <w:gridAfter w:val="4"/>
                          <w:wAfter w:w="15633" w:type="dxa"/>
                          <w:trHeight w:val="397"/>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72817311" w14:textId="77777777" w:rsidR="007B1B13" w:rsidRDefault="007B1B13">
                            <w:pPr>
                              <w:widowControl/>
                              <w:rPr>
                                <w:rFonts w:ascii="標楷體" w:eastAsia="標楷體" w:hAnsi="標楷體" w:cs="新細明體"/>
                                <w:color w:val="000000"/>
                                <w:kern w:val="0"/>
                                <w:sz w:val="20"/>
                                <w:szCs w:val="20"/>
                              </w:rPr>
                            </w:pPr>
                          </w:p>
                        </w:tc>
                        <w:tc>
                          <w:tcPr>
                            <w:tcW w:w="1701" w:type="dxa"/>
                            <w:tcBorders>
                              <w:top w:val="nil"/>
                              <w:left w:val="nil"/>
                              <w:bottom w:val="single" w:sz="4" w:space="0" w:color="auto"/>
                              <w:right w:val="single" w:sz="4" w:space="0" w:color="auto"/>
                            </w:tcBorders>
                            <w:noWrap/>
                            <w:vAlign w:val="center"/>
                            <w:hideMark/>
                          </w:tcPr>
                          <w:p w14:paraId="6B284C08"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（二）健康生活照顧</w:t>
                            </w:r>
                          </w:p>
                        </w:tc>
                        <w:tc>
                          <w:tcPr>
                            <w:tcW w:w="709" w:type="dxa"/>
                            <w:tcBorders>
                              <w:top w:val="nil"/>
                              <w:left w:val="nil"/>
                              <w:bottom w:val="single" w:sz="4" w:space="0" w:color="auto"/>
                              <w:right w:val="single" w:sz="4" w:space="0" w:color="auto"/>
                            </w:tcBorders>
                            <w:vAlign w:val="center"/>
                            <w:hideMark/>
                          </w:tcPr>
                          <w:p w14:paraId="03F9CEAA"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51.00</w:t>
                            </w:r>
                          </w:p>
                        </w:tc>
                        <w:tc>
                          <w:tcPr>
                            <w:tcW w:w="708" w:type="dxa"/>
                            <w:tcBorders>
                              <w:top w:val="nil"/>
                              <w:left w:val="nil"/>
                              <w:bottom w:val="single" w:sz="4" w:space="0" w:color="auto"/>
                              <w:right w:val="single" w:sz="4" w:space="0" w:color="auto"/>
                            </w:tcBorders>
                            <w:vAlign w:val="center"/>
                            <w:hideMark/>
                          </w:tcPr>
                          <w:p w14:paraId="2179F7B2"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51.14</w:t>
                            </w:r>
                          </w:p>
                        </w:tc>
                        <w:tc>
                          <w:tcPr>
                            <w:tcW w:w="709" w:type="dxa"/>
                            <w:tcBorders>
                              <w:top w:val="nil"/>
                              <w:left w:val="nil"/>
                              <w:bottom w:val="single" w:sz="4" w:space="0" w:color="auto"/>
                              <w:right w:val="double" w:sz="4" w:space="0" w:color="auto"/>
                            </w:tcBorders>
                            <w:vAlign w:val="center"/>
                            <w:hideMark/>
                          </w:tcPr>
                          <w:p w14:paraId="5F203A62"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43.43</w:t>
                            </w:r>
                          </w:p>
                        </w:tc>
                        <w:tc>
                          <w:tcPr>
                            <w:tcW w:w="709" w:type="dxa"/>
                            <w:tcBorders>
                              <w:top w:val="single" w:sz="4" w:space="0" w:color="auto"/>
                              <w:left w:val="double" w:sz="4" w:space="0" w:color="auto"/>
                              <w:bottom w:val="single" w:sz="4" w:space="0" w:color="auto"/>
                              <w:right w:val="single" w:sz="4" w:space="0" w:color="auto"/>
                            </w:tcBorders>
                            <w:vAlign w:val="center"/>
                            <w:hideMark/>
                          </w:tcPr>
                          <w:p w14:paraId="726CAFD1"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45.05</w:t>
                            </w:r>
                          </w:p>
                        </w:tc>
                        <w:tc>
                          <w:tcPr>
                            <w:tcW w:w="709" w:type="dxa"/>
                            <w:tcBorders>
                              <w:top w:val="single" w:sz="4" w:space="0" w:color="auto"/>
                              <w:left w:val="nil"/>
                              <w:bottom w:val="single" w:sz="4" w:space="0" w:color="auto"/>
                              <w:right w:val="single" w:sz="4" w:space="0" w:color="auto"/>
                            </w:tcBorders>
                            <w:vAlign w:val="center"/>
                            <w:hideMark/>
                          </w:tcPr>
                          <w:p w14:paraId="4EA1EC8C"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39.81</w:t>
                            </w:r>
                          </w:p>
                        </w:tc>
                      </w:tr>
                      <w:tr w:rsidR="007B1B13" w14:paraId="4C1BAC73" w14:textId="77777777" w:rsidTr="00F17DD1">
                        <w:trPr>
                          <w:gridAfter w:val="4"/>
                          <w:wAfter w:w="15633" w:type="dxa"/>
                          <w:trHeight w:val="397"/>
                        </w:trPr>
                        <w:tc>
                          <w:tcPr>
                            <w:tcW w:w="709" w:type="dxa"/>
                            <w:vMerge w:val="restart"/>
                            <w:tcBorders>
                              <w:top w:val="nil"/>
                              <w:left w:val="single" w:sz="4" w:space="0" w:color="auto"/>
                              <w:bottom w:val="single" w:sz="4" w:space="0" w:color="auto"/>
                              <w:right w:val="single" w:sz="4" w:space="0" w:color="auto"/>
                            </w:tcBorders>
                            <w:vAlign w:val="center"/>
                            <w:hideMark/>
                          </w:tcPr>
                          <w:p w14:paraId="56FA83B3" w14:textId="77777777" w:rsidR="007B1B13" w:rsidRDefault="007B1B13">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經營管理效能</w:t>
                            </w:r>
                          </w:p>
                        </w:tc>
                        <w:tc>
                          <w:tcPr>
                            <w:tcW w:w="1701" w:type="dxa"/>
                            <w:tcBorders>
                              <w:top w:val="nil"/>
                              <w:left w:val="nil"/>
                              <w:bottom w:val="single" w:sz="4" w:space="0" w:color="auto"/>
                              <w:right w:val="single" w:sz="4" w:space="0" w:color="auto"/>
                            </w:tcBorders>
                            <w:noWrap/>
                            <w:vAlign w:val="center"/>
                            <w:hideMark/>
                          </w:tcPr>
                          <w:p w14:paraId="639B5519"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（一）行政制度</w:t>
                            </w:r>
                          </w:p>
                        </w:tc>
                        <w:tc>
                          <w:tcPr>
                            <w:tcW w:w="709" w:type="dxa"/>
                            <w:tcBorders>
                              <w:top w:val="nil"/>
                              <w:left w:val="nil"/>
                              <w:bottom w:val="single" w:sz="4" w:space="0" w:color="auto"/>
                              <w:right w:val="single" w:sz="4" w:space="0" w:color="auto"/>
                            </w:tcBorders>
                            <w:vAlign w:val="center"/>
                            <w:hideMark/>
                          </w:tcPr>
                          <w:p w14:paraId="591C8F93"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39.95</w:t>
                            </w:r>
                          </w:p>
                        </w:tc>
                        <w:tc>
                          <w:tcPr>
                            <w:tcW w:w="708" w:type="dxa"/>
                            <w:tcBorders>
                              <w:top w:val="nil"/>
                              <w:left w:val="nil"/>
                              <w:bottom w:val="single" w:sz="4" w:space="0" w:color="auto"/>
                              <w:right w:val="single" w:sz="4" w:space="0" w:color="auto"/>
                            </w:tcBorders>
                            <w:vAlign w:val="center"/>
                            <w:hideMark/>
                          </w:tcPr>
                          <w:p w14:paraId="37BCDF08"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48.05</w:t>
                            </w:r>
                          </w:p>
                        </w:tc>
                        <w:tc>
                          <w:tcPr>
                            <w:tcW w:w="709" w:type="dxa"/>
                            <w:tcBorders>
                              <w:top w:val="nil"/>
                              <w:left w:val="nil"/>
                              <w:bottom w:val="single" w:sz="4" w:space="0" w:color="auto"/>
                              <w:right w:val="double" w:sz="4" w:space="0" w:color="auto"/>
                            </w:tcBorders>
                            <w:vAlign w:val="center"/>
                            <w:hideMark/>
                          </w:tcPr>
                          <w:p w14:paraId="63C50D92"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49.43</w:t>
                            </w:r>
                          </w:p>
                        </w:tc>
                        <w:tc>
                          <w:tcPr>
                            <w:tcW w:w="709" w:type="dxa"/>
                            <w:tcBorders>
                              <w:top w:val="single" w:sz="4" w:space="0" w:color="auto"/>
                              <w:left w:val="double" w:sz="4" w:space="0" w:color="auto"/>
                              <w:bottom w:val="single" w:sz="4" w:space="0" w:color="auto"/>
                              <w:right w:val="single" w:sz="4" w:space="0" w:color="auto"/>
                            </w:tcBorders>
                            <w:vAlign w:val="center"/>
                            <w:hideMark/>
                          </w:tcPr>
                          <w:p w14:paraId="19A687D0"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39.57</w:t>
                            </w:r>
                          </w:p>
                        </w:tc>
                        <w:tc>
                          <w:tcPr>
                            <w:tcW w:w="709" w:type="dxa"/>
                            <w:tcBorders>
                              <w:top w:val="single" w:sz="4" w:space="0" w:color="auto"/>
                              <w:left w:val="nil"/>
                              <w:bottom w:val="single" w:sz="4" w:space="0" w:color="auto"/>
                              <w:right w:val="single" w:sz="4" w:space="0" w:color="auto"/>
                            </w:tcBorders>
                            <w:vAlign w:val="center"/>
                            <w:hideMark/>
                          </w:tcPr>
                          <w:p w14:paraId="24B4EE03"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56.25</w:t>
                            </w:r>
                          </w:p>
                        </w:tc>
                      </w:tr>
                      <w:tr w:rsidR="007B1B13" w14:paraId="452630F5" w14:textId="77777777" w:rsidTr="00F17DD1">
                        <w:trPr>
                          <w:gridAfter w:val="4"/>
                          <w:wAfter w:w="15633" w:type="dxa"/>
                          <w:trHeight w:val="397"/>
                        </w:trPr>
                        <w:tc>
                          <w:tcPr>
                            <w:tcW w:w="300" w:type="dxa"/>
                            <w:vMerge/>
                            <w:tcBorders>
                              <w:top w:val="nil"/>
                              <w:left w:val="single" w:sz="4" w:space="0" w:color="auto"/>
                              <w:bottom w:val="single" w:sz="4" w:space="0" w:color="auto"/>
                              <w:right w:val="single" w:sz="4" w:space="0" w:color="auto"/>
                            </w:tcBorders>
                            <w:vAlign w:val="center"/>
                            <w:hideMark/>
                          </w:tcPr>
                          <w:p w14:paraId="5CB39CEE" w14:textId="77777777" w:rsidR="007B1B13" w:rsidRDefault="007B1B13">
                            <w:pPr>
                              <w:widowControl/>
                              <w:rPr>
                                <w:rFonts w:ascii="標楷體" w:eastAsia="標楷體" w:hAnsi="標楷體" w:cs="新細明體"/>
                                <w:color w:val="000000"/>
                                <w:kern w:val="0"/>
                                <w:sz w:val="20"/>
                                <w:szCs w:val="20"/>
                              </w:rPr>
                            </w:pPr>
                          </w:p>
                        </w:tc>
                        <w:tc>
                          <w:tcPr>
                            <w:tcW w:w="1701" w:type="dxa"/>
                            <w:tcBorders>
                              <w:top w:val="nil"/>
                              <w:left w:val="nil"/>
                              <w:bottom w:val="single" w:sz="4" w:space="0" w:color="auto"/>
                              <w:right w:val="single" w:sz="4" w:space="0" w:color="auto"/>
                            </w:tcBorders>
                            <w:noWrap/>
                            <w:vAlign w:val="center"/>
                            <w:hideMark/>
                          </w:tcPr>
                          <w:p w14:paraId="7198388A"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（二）服務人員管理</w:t>
                            </w:r>
                          </w:p>
                        </w:tc>
                        <w:tc>
                          <w:tcPr>
                            <w:tcW w:w="709" w:type="dxa"/>
                            <w:tcBorders>
                              <w:top w:val="nil"/>
                              <w:left w:val="nil"/>
                              <w:bottom w:val="single" w:sz="4" w:space="0" w:color="auto"/>
                              <w:right w:val="single" w:sz="4" w:space="0" w:color="auto"/>
                            </w:tcBorders>
                            <w:vAlign w:val="center"/>
                            <w:hideMark/>
                          </w:tcPr>
                          <w:p w14:paraId="77BDFD6A"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48.62</w:t>
                            </w:r>
                          </w:p>
                        </w:tc>
                        <w:tc>
                          <w:tcPr>
                            <w:tcW w:w="708" w:type="dxa"/>
                            <w:tcBorders>
                              <w:top w:val="nil"/>
                              <w:left w:val="nil"/>
                              <w:bottom w:val="single" w:sz="4" w:space="0" w:color="auto"/>
                              <w:right w:val="single" w:sz="4" w:space="0" w:color="auto"/>
                            </w:tcBorders>
                            <w:vAlign w:val="center"/>
                            <w:hideMark/>
                          </w:tcPr>
                          <w:p w14:paraId="4EAFD24E"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59.95</w:t>
                            </w:r>
                          </w:p>
                        </w:tc>
                        <w:tc>
                          <w:tcPr>
                            <w:tcW w:w="709" w:type="dxa"/>
                            <w:tcBorders>
                              <w:top w:val="nil"/>
                              <w:left w:val="nil"/>
                              <w:bottom w:val="single" w:sz="4" w:space="0" w:color="auto"/>
                              <w:right w:val="double" w:sz="4" w:space="0" w:color="auto"/>
                            </w:tcBorders>
                            <w:vAlign w:val="center"/>
                            <w:hideMark/>
                          </w:tcPr>
                          <w:p w14:paraId="4A23CB7C"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56.65</w:t>
                            </w:r>
                          </w:p>
                        </w:tc>
                        <w:tc>
                          <w:tcPr>
                            <w:tcW w:w="709" w:type="dxa"/>
                            <w:tcBorders>
                              <w:top w:val="single" w:sz="4" w:space="0" w:color="auto"/>
                              <w:left w:val="double" w:sz="4" w:space="0" w:color="auto"/>
                              <w:bottom w:val="single" w:sz="4" w:space="0" w:color="auto"/>
                              <w:right w:val="single" w:sz="4" w:space="0" w:color="auto"/>
                            </w:tcBorders>
                            <w:vAlign w:val="center"/>
                            <w:hideMark/>
                          </w:tcPr>
                          <w:p w14:paraId="5A422305"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58.90</w:t>
                            </w:r>
                          </w:p>
                        </w:tc>
                        <w:tc>
                          <w:tcPr>
                            <w:tcW w:w="709" w:type="dxa"/>
                            <w:tcBorders>
                              <w:top w:val="single" w:sz="4" w:space="0" w:color="auto"/>
                              <w:left w:val="nil"/>
                              <w:bottom w:val="single" w:sz="4" w:space="0" w:color="auto"/>
                              <w:right w:val="single" w:sz="4" w:space="0" w:color="auto"/>
                            </w:tcBorders>
                            <w:vAlign w:val="center"/>
                            <w:hideMark/>
                          </w:tcPr>
                          <w:p w14:paraId="364661E4"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41.67</w:t>
                            </w:r>
                          </w:p>
                        </w:tc>
                      </w:tr>
                      <w:tr w:rsidR="007B1B13" w14:paraId="030EEBCC" w14:textId="77777777" w:rsidTr="00F17DD1">
                        <w:trPr>
                          <w:gridAfter w:val="4"/>
                          <w:wAfter w:w="15633" w:type="dxa"/>
                          <w:trHeight w:val="397"/>
                        </w:trPr>
                        <w:tc>
                          <w:tcPr>
                            <w:tcW w:w="300" w:type="dxa"/>
                            <w:vMerge/>
                            <w:tcBorders>
                              <w:top w:val="nil"/>
                              <w:left w:val="single" w:sz="4" w:space="0" w:color="auto"/>
                              <w:bottom w:val="single" w:sz="4" w:space="0" w:color="auto"/>
                              <w:right w:val="single" w:sz="4" w:space="0" w:color="auto"/>
                            </w:tcBorders>
                            <w:vAlign w:val="center"/>
                            <w:hideMark/>
                          </w:tcPr>
                          <w:p w14:paraId="65310BA1" w14:textId="77777777" w:rsidR="007B1B13" w:rsidRDefault="007B1B13">
                            <w:pPr>
                              <w:widowControl/>
                              <w:rPr>
                                <w:rFonts w:ascii="標楷體" w:eastAsia="標楷體" w:hAnsi="標楷體" w:cs="新細明體"/>
                                <w:color w:val="000000"/>
                                <w:kern w:val="0"/>
                                <w:sz w:val="20"/>
                                <w:szCs w:val="20"/>
                              </w:rPr>
                            </w:pPr>
                          </w:p>
                        </w:tc>
                        <w:tc>
                          <w:tcPr>
                            <w:tcW w:w="1701" w:type="dxa"/>
                            <w:tcBorders>
                              <w:top w:val="nil"/>
                              <w:left w:val="nil"/>
                              <w:bottom w:val="single" w:sz="4" w:space="0" w:color="auto"/>
                              <w:right w:val="single" w:sz="4" w:space="0" w:color="auto"/>
                            </w:tcBorders>
                            <w:noWrap/>
                            <w:vAlign w:val="center"/>
                            <w:hideMark/>
                          </w:tcPr>
                          <w:p w14:paraId="25981D85"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（三）財務管理</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7B13EB9"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75.14</w:t>
                            </w:r>
                          </w:p>
                        </w:tc>
                        <w:tc>
                          <w:tcPr>
                            <w:tcW w:w="708" w:type="dxa"/>
                            <w:tcBorders>
                              <w:top w:val="nil"/>
                              <w:left w:val="nil"/>
                              <w:bottom w:val="single" w:sz="4" w:space="0" w:color="auto"/>
                              <w:right w:val="single" w:sz="4" w:space="0" w:color="auto"/>
                            </w:tcBorders>
                            <w:vAlign w:val="center"/>
                            <w:hideMark/>
                          </w:tcPr>
                          <w:p w14:paraId="45C01D04"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59.14</w:t>
                            </w:r>
                          </w:p>
                        </w:tc>
                        <w:tc>
                          <w:tcPr>
                            <w:tcW w:w="709" w:type="dxa"/>
                            <w:tcBorders>
                              <w:top w:val="single" w:sz="4" w:space="0" w:color="auto"/>
                              <w:left w:val="nil"/>
                              <w:bottom w:val="single" w:sz="4" w:space="0" w:color="auto"/>
                              <w:right w:val="double" w:sz="4" w:space="0" w:color="auto"/>
                            </w:tcBorders>
                            <w:shd w:val="clear" w:color="auto" w:fill="D9D9D9" w:themeFill="background1" w:themeFillShade="D9"/>
                            <w:vAlign w:val="center"/>
                            <w:hideMark/>
                          </w:tcPr>
                          <w:p w14:paraId="76260C2D"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79.71</w:t>
                            </w:r>
                          </w:p>
                        </w:tc>
                        <w:tc>
                          <w:tcPr>
                            <w:tcW w:w="709" w:type="dxa"/>
                            <w:tcBorders>
                              <w:top w:val="single" w:sz="4" w:space="0" w:color="auto"/>
                              <w:left w:val="double" w:sz="4" w:space="0" w:color="auto"/>
                              <w:bottom w:val="single" w:sz="4" w:space="0" w:color="auto"/>
                              <w:right w:val="single" w:sz="4" w:space="0" w:color="auto"/>
                            </w:tcBorders>
                            <w:vAlign w:val="center"/>
                            <w:hideMark/>
                          </w:tcPr>
                          <w:p w14:paraId="2CADFF81"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65.14</w:t>
                            </w:r>
                          </w:p>
                        </w:tc>
                        <w:tc>
                          <w:tcPr>
                            <w:tcW w:w="70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A2FB3BC"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91</w:t>
                            </w:r>
                            <w:r>
                              <w:rPr>
                                <w:rFonts w:ascii="標楷體" w:eastAsia="標楷體" w:hAnsi="標楷體" w:cs="新細明體" w:hint="eastAsia"/>
                                <w:color w:val="000000"/>
                                <w:kern w:val="0"/>
                                <w:sz w:val="20"/>
                                <w:szCs w:val="20"/>
                                <w:shd w:val="clear" w:color="auto" w:fill="D9D9D9" w:themeFill="background1" w:themeFillShade="D9"/>
                              </w:rPr>
                              <w:t>.</w:t>
                            </w:r>
                            <w:r>
                              <w:rPr>
                                <w:rFonts w:ascii="標楷體" w:eastAsia="標楷體" w:hAnsi="標楷體" w:cs="新細明體" w:hint="eastAsia"/>
                                <w:color w:val="000000"/>
                                <w:kern w:val="0"/>
                                <w:sz w:val="20"/>
                                <w:szCs w:val="20"/>
                              </w:rPr>
                              <w:t>71</w:t>
                            </w:r>
                          </w:p>
                        </w:tc>
                      </w:tr>
                      <w:tr w:rsidR="007B1B13" w14:paraId="1D4F9AAA" w14:textId="77777777" w:rsidTr="00F17DD1">
                        <w:trPr>
                          <w:gridAfter w:val="4"/>
                          <w:wAfter w:w="15633" w:type="dxa"/>
                          <w:trHeight w:val="397"/>
                        </w:trPr>
                        <w:tc>
                          <w:tcPr>
                            <w:tcW w:w="300" w:type="dxa"/>
                            <w:vMerge/>
                            <w:tcBorders>
                              <w:top w:val="nil"/>
                              <w:left w:val="single" w:sz="4" w:space="0" w:color="auto"/>
                              <w:bottom w:val="single" w:sz="4" w:space="0" w:color="auto"/>
                              <w:right w:val="single" w:sz="4" w:space="0" w:color="auto"/>
                            </w:tcBorders>
                            <w:vAlign w:val="center"/>
                            <w:hideMark/>
                          </w:tcPr>
                          <w:p w14:paraId="6E78A2EF" w14:textId="77777777" w:rsidR="007B1B13" w:rsidRDefault="007B1B13">
                            <w:pPr>
                              <w:widowControl/>
                              <w:rPr>
                                <w:rFonts w:ascii="標楷體" w:eastAsia="標楷體" w:hAnsi="標楷體" w:cs="新細明體"/>
                                <w:color w:val="000000"/>
                                <w:kern w:val="0"/>
                                <w:sz w:val="20"/>
                                <w:szCs w:val="20"/>
                              </w:rPr>
                            </w:pPr>
                          </w:p>
                        </w:tc>
                        <w:tc>
                          <w:tcPr>
                            <w:tcW w:w="1701" w:type="dxa"/>
                            <w:tcBorders>
                              <w:top w:val="nil"/>
                              <w:left w:val="nil"/>
                              <w:bottom w:val="single" w:sz="4" w:space="0" w:color="auto"/>
                              <w:right w:val="single" w:sz="4" w:space="0" w:color="auto"/>
                            </w:tcBorders>
                            <w:noWrap/>
                            <w:vAlign w:val="center"/>
                            <w:hideMark/>
                          </w:tcPr>
                          <w:p w14:paraId="250FA303" w14:textId="77777777" w:rsidR="007B1B13" w:rsidRDefault="007B1B13">
                            <w:pPr>
                              <w:widowControl/>
                              <w:spacing w:line="180" w:lineRule="exac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（四）緊急事件管理</w:t>
                            </w:r>
                          </w:p>
                        </w:tc>
                        <w:tc>
                          <w:tcPr>
                            <w:tcW w:w="709" w:type="dxa"/>
                            <w:tcBorders>
                              <w:top w:val="nil"/>
                              <w:left w:val="nil"/>
                              <w:bottom w:val="single" w:sz="4" w:space="0" w:color="auto"/>
                              <w:right w:val="single" w:sz="4" w:space="0" w:color="auto"/>
                            </w:tcBorders>
                            <w:vAlign w:val="center"/>
                            <w:hideMark/>
                          </w:tcPr>
                          <w:p w14:paraId="63ED8221"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62.57</w:t>
                            </w:r>
                          </w:p>
                        </w:tc>
                        <w:tc>
                          <w:tcPr>
                            <w:tcW w:w="708" w:type="dxa"/>
                            <w:tcBorders>
                              <w:top w:val="nil"/>
                              <w:left w:val="nil"/>
                              <w:bottom w:val="single" w:sz="4" w:space="0" w:color="auto"/>
                              <w:right w:val="single" w:sz="4" w:space="0" w:color="auto"/>
                            </w:tcBorders>
                            <w:vAlign w:val="center"/>
                            <w:hideMark/>
                          </w:tcPr>
                          <w:p w14:paraId="29A6163D"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45.43</w:t>
                            </w:r>
                          </w:p>
                        </w:tc>
                        <w:tc>
                          <w:tcPr>
                            <w:tcW w:w="709" w:type="dxa"/>
                            <w:tcBorders>
                              <w:top w:val="nil"/>
                              <w:left w:val="nil"/>
                              <w:bottom w:val="single" w:sz="4" w:space="0" w:color="auto"/>
                              <w:right w:val="double" w:sz="4" w:space="0" w:color="auto"/>
                            </w:tcBorders>
                            <w:vAlign w:val="center"/>
                            <w:hideMark/>
                          </w:tcPr>
                          <w:p w14:paraId="63AFEB5D"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54.71</w:t>
                            </w:r>
                          </w:p>
                        </w:tc>
                        <w:tc>
                          <w:tcPr>
                            <w:tcW w:w="709" w:type="dxa"/>
                            <w:tcBorders>
                              <w:top w:val="single" w:sz="4" w:space="0" w:color="auto"/>
                              <w:left w:val="double" w:sz="4" w:space="0" w:color="auto"/>
                              <w:bottom w:val="single" w:sz="4" w:space="0" w:color="auto"/>
                              <w:right w:val="single" w:sz="4" w:space="0" w:color="auto"/>
                            </w:tcBorders>
                            <w:vAlign w:val="center"/>
                            <w:hideMark/>
                          </w:tcPr>
                          <w:p w14:paraId="6EE53A61"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55.00</w:t>
                            </w:r>
                          </w:p>
                        </w:tc>
                        <w:tc>
                          <w:tcPr>
                            <w:tcW w:w="709" w:type="dxa"/>
                            <w:tcBorders>
                              <w:top w:val="nil"/>
                              <w:left w:val="nil"/>
                              <w:bottom w:val="single" w:sz="4" w:space="0" w:color="auto"/>
                              <w:right w:val="single" w:sz="4" w:space="0" w:color="auto"/>
                            </w:tcBorders>
                            <w:vAlign w:val="center"/>
                            <w:hideMark/>
                          </w:tcPr>
                          <w:p w14:paraId="6AFD9525" w14:textId="77777777" w:rsidR="007B1B13" w:rsidRDefault="007B1B13">
                            <w:pPr>
                              <w:widowControl/>
                              <w:spacing w:line="220" w:lineRule="exact"/>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66.71</w:t>
                            </w:r>
                          </w:p>
                        </w:tc>
                      </w:tr>
                      <w:tr w:rsidR="007B1B13" w14:paraId="66D01394" w14:textId="77777777">
                        <w:trPr>
                          <w:gridAfter w:val="4"/>
                          <w:wAfter w:w="15633" w:type="dxa"/>
                          <w:trHeight w:val="907"/>
                        </w:trPr>
                        <w:tc>
                          <w:tcPr>
                            <w:tcW w:w="5954" w:type="dxa"/>
                            <w:gridSpan w:val="7"/>
                            <w:tcBorders>
                              <w:top w:val="single" w:sz="4" w:space="0" w:color="auto"/>
                              <w:left w:val="nil"/>
                              <w:bottom w:val="nil"/>
                              <w:right w:val="nil"/>
                            </w:tcBorders>
                            <w:hideMark/>
                          </w:tcPr>
                          <w:p w14:paraId="11ED26BB" w14:textId="77777777" w:rsidR="007B1B13" w:rsidRDefault="007B1B13" w:rsidP="00815553">
                            <w:pPr>
                              <w:widowControl/>
                              <w:spacing w:line="240" w:lineRule="exact"/>
                              <w:ind w:left="540" w:hangingChars="300" w:hanging="540"/>
                              <w:jc w:val="both"/>
                              <w:rPr>
                                <w:rFonts w:ascii="標楷體" w:eastAsia="標楷體" w:hAnsi="標楷體" w:cs="新細明體"/>
                                <w:color w:val="000000"/>
                                <w:kern w:val="0"/>
                                <w:sz w:val="18"/>
                                <w:szCs w:val="18"/>
                              </w:rPr>
                            </w:pPr>
                            <w:proofErr w:type="gramStart"/>
                            <w:r>
                              <w:rPr>
                                <w:rFonts w:ascii="標楷體" w:eastAsia="標楷體" w:hAnsi="標楷體" w:cs="新細明體" w:hint="eastAsia"/>
                                <w:color w:val="000000"/>
                                <w:kern w:val="0"/>
                                <w:sz w:val="18"/>
                                <w:szCs w:val="18"/>
                              </w:rPr>
                              <w:t>註</w:t>
                            </w:r>
                            <w:proofErr w:type="gramEnd"/>
                            <w:r>
                              <w:rPr>
                                <w:rFonts w:ascii="標楷體" w:eastAsia="標楷體" w:hAnsi="標楷體" w:cs="新細明體" w:hint="eastAsia"/>
                                <w:color w:val="000000"/>
                                <w:kern w:val="0"/>
                                <w:sz w:val="18"/>
                                <w:szCs w:val="18"/>
                              </w:rPr>
                              <w:t>：1.110年度因受</w:t>
                            </w:r>
                            <w:proofErr w:type="gramStart"/>
                            <w:r>
                              <w:rPr>
                                <w:rFonts w:ascii="標楷體" w:eastAsia="標楷體" w:hAnsi="標楷體" w:cs="新細明體" w:hint="eastAsia"/>
                                <w:color w:val="000000"/>
                                <w:kern w:val="0"/>
                                <w:sz w:val="18"/>
                                <w:szCs w:val="18"/>
                              </w:rPr>
                              <w:t>新型冠</w:t>
                            </w:r>
                            <w:proofErr w:type="gramEnd"/>
                            <w:r>
                              <w:rPr>
                                <w:rFonts w:ascii="標楷體" w:eastAsia="標楷體" w:hAnsi="標楷體" w:cs="新細明體" w:hint="eastAsia"/>
                                <w:color w:val="000000"/>
                                <w:kern w:val="0"/>
                                <w:sz w:val="18"/>
                                <w:szCs w:val="18"/>
                              </w:rPr>
                              <w:t>狀病毒肺炎（COVID－19）</w:t>
                            </w:r>
                            <w:proofErr w:type="gramStart"/>
                            <w:r>
                              <w:rPr>
                                <w:rFonts w:ascii="標楷體" w:eastAsia="標楷體" w:hAnsi="標楷體" w:cs="新細明體" w:hint="eastAsia"/>
                                <w:color w:val="000000"/>
                                <w:kern w:val="0"/>
                                <w:sz w:val="18"/>
                                <w:szCs w:val="18"/>
                              </w:rPr>
                              <w:t>疫</w:t>
                            </w:r>
                            <w:proofErr w:type="gramEnd"/>
                            <w:r>
                              <w:rPr>
                                <w:rFonts w:ascii="標楷體" w:eastAsia="標楷體" w:hAnsi="標楷體" w:cs="新細明體" w:hint="eastAsia"/>
                                <w:color w:val="000000"/>
                                <w:kern w:val="0"/>
                                <w:sz w:val="18"/>
                                <w:szCs w:val="18"/>
                              </w:rPr>
                              <w:t>情影響，</w:t>
                            </w:r>
                            <w:r>
                              <w:rPr>
                                <w:rFonts w:ascii="標楷體" w:eastAsia="標楷體" w:hAnsi="標楷體" w:cs="新細明體" w:hint="eastAsia"/>
                                <w:color w:val="000000"/>
                                <w:kern w:val="0"/>
                                <w:sz w:val="20"/>
                                <w:szCs w:val="20"/>
                              </w:rPr>
                              <w:t>居家服務</w:t>
                            </w:r>
                            <w:proofErr w:type="gramStart"/>
                            <w:r>
                              <w:rPr>
                                <w:rFonts w:ascii="標楷體" w:eastAsia="標楷體" w:hAnsi="標楷體" w:cs="新細明體" w:hint="eastAsia"/>
                                <w:color w:val="000000"/>
                                <w:kern w:val="0"/>
                                <w:sz w:val="20"/>
                                <w:szCs w:val="20"/>
                              </w:rPr>
                              <w:t>併復能</w:t>
                            </w:r>
                            <w:proofErr w:type="gramEnd"/>
                            <w:r>
                              <w:rPr>
                                <w:rFonts w:ascii="標楷體" w:eastAsia="標楷體" w:hAnsi="標楷體" w:cs="新細明體" w:hint="eastAsia"/>
                                <w:color w:val="000000"/>
                                <w:kern w:val="0"/>
                                <w:sz w:val="20"/>
                                <w:szCs w:val="20"/>
                              </w:rPr>
                              <w:t>機構</w:t>
                            </w:r>
                            <w:r>
                              <w:rPr>
                                <w:rFonts w:ascii="標楷體" w:eastAsia="標楷體" w:hAnsi="標楷體" w:cs="新細明體" w:hint="eastAsia"/>
                                <w:color w:val="000000"/>
                                <w:kern w:val="0"/>
                                <w:sz w:val="18"/>
                                <w:szCs w:val="18"/>
                              </w:rPr>
                              <w:t>未辦理評鑑作業。</w:t>
                            </w:r>
                          </w:p>
                          <w:p w14:paraId="51F38589" w14:textId="77777777" w:rsidR="007B1B13" w:rsidRDefault="007B1B13" w:rsidP="00815553">
                            <w:pPr>
                              <w:widowControl/>
                              <w:spacing w:line="240" w:lineRule="exact"/>
                              <w:ind w:firstLineChars="200" w:firstLine="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2.評鑑總分達70分（含）以上為合格分數。</w:t>
                            </w:r>
                          </w:p>
                          <w:p w14:paraId="0656BC0E" w14:textId="77777777" w:rsidR="007B1B13" w:rsidRDefault="007B1B13" w:rsidP="00815553">
                            <w:pPr>
                              <w:widowControl/>
                              <w:spacing w:line="240" w:lineRule="exact"/>
                              <w:ind w:firstLineChars="200" w:firstLine="36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3.數值標示底色者為得分比率大於70％者。</w:t>
                            </w:r>
                          </w:p>
                          <w:p w14:paraId="48790C0C" w14:textId="77777777" w:rsidR="007B1B13" w:rsidRDefault="007B1B13" w:rsidP="00815553">
                            <w:pPr>
                              <w:widowControl/>
                              <w:spacing w:line="240" w:lineRule="exact"/>
                              <w:ind w:firstLineChars="200" w:firstLine="360"/>
                              <w:jc w:val="both"/>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18"/>
                                <w:szCs w:val="18"/>
                              </w:rPr>
                              <w:t>4.資料來源：整理自社會局提供資料。</w:t>
                            </w:r>
                          </w:p>
                        </w:tc>
                      </w:tr>
                      <w:tr w:rsidR="007B1B13" w14:paraId="5BE21483" w14:textId="77777777">
                        <w:trPr>
                          <w:trHeight w:val="429"/>
                        </w:trPr>
                        <w:tc>
                          <w:tcPr>
                            <w:tcW w:w="17987" w:type="dxa"/>
                            <w:gridSpan w:val="8"/>
                            <w:vAlign w:val="center"/>
                            <w:hideMark/>
                          </w:tcPr>
                          <w:p w14:paraId="578C1232" w14:textId="77777777" w:rsidR="007B1B13" w:rsidRDefault="007B1B13"/>
                        </w:tc>
                        <w:tc>
                          <w:tcPr>
                            <w:tcW w:w="1200" w:type="dxa"/>
                            <w:vAlign w:val="center"/>
                            <w:hideMark/>
                          </w:tcPr>
                          <w:p w14:paraId="33A2E48D" w14:textId="77777777" w:rsidR="007B1B13" w:rsidRDefault="007B1B1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p>
                        </w:tc>
                        <w:tc>
                          <w:tcPr>
                            <w:tcW w:w="1200" w:type="dxa"/>
                            <w:vAlign w:val="center"/>
                            <w:hideMark/>
                          </w:tcPr>
                          <w:p w14:paraId="0B26CDA4" w14:textId="77777777" w:rsidR="007B1B13" w:rsidRDefault="007B1B1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p>
                        </w:tc>
                        <w:tc>
                          <w:tcPr>
                            <w:tcW w:w="1200" w:type="dxa"/>
                            <w:vAlign w:val="center"/>
                            <w:hideMark/>
                          </w:tcPr>
                          <w:p w14:paraId="6AABCCF0" w14:textId="77777777" w:rsidR="007B1B13" w:rsidRDefault="007B1B13">
                            <w:pPr>
                              <w:widowControl/>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 xml:space="preserve">　</w:t>
                            </w:r>
                          </w:p>
                        </w:tc>
                      </w:tr>
                    </w:tbl>
                    <w:p w14:paraId="0B39D310" w14:textId="77777777" w:rsidR="007B1B13" w:rsidRDefault="007B1B13" w:rsidP="007B1B13">
                      <w:pPr>
                        <w:rPr>
                          <w:rFonts w:ascii="標楷體" w:eastAsia="標楷體" w:hAnsi="標楷體" w:cs="Times New Roman"/>
                          <w:szCs w:val="24"/>
                        </w:rPr>
                      </w:pPr>
                    </w:p>
                  </w:txbxContent>
                </v:textbox>
                <w10:wrap type="tight" anchorx="margin" anchory="page"/>
              </v:shape>
            </w:pict>
          </mc:Fallback>
        </mc:AlternateContent>
      </w:r>
      <w:r w:rsidR="007B1B13">
        <w:rPr>
          <w:rFonts w:hAnsi="標楷體" w:hint="eastAsia"/>
          <w:color w:val="auto"/>
        </w:rPr>
        <w:t>晉升，鼓勵</w:t>
      </w:r>
      <w:r w:rsidR="007B1B13">
        <w:rPr>
          <w:rFonts w:hint="eastAsia"/>
          <w:color w:val="auto"/>
        </w:rPr>
        <w:t>照顧服務員轉任居家服務督導員，並鼓勵提高照顧服務員薪資以招募新進人員</w:t>
      </w:r>
      <w:r w:rsidR="007B1B13">
        <w:rPr>
          <w:rFonts w:hAnsi="標楷體" w:hint="eastAsia"/>
          <w:color w:val="auto"/>
        </w:rPr>
        <w:t>；另請機構招募符合資源缺乏區域及時段需求之照顧服務員，以提高服務媒合率，並鼓勵以個案研討會分享複雜個案之服務案例，以增強服務複雜個案之專業及意願</w:t>
      </w:r>
      <w:r w:rsidR="007B1B13">
        <w:rPr>
          <w:rFonts w:hint="eastAsia"/>
          <w:color w:val="auto"/>
        </w:rPr>
        <w:t>；2.業委託單位辦理居家服務人力繼續教育訓練，以提升機構人員專業知能，並針對法定評鑑不合格機構，將依長期照顧服務法規定函請機構限期改善，另於改善期間排定實地輔導，審查機構改善情形。</w:t>
      </w:r>
    </w:p>
    <w:p w14:paraId="5E7AB56F" w14:textId="77777777" w:rsidR="007B1B13" w:rsidRDefault="007B1B13" w:rsidP="00554A80">
      <w:pPr>
        <w:adjustRightInd w:val="0"/>
        <w:snapToGrid w:val="0"/>
        <w:spacing w:beforeLines="50" w:before="180" w:line="460" w:lineRule="exact"/>
        <w:jc w:val="both"/>
        <w:outlineLvl w:val="2"/>
        <w:rPr>
          <w:rFonts w:ascii="標楷體" w:eastAsia="標楷體" w:hAnsi="Times New Roman"/>
          <w:b/>
          <w:sz w:val="32"/>
          <w:szCs w:val="32"/>
        </w:rPr>
      </w:pPr>
      <w:r>
        <w:rPr>
          <w:rFonts w:ascii="標楷體" w:eastAsia="標楷體" w:hint="eastAsia"/>
          <w:b/>
          <w:sz w:val="32"/>
          <w:szCs w:val="32"/>
        </w:rPr>
        <w:t>四、</w:t>
      </w:r>
      <w:proofErr w:type="gramStart"/>
      <w:r>
        <w:rPr>
          <w:rFonts w:ascii="標楷體" w:eastAsia="標楷體" w:hint="eastAsia"/>
          <w:b/>
          <w:sz w:val="32"/>
          <w:szCs w:val="32"/>
        </w:rPr>
        <w:t>112</w:t>
      </w:r>
      <w:proofErr w:type="gramEnd"/>
      <w:r>
        <w:rPr>
          <w:rFonts w:ascii="標楷體" w:eastAsia="標楷體" w:hint="eastAsia"/>
          <w:b/>
          <w:sz w:val="32"/>
          <w:szCs w:val="32"/>
        </w:rPr>
        <w:t>年度重要審核意見追蹤查核情形</w:t>
      </w:r>
    </w:p>
    <w:p w14:paraId="248F4063" w14:textId="77777777" w:rsidR="007B1B13" w:rsidRDefault="007B1B13" w:rsidP="007B1B13">
      <w:pPr>
        <w:pStyle w:val="05"/>
        <w:spacing w:before="120" w:beforeAutospacing="0" w:after="0" w:afterAutospacing="0"/>
        <w:ind w:firstLine="480"/>
        <w:rPr>
          <w:rFonts w:ascii="新細明體" w:eastAsia="新細明體" w:hAnsi="新細明體"/>
        </w:rPr>
      </w:pPr>
      <w:r>
        <w:rPr>
          <w:rFonts w:hint="eastAsia"/>
        </w:rPr>
        <w:t>本處於</w:t>
      </w:r>
      <w:proofErr w:type="gramStart"/>
      <w:r>
        <w:rPr>
          <w:rFonts w:hint="eastAsia"/>
        </w:rPr>
        <w:t>112</w:t>
      </w:r>
      <w:proofErr w:type="gramEnd"/>
      <w:r>
        <w:rPr>
          <w:rFonts w:hint="eastAsia"/>
        </w:rPr>
        <w:t>年度審核報告內列重要審核意見5項，經</w:t>
      </w:r>
      <w:proofErr w:type="gramStart"/>
      <w:r>
        <w:rPr>
          <w:rFonts w:hint="eastAsia"/>
        </w:rPr>
        <w:t>賡</w:t>
      </w:r>
      <w:proofErr w:type="gramEnd"/>
      <w:r>
        <w:rPr>
          <w:rFonts w:hint="eastAsia"/>
        </w:rPr>
        <w:t>續追蹤查核實際辦理結果，均已</w:t>
      </w:r>
      <w:proofErr w:type="gramStart"/>
      <w:r>
        <w:rPr>
          <w:rFonts w:hint="eastAsia"/>
        </w:rPr>
        <w:t>研</w:t>
      </w:r>
      <w:proofErr w:type="gramEnd"/>
      <w:r>
        <w:rPr>
          <w:rFonts w:hint="eastAsia"/>
        </w:rPr>
        <w:t>謀改善或依改善措施持續辦理（表8</w:t>
      </w:r>
      <w:r>
        <w:rPr>
          <w:rFonts w:hAnsi="標楷體" w:hint="eastAsia"/>
        </w:rPr>
        <w:t>）</w:t>
      </w:r>
      <w:r>
        <w:rPr>
          <w:rFonts w:hint="eastAsia"/>
        </w:rPr>
        <w:t>。</w:t>
      </w:r>
    </w:p>
    <w:p w14:paraId="26A5E05F" w14:textId="77777777" w:rsidR="007B1B13" w:rsidRDefault="007B1B13" w:rsidP="007B1B13">
      <w:pPr>
        <w:widowControl/>
        <w:spacing w:afterLines="20" w:after="72" w:line="440" w:lineRule="exact"/>
        <w:ind w:left="720" w:rightChars="-167" w:right="-401" w:hanging="1004"/>
        <w:jc w:val="center"/>
        <w:rPr>
          <w:rFonts w:ascii="標楷體" w:eastAsia="標楷體" w:hAnsi="標楷體"/>
          <w:b/>
        </w:rPr>
      </w:pPr>
      <w:r>
        <w:rPr>
          <w:rFonts w:ascii="標楷體" w:eastAsia="標楷體" w:hAnsi="標楷體" w:hint="eastAsia"/>
          <w:b/>
        </w:rPr>
        <w:t xml:space="preserve">表8　</w:t>
      </w:r>
      <w:proofErr w:type="gramStart"/>
      <w:r>
        <w:rPr>
          <w:rFonts w:ascii="標楷體" w:eastAsia="標楷體" w:hAnsi="標楷體" w:hint="eastAsia"/>
          <w:b/>
        </w:rPr>
        <w:t>112</w:t>
      </w:r>
      <w:proofErr w:type="gramEnd"/>
      <w:r>
        <w:rPr>
          <w:rFonts w:ascii="標楷體" w:eastAsia="標楷體" w:hAnsi="標楷體" w:hint="eastAsia"/>
          <w:b/>
        </w:rPr>
        <w:t>年度審核報告所列社會局主管重要審核意見覆核辦理情形</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400"/>
        <w:gridCol w:w="2503"/>
      </w:tblGrid>
      <w:tr w:rsidR="007B1B13" w14:paraId="622550DA" w14:textId="77777777" w:rsidTr="00FB6617">
        <w:trPr>
          <w:trHeight w:val="397"/>
          <w:tblHeader/>
          <w:jc w:val="center"/>
        </w:trPr>
        <w:tc>
          <w:tcPr>
            <w:tcW w:w="7400" w:type="dxa"/>
            <w:tcBorders>
              <w:top w:val="single" w:sz="4" w:space="0" w:color="auto"/>
              <w:left w:val="single" w:sz="4" w:space="0" w:color="auto"/>
              <w:bottom w:val="single" w:sz="4" w:space="0" w:color="auto"/>
              <w:right w:val="single" w:sz="4" w:space="0" w:color="auto"/>
            </w:tcBorders>
            <w:vAlign w:val="center"/>
            <w:hideMark/>
          </w:tcPr>
          <w:p w14:paraId="449D5E26" w14:textId="77777777" w:rsidR="007B1B13" w:rsidRDefault="007B1B13" w:rsidP="00B418C5">
            <w:pPr>
              <w:widowControl/>
              <w:adjustRightInd w:val="0"/>
              <w:snapToGrid w:val="0"/>
              <w:spacing w:line="240" w:lineRule="exact"/>
              <w:jc w:val="center"/>
              <w:rPr>
                <w:rFonts w:ascii="標楷體" w:eastAsia="標楷體" w:hAnsi="標楷體"/>
                <w:sz w:val="20"/>
                <w:szCs w:val="24"/>
              </w:rPr>
            </w:pPr>
            <w:r>
              <w:rPr>
                <w:rFonts w:ascii="標楷體" w:eastAsia="標楷體" w:hAnsi="標楷體" w:hint="eastAsia"/>
                <w:sz w:val="20"/>
              </w:rPr>
              <w:t>重要審核意見標題</w:t>
            </w:r>
          </w:p>
        </w:tc>
        <w:tc>
          <w:tcPr>
            <w:tcW w:w="2503" w:type="dxa"/>
            <w:tcBorders>
              <w:top w:val="single" w:sz="4" w:space="0" w:color="auto"/>
              <w:left w:val="single" w:sz="4" w:space="0" w:color="auto"/>
              <w:bottom w:val="single" w:sz="4" w:space="0" w:color="auto"/>
              <w:right w:val="single" w:sz="4" w:space="0" w:color="auto"/>
            </w:tcBorders>
            <w:vAlign w:val="center"/>
            <w:hideMark/>
          </w:tcPr>
          <w:p w14:paraId="6431B623" w14:textId="77777777" w:rsidR="007B1B13" w:rsidRDefault="007B1B13" w:rsidP="00B418C5">
            <w:pPr>
              <w:widowControl/>
              <w:adjustRightInd w:val="0"/>
              <w:snapToGrid w:val="0"/>
              <w:spacing w:line="240" w:lineRule="exact"/>
              <w:jc w:val="center"/>
              <w:rPr>
                <w:rFonts w:ascii="標楷體" w:eastAsia="標楷體" w:hAnsi="標楷體"/>
                <w:sz w:val="20"/>
              </w:rPr>
            </w:pPr>
            <w:r>
              <w:rPr>
                <w:rFonts w:ascii="標楷體" w:eastAsia="標楷體" w:hAnsi="標楷體" w:hint="eastAsia"/>
                <w:sz w:val="20"/>
              </w:rPr>
              <w:t>說明</w:t>
            </w:r>
          </w:p>
        </w:tc>
      </w:tr>
      <w:tr w:rsidR="007B1B13" w14:paraId="0AD067FE" w14:textId="77777777" w:rsidTr="00FB6617">
        <w:trPr>
          <w:trHeight w:val="510"/>
          <w:jc w:val="center"/>
        </w:trPr>
        <w:tc>
          <w:tcPr>
            <w:tcW w:w="9903" w:type="dxa"/>
            <w:gridSpan w:val="2"/>
            <w:tcBorders>
              <w:top w:val="single" w:sz="4" w:space="0" w:color="auto"/>
              <w:left w:val="single" w:sz="4" w:space="0" w:color="auto"/>
              <w:bottom w:val="single" w:sz="4" w:space="0" w:color="auto"/>
              <w:right w:val="single" w:sz="4" w:space="0" w:color="auto"/>
            </w:tcBorders>
            <w:vAlign w:val="center"/>
            <w:hideMark/>
          </w:tcPr>
          <w:p w14:paraId="4C9BA9DD" w14:textId="77777777" w:rsidR="007B1B13" w:rsidRDefault="007B1B13">
            <w:pPr>
              <w:widowControl/>
              <w:spacing w:line="260" w:lineRule="exact"/>
              <w:jc w:val="both"/>
              <w:rPr>
                <w:rFonts w:ascii="標楷體" w:eastAsia="標楷體" w:hAnsi="標楷體"/>
                <w:sz w:val="20"/>
              </w:rPr>
            </w:pPr>
            <w:r>
              <w:rPr>
                <w:rFonts w:ascii="標楷體" w:eastAsia="標楷體" w:hAnsi="標楷體" w:hint="eastAsia"/>
                <w:b/>
                <w:sz w:val="20"/>
              </w:rPr>
              <w:t>已</w:t>
            </w:r>
            <w:proofErr w:type="gramStart"/>
            <w:r>
              <w:rPr>
                <w:rFonts w:ascii="標楷體" w:eastAsia="標楷體" w:hAnsi="標楷體" w:hint="eastAsia"/>
                <w:b/>
                <w:sz w:val="20"/>
              </w:rPr>
              <w:t>研</w:t>
            </w:r>
            <w:proofErr w:type="gramEnd"/>
            <w:r>
              <w:rPr>
                <w:rFonts w:ascii="標楷體" w:eastAsia="標楷體" w:hAnsi="標楷體" w:hint="eastAsia"/>
                <w:b/>
                <w:sz w:val="20"/>
              </w:rPr>
              <w:t>謀改善或依改善措施持續辦理</w:t>
            </w:r>
          </w:p>
        </w:tc>
      </w:tr>
      <w:tr w:rsidR="007B1B13" w14:paraId="7870CD47" w14:textId="77777777" w:rsidTr="00FB6617">
        <w:trPr>
          <w:trHeight w:val="850"/>
          <w:jc w:val="center"/>
        </w:trPr>
        <w:tc>
          <w:tcPr>
            <w:tcW w:w="7400" w:type="dxa"/>
            <w:tcBorders>
              <w:top w:val="single" w:sz="4" w:space="0" w:color="auto"/>
              <w:left w:val="single" w:sz="4" w:space="0" w:color="auto"/>
              <w:bottom w:val="single" w:sz="4" w:space="0" w:color="auto"/>
              <w:right w:val="single" w:sz="4" w:space="0" w:color="auto"/>
            </w:tcBorders>
            <w:vAlign w:val="center"/>
            <w:hideMark/>
          </w:tcPr>
          <w:p w14:paraId="7832338B" w14:textId="77777777" w:rsidR="007B1B13" w:rsidRDefault="007B1B13" w:rsidP="007B1B13">
            <w:pPr>
              <w:pStyle w:val="a4"/>
              <w:widowControl/>
              <w:numPr>
                <w:ilvl w:val="0"/>
                <w:numId w:val="42"/>
              </w:numPr>
              <w:spacing w:line="260" w:lineRule="exact"/>
              <w:ind w:leftChars="0" w:left="482" w:hanging="482"/>
              <w:jc w:val="both"/>
              <w:rPr>
                <w:rFonts w:ascii="標楷體" w:eastAsia="標楷體" w:hAnsi="標楷體"/>
                <w:sz w:val="20"/>
              </w:rPr>
            </w:pPr>
            <w:r>
              <w:rPr>
                <w:rFonts w:ascii="標楷體" w:eastAsia="標楷體" w:hAnsi="標楷體" w:hint="eastAsia"/>
                <w:sz w:val="20"/>
              </w:rPr>
              <w:t>為提升照顧孕婦行動安全及減輕交通負擔，推動孕婦乘車補助實施計畫，惟</w:t>
            </w:r>
            <w:proofErr w:type="gramStart"/>
            <w:r>
              <w:rPr>
                <w:rFonts w:ascii="標楷體" w:eastAsia="標楷體" w:hAnsi="標楷體" w:hint="eastAsia"/>
                <w:sz w:val="20"/>
              </w:rPr>
              <w:t>間有以拆單</w:t>
            </w:r>
            <w:proofErr w:type="gramEnd"/>
            <w:r>
              <w:rPr>
                <w:rFonts w:ascii="標楷體" w:eastAsia="標楷體" w:hAnsi="標楷體" w:hint="eastAsia"/>
                <w:sz w:val="20"/>
              </w:rPr>
              <w:t>方式申領補助、上下車地點非屬補助營業區域、媒合醫療院所參與計畫比率仍低等情事，有待檢討改善。</w:t>
            </w:r>
          </w:p>
        </w:tc>
        <w:tc>
          <w:tcPr>
            <w:tcW w:w="2503" w:type="dxa"/>
            <w:vMerge w:val="restart"/>
            <w:tcBorders>
              <w:top w:val="single" w:sz="4" w:space="0" w:color="auto"/>
              <w:left w:val="single" w:sz="4" w:space="0" w:color="auto"/>
              <w:bottom w:val="single" w:sz="4" w:space="0" w:color="auto"/>
              <w:right w:val="single" w:sz="4" w:space="0" w:color="auto"/>
              <w:tl2br w:val="single" w:sz="4" w:space="0" w:color="auto"/>
            </w:tcBorders>
          </w:tcPr>
          <w:p w14:paraId="38F04525" w14:textId="77777777" w:rsidR="007B1B13" w:rsidRDefault="007B1B13">
            <w:pPr>
              <w:widowControl/>
              <w:spacing w:line="460" w:lineRule="exact"/>
              <w:jc w:val="both"/>
              <w:rPr>
                <w:rFonts w:ascii="標楷體" w:eastAsia="標楷體" w:hAnsi="標楷體"/>
                <w:sz w:val="20"/>
              </w:rPr>
            </w:pPr>
          </w:p>
          <w:p w14:paraId="74997AC6" w14:textId="77777777" w:rsidR="007B1B13" w:rsidRDefault="007B1B13">
            <w:pPr>
              <w:rPr>
                <w:rFonts w:ascii="標楷體" w:eastAsia="標楷體" w:hAnsi="標楷體"/>
                <w:sz w:val="20"/>
              </w:rPr>
            </w:pPr>
          </w:p>
          <w:p w14:paraId="3F07F212" w14:textId="77777777" w:rsidR="007B1B13" w:rsidRDefault="007B1B13">
            <w:pPr>
              <w:rPr>
                <w:rFonts w:ascii="標楷體" w:eastAsia="標楷體" w:hAnsi="標楷體"/>
                <w:sz w:val="20"/>
              </w:rPr>
            </w:pPr>
          </w:p>
          <w:p w14:paraId="2EDE64FF" w14:textId="77777777" w:rsidR="007B1B13" w:rsidRDefault="007B1B13">
            <w:pPr>
              <w:rPr>
                <w:rFonts w:ascii="標楷體" w:eastAsia="標楷體" w:hAnsi="標楷體"/>
                <w:sz w:val="20"/>
              </w:rPr>
            </w:pPr>
          </w:p>
          <w:p w14:paraId="24D556EA" w14:textId="77777777" w:rsidR="007B1B13" w:rsidRDefault="007B1B13">
            <w:pPr>
              <w:rPr>
                <w:rFonts w:ascii="標楷體" w:eastAsia="標楷體" w:hAnsi="標楷體"/>
                <w:sz w:val="20"/>
              </w:rPr>
            </w:pPr>
          </w:p>
          <w:p w14:paraId="27742567" w14:textId="77777777" w:rsidR="007B1B13" w:rsidRDefault="007B1B13">
            <w:pPr>
              <w:rPr>
                <w:rFonts w:ascii="標楷體" w:eastAsia="標楷體" w:hAnsi="標楷體"/>
                <w:sz w:val="20"/>
              </w:rPr>
            </w:pPr>
          </w:p>
          <w:p w14:paraId="2DCBA474" w14:textId="77777777" w:rsidR="007B1B13" w:rsidRDefault="007B1B13">
            <w:pPr>
              <w:rPr>
                <w:rFonts w:ascii="標楷體" w:eastAsia="標楷體" w:hAnsi="標楷體"/>
                <w:sz w:val="20"/>
              </w:rPr>
            </w:pPr>
          </w:p>
        </w:tc>
      </w:tr>
      <w:tr w:rsidR="007B1B13" w14:paraId="0C08DBF3" w14:textId="77777777" w:rsidTr="00FB6617">
        <w:trPr>
          <w:trHeight w:val="680"/>
          <w:jc w:val="center"/>
        </w:trPr>
        <w:tc>
          <w:tcPr>
            <w:tcW w:w="7400" w:type="dxa"/>
            <w:tcBorders>
              <w:top w:val="single" w:sz="4" w:space="0" w:color="auto"/>
              <w:left w:val="single" w:sz="4" w:space="0" w:color="auto"/>
              <w:bottom w:val="single" w:sz="4" w:space="0" w:color="auto"/>
              <w:right w:val="single" w:sz="4" w:space="0" w:color="auto"/>
            </w:tcBorders>
            <w:vAlign w:val="center"/>
            <w:hideMark/>
          </w:tcPr>
          <w:p w14:paraId="1A802684" w14:textId="77777777" w:rsidR="007B1B13" w:rsidRDefault="007B1B13" w:rsidP="007B1B13">
            <w:pPr>
              <w:pStyle w:val="a4"/>
              <w:widowControl/>
              <w:numPr>
                <w:ilvl w:val="0"/>
                <w:numId w:val="42"/>
              </w:numPr>
              <w:spacing w:line="260" w:lineRule="exact"/>
              <w:ind w:leftChars="0" w:left="482" w:hanging="482"/>
              <w:jc w:val="both"/>
              <w:rPr>
                <w:rFonts w:ascii="標楷體" w:eastAsia="標楷體" w:hAnsi="標楷體"/>
                <w:spacing w:val="-4"/>
                <w:sz w:val="20"/>
              </w:rPr>
            </w:pPr>
            <w:r>
              <w:rPr>
                <w:rFonts w:ascii="標楷體" w:eastAsia="標楷體" w:hAnsi="標楷體" w:hint="eastAsia"/>
                <w:spacing w:val="-4"/>
                <w:sz w:val="20"/>
              </w:rPr>
              <w:t>加強辦理獨居老人服務計畫，提供各類關懷服務，</w:t>
            </w:r>
            <w:proofErr w:type="gramStart"/>
            <w:r>
              <w:rPr>
                <w:rFonts w:ascii="標楷體" w:eastAsia="標楷體" w:hAnsi="標楷體" w:hint="eastAsia"/>
                <w:spacing w:val="-4"/>
                <w:sz w:val="20"/>
              </w:rPr>
              <w:t>惟間有部分</w:t>
            </w:r>
            <w:proofErr w:type="gramEnd"/>
            <w:r>
              <w:rPr>
                <w:rFonts w:ascii="標楷體" w:eastAsia="標楷體" w:hAnsi="標楷體" w:hint="eastAsia"/>
                <w:spacing w:val="-4"/>
                <w:sz w:val="20"/>
              </w:rPr>
              <w:t>個案已遷址或主責社工員已離職，惟未即時釐正資訊等情，均有待檢討改善，以提升計畫服務品質。</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24409" w14:textId="77777777" w:rsidR="007B1B13" w:rsidRDefault="007B1B13">
            <w:pPr>
              <w:widowControl/>
              <w:spacing w:beforeAutospacing="1" w:afterAutospacing="1"/>
              <w:rPr>
                <w:rFonts w:ascii="標楷體" w:eastAsia="標楷體" w:hAnsi="標楷體"/>
                <w:sz w:val="20"/>
                <w:szCs w:val="24"/>
              </w:rPr>
            </w:pPr>
          </w:p>
        </w:tc>
      </w:tr>
      <w:tr w:rsidR="007B1B13" w14:paraId="6790F0EF" w14:textId="77777777" w:rsidTr="00FB6617">
        <w:trPr>
          <w:trHeight w:val="850"/>
          <w:jc w:val="center"/>
        </w:trPr>
        <w:tc>
          <w:tcPr>
            <w:tcW w:w="7400" w:type="dxa"/>
            <w:tcBorders>
              <w:top w:val="single" w:sz="4" w:space="0" w:color="auto"/>
              <w:left w:val="single" w:sz="4" w:space="0" w:color="auto"/>
              <w:bottom w:val="single" w:sz="4" w:space="0" w:color="auto"/>
              <w:right w:val="single" w:sz="4" w:space="0" w:color="auto"/>
            </w:tcBorders>
            <w:vAlign w:val="center"/>
            <w:hideMark/>
          </w:tcPr>
          <w:p w14:paraId="4AEAA21D" w14:textId="77777777" w:rsidR="007B1B13" w:rsidRDefault="007B1B13" w:rsidP="007B1B13">
            <w:pPr>
              <w:pStyle w:val="a4"/>
              <w:widowControl/>
              <w:numPr>
                <w:ilvl w:val="0"/>
                <w:numId w:val="42"/>
              </w:numPr>
              <w:spacing w:line="260" w:lineRule="exact"/>
              <w:ind w:leftChars="0" w:left="482" w:hanging="482"/>
              <w:jc w:val="both"/>
              <w:rPr>
                <w:rFonts w:ascii="標楷體" w:eastAsia="標楷體" w:hAnsi="標楷體"/>
                <w:sz w:val="20"/>
              </w:rPr>
            </w:pPr>
            <w:r>
              <w:rPr>
                <w:rFonts w:ascii="標楷體" w:eastAsia="標楷體" w:hAnsi="標楷體" w:hint="eastAsia"/>
                <w:sz w:val="20"/>
              </w:rPr>
              <w:t>為提供家庭照顧者多元支持服務，布建家庭照顧者支持中心，惟未考量個案分布狀況，妥為規劃各區課程（活動）場次；另男性個案參與率亦尚有提升空間，均有待督促檢討改善，以提升計畫執行成效。</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A0C27" w14:textId="77777777" w:rsidR="007B1B13" w:rsidRDefault="007B1B13">
            <w:pPr>
              <w:widowControl/>
              <w:spacing w:beforeAutospacing="1" w:afterAutospacing="1"/>
              <w:rPr>
                <w:rFonts w:ascii="標楷體" w:eastAsia="標楷體" w:hAnsi="標楷體"/>
                <w:sz w:val="20"/>
                <w:szCs w:val="24"/>
              </w:rPr>
            </w:pPr>
          </w:p>
        </w:tc>
      </w:tr>
      <w:tr w:rsidR="007B1B13" w14:paraId="52F082F7" w14:textId="77777777" w:rsidTr="00FB6617">
        <w:trPr>
          <w:trHeight w:val="850"/>
          <w:jc w:val="center"/>
        </w:trPr>
        <w:tc>
          <w:tcPr>
            <w:tcW w:w="7400" w:type="dxa"/>
            <w:tcBorders>
              <w:top w:val="single" w:sz="4" w:space="0" w:color="auto"/>
              <w:left w:val="single" w:sz="4" w:space="0" w:color="auto"/>
              <w:bottom w:val="single" w:sz="4" w:space="0" w:color="auto"/>
              <w:right w:val="single" w:sz="4" w:space="0" w:color="auto"/>
            </w:tcBorders>
            <w:vAlign w:val="center"/>
            <w:hideMark/>
          </w:tcPr>
          <w:p w14:paraId="3E77E694" w14:textId="77777777" w:rsidR="007B1B13" w:rsidRDefault="007B1B13" w:rsidP="007B1B13">
            <w:pPr>
              <w:pStyle w:val="a4"/>
              <w:widowControl/>
              <w:numPr>
                <w:ilvl w:val="0"/>
                <w:numId w:val="42"/>
              </w:numPr>
              <w:spacing w:line="260" w:lineRule="exact"/>
              <w:ind w:leftChars="0" w:left="482" w:hanging="482"/>
              <w:jc w:val="both"/>
              <w:rPr>
                <w:rFonts w:ascii="標楷體" w:eastAsia="標楷體" w:hAnsi="標楷體"/>
                <w:sz w:val="20"/>
              </w:rPr>
            </w:pPr>
            <w:r>
              <w:rPr>
                <w:rFonts w:ascii="標楷體" w:eastAsia="標楷體" w:hAnsi="標楷體" w:hint="eastAsia"/>
                <w:sz w:val="20"/>
              </w:rPr>
              <w:t>為滿足相關照護需求，積極擇定適宜場域，布建多元社會福利設施，惟部分建物已取得使用執照4至12個月不等，仍未能開辦業務；且部分預定於112或113年底前竣工並委外經營之社福設施，尚未完成委託經營案招標作業，有待積極</w:t>
            </w:r>
            <w:proofErr w:type="gramStart"/>
            <w:r>
              <w:rPr>
                <w:rFonts w:ascii="標楷體" w:eastAsia="標楷體" w:hAnsi="標楷體" w:hint="eastAsia"/>
                <w:sz w:val="20"/>
              </w:rPr>
              <w:t>研</w:t>
            </w:r>
            <w:proofErr w:type="gramEnd"/>
            <w:r>
              <w:rPr>
                <w:rFonts w:ascii="標楷體" w:eastAsia="標楷體" w:hAnsi="標楷體" w:hint="eastAsia"/>
                <w:sz w:val="20"/>
              </w:rPr>
              <w:t>謀改善。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588DF" w14:textId="77777777" w:rsidR="007B1B13" w:rsidRDefault="007B1B13">
            <w:pPr>
              <w:widowControl/>
              <w:spacing w:beforeAutospacing="1" w:afterAutospacing="1"/>
              <w:rPr>
                <w:rFonts w:ascii="標楷體" w:eastAsia="標楷體" w:hAnsi="標楷體"/>
                <w:sz w:val="20"/>
                <w:szCs w:val="24"/>
              </w:rPr>
            </w:pPr>
          </w:p>
        </w:tc>
      </w:tr>
      <w:tr w:rsidR="007B1B13" w14:paraId="77F5CAA9" w14:textId="77777777" w:rsidTr="00FB6617">
        <w:trPr>
          <w:trHeight w:val="794"/>
          <w:jc w:val="center"/>
        </w:trPr>
        <w:tc>
          <w:tcPr>
            <w:tcW w:w="7400" w:type="dxa"/>
            <w:tcBorders>
              <w:top w:val="single" w:sz="4" w:space="0" w:color="auto"/>
              <w:left w:val="single" w:sz="4" w:space="0" w:color="auto"/>
              <w:bottom w:val="single" w:sz="4" w:space="0" w:color="auto"/>
              <w:right w:val="single" w:sz="4" w:space="0" w:color="auto"/>
            </w:tcBorders>
            <w:vAlign w:val="center"/>
            <w:hideMark/>
          </w:tcPr>
          <w:p w14:paraId="6FDD2128" w14:textId="77777777" w:rsidR="007B1B13" w:rsidRDefault="007B1B13" w:rsidP="007B1B13">
            <w:pPr>
              <w:pStyle w:val="a4"/>
              <w:widowControl/>
              <w:numPr>
                <w:ilvl w:val="0"/>
                <w:numId w:val="42"/>
              </w:numPr>
              <w:spacing w:line="260" w:lineRule="exact"/>
              <w:ind w:leftChars="0" w:left="482" w:hanging="482"/>
              <w:jc w:val="both"/>
              <w:rPr>
                <w:rFonts w:ascii="標楷體" w:eastAsia="標楷體" w:hAnsi="標楷體"/>
                <w:sz w:val="20"/>
              </w:rPr>
            </w:pPr>
            <w:r>
              <w:rPr>
                <w:rFonts w:ascii="標楷體" w:eastAsia="標楷體" w:hAnsi="標楷體" w:hint="eastAsia"/>
                <w:sz w:val="20"/>
              </w:rPr>
              <w:t>為維護獨居長者社區居住安全，辦理獨居長者緊急救援系統服務計畫，惟</w:t>
            </w:r>
            <w:proofErr w:type="gramStart"/>
            <w:r>
              <w:rPr>
                <w:rFonts w:ascii="標楷體" w:eastAsia="標楷體" w:hAnsi="標楷體" w:hint="eastAsia"/>
                <w:sz w:val="20"/>
              </w:rPr>
              <w:t>間有列支非屬列</w:t>
            </w:r>
            <w:proofErr w:type="gramEnd"/>
            <w:r>
              <w:rPr>
                <w:rFonts w:ascii="標楷體" w:eastAsia="標楷體" w:hAnsi="標楷體" w:hint="eastAsia"/>
                <w:sz w:val="20"/>
              </w:rPr>
              <w:t>冊之獨居長者及未依契約規定頻率辦理居家訪視，均有待檢討改善，以提升服務品質。</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DFD29" w14:textId="77777777" w:rsidR="007B1B13" w:rsidRDefault="007B1B13">
            <w:pPr>
              <w:widowControl/>
              <w:spacing w:beforeAutospacing="1" w:afterAutospacing="1"/>
              <w:rPr>
                <w:rFonts w:ascii="標楷體" w:eastAsia="標楷體" w:hAnsi="標楷體"/>
                <w:sz w:val="20"/>
                <w:szCs w:val="24"/>
              </w:rPr>
            </w:pPr>
          </w:p>
        </w:tc>
      </w:tr>
    </w:tbl>
    <w:p w14:paraId="543C157D" w14:textId="6319E7EF" w:rsidR="004551F8" w:rsidRPr="00B474B8" w:rsidRDefault="00C0210B" w:rsidP="007B1B13">
      <w:pPr>
        <w:widowControl/>
        <w:rPr>
          <w:rFonts w:ascii="標楷體" w:eastAsia="標楷體" w:hAnsi="標楷體" w:cs="Times New Roman"/>
          <w:b/>
          <w:sz w:val="36"/>
          <w:szCs w:val="36"/>
        </w:rPr>
      </w:pPr>
      <w:r>
        <w:rPr>
          <w:rFonts w:ascii="標楷體" w:eastAsia="標楷體" w:hAnsi="標楷體" w:cs="Times New Roman"/>
          <w:b/>
          <w:sz w:val="36"/>
          <w:szCs w:val="36"/>
        </w:rPr>
        <w:br w:type="page"/>
      </w:r>
      <w:r w:rsidR="004551F8" w:rsidRPr="00B474B8">
        <w:rPr>
          <w:rFonts w:ascii="標楷體" w:eastAsia="標楷體" w:hAnsi="標楷體" w:cs="Times New Roman" w:hint="eastAsia"/>
          <w:b/>
          <w:sz w:val="36"/>
          <w:szCs w:val="36"/>
        </w:rPr>
        <w:lastRenderedPageBreak/>
        <w:t>拾、勞動局主管</w:t>
      </w:r>
    </w:p>
    <w:p w14:paraId="201138E0" w14:textId="77777777" w:rsidR="004551F8" w:rsidRPr="00B474B8" w:rsidRDefault="004551F8" w:rsidP="004551F8">
      <w:pPr>
        <w:overflowPunct w:val="0"/>
        <w:spacing w:line="436"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勞動局主管計有公務機關5個，非營業特種基金單位2個，各該單位決算及附屬單位決算非營業部分之審核情形如次：</w:t>
      </w:r>
    </w:p>
    <w:p w14:paraId="4FBFA265" w14:textId="77777777" w:rsidR="004551F8" w:rsidRPr="00B474B8" w:rsidRDefault="004551F8" w:rsidP="004551F8">
      <w:pPr>
        <w:overflowPunct w:val="0"/>
        <w:spacing w:before="120" w:after="120" w:line="440" w:lineRule="exact"/>
        <w:jc w:val="both"/>
        <w:rPr>
          <w:rFonts w:ascii="標楷體" w:eastAsia="標楷體" w:hAnsi="標楷體" w:cs="Times New Roman"/>
          <w:b/>
          <w:sz w:val="32"/>
          <w:szCs w:val="32"/>
        </w:rPr>
      </w:pPr>
      <w:r w:rsidRPr="00B474B8">
        <w:rPr>
          <w:rFonts w:ascii="標楷體" w:eastAsia="標楷體" w:hAnsi="標楷體" w:cs="Times New Roman" w:hint="eastAsia"/>
          <w:b/>
          <w:sz w:val="32"/>
          <w:szCs w:val="32"/>
        </w:rPr>
        <w:t>一、單位決算部分</w:t>
      </w:r>
    </w:p>
    <w:p w14:paraId="05C5DF4D" w14:textId="77777777" w:rsidR="004551F8" w:rsidRPr="00B474B8" w:rsidRDefault="004551F8" w:rsidP="004551F8">
      <w:pPr>
        <w:overflowPunct w:val="0"/>
        <w:spacing w:line="436"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勞動局主管包括勞動局、就業服務處、職能發展學院、勞動檢查處、勞動力重建運用處等5個機關，掌理各項勞工行政、就業輔導、職業訓練及技能檢定、勞動條件及安全檢查、身心障礙者就業等業務。茲將</w:t>
      </w:r>
      <w:proofErr w:type="gramStart"/>
      <w:r w:rsidRPr="00B474B8">
        <w:rPr>
          <w:rFonts w:ascii="標楷體" w:eastAsia="標楷體" w:hAnsi="標楷體" w:cs="Times New Roman" w:hint="eastAsia"/>
          <w:szCs w:val="24"/>
        </w:rPr>
        <w:t>11</w:t>
      </w:r>
      <w:r w:rsidRPr="00B474B8">
        <w:rPr>
          <w:rFonts w:ascii="標楷體" w:eastAsia="標楷體" w:hAnsi="標楷體" w:cs="Times New Roman"/>
          <w:szCs w:val="24"/>
        </w:rPr>
        <w:t>3</w:t>
      </w:r>
      <w:proofErr w:type="gramEnd"/>
      <w:r w:rsidRPr="00B474B8">
        <w:rPr>
          <w:rFonts w:ascii="標楷體" w:eastAsia="標楷體" w:hAnsi="標楷體" w:cs="Times New Roman" w:hint="eastAsia"/>
          <w:szCs w:val="24"/>
        </w:rPr>
        <w:t>年度決算審核結果說明如次：</w:t>
      </w:r>
    </w:p>
    <w:p w14:paraId="131441F3" w14:textId="77777777" w:rsidR="004551F8" w:rsidRPr="00B474B8" w:rsidRDefault="004551F8" w:rsidP="004551F8">
      <w:pPr>
        <w:overflowPunct w:val="0"/>
        <w:spacing w:before="120" w:after="120" w:line="44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（一）計畫實施之查核</w:t>
      </w:r>
    </w:p>
    <w:p w14:paraId="0B32CADE" w14:textId="77777777" w:rsidR="004551F8" w:rsidRPr="00B474B8" w:rsidRDefault="004551F8" w:rsidP="004551F8">
      <w:pPr>
        <w:overflowPunct w:val="0"/>
        <w:spacing w:line="436"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業務計畫25項，下分工作計畫31項，包括維護勞工權益、加強就業輔導、辦理職業訓練、勞動檢查業務、促進身心障礙者就業等重要施政項目，其中已執行完成者2</w:t>
      </w:r>
      <w:r w:rsidRPr="00B474B8">
        <w:rPr>
          <w:rFonts w:ascii="標楷體" w:eastAsia="標楷體" w:hAnsi="標楷體" w:cs="Times New Roman"/>
          <w:szCs w:val="24"/>
        </w:rPr>
        <w:t>8</w:t>
      </w:r>
      <w:r w:rsidRPr="00B474B8">
        <w:rPr>
          <w:rFonts w:ascii="標楷體" w:eastAsia="標楷體" w:hAnsi="標楷體" w:cs="Times New Roman" w:hint="eastAsia"/>
          <w:szCs w:val="24"/>
        </w:rPr>
        <w:t>項，尚在執行者</w:t>
      </w:r>
      <w:r w:rsidRPr="00B474B8">
        <w:rPr>
          <w:rFonts w:ascii="標楷體" w:eastAsia="標楷體" w:hAnsi="標楷體" w:cs="Times New Roman"/>
          <w:szCs w:val="24"/>
        </w:rPr>
        <w:t>3</w:t>
      </w:r>
      <w:r w:rsidRPr="00B474B8">
        <w:rPr>
          <w:rFonts w:ascii="標楷體" w:eastAsia="標楷體" w:hAnsi="標楷體" w:cs="Times New Roman" w:hint="eastAsia"/>
          <w:szCs w:val="24"/>
        </w:rPr>
        <w:t>項，主要係職能發展學院辦理原機工大樓及學員宿舍用地改建工程，履約期程跨年度，須保留繼續執行。</w:t>
      </w:r>
    </w:p>
    <w:p w14:paraId="369D53FB" w14:textId="77777777" w:rsidR="004551F8" w:rsidRPr="00B474B8" w:rsidRDefault="004551F8" w:rsidP="004551F8">
      <w:pPr>
        <w:overflowPunct w:val="0"/>
        <w:spacing w:before="120" w:after="120" w:line="44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（二）預算執行之審核</w:t>
      </w:r>
    </w:p>
    <w:p w14:paraId="4CAB99E7" w14:textId="77777777" w:rsidR="004551F8" w:rsidRPr="00B474B8" w:rsidRDefault="004551F8" w:rsidP="004551F8">
      <w:pPr>
        <w:overflowPunct w:val="0"/>
        <w:spacing w:line="430" w:lineRule="exact"/>
        <w:ind w:firstLineChars="200" w:firstLine="480"/>
        <w:jc w:val="both"/>
        <w:rPr>
          <w:rFonts w:ascii="標楷體" w:eastAsia="標楷體" w:hAnsi="標楷體" w:cs="Times New Roman"/>
          <w:szCs w:val="24"/>
          <w:highlight w:val="yellow"/>
        </w:rPr>
      </w:pPr>
      <w:r w:rsidRPr="00B474B8">
        <w:rPr>
          <w:rFonts w:ascii="標楷體" w:eastAsia="標楷體" w:hAnsi="標楷體" w:cs="Times New Roman" w:hint="eastAsia"/>
          <w:szCs w:val="24"/>
        </w:rPr>
        <w:t>1.歲入原編列預算數2億</w:t>
      </w:r>
      <w:r w:rsidRPr="00B474B8">
        <w:rPr>
          <w:rFonts w:ascii="標楷體" w:eastAsia="標楷體" w:hAnsi="標楷體" w:cs="Times New Roman"/>
          <w:szCs w:val="24"/>
        </w:rPr>
        <w:t>6</w:t>
      </w:r>
      <w:r w:rsidRPr="00B474B8">
        <w:rPr>
          <w:rFonts w:ascii="標楷體" w:eastAsia="標楷體" w:hAnsi="標楷體" w:cs="Times New Roman" w:hint="eastAsia"/>
          <w:szCs w:val="24"/>
        </w:rPr>
        <w:t>,</w:t>
      </w:r>
      <w:r w:rsidRPr="00B474B8">
        <w:rPr>
          <w:rFonts w:ascii="標楷體" w:eastAsia="標楷體" w:hAnsi="標楷體" w:cs="Times New Roman"/>
          <w:szCs w:val="24"/>
        </w:rPr>
        <w:t>52</w:t>
      </w:r>
      <w:r w:rsidRPr="00B474B8">
        <w:rPr>
          <w:rFonts w:ascii="標楷體" w:eastAsia="標楷體" w:hAnsi="標楷體" w:cs="Times New Roman" w:hint="eastAsia"/>
          <w:szCs w:val="24"/>
        </w:rPr>
        <w:t>0萬餘元，經追加預算4億8,</w:t>
      </w:r>
      <w:r w:rsidRPr="00B474B8">
        <w:rPr>
          <w:rFonts w:ascii="標楷體" w:eastAsia="標楷體" w:hAnsi="標楷體" w:cs="Times New Roman"/>
          <w:szCs w:val="24"/>
        </w:rPr>
        <w:t>071</w:t>
      </w:r>
      <w:r w:rsidRPr="00B474B8">
        <w:rPr>
          <w:rFonts w:ascii="標楷體" w:eastAsia="標楷體" w:hAnsi="標楷體" w:cs="Times New Roman" w:hint="eastAsia"/>
          <w:szCs w:val="24"/>
        </w:rPr>
        <w:t>萬餘元，合計7億</w:t>
      </w:r>
      <w:r w:rsidRPr="00B474B8">
        <w:rPr>
          <w:rFonts w:ascii="標楷體" w:eastAsia="標楷體" w:hAnsi="標楷體" w:cs="Times New Roman"/>
          <w:szCs w:val="24"/>
        </w:rPr>
        <w:t>4</w:t>
      </w:r>
      <w:r w:rsidRPr="00B474B8">
        <w:rPr>
          <w:rFonts w:ascii="標楷體" w:eastAsia="標楷體" w:hAnsi="標楷體" w:cs="Times New Roman" w:hint="eastAsia"/>
          <w:szCs w:val="24"/>
        </w:rPr>
        <w:t>,</w:t>
      </w:r>
      <w:r w:rsidRPr="00B474B8">
        <w:rPr>
          <w:rFonts w:ascii="標楷體" w:eastAsia="標楷體" w:hAnsi="標楷體" w:cs="Times New Roman"/>
          <w:szCs w:val="24"/>
        </w:rPr>
        <w:t>5</w:t>
      </w:r>
      <w:r w:rsidRPr="00B474B8">
        <w:rPr>
          <w:rFonts w:ascii="標楷體" w:eastAsia="標楷體" w:hAnsi="標楷體" w:cs="Times New Roman" w:hint="eastAsia"/>
          <w:szCs w:val="24"/>
        </w:rPr>
        <w:t>9</w:t>
      </w:r>
      <w:r w:rsidRPr="00B474B8">
        <w:rPr>
          <w:rFonts w:ascii="標楷體" w:eastAsia="標楷體" w:hAnsi="標楷體" w:cs="Times New Roman"/>
          <w:szCs w:val="24"/>
        </w:rPr>
        <w:t>2</w:t>
      </w:r>
      <w:r w:rsidRPr="00B474B8">
        <w:rPr>
          <w:rFonts w:ascii="標楷體" w:eastAsia="標楷體" w:hAnsi="標楷體" w:cs="Times New Roman" w:hint="eastAsia"/>
          <w:szCs w:val="24"/>
        </w:rPr>
        <w:t>萬餘元，決算審核結果，審定實現數6億</w:t>
      </w:r>
      <w:r w:rsidRPr="00B474B8">
        <w:rPr>
          <w:rFonts w:ascii="標楷體" w:eastAsia="標楷體" w:hAnsi="標楷體" w:cs="Times New Roman"/>
          <w:szCs w:val="24"/>
        </w:rPr>
        <w:t>4</w:t>
      </w:r>
      <w:r w:rsidRPr="00B474B8">
        <w:rPr>
          <w:rFonts w:ascii="標楷體" w:eastAsia="標楷體" w:hAnsi="標楷體" w:cs="Times New Roman" w:hint="eastAsia"/>
          <w:szCs w:val="24"/>
        </w:rPr>
        <w:t>,</w:t>
      </w:r>
      <w:r w:rsidRPr="00B474B8">
        <w:rPr>
          <w:rFonts w:ascii="標楷體" w:eastAsia="標楷體" w:hAnsi="標楷體" w:cs="Times New Roman"/>
          <w:szCs w:val="24"/>
        </w:rPr>
        <w:t>955</w:t>
      </w:r>
      <w:r w:rsidRPr="00B474B8">
        <w:rPr>
          <w:rFonts w:ascii="標楷體" w:eastAsia="標楷體" w:hAnsi="標楷體" w:cs="Times New Roman" w:hint="eastAsia"/>
          <w:szCs w:val="24"/>
        </w:rPr>
        <w:t>萬餘元，應收保留數</w:t>
      </w:r>
      <w:r w:rsidRPr="00B474B8">
        <w:rPr>
          <w:rFonts w:ascii="標楷體" w:eastAsia="標楷體" w:hAnsi="標楷體" w:cs="Times New Roman"/>
          <w:szCs w:val="24"/>
        </w:rPr>
        <w:t>7</w:t>
      </w:r>
      <w:r w:rsidRPr="00B474B8">
        <w:rPr>
          <w:rFonts w:ascii="標楷體" w:eastAsia="標楷體" w:hAnsi="標楷體" w:cs="Times New Roman" w:hint="eastAsia"/>
          <w:szCs w:val="24"/>
        </w:rPr>
        <w:t>,</w:t>
      </w:r>
      <w:r w:rsidRPr="00B474B8">
        <w:rPr>
          <w:rFonts w:ascii="標楷體" w:eastAsia="標楷體" w:hAnsi="標楷體" w:cs="Times New Roman"/>
          <w:szCs w:val="24"/>
        </w:rPr>
        <w:t>065</w:t>
      </w:r>
      <w:r w:rsidRPr="00B474B8">
        <w:rPr>
          <w:rFonts w:ascii="標楷體" w:eastAsia="標楷體" w:hAnsi="標楷體" w:cs="Times New Roman" w:hint="eastAsia"/>
          <w:szCs w:val="24"/>
        </w:rPr>
        <w:t>萬餘元，主要係勞動局之違反勞動法令之罰鍰尚待收繳；合計決算審定數為</w:t>
      </w:r>
      <w:r w:rsidRPr="00B474B8">
        <w:rPr>
          <w:rFonts w:ascii="標楷體" w:eastAsia="標楷體" w:hAnsi="標楷體" w:cs="Times New Roman"/>
          <w:szCs w:val="24"/>
        </w:rPr>
        <w:t>7</w:t>
      </w:r>
      <w:r w:rsidRPr="00B474B8">
        <w:rPr>
          <w:rFonts w:ascii="標楷體" w:eastAsia="標楷體" w:hAnsi="標楷體" w:cs="Times New Roman" w:hint="eastAsia"/>
          <w:szCs w:val="24"/>
        </w:rPr>
        <w:t>億</w:t>
      </w:r>
      <w:r w:rsidRPr="00B474B8">
        <w:rPr>
          <w:rFonts w:ascii="標楷體" w:eastAsia="標楷體" w:hAnsi="標楷體" w:cs="Times New Roman"/>
          <w:szCs w:val="24"/>
        </w:rPr>
        <w:t>2,</w:t>
      </w:r>
      <w:r w:rsidRPr="00B474B8">
        <w:rPr>
          <w:rFonts w:ascii="標楷體" w:eastAsia="標楷體" w:hAnsi="標楷體" w:cs="Times New Roman" w:hint="eastAsia"/>
          <w:szCs w:val="24"/>
        </w:rPr>
        <w:t>0</w:t>
      </w:r>
      <w:r w:rsidRPr="00B474B8">
        <w:rPr>
          <w:rFonts w:ascii="標楷體" w:eastAsia="標楷體" w:hAnsi="標楷體" w:cs="Times New Roman"/>
          <w:szCs w:val="24"/>
        </w:rPr>
        <w:t>20</w:t>
      </w:r>
      <w:r w:rsidRPr="00B474B8">
        <w:rPr>
          <w:rFonts w:ascii="標楷體" w:eastAsia="標楷體" w:hAnsi="標楷體" w:cs="Times New Roman" w:hint="eastAsia"/>
          <w:szCs w:val="24"/>
        </w:rPr>
        <w:t>萬餘元，較預算減少</w:t>
      </w:r>
      <w:r w:rsidRPr="00B474B8">
        <w:rPr>
          <w:rFonts w:ascii="標楷體" w:eastAsia="標楷體" w:hAnsi="標楷體" w:cs="Times New Roman"/>
          <w:szCs w:val="24"/>
        </w:rPr>
        <w:t>2</w:t>
      </w:r>
      <w:r w:rsidRPr="00B474B8">
        <w:rPr>
          <w:rFonts w:ascii="標楷體" w:eastAsia="標楷體" w:hAnsi="標楷體" w:cs="Times New Roman" w:hint="eastAsia"/>
          <w:szCs w:val="24"/>
        </w:rPr>
        <w:t>,5</w:t>
      </w:r>
      <w:r w:rsidRPr="00B474B8">
        <w:rPr>
          <w:rFonts w:ascii="標楷體" w:eastAsia="標楷體" w:hAnsi="標楷體" w:cs="Times New Roman"/>
          <w:szCs w:val="24"/>
        </w:rPr>
        <w:t>71</w:t>
      </w:r>
      <w:r w:rsidRPr="00B474B8">
        <w:rPr>
          <w:rFonts w:ascii="標楷體" w:eastAsia="標楷體" w:hAnsi="標楷體" w:cs="Times New Roman" w:hint="eastAsia"/>
          <w:szCs w:val="24"/>
        </w:rPr>
        <w:t>萬餘元（</w:t>
      </w:r>
      <w:r w:rsidRPr="00B474B8">
        <w:rPr>
          <w:rFonts w:ascii="標楷體" w:eastAsia="標楷體" w:hAnsi="標楷體" w:cs="Times New Roman"/>
          <w:szCs w:val="24"/>
        </w:rPr>
        <w:t>3</w:t>
      </w:r>
      <w:r w:rsidRPr="00B474B8">
        <w:rPr>
          <w:rFonts w:ascii="標楷體" w:eastAsia="標楷體" w:hAnsi="標楷體" w:cs="Times New Roman" w:hint="eastAsia"/>
          <w:szCs w:val="24"/>
        </w:rPr>
        <w:t>.</w:t>
      </w:r>
      <w:r w:rsidRPr="00B474B8">
        <w:rPr>
          <w:rFonts w:ascii="標楷體" w:eastAsia="標楷體" w:hAnsi="標楷體" w:cs="Times New Roman"/>
          <w:szCs w:val="24"/>
        </w:rPr>
        <w:t>45</w:t>
      </w:r>
      <w:r w:rsidRPr="00B474B8">
        <w:rPr>
          <w:rFonts w:ascii="標楷體" w:eastAsia="標楷體" w:hAnsi="標楷體" w:cs="Times New Roman" w:hint="eastAsia"/>
          <w:szCs w:val="24"/>
        </w:rPr>
        <w:t>％），主要係中央補助就業服務處辦理特定對象暨弱勢者就業服務計畫、專案缺工就業獎勵計畫，及補助勞動局辦理性別平等工作法律扶助計畫、工作場所性騷擾防治業務計畫等，補助款依實際執行情形核撥。</w:t>
      </w:r>
    </w:p>
    <w:p w14:paraId="6E3C04F6" w14:textId="77777777" w:rsidR="004551F8" w:rsidRPr="00B474B8" w:rsidRDefault="004551F8" w:rsidP="004551F8">
      <w:pPr>
        <w:overflowPunct w:val="0"/>
        <w:spacing w:line="43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2.以前年度歲入轉入數計1億2,</w:t>
      </w:r>
      <w:r w:rsidRPr="00B474B8">
        <w:rPr>
          <w:rFonts w:ascii="標楷體" w:eastAsia="標楷體" w:hAnsi="標楷體" w:cs="Times New Roman"/>
          <w:szCs w:val="24"/>
        </w:rPr>
        <w:t>334</w:t>
      </w:r>
      <w:r w:rsidRPr="00B474B8">
        <w:rPr>
          <w:rFonts w:ascii="標楷體" w:eastAsia="標楷體" w:hAnsi="標楷體" w:cs="Times New Roman" w:hint="eastAsia"/>
          <w:szCs w:val="24"/>
        </w:rPr>
        <w:t>萬餘元，決算審核結果，審定實現數3,</w:t>
      </w:r>
      <w:r w:rsidRPr="00B474B8">
        <w:rPr>
          <w:rFonts w:ascii="標楷體" w:eastAsia="標楷體" w:hAnsi="標楷體" w:cs="Times New Roman"/>
          <w:szCs w:val="24"/>
        </w:rPr>
        <w:t>719</w:t>
      </w:r>
      <w:r w:rsidRPr="00B474B8">
        <w:rPr>
          <w:rFonts w:ascii="標楷體" w:eastAsia="標楷體" w:hAnsi="標楷體" w:cs="Times New Roman" w:hint="eastAsia"/>
          <w:szCs w:val="24"/>
        </w:rPr>
        <w:t>萬餘元（3</w:t>
      </w:r>
      <w:r w:rsidRPr="00B474B8">
        <w:rPr>
          <w:rFonts w:ascii="標楷體" w:eastAsia="標楷體" w:hAnsi="標楷體" w:cs="Times New Roman"/>
          <w:szCs w:val="24"/>
        </w:rPr>
        <w:t>0</w:t>
      </w:r>
      <w:r w:rsidRPr="00B474B8">
        <w:rPr>
          <w:rFonts w:ascii="標楷體" w:eastAsia="標楷體" w:hAnsi="標楷體" w:cs="Times New Roman" w:hint="eastAsia"/>
          <w:szCs w:val="24"/>
        </w:rPr>
        <w:t>.</w:t>
      </w:r>
      <w:r w:rsidRPr="00B474B8">
        <w:rPr>
          <w:rFonts w:ascii="標楷體" w:eastAsia="標楷體" w:hAnsi="標楷體" w:cs="Times New Roman"/>
          <w:szCs w:val="24"/>
        </w:rPr>
        <w:t>16</w:t>
      </w:r>
      <w:r w:rsidRPr="00B474B8">
        <w:rPr>
          <w:rFonts w:ascii="標楷體" w:eastAsia="標楷體" w:hAnsi="標楷體" w:cs="Times New Roman" w:hint="eastAsia"/>
          <w:szCs w:val="24"/>
        </w:rPr>
        <w:t>％）；減免（註銷）數3,</w:t>
      </w:r>
      <w:r w:rsidRPr="00B474B8">
        <w:rPr>
          <w:rFonts w:ascii="標楷體" w:eastAsia="標楷體" w:hAnsi="標楷體" w:cs="Times New Roman"/>
          <w:szCs w:val="24"/>
        </w:rPr>
        <w:t>185</w:t>
      </w:r>
      <w:r w:rsidRPr="00B474B8">
        <w:rPr>
          <w:rFonts w:ascii="標楷體" w:eastAsia="標楷體" w:hAnsi="標楷體" w:cs="Times New Roman" w:hint="eastAsia"/>
          <w:szCs w:val="24"/>
        </w:rPr>
        <w:t>萬餘元（2</w:t>
      </w:r>
      <w:r w:rsidRPr="00B474B8">
        <w:rPr>
          <w:rFonts w:ascii="標楷體" w:eastAsia="標楷體" w:hAnsi="標楷體" w:cs="Times New Roman"/>
          <w:szCs w:val="24"/>
        </w:rPr>
        <w:t>5</w:t>
      </w:r>
      <w:r w:rsidRPr="00B474B8">
        <w:rPr>
          <w:rFonts w:ascii="標楷體" w:eastAsia="標楷體" w:hAnsi="標楷體" w:cs="Times New Roman" w:hint="eastAsia"/>
          <w:szCs w:val="24"/>
        </w:rPr>
        <w:t>.</w:t>
      </w:r>
      <w:r w:rsidRPr="00B474B8">
        <w:rPr>
          <w:rFonts w:ascii="標楷體" w:eastAsia="標楷體" w:hAnsi="標楷體" w:cs="Times New Roman"/>
          <w:szCs w:val="24"/>
        </w:rPr>
        <w:t>82</w:t>
      </w:r>
      <w:r w:rsidRPr="00B474B8">
        <w:rPr>
          <w:rFonts w:ascii="標楷體" w:eastAsia="標楷體" w:hAnsi="標楷體" w:cs="Times New Roman" w:hint="eastAsia"/>
          <w:szCs w:val="24"/>
        </w:rPr>
        <w:t>％），主要係勞動局之違反勞動法令之裁罰案件，依法取得執行憑證辦理註銷；應收保留數</w:t>
      </w:r>
      <w:r w:rsidRPr="00B474B8">
        <w:rPr>
          <w:rFonts w:ascii="標楷體" w:eastAsia="標楷體" w:hAnsi="標楷體" w:cs="Times New Roman"/>
          <w:szCs w:val="24"/>
        </w:rPr>
        <w:t>5</w:t>
      </w:r>
      <w:r w:rsidRPr="00B474B8">
        <w:rPr>
          <w:rFonts w:ascii="標楷體" w:eastAsia="標楷體" w:hAnsi="標楷體" w:cs="Times New Roman" w:hint="eastAsia"/>
          <w:szCs w:val="24"/>
        </w:rPr>
        <w:t>,</w:t>
      </w:r>
      <w:r w:rsidRPr="00B474B8">
        <w:rPr>
          <w:rFonts w:ascii="標楷體" w:eastAsia="標楷體" w:hAnsi="標楷體" w:cs="Times New Roman"/>
          <w:szCs w:val="24"/>
        </w:rPr>
        <w:t>4</w:t>
      </w:r>
      <w:r w:rsidRPr="00B474B8">
        <w:rPr>
          <w:rFonts w:ascii="標楷體" w:eastAsia="標楷體" w:hAnsi="標楷體" w:cs="Times New Roman" w:hint="eastAsia"/>
          <w:szCs w:val="24"/>
        </w:rPr>
        <w:t>29萬餘元（4</w:t>
      </w:r>
      <w:r w:rsidRPr="00B474B8">
        <w:rPr>
          <w:rFonts w:ascii="標楷體" w:eastAsia="標楷體" w:hAnsi="標楷體" w:cs="Times New Roman"/>
          <w:szCs w:val="24"/>
        </w:rPr>
        <w:t>4</w:t>
      </w:r>
      <w:r w:rsidRPr="00B474B8">
        <w:rPr>
          <w:rFonts w:ascii="標楷體" w:eastAsia="標楷體" w:hAnsi="標楷體" w:cs="Times New Roman" w:hint="eastAsia"/>
          <w:szCs w:val="24"/>
        </w:rPr>
        <w:t>.</w:t>
      </w:r>
      <w:r w:rsidRPr="00B474B8">
        <w:rPr>
          <w:rFonts w:ascii="標楷體" w:eastAsia="標楷體" w:hAnsi="標楷體" w:cs="Times New Roman"/>
          <w:szCs w:val="24"/>
        </w:rPr>
        <w:t>02</w:t>
      </w:r>
      <w:r w:rsidRPr="00B474B8">
        <w:rPr>
          <w:rFonts w:ascii="標楷體" w:eastAsia="標楷體" w:hAnsi="標楷體" w:cs="Times New Roman" w:hint="eastAsia"/>
          <w:szCs w:val="24"/>
        </w:rPr>
        <w:t>％），主要係勞動局之違反勞動法令之罰鍰尚待收繳。</w:t>
      </w:r>
    </w:p>
    <w:p w14:paraId="0F974D9A" w14:textId="77777777" w:rsidR="004551F8" w:rsidRPr="00B474B8" w:rsidRDefault="004551F8" w:rsidP="004551F8">
      <w:pPr>
        <w:overflowPunct w:val="0"/>
        <w:spacing w:line="43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3.歲出原編列預算數</w:t>
      </w:r>
      <w:r w:rsidRPr="00B474B8">
        <w:rPr>
          <w:rFonts w:ascii="標楷體" w:eastAsia="標楷體" w:hAnsi="標楷體" w:cs="Times New Roman"/>
          <w:szCs w:val="24"/>
        </w:rPr>
        <w:t>13</w:t>
      </w:r>
      <w:r w:rsidRPr="00B474B8">
        <w:rPr>
          <w:rFonts w:ascii="標楷體" w:eastAsia="標楷體" w:hAnsi="標楷體" w:cs="Times New Roman" w:hint="eastAsia"/>
          <w:szCs w:val="24"/>
        </w:rPr>
        <w:t>億2,</w:t>
      </w:r>
      <w:r w:rsidRPr="00B474B8">
        <w:rPr>
          <w:rFonts w:ascii="標楷體" w:eastAsia="標楷體" w:hAnsi="標楷體" w:cs="Times New Roman"/>
          <w:szCs w:val="24"/>
        </w:rPr>
        <w:t>963</w:t>
      </w:r>
      <w:r w:rsidRPr="00B474B8">
        <w:rPr>
          <w:rFonts w:ascii="標楷體" w:eastAsia="標楷體" w:hAnsi="標楷體" w:cs="Times New Roman" w:hint="eastAsia"/>
          <w:szCs w:val="24"/>
        </w:rPr>
        <w:t>萬餘元，經追加預算8億6,2</w:t>
      </w:r>
      <w:r w:rsidRPr="00B474B8">
        <w:rPr>
          <w:rFonts w:ascii="標楷體" w:eastAsia="標楷體" w:hAnsi="標楷體" w:cs="Times New Roman"/>
          <w:szCs w:val="24"/>
        </w:rPr>
        <w:t>81</w:t>
      </w:r>
      <w:r w:rsidRPr="00B474B8">
        <w:rPr>
          <w:rFonts w:ascii="標楷體" w:eastAsia="標楷體" w:hAnsi="標楷體" w:cs="Times New Roman" w:hint="eastAsia"/>
          <w:szCs w:val="24"/>
        </w:rPr>
        <w:t>萬餘元，追減預算1</w:t>
      </w:r>
      <w:r w:rsidRPr="00B474B8">
        <w:rPr>
          <w:rFonts w:ascii="標楷體" w:eastAsia="標楷體" w:hAnsi="標楷體" w:cs="Times New Roman"/>
          <w:szCs w:val="24"/>
        </w:rPr>
        <w:t>,336</w:t>
      </w:r>
      <w:r w:rsidRPr="00B474B8">
        <w:rPr>
          <w:rFonts w:ascii="標楷體" w:eastAsia="標楷體" w:hAnsi="標楷體" w:cs="Times New Roman" w:hint="eastAsia"/>
          <w:szCs w:val="24"/>
        </w:rPr>
        <w:t>萬餘元，及職能發展學院、勞動檢查處、勞動力重建運用處因人事費不足申請動支各類員工待遇準備816萬餘元，合計21億8,724萬餘元，決算審核結果，審定實現數18億668萬餘元（82.60％），應付保留數2億2,846萬餘元（10.45％），保留原因詳「（一）計畫實施之查核」說明；合計決算審定數為20億3,514萬餘元，預算賸餘1億5</w:t>
      </w:r>
      <w:r w:rsidRPr="00B474B8">
        <w:rPr>
          <w:rFonts w:ascii="標楷體" w:eastAsia="標楷體" w:hAnsi="標楷體" w:cs="Times New Roman"/>
          <w:szCs w:val="24"/>
        </w:rPr>
        <w:t>,</w:t>
      </w:r>
      <w:r w:rsidRPr="00B474B8">
        <w:rPr>
          <w:rFonts w:ascii="標楷體" w:eastAsia="標楷體" w:hAnsi="標楷體" w:cs="Times New Roman" w:hint="eastAsia"/>
          <w:szCs w:val="24"/>
        </w:rPr>
        <w:t>209萬餘元（6.95％），主要係中央補助就業服務處辦理特定對象暨弱勢者就業服務計畫、專案缺工就業獎勵計畫，及補助勞動局辦理性別平等工作法律扶助計畫、工作場所性騷擾防治業務計畫等，民眾申請件數較預計減少。</w:t>
      </w:r>
    </w:p>
    <w:p w14:paraId="3A88C6B7" w14:textId="77777777" w:rsidR="004551F8" w:rsidRPr="00B474B8" w:rsidRDefault="004551F8" w:rsidP="004551F8">
      <w:pPr>
        <w:overflowPunct w:val="0"/>
        <w:spacing w:line="440" w:lineRule="exact"/>
        <w:ind w:firstLineChars="200" w:firstLine="472"/>
        <w:jc w:val="both"/>
        <w:rPr>
          <w:rFonts w:ascii="標楷體" w:eastAsia="標楷體" w:hAnsi="標楷體" w:cs="Times New Roman"/>
          <w:spacing w:val="-2"/>
          <w:szCs w:val="24"/>
          <w:highlight w:val="yellow"/>
        </w:rPr>
      </w:pPr>
      <w:r w:rsidRPr="00B474B8">
        <w:rPr>
          <w:rFonts w:ascii="標楷體" w:eastAsia="標楷體" w:hAnsi="標楷體" w:cs="Times New Roman" w:hint="eastAsia"/>
          <w:spacing w:val="-2"/>
          <w:szCs w:val="24"/>
        </w:rPr>
        <w:lastRenderedPageBreak/>
        <w:t>4.</w:t>
      </w:r>
      <w:r w:rsidRPr="00B474B8">
        <w:rPr>
          <w:rFonts w:ascii="標楷體" w:eastAsia="標楷體" w:hAnsi="標楷體" w:cs="Times New Roman"/>
          <w:spacing w:val="-2"/>
          <w:szCs w:val="24"/>
        </w:rPr>
        <w:t>以前年度歲出轉入數計</w:t>
      </w:r>
      <w:r w:rsidRPr="00B474B8">
        <w:rPr>
          <w:rFonts w:ascii="標楷體" w:eastAsia="標楷體" w:hAnsi="標楷體" w:cs="Times New Roman" w:hint="eastAsia"/>
          <w:szCs w:val="24"/>
        </w:rPr>
        <w:t>7,900萬餘元</w:t>
      </w:r>
      <w:r w:rsidRPr="00B474B8">
        <w:rPr>
          <w:rFonts w:ascii="標楷體" w:eastAsia="標楷體" w:hAnsi="標楷體" w:cs="Times New Roman"/>
          <w:spacing w:val="-2"/>
          <w:szCs w:val="24"/>
        </w:rPr>
        <w:t>，決算審核結果，審定實現數</w:t>
      </w:r>
      <w:r w:rsidRPr="00B474B8">
        <w:rPr>
          <w:rFonts w:ascii="標楷體" w:eastAsia="標楷體" w:hAnsi="標楷體" w:cs="Times New Roman" w:hint="eastAsia"/>
          <w:szCs w:val="24"/>
        </w:rPr>
        <w:t>5,451萬餘元</w:t>
      </w:r>
      <w:r w:rsidRPr="00B474B8">
        <w:rPr>
          <w:rFonts w:ascii="標楷體" w:eastAsia="標楷體" w:hAnsi="標楷體" w:cs="Times New Roman"/>
          <w:spacing w:val="-2"/>
          <w:szCs w:val="24"/>
        </w:rPr>
        <w:t>（</w:t>
      </w:r>
      <w:r w:rsidRPr="00B474B8">
        <w:rPr>
          <w:rFonts w:ascii="標楷體" w:eastAsia="標楷體" w:hAnsi="標楷體" w:cs="Times New Roman" w:hint="eastAsia"/>
          <w:spacing w:val="-2"/>
          <w:szCs w:val="24"/>
        </w:rPr>
        <w:t>69.01</w:t>
      </w:r>
      <w:r w:rsidRPr="00B474B8">
        <w:rPr>
          <w:rFonts w:ascii="標楷體" w:eastAsia="標楷體" w:hAnsi="標楷體" w:cs="Times New Roman"/>
          <w:spacing w:val="-2"/>
          <w:szCs w:val="24"/>
        </w:rPr>
        <w:t>％）</w:t>
      </w:r>
      <w:r w:rsidRPr="00B474B8">
        <w:rPr>
          <w:rFonts w:ascii="標楷體" w:eastAsia="標楷體" w:hAnsi="標楷體" w:cs="Times New Roman" w:hint="eastAsia"/>
          <w:spacing w:val="-2"/>
          <w:szCs w:val="24"/>
        </w:rPr>
        <w:t>，減免（註銷）數4萬餘元（0.06％），主要係就業服務處辦理萬隆東營區社會福利設施新建工程案及新萬華就業服務</w:t>
      </w:r>
      <w:proofErr w:type="gramStart"/>
      <w:r w:rsidRPr="00B474B8">
        <w:rPr>
          <w:rFonts w:ascii="標楷體" w:eastAsia="標楷體" w:hAnsi="標楷體" w:cs="Times New Roman" w:hint="eastAsia"/>
          <w:spacing w:val="-2"/>
          <w:szCs w:val="24"/>
        </w:rPr>
        <w:t>臺</w:t>
      </w:r>
      <w:proofErr w:type="gramEnd"/>
      <w:r w:rsidRPr="00B474B8">
        <w:rPr>
          <w:rFonts w:ascii="標楷體" w:eastAsia="標楷體" w:hAnsi="標楷體" w:cs="Times New Roman" w:hint="eastAsia"/>
          <w:spacing w:val="-2"/>
          <w:szCs w:val="24"/>
        </w:rPr>
        <w:t>等室內裝修工程</w:t>
      </w:r>
      <w:r w:rsidRPr="00B474B8">
        <w:rPr>
          <w:rFonts w:ascii="標楷體" w:eastAsia="標楷體" w:hAnsi="標楷體" w:cs="Times New Roman" w:hint="eastAsia"/>
          <w:color w:val="000000" w:themeColor="text1"/>
          <w:spacing w:val="-2"/>
          <w:szCs w:val="24"/>
        </w:rPr>
        <w:t>結餘款</w:t>
      </w:r>
      <w:r w:rsidRPr="00B474B8">
        <w:rPr>
          <w:rFonts w:ascii="標楷體" w:eastAsia="標楷體" w:hAnsi="標楷體" w:cs="Times New Roman"/>
          <w:spacing w:val="-2"/>
          <w:szCs w:val="24"/>
        </w:rPr>
        <w:t>；應付保留數2,</w:t>
      </w:r>
      <w:r w:rsidRPr="00B474B8">
        <w:rPr>
          <w:rFonts w:ascii="標楷體" w:eastAsia="標楷體" w:hAnsi="標楷體" w:cs="Times New Roman" w:hint="eastAsia"/>
          <w:spacing w:val="-2"/>
          <w:szCs w:val="24"/>
        </w:rPr>
        <w:t>443</w:t>
      </w:r>
      <w:r w:rsidRPr="00B474B8">
        <w:rPr>
          <w:rFonts w:ascii="標楷體" w:eastAsia="標楷體" w:hAnsi="標楷體" w:cs="Times New Roman"/>
          <w:spacing w:val="-2"/>
          <w:szCs w:val="24"/>
        </w:rPr>
        <w:t>萬餘元（</w:t>
      </w:r>
      <w:r w:rsidRPr="00B474B8">
        <w:rPr>
          <w:rFonts w:ascii="標楷體" w:eastAsia="標楷體" w:hAnsi="標楷體" w:cs="Times New Roman" w:hint="eastAsia"/>
          <w:spacing w:val="-2"/>
          <w:szCs w:val="24"/>
        </w:rPr>
        <w:t>30</w:t>
      </w:r>
      <w:r w:rsidRPr="00B474B8">
        <w:rPr>
          <w:rFonts w:ascii="標楷體" w:eastAsia="標楷體" w:hAnsi="標楷體" w:cs="Times New Roman"/>
          <w:spacing w:val="-2"/>
          <w:szCs w:val="24"/>
        </w:rPr>
        <w:t>.</w:t>
      </w:r>
      <w:r w:rsidRPr="00B474B8">
        <w:rPr>
          <w:rFonts w:ascii="標楷體" w:eastAsia="標楷體" w:hAnsi="標楷體" w:cs="Times New Roman" w:hint="eastAsia"/>
          <w:spacing w:val="-2"/>
          <w:szCs w:val="24"/>
        </w:rPr>
        <w:t>93</w:t>
      </w:r>
      <w:r w:rsidRPr="00B474B8">
        <w:rPr>
          <w:rFonts w:ascii="標楷體" w:eastAsia="標楷體" w:hAnsi="標楷體" w:cs="Times New Roman"/>
          <w:spacing w:val="-2"/>
          <w:szCs w:val="24"/>
        </w:rPr>
        <w:t>％），主要係</w:t>
      </w:r>
      <w:r w:rsidRPr="00B474B8">
        <w:rPr>
          <w:rFonts w:ascii="標楷體" w:eastAsia="標楷體" w:hAnsi="標楷體" w:cs="Times New Roman" w:hint="eastAsia"/>
          <w:spacing w:val="-1"/>
          <w:szCs w:val="24"/>
        </w:rPr>
        <w:t>職能發展學院辦理</w:t>
      </w:r>
      <w:r w:rsidRPr="00B474B8">
        <w:rPr>
          <w:rFonts w:ascii="標楷體" w:eastAsia="標楷體" w:hAnsi="標楷體" w:cs="Times New Roman" w:hint="eastAsia"/>
          <w:spacing w:val="-2"/>
          <w:szCs w:val="24"/>
        </w:rPr>
        <w:t>變電站遷移工程，履約期程跨年度，須保留繼續執行。</w:t>
      </w:r>
    </w:p>
    <w:p w14:paraId="2C3C360B" w14:textId="77777777" w:rsidR="004551F8" w:rsidRPr="00B474B8" w:rsidRDefault="004551F8" w:rsidP="004551F8">
      <w:pPr>
        <w:overflowPunct w:val="0"/>
        <w:spacing w:before="120" w:after="120" w:line="440" w:lineRule="exact"/>
        <w:jc w:val="both"/>
        <w:rPr>
          <w:rFonts w:ascii="標楷體" w:eastAsia="標楷體" w:hAnsi="標楷體" w:cs="Times New Roman"/>
          <w:b/>
          <w:sz w:val="32"/>
          <w:szCs w:val="32"/>
        </w:rPr>
      </w:pPr>
      <w:r w:rsidRPr="00B474B8">
        <w:rPr>
          <w:rFonts w:ascii="標楷體" w:eastAsia="標楷體" w:hAnsi="標楷體" w:cs="Times New Roman" w:hint="eastAsia"/>
          <w:b/>
          <w:sz w:val="32"/>
          <w:szCs w:val="32"/>
        </w:rPr>
        <w:t>二、附屬單位決算非營業部分</w:t>
      </w:r>
    </w:p>
    <w:p w14:paraId="1CF21C7D" w14:textId="77777777" w:rsidR="004551F8" w:rsidRPr="00B474B8" w:rsidRDefault="004551F8" w:rsidP="004551F8">
      <w:pPr>
        <w:overflowPunct w:val="0"/>
        <w:spacing w:line="46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勞動局主管包括臺北市勞工權益基金、臺北市身心障礙者就業基金等共2個特別收入基金單位。茲將</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年度決算審核結果說明如次：</w:t>
      </w:r>
    </w:p>
    <w:p w14:paraId="0F3BAEBF" w14:textId="77777777" w:rsidR="004551F8" w:rsidRPr="00B474B8" w:rsidRDefault="004551F8" w:rsidP="004551F8">
      <w:pPr>
        <w:overflowPunct w:val="0"/>
        <w:spacing w:before="120" w:after="120" w:line="46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（一）計畫實施之查核</w:t>
      </w:r>
    </w:p>
    <w:p w14:paraId="7FAB85DD" w14:textId="77777777" w:rsidR="004551F8" w:rsidRPr="00B474B8" w:rsidRDefault="004551F8" w:rsidP="004551F8">
      <w:pPr>
        <w:overflowPunct w:val="0"/>
        <w:spacing w:line="440" w:lineRule="exact"/>
        <w:ind w:firstLineChars="200" w:firstLine="488"/>
        <w:jc w:val="both"/>
        <w:rPr>
          <w:rFonts w:ascii="標楷體" w:eastAsia="標楷體" w:hAnsi="標楷體" w:cs="Times New Roman"/>
          <w:spacing w:val="2"/>
          <w:szCs w:val="24"/>
        </w:rPr>
      </w:pPr>
      <w:r w:rsidRPr="00B474B8">
        <w:rPr>
          <w:rFonts w:ascii="標楷體" w:eastAsia="標楷體" w:hAnsi="標楷體" w:cs="Times New Roman" w:hint="eastAsia"/>
          <w:spacing w:val="2"/>
          <w:szCs w:val="24"/>
        </w:rPr>
        <w:t>業務計畫主要有保障勞工權益計畫、基金管理及企業進用獎助計畫、多元促進就業計畫、身心障礙者職業重建管理暨就業轉銜服務計畫、促進就業服務方案計畫等5項，實施結果，計有保障勞工權益計畫、身心障礙者職業重建管理暨就業轉銜服務計畫、促進就業服務方案計畫等3項，或因補助遊民穩定就業與求職交通補助金、促進勞工職業技能及勞工訴訟之裁判費、強制執行費等計畫</w:t>
      </w:r>
      <w:proofErr w:type="gramStart"/>
      <w:r w:rsidRPr="00B474B8">
        <w:rPr>
          <w:rFonts w:ascii="標楷體" w:eastAsia="標楷體" w:hAnsi="標楷體" w:cs="Times New Roman" w:hint="eastAsia"/>
          <w:spacing w:val="2"/>
          <w:szCs w:val="24"/>
        </w:rPr>
        <w:t>實支數較</w:t>
      </w:r>
      <w:proofErr w:type="gramEnd"/>
      <w:r w:rsidRPr="00B474B8">
        <w:rPr>
          <w:rFonts w:ascii="標楷體" w:eastAsia="標楷體" w:hAnsi="標楷體" w:cs="Times New Roman" w:hint="eastAsia"/>
          <w:spacing w:val="2"/>
          <w:szCs w:val="24"/>
        </w:rPr>
        <w:t>預計減少；或因辦理職業重建管理暨就業服務計畫委託案，受託單位人員聘用不足；或因補助辦理身心障礙者就業促進服務方案之人事費依實際需求支用等影響，致未達預計目標。</w:t>
      </w:r>
    </w:p>
    <w:p w14:paraId="723B5D21" w14:textId="77777777" w:rsidR="004551F8" w:rsidRPr="00B474B8" w:rsidRDefault="004551F8" w:rsidP="004551F8">
      <w:pPr>
        <w:overflowPunct w:val="0"/>
        <w:spacing w:before="120" w:after="120" w:line="46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（二）餘</w:t>
      </w:r>
      <w:proofErr w:type="gramStart"/>
      <w:r w:rsidRPr="00B474B8">
        <w:rPr>
          <w:rFonts w:ascii="標楷體" w:eastAsia="標楷體" w:hAnsi="標楷體" w:cs="Times New Roman" w:hint="eastAsia"/>
          <w:b/>
          <w:sz w:val="28"/>
          <w:szCs w:val="28"/>
        </w:rPr>
        <w:t>絀</w:t>
      </w:r>
      <w:proofErr w:type="gramEnd"/>
      <w:r w:rsidRPr="00B474B8">
        <w:rPr>
          <w:rFonts w:ascii="標楷體" w:eastAsia="標楷體" w:hAnsi="標楷體" w:cs="Times New Roman" w:hint="eastAsia"/>
          <w:b/>
          <w:sz w:val="28"/>
          <w:szCs w:val="28"/>
        </w:rPr>
        <w:t>之審定</w:t>
      </w:r>
    </w:p>
    <w:p w14:paraId="6A709FEA" w14:textId="77777777" w:rsidR="004551F8" w:rsidRPr="00B474B8" w:rsidRDefault="004551F8" w:rsidP="004551F8">
      <w:pPr>
        <w:overflowPunct w:val="0"/>
        <w:spacing w:line="44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決算審核結果，審定賸餘6</w:t>
      </w:r>
      <w:r w:rsidRPr="00B474B8">
        <w:rPr>
          <w:rFonts w:ascii="標楷體" w:eastAsia="標楷體" w:hAnsi="標楷體" w:cs="Times New Roman"/>
          <w:szCs w:val="24"/>
        </w:rPr>
        <w:t>,</w:t>
      </w:r>
      <w:r w:rsidRPr="00B474B8">
        <w:rPr>
          <w:rFonts w:ascii="標楷體" w:eastAsia="標楷體" w:hAnsi="標楷體" w:cs="Times New Roman" w:hint="eastAsia"/>
          <w:szCs w:val="24"/>
        </w:rPr>
        <w:t>560萬餘元，較預算賸餘2</w:t>
      </w:r>
      <w:r w:rsidRPr="00B474B8">
        <w:rPr>
          <w:rFonts w:ascii="標楷體" w:eastAsia="標楷體" w:hAnsi="標楷體" w:cs="Times New Roman"/>
          <w:szCs w:val="24"/>
        </w:rPr>
        <w:t>,</w:t>
      </w:r>
      <w:r w:rsidRPr="00B474B8">
        <w:rPr>
          <w:rFonts w:ascii="標楷體" w:eastAsia="標楷體" w:hAnsi="標楷體" w:cs="Times New Roman" w:hint="eastAsia"/>
          <w:szCs w:val="24"/>
        </w:rPr>
        <w:t>774萬餘元，增加3</w:t>
      </w:r>
      <w:r w:rsidRPr="00B474B8">
        <w:rPr>
          <w:rFonts w:ascii="標楷體" w:eastAsia="標楷體" w:hAnsi="標楷體" w:cs="Times New Roman"/>
          <w:szCs w:val="24"/>
        </w:rPr>
        <w:t>,</w:t>
      </w:r>
      <w:r w:rsidRPr="00B474B8">
        <w:rPr>
          <w:rFonts w:ascii="標楷體" w:eastAsia="標楷體" w:hAnsi="標楷體" w:cs="Times New Roman" w:hint="eastAsia"/>
          <w:szCs w:val="24"/>
        </w:rPr>
        <w:t>785萬餘元，約136</w:t>
      </w:r>
      <w:r w:rsidRPr="00B474B8">
        <w:rPr>
          <w:rFonts w:ascii="標楷體" w:eastAsia="標楷體" w:hAnsi="標楷體" w:cs="Times New Roman"/>
          <w:szCs w:val="24"/>
        </w:rPr>
        <w:t>.</w:t>
      </w:r>
      <w:r w:rsidRPr="00B474B8">
        <w:rPr>
          <w:rFonts w:ascii="標楷體" w:eastAsia="標楷體" w:hAnsi="標楷體" w:cs="Times New Roman" w:hint="eastAsia"/>
          <w:szCs w:val="24"/>
        </w:rPr>
        <w:t>45％，主要係補助遊民穩定就業與求職交通補助金、促進勞工職業技能及勞工訴訟之裁判費、強制執行費等計畫</w:t>
      </w:r>
      <w:proofErr w:type="gramStart"/>
      <w:r w:rsidRPr="00B474B8">
        <w:rPr>
          <w:rFonts w:ascii="標楷體" w:eastAsia="標楷體" w:hAnsi="標楷體" w:cs="Times New Roman" w:hint="eastAsia"/>
          <w:szCs w:val="24"/>
        </w:rPr>
        <w:t>實支數較</w:t>
      </w:r>
      <w:proofErr w:type="gramEnd"/>
      <w:r w:rsidRPr="00B474B8">
        <w:rPr>
          <w:rFonts w:ascii="標楷體" w:eastAsia="標楷體" w:hAnsi="標楷體" w:cs="Times New Roman" w:hint="eastAsia"/>
          <w:szCs w:val="24"/>
        </w:rPr>
        <w:t>預計減少，暨勞動部補助辦理身心障礙者庇護性就業服務計畫經費較預計增加所致。</w:t>
      </w:r>
    </w:p>
    <w:p w14:paraId="7DB3C79E" w14:textId="77777777" w:rsidR="004551F8" w:rsidRPr="00B474B8" w:rsidRDefault="004551F8" w:rsidP="004551F8">
      <w:pPr>
        <w:overflowPunct w:val="0"/>
        <w:spacing w:before="120" w:after="120" w:line="460" w:lineRule="exact"/>
        <w:jc w:val="both"/>
        <w:rPr>
          <w:rFonts w:ascii="標楷體" w:eastAsia="標楷體" w:hAnsi="標楷體" w:cs="Times New Roman"/>
          <w:b/>
          <w:sz w:val="32"/>
          <w:szCs w:val="32"/>
        </w:rPr>
      </w:pPr>
      <w:r w:rsidRPr="00B474B8">
        <w:rPr>
          <w:rFonts w:ascii="標楷體" w:eastAsia="標楷體" w:hAnsi="標楷體" w:cs="Times New Roman" w:hint="eastAsia"/>
          <w:b/>
          <w:sz w:val="32"/>
          <w:szCs w:val="32"/>
        </w:rPr>
        <w:t>三、重要審核意見</w:t>
      </w:r>
    </w:p>
    <w:p w14:paraId="74FE0303" w14:textId="77777777" w:rsidR="004551F8" w:rsidRPr="00B474B8" w:rsidRDefault="004551F8" w:rsidP="004551F8">
      <w:pPr>
        <w:overflowPunct w:val="0"/>
        <w:spacing w:before="120" w:after="120" w:line="440" w:lineRule="exact"/>
        <w:ind w:firstLineChars="100" w:firstLine="280"/>
        <w:jc w:val="both"/>
        <w:rPr>
          <w:rFonts w:ascii="標楷體" w:eastAsia="標楷體" w:hAnsi="標楷體" w:cs="Times New Roman"/>
          <w:b/>
          <w:szCs w:val="24"/>
        </w:rPr>
      </w:pPr>
      <w:r w:rsidRPr="00B474B8">
        <w:rPr>
          <w:rFonts w:ascii="標楷體" w:eastAsia="標楷體" w:hAnsi="標楷體" w:cs="Times New Roman" w:hint="eastAsia"/>
          <w:b/>
          <w:sz w:val="28"/>
          <w:szCs w:val="24"/>
        </w:rPr>
        <w:t>（一）</w:t>
      </w:r>
      <w:r w:rsidRPr="00B474B8">
        <w:rPr>
          <w:rFonts w:ascii="標楷體" w:eastAsia="標楷體" w:hAnsi="標楷體" w:cs="Times New Roman" w:hint="eastAsia"/>
          <w:b/>
          <w:sz w:val="28"/>
          <w:szCs w:val="28"/>
        </w:rPr>
        <w:t>持續輔導轄內事業單位辦理職場性騷擾防治措施，惟對</w:t>
      </w:r>
      <w:proofErr w:type="gramStart"/>
      <w:r w:rsidRPr="00B474B8">
        <w:rPr>
          <w:rFonts w:ascii="標楷體" w:eastAsia="標楷體" w:hAnsi="標楷體" w:cs="Times New Roman" w:hint="eastAsia"/>
          <w:b/>
          <w:sz w:val="28"/>
          <w:szCs w:val="28"/>
        </w:rPr>
        <w:t>怠</w:t>
      </w:r>
      <w:proofErr w:type="gramEnd"/>
      <w:r w:rsidRPr="00B474B8">
        <w:rPr>
          <w:rFonts w:ascii="標楷體" w:eastAsia="標楷體" w:hAnsi="標楷體" w:cs="Times New Roman" w:hint="eastAsia"/>
          <w:b/>
          <w:sz w:val="28"/>
          <w:szCs w:val="28"/>
        </w:rPr>
        <w:t>於回復辦理情形之事業單位，未規範查核及</w:t>
      </w:r>
      <w:proofErr w:type="gramStart"/>
      <w:r w:rsidRPr="00B474B8">
        <w:rPr>
          <w:rFonts w:ascii="標楷體" w:eastAsia="標楷體" w:hAnsi="標楷體" w:cs="Times New Roman" w:hint="eastAsia"/>
          <w:b/>
          <w:sz w:val="28"/>
          <w:szCs w:val="28"/>
        </w:rPr>
        <w:t>裁罰時點</w:t>
      </w:r>
      <w:proofErr w:type="gramEnd"/>
      <w:r w:rsidRPr="00B474B8">
        <w:rPr>
          <w:rFonts w:ascii="標楷體" w:eastAsia="標楷體" w:hAnsi="標楷體" w:cs="Times New Roman" w:hint="eastAsia"/>
          <w:b/>
          <w:sz w:val="28"/>
          <w:szCs w:val="28"/>
        </w:rPr>
        <w:t>，或未作後續追蹤，未能掌握部分事業單位訂定防治措施之情形，另近年職場性騷擾申訴案件申請法律扶助案件數仍低等情，亟待檢討改善，以落實政府保護勞工之善意。</w:t>
      </w:r>
    </w:p>
    <w:p w14:paraId="2CDCE92F" w14:textId="77777777" w:rsidR="00C0210B" w:rsidRDefault="004551F8" w:rsidP="00C0210B">
      <w:pPr>
        <w:overflowPunct w:val="0"/>
        <w:spacing w:line="454"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勞動局為保障勞工職場安全平等，</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編列相關預算202萬餘元，辦理防制就業歧視暨性別工作平等宣導，提升雇主及勞工職場平權意識，並召開性別平等工作會及就業歧視評議委員會，調查審議性別歧視及就業歧視申訴案件等業務，另為因應新修正之性別平等工作法（下稱性工法）自113年3月8日開始施行，於同年月15日修正「推動職場平權計畫（112-115年）」，</w:t>
      </w:r>
    </w:p>
    <w:p w14:paraId="4FC68BCA" w14:textId="6B5A35AB" w:rsidR="004551F8" w:rsidRPr="00B474B8" w:rsidRDefault="004551F8" w:rsidP="00C0210B">
      <w:pPr>
        <w:overflowPunct w:val="0"/>
        <w:spacing w:line="440" w:lineRule="exact"/>
        <w:jc w:val="both"/>
        <w:rPr>
          <w:rFonts w:ascii="標楷體" w:eastAsia="標楷體" w:hAnsi="標楷體" w:cs="Times New Roman"/>
          <w:szCs w:val="24"/>
        </w:rPr>
      </w:pPr>
      <w:r w:rsidRPr="00B474B8">
        <w:rPr>
          <w:rFonts w:ascii="標楷體" w:eastAsia="標楷體" w:hAnsi="標楷體" w:cs="Times New Roman" w:hint="eastAsia"/>
          <w:szCs w:val="24"/>
        </w:rPr>
        <w:lastRenderedPageBreak/>
        <w:t>輔導事業單位訂定性騷擾防治措施及申訴管道。經查執行情形，核有：1.該局於</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年度發函輔導轄內5,249家僱用10人以上、29人以下之事業單位，建立性騷擾申訴管道並於工作場所公開揭示，其中未回復者341家，該局雖持續函請限期回復辦理情形，且逾期未回復將依法論處等，惟</w:t>
      </w:r>
      <w:proofErr w:type="gramStart"/>
      <w:r w:rsidRPr="00B474B8">
        <w:rPr>
          <w:rFonts w:ascii="標楷體" w:eastAsia="標楷體" w:hAnsi="標楷體" w:cs="Times New Roman" w:hint="eastAsia"/>
          <w:szCs w:val="24"/>
        </w:rPr>
        <w:t>114年1至3月間就113年</w:t>
      </w:r>
      <w:proofErr w:type="gramEnd"/>
      <w:r w:rsidRPr="00B474B8">
        <w:rPr>
          <w:rFonts w:ascii="標楷體" w:eastAsia="標楷體" w:hAnsi="標楷體" w:cs="Times New Roman" w:hint="eastAsia"/>
          <w:szCs w:val="24"/>
        </w:rPr>
        <w:t>度數次催辦未回復者，仍僅持續函請依限回復，而未落實規範查核及</w:t>
      </w:r>
      <w:proofErr w:type="gramStart"/>
      <w:r w:rsidRPr="00B474B8">
        <w:rPr>
          <w:rFonts w:ascii="標楷體" w:eastAsia="標楷體" w:hAnsi="標楷體" w:cs="Times New Roman" w:hint="eastAsia"/>
          <w:szCs w:val="24"/>
        </w:rPr>
        <w:t>裁罰時點</w:t>
      </w:r>
      <w:proofErr w:type="gramEnd"/>
      <w:r w:rsidRPr="00B474B8">
        <w:rPr>
          <w:rFonts w:ascii="標楷體" w:eastAsia="標楷體" w:hAnsi="標楷體" w:cs="Times New Roman" w:hint="eastAsia"/>
          <w:szCs w:val="24"/>
        </w:rPr>
        <w:t>；2.111至</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年度發函輔導僱用30人以上之事業單位訂定性騷擾防治措施、申訴及懲戒規範，並於工作場所公開揭示，分別計有537家、808家及812家，其中111及</w:t>
      </w:r>
      <w:proofErr w:type="gramStart"/>
      <w:r w:rsidRPr="00B474B8">
        <w:rPr>
          <w:rFonts w:ascii="標楷體" w:eastAsia="標楷體" w:hAnsi="標楷體" w:cs="Times New Roman" w:hint="eastAsia"/>
          <w:szCs w:val="24"/>
        </w:rPr>
        <w:t>112</w:t>
      </w:r>
      <w:proofErr w:type="gramEnd"/>
      <w:r w:rsidRPr="00B474B8">
        <w:rPr>
          <w:rFonts w:ascii="標楷體" w:eastAsia="標楷體" w:hAnsi="標楷體" w:cs="Times New Roman" w:hint="eastAsia"/>
          <w:szCs w:val="24"/>
        </w:rPr>
        <w:t>年度分別有85家及23家事業單位未回復相關性騷擾防治措施辦理情形，惟該局未依計畫列入專案檢查，另該2年分別有3家及27家之事業單位回復所訂規範內容不完備，經該局函請依限重新補件，惟對各該事業單位延宕補正，後續亦未追蹤事業單位之辦理情形，未能掌握該等事業單位是否依規定訂定防治措施；3.對受</w:t>
      </w:r>
      <w:proofErr w:type="gramStart"/>
      <w:r w:rsidRPr="00B474B8">
        <w:rPr>
          <w:rFonts w:ascii="標楷體" w:eastAsia="標楷體" w:hAnsi="標楷體" w:cs="Times New Roman" w:hint="eastAsia"/>
          <w:szCs w:val="24"/>
        </w:rPr>
        <w:t>僱</w:t>
      </w:r>
      <w:proofErr w:type="gramEnd"/>
      <w:r w:rsidRPr="00B474B8">
        <w:rPr>
          <w:rFonts w:ascii="標楷體" w:eastAsia="標楷體" w:hAnsi="標楷體" w:cs="Times New Roman" w:hint="eastAsia"/>
          <w:szCs w:val="24"/>
        </w:rPr>
        <w:t>者或求職者因雇主</w:t>
      </w:r>
      <w:proofErr w:type="gramStart"/>
      <w:r w:rsidRPr="00B474B8">
        <w:rPr>
          <w:rFonts w:ascii="標楷體" w:eastAsia="標楷體" w:hAnsi="標楷體" w:cs="Times New Roman" w:hint="eastAsia"/>
          <w:szCs w:val="24"/>
        </w:rPr>
        <w:t>違反性工法</w:t>
      </w:r>
      <w:proofErr w:type="gramEnd"/>
      <w:r w:rsidRPr="00B474B8">
        <w:rPr>
          <w:rFonts w:ascii="標楷體" w:eastAsia="標楷體" w:hAnsi="標楷體" w:cs="Times New Roman" w:hint="eastAsia"/>
          <w:szCs w:val="24"/>
        </w:rPr>
        <w:t>之規定，或遭受性騷擾，而向地方主管機關提起申訴，或向法院提起訴訟時，提供必要之法律諮詢或扶助，並於</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年度向勞動部申請性別平等工作法律扶助計畫之補助，獲核定補助經費2,793萬餘元，惟查</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年度轄內通報職場性騷擾案件總計404件，成立者有221件，</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年度該局卻僅受理2件法律扶助費用申請，申請案件數偏低，允宜</w:t>
      </w:r>
      <w:proofErr w:type="gramStart"/>
      <w:r w:rsidRPr="00B474B8">
        <w:rPr>
          <w:rFonts w:ascii="標楷體" w:eastAsia="標楷體" w:hAnsi="標楷體" w:cs="Times New Roman" w:hint="eastAsia"/>
          <w:szCs w:val="24"/>
        </w:rPr>
        <w:t>研</w:t>
      </w:r>
      <w:proofErr w:type="gramEnd"/>
      <w:r w:rsidRPr="00B474B8">
        <w:rPr>
          <w:rFonts w:ascii="標楷體" w:eastAsia="標楷體" w:hAnsi="標楷體" w:cs="Times New Roman" w:hint="eastAsia"/>
          <w:szCs w:val="24"/>
        </w:rPr>
        <w:t>析癥結，據以</w:t>
      </w:r>
      <w:proofErr w:type="gramStart"/>
      <w:r w:rsidRPr="00B474B8">
        <w:rPr>
          <w:rFonts w:ascii="標楷體" w:eastAsia="標楷體" w:hAnsi="標楷體" w:cs="Times New Roman" w:hint="eastAsia"/>
          <w:szCs w:val="24"/>
        </w:rPr>
        <w:t>研</w:t>
      </w:r>
      <w:proofErr w:type="gramEnd"/>
      <w:r w:rsidRPr="00B474B8">
        <w:rPr>
          <w:rFonts w:ascii="標楷體" w:eastAsia="標楷體" w:hAnsi="標楷體" w:cs="Times New Roman" w:hint="eastAsia"/>
          <w:szCs w:val="24"/>
        </w:rPr>
        <w:t>謀因應措施等情事，經函請檢討改善。據復：1.持續未回復或未改善之事業單位，已於114年5月再次函請限期回復申訴管道設置情形，另將逐一致電說明法定義務與設置方式，如經電話輔導仍不回應者，將視為可能未依法設置之高風險對象，納入勞動檢查項目，</w:t>
      </w:r>
      <w:proofErr w:type="gramStart"/>
      <w:r w:rsidRPr="00B474B8">
        <w:rPr>
          <w:rFonts w:ascii="標楷體" w:eastAsia="標楷體" w:hAnsi="標楷體" w:cs="Times New Roman" w:hint="eastAsia"/>
          <w:szCs w:val="24"/>
        </w:rPr>
        <w:t>倘經勞動</w:t>
      </w:r>
      <w:proofErr w:type="gramEnd"/>
      <w:r w:rsidRPr="00B474B8">
        <w:rPr>
          <w:rFonts w:ascii="標楷體" w:eastAsia="標楷體" w:hAnsi="標楷體" w:cs="Times New Roman" w:hint="eastAsia"/>
          <w:szCs w:val="24"/>
        </w:rPr>
        <w:t>檢查證明確有違法情事，將依法進行裁處；2.111及</w:t>
      </w:r>
      <w:proofErr w:type="gramStart"/>
      <w:r w:rsidRPr="00B474B8">
        <w:rPr>
          <w:rFonts w:ascii="標楷體" w:eastAsia="標楷體" w:hAnsi="標楷體" w:cs="Times New Roman" w:hint="eastAsia"/>
          <w:szCs w:val="24"/>
        </w:rPr>
        <w:t>112</w:t>
      </w:r>
      <w:proofErr w:type="gramEnd"/>
      <w:r w:rsidRPr="00B474B8">
        <w:rPr>
          <w:rFonts w:ascii="標楷體" w:eastAsia="標楷體" w:hAnsi="標楷體" w:cs="Times New Roman" w:hint="eastAsia"/>
          <w:szCs w:val="24"/>
        </w:rPr>
        <w:t>年度未回</w:t>
      </w:r>
      <w:r w:rsidR="007C7A00">
        <w:rPr>
          <w:rFonts w:ascii="標楷體" w:eastAsia="標楷體" w:hAnsi="標楷體" w:cs="Times New Roman" w:hint="eastAsia"/>
          <w:szCs w:val="24"/>
        </w:rPr>
        <w:t>復</w:t>
      </w:r>
      <w:r w:rsidRPr="00B474B8">
        <w:rPr>
          <w:rFonts w:ascii="標楷體" w:eastAsia="標楷體" w:hAnsi="標楷體" w:cs="Times New Roman" w:hint="eastAsia"/>
          <w:szCs w:val="24"/>
        </w:rPr>
        <w:t>之</w:t>
      </w:r>
      <w:proofErr w:type="gramStart"/>
      <w:r w:rsidRPr="00B474B8">
        <w:rPr>
          <w:rFonts w:ascii="標楷體" w:eastAsia="標楷體" w:hAnsi="標楷體" w:cs="Times New Roman" w:hint="eastAsia"/>
          <w:szCs w:val="24"/>
        </w:rPr>
        <w:t>事業單位均已清查</w:t>
      </w:r>
      <w:proofErr w:type="gramEnd"/>
      <w:r w:rsidRPr="00B474B8">
        <w:rPr>
          <w:rFonts w:ascii="標楷體" w:eastAsia="標楷體" w:hAnsi="標楷體" w:cs="Times New Roman" w:hint="eastAsia"/>
          <w:szCs w:val="24"/>
        </w:rPr>
        <w:t>完竣，除已停業、解散等原因外，其餘皆已完成性騷擾防治措施、申訴及懲戒規範之訂定，爾後每年落實清查，針對未回復或制定內容不完備者，</w:t>
      </w:r>
      <w:proofErr w:type="gramStart"/>
      <w:r w:rsidRPr="00B474B8">
        <w:rPr>
          <w:rFonts w:ascii="標楷體" w:eastAsia="標楷體" w:hAnsi="標楷體" w:cs="Times New Roman" w:hint="eastAsia"/>
          <w:szCs w:val="24"/>
        </w:rPr>
        <w:t>均於隔</w:t>
      </w:r>
      <w:proofErr w:type="gramEnd"/>
      <w:r w:rsidRPr="00B474B8">
        <w:rPr>
          <w:rFonts w:ascii="標楷體" w:eastAsia="標楷體" w:hAnsi="標楷體" w:cs="Times New Roman" w:hint="eastAsia"/>
          <w:szCs w:val="24"/>
        </w:rPr>
        <w:t>年辦理檢查，檢查結果若仍未改善，將依規定裁罰；3.爾後將透過宣導會、勞動台北FB、LINE、</w:t>
      </w:r>
      <w:proofErr w:type="gramStart"/>
      <w:r w:rsidRPr="00B474B8">
        <w:rPr>
          <w:rFonts w:ascii="標楷體" w:eastAsia="標楷體" w:hAnsi="標楷體" w:cs="Times New Roman" w:hint="eastAsia"/>
          <w:szCs w:val="24"/>
        </w:rPr>
        <w:t>官網等</w:t>
      </w:r>
      <w:proofErr w:type="gramEnd"/>
      <w:r w:rsidRPr="00B474B8">
        <w:rPr>
          <w:rFonts w:ascii="標楷體" w:eastAsia="標楷體" w:hAnsi="標楷體" w:cs="Times New Roman" w:hint="eastAsia"/>
          <w:szCs w:val="24"/>
        </w:rPr>
        <w:t>多方管道加強宣導，並於職場性騷擾申訴書、被害人及雇主公文上增列相關扶助宣導文字，使民眾知悉政府提供之各項援助，</w:t>
      </w:r>
      <w:proofErr w:type="gramStart"/>
      <w:r w:rsidRPr="00B474B8">
        <w:rPr>
          <w:rFonts w:ascii="標楷體" w:eastAsia="標楷體" w:hAnsi="標楷體" w:cs="Times New Roman" w:hint="eastAsia"/>
          <w:szCs w:val="24"/>
        </w:rPr>
        <w:t>俾</w:t>
      </w:r>
      <w:proofErr w:type="gramEnd"/>
      <w:r w:rsidRPr="00B474B8">
        <w:rPr>
          <w:rFonts w:ascii="標楷體" w:eastAsia="標楷體" w:hAnsi="標楷體" w:cs="Times New Roman" w:hint="eastAsia"/>
          <w:szCs w:val="24"/>
        </w:rPr>
        <w:t>利落實政府保護勞工之善意。</w:t>
      </w:r>
    </w:p>
    <w:p w14:paraId="0EEDAE69" w14:textId="77777777" w:rsidR="004551F8" w:rsidRPr="00B474B8" w:rsidRDefault="004551F8" w:rsidP="004551F8">
      <w:pPr>
        <w:spacing w:before="120" w:after="120" w:line="46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（二）近</w:t>
      </w:r>
      <w:proofErr w:type="gramStart"/>
      <w:r w:rsidRPr="00B474B8">
        <w:rPr>
          <w:rFonts w:ascii="標楷體" w:eastAsia="標楷體" w:hAnsi="標楷體" w:cs="Times New Roman" w:hint="eastAsia"/>
          <w:b/>
          <w:sz w:val="28"/>
          <w:szCs w:val="28"/>
        </w:rPr>
        <w:t>3</w:t>
      </w:r>
      <w:proofErr w:type="gramEnd"/>
      <w:r w:rsidRPr="00B474B8">
        <w:rPr>
          <w:rFonts w:ascii="標楷體" w:eastAsia="標楷體" w:hAnsi="標楷體" w:cs="Times New Roman" w:hint="eastAsia"/>
          <w:b/>
          <w:sz w:val="28"/>
          <w:szCs w:val="28"/>
        </w:rPr>
        <w:t>年度臺北市失業人數及</w:t>
      </w:r>
      <w:proofErr w:type="gramStart"/>
      <w:r w:rsidRPr="00B474B8">
        <w:rPr>
          <w:rFonts w:ascii="標楷體" w:eastAsia="標楷體" w:hAnsi="標楷體" w:cs="Times New Roman" w:hint="eastAsia"/>
          <w:b/>
          <w:sz w:val="28"/>
          <w:szCs w:val="28"/>
        </w:rPr>
        <w:t>失業率均有下降</w:t>
      </w:r>
      <w:proofErr w:type="gramEnd"/>
      <w:r w:rsidRPr="00B474B8">
        <w:rPr>
          <w:rFonts w:ascii="標楷體" w:eastAsia="標楷體" w:hAnsi="標楷體" w:cs="Times New Roman" w:hint="eastAsia"/>
          <w:b/>
          <w:sz w:val="28"/>
          <w:szCs w:val="28"/>
        </w:rPr>
        <w:t>趨勢，惟同期間青年失業率未有效改善，且經調查發現係新興科技轉變勞動市場就業型態及青年就業價值觀，</w:t>
      </w:r>
      <w:proofErr w:type="gramStart"/>
      <w:r w:rsidRPr="00B474B8">
        <w:rPr>
          <w:rFonts w:ascii="標楷體" w:eastAsia="標楷體" w:hAnsi="標楷體" w:cs="Times New Roman" w:hint="eastAsia"/>
          <w:b/>
          <w:sz w:val="28"/>
          <w:szCs w:val="28"/>
        </w:rPr>
        <w:t>允應衡酌</w:t>
      </w:r>
      <w:proofErr w:type="gramEnd"/>
      <w:r w:rsidRPr="00B474B8">
        <w:rPr>
          <w:rFonts w:ascii="標楷體" w:eastAsia="標楷體" w:hAnsi="標楷體" w:cs="Times New Roman" w:hint="eastAsia"/>
          <w:b/>
          <w:sz w:val="28"/>
          <w:szCs w:val="28"/>
        </w:rPr>
        <w:t>青年之就業需求，強化與宣導各項就業媒合措施，</w:t>
      </w:r>
      <w:proofErr w:type="gramStart"/>
      <w:r w:rsidRPr="00B474B8">
        <w:rPr>
          <w:rFonts w:ascii="標楷體" w:eastAsia="標楷體" w:hAnsi="標楷體" w:cs="Times New Roman" w:hint="eastAsia"/>
          <w:b/>
          <w:sz w:val="28"/>
          <w:szCs w:val="28"/>
        </w:rPr>
        <w:t>並串接</w:t>
      </w:r>
      <w:proofErr w:type="gramEnd"/>
      <w:r w:rsidRPr="00B474B8">
        <w:rPr>
          <w:rFonts w:ascii="標楷體" w:eastAsia="標楷體" w:hAnsi="標楷體" w:cs="Times New Roman" w:hint="eastAsia"/>
          <w:b/>
          <w:sz w:val="28"/>
          <w:szCs w:val="28"/>
        </w:rPr>
        <w:t>產業趨勢與就業輔導措施，以協助青年順利</w:t>
      </w:r>
      <w:proofErr w:type="gramStart"/>
      <w:r w:rsidRPr="00B474B8">
        <w:rPr>
          <w:rFonts w:ascii="標楷體" w:eastAsia="標楷體" w:hAnsi="標楷體" w:cs="Times New Roman" w:hint="eastAsia"/>
          <w:b/>
          <w:sz w:val="28"/>
          <w:szCs w:val="28"/>
        </w:rPr>
        <w:t>接軌職場</w:t>
      </w:r>
      <w:proofErr w:type="gramEnd"/>
      <w:r w:rsidRPr="00B474B8">
        <w:rPr>
          <w:rFonts w:ascii="標楷體" w:eastAsia="標楷體" w:hAnsi="標楷體" w:cs="Times New Roman" w:hint="eastAsia"/>
          <w:b/>
          <w:sz w:val="28"/>
          <w:szCs w:val="28"/>
        </w:rPr>
        <w:t>就業。</w:t>
      </w:r>
    </w:p>
    <w:p w14:paraId="4236886D" w14:textId="77777777" w:rsidR="00AE147C" w:rsidRDefault="004551F8" w:rsidP="004551F8">
      <w:pPr>
        <w:overflowPunct w:val="0"/>
        <w:adjustRightInd w:val="0"/>
        <w:snapToGrid w:val="0"/>
        <w:spacing w:line="44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依據行政院主計總處公布之人力資源調查統計</w:t>
      </w:r>
      <w:r w:rsidRPr="00B474B8">
        <w:rPr>
          <w:rFonts w:ascii="標楷體" w:eastAsia="標楷體" w:hAnsi="標楷體" w:cs="Times New Roman" w:hint="eastAsia"/>
          <w:spacing w:val="-4"/>
          <w:szCs w:val="24"/>
        </w:rPr>
        <w:t>，111至113年度全國失業率分別為3.67％</w:t>
      </w:r>
      <w:r w:rsidRPr="00B474B8">
        <w:rPr>
          <w:rFonts w:ascii="標楷體" w:eastAsia="標楷體" w:hAnsi="標楷體" w:cs="Times New Roman" w:hint="eastAsia"/>
          <w:szCs w:val="24"/>
        </w:rPr>
        <w:t>、3.48％及3.38％，失業率已有逐年下降趨勢；其中臺北市失業率由</w:t>
      </w:r>
      <w:proofErr w:type="gramStart"/>
      <w:r w:rsidRPr="00B474B8">
        <w:rPr>
          <w:rFonts w:ascii="標楷體" w:eastAsia="標楷體" w:hAnsi="標楷體" w:cs="Times New Roman" w:hint="eastAsia"/>
          <w:szCs w:val="24"/>
        </w:rPr>
        <w:t>111</w:t>
      </w:r>
      <w:proofErr w:type="gramEnd"/>
      <w:r w:rsidRPr="00B474B8">
        <w:rPr>
          <w:rFonts w:ascii="標楷體" w:eastAsia="標楷體" w:hAnsi="標楷體" w:cs="Times New Roman" w:hint="eastAsia"/>
          <w:szCs w:val="24"/>
        </w:rPr>
        <w:t>年度之3.70％，下降至</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年度之3.50％，惟近</w:t>
      </w:r>
      <w:proofErr w:type="gramStart"/>
      <w:r w:rsidRPr="00B474B8">
        <w:rPr>
          <w:rFonts w:ascii="標楷體" w:eastAsia="標楷體" w:hAnsi="標楷體" w:cs="Times New Roman" w:hint="eastAsia"/>
          <w:szCs w:val="24"/>
        </w:rPr>
        <w:t>3</w:t>
      </w:r>
      <w:proofErr w:type="gramEnd"/>
      <w:r w:rsidRPr="00B474B8">
        <w:rPr>
          <w:rFonts w:ascii="標楷體" w:eastAsia="標楷體" w:hAnsi="標楷體" w:cs="Times New Roman" w:hint="eastAsia"/>
          <w:szCs w:val="24"/>
        </w:rPr>
        <w:t>年度臺北市之失業率仍高於全國平均數(表1)；同期間臺北市15至24歲及25至29歲青年失業率分別介於14.0％至14.8％及7.2％至7.6％間，皆遠高於臺北市整體失業率3.5％至3.7％間（圖1），青年失業問題更顯嚴重。就業服務處為促進青年就業，除</w:t>
      </w:r>
    </w:p>
    <w:p w14:paraId="4F48A672" w14:textId="35EC383F" w:rsidR="004551F8" w:rsidRPr="00B474B8" w:rsidRDefault="004551F8" w:rsidP="00AE147C">
      <w:pPr>
        <w:overflowPunct w:val="0"/>
        <w:adjustRightInd w:val="0"/>
        <w:snapToGrid w:val="0"/>
        <w:spacing w:line="440" w:lineRule="exact"/>
        <w:jc w:val="both"/>
        <w:rPr>
          <w:rFonts w:ascii="標楷體" w:eastAsia="標楷體" w:hAnsi="標楷體" w:cs="Times New Roman"/>
          <w:szCs w:val="24"/>
        </w:rPr>
      </w:pPr>
      <w:r w:rsidRPr="00B474B8">
        <w:rPr>
          <w:rFonts w:ascii="標楷體" w:eastAsia="標楷體" w:hAnsi="標楷體" w:cs="Times New Roman" w:hint="eastAsia"/>
          <w:noProof/>
          <w:sz w:val="32"/>
          <w:szCs w:val="32"/>
        </w:rPr>
        <w:lastRenderedPageBreak/>
        <mc:AlternateContent>
          <mc:Choice Requires="wps">
            <w:drawing>
              <wp:anchor distT="0" distB="0" distL="114300" distR="114300" simplePos="0" relativeHeight="251663360" behindDoc="0" locked="0" layoutInCell="1" allowOverlap="1" wp14:anchorId="0FD96A2E" wp14:editId="74A91E69">
                <wp:simplePos x="0" y="0"/>
                <wp:positionH relativeFrom="column">
                  <wp:posOffset>2209165</wp:posOffset>
                </wp:positionH>
                <wp:positionV relativeFrom="paragraph">
                  <wp:posOffset>89535</wp:posOffset>
                </wp:positionV>
                <wp:extent cx="4114800" cy="2409825"/>
                <wp:effectExtent l="0" t="0" r="0" b="9525"/>
                <wp:wrapThrough wrapText="bothSides">
                  <wp:wrapPolygon edited="0">
                    <wp:start x="0" y="0"/>
                    <wp:lineTo x="0" y="21515"/>
                    <wp:lineTo x="21500" y="21515"/>
                    <wp:lineTo x="21500" y="0"/>
                    <wp:lineTo x="0" y="0"/>
                  </wp:wrapPolygon>
                </wp:wrapThrough>
                <wp:docPr id="5" name="文字方塊 5"/>
                <wp:cNvGraphicFramePr/>
                <a:graphic xmlns:a="http://schemas.openxmlformats.org/drawingml/2006/main">
                  <a:graphicData uri="http://schemas.microsoft.com/office/word/2010/wordprocessingShape">
                    <wps:wsp>
                      <wps:cNvSpPr txBox="1"/>
                      <wps:spPr>
                        <a:xfrm>
                          <a:off x="0" y="0"/>
                          <a:ext cx="4114800" cy="2409825"/>
                        </a:xfrm>
                        <a:prstGeom prst="rect">
                          <a:avLst/>
                        </a:prstGeom>
                        <a:solidFill>
                          <a:sysClr val="window" lastClr="FFFFFF"/>
                        </a:solidFill>
                        <a:ln w="6350">
                          <a:noFill/>
                        </a:ln>
                      </wps:spPr>
                      <wps:txbx>
                        <w:txbxContent>
                          <w:p w14:paraId="25C9C423" w14:textId="77777777" w:rsidR="004551F8" w:rsidRPr="00872259" w:rsidRDefault="004551F8" w:rsidP="004551F8">
                            <w:pPr>
                              <w:spacing w:line="340" w:lineRule="exact"/>
                              <w:ind w:leftChars="236" w:left="1181" w:rightChars="-1" w:right="-2" w:hangingChars="256" w:hanging="615"/>
                              <w:jc w:val="center"/>
                              <w:rPr>
                                <w:rFonts w:ascii="標楷體" w:eastAsia="標楷體" w:hAnsi="標楷體"/>
                                <w:b/>
                              </w:rPr>
                            </w:pPr>
                            <w:bookmarkStart w:id="62" w:name="_Hlk199245655"/>
                            <w:bookmarkEnd w:id="62"/>
                            <w:r w:rsidRPr="00872259">
                              <w:rPr>
                                <w:rFonts w:ascii="標楷體" w:eastAsia="標楷體" w:hAnsi="標楷體" w:cs="新細明體" w:hint="eastAsia"/>
                                <w:b/>
                                <w:color w:val="000000"/>
                                <w:kern w:val="0"/>
                              </w:rPr>
                              <w:t xml:space="preserve">表1  </w:t>
                            </w:r>
                            <w:r w:rsidRPr="00872259">
                              <w:rPr>
                                <w:rFonts w:ascii="標楷體" w:eastAsia="標楷體" w:hAnsi="標楷體" w:hint="eastAsia"/>
                                <w:b/>
                              </w:rPr>
                              <w:t>勞動力及失業情形統計</w:t>
                            </w:r>
                          </w:p>
                          <w:p w14:paraId="487637B9" w14:textId="77777777" w:rsidR="004551F8" w:rsidRDefault="004551F8" w:rsidP="004551F8">
                            <w:pPr>
                              <w:jc w:val="right"/>
                              <w:rPr>
                                <w:rFonts w:ascii="標楷體" w:eastAsia="標楷體" w:hAnsi="標楷體"/>
                                <w:sz w:val="20"/>
                              </w:rPr>
                            </w:pPr>
                            <w:r w:rsidRPr="00872259">
                              <w:rPr>
                                <w:rFonts w:ascii="標楷體" w:eastAsia="標楷體" w:hAnsi="標楷體" w:hint="eastAsia"/>
                                <w:sz w:val="20"/>
                              </w:rPr>
                              <w:t>單位：千人、％</w:t>
                            </w:r>
                          </w:p>
                          <w:tbl>
                            <w:tblPr>
                              <w:tblW w:w="5000"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4"/>
                              <w:gridCol w:w="1126"/>
                              <w:gridCol w:w="1253"/>
                              <w:gridCol w:w="1383"/>
                              <w:gridCol w:w="1731"/>
                            </w:tblGrid>
                            <w:tr w:rsidR="004551F8" w:rsidRPr="00872259" w14:paraId="55DF55CD" w14:textId="77777777" w:rsidTr="00824CD6">
                              <w:trPr>
                                <w:trHeight w:val="417"/>
                              </w:trPr>
                              <w:tc>
                                <w:tcPr>
                                  <w:tcW w:w="560" w:type="pct"/>
                                  <w:vAlign w:val="center"/>
                                  <w:hideMark/>
                                </w:tcPr>
                                <w:p w14:paraId="7A449935" w14:textId="77777777"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bCs/>
                                      <w:color w:val="000000"/>
                                      <w:kern w:val="0"/>
                                      <w:sz w:val="20"/>
                                      <w:szCs w:val="18"/>
                                    </w:rPr>
                                    <w:t>年度</w:t>
                                  </w:r>
                                </w:p>
                              </w:tc>
                              <w:tc>
                                <w:tcPr>
                                  <w:tcW w:w="910" w:type="pct"/>
                                  <w:vAlign w:val="center"/>
                                  <w:hideMark/>
                                </w:tcPr>
                                <w:p w14:paraId="34B680C3" w14:textId="77777777"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bCs/>
                                      <w:color w:val="000000"/>
                                      <w:kern w:val="0"/>
                                      <w:sz w:val="20"/>
                                      <w:szCs w:val="18"/>
                                    </w:rPr>
                                    <w:t>地區</w:t>
                                  </w:r>
                                </w:p>
                              </w:tc>
                              <w:tc>
                                <w:tcPr>
                                  <w:tcW w:w="1013" w:type="pct"/>
                                  <w:vAlign w:val="center"/>
                                  <w:hideMark/>
                                </w:tcPr>
                                <w:p w14:paraId="58769214" w14:textId="311D3AF6"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bCs/>
                                      <w:color w:val="000000"/>
                                      <w:kern w:val="0"/>
                                      <w:sz w:val="20"/>
                                      <w:szCs w:val="18"/>
                                    </w:rPr>
                                    <w:t>勞動力</w:t>
                                  </w:r>
                                  <w:r>
                                    <w:rPr>
                                      <w:rFonts w:ascii="標楷體" w:eastAsia="標楷體" w:hAnsi="標楷體" w:cs="新細明體" w:hint="eastAsia"/>
                                      <w:bCs/>
                                      <w:color w:val="000000"/>
                                      <w:kern w:val="0"/>
                                      <w:sz w:val="20"/>
                                      <w:szCs w:val="18"/>
                                    </w:rPr>
                                    <w:t>（</w:t>
                                  </w:r>
                                  <w:r w:rsidR="00DC1BE5">
                                    <w:rPr>
                                      <w:rFonts w:ascii="標楷體" w:eastAsia="標楷體" w:hAnsi="標楷體" w:cs="新細明體"/>
                                      <w:bCs/>
                                      <w:color w:val="000000"/>
                                      <w:kern w:val="0"/>
                                      <w:sz w:val="20"/>
                                      <w:szCs w:val="18"/>
                                    </w:rPr>
                                    <w:t>A</w:t>
                                  </w:r>
                                  <w:r>
                                    <w:rPr>
                                      <w:rFonts w:ascii="標楷體" w:eastAsia="標楷體" w:hAnsi="標楷體" w:cs="新細明體" w:hint="eastAsia"/>
                                      <w:bCs/>
                                      <w:color w:val="000000"/>
                                      <w:kern w:val="0"/>
                                      <w:sz w:val="20"/>
                                      <w:szCs w:val="18"/>
                                    </w:rPr>
                                    <w:t>）</w:t>
                                  </w:r>
                                </w:p>
                              </w:tc>
                              <w:tc>
                                <w:tcPr>
                                  <w:tcW w:w="1118" w:type="pct"/>
                                  <w:vAlign w:val="center"/>
                                  <w:hideMark/>
                                </w:tcPr>
                                <w:p w14:paraId="57CEEFEB" w14:textId="7521AD99"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bCs/>
                                      <w:color w:val="000000"/>
                                      <w:kern w:val="0"/>
                                      <w:sz w:val="20"/>
                                      <w:szCs w:val="18"/>
                                    </w:rPr>
                                    <w:t>失業人數</w:t>
                                  </w:r>
                                  <w:r>
                                    <w:rPr>
                                      <w:rFonts w:ascii="標楷體" w:eastAsia="標楷體" w:hAnsi="標楷體" w:cs="新細明體" w:hint="eastAsia"/>
                                      <w:bCs/>
                                      <w:color w:val="000000"/>
                                      <w:kern w:val="0"/>
                                      <w:sz w:val="20"/>
                                      <w:szCs w:val="18"/>
                                    </w:rPr>
                                    <w:t>（</w:t>
                                  </w:r>
                                  <w:r w:rsidR="00DC1BE5">
                                    <w:rPr>
                                      <w:rFonts w:ascii="標楷體" w:eastAsia="標楷體" w:hAnsi="標楷體" w:cs="新細明體"/>
                                      <w:bCs/>
                                      <w:color w:val="000000"/>
                                      <w:kern w:val="0"/>
                                      <w:sz w:val="20"/>
                                      <w:szCs w:val="18"/>
                                    </w:rPr>
                                    <w:t>B</w:t>
                                  </w:r>
                                  <w:r>
                                    <w:rPr>
                                      <w:rFonts w:ascii="標楷體" w:eastAsia="標楷體" w:hAnsi="標楷體" w:cs="新細明體" w:hint="eastAsia"/>
                                      <w:bCs/>
                                      <w:color w:val="000000"/>
                                      <w:kern w:val="0"/>
                                      <w:sz w:val="20"/>
                                      <w:szCs w:val="18"/>
                                    </w:rPr>
                                    <w:t>）</w:t>
                                  </w:r>
                                </w:p>
                              </w:tc>
                              <w:tc>
                                <w:tcPr>
                                  <w:tcW w:w="1399" w:type="pct"/>
                                  <w:vAlign w:val="center"/>
                                  <w:hideMark/>
                                </w:tcPr>
                                <w:p w14:paraId="38D6DE5E" w14:textId="77777777"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bCs/>
                                      <w:color w:val="000000"/>
                                      <w:kern w:val="0"/>
                                      <w:sz w:val="20"/>
                                      <w:szCs w:val="18"/>
                                    </w:rPr>
                                    <w:t>失業率</w:t>
                                  </w:r>
                                </w:p>
                                <w:p w14:paraId="261D8761" w14:textId="7B98D48B"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Pr>
                                      <w:rFonts w:ascii="標楷體" w:eastAsia="標楷體" w:hAnsi="標楷體" w:cs="新細明體" w:hint="eastAsia"/>
                                      <w:bCs/>
                                      <w:color w:val="000000"/>
                                      <w:kern w:val="0"/>
                                      <w:sz w:val="20"/>
                                      <w:szCs w:val="18"/>
                                    </w:rPr>
                                    <w:t>（</w:t>
                                  </w:r>
                                  <w:r w:rsidR="00DC1BE5">
                                    <w:rPr>
                                      <w:rFonts w:ascii="標楷體" w:eastAsia="標楷體" w:hAnsi="標楷體" w:cs="新細明體" w:hint="eastAsia"/>
                                      <w:bCs/>
                                      <w:color w:val="000000"/>
                                      <w:kern w:val="0"/>
                                      <w:sz w:val="20"/>
                                      <w:szCs w:val="18"/>
                                    </w:rPr>
                                    <w:t>B</w:t>
                                  </w:r>
                                  <w:r w:rsidRPr="005151BA">
                                    <w:rPr>
                                      <w:rFonts w:ascii="標楷體" w:eastAsia="標楷體" w:hAnsi="標楷體" w:cs="新細明體" w:hint="eastAsia"/>
                                      <w:bCs/>
                                      <w:color w:val="000000"/>
                                      <w:kern w:val="0"/>
                                      <w:sz w:val="20"/>
                                      <w:szCs w:val="18"/>
                                    </w:rPr>
                                    <w:t>/</w:t>
                                  </w:r>
                                  <w:r w:rsidR="00DC1BE5">
                                    <w:rPr>
                                      <w:rFonts w:ascii="標楷體" w:eastAsia="標楷體" w:hAnsi="標楷體" w:cs="新細明體"/>
                                      <w:bCs/>
                                      <w:color w:val="000000"/>
                                      <w:kern w:val="0"/>
                                      <w:sz w:val="20"/>
                                      <w:szCs w:val="18"/>
                                    </w:rPr>
                                    <w:t>A</w:t>
                                  </w:r>
                                  <w:r w:rsidRPr="005151BA">
                                    <w:rPr>
                                      <w:rFonts w:ascii="標楷體" w:eastAsia="標楷體" w:hAnsi="標楷體" w:cs="新細明體"/>
                                      <w:bCs/>
                                      <w:color w:val="000000"/>
                                      <w:kern w:val="0"/>
                                      <w:sz w:val="20"/>
                                      <w:szCs w:val="18"/>
                                    </w:rPr>
                                    <w:t>×</w:t>
                                  </w:r>
                                  <w:r w:rsidRPr="005151BA">
                                    <w:rPr>
                                      <w:rFonts w:ascii="標楷體" w:eastAsia="標楷體" w:hAnsi="標楷體" w:cs="新細明體" w:hint="eastAsia"/>
                                      <w:bCs/>
                                      <w:color w:val="000000"/>
                                      <w:kern w:val="0"/>
                                      <w:sz w:val="20"/>
                                      <w:szCs w:val="18"/>
                                    </w:rPr>
                                    <w:t>100</w:t>
                                  </w:r>
                                  <w:r w:rsidR="00DC1BE5">
                                    <w:rPr>
                                      <w:rFonts w:ascii="標楷體" w:eastAsia="標楷體" w:hAnsi="標楷體" w:cs="新細明體" w:hint="eastAsia"/>
                                      <w:bCs/>
                                      <w:color w:val="000000"/>
                                      <w:kern w:val="0"/>
                                      <w:sz w:val="20"/>
                                      <w:szCs w:val="18"/>
                                    </w:rPr>
                                    <w:t>）</w:t>
                                  </w:r>
                                </w:p>
                              </w:tc>
                            </w:tr>
                            <w:tr w:rsidR="004551F8" w:rsidRPr="00872259" w14:paraId="7582265B" w14:textId="77777777" w:rsidTr="00824CD6">
                              <w:trPr>
                                <w:trHeight w:val="291"/>
                              </w:trPr>
                              <w:tc>
                                <w:tcPr>
                                  <w:tcW w:w="560" w:type="pct"/>
                                  <w:vMerge w:val="restart"/>
                                  <w:vAlign w:val="center"/>
                                  <w:hideMark/>
                                </w:tcPr>
                                <w:p w14:paraId="73EB70D6"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1</w:t>
                                  </w:r>
                                  <w:r w:rsidRPr="005151BA">
                                    <w:rPr>
                                      <w:rFonts w:ascii="標楷體" w:eastAsia="標楷體" w:hAnsi="標楷體" w:cs="新細明體"/>
                                      <w:color w:val="000000"/>
                                      <w:kern w:val="0"/>
                                      <w:sz w:val="20"/>
                                      <w:szCs w:val="18"/>
                                    </w:rPr>
                                    <w:t>11</w:t>
                                  </w:r>
                                </w:p>
                              </w:tc>
                              <w:tc>
                                <w:tcPr>
                                  <w:tcW w:w="910" w:type="pct"/>
                                  <w:vAlign w:val="center"/>
                                  <w:hideMark/>
                                </w:tcPr>
                                <w:p w14:paraId="2A54BA01"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全國</w:t>
                                  </w:r>
                                </w:p>
                              </w:tc>
                              <w:tc>
                                <w:tcPr>
                                  <w:tcW w:w="1013" w:type="pct"/>
                                  <w:vAlign w:val="center"/>
                                  <w:hideMark/>
                                </w:tcPr>
                                <w:p w14:paraId="0F70805F"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11,</w:t>
                                  </w:r>
                                  <w:r w:rsidRPr="005151BA">
                                    <w:rPr>
                                      <w:rFonts w:ascii="標楷體" w:eastAsia="標楷體" w:hAnsi="標楷體" w:cs="Calibri"/>
                                      <w:color w:val="000000"/>
                                      <w:kern w:val="0"/>
                                      <w:sz w:val="20"/>
                                      <w:szCs w:val="18"/>
                                    </w:rPr>
                                    <w:t>853</w:t>
                                  </w:r>
                                </w:p>
                              </w:tc>
                              <w:tc>
                                <w:tcPr>
                                  <w:tcW w:w="1118" w:type="pct"/>
                                  <w:vAlign w:val="center"/>
                                  <w:hideMark/>
                                </w:tcPr>
                                <w:p w14:paraId="69F98557"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color w:val="000000"/>
                                      <w:kern w:val="0"/>
                                      <w:sz w:val="20"/>
                                      <w:szCs w:val="18"/>
                                    </w:rPr>
                                    <w:t>434</w:t>
                                  </w:r>
                                </w:p>
                              </w:tc>
                              <w:tc>
                                <w:tcPr>
                                  <w:tcW w:w="1399" w:type="pct"/>
                                  <w:vAlign w:val="center"/>
                                  <w:hideMark/>
                                </w:tcPr>
                                <w:p w14:paraId="247D49BA"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3.</w:t>
                                  </w:r>
                                  <w:r w:rsidRPr="005151BA">
                                    <w:rPr>
                                      <w:rFonts w:ascii="標楷體" w:eastAsia="標楷體" w:hAnsi="標楷體" w:cs="Calibri"/>
                                      <w:color w:val="000000"/>
                                      <w:kern w:val="0"/>
                                      <w:sz w:val="20"/>
                                      <w:szCs w:val="18"/>
                                    </w:rPr>
                                    <w:t>67</w:t>
                                  </w:r>
                                </w:p>
                              </w:tc>
                            </w:tr>
                            <w:tr w:rsidR="004551F8" w:rsidRPr="00872259" w14:paraId="42695670" w14:textId="77777777" w:rsidTr="00824CD6">
                              <w:trPr>
                                <w:trHeight w:val="291"/>
                              </w:trPr>
                              <w:tc>
                                <w:tcPr>
                                  <w:tcW w:w="560" w:type="pct"/>
                                  <w:vMerge/>
                                  <w:vAlign w:val="center"/>
                                  <w:hideMark/>
                                </w:tcPr>
                                <w:p w14:paraId="1D065D55" w14:textId="77777777" w:rsidR="004551F8" w:rsidRPr="005151BA" w:rsidRDefault="004551F8" w:rsidP="00824CD6">
                                  <w:pPr>
                                    <w:widowControl/>
                                    <w:spacing w:line="320" w:lineRule="exact"/>
                                    <w:rPr>
                                      <w:rFonts w:ascii="標楷體" w:eastAsia="標楷體" w:hAnsi="標楷體" w:cs="新細明體"/>
                                      <w:color w:val="000000"/>
                                      <w:kern w:val="0"/>
                                      <w:sz w:val="20"/>
                                      <w:szCs w:val="18"/>
                                    </w:rPr>
                                  </w:pPr>
                                </w:p>
                              </w:tc>
                              <w:tc>
                                <w:tcPr>
                                  <w:tcW w:w="910" w:type="pct"/>
                                  <w:vAlign w:val="center"/>
                                </w:tcPr>
                                <w:p w14:paraId="18374B7D"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臺北市</w:t>
                                  </w:r>
                                </w:p>
                              </w:tc>
                              <w:tc>
                                <w:tcPr>
                                  <w:tcW w:w="1013" w:type="pct"/>
                                  <w:vAlign w:val="center"/>
                                </w:tcPr>
                                <w:p w14:paraId="1C57CA70"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1,</w:t>
                                  </w:r>
                                  <w:r w:rsidRPr="005151BA">
                                    <w:rPr>
                                      <w:rFonts w:ascii="標楷體" w:eastAsia="標楷體" w:hAnsi="標楷體" w:cs="Calibri"/>
                                      <w:color w:val="000000"/>
                                      <w:kern w:val="0"/>
                                      <w:sz w:val="20"/>
                                      <w:szCs w:val="18"/>
                                    </w:rPr>
                                    <w:t>212</w:t>
                                  </w:r>
                                </w:p>
                              </w:tc>
                              <w:tc>
                                <w:tcPr>
                                  <w:tcW w:w="1118" w:type="pct"/>
                                  <w:vAlign w:val="center"/>
                                </w:tcPr>
                                <w:p w14:paraId="6EFDDDDC"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4</w:t>
                                  </w:r>
                                  <w:r w:rsidRPr="005151BA">
                                    <w:rPr>
                                      <w:rFonts w:ascii="標楷體" w:eastAsia="標楷體" w:hAnsi="標楷體" w:cs="Calibri"/>
                                      <w:color w:val="000000"/>
                                      <w:kern w:val="0"/>
                                      <w:sz w:val="20"/>
                                      <w:szCs w:val="18"/>
                                    </w:rPr>
                                    <w:t>4</w:t>
                                  </w:r>
                                </w:p>
                              </w:tc>
                              <w:tc>
                                <w:tcPr>
                                  <w:tcW w:w="1399" w:type="pct"/>
                                  <w:vAlign w:val="center"/>
                                </w:tcPr>
                                <w:p w14:paraId="1C354373"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3.70</w:t>
                                  </w:r>
                                </w:p>
                              </w:tc>
                            </w:tr>
                            <w:tr w:rsidR="004551F8" w:rsidRPr="00872259" w14:paraId="5676D5F4" w14:textId="77777777" w:rsidTr="00824CD6">
                              <w:trPr>
                                <w:trHeight w:val="291"/>
                              </w:trPr>
                              <w:tc>
                                <w:tcPr>
                                  <w:tcW w:w="560" w:type="pct"/>
                                  <w:vMerge w:val="restart"/>
                                  <w:vAlign w:val="center"/>
                                  <w:hideMark/>
                                </w:tcPr>
                                <w:p w14:paraId="5E25E159"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1</w:t>
                                  </w:r>
                                  <w:r w:rsidRPr="005151BA">
                                    <w:rPr>
                                      <w:rFonts w:ascii="標楷體" w:eastAsia="標楷體" w:hAnsi="標楷體" w:cs="新細明體"/>
                                      <w:color w:val="000000"/>
                                      <w:kern w:val="0"/>
                                      <w:sz w:val="20"/>
                                      <w:szCs w:val="18"/>
                                    </w:rPr>
                                    <w:t>12</w:t>
                                  </w:r>
                                </w:p>
                              </w:tc>
                              <w:tc>
                                <w:tcPr>
                                  <w:tcW w:w="910" w:type="pct"/>
                                  <w:vAlign w:val="center"/>
                                  <w:hideMark/>
                                </w:tcPr>
                                <w:p w14:paraId="6E430B4A"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全國</w:t>
                                  </w:r>
                                </w:p>
                              </w:tc>
                              <w:tc>
                                <w:tcPr>
                                  <w:tcW w:w="1013" w:type="pct"/>
                                  <w:vAlign w:val="center"/>
                                  <w:hideMark/>
                                </w:tcPr>
                                <w:p w14:paraId="1D150EAB"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11,</w:t>
                                  </w:r>
                                  <w:r w:rsidRPr="005151BA">
                                    <w:rPr>
                                      <w:rFonts w:ascii="標楷體" w:eastAsia="標楷體" w:hAnsi="標楷體" w:cs="Calibri"/>
                                      <w:color w:val="000000"/>
                                      <w:kern w:val="0"/>
                                      <w:sz w:val="20"/>
                                      <w:szCs w:val="18"/>
                                    </w:rPr>
                                    <w:t>943</w:t>
                                  </w:r>
                                </w:p>
                              </w:tc>
                              <w:tc>
                                <w:tcPr>
                                  <w:tcW w:w="1118" w:type="pct"/>
                                  <w:vAlign w:val="center"/>
                                  <w:hideMark/>
                                </w:tcPr>
                                <w:p w14:paraId="4BE08878"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4</w:t>
                                  </w:r>
                                  <w:r w:rsidRPr="005151BA">
                                    <w:rPr>
                                      <w:rFonts w:ascii="標楷體" w:eastAsia="標楷體" w:hAnsi="標楷體" w:cs="Calibri"/>
                                      <w:color w:val="000000"/>
                                      <w:kern w:val="0"/>
                                      <w:sz w:val="20"/>
                                      <w:szCs w:val="18"/>
                                    </w:rPr>
                                    <w:t>15</w:t>
                                  </w:r>
                                </w:p>
                              </w:tc>
                              <w:tc>
                                <w:tcPr>
                                  <w:tcW w:w="1399" w:type="pct"/>
                                  <w:vAlign w:val="center"/>
                                  <w:hideMark/>
                                </w:tcPr>
                                <w:p w14:paraId="7FE02EF8" w14:textId="77777777" w:rsidR="004551F8" w:rsidRPr="005151BA" w:rsidRDefault="004551F8" w:rsidP="00824CD6">
                                  <w:pPr>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3.</w:t>
                                  </w:r>
                                  <w:r w:rsidRPr="005151BA">
                                    <w:rPr>
                                      <w:rFonts w:ascii="標楷體" w:eastAsia="標楷體" w:hAnsi="標楷體" w:cs="Calibri"/>
                                      <w:color w:val="000000"/>
                                      <w:kern w:val="0"/>
                                      <w:sz w:val="20"/>
                                      <w:szCs w:val="18"/>
                                    </w:rPr>
                                    <w:t>48</w:t>
                                  </w:r>
                                </w:p>
                              </w:tc>
                            </w:tr>
                            <w:tr w:rsidR="004551F8" w:rsidRPr="00872259" w14:paraId="3A651D00" w14:textId="77777777" w:rsidTr="00824CD6">
                              <w:trPr>
                                <w:trHeight w:val="291"/>
                              </w:trPr>
                              <w:tc>
                                <w:tcPr>
                                  <w:tcW w:w="560" w:type="pct"/>
                                  <w:vMerge/>
                                  <w:vAlign w:val="center"/>
                                </w:tcPr>
                                <w:p w14:paraId="27FAE734" w14:textId="77777777" w:rsidR="004551F8" w:rsidRPr="005151BA" w:rsidRDefault="004551F8" w:rsidP="00824CD6">
                                  <w:pPr>
                                    <w:widowControl/>
                                    <w:spacing w:line="320" w:lineRule="exact"/>
                                    <w:rPr>
                                      <w:rFonts w:ascii="標楷體" w:eastAsia="標楷體" w:hAnsi="標楷體" w:cs="新細明體"/>
                                      <w:color w:val="000000"/>
                                      <w:kern w:val="0"/>
                                      <w:sz w:val="20"/>
                                      <w:szCs w:val="18"/>
                                    </w:rPr>
                                  </w:pPr>
                                </w:p>
                              </w:tc>
                              <w:tc>
                                <w:tcPr>
                                  <w:tcW w:w="910" w:type="pct"/>
                                  <w:vAlign w:val="center"/>
                                </w:tcPr>
                                <w:p w14:paraId="5F848F81" w14:textId="77777777"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color w:val="000000"/>
                                      <w:kern w:val="0"/>
                                      <w:sz w:val="20"/>
                                      <w:szCs w:val="18"/>
                                    </w:rPr>
                                    <w:t>臺北市</w:t>
                                  </w:r>
                                </w:p>
                              </w:tc>
                              <w:tc>
                                <w:tcPr>
                                  <w:tcW w:w="1013" w:type="pct"/>
                                  <w:vAlign w:val="center"/>
                                </w:tcPr>
                                <w:p w14:paraId="7B822AFD" w14:textId="77777777" w:rsidR="004551F8" w:rsidRPr="005151BA" w:rsidRDefault="004551F8" w:rsidP="00824CD6">
                                  <w:pPr>
                                    <w:widowControl/>
                                    <w:spacing w:line="320" w:lineRule="exact"/>
                                    <w:jc w:val="right"/>
                                    <w:rPr>
                                      <w:rFonts w:ascii="標楷體" w:eastAsia="標楷體" w:hAnsi="標楷體" w:cs="Calibri"/>
                                      <w:bCs/>
                                      <w:color w:val="000000"/>
                                      <w:kern w:val="0"/>
                                      <w:sz w:val="20"/>
                                      <w:szCs w:val="18"/>
                                    </w:rPr>
                                  </w:pPr>
                                  <w:r w:rsidRPr="005151BA">
                                    <w:rPr>
                                      <w:rFonts w:ascii="標楷體" w:eastAsia="標楷體" w:hAnsi="標楷體" w:cs="Calibri" w:hint="eastAsia"/>
                                      <w:color w:val="000000"/>
                                      <w:kern w:val="0"/>
                                      <w:sz w:val="20"/>
                                      <w:szCs w:val="18"/>
                                    </w:rPr>
                                    <w:t>1,</w:t>
                                  </w:r>
                                  <w:r w:rsidRPr="005151BA">
                                    <w:rPr>
                                      <w:rFonts w:ascii="標楷體" w:eastAsia="標楷體" w:hAnsi="標楷體" w:cs="Calibri"/>
                                      <w:color w:val="000000"/>
                                      <w:kern w:val="0"/>
                                      <w:sz w:val="20"/>
                                      <w:szCs w:val="18"/>
                                    </w:rPr>
                                    <w:t>220</w:t>
                                  </w:r>
                                </w:p>
                              </w:tc>
                              <w:tc>
                                <w:tcPr>
                                  <w:tcW w:w="1118" w:type="pct"/>
                                  <w:vAlign w:val="center"/>
                                </w:tcPr>
                                <w:p w14:paraId="4BB83807" w14:textId="77777777" w:rsidR="004551F8" w:rsidRPr="005151BA" w:rsidRDefault="004551F8" w:rsidP="00824CD6">
                                  <w:pPr>
                                    <w:widowControl/>
                                    <w:spacing w:line="320" w:lineRule="exact"/>
                                    <w:jc w:val="right"/>
                                    <w:rPr>
                                      <w:rFonts w:ascii="標楷體" w:eastAsia="標楷體" w:hAnsi="標楷體" w:cs="Calibri"/>
                                      <w:bCs/>
                                      <w:color w:val="000000"/>
                                      <w:kern w:val="0"/>
                                      <w:sz w:val="20"/>
                                      <w:szCs w:val="18"/>
                                    </w:rPr>
                                  </w:pPr>
                                  <w:r w:rsidRPr="005151BA">
                                    <w:rPr>
                                      <w:rFonts w:ascii="標楷體" w:eastAsia="標楷體" w:hAnsi="標楷體" w:cs="Calibri" w:hint="eastAsia"/>
                                      <w:color w:val="000000"/>
                                      <w:kern w:val="0"/>
                                      <w:sz w:val="20"/>
                                      <w:szCs w:val="18"/>
                                    </w:rPr>
                                    <w:t>4</w:t>
                                  </w:r>
                                  <w:r w:rsidRPr="005151BA">
                                    <w:rPr>
                                      <w:rFonts w:ascii="標楷體" w:eastAsia="標楷體" w:hAnsi="標楷體" w:cs="Calibri"/>
                                      <w:color w:val="000000"/>
                                      <w:kern w:val="0"/>
                                      <w:sz w:val="20"/>
                                      <w:szCs w:val="18"/>
                                    </w:rPr>
                                    <w:t>3</w:t>
                                  </w:r>
                                </w:p>
                              </w:tc>
                              <w:tc>
                                <w:tcPr>
                                  <w:tcW w:w="1399" w:type="pct"/>
                                  <w:vAlign w:val="center"/>
                                </w:tcPr>
                                <w:p w14:paraId="754A31CB" w14:textId="77777777" w:rsidR="004551F8" w:rsidRPr="005151BA" w:rsidRDefault="004551F8" w:rsidP="00824CD6">
                                  <w:pPr>
                                    <w:spacing w:line="320" w:lineRule="exact"/>
                                    <w:jc w:val="right"/>
                                    <w:rPr>
                                      <w:rFonts w:ascii="標楷體" w:eastAsia="標楷體" w:hAnsi="標楷體" w:cs="Calibri"/>
                                      <w:bCs/>
                                      <w:color w:val="000000"/>
                                      <w:kern w:val="0"/>
                                      <w:sz w:val="20"/>
                                      <w:szCs w:val="18"/>
                                    </w:rPr>
                                  </w:pPr>
                                  <w:r w:rsidRPr="005151BA">
                                    <w:rPr>
                                      <w:rFonts w:ascii="標楷體" w:eastAsia="標楷體" w:hAnsi="標楷體" w:cs="Calibri" w:hint="eastAsia"/>
                                      <w:color w:val="000000"/>
                                      <w:kern w:val="0"/>
                                      <w:sz w:val="20"/>
                                      <w:szCs w:val="18"/>
                                    </w:rPr>
                                    <w:t>3.</w:t>
                                  </w:r>
                                  <w:r w:rsidRPr="005151BA">
                                    <w:rPr>
                                      <w:rFonts w:ascii="標楷體" w:eastAsia="標楷體" w:hAnsi="標楷體" w:cs="Calibri"/>
                                      <w:color w:val="000000"/>
                                      <w:kern w:val="0"/>
                                      <w:sz w:val="20"/>
                                      <w:szCs w:val="18"/>
                                    </w:rPr>
                                    <w:t>5</w:t>
                                  </w:r>
                                  <w:r w:rsidRPr="005151BA">
                                    <w:rPr>
                                      <w:rFonts w:ascii="標楷體" w:eastAsia="標楷體" w:hAnsi="標楷體" w:cs="Calibri" w:hint="eastAsia"/>
                                      <w:color w:val="000000"/>
                                      <w:kern w:val="0"/>
                                      <w:sz w:val="20"/>
                                      <w:szCs w:val="18"/>
                                    </w:rPr>
                                    <w:t>0</w:t>
                                  </w:r>
                                </w:p>
                              </w:tc>
                            </w:tr>
                            <w:tr w:rsidR="004551F8" w:rsidRPr="00872259" w14:paraId="0213DDF1" w14:textId="77777777" w:rsidTr="00824CD6">
                              <w:trPr>
                                <w:trHeight w:val="291"/>
                              </w:trPr>
                              <w:tc>
                                <w:tcPr>
                                  <w:tcW w:w="560" w:type="pct"/>
                                  <w:vMerge w:val="restart"/>
                                  <w:vAlign w:val="center"/>
                                  <w:hideMark/>
                                </w:tcPr>
                                <w:p w14:paraId="54166456"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1</w:t>
                                  </w:r>
                                  <w:r w:rsidRPr="005151BA">
                                    <w:rPr>
                                      <w:rFonts w:ascii="標楷體" w:eastAsia="標楷體" w:hAnsi="標楷體" w:cs="新細明體"/>
                                      <w:color w:val="000000"/>
                                      <w:kern w:val="0"/>
                                      <w:sz w:val="20"/>
                                      <w:szCs w:val="18"/>
                                    </w:rPr>
                                    <w:t>13</w:t>
                                  </w:r>
                                </w:p>
                              </w:tc>
                              <w:tc>
                                <w:tcPr>
                                  <w:tcW w:w="910" w:type="pct"/>
                                  <w:vAlign w:val="center"/>
                                  <w:hideMark/>
                                </w:tcPr>
                                <w:p w14:paraId="7A142130"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全國</w:t>
                                  </w:r>
                                </w:p>
                              </w:tc>
                              <w:tc>
                                <w:tcPr>
                                  <w:tcW w:w="1013" w:type="pct"/>
                                  <w:vAlign w:val="center"/>
                                  <w:hideMark/>
                                </w:tcPr>
                                <w:p w14:paraId="714A287E"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12,</w:t>
                                  </w:r>
                                  <w:r w:rsidRPr="005151BA">
                                    <w:rPr>
                                      <w:rFonts w:ascii="標楷體" w:eastAsia="標楷體" w:hAnsi="標楷體" w:cs="Calibri"/>
                                      <w:color w:val="000000"/>
                                      <w:kern w:val="0"/>
                                      <w:sz w:val="20"/>
                                      <w:szCs w:val="18"/>
                                    </w:rPr>
                                    <w:t>001</w:t>
                                  </w:r>
                                </w:p>
                              </w:tc>
                              <w:tc>
                                <w:tcPr>
                                  <w:tcW w:w="1118" w:type="pct"/>
                                  <w:vAlign w:val="center"/>
                                  <w:hideMark/>
                                </w:tcPr>
                                <w:p w14:paraId="450065EE"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4</w:t>
                                  </w:r>
                                  <w:r w:rsidRPr="005151BA">
                                    <w:rPr>
                                      <w:rFonts w:ascii="標楷體" w:eastAsia="標楷體" w:hAnsi="標楷體" w:cs="Calibri"/>
                                      <w:color w:val="000000"/>
                                      <w:kern w:val="0"/>
                                      <w:sz w:val="20"/>
                                      <w:szCs w:val="18"/>
                                    </w:rPr>
                                    <w:t>06</w:t>
                                  </w:r>
                                </w:p>
                              </w:tc>
                              <w:tc>
                                <w:tcPr>
                                  <w:tcW w:w="1399" w:type="pct"/>
                                  <w:vAlign w:val="center"/>
                                  <w:hideMark/>
                                </w:tcPr>
                                <w:p w14:paraId="3B53348D" w14:textId="77777777" w:rsidR="004551F8" w:rsidRPr="005151BA" w:rsidRDefault="004551F8" w:rsidP="00824CD6">
                                  <w:pPr>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3.</w:t>
                                  </w:r>
                                  <w:r w:rsidRPr="005151BA">
                                    <w:rPr>
                                      <w:rFonts w:ascii="標楷體" w:eastAsia="標楷體" w:hAnsi="標楷體" w:cs="Calibri"/>
                                      <w:color w:val="000000"/>
                                      <w:kern w:val="0"/>
                                      <w:sz w:val="20"/>
                                      <w:szCs w:val="18"/>
                                    </w:rPr>
                                    <w:t>38</w:t>
                                  </w:r>
                                </w:p>
                              </w:tc>
                            </w:tr>
                            <w:tr w:rsidR="004551F8" w:rsidRPr="00872259" w14:paraId="669DBCBD" w14:textId="77777777" w:rsidTr="00824CD6">
                              <w:trPr>
                                <w:trHeight w:val="291"/>
                              </w:trPr>
                              <w:tc>
                                <w:tcPr>
                                  <w:tcW w:w="560" w:type="pct"/>
                                  <w:vMerge/>
                                  <w:vAlign w:val="center"/>
                                </w:tcPr>
                                <w:p w14:paraId="4F361C6C"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p>
                              </w:tc>
                              <w:tc>
                                <w:tcPr>
                                  <w:tcW w:w="910" w:type="pct"/>
                                  <w:vAlign w:val="center"/>
                                </w:tcPr>
                                <w:p w14:paraId="69ED4C14"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臺北市</w:t>
                                  </w:r>
                                </w:p>
                              </w:tc>
                              <w:tc>
                                <w:tcPr>
                                  <w:tcW w:w="1013" w:type="pct"/>
                                  <w:vAlign w:val="center"/>
                                </w:tcPr>
                                <w:p w14:paraId="4F8C7AE0"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1,</w:t>
                                  </w:r>
                                  <w:r w:rsidRPr="005151BA">
                                    <w:rPr>
                                      <w:rFonts w:ascii="標楷體" w:eastAsia="標楷體" w:hAnsi="標楷體" w:cs="Calibri"/>
                                      <w:color w:val="000000"/>
                                      <w:kern w:val="0"/>
                                      <w:sz w:val="20"/>
                                      <w:szCs w:val="18"/>
                                    </w:rPr>
                                    <w:t>222</w:t>
                                  </w:r>
                                </w:p>
                              </w:tc>
                              <w:tc>
                                <w:tcPr>
                                  <w:tcW w:w="1118" w:type="pct"/>
                                  <w:vAlign w:val="center"/>
                                </w:tcPr>
                                <w:p w14:paraId="5B52B485"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4</w:t>
                                  </w:r>
                                  <w:r w:rsidRPr="005151BA">
                                    <w:rPr>
                                      <w:rFonts w:ascii="標楷體" w:eastAsia="標楷體" w:hAnsi="標楷體" w:cs="Calibri"/>
                                      <w:color w:val="000000"/>
                                      <w:kern w:val="0"/>
                                      <w:sz w:val="20"/>
                                      <w:szCs w:val="18"/>
                                    </w:rPr>
                                    <w:t>2</w:t>
                                  </w:r>
                                </w:p>
                              </w:tc>
                              <w:tc>
                                <w:tcPr>
                                  <w:tcW w:w="1399" w:type="pct"/>
                                  <w:vAlign w:val="center"/>
                                </w:tcPr>
                                <w:p w14:paraId="0EE447A8" w14:textId="77777777" w:rsidR="004551F8" w:rsidRPr="005151BA" w:rsidRDefault="004551F8" w:rsidP="00824CD6">
                                  <w:pPr>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3.50</w:t>
                                  </w:r>
                                </w:p>
                              </w:tc>
                            </w:tr>
                          </w:tbl>
                          <w:p w14:paraId="4C5E8E27" w14:textId="77777777" w:rsidR="004551F8" w:rsidRPr="005151BA" w:rsidRDefault="004551F8" w:rsidP="004551F8">
                            <w:pPr>
                              <w:spacing w:line="240" w:lineRule="exact"/>
                              <w:jc w:val="both"/>
                              <w:rPr>
                                <w:rFonts w:ascii="標楷體" w:eastAsia="標楷體" w:hAnsi="標楷體"/>
                                <w:sz w:val="18"/>
                                <w:szCs w:val="20"/>
                              </w:rPr>
                            </w:pPr>
                            <w:r w:rsidRPr="005151BA">
                              <w:rPr>
                                <w:rFonts w:ascii="標楷體" w:eastAsia="標楷體" w:hAnsi="標楷體" w:hint="eastAsia"/>
                                <w:sz w:val="18"/>
                                <w:szCs w:val="20"/>
                              </w:rPr>
                              <w:t>資料來源：整理自行政院主計總處人力資源統計月報。</w:t>
                            </w:r>
                          </w:p>
                          <w:p w14:paraId="628052CB" w14:textId="77777777" w:rsidR="004551F8" w:rsidRPr="005151BA" w:rsidRDefault="004551F8" w:rsidP="004551F8">
                            <w:pPr>
                              <w:rPr>
                                <w:sz w:val="22"/>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96A2E" id="文字方塊 5" o:spid="_x0000_s1106" type="#_x0000_t202" style="position:absolute;left:0;text-align:left;margin-left:173.95pt;margin-top:7.05pt;width:324pt;height:18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" fillcolor="window" stroked="f" strokeweight=".5pt">
                <v:textbox>
                  <w:txbxContent>
                    <w:p w14:paraId="25C9C423" w14:textId="77777777" w:rsidR="004551F8" w:rsidRPr="00872259" w:rsidRDefault="004551F8" w:rsidP="004551F8">
                      <w:pPr>
                        <w:spacing w:line="340" w:lineRule="exact"/>
                        <w:ind w:leftChars="236" w:left="1181" w:rightChars="-1" w:right="-2" w:hangingChars="256" w:hanging="615"/>
                        <w:jc w:val="center"/>
                        <w:rPr>
                          <w:rFonts w:ascii="標楷體" w:eastAsia="標楷體" w:hAnsi="標楷體"/>
                          <w:b/>
                        </w:rPr>
                      </w:pPr>
                      <w:bookmarkStart w:id="63" w:name="_Hlk199245655"/>
                      <w:bookmarkEnd w:id="63"/>
                      <w:r w:rsidRPr="00872259">
                        <w:rPr>
                          <w:rFonts w:ascii="標楷體" w:eastAsia="標楷體" w:hAnsi="標楷體" w:cs="新細明體" w:hint="eastAsia"/>
                          <w:b/>
                          <w:color w:val="000000"/>
                          <w:kern w:val="0"/>
                        </w:rPr>
                        <w:t xml:space="preserve">表1  </w:t>
                      </w:r>
                      <w:r w:rsidRPr="00872259">
                        <w:rPr>
                          <w:rFonts w:ascii="標楷體" w:eastAsia="標楷體" w:hAnsi="標楷體" w:hint="eastAsia"/>
                          <w:b/>
                        </w:rPr>
                        <w:t>勞動力及失業情形統計</w:t>
                      </w:r>
                    </w:p>
                    <w:p w14:paraId="487637B9" w14:textId="77777777" w:rsidR="004551F8" w:rsidRDefault="004551F8" w:rsidP="004551F8">
                      <w:pPr>
                        <w:jc w:val="right"/>
                        <w:rPr>
                          <w:rFonts w:ascii="標楷體" w:eastAsia="標楷體" w:hAnsi="標楷體"/>
                          <w:sz w:val="20"/>
                        </w:rPr>
                      </w:pPr>
                      <w:r w:rsidRPr="00872259">
                        <w:rPr>
                          <w:rFonts w:ascii="標楷體" w:eastAsia="標楷體" w:hAnsi="標楷體" w:hint="eastAsia"/>
                          <w:sz w:val="20"/>
                        </w:rPr>
                        <w:t>單位：千人、％</w:t>
                      </w:r>
                    </w:p>
                    <w:tbl>
                      <w:tblPr>
                        <w:tblW w:w="5000"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4"/>
                        <w:gridCol w:w="1126"/>
                        <w:gridCol w:w="1253"/>
                        <w:gridCol w:w="1383"/>
                        <w:gridCol w:w="1731"/>
                      </w:tblGrid>
                      <w:tr w:rsidR="004551F8" w:rsidRPr="00872259" w14:paraId="55DF55CD" w14:textId="77777777" w:rsidTr="00824CD6">
                        <w:trPr>
                          <w:trHeight w:val="417"/>
                        </w:trPr>
                        <w:tc>
                          <w:tcPr>
                            <w:tcW w:w="560" w:type="pct"/>
                            <w:vAlign w:val="center"/>
                            <w:hideMark/>
                          </w:tcPr>
                          <w:p w14:paraId="7A449935" w14:textId="77777777"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bCs/>
                                <w:color w:val="000000"/>
                                <w:kern w:val="0"/>
                                <w:sz w:val="20"/>
                                <w:szCs w:val="18"/>
                              </w:rPr>
                              <w:t>年度</w:t>
                            </w:r>
                          </w:p>
                        </w:tc>
                        <w:tc>
                          <w:tcPr>
                            <w:tcW w:w="910" w:type="pct"/>
                            <w:vAlign w:val="center"/>
                            <w:hideMark/>
                          </w:tcPr>
                          <w:p w14:paraId="34B680C3" w14:textId="77777777"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bCs/>
                                <w:color w:val="000000"/>
                                <w:kern w:val="0"/>
                                <w:sz w:val="20"/>
                                <w:szCs w:val="18"/>
                              </w:rPr>
                              <w:t>地區</w:t>
                            </w:r>
                          </w:p>
                        </w:tc>
                        <w:tc>
                          <w:tcPr>
                            <w:tcW w:w="1013" w:type="pct"/>
                            <w:vAlign w:val="center"/>
                            <w:hideMark/>
                          </w:tcPr>
                          <w:p w14:paraId="58769214" w14:textId="311D3AF6"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bCs/>
                                <w:color w:val="000000"/>
                                <w:kern w:val="0"/>
                                <w:sz w:val="20"/>
                                <w:szCs w:val="18"/>
                              </w:rPr>
                              <w:t>勞動力</w:t>
                            </w:r>
                            <w:r>
                              <w:rPr>
                                <w:rFonts w:ascii="標楷體" w:eastAsia="標楷體" w:hAnsi="標楷體" w:cs="新細明體" w:hint="eastAsia"/>
                                <w:bCs/>
                                <w:color w:val="000000"/>
                                <w:kern w:val="0"/>
                                <w:sz w:val="20"/>
                                <w:szCs w:val="18"/>
                              </w:rPr>
                              <w:t>（</w:t>
                            </w:r>
                            <w:r w:rsidR="00DC1BE5">
                              <w:rPr>
                                <w:rFonts w:ascii="標楷體" w:eastAsia="標楷體" w:hAnsi="標楷體" w:cs="新細明體"/>
                                <w:bCs/>
                                <w:color w:val="000000"/>
                                <w:kern w:val="0"/>
                                <w:sz w:val="20"/>
                                <w:szCs w:val="18"/>
                              </w:rPr>
                              <w:t>A</w:t>
                            </w:r>
                            <w:r>
                              <w:rPr>
                                <w:rFonts w:ascii="標楷體" w:eastAsia="標楷體" w:hAnsi="標楷體" w:cs="新細明體" w:hint="eastAsia"/>
                                <w:bCs/>
                                <w:color w:val="000000"/>
                                <w:kern w:val="0"/>
                                <w:sz w:val="20"/>
                                <w:szCs w:val="18"/>
                              </w:rPr>
                              <w:t>）</w:t>
                            </w:r>
                          </w:p>
                        </w:tc>
                        <w:tc>
                          <w:tcPr>
                            <w:tcW w:w="1118" w:type="pct"/>
                            <w:vAlign w:val="center"/>
                            <w:hideMark/>
                          </w:tcPr>
                          <w:p w14:paraId="57CEEFEB" w14:textId="7521AD99"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bCs/>
                                <w:color w:val="000000"/>
                                <w:kern w:val="0"/>
                                <w:sz w:val="20"/>
                                <w:szCs w:val="18"/>
                              </w:rPr>
                              <w:t>失業人數</w:t>
                            </w:r>
                            <w:r>
                              <w:rPr>
                                <w:rFonts w:ascii="標楷體" w:eastAsia="標楷體" w:hAnsi="標楷體" w:cs="新細明體" w:hint="eastAsia"/>
                                <w:bCs/>
                                <w:color w:val="000000"/>
                                <w:kern w:val="0"/>
                                <w:sz w:val="20"/>
                                <w:szCs w:val="18"/>
                              </w:rPr>
                              <w:t>（</w:t>
                            </w:r>
                            <w:r w:rsidR="00DC1BE5">
                              <w:rPr>
                                <w:rFonts w:ascii="標楷體" w:eastAsia="標楷體" w:hAnsi="標楷體" w:cs="新細明體"/>
                                <w:bCs/>
                                <w:color w:val="000000"/>
                                <w:kern w:val="0"/>
                                <w:sz w:val="20"/>
                                <w:szCs w:val="18"/>
                              </w:rPr>
                              <w:t>B</w:t>
                            </w:r>
                            <w:r>
                              <w:rPr>
                                <w:rFonts w:ascii="標楷體" w:eastAsia="標楷體" w:hAnsi="標楷體" w:cs="新細明體" w:hint="eastAsia"/>
                                <w:bCs/>
                                <w:color w:val="000000"/>
                                <w:kern w:val="0"/>
                                <w:sz w:val="20"/>
                                <w:szCs w:val="18"/>
                              </w:rPr>
                              <w:t>）</w:t>
                            </w:r>
                          </w:p>
                        </w:tc>
                        <w:tc>
                          <w:tcPr>
                            <w:tcW w:w="1399" w:type="pct"/>
                            <w:vAlign w:val="center"/>
                            <w:hideMark/>
                          </w:tcPr>
                          <w:p w14:paraId="38D6DE5E" w14:textId="77777777"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bCs/>
                                <w:color w:val="000000"/>
                                <w:kern w:val="0"/>
                                <w:sz w:val="20"/>
                                <w:szCs w:val="18"/>
                              </w:rPr>
                              <w:t>失業率</w:t>
                            </w:r>
                          </w:p>
                          <w:p w14:paraId="261D8761" w14:textId="7B98D48B"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Pr>
                                <w:rFonts w:ascii="標楷體" w:eastAsia="標楷體" w:hAnsi="標楷體" w:cs="新細明體" w:hint="eastAsia"/>
                                <w:bCs/>
                                <w:color w:val="000000"/>
                                <w:kern w:val="0"/>
                                <w:sz w:val="20"/>
                                <w:szCs w:val="18"/>
                              </w:rPr>
                              <w:t>（</w:t>
                            </w:r>
                            <w:r w:rsidR="00DC1BE5">
                              <w:rPr>
                                <w:rFonts w:ascii="標楷體" w:eastAsia="標楷體" w:hAnsi="標楷體" w:cs="新細明體" w:hint="eastAsia"/>
                                <w:bCs/>
                                <w:color w:val="000000"/>
                                <w:kern w:val="0"/>
                                <w:sz w:val="20"/>
                                <w:szCs w:val="18"/>
                              </w:rPr>
                              <w:t>B</w:t>
                            </w:r>
                            <w:r w:rsidRPr="005151BA">
                              <w:rPr>
                                <w:rFonts w:ascii="標楷體" w:eastAsia="標楷體" w:hAnsi="標楷體" w:cs="新細明體" w:hint="eastAsia"/>
                                <w:bCs/>
                                <w:color w:val="000000"/>
                                <w:kern w:val="0"/>
                                <w:sz w:val="20"/>
                                <w:szCs w:val="18"/>
                              </w:rPr>
                              <w:t>/</w:t>
                            </w:r>
                            <w:r w:rsidR="00DC1BE5">
                              <w:rPr>
                                <w:rFonts w:ascii="標楷體" w:eastAsia="標楷體" w:hAnsi="標楷體" w:cs="新細明體"/>
                                <w:bCs/>
                                <w:color w:val="000000"/>
                                <w:kern w:val="0"/>
                                <w:sz w:val="20"/>
                                <w:szCs w:val="18"/>
                              </w:rPr>
                              <w:t>A</w:t>
                            </w:r>
                            <w:r w:rsidRPr="005151BA">
                              <w:rPr>
                                <w:rFonts w:ascii="標楷體" w:eastAsia="標楷體" w:hAnsi="標楷體" w:cs="新細明體"/>
                                <w:bCs/>
                                <w:color w:val="000000"/>
                                <w:kern w:val="0"/>
                                <w:sz w:val="20"/>
                                <w:szCs w:val="18"/>
                              </w:rPr>
                              <w:t>×</w:t>
                            </w:r>
                            <w:r w:rsidRPr="005151BA">
                              <w:rPr>
                                <w:rFonts w:ascii="標楷體" w:eastAsia="標楷體" w:hAnsi="標楷體" w:cs="新細明體" w:hint="eastAsia"/>
                                <w:bCs/>
                                <w:color w:val="000000"/>
                                <w:kern w:val="0"/>
                                <w:sz w:val="20"/>
                                <w:szCs w:val="18"/>
                              </w:rPr>
                              <w:t>100</w:t>
                            </w:r>
                            <w:r w:rsidR="00DC1BE5">
                              <w:rPr>
                                <w:rFonts w:ascii="標楷體" w:eastAsia="標楷體" w:hAnsi="標楷體" w:cs="新細明體" w:hint="eastAsia"/>
                                <w:bCs/>
                                <w:color w:val="000000"/>
                                <w:kern w:val="0"/>
                                <w:sz w:val="20"/>
                                <w:szCs w:val="18"/>
                              </w:rPr>
                              <w:t>）</w:t>
                            </w:r>
                          </w:p>
                        </w:tc>
                      </w:tr>
                      <w:tr w:rsidR="004551F8" w:rsidRPr="00872259" w14:paraId="7582265B" w14:textId="77777777" w:rsidTr="00824CD6">
                        <w:trPr>
                          <w:trHeight w:val="291"/>
                        </w:trPr>
                        <w:tc>
                          <w:tcPr>
                            <w:tcW w:w="560" w:type="pct"/>
                            <w:vMerge w:val="restart"/>
                            <w:vAlign w:val="center"/>
                            <w:hideMark/>
                          </w:tcPr>
                          <w:p w14:paraId="73EB70D6"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1</w:t>
                            </w:r>
                            <w:r w:rsidRPr="005151BA">
                              <w:rPr>
                                <w:rFonts w:ascii="標楷體" w:eastAsia="標楷體" w:hAnsi="標楷體" w:cs="新細明體"/>
                                <w:color w:val="000000"/>
                                <w:kern w:val="0"/>
                                <w:sz w:val="20"/>
                                <w:szCs w:val="18"/>
                              </w:rPr>
                              <w:t>11</w:t>
                            </w:r>
                          </w:p>
                        </w:tc>
                        <w:tc>
                          <w:tcPr>
                            <w:tcW w:w="910" w:type="pct"/>
                            <w:vAlign w:val="center"/>
                            <w:hideMark/>
                          </w:tcPr>
                          <w:p w14:paraId="2A54BA01"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全國</w:t>
                            </w:r>
                          </w:p>
                        </w:tc>
                        <w:tc>
                          <w:tcPr>
                            <w:tcW w:w="1013" w:type="pct"/>
                            <w:vAlign w:val="center"/>
                            <w:hideMark/>
                          </w:tcPr>
                          <w:p w14:paraId="0F70805F"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11,</w:t>
                            </w:r>
                            <w:r w:rsidRPr="005151BA">
                              <w:rPr>
                                <w:rFonts w:ascii="標楷體" w:eastAsia="標楷體" w:hAnsi="標楷體" w:cs="Calibri"/>
                                <w:color w:val="000000"/>
                                <w:kern w:val="0"/>
                                <w:sz w:val="20"/>
                                <w:szCs w:val="18"/>
                              </w:rPr>
                              <w:t>853</w:t>
                            </w:r>
                          </w:p>
                        </w:tc>
                        <w:tc>
                          <w:tcPr>
                            <w:tcW w:w="1118" w:type="pct"/>
                            <w:vAlign w:val="center"/>
                            <w:hideMark/>
                          </w:tcPr>
                          <w:p w14:paraId="69F98557"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color w:val="000000"/>
                                <w:kern w:val="0"/>
                                <w:sz w:val="20"/>
                                <w:szCs w:val="18"/>
                              </w:rPr>
                              <w:t>434</w:t>
                            </w:r>
                          </w:p>
                        </w:tc>
                        <w:tc>
                          <w:tcPr>
                            <w:tcW w:w="1399" w:type="pct"/>
                            <w:vAlign w:val="center"/>
                            <w:hideMark/>
                          </w:tcPr>
                          <w:p w14:paraId="247D49BA"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3.</w:t>
                            </w:r>
                            <w:r w:rsidRPr="005151BA">
                              <w:rPr>
                                <w:rFonts w:ascii="標楷體" w:eastAsia="標楷體" w:hAnsi="標楷體" w:cs="Calibri"/>
                                <w:color w:val="000000"/>
                                <w:kern w:val="0"/>
                                <w:sz w:val="20"/>
                                <w:szCs w:val="18"/>
                              </w:rPr>
                              <w:t>67</w:t>
                            </w:r>
                          </w:p>
                        </w:tc>
                      </w:tr>
                      <w:tr w:rsidR="004551F8" w:rsidRPr="00872259" w14:paraId="42695670" w14:textId="77777777" w:rsidTr="00824CD6">
                        <w:trPr>
                          <w:trHeight w:val="291"/>
                        </w:trPr>
                        <w:tc>
                          <w:tcPr>
                            <w:tcW w:w="560" w:type="pct"/>
                            <w:vMerge/>
                            <w:vAlign w:val="center"/>
                            <w:hideMark/>
                          </w:tcPr>
                          <w:p w14:paraId="1D065D55" w14:textId="77777777" w:rsidR="004551F8" w:rsidRPr="005151BA" w:rsidRDefault="004551F8" w:rsidP="00824CD6">
                            <w:pPr>
                              <w:widowControl/>
                              <w:spacing w:line="320" w:lineRule="exact"/>
                              <w:rPr>
                                <w:rFonts w:ascii="標楷體" w:eastAsia="標楷體" w:hAnsi="標楷體" w:cs="新細明體"/>
                                <w:color w:val="000000"/>
                                <w:kern w:val="0"/>
                                <w:sz w:val="20"/>
                                <w:szCs w:val="18"/>
                              </w:rPr>
                            </w:pPr>
                          </w:p>
                        </w:tc>
                        <w:tc>
                          <w:tcPr>
                            <w:tcW w:w="910" w:type="pct"/>
                            <w:vAlign w:val="center"/>
                          </w:tcPr>
                          <w:p w14:paraId="18374B7D"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臺北市</w:t>
                            </w:r>
                          </w:p>
                        </w:tc>
                        <w:tc>
                          <w:tcPr>
                            <w:tcW w:w="1013" w:type="pct"/>
                            <w:vAlign w:val="center"/>
                          </w:tcPr>
                          <w:p w14:paraId="1C57CA70"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1,</w:t>
                            </w:r>
                            <w:r w:rsidRPr="005151BA">
                              <w:rPr>
                                <w:rFonts w:ascii="標楷體" w:eastAsia="標楷體" w:hAnsi="標楷體" w:cs="Calibri"/>
                                <w:color w:val="000000"/>
                                <w:kern w:val="0"/>
                                <w:sz w:val="20"/>
                                <w:szCs w:val="18"/>
                              </w:rPr>
                              <w:t>212</w:t>
                            </w:r>
                          </w:p>
                        </w:tc>
                        <w:tc>
                          <w:tcPr>
                            <w:tcW w:w="1118" w:type="pct"/>
                            <w:vAlign w:val="center"/>
                          </w:tcPr>
                          <w:p w14:paraId="6EFDDDDC"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4</w:t>
                            </w:r>
                            <w:r w:rsidRPr="005151BA">
                              <w:rPr>
                                <w:rFonts w:ascii="標楷體" w:eastAsia="標楷體" w:hAnsi="標楷體" w:cs="Calibri"/>
                                <w:color w:val="000000"/>
                                <w:kern w:val="0"/>
                                <w:sz w:val="20"/>
                                <w:szCs w:val="18"/>
                              </w:rPr>
                              <w:t>4</w:t>
                            </w:r>
                          </w:p>
                        </w:tc>
                        <w:tc>
                          <w:tcPr>
                            <w:tcW w:w="1399" w:type="pct"/>
                            <w:vAlign w:val="center"/>
                          </w:tcPr>
                          <w:p w14:paraId="1C354373"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3.70</w:t>
                            </w:r>
                          </w:p>
                        </w:tc>
                      </w:tr>
                      <w:tr w:rsidR="004551F8" w:rsidRPr="00872259" w14:paraId="5676D5F4" w14:textId="77777777" w:rsidTr="00824CD6">
                        <w:trPr>
                          <w:trHeight w:val="291"/>
                        </w:trPr>
                        <w:tc>
                          <w:tcPr>
                            <w:tcW w:w="560" w:type="pct"/>
                            <w:vMerge w:val="restart"/>
                            <w:vAlign w:val="center"/>
                            <w:hideMark/>
                          </w:tcPr>
                          <w:p w14:paraId="5E25E159"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1</w:t>
                            </w:r>
                            <w:r w:rsidRPr="005151BA">
                              <w:rPr>
                                <w:rFonts w:ascii="標楷體" w:eastAsia="標楷體" w:hAnsi="標楷體" w:cs="新細明體"/>
                                <w:color w:val="000000"/>
                                <w:kern w:val="0"/>
                                <w:sz w:val="20"/>
                                <w:szCs w:val="18"/>
                              </w:rPr>
                              <w:t>12</w:t>
                            </w:r>
                          </w:p>
                        </w:tc>
                        <w:tc>
                          <w:tcPr>
                            <w:tcW w:w="910" w:type="pct"/>
                            <w:vAlign w:val="center"/>
                            <w:hideMark/>
                          </w:tcPr>
                          <w:p w14:paraId="6E430B4A"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全國</w:t>
                            </w:r>
                          </w:p>
                        </w:tc>
                        <w:tc>
                          <w:tcPr>
                            <w:tcW w:w="1013" w:type="pct"/>
                            <w:vAlign w:val="center"/>
                            <w:hideMark/>
                          </w:tcPr>
                          <w:p w14:paraId="1D150EAB"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11,</w:t>
                            </w:r>
                            <w:r w:rsidRPr="005151BA">
                              <w:rPr>
                                <w:rFonts w:ascii="標楷體" w:eastAsia="標楷體" w:hAnsi="標楷體" w:cs="Calibri"/>
                                <w:color w:val="000000"/>
                                <w:kern w:val="0"/>
                                <w:sz w:val="20"/>
                                <w:szCs w:val="18"/>
                              </w:rPr>
                              <w:t>943</w:t>
                            </w:r>
                          </w:p>
                        </w:tc>
                        <w:tc>
                          <w:tcPr>
                            <w:tcW w:w="1118" w:type="pct"/>
                            <w:vAlign w:val="center"/>
                            <w:hideMark/>
                          </w:tcPr>
                          <w:p w14:paraId="4BE08878"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4</w:t>
                            </w:r>
                            <w:r w:rsidRPr="005151BA">
                              <w:rPr>
                                <w:rFonts w:ascii="標楷體" w:eastAsia="標楷體" w:hAnsi="標楷體" w:cs="Calibri"/>
                                <w:color w:val="000000"/>
                                <w:kern w:val="0"/>
                                <w:sz w:val="20"/>
                                <w:szCs w:val="18"/>
                              </w:rPr>
                              <w:t>15</w:t>
                            </w:r>
                          </w:p>
                        </w:tc>
                        <w:tc>
                          <w:tcPr>
                            <w:tcW w:w="1399" w:type="pct"/>
                            <w:vAlign w:val="center"/>
                            <w:hideMark/>
                          </w:tcPr>
                          <w:p w14:paraId="7FE02EF8" w14:textId="77777777" w:rsidR="004551F8" w:rsidRPr="005151BA" w:rsidRDefault="004551F8" w:rsidP="00824CD6">
                            <w:pPr>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3.</w:t>
                            </w:r>
                            <w:r w:rsidRPr="005151BA">
                              <w:rPr>
                                <w:rFonts w:ascii="標楷體" w:eastAsia="標楷體" w:hAnsi="標楷體" w:cs="Calibri"/>
                                <w:color w:val="000000"/>
                                <w:kern w:val="0"/>
                                <w:sz w:val="20"/>
                                <w:szCs w:val="18"/>
                              </w:rPr>
                              <w:t>48</w:t>
                            </w:r>
                          </w:p>
                        </w:tc>
                      </w:tr>
                      <w:tr w:rsidR="004551F8" w:rsidRPr="00872259" w14:paraId="3A651D00" w14:textId="77777777" w:rsidTr="00824CD6">
                        <w:trPr>
                          <w:trHeight w:val="291"/>
                        </w:trPr>
                        <w:tc>
                          <w:tcPr>
                            <w:tcW w:w="560" w:type="pct"/>
                            <w:vMerge/>
                            <w:vAlign w:val="center"/>
                          </w:tcPr>
                          <w:p w14:paraId="27FAE734" w14:textId="77777777" w:rsidR="004551F8" w:rsidRPr="005151BA" w:rsidRDefault="004551F8" w:rsidP="00824CD6">
                            <w:pPr>
                              <w:widowControl/>
                              <w:spacing w:line="320" w:lineRule="exact"/>
                              <w:rPr>
                                <w:rFonts w:ascii="標楷體" w:eastAsia="標楷體" w:hAnsi="標楷體" w:cs="新細明體"/>
                                <w:color w:val="000000"/>
                                <w:kern w:val="0"/>
                                <w:sz w:val="20"/>
                                <w:szCs w:val="18"/>
                              </w:rPr>
                            </w:pPr>
                          </w:p>
                        </w:tc>
                        <w:tc>
                          <w:tcPr>
                            <w:tcW w:w="910" w:type="pct"/>
                            <w:vAlign w:val="center"/>
                          </w:tcPr>
                          <w:p w14:paraId="5F848F81" w14:textId="77777777" w:rsidR="004551F8" w:rsidRPr="005151BA" w:rsidRDefault="004551F8" w:rsidP="00824CD6">
                            <w:pPr>
                              <w:widowControl/>
                              <w:spacing w:line="320" w:lineRule="exact"/>
                              <w:jc w:val="center"/>
                              <w:rPr>
                                <w:rFonts w:ascii="標楷體" w:eastAsia="標楷體" w:hAnsi="標楷體" w:cs="新細明體"/>
                                <w:bCs/>
                                <w:color w:val="000000"/>
                                <w:kern w:val="0"/>
                                <w:sz w:val="20"/>
                                <w:szCs w:val="18"/>
                              </w:rPr>
                            </w:pPr>
                            <w:r w:rsidRPr="005151BA">
                              <w:rPr>
                                <w:rFonts w:ascii="標楷體" w:eastAsia="標楷體" w:hAnsi="標楷體" w:cs="新細明體" w:hint="eastAsia"/>
                                <w:color w:val="000000"/>
                                <w:kern w:val="0"/>
                                <w:sz w:val="20"/>
                                <w:szCs w:val="18"/>
                              </w:rPr>
                              <w:t>臺北市</w:t>
                            </w:r>
                          </w:p>
                        </w:tc>
                        <w:tc>
                          <w:tcPr>
                            <w:tcW w:w="1013" w:type="pct"/>
                            <w:vAlign w:val="center"/>
                          </w:tcPr>
                          <w:p w14:paraId="7B822AFD" w14:textId="77777777" w:rsidR="004551F8" w:rsidRPr="005151BA" w:rsidRDefault="004551F8" w:rsidP="00824CD6">
                            <w:pPr>
                              <w:widowControl/>
                              <w:spacing w:line="320" w:lineRule="exact"/>
                              <w:jc w:val="right"/>
                              <w:rPr>
                                <w:rFonts w:ascii="標楷體" w:eastAsia="標楷體" w:hAnsi="標楷體" w:cs="Calibri"/>
                                <w:bCs/>
                                <w:color w:val="000000"/>
                                <w:kern w:val="0"/>
                                <w:sz w:val="20"/>
                                <w:szCs w:val="18"/>
                              </w:rPr>
                            </w:pPr>
                            <w:r w:rsidRPr="005151BA">
                              <w:rPr>
                                <w:rFonts w:ascii="標楷體" w:eastAsia="標楷體" w:hAnsi="標楷體" w:cs="Calibri" w:hint="eastAsia"/>
                                <w:color w:val="000000"/>
                                <w:kern w:val="0"/>
                                <w:sz w:val="20"/>
                                <w:szCs w:val="18"/>
                              </w:rPr>
                              <w:t>1,</w:t>
                            </w:r>
                            <w:r w:rsidRPr="005151BA">
                              <w:rPr>
                                <w:rFonts w:ascii="標楷體" w:eastAsia="標楷體" w:hAnsi="標楷體" w:cs="Calibri"/>
                                <w:color w:val="000000"/>
                                <w:kern w:val="0"/>
                                <w:sz w:val="20"/>
                                <w:szCs w:val="18"/>
                              </w:rPr>
                              <w:t>220</w:t>
                            </w:r>
                          </w:p>
                        </w:tc>
                        <w:tc>
                          <w:tcPr>
                            <w:tcW w:w="1118" w:type="pct"/>
                            <w:vAlign w:val="center"/>
                          </w:tcPr>
                          <w:p w14:paraId="4BB83807" w14:textId="77777777" w:rsidR="004551F8" w:rsidRPr="005151BA" w:rsidRDefault="004551F8" w:rsidP="00824CD6">
                            <w:pPr>
                              <w:widowControl/>
                              <w:spacing w:line="320" w:lineRule="exact"/>
                              <w:jc w:val="right"/>
                              <w:rPr>
                                <w:rFonts w:ascii="標楷體" w:eastAsia="標楷體" w:hAnsi="標楷體" w:cs="Calibri"/>
                                <w:bCs/>
                                <w:color w:val="000000"/>
                                <w:kern w:val="0"/>
                                <w:sz w:val="20"/>
                                <w:szCs w:val="18"/>
                              </w:rPr>
                            </w:pPr>
                            <w:r w:rsidRPr="005151BA">
                              <w:rPr>
                                <w:rFonts w:ascii="標楷體" w:eastAsia="標楷體" w:hAnsi="標楷體" w:cs="Calibri" w:hint="eastAsia"/>
                                <w:color w:val="000000"/>
                                <w:kern w:val="0"/>
                                <w:sz w:val="20"/>
                                <w:szCs w:val="18"/>
                              </w:rPr>
                              <w:t>4</w:t>
                            </w:r>
                            <w:r w:rsidRPr="005151BA">
                              <w:rPr>
                                <w:rFonts w:ascii="標楷體" w:eastAsia="標楷體" w:hAnsi="標楷體" w:cs="Calibri"/>
                                <w:color w:val="000000"/>
                                <w:kern w:val="0"/>
                                <w:sz w:val="20"/>
                                <w:szCs w:val="18"/>
                              </w:rPr>
                              <w:t>3</w:t>
                            </w:r>
                          </w:p>
                        </w:tc>
                        <w:tc>
                          <w:tcPr>
                            <w:tcW w:w="1399" w:type="pct"/>
                            <w:vAlign w:val="center"/>
                          </w:tcPr>
                          <w:p w14:paraId="754A31CB" w14:textId="77777777" w:rsidR="004551F8" w:rsidRPr="005151BA" w:rsidRDefault="004551F8" w:rsidP="00824CD6">
                            <w:pPr>
                              <w:spacing w:line="320" w:lineRule="exact"/>
                              <w:jc w:val="right"/>
                              <w:rPr>
                                <w:rFonts w:ascii="標楷體" w:eastAsia="標楷體" w:hAnsi="標楷體" w:cs="Calibri"/>
                                <w:bCs/>
                                <w:color w:val="000000"/>
                                <w:kern w:val="0"/>
                                <w:sz w:val="20"/>
                                <w:szCs w:val="18"/>
                              </w:rPr>
                            </w:pPr>
                            <w:r w:rsidRPr="005151BA">
                              <w:rPr>
                                <w:rFonts w:ascii="標楷體" w:eastAsia="標楷體" w:hAnsi="標楷體" w:cs="Calibri" w:hint="eastAsia"/>
                                <w:color w:val="000000"/>
                                <w:kern w:val="0"/>
                                <w:sz w:val="20"/>
                                <w:szCs w:val="18"/>
                              </w:rPr>
                              <w:t>3.</w:t>
                            </w:r>
                            <w:r w:rsidRPr="005151BA">
                              <w:rPr>
                                <w:rFonts w:ascii="標楷體" w:eastAsia="標楷體" w:hAnsi="標楷體" w:cs="Calibri"/>
                                <w:color w:val="000000"/>
                                <w:kern w:val="0"/>
                                <w:sz w:val="20"/>
                                <w:szCs w:val="18"/>
                              </w:rPr>
                              <w:t>5</w:t>
                            </w:r>
                            <w:r w:rsidRPr="005151BA">
                              <w:rPr>
                                <w:rFonts w:ascii="標楷體" w:eastAsia="標楷體" w:hAnsi="標楷體" w:cs="Calibri" w:hint="eastAsia"/>
                                <w:color w:val="000000"/>
                                <w:kern w:val="0"/>
                                <w:sz w:val="20"/>
                                <w:szCs w:val="18"/>
                              </w:rPr>
                              <w:t>0</w:t>
                            </w:r>
                          </w:p>
                        </w:tc>
                      </w:tr>
                      <w:tr w:rsidR="004551F8" w:rsidRPr="00872259" w14:paraId="0213DDF1" w14:textId="77777777" w:rsidTr="00824CD6">
                        <w:trPr>
                          <w:trHeight w:val="291"/>
                        </w:trPr>
                        <w:tc>
                          <w:tcPr>
                            <w:tcW w:w="560" w:type="pct"/>
                            <w:vMerge w:val="restart"/>
                            <w:vAlign w:val="center"/>
                            <w:hideMark/>
                          </w:tcPr>
                          <w:p w14:paraId="54166456"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1</w:t>
                            </w:r>
                            <w:r w:rsidRPr="005151BA">
                              <w:rPr>
                                <w:rFonts w:ascii="標楷體" w:eastAsia="標楷體" w:hAnsi="標楷體" w:cs="新細明體"/>
                                <w:color w:val="000000"/>
                                <w:kern w:val="0"/>
                                <w:sz w:val="20"/>
                                <w:szCs w:val="18"/>
                              </w:rPr>
                              <w:t>13</w:t>
                            </w:r>
                          </w:p>
                        </w:tc>
                        <w:tc>
                          <w:tcPr>
                            <w:tcW w:w="910" w:type="pct"/>
                            <w:vAlign w:val="center"/>
                            <w:hideMark/>
                          </w:tcPr>
                          <w:p w14:paraId="7A142130"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全國</w:t>
                            </w:r>
                          </w:p>
                        </w:tc>
                        <w:tc>
                          <w:tcPr>
                            <w:tcW w:w="1013" w:type="pct"/>
                            <w:vAlign w:val="center"/>
                            <w:hideMark/>
                          </w:tcPr>
                          <w:p w14:paraId="714A287E"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12,</w:t>
                            </w:r>
                            <w:r w:rsidRPr="005151BA">
                              <w:rPr>
                                <w:rFonts w:ascii="標楷體" w:eastAsia="標楷體" w:hAnsi="標楷體" w:cs="Calibri"/>
                                <w:color w:val="000000"/>
                                <w:kern w:val="0"/>
                                <w:sz w:val="20"/>
                                <w:szCs w:val="18"/>
                              </w:rPr>
                              <w:t>001</w:t>
                            </w:r>
                          </w:p>
                        </w:tc>
                        <w:tc>
                          <w:tcPr>
                            <w:tcW w:w="1118" w:type="pct"/>
                            <w:vAlign w:val="center"/>
                            <w:hideMark/>
                          </w:tcPr>
                          <w:p w14:paraId="450065EE"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4</w:t>
                            </w:r>
                            <w:r w:rsidRPr="005151BA">
                              <w:rPr>
                                <w:rFonts w:ascii="標楷體" w:eastAsia="標楷體" w:hAnsi="標楷體" w:cs="Calibri"/>
                                <w:color w:val="000000"/>
                                <w:kern w:val="0"/>
                                <w:sz w:val="20"/>
                                <w:szCs w:val="18"/>
                              </w:rPr>
                              <w:t>06</w:t>
                            </w:r>
                          </w:p>
                        </w:tc>
                        <w:tc>
                          <w:tcPr>
                            <w:tcW w:w="1399" w:type="pct"/>
                            <w:vAlign w:val="center"/>
                            <w:hideMark/>
                          </w:tcPr>
                          <w:p w14:paraId="3B53348D" w14:textId="77777777" w:rsidR="004551F8" w:rsidRPr="005151BA" w:rsidRDefault="004551F8" w:rsidP="00824CD6">
                            <w:pPr>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3.</w:t>
                            </w:r>
                            <w:r w:rsidRPr="005151BA">
                              <w:rPr>
                                <w:rFonts w:ascii="標楷體" w:eastAsia="標楷體" w:hAnsi="標楷體" w:cs="Calibri"/>
                                <w:color w:val="000000"/>
                                <w:kern w:val="0"/>
                                <w:sz w:val="20"/>
                                <w:szCs w:val="18"/>
                              </w:rPr>
                              <w:t>38</w:t>
                            </w:r>
                          </w:p>
                        </w:tc>
                      </w:tr>
                      <w:tr w:rsidR="004551F8" w:rsidRPr="00872259" w14:paraId="669DBCBD" w14:textId="77777777" w:rsidTr="00824CD6">
                        <w:trPr>
                          <w:trHeight w:val="291"/>
                        </w:trPr>
                        <w:tc>
                          <w:tcPr>
                            <w:tcW w:w="560" w:type="pct"/>
                            <w:vMerge/>
                            <w:vAlign w:val="center"/>
                          </w:tcPr>
                          <w:p w14:paraId="4F361C6C"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p>
                        </w:tc>
                        <w:tc>
                          <w:tcPr>
                            <w:tcW w:w="910" w:type="pct"/>
                            <w:vAlign w:val="center"/>
                          </w:tcPr>
                          <w:p w14:paraId="69ED4C14" w14:textId="77777777" w:rsidR="004551F8" w:rsidRPr="005151BA" w:rsidRDefault="004551F8" w:rsidP="00824CD6">
                            <w:pPr>
                              <w:widowControl/>
                              <w:spacing w:line="320" w:lineRule="exact"/>
                              <w:jc w:val="center"/>
                              <w:rPr>
                                <w:rFonts w:ascii="標楷體" w:eastAsia="標楷體" w:hAnsi="標楷體" w:cs="新細明體"/>
                                <w:color w:val="000000"/>
                                <w:kern w:val="0"/>
                                <w:sz w:val="20"/>
                                <w:szCs w:val="18"/>
                              </w:rPr>
                            </w:pPr>
                            <w:r w:rsidRPr="005151BA">
                              <w:rPr>
                                <w:rFonts w:ascii="標楷體" w:eastAsia="標楷體" w:hAnsi="標楷體" w:cs="新細明體" w:hint="eastAsia"/>
                                <w:color w:val="000000"/>
                                <w:kern w:val="0"/>
                                <w:sz w:val="20"/>
                                <w:szCs w:val="18"/>
                              </w:rPr>
                              <w:t>臺北市</w:t>
                            </w:r>
                          </w:p>
                        </w:tc>
                        <w:tc>
                          <w:tcPr>
                            <w:tcW w:w="1013" w:type="pct"/>
                            <w:vAlign w:val="center"/>
                          </w:tcPr>
                          <w:p w14:paraId="4F8C7AE0"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1,</w:t>
                            </w:r>
                            <w:r w:rsidRPr="005151BA">
                              <w:rPr>
                                <w:rFonts w:ascii="標楷體" w:eastAsia="標楷體" w:hAnsi="標楷體" w:cs="Calibri"/>
                                <w:color w:val="000000"/>
                                <w:kern w:val="0"/>
                                <w:sz w:val="20"/>
                                <w:szCs w:val="18"/>
                              </w:rPr>
                              <w:t>222</w:t>
                            </w:r>
                          </w:p>
                        </w:tc>
                        <w:tc>
                          <w:tcPr>
                            <w:tcW w:w="1118" w:type="pct"/>
                            <w:vAlign w:val="center"/>
                          </w:tcPr>
                          <w:p w14:paraId="5B52B485" w14:textId="77777777" w:rsidR="004551F8" w:rsidRPr="005151BA" w:rsidRDefault="004551F8" w:rsidP="00824CD6">
                            <w:pPr>
                              <w:widowControl/>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4</w:t>
                            </w:r>
                            <w:r w:rsidRPr="005151BA">
                              <w:rPr>
                                <w:rFonts w:ascii="標楷體" w:eastAsia="標楷體" w:hAnsi="標楷體" w:cs="Calibri"/>
                                <w:color w:val="000000"/>
                                <w:kern w:val="0"/>
                                <w:sz w:val="20"/>
                                <w:szCs w:val="18"/>
                              </w:rPr>
                              <w:t>2</w:t>
                            </w:r>
                          </w:p>
                        </w:tc>
                        <w:tc>
                          <w:tcPr>
                            <w:tcW w:w="1399" w:type="pct"/>
                            <w:vAlign w:val="center"/>
                          </w:tcPr>
                          <w:p w14:paraId="0EE447A8" w14:textId="77777777" w:rsidR="004551F8" w:rsidRPr="005151BA" w:rsidRDefault="004551F8" w:rsidP="00824CD6">
                            <w:pPr>
                              <w:spacing w:line="320" w:lineRule="exact"/>
                              <w:jc w:val="right"/>
                              <w:rPr>
                                <w:rFonts w:ascii="標楷體" w:eastAsia="標楷體" w:hAnsi="標楷體" w:cs="Calibri"/>
                                <w:color w:val="000000"/>
                                <w:kern w:val="0"/>
                                <w:sz w:val="20"/>
                                <w:szCs w:val="18"/>
                              </w:rPr>
                            </w:pPr>
                            <w:r w:rsidRPr="005151BA">
                              <w:rPr>
                                <w:rFonts w:ascii="標楷體" w:eastAsia="標楷體" w:hAnsi="標楷體" w:cs="Calibri" w:hint="eastAsia"/>
                                <w:color w:val="000000"/>
                                <w:kern w:val="0"/>
                                <w:sz w:val="20"/>
                                <w:szCs w:val="18"/>
                              </w:rPr>
                              <w:t>3.50</w:t>
                            </w:r>
                          </w:p>
                        </w:tc>
                      </w:tr>
                    </w:tbl>
                    <w:p w14:paraId="4C5E8E27" w14:textId="77777777" w:rsidR="004551F8" w:rsidRPr="005151BA" w:rsidRDefault="004551F8" w:rsidP="004551F8">
                      <w:pPr>
                        <w:spacing w:line="240" w:lineRule="exact"/>
                        <w:jc w:val="both"/>
                        <w:rPr>
                          <w:rFonts w:ascii="標楷體" w:eastAsia="標楷體" w:hAnsi="標楷體"/>
                          <w:sz w:val="18"/>
                          <w:szCs w:val="20"/>
                        </w:rPr>
                      </w:pPr>
                      <w:r w:rsidRPr="005151BA">
                        <w:rPr>
                          <w:rFonts w:ascii="標楷體" w:eastAsia="標楷體" w:hAnsi="標楷體" w:hint="eastAsia"/>
                          <w:sz w:val="18"/>
                          <w:szCs w:val="20"/>
                        </w:rPr>
                        <w:t>資料來源：整理自行政院主計總處人力資源統計月報。</w:t>
                      </w:r>
                    </w:p>
                    <w:p w14:paraId="628052CB" w14:textId="77777777" w:rsidR="004551F8" w:rsidRPr="005151BA" w:rsidRDefault="004551F8" w:rsidP="004551F8">
                      <w:pPr>
                        <w:rPr>
                          <w:sz w:val="22"/>
                          <w:szCs w:val="20"/>
                        </w:rPr>
                      </w:pPr>
                    </w:p>
                  </w:txbxContent>
                </v:textbox>
                <w10:wrap type="through"/>
              </v:shape>
            </w:pict>
          </mc:Fallback>
        </mc:AlternateContent>
      </w:r>
      <w:r w:rsidRPr="00B474B8">
        <w:rPr>
          <w:rFonts w:ascii="標楷體" w:eastAsia="標楷體" w:hAnsi="標楷體" w:cs="Times New Roman" w:hint="eastAsia"/>
          <w:szCs w:val="24"/>
        </w:rPr>
        <w:t>辦理求職、求才登記、就業媒合、就業輔導諮詢及推</w:t>
      </w:r>
      <w:proofErr w:type="gramStart"/>
      <w:r w:rsidRPr="00B474B8">
        <w:rPr>
          <w:rFonts w:ascii="標楷體" w:eastAsia="標楷體" w:hAnsi="標楷體" w:cs="Times New Roman" w:hint="eastAsia"/>
          <w:szCs w:val="24"/>
        </w:rPr>
        <w:t>介</w:t>
      </w:r>
      <w:proofErr w:type="gramEnd"/>
      <w:r w:rsidRPr="00B474B8">
        <w:rPr>
          <w:rFonts w:ascii="標楷體" w:eastAsia="標楷體" w:hAnsi="標楷體" w:cs="Times New Roman" w:hint="eastAsia"/>
          <w:szCs w:val="24"/>
        </w:rPr>
        <w:t>外，</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年度亦推動青年職場體驗實習，協助青年職前準備，青年畢業後可向該處</w:t>
      </w:r>
      <w:proofErr w:type="gramStart"/>
      <w:r w:rsidRPr="00B474B8">
        <w:rPr>
          <w:rFonts w:ascii="標楷體" w:eastAsia="標楷體" w:hAnsi="標楷體" w:cs="Times New Roman" w:hint="eastAsia"/>
          <w:szCs w:val="24"/>
        </w:rPr>
        <w:t>申請跨域求職</w:t>
      </w:r>
      <w:proofErr w:type="gramEnd"/>
      <w:r w:rsidRPr="00B474B8">
        <w:rPr>
          <w:rFonts w:ascii="標楷體" w:eastAsia="標楷體" w:hAnsi="標楷體" w:cs="Times New Roman" w:hint="eastAsia"/>
          <w:szCs w:val="24"/>
        </w:rPr>
        <w:t>就業之交通、搬遷與租屋補助</w:t>
      </w:r>
      <w:r w:rsidRPr="00B474B8">
        <w:rPr>
          <w:rFonts w:ascii="標楷體" w:eastAsia="標楷體" w:hAnsi="標楷體" w:cs="Times New Roman"/>
          <w:noProof/>
          <w:szCs w:val="24"/>
        </w:rPr>
        <mc:AlternateContent>
          <mc:Choice Requires="wps">
            <w:drawing>
              <wp:anchor distT="0" distB="0" distL="114300" distR="114300" simplePos="0" relativeHeight="251659264" behindDoc="0" locked="0" layoutInCell="1" allowOverlap="1" wp14:anchorId="660BA5D9" wp14:editId="67E65BA8">
                <wp:simplePos x="0" y="0"/>
                <wp:positionH relativeFrom="margin">
                  <wp:posOffset>2886196</wp:posOffset>
                </wp:positionH>
                <wp:positionV relativeFrom="paragraph">
                  <wp:posOffset>2612944</wp:posOffset>
                </wp:positionV>
                <wp:extent cx="3519170" cy="2688590"/>
                <wp:effectExtent l="0" t="0" r="5080" b="0"/>
                <wp:wrapTight wrapText="bothSides">
                  <wp:wrapPolygon edited="0">
                    <wp:start x="0" y="0"/>
                    <wp:lineTo x="0" y="21427"/>
                    <wp:lineTo x="21514" y="21427"/>
                    <wp:lineTo x="21514" y="0"/>
                    <wp:lineTo x="0" y="0"/>
                  </wp:wrapPolygon>
                </wp:wrapTight>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19170" cy="2688590"/>
                        </a:xfrm>
                        <a:prstGeom prst="rect">
                          <a:avLst/>
                        </a:prstGeom>
                        <a:solidFill>
                          <a:sysClr val="window" lastClr="FFFFFF"/>
                        </a:solidFill>
                        <a:ln w="6350">
                          <a:noFill/>
                        </a:ln>
                        <a:effectLst/>
                      </wps:spPr>
                      <wps:txbx>
                        <w:txbxContent>
                          <w:p w14:paraId="2CD020B3" w14:textId="77777777" w:rsidR="004551F8" w:rsidRPr="00872259" w:rsidRDefault="004551F8" w:rsidP="004551F8">
                            <w:pPr>
                              <w:spacing w:line="400" w:lineRule="exact"/>
                              <w:ind w:left="480" w:hangingChars="200" w:hanging="480"/>
                              <w:jc w:val="center"/>
                              <w:rPr>
                                <w:rFonts w:ascii="標楷體" w:eastAsia="標楷體" w:hAnsi="標楷體"/>
                                <w:b/>
                                <w:szCs w:val="28"/>
                              </w:rPr>
                            </w:pPr>
                            <w:r w:rsidRPr="00872259">
                              <w:rPr>
                                <w:rFonts w:ascii="標楷體" w:eastAsia="標楷體" w:hAnsi="標楷體" w:hint="eastAsia"/>
                                <w:b/>
                                <w:szCs w:val="28"/>
                              </w:rPr>
                              <w:t>圖1</w:t>
                            </w:r>
                            <w:r w:rsidRPr="00872259">
                              <w:rPr>
                                <w:rFonts w:ascii="標楷體" w:eastAsia="標楷體" w:hAnsi="標楷體"/>
                                <w:b/>
                                <w:szCs w:val="28"/>
                              </w:rPr>
                              <w:t xml:space="preserve">　</w:t>
                            </w:r>
                            <w:r w:rsidRPr="00872259">
                              <w:rPr>
                                <w:rFonts w:ascii="標楷體" w:eastAsia="標楷體" w:hAnsi="標楷體" w:hint="eastAsia"/>
                                <w:b/>
                                <w:szCs w:val="28"/>
                              </w:rPr>
                              <w:t>臺北市青年失業率趨勢概況</w:t>
                            </w:r>
                          </w:p>
                          <w:p w14:paraId="478350EA" w14:textId="77777777" w:rsidR="004551F8" w:rsidRPr="00C904E8" w:rsidRDefault="004551F8" w:rsidP="004551F8">
                            <w:pPr>
                              <w:ind w:left="378" w:hangingChars="118" w:hanging="378"/>
                            </w:pPr>
                            <w:r w:rsidRPr="00C904E8">
                              <w:rPr>
                                <w:rFonts w:ascii="標楷體" w:eastAsia="標楷體" w:hAnsi="標楷體"/>
                                <w:b/>
                                <w:noProof/>
                                <w:color w:val="FF0000"/>
                                <w:kern w:val="0"/>
                                <w:sz w:val="32"/>
                                <w:szCs w:val="32"/>
                              </w:rPr>
                              <w:drawing>
                                <wp:inline distT="0" distB="0" distL="0" distR="0" wp14:anchorId="5E282346" wp14:editId="44DE16E3">
                                  <wp:extent cx="3429018" cy="1930400"/>
                                  <wp:effectExtent l="0" t="0" r="0" b="0"/>
                                  <wp:docPr id="123" name="圖表 1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sidRPr="005151BA">
                              <w:rPr>
                                <w:rFonts w:ascii="標楷體" w:eastAsia="標楷體" w:hAnsi="標楷體" w:hint="eastAsia"/>
                                <w:sz w:val="18"/>
                                <w:szCs w:val="20"/>
                              </w:rPr>
                              <w:t>資料來源：整理自</w:t>
                            </w:r>
                            <w:r w:rsidRPr="005151BA">
                              <w:rPr>
                                <w:rFonts w:ascii="標楷體" w:eastAsia="標楷體" w:hAnsi="標楷體"/>
                                <w:sz w:val="18"/>
                                <w:szCs w:val="20"/>
                              </w:rPr>
                              <w:t>行政院</w:t>
                            </w:r>
                            <w:r w:rsidRPr="005151BA">
                              <w:rPr>
                                <w:rFonts w:ascii="標楷體" w:eastAsia="標楷體" w:hAnsi="標楷體" w:hint="eastAsia"/>
                                <w:sz w:val="18"/>
                                <w:szCs w:val="20"/>
                              </w:rPr>
                              <w:t>主計總處</w:t>
                            </w:r>
                            <w:r w:rsidRPr="005151BA">
                              <w:rPr>
                                <w:rFonts w:ascii="標楷體" w:eastAsia="標楷體" w:hAnsi="標楷體"/>
                                <w:sz w:val="18"/>
                                <w:szCs w:val="20"/>
                              </w:rPr>
                              <w:t>人力資源統計</w:t>
                            </w:r>
                            <w:r w:rsidRPr="005151BA">
                              <w:rPr>
                                <w:rFonts w:ascii="標楷體" w:eastAsia="標楷體" w:hAnsi="標楷體" w:hint="eastAsia"/>
                                <w:sz w:val="18"/>
                                <w:szCs w:val="20"/>
                              </w:rPr>
                              <w:t>月報</w:t>
                            </w:r>
                            <w:r w:rsidRPr="005151BA">
                              <w:rPr>
                                <w:rFonts w:ascii="標楷體" w:eastAsia="標楷體" w:hAnsi="標楷體"/>
                                <w:sz w:val="18"/>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BA5D9" id="文字方塊 3" o:spid="_x0000_s1107" type="#_x0000_t202" style="position:absolute;left:0;text-align:left;margin-left:227.25pt;margin-top:205.75pt;width:277.1pt;height:211.7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" fillcolor="window" stroked="f" strokeweight=".5pt">
                <v:textbox>
                  <w:txbxContent>
                    <w:p w14:paraId="2CD020B3" w14:textId="77777777" w:rsidR="004551F8" w:rsidRPr="00872259" w:rsidRDefault="004551F8" w:rsidP="004551F8">
                      <w:pPr>
                        <w:spacing w:line="400" w:lineRule="exact"/>
                        <w:ind w:left="480" w:hangingChars="200" w:hanging="480"/>
                        <w:jc w:val="center"/>
                        <w:rPr>
                          <w:rFonts w:ascii="標楷體" w:eastAsia="標楷體" w:hAnsi="標楷體"/>
                          <w:b/>
                          <w:szCs w:val="28"/>
                        </w:rPr>
                      </w:pPr>
                      <w:r w:rsidRPr="00872259">
                        <w:rPr>
                          <w:rFonts w:ascii="標楷體" w:eastAsia="標楷體" w:hAnsi="標楷體" w:hint="eastAsia"/>
                          <w:b/>
                          <w:szCs w:val="28"/>
                        </w:rPr>
                        <w:t>圖1</w:t>
                      </w:r>
                      <w:r w:rsidRPr="00872259">
                        <w:rPr>
                          <w:rFonts w:ascii="標楷體" w:eastAsia="標楷體" w:hAnsi="標楷體"/>
                          <w:b/>
                          <w:szCs w:val="28"/>
                        </w:rPr>
                        <w:t xml:space="preserve">　</w:t>
                      </w:r>
                      <w:r w:rsidRPr="00872259">
                        <w:rPr>
                          <w:rFonts w:ascii="標楷體" w:eastAsia="標楷體" w:hAnsi="標楷體" w:hint="eastAsia"/>
                          <w:b/>
                          <w:szCs w:val="28"/>
                        </w:rPr>
                        <w:t>臺北市青年失業率趨勢概況</w:t>
                      </w:r>
                    </w:p>
                    <w:p w14:paraId="478350EA" w14:textId="77777777" w:rsidR="004551F8" w:rsidRPr="00C904E8" w:rsidRDefault="004551F8" w:rsidP="004551F8">
                      <w:pPr>
                        <w:ind w:left="378" w:hangingChars="118" w:hanging="378"/>
                      </w:pPr>
                      <w:r w:rsidRPr="00C904E8">
                        <w:rPr>
                          <w:rFonts w:ascii="標楷體" w:eastAsia="標楷體" w:hAnsi="標楷體"/>
                          <w:b/>
                          <w:noProof/>
                          <w:color w:val="FF0000"/>
                          <w:kern w:val="0"/>
                          <w:sz w:val="32"/>
                          <w:szCs w:val="32"/>
                        </w:rPr>
                        <w:drawing>
                          <wp:inline distT="0" distB="0" distL="0" distR="0" wp14:anchorId="5E282346" wp14:editId="44DE16E3">
                            <wp:extent cx="3429018" cy="1930400"/>
                            <wp:effectExtent l="0" t="0" r="0" b="0"/>
                            <wp:docPr id="123" name="圖表 1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5151BA">
                        <w:rPr>
                          <w:rFonts w:ascii="標楷體" w:eastAsia="標楷體" w:hAnsi="標楷體" w:hint="eastAsia"/>
                          <w:sz w:val="18"/>
                          <w:szCs w:val="20"/>
                        </w:rPr>
                        <w:t>資料來源：整理自</w:t>
                      </w:r>
                      <w:r w:rsidRPr="005151BA">
                        <w:rPr>
                          <w:rFonts w:ascii="標楷體" w:eastAsia="標楷體" w:hAnsi="標楷體"/>
                          <w:sz w:val="18"/>
                          <w:szCs w:val="20"/>
                        </w:rPr>
                        <w:t>行政院</w:t>
                      </w:r>
                      <w:r w:rsidRPr="005151BA">
                        <w:rPr>
                          <w:rFonts w:ascii="標楷體" w:eastAsia="標楷體" w:hAnsi="標楷體" w:hint="eastAsia"/>
                          <w:sz w:val="18"/>
                          <w:szCs w:val="20"/>
                        </w:rPr>
                        <w:t>主計總處</w:t>
                      </w:r>
                      <w:r w:rsidRPr="005151BA">
                        <w:rPr>
                          <w:rFonts w:ascii="標楷體" w:eastAsia="標楷體" w:hAnsi="標楷體"/>
                          <w:sz w:val="18"/>
                          <w:szCs w:val="20"/>
                        </w:rPr>
                        <w:t>人力資源統計</w:t>
                      </w:r>
                      <w:r w:rsidRPr="005151BA">
                        <w:rPr>
                          <w:rFonts w:ascii="標楷體" w:eastAsia="標楷體" w:hAnsi="標楷體" w:hint="eastAsia"/>
                          <w:sz w:val="18"/>
                          <w:szCs w:val="20"/>
                        </w:rPr>
                        <w:t>月報</w:t>
                      </w:r>
                      <w:r w:rsidRPr="005151BA">
                        <w:rPr>
                          <w:rFonts w:ascii="標楷體" w:eastAsia="標楷體" w:hAnsi="標楷體"/>
                          <w:sz w:val="18"/>
                          <w:szCs w:val="20"/>
                        </w:rPr>
                        <w:t>。</w:t>
                      </w:r>
                    </w:p>
                  </w:txbxContent>
                </v:textbox>
                <w10:wrap type="tight" anchorx="margin"/>
              </v:shape>
            </w:pict>
          </mc:Fallback>
        </mc:AlternateContent>
      </w:r>
      <w:r w:rsidRPr="00B474B8">
        <w:rPr>
          <w:rFonts w:ascii="標楷體" w:eastAsia="標楷體" w:hAnsi="標楷體" w:cs="Times New Roman" w:hint="eastAsia"/>
          <w:szCs w:val="24"/>
        </w:rPr>
        <w:t>及共享運具折價</w:t>
      </w:r>
      <w:proofErr w:type="gramStart"/>
      <w:r w:rsidRPr="00B474B8">
        <w:rPr>
          <w:rFonts w:ascii="標楷體" w:eastAsia="標楷體" w:hAnsi="標楷體" w:cs="Times New Roman" w:hint="eastAsia"/>
          <w:szCs w:val="24"/>
        </w:rPr>
        <w:t>券</w:t>
      </w:r>
      <w:proofErr w:type="gramEnd"/>
      <w:r w:rsidRPr="00B474B8">
        <w:rPr>
          <w:rFonts w:ascii="標楷體" w:eastAsia="標楷體" w:hAnsi="標楷體" w:cs="Times New Roman" w:hint="eastAsia"/>
          <w:szCs w:val="24"/>
        </w:rPr>
        <w:t>，藉由公立就業服務資源，連結</w:t>
      </w:r>
      <w:proofErr w:type="gramStart"/>
      <w:r w:rsidRPr="00B474B8">
        <w:rPr>
          <w:rFonts w:ascii="標楷體" w:eastAsia="標楷體" w:hAnsi="標楷體" w:cs="Times New Roman" w:hint="eastAsia"/>
          <w:szCs w:val="24"/>
        </w:rPr>
        <w:t>臺</w:t>
      </w:r>
      <w:proofErr w:type="gramEnd"/>
      <w:r w:rsidRPr="00B474B8">
        <w:rPr>
          <w:rFonts w:ascii="標楷體" w:eastAsia="標楷體" w:hAnsi="標楷體" w:cs="Times New Roman" w:hint="eastAsia"/>
          <w:szCs w:val="24"/>
        </w:rPr>
        <w:t>北青年職</w:t>
      </w:r>
      <w:proofErr w:type="gramStart"/>
      <w:r w:rsidRPr="00B474B8">
        <w:rPr>
          <w:rFonts w:ascii="標楷體" w:eastAsia="標楷體" w:hAnsi="標楷體" w:cs="Times New Roman" w:hint="eastAsia"/>
          <w:szCs w:val="24"/>
        </w:rPr>
        <w:t>涯</w:t>
      </w:r>
      <w:proofErr w:type="gramEnd"/>
      <w:r w:rsidRPr="00B474B8">
        <w:rPr>
          <w:rFonts w:ascii="標楷體" w:eastAsia="標楷體" w:hAnsi="標楷體" w:cs="Times New Roman" w:hint="eastAsia"/>
          <w:szCs w:val="24"/>
        </w:rPr>
        <w:t>發展中心職</w:t>
      </w:r>
      <w:proofErr w:type="gramStart"/>
      <w:r w:rsidRPr="00B474B8">
        <w:rPr>
          <w:rFonts w:ascii="標楷體" w:eastAsia="標楷體" w:hAnsi="標楷體" w:cs="Times New Roman" w:hint="eastAsia"/>
          <w:szCs w:val="24"/>
        </w:rPr>
        <w:t>涯</w:t>
      </w:r>
      <w:proofErr w:type="gramEnd"/>
      <w:r w:rsidRPr="00B474B8">
        <w:rPr>
          <w:rFonts w:ascii="標楷體" w:eastAsia="標楷體" w:hAnsi="標楷體" w:cs="Times New Roman" w:hint="eastAsia"/>
          <w:szCs w:val="24"/>
        </w:rPr>
        <w:t>服務，以協助青年積極尋職，順利與職場接軌。另該處為瞭解青年失業原因，於</w:t>
      </w:r>
      <w:proofErr w:type="gramStart"/>
      <w:r w:rsidRPr="00B474B8">
        <w:rPr>
          <w:rFonts w:ascii="標楷體" w:eastAsia="標楷體" w:hAnsi="標楷體" w:cs="Times New Roman" w:hint="eastAsia"/>
          <w:szCs w:val="24"/>
        </w:rPr>
        <w:t>112</w:t>
      </w:r>
      <w:proofErr w:type="gramEnd"/>
      <w:r w:rsidRPr="00B474B8">
        <w:rPr>
          <w:rFonts w:ascii="標楷體" w:eastAsia="標楷體" w:hAnsi="標楷體" w:cs="Times New Roman" w:hint="eastAsia"/>
          <w:szCs w:val="24"/>
        </w:rPr>
        <w:t>年度辦理臺北市青年就業特性與失業原因委託研究專案調查，據該調查結果，因後</w:t>
      </w:r>
      <w:proofErr w:type="gramStart"/>
      <w:r w:rsidRPr="00B474B8">
        <w:rPr>
          <w:rFonts w:ascii="標楷體" w:eastAsia="標楷體" w:hAnsi="標楷體" w:cs="Times New Roman" w:hint="eastAsia"/>
          <w:szCs w:val="24"/>
        </w:rPr>
        <w:t>疫情及</w:t>
      </w:r>
      <w:proofErr w:type="gramEnd"/>
      <w:r w:rsidRPr="00B474B8">
        <w:rPr>
          <w:rFonts w:ascii="標楷體" w:eastAsia="標楷體" w:hAnsi="標楷體" w:cs="Times New Roman" w:hint="eastAsia"/>
          <w:szCs w:val="24"/>
        </w:rPr>
        <w:t>新興科技轉變勞動市場就業型態及青年就業價值觀，建議該處應扮演青年與新興經濟間橋梁，針對新興工作議題辦理與時俱進活動，以利青年認識產業現況，降低青年從想像到就業間之落差。經查</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年度該處受理青年與企業登記求職求才之職業別人數統計，其中過半數青年登記求職業別為專業人員及事務支援人員，分別占總登記求職青年之35.18％及25.33％，而企業</w:t>
      </w:r>
      <w:proofErr w:type="gramStart"/>
      <w:r w:rsidRPr="00B474B8">
        <w:rPr>
          <w:rFonts w:ascii="標楷體" w:eastAsia="標楷體" w:hAnsi="標楷體" w:cs="Times New Roman" w:hint="eastAsia"/>
          <w:szCs w:val="24"/>
        </w:rPr>
        <w:t>所需職缺</w:t>
      </w:r>
      <w:proofErr w:type="gramEnd"/>
      <w:r w:rsidRPr="00B474B8">
        <w:rPr>
          <w:rFonts w:ascii="標楷體" w:eastAsia="標楷體" w:hAnsi="標楷體" w:cs="Times New Roman" w:hint="eastAsia"/>
          <w:szCs w:val="24"/>
        </w:rPr>
        <w:t>職業別為服務及銷售工作人員者，占總登記求才人數之51.02％，顯示透過該處求才之青年，其對職場之就業期望未能與企業主要</w:t>
      </w:r>
      <w:proofErr w:type="gramStart"/>
      <w:r w:rsidRPr="00B474B8">
        <w:rPr>
          <w:rFonts w:ascii="標楷體" w:eastAsia="標楷體" w:hAnsi="標楷體" w:cs="Times New Roman" w:hint="eastAsia"/>
          <w:szCs w:val="24"/>
        </w:rPr>
        <w:t>職缺互為</w:t>
      </w:r>
      <w:proofErr w:type="gramEnd"/>
      <w:r w:rsidRPr="00B474B8">
        <w:rPr>
          <w:rFonts w:ascii="標楷體" w:eastAsia="標楷體" w:hAnsi="標楷體" w:cs="Times New Roman" w:hint="eastAsia"/>
          <w:szCs w:val="24"/>
        </w:rPr>
        <w:t>匹配。為提升整體青年就業率，</w:t>
      </w:r>
      <w:proofErr w:type="gramStart"/>
      <w:r w:rsidRPr="00B474B8">
        <w:rPr>
          <w:rFonts w:ascii="標楷體" w:eastAsia="標楷體" w:hAnsi="標楷體" w:cs="Times New Roman" w:hint="eastAsia"/>
          <w:szCs w:val="24"/>
        </w:rPr>
        <w:t>允宜衡酌</w:t>
      </w:r>
      <w:proofErr w:type="gramEnd"/>
      <w:r w:rsidRPr="00B474B8">
        <w:rPr>
          <w:rFonts w:ascii="標楷體" w:eastAsia="標楷體" w:hAnsi="標楷體" w:cs="Times New Roman" w:hint="eastAsia"/>
          <w:szCs w:val="24"/>
        </w:rPr>
        <w:t>青年之就業需求，串接產業趨勢與就業輔導措施，積極開拓及延攬符合青年需求之企業廠商舉辦徵才活動，擴大青年參與及善用該處提供之資源，以協助青年順利</w:t>
      </w:r>
      <w:proofErr w:type="gramStart"/>
      <w:r w:rsidRPr="00B474B8">
        <w:rPr>
          <w:rFonts w:ascii="標楷體" w:eastAsia="標楷體" w:hAnsi="標楷體" w:cs="Times New Roman" w:hint="eastAsia"/>
          <w:szCs w:val="24"/>
        </w:rPr>
        <w:t>接軌職場</w:t>
      </w:r>
      <w:proofErr w:type="gramEnd"/>
      <w:r w:rsidRPr="00B474B8">
        <w:rPr>
          <w:rFonts w:ascii="標楷體" w:eastAsia="標楷體" w:hAnsi="標楷體" w:cs="Times New Roman" w:hint="eastAsia"/>
          <w:szCs w:val="24"/>
        </w:rPr>
        <w:t>就業，經函請</w:t>
      </w:r>
      <w:proofErr w:type="gramStart"/>
      <w:r w:rsidRPr="00B474B8">
        <w:rPr>
          <w:rFonts w:ascii="標楷體" w:eastAsia="標楷體" w:hAnsi="標楷體" w:cs="Times New Roman" w:hint="eastAsia"/>
          <w:szCs w:val="24"/>
        </w:rPr>
        <w:t>研謀妥處</w:t>
      </w:r>
      <w:proofErr w:type="gramEnd"/>
      <w:r w:rsidRPr="00B474B8">
        <w:rPr>
          <w:rFonts w:ascii="標楷體" w:eastAsia="標楷體" w:hAnsi="標楷體" w:cs="Times New Roman" w:hint="eastAsia"/>
          <w:szCs w:val="24"/>
        </w:rPr>
        <w:t>。據復：將與青年局合作，邀請各行業具市場指標性之優質企業參加大型徵才活動，並透過機關網站、公立就業服務站點、各大報章媒體與社群網站加強宣傳，使潛在求職青年知悉就業訊息；另將針對失業青年開辦就業研習專班，並持續辦理尋職就業獎勵補助，以激勵失業青年積極求職，順利</w:t>
      </w:r>
      <w:proofErr w:type="gramStart"/>
      <w:r w:rsidRPr="00B474B8">
        <w:rPr>
          <w:rFonts w:ascii="標楷體" w:eastAsia="標楷體" w:hAnsi="標楷體" w:cs="Times New Roman" w:hint="eastAsia"/>
          <w:szCs w:val="24"/>
        </w:rPr>
        <w:t>接軌職場</w:t>
      </w:r>
      <w:proofErr w:type="gramEnd"/>
      <w:r w:rsidRPr="00B474B8">
        <w:rPr>
          <w:rFonts w:ascii="標楷體" w:eastAsia="標楷體" w:hAnsi="標楷體" w:cs="Times New Roman" w:hint="eastAsia"/>
          <w:szCs w:val="24"/>
        </w:rPr>
        <w:t>就業。</w:t>
      </w:r>
    </w:p>
    <w:p w14:paraId="31263503" w14:textId="77777777" w:rsidR="004551F8" w:rsidRPr="00B474B8" w:rsidRDefault="004551F8" w:rsidP="00B22C9F">
      <w:pPr>
        <w:spacing w:beforeLines="50" w:before="180" w:line="50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（三）為鼓勵企業優化中高齡者及高齡者職場環境，維護其就業權益，辦理中</w:t>
      </w:r>
      <w:proofErr w:type="gramStart"/>
      <w:r w:rsidRPr="00B474B8">
        <w:rPr>
          <w:rFonts w:ascii="標楷體" w:eastAsia="標楷體" w:hAnsi="標楷體" w:cs="Times New Roman" w:hint="eastAsia"/>
          <w:b/>
          <w:sz w:val="28"/>
          <w:szCs w:val="28"/>
        </w:rPr>
        <w:t>高齡者暨高齡</w:t>
      </w:r>
      <w:proofErr w:type="gramEnd"/>
      <w:r w:rsidRPr="00B474B8">
        <w:rPr>
          <w:rFonts w:ascii="標楷體" w:eastAsia="標楷體" w:hAnsi="標楷體" w:cs="Times New Roman" w:hint="eastAsia"/>
          <w:b/>
          <w:sz w:val="28"/>
          <w:szCs w:val="28"/>
        </w:rPr>
        <w:t>者友善企業認證，惟執行結果，未獲企業積極響應，允宜</w:t>
      </w:r>
      <w:proofErr w:type="gramStart"/>
      <w:r w:rsidRPr="00B474B8">
        <w:rPr>
          <w:rFonts w:ascii="標楷體" w:eastAsia="標楷體" w:hAnsi="標楷體" w:cs="Times New Roman" w:hint="eastAsia"/>
          <w:b/>
          <w:sz w:val="28"/>
          <w:szCs w:val="28"/>
        </w:rPr>
        <w:t>研謀精</w:t>
      </w:r>
      <w:proofErr w:type="gramEnd"/>
      <w:r w:rsidRPr="00B474B8">
        <w:rPr>
          <w:rFonts w:ascii="標楷體" w:eastAsia="標楷體" w:hAnsi="標楷體" w:cs="Times New Roman" w:hint="eastAsia"/>
          <w:b/>
          <w:sz w:val="28"/>
          <w:szCs w:val="28"/>
        </w:rPr>
        <w:t>進相關推廣方案，以落實尊嚴勞動，促進人力資源運用。</w:t>
      </w:r>
    </w:p>
    <w:p w14:paraId="21CC8683" w14:textId="77777777" w:rsidR="004551F8" w:rsidRPr="00B474B8" w:rsidRDefault="004551F8" w:rsidP="004551F8">
      <w:pPr>
        <w:overflowPunct w:val="0"/>
        <w:adjustRightInd w:val="0"/>
        <w:snapToGrid w:val="0"/>
        <w:spacing w:line="44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noProof/>
          <w:szCs w:val="24"/>
        </w:rPr>
        <w:lastRenderedPageBreak/>
        <mc:AlternateContent>
          <mc:Choice Requires="wps">
            <w:drawing>
              <wp:anchor distT="0" distB="0" distL="114300" distR="114300" simplePos="0" relativeHeight="251660288" behindDoc="0" locked="0" layoutInCell="1" allowOverlap="1" wp14:anchorId="0B573678" wp14:editId="6AF69DA7">
                <wp:simplePos x="0" y="0"/>
                <wp:positionH relativeFrom="column">
                  <wp:posOffset>1891665</wp:posOffset>
                </wp:positionH>
                <wp:positionV relativeFrom="paragraph">
                  <wp:posOffset>2874909</wp:posOffset>
                </wp:positionV>
                <wp:extent cx="4425950" cy="1585595"/>
                <wp:effectExtent l="0" t="0" r="0" b="0"/>
                <wp:wrapThrough wrapText="bothSides">
                  <wp:wrapPolygon edited="0">
                    <wp:start x="0" y="0"/>
                    <wp:lineTo x="0" y="21280"/>
                    <wp:lineTo x="21476" y="21280"/>
                    <wp:lineTo x="21476" y="0"/>
                    <wp:lineTo x="0" y="0"/>
                  </wp:wrapPolygon>
                </wp:wrapThrough>
                <wp:docPr id="6" name="文字方塊 6"/>
                <wp:cNvGraphicFramePr/>
                <a:graphic xmlns:a="http://schemas.openxmlformats.org/drawingml/2006/main">
                  <a:graphicData uri="http://schemas.microsoft.com/office/word/2010/wordprocessingShape">
                    <wps:wsp>
                      <wps:cNvSpPr txBox="1"/>
                      <wps:spPr>
                        <a:xfrm>
                          <a:off x="0" y="0"/>
                          <a:ext cx="4425950" cy="1585595"/>
                        </a:xfrm>
                        <a:prstGeom prst="rect">
                          <a:avLst/>
                        </a:prstGeom>
                        <a:solidFill>
                          <a:sysClr val="window" lastClr="FFFFFF"/>
                        </a:solidFill>
                        <a:ln w="6350">
                          <a:noFill/>
                        </a:ln>
                      </wps:spPr>
                      <wps:txbx>
                        <w:txbxContent>
                          <w:p w14:paraId="1720CFDE" w14:textId="77777777" w:rsidR="004551F8" w:rsidRPr="00954A68" w:rsidRDefault="004551F8" w:rsidP="004551F8">
                            <w:pPr>
                              <w:jc w:val="center"/>
                              <w:rPr>
                                <w:rFonts w:ascii="標楷體" w:eastAsia="標楷體" w:hAnsi="標楷體"/>
                                <w:b/>
                                <w:bCs/>
                              </w:rPr>
                            </w:pPr>
                            <w:bookmarkStart w:id="64" w:name="_Toc195113009"/>
                            <w:r w:rsidRPr="00954A68">
                              <w:rPr>
                                <w:rFonts w:ascii="標楷體" w:eastAsia="標楷體" w:hAnsi="標楷體" w:hint="eastAsia"/>
                                <w:b/>
                                <w:bCs/>
                                <w:szCs w:val="24"/>
                              </w:rPr>
                              <w:t>表</w:t>
                            </w:r>
                            <w:r>
                              <w:rPr>
                                <w:rFonts w:ascii="標楷體" w:eastAsia="標楷體" w:hAnsi="標楷體"/>
                                <w:b/>
                                <w:bCs/>
                                <w:szCs w:val="24"/>
                              </w:rPr>
                              <w:t>2</w:t>
                            </w:r>
                            <w:r w:rsidRPr="00954A68">
                              <w:rPr>
                                <w:rFonts w:ascii="標楷體" w:eastAsia="標楷體" w:hAnsi="標楷體" w:hint="eastAsia"/>
                                <w:b/>
                                <w:bCs/>
                                <w:szCs w:val="24"/>
                              </w:rPr>
                              <w:t xml:space="preserve">　</w:t>
                            </w:r>
                            <w:r w:rsidRPr="00954A68">
                              <w:rPr>
                                <w:rFonts w:ascii="標楷體" w:eastAsia="標楷體" w:hAnsi="標楷體" w:hint="eastAsia"/>
                                <w:b/>
                                <w:bCs/>
                              </w:rPr>
                              <w:t>113年12月</w:t>
                            </w:r>
                            <w:r w:rsidRPr="00954A68">
                              <w:rPr>
                                <w:rFonts w:ascii="標楷體" w:eastAsia="標楷體" w:hAnsi="標楷體" w:hint="eastAsia"/>
                                <w:b/>
                                <w:bCs/>
                                <w:szCs w:val="24"/>
                              </w:rPr>
                              <w:t>中高齡者勞動參與率與失業率概況</w:t>
                            </w:r>
                            <w:bookmarkEnd w:id="64"/>
                          </w:p>
                          <w:p w14:paraId="60D34379" w14:textId="77777777" w:rsidR="004551F8" w:rsidRPr="00D631E1" w:rsidRDefault="004551F8" w:rsidP="004551F8">
                            <w:pPr>
                              <w:pStyle w:val="afffffe"/>
                              <w:adjustRightInd w:val="0"/>
                              <w:snapToGrid w:val="0"/>
                              <w:spacing w:line="140" w:lineRule="atLeast"/>
                              <w:ind w:leftChars="0" w:left="0"/>
                              <w:contextualSpacing/>
                              <w:jc w:val="right"/>
                              <w:outlineLvl w:val="9"/>
                              <w:rPr>
                                <w:snapToGrid/>
                                <w:kern w:val="2"/>
                                <w:sz w:val="20"/>
                                <w:szCs w:val="20"/>
                              </w:rPr>
                            </w:pPr>
                            <w:bookmarkStart w:id="65" w:name="_Toc195113010"/>
                            <w:r w:rsidRPr="00D631E1">
                              <w:rPr>
                                <w:rFonts w:hint="eastAsia"/>
                                <w:b w:val="0"/>
                                <w:sz w:val="20"/>
                                <w:szCs w:val="20"/>
                              </w:rPr>
                              <w:t>單位：％</w:t>
                            </w:r>
                            <w:bookmarkEnd w:id="65"/>
                          </w:p>
                          <w:tbl>
                            <w:tblPr>
                              <w:tblW w:w="5045" w:type="pct"/>
                              <w:tblInd w:w="-5" w:type="dxa"/>
                              <w:tblCellMar>
                                <w:left w:w="28" w:type="dxa"/>
                                <w:right w:w="28" w:type="dxa"/>
                              </w:tblCellMar>
                              <w:tblLook w:val="04A0" w:firstRow="1" w:lastRow="0" w:firstColumn="1" w:lastColumn="0" w:noHBand="0" w:noVBand="1"/>
                            </w:tblPr>
                            <w:tblGrid>
                              <w:gridCol w:w="1575"/>
                              <w:gridCol w:w="1427"/>
                              <w:gridCol w:w="1254"/>
                              <w:gridCol w:w="1423"/>
                              <w:gridCol w:w="1058"/>
                            </w:tblGrid>
                            <w:tr w:rsidR="004551F8" w:rsidRPr="00CA32BB" w14:paraId="0145CEC0" w14:textId="77777777" w:rsidTr="00CF1B20">
                              <w:trPr>
                                <w:trHeight w:val="368"/>
                              </w:trPr>
                              <w:tc>
                                <w:tcPr>
                                  <w:tcW w:w="1169"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23D07245" w14:textId="542CC02F" w:rsidR="004551F8" w:rsidRPr="00175AE8" w:rsidRDefault="00CF1B20" w:rsidP="00824CD6">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項目</w:t>
                                  </w:r>
                                </w:p>
                              </w:tc>
                              <w:tc>
                                <w:tcPr>
                                  <w:tcW w:w="1990" w:type="pct"/>
                                  <w:gridSpan w:val="2"/>
                                  <w:tcBorders>
                                    <w:top w:val="single" w:sz="4" w:space="0" w:color="auto"/>
                                    <w:left w:val="nil"/>
                                    <w:bottom w:val="single" w:sz="4" w:space="0" w:color="000000"/>
                                    <w:right w:val="single" w:sz="4" w:space="0" w:color="000000"/>
                                  </w:tcBorders>
                                  <w:shd w:val="clear" w:color="auto" w:fill="auto"/>
                                  <w:vAlign w:val="center"/>
                                  <w:hideMark/>
                                </w:tcPr>
                                <w:p w14:paraId="0EBC7778" w14:textId="77777777" w:rsidR="004551F8" w:rsidRPr="00175AE8" w:rsidRDefault="004551F8" w:rsidP="00824CD6">
                                  <w:pPr>
                                    <w:widowControl/>
                                    <w:jc w:val="center"/>
                                    <w:rPr>
                                      <w:rFonts w:ascii="標楷體" w:eastAsia="標楷體" w:hAnsi="標楷體" w:cs="新細明體"/>
                                      <w:kern w:val="0"/>
                                      <w:sz w:val="20"/>
                                      <w:szCs w:val="20"/>
                                    </w:rPr>
                                  </w:pPr>
                                  <w:proofErr w:type="gramStart"/>
                                  <w:r w:rsidRPr="00175AE8">
                                    <w:rPr>
                                      <w:rFonts w:ascii="標楷體" w:eastAsia="標楷體" w:hAnsi="標楷體" w:cs="新細明體" w:hint="eastAsia"/>
                                      <w:kern w:val="0"/>
                                      <w:sz w:val="20"/>
                                      <w:szCs w:val="20"/>
                                    </w:rPr>
                                    <w:t>勞</w:t>
                                  </w:r>
                                  <w:proofErr w:type="gramEnd"/>
                                  <w:r w:rsidRPr="00175AE8">
                                    <w:rPr>
                                      <w:rFonts w:ascii="標楷體" w:eastAsia="標楷體" w:hAnsi="標楷體" w:cs="新細明體" w:hint="eastAsia"/>
                                      <w:kern w:val="0"/>
                                      <w:sz w:val="20"/>
                                      <w:szCs w:val="20"/>
                                    </w:rPr>
                                    <w:t>參率</w:t>
                                  </w:r>
                                </w:p>
                              </w:tc>
                              <w:tc>
                                <w:tcPr>
                                  <w:tcW w:w="1842" w:type="pct"/>
                                  <w:gridSpan w:val="2"/>
                                  <w:tcBorders>
                                    <w:top w:val="single" w:sz="4" w:space="0" w:color="auto"/>
                                    <w:left w:val="nil"/>
                                    <w:bottom w:val="single" w:sz="4" w:space="0" w:color="000000"/>
                                    <w:right w:val="single" w:sz="4" w:space="0" w:color="auto"/>
                                  </w:tcBorders>
                                  <w:shd w:val="clear" w:color="auto" w:fill="auto"/>
                                  <w:vAlign w:val="center"/>
                                  <w:hideMark/>
                                </w:tcPr>
                                <w:p w14:paraId="6F3FE51F"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失業率</w:t>
                                  </w:r>
                                </w:p>
                              </w:tc>
                            </w:tr>
                            <w:tr w:rsidR="004551F8" w:rsidRPr="00CA32BB" w14:paraId="404D58ED" w14:textId="77777777" w:rsidTr="00CF1B20">
                              <w:trPr>
                                <w:trHeight w:val="368"/>
                              </w:trPr>
                              <w:tc>
                                <w:tcPr>
                                  <w:tcW w:w="1169" w:type="pct"/>
                                  <w:vMerge/>
                                  <w:tcBorders>
                                    <w:top w:val="single" w:sz="4" w:space="0" w:color="000000"/>
                                    <w:left w:val="single" w:sz="4" w:space="0" w:color="auto"/>
                                    <w:bottom w:val="single" w:sz="4" w:space="0" w:color="000000"/>
                                    <w:right w:val="single" w:sz="4" w:space="0" w:color="000000"/>
                                  </w:tcBorders>
                                  <w:shd w:val="clear" w:color="auto" w:fill="auto"/>
                                  <w:vAlign w:val="center"/>
                                </w:tcPr>
                                <w:p w14:paraId="6E195238" w14:textId="77777777" w:rsidR="004551F8" w:rsidRPr="00175AE8" w:rsidRDefault="004551F8" w:rsidP="00824CD6">
                                  <w:pPr>
                                    <w:widowControl/>
                                    <w:jc w:val="center"/>
                                    <w:rPr>
                                      <w:rFonts w:ascii="標楷體" w:eastAsia="標楷體" w:hAnsi="標楷體" w:cs="新細明體"/>
                                      <w:kern w:val="0"/>
                                      <w:sz w:val="20"/>
                                      <w:szCs w:val="20"/>
                                    </w:rPr>
                                  </w:pPr>
                                </w:p>
                              </w:tc>
                              <w:tc>
                                <w:tcPr>
                                  <w:tcW w:w="1059" w:type="pct"/>
                                  <w:tcBorders>
                                    <w:top w:val="single" w:sz="4" w:space="0" w:color="000000"/>
                                    <w:left w:val="nil"/>
                                    <w:bottom w:val="single" w:sz="4" w:space="0" w:color="000000"/>
                                    <w:right w:val="single" w:sz="4" w:space="0" w:color="000000"/>
                                  </w:tcBorders>
                                  <w:shd w:val="clear" w:color="auto" w:fill="auto"/>
                                  <w:vAlign w:val="center"/>
                                </w:tcPr>
                                <w:p w14:paraId="5C743092"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全國平均</w:t>
                                  </w:r>
                                </w:p>
                              </w:tc>
                              <w:tc>
                                <w:tcPr>
                                  <w:tcW w:w="930" w:type="pct"/>
                                  <w:tcBorders>
                                    <w:top w:val="single" w:sz="4" w:space="0" w:color="000000"/>
                                    <w:left w:val="nil"/>
                                    <w:bottom w:val="single" w:sz="4" w:space="0" w:color="000000"/>
                                    <w:right w:val="single" w:sz="4" w:space="0" w:color="000000"/>
                                  </w:tcBorders>
                                  <w:shd w:val="clear" w:color="auto" w:fill="auto"/>
                                  <w:vAlign w:val="center"/>
                                </w:tcPr>
                                <w:p w14:paraId="70782A93"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臺北市</w:t>
                                  </w:r>
                                </w:p>
                              </w:tc>
                              <w:tc>
                                <w:tcPr>
                                  <w:tcW w:w="1056" w:type="pct"/>
                                  <w:tcBorders>
                                    <w:top w:val="single" w:sz="4" w:space="0" w:color="000000"/>
                                    <w:left w:val="nil"/>
                                    <w:bottom w:val="single" w:sz="4" w:space="0" w:color="000000"/>
                                    <w:right w:val="single" w:sz="4" w:space="0" w:color="000000"/>
                                  </w:tcBorders>
                                  <w:shd w:val="clear" w:color="auto" w:fill="auto"/>
                                  <w:vAlign w:val="center"/>
                                </w:tcPr>
                                <w:p w14:paraId="4D064BED"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全國平均</w:t>
                                  </w:r>
                                </w:p>
                              </w:tc>
                              <w:tc>
                                <w:tcPr>
                                  <w:tcW w:w="786" w:type="pct"/>
                                  <w:tcBorders>
                                    <w:top w:val="single" w:sz="4" w:space="0" w:color="000000"/>
                                    <w:left w:val="nil"/>
                                    <w:bottom w:val="single" w:sz="4" w:space="0" w:color="000000"/>
                                    <w:right w:val="single" w:sz="4" w:space="0" w:color="auto"/>
                                  </w:tcBorders>
                                  <w:shd w:val="clear" w:color="auto" w:fill="auto"/>
                                  <w:vAlign w:val="center"/>
                                </w:tcPr>
                                <w:p w14:paraId="059BAD20"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臺北市</w:t>
                                  </w:r>
                                </w:p>
                              </w:tc>
                            </w:tr>
                            <w:tr w:rsidR="004551F8" w:rsidRPr="00CA32BB" w14:paraId="1261C43A" w14:textId="77777777" w:rsidTr="009E13B2">
                              <w:trPr>
                                <w:trHeight w:val="368"/>
                              </w:trPr>
                              <w:tc>
                                <w:tcPr>
                                  <w:tcW w:w="1169" w:type="pct"/>
                                  <w:tcBorders>
                                    <w:top w:val="nil"/>
                                    <w:left w:val="single" w:sz="4" w:space="0" w:color="auto"/>
                                    <w:bottom w:val="single" w:sz="4" w:space="0" w:color="auto"/>
                                    <w:right w:val="single" w:sz="4" w:space="0" w:color="000000"/>
                                  </w:tcBorders>
                                  <w:shd w:val="clear" w:color="auto" w:fill="auto"/>
                                  <w:noWrap/>
                                  <w:vAlign w:val="center"/>
                                  <w:hideMark/>
                                </w:tcPr>
                                <w:p w14:paraId="72594DB1"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中高齡者</w:t>
                                  </w:r>
                                </w:p>
                              </w:tc>
                              <w:tc>
                                <w:tcPr>
                                  <w:tcW w:w="1059" w:type="pct"/>
                                  <w:tcBorders>
                                    <w:top w:val="nil"/>
                                    <w:left w:val="nil"/>
                                    <w:bottom w:val="single" w:sz="4" w:space="0" w:color="auto"/>
                                    <w:right w:val="single" w:sz="4" w:space="0" w:color="000000"/>
                                  </w:tcBorders>
                                  <w:shd w:val="clear" w:color="auto" w:fill="auto"/>
                                  <w:noWrap/>
                                  <w:vAlign w:val="center"/>
                                  <w:hideMark/>
                                </w:tcPr>
                                <w:p w14:paraId="67067815" w14:textId="77777777" w:rsidR="004551F8" w:rsidRPr="00175AE8" w:rsidRDefault="004551F8" w:rsidP="00824CD6">
                                  <w:pPr>
                                    <w:widowControl/>
                                    <w:jc w:val="right"/>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66.52</w:t>
                                  </w:r>
                                </w:p>
                              </w:tc>
                              <w:tc>
                                <w:tcPr>
                                  <w:tcW w:w="930" w:type="pct"/>
                                  <w:tcBorders>
                                    <w:top w:val="nil"/>
                                    <w:left w:val="nil"/>
                                    <w:bottom w:val="single" w:sz="4" w:space="0" w:color="auto"/>
                                    <w:right w:val="single" w:sz="4" w:space="0" w:color="000000"/>
                                  </w:tcBorders>
                                  <w:shd w:val="clear" w:color="auto" w:fill="auto"/>
                                  <w:noWrap/>
                                  <w:vAlign w:val="center"/>
                                  <w:hideMark/>
                                </w:tcPr>
                                <w:p w14:paraId="7E39B656" w14:textId="77777777" w:rsidR="004551F8" w:rsidRPr="00175AE8" w:rsidRDefault="004551F8" w:rsidP="00824CD6">
                                  <w:pPr>
                                    <w:widowControl/>
                                    <w:jc w:val="right"/>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65.31</w:t>
                                  </w:r>
                                </w:p>
                              </w:tc>
                              <w:tc>
                                <w:tcPr>
                                  <w:tcW w:w="1056" w:type="pct"/>
                                  <w:tcBorders>
                                    <w:top w:val="nil"/>
                                    <w:left w:val="nil"/>
                                    <w:bottom w:val="single" w:sz="4" w:space="0" w:color="auto"/>
                                    <w:right w:val="single" w:sz="4" w:space="0" w:color="000000"/>
                                  </w:tcBorders>
                                  <w:shd w:val="clear" w:color="auto" w:fill="auto"/>
                                  <w:noWrap/>
                                  <w:vAlign w:val="center"/>
                                  <w:hideMark/>
                                </w:tcPr>
                                <w:p w14:paraId="0714F2FD" w14:textId="77777777" w:rsidR="004551F8" w:rsidRPr="00175AE8" w:rsidRDefault="004551F8" w:rsidP="00824CD6">
                                  <w:pPr>
                                    <w:widowControl/>
                                    <w:jc w:val="right"/>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1.99</w:t>
                                  </w:r>
                                </w:p>
                              </w:tc>
                              <w:tc>
                                <w:tcPr>
                                  <w:tcW w:w="786" w:type="pct"/>
                                  <w:tcBorders>
                                    <w:top w:val="nil"/>
                                    <w:left w:val="nil"/>
                                    <w:bottom w:val="single" w:sz="4" w:space="0" w:color="auto"/>
                                    <w:right w:val="single" w:sz="4" w:space="0" w:color="auto"/>
                                  </w:tcBorders>
                                  <w:shd w:val="clear" w:color="auto" w:fill="auto"/>
                                  <w:noWrap/>
                                  <w:vAlign w:val="center"/>
                                  <w:hideMark/>
                                </w:tcPr>
                                <w:p w14:paraId="49BA7D32" w14:textId="77777777" w:rsidR="004551F8" w:rsidRPr="00175AE8" w:rsidRDefault="004551F8" w:rsidP="00824CD6">
                                  <w:pPr>
                                    <w:widowControl/>
                                    <w:jc w:val="right"/>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2.21</w:t>
                                  </w:r>
                                </w:p>
                              </w:tc>
                            </w:tr>
                          </w:tbl>
                          <w:p w14:paraId="4BB1AF79" w14:textId="77777777" w:rsidR="004551F8" w:rsidRPr="00175AE8" w:rsidRDefault="004551F8" w:rsidP="009E13B2">
                            <w:pPr>
                              <w:pStyle w:val="3"/>
                              <w:shd w:val="clear" w:color="auto" w:fill="FFFFFF"/>
                              <w:spacing w:line="260" w:lineRule="exact"/>
                              <w:rPr>
                                <w:rFonts w:ascii="標楷體" w:eastAsia="標楷體" w:hAnsi="標楷體" w:cs="Times New Roman"/>
                                <w:b w:val="0"/>
                                <w:bCs w:val="0"/>
                                <w:sz w:val="18"/>
                                <w:szCs w:val="32"/>
                              </w:rPr>
                            </w:pPr>
                            <w:bookmarkStart w:id="66" w:name="_Toc195113011"/>
                            <w:proofErr w:type="gramStart"/>
                            <w:r w:rsidRPr="00175AE8">
                              <w:rPr>
                                <w:rFonts w:ascii="標楷體" w:eastAsia="標楷體" w:hAnsi="標楷體" w:cs="Times New Roman" w:hint="eastAsia"/>
                                <w:b w:val="0"/>
                                <w:bCs w:val="0"/>
                                <w:sz w:val="18"/>
                                <w:szCs w:val="32"/>
                              </w:rPr>
                              <w:t>註</w:t>
                            </w:r>
                            <w:proofErr w:type="gramEnd"/>
                            <w:r w:rsidRPr="00175AE8">
                              <w:rPr>
                                <w:rFonts w:ascii="標楷體" w:eastAsia="標楷體" w:hAnsi="標楷體" w:cs="Times New Roman" w:hint="eastAsia"/>
                                <w:b w:val="0"/>
                                <w:bCs w:val="0"/>
                                <w:sz w:val="18"/>
                                <w:szCs w:val="32"/>
                              </w:rPr>
                              <w:t>：</w:t>
                            </w:r>
                            <w:r w:rsidRPr="00175AE8">
                              <w:rPr>
                                <w:rFonts w:ascii="標楷體" w:eastAsia="標楷體" w:hAnsi="標楷體" w:cs="Times New Roman"/>
                                <w:b w:val="0"/>
                                <w:bCs w:val="0"/>
                                <w:sz w:val="18"/>
                                <w:szCs w:val="32"/>
                              </w:rPr>
                              <w:t>1</w:t>
                            </w:r>
                            <w:r w:rsidRPr="00175AE8">
                              <w:rPr>
                                <w:rFonts w:ascii="標楷體" w:eastAsia="標楷體" w:hAnsi="標楷體" w:cs="Times New Roman" w:hint="eastAsia"/>
                                <w:b w:val="0"/>
                                <w:bCs w:val="0"/>
                                <w:sz w:val="18"/>
                                <w:szCs w:val="32"/>
                              </w:rPr>
                              <w:t>.</w:t>
                            </w:r>
                            <w:r>
                              <w:rPr>
                                <w:rFonts w:ascii="標楷體" w:eastAsia="標楷體" w:hAnsi="標楷體" w:cs="Times New Roman" w:hint="eastAsia"/>
                                <w:b w:val="0"/>
                                <w:bCs w:val="0"/>
                                <w:sz w:val="18"/>
                                <w:szCs w:val="32"/>
                              </w:rPr>
                              <w:t>表列</w:t>
                            </w:r>
                            <w:r w:rsidRPr="00175AE8">
                              <w:rPr>
                                <w:rFonts w:ascii="標楷體" w:eastAsia="標楷體" w:hAnsi="標楷體" w:cs="Times New Roman" w:hint="eastAsia"/>
                                <w:b w:val="0"/>
                                <w:bCs w:val="0"/>
                                <w:sz w:val="18"/>
                                <w:szCs w:val="32"/>
                              </w:rPr>
                              <w:t>中高齡者為年滿45歲至6</w:t>
                            </w:r>
                            <w:r>
                              <w:rPr>
                                <w:rFonts w:ascii="標楷體" w:eastAsia="標楷體" w:hAnsi="標楷體" w:cs="Times New Roman"/>
                                <w:b w:val="0"/>
                                <w:bCs w:val="0"/>
                                <w:sz w:val="18"/>
                                <w:szCs w:val="32"/>
                              </w:rPr>
                              <w:t>4</w:t>
                            </w:r>
                            <w:r w:rsidRPr="00175AE8">
                              <w:rPr>
                                <w:rFonts w:ascii="標楷體" w:eastAsia="標楷體" w:hAnsi="標楷體" w:cs="Times New Roman" w:hint="eastAsia"/>
                                <w:b w:val="0"/>
                                <w:bCs w:val="0"/>
                                <w:sz w:val="18"/>
                                <w:szCs w:val="32"/>
                              </w:rPr>
                              <w:t>歲。</w:t>
                            </w:r>
                            <w:bookmarkEnd w:id="66"/>
                          </w:p>
                          <w:p w14:paraId="7AA59CF4" w14:textId="77777777" w:rsidR="004551F8" w:rsidRPr="00175AE8" w:rsidRDefault="004551F8" w:rsidP="004551F8">
                            <w:pPr>
                              <w:pStyle w:val="3"/>
                              <w:shd w:val="clear" w:color="auto" w:fill="FFFFFF"/>
                              <w:spacing w:line="240" w:lineRule="exact"/>
                              <w:ind w:leftChars="150" w:left="360"/>
                              <w:rPr>
                                <w:rFonts w:ascii="標楷體" w:eastAsia="標楷體" w:hAnsi="標楷體" w:cs="Times New Roman"/>
                                <w:b w:val="0"/>
                                <w:bCs w:val="0"/>
                                <w:sz w:val="18"/>
                                <w:szCs w:val="32"/>
                              </w:rPr>
                            </w:pPr>
                            <w:bookmarkStart w:id="67" w:name="_Toc195113012"/>
                            <w:r w:rsidRPr="00175AE8">
                              <w:rPr>
                                <w:rFonts w:ascii="標楷體" w:eastAsia="標楷體" w:hAnsi="標楷體" w:cs="Times New Roman" w:hint="eastAsia"/>
                                <w:b w:val="0"/>
                                <w:bCs w:val="0"/>
                                <w:sz w:val="18"/>
                                <w:szCs w:val="32"/>
                              </w:rPr>
                              <w:t>2</w:t>
                            </w:r>
                            <w:r w:rsidRPr="00175AE8">
                              <w:rPr>
                                <w:rFonts w:ascii="標楷體" w:eastAsia="標楷體" w:hAnsi="標楷體" w:cs="Times New Roman"/>
                                <w:b w:val="0"/>
                                <w:bCs w:val="0"/>
                                <w:sz w:val="18"/>
                                <w:szCs w:val="32"/>
                              </w:rPr>
                              <w:t>.</w:t>
                            </w:r>
                            <w:r w:rsidRPr="00175AE8">
                              <w:rPr>
                                <w:rFonts w:ascii="標楷體" w:eastAsia="標楷體" w:hAnsi="標楷體" w:cs="Times New Roman" w:hint="eastAsia"/>
                                <w:b w:val="0"/>
                                <w:bCs w:val="0"/>
                                <w:sz w:val="18"/>
                                <w:szCs w:val="32"/>
                              </w:rPr>
                              <w:t>資料來源：整理自行</w:t>
                            </w:r>
                            <w:r w:rsidRPr="00175AE8">
                              <w:rPr>
                                <w:rFonts w:ascii="標楷體" w:eastAsia="標楷體" w:hAnsi="標楷體" w:cs="Times New Roman" w:hint="eastAsia"/>
                                <w:b w:val="0"/>
                                <w:bCs w:val="0"/>
                                <w:sz w:val="18"/>
                                <w:szCs w:val="22"/>
                              </w:rPr>
                              <w:t>政院主計總處</w:t>
                            </w:r>
                            <w:r w:rsidRPr="00175AE8">
                              <w:rPr>
                                <w:rFonts w:ascii="標楷體" w:eastAsia="標楷體" w:hAnsi="標楷體" w:cs="Times New Roman"/>
                                <w:b w:val="0"/>
                                <w:bCs w:val="0"/>
                                <w:sz w:val="18"/>
                                <w:szCs w:val="22"/>
                              </w:rPr>
                              <w:t>113年12月人力資源統計</w:t>
                            </w:r>
                            <w:r w:rsidRPr="00175AE8">
                              <w:rPr>
                                <w:rFonts w:ascii="標楷體" w:eastAsia="標楷體" w:hAnsi="標楷體" w:cs="Times New Roman" w:hint="eastAsia"/>
                                <w:b w:val="0"/>
                                <w:bCs w:val="0"/>
                                <w:sz w:val="18"/>
                                <w:szCs w:val="22"/>
                              </w:rPr>
                              <w:t>月報。</w:t>
                            </w:r>
                            <w:bookmarkEnd w:id="6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73678" id="文字方塊 6" o:spid="_x0000_s1108" type="#_x0000_t202" style="position:absolute;left:0;text-align:left;margin-left:148.95pt;margin-top:226.35pt;width:348.5pt;height:124.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" fillcolor="window" stroked="f" strokeweight=".5pt">
                <v:textbox>
                  <w:txbxContent>
                    <w:p w14:paraId="1720CFDE" w14:textId="77777777" w:rsidR="004551F8" w:rsidRPr="00954A68" w:rsidRDefault="004551F8" w:rsidP="004551F8">
                      <w:pPr>
                        <w:jc w:val="center"/>
                        <w:rPr>
                          <w:rFonts w:ascii="標楷體" w:eastAsia="標楷體" w:hAnsi="標楷體"/>
                          <w:b/>
                          <w:bCs/>
                        </w:rPr>
                      </w:pPr>
                      <w:bookmarkStart w:id="68" w:name="_Toc195113009"/>
                      <w:r w:rsidRPr="00954A68">
                        <w:rPr>
                          <w:rFonts w:ascii="標楷體" w:eastAsia="標楷體" w:hAnsi="標楷體" w:hint="eastAsia"/>
                          <w:b/>
                          <w:bCs/>
                          <w:szCs w:val="24"/>
                        </w:rPr>
                        <w:t>表</w:t>
                      </w:r>
                      <w:r>
                        <w:rPr>
                          <w:rFonts w:ascii="標楷體" w:eastAsia="標楷體" w:hAnsi="標楷體"/>
                          <w:b/>
                          <w:bCs/>
                          <w:szCs w:val="24"/>
                        </w:rPr>
                        <w:t>2</w:t>
                      </w:r>
                      <w:r w:rsidRPr="00954A68">
                        <w:rPr>
                          <w:rFonts w:ascii="標楷體" w:eastAsia="標楷體" w:hAnsi="標楷體" w:hint="eastAsia"/>
                          <w:b/>
                          <w:bCs/>
                          <w:szCs w:val="24"/>
                        </w:rPr>
                        <w:t xml:space="preserve">　</w:t>
                      </w:r>
                      <w:r w:rsidRPr="00954A68">
                        <w:rPr>
                          <w:rFonts w:ascii="標楷體" w:eastAsia="標楷體" w:hAnsi="標楷體" w:hint="eastAsia"/>
                          <w:b/>
                          <w:bCs/>
                        </w:rPr>
                        <w:t>113年12月</w:t>
                      </w:r>
                      <w:r w:rsidRPr="00954A68">
                        <w:rPr>
                          <w:rFonts w:ascii="標楷體" w:eastAsia="標楷體" w:hAnsi="標楷體" w:hint="eastAsia"/>
                          <w:b/>
                          <w:bCs/>
                          <w:szCs w:val="24"/>
                        </w:rPr>
                        <w:t>中高齡者勞動參與率與失業率概況</w:t>
                      </w:r>
                      <w:bookmarkEnd w:id="68"/>
                    </w:p>
                    <w:p w14:paraId="60D34379" w14:textId="77777777" w:rsidR="004551F8" w:rsidRPr="00D631E1" w:rsidRDefault="004551F8" w:rsidP="004551F8">
                      <w:pPr>
                        <w:pStyle w:val="afffffe"/>
                        <w:adjustRightInd w:val="0"/>
                        <w:snapToGrid w:val="0"/>
                        <w:spacing w:line="140" w:lineRule="atLeast"/>
                        <w:ind w:leftChars="0" w:left="0"/>
                        <w:contextualSpacing/>
                        <w:jc w:val="right"/>
                        <w:outlineLvl w:val="9"/>
                        <w:rPr>
                          <w:snapToGrid/>
                          <w:kern w:val="2"/>
                          <w:sz w:val="20"/>
                          <w:szCs w:val="20"/>
                        </w:rPr>
                      </w:pPr>
                      <w:bookmarkStart w:id="69" w:name="_Toc195113010"/>
                      <w:r w:rsidRPr="00D631E1">
                        <w:rPr>
                          <w:rFonts w:hint="eastAsia"/>
                          <w:b w:val="0"/>
                          <w:sz w:val="20"/>
                          <w:szCs w:val="20"/>
                        </w:rPr>
                        <w:t>單位：％</w:t>
                      </w:r>
                      <w:bookmarkEnd w:id="69"/>
                    </w:p>
                    <w:tbl>
                      <w:tblPr>
                        <w:tblW w:w="5045" w:type="pct"/>
                        <w:tblInd w:w="-5" w:type="dxa"/>
                        <w:tblCellMar>
                          <w:left w:w="28" w:type="dxa"/>
                          <w:right w:w="28" w:type="dxa"/>
                        </w:tblCellMar>
                        <w:tblLook w:val="04A0" w:firstRow="1" w:lastRow="0" w:firstColumn="1" w:lastColumn="0" w:noHBand="0" w:noVBand="1"/>
                      </w:tblPr>
                      <w:tblGrid>
                        <w:gridCol w:w="1575"/>
                        <w:gridCol w:w="1427"/>
                        <w:gridCol w:w="1254"/>
                        <w:gridCol w:w="1423"/>
                        <w:gridCol w:w="1058"/>
                      </w:tblGrid>
                      <w:tr w:rsidR="004551F8" w:rsidRPr="00CA32BB" w14:paraId="0145CEC0" w14:textId="77777777" w:rsidTr="00CF1B20">
                        <w:trPr>
                          <w:trHeight w:val="368"/>
                        </w:trPr>
                        <w:tc>
                          <w:tcPr>
                            <w:tcW w:w="1169"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23D07245" w14:textId="542CC02F" w:rsidR="004551F8" w:rsidRPr="00175AE8" w:rsidRDefault="00CF1B20" w:rsidP="00824CD6">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項目</w:t>
                            </w:r>
                          </w:p>
                        </w:tc>
                        <w:tc>
                          <w:tcPr>
                            <w:tcW w:w="1990" w:type="pct"/>
                            <w:gridSpan w:val="2"/>
                            <w:tcBorders>
                              <w:top w:val="single" w:sz="4" w:space="0" w:color="auto"/>
                              <w:left w:val="nil"/>
                              <w:bottom w:val="single" w:sz="4" w:space="0" w:color="000000"/>
                              <w:right w:val="single" w:sz="4" w:space="0" w:color="000000"/>
                            </w:tcBorders>
                            <w:shd w:val="clear" w:color="auto" w:fill="auto"/>
                            <w:vAlign w:val="center"/>
                            <w:hideMark/>
                          </w:tcPr>
                          <w:p w14:paraId="0EBC7778" w14:textId="77777777" w:rsidR="004551F8" w:rsidRPr="00175AE8" w:rsidRDefault="004551F8" w:rsidP="00824CD6">
                            <w:pPr>
                              <w:widowControl/>
                              <w:jc w:val="center"/>
                              <w:rPr>
                                <w:rFonts w:ascii="標楷體" w:eastAsia="標楷體" w:hAnsi="標楷體" w:cs="新細明體"/>
                                <w:kern w:val="0"/>
                                <w:sz w:val="20"/>
                                <w:szCs w:val="20"/>
                              </w:rPr>
                            </w:pPr>
                            <w:proofErr w:type="gramStart"/>
                            <w:r w:rsidRPr="00175AE8">
                              <w:rPr>
                                <w:rFonts w:ascii="標楷體" w:eastAsia="標楷體" w:hAnsi="標楷體" w:cs="新細明體" w:hint="eastAsia"/>
                                <w:kern w:val="0"/>
                                <w:sz w:val="20"/>
                                <w:szCs w:val="20"/>
                              </w:rPr>
                              <w:t>勞</w:t>
                            </w:r>
                            <w:proofErr w:type="gramEnd"/>
                            <w:r w:rsidRPr="00175AE8">
                              <w:rPr>
                                <w:rFonts w:ascii="標楷體" w:eastAsia="標楷體" w:hAnsi="標楷體" w:cs="新細明體" w:hint="eastAsia"/>
                                <w:kern w:val="0"/>
                                <w:sz w:val="20"/>
                                <w:szCs w:val="20"/>
                              </w:rPr>
                              <w:t>參率</w:t>
                            </w:r>
                          </w:p>
                        </w:tc>
                        <w:tc>
                          <w:tcPr>
                            <w:tcW w:w="1842" w:type="pct"/>
                            <w:gridSpan w:val="2"/>
                            <w:tcBorders>
                              <w:top w:val="single" w:sz="4" w:space="0" w:color="auto"/>
                              <w:left w:val="nil"/>
                              <w:bottom w:val="single" w:sz="4" w:space="0" w:color="000000"/>
                              <w:right w:val="single" w:sz="4" w:space="0" w:color="auto"/>
                            </w:tcBorders>
                            <w:shd w:val="clear" w:color="auto" w:fill="auto"/>
                            <w:vAlign w:val="center"/>
                            <w:hideMark/>
                          </w:tcPr>
                          <w:p w14:paraId="6F3FE51F"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失業率</w:t>
                            </w:r>
                          </w:p>
                        </w:tc>
                      </w:tr>
                      <w:tr w:rsidR="004551F8" w:rsidRPr="00CA32BB" w14:paraId="404D58ED" w14:textId="77777777" w:rsidTr="00CF1B20">
                        <w:trPr>
                          <w:trHeight w:val="368"/>
                        </w:trPr>
                        <w:tc>
                          <w:tcPr>
                            <w:tcW w:w="1169" w:type="pct"/>
                            <w:vMerge/>
                            <w:tcBorders>
                              <w:top w:val="single" w:sz="4" w:space="0" w:color="000000"/>
                              <w:left w:val="single" w:sz="4" w:space="0" w:color="auto"/>
                              <w:bottom w:val="single" w:sz="4" w:space="0" w:color="000000"/>
                              <w:right w:val="single" w:sz="4" w:space="0" w:color="000000"/>
                            </w:tcBorders>
                            <w:shd w:val="clear" w:color="auto" w:fill="auto"/>
                            <w:vAlign w:val="center"/>
                          </w:tcPr>
                          <w:p w14:paraId="6E195238" w14:textId="77777777" w:rsidR="004551F8" w:rsidRPr="00175AE8" w:rsidRDefault="004551F8" w:rsidP="00824CD6">
                            <w:pPr>
                              <w:widowControl/>
                              <w:jc w:val="center"/>
                              <w:rPr>
                                <w:rFonts w:ascii="標楷體" w:eastAsia="標楷體" w:hAnsi="標楷體" w:cs="新細明體"/>
                                <w:kern w:val="0"/>
                                <w:sz w:val="20"/>
                                <w:szCs w:val="20"/>
                              </w:rPr>
                            </w:pPr>
                          </w:p>
                        </w:tc>
                        <w:tc>
                          <w:tcPr>
                            <w:tcW w:w="1059" w:type="pct"/>
                            <w:tcBorders>
                              <w:top w:val="single" w:sz="4" w:space="0" w:color="000000"/>
                              <w:left w:val="nil"/>
                              <w:bottom w:val="single" w:sz="4" w:space="0" w:color="000000"/>
                              <w:right w:val="single" w:sz="4" w:space="0" w:color="000000"/>
                            </w:tcBorders>
                            <w:shd w:val="clear" w:color="auto" w:fill="auto"/>
                            <w:vAlign w:val="center"/>
                          </w:tcPr>
                          <w:p w14:paraId="5C743092"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全國平均</w:t>
                            </w:r>
                          </w:p>
                        </w:tc>
                        <w:tc>
                          <w:tcPr>
                            <w:tcW w:w="930" w:type="pct"/>
                            <w:tcBorders>
                              <w:top w:val="single" w:sz="4" w:space="0" w:color="000000"/>
                              <w:left w:val="nil"/>
                              <w:bottom w:val="single" w:sz="4" w:space="0" w:color="000000"/>
                              <w:right w:val="single" w:sz="4" w:space="0" w:color="000000"/>
                            </w:tcBorders>
                            <w:shd w:val="clear" w:color="auto" w:fill="auto"/>
                            <w:vAlign w:val="center"/>
                          </w:tcPr>
                          <w:p w14:paraId="70782A93"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臺北市</w:t>
                            </w:r>
                          </w:p>
                        </w:tc>
                        <w:tc>
                          <w:tcPr>
                            <w:tcW w:w="1056" w:type="pct"/>
                            <w:tcBorders>
                              <w:top w:val="single" w:sz="4" w:space="0" w:color="000000"/>
                              <w:left w:val="nil"/>
                              <w:bottom w:val="single" w:sz="4" w:space="0" w:color="000000"/>
                              <w:right w:val="single" w:sz="4" w:space="0" w:color="000000"/>
                            </w:tcBorders>
                            <w:shd w:val="clear" w:color="auto" w:fill="auto"/>
                            <w:vAlign w:val="center"/>
                          </w:tcPr>
                          <w:p w14:paraId="4D064BED"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全國平均</w:t>
                            </w:r>
                          </w:p>
                        </w:tc>
                        <w:tc>
                          <w:tcPr>
                            <w:tcW w:w="786" w:type="pct"/>
                            <w:tcBorders>
                              <w:top w:val="single" w:sz="4" w:space="0" w:color="000000"/>
                              <w:left w:val="nil"/>
                              <w:bottom w:val="single" w:sz="4" w:space="0" w:color="000000"/>
                              <w:right w:val="single" w:sz="4" w:space="0" w:color="auto"/>
                            </w:tcBorders>
                            <w:shd w:val="clear" w:color="auto" w:fill="auto"/>
                            <w:vAlign w:val="center"/>
                          </w:tcPr>
                          <w:p w14:paraId="059BAD20"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臺北市</w:t>
                            </w:r>
                          </w:p>
                        </w:tc>
                      </w:tr>
                      <w:tr w:rsidR="004551F8" w:rsidRPr="00CA32BB" w14:paraId="1261C43A" w14:textId="77777777" w:rsidTr="009E13B2">
                        <w:trPr>
                          <w:trHeight w:val="368"/>
                        </w:trPr>
                        <w:tc>
                          <w:tcPr>
                            <w:tcW w:w="1169" w:type="pct"/>
                            <w:tcBorders>
                              <w:top w:val="nil"/>
                              <w:left w:val="single" w:sz="4" w:space="0" w:color="auto"/>
                              <w:bottom w:val="single" w:sz="4" w:space="0" w:color="auto"/>
                              <w:right w:val="single" w:sz="4" w:space="0" w:color="000000"/>
                            </w:tcBorders>
                            <w:shd w:val="clear" w:color="auto" w:fill="auto"/>
                            <w:noWrap/>
                            <w:vAlign w:val="center"/>
                            <w:hideMark/>
                          </w:tcPr>
                          <w:p w14:paraId="72594DB1" w14:textId="77777777" w:rsidR="004551F8" w:rsidRPr="00175AE8" w:rsidRDefault="004551F8" w:rsidP="00824CD6">
                            <w:pPr>
                              <w:widowControl/>
                              <w:jc w:val="center"/>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中高齡者</w:t>
                            </w:r>
                          </w:p>
                        </w:tc>
                        <w:tc>
                          <w:tcPr>
                            <w:tcW w:w="1059" w:type="pct"/>
                            <w:tcBorders>
                              <w:top w:val="nil"/>
                              <w:left w:val="nil"/>
                              <w:bottom w:val="single" w:sz="4" w:space="0" w:color="auto"/>
                              <w:right w:val="single" w:sz="4" w:space="0" w:color="000000"/>
                            </w:tcBorders>
                            <w:shd w:val="clear" w:color="auto" w:fill="auto"/>
                            <w:noWrap/>
                            <w:vAlign w:val="center"/>
                            <w:hideMark/>
                          </w:tcPr>
                          <w:p w14:paraId="67067815" w14:textId="77777777" w:rsidR="004551F8" w:rsidRPr="00175AE8" w:rsidRDefault="004551F8" w:rsidP="00824CD6">
                            <w:pPr>
                              <w:widowControl/>
                              <w:jc w:val="right"/>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66.52</w:t>
                            </w:r>
                          </w:p>
                        </w:tc>
                        <w:tc>
                          <w:tcPr>
                            <w:tcW w:w="930" w:type="pct"/>
                            <w:tcBorders>
                              <w:top w:val="nil"/>
                              <w:left w:val="nil"/>
                              <w:bottom w:val="single" w:sz="4" w:space="0" w:color="auto"/>
                              <w:right w:val="single" w:sz="4" w:space="0" w:color="000000"/>
                            </w:tcBorders>
                            <w:shd w:val="clear" w:color="auto" w:fill="auto"/>
                            <w:noWrap/>
                            <w:vAlign w:val="center"/>
                            <w:hideMark/>
                          </w:tcPr>
                          <w:p w14:paraId="7E39B656" w14:textId="77777777" w:rsidR="004551F8" w:rsidRPr="00175AE8" w:rsidRDefault="004551F8" w:rsidP="00824CD6">
                            <w:pPr>
                              <w:widowControl/>
                              <w:jc w:val="right"/>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65.31</w:t>
                            </w:r>
                          </w:p>
                        </w:tc>
                        <w:tc>
                          <w:tcPr>
                            <w:tcW w:w="1056" w:type="pct"/>
                            <w:tcBorders>
                              <w:top w:val="nil"/>
                              <w:left w:val="nil"/>
                              <w:bottom w:val="single" w:sz="4" w:space="0" w:color="auto"/>
                              <w:right w:val="single" w:sz="4" w:space="0" w:color="000000"/>
                            </w:tcBorders>
                            <w:shd w:val="clear" w:color="auto" w:fill="auto"/>
                            <w:noWrap/>
                            <w:vAlign w:val="center"/>
                            <w:hideMark/>
                          </w:tcPr>
                          <w:p w14:paraId="0714F2FD" w14:textId="77777777" w:rsidR="004551F8" w:rsidRPr="00175AE8" w:rsidRDefault="004551F8" w:rsidP="00824CD6">
                            <w:pPr>
                              <w:widowControl/>
                              <w:jc w:val="right"/>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1.99</w:t>
                            </w:r>
                          </w:p>
                        </w:tc>
                        <w:tc>
                          <w:tcPr>
                            <w:tcW w:w="786" w:type="pct"/>
                            <w:tcBorders>
                              <w:top w:val="nil"/>
                              <w:left w:val="nil"/>
                              <w:bottom w:val="single" w:sz="4" w:space="0" w:color="auto"/>
                              <w:right w:val="single" w:sz="4" w:space="0" w:color="auto"/>
                            </w:tcBorders>
                            <w:shd w:val="clear" w:color="auto" w:fill="auto"/>
                            <w:noWrap/>
                            <w:vAlign w:val="center"/>
                            <w:hideMark/>
                          </w:tcPr>
                          <w:p w14:paraId="49BA7D32" w14:textId="77777777" w:rsidR="004551F8" w:rsidRPr="00175AE8" w:rsidRDefault="004551F8" w:rsidP="00824CD6">
                            <w:pPr>
                              <w:widowControl/>
                              <w:jc w:val="right"/>
                              <w:rPr>
                                <w:rFonts w:ascii="標楷體" w:eastAsia="標楷體" w:hAnsi="標楷體" w:cs="新細明體"/>
                                <w:kern w:val="0"/>
                                <w:sz w:val="20"/>
                                <w:szCs w:val="20"/>
                              </w:rPr>
                            </w:pPr>
                            <w:r w:rsidRPr="00175AE8">
                              <w:rPr>
                                <w:rFonts w:ascii="標楷體" w:eastAsia="標楷體" w:hAnsi="標楷體" w:cs="新細明體" w:hint="eastAsia"/>
                                <w:kern w:val="0"/>
                                <w:sz w:val="20"/>
                                <w:szCs w:val="20"/>
                              </w:rPr>
                              <w:t>2.21</w:t>
                            </w:r>
                          </w:p>
                        </w:tc>
                      </w:tr>
                    </w:tbl>
                    <w:p w14:paraId="4BB1AF79" w14:textId="77777777" w:rsidR="004551F8" w:rsidRPr="00175AE8" w:rsidRDefault="004551F8" w:rsidP="009E13B2">
                      <w:pPr>
                        <w:pStyle w:val="3"/>
                        <w:shd w:val="clear" w:color="auto" w:fill="FFFFFF"/>
                        <w:spacing w:line="260" w:lineRule="exact"/>
                        <w:rPr>
                          <w:rFonts w:ascii="標楷體" w:eastAsia="標楷體" w:hAnsi="標楷體" w:cs="Times New Roman"/>
                          <w:b w:val="0"/>
                          <w:bCs w:val="0"/>
                          <w:sz w:val="18"/>
                          <w:szCs w:val="32"/>
                        </w:rPr>
                      </w:pPr>
                      <w:bookmarkStart w:id="70" w:name="_Toc195113011"/>
                      <w:proofErr w:type="gramStart"/>
                      <w:r w:rsidRPr="00175AE8">
                        <w:rPr>
                          <w:rFonts w:ascii="標楷體" w:eastAsia="標楷體" w:hAnsi="標楷體" w:cs="Times New Roman" w:hint="eastAsia"/>
                          <w:b w:val="0"/>
                          <w:bCs w:val="0"/>
                          <w:sz w:val="18"/>
                          <w:szCs w:val="32"/>
                        </w:rPr>
                        <w:t>註</w:t>
                      </w:r>
                      <w:proofErr w:type="gramEnd"/>
                      <w:r w:rsidRPr="00175AE8">
                        <w:rPr>
                          <w:rFonts w:ascii="標楷體" w:eastAsia="標楷體" w:hAnsi="標楷體" w:cs="Times New Roman" w:hint="eastAsia"/>
                          <w:b w:val="0"/>
                          <w:bCs w:val="0"/>
                          <w:sz w:val="18"/>
                          <w:szCs w:val="32"/>
                        </w:rPr>
                        <w:t>：</w:t>
                      </w:r>
                      <w:r w:rsidRPr="00175AE8">
                        <w:rPr>
                          <w:rFonts w:ascii="標楷體" w:eastAsia="標楷體" w:hAnsi="標楷體" w:cs="Times New Roman"/>
                          <w:b w:val="0"/>
                          <w:bCs w:val="0"/>
                          <w:sz w:val="18"/>
                          <w:szCs w:val="32"/>
                        </w:rPr>
                        <w:t>1</w:t>
                      </w:r>
                      <w:r w:rsidRPr="00175AE8">
                        <w:rPr>
                          <w:rFonts w:ascii="標楷體" w:eastAsia="標楷體" w:hAnsi="標楷體" w:cs="Times New Roman" w:hint="eastAsia"/>
                          <w:b w:val="0"/>
                          <w:bCs w:val="0"/>
                          <w:sz w:val="18"/>
                          <w:szCs w:val="32"/>
                        </w:rPr>
                        <w:t>.</w:t>
                      </w:r>
                      <w:r>
                        <w:rPr>
                          <w:rFonts w:ascii="標楷體" w:eastAsia="標楷體" w:hAnsi="標楷體" w:cs="Times New Roman" w:hint="eastAsia"/>
                          <w:b w:val="0"/>
                          <w:bCs w:val="0"/>
                          <w:sz w:val="18"/>
                          <w:szCs w:val="32"/>
                        </w:rPr>
                        <w:t>表列</w:t>
                      </w:r>
                      <w:r w:rsidRPr="00175AE8">
                        <w:rPr>
                          <w:rFonts w:ascii="標楷體" w:eastAsia="標楷體" w:hAnsi="標楷體" w:cs="Times New Roman" w:hint="eastAsia"/>
                          <w:b w:val="0"/>
                          <w:bCs w:val="0"/>
                          <w:sz w:val="18"/>
                          <w:szCs w:val="32"/>
                        </w:rPr>
                        <w:t>中高齡者為年滿45歲至6</w:t>
                      </w:r>
                      <w:r>
                        <w:rPr>
                          <w:rFonts w:ascii="標楷體" w:eastAsia="標楷體" w:hAnsi="標楷體" w:cs="Times New Roman"/>
                          <w:b w:val="0"/>
                          <w:bCs w:val="0"/>
                          <w:sz w:val="18"/>
                          <w:szCs w:val="32"/>
                        </w:rPr>
                        <w:t>4</w:t>
                      </w:r>
                      <w:r w:rsidRPr="00175AE8">
                        <w:rPr>
                          <w:rFonts w:ascii="標楷體" w:eastAsia="標楷體" w:hAnsi="標楷體" w:cs="Times New Roman" w:hint="eastAsia"/>
                          <w:b w:val="0"/>
                          <w:bCs w:val="0"/>
                          <w:sz w:val="18"/>
                          <w:szCs w:val="32"/>
                        </w:rPr>
                        <w:t>歲。</w:t>
                      </w:r>
                      <w:bookmarkEnd w:id="70"/>
                    </w:p>
                    <w:p w14:paraId="7AA59CF4" w14:textId="77777777" w:rsidR="004551F8" w:rsidRPr="00175AE8" w:rsidRDefault="004551F8" w:rsidP="004551F8">
                      <w:pPr>
                        <w:pStyle w:val="3"/>
                        <w:shd w:val="clear" w:color="auto" w:fill="FFFFFF"/>
                        <w:spacing w:line="240" w:lineRule="exact"/>
                        <w:ind w:leftChars="150" w:left="360"/>
                        <w:rPr>
                          <w:rFonts w:ascii="標楷體" w:eastAsia="標楷體" w:hAnsi="標楷體" w:cs="Times New Roman"/>
                          <w:b w:val="0"/>
                          <w:bCs w:val="0"/>
                          <w:sz w:val="18"/>
                          <w:szCs w:val="32"/>
                        </w:rPr>
                      </w:pPr>
                      <w:bookmarkStart w:id="71" w:name="_Toc195113012"/>
                      <w:r w:rsidRPr="00175AE8">
                        <w:rPr>
                          <w:rFonts w:ascii="標楷體" w:eastAsia="標楷體" w:hAnsi="標楷體" w:cs="Times New Roman" w:hint="eastAsia"/>
                          <w:b w:val="0"/>
                          <w:bCs w:val="0"/>
                          <w:sz w:val="18"/>
                          <w:szCs w:val="32"/>
                        </w:rPr>
                        <w:t>2</w:t>
                      </w:r>
                      <w:r w:rsidRPr="00175AE8">
                        <w:rPr>
                          <w:rFonts w:ascii="標楷體" w:eastAsia="標楷體" w:hAnsi="標楷體" w:cs="Times New Roman"/>
                          <w:b w:val="0"/>
                          <w:bCs w:val="0"/>
                          <w:sz w:val="18"/>
                          <w:szCs w:val="32"/>
                        </w:rPr>
                        <w:t>.</w:t>
                      </w:r>
                      <w:r w:rsidRPr="00175AE8">
                        <w:rPr>
                          <w:rFonts w:ascii="標楷體" w:eastAsia="標楷體" w:hAnsi="標楷體" w:cs="Times New Roman" w:hint="eastAsia"/>
                          <w:b w:val="0"/>
                          <w:bCs w:val="0"/>
                          <w:sz w:val="18"/>
                          <w:szCs w:val="32"/>
                        </w:rPr>
                        <w:t>資料來源：整理自行</w:t>
                      </w:r>
                      <w:r w:rsidRPr="00175AE8">
                        <w:rPr>
                          <w:rFonts w:ascii="標楷體" w:eastAsia="標楷體" w:hAnsi="標楷體" w:cs="Times New Roman" w:hint="eastAsia"/>
                          <w:b w:val="0"/>
                          <w:bCs w:val="0"/>
                          <w:sz w:val="18"/>
                          <w:szCs w:val="22"/>
                        </w:rPr>
                        <w:t>政院主計總處</w:t>
                      </w:r>
                      <w:r w:rsidRPr="00175AE8">
                        <w:rPr>
                          <w:rFonts w:ascii="標楷體" w:eastAsia="標楷體" w:hAnsi="標楷體" w:cs="Times New Roman"/>
                          <w:b w:val="0"/>
                          <w:bCs w:val="0"/>
                          <w:sz w:val="18"/>
                          <w:szCs w:val="22"/>
                        </w:rPr>
                        <w:t>113年12月人力資源統計</w:t>
                      </w:r>
                      <w:r w:rsidRPr="00175AE8">
                        <w:rPr>
                          <w:rFonts w:ascii="標楷體" w:eastAsia="標楷體" w:hAnsi="標楷體" w:cs="Times New Roman" w:hint="eastAsia"/>
                          <w:b w:val="0"/>
                          <w:bCs w:val="0"/>
                          <w:sz w:val="18"/>
                          <w:szCs w:val="22"/>
                        </w:rPr>
                        <w:t>月報。</w:t>
                      </w:r>
                      <w:bookmarkEnd w:id="71"/>
                    </w:p>
                  </w:txbxContent>
                </v:textbox>
                <w10:wrap type="through"/>
              </v:shape>
            </w:pict>
          </mc:Fallback>
        </mc:AlternateContent>
      </w:r>
      <w:r w:rsidRPr="00B474B8">
        <w:rPr>
          <w:rFonts w:ascii="標楷體" w:eastAsia="標楷體" w:hAnsi="標楷體" w:cs="Times New Roman" w:hint="eastAsia"/>
          <w:szCs w:val="24"/>
        </w:rPr>
        <w:t>就業服務處為改善中高齡及高齡人才勞動參與率，開發適合銀髮族群職務，於110年成立「臺北市銀髮職務新創中心」，辦理銀髮族群職能活動，</w:t>
      </w:r>
      <w:proofErr w:type="gramStart"/>
      <w:r w:rsidRPr="00B474B8">
        <w:rPr>
          <w:rFonts w:ascii="標楷體" w:eastAsia="標楷體" w:hAnsi="標楷體" w:cs="Times New Roman" w:hint="eastAsia"/>
          <w:szCs w:val="24"/>
        </w:rPr>
        <w:t>嗣</w:t>
      </w:r>
      <w:proofErr w:type="gramEnd"/>
      <w:r w:rsidRPr="00B474B8">
        <w:rPr>
          <w:rFonts w:ascii="標楷體" w:eastAsia="標楷體" w:hAnsi="標楷體" w:cs="Times New Roman" w:hint="eastAsia"/>
          <w:szCs w:val="24"/>
        </w:rPr>
        <w:t>為促進中高齡者及高齡者就業，於111年籌劃</w:t>
      </w:r>
      <w:proofErr w:type="gramStart"/>
      <w:r w:rsidRPr="00B474B8">
        <w:rPr>
          <w:rFonts w:ascii="標楷體" w:eastAsia="標楷體" w:hAnsi="標楷體" w:cs="Times New Roman" w:hint="eastAsia"/>
          <w:szCs w:val="24"/>
        </w:rPr>
        <w:t>研</w:t>
      </w:r>
      <w:proofErr w:type="gramEnd"/>
      <w:r w:rsidRPr="00B474B8">
        <w:rPr>
          <w:rFonts w:ascii="標楷體" w:eastAsia="標楷體" w:hAnsi="標楷體" w:cs="Times New Roman" w:hint="eastAsia"/>
          <w:szCs w:val="24"/>
        </w:rPr>
        <w:t>訂「中</w:t>
      </w:r>
      <w:proofErr w:type="gramStart"/>
      <w:r w:rsidRPr="00B474B8">
        <w:rPr>
          <w:rFonts w:ascii="標楷體" w:eastAsia="標楷體" w:hAnsi="標楷體" w:cs="Times New Roman" w:hint="eastAsia"/>
          <w:szCs w:val="24"/>
        </w:rPr>
        <w:t>高齡者暨高齡</w:t>
      </w:r>
      <w:proofErr w:type="gramEnd"/>
      <w:r w:rsidRPr="00B474B8">
        <w:rPr>
          <w:rFonts w:ascii="標楷體" w:eastAsia="標楷體" w:hAnsi="標楷體" w:cs="Times New Roman" w:hint="eastAsia"/>
          <w:szCs w:val="24"/>
        </w:rPr>
        <w:t>者友善企業認證」指標，並自112年起開始辦理企業認證，以參與認證事業單位之「組織文化」、「招募任用」、「教育訓練」、「工作環境與職務再設計」及「創新作為」等五大面向措施或事蹟作為評核指標，透過公開表揚友善企業，鼓勵中高齡者及高齡者重返職場。據行政院主計總處113年12月人力資源統計月報列載，臺北市45歲至64歲中高齡者勞動力參與率（下稱</w:t>
      </w:r>
      <w:proofErr w:type="gramStart"/>
      <w:r w:rsidRPr="00B474B8">
        <w:rPr>
          <w:rFonts w:ascii="標楷體" w:eastAsia="標楷體" w:hAnsi="標楷體" w:cs="Times New Roman" w:hint="eastAsia"/>
          <w:szCs w:val="24"/>
        </w:rPr>
        <w:t>勞</w:t>
      </w:r>
      <w:proofErr w:type="gramEnd"/>
      <w:r w:rsidRPr="00B474B8">
        <w:rPr>
          <w:rFonts w:ascii="標楷體" w:eastAsia="標楷體" w:hAnsi="標楷體" w:cs="Times New Roman" w:hint="eastAsia"/>
          <w:szCs w:val="24"/>
        </w:rPr>
        <w:t>參率）為65.31％，較全國</w:t>
      </w:r>
      <w:proofErr w:type="gramStart"/>
      <w:r w:rsidRPr="00B474B8">
        <w:rPr>
          <w:rFonts w:ascii="標楷體" w:eastAsia="標楷體" w:hAnsi="標楷體" w:cs="Times New Roman" w:hint="eastAsia"/>
          <w:szCs w:val="24"/>
        </w:rPr>
        <w:t>勞</w:t>
      </w:r>
      <w:proofErr w:type="gramEnd"/>
      <w:r w:rsidRPr="00B474B8">
        <w:rPr>
          <w:rFonts w:ascii="標楷體" w:eastAsia="標楷體" w:hAnsi="標楷體" w:cs="Times New Roman" w:hint="eastAsia"/>
          <w:szCs w:val="24"/>
        </w:rPr>
        <w:t>參率（66.52％）為低，又其失業率為2.21％，亦較全國失業率（1.99％）為高（表2），顯示</w:t>
      </w:r>
      <w:proofErr w:type="gramStart"/>
      <w:r w:rsidRPr="00B474B8">
        <w:rPr>
          <w:rFonts w:ascii="標楷體" w:eastAsia="標楷體" w:hAnsi="標楷體" w:cs="Times New Roman" w:hint="eastAsia"/>
          <w:szCs w:val="24"/>
        </w:rPr>
        <w:t>轄</w:t>
      </w:r>
      <w:proofErr w:type="gramEnd"/>
      <w:r w:rsidRPr="00B474B8">
        <w:rPr>
          <w:rFonts w:ascii="標楷體" w:eastAsia="標楷體" w:hAnsi="標楷體" w:cs="Times New Roman" w:hint="eastAsia"/>
          <w:szCs w:val="24"/>
        </w:rPr>
        <w:t>內中高齡人口就業意願較全國平均值低，且有就業意願者之失業情形較全國平均值高。經查該處為指引企業打造友善職場環境，協助參與中</w:t>
      </w:r>
      <w:proofErr w:type="gramStart"/>
      <w:r w:rsidRPr="00B474B8">
        <w:rPr>
          <w:rFonts w:ascii="標楷體" w:eastAsia="標楷體" w:hAnsi="標楷體" w:cs="Times New Roman" w:hint="eastAsia"/>
          <w:szCs w:val="24"/>
        </w:rPr>
        <w:t>高齡者暨高齡</w:t>
      </w:r>
      <w:proofErr w:type="gramEnd"/>
      <w:r w:rsidRPr="00B474B8">
        <w:rPr>
          <w:rFonts w:ascii="標楷體" w:eastAsia="標楷體" w:hAnsi="標楷體" w:cs="Times New Roman" w:hint="eastAsia"/>
          <w:szCs w:val="24"/>
        </w:rPr>
        <w:t>者友善企業認證，於</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年度辦理17場企業說明會，邀請專家、學者分享企業如何優化人力資源及員工職</w:t>
      </w:r>
      <w:proofErr w:type="gramStart"/>
      <w:r w:rsidRPr="00B474B8">
        <w:rPr>
          <w:rFonts w:ascii="標楷體" w:eastAsia="標楷體" w:hAnsi="標楷體" w:cs="Times New Roman" w:hint="eastAsia"/>
          <w:szCs w:val="24"/>
        </w:rPr>
        <w:t>涯</w:t>
      </w:r>
      <w:proofErr w:type="gramEnd"/>
      <w:r w:rsidRPr="00B474B8">
        <w:rPr>
          <w:rFonts w:ascii="標楷體" w:eastAsia="標楷體" w:hAnsi="標楷體" w:cs="Times New Roman" w:hint="eastAsia"/>
          <w:szCs w:val="24"/>
        </w:rPr>
        <w:t>發展等相關議題，並說明企業認證程序，引導轄內企業依循指標範例和評比項目，進行準備並參與認證。該17場說明會以總參與企業至少300家以上為目標，惟實際報名參與之企業為205家，僅占目標之68.33％；又該處原預計通過認證企業為80家以上，執行結果，</w:t>
      </w:r>
      <w:proofErr w:type="gramStart"/>
      <w:r w:rsidRPr="00B474B8">
        <w:rPr>
          <w:rFonts w:ascii="標楷體" w:eastAsia="標楷體" w:hAnsi="標楷體" w:cs="Times New Roman" w:hint="eastAsia"/>
          <w:szCs w:val="24"/>
        </w:rPr>
        <w:t>實際遞</w:t>
      </w:r>
      <w:proofErr w:type="gramEnd"/>
      <w:r w:rsidRPr="00B474B8">
        <w:rPr>
          <w:rFonts w:ascii="標楷體" w:eastAsia="標楷體" w:hAnsi="標楷體" w:cs="Times New Roman" w:hint="eastAsia"/>
          <w:szCs w:val="24"/>
        </w:rPr>
        <w:t>件申請認證家數105家，獲認證企業僅為58家，顯示所舉辦說明會未能廣泛吸引企業參與，且企業響應申辦不如預期。</w:t>
      </w:r>
      <w:proofErr w:type="gramStart"/>
      <w:r w:rsidRPr="00B474B8">
        <w:rPr>
          <w:rFonts w:ascii="標楷體" w:eastAsia="標楷體" w:hAnsi="標楷體" w:cs="Times New Roman" w:hint="eastAsia"/>
          <w:szCs w:val="24"/>
        </w:rPr>
        <w:t>鑑</w:t>
      </w:r>
      <w:proofErr w:type="gramEnd"/>
      <w:r w:rsidRPr="00B474B8">
        <w:rPr>
          <w:rFonts w:ascii="標楷體" w:eastAsia="標楷體" w:hAnsi="標楷體" w:cs="Times New Roman" w:hint="eastAsia"/>
          <w:szCs w:val="24"/>
        </w:rPr>
        <w:t>於</w:t>
      </w:r>
      <w:proofErr w:type="gramStart"/>
      <w:r w:rsidRPr="00B474B8">
        <w:rPr>
          <w:rFonts w:ascii="標楷體" w:eastAsia="標楷體" w:hAnsi="標楷體" w:cs="Times New Roman" w:hint="eastAsia"/>
          <w:szCs w:val="24"/>
        </w:rPr>
        <w:t>我國刻步入超</w:t>
      </w:r>
      <w:proofErr w:type="gramEnd"/>
      <w:r w:rsidRPr="00B474B8">
        <w:rPr>
          <w:rFonts w:ascii="標楷體" w:eastAsia="標楷體" w:hAnsi="標楷體" w:cs="Times New Roman" w:hint="eastAsia"/>
          <w:szCs w:val="24"/>
        </w:rPr>
        <w:t>高齡社會，經濟結構將隨人口改變而產生變化，為擴大企業參與優化中高齡者及高齡者職場環境，允宜深入瞭解企業參與說明會及通過認證家數未達目標之原因，據以精進相關推廣方案，提升企業參與誘因，經函請</w:t>
      </w:r>
      <w:proofErr w:type="gramStart"/>
      <w:r w:rsidRPr="00B474B8">
        <w:rPr>
          <w:rFonts w:ascii="標楷體" w:eastAsia="標楷體" w:hAnsi="標楷體" w:cs="Times New Roman" w:hint="eastAsia"/>
          <w:szCs w:val="24"/>
        </w:rPr>
        <w:t>研謀妥處</w:t>
      </w:r>
      <w:proofErr w:type="gramEnd"/>
      <w:r w:rsidRPr="00B474B8">
        <w:rPr>
          <w:rFonts w:ascii="標楷體" w:eastAsia="標楷體" w:hAnsi="標楷體" w:cs="Times New Roman" w:hint="eastAsia"/>
          <w:szCs w:val="24"/>
        </w:rPr>
        <w:t>。據復：將透過商會、公會及相關平</w:t>
      </w:r>
      <w:proofErr w:type="gramStart"/>
      <w:r w:rsidRPr="00B474B8">
        <w:rPr>
          <w:rFonts w:ascii="標楷體" w:eastAsia="標楷體" w:hAnsi="標楷體" w:cs="Times New Roman" w:hint="eastAsia"/>
          <w:szCs w:val="24"/>
        </w:rPr>
        <w:t>臺</w:t>
      </w:r>
      <w:proofErr w:type="gramEnd"/>
      <w:r w:rsidRPr="00B474B8">
        <w:rPr>
          <w:rFonts w:ascii="標楷體" w:eastAsia="標楷體" w:hAnsi="標楷體" w:cs="Times New Roman" w:hint="eastAsia"/>
          <w:szCs w:val="24"/>
        </w:rPr>
        <w:t>合作推廣，並將調整評核指標項目及簡化申請流程，以提升企業參與意願。</w:t>
      </w:r>
    </w:p>
    <w:p w14:paraId="3E5121F0" w14:textId="77777777" w:rsidR="004551F8" w:rsidRPr="00B474B8" w:rsidRDefault="004551F8" w:rsidP="004551F8">
      <w:pPr>
        <w:spacing w:before="120" w:after="120" w:line="46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四）持續派員辦理勞動檢查作業，惟近3年疑似職場不法侵害之申訴案件逐年攀升，且對部分事業單位未依規定採取必要安全衛生措施之案件，經限期改善後卻歷時數個月至2年餘始辦理複查，未能即時督促改善，允宜</w:t>
      </w:r>
      <w:proofErr w:type="gramStart"/>
      <w:r w:rsidRPr="00B474B8">
        <w:rPr>
          <w:rFonts w:ascii="標楷體" w:eastAsia="標楷體" w:hAnsi="標楷體" w:cs="Times New Roman" w:hint="eastAsia"/>
          <w:b/>
          <w:sz w:val="28"/>
          <w:szCs w:val="28"/>
        </w:rPr>
        <w:t>研</w:t>
      </w:r>
      <w:proofErr w:type="gramEnd"/>
      <w:r w:rsidRPr="00B474B8">
        <w:rPr>
          <w:rFonts w:ascii="標楷體" w:eastAsia="標楷體" w:hAnsi="標楷體" w:cs="Times New Roman" w:hint="eastAsia"/>
          <w:b/>
          <w:sz w:val="28"/>
          <w:szCs w:val="28"/>
        </w:rPr>
        <w:t>謀加強勞動檢查作業，並建立相關追蹤查核機制，以建構友善職場環境。</w:t>
      </w:r>
    </w:p>
    <w:p w14:paraId="5A55700E" w14:textId="77777777" w:rsidR="00E20C4B" w:rsidRDefault="004551F8" w:rsidP="00E20C4B">
      <w:pPr>
        <w:overflowPunct w:val="0"/>
        <w:adjustRightInd w:val="0"/>
        <w:snapToGrid w:val="0"/>
        <w:spacing w:line="454"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依職業安全衛生法第6條第2項第3款規定，雇主對執行職務因他人行為遭受身體或精神不法侵害之預防，應妥為規劃及採取必要之安全衛生措施；同法第45條規定，違反第6條第2項之規定，經通知限期改善，屆期未改善，處新臺幣3萬元以上15萬元以下罰鍰。經查勞動檢</w:t>
      </w:r>
    </w:p>
    <w:p w14:paraId="498FBF91" w14:textId="1E732D90" w:rsidR="004551F8" w:rsidRPr="00B474B8" w:rsidRDefault="004551F8" w:rsidP="00E20C4B">
      <w:pPr>
        <w:overflowPunct w:val="0"/>
        <w:adjustRightInd w:val="0"/>
        <w:snapToGrid w:val="0"/>
        <w:spacing w:line="440" w:lineRule="exact"/>
        <w:jc w:val="both"/>
        <w:rPr>
          <w:rFonts w:ascii="標楷體" w:eastAsia="標楷體" w:hAnsi="標楷體" w:cs="Times New Roman"/>
          <w:szCs w:val="24"/>
        </w:rPr>
      </w:pPr>
      <w:r w:rsidRPr="00B474B8">
        <w:rPr>
          <w:rFonts w:ascii="標楷體" w:eastAsia="標楷體" w:hAnsi="標楷體" w:cs="Times New Roman" w:hint="eastAsia"/>
          <w:szCs w:val="24"/>
        </w:rPr>
        <w:t>查處111至113年間每年受理疑似職場不法侵害申訴案件分別為270件、545件與776件，申訴</w:t>
      </w:r>
      <w:r w:rsidRPr="00B474B8">
        <w:rPr>
          <w:rFonts w:ascii="標楷體" w:eastAsia="標楷體" w:hAnsi="標楷體" w:cs="Times New Roman" w:hint="eastAsia"/>
          <w:szCs w:val="24"/>
        </w:rPr>
        <w:lastRenderedPageBreak/>
        <w:t>案件逐年攀升，該處為確保事業單位依規定採取必要之安全衛生措施，經派員檢查並就未依規定採取必要安全衛生措施之事業單位，以發函方式通知限期改善，並請於改善期限屆滿之次日起7日內，以電子郵件等方式回</w:t>
      </w:r>
      <w:r w:rsidR="001430DA">
        <w:rPr>
          <w:rFonts w:ascii="標楷體" w:eastAsia="標楷體" w:hAnsi="標楷體" w:cs="Times New Roman" w:hint="eastAsia"/>
          <w:szCs w:val="24"/>
        </w:rPr>
        <w:t>復</w:t>
      </w:r>
      <w:r w:rsidRPr="00B474B8">
        <w:rPr>
          <w:rFonts w:ascii="標楷體" w:eastAsia="標楷體" w:hAnsi="標楷體" w:cs="Times New Roman" w:hint="eastAsia"/>
          <w:szCs w:val="24"/>
        </w:rPr>
        <w:t>改善結果，未回</w:t>
      </w:r>
      <w:r w:rsidR="001430DA">
        <w:rPr>
          <w:rFonts w:ascii="標楷體" w:eastAsia="標楷體" w:hAnsi="標楷體" w:cs="Times New Roman" w:hint="eastAsia"/>
          <w:szCs w:val="24"/>
        </w:rPr>
        <w:t>復</w:t>
      </w:r>
      <w:r w:rsidRPr="00B474B8">
        <w:rPr>
          <w:rFonts w:ascii="標楷體" w:eastAsia="標楷體" w:hAnsi="標楷體" w:cs="Times New Roman" w:hint="eastAsia"/>
          <w:szCs w:val="24"/>
        </w:rPr>
        <w:t>者將列為優先複查對象參考。次查111至113年度轄內事業單位違反上開規定經複查後之裁罰案件計8件，</w:t>
      </w:r>
      <w:proofErr w:type="gramStart"/>
      <w:r w:rsidRPr="00B474B8">
        <w:rPr>
          <w:rFonts w:ascii="標楷體" w:eastAsia="標楷體" w:hAnsi="標楷體" w:cs="Times New Roman" w:hint="eastAsia"/>
          <w:szCs w:val="24"/>
        </w:rPr>
        <w:t>均係該</w:t>
      </w:r>
      <w:proofErr w:type="gramEnd"/>
      <w:r w:rsidRPr="00B474B8">
        <w:rPr>
          <w:rFonts w:ascii="標楷體" w:eastAsia="標楷體" w:hAnsi="標楷體" w:cs="Times New Roman" w:hint="eastAsia"/>
          <w:szCs w:val="24"/>
        </w:rPr>
        <w:t>處辦理第1次勞動檢查時發現有違失情事，因複查時仍未改善，遭該處移送</w:t>
      </w:r>
      <w:proofErr w:type="gramStart"/>
      <w:r w:rsidRPr="00B474B8">
        <w:rPr>
          <w:rFonts w:ascii="標楷體" w:eastAsia="標楷體" w:hAnsi="標楷體" w:cs="Times New Roman" w:hint="eastAsia"/>
          <w:szCs w:val="24"/>
        </w:rPr>
        <w:t>勞動局裁罰</w:t>
      </w:r>
      <w:proofErr w:type="gramEnd"/>
      <w:r w:rsidRPr="00B474B8">
        <w:rPr>
          <w:rFonts w:ascii="標楷體" w:eastAsia="標楷體" w:hAnsi="標楷體" w:cs="Times New Roman" w:hint="eastAsia"/>
          <w:szCs w:val="24"/>
        </w:rPr>
        <w:t>，</w:t>
      </w:r>
      <w:proofErr w:type="gramStart"/>
      <w:r w:rsidRPr="00B474B8">
        <w:rPr>
          <w:rFonts w:ascii="標楷體" w:eastAsia="標楷體" w:hAnsi="標楷體" w:cs="Times New Roman" w:hint="eastAsia"/>
          <w:szCs w:val="24"/>
        </w:rPr>
        <w:t>惟查2次</w:t>
      </w:r>
      <w:proofErr w:type="gramEnd"/>
      <w:r w:rsidRPr="00B474B8">
        <w:rPr>
          <w:rFonts w:ascii="標楷體" w:eastAsia="標楷體" w:hAnsi="標楷體" w:cs="Times New Roman" w:hint="eastAsia"/>
          <w:szCs w:val="24"/>
        </w:rPr>
        <w:t>勞動檢查時間間隔介於</w:t>
      </w:r>
      <w:proofErr w:type="gramStart"/>
      <w:r w:rsidRPr="00B474B8">
        <w:rPr>
          <w:rFonts w:ascii="標楷體" w:eastAsia="標楷體" w:hAnsi="標楷體" w:cs="Times New Roman" w:hint="eastAsia"/>
          <w:szCs w:val="24"/>
        </w:rPr>
        <w:t>月餘至2年</w:t>
      </w:r>
      <w:proofErr w:type="gramEnd"/>
      <w:r w:rsidRPr="00B474B8">
        <w:rPr>
          <w:rFonts w:ascii="標楷體" w:eastAsia="標楷體" w:hAnsi="標楷體" w:cs="Times New Roman" w:hint="eastAsia"/>
          <w:szCs w:val="24"/>
        </w:rPr>
        <w:t>餘不等（表3），致未能即時督促違反規定之事業單位確實改善。</w:t>
      </w:r>
      <w:proofErr w:type="gramStart"/>
      <w:r w:rsidRPr="00B474B8">
        <w:rPr>
          <w:rFonts w:ascii="標楷體" w:eastAsia="標楷體" w:hAnsi="標楷體" w:cs="Times New Roman" w:hint="eastAsia"/>
          <w:szCs w:val="24"/>
        </w:rPr>
        <w:t>鑑</w:t>
      </w:r>
      <w:proofErr w:type="gramEnd"/>
      <w:r w:rsidRPr="00B474B8">
        <w:rPr>
          <w:rFonts w:ascii="標楷體" w:eastAsia="標楷體" w:hAnsi="標楷體" w:cs="Times New Roman" w:hint="eastAsia"/>
          <w:szCs w:val="24"/>
        </w:rPr>
        <w:t>於近3年</w:t>
      </w:r>
      <w:r w:rsidRPr="00B474B8">
        <w:rPr>
          <w:rFonts w:ascii="標楷體" w:eastAsia="標楷體" w:hAnsi="標楷體" w:cs="Times New Roman"/>
          <w:noProof/>
          <w:szCs w:val="24"/>
        </w:rPr>
        <mc:AlternateContent>
          <mc:Choice Requires="wps">
            <w:drawing>
              <wp:anchor distT="0" distB="0" distL="114300" distR="114300" simplePos="0" relativeHeight="251661312" behindDoc="0" locked="0" layoutInCell="1" allowOverlap="1" wp14:anchorId="16614A68" wp14:editId="2D702929">
                <wp:simplePos x="0" y="0"/>
                <wp:positionH relativeFrom="column">
                  <wp:posOffset>1122680</wp:posOffset>
                </wp:positionH>
                <wp:positionV relativeFrom="paragraph">
                  <wp:posOffset>2156460</wp:posOffset>
                </wp:positionV>
                <wp:extent cx="5216525" cy="2752725"/>
                <wp:effectExtent l="0" t="0" r="3175" b="9525"/>
                <wp:wrapThrough wrapText="bothSides">
                  <wp:wrapPolygon edited="0">
                    <wp:start x="0" y="0"/>
                    <wp:lineTo x="0" y="21525"/>
                    <wp:lineTo x="21534" y="21525"/>
                    <wp:lineTo x="21534" y="0"/>
                    <wp:lineTo x="0" y="0"/>
                  </wp:wrapPolygon>
                </wp:wrapThrough>
                <wp:docPr id="1" name="文字方塊 1"/>
                <wp:cNvGraphicFramePr/>
                <a:graphic xmlns:a="http://schemas.openxmlformats.org/drawingml/2006/main">
                  <a:graphicData uri="http://schemas.microsoft.com/office/word/2010/wordprocessingShape">
                    <wps:wsp>
                      <wps:cNvSpPr txBox="1"/>
                      <wps:spPr>
                        <a:xfrm>
                          <a:off x="0" y="0"/>
                          <a:ext cx="5216525" cy="2752725"/>
                        </a:xfrm>
                        <a:prstGeom prst="rect">
                          <a:avLst/>
                        </a:prstGeom>
                        <a:solidFill>
                          <a:sysClr val="window" lastClr="FFFFFF"/>
                        </a:solidFill>
                        <a:ln w="6350">
                          <a:noFill/>
                        </a:ln>
                      </wps:spPr>
                      <wps:txbx>
                        <w:txbxContent>
                          <w:p w14:paraId="4C6E7475" w14:textId="77777777" w:rsidR="004551F8" w:rsidRDefault="004551F8" w:rsidP="004551F8">
                            <w:pPr>
                              <w:jc w:val="center"/>
                              <w:rPr>
                                <w:rFonts w:ascii="標楷體" w:eastAsia="標楷體" w:hAnsi="標楷體"/>
                                <w:b/>
                                <w:bCs/>
                                <w:kern w:val="0"/>
                                <w:szCs w:val="24"/>
                              </w:rPr>
                            </w:pPr>
                            <w:r w:rsidRPr="00E736E3">
                              <w:rPr>
                                <w:rFonts w:ascii="標楷體" w:eastAsia="標楷體" w:hAnsi="標楷體" w:hint="eastAsia"/>
                                <w:b/>
                                <w:bCs/>
                                <w:szCs w:val="24"/>
                              </w:rPr>
                              <w:t>表</w:t>
                            </w:r>
                            <w:r>
                              <w:rPr>
                                <w:rFonts w:ascii="標楷體" w:eastAsia="標楷體" w:hAnsi="標楷體"/>
                                <w:b/>
                                <w:bCs/>
                                <w:szCs w:val="24"/>
                              </w:rPr>
                              <w:t>3</w:t>
                            </w:r>
                            <w:r w:rsidRPr="00E736E3">
                              <w:rPr>
                                <w:rFonts w:ascii="標楷體" w:eastAsia="標楷體" w:hAnsi="標楷體" w:hint="eastAsia"/>
                                <w:b/>
                                <w:bCs/>
                                <w:szCs w:val="24"/>
                              </w:rPr>
                              <w:t xml:space="preserve">  111至113年度事業單位</w:t>
                            </w:r>
                            <w:r>
                              <w:rPr>
                                <w:rFonts w:ascii="標楷體" w:eastAsia="標楷體" w:hAnsi="標楷體" w:hint="eastAsia"/>
                                <w:b/>
                                <w:bCs/>
                                <w:szCs w:val="24"/>
                              </w:rPr>
                              <w:t>未預防職場不法侵害案件</w:t>
                            </w:r>
                            <w:r w:rsidRPr="00E736E3">
                              <w:rPr>
                                <w:rFonts w:ascii="標楷體" w:eastAsia="標楷體" w:hAnsi="標楷體" w:hint="eastAsia"/>
                                <w:b/>
                                <w:bCs/>
                                <w:kern w:val="0"/>
                                <w:szCs w:val="24"/>
                              </w:rPr>
                              <w:t>之</w:t>
                            </w:r>
                            <w:proofErr w:type="gramStart"/>
                            <w:r>
                              <w:rPr>
                                <w:rFonts w:ascii="標楷體" w:eastAsia="標楷體" w:hAnsi="標楷體" w:hint="eastAsia"/>
                                <w:b/>
                                <w:bCs/>
                                <w:kern w:val="0"/>
                                <w:szCs w:val="24"/>
                              </w:rPr>
                              <w:t>勞</w:t>
                            </w:r>
                            <w:proofErr w:type="gramEnd"/>
                            <w:r>
                              <w:rPr>
                                <w:rFonts w:ascii="標楷體" w:eastAsia="標楷體" w:hAnsi="標楷體" w:hint="eastAsia"/>
                                <w:b/>
                                <w:bCs/>
                                <w:kern w:val="0"/>
                                <w:szCs w:val="24"/>
                              </w:rPr>
                              <w:t>檢及</w:t>
                            </w:r>
                            <w:r w:rsidRPr="00E736E3">
                              <w:rPr>
                                <w:rFonts w:ascii="標楷體" w:eastAsia="標楷體" w:hAnsi="標楷體" w:hint="eastAsia"/>
                                <w:b/>
                                <w:bCs/>
                                <w:kern w:val="0"/>
                                <w:szCs w:val="24"/>
                              </w:rPr>
                              <w:t>裁罰</w:t>
                            </w:r>
                            <w:r>
                              <w:rPr>
                                <w:rFonts w:ascii="標楷體" w:eastAsia="標楷體" w:hAnsi="標楷體" w:hint="eastAsia"/>
                                <w:b/>
                                <w:bCs/>
                                <w:kern w:val="0"/>
                                <w:szCs w:val="24"/>
                              </w:rPr>
                              <w:t>情形</w:t>
                            </w:r>
                          </w:p>
                          <w:tbl>
                            <w:tblPr>
                              <w:tblStyle w:val="35"/>
                              <w:tblW w:w="7926" w:type="dxa"/>
                              <w:tblInd w:w="-5" w:type="dxa"/>
                              <w:tblLook w:val="04A0" w:firstRow="1" w:lastRow="0" w:firstColumn="1" w:lastColumn="0" w:noHBand="0" w:noVBand="1"/>
                            </w:tblPr>
                            <w:tblGrid>
                              <w:gridCol w:w="793"/>
                              <w:gridCol w:w="1902"/>
                              <w:gridCol w:w="1902"/>
                              <w:gridCol w:w="2061"/>
                              <w:gridCol w:w="1268"/>
                            </w:tblGrid>
                            <w:tr w:rsidR="004551F8" w:rsidRPr="007A460C" w14:paraId="777C1C77" w14:textId="77777777" w:rsidTr="00824CD6">
                              <w:trPr>
                                <w:trHeight w:val="347"/>
                              </w:trPr>
                              <w:tc>
                                <w:tcPr>
                                  <w:tcW w:w="793" w:type="dxa"/>
                                  <w:vAlign w:val="center"/>
                                </w:tcPr>
                                <w:p w14:paraId="44767BC7" w14:textId="77777777" w:rsidR="004551F8" w:rsidRPr="004B1BF5" w:rsidRDefault="004551F8" w:rsidP="00824CD6">
                                  <w:pPr>
                                    <w:spacing w:line="240" w:lineRule="exact"/>
                                    <w:jc w:val="center"/>
                                    <w:rPr>
                                      <w:rFonts w:ascii="標楷體" w:eastAsia="標楷體" w:hAnsi="標楷體"/>
                                    </w:rPr>
                                  </w:pPr>
                                  <w:r>
                                    <w:rPr>
                                      <w:rFonts w:ascii="標楷體" w:eastAsia="標楷體" w:hAnsi="標楷體" w:hint="eastAsia"/>
                                    </w:rPr>
                                    <w:t>案</w:t>
                                  </w:r>
                                  <w:r w:rsidRPr="004B1BF5">
                                    <w:rPr>
                                      <w:rFonts w:ascii="標楷體" w:eastAsia="標楷體" w:hAnsi="標楷體" w:hint="eastAsia"/>
                                    </w:rPr>
                                    <w:t>號</w:t>
                                  </w:r>
                                </w:p>
                              </w:tc>
                              <w:tc>
                                <w:tcPr>
                                  <w:tcW w:w="1902" w:type="dxa"/>
                                  <w:vAlign w:val="center"/>
                                </w:tcPr>
                                <w:p w14:paraId="107761E1" w14:textId="77777777" w:rsidR="004551F8"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第1次</w:t>
                                  </w:r>
                                  <w:proofErr w:type="gramStart"/>
                                  <w:r w:rsidRPr="00E736E3">
                                    <w:rPr>
                                      <w:rFonts w:ascii="標楷體" w:eastAsia="標楷體" w:hAnsi="標楷體" w:hint="eastAsia"/>
                                    </w:rPr>
                                    <w:t>勞</w:t>
                                  </w:r>
                                  <w:proofErr w:type="gramEnd"/>
                                  <w:r w:rsidRPr="00E736E3">
                                    <w:rPr>
                                      <w:rFonts w:ascii="標楷體" w:eastAsia="標楷體" w:hAnsi="標楷體" w:hint="eastAsia"/>
                                    </w:rPr>
                                    <w:t>檢時點</w:t>
                                  </w:r>
                                </w:p>
                                <w:p w14:paraId="4EF2AD62" w14:textId="77777777" w:rsidR="004551F8" w:rsidRPr="00E736E3" w:rsidRDefault="004551F8" w:rsidP="00824CD6">
                                  <w:pPr>
                                    <w:overflowPunct w:val="0"/>
                                    <w:spacing w:line="240" w:lineRule="exact"/>
                                    <w:jc w:val="center"/>
                                    <w:rPr>
                                      <w:rFonts w:ascii="標楷體" w:eastAsia="標楷體" w:hAnsi="標楷體"/>
                                    </w:rPr>
                                  </w:pPr>
                                  <w:r>
                                    <w:rPr>
                                      <w:rFonts w:ascii="標楷體" w:eastAsia="標楷體" w:hAnsi="標楷體" w:hint="eastAsia"/>
                                    </w:rPr>
                                    <w:t>（發現違失）</w:t>
                                  </w:r>
                                </w:p>
                              </w:tc>
                              <w:tc>
                                <w:tcPr>
                                  <w:tcW w:w="1902" w:type="dxa"/>
                                  <w:vAlign w:val="center"/>
                                </w:tcPr>
                                <w:p w14:paraId="4EF26EBA" w14:textId="77777777" w:rsidR="004551F8"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第2次</w:t>
                                  </w:r>
                                  <w:proofErr w:type="gramStart"/>
                                  <w:r w:rsidRPr="00E736E3">
                                    <w:rPr>
                                      <w:rFonts w:ascii="標楷體" w:eastAsia="標楷體" w:hAnsi="標楷體" w:hint="eastAsia"/>
                                    </w:rPr>
                                    <w:t>勞</w:t>
                                  </w:r>
                                  <w:proofErr w:type="gramEnd"/>
                                  <w:r w:rsidRPr="00E736E3">
                                    <w:rPr>
                                      <w:rFonts w:ascii="標楷體" w:eastAsia="標楷體" w:hAnsi="標楷體" w:hint="eastAsia"/>
                                    </w:rPr>
                                    <w:t>檢時點</w:t>
                                  </w:r>
                                </w:p>
                                <w:p w14:paraId="458EC583" w14:textId="77777777" w:rsidR="004551F8" w:rsidRPr="00E736E3" w:rsidRDefault="004551F8" w:rsidP="00824CD6">
                                  <w:pPr>
                                    <w:overflowPunct w:val="0"/>
                                    <w:spacing w:line="240" w:lineRule="exact"/>
                                    <w:jc w:val="center"/>
                                    <w:rPr>
                                      <w:rFonts w:ascii="標楷體" w:eastAsia="標楷體" w:hAnsi="標楷體"/>
                                    </w:rPr>
                                  </w:pPr>
                                  <w:r>
                                    <w:rPr>
                                      <w:rFonts w:ascii="標楷體" w:eastAsia="標楷體" w:hAnsi="標楷體" w:hint="eastAsia"/>
                                    </w:rPr>
                                    <w:t>（辦理複查）</w:t>
                                  </w:r>
                                </w:p>
                              </w:tc>
                              <w:tc>
                                <w:tcPr>
                                  <w:tcW w:w="2061" w:type="dxa"/>
                                  <w:vAlign w:val="center"/>
                                </w:tcPr>
                                <w:p w14:paraId="113C1AAB"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兩次</w:t>
                                  </w:r>
                                  <w:proofErr w:type="gramStart"/>
                                  <w:r w:rsidRPr="00E736E3">
                                    <w:rPr>
                                      <w:rFonts w:ascii="標楷體" w:eastAsia="標楷體" w:hAnsi="標楷體" w:hint="eastAsia"/>
                                    </w:rPr>
                                    <w:t>勞</w:t>
                                  </w:r>
                                  <w:proofErr w:type="gramEnd"/>
                                  <w:r w:rsidRPr="00E736E3">
                                    <w:rPr>
                                      <w:rFonts w:ascii="標楷體" w:eastAsia="標楷體" w:hAnsi="標楷體" w:hint="eastAsia"/>
                                    </w:rPr>
                                    <w:t>檢間隔時間</w:t>
                                  </w:r>
                                </w:p>
                              </w:tc>
                              <w:tc>
                                <w:tcPr>
                                  <w:tcW w:w="1268" w:type="dxa"/>
                                  <w:vAlign w:val="center"/>
                                </w:tcPr>
                                <w:p w14:paraId="49D7D110" w14:textId="77777777" w:rsidR="004551F8" w:rsidRPr="00B23BF7" w:rsidRDefault="004551F8" w:rsidP="00824CD6">
                                  <w:pPr>
                                    <w:overflowPunct w:val="0"/>
                                    <w:spacing w:line="240" w:lineRule="exact"/>
                                    <w:ind w:rightChars="-25" w:right="-60"/>
                                    <w:jc w:val="center"/>
                                    <w:rPr>
                                      <w:rFonts w:ascii="標楷體" w:eastAsia="標楷體" w:hAnsi="標楷體"/>
                                    </w:rPr>
                                  </w:pPr>
                                  <w:r w:rsidRPr="00B23BF7">
                                    <w:rPr>
                                      <w:rFonts w:ascii="標楷體" w:eastAsia="標楷體" w:hAnsi="標楷體" w:hint="eastAsia"/>
                                    </w:rPr>
                                    <w:t>裁罰</w:t>
                                  </w:r>
                                </w:p>
                              </w:tc>
                            </w:tr>
                            <w:tr w:rsidR="004551F8" w:rsidRPr="007A460C" w14:paraId="3909F235" w14:textId="77777777" w:rsidTr="00824CD6">
                              <w:trPr>
                                <w:trHeight w:val="355"/>
                              </w:trPr>
                              <w:tc>
                                <w:tcPr>
                                  <w:tcW w:w="793" w:type="dxa"/>
                                  <w:vAlign w:val="center"/>
                                </w:tcPr>
                                <w:p w14:paraId="6F5CF046"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w:t>
                                  </w:r>
                                  <w:r w:rsidRPr="00E736E3">
                                    <w:rPr>
                                      <w:rFonts w:ascii="標楷體" w:eastAsia="標楷體" w:hAnsi="標楷體" w:hint="eastAsia"/>
                                    </w:rPr>
                                    <w:t>1</w:t>
                                  </w:r>
                                </w:p>
                              </w:tc>
                              <w:tc>
                                <w:tcPr>
                                  <w:tcW w:w="1902" w:type="dxa"/>
                                  <w:vAlign w:val="center"/>
                                </w:tcPr>
                                <w:p w14:paraId="5B7A8EC3"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110.</w:t>
                                  </w:r>
                                  <w:r>
                                    <w:rPr>
                                      <w:rFonts w:ascii="標楷體" w:eastAsia="標楷體" w:hAnsi="標楷體" w:hint="eastAsia"/>
                                    </w:rPr>
                                    <w:t>0</w:t>
                                  </w:r>
                                  <w:r w:rsidRPr="00E736E3">
                                    <w:rPr>
                                      <w:rFonts w:ascii="標楷體" w:eastAsia="標楷體" w:hAnsi="標楷體" w:hint="eastAsia"/>
                                    </w:rPr>
                                    <w:t>8.10</w:t>
                                  </w:r>
                                </w:p>
                              </w:tc>
                              <w:tc>
                                <w:tcPr>
                                  <w:tcW w:w="1902" w:type="dxa"/>
                                  <w:vAlign w:val="center"/>
                                </w:tcPr>
                                <w:p w14:paraId="07C3A6E2"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2.10</w:t>
                                  </w:r>
                                </w:p>
                              </w:tc>
                              <w:tc>
                                <w:tcPr>
                                  <w:tcW w:w="2061" w:type="dxa"/>
                                  <w:vAlign w:val="center"/>
                                </w:tcPr>
                                <w:p w14:paraId="77E5EFFC"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184天</w:t>
                                  </w:r>
                                </w:p>
                              </w:tc>
                              <w:tc>
                                <w:tcPr>
                                  <w:tcW w:w="1268" w:type="dxa"/>
                                  <w:vMerge w:val="restart"/>
                                  <w:vAlign w:val="center"/>
                                </w:tcPr>
                                <w:p w14:paraId="4B34861D" w14:textId="77777777" w:rsidR="004551F8" w:rsidRPr="00B23BF7" w:rsidRDefault="004551F8" w:rsidP="00824CD6">
                                  <w:pPr>
                                    <w:overflowPunct w:val="0"/>
                                    <w:spacing w:line="240" w:lineRule="exact"/>
                                    <w:ind w:rightChars="-25" w:right="-60"/>
                                    <w:jc w:val="center"/>
                                    <w:rPr>
                                      <w:rFonts w:ascii="標楷體" w:eastAsia="標楷體" w:hAnsi="標楷體"/>
                                    </w:rPr>
                                  </w:pPr>
                                  <w:r>
                                    <w:rPr>
                                      <w:rFonts w:ascii="標楷體" w:eastAsia="標楷體" w:hAnsi="標楷體" w:hint="eastAsia"/>
                                    </w:rPr>
                                    <w:t>罰款</w:t>
                                  </w:r>
                                  <w:r w:rsidRPr="00B23BF7">
                                    <w:rPr>
                                      <w:rFonts w:ascii="標楷體" w:eastAsia="標楷體" w:hAnsi="標楷體" w:hint="eastAsia"/>
                                    </w:rPr>
                                    <w:t>3萬元</w:t>
                                  </w:r>
                                </w:p>
                              </w:tc>
                            </w:tr>
                            <w:tr w:rsidR="004551F8" w:rsidRPr="007A460C" w14:paraId="43429662" w14:textId="77777777" w:rsidTr="00824CD6">
                              <w:trPr>
                                <w:trHeight w:val="355"/>
                              </w:trPr>
                              <w:tc>
                                <w:tcPr>
                                  <w:tcW w:w="793" w:type="dxa"/>
                                  <w:vAlign w:val="center"/>
                                </w:tcPr>
                                <w:p w14:paraId="4D9DB5C4"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案2</w:t>
                                  </w:r>
                                </w:p>
                              </w:tc>
                              <w:tc>
                                <w:tcPr>
                                  <w:tcW w:w="1902" w:type="dxa"/>
                                  <w:vAlign w:val="center"/>
                                </w:tcPr>
                                <w:p w14:paraId="36530A3A"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3.</w:t>
                                  </w:r>
                                  <w:r w:rsidRPr="00E736E3">
                                    <w:rPr>
                                      <w:rFonts w:ascii="標楷體" w:eastAsia="標楷體" w:hAnsi="標楷體"/>
                                    </w:rPr>
                                    <w:t>18</w:t>
                                  </w:r>
                                </w:p>
                              </w:tc>
                              <w:tc>
                                <w:tcPr>
                                  <w:tcW w:w="1902" w:type="dxa"/>
                                  <w:vAlign w:val="center"/>
                                </w:tcPr>
                                <w:p w14:paraId="2ABC2DBC"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112.</w:t>
                                  </w:r>
                                  <w:r>
                                    <w:rPr>
                                      <w:rFonts w:ascii="標楷體" w:eastAsia="標楷體" w:hAnsi="標楷體" w:hint="eastAsia"/>
                                    </w:rPr>
                                    <w:t>0</w:t>
                                  </w:r>
                                  <w:r w:rsidRPr="00E736E3">
                                    <w:rPr>
                                      <w:rFonts w:ascii="標楷體" w:eastAsia="標楷體" w:hAnsi="標楷體" w:hint="eastAsia"/>
                                    </w:rPr>
                                    <w:t>6.</w:t>
                                  </w:r>
                                  <w:r>
                                    <w:rPr>
                                      <w:rFonts w:ascii="標楷體" w:eastAsia="標楷體" w:hAnsi="標楷體"/>
                                    </w:rPr>
                                    <w:t>0</w:t>
                                  </w:r>
                                  <w:r w:rsidRPr="00E736E3">
                                    <w:rPr>
                                      <w:rFonts w:ascii="標楷體" w:eastAsia="標楷體" w:hAnsi="標楷體" w:hint="eastAsia"/>
                                    </w:rPr>
                                    <w:t>8</w:t>
                                  </w:r>
                                </w:p>
                              </w:tc>
                              <w:tc>
                                <w:tcPr>
                                  <w:tcW w:w="2061" w:type="dxa"/>
                                  <w:vAlign w:val="center"/>
                                </w:tcPr>
                                <w:p w14:paraId="103356E6"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1年又8</w:t>
                                  </w:r>
                                  <w:r w:rsidRPr="00E736E3">
                                    <w:rPr>
                                      <w:rFonts w:ascii="標楷體" w:eastAsia="標楷體" w:hAnsi="標楷體"/>
                                    </w:rPr>
                                    <w:t>2</w:t>
                                  </w:r>
                                  <w:r w:rsidRPr="00E736E3">
                                    <w:rPr>
                                      <w:rFonts w:ascii="標楷體" w:eastAsia="標楷體" w:hAnsi="標楷體" w:hint="eastAsia"/>
                                    </w:rPr>
                                    <w:t>天</w:t>
                                  </w:r>
                                </w:p>
                              </w:tc>
                              <w:tc>
                                <w:tcPr>
                                  <w:tcW w:w="1268" w:type="dxa"/>
                                  <w:vMerge/>
                                  <w:vAlign w:val="center"/>
                                </w:tcPr>
                                <w:p w14:paraId="1C99619D" w14:textId="77777777" w:rsidR="004551F8" w:rsidRPr="00B23BF7" w:rsidRDefault="004551F8" w:rsidP="00824CD6">
                                  <w:pPr>
                                    <w:overflowPunct w:val="0"/>
                                    <w:spacing w:line="240" w:lineRule="exact"/>
                                    <w:ind w:rightChars="-25" w:right="-60"/>
                                    <w:jc w:val="center"/>
                                    <w:rPr>
                                      <w:rFonts w:ascii="標楷體" w:eastAsia="標楷體" w:hAnsi="標楷體"/>
                                    </w:rPr>
                                  </w:pPr>
                                </w:p>
                              </w:tc>
                            </w:tr>
                            <w:tr w:rsidR="004551F8" w:rsidRPr="007A460C" w14:paraId="522BB3F4" w14:textId="77777777" w:rsidTr="00824CD6">
                              <w:trPr>
                                <w:trHeight w:val="355"/>
                              </w:trPr>
                              <w:tc>
                                <w:tcPr>
                                  <w:tcW w:w="793" w:type="dxa"/>
                                  <w:vAlign w:val="center"/>
                                </w:tcPr>
                                <w:p w14:paraId="6C8FF8FA"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案3</w:t>
                                  </w:r>
                                </w:p>
                              </w:tc>
                              <w:tc>
                                <w:tcPr>
                                  <w:tcW w:w="1902" w:type="dxa"/>
                                  <w:vAlign w:val="center"/>
                                </w:tcPr>
                                <w:p w14:paraId="6A4F84AE"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6.</w:t>
                                  </w:r>
                                  <w:r>
                                    <w:rPr>
                                      <w:rFonts w:ascii="標楷體" w:eastAsia="標楷體" w:hAnsi="標楷體" w:hint="eastAsia"/>
                                    </w:rPr>
                                    <w:t>0</w:t>
                                  </w:r>
                                  <w:r w:rsidRPr="00E736E3">
                                    <w:rPr>
                                      <w:rFonts w:ascii="標楷體" w:eastAsia="標楷體" w:hAnsi="標楷體" w:hint="eastAsia"/>
                                    </w:rPr>
                                    <w:t>9</w:t>
                                  </w:r>
                                </w:p>
                              </w:tc>
                              <w:tc>
                                <w:tcPr>
                                  <w:tcW w:w="1902" w:type="dxa"/>
                                  <w:vAlign w:val="center"/>
                                </w:tcPr>
                                <w:p w14:paraId="07A1FCC7"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112.</w:t>
                                  </w:r>
                                  <w:r>
                                    <w:rPr>
                                      <w:rFonts w:ascii="標楷體" w:eastAsia="標楷體" w:hAnsi="標楷體" w:hint="eastAsia"/>
                                    </w:rPr>
                                    <w:t>0</w:t>
                                  </w:r>
                                  <w:r w:rsidRPr="00E736E3">
                                    <w:rPr>
                                      <w:rFonts w:ascii="標楷體" w:eastAsia="標楷體" w:hAnsi="標楷體" w:hint="eastAsia"/>
                                    </w:rPr>
                                    <w:t>5.16</w:t>
                                  </w:r>
                                </w:p>
                              </w:tc>
                              <w:tc>
                                <w:tcPr>
                                  <w:tcW w:w="2061" w:type="dxa"/>
                                  <w:vAlign w:val="center"/>
                                </w:tcPr>
                                <w:p w14:paraId="6C6B118B"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341天</w:t>
                                  </w:r>
                                </w:p>
                              </w:tc>
                              <w:tc>
                                <w:tcPr>
                                  <w:tcW w:w="1268" w:type="dxa"/>
                                  <w:vMerge/>
                                  <w:vAlign w:val="center"/>
                                </w:tcPr>
                                <w:p w14:paraId="628CE4A0" w14:textId="77777777" w:rsidR="004551F8" w:rsidRPr="007A460C" w:rsidRDefault="004551F8" w:rsidP="00824CD6">
                                  <w:pPr>
                                    <w:spacing w:line="240" w:lineRule="exact"/>
                                    <w:jc w:val="center"/>
                                    <w:rPr>
                                      <w:rFonts w:ascii="標楷體" w:eastAsia="標楷體" w:hAnsi="標楷體"/>
                                      <w:szCs w:val="24"/>
                                    </w:rPr>
                                  </w:pPr>
                                </w:p>
                              </w:tc>
                            </w:tr>
                            <w:tr w:rsidR="004551F8" w:rsidRPr="007A460C" w14:paraId="32268849" w14:textId="77777777" w:rsidTr="00824CD6">
                              <w:trPr>
                                <w:trHeight w:val="355"/>
                              </w:trPr>
                              <w:tc>
                                <w:tcPr>
                                  <w:tcW w:w="793" w:type="dxa"/>
                                  <w:vAlign w:val="center"/>
                                </w:tcPr>
                                <w:p w14:paraId="71A36BB5"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案4</w:t>
                                  </w:r>
                                </w:p>
                              </w:tc>
                              <w:tc>
                                <w:tcPr>
                                  <w:tcW w:w="1902" w:type="dxa"/>
                                  <w:vAlign w:val="center"/>
                                </w:tcPr>
                                <w:p w14:paraId="2567F751"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6.16</w:t>
                                  </w:r>
                                </w:p>
                              </w:tc>
                              <w:tc>
                                <w:tcPr>
                                  <w:tcW w:w="1902" w:type="dxa"/>
                                  <w:vAlign w:val="center"/>
                                </w:tcPr>
                                <w:p w14:paraId="20879BF2"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113.12.</w:t>
                                  </w:r>
                                  <w:r>
                                    <w:rPr>
                                      <w:rFonts w:ascii="標楷體" w:eastAsia="標楷體" w:hAnsi="標楷體"/>
                                    </w:rPr>
                                    <w:t>0</w:t>
                                  </w:r>
                                  <w:r w:rsidRPr="00E736E3">
                                    <w:rPr>
                                      <w:rFonts w:ascii="標楷體" w:eastAsia="標楷體" w:hAnsi="標楷體" w:hint="eastAsia"/>
                                    </w:rPr>
                                    <w:t>5</w:t>
                                  </w:r>
                                </w:p>
                              </w:tc>
                              <w:tc>
                                <w:tcPr>
                                  <w:tcW w:w="2061" w:type="dxa"/>
                                  <w:vAlign w:val="center"/>
                                </w:tcPr>
                                <w:p w14:paraId="0D764B43"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2年又172天</w:t>
                                  </w:r>
                                </w:p>
                              </w:tc>
                              <w:tc>
                                <w:tcPr>
                                  <w:tcW w:w="1268" w:type="dxa"/>
                                  <w:vMerge/>
                                  <w:vAlign w:val="center"/>
                                </w:tcPr>
                                <w:p w14:paraId="0E321399" w14:textId="77777777" w:rsidR="004551F8" w:rsidRPr="007A460C" w:rsidRDefault="004551F8" w:rsidP="00824CD6">
                                  <w:pPr>
                                    <w:overflowPunct w:val="0"/>
                                    <w:spacing w:line="240" w:lineRule="exact"/>
                                    <w:jc w:val="center"/>
                                    <w:rPr>
                                      <w:rFonts w:ascii="標楷體" w:eastAsia="標楷體" w:hAnsi="標楷體"/>
                                      <w:szCs w:val="24"/>
                                    </w:rPr>
                                  </w:pPr>
                                </w:p>
                              </w:tc>
                            </w:tr>
                            <w:tr w:rsidR="004551F8" w:rsidRPr="007A460C" w14:paraId="752BC22C" w14:textId="77777777" w:rsidTr="00824CD6">
                              <w:trPr>
                                <w:trHeight w:val="355"/>
                              </w:trPr>
                              <w:tc>
                                <w:tcPr>
                                  <w:tcW w:w="793" w:type="dxa"/>
                                  <w:vAlign w:val="center"/>
                                </w:tcPr>
                                <w:p w14:paraId="0B4718BD"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案5</w:t>
                                  </w:r>
                                </w:p>
                              </w:tc>
                              <w:tc>
                                <w:tcPr>
                                  <w:tcW w:w="1902" w:type="dxa"/>
                                  <w:vAlign w:val="center"/>
                                </w:tcPr>
                                <w:p w14:paraId="418CB153"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rPr>
                                    <w:t>7</w:t>
                                  </w:r>
                                  <w:r w:rsidRPr="00E736E3">
                                    <w:rPr>
                                      <w:rFonts w:ascii="標楷體" w:eastAsia="標楷體" w:hAnsi="標楷體" w:hint="eastAsia"/>
                                    </w:rPr>
                                    <w:t>.</w:t>
                                  </w:r>
                                  <w:r w:rsidRPr="00E736E3">
                                    <w:rPr>
                                      <w:rFonts w:ascii="標楷體" w:eastAsia="標楷體" w:hAnsi="標楷體"/>
                                    </w:rPr>
                                    <w:t>15</w:t>
                                  </w:r>
                                </w:p>
                              </w:tc>
                              <w:tc>
                                <w:tcPr>
                                  <w:tcW w:w="1902" w:type="dxa"/>
                                  <w:vAlign w:val="center"/>
                                </w:tcPr>
                                <w:p w14:paraId="4D7B8C80"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112.</w:t>
                                  </w:r>
                                  <w:r>
                                    <w:rPr>
                                      <w:rFonts w:ascii="標楷體" w:eastAsia="標楷體" w:hAnsi="標楷體" w:hint="eastAsia"/>
                                    </w:rPr>
                                    <w:t>0</w:t>
                                  </w:r>
                                  <w:r w:rsidRPr="00E736E3">
                                    <w:rPr>
                                      <w:rFonts w:ascii="標楷體" w:eastAsia="標楷體" w:hAnsi="標楷體" w:hint="eastAsia"/>
                                    </w:rPr>
                                    <w:t>9.13</w:t>
                                  </w:r>
                                </w:p>
                              </w:tc>
                              <w:tc>
                                <w:tcPr>
                                  <w:tcW w:w="2061" w:type="dxa"/>
                                  <w:vAlign w:val="center"/>
                                </w:tcPr>
                                <w:p w14:paraId="17C9F20E"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1年又6</w:t>
                                  </w:r>
                                  <w:r w:rsidRPr="00E736E3">
                                    <w:rPr>
                                      <w:rFonts w:ascii="標楷體" w:eastAsia="標楷體" w:hAnsi="標楷體"/>
                                    </w:rPr>
                                    <w:t>0</w:t>
                                  </w:r>
                                  <w:r w:rsidRPr="00E736E3">
                                    <w:rPr>
                                      <w:rFonts w:ascii="標楷體" w:eastAsia="標楷體" w:hAnsi="標楷體" w:hint="eastAsia"/>
                                    </w:rPr>
                                    <w:t>天</w:t>
                                  </w:r>
                                </w:p>
                              </w:tc>
                              <w:tc>
                                <w:tcPr>
                                  <w:tcW w:w="1268" w:type="dxa"/>
                                  <w:vMerge/>
                                  <w:vAlign w:val="center"/>
                                </w:tcPr>
                                <w:p w14:paraId="3957B79D" w14:textId="77777777" w:rsidR="004551F8" w:rsidRPr="007A460C" w:rsidRDefault="004551F8" w:rsidP="00824CD6">
                                  <w:pPr>
                                    <w:overflowPunct w:val="0"/>
                                    <w:spacing w:line="240" w:lineRule="exact"/>
                                    <w:jc w:val="center"/>
                                    <w:rPr>
                                      <w:rFonts w:ascii="標楷體" w:eastAsia="標楷體" w:hAnsi="標楷體"/>
                                      <w:szCs w:val="24"/>
                                    </w:rPr>
                                  </w:pPr>
                                </w:p>
                              </w:tc>
                            </w:tr>
                            <w:tr w:rsidR="004551F8" w:rsidRPr="007A460C" w14:paraId="18F4E383" w14:textId="77777777" w:rsidTr="00824CD6">
                              <w:trPr>
                                <w:trHeight w:val="355"/>
                              </w:trPr>
                              <w:tc>
                                <w:tcPr>
                                  <w:tcW w:w="793" w:type="dxa"/>
                                  <w:vAlign w:val="center"/>
                                </w:tcPr>
                                <w:p w14:paraId="2AC4FE68"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案6</w:t>
                                  </w:r>
                                </w:p>
                              </w:tc>
                              <w:tc>
                                <w:tcPr>
                                  <w:tcW w:w="1902" w:type="dxa"/>
                                  <w:vAlign w:val="center"/>
                                </w:tcPr>
                                <w:p w14:paraId="6260AF53"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113.</w:t>
                                  </w:r>
                                  <w:r>
                                    <w:rPr>
                                      <w:rFonts w:ascii="標楷體" w:eastAsia="標楷體" w:hAnsi="標楷體" w:hint="eastAsia"/>
                                    </w:rPr>
                                    <w:t>0</w:t>
                                  </w:r>
                                  <w:r w:rsidRPr="00E736E3">
                                    <w:rPr>
                                      <w:rFonts w:ascii="標楷體" w:eastAsia="標楷體" w:hAnsi="標楷體" w:hint="eastAsia"/>
                                    </w:rPr>
                                    <w:t>6.24</w:t>
                                  </w:r>
                                </w:p>
                              </w:tc>
                              <w:tc>
                                <w:tcPr>
                                  <w:tcW w:w="1902" w:type="dxa"/>
                                  <w:vAlign w:val="center"/>
                                </w:tcPr>
                                <w:p w14:paraId="3232F14C"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113.</w:t>
                                  </w:r>
                                  <w:r>
                                    <w:rPr>
                                      <w:rFonts w:ascii="標楷體" w:eastAsia="標楷體" w:hAnsi="標楷體" w:hint="eastAsia"/>
                                    </w:rPr>
                                    <w:t>0</w:t>
                                  </w:r>
                                  <w:r w:rsidRPr="00E736E3">
                                    <w:rPr>
                                      <w:rFonts w:ascii="標楷體" w:eastAsia="標楷體" w:hAnsi="標楷體" w:hint="eastAsia"/>
                                    </w:rPr>
                                    <w:t>9.18</w:t>
                                  </w:r>
                                </w:p>
                              </w:tc>
                              <w:tc>
                                <w:tcPr>
                                  <w:tcW w:w="2061" w:type="dxa"/>
                                  <w:vAlign w:val="center"/>
                                </w:tcPr>
                                <w:p w14:paraId="675FCAE5"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86天</w:t>
                                  </w:r>
                                </w:p>
                              </w:tc>
                              <w:tc>
                                <w:tcPr>
                                  <w:tcW w:w="1268" w:type="dxa"/>
                                  <w:vMerge/>
                                  <w:vAlign w:val="center"/>
                                </w:tcPr>
                                <w:p w14:paraId="60F7AEAC" w14:textId="77777777" w:rsidR="004551F8" w:rsidRPr="007A460C" w:rsidRDefault="004551F8" w:rsidP="00824CD6">
                                  <w:pPr>
                                    <w:spacing w:line="240" w:lineRule="exact"/>
                                    <w:jc w:val="center"/>
                                    <w:rPr>
                                      <w:rFonts w:ascii="標楷體" w:eastAsia="標楷體" w:hAnsi="標楷體"/>
                                      <w:szCs w:val="24"/>
                                    </w:rPr>
                                  </w:pPr>
                                </w:p>
                              </w:tc>
                            </w:tr>
                            <w:tr w:rsidR="004551F8" w:rsidRPr="007A460C" w14:paraId="2542818A" w14:textId="77777777" w:rsidTr="00824CD6">
                              <w:trPr>
                                <w:trHeight w:val="355"/>
                              </w:trPr>
                              <w:tc>
                                <w:tcPr>
                                  <w:tcW w:w="793" w:type="dxa"/>
                                  <w:vAlign w:val="center"/>
                                </w:tcPr>
                                <w:p w14:paraId="05C8E911"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案7</w:t>
                                  </w:r>
                                </w:p>
                              </w:tc>
                              <w:tc>
                                <w:tcPr>
                                  <w:tcW w:w="1902" w:type="dxa"/>
                                  <w:vAlign w:val="center"/>
                                </w:tcPr>
                                <w:p w14:paraId="07A1E7CD"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113.</w:t>
                                  </w:r>
                                  <w:r>
                                    <w:rPr>
                                      <w:rFonts w:ascii="標楷體" w:eastAsia="標楷體" w:hAnsi="標楷體" w:hint="eastAsia"/>
                                    </w:rPr>
                                    <w:t>0</w:t>
                                  </w:r>
                                  <w:r w:rsidRPr="00E736E3">
                                    <w:rPr>
                                      <w:rFonts w:ascii="標楷體" w:eastAsia="標楷體" w:hAnsi="標楷體" w:hint="eastAsia"/>
                                    </w:rPr>
                                    <w:t>8.</w:t>
                                  </w:r>
                                  <w:r>
                                    <w:rPr>
                                      <w:rFonts w:ascii="標楷體" w:eastAsia="標楷體" w:hAnsi="標楷體" w:hint="eastAsia"/>
                                    </w:rPr>
                                    <w:t>0</w:t>
                                  </w:r>
                                  <w:r w:rsidRPr="00E736E3">
                                    <w:rPr>
                                      <w:rFonts w:ascii="標楷體" w:eastAsia="標楷體" w:hAnsi="標楷體" w:hint="eastAsia"/>
                                    </w:rPr>
                                    <w:t>2</w:t>
                                  </w:r>
                                </w:p>
                              </w:tc>
                              <w:tc>
                                <w:tcPr>
                                  <w:tcW w:w="1902" w:type="dxa"/>
                                  <w:vAlign w:val="center"/>
                                </w:tcPr>
                                <w:p w14:paraId="694666E8"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113.</w:t>
                                  </w:r>
                                  <w:r>
                                    <w:rPr>
                                      <w:rFonts w:ascii="標楷體" w:eastAsia="標楷體" w:hAnsi="標楷體" w:hint="eastAsia"/>
                                    </w:rPr>
                                    <w:t>0</w:t>
                                  </w:r>
                                  <w:r w:rsidRPr="00E736E3">
                                    <w:rPr>
                                      <w:rFonts w:ascii="標楷體" w:eastAsia="標楷體" w:hAnsi="標楷體" w:hint="eastAsia"/>
                                    </w:rPr>
                                    <w:t>9.</w:t>
                                  </w:r>
                                  <w:r>
                                    <w:rPr>
                                      <w:rFonts w:ascii="標楷體" w:eastAsia="標楷體" w:hAnsi="標楷體" w:hint="eastAsia"/>
                                    </w:rPr>
                                    <w:t>0</w:t>
                                  </w:r>
                                  <w:r w:rsidRPr="00E736E3">
                                    <w:rPr>
                                      <w:rFonts w:ascii="標楷體" w:eastAsia="標楷體" w:hAnsi="標楷體" w:hint="eastAsia"/>
                                    </w:rPr>
                                    <w:t>9</w:t>
                                  </w:r>
                                </w:p>
                              </w:tc>
                              <w:tc>
                                <w:tcPr>
                                  <w:tcW w:w="2061" w:type="dxa"/>
                                  <w:vAlign w:val="center"/>
                                </w:tcPr>
                                <w:p w14:paraId="4CE6BE67"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38天</w:t>
                                  </w:r>
                                </w:p>
                              </w:tc>
                              <w:tc>
                                <w:tcPr>
                                  <w:tcW w:w="1268" w:type="dxa"/>
                                  <w:vMerge/>
                                  <w:vAlign w:val="center"/>
                                </w:tcPr>
                                <w:p w14:paraId="4B235361" w14:textId="77777777" w:rsidR="004551F8" w:rsidRPr="007A460C" w:rsidRDefault="004551F8" w:rsidP="00824CD6">
                                  <w:pPr>
                                    <w:spacing w:line="240" w:lineRule="exact"/>
                                    <w:jc w:val="center"/>
                                    <w:rPr>
                                      <w:rFonts w:ascii="標楷體" w:eastAsia="標楷體" w:hAnsi="標楷體"/>
                                      <w:szCs w:val="24"/>
                                    </w:rPr>
                                  </w:pPr>
                                </w:p>
                              </w:tc>
                            </w:tr>
                            <w:tr w:rsidR="004551F8" w:rsidRPr="007A460C" w14:paraId="3CA93297" w14:textId="77777777" w:rsidTr="00824CD6">
                              <w:trPr>
                                <w:trHeight w:val="355"/>
                              </w:trPr>
                              <w:tc>
                                <w:tcPr>
                                  <w:tcW w:w="793" w:type="dxa"/>
                                  <w:vAlign w:val="center"/>
                                </w:tcPr>
                                <w:p w14:paraId="037041AF" w14:textId="77777777" w:rsidR="004551F8" w:rsidRDefault="004551F8" w:rsidP="00824CD6">
                                  <w:pPr>
                                    <w:spacing w:line="240" w:lineRule="exact"/>
                                    <w:jc w:val="center"/>
                                    <w:rPr>
                                      <w:rFonts w:ascii="標楷體" w:eastAsia="標楷體" w:hAnsi="標楷體"/>
                                    </w:rPr>
                                  </w:pPr>
                                  <w:r>
                                    <w:rPr>
                                      <w:rFonts w:ascii="標楷體" w:eastAsia="標楷體" w:hAnsi="標楷體" w:hint="eastAsia"/>
                                    </w:rPr>
                                    <w:t>案8</w:t>
                                  </w:r>
                                </w:p>
                              </w:tc>
                              <w:tc>
                                <w:tcPr>
                                  <w:tcW w:w="1902" w:type="dxa"/>
                                  <w:vAlign w:val="center"/>
                                </w:tcPr>
                                <w:p w14:paraId="0494930C"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2.10</w:t>
                                  </w:r>
                                </w:p>
                              </w:tc>
                              <w:tc>
                                <w:tcPr>
                                  <w:tcW w:w="1902" w:type="dxa"/>
                                  <w:vAlign w:val="center"/>
                                </w:tcPr>
                                <w:p w14:paraId="52D9D6E0"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3.23</w:t>
                                  </w:r>
                                </w:p>
                              </w:tc>
                              <w:tc>
                                <w:tcPr>
                                  <w:tcW w:w="2061" w:type="dxa"/>
                                  <w:vAlign w:val="center"/>
                                </w:tcPr>
                                <w:p w14:paraId="0A152CF7"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41天</w:t>
                                  </w:r>
                                </w:p>
                              </w:tc>
                              <w:tc>
                                <w:tcPr>
                                  <w:tcW w:w="1268" w:type="dxa"/>
                                  <w:vAlign w:val="center"/>
                                </w:tcPr>
                                <w:p w14:paraId="696AAE2F" w14:textId="77777777" w:rsidR="004551F8" w:rsidRPr="000D1FB2" w:rsidRDefault="004551F8" w:rsidP="00824CD6">
                                  <w:pPr>
                                    <w:overflowPunct w:val="0"/>
                                    <w:spacing w:line="240" w:lineRule="exact"/>
                                    <w:ind w:rightChars="-25" w:right="-60"/>
                                    <w:jc w:val="center"/>
                                    <w:rPr>
                                      <w:rFonts w:ascii="標楷體" w:eastAsia="標楷體" w:hAnsi="標楷體"/>
                                    </w:rPr>
                                  </w:pPr>
                                  <w:r>
                                    <w:rPr>
                                      <w:rFonts w:ascii="標楷體" w:eastAsia="標楷體" w:hAnsi="標楷體" w:hint="eastAsia"/>
                                    </w:rPr>
                                    <w:t>罰款</w:t>
                                  </w:r>
                                  <w:r w:rsidRPr="00B23BF7">
                                    <w:rPr>
                                      <w:rFonts w:ascii="標楷體" w:eastAsia="標楷體" w:hAnsi="標楷體" w:hint="eastAsia"/>
                                    </w:rPr>
                                    <w:t>5萬元</w:t>
                                  </w:r>
                                </w:p>
                              </w:tc>
                            </w:tr>
                          </w:tbl>
                          <w:p w14:paraId="4206ABD0" w14:textId="77777777" w:rsidR="004551F8" w:rsidRPr="00940B81" w:rsidRDefault="004551F8" w:rsidP="004551F8">
                            <w:pPr>
                              <w:rPr>
                                <w:rFonts w:ascii="標楷體" w:eastAsia="標楷體" w:hAnsi="標楷體"/>
                                <w:sz w:val="18"/>
                                <w:szCs w:val="16"/>
                              </w:rPr>
                            </w:pPr>
                            <w:r w:rsidRPr="00940B81">
                              <w:rPr>
                                <w:rFonts w:ascii="標楷體" w:eastAsia="標楷體" w:hAnsi="標楷體" w:hint="eastAsia"/>
                                <w:sz w:val="18"/>
                                <w:szCs w:val="16"/>
                              </w:rPr>
                              <w:t>資料來源：整理自勞動檢查處提供資料。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614A68" id="文字方塊 1" o:spid="_x0000_s1109" type="#_x0000_t202" style="position:absolute;left:0;text-align:left;margin-left:88.4pt;margin-top:169.8pt;width:410.75pt;height:216.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" fillcolor="window" stroked="f" strokeweight=".5pt">
                <v:textbox>
                  <w:txbxContent>
                    <w:p w14:paraId="4C6E7475" w14:textId="77777777" w:rsidR="004551F8" w:rsidRDefault="004551F8" w:rsidP="004551F8">
                      <w:pPr>
                        <w:jc w:val="center"/>
                        <w:rPr>
                          <w:rFonts w:ascii="標楷體" w:eastAsia="標楷體" w:hAnsi="標楷體"/>
                          <w:b/>
                          <w:bCs/>
                          <w:kern w:val="0"/>
                          <w:szCs w:val="24"/>
                        </w:rPr>
                      </w:pPr>
                      <w:r w:rsidRPr="00E736E3">
                        <w:rPr>
                          <w:rFonts w:ascii="標楷體" w:eastAsia="標楷體" w:hAnsi="標楷體" w:hint="eastAsia"/>
                          <w:b/>
                          <w:bCs/>
                          <w:szCs w:val="24"/>
                        </w:rPr>
                        <w:t>表</w:t>
                      </w:r>
                      <w:r>
                        <w:rPr>
                          <w:rFonts w:ascii="標楷體" w:eastAsia="標楷體" w:hAnsi="標楷體"/>
                          <w:b/>
                          <w:bCs/>
                          <w:szCs w:val="24"/>
                        </w:rPr>
                        <w:t>3</w:t>
                      </w:r>
                      <w:r w:rsidRPr="00E736E3">
                        <w:rPr>
                          <w:rFonts w:ascii="標楷體" w:eastAsia="標楷體" w:hAnsi="標楷體" w:hint="eastAsia"/>
                          <w:b/>
                          <w:bCs/>
                          <w:szCs w:val="24"/>
                        </w:rPr>
                        <w:t xml:space="preserve">  111至113年度事業單位</w:t>
                      </w:r>
                      <w:r>
                        <w:rPr>
                          <w:rFonts w:ascii="標楷體" w:eastAsia="標楷體" w:hAnsi="標楷體" w:hint="eastAsia"/>
                          <w:b/>
                          <w:bCs/>
                          <w:szCs w:val="24"/>
                        </w:rPr>
                        <w:t>未預防職場不法侵害案件</w:t>
                      </w:r>
                      <w:r w:rsidRPr="00E736E3">
                        <w:rPr>
                          <w:rFonts w:ascii="標楷體" w:eastAsia="標楷體" w:hAnsi="標楷體" w:hint="eastAsia"/>
                          <w:b/>
                          <w:bCs/>
                          <w:kern w:val="0"/>
                          <w:szCs w:val="24"/>
                        </w:rPr>
                        <w:t>之</w:t>
                      </w:r>
                      <w:proofErr w:type="gramStart"/>
                      <w:r>
                        <w:rPr>
                          <w:rFonts w:ascii="標楷體" w:eastAsia="標楷體" w:hAnsi="標楷體" w:hint="eastAsia"/>
                          <w:b/>
                          <w:bCs/>
                          <w:kern w:val="0"/>
                          <w:szCs w:val="24"/>
                        </w:rPr>
                        <w:t>勞</w:t>
                      </w:r>
                      <w:proofErr w:type="gramEnd"/>
                      <w:r>
                        <w:rPr>
                          <w:rFonts w:ascii="標楷體" w:eastAsia="標楷體" w:hAnsi="標楷體" w:hint="eastAsia"/>
                          <w:b/>
                          <w:bCs/>
                          <w:kern w:val="0"/>
                          <w:szCs w:val="24"/>
                        </w:rPr>
                        <w:t>檢及</w:t>
                      </w:r>
                      <w:r w:rsidRPr="00E736E3">
                        <w:rPr>
                          <w:rFonts w:ascii="標楷體" w:eastAsia="標楷體" w:hAnsi="標楷體" w:hint="eastAsia"/>
                          <w:b/>
                          <w:bCs/>
                          <w:kern w:val="0"/>
                          <w:szCs w:val="24"/>
                        </w:rPr>
                        <w:t>裁罰</w:t>
                      </w:r>
                      <w:r>
                        <w:rPr>
                          <w:rFonts w:ascii="標楷體" w:eastAsia="標楷體" w:hAnsi="標楷體" w:hint="eastAsia"/>
                          <w:b/>
                          <w:bCs/>
                          <w:kern w:val="0"/>
                          <w:szCs w:val="24"/>
                        </w:rPr>
                        <w:t>情形</w:t>
                      </w:r>
                    </w:p>
                    <w:tbl>
                      <w:tblPr>
                        <w:tblStyle w:val="35"/>
                        <w:tblW w:w="7926" w:type="dxa"/>
                        <w:tblInd w:w="-5" w:type="dxa"/>
                        <w:tblLook w:val="04A0" w:firstRow="1" w:lastRow="0" w:firstColumn="1" w:lastColumn="0" w:noHBand="0" w:noVBand="1"/>
                      </w:tblPr>
                      <w:tblGrid>
                        <w:gridCol w:w="793"/>
                        <w:gridCol w:w="1902"/>
                        <w:gridCol w:w="1902"/>
                        <w:gridCol w:w="2061"/>
                        <w:gridCol w:w="1268"/>
                      </w:tblGrid>
                      <w:tr w:rsidR="004551F8" w:rsidRPr="007A460C" w14:paraId="777C1C77" w14:textId="77777777" w:rsidTr="00824CD6">
                        <w:trPr>
                          <w:trHeight w:val="347"/>
                        </w:trPr>
                        <w:tc>
                          <w:tcPr>
                            <w:tcW w:w="793" w:type="dxa"/>
                            <w:vAlign w:val="center"/>
                          </w:tcPr>
                          <w:p w14:paraId="44767BC7" w14:textId="77777777" w:rsidR="004551F8" w:rsidRPr="004B1BF5" w:rsidRDefault="004551F8" w:rsidP="00824CD6">
                            <w:pPr>
                              <w:spacing w:line="240" w:lineRule="exact"/>
                              <w:jc w:val="center"/>
                              <w:rPr>
                                <w:rFonts w:ascii="標楷體" w:eastAsia="標楷體" w:hAnsi="標楷體"/>
                              </w:rPr>
                            </w:pPr>
                            <w:r>
                              <w:rPr>
                                <w:rFonts w:ascii="標楷體" w:eastAsia="標楷體" w:hAnsi="標楷體" w:hint="eastAsia"/>
                              </w:rPr>
                              <w:t>案</w:t>
                            </w:r>
                            <w:r w:rsidRPr="004B1BF5">
                              <w:rPr>
                                <w:rFonts w:ascii="標楷體" w:eastAsia="標楷體" w:hAnsi="標楷體" w:hint="eastAsia"/>
                              </w:rPr>
                              <w:t>號</w:t>
                            </w:r>
                          </w:p>
                        </w:tc>
                        <w:tc>
                          <w:tcPr>
                            <w:tcW w:w="1902" w:type="dxa"/>
                            <w:vAlign w:val="center"/>
                          </w:tcPr>
                          <w:p w14:paraId="107761E1" w14:textId="77777777" w:rsidR="004551F8"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第1次</w:t>
                            </w:r>
                            <w:proofErr w:type="gramStart"/>
                            <w:r w:rsidRPr="00E736E3">
                              <w:rPr>
                                <w:rFonts w:ascii="標楷體" w:eastAsia="標楷體" w:hAnsi="標楷體" w:hint="eastAsia"/>
                              </w:rPr>
                              <w:t>勞</w:t>
                            </w:r>
                            <w:proofErr w:type="gramEnd"/>
                            <w:r w:rsidRPr="00E736E3">
                              <w:rPr>
                                <w:rFonts w:ascii="標楷體" w:eastAsia="標楷體" w:hAnsi="標楷體" w:hint="eastAsia"/>
                              </w:rPr>
                              <w:t>檢時點</w:t>
                            </w:r>
                          </w:p>
                          <w:p w14:paraId="4EF2AD62" w14:textId="77777777" w:rsidR="004551F8" w:rsidRPr="00E736E3" w:rsidRDefault="004551F8" w:rsidP="00824CD6">
                            <w:pPr>
                              <w:overflowPunct w:val="0"/>
                              <w:spacing w:line="240" w:lineRule="exact"/>
                              <w:jc w:val="center"/>
                              <w:rPr>
                                <w:rFonts w:ascii="標楷體" w:eastAsia="標楷體" w:hAnsi="標楷體"/>
                              </w:rPr>
                            </w:pPr>
                            <w:r>
                              <w:rPr>
                                <w:rFonts w:ascii="標楷體" w:eastAsia="標楷體" w:hAnsi="標楷體" w:hint="eastAsia"/>
                              </w:rPr>
                              <w:t>（發現違失）</w:t>
                            </w:r>
                          </w:p>
                        </w:tc>
                        <w:tc>
                          <w:tcPr>
                            <w:tcW w:w="1902" w:type="dxa"/>
                            <w:vAlign w:val="center"/>
                          </w:tcPr>
                          <w:p w14:paraId="4EF26EBA" w14:textId="77777777" w:rsidR="004551F8"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第2次</w:t>
                            </w:r>
                            <w:proofErr w:type="gramStart"/>
                            <w:r w:rsidRPr="00E736E3">
                              <w:rPr>
                                <w:rFonts w:ascii="標楷體" w:eastAsia="標楷體" w:hAnsi="標楷體" w:hint="eastAsia"/>
                              </w:rPr>
                              <w:t>勞</w:t>
                            </w:r>
                            <w:proofErr w:type="gramEnd"/>
                            <w:r w:rsidRPr="00E736E3">
                              <w:rPr>
                                <w:rFonts w:ascii="標楷體" w:eastAsia="標楷體" w:hAnsi="標楷體" w:hint="eastAsia"/>
                              </w:rPr>
                              <w:t>檢時點</w:t>
                            </w:r>
                          </w:p>
                          <w:p w14:paraId="458EC583" w14:textId="77777777" w:rsidR="004551F8" w:rsidRPr="00E736E3" w:rsidRDefault="004551F8" w:rsidP="00824CD6">
                            <w:pPr>
                              <w:overflowPunct w:val="0"/>
                              <w:spacing w:line="240" w:lineRule="exact"/>
                              <w:jc w:val="center"/>
                              <w:rPr>
                                <w:rFonts w:ascii="標楷體" w:eastAsia="標楷體" w:hAnsi="標楷體"/>
                              </w:rPr>
                            </w:pPr>
                            <w:r>
                              <w:rPr>
                                <w:rFonts w:ascii="標楷體" w:eastAsia="標楷體" w:hAnsi="標楷體" w:hint="eastAsia"/>
                              </w:rPr>
                              <w:t>（辦理複查）</w:t>
                            </w:r>
                          </w:p>
                        </w:tc>
                        <w:tc>
                          <w:tcPr>
                            <w:tcW w:w="2061" w:type="dxa"/>
                            <w:vAlign w:val="center"/>
                          </w:tcPr>
                          <w:p w14:paraId="113C1AAB"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兩次</w:t>
                            </w:r>
                            <w:proofErr w:type="gramStart"/>
                            <w:r w:rsidRPr="00E736E3">
                              <w:rPr>
                                <w:rFonts w:ascii="標楷體" w:eastAsia="標楷體" w:hAnsi="標楷體" w:hint="eastAsia"/>
                              </w:rPr>
                              <w:t>勞</w:t>
                            </w:r>
                            <w:proofErr w:type="gramEnd"/>
                            <w:r w:rsidRPr="00E736E3">
                              <w:rPr>
                                <w:rFonts w:ascii="標楷體" w:eastAsia="標楷體" w:hAnsi="標楷體" w:hint="eastAsia"/>
                              </w:rPr>
                              <w:t>檢間隔時間</w:t>
                            </w:r>
                          </w:p>
                        </w:tc>
                        <w:tc>
                          <w:tcPr>
                            <w:tcW w:w="1268" w:type="dxa"/>
                            <w:vAlign w:val="center"/>
                          </w:tcPr>
                          <w:p w14:paraId="49D7D110" w14:textId="77777777" w:rsidR="004551F8" w:rsidRPr="00B23BF7" w:rsidRDefault="004551F8" w:rsidP="00824CD6">
                            <w:pPr>
                              <w:overflowPunct w:val="0"/>
                              <w:spacing w:line="240" w:lineRule="exact"/>
                              <w:ind w:rightChars="-25" w:right="-60"/>
                              <w:jc w:val="center"/>
                              <w:rPr>
                                <w:rFonts w:ascii="標楷體" w:eastAsia="標楷體" w:hAnsi="標楷體"/>
                              </w:rPr>
                            </w:pPr>
                            <w:r w:rsidRPr="00B23BF7">
                              <w:rPr>
                                <w:rFonts w:ascii="標楷體" w:eastAsia="標楷體" w:hAnsi="標楷體" w:hint="eastAsia"/>
                              </w:rPr>
                              <w:t>裁罰</w:t>
                            </w:r>
                          </w:p>
                        </w:tc>
                      </w:tr>
                      <w:tr w:rsidR="004551F8" w:rsidRPr="007A460C" w14:paraId="3909F235" w14:textId="77777777" w:rsidTr="00824CD6">
                        <w:trPr>
                          <w:trHeight w:val="355"/>
                        </w:trPr>
                        <w:tc>
                          <w:tcPr>
                            <w:tcW w:w="793" w:type="dxa"/>
                            <w:vAlign w:val="center"/>
                          </w:tcPr>
                          <w:p w14:paraId="6F5CF046"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w:t>
                            </w:r>
                            <w:r w:rsidRPr="00E736E3">
                              <w:rPr>
                                <w:rFonts w:ascii="標楷體" w:eastAsia="標楷體" w:hAnsi="標楷體" w:hint="eastAsia"/>
                              </w:rPr>
                              <w:t>1</w:t>
                            </w:r>
                          </w:p>
                        </w:tc>
                        <w:tc>
                          <w:tcPr>
                            <w:tcW w:w="1902" w:type="dxa"/>
                            <w:vAlign w:val="center"/>
                          </w:tcPr>
                          <w:p w14:paraId="5B7A8EC3"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110.</w:t>
                            </w:r>
                            <w:r>
                              <w:rPr>
                                <w:rFonts w:ascii="標楷體" w:eastAsia="標楷體" w:hAnsi="標楷體" w:hint="eastAsia"/>
                              </w:rPr>
                              <w:t>0</w:t>
                            </w:r>
                            <w:r w:rsidRPr="00E736E3">
                              <w:rPr>
                                <w:rFonts w:ascii="標楷體" w:eastAsia="標楷體" w:hAnsi="標楷體" w:hint="eastAsia"/>
                              </w:rPr>
                              <w:t>8.10</w:t>
                            </w:r>
                          </w:p>
                        </w:tc>
                        <w:tc>
                          <w:tcPr>
                            <w:tcW w:w="1902" w:type="dxa"/>
                            <w:vAlign w:val="center"/>
                          </w:tcPr>
                          <w:p w14:paraId="07C3A6E2"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2.10</w:t>
                            </w:r>
                          </w:p>
                        </w:tc>
                        <w:tc>
                          <w:tcPr>
                            <w:tcW w:w="2061" w:type="dxa"/>
                            <w:vAlign w:val="center"/>
                          </w:tcPr>
                          <w:p w14:paraId="77E5EFFC"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184天</w:t>
                            </w:r>
                          </w:p>
                        </w:tc>
                        <w:tc>
                          <w:tcPr>
                            <w:tcW w:w="1268" w:type="dxa"/>
                            <w:vMerge w:val="restart"/>
                            <w:vAlign w:val="center"/>
                          </w:tcPr>
                          <w:p w14:paraId="4B34861D" w14:textId="77777777" w:rsidR="004551F8" w:rsidRPr="00B23BF7" w:rsidRDefault="004551F8" w:rsidP="00824CD6">
                            <w:pPr>
                              <w:overflowPunct w:val="0"/>
                              <w:spacing w:line="240" w:lineRule="exact"/>
                              <w:ind w:rightChars="-25" w:right="-60"/>
                              <w:jc w:val="center"/>
                              <w:rPr>
                                <w:rFonts w:ascii="標楷體" w:eastAsia="標楷體" w:hAnsi="標楷體"/>
                              </w:rPr>
                            </w:pPr>
                            <w:r>
                              <w:rPr>
                                <w:rFonts w:ascii="標楷體" w:eastAsia="標楷體" w:hAnsi="標楷體" w:hint="eastAsia"/>
                              </w:rPr>
                              <w:t>罰款</w:t>
                            </w:r>
                            <w:r w:rsidRPr="00B23BF7">
                              <w:rPr>
                                <w:rFonts w:ascii="標楷體" w:eastAsia="標楷體" w:hAnsi="標楷體" w:hint="eastAsia"/>
                              </w:rPr>
                              <w:t>3萬元</w:t>
                            </w:r>
                          </w:p>
                        </w:tc>
                      </w:tr>
                      <w:tr w:rsidR="004551F8" w:rsidRPr="007A460C" w14:paraId="43429662" w14:textId="77777777" w:rsidTr="00824CD6">
                        <w:trPr>
                          <w:trHeight w:val="355"/>
                        </w:trPr>
                        <w:tc>
                          <w:tcPr>
                            <w:tcW w:w="793" w:type="dxa"/>
                            <w:vAlign w:val="center"/>
                          </w:tcPr>
                          <w:p w14:paraId="4D9DB5C4"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案2</w:t>
                            </w:r>
                          </w:p>
                        </w:tc>
                        <w:tc>
                          <w:tcPr>
                            <w:tcW w:w="1902" w:type="dxa"/>
                            <w:vAlign w:val="center"/>
                          </w:tcPr>
                          <w:p w14:paraId="36530A3A"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3.</w:t>
                            </w:r>
                            <w:r w:rsidRPr="00E736E3">
                              <w:rPr>
                                <w:rFonts w:ascii="標楷體" w:eastAsia="標楷體" w:hAnsi="標楷體"/>
                              </w:rPr>
                              <w:t>18</w:t>
                            </w:r>
                          </w:p>
                        </w:tc>
                        <w:tc>
                          <w:tcPr>
                            <w:tcW w:w="1902" w:type="dxa"/>
                            <w:vAlign w:val="center"/>
                          </w:tcPr>
                          <w:p w14:paraId="2ABC2DBC"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112.</w:t>
                            </w:r>
                            <w:r>
                              <w:rPr>
                                <w:rFonts w:ascii="標楷體" w:eastAsia="標楷體" w:hAnsi="標楷體" w:hint="eastAsia"/>
                              </w:rPr>
                              <w:t>0</w:t>
                            </w:r>
                            <w:r w:rsidRPr="00E736E3">
                              <w:rPr>
                                <w:rFonts w:ascii="標楷體" w:eastAsia="標楷體" w:hAnsi="標楷體" w:hint="eastAsia"/>
                              </w:rPr>
                              <w:t>6.</w:t>
                            </w:r>
                            <w:r>
                              <w:rPr>
                                <w:rFonts w:ascii="標楷體" w:eastAsia="標楷體" w:hAnsi="標楷體"/>
                              </w:rPr>
                              <w:t>0</w:t>
                            </w:r>
                            <w:r w:rsidRPr="00E736E3">
                              <w:rPr>
                                <w:rFonts w:ascii="標楷體" w:eastAsia="標楷體" w:hAnsi="標楷體" w:hint="eastAsia"/>
                              </w:rPr>
                              <w:t>8</w:t>
                            </w:r>
                          </w:p>
                        </w:tc>
                        <w:tc>
                          <w:tcPr>
                            <w:tcW w:w="2061" w:type="dxa"/>
                            <w:vAlign w:val="center"/>
                          </w:tcPr>
                          <w:p w14:paraId="103356E6"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1年又8</w:t>
                            </w:r>
                            <w:r w:rsidRPr="00E736E3">
                              <w:rPr>
                                <w:rFonts w:ascii="標楷體" w:eastAsia="標楷體" w:hAnsi="標楷體"/>
                              </w:rPr>
                              <w:t>2</w:t>
                            </w:r>
                            <w:r w:rsidRPr="00E736E3">
                              <w:rPr>
                                <w:rFonts w:ascii="標楷體" w:eastAsia="標楷體" w:hAnsi="標楷體" w:hint="eastAsia"/>
                              </w:rPr>
                              <w:t>天</w:t>
                            </w:r>
                          </w:p>
                        </w:tc>
                        <w:tc>
                          <w:tcPr>
                            <w:tcW w:w="1268" w:type="dxa"/>
                            <w:vMerge/>
                            <w:vAlign w:val="center"/>
                          </w:tcPr>
                          <w:p w14:paraId="1C99619D" w14:textId="77777777" w:rsidR="004551F8" w:rsidRPr="00B23BF7" w:rsidRDefault="004551F8" w:rsidP="00824CD6">
                            <w:pPr>
                              <w:overflowPunct w:val="0"/>
                              <w:spacing w:line="240" w:lineRule="exact"/>
                              <w:ind w:rightChars="-25" w:right="-60"/>
                              <w:jc w:val="center"/>
                              <w:rPr>
                                <w:rFonts w:ascii="標楷體" w:eastAsia="標楷體" w:hAnsi="標楷體"/>
                              </w:rPr>
                            </w:pPr>
                          </w:p>
                        </w:tc>
                      </w:tr>
                      <w:tr w:rsidR="004551F8" w:rsidRPr="007A460C" w14:paraId="522BB3F4" w14:textId="77777777" w:rsidTr="00824CD6">
                        <w:trPr>
                          <w:trHeight w:val="355"/>
                        </w:trPr>
                        <w:tc>
                          <w:tcPr>
                            <w:tcW w:w="793" w:type="dxa"/>
                            <w:vAlign w:val="center"/>
                          </w:tcPr>
                          <w:p w14:paraId="6C8FF8FA"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案3</w:t>
                            </w:r>
                          </w:p>
                        </w:tc>
                        <w:tc>
                          <w:tcPr>
                            <w:tcW w:w="1902" w:type="dxa"/>
                            <w:vAlign w:val="center"/>
                          </w:tcPr>
                          <w:p w14:paraId="6A4F84AE"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6.</w:t>
                            </w:r>
                            <w:r>
                              <w:rPr>
                                <w:rFonts w:ascii="標楷體" w:eastAsia="標楷體" w:hAnsi="標楷體" w:hint="eastAsia"/>
                              </w:rPr>
                              <w:t>0</w:t>
                            </w:r>
                            <w:r w:rsidRPr="00E736E3">
                              <w:rPr>
                                <w:rFonts w:ascii="標楷體" w:eastAsia="標楷體" w:hAnsi="標楷體" w:hint="eastAsia"/>
                              </w:rPr>
                              <w:t>9</w:t>
                            </w:r>
                          </w:p>
                        </w:tc>
                        <w:tc>
                          <w:tcPr>
                            <w:tcW w:w="1902" w:type="dxa"/>
                            <w:vAlign w:val="center"/>
                          </w:tcPr>
                          <w:p w14:paraId="07A1FCC7"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112.</w:t>
                            </w:r>
                            <w:r>
                              <w:rPr>
                                <w:rFonts w:ascii="標楷體" w:eastAsia="標楷體" w:hAnsi="標楷體" w:hint="eastAsia"/>
                              </w:rPr>
                              <w:t>0</w:t>
                            </w:r>
                            <w:r w:rsidRPr="00E736E3">
                              <w:rPr>
                                <w:rFonts w:ascii="標楷體" w:eastAsia="標楷體" w:hAnsi="標楷體" w:hint="eastAsia"/>
                              </w:rPr>
                              <w:t>5.16</w:t>
                            </w:r>
                          </w:p>
                        </w:tc>
                        <w:tc>
                          <w:tcPr>
                            <w:tcW w:w="2061" w:type="dxa"/>
                            <w:vAlign w:val="center"/>
                          </w:tcPr>
                          <w:p w14:paraId="6C6B118B"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341天</w:t>
                            </w:r>
                          </w:p>
                        </w:tc>
                        <w:tc>
                          <w:tcPr>
                            <w:tcW w:w="1268" w:type="dxa"/>
                            <w:vMerge/>
                            <w:vAlign w:val="center"/>
                          </w:tcPr>
                          <w:p w14:paraId="628CE4A0" w14:textId="77777777" w:rsidR="004551F8" w:rsidRPr="007A460C" w:rsidRDefault="004551F8" w:rsidP="00824CD6">
                            <w:pPr>
                              <w:spacing w:line="240" w:lineRule="exact"/>
                              <w:jc w:val="center"/>
                              <w:rPr>
                                <w:rFonts w:ascii="標楷體" w:eastAsia="標楷體" w:hAnsi="標楷體"/>
                                <w:szCs w:val="24"/>
                              </w:rPr>
                            </w:pPr>
                          </w:p>
                        </w:tc>
                      </w:tr>
                      <w:tr w:rsidR="004551F8" w:rsidRPr="007A460C" w14:paraId="32268849" w14:textId="77777777" w:rsidTr="00824CD6">
                        <w:trPr>
                          <w:trHeight w:val="355"/>
                        </w:trPr>
                        <w:tc>
                          <w:tcPr>
                            <w:tcW w:w="793" w:type="dxa"/>
                            <w:vAlign w:val="center"/>
                          </w:tcPr>
                          <w:p w14:paraId="71A36BB5"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案4</w:t>
                            </w:r>
                          </w:p>
                        </w:tc>
                        <w:tc>
                          <w:tcPr>
                            <w:tcW w:w="1902" w:type="dxa"/>
                            <w:vAlign w:val="center"/>
                          </w:tcPr>
                          <w:p w14:paraId="2567F751"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6.16</w:t>
                            </w:r>
                          </w:p>
                        </w:tc>
                        <w:tc>
                          <w:tcPr>
                            <w:tcW w:w="1902" w:type="dxa"/>
                            <w:vAlign w:val="center"/>
                          </w:tcPr>
                          <w:p w14:paraId="20879BF2"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113.12.</w:t>
                            </w:r>
                            <w:r>
                              <w:rPr>
                                <w:rFonts w:ascii="標楷體" w:eastAsia="標楷體" w:hAnsi="標楷體"/>
                              </w:rPr>
                              <w:t>0</w:t>
                            </w:r>
                            <w:r w:rsidRPr="00E736E3">
                              <w:rPr>
                                <w:rFonts w:ascii="標楷體" w:eastAsia="標楷體" w:hAnsi="標楷體" w:hint="eastAsia"/>
                              </w:rPr>
                              <w:t>5</w:t>
                            </w:r>
                          </w:p>
                        </w:tc>
                        <w:tc>
                          <w:tcPr>
                            <w:tcW w:w="2061" w:type="dxa"/>
                            <w:vAlign w:val="center"/>
                          </w:tcPr>
                          <w:p w14:paraId="0D764B43"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2年又172天</w:t>
                            </w:r>
                          </w:p>
                        </w:tc>
                        <w:tc>
                          <w:tcPr>
                            <w:tcW w:w="1268" w:type="dxa"/>
                            <w:vMerge/>
                            <w:vAlign w:val="center"/>
                          </w:tcPr>
                          <w:p w14:paraId="0E321399" w14:textId="77777777" w:rsidR="004551F8" w:rsidRPr="007A460C" w:rsidRDefault="004551F8" w:rsidP="00824CD6">
                            <w:pPr>
                              <w:overflowPunct w:val="0"/>
                              <w:spacing w:line="240" w:lineRule="exact"/>
                              <w:jc w:val="center"/>
                              <w:rPr>
                                <w:rFonts w:ascii="標楷體" w:eastAsia="標楷體" w:hAnsi="標楷體"/>
                                <w:szCs w:val="24"/>
                              </w:rPr>
                            </w:pPr>
                          </w:p>
                        </w:tc>
                      </w:tr>
                      <w:tr w:rsidR="004551F8" w:rsidRPr="007A460C" w14:paraId="752BC22C" w14:textId="77777777" w:rsidTr="00824CD6">
                        <w:trPr>
                          <w:trHeight w:val="355"/>
                        </w:trPr>
                        <w:tc>
                          <w:tcPr>
                            <w:tcW w:w="793" w:type="dxa"/>
                            <w:vAlign w:val="center"/>
                          </w:tcPr>
                          <w:p w14:paraId="0B4718BD"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案5</w:t>
                            </w:r>
                          </w:p>
                        </w:tc>
                        <w:tc>
                          <w:tcPr>
                            <w:tcW w:w="1902" w:type="dxa"/>
                            <w:vAlign w:val="center"/>
                          </w:tcPr>
                          <w:p w14:paraId="418CB153"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rPr>
                              <w:t>7</w:t>
                            </w:r>
                            <w:r w:rsidRPr="00E736E3">
                              <w:rPr>
                                <w:rFonts w:ascii="標楷體" w:eastAsia="標楷體" w:hAnsi="標楷體" w:hint="eastAsia"/>
                              </w:rPr>
                              <w:t>.</w:t>
                            </w:r>
                            <w:r w:rsidRPr="00E736E3">
                              <w:rPr>
                                <w:rFonts w:ascii="標楷體" w:eastAsia="標楷體" w:hAnsi="標楷體"/>
                              </w:rPr>
                              <w:t>15</w:t>
                            </w:r>
                          </w:p>
                        </w:tc>
                        <w:tc>
                          <w:tcPr>
                            <w:tcW w:w="1902" w:type="dxa"/>
                            <w:vAlign w:val="center"/>
                          </w:tcPr>
                          <w:p w14:paraId="4D7B8C80"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112.</w:t>
                            </w:r>
                            <w:r>
                              <w:rPr>
                                <w:rFonts w:ascii="標楷體" w:eastAsia="標楷體" w:hAnsi="標楷體" w:hint="eastAsia"/>
                              </w:rPr>
                              <w:t>0</w:t>
                            </w:r>
                            <w:r w:rsidRPr="00E736E3">
                              <w:rPr>
                                <w:rFonts w:ascii="標楷體" w:eastAsia="標楷體" w:hAnsi="標楷體" w:hint="eastAsia"/>
                              </w:rPr>
                              <w:t>9.13</w:t>
                            </w:r>
                          </w:p>
                        </w:tc>
                        <w:tc>
                          <w:tcPr>
                            <w:tcW w:w="2061" w:type="dxa"/>
                            <w:vAlign w:val="center"/>
                          </w:tcPr>
                          <w:p w14:paraId="17C9F20E" w14:textId="77777777" w:rsidR="004551F8" w:rsidRPr="00E736E3" w:rsidRDefault="004551F8" w:rsidP="00824CD6">
                            <w:pPr>
                              <w:overflowPunct w:val="0"/>
                              <w:spacing w:line="240" w:lineRule="exact"/>
                              <w:jc w:val="center"/>
                              <w:rPr>
                                <w:rFonts w:ascii="標楷體" w:eastAsia="標楷體" w:hAnsi="標楷體"/>
                              </w:rPr>
                            </w:pPr>
                            <w:r w:rsidRPr="00E736E3">
                              <w:rPr>
                                <w:rFonts w:ascii="標楷體" w:eastAsia="標楷體" w:hAnsi="標楷體" w:hint="eastAsia"/>
                              </w:rPr>
                              <w:t>1年又6</w:t>
                            </w:r>
                            <w:r w:rsidRPr="00E736E3">
                              <w:rPr>
                                <w:rFonts w:ascii="標楷體" w:eastAsia="標楷體" w:hAnsi="標楷體"/>
                              </w:rPr>
                              <w:t>0</w:t>
                            </w:r>
                            <w:r w:rsidRPr="00E736E3">
                              <w:rPr>
                                <w:rFonts w:ascii="標楷體" w:eastAsia="標楷體" w:hAnsi="標楷體" w:hint="eastAsia"/>
                              </w:rPr>
                              <w:t>天</w:t>
                            </w:r>
                          </w:p>
                        </w:tc>
                        <w:tc>
                          <w:tcPr>
                            <w:tcW w:w="1268" w:type="dxa"/>
                            <w:vMerge/>
                            <w:vAlign w:val="center"/>
                          </w:tcPr>
                          <w:p w14:paraId="3957B79D" w14:textId="77777777" w:rsidR="004551F8" w:rsidRPr="007A460C" w:rsidRDefault="004551F8" w:rsidP="00824CD6">
                            <w:pPr>
                              <w:overflowPunct w:val="0"/>
                              <w:spacing w:line="240" w:lineRule="exact"/>
                              <w:jc w:val="center"/>
                              <w:rPr>
                                <w:rFonts w:ascii="標楷體" w:eastAsia="標楷體" w:hAnsi="標楷體"/>
                                <w:szCs w:val="24"/>
                              </w:rPr>
                            </w:pPr>
                          </w:p>
                        </w:tc>
                      </w:tr>
                      <w:tr w:rsidR="004551F8" w:rsidRPr="007A460C" w14:paraId="18F4E383" w14:textId="77777777" w:rsidTr="00824CD6">
                        <w:trPr>
                          <w:trHeight w:val="355"/>
                        </w:trPr>
                        <w:tc>
                          <w:tcPr>
                            <w:tcW w:w="793" w:type="dxa"/>
                            <w:vAlign w:val="center"/>
                          </w:tcPr>
                          <w:p w14:paraId="2AC4FE68"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案6</w:t>
                            </w:r>
                          </w:p>
                        </w:tc>
                        <w:tc>
                          <w:tcPr>
                            <w:tcW w:w="1902" w:type="dxa"/>
                            <w:vAlign w:val="center"/>
                          </w:tcPr>
                          <w:p w14:paraId="6260AF53"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113.</w:t>
                            </w:r>
                            <w:r>
                              <w:rPr>
                                <w:rFonts w:ascii="標楷體" w:eastAsia="標楷體" w:hAnsi="標楷體" w:hint="eastAsia"/>
                              </w:rPr>
                              <w:t>0</w:t>
                            </w:r>
                            <w:r w:rsidRPr="00E736E3">
                              <w:rPr>
                                <w:rFonts w:ascii="標楷體" w:eastAsia="標楷體" w:hAnsi="標楷體" w:hint="eastAsia"/>
                              </w:rPr>
                              <w:t>6.24</w:t>
                            </w:r>
                          </w:p>
                        </w:tc>
                        <w:tc>
                          <w:tcPr>
                            <w:tcW w:w="1902" w:type="dxa"/>
                            <w:vAlign w:val="center"/>
                          </w:tcPr>
                          <w:p w14:paraId="3232F14C"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113.</w:t>
                            </w:r>
                            <w:r>
                              <w:rPr>
                                <w:rFonts w:ascii="標楷體" w:eastAsia="標楷體" w:hAnsi="標楷體" w:hint="eastAsia"/>
                              </w:rPr>
                              <w:t>0</w:t>
                            </w:r>
                            <w:r w:rsidRPr="00E736E3">
                              <w:rPr>
                                <w:rFonts w:ascii="標楷體" w:eastAsia="標楷體" w:hAnsi="標楷體" w:hint="eastAsia"/>
                              </w:rPr>
                              <w:t>9.18</w:t>
                            </w:r>
                          </w:p>
                        </w:tc>
                        <w:tc>
                          <w:tcPr>
                            <w:tcW w:w="2061" w:type="dxa"/>
                            <w:vAlign w:val="center"/>
                          </w:tcPr>
                          <w:p w14:paraId="675FCAE5"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86天</w:t>
                            </w:r>
                          </w:p>
                        </w:tc>
                        <w:tc>
                          <w:tcPr>
                            <w:tcW w:w="1268" w:type="dxa"/>
                            <w:vMerge/>
                            <w:vAlign w:val="center"/>
                          </w:tcPr>
                          <w:p w14:paraId="60F7AEAC" w14:textId="77777777" w:rsidR="004551F8" w:rsidRPr="007A460C" w:rsidRDefault="004551F8" w:rsidP="00824CD6">
                            <w:pPr>
                              <w:spacing w:line="240" w:lineRule="exact"/>
                              <w:jc w:val="center"/>
                              <w:rPr>
                                <w:rFonts w:ascii="標楷體" w:eastAsia="標楷體" w:hAnsi="標楷體"/>
                                <w:szCs w:val="24"/>
                              </w:rPr>
                            </w:pPr>
                          </w:p>
                        </w:tc>
                      </w:tr>
                      <w:tr w:rsidR="004551F8" w:rsidRPr="007A460C" w14:paraId="2542818A" w14:textId="77777777" w:rsidTr="00824CD6">
                        <w:trPr>
                          <w:trHeight w:val="355"/>
                        </w:trPr>
                        <w:tc>
                          <w:tcPr>
                            <w:tcW w:w="793" w:type="dxa"/>
                            <w:vAlign w:val="center"/>
                          </w:tcPr>
                          <w:p w14:paraId="05C8E911" w14:textId="77777777" w:rsidR="004551F8" w:rsidRPr="00E736E3" w:rsidRDefault="004551F8" w:rsidP="00824CD6">
                            <w:pPr>
                              <w:spacing w:line="240" w:lineRule="exact"/>
                              <w:jc w:val="center"/>
                              <w:rPr>
                                <w:rFonts w:ascii="標楷體" w:eastAsia="標楷體" w:hAnsi="標楷體"/>
                              </w:rPr>
                            </w:pPr>
                            <w:r>
                              <w:rPr>
                                <w:rFonts w:ascii="標楷體" w:eastAsia="標楷體" w:hAnsi="標楷體" w:hint="eastAsia"/>
                              </w:rPr>
                              <w:t>案7</w:t>
                            </w:r>
                          </w:p>
                        </w:tc>
                        <w:tc>
                          <w:tcPr>
                            <w:tcW w:w="1902" w:type="dxa"/>
                            <w:vAlign w:val="center"/>
                          </w:tcPr>
                          <w:p w14:paraId="07A1E7CD"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113.</w:t>
                            </w:r>
                            <w:r>
                              <w:rPr>
                                <w:rFonts w:ascii="標楷體" w:eastAsia="標楷體" w:hAnsi="標楷體" w:hint="eastAsia"/>
                              </w:rPr>
                              <w:t>0</w:t>
                            </w:r>
                            <w:r w:rsidRPr="00E736E3">
                              <w:rPr>
                                <w:rFonts w:ascii="標楷體" w:eastAsia="標楷體" w:hAnsi="標楷體" w:hint="eastAsia"/>
                              </w:rPr>
                              <w:t>8.</w:t>
                            </w:r>
                            <w:r>
                              <w:rPr>
                                <w:rFonts w:ascii="標楷體" w:eastAsia="標楷體" w:hAnsi="標楷體" w:hint="eastAsia"/>
                              </w:rPr>
                              <w:t>0</w:t>
                            </w:r>
                            <w:r w:rsidRPr="00E736E3">
                              <w:rPr>
                                <w:rFonts w:ascii="標楷體" w:eastAsia="標楷體" w:hAnsi="標楷體" w:hint="eastAsia"/>
                              </w:rPr>
                              <w:t>2</w:t>
                            </w:r>
                          </w:p>
                        </w:tc>
                        <w:tc>
                          <w:tcPr>
                            <w:tcW w:w="1902" w:type="dxa"/>
                            <w:vAlign w:val="center"/>
                          </w:tcPr>
                          <w:p w14:paraId="694666E8"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113.</w:t>
                            </w:r>
                            <w:r>
                              <w:rPr>
                                <w:rFonts w:ascii="標楷體" w:eastAsia="標楷體" w:hAnsi="標楷體" w:hint="eastAsia"/>
                              </w:rPr>
                              <w:t>0</w:t>
                            </w:r>
                            <w:r w:rsidRPr="00E736E3">
                              <w:rPr>
                                <w:rFonts w:ascii="標楷體" w:eastAsia="標楷體" w:hAnsi="標楷體" w:hint="eastAsia"/>
                              </w:rPr>
                              <w:t>9.</w:t>
                            </w:r>
                            <w:r>
                              <w:rPr>
                                <w:rFonts w:ascii="標楷體" w:eastAsia="標楷體" w:hAnsi="標楷體" w:hint="eastAsia"/>
                              </w:rPr>
                              <w:t>0</w:t>
                            </w:r>
                            <w:r w:rsidRPr="00E736E3">
                              <w:rPr>
                                <w:rFonts w:ascii="標楷體" w:eastAsia="標楷體" w:hAnsi="標楷體" w:hint="eastAsia"/>
                              </w:rPr>
                              <w:t>9</w:t>
                            </w:r>
                          </w:p>
                        </w:tc>
                        <w:tc>
                          <w:tcPr>
                            <w:tcW w:w="2061" w:type="dxa"/>
                            <w:vAlign w:val="center"/>
                          </w:tcPr>
                          <w:p w14:paraId="4CE6BE67"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38天</w:t>
                            </w:r>
                          </w:p>
                        </w:tc>
                        <w:tc>
                          <w:tcPr>
                            <w:tcW w:w="1268" w:type="dxa"/>
                            <w:vMerge/>
                            <w:vAlign w:val="center"/>
                          </w:tcPr>
                          <w:p w14:paraId="4B235361" w14:textId="77777777" w:rsidR="004551F8" w:rsidRPr="007A460C" w:rsidRDefault="004551F8" w:rsidP="00824CD6">
                            <w:pPr>
                              <w:spacing w:line="240" w:lineRule="exact"/>
                              <w:jc w:val="center"/>
                              <w:rPr>
                                <w:rFonts w:ascii="標楷體" w:eastAsia="標楷體" w:hAnsi="標楷體"/>
                                <w:szCs w:val="24"/>
                              </w:rPr>
                            </w:pPr>
                          </w:p>
                        </w:tc>
                      </w:tr>
                      <w:tr w:rsidR="004551F8" w:rsidRPr="007A460C" w14:paraId="3CA93297" w14:textId="77777777" w:rsidTr="00824CD6">
                        <w:trPr>
                          <w:trHeight w:val="355"/>
                        </w:trPr>
                        <w:tc>
                          <w:tcPr>
                            <w:tcW w:w="793" w:type="dxa"/>
                            <w:vAlign w:val="center"/>
                          </w:tcPr>
                          <w:p w14:paraId="037041AF" w14:textId="77777777" w:rsidR="004551F8" w:rsidRDefault="004551F8" w:rsidP="00824CD6">
                            <w:pPr>
                              <w:spacing w:line="240" w:lineRule="exact"/>
                              <w:jc w:val="center"/>
                              <w:rPr>
                                <w:rFonts w:ascii="標楷體" w:eastAsia="標楷體" w:hAnsi="標楷體"/>
                              </w:rPr>
                            </w:pPr>
                            <w:r>
                              <w:rPr>
                                <w:rFonts w:ascii="標楷體" w:eastAsia="標楷體" w:hAnsi="標楷體" w:hint="eastAsia"/>
                              </w:rPr>
                              <w:t>案8</w:t>
                            </w:r>
                          </w:p>
                        </w:tc>
                        <w:tc>
                          <w:tcPr>
                            <w:tcW w:w="1902" w:type="dxa"/>
                            <w:vAlign w:val="center"/>
                          </w:tcPr>
                          <w:p w14:paraId="0494930C"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2.10</w:t>
                            </w:r>
                          </w:p>
                        </w:tc>
                        <w:tc>
                          <w:tcPr>
                            <w:tcW w:w="1902" w:type="dxa"/>
                            <w:vAlign w:val="center"/>
                          </w:tcPr>
                          <w:p w14:paraId="52D9D6E0"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111.</w:t>
                            </w:r>
                            <w:r>
                              <w:rPr>
                                <w:rFonts w:ascii="標楷體" w:eastAsia="標楷體" w:hAnsi="標楷體" w:hint="eastAsia"/>
                              </w:rPr>
                              <w:t>0</w:t>
                            </w:r>
                            <w:r w:rsidRPr="00E736E3">
                              <w:rPr>
                                <w:rFonts w:ascii="標楷體" w:eastAsia="標楷體" w:hAnsi="標楷體" w:hint="eastAsia"/>
                              </w:rPr>
                              <w:t>3.23</w:t>
                            </w:r>
                          </w:p>
                        </w:tc>
                        <w:tc>
                          <w:tcPr>
                            <w:tcW w:w="2061" w:type="dxa"/>
                            <w:vAlign w:val="center"/>
                          </w:tcPr>
                          <w:p w14:paraId="0A152CF7" w14:textId="77777777" w:rsidR="004551F8" w:rsidRPr="00E736E3" w:rsidRDefault="004551F8" w:rsidP="00824CD6">
                            <w:pPr>
                              <w:spacing w:line="240" w:lineRule="exact"/>
                              <w:jc w:val="center"/>
                              <w:rPr>
                                <w:rFonts w:ascii="標楷體" w:eastAsia="標楷體" w:hAnsi="標楷體"/>
                              </w:rPr>
                            </w:pPr>
                            <w:r w:rsidRPr="00E736E3">
                              <w:rPr>
                                <w:rFonts w:ascii="標楷體" w:eastAsia="標楷體" w:hAnsi="標楷體" w:hint="eastAsia"/>
                              </w:rPr>
                              <w:t>41天</w:t>
                            </w:r>
                          </w:p>
                        </w:tc>
                        <w:tc>
                          <w:tcPr>
                            <w:tcW w:w="1268" w:type="dxa"/>
                            <w:vAlign w:val="center"/>
                          </w:tcPr>
                          <w:p w14:paraId="696AAE2F" w14:textId="77777777" w:rsidR="004551F8" w:rsidRPr="000D1FB2" w:rsidRDefault="004551F8" w:rsidP="00824CD6">
                            <w:pPr>
                              <w:overflowPunct w:val="0"/>
                              <w:spacing w:line="240" w:lineRule="exact"/>
                              <w:ind w:rightChars="-25" w:right="-60"/>
                              <w:jc w:val="center"/>
                              <w:rPr>
                                <w:rFonts w:ascii="標楷體" w:eastAsia="標楷體" w:hAnsi="標楷體"/>
                              </w:rPr>
                            </w:pPr>
                            <w:r>
                              <w:rPr>
                                <w:rFonts w:ascii="標楷體" w:eastAsia="標楷體" w:hAnsi="標楷體" w:hint="eastAsia"/>
                              </w:rPr>
                              <w:t>罰款</w:t>
                            </w:r>
                            <w:r w:rsidRPr="00B23BF7">
                              <w:rPr>
                                <w:rFonts w:ascii="標楷體" w:eastAsia="標楷體" w:hAnsi="標楷體" w:hint="eastAsia"/>
                              </w:rPr>
                              <w:t>5萬元</w:t>
                            </w:r>
                          </w:p>
                        </w:tc>
                      </w:tr>
                    </w:tbl>
                    <w:p w14:paraId="4206ABD0" w14:textId="77777777" w:rsidR="004551F8" w:rsidRPr="00940B81" w:rsidRDefault="004551F8" w:rsidP="004551F8">
                      <w:pPr>
                        <w:rPr>
                          <w:rFonts w:ascii="標楷體" w:eastAsia="標楷體" w:hAnsi="標楷體"/>
                          <w:sz w:val="18"/>
                          <w:szCs w:val="16"/>
                        </w:rPr>
                      </w:pPr>
                      <w:r w:rsidRPr="00940B81">
                        <w:rPr>
                          <w:rFonts w:ascii="標楷體" w:eastAsia="標楷體" w:hAnsi="標楷體" w:hint="eastAsia"/>
                          <w:sz w:val="18"/>
                          <w:szCs w:val="16"/>
                        </w:rPr>
                        <w:t>資料來源：整理自勞動檢查處提供資料。</w:t>
                      </w:r>
                    </w:p>
                  </w:txbxContent>
                </v:textbox>
                <w10:wrap type="through"/>
              </v:shape>
            </w:pict>
          </mc:Fallback>
        </mc:AlternateContent>
      </w:r>
      <w:r w:rsidRPr="00B474B8">
        <w:rPr>
          <w:rFonts w:ascii="標楷體" w:eastAsia="標楷體" w:hAnsi="標楷體" w:cs="Times New Roman" w:hint="eastAsia"/>
          <w:szCs w:val="24"/>
        </w:rPr>
        <w:t>該處受理疑似職場不法侵害之申訴案件呈逐年攀升趨勢，為避免事業單位所提之改善措施流於形式，</w:t>
      </w:r>
      <w:proofErr w:type="gramStart"/>
      <w:r w:rsidRPr="00B474B8">
        <w:rPr>
          <w:rFonts w:ascii="標楷體" w:eastAsia="標楷體" w:hAnsi="標楷體" w:cs="Times New Roman" w:hint="eastAsia"/>
          <w:szCs w:val="24"/>
        </w:rPr>
        <w:t>允宜依上</w:t>
      </w:r>
      <w:proofErr w:type="gramEnd"/>
      <w:r w:rsidRPr="00B474B8">
        <w:rPr>
          <w:rFonts w:ascii="標楷體" w:eastAsia="標楷體" w:hAnsi="標楷體" w:cs="Times New Roman" w:hint="eastAsia"/>
          <w:szCs w:val="24"/>
        </w:rPr>
        <w:t>開規定加強勞動檢查作業，並建立相關追蹤查核機制，以建構友善職場環境，經函請</w:t>
      </w:r>
      <w:proofErr w:type="gramStart"/>
      <w:r w:rsidRPr="00B474B8">
        <w:rPr>
          <w:rFonts w:ascii="標楷體" w:eastAsia="標楷體" w:hAnsi="標楷體" w:cs="Times New Roman" w:hint="eastAsia"/>
          <w:szCs w:val="24"/>
        </w:rPr>
        <w:t>研</w:t>
      </w:r>
      <w:proofErr w:type="gramEnd"/>
      <w:r w:rsidRPr="00B474B8">
        <w:rPr>
          <w:rFonts w:ascii="標楷體" w:eastAsia="標楷體" w:hAnsi="標楷體" w:cs="Times New Roman" w:hint="eastAsia"/>
          <w:szCs w:val="24"/>
        </w:rPr>
        <w:t>謀改善。據復：已持續透過多元管道宣導，並將職場不法侵害之預防納入重點檢查項目；另檢視現有複查機制，通盤考量案件性質、違規情節等，以利整合檢查資源，督促事業單位確實改善。</w:t>
      </w:r>
    </w:p>
    <w:p w14:paraId="2AB4ED2D" w14:textId="77777777" w:rsidR="004551F8" w:rsidRPr="00B474B8" w:rsidRDefault="004551F8" w:rsidP="004551F8">
      <w:pPr>
        <w:spacing w:before="120" w:after="120" w:line="46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（五）</w:t>
      </w:r>
      <w:bookmarkStart w:id="72" w:name="_Hlk199236127"/>
      <w:r w:rsidRPr="00B474B8">
        <w:rPr>
          <w:rFonts w:ascii="標楷體" w:eastAsia="標楷體" w:hAnsi="標楷體" w:cs="Times New Roman" w:hint="eastAsia"/>
          <w:b/>
          <w:sz w:val="28"/>
          <w:szCs w:val="28"/>
        </w:rPr>
        <w:t>運用中央提供之租賃設備建置</w:t>
      </w:r>
      <w:proofErr w:type="gramStart"/>
      <w:r w:rsidRPr="00B474B8">
        <w:rPr>
          <w:rFonts w:ascii="標楷體" w:eastAsia="標楷體" w:hAnsi="標楷體" w:cs="Times New Roman" w:hint="eastAsia"/>
          <w:b/>
          <w:sz w:val="28"/>
          <w:szCs w:val="28"/>
        </w:rPr>
        <w:t>多體感延伸</w:t>
      </w:r>
      <w:proofErr w:type="gramEnd"/>
      <w:r w:rsidRPr="00B474B8">
        <w:rPr>
          <w:rFonts w:ascii="標楷體" w:eastAsia="標楷體" w:hAnsi="標楷體" w:cs="Times New Roman" w:hint="eastAsia"/>
          <w:b/>
          <w:sz w:val="28"/>
          <w:szCs w:val="28"/>
        </w:rPr>
        <w:t>實境（XR）</w:t>
      </w:r>
      <w:proofErr w:type="gramStart"/>
      <w:r w:rsidRPr="00B474B8">
        <w:rPr>
          <w:rFonts w:ascii="標楷體" w:eastAsia="標楷體" w:hAnsi="標楷體" w:cs="Times New Roman" w:hint="eastAsia"/>
          <w:b/>
          <w:sz w:val="28"/>
          <w:szCs w:val="28"/>
        </w:rPr>
        <w:t>職安模擬</w:t>
      </w:r>
      <w:proofErr w:type="gramEnd"/>
      <w:r w:rsidRPr="00B474B8">
        <w:rPr>
          <w:rFonts w:ascii="標楷體" w:eastAsia="標楷體" w:hAnsi="標楷體" w:cs="Times New Roman" w:hint="eastAsia"/>
          <w:b/>
          <w:sz w:val="28"/>
          <w:szCs w:val="28"/>
        </w:rPr>
        <w:t>訓練場域，提供互動式模擬訓練，提升工作者職場危害辨識知能，</w:t>
      </w:r>
      <w:proofErr w:type="gramStart"/>
      <w:r w:rsidRPr="00B474B8">
        <w:rPr>
          <w:rFonts w:ascii="標楷體" w:eastAsia="標楷體" w:hAnsi="標楷體" w:cs="Times New Roman" w:hint="eastAsia"/>
          <w:b/>
          <w:sz w:val="28"/>
          <w:szCs w:val="28"/>
        </w:rPr>
        <w:t>惟獲核定</w:t>
      </w:r>
      <w:proofErr w:type="gramEnd"/>
      <w:r w:rsidRPr="00B474B8">
        <w:rPr>
          <w:rFonts w:ascii="標楷體" w:eastAsia="標楷體" w:hAnsi="標楷體" w:cs="Times New Roman" w:hint="eastAsia"/>
          <w:b/>
          <w:sz w:val="28"/>
          <w:szCs w:val="28"/>
        </w:rPr>
        <w:t>試辦至113年底，仍未向中央提報</w:t>
      </w:r>
      <w:proofErr w:type="gramStart"/>
      <w:r w:rsidRPr="00B474B8">
        <w:rPr>
          <w:rFonts w:ascii="標楷體" w:eastAsia="標楷體" w:hAnsi="標楷體" w:cs="Times New Roman" w:hint="eastAsia"/>
          <w:b/>
          <w:sz w:val="28"/>
          <w:szCs w:val="28"/>
        </w:rPr>
        <w:t>114</w:t>
      </w:r>
      <w:proofErr w:type="gramEnd"/>
      <w:r w:rsidRPr="00B474B8">
        <w:rPr>
          <w:rFonts w:ascii="標楷體" w:eastAsia="標楷體" w:hAnsi="標楷體" w:cs="Times New Roman" w:hint="eastAsia"/>
          <w:b/>
          <w:sz w:val="28"/>
          <w:szCs w:val="28"/>
        </w:rPr>
        <w:t>年度工作項目及預算需求，</w:t>
      </w:r>
      <w:proofErr w:type="gramStart"/>
      <w:r w:rsidRPr="00B474B8">
        <w:rPr>
          <w:rFonts w:ascii="標楷體" w:eastAsia="標楷體" w:hAnsi="標楷體" w:cs="Times New Roman" w:hint="eastAsia"/>
          <w:b/>
          <w:sz w:val="28"/>
          <w:szCs w:val="28"/>
        </w:rPr>
        <w:t>大部分體感設備</w:t>
      </w:r>
      <w:proofErr w:type="gramEnd"/>
      <w:r w:rsidRPr="00B474B8">
        <w:rPr>
          <w:rFonts w:ascii="標楷體" w:eastAsia="標楷體" w:hAnsi="標楷體" w:cs="Times New Roman" w:hint="eastAsia"/>
          <w:b/>
          <w:sz w:val="28"/>
          <w:szCs w:val="28"/>
        </w:rPr>
        <w:t>因租期屆滿撤離，而發生訓練場域閒置，並中斷轄內勞工對高風險作業危害辨識之模擬訓練，有待</w:t>
      </w:r>
      <w:proofErr w:type="gramStart"/>
      <w:r w:rsidRPr="00B474B8">
        <w:rPr>
          <w:rFonts w:ascii="標楷體" w:eastAsia="標楷體" w:hAnsi="標楷體" w:cs="Times New Roman" w:hint="eastAsia"/>
          <w:b/>
          <w:sz w:val="28"/>
          <w:szCs w:val="28"/>
        </w:rPr>
        <w:t>研謀妥處</w:t>
      </w:r>
      <w:proofErr w:type="gramEnd"/>
      <w:r w:rsidRPr="00B474B8">
        <w:rPr>
          <w:rFonts w:ascii="標楷體" w:eastAsia="標楷體" w:hAnsi="標楷體" w:cs="Times New Roman" w:hint="eastAsia"/>
          <w:b/>
          <w:sz w:val="28"/>
          <w:szCs w:val="28"/>
        </w:rPr>
        <w:t>。</w:t>
      </w:r>
      <w:bookmarkEnd w:id="72"/>
    </w:p>
    <w:p w14:paraId="7F6A69AF" w14:textId="77777777" w:rsidR="00BC5E37" w:rsidRDefault="004551F8" w:rsidP="00BC5E37">
      <w:pPr>
        <w:overflowPunct w:val="0"/>
        <w:adjustRightInd w:val="0"/>
        <w:snapToGrid w:val="0"/>
        <w:spacing w:line="44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勞動檢查處為配合中央政策及提升轄內職業安全衛生教育訓練成效，向勞動部職業</w:t>
      </w:r>
      <w:proofErr w:type="gramStart"/>
      <w:r w:rsidRPr="00B474B8">
        <w:rPr>
          <w:rFonts w:ascii="標楷體" w:eastAsia="標楷體" w:hAnsi="標楷體" w:cs="Times New Roman" w:hint="eastAsia"/>
          <w:szCs w:val="24"/>
        </w:rPr>
        <w:t>安全衛生署</w:t>
      </w:r>
      <w:proofErr w:type="gramEnd"/>
      <w:r w:rsidRPr="00B474B8">
        <w:rPr>
          <w:rFonts w:ascii="標楷體" w:eastAsia="標楷體" w:hAnsi="標楷體" w:cs="Times New Roman" w:hint="eastAsia"/>
          <w:szCs w:val="24"/>
        </w:rPr>
        <w:t>（下稱職安署）提出114年建置</w:t>
      </w:r>
      <w:proofErr w:type="gramStart"/>
      <w:r w:rsidRPr="00B474B8">
        <w:rPr>
          <w:rFonts w:ascii="標楷體" w:eastAsia="標楷體" w:hAnsi="標楷體" w:cs="Times New Roman" w:hint="eastAsia"/>
          <w:szCs w:val="24"/>
        </w:rPr>
        <w:t>多體感延伸</w:t>
      </w:r>
      <w:proofErr w:type="gramEnd"/>
      <w:r w:rsidRPr="00B474B8">
        <w:rPr>
          <w:rFonts w:ascii="標楷體" w:eastAsia="標楷體" w:hAnsi="標楷體" w:cs="Times New Roman" w:hint="eastAsia"/>
          <w:szCs w:val="24"/>
        </w:rPr>
        <w:t>實境（XR）</w:t>
      </w:r>
      <w:proofErr w:type="gramStart"/>
      <w:r w:rsidRPr="00B474B8">
        <w:rPr>
          <w:rFonts w:ascii="標楷體" w:eastAsia="標楷體" w:hAnsi="標楷體" w:cs="Times New Roman" w:hint="eastAsia"/>
          <w:szCs w:val="24"/>
        </w:rPr>
        <w:t>職安模擬</w:t>
      </w:r>
      <w:proofErr w:type="gramEnd"/>
      <w:r w:rsidRPr="00B474B8">
        <w:rPr>
          <w:rFonts w:ascii="標楷體" w:eastAsia="標楷體" w:hAnsi="標楷體" w:cs="Times New Roman" w:hint="eastAsia"/>
          <w:szCs w:val="24"/>
        </w:rPr>
        <w:t>訓練場域（下稱XR訓練場域）需求，經該署於113年2月27日同意，並規劃113年於該處遠端試行及由該署就業安定基金支應</w:t>
      </w:r>
      <w:proofErr w:type="gramStart"/>
      <w:r w:rsidRPr="00B474B8">
        <w:rPr>
          <w:rFonts w:ascii="標楷體" w:eastAsia="標楷體" w:hAnsi="標楷體" w:cs="Times New Roman" w:hint="eastAsia"/>
          <w:szCs w:val="24"/>
        </w:rPr>
        <w:t>113</w:t>
      </w:r>
      <w:proofErr w:type="gramEnd"/>
      <w:r w:rsidRPr="00B474B8">
        <w:rPr>
          <w:rFonts w:ascii="標楷體" w:eastAsia="標楷體" w:hAnsi="標楷體" w:cs="Times New Roman" w:hint="eastAsia"/>
          <w:szCs w:val="24"/>
        </w:rPr>
        <w:t>年度租賃相關設備之費用。勞動檢查處於113年3月動支勞動局第一預備金143萬餘元，辦理XR訓練場域之前置作業，並請國家科學及技術委員會南部科學園區管理局協助於</w:t>
      </w:r>
      <w:proofErr w:type="gramStart"/>
      <w:r w:rsidRPr="00B474B8">
        <w:rPr>
          <w:rFonts w:ascii="標楷體" w:eastAsia="標楷體" w:hAnsi="標楷體" w:cs="Times New Roman" w:hint="eastAsia"/>
          <w:szCs w:val="24"/>
        </w:rPr>
        <w:t>勞</w:t>
      </w:r>
      <w:proofErr w:type="gramEnd"/>
    </w:p>
    <w:p w14:paraId="79FBA678" w14:textId="44655B3F" w:rsidR="004551F8" w:rsidRPr="00B474B8" w:rsidRDefault="004551F8" w:rsidP="00BC5E37">
      <w:pPr>
        <w:overflowPunct w:val="0"/>
        <w:adjustRightInd w:val="0"/>
        <w:snapToGrid w:val="0"/>
        <w:spacing w:line="436" w:lineRule="exact"/>
        <w:jc w:val="both"/>
        <w:rPr>
          <w:rFonts w:ascii="標楷體" w:eastAsia="標楷體" w:hAnsi="標楷體" w:cs="Times New Roman"/>
          <w:szCs w:val="24"/>
        </w:rPr>
      </w:pPr>
      <w:proofErr w:type="gramStart"/>
      <w:r w:rsidRPr="00B474B8">
        <w:rPr>
          <w:rFonts w:ascii="標楷體" w:eastAsia="標楷體" w:hAnsi="標楷體" w:cs="Times New Roman" w:hint="eastAsia"/>
          <w:szCs w:val="24"/>
        </w:rPr>
        <w:t>動局萬華</w:t>
      </w:r>
      <w:proofErr w:type="gramEnd"/>
      <w:r w:rsidRPr="00B474B8">
        <w:rPr>
          <w:rFonts w:ascii="標楷體" w:eastAsia="標楷體" w:hAnsi="標楷體" w:cs="Times New Roman" w:hint="eastAsia"/>
          <w:szCs w:val="24"/>
        </w:rPr>
        <w:t>大樓第二辦公室建置設備，於113年8月15日正式啟用。該訓練場域包含震動地板之</w:t>
      </w:r>
      <w:r w:rsidRPr="00B474B8">
        <w:rPr>
          <w:rFonts w:ascii="標楷體" w:eastAsia="標楷體" w:hAnsi="標楷體" w:cs="Times New Roman" w:hint="eastAsia"/>
          <w:szCs w:val="24"/>
        </w:rPr>
        <w:lastRenderedPageBreak/>
        <w:t>施工架作業體驗、</w:t>
      </w:r>
      <w:proofErr w:type="gramStart"/>
      <w:r w:rsidRPr="00B474B8">
        <w:rPr>
          <w:rFonts w:ascii="標楷體" w:eastAsia="標楷體" w:hAnsi="標楷體" w:cs="Times New Roman" w:hint="eastAsia"/>
          <w:szCs w:val="24"/>
        </w:rPr>
        <w:t>暢轉體感</w:t>
      </w:r>
      <w:proofErr w:type="gramEnd"/>
      <w:r w:rsidRPr="00B474B8">
        <w:rPr>
          <w:rFonts w:ascii="標楷體" w:eastAsia="標楷體" w:hAnsi="標楷體" w:cs="Times New Roman" w:hint="eastAsia"/>
          <w:szCs w:val="24"/>
        </w:rPr>
        <w:t>座椅之屋頂作業體驗</w:t>
      </w:r>
      <w:proofErr w:type="gramStart"/>
      <w:r w:rsidRPr="00B474B8">
        <w:rPr>
          <w:rFonts w:ascii="標楷體" w:eastAsia="標楷體" w:hAnsi="標楷體" w:cs="Times New Roman" w:hint="eastAsia"/>
          <w:szCs w:val="24"/>
        </w:rPr>
        <w:t>及感電危害</w:t>
      </w:r>
      <w:proofErr w:type="gramEnd"/>
      <w:r w:rsidRPr="00B474B8">
        <w:rPr>
          <w:rFonts w:ascii="標楷體" w:eastAsia="標楷體" w:hAnsi="標楷體" w:cs="Times New Roman" w:hint="eastAsia"/>
          <w:szCs w:val="24"/>
        </w:rPr>
        <w:t>預防體驗等模擬訓練項目，</w:t>
      </w:r>
      <w:proofErr w:type="gramStart"/>
      <w:r w:rsidRPr="00B474B8">
        <w:rPr>
          <w:rFonts w:ascii="標楷體" w:eastAsia="標楷體" w:hAnsi="標楷體" w:cs="Times New Roman" w:hint="eastAsia"/>
          <w:szCs w:val="24"/>
        </w:rPr>
        <w:t>參訓人員</w:t>
      </w:r>
      <w:proofErr w:type="gramEnd"/>
      <w:r w:rsidRPr="00B474B8">
        <w:rPr>
          <w:rFonts w:ascii="標楷體" w:eastAsia="標楷體" w:hAnsi="標楷體" w:cs="Times New Roman" w:hint="eastAsia"/>
          <w:szCs w:val="24"/>
        </w:rPr>
        <w:t>可於模擬工作環境中，親身感受各類作業之潛在危險，進而提升職場危害辨識能力，以達預防職業災害之目的。另該處除於勞工安全宣導會、職業安全衛生人員在職教育訓練，增加</w:t>
      </w:r>
      <w:proofErr w:type="gramStart"/>
      <w:r w:rsidRPr="00B474B8">
        <w:rPr>
          <w:rFonts w:ascii="標楷體" w:eastAsia="標楷體" w:hAnsi="標楷體" w:cs="Times New Roman" w:hint="eastAsia"/>
          <w:szCs w:val="24"/>
        </w:rPr>
        <w:t>多體感延伸</w:t>
      </w:r>
      <w:proofErr w:type="gramEnd"/>
      <w:r w:rsidRPr="00B474B8">
        <w:rPr>
          <w:rFonts w:ascii="標楷體" w:eastAsia="標楷體" w:hAnsi="標楷體" w:cs="Times New Roman" w:hint="eastAsia"/>
          <w:szCs w:val="24"/>
        </w:rPr>
        <w:t>實境（XR）模擬訓練課程外，亦受理團體預約體驗，據統計，截至113年底，共計辦理40場次，有1,897人次體驗。經查勞動檢查處113年8月啟用之XR訓練場域，其</w:t>
      </w:r>
      <w:proofErr w:type="gramStart"/>
      <w:r w:rsidRPr="00B474B8">
        <w:rPr>
          <w:rFonts w:ascii="標楷體" w:eastAsia="標楷體" w:hAnsi="標楷體" w:cs="Times New Roman" w:hint="eastAsia"/>
          <w:szCs w:val="24"/>
        </w:rPr>
        <w:t>相關體感設備</w:t>
      </w:r>
      <w:proofErr w:type="gramEnd"/>
      <w:r w:rsidRPr="00B474B8">
        <w:rPr>
          <w:rFonts w:ascii="標楷體" w:eastAsia="標楷體" w:hAnsi="標楷體" w:cs="Times New Roman" w:hint="eastAsia"/>
          <w:szCs w:val="24"/>
        </w:rPr>
        <w:t>之租期於113年底屆滿，經</w:t>
      </w:r>
      <w:proofErr w:type="gramStart"/>
      <w:r w:rsidRPr="00B474B8">
        <w:rPr>
          <w:rFonts w:ascii="標楷體" w:eastAsia="標楷體" w:hAnsi="標楷體" w:cs="Times New Roman" w:hint="eastAsia"/>
          <w:szCs w:val="24"/>
        </w:rPr>
        <w:t>職安署召開研</w:t>
      </w:r>
      <w:proofErr w:type="gramEnd"/>
      <w:r w:rsidRPr="00B474B8">
        <w:rPr>
          <w:rFonts w:ascii="標楷體" w:eastAsia="標楷體" w:hAnsi="標楷體" w:cs="Times New Roman" w:hint="eastAsia"/>
          <w:szCs w:val="24"/>
        </w:rPr>
        <w:t>商會議決議，請該處</w:t>
      </w:r>
      <w:proofErr w:type="gramStart"/>
      <w:r w:rsidRPr="00B474B8">
        <w:rPr>
          <w:rFonts w:ascii="標楷體" w:eastAsia="標楷體" w:hAnsi="標楷體" w:cs="Times New Roman" w:hint="eastAsia"/>
          <w:szCs w:val="24"/>
        </w:rPr>
        <w:t>研</w:t>
      </w:r>
      <w:proofErr w:type="gramEnd"/>
      <w:r w:rsidRPr="00B474B8">
        <w:rPr>
          <w:rFonts w:ascii="標楷體" w:eastAsia="標楷體" w:hAnsi="標楷體" w:cs="Times New Roman" w:hint="eastAsia"/>
          <w:szCs w:val="24"/>
        </w:rPr>
        <w:t>議延長租賃設備之時間，並儘快</w:t>
      </w:r>
      <w:proofErr w:type="gramStart"/>
      <w:r w:rsidRPr="00B474B8">
        <w:rPr>
          <w:rFonts w:ascii="標楷體" w:eastAsia="標楷體" w:hAnsi="標楷體" w:cs="Times New Roman" w:hint="eastAsia"/>
          <w:szCs w:val="24"/>
        </w:rPr>
        <w:t>研</w:t>
      </w:r>
      <w:proofErr w:type="gramEnd"/>
      <w:r w:rsidRPr="00B474B8">
        <w:rPr>
          <w:rFonts w:ascii="標楷體" w:eastAsia="標楷體" w:hAnsi="標楷體" w:cs="Times New Roman" w:hint="eastAsia"/>
          <w:szCs w:val="24"/>
        </w:rPr>
        <w:t>提114年工作項目及預算</w:t>
      </w:r>
      <w:proofErr w:type="gramStart"/>
      <w:r w:rsidRPr="00B474B8">
        <w:rPr>
          <w:rFonts w:ascii="標楷體" w:eastAsia="標楷體" w:hAnsi="標楷體" w:cs="Times New Roman" w:hint="eastAsia"/>
          <w:szCs w:val="24"/>
        </w:rPr>
        <w:t>至職安署</w:t>
      </w:r>
      <w:proofErr w:type="gramEnd"/>
      <w:r w:rsidRPr="00B474B8">
        <w:rPr>
          <w:rFonts w:ascii="標楷體" w:eastAsia="標楷體" w:hAnsi="標楷體" w:cs="Times New Roman" w:hint="eastAsia"/>
          <w:szCs w:val="24"/>
        </w:rPr>
        <w:t>。</w:t>
      </w:r>
      <w:proofErr w:type="gramStart"/>
      <w:r w:rsidRPr="00B474B8">
        <w:rPr>
          <w:rFonts w:ascii="標楷體" w:eastAsia="標楷體" w:hAnsi="標楷體" w:cs="Times New Roman" w:hint="eastAsia"/>
          <w:szCs w:val="24"/>
        </w:rPr>
        <w:t>惟</w:t>
      </w:r>
      <w:proofErr w:type="gramEnd"/>
      <w:r w:rsidRPr="00B474B8">
        <w:rPr>
          <w:rFonts w:ascii="標楷體" w:eastAsia="標楷體" w:hAnsi="標楷體" w:cs="Times New Roman" w:hint="eastAsia"/>
          <w:szCs w:val="24"/>
        </w:rPr>
        <w:t>截至本處抽查日（114年3月10日）止，該處因勞動</w:t>
      </w:r>
      <w:r w:rsidRPr="00B474B8">
        <w:rPr>
          <w:rFonts w:ascii="標楷體" w:eastAsia="標楷體" w:hAnsi="標楷體" w:cs="Times New Roman"/>
          <w:noProof/>
          <w:color w:val="000000"/>
          <w:sz w:val="32"/>
          <w:szCs w:val="32"/>
        </w:rPr>
        <mc:AlternateContent>
          <mc:Choice Requires="wps">
            <w:drawing>
              <wp:anchor distT="0" distB="0" distL="114300" distR="114300" simplePos="0" relativeHeight="251662336" behindDoc="0" locked="0" layoutInCell="1" allowOverlap="1" wp14:anchorId="42E7D845" wp14:editId="5360A8C1">
                <wp:simplePos x="0" y="0"/>
                <wp:positionH relativeFrom="margin">
                  <wp:posOffset>3324225</wp:posOffset>
                </wp:positionH>
                <wp:positionV relativeFrom="paragraph">
                  <wp:posOffset>2019300</wp:posOffset>
                </wp:positionV>
                <wp:extent cx="3103245" cy="2653030"/>
                <wp:effectExtent l="0" t="0" r="1905" b="0"/>
                <wp:wrapThrough wrapText="bothSides">
                  <wp:wrapPolygon edited="0">
                    <wp:start x="0" y="0"/>
                    <wp:lineTo x="0" y="21404"/>
                    <wp:lineTo x="21481" y="21404"/>
                    <wp:lineTo x="21481" y="0"/>
                    <wp:lineTo x="0" y="0"/>
                  </wp:wrapPolygon>
                </wp:wrapThrough>
                <wp:docPr id="2" name="文字方塊 2"/>
                <wp:cNvGraphicFramePr/>
                <a:graphic xmlns:a="http://schemas.openxmlformats.org/drawingml/2006/main">
                  <a:graphicData uri="http://schemas.microsoft.com/office/word/2010/wordprocessingShape">
                    <wps:wsp>
                      <wps:cNvSpPr txBox="1"/>
                      <wps:spPr>
                        <a:xfrm>
                          <a:off x="0" y="0"/>
                          <a:ext cx="3103245" cy="2653030"/>
                        </a:xfrm>
                        <a:prstGeom prst="rect">
                          <a:avLst/>
                        </a:prstGeom>
                        <a:solidFill>
                          <a:sysClr val="window" lastClr="FFFFFF"/>
                        </a:solidFill>
                        <a:ln w="6350">
                          <a:noFill/>
                        </a:ln>
                      </wps:spPr>
                      <wps:txbx>
                        <w:txbxContent>
                          <w:p w14:paraId="5B92923E" w14:textId="77777777" w:rsidR="004551F8" w:rsidRPr="007470A0" w:rsidRDefault="004551F8" w:rsidP="004551F8">
                            <w:pPr>
                              <w:spacing w:line="360" w:lineRule="exact"/>
                              <w:rPr>
                                <w:sz w:val="18"/>
                                <w:szCs w:val="16"/>
                              </w:rPr>
                            </w:pPr>
                          </w:p>
                          <w:p w14:paraId="21014657" w14:textId="77777777" w:rsidR="004551F8" w:rsidRDefault="004551F8" w:rsidP="004551F8">
                            <w:pPr>
                              <w:spacing w:line="280" w:lineRule="exact"/>
                              <w:ind w:left="1081" w:hangingChars="450" w:hanging="1081"/>
                              <w:jc w:val="center"/>
                              <w:rPr>
                                <w:rFonts w:ascii="標楷體" w:eastAsia="標楷體" w:hAnsi="標楷體"/>
                                <w:b/>
                              </w:rPr>
                            </w:pPr>
                          </w:p>
                          <w:p w14:paraId="48F44E13" w14:textId="77777777" w:rsidR="004551F8" w:rsidRDefault="004551F8" w:rsidP="004551F8">
                            <w:pPr>
                              <w:spacing w:line="280" w:lineRule="exact"/>
                              <w:ind w:left="1081" w:hangingChars="450" w:hanging="1081"/>
                              <w:jc w:val="center"/>
                              <w:rPr>
                                <w:rFonts w:ascii="標楷體" w:eastAsia="標楷體" w:hAnsi="標楷體"/>
                                <w:b/>
                              </w:rPr>
                            </w:pPr>
                          </w:p>
                          <w:p w14:paraId="5F63F9E7" w14:textId="77777777" w:rsidR="004551F8" w:rsidRDefault="004551F8" w:rsidP="004551F8">
                            <w:pPr>
                              <w:spacing w:line="280" w:lineRule="exact"/>
                              <w:ind w:left="1081" w:hangingChars="450" w:hanging="1081"/>
                              <w:jc w:val="center"/>
                              <w:rPr>
                                <w:rFonts w:ascii="標楷體" w:eastAsia="標楷體" w:hAnsi="標楷體"/>
                                <w:b/>
                              </w:rPr>
                            </w:pPr>
                          </w:p>
                          <w:p w14:paraId="19770C4E" w14:textId="77777777" w:rsidR="004551F8" w:rsidRDefault="004551F8" w:rsidP="004551F8">
                            <w:pPr>
                              <w:spacing w:line="280" w:lineRule="exact"/>
                              <w:ind w:left="1081" w:hangingChars="450" w:hanging="1081"/>
                              <w:jc w:val="center"/>
                              <w:rPr>
                                <w:rFonts w:ascii="標楷體" w:eastAsia="標楷體" w:hAnsi="標楷體"/>
                                <w:b/>
                              </w:rPr>
                            </w:pPr>
                          </w:p>
                          <w:p w14:paraId="071FC9B5" w14:textId="77777777" w:rsidR="004551F8" w:rsidRDefault="004551F8" w:rsidP="004551F8">
                            <w:pPr>
                              <w:spacing w:line="280" w:lineRule="exact"/>
                              <w:ind w:left="1081" w:hangingChars="450" w:hanging="1081"/>
                              <w:jc w:val="center"/>
                              <w:rPr>
                                <w:rFonts w:ascii="標楷體" w:eastAsia="標楷體" w:hAnsi="標楷體"/>
                                <w:b/>
                              </w:rPr>
                            </w:pPr>
                          </w:p>
                          <w:p w14:paraId="6989CF29" w14:textId="77777777" w:rsidR="004551F8" w:rsidRDefault="004551F8" w:rsidP="004551F8">
                            <w:pPr>
                              <w:spacing w:line="280" w:lineRule="exact"/>
                              <w:ind w:left="1081" w:hangingChars="450" w:hanging="1081"/>
                              <w:jc w:val="center"/>
                              <w:rPr>
                                <w:rFonts w:ascii="標楷體" w:eastAsia="標楷體" w:hAnsi="標楷體"/>
                                <w:b/>
                              </w:rPr>
                            </w:pPr>
                          </w:p>
                          <w:p w14:paraId="66DD50C0" w14:textId="77777777" w:rsidR="004551F8" w:rsidRDefault="004551F8" w:rsidP="004551F8">
                            <w:pPr>
                              <w:spacing w:line="280" w:lineRule="exact"/>
                              <w:ind w:left="1081" w:hangingChars="450" w:hanging="1081"/>
                              <w:jc w:val="center"/>
                              <w:rPr>
                                <w:rFonts w:ascii="標楷體" w:eastAsia="標楷體" w:hAnsi="標楷體"/>
                                <w:b/>
                              </w:rPr>
                            </w:pPr>
                          </w:p>
                          <w:p w14:paraId="536FD56D" w14:textId="77777777" w:rsidR="004551F8" w:rsidRDefault="004551F8" w:rsidP="004551F8">
                            <w:pPr>
                              <w:spacing w:line="280" w:lineRule="exact"/>
                              <w:ind w:left="1081" w:hangingChars="450" w:hanging="1081"/>
                              <w:jc w:val="center"/>
                              <w:rPr>
                                <w:rFonts w:ascii="標楷體" w:eastAsia="標楷體" w:hAnsi="標楷體"/>
                                <w:b/>
                              </w:rPr>
                            </w:pPr>
                          </w:p>
                          <w:p w14:paraId="045BA439" w14:textId="77777777" w:rsidR="004551F8" w:rsidRDefault="004551F8" w:rsidP="004551F8">
                            <w:pPr>
                              <w:spacing w:line="280" w:lineRule="exact"/>
                              <w:ind w:left="1081" w:hangingChars="450" w:hanging="1081"/>
                              <w:jc w:val="center"/>
                              <w:rPr>
                                <w:rFonts w:ascii="標楷體" w:eastAsia="標楷體" w:hAnsi="標楷體"/>
                                <w:b/>
                              </w:rPr>
                            </w:pPr>
                          </w:p>
                          <w:p w14:paraId="4AB7C838" w14:textId="77777777" w:rsidR="004551F8" w:rsidRDefault="004551F8" w:rsidP="004551F8">
                            <w:pPr>
                              <w:spacing w:line="280" w:lineRule="exact"/>
                              <w:ind w:left="1081" w:hangingChars="450" w:hanging="1081"/>
                              <w:jc w:val="center"/>
                              <w:rPr>
                                <w:rFonts w:ascii="標楷體" w:eastAsia="標楷體" w:hAnsi="標楷體"/>
                                <w:b/>
                              </w:rPr>
                            </w:pPr>
                          </w:p>
                          <w:p w14:paraId="0788D7F3" w14:textId="77777777" w:rsidR="004551F8" w:rsidRDefault="004551F8" w:rsidP="004551F8">
                            <w:pPr>
                              <w:spacing w:line="280" w:lineRule="exact"/>
                              <w:ind w:left="1080" w:hangingChars="450" w:hanging="1080"/>
                              <w:jc w:val="center"/>
                              <w:rPr>
                                <w:rFonts w:ascii="標楷體" w:eastAsia="標楷體" w:hAnsi="標楷體"/>
                                <w:b/>
                              </w:rPr>
                            </w:pPr>
                            <w:r w:rsidRPr="007470A0">
                              <w:rPr>
                                <w:rFonts w:ascii="Times New Roman" w:eastAsia="新細明體" w:hAnsi="Times New Roman" w:cs="Times New Roman"/>
                                <w:noProof/>
                                <w:szCs w:val="24"/>
                              </w:rPr>
                              <w:drawing>
                                <wp:inline distT="0" distB="0" distL="0" distR="0" wp14:anchorId="35B54BF6" wp14:editId="072FEA4C">
                                  <wp:extent cx="2794984" cy="2049780"/>
                                  <wp:effectExtent l="19050" t="19050" r="24765" b="26670"/>
                                  <wp:docPr id="124" name="圖片 124"/>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8">
                                            <a:extLst>
                                              <a:ext uri="{28A0092B-C50C-407E-A947-70E740481C1C}">
                                                <a14:useLocalDpi xmlns:a14="http://schemas.microsoft.com/office/drawing/2010/main" val="0"/>
                                              </a:ext>
                                            </a:extLst>
                                          </a:blip>
                                          <a:stretch>
                                            <a:fillRect/>
                                          </a:stretch>
                                        </pic:blipFill>
                                        <pic:spPr>
                                          <a:xfrm>
                                            <a:off x="0" y="0"/>
                                            <a:ext cx="2796018" cy="2050538"/>
                                          </a:xfrm>
                                          <a:prstGeom prst="rect">
                                            <a:avLst/>
                                          </a:prstGeom>
                                          <a:ln w="9525">
                                            <a:solidFill>
                                              <a:sysClr val="windowText" lastClr="000000"/>
                                            </a:solidFill>
                                          </a:ln>
                                        </pic:spPr>
                                      </pic:pic>
                                    </a:graphicData>
                                  </a:graphic>
                                </wp:inline>
                              </w:drawing>
                            </w:r>
                          </w:p>
                          <w:p w14:paraId="27D14352" w14:textId="77777777" w:rsidR="004551F8" w:rsidRDefault="004551F8" w:rsidP="004551F8">
                            <w:pPr>
                              <w:spacing w:line="280" w:lineRule="exact"/>
                              <w:ind w:left="1081" w:hangingChars="450" w:hanging="1081"/>
                              <w:jc w:val="center"/>
                              <w:rPr>
                                <w:rFonts w:ascii="標楷體" w:eastAsia="標楷體" w:hAnsi="標楷體"/>
                                <w:sz w:val="20"/>
                              </w:rPr>
                            </w:pPr>
                            <w:proofErr w:type="gramStart"/>
                            <w:r w:rsidRPr="001D6D3B">
                              <w:rPr>
                                <w:rFonts w:ascii="標楷體" w:eastAsia="標楷體" w:hAnsi="標楷體" w:hint="eastAsia"/>
                                <w:b/>
                              </w:rPr>
                              <w:t>暢轉體感</w:t>
                            </w:r>
                            <w:proofErr w:type="gramEnd"/>
                            <w:r w:rsidRPr="001D6D3B">
                              <w:rPr>
                                <w:rFonts w:ascii="標楷體" w:eastAsia="標楷體" w:hAnsi="標楷體" w:hint="eastAsia"/>
                                <w:b/>
                              </w:rPr>
                              <w:t>座椅</w:t>
                            </w:r>
                          </w:p>
                          <w:p w14:paraId="2210638D" w14:textId="77777777" w:rsidR="004551F8" w:rsidRPr="00FD002E" w:rsidRDefault="004551F8" w:rsidP="004551F8">
                            <w:pPr>
                              <w:spacing w:line="280" w:lineRule="exact"/>
                              <w:ind w:left="180" w:hangingChars="100" w:hanging="180"/>
                              <w:jc w:val="center"/>
                              <w:rPr>
                                <w:rFonts w:ascii="標楷體" w:eastAsia="標楷體" w:hAnsi="標楷體"/>
                                <w:sz w:val="18"/>
                                <w:szCs w:val="20"/>
                              </w:rPr>
                            </w:pPr>
                            <w:proofErr w:type="gramStart"/>
                            <w:r w:rsidRPr="00FD002E">
                              <w:rPr>
                                <w:rFonts w:ascii="標楷體" w:eastAsia="標楷體" w:hAnsi="標楷體"/>
                                <w:sz w:val="18"/>
                                <w:szCs w:val="20"/>
                              </w:rPr>
                              <w:t>（</w:t>
                            </w:r>
                            <w:proofErr w:type="gramEnd"/>
                            <w:r w:rsidRPr="00FD002E">
                              <w:rPr>
                                <w:rFonts w:ascii="標楷體" w:eastAsia="標楷體" w:hAnsi="標楷體" w:hint="eastAsia"/>
                                <w:sz w:val="18"/>
                                <w:szCs w:val="20"/>
                              </w:rPr>
                              <w:t>圖片來源</w:t>
                            </w:r>
                            <w:r>
                              <w:rPr>
                                <w:rFonts w:ascii="標楷體" w:eastAsia="標楷體" w:hAnsi="標楷體"/>
                                <w:sz w:val="18"/>
                                <w:szCs w:val="20"/>
                              </w:rPr>
                              <w:t>：</w:t>
                            </w:r>
                            <w:r w:rsidRPr="00FD002E">
                              <w:rPr>
                                <w:rFonts w:ascii="標楷體" w:eastAsia="標楷體" w:hAnsi="標楷體" w:hint="eastAsia"/>
                                <w:sz w:val="18"/>
                                <w:szCs w:val="20"/>
                              </w:rPr>
                              <w:t>本處</w:t>
                            </w:r>
                            <w:r>
                              <w:rPr>
                                <w:rFonts w:ascii="標楷體" w:eastAsia="標楷體" w:hAnsi="標楷體" w:hint="eastAsia"/>
                                <w:sz w:val="18"/>
                                <w:szCs w:val="20"/>
                              </w:rPr>
                              <w:t>於</w:t>
                            </w:r>
                            <w:r w:rsidRPr="00FD002E">
                              <w:rPr>
                                <w:rFonts w:ascii="標楷體" w:eastAsia="標楷體" w:hAnsi="標楷體" w:hint="eastAsia"/>
                                <w:sz w:val="18"/>
                                <w:szCs w:val="20"/>
                              </w:rPr>
                              <w:t>11</w:t>
                            </w:r>
                            <w:r w:rsidRPr="00FD002E">
                              <w:rPr>
                                <w:rFonts w:ascii="標楷體" w:eastAsia="標楷體" w:hAnsi="標楷體"/>
                                <w:sz w:val="18"/>
                                <w:szCs w:val="20"/>
                              </w:rPr>
                              <w:t>4</w:t>
                            </w:r>
                            <w:r w:rsidRPr="00FD002E">
                              <w:rPr>
                                <w:rFonts w:ascii="標楷體" w:eastAsia="標楷體" w:hAnsi="標楷體" w:hint="eastAsia"/>
                                <w:sz w:val="18"/>
                                <w:szCs w:val="20"/>
                              </w:rPr>
                              <w:t>年</w:t>
                            </w:r>
                            <w:r w:rsidRPr="00FD002E">
                              <w:rPr>
                                <w:rFonts w:ascii="標楷體" w:eastAsia="標楷體" w:hAnsi="標楷體"/>
                                <w:sz w:val="18"/>
                                <w:szCs w:val="20"/>
                              </w:rPr>
                              <w:t>3</w:t>
                            </w:r>
                            <w:r w:rsidRPr="00FD002E">
                              <w:rPr>
                                <w:rFonts w:ascii="標楷體" w:eastAsia="標楷體" w:hAnsi="標楷體" w:hint="eastAsia"/>
                                <w:sz w:val="18"/>
                                <w:szCs w:val="20"/>
                              </w:rPr>
                              <w:t>月</w:t>
                            </w:r>
                            <w:r w:rsidRPr="00FD002E">
                              <w:rPr>
                                <w:rFonts w:ascii="標楷體" w:eastAsia="標楷體" w:hAnsi="標楷體"/>
                                <w:sz w:val="18"/>
                                <w:szCs w:val="20"/>
                              </w:rPr>
                              <w:t>3</w:t>
                            </w:r>
                            <w:r w:rsidRPr="00FD002E">
                              <w:rPr>
                                <w:rFonts w:ascii="標楷體" w:eastAsia="標楷體" w:hAnsi="標楷體" w:hint="eastAsia"/>
                                <w:sz w:val="18"/>
                                <w:szCs w:val="20"/>
                              </w:rPr>
                              <w:t>日拍攝</w:t>
                            </w:r>
                            <w:proofErr w:type="gramStart"/>
                            <w:r w:rsidRPr="00FD002E">
                              <w:rPr>
                                <w:rFonts w:ascii="標楷體" w:eastAsia="標楷體" w:hAnsi="標楷體" w:hint="eastAsia"/>
                                <w:sz w:val="18"/>
                                <w:szCs w:val="20"/>
                              </w:rPr>
                              <w:t>）</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7D845" id="_x0000_s1110" type="#_x0000_t202" style="position:absolute;left:0;text-align:left;margin-left:261.75pt;margin-top:159pt;width:244.35pt;height:208.9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" fillcolor="window" stroked="f" strokeweight=".5pt">
                <v:textbox>
                  <w:txbxContent>
                    <w:p w14:paraId="5B92923E" w14:textId="77777777" w:rsidR="004551F8" w:rsidRPr="007470A0" w:rsidRDefault="004551F8" w:rsidP="004551F8">
                      <w:pPr>
                        <w:spacing w:line="360" w:lineRule="exact"/>
                        <w:rPr>
                          <w:sz w:val="18"/>
                          <w:szCs w:val="16"/>
                        </w:rPr>
                      </w:pPr>
                    </w:p>
                    <w:p w14:paraId="21014657" w14:textId="77777777" w:rsidR="004551F8" w:rsidRDefault="004551F8" w:rsidP="004551F8">
                      <w:pPr>
                        <w:spacing w:line="280" w:lineRule="exact"/>
                        <w:ind w:left="1081" w:hangingChars="450" w:hanging="1081"/>
                        <w:jc w:val="center"/>
                        <w:rPr>
                          <w:rFonts w:ascii="標楷體" w:eastAsia="標楷體" w:hAnsi="標楷體"/>
                          <w:b/>
                        </w:rPr>
                      </w:pPr>
                    </w:p>
                    <w:p w14:paraId="48F44E13" w14:textId="77777777" w:rsidR="004551F8" w:rsidRDefault="004551F8" w:rsidP="004551F8">
                      <w:pPr>
                        <w:spacing w:line="280" w:lineRule="exact"/>
                        <w:ind w:left="1081" w:hangingChars="450" w:hanging="1081"/>
                        <w:jc w:val="center"/>
                        <w:rPr>
                          <w:rFonts w:ascii="標楷體" w:eastAsia="標楷體" w:hAnsi="標楷體"/>
                          <w:b/>
                        </w:rPr>
                      </w:pPr>
                    </w:p>
                    <w:p w14:paraId="5F63F9E7" w14:textId="77777777" w:rsidR="004551F8" w:rsidRDefault="004551F8" w:rsidP="004551F8">
                      <w:pPr>
                        <w:spacing w:line="280" w:lineRule="exact"/>
                        <w:ind w:left="1081" w:hangingChars="450" w:hanging="1081"/>
                        <w:jc w:val="center"/>
                        <w:rPr>
                          <w:rFonts w:ascii="標楷體" w:eastAsia="標楷體" w:hAnsi="標楷體"/>
                          <w:b/>
                        </w:rPr>
                      </w:pPr>
                    </w:p>
                    <w:p w14:paraId="19770C4E" w14:textId="77777777" w:rsidR="004551F8" w:rsidRDefault="004551F8" w:rsidP="004551F8">
                      <w:pPr>
                        <w:spacing w:line="280" w:lineRule="exact"/>
                        <w:ind w:left="1081" w:hangingChars="450" w:hanging="1081"/>
                        <w:jc w:val="center"/>
                        <w:rPr>
                          <w:rFonts w:ascii="標楷體" w:eastAsia="標楷體" w:hAnsi="標楷體"/>
                          <w:b/>
                        </w:rPr>
                      </w:pPr>
                    </w:p>
                    <w:p w14:paraId="071FC9B5" w14:textId="77777777" w:rsidR="004551F8" w:rsidRDefault="004551F8" w:rsidP="004551F8">
                      <w:pPr>
                        <w:spacing w:line="280" w:lineRule="exact"/>
                        <w:ind w:left="1081" w:hangingChars="450" w:hanging="1081"/>
                        <w:jc w:val="center"/>
                        <w:rPr>
                          <w:rFonts w:ascii="標楷體" w:eastAsia="標楷體" w:hAnsi="標楷體"/>
                          <w:b/>
                        </w:rPr>
                      </w:pPr>
                    </w:p>
                    <w:p w14:paraId="6989CF29" w14:textId="77777777" w:rsidR="004551F8" w:rsidRDefault="004551F8" w:rsidP="004551F8">
                      <w:pPr>
                        <w:spacing w:line="280" w:lineRule="exact"/>
                        <w:ind w:left="1081" w:hangingChars="450" w:hanging="1081"/>
                        <w:jc w:val="center"/>
                        <w:rPr>
                          <w:rFonts w:ascii="標楷體" w:eastAsia="標楷體" w:hAnsi="標楷體"/>
                          <w:b/>
                        </w:rPr>
                      </w:pPr>
                    </w:p>
                    <w:p w14:paraId="66DD50C0" w14:textId="77777777" w:rsidR="004551F8" w:rsidRDefault="004551F8" w:rsidP="004551F8">
                      <w:pPr>
                        <w:spacing w:line="280" w:lineRule="exact"/>
                        <w:ind w:left="1081" w:hangingChars="450" w:hanging="1081"/>
                        <w:jc w:val="center"/>
                        <w:rPr>
                          <w:rFonts w:ascii="標楷體" w:eastAsia="標楷體" w:hAnsi="標楷體"/>
                          <w:b/>
                        </w:rPr>
                      </w:pPr>
                    </w:p>
                    <w:p w14:paraId="536FD56D" w14:textId="77777777" w:rsidR="004551F8" w:rsidRDefault="004551F8" w:rsidP="004551F8">
                      <w:pPr>
                        <w:spacing w:line="280" w:lineRule="exact"/>
                        <w:ind w:left="1081" w:hangingChars="450" w:hanging="1081"/>
                        <w:jc w:val="center"/>
                        <w:rPr>
                          <w:rFonts w:ascii="標楷體" w:eastAsia="標楷體" w:hAnsi="標楷體"/>
                          <w:b/>
                        </w:rPr>
                      </w:pPr>
                    </w:p>
                    <w:p w14:paraId="045BA439" w14:textId="77777777" w:rsidR="004551F8" w:rsidRDefault="004551F8" w:rsidP="004551F8">
                      <w:pPr>
                        <w:spacing w:line="280" w:lineRule="exact"/>
                        <w:ind w:left="1081" w:hangingChars="450" w:hanging="1081"/>
                        <w:jc w:val="center"/>
                        <w:rPr>
                          <w:rFonts w:ascii="標楷體" w:eastAsia="標楷體" w:hAnsi="標楷體"/>
                          <w:b/>
                        </w:rPr>
                      </w:pPr>
                    </w:p>
                    <w:p w14:paraId="4AB7C838" w14:textId="77777777" w:rsidR="004551F8" w:rsidRDefault="004551F8" w:rsidP="004551F8">
                      <w:pPr>
                        <w:spacing w:line="280" w:lineRule="exact"/>
                        <w:ind w:left="1081" w:hangingChars="450" w:hanging="1081"/>
                        <w:jc w:val="center"/>
                        <w:rPr>
                          <w:rFonts w:ascii="標楷體" w:eastAsia="標楷體" w:hAnsi="標楷體"/>
                          <w:b/>
                        </w:rPr>
                      </w:pPr>
                    </w:p>
                    <w:p w14:paraId="0788D7F3" w14:textId="77777777" w:rsidR="004551F8" w:rsidRDefault="004551F8" w:rsidP="004551F8">
                      <w:pPr>
                        <w:spacing w:line="280" w:lineRule="exact"/>
                        <w:ind w:left="1080" w:hangingChars="450" w:hanging="1080"/>
                        <w:jc w:val="center"/>
                        <w:rPr>
                          <w:rFonts w:ascii="標楷體" w:eastAsia="標楷體" w:hAnsi="標楷體"/>
                          <w:b/>
                        </w:rPr>
                      </w:pPr>
                      <w:r w:rsidRPr="007470A0">
                        <w:rPr>
                          <w:rFonts w:ascii="Times New Roman" w:eastAsia="新細明體" w:hAnsi="Times New Roman" w:cs="Times New Roman"/>
                          <w:noProof/>
                          <w:szCs w:val="24"/>
                        </w:rPr>
                        <w:drawing>
                          <wp:inline distT="0" distB="0" distL="0" distR="0" wp14:anchorId="35B54BF6" wp14:editId="072FEA4C">
                            <wp:extent cx="2794984" cy="2049780"/>
                            <wp:effectExtent l="19050" t="19050" r="24765" b="26670"/>
                            <wp:docPr id="124" name="圖片 124"/>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59">
                                      <a:extLst>
                                        <a:ext uri="{28A0092B-C50C-407E-A947-70E740481C1C}">
                                          <a14:useLocalDpi xmlns:a14="http://schemas.microsoft.com/office/drawing/2010/main" val="0"/>
                                        </a:ext>
                                      </a:extLst>
                                    </a:blip>
                                    <a:stretch>
                                      <a:fillRect/>
                                    </a:stretch>
                                  </pic:blipFill>
                                  <pic:spPr>
                                    <a:xfrm>
                                      <a:off x="0" y="0"/>
                                      <a:ext cx="2796018" cy="2050538"/>
                                    </a:xfrm>
                                    <a:prstGeom prst="rect">
                                      <a:avLst/>
                                    </a:prstGeom>
                                    <a:ln w="9525">
                                      <a:solidFill>
                                        <a:sysClr val="windowText" lastClr="000000"/>
                                      </a:solidFill>
                                    </a:ln>
                                  </pic:spPr>
                                </pic:pic>
                              </a:graphicData>
                            </a:graphic>
                          </wp:inline>
                        </w:drawing>
                      </w:r>
                    </w:p>
                    <w:p w14:paraId="27D14352" w14:textId="77777777" w:rsidR="004551F8" w:rsidRDefault="004551F8" w:rsidP="004551F8">
                      <w:pPr>
                        <w:spacing w:line="280" w:lineRule="exact"/>
                        <w:ind w:left="1081" w:hangingChars="450" w:hanging="1081"/>
                        <w:jc w:val="center"/>
                        <w:rPr>
                          <w:rFonts w:ascii="標楷體" w:eastAsia="標楷體" w:hAnsi="標楷體"/>
                          <w:sz w:val="20"/>
                        </w:rPr>
                      </w:pPr>
                      <w:proofErr w:type="gramStart"/>
                      <w:r w:rsidRPr="001D6D3B">
                        <w:rPr>
                          <w:rFonts w:ascii="標楷體" w:eastAsia="標楷體" w:hAnsi="標楷體" w:hint="eastAsia"/>
                          <w:b/>
                        </w:rPr>
                        <w:t>暢轉體感</w:t>
                      </w:r>
                      <w:proofErr w:type="gramEnd"/>
                      <w:r w:rsidRPr="001D6D3B">
                        <w:rPr>
                          <w:rFonts w:ascii="標楷體" w:eastAsia="標楷體" w:hAnsi="標楷體" w:hint="eastAsia"/>
                          <w:b/>
                        </w:rPr>
                        <w:t>座椅</w:t>
                      </w:r>
                    </w:p>
                    <w:p w14:paraId="2210638D" w14:textId="77777777" w:rsidR="004551F8" w:rsidRPr="00FD002E" w:rsidRDefault="004551F8" w:rsidP="004551F8">
                      <w:pPr>
                        <w:spacing w:line="280" w:lineRule="exact"/>
                        <w:ind w:left="180" w:hangingChars="100" w:hanging="180"/>
                        <w:jc w:val="center"/>
                        <w:rPr>
                          <w:rFonts w:ascii="標楷體" w:eastAsia="標楷體" w:hAnsi="標楷體"/>
                          <w:sz w:val="18"/>
                          <w:szCs w:val="20"/>
                        </w:rPr>
                      </w:pPr>
                      <w:proofErr w:type="gramStart"/>
                      <w:r w:rsidRPr="00FD002E">
                        <w:rPr>
                          <w:rFonts w:ascii="標楷體" w:eastAsia="標楷體" w:hAnsi="標楷體"/>
                          <w:sz w:val="18"/>
                          <w:szCs w:val="20"/>
                        </w:rPr>
                        <w:t>（</w:t>
                      </w:r>
                      <w:proofErr w:type="gramEnd"/>
                      <w:r w:rsidRPr="00FD002E">
                        <w:rPr>
                          <w:rFonts w:ascii="標楷體" w:eastAsia="標楷體" w:hAnsi="標楷體" w:hint="eastAsia"/>
                          <w:sz w:val="18"/>
                          <w:szCs w:val="20"/>
                        </w:rPr>
                        <w:t>圖片來源</w:t>
                      </w:r>
                      <w:r>
                        <w:rPr>
                          <w:rFonts w:ascii="標楷體" w:eastAsia="標楷體" w:hAnsi="標楷體"/>
                          <w:sz w:val="18"/>
                          <w:szCs w:val="20"/>
                        </w:rPr>
                        <w:t>：</w:t>
                      </w:r>
                      <w:r w:rsidRPr="00FD002E">
                        <w:rPr>
                          <w:rFonts w:ascii="標楷體" w:eastAsia="標楷體" w:hAnsi="標楷體" w:hint="eastAsia"/>
                          <w:sz w:val="18"/>
                          <w:szCs w:val="20"/>
                        </w:rPr>
                        <w:t>本處</w:t>
                      </w:r>
                      <w:r>
                        <w:rPr>
                          <w:rFonts w:ascii="標楷體" w:eastAsia="標楷體" w:hAnsi="標楷體" w:hint="eastAsia"/>
                          <w:sz w:val="18"/>
                          <w:szCs w:val="20"/>
                        </w:rPr>
                        <w:t>於</w:t>
                      </w:r>
                      <w:r w:rsidRPr="00FD002E">
                        <w:rPr>
                          <w:rFonts w:ascii="標楷體" w:eastAsia="標楷體" w:hAnsi="標楷體" w:hint="eastAsia"/>
                          <w:sz w:val="18"/>
                          <w:szCs w:val="20"/>
                        </w:rPr>
                        <w:t>11</w:t>
                      </w:r>
                      <w:r w:rsidRPr="00FD002E">
                        <w:rPr>
                          <w:rFonts w:ascii="標楷體" w:eastAsia="標楷體" w:hAnsi="標楷體"/>
                          <w:sz w:val="18"/>
                          <w:szCs w:val="20"/>
                        </w:rPr>
                        <w:t>4</w:t>
                      </w:r>
                      <w:r w:rsidRPr="00FD002E">
                        <w:rPr>
                          <w:rFonts w:ascii="標楷體" w:eastAsia="標楷體" w:hAnsi="標楷體" w:hint="eastAsia"/>
                          <w:sz w:val="18"/>
                          <w:szCs w:val="20"/>
                        </w:rPr>
                        <w:t>年</w:t>
                      </w:r>
                      <w:r w:rsidRPr="00FD002E">
                        <w:rPr>
                          <w:rFonts w:ascii="標楷體" w:eastAsia="標楷體" w:hAnsi="標楷體"/>
                          <w:sz w:val="18"/>
                          <w:szCs w:val="20"/>
                        </w:rPr>
                        <w:t>3</w:t>
                      </w:r>
                      <w:r w:rsidRPr="00FD002E">
                        <w:rPr>
                          <w:rFonts w:ascii="標楷體" w:eastAsia="標楷體" w:hAnsi="標楷體" w:hint="eastAsia"/>
                          <w:sz w:val="18"/>
                          <w:szCs w:val="20"/>
                        </w:rPr>
                        <w:t>月</w:t>
                      </w:r>
                      <w:r w:rsidRPr="00FD002E">
                        <w:rPr>
                          <w:rFonts w:ascii="標楷體" w:eastAsia="標楷體" w:hAnsi="標楷體"/>
                          <w:sz w:val="18"/>
                          <w:szCs w:val="20"/>
                        </w:rPr>
                        <w:t>3</w:t>
                      </w:r>
                      <w:r w:rsidRPr="00FD002E">
                        <w:rPr>
                          <w:rFonts w:ascii="標楷體" w:eastAsia="標楷體" w:hAnsi="標楷體" w:hint="eastAsia"/>
                          <w:sz w:val="18"/>
                          <w:szCs w:val="20"/>
                        </w:rPr>
                        <w:t>日拍攝</w:t>
                      </w:r>
                      <w:proofErr w:type="gramStart"/>
                      <w:r w:rsidRPr="00FD002E">
                        <w:rPr>
                          <w:rFonts w:ascii="標楷體" w:eastAsia="標楷體" w:hAnsi="標楷體" w:hint="eastAsia"/>
                          <w:sz w:val="18"/>
                          <w:szCs w:val="20"/>
                        </w:rPr>
                        <w:t>）</w:t>
                      </w:r>
                      <w:proofErr w:type="gramEnd"/>
                    </w:p>
                  </w:txbxContent>
                </v:textbox>
                <w10:wrap type="through" anchorx="margin"/>
              </v:shape>
            </w:pict>
          </mc:Fallback>
        </mc:AlternateContent>
      </w:r>
      <w:r w:rsidRPr="00B474B8">
        <w:rPr>
          <w:rFonts w:ascii="標楷體" w:eastAsia="標楷體" w:hAnsi="標楷體" w:cs="Times New Roman" w:hint="eastAsia"/>
          <w:szCs w:val="24"/>
        </w:rPr>
        <w:t>部就業安定基金</w:t>
      </w:r>
      <w:proofErr w:type="gramStart"/>
      <w:r w:rsidRPr="00B474B8">
        <w:rPr>
          <w:rFonts w:ascii="標楷體" w:eastAsia="標楷體" w:hAnsi="標楷體" w:cs="Times New Roman" w:hint="eastAsia"/>
          <w:szCs w:val="24"/>
        </w:rPr>
        <w:t>114</w:t>
      </w:r>
      <w:proofErr w:type="gramEnd"/>
      <w:r w:rsidRPr="00B474B8">
        <w:rPr>
          <w:rFonts w:ascii="標楷體" w:eastAsia="標楷體" w:hAnsi="標楷體" w:cs="Times New Roman" w:hint="eastAsia"/>
          <w:szCs w:val="24"/>
        </w:rPr>
        <w:t>年度預算尚未定案，僅能持續與</w:t>
      </w:r>
      <w:proofErr w:type="gramStart"/>
      <w:r w:rsidRPr="00B474B8">
        <w:rPr>
          <w:rFonts w:ascii="標楷體" w:eastAsia="標楷體" w:hAnsi="標楷體" w:cs="Times New Roman" w:hint="eastAsia"/>
          <w:szCs w:val="24"/>
        </w:rPr>
        <w:t>職安署</w:t>
      </w:r>
      <w:proofErr w:type="gramEnd"/>
      <w:r w:rsidRPr="00B474B8">
        <w:rPr>
          <w:rFonts w:ascii="標楷體" w:eastAsia="標楷體" w:hAnsi="標楷體" w:cs="Times New Roman" w:hint="eastAsia"/>
          <w:szCs w:val="24"/>
        </w:rPr>
        <w:t>聯繫討論，而未</w:t>
      </w:r>
      <w:proofErr w:type="gramStart"/>
      <w:r w:rsidRPr="00B474B8">
        <w:rPr>
          <w:rFonts w:ascii="標楷體" w:eastAsia="標楷體" w:hAnsi="標楷體" w:cs="Times New Roman" w:hint="eastAsia"/>
          <w:szCs w:val="24"/>
        </w:rPr>
        <w:t>研</w:t>
      </w:r>
      <w:proofErr w:type="gramEnd"/>
      <w:r w:rsidRPr="00B474B8">
        <w:rPr>
          <w:rFonts w:ascii="標楷體" w:eastAsia="標楷體" w:hAnsi="標楷體" w:cs="Times New Roman" w:hint="eastAsia"/>
          <w:szCs w:val="24"/>
        </w:rPr>
        <w:t>議提報計畫，且亦未自行編列相關預算續租賃設備，致XR訓練場域自</w:t>
      </w:r>
      <w:proofErr w:type="gramStart"/>
      <w:r w:rsidRPr="00B474B8">
        <w:rPr>
          <w:rFonts w:ascii="標楷體" w:eastAsia="標楷體" w:hAnsi="標楷體" w:cs="Times New Roman" w:hint="eastAsia"/>
          <w:szCs w:val="24"/>
        </w:rPr>
        <w:t>相關體感設備</w:t>
      </w:r>
      <w:proofErr w:type="gramEnd"/>
      <w:r w:rsidRPr="00B474B8">
        <w:rPr>
          <w:rFonts w:ascii="標楷體" w:eastAsia="標楷體" w:hAnsi="標楷體" w:cs="Times New Roman" w:hint="eastAsia"/>
          <w:szCs w:val="24"/>
        </w:rPr>
        <w:t>因租期屆滿返還廠商後，已閒置2個月餘，並中斷轄內勞工對高風險作業危害辨識之模擬訓練。</w:t>
      </w:r>
      <w:proofErr w:type="gramStart"/>
      <w:r w:rsidRPr="00B474B8">
        <w:rPr>
          <w:rFonts w:ascii="標楷體" w:eastAsia="標楷體" w:hAnsi="標楷體" w:cs="Times New Roman" w:hint="eastAsia"/>
          <w:szCs w:val="24"/>
        </w:rPr>
        <w:t>鑑</w:t>
      </w:r>
      <w:proofErr w:type="gramEnd"/>
      <w:r w:rsidRPr="00B474B8">
        <w:rPr>
          <w:rFonts w:ascii="標楷體" w:eastAsia="標楷體" w:hAnsi="標楷體" w:cs="Times New Roman" w:hint="eastAsia"/>
          <w:szCs w:val="24"/>
        </w:rPr>
        <w:t>於近年來各工作場域發生工作人員自高處墜落，或從事電氣作業</w:t>
      </w:r>
      <w:proofErr w:type="gramStart"/>
      <w:r w:rsidRPr="00B474B8">
        <w:rPr>
          <w:rFonts w:ascii="標楷體" w:eastAsia="標楷體" w:hAnsi="標楷體" w:cs="Times New Roman" w:hint="eastAsia"/>
          <w:szCs w:val="24"/>
        </w:rPr>
        <w:t>因感電等</w:t>
      </w:r>
      <w:proofErr w:type="gramEnd"/>
      <w:r w:rsidRPr="00B474B8">
        <w:rPr>
          <w:rFonts w:ascii="標楷體" w:eastAsia="標楷體" w:hAnsi="標楷體" w:cs="Times New Roman" w:hint="eastAsia"/>
          <w:szCs w:val="24"/>
        </w:rPr>
        <w:t>發生職業災害屢見不鮮，且為避免場地持續閒置，允宜積極依上開會議決議提報計畫爭取</w:t>
      </w:r>
      <w:proofErr w:type="gramStart"/>
      <w:r w:rsidRPr="00B474B8">
        <w:rPr>
          <w:rFonts w:ascii="標楷體" w:eastAsia="標楷體" w:hAnsi="標楷體" w:cs="Times New Roman" w:hint="eastAsia"/>
          <w:szCs w:val="24"/>
        </w:rPr>
        <w:t>職安署</w:t>
      </w:r>
      <w:proofErr w:type="gramEnd"/>
      <w:r w:rsidRPr="00B474B8">
        <w:rPr>
          <w:rFonts w:ascii="標楷體" w:eastAsia="標楷體" w:hAnsi="標楷體" w:cs="Times New Roman" w:hint="eastAsia"/>
          <w:szCs w:val="24"/>
        </w:rPr>
        <w:t>補助或自籌經費，</w:t>
      </w:r>
      <w:proofErr w:type="gramStart"/>
      <w:r w:rsidRPr="00B474B8">
        <w:rPr>
          <w:rFonts w:ascii="標楷體" w:eastAsia="標楷體" w:hAnsi="標楷體" w:cs="Times New Roman" w:hint="eastAsia"/>
          <w:szCs w:val="24"/>
        </w:rPr>
        <w:t>俾</w:t>
      </w:r>
      <w:proofErr w:type="gramEnd"/>
      <w:r w:rsidRPr="00B474B8">
        <w:rPr>
          <w:rFonts w:ascii="標楷體" w:eastAsia="標楷體" w:hAnsi="標楷體" w:cs="Times New Roman" w:hint="eastAsia"/>
          <w:szCs w:val="24"/>
        </w:rPr>
        <w:t>能儘速再開設XR訓練場域，提升轄內勞工對高風險作業危害辨識能力，有效防止職業災害發生，經函請</w:t>
      </w:r>
      <w:proofErr w:type="gramStart"/>
      <w:r w:rsidRPr="00B474B8">
        <w:rPr>
          <w:rFonts w:ascii="標楷體" w:eastAsia="標楷體" w:hAnsi="標楷體" w:cs="Times New Roman" w:hint="eastAsia"/>
          <w:szCs w:val="24"/>
        </w:rPr>
        <w:t>研謀妥處</w:t>
      </w:r>
      <w:proofErr w:type="gramEnd"/>
      <w:r w:rsidRPr="00B474B8">
        <w:rPr>
          <w:rFonts w:ascii="標楷體" w:eastAsia="標楷體" w:hAnsi="標楷體" w:cs="Times New Roman" w:hint="eastAsia"/>
          <w:szCs w:val="24"/>
        </w:rPr>
        <w:t>。據復：已於114年5月提報計畫經</w:t>
      </w:r>
      <w:proofErr w:type="gramStart"/>
      <w:r w:rsidRPr="00B474B8">
        <w:rPr>
          <w:rFonts w:ascii="標楷體" w:eastAsia="標楷體" w:hAnsi="標楷體" w:cs="Times New Roman" w:hint="eastAsia"/>
          <w:szCs w:val="24"/>
        </w:rPr>
        <w:t>職安署</w:t>
      </w:r>
      <w:proofErr w:type="gramEnd"/>
      <w:r w:rsidRPr="00B474B8">
        <w:rPr>
          <w:rFonts w:ascii="標楷體" w:eastAsia="標楷體" w:hAnsi="標楷體" w:cs="Times New Roman" w:hint="eastAsia"/>
          <w:szCs w:val="24"/>
        </w:rPr>
        <w:t>核定，</w:t>
      </w:r>
      <w:proofErr w:type="gramStart"/>
      <w:r w:rsidRPr="00B474B8">
        <w:rPr>
          <w:rFonts w:ascii="標楷體" w:eastAsia="標楷體" w:hAnsi="標楷體" w:cs="Times New Roman" w:hint="eastAsia"/>
          <w:szCs w:val="24"/>
        </w:rPr>
        <w:t>俟</w:t>
      </w:r>
      <w:proofErr w:type="gramEnd"/>
      <w:r w:rsidRPr="00B474B8">
        <w:rPr>
          <w:rFonts w:ascii="標楷體" w:eastAsia="標楷體" w:hAnsi="標楷體" w:cs="Times New Roman" w:hint="eastAsia"/>
          <w:szCs w:val="24"/>
        </w:rPr>
        <w:t>中央撥付款項後，即辦理場域建置招標。</w:t>
      </w:r>
    </w:p>
    <w:p w14:paraId="462E429A" w14:textId="77777777" w:rsidR="004551F8" w:rsidRPr="00B474B8" w:rsidRDefault="004551F8" w:rsidP="004551F8">
      <w:pPr>
        <w:overflowPunct w:val="0"/>
        <w:spacing w:before="120" w:after="120" w:line="460" w:lineRule="exact"/>
        <w:jc w:val="both"/>
        <w:rPr>
          <w:rFonts w:ascii="標楷體" w:eastAsia="標楷體" w:hAnsi="標楷體" w:cs="Times New Roman"/>
          <w:b/>
          <w:sz w:val="32"/>
          <w:szCs w:val="32"/>
        </w:rPr>
      </w:pPr>
      <w:r w:rsidRPr="00B474B8">
        <w:rPr>
          <w:rFonts w:ascii="標楷體" w:eastAsia="標楷體" w:hAnsi="標楷體" w:cs="Times New Roman" w:hint="eastAsia"/>
          <w:b/>
          <w:sz w:val="32"/>
          <w:szCs w:val="32"/>
        </w:rPr>
        <w:t>四、</w:t>
      </w:r>
      <w:proofErr w:type="gramStart"/>
      <w:r w:rsidRPr="00B474B8">
        <w:rPr>
          <w:rFonts w:ascii="標楷體" w:eastAsia="標楷體" w:hAnsi="標楷體" w:cs="Times New Roman" w:hint="eastAsia"/>
          <w:b/>
          <w:sz w:val="32"/>
          <w:szCs w:val="32"/>
        </w:rPr>
        <w:t>112</w:t>
      </w:r>
      <w:proofErr w:type="gramEnd"/>
      <w:r w:rsidRPr="00B474B8">
        <w:rPr>
          <w:rFonts w:ascii="標楷體" w:eastAsia="標楷體" w:hAnsi="標楷體" w:cs="Times New Roman" w:hint="eastAsia"/>
          <w:b/>
          <w:sz w:val="32"/>
          <w:szCs w:val="32"/>
        </w:rPr>
        <w:t>年度重要審核意見追蹤查核情形</w:t>
      </w:r>
    </w:p>
    <w:p w14:paraId="77BDF545" w14:textId="77777777" w:rsidR="004551F8" w:rsidRPr="00B474B8" w:rsidRDefault="004551F8" w:rsidP="004551F8">
      <w:pPr>
        <w:overflowPunct w:val="0"/>
        <w:spacing w:line="460" w:lineRule="exact"/>
        <w:ind w:firstLineChars="200" w:firstLine="480"/>
        <w:jc w:val="both"/>
        <w:rPr>
          <w:rFonts w:ascii="標楷體" w:eastAsia="標楷體" w:hAnsi="標楷體"/>
          <w:bCs/>
        </w:rPr>
      </w:pPr>
      <w:r w:rsidRPr="00B474B8">
        <w:rPr>
          <w:rFonts w:ascii="標楷體" w:eastAsia="標楷體" w:hAnsi="標楷體" w:cs="Times New Roman" w:hint="eastAsia"/>
          <w:szCs w:val="24"/>
        </w:rPr>
        <w:t>本處於</w:t>
      </w:r>
      <w:proofErr w:type="gramStart"/>
      <w:r w:rsidRPr="00B474B8">
        <w:rPr>
          <w:rFonts w:ascii="標楷體" w:eastAsia="標楷體" w:hAnsi="標楷體" w:cs="Times New Roman" w:hint="eastAsia"/>
          <w:szCs w:val="24"/>
        </w:rPr>
        <w:t>112</w:t>
      </w:r>
      <w:proofErr w:type="gramEnd"/>
      <w:r w:rsidRPr="00B474B8">
        <w:rPr>
          <w:rFonts w:ascii="標楷體" w:eastAsia="標楷體" w:hAnsi="標楷體" w:cs="Times New Roman" w:hint="eastAsia"/>
          <w:szCs w:val="24"/>
        </w:rPr>
        <w:t>年度審核報告內列重要審核意見</w:t>
      </w:r>
      <w:r w:rsidRPr="00B474B8">
        <w:rPr>
          <w:rFonts w:ascii="標楷體" w:eastAsia="標楷體" w:hAnsi="標楷體" w:cs="Times New Roman"/>
          <w:szCs w:val="24"/>
        </w:rPr>
        <w:t>3</w:t>
      </w:r>
      <w:r w:rsidRPr="00B474B8">
        <w:rPr>
          <w:rFonts w:ascii="標楷體" w:eastAsia="標楷體" w:hAnsi="標楷體" w:cs="Times New Roman" w:hint="eastAsia"/>
          <w:szCs w:val="24"/>
        </w:rPr>
        <w:t>項，經</w:t>
      </w:r>
      <w:proofErr w:type="gramStart"/>
      <w:r w:rsidRPr="00B474B8">
        <w:rPr>
          <w:rFonts w:ascii="標楷體" w:eastAsia="標楷體" w:hAnsi="標楷體" w:cs="Times New Roman" w:hint="eastAsia"/>
          <w:szCs w:val="24"/>
        </w:rPr>
        <w:t>賡</w:t>
      </w:r>
      <w:proofErr w:type="gramEnd"/>
      <w:r w:rsidRPr="00B474B8">
        <w:rPr>
          <w:rFonts w:ascii="標楷體" w:eastAsia="標楷體" w:hAnsi="標楷體" w:cs="Times New Roman" w:hint="eastAsia"/>
          <w:szCs w:val="24"/>
        </w:rPr>
        <w:t>續追蹤查核實際辦理結果，</w:t>
      </w:r>
      <w:r w:rsidRPr="00B474B8">
        <w:rPr>
          <w:rFonts w:ascii="標楷體" w:eastAsia="標楷體" w:hAnsi="標楷體" w:hint="eastAsia"/>
          <w:bCs/>
        </w:rPr>
        <w:t>均已</w:t>
      </w:r>
      <w:proofErr w:type="gramStart"/>
      <w:r w:rsidRPr="00B474B8">
        <w:rPr>
          <w:rFonts w:ascii="標楷體" w:eastAsia="標楷體" w:hAnsi="標楷體" w:hint="eastAsia"/>
          <w:bCs/>
        </w:rPr>
        <w:t>研</w:t>
      </w:r>
      <w:proofErr w:type="gramEnd"/>
      <w:r w:rsidRPr="00B474B8">
        <w:rPr>
          <w:rFonts w:ascii="標楷體" w:eastAsia="標楷體" w:hAnsi="標楷體" w:hint="eastAsia"/>
          <w:bCs/>
        </w:rPr>
        <w:t>謀改善或依改善措施持續辦理（表4）。</w:t>
      </w:r>
    </w:p>
    <w:tbl>
      <w:tblPr>
        <w:tblStyle w:val="19"/>
        <w:tblW w:w="5000" w:type="pct"/>
        <w:tblCellMar>
          <w:left w:w="28" w:type="dxa"/>
          <w:right w:w="28" w:type="dxa"/>
        </w:tblCellMar>
        <w:tblLook w:val="04A0" w:firstRow="1" w:lastRow="0" w:firstColumn="1" w:lastColumn="0" w:noHBand="0" w:noVBand="1"/>
      </w:tblPr>
      <w:tblGrid>
        <w:gridCol w:w="6238"/>
        <w:gridCol w:w="3685"/>
      </w:tblGrid>
      <w:tr w:rsidR="004551F8" w:rsidRPr="00B474B8" w14:paraId="73886328" w14:textId="77777777" w:rsidTr="00824CD6">
        <w:trPr>
          <w:trHeight w:val="447"/>
        </w:trPr>
        <w:tc>
          <w:tcPr>
            <w:tcW w:w="5000" w:type="pct"/>
            <w:gridSpan w:val="2"/>
            <w:tcBorders>
              <w:top w:val="nil"/>
              <w:left w:val="nil"/>
              <w:bottom w:val="single" w:sz="4" w:space="0" w:color="auto"/>
              <w:right w:val="nil"/>
            </w:tcBorders>
            <w:vAlign w:val="center"/>
          </w:tcPr>
          <w:p w14:paraId="4D77446A" w14:textId="77777777" w:rsidR="004551F8" w:rsidRPr="00B474B8" w:rsidRDefault="004551F8" w:rsidP="00824CD6">
            <w:pPr>
              <w:widowControl/>
              <w:adjustRightInd w:val="0"/>
              <w:snapToGrid w:val="0"/>
              <w:spacing w:line="320" w:lineRule="exact"/>
              <w:jc w:val="center"/>
              <w:rPr>
                <w:rFonts w:ascii="標楷體" w:eastAsia="標楷體" w:hAnsi="標楷體" w:cs="新細明體"/>
                <w:color w:val="000000"/>
                <w:kern w:val="0"/>
                <w:sz w:val="20"/>
                <w:szCs w:val="20"/>
              </w:rPr>
            </w:pPr>
            <w:r w:rsidRPr="00B474B8">
              <w:rPr>
                <w:rFonts w:ascii="標楷體" w:eastAsia="標楷體" w:hAnsi="標楷體" w:cs="新細明體" w:hint="eastAsia"/>
                <w:b/>
                <w:bCs/>
                <w:color w:val="000000"/>
                <w:kern w:val="0"/>
                <w:szCs w:val="24"/>
              </w:rPr>
              <w:t xml:space="preserve">表4　</w:t>
            </w:r>
            <w:proofErr w:type="gramStart"/>
            <w:r w:rsidRPr="00B474B8">
              <w:rPr>
                <w:rFonts w:ascii="標楷體" w:eastAsia="標楷體" w:hAnsi="標楷體" w:cs="新細明體" w:hint="eastAsia"/>
                <w:b/>
                <w:bCs/>
                <w:color w:val="000000"/>
                <w:kern w:val="0"/>
                <w:szCs w:val="24"/>
              </w:rPr>
              <w:t>112</w:t>
            </w:r>
            <w:proofErr w:type="gramEnd"/>
            <w:r w:rsidRPr="00B474B8">
              <w:rPr>
                <w:rFonts w:ascii="標楷體" w:eastAsia="標楷體" w:hAnsi="標楷體" w:cs="新細明體" w:hint="eastAsia"/>
                <w:b/>
                <w:bCs/>
                <w:color w:val="000000"/>
                <w:kern w:val="0"/>
                <w:szCs w:val="24"/>
              </w:rPr>
              <w:t>年度審核報告所列勞動局主管重要審核意見覆核辦理情形</w:t>
            </w:r>
          </w:p>
        </w:tc>
      </w:tr>
      <w:tr w:rsidR="004551F8" w:rsidRPr="00B474B8" w14:paraId="30869165" w14:textId="77777777" w:rsidTr="00EE7738">
        <w:trPr>
          <w:trHeight w:val="454"/>
        </w:trPr>
        <w:tc>
          <w:tcPr>
            <w:tcW w:w="3143" w:type="pct"/>
            <w:tcBorders>
              <w:top w:val="single" w:sz="4" w:space="0" w:color="auto"/>
              <w:bottom w:val="single" w:sz="4" w:space="0" w:color="auto"/>
            </w:tcBorders>
            <w:vAlign w:val="center"/>
          </w:tcPr>
          <w:p w14:paraId="5250EEC4" w14:textId="77777777" w:rsidR="004551F8" w:rsidRPr="00B474B8" w:rsidRDefault="004551F8" w:rsidP="00824CD6">
            <w:pPr>
              <w:widowControl/>
              <w:adjustRightInd w:val="0"/>
              <w:snapToGrid w:val="0"/>
              <w:spacing w:line="280" w:lineRule="exact"/>
              <w:jc w:val="center"/>
              <w:rPr>
                <w:rFonts w:ascii="標楷體" w:eastAsia="標楷體" w:hAnsi="標楷體" w:cs="新細明體"/>
                <w:color w:val="000000"/>
                <w:kern w:val="0"/>
                <w:sz w:val="20"/>
                <w:szCs w:val="20"/>
              </w:rPr>
            </w:pPr>
            <w:r w:rsidRPr="00B474B8">
              <w:rPr>
                <w:rFonts w:ascii="標楷體" w:eastAsia="標楷體" w:hAnsi="標楷體" w:cs="新細明體" w:hint="eastAsia"/>
                <w:color w:val="000000"/>
                <w:kern w:val="0"/>
                <w:sz w:val="20"/>
                <w:szCs w:val="20"/>
              </w:rPr>
              <w:t>重要審核意見標題</w:t>
            </w:r>
          </w:p>
        </w:tc>
        <w:tc>
          <w:tcPr>
            <w:tcW w:w="1857" w:type="pct"/>
            <w:tcBorders>
              <w:top w:val="single" w:sz="4" w:space="0" w:color="auto"/>
              <w:bottom w:val="single" w:sz="4" w:space="0" w:color="auto"/>
            </w:tcBorders>
            <w:vAlign w:val="center"/>
          </w:tcPr>
          <w:p w14:paraId="05E4AB26" w14:textId="77777777" w:rsidR="004551F8" w:rsidRPr="00B474B8" w:rsidRDefault="004551F8" w:rsidP="00824CD6">
            <w:pPr>
              <w:widowControl/>
              <w:adjustRightInd w:val="0"/>
              <w:snapToGrid w:val="0"/>
              <w:spacing w:line="280" w:lineRule="exact"/>
              <w:jc w:val="center"/>
              <w:rPr>
                <w:rFonts w:ascii="標楷體" w:eastAsia="標楷體" w:hAnsi="標楷體" w:cs="新細明體"/>
                <w:color w:val="000000"/>
                <w:kern w:val="0"/>
                <w:sz w:val="20"/>
                <w:szCs w:val="20"/>
              </w:rPr>
            </w:pPr>
            <w:r w:rsidRPr="00B474B8">
              <w:rPr>
                <w:rFonts w:ascii="標楷體" w:eastAsia="標楷體" w:hAnsi="標楷體" w:cs="新細明體" w:hint="eastAsia"/>
                <w:color w:val="000000"/>
                <w:kern w:val="0"/>
                <w:sz w:val="20"/>
                <w:szCs w:val="20"/>
              </w:rPr>
              <w:t>說明</w:t>
            </w:r>
          </w:p>
        </w:tc>
      </w:tr>
      <w:tr w:rsidR="004551F8" w:rsidRPr="00B474B8" w14:paraId="3AF5F446" w14:textId="77777777" w:rsidTr="00824CD6">
        <w:trPr>
          <w:trHeight w:val="423"/>
        </w:trPr>
        <w:tc>
          <w:tcPr>
            <w:tcW w:w="5000" w:type="pct"/>
            <w:gridSpan w:val="2"/>
            <w:tcBorders>
              <w:top w:val="single" w:sz="4" w:space="0" w:color="auto"/>
              <w:left w:val="single" w:sz="4" w:space="0" w:color="auto"/>
              <w:bottom w:val="single" w:sz="4" w:space="0" w:color="auto"/>
              <w:right w:val="single" w:sz="4" w:space="0" w:color="auto"/>
            </w:tcBorders>
            <w:vAlign w:val="center"/>
          </w:tcPr>
          <w:p w14:paraId="35849932" w14:textId="77777777" w:rsidR="004551F8" w:rsidRPr="00B474B8" w:rsidRDefault="004551F8" w:rsidP="00824CD6">
            <w:pPr>
              <w:widowControl/>
              <w:adjustRightInd w:val="0"/>
              <w:snapToGrid w:val="0"/>
              <w:spacing w:line="240" w:lineRule="exact"/>
              <w:jc w:val="both"/>
              <w:rPr>
                <w:rFonts w:ascii="標楷體" w:eastAsia="標楷體" w:hAnsi="標楷體" w:cs="新細明體"/>
                <w:color w:val="000000"/>
                <w:kern w:val="0"/>
                <w:position w:val="6"/>
                <w:sz w:val="20"/>
                <w:szCs w:val="20"/>
              </w:rPr>
            </w:pPr>
            <w:r w:rsidRPr="00B474B8">
              <w:rPr>
                <w:rFonts w:ascii="標楷體" w:eastAsia="標楷體" w:hAnsi="標楷體" w:cs="新細明體" w:hint="eastAsia"/>
                <w:b/>
                <w:bCs/>
                <w:color w:val="000000"/>
                <w:kern w:val="0"/>
                <w:sz w:val="20"/>
                <w:szCs w:val="20"/>
              </w:rPr>
              <w:t>已</w:t>
            </w:r>
            <w:proofErr w:type="gramStart"/>
            <w:r w:rsidRPr="00B474B8">
              <w:rPr>
                <w:rFonts w:ascii="標楷體" w:eastAsia="標楷體" w:hAnsi="標楷體" w:cs="新細明體" w:hint="eastAsia"/>
                <w:b/>
                <w:bCs/>
                <w:color w:val="000000"/>
                <w:kern w:val="0"/>
                <w:sz w:val="20"/>
                <w:szCs w:val="20"/>
              </w:rPr>
              <w:t>研</w:t>
            </w:r>
            <w:proofErr w:type="gramEnd"/>
            <w:r w:rsidRPr="00B474B8">
              <w:rPr>
                <w:rFonts w:ascii="標楷體" w:eastAsia="標楷體" w:hAnsi="標楷體" w:cs="新細明體" w:hint="eastAsia"/>
                <w:b/>
                <w:bCs/>
                <w:color w:val="000000"/>
                <w:kern w:val="0"/>
                <w:sz w:val="20"/>
                <w:szCs w:val="20"/>
              </w:rPr>
              <w:t>謀改善或依改善措施持續辦理</w:t>
            </w:r>
          </w:p>
        </w:tc>
      </w:tr>
      <w:tr w:rsidR="004551F8" w:rsidRPr="00B474B8" w14:paraId="41E1084A" w14:textId="77777777" w:rsidTr="00824CD6">
        <w:trPr>
          <w:trHeight w:val="748"/>
        </w:trPr>
        <w:tc>
          <w:tcPr>
            <w:tcW w:w="3143" w:type="pct"/>
            <w:tcBorders>
              <w:top w:val="single" w:sz="4" w:space="0" w:color="auto"/>
            </w:tcBorders>
          </w:tcPr>
          <w:p w14:paraId="08A8E47F" w14:textId="77777777" w:rsidR="004551F8" w:rsidRPr="00B474B8" w:rsidRDefault="004551F8" w:rsidP="00824CD6">
            <w:pPr>
              <w:kinsoku w:val="0"/>
              <w:overflowPunct w:val="0"/>
              <w:autoSpaceDE w:val="0"/>
              <w:autoSpaceDN w:val="0"/>
              <w:adjustRightInd w:val="0"/>
              <w:snapToGrid w:val="0"/>
              <w:spacing w:line="240" w:lineRule="exact"/>
              <w:ind w:left="580" w:hangingChars="290" w:hanging="580"/>
              <w:jc w:val="both"/>
              <w:rPr>
                <w:rFonts w:ascii="標楷體" w:eastAsia="標楷體" w:hAnsi="標楷體" w:cs="Times New Roman"/>
                <w:sz w:val="20"/>
                <w:szCs w:val="20"/>
              </w:rPr>
            </w:pPr>
            <w:r w:rsidRPr="00B474B8">
              <w:rPr>
                <w:rFonts w:ascii="標楷體" w:eastAsia="標楷體" w:hAnsi="標楷體" w:cs="Times New Roman" w:hint="eastAsia"/>
                <w:sz w:val="20"/>
                <w:szCs w:val="20"/>
              </w:rPr>
              <w:t>（一）職能發展學院部分課程就業率低於目標值；另自辦照顧服務員職訓培育課程，授課時數高於中央補助委外辦理之訓練，惟結訓後就業率反較低，均待</w:t>
            </w:r>
            <w:proofErr w:type="gramStart"/>
            <w:r w:rsidRPr="00B474B8">
              <w:rPr>
                <w:rFonts w:ascii="標楷體" w:eastAsia="標楷體" w:hAnsi="標楷體" w:cs="Times New Roman" w:hint="eastAsia"/>
                <w:sz w:val="20"/>
                <w:szCs w:val="20"/>
              </w:rPr>
              <w:t>研</w:t>
            </w:r>
            <w:proofErr w:type="gramEnd"/>
            <w:r w:rsidRPr="00B474B8">
              <w:rPr>
                <w:rFonts w:ascii="標楷體" w:eastAsia="標楷體" w:hAnsi="標楷體" w:cs="Times New Roman" w:hint="eastAsia"/>
                <w:sz w:val="20"/>
                <w:szCs w:val="20"/>
              </w:rPr>
              <w:t>謀改善，以提升訓練成效。</w:t>
            </w:r>
          </w:p>
        </w:tc>
        <w:tc>
          <w:tcPr>
            <w:tcW w:w="1857" w:type="pct"/>
            <w:vMerge w:val="restart"/>
            <w:tcBorders>
              <w:top w:val="single" w:sz="4" w:space="0" w:color="auto"/>
              <w:tl2br w:val="single" w:sz="4" w:space="0" w:color="auto"/>
            </w:tcBorders>
          </w:tcPr>
          <w:p w14:paraId="52527F0D" w14:textId="77777777" w:rsidR="004551F8" w:rsidRPr="00B474B8" w:rsidRDefault="004551F8" w:rsidP="00824CD6">
            <w:pPr>
              <w:widowControl/>
              <w:adjustRightInd w:val="0"/>
              <w:snapToGrid w:val="0"/>
              <w:jc w:val="both"/>
              <w:rPr>
                <w:rFonts w:ascii="標楷體" w:eastAsia="標楷體" w:hAnsi="標楷體" w:cs="新細明體"/>
                <w:color w:val="000000"/>
                <w:kern w:val="0"/>
                <w:sz w:val="20"/>
                <w:szCs w:val="20"/>
              </w:rPr>
            </w:pPr>
          </w:p>
        </w:tc>
      </w:tr>
      <w:tr w:rsidR="004551F8" w:rsidRPr="00B474B8" w14:paraId="4EC9CC66" w14:textId="77777777" w:rsidTr="00824CD6">
        <w:trPr>
          <w:trHeight w:val="748"/>
        </w:trPr>
        <w:tc>
          <w:tcPr>
            <w:tcW w:w="3143" w:type="pct"/>
          </w:tcPr>
          <w:p w14:paraId="7107CE4E" w14:textId="77777777" w:rsidR="004551F8" w:rsidRPr="00B474B8" w:rsidRDefault="004551F8" w:rsidP="00824CD6">
            <w:pPr>
              <w:kinsoku w:val="0"/>
              <w:overflowPunct w:val="0"/>
              <w:autoSpaceDE w:val="0"/>
              <w:autoSpaceDN w:val="0"/>
              <w:adjustRightInd w:val="0"/>
              <w:snapToGrid w:val="0"/>
              <w:spacing w:line="240" w:lineRule="exact"/>
              <w:ind w:left="580" w:hangingChars="290" w:hanging="580"/>
              <w:jc w:val="both"/>
              <w:rPr>
                <w:rFonts w:ascii="標楷體" w:eastAsia="標楷體" w:hAnsi="標楷體" w:cs="Times New Roman"/>
                <w:sz w:val="20"/>
                <w:szCs w:val="20"/>
              </w:rPr>
            </w:pPr>
            <w:r w:rsidRPr="00B474B8">
              <w:rPr>
                <w:rFonts w:ascii="標楷體" w:eastAsia="標楷體" w:hAnsi="標楷體" w:cs="Times New Roman" w:hint="eastAsia"/>
                <w:sz w:val="20"/>
                <w:szCs w:val="20"/>
              </w:rPr>
              <w:t>（二）</w:t>
            </w:r>
            <w:r w:rsidRPr="00B474B8">
              <w:rPr>
                <w:rFonts w:ascii="標楷體" w:eastAsia="標楷體" w:hAnsi="標楷體" w:cs="Times New Roman"/>
                <w:sz w:val="20"/>
                <w:szCs w:val="20"/>
              </w:rPr>
              <w:t>職能發展學院自辦職能培育課程僅透過電話訪問追蹤後續就業情形，有待參考勞動部就業安定基金以勞保加保資料勾</w:t>
            </w:r>
            <w:proofErr w:type="gramStart"/>
            <w:r w:rsidRPr="00B474B8">
              <w:rPr>
                <w:rFonts w:ascii="標楷體" w:eastAsia="標楷體" w:hAnsi="標楷體" w:cs="Times New Roman"/>
                <w:sz w:val="20"/>
                <w:szCs w:val="20"/>
              </w:rPr>
              <w:t>稽</w:t>
            </w:r>
            <w:proofErr w:type="gramEnd"/>
            <w:r w:rsidRPr="00B474B8">
              <w:rPr>
                <w:rFonts w:ascii="標楷體" w:eastAsia="標楷體" w:hAnsi="標楷體" w:cs="Times New Roman"/>
                <w:sz w:val="20"/>
                <w:szCs w:val="20"/>
              </w:rPr>
              <w:t>，較能獲得客觀數據。</w:t>
            </w:r>
          </w:p>
        </w:tc>
        <w:tc>
          <w:tcPr>
            <w:tcW w:w="1857" w:type="pct"/>
            <w:vMerge/>
            <w:tcBorders>
              <w:tl2br w:val="single" w:sz="4" w:space="0" w:color="auto"/>
            </w:tcBorders>
          </w:tcPr>
          <w:p w14:paraId="538274DB" w14:textId="77777777" w:rsidR="004551F8" w:rsidRPr="00B474B8" w:rsidRDefault="004551F8" w:rsidP="00824CD6">
            <w:pPr>
              <w:widowControl/>
              <w:adjustRightInd w:val="0"/>
              <w:snapToGrid w:val="0"/>
              <w:jc w:val="both"/>
              <w:rPr>
                <w:rFonts w:ascii="標楷體" w:eastAsia="標楷體" w:hAnsi="標楷體" w:cs="新細明體"/>
                <w:color w:val="000000"/>
                <w:kern w:val="0"/>
                <w:sz w:val="20"/>
                <w:szCs w:val="20"/>
              </w:rPr>
            </w:pPr>
          </w:p>
        </w:tc>
      </w:tr>
      <w:tr w:rsidR="004551F8" w:rsidRPr="00B474B8" w14:paraId="3F4B707B" w14:textId="77777777" w:rsidTr="00824CD6">
        <w:trPr>
          <w:trHeight w:val="748"/>
        </w:trPr>
        <w:tc>
          <w:tcPr>
            <w:tcW w:w="3143" w:type="pct"/>
          </w:tcPr>
          <w:p w14:paraId="2EB352E7" w14:textId="77777777" w:rsidR="004551F8" w:rsidRPr="00B474B8" w:rsidRDefault="004551F8" w:rsidP="00824CD6">
            <w:pPr>
              <w:kinsoku w:val="0"/>
              <w:overflowPunct w:val="0"/>
              <w:autoSpaceDE w:val="0"/>
              <w:autoSpaceDN w:val="0"/>
              <w:adjustRightInd w:val="0"/>
              <w:snapToGrid w:val="0"/>
              <w:spacing w:line="240" w:lineRule="exact"/>
              <w:ind w:left="580" w:hangingChars="290" w:hanging="580"/>
              <w:jc w:val="both"/>
              <w:rPr>
                <w:rFonts w:ascii="標楷體" w:eastAsia="標楷體" w:hAnsi="標楷體" w:cs="Times New Roman"/>
                <w:sz w:val="20"/>
                <w:szCs w:val="20"/>
              </w:rPr>
            </w:pPr>
            <w:r w:rsidRPr="00B474B8">
              <w:rPr>
                <w:rFonts w:ascii="標楷體" w:eastAsia="標楷體" w:hAnsi="標楷體" w:cs="Times New Roman" w:hint="eastAsia"/>
                <w:sz w:val="20"/>
                <w:szCs w:val="20"/>
              </w:rPr>
              <w:t>（三）部分庇護工場營運狀況持續虧損，另就業轉銜服務成效尚無明顯改善，又從業人員調薪幅度</w:t>
            </w:r>
            <w:proofErr w:type="gramStart"/>
            <w:r w:rsidRPr="00B474B8">
              <w:rPr>
                <w:rFonts w:ascii="標楷體" w:eastAsia="標楷體" w:hAnsi="標楷體" w:cs="Times New Roman" w:hint="eastAsia"/>
                <w:sz w:val="20"/>
                <w:szCs w:val="20"/>
              </w:rPr>
              <w:t>亦間有未</w:t>
            </w:r>
            <w:proofErr w:type="gramEnd"/>
            <w:r w:rsidRPr="00B474B8">
              <w:rPr>
                <w:rFonts w:ascii="標楷體" w:eastAsia="標楷體" w:hAnsi="標楷體" w:cs="Times New Roman" w:hint="eastAsia"/>
                <w:sz w:val="20"/>
                <w:szCs w:val="20"/>
              </w:rPr>
              <w:t>及基本工資等情，</w:t>
            </w:r>
            <w:proofErr w:type="gramStart"/>
            <w:r w:rsidRPr="00B474B8">
              <w:rPr>
                <w:rFonts w:ascii="標楷體" w:eastAsia="標楷體" w:hAnsi="標楷體" w:cs="Times New Roman" w:hint="eastAsia"/>
                <w:sz w:val="20"/>
                <w:szCs w:val="20"/>
              </w:rPr>
              <w:t>均待積極</w:t>
            </w:r>
            <w:proofErr w:type="gramEnd"/>
            <w:r w:rsidRPr="00B474B8">
              <w:rPr>
                <w:rFonts w:ascii="標楷體" w:eastAsia="標楷體" w:hAnsi="標楷體" w:cs="Times New Roman" w:hint="eastAsia"/>
                <w:sz w:val="20"/>
                <w:szCs w:val="20"/>
              </w:rPr>
              <w:t>輔導，以維持庇護工場永續經營並提升身心障礙者福祉。</w:t>
            </w:r>
          </w:p>
        </w:tc>
        <w:tc>
          <w:tcPr>
            <w:tcW w:w="1857" w:type="pct"/>
            <w:vMerge/>
            <w:tcBorders>
              <w:tl2br w:val="single" w:sz="4" w:space="0" w:color="auto"/>
            </w:tcBorders>
          </w:tcPr>
          <w:p w14:paraId="30802656" w14:textId="77777777" w:rsidR="004551F8" w:rsidRPr="00B474B8" w:rsidRDefault="004551F8" w:rsidP="00824CD6">
            <w:pPr>
              <w:widowControl/>
              <w:adjustRightInd w:val="0"/>
              <w:snapToGrid w:val="0"/>
              <w:jc w:val="both"/>
              <w:rPr>
                <w:rFonts w:ascii="標楷體" w:eastAsia="標楷體" w:hAnsi="標楷體" w:cs="新細明體"/>
                <w:color w:val="000000"/>
                <w:kern w:val="0"/>
                <w:sz w:val="20"/>
                <w:szCs w:val="20"/>
              </w:rPr>
            </w:pPr>
          </w:p>
        </w:tc>
      </w:tr>
    </w:tbl>
    <w:p w14:paraId="4C270436" w14:textId="77777777" w:rsidR="004551F8" w:rsidRPr="00B474B8" w:rsidRDefault="004551F8" w:rsidP="004551F8">
      <w:pPr>
        <w:spacing w:line="20" w:lineRule="exact"/>
        <w:rPr>
          <w:rFonts w:ascii="標楷體" w:eastAsia="標楷體" w:hAnsi="標楷體"/>
        </w:rPr>
      </w:pPr>
    </w:p>
    <w:p w14:paraId="5747818A" w14:textId="77777777" w:rsidR="00EE7738" w:rsidRDefault="00EE7738" w:rsidP="00EE7738">
      <w:pPr>
        <w:widowControl/>
        <w:rPr>
          <w:rFonts w:ascii="標楷體" w:eastAsia="標楷體" w:hAnsi="標楷體" w:cs="Times New Roman"/>
          <w:b/>
          <w:kern w:val="0"/>
          <w:sz w:val="36"/>
          <w:szCs w:val="36"/>
        </w:rPr>
      </w:pPr>
      <w:r>
        <w:rPr>
          <w:rFonts w:ascii="標楷體" w:eastAsia="標楷體" w:hAnsi="標楷體" w:cs="Times New Roman" w:hint="eastAsia"/>
          <w:b/>
          <w:kern w:val="0"/>
          <w:sz w:val="36"/>
          <w:szCs w:val="36"/>
        </w:rPr>
        <w:lastRenderedPageBreak/>
        <w:t>拾壹、警察局主管</w:t>
      </w:r>
    </w:p>
    <w:p w14:paraId="2B7669C8" w14:textId="77777777" w:rsidR="006634C0" w:rsidRDefault="006634C0" w:rsidP="006634C0">
      <w:pPr>
        <w:overflowPunct w:val="0"/>
        <w:spacing w:line="460" w:lineRule="exact"/>
        <w:ind w:firstLineChars="200" w:firstLine="480"/>
        <w:jc w:val="both"/>
        <w:rPr>
          <w:rFonts w:ascii="標楷體" w:eastAsia="標楷體" w:hAnsi="標楷體" w:cs="Times New Roman"/>
          <w:kern w:val="0"/>
          <w:szCs w:val="24"/>
        </w:rPr>
      </w:pPr>
      <w:r>
        <w:rPr>
          <w:rFonts w:ascii="標楷體" w:eastAsia="標楷體" w:hAnsi="標楷體" w:cs="Times New Roman" w:hint="eastAsia"/>
          <w:kern w:val="0"/>
          <w:szCs w:val="24"/>
        </w:rPr>
        <w:t>警察局主管僅警察局1個機關，負責維護社會治安、加強犯罪</w:t>
      </w:r>
      <w:proofErr w:type="gramStart"/>
      <w:r>
        <w:rPr>
          <w:rFonts w:ascii="標楷體" w:eastAsia="標楷體" w:hAnsi="標楷體" w:cs="Times New Roman" w:hint="eastAsia"/>
          <w:kern w:val="0"/>
          <w:szCs w:val="24"/>
        </w:rPr>
        <w:t>偵</w:t>
      </w:r>
      <w:proofErr w:type="gramEnd"/>
      <w:r>
        <w:rPr>
          <w:rFonts w:ascii="標楷體" w:eastAsia="標楷體" w:hAnsi="標楷體" w:cs="Times New Roman" w:hint="eastAsia"/>
          <w:kern w:val="0"/>
          <w:szCs w:val="24"/>
        </w:rPr>
        <w:t>防、保防、風化管制查察、強化民防及改善交通秩序等業務。茲將</w:t>
      </w:r>
      <w:proofErr w:type="gramStart"/>
      <w:r>
        <w:rPr>
          <w:rFonts w:ascii="標楷體" w:eastAsia="標楷體" w:hAnsi="標楷體" w:cs="Times New Roman" w:hint="eastAsia"/>
          <w:kern w:val="0"/>
          <w:szCs w:val="24"/>
        </w:rPr>
        <w:t>113</w:t>
      </w:r>
      <w:proofErr w:type="gramEnd"/>
      <w:r>
        <w:rPr>
          <w:rFonts w:ascii="標楷體" w:eastAsia="標楷體" w:hAnsi="標楷體" w:cs="Times New Roman" w:hint="eastAsia"/>
          <w:kern w:val="0"/>
          <w:szCs w:val="24"/>
        </w:rPr>
        <w:t>年度決算審核結果說明如次：</w:t>
      </w:r>
    </w:p>
    <w:p w14:paraId="78C4E4C3" w14:textId="77777777" w:rsidR="006634C0" w:rsidRDefault="006634C0" w:rsidP="006634C0">
      <w:pPr>
        <w:suppressAutoHyphens/>
        <w:overflowPunct w:val="0"/>
        <w:spacing w:beforeLines="10" w:before="36" w:afterLines="10" w:after="36" w:line="500" w:lineRule="exact"/>
        <w:ind w:firstLineChars="100" w:firstLine="280"/>
        <w:jc w:val="both"/>
        <w:rPr>
          <w:rFonts w:ascii="標楷體" w:eastAsia="標楷體" w:hAnsi="標楷體" w:cs="Times New Roman"/>
          <w:b/>
          <w:kern w:val="0"/>
          <w:sz w:val="28"/>
          <w:szCs w:val="28"/>
        </w:rPr>
      </w:pPr>
      <w:r>
        <w:rPr>
          <w:rFonts w:ascii="標楷體" w:eastAsia="標楷體" w:hAnsi="標楷體" w:cs="Times New Roman" w:hint="eastAsia"/>
          <w:b/>
          <w:kern w:val="0"/>
          <w:sz w:val="28"/>
          <w:szCs w:val="28"/>
        </w:rPr>
        <w:t>（一）計畫實施之查核</w:t>
      </w:r>
    </w:p>
    <w:p w14:paraId="3488F524" w14:textId="77777777" w:rsidR="006634C0" w:rsidRDefault="006634C0" w:rsidP="006634C0">
      <w:pPr>
        <w:overflowPunct w:val="0"/>
        <w:spacing w:line="460" w:lineRule="exact"/>
        <w:ind w:firstLineChars="200" w:firstLine="480"/>
        <w:jc w:val="both"/>
        <w:rPr>
          <w:rFonts w:ascii="標楷體" w:eastAsia="標楷體" w:hAnsi="標楷體" w:cs="Times New Roman"/>
          <w:color w:val="FF0000"/>
          <w:kern w:val="0"/>
          <w:szCs w:val="24"/>
        </w:rPr>
      </w:pPr>
      <w:r>
        <w:rPr>
          <w:rFonts w:ascii="標楷體" w:eastAsia="標楷體" w:hAnsi="標楷體" w:cs="Times New Roman" w:hint="eastAsia"/>
          <w:kern w:val="0"/>
          <w:szCs w:val="24"/>
        </w:rPr>
        <w:t>業務計畫5項，下分工作計畫12項，包括強化各類刑案偵查工作；推動執法科技化，強力取締酒後駕車違規及重大違規停車；持續維持錄影監視系統高妥善率，發揮</w:t>
      </w:r>
      <w:proofErr w:type="gramStart"/>
      <w:r>
        <w:rPr>
          <w:rFonts w:ascii="標楷體" w:eastAsia="標楷體" w:hAnsi="標楷體" w:cs="Times New Roman" w:hint="eastAsia"/>
          <w:kern w:val="0"/>
          <w:szCs w:val="24"/>
        </w:rPr>
        <w:t>偵</w:t>
      </w:r>
      <w:proofErr w:type="gramEnd"/>
      <w:r>
        <w:rPr>
          <w:rFonts w:ascii="標楷體" w:eastAsia="標楷體" w:hAnsi="標楷體" w:cs="Times New Roman" w:hint="eastAsia"/>
          <w:kern w:val="0"/>
          <w:szCs w:val="24"/>
        </w:rPr>
        <w:t>防犯罪效能；積極取締涉嫌賭博之電子遊戲場及妨害風化（俗）行為場所；打擊詐欺犯罪，運用多元管道實施防詐騙宣導；落實少年事件防處及偏差行為之勸阻、通報輔導，擴大預防少年犯罪及校園法治教育宣導；執行婦幼保護及通報機制等重要施政項目，其中已執行完成者11項，尚在執行者1項，主要</w:t>
      </w:r>
      <w:proofErr w:type="gramStart"/>
      <w:r>
        <w:rPr>
          <w:rFonts w:ascii="標楷體" w:eastAsia="標楷體" w:hAnsi="標楷體" w:cs="Times New Roman" w:hint="eastAsia"/>
          <w:kern w:val="0"/>
          <w:szCs w:val="24"/>
        </w:rPr>
        <w:t>係參建</w:t>
      </w:r>
      <w:proofErr w:type="gramEnd"/>
      <w:r>
        <w:rPr>
          <w:rFonts w:ascii="標楷體" w:eastAsia="標楷體" w:hAnsi="標楷體" w:cs="Times New Roman" w:hint="eastAsia"/>
          <w:kern w:val="0"/>
          <w:szCs w:val="24"/>
        </w:rPr>
        <w:t>北投分局關渡派出所與消防局關渡分隊新建工程、社正路警察宿舍改建工程委託技術服務費及東園街派出所臨時辦公處所整修工程，契約期程跨年度等，仍須繼續執行。</w:t>
      </w:r>
    </w:p>
    <w:p w14:paraId="053139ED" w14:textId="77777777" w:rsidR="006634C0" w:rsidRDefault="006634C0" w:rsidP="006634C0">
      <w:pPr>
        <w:suppressAutoHyphens/>
        <w:overflowPunct w:val="0"/>
        <w:spacing w:beforeLines="50" w:before="180" w:afterLines="10" w:after="36" w:line="500" w:lineRule="exact"/>
        <w:ind w:firstLineChars="100" w:firstLine="280"/>
        <w:jc w:val="both"/>
        <w:rPr>
          <w:rFonts w:ascii="標楷體" w:eastAsia="標楷體" w:hAnsi="標楷體" w:cs="Times New Roman"/>
          <w:b/>
          <w:kern w:val="0"/>
          <w:sz w:val="28"/>
          <w:szCs w:val="28"/>
        </w:rPr>
      </w:pPr>
      <w:r>
        <w:rPr>
          <w:rFonts w:ascii="標楷體" w:eastAsia="標楷體" w:hAnsi="標楷體" w:cs="Times New Roman" w:hint="eastAsia"/>
          <w:b/>
          <w:kern w:val="0"/>
          <w:sz w:val="28"/>
          <w:szCs w:val="28"/>
        </w:rPr>
        <w:t>（二）預算執行之審核</w:t>
      </w:r>
    </w:p>
    <w:p w14:paraId="4C87F663" w14:textId="77777777" w:rsidR="006634C0" w:rsidRDefault="006634C0" w:rsidP="006634C0">
      <w:pPr>
        <w:overflowPunct w:val="0"/>
        <w:spacing w:afterLines="10" w:after="36" w:line="480" w:lineRule="exact"/>
        <w:ind w:firstLineChars="200" w:firstLine="480"/>
        <w:jc w:val="both"/>
        <w:rPr>
          <w:rFonts w:ascii="標楷體" w:eastAsia="標楷體" w:hAnsi="標楷體" w:cs="Times New Roman"/>
          <w:color w:val="FF0000"/>
          <w:kern w:val="0"/>
          <w:szCs w:val="24"/>
        </w:rPr>
      </w:pPr>
      <w:r>
        <w:rPr>
          <w:rFonts w:ascii="標楷體" w:eastAsia="標楷體" w:hAnsi="標楷體" w:cs="Times New Roman" w:hint="eastAsia"/>
          <w:kern w:val="0"/>
          <w:szCs w:val="24"/>
        </w:rPr>
        <w:t>1.歲入原編列預算數1億7,525萬餘元，經追加預算1億8,851萬餘元，合計3億6,376萬餘元，決算審核結果，審定實現數3億8,255萬餘元，應收保留數5,183萬餘元，主要係違反毒品危害防制條例及道路交通管理處罰條例等罰鍰收入尚待收繳；合計決算審定數為4億3,439萬餘元，較預算增加7,062萬餘元（19.42％），主要係違反道路交通管理處罰條例及毒品危害防制條例等罰鍰收入較預計增加。</w:t>
      </w:r>
    </w:p>
    <w:p w14:paraId="17042423" w14:textId="77777777" w:rsidR="006634C0" w:rsidRDefault="006634C0" w:rsidP="006634C0">
      <w:pPr>
        <w:overflowPunct w:val="0"/>
        <w:spacing w:afterLines="10" w:after="36" w:line="480" w:lineRule="exact"/>
        <w:ind w:firstLineChars="200" w:firstLine="480"/>
        <w:jc w:val="both"/>
        <w:rPr>
          <w:rFonts w:ascii="標楷體" w:eastAsia="標楷體" w:hAnsi="標楷體" w:cs="Times New Roman"/>
          <w:color w:val="FF0000"/>
          <w:kern w:val="0"/>
          <w:szCs w:val="24"/>
        </w:rPr>
      </w:pPr>
      <w:r>
        <w:rPr>
          <w:rFonts w:ascii="標楷體" w:eastAsia="標楷體" w:hAnsi="標楷體" w:cs="Times New Roman" w:hint="eastAsia"/>
          <w:kern w:val="0"/>
          <w:szCs w:val="24"/>
        </w:rPr>
        <w:t>2.</w:t>
      </w:r>
      <w:r>
        <w:rPr>
          <w:rFonts w:ascii="標楷體" w:eastAsia="標楷體" w:hAnsi="標楷體" w:hint="eastAsia"/>
          <w:kern w:val="0"/>
          <w:szCs w:val="24"/>
        </w:rPr>
        <w:t>以前年度歲入轉入數計8,175萬餘元，決算審核結果，審定實現數2,138萬餘元（26.15％）；減免（註銷）數3,456萬餘元（42.28％），主要係違反毒品危害防制條例及社會秩序維護法等之罰鍰，撤銷原處分或已取得執行憑證後辦理註銷；應收保留數2,580萬餘元（31.57％），主要係違反道路交通管理處罰條例及毒品危害防制條例</w:t>
      </w:r>
      <w:r>
        <w:rPr>
          <w:rFonts w:ascii="標楷體" w:eastAsia="標楷體" w:hAnsi="標楷體" w:cs="Times New Roman" w:hint="eastAsia"/>
          <w:kern w:val="0"/>
          <w:szCs w:val="24"/>
        </w:rPr>
        <w:t>等之罰鍰收入尚待收繳。</w:t>
      </w:r>
    </w:p>
    <w:p w14:paraId="14EB02F9" w14:textId="77777777" w:rsidR="006634C0" w:rsidRDefault="006634C0" w:rsidP="006634C0">
      <w:pPr>
        <w:overflowPunct w:val="0"/>
        <w:spacing w:beforeLines="30" w:before="108" w:line="480" w:lineRule="exact"/>
        <w:ind w:firstLineChars="200" w:firstLine="480"/>
        <w:jc w:val="both"/>
        <w:rPr>
          <w:rFonts w:ascii="標楷體" w:eastAsia="標楷體" w:hAnsi="標楷體"/>
          <w:kern w:val="0"/>
          <w:szCs w:val="24"/>
        </w:rPr>
      </w:pPr>
      <w:r>
        <w:rPr>
          <w:rFonts w:ascii="標楷體" w:eastAsia="標楷體" w:hAnsi="標楷體" w:cs="Times New Roman" w:hint="eastAsia"/>
          <w:kern w:val="0"/>
          <w:szCs w:val="24"/>
        </w:rPr>
        <w:t>3.</w:t>
      </w:r>
      <w:r>
        <w:rPr>
          <w:rFonts w:ascii="標楷體" w:eastAsia="標楷體" w:hAnsi="標楷體" w:hint="eastAsia"/>
          <w:kern w:val="0"/>
          <w:szCs w:val="24"/>
        </w:rPr>
        <w:t>歲</w:t>
      </w:r>
      <w:r>
        <w:rPr>
          <w:rFonts w:ascii="標楷體" w:eastAsia="標楷體" w:hAnsi="標楷體" w:hint="eastAsia"/>
          <w:spacing w:val="-2"/>
          <w:kern w:val="0"/>
          <w:szCs w:val="24"/>
        </w:rPr>
        <w:t>出原編列預算數144億4,113萬餘元，經追加預算1億8,924萬餘元，追減預算8,383萬餘元，並因辦理大同區民權西路102巷21號等36戶宿舍拆除工程所需經費，經動支第二預備金491萬餘元，</w:t>
      </w:r>
      <w:proofErr w:type="gramStart"/>
      <w:r>
        <w:rPr>
          <w:rFonts w:ascii="標楷體" w:eastAsia="標楷體" w:hAnsi="標楷體" w:hint="eastAsia"/>
          <w:spacing w:val="-2"/>
          <w:kern w:val="0"/>
          <w:szCs w:val="24"/>
        </w:rPr>
        <w:t>暨因人事</w:t>
      </w:r>
      <w:proofErr w:type="gramEnd"/>
      <w:r>
        <w:rPr>
          <w:rFonts w:ascii="標楷體" w:eastAsia="標楷體" w:hAnsi="標楷體" w:hint="eastAsia"/>
          <w:spacing w:val="-2"/>
          <w:kern w:val="0"/>
          <w:szCs w:val="24"/>
        </w:rPr>
        <w:t>費不足申請動支各類員工待遇準備8,349萬餘元，合計146億3,496萬餘元，決算審核結果，審定實現數144億7,785萬餘元（98.93％），應付保留數3,275萬餘元（0.22％），保留原因詳「（一）計畫實施之查核」說明；合計決算審定數為145億1,061萬餘元，預算賸餘1億2,435萬餘元（0.85％），主要係依業務實際需要減少支付及實際進用員額較少之賸餘，暨臺北市文山區景豐二區社會住宅新建工程尚未完成招標作業，相關經費無保留需求</w:t>
      </w:r>
      <w:r>
        <w:rPr>
          <w:rFonts w:ascii="標楷體" w:eastAsia="標楷體" w:hAnsi="標楷體" w:hint="eastAsia"/>
          <w:kern w:val="0"/>
          <w:szCs w:val="24"/>
        </w:rPr>
        <w:t>。</w:t>
      </w:r>
    </w:p>
    <w:p w14:paraId="618167EF" w14:textId="77777777" w:rsidR="006634C0" w:rsidRDefault="006634C0" w:rsidP="006634C0">
      <w:pPr>
        <w:overflowPunct w:val="0"/>
        <w:spacing w:afterLines="10" w:after="36" w:line="460" w:lineRule="exact"/>
        <w:ind w:firstLineChars="200" w:firstLine="480"/>
        <w:jc w:val="both"/>
        <w:rPr>
          <w:rFonts w:ascii="標楷體" w:eastAsia="標楷體" w:hAnsi="標楷體"/>
          <w:kern w:val="0"/>
          <w:szCs w:val="24"/>
        </w:rPr>
      </w:pPr>
      <w:r>
        <w:rPr>
          <w:rFonts w:ascii="標楷體" w:eastAsia="標楷體" w:hAnsi="標楷體" w:cs="Times New Roman" w:hint="eastAsia"/>
          <w:kern w:val="0"/>
          <w:szCs w:val="24"/>
        </w:rPr>
        <w:lastRenderedPageBreak/>
        <w:t>4.</w:t>
      </w:r>
      <w:r>
        <w:rPr>
          <w:rFonts w:ascii="標楷體" w:eastAsia="標楷體" w:hAnsi="標楷體" w:hint="eastAsia"/>
          <w:kern w:val="0"/>
          <w:szCs w:val="24"/>
        </w:rPr>
        <w:t>以前年度歲出轉入數計7,253萬餘元，決算審核結果，審定實現數3,428萬餘元（47.26％）；減免（註銷）數762萬餘元（10.51％），主要係社正路警察宿舍改建工程委託技術服務費，無保留需求，及第1期錄影監視系統汰舊換新案等，依實際需要減少支付之結餘；應付保留數3,063萬餘元（42.23％），主要係第1期錄影監視系統汰舊換新案</w:t>
      </w:r>
      <w:proofErr w:type="gramStart"/>
      <w:r>
        <w:rPr>
          <w:rFonts w:ascii="標楷體" w:eastAsia="標楷體" w:hAnsi="標楷體" w:hint="eastAsia"/>
          <w:kern w:val="0"/>
          <w:szCs w:val="24"/>
        </w:rPr>
        <w:t>及參建北投</w:t>
      </w:r>
      <w:proofErr w:type="gramEnd"/>
      <w:r>
        <w:rPr>
          <w:rFonts w:ascii="標楷體" w:eastAsia="標楷體" w:hAnsi="標楷體" w:hint="eastAsia"/>
          <w:kern w:val="0"/>
          <w:szCs w:val="24"/>
        </w:rPr>
        <w:t>分局關渡派出所與消防局關渡分隊新建工程，契約期程跨年度</w:t>
      </w:r>
      <w:r>
        <w:rPr>
          <w:rFonts w:ascii="標楷體" w:eastAsia="標楷體" w:hAnsi="標楷體" w:cs="Times New Roman" w:hint="eastAsia"/>
          <w:kern w:val="0"/>
          <w:szCs w:val="24"/>
        </w:rPr>
        <w:t>等</w:t>
      </w:r>
      <w:r>
        <w:rPr>
          <w:rFonts w:ascii="標楷體" w:eastAsia="標楷體" w:hAnsi="標楷體" w:hint="eastAsia"/>
          <w:kern w:val="0"/>
          <w:szCs w:val="24"/>
        </w:rPr>
        <w:t>，須保留繼續執行。</w:t>
      </w:r>
    </w:p>
    <w:p w14:paraId="61817CAA" w14:textId="77777777" w:rsidR="006634C0" w:rsidRDefault="006634C0" w:rsidP="006634C0">
      <w:pPr>
        <w:suppressAutoHyphens/>
        <w:overflowPunct w:val="0"/>
        <w:spacing w:beforeLines="25" w:before="90" w:afterLines="25" w:after="90" w:line="460" w:lineRule="exact"/>
        <w:ind w:firstLineChars="100" w:firstLine="280"/>
        <w:jc w:val="both"/>
        <w:rPr>
          <w:rFonts w:ascii="標楷體" w:eastAsia="標楷體" w:hAnsi="標楷體" w:cs="Times New Roman"/>
          <w:b/>
          <w:kern w:val="0"/>
          <w:sz w:val="28"/>
          <w:szCs w:val="28"/>
        </w:rPr>
      </w:pPr>
      <w:r>
        <w:rPr>
          <w:rFonts w:ascii="標楷體" w:eastAsia="標楷體" w:hAnsi="標楷體" w:cs="Times New Roman" w:hint="eastAsia"/>
          <w:b/>
          <w:kern w:val="0"/>
          <w:sz w:val="28"/>
          <w:szCs w:val="28"/>
        </w:rPr>
        <w:t>（三）重要審核意見</w:t>
      </w:r>
    </w:p>
    <w:p w14:paraId="3F98649E" w14:textId="77777777" w:rsidR="006634C0" w:rsidRDefault="006634C0" w:rsidP="00017460">
      <w:pPr>
        <w:overflowPunct w:val="0"/>
        <w:spacing w:beforeLines="40" w:before="144" w:line="460" w:lineRule="exact"/>
        <w:ind w:firstLineChars="200" w:firstLine="561"/>
        <w:jc w:val="both"/>
        <w:rPr>
          <w:rFonts w:ascii="標楷體" w:eastAsia="標楷體" w:hAnsi="標楷體" w:cs="Times New Roman"/>
          <w:b/>
          <w:kern w:val="0"/>
          <w:sz w:val="28"/>
          <w:szCs w:val="28"/>
        </w:rPr>
      </w:pPr>
      <w:r>
        <w:rPr>
          <w:rFonts w:ascii="標楷體" w:eastAsia="標楷體" w:hAnsi="標楷體" w:cs="Times New Roman" w:hint="eastAsia"/>
          <w:b/>
          <w:kern w:val="0"/>
          <w:sz w:val="28"/>
          <w:szCs w:val="28"/>
        </w:rPr>
        <w:t>1.持續推動</w:t>
      </w:r>
      <w:proofErr w:type="gramStart"/>
      <w:r>
        <w:rPr>
          <w:rFonts w:ascii="標楷體" w:eastAsia="標楷體" w:hAnsi="標楷體" w:cs="Times New Roman" w:hint="eastAsia"/>
          <w:b/>
          <w:kern w:val="0"/>
          <w:sz w:val="28"/>
          <w:szCs w:val="28"/>
        </w:rPr>
        <w:t>偵</w:t>
      </w:r>
      <w:proofErr w:type="gramEnd"/>
      <w:r>
        <w:rPr>
          <w:rFonts w:ascii="標楷體" w:eastAsia="標楷體" w:hAnsi="標楷體" w:cs="Times New Roman" w:hint="eastAsia"/>
          <w:b/>
          <w:kern w:val="0"/>
          <w:sz w:val="28"/>
          <w:szCs w:val="28"/>
        </w:rPr>
        <w:t>防詐欺犯罪工作，</w:t>
      </w:r>
      <w:proofErr w:type="gramStart"/>
      <w:r>
        <w:rPr>
          <w:rFonts w:ascii="標楷體" w:eastAsia="標楷體" w:hAnsi="標楷體" w:cs="Times New Roman" w:hint="eastAsia"/>
          <w:b/>
          <w:kern w:val="0"/>
          <w:sz w:val="28"/>
          <w:szCs w:val="28"/>
        </w:rPr>
        <w:t>惟財損</w:t>
      </w:r>
      <w:proofErr w:type="gramEnd"/>
      <w:r>
        <w:rPr>
          <w:rFonts w:ascii="標楷體" w:eastAsia="標楷體" w:hAnsi="標楷體" w:cs="Times New Roman" w:hint="eastAsia"/>
          <w:b/>
          <w:kern w:val="0"/>
          <w:sz w:val="28"/>
          <w:szCs w:val="28"/>
        </w:rPr>
        <w:t>金額持續增加，且未成功攔阻民眾遭詐騙金額平均每月已逾1億元，有待</w:t>
      </w:r>
      <w:proofErr w:type="gramStart"/>
      <w:r>
        <w:rPr>
          <w:rFonts w:ascii="標楷體" w:eastAsia="標楷體" w:hAnsi="標楷體" w:cs="Times New Roman" w:hint="eastAsia"/>
          <w:b/>
          <w:kern w:val="0"/>
          <w:sz w:val="28"/>
          <w:szCs w:val="28"/>
        </w:rPr>
        <w:t>研謀善策</w:t>
      </w:r>
      <w:proofErr w:type="gramEnd"/>
      <w:r>
        <w:rPr>
          <w:rFonts w:ascii="標楷體" w:eastAsia="標楷體" w:hAnsi="標楷體" w:cs="Times New Roman" w:hint="eastAsia"/>
          <w:b/>
          <w:kern w:val="0"/>
          <w:sz w:val="28"/>
          <w:szCs w:val="28"/>
        </w:rPr>
        <w:t>有效掌握詐欺手法動態，並加強與金融機構聯繫合作機制，及強化民眾</w:t>
      </w:r>
      <w:proofErr w:type="gramStart"/>
      <w:r>
        <w:rPr>
          <w:rFonts w:ascii="標楷體" w:eastAsia="標楷體" w:hAnsi="標楷體" w:cs="Times New Roman" w:hint="eastAsia"/>
          <w:b/>
          <w:kern w:val="0"/>
          <w:sz w:val="28"/>
          <w:szCs w:val="28"/>
        </w:rPr>
        <w:t>識詐能力</w:t>
      </w:r>
      <w:proofErr w:type="gramEnd"/>
      <w:r>
        <w:rPr>
          <w:rFonts w:ascii="標楷體" w:eastAsia="標楷體" w:hAnsi="標楷體" w:cs="Times New Roman" w:hint="eastAsia"/>
          <w:b/>
          <w:kern w:val="0"/>
          <w:sz w:val="28"/>
          <w:szCs w:val="28"/>
        </w:rPr>
        <w:t>，以提升詐欺</w:t>
      </w:r>
      <w:proofErr w:type="gramStart"/>
      <w:r>
        <w:rPr>
          <w:rFonts w:ascii="標楷體" w:eastAsia="標楷體" w:hAnsi="標楷體" w:cs="Times New Roman" w:hint="eastAsia"/>
          <w:b/>
          <w:kern w:val="0"/>
          <w:sz w:val="28"/>
          <w:szCs w:val="28"/>
        </w:rPr>
        <w:t>偵</w:t>
      </w:r>
      <w:proofErr w:type="gramEnd"/>
      <w:r>
        <w:rPr>
          <w:rFonts w:ascii="標楷體" w:eastAsia="標楷體" w:hAnsi="標楷體" w:cs="Times New Roman" w:hint="eastAsia"/>
          <w:b/>
          <w:kern w:val="0"/>
          <w:sz w:val="28"/>
          <w:szCs w:val="28"/>
        </w:rPr>
        <w:t>防成效，保障民眾財產安全。</w:t>
      </w:r>
    </w:p>
    <w:p w14:paraId="5458D997" w14:textId="77777777" w:rsidR="006634C0" w:rsidRDefault="006634C0" w:rsidP="00017460">
      <w:pPr>
        <w:suppressAutoHyphens/>
        <w:overflowPunct w:val="0"/>
        <w:spacing w:line="450" w:lineRule="exact"/>
        <w:ind w:firstLineChars="200" w:firstLine="480"/>
        <w:jc w:val="both"/>
        <w:rPr>
          <w:rFonts w:ascii="標楷體" w:eastAsia="標楷體" w:hAnsi="標楷體" w:cs="Verdana"/>
          <w:kern w:val="0"/>
          <w:szCs w:val="24"/>
        </w:rPr>
      </w:pPr>
      <w:r>
        <w:rPr>
          <w:rFonts w:ascii="標楷體" w:eastAsia="標楷體" w:hAnsi="標楷體" w:cs="Verdana" w:hint="eastAsia"/>
          <w:kern w:val="0"/>
          <w:szCs w:val="24"/>
        </w:rPr>
        <w:t>警察局為推動各項治安策略，遏制犯罪滋長，避免犯罪模仿效應，</w:t>
      </w:r>
      <w:proofErr w:type="gramStart"/>
      <w:r>
        <w:rPr>
          <w:rFonts w:ascii="標楷體" w:eastAsia="標楷體" w:hAnsi="標楷體" w:cs="Verdana" w:hint="eastAsia"/>
          <w:kern w:val="0"/>
          <w:szCs w:val="24"/>
        </w:rPr>
        <w:t>113</w:t>
      </w:r>
      <w:proofErr w:type="gramEnd"/>
      <w:r>
        <w:rPr>
          <w:rFonts w:ascii="標楷體" w:eastAsia="標楷體" w:hAnsi="標楷體" w:cs="Verdana" w:hint="eastAsia"/>
          <w:kern w:val="0"/>
          <w:szCs w:val="24"/>
        </w:rPr>
        <w:t>年度編列預算4,599萬餘元辦理犯罪偵查、預防及治安維護工作，又為防杜詐騙事件，及因應行政院頒定之新世代打擊詐欺策略行動綱領，於112年成立「打詐</w:t>
      </w:r>
      <w:proofErr w:type="gramStart"/>
      <w:r>
        <w:rPr>
          <w:rFonts w:ascii="標楷體" w:eastAsia="標楷體" w:hAnsi="標楷體" w:cs="Verdana" w:hint="eastAsia"/>
          <w:kern w:val="0"/>
          <w:szCs w:val="24"/>
        </w:rPr>
        <w:t>臺</w:t>
      </w:r>
      <w:proofErr w:type="gramEnd"/>
      <w:r>
        <w:rPr>
          <w:rFonts w:ascii="標楷體" w:eastAsia="標楷體" w:hAnsi="標楷體" w:cs="Verdana" w:hint="eastAsia"/>
          <w:kern w:val="0"/>
          <w:szCs w:val="24"/>
        </w:rPr>
        <w:t>北隊」，與臺北市政府各局處合作，持續推動</w:t>
      </w:r>
      <w:proofErr w:type="gramStart"/>
      <w:r>
        <w:rPr>
          <w:rFonts w:ascii="標楷體" w:eastAsia="標楷體" w:hAnsi="標楷體" w:cs="Verdana" w:hint="eastAsia"/>
          <w:kern w:val="0"/>
          <w:szCs w:val="24"/>
        </w:rPr>
        <w:t>偵</w:t>
      </w:r>
      <w:proofErr w:type="gramEnd"/>
      <w:r>
        <w:rPr>
          <w:rFonts w:ascii="標楷體" w:eastAsia="標楷體" w:hAnsi="標楷體" w:cs="Verdana" w:hint="eastAsia"/>
          <w:kern w:val="0"/>
          <w:szCs w:val="24"/>
        </w:rPr>
        <w:t>防詐欺犯罪工作。經查詐欺犯罪防制業務情形，核有下列事項：</w:t>
      </w:r>
    </w:p>
    <w:p w14:paraId="79F626C3" w14:textId="73FCE165" w:rsidR="00EE7738" w:rsidRDefault="00EF51A4" w:rsidP="00017460">
      <w:pPr>
        <w:overflowPunct w:val="0"/>
        <w:spacing w:beforeLines="20" w:before="72" w:line="450" w:lineRule="exact"/>
        <w:ind w:firstLineChars="200" w:firstLine="480"/>
        <w:jc w:val="both"/>
        <w:rPr>
          <w:rFonts w:ascii="標楷體" w:eastAsia="標楷體" w:hAnsi="標楷體" w:cs="Times New Roman"/>
          <w:bCs/>
          <w:kern w:val="0"/>
          <w:szCs w:val="24"/>
        </w:rPr>
      </w:pPr>
      <w:r w:rsidRPr="00EE7738">
        <w:rPr>
          <w:rFonts w:ascii="標楷體" w:eastAsia="標楷體" w:hAnsi="標楷體" w:cs="Times New Roman"/>
          <w:b/>
          <w:noProof/>
          <w:kern w:val="0"/>
          <w:szCs w:val="24"/>
        </w:rPr>
        <mc:AlternateContent>
          <mc:Choice Requires="wps">
            <w:drawing>
              <wp:anchor distT="45720" distB="45720" distL="114300" distR="114300" simplePos="0" relativeHeight="251746304" behindDoc="1" locked="0" layoutInCell="1" allowOverlap="1" wp14:anchorId="0DA0E25D" wp14:editId="1CA78076">
                <wp:simplePos x="0" y="0"/>
                <wp:positionH relativeFrom="column">
                  <wp:posOffset>2966996</wp:posOffset>
                </wp:positionH>
                <wp:positionV relativeFrom="page">
                  <wp:posOffset>6926436</wp:posOffset>
                </wp:positionV>
                <wp:extent cx="3415665" cy="2139315"/>
                <wp:effectExtent l="0" t="0" r="0" b="0"/>
                <wp:wrapTight wrapText="bothSides">
                  <wp:wrapPolygon edited="0">
                    <wp:start x="0" y="0"/>
                    <wp:lineTo x="0" y="21350"/>
                    <wp:lineTo x="21443" y="21350"/>
                    <wp:lineTo x="21443" y="0"/>
                    <wp:lineTo x="0" y="0"/>
                  </wp:wrapPolygon>
                </wp:wrapTight>
                <wp:docPr id="9274196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5665" cy="2139315"/>
                        </a:xfrm>
                        <a:prstGeom prst="rect">
                          <a:avLst/>
                        </a:prstGeom>
                        <a:solidFill>
                          <a:srgbClr val="FFFFFF"/>
                        </a:solidFill>
                        <a:ln w="9525">
                          <a:noFill/>
                          <a:miter lim="800000"/>
                          <a:headEnd/>
                          <a:tailEnd/>
                        </a:ln>
                      </wps:spPr>
                      <wps:txbx>
                        <w:txbxContent>
                          <w:tbl>
                            <w:tblPr>
                              <w:tblW w:w="5103" w:type="dxa"/>
                              <w:tblCellMar>
                                <w:left w:w="28" w:type="dxa"/>
                                <w:right w:w="28" w:type="dxa"/>
                              </w:tblCellMar>
                              <w:tblLook w:val="04A0" w:firstRow="1" w:lastRow="0" w:firstColumn="1" w:lastColumn="0" w:noHBand="0" w:noVBand="1"/>
                            </w:tblPr>
                            <w:tblGrid>
                              <w:gridCol w:w="1134"/>
                              <w:gridCol w:w="709"/>
                              <w:gridCol w:w="1275"/>
                              <w:gridCol w:w="1034"/>
                              <w:gridCol w:w="951"/>
                            </w:tblGrid>
                            <w:tr w:rsidR="00EE7738" w14:paraId="334A0363" w14:textId="77777777" w:rsidTr="00824CD6">
                              <w:trPr>
                                <w:trHeight w:val="227"/>
                              </w:trPr>
                              <w:tc>
                                <w:tcPr>
                                  <w:tcW w:w="5103" w:type="dxa"/>
                                  <w:gridSpan w:val="5"/>
                                  <w:noWrap/>
                                  <w:vAlign w:val="center"/>
                                  <w:hideMark/>
                                </w:tcPr>
                                <w:p w14:paraId="0958EB5D" w14:textId="77777777" w:rsidR="00EE7738" w:rsidRDefault="00EE7738" w:rsidP="00EE7738">
                                  <w:pPr>
                                    <w:widowControl/>
                                    <w:spacing w:line="280" w:lineRule="exact"/>
                                    <w:ind w:left="649" w:hangingChars="270" w:hanging="649"/>
                                    <w:jc w:val="both"/>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表1　111至113年度（截至8月底）詐欺案件及財損情形</w:t>
                                  </w:r>
                                </w:p>
                              </w:tc>
                            </w:tr>
                            <w:tr w:rsidR="00EE7738" w14:paraId="33B8FED7" w14:textId="77777777" w:rsidTr="006A2F2C">
                              <w:trPr>
                                <w:trHeight w:val="170"/>
                              </w:trPr>
                              <w:tc>
                                <w:tcPr>
                                  <w:tcW w:w="5103" w:type="dxa"/>
                                  <w:gridSpan w:val="5"/>
                                  <w:tcBorders>
                                    <w:top w:val="nil"/>
                                    <w:left w:val="nil"/>
                                    <w:bottom w:val="single" w:sz="4" w:space="0" w:color="auto"/>
                                    <w:right w:val="nil"/>
                                  </w:tcBorders>
                                  <w:noWrap/>
                                  <w:vAlign w:val="center"/>
                                  <w:hideMark/>
                                </w:tcPr>
                                <w:p w14:paraId="3970B413" w14:textId="77777777" w:rsidR="00EE7738" w:rsidRPr="00F957AC" w:rsidRDefault="00EE7738" w:rsidP="006A2F2C">
                                  <w:pPr>
                                    <w:widowControl/>
                                    <w:spacing w:line="240" w:lineRule="exact"/>
                                    <w:jc w:val="right"/>
                                    <w:rPr>
                                      <w:rFonts w:ascii="標楷體" w:eastAsia="標楷體" w:hAnsi="標楷體" w:cs="新細明體"/>
                                      <w:color w:val="000000"/>
                                      <w:kern w:val="0"/>
                                      <w:sz w:val="20"/>
                                      <w:szCs w:val="20"/>
                                    </w:rPr>
                                  </w:pPr>
                                  <w:r w:rsidRPr="00F957AC">
                                    <w:rPr>
                                      <w:rFonts w:ascii="標楷體" w:eastAsia="標楷體" w:hAnsi="標楷體" w:cs="新細明體" w:hint="eastAsia"/>
                                      <w:color w:val="000000"/>
                                      <w:kern w:val="0"/>
                                      <w:sz w:val="20"/>
                                      <w:szCs w:val="20"/>
                                    </w:rPr>
                                    <w:t>單位：新臺幣千元、％</w:t>
                                  </w:r>
                                </w:p>
                              </w:tc>
                            </w:tr>
                            <w:tr w:rsidR="00EE7738" w14:paraId="753B2F87" w14:textId="77777777" w:rsidTr="00824CD6">
                              <w:trPr>
                                <w:trHeight w:val="479"/>
                              </w:trPr>
                              <w:tc>
                                <w:tcPr>
                                  <w:tcW w:w="1134" w:type="dxa"/>
                                  <w:vMerge w:val="restart"/>
                                  <w:tcBorders>
                                    <w:top w:val="nil"/>
                                    <w:left w:val="single" w:sz="4" w:space="0" w:color="auto"/>
                                    <w:bottom w:val="single" w:sz="4" w:space="0" w:color="auto"/>
                                    <w:right w:val="single" w:sz="4" w:space="0" w:color="auto"/>
                                    <w:tl2br w:val="single" w:sz="4" w:space="0" w:color="auto"/>
                                  </w:tcBorders>
                                  <w:noWrap/>
                                  <w:vAlign w:val="center"/>
                                  <w:hideMark/>
                                </w:tcPr>
                                <w:p w14:paraId="5B1551F3" w14:textId="77777777" w:rsidR="00EE7738" w:rsidRDefault="00EE7738" w:rsidP="00B22C9F">
                                  <w:pPr>
                                    <w:spacing w:line="260" w:lineRule="exact"/>
                                    <w:ind w:leftChars="100" w:left="24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項目</w:t>
                                  </w:r>
                                </w:p>
                                <w:p w14:paraId="5BF5BAEE" w14:textId="77777777" w:rsidR="00EE7738" w:rsidRDefault="00EE7738" w:rsidP="00EE7738">
                                  <w:pPr>
                                    <w:widowControl/>
                                    <w:spacing w:line="26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1984" w:type="dxa"/>
                                  <w:gridSpan w:val="2"/>
                                  <w:tcBorders>
                                    <w:top w:val="single" w:sz="4" w:space="0" w:color="auto"/>
                                    <w:left w:val="nil"/>
                                    <w:bottom w:val="single" w:sz="4" w:space="0" w:color="auto"/>
                                    <w:right w:val="single" w:sz="4" w:space="0" w:color="auto"/>
                                  </w:tcBorders>
                                  <w:noWrap/>
                                  <w:vAlign w:val="center"/>
                                  <w:hideMark/>
                                </w:tcPr>
                                <w:p w14:paraId="7D112CA0" w14:textId="77777777" w:rsidR="00EE7738" w:rsidRDefault="00EE7738" w:rsidP="00EE7738">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詐欺案件發生</w:t>
                                  </w:r>
                                </w:p>
                              </w:tc>
                              <w:tc>
                                <w:tcPr>
                                  <w:tcW w:w="1034" w:type="dxa"/>
                                  <w:vMerge w:val="restart"/>
                                  <w:tcBorders>
                                    <w:top w:val="nil"/>
                                    <w:left w:val="single" w:sz="4" w:space="0" w:color="auto"/>
                                    <w:bottom w:val="single" w:sz="4" w:space="0" w:color="auto"/>
                                    <w:right w:val="single" w:sz="4" w:space="0" w:color="auto"/>
                                  </w:tcBorders>
                                  <w:vAlign w:val="center"/>
                                  <w:hideMark/>
                                </w:tcPr>
                                <w:p w14:paraId="16E9F31C" w14:textId="77777777" w:rsidR="00EE7738" w:rsidRDefault="00EE7738" w:rsidP="00EE7738">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平均每月財損金額</w:t>
                                  </w:r>
                                </w:p>
                              </w:tc>
                              <w:tc>
                                <w:tcPr>
                                  <w:tcW w:w="951" w:type="dxa"/>
                                  <w:vMerge w:val="restart"/>
                                  <w:tcBorders>
                                    <w:top w:val="nil"/>
                                    <w:left w:val="single" w:sz="4" w:space="0" w:color="auto"/>
                                    <w:bottom w:val="single" w:sz="4" w:space="0" w:color="auto"/>
                                    <w:right w:val="single" w:sz="4" w:space="0" w:color="auto"/>
                                  </w:tcBorders>
                                  <w:vAlign w:val="center"/>
                                  <w:hideMark/>
                                </w:tcPr>
                                <w:p w14:paraId="28202BC0" w14:textId="77777777" w:rsidR="00EE7738" w:rsidRDefault="00EE7738" w:rsidP="00EE7738">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財損金額較</w:t>
                                  </w:r>
                                  <w:proofErr w:type="gramStart"/>
                                  <w:r>
                                    <w:rPr>
                                      <w:rFonts w:ascii="標楷體" w:eastAsia="標楷體" w:hAnsi="標楷體" w:cs="新細明體" w:hint="eastAsia"/>
                                      <w:color w:val="000000"/>
                                      <w:kern w:val="0"/>
                                      <w:sz w:val="20"/>
                                    </w:rPr>
                                    <w:t>111</w:t>
                                  </w:r>
                                  <w:proofErr w:type="gramEnd"/>
                                  <w:r>
                                    <w:rPr>
                                      <w:rFonts w:ascii="標楷體" w:eastAsia="標楷體" w:hAnsi="標楷體" w:cs="新細明體" w:hint="eastAsia"/>
                                      <w:color w:val="000000"/>
                                      <w:kern w:val="0"/>
                                      <w:sz w:val="20"/>
                                    </w:rPr>
                                    <w:t>年度增加率</w:t>
                                  </w:r>
                                </w:p>
                              </w:tc>
                            </w:tr>
                            <w:tr w:rsidR="00EE7738" w14:paraId="008C1D86" w14:textId="77777777" w:rsidTr="00824CD6">
                              <w:trPr>
                                <w:trHeight w:val="356"/>
                              </w:trPr>
                              <w:tc>
                                <w:tcPr>
                                  <w:tcW w:w="0" w:type="auto"/>
                                  <w:vMerge/>
                                  <w:tcBorders>
                                    <w:top w:val="nil"/>
                                    <w:left w:val="single" w:sz="4" w:space="0" w:color="auto"/>
                                    <w:bottom w:val="single" w:sz="4" w:space="0" w:color="auto"/>
                                    <w:right w:val="single" w:sz="4" w:space="0" w:color="auto"/>
                                  </w:tcBorders>
                                  <w:vAlign w:val="center"/>
                                  <w:hideMark/>
                                </w:tcPr>
                                <w:p w14:paraId="7A9B3285" w14:textId="77777777" w:rsidR="00EE7738" w:rsidRDefault="00EE7738" w:rsidP="00EE7738">
                                  <w:pPr>
                                    <w:widowControl/>
                                    <w:rPr>
                                      <w:rFonts w:ascii="標楷體" w:eastAsia="標楷體" w:hAnsi="標楷體" w:cs="新細明體"/>
                                      <w:color w:val="000000"/>
                                      <w:kern w:val="0"/>
                                      <w:sz w:val="20"/>
                                    </w:rPr>
                                  </w:pPr>
                                </w:p>
                              </w:tc>
                              <w:tc>
                                <w:tcPr>
                                  <w:tcW w:w="709" w:type="dxa"/>
                                  <w:tcBorders>
                                    <w:top w:val="nil"/>
                                    <w:left w:val="nil"/>
                                    <w:bottom w:val="single" w:sz="4" w:space="0" w:color="auto"/>
                                    <w:right w:val="single" w:sz="4" w:space="0" w:color="auto"/>
                                  </w:tcBorders>
                                  <w:noWrap/>
                                  <w:vAlign w:val="center"/>
                                  <w:hideMark/>
                                </w:tcPr>
                                <w:p w14:paraId="2EEE087C" w14:textId="77777777" w:rsidR="00EE7738" w:rsidRDefault="00EE7738" w:rsidP="00EE7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件數</w:t>
                                  </w:r>
                                </w:p>
                              </w:tc>
                              <w:tc>
                                <w:tcPr>
                                  <w:tcW w:w="1275" w:type="dxa"/>
                                  <w:tcBorders>
                                    <w:top w:val="nil"/>
                                    <w:left w:val="nil"/>
                                    <w:bottom w:val="single" w:sz="4" w:space="0" w:color="auto"/>
                                    <w:right w:val="single" w:sz="4" w:space="0" w:color="auto"/>
                                  </w:tcBorders>
                                  <w:noWrap/>
                                  <w:vAlign w:val="center"/>
                                  <w:hideMark/>
                                </w:tcPr>
                                <w:p w14:paraId="7CC853BC" w14:textId="77777777" w:rsidR="00EE7738" w:rsidRDefault="00EE7738" w:rsidP="00EE7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財損金額</w:t>
                                  </w:r>
                                </w:p>
                              </w:tc>
                              <w:tc>
                                <w:tcPr>
                                  <w:tcW w:w="0" w:type="auto"/>
                                  <w:vMerge/>
                                  <w:tcBorders>
                                    <w:top w:val="nil"/>
                                    <w:left w:val="single" w:sz="4" w:space="0" w:color="auto"/>
                                    <w:bottom w:val="single" w:sz="4" w:space="0" w:color="auto"/>
                                    <w:right w:val="single" w:sz="4" w:space="0" w:color="auto"/>
                                  </w:tcBorders>
                                  <w:vAlign w:val="center"/>
                                  <w:hideMark/>
                                </w:tcPr>
                                <w:p w14:paraId="2C415992" w14:textId="77777777" w:rsidR="00EE7738" w:rsidRDefault="00EE7738" w:rsidP="00EE7738">
                                  <w:pPr>
                                    <w:widowControl/>
                                    <w:rPr>
                                      <w:rFonts w:ascii="標楷體" w:eastAsia="標楷體" w:hAnsi="標楷體" w:cs="新細明體"/>
                                      <w:color w:val="000000"/>
                                      <w:kern w:val="0"/>
                                      <w:sz w:val="20"/>
                                    </w:rPr>
                                  </w:pPr>
                                </w:p>
                              </w:tc>
                              <w:tc>
                                <w:tcPr>
                                  <w:tcW w:w="0" w:type="auto"/>
                                  <w:vMerge/>
                                  <w:tcBorders>
                                    <w:top w:val="nil"/>
                                    <w:left w:val="single" w:sz="4" w:space="0" w:color="auto"/>
                                    <w:bottom w:val="single" w:sz="4" w:space="0" w:color="auto"/>
                                    <w:right w:val="single" w:sz="4" w:space="0" w:color="auto"/>
                                  </w:tcBorders>
                                  <w:vAlign w:val="center"/>
                                  <w:hideMark/>
                                </w:tcPr>
                                <w:p w14:paraId="6215FCB2" w14:textId="77777777" w:rsidR="00EE7738" w:rsidRDefault="00EE7738" w:rsidP="00EE7738">
                                  <w:pPr>
                                    <w:widowControl/>
                                    <w:rPr>
                                      <w:rFonts w:ascii="標楷體" w:eastAsia="標楷體" w:hAnsi="標楷體" w:cs="新細明體"/>
                                      <w:color w:val="000000"/>
                                      <w:kern w:val="0"/>
                                      <w:sz w:val="20"/>
                                    </w:rPr>
                                  </w:pPr>
                                </w:p>
                              </w:tc>
                            </w:tr>
                            <w:tr w:rsidR="00EE7738" w14:paraId="0FE4095D"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1A553D87" w14:textId="77777777" w:rsidR="00EE7738" w:rsidRDefault="00EE7738" w:rsidP="00EE7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709" w:type="dxa"/>
                                  <w:tcBorders>
                                    <w:top w:val="nil"/>
                                    <w:left w:val="nil"/>
                                    <w:bottom w:val="single" w:sz="4" w:space="0" w:color="auto"/>
                                    <w:right w:val="single" w:sz="4" w:space="0" w:color="auto"/>
                                  </w:tcBorders>
                                  <w:noWrap/>
                                  <w:vAlign w:val="center"/>
                                  <w:hideMark/>
                                </w:tcPr>
                                <w:p w14:paraId="53261F16"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4,044</w:t>
                                  </w:r>
                                </w:p>
                              </w:tc>
                              <w:tc>
                                <w:tcPr>
                                  <w:tcW w:w="1275" w:type="dxa"/>
                                  <w:tcBorders>
                                    <w:top w:val="nil"/>
                                    <w:left w:val="nil"/>
                                    <w:bottom w:val="single" w:sz="4" w:space="0" w:color="auto"/>
                                    <w:right w:val="single" w:sz="4" w:space="0" w:color="auto"/>
                                  </w:tcBorders>
                                  <w:noWrap/>
                                  <w:vAlign w:val="center"/>
                                  <w:hideMark/>
                                </w:tcPr>
                                <w:p w14:paraId="7883796D"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825,039</w:t>
                                  </w:r>
                                </w:p>
                              </w:tc>
                              <w:tc>
                                <w:tcPr>
                                  <w:tcW w:w="1034" w:type="dxa"/>
                                  <w:tcBorders>
                                    <w:top w:val="nil"/>
                                    <w:left w:val="nil"/>
                                    <w:bottom w:val="single" w:sz="4" w:space="0" w:color="auto"/>
                                    <w:right w:val="single" w:sz="4" w:space="0" w:color="auto"/>
                                  </w:tcBorders>
                                  <w:noWrap/>
                                  <w:vAlign w:val="center"/>
                                  <w:hideMark/>
                                </w:tcPr>
                                <w:p w14:paraId="66D63871"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68,753</w:t>
                                  </w:r>
                                </w:p>
                              </w:tc>
                              <w:tc>
                                <w:tcPr>
                                  <w:tcW w:w="951" w:type="dxa"/>
                                  <w:tcBorders>
                                    <w:top w:val="nil"/>
                                    <w:left w:val="nil"/>
                                    <w:bottom w:val="single" w:sz="4" w:space="0" w:color="auto"/>
                                    <w:right w:val="single" w:sz="4" w:space="0" w:color="auto"/>
                                  </w:tcBorders>
                                  <w:noWrap/>
                                  <w:vAlign w:val="center"/>
                                  <w:hideMark/>
                                </w:tcPr>
                                <w:p w14:paraId="43402BFB"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EE7738" w14:paraId="71AF9E9E"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3A47EBB5" w14:textId="77777777" w:rsidR="00EE7738" w:rsidRDefault="00EE7738" w:rsidP="00EE7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709" w:type="dxa"/>
                                  <w:tcBorders>
                                    <w:top w:val="nil"/>
                                    <w:left w:val="nil"/>
                                    <w:bottom w:val="single" w:sz="4" w:space="0" w:color="auto"/>
                                    <w:right w:val="single" w:sz="4" w:space="0" w:color="auto"/>
                                  </w:tcBorders>
                                  <w:noWrap/>
                                  <w:vAlign w:val="center"/>
                                  <w:hideMark/>
                                </w:tcPr>
                                <w:p w14:paraId="742A5E0F"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4,026</w:t>
                                  </w:r>
                                </w:p>
                              </w:tc>
                              <w:tc>
                                <w:tcPr>
                                  <w:tcW w:w="1275" w:type="dxa"/>
                                  <w:tcBorders>
                                    <w:top w:val="nil"/>
                                    <w:left w:val="nil"/>
                                    <w:bottom w:val="single" w:sz="4" w:space="0" w:color="auto"/>
                                    <w:right w:val="single" w:sz="4" w:space="0" w:color="auto"/>
                                  </w:tcBorders>
                                  <w:noWrap/>
                                  <w:vAlign w:val="center"/>
                                  <w:hideMark/>
                                </w:tcPr>
                                <w:p w14:paraId="18676774"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1,232,805</w:t>
                                  </w:r>
                                </w:p>
                              </w:tc>
                              <w:tc>
                                <w:tcPr>
                                  <w:tcW w:w="1034" w:type="dxa"/>
                                  <w:tcBorders>
                                    <w:top w:val="nil"/>
                                    <w:left w:val="nil"/>
                                    <w:bottom w:val="single" w:sz="4" w:space="0" w:color="auto"/>
                                    <w:right w:val="single" w:sz="4" w:space="0" w:color="auto"/>
                                  </w:tcBorders>
                                  <w:noWrap/>
                                  <w:vAlign w:val="center"/>
                                  <w:hideMark/>
                                </w:tcPr>
                                <w:p w14:paraId="51F8864F"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102,733</w:t>
                                  </w:r>
                                </w:p>
                              </w:tc>
                              <w:tc>
                                <w:tcPr>
                                  <w:tcW w:w="951" w:type="dxa"/>
                                  <w:tcBorders>
                                    <w:top w:val="nil"/>
                                    <w:left w:val="nil"/>
                                    <w:bottom w:val="single" w:sz="4" w:space="0" w:color="auto"/>
                                    <w:right w:val="single" w:sz="4" w:space="0" w:color="auto"/>
                                  </w:tcBorders>
                                  <w:noWrap/>
                                  <w:vAlign w:val="center"/>
                                  <w:hideMark/>
                                </w:tcPr>
                                <w:p w14:paraId="4645753E"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49.42</w:t>
                                  </w:r>
                                </w:p>
                              </w:tc>
                            </w:tr>
                            <w:tr w:rsidR="00EE7738" w14:paraId="17FE7D54"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7964FE18" w14:textId="77777777" w:rsidR="00EE7738" w:rsidRDefault="00EE7738" w:rsidP="00EE7738">
                                  <w:pPr>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113年</w:t>
                                  </w:r>
                                </w:p>
                                <w:p w14:paraId="3274D1BC" w14:textId="77777777" w:rsidR="00EE7738" w:rsidRDefault="00EE7738" w:rsidP="00EE7738">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(截至8月底)</w:t>
                                  </w:r>
                                </w:p>
                              </w:tc>
                              <w:tc>
                                <w:tcPr>
                                  <w:tcW w:w="709" w:type="dxa"/>
                                  <w:tcBorders>
                                    <w:top w:val="nil"/>
                                    <w:left w:val="nil"/>
                                    <w:bottom w:val="single" w:sz="4" w:space="0" w:color="auto"/>
                                    <w:right w:val="single" w:sz="4" w:space="0" w:color="auto"/>
                                  </w:tcBorders>
                                  <w:noWrap/>
                                  <w:vAlign w:val="center"/>
                                  <w:hideMark/>
                                </w:tcPr>
                                <w:p w14:paraId="469EEC3E"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2,546</w:t>
                                  </w:r>
                                </w:p>
                              </w:tc>
                              <w:tc>
                                <w:tcPr>
                                  <w:tcW w:w="1275" w:type="dxa"/>
                                  <w:tcBorders>
                                    <w:top w:val="nil"/>
                                    <w:left w:val="nil"/>
                                    <w:bottom w:val="single" w:sz="4" w:space="0" w:color="auto"/>
                                    <w:right w:val="single" w:sz="4" w:space="0" w:color="auto"/>
                                  </w:tcBorders>
                                  <w:noWrap/>
                                  <w:vAlign w:val="center"/>
                                  <w:hideMark/>
                                </w:tcPr>
                                <w:p w14:paraId="59D9E349"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1,094,485</w:t>
                                  </w:r>
                                </w:p>
                              </w:tc>
                              <w:tc>
                                <w:tcPr>
                                  <w:tcW w:w="1034" w:type="dxa"/>
                                  <w:tcBorders>
                                    <w:top w:val="nil"/>
                                    <w:left w:val="nil"/>
                                    <w:bottom w:val="single" w:sz="4" w:space="0" w:color="auto"/>
                                    <w:right w:val="single" w:sz="4" w:space="0" w:color="auto"/>
                                  </w:tcBorders>
                                  <w:noWrap/>
                                  <w:vAlign w:val="center"/>
                                  <w:hideMark/>
                                </w:tcPr>
                                <w:p w14:paraId="16F13C6B"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136,810</w:t>
                                  </w:r>
                                </w:p>
                              </w:tc>
                              <w:tc>
                                <w:tcPr>
                                  <w:tcW w:w="951" w:type="dxa"/>
                                  <w:tcBorders>
                                    <w:top w:val="nil"/>
                                    <w:left w:val="nil"/>
                                    <w:bottom w:val="single" w:sz="4" w:space="0" w:color="auto"/>
                                    <w:right w:val="single" w:sz="4" w:space="0" w:color="auto"/>
                                  </w:tcBorders>
                                  <w:noWrap/>
                                  <w:vAlign w:val="center"/>
                                  <w:hideMark/>
                                </w:tcPr>
                                <w:p w14:paraId="3FA780A1"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98.99</w:t>
                                  </w:r>
                                </w:p>
                              </w:tc>
                            </w:tr>
                            <w:tr w:rsidR="00EE7738" w14:paraId="309F2874" w14:textId="77777777" w:rsidTr="00824CD6">
                              <w:trPr>
                                <w:trHeight w:val="326"/>
                              </w:trPr>
                              <w:tc>
                                <w:tcPr>
                                  <w:tcW w:w="5103" w:type="dxa"/>
                                  <w:gridSpan w:val="5"/>
                                  <w:tcBorders>
                                    <w:top w:val="single" w:sz="4" w:space="0" w:color="auto"/>
                                    <w:left w:val="nil"/>
                                    <w:bottom w:val="nil"/>
                                    <w:right w:val="nil"/>
                                  </w:tcBorders>
                                  <w:noWrap/>
                                  <w:vAlign w:val="center"/>
                                  <w:hideMark/>
                                </w:tcPr>
                                <w:p w14:paraId="191AB504" w14:textId="77777777" w:rsidR="00EE7738" w:rsidRDefault="00EE7738" w:rsidP="00EE7738">
                                  <w:pPr>
                                    <w:widowControl/>
                                    <w:spacing w:line="20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資料來源：整理自警察局提供資料。</w:t>
                                  </w:r>
                                </w:p>
                              </w:tc>
                            </w:tr>
                          </w:tbl>
                          <w:p w14:paraId="7E86DB40" w14:textId="3EDB5907" w:rsidR="00EE7738" w:rsidRPr="00EE7738" w:rsidRDefault="00EE773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A0E25D" id="_x0000_s1111" type="#_x0000_t202" style="position:absolute;left:0;text-align:left;margin-left:233.6pt;margin-top:545.4pt;width:268.95pt;height:168.45pt;z-index:-25157017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" stroked="f">
                <v:textbox>
                  <w:txbxContent>
                    <w:tbl>
                      <w:tblPr>
                        <w:tblW w:w="5103" w:type="dxa"/>
                        <w:tblCellMar>
                          <w:left w:w="28" w:type="dxa"/>
                          <w:right w:w="28" w:type="dxa"/>
                        </w:tblCellMar>
                        <w:tblLook w:val="04A0" w:firstRow="1" w:lastRow="0" w:firstColumn="1" w:lastColumn="0" w:noHBand="0" w:noVBand="1"/>
                      </w:tblPr>
                      <w:tblGrid>
                        <w:gridCol w:w="1134"/>
                        <w:gridCol w:w="709"/>
                        <w:gridCol w:w="1275"/>
                        <w:gridCol w:w="1034"/>
                        <w:gridCol w:w="951"/>
                      </w:tblGrid>
                      <w:tr w:rsidR="00EE7738" w14:paraId="334A0363" w14:textId="77777777" w:rsidTr="00824CD6">
                        <w:trPr>
                          <w:trHeight w:val="227"/>
                        </w:trPr>
                        <w:tc>
                          <w:tcPr>
                            <w:tcW w:w="5103" w:type="dxa"/>
                            <w:gridSpan w:val="5"/>
                            <w:noWrap/>
                            <w:vAlign w:val="center"/>
                            <w:hideMark/>
                          </w:tcPr>
                          <w:p w14:paraId="0958EB5D" w14:textId="77777777" w:rsidR="00EE7738" w:rsidRDefault="00EE7738" w:rsidP="00EE7738">
                            <w:pPr>
                              <w:widowControl/>
                              <w:spacing w:line="280" w:lineRule="exact"/>
                              <w:ind w:left="649" w:hangingChars="270" w:hanging="649"/>
                              <w:jc w:val="both"/>
                              <w:rPr>
                                <w:rFonts w:ascii="標楷體" w:eastAsia="標楷體" w:hAnsi="標楷體" w:cs="新細明體"/>
                                <w:b/>
                                <w:bCs/>
                                <w:color w:val="000000"/>
                                <w:kern w:val="0"/>
                                <w:szCs w:val="24"/>
                              </w:rPr>
                            </w:pPr>
                            <w:r>
                              <w:rPr>
                                <w:rFonts w:ascii="標楷體" w:eastAsia="標楷體" w:hAnsi="標楷體" w:cs="新細明體" w:hint="eastAsia"/>
                                <w:b/>
                                <w:bCs/>
                                <w:color w:val="000000"/>
                                <w:kern w:val="0"/>
                                <w:szCs w:val="24"/>
                              </w:rPr>
                              <w:t>表1　111至113年度（截至8月底）詐欺案件及財損情形</w:t>
                            </w:r>
                          </w:p>
                        </w:tc>
                      </w:tr>
                      <w:tr w:rsidR="00EE7738" w14:paraId="33B8FED7" w14:textId="77777777" w:rsidTr="006A2F2C">
                        <w:trPr>
                          <w:trHeight w:val="170"/>
                        </w:trPr>
                        <w:tc>
                          <w:tcPr>
                            <w:tcW w:w="5103" w:type="dxa"/>
                            <w:gridSpan w:val="5"/>
                            <w:tcBorders>
                              <w:top w:val="nil"/>
                              <w:left w:val="nil"/>
                              <w:bottom w:val="single" w:sz="4" w:space="0" w:color="auto"/>
                              <w:right w:val="nil"/>
                            </w:tcBorders>
                            <w:noWrap/>
                            <w:vAlign w:val="center"/>
                            <w:hideMark/>
                          </w:tcPr>
                          <w:p w14:paraId="3970B413" w14:textId="77777777" w:rsidR="00EE7738" w:rsidRPr="00F957AC" w:rsidRDefault="00EE7738" w:rsidP="006A2F2C">
                            <w:pPr>
                              <w:widowControl/>
                              <w:spacing w:line="240" w:lineRule="exact"/>
                              <w:jc w:val="right"/>
                              <w:rPr>
                                <w:rFonts w:ascii="標楷體" w:eastAsia="標楷體" w:hAnsi="標楷體" w:cs="新細明體"/>
                                <w:color w:val="000000"/>
                                <w:kern w:val="0"/>
                                <w:sz w:val="20"/>
                                <w:szCs w:val="20"/>
                              </w:rPr>
                            </w:pPr>
                            <w:r w:rsidRPr="00F957AC">
                              <w:rPr>
                                <w:rFonts w:ascii="標楷體" w:eastAsia="標楷體" w:hAnsi="標楷體" w:cs="新細明體" w:hint="eastAsia"/>
                                <w:color w:val="000000"/>
                                <w:kern w:val="0"/>
                                <w:sz w:val="20"/>
                                <w:szCs w:val="20"/>
                              </w:rPr>
                              <w:t>單位：新臺幣千元、％</w:t>
                            </w:r>
                          </w:p>
                        </w:tc>
                      </w:tr>
                      <w:tr w:rsidR="00EE7738" w14:paraId="753B2F87" w14:textId="77777777" w:rsidTr="00824CD6">
                        <w:trPr>
                          <w:trHeight w:val="479"/>
                        </w:trPr>
                        <w:tc>
                          <w:tcPr>
                            <w:tcW w:w="1134" w:type="dxa"/>
                            <w:vMerge w:val="restart"/>
                            <w:tcBorders>
                              <w:top w:val="nil"/>
                              <w:left w:val="single" w:sz="4" w:space="0" w:color="auto"/>
                              <w:bottom w:val="single" w:sz="4" w:space="0" w:color="auto"/>
                              <w:right w:val="single" w:sz="4" w:space="0" w:color="auto"/>
                              <w:tl2br w:val="single" w:sz="4" w:space="0" w:color="auto"/>
                            </w:tcBorders>
                            <w:noWrap/>
                            <w:vAlign w:val="center"/>
                            <w:hideMark/>
                          </w:tcPr>
                          <w:p w14:paraId="5B1551F3" w14:textId="77777777" w:rsidR="00EE7738" w:rsidRDefault="00EE7738" w:rsidP="00B22C9F">
                            <w:pPr>
                              <w:spacing w:line="260" w:lineRule="exact"/>
                              <w:ind w:leftChars="100" w:left="24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項目</w:t>
                            </w:r>
                          </w:p>
                          <w:p w14:paraId="5BF5BAEE" w14:textId="77777777" w:rsidR="00EE7738" w:rsidRDefault="00EE7738" w:rsidP="00EE7738">
                            <w:pPr>
                              <w:widowControl/>
                              <w:spacing w:line="26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1984" w:type="dxa"/>
                            <w:gridSpan w:val="2"/>
                            <w:tcBorders>
                              <w:top w:val="single" w:sz="4" w:space="0" w:color="auto"/>
                              <w:left w:val="nil"/>
                              <w:bottom w:val="single" w:sz="4" w:space="0" w:color="auto"/>
                              <w:right w:val="single" w:sz="4" w:space="0" w:color="auto"/>
                            </w:tcBorders>
                            <w:noWrap/>
                            <w:vAlign w:val="center"/>
                            <w:hideMark/>
                          </w:tcPr>
                          <w:p w14:paraId="7D112CA0" w14:textId="77777777" w:rsidR="00EE7738" w:rsidRDefault="00EE7738" w:rsidP="00EE7738">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詐欺案件發生</w:t>
                            </w:r>
                          </w:p>
                        </w:tc>
                        <w:tc>
                          <w:tcPr>
                            <w:tcW w:w="1034" w:type="dxa"/>
                            <w:vMerge w:val="restart"/>
                            <w:tcBorders>
                              <w:top w:val="nil"/>
                              <w:left w:val="single" w:sz="4" w:space="0" w:color="auto"/>
                              <w:bottom w:val="single" w:sz="4" w:space="0" w:color="auto"/>
                              <w:right w:val="single" w:sz="4" w:space="0" w:color="auto"/>
                            </w:tcBorders>
                            <w:vAlign w:val="center"/>
                            <w:hideMark/>
                          </w:tcPr>
                          <w:p w14:paraId="16E9F31C" w14:textId="77777777" w:rsidR="00EE7738" w:rsidRDefault="00EE7738" w:rsidP="00EE7738">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平均每月財損金額</w:t>
                            </w:r>
                          </w:p>
                        </w:tc>
                        <w:tc>
                          <w:tcPr>
                            <w:tcW w:w="951" w:type="dxa"/>
                            <w:vMerge w:val="restart"/>
                            <w:tcBorders>
                              <w:top w:val="nil"/>
                              <w:left w:val="single" w:sz="4" w:space="0" w:color="auto"/>
                              <w:bottom w:val="single" w:sz="4" w:space="0" w:color="auto"/>
                              <w:right w:val="single" w:sz="4" w:space="0" w:color="auto"/>
                            </w:tcBorders>
                            <w:vAlign w:val="center"/>
                            <w:hideMark/>
                          </w:tcPr>
                          <w:p w14:paraId="28202BC0" w14:textId="77777777" w:rsidR="00EE7738" w:rsidRDefault="00EE7738" w:rsidP="00EE7738">
                            <w:pPr>
                              <w:widowControl/>
                              <w:spacing w:line="26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財損金額較</w:t>
                            </w:r>
                            <w:proofErr w:type="gramStart"/>
                            <w:r>
                              <w:rPr>
                                <w:rFonts w:ascii="標楷體" w:eastAsia="標楷體" w:hAnsi="標楷體" w:cs="新細明體" w:hint="eastAsia"/>
                                <w:color w:val="000000"/>
                                <w:kern w:val="0"/>
                                <w:sz w:val="20"/>
                              </w:rPr>
                              <w:t>111</w:t>
                            </w:r>
                            <w:proofErr w:type="gramEnd"/>
                            <w:r>
                              <w:rPr>
                                <w:rFonts w:ascii="標楷體" w:eastAsia="標楷體" w:hAnsi="標楷體" w:cs="新細明體" w:hint="eastAsia"/>
                                <w:color w:val="000000"/>
                                <w:kern w:val="0"/>
                                <w:sz w:val="20"/>
                              </w:rPr>
                              <w:t>年度增加率</w:t>
                            </w:r>
                          </w:p>
                        </w:tc>
                      </w:tr>
                      <w:tr w:rsidR="00EE7738" w14:paraId="008C1D86" w14:textId="77777777" w:rsidTr="00824CD6">
                        <w:trPr>
                          <w:trHeight w:val="356"/>
                        </w:trPr>
                        <w:tc>
                          <w:tcPr>
                            <w:tcW w:w="0" w:type="auto"/>
                            <w:vMerge/>
                            <w:tcBorders>
                              <w:top w:val="nil"/>
                              <w:left w:val="single" w:sz="4" w:space="0" w:color="auto"/>
                              <w:bottom w:val="single" w:sz="4" w:space="0" w:color="auto"/>
                              <w:right w:val="single" w:sz="4" w:space="0" w:color="auto"/>
                            </w:tcBorders>
                            <w:vAlign w:val="center"/>
                            <w:hideMark/>
                          </w:tcPr>
                          <w:p w14:paraId="7A9B3285" w14:textId="77777777" w:rsidR="00EE7738" w:rsidRDefault="00EE7738" w:rsidP="00EE7738">
                            <w:pPr>
                              <w:widowControl/>
                              <w:rPr>
                                <w:rFonts w:ascii="標楷體" w:eastAsia="標楷體" w:hAnsi="標楷體" w:cs="新細明體"/>
                                <w:color w:val="000000"/>
                                <w:kern w:val="0"/>
                                <w:sz w:val="20"/>
                              </w:rPr>
                            </w:pPr>
                          </w:p>
                        </w:tc>
                        <w:tc>
                          <w:tcPr>
                            <w:tcW w:w="709" w:type="dxa"/>
                            <w:tcBorders>
                              <w:top w:val="nil"/>
                              <w:left w:val="nil"/>
                              <w:bottom w:val="single" w:sz="4" w:space="0" w:color="auto"/>
                              <w:right w:val="single" w:sz="4" w:space="0" w:color="auto"/>
                            </w:tcBorders>
                            <w:noWrap/>
                            <w:vAlign w:val="center"/>
                            <w:hideMark/>
                          </w:tcPr>
                          <w:p w14:paraId="2EEE087C" w14:textId="77777777" w:rsidR="00EE7738" w:rsidRDefault="00EE7738" w:rsidP="00EE7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件數</w:t>
                            </w:r>
                          </w:p>
                        </w:tc>
                        <w:tc>
                          <w:tcPr>
                            <w:tcW w:w="1275" w:type="dxa"/>
                            <w:tcBorders>
                              <w:top w:val="nil"/>
                              <w:left w:val="nil"/>
                              <w:bottom w:val="single" w:sz="4" w:space="0" w:color="auto"/>
                              <w:right w:val="single" w:sz="4" w:space="0" w:color="auto"/>
                            </w:tcBorders>
                            <w:noWrap/>
                            <w:vAlign w:val="center"/>
                            <w:hideMark/>
                          </w:tcPr>
                          <w:p w14:paraId="7CC853BC" w14:textId="77777777" w:rsidR="00EE7738" w:rsidRDefault="00EE7738" w:rsidP="00EE7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財損金額</w:t>
                            </w:r>
                          </w:p>
                        </w:tc>
                        <w:tc>
                          <w:tcPr>
                            <w:tcW w:w="0" w:type="auto"/>
                            <w:vMerge/>
                            <w:tcBorders>
                              <w:top w:val="nil"/>
                              <w:left w:val="single" w:sz="4" w:space="0" w:color="auto"/>
                              <w:bottom w:val="single" w:sz="4" w:space="0" w:color="auto"/>
                              <w:right w:val="single" w:sz="4" w:space="0" w:color="auto"/>
                            </w:tcBorders>
                            <w:vAlign w:val="center"/>
                            <w:hideMark/>
                          </w:tcPr>
                          <w:p w14:paraId="2C415992" w14:textId="77777777" w:rsidR="00EE7738" w:rsidRDefault="00EE7738" w:rsidP="00EE7738">
                            <w:pPr>
                              <w:widowControl/>
                              <w:rPr>
                                <w:rFonts w:ascii="標楷體" w:eastAsia="標楷體" w:hAnsi="標楷體" w:cs="新細明體"/>
                                <w:color w:val="000000"/>
                                <w:kern w:val="0"/>
                                <w:sz w:val="20"/>
                              </w:rPr>
                            </w:pPr>
                          </w:p>
                        </w:tc>
                        <w:tc>
                          <w:tcPr>
                            <w:tcW w:w="0" w:type="auto"/>
                            <w:vMerge/>
                            <w:tcBorders>
                              <w:top w:val="nil"/>
                              <w:left w:val="single" w:sz="4" w:space="0" w:color="auto"/>
                              <w:bottom w:val="single" w:sz="4" w:space="0" w:color="auto"/>
                              <w:right w:val="single" w:sz="4" w:space="0" w:color="auto"/>
                            </w:tcBorders>
                            <w:vAlign w:val="center"/>
                            <w:hideMark/>
                          </w:tcPr>
                          <w:p w14:paraId="6215FCB2" w14:textId="77777777" w:rsidR="00EE7738" w:rsidRDefault="00EE7738" w:rsidP="00EE7738">
                            <w:pPr>
                              <w:widowControl/>
                              <w:rPr>
                                <w:rFonts w:ascii="標楷體" w:eastAsia="標楷體" w:hAnsi="標楷體" w:cs="新細明體"/>
                                <w:color w:val="000000"/>
                                <w:kern w:val="0"/>
                                <w:sz w:val="20"/>
                              </w:rPr>
                            </w:pPr>
                          </w:p>
                        </w:tc>
                      </w:tr>
                      <w:tr w:rsidR="00EE7738" w14:paraId="0FE4095D"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1A553D87" w14:textId="77777777" w:rsidR="00EE7738" w:rsidRDefault="00EE7738" w:rsidP="00EE7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709" w:type="dxa"/>
                            <w:tcBorders>
                              <w:top w:val="nil"/>
                              <w:left w:val="nil"/>
                              <w:bottom w:val="single" w:sz="4" w:space="0" w:color="auto"/>
                              <w:right w:val="single" w:sz="4" w:space="0" w:color="auto"/>
                            </w:tcBorders>
                            <w:noWrap/>
                            <w:vAlign w:val="center"/>
                            <w:hideMark/>
                          </w:tcPr>
                          <w:p w14:paraId="53261F16"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4,044</w:t>
                            </w:r>
                          </w:p>
                        </w:tc>
                        <w:tc>
                          <w:tcPr>
                            <w:tcW w:w="1275" w:type="dxa"/>
                            <w:tcBorders>
                              <w:top w:val="nil"/>
                              <w:left w:val="nil"/>
                              <w:bottom w:val="single" w:sz="4" w:space="0" w:color="auto"/>
                              <w:right w:val="single" w:sz="4" w:space="0" w:color="auto"/>
                            </w:tcBorders>
                            <w:noWrap/>
                            <w:vAlign w:val="center"/>
                            <w:hideMark/>
                          </w:tcPr>
                          <w:p w14:paraId="7883796D"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825,039</w:t>
                            </w:r>
                          </w:p>
                        </w:tc>
                        <w:tc>
                          <w:tcPr>
                            <w:tcW w:w="1034" w:type="dxa"/>
                            <w:tcBorders>
                              <w:top w:val="nil"/>
                              <w:left w:val="nil"/>
                              <w:bottom w:val="single" w:sz="4" w:space="0" w:color="auto"/>
                              <w:right w:val="single" w:sz="4" w:space="0" w:color="auto"/>
                            </w:tcBorders>
                            <w:noWrap/>
                            <w:vAlign w:val="center"/>
                            <w:hideMark/>
                          </w:tcPr>
                          <w:p w14:paraId="66D63871"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68,753</w:t>
                            </w:r>
                          </w:p>
                        </w:tc>
                        <w:tc>
                          <w:tcPr>
                            <w:tcW w:w="951" w:type="dxa"/>
                            <w:tcBorders>
                              <w:top w:val="nil"/>
                              <w:left w:val="nil"/>
                              <w:bottom w:val="single" w:sz="4" w:space="0" w:color="auto"/>
                              <w:right w:val="single" w:sz="4" w:space="0" w:color="auto"/>
                            </w:tcBorders>
                            <w:noWrap/>
                            <w:vAlign w:val="center"/>
                            <w:hideMark/>
                          </w:tcPr>
                          <w:p w14:paraId="43402BFB"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EE7738" w14:paraId="71AF9E9E"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3A47EBB5" w14:textId="77777777" w:rsidR="00EE7738" w:rsidRDefault="00EE7738" w:rsidP="00EE7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709" w:type="dxa"/>
                            <w:tcBorders>
                              <w:top w:val="nil"/>
                              <w:left w:val="nil"/>
                              <w:bottom w:val="single" w:sz="4" w:space="0" w:color="auto"/>
                              <w:right w:val="single" w:sz="4" w:space="0" w:color="auto"/>
                            </w:tcBorders>
                            <w:noWrap/>
                            <w:vAlign w:val="center"/>
                            <w:hideMark/>
                          </w:tcPr>
                          <w:p w14:paraId="742A5E0F"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4,026</w:t>
                            </w:r>
                          </w:p>
                        </w:tc>
                        <w:tc>
                          <w:tcPr>
                            <w:tcW w:w="1275" w:type="dxa"/>
                            <w:tcBorders>
                              <w:top w:val="nil"/>
                              <w:left w:val="nil"/>
                              <w:bottom w:val="single" w:sz="4" w:space="0" w:color="auto"/>
                              <w:right w:val="single" w:sz="4" w:space="0" w:color="auto"/>
                            </w:tcBorders>
                            <w:noWrap/>
                            <w:vAlign w:val="center"/>
                            <w:hideMark/>
                          </w:tcPr>
                          <w:p w14:paraId="18676774"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1,232,805</w:t>
                            </w:r>
                          </w:p>
                        </w:tc>
                        <w:tc>
                          <w:tcPr>
                            <w:tcW w:w="1034" w:type="dxa"/>
                            <w:tcBorders>
                              <w:top w:val="nil"/>
                              <w:left w:val="nil"/>
                              <w:bottom w:val="single" w:sz="4" w:space="0" w:color="auto"/>
                              <w:right w:val="single" w:sz="4" w:space="0" w:color="auto"/>
                            </w:tcBorders>
                            <w:noWrap/>
                            <w:vAlign w:val="center"/>
                            <w:hideMark/>
                          </w:tcPr>
                          <w:p w14:paraId="51F8864F"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102,733</w:t>
                            </w:r>
                          </w:p>
                        </w:tc>
                        <w:tc>
                          <w:tcPr>
                            <w:tcW w:w="951" w:type="dxa"/>
                            <w:tcBorders>
                              <w:top w:val="nil"/>
                              <w:left w:val="nil"/>
                              <w:bottom w:val="single" w:sz="4" w:space="0" w:color="auto"/>
                              <w:right w:val="single" w:sz="4" w:space="0" w:color="auto"/>
                            </w:tcBorders>
                            <w:noWrap/>
                            <w:vAlign w:val="center"/>
                            <w:hideMark/>
                          </w:tcPr>
                          <w:p w14:paraId="4645753E"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49.42</w:t>
                            </w:r>
                          </w:p>
                        </w:tc>
                      </w:tr>
                      <w:tr w:rsidR="00EE7738" w14:paraId="17FE7D54"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7964FE18" w14:textId="77777777" w:rsidR="00EE7738" w:rsidRDefault="00EE7738" w:rsidP="00EE7738">
                            <w:pPr>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113年</w:t>
                            </w:r>
                          </w:p>
                          <w:p w14:paraId="3274D1BC" w14:textId="77777777" w:rsidR="00EE7738" w:rsidRDefault="00EE7738" w:rsidP="00EE7738">
                            <w:pPr>
                              <w:widowControl/>
                              <w:spacing w:line="280" w:lineRule="exact"/>
                              <w:jc w:val="center"/>
                              <w:rPr>
                                <w:rFonts w:ascii="標楷體" w:eastAsia="標楷體" w:hAnsi="標楷體" w:cs="新細明體"/>
                                <w:color w:val="000000"/>
                                <w:spacing w:val="-14"/>
                                <w:kern w:val="0"/>
                                <w:sz w:val="20"/>
                              </w:rPr>
                            </w:pPr>
                            <w:r>
                              <w:rPr>
                                <w:rFonts w:ascii="標楷體" w:eastAsia="標楷體" w:hAnsi="標楷體" w:cs="新細明體" w:hint="eastAsia"/>
                                <w:color w:val="000000"/>
                                <w:spacing w:val="-14"/>
                                <w:kern w:val="0"/>
                                <w:sz w:val="20"/>
                              </w:rPr>
                              <w:t>(截至8月底)</w:t>
                            </w:r>
                          </w:p>
                        </w:tc>
                        <w:tc>
                          <w:tcPr>
                            <w:tcW w:w="709" w:type="dxa"/>
                            <w:tcBorders>
                              <w:top w:val="nil"/>
                              <w:left w:val="nil"/>
                              <w:bottom w:val="single" w:sz="4" w:space="0" w:color="auto"/>
                              <w:right w:val="single" w:sz="4" w:space="0" w:color="auto"/>
                            </w:tcBorders>
                            <w:noWrap/>
                            <w:vAlign w:val="center"/>
                            <w:hideMark/>
                          </w:tcPr>
                          <w:p w14:paraId="469EEC3E"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2,546</w:t>
                            </w:r>
                          </w:p>
                        </w:tc>
                        <w:tc>
                          <w:tcPr>
                            <w:tcW w:w="1275" w:type="dxa"/>
                            <w:tcBorders>
                              <w:top w:val="nil"/>
                              <w:left w:val="nil"/>
                              <w:bottom w:val="single" w:sz="4" w:space="0" w:color="auto"/>
                              <w:right w:val="single" w:sz="4" w:space="0" w:color="auto"/>
                            </w:tcBorders>
                            <w:noWrap/>
                            <w:vAlign w:val="center"/>
                            <w:hideMark/>
                          </w:tcPr>
                          <w:p w14:paraId="59D9E349"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1,094,485</w:t>
                            </w:r>
                          </w:p>
                        </w:tc>
                        <w:tc>
                          <w:tcPr>
                            <w:tcW w:w="1034" w:type="dxa"/>
                            <w:tcBorders>
                              <w:top w:val="nil"/>
                              <w:left w:val="nil"/>
                              <w:bottom w:val="single" w:sz="4" w:space="0" w:color="auto"/>
                              <w:right w:val="single" w:sz="4" w:space="0" w:color="auto"/>
                            </w:tcBorders>
                            <w:noWrap/>
                            <w:vAlign w:val="center"/>
                            <w:hideMark/>
                          </w:tcPr>
                          <w:p w14:paraId="16F13C6B"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136,810</w:t>
                            </w:r>
                          </w:p>
                        </w:tc>
                        <w:tc>
                          <w:tcPr>
                            <w:tcW w:w="951" w:type="dxa"/>
                            <w:tcBorders>
                              <w:top w:val="nil"/>
                              <w:left w:val="nil"/>
                              <w:bottom w:val="single" w:sz="4" w:space="0" w:color="auto"/>
                              <w:right w:val="single" w:sz="4" w:space="0" w:color="auto"/>
                            </w:tcBorders>
                            <w:noWrap/>
                            <w:vAlign w:val="center"/>
                            <w:hideMark/>
                          </w:tcPr>
                          <w:p w14:paraId="3FA780A1" w14:textId="77777777" w:rsidR="00EE7738" w:rsidRDefault="00EE7738" w:rsidP="00EE7738">
                            <w:pPr>
                              <w:widowControl/>
                              <w:spacing w:line="280" w:lineRule="exact"/>
                              <w:ind w:rightChars="10" w:right="24"/>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98.99</w:t>
                            </w:r>
                          </w:p>
                        </w:tc>
                      </w:tr>
                      <w:tr w:rsidR="00EE7738" w14:paraId="309F2874" w14:textId="77777777" w:rsidTr="00824CD6">
                        <w:trPr>
                          <w:trHeight w:val="326"/>
                        </w:trPr>
                        <w:tc>
                          <w:tcPr>
                            <w:tcW w:w="5103" w:type="dxa"/>
                            <w:gridSpan w:val="5"/>
                            <w:tcBorders>
                              <w:top w:val="single" w:sz="4" w:space="0" w:color="auto"/>
                              <w:left w:val="nil"/>
                              <w:bottom w:val="nil"/>
                              <w:right w:val="nil"/>
                            </w:tcBorders>
                            <w:noWrap/>
                            <w:vAlign w:val="center"/>
                            <w:hideMark/>
                          </w:tcPr>
                          <w:p w14:paraId="191AB504" w14:textId="77777777" w:rsidR="00EE7738" w:rsidRDefault="00EE7738" w:rsidP="00EE7738">
                            <w:pPr>
                              <w:widowControl/>
                              <w:spacing w:line="20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資料來源：整理自警察局提供資料。</w:t>
                            </w:r>
                          </w:p>
                        </w:tc>
                      </w:tr>
                    </w:tbl>
                    <w:p w14:paraId="7E86DB40" w14:textId="3EDB5907" w:rsidR="00EE7738" w:rsidRPr="00EE7738" w:rsidRDefault="00EE7738"/>
                  </w:txbxContent>
                </v:textbox>
                <w10:wrap type="tight" anchory="page"/>
              </v:shape>
            </w:pict>
          </mc:Fallback>
        </mc:AlternateContent>
      </w:r>
      <w:r w:rsidR="006634C0">
        <w:rPr>
          <w:rFonts w:ascii="標楷體" w:eastAsia="標楷體" w:hAnsi="標楷體" w:cs="Times New Roman" w:hint="eastAsia"/>
          <w:b/>
          <w:kern w:val="0"/>
          <w:szCs w:val="24"/>
        </w:rPr>
        <w:t>（1）未成功攔阻民眾遭詐騙金額平均每月逾1億元，有待</w:t>
      </w:r>
      <w:proofErr w:type="gramStart"/>
      <w:r w:rsidR="006634C0">
        <w:rPr>
          <w:rFonts w:ascii="標楷體" w:eastAsia="標楷體" w:hAnsi="標楷體" w:cs="Times New Roman" w:hint="eastAsia"/>
          <w:b/>
          <w:kern w:val="0"/>
          <w:szCs w:val="24"/>
        </w:rPr>
        <w:t>研</w:t>
      </w:r>
      <w:proofErr w:type="gramEnd"/>
      <w:r w:rsidR="006634C0">
        <w:rPr>
          <w:rFonts w:ascii="標楷體" w:eastAsia="標楷體" w:hAnsi="標楷體" w:cs="Times New Roman" w:hint="eastAsia"/>
          <w:b/>
          <w:kern w:val="0"/>
          <w:szCs w:val="24"/>
        </w:rPr>
        <w:t>謀加強與金融機構聯繫合作機制，即時阻斷詐騙帳戶及攔阻詐騙行為：</w:t>
      </w:r>
      <w:r w:rsidR="006634C0">
        <w:rPr>
          <w:rFonts w:ascii="標楷體" w:eastAsia="標楷體" w:hAnsi="標楷體" w:cs="Times New Roman" w:hint="eastAsia"/>
          <w:bCs/>
          <w:kern w:val="0"/>
          <w:szCs w:val="24"/>
        </w:rPr>
        <w:t>經查臺北市111至113年度（截至8月底）詐欺案件分別為4,044件、4,026件及2,546件，同時期破獲數（破獲率）分別為4,482件（110.83％）、4,560件（113.26％）及2,982件（117.12％），詐欺案件數略有減少，惟同時期詐欺案件財損金額分別為8億2,503萬餘元、12億3,280萬餘元及10億9,448萬餘元，又112及</w:t>
      </w:r>
      <w:proofErr w:type="gramStart"/>
      <w:r w:rsidR="006634C0">
        <w:rPr>
          <w:rFonts w:ascii="標楷體" w:eastAsia="標楷體" w:hAnsi="標楷體" w:cs="Times New Roman" w:hint="eastAsia"/>
          <w:bCs/>
          <w:kern w:val="0"/>
          <w:szCs w:val="24"/>
        </w:rPr>
        <w:t>113</w:t>
      </w:r>
      <w:proofErr w:type="gramEnd"/>
      <w:r w:rsidR="006634C0">
        <w:rPr>
          <w:rFonts w:ascii="標楷體" w:eastAsia="標楷體" w:hAnsi="標楷體" w:cs="Times New Roman" w:hint="eastAsia"/>
          <w:bCs/>
          <w:kern w:val="0"/>
          <w:szCs w:val="24"/>
        </w:rPr>
        <w:t>年度平均每月財損金額1億273萬餘元及1億3,681萬餘元，與</w:t>
      </w:r>
      <w:proofErr w:type="gramStart"/>
      <w:r w:rsidR="006634C0">
        <w:rPr>
          <w:rFonts w:ascii="標楷體" w:eastAsia="標楷體" w:hAnsi="標楷體" w:cs="Times New Roman" w:hint="eastAsia"/>
          <w:bCs/>
          <w:kern w:val="0"/>
          <w:szCs w:val="24"/>
        </w:rPr>
        <w:t>111</w:t>
      </w:r>
      <w:proofErr w:type="gramEnd"/>
      <w:r w:rsidR="006634C0">
        <w:rPr>
          <w:rFonts w:ascii="標楷體" w:eastAsia="標楷體" w:hAnsi="標楷體" w:cs="Times New Roman" w:hint="eastAsia"/>
          <w:bCs/>
          <w:kern w:val="0"/>
          <w:szCs w:val="24"/>
        </w:rPr>
        <w:t>年度之6,875萬餘元相較，分別成長49.42％、98.99％（表1），呈上升趨勢，嚴重影響民眾財產安全；復據該局統計112年8月至113年6月未成功攔阻民眾遭詐騙金額平均每月高達1億6,985萬餘元，113年1至7月轄內銀行未成功攔阻民眾遭詐騙計5百餘次，有待</w:t>
      </w:r>
      <w:proofErr w:type="gramStart"/>
      <w:r w:rsidR="006634C0">
        <w:rPr>
          <w:rFonts w:ascii="標楷體" w:eastAsia="標楷體" w:hAnsi="標楷體" w:cs="Times New Roman" w:hint="eastAsia"/>
          <w:bCs/>
          <w:kern w:val="0"/>
          <w:szCs w:val="24"/>
        </w:rPr>
        <w:t>研</w:t>
      </w:r>
      <w:proofErr w:type="gramEnd"/>
      <w:r w:rsidR="006634C0">
        <w:rPr>
          <w:rFonts w:ascii="標楷體" w:eastAsia="標楷體" w:hAnsi="標楷體" w:cs="Times New Roman" w:hint="eastAsia"/>
          <w:bCs/>
          <w:kern w:val="0"/>
          <w:szCs w:val="24"/>
        </w:rPr>
        <w:t>謀加強與金融機構聯繫合作機制，並促請強化從業人員</w:t>
      </w:r>
      <w:proofErr w:type="gramStart"/>
      <w:r w:rsidR="006634C0">
        <w:rPr>
          <w:rFonts w:ascii="標楷體" w:eastAsia="標楷體" w:hAnsi="標楷體" w:cs="Times New Roman" w:hint="eastAsia"/>
          <w:bCs/>
          <w:kern w:val="0"/>
          <w:szCs w:val="24"/>
        </w:rPr>
        <w:t>阻詐意識</w:t>
      </w:r>
      <w:proofErr w:type="gramEnd"/>
      <w:r w:rsidR="006634C0">
        <w:rPr>
          <w:rFonts w:ascii="標楷體" w:eastAsia="標楷體" w:hAnsi="標楷體" w:cs="Times New Roman" w:hint="eastAsia"/>
          <w:bCs/>
          <w:kern w:val="0"/>
          <w:szCs w:val="24"/>
        </w:rPr>
        <w:t>，即時阻斷詐騙帳戶及攔阻詐騙行為，經函請檢討改善。據復：每月</w:t>
      </w:r>
      <w:proofErr w:type="gramStart"/>
      <w:r w:rsidR="006634C0">
        <w:rPr>
          <w:rFonts w:ascii="標楷體" w:eastAsia="標楷體" w:hAnsi="標楷體" w:cs="Times New Roman" w:hint="eastAsia"/>
          <w:bCs/>
          <w:kern w:val="0"/>
          <w:szCs w:val="24"/>
        </w:rPr>
        <w:t>函發百萬臨</w:t>
      </w:r>
      <w:proofErr w:type="gramEnd"/>
      <w:r w:rsidR="006634C0">
        <w:rPr>
          <w:rFonts w:ascii="標楷體" w:eastAsia="標楷體" w:hAnsi="標楷體" w:cs="Times New Roman" w:hint="eastAsia"/>
          <w:bCs/>
          <w:kern w:val="0"/>
          <w:szCs w:val="24"/>
        </w:rPr>
        <w:t>櫃匯款清冊（未攔阻成功），請各金融機構檢討，促使銀行端</w:t>
      </w:r>
      <w:proofErr w:type="gramStart"/>
      <w:r w:rsidR="006634C0">
        <w:rPr>
          <w:rFonts w:ascii="標楷體" w:eastAsia="標楷體" w:hAnsi="標楷體" w:cs="Times New Roman" w:hint="eastAsia"/>
          <w:bCs/>
          <w:kern w:val="0"/>
          <w:szCs w:val="24"/>
        </w:rPr>
        <w:t>負起阻詐之</w:t>
      </w:r>
      <w:proofErr w:type="gramEnd"/>
      <w:r w:rsidR="006634C0">
        <w:rPr>
          <w:rFonts w:ascii="標楷體" w:eastAsia="標楷體" w:hAnsi="標楷體" w:cs="Times New Roman" w:hint="eastAsia"/>
          <w:bCs/>
          <w:kern w:val="0"/>
          <w:szCs w:val="24"/>
        </w:rPr>
        <w:t>社會責任及強化從業人員</w:t>
      </w:r>
      <w:proofErr w:type="gramStart"/>
      <w:r w:rsidR="006634C0">
        <w:rPr>
          <w:rFonts w:ascii="標楷體" w:eastAsia="標楷體" w:hAnsi="標楷體" w:cs="Times New Roman" w:hint="eastAsia"/>
          <w:bCs/>
          <w:kern w:val="0"/>
          <w:szCs w:val="24"/>
        </w:rPr>
        <w:t>阻詐意識</w:t>
      </w:r>
      <w:proofErr w:type="gramEnd"/>
      <w:r w:rsidR="006634C0">
        <w:rPr>
          <w:rFonts w:ascii="標楷體" w:eastAsia="標楷體" w:hAnsi="標楷體" w:cs="Times New Roman" w:hint="eastAsia"/>
          <w:bCs/>
          <w:kern w:val="0"/>
          <w:szCs w:val="24"/>
        </w:rPr>
        <w:t>，以提升詐欺</w:t>
      </w:r>
      <w:proofErr w:type="gramStart"/>
      <w:r w:rsidR="006634C0">
        <w:rPr>
          <w:rFonts w:ascii="標楷體" w:eastAsia="標楷體" w:hAnsi="標楷體" w:cs="Times New Roman" w:hint="eastAsia"/>
          <w:bCs/>
          <w:kern w:val="0"/>
          <w:szCs w:val="24"/>
        </w:rPr>
        <w:t>偵</w:t>
      </w:r>
      <w:proofErr w:type="gramEnd"/>
      <w:r w:rsidR="006634C0">
        <w:rPr>
          <w:rFonts w:ascii="標楷體" w:eastAsia="標楷體" w:hAnsi="標楷體" w:cs="Times New Roman" w:hint="eastAsia"/>
          <w:bCs/>
          <w:kern w:val="0"/>
          <w:szCs w:val="24"/>
        </w:rPr>
        <w:t>防成效，保障民眾財產安全。</w:t>
      </w:r>
    </w:p>
    <w:p w14:paraId="02199952" w14:textId="77777777" w:rsidR="006634C0" w:rsidRDefault="006634C0" w:rsidP="00EB43C2">
      <w:pPr>
        <w:overflowPunct w:val="0"/>
        <w:spacing w:line="470" w:lineRule="exact"/>
        <w:ind w:firstLineChars="200" w:firstLine="480"/>
        <w:jc w:val="both"/>
        <w:rPr>
          <w:rFonts w:ascii="標楷體" w:eastAsia="標楷體" w:hAnsi="標楷體" w:cs="Times New Roman"/>
          <w:bCs/>
          <w:kern w:val="0"/>
          <w:sz w:val="28"/>
          <w:szCs w:val="28"/>
        </w:rPr>
      </w:pPr>
      <w:r>
        <w:rPr>
          <w:rFonts w:ascii="標楷體" w:eastAsia="標楷體" w:hAnsi="標楷體" w:cs="Times New Roman" w:hint="eastAsia"/>
          <w:b/>
          <w:kern w:val="0"/>
          <w:szCs w:val="24"/>
        </w:rPr>
        <w:lastRenderedPageBreak/>
        <w:t>（2）與市府各局處合作，強化詐欺案件之防制宣導，惟近年詐欺案件及財損金額持續增加，亟待</w:t>
      </w:r>
      <w:proofErr w:type="gramStart"/>
      <w:r>
        <w:rPr>
          <w:rFonts w:ascii="標楷體" w:eastAsia="標楷體" w:hAnsi="標楷體" w:cs="Times New Roman" w:hint="eastAsia"/>
          <w:b/>
          <w:kern w:val="0"/>
          <w:szCs w:val="24"/>
        </w:rPr>
        <w:t>研謀善策</w:t>
      </w:r>
      <w:proofErr w:type="gramEnd"/>
      <w:r>
        <w:rPr>
          <w:rFonts w:ascii="標楷體" w:eastAsia="標楷體" w:hAnsi="標楷體" w:cs="Times New Roman" w:hint="eastAsia"/>
          <w:b/>
          <w:kern w:val="0"/>
          <w:szCs w:val="24"/>
        </w:rPr>
        <w:t>，以提升民眾</w:t>
      </w:r>
      <w:proofErr w:type="gramStart"/>
      <w:r>
        <w:rPr>
          <w:rFonts w:ascii="標楷體" w:eastAsia="標楷體" w:hAnsi="標楷體" w:cs="Times New Roman" w:hint="eastAsia"/>
          <w:b/>
          <w:kern w:val="0"/>
          <w:szCs w:val="24"/>
        </w:rPr>
        <w:t>識詐能力</w:t>
      </w:r>
      <w:proofErr w:type="gramEnd"/>
      <w:r>
        <w:rPr>
          <w:rFonts w:ascii="標楷體" w:eastAsia="標楷體" w:hAnsi="標楷體" w:cs="Times New Roman" w:hint="eastAsia"/>
          <w:b/>
          <w:kern w:val="0"/>
          <w:szCs w:val="24"/>
        </w:rPr>
        <w:t>：</w:t>
      </w:r>
      <w:r>
        <w:rPr>
          <w:rFonts w:ascii="標楷體" w:eastAsia="標楷體" w:hAnsi="標楷體" w:cs="Times New Roman" w:hint="eastAsia"/>
          <w:bCs/>
          <w:kern w:val="0"/>
          <w:szCs w:val="24"/>
        </w:rPr>
        <w:t>警察局為使防詐觀念有效觸及目標族群，自111年6月1日起結合臺北市政府各局處，於交通轉運站、觀光景點等場所，</w:t>
      </w:r>
      <w:proofErr w:type="gramStart"/>
      <w:r>
        <w:rPr>
          <w:rFonts w:ascii="標楷體" w:eastAsia="標楷體" w:hAnsi="標楷體" w:cs="Times New Roman" w:hint="eastAsia"/>
          <w:bCs/>
          <w:kern w:val="0"/>
          <w:szCs w:val="24"/>
        </w:rPr>
        <w:t>投放反詐宣導</w:t>
      </w:r>
      <w:proofErr w:type="gramEnd"/>
      <w:r>
        <w:rPr>
          <w:rFonts w:ascii="標楷體" w:eastAsia="標楷體" w:hAnsi="標楷體" w:cs="Times New Roman" w:hint="eastAsia"/>
          <w:bCs/>
          <w:kern w:val="0"/>
          <w:szCs w:val="24"/>
        </w:rPr>
        <w:t>素材，並針對學生、求職者及銀髮族等易遭詐騙族群，分齡分眾辦理詐欺案件之防制宣導。</w:t>
      </w:r>
      <w:proofErr w:type="gramStart"/>
      <w:r>
        <w:rPr>
          <w:rFonts w:ascii="標楷體" w:eastAsia="標楷體" w:hAnsi="標楷體" w:cs="Times New Roman" w:hint="eastAsia"/>
          <w:bCs/>
          <w:kern w:val="0"/>
          <w:szCs w:val="24"/>
        </w:rPr>
        <w:t>迄</w:t>
      </w:r>
      <w:proofErr w:type="gramEnd"/>
      <w:r>
        <w:rPr>
          <w:rFonts w:ascii="標楷體" w:eastAsia="標楷體" w:hAnsi="標楷體" w:cs="Times New Roman" w:hint="eastAsia"/>
          <w:bCs/>
          <w:kern w:val="0"/>
          <w:szCs w:val="24"/>
        </w:rPr>
        <w:t>113年8月底，共辦理13,987場、353萬人次參與，惟經統計臺北市113年1至8月發生詐欺犯罪件數2,546件及金額10億9,448萬餘元，較112年同期間2,419件及8億1,350萬餘元，分別增加127件（5.25％）、2億8,097萬餘元（34.54％），詐欺案件及財損金額未見減緩。復據該局提供臺北市</w:t>
      </w:r>
      <w:proofErr w:type="gramStart"/>
      <w:r>
        <w:rPr>
          <w:rFonts w:ascii="標楷體" w:eastAsia="標楷體" w:hAnsi="標楷體" w:cs="Times New Roman" w:hint="eastAsia"/>
          <w:bCs/>
          <w:kern w:val="0"/>
          <w:szCs w:val="24"/>
        </w:rPr>
        <w:t>113</w:t>
      </w:r>
      <w:proofErr w:type="gramEnd"/>
      <w:r>
        <w:rPr>
          <w:rFonts w:ascii="標楷體" w:eastAsia="標楷體" w:hAnsi="標楷體" w:cs="Times New Roman" w:hint="eastAsia"/>
          <w:bCs/>
          <w:kern w:val="0"/>
          <w:szCs w:val="24"/>
        </w:rPr>
        <w:t>年度（截至8月底）詐欺案件分析，詐欺集團多以投資、假網路拍賣、解除分期付款及一般購物為由誆騙民眾；又依全球防詐聯盟GASA（Global Anti-Scam Alliance）113年10月發布《亞洲詐騙調查報告-臺灣篇》指出，詐騙集團前3大詐騙管道為電話、社群平</w:t>
      </w:r>
      <w:proofErr w:type="gramStart"/>
      <w:r>
        <w:rPr>
          <w:rFonts w:ascii="標楷體" w:eastAsia="標楷體" w:hAnsi="標楷體" w:cs="Times New Roman" w:hint="eastAsia"/>
          <w:bCs/>
          <w:kern w:val="0"/>
          <w:szCs w:val="24"/>
        </w:rPr>
        <w:t>臺</w:t>
      </w:r>
      <w:proofErr w:type="gramEnd"/>
      <w:r>
        <w:rPr>
          <w:rFonts w:ascii="標楷體" w:eastAsia="標楷體" w:hAnsi="標楷體" w:cs="Times New Roman" w:hint="eastAsia"/>
          <w:bCs/>
          <w:kern w:val="0"/>
          <w:szCs w:val="24"/>
        </w:rPr>
        <w:t>及簡訊，其中社群平</w:t>
      </w:r>
      <w:proofErr w:type="gramStart"/>
      <w:r>
        <w:rPr>
          <w:rFonts w:ascii="標楷體" w:eastAsia="標楷體" w:hAnsi="標楷體" w:cs="Times New Roman" w:hint="eastAsia"/>
          <w:bCs/>
          <w:kern w:val="0"/>
          <w:szCs w:val="24"/>
        </w:rPr>
        <w:t>臺</w:t>
      </w:r>
      <w:proofErr w:type="gramEnd"/>
      <w:r>
        <w:rPr>
          <w:rFonts w:ascii="標楷體" w:eastAsia="標楷體" w:hAnsi="標楷體" w:cs="Times New Roman" w:hint="eastAsia"/>
          <w:bCs/>
          <w:kern w:val="0"/>
          <w:szCs w:val="24"/>
        </w:rPr>
        <w:t>詐騙成長速度最快，與112年相比增加21％，並躍升為第二大詐騙管道，其他常見之詐騙媒介亦含</w:t>
      </w:r>
      <w:proofErr w:type="gramStart"/>
      <w:r>
        <w:rPr>
          <w:rFonts w:ascii="標楷體" w:eastAsia="標楷體" w:hAnsi="標楷體" w:cs="Times New Roman" w:hint="eastAsia"/>
          <w:bCs/>
          <w:kern w:val="0"/>
          <w:szCs w:val="24"/>
        </w:rPr>
        <w:t>括</w:t>
      </w:r>
      <w:proofErr w:type="gramEnd"/>
      <w:r>
        <w:rPr>
          <w:rFonts w:ascii="標楷體" w:eastAsia="標楷體" w:hAnsi="標楷體" w:cs="Times New Roman" w:hint="eastAsia"/>
          <w:bCs/>
          <w:kern w:val="0"/>
          <w:szCs w:val="24"/>
        </w:rPr>
        <w:t>通訊軟體、Email、電商平</w:t>
      </w:r>
      <w:proofErr w:type="gramStart"/>
      <w:r>
        <w:rPr>
          <w:rFonts w:ascii="標楷體" w:eastAsia="標楷體" w:hAnsi="標楷體" w:cs="Times New Roman" w:hint="eastAsia"/>
          <w:bCs/>
          <w:kern w:val="0"/>
          <w:szCs w:val="24"/>
        </w:rPr>
        <w:t>臺</w:t>
      </w:r>
      <w:proofErr w:type="gramEnd"/>
      <w:r>
        <w:rPr>
          <w:rFonts w:ascii="標楷體" w:eastAsia="標楷體" w:hAnsi="標楷體" w:cs="Times New Roman" w:hint="eastAsia"/>
          <w:bCs/>
          <w:kern w:val="0"/>
          <w:szCs w:val="24"/>
        </w:rPr>
        <w:t>及交友軟體等，亟待</w:t>
      </w:r>
      <w:proofErr w:type="gramStart"/>
      <w:r>
        <w:rPr>
          <w:rFonts w:ascii="標楷體" w:eastAsia="標楷體" w:hAnsi="標楷體" w:cs="Times New Roman" w:hint="eastAsia"/>
          <w:bCs/>
          <w:kern w:val="0"/>
          <w:szCs w:val="24"/>
        </w:rPr>
        <w:t>研謀善策</w:t>
      </w:r>
      <w:proofErr w:type="gramEnd"/>
      <w:r>
        <w:rPr>
          <w:rFonts w:ascii="標楷體" w:eastAsia="標楷體" w:hAnsi="標楷體" w:cs="Times New Roman" w:hint="eastAsia"/>
          <w:bCs/>
          <w:kern w:val="0"/>
          <w:szCs w:val="24"/>
        </w:rPr>
        <w:t>有效掌握詐欺手法動態，及時宣導反詐騙觀念，以提升民眾</w:t>
      </w:r>
      <w:proofErr w:type="gramStart"/>
      <w:r>
        <w:rPr>
          <w:rFonts w:ascii="標楷體" w:eastAsia="標楷體" w:hAnsi="標楷體" w:cs="Times New Roman" w:hint="eastAsia"/>
          <w:bCs/>
          <w:kern w:val="0"/>
          <w:szCs w:val="24"/>
        </w:rPr>
        <w:t>識詐能力</w:t>
      </w:r>
      <w:proofErr w:type="gramEnd"/>
      <w:r>
        <w:rPr>
          <w:rFonts w:ascii="標楷體" w:eastAsia="標楷體" w:hAnsi="標楷體" w:cs="Times New Roman" w:hint="eastAsia"/>
          <w:bCs/>
          <w:kern w:val="0"/>
          <w:szCs w:val="24"/>
        </w:rPr>
        <w:t>，擴大遏阻詐欺成效，經函請檢討改善。據復：每月提供最新詐騙手法素材，由市府各局處推播各種詐欺手法及防範方式，藉由宣導加深民眾</w:t>
      </w:r>
      <w:proofErr w:type="gramStart"/>
      <w:r>
        <w:rPr>
          <w:rFonts w:ascii="標楷體" w:eastAsia="標楷體" w:hAnsi="標楷體" w:cs="Times New Roman" w:hint="eastAsia"/>
          <w:bCs/>
          <w:kern w:val="0"/>
          <w:szCs w:val="24"/>
        </w:rPr>
        <w:t>識詐意識</w:t>
      </w:r>
      <w:proofErr w:type="gramEnd"/>
      <w:r>
        <w:rPr>
          <w:rFonts w:ascii="標楷體" w:eastAsia="標楷體" w:hAnsi="標楷體" w:cs="Times New Roman" w:hint="eastAsia"/>
          <w:bCs/>
          <w:kern w:val="0"/>
          <w:szCs w:val="24"/>
        </w:rPr>
        <w:t>等措施，期降低詐欺案件發生。</w:t>
      </w:r>
    </w:p>
    <w:p w14:paraId="4502BFCD" w14:textId="77777777" w:rsidR="00017460" w:rsidRDefault="00017460" w:rsidP="00EB43C2">
      <w:pPr>
        <w:overflowPunct w:val="0"/>
        <w:spacing w:beforeLines="50" w:before="180" w:line="470" w:lineRule="exact"/>
        <w:ind w:firstLineChars="200" w:firstLine="561"/>
        <w:jc w:val="both"/>
        <w:rPr>
          <w:rFonts w:ascii="標楷體" w:eastAsia="標楷體" w:hAnsi="標楷體" w:cs="Times New Roman"/>
          <w:b/>
          <w:kern w:val="0"/>
          <w:sz w:val="28"/>
          <w:szCs w:val="28"/>
        </w:rPr>
      </w:pPr>
      <w:r>
        <w:rPr>
          <w:rFonts w:ascii="標楷體" w:eastAsia="標楷體" w:hAnsi="標楷體" w:cs="Times New Roman" w:hint="eastAsia"/>
          <w:b/>
          <w:kern w:val="0"/>
          <w:sz w:val="28"/>
          <w:szCs w:val="28"/>
        </w:rPr>
        <w:t>2.運用科技執法查獲違規案件，有助減少交通事故，</w:t>
      </w:r>
      <w:proofErr w:type="gramStart"/>
      <w:r>
        <w:rPr>
          <w:rFonts w:ascii="標楷體" w:eastAsia="標楷體" w:hAnsi="標楷體" w:cs="Times New Roman" w:hint="eastAsia"/>
          <w:b/>
          <w:kern w:val="0"/>
          <w:sz w:val="28"/>
          <w:szCs w:val="28"/>
        </w:rPr>
        <w:t>惟間有舉發</w:t>
      </w:r>
      <w:proofErr w:type="gramEnd"/>
      <w:r>
        <w:rPr>
          <w:rFonts w:ascii="標楷體" w:eastAsia="標楷體" w:hAnsi="標楷體" w:cs="Times New Roman" w:hint="eastAsia"/>
          <w:b/>
          <w:kern w:val="0"/>
          <w:sz w:val="28"/>
          <w:szCs w:val="28"/>
        </w:rPr>
        <w:t>基準不明確、部分設備啟用之先期作業欠</w:t>
      </w:r>
      <w:proofErr w:type="gramStart"/>
      <w:r>
        <w:rPr>
          <w:rFonts w:ascii="標楷體" w:eastAsia="標楷體" w:hAnsi="標楷體" w:cs="Times New Roman" w:hint="eastAsia"/>
          <w:b/>
          <w:kern w:val="0"/>
          <w:sz w:val="28"/>
          <w:szCs w:val="28"/>
        </w:rPr>
        <w:t>覈</w:t>
      </w:r>
      <w:proofErr w:type="gramEnd"/>
      <w:r>
        <w:rPr>
          <w:rFonts w:ascii="標楷體" w:eastAsia="標楷體" w:hAnsi="標楷體" w:cs="Times New Roman" w:hint="eastAsia"/>
          <w:b/>
          <w:kern w:val="0"/>
          <w:sz w:val="28"/>
          <w:szCs w:val="28"/>
        </w:rPr>
        <w:t>實，延誤設備啟用時程，或保固期內故障逾限完成維修，未依約計</w:t>
      </w:r>
      <w:proofErr w:type="gramStart"/>
      <w:r>
        <w:rPr>
          <w:rFonts w:ascii="標楷體" w:eastAsia="標楷體" w:hAnsi="標楷體" w:cs="Times New Roman" w:hint="eastAsia"/>
          <w:b/>
          <w:kern w:val="0"/>
          <w:sz w:val="28"/>
          <w:szCs w:val="28"/>
        </w:rPr>
        <w:t>罰等情</w:t>
      </w:r>
      <w:proofErr w:type="gramEnd"/>
      <w:r>
        <w:rPr>
          <w:rFonts w:ascii="標楷體" w:eastAsia="標楷體" w:hAnsi="標楷體" w:cs="Times New Roman" w:hint="eastAsia"/>
          <w:b/>
          <w:kern w:val="0"/>
          <w:sz w:val="28"/>
          <w:szCs w:val="28"/>
        </w:rPr>
        <w:t>，有待</w:t>
      </w:r>
      <w:proofErr w:type="gramStart"/>
      <w:r>
        <w:rPr>
          <w:rFonts w:ascii="標楷體" w:eastAsia="標楷體" w:hAnsi="標楷體" w:cs="Times New Roman" w:hint="eastAsia"/>
          <w:b/>
          <w:kern w:val="0"/>
          <w:sz w:val="28"/>
          <w:szCs w:val="28"/>
        </w:rPr>
        <w:t>研謀妥處</w:t>
      </w:r>
      <w:proofErr w:type="gramEnd"/>
      <w:r>
        <w:rPr>
          <w:rFonts w:ascii="標楷體" w:eastAsia="標楷體" w:hAnsi="標楷體" w:cs="Times New Roman" w:hint="eastAsia"/>
          <w:b/>
          <w:kern w:val="0"/>
          <w:sz w:val="28"/>
          <w:szCs w:val="28"/>
        </w:rPr>
        <w:t>。</w:t>
      </w:r>
    </w:p>
    <w:p w14:paraId="59A0C1E3" w14:textId="77777777" w:rsidR="00017460" w:rsidRDefault="00017460" w:rsidP="00EB43C2">
      <w:pPr>
        <w:suppressAutoHyphens/>
        <w:overflowPunct w:val="0"/>
        <w:spacing w:beforeLines="20" w:before="72" w:line="470" w:lineRule="exact"/>
        <w:ind w:firstLineChars="200" w:firstLine="480"/>
        <w:jc w:val="both"/>
        <w:rPr>
          <w:rFonts w:ascii="標楷體" w:eastAsia="標楷體" w:hAnsi="標楷體" w:cs="Verdana"/>
          <w:kern w:val="0"/>
          <w:szCs w:val="24"/>
        </w:rPr>
      </w:pPr>
      <w:r>
        <w:rPr>
          <w:rFonts w:ascii="標楷體" w:eastAsia="標楷體" w:hAnsi="標楷體" w:cs="Verdana" w:hint="eastAsia"/>
          <w:kern w:val="0"/>
          <w:szCs w:val="24"/>
        </w:rPr>
        <w:t>警察局為強化交通執法與效能、降低交通違規、防制交通事故、減少警力負擔並養成民眾守法習慣，自</w:t>
      </w:r>
      <w:proofErr w:type="gramStart"/>
      <w:r>
        <w:rPr>
          <w:rFonts w:ascii="標楷體" w:eastAsia="標楷體" w:hAnsi="標楷體" w:cs="Verdana" w:hint="eastAsia"/>
          <w:kern w:val="0"/>
          <w:szCs w:val="24"/>
        </w:rPr>
        <w:t>108</w:t>
      </w:r>
      <w:proofErr w:type="gramEnd"/>
      <w:r>
        <w:rPr>
          <w:rFonts w:ascii="標楷體" w:eastAsia="標楷體" w:hAnsi="標楷體" w:cs="Verdana" w:hint="eastAsia"/>
          <w:kern w:val="0"/>
          <w:szCs w:val="24"/>
        </w:rPr>
        <w:t>年度起於轄內設置科技執法設備，截至113年9月底止已設置啟用39處，建置經費計1億120萬元，另再規劃於29處多事故路口新增科技執法設備。據警察局路口科技執法事故件數統計表所列，</w:t>
      </w:r>
      <w:proofErr w:type="gramStart"/>
      <w:r>
        <w:rPr>
          <w:rFonts w:ascii="標楷體" w:eastAsia="標楷體" w:hAnsi="標楷體" w:cs="Verdana" w:hint="eastAsia"/>
          <w:kern w:val="0"/>
          <w:szCs w:val="24"/>
        </w:rPr>
        <w:t>112</w:t>
      </w:r>
      <w:proofErr w:type="gramEnd"/>
      <w:r>
        <w:rPr>
          <w:rFonts w:ascii="標楷體" w:eastAsia="標楷體" w:hAnsi="標楷體" w:cs="Verdana" w:hint="eastAsia"/>
          <w:kern w:val="0"/>
          <w:szCs w:val="24"/>
        </w:rPr>
        <w:t>年度前所設置21處路口科技執法設備，各該路口於</w:t>
      </w:r>
      <w:proofErr w:type="gramStart"/>
      <w:r>
        <w:rPr>
          <w:rFonts w:ascii="標楷體" w:eastAsia="標楷體" w:hAnsi="標楷體" w:cs="Verdana" w:hint="eastAsia"/>
          <w:kern w:val="0"/>
          <w:szCs w:val="24"/>
        </w:rPr>
        <w:t>113</w:t>
      </w:r>
      <w:proofErr w:type="gramEnd"/>
      <w:r>
        <w:rPr>
          <w:rFonts w:ascii="標楷體" w:eastAsia="標楷體" w:hAnsi="標楷體" w:cs="Verdana" w:hint="eastAsia"/>
          <w:kern w:val="0"/>
          <w:szCs w:val="24"/>
        </w:rPr>
        <w:t>年度截至10月底之事故件數較</w:t>
      </w:r>
      <w:proofErr w:type="gramStart"/>
      <w:r>
        <w:rPr>
          <w:rFonts w:ascii="標楷體" w:eastAsia="標楷體" w:hAnsi="標楷體" w:cs="Verdana" w:hint="eastAsia"/>
          <w:kern w:val="0"/>
          <w:szCs w:val="24"/>
        </w:rPr>
        <w:t>112</w:t>
      </w:r>
      <w:proofErr w:type="gramEnd"/>
      <w:r>
        <w:rPr>
          <w:rFonts w:ascii="標楷體" w:eastAsia="標楷體" w:hAnsi="標楷體" w:cs="Verdana" w:hint="eastAsia"/>
          <w:kern w:val="0"/>
          <w:szCs w:val="24"/>
        </w:rPr>
        <w:t>年度同期減少計122件，顯示設置科技執法查獲違規案件，有助減少交通事故。經查科技執法設備運用情形，核有下列事項：</w:t>
      </w:r>
    </w:p>
    <w:p w14:paraId="04B4437E" w14:textId="77777777" w:rsidR="00AE147C" w:rsidRDefault="00017460" w:rsidP="009A0016">
      <w:pPr>
        <w:overflowPunct w:val="0"/>
        <w:spacing w:beforeLines="30" w:before="108" w:line="470" w:lineRule="exact"/>
        <w:ind w:firstLineChars="200" w:firstLine="480"/>
        <w:jc w:val="both"/>
        <w:rPr>
          <w:rFonts w:ascii="標楷體" w:eastAsia="標楷體" w:hAnsi="標楷體" w:cs="Times New Roman"/>
          <w:kern w:val="0"/>
          <w:szCs w:val="24"/>
        </w:rPr>
      </w:pPr>
      <w:r>
        <w:rPr>
          <w:rFonts w:ascii="標楷體" w:eastAsia="標楷體" w:hAnsi="標楷體" w:cs="Times New Roman" w:hint="eastAsia"/>
          <w:b/>
          <w:kern w:val="0"/>
          <w:szCs w:val="24"/>
        </w:rPr>
        <w:t>（1）</w:t>
      </w:r>
      <w:r>
        <w:rPr>
          <w:rFonts w:ascii="標楷體" w:eastAsia="標楷體" w:hAnsi="標楷體" w:cs="Times New Roman" w:hint="eastAsia"/>
          <w:b/>
          <w:bCs/>
          <w:kern w:val="0"/>
          <w:szCs w:val="24"/>
        </w:rPr>
        <w:t>運用科技執法查獲違規案件，有助減少交通事故，惟對於</w:t>
      </w:r>
      <w:proofErr w:type="gramStart"/>
      <w:r>
        <w:rPr>
          <w:rFonts w:ascii="標楷體" w:eastAsia="標楷體" w:hAnsi="標楷體" w:cs="Times New Roman" w:hint="eastAsia"/>
          <w:b/>
          <w:bCs/>
          <w:kern w:val="0"/>
          <w:szCs w:val="24"/>
        </w:rPr>
        <w:t>不</w:t>
      </w:r>
      <w:proofErr w:type="gramEnd"/>
      <w:r>
        <w:rPr>
          <w:rFonts w:ascii="標楷體" w:eastAsia="標楷體" w:hAnsi="標楷體" w:cs="Times New Roman" w:hint="eastAsia"/>
          <w:b/>
          <w:bCs/>
          <w:kern w:val="0"/>
          <w:szCs w:val="24"/>
        </w:rPr>
        <w:t>舉發之違規案件未探究原委，且舉發作業流程尚無明確判斷基準，有待檢討癥結並</w:t>
      </w:r>
      <w:proofErr w:type="gramStart"/>
      <w:r>
        <w:rPr>
          <w:rFonts w:ascii="標楷體" w:eastAsia="標楷體" w:hAnsi="標楷體" w:cs="Times New Roman" w:hint="eastAsia"/>
          <w:b/>
          <w:bCs/>
          <w:kern w:val="0"/>
          <w:szCs w:val="24"/>
        </w:rPr>
        <w:t>研</w:t>
      </w:r>
      <w:proofErr w:type="gramEnd"/>
      <w:r>
        <w:rPr>
          <w:rFonts w:ascii="標楷體" w:eastAsia="標楷體" w:hAnsi="標楷體" w:cs="Times New Roman" w:hint="eastAsia"/>
          <w:b/>
          <w:bCs/>
          <w:kern w:val="0"/>
          <w:szCs w:val="24"/>
        </w:rPr>
        <w:t>謀強化審查機制：</w:t>
      </w:r>
      <w:r>
        <w:rPr>
          <w:rFonts w:ascii="標楷體" w:eastAsia="標楷體" w:hAnsi="標楷體" w:cs="Times New Roman" w:hint="eastAsia"/>
          <w:kern w:val="0"/>
          <w:szCs w:val="24"/>
        </w:rPr>
        <w:t>依據臺北市科技執法案件舉發流程說明略</w:t>
      </w:r>
      <w:proofErr w:type="gramStart"/>
      <w:r>
        <w:rPr>
          <w:rFonts w:ascii="標楷體" w:eastAsia="標楷體" w:hAnsi="標楷體" w:cs="Times New Roman" w:hint="eastAsia"/>
          <w:kern w:val="0"/>
          <w:szCs w:val="24"/>
        </w:rPr>
        <w:t>以</w:t>
      </w:r>
      <w:proofErr w:type="gramEnd"/>
      <w:r>
        <w:rPr>
          <w:rFonts w:ascii="標楷體" w:eastAsia="標楷體" w:hAnsi="標楷體" w:cs="Times New Roman" w:hint="eastAsia"/>
          <w:kern w:val="0"/>
          <w:szCs w:val="24"/>
        </w:rPr>
        <w:t>，科技執法設備自動辨識違規行為，並記錄違規時間及違規影像資料自動傳送至後端平</w:t>
      </w:r>
      <w:proofErr w:type="gramStart"/>
      <w:r>
        <w:rPr>
          <w:rFonts w:ascii="標楷體" w:eastAsia="標楷體" w:hAnsi="標楷體" w:cs="Times New Roman" w:hint="eastAsia"/>
          <w:kern w:val="0"/>
          <w:szCs w:val="24"/>
        </w:rPr>
        <w:t>臺</w:t>
      </w:r>
      <w:proofErr w:type="gramEnd"/>
      <w:r>
        <w:rPr>
          <w:rFonts w:ascii="標楷體" w:eastAsia="標楷體" w:hAnsi="標楷體" w:cs="Times New Roman" w:hint="eastAsia"/>
          <w:kern w:val="0"/>
          <w:szCs w:val="24"/>
        </w:rPr>
        <w:t>（即違規E化系統），由員警於後端平</w:t>
      </w:r>
      <w:proofErr w:type="gramStart"/>
      <w:r>
        <w:rPr>
          <w:rFonts w:ascii="標楷體" w:eastAsia="標楷體" w:hAnsi="標楷體" w:cs="Times New Roman" w:hint="eastAsia"/>
          <w:kern w:val="0"/>
          <w:szCs w:val="24"/>
        </w:rPr>
        <w:t>臺</w:t>
      </w:r>
      <w:proofErr w:type="gramEnd"/>
      <w:r>
        <w:rPr>
          <w:rFonts w:ascii="標楷體" w:eastAsia="標楷體" w:hAnsi="標楷體" w:cs="Times New Roman" w:hint="eastAsia"/>
          <w:kern w:val="0"/>
          <w:szCs w:val="24"/>
        </w:rPr>
        <w:t>審核案件，檢視違規日期、時間、地點、車牌號碼、</w:t>
      </w:r>
      <w:proofErr w:type="gramStart"/>
      <w:r>
        <w:rPr>
          <w:rFonts w:ascii="標楷體" w:eastAsia="標楷體" w:hAnsi="標楷體" w:cs="Times New Roman" w:hint="eastAsia"/>
          <w:kern w:val="0"/>
          <w:szCs w:val="24"/>
        </w:rPr>
        <w:t>車別</w:t>
      </w:r>
      <w:proofErr w:type="gramEnd"/>
      <w:r>
        <w:rPr>
          <w:rFonts w:ascii="標楷體" w:eastAsia="標楷體" w:hAnsi="標楷體" w:cs="Times New Roman" w:hint="eastAsia"/>
          <w:kern w:val="0"/>
          <w:szCs w:val="24"/>
        </w:rPr>
        <w:t>、廠牌等是否正確，</w:t>
      </w:r>
      <w:proofErr w:type="gramStart"/>
      <w:r>
        <w:rPr>
          <w:rFonts w:ascii="標楷體" w:eastAsia="標楷體" w:hAnsi="標楷體" w:cs="Times New Roman" w:hint="eastAsia"/>
          <w:kern w:val="0"/>
          <w:szCs w:val="24"/>
        </w:rPr>
        <w:t>採</w:t>
      </w:r>
      <w:proofErr w:type="gramEnd"/>
      <w:r>
        <w:rPr>
          <w:rFonts w:ascii="標楷體" w:eastAsia="標楷體" w:hAnsi="標楷體" w:cs="Times New Roman" w:hint="eastAsia"/>
          <w:kern w:val="0"/>
          <w:szCs w:val="24"/>
        </w:rPr>
        <w:t>證影像是否符合告發要件，於確認上揭資訊無誤後</w:t>
      </w:r>
    </w:p>
    <w:p w14:paraId="363CE5E3" w14:textId="1000AB31" w:rsidR="00017460" w:rsidRDefault="00017460" w:rsidP="00AE147C">
      <w:pPr>
        <w:overflowPunct w:val="0"/>
        <w:spacing w:beforeLines="30" w:before="108" w:line="470" w:lineRule="exact"/>
        <w:jc w:val="both"/>
        <w:rPr>
          <w:rFonts w:ascii="標楷體" w:eastAsia="標楷體" w:hAnsi="標楷體" w:cs="新細明體"/>
          <w:szCs w:val="24"/>
        </w:rPr>
      </w:pPr>
      <w:r>
        <w:rPr>
          <w:rFonts w:ascii="標楷體" w:eastAsia="標楷體" w:hAnsi="標楷體" w:cs="Times New Roman" w:hint="eastAsia"/>
          <w:kern w:val="0"/>
          <w:szCs w:val="24"/>
        </w:rPr>
        <w:lastRenderedPageBreak/>
        <w:t>於後端平</w:t>
      </w:r>
      <w:proofErr w:type="gramStart"/>
      <w:r>
        <w:rPr>
          <w:rFonts w:ascii="標楷體" w:eastAsia="標楷體" w:hAnsi="標楷體" w:cs="Times New Roman" w:hint="eastAsia"/>
          <w:kern w:val="0"/>
          <w:szCs w:val="24"/>
        </w:rPr>
        <w:t>臺</w:t>
      </w:r>
      <w:proofErr w:type="gramEnd"/>
      <w:r>
        <w:rPr>
          <w:rFonts w:ascii="標楷體" w:eastAsia="標楷體" w:hAnsi="標楷體" w:cs="Times New Roman" w:hint="eastAsia"/>
          <w:kern w:val="0"/>
          <w:szCs w:val="24"/>
        </w:rPr>
        <w:t>辦理舉發作業，並傳送案件進行入案、製單及寄送程序；若</w:t>
      </w:r>
      <w:proofErr w:type="gramStart"/>
      <w:r>
        <w:rPr>
          <w:rFonts w:ascii="標楷體" w:eastAsia="標楷體" w:hAnsi="標楷體" w:cs="Times New Roman" w:hint="eastAsia"/>
          <w:kern w:val="0"/>
          <w:szCs w:val="24"/>
        </w:rPr>
        <w:t>採</w:t>
      </w:r>
      <w:proofErr w:type="gramEnd"/>
      <w:r>
        <w:rPr>
          <w:rFonts w:ascii="標楷體" w:eastAsia="標楷體" w:hAnsi="標楷體" w:cs="Times New Roman" w:hint="eastAsia"/>
          <w:kern w:val="0"/>
          <w:szCs w:val="24"/>
        </w:rPr>
        <w:t>證影像不符合告發要件則</w:t>
      </w:r>
      <w:proofErr w:type="gramStart"/>
      <w:r>
        <w:rPr>
          <w:rFonts w:ascii="標楷體" w:eastAsia="標楷體" w:hAnsi="標楷體" w:cs="Times New Roman" w:hint="eastAsia"/>
          <w:kern w:val="0"/>
          <w:szCs w:val="24"/>
        </w:rPr>
        <w:t>不</w:t>
      </w:r>
      <w:proofErr w:type="gramEnd"/>
      <w:r>
        <w:rPr>
          <w:rFonts w:ascii="標楷體" w:eastAsia="標楷體" w:hAnsi="標楷體" w:cs="Times New Roman" w:hint="eastAsia"/>
          <w:kern w:val="0"/>
          <w:szCs w:val="24"/>
        </w:rPr>
        <w:t>舉發。依警察局提供111至113年度（截至9月底）科技執法設備自動辨識違規案件明細，各該年度違規案件經統計分別為48萬餘件、42萬餘件及36萬餘件，合計127萬餘件，經該局審核結果，截至113年9月底止，各該年度案件狀態為</w:t>
      </w:r>
      <w:proofErr w:type="gramStart"/>
      <w:r>
        <w:rPr>
          <w:rFonts w:ascii="標楷體" w:eastAsia="標楷體" w:hAnsi="標楷體" w:cs="Times New Roman" w:hint="eastAsia"/>
          <w:kern w:val="0"/>
          <w:szCs w:val="24"/>
        </w:rPr>
        <w:t>不</w:t>
      </w:r>
      <w:proofErr w:type="gramEnd"/>
      <w:r>
        <w:rPr>
          <w:rFonts w:ascii="標楷體" w:eastAsia="標楷體" w:hAnsi="標楷體" w:cs="Times New Roman" w:hint="eastAsia"/>
          <w:kern w:val="0"/>
          <w:szCs w:val="24"/>
        </w:rPr>
        <w:t>舉發者，分別為24萬餘件、20萬餘件及13萬餘件，合計58萬餘件，占科技執法設備自動辨識違規案件45.42％，</w:t>
      </w:r>
      <w:proofErr w:type="gramStart"/>
      <w:r>
        <w:rPr>
          <w:rFonts w:ascii="標楷體" w:eastAsia="標楷體" w:hAnsi="標楷體" w:cs="Times New Roman" w:hint="eastAsia"/>
          <w:kern w:val="0"/>
          <w:szCs w:val="24"/>
        </w:rPr>
        <w:t>不</w:t>
      </w:r>
      <w:proofErr w:type="gramEnd"/>
      <w:r>
        <w:rPr>
          <w:rFonts w:ascii="標楷體" w:eastAsia="標楷體" w:hAnsi="標楷體" w:cs="Times New Roman" w:hint="eastAsia"/>
          <w:kern w:val="0"/>
          <w:szCs w:val="24"/>
        </w:rPr>
        <w:t>舉發比率近</w:t>
      </w:r>
      <w:proofErr w:type="gramStart"/>
      <w:r>
        <w:rPr>
          <w:rFonts w:ascii="標楷體" w:eastAsia="標楷體" w:hAnsi="標楷體" w:cs="Times New Roman" w:hint="eastAsia"/>
          <w:kern w:val="0"/>
          <w:szCs w:val="24"/>
        </w:rPr>
        <w:t>5成</w:t>
      </w:r>
      <w:proofErr w:type="gramEnd"/>
      <w:r>
        <w:rPr>
          <w:rFonts w:ascii="標楷體" w:eastAsia="標楷體" w:hAnsi="標楷體" w:cs="Times New Roman" w:hint="eastAsia"/>
          <w:kern w:val="0"/>
          <w:szCs w:val="24"/>
        </w:rPr>
        <w:t>。惟因該局建置舉發審核科技執法辨識違規案件之違規E化系統無欄位可記錄列管</w:t>
      </w:r>
      <w:proofErr w:type="gramStart"/>
      <w:r>
        <w:rPr>
          <w:rFonts w:ascii="標楷體" w:eastAsia="標楷體" w:hAnsi="標楷體" w:cs="Times New Roman" w:hint="eastAsia"/>
          <w:kern w:val="0"/>
          <w:szCs w:val="24"/>
        </w:rPr>
        <w:t>不</w:t>
      </w:r>
      <w:proofErr w:type="gramEnd"/>
      <w:r>
        <w:rPr>
          <w:rFonts w:ascii="標楷體" w:eastAsia="標楷體" w:hAnsi="標楷體" w:cs="Times New Roman" w:hint="eastAsia"/>
          <w:kern w:val="0"/>
          <w:szCs w:val="24"/>
        </w:rPr>
        <w:t>舉發原因，無法就</w:t>
      </w:r>
      <w:proofErr w:type="gramStart"/>
      <w:r>
        <w:rPr>
          <w:rFonts w:ascii="標楷體" w:eastAsia="標楷體" w:hAnsi="標楷體" w:cs="Times New Roman" w:hint="eastAsia"/>
          <w:kern w:val="0"/>
          <w:szCs w:val="24"/>
        </w:rPr>
        <w:t>不</w:t>
      </w:r>
      <w:proofErr w:type="gramEnd"/>
      <w:r>
        <w:rPr>
          <w:rFonts w:ascii="標楷體" w:eastAsia="標楷體" w:hAnsi="標楷體" w:cs="Times New Roman" w:hint="eastAsia"/>
          <w:kern w:val="0"/>
          <w:szCs w:val="24"/>
        </w:rPr>
        <w:t>舉發原因予以統計分類並</w:t>
      </w:r>
      <w:proofErr w:type="gramStart"/>
      <w:r>
        <w:rPr>
          <w:rFonts w:ascii="標楷體" w:eastAsia="標楷體" w:hAnsi="標楷體" w:cs="Times New Roman" w:hint="eastAsia"/>
          <w:kern w:val="0"/>
          <w:szCs w:val="24"/>
        </w:rPr>
        <w:t>研</w:t>
      </w:r>
      <w:proofErr w:type="gramEnd"/>
      <w:r>
        <w:rPr>
          <w:rFonts w:ascii="標楷體" w:eastAsia="標楷體" w:hAnsi="標楷體" w:cs="Times New Roman" w:hint="eastAsia"/>
          <w:kern w:val="0"/>
          <w:szCs w:val="24"/>
        </w:rPr>
        <w:t>析癥結。復查該局科技執法辨識案件舉發流程，係由承辦同仁自行檢視科技執法設備辨識違規影像紀錄之</w:t>
      </w:r>
      <w:proofErr w:type="gramStart"/>
      <w:r>
        <w:rPr>
          <w:rFonts w:ascii="標楷體" w:eastAsia="標楷體" w:hAnsi="標楷體" w:cs="Times New Roman" w:hint="eastAsia"/>
          <w:kern w:val="0"/>
          <w:szCs w:val="24"/>
        </w:rPr>
        <w:t>採</w:t>
      </w:r>
      <w:proofErr w:type="gramEnd"/>
      <w:r>
        <w:rPr>
          <w:rFonts w:ascii="標楷體" w:eastAsia="標楷體" w:hAnsi="標楷體" w:cs="Times New Roman" w:hint="eastAsia"/>
          <w:kern w:val="0"/>
          <w:szCs w:val="24"/>
        </w:rPr>
        <w:t>證情形，據以審核是否符合舉發要件後進行入案舉發作業，惟舉發與否之要件，因未明確規範判斷基準，且上開審核、入案等程序未有相關覆核程序，易發生諸如救護車、消防車等執行公務未禮讓行人等雷同違規情事，卻因不同人員審核而舉發結果相</w:t>
      </w:r>
      <w:proofErr w:type="gramStart"/>
      <w:r>
        <w:rPr>
          <w:rFonts w:ascii="標楷體" w:eastAsia="標楷體" w:hAnsi="標楷體" w:cs="Times New Roman" w:hint="eastAsia"/>
          <w:kern w:val="0"/>
          <w:szCs w:val="24"/>
        </w:rPr>
        <w:t>異等情</w:t>
      </w:r>
      <w:proofErr w:type="gramEnd"/>
      <w:r>
        <w:rPr>
          <w:rFonts w:ascii="標楷體" w:eastAsia="標楷體" w:hAnsi="標楷體" w:cs="Times New Roman" w:hint="eastAsia"/>
          <w:kern w:val="0"/>
          <w:szCs w:val="24"/>
        </w:rPr>
        <w:t>，經函請檢討改善並強化審查機制。據復：業修訂科技執法案件審核流程，審核結果如</w:t>
      </w:r>
      <w:proofErr w:type="gramStart"/>
      <w:r>
        <w:rPr>
          <w:rFonts w:ascii="標楷體" w:eastAsia="標楷體" w:hAnsi="標楷體" w:cs="Times New Roman" w:hint="eastAsia"/>
          <w:kern w:val="0"/>
          <w:szCs w:val="24"/>
        </w:rPr>
        <w:t>不</w:t>
      </w:r>
      <w:proofErr w:type="gramEnd"/>
      <w:r>
        <w:rPr>
          <w:rFonts w:ascii="標楷體" w:eastAsia="標楷體" w:hAnsi="標楷體" w:cs="Times New Roman" w:hint="eastAsia"/>
          <w:kern w:val="0"/>
          <w:szCs w:val="24"/>
        </w:rPr>
        <w:t>舉發，須填列原因，並經單位主管審核，以強化案件審核機制。</w:t>
      </w:r>
    </w:p>
    <w:p w14:paraId="3983421C" w14:textId="77777777" w:rsidR="00017460" w:rsidRDefault="00017460" w:rsidP="009A0016">
      <w:pPr>
        <w:tabs>
          <w:tab w:val="left" w:pos="9214"/>
          <w:tab w:val="left" w:pos="9356"/>
          <w:tab w:val="left" w:pos="9498"/>
        </w:tabs>
        <w:overflowPunct w:val="0"/>
        <w:spacing w:beforeLines="20" w:before="72" w:line="460" w:lineRule="exact"/>
        <w:ind w:firstLineChars="200" w:firstLine="480"/>
        <w:jc w:val="both"/>
        <w:rPr>
          <w:rFonts w:ascii="標楷體" w:eastAsia="標楷體" w:hAnsi="標楷體" w:cs="Times New Roman"/>
          <w:bCs/>
          <w:kern w:val="0"/>
          <w:szCs w:val="24"/>
        </w:rPr>
      </w:pPr>
      <w:r>
        <w:rPr>
          <w:rFonts w:ascii="標楷體" w:eastAsia="標楷體" w:hAnsi="標楷體" w:cs="Times New Roman" w:hint="eastAsia"/>
          <w:b/>
          <w:kern w:val="0"/>
          <w:szCs w:val="24"/>
        </w:rPr>
        <w:t>（2）持續建置科技執法設備，以擴增交通違規取締量能，惟部分設備因建置於他項工程施工範圍內，因未掌握該項工程完成時程，延宕辦理網路及用電申請，延誤設備啟用時程，有待檢討改善：</w:t>
      </w:r>
      <w:r>
        <w:rPr>
          <w:rFonts w:ascii="標楷體" w:eastAsia="標楷體" w:hAnsi="標楷體" w:cs="Times New Roman" w:hint="eastAsia"/>
          <w:bCs/>
          <w:kern w:val="0"/>
          <w:szCs w:val="24"/>
        </w:rPr>
        <w:t>警察局為降低交通事故及維護道路安全，109年6月委外於</w:t>
      </w:r>
      <w:proofErr w:type="gramStart"/>
      <w:r>
        <w:rPr>
          <w:rFonts w:ascii="標楷體" w:eastAsia="標楷體" w:hAnsi="標楷體" w:cs="Times New Roman" w:hint="eastAsia"/>
          <w:bCs/>
          <w:kern w:val="0"/>
          <w:szCs w:val="24"/>
        </w:rPr>
        <w:t>臺</w:t>
      </w:r>
      <w:proofErr w:type="gramEnd"/>
      <w:r>
        <w:rPr>
          <w:rFonts w:ascii="標楷體" w:eastAsia="標楷體" w:hAnsi="標楷體" w:cs="Times New Roman" w:hint="eastAsia"/>
          <w:bCs/>
          <w:kern w:val="0"/>
          <w:szCs w:val="24"/>
        </w:rPr>
        <w:t>北車站北側公車停靠區域設置違規停車科技執法設備，決標金額300萬元，履約期間自109年6月22日至109年9月29日止，</w:t>
      </w:r>
      <w:proofErr w:type="gramStart"/>
      <w:r>
        <w:rPr>
          <w:rFonts w:ascii="標楷體" w:eastAsia="標楷體" w:hAnsi="標楷體" w:cs="Times New Roman" w:hint="eastAsia"/>
          <w:bCs/>
          <w:kern w:val="0"/>
          <w:szCs w:val="24"/>
        </w:rPr>
        <w:t>嗣</w:t>
      </w:r>
      <w:proofErr w:type="gramEnd"/>
      <w:r>
        <w:rPr>
          <w:rFonts w:ascii="標楷體" w:eastAsia="標楷體" w:hAnsi="標楷體" w:cs="Times New Roman" w:hint="eastAsia"/>
          <w:bCs/>
          <w:kern w:val="0"/>
          <w:szCs w:val="24"/>
        </w:rPr>
        <w:t>承商依其投標採購案之企劃書，</w:t>
      </w:r>
      <w:proofErr w:type="gramStart"/>
      <w:r>
        <w:rPr>
          <w:rFonts w:ascii="標楷體" w:eastAsia="標楷體" w:hAnsi="標楷體" w:cs="Times New Roman" w:hint="eastAsia"/>
          <w:bCs/>
          <w:kern w:val="0"/>
          <w:szCs w:val="24"/>
        </w:rPr>
        <w:t>加贈另1組</w:t>
      </w:r>
      <w:proofErr w:type="gramEnd"/>
      <w:r>
        <w:rPr>
          <w:rFonts w:ascii="標楷體" w:eastAsia="標楷體" w:hAnsi="標楷體" w:cs="Times New Roman" w:hint="eastAsia"/>
          <w:bCs/>
          <w:kern w:val="0"/>
          <w:szCs w:val="24"/>
        </w:rPr>
        <w:t>違規停車科技執法設備，按該局需求建置於中山南路西北角及西南角，取締路段為中山南路與常德街口，承商於111年5月完成建置並經驗收。經查該取締路段前經臺北市政府工務局新建工程處自110年5月31日起辦理常德街人行地下道連通工程至113年5月16日止，惟因該局未妥為掌握常德街人行地下道連通工程（含管線埋設）完工時程，延宕至113年10月始完成申請該科技執法設備啟用前所需之網路及用電申請事宜，延誤該科技執法設備啟用時程5個月，經函請檢討改善。據復：已分別</w:t>
      </w:r>
      <w:proofErr w:type="gramStart"/>
      <w:r>
        <w:rPr>
          <w:rFonts w:ascii="標楷體" w:eastAsia="標楷體" w:hAnsi="標楷體" w:cs="Times New Roman" w:hint="eastAsia"/>
          <w:bCs/>
          <w:kern w:val="0"/>
          <w:szCs w:val="24"/>
        </w:rPr>
        <w:t>核予時任</w:t>
      </w:r>
      <w:proofErr w:type="gramEnd"/>
      <w:r>
        <w:rPr>
          <w:rFonts w:ascii="標楷體" w:eastAsia="標楷體" w:hAnsi="標楷體" w:cs="Times New Roman" w:hint="eastAsia"/>
          <w:bCs/>
          <w:kern w:val="0"/>
          <w:szCs w:val="24"/>
        </w:rPr>
        <w:t>承辦人員2位各申誡1次及業務主管劣</w:t>
      </w:r>
      <w:proofErr w:type="gramStart"/>
      <w:r>
        <w:rPr>
          <w:rFonts w:ascii="標楷體" w:eastAsia="標楷體" w:hAnsi="標楷體" w:cs="Times New Roman" w:hint="eastAsia"/>
          <w:bCs/>
          <w:kern w:val="0"/>
          <w:szCs w:val="24"/>
        </w:rPr>
        <w:t>蹟</w:t>
      </w:r>
      <w:proofErr w:type="gramEnd"/>
      <w:r>
        <w:rPr>
          <w:rFonts w:ascii="標楷體" w:eastAsia="標楷體" w:hAnsi="標楷體" w:cs="Times New Roman" w:hint="eastAsia"/>
          <w:bCs/>
          <w:kern w:val="0"/>
          <w:szCs w:val="24"/>
        </w:rPr>
        <w:t>1次處分，爾後規劃建置科技執法設備時，將請相關單位提供設置地點未來施工規劃情形，並追蹤施工進度及期程。</w:t>
      </w:r>
    </w:p>
    <w:p w14:paraId="185954C5" w14:textId="77777777" w:rsidR="009A0016" w:rsidRDefault="00017460" w:rsidP="00017460">
      <w:pPr>
        <w:tabs>
          <w:tab w:val="left" w:pos="9214"/>
          <w:tab w:val="left" w:pos="9356"/>
          <w:tab w:val="left" w:pos="9498"/>
        </w:tabs>
        <w:overflowPunct w:val="0"/>
        <w:spacing w:line="460" w:lineRule="exact"/>
        <w:ind w:firstLineChars="200" w:firstLine="480"/>
        <w:jc w:val="both"/>
        <w:rPr>
          <w:rFonts w:ascii="標楷體" w:eastAsia="標楷體" w:hAnsi="標楷體" w:cs="Times New Roman"/>
          <w:kern w:val="0"/>
          <w:szCs w:val="24"/>
        </w:rPr>
      </w:pPr>
      <w:r>
        <w:rPr>
          <w:rFonts w:ascii="標楷體" w:eastAsia="標楷體" w:hAnsi="標楷體" w:cs="Times New Roman" w:hint="eastAsia"/>
          <w:b/>
          <w:kern w:val="0"/>
          <w:szCs w:val="24"/>
        </w:rPr>
        <w:t>（3）</w:t>
      </w:r>
      <w:r>
        <w:rPr>
          <w:rFonts w:ascii="標楷體" w:eastAsia="標楷體" w:hAnsi="標楷體" w:cs="Times New Roman" w:hint="eastAsia"/>
          <w:b/>
          <w:bCs/>
          <w:kern w:val="0"/>
          <w:szCs w:val="24"/>
        </w:rPr>
        <w:t>於保固期間通知廠商辦理科技執法設備維修，惟對廠商逾規定期限完成，未依約計罰，</w:t>
      </w:r>
      <w:proofErr w:type="gramStart"/>
      <w:r>
        <w:rPr>
          <w:rFonts w:ascii="標楷體" w:eastAsia="標楷體" w:hAnsi="標楷體" w:cs="Times New Roman" w:hint="eastAsia"/>
          <w:b/>
          <w:bCs/>
          <w:kern w:val="0"/>
          <w:szCs w:val="24"/>
        </w:rPr>
        <w:t>另間有通知</w:t>
      </w:r>
      <w:proofErr w:type="gramEnd"/>
      <w:r>
        <w:rPr>
          <w:rFonts w:ascii="標楷體" w:eastAsia="標楷體" w:hAnsi="標楷體" w:cs="Times New Roman" w:hint="eastAsia"/>
          <w:b/>
          <w:bCs/>
          <w:kern w:val="0"/>
          <w:szCs w:val="24"/>
        </w:rPr>
        <w:t>辦理維修時，未指定修復期限，難以管制並約束廠商儘速辦理，有待</w:t>
      </w:r>
      <w:proofErr w:type="gramStart"/>
      <w:r>
        <w:rPr>
          <w:rFonts w:ascii="標楷體" w:eastAsia="標楷體" w:hAnsi="標楷體" w:cs="Times New Roman" w:hint="eastAsia"/>
          <w:b/>
          <w:bCs/>
          <w:kern w:val="0"/>
          <w:szCs w:val="24"/>
        </w:rPr>
        <w:t>研</w:t>
      </w:r>
      <w:proofErr w:type="gramEnd"/>
      <w:r>
        <w:rPr>
          <w:rFonts w:ascii="標楷體" w:eastAsia="標楷體" w:hAnsi="標楷體" w:cs="Times New Roman" w:hint="eastAsia"/>
          <w:b/>
          <w:bCs/>
          <w:kern w:val="0"/>
          <w:szCs w:val="24"/>
        </w:rPr>
        <w:t>謀強化履約管理機制，以維設備正常運作：</w:t>
      </w:r>
      <w:r>
        <w:rPr>
          <w:rFonts w:ascii="標楷體" w:eastAsia="標楷體" w:hAnsi="標楷體" w:cs="Times New Roman" w:hint="eastAsia"/>
          <w:kern w:val="0"/>
          <w:szCs w:val="24"/>
        </w:rPr>
        <w:t>警察局為維護交通安全，截至113年9月底止已設置啟用39處科技執法，經抽查設備故障維修情形，核有：A.警察局於111年3月以共同供應契約方式採購路口多功能科技執法設備9組，依據共同供應契約採購案契約條款十一、（四）規定略</w:t>
      </w:r>
      <w:proofErr w:type="gramStart"/>
      <w:r>
        <w:rPr>
          <w:rFonts w:ascii="標楷體" w:eastAsia="標楷體" w:hAnsi="標楷體" w:cs="Times New Roman" w:hint="eastAsia"/>
          <w:kern w:val="0"/>
          <w:szCs w:val="24"/>
        </w:rPr>
        <w:t>以</w:t>
      </w:r>
      <w:proofErr w:type="gramEnd"/>
      <w:r>
        <w:rPr>
          <w:rFonts w:ascii="標楷體" w:eastAsia="標楷體" w:hAnsi="標楷體" w:cs="Times New Roman" w:hint="eastAsia"/>
          <w:kern w:val="0"/>
          <w:szCs w:val="24"/>
        </w:rPr>
        <w:t>，當契約</w:t>
      </w:r>
      <w:r w:rsidRPr="00F957AC">
        <w:rPr>
          <w:rFonts w:ascii="標楷體" w:eastAsia="標楷體" w:hAnsi="標楷體" w:cs="Times New Roman" w:hint="eastAsia"/>
          <w:spacing w:val="2"/>
          <w:kern w:val="0"/>
          <w:szCs w:val="24"/>
        </w:rPr>
        <w:t>標的發生故障時，立約商應於接獲機關通知後7日曆天內，將標的回復正常；每延遲8工作小</w:t>
      </w:r>
    </w:p>
    <w:p w14:paraId="45947806" w14:textId="326CF0A9" w:rsidR="00017460" w:rsidRDefault="00017460" w:rsidP="009A0016">
      <w:pPr>
        <w:tabs>
          <w:tab w:val="left" w:pos="9214"/>
          <w:tab w:val="left" w:pos="9356"/>
          <w:tab w:val="left" w:pos="9498"/>
        </w:tabs>
        <w:overflowPunct w:val="0"/>
        <w:spacing w:line="480" w:lineRule="exact"/>
        <w:jc w:val="both"/>
        <w:rPr>
          <w:rFonts w:ascii="標楷體" w:eastAsia="標楷體" w:hAnsi="標楷體" w:cs="新細明體"/>
          <w:szCs w:val="24"/>
        </w:rPr>
      </w:pPr>
      <w:proofErr w:type="gramStart"/>
      <w:r>
        <w:rPr>
          <w:rFonts w:ascii="標楷體" w:eastAsia="標楷體" w:hAnsi="標楷體" w:cs="Times New Roman" w:hint="eastAsia"/>
          <w:kern w:val="0"/>
          <w:szCs w:val="24"/>
        </w:rPr>
        <w:lastRenderedPageBreak/>
        <w:t>時計罰2千元</w:t>
      </w:r>
      <w:proofErr w:type="gramEnd"/>
      <w:r>
        <w:rPr>
          <w:rFonts w:ascii="標楷體" w:eastAsia="標楷體" w:hAnsi="標楷體" w:cs="Times New Roman" w:hint="eastAsia"/>
          <w:kern w:val="0"/>
          <w:szCs w:val="24"/>
        </w:rPr>
        <w:t>。其中建置於市民大道二段與林森北路口之路口多功能科技執法設備，設備金額340萬元，於111年11月21日驗收完成，保固期限自111年11月22日至114年11月21日止，期間該局發現設備故障，於112年6月通知承商修復，迄同年8月始完成，維修天數已逾契約規定期限，惟未依約計罰；B.該局所辦理辛亥隧道交通違規多功能執法系統採購案，108年7月決標，決標金額400萬元，於108年11月7日驗收完成，保固期限自108年11月8日至112年11月7日止。依據辛亥隧道交通違規多功能執法系統採購契約第13條第3款規定略</w:t>
      </w:r>
      <w:proofErr w:type="gramStart"/>
      <w:r>
        <w:rPr>
          <w:rFonts w:ascii="標楷體" w:eastAsia="標楷體" w:hAnsi="標楷體" w:cs="Times New Roman" w:hint="eastAsia"/>
          <w:kern w:val="0"/>
          <w:szCs w:val="24"/>
        </w:rPr>
        <w:t>以</w:t>
      </w:r>
      <w:proofErr w:type="gramEnd"/>
      <w:r>
        <w:rPr>
          <w:rFonts w:ascii="標楷體" w:eastAsia="標楷體" w:hAnsi="標楷體" w:cs="Times New Roman" w:hint="eastAsia"/>
          <w:kern w:val="0"/>
          <w:szCs w:val="24"/>
        </w:rPr>
        <w:t>，保固期間內發現之瑕疵，應由廠商於機關指定之合理期限內負責免費無條件改正。</w:t>
      </w:r>
      <w:proofErr w:type="gramStart"/>
      <w:r>
        <w:rPr>
          <w:rFonts w:ascii="標楷體" w:eastAsia="標楷體" w:hAnsi="標楷體" w:cs="Times New Roman" w:hint="eastAsia"/>
          <w:kern w:val="0"/>
          <w:szCs w:val="24"/>
        </w:rPr>
        <w:t>惟保固</w:t>
      </w:r>
      <w:proofErr w:type="gramEnd"/>
      <w:r>
        <w:rPr>
          <w:rFonts w:ascii="標楷體" w:eastAsia="標楷體" w:hAnsi="標楷體" w:cs="Times New Roman" w:hint="eastAsia"/>
          <w:kern w:val="0"/>
          <w:szCs w:val="24"/>
        </w:rPr>
        <w:t>期間警察局發現辛亥隧道區間平均速率科技執法設備故障，並於112年9月28日通知承商修復，因未指定修復期限，迄至同年11月23日</w:t>
      </w:r>
      <w:proofErr w:type="gramStart"/>
      <w:r>
        <w:rPr>
          <w:rFonts w:ascii="標楷體" w:eastAsia="標楷體" w:hAnsi="標楷體" w:cs="Times New Roman" w:hint="eastAsia"/>
          <w:kern w:val="0"/>
          <w:szCs w:val="24"/>
        </w:rPr>
        <w:t>甫</w:t>
      </w:r>
      <w:proofErr w:type="gramEnd"/>
      <w:r>
        <w:rPr>
          <w:rFonts w:ascii="標楷體" w:eastAsia="標楷體" w:hAnsi="標楷體" w:cs="Times New Roman" w:hint="eastAsia"/>
          <w:kern w:val="0"/>
          <w:szCs w:val="24"/>
        </w:rPr>
        <w:t>修復完成，維修天數長達75天等情，經函請檢討改善。據復：市民大道二段與林森北路口科技執法設備逾期修復案，經檢討時任承辦人及業務主管，分別核予申誡2次及1次之處分；另已轉</w:t>
      </w:r>
      <w:proofErr w:type="gramStart"/>
      <w:r>
        <w:rPr>
          <w:rFonts w:ascii="標楷體" w:eastAsia="標楷體" w:hAnsi="標楷體" w:cs="Times New Roman" w:hint="eastAsia"/>
          <w:kern w:val="0"/>
          <w:szCs w:val="24"/>
        </w:rPr>
        <w:t>飭嗣</w:t>
      </w:r>
      <w:proofErr w:type="gramEnd"/>
      <w:r>
        <w:rPr>
          <w:rFonts w:ascii="標楷體" w:eastAsia="標楷體" w:hAnsi="標楷體" w:cs="Times New Roman" w:hint="eastAsia"/>
          <w:kern w:val="0"/>
          <w:szCs w:val="24"/>
        </w:rPr>
        <w:t>有設備損壞時，應指定期限督促廠商修復，未依限履約則據</w:t>
      </w:r>
      <w:proofErr w:type="gramStart"/>
      <w:r>
        <w:rPr>
          <w:rFonts w:ascii="標楷體" w:eastAsia="標楷體" w:hAnsi="標楷體" w:cs="Times New Roman" w:hint="eastAsia"/>
          <w:kern w:val="0"/>
          <w:szCs w:val="24"/>
        </w:rPr>
        <w:t>以計罰</w:t>
      </w:r>
      <w:proofErr w:type="gramEnd"/>
      <w:r>
        <w:rPr>
          <w:rFonts w:ascii="標楷體" w:eastAsia="標楷體" w:hAnsi="標楷體" w:cs="Times New Roman" w:hint="eastAsia"/>
          <w:kern w:val="0"/>
          <w:szCs w:val="24"/>
        </w:rPr>
        <w:t>。</w:t>
      </w:r>
    </w:p>
    <w:p w14:paraId="6259DD29" w14:textId="77777777" w:rsidR="00017460" w:rsidRDefault="00017460" w:rsidP="009A0016">
      <w:pPr>
        <w:overflowPunct w:val="0"/>
        <w:spacing w:beforeLines="50" w:before="180" w:line="480" w:lineRule="exact"/>
        <w:ind w:firstLineChars="200" w:firstLine="561"/>
        <w:jc w:val="both"/>
        <w:rPr>
          <w:rFonts w:ascii="標楷體" w:eastAsia="標楷體" w:hAnsi="標楷體" w:cs="Times New Roman"/>
          <w:b/>
          <w:sz w:val="28"/>
          <w:szCs w:val="28"/>
        </w:rPr>
      </w:pPr>
      <w:r>
        <w:rPr>
          <w:rFonts w:ascii="標楷體" w:eastAsia="標楷體" w:hAnsi="標楷體" w:cs="Times New Roman" w:hint="eastAsia"/>
          <w:b/>
          <w:kern w:val="0"/>
          <w:sz w:val="28"/>
          <w:szCs w:val="28"/>
        </w:rPr>
        <w:t>3.</w:t>
      </w:r>
      <w:r>
        <w:rPr>
          <w:rFonts w:ascii="標楷體" w:eastAsia="標楷體" w:hAnsi="標楷體" w:cs="Times New Roman" w:hint="eastAsia"/>
          <w:b/>
          <w:bCs/>
          <w:spacing w:val="2"/>
          <w:sz w:val="28"/>
          <w:szCs w:val="28"/>
        </w:rPr>
        <w:t>捷運警察隊受理各類報案，平均到場</w:t>
      </w:r>
      <w:proofErr w:type="gramStart"/>
      <w:r>
        <w:rPr>
          <w:rFonts w:ascii="標楷體" w:eastAsia="標楷體" w:hAnsi="標楷體" w:cs="Times New Roman" w:hint="eastAsia"/>
          <w:b/>
          <w:bCs/>
          <w:spacing w:val="2"/>
          <w:sz w:val="28"/>
          <w:szCs w:val="28"/>
        </w:rPr>
        <w:t>時間尚符規定</w:t>
      </w:r>
      <w:proofErr w:type="gramEnd"/>
      <w:r>
        <w:rPr>
          <w:rFonts w:ascii="標楷體" w:eastAsia="標楷體" w:hAnsi="標楷體" w:cs="Times New Roman" w:hint="eastAsia"/>
          <w:b/>
          <w:bCs/>
          <w:spacing w:val="2"/>
          <w:sz w:val="28"/>
          <w:szCs w:val="28"/>
        </w:rPr>
        <w:t>目標，</w:t>
      </w:r>
      <w:proofErr w:type="gramStart"/>
      <w:r>
        <w:rPr>
          <w:rFonts w:ascii="標楷體" w:eastAsia="標楷體" w:hAnsi="標楷體" w:cs="Times New Roman" w:hint="eastAsia"/>
          <w:b/>
          <w:bCs/>
          <w:spacing w:val="2"/>
          <w:sz w:val="28"/>
          <w:szCs w:val="28"/>
        </w:rPr>
        <w:t>惟間有部分</w:t>
      </w:r>
      <w:proofErr w:type="gramEnd"/>
      <w:r>
        <w:rPr>
          <w:rFonts w:ascii="標楷體" w:eastAsia="標楷體" w:hAnsi="標楷體" w:cs="Times New Roman" w:hint="eastAsia"/>
          <w:b/>
          <w:bCs/>
          <w:spacing w:val="2"/>
          <w:sz w:val="28"/>
          <w:szCs w:val="28"/>
        </w:rPr>
        <w:t>案件仍逾目標值，又未依</w:t>
      </w:r>
      <w:proofErr w:type="gramStart"/>
      <w:r>
        <w:rPr>
          <w:rFonts w:ascii="標楷體" w:eastAsia="標楷體" w:hAnsi="標楷體" w:cs="Times New Roman" w:hint="eastAsia"/>
          <w:b/>
          <w:bCs/>
          <w:spacing w:val="2"/>
          <w:sz w:val="28"/>
          <w:szCs w:val="28"/>
        </w:rPr>
        <w:t>各站體實際</w:t>
      </w:r>
      <w:proofErr w:type="gramEnd"/>
      <w:r>
        <w:rPr>
          <w:rFonts w:ascii="標楷體" w:eastAsia="標楷體" w:hAnsi="標楷體" w:cs="Times New Roman" w:hint="eastAsia"/>
          <w:b/>
          <w:bCs/>
          <w:spacing w:val="2"/>
          <w:sz w:val="28"/>
          <w:szCs w:val="28"/>
        </w:rPr>
        <w:t>受理報案數多寡，妥為排定巡邏及守望勤務次數，允宜檢討改善，以提升危安事件處理效率，建構更縝密捷運安全巡邏網，維護民眾乘車安全。</w:t>
      </w:r>
    </w:p>
    <w:p w14:paraId="7640480B" w14:textId="77777777" w:rsidR="009A0016" w:rsidRDefault="00EE7738" w:rsidP="009A0016">
      <w:pPr>
        <w:overflowPunct w:val="0"/>
        <w:spacing w:line="47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警察局捷運警察隊（下稱捷運警察隊）下設3組、2室及4分隊，</w:t>
      </w:r>
      <w:proofErr w:type="gramStart"/>
      <w:r>
        <w:rPr>
          <w:rFonts w:ascii="標楷體" w:eastAsia="標楷體" w:hAnsi="標楷體" w:cs="Times New Roman" w:hint="eastAsia"/>
          <w:szCs w:val="24"/>
        </w:rPr>
        <w:t>113</w:t>
      </w:r>
      <w:proofErr w:type="gramEnd"/>
      <w:r>
        <w:rPr>
          <w:rFonts w:ascii="標楷體" w:eastAsia="標楷體" w:hAnsi="標楷體" w:cs="Times New Roman" w:hint="eastAsia"/>
          <w:szCs w:val="24"/>
        </w:rPr>
        <w:t>年度預算3億8,408萬餘元，預算員額234人，實際224人，負責雙北市捷運</w:t>
      </w:r>
      <w:proofErr w:type="gramStart"/>
      <w:r>
        <w:rPr>
          <w:rFonts w:ascii="標楷體" w:eastAsia="標楷體" w:hAnsi="標楷體" w:cs="Times New Roman" w:hint="eastAsia"/>
          <w:szCs w:val="24"/>
        </w:rPr>
        <w:t>文湖線等</w:t>
      </w:r>
      <w:proofErr w:type="gramEnd"/>
      <w:r>
        <w:rPr>
          <w:rFonts w:ascii="標楷體" w:eastAsia="標楷體" w:hAnsi="標楷體" w:cs="Times New Roman" w:hint="eastAsia"/>
          <w:szCs w:val="24"/>
        </w:rPr>
        <w:t>5條路線計117站之維安勤務，</w:t>
      </w:r>
      <w:proofErr w:type="gramStart"/>
      <w:r>
        <w:rPr>
          <w:rFonts w:ascii="標楷體" w:eastAsia="標楷體" w:hAnsi="標楷體" w:cs="Times New Roman" w:hint="eastAsia"/>
          <w:szCs w:val="24"/>
        </w:rPr>
        <w:t>維安總里程</w:t>
      </w:r>
      <w:proofErr w:type="gramEnd"/>
      <w:r>
        <w:rPr>
          <w:rFonts w:ascii="標楷體" w:eastAsia="標楷體" w:hAnsi="標楷體" w:cs="Times New Roman" w:hint="eastAsia"/>
          <w:szCs w:val="24"/>
        </w:rPr>
        <w:t>131.1公里，於每日5時至次日凌晨1時除規劃29條巡邏線，並於旅客量及案件發生數較多</w:t>
      </w:r>
      <w:proofErr w:type="gramStart"/>
      <w:r>
        <w:rPr>
          <w:rFonts w:ascii="標楷體" w:eastAsia="標楷體" w:hAnsi="標楷體" w:cs="Times New Roman" w:hint="eastAsia"/>
          <w:szCs w:val="24"/>
        </w:rPr>
        <w:t>之站體執行</w:t>
      </w:r>
      <w:proofErr w:type="gramEnd"/>
      <w:r>
        <w:rPr>
          <w:rFonts w:ascii="標楷體" w:eastAsia="標楷體" w:hAnsi="標楷體" w:cs="Times New Roman" w:hint="eastAsia"/>
          <w:szCs w:val="24"/>
        </w:rPr>
        <w:t>守望勤務。經查</w:t>
      </w:r>
      <w:proofErr w:type="gramStart"/>
      <w:r>
        <w:rPr>
          <w:rFonts w:ascii="標楷體" w:eastAsia="標楷體" w:hAnsi="標楷體" w:cs="Times New Roman" w:hint="eastAsia"/>
          <w:szCs w:val="24"/>
        </w:rPr>
        <w:t>該隊維安</w:t>
      </w:r>
      <w:proofErr w:type="gramEnd"/>
      <w:r>
        <w:rPr>
          <w:rFonts w:ascii="標楷體" w:eastAsia="標楷體" w:hAnsi="標楷體" w:cs="Times New Roman" w:hint="eastAsia"/>
          <w:szCs w:val="24"/>
        </w:rPr>
        <w:t>勤務執行情形，核有：（1）依內政部警政署100年4月12日</w:t>
      </w:r>
      <w:proofErr w:type="gramStart"/>
      <w:r>
        <w:rPr>
          <w:rFonts w:ascii="標楷體" w:eastAsia="標楷體" w:hAnsi="標楷體" w:cs="Times New Roman" w:hint="eastAsia"/>
          <w:szCs w:val="24"/>
        </w:rPr>
        <w:t>警署勤字第1000101062號</w:t>
      </w:r>
      <w:proofErr w:type="gramEnd"/>
      <w:r>
        <w:rPr>
          <w:rFonts w:ascii="標楷體" w:eastAsia="標楷體" w:hAnsi="標楷體" w:cs="Times New Roman" w:hint="eastAsia"/>
          <w:szCs w:val="24"/>
        </w:rPr>
        <w:t>函說明略</w:t>
      </w:r>
      <w:proofErr w:type="gramStart"/>
      <w:r>
        <w:rPr>
          <w:rFonts w:ascii="標楷體" w:eastAsia="標楷體" w:hAnsi="標楷體" w:cs="Times New Roman" w:hint="eastAsia"/>
          <w:szCs w:val="24"/>
        </w:rPr>
        <w:t>以</w:t>
      </w:r>
      <w:proofErr w:type="gramEnd"/>
      <w:r>
        <w:rPr>
          <w:rFonts w:ascii="標楷體" w:eastAsia="標楷體" w:hAnsi="標楷體" w:cs="Times New Roman" w:hint="eastAsia"/>
          <w:szCs w:val="24"/>
        </w:rPr>
        <w:t>，員警受理報案平均到場時間以10分鐘以內為目標值。</w:t>
      </w:r>
      <w:proofErr w:type="gramStart"/>
      <w:r>
        <w:rPr>
          <w:rFonts w:ascii="標楷體" w:eastAsia="標楷體" w:hAnsi="標楷體" w:cs="Times New Roman" w:hint="eastAsia"/>
          <w:szCs w:val="24"/>
        </w:rPr>
        <w:t>次依「臺</w:t>
      </w:r>
      <w:proofErr w:type="gramEnd"/>
      <w:r>
        <w:rPr>
          <w:rFonts w:ascii="標楷體" w:eastAsia="標楷體" w:hAnsi="標楷體" w:cs="Times New Roman" w:hint="eastAsia"/>
          <w:szCs w:val="24"/>
        </w:rPr>
        <w:t>北捷運治安事故快速通報處理標準作業流程圖（SOP）」規定略</w:t>
      </w:r>
      <w:proofErr w:type="gramStart"/>
      <w:r>
        <w:rPr>
          <w:rFonts w:ascii="標楷體" w:eastAsia="標楷體" w:hAnsi="標楷體" w:cs="Times New Roman" w:hint="eastAsia"/>
          <w:szCs w:val="24"/>
        </w:rPr>
        <w:t>以</w:t>
      </w:r>
      <w:proofErr w:type="gramEnd"/>
      <w:r>
        <w:rPr>
          <w:rFonts w:ascii="標楷體" w:eastAsia="標楷體" w:hAnsi="標楷體" w:cs="Times New Roman" w:hint="eastAsia"/>
          <w:szCs w:val="24"/>
        </w:rPr>
        <w:t>，捷運系統發生治安事故，捷運警察隊勤務指揮中心應立即</w:t>
      </w:r>
      <w:proofErr w:type="gramStart"/>
      <w:r>
        <w:rPr>
          <w:rFonts w:ascii="標楷體" w:eastAsia="標楷體" w:hAnsi="標楷體" w:cs="Times New Roman" w:hint="eastAsia"/>
          <w:szCs w:val="24"/>
        </w:rPr>
        <w:t>調度線上勤務</w:t>
      </w:r>
      <w:proofErr w:type="gramEnd"/>
      <w:r>
        <w:rPr>
          <w:rFonts w:ascii="標楷體" w:eastAsia="標楷體" w:hAnsi="標楷體" w:cs="Times New Roman" w:hint="eastAsia"/>
          <w:szCs w:val="24"/>
        </w:rPr>
        <w:t>人員以</w:t>
      </w:r>
      <w:proofErr w:type="gramStart"/>
      <w:r>
        <w:rPr>
          <w:rFonts w:ascii="標楷體" w:eastAsia="標楷體" w:hAnsi="標楷體" w:cs="Times New Roman" w:hint="eastAsia"/>
          <w:szCs w:val="24"/>
        </w:rPr>
        <w:t>最</w:t>
      </w:r>
      <w:proofErr w:type="gramEnd"/>
      <w:r>
        <w:rPr>
          <w:rFonts w:ascii="標楷體" w:eastAsia="標楷體" w:hAnsi="標楷體" w:cs="Times New Roman" w:hint="eastAsia"/>
          <w:szCs w:val="24"/>
        </w:rPr>
        <w:t>快速方式馳赴現場並詳細瞭解分析案（事）件發生時間、性質、內容，確實掌控實際狀況。經統計該隊113年1至8月受理之刑事案件、違反大眾捷運法、社會秩序維護法等各類案件計3,603件，員警接受派遣至到達現場平均時間為9分40秒，</w:t>
      </w:r>
      <w:proofErr w:type="gramStart"/>
      <w:r>
        <w:rPr>
          <w:rFonts w:ascii="標楷體" w:eastAsia="標楷體" w:hAnsi="標楷體" w:cs="Times New Roman" w:hint="eastAsia"/>
          <w:szCs w:val="24"/>
        </w:rPr>
        <w:t>尚符上開函</w:t>
      </w:r>
      <w:proofErr w:type="gramEnd"/>
      <w:r>
        <w:rPr>
          <w:rFonts w:ascii="標楷體" w:eastAsia="標楷體" w:hAnsi="標楷體" w:cs="Times New Roman" w:hint="eastAsia"/>
          <w:szCs w:val="24"/>
        </w:rPr>
        <w:t>示平均10分鐘以內到場之目標值，惟仍有1,358案（37.69％），</w:t>
      </w:r>
      <w:proofErr w:type="gramStart"/>
      <w:r>
        <w:rPr>
          <w:rFonts w:ascii="標楷體" w:eastAsia="標楷體" w:hAnsi="標楷體" w:cs="Times New Roman" w:hint="eastAsia"/>
          <w:szCs w:val="24"/>
        </w:rPr>
        <w:t>囿</w:t>
      </w:r>
      <w:proofErr w:type="gramEnd"/>
      <w:r>
        <w:rPr>
          <w:rFonts w:ascii="標楷體" w:eastAsia="標楷體" w:hAnsi="標楷體" w:cs="Times New Roman" w:hint="eastAsia"/>
          <w:szCs w:val="24"/>
        </w:rPr>
        <w:t>於部分</w:t>
      </w:r>
      <w:proofErr w:type="gramStart"/>
      <w:r>
        <w:rPr>
          <w:rFonts w:ascii="標楷體" w:eastAsia="標楷體" w:hAnsi="標楷體" w:cs="Times New Roman" w:hint="eastAsia"/>
          <w:szCs w:val="24"/>
        </w:rPr>
        <w:t>站體線上</w:t>
      </w:r>
      <w:proofErr w:type="gramEnd"/>
      <w:r>
        <w:rPr>
          <w:rFonts w:ascii="標楷體" w:eastAsia="標楷體" w:hAnsi="標楷體" w:cs="Times New Roman" w:hint="eastAsia"/>
          <w:szCs w:val="24"/>
        </w:rPr>
        <w:t>無巡邏及守望警力，</w:t>
      </w:r>
      <w:proofErr w:type="gramStart"/>
      <w:r>
        <w:rPr>
          <w:rFonts w:ascii="標楷體" w:eastAsia="標楷體" w:hAnsi="標楷體" w:cs="Times New Roman" w:hint="eastAsia"/>
          <w:szCs w:val="24"/>
        </w:rPr>
        <w:t>暨受捷運</w:t>
      </w:r>
      <w:proofErr w:type="gramEnd"/>
      <w:r>
        <w:rPr>
          <w:rFonts w:ascii="標楷體" w:eastAsia="標楷體" w:hAnsi="標楷體" w:cs="Times New Roman" w:hint="eastAsia"/>
          <w:szCs w:val="24"/>
        </w:rPr>
        <w:t>車程及車距影響，</w:t>
      </w:r>
      <w:proofErr w:type="gramStart"/>
      <w:r>
        <w:rPr>
          <w:rFonts w:ascii="標楷體" w:eastAsia="標楷體" w:hAnsi="標楷體" w:cs="Times New Roman" w:hint="eastAsia"/>
          <w:szCs w:val="24"/>
        </w:rPr>
        <w:t>致超逾</w:t>
      </w:r>
      <w:proofErr w:type="gramEnd"/>
      <w:r>
        <w:rPr>
          <w:rFonts w:ascii="標楷體" w:eastAsia="標楷體" w:hAnsi="標楷體" w:cs="Times New Roman" w:hint="eastAsia"/>
          <w:szCs w:val="24"/>
        </w:rPr>
        <w:t>10分鐘到場；（2）依臺北市政府警察局勤務實施細則第19條第1項規定略</w:t>
      </w:r>
      <w:proofErr w:type="gramStart"/>
      <w:r>
        <w:rPr>
          <w:rFonts w:ascii="標楷體" w:eastAsia="標楷體" w:hAnsi="標楷體" w:cs="Times New Roman" w:hint="eastAsia"/>
          <w:szCs w:val="24"/>
        </w:rPr>
        <w:t>以</w:t>
      </w:r>
      <w:proofErr w:type="gramEnd"/>
      <w:r>
        <w:rPr>
          <w:rFonts w:ascii="標楷體" w:eastAsia="標楷體" w:hAnsi="標楷體" w:cs="Times New Roman" w:hint="eastAsia"/>
          <w:szCs w:val="24"/>
        </w:rPr>
        <w:t>，各級勤務機構巡邏區、線之劃定及巡邏要點之選定，</w:t>
      </w:r>
      <w:proofErr w:type="gramStart"/>
      <w:r>
        <w:rPr>
          <w:rFonts w:ascii="標楷體" w:eastAsia="標楷體" w:hAnsi="標楷體" w:cs="Times New Roman" w:hint="eastAsia"/>
          <w:szCs w:val="24"/>
        </w:rPr>
        <w:t>均應針對</w:t>
      </w:r>
      <w:proofErr w:type="gramEnd"/>
      <w:r>
        <w:rPr>
          <w:rFonts w:ascii="標楷體" w:eastAsia="標楷體" w:hAnsi="標楷體" w:cs="Times New Roman" w:hint="eastAsia"/>
          <w:szCs w:val="24"/>
        </w:rPr>
        <w:t>地區特性、治安、交通狀況等時空因素，分別配合派出所</w:t>
      </w:r>
    </w:p>
    <w:p w14:paraId="74057901" w14:textId="614A8836" w:rsidR="00EE7738" w:rsidRDefault="009A0016" w:rsidP="009A0016">
      <w:pPr>
        <w:overflowPunct w:val="0"/>
        <w:spacing w:line="460" w:lineRule="exact"/>
        <w:jc w:val="both"/>
        <w:rPr>
          <w:rFonts w:ascii="標楷體" w:eastAsia="標楷體" w:hAnsi="標楷體" w:cs="Times New Roman"/>
          <w:szCs w:val="24"/>
        </w:rPr>
      </w:pPr>
      <w:r w:rsidRPr="006723F8">
        <w:rPr>
          <w:rFonts w:ascii="標楷體" w:eastAsia="標楷體" w:hAnsi="標楷體" w:cs="Times New Roman"/>
          <w:noProof/>
          <w:szCs w:val="24"/>
        </w:rPr>
        <w:lastRenderedPageBreak/>
        <mc:AlternateContent>
          <mc:Choice Requires="wps">
            <w:drawing>
              <wp:anchor distT="45720" distB="45720" distL="114300" distR="114300" simplePos="0" relativeHeight="251748352" behindDoc="1" locked="0" layoutInCell="1" allowOverlap="1" wp14:anchorId="0E5CA030" wp14:editId="74D304AB">
                <wp:simplePos x="0" y="0"/>
                <wp:positionH relativeFrom="column">
                  <wp:posOffset>2541905</wp:posOffset>
                </wp:positionH>
                <wp:positionV relativeFrom="page">
                  <wp:posOffset>1038225</wp:posOffset>
                </wp:positionV>
                <wp:extent cx="3795395" cy="3543300"/>
                <wp:effectExtent l="0" t="0" r="0" b="0"/>
                <wp:wrapTight wrapText="bothSides">
                  <wp:wrapPolygon edited="0">
                    <wp:start x="0" y="0"/>
                    <wp:lineTo x="0" y="21484"/>
                    <wp:lineTo x="21466" y="21484"/>
                    <wp:lineTo x="21466" y="0"/>
                    <wp:lineTo x="0" y="0"/>
                  </wp:wrapPolygon>
                </wp:wrapTight>
                <wp:docPr id="9274196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95395" cy="3543300"/>
                        </a:xfrm>
                        <a:prstGeom prst="rect">
                          <a:avLst/>
                        </a:prstGeom>
                        <a:solidFill>
                          <a:srgbClr val="FFFFFF"/>
                        </a:solidFill>
                        <a:ln w="9525">
                          <a:noFill/>
                          <a:miter lim="800000"/>
                          <a:headEnd/>
                          <a:tailEnd/>
                        </a:ln>
                      </wps:spPr>
                      <wps:txbx>
                        <w:txbxContent>
                          <w:tbl>
                            <w:tblPr>
                              <w:tblW w:w="0" w:type="auto"/>
                              <w:tblCellMar>
                                <w:left w:w="28" w:type="dxa"/>
                                <w:right w:w="28" w:type="dxa"/>
                              </w:tblCellMar>
                              <w:tblLook w:val="04A0" w:firstRow="1" w:lastRow="0" w:firstColumn="1" w:lastColumn="0" w:noHBand="0" w:noVBand="1"/>
                            </w:tblPr>
                            <w:tblGrid>
                              <w:gridCol w:w="1134"/>
                              <w:gridCol w:w="700"/>
                              <w:gridCol w:w="616"/>
                              <w:gridCol w:w="952"/>
                              <w:gridCol w:w="923"/>
                              <w:gridCol w:w="708"/>
                              <w:gridCol w:w="601"/>
                            </w:tblGrid>
                            <w:tr w:rsidR="006723F8" w14:paraId="00BFE512" w14:textId="77777777" w:rsidTr="00824CD6">
                              <w:trPr>
                                <w:trHeight w:val="397"/>
                              </w:trPr>
                              <w:tc>
                                <w:tcPr>
                                  <w:tcW w:w="5634" w:type="dxa"/>
                                  <w:gridSpan w:val="7"/>
                                  <w:vAlign w:val="center"/>
                                  <w:hideMark/>
                                </w:tcPr>
                                <w:p w14:paraId="5347B38C" w14:textId="77777777" w:rsidR="006723F8" w:rsidRDefault="006723F8" w:rsidP="007D1E59">
                                  <w:pPr>
                                    <w:spacing w:line="280" w:lineRule="exact"/>
                                    <w:ind w:leftChars="-5" w:left="656" w:hangingChars="278" w:hanging="668"/>
                                    <w:jc w:val="both"/>
                                    <w:rPr>
                                      <w:rFonts w:ascii="標楷體" w:eastAsia="標楷體" w:hAnsi="標楷體"/>
                                      <w:b/>
                                      <w:color w:val="000000"/>
                                    </w:rPr>
                                  </w:pPr>
                                  <w:r>
                                    <w:rPr>
                                      <w:rFonts w:ascii="標楷體" w:eastAsia="標楷體" w:hAnsi="標楷體" w:hint="eastAsia"/>
                                      <w:b/>
                                      <w:color w:val="000000"/>
                                    </w:rPr>
                                    <w:t xml:space="preserve">表2　</w:t>
                                  </w:r>
                                  <w:proofErr w:type="gramStart"/>
                                  <w:r>
                                    <w:rPr>
                                      <w:rFonts w:ascii="標楷體" w:eastAsia="標楷體" w:hAnsi="標楷體" w:hint="eastAsia"/>
                                      <w:b/>
                                      <w:color w:val="000000"/>
                                    </w:rPr>
                                    <w:t>臺</w:t>
                                  </w:r>
                                  <w:proofErr w:type="gramEnd"/>
                                  <w:r>
                                    <w:rPr>
                                      <w:rFonts w:ascii="標楷體" w:eastAsia="標楷體" w:hAnsi="標楷體" w:hint="eastAsia"/>
                                      <w:b/>
                                      <w:color w:val="000000"/>
                                    </w:rPr>
                                    <w:t>北捷運113年1至8月受理案件數居前10</w:t>
                                  </w:r>
                                  <w:proofErr w:type="gramStart"/>
                                  <w:r>
                                    <w:rPr>
                                      <w:rFonts w:ascii="標楷體" w:eastAsia="標楷體" w:hAnsi="標楷體" w:hint="eastAsia"/>
                                      <w:b/>
                                      <w:color w:val="000000"/>
                                    </w:rPr>
                                    <w:t>大站體之</w:t>
                                  </w:r>
                                  <w:proofErr w:type="gramEnd"/>
                                  <w:r>
                                    <w:rPr>
                                      <w:rFonts w:ascii="標楷體" w:eastAsia="標楷體" w:hAnsi="標楷體" w:hint="eastAsia"/>
                                      <w:b/>
                                      <w:color w:val="000000"/>
                                    </w:rPr>
                                    <w:t>巡邏及守望勤務規劃情形</w:t>
                                  </w:r>
                                </w:p>
                              </w:tc>
                            </w:tr>
                            <w:tr w:rsidR="006723F8" w14:paraId="5399E7C0" w14:textId="77777777" w:rsidTr="00824CD6">
                              <w:trPr>
                                <w:trHeight w:val="227"/>
                              </w:trPr>
                              <w:tc>
                                <w:tcPr>
                                  <w:tcW w:w="5634" w:type="dxa"/>
                                  <w:gridSpan w:val="7"/>
                                  <w:tcBorders>
                                    <w:top w:val="nil"/>
                                    <w:left w:val="nil"/>
                                    <w:bottom w:val="single" w:sz="4" w:space="0" w:color="auto"/>
                                    <w:right w:val="nil"/>
                                  </w:tcBorders>
                                  <w:noWrap/>
                                  <w:vAlign w:val="center"/>
                                  <w:hideMark/>
                                </w:tcPr>
                                <w:p w14:paraId="5CC38388" w14:textId="77777777" w:rsidR="006723F8" w:rsidRPr="006A7F0C" w:rsidRDefault="006723F8" w:rsidP="006723F8">
                                  <w:pPr>
                                    <w:spacing w:line="240" w:lineRule="exact"/>
                                    <w:jc w:val="right"/>
                                    <w:rPr>
                                      <w:rFonts w:ascii="標楷體" w:eastAsia="標楷體" w:hAnsi="標楷體"/>
                                      <w:color w:val="000000"/>
                                      <w:sz w:val="20"/>
                                      <w:szCs w:val="20"/>
                                    </w:rPr>
                                  </w:pPr>
                                  <w:r w:rsidRPr="006A7F0C">
                                    <w:rPr>
                                      <w:rFonts w:ascii="標楷體" w:eastAsia="標楷體" w:hAnsi="標楷體" w:hint="eastAsia"/>
                                      <w:color w:val="000000"/>
                                      <w:sz w:val="20"/>
                                      <w:szCs w:val="20"/>
                                    </w:rPr>
                                    <w:t>單位：件</w:t>
                                  </w:r>
                                </w:p>
                              </w:tc>
                            </w:tr>
                            <w:tr w:rsidR="006723F8" w14:paraId="7ACDAF0E" w14:textId="77777777" w:rsidTr="00824CD6">
                              <w:trPr>
                                <w:trHeight w:val="284"/>
                              </w:trPr>
                              <w:tc>
                                <w:tcPr>
                                  <w:tcW w:w="1134" w:type="dxa"/>
                                  <w:vMerge w:val="restart"/>
                                  <w:tcBorders>
                                    <w:top w:val="nil"/>
                                    <w:left w:val="single" w:sz="4" w:space="0" w:color="auto"/>
                                    <w:bottom w:val="single" w:sz="4" w:space="0" w:color="auto"/>
                                    <w:right w:val="single" w:sz="4" w:space="0" w:color="auto"/>
                                  </w:tcBorders>
                                  <w:noWrap/>
                                  <w:vAlign w:val="center"/>
                                  <w:hideMark/>
                                </w:tcPr>
                                <w:p w14:paraId="525C92E8" w14:textId="77777777" w:rsidR="006723F8" w:rsidRDefault="006723F8" w:rsidP="006723F8">
                                  <w:pPr>
                                    <w:spacing w:line="260" w:lineRule="exact"/>
                                    <w:jc w:val="center"/>
                                    <w:rPr>
                                      <w:rFonts w:ascii="標楷體" w:eastAsia="標楷體" w:hAnsi="標楷體"/>
                                      <w:color w:val="000000"/>
                                      <w:sz w:val="20"/>
                                      <w:szCs w:val="20"/>
                                    </w:rPr>
                                  </w:pPr>
                                  <w:proofErr w:type="gramStart"/>
                                  <w:r>
                                    <w:rPr>
                                      <w:rFonts w:ascii="標楷體" w:eastAsia="標楷體" w:hAnsi="標楷體" w:hint="eastAsia"/>
                                      <w:color w:val="000000"/>
                                      <w:sz w:val="20"/>
                                      <w:szCs w:val="20"/>
                                    </w:rPr>
                                    <w:t>站體名稱</w:t>
                                  </w:r>
                                  <w:proofErr w:type="gramEnd"/>
                                </w:p>
                              </w:tc>
                              <w:tc>
                                <w:tcPr>
                                  <w:tcW w:w="1316" w:type="dxa"/>
                                  <w:gridSpan w:val="2"/>
                                  <w:tcBorders>
                                    <w:top w:val="single" w:sz="4" w:space="0" w:color="auto"/>
                                    <w:left w:val="nil"/>
                                    <w:bottom w:val="single" w:sz="4" w:space="0" w:color="auto"/>
                                    <w:right w:val="single" w:sz="4" w:space="0" w:color="auto"/>
                                  </w:tcBorders>
                                  <w:noWrap/>
                                  <w:vAlign w:val="center"/>
                                  <w:hideMark/>
                                </w:tcPr>
                                <w:p w14:paraId="447CA62C"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受理案件</w:t>
                                  </w:r>
                                </w:p>
                              </w:tc>
                              <w:tc>
                                <w:tcPr>
                                  <w:tcW w:w="3184" w:type="dxa"/>
                                  <w:gridSpan w:val="4"/>
                                  <w:tcBorders>
                                    <w:top w:val="single" w:sz="4" w:space="0" w:color="auto"/>
                                    <w:left w:val="nil"/>
                                    <w:bottom w:val="single" w:sz="4" w:space="0" w:color="auto"/>
                                    <w:right w:val="single" w:sz="4" w:space="0" w:color="auto"/>
                                  </w:tcBorders>
                                  <w:noWrap/>
                                  <w:vAlign w:val="center"/>
                                  <w:hideMark/>
                                </w:tcPr>
                                <w:p w14:paraId="7CFFC24B"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排定勤務次數</w:t>
                                  </w:r>
                                </w:p>
                              </w:tc>
                            </w:tr>
                            <w:tr w:rsidR="006723F8" w14:paraId="47F29687" w14:textId="77777777" w:rsidTr="00824CD6">
                              <w:trPr>
                                <w:trHeight w:val="284"/>
                              </w:trPr>
                              <w:tc>
                                <w:tcPr>
                                  <w:tcW w:w="0" w:type="auto"/>
                                  <w:vMerge/>
                                  <w:tcBorders>
                                    <w:top w:val="nil"/>
                                    <w:left w:val="single" w:sz="4" w:space="0" w:color="auto"/>
                                    <w:bottom w:val="single" w:sz="4" w:space="0" w:color="auto"/>
                                    <w:right w:val="single" w:sz="4" w:space="0" w:color="auto"/>
                                  </w:tcBorders>
                                  <w:vAlign w:val="center"/>
                                  <w:hideMark/>
                                </w:tcPr>
                                <w:p w14:paraId="3FC19702" w14:textId="77777777" w:rsidR="006723F8" w:rsidRDefault="006723F8" w:rsidP="006723F8">
                                  <w:pPr>
                                    <w:widowControl/>
                                    <w:rPr>
                                      <w:rFonts w:ascii="標楷體" w:eastAsia="標楷體" w:hAnsi="標楷體"/>
                                      <w:color w:val="000000"/>
                                      <w:sz w:val="20"/>
                                      <w:szCs w:val="20"/>
                                    </w:rPr>
                                  </w:pPr>
                                </w:p>
                              </w:tc>
                              <w:tc>
                                <w:tcPr>
                                  <w:tcW w:w="700" w:type="dxa"/>
                                  <w:tcBorders>
                                    <w:top w:val="nil"/>
                                    <w:left w:val="nil"/>
                                    <w:bottom w:val="single" w:sz="4" w:space="0" w:color="auto"/>
                                    <w:right w:val="single" w:sz="4" w:space="0" w:color="auto"/>
                                  </w:tcBorders>
                                  <w:vAlign w:val="center"/>
                                  <w:hideMark/>
                                </w:tcPr>
                                <w:p w14:paraId="00CB095D"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案件數</w:t>
                                  </w:r>
                                </w:p>
                              </w:tc>
                              <w:tc>
                                <w:tcPr>
                                  <w:tcW w:w="616" w:type="dxa"/>
                                  <w:tcBorders>
                                    <w:top w:val="nil"/>
                                    <w:left w:val="nil"/>
                                    <w:bottom w:val="single" w:sz="4" w:space="0" w:color="auto"/>
                                    <w:right w:val="single" w:sz="4" w:space="0" w:color="auto"/>
                                  </w:tcBorders>
                                  <w:vAlign w:val="center"/>
                                  <w:hideMark/>
                                </w:tcPr>
                                <w:p w14:paraId="0832DBE7"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排名</w:t>
                                  </w:r>
                                </w:p>
                              </w:tc>
                              <w:tc>
                                <w:tcPr>
                                  <w:tcW w:w="952" w:type="dxa"/>
                                  <w:tcBorders>
                                    <w:top w:val="nil"/>
                                    <w:left w:val="nil"/>
                                    <w:bottom w:val="single" w:sz="4" w:space="0" w:color="auto"/>
                                    <w:right w:val="single" w:sz="4" w:space="0" w:color="auto"/>
                                  </w:tcBorders>
                                  <w:vAlign w:val="center"/>
                                  <w:hideMark/>
                                </w:tcPr>
                                <w:p w14:paraId="222AD95B" w14:textId="77777777" w:rsidR="006723F8" w:rsidRDefault="006723F8" w:rsidP="006723F8">
                                  <w:pPr>
                                    <w:spacing w:line="260" w:lineRule="exact"/>
                                    <w:jc w:val="center"/>
                                    <w:rPr>
                                      <w:rFonts w:ascii="標楷體" w:eastAsia="標楷體" w:hAnsi="標楷體"/>
                                      <w:color w:val="000000"/>
                                      <w:spacing w:val="4"/>
                                      <w:sz w:val="20"/>
                                      <w:szCs w:val="20"/>
                                    </w:rPr>
                                  </w:pPr>
                                  <w:r>
                                    <w:rPr>
                                      <w:rFonts w:ascii="標楷體" w:eastAsia="標楷體" w:hAnsi="標楷體" w:hint="eastAsia"/>
                                      <w:color w:val="000000"/>
                                      <w:spacing w:val="4"/>
                                      <w:sz w:val="20"/>
                                      <w:szCs w:val="20"/>
                                    </w:rPr>
                                    <w:t>巡邏勤務</w:t>
                                  </w:r>
                                </w:p>
                              </w:tc>
                              <w:tc>
                                <w:tcPr>
                                  <w:tcW w:w="923" w:type="dxa"/>
                                  <w:tcBorders>
                                    <w:top w:val="nil"/>
                                    <w:left w:val="nil"/>
                                    <w:bottom w:val="single" w:sz="4" w:space="0" w:color="auto"/>
                                    <w:right w:val="single" w:sz="4" w:space="0" w:color="auto"/>
                                  </w:tcBorders>
                                  <w:vAlign w:val="center"/>
                                  <w:hideMark/>
                                </w:tcPr>
                                <w:p w14:paraId="60E12C05" w14:textId="77777777" w:rsidR="006723F8" w:rsidRDefault="006723F8" w:rsidP="006723F8">
                                  <w:pPr>
                                    <w:spacing w:line="260" w:lineRule="exact"/>
                                    <w:jc w:val="center"/>
                                    <w:rPr>
                                      <w:rFonts w:ascii="標楷體" w:eastAsia="標楷體" w:hAnsi="標楷體"/>
                                      <w:color w:val="000000"/>
                                      <w:spacing w:val="4"/>
                                      <w:sz w:val="20"/>
                                      <w:szCs w:val="20"/>
                                    </w:rPr>
                                  </w:pPr>
                                  <w:r>
                                    <w:rPr>
                                      <w:rFonts w:ascii="標楷體" w:eastAsia="標楷體" w:hAnsi="標楷體" w:hint="eastAsia"/>
                                      <w:color w:val="000000"/>
                                      <w:spacing w:val="4"/>
                                      <w:sz w:val="20"/>
                                      <w:szCs w:val="20"/>
                                    </w:rPr>
                                    <w:t>守望勤務</w:t>
                                  </w:r>
                                </w:p>
                              </w:tc>
                              <w:tc>
                                <w:tcPr>
                                  <w:tcW w:w="708" w:type="dxa"/>
                                  <w:tcBorders>
                                    <w:top w:val="nil"/>
                                    <w:left w:val="nil"/>
                                    <w:bottom w:val="single" w:sz="4" w:space="0" w:color="auto"/>
                                    <w:right w:val="single" w:sz="4" w:space="0" w:color="auto"/>
                                  </w:tcBorders>
                                  <w:vAlign w:val="center"/>
                                  <w:hideMark/>
                                </w:tcPr>
                                <w:p w14:paraId="3962A79A"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合計</w:t>
                                  </w:r>
                                </w:p>
                              </w:tc>
                              <w:tc>
                                <w:tcPr>
                                  <w:tcW w:w="601" w:type="dxa"/>
                                  <w:tcBorders>
                                    <w:top w:val="nil"/>
                                    <w:left w:val="nil"/>
                                    <w:bottom w:val="single" w:sz="4" w:space="0" w:color="auto"/>
                                    <w:right w:val="single" w:sz="4" w:space="0" w:color="auto"/>
                                  </w:tcBorders>
                                  <w:vAlign w:val="center"/>
                                  <w:hideMark/>
                                </w:tcPr>
                                <w:p w14:paraId="18C490C5"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排名</w:t>
                                  </w:r>
                                </w:p>
                              </w:tc>
                            </w:tr>
                            <w:tr w:rsidR="006723F8" w14:paraId="2AC9CC63"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4085A564" w14:textId="77777777" w:rsidR="006723F8" w:rsidRDefault="006723F8" w:rsidP="006723F8">
                                  <w:pPr>
                                    <w:rPr>
                                      <w:rFonts w:ascii="標楷體" w:eastAsia="標楷體" w:hAnsi="標楷體"/>
                                      <w:b/>
                                      <w:bCs/>
                                      <w:sz w:val="20"/>
                                      <w:szCs w:val="20"/>
                                    </w:rPr>
                                  </w:pPr>
                                  <w:proofErr w:type="gramStart"/>
                                  <w:r>
                                    <w:rPr>
                                      <w:rFonts w:ascii="標楷體" w:eastAsia="標楷體" w:hAnsi="標楷體" w:hint="eastAsia"/>
                                      <w:b/>
                                      <w:bCs/>
                                      <w:sz w:val="20"/>
                                      <w:szCs w:val="20"/>
                                    </w:rPr>
                                    <w:t>臺</w:t>
                                  </w:r>
                                  <w:proofErr w:type="gramEnd"/>
                                  <w:r>
                                    <w:rPr>
                                      <w:rFonts w:ascii="標楷體" w:eastAsia="標楷體" w:hAnsi="標楷體" w:hint="eastAsia"/>
                                      <w:b/>
                                      <w:bCs/>
                                      <w:sz w:val="20"/>
                                      <w:szCs w:val="20"/>
                                    </w:rPr>
                                    <w:t>北車站</w:t>
                                  </w:r>
                                </w:p>
                              </w:tc>
                              <w:tc>
                                <w:tcPr>
                                  <w:tcW w:w="700" w:type="dxa"/>
                                  <w:tcBorders>
                                    <w:top w:val="nil"/>
                                    <w:left w:val="nil"/>
                                    <w:bottom w:val="single" w:sz="4" w:space="0" w:color="auto"/>
                                    <w:right w:val="single" w:sz="4" w:space="0" w:color="auto"/>
                                  </w:tcBorders>
                                  <w:noWrap/>
                                  <w:vAlign w:val="center"/>
                                  <w:hideMark/>
                                </w:tcPr>
                                <w:p w14:paraId="6226B9D4" w14:textId="77777777" w:rsidR="006723F8" w:rsidRDefault="006723F8" w:rsidP="006723F8">
                                  <w:pPr>
                                    <w:ind w:rightChars="20" w:right="48"/>
                                    <w:jc w:val="right"/>
                                    <w:rPr>
                                      <w:rFonts w:ascii="標楷體" w:eastAsia="標楷體" w:hAnsi="標楷體"/>
                                      <w:b/>
                                      <w:bCs/>
                                      <w:color w:val="000000"/>
                                      <w:sz w:val="20"/>
                                      <w:szCs w:val="20"/>
                                    </w:rPr>
                                  </w:pPr>
                                  <w:r>
                                    <w:rPr>
                                      <w:rFonts w:ascii="標楷體" w:eastAsia="標楷體" w:hAnsi="標楷體" w:hint="eastAsia"/>
                                      <w:b/>
                                      <w:bCs/>
                                      <w:color w:val="000000"/>
                                      <w:sz w:val="20"/>
                                      <w:szCs w:val="20"/>
                                    </w:rPr>
                                    <w:t>383</w:t>
                                  </w:r>
                                </w:p>
                              </w:tc>
                              <w:tc>
                                <w:tcPr>
                                  <w:tcW w:w="616" w:type="dxa"/>
                                  <w:tcBorders>
                                    <w:top w:val="nil"/>
                                    <w:left w:val="nil"/>
                                    <w:bottom w:val="single" w:sz="4" w:space="0" w:color="auto"/>
                                    <w:right w:val="single" w:sz="4" w:space="0" w:color="auto"/>
                                  </w:tcBorders>
                                  <w:noWrap/>
                                  <w:vAlign w:val="center"/>
                                  <w:hideMark/>
                                </w:tcPr>
                                <w:p w14:paraId="02B3E551" w14:textId="77777777" w:rsidR="006723F8" w:rsidRDefault="006723F8" w:rsidP="006723F8">
                                  <w:pPr>
                                    <w:jc w:val="center"/>
                                    <w:rPr>
                                      <w:rFonts w:ascii="標楷體" w:eastAsia="標楷體" w:hAnsi="標楷體"/>
                                      <w:b/>
                                      <w:bCs/>
                                      <w:color w:val="000000"/>
                                      <w:sz w:val="20"/>
                                      <w:szCs w:val="20"/>
                                    </w:rPr>
                                  </w:pPr>
                                  <w:r>
                                    <w:rPr>
                                      <w:rFonts w:ascii="標楷體" w:eastAsia="標楷體" w:hAnsi="標楷體" w:hint="eastAsia"/>
                                      <w:b/>
                                      <w:bCs/>
                                      <w:color w:val="000000"/>
                                      <w:sz w:val="20"/>
                                      <w:szCs w:val="20"/>
                                    </w:rPr>
                                    <w:t>1</w:t>
                                  </w:r>
                                </w:p>
                              </w:tc>
                              <w:tc>
                                <w:tcPr>
                                  <w:tcW w:w="952" w:type="dxa"/>
                                  <w:tcBorders>
                                    <w:top w:val="nil"/>
                                    <w:left w:val="nil"/>
                                    <w:bottom w:val="single" w:sz="4" w:space="0" w:color="auto"/>
                                    <w:right w:val="single" w:sz="4" w:space="0" w:color="auto"/>
                                  </w:tcBorders>
                                  <w:noWrap/>
                                  <w:vAlign w:val="center"/>
                                  <w:hideMark/>
                                </w:tcPr>
                                <w:p w14:paraId="4A710C19" w14:textId="77777777" w:rsidR="006723F8" w:rsidRDefault="006723F8" w:rsidP="006723F8">
                                  <w:pPr>
                                    <w:ind w:rightChars="20" w:right="48"/>
                                    <w:jc w:val="right"/>
                                    <w:rPr>
                                      <w:rFonts w:ascii="標楷體" w:eastAsia="標楷體" w:hAnsi="標楷體"/>
                                      <w:bCs/>
                                      <w:sz w:val="20"/>
                                      <w:szCs w:val="20"/>
                                    </w:rPr>
                                  </w:pPr>
                                  <w:r>
                                    <w:rPr>
                                      <w:rFonts w:ascii="標楷體" w:eastAsia="標楷體" w:hAnsi="標楷體" w:hint="eastAsia"/>
                                      <w:bCs/>
                                      <w:sz w:val="20"/>
                                      <w:szCs w:val="20"/>
                                    </w:rPr>
                                    <w:t>316</w:t>
                                  </w:r>
                                </w:p>
                              </w:tc>
                              <w:tc>
                                <w:tcPr>
                                  <w:tcW w:w="923" w:type="dxa"/>
                                  <w:tcBorders>
                                    <w:top w:val="nil"/>
                                    <w:left w:val="nil"/>
                                    <w:bottom w:val="single" w:sz="4" w:space="0" w:color="auto"/>
                                    <w:right w:val="single" w:sz="4" w:space="0" w:color="auto"/>
                                  </w:tcBorders>
                                  <w:noWrap/>
                                  <w:vAlign w:val="center"/>
                                  <w:hideMark/>
                                </w:tcPr>
                                <w:p w14:paraId="6DE9F359"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1,764</w:t>
                                  </w:r>
                                </w:p>
                              </w:tc>
                              <w:tc>
                                <w:tcPr>
                                  <w:tcW w:w="708" w:type="dxa"/>
                                  <w:tcBorders>
                                    <w:top w:val="nil"/>
                                    <w:left w:val="nil"/>
                                    <w:bottom w:val="single" w:sz="4" w:space="0" w:color="auto"/>
                                    <w:right w:val="single" w:sz="4" w:space="0" w:color="auto"/>
                                  </w:tcBorders>
                                  <w:noWrap/>
                                  <w:vAlign w:val="center"/>
                                  <w:hideMark/>
                                </w:tcPr>
                                <w:p w14:paraId="43298D20" w14:textId="77777777" w:rsidR="006723F8" w:rsidRDefault="006723F8" w:rsidP="006723F8">
                                  <w:pPr>
                                    <w:ind w:rightChars="20" w:right="48"/>
                                    <w:jc w:val="right"/>
                                    <w:rPr>
                                      <w:rFonts w:ascii="標楷體" w:eastAsia="標楷體" w:hAnsi="標楷體"/>
                                      <w:b/>
                                      <w:sz w:val="20"/>
                                      <w:szCs w:val="20"/>
                                    </w:rPr>
                                  </w:pPr>
                                  <w:r>
                                    <w:rPr>
                                      <w:rFonts w:ascii="標楷體" w:eastAsia="標楷體" w:hAnsi="標楷體" w:hint="eastAsia"/>
                                      <w:b/>
                                      <w:sz w:val="20"/>
                                      <w:szCs w:val="20"/>
                                    </w:rPr>
                                    <w:t>2,080</w:t>
                                  </w:r>
                                </w:p>
                              </w:tc>
                              <w:tc>
                                <w:tcPr>
                                  <w:tcW w:w="601" w:type="dxa"/>
                                  <w:tcBorders>
                                    <w:top w:val="nil"/>
                                    <w:left w:val="nil"/>
                                    <w:bottom w:val="single" w:sz="4" w:space="0" w:color="auto"/>
                                    <w:right w:val="single" w:sz="4" w:space="0" w:color="auto"/>
                                  </w:tcBorders>
                                  <w:noWrap/>
                                  <w:vAlign w:val="center"/>
                                  <w:hideMark/>
                                </w:tcPr>
                                <w:p w14:paraId="2C17DEC4" w14:textId="77777777" w:rsidR="006723F8" w:rsidRDefault="006723F8" w:rsidP="006723F8">
                                  <w:pPr>
                                    <w:jc w:val="center"/>
                                    <w:rPr>
                                      <w:rFonts w:ascii="標楷體" w:eastAsia="標楷體" w:hAnsi="標楷體"/>
                                      <w:sz w:val="20"/>
                                      <w:szCs w:val="20"/>
                                    </w:rPr>
                                  </w:pPr>
                                  <w:r>
                                    <w:rPr>
                                      <w:rFonts w:ascii="標楷體" w:eastAsia="標楷體" w:hAnsi="標楷體" w:hint="eastAsia"/>
                                      <w:sz w:val="20"/>
                                      <w:szCs w:val="20"/>
                                    </w:rPr>
                                    <w:t>9</w:t>
                                  </w:r>
                                </w:p>
                              </w:tc>
                            </w:tr>
                            <w:tr w:rsidR="006723F8" w14:paraId="58A8CEAF"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1AB2BADF" w14:textId="77777777" w:rsidR="006723F8" w:rsidRDefault="006723F8" w:rsidP="006723F8">
                                  <w:pPr>
                                    <w:rPr>
                                      <w:rFonts w:ascii="標楷體" w:eastAsia="標楷體" w:hAnsi="標楷體"/>
                                      <w:b/>
                                      <w:bCs/>
                                      <w:color w:val="000000"/>
                                      <w:sz w:val="20"/>
                                      <w:szCs w:val="20"/>
                                    </w:rPr>
                                  </w:pPr>
                                  <w:r>
                                    <w:rPr>
                                      <w:rFonts w:ascii="標楷體" w:eastAsia="標楷體" w:hAnsi="標楷體" w:hint="eastAsia"/>
                                      <w:b/>
                                      <w:bCs/>
                                      <w:color w:val="000000"/>
                                      <w:sz w:val="20"/>
                                      <w:szCs w:val="20"/>
                                    </w:rPr>
                                    <w:t>淡水站</w:t>
                                  </w:r>
                                </w:p>
                              </w:tc>
                              <w:tc>
                                <w:tcPr>
                                  <w:tcW w:w="700" w:type="dxa"/>
                                  <w:tcBorders>
                                    <w:top w:val="nil"/>
                                    <w:left w:val="nil"/>
                                    <w:bottom w:val="single" w:sz="4" w:space="0" w:color="auto"/>
                                    <w:right w:val="single" w:sz="4" w:space="0" w:color="auto"/>
                                  </w:tcBorders>
                                  <w:noWrap/>
                                  <w:vAlign w:val="center"/>
                                  <w:hideMark/>
                                </w:tcPr>
                                <w:p w14:paraId="55B7CCBC" w14:textId="77777777" w:rsidR="006723F8" w:rsidRDefault="006723F8" w:rsidP="006723F8">
                                  <w:pPr>
                                    <w:ind w:rightChars="20" w:right="48"/>
                                    <w:jc w:val="right"/>
                                    <w:rPr>
                                      <w:rFonts w:ascii="標楷體" w:eastAsia="標楷體" w:hAnsi="標楷體"/>
                                      <w:b/>
                                      <w:bCs/>
                                      <w:color w:val="000000"/>
                                      <w:sz w:val="20"/>
                                      <w:szCs w:val="20"/>
                                    </w:rPr>
                                  </w:pPr>
                                  <w:r>
                                    <w:rPr>
                                      <w:rFonts w:ascii="標楷體" w:eastAsia="標楷體" w:hAnsi="標楷體" w:hint="eastAsia"/>
                                      <w:b/>
                                      <w:bCs/>
                                      <w:color w:val="000000"/>
                                      <w:sz w:val="20"/>
                                      <w:szCs w:val="20"/>
                                    </w:rPr>
                                    <w:t>184</w:t>
                                  </w:r>
                                </w:p>
                              </w:tc>
                              <w:tc>
                                <w:tcPr>
                                  <w:tcW w:w="616" w:type="dxa"/>
                                  <w:tcBorders>
                                    <w:top w:val="nil"/>
                                    <w:left w:val="nil"/>
                                    <w:bottom w:val="single" w:sz="4" w:space="0" w:color="auto"/>
                                    <w:right w:val="single" w:sz="4" w:space="0" w:color="auto"/>
                                  </w:tcBorders>
                                  <w:noWrap/>
                                  <w:vAlign w:val="center"/>
                                  <w:hideMark/>
                                </w:tcPr>
                                <w:p w14:paraId="07362C54" w14:textId="77777777" w:rsidR="006723F8" w:rsidRDefault="006723F8" w:rsidP="006723F8">
                                  <w:pPr>
                                    <w:jc w:val="center"/>
                                    <w:rPr>
                                      <w:rFonts w:ascii="標楷體" w:eastAsia="標楷體" w:hAnsi="標楷體"/>
                                      <w:b/>
                                      <w:bCs/>
                                      <w:color w:val="000000"/>
                                      <w:sz w:val="20"/>
                                      <w:szCs w:val="20"/>
                                    </w:rPr>
                                  </w:pPr>
                                  <w:r>
                                    <w:rPr>
                                      <w:rFonts w:ascii="標楷體" w:eastAsia="標楷體" w:hAnsi="標楷體" w:hint="eastAsia"/>
                                      <w:b/>
                                      <w:bCs/>
                                      <w:color w:val="000000"/>
                                      <w:sz w:val="20"/>
                                      <w:szCs w:val="20"/>
                                    </w:rPr>
                                    <w:t>2</w:t>
                                  </w:r>
                                </w:p>
                              </w:tc>
                              <w:tc>
                                <w:tcPr>
                                  <w:tcW w:w="952" w:type="dxa"/>
                                  <w:tcBorders>
                                    <w:top w:val="nil"/>
                                    <w:left w:val="nil"/>
                                    <w:bottom w:val="single" w:sz="4" w:space="0" w:color="auto"/>
                                    <w:right w:val="single" w:sz="4" w:space="0" w:color="auto"/>
                                  </w:tcBorders>
                                  <w:noWrap/>
                                  <w:vAlign w:val="center"/>
                                  <w:hideMark/>
                                </w:tcPr>
                                <w:p w14:paraId="444F58CC" w14:textId="77777777" w:rsidR="006723F8" w:rsidRDefault="006723F8" w:rsidP="006723F8">
                                  <w:pPr>
                                    <w:ind w:rightChars="20" w:right="48"/>
                                    <w:jc w:val="right"/>
                                    <w:rPr>
                                      <w:rFonts w:ascii="標楷體" w:eastAsia="標楷體" w:hAnsi="標楷體"/>
                                      <w:bCs/>
                                      <w:color w:val="000000"/>
                                      <w:sz w:val="20"/>
                                      <w:szCs w:val="20"/>
                                    </w:rPr>
                                  </w:pPr>
                                  <w:r>
                                    <w:rPr>
                                      <w:rFonts w:ascii="標楷體" w:eastAsia="標楷體" w:hAnsi="標楷體" w:hint="eastAsia"/>
                                      <w:bCs/>
                                      <w:color w:val="000000"/>
                                      <w:sz w:val="20"/>
                                      <w:szCs w:val="20"/>
                                    </w:rPr>
                                    <w:t>1,230</w:t>
                                  </w:r>
                                </w:p>
                              </w:tc>
                              <w:tc>
                                <w:tcPr>
                                  <w:tcW w:w="923" w:type="dxa"/>
                                  <w:tcBorders>
                                    <w:top w:val="nil"/>
                                    <w:left w:val="nil"/>
                                    <w:bottom w:val="single" w:sz="4" w:space="0" w:color="auto"/>
                                    <w:right w:val="single" w:sz="4" w:space="0" w:color="auto"/>
                                  </w:tcBorders>
                                  <w:noWrap/>
                                  <w:vAlign w:val="center"/>
                                  <w:hideMark/>
                                </w:tcPr>
                                <w:p w14:paraId="330E727C"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p>
                              </w:tc>
                              <w:tc>
                                <w:tcPr>
                                  <w:tcW w:w="708" w:type="dxa"/>
                                  <w:tcBorders>
                                    <w:top w:val="nil"/>
                                    <w:left w:val="nil"/>
                                    <w:bottom w:val="single" w:sz="4" w:space="0" w:color="auto"/>
                                    <w:right w:val="single" w:sz="4" w:space="0" w:color="auto"/>
                                  </w:tcBorders>
                                  <w:noWrap/>
                                  <w:vAlign w:val="center"/>
                                  <w:hideMark/>
                                </w:tcPr>
                                <w:p w14:paraId="4C4AD9DC" w14:textId="77777777" w:rsidR="006723F8" w:rsidRDefault="006723F8" w:rsidP="006723F8">
                                  <w:pPr>
                                    <w:ind w:rightChars="20" w:right="48"/>
                                    <w:jc w:val="right"/>
                                    <w:rPr>
                                      <w:rFonts w:ascii="標楷體" w:eastAsia="標楷體" w:hAnsi="標楷體"/>
                                      <w:b/>
                                      <w:color w:val="000000"/>
                                      <w:sz w:val="20"/>
                                      <w:szCs w:val="20"/>
                                    </w:rPr>
                                  </w:pPr>
                                  <w:r>
                                    <w:rPr>
                                      <w:rFonts w:ascii="標楷體" w:eastAsia="標楷體" w:hAnsi="標楷體" w:hint="eastAsia"/>
                                      <w:b/>
                                      <w:color w:val="000000"/>
                                      <w:sz w:val="20"/>
                                      <w:szCs w:val="20"/>
                                    </w:rPr>
                                    <w:t>1,230</w:t>
                                  </w:r>
                                </w:p>
                              </w:tc>
                              <w:tc>
                                <w:tcPr>
                                  <w:tcW w:w="601" w:type="dxa"/>
                                  <w:tcBorders>
                                    <w:top w:val="nil"/>
                                    <w:left w:val="nil"/>
                                    <w:bottom w:val="single" w:sz="4" w:space="0" w:color="auto"/>
                                    <w:right w:val="single" w:sz="4" w:space="0" w:color="auto"/>
                                  </w:tcBorders>
                                  <w:noWrap/>
                                  <w:vAlign w:val="center"/>
                                  <w:hideMark/>
                                </w:tcPr>
                                <w:p w14:paraId="6E94AC74"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23</w:t>
                                  </w:r>
                                </w:p>
                              </w:tc>
                            </w:tr>
                            <w:tr w:rsidR="006723F8" w14:paraId="52B897DE"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5F0DE2D1" w14:textId="77777777" w:rsidR="006723F8" w:rsidRDefault="006723F8" w:rsidP="006723F8">
                                  <w:pPr>
                                    <w:rPr>
                                      <w:rFonts w:ascii="標楷體" w:eastAsia="標楷體" w:hAnsi="標楷體"/>
                                      <w:b/>
                                      <w:bCs/>
                                      <w:sz w:val="20"/>
                                      <w:szCs w:val="20"/>
                                    </w:rPr>
                                  </w:pPr>
                                  <w:r>
                                    <w:rPr>
                                      <w:rFonts w:ascii="標楷體" w:eastAsia="標楷體" w:hAnsi="標楷體" w:hint="eastAsia"/>
                                      <w:b/>
                                      <w:bCs/>
                                      <w:sz w:val="20"/>
                                      <w:szCs w:val="20"/>
                                    </w:rPr>
                                    <w:t>西門站</w:t>
                                  </w:r>
                                </w:p>
                              </w:tc>
                              <w:tc>
                                <w:tcPr>
                                  <w:tcW w:w="700" w:type="dxa"/>
                                  <w:tcBorders>
                                    <w:top w:val="nil"/>
                                    <w:left w:val="nil"/>
                                    <w:bottom w:val="single" w:sz="4" w:space="0" w:color="auto"/>
                                    <w:right w:val="single" w:sz="4" w:space="0" w:color="auto"/>
                                  </w:tcBorders>
                                  <w:noWrap/>
                                  <w:vAlign w:val="center"/>
                                  <w:hideMark/>
                                </w:tcPr>
                                <w:p w14:paraId="32C36490" w14:textId="77777777" w:rsidR="006723F8" w:rsidRDefault="006723F8" w:rsidP="006723F8">
                                  <w:pPr>
                                    <w:ind w:rightChars="20" w:right="48"/>
                                    <w:jc w:val="right"/>
                                    <w:rPr>
                                      <w:rFonts w:ascii="標楷體" w:eastAsia="標楷體" w:hAnsi="標楷體"/>
                                      <w:b/>
                                      <w:bCs/>
                                      <w:color w:val="000000"/>
                                      <w:sz w:val="20"/>
                                      <w:szCs w:val="20"/>
                                    </w:rPr>
                                  </w:pPr>
                                  <w:r>
                                    <w:rPr>
                                      <w:rFonts w:ascii="標楷體" w:eastAsia="標楷體" w:hAnsi="標楷體" w:hint="eastAsia"/>
                                      <w:b/>
                                      <w:bCs/>
                                      <w:color w:val="000000"/>
                                      <w:sz w:val="20"/>
                                      <w:szCs w:val="20"/>
                                    </w:rPr>
                                    <w:t>133</w:t>
                                  </w:r>
                                </w:p>
                              </w:tc>
                              <w:tc>
                                <w:tcPr>
                                  <w:tcW w:w="616" w:type="dxa"/>
                                  <w:tcBorders>
                                    <w:top w:val="nil"/>
                                    <w:left w:val="nil"/>
                                    <w:bottom w:val="single" w:sz="4" w:space="0" w:color="auto"/>
                                    <w:right w:val="single" w:sz="4" w:space="0" w:color="auto"/>
                                  </w:tcBorders>
                                  <w:noWrap/>
                                  <w:vAlign w:val="center"/>
                                  <w:hideMark/>
                                </w:tcPr>
                                <w:p w14:paraId="0CF5ACBA" w14:textId="77777777" w:rsidR="006723F8" w:rsidRDefault="006723F8" w:rsidP="006723F8">
                                  <w:pPr>
                                    <w:jc w:val="center"/>
                                    <w:rPr>
                                      <w:rFonts w:ascii="標楷體" w:eastAsia="標楷體" w:hAnsi="標楷體"/>
                                      <w:b/>
                                      <w:bCs/>
                                      <w:color w:val="000000"/>
                                      <w:sz w:val="20"/>
                                      <w:szCs w:val="20"/>
                                    </w:rPr>
                                  </w:pPr>
                                  <w:r>
                                    <w:rPr>
                                      <w:rFonts w:ascii="標楷體" w:eastAsia="標楷體" w:hAnsi="標楷體" w:hint="eastAsia"/>
                                      <w:b/>
                                      <w:bCs/>
                                      <w:color w:val="000000"/>
                                      <w:sz w:val="20"/>
                                      <w:szCs w:val="20"/>
                                    </w:rPr>
                                    <w:t>3</w:t>
                                  </w:r>
                                </w:p>
                              </w:tc>
                              <w:tc>
                                <w:tcPr>
                                  <w:tcW w:w="952" w:type="dxa"/>
                                  <w:tcBorders>
                                    <w:top w:val="nil"/>
                                    <w:left w:val="nil"/>
                                    <w:bottom w:val="single" w:sz="4" w:space="0" w:color="auto"/>
                                    <w:right w:val="single" w:sz="4" w:space="0" w:color="auto"/>
                                  </w:tcBorders>
                                  <w:noWrap/>
                                  <w:vAlign w:val="center"/>
                                  <w:hideMark/>
                                </w:tcPr>
                                <w:p w14:paraId="47F008D4" w14:textId="77777777" w:rsidR="006723F8" w:rsidRDefault="006723F8" w:rsidP="006723F8">
                                  <w:pPr>
                                    <w:ind w:rightChars="20" w:right="48"/>
                                    <w:jc w:val="right"/>
                                    <w:rPr>
                                      <w:rFonts w:ascii="標楷體" w:eastAsia="標楷體" w:hAnsi="標楷體"/>
                                      <w:bCs/>
                                      <w:sz w:val="20"/>
                                      <w:szCs w:val="20"/>
                                    </w:rPr>
                                  </w:pPr>
                                  <w:r>
                                    <w:rPr>
                                      <w:rFonts w:ascii="標楷體" w:eastAsia="標楷體" w:hAnsi="標楷體" w:hint="eastAsia"/>
                                      <w:bCs/>
                                      <w:sz w:val="20"/>
                                      <w:szCs w:val="20"/>
                                    </w:rPr>
                                    <w:t>1,210</w:t>
                                  </w:r>
                                </w:p>
                              </w:tc>
                              <w:tc>
                                <w:tcPr>
                                  <w:tcW w:w="923" w:type="dxa"/>
                                  <w:tcBorders>
                                    <w:top w:val="nil"/>
                                    <w:left w:val="nil"/>
                                    <w:bottom w:val="single" w:sz="4" w:space="0" w:color="auto"/>
                                    <w:right w:val="single" w:sz="4" w:space="0" w:color="auto"/>
                                  </w:tcBorders>
                                  <w:noWrap/>
                                  <w:vAlign w:val="center"/>
                                  <w:hideMark/>
                                </w:tcPr>
                                <w:p w14:paraId="5E8F7BC4"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1,694</w:t>
                                  </w:r>
                                </w:p>
                              </w:tc>
                              <w:tc>
                                <w:tcPr>
                                  <w:tcW w:w="708" w:type="dxa"/>
                                  <w:tcBorders>
                                    <w:top w:val="nil"/>
                                    <w:left w:val="nil"/>
                                    <w:bottom w:val="single" w:sz="4" w:space="0" w:color="auto"/>
                                    <w:right w:val="single" w:sz="4" w:space="0" w:color="auto"/>
                                  </w:tcBorders>
                                  <w:noWrap/>
                                  <w:vAlign w:val="center"/>
                                  <w:hideMark/>
                                </w:tcPr>
                                <w:p w14:paraId="418BE45F" w14:textId="77777777" w:rsidR="006723F8" w:rsidRDefault="006723F8" w:rsidP="006723F8">
                                  <w:pPr>
                                    <w:ind w:rightChars="20" w:right="48"/>
                                    <w:jc w:val="right"/>
                                    <w:rPr>
                                      <w:rFonts w:ascii="標楷體" w:eastAsia="標楷體" w:hAnsi="標楷體"/>
                                      <w:b/>
                                      <w:sz w:val="20"/>
                                      <w:szCs w:val="20"/>
                                    </w:rPr>
                                  </w:pPr>
                                  <w:r>
                                    <w:rPr>
                                      <w:rFonts w:ascii="標楷體" w:eastAsia="標楷體" w:hAnsi="標楷體" w:hint="eastAsia"/>
                                      <w:b/>
                                      <w:sz w:val="20"/>
                                      <w:szCs w:val="20"/>
                                    </w:rPr>
                                    <w:t>2,904</w:t>
                                  </w:r>
                                </w:p>
                              </w:tc>
                              <w:tc>
                                <w:tcPr>
                                  <w:tcW w:w="601" w:type="dxa"/>
                                  <w:tcBorders>
                                    <w:top w:val="nil"/>
                                    <w:left w:val="nil"/>
                                    <w:bottom w:val="single" w:sz="4" w:space="0" w:color="auto"/>
                                    <w:right w:val="single" w:sz="4" w:space="0" w:color="auto"/>
                                  </w:tcBorders>
                                  <w:noWrap/>
                                  <w:vAlign w:val="center"/>
                                  <w:hideMark/>
                                </w:tcPr>
                                <w:p w14:paraId="2EC4E602" w14:textId="77777777" w:rsidR="006723F8" w:rsidRDefault="006723F8" w:rsidP="006723F8">
                                  <w:pPr>
                                    <w:jc w:val="center"/>
                                    <w:rPr>
                                      <w:rFonts w:ascii="標楷體" w:eastAsia="標楷體" w:hAnsi="標楷體"/>
                                      <w:sz w:val="20"/>
                                      <w:szCs w:val="20"/>
                                    </w:rPr>
                                  </w:pPr>
                                  <w:r>
                                    <w:rPr>
                                      <w:rFonts w:ascii="標楷體" w:eastAsia="標楷體" w:hAnsi="標楷體" w:hint="eastAsia"/>
                                      <w:sz w:val="20"/>
                                      <w:szCs w:val="20"/>
                                    </w:rPr>
                                    <w:t>6</w:t>
                                  </w:r>
                                </w:p>
                              </w:tc>
                            </w:tr>
                            <w:tr w:rsidR="006723F8" w14:paraId="326E5758"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0EA701E2" w14:textId="77777777" w:rsidR="006723F8" w:rsidRDefault="006723F8" w:rsidP="006723F8">
                                  <w:pPr>
                                    <w:rPr>
                                      <w:rFonts w:ascii="標楷體" w:eastAsia="標楷體" w:hAnsi="標楷體"/>
                                      <w:b/>
                                      <w:sz w:val="20"/>
                                      <w:szCs w:val="20"/>
                                    </w:rPr>
                                  </w:pPr>
                                  <w:r>
                                    <w:rPr>
                                      <w:rFonts w:ascii="標楷體" w:eastAsia="標楷體" w:hAnsi="標楷體" w:hint="eastAsia"/>
                                      <w:b/>
                                      <w:sz w:val="20"/>
                                      <w:szCs w:val="20"/>
                                    </w:rPr>
                                    <w:t>中山站</w:t>
                                  </w:r>
                                </w:p>
                              </w:tc>
                              <w:tc>
                                <w:tcPr>
                                  <w:tcW w:w="700" w:type="dxa"/>
                                  <w:tcBorders>
                                    <w:top w:val="nil"/>
                                    <w:left w:val="nil"/>
                                    <w:bottom w:val="single" w:sz="4" w:space="0" w:color="auto"/>
                                    <w:right w:val="single" w:sz="4" w:space="0" w:color="auto"/>
                                  </w:tcBorders>
                                  <w:noWrap/>
                                  <w:vAlign w:val="center"/>
                                  <w:hideMark/>
                                </w:tcPr>
                                <w:p w14:paraId="37FFF399" w14:textId="77777777" w:rsidR="006723F8" w:rsidRDefault="006723F8" w:rsidP="006723F8">
                                  <w:pPr>
                                    <w:ind w:rightChars="20" w:right="48"/>
                                    <w:jc w:val="right"/>
                                    <w:rPr>
                                      <w:rFonts w:ascii="標楷體" w:eastAsia="標楷體" w:hAnsi="標楷體"/>
                                      <w:b/>
                                      <w:color w:val="000000"/>
                                      <w:sz w:val="20"/>
                                      <w:szCs w:val="20"/>
                                    </w:rPr>
                                  </w:pPr>
                                  <w:r>
                                    <w:rPr>
                                      <w:rFonts w:ascii="標楷體" w:eastAsia="標楷體" w:hAnsi="標楷體" w:hint="eastAsia"/>
                                      <w:b/>
                                      <w:color w:val="000000"/>
                                      <w:sz w:val="20"/>
                                      <w:szCs w:val="20"/>
                                    </w:rPr>
                                    <w:t>125</w:t>
                                  </w:r>
                                </w:p>
                              </w:tc>
                              <w:tc>
                                <w:tcPr>
                                  <w:tcW w:w="616" w:type="dxa"/>
                                  <w:tcBorders>
                                    <w:top w:val="nil"/>
                                    <w:left w:val="nil"/>
                                    <w:bottom w:val="single" w:sz="4" w:space="0" w:color="auto"/>
                                    <w:right w:val="single" w:sz="4" w:space="0" w:color="auto"/>
                                  </w:tcBorders>
                                  <w:noWrap/>
                                  <w:vAlign w:val="center"/>
                                  <w:hideMark/>
                                </w:tcPr>
                                <w:p w14:paraId="71310CC5" w14:textId="77777777" w:rsidR="006723F8" w:rsidRDefault="006723F8" w:rsidP="006723F8">
                                  <w:pPr>
                                    <w:jc w:val="center"/>
                                    <w:rPr>
                                      <w:rFonts w:ascii="標楷體" w:eastAsia="標楷體" w:hAnsi="標楷體"/>
                                      <w:b/>
                                      <w:color w:val="000000"/>
                                      <w:sz w:val="20"/>
                                      <w:szCs w:val="20"/>
                                    </w:rPr>
                                  </w:pPr>
                                  <w:r>
                                    <w:rPr>
                                      <w:rFonts w:ascii="標楷體" w:eastAsia="標楷體" w:hAnsi="標楷體" w:hint="eastAsia"/>
                                      <w:b/>
                                      <w:color w:val="000000"/>
                                      <w:sz w:val="20"/>
                                      <w:szCs w:val="20"/>
                                    </w:rPr>
                                    <w:t>4</w:t>
                                  </w:r>
                                </w:p>
                              </w:tc>
                              <w:tc>
                                <w:tcPr>
                                  <w:tcW w:w="952" w:type="dxa"/>
                                  <w:tcBorders>
                                    <w:top w:val="nil"/>
                                    <w:left w:val="nil"/>
                                    <w:bottom w:val="single" w:sz="4" w:space="0" w:color="auto"/>
                                    <w:right w:val="single" w:sz="4" w:space="0" w:color="auto"/>
                                  </w:tcBorders>
                                  <w:noWrap/>
                                  <w:vAlign w:val="center"/>
                                  <w:hideMark/>
                                </w:tcPr>
                                <w:p w14:paraId="01C3D9C1"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1,658</w:t>
                                  </w:r>
                                </w:p>
                              </w:tc>
                              <w:tc>
                                <w:tcPr>
                                  <w:tcW w:w="923" w:type="dxa"/>
                                  <w:tcBorders>
                                    <w:top w:val="nil"/>
                                    <w:left w:val="nil"/>
                                    <w:bottom w:val="single" w:sz="4" w:space="0" w:color="auto"/>
                                    <w:right w:val="single" w:sz="4" w:space="0" w:color="auto"/>
                                  </w:tcBorders>
                                  <w:noWrap/>
                                  <w:vAlign w:val="center"/>
                                  <w:hideMark/>
                                </w:tcPr>
                                <w:p w14:paraId="51858213"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886</w:t>
                                  </w:r>
                                </w:p>
                              </w:tc>
                              <w:tc>
                                <w:tcPr>
                                  <w:tcW w:w="708" w:type="dxa"/>
                                  <w:tcBorders>
                                    <w:top w:val="nil"/>
                                    <w:left w:val="nil"/>
                                    <w:bottom w:val="single" w:sz="4" w:space="0" w:color="auto"/>
                                    <w:right w:val="single" w:sz="4" w:space="0" w:color="auto"/>
                                  </w:tcBorders>
                                  <w:noWrap/>
                                  <w:vAlign w:val="center"/>
                                  <w:hideMark/>
                                </w:tcPr>
                                <w:p w14:paraId="09DBFF41" w14:textId="77777777" w:rsidR="006723F8" w:rsidRDefault="006723F8" w:rsidP="006723F8">
                                  <w:pPr>
                                    <w:ind w:rightChars="20" w:right="48"/>
                                    <w:jc w:val="right"/>
                                    <w:rPr>
                                      <w:rFonts w:ascii="標楷體" w:eastAsia="標楷體" w:hAnsi="標楷體"/>
                                      <w:b/>
                                      <w:sz w:val="20"/>
                                      <w:szCs w:val="20"/>
                                    </w:rPr>
                                  </w:pPr>
                                  <w:r>
                                    <w:rPr>
                                      <w:rFonts w:ascii="標楷體" w:eastAsia="標楷體" w:hAnsi="標楷體" w:hint="eastAsia"/>
                                      <w:b/>
                                      <w:sz w:val="20"/>
                                      <w:szCs w:val="20"/>
                                    </w:rPr>
                                    <w:t>2,544</w:t>
                                  </w:r>
                                </w:p>
                              </w:tc>
                              <w:tc>
                                <w:tcPr>
                                  <w:tcW w:w="601" w:type="dxa"/>
                                  <w:tcBorders>
                                    <w:top w:val="nil"/>
                                    <w:left w:val="nil"/>
                                    <w:bottom w:val="single" w:sz="4" w:space="0" w:color="auto"/>
                                    <w:right w:val="single" w:sz="4" w:space="0" w:color="auto"/>
                                  </w:tcBorders>
                                  <w:noWrap/>
                                  <w:vAlign w:val="center"/>
                                  <w:hideMark/>
                                </w:tcPr>
                                <w:p w14:paraId="57DC1DC1" w14:textId="77777777" w:rsidR="006723F8" w:rsidRDefault="006723F8" w:rsidP="006723F8">
                                  <w:pPr>
                                    <w:jc w:val="center"/>
                                    <w:rPr>
                                      <w:rFonts w:ascii="標楷體" w:eastAsia="標楷體" w:hAnsi="標楷體"/>
                                      <w:sz w:val="20"/>
                                      <w:szCs w:val="20"/>
                                    </w:rPr>
                                  </w:pPr>
                                  <w:r>
                                    <w:rPr>
                                      <w:rFonts w:ascii="標楷體" w:eastAsia="標楷體" w:hAnsi="標楷體" w:hint="eastAsia"/>
                                      <w:sz w:val="20"/>
                                      <w:szCs w:val="20"/>
                                    </w:rPr>
                                    <w:t>8</w:t>
                                  </w:r>
                                </w:p>
                              </w:tc>
                            </w:tr>
                            <w:tr w:rsidR="006723F8" w14:paraId="62CD256F"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4E19A9D4" w14:textId="77777777" w:rsidR="006723F8" w:rsidRDefault="006723F8" w:rsidP="006723F8">
                                  <w:pPr>
                                    <w:rPr>
                                      <w:rFonts w:ascii="標楷體" w:eastAsia="標楷體" w:hAnsi="標楷體"/>
                                      <w:b/>
                                      <w:bCs/>
                                      <w:sz w:val="20"/>
                                      <w:szCs w:val="20"/>
                                    </w:rPr>
                                  </w:pPr>
                                  <w:r>
                                    <w:rPr>
                                      <w:rFonts w:ascii="標楷體" w:eastAsia="標楷體" w:hAnsi="標楷體" w:hint="eastAsia"/>
                                      <w:b/>
                                      <w:bCs/>
                                      <w:sz w:val="20"/>
                                      <w:szCs w:val="20"/>
                                    </w:rPr>
                                    <w:t>忠孝復興站</w:t>
                                  </w:r>
                                </w:p>
                              </w:tc>
                              <w:tc>
                                <w:tcPr>
                                  <w:tcW w:w="700" w:type="dxa"/>
                                  <w:tcBorders>
                                    <w:top w:val="nil"/>
                                    <w:left w:val="nil"/>
                                    <w:bottom w:val="single" w:sz="4" w:space="0" w:color="auto"/>
                                    <w:right w:val="single" w:sz="4" w:space="0" w:color="auto"/>
                                  </w:tcBorders>
                                  <w:noWrap/>
                                  <w:vAlign w:val="center"/>
                                  <w:hideMark/>
                                </w:tcPr>
                                <w:p w14:paraId="49950235" w14:textId="77777777" w:rsidR="006723F8" w:rsidRDefault="006723F8" w:rsidP="006723F8">
                                  <w:pPr>
                                    <w:ind w:rightChars="20" w:right="48"/>
                                    <w:jc w:val="right"/>
                                    <w:rPr>
                                      <w:rFonts w:ascii="標楷體" w:eastAsia="標楷體" w:hAnsi="標楷體"/>
                                      <w:b/>
                                      <w:color w:val="000000"/>
                                      <w:sz w:val="20"/>
                                      <w:szCs w:val="20"/>
                                    </w:rPr>
                                  </w:pPr>
                                  <w:r>
                                    <w:rPr>
                                      <w:rFonts w:ascii="標楷體" w:eastAsia="標楷體" w:hAnsi="標楷體" w:hint="eastAsia"/>
                                      <w:b/>
                                      <w:color w:val="000000"/>
                                      <w:sz w:val="20"/>
                                      <w:szCs w:val="20"/>
                                    </w:rPr>
                                    <w:t>110</w:t>
                                  </w:r>
                                </w:p>
                              </w:tc>
                              <w:tc>
                                <w:tcPr>
                                  <w:tcW w:w="616" w:type="dxa"/>
                                  <w:tcBorders>
                                    <w:top w:val="nil"/>
                                    <w:left w:val="nil"/>
                                    <w:bottom w:val="single" w:sz="4" w:space="0" w:color="auto"/>
                                    <w:right w:val="single" w:sz="4" w:space="0" w:color="auto"/>
                                  </w:tcBorders>
                                  <w:noWrap/>
                                  <w:vAlign w:val="center"/>
                                  <w:hideMark/>
                                </w:tcPr>
                                <w:p w14:paraId="74827D13" w14:textId="77777777" w:rsidR="006723F8" w:rsidRDefault="006723F8" w:rsidP="006723F8">
                                  <w:pPr>
                                    <w:jc w:val="center"/>
                                    <w:rPr>
                                      <w:rFonts w:ascii="標楷體" w:eastAsia="標楷體" w:hAnsi="標楷體"/>
                                      <w:b/>
                                      <w:color w:val="000000"/>
                                      <w:sz w:val="20"/>
                                      <w:szCs w:val="20"/>
                                    </w:rPr>
                                  </w:pPr>
                                  <w:r>
                                    <w:rPr>
                                      <w:rFonts w:ascii="標楷體" w:eastAsia="標楷體" w:hAnsi="標楷體" w:hint="eastAsia"/>
                                      <w:b/>
                                      <w:color w:val="000000"/>
                                      <w:sz w:val="20"/>
                                      <w:szCs w:val="20"/>
                                    </w:rPr>
                                    <w:t>5</w:t>
                                  </w:r>
                                </w:p>
                              </w:tc>
                              <w:tc>
                                <w:tcPr>
                                  <w:tcW w:w="952" w:type="dxa"/>
                                  <w:tcBorders>
                                    <w:top w:val="nil"/>
                                    <w:left w:val="nil"/>
                                    <w:bottom w:val="single" w:sz="4" w:space="0" w:color="auto"/>
                                    <w:right w:val="single" w:sz="4" w:space="0" w:color="auto"/>
                                  </w:tcBorders>
                                  <w:noWrap/>
                                  <w:vAlign w:val="center"/>
                                  <w:hideMark/>
                                </w:tcPr>
                                <w:p w14:paraId="4D05293A"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1,296</w:t>
                                  </w:r>
                                </w:p>
                              </w:tc>
                              <w:tc>
                                <w:tcPr>
                                  <w:tcW w:w="923" w:type="dxa"/>
                                  <w:tcBorders>
                                    <w:top w:val="nil"/>
                                    <w:left w:val="nil"/>
                                    <w:bottom w:val="single" w:sz="4" w:space="0" w:color="auto"/>
                                    <w:right w:val="single" w:sz="4" w:space="0" w:color="auto"/>
                                  </w:tcBorders>
                                  <w:noWrap/>
                                  <w:vAlign w:val="center"/>
                                  <w:hideMark/>
                                </w:tcPr>
                                <w:p w14:paraId="5A0B827E" w14:textId="77777777" w:rsidR="006723F8" w:rsidRDefault="006723F8" w:rsidP="006723F8">
                                  <w:pPr>
                                    <w:ind w:rightChars="20" w:right="48"/>
                                    <w:jc w:val="right"/>
                                    <w:rPr>
                                      <w:rFonts w:ascii="標楷體" w:eastAsia="標楷體" w:hAnsi="標楷體"/>
                                      <w:bCs/>
                                      <w:sz w:val="20"/>
                                      <w:szCs w:val="20"/>
                                    </w:rPr>
                                  </w:pPr>
                                  <w:r>
                                    <w:rPr>
                                      <w:rFonts w:ascii="標楷體" w:eastAsia="標楷體" w:hAnsi="標楷體" w:hint="eastAsia"/>
                                      <w:bCs/>
                                      <w:sz w:val="20"/>
                                      <w:szCs w:val="20"/>
                                    </w:rPr>
                                    <w:t>4,148</w:t>
                                  </w:r>
                                </w:p>
                              </w:tc>
                              <w:tc>
                                <w:tcPr>
                                  <w:tcW w:w="708" w:type="dxa"/>
                                  <w:tcBorders>
                                    <w:top w:val="nil"/>
                                    <w:left w:val="nil"/>
                                    <w:bottom w:val="single" w:sz="4" w:space="0" w:color="auto"/>
                                    <w:right w:val="single" w:sz="4" w:space="0" w:color="auto"/>
                                  </w:tcBorders>
                                  <w:noWrap/>
                                  <w:vAlign w:val="center"/>
                                  <w:hideMark/>
                                </w:tcPr>
                                <w:p w14:paraId="0699EF3F" w14:textId="77777777" w:rsidR="006723F8" w:rsidRDefault="006723F8" w:rsidP="006723F8">
                                  <w:pPr>
                                    <w:ind w:rightChars="20" w:right="48"/>
                                    <w:jc w:val="right"/>
                                    <w:rPr>
                                      <w:rFonts w:ascii="標楷體" w:eastAsia="標楷體" w:hAnsi="標楷體"/>
                                      <w:b/>
                                      <w:bCs/>
                                      <w:sz w:val="20"/>
                                      <w:szCs w:val="20"/>
                                    </w:rPr>
                                  </w:pPr>
                                  <w:r>
                                    <w:rPr>
                                      <w:rFonts w:ascii="標楷體" w:eastAsia="標楷體" w:hAnsi="標楷體" w:hint="eastAsia"/>
                                      <w:b/>
                                      <w:bCs/>
                                      <w:sz w:val="20"/>
                                      <w:szCs w:val="20"/>
                                    </w:rPr>
                                    <w:t>5,444</w:t>
                                  </w:r>
                                </w:p>
                              </w:tc>
                              <w:tc>
                                <w:tcPr>
                                  <w:tcW w:w="601" w:type="dxa"/>
                                  <w:tcBorders>
                                    <w:top w:val="nil"/>
                                    <w:left w:val="nil"/>
                                    <w:bottom w:val="single" w:sz="4" w:space="0" w:color="auto"/>
                                    <w:right w:val="single" w:sz="4" w:space="0" w:color="auto"/>
                                  </w:tcBorders>
                                  <w:noWrap/>
                                  <w:vAlign w:val="center"/>
                                  <w:hideMark/>
                                </w:tcPr>
                                <w:p w14:paraId="5A7C04B3" w14:textId="77777777" w:rsidR="006723F8" w:rsidRDefault="006723F8" w:rsidP="006723F8">
                                  <w:pPr>
                                    <w:jc w:val="center"/>
                                    <w:rPr>
                                      <w:rFonts w:ascii="標楷體" w:eastAsia="標楷體" w:hAnsi="標楷體"/>
                                      <w:b/>
                                      <w:bCs/>
                                      <w:sz w:val="20"/>
                                      <w:szCs w:val="20"/>
                                    </w:rPr>
                                  </w:pPr>
                                  <w:r>
                                    <w:rPr>
                                      <w:rFonts w:ascii="標楷體" w:eastAsia="標楷體" w:hAnsi="標楷體" w:hint="eastAsia"/>
                                      <w:b/>
                                      <w:bCs/>
                                      <w:sz w:val="20"/>
                                      <w:szCs w:val="20"/>
                                    </w:rPr>
                                    <w:t>1</w:t>
                                  </w:r>
                                </w:p>
                              </w:tc>
                            </w:tr>
                            <w:tr w:rsidR="006723F8" w14:paraId="5985DEE4"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73220E6E" w14:textId="77777777" w:rsidR="006723F8" w:rsidRDefault="006723F8" w:rsidP="006723F8">
                                  <w:pPr>
                                    <w:rPr>
                                      <w:rFonts w:ascii="標楷體" w:eastAsia="標楷體" w:hAnsi="標楷體"/>
                                      <w:color w:val="000000"/>
                                      <w:sz w:val="20"/>
                                      <w:szCs w:val="20"/>
                                    </w:rPr>
                                  </w:pPr>
                                  <w:r>
                                    <w:rPr>
                                      <w:rFonts w:ascii="標楷體" w:eastAsia="標楷體" w:hAnsi="標楷體" w:hint="eastAsia"/>
                                      <w:color w:val="000000"/>
                                      <w:sz w:val="20"/>
                                      <w:szCs w:val="20"/>
                                    </w:rPr>
                                    <w:t>忠孝新生站</w:t>
                                  </w:r>
                                </w:p>
                              </w:tc>
                              <w:tc>
                                <w:tcPr>
                                  <w:tcW w:w="700" w:type="dxa"/>
                                  <w:tcBorders>
                                    <w:top w:val="nil"/>
                                    <w:left w:val="nil"/>
                                    <w:bottom w:val="single" w:sz="4" w:space="0" w:color="auto"/>
                                    <w:right w:val="single" w:sz="4" w:space="0" w:color="auto"/>
                                  </w:tcBorders>
                                  <w:noWrap/>
                                  <w:vAlign w:val="center"/>
                                  <w:hideMark/>
                                </w:tcPr>
                                <w:p w14:paraId="7C907C81"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93</w:t>
                                  </w:r>
                                </w:p>
                              </w:tc>
                              <w:tc>
                                <w:tcPr>
                                  <w:tcW w:w="616" w:type="dxa"/>
                                  <w:tcBorders>
                                    <w:top w:val="nil"/>
                                    <w:left w:val="nil"/>
                                    <w:bottom w:val="single" w:sz="4" w:space="0" w:color="auto"/>
                                    <w:right w:val="single" w:sz="4" w:space="0" w:color="auto"/>
                                  </w:tcBorders>
                                  <w:noWrap/>
                                  <w:vAlign w:val="center"/>
                                  <w:hideMark/>
                                </w:tcPr>
                                <w:p w14:paraId="4E056C74"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6</w:t>
                                  </w:r>
                                </w:p>
                              </w:tc>
                              <w:tc>
                                <w:tcPr>
                                  <w:tcW w:w="952" w:type="dxa"/>
                                  <w:tcBorders>
                                    <w:top w:val="nil"/>
                                    <w:left w:val="nil"/>
                                    <w:bottom w:val="single" w:sz="4" w:space="0" w:color="auto"/>
                                    <w:right w:val="single" w:sz="4" w:space="0" w:color="auto"/>
                                  </w:tcBorders>
                                  <w:noWrap/>
                                  <w:vAlign w:val="center"/>
                                  <w:hideMark/>
                                </w:tcPr>
                                <w:p w14:paraId="411E8744"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1,092</w:t>
                                  </w:r>
                                </w:p>
                              </w:tc>
                              <w:tc>
                                <w:tcPr>
                                  <w:tcW w:w="923" w:type="dxa"/>
                                  <w:tcBorders>
                                    <w:top w:val="nil"/>
                                    <w:left w:val="nil"/>
                                    <w:bottom w:val="single" w:sz="4" w:space="0" w:color="auto"/>
                                    <w:right w:val="single" w:sz="4" w:space="0" w:color="auto"/>
                                  </w:tcBorders>
                                  <w:noWrap/>
                                  <w:vAlign w:val="center"/>
                                  <w:hideMark/>
                                </w:tcPr>
                                <w:p w14:paraId="4B380F79"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696</w:t>
                                  </w:r>
                                </w:p>
                              </w:tc>
                              <w:tc>
                                <w:tcPr>
                                  <w:tcW w:w="708" w:type="dxa"/>
                                  <w:tcBorders>
                                    <w:top w:val="nil"/>
                                    <w:left w:val="nil"/>
                                    <w:bottom w:val="single" w:sz="4" w:space="0" w:color="auto"/>
                                    <w:right w:val="single" w:sz="4" w:space="0" w:color="auto"/>
                                  </w:tcBorders>
                                  <w:noWrap/>
                                  <w:vAlign w:val="center"/>
                                  <w:hideMark/>
                                </w:tcPr>
                                <w:p w14:paraId="40B671A5"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1,788</w:t>
                                  </w:r>
                                </w:p>
                              </w:tc>
                              <w:tc>
                                <w:tcPr>
                                  <w:tcW w:w="601" w:type="dxa"/>
                                  <w:tcBorders>
                                    <w:top w:val="nil"/>
                                    <w:left w:val="nil"/>
                                    <w:bottom w:val="single" w:sz="4" w:space="0" w:color="auto"/>
                                    <w:right w:val="single" w:sz="4" w:space="0" w:color="auto"/>
                                  </w:tcBorders>
                                  <w:noWrap/>
                                  <w:vAlign w:val="center"/>
                                  <w:hideMark/>
                                </w:tcPr>
                                <w:p w14:paraId="323294DE"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11</w:t>
                                  </w:r>
                                </w:p>
                              </w:tc>
                            </w:tr>
                            <w:tr w:rsidR="006723F8" w14:paraId="49C7D9A6"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7FC4AD49" w14:textId="77777777" w:rsidR="006723F8" w:rsidRDefault="006723F8" w:rsidP="006723F8">
                                  <w:pPr>
                                    <w:rPr>
                                      <w:rFonts w:ascii="標楷體" w:eastAsia="標楷體" w:hAnsi="標楷體"/>
                                      <w:sz w:val="20"/>
                                      <w:szCs w:val="20"/>
                                    </w:rPr>
                                  </w:pPr>
                                  <w:r>
                                    <w:rPr>
                                      <w:rFonts w:ascii="標楷體" w:eastAsia="標楷體" w:hAnsi="標楷體" w:hint="eastAsia"/>
                                      <w:sz w:val="20"/>
                                      <w:szCs w:val="20"/>
                                    </w:rPr>
                                    <w:t>民權西路站</w:t>
                                  </w:r>
                                </w:p>
                              </w:tc>
                              <w:tc>
                                <w:tcPr>
                                  <w:tcW w:w="700" w:type="dxa"/>
                                  <w:tcBorders>
                                    <w:top w:val="nil"/>
                                    <w:left w:val="nil"/>
                                    <w:bottom w:val="single" w:sz="4" w:space="0" w:color="auto"/>
                                    <w:right w:val="single" w:sz="4" w:space="0" w:color="auto"/>
                                  </w:tcBorders>
                                  <w:noWrap/>
                                  <w:vAlign w:val="center"/>
                                  <w:hideMark/>
                                </w:tcPr>
                                <w:p w14:paraId="3738CF44"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91</w:t>
                                  </w:r>
                                </w:p>
                              </w:tc>
                              <w:tc>
                                <w:tcPr>
                                  <w:tcW w:w="616" w:type="dxa"/>
                                  <w:tcBorders>
                                    <w:top w:val="nil"/>
                                    <w:left w:val="nil"/>
                                    <w:bottom w:val="single" w:sz="4" w:space="0" w:color="auto"/>
                                    <w:right w:val="single" w:sz="4" w:space="0" w:color="auto"/>
                                  </w:tcBorders>
                                  <w:noWrap/>
                                  <w:vAlign w:val="center"/>
                                  <w:hideMark/>
                                </w:tcPr>
                                <w:p w14:paraId="19744663"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7</w:t>
                                  </w:r>
                                </w:p>
                              </w:tc>
                              <w:tc>
                                <w:tcPr>
                                  <w:tcW w:w="952" w:type="dxa"/>
                                  <w:tcBorders>
                                    <w:top w:val="nil"/>
                                    <w:left w:val="nil"/>
                                    <w:bottom w:val="single" w:sz="4" w:space="0" w:color="auto"/>
                                    <w:right w:val="single" w:sz="4" w:space="0" w:color="auto"/>
                                  </w:tcBorders>
                                  <w:noWrap/>
                                  <w:vAlign w:val="center"/>
                                  <w:hideMark/>
                                </w:tcPr>
                                <w:p w14:paraId="1CBCFFE9"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2,784</w:t>
                                  </w:r>
                                </w:p>
                              </w:tc>
                              <w:tc>
                                <w:tcPr>
                                  <w:tcW w:w="923" w:type="dxa"/>
                                  <w:tcBorders>
                                    <w:top w:val="nil"/>
                                    <w:left w:val="nil"/>
                                    <w:bottom w:val="single" w:sz="4" w:space="0" w:color="auto"/>
                                    <w:right w:val="single" w:sz="4" w:space="0" w:color="auto"/>
                                  </w:tcBorders>
                                  <w:noWrap/>
                                  <w:vAlign w:val="center"/>
                                  <w:hideMark/>
                                </w:tcPr>
                                <w:p w14:paraId="19B24D1D"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1,840</w:t>
                                  </w:r>
                                </w:p>
                              </w:tc>
                              <w:tc>
                                <w:tcPr>
                                  <w:tcW w:w="708" w:type="dxa"/>
                                  <w:tcBorders>
                                    <w:top w:val="nil"/>
                                    <w:left w:val="nil"/>
                                    <w:bottom w:val="single" w:sz="4" w:space="0" w:color="auto"/>
                                    <w:right w:val="single" w:sz="4" w:space="0" w:color="auto"/>
                                  </w:tcBorders>
                                  <w:noWrap/>
                                  <w:vAlign w:val="center"/>
                                  <w:hideMark/>
                                </w:tcPr>
                                <w:p w14:paraId="6844FF3D"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4,624</w:t>
                                  </w:r>
                                </w:p>
                              </w:tc>
                              <w:tc>
                                <w:tcPr>
                                  <w:tcW w:w="601" w:type="dxa"/>
                                  <w:tcBorders>
                                    <w:top w:val="nil"/>
                                    <w:left w:val="nil"/>
                                    <w:bottom w:val="single" w:sz="4" w:space="0" w:color="auto"/>
                                    <w:right w:val="single" w:sz="4" w:space="0" w:color="auto"/>
                                  </w:tcBorders>
                                  <w:noWrap/>
                                  <w:vAlign w:val="center"/>
                                  <w:hideMark/>
                                </w:tcPr>
                                <w:p w14:paraId="3A00BFB8" w14:textId="77777777" w:rsidR="006723F8" w:rsidRDefault="006723F8" w:rsidP="006723F8">
                                  <w:pPr>
                                    <w:jc w:val="center"/>
                                    <w:rPr>
                                      <w:rFonts w:ascii="標楷體" w:eastAsia="標楷體" w:hAnsi="標楷體"/>
                                      <w:sz w:val="20"/>
                                      <w:szCs w:val="20"/>
                                    </w:rPr>
                                  </w:pPr>
                                  <w:r>
                                    <w:rPr>
                                      <w:rFonts w:ascii="標楷體" w:eastAsia="標楷體" w:hAnsi="標楷體" w:hint="eastAsia"/>
                                      <w:sz w:val="20"/>
                                      <w:szCs w:val="20"/>
                                    </w:rPr>
                                    <w:t>4</w:t>
                                  </w:r>
                                </w:p>
                              </w:tc>
                            </w:tr>
                            <w:tr w:rsidR="006723F8" w14:paraId="02F7943F"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12F58D0C" w14:textId="77777777" w:rsidR="006723F8" w:rsidRDefault="006723F8" w:rsidP="006723F8">
                                  <w:pPr>
                                    <w:rPr>
                                      <w:rFonts w:ascii="標楷體" w:eastAsia="標楷體" w:hAnsi="標楷體"/>
                                      <w:color w:val="000000"/>
                                      <w:sz w:val="20"/>
                                      <w:szCs w:val="20"/>
                                    </w:rPr>
                                  </w:pPr>
                                  <w:r>
                                    <w:rPr>
                                      <w:rFonts w:ascii="標楷體" w:eastAsia="標楷體" w:hAnsi="標楷體" w:hint="eastAsia"/>
                                      <w:color w:val="000000"/>
                                      <w:sz w:val="20"/>
                                      <w:szCs w:val="20"/>
                                    </w:rPr>
                                    <w:t>板橋站</w:t>
                                  </w:r>
                                </w:p>
                              </w:tc>
                              <w:tc>
                                <w:tcPr>
                                  <w:tcW w:w="700" w:type="dxa"/>
                                  <w:tcBorders>
                                    <w:top w:val="nil"/>
                                    <w:left w:val="nil"/>
                                    <w:bottom w:val="single" w:sz="4" w:space="0" w:color="auto"/>
                                    <w:right w:val="single" w:sz="4" w:space="0" w:color="auto"/>
                                  </w:tcBorders>
                                  <w:noWrap/>
                                  <w:vAlign w:val="center"/>
                                  <w:hideMark/>
                                </w:tcPr>
                                <w:p w14:paraId="7130D3BB"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81</w:t>
                                  </w:r>
                                </w:p>
                              </w:tc>
                              <w:tc>
                                <w:tcPr>
                                  <w:tcW w:w="616" w:type="dxa"/>
                                  <w:tcBorders>
                                    <w:top w:val="nil"/>
                                    <w:left w:val="nil"/>
                                    <w:bottom w:val="single" w:sz="4" w:space="0" w:color="auto"/>
                                    <w:right w:val="single" w:sz="4" w:space="0" w:color="auto"/>
                                  </w:tcBorders>
                                  <w:noWrap/>
                                  <w:vAlign w:val="center"/>
                                  <w:hideMark/>
                                </w:tcPr>
                                <w:p w14:paraId="7937ACFC"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8</w:t>
                                  </w:r>
                                </w:p>
                              </w:tc>
                              <w:tc>
                                <w:tcPr>
                                  <w:tcW w:w="952" w:type="dxa"/>
                                  <w:tcBorders>
                                    <w:top w:val="nil"/>
                                    <w:left w:val="nil"/>
                                    <w:bottom w:val="single" w:sz="4" w:space="0" w:color="auto"/>
                                    <w:right w:val="single" w:sz="4" w:space="0" w:color="auto"/>
                                  </w:tcBorders>
                                  <w:noWrap/>
                                  <w:vAlign w:val="center"/>
                                  <w:hideMark/>
                                </w:tcPr>
                                <w:p w14:paraId="67F429B8"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1,210</w:t>
                                  </w:r>
                                </w:p>
                              </w:tc>
                              <w:tc>
                                <w:tcPr>
                                  <w:tcW w:w="923" w:type="dxa"/>
                                  <w:tcBorders>
                                    <w:top w:val="nil"/>
                                    <w:left w:val="nil"/>
                                    <w:bottom w:val="single" w:sz="4" w:space="0" w:color="auto"/>
                                    <w:right w:val="single" w:sz="4" w:space="0" w:color="auto"/>
                                  </w:tcBorders>
                                  <w:noWrap/>
                                  <w:vAlign w:val="center"/>
                                  <w:hideMark/>
                                </w:tcPr>
                                <w:p w14:paraId="1CF16085"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p>
                              </w:tc>
                              <w:tc>
                                <w:tcPr>
                                  <w:tcW w:w="708" w:type="dxa"/>
                                  <w:tcBorders>
                                    <w:top w:val="nil"/>
                                    <w:left w:val="nil"/>
                                    <w:bottom w:val="single" w:sz="4" w:space="0" w:color="auto"/>
                                    <w:right w:val="single" w:sz="4" w:space="0" w:color="auto"/>
                                  </w:tcBorders>
                                  <w:noWrap/>
                                  <w:vAlign w:val="center"/>
                                  <w:hideMark/>
                                </w:tcPr>
                                <w:p w14:paraId="73109EA3"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1,210</w:t>
                                  </w:r>
                                </w:p>
                              </w:tc>
                              <w:tc>
                                <w:tcPr>
                                  <w:tcW w:w="601" w:type="dxa"/>
                                  <w:tcBorders>
                                    <w:top w:val="nil"/>
                                    <w:left w:val="nil"/>
                                    <w:bottom w:val="single" w:sz="4" w:space="0" w:color="auto"/>
                                    <w:right w:val="single" w:sz="4" w:space="0" w:color="auto"/>
                                  </w:tcBorders>
                                  <w:noWrap/>
                                  <w:vAlign w:val="center"/>
                                  <w:hideMark/>
                                </w:tcPr>
                                <w:p w14:paraId="5FA2C8A0"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29</w:t>
                                  </w:r>
                                </w:p>
                              </w:tc>
                            </w:tr>
                            <w:tr w:rsidR="006723F8" w14:paraId="465C358A"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6EFEDA80" w14:textId="77777777" w:rsidR="006723F8" w:rsidRDefault="006723F8" w:rsidP="006723F8">
                                  <w:pPr>
                                    <w:rPr>
                                      <w:rFonts w:ascii="標楷體" w:eastAsia="標楷體" w:hAnsi="標楷體"/>
                                      <w:sz w:val="20"/>
                                      <w:szCs w:val="20"/>
                                    </w:rPr>
                                  </w:pPr>
                                  <w:r>
                                    <w:rPr>
                                      <w:rFonts w:ascii="標楷體" w:eastAsia="標楷體" w:hAnsi="標楷體" w:hint="eastAsia"/>
                                      <w:sz w:val="20"/>
                                      <w:szCs w:val="20"/>
                                    </w:rPr>
                                    <w:t>南京復興站</w:t>
                                  </w:r>
                                </w:p>
                              </w:tc>
                              <w:tc>
                                <w:tcPr>
                                  <w:tcW w:w="700" w:type="dxa"/>
                                  <w:tcBorders>
                                    <w:top w:val="nil"/>
                                    <w:left w:val="nil"/>
                                    <w:bottom w:val="single" w:sz="4" w:space="0" w:color="auto"/>
                                    <w:right w:val="single" w:sz="4" w:space="0" w:color="auto"/>
                                  </w:tcBorders>
                                  <w:noWrap/>
                                  <w:vAlign w:val="center"/>
                                  <w:hideMark/>
                                </w:tcPr>
                                <w:p w14:paraId="42114163"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81</w:t>
                                  </w:r>
                                </w:p>
                              </w:tc>
                              <w:tc>
                                <w:tcPr>
                                  <w:tcW w:w="616" w:type="dxa"/>
                                  <w:tcBorders>
                                    <w:top w:val="nil"/>
                                    <w:left w:val="nil"/>
                                    <w:bottom w:val="single" w:sz="4" w:space="0" w:color="auto"/>
                                    <w:right w:val="single" w:sz="4" w:space="0" w:color="auto"/>
                                  </w:tcBorders>
                                  <w:noWrap/>
                                  <w:vAlign w:val="center"/>
                                  <w:hideMark/>
                                </w:tcPr>
                                <w:p w14:paraId="2B063820"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9</w:t>
                                  </w:r>
                                </w:p>
                              </w:tc>
                              <w:tc>
                                <w:tcPr>
                                  <w:tcW w:w="952" w:type="dxa"/>
                                  <w:tcBorders>
                                    <w:top w:val="nil"/>
                                    <w:left w:val="nil"/>
                                    <w:bottom w:val="single" w:sz="4" w:space="0" w:color="auto"/>
                                    <w:right w:val="single" w:sz="4" w:space="0" w:color="auto"/>
                                  </w:tcBorders>
                                  <w:noWrap/>
                                  <w:vAlign w:val="center"/>
                                  <w:hideMark/>
                                </w:tcPr>
                                <w:p w14:paraId="28A3F034"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920</w:t>
                                  </w:r>
                                </w:p>
                              </w:tc>
                              <w:tc>
                                <w:tcPr>
                                  <w:tcW w:w="923" w:type="dxa"/>
                                  <w:tcBorders>
                                    <w:top w:val="nil"/>
                                    <w:left w:val="nil"/>
                                    <w:bottom w:val="single" w:sz="4" w:space="0" w:color="auto"/>
                                    <w:right w:val="single" w:sz="4" w:space="0" w:color="auto"/>
                                  </w:tcBorders>
                                  <w:noWrap/>
                                  <w:vAlign w:val="center"/>
                                  <w:hideMark/>
                                </w:tcPr>
                                <w:p w14:paraId="3442C6CB"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4,132</w:t>
                                  </w:r>
                                </w:p>
                              </w:tc>
                              <w:tc>
                                <w:tcPr>
                                  <w:tcW w:w="708" w:type="dxa"/>
                                  <w:tcBorders>
                                    <w:top w:val="nil"/>
                                    <w:left w:val="nil"/>
                                    <w:bottom w:val="single" w:sz="4" w:space="0" w:color="auto"/>
                                    <w:right w:val="single" w:sz="4" w:space="0" w:color="auto"/>
                                  </w:tcBorders>
                                  <w:noWrap/>
                                  <w:vAlign w:val="center"/>
                                  <w:hideMark/>
                                </w:tcPr>
                                <w:p w14:paraId="00D133AA"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5,052</w:t>
                                  </w:r>
                                </w:p>
                              </w:tc>
                              <w:tc>
                                <w:tcPr>
                                  <w:tcW w:w="601" w:type="dxa"/>
                                  <w:tcBorders>
                                    <w:top w:val="nil"/>
                                    <w:left w:val="nil"/>
                                    <w:bottom w:val="single" w:sz="4" w:space="0" w:color="auto"/>
                                    <w:right w:val="single" w:sz="4" w:space="0" w:color="auto"/>
                                  </w:tcBorders>
                                  <w:noWrap/>
                                  <w:vAlign w:val="center"/>
                                  <w:hideMark/>
                                </w:tcPr>
                                <w:p w14:paraId="74B7B308" w14:textId="77777777" w:rsidR="006723F8" w:rsidRDefault="006723F8" w:rsidP="006723F8">
                                  <w:pPr>
                                    <w:jc w:val="center"/>
                                    <w:rPr>
                                      <w:rFonts w:ascii="標楷體" w:eastAsia="標楷體" w:hAnsi="標楷體"/>
                                      <w:sz w:val="20"/>
                                      <w:szCs w:val="20"/>
                                    </w:rPr>
                                  </w:pPr>
                                  <w:r>
                                    <w:rPr>
                                      <w:rFonts w:ascii="標楷體" w:eastAsia="標楷體" w:hAnsi="標楷體" w:hint="eastAsia"/>
                                      <w:sz w:val="20"/>
                                      <w:szCs w:val="20"/>
                                    </w:rPr>
                                    <w:t>3</w:t>
                                  </w:r>
                                </w:p>
                              </w:tc>
                            </w:tr>
                            <w:tr w:rsidR="006723F8" w14:paraId="701A3485"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5A7EC945" w14:textId="77777777" w:rsidR="006723F8" w:rsidRDefault="006723F8" w:rsidP="006723F8">
                                  <w:pPr>
                                    <w:rPr>
                                      <w:rFonts w:ascii="標楷體" w:eastAsia="標楷體" w:hAnsi="標楷體"/>
                                      <w:color w:val="000000"/>
                                      <w:sz w:val="20"/>
                                      <w:szCs w:val="20"/>
                                    </w:rPr>
                                  </w:pPr>
                                  <w:r>
                                    <w:rPr>
                                      <w:rFonts w:ascii="標楷體" w:eastAsia="標楷體" w:hAnsi="標楷體" w:hint="eastAsia"/>
                                      <w:color w:val="000000"/>
                                      <w:sz w:val="20"/>
                                      <w:szCs w:val="20"/>
                                    </w:rPr>
                                    <w:t>市政府站</w:t>
                                  </w:r>
                                </w:p>
                              </w:tc>
                              <w:tc>
                                <w:tcPr>
                                  <w:tcW w:w="700" w:type="dxa"/>
                                  <w:tcBorders>
                                    <w:top w:val="nil"/>
                                    <w:left w:val="nil"/>
                                    <w:bottom w:val="single" w:sz="4" w:space="0" w:color="auto"/>
                                    <w:right w:val="single" w:sz="4" w:space="0" w:color="auto"/>
                                  </w:tcBorders>
                                  <w:noWrap/>
                                  <w:vAlign w:val="center"/>
                                  <w:hideMark/>
                                </w:tcPr>
                                <w:p w14:paraId="4CFC499C"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71</w:t>
                                  </w:r>
                                </w:p>
                              </w:tc>
                              <w:tc>
                                <w:tcPr>
                                  <w:tcW w:w="616" w:type="dxa"/>
                                  <w:tcBorders>
                                    <w:top w:val="nil"/>
                                    <w:left w:val="nil"/>
                                    <w:bottom w:val="single" w:sz="4" w:space="0" w:color="auto"/>
                                    <w:right w:val="single" w:sz="4" w:space="0" w:color="auto"/>
                                  </w:tcBorders>
                                  <w:noWrap/>
                                  <w:vAlign w:val="center"/>
                                  <w:hideMark/>
                                </w:tcPr>
                                <w:p w14:paraId="05A0D4F2"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10</w:t>
                                  </w:r>
                                </w:p>
                              </w:tc>
                              <w:tc>
                                <w:tcPr>
                                  <w:tcW w:w="952" w:type="dxa"/>
                                  <w:tcBorders>
                                    <w:top w:val="nil"/>
                                    <w:left w:val="nil"/>
                                    <w:bottom w:val="single" w:sz="4" w:space="0" w:color="auto"/>
                                    <w:right w:val="single" w:sz="4" w:space="0" w:color="auto"/>
                                  </w:tcBorders>
                                  <w:noWrap/>
                                  <w:vAlign w:val="center"/>
                                  <w:hideMark/>
                                </w:tcPr>
                                <w:p w14:paraId="0615F147"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1,316</w:t>
                                  </w:r>
                                </w:p>
                              </w:tc>
                              <w:tc>
                                <w:tcPr>
                                  <w:tcW w:w="923" w:type="dxa"/>
                                  <w:tcBorders>
                                    <w:top w:val="nil"/>
                                    <w:left w:val="nil"/>
                                    <w:bottom w:val="single" w:sz="4" w:space="0" w:color="auto"/>
                                    <w:right w:val="single" w:sz="4" w:space="0" w:color="auto"/>
                                  </w:tcBorders>
                                  <w:noWrap/>
                                  <w:vAlign w:val="center"/>
                                  <w:hideMark/>
                                </w:tcPr>
                                <w:p w14:paraId="12D5EE76"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448</w:t>
                                  </w:r>
                                </w:p>
                              </w:tc>
                              <w:tc>
                                <w:tcPr>
                                  <w:tcW w:w="708" w:type="dxa"/>
                                  <w:tcBorders>
                                    <w:top w:val="nil"/>
                                    <w:left w:val="nil"/>
                                    <w:bottom w:val="single" w:sz="4" w:space="0" w:color="auto"/>
                                    <w:right w:val="single" w:sz="4" w:space="0" w:color="auto"/>
                                  </w:tcBorders>
                                  <w:noWrap/>
                                  <w:vAlign w:val="center"/>
                                  <w:hideMark/>
                                </w:tcPr>
                                <w:p w14:paraId="3429EB27"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1,764</w:t>
                                  </w:r>
                                </w:p>
                              </w:tc>
                              <w:tc>
                                <w:tcPr>
                                  <w:tcW w:w="601" w:type="dxa"/>
                                  <w:tcBorders>
                                    <w:top w:val="nil"/>
                                    <w:left w:val="nil"/>
                                    <w:bottom w:val="single" w:sz="4" w:space="0" w:color="auto"/>
                                    <w:right w:val="single" w:sz="4" w:space="0" w:color="auto"/>
                                  </w:tcBorders>
                                  <w:noWrap/>
                                  <w:vAlign w:val="center"/>
                                  <w:hideMark/>
                                </w:tcPr>
                                <w:p w14:paraId="472EF92E"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12</w:t>
                                  </w:r>
                                </w:p>
                              </w:tc>
                            </w:tr>
                            <w:tr w:rsidR="006723F8" w14:paraId="033C803D" w14:textId="77777777" w:rsidTr="00824CD6">
                              <w:trPr>
                                <w:trHeight w:val="227"/>
                              </w:trPr>
                              <w:tc>
                                <w:tcPr>
                                  <w:tcW w:w="5634" w:type="dxa"/>
                                  <w:gridSpan w:val="7"/>
                                  <w:tcBorders>
                                    <w:top w:val="single" w:sz="4" w:space="0" w:color="auto"/>
                                    <w:left w:val="nil"/>
                                    <w:bottom w:val="nil"/>
                                    <w:right w:val="nil"/>
                                  </w:tcBorders>
                                  <w:noWrap/>
                                  <w:vAlign w:val="center"/>
                                  <w:hideMark/>
                                </w:tcPr>
                                <w:p w14:paraId="385DD837" w14:textId="77777777" w:rsidR="006723F8" w:rsidRDefault="006723F8" w:rsidP="006723F8">
                                  <w:pPr>
                                    <w:spacing w:line="240" w:lineRule="exact"/>
                                    <w:rPr>
                                      <w:rFonts w:ascii="標楷體" w:eastAsia="標楷體" w:hAnsi="標楷體"/>
                                      <w:color w:val="000000"/>
                                      <w:sz w:val="18"/>
                                      <w:szCs w:val="18"/>
                                    </w:rPr>
                                  </w:pPr>
                                  <w:r>
                                    <w:rPr>
                                      <w:rFonts w:ascii="標楷體" w:eastAsia="標楷體" w:hAnsi="標楷體" w:hint="eastAsia"/>
                                      <w:color w:val="000000"/>
                                      <w:sz w:val="18"/>
                                      <w:szCs w:val="18"/>
                                    </w:rPr>
                                    <w:t>資料來源：整理自捷運警察隊提供資料。</w:t>
                                  </w:r>
                                </w:p>
                              </w:tc>
                            </w:tr>
                          </w:tbl>
                          <w:p w14:paraId="1BF88865" w14:textId="6ACD0787" w:rsidR="006723F8" w:rsidRPr="006723F8" w:rsidRDefault="006723F8" w:rsidP="006723F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5CA030" id="_x0000_s1112" type="#_x0000_t202" style="position:absolute;left:0;text-align:left;margin-left:200.15pt;margin-top:81.75pt;width:298.85pt;height:279pt;z-index:-25156812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" stroked="f">
                <v:textbox>
                  <w:txbxContent>
                    <w:tbl>
                      <w:tblPr>
                        <w:tblW w:w="0" w:type="auto"/>
                        <w:tblCellMar>
                          <w:left w:w="28" w:type="dxa"/>
                          <w:right w:w="28" w:type="dxa"/>
                        </w:tblCellMar>
                        <w:tblLook w:val="04A0" w:firstRow="1" w:lastRow="0" w:firstColumn="1" w:lastColumn="0" w:noHBand="0" w:noVBand="1"/>
                      </w:tblPr>
                      <w:tblGrid>
                        <w:gridCol w:w="1134"/>
                        <w:gridCol w:w="700"/>
                        <w:gridCol w:w="616"/>
                        <w:gridCol w:w="952"/>
                        <w:gridCol w:w="923"/>
                        <w:gridCol w:w="708"/>
                        <w:gridCol w:w="601"/>
                      </w:tblGrid>
                      <w:tr w:rsidR="006723F8" w14:paraId="00BFE512" w14:textId="77777777" w:rsidTr="00824CD6">
                        <w:trPr>
                          <w:trHeight w:val="397"/>
                        </w:trPr>
                        <w:tc>
                          <w:tcPr>
                            <w:tcW w:w="5634" w:type="dxa"/>
                            <w:gridSpan w:val="7"/>
                            <w:vAlign w:val="center"/>
                            <w:hideMark/>
                          </w:tcPr>
                          <w:p w14:paraId="5347B38C" w14:textId="77777777" w:rsidR="006723F8" w:rsidRDefault="006723F8" w:rsidP="007D1E59">
                            <w:pPr>
                              <w:spacing w:line="280" w:lineRule="exact"/>
                              <w:ind w:leftChars="-5" w:left="656" w:hangingChars="278" w:hanging="668"/>
                              <w:jc w:val="both"/>
                              <w:rPr>
                                <w:rFonts w:ascii="標楷體" w:eastAsia="標楷體" w:hAnsi="標楷體"/>
                                <w:b/>
                                <w:color w:val="000000"/>
                              </w:rPr>
                            </w:pPr>
                            <w:r>
                              <w:rPr>
                                <w:rFonts w:ascii="標楷體" w:eastAsia="標楷體" w:hAnsi="標楷體" w:hint="eastAsia"/>
                                <w:b/>
                                <w:color w:val="000000"/>
                              </w:rPr>
                              <w:t xml:space="preserve">表2　</w:t>
                            </w:r>
                            <w:proofErr w:type="gramStart"/>
                            <w:r>
                              <w:rPr>
                                <w:rFonts w:ascii="標楷體" w:eastAsia="標楷體" w:hAnsi="標楷體" w:hint="eastAsia"/>
                                <w:b/>
                                <w:color w:val="000000"/>
                              </w:rPr>
                              <w:t>臺</w:t>
                            </w:r>
                            <w:proofErr w:type="gramEnd"/>
                            <w:r>
                              <w:rPr>
                                <w:rFonts w:ascii="標楷體" w:eastAsia="標楷體" w:hAnsi="標楷體" w:hint="eastAsia"/>
                                <w:b/>
                                <w:color w:val="000000"/>
                              </w:rPr>
                              <w:t>北捷運113年1至8月受理案件數居前10</w:t>
                            </w:r>
                            <w:proofErr w:type="gramStart"/>
                            <w:r>
                              <w:rPr>
                                <w:rFonts w:ascii="標楷體" w:eastAsia="標楷體" w:hAnsi="標楷體" w:hint="eastAsia"/>
                                <w:b/>
                                <w:color w:val="000000"/>
                              </w:rPr>
                              <w:t>大站體之</w:t>
                            </w:r>
                            <w:proofErr w:type="gramEnd"/>
                            <w:r>
                              <w:rPr>
                                <w:rFonts w:ascii="標楷體" w:eastAsia="標楷體" w:hAnsi="標楷體" w:hint="eastAsia"/>
                                <w:b/>
                                <w:color w:val="000000"/>
                              </w:rPr>
                              <w:t>巡邏及守望勤務規劃情形</w:t>
                            </w:r>
                          </w:p>
                        </w:tc>
                      </w:tr>
                      <w:tr w:rsidR="006723F8" w14:paraId="5399E7C0" w14:textId="77777777" w:rsidTr="00824CD6">
                        <w:trPr>
                          <w:trHeight w:val="227"/>
                        </w:trPr>
                        <w:tc>
                          <w:tcPr>
                            <w:tcW w:w="5634" w:type="dxa"/>
                            <w:gridSpan w:val="7"/>
                            <w:tcBorders>
                              <w:top w:val="nil"/>
                              <w:left w:val="nil"/>
                              <w:bottom w:val="single" w:sz="4" w:space="0" w:color="auto"/>
                              <w:right w:val="nil"/>
                            </w:tcBorders>
                            <w:noWrap/>
                            <w:vAlign w:val="center"/>
                            <w:hideMark/>
                          </w:tcPr>
                          <w:p w14:paraId="5CC38388" w14:textId="77777777" w:rsidR="006723F8" w:rsidRPr="006A7F0C" w:rsidRDefault="006723F8" w:rsidP="006723F8">
                            <w:pPr>
                              <w:spacing w:line="240" w:lineRule="exact"/>
                              <w:jc w:val="right"/>
                              <w:rPr>
                                <w:rFonts w:ascii="標楷體" w:eastAsia="標楷體" w:hAnsi="標楷體"/>
                                <w:color w:val="000000"/>
                                <w:sz w:val="20"/>
                                <w:szCs w:val="20"/>
                              </w:rPr>
                            </w:pPr>
                            <w:r w:rsidRPr="006A7F0C">
                              <w:rPr>
                                <w:rFonts w:ascii="標楷體" w:eastAsia="標楷體" w:hAnsi="標楷體" w:hint="eastAsia"/>
                                <w:color w:val="000000"/>
                                <w:sz w:val="20"/>
                                <w:szCs w:val="20"/>
                              </w:rPr>
                              <w:t>單位：件</w:t>
                            </w:r>
                          </w:p>
                        </w:tc>
                      </w:tr>
                      <w:tr w:rsidR="006723F8" w14:paraId="7ACDAF0E" w14:textId="77777777" w:rsidTr="00824CD6">
                        <w:trPr>
                          <w:trHeight w:val="284"/>
                        </w:trPr>
                        <w:tc>
                          <w:tcPr>
                            <w:tcW w:w="1134" w:type="dxa"/>
                            <w:vMerge w:val="restart"/>
                            <w:tcBorders>
                              <w:top w:val="nil"/>
                              <w:left w:val="single" w:sz="4" w:space="0" w:color="auto"/>
                              <w:bottom w:val="single" w:sz="4" w:space="0" w:color="auto"/>
                              <w:right w:val="single" w:sz="4" w:space="0" w:color="auto"/>
                            </w:tcBorders>
                            <w:noWrap/>
                            <w:vAlign w:val="center"/>
                            <w:hideMark/>
                          </w:tcPr>
                          <w:p w14:paraId="525C92E8" w14:textId="77777777" w:rsidR="006723F8" w:rsidRDefault="006723F8" w:rsidP="006723F8">
                            <w:pPr>
                              <w:spacing w:line="260" w:lineRule="exact"/>
                              <w:jc w:val="center"/>
                              <w:rPr>
                                <w:rFonts w:ascii="標楷體" w:eastAsia="標楷體" w:hAnsi="標楷體"/>
                                <w:color w:val="000000"/>
                                <w:sz w:val="20"/>
                                <w:szCs w:val="20"/>
                              </w:rPr>
                            </w:pPr>
                            <w:proofErr w:type="gramStart"/>
                            <w:r>
                              <w:rPr>
                                <w:rFonts w:ascii="標楷體" w:eastAsia="標楷體" w:hAnsi="標楷體" w:hint="eastAsia"/>
                                <w:color w:val="000000"/>
                                <w:sz w:val="20"/>
                                <w:szCs w:val="20"/>
                              </w:rPr>
                              <w:t>站體名稱</w:t>
                            </w:r>
                            <w:proofErr w:type="gramEnd"/>
                          </w:p>
                        </w:tc>
                        <w:tc>
                          <w:tcPr>
                            <w:tcW w:w="1316" w:type="dxa"/>
                            <w:gridSpan w:val="2"/>
                            <w:tcBorders>
                              <w:top w:val="single" w:sz="4" w:space="0" w:color="auto"/>
                              <w:left w:val="nil"/>
                              <w:bottom w:val="single" w:sz="4" w:space="0" w:color="auto"/>
                              <w:right w:val="single" w:sz="4" w:space="0" w:color="auto"/>
                            </w:tcBorders>
                            <w:noWrap/>
                            <w:vAlign w:val="center"/>
                            <w:hideMark/>
                          </w:tcPr>
                          <w:p w14:paraId="447CA62C"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受理案件</w:t>
                            </w:r>
                          </w:p>
                        </w:tc>
                        <w:tc>
                          <w:tcPr>
                            <w:tcW w:w="3184" w:type="dxa"/>
                            <w:gridSpan w:val="4"/>
                            <w:tcBorders>
                              <w:top w:val="single" w:sz="4" w:space="0" w:color="auto"/>
                              <w:left w:val="nil"/>
                              <w:bottom w:val="single" w:sz="4" w:space="0" w:color="auto"/>
                              <w:right w:val="single" w:sz="4" w:space="0" w:color="auto"/>
                            </w:tcBorders>
                            <w:noWrap/>
                            <w:vAlign w:val="center"/>
                            <w:hideMark/>
                          </w:tcPr>
                          <w:p w14:paraId="7CFFC24B"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排定勤務次數</w:t>
                            </w:r>
                          </w:p>
                        </w:tc>
                      </w:tr>
                      <w:tr w:rsidR="006723F8" w14:paraId="47F29687" w14:textId="77777777" w:rsidTr="00824CD6">
                        <w:trPr>
                          <w:trHeight w:val="284"/>
                        </w:trPr>
                        <w:tc>
                          <w:tcPr>
                            <w:tcW w:w="0" w:type="auto"/>
                            <w:vMerge/>
                            <w:tcBorders>
                              <w:top w:val="nil"/>
                              <w:left w:val="single" w:sz="4" w:space="0" w:color="auto"/>
                              <w:bottom w:val="single" w:sz="4" w:space="0" w:color="auto"/>
                              <w:right w:val="single" w:sz="4" w:space="0" w:color="auto"/>
                            </w:tcBorders>
                            <w:vAlign w:val="center"/>
                            <w:hideMark/>
                          </w:tcPr>
                          <w:p w14:paraId="3FC19702" w14:textId="77777777" w:rsidR="006723F8" w:rsidRDefault="006723F8" w:rsidP="006723F8">
                            <w:pPr>
                              <w:widowControl/>
                              <w:rPr>
                                <w:rFonts w:ascii="標楷體" w:eastAsia="標楷體" w:hAnsi="標楷體"/>
                                <w:color w:val="000000"/>
                                <w:sz w:val="20"/>
                                <w:szCs w:val="20"/>
                              </w:rPr>
                            </w:pPr>
                          </w:p>
                        </w:tc>
                        <w:tc>
                          <w:tcPr>
                            <w:tcW w:w="700" w:type="dxa"/>
                            <w:tcBorders>
                              <w:top w:val="nil"/>
                              <w:left w:val="nil"/>
                              <w:bottom w:val="single" w:sz="4" w:space="0" w:color="auto"/>
                              <w:right w:val="single" w:sz="4" w:space="0" w:color="auto"/>
                            </w:tcBorders>
                            <w:vAlign w:val="center"/>
                            <w:hideMark/>
                          </w:tcPr>
                          <w:p w14:paraId="00CB095D"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案件數</w:t>
                            </w:r>
                          </w:p>
                        </w:tc>
                        <w:tc>
                          <w:tcPr>
                            <w:tcW w:w="616" w:type="dxa"/>
                            <w:tcBorders>
                              <w:top w:val="nil"/>
                              <w:left w:val="nil"/>
                              <w:bottom w:val="single" w:sz="4" w:space="0" w:color="auto"/>
                              <w:right w:val="single" w:sz="4" w:space="0" w:color="auto"/>
                            </w:tcBorders>
                            <w:vAlign w:val="center"/>
                            <w:hideMark/>
                          </w:tcPr>
                          <w:p w14:paraId="0832DBE7"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排名</w:t>
                            </w:r>
                          </w:p>
                        </w:tc>
                        <w:tc>
                          <w:tcPr>
                            <w:tcW w:w="952" w:type="dxa"/>
                            <w:tcBorders>
                              <w:top w:val="nil"/>
                              <w:left w:val="nil"/>
                              <w:bottom w:val="single" w:sz="4" w:space="0" w:color="auto"/>
                              <w:right w:val="single" w:sz="4" w:space="0" w:color="auto"/>
                            </w:tcBorders>
                            <w:vAlign w:val="center"/>
                            <w:hideMark/>
                          </w:tcPr>
                          <w:p w14:paraId="222AD95B" w14:textId="77777777" w:rsidR="006723F8" w:rsidRDefault="006723F8" w:rsidP="006723F8">
                            <w:pPr>
                              <w:spacing w:line="260" w:lineRule="exact"/>
                              <w:jc w:val="center"/>
                              <w:rPr>
                                <w:rFonts w:ascii="標楷體" w:eastAsia="標楷體" w:hAnsi="標楷體"/>
                                <w:color w:val="000000"/>
                                <w:spacing w:val="4"/>
                                <w:sz w:val="20"/>
                                <w:szCs w:val="20"/>
                              </w:rPr>
                            </w:pPr>
                            <w:r>
                              <w:rPr>
                                <w:rFonts w:ascii="標楷體" w:eastAsia="標楷體" w:hAnsi="標楷體" w:hint="eastAsia"/>
                                <w:color w:val="000000"/>
                                <w:spacing w:val="4"/>
                                <w:sz w:val="20"/>
                                <w:szCs w:val="20"/>
                              </w:rPr>
                              <w:t>巡邏勤務</w:t>
                            </w:r>
                          </w:p>
                        </w:tc>
                        <w:tc>
                          <w:tcPr>
                            <w:tcW w:w="923" w:type="dxa"/>
                            <w:tcBorders>
                              <w:top w:val="nil"/>
                              <w:left w:val="nil"/>
                              <w:bottom w:val="single" w:sz="4" w:space="0" w:color="auto"/>
                              <w:right w:val="single" w:sz="4" w:space="0" w:color="auto"/>
                            </w:tcBorders>
                            <w:vAlign w:val="center"/>
                            <w:hideMark/>
                          </w:tcPr>
                          <w:p w14:paraId="60E12C05" w14:textId="77777777" w:rsidR="006723F8" w:rsidRDefault="006723F8" w:rsidP="006723F8">
                            <w:pPr>
                              <w:spacing w:line="260" w:lineRule="exact"/>
                              <w:jc w:val="center"/>
                              <w:rPr>
                                <w:rFonts w:ascii="標楷體" w:eastAsia="標楷體" w:hAnsi="標楷體"/>
                                <w:color w:val="000000"/>
                                <w:spacing w:val="4"/>
                                <w:sz w:val="20"/>
                                <w:szCs w:val="20"/>
                              </w:rPr>
                            </w:pPr>
                            <w:r>
                              <w:rPr>
                                <w:rFonts w:ascii="標楷體" w:eastAsia="標楷體" w:hAnsi="標楷體" w:hint="eastAsia"/>
                                <w:color w:val="000000"/>
                                <w:spacing w:val="4"/>
                                <w:sz w:val="20"/>
                                <w:szCs w:val="20"/>
                              </w:rPr>
                              <w:t>守望勤務</w:t>
                            </w:r>
                          </w:p>
                        </w:tc>
                        <w:tc>
                          <w:tcPr>
                            <w:tcW w:w="708" w:type="dxa"/>
                            <w:tcBorders>
                              <w:top w:val="nil"/>
                              <w:left w:val="nil"/>
                              <w:bottom w:val="single" w:sz="4" w:space="0" w:color="auto"/>
                              <w:right w:val="single" w:sz="4" w:space="0" w:color="auto"/>
                            </w:tcBorders>
                            <w:vAlign w:val="center"/>
                            <w:hideMark/>
                          </w:tcPr>
                          <w:p w14:paraId="3962A79A"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合計</w:t>
                            </w:r>
                          </w:p>
                        </w:tc>
                        <w:tc>
                          <w:tcPr>
                            <w:tcW w:w="601" w:type="dxa"/>
                            <w:tcBorders>
                              <w:top w:val="nil"/>
                              <w:left w:val="nil"/>
                              <w:bottom w:val="single" w:sz="4" w:space="0" w:color="auto"/>
                              <w:right w:val="single" w:sz="4" w:space="0" w:color="auto"/>
                            </w:tcBorders>
                            <w:vAlign w:val="center"/>
                            <w:hideMark/>
                          </w:tcPr>
                          <w:p w14:paraId="18C490C5" w14:textId="77777777" w:rsidR="006723F8" w:rsidRDefault="006723F8" w:rsidP="006723F8">
                            <w:pPr>
                              <w:spacing w:line="260" w:lineRule="exact"/>
                              <w:jc w:val="center"/>
                              <w:rPr>
                                <w:rFonts w:ascii="標楷體" w:eastAsia="標楷體" w:hAnsi="標楷體"/>
                                <w:color w:val="000000"/>
                                <w:sz w:val="20"/>
                                <w:szCs w:val="20"/>
                              </w:rPr>
                            </w:pPr>
                            <w:r>
                              <w:rPr>
                                <w:rFonts w:ascii="標楷體" w:eastAsia="標楷體" w:hAnsi="標楷體" w:hint="eastAsia"/>
                                <w:color w:val="000000"/>
                                <w:sz w:val="20"/>
                                <w:szCs w:val="20"/>
                              </w:rPr>
                              <w:t>排名</w:t>
                            </w:r>
                          </w:p>
                        </w:tc>
                      </w:tr>
                      <w:tr w:rsidR="006723F8" w14:paraId="2AC9CC63"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4085A564" w14:textId="77777777" w:rsidR="006723F8" w:rsidRDefault="006723F8" w:rsidP="006723F8">
                            <w:pPr>
                              <w:rPr>
                                <w:rFonts w:ascii="標楷體" w:eastAsia="標楷體" w:hAnsi="標楷體"/>
                                <w:b/>
                                <w:bCs/>
                                <w:sz w:val="20"/>
                                <w:szCs w:val="20"/>
                              </w:rPr>
                            </w:pPr>
                            <w:proofErr w:type="gramStart"/>
                            <w:r>
                              <w:rPr>
                                <w:rFonts w:ascii="標楷體" w:eastAsia="標楷體" w:hAnsi="標楷體" w:hint="eastAsia"/>
                                <w:b/>
                                <w:bCs/>
                                <w:sz w:val="20"/>
                                <w:szCs w:val="20"/>
                              </w:rPr>
                              <w:t>臺</w:t>
                            </w:r>
                            <w:proofErr w:type="gramEnd"/>
                            <w:r>
                              <w:rPr>
                                <w:rFonts w:ascii="標楷體" w:eastAsia="標楷體" w:hAnsi="標楷體" w:hint="eastAsia"/>
                                <w:b/>
                                <w:bCs/>
                                <w:sz w:val="20"/>
                                <w:szCs w:val="20"/>
                              </w:rPr>
                              <w:t>北車站</w:t>
                            </w:r>
                          </w:p>
                        </w:tc>
                        <w:tc>
                          <w:tcPr>
                            <w:tcW w:w="700" w:type="dxa"/>
                            <w:tcBorders>
                              <w:top w:val="nil"/>
                              <w:left w:val="nil"/>
                              <w:bottom w:val="single" w:sz="4" w:space="0" w:color="auto"/>
                              <w:right w:val="single" w:sz="4" w:space="0" w:color="auto"/>
                            </w:tcBorders>
                            <w:noWrap/>
                            <w:vAlign w:val="center"/>
                            <w:hideMark/>
                          </w:tcPr>
                          <w:p w14:paraId="6226B9D4" w14:textId="77777777" w:rsidR="006723F8" w:rsidRDefault="006723F8" w:rsidP="006723F8">
                            <w:pPr>
                              <w:ind w:rightChars="20" w:right="48"/>
                              <w:jc w:val="right"/>
                              <w:rPr>
                                <w:rFonts w:ascii="標楷體" w:eastAsia="標楷體" w:hAnsi="標楷體"/>
                                <w:b/>
                                <w:bCs/>
                                <w:color w:val="000000"/>
                                <w:sz w:val="20"/>
                                <w:szCs w:val="20"/>
                              </w:rPr>
                            </w:pPr>
                            <w:r>
                              <w:rPr>
                                <w:rFonts w:ascii="標楷體" w:eastAsia="標楷體" w:hAnsi="標楷體" w:hint="eastAsia"/>
                                <w:b/>
                                <w:bCs/>
                                <w:color w:val="000000"/>
                                <w:sz w:val="20"/>
                                <w:szCs w:val="20"/>
                              </w:rPr>
                              <w:t>383</w:t>
                            </w:r>
                          </w:p>
                        </w:tc>
                        <w:tc>
                          <w:tcPr>
                            <w:tcW w:w="616" w:type="dxa"/>
                            <w:tcBorders>
                              <w:top w:val="nil"/>
                              <w:left w:val="nil"/>
                              <w:bottom w:val="single" w:sz="4" w:space="0" w:color="auto"/>
                              <w:right w:val="single" w:sz="4" w:space="0" w:color="auto"/>
                            </w:tcBorders>
                            <w:noWrap/>
                            <w:vAlign w:val="center"/>
                            <w:hideMark/>
                          </w:tcPr>
                          <w:p w14:paraId="02B3E551" w14:textId="77777777" w:rsidR="006723F8" w:rsidRDefault="006723F8" w:rsidP="006723F8">
                            <w:pPr>
                              <w:jc w:val="center"/>
                              <w:rPr>
                                <w:rFonts w:ascii="標楷體" w:eastAsia="標楷體" w:hAnsi="標楷體"/>
                                <w:b/>
                                <w:bCs/>
                                <w:color w:val="000000"/>
                                <w:sz w:val="20"/>
                                <w:szCs w:val="20"/>
                              </w:rPr>
                            </w:pPr>
                            <w:r>
                              <w:rPr>
                                <w:rFonts w:ascii="標楷體" w:eastAsia="標楷體" w:hAnsi="標楷體" w:hint="eastAsia"/>
                                <w:b/>
                                <w:bCs/>
                                <w:color w:val="000000"/>
                                <w:sz w:val="20"/>
                                <w:szCs w:val="20"/>
                              </w:rPr>
                              <w:t>1</w:t>
                            </w:r>
                          </w:p>
                        </w:tc>
                        <w:tc>
                          <w:tcPr>
                            <w:tcW w:w="952" w:type="dxa"/>
                            <w:tcBorders>
                              <w:top w:val="nil"/>
                              <w:left w:val="nil"/>
                              <w:bottom w:val="single" w:sz="4" w:space="0" w:color="auto"/>
                              <w:right w:val="single" w:sz="4" w:space="0" w:color="auto"/>
                            </w:tcBorders>
                            <w:noWrap/>
                            <w:vAlign w:val="center"/>
                            <w:hideMark/>
                          </w:tcPr>
                          <w:p w14:paraId="4A710C19" w14:textId="77777777" w:rsidR="006723F8" w:rsidRDefault="006723F8" w:rsidP="006723F8">
                            <w:pPr>
                              <w:ind w:rightChars="20" w:right="48"/>
                              <w:jc w:val="right"/>
                              <w:rPr>
                                <w:rFonts w:ascii="標楷體" w:eastAsia="標楷體" w:hAnsi="標楷體"/>
                                <w:bCs/>
                                <w:sz w:val="20"/>
                                <w:szCs w:val="20"/>
                              </w:rPr>
                            </w:pPr>
                            <w:r>
                              <w:rPr>
                                <w:rFonts w:ascii="標楷體" w:eastAsia="標楷體" w:hAnsi="標楷體" w:hint="eastAsia"/>
                                <w:bCs/>
                                <w:sz w:val="20"/>
                                <w:szCs w:val="20"/>
                              </w:rPr>
                              <w:t>316</w:t>
                            </w:r>
                          </w:p>
                        </w:tc>
                        <w:tc>
                          <w:tcPr>
                            <w:tcW w:w="923" w:type="dxa"/>
                            <w:tcBorders>
                              <w:top w:val="nil"/>
                              <w:left w:val="nil"/>
                              <w:bottom w:val="single" w:sz="4" w:space="0" w:color="auto"/>
                              <w:right w:val="single" w:sz="4" w:space="0" w:color="auto"/>
                            </w:tcBorders>
                            <w:noWrap/>
                            <w:vAlign w:val="center"/>
                            <w:hideMark/>
                          </w:tcPr>
                          <w:p w14:paraId="6DE9F359"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1,764</w:t>
                            </w:r>
                          </w:p>
                        </w:tc>
                        <w:tc>
                          <w:tcPr>
                            <w:tcW w:w="708" w:type="dxa"/>
                            <w:tcBorders>
                              <w:top w:val="nil"/>
                              <w:left w:val="nil"/>
                              <w:bottom w:val="single" w:sz="4" w:space="0" w:color="auto"/>
                              <w:right w:val="single" w:sz="4" w:space="0" w:color="auto"/>
                            </w:tcBorders>
                            <w:noWrap/>
                            <w:vAlign w:val="center"/>
                            <w:hideMark/>
                          </w:tcPr>
                          <w:p w14:paraId="43298D20" w14:textId="77777777" w:rsidR="006723F8" w:rsidRDefault="006723F8" w:rsidP="006723F8">
                            <w:pPr>
                              <w:ind w:rightChars="20" w:right="48"/>
                              <w:jc w:val="right"/>
                              <w:rPr>
                                <w:rFonts w:ascii="標楷體" w:eastAsia="標楷體" w:hAnsi="標楷體"/>
                                <w:b/>
                                <w:sz w:val="20"/>
                                <w:szCs w:val="20"/>
                              </w:rPr>
                            </w:pPr>
                            <w:r>
                              <w:rPr>
                                <w:rFonts w:ascii="標楷體" w:eastAsia="標楷體" w:hAnsi="標楷體" w:hint="eastAsia"/>
                                <w:b/>
                                <w:sz w:val="20"/>
                                <w:szCs w:val="20"/>
                              </w:rPr>
                              <w:t>2,080</w:t>
                            </w:r>
                          </w:p>
                        </w:tc>
                        <w:tc>
                          <w:tcPr>
                            <w:tcW w:w="601" w:type="dxa"/>
                            <w:tcBorders>
                              <w:top w:val="nil"/>
                              <w:left w:val="nil"/>
                              <w:bottom w:val="single" w:sz="4" w:space="0" w:color="auto"/>
                              <w:right w:val="single" w:sz="4" w:space="0" w:color="auto"/>
                            </w:tcBorders>
                            <w:noWrap/>
                            <w:vAlign w:val="center"/>
                            <w:hideMark/>
                          </w:tcPr>
                          <w:p w14:paraId="2C17DEC4" w14:textId="77777777" w:rsidR="006723F8" w:rsidRDefault="006723F8" w:rsidP="006723F8">
                            <w:pPr>
                              <w:jc w:val="center"/>
                              <w:rPr>
                                <w:rFonts w:ascii="標楷體" w:eastAsia="標楷體" w:hAnsi="標楷體"/>
                                <w:sz w:val="20"/>
                                <w:szCs w:val="20"/>
                              </w:rPr>
                            </w:pPr>
                            <w:r>
                              <w:rPr>
                                <w:rFonts w:ascii="標楷體" w:eastAsia="標楷體" w:hAnsi="標楷體" w:hint="eastAsia"/>
                                <w:sz w:val="20"/>
                                <w:szCs w:val="20"/>
                              </w:rPr>
                              <w:t>9</w:t>
                            </w:r>
                          </w:p>
                        </w:tc>
                      </w:tr>
                      <w:tr w:rsidR="006723F8" w14:paraId="58A8CEAF"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1AB2BADF" w14:textId="77777777" w:rsidR="006723F8" w:rsidRDefault="006723F8" w:rsidP="006723F8">
                            <w:pPr>
                              <w:rPr>
                                <w:rFonts w:ascii="標楷體" w:eastAsia="標楷體" w:hAnsi="標楷體"/>
                                <w:b/>
                                <w:bCs/>
                                <w:color w:val="000000"/>
                                <w:sz w:val="20"/>
                                <w:szCs w:val="20"/>
                              </w:rPr>
                            </w:pPr>
                            <w:r>
                              <w:rPr>
                                <w:rFonts w:ascii="標楷體" w:eastAsia="標楷體" w:hAnsi="標楷體" w:hint="eastAsia"/>
                                <w:b/>
                                <w:bCs/>
                                <w:color w:val="000000"/>
                                <w:sz w:val="20"/>
                                <w:szCs w:val="20"/>
                              </w:rPr>
                              <w:t>淡水站</w:t>
                            </w:r>
                          </w:p>
                        </w:tc>
                        <w:tc>
                          <w:tcPr>
                            <w:tcW w:w="700" w:type="dxa"/>
                            <w:tcBorders>
                              <w:top w:val="nil"/>
                              <w:left w:val="nil"/>
                              <w:bottom w:val="single" w:sz="4" w:space="0" w:color="auto"/>
                              <w:right w:val="single" w:sz="4" w:space="0" w:color="auto"/>
                            </w:tcBorders>
                            <w:noWrap/>
                            <w:vAlign w:val="center"/>
                            <w:hideMark/>
                          </w:tcPr>
                          <w:p w14:paraId="55B7CCBC" w14:textId="77777777" w:rsidR="006723F8" w:rsidRDefault="006723F8" w:rsidP="006723F8">
                            <w:pPr>
                              <w:ind w:rightChars="20" w:right="48"/>
                              <w:jc w:val="right"/>
                              <w:rPr>
                                <w:rFonts w:ascii="標楷體" w:eastAsia="標楷體" w:hAnsi="標楷體"/>
                                <w:b/>
                                <w:bCs/>
                                <w:color w:val="000000"/>
                                <w:sz w:val="20"/>
                                <w:szCs w:val="20"/>
                              </w:rPr>
                            </w:pPr>
                            <w:r>
                              <w:rPr>
                                <w:rFonts w:ascii="標楷體" w:eastAsia="標楷體" w:hAnsi="標楷體" w:hint="eastAsia"/>
                                <w:b/>
                                <w:bCs/>
                                <w:color w:val="000000"/>
                                <w:sz w:val="20"/>
                                <w:szCs w:val="20"/>
                              </w:rPr>
                              <w:t>184</w:t>
                            </w:r>
                          </w:p>
                        </w:tc>
                        <w:tc>
                          <w:tcPr>
                            <w:tcW w:w="616" w:type="dxa"/>
                            <w:tcBorders>
                              <w:top w:val="nil"/>
                              <w:left w:val="nil"/>
                              <w:bottom w:val="single" w:sz="4" w:space="0" w:color="auto"/>
                              <w:right w:val="single" w:sz="4" w:space="0" w:color="auto"/>
                            </w:tcBorders>
                            <w:noWrap/>
                            <w:vAlign w:val="center"/>
                            <w:hideMark/>
                          </w:tcPr>
                          <w:p w14:paraId="07362C54" w14:textId="77777777" w:rsidR="006723F8" w:rsidRDefault="006723F8" w:rsidP="006723F8">
                            <w:pPr>
                              <w:jc w:val="center"/>
                              <w:rPr>
                                <w:rFonts w:ascii="標楷體" w:eastAsia="標楷體" w:hAnsi="標楷體"/>
                                <w:b/>
                                <w:bCs/>
                                <w:color w:val="000000"/>
                                <w:sz w:val="20"/>
                                <w:szCs w:val="20"/>
                              </w:rPr>
                            </w:pPr>
                            <w:r>
                              <w:rPr>
                                <w:rFonts w:ascii="標楷體" w:eastAsia="標楷體" w:hAnsi="標楷體" w:hint="eastAsia"/>
                                <w:b/>
                                <w:bCs/>
                                <w:color w:val="000000"/>
                                <w:sz w:val="20"/>
                                <w:szCs w:val="20"/>
                              </w:rPr>
                              <w:t>2</w:t>
                            </w:r>
                          </w:p>
                        </w:tc>
                        <w:tc>
                          <w:tcPr>
                            <w:tcW w:w="952" w:type="dxa"/>
                            <w:tcBorders>
                              <w:top w:val="nil"/>
                              <w:left w:val="nil"/>
                              <w:bottom w:val="single" w:sz="4" w:space="0" w:color="auto"/>
                              <w:right w:val="single" w:sz="4" w:space="0" w:color="auto"/>
                            </w:tcBorders>
                            <w:noWrap/>
                            <w:vAlign w:val="center"/>
                            <w:hideMark/>
                          </w:tcPr>
                          <w:p w14:paraId="444F58CC" w14:textId="77777777" w:rsidR="006723F8" w:rsidRDefault="006723F8" w:rsidP="006723F8">
                            <w:pPr>
                              <w:ind w:rightChars="20" w:right="48"/>
                              <w:jc w:val="right"/>
                              <w:rPr>
                                <w:rFonts w:ascii="標楷體" w:eastAsia="標楷體" w:hAnsi="標楷體"/>
                                <w:bCs/>
                                <w:color w:val="000000"/>
                                <w:sz w:val="20"/>
                                <w:szCs w:val="20"/>
                              </w:rPr>
                            </w:pPr>
                            <w:r>
                              <w:rPr>
                                <w:rFonts w:ascii="標楷體" w:eastAsia="標楷體" w:hAnsi="標楷體" w:hint="eastAsia"/>
                                <w:bCs/>
                                <w:color w:val="000000"/>
                                <w:sz w:val="20"/>
                                <w:szCs w:val="20"/>
                              </w:rPr>
                              <w:t>1,230</w:t>
                            </w:r>
                          </w:p>
                        </w:tc>
                        <w:tc>
                          <w:tcPr>
                            <w:tcW w:w="923" w:type="dxa"/>
                            <w:tcBorders>
                              <w:top w:val="nil"/>
                              <w:left w:val="nil"/>
                              <w:bottom w:val="single" w:sz="4" w:space="0" w:color="auto"/>
                              <w:right w:val="single" w:sz="4" w:space="0" w:color="auto"/>
                            </w:tcBorders>
                            <w:noWrap/>
                            <w:vAlign w:val="center"/>
                            <w:hideMark/>
                          </w:tcPr>
                          <w:p w14:paraId="330E727C"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p>
                        </w:tc>
                        <w:tc>
                          <w:tcPr>
                            <w:tcW w:w="708" w:type="dxa"/>
                            <w:tcBorders>
                              <w:top w:val="nil"/>
                              <w:left w:val="nil"/>
                              <w:bottom w:val="single" w:sz="4" w:space="0" w:color="auto"/>
                              <w:right w:val="single" w:sz="4" w:space="0" w:color="auto"/>
                            </w:tcBorders>
                            <w:noWrap/>
                            <w:vAlign w:val="center"/>
                            <w:hideMark/>
                          </w:tcPr>
                          <w:p w14:paraId="4C4AD9DC" w14:textId="77777777" w:rsidR="006723F8" w:rsidRDefault="006723F8" w:rsidP="006723F8">
                            <w:pPr>
                              <w:ind w:rightChars="20" w:right="48"/>
                              <w:jc w:val="right"/>
                              <w:rPr>
                                <w:rFonts w:ascii="標楷體" w:eastAsia="標楷體" w:hAnsi="標楷體"/>
                                <w:b/>
                                <w:color w:val="000000"/>
                                <w:sz w:val="20"/>
                                <w:szCs w:val="20"/>
                              </w:rPr>
                            </w:pPr>
                            <w:r>
                              <w:rPr>
                                <w:rFonts w:ascii="標楷體" w:eastAsia="標楷體" w:hAnsi="標楷體" w:hint="eastAsia"/>
                                <w:b/>
                                <w:color w:val="000000"/>
                                <w:sz w:val="20"/>
                                <w:szCs w:val="20"/>
                              </w:rPr>
                              <w:t>1,230</w:t>
                            </w:r>
                          </w:p>
                        </w:tc>
                        <w:tc>
                          <w:tcPr>
                            <w:tcW w:w="601" w:type="dxa"/>
                            <w:tcBorders>
                              <w:top w:val="nil"/>
                              <w:left w:val="nil"/>
                              <w:bottom w:val="single" w:sz="4" w:space="0" w:color="auto"/>
                              <w:right w:val="single" w:sz="4" w:space="0" w:color="auto"/>
                            </w:tcBorders>
                            <w:noWrap/>
                            <w:vAlign w:val="center"/>
                            <w:hideMark/>
                          </w:tcPr>
                          <w:p w14:paraId="6E94AC74"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23</w:t>
                            </w:r>
                          </w:p>
                        </w:tc>
                      </w:tr>
                      <w:tr w:rsidR="006723F8" w14:paraId="52B897DE"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5F0DE2D1" w14:textId="77777777" w:rsidR="006723F8" w:rsidRDefault="006723F8" w:rsidP="006723F8">
                            <w:pPr>
                              <w:rPr>
                                <w:rFonts w:ascii="標楷體" w:eastAsia="標楷體" w:hAnsi="標楷體"/>
                                <w:b/>
                                <w:bCs/>
                                <w:sz w:val="20"/>
                                <w:szCs w:val="20"/>
                              </w:rPr>
                            </w:pPr>
                            <w:r>
                              <w:rPr>
                                <w:rFonts w:ascii="標楷體" w:eastAsia="標楷體" w:hAnsi="標楷體" w:hint="eastAsia"/>
                                <w:b/>
                                <w:bCs/>
                                <w:sz w:val="20"/>
                                <w:szCs w:val="20"/>
                              </w:rPr>
                              <w:t>西門站</w:t>
                            </w:r>
                          </w:p>
                        </w:tc>
                        <w:tc>
                          <w:tcPr>
                            <w:tcW w:w="700" w:type="dxa"/>
                            <w:tcBorders>
                              <w:top w:val="nil"/>
                              <w:left w:val="nil"/>
                              <w:bottom w:val="single" w:sz="4" w:space="0" w:color="auto"/>
                              <w:right w:val="single" w:sz="4" w:space="0" w:color="auto"/>
                            </w:tcBorders>
                            <w:noWrap/>
                            <w:vAlign w:val="center"/>
                            <w:hideMark/>
                          </w:tcPr>
                          <w:p w14:paraId="32C36490" w14:textId="77777777" w:rsidR="006723F8" w:rsidRDefault="006723F8" w:rsidP="006723F8">
                            <w:pPr>
                              <w:ind w:rightChars="20" w:right="48"/>
                              <w:jc w:val="right"/>
                              <w:rPr>
                                <w:rFonts w:ascii="標楷體" w:eastAsia="標楷體" w:hAnsi="標楷體"/>
                                <w:b/>
                                <w:bCs/>
                                <w:color w:val="000000"/>
                                <w:sz w:val="20"/>
                                <w:szCs w:val="20"/>
                              </w:rPr>
                            </w:pPr>
                            <w:r>
                              <w:rPr>
                                <w:rFonts w:ascii="標楷體" w:eastAsia="標楷體" w:hAnsi="標楷體" w:hint="eastAsia"/>
                                <w:b/>
                                <w:bCs/>
                                <w:color w:val="000000"/>
                                <w:sz w:val="20"/>
                                <w:szCs w:val="20"/>
                              </w:rPr>
                              <w:t>133</w:t>
                            </w:r>
                          </w:p>
                        </w:tc>
                        <w:tc>
                          <w:tcPr>
                            <w:tcW w:w="616" w:type="dxa"/>
                            <w:tcBorders>
                              <w:top w:val="nil"/>
                              <w:left w:val="nil"/>
                              <w:bottom w:val="single" w:sz="4" w:space="0" w:color="auto"/>
                              <w:right w:val="single" w:sz="4" w:space="0" w:color="auto"/>
                            </w:tcBorders>
                            <w:noWrap/>
                            <w:vAlign w:val="center"/>
                            <w:hideMark/>
                          </w:tcPr>
                          <w:p w14:paraId="0CF5ACBA" w14:textId="77777777" w:rsidR="006723F8" w:rsidRDefault="006723F8" w:rsidP="006723F8">
                            <w:pPr>
                              <w:jc w:val="center"/>
                              <w:rPr>
                                <w:rFonts w:ascii="標楷體" w:eastAsia="標楷體" w:hAnsi="標楷體"/>
                                <w:b/>
                                <w:bCs/>
                                <w:color w:val="000000"/>
                                <w:sz w:val="20"/>
                                <w:szCs w:val="20"/>
                              </w:rPr>
                            </w:pPr>
                            <w:r>
                              <w:rPr>
                                <w:rFonts w:ascii="標楷體" w:eastAsia="標楷體" w:hAnsi="標楷體" w:hint="eastAsia"/>
                                <w:b/>
                                <w:bCs/>
                                <w:color w:val="000000"/>
                                <w:sz w:val="20"/>
                                <w:szCs w:val="20"/>
                              </w:rPr>
                              <w:t>3</w:t>
                            </w:r>
                          </w:p>
                        </w:tc>
                        <w:tc>
                          <w:tcPr>
                            <w:tcW w:w="952" w:type="dxa"/>
                            <w:tcBorders>
                              <w:top w:val="nil"/>
                              <w:left w:val="nil"/>
                              <w:bottom w:val="single" w:sz="4" w:space="0" w:color="auto"/>
                              <w:right w:val="single" w:sz="4" w:space="0" w:color="auto"/>
                            </w:tcBorders>
                            <w:noWrap/>
                            <w:vAlign w:val="center"/>
                            <w:hideMark/>
                          </w:tcPr>
                          <w:p w14:paraId="47F008D4" w14:textId="77777777" w:rsidR="006723F8" w:rsidRDefault="006723F8" w:rsidP="006723F8">
                            <w:pPr>
                              <w:ind w:rightChars="20" w:right="48"/>
                              <w:jc w:val="right"/>
                              <w:rPr>
                                <w:rFonts w:ascii="標楷體" w:eastAsia="標楷體" w:hAnsi="標楷體"/>
                                <w:bCs/>
                                <w:sz w:val="20"/>
                                <w:szCs w:val="20"/>
                              </w:rPr>
                            </w:pPr>
                            <w:r>
                              <w:rPr>
                                <w:rFonts w:ascii="標楷體" w:eastAsia="標楷體" w:hAnsi="標楷體" w:hint="eastAsia"/>
                                <w:bCs/>
                                <w:sz w:val="20"/>
                                <w:szCs w:val="20"/>
                              </w:rPr>
                              <w:t>1,210</w:t>
                            </w:r>
                          </w:p>
                        </w:tc>
                        <w:tc>
                          <w:tcPr>
                            <w:tcW w:w="923" w:type="dxa"/>
                            <w:tcBorders>
                              <w:top w:val="nil"/>
                              <w:left w:val="nil"/>
                              <w:bottom w:val="single" w:sz="4" w:space="0" w:color="auto"/>
                              <w:right w:val="single" w:sz="4" w:space="0" w:color="auto"/>
                            </w:tcBorders>
                            <w:noWrap/>
                            <w:vAlign w:val="center"/>
                            <w:hideMark/>
                          </w:tcPr>
                          <w:p w14:paraId="5E8F7BC4"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1,694</w:t>
                            </w:r>
                          </w:p>
                        </w:tc>
                        <w:tc>
                          <w:tcPr>
                            <w:tcW w:w="708" w:type="dxa"/>
                            <w:tcBorders>
                              <w:top w:val="nil"/>
                              <w:left w:val="nil"/>
                              <w:bottom w:val="single" w:sz="4" w:space="0" w:color="auto"/>
                              <w:right w:val="single" w:sz="4" w:space="0" w:color="auto"/>
                            </w:tcBorders>
                            <w:noWrap/>
                            <w:vAlign w:val="center"/>
                            <w:hideMark/>
                          </w:tcPr>
                          <w:p w14:paraId="418BE45F" w14:textId="77777777" w:rsidR="006723F8" w:rsidRDefault="006723F8" w:rsidP="006723F8">
                            <w:pPr>
                              <w:ind w:rightChars="20" w:right="48"/>
                              <w:jc w:val="right"/>
                              <w:rPr>
                                <w:rFonts w:ascii="標楷體" w:eastAsia="標楷體" w:hAnsi="標楷體"/>
                                <w:b/>
                                <w:sz w:val="20"/>
                                <w:szCs w:val="20"/>
                              </w:rPr>
                            </w:pPr>
                            <w:r>
                              <w:rPr>
                                <w:rFonts w:ascii="標楷體" w:eastAsia="標楷體" w:hAnsi="標楷體" w:hint="eastAsia"/>
                                <w:b/>
                                <w:sz w:val="20"/>
                                <w:szCs w:val="20"/>
                              </w:rPr>
                              <w:t>2,904</w:t>
                            </w:r>
                          </w:p>
                        </w:tc>
                        <w:tc>
                          <w:tcPr>
                            <w:tcW w:w="601" w:type="dxa"/>
                            <w:tcBorders>
                              <w:top w:val="nil"/>
                              <w:left w:val="nil"/>
                              <w:bottom w:val="single" w:sz="4" w:space="0" w:color="auto"/>
                              <w:right w:val="single" w:sz="4" w:space="0" w:color="auto"/>
                            </w:tcBorders>
                            <w:noWrap/>
                            <w:vAlign w:val="center"/>
                            <w:hideMark/>
                          </w:tcPr>
                          <w:p w14:paraId="2EC4E602" w14:textId="77777777" w:rsidR="006723F8" w:rsidRDefault="006723F8" w:rsidP="006723F8">
                            <w:pPr>
                              <w:jc w:val="center"/>
                              <w:rPr>
                                <w:rFonts w:ascii="標楷體" w:eastAsia="標楷體" w:hAnsi="標楷體"/>
                                <w:sz w:val="20"/>
                                <w:szCs w:val="20"/>
                              </w:rPr>
                            </w:pPr>
                            <w:r>
                              <w:rPr>
                                <w:rFonts w:ascii="標楷體" w:eastAsia="標楷體" w:hAnsi="標楷體" w:hint="eastAsia"/>
                                <w:sz w:val="20"/>
                                <w:szCs w:val="20"/>
                              </w:rPr>
                              <w:t>6</w:t>
                            </w:r>
                          </w:p>
                        </w:tc>
                      </w:tr>
                      <w:tr w:rsidR="006723F8" w14:paraId="326E5758"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0EA701E2" w14:textId="77777777" w:rsidR="006723F8" w:rsidRDefault="006723F8" w:rsidP="006723F8">
                            <w:pPr>
                              <w:rPr>
                                <w:rFonts w:ascii="標楷體" w:eastAsia="標楷體" w:hAnsi="標楷體"/>
                                <w:b/>
                                <w:sz w:val="20"/>
                                <w:szCs w:val="20"/>
                              </w:rPr>
                            </w:pPr>
                            <w:r>
                              <w:rPr>
                                <w:rFonts w:ascii="標楷體" w:eastAsia="標楷體" w:hAnsi="標楷體" w:hint="eastAsia"/>
                                <w:b/>
                                <w:sz w:val="20"/>
                                <w:szCs w:val="20"/>
                              </w:rPr>
                              <w:t>中山站</w:t>
                            </w:r>
                          </w:p>
                        </w:tc>
                        <w:tc>
                          <w:tcPr>
                            <w:tcW w:w="700" w:type="dxa"/>
                            <w:tcBorders>
                              <w:top w:val="nil"/>
                              <w:left w:val="nil"/>
                              <w:bottom w:val="single" w:sz="4" w:space="0" w:color="auto"/>
                              <w:right w:val="single" w:sz="4" w:space="0" w:color="auto"/>
                            </w:tcBorders>
                            <w:noWrap/>
                            <w:vAlign w:val="center"/>
                            <w:hideMark/>
                          </w:tcPr>
                          <w:p w14:paraId="37FFF399" w14:textId="77777777" w:rsidR="006723F8" w:rsidRDefault="006723F8" w:rsidP="006723F8">
                            <w:pPr>
                              <w:ind w:rightChars="20" w:right="48"/>
                              <w:jc w:val="right"/>
                              <w:rPr>
                                <w:rFonts w:ascii="標楷體" w:eastAsia="標楷體" w:hAnsi="標楷體"/>
                                <w:b/>
                                <w:color w:val="000000"/>
                                <w:sz w:val="20"/>
                                <w:szCs w:val="20"/>
                              </w:rPr>
                            </w:pPr>
                            <w:r>
                              <w:rPr>
                                <w:rFonts w:ascii="標楷體" w:eastAsia="標楷體" w:hAnsi="標楷體" w:hint="eastAsia"/>
                                <w:b/>
                                <w:color w:val="000000"/>
                                <w:sz w:val="20"/>
                                <w:szCs w:val="20"/>
                              </w:rPr>
                              <w:t>125</w:t>
                            </w:r>
                          </w:p>
                        </w:tc>
                        <w:tc>
                          <w:tcPr>
                            <w:tcW w:w="616" w:type="dxa"/>
                            <w:tcBorders>
                              <w:top w:val="nil"/>
                              <w:left w:val="nil"/>
                              <w:bottom w:val="single" w:sz="4" w:space="0" w:color="auto"/>
                              <w:right w:val="single" w:sz="4" w:space="0" w:color="auto"/>
                            </w:tcBorders>
                            <w:noWrap/>
                            <w:vAlign w:val="center"/>
                            <w:hideMark/>
                          </w:tcPr>
                          <w:p w14:paraId="71310CC5" w14:textId="77777777" w:rsidR="006723F8" w:rsidRDefault="006723F8" w:rsidP="006723F8">
                            <w:pPr>
                              <w:jc w:val="center"/>
                              <w:rPr>
                                <w:rFonts w:ascii="標楷體" w:eastAsia="標楷體" w:hAnsi="標楷體"/>
                                <w:b/>
                                <w:color w:val="000000"/>
                                <w:sz w:val="20"/>
                                <w:szCs w:val="20"/>
                              </w:rPr>
                            </w:pPr>
                            <w:r>
                              <w:rPr>
                                <w:rFonts w:ascii="標楷體" w:eastAsia="標楷體" w:hAnsi="標楷體" w:hint="eastAsia"/>
                                <w:b/>
                                <w:color w:val="000000"/>
                                <w:sz w:val="20"/>
                                <w:szCs w:val="20"/>
                              </w:rPr>
                              <w:t>4</w:t>
                            </w:r>
                          </w:p>
                        </w:tc>
                        <w:tc>
                          <w:tcPr>
                            <w:tcW w:w="952" w:type="dxa"/>
                            <w:tcBorders>
                              <w:top w:val="nil"/>
                              <w:left w:val="nil"/>
                              <w:bottom w:val="single" w:sz="4" w:space="0" w:color="auto"/>
                              <w:right w:val="single" w:sz="4" w:space="0" w:color="auto"/>
                            </w:tcBorders>
                            <w:noWrap/>
                            <w:vAlign w:val="center"/>
                            <w:hideMark/>
                          </w:tcPr>
                          <w:p w14:paraId="01C3D9C1"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1,658</w:t>
                            </w:r>
                          </w:p>
                        </w:tc>
                        <w:tc>
                          <w:tcPr>
                            <w:tcW w:w="923" w:type="dxa"/>
                            <w:tcBorders>
                              <w:top w:val="nil"/>
                              <w:left w:val="nil"/>
                              <w:bottom w:val="single" w:sz="4" w:space="0" w:color="auto"/>
                              <w:right w:val="single" w:sz="4" w:space="0" w:color="auto"/>
                            </w:tcBorders>
                            <w:noWrap/>
                            <w:vAlign w:val="center"/>
                            <w:hideMark/>
                          </w:tcPr>
                          <w:p w14:paraId="51858213"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886</w:t>
                            </w:r>
                          </w:p>
                        </w:tc>
                        <w:tc>
                          <w:tcPr>
                            <w:tcW w:w="708" w:type="dxa"/>
                            <w:tcBorders>
                              <w:top w:val="nil"/>
                              <w:left w:val="nil"/>
                              <w:bottom w:val="single" w:sz="4" w:space="0" w:color="auto"/>
                              <w:right w:val="single" w:sz="4" w:space="0" w:color="auto"/>
                            </w:tcBorders>
                            <w:noWrap/>
                            <w:vAlign w:val="center"/>
                            <w:hideMark/>
                          </w:tcPr>
                          <w:p w14:paraId="09DBFF41" w14:textId="77777777" w:rsidR="006723F8" w:rsidRDefault="006723F8" w:rsidP="006723F8">
                            <w:pPr>
                              <w:ind w:rightChars="20" w:right="48"/>
                              <w:jc w:val="right"/>
                              <w:rPr>
                                <w:rFonts w:ascii="標楷體" w:eastAsia="標楷體" w:hAnsi="標楷體"/>
                                <w:b/>
                                <w:sz w:val="20"/>
                                <w:szCs w:val="20"/>
                              </w:rPr>
                            </w:pPr>
                            <w:r>
                              <w:rPr>
                                <w:rFonts w:ascii="標楷體" w:eastAsia="標楷體" w:hAnsi="標楷體" w:hint="eastAsia"/>
                                <w:b/>
                                <w:sz w:val="20"/>
                                <w:szCs w:val="20"/>
                              </w:rPr>
                              <w:t>2,544</w:t>
                            </w:r>
                          </w:p>
                        </w:tc>
                        <w:tc>
                          <w:tcPr>
                            <w:tcW w:w="601" w:type="dxa"/>
                            <w:tcBorders>
                              <w:top w:val="nil"/>
                              <w:left w:val="nil"/>
                              <w:bottom w:val="single" w:sz="4" w:space="0" w:color="auto"/>
                              <w:right w:val="single" w:sz="4" w:space="0" w:color="auto"/>
                            </w:tcBorders>
                            <w:noWrap/>
                            <w:vAlign w:val="center"/>
                            <w:hideMark/>
                          </w:tcPr>
                          <w:p w14:paraId="57DC1DC1" w14:textId="77777777" w:rsidR="006723F8" w:rsidRDefault="006723F8" w:rsidP="006723F8">
                            <w:pPr>
                              <w:jc w:val="center"/>
                              <w:rPr>
                                <w:rFonts w:ascii="標楷體" w:eastAsia="標楷體" w:hAnsi="標楷體"/>
                                <w:sz w:val="20"/>
                                <w:szCs w:val="20"/>
                              </w:rPr>
                            </w:pPr>
                            <w:r>
                              <w:rPr>
                                <w:rFonts w:ascii="標楷體" w:eastAsia="標楷體" w:hAnsi="標楷體" w:hint="eastAsia"/>
                                <w:sz w:val="20"/>
                                <w:szCs w:val="20"/>
                              </w:rPr>
                              <w:t>8</w:t>
                            </w:r>
                          </w:p>
                        </w:tc>
                      </w:tr>
                      <w:tr w:rsidR="006723F8" w14:paraId="62CD256F"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4E19A9D4" w14:textId="77777777" w:rsidR="006723F8" w:rsidRDefault="006723F8" w:rsidP="006723F8">
                            <w:pPr>
                              <w:rPr>
                                <w:rFonts w:ascii="標楷體" w:eastAsia="標楷體" w:hAnsi="標楷體"/>
                                <w:b/>
                                <w:bCs/>
                                <w:sz w:val="20"/>
                                <w:szCs w:val="20"/>
                              </w:rPr>
                            </w:pPr>
                            <w:r>
                              <w:rPr>
                                <w:rFonts w:ascii="標楷體" w:eastAsia="標楷體" w:hAnsi="標楷體" w:hint="eastAsia"/>
                                <w:b/>
                                <w:bCs/>
                                <w:sz w:val="20"/>
                                <w:szCs w:val="20"/>
                              </w:rPr>
                              <w:t>忠孝復興站</w:t>
                            </w:r>
                          </w:p>
                        </w:tc>
                        <w:tc>
                          <w:tcPr>
                            <w:tcW w:w="700" w:type="dxa"/>
                            <w:tcBorders>
                              <w:top w:val="nil"/>
                              <w:left w:val="nil"/>
                              <w:bottom w:val="single" w:sz="4" w:space="0" w:color="auto"/>
                              <w:right w:val="single" w:sz="4" w:space="0" w:color="auto"/>
                            </w:tcBorders>
                            <w:noWrap/>
                            <w:vAlign w:val="center"/>
                            <w:hideMark/>
                          </w:tcPr>
                          <w:p w14:paraId="49950235" w14:textId="77777777" w:rsidR="006723F8" w:rsidRDefault="006723F8" w:rsidP="006723F8">
                            <w:pPr>
                              <w:ind w:rightChars="20" w:right="48"/>
                              <w:jc w:val="right"/>
                              <w:rPr>
                                <w:rFonts w:ascii="標楷體" w:eastAsia="標楷體" w:hAnsi="標楷體"/>
                                <w:b/>
                                <w:color w:val="000000"/>
                                <w:sz w:val="20"/>
                                <w:szCs w:val="20"/>
                              </w:rPr>
                            </w:pPr>
                            <w:r>
                              <w:rPr>
                                <w:rFonts w:ascii="標楷體" w:eastAsia="標楷體" w:hAnsi="標楷體" w:hint="eastAsia"/>
                                <w:b/>
                                <w:color w:val="000000"/>
                                <w:sz w:val="20"/>
                                <w:szCs w:val="20"/>
                              </w:rPr>
                              <w:t>110</w:t>
                            </w:r>
                          </w:p>
                        </w:tc>
                        <w:tc>
                          <w:tcPr>
                            <w:tcW w:w="616" w:type="dxa"/>
                            <w:tcBorders>
                              <w:top w:val="nil"/>
                              <w:left w:val="nil"/>
                              <w:bottom w:val="single" w:sz="4" w:space="0" w:color="auto"/>
                              <w:right w:val="single" w:sz="4" w:space="0" w:color="auto"/>
                            </w:tcBorders>
                            <w:noWrap/>
                            <w:vAlign w:val="center"/>
                            <w:hideMark/>
                          </w:tcPr>
                          <w:p w14:paraId="74827D13" w14:textId="77777777" w:rsidR="006723F8" w:rsidRDefault="006723F8" w:rsidP="006723F8">
                            <w:pPr>
                              <w:jc w:val="center"/>
                              <w:rPr>
                                <w:rFonts w:ascii="標楷體" w:eastAsia="標楷體" w:hAnsi="標楷體"/>
                                <w:b/>
                                <w:color w:val="000000"/>
                                <w:sz w:val="20"/>
                                <w:szCs w:val="20"/>
                              </w:rPr>
                            </w:pPr>
                            <w:r>
                              <w:rPr>
                                <w:rFonts w:ascii="標楷體" w:eastAsia="標楷體" w:hAnsi="標楷體" w:hint="eastAsia"/>
                                <w:b/>
                                <w:color w:val="000000"/>
                                <w:sz w:val="20"/>
                                <w:szCs w:val="20"/>
                              </w:rPr>
                              <w:t>5</w:t>
                            </w:r>
                          </w:p>
                        </w:tc>
                        <w:tc>
                          <w:tcPr>
                            <w:tcW w:w="952" w:type="dxa"/>
                            <w:tcBorders>
                              <w:top w:val="nil"/>
                              <w:left w:val="nil"/>
                              <w:bottom w:val="single" w:sz="4" w:space="0" w:color="auto"/>
                              <w:right w:val="single" w:sz="4" w:space="0" w:color="auto"/>
                            </w:tcBorders>
                            <w:noWrap/>
                            <w:vAlign w:val="center"/>
                            <w:hideMark/>
                          </w:tcPr>
                          <w:p w14:paraId="4D05293A"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1,296</w:t>
                            </w:r>
                          </w:p>
                        </w:tc>
                        <w:tc>
                          <w:tcPr>
                            <w:tcW w:w="923" w:type="dxa"/>
                            <w:tcBorders>
                              <w:top w:val="nil"/>
                              <w:left w:val="nil"/>
                              <w:bottom w:val="single" w:sz="4" w:space="0" w:color="auto"/>
                              <w:right w:val="single" w:sz="4" w:space="0" w:color="auto"/>
                            </w:tcBorders>
                            <w:noWrap/>
                            <w:vAlign w:val="center"/>
                            <w:hideMark/>
                          </w:tcPr>
                          <w:p w14:paraId="5A0B827E" w14:textId="77777777" w:rsidR="006723F8" w:rsidRDefault="006723F8" w:rsidP="006723F8">
                            <w:pPr>
                              <w:ind w:rightChars="20" w:right="48"/>
                              <w:jc w:val="right"/>
                              <w:rPr>
                                <w:rFonts w:ascii="標楷體" w:eastAsia="標楷體" w:hAnsi="標楷體"/>
                                <w:bCs/>
                                <w:sz w:val="20"/>
                                <w:szCs w:val="20"/>
                              </w:rPr>
                            </w:pPr>
                            <w:r>
                              <w:rPr>
                                <w:rFonts w:ascii="標楷體" w:eastAsia="標楷體" w:hAnsi="標楷體" w:hint="eastAsia"/>
                                <w:bCs/>
                                <w:sz w:val="20"/>
                                <w:szCs w:val="20"/>
                              </w:rPr>
                              <w:t>4,148</w:t>
                            </w:r>
                          </w:p>
                        </w:tc>
                        <w:tc>
                          <w:tcPr>
                            <w:tcW w:w="708" w:type="dxa"/>
                            <w:tcBorders>
                              <w:top w:val="nil"/>
                              <w:left w:val="nil"/>
                              <w:bottom w:val="single" w:sz="4" w:space="0" w:color="auto"/>
                              <w:right w:val="single" w:sz="4" w:space="0" w:color="auto"/>
                            </w:tcBorders>
                            <w:noWrap/>
                            <w:vAlign w:val="center"/>
                            <w:hideMark/>
                          </w:tcPr>
                          <w:p w14:paraId="0699EF3F" w14:textId="77777777" w:rsidR="006723F8" w:rsidRDefault="006723F8" w:rsidP="006723F8">
                            <w:pPr>
                              <w:ind w:rightChars="20" w:right="48"/>
                              <w:jc w:val="right"/>
                              <w:rPr>
                                <w:rFonts w:ascii="標楷體" w:eastAsia="標楷體" w:hAnsi="標楷體"/>
                                <w:b/>
                                <w:bCs/>
                                <w:sz w:val="20"/>
                                <w:szCs w:val="20"/>
                              </w:rPr>
                            </w:pPr>
                            <w:r>
                              <w:rPr>
                                <w:rFonts w:ascii="標楷體" w:eastAsia="標楷體" w:hAnsi="標楷體" w:hint="eastAsia"/>
                                <w:b/>
                                <w:bCs/>
                                <w:sz w:val="20"/>
                                <w:szCs w:val="20"/>
                              </w:rPr>
                              <w:t>5,444</w:t>
                            </w:r>
                          </w:p>
                        </w:tc>
                        <w:tc>
                          <w:tcPr>
                            <w:tcW w:w="601" w:type="dxa"/>
                            <w:tcBorders>
                              <w:top w:val="nil"/>
                              <w:left w:val="nil"/>
                              <w:bottom w:val="single" w:sz="4" w:space="0" w:color="auto"/>
                              <w:right w:val="single" w:sz="4" w:space="0" w:color="auto"/>
                            </w:tcBorders>
                            <w:noWrap/>
                            <w:vAlign w:val="center"/>
                            <w:hideMark/>
                          </w:tcPr>
                          <w:p w14:paraId="5A7C04B3" w14:textId="77777777" w:rsidR="006723F8" w:rsidRDefault="006723F8" w:rsidP="006723F8">
                            <w:pPr>
                              <w:jc w:val="center"/>
                              <w:rPr>
                                <w:rFonts w:ascii="標楷體" w:eastAsia="標楷體" w:hAnsi="標楷體"/>
                                <w:b/>
                                <w:bCs/>
                                <w:sz w:val="20"/>
                                <w:szCs w:val="20"/>
                              </w:rPr>
                            </w:pPr>
                            <w:r>
                              <w:rPr>
                                <w:rFonts w:ascii="標楷體" w:eastAsia="標楷體" w:hAnsi="標楷體" w:hint="eastAsia"/>
                                <w:b/>
                                <w:bCs/>
                                <w:sz w:val="20"/>
                                <w:szCs w:val="20"/>
                              </w:rPr>
                              <w:t>1</w:t>
                            </w:r>
                          </w:p>
                        </w:tc>
                      </w:tr>
                      <w:tr w:rsidR="006723F8" w14:paraId="5985DEE4"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73220E6E" w14:textId="77777777" w:rsidR="006723F8" w:rsidRDefault="006723F8" w:rsidP="006723F8">
                            <w:pPr>
                              <w:rPr>
                                <w:rFonts w:ascii="標楷體" w:eastAsia="標楷體" w:hAnsi="標楷體"/>
                                <w:color w:val="000000"/>
                                <w:sz w:val="20"/>
                                <w:szCs w:val="20"/>
                              </w:rPr>
                            </w:pPr>
                            <w:r>
                              <w:rPr>
                                <w:rFonts w:ascii="標楷體" w:eastAsia="標楷體" w:hAnsi="標楷體" w:hint="eastAsia"/>
                                <w:color w:val="000000"/>
                                <w:sz w:val="20"/>
                                <w:szCs w:val="20"/>
                              </w:rPr>
                              <w:t>忠孝新生站</w:t>
                            </w:r>
                          </w:p>
                        </w:tc>
                        <w:tc>
                          <w:tcPr>
                            <w:tcW w:w="700" w:type="dxa"/>
                            <w:tcBorders>
                              <w:top w:val="nil"/>
                              <w:left w:val="nil"/>
                              <w:bottom w:val="single" w:sz="4" w:space="0" w:color="auto"/>
                              <w:right w:val="single" w:sz="4" w:space="0" w:color="auto"/>
                            </w:tcBorders>
                            <w:noWrap/>
                            <w:vAlign w:val="center"/>
                            <w:hideMark/>
                          </w:tcPr>
                          <w:p w14:paraId="7C907C81"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93</w:t>
                            </w:r>
                          </w:p>
                        </w:tc>
                        <w:tc>
                          <w:tcPr>
                            <w:tcW w:w="616" w:type="dxa"/>
                            <w:tcBorders>
                              <w:top w:val="nil"/>
                              <w:left w:val="nil"/>
                              <w:bottom w:val="single" w:sz="4" w:space="0" w:color="auto"/>
                              <w:right w:val="single" w:sz="4" w:space="0" w:color="auto"/>
                            </w:tcBorders>
                            <w:noWrap/>
                            <w:vAlign w:val="center"/>
                            <w:hideMark/>
                          </w:tcPr>
                          <w:p w14:paraId="4E056C74"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6</w:t>
                            </w:r>
                          </w:p>
                        </w:tc>
                        <w:tc>
                          <w:tcPr>
                            <w:tcW w:w="952" w:type="dxa"/>
                            <w:tcBorders>
                              <w:top w:val="nil"/>
                              <w:left w:val="nil"/>
                              <w:bottom w:val="single" w:sz="4" w:space="0" w:color="auto"/>
                              <w:right w:val="single" w:sz="4" w:space="0" w:color="auto"/>
                            </w:tcBorders>
                            <w:noWrap/>
                            <w:vAlign w:val="center"/>
                            <w:hideMark/>
                          </w:tcPr>
                          <w:p w14:paraId="411E8744"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1,092</w:t>
                            </w:r>
                          </w:p>
                        </w:tc>
                        <w:tc>
                          <w:tcPr>
                            <w:tcW w:w="923" w:type="dxa"/>
                            <w:tcBorders>
                              <w:top w:val="nil"/>
                              <w:left w:val="nil"/>
                              <w:bottom w:val="single" w:sz="4" w:space="0" w:color="auto"/>
                              <w:right w:val="single" w:sz="4" w:space="0" w:color="auto"/>
                            </w:tcBorders>
                            <w:noWrap/>
                            <w:vAlign w:val="center"/>
                            <w:hideMark/>
                          </w:tcPr>
                          <w:p w14:paraId="4B380F79"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696</w:t>
                            </w:r>
                          </w:p>
                        </w:tc>
                        <w:tc>
                          <w:tcPr>
                            <w:tcW w:w="708" w:type="dxa"/>
                            <w:tcBorders>
                              <w:top w:val="nil"/>
                              <w:left w:val="nil"/>
                              <w:bottom w:val="single" w:sz="4" w:space="0" w:color="auto"/>
                              <w:right w:val="single" w:sz="4" w:space="0" w:color="auto"/>
                            </w:tcBorders>
                            <w:noWrap/>
                            <w:vAlign w:val="center"/>
                            <w:hideMark/>
                          </w:tcPr>
                          <w:p w14:paraId="40B671A5"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1,788</w:t>
                            </w:r>
                          </w:p>
                        </w:tc>
                        <w:tc>
                          <w:tcPr>
                            <w:tcW w:w="601" w:type="dxa"/>
                            <w:tcBorders>
                              <w:top w:val="nil"/>
                              <w:left w:val="nil"/>
                              <w:bottom w:val="single" w:sz="4" w:space="0" w:color="auto"/>
                              <w:right w:val="single" w:sz="4" w:space="0" w:color="auto"/>
                            </w:tcBorders>
                            <w:noWrap/>
                            <w:vAlign w:val="center"/>
                            <w:hideMark/>
                          </w:tcPr>
                          <w:p w14:paraId="323294DE"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11</w:t>
                            </w:r>
                          </w:p>
                        </w:tc>
                      </w:tr>
                      <w:tr w:rsidR="006723F8" w14:paraId="49C7D9A6"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7FC4AD49" w14:textId="77777777" w:rsidR="006723F8" w:rsidRDefault="006723F8" w:rsidP="006723F8">
                            <w:pPr>
                              <w:rPr>
                                <w:rFonts w:ascii="標楷體" w:eastAsia="標楷體" w:hAnsi="標楷體"/>
                                <w:sz w:val="20"/>
                                <w:szCs w:val="20"/>
                              </w:rPr>
                            </w:pPr>
                            <w:r>
                              <w:rPr>
                                <w:rFonts w:ascii="標楷體" w:eastAsia="標楷體" w:hAnsi="標楷體" w:hint="eastAsia"/>
                                <w:sz w:val="20"/>
                                <w:szCs w:val="20"/>
                              </w:rPr>
                              <w:t>民權西路站</w:t>
                            </w:r>
                          </w:p>
                        </w:tc>
                        <w:tc>
                          <w:tcPr>
                            <w:tcW w:w="700" w:type="dxa"/>
                            <w:tcBorders>
                              <w:top w:val="nil"/>
                              <w:left w:val="nil"/>
                              <w:bottom w:val="single" w:sz="4" w:space="0" w:color="auto"/>
                              <w:right w:val="single" w:sz="4" w:space="0" w:color="auto"/>
                            </w:tcBorders>
                            <w:noWrap/>
                            <w:vAlign w:val="center"/>
                            <w:hideMark/>
                          </w:tcPr>
                          <w:p w14:paraId="3738CF44"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91</w:t>
                            </w:r>
                          </w:p>
                        </w:tc>
                        <w:tc>
                          <w:tcPr>
                            <w:tcW w:w="616" w:type="dxa"/>
                            <w:tcBorders>
                              <w:top w:val="nil"/>
                              <w:left w:val="nil"/>
                              <w:bottom w:val="single" w:sz="4" w:space="0" w:color="auto"/>
                              <w:right w:val="single" w:sz="4" w:space="0" w:color="auto"/>
                            </w:tcBorders>
                            <w:noWrap/>
                            <w:vAlign w:val="center"/>
                            <w:hideMark/>
                          </w:tcPr>
                          <w:p w14:paraId="19744663"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7</w:t>
                            </w:r>
                          </w:p>
                        </w:tc>
                        <w:tc>
                          <w:tcPr>
                            <w:tcW w:w="952" w:type="dxa"/>
                            <w:tcBorders>
                              <w:top w:val="nil"/>
                              <w:left w:val="nil"/>
                              <w:bottom w:val="single" w:sz="4" w:space="0" w:color="auto"/>
                              <w:right w:val="single" w:sz="4" w:space="0" w:color="auto"/>
                            </w:tcBorders>
                            <w:noWrap/>
                            <w:vAlign w:val="center"/>
                            <w:hideMark/>
                          </w:tcPr>
                          <w:p w14:paraId="1CBCFFE9"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2,784</w:t>
                            </w:r>
                          </w:p>
                        </w:tc>
                        <w:tc>
                          <w:tcPr>
                            <w:tcW w:w="923" w:type="dxa"/>
                            <w:tcBorders>
                              <w:top w:val="nil"/>
                              <w:left w:val="nil"/>
                              <w:bottom w:val="single" w:sz="4" w:space="0" w:color="auto"/>
                              <w:right w:val="single" w:sz="4" w:space="0" w:color="auto"/>
                            </w:tcBorders>
                            <w:noWrap/>
                            <w:vAlign w:val="center"/>
                            <w:hideMark/>
                          </w:tcPr>
                          <w:p w14:paraId="19B24D1D"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1,840</w:t>
                            </w:r>
                          </w:p>
                        </w:tc>
                        <w:tc>
                          <w:tcPr>
                            <w:tcW w:w="708" w:type="dxa"/>
                            <w:tcBorders>
                              <w:top w:val="nil"/>
                              <w:left w:val="nil"/>
                              <w:bottom w:val="single" w:sz="4" w:space="0" w:color="auto"/>
                              <w:right w:val="single" w:sz="4" w:space="0" w:color="auto"/>
                            </w:tcBorders>
                            <w:noWrap/>
                            <w:vAlign w:val="center"/>
                            <w:hideMark/>
                          </w:tcPr>
                          <w:p w14:paraId="6844FF3D"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4,624</w:t>
                            </w:r>
                          </w:p>
                        </w:tc>
                        <w:tc>
                          <w:tcPr>
                            <w:tcW w:w="601" w:type="dxa"/>
                            <w:tcBorders>
                              <w:top w:val="nil"/>
                              <w:left w:val="nil"/>
                              <w:bottom w:val="single" w:sz="4" w:space="0" w:color="auto"/>
                              <w:right w:val="single" w:sz="4" w:space="0" w:color="auto"/>
                            </w:tcBorders>
                            <w:noWrap/>
                            <w:vAlign w:val="center"/>
                            <w:hideMark/>
                          </w:tcPr>
                          <w:p w14:paraId="3A00BFB8" w14:textId="77777777" w:rsidR="006723F8" w:rsidRDefault="006723F8" w:rsidP="006723F8">
                            <w:pPr>
                              <w:jc w:val="center"/>
                              <w:rPr>
                                <w:rFonts w:ascii="標楷體" w:eastAsia="標楷體" w:hAnsi="標楷體"/>
                                <w:sz w:val="20"/>
                                <w:szCs w:val="20"/>
                              </w:rPr>
                            </w:pPr>
                            <w:r>
                              <w:rPr>
                                <w:rFonts w:ascii="標楷體" w:eastAsia="標楷體" w:hAnsi="標楷體" w:hint="eastAsia"/>
                                <w:sz w:val="20"/>
                                <w:szCs w:val="20"/>
                              </w:rPr>
                              <w:t>4</w:t>
                            </w:r>
                          </w:p>
                        </w:tc>
                      </w:tr>
                      <w:tr w:rsidR="006723F8" w14:paraId="02F7943F"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12F58D0C" w14:textId="77777777" w:rsidR="006723F8" w:rsidRDefault="006723F8" w:rsidP="006723F8">
                            <w:pPr>
                              <w:rPr>
                                <w:rFonts w:ascii="標楷體" w:eastAsia="標楷體" w:hAnsi="標楷體"/>
                                <w:color w:val="000000"/>
                                <w:sz w:val="20"/>
                                <w:szCs w:val="20"/>
                              </w:rPr>
                            </w:pPr>
                            <w:r>
                              <w:rPr>
                                <w:rFonts w:ascii="標楷體" w:eastAsia="標楷體" w:hAnsi="標楷體" w:hint="eastAsia"/>
                                <w:color w:val="000000"/>
                                <w:sz w:val="20"/>
                                <w:szCs w:val="20"/>
                              </w:rPr>
                              <w:t>板橋站</w:t>
                            </w:r>
                          </w:p>
                        </w:tc>
                        <w:tc>
                          <w:tcPr>
                            <w:tcW w:w="700" w:type="dxa"/>
                            <w:tcBorders>
                              <w:top w:val="nil"/>
                              <w:left w:val="nil"/>
                              <w:bottom w:val="single" w:sz="4" w:space="0" w:color="auto"/>
                              <w:right w:val="single" w:sz="4" w:space="0" w:color="auto"/>
                            </w:tcBorders>
                            <w:noWrap/>
                            <w:vAlign w:val="center"/>
                            <w:hideMark/>
                          </w:tcPr>
                          <w:p w14:paraId="7130D3BB"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81</w:t>
                            </w:r>
                          </w:p>
                        </w:tc>
                        <w:tc>
                          <w:tcPr>
                            <w:tcW w:w="616" w:type="dxa"/>
                            <w:tcBorders>
                              <w:top w:val="nil"/>
                              <w:left w:val="nil"/>
                              <w:bottom w:val="single" w:sz="4" w:space="0" w:color="auto"/>
                              <w:right w:val="single" w:sz="4" w:space="0" w:color="auto"/>
                            </w:tcBorders>
                            <w:noWrap/>
                            <w:vAlign w:val="center"/>
                            <w:hideMark/>
                          </w:tcPr>
                          <w:p w14:paraId="7937ACFC"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8</w:t>
                            </w:r>
                          </w:p>
                        </w:tc>
                        <w:tc>
                          <w:tcPr>
                            <w:tcW w:w="952" w:type="dxa"/>
                            <w:tcBorders>
                              <w:top w:val="nil"/>
                              <w:left w:val="nil"/>
                              <w:bottom w:val="single" w:sz="4" w:space="0" w:color="auto"/>
                              <w:right w:val="single" w:sz="4" w:space="0" w:color="auto"/>
                            </w:tcBorders>
                            <w:noWrap/>
                            <w:vAlign w:val="center"/>
                            <w:hideMark/>
                          </w:tcPr>
                          <w:p w14:paraId="67F429B8"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1,210</w:t>
                            </w:r>
                          </w:p>
                        </w:tc>
                        <w:tc>
                          <w:tcPr>
                            <w:tcW w:w="923" w:type="dxa"/>
                            <w:tcBorders>
                              <w:top w:val="nil"/>
                              <w:left w:val="nil"/>
                              <w:bottom w:val="single" w:sz="4" w:space="0" w:color="auto"/>
                              <w:right w:val="single" w:sz="4" w:space="0" w:color="auto"/>
                            </w:tcBorders>
                            <w:noWrap/>
                            <w:vAlign w:val="center"/>
                            <w:hideMark/>
                          </w:tcPr>
                          <w:p w14:paraId="1CF16085"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 xml:space="preserve">－　</w:t>
                            </w:r>
                          </w:p>
                        </w:tc>
                        <w:tc>
                          <w:tcPr>
                            <w:tcW w:w="708" w:type="dxa"/>
                            <w:tcBorders>
                              <w:top w:val="nil"/>
                              <w:left w:val="nil"/>
                              <w:bottom w:val="single" w:sz="4" w:space="0" w:color="auto"/>
                              <w:right w:val="single" w:sz="4" w:space="0" w:color="auto"/>
                            </w:tcBorders>
                            <w:noWrap/>
                            <w:vAlign w:val="center"/>
                            <w:hideMark/>
                          </w:tcPr>
                          <w:p w14:paraId="73109EA3"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1,210</w:t>
                            </w:r>
                          </w:p>
                        </w:tc>
                        <w:tc>
                          <w:tcPr>
                            <w:tcW w:w="601" w:type="dxa"/>
                            <w:tcBorders>
                              <w:top w:val="nil"/>
                              <w:left w:val="nil"/>
                              <w:bottom w:val="single" w:sz="4" w:space="0" w:color="auto"/>
                              <w:right w:val="single" w:sz="4" w:space="0" w:color="auto"/>
                            </w:tcBorders>
                            <w:noWrap/>
                            <w:vAlign w:val="center"/>
                            <w:hideMark/>
                          </w:tcPr>
                          <w:p w14:paraId="5FA2C8A0"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29</w:t>
                            </w:r>
                          </w:p>
                        </w:tc>
                      </w:tr>
                      <w:tr w:rsidR="006723F8" w14:paraId="465C358A"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6EFEDA80" w14:textId="77777777" w:rsidR="006723F8" w:rsidRDefault="006723F8" w:rsidP="006723F8">
                            <w:pPr>
                              <w:rPr>
                                <w:rFonts w:ascii="標楷體" w:eastAsia="標楷體" w:hAnsi="標楷體"/>
                                <w:sz w:val="20"/>
                                <w:szCs w:val="20"/>
                              </w:rPr>
                            </w:pPr>
                            <w:r>
                              <w:rPr>
                                <w:rFonts w:ascii="標楷體" w:eastAsia="標楷體" w:hAnsi="標楷體" w:hint="eastAsia"/>
                                <w:sz w:val="20"/>
                                <w:szCs w:val="20"/>
                              </w:rPr>
                              <w:t>南京復興站</w:t>
                            </w:r>
                          </w:p>
                        </w:tc>
                        <w:tc>
                          <w:tcPr>
                            <w:tcW w:w="700" w:type="dxa"/>
                            <w:tcBorders>
                              <w:top w:val="nil"/>
                              <w:left w:val="nil"/>
                              <w:bottom w:val="single" w:sz="4" w:space="0" w:color="auto"/>
                              <w:right w:val="single" w:sz="4" w:space="0" w:color="auto"/>
                            </w:tcBorders>
                            <w:noWrap/>
                            <w:vAlign w:val="center"/>
                            <w:hideMark/>
                          </w:tcPr>
                          <w:p w14:paraId="42114163"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81</w:t>
                            </w:r>
                          </w:p>
                        </w:tc>
                        <w:tc>
                          <w:tcPr>
                            <w:tcW w:w="616" w:type="dxa"/>
                            <w:tcBorders>
                              <w:top w:val="nil"/>
                              <w:left w:val="nil"/>
                              <w:bottom w:val="single" w:sz="4" w:space="0" w:color="auto"/>
                              <w:right w:val="single" w:sz="4" w:space="0" w:color="auto"/>
                            </w:tcBorders>
                            <w:noWrap/>
                            <w:vAlign w:val="center"/>
                            <w:hideMark/>
                          </w:tcPr>
                          <w:p w14:paraId="2B063820"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9</w:t>
                            </w:r>
                          </w:p>
                        </w:tc>
                        <w:tc>
                          <w:tcPr>
                            <w:tcW w:w="952" w:type="dxa"/>
                            <w:tcBorders>
                              <w:top w:val="nil"/>
                              <w:left w:val="nil"/>
                              <w:bottom w:val="single" w:sz="4" w:space="0" w:color="auto"/>
                              <w:right w:val="single" w:sz="4" w:space="0" w:color="auto"/>
                            </w:tcBorders>
                            <w:noWrap/>
                            <w:vAlign w:val="center"/>
                            <w:hideMark/>
                          </w:tcPr>
                          <w:p w14:paraId="28A3F034"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920</w:t>
                            </w:r>
                          </w:p>
                        </w:tc>
                        <w:tc>
                          <w:tcPr>
                            <w:tcW w:w="923" w:type="dxa"/>
                            <w:tcBorders>
                              <w:top w:val="nil"/>
                              <w:left w:val="nil"/>
                              <w:bottom w:val="single" w:sz="4" w:space="0" w:color="auto"/>
                              <w:right w:val="single" w:sz="4" w:space="0" w:color="auto"/>
                            </w:tcBorders>
                            <w:noWrap/>
                            <w:vAlign w:val="center"/>
                            <w:hideMark/>
                          </w:tcPr>
                          <w:p w14:paraId="3442C6CB"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4,132</w:t>
                            </w:r>
                          </w:p>
                        </w:tc>
                        <w:tc>
                          <w:tcPr>
                            <w:tcW w:w="708" w:type="dxa"/>
                            <w:tcBorders>
                              <w:top w:val="nil"/>
                              <w:left w:val="nil"/>
                              <w:bottom w:val="single" w:sz="4" w:space="0" w:color="auto"/>
                              <w:right w:val="single" w:sz="4" w:space="0" w:color="auto"/>
                            </w:tcBorders>
                            <w:noWrap/>
                            <w:vAlign w:val="center"/>
                            <w:hideMark/>
                          </w:tcPr>
                          <w:p w14:paraId="00D133AA" w14:textId="77777777" w:rsidR="006723F8" w:rsidRDefault="006723F8" w:rsidP="006723F8">
                            <w:pPr>
                              <w:ind w:rightChars="20" w:right="48"/>
                              <w:jc w:val="right"/>
                              <w:rPr>
                                <w:rFonts w:ascii="標楷體" w:eastAsia="標楷體" w:hAnsi="標楷體"/>
                                <w:sz w:val="20"/>
                                <w:szCs w:val="20"/>
                              </w:rPr>
                            </w:pPr>
                            <w:r>
                              <w:rPr>
                                <w:rFonts w:ascii="標楷體" w:eastAsia="標楷體" w:hAnsi="標楷體" w:hint="eastAsia"/>
                                <w:sz w:val="20"/>
                                <w:szCs w:val="20"/>
                              </w:rPr>
                              <w:t>5,052</w:t>
                            </w:r>
                          </w:p>
                        </w:tc>
                        <w:tc>
                          <w:tcPr>
                            <w:tcW w:w="601" w:type="dxa"/>
                            <w:tcBorders>
                              <w:top w:val="nil"/>
                              <w:left w:val="nil"/>
                              <w:bottom w:val="single" w:sz="4" w:space="0" w:color="auto"/>
                              <w:right w:val="single" w:sz="4" w:space="0" w:color="auto"/>
                            </w:tcBorders>
                            <w:noWrap/>
                            <w:vAlign w:val="center"/>
                            <w:hideMark/>
                          </w:tcPr>
                          <w:p w14:paraId="74B7B308" w14:textId="77777777" w:rsidR="006723F8" w:rsidRDefault="006723F8" w:rsidP="006723F8">
                            <w:pPr>
                              <w:jc w:val="center"/>
                              <w:rPr>
                                <w:rFonts w:ascii="標楷體" w:eastAsia="標楷體" w:hAnsi="標楷體"/>
                                <w:sz w:val="20"/>
                                <w:szCs w:val="20"/>
                              </w:rPr>
                            </w:pPr>
                            <w:r>
                              <w:rPr>
                                <w:rFonts w:ascii="標楷體" w:eastAsia="標楷體" w:hAnsi="標楷體" w:hint="eastAsia"/>
                                <w:sz w:val="20"/>
                                <w:szCs w:val="20"/>
                              </w:rPr>
                              <w:t>3</w:t>
                            </w:r>
                          </w:p>
                        </w:tc>
                      </w:tr>
                      <w:tr w:rsidR="006723F8" w14:paraId="701A3485" w14:textId="77777777" w:rsidTr="00824CD6">
                        <w:trPr>
                          <w:trHeight w:val="326"/>
                        </w:trPr>
                        <w:tc>
                          <w:tcPr>
                            <w:tcW w:w="1134" w:type="dxa"/>
                            <w:tcBorders>
                              <w:top w:val="nil"/>
                              <w:left w:val="single" w:sz="4" w:space="0" w:color="auto"/>
                              <w:bottom w:val="single" w:sz="4" w:space="0" w:color="auto"/>
                              <w:right w:val="single" w:sz="4" w:space="0" w:color="auto"/>
                            </w:tcBorders>
                            <w:noWrap/>
                            <w:vAlign w:val="center"/>
                            <w:hideMark/>
                          </w:tcPr>
                          <w:p w14:paraId="5A7EC945" w14:textId="77777777" w:rsidR="006723F8" w:rsidRDefault="006723F8" w:rsidP="006723F8">
                            <w:pPr>
                              <w:rPr>
                                <w:rFonts w:ascii="標楷體" w:eastAsia="標楷體" w:hAnsi="標楷體"/>
                                <w:color w:val="000000"/>
                                <w:sz w:val="20"/>
                                <w:szCs w:val="20"/>
                              </w:rPr>
                            </w:pPr>
                            <w:r>
                              <w:rPr>
                                <w:rFonts w:ascii="標楷體" w:eastAsia="標楷體" w:hAnsi="標楷體" w:hint="eastAsia"/>
                                <w:color w:val="000000"/>
                                <w:sz w:val="20"/>
                                <w:szCs w:val="20"/>
                              </w:rPr>
                              <w:t>市政府站</w:t>
                            </w:r>
                          </w:p>
                        </w:tc>
                        <w:tc>
                          <w:tcPr>
                            <w:tcW w:w="700" w:type="dxa"/>
                            <w:tcBorders>
                              <w:top w:val="nil"/>
                              <w:left w:val="nil"/>
                              <w:bottom w:val="single" w:sz="4" w:space="0" w:color="auto"/>
                              <w:right w:val="single" w:sz="4" w:space="0" w:color="auto"/>
                            </w:tcBorders>
                            <w:noWrap/>
                            <w:vAlign w:val="center"/>
                            <w:hideMark/>
                          </w:tcPr>
                          <w:p w14:paraId="4CFC499C"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71</w:t>
                            </w:r>
                          </w:p>
                        </w:tc>
                        <w:tc>
                          <w:tcPr>
                            <w:tcW w:w="616" w:type="dxa"/>
                            <w:tcBorders>
                              <w:top w:val="nil"/>
                              <w:left w:val="nil"/>
                              <w:bottom w:val="single" w:sz="4" w:space="0" w:color="auto"/>
                              <w:right w:val="single" w:sz="4" w:space="0" w:color="auto"/>
                            </w:tcBorders>
                            <w:noWrap/>
                            <w:vAlign w:val="center"/>
                            <w:hideMark/>
                          </w:tcPr>
                          <w:p w14:paraId="05A0D4F2"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10</w:t>
                            </w:r>
                          </w:p>
                        </w:tc>
                        <w:tc>
                          <w:tcPr>
                            <w:tcW w:w="952" w:type="dxa"/>
                            <w:tcBorders>
                              <w:top w:val="nil"/>
                              <w:left w:val="nil"/>
                              <w:bottom w:val="single" w:sz="4" w:space="0" w:color="auto"/>
                              <w:right w:val="single" w:sz="4" w:space="0" w:color="auto"/>
                            </w:tcBorders>
                            <w:noWrap/>
                            <w:vAlign w:val="center"/>
                            <w:hideMark/>
                          </w:tcPr>
                          <w:p w14:paraId="0615F147"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1,316</w:t>
                            </w:r>
                          </w:p>
                        </w:tc>
                        <w:tc>
                          <w:tcPr>
                            <w:tcW w:w="923" w:type="dxa"/>
                            <w:tcBorders>
                              <w:top w:val="nil"/>
                              <w:left w:val="nil"/>
                              <w:bottom w:val="single" w:sz="4" w:space="0" w:color="auto"/>
                              <w:right w:val="single" w:sz="4" w:space="0" w:color="auto"/>
                            </w:tcBorders>
                            <w:noWrap/>
                            <w:vAlign w:val="center"/>
                            <w:hideMark/>
                          </w:tcPr>
                          <w:p w14:paraId="12D5EE76"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448</w:t>
                            </w:r>
                          </w:p>
                        </w:tc>
                        <w:tc>
                          <w:tcPr>
                            <w:tcW w:w="708" w:type="dxa"/>
                            <w:tcBorders>
                              <w:top w:val="nil"/>
                              <w:left w:val="nil"/>
                              <w:bottom w:val="single" w:sz="4" w:space="0" w:color="auto"/>
                              <w:right w:val="single" w:sz="4" w:space="0" w:color="auto"/>
                            </w:tcBorders>
                            <w:noWrap/>
                            <w:vAlign w:val="center"/>
                            <w:hideMark/>
                          </w:tcPr>
                          <w:p w14:paraId="3429EB27" w14:textId="77777777" w:rsidR="006723F8" w:rsidRDefault="006723F8" w:rsidP="006723F8">
                            <w:pPr>
                              <w:ind w:rightChars="20" w:right="48"/>
                              <w:jc w:val="right"/>
                              <w:rPr>
                                <w:rFonts w:ascii="標楷體" w:eastAsia="標楷體" w:hAnsi="標楷體"/>
                                <w:color w:val="000000"/>
                                <w:sz w:val="20"/>
                                <w:szCs w:val="20"/>
                              </w:rPr>
                            </w:pPr>
                            <w:r>
                              <w:rPr>
                                <w:rFonts w:ascii="標楷體" w:eastAsia="標楷體" w:hAnsi="標楷體" w:hint="eastAsia"/>
                                <w:color w:val="000000"/>
                                <w:sz w:val="20"/>
                                <w:szCs w:val="20"/>
                              </w:rPr>
                              <w:t>1,764</w:t>
                            </w:r>
                          </w:p>
                        </w:tc>
                        <w:tc>
                          <w:tcPr>
                            <w:tcW w:w="601" w:type="dxa"/>
                            <w:tcBorders>
                              <w:top w:val="nil"/>
                              <w:left w:val="nil"/>
                              <w:bottom w:val="single" w:sz="4" w:space="0" w:color="auto"/>
                              <w:right w:val="single" w:sz="4" w:space="0" w:color="auto"/>
                            </w:tcBorders>
                            <w:noWrap/>
                            <w:vAlign w:val="center"/>
                            <w:hideMark/>
                          </w:tcPr>
                          <w:p w14:paraId="472EF92E" w14:textId="77777777" w:rsidR="006723F8" w:rsidRDefault="006723F8" w:rsidP="006723F8">
                            <w:pPr>
                              <w:jc w:val="center"/>
                              <w:rPr>
                                <w:rFonts w:ascii="標楷體" w:eastAsia="標楷體" w:hAnsi="標楷體"/>
                                <w:color w:val="000000"/>
                                <w:sz w:val="20"/>
                                <w:szCs w:val="20"/>
                              </w:rPr>
                            </w:pPr>
                            <w:r>
                              <w:rPr>
                                <w:rFonts w:ascii="標楷體" w:eastAsia="標楷體" w:hAnsi="標楷體" w:hint="eastAsia"/>
                                <w:color w:val="000000"/>
                                <w:sz w:val="20"/>
                                <w:szCs w:val="20"/>
                              </w:rPr>
                              <w:t>12</w:t>
                            </w:r>
                          </w:p>
                        </w:tc>
                      </w:tr>
                      <w:tr w:rsidR="006723F8" w14:paraId="033C803D" w14:textId="77777777" w:rsidTr="00824CD6">
                        <w:trPr>
                          <w:trHeight w:val="227"/>
                        </w:trPr>
                        <w:tc>
                          <w:tcPr>
                            <w:tcW w:w="5634" w:type="dxa"/>
                            <w:gridSpan w:val="7"/>
                            <w:tcBorders>
                              <w:top w:val="single" w:sz="4" w:space="0" w:color="auto"/>
                              <w:left w:val="nil"/>
                              <w:bottom w:val="nil"/>
                              <w:right w:val="nil"/>
                            </w:tcBorders>
                            <w:noWrap/>
                            <w:vAlign w:val="center"/>
                            <w:hideMark/>
                          </w:tcPr>
                          <w:p w14:paraId="385DD837" w14:textId="77777777" w:rsidR="006723F8" w:rsidRDefault="006723F8" w:rsidP="006723F8">
                            <w:pPr>
                              <w:spacing w:line="240" w:lineRule="exact"/>
                              <w:rPr>
                                <w:rFonts w:ascii="標楷體" w:eastAsia="標楷體" w:hAnsi="標楷體"/>
                                <w:color w:val="000000"/>
                                <w:sz w:val="18"/>
                                <w:szCs w:val="18"/>
                              </w:rPr>
                            </w:pPr>
                            <w:r>
                              <w:rPr>
                                <w:rFonts w:ascii="標楷體" w:eastAsia="標楷體" w:hAnsi="標楷體" w:hint="eastAsia"/>
                                <w:color w:val="000000"/>
                                <w:sz w:val="18"/>
                                <w:szCs w:val="18"/>
                              </w:rPr>
                              <w:t>資料來源：整理自捷運警察隊提供資料。</w:t>
                            </w:r>
                          </w:p>
                        </w:tc>
                      </w:tr>
                    </w:tbl>
                    <w:p w14:paraId="1BF88865" w14:textId="6ACD0787" w:rsidR="006723F8" w:rsidRPr="006723F8" w:rsidRDefault="006723F8" w:rsidP="006723F8"/>
                  </w:txbxContent>
                </v:textbox>
                <w10:wrap type="tight" anchory="page"/>
              </v:shape>
            </w:pict>
          </mc:Fallback>
        </mc:AlternateContent>
      </w:r>
      <w:r w:rsidR="00EE7738">
        <w:rPr>
          <w:rFonts w:ascii="標楷體" w:eastAsia="標楷體" w:hAnsi="標楷體" w:cs="Times New Roman" w:hint="eastAsia"/>
          <w:szCs w:val="24"/>
        </w:rPr>
        <w:t>與分局之轄區分析辦理，使各層巡邏網綿密配合，並視實際需要適時檢討彈性調整。查該隊規劃29巡邏線（車廂巡邏16線、一般巡邏13線），及針對117</w:t>
      </w:r>
      <w:proofErr w:type="gramStart"/>
      <w:r w:rsidR="00EE7738">
        <w:rPr>
          <w:rFonts w:ascii="標楷體" w:eastAsia="標楷體" w:hAnsi="標楷體" w:cs="Times New Roman" w:hint="eastAsia"/>
          <w:szCs w:val="24"/>
        </w:rPr>
        <w:t>站體中</w:t>
      </w:r>
      <w:proofErr w:type="gramEnd"/>
      <w:r w:rsidR="00EE7738">
        <w:rPr>
          <w:rFonts w:ascii="標楷體" w:eastAsia="標楷體" w:hAnsi="標楷體" w:cs="Times New Roman" w:hint="eastAsia"/>
          <w:szCs w:val="24"/>
        </w:rPr>
        <w:t>旅客量及案件發生數較多之25處執行守望勤務，並就各</w:t>
      </w:r>
      <w:proofErr w:type="gramStart"/>
      <w:r w:rsidR="00EE7738">
        <w:rPr>
          <w:rFonts w:ascii="標楷體" w:eastAsia="標楷體" w:hAnsi="標楷體" w:cs="Times New Roman" w:hint="eastAsia"/>
          <w:szCs w:val="24"/>
        </w:rPr>
        <w:t>相關站體案件</w:t>
      </w:r>
      <w:proofErr w:type="gramEnd"/>
      <w:r w:rsidR="00EE7738">
        <w:rPr>
          <w:rFonts w:ascii="標楷體" w:eastAsia="標楷體" w:hAnsi="標楷體" w:cs="Times New Roman" w:hint="eastAsia"/>
          <w:szCs w:val="24"/>
        </w:rPr>
        <w:t>數，滾動修正勤務規劃及</w:t>
      </w:r>
      <w:proofErr w:type="gramStart"/>
      <w:r w:rsidR="00EE7738">
        <w:rPr>
          <w:rFonts w:ascii="標楷體" w:eastAsia="標楷體" w:hAnsi="標楷體" w:cs="Times New Roman" w:hint="eastAsia"/>
          <w:szCs w:val="24"/>
        </w:rPr>
        <w:t>機動派勤</w:t>
      </w:r>
      <w:proofErr w:type="gramEnd"/>
      <w:r w:rsidR="00EE7738">
        <w:rPr>
          <w:rFonts w:ascii="標楷體" w:eastAsia="標楷體" w:hAnsi="標楷體" w:cs="Times New Roman" w:hint="eastAsia"/>
          <w:szCs w:val="24"/>
        </w:rPr>
        <w:t>。經以該隊提供之113年1至8月受理報案</w:t>
      </w:r>
      <w:proofErr w:type="gramStart"/>
      <w:r w:rsidR="00EE7738">
        <w:rPr>
          <w:rFonts w:ascii="標楷體" w:eastAsia="標楷體" w:hAnsi="標楷體" w:cs="Times New Roman" w:hint="eastAsia"/>
          <w:szCs w:val="24"/>
        </w:rPr>
        <w:t>明細與巡邏</w:t>
      </w:r>
      <w:proofErr w:type="gramEnd"/>
      <w:r w:rsidR="00EE7738">
        <w:rPr>
          <w:rFonts w:ascii="標楷體" w:eastAsia="標楷體" w:hAnsi="標楷體" w:cs="Times New Roman" w:hint="eastAsia"/>
          <w:szCs w:val="24"/>
        </w:rPr>
        <w:t>及守望勤務規劃情形分析，間有</w:t>
      </w:r>
      <w:proofErr w:type="gramStart"/>
      <w:r w:rsidR="00EE7738">
        <w:rPr>
          <w:rFonts w:ascii="標楷體" w:eastAsia="標楷體" w:hAnsi="標楷體" w:cs="Times New Roman" w:hint="eastAsia"/>
          <w:szCs w:val="24"/>
        </w:rPr>
        <w:t>臺</w:t>
      </w:r>
      <w:proofErr w:type="gramEnd"/>
      <w:r w:rsidR="00EE7738">
        <w:rPr>
          <w:rFonts w:ascii="標楷體" w:eastAsia="標楷體" w:hAnsi="標楷體" w:cs="Times New Roman" w:hint="eastAsia"/>
          <w:szCs w:val="24"/>
        </w:rPr>
        <w:t>北車站於該期間受理遺失、性騷擾、傷害等案件數383件，該隊排定勤務2,080次，惟忠孝復興站受理案件數110件，排定勤務次數卻高達5,444次（表2），有待視捷運系統內受理案件增減情形適時滾動調整勤務規劃等情事，經函請</w:t>
      </w:r>
      <w:proofErr w:type="gramStart"/>
      <w:r w:rsidR="00EE7738">
        <w:rPr>
          <w:rFonts w:ascii="標楷體" w:eastAsia="標楷體" w:hAnsi="標楷體" w:cs="Times New Roman" w:hint="eastAsia"/>
          <w:szCs w:val="24"/>
        </w:rPr>
        <w:t>檢討妥處</w:t>
      </w:r>
      <w:proofErr w:type="gramEnd"/>
      <w:r w:rsidR="00EE7738">
        <w:rPr>
          <w:rFonts w:ascii="標楷體" w:eastAsia="標楷體" w:hAnsi="標楷體" w:cs="Times New Roman" w:hint="eastAsia"/>
          <w:szCs w:val="24"/>
        </w:rPr>
        <w:t>。據復：（1）業於每週週報會議</w:t>
      </w:r>
      <w:proofErr w:type="gramStart"/>
      <w:r w:rsidR="00EE7738">
        <w:rPr>
          <w:rFonts w:ascii="標楷體" w:eastAsia="標楷體" w:hAnsi="標楷體" w:cs="Times New Roman" w:hint="eastAsia"/>
          <w:szCs w:val="24"/>
        </w:rPr>
        <w:t>期間，</w:t>
      </w:r>
      <w:proofErr w:type="gramEnd"/>
      <w:r w:rsidR="00EE7738">
        <w:rPr>
          <w:rFonts w:ascii="標楷體" w:eastAsia="標楷體" w:hAnsi="標楷體" w:cs="Times New Roman" w:hint="eastAsia"/>
          <w:szCs w:val="24"/>
        </w:rPr>
        <w:t>檢討到場時間平均值，並就個案探討具體原因，以確實案件管控及審查勤務規劃具體成效；（2）為靈活調派警力及提升危安事件處理效率，將</w:t>
      </w:r>
      <w:proofErr w:type="gramStart"/>
      <w:r w:rsidR="00EE7738">
        <w:rPr>
          <w:rFonts w:ascii="標楷體" w:eastAsia="標楷體" w:hAnsi="標楷體" w:cs="Times New Roman" w:hint="eastAsia"/>
          <w:szCs w:val="24"/>
        </w:rPr>
        <w:t>賡續視</w:t>
      </w:r>
      <w:proofErr w:type="gramEnd"/>
      <w:r w:rsidR="00EE7738">
        <w:rPr>
          <w:rFonts w:ascii="標楷體" w:eastAsia="標楷體" w:hAnsi="標楷體" w:cs="Times New Roman" w:hint="eastAsia"/>
          <w:szCs w:val="24"/>
        </w:rPr>
        <w:t>捷運系統內受理案件增減情形，適時檢討並彈性調整巡邏及守望勤務，以建構更縝密捷運安全巡邏網，提升民眾乘車安全。</w:t>
      </w:r>
    </w:p>
    <w:p w14:paraId="3B9CDCF9" w14:textId="32739BE8" w:rsidR="00EE7738" w:rsidRDefault="00EE7738" w:rsidP="009A0016">
      <w:pPr>
        <w:overflowPunct w:val="0"/>
        <w:spacing w:beforeLines="50" w:before="180" w:line="500" w:lineRule="exact"/>
        <w:ind w:firstLineChars="200" w:firstLine="561"/>
        <w:jc w:val="both"/>
        <w:rPr>
          <w:rFonts w:ascii="標楷體" w:eastAsia="標楷體"/>
          <w:b/>
          <w:sz w:val="28"/>
          <w:szCs w:val="28"/>
        </w:rPr>
      </w:pPr>
      <w:r>
        <w:rPr>
          <w:rFonts w:ascii="標楷體" w:eastAsia="標楷體" w:hAnsi="標楷體" w:cs="Times New Roman" w:hint="eastAsia"/>
          <w:b/>
          <w:kern w:val="0"/>
          <w:sz w:val="28"/>
          <w:szCs w:val="28"/>
        </w:rPr>
        <w:t>4.</w:t>
      </w:r>
      <w:r>
        <w:rPr>
          <w:rFonts w:ascii="標楷體" w:eastAsia="標楷體" w:hint="eastAsia"/>
          <w:b/>
          <w:sz w:val="28"/>
          <w:szCs w:val="28"/>
        </w:rPr>
        <w:t>優化「北市警政App」以提供更完善警政資訊服務，惟民眾下載次數未隨系統功能優化及擴充而</w:t>
      </w:r>
      <w:r w:rsidRPr="006634C0">
        <w:rPr>
          <w:rFonts w:ascii="標楷體" w:eastAsia="標楷體" w:hAnsi="標楷體" w:cs="Times New Roman" w:hint="eastAsia"/>
          <w:b/>
          <w:bCs/>
          <w:spacing w:val="2"/>
          <w:sz w:val="28"/>
          <w:szCs w:val="28"/>
        </w:rPr>
        <w:t>增加</w:t>
      </w:r>
      <w:r>
        <w:rPr>
          <w:rFonts w:ascii="標楷體" w:eastAsia="標楷體" w:hint="eastAsia"/>
          <w:b/>
          <w:sz w:val="28"/>
          <w:szCs w:val="28"/>
        </w:rPr>
        <w:t>，且委外辦理資通訊業務維護之安全管理</w:t>
      </w:r>
      <w:proofErr w:type="gramStart"/>
      <w:r>
        <w:rPr>
          <w:rFonts w:ascii="標楷體" w:eastAsia="標楷體" w:hint="eastAsia"/>
          <w:b/>
          <w:sz w:val="28"/>
          <w:szCs w:val="28"/>
        </w:rPr>
        <w:t>機制核欠落實</w:t>
      </w:r>
      <w:proofErr w:type="gramEnd"/>
      <w:r>
        <w:rPr>
          <w:rFonts w:ascii="標楷體" w:eastAsia="標楷體" w:hint="eastAsia"/>
          <w:b/>
          <w:sz w:val="28"/>
          <w:szCs w:val="28"/>
        </w:rPr>
        <w:t>，有待積極檢討癥結原因據以</w:t>
      </w:r>
      <w:proofErr w:type="gramStart"/>
      <w:r>
        <w:rPr>
          <w:rFonts w:ascii="標楷體" w:eastAsia="標楷體" w:hint="eastAsia"/>
          <w:b/>
          <w:sz w:val="28"/>
          <w:szCs w:val="28"/>
        </w:rPr>
        <w:t>研謀善策，俾</w:t>
      </w:r>
      <w:proofErr w:type="gramEnd"/>
      <w:r>
        <w:rPr>
          <w:rFonts w:ascii="標楷體" w:eastAsia="標楷體" w:hint="eastAsia"/>
          <w:b/>
          <w:sz w:val="28"/>
          <w:szCs w:val="28"/>
        </w:rPr>
        <w:t>增益系統投入經費效能及確保公務資訊安全。</w:t>
      </w:r>
    </w:p>
    <w:p w14:paraId="7CDAEBDB" w14:textId="77777777" w:rsidR="00AE147C" w:rsidRDefault="00EE7738" w:rsidP="009A0016">
      <w:pPr>
        <w:overflowPunct w:val="0"/>
        <w:spacing w:line="500" w:lineRule="exact"/>
        <w:ind w:firstLineChars="200" w:firstLine="480"/>
        <w:jc w:val="both"/>
        <w:rPr>
          <w:rFonts w:ascii="標楷體" w:eastAsia="標楷體" w:hAnsi="標楷體" w:cs="DFKaiShu-SB-Estd-BF"/>
          <w:szCs w:val="24"/>
        </w:rPr>
      </w:pPr>
      <w:r>
        <w:rPr>
          <w:rFonts w:ascii="標楷體" w:eastAsia="標楷體" w:hAnsi="標楷體" w:cs="DFKaiShu-SB-Estd-BF" w:hint="eastAsia"/>
          <w:szCs w:val="24"/>
        </w:rPr>
        <w:t>警察局為應社會治安及交通方面需求，於102年2月推出「北市警政App」，功能包括110語音、113保護、165</w:t>
      </w:r>
      <w:proofErr w:type="gramStart"/>
      <w:r>
        <w:rPr>
          <w:rFonts w:ascii="標楷體" w:eastAsia="標楷體" w:hAnsi="標楷體" w:cs="DFKaiShu-SB-Estd-BF" w:hint="eastAsia"/>
          <w:szCs w:val="24"/>
        </w:rPr>
        <w:t>反詐等</w:t>
      </w:r>
      <w:proofErr w:type="gramEnd"/>
      <w:r>
        <w:rPr>
          <w:rFonts w:ascii="標楷體" w:eastAsia="標楷體" w:hAnsi="標楷體" w:cs="DFKaiShu-SB-Estd-BF" w:hint="eastAsia"/>
          <w:szCs w:val="24"/>
        </w:rPr>
        <w:t>專線快速撥號及網路、簡訊、視訊等報案服務，供民眾能透過手機免費下載使用，105年重新改版設計上架，</w:t>
      </w:r>
      <w:r w:rsidRPr="00EF51A4">
        <w:rPr>
          <w:rFonts w:ascii="標楷體" w:eastAsia="標楷體" w:hAnsi="標楷體" w:cs="Times New Roman" w:hint="eastAsia"/>
          <w:szCs w:val="24"/>
        </w:rPr>
        <w:t>112</w:t>
      </w:r>
      <w:r>
        <w:rPr>
          <w:rFonts w:ascii="標楷體" w:eastAsia="標楷體" w:hAnsi="標楷體" w:cs="DFKaiShu-SB-Estd-BF" w:hint="eastAsia"/>
          <w:szCs w:val="24"/>
        </w:rPr>
        <w:t>及</w:t>
      </w:r>
      <w:proofErr w:type="gramStart"/>
      <w:r>
        <w:rPr>
          <w:rFonts w:ascii="標楷體" w:eastAsia="標楷體" w:hAnsi="標楷體" w:cs="DFKaiShu-SB-Estd-BF" w:hint="eastAsia"/>
          <w:szCs w:val="24"/>
        </w:rPr>
        <w:t>113</w:t>
      </w:r>
      <w:proofErr w:type="gramEnd"/>
      <w:r>
        <w:rPr>
          <w:rFonts w:ascii="標楷體" w:eastAsia="標楷體" w:hAnsi="標楷體" w:cs="DFKaiShu-SB-Estd-BF" w:hint="eastAsia"/>
          <w:szCs w:val="24"/>
        </w:rPr>
        <w:t>年度進行功能優化及擴充，並分別編列維護經費預算95萬餘元及115萬餘元。經查「北市警政App」維護管理執行情形，核有：（1）委外辦理北市警政App系統</w:t>
      </w:r>
      <w:r w:rsidRPr="006634C0">
        <w:rPr>
          <w:rFonts w:ascii="標楷體" w:eastAsia="標楷體" w:hAnsi="標楷體" w:cs="Times New Roman" w:hint="eastAsia"/>
          <w:szCs w:val="24"/>
        </w:rPr>
        <w:t>維護</w:t>
      </w:r>
      <w:r>
        <w:rPr>
          <w:rFonts w:ascii="標楷體" w:eastAsia="標楷體" w:hAnsi="標楷體" w:cs="DFKaiShu-SB-Estd-BF" w:hint="eastAsia"/>
          <w:szCs w:val="24"/>
        </w:rPr>
        <w:t>服務案，並應各界反映，於</w:t>
      </w:r>
      <w:proofErr w:type="gramStart"/>
      <w:r>
        <w:rPr>
          <w:rFonts w:ascii="標楷體" w:eastAsia="標楷體" w:hAnsi="標楷體" w:cs="DFKaiShu-SB-Estd-BF" w:hint="eastAsia"/>
          <w:szCs w:val="24"/>
        </w:rPr>
        <w:t>112</w:t>
      </w:r>
      <w:proofErr w:type="gramEnd"/>
      <w:r>
        <w:rPr>
          <w:rFonts w:ascii="標楷體" w:eastAsia="標楷體" w:hAnsi="標楷體" w:cs="DFKaiShu-SB-Estd-BF" w:hint="eastAsia"/>
          <w:szCs w:val="24"/>
        </w:rPr>
        <w:t>年度優化「守護安全」、「防空避難」等功能，及</w:t>
      </w:r>
      <w:proofErr w:type="gramStart"/>
      <w:r>
        <w:rPr>
          <w:rFonts w:ascii="標楷體" w:eastAsia="標楷體" w:hAnsi="標楷體" w:cs="DFKaiShu-SB-Estd-BF" w:hint="eastAsia"/>
          <w:szCs w:val="24"/>
        </w:rPr>
        <w:t>113</w:t>
      </w:r>
      <w:proofErr w:type="gramEnd"/>
      <w:r>
        <w:rPr>
          <w:rFonts w:ascii="標楷體" w:eastAsia="標楷體" w:hAnsi="標楷體" w:cs="DFKaiShu-SB-Estd-BF" w:hint="eastAsia"/>
          <w:szCs w:val="24"/>
        </w:rPr>
        <w:t>年度開發無障礙功能設計，完善各項功能。經統計109至113年度，「北市警政App」於iOS及Android雙平</w:t>
      </w:r>
      <w:proofErr w:type="gramStart"/>
      <w:r>
        <w:rPr>
          <w:rFonts w:ascii="標楷體" w:eastAsia="標楷體" w:hAnsi="標楷體" w:cs="DFKaiShu-SB-Estd-BF" w:hint="eastAsia"/>
          <w:szCs w:val="24"/>
        </w:rPr>
        <w:t>臺</w:t>
      </w:r>
      <w:proofErr w:type="gramEnd"/>
      <w:r>
        <w:rPr>
          <w:rFonts w:ascii="標楷體" w:eastAsia="標楷體" w:hAnsi="標楷體" w:cs="DFKaiShu-SB-Estd-BF" w:hint="eastAsia"/>
          <w:szCs w:val="24"/>
        </w:rPr>
        <w:t>下載合計次數，分別為4萬1,435次、3萬8,627次、3萬</w:t>
      </w:r>
    </w:p>
    <w:p w14:paraId="0BD6019F" w14:textId="74E47EA1" w:rsidR="00EE7738" w:rsidRDefault="009A0016" w:rsidP="00AE147C">
      <w:pPr>
        <w:overflowPunct w:val="0"/>
        <w:spacing w:line="500" w:lineRule="exact"/>
        <w:jc w:val="both"/>
        <w:rPr>
          <w:rFonts w:ascii="標楷體" w:eastAsia="標楷體"/>
          <w:b/>
          <w:sz w:val="28"/>
          <w:szCs w:val="28"/>
        </w:rPr>
      </w:pPr>
      <w:r>
        <w:rPr>
          <w:rFonts w:hint="eastAsia"/>
          <w:noProof/>
        </w:rPr>
        <w:lastRenderedPageBreak/>
        <mc:AlternateContent>
          <mc:Choice Requires="wps">
            <w:drawing>
              <wp:anchor distT="0" distB="0" distL="114300" distR="114300" simplePos="0" relativeHeight="251743232" behindDoc="0" locked="0" layoutInCell="1" allowOverlap="1" wp14:anchorId="4B314614" wp14:editId="1DDCE3DD">
                <wp:simplePos x="0" y="0"/>
                <wp:positionH relativeFrom="column">
                  <wp:posOffset>2901950</wp:posOffset>
                </wp:positionH>
                <wp:positionV relativeFrom="paragraph">
                  <wp:posOffset>145415</wp:posOffset>
                </wp:positionV>
                <wp:extent cx="445135" cy="395605"/>
                <wp:effectExtent l="0" t="0" r="0" b="4445"/>
                <wp:wrapNone/>
                <wp:docPr id="927419621" name="文字方塊 927419621"/>
                <wp:cNvGraphicFramePr/>
                <a:graphic xmlns:a="http://schemas.openxmlformats.org/drawingml/2006/main">
                  <a:graphicData uri="http://schemas.microsoft.com/office/word/2010/wordprocessingShape">
                    <wps:wsp>
                      <wps:cNvSpPr txBox="1"/>
                      <wps:spPr>
                        <a:xfrm>
                          <a:off x="0" y="0"/>
                          <a:ext cx="445135" cy="395605"/>
                        </a:xfrm>
                        <a:prstGeom prst="rect">
                          <a:avLst/>
                        </a:prstGeom>
                        <a:noFill/>
                        <a:ln w="6350">
                          <a:noFill/>
                        </a:ln>
                      </wps:spPr>
                      <wps:txbx>
                        <w:txbxContent>
                          <w:p w14:paraId="50447B2D" w14:textId="77777777" w:rsidR="00EE7738" w:rsidRDefault="00EE7738" w:rsidP="00EE7738">
                            <w:pPr>
                              <w:rPr>
                                <w:rFonts w:ascii="標楷體" w:eastAsia="標楷體" w:hAnsi="標楷體"/>
                                <w:sz w:val="20"/>
                                <w:szCs w:val="20"/>
                              </w:rPr>
                            </w:pPr>
                            <w:r>
                              <w:rPr>
                                <w:rFonts w:ascii="標楷體" w:eastAsia="標楷體" w:hAnsi="標楷體" w:hint="eastAsia"/>
                                <w:sz w:val="20"/>
                                <w:szCs w:val="20"/>
                              </w:rPr>
                              <w:t>次數</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314614" id="文字方塊 927419621" o:spid="_x0000_s1113" type="#_x0000_t202" style="position:absolute;left:0;text-align:left;margin-left:228.5pt;margin-top:11.45pt;width:35.05pt;height:31.1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" filled="f" stroked="f" strokeweight=".5pt">
                <v:textbox>
                  <w:txbxContent>
                    <w:p w14:paraId="50447B2D" w14:textId="77777777" w:rsidR="00EE7738" w:rsidRDefault="00EE7738" w:rsidP="00EE7738">
                      <w:pPr>
                        <w:rPr>
                          <w:rFonts w:ascii="標楷體" w:eastAsia="標楷體" w:hAnsi="標楷體"/>
                          <w:sz w:val="20"/>
                          <w:szCs w:val="20"/>
                        </w:rPr>
                      </w:pPr>
                      <w:r>
                        <w:rPr>
                          <w:rFonts w:ascii="標楷體" w:eastAsia="標楷體" w:hAnsi="標楷體" w:hint="eastAsia"/>
                          <w:sz w:val="20"/>
                          <w:szCs w:val="20"/>
                        </w:rPr>
                        <w:t>次數</w:t>
                      </w:r>
                    </w:p>
                  </w:txbxContent>
                </v:textbox>
              </v:shape>
            </w:pict>
          </mc:Fallback>
        </mc:AlternateContent>
      </w:r>
      <w:r>
        <w:rPr>
          <w:rFonts w:hint="eastAsia"/>
          <w:noProof/>
        </w:rPr>
        <mc:AlternateContent>
          <mc:Choice Requires="wps">
            <w:drawing>
              <wp:anchor distT="45720" distB="45720" distL="114300" distR="114300" simplePos="0" relativeHeight="251742208" behindDoc="1" locked="0" layoutInCell="1" allowOverlap="1" wp14:anchorId="3C5A38A5" wp14:editId="410B20E0">
                <wp:simplePos x="0" y="0"/>
                <wp:positionH relativeFrom="column">
                  <wp:posOffset>2686050</wp:posOffset>
                </wp:positionH>
                <wp:positionV relativeFrom="page">
                  <wp:posOffset>1036955</wp:posOffset>
                </wp:positionV>
                <wp:extent cx="3519170" cy="2247900"/>
                <wp:effectExtent l="0" t="0" r="5080" b="0"/>
                <wp:wrapTight wrapText="bothSides">
                  <wp:wrapPolygon edited="0">
                    <wp:start x="0" y="0"/>
                    <wp:lineTo x="0" y="21417"/>
                    <wp:lineTo x="21514" y="21417"/>
                    <wp:lineTo x="21514" y="0"/>
                    <wp:lineTo x="0" y="0"/>
                  </wp:wrapPolygon>
                </wp:wrapTight>
                <wp:docPr id="927419620" name="文字方塊 927419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9170" cy="2247900"/>
                        </a:xfrm>
                        <a:prstGeom prst="rect">
                          <a:avLst/>
                        </a:prstGeom>
                        <a:solidFill>
                          <a:srgbClr val="FFFFFF"/>
                        </a:solidFill>
                        <a:ln w="9525">
                          <a:noFill/>
                          <a:miter lim="800000"/>
                          <a:headEnd/>
                          <a:tailEnd/>
                        </a:ln>
                      </wps:spPr>
                      <wps:txbx>
                        <w:txbxContent>
                          <w:p w14:paraId="3241DA87" w14:textId="77777777" w:rsidR="00EE7738" w:rsidRDefault="00EE7738" w:rsidP="00EE7738">
                            <w:pPr>
                              <w:spacing w:line="240" w:lineRule="exact"/>
                              <w:jc w:val="center"/>
                              <w:rPr>
                                <w:rFonts w:ascii="標楷體" w:eastAsia="標楷體" w:hAnsi="標楷體"/>
                                <w:b/>
                                <w:bCs/>
                              </w:rPr>
                            </w:pPr>
                            <w:bookmarkStart w:id="73" w:name="_Hlk199171247"/>
                            <w:bookmarkEnd w:id="73"/>
                            <w:r>
                              <w:rPr>
                                <w:rFonts w:ascii="標楷體" w:eastAsia="標楷體" w:hAnsi="標楷體" w:hint="eastAsia"/>
                                <w:b/>
                                <w:bCs/>
                              </w:rPr>
                              <w:t>圖1　北市警政App下載情形</w:t>
                            </w:r>
                          </w:p>
                          <w:p w14:paraId="23692C36" w14:textId="22696811" w:rsidR="00EE7738" w:rsidRDefault="00EE7738" w:rsidP="00EE7738">
                            <w:r>
                              <w:rPr>
                                <w:rFonts w:ascii="Calibri" w:eastAsia="Times New Roman" w:hAnsi="Calibri"/>
                                <w:noProof/>
                                <w:kern w:val="0"/>
                                <w:sz w:val="20"/>
                                <w:szCs w:val="20"/>
                              </w:rPr>
                              <w:drawing>
                                <wp:inline distT="0" distB="0" distL="0" distR="0" wp14:anchorId="6E363FFE" wp14:editId="4F87A8F4">
                                  <wp:extent cx="3362325" cy="1781175"/>
                                  <wp:effectExtent l="0" t="0" r="0" b="0"/>
                                  <wp:docPr id="125" name="圖表 125">
                                    <a:extLst xmlns:a="http://schemas.openxmlformats.org/drawingml/2006/main">
                                      <a:ext uri="{FF2B5EF4-FFF2-40B4-BE49-F238E27FC236}">
                                        <a16:creationId xmlns:a16="http://schemas.microsoft.com/office/drawing/2014/main" id="{84568AD9-1809-463B-8D0F-6665F9C39A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4D1CBD1" w14:textId="77777777" w:rsidR="00EE7738" w:rsidRDefault="00EE7738" w:rsidP="00EE7738">
                            <w:pPr>
                              <w:spacing w:line="200" w:lineRule="exact"/>
                              <w:rPr>
                                <w:sz w:val="22"/>
                                <w:szCs w:val="20"/>
                              </w:rPr>
                            </w:pPr>
                            <w:r>
                              <w:rPr>
                                <w:rFonts w:ascii="標楷體" w:eastAsia="標楷體" w:hAnsi="標楷體" w:hint="eastAsia"/>
                                <w:sz w:val="18"/>
                                <w:szCs w:val="20"/>
                              </w:rPr>
                              <w:t>資料來源：整理自警察局提供資料。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5A38A5" id="文字方塊 927419620" o:spid="_x0000_s1114" type="#_x0000_t202" style="position:absolute;left:0;text-align:left;margin-left:211.5pt;margin-top:81.65pt;width:277.1pt;height:177pt;z-index:-2515742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" stroked="f">
                <v:textbox>
                  <w:txbxContent>
                    <w:p w14:paraId="3241DA87" w14:textId="77777777" w:rsidR="00EE7738" w:rsidRDefault="00EE7738" w:rsidP="00EE7738">
                      <w:pPr>
                        <w:spacing w:line="240" w:lineRule="exact"/>
                        <w:jc w:val="center"/>
                        <w:rPr>
                          <w:rFonts w:ascii="標楷體" w:eastAsia="標楷體" w:hAnsi="標楷體"/>
                          <w:b/>
                          <w:bCs/>
                        </w:rPr>
                      </w:pPr>
                      <w:bookmarkStart w:id="75" w:name="_Hlk199171247"/>
                      <w:bookmarkEnd w:id="75"/>
                      <w:r>
                        <w:rPr>
                          <w:rFonts w:ascii="標楷體" w:eastAsia="標楷體" w:hAnsi="標楷體" w:hint="eastAsia"/>
                          <w:b/>
                          <w:bCs/>
                        </w:rPr>
                        <w:t>圖1　北市警政App下載情形</w:t>
                      </w:r>
                    </w:p>
                    <w:p w14:paraId="23692C36" w14:textId="22696811" w:rsidR="00EE7738" w:rsidRDefault="00EE7738" w:rsidP="00EE7738">
                      <w:r>
                        <w:rPr>
                          <w:rFonts w:ascii="Calibri" w:eastAsia="Times New Roman" w:hAnsi="Calibri"/>
                          <w:noProof/>
                          <w:kern w:val="0"/>
                          <w:sz w:val="20"/>
                          <w:szCs w:val="20"/>
                        </w:rPr>
                        <w:drawing>
                          <wp:inline distT="0" distB="0" distL="0" distR="0" wp14:anchorId="6E363FFE" wp14:editId="4F87A8F4">
                            <wp:extent cx="3362325" cy="1781175"/>
                            <wp:effectExtent l="0" t="0" r="0" b="0"/>
                            <wp:docPr id="125" name="圖表 125">
                              <a:extLst xmlns:a="http://schemas.openxmlformats.org/drawingml/2006/main">
                                <a:ext uri="{FF2B5EF4-FFF2-40B4-BE49-F238E27FC236}">
                                  <a16:creationId xmlns:a16="http://schemas.microsoft.com/office/drawing/2014/main" id="{84568AD9-1809-463B-8D0F-6665F9C39A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14D1CBD1" w14:textId="77777777" w:rsidR="00EE7738" w:rsidRDefault="00EE7738" w:rsidP="00EE7738">
                      <w:pPr>
                        <w:spacing w:line="200" w:lineRule="exact"/>
                        <w:rPr>
                          <w:sz w:val="22"/>
                          <w:szCs w:val="20"/>
                        </w:rPr>
                      </w:pPr>
                      <w:r>
                        <w:rPr>
                          <w:rFonts w:ascii="標楷體" w:eastAsia="標楷體" w:hAnsi="標楷體" w:hint="eastAsia"/>
                          <w:sz w:val="18"/>
                          <w:szCs w:val="20"/>
                        </w:rPr>
                        <w:t>資料來源：整理自警察局提供資料。</w:t>
                      </w:r>
                    </w:p>
                  </w:txbxContent>
                </v:textbox>
                <w10:wrap type="tight" anchory="page"/>
              </v:shape>
            </w:pict>
          </mc:Fallback>
        </mc:AlternateContent>
      </w:r>
      <w:r w:rsidR="00EE7738">
        <w:rPr>
          <w:rFonts w:ascii="標楷體" w:eastAsia="標楷體" w:hAnsi="標楷體" w:cs="DFKaiShu-SB-Estd-BF" w:hint="eastAsia"/>
          <w:szCs w:val="24"/>
        </w:rPr>
        <w:t>8,685次、3萬1,994次、2萬3,798次（圖1），平均每月下載次數自</w:t>
      </w:r>
      <w:proofErr w:type="gramStart"/>
      <w:r w:rsidR="00EE7738">
        <w:rPr>
          <w:rFonts w:ascii="標楷體" w:eastAsia="標楷體" w:hAnsi="標楷體" w:cs="DFKaiShu-SB-Estd-BF" w:hint="eastAsia"/>
          <w:szCs w:val="24"/>
        </w:rPr>
        <w:t>109</w:t>
      </w:r>
      <w:proofErr w:type="gramEnd"/>
      <w:r w:rsidR="00EE7738">
        <w:rPr>
          <w:rFonts w:ascii="標楷體" w:eastAsia="標楷體" w:hAnsi="標楷體" w:cs="DFKaiShu-SB-Estd-BF" w:hint="eastAsia"/>
          <w:szCs w:val="24"/>
        </w:rPr>
        <w:t>年度3,452次下降至113年1,983次，民眾下載使用情形未隨系統功能優化及擴充而增加；（2）經調閱「北市警政App」</w:t>
      </w:r>
      <w:r>
        <w:rPr>
          <w:rFonts w:hint="eastAsia"/>
          <w:noProof/>
        </w:rPr>
        <mc:AlternateContent>
          <mc:Choice Requires="wps">
            <w:drawing>
              <wp:anchor distT="0" distB="0" distL="114300" distR="114300" simplePos="0" relativeHeight="251744256" behindDoc="0" locked="0" layoutInCell="1" allowOverlap="1" wp14:anchorId="6C3BE170" wp14:editId="16A35A95">
                <wp:simplePos x="0" y="0"/>
                <wp:positionH relativeFrom="column">
                  <wp:posOffset>5913120</wp:posOffset>
                </wp:positionH>
                <wp:positionV relativeFrom="paragraph">
                  <wp:posOffset>1856105</wp:posOffset>
                </wp:positionV>
                <wp:extent cx="445135" cy="288290"/>
                <wp:effectExtent l="0" t="0" r="0" b="0"/>
                <wp:wrapNone/>
                <wp:docPr id="927419618" name="文字方塊 927419618"/>
                <wp:cNvGraphicFramePr/>
                <a:graphic xmlns:a="http://schemas.openxmlformats.org/drawingml/2006/main">
                  <a:graphicData uri="http://schemas.microsoft.com/office/word/2010/wordprocessingShape">
                    <wps:wsp>
                      <wps:cNvSpPr txBox="1"/>
                      <wps:spPr>
                        <a:xfrm>
                          <a:off x="0" y="0"/>
                          <a:ext cx="445135" cy="288290"/>
                        </a:xfrm>
                        <a:prstGeom prst="rect">
                          <a:avLst/>
                        </a:prstGeom>
                        <a:noFill/>
                        <a:ln w="6350">
                          <a:noFill/>
                        </a:ln>
                      </wps:spPr>
                      <wps:txbx>
                        <w:txbxContent>
                          <w:p w14:paraId="34C2A5D5" w14:textId="77777777" w:rsidR="00EE7738" w:rsidRDefault="00EE7738" w:rsidP="00EE7738">
                            <w:pPr>
                              <w:spacing w:beforeLines="10" w:before="36" w:line="240" w:lineRule="exact"/>
                              <w:rPr>
                                <w:rFonts w:ascii="標楷體" w:eastAsia="標楷體" w:hAnsi="標楷體"/>
                                <w:sz w:val="20"/>
                                <w:szCs w:val="20"/>
                              </w:rPr>
                            </w:pPr>
                            <w:r>
                              <w:rPr>
                                <w:rFonts w:ascii="標楷體" w:eastAsia="標楷體" w:hAnsi="標楷體" w:hint="eastAsia"/>
                                <w:sz w:val="20"/>
                                <w:szCs w:val="20"/>
                              </w:rPr>
                              <w:t>年度</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3BE170" id="文字方塊 927419618" o:spid="_x0000_s1115" type="#_x0000_t202" style="position:absolute;left:0;text-align:left;margin-left:465.6pt;margin-top:146.15pt;width:35.05pt;height:22.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" filled="f" stroked="f" strokeweight=".5pt">
                <v:textbox>
                  <w:txbxContent>
                    <w:p w14:paraId="34C2A5D5" w14:textId="77777777" w:rsidR="00EE7738" w:rsidRDefault="00EE7738" w:rsidP="00EE7738">
                      <w:pPr>
                        <w:spacing w:beforeLines="10" w:before="36" w:line="240" w:lineRule="exact"/>
                        <w:rPr>
                          <w:rFonts w:ascii="標楷體" w:eastAsia="標楷體" w:hAnsi="標楷體"/>
                          <w:sz w:val="20"/>
                          <w:szCs w:val="20"/>
                        </w:rPr>
                      </w:pPr>
                      <w:r>
                        <w:rPr>
                          <w:rFonts w:ascii="標楷體" w:eastAsia="標楷體" w:hAnsi="標楷體" w:hint="eastAsia"/>
                          <w:sz w:val="20"/>
                          <w:szCs w:val="20"/>
                        </w:rPr>
                        <w:t>年度</w:t>
                      </w:r>
                    </w:p>
                  </w:txbxContent>
                </v:textbox>
              </v:shape>
            </w:pict>
          </mc:Fallback>
        </mc:AlternateContent>
      </w:r>
      <w:proofErr w:type="gramStart"/>
      <w:r w:rsidR="00EE7738">
        <w:rPr>
          <w:rFonts w:ascii="標楷體" w:eastAsia="標楷體" w:hAnsi="標楷體" w:cs="DFKaiShu-SB-Estd-BF" w:hint="eastAsia"/>
          <w:szCs w:val="24"/>
        </w:rPr>
        <w:t>112</w:t>
      </w:r>
      <w:proofErr w:type="gramEnd"/>
      <w:r w:rsidR="00EE7738">
        <w:rPr>
          <w:rFonts w:ascii="標楷體" w:eastAsia="標楷體" w:hAnsi="標楷體" w:cs="DFKaiShu-SB-Estd-BF" w:hint="eastAsia"/>
          <w:szCs w:val="24"/>
        </w:rPr>
        <w:t>年度及</w:t>
      </w:r>
      <w:proofErr w:type="gramStart"/>
      <w:r w:rsidR="00EE7738">
        <w:rPr>
          <w:rFonts w:ascii="標楷體" w:eastAsia="標楷體" w:hAnsi="標楷體" w:cs="DFKaiShu-SB-Estd-BF" w:hint="eastAsia"/>
          <w:szCs w:val="24"/>
        </w:rPr>
        <w:t>113</w:t>
      </w:r>
      <w:proofErr w:type="gramEnd"/>
      <w:r w:rsidR="00EE7738">
        <w:rPr>
          <w:rFonts w:ascii="標楷體" w:eastAsia="標楷體" w:hAnsi="標楷體" w:cs="DFKaiShu-SB-Estd-BF" w:hint="eastAsia"/>
          <w:szCs w:val="24"/>
        </w:rPr>
        <w:t>年度第1至2季廠商提出之維護/修紀錄單與警察局機房出入管制</w:t>
      </w:r>
      <w:proofErr w:type="gramStart"/>
      <w:r w:rsidR="00EE7738">
        <w:rPr>
          <w:rFonts w:ascii="標楷體" w:eastAsia="標楷體" w:hAnsi="標楷體" w:cs="DFKaiShu-SB-Estd-BF" w:hint="eastAsia"/>
          <w:szCs w:val="24"/>
        </w:rPr>
        <w:t>簿</w:t>
      </w:r>
      <w:proofErr w:type="gramEnd"/>
      <w:r w:rsidR="00EE7738">
        <w:rPr>
          <w:rFonts w:ascii="標楷體" w:eastAsia="標楷體" w:hAnsi="標楷體" w:cs="DFKaiShu-SB-Estd-BF" w:hint="eastAsia"/>
          <w:szCs w:val="24"/>
        </w:rPr>
        <w:t>相互勾</w:t>
      </w:r>
      <w:proofErr w:type="gramStart"/>
      <w:r w:rsidR="00EE7738">
        <w:rPr>
          <w:rFonts w:ascii="標楷體" w:eastAsia="標楷體" w:hAnsi="標楷體" w:cs="DFKaiShu-SB-Estd-BF" w:hint="eastAsia"/>
          <w:szCs w:val="24"/>
        </w:rPr>
        <w:t>稽</w:t>
      </w:r>
      <w:proofErr w:type="gramEnd"/>
      <w:r w:rsidR="00EE7738">
        <w:rPr>
          <w:rFonts w:ascii="標楷體" w:eastAsia="標楷體" w:hAnsi="標楷體" w:cs="DFKaiShu-SB-Estd-BF" w:hint="eastAsia"/>
          <w:szCs w:val="24"/>
        </w:rPr>
        <w:t>比對結果，發現實際進出機房人員，非屬廠商報經同意之服務團隊成員，且部分人員未簽署保密同意書，資通訊委外維護服務之安全管理機制欠落實等情事，經函請檢討改善。據復：（1）已於局內會議提出「北市警政App」下載人數進行檢討，每月定期提報市府列管，並舉辦各項宣導活動，以增加民眾下載使用意願；（2）已要求廠商補提服務團隊成員名冊及相關資料送局留存備查，並通知廠商嗣後應確實依規定於人員異動生效日前10個工作天提供名冊報核審查，及依規定填寫保密切結書。</w:t>
      </w:r>
    </w:p>
    <w:p w14:paraId="2C08D6FA" w14:textId="5B3A66F1" w:rsidR="00EE7738" w:rsidRDefault="00EE7738" w:rsidP="009A0016">
      <w:pPr>
        <w:suppressAutoHyphens/>
        <w:overflowPunct w:val="0"/>
        <w:spacing w:beforeLines="50" w:before="180" w:line="500" w:lineRule="exact"/>
        <w:ind w:firstLineChars="100" w:firstLine="280"/>
        <w:jc w:val="both"/>
        <w:rPr>
          <w:rFonts w:ascii="標楷體" w:eastAsia="標楷體" w:hAnsi="標楷體" w:cs="Times New Roman"/>
          <w:b/>
          <w:kern w:val="0"/>
          <w:sz w:val="28"/>
          <w:szCs w:val="28"/>
        </w:rPr>
      </w:pPr>
      <w:r>
        <w:rPr>
          <w:rFonts w:ascii="標楷體" w:eastAsia="標楷體" w:hAnsi="標楷體" w:cs="Times New Roman" w:hint="eastAsia"/>
          <w:b/>
          <w:kern w:val="0"/>
          <w:sz w:val="28"/>
          <w:szCs w:val="28"/>
        </w:rPr>
        <w:t>（四）</w:t>
      </w:r>
      <w:proofErr w:type="gramStart"/>
      <w:r>
        <w:rPr>
          <w:rFonts w:ascii="標楷體" w:eastAsia="標楷體" w:hAnsi="標楷體" w:cs="Times New Roman" w:hint="eastAsia"/>
          <w:b/>
          <w:kern w:val="0"/>
          <w:sz w:val="28"/>
          <w:szCs w:val="28"/>
        </w:rPr>
        <w:t>112</w:t>
      </w:r>
      <w:proofErr w:type="gramEnd"/>
      <w:r>
        <w:rPr>
          <w:rFonts w:ascii="標楷體" w:eastAsia="標楷體" w:hAnsi="標楷體" w:cs="Times New Roman" w:hint="eastAsia"/>
          <w:b/>
          <w:kern w:val="0"/>
          <w:sz w:val="28"/>
          <w:szCs w:val="28"/>
        </w:rPr>
        <w:t>年度重要審核意見追蹤查核情形</w:t>
      </w:r>
    </w:p>
    <w:p w14:paraId="6A2C00B8" w14:textId="2F85EAF4" w:rsidR="00EE7738" w:rsidRDefault="00EE7738" w:rsidP="009A0016">
      <w:pPr>
        <w:overflowPunct w:val="0"/>
        <w:spacing w:afterLines="30" w:after="108" w:line="460" w:lineRule="exact"/>
        <w:ind w:firstLineChars="200" w:firstLine="480"/>
        <w:jc w:val="both"/>
        <w:rPr>
          <w:rFonts w:ascii="標楷體" w:eastAsia="標楷體" w:hAnsi="標楷體" w:cs="Times New Roman"/>
          <w:kern w:val="0"/>
          <w:szCs w:val="24"/>
        </w:rPr>
      </w:pPr>
      <w:r>
        <w:rPr>
          <w:rFonts w:ascii="標楷體" w:eastAsia="標楷體" w:hAnsi="標楷體" w:cs="Times New Roman" w:hint="eastAsia"/>
          <w:kern w:val="0"/>
          <w:szCs w:val="24"/>
        </w:rPr>
        <w:t>本處於</w:t>
      </w:r>
      <w:proofErr w:type="gramStart"/>
      <w:r>
        <w:rPr>
          <w:rFonts w:ascii="標楷體" w:eastAsia="標楷體" w:hAnsi="標楷體" w:cs="Times New Roman" w:hint="eastAsia"/>
          <w:kern w:val="0"/>
          <w:szCs w:val="24"/>
        </w:rPr>
        <w:t>112</w:t>
      </w:r>
      <w:proofErr w:type="gramEnd"/>
      <w:r>
        <w:rPr>
          <w:rFonts w:ascii="標楷體" w:eastAsia="標楷體" w:hAnsi="標楷體" w:cs="Times New Roman" w:hint="eastAsia"/>
          <w:kern w:val="0"/>
          <w:szCs w:val="24"/>
        </w:rPr>
        <w:t>年度審核報告內列重要審核意見4項，經</w:t>
      </w:r>
      <w:proofErr w:type="gramStart"/>
      <w:r>
        <w:rPr>
          <w:rFonts w:ascii="標楷體" w:eastAsia="標楷體" w:hAnsi="標楷體" w:cs="Times New Roman" w:hint="eastAsia"/>
          <w:kern w:val="0"/>
          <w:szCs w:val="24"/>
        </w:rPr>
        <w:t>賡</w:t>
      </w:r>
      <w:proofErr w:type="gramEnd"/>
      <w:r>
        <w:rPr>
          <w:rFonts w:ascii="標楷體" w:eastAsia="標楷體" w:hAnsi="標楷體" w:cs="Times New Roman" w:hint="eastAsia"/>
          <w:kern w:val="0"/>
          <w:szCs w:val="24"/>
        </w:rPr>
        <w:t>續追蹤查核實際辦理結果，均已</w:t>
      </w:r>
      <w:proofErr w:type="gramStart"/>
      <w:r>
        <w:rPr>
          <w:rFonts w:ascii="標楷體" w:eastAsia="標楷體" w:hAnsi="標楷體" w:cs="Times New Roman" w:hint="eastAsia"/>
          <w:kern w:val="0"/>
          <w:szCs w:val="24"/>
        </w:rPr>
        <w:t>研</w:t>
      </w:r>
      <w:proofErr w:type="gramEnd"/>
      <w:r>
        <w:rPr>
          <w:rFonts w:ascii="標楷體" w:eastAsia="標楷體" w:hAnsi="標楷體" w:cs="Times New Roman" w:hint="eastAsia"/>
          <w:kern w:val="0"/>
          <w:szCs w:val="24"/>
        </w:rPr>
        <w:t>謀改善或依改善措施持續辦理（表3）。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46"/>
        <w:gridCol w:w="2977"/>
      </w:tblGrid>
      <w:tr w:rsidR="00EE7738" w14:paraId="572CE4E7" w14:textId="77777777" w:rsidTr="00EE7738">
        <w:trPr>
          <w:trHeight w:val="573"/>
          <w:jc w:val="center"/>
        </w:trPr>
        <w:tc>
          <w:tcPr>
            <w:tcW w:w="5000" w:type="pct"/>
            <w:gridSpan w:val="2"/>
            <w:tcBorders>
              <w:top w:val="nil"/>
              <w:left w:val="nil"/>
              <w:bottom w:val="single" w:sz="4" w:space="0" w:color="auto"/>
              <w:right w:val="nil"/>
            </w:tcBorders>
            <w:vAlign w:val="center"/>
            <w:hideMark/>
          </w:tcPr>
          <w:p w14:paraId="3524931F" w14:textId="15226F51" w:rsidR="00EE7738" w:rsidRDefault="00EE7738" w:rsidP="009A0016">
            <w:pPr>
              <w:overflowPunct w:val="0"/>
              <w:snapToGrid w:val="0"/>
              <w:spacing w:beforeLines="40" w:before="144" w:afterLines="40" w:after="144" w:line="280" w:lineRule="exact"/>
              <w:jc w:val="center"/>
              <w:rPr>
                <w:rFonts w:ascii="標楷體" w:eastAsia="標楷體" w:hAnsi="標楷體" w:cs="Times New Roman"/>
                <w:sz w:val="20"/>
                <w:szCs w:val="20"/>
              </w:rPr>
            </w:pPr>
            <w:r>
              <w:rPr>
                <w:rFonts w:ascii="標楷體" w:eastAsia="標楷體" w:hAnsi="標楷體" w:cs="Times New Roman" w:hint="eastAsia"/>
                <w:b/>
                <w:szCs w:val="24"/>
              </w:rPr>
              <w:t xml:space="preserve">表3　</w:t>
            </w:r>
            <w:proofErr w:type="gramStart"/>
            <w:r>
              <w:rPr>
                <w:rFonts w:ascii="標楷體" w:eastAsia="標楷體" w:hAnsi="標楷體" w:cs="Times New Roman" w:hint="eastAsia"/>
                <w:b/>
                <w:szCs w:val="24"/>
              </w:rPr>
              <w:t>112</w:t>
            </w:r>
            <w:proofErr w:type="gramEnd"/>
            <w:r>
              <w:rPr>
                <w:rFonts w:ascii="標楷體" w:eastAsia="標楷體" w:hAnsi="標楷體" w:cs="Times New Roman" w:hint="eastAsia"/>
                <w:b/>
                <w:szCs w:val="24"/>
              </w:rPr>
              <w:t>年度審核報告所列警察局主管重要審核意見覆核辦理情形</w:t>
            </w:r>
          </w:p>
        </w:tc>
      </w:tr>
      <w:tr w:rsidR="00EE7738" w14:paraId="487B06F0" w14:textId="77777777" w:rsidTr="009A0016">
        <w:trPr>
          <w:trHeight w:hRule="exact" w:val="454"/>
          <w:jc w:val="center"/>
        </w:trPr>
        <w:tc>
          <w:tcPr>
            <w:tcW w:w="3500" w:type="pct"/>
            <w:tcBorders>
              <w:top w:val="single" w:sz="4" w:space="0" w:color="auto"/>
              <w:left w:val="single" w:sz="4" w:space="0" w:color="auto"/>
              <w:bottom w:val="single" w:sz="4" w:space="0" w:color="auto"/>
              <w:right w:val="single" w:sz="4" w:space="0" w:color="auto"/>
            </w:tcBorders>
            <w:vAlign w:val="center"/>
            <w:hideMark/>
          </w:tcPr>
          <w:p w14:paraId="7056472F" w14:textId="65E8F9C2" w:rsidR="00EE7738" w:rsidRDefault="00EE7738">
            <w:pPr>
              <w:overflowPunct w:val="0"/>
              <w:snapToGrid w:val="0"/>
              <w:spacing w:afterLines="10" w:after="36" w:line="30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重要審核意見標題</w:t>
            </w:r>
          </w:p>
        </w:tc>
        <w:tc>
          <w:tcPr>
            <w:tcW w:w="1500" w:type="pct"/>
            <w:tcBorders>
              <w:top w:val="single" w:sz="4" w:space="0" w:color="auto"/>
              <w:left w:val="single" w:sz="4" w:space="0" w:color="auto"/>
              <w:bottom w:val="single" w:sz="4" w:space="0" w:color="auto"/>
              <w:right w:val="single" w:sz="4" w:space="0" w:color="auto"/>
            </w:tcBorders>
            <w:vAlign w:val="center"/>
            <w:hideMark/>
          </w:tcPr>
          <w:p w14:paraId="38F5CB0A" w14:textId="6576E756" w:rsidR="00EE7738" w:rsidRDefault="00EE7738">
            <w:pPr>
              <w:overflowPunct w:val="0"/>
              <w:snapToGrid w:val="0"/>
              <w:spacing w:afterLines="10" w:after="36" w:line="300" w:lineRule="exact"/>
              <w:jc w:val="center"/>
              <w:rPr>
                <w:rFonts w:ascii="標楷體" w:eastAsia="標楷體" w:hAnsi="標楷體" w:cs="Times New Roman"/>
                <w:sz w:val="20"/>
                <w:szCs w:val="20"/>
              </w:rPr>
            </w:pPr>
            <w:r>
              <w:rPr>
                <w:rFonts w:ascii="標楷體" w:eastAsia="標楷體" w:hAnsi="標楷體" w:cs="Times New Roman" w:hint="eastAsia"/>
                <w:sz w:val="20"/>
                <w:szCs w:val="20"/>
              </w:rPr>
              <w:t>說明</w:t>
            </w:r>
          </w:p>
        </w:tc>
      </w:tr>
      <w:tr w:rsidR="00EE7738" w14:paraId="3FACEE84" w14:textId="77777777" w:rsidTr="009A0016">
        <w:trPr>
          <w:trHeight w:hRule="exact" w:val="454"/>
          <w:jc w:val="center"/>
        </w:trPr>
        <w:tc>
          <w:tcPr>
            <w:tcW w:w="3500" w:type="pct"/>
            <w:tcBorders>
              <w:top w:val="single" w:sz="4" w:space="0" w:color="auto"/>
              <w:left w:val="single" w:sz="4" w:space="0" w:color="auto"/>
              <w:bottom w:val="single" w:sz="4" w:space="0" w:color="auto"/>
              <w:right w:val="nil"/>
            </w:tcBorders>
            <w:vAlign w:val="center"/>
            <w:hideMark/>
          </w:tcPr>
          <w:p w14:paraId="32C609E4" w14:textId="70487CCA" w:rsidR="00EE7738" w:rsidRDefault="00EE7738">
            <w:pPr>
              <w:overflowPunct w:val="0"/>
              <w:snapToGrid w:val="0"/>
              <w:spacing w:afterLines="10" w:after="36" w:line="300" w:lineRule="exact"/>
              <w:rPr>
                <w:rFonts w:ascii="標楷體" w:eastAsia="標楷體" w:hAnsi="標楷體" w:cs="Times New Roman"/>
                <w:b/>
                <w:sz w:val="20"/>
                <w:szCs w:val="20"/>
              </w:rPr>
            </w:pPr>
            <w:r>
              <w:rPr>
                <w:rFonts w:ascii="標楷體" w:eastAsia="標楷體" w:hAnsi="標楷體" w:cs="Times New Roman" w:hint="eastAsia"/>
                <w:b/>
                <w:sz w:val="20"/>
                <w:szCs w:val="20"/>
              </w:rPr>
              <w:t>已</w:t>
            </w:r>
            <w:proofErr w:type="gramStart"/>
            <w:r>
              <w:rPr>
                <w:rFonts w:ascii="標楷體" w:eastAsia="標楷體" w:hAnsi="標楷體" w:cs="Times New Roman" w:hint="eastAsia"/>
                <w:b/>
                <w:sz w:val="20"/>
                <w:szCs w:val="20"/>
              </w:rPr>
              <w:t>研</w:t>
            </w:r>
            <w:proofErr w:type="gramEnd"/>
            <w:r>
              <w:rPr>
                <w:rFonts w:ascii="標楷體" w:eastAsia="標楷體" w:hAnsi="標楷體" w:cs="Times New Roman" w:hint="eastAsia"/>
                <w:b/>
                <w:sz w:val="20"/>
                <w:szCs w:val="20"/>
              </w:rPr>
              <w:t>謀改善或依改善措施持續辦理</w:t>
            </w:r>
          </w:p>
        </w:tc>
        <w:tc>
          <w:tcPr>
            <w:tcW w:w="1500" w:type="pct"/>
            <w:tcBorders>
              <w:top w:val="single" w:sz="4" w:space="0" w:color="auto"/>
              <w:left w:val="nil"/>
              <w:bottom w:val="single" w:sz="4" w:space="0" w:color="auto"/>
              <w:right w:val="single" w:sz="4" w:space="0" w:color="auto"/>
            </w:tcBorders>
            <w:vAlign w:val="center"/>
          </w:tcPr>
          <w:p w14:paraId="72764E76" w14:textId="479B8A1E" w:rsidR="00EE7738" w:rsidRDefault="00EE7738">
            <w:pPr>
              <w:overflowPunct w:val="0"/>
              <w:snapToGrid w:val="0"/>
              <w:spacing w:afterLines="10" w:after="36" w:line="260" w:lineRule="exact"/>
              <w:rPr>
                <w:rFonts w:ascii="標楷體" w:eastAsia="標楷體" w:hAnsi="標楷體" w:cs="Times New Roman"/>
                <w:sz w:val="20"/>
                <w:szCs w:val="20"/>
              </w:rPr>
            </w:pPr>
          </w:p>
        </w:tc>
      </w:tr>
      <w:tr w:rsidR="00EE7738" w14:paraId="422CEBB3" w14:textId="77777777" w:rsidTr="009A0016">
        <w:trPr>
          <w:trHeight w:val="964"/>
          <w:jc w:val="center"/>
        </w:trPr>
        <w:tc>
          <w:tcPr>
            <w:tcW w:w="3500" w:type="pct"/>
            <w:tcBorders>
              <w:top w:val="single" w:sz="4" w:space="0" w:color="auto"/>
              <w:left w:val="single" w:sz="4" w:space="0" w:color="auto"/>
              <w:bottom w:val="single" w:sz="4" w:space="0" w:color="auto"/>
              <w:right w:val="single" w:sz="4" w:space="0" w:color="auto"/>
            </w:tcBorders>
            <w:vAlign w:val="center"/>
            <w:hideMark/>
          </w:tcPr>
          <w:p w14:paraId="68471C49" w14:textId="0AF72B35" w:rsidR="00EE7738" w:rsidRDefault="00EE7738">
            <w:pPr>
              <w:overflowPunct w:val="0"/>
              <w:snapToGrid w:val="0"/>
              <w:spacing w:afterLines="10" w:after="36" w:line="280" w:lineRule="exact"/>
              <w:ind w:left="20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1.政府考量警察整體勤務繁重，持續調增相關加給等措施，然臺北市員警缺額尚未補足，警力逐漸高齡化，離職率亦有增加趨勢，允待</w:t>
            </w:r>
            <w:proofErr w:type="gramStart"/>
            <w:r>
              <w:rPr>
                <w:rFonts w:ascii="標楷體" w:eastAsia="標楷體" w:hAnsi="標楷體" w:cs="Times New Roman" w:hint="eastAsia"/>
                <w:sz w:val="20"/>
                <w:szCs w:val="20"/>
              </w:rPr>
              <w:t>研謀善策</w:t>
            </w:r>
            <w:proofErr w:type="gramEnd"/>
            <w:r>
              <w:rPr>
                <w:rFonts w:ascii="標楷體" w:eastAsia="標楷體" w:hAnsi="標楷體" w:cs="Times New Roman" w:hint="eastAsia"/>
                <w:sz w:val="20"/>
                <w:szCs w:val="20"/>
              </w:rPr>
              <w:t>，優化警職勤務環境，以提供民眾更佳服務。</w:t>
            </w:r>
          </w:p>
        </w:tc>
        <w:tc>
          <w:tcPr>
            <w:tcW w:w="1500" w:type="pct"/>
            <w:vMerge w:val="restart"/>
            <w:tcBorders>
              <w:top w:val="single" w:sz="4" w:space="0" w:color="auto"/>
              <w:left w:val="single" w:sz="4" w:space="0" w:color="auto"/>
              <w:bottom w:val="single" w:sz="4" w:space="0" w:color="auto"/>
              <w:right w:val="single" w:sz="4" w:space="0" w:color="auto"/>
              <w:tl2br w:val="single" w:sz="4" w:space="0" w:color="auto"/>
            </w:tcBorders>
          </w:tcPr>
          <w:p w14:paraId="0B1510A9" w14:textId="2C5B5931" w:rsidR="00EE7738" w:rsidRDefault="00EE7738">
            <w:pPr>
              <w:overflowPunct w:val="0"/>
              <w:snapToGrid w:val="0"/>
              <w:spacing w:afterLines="10" w:after="36" w:line="260" w:lineRule="exact"/>
              <w:rPr>
                <w:rFonts w:ascii="標楷體" w:eastAsia="標楷體" w:hAnsi="標楷體" w:cs="Times New Roman"/>
                <w:sz w:val="20"/>
                <w:szCs w:val="20"/>
              </w:rPr>
            </w:pPr>
          </w:p>
        </w:tc>
      </w:tr>
      <w:tr w:rsidR="00EE7738" w14:paraId="4B97BE53" w14:textId="77777777" w:rsidTr="009A0016">
        <w:trPr>
          <w:trHeight w:val="1247"/>
          <w:jc w:val="center"/>
        </w:trPr>
        <w:tc>
          <w:tcPr>
            <w:tcW w:w="3500" w:type="pct"/>
            <w:tcBorders>
              <w:top w:val="single" w:sz="4" w:space="0" w:color="auto"/>
              <w:left w:val="single" w:sz="4" w:space="0" w:color="auto"/>
              <w:bottom w:val="single" w:sz="4" w:space="0" w:color="auto"/>
              <w:right w:val="single" w:sz="4" w:space="0" w:color="auto"/>
            </w:tcBorders>
            <w:vAlign w:val="center"/>
            <w:hideMark/>
          </w:tcPr>
          <w:p w14:paraId="505B16BB" w14:textId="2576BC05" w:rsidR="00EE7738" w:rsidRDefault="00EE7738">
            <w:pPr>
              <w:overflowPunct w:val="0"/>
              <w:snapToGrid w:val="0"/>
              <w:spacing w:afterLines="10" w:after="36" w:line="280" w:lineRule="exact"/>
              <w:ind w:left="20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2.為維護婦幼安全及預防少年犯罪，</w:t>
            </w:r>
            <w:proofErr w:type="gramStart"/>
            <w:r>
              <w:rPr>
                <w:rFonts w:ascii="標楷體" w:eastAsia="標楷體" w:hAnsi="標楷體" w:cs="Times New Roman" w:hint="eastAsia"/>
                <w:sz w:val="20"/>
                <w:szCs w:val="20"/>
              </w:rPr>
              <w:t>賡</w:t>
            </w:r>
            <w:proofErr w:type="gramEnd"/>
            <w:r>
              <w:rPr>
                <w:rFonts w:ascii="標楷體" w:eastAsia="標楷體" w:hAnsi="標楷體" w:cs="Times New Roman" w:hint="eastAsia"/>
                <w:sz w:val="20"/>
                <w:szCs w:val="20"/>
              </w:rPr>
              <w:t>續加強查緝並辦理犯罪防制及保護查察勤務，惟配合教育局辦理之校園宣導尚待普及至轄內國小至高中（職）學校；</w:t>
            </w:r>
            <w:proofErr w:type="gramStart"/>
            <w:r>
              <w:rPr>
                <w:rFonts w:ascii="標楷體" w:eastAsia="標楷體" w:hAnsi="標楷體" w:cs="Times New Roman" w:hint="eastAsia"/>
                <w:sz w:val="20"/>
                <w:szCs w:val="20"/>
              </w:rPr>
              <w:t>另間有未</w:t>
            </w:r>
            <w:proofErr w:type="gramEnd"/>
            <w:r>
              <w:rPr>
                <w:rFonts w:ascii="標楷體" w:eastAsia="標楷體" w:hAnsi="標楷體" w:cs="Times New Roman" w:hint="eastAsia"/>
                <w:sz w:val="20"/>
                <w:szCs w:val="20"/>
              </w:rPr>
              <w:t>依規定頻率辦理家庭暴力相對人查訪工作，或未將部分少年刑案發生</w:t>
            </w:r>
            <w:proofErr w:type="gramStart"/>
            <w:r>
              <w:rPr>
                <w:rFonts w:ascii="標楷體" w:eastAsia="標楷體" w:hAnsi="標楷體" w:cs="Times New Roman" w:hint="eastAsia"/>
                <w:sz w:val="20"/>
                <w:szCs w:val="20"/>
              </w:rPr>
              <w:t>熱點納列校外</w:t>
            </w:r>
            <w:proofErr w:type="gramEnd"/>
            <w:r>
              <w:rPr>
                <w:rFonts w:ascii="標楷體" w:eastAsia="標楷體" w:hAnsi="標楷體" w:cs="Times New Roman" w:hint="eastAsia"/>
                <w:sz w:val="20"/>
                <w:szCs w:val="20"/>
              </w:rPr>
              <w:t>巡查，有待</w:t>
            </w:r>
            <w:proofErr w:type="gramStart"/>
            <w:r>
              <w:rPr>
                <w:rFonts w:ascii="標楷體" w:eastAsia="標楷體" w:hAnsi="標楷體" w:cs="Times New Roman" w:hint="eastAsia"/>
                <w:sz w:val="20"/>
                <w:szCs w:val="20"/>
              </w:rPr>
              <w:t>研</w:t>
            </w:r>
            <w:proofErr w:type="gramEnd"/>
            <w:r>
              <w:rPr>
                <w:rFonts w:ascii="標楷體" w:eastAsia="標楷體" w:hAnsi="標楷體" w:cs="Times New Roman" w:hint="eastAsia"/>
                <w:sz w:val="20"/>
                <w:szCs w:val="20"/>
              </w:rPr>
              <w:t>謀改善。</w:t>
            </w:r>
          </w:p>
        </w:tc>
        <w:tc>
          <w:tcPr>
            <w:tcW w:w="1500" w:type="pct"/>
            <w:vMerge/>
            <w:tcBorders>
              <w:top w:val="single" w:sz="4" w:space="0" w:color="auto"/>
              <w:left w:val="single" w:sz="4" w:space="0" w:color="auto"/>
              <w:bottom w:val="single" w:sz="4" w:space="0" w:color="auto"/>
              <w:right w:val="single" w:sz="4" w:space="0" w:color="auto"/>
            </w:tcBorders>
            <w:vAlign w:val="center"/>
            <w:hideMark/>
          </w:tcPr>
          <w:p w14:paraId="5183E291" w14:textId="77777777" w:rsidR="00EE7738" w:rsidRDefault="00EE7738">
            <w:pPr>
              <w:widowControl/>
              <w:rPr>
                <w:rFonts w:ascii="標楷體" w:eastAsia="標楷體" w:hAnsi="標楷體" w:cs="Times New Roman"/>
                <w:sz w:val="20"/>
                <w:szCs w:val="20"/>
              </w:rPr>
            </w:pPr>
          </w:p>
        </w:tc>
      </w:tr>
      <w:tr w:rsidR="00EE7738" w14:paraId="0F2CDEF7" w14:textId="77777777" w:rsidTr="00F002BC">
        <w:trPr>
          <w:trHeight w:val="1020"/>
          <w:jc w:val="center"/>
        </w:trPr>
        <w:tc>
          <w:tcPr>
            <w:tcW w:w="3500" w:type="pct"/>
            <w:tcBorders>
              <w:top w:val="single" w:sz="4" w:space="0" w:color="auto"/>
              <w:left w:val="single" w:sz="4" w:space="0" w:color="auto"/>
              <w:bottom w:val="single" w:sz="4" w:space="0" w:color="auto"/>
              <w:right w:val="single" w:sz="4" w:space="0" w:color="auto"/>
            </w:tcBorders>
            <w:vAlign w:val="center"/>
            <w:hideMark/>
          </w:tcPr>
          <w:p w14:paraId="176D5457" w14:textId="76F3262F" w:rsidR="00EE7738" w:rsidRDefault="00EE7738">
            <w:pPr>
              <w:overflowPunct w:val="0"/>
              <w:snapToGrid w:val="0"/>
              <w:spacing w:afterLines="10" w:after="36" w:line="280" w:lineRule="exact"/>
              <w:ind w:left="20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3.為強化犯罪</w:t>
            </w:r>
            <w:proofErr w:type="gramStart"/>
            <w:r>
              <w:rPr>
                <w:rFonts w:ascii="標楷體" w:eastAsia="標楷體" w:hAnsi="標楷體" w:cs="Times New Roman" w:hint="eastAsia"/>
                <w:sz w:val="20"/>
                <w:szCs w:val="20"/>
              </w:rPr>
              <w:t>偵</w:t>
            </w:r>
            <w:proofErr w:type="gramEnd"/>
            <w:r>
              <w:rPr>
                <w:rFonts w:ascii="標楷體" w:eastAsia="標楷體" w:hAnsi="標楷體" w:cs="Times New Roman" w:hint="eastAsia"/>
                <w:sz w:val="20"/>
                <w:szCs w:val="20"/>
              </w:rPr>
              <w:t>防及保護民眾安全，辦理第一期錄影監視系統汰舊換新，執行結果，經</w:t>
            </w:r>
            <w:proofErr w:type="gramStart"/>
            <w:r>
              <w:rPr>
                <w:rFonts w:ascii="標楷體" w:eastAsia="標楷體" w:hAnsi="標楷體" w:cs="Times New Roman" w:hint="eastAsia"/>
                <w:sz w:val="20"/>
                <w:szCs w:val="20"/>
              </w:rPr>
              <w:t>核間有頻</w:t>
            </w:r>
            <w:proofErr w:type="gramEnd"/>
            <w:r>
              <w:rPr>
                <w:rFonts w:ascii="標楷體" w:eastAsia="標楷體" w:hAnsi="標楷體" w:cs="Times New Roman" w:hint="eastAsia"/>
                <w:sz w:val="20"/>
                <w:szCs w:val="20"/>
              </w:rPr>
              <w:t>寬需求評估及規範擬定作業未周延，規劃設計與因應方案</w:t>
            </w:r>
            <w:proofErr w:type="gramStart"/>
            <w:r>
              <w:rPr>
                <w:rFonts w:ascii="標楷體" w:eastAsia="標楷體" w:hAnsi="標楷體" w:cs="Times New Roman" w:hint="eastAsia"/>
                <w:sz w:val="20"/>
                <w:szCs w:val="20"/>
              </w:rPr>
              <w:t>研擬間有疏漏</w:t>
            </w:r>
            <w:proofErr w:type="gramEnd"/>
            <w:r>
              <w:rPr>
                <w:rFonts w:ascii="標楷體" w:eastAsia="標楷體" w:hAnsi="標楷體" w:cs="Times New Roman" w:hint="eastAsia"/>
                <w:sz w:val="20"/>
                <w:szCs w:val="20"/>
              </w:rPr>
              <w:t>，部分設備裝置高度不符契約規範等情事，有待檢討改善。</w:t>
            </w:r>
          </w:p>
        </w:tc>
        <w:tc>
          <w:tcPr>
            <w:tcW w:w="1500" w:type="pct"/>
            <w:vMerge/>
            <w:tcBorders>
              <w:top w:val="single" w:sz="4" w:space="0" w:color="auto"/>
              <w:left w:val="single" w:sz="4" w:space="0" w:color="auto"/>
              <w:bottom w:val="single" w:sz="4" w:space="0" w:color="auto"/>
              <w:right w:val="single" w:sz="4" w:space="0" w:color="auto"/>
            </w:tcBorders>
            <w:vAlign w:val="center"/>
            <w:hideMark/>
          </w:tcPr>
          <w:p w14:paraId="58494D71" w14:textId="77777777" w:rsidR="00EE7738" w:rsidRDefault="00EE7738">
            <w:pPr>
              <w:widowControl/>
              <w:rPr>
                <w:rFonts w:ascii="標楷體" w:eastAsia="標楷體" w:hAnsi="標楷體" w:cs="Times New Roman"/>
                <w:sz w:val="20"/>
                <w:szCs w:val="20"/>
              </w:rPr>
            </w:pPr>
          </w:p>
        </w:tc>
      </w:tr>
      <w:tr w:rsidR="00EE7738" w14:paraId="181CB3BB" w14:textId="77777777" w:rsidTr="00F002BC">
        <w:trPr>
          <w:trHeight w:val="1020"/>
          <w:jc w:val="center"/>
        </w:trPr>
        <w:tc>
          <w:tcPr>
            <w:tcW w:w="3500" w:type="pct"/>
            <w:tcBorders>
              <w:top w:val="single" w:sz="4" w:space="0" w:color="auto"/>
              <w:left w:val="single" w:sz="4" w:space="0" w:color="auto"/>
              <w:bottom w:val="single" w:sz="4" w:space="0" w:color="auto"/>
              <w:right w:val="single" w:sz="4" w:space="0" w:color="auto"/>
            </w:tcBorders>
            <w:vAlign w:val="center"/>
            <w:hideMark/>
          </w:tcPr>
          <w:p w14:paraId="47726752" w14:textId="5368B5E1" w:rsidR="00EE7738" w:rsidRDefault="00EE7738">
            <w:pPr>
              <w:overflowPunct w:val="0"/>
              <w:snapToGrid w:val="0"/>
              <w:spacing w:afterLines="10" w:after="36" w:line="280" w:lineRule="exact"/>
              <w:ind w:left="20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4.持續建構錄影監視系統綿密治安防護網絡，惟部分犯罪地點</w:t>
            </w:r>
            <w:proofErr w:type="gramStart"/>
            <w:r>
              <w:rPr>
                <w:rFonts w:ascii="標楷體" w:eastAsia="標楷體" w:hAnsi="標楷體" w:cs="Times New Roman" w:hint="eastAsia"/>
                <w:sz w:val="20"/>
                <w:szCs w:val="20"/>
              </w:rPr>
              <w:t>未納列設置</w:t>
            </w:r>
            <w:proofErr w:type="gramEnd"/>
            <w:r>
              <w:rPr>
                <w:rFonts w:ascii="標楷體" w:eastAsia="標楷體" w:hAnsi="標楷體" w:cs="Times New Roman" w:hint="eastAsia"/>
                <w:sz w:val="20"/>
                <w:szCs w:val="20"/>
              </w:rPr>
              <w:t>涵蓋區域，為免造成治安死角，</w:t>
            </w:r>
            <w:proofErr w:type="gramStart"/>
            <w:r>
              <w:rPr>
                <w:rFonts w:ascii="標楷體" w:eastAsia="標楷體" w:hAnsi="標楷體" w:cs="Times New Roman" w:hint="eastAsia"/>
                <w:sz w:val="20"/>
                <w:szCs w:val="20"/>
              </w:rPr>
              <w:t>允待籌</w:t>
            </w:r>
            <w:proofErr w:type="gramEnd"/>
            <w:r>
              <w:rPr>
                <w:rFonts w:ascii="標楷體" w:eastAsia="標楷體" w:hAnsi="標楷體" w:cs="Times New Roman" w:hint="eastAsia"/>
                <w:sz w:val="20"/>
                <w:szCs w:val="20"/>
              </w:rPr>
              <w:t>謀因應並策進運用，以發揮預防犯罪及偵查效能，強化治安防護網。</w:t>
            </w:r>
          </w:p>
        </w:tc>
        <w:tc>
          <w:tcPr>
            <w:tcW w:w="1500" w:type="pct"/>
            <w:vMerge/>
            <w:tcBorders>
              <w:top w:val="single" w:sz="4" w:space="0" w:color="auto"/>
              <w:left w:val="single" w:sz="4" w:space="0" w:color="auto"/>
              <w:bottom w:val="single" w:sz="4" w:space="0" w:color="auto"/>
              <w:right w:val="single" w:sz="4" w:space="0" w:color="auto"/>
            </w:tcBorders>
            <w:vAlign w:val="center"/>
            <w:hideMark/>
          </w:tcPr>
          <w:p w14:paraId="0AF29A78" w14:textId="77777777" w:rsidR="00EE7738" w:rsidRDefault="00EE7738">
            <w:pPr>
              <w:widowControl/>
              <w:rPr>
                <w:rFonts w:ascii="標楷體" w:eastAsia="標楷體" w:hAnsi="標楷體" w:cs="Times New Roman"/>
                <w:sz w:val="20"/>
                <w:szCs w:val="20"/>
              </w:rPr>
            </w:pPr>
          </w:p>
        </w:tc>
      </w:tr>
    </w:tbl>
    <w:p w14:paraId="2380EC36" w14:textId="1466C5C0" w:rsidR="00A85180" w:rsidRDefault="000715BB" w:rsidP="00EE7738">
      <w:pPr>
        <w:widowControl/>
        <w:rPr>
          <w:rFonts w:ascii="標楷體" w:eastAsia="標楷體" w:hAnsi="標楷體" w:cs="標楷體"/>
          <w:b/>
          <w:sz w:val="36"/>
          <w:szCs w:val="36"/>
        </w:rPr>
      </w:pPr>
      <w:r>
        <w:rPr>
          <w:rFonts w:ascii="標楷體" w:eastAsia="標楷體" w:hAnsi="標楷體" w:cs="Times New Roman"/>
          <w:b/>
          <w:sz w:val="36"/>
          <w:szCs w:val="28"/>
        </w:rPr>
        <w:br w:type="page"/>
      </w:r>
      <w:r w:rsidR="00A85180">
        <w:rPr>
          <w:rFonts w:ascii="標楷體" w:eastAsia="標楷體" w:hAnsi="標楷體" w:cs="標楷體" w:hint="eastAsia"/>
          <w:b/>
          <w:sz w:val="36"/>
          <w:szCs w:val="36"/>
        </w:rPr>
        <w:lastRenderedPageBreak/>
        <w:t>拾貳、衛生局主管</w:t>
      </w:r>
    </w:p>
    <w:p w14:paraId="23F28778" w14:textId="77777777" w:rsidR="00A85180" w:rsidRDefault="00A85180" w:rsidP="00A85180">
      <w:pPr>
        <w:overflowPunct w:val="0"/>
        <w:spacing w:before="120" w:after="120" w:line="50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衛生局主管計有公務機關13個，非營業特種基金單位1個，各該單位決算及附屬單位決算非營業部分之審核情形如次：</w:t>
      </w:r>
    </w:p>
    <w:p w14:paraId="2A43D4BF" w14:textId="77777777" w:rsidR="00A85180" w:rsidRDefault="00A85180" w:rsidP="0040355F">
      <w:pPr>
        <w:suppressAutoHyphens/>
        <w:overflowPunct w:val="0"/>
        <w:spacing w:beforeLines="50" w:before="180" w:afterLines="10" w:after="36" w:line="500" w:lineRule="exact"/>
        <w:jc w:val="both"/>
        <w:outlineLvl w:val="2"/>
        <w:rPr>
          <w:rFonts w:ascii="標楷體" w:eastAsia="標楷體" w:hAnsi="標楷體" w:cs="Times New Roman"/>
          <w:b/>
          <w:sz w:val="32"/>
          <w:szCs w:val="32"/>
        </w:rPr>
      </w:pPr>
      <w:r>
        <w:rPr>
          <w:rFonts w:ascii="標楷體" w:eastAsia="標楷體" w:hAnsi="標楷體" w:cs="Times New Roman" w:hint="eastAsia"/>
          <w:b/>
          <w:sz w:val="32"/>
          <w:szCs w:val="32"/>
        </w:rPr>
        <w:t>一、單位決算部分</w:t>
      </w:r>
    </w:p>
    <w:p w14:paraId="0745682D" w14:textId="77777777" w:rsidR="00A85180" w:rsidRDefault="00A85180" w:rsidP="00A85180">
      <w:pPr>
        <w:overflowPunct w:val="0"/>
        <w:spacing w:before="120" w:after="120" w:line="50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衛生局主管包括衛生局及12區健康服務中心等13個機關，掌理防疫、保健、</w:t>
      </w:r>
      <w:proofErr w:type="gramStart"/>
      <w:r>
        <w:rPr>
          <w:rFonts w:ascii="標楷體" w:eastAsia="標楷體" w:hAnsi="標楷體" w:cs="Times New Roman" w:hint="eastAsia"/>
          <w:szCs w:val="24"/>
        </w:rPr>
        <w:t>醫</w:t>
      </w:r>
      <w:proofErr w:type="gramEnd"/>
      <w:r>
        <w:rPr>
          <w:rFonts w:ascii="標楷體" w:eastAsia="標楷體" w:hAnsi="標楷體" w:cs="Times New Roman" w:hint="eastAsia"/>
          <w:szCs w:val="24"/>
        </w:rPr>
        <w:t>政、醫院、護理機構管理、衛生指導等業務，並依據中央政策，</w:t>
      </w:r>
      <w:proofErr w:type="gramStart"/>
      <w:r>
        <w:rPr>
          <w:rFonts w:ascii="標楷體" w:eastAsia="標楷體" w:hAnsi="標楷體" w:cs="Times New Roman" w:hint="eastAsia"/>
          <w:szCs w:val="24"/>
        </w:rPr>
        <w:t>賡</w:t>
      </w:r>
      <w:proofErr w:type="gramEnd"/>
      <w:r>
        <w:rPr>
          <w:rFonts w:ascii="標楷體" w:eastAsia="標楷體" w:hAnsi="標楷體" w:cs="Times New Roman" w:hint="eastAsia"/>
          <w:szCs w:val="24"/>
        </w:rPr>
        <w:t>續加強國民保健及防疫措施，強化</w:t>
      </w:r>
      <w:proofErr w:type="gramStart"/>
      <w:r>
        <w:rPr>
          <w:rFonts w:ascii="標楷體" w:eastAsia="標楷體" w:hAnsi="標楷體" w:cs="Times New Roman" w:hint="eastAsia"/>
          <w:szCs w:val="24"/>
        </w:rPr>
        <w:t>醫</w:t>
      </w:r>
      <w:proofErr w:type="gramEnd"/>
      <w:r>
        <w:rPr>
          <w:rFonts w:ascii="標楷體" w:eastAsia="標楷體" w:hAnsi="標楷體" w:cs="Times New Roman" w:hint="eastAsia"/>
          <w:szCs w:val="24"/>
        </w:rPr>
        <w:t>政管理及改進醫療衛生服務。茲將</w:t>
      </w:r>
      <w:proofErr w:type="gramStart"/>
      <w:r>
        <w:rPr>
          <w:rFonts w:ascii="標楷體" w:eastAsia="標楷體" w:hAnsi="標楷體" w:cs="Times New Roman" w:hint="eastAsia"/>
          <w:szCs w:val="24"/>
        </w:rPr>
        <w:t>113</w:t>
      </w:r>
      <w:proofErr w:type="gramEnd"/>
      <w:r>
        <w:rPr>
          <w:rFonts w:ascii="標楷體" w:eastAsia="標楷體" w:hAnsi="標楷體" w:cs="Times New Roman" w:hint="eastAsia"/>
          <w:szCs w:val="24"/>
        </w:rPr>
        <w:t>年度決算審核結果說明如次：</w:t>
      </w:r>
    </w:p>
    <w:p w14:paraId="0CBA3016" w14:textId="77777777" w:rsidR="00A85180" w:rsidRDefault="00A85180" w:rsidP="0040355F">
      <w:pPr>
        <w:suppressAutoHyphens/>
        <w:overflowPunct w:val="0"/>
        <w:spacing w:beforeLines="50" w:before="180" w:afterLines="10" w:after="36" w:line="500"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t>（一）計畫實施之查核</w:t>
      </w:r>
    </w:p>
    <w:p w14:paraId="5DD37623" w14:textId="77777777" w:rsidR="00A85180" w:rsidRDefault="00A85180" w:rsidP="0040355F">
      <w:pPr>
        <w:overflowPunct w:val="0"/>
        <w:spacing w:line="50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業務計畫43項，下分工作計畫48項，包括疾病管制、</w:t>
      </w:r>
      <w:proofErr w:type="gramStart"/>
      <w:r>
        <w:rPr>
          <w:rFonts w:ascii="標楷體" w:eastAsia="標楷體" w:hAnsi="標楷體" w:cs="Times New Roman" w:hint="eastAsia"/>
          <w:szCs w:val="24"/>
        </w:rPr>
        <w:t>醫</w:t>
      </w:r>
      <w:proofErr w:type="gramEnd"/>
      <w:r>
        <w:rPr>
          <w:rFonts w:ascii="標楷體" w:eastAsia="標楷體" w:hAnsi="標楷體" w:cs="Times New Roman" w:hint="eastAsia"/>
          <w:szCs w:val="24"/>
        </w:rPr>
        <w:t>事管理、食品藥物管理及醫療保健福利業務等重要施政項目，其中已執行完成者43項，尚在執行者5項，主要係衛生局委託衛生福利部疾病管制署統籌採購之疫苗；中央補助辦理</w:t>
      </w:r>
      <w:proofErr w:type="gramStart"/>
      <w:r>
        <w:rPr>
          <w:rFonts w:ascii="標楷體" w:eastAsia="標楷體" w:hAnsi="標楷體" w:cs="Times New Roman" w:hint="eastAsia"/>
          <w:szCs w:val="24"/>
        </w:rPr>
        <w:t>113</w:t>
      </w:r>
      <w:proofErr w:type="gramEnd"/>
      <w:r>
        <w:rPr>
          <w:rFonts w:ascii="標楷體" w:eastAsia="標楷體" w:hAnsi="標楷體" w:cs="Times New Roman" w:hint="eastAsia"/>
          <w:szCs w:val="24"/>
        </w:rPr>
        <w:t>年度</w:t>
      </w:r>
      <w:proofErr w:type="gramStart"/>
      <w:r>
        <w:rPr>
          <w:rFonts w:ascii="標楷體" w:eastAsia="標楷體" w:hAnsi="標楷體" w:cs="Times New Roman" w:hint="eastAsia"/>
          <w:szCs w:val="24"/>
        </w:rPr>
        <w:t>失智照護</w:t>
      </w:r>
      <w:proofErr w:type="gramEnd"/>
      <w:r>
        <w:rPr>
          <w:rFonts w:ascii="標楷體" w:eastAsia="標楷體" w:hAnsi="標楷體" w:cs="Times New Roman" w:hint="eastAsia"/>
          <w:szCs w:val="24"/>
        </w:rPr>
        <w:t>服務計畫、減少照護機構</w:t>
      </w:r>
      <w:proofErr w:type="gramStart"/>
      <w:r>
        <w:rPr>
          <w:rFonts w:ascii="標楷體" w:eastAsia="標楷體" w:hAnsi="標楷體" w:cs="Times New Roman" w:hint="eastAsia"/>
          <w:szCs w:val="24"/>
        </w:rPr>
        <w:t>住民至醫療機構</w:t>
      </w:r>
      <w:proofErr w:type="gramEnd"/>
      <w:r>
        <w:rPr>
          <w:rFonts w:ascii="標楷體" w:eastAsia="標楷體" w:hAnsi="標楷體" w:cs="Times New Roman" w:hint="eastAsia"/>
          <w:szCs w:val="24"/>
        </w:rPr>
        <w:t>就醫方案等，執行期程跨年度，仍須繼續執行。</w:t>
      </w:r>
    </w:p>
    <w:p w14:paraId="1467F4C2" w14:textId="77777777" w:rsidR="00A85180" w:rsidRDefault="00A85180" w:rsidP="0040355F">
      <w:pPr>
        <w:suppressAutoHyphens/>
        <w:overflowPunct w:val="0"/>
        <w:spacing w:beforeLines="50" w:before="180" w:afterLines="10" w:after="36" w:line="500"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t>（二）預算執行之審核</w:t>
      </w:r>
    </w:p>
    <w:p w14:paraId="73257A5C" w14:textId="77777777" w:rsidR="00A85180" w:rsidRDefault="00A85180" w:rsidP="003849C2">
      <w:pPr>
        <w:overflowPunct w:val="0"/>
        <w:spacing w:line="48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1.歲入原編列預算數</w:t>
      </w:r>
      <w:r>
        <w:rPr>
          <w:rFonts w:ascii="標楷體" w:eastAsia="標楷體" w:hAnsi="標楷體" w:hint="eastAsia"/>
          <w:kern w:val="0"/>
          <w:szCs w:val="24"/>
        </w:rPr>
        <w:t>3億4,618萬餘元</w:t>
      </w:r>
      <w:r>
        <w:rPr>
          <w:rFonts w:ascii="標楷體" w:eastAsia="標楷體" w:hAnsi="標楷體" w:cs="Times New Roman" w:hint="eastAsia"/>
          <w:szCs w:val="24"/>
        </w:rPr>
        <w:t>，經追加預算</w:t>
      </w:r>
      <w:r>
        <w:rPr>
          <w:rFonts w:ascii="標楷體" w:eastAsia="標楷體" w:hAnsi="標楷體" w:hint="eastAsia"/>
          <w:kern w:val="0"/>
          <w:szCs w:val="24"/>
        </w:rPr>
        <w:t>12億8,940萬元</w:t>
      </w:r>
      <w:r>
        <w:rPr>
          <w:rFonts w:ascii="標楷體" w:eastAsia="標楷體" w:hAnsi="標楷體" w:cs="Times New Roman" w:hint="eastAsia"/>
          <w:szCs w:val="24"/>
        </w:rPr>
        <w:t>，合計</w:t>
      </w:r>
      <w:r>
        <w:rPr>
          <w:rFonts w:ascii="標楷體" w:eastAsia="標楷體" w:hAnsi="標楷體" w:hint="eastAsia"/>
          <w:kern w:val="0"/>
          <w:szCs w:val="24"/>
        </w:rPr>
        <w:t>16億3,558萬餘元</w:t>
      </w:r>
      <w:r>
        <w:rPr>
          <w:rFonts w:ascii="標楷體" w:eastAsia="標楷體" w:hAnsi="標楷體" w:cs="Times New Roman" w:hint="eastAsia"/>
          <w:szCs w:val="24"/>
        </w:rPr>
        <w:t>，決算審核結果，審定實現數</w:t>
      </w:r>
      <w:r>
        <w:rPr>
          <w:rFonts w:ascii="標楷體" w:eastAsia="標楷體" w:hAnsi="標楷體" w:hint="eastAsia"/>
          <w:kern w:val="0"/>
          <w:szCs w:val="24"/>
        </w:rPr>
        <w:t>14億8,906萬餘元</w:t>
      </w:r>
      <w:r>
        <w:rPr>
          <w:rFonts w:ascii="標楷體" w:eastAsia="標楷體" w:hAnsi="標楷體" w:cs="Times New Roman" w:hint="eastAsia"/>
          <w:szCs w:val="24"/>
        </w:rPr>
        <w:t>，應收保留數</w:t>
      </w:r>
      <w:r>
        <w:rPr>
          <w:rFonts w:ascii="標楷體" w:eastAsia="標楷體" w:hAnsi="標楷體" w:hint="eastAsia"/>
          <w:kern w:val="0"/>
          <w:szCs w:val="24"/>
        </w:rPr>
        <w:t>5,433萬餘元</w:t>
      </w:r>
      <w:r>
        <w:rPr>
          <w:rFonts w:ascii="標楷體" w:eastAsia="標楷體" w:hAnsi="標楷體" w:cs="Times New Roman" w:hint="eastAsia"/>
          <w:szCs w:val="24"/>
        </w:rPr>
        <w:t>，主要係衛生局應收違反各項衛生法規罰鍰尚待收繳；合計決算審定數為</w:t>
      </w:r>
      <w:r>
        <w:rPr>
          <w:rFonts w:ascii="標楷體" w:eastAsia="標楷體" w:hAnsi="標楷體" w:hint="eastAsia"/>
          <w:kern w:val="0"/>
          <w:szCs w:val="24"/>
        </w:rPr>
        <w:t>15億4,340萬餘元</w:t>
      </w:r>
      <w:r>
        <w:rPr>
          <w:rFonts w:ascii="標楷體" w:eastAsia="標楷體" w:hAnsi="標楷體" w:cs="Times New Roman" w:hint="eastAsia"/>
          <w:szCs w:val="24"/>
        </w:rPr>
        <w:t>，較預算</w:t>
      </w:r>
      <w:r>
        <w:rPr>
          <w:rFonts w:ascii="標楷體" w:eastAsia="標楷體" w:hAnsi="標楷體" w:hint="eastAsia"/>
          <w:kern w:val="0"/>
          <w:szCs w:val="24"/>
        </w:rPr>
        <w:t>減少9,218萬餘元</w:t>
      </w:r>
      <w:r>
        <w:rPr>
          <w:rFonts w:ascii="標楷體" w:eastAsia="標楷體" w:hAnsi="標楷體" w:cs="Times New Roman" w:hint="eastAsia"/>
          <w:szCs w:val="24"/>
        </w:rPr>
        <w:t>（5.64％），主要係衛生局辦理中央補助長照2.0整合計畫及住宿式服務機構使用者補助方案等補助收入，依實際執行情形申撥款項。</w:t>
      </w:r>
    </w:p>
    <w:p w14:paraId="7FD40AFD" w14:textId="77777777" w:rsidR="00A85180" w:rsidRDefault="00A85180" w:rsidP="003849C2">
      <w:pPr>
        <w:overflowPunct w:val="0"/>
        <w:spacing w:beforeLines="20" w:before="72" w:line="48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2.以前年度歲入轉入數計</w:t>
      </w:r>
      <w:r>
        <w:rPr>
          <w:rFonts w:ascii="標楷體" w:eastAsia="標楷體" w:hAnsi="標楷體" w:hint="eastAsia"/>
          <w:kern w:val="0"/>
          <w:szCs w:val="24"/>
        </w:rPr>
        <w:t>1億155萬餘元</w:t>
      </w:r>
      <w:r>
        <w:rPr>
          <w:rFonts w:ascii="標楷體" w:eastAsia="標楷體" w:hAnsi="標楷體" w:cs="Times New Roman" w:hint="eastAsia"/>
          <w:szCs w:val="24"/>
        </w:rPr>
        <w:t>，決算審核結果，審定實現數</w:t>
      </w:r>
      <w:r>
        <w:rPr>
          <w:rFonts w:ascii="標楷體" w:eastAsia="標楷體" w:hAnsi="標楷體" w:hint="eastAsia"/>
          <w:kern w:val="0"/>
          <w:szCs w:val="24"/>
        </w:rPr>
        <w:t>3,081萬餘元</w:t>
      </w:r>
      <w:r>
        <w:rPr>
          <w:rFonts w:ascii="標楷體" w:eastAsia="標楷體" w:hAnsi="標楷體" w:cs="Times New Roman" w:hint="eastAsia"/>
          <w:szCs w:val="24"/>
        </w:rPr>
        <w:t>（30.34％）；減免（註銷）數</w:t>
      </w:r>
      <w:r>
        <w:rPr>
          <w:rFonts w:ascii="標楷體" w:eastAsia="標楷體" w:hAnsi="標楷體" w:hint="eastAsia"/>
          <w:kern w:val="0"/>
          <w:szCs w:val="24"/>
        </w:rPr>
        <w:t>1,135萬餘元</w:t>
      </w:r>
      <w:r>
        <w:rPr>
          <w:rFonts w:ascii="標楷體" w:eastAsia="標楷體" w:hAnsi="標楷體" w:cs="Times New Roman" w:hint="eastAsia"/>
          <w:szCs w:val="24"/>
        </w:rPr>
        <w:t>（11.18％），主要係衛生局註銷已取得執行憑證之應收行政罰鍰及</w:t>
      </w:r>
      <w:proofErr w:type="gramStart"/>
      <w:r>
        <w:rPr>
          <w:rFonts w:ascii="標楷體" w:eastAsia="標楷體" w:hAnsi="標楷體" w:cs="Times New Roman" w:hint="eastAsia"/>
          <w:szCs w:val="24"/>
        </w:rPr>
        <w:t>毋須申撥補助</w:t>
      </w:r>
      <w:proofErr w:type="gramEnd"/>
      <w:r>
        <w:rPr>
          <w:rFonts w:ascii="標楷體" w:eastAsia="標楷體" w:hAnsi="標楷體" w:cs="Times New Roman" w:hint="eastAsia"/>
          <w:szCs w:val="24"/>
        </w:rPr>
        <w:t>收入；應收保留數</w:t>
      </w:r>
      <w:r>
        <w:rPr>
          <w:rFonts w:ascii="標楷體" w:eastAsia="標楷體" w:hAnsi="標楷體" w:hint="eastAsia"/>
          <w:kern w:val="0"/>
          <w:szCs w:val="24"/>
        </w:rPr>
        <w:t>5,938萬餘元</w:t>
      </w:r>
      <w:r>
        <w:rPr>
          <w:rFonts w:ascii="標楷體" w:eastAsia="標楷體" w:hAnsi="標楷體" w:cs="Times New Roman" w:hint="eastAsia"/>
          <w:szCs w:val="24"/>
        </w:rPr>
        <w:t>（58.47％），主要係衛生局應收違反各項衛生法規罰鍰尚待收繳。</w:t>
      </w:r>
    </w:p>
    <w:p w14:paraId="551D51C2" w14:textId="77777777" w:rsidR="00AE147C" w:rsidRDefault="00A85180" w:rsidP="003849C2">
      <w:pPr>
        <w:overflowPunct w:val="0"/>
        <w:spacing w:beforeLines="20" w:before="72" w:line="480" w:lineRule="exact"/>
        <w:ind w:firstLineChars="200" w:firstLine="480"/>
        <w:jc w:val="both"/>
        <w:rPr>
          <w:rFonts w:ascii="標楷體" w:eastAsia="標楷體" w:hAnsi="標楷體"/>
          <w:kern w:val="0"/>
          <w:szCs w:val="24"/>
        </w:rPr>
      </w:pPr>
      <w:r>
        <w:rPr>
          <w:rFonts w:ascii="標楷體" w:eastAsia="標楷體" w:hAnsi="標楷體" w:cs="Times New Roman" w:hint="eastAsia"/>
          <w:szCs w:val="24"/>
        </w:rPr>
        <w:t>3.歲出原編列預算數</w:t>
      </w:r>
      <w:r>
        <w:rPr>
          <w:rFonts w:ascii="標楷體" w:eastAsia="標楷體" w:hAnsi="標楷體" w:hint="eastAsia"/>
          <w:kern w:val="0"/>
          <w:szCs w:val="24"/>
        </w:rPr>
        <w:t>55億325萬餘元</w:t>
      </w:r>
      <w:r>
        <w:rPr>
          <w:rFonts w:ascii="標楷體" w:eastAsia="標楷體" w:hAnsi="標楷體" w:cs="Times New Roman" w:hint="eastAsia"/>
          <w:szCs w:val="24"/>
        </w:rPr>
        <w:t>，經追加預算</w:t>
      </w:r>
      <w:r>
        <w:rPr>
          <w:rFonts w:ascii="標楷體" w:eastAsia="標楷體" w:hAnsi="標楷體" w:hint="eastAsia"/>
          <w:kern w:val="0"/>
          <w:szCs w:val="24"/>
        </w:rPr>
        <w:t>13億489萬餘元</w:t>
      </w:r>
      <w:r>
        <w:rPr>
          <w:rFonts w:ascii="標楷體" w:eastAsia="標楷體" w:hAnsi="標楷體" w:cs="Times New Roman" w:hint="eastAsia"/>
          <w:szCs w:val="24"/>
        </w:rPr>
        <w:t>，追減預算68萬餘元，</w:t>
      </w:r>
      <w:r>
        <w:rPr>
          <w:rFonts w:ascii="標楷體" w:eastAsia="標楷體" w:hAnsi="標楷體" w:hint="eastAsia"/>
          <w:kern w:val="0"/>
          <w:szCs w:val="24"/>
        </w:rPr>
        <w:t>並因衛生局成立「</w:t>
      </w:r>
      <w:proofErr w:type="gramStart"/>
      <w:r>
        <w:rPr>
          <w:rFonts w:ascii="標楷體" w:eastAsia="標楷體" w:hAnsi="標楷體" w:hint="eastAsia"/>
          <w:kern w:val="0"/>
          <w:szCs w:val="24"/>
        </w:rPr>
        <w:t>食因性</w:t>
      </w:r>
      <w:proofErr w:type="gramEnd"/>
      <w:r>
        <w:rPr>
          <w:rFonts w:ascii="標楷體" w:eastAsia="標楷體" w:hAnsi="標楷體" w:hint="eastAsia"/>
          <w:kern w:val="0"/>
          <w:szCs w:val="24"/>
        </w:rPr>
        <w:t>疾病檢驗組」增購檢驗用分析儀器及實驗室設備等事由，經動支第二預備金3,320萬餘元，</w:t>
      </w:r>
      <w:proofErr w:type="gramStart"/>
      <w:r>
        <w:rPr>
          <w:rFonts w:ascii="標楷體" w:eastAsia="標楷體" w:hAnsi="標楷體" w:hint="eastAsia"/>
          <w:kern w:val="0"/>
          <w:szCs w:val="24"/>
        </w:rPr>
        <w:t>暨因</w:t>
      </w:r>
      <w:r>
        <w:rPr>
          <w:rFonts w:ascii="標楷體" w:eastAsia="標楷體" w:hAnsi="標楷體" w:cs="Times New Roman" w:hint="eastAsia"/>
          <w:szCs w:val="24"/>
        </w:rPr>
        <w:t>大安區</w:t>
      </w:r>
      <w:proofErr w:type="gramEnd"/>
      <w:r>
        <w:rPr>
          <w:rFonts w:ascii="標楷體" w:eastAsia="標楷體" w:hAnsi="標楷體" w:cs="Times New Roman" w:hint="eastAsia"/>
          <w:szCs w:val="24"/>
        </w:rPr>
        <w:t>、中山區、文山區、南港區等健康服務中心因人事費不足申請動支各類員工待遇準備362萬餘元，合計</w:t>
      </w:r>
      <w:r>
        <w:rPr>
          <w:rFonts w:ascii="標楷體" w:eastAsia="標楷體" w:hAnsi="標楷體" w:hint="eastAsia"/>
          <w:kern w:val="0"/>
          <w:szCs w:val="24"/>
        </w:rPr>
        <w:t>68億4,430萬餘元</w:t>
      </w:r>
      <w:r>
        <w:rPr>
          <w:rFonts w:ascii="標楷體" w:eastAsia="標楷體" w:hAnsi="標楷體" w:cs="Times New Roman" w:hint="eastAsia"/>
          <w:szCs w:val="24"/>
        </w:rPr>
        <w:t>，決算審核結果，審定實現數</w:t>
      </w:r>
      <w:r>
        <w:rPr>
          <w:rFonts w:ascii="標楷體" w:eastAsia="標楷體" w:hAnsi="標楷體" w:hint="eastAsia"/>
          <w:kern w:val="0"/>
          <w:szCs w:val="24"/>
        </w:rPr>
        <w:t>63</w:t>
      </w:r>
    </w:p>
    <w:p w14:paraId="04B67796" w14:textId="67DE4581" w:rsidR="00A85180" w:rsidRDefault="00A85180" w:rsidP="00AE147C">
      <w:pPr>
        <w:overflowPunct w:val="0"/>
        <w:spacing w:beforeLines="20" w:before="72" w:line="480" w:lineRule="exact"/>
        <w:jc w:val="both"/>
        <w:rPr>
          <w:rFonts w:ascii="標楷體" w:eastAsia="標楷體" w:hAnsi="標楷體" w:cs="Times New Roman"/>
          <w:szCs w:val="24"/>
        </w:rPr>
      </w:pPr>
      <w:r>
        <w:rPr>
          <w:rFonts w:ascii="標楷體" w:eastAsia="標楷體" w:hAnsi="標楷體" w:hint="eastAsia"/>
          <w:kern w:val="0"/>
          <w:szCs w:val="24"/>
        </w:rPr>
        <w:lastRenderedPageBreak/>
        <w:t>億</w:t>
      </w:r>
      <w:proofErr w:type="gramStart"/>
      <w:r>
        <w:rPr>
          <w:rFonts w:ascii="標楷體" w:eastAsia="標楷體" w:hAnsi="標楷體" w:hint="eastAsia"/>
          <w:kern w:val="0"/>
          <w:szCs w:val="24"/>
        </w:rPr>
        <w:t>12</w:t>
      </w:r>
      <w:proofErr w:type="gramEnd"/>
      <w:r>
        <w:rPr>
          <w:rFonts w:ascii="標楷體" w:eastAsia="標楷體" w:hAnsi="標楷體" w:hint="eastAsia"/>
          <w:kern w:val="0"/>
          <w:szCs w:val="24"/>
        </w:rPr>
        <w:t>萬餘元</w:t>
      </w:r>
      <w:r>
        <w:rPr>
          <w:rFonts w:ascii="標楷體" w:eastAsia="標楷體" w:hAnsi="標楷體" w:cs="Times New Roman" w:hint="eastAsia"/>
          <w:szCs w:val="24"/>
        </w:rPr>
        <w:t>（92.05％），應付保留數</w:t>
      </w:r>
      <w:r>
        <w:rPr>
          <w:rFonts w:ascii="標楷體" w:eastAsia="標楷體" w:hAnsi="標楷體" w:hint="eastAsia"/>
          <w:kern w:val="0"/>
          <w:szCs w:val="24"/>
        </w:rPr>
        <w:t>1億908萬餘元</w:t>
      </w:r>
      <w:r>
        <w:rPr>
          <w:rFonts w:ascii="標楷體" w:eastAsia="標楷體" w:hAnsi="標楷體" w:cs="Times New Roman" w:hint="eastAsia"/>
          <w:szCs w:val="24"/>
        </w:rPr>
        <w:t>（1.59％），保留原因詳「（一）計畫實施之查核」說明；合計決算審定數為</w:t>
      </w:r>
      <w:r>
        <w:rPr>
          <w:rFonts w:ascii="標楷體" w:eastAsia="標楷體" w:hAnsi="標楷體" w:hint="eastAsia"/>
          <w:kern w:val="0"/>
          <w:szCs w:val="24"/>
        </w:rPr>
        <w:t>64億920萬餘元</w:t>
      </w:r>
      <w:r>
        <w:rPr>
          <w:rFonts w:ascii="標楷體" w:eastAsia="標楷體" w:hAnsi="標楷體" w:cs="Times New Roman" w:hint="eastAsia"/>
          <w:szCs w:val="24"/>
        </w:rPr>
        <w:t>，預算賸餘</w:t>
      </w:r>
      <w:r>
        <w:rPr>
          <w:rFonts w:ascii="標楷體" w:eastAsia="標楷體" w:hAnsi="標楷體" w:hint="eastAsia"/>
          <w:kern w:val="0"/>
          <w:szCs w:val="24"/>
        </w:rPr>
        <w:t>4億3,509萬餘元</w:t>
      </w:r>
      <w:r>
        <w:rPr>
          <w:rFonts w:ascii="標楷體" w:eastAsia="標楷體" w:hAnsi="標楷體" w:cs="Times New Roman" w:hint="eastAsia"/>
          <w:szCs w:val="24"/>
        </w:rPr>
        <w:t>（6.36％），主要係衛生局辦理</w:t>
      </w:r>
      <w:proofErr w:type="gramStart"/>
      <w:r>
        <w:rPr>
          <w:rFonts w:ascii="標楷體" w:eastAsia="標楷體" w:hAnsi="標楷體" w:cs="Times New Roman" w:hint="eastAsia"/>
          <w:szCs w:val="24"/>
        </w:rPr>
        <w:t>113</w:t>
      </w:r>
      <w:proofErr w:type="gramEnd"/>
      <w:r>
        <w:rPr>
          <w:rFonts w:ascii="標楷體" w:eastAsia="標楷體" w:hAnsi="標楷體" w:cs="Times New Roman" w:hint="eastAsia"/>
          <w:szCs w:val="24"/>
        </w:rPr>
        <w:t>年度長照十年計畫2.0－強化照顧管理人力資源計畫，</w:t>
      </w:r>
      <w:proofErr w:type="gramStart"/>
      <w:r>
        <w:rPr>
          <w:rFonts w:ascii="標楷體" w:eastAsia="標楷體" w:hAnsi="標楷體" w:cs="Times New Roman" w:hint="eastAsia"/>
          <w:szCs w:val="24"/>
        </w:rPr>
        <w:t>暨長照</w:t>
      </w:r>
      <w:proofErr w:type="gramEnd"/>
      <w:r>
        <w:rPr>
          <w:rFonts w:ascii="標楷體" w:eastAsia="標楷體" w:hAnsi="標楷體" w:cs="Times New Roman" w:hint="eastAsia"/>
          <w:szCs w:val="24"/>
        </w:rPr>
        <w:t>2.0－照顧管理及政策鼓勵服務、專業服務及喘息服務等計畫之經費賸餘。</w:t>
      </w:r>
    </w:p>
    <w:p w14:paraId="671669B7" w14:textId="77777777" w:rsidR="00A85180" w:rsidRPr="0040355F" w:rsidRDefault="00A85180" w:rsidP="00A85180">
      <w:pPr>
        <w:overflowPunct w:val="0"/>
        <w:spacing w:before="60" w:after="60" w:line="500" w:lineRule="exact"/>
        <w:ind w:firstLineChars="200" w:firstLine="496"/>
        <w:jc w:val="both"/>
        <w:rPr>
          <w:rFonts w:ascii="標楷體" w:eastAsia="標楷體" w:hAnsi="標楷體" w:cs="Times New Roman"/>
          <w:spacing w:val="4"/>
          <w:szCs w:val="24"/>
        </w:rPr>
      </w:pPr>
      <w:r w:rsidRPr="0040355F">
        <w:rPr>
          <w:rFonts w:ascii="標楷體" w:eastAsia="標楷體" w:hAnsi="標楷體" w:cs="Times New Roman" w:hint="eastAsia"/>
          <w:spacing w:val="4"/>
          <w:szCs w:val="24"/>
        </w:rPr>
        <w:t>4.</w:t>
      </w:r>
      <w:bookmarkStart w:id="74" w:name="_Hlk170221128"/>
      <w:r w:rsidRPr="0040355F">
        <w:rPr>
          <w:rFonts w:ascii="標楷體" w:eastAsia="標楷體" w:hAnsi="標楷體" w:cs="Times New Roman" w:hint="eastAsia"/>
          <w:spacing w:val="4"/>
          <w:szCs w:val="24"/>
        </w:rPr>
        <w:t>以前年度歲出轉入數</w:t>
      </w:r>
      <w:bookmarkEnd w:id="74"/>
      <w:r w:rsidRPr="0040355F">
        <w:rPr>
          <w:rFonts w:ascii="標楷體" w:eastAsia="標楷體" w:hAnsi="標楷體" w:cs="Times New Roman" w:hint="eastAsia"/>
          <w:spacing w:val="4"/>
          <w:szCs w:val="24"/>
        </w:rPr>
        <w:t>計</w:t>
      </w:r>
      <w:r w:rsidRPr="0040355F">
        <w:rPr>
          <w:rFonts w:ascii="標楷體" w:eastAsia="標楷體" w:hAnsi="標楷體" w:hint="eastAsia"/>
          <w:spacing w:val="4"/>
          <w:kern w:val="0"/>
          <w:szCs w:val="24"/>
        </w:rPr>
        <w:t>2億6,037萬餘元</w:t>
      </w:r>
      <w:r w:rsidRPr="0040355F">
        <w:rPr>
          <w:rFonts w:ascii="標楷體" w:eastAsia="標楷體" w:hAnsi="標楷體" w:cs="Times New Roman" w:hint="eastAsia"/>
          <w:spacing w:val="4"/>
          <w:szCs w:val="24"/>
        </w:rPr>
        <w:t>，決算審核結果，審定實現數</w:t>
      </w:r>
      <w:r w:rsidRPr="0040355F">
        <w:rPr>
          <w:rFonts w:ascii="標楷體" w:eastAsia="標楷體" w:hAnsi="標楷體" w:hint="eastAsia"/>
          <w:spacing w:val="4"/>
          <w:kern w:val="0"/>
          <w:szCs w:val="24"/>
        </w:rPr>
        <w:t>2億440萬餘元</w:t>
      </w:r>
      <w:r w:rsidRPr="0040355F">
        <w:rPr>
          <w:rFonts w:ascii="標楷體" w:eastAsia="標楷體" w:hAnsi="標楷體" w:cs="Times New Roman" w:hint="eastAsia"/>
          <w:spacing w:val="4"/>
          <w:szCs w:val="24"/>
        </w:rPr>
        <w:t>（78.50％），減免（註銷）數</w:t>
      </w:r>
      <w:r w:rsidRPr="0040355F">
        <w:rPr>
          <w:rFonts w:ascii="標楷體" w:eastAsia="標楷體" w:hAnsi="標楷體" w:hint="eastAsia"/>
          <w:spacing w:val="4"/>
          <w:kern w:val="0"/>
          <w:szCs w:val="24"/>
        </w:rPr>
        <w:t>684萬餘元</w:t>
      </w:r>
      <w:r w:rsidRPr="0040355F">
        <w:rPr>
          <w:rFonts w:ascii="標楷體" w:eastAsia="標楷體" w:hAnsi="標楷體" w:cs="Times New Roman" w:hint="eastAsia"/>
          <w:spacing w:val="4"/>
          <w:szCs w:val="24"/>
        </w:rPr>
        <w:t>（2.63％），主要係衛生局辦理</w:t>
      </w:r>
      <w:proofErr w:type="gramStart"/>
      <w:r w:rsidRPr="0040355F">
        <w:rPr>
          <w:rFonts w:ascii="標楷體" w:eastAsia="標楷體" w:hAnsi="標楷體" w:cs="Times New Roman" w:hint="eastAsia"/>
          <w:spacing w:val="4"/>
          <w:szCs w:val="24"/>
        </w:rPr>
        <w:t>112</w:t>
      </w:r>
      <w:proofErr w:type="gramEnd"/>
      <w:r w:rsidRPr="0040355F">
        <w:rPr>
          <w:rFonts w:ascii="標楷體" w:eastAsia="標楷體" w:hAnsi="標楷體" w:cs="Times New Roman" w:hint="eastAsia"/>
          <w:spacing w:val="4"/>
          <w:szCs w:val="24"/>
        </w:rPr>
        <w:t>年度減少照護機構</w:t>
      </w:r>
      <w:proofErr w:type="gramStart"/>
      <w:r w:rsidRPr="0040355F">
        <w:rPr>
          <w:rFonts w:ascii="標楷體" w:eastAsia="標楷體" w:hAnsi="標楷體" w:cs="Times New Roman" w:hint="eastAsia"/>
          <w:spacing w:val="4"/>
          <w:szCs w:val="24"/>
        </w:rPr>
        <w:t>住民至醫療機構</w:t>
      </w:r>
      <w:proofErr w:type="gramEnd"/>
      <w:r w:rsidRPr="0040355F">
        <w:rPr>
          <w:rFonts w:ascii="標楷體" w:eastAsia="標楷體" w:hAnsi="標楷體" w:cs="Times New Roman" w:hint="eastAsia"/>
          <w:spacing w:val="4"/>
          <w:szCs w:val="24"/>
        </w:rPr>
        <w:t>就醫方案及</w:t>
      </w:r>
      <w:proofErr w:type="gramStart"/>
      <w:r w:rsidRPr="0040355F">
        <w:rPr>
          <w:rFonts w:ascii="標楷體" w:eastAsia="標楷體" w:hAnsi="標楷體" w:cs="Times New Roman" w:hint="eastAsia"/>
          <w:spacing w:val="4"/>
          <w:szCs w:val="24"/>
        </w:rPr>
        <w:t>111</w:t>
      </w:r>
      <w:proofErr w:type="gramEnd"/>
      <w:r w:rsidRPr="0040355F">
        <w:rPr>
          <w:rFonts w:ascii="標楷體" w:eastAsia="標楷體" w:hAnsi="標楷體" w:cs="Times New Roman" w:hint="eastAsia"/>
          <w:spacing w:val="4"/>
          <w:szCs w:val="24"/>
        </w:rPr>
        <w:t>年度北投區稻香市場拆除重建工程等經費賸餘；應付保留數</w:t>
      </w:r>
      <w:r w:rsidRPr="0040355F">
        <w:rPr>
          <w:rFonts w:ascii="標楷體" w:eastAsia="標楷體" w:hAnsi="標楷體" w:hint="eastAsia"/>
          <w:spacing w:val="4"/>
          <w:kern w:val="0"/>
          <w:szCs w:val="24"/>
        </w:rPr>
        <w:t>4,913萬餘元</w:t>
      </w:r>
      <w:r w:rsidRPr="0040355F">
        <w:rPr>
          <w:rFonts w:ascii="標楷體" w:eastAsia="標楷體" w:hAnsi="標楷體" w:cs="Times New Roman" w:hint="eastAsia"/>
          <w:spacing w:val="4"/>
          <w:szCs w:val="24"/>
        </w:rPr>
        <w:t>（18.87％），主要係衛生局</w:t>
      </w:r>
      <w:r w:rsidRPr="0040355F">
        <w:rPr>
          <w:rFonts w:ascii="標楷體" w:eastAsia="標楷體" w:hAnsi="標楷體" w:hint="eastAsia"/>
          <w:noProof/>
          <w:spacing w:val="4"/>
          <w:szCs w:val="24"/>
        </w:rPr>
        <w:t>參建廣慈博愛園區新建工程，尚待廠商取得智慧建築等標章檢據核銷，暨委託衛生福利部疾病管制署統籌採購疫苗，契約期程跨年度，須保留繼續執行</w:t>
      </w:r>
      <w:r w:rsidRPr="0040355F">
        <w:rPr>
          <w:rFonts w:ascii="標楷體" w:eastAsia="標楷體" w:hAnsi="標楷體" w:cs="Times New Roman" w:hint="eastAsia"/>
          <w:spacing w:val="4"/>
          <w:szCs w:val="24"/>
        </w:rPr>
        <w:t>。</w:t>
      </w:r>
    </w:p>
    <w:p w14:paraId="61E28278" w14:textId="77777777" w:rsidR="00A85180" w:rsidRDefault="00A85180" w:rsidP="0040355F">
      <w:pPr>
        <w:suppressAutoHyphens/>
        <w:overflowPunct w:val="0"/>
        <w:spacing w:beforeLines="50" w:before="180" w:afterLines="10" w:after="36" w:line="500" w:lineRule="exact"/>
        <w:jc w:val="both"/>
        <w:outlineLvl w:val="2"/>
        <w:rPr>
          <w:rFonts w:ascii="標楷體" w:eastAsia="標楷體" w:hAnsi="標楷體" w:cs="Times New Roman"/>
          <w:b/>
          <w:sz w:val="32"/>
          <w:szCs w:val="32"/>
        </w:rPr>
      </w:pPr>
      <w:r>
        <w:rPr>
          <w:rFonts w:ascii="標楷體" w:eastAsia="標楷體" w:hAnsi="標楷體" w:cs="Times New Roman" w:hint="eastAsia"/>
          <w:b/>
          <w:sz w:val="32"/>
          <w:szCs w:val="32"/>
        </w:rPr>
        <w:t>二、附屬單位決算非營業部分</w:t>
      </w:r>
    </w:p>
    <w:p w14:paraId="49B43280" w14:textId="77777777" w:rsidR="00A85180" w:rsidRDefault="00A85180" w:rsidP="0040355F">
      <w:pPr>
        <w:overflowPunct w:val="0"/>
        <w:spacing w:before="60" w:after="60" w:line="48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衛生局主管僅作業基金－臺北市立聯合醫院醫療基金1個單位，茲將</w:t>
      </w:r>
      <w:proofErr w:type="gramStart"/>
      <w:r>
        <w:rPr>
          <w:rFonts w:ascii="標楷體" w:eastAsia="標楷體" w:hAnsi="標楷體" w:cs="Times New Roman" w:hint="eastAsia"/>
          <w:szCs w:val="24"/>
        </w:rPr>
        <w:t>113</w:t>
      </w:r>
      <w:proofErr w:type="gramEnd"/>
      <w:r>
        <w:rPr>
          <w:rFonts w:ascii="標楷體" w:eastAsia="標楷體" w:hAnsi="標楷體" w:cs="Times New Roman" w:hint="eastAsia"/>
          <w:szCs w:val="24"/>
        </w:rPr>
        <w:t>年度決算審核結果說明如次：</w:t>
      </w:r>
    </w:p>
    <w:p w14:paraId="21022A79" w14:textId="77777777" w:rsidR="00A85180" w:rsidRDefault="00A85180" w:rsidP="00A85180">
      <w:pPr>
        <w:suppressAutoHyphens/>
        <w:overflowPunct w:val="0"/>
        <w:spacing w:beforeLines="10" w:before="36" w:afterLines="10" w:after="36" w:line="500"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t>（一）計畫實施之查核</w:t>
      </w:r>
    </w:p>
    <w:p w14:paraId="6B2432DB" w14:textId="77777777" w:rsidR="00A85180" w:rsidRDefault="00A85180" w:rsidP="0040355F">
      <w:pPr>
        <w:overflowPunct w:val="0"/>
        <w:spacing w:before="60" w:after="60" w:line="48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營運計畫主要有門診醫療、住院醫療及衛生保健等3項，實施結果，計有住院醫療1項未達預計目標，主要係護理人力不足，部分病床</w:t>
      </w:r>
      <w:proofErr w:type="gramStart"/>
      <w:r>
        <w:rPr>
          <w:rFonts w:ascii="標楷體" w:eastAsia="標楷體" w:hAnsi="標楷體" w:cs="Times New Roman" w:hint="eastAsia"/>
          <w:szCs w:val="24"/>
        </w:rPr>
        <w:t>未能滿開</w:t>
      </w:r>
      <w:proofErr w:type="gramEnd"/>
      <w:r>
        <w:rPr>
          <w:rFonts w:ascii="標楷體" w:eastAsia="標楷體" w:hAnsi="標楷體" w:cs="Times New Roman" w:hint="eastAsia"/>
          <w:szCs w:val="24"/>
        </w:rPr>
        <w:t>，影響可收治住院病人數所致。</w:t>
      </w:r>
    </w:p>
    <w:p w14:paraId="66BFDFA9" w14:textId="77777777" w:rsidR="00A85180" w:rsidRDefault="00A85180" w:rsidP="00A85180">
      <w:pPr>
        <w:suppressAutoHyphens/>
        <w:overflowPunct w:val="0"/>
        <w:spacing w:beforeLines="10" w:before="36" w:afterLines="10" w:after="36" w:line="500"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t>（二）餘</w:t>
      </w:r>
      <w:proofErr w:type="gramStart"/>
      <w:r>
        <w:rPr>
          <w:rFonts w:ascii="標楷體" w:eastAsia="標楷體" w:hAnsi="標楷體" w:cs="Times New Roman" w:hint="eastAsia"/>
          <w:b/>
          <w:sz w:val="28"/>
          <w:szCs w:val="28"/>
        </w:rPr>
        <w:t>絀</w:t>
      </w:r>
      <w:proofErr w:type="gramEnd"/>
      <w:r>
        <w:rPr>
          <w:rFonts w:ascii="標楷體" w:eastAsia="標楷體" w:hAnsi="標楷體" w:cs="Times New Roman" w:hint="eastAsia"/>
          <w:b/>
          <w:sz w:val="28"/>
          <w:szCs w:val="28"/>
        </w:rPr>
        <w:t>之審定</w:t>
      </w:r>
    </w:p>
    <w:p w14:paraId="69F44A02" w14:textId="77777777" w:rsidR="00A85180" w:rsidRDefault="00A85180" w:rsidP="0040355F">
      <w:pPr>
        <w:overflowPunct w:val="0"/>
        <w:spacing w:before="60" w:after="60" w:line="48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決算審核結果，修正增列業務外收入2億211萬餘元、增列業務外費用1億6,246萬餘元，綜計增列賸餘3,964萬餘元，係將以前</w:t>
      </w:r>
      <w:proofErr w:type="gramStart"/>
      <w:r>
        <w:rPr>
          <w:rFonts w:ascii="標楷體" w:eastAsia="標楷體" w:hAnsi="標楷體" w:cs="Times New Roman" w:hint="eastAsia"/>
          <w:szCs w:val="24"/>
        </w:rPr>
        <w:t>年度溢提之</w:t>
      </w:r>
      <w:proofErr w:type="gramEnd"/>
      <w:r>
        <w:rPr>
          <w:rFonts w:ascii="標楷體" w:eastAsia="標楷體" w:hAnsi="標楷體" w:cs="Times New Roman" w:hint="eastAsia"/>
          <w:szCs w:val="24"/>
        </w:rPr>
        <w:t>備抵</w:t>
      </w:r>
      <w:proofErr w:type="gramStart"/>
      <w:r>
        <w:rPr>
          <w:rFonts w:ascii="標楷體" w:eastAsia="標楷體" w:hAnsi="標楷體" w:cs="Times New Roman" w:hint="eastAsia"/>
          <w:szCs w:val="24"/>
        </w:rPr>
        <w:t>醫療折</w:t>
      </w:r>
      <w:proofErr w:type="gramEnd"/>
      <w:r>
        <w:rPr>
          <w:rFonts w:ascii="標楷體" w:eastAsia="標楷體" w:hAnsi="標楷體" w:cs="Times New Roman" w:hint="eastAsia"/>
          <w:szCs w:val="24"/>
        </w:rPr>
        <w:t>讓轉列雜項收入，及增</w:t>
      </w:r>
      <w:proofErr w:type="gramStart"/>
      <w:r>
        <w:rPr>
          <w:rFonts w:ascii="標楷體" w:eastAsia="標楷體" w:hAnsi="標楷體" w:cs="Times New Roman" w:hint="eastAsia"/>
          <w:szCs w:val="24"/>
        </w:rPr>
        <w:t>列短計</w:t>
      </w:r>
      <w:proofErr w:type="gramEnd"/>
      <w:r>
        <w:rPr>
          <w:rFonts w:ascii="標楷體" w:eastAsia="標楷體" w:hAnsi="標楷體" w:cs="Times New Roman" w:hint="eastAsia"/>
          <w:szCs w:val="24"/>
        </w:rPr>
        <w:t>獎勵金為雜項費用；審定賸餘3億9,676萬餘元，較預算賸餘7億1,839萬餘元，減少3億2,163萬餘元，約44.77％，</w:t>
      </w:r>
      <w:r>
        <w:rPr>
          <w:rFonts w:ascii="標楷體" w:eastAsia="標楷體" w:hAnsi="標楷體" w:hint="eastAsia"/>
        </w:rPr>
        <w:t>主要係藥品及衛材等醫療成本較預計增加，暨補</w:t>
      </w:r>
      <w:proofErr w:type="gramStart"/>
      <w:r>
        <w:rPr>
          <w:rFonts w:ascii="標楷體" w:eastAsia="標楷體" w:hAnsi="標楷體" w:hint="eastAsia"/>
        </w:rPr>
        <w:t>提撥</w:t>
      </w:r>
      <w:proofErr w:type="gramEnd"/>
      <w:r>
        <w:rPr>
          <w:rFonts w:ascii="標楷體" w:eastAsia="標楷體" w:hAnsi="標楷體" w:hint="eastAsia"/>
        </w:rPr>
        <w:t>以前年度短列之醫療機構人員獎勵金，雜項費用增加所致</w:t>
      </w:r>
      <w:r>
        <w:rPr>
          <w:rFonts w:ascii="標楷體" w:eastAsia="標楷體" w:hAnsi="標楷體" w:cs="Times New Roman" w:hint="eastAsia"/>
          <w:szCs w:val="24"/>
        </w:rPr>
        <w:t>。</w:t>
      </w:r>
    </w:p>
    <w:p w14:paraId="5BC812FB" w14:textId="77777777" w:rsidR="00A85180" w:rsidRDefault="00A85180" w:rsidP="0040355F">
      <w:pPr>
        <w:suppressAutoHyphens/>
        <w:overflowPunct w:val="0"/>
        <w:spacing w:beforeLines="50" w:before="180" w:afterLines="10" w:after="36" w:line="500" w:lineRule="exact"/>
        <w:jc w:val="both"/>
        <w:outlineLvl w:val="2"/>
        <w:rPr>
          <w:rFonts w:ascii="標楷體" w:eastAsia="標楷體" w:hAnsi="標楷體" w:cs="Times New Roman"/>
          <w:b/>
          <w:sz w:val="32"/>
          <w:szCs w:val="32"/>
        </w:rPr>
      </w:pPr>
      <w:r>
        <w:rPr>
          <w:rFonts w:ascii="標楷體" w:eastAsia="標楷體" w:hAnsi="標楷體" w:cs="Times New Roman" w:hint="eastAsia"/>
          <w:b/>
          <w:sz w:val="32"/>
          <w:szCs w:val="32"/>
        </w:rPr>
        <w:t>三、重要審核意見</w:t>
      </w:r>
    </w:p>
    <w:p w14:paraId="258D0260" w14:textId="77777777" w:rsidR="00A85180" w:rsidRDefault="00A85180" w:rsidP="00713069">
      <w:pPr>
        <w:overflowPunct w:val="0"/>
        <w:spacing w:line="500" w:lineRule="exact"/>
        <w:ind w:firstLineChars="100" w:firstLine="280"/>
        <w:jc w:val="both"/>
        <w:rPr>
          <w:rFonts w:ascii="標楷體" w:eastAsia="標楷體" w:hAnsi="標楷體" w:cs="Times New Roman"/>
          <w:sz w:val="18"/>
          <w:szCs w:val="18"/>
        </w:rPr>
      </w:pPr>
      <w:r>
        <w:rPr>
          <w:rFonts w:ascii="標楷體" w:eastAsia="標楷體" w:hAnsi="標楷體" w:cs="Times New Roman" w:hint="eastAsia"/>
          <w:b/>
          <w:sz w:val="28"/>
          <w:szCs w:val="28"/>
        </w:rPr>
        <w:t>（一）為提升幼兒醫療照護品質，配合中央政策推動幼兒專責醫師制度計畫，</w:t>
      </w:r>
      <w:proofErr w:type="gramStart"/>
      <w:r>
        <w:rPr>
          <w:rFonts w:ascii="標楷體" w:eastAsia="標楷體" w:hAnsi="標楷體" w:cs="Times New Roman" w:hint="eastAsia"/>
          <w:b/>
          <w:sz w:val="28"/>
          <w:szCs w:val="28"/>
        </w:rPr>
        <w:t>惟轄內</w:t>
      </w:r>
      <w:proofErr w:type="gramEnd"/>
      <w:r>
        <w:rPr>
          <w:rFonts w:ascii="標楷體" w:eastAsia="標楷體" w:hAnsi="標楷體" w:cs="Times New Roman" w:hint="eastAsia"/>
          <w:b/>
          <w:sz w:val="28"/>
          <w:szCs w:val="28"/>
        </w:rPr>
        <w:t>幼兒收案涵蓋率平均值未及</w:t>
      </w:r>
      <w:proofErr w:type="gramStart"/>
      <w:r>
        <w:rPr>
          <w:rFonts w:ascii="標楷體" w:eastAsia="標楷體" w:hAnsi="標楷體" w:cs="Times New Roman" w:hint="eastAsia"/>
          <w:b/>
          <w:sz w:val="28"/>
          <w:szCs w:val="28"/>
        </w:rPr>
        <w:t>3成</w:t>
      </w:r>
      <w:proofErr w:type="gramEnd"/>
      <w:r>
        <w:rPr>
          <w:rFonts w:ascii="標楷體" w:eastAsia="標楷體" w:hAnsi="標楷體" w:cs="Times New Roman" w:hint="eastAsia"/>
          <w:b/>
          <w:sz w:val="28"/>
          <w:szCs w:val="28"/>
        </w:rPr>
        <w:t>，且多數行政區醫療院所參與比率未及</w:t>
      </w:r>
      <w:proofErr w:type="gramStart"/>
      <w:r>
        <w:rPr>
          <w:rFonts w:ascii="標楷體" w:eastAsia="標楷體" w:hAnsi="標楷體" w:cs="Times New Roman" w:hint="eastAsia"/>
          <w:b/>
          <w:sz w:val="28"/>
          <w:szCs w:val="28"/>
        </w:rPr>
        <w:t>6成</w:t>
      </w:r>
      <w:proofErr w:type="gramEnd"/>
      <w:r>
        <w:rPr>
          <w:rFonts w:ascii="標楷體" w:eastAsia="標楷體" w:hAnsi="標楷體" w:cs="Times New Roman" w:hint="eastAsia"/>
          <w:b/>
          <w:sz w:val="28"/>
          <w:szCs w:val="28"/>
        </w:rPr>
        <w:t>、醫師未及</w:t>
      </w:r>
      <w:proofErr w:type="gramStart"/>
      <w:r>
        <w:rPr>
          <w:rFonts w:ascii="標楷體" w:eastAsia="標楷體" w:hAnsi="標楷體" w:cs="Times New Roman" w:hint="eastAsia"/>
          <w:b/>
          <w:sz w:val="28"/>
          <w:szCs w:val="28"/>
        </w:rPr>
        <w:t>4成</w:t>
      </w:r>
      <w:proofErr w:type="gramEnd"/>
      <w:r>
        <w:rPr>
          <w:rFonts w:ascii="標楷體" w:eastAsia="標楷體" w:hAnsi="標楷體" w:cs="Times New Roman" w:hint="eastAsia"/>
          <w:b/>
          <w:sz w:val="28"/>
          <w:szCs w:val="28"/>
        </w:rPr>
        <w:t>；另訂定醫師/醫療機構退場流程及相關規範未盡周延等情，均有待檢討改善。</w:t>
      </w:r>
    </w:p>
    <w:p w14:paraId="2DA0D286" w14:textId="77777777" w:rsidR="00A85180" w:rsidRDefault="00A85180" w:rsidP="00A85180">
      <w:pPr>
        <w:overflowPunct w:val="0"/>
        <w:spacing w:line="500" w:lineRule="exact"/>
        <w:ind w:firstLineChars="200" w:firstLine="480"/>
        <w:jc w:val="both"/>
        <w:rPr>
          <w:rFonts w:ascii="標楷體" w:eastAsia="標楷體" w:hAnsi="標楷體" w:cs="Times New Roman"/>
        </w:rPr>
      </w:pPr>
      <w:r>
        <w:rPr>
          <w:rFonts w:ascii="標楷體" w:eastAsia="標楷體" w:hAnsi="標楷體" w:cs="Times New Roman" w:hint="eastAsia"/>
        </w:rPr>
        <w:lastRenderedPageBreak/>
        <w:t>衛生福利部（下稱衛福部）為強化兒童之醫療照護，自110年起推出「優化兒童醫療照護計畫」，包含透過地方衛生局整合醫療機構及醫師資源之「幼兒專責醫師制度計畫」（下稱幼專計畫）。又衛生局於112年3月至114年3月間三度受衛福部委託辦理上</w:t>
      </w:r>
      <w:proofErr w:type="gramStart"/>
      <w:r>
        <w:rPr>
          <w:rFonts w:ascii="標楷體" w:eastAsia="標楷體" w:hAnsi="標楷體" w:cs="Times New Roman" w:hint="eastAsia"/>
        </w:rPr>
        <w:t>開幼專</w:t>
      </w:r>
      <w:proofErr w:type="gramEnd"/>
      <w:r>
        <w:rPr>
          <w:rFonts w:ascii="標楷體" w:eastAsia="標楷體" w:hAnsi="標楷體" w:cs="Times New Roman" w:hint="eastAsia"/>
        </w:rPr>
        <w:t>計畫，執行期間為112年3月至12月、113年3月至114年3月、114年3月至116年3月，核定計畫經費各 1,300萬餘元、365萬餘元、769萬餘元。經查其執行情形，核有下列事項：</w:t>
      </w:r>
    </w:p>
    <w:p w14:paraId="0DB93A9F" w14:textId="6C6E13B3" w:rsidR="00A85180" w:rsidRDefault="00A85180" w:rsidP="00A85180">
      <w:pPr>
        <w:overflowPunct w:val="0"/>
        <w:spacing w:line="500" w:lineRule="exact"/>
        <w:ind w:firstLineChars="210" w:firstLine="504"/>
        <w:jc w:val="both"/>
        <w:rPr>
          <w:rFonts w:ascii="標楷體" w:eastAsia="標楷體" w:hAnsi="標楷體" w:cs="Times New Roman"/>
          <w:kern w:val="0"/>
        </w:rPr>
      </w:pPr>
      <w:r>
        <w:rPr>
          <w:rFonts w:hint="eastAsia"/>
          <w:noProof/>
        </w:rPr>
        <mc:AlternateContent>
          <mc:Choice Requires="wps">
            <w:drawing>
              <wp:anchor distT="45720" distB="45720" distL="114300" distR="114300" simplePos="0" relativeHeight="251718656" behindDoc="1" locked="0" layoutInCell="1" allowOverlap="1" wp14:anchorId="3E0DD8C8" wp14:editId="5D713713">
                <wp:simplePos x="0" y="0"/>
                <wp:positionH relativeFrom="margin">
                  <wp:posOffset>3475990</wp:posOffset>
                </wp:positionH>
                <wp:positionV relativeFrom="page">
                  <wp:posOffset>3404870</wp:posOffset>
                </wp:positionV>
                <wp:extent cx="2845435" cy="4644390"/>
                <wp:effectExtent l="0" t="0" r="0" b="3810"/>
                <wp:wrapTight wrapText="bothSides">
                  <wp:wrapPolygon edited="0">
                    <wp:start x="0" y="0"/>
                    <wp:lineTo x="0" y="21529"/>
                    <wp:lineTo x="21402" y="21529"/>
                    <wp:lineTo x="21402" y="0"/>
                    <wp:lineTo x="0" y="0"/>
                  </wp:wrapPolygon>
                </wp:wrapTight>
                <wp:docPr id="927419596" name="文字方塊 9274195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5435" cy="4644390"/>
                        </a:xfrm>
                        <a:prstGeom prst="rect">
                          <a:avLst/>
                        </a:prstGeom>
                        <a:solidFill>
                          <a:srgbClr val="FFFFFF"/>
                        </a:solidFill>
                        <a:ln w="9525">
                          <a:noFill/>
                          <a:miter lim="800000"/>
                          <a:headEnd/>
                          <a:tailEnd/>
                        </a:ln>
                      </wps:spPr>
                      <wps:txbx>
                        <w:txbxContent>
                          <w:tbl>
                            <w:tblPr>
                              <w:tblStyle w:val="a6"/>
                              <w:tblW w:w="4395" w:type="dxa"/>
                              <w:jc w:val="center"/>
                              <w:tblLook w:val="04A0" w:firstRow="1" w:lastRow="0" w:firstColumn="1" w:lastColumn="0" w:noHBand="0" w:noVBand="1"/>
                            </w:tblPr>
                            <w:tblGrid>
                              <w:gridCol w:w="918"/>
                              <w:gridCol w:w="1018"/>
                              <w:gridCol w:w="1018"/>
                              <w:gridCol w:w="1441"/>
                            </w:tblGrid>
                            <w:tr w:rsidR="00A85180" w14:paraId="5CB9081A" w14:textId="77777777">
                              <w:trPr>
                                <w:trHeight w:val="275"/>
                                <w:jc w:val="center"/>
                              </w:trPr>
                              <w:tc>
                                <w:tcPr>
                                  <w:tcW w:w="4395" w:type="dxa"/>
                                  <w:gridSpan w:val="4"/>
                                  <w:tcBorders>
                                    <w:top w:val="nil"/>
                                    <w:left w:val="nil"/>
                                    <w:bottom w:val="nil"/>
                                    <w:right w:val="nil"/>
                                  </w:tcBorders>
                                  <w:vAlign w:val="center"/>
                                  <w:hideMark/>
                                </w:tcPr>
                                <w:p w14:paraId="5C41A08C" w14:textId="47F18C1D" w:rsidR="00A85180" w:rsidRPr="00495ED5" w:rsidRDefault="00A85180" w:rsidP="00CF1B20">
                                  <w:pPr>
                                    <w:spacing w:line="240" w:lineRule="exact"/>
                                    <w:ind w:left="629" w:hangingChars="271" w:hanging="629"/>
                                    <w:rPr>
                                      <w:rFonts w:ascii="標楷體" w:eastAsia="標楷體" w:hAnsi="標楷體"/>
                                      <w:b/>
                                      <w:bCs/>
                                      <w:spacing w:val="-4"/>
                                      <w:sz w:val="24"/>
                                      <w:szCs w:val="24"/>
                                    </w:rPr>
                                  </w:pPr>
                                  <w:r w:rsidRPr="00495ED5">
                                    <w:rPr>
                                      <w:rFonts w:ascii="標楷體" w:eastAsia="標楷體" w:hAnsi="標楷體" w:hint="eastAsia"/>
                                      <w:b/>
                                      <w:bCs/>
                                      <w:spacing w:val="-4"/>
                                      <w:sz w:val="24"/>
                                      <w:szCs w:val="24"/>
                                    </w:rPr>
                                    <w:t xml:space="preserve">表1  </w:t>
                                  </w:r>
                                  <w:r w:rsidR="00CF1B20">
                                    <w:rPr>
                                      <w:rFonts w:ascii="標楷體" w:eastAsia="標楷體" w:hAnsi="標楷體" w:hint="eastAsia"/>
                                      <w:b/>
                                      <w:bCs/>
                                      <w:spacing w:val="-4"/>
                                      <w:sz w:val="24"/>
                                      <w:szCs w:val="24"/>
                                    </w:rPr>
                                    <w:t>臺北市</w:t>
                                  </w:r>
                                  <w:r w:rsidRPr="00495ED5">
                                    <w:rPr>
                                      <w:rFonts w:ascii="標楷體" w:eastAsia="標楷體" w:hAnsi="標楷體" w:hint="eastAsia"/>
                                      <w:b/>
                                      <w:bCs/>
                                      <w:spacing w:val="-4"/>
                                      <w:sz w:val="24"/>
                                      <w:szCs w:val="24"/>
                                    </w:rPr>
                                    <w:t>未滿3歲幼兒</w:t>
                                  </w:r>
                                  <w:proofErr w:type="gramStart"/>
                                  <w:r w:rsidRPr="00495ED5">
                                    <w:rPr>
                                      <w:rFonts w:ascii="標楷體" w:eastAsia="標楷體" w:hAnsi="標楷體" w:hint="eastAsia"/>
                                      <w:b/>
                                      <w:bCs/>
                                      <w:spacing w:val="-4"/>
                                      <w:sz w:val="24"/>
                                      <w:szCs w:val="24"/>
                                    </w:rPr>
                                    <w:t>經幼專</w:t>
                                  </w:r>
                                  <w:proofErr w:type="gramEnd"/>
                                  <w:r w:rsidRPr="00495ED5">
                                    <w:rPr>
                                      <w:rFonts w:ascii="標楷體" w:eastAsia="標楷體" w:hAnsi="標楷體" w:hint="eastAsia"/>
                                      <w:b/>
                                      <w:bCs/>
                                      <w:spacing w:val="-4"/>
                                      <w:sz w:val="24"/>
                                      <w:szCs w:val="24"/>
                                    </w:rPr>
                                    <w:t>計畫收案情形</w:t>
                                  </w:r>
                                </w:p>
                              </w:tc>
                            </w:tr>
                            <w:tr w:rsidR="00A85180" w14:paraId="517EF619" w14:textId="77777777">
                              <w:trPr>
                                <w:trHeight w:val="275"/>
                                <w:jc w:val="center"/>
                              </w:trPr>
                              <w:tc>
                                <w:tcPr>
                                  <w:tcW w:w="4395" w:type="dxa"/>
                                  <w:gridSpan w:val="4"/>
                                  <w:tcBorders>
                                    <w:top w:val="nil"/>
                                    <w:left w:val="nil"/>
                                    <w:bottom w:val="single" w:sz="4" w:space="0" w:color="auto"/>
                                    <w:right w:val="nil"/>
                                  </w:tcBorders>
                                  <w:vAlign w:val="center"/>
                                  <w:hideMark/>
                                </w:tcPr>
                                <w:p w14:paraId="4178C734" w14:textId="77777777" w:rsidR="00A85180" w:rsidRDefault="00A85180">
                                  <w:pPr>
                                    <w:spacing w:line="240" w:lineRule="exact"/>
                                    <w:ind w:firstLine="176"/>
                                    <w:jc w:val="right"/>
                                    <w:rPr>
                                      <w:rFonts w:ascii="標楷體" w:eastAsia="標楷體" w:hAnsi="標楷體"/>
                                      <w:spacing w:val="-12"/>
                                    </w:rPr>
                                  </w:pPr>
                                  <w:r>
                                    <w:rPr>
                                      <w:rFonts w:ascii="標楷體" w:eastAsia="標楷體" w:hAnsi="標楷體" w:hint="eastAsia"/>
                                      <w:spacing w:val="-12"/>
                                    </w:rPr>
                                    <w:t>單位：人、％</w:t>
                                  </w:r>
                                </w:p>
                              </w:tc>
                            </w:tr>
                            <w:tr w:rsidR="00A85180" w14:paraId="5D065D96" w14:textId="77777777">
                              <w:trPr>
                                <w:trHeight w:val="275"/>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0EB3FF9E" w14:textId="77777777" w:rsidR="00A85180" w:rsidRDefault="00A85180" w:rsidP="0040355F">
                                  <w:pPr>
                                    <w:spacing w:line="240" w:lineRule="exact"/>
                                    <w:jc w:val="center"/>
                                    <w:rPr>
                                      <w:rFonts w:ascii="標楷體" w:eastAsia="標楷體" w:hAnsi="標楷體"/>
                                      <w:spacing w:val="-4"/>
                                    </w:rPr>
                                  </w:pPr>
                                  <w:r>
                                    <w:rPr>
                                      <w:rFonts w:ascii="標楷體" w:eastAsia="標楷體" w:hAnsi="標楷體" w:hint="eastAsia"/>
                                    </w:rPr>
                                    <w:t>行政區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2A61FE68" w14:textId="77777777" w:rsidR="00A85180" w:rsidRDefault="00A85180" w:rsidP="0040355F">
                                  <w:pPr>
                                    <w:spacing w:line="240" w:lineRule="exact"/>
                                    <w:ind w:leftChars="-37" w:left="-89"/>
                                    <w:jc w:val="center"/>
                                    <w:rPr>
                                      <w:rFonts w:ascii="標楷體" w:eastAsia="標楷體" w:hAnsi="標楷體"/>
                                    </w:rPr>
                                  </w:pPr>
                                  <w:r>
                                    <w:rPr>
                                      <w:rFonts w:ascii="標楷體" w:eastAsia="標楷體" w:hAnsi="標楷體" w:hint="eastAsia"/>
                                    </w:rPr>
                                    <w:t>未滿3歲幼兒人數</w:t>
                                  </w:r>
                                </w:p>
                                <w:p w14:paraId="0C69A37E" w14:textId="77777777" w:rsidR="00A85180" w:rsidRDefault="00A85180" w:rsidP="0040355F">
                                  <w:pPr>
                                    <w:spacing w:line="240" w:lineRule="exact"/>
                                    <w:jc w:val="center"/>
                                    <w:rPr>
                                      <w:rFonts w:ascii="標楷體" w:eastAsia="標楷體" w:hAnsi="標楷體"/>
                                    </w:rPr>
                                  </w:pPr>
                                  <w:r>
                                    <w:rPr>
                                      <w:rFonts w:ascii="標楷體" w:eastAsia="標楷體" w:hAnsi="標楷體" w:hint="eastAsia"/>
                                    </w:rPr>
                                    <w:t>（A）</w:t>
                                  </w:r>
                                </w:p>
                              </w:tc>
                              <w:tc>
                                <w:tcPr>
                                  <w:tcW w:w="1001" w:type="dxa"/>
                                  <w:tcBorders>
                                    <w:top w:val="single" w:sz="4" w:space="0" w:color="auto"/>
                                    <w:left w:val="single" w:sz="4" w:space="0" w:color="auto"/>
                                    <w:bottom w:val="single" w:sz="4" w:space="0" w:color="auto"/>
                                    <w:right w:val="single" w:sz="4" w:space="0" w:color="auto"/>
                                  </w:tcBorders>
                                  <w:vAlign w:val="center"/>
                                  <w:hideMark/>
                                </w:tcPr>
                                <w:p w14:paraId="4BB1C5BB" w14:textId="77777777" w:rsidR="00A85180" w:rsidRDefault="00A85180" w:rsidP="0040355F">
                                  <w:pPr>
                                    <w:spacing w:line="240" w:lineRule="exact"/>
                                    <w:ind w:leftChars="-44" w:left="-106"/>
                                    <w:jc w:val="center"/>
                                    <w:rPr>
                                      <w:rFonts w:ascii="標楷體" w:eastAsia="標楷體" w:hAnsi="標楷體"/>
                                    </w:rPr>
                                  </w:pPr>
                                  <w:r>
                                    <w:rPr>
                                      <w:rFonts w:ascii="標楷體" w:eastAsia="標楷體" w:hAnsi="標楷體" w:hint="eastAsia"/>
                                    </w:rPr>
                                    <w:t>收案人數</w:t>
                                  </w:r>
                                </w:p>
                                <w:p w14:paraId="7DFB702B" w14:textId="77777777" w:rsidR="00A85180" w:rsidRDefault="00A85180" w:rsidP="0040355F">
                                  <w:pPr>
                                    <w:spacing w:line="240" w:lineRule="exact"/>
                                    <w:jc w:val="center"/>
                                    <w:rPr>
                                      <w:rFonts w:ascii="標楷體" w:eastAsia="標楷體" w:hAnsi="標楷體"/>
                                    </w:rPr>
                                  </w:pPr>
                                  <w:r>
                                    <w:rPr>
                                      <w:rFonts w:ascii="標楷體" w:eastAsia="標楷體" w:hAnsi="標楷體" w:hint="eastAsia"/>
                                    </w:rPr>
                                    <w:t>（B）</w:t>
                                  </w:r>
                                </w:p>
                              </w:tc>
                              <w:tc>
                                <w:tcPr>
                                  <w:tcW w:w="1458" w:type="dxa"/>
                                  <w:tcBorders>
                                    <w:top w:val="single" w:sz="4" w:space="0" w:color="auto"/>
                                    <w:left w:val="single" w:sz="4" w:space="0" w:color="auto"/>
                                    <w:bottom w:val="single" w:sz="4" w:space="0" w:color="auto"/>
                                    <w:right w:val="single" w:sz="4" w:space="0" w:color="auto"/>
                                  </w:tcBorders>
                                  <w:vAlign w:val="center"/>
                                  <w:hideMark/>
                                </w:tcPr>
                                <w:p w14:paraId="320B2EA3" w14:textId="77777777" w:rsidR="00A85180" w:rsidRDefault="00A85180" w:rsidP="0040355F">
                                  <w:pPr>
                                    <w:spacing w:line="280" w:lineRule="exact"/>
                                    <w:ind w:leftChars="-46" w:left="-110" w:rightChars="-24" w:right="-58"/>
                                    <w:jc w:val="center"/>
                                    <w:rPr>
                                      <w:rFonts w:ascii="標楷體" w:eastAsia="標楷體" w:hAnsi="標楷體"/>
                                      <w:color w:val="000000" w:themeColor="text1"/>
                                      <w:szCs w:val="24"/>
                                    </w:rPr>
                                  </w:pPr>
                                  <w:r>
                                    <w:rPr>
                                      <w:rFonts w:ascii="標楷體" w:eastAsia="標楷體" w:hAnsi="標楷體" w:hint="eastAsia"/>
                                      <w:color w:val="000000" w:themeColor="text1"/>
                                      <w:szCs w:val="24"/>
                                    </w:rPr>
                                    <w:t>收案涵蓋率</w:t>
                                  </w:r>
                                </w:p>
                                <w:p w14:paraId="7208F75B" w14:textId="582ED5B2" w:rsidR="00A85180" w:rsidRDefault="00A85180" w:rsidP="0040355F">
                                  <w:pPr>
                                    <w:spacing w:line="280" w:lineRule="exact"/>
                                    <w:ind w:leftChars="-46" w:left="-110" w:rightChars="-24" w:right="-58"/>
                                    <w:jc w:val="center"/>
                                    <w:rPr>
                                      <w:rFonts w:ascii="標楷體" w:eastAsia="標楷體" w:hAnsi="標楷體"/>
                                      <w:color w:val="000000" w:themeColor="text1"/>
                                      <w:spacing w:val="-14"/>
                                      <w:szCs w:val="24"/>
                                    </w:rPr>
                                  </w:pPr>
                                  <w:r>
                                    <w:rPr>
                                      <w:rFonts w:ascii="標楷體" w:eastAsia="標楷體" w:hAnsi="標楷體" w:hint="eastAsia"/>
                                      <w:spacing w:val="-14"/>
                                    </w:rPr>
                                    <w:t>（B</w:t>
                                  </w:r>
                                  <w:r>
                                    <w:rPr>
                                      <w:rFonts w:ascii="標楷體" w:eastAsia="標楷體" w:hAnsi="標楷體" w:hint="eastAsia"/>
                                      <w:color w:val="000000" w:themeColor="text1"/>
                                      <w:spacing w:val="-14"/>
                                      <w:szCs w:val="24"/>
                                    </w:rPr>
                                    <w:t>/</w:t>
                                  </w:r>
                                  <w:r>
                                    <w:rPr>
                                      <w:rFonts w:ascii="標楷體" w:eastAsia="標楷體" w:hAnsi="標楷體" w:hint="eastAsia"/>
                                      <w:spacing w:val="-14"/>
                                    </w:rPr>
                                    <w:t>A</w:t>
                                  </w:r>
                                  <w:r>
                                    <w:rPr>
                                      <w:rFonts w:ascii="標楷體" w:eastAsia="標楷體" w:hAnsi="標楷體" w:hint="eastAsia"/>
                                      <w:color w:val="000000" w:themeColor="text1"/>
                                      <w:spacing w:val="-14"/>
                                      <w:szCs w:val="24"/>
                                    </w:rPr>
                                    <w:t>×100</w:t>
                                  </w:r>
                                  <w:r w:rsidR="006E4897">
                                    <w:rPr>
                                      <w:rFonts w:ascii="標楷體" w:eastAsia="標楷體" w:hAnsi="標楷體" w:hint="eastAsia"/>
                                      <w:spacing w:val="-14"/>
                                    </w:rPr>
                                    <w:t>）</w:t>
                                  </w:r>
                                </w:p>
                              </w:tc>
                            </w:tr>
                            <w:tr w:rsidR="00A85180" w14:paraId="3FADC19D"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58412353" w14:textId="77777777" w:rsidR="00A85180" w:rsidRDefault="00A85180" w:rsidP="00495ED5">
                                  <w:pPr>
                                    <w:spacing w:line="240" w:lineRule="exact"/>
                                    <w:jc w:val="center"/>
                                    <w:rPr>
                                      <w:rFonts w:ascii="標楷體" w:eastAsia="標楷體" w:hAnsi="標楷體"/>
                                      <w:b/>
                                      <w:bCs/>
                                      <w:spacing w:val="-12"/>
                                    </w:rPr>
                                  </w:pPr>
                                  <w:r>
                                    <w:rPr>
                                      <w:rFonts w:ascii="標楷體" w:eastAsia="標楷體" w:hAnsi="標楷體" w:hint="eastAsia"/>
                                      <w:b/>
                                      <w:bCs/>
                                    </w:rPr>
                                    <w:t>合  計</w:t>
                                  </w:r>
                                </w:p>
                              </w:tc>
                              <w:tc>
                                <w:tcPr>
                                  <w:tcW w:w="1001" w:type="dxa"/>
                                  <w:tcBorders>
                                    <w:top w:val="single" w:sz="4" w:space="0" w:color="auto"/>
                                    <w:left w:val="single" w:sz="4" w:space="0" w:color="auto"/>
                                    <w:bottom w:val="single" w:sz="4" w:space="0" w:color="auto"/>
                                    <w:right w:val="single" w:sz="4" w:space="0" w:color="auto"/>
                                  </w:tcBorders>
                                  <w:vAlign w:val="center"/>
                                  <w:hideMark/>
                                </w:tcPr>
                                <w:p w14:paraId="55F50D34" w14:textId="77777777" w:rsidR="00A85180" w:rsidRDefault="00A85180">
                                  <w:pPr>
                                    <w:spacing w:line="240" w:lineRule="exact"/>
                                    <w:ind w:firstLine="200"/>
                                    <w:jc w:val="right"/>
                                    <w:rPr>
                                      <w:rFonts w:ascii="標楷體" w:eastAsia="標楷體" w:hAnsi="標楷體"/>
                                      <w:b/>
                                      <w:bCs/>
                                      <w:spacing w:val="-8"/>
                                    </w:rPr>
                                  </w:pPr>
                                  <w:r>
                                    <w:rPr>
                                      <w:rFonts w:ascii="標楷體" w:eastAsia="標楷體" w:hAnsi="標楷體" w:hint="eastAsia"/>
                                      <w:b/>
                                      <w:bCs/>
                                    </w:rPr>
                                    <w:t xml:space="preserve">45,757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35086CDE" w14:textId="77777777" w:rsidR="00A85180" w:rsidRDefault="00A85180">
                                  <w:pPr>
                                    <w:spacing w:line="240" w:lineRule="exact"/>
                                    <w:ind w:firstLine="200"/>
                                    <w:jc w:val="right"/>
                                    <w:rPr>
                                      <w:rFonts w:ascii="標楷體" w:eastAsia="標楷體" w:hAnsi="標楷體"/>
                                      <w:b/>
                                      <w:bCs/>
                                      <w:spacing w:val="-8"/>
                                    </w:rPr>
                                  </w:pPr>
                                  <w:r>
                                    <w:rPr>
                                      <w:rFonts w:ascii="標楷體" w:eastAsia="標楷體" w:hAnsi="標楷體" w:hint="eastAsia"/>
                                      <w:b/>
                                      <w:bCs/>
                                    </w:rPr>
                                    <w:t>11,748</w:t>
                                  </w:r>
                                </w:p>
                              </w:tc>
                              <w:tc>
                                <w:tcPr>
                                  <w:tcW w:w="1458" w:type="dxa"/>
                                  <w:tcBorders>
                                    <w:top w:val="single" w:sz="4" w:space="0" w:color="auto"/>
                                    <w:left w:val="single" w:sz="4" w:space="0" w:color="auto"/>
                                    <w:bottom w:val="single" w:sz="4" w:space="0" w:color="auto"/>
                                    <w:right w:val="single" w:sz="4" w:space="0" w:color="auto"/>
                                  </w:tcBorders>
                                  <w:vAlign w:val="center"/>
                                  <w:hideMark/>
                                </w:tcPr>
                                <w:p w14:paraId="1F45467C" w14:textId="77777777" w:rsidR="00A85180" w:rsidRDefault="00A85180">
                                  <w:pPr>
                                    <w:spacing w:line="240" w:lineRule="exact"/>
                                    <w:ind w:firstLine="200"/>
                                    <w:jc w:val="right"/>
                                    <w:rPr>
                                      <w:rFonts w:ascii="標楷體" w:eastAsia="標楷體" w:hAnsi="標楷體"/>
                                      <w:b/>
                                      <w:bCs/>
                                      <w:spacing w:val="-8"/>
                                    </w:rPr>
                                  </w:pPr>
                                  <w:r>
                                    <w:rPr>
                                      <w:rFonts w:ascii="標楷體" w:eastAsia="標楷體" w:hAnsi="標楷體" w:hint="eastAsia"/>
                                      <w:b/>
                                      <w:bCs/>
                                    </w:rPr>
                                    <w:t>25.67</w:t>
                                  </w:r>
                                </w:p>
                              </w:tc>
                            </w:tr>
                            <w:tr w:rsidR="00A85180" w14:paraId="536B0549"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07E97137"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內湖區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21A901E8"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5,708</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BBADA39"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2,225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7A52BEB4"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38.98</w:t>
                                  </w:r>
                                </w:p>
                              </w:tc>
                            </w:tr>
                            <w:tr w:rsidR="00A85180" w14:paraId="016AE8FC"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4BB6B223"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大安區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3ADCC2C7"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5,274</w:t>
                                  </w:r>
                                </w:p>
                              </w:tc>
                              <w:tc>
                                <w:tcPr>
                                  <w:tcW w:w="1001" w:type="dxa"/>
                                  <w:tcBorders>
                                    <w:top w:val="single" w:sz="4" w:space="0" w:color="auto"/>
                                    <w:left w:val="single" w:sz="4" w:space="0" w:color="auto"/>
                                    <w:bottom w:val="single" w:sz="4" w:space="0" w:color="auto"/>
                                    <w:right w:val="single" w:sz="4" w:space="0" w:color="auto"/>
                                  </w:tcBorders>
                                  <w:vAlign w:val="center"/>
                                  <w:hideMark/>
                                </w:tcPr>
                                <w:p w14:paraId="422932DF"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595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191620A"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11.28</w:t>
                                  </w:r>
                                </w:p>
                              </w:tc>
                            </w:tr>
                            <w:tr w:rsidR="00A85180" w14:paraId="1A1FBE54"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7D78CCBB"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士林區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1E532330"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4,721</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679B430"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1,434</w:t>
                                  </w:r>
                                </w:p>
                              </w:tc>
                              <w:tc>
                                <w:tcPr>
                                  <w:tcW w:w="1458" w:type="dxa"/>
                                  <w:tcBorders>
                                    <w:top w:val="single" w:sz="4" w:space="0" w:color="auto"/>
                                    <w:left w:val="single" w:sz="4" w:space="0" w:color="auto"/>
                                    <w:bottom w:val="single" w:sz="4" w:space="0" w:color="auto"/>
                                    <w:right w:val="single" w:sz="4" w:space="0" w:color="auto"/>
                                  </w:tcBorders>
                                  <w:vAlign w:val="center"/>
                                  <w:hideMark/>
                                </w:tcPr>
                                <w:p w14:paraId="360287C7"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30.37</w:t>
                                  </w:r>
                                </w:p>
                              </w:tc>
                            </w:tr>
                            <w:tr w:rsidR="00A85180" w14:paraId="18AA8E81"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4ED5589C"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文山區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9B52612"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4,482</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58272BA"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1,453</w:t>
                                  </w:r>
                                </w:p>
                              </w:tc>
                              <w:tc>
                                <w:tcPr>
                                  <w:tcW w:w="1458" w:type="dxa"/>
                                  <w:tcBorders>
                                    <w:top w:val="single" w:sz="4" w:space="0" w:color="auto"/>
                                    <w:left w:val="single" w:sz="4" w:space="0" w:color="auto"/>
                                    <w:bottom w:val="single" w:sz="4" w:space="0" w:color="auto"/>
                                    <w:right w:val="single" w:sz="4" w:space="0" w:color="auto"/>
                                  </w:tcBorders>
                                  <w:vAlign w:val="center"/>
                                  <w:hideMark/>
                                </w:tcPr>
                                <w:p w14:paraId="587842E1"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32.42</w:t>
                                  </w:r>
                                </w:p>
                              </w:tc>
                            </w:tr>
                            <w:tr w:rsidR="00A85180" w14:paraId="6BEEEE3D"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62299964"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北投區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0EE89CF"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4,398</w:t>
                                  </w:r>
                                </w:p>
                              </w:tc>
                              <w:tc>
                                <w:tcPr>
                                  <w:tcW w:w="1001" w:type="dxa"/>
                                  <w:tcBorders>
                                    <w:top w:val="single" w:sz="4" w:space="0" w:color="auto"/>
                                    <w:left w:val="single" w:sz="4" w:space="0" w:color="auto"/>
                                    <w:bottom w:val="single" w:sz="4" w:space="0" w:color="auto"/>
                                    <w:right w:val="single" w:sz="4" w:space="0" w:color="auto"/>
                                  </w:tcBorders>
                                  <w:vAlign w:val="center"/>
                                  <w:hideMark/>
                                </w:tcPr>
                                <w:p w14:paraId="0A29CD67"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1,104</w:t>
                                  </w:r>
                                </w:p>
                              </w:tc>
                              <w:tc>
                                <w:tcPr>
                                  <w:tcW w:w="1458" w:type="dxa"/>
                                  <w:tcBorders>
                                    <w:top w:val="single" w:sz="4" w:space="0" w:color="auto"/>
                                    <w:left w:val="single" w:sz="4" w:space="0" w:color="auto"/>
                                    <w:bottom w:val="single" w:sz="4" w:space="0" w:color="auto"/>
                                    <w:right w:val="single" w:sz="4" w:space="0" w:color="auto"/>
                                  </w:tcBorders>
                                  <w:vAlign w:val="center"/>
                                  <w:hideMark/>
                                </w:tcPr>
                                <w:p w14:paraId="00B99DFF"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25.10</w:t>
                                  </w:r>
                                </w:p>
                              </w:tc>
                            </w:tr>
                            <w:tr w:rsidR="00A85180" w14:paraId="7C15A51A"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4836999D"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中山區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1B0005D"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3,936</w:t>
                                  </w:r>
                                </w:p>
                              </w:tc>
                              <w:tc>
                                <w:tcPr>
                                  <w:tcW w:w="1001" w:type="dxa"/>
                                  <w:tcBorders>
                                    <w:top w:val="single" w:sz="4" w:space="0" w:color="auto"/>
                                    <w:left w:val="single" w:sz="4" w:space="0" w:color="auto"/>
                                    <w:bottom w:val="single" w:sz="4" w:space="0" w:color="auto"/>
                                    <w:right w:val="single" w:sz="4" w:space="0" w:color="auto"/>
                                  </w:tcBorders>
                                  <w:vAlign w:val="center"/>
                                  <w:hideMark/>
                                </w:tcPr>
                                <w:p w14:paraId="080AD1F2"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610</w:t>
                                  </w:r>
                                </w:p>
                              </w:tc>
                              <w:tc>
                                <w:tcPr>
                                  <w:tcW w:w="1458" w:type="dxa"/>
                                  <w:tcBorders>
                                    <w:top w:val="single" w:sz="4" w:space="0" w:color="auto"/>
                                    <w:left w:val="single" w:sz="4" w:space="0" w:color="auto"/>
                                    <w:bottom w:val="single" w:sz="4" w:space="0" w:color="auto"/>
                                    <w:right w:val="single" w:sz="4" w:space="0" w:color="auto"/>
                                  </w:tcBorders>
                                  <w:vAlign w:val="center"/>
                                  <w:hideMark/>
                                </w:tcPr>
                                <w:p w14:paraId="2224E298"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15.50</w:t>
                                  </w:r>
                                </w:p>
                              </w:tc>
                            </w:tr>
                            <w:tr w:rsidR="00A85180" w14:paraId="4C4CE282"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656BC603"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信義區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2984CC2"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3,685</w:t>
                                  </w:r>
                                </w:p>
                              </w:tc>
                              <w:tc>
                                <w:tcPr>
                                  <w:tcW w:w="1001" w:type="dxa"/>
                                  <w:tcBorders>
                                    <w:top w:val="single" w:sz="4" w:space="0" w:color="auto"/>
                                    <w:left w:val="single" w:sz="4" w:space="0" w:color="auto"/>
                                    <w:bottom w:val="single" w:sz="4" w:space="0" w:color="auto"/>
                                    <w:right w:val="single" w:sz="4" w:space="0" w:color="auto"/>
                                  </w:tcBorders>
                                  <w:vAlign w:val="center"/>
                                  <w:hideMark/>
                                </w:tcPr>
                                <w:p w14:paraId="57C5AF5A"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949</w:t>
                                  </w:r>
                                </w:p>
                              </w:tc>
                              <w:tc>
                                <w:tcPr>
                                  <w:tcW w:w="1458" w:type="dxa"/>
                                  <w:tcBorders>
                                    <w:top w:val="single" w:sz="4" w:space="0" w:color="auto"/>
                                    <w:left w:val="single" w:sz="4" w:space="0" w:color="auto"/>
                                    <w:bottom w:val="single" w:sz="4" w:space="0" w:color="auto"/>
                                    <w:right w:val="single" w:sz="4" w:space="0" w:color="auto"/>
                                  </w:tcBorders>
                                  <w:vAlign w:val="center"/>
                                  <w:hideMark/>
                                </w:tcPr>
                                <w:p w14:paraId="55E4F9B8"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25.75</w:t>
                                  </w:r>
                                </w:p>
                              </w:tc>
                            </w:tr>
                            <w:tr w:rsidR="00A85180" w14:paraId="669C47FC"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3C9A66D3"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松山區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0A677F14"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3,445</w:t>
                                  </w:r>
                                </w:p>
                              </w:tc>
                              <w:tc>
                                <w:tcPr>
                                  <w:tcW w:w="1001" w:type="dxa"/>
                                  <w:tcBorders>
                                    <w:top w:val="single" w:sz="4" w:space="0" w:color="auto"/>
                                    <w:left w:val="single" w:sz="4" w:space="0" w:color="auto"/>
                                    <w:bottom w:val="single" w:sz="4" w:space="0" w:color="auto"/>
                                    <w:right w:val="single" w:sz="4" w:space="0" w:color="auto"/>
                                  </w:tcBorders>
                                  <w:vAlign w:val="center"/>
                                  <w:hideMark/>
                                </w:tcPr>
                                <w:p w14:paraId="3F82CE40"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1,057</w:t>
                                  </w:r>
                                </w:p>
                              </w:tc>
                              <w:tc>
                                <w:tcPr>
                                  <w:tcW w:w="1458" w:type="dxa"/>
                                  <w:tcBorders>
                                    <w:top w:val="single" w:sz="4" w:space="0" w:color="auto"/>
                                    <w:left w:val="single" w:sz="4" w:space="0" w:color="auto"/>
                                    <w:bottom w:val="single" w:sz="4" w:space="0" w:color="auto"/>
                                    <w:right w:val="single" w:sz="4" w:space="0" w:color="auto"/>
                                  </w:tcBorders>
                                  <w:vAlign w:val="center"/>
                                  <w:hideMark/>
                                </w:tcPr>
                                <w:p w14:paraId="182F38A1"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30.68</w:t>
                                  </w:r>
                                </w:p>
                              </w:tc>
                            </w:tr>
                            <w:tr w:rsidR="00A85180" w14:paraId="6A878B7F"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1482840A"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萬華區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E101FEA"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2,916</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BA53B41"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1,380</w:t>
                                  </w:r>
                                </w:p>
                              </w:tc>
                              <w:tc>
                                <w:tcPr>
                                  <w:tcW w:w="1458" w:type="dxa"/>
                                  <w:tcBorders>
                                    <w:top w:val="single" w:sz="4" w:space="0" w:color="auto"/>
                                    <w:left w:val="single" w:sz="4" w:space="0" w:color="auto"/>
                                    <w:bottom w:val="single" w:sz="4" w:space="0" w:color="auto"/>
                                    <w:right w:val="single" w:sz="4" w:space="0" w:color="auto"/>
                                  </w:tcBorders>
                                  <w:vAlign w:val="center"/>
                                  <w:hideMark/>
                                </w:tcPr>
                                <w:p w14:paraId="0CDF3882"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47.33</w:t>
                                  </w:r>
                                </w:p>
                              </w:tc>
                            </w:tr>
                            <w:tr w:rsidR="00A85180" w14:paraId="4DEEFD8C"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6CFF70C8"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中正區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1E96AD35"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2,795</w:t>
                                  </w:r>
                                </w:p>
                              </w:tc>
                              <w:tc>
                                <w:tcPr>
                                  <w:tcW w:w="1001" w:type="dxa"/>
                                  <w:tcBorders>
                                    <w:top w:val="single" w:sz="4" w:space="0" w:color="auto"/>
                                    <w:left w:val="single" w:sz="4" w:space="0" w:color="auto"/>
                                    <w:bottom w:val="single" w:sz="4" w:space="0" w:color="auto"/>
                                    <w:right w:val="single" w:sz="4" w:space="0" w:color="auto"/>
                                  </w:tcBorders>
                                  <w:vAlign w:val="center"/>
                                  <w:hideMark/>
                                </w:tcPr>
                                <w:p w14:paraId="157F8A2C"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58E46B23"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0.43</w:t>
                                  </w:r>
                                </w:p>
                              </w:tc>
                            </w:tr>
                            <w:tr w:rsidR="00A85180" w14:paraId="71DC53FA"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6481C9E9"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大同區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22BD89E"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2,228</w:t>
                                  </w:r>
                                </w:p>
                              </w:tc>
                              <w:tc>
                                <w:tcPr>
                                  <w:tcW w:w="1001" w:type="dxa"/>
                                  <w:tcBorders>
                                    <w:top w:val="single" w:sz="4" w:space="0" w:color="auto"/>
                                    <w:left w:val="single" w:sz="4" w:space="0" w:color="auto"/>
                                    <w:bottom w:val="single" w:sz="4" w:space="0" w:color="auto"/>
                                    <w:right w:val="single" w:sz="4" w:space="0" w:color="auto"/>
                                  </w:tcBorders>
                                  <w:vAlign w:val="center"/>
                                  <w:hideMark/>
                                </w:tcPr>
                                <w:p w14:paraId="47221198"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254</w:t>
                                  </w:r>
                                </w:p>
                              </w:tc>
                              <w:tc>
                                <w:tcPr>
                                  <w:tcW w:w="1458" w:type="dxa"/>
                                  <w:tcBorders>
                                    <w:top w:val="single" w:sz="4" w:space="0" w:color="auto"/>
                                    <w:left w:val="single" w:sz="4" w:space="0" w:color="auto"/>
                                    <w:bottom w:val="single" w:sz="4" w:space="0" w:color="auto"/>
                                    <w:right w:val="single" w:sz="4" w:space="0" w:color="auto"/>
                                  </w:tcBorders>
                                  <w:vAlign w:val="center"/>
                                  <w:hideMark/>
                                </w:tcPr>
                                <w:p w14:paraId="0109D927"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11.40</w:t>
                                  </w:r>
                                </w:p>
                              </w:tc>
                            </w:tr>
                            <w:tr w:rsidR="00A85180" w14:paraId="6638BDD0"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2C8EA179"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南港區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6D56383"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2,169</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357A082"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675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03B58840"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31.12</w:t>
                                  </w:r>
                                </w:p>
                              </w:tc>
                            </w:tr>
                            <w:tr w:rsidR="00A85180" w14:paraId="1056673F" w14:textId="77777777">
                              <w:trPr>
                                <w:trHeight w:val="875"/>
                                <w:jc w:val="center"/>
                              </w:trPr>
                              <w:tc>
                                <w:tcPr>
                                  <w:tcW w:w="4395" w:type="dxa"/>
                                  <w:gridSpan w:val="4"/>
                                  <w:tcBorders>
                                    <w:top w:val="single" w:sz="4" w:space="0" w:color="auto"/>
                                    <w:left w:val="nil"/>
                                    <w:bottom w:val="nil"/>
                                    <w:right w:val="nil"/>
                                  </w:tcBorders>
                                  <w:hideMark/>
                                </w:tcPr>
                                <w:p w14:paraId="29D6C81B" w14:textId="77777777" w:rsidR="00A85180" w:rsidRDefault="00A85180">
                                  <w:pPr>
                                    <w:spacing w:line="0" w:lineRule="atLeast"/>
                                    <w:ind w:leftChars="-31" w:left="466" w:rightChars="-32" w:right="-77" w:hangingChars="300" w:hanging="540"/>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：1.資料統計截止日為114年3月3日。</w:t>
                                  </w:r>
                                </w:p>
                                <w:p w14:paraId="2FC76ABB" w14:textId="77777777" w:rsidR="00A85180" w:rsidRDefault="00A85180">
                                  <w:pPr>
                                    <w:spacing w:line="0" w:lineRule="atLeast"/>
                                    <w:ind w:leftChars="119" w:left="556" w:rightChars="-32" w:right="-77" w:hangingChars="150" w:hanging="270"/>
                                    <w:jc w:val="both"/>
                                    <w:rPr>
                                      <w:rFonts w:ascii="標楷體" w:eastAsia="標楷體" w:hAnsi="標楷體"/>
                                      <w:spacing w:val="-8"/>
                                    </w:rPr>
                                  </w:pPr>
                                  <w:r>
                                    <w:rPr>
                                      <w:rFonts w:ascii="標楷體" w:eastAsia="標楷體" w:hAnsi="標楷體" w:hint="eastAsia"/>
                                      <w:sz w:val="18"/>
                                      <w:szCs w:val="18"/>
                                    </w:rPr>
                                    <w:t>2.資料來源：整理自衛生局提供資料。</w:t>
                                  </w:r>
                                </w:p>
                              </w:tc>
                            </w:tr>
                          </w:tbl>
                          <w:p w14:paraId="5DC39129" w14:textId="77777777" w:rsidR="00A85180" w:rsidRDefault="00A85180" w:rsidP="00A85180">
                            <w:pPr>
                              <w:spacing w:line="40" w:lineRule="exact"/>
                              <w:ind w:rightChars="-40" w:right="-96"/>
                              <w:jc w:val="both"/>
                              <w:rPr>
                                <w:rFonts w:ascii="標楷體" w:eastAsia="標楷體" w:hAnsi="標楷體"/>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0DD8C8" id="文字方塊 927419596" o:spid="_x0000_s1116" type="#_x0000_t202" style="position:absolute;left:0;text-align:left;margin-left:273.7pt;margin-top:268.1pt;width:224.05pt;height:365.7pt;z-index:-251597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" stroked="f">
                <v:textbox>
                  <w:txbxContent>
                    <w:tbl>
                      <w:tblPr>
                        <w:tblStyle w:val="a6"/>
                        <w:tblW w:w="4395" w:type="dxa"/>
                        <w:jc w:val="center"/>
                        <w:tblLook w:val="04A0" w:firstRow="1" w:lastRow="0" w:firstColumn="1" w:lastColumn="0" w:noHBand="0" w:noVBand="1"/>
                      </w:tblPr>
                      <w:tblGrid>
                        <w:gridCol w:w="918"/>
                        <w:gridCol w:w="1018"/>
                        <w:gridCol w:w="1018"/>
                        <w:gridCol w:w="1441"/>
                      </w:tblGrid>
                      <w:tr w:rsidR="00A85180" w14:paraId="5CB9081A" w14:textId="77777777">
                        <w:trPr>
                          <w:trHeight w:val="275"/>
                          <w:jc w:val="center"/>
                        </w:trPr>
                        <w:tc>
                          <w:tcPr>
                            <w:tcW w:w="4395" w:type="dxa"/>
                            <w:gridSpan w:val="4"/>
                            <w:tcBorders>
                              <w:top w:val="nil"/>
                              <w:left w:val="nil"/>
                              <w:bottom w:val="nil"/>
                              <w:right w:val="nil"/>
                            </w:tcBorders>
                            <w:vAlign w:val="center"/>
                            <w:hideMark/>
                          </w:tcPr>
                          <w:p w14:paraId="5C41A08C" w14:textId="47F18C1D" w:rsidR="00A85180" w:rsidRPr="00495ED5" w:rsidRDefault="00A85180" w:rsidP="00CF1B20">
                            <w:pPr>
                              <w:spacing w:line="240" w:lineRule="exact"/>
                              <w:ind w:left="629" w:hangingChars="271" w:hanging="629"/>
                              <w:rPr>
                                <w:rFonts w:ascii="標楷體" w:eastAsia="標楷體" w:hAnsi="標楷體"/>
                                <w:b/>
                                <w:bCs/>
                                <w:spacing w:val="-4"/>
                                <w:sz w:val="24"/>
                                <w:szCs w:val="24"/>
                              </w:rPr>
                            </w:pPr>
                            <w:r w:rsidRPr="00495ED5">
                              <w:rPr>
                                <w:rFonts w:ascii="標楷體" w:eastAsia="標楷體" w:hAnsi="標楷體" w:hint="eastAsia"/>
                                <w:b/>
                                <w:bCs/>
                                <w:spacing w:val="-4"/>
                                <w:sz w:val="24"/>
                                <w:szCs w:val="24"/>
                              </w:rPr>
                              <w:t xml:space="preserve">表1  </w:t>
                            </w:r>
                            <w:r w:rsidR="00CF1B20">
                              <w:rPr>
                                <w:rFonts w:ascii="標楷體" w:eastAsia="標楷體" w:hAnsi="標楷體" w:hint="eastAsia"/>
                                <w:b/>
                                <w:bCs/>
                                <w:spacing w:val="-4"/>
                                <w:sz w:val="24"/>
                                <w:szCs w:val="24"/>
                              </w:rPr>
                              <w:t>臺北市</w:t>
                            </w:r>
                            <w:r w:rsidRPr="00495ED5">
                              <w:rPr>
                                <w:rFonts w:ascii="標楷體" w:eastAsia="標楷體" w:hAnsi="標楷體" w:hint="eastAsia"/>
                                <w:b/>
                                <w:bCs/>
                                <w:spacing w:val="-4"/>
                                <w:sz w:val="24"/>
                                <w:szCs w:val="24"/>
                              </w:rPr>
                              <w:t>未滿3歲幼兒</w:t>
                            </w:r>
                            <w:proofErr w:type="gramStart"/>
                            <w:r w:rsidRPr="00495ED5">
                              <w:rPr>
                                <w:rFonts w:ascii="標楷體" w:eastAsia="標楷體" w:hAnsi="標楷體" w:hint="eastAsia"/>
                                <w:b/>
                                <w:bCs/>
                                <w:spacing w:val="-4"/>
                                <w:sz w:val="24"/>
                                <w:szCs w:val="24"/>
                              </w:rPr>
                              <w:t>經幼專</w:t>
                            </w:r>
                            <w:proofErr w:type="gramEnd"/>
                            <w:r w:rsidRPr="00495ED5">
                              <w:rPr>
                                <w:rFonts w:ascii="標楷體" w:eastAsia="標楷體" w:hAnsi="標楷體" w:hint="eastAsia"/>
                                <w:b/>
                                <w:bCs/>
                                <w:spacing w:val="-4"/>
                                <w:sz w:val="24"/>
                                <w:szCs w:val="24"/>
                              </w:rPr>
                              <w:t>計畫收案情形</w:t>
                            </w:r>
                          </w:p>
                        </w:tc>
                      </w:tr>
                      <w:tr w:rsidR="00A85180" w14:paraId="517EF619" w14:textId="77777777">
                        <w:trPr>
                          <w:trHeight w:val="275"/>
                          <w:jc w:val="center"/>
                        </w:trPr>
                        <w:tc>
                          <w:tcPr>
                            <w:tcW w:w="4395" w:type="dxa"/>
                            <w:gridSpan w:val="4"/>
                            <w:tcBorders>
                              <w:top w:val="nil"/>
                              <w:left w:val="nil"/>
                              <w:bottom w:val="single" w:sz="4" w:space="0" w:color="auto"/>
                              <w:right w:val="nil"/>
                            </w:tcBorders>
                            <w:vAlign w:val="center"/>
                            <w:hideMark/>
                          </w:tcPr>
                          <w:p w14:paraId="4178C734" w14:textId="77777777" w:rsidR="00A85180" w:rsidRDefault="00A85180">
                            <w:pPr>
                              <w:spacing w:line="240" w:lineRule="exact"/>
                              <w:ind w:firstLine="176"/>
                              <w:jc w:val="right"/>
                              <w:rPr>
                                <w:rFonts w:ascii="標楷體" w:eastAsia="標楷體" w:hAnsi="標楷體"/>
                                <w:spacing w:val="-12"/>
                              </w:rPr>
                            </w:pPr>
                            <w:r>
                              <w:rPr>
                                <w:rFonts w:ascii="標楷體" w:eastAsia="標楷體" w:hAnsi="標楷體" w:hint="eastAsia"/>
                                <w:spacing w:val="-12"/>
                              </w:rPr>
                              <w:t>單位：人、％</w:t>
                            </w:r>
                          </w:p>
                        </w:tc>
                      </w:tr>
                      <w:tr w:rsidR="00A85180" w14:paraId="5D065D96" w14:textId="77777777">
                        <w:trPr>
                          <w:trHeight w:val="275"/>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0EB3FF9E" w14:textId="77777777" w:rsidR="00A85180" w:rsidRDefault="00A85180" w:rsidP="0040355F">
                            <w:pPr>
                              <w:spacing w:line="240" w:lineRule="exact"/>
                              <w:jc w:val="center"/>
                              <w:rPr>
                                <w:rFonts w:ascii="標楷體" w:eastAsia="標楷體" w:hAnsi="標楷體"/>
                                <w:spacing w:val="-4"/>
                              </w:rPr>
                            </w:pPr>
                            <w:r>
                              <w:rPr>
                                <w:rFonts w:ascii="標楷體" w:eastAsia="標楷體" w:hAnsi="標楷體" w:hint="eastAsia"/>
                              </w:rPr>
                              <w:t>行政區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2A61FE68" w14:textId="77777777" w:rsidR="00A85180" w:rsidRDefault="00A85180" w:rsidP="0040355F">
                            <w:pPr>
                              <w:spacing w:line="240" w:lineRule="exact"/>
                              <w:ind w:leftChars="-37" w:left="-89"/>
                              <w:jc w:val="center"/>
                              <w:rPr>
                                <w:rFonts w:ascii="標楷體" w:eastAsia="標楷體" w:hAnsi="標楷體"/>
                              </w:rPr>
                            </w:pPr>
                            <w:r>
                              <w:rPr>
                                <w:rFonts w:ascii="標楷體" w:eastAsia="標楷體" w:hAnsi="標楷體" w:hint="eastAsia"/>
                              </w:rPr>
                              <w:t>未滿3歲幼兒人數</w:t>
                            </w:r>
                          </w:p>
                          <w:p w14:paraId="0C69A37E" w14:textId="77777777" w:rsidR="00A85180" w:rsidRDefault="00A85180" w:rsidP="0040355F">
                            <w:pPr>
                              <w:spacing w:line="240" w:lineRule="exact"/>
                              <w:jc w:val="center"/>
                              <w:rPr>
                                <w:rFonts w:ascii="標楷體" w:eastAsia="標楷體" w:hAnsi="標楷體"/>
                              </w:rPr>
                            </w:pPr>
                            <w:r>
                              <w:rPr>
                                <w:rFonts w:ascii="標楷體" w:eastAsia="標楷體" w:hAnsi="標楷體" w:hint="eastAsia"/>
                              </w:rPr>
                              <w:t>（A）</w:t>
                            </w:r>
                          </w:p>
                        </w:tc>
                        <w:tc>
                          <w:tcPr>
                            <w:tcW w:w="1001" w:type="dxa"/>
                            <w:tcBorders>
                              <w:top w:val="single" w:sz="4" w:space="0" w:color="auto"/>
                              <w:left w:val="single" w:sz="4" w:space="0" w:color="auto"/>
                              <w:bottom w:val="single" w:sz="4" w:space="0" w:color="auto"/>
                              <w:right w:val="single" w:sz="4" w:space="0" w:color="auto"/>
                            </w:tcBorders>
                            <w:vAlign w:val="center"/>
                            <w:hideMark/>
                          </w:tcPr>
                          <w:p w14:paraId="4BB1C5BB" w14:textId="77777777" w:rsidR="00A85180" w:rsidRDefault="00A85180" w:rsidP="0040355F">
                            <w:pPr>
                              <w:spacing w:line="240" w:lineRule="exact"/>
                              <w:ind w:leftChars="-44" w:left="-106"/>
                              <w:jc w:val="center"/>
                              <w:rPr>
                                <w:rFonts w:ascii="標楷體" w:eastAsia="標楷體" w:hAnsi="標楷體"/>
                              </w:rPr>
                            </w:pPr>
                            <w:r>
                              <w:rPr>
                                <w:rFonts w:ascii="標楷體" w:eastAsia="標楷體" w:hAnsi="標楷體" w:hint="eastAsia"/>
                              </w:rPr>
                              <w:t>收案人數</w:t>
                            </w:r>
                          </w:p>
                          <w:p w14:paraId="7DFB702B" w14:textId="77777777" w:rsidR="00A85180" w:rsidRDefault="00A85180" w:rsidP="0040355F">
                            <w:pPr>
                              <w:spacing w:line="240" w:lineRule="exact"/>
                              <w:jc w:val="center"/>
                              <w:rPr>
                                <w:rFonts w:ascii="標楷體" w:eastAsia="標楷體" w:hAnsi="標楷體"/>
                              </w:rPr>
                            </w:pPr>
                            <w:r>
                              <w:rPr>
                                <w:rFonts w:ascii="標楷體" w:eastAsia="標楷體" w:hAnsi="標楷體" w:hint="eastAsia"/>
                              </w:rPr>
                              <w:t>（B）</w:t>
                            </w:r>
                          </w:p>
                        </w:tc>
                        <w:tc>
                          <w:tcPr>
                            <w:tcW w:w="1458" w:type="dxa"/>
                            <w:tcBorders>
                              <w:top w:val="single" w:sz="4" w:space="0" w:color="auto"/>
                              <w:left w:val="single" w:sz="4" w:space="0" w:color="auto"/>
                              <w:bottom w:val="single" w:sz="4" w:space="0" w:color="auto"/>
                              <w:right w:val="single" w:sz="4" w:space="0" w:color="auto"/>
                            </w:tcBorders>
                            <w:vAlign w:val="center"/>
                            <w:hideMark/>
                          </w:tcPr>
                          <w:p w14:paraId="320B2EA3" w14:textId="77777777" w:rsidR="00A85180" w:rsidRDefault="00A85180" w:rsidP="0040355F">
                            <w:pPr>
                              <w:spacing w:line="280" w:lineRule="exact"/>
                              <w:ind w:leftChars="-46" w:left="-110" w:rightChars="-24" w:right="-58"/>
                              <w:jc w:val="center"/>
                              <w:rPr>
                                <w:rFonts w:ascii="標楷體" w:eastAsia="標楷體" w:hAnsi="標楷體"/>
                                <w:color w:val="000000" w:themeColor="text1"/>
                                <w:szCs w:val="24"/>
                              </w:rPr>
                            </w:pPr>
                            <w:r>
                              <w:rPr>
                                <w:rFonts w:ascii="標楷體" w:eastAsia="標楷體" w:hAnsi="標楷體" w:hint="eastAsia"/>
                                <w:color w:val="000000" w:themeColor="text1"/>
                                <w:szCs w:val="24"/>
                              </w:rPr>
                              <w:t>收案涵蓋率</w:t>
                            </w:r>
                          </w:p>
                          <w:p w14:paraId="7208F75B" w14:textId="582ED5B2" w:rsidR="00A85180" w:rsidRDefault="00A85180" w:rsidP="0040355F">
                            <w:pPr>
                              <w:spacing w:line="280" w:lineRule="exact"/>
                              <w:ind w:leftChars="-46" w:left="-110" w:rightChars="-24" w:right="-58"/>
                              <w:jc w:val="center"/>
                              <w:rPr>
                                <w:rFonts w:ascii="標楷體" w:eastAsia="標楷體" w:hAnsi="標楷體"/>
                                <w:color w:val="000000" w:themeColor="text1"/>
                                <w:spacing w:val="-14"/>
                                <w:szCs w:val="24"/>
                              </w:rPr>
                            </w:pPr>
                            <w:r>
                              <w:rPr>
                                <w:rFonts w:ascii="標楷體" w:eastAsia="標楷體" w:hAnsi="標楷體" w:hint="eastAsia"/>
                                <w:spacing w:val="-14"/>
                              </w:rPr>
                              <w:t>（B</w:t>
                            </w:r>
                            <w:r>
                              <w:rPr>
                                <w:rFonts w:ascii="標楷體" w:eastAsia="標楷體" w:hAnsi="標楷體" w:hint="eastAsia"/>
                                <w:color w:val="000000" w:themeColor="text1"/>
                                <w:spacing w:val="-14"/>
                                <w:szCs w:val="24"/>
                              </w:rPr>
                              <w:t>/</w:t>
                            </w:r>
                            <w:r>
                              <w:rPr>
                                <w:rFonts w:ascii="標楷體" w:eastAsia="標楷體" w:hAnsi="標楷體" w:hint="eastAsia"/>
                                <w:spacing w:val="-14"/>
                              </w:rPr>
                              <w:t>A</w:t>
                            </w:r>
                            <w:r>
                              <w:rPr>
                                <w:rFonts w:ascii="標楷體" w:eastAsia="標楷體" w:hAnsi="標楷體" w:hint="eastAsia"/>
                                <w:color w:val="000000" w:themeColor="text1"/>
                                <w:spacing w:val="-14"/>
                                <w:szCs w:val="24"/>
                              </w:rPr>
                              <w:t>×100</w:t>
                            </w:r>
                            <w:r w:rsidR="006E4897">
                              <w:rPr>
                                <w:rFonts w:ascii="標楷體" w:eastAsia="標楷體" w:hAnsi="標楷體" w:hint="eastAsia"/>
                                <w:spacing w:val="-14"/>
                              </w:rPr>
                              <w:t>）</w:t>
                            </w:r>
                          </w:p>
                        </w:tc>
                      </w:tr>
                      <w:tr w:rsidR="00A85180" w14:paraId="3FADC19D"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58412353" w14:textId="77777777" w:rsidR="00A85180" w:rsidRDefault="00A85180" w:rsidP="00495ED5">
                            <w:pPr>
                              <w:spacing w:line="240" w:lineRule="exact"/>
                              <w:jc w:val="center"/>
                              <w:rPr>
                                <w:rFonts w:ascii="標楷體" w:eastAsia="標楷體" w:hAnsi="標楷體"/>
                                <w:b/>
                                <w:bCs/>
                                <w:spacing w:val="-12"/>
                              </w:rPr>
                            </w:pPr>
                            <w:r>
                              <w:rPr>
                                <w:rFonts w:ascii="標楷體" w:eastAsia="標楷體" w:hAnsi="標楷體" w:hint="eastAsia"/>
                                <w:b/>
                                <w:bCs/>
                              </w:rPr>
                              <w:t>合  計</w:t>
                            </w:r>
                          </w:p>
                        </w:tc>
                        <w:tc>
                          <w:tcPr>
                            <w:tcW w:w="1001" w:type="dxa"/>
                            <w:tcBorders>
                              <w:top w:val="single" w:sz="4" w:space="0" w:color="auto"/>
                              <w:left w:val="single" w:sz="4" w:space="0" w:color="auto"/>
                              <w:bottom w:val="single" w:sz="4" w:space="0" w:color="auto"/>
                              <w:right w:val="single" w:sz="4" w:space="0" w:color="auto"/>
                            </w:tcBorders>
                            <w:vAlign w:val="center"/>
                            <w:hideMark/>
                          </w:tcPr>
                          <w:p w14:paraId="55F50D34" w14:textId="77777777" w:rsidR="00A85180" w:rsidRDefault="00A85180">
                            <w:pPr>
                              <w:spacing w:line="240" w:lineRule="exact"/>
                              <w:ind w:firstLine="200"/>
                              <w:jc w:val="right"/>
                              <w:rPr>
                                <w:rFonts w:ascii="標楷體" w:eastAsia="標楷體" w:hAnsi="標楷體"/>
                                <w:b/>
                                <w:bCs/>
                                <w:spacing w:val="-8"/>
                              </w:rPr>
                            </w:pPr>
                            <w:r>
                              <w:rPr>
                                <w:rFonts w:ascii="標楷體" w:eastAsia="標楷體" w:hAnsi="標楷體" w:hint="eastAsia"/>
                                <w:b/>
                                <w:bCs/>
                              </w:rPr>
                              <w:t xml:space="preserve">45,757 </w:t>
                            </w:r>
                          </w:p>
                        </w:tc>
                        <w:tc>
                          <w:tcPr>
                            <w:tcW w:w="1001" w:type="dxa"/>
                            <w:tcBorders>
                              <w:top w:val="single" w:sz="4" w:space="0" w:color="auto"/>
                              <w:left w:val="single" w:sz="4" w:space="0" w:color="auto"/>
                              <w:bottom w:val="single" w:sz="4" w:space="0" w:color="auto"/>
                              <w:right w:val="single" w:sz="4" w:space="0" w:color="auto"/>
                            </w:tcBorders>
                            <w:vAlign w:val="center"/>
                            <w:hideMark/>
                          </w:tcPr>
                          <w:p w14:paraId="35086CDE" w14:textId="77777777" w:rsidR="00A85180" w:rsidRDefault="00A85180">
                            <w:pPr>
                              <w:spacing w:line="240" w:lineRule="exact"/>
                              <w:ind w:firstLine="200"/>
                              <w:jc w:val="right"/>
                              <w:rPr>
                                <w:rFonts w:ascii="標楷體" w:eastAsia="標楷體" w:hAnsi="標楷體"/>
                                <w:b/>
                                <w:bCs/>
                                <w:spacing w:val="-8"/>
                              </w:rPr>
                            </w:pPr>
                            <w:r>
                              <w:rPr>
                                <w:rFonts w:ascii="標楷體" w:eastAsia="標楷體" w:hAnsi="標楷體" w:hint="eastAsia"/>
                                <w:b/>
                                <w:bCs/>
                              </w:rPr>
                              <w:t>11,748</w:t>
                            </w:r>
                          </w:p>
                        </w:tc>
                        <w:tc>
                          <w:tcPr>
                            <w:tcW w:w="1458" w:type="dxa"/>
                            <w:tcBorders>
                              <w:top w:val="single" w:sz="4" w:space="0" w:color="auto"/>
                              <w:left w:val="single" w:sz="4" w:space="0" w:color="auto"/>
                              <w:bottom w:val="single" w:sz="4" w:space="0" w:color="auto"/>
                              <w:right w:val="single" w:sz="4" w:space="0" w:color="auto"/>
                            </w:tcBorders>
                            <w:vAlign w:val="center"/>
                            <w:hideMark/>
                          </w:tcPr>
                          <w:p w14:paraId="1F45467C" w14:textId="77777777" w:rsidR="00A85180" w:rsidRDefault="00A85180">
                            <w:pPr>
                              <w:spacing w:line="240" w:lineRule="exact"/>
                              <w:ind w:firstLine="200"/>
                              <w:jc w:val="right"/>
                              <w:rPr>
                                <w:rFonts w:ascii="標楷體" w:eastAsia="標楷體" w:hAnsi="標楷體"/>
                                <w:b/>
                                <w:bCs/>
                                <w:spacing w:val="-8"/>
                              </w:rPr>
                            </w:pPr>
                            <w:r>
                              <w:rPr>
                                <w:rFonts w:ascii="標楷體" w:eastAsia="標楷體" w:hAnsi="標楷體" w:hint="eastAsia"/>
                                <w:b/>
                                <w:bCs/>
                              </w:rPr>
                              <w:t>25.67</w:t>
                            </w:r>
                          </w:p>
                        </w:tc>
                      </w:tr>
                      <w:tr w:rsidR="00A85180" w14:paraId="536B0549"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07E97137"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內湖區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21A901E8"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5,708</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BBADA39"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2,225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7A52BEB4"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38.98</w:t>
                            </w:r>
                          </w:p>
                        </w:tc>
                      </w:tr>
                      <w:tr w:rsidR="00A85180" w14:paraId="016AE8FC"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4BB6B223"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大安區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3ADCC2C7"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5,274</w:t>
                            </w:r>
                          </w:p>
                        </w:tc>
                        <w:tc>
                          <w:tcPr>
                            <w:tcW w:w="1001" w:type="dxa"/>
                            <w:tcBorders>
                              <w:top w:val="single" w:sz="4" w:space="0" w:color="auto"/>
                              <w:left w:val="single" w:sz="4" w:space="0" w:color="auto"/>
                              <w:bottom w:val="single" w:sz="4" w:space="0" w:color="auto"/>
                              <w:right w:val="single" w:sz="4" w:space="0" w:color="auto"/>
                            </w:tcBorders>
                            <w:vAlign w:val="center"/>
                            <w:hideMark/>
                          </w:tcPr>
                          <w:p w14:paraId="422932DF"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595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4191620A"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11.28</w:t>
                            </w:r>
                          </w:p>
                        </w:tc>
                      </w:tr>
                      <w:tr w:rsidR="00A85180" w14:paraId="1A1FBE54"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7D78CCBB"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士林區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1E532330"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4,721</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679B430"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1,434</w:t>
                            </w:r>
                          </w:p>
                        </w:tc>
                        <w:tc>
                          <w:tcPr>
                            <w:tcW w:w="1458" w:type="dxa"/>
                            <w:tcBorders>
                              <w:top w:val="single" w:sz="4" w:space="0" w:color="auto"/>
                              <w:left w:val="single" w:sz="4" w:space="0" w:color="auto"/>
                              <w:bottom w:val="single" w:sz="4" w:space="0" w:color="auto"/>
                              <w:right w:val="single" w:sz="4" w:space="0" w:color="auto"/>
                            </w:tcBorders>
                            <w:vAlign w:val="center"/>
                            <w:hideMark/>
                          </w:tcPr>
                          <w:p w14:paraId="360287C7"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30.37</w:t>
                            </w:r>
                          </w:p>
                        </w:tc>
                      </w:tr>
                      <w:tr w:rsidR="00A85180" w14:paraId="18AA8E81"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4ED5589C"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文山區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9B52612"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4,482</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58272BA"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1,453</w:t>
                            </w:r>
                          </w:p>
                        </w:tc>
                        <w:tc>
                          <w:tcPr>
                            <w:tcW w:w="1458" w:type="dxa"/>
                            <w:tcBorders>
                              <w:top w:val="single" w:sz="4" w:space="0" w:color="auto"/>
                              <w:left w:val="single" w:sz="4" w:space="0" w:color="auto"/>
                              <w:bottom w:val="single" w:sz="4" w:space="0" w:color="auto"/>
                              <w:right w:val="single" w:sz="4" w:space="0" w:color="auto"/>
                            </w:tcBorders>
                            <w:vAlign w:val="center"/>
                            <w:hideMark/>
                          </w:tcPr>
                          <w:p w14:paraId="587842E1"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32.42</w:t>
                            </w:r>
                          </w:p>
                        </w:tc>
                      </w:tr>
                      <w:tr w:rsidR="00A85180" w14:paraId="6BEEEE3D"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62299964"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北投區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0EE89CF"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4,398</w:t>
                            </w:r>
                          </w:p>
                        </w:tc>
                        <w:tc>
                          <w:tcPr>
                            <w:tcW w:w="1001" w:type="dxa"/>
                            <w:tcBorders>
                              <w:top w:val="single" w:sz="4" w:space="0" w:color="auto"/>
                              <w:left w:val="single" w:sz="4" w:space="0" w:color="auto"/>
                              <w:bottom w:val="single" w:sz="4" w:space="0" w:color="auto"/>
                              <w:right w:val="single" w:sz="4" w:space="0" w:color="auto"/>
                            </w:tcBorders>
                            <w:vAlign w:val="center"/>
                            <w:hideMark/>
                          </w:tcPr>
                          <w:p w14:paraId="0A29CD67"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1,104</w:t>
                            </w:r>
                          </w:p>
                        </w:tc>
                        <w:tc>
                          <w:tcPr>
                            <w:tcW w:w="1458" w:type="dxa"/>
                            <w:tcBorders>
                              <w:top w:val="single" w:sz="4" w:space="0" w:color="auto"/>
                              <w:left w:val="single" w:sz="4" w:space="0" w:color="auto"/>
                              <w:bottom w:val="single" w:sz="4" w:space="0" w:color="auto"/>
                              <w:right w:val="single" w:sz="4" w:space="0" w:color="auto"/>
                            </w:tcBorders>
                            <w:vAlign w:val="center"/>
                            <w:hideMark/>
                          </w:tcPr>
                          <w:p w14:paraId="00B99DFF"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25.10</w:t>
                            </w:r>
                          </w:p>
                        </w:tc>
                      </w:tr>
                      <w:tr w:rsidR="00A85180" w14:paraId="7C15A51A"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4836999D"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中山區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1B0005D"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3,936</w:t>
                            </w:r>
                          </w:p>
                        </w:tc>
                        <w:tc>
                          <w:tcPr>
                            <w:tcW w:w="1001" w:type="dxa"/>
                            <w:tcBorders>
                              <w:top w:val="single" w:sz="4" w:space="0" w:color="auto"/>
                              <w:left w:val="single" w:sz="4" w:space="0" w:color="auto"/>
                              <w:bottom w:val="single" w:sz="4" w:space="0" w:color="auto"/>
                              <w:right w:val="single" w:sz="4" w:space="0" w:color="auto"/>
                            </w:tcBorders>
                            <w:vAlign w:val="center"/>
                            <w:hideMark/>
                          </w:tcPr>
                          <w:p w14:paraId="080AD1F2"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610</w:t>
                            </w:r>
                          </w:p>
                        </w:tc>
                        <w:tc>
                          <w:tcPr>
                            <w:tcW w:w="1458" w:type="dxa"/>
                            <w:tcBorders>
                              <w:top w:val="single" w:sz="4" w:space="0" w:color="auto"/>
                              <w:left w:val="single" w:sz="4" w:space="0" w:color="auto"/>
                              <w:bottom w:val="single" w:sz="4" w:space="0" w:color="auto"/>
                              <w:right w:val="single" w:sz="4" w:space="0" w:color="auto"/>
                            </w:tcBorders>
                            <w:vAlign w:val="center"/>
                            <w:hideMark/>
                          </w:tcPr>
                          <w:p w14:paraId="2224E298"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15.50</w:t>
                            </w:r>
                          </w:p>
                        </w:tc>
                      </w:tr>
                      <w:tr w:rsidR="00A85180" w14:paraId="4C4CE282"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656BC603"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信義區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2984CC2"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3,685</w:t>
                            </w:r>
                          </w:p>
                        </w:tc>
                        <w:tc>
                          <w:tcPr>
                            <w:tcW w:w="1001" w:type="dxa"/>
                            <w:tcBorders>
                              <w:top w:val="single" w:sz="4" w:space="0" w:color="auto"/>
                              <w:left w:val="single" w:sz="4" w:space="0" w:color="auto"/>
                              <w:bottom w:val="single" w:sz="4" w:space="0" w:color="auto"/>
                              <w:right w:val="single" w:sz="4" w:space="0" w:color="auto"/>
                            </w:tcBorders>
                            <w:vAlign w:val="center"/>
                            <w:hideMark/>
                          </w:tcPr>
                          <w:p w14:paraId="57C5AF5A"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949</w:t>
                            </w:r>
                          </w:p>
                        </w:tc>
                        <w:tc>
                          <w:tcPr>
                            <w:tcW w:w="1458" w:type="dxa"/>
                            <w:tcBorders>
                              <w:top w:val="single" w:sz="4" w:space="0" w:color="auto"/>
                              <w:left w:val="single" w:sz="4" w:space="0" w:color="auto"/>
                              <w:bottom w:val="single" w:sz="4" w:space="0" w:color="auto"/>
                              <w:right w:val="single" w:sz="4" w:space="0" w:color="auto"/>
                            </w:tcBorders>
                            <w:vAlign w:val="center"/>
                            <w:hideMark/>
                          </w:tcPr>
                          <w:p w14:paraId="55E4F9B8"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25.75</w:t>
                            </w:r>
                          </w:p>
                        </w:tc>
                      </w:tr>
                      <w:tr w:rsidR="00A85180" w14:paraId="669C47FC"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3C9A66D3"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松山區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0A677F14"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3,445</w:t>
                            </w:r>
                          </w:p>
                        </w:tc>
                        <w:tc>
                          <w:tcPr>
                            <w:tcW w:w="1001" w:type="dxa"/>
                            <w:tcBorders>
                              <w:top w:val="single" w:sz="4" w:space="0" w:color="auto"/>
                              <w:left w:val="single" w:sz="4" w:space="0" w:color="auto"/>
                              <w:bottom w:val="single" w:sz="4" w:space="0" w:color="auto"/>
                              <w:right w:val="single" w:sz="4" w:space="0" w:color="auto"/>
                            </w:tcBorders>
                            <w:vAlign w:val="center"/>
                            <w:hideMark/>
                          </w:tcPr>
                          <w:p w14:paraId="3F82CE40"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1,057</w:t>
                            </w:r>
                          </w:p>
                        </w:tc>
                        <w:tc>
                          <w:tcPr>
                            <w:tcW w:w="1458" w:type="dxa"/>
                            <w:tcBorders>
                              <w:top w:val="single" w:sz="4" w:space="0" w:color="auto"/>
                              <w:left w:val="single" w:sz="4" w:space="0" w:color="auto"/>
                              <w:bottom w:val="single" w:sz="4" w:space="0" w:color="auto"/>
                              <w:right w:val="single" w:sz="4" w:space="0" w:color="auto"/>
                            </w:tcBorders>
                            <w:vAlign w:val="center"/>
                            <w:hideMark/>
                          </w:tcPr>
                          <w:p w14:paraId="182F38A1"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30.68</w:t>
                            </w:r>
                          </w:p>
                        </w:tc>
                      </w:tr>
                      <w:tr w:rsidR="00A85180" w14:paraId="6A878B7F"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1482840A"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萬華區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E101FEA"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2,916</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BA53B41"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1,380</w:t>
                            </w:r>
                          </w:p>
                        </w:tc>
                        <w:tc>
                          <w:tcPr>
                            <w:tcW w:w="1458" w:type="dxa"/>
                            <w:tcBorders>
                              <w:top w:val="single" w:sz="4" w:space="0" w:color="auto"/>
                              <w:left w:val="single" w:sz="4" w:space="0" w:color="auto"/>
                              <w:bottom w:val="single" w:sz="4" w:space="0" w:color="auto"/>
                              <w:right w:val="single" w:sz="4" w:space="0" w:color="auto"/>
                            </w:tcBorders>
                            <w:vAlign w:val="center"/>
                            <w:hideMark/>
                          </w:tcPr>
                          <w:p w14:paraId="0CDF3882"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47.33</w:t>
                            </w:r>
                          </w:p>
                        </w:tc>
                      </w:tr>
                      <w:tr w:rsidR="00A85180" w14:paraId="4DEEFD8C"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6CFF70C8"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中正區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1E96AD35"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2,795</w:t>
                            </w:r>
                          </w:p>
                        </w:tc>
                        <w:tc>
                          <w:tcPr>
                            <w:tcW w:w="1001" w:type="dxa"/>
                            <w:tcBorders>
                              <w:top w:val="single" w:sz="4" w:space="0" w:color="auto"/>
                              <w:left w:val="single" w:sz="4" w:space="0" w:color="auto"/>
                              <w:bottom w:val="single" w:sz="4" w:space="0" w:color="auto"/>
                              <w:right w:val="single" w:sz="4" w:space="0" w:color="auto"/>
                            </w:tcBorders>
                            <w:vAlign w:val="center"/>
                            <w:hideMark/>
                          </w:tcPr>
                          <w:p w14:paraId="157F8A2C"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12</w:t>
                            </w:r>
                          </w:p>
                        </w:tc>
                        <w:tc>
                          <w:tcPr>
                            <w:tcW w:w="1458" w:type="dxa"/>
                            <w:tcBorders>
                              <w:top w:val="single" w:sz="4" w:space="0" w:color="auto"/>
                              <w:left w:val="single" w:sz="4" w:space="0" w:color="auto"/>
                              <w:bottom w:val="single" w:sz="4" w:space="0" w:color="auto"/>
                              <w:right w:val="single" w:sz="4" w:space="0" w:color="auto"/>
                            </w:tcBorders>
                            <w:vAlign w:val="center"/>
                            <w:hideMark/>
                          </w:tcPr>
                          <w:p w14:paraId="58E46B23"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0.43</w:t>
                            </w:r>
                          </w:p>
                        </w:tc>
                      </w:tr>
                      <w:tr w:rsidR="00A85180" w14:paraId="71DC53FA"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6481C9E9"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大同區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622BD89E"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2,228</w:t>
                            </w:r>
                          </w:p>
                        </w:tc>
                        <w:tc>
                          <w:tcPr>
                            <w:tcW w:w="1001" w:type="dxa"/>
                            <w:tcBorders>
                              <w:top w:val="single" w:sz="4" w:space="0" w:color="auto"/>
                              <w:left w:val="single" w:sz="4" w:space="0" w:color="auto"/>
                              <w:bottom w:val="single" w:sz="4" w:space="0" w:color="auto"/>
                              <w:right w:val="single" w:sz="4" w:space="0" w:color="auto"/>
                            </w:tcBorders>
                            <w:vAlign w:val="center"/>
                            <w:hideMark/>
                          </w:tcPr>
                          <w:p w14:paraId="47221198"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254</w:t>
                            </w:r>
                          </w:p>
                        </w:tc>
                        <w:tc>
                          <w:tcPr>
                            <w:tcW w:w="1458" w:type="dxa"/>
                            <w:tcBorders>
                              <w:top w:val="single" w:sz="4" w:space="0" w:color="auto"/>
                              <w:left w:val="single" w:sz="4" w:space="0" w:color="auto"/>
                              <w:bottom w:val="single" w:sz="4" w:space="0" w:color="auto"/>
                              <w:right w:val="single" w:sz="4" w:space="0" w:color="auto"/>
                            </w:tcBorders>
                            <w:vAlign w:val="center"/>
                            <w:hideMark/>
                          </w:tcPr>
                          <w:p w14:paraId="0109D927"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11.40</w:t>
                            </w:r>
                          </w:p>
                        </w:tc>
                      </w:tr>
                      <w:tr w:rsidR="00A85180" w14:paraId="6638BDD0" w14:textId="77777777">
                        <w:trPr>
                          <w:trHeight w:hRule="exact" w:val="397"/>
                          <w:jc w:val="center"/>
                        </w:trPr>
                        <w:tc>
                          <w:tcPr>
                            <w:tcW w:w="935" w:type="dxa"/>
                            <w:tcBorders>
                              <w:top w:val="single" w:sz="4" w:space="0" w:color="auto"/>
                              <w:left w:val="single" w:sz="4" w:space="0" w:color="auto"/>
                              <w:bottom w:val="single" w:sz="4" w:space="0" w:color="auto"/>
                              <w:right w:val="single" w:sz="4" w:space="0" w:color="auto"/>
                            </w:tcBorders>
                            <w:vAlign w:val="center"/>
                            <w:hideMark/>
                          </w:tcPr>
                          <w:p w14:paraId="2C8EA179" w14:textId="77777777" w:rsidR="00A85180" w:rsidRDefault="00A85180" w:rsidP="00495ED5">
                            <w:pPr>
                              <w:spacing w:line="240" w:lineRule="exact"/>
                              <w:jc w:val="center"/>
                              <w:rPr>
                                <w:rFonts w:ascii="標楷體" w:eastAsia="標楷體" w:hAnsi="標楷體"/>
                              </w:rPr>
                            </w:pPr>
                            <w:r>
                              <w:rPr>
                                <w:rFonts w:ascii="標楷體" w:eastAsia="標楷體" w:hAnsi="標楷體" w:hint="eastAsia"/>
                              </w:rPr>
                              <w:t>南港區</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6D56383"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2,169</w:t>
                            </w:r>
                          </w:p>
                        </w:tc>
                        <w:tc>
                          <w:tcPr>
                            <w:tcW w:w="1001" w:type="dxa"/>
                            <w:tcBorders>
                              <w:top w:val="single" w:sz="4" w:space="0" w:color="auto"/>
                              <w:left w:val="single" w:sz="4" w:space="0" w:color="auto"/>
                              <w:bottom w:val="single" w:sz="4" w:space="0" w:color="auto"/>
                              <w:right w:val="single" w:sz="4" w:space="0" w:color="auto"/>
                            </w:tcBorders>
                            <w:vAlign w:val="center"/>
                            <w:hideMark/>
                          </w:tcPr>
                          <w:p w14:paraId="7357A082"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675</w:t>
                            </w:r>
                          </w:p>
                        </w:tc>
                        <w:tc>
                          <w:tcPr>
                            <w:tcW w:w="1458" w:type="dxa"/>
                            <w:tcBorders>
                              <w:top w:val="single" w:sz="4" w:space="0" w:color="auto"/>
                              <w:left w:val="single" w:sz="4" w:space="0" w:color="auto"/>
                              <w:bottom w:val="single" w:sz="4" w:space="0" w:color="auto"/>
                              <w:right w:val="single" w:sz="4" w:space="0" w:color="auto"/>
                            </w:tcBorders>
                            <w:vAlign w:val="center"/>
                            <w:hideMark/>
                          </w:tcPr>
                          <w:p w14:paraId="03B58840" w14:textId="77777777" w:rsidR="00A85180" w:rsidRDefault="00A85180">
                            <w:pPr>
                              <w:spacing w:line="240" w:lineRule="exact"/>
                              <w:ind w:leftChars="-40" w:left="-96" w:firstLine="200"/>
                              <w:jc w:val="right"/>
                              <w:rPr>
                                <w:rFonts w:ascii="標楷體" w:eastAsia="標楷體" w:hAnsi="標楷體"/>
                                <w:spacing w:val="-8"/>
                              </w:rPr>
                            </w:pPr>
                            <w:r>
                              <w:rPr>
                                <w:rFonts w:ascii="標楷體" w:eastAsia="標楷體" w:hAnsi="標楷體" w:hint="eastAsia"/>
                              </w:rPr>
                              <w:t>31.12</w:t>
                            </w:r>
                          </w:p>
                        </w:tc>
                      </w:tr>
                      <w:tr w:rsidR="00A85180" w14:paraId="1056673F" w14:textId="77777777">
                        <w:trPr>
                          <w:trHeight w:val="875"/>
                          <w:jc w:val="center"/>
                        </w:trPr>
                        <w:tc>
                          <w:tcPr>
                            <w:tcW w:w="4395" w:type="dxa"/>
                            <w:gridSpan w:val="4"/>
                            <w:tcBorders>
                              <w:top w:val="single" w:sz="4" w:space="0" w:color="auto"/>
                              <w:left w:val="nil"/>
                              <w:bottom w:val="nil"/>
                              <w:right w:val="nil"/>
                            </w:tcBorders>
                            <w:hideMark/>
                          </w:tcPr>
                          <w:p w14:paraId="29D6C81B" w14:textId="77777777" w:rsidR="00A85180" w:rsidRDefault="00A85180">
                            <w:pPr>
                              <w:spacing w:line="0" w:lineRule="atLeast"/>
                              <w:ind w:leftChars="-31" w:left="466" w:rightChars="-32" w:right="-77" w:hangingChars="300" w:hanging="540"/>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：1.資料統計截止日為114年3月3日。</w:t>
                            </w:r>
                          </w:p>
                          <w:p w14:paraId="2FC76ABB" w14:textId="77777777" w:rsidR="00A85180" w:rsidRDefault="00A85180">
                            <w:pPr>
                              <w:spacing w:line="0" w:lineRule="atLeast"/>
                              <w:ind w:leftChars="119" w:left="556" w:rightChars="-32" w:right="-77" w:hangingChars="150" w:hanging="270"/>
                              <w:jc w:val="both"/>
                              <w:rPr>
                                <w:rFonts w:ascii="標楷體" w:eastAsia="標楷體" w:hAnsi="標楷體"/>
                                <w:spacing w:val="-8"/>
                              </w:rPr>
                            </w:pPr>
                            <w:r>
                              <w:rPr>
                                <w:rFonts w:ascii="標楷體" w:eastAsia="標楷體" w:hAnsi="標楷體" w:hint="eastAsia"/>
                                <w:sz w:val="18"/>
                                <w:szCs w:val="18"/>
                              </w:rPr>
                              <w:t>2.資料來源：整理自衛生局提供資料。</w:t>
                            </w:r>
                          </w:p>
                        </w:tc>
                      </w:tr>
                    </w:tbl>
                    <w:p w14:paraId="5DC39129" w14:textId="77777777" w:rsidR="00A85180" w:rsidRDefault="00A85180" w:rsidP="00A85180">
                      <w:pPr>
                        <w:spacing w:line="40" w:lineRule="exact"/>
                        <w:ind w:rightChars="-40" w:right="-96"/>
                        <w:jc w:val="both"/>
                        <w:rPr>
                          <w:rFonts w:ascii="標楷體" w:eastAsia="標楷體" w:hAnsi="標楷體"/>
                          <w:sz w:val="18"/>
                          <w:szCs w:val="18"/>
                        </w:rPr>
                      </w:pPr>
                    </w:p>
                  </w:txbxContent>
                </v:textbox>
                <w10:wrap type="tight" anchorx="margin" anchory="page"/>
              </v:shape>
            </w:pict>
          </mc:Fallback>
        </mc:AlternateContent>
      </w:r>
      <w:r>
        <w:rPr>
          <w:rFonts w:ascii="標楷體" w:eastAsia="標楷體" w:hAnsi="標楷體" w:cs="Times New Roman" w:hint="eastAsia"/>
          <w:b/>
        </w:rPr>
        <w:t>1.臺北市轄內幼兒收案涵蓋率平均值僅</w:t>
      </w:r>
      <w:proofErr w:type="gramStart"/>
      <w:r>
        <w:rPr>
          <w:rFonts w:ascii="標楷體" w:eastAsia="標楷體" w:hAnsi="標楷體" w:cs="Times New Roman" w:hint="eastAsia"/>
          <w:b/>
        </w:rPr>
        <w:t>2成</w:t>
      </w:r>
      <w:proofErr w:type="gramEnd"/>
      <w:r>
        <w:rPr>
          <w:rFonts w:ascii="標楷體" w:eastAsia="標楷體" w:hAnsi="標楷體" w:cs="Times New Roman" w:hint="eastAsia"/>
          <w:b/>
        </w:rPr>
        <w:t>餘，與全國平均值</w:t>
      </w:r>
      <w:proofErr w:type="gramStart"/>
      <w:r>
        <w:rPr>
          <w:rFonts w:ascii="標楷體" w:eastAsia="標楷體" w:hAnsi="標楷體" w:cs="Times New Roman" w:hint="eastAsia"/>
          <w:b/>
        </w:rPr>
        <w:t>4成</w:t>
      </w:r>
      <w:proofErr w:type="gramEnd"/>
      <w:r>
        <w:rPr>
          <w:rFonts w:ascii="標楷體" w:eastAsia="標楷體" w:hAnsi="標楷體" w:cs="Times New Roman" w:hint="eastAsia"/>
          <w:b/>
        </w:rPr>
        <w:t>餘存有差距：</w:t>
      </w:r>
      <w:r>
        <w:rPr>
          <w:rFonts w:ascii="標楷體" w:eastAsia="標楷體" w:hAnsi="標楷體" w:cs="Times New Roman" w:hint="eastAsia"/>
          <w:bCs/>
        </w:rPr>
        <w:t>據衛生局</w:t>
      </w:r>
      <w:proofErr w:type="gramStart"/>
      <w:r>
        <w:rPr>
          <w:rFonts w:ascii="標楷體" w:eastAsia="標楷體" w:hAnsi="標楷體" w:cs="Times New Roman" w:hint="eastAsia"/>
          <w:bCs/>
        </w:rPr>
        <w:t>提供幼專計畫</w:t>
      </w:r>
      <w:proofErr w:type="gramEnd"/>
      <w:r>
        <w:rPr>
          <w:rFonts w:ascii="標楷體" w:eastAsia="標楷體" w:hAnsi="標楷體" w:cs="Times New Roman" w:hint="eastAsia"/>
          <w:bCs/>
        </w:rPr>
        <w:t>期末成果報告等資料，</w:t>
      </w:r>
      <w:proofErr w:type="gramStart"/>
      <w:r>
        <w:rPr>
          <w:rFonts w:ascii="標楷體" w:eastAsia="標楷體" w:hAnsi="標楷體" w:cs="Times New Roman" w:hint="eastAsia"/>
          <w:bCs/>
        </w:rPr>
        <w:t>113</w:t>
      </w:r>
      <w:proofErr w:type="gramEnd"/>
      <w:r>
        <w:rPr>
          <w:rFonts w:ascii="標楷體" w:eastAsia="標楷體" w:hAnsi="標楷體" w:cs="Times New Roman" w:hint="eastAsia"/>
          <w:bCs/>
        </w:rPr>
        <w:t>年度（計畫執行期間113年3月至114年3月，下同）臺北市幼兒收案人數為1萬1,748人，收案涵蓋率為25.67％，與衛福部兒童醫療健康資訊整合平</w:t>
      </w:r>
      <w:proofErr w:type="gramStart"/>
      <w:r>
        <w:rPr>
          <w:rFonts w:ascii="標楷體" w:eastAsia="標楷體" w:hAnsi="標楷體" w:cs="Times New Roman" w:hint="eastAsia"/>
          <w:bCs/>
        </w:rPr>
        <w:t>臺</w:t>
      </w:r>
      <w:proofErr w:type="gramEnd"/>
      <w:r>
        <w:rPr>
          <w:rFonts w:ascii="標楷體" w:eastAsia="標楷體" w:hAnsi="標楷體" w:cs="Times New Roman" w:hint="eastAsia"/>
          <w:bCs/>
        </w:rPr>
        <w:t>統計全國110至113年6月止之幼兒平均收案涵蓋率44.80％，仍有差距</w:t>
      </w:r>
      <w:r>
        <w:rPr>
          <w:rFonts w:ascii="標楷體" w:eastAsia="標楷體" w:hAnsi="標楷體" w:cs="Times New Roman" w:hint="eastAsia"/>
        </w:rPr>
        <w:t>；另臺北市轄內12個行政區</w:t>
      </w:r>
      <w:proofErr w:type="gramStart"/>
      <w:r>
        <w:rPr>
          <w:rFonts w:ascii="標楷體" w:eastAsia="標楷體" w:hAnsi="標楷體" w:cs="Times New Roman" w:hint="eastAsia"/>
        </w:rPr>
        <w:t>113</w:t>
      </w:r>
      <w:proofErr w:type="gramEnd"/>
      <w:r>
        <w:rPr>
          <w:rFonts w:ascii="標楷體" w:eastAsia="標楷體" w:hAnsi="標楷體" w:cs="Times New Roman" w:hint="eastAsia"/>
        </w:rPr>
        <w:t>年度收案人數約介於12人至2,225人不等，其中中正、大同、中山及大安區等4個行政區收案人數12人至610人不等，收案涵蓋率為0.43％至15.50％，</w:t>
      </w:r>
      <w:proofErr w:type="gramStart"/>
      <w:r>
        <w:rPr>
          <w:rFonts w:ascii="標楷體" w:eastAsia="標楷體" w:hAnsi="標楷體" w:cs="Times New Roman" w:hint="eastAsia"/>
        </w:rPr>
        <w:t>均未及2成</w:t>
      </w:r>
      <w:proofErr w:type="gramEnd"/>
      <w:r>
        <w:rPr>
          <w:rFonts w:ascii="標楷體" w:eastAsia="標楷體" w:hAnsi="標楷體" w:cs="Times New Roman" w:hint="eastAsia"/>
        </w:rPr>
        <w:t>，且中正區未滿3歲幼兒共2,795人，卻僅有12名幼兒</w:t>
      </w:r>
      <w:proofErr w:type="gramStart"/>
      <w:r>
        <w:rPr>
          <w:rFonts w:ascii="標楷體" w:eastAsia="標楷體" w:hAnsi="標楷體" w:cs="Times New Roman" w:hint="eastAsia"/>
        </w:rPr>
        <w:t>加入幼專計畫</w:t>
      </w:r>
      <w:proofErr w:type="gramEnd"/>
      <w:r>
        <w:rPr>
          <w:rFonts w:ascii="標楷體" w:eastAsia="標楷體" w:hAnsi="標楷體" w:cs="Times New Roman" w:hint="eastAsia"/>
        </w:rPr>
        <w:t>（表1），計畫宣導及推廣措施有待強化等情事，</w:t>
      </w:r>
      <w:r>
        <w:rPr>
          <w:rFonts w:ascii="標楷體" w:eastAsia="標楷體" w:hAnsi="標楷體" w:cs="Times New Roman" w:hint="eastAsia"/>
          <w:kern w:val="0"/>
        </w:rPr>
        <w:t>經函請</w:t>
      </w:r>
      <w:proofErr w:type="gramStart"/>
      <w:r>
        <w:rPr>
          <w:rFonts w:ascii="標楷體" w:eastAsia="標楷體" w:hAnsi="標楷體" w:cs="Times New Roman" w:hint="eastAsia"/>
          <w:kern w:val="0"/>
        </w:rPr>
        <w:t>研</w:t>
      </w:r>
      <w:proofErr w:type="gramEnd"/>
      <w:r>
        <w:rPr>
          <w:rFonts w:ascii="標楷體" w:eastAsia="標楷體" w:hAnsi="標楷體" w:cs="Times New Roman" w:hint="eastAsia"/>
          <w:kern w:val="0"/>
        </w:rPr>
        <w:t>謀改善。據復：將持續透過12區健康服務中心、區公所等發放宣導單，鼓勵院所協助轉</w:t>
      </w:r>
      <w:proofErr w:type="gramStart"/>
      <w:r>
        <w:rPr>
          <w:rFonts w:ascii="標楷體" w:eastAsia="標楷體" w:hAnsi="標楷體" w:cs="Times New Roman" w:hint="eastAsia"/>
          <w:kern w:val="0"/>
        </w:rPr>
        <w:t>介</w:t>
      </w:r>
      <w:proofErr w:type="gramEnd"/>
      <w:r>
        <w:rPr>
          <w:rFonts w:ascii="標楷體" w:eastAsia="標楷體" w:hAnsi="標楷體" w:cs="Times New Roman" w:hint="eastAsia"/>
          <w:kern w:val="0"/>
        </w:rPr>
        <w:t>新生兒至本計畫合約醫療院所接受照顧；另該局將運用衛福部114年2月推出「幼兒專責醫師媒合平</w:t>
      </w:r>
      <w:proofErr w:type="gramStart"/>
      <w:r>
        <w:rPr>
          <w:rFonts w:ascii="標楷體" w:eastAsia="標楷體" w:hAnsi="標楷體" w:cs="Times New Roman" w:hint="eastAsia"/>
          <w:kern w:val="0"/>
        </w:rPr>
        <w:t>臺</w:t>
      </w:r>
      <w:proofErr w:type="gramEnd"/>
      <w:r>
        <w:rPr>
          <w:rFonts w:ascii="標楷體" w:eastAsia="標楷體" w:hAnsi="標楷體" w:cs="Times New Roman" w:hint="eastAsia"/>
          <w:kern w:val="0"/>
        </w:rPr>
        <w:t>」，注意家長與院所醫師媒合情形，若有未媒合個案，協助</w:t>
      </w:r>
      <w:proofErr w:type="gramStart"/>
      <w:r>
        <w:rPr>
          <w:rFonts w:ascii="標楷體" w:eastAsia="標楷體" w:hAnsi="標楷體" w:cs="Times New Roman" w:hint="eastAsia"/>
          <w:kern w:val="0"/>
        </w:rPr>
        <w:t>重新派案等</w:t>
      </w:r>
      <w:proofErr w:type="gramEnd"/>
      <w:r>
        <w:rPr>
          <w:rFonts w:ascii="標楷體" w:eastAsia="標楷體" w:hAnsi="標楷體" w:cs="Times New Roman" w:hint="eastAsia"/>
          <w:kern w:val="0"/>
        </w:rPr>
        <w:t>，以提升收案量能。</w:t>
      </w:r>
    </w:p>
    <w:p w14:paraId="267D660D" w14:textId="77777777" w:rsidR="00AE147C" w:rsidRDefault="00A85180" w:rsidP="00A85180">
      <w:pPr>
        <w:overflowPunct w:val="0"/>
        <w:spacing w:line="500" w:lineRule="exact"/>
        <w:ind w:firstLineChars="200" w:firstLine="480"/>
        <w:jc w:val="both"/>
        <w:rPr>
          <w:rFonts w:ascii="標楷體" w:eastAsia="標楷體" w:hAnsi="標楷體" w:cs="Times New Roman"/>
        </w:rPr>
      </w:pPr>
      <w:r>
        <w:rPr>
          <w:rFonts w:ascii="標楷體" w:eastAsia="標楷體" w:hAnsi="標楷體" w:cs="Times New Roman" w:hint="eastAsia"/>
          <w:b/>
          <w:bCs/>
        </w:rPr>
        <w:t>2.多數行政區醫療院所參與比率未及</w:t>
      </w:r>
      <w:proofErr w:type="gramStart"/>
      <w:r>
        <w:rPr>
          <w:rFonts w:ascii="標楷體" w:eastAsia="標楷體" w:hAnsi="標楷體" w:cs="Times New Roman" w:hint="eastAsia"/>
          <w:b/>
          <w:bCs/>
        </w:rPr>
        <w:t>6成</w:t>
      </w:r>
      <w:proofErr w:type="gramEnd"/>
      <w:r>
        <w:rPr>
          <w:rFonts w:ascii="標楷體" w:eastAsia="標楷體" w:hAnsi="標楷體" w:cs="Times New Roman" w:hint="eastAsia"/>
          <w:b/>
          <w:bCs/>
        </w:rPr>
        <w:t>、醫師未及</w:t>
      </w:r>
      <w:proofErr w:type="gramStart"/>
      <w:r>
        <w:rPr>
          <w:rFonts w:ascii="標楷體" w:eastAsia="標楷體" w:hAnsi="標楷體" w:cs="Times New Roman" w:hint="eastAsia"/>
          <w:b/>
          <w:bCs/>
        </w:rPr>
        <w:t>4成</w:t>
      </w:r>
      <w:proofErr w:type="gramEnd"/>
      <w:r>
        <w:rPr>
          <w:rFonts w:ascii="標楷體" w:eastAsia="標楷體" w:hAnsi="標楷體" w:cs="Times New Roman" w:hint="eastAsia"/>
          <w:b/>
          <w:bCs/>
        </w:rPr>
        <w:t>：</w:t>
      </w:r>
      <w:r>
        <w:rPr>
          <w:rFonts w:ascii="標楷體" w:eastAsia="標楷體" w:hAnsi="標楷體" w:cs="Times New Roman" w:hint="eastAsia"/>
        </w:rPr>
        <w:t>據衛生局統計資料，截至114年3月</w:t>
      </w:r>
      <w:proofErr w:type="gramStart"/>
      <w:r>
        <w:rPr>
          <w:rFonts w:ascii="標楷體" w:eastAsia="標楷體" w:hAnsi="標楷體" w:cs="Times New Roman" w:hint="eastAsia"/>
        </w:rPr>
        <w:t>止</w:t>
      </w:r>
      <w:proofErr w:type="gramEnd"/>
      <w:r>
        <w:rPr>
          <w:rFonts w:ascii="標楷體" w:eastAsia="標楷體" w:hAnsi="標楷體" w:cs="Times New Roman" w:hint="eastAsia"/>
        </w:rPr>
        <w:t>臺北市轄內具有兒科、家庭醫學專科醫師等可提供幼兒專責服務之醫療院所共175家、醫師共1,272人，實際</w:t>
      </w:r>
      <w:proofErr w:type="gramStart"/>
      <w:r>
        <w:rPr>
          <w:rFonts w:ascii="標楷體" w:eastAsia="標楷體" w:hAnsi="標楷體" w:cs="Times New Roman" w:hint="eastAsia"/>
        </w:rPr>
        <w:t>參與幼專計畫</w:t>
      </w:r>
      <w:proofErr w:type="gramEnd"/>
      <w:r>
        <w:rPr>
          <w:rFonts w:ascii="標楷體" w:eastAsia="標楷體" w:hAnsi="標楷體" w:cs="Times New Roman" w:hint="eastAsia"/>
        </w:rPr>
        <w:t>之醫療院所計75家（42.86％）、醫師計247人（19.42％），其中除</w:t>
      </w:r>
      <w:r>
        <w:rPr>
          <w:rFonts w:ascii="標楷體" w:eastAsia="標楷體" w:hAnsi="標楷體" w:cs="Times New Roman" w:hint="eastAsia"/>
          <w:color w:val="000000" w:themeColor="text1"/>
        </w:rPr>
        <w:t>信義區、</w:t>
      </w:r>
      <w:r>
        <w:rPr>
          <w:rFonts w:ascii="標楷體" w:eastAsia="標楷體" w:hAnsi="標楷體" w:cs="Times New Roman" w:hint="eastAsia"/>
        </w:rPr>
        <w:t>南港區等2個行政區外，餘內湖區等10個行政區轄內醫療院所參與計畫比率未及</w:t>
      </w:r>
      <w:proofErr w:type="gramStart"/>
      <w:r>
        <w:rPr>
          <w:rFonts w:ascii="標楷體" w:eastAsia="標楷體" w:hAnsi="標楷體" w:cs="Times New Roman" w:hint="eastAsia"/>
        </w:rPr>
        <w:t>6成</w:t>
      </w:r>
      <w:proofErr w:type="gramEnd"/>
      <w:r>
        <w:rPr>
          <w:rFonts w:ascii="標楷體" w:eastAsia="標楷體" w:hAnsi="標楷體" w:cs="Times New Roman" w:hint="eastAsia"/>
        </w:rPr>
        <w:t>；而12個行政區實際</w:t>
      </w:r>
      <w:proofErr w:type="gramStart"/>
      <w:r>
        <w:rPr>
          <w:rFonts w:ascii="標楷體" w:eastAsia="標楷體" w:hAnsi="標楷體" w:cs="Times New Roman" w:hint="eastAsia"/>
        </w:rPr>
        <w:t>參與幼專計畫</w:t>
      </w:r>
      <w:proofErr w:type="gramEnd"/>
      <w:r>
        <w:rPr>
          <w:rFonts w:ascii="標楷體" w:eastAsia="標楷體" w:hAnsi="標楷體" w:cs="Times New Roman" w:hint="eastAsia"/>
        </w:rPr>
        <w:t>之醫師占符合資格醫師之比率約0.47％至71.43％不</w:t>
      </w:r>
    </w:p>
    <w:p w14:paraId="160A945F" w14:textId="4CD51B19" w:rsidR="00A85180" w:rsidRDefault="00A85180" w:rsidP="00AE147C">
      <w:pPr>
        <w:overflowPunct w:val="0"/>
        <w:spacing w:line="500" w:lineRule="exact"/>
        <w:jc w:val="both"/>
        <w:rPr>
          <w:rFonts w:ascii="標楷體" w:eastAsia="標楷體" w:hAnsi="標楷體" w:cs="Times New Roman"/>
        </w:rPr>
      </w:pPr>
      <w:r>
        <w:rPr>
          <w:rFonts w:ascii="標楷體" w:eastAsia="標楷體" w:hAnsi="標楷體" w:cs="Times New Roman" w:hint="eastAsia"/>
        </w:rPr>
        <w:lastRenderedPageBreak/>
        <w:t>等，除南港區高於</w:t>
      </w:r>
      <w:proofErr w:type="gramStart"/>
      <w:r>
        <w:rPr>
          <w:rFonts w:ascii="標楷體" w:eastAsia="標楷體" w:hAnsi="標楷體" w:cs="Times New Roman" w:hint="eastAsia"/>
        </w:rPr>
        <w:t>7成</w:t>
      </w:r>
      <w:proofErr w:type="gramEnd"/>
      <w:r>
        <w:rPr>
          <w:rFonts w:ascii="標楷體" w:eastAsia="標楷體" w:hAnsi="標楷體" w:cs="Times New Roman" w:hint="eastAsia"/>
        </w:rPr>
        <w:t>外，餘11個</w:t>
      </w:r>
      <w:proofErr w:type="gramStart"/>
      <w:r>
        <w:rPr>
          <w:rFonts w:ascii="標楷體" w:eastAsia="標楷體" w:hAnsi="標楷體" w:cs="Times New Roman" w:hint="eastAsia"/>
        </w:rPr>
        <w:t>行政區均未及4成</w:t>
      </w:r>
      <w:proofErr w:type="gramEnd"/>
      <w:r>
        <w:rPr>
          <w:rFonts w:ascii="標楷體" w:eastAsia="標楷體" w:hAnsi="標楷體" w:cs="Times New Roman" w:hint="eastAsia"/>
        </w:rPr>
        <w:t>，其中大安區、中正區等2區參與</w:t>
      </w:r>
      <w:proofErr w:type="gramStart"/>
      <w:r>
        <w:rPr>
          <w:rFonts w:ascii="標楷體" w:eastAsia="標楷體" w:hAnsi="標楷體" w:cs="Times New Roman" w:hint="eastAsia"/>
        </w:rPr>
        <w:t>幼專計</w:t>
      </w:r>
      <w:proofErr w:type="gramEnd"/>
      <w:r>
        <w:rPr>
          <w:rFonts w:ascii="新細明體" w:eastAsia="新細明體" w:hAnsi="新細明體" w:cs="新細明體"/>
          <w:noProof/>
          <w:kern w:val="0"/>
          <w:szCs w:val="24"/>
        </w:rPr>
        <mc:AlternateContent>
          <mc:Choice Requires="wps">
            <w:drawing>
              <wp:anchor distT="45720" distB="45720" distL="114300" distR="114300" simplePos="0" relativeHeight="251731968" behindDoc="1" locked="0" layoutInCell="1" allowOverlap="1" wp14:anchorId="7283D90C" wp14:editId="7470C877">
                <wp:simplePos x="0" y="0"/>
                <wp:positionH relativeFrom="margin">
                  <wp:posOffset>1535310</wp:posOffset>
                </wp:positionH>
                <wp:positionV relativeFrom="page">
                  <wp:posOffset>957532</wp:posOffset>
                </wp:positionV>
                <wp:extent cx="4774565" cy="4347210"/>
                <wp:effectExtent l="0" t="0" r="6985" b="0"/>
                <wp:wrapTight wrapText="bothSides">
                  <wp:wrapPolygon edited="0">
                    <wp:start x="0" y="0"/>
                    <wp:lineTo x="0" y="21486"/>
                    <wp:lineTo x="21545" y="21486"/>
                    <wp:lineTo x="21545" y="0"/>
                    <wp:lineTo x="0" y="0"/>
                  </wp:wrapPolygon>
                </wp:wrapTight>
                <wp:docPr id="927419601" name="文字方塊 9274196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4565" cy="4347210"/>
                        </a:xfrm>
                        <a:prstGeom prst="rect">
                          <a:avLst/>
                        </a:prstGeom>
                        <a:solidFill>
                          <a:srgbClr val="FFFFFF"/>
                        </a:solidFill>
                        <a:ln w="9525">
                          <a:noFill/>
                          <a:miter lim="800000"/>
                          <a:headEnd/>
                          <a:tailEnd/>
                        </a:ln>
                      </wps:spPr>
                      <wps:txbx>
                        <w:txbxContent>
                          <w:tbl>
                            <w:tblPr>
                              <w:tblStyle w:val="a6"/>
                              <w:tblW w:w="7330" w:type="dxa"/>
                              <w:jc w:val="center"/>
                              <w:tblLook w:val="04A0" w:firstRow="1" w:lastRow="0" w:firstColumn="1" w:lastColumn="0" w:noHBand="0" w:noVBand="1"/>
                            </w:tblPr>
                            <w:tblGrid>
                              <w:gridCol w:w="979"/>
                              <w:gridCol w:w="1032"/>
                              <w:gridCol w:w="1026"/>
                              <w:gridCol w:w="1112"/>
                              <w:gridCol w:w="1039"/>
                              <w:gridCol w:w="1030"/>
                              <w:gridCol w:w="1012"/>
                              <w:gridCol w:w="100"/>
                            </w:tblGrid>
                            <w:tr w:rsidR="00A85180" w14:paraId="454C13B0" w14:textId="77777777">
                              <w:trPr>
                                <w:gridAfter w:val="1"/>
                                <w:wAfter w:w="100" w:type="dxa"/>
                                <w:trHeight w:val="275"/>
                                <w:jc w:val="center"/>
                              </w:trPr>
                              <w:tc>
                                <w:tcPr>
                                  <w:tcW w:w="7230" w:type="dxa"/>
                                  <w:gridSpan w:val="7"/>
                                  <w:tcBorders>
                                    <w:top w:val="nil"/>
                                    <w:left w:val="nil"/>
                                    <w:bottom w:val="nil"/>
                                    <w:right w:val="nil"/>
                                  </w:tcBorders>
                                  <w:hideMark/>
                                </w:tcPr>
                                <w:p w14:paraId="472A8563" w14:textId="5726348A" w:rsidR="00A85180" w:rsidRPr="00495ED5" w:rsidRDefault="00A85180">
                                  <w:pPr>
                                    <w:spacing w:line="240" w:lineRule="exact"/>
                                    <w:ind w:leftChars="-45" w:left="685" w:rightChars="-22" w:right="-53" w:hangingChars="330" w:hanging="793"/>
                                    <w:jc w:val="center"/>
                                    <w:rPr>
                                      <w:rFonts w:ascii="標楷體" w:eastAsia="標楷體" w:hAnsi="標楷體"/>
                                      <w:b/>
                                      <w:bCs/>
                                      <w:sz w:val="24"/>
                                      <w:szCs w:val="24"/>
                                    </w:rPr>
                                  </w:pPr>
                                  <w:r w:rsidRPr="00495ED5">
                                    <w:rPr>
                                      <w:rFonts w:ascii="標楷體" w:eastAsia="標楷體" w:hAnsi="標楷體" w:hint="eastAsia"/>
                                      <w:b/>
                                      <w:bCs/>
                                      <w:sz w:val="24"/>
                                      <w:szCs w:val="24"/>
                                    </w:rPr>
                                    <w:t>表2</w:t>
                                  </w:r>
                                  <w:r w:rsidR="00495ED5">
                                    <w:rPr>
                                      <w:rFonts w:ascii="標楷體" w:eastAsia="標楷體" w:hAnsi="標楷體" w:hint="eastAsia"/>
                                      <w:b/>
                                      <w:bCs/>
                                      <w:sz w:val="24"/>
                                      <w:szCs w:val="24"/>
                                    </w:rPr>
                                    <w:t xml:space="preserve">　</w:t>
                                  </w:r>
                                  <w:r w:rsidR="00CF1B20">
                                    <w:rPr>
                                      <w:rFonts w:ascii="標楷體" w:eastAsia="標楷體" w:hAnsi="標楷體" w:hint="eastAsia"/>
                                      <w:b/>
                                      <w:bCs/>
                                      <w:sz w:val="24"/>
                                      <w:szCs w:val="24"/>
                                    </w:rPr>
                                    <w:t>臺北市</w:t>
                                  </w:r>
                                  <w:r w:rsidRPr="00495ED5">
                                    <w:rPr>
                                      <w:rFonts w:ascii="標楷體" w:eastAsia="標楷體" w:hAnsi="標楷體" w:hint="eastAsia"/>
                                      <w:b/>
                                      <w:bCs/>
                                      <w:sz w:val="24"/>
                                      <w:szCs w:val="24"/>
                                    </w:rPr>
                                    <w:t>醫療院所、醫師</w:t>
                                  </w:r>
                                  <w:proofErr w:type="gramStart"/>
                                  <w:r w:rsidRPr="00495ED5">
                                    <w:rPr>
                                      <w:rFonts w:ascii="標楷體" w:eastAsia="標楷體" w:hAnsi="標楷體" w:hint="eastAsia"/>
                                      <w:b/>
                                      <w:bCs/>
                                      <w:sz w:val="24"/>
                                      <w:szCs w:val="24"/>
                                    </w:rPr>
                                    <w:t>參與幼專計畫</w:t>
                                  </w:r>
                                  <w:proofErr w:type="gramEnd"/>
                                  <w:r w:rsidRPr="00495ED5">
                                    <w:rPr>
                                      <w:rFonts w:ascii="標楷體" w:eastAsia="標楷體" w:hAnsi="標楷體" w:hint="eastAsia"/>
                                      <w:b/>
                                      <w:bCs/>
                                      <w:sz w:val="24"/>
                                      <w:szCs w:val="24"/>
                                    </w:rPr>
                                    <w:t>情形</w:t>
                                  </w:r>
                                </w:p>
                              </w:tc>
                            </w:tr>
                            <w:tr w:rsidR="00A85180" w14:paraId="081B8111" w14:textId="77777777">
                              <w:trPr>
                                <w:gridAfter w:val="1"/>
                                <w:wAfter w:w="100" w:type="dxa"/>
                                <w:trHeight w:val="275"/>
                                <w:jc w:val="center"/>
                              </w:trPr>
                              <w:tc>
                                <w:tcPr>
                                  <w:tcW w:w="7230" w:type="dxa"/>
                                  <w:gridSpan w:val="7"/>
                                  <w:tcBorders>
                                    <w:top w:val="nil"/>
                                    <w:left w:val="nil"/>
                                    <w:bottom w:val="single" w:sz="4" w:space="0" w:color="auto"/>
                                    <w:right w:val="nil"/>
                                  </w:tcBorders>
                                  <w:hideMark/>
                                </w:tcPr>
                                <w:p w14:paraId="129C0FEC" w14:textId="77777777" w:rsidR="00A85180" w:rsidRDefault="00A85180">
                                  <w:pPr>
                                    <w:spacing w:line="240" w:lineRule="exact"/>
                                    <w:ind w:rightChars="-29" w:right="-70"/>
                                    <w:jc w:val="right"/>
                                    <w:rPr>
                                      <w:rFonts w:ascii="標楷體" w:eastAsia="標楷體" w:hAnsi="標楷體"/>
                                      <w:spacing w:val="-12"/>
                                    </w:rPr>
                                  </w:pPr>
                                  <w:r>
                                    <w:rPr>
                                      <w:rFonts w:ascii="標楷體" w:eastAsia="標楷體" w:hAnsi="標楷體" w:hint="eastAsia"/>
                                      <w:spacing w:val="-12"/>
                                    </w:rPr>
                                    <w:t xml:space="preserve"> 單位：人、％</w:t>
                                  </w:r>
                                </w:p>
                              </w:tc>
                            </w:tr>
                            <w:tr w:rsidR="00A85180" w14:paraId="6C59A349" w14:textId="77777777" w:rsidTr="0040355F">
                              <w:trPr>
                                <w:trHeight w:val="283"/>
                                <w:jc w:val="center"/>
                              </w:trPr>
                              <w:tc>
                                <w:tcPr>
                                  <w:tcW w:w="979" w:type="dxa"/>
                                  <w:vMerge w:val="restart"/>
                                  <w:tcBorders>
                                    <w:top w:val="single" w:sz="4" w:space="0" w:color="auto"/>
                                    <w:left w:val="single" w:sz="4" w:space="0" w:color="auto"/>
                                    <w:bottom w:val="single" w:sz="4" w:space="0" w:color="auto"/>
                                    <w:right w:val="single" w:sz="4" w:space="0" w:color="auto"/>
                                  </w:tcBorders>
                                  <w:vAlign w:val="center"/>
                                  <w:hideMark/>
                                </w:tcPr>
                                <w:p w14:paraId="223322B9" w14:textId="77777777" w:rsidR="00A85180" w:rsidRDefault="00A85180" w:rsidP="0040355F">
                                  <w:pPr>
                                    <w:spacing w:line="240" w:lineRule="exact"/>
                                    <w:jc w:val="center"/>
                                    <w:rPr>
                                      <w:rFonts w:ascii="標楷體" w:eastAsia="標楷體" w:hAnsi="標楷體"/>
                                    </w:rPr>
                                  </w:pPr>
                                  <w:r>
                                    <w:rPr>
                                      <w:rFonts w:ascii="標楷體" w:eastAsia="標楷體" w:hAnsi="標楷體" w:hint="eastAsia"/>
                                    </w:rPr>
                                    <w:t>行政區</w:t>
                                  </w:r>
                                </w:p>
                              </w:tc>
                              <w:tc>
                                <w:tcPr>
                                  <w:tcW w:w="3170" w:type="dxa"/>
                                  <w:gridSpan w:val="3"/>
                                  <w:tcBorders>
                                    <w:top w:val="single" w:sz="4" w:space="0" w:color="auto"/>
                                    <w:left w:val="single" w:sz="4" w:space="0" w:color="auto"/>
                                    <w:bottom w:val="single" w:sz="4" w:space="0" w:color="auto"/>
                                    <w:right w:val="single" w:sz="4" w:space="0" w:color="auto"/>
                                  </w:tcBorders>
                                  <w:vAlign w:val="center"/>
                                  <w:hideMark/>
                                </w:tcPr>
                                <w:p w14:paraId="1EC7D9DE" w14:textId="77777777" w:rsidR="00A85180" w:rsidRDefault="00A85180">
                                  <w:pPr>
                                    <w:spacing w:line="240" w:lineRule="exact"/>
                                    <w:jc w:val="center"/>
                                    <w:rPr>
                                      <w:rFonts w:ascii="標楷體" w:eastAsia="標楷體" w:hAnsi="標楷體"/>
                                    </w:rPr>
                                  </w:pPr>
                                  <w:r>
                                    <w:rPr>
                                      <w:rFonts w:ascii="標楷體" w:eastAsia="標楷體" w:hAnsi="標楷體" w:hint="eastAsia"/>
                                      <w:color w:val="000000" w:themeColor="text1"/>
                                      <w:szCs w:val="24"/>
                                    </w:rPr>
                                    <w:t>醫療院所</w:t>
                                  </w:r>
                                </w:p>
                              </w:tc>
                              <w:tc>
                                <w:tcPr>
                                  <w:tcW w:w="3181" w:type="dxa"/>
                                  <w:gridSpan w:val="4"/>
                                  <w:tcBorders>
                                    <w:top w:val="single" w:sz="4" w:space="0" w:color="auto"/>
                                    <w:left w:val="single" w:sz="4" w:space="0" w:color="auto"/>
                                    <w:bottom w:val="single" w:sz="4" w:space="0" w:color="auto"/>
                                    <w:right w:val="single" w:sz="4" w:space="0" w:color="auto"/>
                                  </w:tcBorders>
                                  <w:vAlign w:val="center"/>
                                  <w:hideMark/>
                                </w:tcPr>
                                <w:p w14:paraId="73FDD823" w14:textId="77777777" w:rsidR="00A85180" w:rsidRDefault="00A85180">
                                  <w:pPr>
                                    <w:spacing w:line="280" w:lineRule="exact"/>
                                    <w:ind w:leftChars="-46" w:left="-110" w:rightChars="-24" w:right="-58"/>
                                    <w:jc w:val="center"/>
                                    <w:rPr>
                                      <w:rFonts w:ascii="標楷體" w:eastAsia="標楷體" w:hAnsi="標楷體"/>
                                      <w:color w:val="000000" w:themeColor="text1"/>
                                      <w:szCs w:val="24"/>
                                    </w:rPr>
                                  </w:pPr>
                                  <w:proofErr w:type="gramStart"/>
                                  <w:r>
                                    <w:rPr>
                                      <w:rFonts w:ascii="標楷體" w:eastAsia="標楷體" w:hAnsi="標楷體" w:hint="eastAsia"/>
                                      <w:color w:val="000000" w:themeColor="text1"/>
                                      <w:szCs w:val="24"/>
                                    </w:rPr>
                                    <w:t>醫</w:t>
                                  </w:r>
                                  <w:proofErr w:type="gramEnd"/>
                                  <w:r>
                                    <w:rPr>
                                      <w:rFonts w:ascii="標楷體" w:eastAsia="標楷體" w:hAnsi="標楷體" w:hint="eastAsia"/>
                                      <w:color w:val="000000" w:themeColor="text1"/>
                                      <w:szCs w:val="24"/>
                                    </w:rPr>
                                    <w:t xml:space="preserve"> 師</w:t>
                                  </w:r>
                                </w:p>
                              </w:tc>
                            </w:tr>
                            <w:tr w:rsidR="00A85180" w14:paraId="58A0E57A" w14:textId="77777777">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DA0900" w14:textId="77777777" w:rsidR="00A85180" w:rsidRDefault="00A85180">
                                  <w:pPr>
                                    <w:rPr>
                                      <w:rFonts w:ascii="標楷體" w:eastAsia="標楷體" w:hAnsi="標楷體"/>
                                    </w:rPr>
                                  </w:pPr>
                                </w:p>
                              </w:tc>
                              <w:tc>
                                <w:tcPr>
                                  <w:tcW w:w="1032" w:type="dxa"/>
                                  <w:tcBorders>
                                    <w:top w:val="single" w:sz="4" w:space="0" w:color="auto"/>
                                    <w:left w:val="single" w:sz="4" w:space="0" w:color="auto"/>
                                    <w:bottom w:val="single" w:sz="4" w:space="0" w:color="auto"/>
                                    <w:right w:val="single" w:sz="4" w:space="0" w:color="auto"/>
                                  </w:tcBorders>
                                  <w:hideMark/>
                                </w:tcPr>
                                <w:p w14:paraId="58982AFA" w14:textId="77777777" w:rsidR="00A85180" w:rsidRDefault="00A85180">
                                  <w:pPr>
                                    <w:spacing w:line="0" w:lineRule="atLeast"/>
                                    <w:ind w:leftChars="-30" w:left="-72" w:rightChars="-20" w:right="-48"/>
                                    <w:jc w:val="both"/>
                                    <w:rPr>
                                      <w:rFonts w:ascii="標楷體" w:eastAsia="標楷體" w:hAnsi="標楷體"/>
                                      <w:color w:val="000000" w:themeColor="text1"/>
                                      <w:spacing w:val="-20"/>
                                      <w:szCs w:val="24"/>
                                    </w:rPr>
                                  </w:pPr>
                                  <w:r>
                                    <w:rPr>
                                      <w:rFonts w:ascii="標楷體" w:eastAsia="標楷體" w:hAnsi="標楷體" w:hint="eastAsia"/>
                                      <w:color w:val="000000" w:themeColor="text1"/>
                                      <w:spacing w:val="-20"/>
                                      <w:szCs w:val="24"/>
                                    </w:rPr>
                                    <w:t>可提供幼兒專責服務之醫療院所（A）</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0B59AD3" w14:textId="77777777" w:rsidR="00A85180" w:rsidRDefault="00A85180">
                                  <w:pPr>
                                    <w:spacing w:line="0" w:lineRule="atLeast"/>
                                    <w:ind w:leftChars="-30" w:left="-72" w:rightChars="-20" w:right="-48"/>
                                    <w:jc w:val="both"/>
                                    <w:rPr>
                                      <w:rFonts w:ascii="標楷體" w:eastAsia="標楷體" w:hAnsi="標楷體"/>
                                      <w:color w:val="000000" w:themeColor="text1"/>
                                      <w:spacing w:val="-12"/>
                                      <w:szCs w:val="24"/>
                                    </w:rPr>
                                  </w:pPr>
                                  <w:r>
                                    <w:rPr>
                                      <w:rFonts w:ascii="標楷體" w:eastAsia="標楷體" w:hAnsi="標楷體" w:hint="eastAsia"/>
                                      <w:color w:val="000000" w:themeColor="text1"/>
                                      <w:spacing w:val="-12"/>
                                      <w:szCs w:val="24"/>
                                    </w:rPr>
                                    <w:t>實際參與計畫醫療院所(B)</w:t>
                                  </w:r>
                                </w:p>
                              </w:tc>
                              <w:tc>
                                <w:tcPr>
                                  <w:tcW w:w="1112" w:type="dxa"/>
                                  <w:tcBorders>
                                    <w:top w:val="single" w:sz="4" w:space="0" w:color="auto"/>
                                    <w:left w:val="single" w:sz="4" w:space="0" w:color="auto"/>
                                    <w:bottom w:val="single" w:sz="4" w:space="0" w:color="auto"/>
                                    <w:right w:val="single" w:sz="4" w:space="0" w:color="auto"/>
                                  </w:tcBorders>
                                  <w:vAlign w:val="center"/>
                                  <w:hideMark/>
                                </w:tcPr>
                                <w:p w14:paraId="320180F9" w14:textId="2374CB48" w:rsidR="00A85180" w:rsidRDefault="00A85180">
                                  <w:pPr>
                                    <w:spacing w:line="0" w:lineRule="atLeast"/>
                                    <w:ind w:leftChars="-30" w:left="-72" w:rightChars="-20" w:right="-48"/>
                                    <w:jc w:val="both"/>
                                    <w:rPr>
                                      <w:rFonts w:ascii="標楷體" w:eastAsia="標楷體" w:hAnsi="標楷體"/>
                                      <w:color w:val="000000" w:themeColor="text1"/>
                                      <w:spacing w:val="-12"/>
                                      <w:szCs w:val="24"/>
                                    </w:rPr>
                                  </w:pPr>
                                  <w:r>
                                    <w:rPr>
                                      <w:rFonts w:ascii="標楷體" w:eastAsia="標楷體" w:hAnsi="標楷體" w:hint="eastAsia"/>
                                      <w:color w:val="000000" w:themeColor="text1"/>
                                      <w:spacing w:val="-12"/>
                                      <w:szCs w:val="24"/>
                                    </w:rPr>
                                    <w:t>醫療院所參與計畫比率(B/A×100</w:t>
                                  </w:r>
                                  <w:r w:rsidR="006E4897">
                                    <w:rPr>
                                      <w:rFonts w:ascii="標楷體" w:eastAsia="標楷體" w:hAnsi="標楷體" w:hint="eastAsia"/>
                                      <w:color w:val="000000" w:themeColor="text1"/>
                                      <w:spacing w:val="-12"/>
                                      <w:szCs w:val="24"/>
                                    </w:rPr>
                                    <w:t>)</w:t>
                                  </w:r>
                                </w:p>
                              </w:tc>
                              <w:tc>
                                <w:tcPr>
                                  <w:tcW w:w="1039" w:type="dxa"/>
                                  <w:tcBorders>
                                    <w:top w:val="single" w:sz="4" w:space="0" w:color="auto"/>
                                    <w:left w:val="single" w:sz="4" w:space="0" w:color="auto"/>
                                    <w:bottom w:val="single" w:sz="4" w:space="0" w:color="auto"/>
                                    <w:right w:val="single" w:sz="4" w:space="0" w:color="auto"/>
                                  </w:tcBorders>
                                  <w:hideMark/>
                                </w:tcPr>
                                <w:p w14:paraId="7EBD8EA5" w14:textId="77777777" w:rsidR="00A85180" w:rsidRDefault="00A85180">
                                  <w:pPr>
                                    <w:spacing w:line="0" w:lineRule="atLeast"/>
                                    <w:ind w:leftChars="-30" w:left="-72" w:rightChars="-20" w:right="-48"/>
                                    <w:jc w:val="both"/>
                                    <w:rPr>
                                      <w:rFonts w:ascii="標楷體" w:eastAsia="標楷體" w:hAnsi="標楷體"/>
                                      <w:color w:val="000000" w:themeColor="text1"/>
                                      <w:spacing w:val="-12"/>
                                      <w:szCs w:val="24"/>
                                    </w:rPr>
                                  </w:pPr>
                                  <w:r>
                                    <w:rPr>
                                      <w:rFonts w:ascii="標楷體" w:eastAsia="標楷體" w:hAnsi="標楷體" w:hint="eastAsia"/>
                                      <w:color w:val="000000" w:themeColor="text1"/>
                                      <w:spacing w:val="-12"/>
                                      <w:szCs w:val="24"/>
                                    </w:rPr>
                                    <w:t>兒科、家庭醫學專科醫師（C）</w:t>
                                  </w:r>
                                </w:p>
                              </w:tc>
                              <w:tc>
                                <w:tcPr>
                                  <w:tcW w:w="1030" w:type="dxa"/>
                                  <w:tcBorders>
                                    <w:top w:val="single" w:sz="4" w:space="0" w:color="auto"/>
                                    <w:left w:val="single" w:sz="4" w:space="0" w:color="auto"/>
                                    <w:bottom w:val="single" w:sz="4" w:space="0" w:color="auto"/>
                                    <w:right w:val="single" w:sz="4" w:space="0" w:color="auto"/>
                                  </w:tcBorders>
                                  <w:hideMark/>
                                </w:tcPr>
                                <w:p w14:paraId="49164701" w14:textId="77777777" w:rsidR="00A85180" w:rsidRPr="0040355F" w:rsidRDefault="00A85180">
                                  <w:pPr>
                                    <w:spacing w:line="0" w:lineRule="atLeast"/>
                                    <w:ind w:leftChars="-30" w:left="-72" w:rightChars="-20" w:right="-48"/>
                                    <w:jc w:val="both"/>
                                    <w:rPr>
                                      <w:rFonts w:ascii="標楷體" w:eastAsia="標楷體" w:hAnsi="標楷體"/>
                                      <w:color w:val="000000" w:themeColor="text1"/>
                                      <w:szCs w:val="24"/>
                                    </w:rPr>
                                  </w:pPr>
                                  <w:r w:rsidRPr="0040355F">
                                    <w:rPr>
                                      <w:rFonts w:ascii="標楷體" w:eastAsia="標楷體" w:hAnsi="標楷體" w:hint="eastAsia"/>
                                      <w:color w:val="000000" w:themeColor="text1"/>
                                      <w:szCs w:val="24"/>
                                    </w:rPr>
                                    <w:t>實際參與計畫醫師(D)</w:t>
                                  </w:r>
                                </w:p>
                              </w:tc>
                              <w:tc>
                                <w:tcPr>
                                  <w:tcW w:w="1112" w:type="dxa"/>
                                  <w:gridSpan w:val="2"/>
                                  <w:tcBorders>
                                    <w:top w:val="single" w:sz="4" w:space="0" w:color="auto"/>
                                    <w:left w:val="single" w:sz="4" w:space="0" w:color="auto"/>
                                    <w:bottom w:val="single" w:sz="4" w:space="0" w:color="auto"/>
                                    <w:right w:val="single" w:sz="4" w:space="0" w:color="auto"/>
                                  </w:tcBorders>
                                  <w:hideMark/>
                                </w:tcPr>
                                <w:p w14:paraId="76AEBCF7" w14:textId="77777777" w:rsidR="00A85180" w:rsidRPr="0040355F" w:rsidRDefault="00A85180">
                                  <w:pPr>
                                    <w:spacing w:line="0" w:lineRule="atLeast"/>
                                    <w:ind w:leftChars="-30" w:left="-72" w:rightChars="-20" w:right="-48"/>
                                    <w:jc w:val="both"/>
                                    <w:rPr>
                                      <w:rFonts w:ascii="標楷體" w:eastAsia="標楷體" w:hAnsi="標楷體"/>
                                      <w:color w:val="000000" w:themeColor="text1"/>
                                      <w:szCs w:val="24"/>
                                    </w:rPr>
                                  </w:pPr>
                                  <w:r w:rsidRPr="0040355F">
                                    <w:rPr>
                                      <w:rFonts w:ascii="標楷體" w:eastAsia="標楷體" w:hAnsi="標楷體" w:hint="eastAsia"/>
                                      <w:color w:val="000000" w:themeColor="text1"/>
                                      <w:szCs w:val="24"/>
                                    </w:rPr>
                                    <w:t>醫師參與計畫比率</w:t>
                                  </w:r>
                                </w:p>
                                <w:p w14:paraId="28943423" w14:textId="72F54CCC" w:rsidR="00A85180" w:rsidRDefault="00A85180">
                                  <w:pPr>
                                    <w:spacing w:line="0" w:lineRule="atLeast"/>
                                    <w:ind w:leftChars="-30" w:left="-72" w:rightChars="-20" w:right="-48"/>
                                    <w:jc w:val="both"/>
                                    <w:rPr>
                                      <w:rFonts w:ascii="標楷體" w:eastAsia="標楷體" w:hAnsi="標楷體"/>
                                      <w:color w:val="000000" w:themeColor="text1"/>
                                      <w:spacing w:val="-12"/>
                                      <w:szCs w:val="24"/>
                                    </w:rPr>
                                  </w:pPr>
                                  <w:r>
                                    <w:rPr>
                                      <w:rFonts w:ascii="標楷體" w:eastAsia="標楷體" w:hAnsi="標楷體" w:hint="eastAsia"/>
                                      <w:color w:val="000000" w:themeColor="text1"/>
                                      <w:spacing w:val="-12"/>
                                      <w:szCs w:val="24"/>
                                    </w:rPr>
                                    <w:t>(D/C×100</w:t>
                                  </w:r>
                                  <w:r w:rsidR="006E4897">
                                    <w:rPr>
                                      <w:rFonts w:ascii="標楷體" w:eastAsia="標楷體" w:hAnsi="標楷體" w:hint="eastAsia"/>
                                      <w:color w:val="000000" w:themeColor="text1"/>
                                      <w:spacing w:val="-12"/>
                                      <w:szCs w:val="24"/>
                                    </w:rPr>
                                    <w:t>)</w:t>
                                  </w:r>
                                </w:p>
                              </w:tc>
                            </w:tr>
                            <w:tr w:rsidR="00A85180" w14:paraId="0C87C3C8"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2F904D17" w14:textId="77777777" w:rsidR="00A85180" w:rsidRDefault="00A85180">
                                  <w:pPr>
                                    <w:spacing w:line="240" w:lineRule="exact"/>
                                    <w:ind w:leftChars="-113" w:left="-271" w:rightChars="-117" w:right="-281"/>
                                    <w:jc w:val="center"/>
                                    <w:rPr>
                                      <w:rFonts w:ascii="標楷體" w:eastAsia="標楷體" w:hAnsi="標楷體"/>
                                      <w:b/>
                                      <w:bCs/>
                                      <w:spacing w:val="-12"/>
                                    </w:rPr>
                                  </w:pPr>
                                  <w:r>
                                    <w:rPr>
                                      <w:rFonts w:ascii="標楷體" w:eastAsia="標楷體" w:hAnsi="標楷體" w:hint="eastAsia"/>
                                      <w:b/>
                                      <w:bCs/>
                                    </w:rPr>
                                    <w:t>合  計</w:t>
                                  </w:r>
                                </w:p>
                              </w:tc>
                              <w:tc>
                                <w:tcPr>
                                  <w:tcW w:w="1032" w:type="dxa"/>
                                  <w:tcBorders>
                                    <w:top w:val="single" w:sz="4" w:space="0" w:color="auto"/>
                                    <w:left w:val="single" w:sz="4" w:space="0" w:color="auto"/>
                                    <w:bottom w:val="single" w:sz="4" w:space="0" w:color="auto"/>
                                    <w:right w:val="single" w:sz="4" w:space="0" w:color="auto"/>
                                  </w:tcBorders>
                                  <w:vAlign w:val="center"/>
                                  <w:hideMark/>
                                </w:tcPr>
                                <w:p w14:paraId="4DEA480B" w14:textId="77777777" w:rsidR="00A85180" w:rsidRDefault="00A85180">
                                  <w:pPr>
                                    <w:spacing w:line="240" w:lineRule="exact"/>
                                    <w:jc w:val="right"/>
                                    <w:rPr>
                                      <w:rFonts w:ascii="標楷體" w:eastAsia="標楷體" w:hAnsi="標楷體"/>
                                      <w:b/>
                                      <w:bCs/>
                                    </w:rPr>
                                  </w:pPr>
                                  <w:r>
                                    <w:rPr>
                                      <w:rFonts w:ascii="標楷體" w:eastAsia="標楷體" w:hAnsi="標楷體" w:hint="eastAsia"/>
                                      <w:b/>
                                    </w:rPr>
                                    <w:t>175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FDA9BEC" w14:textId="77777777" w:rsidR="00A85180" w:rsidRDefault="00A85180">
                                  <w:pPr>
                                    <w:spacing w:line="240" w:lineRule="exact"/>
                                    <w:jc w:val="right"/>
                                    <w:rPr>
                                      <w:rFonts w:ascii="標楷體" w:eastAsia="標楷體" w:hAnsi="標楷體"/>
                                      <w:b/>
                                      <w:bCs/>
                                    </w:rPr>
                                  </w:pPr>
                                  <w:r>
                                    <w:rPr>
                                      <w:rFonts w:ascii="標楷體" w:eastAsia="標楷體" w:hAnsi="標楷體" w:hint="eastAsia"/>
                                      <w:b/>
                                    </w:rPr>
                                    <w:t>75</w:t>
                                  </w:r>
                                </w:p>
                              </w:tc>
                              <w:tc>
                                <w:tcPr>
                                  <w:tcW w:w="1112" w:type="dxa"/>
                                  <w:tcBorders>
                                    <w:top w:val="single" w:sz="4" w:space="0" w:color="auto"/>
                                    <w:left w:val="single" w:sz="4" w:space="0" w:color="auto"/>
                                    <w:bottom w:val="single" w:sz="4" w:space="0" w:color="auto"/>
                                    <w:right w:val="single" w:sz="4" w:space="0" w:color="auto"/>
                                  </w:tcBorders>
                                  <w:vAlign w:val="center"/>
                                  <w:hideMark/>
                                </w:tcPr>
                                <w:p w14:paraId="709C82F9" w14:textId="77777777" w:rsidR="00A85180" w:rsidRDefault="00A85180">
                                  <w:pPr>
                                    <w:spacing w:line="240" w:lineRule="exact"/>
                                    <w:jc w:val="right"/>
                                    <w:rPr>
                                      <w:rFonts w:ascii="標楷體" w:eastAsia="標楷體" w:hAnsi="標楷體"/>
                                      <w:b/>
                                      <w:bCs/>
                                    </w:rPr>
                                  </w:pPr>
                                  <w:r>
                                    <w:rPr>
                                      <w:rFonts w:ascii="標楷體" w:eastAsia="標楷體" w:hAnsi="標楷體" w:hint="eastAsia"/>
                                      <w:b/>
                                    </w:rPr>
                                    <w:t>42.86</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F598D48" w14:textId="77777777" w:rsidR="00A85180" w:rsidRDefault="00A85180">
                                  <w:pPr>
                                    <w:spacing w:line="240" w:lineRule="exact"/>
                                    <w:jc w:val="right"/>
                                    <w:rPr>
                                      <w:rFonts w:ascii="標楷體" w:eastAsia="標楷體" w:hAnsi="標楷體"/>
                                      <w:b/>
                                      <w:bCs/>
                                      <w:spacing w:val="-8"/>
                                    </w:rPr>
                                  </w:pPr>
                                  <w:r>
                                    <w:rPr>
                                      <w:rFonts w:ascii="標楷體" w:eastAsia="標楷體" w:hAnsi="標楷體" w:hint="eastAsia"/>
                                      <w:b/>
                                    </w:rPr>
                                    <w:t>1,272</w:t>
                                  </w:r>
                                </w:p>
                              </w:tc>
                              <w:tc>
                                <w:tcPr>
                                  <w:tcW w:w="1030" w:type="dxa"/>
                                  <w:tcBorders>
                                    <w:top w:val="single" w:sz="4" w:space="0" w:color="auto"/>
                                    <w:left w:val="single" w:sz="4" w:space="0" w:color="auto"/>
                                    <w:bottom w:val="single" w:sz="4" w:space="0" w:color="auto"/>
                                    <w:right w:val="single" w:sz="4" w:space="0" w:color="auto"/>
                                  </w:tcBorders>
                                  <w:vAlign w:val="center"/>
                                  <w:hideMark/>
                                </w:tcPr>
                                <w:p w14:paraId="698DE2B0" w14:textId="77777777" w:rsidR="00A85180" w:rsidRDefault="00A85180">
                                  <w:pPr>
                                    <w:spacing w:line="240" w:lineRule="exact"/>
                                    <w:jc w:val="right"/>
                                    <w:rPr>
                                      <w:rFonts w:ascii="標楷體" w:eastAsia="標楷體" w:hAnsi="標楷體"/>
                                      <w:b/>
                                      <w:bCs/>
                                      <w:spacing w:val="-8"/>
                                    </w:rPr>
                                  </w:pPr>
                                  <w:r>
                                    <w:rPr>
                                      <w:rFonts w:ascii="標楷體" w:eastAsia="標楷體" w:hAnsi="標楷體" w:hint="eastAsia"/>
                                      <w:b/>
                                    </w:rPr>
                                    <w:t>247</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033E6A7C" w14:textId="77777777" w:rsidR="00A85180" w:rsidRDefault="00A85180">
                                  <w:pPr>
                                    <w:spacing w:line="240" w:lineRule="exact"/>
                                    <w:jc w:val="right"/>
                                    <w:rPr>
                                      <w:rFonts w:ascii="標楷體" w:eastAsia="標楷體" w:hAnsi="標楷體"/>
                                      <w:b/>
                                      <w:bCs/>
                                      <w:spacing w:val="-8"/>
                                    </w:rPr>
                                  </w:pPr>
                                  <w:r>
                                    <w:rPr>
                                      <w:rFonts w:ascii="標楷體" w:eastAsia="標楷體" w:hAnsi="標楷體" w:hint="eastAsia"/>
                                      <w:b/>
                                    </w:rPr>
                                    <w:t>19.42</w:t>
                                  </w:r>
                                </w:p>
                              </w:tc>
                            </w:tr>
                            <w:tr w:rsidR="00A85180" w14:paraId="31DF5118"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4F6E93FE"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北投區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60305AEB"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23</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A1CCA41"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9</w:t>
                                  </w:r>
                                </w:p>
                              </w:tc>
                              <w:tc>
                                <w:tcPr>
                                  <w:tcW w:w="1112" w:type="dxa"/>
                                  <w:tcBorders>
                                    <w:top w:val="single" w:sz="4" w:space="0" w:color="auto"/>
                                    <w:left w:val="single" w:sz="4" w:space="0" w:color="auto"/>
                                    <w:bottom w:val="single" w:sz="4" w:space="0" w:color="auto"/>
                                    <w:right w:val="single" w:sz="4" w:space="0" w:color="auto"/>
                                  </w:tcBorders>
                                  <w:vAlign w:val="center"/>
                                  <w:hideMark/>
                                </w:tcPr>
                                <w:p w14:paraId="7D87F421"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39.13</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3AD91FE"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161</w:t>
                                  </w:r>
                                </w:p>
                              </w:tc>
                              <w:tc>
                                <w:tcPr>
                                  <w:tcW w:w="1030" w:type="dxa"/>
                                  <w:tcBorders>
                                    <w:top w:val="single" w:sz="4" w:space="0" w:color="auto"/>
                                    <w:left w:val="single" w:sz="4" w:space="0" w:color="auto"/>
                                    <w:bottom w:val="single" w:sz="4" w:space="0" w:color="auto"/>
                                    <w:right w:val="single" w:sz="4" w:space="0" w:color="auto"/>
                                  </w:tcBorders>
                                  <w:vAlign w:val="center"/>
                                  <w:hideMark/>
                                </w:tcPr>
                                <w:p w14:paraId="14C6AECB"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26</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252C5C5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16.15</w:t>
                                  </w:r>
                                </w:p>
                              </w:tc>
                            </w:tr>
                            <w:tr w:rsidR="00A85180" w14:paraId="3B21AAAC"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5F36D73D"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中山區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55EC30FA"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20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11FBD49"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11</w:t>
                                  </w:r>
                                </w:p>
                              </w:tc>
                              <w:tc>
                                <w:tcPr>
                                  <w:tcW w:w="1112" w:type="dxa"/>
                                  <w:tcBorders>
                                    <w:top w:val="single" w:sz="4" w:space="0" w:color="auto"/>
                                    <w:left w:val="single" w:sz="4" w:space="0" w:color="auto"/>
                                    <w:bottom w:val="single" w:sz="4" w:space="0" w:color="auto"/>
                                    <w:right w:val="single" w:sz="4" w:space="0" w:color="auto"/>
                                  </w:tcBorders>
                                  <w:vAlign w:val="center"/>
                                  <w:hideMark/>
                                </w:tcPr>
                                <w:p w14:paraId="19AD8AE4"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55.00</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1B5F97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161</w:t>
                                  </w:r>
                                </w:p>
                              </w:tc>
                              <w:tc>
                                <w:tcPr>
                                  <w:tcW w:w="1030" w:type="dxa"/>
                                  <w:tcBorders>
                                    <w:top w:val="single" w:sz="4" w:space="0" w:color="auto"/>
                                    <w:left w:val="single" w:sz="4" w:space="0" w:color="auto"/>
                                    <w:bottom w:val="single" w:sz="4" w:space="0" w:color="auto"/>
                                    <w:right w:val="single" w:sz="4" w:space="0" w:color="auto"/>
                                  </w:tcBorders>
                                  <w:vAlign w:val="center"/>
                                  <w:hideMark/>
                                </w:tcPr>
                                <w:p w14:paraId="2D30EDC7"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45</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491EBC11"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27.95</w:t>
                                  </w:r>
                                </w:p>
                              </w:tc>
                            </w:tr>
                            <w:tr w:rsidR="00A85180" w14:paraId="1B8F70F5"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159D61CD"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大安區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51BDBCBB"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20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6FE21CE"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3</w:t>
                                  </w:r>
                                </w:p>
                              </w:tc>
                              <w:tc>
                                <w:tcPr>
                                  <w:tcW w:w="1112" w:type="dxa"/>
                                  <w:tcBorders>
                                    <w:top w:val="single" w:sz="4" w:space="0" w:color="auto"/>
                                    <w:left w:val="single" w:sz="4" w:space="0" w:color="auto"/>
                                    <w:bottom w:val="single" w:sz="4" w:space="0" w:color="auto"/>
                                    <w:right w:val="single" w:sz="4" w:space="0" w:color="auto"/>
                                  </w:tcBorders>
                                  <w:vAlign w:val="center"/>
                                  <w:hideMark/>
                                </w:tcPr>
                                <w:p w14:paraId="0E63CDCE"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15.00</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5DB15F4"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135</w:t>
                                  </w:r>
                                </w:p>
                              </w:tc>
                              <w:tc>
                                <w:tcPr>
                                  <w:tcW w:w="1030" w:type="dxa"/>
                                  <w:tcBorders>
                                    <w:top w:val="single" w:sz="4" w:space="0" w:color="auto"/>
                                    <w:left w:val="single" w:sz="4" w:space="0" w:color="auto"/>
                                    <w:bottom w:val="single" w:sz="4" w:space="0" w:color="auto"/>
                                    <w:right w:val="single" w:sz="4" w:space="0" w:color="auto"/>
                                  </w:tcBorders>
                                  <w:vAlign w:val="center"/>
                                  <w:hideMark/>
                                </w:tcPr>
                                <w:p w14:paraId="60E5FB5E"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8</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71E93B2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5.93</w:t>
                                  </w:r>
                                </w:p>
                              </w:tc>
                            </w:tr>
                            <w:tr w:rsidR="00A85180" w14:paraId="668C322E"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68ED318E"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士林區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6E930A85"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17</w:t>
                                  </w:r>
                                </w:p>
                              </w:tc>
                              <w:tc>
                                <w:tcPr>
                                  <w:tcW w:w="1026" w:type="dxa"/>
                                  <w:tcBorders>
                                    <w:top w:val="single" w:sz="4" w:space="0" w:color="auto"/>
                                    <w:left w:val="single" w:sz="4" w:space="0" w:color="auto"/>
                                    <w:bottom w:val="single" w:sz="4" w:space="0" w:color="auto"/>
                                    <w:right w:val="single" w:sz="4" w:space="0" w:color="auto"/>
                                  </w:tcBorders>
                                  <w:vAlign w:val="center"/>
                                  <w:hideMark/>
                                </w:tcPr>
                                <w:p w14:paraId="1A078CC6"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9</w:t>
                                  </w:r>
                                </w:p>
                              </w:tc>
                              <w:tc>
                                <w:tcPr>
                                  <w:tcW w:w="1112" w:type="dxa"/>
                                  <w:tcBorders>
                                    <w:top w:val="single" w:sz="4" w:space="0" w:color="auto"/>
                                    <w:left w:val="single" w:sz="4" w:space="0" w:color="auto"/>
                                    <w:bottom w:val="single" w:sz="4" w:space="0" w:color="auto"/>
                                    <w:right w:val="single" w:sz="4" w:space="0" w:color="auto"/>
                                  </w:tcBorders>
                                  <w:vAlign w:val="center"/>
                                  <w:hideMark/>
                                </w:tcPr>
                                <w:p w14:paraId="2EB05688"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52.94</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DF467A3"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80</w:t>
                                  </w:r>
                                </w:p>
                              </w:tc>
                              <w:tc>
                                <w:tcPr>
                                  <w:tcW w:w="1030" w:type="dxa"/>
                                  <w:tcBorders>
                                    <w:top w:val="single" w:sz="4" w:space="0" w:color="auto"/>
                                    <w:left w:val="single" w:sz="4" w:space="0" w:color="auto"/>
                                    <w:bottom w:val="single" w:sz="4" w:space="0" w:color="auto"/>
                                    <w:right w:val="single" w:sz="4" w:space="0" w:color="auto"/>
                                  </w:tcBorders>
                                  <w:vAlign w:val="center"/>
                                  <w:hideMark/>
                                </w:tcPr>
                                <w:p w14:paraId="6438B5F3"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29</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6EA90E0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36.25</w:t>
                                  </w:r>
                                </w:p>
                              </w:tc>
                            </w:tr>
                            <w:tr w:rsidR="00A85180" w14:paraId="4B4DFE3A"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2B6DF07E"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文山區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33AFED30"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17</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F2B14FD"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6</w:t>
                                  </w:r>
                                </w:p>
                              </w:tc>
                              <w:tc>
                                <w:tcPr>
                                  <w:tcW w:w="1112" w:type="dxa"/>
                                  <w:tcBorders>
                                    <w:top w:val="single" w:sz="4" w:space="0" w:color="auto"/>
                                    <w:left w:val="single" w:sz="4" w:space="0" w:color="auto"/>
                                    <w:bottom w:val="single" w:sz="4" w:space="0" w:color="auto"/>
                                    <w:right w:val="single" w:sz="4" w:space="0" w:color="auto"/>
                                  </w:tcBorders>
                                  <w:vAlign w:val="center"/>
                                  <w:hideMark/>
                                </w:tcPr>
                                <w:p w14:paraId="32D123D9"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35.29</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C591214"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66</w:t>
                                  </w:r>
                                </w:p>
                              </w:tc>
                              <w:tc>
                                <w:tcPr>
                                  <w:tcW w:w="1030" w:type="dxa"/>
                                  <w:tcBorders>
                                    <w:top w:val="single" w:sz="4" w:space="0" w:color="auto"/>
                                    <w:left w:val="single" w:sz="4" w:space="0" w:color="auto"/>
                                    <w:bottom w:val="single" w:sz="4" w:space="0" w:color="auto"/>
                                    <w:right w:val="single" w:sz="4" w:space="0" w:color="auto"/>
                                  </w:tcBorders>
                                  <w:vAlign w:val="center"/>
                                  <w:hideMark/>
                                </w:tcPr>
                                <w:p w14:paraId="20173F5E"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18</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36E6B22B"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27.27</w:t>
                                  </w:r>
                                </w:p>
                              </w:tc>
                            </w:tr>
                            <w:tr w:rsidR="00A85180" w14:paraId="41EF23DF"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0A1ED269"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松山區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5B7AC9BA"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16</w:t>
                                  </w:r>
                                </w:p>
                              </w:tc>
                              <w:tc>
                                <w:tcPr>
                                  <w:tcW w:w="1026" w:type="dxa"/>
                                  <w:tcBorders>
                                    <w:top w:val="single" w:sz="4" w:space="0" w:color="auto"/>
                                    <w:left w:val="single" w:sz="4" w:space="0" w:color="auto"/>
                                    <w:bottom w:val="single" w:sz="4" w:space="0" w:color="auto"/>
                                    <w:right w:val="single" w:sz="4" w:space="0" w:color="auto"/>
                                  </w:tcBorders>
                                  <w:vAlign w:val="center"/>
                                  <w:hideMark/>
                                </w:tcPr>
                                <w:p w14:paraId="1099DEA2"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8</w:t>
                                  </w:r>
                                </w:p>
                              </w:tc>
                              <w:tc>
                                <w:tcPr>
                                  <w:tcW w:w="1112" w:type="dxa"/>
                                  <w:tcBorders>
                                    <w:top w:val="single" w:sz="4" w:space="0" w:color="auto"/>
                                    <w:left w:val="single" w:sz="4" w:space="0" w:color="auto"/>
                                    <w:bottom w:val="single" w:sz="4" w:space="0" w:color="auto"/>
                                    <w:right w:val="single" w:sz="4" w:space="0" w:color="auto"/>
                                  </w:tcBorders>
                                  <w:vAlign w:val="center"/>
                                  <w:hideMark/>
                                </w:tcPr>
                                <w:p w14:paraId="79FE9C34"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50.00</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7BB6F4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81</w:t>
                                  </w:r>
                                </w:p>
                              </w:tc>
                              <w:tc>
                                <w:tcPr>
                                  <w:tcW w:w="1030" w:type="dxa"/>
                                  <w:tcBorders>
                                    <w:top w:val="single" w:sz="4" w:space="0" w:color="auto"/>
                                    <w:left w:val="single" w:sz="4" w:space="0" w:color="auto"/>
                                    <w:bottom w:val="single" w:sz="4" w:space="0" w:color="auto"/>
                                    <w:right w:val="single" w:sz="4" w:space="0" w:color="auto"/>
                                  </w:tcBorders>
                                  <w:vAlign w:val="center"/>
                                  <w:hideMark/>
                                </w:tcPr>
                                <w:p w14:paraId="2CA9B2EB"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16</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0541A1F7"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19.75</w:t>
                                  </w:r>
                                </w:p>
                              </w:tc>
                            </w:tr>
                            <w:tr w:rsidR="00A85180" w14:paraId="0BD8A1D6"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0E40031F"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萬華區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48C47F53"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5555C6F"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4</w:t>
                                  </w:r>
                                </w:p>
                              </w:tc>
                              <w:tc>
                                <w:tcPr>
                                  <w:tcW w:w="1112" w:type="dxa"/>
                                  <w:tcBorders>
                                    <w:top w:val="single" w:sz="4" w:space="0" w:color="auto"/>
                                    <w:left w:val="single" w:sz="4" w:space="0" w:color="auto"/>
                                    <w:bottom w:val="single" w:sz="4" w:space="0" w:color="auto"/>
                                    <w:right w:val="single" w:sz="4" w:space="0" w:color="auto"/>
                                  </w:tcBorders>
                                  <w:vAlign w:val="center"/>
                                  <w:hideMark/>
                                </w:tcPr>
                                <w:p w14:paraId="26C7DA87"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26.67</w:t>
                                  </w:r>
                                </w:p>
                              </w:tc>
                              <w:tc>
                                <w:tcPr>
                                  <w:tcW w:w="1039" w:type="dxa"/>
                                  <w:tcBorders>
                                    <w:top w:val="single" w:sz="4" w:space="0" w:color="auto"/>
                                    <w:left w:val="single" w:sz="4" w:space="0" w:color="auto"/>
                                    <w:bottom w:val="single" w:sz="4" w:space="0" w:color="auto"/>
                                    <w:right w:val="single" w:sz="4" w:space="0" w:color="auto"/>
                                  </w:tcBorders>
                                  <w:vAlign w:val="center"/>
                                  <w:hideMark/>
                                </w:tcPr>
                                <w:p w14:paraId="5C173C77"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52</w:t>
                                  </w:r>
                                </w:p>
                              </w:tc>
                              <w:tc>
                                <w:tcPr>
                                  <w:tcW w:w="1030" w:type="dxa"/>
                                  <w:tcBorders>
                                    <w:top w:val="single" w:sz="4" w:space="0" w:color="auto"/>
                                    <w:left w:val="single" w:sz="4" w:space="0" w:color="auto"/>
                                    <w:bottom w:val="single" w:sz="4" w:space="0" w:color="auto"/>
                                    <w:right w:val="single" w:sz="4" w:space="0" w:color="auto"/>
                                  </w:tcBorders>
                                  <w:vAlign w:val="center"/>
                                  <w:hideMark/>
                                </w:tcPr>
                                <w:p w14:paraId="02778FC1"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11</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3FD28F84"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21.15</w:t>
                                  </w:r>
                                </w:p>
                              </w:tc>
                            </w:tr>
                            <w:tr w:rsidR="00A85180" w14:paraId="07F007AE"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10C541EC"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內湖區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7A7EB088"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13</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9473B47"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7</w:t>
                                  </w:r>
                                </w:p>
                              </w:tc>
                              <w:tc>
                                <w:tcPr>
                                  <w:tcW w:w="1112" w:type="dxa"/>
                                  <w:tcBorders>
                                    <w:top w:val="single" w:sz="4" w:space="0" w:color="auto"/>
                                    <w:left w:val="single" w:sz="4" w:space="0" w:color="auto"/>
                                    <w:bottom w:val="single" w:sz="4" w:space="0" w:color="auto"/>
                                    <w:right w:val="single" w:sz="4" w:space="0" w:color="auto"/>
                                  </w:tcBorders>
                                  <w:vAlign w:val="center"/>
                                  <w:hideMark/>
                                </w:tcPr>
                                <w:p w14:paraId="6CBA05F5"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53.85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78368D0"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105</w:t>
                                  </w:r>
                                </w:p>
                              </w:tc>
                              <w:tc>
                                <w:tcPr>
                                  <w:tcW w:w="1030" w:type="dxa"/>
                                  <w:tcBorders>
                                    <w:top w:val="single" w:sz="4" w:space="0" w:color="auto"/>
                                    <w:left w:val="single" w:sz="4" w:space="0" w:color="auto"/>
                                    <w:bottom w:val="single" w:sz="4" w:space="0" w:color="auto"/>
                                    <w:right w:val="single" w:sz="4" w:space="0" w:color="auto"/>
                                  </w:tcBorders>
                                  <w:vAlign w:val="center"/>
                                  <w:hideMark/>
                                </w:tcPr>
                                <w:p w14:paraId="4758C11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16</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32F54F4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15.24</w:t>
                                  </w:r>
                                </w:p>
                              </w:tc>
                            </w:tr>
                            <w:tr w:rsidR="00A85180" w14:paraId="22BC4683"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1E63555C"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中正區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63CE7845"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12</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2E8E4B5"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w:t>
                                  </w:r>
                                </w:p>
                              </w:tc>
                              <w:tc>
                                <w:tcPr>
                                  <w:tcW w:w="1112" w:type="dxa"/>
                                  <w:tcBorders>
                                    <w:top w:val="single" w:sz="4" w:space="0" w:color="auto"/>
                                    <w:left w:val="single" w:sz="4" w:space="0" w:color="auto"/>
                                    <w:bottom w:val="single" w:sz="4" w:space="0" w:color="auto"/>
                                    <w:right w:val="single" w:sz="4" w:space="0" w:color="auto"/>
                                  </w:tcBorders>
                                  <w:vAlign w:val="center"/>
                                  <w:hideMark/>
                                </w:tcPr>
                                <w:p w14:paraId="3B9AADF9"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8.33</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811087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215</w:t>
                                  </w:r>
                                </w:p>
                              </w:tc>
                              <w:tc>
                                <w:tcPr>
                                  <w:tcW w:w="1030" w:type="dxa"/>
                                  <w:tcBorders>
                                    <w:top w:val="single" w:sz="4" w:space="0" w:color="auto"/>
                                    <w:left w:val="single" w:sz="4" w:space="0" w:color="auto"/>
                                    <w:bottom w:val="single" w:sz="4" w:space="0" w:color="auto"/>
                                    <w:right w:val="single" w:sz="4" w:space="0" w:color="auto"/>
                                  </w:tcBorders>
                                  <w:vAlign w:val="center"/>
                                  <w:hideMark/>
                                </w:tcPr>
                                <w:p w14:paraId="007EBA5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18C0424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0.47</w:t>
                                  </w:r>
                                </w:p>
                              </w:tc>
                            </w:tr>
                            <w:tr w:rsidR="00A85180" w14:paraId="2F5A743C"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2BE9D9F5"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南港區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455B5D57"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9</w:t>
                                  </w:r>
                                </w:p>
                              </w:tc>
                              <w:tc>
                                <w:tcPr>
                                  <w:tcW w:w="1026" w:type="dxa"/>
                                  <w:tcBorders>
                                    <w:top w:val="single" w:sz="4" w:space="0" w:color="auto"/>
                                    <w:left w:val="single" w:sz="4" w:space="0" w:color="auto"/>
                                    <w:bottom w:val="single" w:sz="4" w:space="0" w:color="auto"/>
                                    <w:right w:val="single" w:sz="4" w:space="0" w:color="auto"/>
                                  </w:tcBorders>
                                  <w:vAlign w:val="center"/>
                                  <w:hideMark/>
                                </w:tcPr>
                                <w:p w14:paraId="5D189FD1"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9</w:t>
                                  </w:r>
                                </w:p>
                              </w:tc>
                              <w:tc>
                                <w:tcPr>
                                  <w:tcW w:w="1112" w:type="dxa"/>
                                  <w:tcBorders>
                                    <w:top w:val="single" w:sz="4" w:space="0" w:color="auto"/>
                                    <w:left w:val="single" w:sz="4" w:space="0" w:color="auto"/>
                                    <w:bottom w:val="single" w:sz="4" w:space="0" w:color="auto"/>
                                    <w:right w:val="single" w:sz="4" w:space="0" w:color="auto"/>
                                  </w:tcBorders>
                                  <w:vAlign w:val="center"/>
                                  <w:hideMark/>
                                </w:tcPr>
                                <w:p w14:paraId="14B808EB"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100.00</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33AD9B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21</w:t>
                                  </w:r>
                                </w:p>
                              </w:tc>
                              <w:tc>
                                <w:tcPr>
                                  <w:tcW w:w="1030" w:type="dxa"/>
                                  <w:tcBorders>
                                    <w:top w:val="single" w:sz="4" w:space="0" w:color="auto"/>
                                    <w:left w:val="single" w:sz="4" w:space="0" w:color="auto"/>
                                    <w:bottom w:val="single" w:sz="4" w:space="0" w:color="auto"/>
                                    <w:right w:val="single" w:sz="4" w:space="0" w:color="auto"/>
                                  </w:tcBorders>
                                  <w:vAlign w:val="center"/>
                                  <w:hideMark/>
                                </w:tcPr>
                                <w:p w14:paraId="33C0149B"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15</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6AE35C57"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71.43</w:t>
                                  </w:r>
                                </w:p>
                              </w:tc>
                            </w:tr>
                            <w:tr w:rsidR="00A85180" w14:paraId="25CD03C7"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3C29FABD"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大同區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3184EF71"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7</w:t>
                                  </w:r>
                                </w:p>
                              </w:tc>
                              <w:tc>
                                <w:tcPr>
                                  <w:tcW w:w="1026" w:type="dxa"/>
                                  <w:tcBorders>
                                    <w:top w:val="single" w:sz="4" w:space="0" w:color="auto"/>
                                    <w:left w:val="single" w:sz="4" w:space="0" w:color="auto"/>
                                    <w:bottom w:val="single" w:sz="4" w:space="0" w:color="auto"/>
                                    <w:right w:val="single" w:sz="4" w:space="0" w:color="auto"/>
                                  </w:tcBorders>
                                  <w:vAlign w:val="center"/>
                                  <w:hideMark/>
                                </w:tcPr>
                                <w:p w14:paraId="53E2802A"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3</w:t>
                                  </w:r>
                                </w:p>
                              </w:tc>
                              <w:tc>
                                <w:tcPr>
                                  <w:tcW w:w="1112" w:type="dxa"/>
                                  <w:tcBorders>
                                    <w:top w:val="single" w:sz="4" w:space="0" w:color="auto"/>
                                    <w:left w:val="single" w:sz="4" w:space="0" w:color="auto"/>
                                    <w:bottom w:val="single" w:sz="4" w:space="0" w:color="auto"/>
                                    <w:right w:val="single" w:sz="4" w:space="0" w:color="auto"/>
                                  </w:tcBorders>
                                  <w:vAlign w:val="center"/>
                                  <w:hideMark/>
                                </w:tcPr>
                                <w:p w14:paraId="335BBB5A"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42.86</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12F3B5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135</w:t>
                                  </w:r>
                                </w:p>
                              </w:tc>
                              <w:tc>
                                <w:tcPr>
                                  <w:tcW w:w="1030" w:type="dxa"/>
                                  <w:tcBorders>
                                    <w:top w:val="single" w:sz="4" w:space="0" w:color="auto"/>
                                    <w:left w:val="single" w:sz="4" w:space="0" w:color="auto"/>
                                    <w:bottom w:val="single" w:sz="4" w:space="0" w:color="auto"/>
                                    <w:right w:val="single" w:sz="4" w:space="0" w:color="auto"/>
                                  </w:tcBorders>
                                  <w:vAlign w:val="center"/>
                                  <w:hideMark/>
                                </w:tcPr>
                                <w:p w14:paraId="6C047C07"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42</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03170950"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31.11</w:t>
                                  </w:r>
                                </w:p>
                              </w:tc>
                            </w:tr>
                            <w:tr w:rsidR="00A85180" w14:paraId="15969857"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4516A83C"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信義區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1140E675"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6</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1D5D61F"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5</w:t>
                                  </w:r>
                                </w:p>
                              </w:tc>
                              <w:tc>
                                <w:tcPr>
                                  <w:tcW w:w="1112" w:type="dxa"/>
                                  <w:tcBorders>
                                    <w:top w:val="single" w:sz="4" w:space="0" w:color="auto"/>
                                    <w:left w:val="single" w:sz="4" w:space="0" w:color="auto"/>
                                    <w:bottom w:val="single" w:sz="4" w:space="0" w:color="auto"/>
                                    <w:right w:val="single" w:sz="4" w:space="0" w:color="auto"/>
                                  </w:tcBorders>
                                  <w:vAlign w:val="center"/>
                                  <w:hideMark/>
                                </w:tcPr>
                                <w:p w14:paraId="03841EE9"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83.33</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EA2743C"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60</w:t>
                                  </w:r>
                                </w:p>
                              </w:tc>
                              <w:tc>
                                <w:tcPr>
                                  <w:tcW w:w="1030" w:type="dxa"/>
                                  <w:tcBorders>
                                    <w:top w:val="single" w:sz="4" w:space="0" w:color="auto"/>
                                    <w:left w:val="single" w:sz="4" w:space="0" w:color="auto"/>
                                    <w:bottom w:val="single" w:sz="4" w:space="0" w:color="auto"/>
                                    <w:right w:val="single" w:sz="4" w:space="0" w:color="auto"/>
                                  </w:tcBorders>
                                  <w:vAlign w:val="center"/>
                                  <w:hideMark/>
                                </w:tcPr>
                                <w:p w14:paraId="39521D5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20</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1E3C97C1"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33.33</w:t>
                                  </w:r>
                                </w:p>
                              </w:tc>
                            </w:tr>
                            <w:tr w:rsidR="00A85180" w14:paraId="0DB0F90D" w14:textId="77777777">
                              <w:trPr>
                                <w:gridAfter w:val="1"/>
                                <w:wAfter w:w="100" w:type="dxa"/>
                                <w:trHeight w:val="1109"/>
                                <w:jc w:val="center"/>
                              </w:trPr>
                              <w:tc>
                                <w:tcPr>
                                  <w:tcW w:w="7230" w:type="dxa"/>
                                  <w:gridSpan w:val="7"/>
                                  <w:tcBorders>
                                    <w:top w:val="single" w:sz="4" w:space="0" w:color="auto"/>
                                    <w:left w:val="nil"/>
                                    <w:bottom w:val="nil"/>
                                    <w:right w:val="nil"/>
                                  </w:tcBorders>
                                  <w:hideMark/>
                                </w:tcPr>
                                <w:p w14:paraId="4D5EF12F" w14:textId="77777777" w:rsidR="00A85180" w:rsidRDefault="00A85180">
                                  <w:pPr>
                                    <w:spacing w:line="0" w:lineRule="atLeast"/>
                                    <w:ind w:leftChars="-50" w:left="402" w:hangingChars="290" w:hanging="522"/>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：1.資料統計截止日為114年3月3日。</w:t>
                                  </w:r>
                                </w:p>
                                <w:p w14:paraId="4E577F06" w14:textId="77777777" w:rsidR="00A85180" w:rsidRDefault="00A85180">
                                  <w:pPr>
                                    <w:spacing w:line="0" w:lineRule="atLeast"/>
                                    <w:ind w:leftChars="100" w:left="492" w:hangingChars="140" w:hanging="252"/>
                                    <w:jc w:val="both"/>
                                    <w:rPr>
                                      <w:rFonts w:ascii="標楷體" w:eastAsia="標楷體" w:hAnsi="標楷體"/>
                                      <w:spacing w:val="-8"/>
                                    </w:rPr>
                                  </w:pPr>
                                  <w:r>
                                    <w:rPr>
                                      <w:rFonts w:ascii="標楷體" w:eastAsia="標楷體" w:hAnsi="標楷體" w:hint="eastAsia"/>
                                      <w:sz w:val="18"/>
                                      <w:szCs w:val="18"/>
                                    </w:rPr>
                                    <w:t>2.資料來源：整理自衛生局提供資料。</w:t>
                                  </w:r>
                                </w:p>
                              </w:tc>
                            </w:tr>
                          </w:tbl>
                          <w:p w14:paraId="594F2277" w14:textId="77777777" w:rsidR="00A85180" w:rsidRDefault="00A85180" w:rsidP="00A85180">
                            <w:pPr>
                              <w:spacing w:line="40" w:lineRule="exact"/>
                              <w:ind w:rightChars="-40" w:right="-96"/>
                              <w:jc w:val="both"/>
                              <w:rPr>
                                <w:rFonts w:ascii="標楷體" w:eastAsia="標楷體" w:hAnsi="標楷體"/>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83D90C" id="文字方塊 927419601" o:spid="_x0000_s1117" type="#_x0000_t202" style="position:absolute;left:0;text-align:left;margin-left:120.9pt;margin-top:75.4pt;width:375.95pt;height:342.3pt;z-index:-251584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" stroked="f">
                <v:textbox>
                  <w:txbxContent>
                    <w:tbl>
                      <w:tblPr>
                        <w:tblStyle w:val="a6"/>
                        <w:tblW w:w="7330" w:type="dxa"/>
                        <w:jc w:val="center"/>
                        <w:tblLook w:val="04A0" w:firstRow="1" w:lastRow="0" w:firstColumn="1" w:lastColumn="0" w:noHBand="0" w:noVBand="1"/>
                      </w:tblPr>
                      <w:tblGrid>
                        <w:gridCol w:w="979"/>
                        <w:gridCol w:w="1032"/>
                        <w:gridCol w:w="1026"/>
                        <w:gridCol w:w="1112"/>
                        <w:gridCol w:w="1039"/>
                        <w:gridCol w:w="1030"/>
                        <w:gridCol w:w="1012"/>
                        <w:gridCol w:w="100"/>
                      </w:tblGrid>
                      <w:tr w:rsidR="00A85180" w14:paraId="454C13B0" w14:textId="77777777">
                        <w:trPr>
                          <w:gridAfter w:val="1"/>
                          <w:wAfter w:w="100" w:type="dxa"/>
                          <w:trHeight w:val="275"/>
                          <w:jc w:val="center"/>
                        </w:trPr>
                        <w:tc>
                          <w:tcPr>
                            <w:tcW w:w="7230" w:type="dxa"/>
                            <w:gridSpan w:val="7"/>
                            <w:tcBorders>
                              <w:top w:val="nil"/>
                              <w:left w:val="nil"/>
                              <w:bottom w:val="nil"/>
                              <w:right w:val="nil"/>
                            </w:tcBorders>
                            <w:hideMark/>
                          </w:tcPr>
                          <w:p w14:paraId="472A8563" w14:textId="5726348A" w:rsidR="00A85180" w:rsidRPr="00495ED5" w:rsidRDefault="00A85180">
                            <w:pPr>
                              <w:spacing w:line="240" w:lineRule="exact"/>
                              <w:ind w:leftChars="-45" w:left="685" w:rightChars="-22" w:right="-53" w:hangingChars="330" w:hanging="793"/>
                              <w:jc w:val="center"/>
                              <w:rPr>
                                <w:rFonts w:ascii="標楷體" w:eastAsia="標楷體" w:hAnsi="標楷體"/>
                                <w:b/>
                                <w:bCs/>
                                <w:sz w:val="24"/>
                                <w:szCs w:val="24"/>
                              </w:rPr>
                            </w:pPr>
                            <w:r w:rsidRPr="00495ED5">
                              <w:rPr>
                                <w:rFonts w:ascii="標楷體" w:eastAsia="標楷體" w:hAnsi="標楷體" w:hint="eastAsia"/>
                                <w:b/>
                                <w:bCs/>
                                <w:sz w:val="24"/>
                                <w:szCs w:val="24"/>
                              </w:rPr>
                              <w:t>表2</w:t>
                            </w:r>
                            <w:r w:rsidR="00495ED5">
                              <w:rPr>
                                <w:rFonts w:ascii="標楷體" w:eastAsia="標楷體" w:hAnsi="標楷體" w:hint="eastAsia"/>
                                <w:b/>
                                <w:bCs/>
                                <w:sz w:val="24"/>
                                <w:szCs w:val="24"/>
                              </w:rPr>
                              <w:t xml:space="preserve">　</w:t>
                            </w:r>
                            <w:r w:rsidR="00CF1B20">
                              <w:rPr>
                                <w:rFonts w:ascii="標楷體" w:eastAsia="標楷體" w:hAnsi="標楷體" w:hint="eastAsia"/>
                                <w:b/>
                                <w:bCs/>
                                <w:sz w:val="24"/>
                                <w:szCs w:val="24"/>
                              </w:rPr>
                              <w:t>臺北市</w:t>
                            </w:r>
                            <w:r w:rsidRPr="00495ED5">
                              <w:rPr>
                                <w:rFonts w:ascii="標楷體" w:eastAsia="標楷體" w:hAnsi="標楷體" w:hint="eastAsia"/>
                                <w:b/>
                                <w:bCs/>
                                <w:sz w:val="24"/>
                                <w:szCs w:val="24"/>
                              </w:rPr>
                              <w:t>醫療院所、醫師</w:t>
                            </w:r>
                            <w:proofErr w:type="gramStart"/>
                            <w:r w:rsidRPr="00495ED5">
                              <w:rPr>
                                <w:rFonts w:ascii="標楷體" w:eastAsia="標楷體" w:hAnsi="標楷體" w:hint="eastAsia"/>
                                <w:b/>
                                <w:bCs/>
                                <w:sz w:val="24"/>
                                <w:szCs w:val="24"/>
                              </w:rPr>
                              <w:t>參與幼專計畫</w:t>
                            </w:r>
                            <w:proofErr w:type="gramEnd"/>
                            <w:r w:rsidRPr="00495ED5">
                              <w:rPr>
                                <w:rFonts w:ascii="標楷體" w:eastAsia="標楷體" w:hAnsi="標楷體" w:hint="eastAsia"/>
                                <w:b/>
                                <w:bCs/>
                                <w:sz w:val="24"/>
                                <w:szCs w:val="24"/>
                              </w:rPr>
                              <w:t>情形</w:t>
                            </w:r>
                          </w:p>
                        </w:tc>
                      </w:tr>
                      <w:tr w:rsidR="00A85180" w14:paraId="081B8111" w14:textId="77777777">
                        <w:trPr>
                          <w:gridAfter w:val="1"/>
                          <w:wAfter w:w="100" w:type="dxa"/>
                          <w:trHeight w:val="275"/>
                          <w:jc w:val="center"/>
                        </w:trPr>
                        <w:tc>
                          <w:tcPr>
                            <w:tcW w:w="7230" w:type="dxa"/>
                            <w:gridSpan w:val="7"/>
                            <w:tcBorders>
                              <w:top w:val="nil"/>
                              <w:left w:val="nil"/>
                              <w:bottom w:val="single" w:sz="4" w:space="0" w:color="auto"/>
                              <w:right w:val="nil"/>
                            </w:tcBorders>
                            <w:hideMark/>
                          </w:tcPr>
                          <w:p w14:paraId="129C0FEC" w14:textId="77777777" w:rsidR="00A85180" w:rsidRDefault="00A85180">
                            <w:pPr>
                              <w:spacing w:line="240" w:lineRule="exact"/>
                              <w:ind w:rightChars="-29" w:right="-70"/>
                              <w:jc w:val="right"/>
                              <w:rPr>
                                <w:rFonts w:ascii="標楷體" w:eastAsia="標楷體" w:hAnsi="標楷體"/>
                                <w:spacing w:val="-12"/>
                              </w:rPr>
                            </w:pPr>
                            <w:r>
                              <w:rPr>
                                <w:rFonts w:ascii="標楷體" w:eastAsia="標楷體" w:hAnsi="標楷體" w:hint="eastAsia"/>
                                <w:spacing w:val="-12"/>
                              </w:rPr>
                              <w:t xml:space="preserve"> 單位：人、％</w:t>
                            </w:r>
                          </w:p>
                        </w:tc>
                      </w:tr>
                      <w:tr w:rsidR="00A85180" w14:paraId="6C59A349" w14:textId="77777777" w:rsidTr="0040355F">
                        <w:trPr>
                          <w:trHeight w:val="283"/>
                          <w:jc w:val="center"/>
                        </w:trPr>
                        <w:tc>
                          <w:tcPr>
                            <w:tcW w:w="979" w:type="dxa"/>
                            <w:vMerge w:val="restart"/>
                            <w:tcBorders>
                              <w:top w:val="single" w:sz="4" w:space="0" w:color="auto"/>
                              <w:left w:val="single" w:sz="4" w:space="0" w:color="auto"/>
                              <w:bottom w:val="single" w:sz="4" w:space="0" w:color="auto"/>
                              <w:right w:val="single" w:sz="4" w:space="0" w:color="auto"/>
                            </w:tcBorders>
                            <w:vAlign w:val="center"/>
                            <w:hideMark/>
                          </w:tcPr>
                          <w:p w14:paraId="223322B9" w14:textId="77777777" w:rsidR="00A85180" w:rsidRDefault="00A85180" w:rsidP="0040355F">
                            <w:pPr>
                              <w:spacing w:line="240" w:lineRule="exact"/>
                              <w:jc w:val="center"/>
                              <w:rPr>
                                <w:rFonts w:ascii="標楷體" w:eastAsia="標楷體" w:hAnsi="標楷體"/>
                              </w:rPr>
                            </w:pPr>
                            <w:r>
                              <w:rPr>
                                <w:rFonts w:ascii="標楷體" w:eastAsia="標楷體" w:hAnsi="標楷體" w:hint="eastAsia"/>
                              </w:rPr>
                              <w:t>行政區</w:t>
                            </w:r>
                          </w:p>
                        </w:tc>
                        <w:tc>
                          <w:tcPr>
                            <w:tcW w:w="3170" w:type="dxa"/>
                            <w:gridSpan w:val="3"/>
                            <w:tcBorders>
                              <w:top w:val="single" w:sz="4" w:space="0" w:color="auto"/>
                              <w:left w:val="single" w:sz="4" w:space="0" w:color="auto"/>
                              <w:bottom w:val="single" w:sz="4" w:space="0" w:color="auto"/>
                              <w:right w:val="single" w:sz="4" w:space="0" w:color="auto"/>
                            </w:tcBorders>
                            <w:vAlign w:val="center"/>
                            <w:hideMark/>
                          </w:tcPr>
                          <w:p w14:paraId="1EC7D9DE" w14:textId="77777777" w:rsidR="00A85180" w:rsidRDefault="00A85180">
                            <w:pPr>
                              <w:spacing w:line="240" w:lineRule="exact"/>
                              <w:jc w:val="center"/>
                              <w:rPr>
                                <w:rFonts w:ascii="標楷體" w:eastAsia="標楷體" w:hAnsi="標楷體"/>
                              </w:rPr>
                            </w:pPr>
                            <w:r>
                              <w:rPr>
                                <w:rFonts w:ascii="標楷體" w:eastAsia="標楷體" w:hAnsi="標楷體" w:hint="eastAsia"/>
                                <w:color w:val="000000" w:themeColor="text1"/>
                                <w:szCs w:val="24"/>
                              </w:rPr>
                              <w:t>醫療院所</w:t>
                            </w:r>
                          </w:p>
                        </w:tc>
                        <w:tc>
                          <w:tcPr>
                            <w:tcW w:w="3181" w:type="dxa"/>
                            <w:gridSpan w:val="4"/>
                            <w:tcBorders>
                              <w:top w:val="single" w:sz="4" w:space="0" w:color="auto"/>
                              <w:left w:val="single" w:sz="4" w:space="0" w:color="auto"/>
                              <w:bottom w:val="single" w:sz="4" w:space="0" w:color="auto"/>
                              <w:right w:val="single" w:sz="4" w:space="0" w:color="auto"/>
                            </w:tcBorders>
                            <w:vAlign w:val="center"/>
                            <w:hideMark/>
                          </w:tcPr>
                          <w:p w14:paraId="73FDD823" w14:textId="77777777" w:rsidR="00A85180" w:rsidRDefault="00A85180">
                            <w:pPr>
                              <w:spacing w:line="280" w:lineRule="exact"/>
                              <w:ind w:leftChars="-46" w:left="-110" w:rightChars="-24" w:right="-58"/>
                              <w:jc w:val="center"/>
                              <w:rPr>
                                <w:rFonts w:ascii="標楷體" w:eastAsia="標楷體" w:hAnsi="標楷體"/>
                                <w:color w:val="000000" w:themeColor="text1"/>
                                <w:szCs w:val="24"/>
                              </w:rPr>
                            </w:pPr>
                            <w:proofErr w:type="gramStart"/>
                            <w:r>
                              <w:rPr>
                                <w:rFonts w:ascii="標楷體" w:eastAsia="標楷體" w:hAnsi="標楷體" w:hint="eastAsia"/>
                                <w:color w:val="000000" w:themeColor="text1"/>
                                <w:szCs w:val="24"/>
                              </w:rPr>
                              <w:t>醫</w:t>
                            </w:r>
                            <w:proofErr w:type="gramEnd"/>
                            <w:r>
                              <w:rPr>
                                <w:rFonts w:ascii="標楷體" w:eastAsia="標楷體" w:hAnsi="標楷體" w:hint="eastAsia"/>
                                <w:color w:val="000000" w:themeColor="text1"/>
                                <w:szCs w:val="24"/>
                              </w:rPr>
                              <w:t xml:space="preserve"> 師</w:t>
                            </w:r>
                          </w:p>
                        </w:tc>
                      </w:tr>
                      <w:tr w:rsidR="00A85180" w14:paraId="58A0E57A" w14:textId="77777777">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DA0900" w14:textId="77777777" w:rsidR="00A85180" w:rsidRDefault="00A85180">
                            <w:pPr>
                              <w:rPr>
                                <w:rFonts w:ascii="標楷體" w:eastAsia="標楷體" w:hAnsi="標楷體"/>
                              </w:rPr>
                            </w:pPr>
                          </w:p>
                        </w:tc>
                        <w:tc>
                          <w:tcPr>
                            <w:tcW w:w="1032" w:type="dxa"/>
                            <w:tcBorders>
                              <w:top w:val="single" w:sz="4" w:space="0" w:color="auto"/>
                              <w:left w:val="single" w:sz="4" w:space="0" w:color="auto"/>
                              <w:bottom w:val="single" w:sz="4" w:space="0" w:color="auto"/>
                              <w:right w:val="single" w:sz="4" w:space="0" w:color="auto"/>
                            </w:tcBorders>
                            <w:hideMark/>
                          </w:tcPr>
                          <w:p w14:paraId="58982AFA" w14:textId="77777777" w:rsidR="00A85180" w:rsidRDefault="00A85180">
                            <w:pPr>
                              <w:spacing w:line="0" w:lineRule="atLeast"/>
                              <w:ind w:leftChars="-30" w:left="-72" w:rightChars="-20" w:right="-48"/>
                              <w:jc w:val="both"/>
                              <w:rPr>
                                <w:rFonts w:ascii="標楷體" w:eastAsia="標楷體" w:hAnsi="標楷體"/>
                                <w:color w:val="000000" w:themeColor="text1"/>
                                <w:spacing w:val="-20"/>
                                <w:szCs w:val="24"/>
                              </w:rPr>
                            </w:pPr>
                            <w:r>
                              <w:rPr>
                                <w:rFonts w:ascii="標楷體" w:eastAsia="標楷體" w:hAnsi="標楷體" w:hint="eastAsia"/>
                                <w:color w:val="000000" w:themeColor="text1"/>
                                <w:spacing w:val="-20"/>
                                <w:szCs w:val="24"/>
                              </w:rPr>
                              <w:t>可提供幼兒專責服務之醫療院所（A）</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0B59AD3" w14:textId="77777777" w:rsidR="00A85180" w:rsidRDefault="00A85180">
                            <w:pPr>
                              <w:spacing w:line="0" w:lineRule="atLeast"/>
                              <w:ind w:leftChars="-30" w:left="-72" w:rightChars="-20" w:right="-48"/>
                              <w:jc w:val="both"/>
                              <w:rPr>
                                <w:rFonts w:ascii="標楷體" w:eastAsia="標楷體" w:hAnsi="標楷體"/>
                                <w:color w:val="000000" w:themeColor="text1"/>
                                <w:spacing w:val="-12"/>
                                <w:szCs w:val="24"/>
                              </w:rPr>
                            </w:pPr>
                            <w:r>
                              <w:rPr>
                                <w:rFonts w:ascii="標楷體" w:eastAsia="標楷體" w:hAnsi="標楷體" w:hint="eastAsia"/>
                                <w:color w:val="000000" w:themeColor="text1"/>
                                <w:spacing w:val="-12"/>
                                <w:szCs w:val="24"/>
                              </w:rPr>
                              <w:t>實際參與計畫醫療院所(B)</w:t>
                            </w:r>
                          </w:p>
                        </w:tc>
                        <w:tc>
                          <w:tcPr>
                            <w:tcW w:w="1112" w:type="dxa"/>
                            <w:tcBorders>
                              <w:top w:val="single" w:sz="4" w:space="0" w:color="auto"/>
                              <w:left w:val="single" w:sz="4" w:space="0" w:color="auto"/>
                              <w:bottom w:val="single" w:sz="4" w:space="0" w:color="auto"/>
                              <w:right w:val="single" w:sz="4" w:space="0" w:color="auto"/>
                            </w:tcBorders>
                            <w:vAlign w:val="center"/>
                            <w:hideMark/>
                          </w:tcPr>
                          <w:p w14:paraId="320180F9" w14:textId="2374CB48" w:rsidR="00A85180" w:rsidRDefault="00A85180">
                            <w:pPr>
                              <w:spacing w:line="0" w:lineRule="atLeast"/>
                              <w:ind w:leftChars="-30" w:left="-72" w:rightChars="-20" w:right="-48"/>
                              <w:jc w:val="both"/>
                              <w:rPr>
                                <w:rFonts w:ascii="標楷體" w:eastAsia="標楷體" w:hAnsi="標楷體"/>
                                <w:color w:val="000000" w:themeColor="text1"/>
                                <w:spacing w:val="-12"/>
                                <w:szCs w:val="24"/>
                              </w:rPr>
                            </w:pPr>
                            <w:r>
                              <w:rPr>
                                <w:rFonts w:ascii="標楷體" w:eastAsia="標楷體" w:hAnsi="標楷體" w:hint="eastAsia"/>
                                <w:color w:val="000000" w:themeColor="text1"/>
                                <w:spacing w:val="-12"/>
                                <w:szCs w:val="24"/>
                              </w:rPr>
                              <w:t>醫療院所參與計畫比率(B/A×100</w:t>
                            </w:r>
                            <w:r w:rsidR="006E4897">
                              <w:rPr>
                                <w:rFonts w:ascii="標楷體" w:eastAsia="標楷體" w:hAnsi="標楷體" w:hint="eastAsia"/>
                                <w:color w:val="000000" w:themeColor="text1"/>
                                <w:spacing w:val="-12"/>
                                <w:szCs w:val="24"/>
                              </w:rPr>
                              <w:t>)</w:t>
                            </w:r>
                          </w:p>
                        </w:tc>
                        <w:tc>
                          <w:tcPr>
                            <w:tcW w:w="1039" w:type="dxa"/>
                            <w:tcBorders>
                              <w:top w:val="single" w:sz="4" w:space="0" w:color="auto"/>
                              <w:left w:val="single" w:sz="4" w:space="0" w:color="auto"/>
                              <w:bottom w:val="single" w:sz="4" w:space="0" w:color="auto"/>
                              <w:right w:val="single" w:sz="4" w:space="0" w:color="auto"/>
                            </w:tcBorders>
                            <w:hideMark/>
                          </w:tcPr>
                          <w:p w14:paraId="7EBD8EA5" w14:textId="77777777" w:rsidR="00A85180" w:rsidRDefault="00A85180">
                            <w:pPr>
                              <w:spacing w:line="0" w:lineRule="atLeast"/>
                              <w:ind w:leftChars="-30" w:left="-72" w:rightChars="-20" w:right="-48"/>
                              <w:jc w:val="both"/>
                              <w:rPr>
                                <w:rFonts w:ascii="標楷體" w:eastAsia="標楷體" w:hAnsi="標楷體"/>
                                <w:color w:val="000000" w:themeColor="text1"/>
                                <w:spacing w:val="-12"/>
                                <w:szCs w:val="24"/>
                              </w:rPr>
                            </w:pPr>
                            <w:r>
                              <w:rPr>
                                <w:rFonts w:ascii="標楷體" w:eastAsia="標楷體" w:hAnsi="標楷體" w:hint="eastAsia"/>
                                <w:color w:val="000000" w:themeColor="text1"/>
                                <w:spacing w:val="-12"/>
                                <w:szCs w:val="24"/>
                              </w:rPr>
                              <w:t>兒科、家庭醫學專科醫師（C）</w:t>
                            </w:r>
                          </w:p>
                        </w:tc>
                        <w:tc>
                          <w:tcPr>
                            <w:tcW w:w="1030" w:type="dxa"/>
                            <w:tcBorders>
                              <w:top w:val="single" w:sz="4" w:space="0" w:color="auto"/>
                              <w:left w:val="single" w:sz="4" w:space="0" w:color="auto"/>
                              <w:bottom w:val="single" w:sz="4" w:space="0" w:color="auto"/>
                              <w:right w:val="single" w:sz="4" w:space="0" w:color="auto"/>
                            </w:tcBorders>
                            <w:hideMark/>
                          </w:tcPr>
                          <w:p w14:paraId="49164701" w14:textId="77777777" w:rsidR="00A85180" w:rsidRPr="0040355F" w:rsidRDefault="00A85180">
                            <w:pPr>
                              <w:spacing w:line="0" w:lineRule="atLeast"/>
                              <w:ind w:leftChars="-30" w:left="-72" w:rightChars="-20" w:right="-48"/>
                              <w:jc w:val="both"/>
                              <w:rPr>
                                <w:rFonts w:ascii="標楷體" w:eastAsia="標楷體" w:hAnsi="標楷體"/>
                                <w:color w:val="000000" w:themeColor="text1"/>
                                <w:szCs w:val="24"/>
                              </w:rPr>
                            </w:pPr>
                            <w:r w:rsidRPr="0040355F">
                              <w:rPr>
                                <w:rFonts w:ascii="標楷體" w:eastAsia="標楷體" w:hAnsi="標楷體" w:hint="eastAsia"/>
                                <w:color w:val="000000" w:themeColor="text1"/>
                                <w:szCs w:val="24"/>
                              </w:rPr>
                              <w:t>實際參與計畫醫師(D)</w:t>
                            </w:r>
                          </w:p>
                        </w:tc>
                        <w:tc>
                          <w:tcPr>
                            <w:tcW w:w="1112" w:type="dxa"/>
                            <w:gridSpan w:val="2"/>
                            <w:tcBorders>
                              <w:top w:val="single" w:sz="4" w:space="0" w:color="auto"/>
                              <w:left w:val="single" w:sz="4" w:space="0" w:color="auto"/>
                              <w:bottom w:val="single" w:sz="4" w:space="0" w:color="auto"/>
                              <w:right w:val="single" w:sz="4" w:space="0" w:color="auto"/>
                            </w:tcBorders>
                            <w:hideMark/>
                          </w:tcPr>
                          <w:p w14:paraId="76AEBCF7" w14:textId="77777777" w:rsidR="00A85180" w:rsidRPr="0040355F" w:rsidRDefault="00A85180">
                            <w:pPr>
                              <w:spacing w:line="0" w:lineRule="atLeast"/>
                              <w:ind w:leftChars="-30" w:left="-72" w:rightChars="-20" w:right="-48"/>
                              <w:jc w:val="both"/>
                              <w:rPr>
                                <w:rFonts w:ascii="標楷體" w:eastAsia="標楷體" w:hAnsi="標楷體"/>
                                <w:color w:val="000000" w:themeColor="text1"/>
                                <w:szCs w:val="24"/>
                              </w:rPr>
                            </w:pPr>
                            <w:r w:rsidRPr="0040355F">
                              <w:rPr>
                                <w:rFonts w:ascii="標楷體" w:eastAsia="標楷體" w:hAnsi="標楷體" w:hint="eastAsia"/>
                                <w:color w:val="000000" w:themeColor="text1"/>
                                <w:szCs w:val="24"/>
                              </w:rPr>
                              <w:t>醫師參與計畫比率</w:t>
                            </w:r>
                          </w:p>
                          <w:p w14:paraId="28943423" w14:textId="72F54CCC" w:rsidR="00A85180" w:rsidRDefault="00A85180">
                            <w:pPr>
                              <w:spacing w:line="0" w:lineRule="atLeast"/>
                              <w:ind w:leftChars="-30" w:left="-72" w:rightChars="-20" w:right="-48"/>
                              <w:jc w:val="both"/>
                              <w:rPr>
                                <w:rFonts w:ascii="標楷體" w:eastAsia="標楷體" w:hAnsi="標楷體"/>
                                <w:color w:val="000000" w:themeColor="text1"/>
                                <w:spacing w:val="-12"/>
                                <w:szCs w:val="24"/>
                              </w:rPr>
                            </w:pPr>
                            <w:r>
                              <w:rPr>
                                <w:rFonts w:ascii="標楷體" w:eastAsia="標楷體" w:hAnsi="標楷體" w:hint="eastAsia"/>
                                <w:color w:val="000000" w:themeColor="text1"/>
                                <w:spacing w:val="-12"/>
                                <w:szCs w:val="24"/>
                              </w:rPr>
                              <w:t>(D/C×100</w:t>
                            </w:r>
                            <w:r w:rsidR="006E4897">
                              <w:rPr>
                                <w:rFonts w:ascii="標楷體" w:eastAsia="標楷體" w:hAnsi="標楷體" w:hint="eastAsia"/>
                                <w:color w:val="000000" w:themeColor="text1"/>
                                <w:spacing w:val="-12"/>
                                <w:szCs w:val="24"/>
                              </w:rPr>
                              <w:t>)</w:t>
                            </w:r>
                          </w:p>
                        </w:tc>
                      </w:tr>
                      <w:tr w:rsidR="00A85180" w14:paraId="0C87C3C8"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2F904D17" w14:textId="77777777" w:rsidR="00A85180" w:rsidRDefault="00A85180">
                            <w:pPr>
                              <w:spacing w:line="240" w:lineRule="exact"/>
                              <w:ind w:leftChars="-113" w:left="-271" w:rightChars="-117" w:right="-281"/>
                              <w:jc w:val="center"/>
                              <w:rPr>
                                <w:rFonts w:ascii="標楷體" w:eastAsia="標楷體" w:hAnsi="標楷體"/>
                                <w:b/>
                                <w:bCs/>
                                <w:spacing w:val="-12"/>
                              </w:rPr>
                            </w:pPr>
                            <w:r>
                              <w:rPr>
                                <w:rFonts w:ascii="標楷體" w:eastAsia="標楷體" w:hAnsi="標楷體" w:hint="eastAsia"/>
                                <w:b/>
                                <w:bCs/>
                              </w:rPr>
                              <w:t>合  計</w:t>
                            </w:r>
                          </w:p>
                        </w:tc>
                        <w:tc>
                          <w:tcPr>
                            <w:tcW w:w="1032" w:type="dxa"/>
                            <w:tcBorders>
                              <w:top w:val="single" w:sz="4" w:space="0" w:color="auto"/>
                              <w:left w:val="single" w:sz="4" w:space="0" w:color="auto"/>
                              <w:bottom w:val="single" w:sz="4" w:space="0" w:color="auto"/>
                              <w:right w:val="single" w:sz="4" w:space="0" w:color="auto"/>
                            </w:tcBorders>
                            <w:vAlign w:val="center"/>
                            <w:hideMark/>
                          </w:tcPr>
                          <w:p w14:paraId="4DEA480B" w14:textId="77777777" w:rsidR="00A85180" w:rsidRDefault="00A85180">
                            <w:pPr>
                              <w:spacing w:line="240" w:lineRule="exact"/>
                              <w:jc w:val="right"/>
                              <w:rPr>
                                <w:rFonts w:ascii="標楷體" w:eastAsia="標楷體" w:hAnsi="標楷體"/>
                                <w:b/>
                                <w:bCs/>
                              </w:rPr>
                            </w:pPr>
                            <w:r>
                              <w:rPr>
                                <w:rFonts w:ascii="標楷體" w:eastAsia="標楷體" w:hAnsi="標楷體" w:hint="eastAsia"/>
                                <w:b/>
                              </w:rPr>
                              <w:t>175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2FDA9BEC" w14:textId="77777777" w:rsidR="00A85180" w:rsidRDefault="00A85180">
                            <w:pPr>
                              <w:spacing w:line="240" w:lineRule="exact"/>
                              <w:jc w:val="right"/>
                              <w:rPr>
                                <w:rFonts w:ascii="標楷體" w:eastAsia="標楷體" w:hAnsi="標楷體"/>
                                <w:b/>
                                <w:bCs/>
                              </w:rPr>
                            </w:pPr>
                            <w:r>
                              <w:rPr>
                                <w:rFonts w:ascii="標楷體" w:eastAsia="標楷體" w:hAnsi="標楷體" w:hint="eastAsia"/>
                                <w:b/>
                              </w:rPr>
                              <w:t>75</w:t>
                            </w:r>
                          </w:p>
                        </w:tc>
                        <w:tc>
                          <w:tcPr>
                            <w:tcW w:w="1112" w:type="dxa"/>
                            <w:tcBorders>
                              <w:top w:val="single" w:sz="4" w:space="0" w:color="auto"/>
                              <w:left w:val="single" w:sz="4" w:space="0" w:color="auto"/>
                              <w:bottom w:val="single" w:sz="4" w:space="0" w:color="auto"/>
                              <w:right w:val="single" w:sz="4" w:space="0" w:color="auto"/>
                            </w:tcBorders>
                            <w:vAlign w:val="center"/>
                            <w:hideMark/>
                          </w:tcPr>
                          <w:p w14:paraId="709C82F9" w14:textId="77777777" w:rsidR="00A85180" w:rsidRDefault="00A85180">
                            <w:pPr>
                              <w:spacing w:line="240" w:lineRule="exact"/>
                              <w:jc w:val="right"/>
                              <w:rPr>
                                <w:rFonts w:ascii="標楷體" w:eastAsia="標楷體" w:hAnsi="標楷體"/>
                                <w:b/>
                                <w:bCs/>
                              </w:rPr>
                            </w:pPr>
                            <w:r>
                              <w:rPr>
                                <w:rFonts w:ascii="標楷體" w:eastAsia="標楷體" w:hAnsi="標楷體" w:hint="eastAsia"/>
                                <w:b/>
                              </w:rPr>
                              <w:t>42.86</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F598D48" w14:textId="77777777" w:rsidR="00A85180" w:rsidRDefault="00A85180">
                            <w:pPr>
                              <w:spacing w:line="240" w:lineRule="exact"/>
                              <w:jc w:val="right"/>
                              <w:rPr>
                                <w:rFonts w:ascii="標楷體" w:eastAsia="標楷體" w:hAnsi="標楷體"/>
                                <w:b/>
                                <w:bCs/>
                                <w:spacing w:val="-8"/>
                              </w:rPr>
                            </w:pPr>
                            <w:r>
                              <w:rPr>
                                <w:rFonts w:ascii="標楷體" w:eastAsia="標楷體" w:hAnsi="標楷體" w:hint="eastAsia"/>
                                <w:b/>
                              </w:rPr>
                              <w:t>1,272</w:t>
                            </w:r>
                          </w:p>
                        </w:tc>
                        <w:tc>
                          <w:tcPr>
                            <w:tcW w:w="1030" w:type="dxa"/>
                            <w:tcBorders>
                              <w:top w:val="single" w:sz="4" w:space="0" w:color="auto"/>
                              <w:left w:val="single" w:sz="4" w:space="0" w:color="auto"/>
                              <w:bottom w:val="single" w:sz="4" w:space="0" w:color="auto"/>
                              <w:right w:val="single" w:sz="4" w:space="0" w:color="auto"/>
                            </w:tcBorders>
                            <w:vAlign w:val="center"/>
                            <w:hideMark/>
                          </w:tcPr>
                          <w:p w14:paraId="698DE2B0" w14:textId="77777777" w:rsidR="00A85180" w:rsidRDefault="00A85180">
                            <w:pPr>
                              <w:spacing w:line="240" w:lineRule="exact"/>
                              <w:jc w:val="right"/>
                              <w:rPr>
                                <w:rFonts w:ascii="標楷體" w:eastAsia="標楷體" w:hAnsi="標楷體"/>
                                <w:b/>
                                <w:bCs/>
                                <w:spacing w:val="-8"/>
                              </w:rPr>
                            </w:pPr>
                            <w:r>
                              <w:rPr>
                                <w:rFonts w:ascii="標楷體" w:eastAsia="標楷體" w:hAnsi="標楷體" w:hint="eastAsia"/>
                                <w:b/>
                              </w:rPr>
                              <w:t>247</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033E6A7C" w14:textId="77777777" w:rsidR="00A85180" w:rsidRDefault="00A85180">
                            <w:pPr>
                              <w:spacing w:line="240" w:lineRule="exact"/>
                              <w:jc w:val="right"/>
                              <w:rPr>
                                <w:rFonts w:ascii="標楷體" w:eastAsia="標楷體" w:hAnsi="標楷體"/>
                                <w:b/>
                                <w:bCs/>
                                <w:spacing w:val="-8"/>
                              </w:rPr>
                            </w:pPr>
                            <w:r>
                              <w:rPr>
                                <w:rFonts w:ascii="標楷體" w:eastAsia="標楷體" w:hAnsi="標楷體" w:hint="eastAsia"/>
                                <w:b/>
                              </w:rPr>
                              <w:t>19.42</w:t>
                            </w:r>
                          </w:p>
                        </w:tc>
                      </w:tr>
                      <w:tr w:rsidR="00A85180" w14:paraId="31DF5118"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4F6E93FE"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北投區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60305AEB"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23</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A1CCA41"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9</w:t>
                            </w:r>
                          </w:p>
                        </w:tc>
                        <w:tc>
                          <w:tcPr>
                            <w:tcW w:w="1112" w:type="dxa"/>
                            <w:tcBorders>
                              <w:top w:val="single" w:sz="4" w:space="0" w:color="auto"/>
                              <w:left w:val="single" w:sz="4" w:space="0" w:color="auto"/>
                              <w:bottom w:val="single" w:sz="4" w:space="0" w:color="auto"/>
                              <w:right w:val="single" w:sz="4" w:space="0" w:color="auto"/>
                            </w:tcBorders>
                            <w:vAlign w:val="center"/>
                            <w:hideMark/>
                          </w:tcPr>
                          <w:p w14:paraId="7D87F421"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39.13</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3AD91FE"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161</w:t>
                            </w:r>
                          </w:p>
                        </w:tc>
                        <w:tc>
                          <w:tcPr>
                            <w:tcW w:w="1030" w:type="dxa"/>
                            <w:tcBorders>
                              <w:top w:val="single" w:sz="4" w:space="0" w:color="auto"/>
                              <w:left w:val="single" w:sz="4" w:space="0" w:color="auto"/>
                              <w:bottom w:val="single" w:sz="4" w:space="0" w:color="auto"/>
                              <w:right w:val="single" w:sz="4" w:space="0" w:color="auto"/>
                            </w:tcBorders>
                            <w:vAlign w:val="center"/>
                            <w:hideMark/>
                          </w:tcPr>
                          <w:p w14:paraId="14C6AECB"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26</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252C5C5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16.15</w:t>
                            </w:r>
                          </w:p>
                        </w:tc>
                      </w:tr>
                      <w:tr w:rsidR="00A85180" w14:paraId="3B21AAAC"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5F36D73D"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中山區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55EC30FA"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20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11FBD49"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11</w:t>
                            </w:r>
                          </w:p>
                        </w:tc>
                        <w:tc>
                          <w:tcPr>
                            <w:tcW w:w="1112" w:type="dxa"/>
                            <w:tcBorders>
                              <w:top w:val="single" w:sz="4" w:space="0" w:color="auto"/>
                              <w:left w:val="single" w:sz="4" w:space="0" w:color="auto"/>
                              <w:bottom w:val="single" w:sz="4" w:space="0" w:color="auto"/>
                              <w:right w:val="single" w:sz="4" w:space="0" w:color="auto"/>
                            </w:tcBorders>
                            <w:vAlign w:val="center"/>
                            <w:hideMark/>
                          </w:tcPr>
                          <w:p w14:paraId="19AD8AE4"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55.00</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1B5F97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161</w:t>
                            </w:r>
                          </w:p>
                        </w:tc>
                        <w:tc>
                          <w:tcPr>
                            <w:tcW w:w="1030" w:type="dxa"/>
                            <w:tcBorders>
                              <w:top w:val="single" w:sz="4" w:space="0" w:color="auto"/>
                              <w:left w:val="single" w:sz="4" w:space="0" w:color="auto"/>
                              <w:bottom w:val="single" w:sz="4" w:space="0" w:color="auto"/>
                              <w:right w:val="single" w:sz="4" w:space="0" w:color="auto"/>
                            </w:tcBorders>
                            <w:vAlign w:val="center"/>
                            <w:hideMark/>
                          </w:tcPr>
                          <w:p w14:paraId="2D30EDC7"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45</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491EBC11"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27.95</w:t>
                            </w:r>
                          </w:p>
                        </w:tc>
                      </w:tr>
                      <w:tr w:rsidR="00A85180" w14:paraId="1B8F70F5"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159D61CD"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大安區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51BDBCBB"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20</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6FE21CE"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3</w:t>
                            </w:r>
                          </w:p>
                        </w:tc>
                        <w:tc>
                          <w:tcPr>
                            <w:tcW w:w="1112" w:type="dxa"/>
                            <w:tcBorders>
                              <w:top w:val="single" w:sz="4" w:space="0" w:color="auto"/>
                              <w:left w:val="single" w:sz="4" w:space="0" w:color="auto"/>
                              <w:bottom w:val="single" w:sz="4" w:space="0" w:color="auto"/>
                              <w:right w:val="single" w:sz="4" w:space="0" w:color="auto"/>
                            </w:tcBorders>
                            <w:vAlign w:val="center"/>
                            <w:hideMark/>
                          </w:tcPr>
                          <w:p w14:paraId="0E63CDCE"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15.00</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5DB15F4"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135</w:t>
                            </w:r>
                          </w:p>
                        </w:tc>
                        <w:tc>
                          <w:tcPr>
                            <w:tcW w:w="1030" w:type="dxa"/>
                            <w:tcBorders>
                              <w:top w:val="single" w:sz="4" w:space="0" w:color="auto"/>
                              <w:left w:val="single" w:sz="4" w:space="0" w:color="auto"/>
                              <w:bottom w:val="single" w:sz="4" w:space="0" w:color="auto"/>
                              <w:right w:val="single" w:sz="4" w:space="0" w:color="auto"/>
                            </w:tcBorders>
                            <w:vAlign w:val="center"/>
                            <w:hideMark/>
                          </w:tcPr>
                          <w:p w14:paraId="60E5FB5E"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8</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71E93B2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5.93</w:t>
                            </w:r>
                          </w:p>
                        </w:tc>
                      </w:tr>
                      <w:tr w:rsidR="00A85180" w14:paraId="668C322E"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68ED318E"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士林區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6E930A85"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17</w:t>
                            </w:r>
                          </w:p>
                        </w:tc>
                        <w:tc>
                          <w:tcPr>
                            <w:tcW w:w="1026" w:type="dxa"/>
                            <w:tcBorders>
                              <w:top w:val="single" w:sz="4" w:space="0" w:color="auto"/>
                              <w:left w:val="single" w:sz="4" w:space="0" w:color="auto"/>
                              <w:bottom w:val="single" w:sz="4" w:space="0" w:color="auto"/>
                              <w:right w:val="single" w:sz="4" w:space="0" w:color="auto"/>
                            </w:tcBorders>
                            <w:vAlign w:val="center"/>
                            <w:hideMark/>
                          </w:tcPr>
                          <w:p w14:paraId="1A078CC6"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9</w:t>
                            </w:r>
                          </w:p>
                        </w:tc>
                        <w:tc>
                          <w:tcPr>
                            <w:tcW w:w="1112" w:type="dxa"/>
                            <w:tcBorders>
                              <w:top w:val="single" w:sz="4" w:space="0" w:color="auto"/>
                              <w:left w:val="single" w:sz="4" w:space="0" w:color="auto"/>
                              <w:bottom w:val="single" w:sz="4" w:space="0" w:color="auto"/>
                              <w:right w:val="single" w:sz="4" w:space="0" w:color="auto"/>
                            </w:tcBorders>
                            <w:vAlign w:val="center"/>
                            <w:hideMark/>
                          </w:tcPr>
                          <w:p w14:paraId="2EB05688"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52.94</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DF467A3"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80</w:t>
                            </w:r>
                          </w:p>
                        </w:tc>
                        <w:tc>
                          <w:tcPr>
                            <w:tcW w:w="1030" w:type="dxa"/>
                            <w:tcBorders>
                              <w:top w:val="single" w:sz="4" w:space="0" w:color="auto"/>
                              <w:left w:val="single" w:sz="4" w:space="0" w:color="auto"/>
                              <w:bottom w:val="single" w:sz="4" w:space="0" w:color="auto"/>
                              <w:right w:val="single" w:sz="4" w:space="0" w:color="auto"/>
                            </w:tcBorders>
                            <w:vAlign w:val="center"/>
                            <w:hideMark/>
                          </w:tcPr>
                          <w:p w14:paraId="6438B5F3"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29</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6EA90E0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36.25</w:t>
                            </w:r>
                          </w:p>
                        </w:tc>
                      </w:tr>
                      <w:tr w:rsidR="00A85180" w14:paraId="4B4DFE3A"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2B6DF07E"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文山區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33AFED30"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17</w:t>
                            </w:r>
                          </w:p>
                        </w:tc>
                        <w:tc>
                          <w:tcPr>
                            <w:tcW w:w="1026" w:type="dxa"/>
                            <w:tcBorders>
                              <w:top w:val="single" w:sz="4" w:space="0" w:color="auto"/>
                              <w:left w:val="single" w:sz="4" w:space="0" w:color="auto"/>
                              <w:bottom w:val="single" w:sz="4" w:space="0" w:color="auto"/>
                              <w:right w:val="single" w:sz="4" w:space="0" w:color="auto"/>
                            </w:tcBorders>
                            <w:vAlign w:val="center"/>
                            <w:hideMark/>
                          </w:tcPr>
                          <w:p w14:paraId="7F2B14FD"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6</w:t>
                            </w:r>
                          </w:p>
                        </w:tc>
                        <w:tc>
                          <w:tcPr>
                            <w:tcW w:w="1112" w:type="dxa"/>
                            <w:tcBorders>
                              <w:top w:val="single" w:sz="4" w:space="0" w:color="auto"/>
                              <w:left w:val="single" w:sz="4" w:space="0" w:color="auto"/>
                              <w:bottom w:val="single" w:sz="4" w:space="0" w:color="auto"/>
                              <w:right w:val="single" w:sz="4" w:space="0" w:color="auto"/>
                            </w:tcBorders>
                            <w:vAlign w:val="center"/>
                            <w:hideMark/>
                          </w:tcPr>
                          <w:p w14:paraId="32D123D9"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35.29</w:t>
                            </w:r>
                          </w:p>
                        </w:tc>
                        <w:tc>
                          <w:tcPr>
                            <w:tcW w:w="1039" w:type="dxa"/>
                            <w:tcBorders>
                              <w:top w:val="single" w:sz="4" w:space="0" w:color="auto"/>
                              <w:left w:val="single" w:sz="4" w:space="0" w:color="auto"/>
                              <w:bottom w:val="single" w:sz="4" w:space="0" w:color="auto"/>
                              <w:right w:val="single" w:sz="4" w:space="0" w:color="auto"/>
                            </w:tcBorders>
                            <w:vAlign w:val="center"/>
                            <w:hideMark/>
                          </w:tcPr>
                          <w:p w14:paraId="1C591214"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66</w:t>
                            </w:r>
                          </w:p>
                        </w:tc>
                        <w:tc>
                          <w:tcPr>
                            <w:tcW w:w="1030" w:type="dxa"/>
                            <w:tcBorders>
                              <w:top w:val="single" w:sz="4" w:space="0" w:color="auto"/>
                              <w:left w:val="single" w:sz="4" w:space="0" w:color="auto"/>
                              <w:bottom w:val="single" w:sz="4" w:space="0" w:color="auto"/>
                              <w:right w:val="single" w:sz="4" w:space="0" w:color="auto"/>
                            </w:tcBorders>
                            <w:vAlign w:val="center"/>
                            <w:hideMark/>
                          </w:tcPr>
                          <w:p w14:paraId="20173F5E"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18</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36E6B22B"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27.27</w:t>
                            </w:r>
                          </w:p>
                        </w:tc>
                      </w:tr>
                      <w:tr w:rsidR="00A85180" w14:paraId="41EF23DF"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0A1ED269"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松山區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5B7AC9BA"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16</w:t>
                            </w:r>
                          </w:p>
                        </w:tc>
                        <w:tc>
                          <w:tcPr>
                            <w:tcW w:w="1026" w:type="dxa"/>
                            <w:tcBorders>
                              <w:top w:val="single" w:sz="4" w:space="0" w:color="auto"/>
                              <w:left w:val="single" w:sz="4" w:space="0" w:color="auto"/>
                              <w:bottom w:val="single" w:sz="4" w:space="0" w:color="auto"/>
                              <w:right w:val="single" w:sz="4" w:space="0" w:color="auto"/>
                            </w:tcBorders>
                            <w:vAlign w:val="center"/>
                            <w:hideMark/>
                          </w:tcPr>
                          <w:p w14:paraId="1099DEA2"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8</w:t>
                            </w:r>
                          </w:p>
                        </w:tc>
                        <w:tc>
                          <w:tcPr>
                            <w:tcW w:w="1112" w:type="dxa"/>
                            <w:tcBorders>
                              <w:top w:val="single" w:sz="4" w:space="0" w:color="auto"/>
                              <w:left w:val="single" w:sz="4" w:space="0" w:color="auto"/>
                              <w:bottom w:val="single" w:sz="4" w:space="0" w:color="auto"/>
                              <w:right w:val="single" w:sz="4" w:space="0" w:color="auto"/>
                            </w:tcBorders>
                            <w:vAlign w:val="center"/>
                            <w:hideMark/>
                          </w:tcPr>
                          <w:p w14:paraId="79FE9C34"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50.00</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7BB6F4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81</w:t>
                            </w:r>
                          </w:p>
                        </w:tc>
                        <w:tc>
                          <w:tcPr>
                            <w:tcW w:w="1030" w:type="dxa"/>
                            <w:tcBorders>
                              <w:top w:val="single" w:sz="4" w:space="0" w:color="auto"/>
                              <w:left w:val="single" w:sz="4" w:space="0" w:color="auto"/>
                              <w:bottom w:val="single" w:sz="4" w:space="0" w:color="auto"/>
                              <w:right w:val="single" w:sz="4" w:space="0" w:color="auto"/>
                            </w:tcBorders>
                            <w:vAlign w:val="center"/>
                            <w:hideMark/>
                          </w:tcPr>
                          <w:p w14:paraId="2CA9B2EB"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16</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0541A1F7"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19.75</w:t>
                            </w:r>
                          </w:p>
                        </w:tc>
                      </w:tr>
                      <w:tr w:rsidR="00A85180" w14:paraId="0BD8A1D6"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0E40031F"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萬華區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48C47F53"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15</w:t>
                            </w:r>
                          </w:p>
                        </w:tc>
                        <w:tc>
                          <w:tcPr>
                            <w:tcW w:w="1026" w:type="dxa"/>
                            <w:tcBorders>
                              <w:top w:val="single" w:sz="4" w:space="0" w:color="auto"/>
                              <w:left w:val="single" w:sz="4" w:space="0" w:color="auto"/>
                              <w:bottom w:val="single" w:sz="4" w:space="0" w:color="auto"/>
                              <w:right w:val="single" w:sz="4" w:space="0" w:color="auto"/>
                            </w:tcBorders>
                            <w:vAlign w:val="center"/>
                            <w:hideMark/>
                          </w:tcPr>
                          <w:p w14:paraId="35555C6F"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4</w:t>
                            </w:r>
                          </w:p>
                        </w:tc>
                        <w:tc>
                          <w:tcPr>
                            <w:tcW w:w="1112" w:type="dxa"/>
                            <w:tcBorders>
                              <w:top w:val="single" w:sz="4" w:space="0" w:color="auto"/>
                              <w:left w:val="single" w:sz="4" w:space="0" w:color="auto"/>
                              <w:bottom w:val="single" w:sz="4" w:space="0" w:color="auto"/>
                              <w:right w:val="single" w:sz="4" w:space="0" w:color="auto"/>
                            </w:tcBorders>
                            <w:vAlign w:val="center"/>
                            <w:hideMark/>
                          </w:tcPr>
                          <w:p w14:paraId="26C7DA87"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26.67</w:t>
                            </w:r>
                          </w:p>
                        </w:tc>
                        <w:tc>
                          <w:tcPr>
                            <w:tcW w:w="1039" w:type="dxa"/>
                            <w:tcBorders>
                              <w:top w:val="single" w:sz="4" w:space="0" w:color="auto"/>
                              <w:left w:val="single" w:sz="4" w:space="0" w:color="auto"/>
                              <w:bottom w:val="single" w:sz="4" w:space="0" w:color="auto"/>
                              <w:right w:val="single" w:sz="4" w:space="0" w:color="auto"/>
                            </w:tcBorders>
                            <w:vAlign w:val="center"/>
                            <w:hideMark/>
                          </w:tcPr>
                          <w:p w14:paraId="5C173C77"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52</w:t>
                            </w:r>
                          </w:p>
                        </w:tc>
                        <w:tc>
                          <w:tcPr>
                            <w:tcW w:w="1030" w:type="dxa"/>
                            <w:tcBorders>
                              <w:top w:val="single" w:sz="4" w:space="0" w:color="auto"/>
                              <w:left w:val="single" w:sz="4" w:space="0" w:color="auto"/>
                              <w:bottom w:val="single" w:sz="4" w:space="0" w:color="auto"/>
                              <w:right w:val="single" w:sz="4" w:space="0" w:color="auto"/>
                            </w:tcBorders>
                            <w:vAlign w:val="center"/>
                            <w:hideMark/>
                          </w:tcPr>
                          <w:p w14:paraId="02778FC1"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11</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3FD28F84"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21.15</w:t>
                            </w:r>
                          </w:p>
                        </w:tc>
                      </w:tr>
                      <w:tr w:rsidR="00A85180" w14:paraId="07F007AE"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10C541EC"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內湖區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7A7EB088"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13</w:t>
                            </w:r>
                          </w:p>
                        </w:tc>
                        <w:tc>
                          <w:tcPr>
                            <w:tcW w:w="1026" w:type="dxa"/>
                            <w:tcBorders>
                              <w:top w:val="single" w:sz="4" w:space="0" w:color="auto"/>
                              <w:left w:val="single" w:sz="4" w:space="0" w:color="auto"/>
                              <w:bottom w:val="single" w:sz="4" w:space="0" w:color="auto"/>
                              <w:right w:val="single" w:sz="4" w:space="0" w:color="auto"/>
                            </w:tcBorders>
                            <w:vAlign w:val="center"/>
                            <w:hideMark/>
                          </w:tcPr>
                          <w:p w14:paraId="69473B47"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7</w:t>
                            </w:r>
                          </w:p>
                        </w:tc>
                        <w:tc>
                          <w:tcPr>
                            <w:tcW w:w="1112" w:type="dxa"/>
                            <w:tcBorders>
                              <w:top w:val="single" w:sz="4" w:space="0" w:color="auto"/>
                              <w:left w:val="single" w:sz="4" w:space="0" w:color="auto"/>
                              <w:bottom w:val="single" w:sz="4" w:space="0" w:color="auto"/>
                              <w:right w:val="single" w:sz="4" w:space="0" w:color="auto"/>
                            </w:tcBorders>
                            <w:vAlign w:val="center"/>
                            <w:hideMark/>
                          </w:tcPr>
                          <w:p w14:paraId="6CBA05F5"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53.85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78368D0"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105</w:t>
                            </w:r>
                          </w:p>
                        </w:tc>
                        <w:tc>
                          <w:tcPr>
                            <w:tcW w:w="1030" w:type="dxa"/>
                            <w:tcBorders>
                              <w:top w:val="single" w:sz="4" w:space="0" w:color="auto"/>
                              <w:left w:val="single" w:sz="4" w:space="0" w:color="auto"/>
                              <w:bottom w:val="single" w:sz="4" w:space="0" w:color="auto"/>
                              <w:right w:val="single" w:sz="4" w:space="0" w:color="auto"/>
                            </w:tcBorders>
                            <w:vAlign w:val="center"/>
                            <w:hideMark/>
                          </w:tcPr>
                          <w:p w14:paraId="4758C11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16</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32F54F4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15.24</w:t>
                            </w:r>
                          </w:p>
                        </w:tc>
                      </w:tr>
                      <w:tr w:rsidR="00A85180" w14:paraId="22BC4683"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1E63555C"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中正區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63CE7845"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12</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2E8E4B5"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w:t>
                            </w:r>
                          </w:p>
                        </w:tc>
                        <w:tc>
                          <w:tcPr>
                            <w:tcW w:w="1112" w:type="dxa"/>
                            <w:tcBorders>
                              <w:top w:val="single" w:sz="4" w:space="0" w:color="auto"/>
                              <w:left w:val="single" w:sz="4" w:space="0" w:color="auto"/>
                              <w:bottom w:val="single" w:sz="4" w:space="0" w:color="auto"/>
                              <w:right w:val="single" w:sz="4" w:space="0" w:color="auto"/>
                            </w:tcBorders>
                            <w:vAlign w:val="center"/>
                            <w:hideMark/>
                          </w:tcPr>
                          <w:p w14:paraId="3B9AADF9"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8.33</w:t>
                            </w:r>
                          </w:p>
                        </w:tc>
                        <w:tc>
                          <w:tcPr>
                            <w:tcW w:w="1039" w:type="dxa"/>
                            <w:tcBorders>
                              <w:top w:val="single" w:sz="4" w:space="0" w:color="auto"/>
                              <w:left w:val="single" w:sz="4" w:space="0" w:color="auto"/>
                              <w:bottom w:val="single" w:sz="4" w:space="0" w:color="auto"/>
                              <w:right w:val="single" w:sz="4" w:space="0" w:color="auto"/>
                            </w:tcBorders>
                            <w:vAlign w:val="center"/>
                            <w:hideMark/>
                          </w:tcPr>
                          <w:p w14:paraId="3811087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215</w:t>
                            </w:r>
                          </w:p>
                        </w:tc>
                        <w:tc>
                          <w:tcPr>
                            <w:tcW w:w="1030" w:type="dxa"/>
                            <w:tcBorders>
                              <w:top w:val="single" w:sz="4" w:space="0" w:color="auto"/>
                              <w:left w:val="single" w:sz="4" w:space="0" w:color="auto"/>
                              <w:bottom w:val="single" w:sz="4" w:space="0" w:color="auto"/>
                              <w:right w:val="single" w:sz="4" w:space="0" w:color="auto"/>
                            </w:tcBorders>
                            <w:vAlign w:val="center"/>
                            <w:hideMark/>
                          </w:tcPr>
                          <w:p w14:paraId="007EBA5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18C0424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0.47</w:t>
                            </w:r>
                          </w:p>
                        </w:tc>
                      </w:tr>
                      <w:tr w:rsidR="00A85180" w14:paraId="2F5A743C"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2BE9D9F5"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南港區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455B5D57"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9</w:t>
                            </w:r>
                          </w:p>
                        </w:tc>
                        <w:tc>
                          <w:tcPr>
                            <w:tcW w:w="1026" w:type="dxa"/>
                            <w:tcBorders>
                              <w:top w:val="single" w:sz="4" w:space="0" w:color="auto"/>
                              <w:left w:val="single" w:sz="4" w:space="0" w:color="auto"/>
                              <w:bottom w:val="single" w:sz="4" w:space="0" w:color="auto"/>
                              <w:right w:val="single" w:sz="4" w:space="0" w:color="auto"/>
                            </w:tcBorders>
                            <w:vAlign w:val="center"/>
                            <w:hideMark/>
                          </w:tcPr>
                          <w:p w14:paraId="5D189FD1"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9</w:t>
                            </w:r>
                          </w:p>
                        </w:tc>
                        <w:tc>
                          <w:tcPr>
                            <w:tcW w:w="1112" w:type="dxa"/>
                            <w:tcBorders>
                              <w:top w:val="single" w:sz="4" w:space="0" w:color="auto"/>
                              <w:left w:val="single" w:sz="4" w:space="0" w:color="auto"/>
                              <w:bottom w:val="single" w:sz="4" w:space="0" w:color="auto"/>
                              <w:right w:val="single" w:sz="4" w:space="0" w:color="auto"/>
                            </w:tcBorders>
                            <w:vAlign w:val="center"/>
                            <w:hideMark/>
                          </w:tcPr>
                          <w:p w14:paraId="14B808EB"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100.00</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33AD9BD"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21</w:t>
                            </w:r>
                          </w:p>
                        </w:tc>
                        <w:tc>
                          <w:tcPr>
                            <w:tcW w:w="1030" w:type="dxa"/>
                            <w:tcBorders>
                              <w:top w:val="single" w:sz="4" w:space="0" w:color="auto"/>
                              <w:left w:val="single" w:sz="4" w:space="0" w:color="auto"/>
                              <w:bottom w:val="single" w:sz="4" w:space="0" w:color="auto"/>
                              <w:right w:val="single" w:sz="4" w:space="0" w:color="auto"/>
                            </w:tcBorders>
                            <w:vAlign w:val="center"/>
                            <w:hideMark/>
                          </w:tcPr>
                          <w:p w14:paraId="33C0149B"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15</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6AE35C57"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71.43</w:t>
                            </w:r>
                          </w:p>
                        </w:tc>
                      </w:tr>
                      <w:tr w:rsidR="00A85180" w14:paraId="25CD03C7"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3C29FABD"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大同區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3184EF71"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7</w:t>
                            </w:r>
                          </w:p>
                        </w:tc>
                        <w:tc>
                          <w:tcPr>
                            <w:tcW w:w="1026" w:type="dxa"/>
                            <w:tcBorders>
                              <w:top w:val="single" w:sz="4" w:space="0" w:color="auto"/>
                              <w:left w:val="single" w:sz="4" w:space="0" w:color="auto"/>
                              <w:bottom w:val="single" w:sz="4" w:space="0" w:color="auto"/>
                              <w:right w:val="single" w:sz="4" w:space="0" w:color="auto"/>
                            </w:tcBorders>
                            <w:vAlign w:val="center"/>
                            <w:hideMark/>
                          </w:tcPr>
                          <w:p w14:paraId="53E2802A"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3</w:t>
                            </w:r>
                          </w:p>
                        </w:tc>
                        <w:tc>
                          <w:tcPr>
                            <w:tcW w:w="1112" w:type="dxa"/>
                            <w:tcBorders>
                              <w:top w:val="single" w:sz="4" w:space="0" w:color="auto"/>
                              <w:left w:val="single" w:sz="4" w:space="0" w:color="auto"/>
                              <w:bottom w:val="single" w:sz="4" w:space="0" w:color="auto"/>
                              <w:right w:val="single" w:sz="4" w:space="0" w:color="auto"/>
                            </w:tcBorders>
                            <w:vAlign w:val="center"/>
                            <w:hideMark/>
                          </w:tcPr>
                          <w:p w14:paraId="335BBB5A"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42.86</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12F3B5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135</w:t>
                            </w:r>
                          </w:p>
                        </w:tc>
                        <w:tc>
                          <w:tcPr>
                            <w:tcW w:w="1030" w:type="dxa"/>
                            <w:tcBorders>
                              <w:top w:val="single" w:sz="4" w:space="0" w:color="auto"/>
                              <w:left w:val="single" w:sz="4" w:space="0" w:color="auto"/>
                              <w:bottom w:val="single" w:sz="4" w:space="0" w:color="auto"/>
                              <w:right w:val="single" w:sz="4" w:space="0" w:color="auto"/>
                            </w:tcBorders>
                            <w:vAlign w:val="center"/>
                            <w:hideMark/>
                          </w:tcPr>
                          <w:p w14:paraId="6C047C07"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42</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03170950"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31.11</w:t>
                            </w:r>
                          </w:p>
                        </w:tc>
                      </w:tr>
                      <w:tr w:rsidR="00A85180" w14:paraId="15969857" w14:textId="77777777">
                        <w:trPr>
                          <w:trHeight w:val="340"/>
                          <w:jc w:val="center"/>
                        </w:trPr>
                        <w:tc>
                          <w:tcPr>
                            <w:tcW w:w="979" w:type="dxa"/>
                            <w:tcBorders>
                              <w:top w:val="single" w:sz="4" w:space="0" w:color="auto"/>
                              <w:left w:val="single" w:sz="4" w:space="0" w:color="auto"/>
                              <w:bottom w:val="single" w:sz="4" w:space="0" w:color="auto"/>
                              <w:right w:val="single" w:sz="4" w:space="0" w:color="auto"/>
                            </w:tcBorders>
                            <w:vAlign w:val="center"/>
                            <w:hideMark/>
                          </w:tcPr>
                          <w:p w14:paraId="4516A83C" w14:textId="77777777" w:rsidR="00A85180" w:rsidRDefault="00A85180">
                            <w:pPr>
                              <w:spacing w:line="240" w:lineRule="exact"/>
                              <w:ind w:leftChars="-113" w:left="-271" w:rightChars="-117" w:right="-281"/>
                              <w:jc w:val="center"/>
                              <w:rPr>
                                <w:rFonts w:ascii="標楷體" w:eastAsia="標楷體" w:hAnsi="標楷體"/>
                                <w:highlight w:val="yellow"/>
                              </w:rPr>
                            </w:pPr>
                            <w:r>
                              <w:rPr>
                                <w:rFonts w:ascii="標楷體" w:eastAsia="標楷體" w:hAnsi="標楷體" w:hint="eastAsia"/>
                              </w:rPr>
                              <w:t>信義區</w:t>
                            </w:r>
                          </w:p>
                        </w:tc>
                        <w:tc>
                          <w:tcPr>
                            <w:tcW w:w="1032" w:type="dxa"/>
                            <w:tcBorders>
                              <w:top w:val="single" w:sz="4" w:space="0" w:color="auto"/>
                              <w:left w:val="single" w:sz="4" w:space="0" w:color="auto"/>
                              <w:bottom w:val="single" w:sz="4" w:space="0" w:color="auto"/>
                              <w:right w:val="single" w:sz="4" w:space="0" w:color="auto"/>
                            </w:tcBorders>
                            <w:vAlign w:val="center"/>
                            <w:hideMark/>
                          </w:tcPr>
                          <w:p w14:paraId="1140E675"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6</w:t>
                            </w:r>
                          </w:p>
                        </w:tc>
                        <w:tc>
                          <w:tcPr>
                            <w:tcW w:w="1026" w:type="dxa"/>
                            <w:tcBorders>
                              <w:top w:val="single" w:sz="4" w:space="0" w:color="auto"/>
                              <w:left w:val="single" w:sz="4" w:space="0" w:color="auto"/>
                              <w:bottom w:val="single" w:sz="4" w:space="0" w:color="auto"/>
                              <w:right w:val="single" w:sz="4" w:space="0" w:color="auto"/>
                            </w:tcBorders>
                            <w:vAlign w:val="center"/>
                            <w:hideMark/>
                          </w:tcPr>
                          <w:p w14:paraId="01D5D61F"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5</w:t>
                            </w:r>
                          </w:p>
                        </w:tc>
                        <w:tc>
                          <w:tcPr>
                            <w:tcW w:w="1112" w:type="dxa"/>
                            <w:tcBorders>
                              <w:top w:val="single" w:sz="4" w:space="0" w:color="auto"/>
                              <w:left w:val="single" w:sz="4" w:space="0" w:color="auto"/>
                              <w:bottom w:val="single" w:sz="4" w:space="0" w:color="auto"/>
                              <w:right w:val="single" w:sz="4" w:space="0" w:color="auto"/>
                            </w:tcBorders>
                            <w:vAlign w:val="center"/>
                            <w:hideMark/>
                          </w:tcPr>
                          <w:p w14:paraId="03841EE9" w14:textId="77777777" w:rsidR="00A85180" w:rsidRDefault="00A85180">
                            <w:pPr>
                              <w:spacing w:line="240" w:lineRule="exact"/>
                              <w:ind w:leftChars="-40" w:left="-96"/>
                              <w:jc w:val="right"/>
                              <w:rPr>
                                <w:rFonts w:ascii="標楷體" w:eastAsia="標楷體" w:hAnsi="標楷體"/>
                              </w:rPr>
                            </w:pPr>
                            <w:r>
                              <w:rPr>
                                <w:rFonts w:ascii="標楷體" w:eastAsia="標楷體" w:hAnsi="標楷體" w:hint="eastAsia"/>
                              </w:rPr>
                              <w:t>83.33</w:t>
                            </w:r>
                          </w:p>
                        </w:tc>
                        <w:tc>
                          <w:tcPr>
                            <w:tcW w:w="1039" w:type="dxa"/>
                            <w:tcBorders>
                              <w:top w:val="single" w:sz="4" w:space="0" w:color="auto"/>
                              <w:left w:val="single" w:sz="4" w:space="0" w:color="auto"/>
                              <w:bottom w:val="single" w:sz="4" w:space="0" w:color="auto"/>
                              <w:right w:val="single" w:sz="4" w:space="0" w:color="auto"/>
                            </w:tcBorders>
                            <w:vAlign w:val="center"/>
                            <w:hideMark/>
                          </w:tcPr>
                          <w:p w14:paraId="7EA2743C"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60</w:t>
                            </w:r>
                          </w:p>
                        </w:tc>
                        <w:tc>
                          <w:tcPr>
                            <w:tcW w:w="1030" w:type="dxa"/>
                            <w:tcBorders>
                              <w:top w:val="single" w:sz="4" w:space="0" w:color="auto"/>
                              <w:left w:val="single" w:sz="4" w:space="0" w:color="auto"/>
                              <w:bottom w:val="single" w:sz="4" w:space="0" w:color="auto"/>
                              <w:right w:val="single" w:sz="4" w:space="0" w:color="auto"/>
                            </w:tcBorders>
                            <w:vAlign w:val="center"/>
                            <w:hideMark/>
                          </w:tcPr>
                          <w:p w14:paraId="39521D58"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20</w:t>
                            </w:r>
                          </w:p>
                        </w:tc>
                        <w:tc>
                          <w:tcPr>
                            <w:tcW w:w="1112" w:type="dxa"/>
                            <w:gridSpan w:val="2"/>
                            <w:tcBorders>
                              <w:top w:val="single" w:sz="4" w:space="0" w:color="auto"/>
                              <w:left w:val="single" w:sz="4" w:space="0" w:color="auto"/>
                              <w:bottom w:val="single" w:sz="4" w:space="0" w:color="auto"/>
                              <w:right w:val="single" w:sz="4" w:space="0" w:color="auto"/>
                            </w:tcBorders>
                            <w:vAlign w:val="center"/>
                            <w:hideMark/>
                          </w:tcPr>
                          <w:p w14:paraId="1E3C97C1" w14:textId="77777777" w:rsidR="00A85180" w:rsidRDefault="00A85180">
                            <w:pPr>
                              <w:spacing w:line="240" w:lineRule="exact"/>
                              <w:ind w:leftChars="-40" w:left="-96"/>
                              <w:jc w:val="right"/>
                              <w:rPr>
                                <w:rFonts w:ascii="標楷體" w:eastAsia="標楷體" w:hAnsi="標楷體"/>
                                <w:spacing w:val="-8"/>
                              </w:rPr>
                            </w:pPr>
                            <w:r>
                              <w:rPr>
                                <w:rFonts w:ascii="標楷體" w:eastAsia="標楷體" w:hAnsi="標楷體" w:hint="eastAsia"/>
                              </w:rPr>
                              <w:t>33.33</w:t>
                            </w:r>
                          </w:p>
                        </w:tc>
                      </w:tr>
                      <w:tr w:rsidR="00A85180" w14:paraId="0DB0F90D" w14:textId="77777777">
                        <w:trPr>
                          <w:gridAfter w:val="1"/>
                          <w:wAfter w:w="100" w:type="dxa"/>
                          <w:trHeight w:val="1109"/>
                          <w:jc w:val="center"/>
                        </w:trPr>
                        <w:tc>
                          <w:tcPr>
                            <w:tcW w:w="7230" w:type="dxa"/>
                            <w:gridSpan w:val="7"/>
                            <w:tcBorders>
                              <w:top w:val="single" w:sz="4" w:space="0" w:color="auto"/>
                              <w:left w:val="nil"/>
                              <w:bottom w:val="nil"/>
                              <w:right w:val="nil"/>
                            </w:tcBorders>
                            <w:hideMark/>
                          </w:tcPr>
                          <w:p w14:paraId="4D5EF12F" w14:textId="77777777" w:rsidR="00A85180" w:rsidRDefault="00A85180">
                            <w:pPr>
                              <w:spacing w:line="0" w:lineRule="atLeast"/>
                              <w:ind w:leftChars="-50" w:left="402" w:hangingChars="290" w:hanging="522"/>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：1.資料統計截止日為114年3月3日。</w:t>
                            </w:r>
                          </w:p>
                          <w:p w14:paraId="4E577F06" w14:textId="77777777" w:rsidR="00A85180" w:rsidRDefault="00A85180">
                            <w:pPr>
                              <w:spacing w:line="0" w:lineRule="atLeast"/>
                              <w:ind w:leftChars="100" w:left="492" w:hangingChars="140" w:hanging="252"/>
                              <w:jc w:val="both"/>
                              <w:rPr>
                                <w:rFonts w:ascii="標楷體" w:eastAsia="標楷體" w:hAnsi="標楷體"/>
                                <w:spacing w:val="-8"/>
                              </w:rPr>
                            </w:pPr>
                            <w:r>
                              <w:rPr>
                                <w:rFonts w:ascii="標楷體" w:eastAsia="標楷體" w:hAnsi="標楷體" w:hint="eastAsia"/>
                                <w:sz w:val="18"/>
                                <w:szCs w:val="18"/>
                              </w:rPr>
                              <w:t>2.資料來源：整理自衛生局提供資料。</w:t>
                            </w:r>
                          </w:p>
                        </w:tc>
                      </w:tr>
                    </w:tbl>
                    <w:p w14:paraId="594F2277" w14:textId="77777777" w:rsidR="00A85180" w:rsidRDefault="00A85180" w:rsidP="00A85180">
                      <w:pPr>
                        <w:spacing w:line="40" w:lineRule="exact"/>
                        <w:ind w:rightChars="-40" w:right="-96"/>
                        <w:jc w:val="both"/>
                        <w:rPr>
                          <w:rFonts w:ascii="標楷體" w:eastAsia="標楷體" w:hAnsi="標楷體"/>
                          <w:sz w:val="18"/>
                          <w:szCs w:val="18"/>
                        </w:rPr>
                      </w:pPr>
                    </w:p>
                  </w:txbxContent>
                </v:textbox>
                <w10:wrap type="tight" anchorx="margin" anchory="page"/>
              </v:shape>
            </w:pict>
          </mc:Fallback>
        </mc:AlternateContent>
      </w:r>
      <w:r>
        <w:rPr>
          <w:rFonts w:ascii="標楷體" w:eastAsia="標楷體" w:hAnsi="標楷體" w:cs="Times New Roman" w:hint="eastAsia"/>
        </w:rPr>
        <w:t>畫醫師甚僅有8人、1人</w:t>
      </w:r>
      <w:r>
        <w:rPr>
          <w:rFonts w:ascii="標楷體" w:eastAsia="標楷體" w:hAnsi="標楷體" w:cs="Times New Roman" w:hint="eastAsia"/>
          <w:spacing w:val="-10"/>
        </w:rPr>
        <w:t>（表2）；另據衛生局針對</w:t>
      </w:r>
      <w:proofErr w:type="gramStart"/>
      <w:r>
        <w:rPr>
          <w:rFonts w:ascii="標楷體" w:eastAsia="標楷體" w:hAnsi="標楷體" w:cs="Times New Roman" w:hint="eastAsia"/>
          <w:spacing w:val="-10"/>
        </w:rPr>
        <w:t>參與幼專計畫</w:t>
      </w:r>
      <w:proofErr w:type="gramEnd"/>
      <w:r>
        <w:rPr>
          <w:rFonts w:ascii="標楷體" w:eastAsia="標楷體" w:hAnsi="標楷體" w:cs="Times New Roman" w:hint="eastAsia"/>
          <w:spacing w:val="-10"/>
        </w:rPr>
        <w:t>之醫師滿意度調查結果，受訪醫師雖多</w:t>
      </w:r>
      <w:proofErr w:type="gramStart"/>
      <w:r>
        <w:rPr>
          <w:rFonts w:ascii="標楷體" w:eastAsia="標楷體" w:hAnsi="標楷體" w:cs="Times New Roman" w:hint="eastAsia"/>
          <w:spacing w:val="-10"/>
        </w:rPr>
        <w:t>認同幼專計畫</w:t>
      </w:r>
      <w:proofErr w:type="gramEnd"/>
      <w:r>
        <w:rPr>
          <w:rFonts w:ascii="標楷體" w:eastAsia="標楷體" w:hAnsi="標楷體" w:cs="Times New Roman" w:hint="eastAsia"/>
          <w:spacing w:val="-10"/>
        </w:rPr>
        <w:t>可提升幼兒健康管理，然亦反映計畫之個案管理資訊系統存有操作不易、補助經費之</w:t>
      </w:r>
      <w:proofErr w:type="gramStart"/>
      <w:r>
        <w:rPr>
          <w:rFonts w:ascii="標楷體" w:eastAsia="標楷體" w:hAnsi="標楷體" w:cs="Times New Roman" w:hint="eastAsia"/>
          <w:spacing w:val="-10"/>
        </w:rPr>
        <w:t>核撥有延遲</w:t>
      </w:r>
      <w:proofErr w:type="gramEnd"/>
      <w:r>
        <w:rPr>
          <w:rFonts w:ascii="標楷體" w:eastAsia="標楷體" w:hAnsi="標楷體" w:cs="Times New Roman" w:hint="eastAsia"/>
          <w:spacing w:val="-10"/>
        </w:rPr>
        <w:t>，且整體滿意度僅46.20％等情，經函請檢討改善</w:t>
      </w:r>
      <w:r>
        <w:rPr>
          <w:rFonts w:ascii="標楷體" w:eastAsia="標楷體" w:hAnsi="標楷體" w:cs="Times New Roman" w:hint="eastAsia"/>
          <w:spacing w:val="-10"/>
          <w:kern w:val="0"/>
        </w:rPr>
        <w:t>。據復：將優先就參與計畫比率偏低之行政區醫療院所與醫師辦理實務教育訓練，及持續辦理公開說明會，增加計畫可見度與專業成就感；另就計畫整體滿意度偏低問題，建立定期回饋機制，逐項檢討醫師及院所提出問題，彙整回饋中央爭取改善及請其優化個案管理資訊系統操作介面、建立標準作業期程並公告經費進度等，增加院所信賴度。</w:t>
      </w:r>
    </w:p>
    <w:p w14:paraId="2EEAB33D" w14:textId="77777777" w:rsidR="00A85180" w:rsidRDefault="00A85180" w:rsidP="00A85180">
      <w:pPr>
        <w:overflowPunct w:val="0"/>
        <w:spacing w:line="500" w:lineRule="exact"/>
        <w:ind w:firstLineChars="200" w:firstLine="480"/>
        <w:jc w:val="both"/>
        <w:rPr>
          <w:rFonts w:ascii="標楷體" w:eastAsia="標楷體" w:hAnsi="標楷體" w:cs="Times New Roman"/>
          <w:kern w:val="0"/>
        </w:rPr>
      </w:pPr>
      <w:r>
        <w:rPr>
          <w:rFonts w:ascii="標楷體" w:eastAsia="標楷體" w:hAnsi="標楷體" w:cs="Times New Roman" w:hint="eastAsia"/>
          <w:b/>
          <w:bCs/>
        </w:rPr>
        <w:t>3.訂定合作醫療機構退場流程與醫師須完成指定教育訓練課程等目標值，惟達成情形未如預期：</w:t>
      </w:r>
      <w:r>
        <w:rPr>
          <w:rFonts w:ascii="標楷體" w:eastAsia="標楷體" w:hAnsi="標楷體" w:cs="Times New Roman" w:hint="eastAsia"/>
        </w:rPr>
        <w:t>衛生局受託推動</w:t>
      </w:r>
      <w:proofErr w:type="gramStart"/>
      <w:r>
        <w:rPr>
          <w:rFonts w:ascii="標楷體" w:eastAsia="標楷體" w:hAnsi="標楷體" w:cs="Times New Roman" w:hint="eastAsia"/>
        </w:rPr>
        <w:t>113</w:t>
      </w:r>
      <w:proofErr w:type="gramEnd"/>
      <w:r>
        <w:rPr>
          <w:rFonts w:ascii="標楷體" w:eastAsia="標楷體" w:hAnsi="標楷體" w:cs="Times New Roman" w:hint="eastAsia"/>
        </w:rPr>
        <w:t>年度</w:t>
      </w:r>
      <w:proofErr w:type="gramStart"/>
      <w:r>
        <w:rPr>
          <w:rFonts w:ascii="標楷體" w:eastAsia="標楷體" w:hAnsi="標楷體" w:cs="Times New Roman" w:hint="eastAsia"/>
        </w:rPr>
        <w:t>幼專計畫期間，</w:t>
      </w:r>
      <w:proofErr w:type="gramEnd"/>
      <w:r>
        <w:rPr>
          <w:rFonts w:ascii="標楷體" w:eastAsia="標楷體" w:hAnsi="標楷體" w:cs="Times New Roman" w:hint="eastAsia"/>
        </w:rPr>
        <w:t>承諾完成工作項目包含「規劃更換醫療機構、醫師/醫療機構退出計畫之流程」1式，及「幼兒專責醫師教育訓練學分完成率」達成80％等2項，執行結果，</w:t>
      </w:r>
      <w:r>
        <w:rPr>
          <w:rFonts w:ascii="標楷體" w:eastAsia="標楷體" w:hAnsi="標楷體" w:cs="Times New Roman" w:hint="eastAsia"/>
          <w:kern w:val="0"/>
        </w:rPr>
        <w:t>衛生局雖於114年3月訂定「醫師/醫療機構更換、退出計畫之流程」，惟有關醫師/醫療機構更換、退出計畫時，</w:t>
      </w:r>
      <w:proofErr w:type="gramStart"/>
      <w:r>
        <w:rPr>
          <w:rFonts w:ascii="標楷體" w:eastAsia="標楷體" w:hAnsi="標楷體" w:cs="Times New Roman" w:hint="eastAsia"/>
          <w:kern w:val="0"/>
        </w:rPr>
        <w:t>原受照護</w:t>
      </w:r>
      <w:proofErr w:type="gramEnd"/>
      <w:r>
        <w:rPr>
          <w:rFonts w:ascii="標楷體" w:eastAsia="標楷體" w:hAnsi="標楷體" w:cs="Times New Roman" w:hint="eastAsia"/>
          <w:kern w:val="0"/>
        </w:rPr>
        <w:t>幼兒延續收案或轉</w:t>
      </w:r>
      <w:proofErr w:type="gramStart"/>
      <w:r>
        <w:rPr>
          <w:rFonts w:ascii="標楷體" w:eastAsia="標楷體" w:hAnsi="標楷體" w:cs="Times New Roman" w:hint="eastAsia"/>
          <w:kern w:val="0"/>
        </w:rPr>
        <w:t>介</w:t>
      </w:r>
      <w:proofErr w:type="gramEnd"/>
      <w:r>
        <w:rPr>
          <w:rFonts w:ascii="標楷體" w:eastAsia="標楷體" w:hAnsi="標楷體" w:cs="Times New Roman" w:hint="eastAsia"/>
          <w:kern w:val="0"/>
        </w:rPr>
        <w:t>至其他合作醫療院</w:t>
      </w:r>
      <w:proofErr w:type="gramStart"/>
      <w:r>
        <w:rPr>
          <w:rFonts w:ascii="標楷體" w:eastAsia="標楷體" w:hAnsi="標楷體" w:cs="Times New Roman" w:hint="eastAsia"/>
          <w:kern w:val="0"/>
        </w:rPr>
        <w:t>所續予照</w:t>
      </w:r>
      <w:proofErr w:type="gramEnd"/>
      <w:r>
        <w:rPr>
          <w:rFonts w:ascii="標楷體" w:eastAsia="標楷體" w:hAnsi="標楷體" w:cs="Times New Roman" w:hint="eastAsia"/>
          <w:kern w:val="0"/>
        </w:rPr>
        <w:t>護等事宜，則未明訂作業說明及須配合流程；另</w:t>
      </w:r>
      <w:proofErr w:type="gramStart"/>
      <w:r>
        <w:rPr>
          <w:rFonts w:ascii="標楷體" w:eastAsia="標楷體" w:hAnsi="標楷體" w:cs="Times New Roman" w:hint="eastAsia"/>
          <w:kern w:val="0"/>
        </w:rPr>
        <w:t>113年度幼專計畫</w:t>
      </w:r>
      <w:proofErr w:type="gramEnd"/>
      <w:r>
        <w:rPr>
          <w:rFonts w:ascii="標楷體" w:eastAsia="標楷體" w:hAnsi="標楷體" w:cs="Times New Roman" w:hint="eastAsia"/>
          <w:kern w:val="0"/>
        </w:rPr>
        <w:t>執行</w:t>
      </w:r>
      <w:proofErr w:type="gramStart"/>
      <w:r>
        <w:rPr>
          <w:rFonts w:ascii="標楷體" w:eastAsia="標楷體" w:hAnsi="標楷體" w:cs="Times New Roman" w:hint="eastAsia"/>
          <w:kern w:val="0"/>
        </w:rPr>
        <w:t>期間，</w:t>
      </w:r>
      <w:proofErr w:type="gramEnd"/>
      <w:r>
        <w:rPr>
          <w:rFonts w:ascii="標楷體" w:eastAsia="標楷體" w:hAnsi="標楷體" w:cs="Times New Roman" w:hint="eastAsia"/>
          <w:kern w:val="0"/>
        </w:rPr>
        <w:t>臺北市計有247名醫師參與計畫，惟迄至計畫執行結束日（114年3月27日），完成教育訓練醫師僅173名，完成率70.04％（173/247），較目標值（80％）仍落後9.96百分點等情事，經函請檢討改善。據復：將於</w:t>
      </w:r>
      <w:proofErr w:type="gramStart"/>
      <w:r>
        <w:rPr>
          <w:rFonts w:ascii="標楷體" w:eastAsia="標楷體" w:hAnsi="標楷體" w:cs="Times New Roman" w:hint="eastAsia"/>
          <w:kern w:val="0"/>
        </w:rPr>
        <w:t>114</w:t>
      </w:r>
      <w:proofErr w:type="gramEnd"/>
      <w:r>
        <w:rPr>
          <w:rFonts w:ascii="標楷體" w:eastAsia="標楷體" w:hAnsi="標楷體" w:cs="Times New Roman" w:hint="eastAsia"/>
          <w:kern w:val="0"/>
        </w:rPr>
        <w:t>年度</w:t>
      </w:r>
      <w:proofErr w:type="gramStart"/>
      <w:r>
        <w:rPr>
          <w:rFonts w:ascii="標楷體" w:eastAsia="標楷體" w:hAnsi="標楷體" w:cs="Times New Roman" w:hint="eastAsia"/>
          <w:kern w:val="0"/>
        </w:rPr>
        <w:t>完善原受照</w:t>
      </w:r>
      <w:proofErr w:type="gramEnd"/>
      <w:r>
        <w:rPr>
          <w:rFonts w:ascii="標楷體" w:eastAsia="標楷體" w:hAnsi="標楷體" w:cs="Times New Roman" w:hint="eastAsia"/>
          <w:kern w:val="0"/>
        </w:rPr>
        <w:t>護幼兒如何被延續照護等流程並納入醫療院所意向書，請醫療院所配合辦理；另將持續透過通訊軟體、電話等加強與醫師聯繫，促請完成相關訓練課程。</w:t>
      </w:r>
    </w:p>
    <w:p w14:paraId="7CEB03DF" w14:textId="77777777" w:rsidR="00A85180" w:rsidRDefault="00A85180" w:rsidP="00A85180">
      <w:pPr>
        <w:overflowPunct w:val="0"/>
        <w:spacing w:line="495"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lastRenderedPageBreak/>
        <w:t>（二）</w:t>
      </w:r>
      <w:bookmarkStart w:id="75" w:name="_Hlk199938423"/>
      <w:r>
        <w:rPr>
          <w:rFonts w:ascii="標楷體" w:eastAsia="標楷體" w:hAnsi="標楷體" w:cs="Times New Roman" w:hint="eastAsia"/>
          <w:b/>
          <w:sz w:val="28"/>
          <w:szCs w:val="28"/>
        </w:rPr>
        <w:t>持續推動</w:t>
      </w:r>
      <w:proofErr w:type="gramStart"/>
      <w:r>
        <w:rPr>
          <w:rFonts w:ascii="標楷體" w:eastAsia="標楷體" w:hAnsi="標楷體" w:cs="Times New Roman" w:hint="eastAsia"/>
          <w:b/>
          <w:sz w:val="28"/>
          <w:szCs w:val="28"/>
        </w:rPr>
        <w:t>失智照護</w:t>
      </w:r>
      <w:proofErr w:type="gramEnd"/>
      <w:r>
        <w:rPr>
          <w:rFonts w:ascii="標楷體" w:eastAsia="標楷體" w:hAnsi="標楷體" w:cs="Times New Roman" w:hint="eastAsia"/>
          <w:b/>
          <w:sz w:val="28"/>
          <w:szCs w:val="28"/>
        </w:rPr>
        <w:t>服務計畫，並訂有評估服務據點照護服務績效指標，惟執行結果，</w:t>
      </w:r>
      <w:proofErr w:type="gramStart"/>
      <w:r>
        <w:rPr>
          <w:rFonts w:ascii="標楷體" w:eastAsia="標楷體" w:hAnsi="標楷體" w:cs="Times New Roman" w:hint="eastAsia"/>
          <w:b/>
          <w:sz w:val="28"/>
          <w:szCs w:val="28"/>
        </w:rPr>
        <w:t>間有失智共照</w:t>
      </w:r>
      <w:proofErr w:type="gramEnd"/>
      <w:r>
        <w:rPr>
          <w:rFonts w:ascii="標楷體" w:eastAsia="標楷體" w:hAnsi="標楷體" w:cs="Times New Roman" w:hint="eastAsia"/>
          <w:b/>
          <w:sz w:val="28"/>
          <w:szCs w:val="28"/>
        </w:rPr>
        <w:t>中心轉</w:t>
      </w:r>
      <w:proofErr w:type="gramStart"/>
      <w:r>
        <w:rPr>
          <w:rFonts w:ascii="標楷體" w:eastAsia="標楷體" w:hAnsi="標楷體" w:cs="Times New Roman" w:hint="eastAsia"/>
          <w:b/>
          <w:sz w:val="28"/>
          <w:szCs w:val="28"/>
        </w:rPr>
        <w:t>介</w:t>
      </w:r>
      <w:proofErr w:type="gramEnd"/>
      <w:r>
        <w:rPr>
          <w:rFonts w:ascii="標楷體" w:eastAsia="標楷體" w:hAnsi="標楷體" w:cs="Times New Roman" w:hint="eastAsia"/>
          <w:b/>
          <w:sz w:val="28"/>
          <w:szCs w:val="28"/>
        </w:rPr>
        <w:t>個案成功數未達目標值或轉</w:t>
      </w:r>
      <w:proofErr w:type="gramStart"/>
      <w:r>
        <w:rPr>
          <w:rFonts w:ascii="標楷體" w:eastAsia="標楷體" w:hAnsi="標楷體" w:cs="Times New Roman" w:hint="eastAsia"/>
          <w:b/>
          <w:sz w:val="28"/>
          <w:szCs w:val="28"/>
        </w:rPr>
        <w:t>介</w:t>
      </w:r>
      <w:proofErr w:type="gramEnd"/>
      <w:r>
        <w:rPr>
          <w:rFonts w:ascii="標楷體" w:eastAsia="標楷體" w:hAnsi="標楷體" w:cs="Times New Roman" w:hint="eastAsia"/>
          <w:b/>
          <w:sz w:val="28"/>
          <w:szCs w:val="28"/>
        </w:rPr>
        <w:t>平均成功率未及</w:t>
      </w:r>
      <w:proofErr w:type="gramStart"/>
      <w:r>
        <w:rPr>
          <w:rFonts w:ascii="標楷體" w:eastAsia="標楷體" w:hAnsi="標楷體" w:cs="Times New Roman" w:hint="eastAsia"/>
          <w:b/>
          <w:sz w:val="28"/>
          <w:szCs w:val="28"/>
        </w:rPr>
        <w:t>2成</w:t>
      </w:r>
      <w:proofErr w:type="gramEnd"/>
      <w:r>
        <w:rPr>
          <w:rFonts w:ascii="標楷體" w:eastAsia="標楷體" w:hAnsi="標楷體" w:cs="Times New Roman" w:hint="eastAsia"/>
          <w:b/>
          <w:sz w:val="28"/>
          <w:szCs w:val="28"/>
        </w:rPr>
        <w:t>；另部分失智服務據點考評成績欠佳或連年缺失事項雷同，有待檢討改善</w:t>
      </w:r>
      <w:bookmarkEnd w:id="75"/>
      <w:r>
        <w:rPr>
          <w:rFonts w:ascii="標楷體" w:eastAsia="標楷體" w:hAnsi="標楷體" w:cs="Times New Roman" w:hint="eastAsia"/>
          <w:b/>
          <w:sz w:val="28"/>
          <w:szCs w:val="28"/>
        </w:rPr>
        <w:t>。</w:t>
      </w:r>
    </w:p>
    <w:p w14:paraId="5F00849C" w14:textId="77777777" w:rsidR="00A85180" w:rsidRDefault="00A85180" w:rsidP="00A85180">
      <w:pPr>
        <w:overflowPunct w:val="0"/>
        <w:spacing w:line="500" w:lineRule="exact"/>
        <w:ind w:firstLineChars="200" w:firstLine="480"/>
        <w:jc w:val="both"/>
        <w:rPr>
          <w:rFonts w:ascii="標楷體" w:eastAsia="標楷體" w:hAnsi="標楷體" w:cs="Times New Roman"/>
          <w:b/>
          <w:sz w:val="28"/>
          <w:szCs w:val="28"/>
        </w:rPr>
      </w:pPr>
      <w:proofErr w:type="gramStart"/>
      <w:r>
        <w:rPr>
          <w:rFonts w:ascii="標楷體" w:eastAsia="標楷體" w:hAnsi="標楷體" w:cs="Times New Roman" w:hint="eastAsia"/>
        </w:rPr>
        <w:t>衛福部於106年起</w:t>
      </w:r>
      <w:proofErr w:type="gramEnd"/>
      <w:r>
        <w:rPr>
          <w:rFonts w:ascii="標楷體" w:eastAsia="標楷體" w:hAnsi="標楷體" w:cs="Times New Roman" w:hint="eastAsia"/>
        </w:rPr>
        <w:t>推出「</w:t>
      </w:r>
      <w:proofErr w:type="gramStart"/>
      <w:r>
        <w:rPr>
          <w:rFonts w:ascii="標楷體" w:eastAsia="標楷體" w:hAnsi="標楷體" w:cs="Times New Roman" w:hint="eastAsia"/>
        </w:rPr>
        <w:t>失智照護</w:t>
      </w:r>
      <w:proofErr w:type="gramEnd"/>
      <w:r>
        <w:rPr>
          <w:rFonts w:ascii="標楷體" w:eastAsia="標楷體" w:hAnsi="標楷體" w:cs="Times New Roman" w:hint="eastAsia"/>
        </w:rPr>
        <w:t>服務計畫」，透過補助市縣政府協助申請單位設置失智共同照護中心（下稱失智共照中心）及失智社區服務據點（下稱失智服務據點），與督考提供</w:t>
      </w:r>
      <w:proofErr w:type="gramStart"/>
      <w:r>
        <w:rPr>
          <w:rFonts w:ascii="標楷體" w:eastAsia="標楷體" w:hAnsi="標楷體" w:cs="Times New Roman" w:hint="eastAsia"/>
        </w:rPr>
        <w:t>失智未失</w:t>
      </w:r>
      <w:proofErr w:type="gramEnd"/>
      <w:r>
        <w:rPr>
          <w:rFonts w:ascii="標楷體" w:eastAsia="標楷體" w:hAnsi="標楷體" w:cs="Times New Roman" w:hint="eastAsia"/>
        </w:rPr>
        <w:t>能個案照護服務執行情形，復因考量失智者時</w:t>
      </w:r>
      <w:proofErr w:type="gramStart"/>
      <w:r>
        <w:rPr>
          <w:rFonts w:ascii="標楷體" w:eastAsia="標楷體" w:hAnsi="標楷體" w:cs="Times New Roman" w:hint="eastAsia"/>
        </w:rPr>
        <w:t>併</w:t>
      </w:r>
      <w:proofErr w:type="gramEnd"/>
      <w:r>
        <w:rPr>
          <w:rFonts w:ascii="標楷體" w:eastAsia="標楷體" w:hAnsi="標楷體" w:cs="Times New Roman" w:hint="eastAsia"/>
        </w:rPr>
        <w:t>有情緒及行為症狀（Behavioral and psychological symptoms of dementia，簡稱BPSD），個案照顧需高度醫療專業性，續於113年5月推動由地區醫院辦理「</w:t>
      </w:r>
      <w:proofErr w:type="gramStart"/>
      <w:r>
        <w:rPr>
          <w:rFonts w:ascii="標楷體" w:eastAsia="標楷體" w:hAnsi="標楷體" w:cs="Times New Roman" w:hint="eastAsia"/>
        </w:rPr>
        <w:t>權責型失智</w:t>
      </w:r>
      <w:proofErr w:type="gramEnd"/>
      <w:r>
        <w:rPr>
          <w:rFonts w:ascii="標楷體" w:eastAsia="標楷體" w:hAnsi="標楷體" w:cs="Times New Roman" w:hint="eastAsia"/>
        </w:rPr>
        <w:t>社區服務據點試辦計畫」。又衛生局按年向衛福部申請補助經費並執行計畫督考作業，</w:t>
      </w:r>
      <w:proofErr w:type="gramStart"/>
      <w:r>
        <w:rPr>
          <w:rFonts w:ascii="標楷體" w:eastAsia="標楷體" w:hAnsi="標楷體" w:cs="Times New Roman" w:hint="eastAsia"/>
        </w:rPr>
        <w:t>113</w:t>
      </w:r>
      <w:proofErr w:type="gramEnd"/>
      <w:r>
        <w:rPr>
          <w:rFonts w:ascii="標楷體" w:eastAsia="標楷體" w:hAnsi="標楷體" w:cs="Times New Roman" w:hint="eastAsia"/>
        </w:rPr>
        <w:t>年度獲衛福部核定計畫總經費9,808萬餘元（衛福部補助8,846萬元、自籌經費962萬餘元）。經查其執行情形，核有下列事項：</w:t>
      </w:r>
    </w:p>
    <w:p w14:paraId="31EC4597" w14:textId="77777777" w:rsidR="00A85180" w:rsidRDefault="00A85180" w:rsidP="00A85180">
      <w:pPr>
        <w:overflowPunct w:val="0"/>
        <w:spacing w:beforeLines="10" w:before="36" w:line="498" w:lineRule="exact"/>
        <w:ind w:firstLineChars="200" w:firstLine="480"/>
        <w:jc w:val="both"/>
        <w:rPr>
          <w:rFonts w:ascii="標楷體" w:eastAsia="標楷體" w:hAnsi="標楷體" w:cs="Times New Roman"/>
          <w:kern w:val="0"/>
        </w:rPr>
      </w:pPr>
      <w:r>
        <w:rPr>
          <w:rFonts w:ascii="標楷體" w:eastAsia="標楷體" w:hAnsi="標楷體" w:cs="Times New Roman" w:hint="eastAsia"/>
          <w:b/>
        </w:rPr>
        <w:t>1.</w:t>
      </w:r>
      <w:bookmarkStart w:id="76" w:name="_Hlk200010903"/>
      <w:r>
        <w:rPr>
          <w:rFonts w:ascii="標楷體" w:eastAsia="標楷體" w:hAnsi="標楷體" w:cs="Times New Roman" w:hint="eastAsia"/>
          <w:b/>
        </w:rPr>
        <w:t>失智共照中心轉介個案成功數未達目標值及轉介平均成功率未及2成</w:t>
      </w:r>
      <w:bookmarkEnd w:id="76"/>
      <w:r>
        <w:rPr>
          <w:rFonts w:ascii="標楷體" w:eastAsia="標楷體" w:hAnsi="標楷體" w:cs="Times New Roman" w:hint="eastAsia"/>
          <w:b/>
        </w:rPr>
        <w:t>：</w:t>
      </w:r>
      <w:r>
        <w:rPr>
          <w:rFonts w:ascii="標楷體" w:eastAsia="標楷體" w:hAnsi="標楷體" w:cs="Times New Roman" w:hint="eastAsia"/>
          <w:bCs/>
        </w:rPr>
        <w:t>衛生局所提出臺北市</w:t>
      </w:r>
      <w:proofErr w:type="gramStart"/>
      <w:r>
        <w:rPr>
          <w:rFonts w:ascii="標楷體" w:eastAsia="標楷體" w:hAnsi="標楷體" w:cs="Times New Roman" w:hint="eastAsia"/>
          <w:bCs/>
        </w:rPr>
        <w:t>113</w:t>
      </w:r>
      <w:proofErr w:type="gramEnd"/>
      <w:r>
        <w:rPr>
          <w:rFonts w:ascii="標楷體" w:eastAsia="標楷體" w:hAnsi="標楷體" w:cs="Times New Roman" w:hint="eastAsia"/>
          <w:bCs/>
        </w:rPr>
        <w:t>年度「</w:t>
      </w:r>
      <w:proofErr w:type="gramStart"/>
      <w:r>
        <w:rPr>
          <w:rFonts w:ascii="標楷體" w:eastAsia="標楷體" w:hAnsi="標楷體" w:cs="Times New Roman" w:hint="eastAsia"/>
          <w:bCs/>
        </w:rPr>
        <w:t>失智照護</w:t>
      </w:r>
      <w:proofErr w:type="gramEnd"/>
      <w:r>
        <w:rPr>
          <w:rFonts w:ascii="標楷體" w:eastAsia="標楷體" w:hAnsi="標楷體" w:cs="Times New Roman" w:hint="eastAsia"/>
          <w:bCs/>
        </w:rPr>
        <w:t>服務計畫」執行規劃書略</w:t>
      </w:r>
      <w:proofErr w:type="gramStart"/>
      <w:r>
        <w:rPr>
          <w:rFonts w:ascii="標楷體" w:eastAsia="標楷體" w:hAnsi="標楷體" w:cs="Times New Roman" w:hint="eastAsia"/>
          <w:bCs/>
        </w:rPr>
        <w:t>以</w:t>
      </w:r>
      <w:proofErr w:type="gramEnd"/>
      <w:r>
        <w:rPr>
          <w:rFonts w:ascii="標楷體" w:eastAsia="標楷體" w:hAnsi="標楷體" w:cs="Times New Roman" w:hint="eastAsia"/>
          <w:bCs/>
        </w:rPr>
        <w:t>，市府規劃於</w:t>
      </w:r>
      <w:proofErr w:type="gramStart"/>
      <w:r>
        <w:rPr>
          <w:rFonts w:ascii="標楷體" w:eastAsia="標楷體" w:hAnsi="標楷體" w:cs="Times New Roman" w:hint="eastAsia"/>
          <w:bCs/>
        </w:rPr>
        <w:t>113</w:t>
      </w:r>
      <w:proofErr w:type="gramEnd"/>
      <w:r>
        <w:rPr>
          <w:rFonts w:ascii="標楷體" w:eastAsia="標楷體" w:hAnsi="標楷體" w:cs="Times New Roman" w:hint="eastAsia"/>
          <w:bCs/>
        </w:rPr>
        <w:t>年度維持11家失</w:t>
      </w:r>
      <w:proofErr w:type="gramStart"/>
      <w:r>
        <w:rPr>
          <w:rFonts w:ascii="標楷體" w:eastAsia="標楷體" w:hAnsi="標楷體" w:cs="Times New Roman" w:hint="eastAsia"/>
          <w:bCs/>
        </w:rPr>
        <w:t>智共照</w:t>
      </w:r>
      <w:proofErr w:type="gramEnd"/>
      <w:r>
        <w:rPr>
          <w:rFonts w:ascii="標楷體" w:eastAsia="標楷體" w:hAnsi="標楷體" w:cs="Times New Roman" w:hint="eastAsia"/>
          <w:bCs/>
        </w:rPr>
        <w:t>中心暨48處失智服務據點，提供照護服務；計畫預期績效指標，包含失</w:t>
      </w:r>
      <w:proofErr w:type="gramStart"/>
      <w:r>
        <w:rPr>
          <w:rFonts w:ascii="標楷體" w:eastAsia="標楷體" w:hAnsi="標楷體" w:cs="Times New Roman" w:hint="eastAsia"/>
          <w:bCs/>
        </w:rPr>
        <w:t>智共照</w:t>
      </w:r>
      <w:proofErr w:type="gramEnd"/>
      <w:r>
        <w:rPr>
          <w:rFonts w:ascii="標楷體" w:eastAsia="標楷體" w:hAnsi="標楷體" w:cs="Times New Roman" w:hint="eastAsia"/>
          <w:bCs/>
        </w:rPr>
        <w:t>中心轉</w:t>
      </w:r>
      <w:proofErr w:type="gramStart"/>
      <w:r>
        <w:rPr>
          <w:rFonts w:ascii="標楷體" w:eastAsia="標楷體" w:hAnsi="標楷體" w:cs="Times New Roman" w:hint="eastAsia"/>
          <w:bCs/>
        </w:rPr>
        <w:t>介</w:t>
      </w:r>
      <w:proofErr w:type="gramEnd"/>
      <w:r>
        <w:rPr>
          <w:rFonts w:ascii="標楷體" w:eastAsia="標楷體" w:hAnsi="標楷體" w:cs="Times New Roman" w:hint="eastAsia"/>
          <w:bCs/>
        </w:rPr>
        <w:t>個案至失智服務據點或巷</w:t>
      </w:r>
      <w:proofErr w:type="gramStart"/>
      <w:r>
        <w:rPr>
          <w:rFonts w:ascii="標楷體" w:eastAsia="標楷體" w:hAnsi="標楷體" w:cs="Times New Roman" w:hint="eastAsia"/>
          <w:bCs/>
        </w:rPr>
        <w:t>弄長照站</w:t>
      </w:r>
      <w:proofErr w:type="gramEnd"/>
      <w:r>
        <w:rPr>
          <w:rFonts w:ascii="標楷體" w:eastAsia="標楷體" w:hAnsi="標楷體" w:cs="Times New Roman" w:hint="eastAsia"/>
          <w:bCs/>
        </w:rPr>
        <w:t>之個案數目標值為1,690人、失智服務據點服務個案及照顧者目標數各為1,392人與672人。另臺北市</w:t>
      </w:r>
      <w:proofErr w:type="gramStart"/>
      <w:r>
        <w:rPr>
          <w:rFonts w:ascii="標楷體" w:eastAsia="標楷體" w:hAnsi="標楷體" w:cs="Times New Roman" w:hint="eastAsia"/>
          <w:bCs/>
        </w:rPr>
        <w:t>113</w:t>
      </w:r>
      <w:proofErr w:type="gramEnd"/>
      <w:r>
        <w:rPr>
          <w:rFonts w:ascii="標楷體" w:eastAsia="標楷體" w:hAnsi="標楷體" w:cs="Times New Roman" w:hint="eastAsia"/>
          <w:bCs/>
        </w:rPr>
        <w:t>年度「</w:t>
      </w:r>
      <w:proofErr w:type="gramStart"/>
      <w:r>
        <w:rPr>
          <w:rFonts w:ascii="標楷體" w:eastAsia="標楷體" w:hAnsi="標楷體" w:cs="Times New Roman" w:hint="eastAsia"/>
          <w:bCs/>
        </w:rPr>
        <w:t>權責型失智</w:t>
      </w:r>
      <w:proofErr w:type="gramEnd"/>
      <w:r>
        <w:rPr>
          <w:rFonts w:ascii="標楷體" w:eastAsia="標楷體" w:hAnsi="標楷體" w:cs="Times New Roman" w:hint="eastAsia"/>
          <w:bCs/>
        </w:rPr>
        <w:t>社區服務據點試辦計畫」執行規劃書略</w:t>
      </w:r>
      <w:proofErr w:type="gramStart"/>
      <w:r>
        <w:rPr>
          <w:rFonts w:ascii="標楷體" w:eastAsia="標楷體" w:hAnsi="標楷體" w:cs="Times New Roman" w:hint="eastAsia"/>
          <w:bCs/>
        </w:rPr>
        <w:t>以</w:t>
      </w:r>
      <w:proofErr w:type="gramEnd"/>
      <w:r>
        <w:rPr>
          <w:rFonts w:ascii="標楷體" w:eastAsia="標楷體" w:hAnsi="標楷體" w:cs="Times New Roman" w:hint="eastAsia"/>
          <w:bCs/>
        </w:rPr>
        <w:t>，規劃</w:t>
      </w:r>
      <w:proofErr w:type="gramStart"/>
      <w:r>
        <w:rPr>
          <w:rFonts w:ascii="標楷體" w:eastAsia="標楷體" w:hAnsi="標楷體" w:cs="Times New Roman" w:hint="eastAsia"/>
          <w:bCs/>
        </w:rPr>
        <w:t>113</w:t>
      </w:r>
      <w:proofErr w:type="gramEnd"/>
      <w:r>
        <w:rPr>
          <w:rFonts w:ascii="標楷體" w:eastAsia="標楷體" w:hAnsi="標楷體" w:cs="Times New Roman" w:hint="eastAsia"/>
          <w:bCs/>
        </w:rPr>
        <w:t>年度於文山區布建1處</w:t>
      </w:r>
      <w:proofErr w:type="gramStart"/>
      <w:r>
        <w:rPr>
          <w:rFonts w:ascii="標楷體" w:eastAsia="標楷體" w:hAnsi="標楷體" w:cs="Times New Roman" w:hint="eastAsia"/>
          <w:bCs/>
        </w:rPr>
        <w:t>權責型失智</w:t>
      </w:r>
      <w:proofErr w:type="gramEnd"/>
      <w:r>
        <w:rPr>
          <w:rFonts w:ascii="標楷體" w:eastAsia="標楷體" w:hAnsi="標楷體" w:cs="Times New Roman" w:hint="eastAsia"/>
          <w:bCs/>
        </w:rPr>
        <w:t>服務據點，其預期績效指標目標值為服務</w:t>
      </w:r>
      <w:proofErr w:type="gramStart"/>
      <w:r>
        <w:rPr>
          <w:rFonts w:ascii="標楷體" w:eastAsia="標楷體" w:hAnsi="標楷體" w:cs="Times New Roman" w:hint="eastAsia"/>
          <w:bCs/>
        </w:rPr>
        <w:t>併</w:t>
      </w:r>
      <w:proofErr w:type="gramEnd"/>
      <w:r>
        <w:rPr>
          <w:rFonts w:ascii="標楷體" w:eastAsia="標楷體" w:hAnsi="標楷體" w:cs="Times New Roman" w:hint="eastAsia"/>
          <w:bCs/>
        </w:rPr>
        <w:t>有BPSD失智個案數及照顧者人數各12人。查</w:t>
      </w:r>
      <w:r>
        <w:rPr>
          <w:rFonts w:ascii="標楷體" w:eastAsia="標楷體" w:hAnsi="標楷體" w:cs="Times New Roman" w:hint="eastAsia"/>
        </w:rPr>
        <w:t>臺北市</w:t>
      </w:r>
      <w:proofErr w:type="gramStart"/>
      <w:r>
        <w:rPr>
          <w:rFonts w:ascii="標楷體" w:eastAsia="標楷體" w:hAnsi="標楷體" w:cs="Times New Roman" w:hint="eastAsia"/>
        </w:rPr>
        <w:t>轄</w:t>
      </w:r>
      <w:proofErr w:type="gramEnd"/>
      <w:r>
        <w:rPr>
          <w:rFonts w:ascii="標楷體" w:eastAsia="標楷體" w:hAnsi="標楷體" w:cs="Times New Roman" w:hint="eastAsia"/>
        </w:rPr>
        <w:t>內參與「</w:t>
      </w:r>
      <w:proofErr w:type="gramStart"/>
      <w:r>
        <w:rPr>
          <w:rFonts w:ascii="標楷體" w:eastAsia="標楷體" w:hAnsi="標楷體" w:cs="Times New Roman" w:hint="eastAsia"/>
        </w:rPr>
        <w:t>失智照護</w:t>
      </w:r>
      <w:proofErr w:type="gramEnd"/>
      <w:r>
        <w:rPr>
          <w:rFonts w:ascii="標楷體" w:eastAsia="標楷體" w:hAnsi="標楷體" w:cs="Times New Roman" w:hint="eastAsia"/>
        </w:rPr>
        <w:t>服務計畫」之48處失智服務據點，於</w:t>
      </w:r>
      <w:proofErr w:type="gramStart"/>
      <w:r>
        <w:rPr>
          <w:rFonts w:ascii="標楷體" w:eastAsia="標楷體" w:hAnsi="標楷體" w:cs="Times New Roman" w:hint="eastAsia"/>
        </w:rPr>
        <w:t>113</w:t>
      </w:r>
      <w:proofErr w:type="gramEnd"/>
      <w:r>
        <w:rPr>
          <w:rFonts w:ascii="標楷體" w:eastAsia="標楷體" w:hAnsi="標楷體" w:cs="Times New Roman" w:hint="eastAsia"/>
        </w:rPr>
        <w:t>年度服務個案及照顧者人數為1,400人與750人，</w:t>
      </w:r>
      <w:proofErr w:type="gramStart"/>
      <w:r>
        <w:rPr>
          <w:rFonts w:ascii="標楷體" w:eastAsia="標楷體" w:hAnsi="標楷體" w:cs="Times New Roman" w:hint="eastAsia"/>
        </w:rPr>
        <w:t>均達預期</w:t>
      </w:r>
      <w:proofErr w:type="gramEnd"/>
      <w:r>
        <w:rPr>
          <w:rFonts w:ascii="標楷體" w:eastAsia="標楷體" w:hAnsi="標楷體" w:cs="Times New Roman" w:hint="eastAsia"/>
        </w:rPr>
        <w:t>目標，惟參與上開計畫之11處失</w:t>
      </w:r>
      <w:proofErr w:type="gramStart"/>
      <w:r>
        <w:rPr>
          <w:rFonts w:ascii="標楷體" w:eastAsia="標楷體" w:hAnsi="標楷體" w:cs="Times New Roman" w:hint="eastAsia"/>
        </w:rPr>
        <w:t>智共照</w:t>
      </w:r>
      <w:proofErr w:type="gramEnd"/>
      <w:r>
        <w:rPr>
          <w:rFonts w:ascii="標楷體" w:eastAsia="標楷體" w:hAnsi="標楷體" w:cs="Times New Roman" w:hint="eastAsia"/>
        </w:rPr>
        <w:t>中心，於</w:t>
      </w:r>
      <w:proofErr w:type="gramStart"/>
      <w:r>
        <w:rPr>
          <w:rFonts w:ascii="標楷體" w:eastAsia="標楷體" w:hAnsi="標楷體" w:cs="Times New Roman" w:hint="eastAsia"/>
        </w:rPr>
        <w:t>113</w:t>
      </w:r>
      <w:proofErr w:type="gramEnd"/>
      <w:r>
        <w:rPr>
          <w:rFonts w:ascii="標楷體" w:eastAsia="標楷體" w:hAnsi="標楷體" w:cs="Times New Roman" w:hint="eastAsia"/>
        </w:rPr>
        <w:t>年度轉</w:t>
      </w:r>
      <w:proofErr w:type="gramStart"/>
      <w:r>
        <w:rPr>
          <w:rFonts w:ascii="標楷體" w:eastAsia="標楷體" w:hAnsi="標楷體" w:cs="Times New Roman" w:hint="eastAsia"/>
        </w:rPr>
        <w:t>介</w:t>
      </w:r>
      <w:proofErr w:type="gramEnd"/>
      <w:r>
        <w:rPr>
          <w:rFonts w:ascii="標楷體" w:eastAsia="標楷體" w:hAnsi="標楷體" w:cs="Times New Roman" w:hint="eastAsia"/>
        </w:rPr>
        <w:t>個案至失智服務據點或巷</w:t>
      </w:r>
      <w:proofErr w:type="gramStart"/>
      <w:r>
        <w:rPr>
          <w:rFonts w:ascii="標楷體" w:eastAsia="標楷體" w:hAnsi="標楷體" w:cs="Times New Roman" w:hint="eastAsia"/>
        </w:rPr>
        <w:t>弄長照站</w:t>
      </w:r>
      <w:proofErr w:type="gramEnd"/>
      <w:r>
        <w:rPr>
          <w:rFonts w:ascii="標楷體" w:eastAsia="標楷體" w:hAnsi="標楷體" w:cs="Times New Roman" w:hint="eastAsia"/>
        </w:rPr>
        <w:t>服務人數計1,220人，未達</w:t>
      </w:r>
      <w:proofErr w:type="gramStart"/>
      <w:r>
        <w:rPr>
          <w:rFonts w:ascii="標楷體" w:eastAsia="標楷體" w:hAnsi="標楷體" w:cs="Times New Roman" w:hint="eastAsia"/>
        </w:rPr>
        <w:t>113</w:t>
      </w:r>
      <w:proofErr w:type="gramEnd"/>
      <w:r>
        <w:rPr>
          <w:rFonts w:ascii="標楷體" w:eastAsia="標楷體" w:hAnsi="標楷體" w:cs="Times New Roman" w:hint="eastAsia"/>
        </w:rPr>
        <w:t>年度目標值</w:t>
      </w:r>
      <w:r>
        <w:rPr>
          <w:rFonts w:ascii="標楷體" w:eastAsia="標楷體" w:hAnsi="標楷體" w:cs="Times New Roman" w:hint="eastAsia"/>
          <w:bCs/>
        </w:rPr>
        <w:t>1,690人</w:t>
      </w:r>
      <w:r>
        <w:rPr>
          <w:rFonts w:ascii="標楷體" w:eastAsia="標楷體" w:hAnsi="標楷體" w:cs="Times New Roman" w:hint="eastAsia"/>
        </w:rPr>
        <w:t>；又各失</w:t>
      </w:r>
      <w:proofErr w:type="gramStart"/>
      <w:r>
        <w:rPr>
          <w:rFonts w:ascii="標楷體" w:eastAsia="標楷體" w:hAnsi="標楷體" w:cs="Times New Roman" w:hint="eastAsia"/>
        </w:rPr>
        <w:t>智共照</w:t>
      </w:r>
      <w:proofErr w:type="gramEnd"/>
      <w:r>
        <w:rPr>
          <w:rFonts w:ascii="標楷體" w:eastAsia="標楷體" w:hAnsi="標楷體" w:cs="Times New Roman" w:hint="eastAsia"/>
        </w:rPr>
        <w:t>中心轉</w:t>
      </w:r>
      <w:proofErr w:type="gramStart"/>
      <w:r>
        <w:rPr>
          <w:rFonts w:ascii="標楷體" w:eastAsia="標楷體" w:hAnsi="標楷體" w:cs="Times New Roman" w:hint="eastAsia"/>
        </w:rPr>
        <w:t>介</w:t>
      </w:r>
      <w:proofErr w:type="gramEnd"/>
      <w:r>
        <w:rPr>
          <w:rFonts w:ascii="標楷體" w:eastAsia="標楷體" w:hAnsi="標楷體" w:cs="Times New Roman" w:hint="eastAsia"/>
        </w:rPr>
        <w:t>個案成功數約介於5人至31人間，平均成功率僅12.79％，甚有3處失</w:t>
      </w:r>
      <w:proofErr w:type="gramStart"/>
      <w:r>
        <w:rPr>
          <w:rFonts w:ascii="標楷體" w:eastAsia="標楷體" w:hAnsi="標楷體" w:cs="Times New Roman" w:hint="eastAsia"/>
        </w:rPr>
        <w:t>智共照</w:t>
      </w:r>
      <w:proofErr w:type="gramEnd"/>
      <w:r>
        <w:rPr>
          <w:rFonts w:ascii="標楷體" w:eastAsia="標楷體" w:hAnsi="標楷體" w:cs="Times New Roman" w:hint="eastAsia"/>
        </w:rPr>
        <w:t>中心轉</w:t>
      </w:r>
      <w:proofErr w:type="gramStart"/>
      <w:r>
        <w:rPr>
          <w:rFonts w:ascii="標楷體" w:eastAsia="標楷體" w:hAnsi="標楷體" w:cs="Times New Roman" w:hint="eastAsia"/>
        </w:rPr>
        <w:t>介</w:t>
      </w:r>
      <w:proofErr w:type="gramEnd"/>
      <w:r>
        <w:rPr>
          <w:rFonts w:ascii="標楷體" w:eastAsia="標楷體" w:hAnsi="標楷體" w:cs="Times New Roman" w:hint="eastAsia"/>
        </w:rPr>
        <w:t>成功比率未達</w:t>
      </w:r>
      <w:proofErr w:type="gramStart"/>
      <w:r>
        <w:rPr>
          <w:rFonts w:ascii="標楷體" w:eastAsia="標楷體" w:hAnsi="標楷體" w:cs="Times New Roman" w:hint="eastAsia"/>
        </w:rPr>
        <w:t>1成</w:t>
      </w:r>
      <w:proofErr w:type="gramEnd"/>
      <w:r>
        <w:rPr>
          <w:rFonts w:ascii="標楷體" w:eastAsia="標楷體" w:hAnsi="標楷體" w:cs="Times New Roman" w:hint="eastAsia"/>
        </w:rPr>
        <w:t>。另113年8月於文山區布建之1處</w:t>
      </w:r>
      <w:proofErr w:type="gramStart"/>
      <w:r>
        <w:rPr>
          <w:rFonts w:ascii="標楷體" w:eastAsia="標楷體" w:hAnsi="標楷體" w:cs="Times New Roman" w:hint="eastAsia"/>
        </w:rPr>
        <w:t>權責型失智</w:t>
      </w:r>
      <w:proofErr w:type="gramEnd"/>
      <w:r>
        <w:rPr>
          <w:rFonts w:ascii="標楷體" w:eastAsia="標楷體" w:hAnsi="標楷體" w:cs="Times New Roman" w:hint="eastAsia"/>
        </w:rPr>
        <w:t>服務據點，截至113年底</w:t>
      </w:r>
      <w:proofErr w:type="gramStart"/>
      <w:r>
        <w:rPr>
          <w:rFonts w:ascii="標楷體" w:eastAsia="標楷體" w:hAnsi="標楷體" w:cs="Times New Roman" w:hint="eastAsia"/>
        </w:rPr>
        <w:t>止</w:t>
      </w:r>
      <w:proofErr w:type="gramEnd"/>
      <w:r>
        <w:rPr>
          <w:rFonts w:ascii="標楷體" w:eastAsia="標楷體" w:hAnsi="標楷體" w:cs="Times New Roman" w:hint="eastAsia"/>
        </w:rPr>
        <w:t>提供BPSD失智個案服務計10人、提供照顧者支持服務計9人，亦未達計畫目標值12人等情事，經函請檢討改善</w:t>
      </w:r>
      <w:r>
        <w:rPr>
          <w:rFonts w:ascii="標楷體" w:eastAsia="標楷體" w:hAnsi="標楷體" w:cs="Times New Roman" w:hint="eastAsia"/>
          <w:kern w:val="0"/>
        </w:rPr>
        <w:t>。據復：為提升失</w:t>
      </w:r>
      <w:proofErr w:type="gramStart"/>
      <w:r>
        <w:rPr>
          <w:rFonts w:ascii="標楷體" w:eastAsia="標楷體" w:hAnsi="標楷體" w:cs="Times New Roman" w:hint="eastAsia"/>
          <w:kern w:val="0"/>
        </w:rPr>
        <w:t>智共照</w:t>
      </w:r>
      <w:proofErr w:type="gramEnd"/>
      <w:r>
        <w:rPr>
          <w:rFonts w:ascii="標楷體" w:eastAsia="標楷體" w:hAnsi="標楷體" w:cs="Times New Roman" w:hint="eastAsia"/>
          <w:kern w:val="0"/>
        </w:rPr>
        <w:t>中心轉</w:t>
      </w:r>
      <w:proofErr w:type="gramStart"/>
      <w:r>
        <w:rPr>
          <w:rFonts w:ascii="標楷體" w:eastAsia="標楷體" w:hAnsi="標楷體" w:cs="Times New Roman" w:hint="eastAsia"/>
          <w:kern w:val="0"/>
        </w:rPr>
        <w:t>介</w:t>
      </w:r>
      <w:proofErr w:type="gramEnd"/>
      <w:r>
        <w:rPr>
          <w:rFonts w:ascii="標楷體" w:eastAsia="標楷體" w:hAnsi="標楷體" w:cs="Times New Roman" w:hint="eastAsia"/>
          <w:kern w:val="0"/>
        </w:rPr>
        <w:t>個案成功率，該局已委託專業團隊建</w:t>
      </w:r>
      <w:proofErr w:type="gramStart"/>
      <w:r>
        <w:rPr>
          <w:rFonts w:ascii="標楷體" w:eastAsia="標楷體" w:hAnsi="標楷體" w:cs="Times New Roman" w:hint="eastAsia"/>
          <w:kern w:val="0"/>
        </w:rPr>
        <w:t>構失智照</w:t>
      </w:r>
      <w:proofErr w:type="gramEnd"/>
      <w:r>
        <w:rPr>
          <w:rFonts w:ascii="標楷體" w:eastAsia="標楷體" w:hAnsi="標楷體" w:cs="Times New Roman" w:hint="eastAsia"/>
          <w:kern w:val="0"/>
        </w:rPr>
        <w:t>護單位服務品質稽核機制及辦理實地輔導，並邀請專家分享轉</w:t>
      </w:r>
      <w:proofErr w:type="gramStart"/>
      <w:r>
        <w:rPr>
          <w:rFonts w:ascii="標楷體" w:eastAsia="標楷體" w:hAnsi="標楷體" w:cs="Times New Roman" w:hint="eastAsia"/>
          <w:kern w:val="0"/>
        </w:rPr>
        <w:t>介</w:t>
      </w:r>
      <w:proofErr w:type="gramEnd"/>
      <w:r>
        <w:rPr>
          <w:rFonts w:ascii="標楷體" w:eastAsia="標楷體" w:hAnsi="標楷體" w:cs="Times New Roman" w:hint="eastAsia"/>
          <w:kern w:val="0"/>
        </w:rPr>
        <w:t>技巧，</w:t>
      </w:r>
      <w:proofErr w:type="gramStart"/>
      <w:r>
        <w:rPr>
          <w:rFonts w:ascii="標楷體" w:eastAsia="標楷體" w:hAnsi="標楷體" w:cs="Times New Roman" w:hint="eastAsia"/>
          <w:kern w:val="0"/>
        </w:rPr>
        <w:t>研</w:t>
      </w:r>
      <w:proofErr w:type="gramEnd"/>
      <w:r>
        <w:rPr>
          <w:rFonts w:ascii="標楷體" w:eastAsia="標楷體" w:hAnsi="標楷體" w:cs="Times New Roman" w:hint="eastAsia"/>
          <w:kern w:val="0"/>
        </w:rPr>
        <w:t>議訂</w:t>
      </w:r>
      <w:proofErr w:type="gramStart"/>
      <w:r>
        <w:rPr>
          <w:rFonts w:ascii="標楷體" w:eastAsia="標楷體" w:hAnsi="標楷體" w:cs="Times New Roman" w:hint="eastAsia"/>
          <w:kern w:val="0"/>
        </w:rPr>
        <w:t>定失智共照</w:t>
      </w:r>
      <w:proofErr w:type="gramEnd"/>
      <w:r>
        <w:rPr>
          <w:rFonts w:ascii="標楷體" w:eastAsia="標楷體" w:hAnsi="標楷體" w:cs="Times New Roman" w:hint="eastAsia"/>
          <w:kern w:val="0"/>
        </w:rPr>
        <w:t>中心轉</w:t>
      </w:r>
      <w:proofErr w:type="gramStart"/>
      <w:r>
        <w:rPr>
          <w:rFonts w:ascii="標楷體" w:eastAsia="標楷體" w:hAnsi="標楷體" w:cs="Times New Roman" w:hint="eastAsia"/>
          <w:kern w:val="0"/>
        </w:rPr>
        <w:t>介</w:t>
      </w:r>
      <w:proofErr w:type="gramEnd"/>
      <w:r>
        <w:rPr>
          <w:rFonts w:ascii="標楷體" w:eastAsia="標楷體" w:hAnsi="標楷體" w:cs="Times New Roman" w:hint="eastAsia"/>
          <w:kern w:val="0"/>
        </w:rPr>
        <w:t>個案之目標值等；另為持續鼓勵及輔導</w:t>
      </w:r>
      <w:proofErr w:type="gramStart"/>
      <w:r>
        <w:rPr>
          <w:rFonts w:ascii="標楷體" w:eastAsia="標楷體" w:hAnsi="標楷體" w:cs="Times New Roman" w:hint="eastAsia"/>
          <w:kern w:val="0"/>
        </w:rPr>
        <w:t>權責型失智</w:t>
      </w:r>
      <w:proofErr w:type="gramEnd"/>
      <w:r>
        <w:rPr>
          <w:rFonts w:ascii="標楷體" w:eastAsia="標楷體" w:hAnsi="標楷體" w:cs="Times New Roman" w:hint="eastAsia"/>
          <w:kern w:val="0"/>
        </w:rPr>
        <w:t>服務據點提供服務，該局將持續布建</w:t>
      </w:r>
      <w:proofErr w:type="gramStart"/>
      <w:r>
        <w:rPr>
          <w:rFonts w:ascii="標楷體" w:eastAsia="標楷體" w:hAnsi="標楷體" w:cs="Times New Roman" w:hint="eastAsia"/>
          <w:kern w:val="0"/>
        </w:rPr>
        <w:t>權責型失智</w:t>
      </w:r>
      <w:proofErr w:type="gramEnd"/>
      <w:r>
        <w:rPr>
          <w:rFonts w:ascii="標楷體" w:eastAsia="標楷體" w:hAnsi="標楷體" w:cs="Times New Roman" w:hint="eastAsia"/>
          <w:kern w:val="0"/>
        </w:rPr>
        <w:t>服務據點。</w:t>
      </w:r>
    </w:p>
    <w:p w14:paraId="5B1CEA3F" w14:textId="77777777" w:rsidR="00AE147C" w:rsidRDefault="00A85180" w:rsidP="00A85180">
      <w:pPr>
        <w:overflowPunct w:val="0"/>
        <w:spacing w:beforeLines="5" w:before="18" w:line="496" w:lineRule="exact"/>
        <w:ind w:firstLineChars="200" w:firstLine="480"/>
        <w:jc w:val="both"/>
        <w:rPr>
          <w:rFonts w:ascii="標楷體" w:eastAsia="標楷體" w:hAnsi="標楷體" w:cs="Times New Roman"/>
        </w:rPr>
      </w:pPr>
      <w:r>
        <w:rPr>
          <w:rFonts w:ascii="標楷體" w:eastAsia="標楷體" w:hAnsi="標楷體" w:cs="Times New Roman" w:hint="eastAsia"/>
          <w:b/>
          <w:bCs/>
        </w:rPr>
        <w:t>2.部分失智服務據點考評成績欠佳，或成績退步，或連年缺失事項雷同等情：</w:t>
      </w:r>
      <w:r>
        <w:rPr>
          <w:rFonts w:ascii="標楷體" w:eastAsia="標楷體" w:hAnsi="標楷體" w:cs="Times New Roman" w:hint="eastAsia"/>
        </w:rPr>
        <w:t>衛生局為提供臺北市轄內11處失</w:t>
      </w:r>
      <w:proofErr w:type="gramStart"/>
      <w:r>
        <w:rPr>
          <w:rFonts w:ascii="標楷體" w:eastAsia="標楷體" w:hAnsi="標楷體" w:cs="Times New Roman" w:hint="eastAsia"/>
        </w:rPr>
        <w:t>智共照</w:t>
      </w:r>
      <w:proofErr w:type="gramEnd"/>
      <w:r>
        <w:rPr>
          <w:rFonts w:ascii="標楷體" w:eastAsia="標楷體" w:hAnsi="標楷體" w:cs="Times New Roman" w:hint="eastAsia"/>
        </w:rPr>
        <w:t>中心、48處失智服務據點相關照護輔導諮詢，</w:t>
      </w:r>
      <w:proofErr w:type="gramStart"/>
      <w:r>
        <w:rPr>
          <w:rFonts w:ascii="標楷體" w:eastAsia="標楷體" w:hAnsi="標楷體" w:cs="Times New Roman" w:hint="eastAsia"/>
        </w:rPr>
        <w:t>並督考各照</w:t>
      </w:r>
      <w:proofErr w:type="gramEnd"/>
      <w:r>
        <w:rPr>
          <w:rFonts w:ascii="標楷體" w:eastAsia="標楷體" w:hAnsi="標楷體" w:cs="Times New Roman" w:hint="eastAsia"/>
        </w:rPr>
        <w:t>護服務單位</w:t>
      </w:r>
    </w:p>
    <w:p w14:paraId="5036816E" w14:textId="000BA4F4" w:rsidR="00A85180" w:rsidRDefault="00CF1B20" w:rsidP="00AE147C">
      <w:pPr>
        <w:overflowPunct w:val="0"/>
        <w:spacing w:beforeLines="5" w:before="18" w:line="496" w:lineRule="exact"/>
        <w:jc w:val="both"/>
        <w:rPr>
          <w:rFonts w:ascii="標楷體" w:eastAsia="標楷體" w:hAnsi="標楷體" w:cs="Times New Roman"/>
          <w:b/>
          <w:sz w:val="28"/>
          <w:szCs w:val="28"/>
        </w:rPr>
      </w:pPr>
      <w:r>
        <w:rPr>
          <w:rFonts w:ascii="新細明體" w:eastAsia="新細明體" w:hAnsi="新細明體" w:cs="新細明體"/>
          <w:noProof/>
          <w:kern w:val="0"/>
          <w:szCs w:val="24"/>
        </w:rPr>
        <w:lastRenderedPageBreak/>
        <mc:AlternateContent>
          <mc:Choice Requires="wps">
            <w:drawing>
              <wp:anchor distT="45720" distB="45720" distL="114300" distR="114300" simplePos="0" relativeHeight="251729920" behindDoc="1" locked="0" layoutInCell="1" allowOverlap="1" wp14:anchorId="730A110B" wp14:editId="77C291BB">
                <wp:simplePos x="0" y="0"/>
                <wp:positionH relativeFrom="margin">
                  <wp:posOffset>2741295</wp:posOffset>
                </wp:positionH>
                <wp:positionV relativeFrom="paragraph">
                  <wp:posOffset>1310005</wp:posOffset>
                </wp:positionV>
                <wp:extent cx="3545205" cy="4233545"/>
                <wp:effectExtent l="0" t="0" r="0" b="0"/>
                <wp:wrapTight wrapText="bothSides">
                  <wp:wrapPolygon edited="0">
                    <wp:start x="0" y="0"/>
                    <wp:lineTo x="0" y="21480"/>
                    <wp:lineTo x="21472" y="21480"/>
                    <wp:lineTo x="21472" y="0"/>
                    <wp:lineTo x="0" y="0"/>
                  </wp:wrapPolygon>
                </wp:wrapTight>
                <wp:docPr id="927419600" name="文字方塊 927419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5205" cy="4233545"/>
                        </a:xfrm>
                        <a:prstGeom prst="rect">
                          <a:avLst/>
                        </a:prstGeom>
                        <a:solidFill>
                          <a:srgbClr val="FFFFFF"/>
                        </a:solidFill>
                        <a:ln w="9525">
                          <a:noFill/>
                          <a:miter lim="800000"/>
                          <a:headEnd/>
                          <a:tailEnd/>
                        </a:ln>
                      </wps:spPr>
                      <wps:txbx>
                        <w:txbxContent>
                          <w:p w14:paraId="643CDAB0" w14:textId="77777777" w:rsidR="00A85180" w:rsidRDefault="00A85180" w:rsidP="00CF1B20">
                            <w:pPr>
                              <w:spacing w:line="320" w:lineRule="exact"/>
                              <w:ind w:leftChars="81" w:left="854" w:hangingChars="305" w:hanging="660"/>
                              <w:rPr>
                                <w:rFonts w:ascii="標楷體" w:eastAsia="標楷體" w:hAnsi="標楷體"/>
                                <w:b/>
                                <w:bCs/>
                                <w:spacing w:val="-12"/>
                              </w:rPr>
                            </w:pPr>
                            <w:r>
                              <w:rPr>
                                <w:rFonts w:ascii="標楷體" w:eastAsia="標楷體" w:hAnsi="標楷體" w:hint="eastAsia"/>
                                <w:b/>
                                <w:bCs/>
                                <w:spacing w:val="-12"/>
                              </w:rPr>
                              <w:t>表3   112及</w:t>
                            </w:r>
                            <w:proofErr w:type="gramStart"/>
                            <w:r>
                              <w:rPr>
                                <w:rFonts w:ascii="標楷體" w:eastAsia="標楷體" w:hAnsi="標楷體" w:hint="eastAsia"/>
                                <w:b/>
                                <w:bCs/>
                                <w:spacing w:val="-12"/>
                              </w:rPr>
                              <w:t>113</w:t>
                            </w:r>
                            <w:proofErr w:type="gramEnd"/>
                            <w:r>
                              <w:rPr>
                                <w:rFonts w:ascii="標楷體" w:eastAsia="標楷體" w:hAnsi="標楷體" w:hint="eastAsia"/>
                                <w:b/>
                                <w:bCs/>
                                <w:spacing w:val="-12"/>
                              </w:rPr>
                              <w:t>年度失</w:t>
                            </w:r>
                            <w:proofErr w:type="gramStart"/>
                            <w:r>
                              <w:rPr>
                                <w:rFonts w:ascii="標楷體" w:eastAsia="標楷體" w:hAnsi="標楷體" w:hint="eastAsia"/>
                                <w:b/>
                                <w:bCs/>
                                <w:spacing w:val="-12"/>
                              </w:rPr>
                              <w:t>智共照</w:t>
                            </w:r>
                            <w:proofErr w:type="gramEnd"/>
                            <w:r>
                              <w:rPr>
                                <w:rFonts w:ascii="標楷體" w:eastAsia="標楷體" w:hAnsi="標楷體" w:hint="eastAsia"/>
                                <w:b/>
                                <w:bCs/>
                                <w:spacing w:val="-12"/>
                              </w:rPr>
                              <w:t>中心與服務據點考評成績未達80分明細</w:t>
                            </w:r>
                          </w:p>
                          <w:tbl>
                            <w:tblPr>
                              <w:tblStyle w:val="910"/>
                              <w:tblW w:w="5534" w:type="dxa"/>
                              <w:jc w:val="center"/>
                              <w:tblLook w:val="04A0" w:firstRow="1" w:lastRow="0" w:firstColumn="1" w:lastColumn="0" w:noHBand="0" w:noVBand="1"/>
                            </w:tblPr>
                            <w:tblGrid>
                              <w:gridCol w:w="422"/>
                              <w:gridCol w:w="1688"/>
                              <w:gridCol w:w="150"/>
                              <w:gridCol w:w="427"/>
                              <w:gridCol w:w="289"/>
                              <w:gridCol w:w="834"/>
                              <w:gridCol w:w="901"/>
                              <w:gridCol w:w="803"/>
                              <w:gridCol w:w="20"/>
                            </w:tblGrid>
                            <w:tr w:rsidR="00A85180" w14:paraId="2301E93C" w14:textId="77777777" w:rsidTr="00E9737B">
                              <w:trPr>
                                <w:trHeight w:val="113"/>
                                <w:jc w:val="center"/>
                              </w:trPr>
                              <w:tc>
                                <w:tcPr>
                                  <w:tcW w:w="422" w:type="dxa"/>
                                  <w:tcBorders>
                                    <w:top w:val="nil"/>
                                    <w:left w:val="nil"/>
                                    <w:bottom w:val="single" w:sz="4" w:space="0" w:color="auto"/>
                                    <w:right w:val="nil"/>
                                  </w:tcBorders>
                                </w:tcPr>
                                <w:p w14:paraId="0D9E9058" w14:textId="77777777" w:rsidR="00A85180" w:rsidRDefault="00A85180" w:rsidP="00E9737B">
                                  <w:pPr>
                                    <w:spacing w:line="240" w:lineRule="exact"/>
                                    <w:jc w:val="right"/>
                                    <w:rPr>
                                      <w:rFonts w:ascii="標楷體" w:eastAsia="標楷體" w:hAnsi="標楷體"/>
                                      <w:sz w:val="18"/>
                                      <w:szCs w:val="18"/>
                                    </w:rPr>
                                  </w:pPr>
                                </w:p>
                              </w:tc>
                              <w:tc>
                                <w:tcPr>
                                  <w:tcW w:w="1688" w:type="dxa"/>
                                  <w:tcBorders>
                                    <w:top w:val="nil"/>
                                    <w:left w:val="nil"/>
                                    <w:bottom w:val="single" w:sz="4" w:space="0" w:color="auto"/>
                                    <w:right w:val="nil"/>
                                  </w:tcBorders>
                                </w:tcPr>
                                <w:p w14:paraId="171443DB" w14:textId="77777777" w:rsidR="00A85180" w:rsidRDefault="00A85180" w:rsidP="00E9737B">
                                  <w:pPr>
                                    <w:spacing w:line="240" w:lineRule="exact"/>
                                    <w:jc w:val="right"/>
                                    <w:rPr>
                                      <w:rFonts w:ascii="標楷體" w:eastAsia="標楷體" w:hAnsi="標楷體"/>
                                      <w:sz w:val="18"/>
                                      <w:szCs w:val="18"/>
                                    </w:rPr>
                                  </w:pPr>
                                </w:p>
                              </w:tc>
                              <w:tc>
                                <w:tcPr>
                                  <w:tcW w:w="577" w:type="dxa"/>
                                  <w:gridSpan w:val="2"/>
                                  <w:tcBorders>
                                    <w:top w:val="nil"/>
                                    <w:left w:val="nil"/>
                                    <w:bottom w:val="single" w:sz="4" w:space="0" w:color="auto"/>
                                    <w:right w:val="nil"/>
                                  </w:tcBorders>
                                </w:tcPr>
                                <w:p w14:paraId="7F7BF1C3" w14:textId="77777777" w:rsidR="00A85180" w:rsidRDefault="00A85180" w:rsidP="00E9737B">
                                  <w:pPr>
                                    <w:spacing w:line="240" w:lineRule="exact"/>
                                    <w:jc w:val="right"/>
                                    <w:rPr>
                                      <w:rFonts w:ascii="標楷體" w:eastAsia="標楷體" w:hAnsi="標楷體"/>
                                      <w:sz w:val="18"/>
                                      <w:szCs w:val="18"/>
                                    </w:rPr>
                                  </w:pPr>
                                </w:p>
                              </w:tc>
                              <w:tc>
                                <w:tcPr>
                                  <w:tcW w:w="2847" w:type="dxa"/>
                                  <w:gridSpan w:val="5"/>
                                  <w:tcBorders>
                                    <w:top w:val="nil"/>
                                    <w:left w:val="nil"/>
                                    <w:bottom w:val="single" w:sz="4" w:space="0" w:color="auto"/>
                                    <w:right w:val="nil"/>
                                  </w:tcBorders>
                                  <w:vAlign w:val="center"/>
                                  <w:hideMark/>
                                </w:tcPr>
                                <w:p w14:paraId="50F6B170" w14:textId="77777777" w:rsidR="00A85180" w:rsidRDefault="00A85180" w:rsidP="00E9737B">
                                  <w:pPr>
                                    <w:spacing w:line="240" w:lineRule="exact"/>
                                    <w:jc w:val="right"/>
                                    <w:rPr>
                                      <w:rFonts w:ascii="標楷體" w:eastAsia="標楷體" w:hAnsi="標楷體"/>
                                      <w:sz w:val="20"/>
                                      <w:szCs w:val="20"/>
                                    </w:rPr>
                                  </w:pPr>
                                  <w:r>
                                    <w:rPr>
                                      <w:rFonts w:ascii="標楷體" w:eastAsia="標楷體" w:hAnsi="標楷體" w:hint="eastAsia"/>
                                      <w:sz w:val="20"/>
                                      <w:szCs w:val="20"/>
                                    </w:rPr>
                                    <w:t>單位：分</w:t>
                                  </w:r>
                                </w:p>
                              </w:tc>
                            </w:tr>
                            <w:tr w:rsidR="00A85180" w14:paraId="52E8EFBB" w14:textId="77777777">
                              <w:trPr>
                                <w:gridAfter w:val="1"/>
                                <w:wAfter w:w="20" w:type="dxa"/>
                                <w:trHeight w:val="275"/>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1B5D6A95" w14:textId="77777777" w:rsidR="00A85180" w:rsidRDefault="00A85180">
                                  <w:pPr>
                                    <w:jc w:val="center"/>
                                    <w:rPr>
                                      <w:rFonts w:ascii="標楷體" w:eastAsia="標楷體" w:hAnsi="標楷體"/>
                                      <w:sz w:val="20"/>
                                      <w:szCs w:val="20"/>
                                    </w:rPr>
                                  </w:pPr>
                                  <w:r>
                                    <w:rPr>
                                      <w:rFonts w:ascii="標楷體" w:eastAsia="標楷體" w:hAnsi="標楷體" w:hint="eastAsia"/>
                                      <w:sz w:val="20"/>
                                      <w:szCs w:val="20"/>
                                    </w:rPr>
                                    <w:t>項</w:t>
                                  </w:r>
                                </w:p>
                                <w:p w14:paraId="69CE8A0D" w14:textId="77777777" w:rsidR="00A85180" w:rsidRDefault="00A85180">
                                  <w:pPr>
                                    <w:jc w:val="center"/>
                                    <w:rPr>
                                      <w:rFonts w:ascii="標楷體" w:eastAsia="標楷體" w:hAnsi="標楷體"/>
                                      <w:sz w:val="20"/>
                                      <w:szCs w:val="20"/>
                                    </w:rPr>
                                  </w:pPr>
                                  <w:r>
                                    <w:rPr>
                                      <w:rFonts w:ascii="標楷體" w:eastAsia="標楷體" w:hAnsi="標楷體" w:hint="eastAsia"/>
                                      <w:sz w:val="20"/>
                                      <w:szCs w:val="20"/>
                                    </w:rPr>
                                    <w:t>次</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33931035" w14:textId="77777777" w:rsidR="00A85180" w:rsidRDefault="00A85180">
                                  <w:pPr>
                                    <w:jc w:val="center"/>
                                    <w:rPr>
                                      <w:rFonts w:ascii="標楷體" w:eastAsia="標楷體" w:hAnsi="標楷體"/>
                                      <w:sz w:val="20"/>
                                      <w:szCs w:val="20"/>
                                    </w:rPr>
                                  </w:pPr>
                                  <w:r>
                                    <w:rPr>
                                      <w:rFonts w:ascii="標楷體" w:eastAsia="標楷體" w:hAnsi="標楷體" w:hint="eastAsia"/>
                                      <w:sz w:val="20"/>
                                      <w:szCs w:val="20"/>
                                    </w:rPr>
                                    <w:t>單位名稱</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2BE181EB"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112</w:t>
                                  </w:r>
                                </w:p>
                                <w:p w14:paraId="0541E4D9"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年度</w:t>
                                  </w:r>
                                </w:p>
                                <w:p w14:paraId="4BF50F74"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（A）</w:t>
                                  </w:r>
                                </w:p>
                              </w:tc>
                              <w:tc>
                                <w:tcPr>
                                  <w:tcW w:w="834" w:type="dxa"/>
                                  <w:tcBorders>
                                    <w:top w:val="single" w:sz="4" w:space="0" w:color="auto"/>
                                    <w:left w:val="single" w:sz="4" w:space="0" w:color="auto"/>
                                    <w:bottom w:val="single" w:sz="4" w:space="0" w:color="auto"/>
                                    <w:right w:val="single" w:sz="4" w:space="0" w:color="auto"/>
                                  </w:tcBorders>
                                  <w:vAlign w:val="center"/>
                                  <w:hideMark/>
                                </w:tcPr>
                                <w:p w14:paraId="135EBEF1"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113</w:t>
                                  </w:r>
                                </w:p>
                                <w:p w14:paraId="34CFE94F"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年度</w:t>
                                  </w:r>
                                </w:p>
                                <w:p w14:paraId="273659A9"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（B）</w:t>
                                  </w:r>
                                </w:p>
                              </w:tc>
                              <w:tc>
                                <w:tcPr>
                                  <w:tcW w:w="901" w:type="dxa"/>
                                  <w:tcBorders>
                                    <w:top w:val="single" w:sz="4" w:space="0" w:color="auto"/>
                                    <w:left w:val="single" w:sz="4" w:space="0" w:color="auto"/>
                                    <w:bottom w:val="single" w:sz="4" w:space="0" w:color="auto"/>
                                    <w:right w:val="single" w:sz="4" w:space="0" w:color="auto"/>
                                  </w:tcBorders>
                                  <w:vAlign w:val="center"/>
                                  <w:hideMark/>
                                </w:tcPr>
                                <w:p w14:paraId="6B1A79B0" w14:textId="77777777" w:rsidR="00A85180" w:rsidRDefault="00A85180">
                                  <w:pPr>
                                    <w:spacing w:line="0" w:lineRule="atLeast"/>
                                    <w:ind w:leftChars="-4" w:left="-10"/>
                                    <w:jc w:val="center"/>
                                    <w:rPr>
                                      <w:rFonts w:ascii="標楷體" w:eastAsia="標楷體" w:hAnsi="標楷體"/>
                                      <w:spacing w:val="-20"/>
                                      <w:sz w:val="20"/>
                                      <w:szCs w:val="20"/>
                                    </w:rPr>
                                  </w:pPr>
                                  <w:r>
                                    <w:rPr>
                                      <w:rFonts w:ascii="標楷體" w:eastAsia="標楷體" w:hAnsi="標楷體" w:hint="eastAsia"/>
                                      <w:spacing w:val="-20"/>
                                      <w:sz w:val="20"/>
                                      <w:szCs w:val="20"/>
                                    </w:rPr>
                                    <w:t>差異</w:t>
                                  </w:r>
                                </w:p>
                                <w:p w14:paraId="71BB5836" w14:textId="3BA41AA7" w:rsidR="00A85180" w:rsidRPr="005F4A66" w:rsidRDefault="00A85180">
                                  <w:pPr>
                                    <w:spacing w:line="0" w:lineRule="atLeast"/>
                                    <w:ind w:leftChars="-63" w:left="-151" w:rightChars="-62" w:right="-149"/>
                                    <w:jc w:val="center"/>
                                    <w:rPr>
                                      <w:rFonts w:ascii="標楷體" w:eastAsia="標楷體" w:hAnsi="標楷體"/>
                                      <w:sz w:val="20"/>
                                      <w:szCs w:val="20"/>
                                    </w:rPr>
                                  </w:pPr>
                                  <w:r w:rsidRPr="005F4A66">
                                    <w:rPr>
                                      <w:rFonts w:ascii="標楷體" w:eastAsia="標楷體" w:hAnsi="標楷體" w:hint="eastAsia"/>
                                      <w:sz w:val="20"/>
                                      <w:szCs w:val="20"/>
                                    </w:rPr>
                                    <w:t>（B－A）</w:t>
                                  </w:r>
                                </w:p>
                              </w:tc>
                              <w:tc>
                                <w:tcPr>
                                  <w:tcW w:w="803" w:type="dxa"/>
                                  <w:tcBorders>
                                    <w:top w:val="single" w:sz="4" w:space="0" w:color="auto"/>
                                    <w:left w:val="single" w:sz="4" w:space="0" w:color="auto"/>
                                    <w:bottom w:val="single" w:sz="4" w:space="0" w:color="auto"/>
                                    <w:right w:val="single" w:sz="4" w:space="0" w:color="auto"/>
                                  </w:tcBorders>
                                  <w:hideMark/>
                                </w:tcPr>
                                <w:p w14:paraId="3B33F273" w14:textId="77777777" w:rsidR="00A85180" w:rsidRPr="0072102A" w:rsidRDefault="00A85180" w:rsidP="0072102A">
                                  <w:pPr>
                                    <w:spacing w:line="0" w:lineRule="atLeast"/>
                                    <w:ind w:leftChars="-37" w:left="-89" w:rightChars="-30" w:right="-72"/>
                                    <w:jc w:val="center"/>
                                    <w:rPr>
                                      <w:rFonts w:ascii="標楷體" w:eastAsia="標楷體" w:hAnsi="標楷體"/>
                                      <w:spacing w:val="-8"/>
                                      <w:sz w:val="20"/>
                                      <w:szCs w:val="20"/>
                                    </w:rPr>
                                  </w:pPr>
                                  <w:r w:rsidRPr="0072102A">
                                    <w:rPr>
                                      <w:rFonts w:ascii="標楷體" w:eastAsia="標楷體" w:hAnsi="標楷體" w:hint="eastAsia"/>
                                      <w:spacing w:val="-8"/>
                                      <w:sz w:val="20"/>
                                      <w:szCs w:val="20"/>
                                    </w:rPr>
                                    <w:t>是否於</w:t>
                                  </w:r>
                                  <w:proofErr w:type="gramStart"/>
                                  <w:r w:rsidRPr="0072102A">
                                    <w:rPr>
                                      <w:rFonts w:ascii="標楷體" w:eastAsia="標楷體" w:hAnsi="標楷體" w:hint="eastAsia"/>
                                      <w:spacing w:val="-8"/>
                                      <w:sz w:val="20"/>
                                      <w:szCs w:val="20"/>
                                    </w:rPr>
                                    <w:t>114</w:t>
                                  </w:r>
                                  <w:proofErr w:type="gramEnd"/>
                                  <w:r w:rsidRPr="0072102A">
                                    <w:rPr>
                                      <w:rFonts w:ascii="標楷體" w:eastAsia="標楷體" w:hAnsi="標楷體" w:hint="eastAsia"/>
                                      <w:spacing w:val="-8"/>
                                      <w:sz w:val="20"/>
                                      <w:szCs w:val="20"/>
                                    </w:rPr>
                                    <w:t>年度繼續營運</w:t>
                                  </w:r>
                                </w:p>
                              </w:tc>
                            </w:tr>
                            <w:tr w:rsidR="00A85180" w14:paraId="6E0F351B" w14:textId="77777777" w:rsidTr="00A85180">
                              <w:trPr>
                                <w:gridAfter w:val="1"/>
                                <w:wAfter w:w="20" w:type="dxa"/>
                                <w:trHeight w:val="227"/>
                                <w:jc w:val="center"/>
                              </w:trPr>
                              <w:tc>
                                <w:tcPr>
                                  <w:tcW w:w="5514" w:type="dxa"/>
                                  <w:gridSpan w:val="8"/>
                                  <w:tcBorders>
                                    <w:top w:val="single" w:sz="4" w:space="0" w:color="auto"/>
                                    <w:left w:val="single" w:sz="4" w:space="0" w:color="auto"/>
                                    <w:bottom w:val="single" w:sz="4" w:space="0" w:color="auto"/>
                                    <w:right w:val="single" w:sz="4" w:space="0" w:color="auto"/>
                                  </w:tcBorders>
                                  <w:vAlign w:val="center"/>
                                  <w:hideMark/>
                                </w:tcPr>
                                <w:p w14:paraId="4D41BD7D" w14:textId="77777777" w:rsidR="00A85180" w:rsidRDefault="00A85180" w:rsidP="00E9737B">
                                  <w:pPr>
                                    <w:spacing w:line="240" w:lineRule="exact"/>
                                    <w:rPr>
                                      <w:rFonts w:ascii="標楷體" w:eastAsia="標楷體" w:hAnsi="標楷體" w:cs="標楷體"/>
                                      <w:bCs/>
                                      <w:sz w:val="20"/>
                                      <w:szCs w:val="20"/>
                                    </w:rPr>
                                  </w:pPr>
                                  <w:r>
                                    <w:rPr>
                                      <w:rFonts w:ascii="標楷體" w:eastAsia="標楷體" w:hAnsi="標楷體" w:hint="eastAsia"/>
                                      <w:b/>
                                      <w:bCs/>
                                      <w:sz w:val="20"/>
                                      <w:szCs w:val="20"/>
                                    </w:rPr>
                                    <w:t>失</w:t>
                                  </w:r>
                                  <w:proofErr w:type="gramStart"/>
                                  <w:r>
                                    <w:rPr>
                                      <w:rFonts w:ascii="標楷體" w:eastAsia="標楷體" w:hAnsi="標楷體" w:hint="eastAsia"/>
                                      <w:b/>
                                      <w:bCs/>
                                      <w:sz w:val="20"/>
                                      <w:szCs w:val="20"/>
                                    </w:rPr>
                                    <w:t>智共照</w:t>
                                  </w:r>
                                  <w:proofErr w:type="gramEnd"/>
                                  <w:r>
                                    <w:rPr>
                                      <w:rFonts w:ascii="標楷體" w:eastAsia="標楷體" w:hAnsi="標楷體" w:hint="eastAsia"/>
                                      <w:b/>
                                      <w:bCs/>
                                      <w:sz w:val="20"/>
                                      <w:szCs w:val="20"/>
                                    </w:rPr>
                                    <w:t>中心</w:t>
                                  </w:r>
                                </w:p>
                              </w:tc>
                            </w:tr>
                            <w:tr w:rsidR="00A85180" w14:paraId="2FEDA00A"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58753EB3"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1</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24F33677"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國立臺灣大學醫學院附設</w:t>
                                  </w:r>
                                  <w:proofErr w:type="gramStart"/>
                                  <w:r>
                                    <w:rPr>
                                      <w:rFonts w:ascii="標楷體" w:eastAsia="標楷體" w:hAnsi="標楷體" w:hint="eastAsia"/>
                                      <w:spacing w:val="-16"/>
                                      <w:sz w:val="20"/>
                                      <w:szCs w:val="20"/>
                                    </w:rPr>
                                    <w:t>醫院北護分院</w:t>
                                  </w:r>
                                  <w:proofErr w:type="gramEnd"/>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217D3A1D"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72.46</w:t>
                                  </w:r>
                                </w:p>
                              </w:tc>
                              <w:tc>
                                <w:tcPr>
                                  <w:tcW w:w="834" w:type="dxa"/>
                                  <w:tcBorders>
                                    <w:top w:val="single" w:sz="4" w:space="0" w:color="auto"/>
                                    <w:left w:val="single" w:sz="4" w:space="0" w:color="auto"/>
                                    <w:bottom w:val="single" w:sz="4" w:space="0" w:color="auto"/>
                                    <w:right w:val="single" w:sz="4" w:space="0" w:color="auto"/>
                                  </w:tcBorders>
                                  <w:vAlign w:val="center"/>
                                  <w:hideMark/>
                                </w:tcPr>
                                <w:p w14:paraId="5C2B3DEE"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76.86</w:t>
                                  </w:r>
                                </w:p>
                              </w:tc>
                              <w:tc>
                                <w:tcPr>
                                  <w:tcW w:w="901" w:type="dxa"/>
                                  <w:tcBorders>
                                    <w:top w:val="single" w:sz="4" w:space="0" w:color="auto"/>
                                    <w:left w:val="single" w:sz="4" w:space="0" w:color="auto"/>
                                    <w:bottom w:val="single" w:sz="4" w:space="0" w:color="auto"/>
                                    <w:right w:val="single" w:sz="4" w:space="0" w:color="auto"/>
                                  </w:tcBorders>
                                  <w:vAlign w:val="center"/>
                                  <w:hideMark/>
                                </w:tcPr>
                                <w:p w14:paraId="01F3B3AC" w14:textId="77777777" w:rsidR="00A85180" w:rsidRDefault="00A85180">
                                  <w:pPr>
                                    <w:wordWrap w:val="0"/>
                                    <w:jc w:val="right"/>
                                    <w:rPr>
                                      <w:rFonts w:ascii="標楷體" w:eastAsia="標楷體" w:hAnsi="標楷體"/>
                                      <w:spacing w:val="-6"/>
                                      <w:sz w:val="20"/>
                                      <w:szCs w:val="20"/>
                                    </w:rPr>
                                  </w:pPr>
                                  <w:r>
                                    <w:rPr>
                                      <w:rFonts w:ascii="標楷體" w:eastAsia="標楷體" w:hAnsi="標楷體" w:hint="eastAsia"/>
                                      <w:spacing w:val="-6"/>
                                      <w:sz w:val="20"/>
                                      <w:szCs w:val="20"/>
                                    </w:rPr>
                                    <w:t>4.4</w:t>
                                  </w:r>
                                </w:p>
                              </w:tc>
                              <w:tc>
                                <w:tcPr>
                                  <w:tcW w:w="803" w:type="dxa"/>
                                  <w:tcBorders>
                                    <w:top w:val="single" w:sz="4" w:space="0" w:color="auto"/>
                                    <w:left w:val="single" w:sz="4" w:space="0" w:color="auto"/>
                                    <w:bottom w:val="single" w:sz="4" w:space="0" w:color="auto"/>
                                    <w:right w:val="single" w:sz="4" w:space="0" w:color="auto"/>
                                  </w:tcBorders>
                                  <w:vAlign w:val="center"/>
                                  <w:hideMark/>
                                </w:tcPr>
                                <w:p w14:paraId="7D4089A6" w14:textId="77777777" w:rsidR="00A85180" w:rsidRDefault="00A85180">
                                  <w:pPr>
                                    <w:jc w:val="center"/>
                                    <w:rPr>
                                      <w:rFonts w:ascii="標楷體" w:eastAsia="標楷體" w:hAnsi="標楷體" w:cs="標楷體"/>
                                      <w:bCs/>
                                      <w:sz w:val="20"/>
                                      <w:szCs w:val="20"/>
                                    </w:rPr>
                                  </w:pPr>
                                  <w:r>
                                    <w:rPr>
                                      <w:rFonts w:ascii="標楷體" w:eastAsia="標楷體" w:hAnsi="標楷體" w:cs="標楷體"/>
                                      <w:bCs/>
                                      <w:sz w:val="20"/>
                                      <w:szCs w:val="20"/>
                                    </w:rPr>
                                    <w:sym w:font="Wingdings 2" w:char="F050"/>
                                  </w:r>
                                </w:p>
                              </w:tc>
                            </w:tr>
                            <w:tr w:rsidR="00A85180" w14:paraId="01FBA019" w14:textId="77777777" w:rsidTr="00E9737B">
                              <w:trPr>
                                <w:gridAfter w:val="1"/>
                                <w:wAfter w:w="20" w:type="dxa"/>
                                <w:trHeight w:val="170"/>
                                <w:jc w:val="center"/>
                              </w:trPr>
                              <w:tc>
                                <w:tcPr>
                                  <w:tcW w:w="5514" w:type="dxa"/>
                                  <w:gridSpan w:val="8"/>
                                  <w:tcBorders>
                                    <w:top w:val="single" w:sz="4" w:space="0" w:color="auto"/>
                                    <w:left w:val="single" w:sz="4" w:space="0" w:color="auto"/>
                                    <w:bottom w:val="single" w:sz="4" w:space="0" w:color="auto"/>
                                    <w:right w:val="single" w:sz="4" w:space="0" w:color="auto"/>
                                  </w:tcBorders>
                                  <w:vAlign w:val="center"/>
                                  <w:hideMark/>
                                </w:tcPr>
                                <w:p w14:paraId="4A217E6B" w14:textId="77777777" w:rsidR="00A85180" w:rsidRDefault="00A85180" w:rsidP="00E9737B">
                                  <w:pPr>
                                    <w:spacing w:line="240" w:lineRule="exact"/>
                                    <w:rPr>
                                      <w:rFonts w:ascii="標楷體" w:eastAsia="標楷體" w:hAnsi="標楷體" w:cs="標楷體"/>
                                      <w:bCs/>
                                      <w:sz w:val="20"/>
                                      <w:szCs w:val="20"/>
                                    </w:rPr>
                                  </w:pPr>
                                  <w:r>
                                    <w:rPr>
                                      <w:rFonts w:ascii="標楷體" w:eastAsia="標楷體" w:hAnsi="標楷體" w:hint="eastAsia"/>
                                      <w:b/>
                                      <w:bCs/>
                                      <w:sz w:val="20"/>
                                      <w:szCs w:val="20"/>
                                    </w:rPr>
                                    <w:t>失智服務據點</w:t>
                                  </w:r>
                                </w:p>
                              </w:tc>
                            </w:tr>
                            <w:tr w:rsidR="00A85180" w14:paraId="687CC675"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2D398EAA"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2</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1422D05A"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財團法人台北市中華基督教浸</w:t>
                                  </w:r>
                                  <w:proofErr w:type="gramStart"/>
                                  <w:r>
                                    <w:rPr>
                                      <w:rFonts w:ascii="標楷體" w:eastAsia="標楷體" w:hAnsi="標楷體" w:hint="eastAsia"/>
                                      <w:spacing w:val="-16"/>
                                      <w:sz w:val="20"/>
                                      <w:szCs w:val="20"/>
                                    </w:rPr>
                                    <w:t>信會慈光</w:t>
                                  </w:r>
                                  <w:proofErr w:type="gramEnd"/>
                                  <w:r>
                                    <w:rPr>
                                      <w:rFonts w:ascii="標楷體" w:eastAsia="標楷體" w:hAnsi="標楷體" w:hint="eastAsia"/>
                                      <w:spacing w:val="-16"/>
                                      <w:sz w:val="20"/>
                                      <w:szCs w:val="20"/>
                                    </w:rPr>
                                    <w:t>堂</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169FC6D8"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87.00</w:t>
                                  </w:r>
                                </w:p>
                              </w:tc>
                              <w:tc>
                                <w:tcPr>
                                  <w:tcW w:w="834" w:type="dxa"/>
                                  <w:tcBorders>
                                    <w:top w:val="single" w:sz="4" w:space="0" w:color="auto"/>
                                    <w:left w:val="single" w:sz="4" w:space="0" w:color="auto"/>
                                    <w:bottom w:val="single" w:sz="4" w:space="0" w:color="auto"/>
                                    <w:right w:val="single" w:sz="4" w:space="0" w:color="auto"/>
                                  </w:tcBorders>
                                  <w:vAlign w:val="center"/>
                                  <w:hideMark/>
                                </w:tcPr>
                                <w:p w14:paraId="0A9BFE26"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79.50</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71BBB1" w14:textId="77777777" w:rsidR="00A85180" w:rsidRDefault="00A85180">
                                  <w:pPr>
                                    <w:wordWrap w:val="0"/>
                                    <w:jc w:val="right"/>
                                    <w:rPr>
                                      <w:rFonts w:ascii="標楷體" w:eastAsia="標楷體" w:hAnsi="標楷體"/>
                                      <w:spacing w:val="-6"/>
                                      <w:sz w:val="20"/>
                                      <w:szCs w:val="20"/>
                                    </w:rPr>
                                  </w:pPr>
                                  <w:r>
                                    <w:rPr>
                                      <w:rFonts w:ascii="標楷體" w:eastAsia="標楷體" w:hAnsi="標楷體" w:hint="eastAsia"/>
                                      <w:spacing w:val="-6"/>
                                      <w:sz w:val="20"/>
                                      <w:szCs w:val="20"/>
                                    </w:rPr>
                                    <w:t>- 7.50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2F3A3E82" w14:textId="77777777" w:rsidR="00A85180" w:rsidRDefault="00A85180">
                                  <w:pPr>
                                    <w:jc w:val="center"/>
                                    <w:rPr>
                                      <w:rFonts w:ascii="標楷體" w:eastAsia="標楷體" w:hAnsi="標楷體"/>
                                      <w:bCs/>
                                      <w:sz w:val="20"/>
                                      <w:szCs w:val="20"/>
                                    </w:rPr>
                                  </w:pPr>
                                  <w:r>
                                    <w:rPr>
                                      <w:rFonts w:ascii="標楷體" w:eastAsia="標楷體" w:hAnsi="標楷體" w:cs="標楷體"/>
                                      <w:bCs/>
                                      <w:sz w:val="20"/>
                                      <w:szCs w:val="20"/>
                                    </w:rPr>
                                    <w:sym w:font="Wingdings 2" w:char="F050"/>
                                  </w:r>
                                </w:p>
                              </w:tc>
                            </w:tr>
                            <w:tr w:rsidR="00A85180" w14:paraId="1371A2F3"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15D6706A"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3</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5EA35A4A" w14:textId="77777777" w:rsidR="00A85180" w:rsidRDefault="00A85180">
                                  <w:pPr>
                                    <w:spacing w:line="0" w:lineRule="atLeast"/>
                                    <w:ind w:leftChars="-42" w:left="-101"/>
                                    <w:jc w:val="both"/>
                                    <w:rPr>
                                      <w:rFonts w:ascii="標楷體" w:eastAsia="標楷體" w:hAnsi="標楷體"/>
                                      <w:spacing w:val="-16"/>
                                      <w:sz w:val="20"/>
                                      <w:szCs w:val="20"/>
                                    </w:rPr>
                                  </w:pPr>
                                  <w:proofErr w:type="gramStart"/>
                                  <w:r>
                                    <w:rPr>
                                      <w:rFonts w:ascii="標楷體" w:eastAsia="標楷體" w:hAnsi="標楷體" w:hint="eastAsia"/>
                                      <w:spacing w:val="-16"/>
                                      <w:sz w:val="20"/>
                                      <w:szCs w:val="20"/>
                                    </w:rPr>
                                    <w:t>營佳營養</w:t>
                                  </w:r>
                                  <w:proofErr w:type="gramEnd"/>
                                  <w:r>
                                    <w:rPr>
                                      <w:rFonts w:ascii="標楷體" w:eastAsia="標楷體" w:hAnsi="標楷體" w:hint="eastAsia"/>
                                      <w:spacing w:val="-16"/>
                                      <w:sz w:val="20"/>
                                      <w:szCs w:val="20"/>
                                    </w:rPr>
                                    <w:t>諮詢中心</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3BCBA32C"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89.50</w:t>
                                  </w:r>
                                </w:p>
                              </w:tc>
                              <w:tc>
                                <w:tcPr>
                                  <w:tcW w:w="834" w:type="dxa"/>
                                  <w:tcBorders>
                                    <w:top w:val="single" w:sz="4" w:space="0" w:color="auto"/>
                                    <w:left w:val="single" w:sz="4" w:space="0" w:color="auto"/>
                                    <w:bottom w:val="single" w:sz="4" w:space="0" w:color="auto"/>
                                    <w:right w:val="single" w:sz="4" w:space="0" w:color="auto"/>
                                  </w:tcBorders>
                                  <w:vAlign w:val="center"/>
                                  <w:hideMark/>
                                </w:tcPr>
                                <w:p w14:paraId="0E3FA41B"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78.50</w:t>
                                  </w:r>
                                </w:p>
                              </w:tc>
                              <w:tc>
                                <w:tcPr>
                                  <w:tcW w:w="901" w:type="dxa"/>
                                  <w:tcBorders>
                                    <w:top w:val="single" w:sz="4" w:space="0" w:color="auto"/>
                                    <w:left w:val="single" w:sz="4" w:space="0" w:color="auto"/>
                                    <w:bottom w:val="single" w:sz="4" w:space="0" w:color="auto"/>
                                    <w:right w:val="single" w:sz="4" w:space="0" w:color="auto"/>
                                  </w:tcBorders>
                                  <w:vAlign w:val="center"/>
                                  <w:hideMark/>
                                </w:tcPr>
                                <w:p w14:paraId="3A876079"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- 11.00</w:t>
                                  </w:r>
                                </w:p>
                              </w:tc>
                              <w:tc>
                                <w:tcPr>
                                  <w:tcW w:w="803" w:type="dxa"/>
                                  <w:tcBorders>
                                    <w:top w:val="single" w:sz="4" w:space="0" w:color="auto"/>
                                    <w:left w:val="single" w:sz="4" w:space="0" w:color="auto"/>
                                    <w:bottom w:val="single" w:sz="4" w:space="0" w:color="auto"/>
                                    <w:right w:val="single" w:sz="4" w:space="0" w:color="auto"/>
                                  </w:tcBorders>
                                  <w:vAlign w:val="center"/>
                                  <w:hideMark/>
                                </w:tcPr>
                                <w:p w14:paraId="768CD26D" w14:textId="77777777" w:rsidR="00A85180" w:rsidRDefault="00A85180">
                                  <w:pPr>
                                    <w:jc w:val="center"/>
                                    <w:rPr>
                                      <w:rFonts w:ascii="標楷體" w:eastAsia="標楷體" w:hAnsi="標楷體"/>
                                      <w:sz w:val="20"/>
                                      <w:szCs w:val="20"/>
                                    </w:rPr>
                                  </w:pPr>
                                  <w:r>
                                    <w:rPr>
                                      <w:rFonts w:ascii="標楷體" w:eastAsia="標楷體" w:hAnsi="標楷體" w:cs="標楷體"/>
                                      <w:bCs/>
                                      <w:sz w:val="20"/>
                                      <w:szCs w:val="20"/>
                                    </w:rPr>
                                    <w:sym w:font="Wingdings 2" w:char="F050"/>
                                  </w:r>
                                </w:p>
                              </w:tc>
                            </w:tr>
                            <w:tr w:rsidR="00A85180" w14:paraId="09B9AB27"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098507CB"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4</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4F889D1C"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財團法人台灣基督教恩惠福音會</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47001503"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70.00</w:t>
                                  </w:r>
                                </w:p>
                              </w:tc>
                              <w:tc>
                                <w:tcPr>
                                  <w:tcW w:w="834" w:type="dxa"/>
                                  <w:tcBorders>
                                    <w:top w:val="single" w:sz="4" w:space="0" w:color="auto"/>
                                    <w:left w:val="single" w:sz="4" w:space="0" w:color="auto"/>
                                    <w:bottom w:val="single" w:sz="4" w:space="0" w:color="auto"/>
                                    <w:right w:val="single" w:sz="4" w:space="0" w:color="auto"/>
                                  </w:tcBorders>
                                  <w:vAlign w:val="center"/>
                                  <w:hideMark/>
                                </w:tcPr>
                                <w:p w14:paraId="6932E5C2"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75.50</w:t>
                                  </w:r>
                                </w:p>
                              </w:tc>
                              <w:tc>
                                <w:tcPr>
                                  <w:tcW w:w="901" w:type="dxa"/>
                                  <w:tcBorders>
                                    <w:top w:val="single" w:sz="4" w:space="0" w:color="auto"/>
                                    <w:left w:val="single" w:sz="4" w:space="0" w:color="auto"/>
                                    <w:bottom w:val="single" w:sz="4" w:space="0" w:color="auto"/>
                                    <w:right w:val="single" w:sz="4" w:space="0" w:color="auto"/>
                                  </w:tcBorders>
                                  <w:vAlign w:val="center"/>
                                  <w:hideMark/>
                                </w:tcPr>
                                <w:p w14:paraId="60A5433A"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5.50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3F10FCA9" w14:textId="77777777" w:rsidR="00A85180" w:rsidRDefault="00A85180">
                                  <w:pPr>
                                    <w:jc w:val="center"/>
                                    <w:rPr>
                                      <w:rFonts w:ascii="標楷體" w:eastAsia="標楷體" w:hAnsi="標楷體"/>
                                      <w:sz w:val="20"/>
                                      <w:szCs w:val="20"/>
                                    </w:rPr>
                                  </w:pPr>
                                  <w:r>
                                    <w:rPr>
                                      <w:rFonts w:ascii="標楷體" w:eastAsia="標楷體" w:hAnsi="標楷體" w:cs="標楷體"/>
                                      <w:bCs/>
                                      <w:sz w:val="20"/>
                                      <w:szCs w:val="20"/>
                                    </w:rPr>
                                    <w:sym w:font="Wingdings 2" w:char="F050"/>
                                  </w:r>
                                </w:p>
                              </w:tc>
                            </w:tr>
                            <w:tr w:rsidR="00A85180" w14:paraId="10D2E5CA"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32E79CC8"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5</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7A768589" w14:textId="77777777" w:rsidR="00A85180" w:rsidRDefault="00A85180">
                                  <w:pPr>
                                    <w:spacing w:line="0" w:lineRule="atLeast"/>
                                    <w:ind w:leftChars="-42" w:left="-101"/>
                                    <w:jc w:val="both"/>
                                    <w:rPr>
                                      <w:rFonts w:ascii="標楷體" w:eastAsia="標楷體" w:hAnsi="標楷體"/>
                                      <w:spacing w:val="-20"/>
                                      <w:sz w:val="20"/>
                                      <w:szCs w:val="20"/>
                                    </w:rPr>
                                  </w:pPr>
                                  <w:r>
                                    <w:rPr>
                                      <w:rFonts w:ascii="標楷體" w:eastAsia="標楷體" w:hAnsi="標楷體" w:hint="eastAsia"/>
                                      <w:spacing w:val="-20"/>
                                      <w:sz w:val="20"/>
                                      <w:szCs w:val="20"/>
                                    </w:rPr>
                                    <w:t>臺北市立聯合醫院陽明院區神經內科</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2FEDD3A7"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86.50</w:t>
                                  </w:r>
                                </w:p>
                              </w:tc>
                              <w:tc>
                                <w:tcPr>
                                  <w:tcW w:w="834" w:type="dxa"/>
                                  <w:tcBorders>
                                    <w:top w:val="single" w:sz="4" w:space="0" w:color="auto"/>
                                    <w:left w:val="single" w:sz="4" w:space="0" w:color="auto"/>
                                    <w:bottom w:val="single" w:sz="4" w:space="0" w:color="auto"/>
                                    <w:right w:val="single" w:sz="4" w:space="0" w:color="auto"/>
                                  </w:tcBorders>
                                  <w:vAlign w:val="center"/>
                                  <w:hideMark/>
                                </w:tcPr>
                                <w:p w14:paraId="51DD834F"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75.00</w:t>
                                  </w:r>
                                </w:p>
                              </w:tc>
                              <w:tc>
                                <w:tcPr>
                                  <w:tcW w:w="901" w:type="dxa"/>
                                  <w:tcBorders>
                                    <w:top w:val="single" w:sz="4" w:space="0" w:color="auto"/>
                                    <w:left w:val="single" w:sz="4" w:space="0" w:color="auto"/>
                                    <w:bottom w:val="single" w:sz="4" w:space="0" w:color="auto"/>
                                    <w:right w:val="single" w:sz="4" w:space="0" w:color="auto"/>
                                  </w:tcBorders>
                                  <w:vAlign w:val="center"/>
                                  <w:hideMark/>
                                </w:tcPr>
                                <w:p w14:paraId="3A035F24"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- 11.50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2E65C212" w14:textId="77777777" w:rsidR="00A85180" w:rsidRDefault="00A85180">
                                  <w:pPr>
                                    <w:jc w:val="center"/>
                                    <w:rPr>
                                      <w:rFonts w:ascii="標楷體" w:eastAsia="標楷體" w:hAnsi="標楷體"/>
                                      <w:sz w:val="20"/>
                                      <w:szCs w:val="20"/>
                                    </w:rPr>
                                  </w:pPr>
                                  <w:r>
                                    <w:rPr>
                                      <w:rFonts w:ascii="標楷體" w:eastAsia="標楷體" w:hAnsi="標楷體" w:cs="標楷體"/>
                                      <w:bCs/>
                                      <w:sz w:val="20"/>
                                      <w:szCs w:val="20"/>
                                    </w:rPr>
                                    <w:sym w:font="Wingdings 2" w:char="F050"/>
                                  </w:r>
                                </w:p>
                              </w:tc>
                            </w:tr>
                            <w:tr w:rsidR="00A85180" w14:paraId="0814CCD1"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05C6212C"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6</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1CF33D99"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財團法人台灣老人急重症基金會</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3A8EDB4B"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61.00</w:t>
                                  </w:r>
                                </w:p>
                              </w:tc>
                              <w:tc>
                                <w:tcPr>
                                  <w:tcW w:w="834" w:type="dxa"/>
                                  <w:tcBorders>
                                    <w:top w:val="single" w:sz="4" w:space="0" w:color="auto"/>
                                    <w:left w:val="single" w:sz="4" w:space="0" w:color="auto"/>
                                    <w:bottom w:val="single" w:sz="4" w:space="0" w:color="auto"/>
                                    <w:right w:val="single" w:sz="4" w:space="0" w:color="auto"/>
                                  </w:tcBorders>
                                  <w:vAlign w:val="center"/>
                                  <w:hideMark/>
                                </w:tcPr>
                                <w:p w14:paraId="157F9561"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67.50</w:t>
                                  </w:r>
                                </w:p>
                              </w:tc>
                              <w:tc>
                                <w:tcPr>
                                  <w:tcW w:w="901" w:type="dxa"/>
                                  <w:tcBorders>
                                    <w:top w:val="single" w:sz="4" w:space="0" w:color="auto"/>
                                    <w:left w:val="single" w:sz="4" w:space="0" w:color="auto"/>
                                    <w:bottom w:val="single" w:sz="4" w:space="0" w:color="auto"/>
                                    <w:right w:val="single" w:sz="4" w:space="0" w:color="auto"/>
                                  </w:tcBorders>
                                  <w:vAlign w:val="center"/>
                                  <w:hideMark/>
                                </w:tcPr>
                                <w:p w14:paraId="5A926881"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6.50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3DBFF488" w14:textId="77777777" w:rsidR="00A85180" w:rsidRDefault="00A85180">
                                  <w:pPr>
                                    <w:jc w:val="center"/>
                                    <w:rPr>
                                      <w:rFonts w:ascii="標楷體" w:eastAsia="標楷體" w:hAnsi="標楷體"/>
                                      <w:sz w:val="20"/>
                                      <w:szCs w:val="20"/>
                                    </w:rPr>
                                  </w:pPr>
                                  <w:r>
                                    <w:rPr>
                                      <w:rFonts w:ascii="標楷體" w:eastAsia="標楷體" w:hAnsi="標楷體" w:cs="標楷體"/>
                                      <w:bCs/>
                                      <w:sz w:val="20"/>
                                      <w:szCs w:val="20"/>
                                    </w:rPr>
                                    <w:sym w:font="Wingdings 2" w:char="F050"/>
                                  </w:r>
                                </w:p>
                              </w:tc>
                            </w:tr>
                            <w:tr w:rsidR="00A85180" w14:paraId="09FAC37E"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21022560"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7</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6A60973C"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臺北市</w:t>
                                  </w:r>
                                  <w:proofErr w:type="gramStart"/>
                                  <w:r>
                                    <w:rPr>
                                      <w:rFonts w:ascii="標楷體" w:eastAsia="標楷體" w:hAnsi="標楷體" w:hint="eastAsia"/>
                                      <w:spacing w:val="-16"/>
                                      <w:sz w:val="20"/>
                                      <w:szCs w:val="20"/>
                                    </w:rPr>
                                    <w:t>北投區林泉社區</w:t>
                                  </w:r>
                                  <w:proofErr w:type="gramEnd"/>
                                  <w:r>
                                    <w:rPr>
                                      <w:rFonts w:ascii="標楷體" w:eastAsia="標楷體" w:hAnsi="標楷體" w:hint="eastAsia"/>
                                      <w:spacing w:val="-16"/>
                                      <w:sz w:val="20"/>
                                      <w:szCs w:val="20"/>
                                    </w:rPr>
                                    <w:t>發展協會</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1696BDF4"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89.00</w:t>
                                  </w:r>
                                </w:p>
                              </w:tc>
                              <w:tc>
                                <w:tcPr>
                                  <w:tcW w:w="834" w:type="dxa"/>
                                  <w:tcBorders>
                                    <w:top w:val="single" w:sz="4" w:space="0" w:color="auto"/>
                                    <w:left w:val="single" w:sz="4" w:space="0" w:color="auto"/>
                                    <w:bottom w:val="single" w:sz="4" w:space="0" w:color="auto"/>
                                    <w:right w:val="single" w:sz="4" w:space="0" w:color="auto"/>
                                  </w:tcBorders>
                                  <w:vAlign w:val="center"/>
                                  <w:hideMark/>
                                </w:tcPr>
                                <w:p w14:paraId="3001F55C"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62.50</w:t>
                                  </w:r>
                                </w:p>
                              </w:tc>
                              <w:tc>
                                <w:tcPr>
                                  <w:tcW w:w="901" w:type="dxa"/>
                                  <w:tcBorders>
                                    <w:top w:val="single" w:sz="4" w:space="0" w:color="auto"/>
                                    <w:left w:val="single" w:sz="4" w:space="0" w:color="auto"/>
                                    <w:bottom w:val="single" w:sz="4" w:space="0" w:color="auto"/>
                                    <w:right w:val="single" w:sz="4" w:space="0" w:color="auto"/>
                                  </w:tcBorders>
                                  <w:vAlign w:val="center"/>
                                  <w:hideMark/>
                                </w:tcPr>
                                <w:p w14:paraId="562E9B58"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- 26.50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550A5F67" w14:textId="77777777" w:rsidR="00A85180" w:rsidRDefault="00A85180">
                                  <w:pPr>
                                    <w:jc w:val="center"/>
                                    <w:rPr>
                                      <w:rFonts w:ascii="標楷體" w:eastAsia="標楷體" w:hAnsi="標楷體"/>
                                      <w:sz w:val="20"/>
                                      <w:szCs w:val="20"/>
                                    </w:rPr>
                                  </w:pPr>
                                  <w:r>
                                    <w:rPr>
                                      <w:rFonts w:ascii="標楷體" w:eastAsia="標楷體" w:hAnsi="標楷體" w:cs="標楷體"/>
                                      <w:bCs/>
                                      <w:sz w:val="20"/>
                                      <w:szCs w:val="20"/>
                                    </w:rPr>
                                    <w:sym w:font="Wingdings 2" w:char="F050"/>
                                  </w:r>
                                </w:p>
                              </w:tc>
                            </w:tr>
                            <w:tr w:rsidR="00A85180" w14:paraId="756152AD"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742A80C7"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8</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1D9B417D"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台灣健康關愛發展協會</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682C212A" w14:textId="77777777" w:rsidR="00A85180" w:rsidRDefault="00A85180">
                                  <w:pPr>
                                    <w:spacing w:line="0" w:lineRule="atLeast"/>
                                    <w:jc w:val="right"/>
                                    <w:rPr>
                                      <w:rFonts w:ascii="標楷體" w:eastAsia="標楷體" w:hAnsi="標楷體"/>
                                      <w:spacing w:val="-6"/>
                                      <w:sz w:val="20"/>
                                      <w:szCs w:val="20"/>
                                    </w:rPr>
                                  </w:pPr>
                                  <w:r>
                                    <w:rPr>
                                      <w:rFonts w:ascii="標楷體" w:eastAsia="標楷體" w:hAnsi="標楷體" w:hint="eastAsia"/>
                                      <w:spacing w:val="-6"/>
                                      <w:sz w:val="20"/>
                                      <w:szCs w:val="20"/>
                                    </w:rPr>
                                    <w:t>56.50</w:t>
                                  </w:r>
                                </w:p>
                              </w:tc>
                              <w:tc>
                                <w:tcPr>
                                  <w:tcW w:w="834" w:type="dxa"/>
                                  <w:tcBorders>
                                    <w:top w:val="single" w:sz="4" w:space="0" w:color="auto"/>
                                    <w:left w:val="single" w:sz="4" w:space="0" w:color="auto"/>
                                    <w:bottom w:val="single" w:sz="4" w:space="0" w:color="auto"/>
                                    <w:right w:val="single" w:sz="4" w:space="0" w:color="auto"/>
                                  </w:tcBorders>
                                  <w:vAlign w:val="center"/>
                                  <w:hideMark/>
                                </w:tcPr>
                                <w:p w14:paraId="0001306A" w14:textId="77777777" w:rsidR="00A85180" w:rsidRDefault="00A85180">
                                  <w:pPr>
                                    <w:spacing w:line="0" w:lineRule="atLeast"/>
                                    <w:jc w:val="right"/>
                                    <w:rPr>
                                      <w:rFonts w:ascii="標楷體" w:eastAsia="標楷體" w:hAnsi="標楷體"/>
                                      <w:spacing w:val="-6"/>
                                      <w:sz w:val="20"/>
                                      <w:szCs w:val="20"/>
                                    </w:rPr>
                                  </w:pPr>
                                  <w:r>
                                    <w:rPr>
                                      <w:rFonts w:ascii="標楷體" w:eastAsia="標楷體" w:hAnsi="標楷體" w:hint="eastAsia"/>
                                      <w:spacing w:val="-6"/>
                                      <w:sz w:val="20"/>
                                      <w:szCs w:val="20"/>
                                    </w:rPr>
                                    <w:t>50.00</w:t>
                                  </w:r>
                                </w:p>
                              </w:tc>
                              <w:tc>
                                <w:tcPr>
                                  <w:tcW w:w="901" w:type="dxa"/>
                                  <w:tcBorders>
                                    <w:top w:val="single" w:sz="4" w:space="0" w:color="auto"/>
                                    <w:left w:val="single" w:sz="4" w:space="0" w:color="auto"/>
                                    <w:bottom w:val="single" w:sz="4" w:space="0" w:color="auto"/>
                                    <w:right w:val="single" w:sz="4" w:space="0" w:color="auto"/>
                                  </w:tcBorders>
                                  <w:vAlign w:val="center"/>
                                  <w:hideMark/>
                                </w:tcPr>
                                <w:p w14:paraId="48AAF20D" w14:textId="77777777" w:rsidR="00A85180" w:rsidRDefault="00A85180">
                                  <w:pPr>
                                    <w:spacing w:line="0" w:lineRule="atLeast"/>
                                    <w:jc w:val="right"/>
                                    <w:rPr>
                                      <w:rFonts w:ascii="標楷體" w:eastAsia="標楷體" w:hAnsi="標楷體"/>
                                      <w:spacing w:val="-6"/>
                                      <w:sz w:val="20"/>
                                      <w:szCs w:val="20"/>
                                    </w:rPr>
                                  </w:pPr>
                                  <w:r>
                                    <w:rPr>
                                      <w:rFonts w:ascii="標楷體" w:eastAsia="標楷體" w:hAnsi="標楷體" w:hint="eastAsia"/>
                                      <w:spacing w:val="-6"/>
                                      <w:sz w:val="20"/>
                                      <w:szCs w:val="20"/>
                                    </w:rPr>
                                    <w:t>- 6.50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6114C89E" w14:textId="77777777" w:rsidR="00A85180" w:rsidRDefault="00A85180">
                                  <w:pPr>
                                    <w:spacing w:line="0" w:lineRule="atLeast"/>
                                    <w:jc w:val="center"/>
                                    <w:rPr>
                                      <w:rFonts w:ascii="標楷體" w:eastAsia="標楷體" w:hAnsi="標楷體"/>
                                      <w:sz w:val="20"/>
                                      <w:szCs w:val="20"/>
                                    </w:rPr>
                                  </w:pPr>
                                  <w:proofErr w:type="gramStart"/>
                                  <w:r>
                                    <w:rPr>
                                      <w:rFonts w:ascii="標楷體" w:eastAsia="標楷體" w:hAnsi="標楷體" w:hint="eastAsia"/>
                                      <w:sz w:val="20"/>
                                      <w:szCs w:val="20"/>
                                    </w:rPr>
                                    <w:t>—</w:t>
                                  </w:r>
                                  <w:proofErr w:type="gramEnd"/>
                                </w:p>
                              </w:tc>
                            </w:tr>
                          </w:tbl>
                          <w:p w14:paraId="31ADABA9" w14:textId="17C8E70E" w:rsidR="00A85180" w:rsidRDefault="00A85180" w:rsidP="00CF1B20">
                            <w:pPr>
                              <w:spacing w:line="240" w:lineRule="exact"/>
                              <w:ind w:leftChars="87" w:left="209"/>
                              <w:rPr>
                                <w:rFonts w:ascii="標楷體" w:eastAsia="標楷體" w:hAnsi="標楷體"/>
                                <w:sz w:val="18"/>
                                <w:szCs w:val="18"/>
                              </w:rPr>
                            </w:pPr>
                            <w:r>
                              <w:rPr>
                                <w:rFonts w:ascii="標楷體" w:eastAsia="標楷體" w:hAnsi="標楷體" w:hint="eastAsia"/>
                                <w:sz w:val="18"/>
                                <w:szCs w:val="18"/>
                              </w:rPr>
                              <w:t>資料來源：整理自衛生局提供資料。</w:t>
                            </w:r>
                          </w:p>
                        </w:txbxContent>
                      </wps:txbx>
                      <wps:bodyPr rot="0" vertOverflow="clip" horzOverflow="clip" vert="horz" wrap="square" lIns="0" tIns="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0A110B" id="文字方塊 927419600" o:spid="_x0000_s1118" type="#_x0000_t202" style="position:absolute;left:0;text-align:left;margin-left:215.85pt;margin-top:103.15pt;width:279.15pt;height:333.35pt;z-index:-251586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" stroked="f">
                <v:textbox inset="0,0,0">
                  <w:txbxContent>
                    <w:p w14:paraId="643CDAB0" w14:textId="77777777" w:rsidR="00A85180" w:rsidRDefault="00A85180" w:rsidP="00CF1B20">
                      <w:pPr>
                        <w:spacing w:line="320" w:lineRule="exact"/>
                        <w:ind w:leftChars="81" w:left="854" w:hangingChars="305" w:hanging="660"/>
                        <w:rPr>
                          <w:rFonts w:ascii="標楷體" w:eastAsia="標楷體" w:hAnsi="標楷體"/>
                          <w:b/>
                          <w:bCs/>
                          <w:spacing w:val="-12"/>
                        </w:rPr>
                      </w:pPr>
                      <w:r>
                        <w:rPr>
                          <w:rFonts w:ascii="標楷體" w:eastAsia="標楷體" w:hAnsi="標楷體" w:hint="eastAsia"/>
                          <w:b/>
                          <w:bCs/>
                          <w:spacing w:val="-12"/>
                        </w:rPr>
                        <w:t>表3   112及</w:t>
                      </w:r>
                      <w:proofErr w:type="gramStart"/>
                      <w:r>
                        <w:rPr>
                          <w:rFonts w:ascii="標楷體" w:eastAsia="標楷體" w:hAnsi="標楷體" w:hint="eastAsia"/>
                          <w:b/>
                          <w:bCs/>
                          <w:spacing w:val="-12"/>
                        </w:rPr>
                        <w:t>113</w:t>
                      </w:r>
                      <w:proofErr w:type="gramEnd"/>
                      <w:r>
                        <w:rPr>
                          <w:rFonts w:ascii="標楷體" w:eastAsia="標楷體" w:hAnsi="標楷體" w:hint="eastAsia"/>
                          <w:b/>
                          <w:bCs/>
                          <w:spacing w:val="-12"/>
                        </w:rPr>
                        <w:t>年度失</w:t>
                      </w:r>
                      <w:proofErr w:type="gramStart"/>
                      <w:r>
                        <w:rPr>
                          <w:rFonts w:ascii="標楷體" w:eastAsia="標楷體" w:hAnsi="標楷體" w:hint="eastAsia"/>
                          <w:b/>
                          <w:bCs/>
                          <w:spacing w:val="-12"/>
                        </w:rPr>
                        <w:t>智共照</w:t>
                      </w:r>
                      <w:proofErr w:type="gramEnd"/>
                      <w:r>
                        <w:rPr>
                          <w:rFonts w:ascii="標楷體" w:eastAsia="標楷體" w:hAnsi="標楷體" w:hint="eastAsia"/>
                          <w:b/>
                          <w:bCs/>
                          <w:spacing w:val="-12"/>
                        </w:rPr>
                        <w:t>中心與服務據點考評成績未達80分明細</w:t>
                      </w:r>
                    </w:p>
                    <w:tbl>
                      <w:tblPr>
                        <w:tblStyle w:val="910"/>
                        <w:tblW w:w="5534" w:type="dxa"/>
                        <w:jc w:val="center"/>
                        <w:tblLook w:val="04A0" w:firstRow="1" w:lastRow="0" w:firstColumn="1" w:lastColumn="0" w:noHBand="0" w:noVBand="1"/>
                      </w:tblPr>
                      <w:tblGrid>
                        <w:gridCol w:w="422"/>
                        <w:gridCol w:w="1688"/>
                        <w:gridCol w:w="150"/>
                        <w:gridCol w:w="427"/>
                        <w:gridCol w:w="289"/>
                        <w:gridCol w:w="834"/>
                        <w:gridCol w:w="901"/>
                        <w:gridCol w:w="803"/>
                        <w:gridCol w:w="20"/>
                      </w:tblGrid>
                      <w:tr w:rsidR="00A85180" w14:paraId="2301E93C" w14:textId="77777777" w:rsidTr="00E9737B">
                        <w:trPr>
                          <w:trHeight w:val="113"/>
                          <w:jc w:val="center"/>
                        </w:trPr>
                        <w:tc>
                          <w:tcPr>
                            <w:tcW w:w="422" w:type="dxa"/>
                            <w:tcBorders>
                              <w:top w:val="nil"/>
                              <w:left w:val="nil"/>
                              <w:bottom w:val="single" w:sz="4" w:space="0" w:color="auto"/>
                              <w:right w:val="nil"/>
                            </w:tcBorders>
                          </w:tcPr>
                          <w:p w14:paraId="0D9E9058" w14:textId="77777777" w:rsidR="00A85180" w:rsidRDefault="00A85180" w:rsidP="00E9737B">
                            <w:pPr>
                              <w:spacing w:line="240" w:lineRule="exact"/>
                              <w:jc w:val="right"/>
                              <w:rPr>
                                <w:rFonts w:ascii="標楷體" w:eastAsia="標楷體" w:hAnsi="標楷體"/>
                                <w:sz w:val="18"/>
                                <w:szCs w:val="18"/>
                              </w:rPr>
                            </w:pPr>
                          </w:p>
                        </w:tc>
                        <w:tc>
                          <w:tcPr>
                            <w:tcW w:w="1688" w:type="dxa"/>
                            <w:tcBorders>
                              <w:top w:val="nil"/>
                              <w:left w:val="nil"/>
                              <w:bottom w:val="single" w:sz="4" w:space="0" w:color="auto"/>
                              <w:right w:val="nil"/>
                            </w:tcBorders>
                          </w:tcPr>
                          <w:p w14:paraId="171443DB" w14:textId="77777777" w:rsidR="00A85180" w:rsidRDefault="00A85180" w:rsidP="00E9737B">
                            <w:pPr>
                              <w:spacing w:line="240" w:lineRule="exact"/>
                              <w:jc w:val="right"/>
                              <w:rPr>
                                <w:rFonts w:ascii="標楷體" w:eastAsia="標楷體" w:hAnsi="標楷體"/>
                                <w:sz w:val="18"/>
                                <w:szCs w:val="18"/>
                              </w:rPr>
                            </w:pPr>
                          </w:p>
                        </w:tc>
                        <w:tc>
                          <w:tcPr>
                            <w:tcW w:w="577" w:type="dxa"/>
                            <w:gridSpan w:val="2"/>
                            <w:tcBorders>
                              <w:top w:val="nil"/>
                              <w:left w:val="nil"/>
                              <w:bottom w:val="single" w:sz="4" w:space="0" w:color="auto"/>
                              <w:right w:val="nil"/>
                            </w:tcBorders>
                          </w:tcPr>
                          <w:p w14:paraId="7F7BF1C3" w14:textId="77777777" w:rsidR="00A85180" w:rsidRDefault="00A85180" w:rsidP="00E9737B">
                            <w:pPr>
                              <w:spacing w:line="240" w:lineRule="exact"/>
                              <w:jc w:val="right"/>
                              <w:rPr>
                                <w:rFonts w:ascii="標楷體" w:eastAsia="標楷體" w:hAnsi="標楷體"/>
                                <w:sz w:val="18"/>
                                <w:szCs w:val="18"/>
                              </w:rPr>
                            </w:pPr>
                          </w:p>
                        </w:tc>
                        <w:tc>
                          <w:tcPr>
                            <w:tcW w:w="2847" w:type="dxa"/>
                            <w:gridSpan w:val="5"/>
                            <w:tcBorders>
                              <w:top w:val="nil"/>
                              <w:left w:val="nil"/>
                              <w:bottom w:val="single" w:sz="4" w:space="0" w:color="auto"/>
                              <w:right w:val="nil"/>
                            </w:tcBorders>
                            <w:vAlign w:val="center"/>
                            <w:hideMark/>
                          </w:tcPr>
                          <w:p w14:paraId="50F6B170" w14:textId="77777777" w:rsidR="00A85180" w:rsidRDefault="00A85180" w:rsidP="00E9737B">
                            <w:pPr>
                              <w:spacing w:line="240" w:lineRule="exact"/>
                              <w:jc w:val="right"/>
                              <w:rPr>
                                <w:rFonts w:ascii="標楷體" w:eastAsia="標楷體" w:hAnsi="標楷體"/>
                                <w:sz w:val="20"/>
                                <w:szCs w:val="20"/>
                              </w:rPr>
                            </w:pPr>
                            <w:r>
                              <w:rPr>
                                <w:rFonts w:ascii="標楷體" w:eastAsia="標楷體" w:hAnsi="標楷體" w:hint="eastAsia"/>
                                <w:sz w:val="20"/>
                                <w:szCs w:val="20"/>
                              </w:rPr>
                              <w:t>單位：分</w:t>
                            </w:r>
                          </w:p>
                        </w:tc>
                      </w:tr>
                      <w:tr w:rsidR="00A85180" w14:paraId="52E8EFBB" w14:textId="77777777">
                        <w:trPr>
                          <w:gridAfter w:val="1"/>
                          <w:wAfter w:w="20" w:type="dxa"/>
                          <w:trHeight w:val="275"/>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1B5D6A95" w14:textId="77777777" w:rsidR="00A85180" w:rsidRDefault="00A85180">
                            <w:pPr>
                              <w:jc w:val="center"/>
                              <w:rPr>
                                <w:rFonts w:ascii="標楷體" w:eastAsia="標楷體" w:hAnsi="標楷體"/>
                                <w:sz w:val="20"/>
                                <w:szCs w:val="20"/>
                              </w:rPr>
                            </w:pPr>
                            <w:r>
                              <w:rPr>
                                <w:rFonts w:ascii="標楷體" w:eastAsia="標楷體" w:hAnsi="標楷體" w:hint="eastAsia"/>
                                <w:sz w:val="20"/>
                                <w:szCs w:val="20"/>
                              </w:rPr>
                              <w:t>項</w:t>
                            </w:r>
                          </w:p>
                          <w:p w14:paraId="69CE8A0D" w14:textId="77777777" w:rsidR="00A85180" w:rsidRDefault="00A85180">
                            <w:pPr>
                              <w:jc w:val="center"/>
                              <w:rPr>
                                <w:rFonts w:ascii="標楷體" w:eastAsia="標楷體" w:hAnsi="標楷體"/>
                                <w:sz w:val="20"/>
                                <w:szCs w:val="20"/>
                              </w:rPr>
                            </w:pPr>
                            <w:r>
                              <w:rPr>
                                <w:rFonts w:ascii="標楷體" w:eastAsia="標楷體" w:hAnsi="標楷體" w:hint="eastAsia"/>
                                <w:sz w:val="20"/>
                                <w:szCs w:val="20"/>
                              </w:rPr>
                              <w:t>次</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33931035" w14:textId="77777777" w:rsidR="00A85180" w:rsidRDefault="00A85180">
                            <w:pPr>
                              <w:jc w:val="center"/>
                              <w:rPr>
                                <w:rFonts w:ascii="標楷體" w:eastAsia="標楷體" w:hAnsi="標楷體"/>
                                <w:sz w:val="20"/>
                                <w:szCs w:val="20"/>
                              </w:rPr>
                            </w:pPr>
                            <w:r>
                              <w:rPr>
                                <w:rFonts w:ascii="標楷體" w:eastAsia="標楷體" w:hAnsi="標楷體" w:hint="eastAsia"/>
                                <w:sz w:val="20"/>
                                <w:szCs w:val="20"/>
                              </w:rPr>
                              <w:t>單位名稱</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2BE181EB"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112</w:t>
                            </w:r>
                          </w:p>
                          <w:p w14:paraId="0541E4D9"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年度</w:t>
                            </w:r>
                          </w:p>
                          <w:p w14:paraId="4BF50F74"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（A）</w:t>
                            </w:r>
                          </w:p>
                        </w:tc>
                        <w:tc>
                          <w:tcPr>
                            <w:tcW w:w="834" w:type="dxa"/>
                            <w:tcBorders>
                              <w:top w:val="single" w:sz="4" w:space="0" w:color="auto"/>
                              <w:left w:val="single" w:sz="4" w:space="0" w:color="auto"/>
                              <w:bottom w:val="single" w:sz="4" w:space="0" w:color="auto"/>
                              <w:right w:val="single" w:sz="4" w:space="0" w:color="auto"/>
                            </w:tcBorders>
                            <w:vAlign w:val="center"/>
                            <w:hideMark/>
                          </w:tcPr>
                          <w:p w14:paraId="135EBEF1"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113</w:t>
                            </w:r>
                          </w:p>
                          <w:p w14:paraId="34CFE94F"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年度</w:t>
                            </w:r>
                          </w:p>
                          <w:p w14:paraId="273659A9" w14:textId="77777777" w:rsidR="00A85180" w:rsidRDefault="00A85180">
                            <w:pPr>
                              <w:spacing w:line="0" w:lineRule="atLeast"/>
                              <w:jc w:val="center"/>
                              <w:rPr>
                                <w:rFonts w:ascii="標楷體" w:eastAsia="標楷體" w:hAnsi="標楷體"/>
                                <w:sz w:val="20"/>
                                <w:szCs w:val="20"/>
                              </w:rPr>
                            </w:pPr>
                            <w:r>
                              <w:rPr>
                                <w:rFonts w:ascii="標楷體" w:eastAsia="標楷體" w:hAnsi="標楷體" w:hint="eastAsia"/>
                                <w:sz w:val="20"/>
                                <w:szCs w:val="20"/>
                              </w:rPr>
                              <w:t>（B）</w:t>
                            </w:r>
                          </w:p>
                        </w:tc>
                        <w:tc>
                          <w:tcPr>
                            <w:tcW w:w="901" w:type="dxa"/>
                            <w:tcBorders>
                              <w:top w:val="single" w:sz="4" w:space="0" w:color="auto"/>
                              <w:left w:val="single" w:sz="4" w:space="0" w:color="auto"/>
                              <w:bottom w:val="single" w:sz="4" w:space="0" w:color="auto"/>
                              <w:right w:val="single" w:sz="4" w:space="0" w:color="auto"/>
                            </w:tcBorders>
                            <w:vAlign w:val="center"/>
                            <w:hideMark/>
                          </w:tcPr>
                          <w:p w14:paraId="6B1A79B0" w14:textId="77777777" w:rsidR="00A85180" w:rsidRDefault="00A85180">
                            <w:pPr>
                              <w:spacing w:line="0" w:lineRule="atLeast"/>
                              <w:ind w:leftChars="-4" w:left="-10"/>
                              <w:jc w:val="center"/>
                              <w:rPr>
                                <w:rFonts w:ascii="標楷體" w:eastAsia="標楷體" w:hAnsi="標楷體"/>
                                <w:spacing w:val="-20"/>
                                <w:sz w:val="20"/>
                                <w:szCs w:val="20"/>
                              </w:rPr>
                            </w:pPr>
                            <w:r>
                              <w:rPr>
                                <w:rFonts w:ascii="標楷體" w:eastAsia="標楷體" w:hAnsi="標楷體" w:hint="eastAsia"/>
                                <w:spacing w:val="-20"/>
                                <w:sz w:val="20"/>
                                <w:szCs w:val="20"/>
                              </w:rPr>
                              <w:t>差異</w:t>
                            </w:r>
                          </w:p>
                          <w:p w14:paraId="71BB5836" w14:textId="3BA41AA7" w:rsidR="00A85180" w:rsidRPr="005F4A66" w:rsidRDefault="00A85180">
                            <w:pPr>
                              <w:spacing w:line="0" w:lineRule="atLeast"/>
                              <w:ind w:leftChars="-63" w:left="-151" w:rightChars="-62" w:right="-149"/>
                              <w:jc w:val="center"/>
                              <w:rPr>
                                <w:rFonts w:ascii="標楷體" w:eastAsia="標楷體" w:hAnsi="標楷體"/>
                                <w:sz w:val="20"/>
                                <w:szCs w:val="20"/>
                              </w:rPr>
                            </w:pPr>
                            <w:r w:rsidRPr="005F4A66">
                              <w:rPr>
                                <w:rFonts w:ascii="標楷體" w:eastAsia="標楷體" w:hAnsi="標楷體" w:hint="eastAsia"/>
                                <w:sz w:val="20"/>
                                <w:szCs w:val="20"/>
                              </w:rPr>
                              <w:t>（B－A）</w:t>
                            </w:r>
                          </w:p>
                        </w:tc>
                        <w:tc>
                          <w:tcPr>
                            <w:tcW w:w="803" w:type="dxa"/>
                            <w:tcBorders>
                              <w:top w:val="single" w:sz="4" w:space="0" w:color="auto"/>
                              <w:left w:val="single" w:sz="4" w:space="0" w:color="auto"/>
                              <w:bottom w:val="single" w:sz="4" w:space="0" w:color="auto"/>
                              <w:right w:val="single" w:sz="4" w:space="0" w:color="auto"/>
                            </w:tcBorders>
                            <w:hideMark/>
                          </w:tcPr>
                          <w:p w14:paraId="3B33F273" w14:textId="77777777" w:rsidR="00A85180" w:rsidRPr="0072102A" w:rsidRDefault="00A85180" w:rsidP="0072102A">
                            <w:pPr>
                              <w:spacing w:line="0" w:lineRule="atLeast"/>
                              <w:ind w:leftChars="-37" w:left="-89" w:rightChars="-30" w:right="-72"/>
                              <w:jc w:val="center"/>
                              <w:rPr>
                                <w:rFonts w:ascii="標楷體" w:eastAsia="標楷體" w:hAnsi="標楷體"/>
                                <w:spacing w:val="-8"/>
                                <w:sz w:val="20"/>
                                <w:szCs w:val="20"/>
                              </w:rPr>
                            </w:pPr>
                            <w:r w:rsidRPr="0072102A">
                              <w:rPr>
                                <w:rFonts w:ascii="標楷體" w:eastAsia="標楷體" w:hAnsi="標楷體" w:hint="eastAsia"/>
                                <w:spacing w:val="-8"/>
                                <w:sz w:val="20"/>
                                <w:szCs w:val="20"/>
                              </w:rPr>
                              <w:t>是否於</w:t>
                            </w:r>
                            <w:proofErr w:type="gramStart"/>
                            <w:r w:rsidRPr="0072102A">
                              <w:rPr>
                                <w:rFonts w:ascii="標楷體" w:eastAsia="標楷體" w:hAnsi="標楷體" w:hint="eastAsia"/>
                                <w:spacing w:val="-8"/>
                                <w:sz w:val="20"/>
                                <w:szCs w:val="20"/>
                              </w:rPr>
                              <w:t>114</w:t>
                            </w:r>
                            <w:proofErr w:type="gramEnd"/>
                            <w:r w:rsidRPr="0072102A">
                              <w:rPr>
                                <w:rFonts w:ascii="標楷體" w:eastAsia="標楷體" w:hAnsi="標楷體" w:hint="eastAsia"/>
                                <w:spacing w:val="-8"/>
                                <w:sz w:val="20"/>
                                <w:szCs w:val="20"/>
                              </w:rPr>
                              <w:t>年度繼續營運</w:t>
                            </w:r>
                          </w:p>
                        </w:tc>
                      </w:tr>
                      <w:tr w:rsidR="00A85180" w14:paraId="6E0F351B" w14:textId="77777777" w:rsidTr="00A85180">
                        <w:trPr>
                          <w:gridAfter w:val="1"/>
                          <w:wAfter w:w="20" w:type="dxa"/>
                          <w:trHeight w:val="227"/>
                          <w:jc w:val="center"/>
                        </w:trPr>
                        <w:tc>
                          <w:tcPr>
                            <w:tcW w:w="5514" w:type="dxa"/>
                            <w:gridSpan w:val="8"/>
                            <w:tcBorders>
                              <w:top w:val="single" w:sz="4" w:space="0" w:color="auto"/>
                              <w:left w:val="single" w:sz="4" w:space="0" w:color="auto"/>
                              <w:bottom w:val="single" w:sz="4" w:space="0" w:color="auto"/>
                              <w:right w:val="single" w:sz="4" w:space="0" w:color="auto"/>
                            </w:tcBorders>
                            <w:vAlign w:val="center"/>
                            <w:hideMark/>
                          </w:tcPr>
                          <w:p w14:paraId="4D41BD7D" w14:textId="77777777" w:rsidR="00A85180" w:rsidRDefault="00A85180" w:rsidP="00E9737B">
                            <w:pPr>
                              <w:spacing w:line="240" w:lineRule="exact"/>
                              <w:rPr>
                                <w:rFonts w:ascii="標楷體" w:eastAsia="標楷體" w:hAnsi="標楷體" w:cs="標楷體"/>
                                <w:bCs/>
                                <w:sz w:val="20"/>
                                <w:szCs w:val="20"/>
                              </w:rPr>
                            </w:pPr>
                            <w:r>
                              <w:rPr>
                                <w:rFonts w:ascii="標楷體" w:eastAsia="標楷體" w:hAnsi="標楷體" w:hint="eastAsia"/>
                                <w:b/>
                                <w:bCs/>
                                <w:sz w:val="20"/>
                                <w:szCs w:val="20"/>
                              </w:rPr>
                              <w:t>失</w:t>
                            </w:r>
                            <w:proofErr w:type="gramStart"/>
                            <w:r>
                              <w:rPr>
                                <w:rFonts w:ascii="標楷體" w:eastAsia="標楷體" w:hAnsi="標楷體" w:hint="eastAsia"/>
                                <w:b/>
                                <w:bCs/>
                                <w:sz w:val="20"/>
                                <w:szCs w:val="20"/>
                              </w:rPr>
                              <w:t>智共照</w:t>
                            </w:r>
                            <w:proofErr w:type="gramEnd"/>
                            <w:r>
                              <w:rPr>
                                <w:rFonts w:ascii="標楷體" w:eastAsia="標楷體" w:hAnsi="標楷體" w:hint="eastAsia"/>
                                <w:b/>
                                <w:bCs/>
                                <w:sz w:val="20"/>
                                <w:szCs w:val="20"/>
                              </w:rPr>
                              <w:t>中心</w:t>
                            </w:r>
                          </w:p>
                        </w:tc>
                      </w:tr>
                      <w:tr w:rsidR="00A85180" w14:paraId="2FEDA00A"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58753EB3"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1</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24F33677"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國立臺灣大學醫學院附設</w:t>
                            </w:r>
                            <w:proofErr w:type="gramStart"/>
                            <w:r>
                              <w:rPr>
                                <w:rFonts w:ascii="標楷體" w:eastAsia="標楷體" w:hAnsi="標楷體" w:hint="eastAsia"/>
                                <w:spacing w:val="-16"/>
                                <w:sz w:val="20"/>
                                <w:szCs w:val="20"/>
                              </w:rPr>
                              <w:t>醫院北護分院</w:t>
                            </w:r>
                            <w:proofErr w:type="gramEnd"/>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217D3A1D"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72.46</w:t>
                            </w:r>
                          </w:p>
                        </w:tc>
                        <w:tc>
                          <w:tcPr>
                            <w:tcW w:w="834" w:type="dxa"/>
                            <w:tcBorders>
                              <w:top w:val="single" w:sz="4" w:space="0" w:color="auto"/>
                              <w:left w:val="single" w:sz="4" w:space="0" w:color="auto"/>
                              <w:bottom w:val="single" w:sz="4" w:space="0" w:color="auto"/>
                              <w:right w:val="single" w:sz="4" w:space="0" w:color="auto"/>
                            </w:tcBorders>
                            <w:vAlign w:val="center"/>
                            <w:hideMark/>
                          </w:tcPr>
                          <w:p w14:paraId="5C2B3DEE"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76.86</w:t>
                            </w:r>
                          </w:p>
                        </w:tc>
                        <w:tc>
                          <w:tcPr>
                            <w:tcW w:w="901" w:type="dxa"/>
                            <w:tcBorders>
                              <w:top w:val="single" w:sz="4" w:space="0" w:color="auto"/>
                              <w:left w:val="single" w:sz="4" w:space="0" w:color="auto"/>
                              <w:bottom w:val="single" w:sz="4" w:space="0" w:color="auto"/>
                              <w:right w:val="single" w:sz="4" w:space="0" w:color="auto"/>
                            </w:tcBorders>
                            <w:vAlign w:val="center"/>
                            <w:hideMark/>
                          </w:tcPr>
                          <w:p w14:paraId="01F3B3AC" w14:textId="77777777" w:rsidR="00A85180" w:rsidRDefault="00A85180">
                            <w:pPr>
                              <w:wordWrap w:val="0"/>
                              <w:jc w:val="right"/>
                              <w:rPr>
                                <w:rFonts w:ascii="標楷體" w:eastAsia="標楷體" w:hAnsi="標楷體"/>
                                <w:spacing w:val="-6"/>
                                <w:sz w:val="20"/>
                                <w:szCs w:val="20"/>
                              </w:rPr>
                            </w:pPr>
                            <w:r>
                              <w:rPr>
                                <w:rFonts w:ascii="標楷體" w:eastAsia="標楷體" w:hAnsi="標楷體" w:hint="eastAsia"/>
                                <w:spacing w:val="-6"/>
                                <w:sz w:val="20"/>
                                <w:szCs w:val="20"/>
                              </w:rPr>
                              <w:t>4.4</w:t>
                            </w:r>
                          </w:p>
                        </w:tc>
                        <w:tc>
                          <w:tcPr>
                            <w:tcW w:w="803" w:type="dxa"/>
                            <w:tcBorders>
                              <w:top w:val="single" w:sz="4" w:space="0" w:color="auto"/>
                              <w:left w:val="single" w:sz="4" w:space="0" w:color="auto"/>
                              <w:bottom w:val="single" w:sz="4" w:space="0" w:color="auto"/>
                              <w:right w:val="single" w:sz="4" w:space="0" w:color="auto"/>
                            </w:tcBorders>
                            <w:vAlign w:val="center"/>
                            <w:hideMark/>
                          </w:tcPr>
                          <w:p w14:paraId="7D4089A6" w14:textId="77777777" w:rsidR="00A85180" w:rsidRDefault="00A85180">
                            <w:pPr>
                              <w:jc w:val="center"/>
                              <w:rPr>
                                <w:rFonts w:ascii="標楷體" w:eastAsia="標楷體" w:hAnsi="標楷體" w:cs="標楷體"/>
                                <w:bCs/>
                                <w:sz w:val="20"/>
                                <w:szCs w:val="20"/>
                              </w:rPr>
                            </w:pPr>
                            <w:r>
                              <w:rPr>
                                <w:rFonts w:ascii="標楷體" w:eastAsia="標楷體" w:hAnsi="標楷體" w:cs="標楷體"/>
                                <w:bCs/>
                                <w:sz w:val="20"/>
                                <w:szCs w:val="20"/>
                              </w:rPr>
                              <w:sym w:font="Wingdings 2" w:char="F050"/>
                            </w:r>
                          </w:p>
                        </w:tc>
                      </w:tr>
                      <w:tr w:rsidR="00A85180" w14:paraId="01FBA019" w14:textId="77777777" w:rsidTr="00E9737B">
                        <w:trPr>
                          <w:gridAfter w:val="1"/>
                          <w:wAfter w:w="20" w:type="dxa"/>
                          <w:trHeight w:val="170"/>
                          <w:jc w:val="center"/>
                        </w:trPr>
                        <w:tc>
                          <w:tcPr>
                            <w:tcW w:w="5514" w:type="dxa"/>
                            <w:gridSpan w:val="8"/>
                            <w:tcBorders>
                              <w:top w:val="single" w:sz="4" w:space="0" w:color="auto"/>
                              <w:left w:val="single" w:sz="4" w:space="0" w:color="auto"/>
                              <w:bottom w:val="single" w:sz="4" w:space="0" w:color="auto"/>
                              <w:right w:val="single" w:sz="4" w:space="0" w:color="auto"/>
                            </w:tcBorders>
                            <w:vAlign w:val="center"/>
                            <w:hideMark/>
                          </w:tcPr>
                          <w:p w14:paraId="4A217E6B" w14:textId="77777777" w:rsidR="00A85180" w:rsidRDefault="00A85180" w:rsidP="00E9737B">
                            <w:pPr>
                              <w:spacing w:line="240" w:lineRule="exact"/>
                              <w:rPr>
                                <w:rFonts w:ascii="標楷體" w:eastAsia="標楷體" w:hAnsi="標楷體" w:cs="標楷體"/>
                                <w:bCs/>
                                <w:sz w:val="20"/>
                                <w:szCs w:val="20"/>
                              </w:rPr>
                            </w:pPr>
                            <w:r>
                              <w:rPr>
                                <w:rFonts w:ascii="標楷體" w:eastAsia="標楷體" w:hAnsi="標楷體" w:hint="eastAsia"/>
                                <w:b/>
                                <w:bCs/>
                                <w:sz w:val="20"/>
                                <w:szCs w:val="20"/>
                              </w:rPr>
                              <w:t>失智服務據點</w:t>
                            </w:r>
                          </w:p>
                        </w:tc>
                      </w:tr>
                      <w:tr w:rsidR="00A85180" w14:paraId="687CC675"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2D398EAA"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2</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1422D05A"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財團法人台北市中華基督教浸</w:t>
                            </w:r>
                            <w:proofErr w:type="gramStart"/>
                            <w:r>
                              <w:rPr>
                                <w:rFonts w:ascii="標楷體" w:eastAsia="標楷體" w:hAnsi="標楷體" w:hint="eastAsia"/>
                                <w:spacing w:val="-16"/>
                                <w:sz w:val="20"/>
                                <w:szCs w:val="20"/>
                              </w:rPr>
                              <w:t>信會慈光</w:t>
                            </w:r>
                            <w:proofErr w:type="gramEnd"/>
                            <w:r>
                              <w:rPr>
                                <w:rFonts w:ascii="標楷體" w:eastAsia="標楷體" w:hAnsi="標楷體" w:hint="eastAsia"/>
                                <w:spacing w:val="-16"/>
                                <w:sz w:val="20"/>
                                <w:szCs w:val="20"/>
                              </w:rPr>
                              <w:t>堂</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169FC6D8"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87.00</w:t>
                            </w:r>
                          </w:p>
                        </w:tc>
                        <w:tc>
                          <w:tcPr>
                            <w:tcW w:w="834" w:type="dxa"/>
                            <w:tcBorders>
                              <w:top w:val="single" w:sz="4" w:space="0" w:color="auto"/>
                              <w:left w:val="single" w:sz="4" w:space="0" w:color="auto"/>
                              <w:bottom w:val="single" w:sz="4" w:space="0" w:color="auto"/>
                              <w:right w:val="single" w:sz="4" w:space="0" w:color="auto"/>
                            </w:tcBorders>
                            <w:vAlign w:val="center"/>
                            <w:hideMark/>
                          </w:tcPr>
                          <w:p w14:paraId="0A9BFE26"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79.50</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71BBB1" w14:textId="77777777" w:rsidR="00A85180" w:rsidRDefault="00A85180">
                            <w:pPr>
                              <w:wordWrap w:val="0"/>
                              <w:jc w:val="right"/>
                              <w:rPr>
                                <w:rFonts w:ascii="標楷體" w:eastAsia="標楷體" w:hAnsi="標楷體"/>
                                <w:spacing w:val="-6"/>
                                <w:sz w:val="20"/>
                                <w:szCs w:val="20"/>
                              </w:rPr>
                            </w:pPr>
                            <w:r>
                              <w:rPr>
                                <w:rFonts w:ascii="標楷體" w:eastAsia="標楷體" w:hAnsi="標楷體" w:hint="eastAsia"/>
                                <w:spacing w:val="-6"/>
                                <w:sz w:val="20"/>
                                <w:szCs w:val="20"/>
                              </w:rPr>
                              <w:t>- 7.50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2F3A3E82" w14:textId="77777777" w:rsidR="00A85180" w:rsidRDefault="00A85180">
                            <w:pPr>
                              <w:jc w:val="center"/>
                              <w:rPr>
                                <w:rFonts w:ascii="標楷體" w:eastAsia="標楷體" w:hAnsi="標楷體"/>
                                <w:bCs/>
                                <w:sz w:val="20"/>
                                <w:szCs w:val="20"/>
                              </w:rPr>
                            </w:pPr>
                            <w:r>
                              <w:rPr>
                                <w:rFonts w:ascii="標楷體" w:eastAsia="標楷體" w:hAnsi="標楷體" w:cs="標楷體"/>
                                <w:bCs/>
                                <w:sz w:val="20"/>
                                <w:szCs w:val="20"/>
                              </w:rPr>
                              <w:sym w:font="Wingdings 2" w:char="F050"/>
                            </w:r>
                          </w:p>
                        </w:tc>
                      </w:tr>
                      <w:tr w:rsidR="00A85180" w14:paraId="1371A2F3"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15D6706A"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3</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5EA35A4A" w14:textId="77777777" w:rsidR="00A85180" w:rsidRDefault="00A85180">
                            <w:pPr>
                              <w:spacing w:line="0" w:lineRule="atLeast"/>
                              <w:ind w:leftChars="-42" w:left="-101"/>
                              <w:jc w:val="both"/>
                              <w:rPr>
                                <w:rFonts w:ascii="標楷體" w:eastAsia="標楷體" w:hAnsi="標楷體"/>
                                <w:spacing w:val="-16"/>
                                <w:sz w:val="20"/>
                                <w:szCs w:val="20"/>
                              </w:rPr>
                            </w:pPr>
                            <w:proofErr w:type="gramStart"/>
                            <w:r>
                              <w:rPr>
                                <w:rFonts w:ascii="標楷體" w:eastAsia="標楷體" w:hAnsi="標楷體" w:hint="eastAsia"/>
                                <w:spacing w:val="-16"/>
                                <w:sz w:val="20"/>
                                <w:szCs w:val="20"/>
                              </w:rPr>
                              <w:t>營佳營養</w:t>
                            </w:r>
                            <w:proofErr w:type="gramEnd"/>
                            <w:r>
                              <w:rPr>
                                <w:rFonts w:ascii="標楷體" w:eastAsia="標楷體" w:hAnsi="標楷體" w:hint="eastAsia"/>
                                <w:spacing w:val="-16"/>
                                <w:sz w:val="20"/>
                                <w:szCs w:val="20"/>
                              </w:rPr>
                              <w:t>諮詢中心</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3BCBA32C"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89.50</w:t>
                            </w:r>
                          </w:p>
                        </w:tc>
                        <w:tc>
                          <w:tcPr>
                            <w:tcW w:w="834" w:type="dxa"/>
                            <w:tcBorders>
                              <w:top w:val="single" w:sz="4" w:space="0" w:color="auto"/>
                              <w:left w:val="single" w:sz="4" w:space="0" w:color="auto"/>
                              <w:bottom w:val="single" w:sz="4" w:space="0" w:color="auto"/>
                              <w:right w:val="single" w:sz="4" w:space="0" w:color="auto"/>
                            </w:tcBorders>
                            <w:vAlign w:val="center"/>
                            <w:hideMark/>
                          </w:tcPr>
                          <w:p w14:paraId="0E3FA41B"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78.50</w:t>
                            </w:r>
                          </w:p>
                        </w:tc>
                        <w:tc>
                          <w:tcPr>
                            <w:tcW w:w="901" w:type="dxa"/>
                            <w:tcBorders>
                              <w:top w:val="single" w:sz="4" w:space="0" w:color="auto"/>
                              <w:left w:val="single" w:sz="4" w:space="0" w:color="auto"/>
                              <w:bottom w:val="single" w:sz="4" w:space="0" w:color="auto"/>
                              <w:right w:val="single" w:sz="4" w:space="0" w:color="auto"/>
                            </w:tcBorders>
                            <w:vAlign w:val="center"/>
                            <w:hideMark/>
                          </w:tcPr>
                          <w:p w14:paraId="3A876079"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- 11.00</w:t>
                            </w:r>
                          </w:p>
                        </w:tc>
                        <w:tc>
                          <w:tcPr>
                            <w:tcW w:w="803" w:type="dxa"/>
                            <w:tcBorders>
                              <w:top w:val="single" w:sz="4" w:space="0" w:color="auto"/>
                              <w:left w:val="single" w:sz="4" w:space="0" w:color="auto"/>
                              <w:bottom w:val="single" w:sz="4" w:space="0" w:color="auto"/>
                              <w:right w:val="single" w:sz="4" w:space="0" w:color="auto"/>
                            </w:tcBorders>
                            <w:vAlign w:val="center"/>
                            <w:hideMark/>
                          </w:tcPr>
                          <w:p w14:paraId="768CD26D" w14:textId="77777777" w:rsidR="00A85180" w:rsidRDefault="00A85180">
                            <w:pPr>
                              <w:jc w:val="center"/>
                              <w:rPr>
                                <w:rFonts w:ascii="標楷體" w:eastAsia="標楷體" w:hAnsi="標楷體"/>
                                <w:sz w:val="20"/>
                                <w:szCs w:val="20"/>
                              </w:rPr>
                            </w:pPr>
                            <w:r>
                              <w:rPr>
                                <w:rFonts w:ascii="標楷體" w:eastAsia="標楷體" w:hAnsi="標楷體" w:cs="標楷體"/>
                                <w:bCs/>
                                <w:sz w:val="20"/>
                                <w:szCs w:val="20"/>
                              </w:rPr>
                              <w:sym w:font="Wingdings 2" w:char="F050"/>
                            </w:r>
                          </w:p>
                        </w:tc>
                      </w:tr>
                      <w:tr w:rsidR="00A85180" w14:paraId="09B9AB27"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098507CB"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4</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4F889D1C"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財團法人台灣基督教恩惠福音會</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47001503"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70.00</w:t>
                            </w:r>
                          </w:p>
                        </w:tc>
                        <w:tc>
                          <w:tcPr>
                            <w:tcW w:w="834" w:type="dxa"/>
                            <w:tcBorders>
                              <w:top w:val="single" w:sz="4" w:space="0" w:color="auto"/>
                              <w:left w:val="single" w:sz="4" w:space="0" w:color="auto"/>
                              <w:bottom w:val="single" w:sz="4" w:space="0" w:color="auto"/>
                              <w:right w:val="single" w:sz="4" w:space="0" w:color="auto"/>
                            </w:tcBorders>
                            <w:vAlign w:val="center"/>
                            <w:hideMark/>
                          </w:tcPr>
                          <w:p w14:paraId="6932E5C2"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75.50</w:t>
                            </w:r>
                          </w:p>
                        </w:tc>
                        <w:tc>
                          <w:tcPr>
                            <w:tcW w:w="901" w:type="dxa"/>
                            <w:tcBorders>
                              <w:top w:val="single" w:sz="4" w:space="0" w:color="auto"/>
                              <w:left w:val="single" w:sz="4" w:space="0" w:color="auto"/>
                              <w:bottom w:val="single" w:sz="4" w:space="0" w:color="auto"/>
                              <w:right w:val="single" w:sz="4" w:space="0" w:color="auto"/>
                            </w:tcBorders>
                            <w:vAlign w:val="center"/>
                            <w:hideMark/>
                          </w:tcPr>
                          <w:p w14:paraId="60A5433A"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5.50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3F10FCA9" w14:textId="77777777" w:rsidR="00A85180" w:rsidRDefault="00A85180">
                            <w:pPr>
                              <w:jc w:val="center"/>
                              <w:rPr>
                                <w:rFonts w:ascii="標楷體" w:eastAsia="標楷體" w:hAnsi="標楷體"/>
                                <w:sz w:val="20"/>
                                <w:szCs w:val="20"/>
                              </w:rPr>
                            </w:pPr>
                            <w:r>
                              <w:rPr>
                                <w:rFonts w:ascii="標楷體" w:eastAsia="標楷體" w:hAnsi="標楷體" w:cs="標楷體"/>
                                <w:bCs/>
                                <w:sz w:val="20"/>
                                <w:szCs w:val="20"/>
                              </w:rPr>
                              <w:sym w:font="Wingdings 2" w:char="F050"/>
                            </w:r>
                          </w:p>
                        </w:tc>
                      </w:tr>
                      <w:tr w:rsidR="00A85180" w14:paraId="10D2E5CA"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32E79CC8"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5</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7A768589" w14:textId="77777777" w:rsidR="00A85180" w:rsidRDefault="00A85180">
                            <w:pPr>
                              <w:spacing w:line="0" w:lineRule="atLeast"/>
                              <w:ind w:leftChars="-42" w:left="-101"/>
                              <w:jc w:val="both"/>
                              <w:rPr>
                                <w:rFonts w:ascii="標楷體" w:eastAsia="標楷體" w:hAnsi="標楷體"/>
                                <w:spacing w:val="-20"/>
                                <w:sz w:val="20"/>
                                <w:szCs w:val="20"/>
                              </w:rPr>
                            </w:pPr>
                            <w:r>
                              <w:rPr>
                                <w:rFonts w:ascii="標楷體" w:eastAsia="標楷體" w:hAnsi="標楷體" w:hint="eastAsia"/>
                                <w:spacing w:val="-20"/>
                                <w:sz w:val="20"/>
                                <w:szCs w:val="20"/>
                              </w:rPr>
                              <w:t>臺北市立聯合醫院陽明院區神經內科</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2FEDD3A7"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86.50</w:t>
                            </w:r>
                          </w:p>
                        </w:tc>
                        <w:tc>
                          <w:tcPr>
                            <w:tcW w:w="834" w:type="dxa"/>
                            <w:tcBorders>
                              <w:top w:val="single" w:sz="4" w:space="0" w:color="auto"/>
                              <w:left w:val="single" w:sz="4" w:space="0" w:color="auto"/>
                              <w:bottom w:val="single" w:sz="4" w:space="0" w:color="auto"/>
                              <w:right w:val="single" w:sz="4" w:space="0" w:color="auto"/>
                            </w:tcBorders>
                            <w:vAlign w:val="center"/>
                            <w:hideMark/>
                          </w:tcPr>
                          <w:p w14:paraId="51DD834F"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75.00</w:t>
                            </w:r>
                          </w:p>
                        </w:tc>
                        <w:tc>
                          <w:tcPr>
                            <w:tcW w:w="901" w:type="dxa"/>
                            <w:tcBorders>
                              <w:top w:val="single" w:sz="4" w:space="0" w:color="auto"/>
                              <w:left w:val="single" w:sz="4" w:space="0" w:color="auto"/>
                              <w:bottom w:val="single" w:sz="4" w:space="0" w:color="auto"/>
                              <w:right w:val="single" w:sz="4" w:space="0" w:color="auto"/>
                            </w:tcBorders>
                            <w:vAlign w:val="center"/>
                            <w:hideMark/>
                          </w:tcPr>
                          <w:p w14:paraId="3A035F24"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- 11.50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2E65C212" w14:textId="77777777" w:rsidR="00A85180" w:rsidRDefault="00A85180">
                            <w:pPr>
                              <w:jc w:val="center"/>
                              <w:rPr>
                                <w:rFonts w:ascii="標楷體" w:eastAsia="標楷體" w:hAnsi="標楷體"/>
                                <w:sz w:val="20"/>
                                <w:szCs w:val="20"/>
                              </w:rPr>
                            </w:pPr>
                            <w:r>
                              <w:rPr>
                                <w:rFonts w:ascii="標楷體" w:eastAsia="標楷體" w:hAnsi="標楷體" w:cs="標楷體"/>
                                <w:bCs/>
                                <w:sz w:val="20"/>
                                <w:szCs w:val="20"/>
                              </w:rPr>
                              <w:sym w:font="Wingdings 2" w:char="F050"/>
                            </w:r>
                          </w:p>
                        </w:tc>
                      </w:tr>
                      <w:tr w:rsidR="00A85180" w14:paraId="0814CCD1"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05C6212C"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6</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1CF33D99"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財團法人台灣老人急重症基金會</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3A8EDB4B"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61.00</w:t>
                            </w:r>
                          </w:p>
                        </w:tc>
                        <w:tc>
                          <w:tcPr>
                            <w:tcW w:w="834" w:type="dxa"/>
                            <w:tcBorders>
                              <w:top w:val="single" w:sz="4" w:space="0" w:color="auto"/>
                              <w:left w:val="single" w:sz="4" w:space="0" w:color="auto"/>
                              <w:bottom w:val="single" w:sz="4" w:space="0" w:color="auto"/>
                              <w:right w:val="single" w:sz="4" w:space="0" w:color="auto"/>
                            </w:tcBorders>
                            <w:vAlign w:val="center"/>
                            <w:hideMark/>
                          </w:tcPr>
                          <w:p w14:paraId="157F9561"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67.50</w:t>
                            </w:r>
                          </w:p>
                        </w:tc>
                        <w:tc>
                          <w:tcPr>
                            <w:tcW w:w="901" w:type="dxa"/>
                            <w:tcBorders>
                              <w:top w:val="single" w:sz="4" w:space="0" w:color="auto"/>
                              <w:left w:val="single" w:sz="4" w:space="0" w:color="auto"/>
                              <w:bottom w:val="single" w:sz="4" w:space="0" w:color="auto"/>
                              <w:right w:val="single" w:sz="4" w:space="0" w:color="auto"/>
                            </w:tcBorders>
                            <w:vAlign w:val="center"/>
                            <w:hideMark/>
                          </w:tcPr>
                          <w:p w14:paraId="5A926881"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6.50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3DBFF488" w14:textId="77777777" w:rsidR="00A85180" w:rsidRDefault="00A85180">
                            <w:pPr>
                              <w:jc w:val="center"/>
                              <w:rPr>
                                <w:rFonts w:ascii="標楷體" w:eastAsia="標楷體" w:hAnsi="標楷體"/>
                                <w:sz w:val="20"/>
                                <w:szCs w:val="20"/>
                              </w:rPr>
                            </w:pPr>
                            <w:r>
                              <w:rPr>
                                <w:rFonts w:ascii="標楷體" w:eastAsia="標楷體" w:hAnsi="標楷體" w:cs="標楷體"/>
                                <w:bCs/>
                                <w:sz w:val="20"/>
                                <w:szCs w:val="20"/>
                              </w:rPr>
                              <w:sym w:font="Wingdings 2" w:char="F050"/>
                            </w:r>
                          </w:p>
                        </w:tc>
                      </w:tr>
                      <w:tr w:rsidR="00A85180" w14:paraId="09FAC37E"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21022560"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7</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6A60973C"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臺北市</w:t>
                            </w:r>
                            <w:proofErr w:type="gramStart"/>
                            <w:r>
                              <w:rPr>
                                <w:rFonts w:ascii="標楷體" w:eastAsia="標楷體" w:hAnsi="標楷體" w:hint="eastAsia"/>
                                <w:spacing w:val="-16"/>
                                <w:sz w:val="20"/>
                                <w:szCs w:val="20"/>
                              </w:rPr>
                              <w:t>北投區林泉社區</w:t>
                            </w:r>
                            <w:proofErr w:type="gramEnd"/>
                            <w:r>
                              <w:rPr>
                                <w:rFonts w:ascii="標楷體" w:eastAsia="標楷體" w:hAnsi="標楷體" w:hint="eastAsia"/>
                                <w:spacing w:val="-16"/>
                                <w:sz w:val="20"/>
                                <w:szCs w:val="20"/>
                              </w:rPr>
                              <w:t>發展協會</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1696BDF4"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89.00</w:t>
                            </w:r>
                          </w:p>
                        </w:tc>
                        <w:tc>
                          <w:tcPr>
                            <w:tcW w:w="834" w:type="dxa"/>
                            <w:tcBorders>
                              <w:top w:val="single" w:sz="4" w:space="0" w:color="auto"/>
                              <w:left w:val="single" w:sz="4" w:space="0" w:color="auto"/>
                              <w:bottom w:val="single" w:sz="4" w:space="0" w:color="auto"/>
                              <w:right w:val="single" w:sz="4" w:space="0" w:color="auto"/>
                            </w:tcBorders>
                            <w:vAlign w:val="center"/>
                            <w:hideMark/>
                          </w:tcPr>
                          <w:p w14:paraId="3001F55C"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62.50</w:t>
                            </w:r>
                          </w:p>
                        </w:tc>
                        <w:tc>
                          <w:tcPr>
                            <w:tcW w:w="901" w:type="dxa"/>
                            <w:tcBorders>
                              <w:top w:val="single" w:sz="4" w:space="0" w:color="auto"/>
                              <w:left w:val="single" w:sz="4" w:space="0" w:color="auto"/>
                              <w:bottom w:val="single" w:sz="4" w:space="0" w:color="auto"/>
                              <w:right w:val="single" w:sz="4" w:space="0" w:color="auto"/>
                            </w:tcBorders>
                            <w:vAlign w:val="center"/>
                            <w:hideMark/>
                          </w:tcPr>
                          <w:p w14:paraId="562E9B58" w14:textId="77777777" w:rsidR="00A85180" w:rsidRDefault="00A85180">
                            <w:pPr>
                              <w:jc w:val="right"/>
                              <w:rPr>
                                <w:rFonts w:ascii="標楷體" w:eastAsia="標楷體" w:hAnsi="標楷體"/>
                                <w:spacing w:val="-6"/>
                                <w:sz w:val="20"/>
                                <w:szCs w:val="20"/>
                              </w:rPr>
                            </w:pPr>
                            <w:r>
                              <w:rPr>
                                <w:rFonts w:ascii="標楷體" w:eastAsia="標楷體" w:hAnsi="標楷體" w:hint="eastAsia"/>
                                <w:spacing w:val="-6"/>
                                <w:sz w:val="20"/>
                                <w:szCs w:val="20"/>
                              </w:rPr>
                              <w:t>- 26.50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550A5F67" w14:textId="77777777" w:rsidR="00A85180" w:rsidRDefault="00A85180">
                            <w:pPr>
                              <w:jc w:val="center"/>
                              <w:rPr>
                                <w:rFonts w:ascii="標楷體" w:eastAsia="標楷體" w:hAnsi="標楷體"/>
                                <w:sz w:val="20"/>
                                <w:szCs w:val="20"/>
                              </w:rPr>
                            </w:pPr>
                            <w:r>
                              <w:rPr>
                                <w:rFonts w:ascii="標楷體" w:eastAsia="標楷體" w:hAnsi="標楷體" w:cs="標楷體"/>
                                <w:bCs/>
                                <w:sz w:val="20"/>
                                <w:szCs w:val="20"/>
                              </w:rPr>
                              <w:sym w:font="Wingdings 2" w:char="F050"/>
                            </w:r>
                          </w:p>
                        </w:tc>
                      </w:tr>
                      <w:tr w:rsidR="00A85180" w14:paraId="756152AD" w14:textId="77777777">
                        <w:trPr>
                          <w:gridAfter w:val="1"/>
                          <w:wAfter w:w="20" w:type="dxa"/>
                          <w:trHeight w:val="454"/>
                          <w:jc w:val="center"/>
                        </w:trPr>
                        <w:tc>
                          <w:tcPr>
                            <w:tcW w:w="422" w:type="dxa"/>
                            <w:tcBorders>
                              <w:top w:val="single" w:sz="4" w:space="0" w:color="auto"/>
                              <w:left w:val="single" w:sz="4" w:space="0" w:color="auto"/>
                              <w:bottom w:val="single" w:sz="4" w:space="0" w:color="auto"/>
                              <w:right w:val="single" w:sz="4" w:space="0" w:color="auto"/>
                            </w:tcBorders>
                            <w:vAlign w:val="center"/>
                            <w:hideMark/>
                          </w:tcPr>
                          <w:p w14:paraId="742A80C7" w14:textId="77777777" w:rsidR="00A85180" w:rsidRDefault="00A85180">
                            <w:pPr>
                              <w:jc w:val="center"/>
                              <w:rPr>
                                <w:rFonts w:ascii="標楷體" w:eastAsia="標楷體" w:hAnsi="標楷體"/>
                                <w:spacing w:val="-16"/>
                                <w:sz w:val="20"/>
                                <w:szCs w:val="20"/>
                              </w:rPr>
                            </w:pPr>
                            <w:r>
                              <w:rPr>
                                <w:rFonts w:ascii="標楷體" w:eastAsia="標楷體" w:hAnsi="標楷體" w:hint="eastAsia"/>
                                <w:spacing w:val="-16"/>
                                <w:sz w:val="20"/>
                                <w:szCs w:val="20"/>
                              </w:rPr>
                              <w:t>8</w:t>
                            </w:r>
                          </w:p>
                        </w:tc>
                        <w:tc>
                          <w:tcPr>
                            <w:tcW w:w="1838" w:type="dxa"/>
                            <w:gridSpan w:val="2"/>
                            <w:tcBorders>
                              <w:top w:val="single" w:sz="4" w:space="0" w:color="auto"/>
                              <w:left w:val="single" w:sz="4" w:space="0" w:color="auto"/>
                              <w:bottom w:val="single" w:sz="4" w:space="0" w:color="auto"/>
                              <w:right w:val="single" w:sz="4" w:space="0" w:color="auto"/>
                            </w:tcBorders>
                            <w:vAlign w:val="center"/>
                            <w:hideMark/>
                          </w:tcPr>
                          <w:p w14:paraId="1D9B417D" w14:textId="77777777" w:rsidR="00A85180" w:rsidRDefault="00A85180">
                            <w:pPr>
                              <w:spacing w:line="0" w:lineRule="atLeast"/>
                              <w:ind w:leftChars="-42" w:left="-101"/>
                              <w:jc w:val="both"/>
                              <w:rPr>
                                <w:rFonts w:ascii="標楷體" w:eastAsia="標楷體" w:hAnsi="標楷體"/>
                                <w:spacing w:val="-16"/>
                                <w:sz w:val="20"/>
                                <w:szCs w:val="20"/>
                              </w:rPr>
                            </w:pPr>
                            <w:r>
                              <w:rPr>
                                <w:rFonts w:ascii="標楷體" w:eastAsia="標楷體" w:hAnsi="標楷體" w:hint="eastAsia"/>
                                <w:spacing w:val="-16"/>
                                <w:sz w:val="20"/>
                                <w:szCs w:val="20"/>
                              </w:rPr>
                              <w:t>台灣健康關愛發展協會</w:t>
                            </w:r>
                          </w:p>
                        </w:tc>
                        <w:tc>
                          <w:tcPr>
                            <w:tcW w:w="716" w:type="dxa"/>
                            <w:gridSpan w:val="2"/>
                            <w:tcBorders>
                              <w:top w:val="single" w:sz="4" w:space="0" w:color="auto"/>
                              <w:left w:val="single" w:sz="4" w:space="0" w:color="auto"/>
                              <w:bottom w:val="single" w:sz="4" w:space="0" w:color="auto"/>
                              <w:right w:val="single" w:sz="4" w:space="0" w:color="auto"/>
                            </w:tcBorders>
                            <w:vAlign w:val="center"/>
                            <w:hideMark/>
                          </w:tcPr>
                          <w:p w14:paraId="682C212A" w14:textId="77777777" w:rsidR="00A85180" w:rsidRDefault="00A85180">
                            <w:pPr>
                              <w:spacing w:line="0" w:lineRule="atLeast"/>
                              <w:jc w:val="right"/>
                              <w:rPr>
                                <w:rFonts w:ascii="標楷體" w:eastAsia="標楷體" w:hAnsi="標楷體"/>
                                <w:spacing w:val="-6"/>
                                <w:sz w:val="20"/>
                                <w:szCs w:val="20"/>
                              </w:rPr>
                            </w:pPr>
                            <w:r>
                              <w:rPr>
                                <w:rFonts w:ascii="標楷體" w:eastAsia="標楷體" w:hAnsi="標楷體" w:hint="eastAsia"/>
                                <w:spacing w:val="-6"/>
                                <w:sz w:val="20"/>
                                <w:szCs w:val="20"/>
                              </w:rPr>
                              <w:t>56.50</w:t>
                            </w:r>
                          </w:p>
                        </w:tc>
                        <w:tc>
                          <w:tcPr>
                            <w:tcW w:w="834" w:type="dxa"/>
                            <w:tcBorders>
                              <w:top w:val="single" w:sz="4" w:space="0" w:color="auto"/>
                              <w:left w:val="single" w:sz="4" w:space="0" w:color="auto"/>
                              <w:bottom w:val="single" w:sz="4" w:space="0" w:color="auto"/>
                              <w:right w:val="single" w:sz="4" w:space="0" w:color="auto"/>
                            </w:tcBorders>
                            <w:vAlign w:val="center"/>
                            <w:hideMark/>
                          </w:tcPr>
                          <w:p w14:paraId="0001306A" w14:textId="77777777" w:rsidR="00A85180" w:rsidRDefault="00A85180">
                            <w:pPr>
                              <w:spacing w:line="0" w:lineRule="atLeast"/>
                              <w:jc w:val="right"/>
                              <w:rPr>
                                <w:rFonts w:ascii="標楷體" w:eastAsia="標楷體" w:hAnsi="標楷體"/>
                                <w:spacing w:val="-6"/>
                                <w:sz w:val="20"/>
                                <w:szCs w:val="20"/>
                              </w:rPr>
                            </w:pPr>
                            <w:r>
                              <w:rPr>
                                <w:rFonts w:ascii="標楷體" w:eastAsia="標楷體" w:hAnsi="標楷體" w:hint="eastAsia"/>
                                <w:spacing w:val="-6"/>
                                <w:sz w:val="20"/>
                                <w:szCs w:val="20"/>
                              </w:rPr>
                              <w:t>50.00</w:t>
                            </w:r>
                          </w:p>
                        </w:tc>
                        <w:tc>
                          <w:tcPr>
                            <w:tcW w:w="901" w:type="dxa"/>
                            <w:tcBorders>
                              <w:top w:val="single" w:sz="4" w:space="0" w:color="auto"/>
                              <w:left w:val="single" w:sz="4" w:space="0" w:color="auto"/>
                              <w:bottom w:val="single" w:sz="4" w:space="0" w:color="auto"/>
                              <w:right w:val="single" w:sz="4" w:space="0" w:color="auto"/>
                            </w:tcBorders>
                            <w:vAlign w:val="center"/>
                            <w:hideMark/>
                          </w:tcPr>
                          <w:p w14:paraId="48AAF20D" w14:textId="77777777" w:rsidR="00A85180" w:rsidRDefault="00A85180">
                            <w:pPr>
                              <w:spacing w:line="0" w:lineRule="atLeast"/>
                              <w:jc w:val="right"/>
                              <w:rPr>
                                <w:rFonts w:ascii="標楷體" w:eastAsia="標楷體" w:hAnsi="標楷體"/>
                                <w:spacing w:val="-6"/>
                                <w:sz w:val="20"/>
                                <w:szCs w:val="20"/>
                              </w:rPr>
                            </w:pPr>
                            <w:r>
                              <w:rPr>
                                <w:rFonts w:ascii="標楷體" w:eastAsia="標楷體" w:hAnsi="標楷體" w:hint="eastAsia"/>
                                <w:spacing w:val="-6"/>
                                <w:sz w:val="20"/>
                                <w:szCs w:val="20"/>
                              </w:rPr>
                              <w:t>- 6.50</w:t>
                            </w:r>
                          </w:p>
                        </w:tc>
                        <w:tc>
                          <w:tcPr>
                            <w:tcW w:w="803" w:type="dxa"/>
                            <w:tcBorders>
                              <w:top w:val="single" w:sz="4" w:space="0" w:color="auto"/>
                              <w:left w:val="single" w:sz="4" w:space="0" w:color="auto"/>
                              <w:bottom w:val="single" w:sz="4" w:space="0" w:color="auto"/>
                              <w:right w:val="single" w:sz="4" w:space="0" w:color="auto"/>
                            </w:tcBorders>
                            <w:vAlign w:val="center"/>
                            <w:hideMark/>
                          </w:tcPr>
                          <w:p w14:paraId="6114C89E" w14:textId="77777777" w:rsidR="00A85180" w:rsidRDefault="00A85180">
                            <w:pPr>
                              <w:spacing w:line="0" w:lineRule="atLeast"/>
                              <w:jc w:val="center"/>
                              <w:rPr>
                                <w:rFonts w:ascii="標楷體" w:eastAsia="標楷體" w:hAnsi="標楷體"/>
                                <w:sz w:val="20"/>
                                <w:szCs w:val="20"/>
                              </w:rPr>
                            </w:pPr>
                            <w:proofErr w:type="gramStart"/>
                            <w:r>
                              <w:rPr>
                                <w:rFonts w:ascii="標楷體" w:eastAsia="標楷體" w:hAnsi="標楷體" w:hint="eastAsia"/>
                                <w:sz w:val="20"/>
                                <w:szCs w:val="20"/>
                              </w:rPr>
                              <w:t>—</w:t>
                            </w:r>
                            <w:proofErr w:type="gramEnd"/>
                          </w:p>
                        </w:tc>
                      </w:tr>
                    </w:tbl>
                    <w:p w14:paraId="31ADABA9" w14:textId="17C8E70E" w:rsidR="00A85180" w:rsidRDefault="00A85180" w:rsidP="00CF1B20">
                      <w:pPr>
                        <w:spacing w:line="240" w:lineRule="exact"/>
                        <w:ind w:leftChars="87" w:left="209"/>
                        <w:rPr>
                          <w:rFonts w:ascii="標楷體" w:eastAsia="標楷體" w:hAnsi="標楷體"/>
                          <w:sz w:val="18"/>
                          <w:szCs w:val="18"/>
                        </w:rPr>
                      </w:pPr>
                      <w:r>
                        <w:rPr>
                          <w:rFonts w:ascii="標楷體" w:eastAsia="標楷體" w:hAnsi="標楷體" w:hint="eastAsia"/>
                          <w:sz w:val="18"/>
                          <w:szCs w:val="18"/>
                        </w:rPr>
                        <w:t>資料來源：整理自衛生局提供資料。</w:t>
                      </w:r>
                    </w:p>
                  </w:txbxContent>
                </v:textbox>
                <w10:wrap type="tight" anchorx="margin"/>
              </v:shape>
            </w:pict>
          </mc:Fallback>
        </mc:AlternateContent>
      </w:r>
      <w:r w:rsidR="00A85180">
        <w:rPr>
          <w:rFonts w:ascii="標楷體" w:eastAsia="標楷體" w:hAnsi="標楷體" w:cs="Times New Roman" w:hint="eastAsia"/>
        </w:rPr>
        <w:t>之服務品質，於112年4月委外辦理「</w:t>
      </w:r>
      <w:proofErr w:type="gramStart"/>
      <w:r w:rsidR="00A85180">
        <w:rPr>
          <w:rFonts w:ascii="標楷體" w:eastAsia="標楷體" w:hAnsi="標楷體" w:cs="Times New Roman" w:hint="eastAsia"/>
        </w:rPr>
        <w:t>失智照護</w:t>
      </w:r>
      <w:proofErr w:type="gramEnd"/>
      <w:r w:rsidR="00A85180">
        <w:rPr>
          <w:rFonts w:ascii="標楷體" w:eastAsia="標楷體" w:hAnsi="標楷體" w:cs="Times New Roman" w:hint="eastAsia"/>
        </w:rPr>
        <w:t>服務單位品質輔導計畫」，由委外廠商辦理</w:t>
      </w:r>
      <w:r>
        <w:rPr>
          <w:rFonts w:ascii="標楷體" w:eastAsia="標楷體" w:hAnsi="標楷體" w:cs="Times New Roman" w:hint="eastAsia"/>
        </w:rPr>
        <w:t>失</w:t>
      </w:r>
      <w:proofErr w:type="gramStart"/>
      <w:r>
        <w:rPr>
          <w:rFonts w:ascii="標楷體" w:eastAsia="標楷體" w:hAnsi="標楷體" w:cs="Times New Roman" w:hint="eastAsia"/>
        </w:rPr>
        <w:t>智</w:t>
      </w:r>
      <w:r w:rsidR="00A85180">
        <w:rPr>
          <w:rFonts w:ascii="標楷體" w:eastAsia="標楷體" w:hAnsi="標楷體" w:cs="Times New Roman" w:hint="eastAsia"/>
        </w:rPr>
        <w:t>共照</w:t>
      </w:r>
      <w:proofErr w:type="gramEnd"/>
      <w:r w:rsidR="00A85180">
        <w:rPr>
          <w:rFonts w:ascii="標楷體" w:eastAsia="標楷體" w:hAnsi="標楷體" w:cs="Times New Roman" w:hint="eastAsia"/>
        </w:rPr>
        <w:t>中心及失智服務據點之實地輔導與評核，並輔導考評結果不合格業者（低於70分）進行改善。據衛生局提供委外廠商實地輔導評核紀錄等資料，委外廠商於</w:t>
      </w:r>
      <w:proofErr w:type="gramStart"/>
      <w:r w:rsidR="00A85180">
        <w:rPr>
          <w:rFonts w:ascii="標楷體" w:eastAsia="標楷體" w:hAnsi="標楷體" w:cs="Times New Roman" w:hint="eastAsia"/>
        </w:rPr>
        <w:t>113</w:t>
      </w:r>
      <w:proofErr w:type="gramEnd"/>
      <w:r w:rsidR="00A85180">
        <w:rPr>
          <w:rFonts w:ascii="標楷體" w:eastAsia="標楷體" w:hAnsi="標楷體" w:cs="Times New Roman" w:hint="eastAsia"/>
        </w:rPr>
        <w:t>年度計實地訪查11處（共17</w:t>
      </w:r>
      <w:r w:rsidR="00D96C8D">
        <w:rPr>
          <w:rFonts w:ascii="標楷體" w:eastAsia="標楷體" w:hAnsi="標楷體" w:cs="Times New Roman" w:hint="eastAsia"/>
        </w:rPr>
        <w:t>個</w:t>
      </w:r>
      <w:r w:rsidR="00A85180">
        <w:rPr>
          <w:rFonts w:ascii="標楷體" w:eastAsia="標楷體" w:hAnsi="標楷體" w:cs="Times New Roman" w:hint="eastAsia"/>
        </w:rPr>
        <w:t>地點）失</w:t>
      </w:r>
      <w:proofErr w:type="gramStart"/>
      <w:r w:rsidR="00A85180">
        <w:rPr>
          <w:rFonts w:ascii="標楷體" w:eastAsia="標楷體" w:hAnsi="標楷體" w:cs="Times New Roman" w:hint="eastAsia"/>
        </w:rPr>
        <w:t>智共照</w:t>
      </w:r>
      <w:proofErr w:type="gramEnd"/>
      <w:r w:rsidR="00A85180">
        <w:rPr>
          <w:rFonts w:ascii="標楷體" w:eastAsia="標楷體" w:hAnsi="標楷體" w:cs="Times New Roman" w:hint="eastAsia"/>
        </w:rPr>
        <w:t>中心及47處失智服務據點，其中8處業者受考評成績未達80分，並有5處失智服務據點成績較</w:t>
      </w:r>
      <w:proofErr w:type="gramStart"/>
      <w:r w:rsidR="00A85180">
        <w:rPr>
          <w:rFonts w:ascii="標楷體" w:eastAsia="標楷體" w:hAnsi="標楷體" w:cs="Times New Roman" w:hint="eastAsia"/>
        </w:rPr>
        <w:t>112</w:t>
      </w:r>
      <w:proofErr w:type="gramEnd"/>
      <w:r w:rsidR="00A85180">
        <w:rPr>
          <w:rFonts w:ascii="標楷體" w:eastAsia="標楷體" w:hAnsi="標楷體" w:cs="Times New Roman" w:hint="eastAsia"/>
        </w:rPr>
        <w:t>年度退步（表3），且部分考評成績欠佳據點，亦有112及</w:t>
      </w:r>
      <w:proofErr w:type="gramStart"/>
      <w:r w:rsidR="00A85180">
        <w:rPr>
          <w:rFonts w:ascii="標楷體" w:eastAsia="標楷體" w:hAnsi="標楷體" w:cs="Times New Roman" w:hint="eastAsia"/>
        </w:rPr>
        <w:t>113</w:t>
      </w:r>
      <w:proofErr w:type="gramEnd"/>
      <w:r w:rsidR="00A85180">
        <w:rPr>
          <w:rFonts w:ascii="標楷體" w:eastAsia="標楷體" w:hAnsi="標楷體" w:cs="Times New Roman" w:hint="eastAsia"/>
        </w:rPr>
        <w:t>年度缺失事項雷同遲未獲改善情形。</w:t>
      </w:r>
      <w:proofErr w:type="gramStart"/>
      <w:r w:rsidR="00A85180">
        <w:rPr>
          <w:rFonts w:ascii="標楷體" w:eastAsia="標楷體" w:hAnsi="標楷體" w:cs="Times New Roman" w:hint="eastAsia"/>
        </w:rPr>
        <w:t>鑑</w:t>
      </w:r>
      <w:proofErr w:type="gramEnd"/>
      <w:r w:rsidR="00A85180">
        <w:rPr>
          <w:rFonts w:ascii="標楷體" w:eastAsia="標楷體" w:hAnsi="標楷體" w:cs="Times New Roman" w:hint="eastAsia"/>
        </w:rPr>
        <w:t>於</w:t>
      </w:r>
      <w:proofErr w:type="gramStart"/>
      <w:r w:rsidR="00A85180">
        <w:rPr>
          <w:rFonts w:ascii="標楷體" w:eastAsia="標楷體" w:hAnsi="標楷體" w:cs="Times New Roman" w:hint="eastAsia"/>
        </w:rPr>
        <w:t>上開受評</w:t>
      </w:r>
      <w:proofErr w:type="gramEnd"/>
      <w:r w:rsidR="00A85180">
        <w:rPr>
          <w:rFonts w:ascii="標楷體" w:eastAsia="標楷體" w:hAnsi="標楷體" w:cs="Times New Roman" w:hint="eastAsia"/>
        </w:rPr>
        <w:t>成績未達80分之</w:t>
      </w:r>
      <w:proofErr w:type="gramStart"/>
      <w:r w:rsidR="00A85180">
        <w:rPr>
          <w:rFonts w:ascii="標楷體" w:eastAsia="標楷體" w:hAnsi="標楷體" w:cs="Times New Roman" w:hint="eastAsia"/>
        </w:rPr>
        <w:t>8處照</w:t>
      </w:r>
      <w:proofErr w:type="gramEnd"/>
      <w:r w:rsidR="00A85180">
        <w:rPr>
          <w:rFonts w:ascii="標楷體" w:eastAsia="標楷體" w:hAnsi="標楷體" w:cs="Times New Roman" w:hint="eastAsia"/>
        </w:rPr>
        <w:t>護服務據點，仍有7處於</w:t>
      </w:r>
      <w:proofErr w:type="gramStart"/>
      <w:r w:rsidR="00A85180">
        <w:rPr>
          <w:rFonts w:ascii="標楷體" w:eastAsia="標楷體" w:hAnsi="標楷體" w:cs="Times New Roman" w:hint="eastAsia"/>
        </w:rPr>
        <w:t>114</w:t>
      </w:r>
      <w:proofErr w:type="gramEnd"/>
      <w:r w:rsidR="00A85180">
        <w:rPr>
          <w:rFonts w:ascii="標楷體" w:eastAsia="標楷體" w:hAnsi="標楷體" w:cs="Times New Roman" w:hint="eastAsia"/>
        </w:rPr>
        <w:t>年度持續提供</w:t>
      </w:r>
      <w:proofErr w:type="gramStart"/>
      <w:r w:rsidR="00A85180">
        <w:rPr>
          <w:rFonts w:ascii="標楷體" w:eastAsia="標楷體" w:hAnsi="標楷體" w:cs="Times New Roman" w:hint="eastAsia"/>
        </w:rPr>
        <w:t>失智照護</w:t>
      </w:r>
      <w:proofErr w:type="gramEnd"/>
      <w:r w:rsidR="00A85180">
        <w:rPr>
          <w:rFonts w:ascii="標楷體" w:eastAsia="標楷體" w:hAnsi="標楷體" w:cs="Times New Roman" w:hint="eastAsia"/>
        </w:rPr>
        <w:t>服務，為免影響照護服務品質及量能，經函請</w:t>
      </w:r>
      <w:proofErr w:type="gramStart"/>
      <w:r w:rsidR="00A85180">
        <w:rPr>
          <w:rFonts w:ascii="標楷體" w:eastAsia="標楷體" w:hAnsi="標楷體" w:cs="Times New Roman" w:hint="eastAsia"/>
        </w:rPr>
        <w:t>檢討妥處</w:t>
      </w:r>
      <w:proofErr w:type="gramEnd"/>
      <w:r w:rsidR="00A85180">
        <w:rPr>
          <w:rFonts w:ascii="標楷體" w:eastAsia="標楷體" w:hAnsi="標楷體" w:cs="Times New Roman" w:hint="eastAsia"/>
        </w:rPr>
        <w:t>。據復：該局委託專業團隊辦理「</w:t>
      </w:r>
      <w:proofErr w:type="gramStart"/>
      <w:r w:rsidR="00A85180">
        <w:rPr>
          <w:rFonts w:ascii="標楷體" w:eastAsia="標楷體" w:hAnsi="標楷體" w:cs="Times New Roman" w:hint="eastAsia"/>
        </w:rPr>
        <w:t>失智照護</w:t>
      </w:r>
      <w:proofErr w:type="gramEnd"/>
      <w:r w:rsidR="00A85180">
        <w:rPr>
          <w:rFonts w:ascii="標楷體" w:eastAsia="標楷體" w:hAnsi="標楷體" w:cs="Times New Roman" w:hint="eastAsia"/>
        </w:rPr>
        <w:t>服務單位品質輔導計畫」，以建立失智服務據點、失</w:t>
      </w:r>
      <w:proofErr w:type="gramStart"/>
      <w:r w:rsidR="00A85180">
        <w:rPr>
          <w:rFonts w:ascii="標楷體" w:eastAsia="標楷體" w:hAnsi="標楷體" w:cs="Times New Roman" w:hint="eastAsia"/>
        </w:rPr>
        <w:t>智共照</w:t>
      </w:r>
      <w:proofErr w:type="gramEnd"/>
      <w:r w:rsidR="00A85180">
        <w:rPr>
          <w:rFonts w:ascii="標楷體" w:eastAsia="標楷體" w:hAnsi="標楷體" w:cs="Times New Roman" w:hint="eastAsia"/>
        </w:rPr>
        <w:t>中心之服務品質管控機制及稽核輔導機制；未來將針對據點連年缺失事項，進行第二次實地輔導訪查，第二次實地輔導訪查若未通過，將限期改善，後續進行第三次實地輔導訪查。</w:t>
      </w:r>
    </w:p>
    <w:p w14:paraId="56102F0D" w14:textId="77777777" w:rsidR="00A85180" w:rsidRDefault="00A85180" w:rsidP="00713069">
      <w:pPr>
        <w:overflowPunct w:val="0"/>
        <w:spacing w:beforeLines="50" w:before="180" w:line="500"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t>（三）持續改善護理人力短缺現象，惟</w:t>
      </w:r>
      <w:proofErr w:type="gramStart"/>
      <w:r>
        <w:rPr>
          <w:rFonts w:ascii="標楷體" w:eastAsia="標楷體" w:hAnsi="標楷體" w:cs="Times New Roman" w:hint="eastAsia"/>
          <w:b/>
          <w:sz w:val="28"/>
          <w:szCs w:val="28"/>
        </w:rPr>
        <w:t>113</w:t>
      </w:r>
      <w:proofErr w:type="gramEnd"/>
      <w:r>
        <w:rPr>
          <w:rFonts w:ascii="標楷體" w:eastAsia="標楷體" w:hAnsi="標楷體" w:cs="Times New Roman" w:hint="eastAsia"/>
          <w:b/>
          <w:sz w:val="28"/>
          <w:szCs w:val="28"/>
        </w:rPr>
        <w:t>年度</w:t>
      </w:r>
      <w:proofErr w:type="gramStart"/>
      <w:r>
        <w:rPr>
          <w:rFonts w:ascii="標楷體" w:eastAsia="標楷體" w:hAnsi="標楷體" w:cs="Times New Roman" w:hint="eastAsia"/>
          <w:b/>
          <w:sz w:val="28"/>
          <w:szCs w:val="28"/>
        </w:rPr>
        <w:t>三班護病比</w:t>
      </w:r>
      <w:proofErr w:type="gramEnd"/>
      <w:r>
        <w:rPr>
          <w:rFonts w:ascii="標楷體" w:eastAsia="標楷體" w:hAnsi="標楷體" w:cs="Times New Roman" w:hint="eastAsia"/>
          <w:b/>
          <w:sz w:val="28"/>
          <w:szCs w:val="28"/>
        </w:rPr>
        <w:t>仍有部分班別或月份未符中央訂定標準值；另113年底未開放病床數已各較111及112年底增加近</w:t>
      </w:r>
      <w:proofErr w:type="gramStart"/>
      <w:r>
        <w:rPr>
          <w:rFonts w:ascii="標楷體" w:eastAsia="標楷體" w:hAnsi="標楷體" w:cs="Times New Roman" w:hint="eastAsia"/>
          <w:b/>
          <w:sz w:val="28"/>
          <w:szCs w:val="28"/>
        </w:rPr>
        <w:t>2成</w:t>
      </w:r>
      <w:proofErr w:type="gramEnd"/>
      <w:r>
        <w:rPr>
          <w:rFonts w:ascii="標楷體" w:eastAsia="標楷體" w:hAnsi="標楷體" w:cs="Times New Roman" w:hint="eastAsia"/>
          <w:b/>
          <w:sz w:val="28"/>
          <w:szCs w:val="28"/>
        </w:rPr>
        <w:t>或</w:t>
      </w:r>
      <w:proofErr w:type="gramStart"/>
      <w:r>
        <w:rPr>
          <w:rFonts w:ascii="標楷體" w:eastAsia="標楷體" w:hAnsi="標楷體" w:cs="Times New Roman" w:hint="eastAsia"/>
          <w:b/>
          <w:sz w:val="28"/>
          <w:szCs w:val="28"/>
        </w:rPr>
        <w:t>3成</w:t>
      </w:r>
      <w:proofErr w:type="gramEnd"/>
      <w:r>
        <w:rPr>
          <w:rFonts w:ascii="標楷體" w:eastAsia="標楷體" w:hAnsi="標楷體" w:cs="Times New Roman" w:hint="eastAsia"/>
          <w:b/>
          <w:sz w:val="28"/>
          <w:szCs w:val="28"/>
        </w:rPr>
        <w:t>，允宜</w:t>
      </w:r>
      <w:proofErr w:type="gramStart"/>
      <w:r>
        <w:rPr>
          <w:rFonts w:ascii="標楷體" w:eastAsia="標楷體" w:hAnsi="標楷體" w:cs="Times New Roman" w:hint="eastAsia"/>
          <w:b/>
          <w:sz w:val="28"/>
          <w:szCs w:val="28"/>
        </w:rPr>
        <w:t>研謀善策</w:t>
      </w:r>
      <w:proofErr w:type="gramEnd"/>
      <w:r>
        <w:rPr>
          <w:rFonts w:ascii="標楷體" w:eastAsia="標楷體" w:hAnsi="標楷體" w:cs="Times New Roman" w:hint="eastAsia"/>
          <w:b/>
          <w:sz w:val="28"/>
          <w:szCs w:val="28"/>
        </w:rPr>
        <w:t>，以建構可兼顧減少護理人員負擔及提高醫療照護服務量能之友善環境。</w:t>
      </w:r>
    </w:p>
    <w:p w14:paraId="237567E7" w14:textId="77777777" w:rsidR="00AE147C" w:rsidRDefault="00A85180" w:rsidP="00713069">
      <w:pPr>
        <w:overflowPunct w:val="0"/>
        <w:spacing w:line="480" w:lineRule="exact"/>
        <w:ind w:firstLineChars="200" w:firstLine="480"/>
        <w:jc w:val="both"/>
        <w:rPr>
          <w:rFonts w:ascii="標楷體" w:eastAsia="標楷體" w:hAnsi="標楷體" w:cs="Times New Roman"/>
        </w:rPr>
      </w:pPr>
      <w:proofErr w:type="gramStart"/>
      <w:r>
        <w:rPr>
          <w:rFonts w:ascii="標楷體" w:eastAsia="標楷體" w:hAnsi="標楷體" w:cs="Times New Roman" w:hint="eastAsia"/>
        </w:rPr>
        <w:t>衛福部訂定</w:t>
      </w:r>
      <w:proofErr w:type="gramEnd"/>
      <w:r>
        <w:rPr>
          <w:rFonts w:ascii="標楷體" w:eastAsia="標楷體" w:hAnsi="標楷體" w:cs="Times New Roman" w:hint="eastAsia"/>
        </w:rPr>
        <w:t>「醫療機構設置標準」第12條之1第1項規定略</w:t>
      </w:r>
      <w:proofErr w:type="gramStart"/>
      <w:r>
        <w:rPr>
          <w:rFonts w:ascii="標楷體" w:eastAsia="標楷體" w:hAnsi="標楷體" w:cs="Times New Roman" w:hint="eastAsia"/>
        </w:rPr>
        <w:t>以</w:t>
      </w:r>
      <w:proofErr w:type="gramEnd"/>
      <w:r>
        <w:rPr>
          <w:rFonts w:ascii="標楷體" w:eastAsia="標楷體" w:hAnsi="標楷體" w:cs="Times New Roman" w:hint="eastAsia"/>
        </w:rPr>
        <w:t>，第3條醫院及第5條精神科醫院，應依住院病人人數，配置適當之護產人員；其急性一般病床之全日平均配置比例（簡稱護病比），按每一護產人員照護之病人人數，其中區域醫院及精神科教學醫院：12人以下；地區醫院及精神科醫院：15人以下。又臺北市立聯合醫院（下稱聯合醫院）計有7分院，包含和平婦幼等5分院屬區域醫院、松德1分院為區域精神科教學醫院、林森中醫1分院為地區醫院。經查該院各院區</w:t>
      </w:r>
      <w:proofErr w:type="gramStart"/>
      <w:r>
        <w:rPr>
          <w:rFonts w:ascii="標楷體" w:eastAsia="標楷體" w:hAnsi="標楷體" w:cs="Times New Roman" w:hint="eastAsia"/>
        </w:rPr>
        <w:t>110</w:t>
      </w:r>
      <w:proofErr w:type="gramEnd"/>
      <w:r>
        <w:rPr>
          <w:rFonts w:ascii="標楷體" w:eastAsia="標楷體" w:hAnsi="標楷體" w:cs="Times New Roman" w:hint="eastAsia"/>
        </w:rPr>
        <w:t>年度至</w:t>
      </w:r>
      <w:proofErr w:type="gramStart"/>
      <w:r>
        <w:rPr>
          <w:rFonts w:ascii="標楷體" w:eastAsia="標楷體" w:hAnsi="標楷體" w:cs="Times New Roman" w:hint="eastAsia"/>
        </w:rPr>
        <w:t>112年9月護病比</w:t>
      </w:r>
      <w:proofErr w:type="gramEnd"/>
      <w:r>
        <w:rPr>
          <w:rFonts w:ascii="標楷體" w:eastAsia="標楷體" w:hAnsi="標楷體" w:cs="Times New Roman" w:hint="eastAsia"/>
        </w:rPr>
        <w:t>雖符合</w:t>
      </w:r>
      <w:proofErr w:type="gramStart"/>
      <w:r>
        <w:rPr>
          <w:rFonts w:ascii="標楷體" w:eastAsia="標楷體" w:hAnsi="標楷體" w:cs="Times New Roman" w:hint="eastAsia"/>
        </w:rPr>
        <w:t>衛福部所訂</w:t>
      </w:r>
      <w:proofErr w:type="gramEnd"/>
      <w:r>
        <w:rPr>
          <w:rFonts w:ascii="標楷體" w:eastAsia="標楷體" w:hAnsi="標楷體" w:cs="Times New Roman" w:hint="eastAsia"/>
        </w:rPr>
        <w:t>定「醫療機構設置標準」規範，</w:t>
      </w:r>
    </w:p>
    <w:p w14:paraId="4AA8A937" w14:textId="684A7C06" w:rsidR="00713069" w:rsidRDefault="00A85180" w:rsidP="00AE147C">
      <w:pPr>
        <w:overflowPunct w:val="0"/>
        <w:spacing w:line="480" w:lineRule="exact"/>
        <w:jc w:val="both"/>
        <w:rPr>
          <w:rFonts w:ascii="標楷體" w:eastAsia="標楷體" w:hAnsi="標楷體" w:cs="Times New Roman"/>
        </w:rPr>
      </w:pPr>
      <w:proofErr w:type="gramStart"/>
      <w:r>
        <w:rPr>
          <w:rFonts w:ascii="標楷體" w:eastAsia="標楷體" w:hAnsi="標楷體" w:cs="Times New Roman" w:hint="eastAsia"/>
        </w:rPr>
        <w:lastRenderedPageBreak/>
        <w:t>惟護病</w:t>
      </w:r>
      <w:proofErr w:type="gramEnd"/>
      <w:r>
        <w:rPr>
          <w:rFonts w:ascii="標楷體" w:eastAsia="標楷體" w:hAnsi="標楷體" w:cs="Times New Roman" w:hint="eastAsia"/>
        </w:rPr>
        <w:t>比及護理人力</w:t>
      </w:r>
      <w:proofErr w:type="gramStart"/>
      <w:r>
        <w:rPr>
          <w:rFonts w:ascii="標楷體" w:eastAsia="標楷體" w:hAnsi="標楷體" w:cs="Times New Roman" w:hint="eastAsia"/>
        </w:rPr>
        <w:t>缺額均有增加</w:t>
      </w:r>
      <w:proofErr w:type="gramEnd"/>
      <w:r>
        <w:rPr>
          <w:rFonts w:ascii="標楷體" w:eastAsia="標楷體" w:hAnsi="標楷體" w:cs="Times New Roman" w:hint="eastAsia"/>
        </w:rPr>
        <w:t>現象等待改善事項，前經函請</w:t>
      </w:r>
      <w:proofErr w:type="gramStart"/>
      <w:r>
        <w:rPr>
          <w:rFonts w:ascii="標楷體" w:eastAsia="標楷體" w:hAnsi="標楷體" w:cs="Times New Roman" w:hint="eastAsia"/>
        </w:rPr>
        <w:t>檢討妥處</w:t>
      </w:r>
      <w:proofErr w:type="gramEnd"/>
      <w:r>
        <w:rPr>
          <w:rFonts w:ascii="標楷體" w:eastAsia="標楷體" w:hAnsi="標楷體" w:cs="Times New Roman" w:hint="eastAsia"/>
        </w:rPr>
        <w:t>。據復：已爭取護理人員薪資及福利、提高部分工時</w:t>
      </w:r>
      <w:proofErr w:type="gramStart"/>
      <w:r>
        <w:rPr>
          <w:rFonts w:ascii="標楷體" w:eastAsia="標楷體" w:hAnsi="標楷體" w:cs="Times New Roman" w:hint="eastAsia"/>
        </w:rPr>
        <w:t>時</w:t>
      </w:r>
      <w:proofErr w:type="gramEnd"/>
      <w:r>
        <w:rPr>
          <w:rFonts w:ascii="標楷體" w:eastAsia="標楷體" w:hAnsi="標楷體" w:cs="Times New Roman" w:hint="eastAsia"/>
        </w:rPr>
        <w:t>薪及獎勵金，另辦理員工關懷系列課程等，以招募及留任護理人員。經追蹤查核結果，核有：1.聯合醫院113年底編制之護理人數計2,274人，在職人數2,210人分別較111年底及112年</w:t>
      </w:r>
      <w:r w:rsidR="00D96C8D">
        <w:rPr>
          <w:rFonts w:ascii="標楷體" w:eastAsia="標楷體" w:hAnsi="標楷體" w:cs="Times New Roman" w:hint="eastAsia"/>
        </w:rPr>
        <w:t>底</w:t>
      </w:r>
      <w:r>
        <w:rPr>
          <w:rFonts w:ascii="標楷體" w:eastAsia="標楷體" w:hAnsi="標楷體" w:cs="Times New Roman" w:hint="eastAsia"/>
        </w:rPr>
        <w:t>增加98人、158人，缺額人數64人分別較111年底及112年底減少50人、147人。另配合衛福部113年1月26日公布之各層級醫院急性一般病床</w:t>
      </w:r>
      <w:proofErr w:type="gramStart"/>
      <w:r>
        <w:rPr>
          <w:rFonts w:ascii="標楷體" w:eastAsia="標楷體" w:hAnsi="標楷體" w:cs="Times New Roman" w:hint="eastAsia"/>
        </w:rPr>
        <w:t>三班護病比</w:t>
      </w:r>
      <w:proofErr w:type="gramEnd"/>
      <w:r>
        <w:rPr>
          <w:rFonts w:ascii="標楷體" w:eastAsia="標楷體" w:hAnsi="標楷體" w:cs="Times New Roman" w:hint="eastAsia"/>
        </w:rPr>
        <w:t>標準，業自113年3月起將屬「區域醫院」層級之和平婦幼、忠孝、中興、仁愛及陽明等5</w:t>
      </w:r>
      <w:proofErr w:type="gramStart"/>
      <w:r>
        <w:rPr>
          <w:rFonts w:ascii="標楷體" w:eastAsia="標楷體" w:hAnsi="標楷體" w:cs="Times New Roman" w:hint="eastAsia"/>
        </w:rPr>
        <w:t>分院護病比</w:t>
      </w:r>
      <w:proofErr w:type="gramEnd"/>
      <w:r>
        <w:rPr>
          <w:rFonts w:ascii="標楷體" w:eastAsia="標楷體" w:hAnsi="標楷體" w:cs="Times New Roman" w:hint="eastAsia"/>
        </w:rPr>
        <w:t>，以衛福部公布標準值「白班1：7」、「小夜1：11」、「</w:t>
      </w:r>
      <w:proofErr w:type="gramStart"/>
      <w:r>
        <w:rPr>
          <w:rFonts w:ascii="標楷體" w:eastAsia="標楷體" w:hAnsi="標楷體" w:cs="Times New Roman" w:hint="eastAsia"/>
        </w:rPr>
        <w:t>大夜</w:t>
      </w:r>
      <w:proofErr w:type="gramEnd"/>
      <w:r>
        <w:rPr>
          <w:rFonts w:ascii="標楷體" w:eastAsia="標楷體" w:hAnsi="標楷體" w:cs="Times New Roman" w:hint="eastAsia"/>
        </w:rPr>
        <w:t>1：13」進行管控，截至113年底執行結果，該5分院各班別有1至5個月不等月數未符中央訂定標準值（表4），多集中於</w:t>
      </w:r>
      <w:r w:rsidR="00E9737B">
        <w:rPr>
          <w:rFonts w:ascii="新細明體" w:eastAsia="新細明體" w:hAnsi="新細明體" w:cs="新細明體"/>
          <w:noProof/>
          <w:kern w:val="0"/>
          <w:szCs w:val="24"/>
        </w:rPr>
        <mc:AlternateContent>
          <mc:Choice Requires="wps">
            <w:drawing>
              <wp:anchor distT="45720" distB="45720" distL="114300" distR="114300" simplePos="0" relativeHeight="251727872" behindDoc="1" locked="0" layoutInCell="1" allowOverlap="1" wp14:anchorId="478C5495" wp14:editId="6D42A201">
                <wp:simplePos x="0" y="0"/>
                <wp:positionH relativeFrom="margin">
                  <wp:posOffset>3148450</wp:posOffset>
                </wp:positionH>
                <wp:positionV relativeFrom="page">
                  <wp:posOffset>3536830</wp:posOffset>
                </wp:positionV>
                <wp:extent cx="3169920" cy="2400300"/>
                <wp:effectExtent l="0" t="0" r="0" b="0"/>
                <wp:wrapTight wrapText="bothSides">
                  <wp:wrapPolygon edited="0">
                    <wp:start x="0" y="0"/>
                    <wp:lineTo x="0" y="21429"/>
                    <wp:lineTo x="21418" y="21429"/>
                    <wp:lineTo x="21418" y="0"/>
                    <wp:lineTo x="0" y="0"/>
                  </wp:wrapPolygon>
                </wp:wrapTight>
                <wp:docPr id="927419599" name="文字方塊 9274195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9920" cy="2400300"/>
                        </a:xfrm>
                        <a:prstGeom prst="rect">
                          <a:avLst/>
                        </a:prstGeom>
                        <a:solidFill>
                          <a:srgbClr val="FFFFFF"/>
                        </a:solidFill>
                        <a:ln w="9525">
                          <a:noFill/>
                          <a:miter lim="800000"/>
                          <a:headEnd/>
                          <a:tailEnd/>
                        </a:ln>
                      </wps:spPr>
                      <wps:txbx>
                        <w:txbxContent>
                          <w:p w14:paraId="6D95BAE2" w14:textId="77777777" w:rsidR="00A85180" w:rsidRDefault="00A85180" w:rsidP="00024366">
                            <w:pPr>
                              <w:spacing w:afterLines="20" w:after="72" w:line="260" w:lineRule="exact"/>
                              <w:ind w:left="644" w:rightChars="20" w:right="48" w:hangingChars="282" w:hanging="644"/>
                              <w:jc w:val="both"/>
                              <w:rPr>
                                <w:rFonts w:ascii="標楷體" w:eastAsia="標楷體" w:hAnsi="標楷體"/>
                                <w:b/>
                                <w:spacing w:val="-6"/>
                              </w:rPr>
                            </w:pPr>
                            <w:r>
                              <w:rPr>
                                <w:rFonts w:ascii="標楷體" w:eastAsia="標楷體" w:hAnsi="標楷體" w:hint="eastAsia"/>
                                <w:b/>
                                <w:spacing w:val="-6"/>
                              </w:rPr>
                              <w:t>表4  和平婦幼等5院區</w:t>
                            </w:r>
                            <w:proofErr w:type="gramStart"/>
                            <w:r>
                              <w:rPr>
                                <w:rFonts w:ascii="標楷體" w:eastAsia="標楷體" w:hAnsi="標楷體" w:hint="eastAsia"/>
                                <w:b/>
                                <w:spacing w:val="-6"/>
                              </w:rPr>
                              <w:t>113年3至12月護病比</w:t>
                            </w:r>
                            <w:proofErr w:type="gramEnd"/>
                            <w:r>
                              <w:rPr>
                                <w:rFonts w:ascii="標楷體" w:eastAsia="標楷體" w:hAnsi="標楷體" w:hint="eastAsia"/>
                                <w:b/>
                                <w:spacing w:val="-6"/>
                              </w:rPr>
                              <w:t>概況</w:t>
                            </w:r>
                          </w:p>
                          <w:tbl>
                            <w:tblPr>
                              <w:tblStyle w:val="a6"/>
                              <w:tblW w:w="4746" w:type="dxa"/>
                              <w:tblInd w:w="-5" w:type="dxa"/>
                              <w:tblLook w:val="04A0" w:firstRow="1" w:lastRow="0" w:firstColumn="1" w:lastColumn="0" w:noHBand="0" w:noVBand="1"/>
                            </w:tblPr>
                            <w:tblGrid>
                              <w:gridCol w:w="661"/>
                              <w:gridCol w:w="661"/>
                              <w:gridCol w:w="661"/>
                              <w:gridCol w:w="661"/>
                              <w:gridCol w:w="661"/>
                              <w:gridCol w:w="661"/>
                              <w:gridCol w:w="780"/>
                            </w:tblGrid>
                            <w:tr w:rsidR="00A85180" w14:paraId="590941AB" w14:textId="77777777">
                              <w:tc>
                                <w:tcPr>
                                  <w:tcW w:w="661" w:type="dxa"/>
                                  <w:vMerge w:val="restart"/>
                                  <w:tcBorders>
                                    <w:top w:val="single" w:sz="4" w:space="0" w:color="auto"/>
                                    <w:left w:val="single" w:sz="4" w:space="0" w:color="auto"/>
                                    <w:bottom w:val="single" w:sz="4" w:space="0" w:color="auto"/>
                                    <w:right w:val="single" w:sz="4" w:space="0" w:color="auto"/>
                                  </w:tcBorders>
                                </w:tcPr>
                                <w:p w14:paraId="242F5961" w14:textId="77777777" w:rsidR="00A85180" w:rsidRDefault="00A85180">
                                  <w:pPr>
                                    <w:spacing w:line="240" w:lineRule="exact"/>
                                    <w:rPr>
                                      <w:rFonts w:ascii="標楷體" w:eastAsia="標楷體" w:hAnsi="標楷體"/>
                                      <w:spacing w:val="-16"/>
                                    </w:rPr>
                                  </w:pPr>
                                </w:p>
                                <w:p w14:paraId="478499A8"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事項</w:t>
                                  </w:r>
                                </w:p>
                              </w:tc>
                              <w:tc>
                                <w:tcPr>
                                  <w:tcW w:w="661" w:type="dxa"/>
                                  <w:vMerge w:val="restart"/>
                                  <w:tcBorders>
                                    <w:top w:val="single" w:sz="4" w:space="0" w:color="auto"/>
                                    <w:left w:val="single" w:sz="4" w:space="0" w:color="auto"/>
                                    <w:bottom w:val="single" w:sz="4" w:space="0" w:color="auto"/>
                                    <w:right w:val="single" w:sz="4" w:space="0" w:color="auto"/>
                                  </w:tcBorders>
                                  <w:vAlign w:val="center"/>
                                  <w:hideMark/>
                                </w:tcPr>
                                <w:p w14:paraId="45079D72" w14:textId="77777777" w:rsidR="00A85180" w:rsidRDefault="00A85180">
                                  <w:pPr>
                                    <w:spacing w:line="240" w:lineRule="exact"/>
                                    <w:ind w:leftChars="-33" w:left="-79" w:rightChars="-20" w:right="-48"/>
                                    <w:jc w:val="center"/>
                                    <w:rPr>
                                      <w:rFonts w:ascii="標楷體" w:eastAsia="標楷體" w:hAnsi="標楷體"/>
                                      <w:spacing w:val="-20"/>
                                    </w:rPr>
                                  </w:pPr>
                                  <w:r>
                                    <w:rPr>
                                      <w:rFonts w:ascii="標楷體" w:eastAsia="標楷體" w:hAnsi="標楷體" w:hint="eastAsia"/>
                                      <w:spacing w:val="-20"/>
                                    </w:rPr>
                                    <w:t>衛福</w:t>
                                  </w:r>
                                  <w:proofErr w:type="gramStart"/>
                                  <w:r>
                                    <w:rPr>
                                      <w:rFonts w:ascii="標楷體" w:eastAsia="標楷體" w:hAnsi="標楷體" w:hint="eastAsia"/>
                                      <w:spacing w:val="-20"/>
                                    </w:rPr>
                                    <w:t>部標   準</w:t>
                                  </w:r>
                                  <w:proofErr w:type="gramEnd"/>
                                </w:p>
                              </w:tc>
                              <w:tc>
                                <w:tcPr>
                                  <w:tcW w:w="3424" w:type="dxa"/>
                                  <w:gridSpan w:val="5"/>
                                  <w:tcBorders>
                                    <w:top w:val="single" w:sz="4" w:space="0" w:color="auto"/>
                                    <w:left w:val="single" w:sz="4" w:space="0" w:color="auto"/>
                                    <w:bottom w:val="single" w:sz="4" w:space="0" w:color="auto"/>
                                    <w:right w:val="single" w:sz="4" w:space="0" w:color="auto"/>
                                  </w:tcBorders>
                                  <w:hideMark/>
                                </w:tcPr>
                                <w:p w14:paraId="502FE8F8" w14:textId="77777777" w:rsidR="00A85180" w:rsidRDefault="00A85180">
                                  <w:pPr>
                                    <w:spacing w:line="240" w:lineRule="exact"/>
                                    <w:jc w:val="center"/>
                                    <w:rPr>
                                      <w:rFonts w:ascii="標楷體" w:eastAsia="標楷體" w:hAnsi="標楷體"/>
                                      <w:spacing w:val="-6"/>
                                    </w:rPr>
                                  </w:pPr>
                                  <w:r>
                                    <w:rPr>
                                      <w:rFonts w:ascii="標楷體" w:eastAsia="標楷體" w:hAnsi="標楷體" w:hint="eastAsia"/>
                                      <w:spacing w:val="-6"/>
                                    </w:rPr>
                                    <w:t>綜合院區</w:t>
                                  </w:r>
                                </w:p>
                              </w:tc>
                            </w:tr>
                            <w:tr w:rsidR="00A85180" w14:paraId="12553382"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291336" w14:textId="77777777" w:rsidR="00A85180" w:rsidRDefault="00A85180">
                                  <w:pPr>
                                    <w:rPr>
                                      <w:rFonts w:ascii="標楷體" w:eastAsia="標楷體" w:hAnsi="標楷體"/>
                                      <w:spacing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2F381" w14:textId="77777777" w:rsidR="00A85180" w:rsidRDefault="00A85180">
                                  <w:pPr>
                                    <w:rPr>
                                      <w:rFonts w:ascii="標楷體" w:eastAsia="標楷體" w:hAnsi="標楷體"/>
                                      <w:spacing w:val="-20"/>
                                    </w:rPr>
                                  </w:pPr>
                                </w:p>
                              </w:tc>
                              <w:tc>
                                <w:tcPr>
                                  <w:tcW w:w="661" w:type="dxa"/>
                                  <w:tcBorders>
                                    <w:top w:val="single" w:sz="4" w:space="0" w:color="auto"/>
                                    <w:left w:val="single" w:sz="4" w:space="0" w:color="auto"/>
                                    <w:bottom w:val="single" w:sz="4" w:space="0" w:color="auto"/>
                                    <w:right w:val="single" w:sz="4" w:space="0" w:color="auto"/>
                                  </w:tcBorders>
                                  <w:hideMark/>
                                </w:tcPr>
                                <w:p w14:paraId="5CD4837D" w14:textId="77777777" w:rsidR="00A85180" w:rsidRDefault="00A85180">
                                  <w:pPr>
                                    <w:spacing w:line="240" w:lineRule="exact"/>
                                    <w:jc w:val="center"/>
                                    <w:rPr>
                                      <w:rFonts w:ascii="標楷體" w:eastAsia="標楷體" w:hAnsi="標楷體"/>
                                      <w:spacing w:val="-16"/>
                                    </w:rPr>
                                  </w:pPr>
                                  <w:r>
                                    <w:rPr>
                                      <w:rFonts w:ascii="標楷體" w:eastAsia="標楷體" w:hAnsi="標楷體" w:hint="eastAsia"/>
                                      <w:spacing w:val="-16"/>
                                    </w:rPr>
                                    <w:t>和平婦幼</w:t>
                                  </w:r>
                                </w:p>
                              </w:tc>
                              <w:tc>
                                <w:tcPr>
                                  <w:tcW w:w="661" w:type="dxa"/>
                                  <w:tcBorders>
                                    <w:top w:val="single" w:sz="4" w:space="0" w:color="auto"/>
                                    <w:left w:val="single" w:sz="4" w:space="0" w:color="auto"/>
                                    <w:bottom w:val="single" w:sz="4" w:space="0" w:color="auto"/>
                                    <w:right w:val="single" w:sz="4" w:space="0" w:color="auto"/>
                                  </w:tcBorders>
                                  <w:vAlign w:val="center"/>
                                  <w:hideMark/>
                                </w:tcPr>
                                <w:p w14:paraId="5FC53444" w14:textId="77777777" w:rsidR="00A85180" w:rsidRDefault="00A85180">
                                  <w:pPr>
                                    <w:spacing w:line="240" w:lineRule="exact"/>
                                    <w:jc w:val="center"/>
                                    <w:rPr>
                                      <w:rFonts w:ascii="標楷體" w:eastAsia="標楷體" w:hAnsi="標楷體"/>
                                      <w:spacing w:val="-16"/>
                                    </w:rPr>
                                  </w:pPr>
                                  <w:r>
                                    <w:rPr>
                                      <w:rFonts w:ascii="標楷體" w:eastAsia="標楷體" w:hAnsi="標楷體" w:hint="eastAsia"/>
                                      <w:spacing w:val="-16"/>
                                    </w:rPr>
                                    <w:t>忠孝</w:t>
                                  </w:r>
                                </w:p>
                              </w:tc>
                              <w:tc>
                                <w:tcPr>
                                  <w:tcW w:w="661" w:type="dxa"/>
                                  <w:tcBorders>
                                    <w:top w:val="single" w:sz="4" w:space="0" w:color="auto"/>
                                    <w:left w:val="single" w:sz="4" w:space="0" w:color="auto"/>
                                    <w:bottom w:val="single" w:sz="4" w:space="0" w:color="auto"/>
                                    <w:right w:val="single" w:sz="4" w:space="0" w:color="auto"/>
                                  </w:tcBorders>
                                  <w:vAlign w:val="center"/>
                                  <w:hideMark/>
                                </w:tcPr>
                                <w:p w14:paraId="2B72F716" w14:textId="77777777" w:rsidR="00A85180" w:rsidRDefault="00A85180">
                                  <w:pPr>
                                    <w:spacing w:line="240" w:lineRule="exact"/>
                                    <w:jc w:val="center"/>
                                    <w:rPr>
                                      <w:rFonts w:ascii="標楷體" w:eastAsia="標楷體" w:hAnsi="標楷體"/>
                                      <w:spacing w:val="-16"/>
                                    </w:rPr>
                                  </w:pPr>
                                  <w:r>
                                    <w:rPr>
                                      <w:rFonts w:ascii="標楷體" w:eastAsia="標楷體" w:hAnsi="標楷體" w:hint="eastAsia"/>
                                      <w:spacing w:val="-16"/>
                                    </w:rPr>
                                    <w:t>中興</w:t>
                                  </w:r>
                                </w:p>
                              </w:tc>
                              <w:tc>
                                <w:tcPr>
                                  <w:tcW w:w="661" w:type="dxa"/>
                                  <w:tcBorders>
                                    <w:top w:val="single" w:sz="4" w:space="0" w:color="auto"/>
                                    <w:left w:val="single" w:sz="4" w:space="0" w:color="auto"/>
                                    <w:bottom w:val="single" w:sz="4" w:space="0" w:color="auto"/>
                                    <w:right w:val="single" w:sz="4" w:space="0" w:color="auto"/>
                                  </w:tcBorders>
                                  <w:vAlign w:val="center"/>
                                  <w:hideMark/>
                                </w:tcPr>
                                <w:p w14:paraId="747DCD6C" w14:textId="77777777" w:rsidR="00A85180" w:rsidRDefault="00A85180">
                                  <w:pPr>
                                    <w:spacing w:line="240" w:lineRule="exact"/>
                                    <w:jc w:val="center"/>
                                    <w:rPr>
                                      <w:rFonts w:ascii="標楷體" w:eastAsia="標楷體" w:hAnsi="標楷體"/>
                                      <w:spacing w:val="-16"/>
                                    </w:rPr>
                                  </w:pPr>
                                  <w:r>
                                    <w:rPr>
                                      <w:rFonts w:ascii="標楷體" w:eastAsia="標楷體" w:hAnsi="標楷體" w:hint="eastAsia"/>
                                      <w:spacing w:val="-16"/>
                                    </w:rPr>
                                    <w:t>仁愛</w:t>
                                  </w:r>
                                </w:p>
                              </w:tc>
                              <w:tc>
                                <w:tcPr>
                                  <w:tcW w:w="780" w:type="dxa"/>
                                  <w:tcBorders>
                                    <w:top w:val="single" w:sz="4" w:space="0" w:color="auto"/>
                                    <w:left w:val="single" w:sz="4" w:space="0" w:color="auto"/>
                                    <w:bottom w:val="single" w:sz="4" w:space="0" w:color="auto"/>
                                    <w:right w:val="single" w:sz="4" w:space="0" w:color="auto"/>
                                  </w:tcBorders>
                                  <w:vAlign w:val="center"/>
                                  <w:hideMark/>
                                </w:tcPr>
                                <w:p w14:paraId="193E9E8D" w14:textId="77777777" w:rsidR="00A85180" w:rsidRDefault="00A85180">
                                  <w:pPr>
                                    <w:spacing w:line="240" w:lineRule="exact"/>
                                    <w:jc w:val="center"/>
                                    <w:rPr>
                                      <w:rFonts w:ascii="標楷體" w:eastAsia="標楷體" w:hAnsi="標楷體"/>
                                      <w:spacing w:val="-16"/>
                                    </w:rPr>
                                  </w:pPr>
                                  <w:r>
                                    <w:rPr>
                                      <w:rFonts w:ascii="標楷體" w:eastAsia="標楷體" w:hAnsi="標楷體" w:hint="eastAsia"/>
                                      <w:spacing w:val="-16"/>
                                    </w:rPr>
                                    <w:t>陽明</w:t>
                                  </w:r>
                                </w:p>
                              </w:tc>
                            </w:tr>
                            <w:tr w:rsidR="00A85180" w14:paraId="5E167C69"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69A5C31D"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班別</w:t>
                                  </w:r>
                                </w:p>
                              </w:tc>
                              <w:tc>
                                <w:tcPr>
                                  <w:tcW w:w="661" w:type="dxa"/>
                                  <w:tcBorders>
                                    <w:top w:val="single" w:sz="4" w:space="0" w:color="auto"/>
                                    <w:left w:val="single" w:sz="4" w:space="0" w:color="auto"/>
                                    <w:bottom w:val="single" w:sz="4" w:space="0" w:color="auto"/>
                                    <w:right w:val="single" w:sz="4" w:space="0" w:color="auto"/>
                                  </w:tcBorders>
                                  <w:hideMark/>
                                </w:tcPr>
                                <w:p w14:paraId="173B14E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3424" w:type="dxa"/>
                                  <w:gridSpan w:val="5"/>
                                  <w:tcBorders>
                                    <w:top w:val="single" w:sz="4" w:space="0" w:color="auto"/>
                                    <w:left w:val="single" w:sz="4" w:space="0" w:color="auto"/>
                                    <w:bottom w:val="single" w:sz="4" w:space="0" w:color="auto"/>
                                    <w:right w:val="single" w:sz="4" w:space="0" w:color="auto"/>
                                  </w:tcBorders>
                                  <w:hideMark/>
                                </w:tcPr>
                                <w:p w14:paraId="509E25A1" w14:textId="77777777" w:rsidR="00A85180" w:rsidRDefault="00A85180">
                                  <w:pPr>
                                    <w:spacing w:line="240" w:lineRule="exact"/>
                                    <w:jc w:val="center"/>
                                    <w:rPr>
                                      <w:rFonts w:ascii="標楷體" w:eastAsia="標楷體" w:hAnsi="標楷體"/>
                                      <w:b/>
                                      <w:spacing w:val="-14"/>
                                    </w:rPr>
                                  </w:pPr>
                                  <w:r>
                                    <w:rPr>
                                      <w:rFonts w:ascii="標楷體" w:eastAsia="標楷體" w:hAnsi="標楷體" w:hint="eastAsia"/>
                                      <w:b/>
                                      <w:spacing w:val="-14"/>
                                    </w:rPr>
                                    <w:t>113年3月至113年12月</w:t>
                                  </w:r>
                                  <w:proofErr w:type="gramStart"/>
                                  <w:r>
                                    <w:rPr>
                                      <w:rFonts w:ascii="標楷體" w:eastAsia="標楷體" w:hAnsi="標楷體" w:hint="eastAsia"/>
                                      <w:b/>
                                      <w:spacing w:val="-14"/>
                                    </w:rPr>
                                    <w:t>之護病比</w:t>
                                  </w:r>
                                  <w:proofErr w:type="gramEnd"/>
                                  <w:r>
                                    <w:rPr>
                                      <w:rFonts w:ascii="標楷體" w:eastAsia="標楷體" w:hAnsi="標楷體" w:hint="eastAsia"/>
                                      <w:b/>
                                      <w:spacing w:val="-14"/>
                                    </w:rPr>
                                    <w:t>統計</w:t>
                                  </w:r>
                                </w:p>
                              </w:tc>
                            </w:tr>
                            <w:tr w:rsidR="00A85180" w14:paraId="33A3CE29"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1FAFA9B4"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白班</w:t>
                                  </w:r>
                                </w:p>
                              </w:tc>
                              <w:tc>
                                <w:tcPr>
                                  <w:tcW w:w="661" w:type="dxa"/>
                                  <w:tcBorders>
                                    <w:top w:val="single" w:sz="4" w:space="0" w:color="auto"/>
                                    <w:left w:val="single" w:sz="4" w:space="0" w:color="auto"/>
                                    <w:bottom w:val="single" w:sz="4" w:space="0" w:color="auto"/>
                                    <w:right w:val="single" w:sz="4" w:space="0" w:color="auto"/>
                                  </w:tcBorders>
                                  <w:vAlign w:val="center"/>
                                  <w:hideMark/>
                                </w:tcPr>
                                <w:p w14:paraId="310E24E6"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7</w:t>
                                  </w:r>
                                </w:p>
                              </w:tc>
                              <w:tc>
                                <w:tcPr>
                                  <w:tcW w:w="661" w:type="dxa"/>
                                  <w:tcBorders>
                                    <w:top w:val="single" w:sz="4" w:space="0" w:color="auto"/>
                                    <w:left w:val="single" w:sz="4" w:space="0" w:color="auto"/>
                                    <w:bottom w:val="single" w:sz="4" w:space="0" w:color="auto"/>
                                    <w:right w:val="single" w:sz="4" w:space="0" w:color="auto"/>
                                  </w:tcBorders>
                                  <w:vAlign w:val="center"/>
                                  <w:hideMark/>
                                </w:tcPr>
                                <w:p w14:paraId="06AA627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6.7</w:t>
                                  </w:r>
                                </w:p>
                              </w:tc>
                              <w:tc>
                                <w:tcPr>
                                  <w:tcW w:w="661" w:type="dxa"/>
                                  <w:tcBorders>
                                    <w:top w:val="single" w:sz="4" w:space="0" w:color="auto"/>
                                    <w:left w:val="single" w:sz="4" w:space="0" w:color="auto"/>
                                    <w:bottom w:val="single" w:sz="4" w:space="0" w:color="auto"/>
                                    <w:right w:val="single" w:sz="4" w:space="0" w:color="auto"/>
                                  </w:tcBorders>
                                  <w:vAlign w:val="center"/>
                                  <w:hideMark/>
                                </w:tcPr>
                                <w:p w14:paraId="51908A68"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6.4</w:t>
                                  </w:r>
                                </w:p>
                              </w:tc>
                              <w:tc>
                                <w:tcPr>
                                  <w:tcW w:w="661" w:type="dxa"/>
                                  <w:tcBorders>
                                    <w:top w:val="single" w:sz="4" w:space="0" w:color="auto"/>
                                    <w:left w:val="single" w:sz="4" w:space="0" w:color="auto"/>
                                    <w:bottom w:val="single" w:sz="4" w:space="0" w:color="auto"/>
                                    <w:right w:val="single" w:sz="4" w:space="0" w:color="auto"/>
                                  </w:tcBorders>
                                  <w:vAlign w:val="center"/>
                                  <w:hideMark/>
                                </w:tcPr>
                                <w:p w14:paraId="311A9871"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5.5</w:t>
                                  </w:r>
                                </w:p>
                              </w:tc>
                              <w:tc>
                                <w:tcPr>
                                  <w:tcW w:w="661" w:type="dxa"/>
                                  <w:tcBorders>
                                    <w:top w:val="single" w:sz="4" w:space="0" w:color="auto"/>
                                    <w:left w:val="single" w:sz="4" w:space="0" w:color="auto"/>
                                    <w:bottom w:val="single" w:sz="4" w:space="0" w:color="auto"/>
                                    <w:right w:val="single" w:sz="4" w:space="0" w:color="auto"/>
                                  </w:tcBorders>
                                  <w:vAlign w:val="center"/>
                                  <w:hideMark/>
                                </w:tcPr>
                                <w:p w14:paraId="6456E6A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5.8</w:t>
                                  </w:r>
                                </w:p>
                              </w:tc>
                              <w:tc>
                                <w:tcPr>
                                  <w:tcW w:w="780" w:type="dxa"/>
                                  <w:tcBorders>
                                    <w:top w:val="single" w:sz="4" w:space="0" w:color="auto"/>
                                    <w:left w:val="single" w:sz="4" w:space="0" w:color="auto"/>
                                    <w:bottom w:val="single" w:sz="4" w:space="0" w:color="auto"/>
                                    <w:right w:val="single" w:sz="4" w:space="0" w:color="auto"/>
                                  </w:tcBorders>
                                  <w:vAlign w:val="center"/>
                                  <w:hideMark/>
                                </w:tcPr>
                                <w:p w14:paraId="74DBE9C3"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6.3</w:t>
                                  </w:r>
                                </w:p>
                              </w:tc>
                            </w:tr>
                            <w:tr w:rsidR="00A85180" w14:paraId="5707E87E"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2E28B929"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小夜</w:t>
                                  </w:r>
                                </w:p>
                              </w:tc>
                              <w:tc>
                                <w:tcPr>
                                  <w:tcW w:w="661" w:type="dxa"/>
                                  <w:tcBorders>
                                    <w:top w:val="single" w:sz="4" w:space="0" w:color="auto"/>
                                    <w:left w:val="single" w:sz="4" w:space="0" w:color="auto"/>
                                    <w:bottom w:val="single" w:sz="4" w:space="0" w:color="auto"/>
                                    <w:right w:val="single" w:sz="4" w:space="0" w:color="auto"/>
                                  </w:tcBorders>
                                  <w:vAlign w:val="center"/>
                                  <w:hideMark/>
                                </w:tcPr>
                                <w:p w14:paraId="6B54318F"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11</w:t>
                                  </w:r>
                                </w:p>
                              </w:tc>
                              <w:tc>
                                <w:tcPr>
                                  <w:tcW w:w="661" w:type="dxa"/>
                                  <w:tcBorders>
                                    <w:top w:val="single" w:sz="4" w:space="0" w:color="auto"/>
                                    <w:left w:val="single" w:sz="4" w:space="0" w:color="auto"/>
                                    <w:bottom w:val="single" w:sz="4" w:space="0" w:color="auto"/>
                                    <w:right w:val="single" w:sz="4" w:space="0" w:color="auto"/>
                                  </w:tcBorders>
                                  <w:vAlign w:val="center"/>
                                  <w:hideMark/>
                                </w:tcPr>
                                <w:p w14:paraId="17FE28B9"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10.5</w:t>
                                  </w:r>
                                </w:p>
                              </w:tc>
                              <w:tc>
                                <w:tcPr>
                                  <w:tcW w:w="661" w:type="dxa"/>
                                  <w:tcBorders>
                                    <w:top w:val="single" w:sz="4" w:space="0" w:color="auto"/>
                                    <w:left w:val="single" w:sz="4" w:space="0" w:color="auto"/>
                                    <w:bottom w:val="single" w:sz="4" w:space="0" w:color="auto"/>
                                    <w:right w:val="single" w:sz="4" w:space="0" w:color="auto"/>
                                  </w:tcBorders>
                                  <w:vAlign w:val="center"/>
                                  <w:hideMark/>
                                </w:tcPr>
                                <w:p w14:paraId="0C6CF8BB"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10.2</w:t>
                                  </w:r>
                                </w:p>
                              </w:tc>
                              <w:tc>
                                <w:tcPr>
                                  <w:tcW w:w="661" w:type="dxa"/>
                                  <w:tcBorders>
                                    <w:top w:val="single" w:sz="4" w:space="0" w:color="auto"/>
                                    <w:left w:val="single" w:sz="4" w:space="0" w:color="auto"/>
                                    <w:bottom w:val="single" w:sz="4" w:space="0" w:color="auto"/>
                                    <w:right w:val="single" w:sz="4" w:space="0" w:color="auto"/>
                                  </w:tcBorders>
                                  <w:vAlign w:val="center"/>
                                  <w:hideMark/>
                                </w:tcPr>
                                <w:p w14:paraId="4B8EE843"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10.4</w:t>
                                  </w:r>
                                </w:p>
                              </w:tc>
                              <w:tc>
                                <w:tcPr>
                                  <w:tcW w:w="661" w:type="dxa"/>
                                  <w:tcBorders>
                                    <w:top w:val="single" w:sz="4" w:space="0" w:color="auto"/>
                                    <w:left w:val="single" w:sz="4" w:space="0" w:color="auto"/>
                                    <w:bottom w:val="single" w:sz="4" w:space="0" w:color="auto"/>
                                    <w:right w:val="single" w:sz="4" w:space="0" w:color="auto"/>
                                  </w:tcBorders>
                                  <w:vAlign w:val="center"/>
                                  <w:hideMark/>
                                </w:tcPr>
                                <w:p w14:paraId="4471335F"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5CCA5F8"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10.4</w:t>
                                  </w:r>
                                </w:p>
                              </w:tc>
                            </w:tr>
                            <w:tr w:rsidR="00A85180" w14:paraId="39D402E7" w14:textId="77777777">
                              <w:trPr>
                                <w:trHeight w:val="227"/>
                              </w:trPr>
                              <w:tc>
                                <w:tcPr>
                                  <w:tcW w:w="661" w:type="dxa"/>
                                  <w:tcBorders>
                                    <w:top w:val="single" w:sz="4" w:space="0" w:color="auto"/>
                                    <w:left w:val="single" w:sz="4" w:space="0" w:color="auto"/>
                                    <w:bottom w:val="double" w:sz="6" w:space="0" w:color="auto"/>
                                    <w:right w:val="single" w:sz="4" w:space="0" w:color="auto"/>
                                  </w:tcBorders>
                                  <w:hideMark/>
                                </w:tcPr>
                                <w:p w14:paraId="656F1BF6" w14:textId="77777777" w:rsidR="00A85180" w:rsidRDefault="00A85180">
                                  <w:pPr>
                                    <w:spacing w:line="240" w:lineRule="exact"/>
                                    <w:rPr>
                                      <w:rFonts w:ascii="標楷體" w:eastAsia="標楷體" w:hAnsi="標楷體"/>
                                      <w:spacing w:val="-16"/>
                                    </w:rPr>
                                  </w:pPr>
                                  <w:proofErr w:type="gramStart"/>
                                  <w:r>
                                    <w:rPr>
                                      <w:rFonts w:ascii="標楷體" w:eastAsia="標楷體" w:hAnsi="標楷體" w:hint="eastAsia"/>
                                      <w:spacing w:val="-16"/>
                                    </w:rPr>
                                    <w:t>大夜</w:t>
                                  </w:r>
                                  <w:proofErr w:type="gramEnd"/>
                                </w:p>
                              </w:tc>
                              <w:tc>
                                <w:tcPr>
                                  <w:tcW w:w="661" w:type="dxa"/>
                                  <w:tcBorders>
                                    <w:top w:val="single" w:sz="4" w:space="0" w:color="auto"/>
                                    <w:left w:val="single" w:sz="4" w:space="0" w:color="auto"/>
                                    <w:bottom w:val="double" w:sz="6" w:space="0" w:color="auto"/>
                                    <w:right w:val="single" w:sz="4" w:space="0" w:color="auto"/>
                                  </w:tcBorders>
                                  <w:vAlign w:val="center"/>
                                  <w:hideMark/>
                                </w:tcPr>
                                <w:p w14:paraId="7290A5AC"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13</w:t>
                                  </w:r>
                                </w:p>
                              </w:tc>
                              <w:tc>
                                <w:tcPr>
                                  <w:tcW w:w="661" w:type="dxa"/>
                                  <w:tcBorders>
                                    <w:top w:val="single" w:sz="4" w:space="0" w:color="auto"/>
                                    <w:left w:val="single" w:sz="4" w:space="0" w:color="auto"/>
                                    <w:bottom w:val="double" w:sz="6" w:space="0" w:color="auto"/>
                                    <w:right w:val="single" w:sz="4" w:space="0" w:color="auto"/>
                                  </w:tcBorders>
                                  <w:vAlign w:val="center"/>
                                  <w:hideMark/>
                                </w:tcPr>
                                <w:p w14:paraId="3230BA9C"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12.9</w:t>
                                  </w:r>
                                </w:p>
                              </w:tc>
                              <w:tc>
                                <w:tcPr>
                                  <w:tcW w:w="661" w:type="dxa"/>
                                  <w:tcBorders>
                                    <w:top w:val="single" w:sz="4" w:space="0" w:color="auto"/>
                                    <w:left w:val="single" w:sz="4" w:space="0" w:color="auto"/>
                                    <w:bottom w:val="double" w:sz="6" w:space="0" w:color="auto"/>
                                    <w:right w:val="single" w:sz="4" w:space="0" w:color="auto"/>
                                  </w:tcBorders>
                                  <w:vAlign w:val="center"/>
                                  <w:hideMark/>
                                </w:tcPr>
                                <w:p w14:paraId="1273C7B8"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11.1</w:t>
                                  </w:r>
                                </w:p>
                              </w:tc>
                              <w:tc>
                                <w:tcPr>
                                  <w:tcW w:w="661" w:type="dxa"/>
                                  <w:tcBorders>
                                    <w:top w:val="single" w:sz="4" w:space="0" w:color="auto"/>
                                    <w:left w:val="single" w:sz="4" w:space="0" w:color="auto"/>
                                    <w:bottom w:val="double" w:sz="6" w:space="0" w:color="auto"/>
                                    <w:right w:val="single" w:sz="4" w:space="0" w:color="auto"/>
                                  </w:tcBorders>
                                  <w:vAlign w:val="center"/>
                                  <w:hideMark/>
                                </w:tcPr>
                                <w:p w14:paraId="7EC19789"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11.3</w:t>
                                  </w:r>
                                </w:p>
                              </w:tc>
                              <w:tc>
                                <w:tcPr>
                                  <w:tcW w:w="661" w:type="dxa"/>
                                  <w:tcBorders>
                                    <w:top w:val="single" w:sz="4" w:space="0" w:color="auto"/>
                                    <w:left w:val="single" w:sz="4" w:space="0" w:color="auto"/>
                                    <w:bottom w:val="double" w:sz="6" w:space="0" w:color="auto"/>
                                    <w:right w:val="single" w:sz="4" w:space="0" w:color="auto"/>
                                  </w:tcBorders>
                                  <w:vAlign w:val="center"/>
                                  <w:hideMark/>
                                </w:tcPr>
                                <w:p w14:paraId="63DF5DB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11.8</w:t>
                                  </w:r>
                                </w:p>
                              </w:tc>
                              <w:tc>
                                <w:tcPr>
                                  <w:tcW w:w="780" w:type="dxa"/>
                                  <w:tcBorders>
                                    <w:top w:val="single" w:sz="4" w:space="0" w:color="auto"/>
                                    <w:left w:val="single" w:sz="4" w:space="0" w:color="auto"/>
                                    <w:bottom w:val="double" w:sz="6" w:space="0" w:color="auto"/>
                                    <w:right w:val="single" w:sz="4" w:space="0" w:color="auto"/>
                                  </w:tcBorders>
                                  <w:vAlign w:val="center"/>
                                  <w:hideMark/>
                                </w:tcPr>
                                <w:p w14:paraId="0B1B8543"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12.6</w:t>
                                  </w:r>
                                </w:p>
                              </w:tc>
                            </w:tr>
                            <w:tr w:rsidR="00A85180" w14:paraId="6524BABB" w14:textId="77777777">
                              <w:trPr>
                                <w:trHeight w:val="255"/>
                              </w:trPr>
                              <w:tc>
                                <w:tcPr>
                                  <w:tcW w:w="661" w:type="dxa"/>
                                  <w:tcBorders>
                                    <w:top w:val="double" w:sz="6" w:space="0" w:color="auto"/>
                                    <w:left w:val="single" w:sz="4" w:space="0" w:color="auto"/>
                                    <w:bottom w:val="single" w:sz="4" w:space="0" w:color="auto"/>
                                    <w:right w:val="single" w:sz="4" w:space="0" w:color="auto"/>
                                  </w:tcBorders>
                                  <w:hideMark/>
                                </w:tcPr>
                                <w:p w14:paraId="15802E2A"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班別</w:t>
                                  </w:r>
                                </w:p>
                              </w:tc>
                              <w:tc>
                                <w:tcPr>
                                  <w:tcW w:w="661" w:type="dxa"/>
                                  <w:tcBorders>
                                    <w:top w:val="double" w:sz="6" w:space="0" w:color="auto"/>
                                    <w:left w:val="single" w:sz="4" w:space="0" w:color="auto"/>
                                    <w:bottom w:val="single" w:sz="4" w:space="0" w:color="auto"/>
                                    <w:right w:val="single" w:sz="4" w:space="0" w:color="auto"/>
                                  </w:tcBorders>
                                  <w:hideMark/>
                                </w:tcPr>
                                <w:p w14:paraId="7177B75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3424" w:type="dxa"/>
                                  <w:gridSpan w:val="5"/>
                                  <w:tcBorders>
                                    <w:top w:val="double" w:sz="6" w:space="0" w:color="auto"/>
                                    <w:left w:val="single" w:sz="4" w:space="0" w:color="auto"/>
                                    <w:bottom w:val="single" w:sz="4" w:space="0" w:color="auto"/>
                                    <w:right w:val="single" w:sz="4" w:space="0" w:color="auto"/>
                                  </w:tcBorders>
                                  <w:hideMark/>
                                </w:tcPr>
                                <w:p w14:paraId="18C1FD72" w14:textId="77777777" w:rsidR="00A85180" w:rsidRDefault="00A85180">
                                  <w:pPr>
                                    <w:spacing w:line="240" w:lineRule="exact"/>
                                    <w:ind w:leftChars="-50" w:left="-120" w:rightChars="-50" w:right="-120"/>
                                    <w:jc w:val="center"/>
                                    <w:rPr>
                                      <w:rFonts w:ascii="標楷體" w:eastAsia="標楷體" w:hAnsi="標楷體"/>
                                      <w:b/>
                                      <w:spacing w:val="-18"/>
                                    </w:rPr>
                                  </w:pPr>
                                  <w:r>
                                    <w:rPr>
                                      <w:rFonts w:ascii="標楷體" w:eastAsia="標楷體" w:hAnsi="標楷體" w:hint="eastAsia"/>
                                      <w:b/>
                                      <w:spacing w:val="-18"/>
                                    </w:rPr>
                                    <w:t>113年3月至</w:t>
                                  </w:r>
                                  <w:proofErr w:type="gramStart"/>
                                  <w:r>
                                    <w:rPr>
                                      <w:rFonts w:ascii="標楷體" w:eastAsia="標楷體" w:hAnsi="標楷體" w:hint="eastAsia"/>
                                      <w:b/>
                                      <w:spacing w:val="-18"/>
                                    </w:rPr>
                                    <w:t>113年12月護病比</w:t>
                                  </w:r>
                                  <w:proofErr w:type="gramEnd"/>
                                  <w:r>
                                    <w:rPr>
                                      <w:rFonts w:ascii="標楷體" w:eastAsia="標楷體" w:hAnsi="標楷體" w:hint="eastAsia"/>
                                      <w:b/>
                                      <w:spacing w:val="-18"/>
                                    </w:rPr>
                                    <w:t>超逾標準月數</w:t>
                                  </w:r>
                                </w:p>
                              </w:tc>
                            </w:tr>
                            <w:tr w:rsidR="00A85180" w14:paraId="2F4CF0F6"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4D1C7A3D"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白班</w:t>
                                  </w:r>
                                </w:p>
                              </w:tc>
                              <w:tc>
                                <w:tcPr>
                                  <w:tcW w:w="661" w:type="dxa"/>
                                  <w:vMerge w:val="restart"/>
                                  <w:tcBorders>
                                    <w:top w:val="single" w:sz="4" w:space="0" w:color="auto"/>
                                    <w:left w:val="single" w:sz="4" w:space="0" w:color="auto"/>
                                    <w:bottom w:val="single" w:sz="4" w:space="0" w:color="auto"/>
                                    <w:right w:val="single" w:sz="4" w:space="0" w:color="auto"/>
                                    <w:tl2br w:val="single" w:sz="4" w:space="0" w:color="auto"/>
                                  </w:tcBorders>
                                </w:tcPr>
                                <w:p w14:paraId="588A5BFD" w14:textId="77777777" w:rsidR="00A85180" w:rsidRDefault="00A85180">
                                  <w:pPr>
                                    <w:spacing w:line="240" w:lineRule="exact"/>
                                    <w:jc w:val="right"/>
                                    <w:rPr>
                                      <w:rFonts w:ascii="標楷體" w:eastAsia="標楷體" w:hAnsi="標楷體"/>
                                      <w:spacing w:val="-16"/>
                                    </w:rPr>
                                  </w:pP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7CCFB"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5</w:t>
                                  </w:r>
                                </w:p>
                              </w:tc>
                              <w:tc>
                                <w:tcPr>
                                  <w:tcW w:w="661" w:type="dxa"/>
                                  <w:tcBorders>
                                    <w:top w:val="single" w:sz="4" w:space="0" w:color="auto"/>
                                    <w:left w:val="single" w:sz="4" w:space="0" w:color="auto"/>
                                    <w:bottom w:val="single" w:sz="4" w:space="0" w:color="auto"/>
                                    <w:right w:val="single" w:sz="4" w:space="0" w:color="auto"/>
                                  </w:tcBorders>
                                  <w:vAlign w:val="center"/>
                                  <w:hideMark/>
                                </w:tcPr>
                                <w:p w14:paraId="137F8B62"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w:t>
                                  </w:r>
                                </w:p>
                              </w:tc>
                              <w:tc>
                                <w:tcPr>
                                  <w:tcW w:w="661" w:type="dxa"/>
                                  <w:tcBorders>
                                    <w:top w:val="single" w:sz="4" w:space="0" w:color="auto"/>
                                    <w:left w:val="single" w:sz="4" w:space="0" w:color="auto"/>
                                    <w:bottom w:val="single" w:sz="4" w:space="0" w:color="auto"/>
                                    <w:right w:val="single" w:sz="4" w:space="0" w:color="auto"/>
                                  </w:tcBorders>
                                  <w:vAlign w:val="center"/>
                                  <w:hideMark/>
                                </w:tcPr>
                                <w:p w14:paraId="1F12EC0C"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661" w:type="dxa"/>
                                  <w:tcBorders>
                                    <w:top w:val="single" w:sz="4" w:space="0" w:color="auto"/>
                                    <w:left w:val="single" w:sz="4" w:space="0" w:color="auto"/>
                                    <w:bottom w:val="single" w:sz="4" w:space="0" w:color="auto"/>
                                    <w:right w:val="single" w:sz="4" w:space="0" w:color="auto"/>
                                  </w:tcBorders>
                                  <w:vAlign w:val="center"/>
                                  <w:hideMark/>
                                </w:tcPr>
                                <w:p w14:paraId="33F639BD"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780" w:type="dxa"/>
                                  <w:tcBorders>
                                    <w:top w:val="single" w:sz="4" w:space="0" w:color="auto"/>
                                    <w:left w:val="single" w:sz="4" w:space="0" w:color="auto"/>
                                    <w:bottom w:val="single" w:sz="4" w:space="0" w:color="auto"/>
                                    <w:right w:val="single" w:sz="4" w:space="0" w:color="auto"/>
                                  </w:tcBorders>
                                  <w:vAlign w:val="center"/>
                                  <w:hideMark/>
                                </w:tcPr>
                                <w:p w14:paraId="0811D60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w:t>
                                  </w:r>
                                </w:p>
                              </w:tc>
                            </w:tr>
                            <w:tr w:rsidR="00A85180" w14:paraId="1EE03B97"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35C4D11A"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小夜</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96B413" w14:textId="77777777" w:rsidR="00A85180" w:rsidRDefault="00A85180">
                                  <w:pPr>
                                    <w:rPr>
                                      <w:rFonts w:ascii="標楷體" w:eastAsia="標楷體" w:hAnsi="標楷體"/>
                                      <w:spacing w:val="-16"/>
                                    </w:rPr>
                                  </w:pP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8730BD"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2</w:t>
                                  </w:r>
                                </w:p>
                              </w:tc>
                              <w:tc>
                                <w:tcPr>
                                  <w:tcW w:w="661" w:type="dxa"/>
                                  <w:tcBorders>
                                    <w:top w:val="single" w:sz="4" w:space="0" w:color="auto"/>
                                    <w:left w:val="single" w:sz="4" w:space="0" w:color="auto"/>
                                    <w:bottom w:val="single" w:sz="4" w:space="0" w:color="auto"/>
                                    <w:right w:val="single" w:sz="4" w:space="0" w:color="auto"/>
                                  </w:tcBorders>
                                  <w:vAlign w:val="center"/>
                                  <w:hideMark/>
                                </w:tcPr>
                                <w:p w14:paraId="7765BBD1"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3</w:t>
                                  </w:r>
                                </w:p>
                              </w:tc>
                              <w:tc>
                                <w:tcPr>
                                  <w:tcW w:w="661" w:type="dxa"/>
                                  <w:tcBorders>
                                    <w:top w:val="single" w:sz="4" w:space="0" w:color="auto"/>
                                    <w:left w:val="single" w:sz="4" w:space="0" w:color="auto"/>
                                    <w:bottom w:val="single" w:sz="4" w:space="0" w:color="auto"/>
                                    <w:right w:val="single" w:sz="4" w:space="0" w:color="auto"/>
                                  </w:tcBorders>
                                  <w:vAlign w:val="center"/>
                                  <w:hideMark/>
                                </w:tcPr>
                                <w:p w14:paraId="14E3361E"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3</w:t>
                                  </w:r>
                                </w:p>
                              </w:tc>
                              <w:tc>
                                <w:tcPr>
                                  <w:tcW w:w="661" w:type="dxa"/>
                                  <w:tcBorders>
                                    <w:top w:val="single" w:sz="4" w:space="0" w:color="auto"/>
                                    <w:left w:val="single" w:sz="4" w:space="0" w:color="auto"/>
                                    <w:bottom w:val="single" w:sz="4" w:space="0" w:color="auto"/>
                                    <w:right w:val="single" w:sz="4" w:space="0" w:color="auto"/>
                                  </w:tcBorders>
                                  <w:vAlign w:val="center"/>
                                  <w:hideMark/>
                                </w:tcPr>
                                <w:p w14:paraId="6B9FD3AB"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5</w:t>
                                  </w:r>
                                </w:p>
                              </w:tc>
                              <w:tc>
                                <w:tcPr>
                                  <w:tcW w:w="780" w:type="dxa"/>
                                  <w:tcBorders>
                                    <w:top w:val="single" w:sz="4" w:space="0" w:color="auto"/>
                                    <w:left w:val="single" w:sz="4" w:space="0" w:color="auto"/>
                                    <w:bottom w:val="single" w:sz="4" w:space="0" w:color="auto"/>
                                    <w:right w:val="single" w:sz="4" w:space="0" w:color="auto"/>
                                  </w:tcBorders>
                                  <w:vAlign w:val="center"/>
                                  <w:hideMark/>
                                </w:tcPr>
                                <w:p w14:paraId="6D883EDB"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w:t>
                                  </w:r>
                                </w:p>
                              </w:tc>
                            </w:tr>
                            <w:tr w:rsidR="00A85180" w14:paraId="490A1F4C"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1B5AD637" w14:textId="77777777" w:rsidR="00A85180" w:rsidRDefault="00A85180">
                                  <w:pPr>
                                    <w:spacing w:line="240" w:lineRule="exact"/>
                                    <w:rPr>
                                      <w:rFonts w:ascii="標楷體" w:eastAsia="標楷體" w:hAnsi="標楷體"/>
                                      <w:spacing w:val="-16"/>
                                    </w:rPr>
                                  </w:pPr>
                                  <w:proofErr w:type="gramStart"/>
                                  <w:r>
                                    <w:rPr>
                                      <w:rFonts w:ascii="標楷體" w:eastAsia="標楷體" w:hAnsi="標楷體" w:hint="eastAsia"/>
                                      <w:spacing w:val="-16"/>
                                    </w:rPr>
                                    <w:t>大夜</w:t>
                                  </w:r>
                                  <w:proofErr w:type="gramEnd"/>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8C4F7" w14:textId="77777777" w:rsidR="00A85180" w:rsidRDefault="00A85180">
                                  <w:pPr>
                                    <w:rPr>
                                      <w:rFonts w:ascii="標楷體" w:eastAsia="標楷體" w:hAnsi="標楷體"/>
                                      <w:spacing w:val="-16"/>
                                    </w:rPr>
                                  </w:pP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08E80F"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2</w:t>
                                  </w:r>
                                </w:p>
                              </w:tc>
                              <w:tc>
                                <w:tcPr>
                                  <w:tcW w:w="661" w:type="dxa"/>
                                  <w:tcBorders>
                                    <w:top w:val="single" w:sz="4" w:space="0" w:color="auto"/>
                                    <w:left w:val="single" w:sz="4" w:space="0" w:color="auto"/>
                                    <w:bottom w:val="single" w:sz="4" w:space="0" w:color="auto"/>
                                    <w:right w:val="single" w:sz="4" w:space="0" w:color="auto"/>
                                  </w:tcBorders>
                                  <w:vAlign w:val="center"/>
                                  <w:hideMark/>
                                </w:tcPr>
                                <w:p w14:paraId="01BB675D"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661" w:type="dxa"/>
                                  <w:tcBorders>
                                    <w:top w:val="single" w:sz="4" w:space="0" w:color="auto"/>
                                    <w:left w:val="single" w:sz="4" w:space="0" w:color="auto"/>
                                    <w:bottom w:val="single" w:sz="4" w:space="0" w:color="auto"/>
                                    <w:right w:val="single" w:sz="4" w:space="0" w:color="auto"/>
                                  </w:tcBorders>
                                  <w:vAlign w:val="center"/>
                                  <w:hideMark/>
                                </w:tcPr>
                                <w:p w14:paraId="0D78FB15"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661" w:type="dxa"/>
                                  <w:tcBorders>
                                    <w:top w:val="single" w:sz="4" w:space="0" w:color="auto"/>
                                    <w:left w:val="single" w:sz="4" w:space="0" w:color="auto"/>
                                    <w:bottom w:val="single" w:sz="4" w:space="0" w:color="auto"/>
                                    <w:right w:val="single" w:sz="4" w:space="0" w:color="auto"/>
                                  </w:tcBorders>
                                  <w:vAlign w:val="center"/>
                                  <w:hideMark/>
                                </w:tcPr>
                                <w:p w14:paraId="7545131E"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w:t>
                                  </w:r>
                                </w:p>
                              </w:tc>
                              <w:tc>
                                <w:tcPr>
                                  <w:tcW w:w="780" w:type="dxa"/>
                                  <w:tcBorders>
                                    <w:top w:val="single" w:sz="4" w:space="0" w:color="auto"/>
                                    <w:left w:val="single" w:sz="4" w:space="0" w:color="auto"/>
                                    <w:bottom w:val="single" w:sz="4" w:space="0" w:color="auto"/>
                                    <w:right w:val="single" w:sz="4" w:space="0" w:color="auto"/>
                                  </w:tcBorders>
                                  <w:vAlign w:val="center"/>
                                  <w:hideMark/>
                                </w:tcPr>
                                <w:p w14:paraId="75FB6978"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w:t>
                                  </w:r>
                                </w:p>
                              </w:tc>
                            </w:tr>
                          </w:tbl>
                          <w:p w14:paraId="245F8672" w14:textId="77777777" w:rsidR="00A85180" w:rsidRDefault="00A85180" w:rsidP="00A85180">
                            <w:pPr>
                              <w:spacing w:line="240" w:lineRule="exact"/>
                              <w:ind w:leftChars="11" w:left="384" w:hangingChars="199" w:hanging="358"/>
                              <w:rPr>
                                <w:rFonts w:ascii="標楷體" w:eastAsia="標楷體" w:hAnsi="標楷體"/>
                                <w:sz w:val="18"/>
                                <w:szCs w:val="18"/>
                              </w:rPr>
                            </w:pPr>
                            <w:r>
                              <w:rPr>
                                <w:rFonts w:ascii="標楷體" w:eastAsia="標楷體" w:hAnsi="標楷體" w:hint="eastAsia"/>
                                <w:sz w:val="18"/>
                                <w:szCs w:val="18"/>
                              </w:rPr>
                              <w:t>資料來源：整理自聯合醫院提供資料。</w:t>
                            </w:r>
                          </w:p>
                          <w:p w14:paraId="7FB58319" w14:textId="77777777" w:rsidR="00A85180" w:rsidRDefault="00A85180" w:rsidP="00A85180">
                            <w:pPr>
                              <w:ind w:leftChars="-63" w:left="477" w:hangingChars="285" w:hanging="628"/>
                              <w:rPr>
                                <w:rFonts w:ascii="標楷體" w:eastAsia="標楷體" w:hAnsi="標楷體"/>
                                <w:b/>
                                <w:spacing w:val="-10"/>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8C5495" id="文字方塊 927419599" o:spid="_x0000_s1119" type="#_x0000_t202" style="position:absolute;left:0;text-align:left;margin-left:247.9pt;margin-top:278.5pt;width:249.6pt;height:189pt;z-index:-251588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" stroked="f">
                <v:textbox>
                  <w:txbxContent>
                    <w:p w14:paraId="6D95BAE2" w14:textId="77777777" w:rsidR="00A85180" w:rsidRDefault="00A85180" w:rsidP="00024366">
                      <w:pPr>
                        <w:spacing w:afterLines="20" w:after="72" w:line="260" w:lineRule="exact"/>
                        <w:ind w:left="644" w:rightChars="20" w:right="48" w:hangingChars="282" w:hanging="644"/>
                        <w:jc w:val="both"/>
                        <w:rPr>
                          <w:rFonts w:ascii="標楷體" w:eastAsia="標楷體" w:hAnsi="標楷體"/>
                          <w:b/>
                          <w:spacing w:val="-6"/>
                        </w:rPr>
                      </w:pPr>
                      <w:r>
                        <w:rPr>
                          <w:rFonts w:ascii="標楷體" w:eastAsia="標楷體" w:hAnsi="標楷體" w:hint="eastAsia"/>
                          <w:b/>
                          <w:spacing w:val="-6"/>
                        </w:rPr>
                        <w:t>表4  和平婦幼等5院區</w:t>
                      </w:r>
                      <w:proofErr w:type="gramStart"/>
                      <w:r>
                        <w:rPr>
                          <w:rFonts w:ascii="標楷體" w:eastAsia="標楷體" w:hAnsi="標楷體" w:hint="eastAsia"/>
                          <w:b/>
                          <w:spacing w:val="-6"/>
                        </w:rPr>
                        <w:t>113年3至12月護病比</w:t>
                      </w:r>
                      <w:proofErr w:type="gramEnd"/>
                      <w:r>
                        <w:rPr>
                          <w:rFonts w:ascii="標楷體" w:eastAsia="標楷體" w:hAnsi="標楷體" w:hint="eastAsia"/>
                          <w:b/>
                          <w:spacing w:val="-6"/>
                        </w:rPr>
                        <w:t>概況</w:t>
                      </w:r>
                    </w:p>
                    <w:tbl>
                      <w:tblPr>
                        <w:tblStyle w:val="a6"/>
                        <w:tblW w:w="4746" w:type="dxa"/>
                        <w:tblInd w:w="-5" w:type="dxa"/>
                        <w:tblLook w:val="04A0" w:firstRow="1" w:lastRow="0" w:firstColumn="1" w:lastColumn="0" w:noHBand="0" w:noVBand="1"/>
                      </w:tblPr>
                      <w:tblGrid>
                        <w:gridCol w:w="661"/>
                        <w:gridCol w:w="661"/>
                        <w:gridCol w:w="661"/>
                        <w:gridCol w:w="661"/>
                        <w:gridCol w:w="661"/>
                        <w:gridCol w:w="661"/>
                        <w:gridCol w:w="780"/>
                      </w:tblGrid>
                      <w:tr w:rsidR="00A85180" w14:paraId="590941AB" w14:textId="77777777">
                        <w:tc>
                          <w:tcPr>
                            <w:tcW w:w="661" w:type="dxa"/>
                            <w:vMerge w:val="restart"/>
                            <w:tcBorders>
                              <w:top w:val="single" w:sz="4" w:space="0" w:color="auto"/>
                              <w:left w:val="single" w:sz="4" w:space="0" w:color="auto"/>
                              <w:bottom w:val="single" w:sz="4" w:space="0" w:color="auto"/>
                              <w:right w:val="single" w:sz="4" w:space="0" w:color="auto"/>
                            </w:tcBorders>
                          </w:tcPr>
                          <w:p w14:paraId="242F5961" w14:textId="77777777" w:rsidR="00A85180" w:rsidRDefault="00A85180">
                            <w:pPr>
                              <w:spacing w:line="240" w:lineRule="exact"/>
                              <w:rPr>
                                <w:rFonts w:ascii="標楷體" w:eastAsia="標楷體" w:hAnsi="標楷體"/>
                                <w:spacing w:val="-16"/>
                              </w:rPr>
                            </w:pPr>
                          </w:p>
                          <w:p w14:paraId="478499A8"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事項</w:t>
                            </w:r>
                          </w:p>
                        </w:tc>
                        <w:tc>
                          <w:tcPr>
                            <w:tcW w:w="661" w:type="dxa"/>
                            <w:vMerge w:val="restart"/>
                            <w:tcBorders>
                              <w:top w:val="single" w:sz="4" w:space="0" w:color="auto"/>
                              <w:left w:val="single" w:sz="4" w:space="0" w:color="auto"/>
                              <w:bottom w:val="single" w:sz="4" w:space="0" w:color="auto"/>
                              <w:right w:val="single" w:sz="4" w:space="0" w:color="auto"/>
                            </w:tcBorders>
                            <w:vAlign w:val="center"/>
                            <w:hideMark/>
                          </w:tcPr>
                          <w:p w14:paraId="45079D72" w14:textId="77777777" w:rsidR="00A85180" w:rsidRDefault="00A85180">
                            <w:pPr>
                              <w:spacing w:line="240" w:lineRule="exact"/>
                              <w:ind w:leftChars="-33" w:left="-79" w:rightChars="-20" w:right="-48"/>
                              <w:jc w:val="center"/>
                              <w:rPr>
                                <w:rFonts w:ascii="標楷體" w:eastAsia="標楷體" w:hAnsi="標楷體"/>
                                <w:spacing w:val="-20"/>
                              </w:rPr>
                            </w:pPr>
                            <w:r>
                              <w:rPr>
                                <w:rFonts w:ascii="標楷體" w:eastAsia="標楷體" w:hAnsi="標楷體" w:hint="eastAsia"/>
                                <w:spacing w:val="-20"/>
                              </w:rPr>
                              <w:t>衛福</w:t>
                            </w:r>
                            <w:proofErr w:type="gramStart"/>
                            <w:r>
                              <w:rPr>
                                <w:rFonts w:ascii="標楷體" w:eastAsia="標楷體" w:hAnsi="標楷體" w:hint="eastAsia"/>
                                <w:spacing w:val="-20"/>
                              </w:rPr>
                              <w:t>部標   準</w:t>
                            </w:r>
                            <w:proofErr w:type="gramEnd"/>
                          </w:p>
                        </w:tc>
                        <w:tc>
                          <w:tcPr>
                            <w:tcW w:w="3424" w:type="dxa"/>
                            <w:gridSpan w:val="5"/>
                            <w:tcBorders>
                              <w:top w:val="single" w:sz="4" w:space="0" w:color="auto"/>
                              <w:left w:val="single" w:sz="4" w:space="0" w:color="auto"/>
                              <w:bottom w:val="single" w:sz="4" w:space="0" w:color="auto"/>
                              <w:right w:val="single" w:sz="4" w:space="0" w:color="auto"/>
                            </w:tcBorders>
                            <w:hideMark/>
                          </w:tcPr>
                          <w:p w14:paraId="502FE8F8" w14:textId="77777777" w:rsidR="00A85180" w:rsidRDefault="00A85180">
                            <w:pPr>
                              <w:spacing w:line="240" w:lineRule="exact"/>
                              <w:jc w:val="center"/>
                              <w:rPr>
                                <w:rFonts w:ascii="標楷體" w:eastAsia="標楷體" w:hAnsi="標楷體"/>
                                <w:spacing w:val="-6"/>
                              </w:rPr>
                            </w:pPr>
                            <w:r>
                              <w:rPr>
                                <w:rFonts w:ascii="標楷體" w:eastAsia="標楷體" w:hAnsi="標楷體" w:hint="eastAsia"/>
                                <w:spacing w:val="-6"/>
                              </w:rPr>
                              <w:t>綜合院區</w:t>
                            </w:r>
                          </w:p>
                        </w:tc>
                      </w:tr>
                      <w:tr w:rsidR="00A85180" w14:paraId="12553382" w14:textId="77777777">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291336" w14:textId="77777777" w:rsidR="00A85180" w:rsidRDefault="00A85180">
                            <w:pPr>
                              <w:rPr>
                                <w:rFonts w:ascii="標楷體" w:eastAsia="標楷體" w:hAnsi="標楷體"/>
                                <w:spacing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2F381" w14:textId="77777777" w:rsidR="00A85180" w:rsidRDefault="00A85180">
                            <w:pPr>
                              <w:rPr>
                                <w:rFonts w:ascii="標楷體" w:eastAsia="標楷體" w:hAnsi="標楷體"/>
                                <w:spacing w:val="-20"/>
                              </w:rPr>
                            </w:pPr>
                          </w:p>
                        </w:tc>
                        <w:tc>
                          <w:tcPr>
                            <w:tcW w:w="661" w:type="dxa"/>
                            <w:tcBorders>
                              <w:top w:val="single" w:sz="4" w:space="0" w:color="auto"/>
                              <w:left w:val="single" w:sz="4" w:space="0" w:color="auto"/>
                              <w:bottom w:val="single" w:sz="4" w:space="0" w:color="auto"/>
                              <w:right w:val="single" w:sz="4" w:space="0" w:color="auto"/>
                            </w:tcBorders>
                            <w:hideMark/>
                          </w:tcPr>
                          <w:p w14:paraId="5CD4837D" w14:textId="77777777" w:rsidR="00A85180" w:rsidRDefault="00A85180">
                            <w:pPr>
                              <w:spacing w:line="240" w:lineRule="exact"/>
                              <w:jc w:val="center"/>
                              <w:rPr>
                                <w:rFonts w:ascii="標楷體" w:eastAsia="標楷體" w:hAnsi="標楷體"/>
                                <w:spacing w:val="-16"/>
                              </w:rPr>
                            </w:pPr>
                            <w:r>
                              <w:rPr>
                                <w:rFonts w:ascii="標楷體" w:eastAsia="標楷體" w:hAnsi="標楷體" w:hint="eastAsia"/>
                                <w:spacing w:val="-16"/>
                              </w:rPr>
                              <w:t>和平婦幼</w:t>
                            </w:r>
                          </w:p>
                        </w:tc>
                        <w:tc>
                          <w:tcPr>
                            <w:tcW w:w="661" w:type="dxa"/>
                            <w:tcBorders>
                              <w:top w:val="single" w:sz="4" w:space="0" w:color="auto"/>
                              <w:left w:val="single" w:sz="4" w:space="0" w:color="auto"/>
                              <w:bottom w:val="single" w:sz="4" w:space="0" w:color="auto"/>
                              <w:right w:val="single" w:sz="4" w:space="0" w:color="auto"/>
                            </w:tcBorders>
                            <w:vAlign w:val="center"/>
                            <w:hideMark/>
                          </w:tcPr>
                          <w:p w14:paraId="5FC53444" w14:textId="77777777" w:rsidR="00A85180" w:rsidRDefault="00A85180">
                            <w:pPr>
                              <w:spacing w:line="240" w:lineRule="exact"/>
                              <w:jc w:val="center"/>
                              <w:rPr>
                                <w:rFonts w:ascii="標楷體" w:eastAsia="標楷體" w:hAnsi="標楷體"/>
                                <w:spacing w:val="-16"/>
                              </w:rPr>
                            </w:pPr>
                            <w:r>
                              <w:rPr>
                                <w:rFonts w:ascii="標楷體" w:eastAsia="標楷體" w:hAnsi="標楷體" w:hint="eastAsia"/>
                                <w:spacing w:val="-16"/>
                              </w:rPr>
                              <w:t>忠孝</w:t>
                            </w:r>
                          </w:p>
                        </w:tc>
                        <w:tc>
                          <w:tcPr>
                            <w:tcW w:w="661" w:type="dxa"/>
                            <w:tcBorders>
                              <w:top w:val="single" w:sz="4" w:space="0" w:color="auto"/>
                              <w:left w:val="single" w:sz="4" w:space="0" w:color="auto"/>
                              <w:bottom w:val="single" w:sz="4" w:space="0" w:color="auto"/>
                              <w:right w:val="single" w:sz="4" w:space="0" w:color="auto"/>
                            </w:tcBorders>
                            <w:vAlign w:val="center"/>
                            <w:hideMark/>
                          </w:tcPr>
                          <w:p w14:paraId="2B72F716" w14:textId="77777777" w:rsidR="00A85180" w:rsidRDefault="00A85180">
                            <w:pPr>
                              <w:spacing w:line="240" w:lineRule="exact"/>
                              <w:jc w:val="center"/>
                              <w:rPr>
                                <w:rFonts w:ascii="標楷體" w:eastAsia="標楷體" w:hAnsi="標楷體"/>
                                <w:spacing w:val="-16"/>
                              </w:rPr>
                            </w:pPr>
                            <w:r>
                              <w:rPr>
                                <w:rFonts w:ascii="標楷體" w:eastAsia="標楷體" w:hAnsi="標楷體" w:hint="eastAsia"/>
                                <w:spacing w:val="-16"/>
                              </w:rPr>
                              <w:t>中興</w:t>
                            </w:r>
                          </w:p>
                        </w:tc>
                        <w:tc>
                          <w:tcPr>
                            <w:tcW w:w="661" w:type="dxa"/>
                            <w:tcBorders>
                              <w:top w:val="single" w:sz="4" w:space="0" w:color="auto"/>
                              <w:left w:val="single" w:sz="4" w:space="0" w:color="auto"/>
                              <w:bottom w:val="single" w:sz="4" w:space="0" w:color="auto"/>
                              <w:right w:val="single" w:sz="4" w:space="0" w:color="auto"/>
                            </w:tcBorders>
                            <w:vAlign w:val="center"/>
                            <w:hideMark/>
                          </w:tcPr>
                          <w:p w14:paraId="747DCD6C" w14:textId="77777777" w:rsidR="00A85180" w:rsidRDefault="00A85180">
                            <w:pPr>
                              <w:spacing w:line="240" w:lineRule="exact"/>
                              <w:jc w:val="center"/>
                              <w:rPr>
                                <w:rFonts w:ascii="標楷體" w:eastAsia="標楷體" w:hAnsi="標楷體"/>
                                <w:spacing w:val="-16"/>
                              </w:rPr>
                            </w:pPr>
                            <w:r>
                              <w:rPr>
                                <w:rFonts w:ascii="標楷體" w:eastAsia="標楷體" w:hAnsi="標楷體" w:hint="eastAsia"/>
                                <w:spacing w:val="-16"/>
                              </w:rPr>
                              <w:t>仁愛</w:t>
                            </w:r>
                          </w:p>
                        </w:tc>
                        <w:tc>
                          <w:tcPr>
                            <w:tcW w:w="780" w:type="dxa"/>
                            <w:tcBorders>
                              <w:top w:val="single" w:sz="4" w:space="0" w:color="auto"/>
                              <w:left w:val="single" w:sz="4" w:space="0" w:color="auto"/>
                              <w:bottom w:val="single" w:sz="4" w:space="0" w:color="auto"/>
                              <w:right w:val="single" w:sz="4" w:space="0" w:color="auto"/>
                            </w:tcBorders>
                            <w:vAlign w:val="center"/>
                            <w:hideMark/>
                          </w:tcPr>
                          <w:p w14:paraId="193E9E8D" w14:textId="77777777" w:rsidR="00A85180" w:rsidRDefault="00A85180">
                            <w:pPr>
                              <w:spacing w:line="240" w:lineRule="exact"/>
                              <w:jc w:val="center"/>
                              <w:rPr>
                                <w:rFonts w:ascii="標楷體" w:eastAsia="標楷體" w:hAnsi="標楷體"/>
                                <w:spacing w:val="-16"/>
                              </w:rPr>
                            </w:pPr>
                            <w:r>
                              <w:rPr>
                                <w:rFonts w:ascii="標楷體" w:eastAsia="標楷體" w:hAnsi="標楷體" w:hint="eastAsia"/>
                                <w:spacing w:val="-16"/>
                              </w:rPr>
                              <w:t>陽明</w:t>
                            </w:r>
                          </w:p>
                        </w:tc>
                      </w:tr>
                      <w:tr w:rsidR="00A85180" w14:paraId="5E167C69"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69A5C31D"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班別</w:t>
                            </w:r>
                          </w:p>
                        </w:tc>
                        <w:tc>
                          <w:tcPr>
                            <w:tcW w:w="661" w:type="dxa"/>
                            <w:tcBorders>
                              <w:top w:val="single" w:sz="4" w:space="0" w:color="auto"/>
                              <w:left w:val="single" w:sz="4" w:space="0" w:color="auto"/>
                              <w:bottom w:val="single" w:sz="4" w:space="0" w:color="auto"/>
                              <w:right w:val="single" w:sz="4" w:space="0" w:color="auto"/>
                            </w:tcBorders>
                            <w:hideMark/>
                          </w:tcPr>
                          <w:p w14:paraId="173B14E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3424" w:type="dxa"/>
                            <w:gridSpan w:val="5"/>
                            <w:tcBorders>
                              <w:top w:val="single" w:sz="4" w:space="0" w:color="auto"/>
                              <w:left w:val="single" w:sz="4" w:space="0" w:color="auto"/>
                              <w:bottom w:val="single" w:sz="4" w:space="0" w:color="auto"/>
                              <w:right w:val="single" w:sz="4" w:space="0" w:color="auto"/>
                            </w:tcBorders>
                            <w:hideMark/>
                          </w:tcPr>
                          <w:p w14:paraId="509E25A1" w14:textId="77777777" w:rsidR="00A85180" w:rsidRDefault="00A85180">
                            <w:pPr>
                              <w:spacing w:line="240" w:lineRule="exact"/>
                              <w:jc w:val="center"/>
                              <w:rPr>
                                <w:rFonts w:ascii="標楷體" w:eastAsia="標楷體" w:hAnsi="標楷體"/>
                                <w:b/>
                                <w:spacing w:val="-14"/>
                              </w:rPr>
                            </w:pPr>
                            <w:r>
                              <w:rPr>
                                <w:rFonts w:ascii="標楷體" w:eastAsia="標楷體" w:hAnsi="標楷體" w:hint="eastAsia"/>
                                <w:b/>
                                <w:spacing w:val="-14"/>
                              </w:rPr>
                              <w:t>113年3月至113年12月</w:t>
                            </w:r>
                            <w:proofErr w:type="gramStart"/>
                            <w:r>
                              <w:rPr>
                                <w:rFonts w:ascii="標楷體" w:eastAsia="標楷體" w:hAnsi="標楷體" w:hint="eastAsia"/>
                                <w:b/>
                                <w:spacing w:val="-14"/>
                              </w:rPr>
                              <w:t>之護病比</w:t>
                            </w:r>
                            <w:proofErr w:type="gramEnd"/>
                            <w:r>
                              <w:rPr>
                                <w:rFonts w:ascii="標楷體" w:eastAsia="標楷體" w:hAnsi="標楷體" w:hint="eastAsia"/>
                                <w:b/>
                                <w:spacing w:val="-14"/>
                              </w:rPr>
                              <w:t>統計</w:t>
                            </w:r>
                          </w:p>
                        </w:tc>
                      </w:tr>
                      <w:tr w:rsidR="00A85180" w14:paraId="33A3CE29"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1FAFA9B4"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白班</w:t>
                            </w:r>
                          </w:p>
                        </w:tc>
                        <w:tc>
                          <w:tcPr>
                            <w:tcW w:w="661" w:type="dxa"/>
                            <w:tcBorders>
                              <w:top w:val="single" w:sz="4" w:space="0" w:color="auto"/>
                              <w:left w:val="single" w:sz="4" w:space="0" w:color="auto"/>
                              <w:bottom w:val="single" w:sz="4" w:space="0" w:color="auto"/>
                              <w:right w:val="single" w:sz="4" w:space="0" w:color="auto"/>
                            </w:tcBorders>
                            <w:vAlign w:val="center"/>
                            <w:hideMark/>
                          </w:tcPr>
                          <w:p w14:paraId="310E24E6"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7</w:t>
                            </w:r>
                          </w:p>
                        </w:tc>
                        <w:tc>
                          <w:tcPr>
                            <w:tcW w:w="661" w:type="dxa"/>
                            <w:tcBorders>
                              <w:top w:val="single" w:sz="4" w:space="0" w:color="auto"/>
                              <w:left w:val="single" w:sz="4" w:space="0" w:color="auto"/>
                              <w:bottom w:val="single" w:sz="4" w:space="0" w:color="auto"/>
                              <w:right w:val="single" w:sz="4" w:space="0" w:color="auto"/>
                            </w:tcBorders>
                            <w:vAlign w:val="center"/>
                            <w:hideMark/>
                          </w:tcPr>
                          <w:p w14:paraId="06AA627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6.7</w:t>
                            </w:r>
                          </w:p>
                        </w:tc>
                        <w:tc>
                          <w:tcPr>
                            <w:tcW w:w="661" w:type="dxa"/>
                            <w:tcBorders>
                              <w:top w:val="single" w:sz="4" w:space="0" w:color="auto"/>
                              <w:left w:val="single" w:sz="4" w:space="0" w:color="auto"/>
                              <w:bottom w:val="single" w:sz="4" w:space="0" w:color="auto"/>
                              <w:right w:val="single" w:sz="4" w:space="0" w:color="auto"/>
                            </w:tcBorders>
                            <w:vAlign w:val="center"/>
                            <w:hideMark/>
                          </w:tcPr>
                          <w:p w14:paraId="51908A68"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6.4</w:t>
                            </w:r>
                          </w:p>
                        </w:tc>
                        <w:tc>
                          <w:tcPr>
                            <w:tcW w:w="661" w:type="dxa"/>
                            <w:tcBorders>
                              <w:top w:val="single" w:sz="4" w:space="0" w:color="auto"/>
                              <w:left w:val="single" w:sz="4" w:space="0" w:color="auto"/>
                              <w:bottom w:val="single" w:sz="4" w:space="0" w:color="auto"/>
                              <w:right w:val="single" w:sz="4" w:space="0" w:color="auto"/>
                            </w:tcBorders>
                            <w:vAlign w:val="center"/>
                            <w:hideMark/>
                          </w:tcPr>
                          <w:p w14:paraId="311A9871"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5.5</w:t>
                            </w:r>
                          </w:p>
                        </w:tc>
                        <w:tc>
                          <w:tcPr>
                            <w:tcW w:w="661" w:type="dxa"/>
                            <w:tcBorders>
                              <w:top w:val="single" w:sz="4" w:space="0" w:color="auto"/>
                              <w:left w:val="single" w:sz="4" w:space="0" w:color="auto"/>
                              <w:bottom w:val="single" w:sz="4" w:space="0" w:color="auto"/>
                              <w:right w:val="single" w:sz="4" w:space="0" w:color="auto"/>
                            </w:tcBorders>
                            <w:vAlign w:val="center"/>
                            <w:hideMark/>
                          </w:tcPr>
                          <w:p w14:paraId="6456E6A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5.8</w:t>
                            </w:r>
                          </w:p>
                        </w:tc>
                        <w:tc>
                          <w:tcPr>
                            <w:tcW w:w="780" w:type="dxa"/>
                            <w:tcBorders>
                              <w:top w:val="single" w:sz="4" w:space="0" w:color="auto"/>
                              <w:left w:val="single" w:sz="4" w:space="0" w:color="auto"/>
                              <w:bottom w:val="single" w:sz="4" w:space="0" w:color="auto"/>
                              <w:right w:val="single" w:sz="4" w:space="0" w:color="auto"/>
                            </w:tcBorders>
                            <w:vAlign w:val="center"/>
                            <w:hideMark/>
                          </w:tcPr>
                          <w:p w14:paraId="74DBE9C3"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6.3</w:t>
                            </w:r>
                          </w:p>
                        </w:tc>
                      </w:tr>
                      <w:tr w:rsidR="00A85180" w14:paraId="5707E87E"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2E28B929"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小夜</w:t>
                            </w:r>
                          </w:p>
                        </w:tc>
                        <w:tc>
                          <w:tcPr>
                            <w:tcW w:w="661" w:type="dxa"/>
                            <w:tcBorders>
                              <w:top w:val="single" w:sz="4" w:space="0" w:color="auto"/>
                              <w:left w:val="single" w:sz="4" w:space="0" w:color="auto"/>
                              <w:bottom w:val="single" w:sz="4" w:space="0" w:color="auto"/>
                              <w:right w:val="single" w:sz="4" w:space="0" w:color="auto"/>
                            </w:tcBorders>
                            <w:vAlign w:val="center"/>
                            <w:hideMark/>
                          </w:tcPr>
                          <w:p w14:paraId="6B54318F"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11</w:t>
                            </w:r>
                          </w:p>
                        </w:tc>
                        <w:tc>
                          <w:tcPr>
                            <w:tcW w:w="661" w:type="dxa"/>
                            <w:tcBorders>
                              <w:top w:val="single" w:sz="4" w:space="0" w:color="auto"/>
                              <w:left w:val="single" w:sz="4" w:space="0" w:color="auto"/>
                              <w:bottom w:val="single" w:sz="4" w:space="0" w:color="auto"/>
                              <w:right w:val="single" w:sz="4" w:space="0" w:color="auto"/>
                            </w:tcBorders>
                            <w:vAlign w:val="center"/>
                            <w:hideMark/>
                          </w:tcPr>
                          <w:p w14:paraId="17FE28B9"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10.5</w:t>
                            </w:r>
                          </w:p>
                        </w:tc>
                        <w:tc>
                          <w:tcPr>
                            <w:tcW w:w="661" w:type="dxa"/>
                            <w:tcBorders>
                              <w:top w:val="single" w:sz="4" w:space="0" w:color="auto"/>
                              <w:left w:val="single" w:sz="4" w:space="0" w:color="auto"/>
                              <w:bottom w:val="single" w:sz="4" w:space="0" w:color="auto"/>
                              <w:right w:val="single" w:sz="4" w:space="0" w:color="auto"/>
                            </w:tcBorders>
                            <w:vAlign w:val="center"/>
                            <w:hideMark/>
                          </w:tcPr>
                          <w:p w14:paraId="0C6CF8BB"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10.2</w:t>
                            </w:r>
                          </w:p>
                        </w:tc>
                        <w:tc>
                          <w:tcPr>
                            <w:tcW w:w="661" w:type="dxa"/>
                            <w:tcBorders>
                              <w:top w:val="single" w:sz="4" w:space="0" w:color="auto"/>
                              <w:left w:val="single" w:sz="4" w:space="0" w:color="auto"/>
                              <w:bottom w:val="single" w:sz="4" w:space="0" w:color="auto"/>
                              <w:right w:val="single" w:sz="4" w:space="0" w:color="auto"/>
                            </w:tcBorders>
                            <w:vAlign w:val="center"/>
                            <w:hideMark/>
                          </w:tcPr>
                          <w:p w14:paraId="4B8EE843"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10.4</w:t>
                            </w:r>
                          </w:p>
                        </w:tc>
                        <w:tc>
                          <w:tcPr>
                            <w:tcW w:w="661" w:type="dxa"/>
                            <w:tcBorders>
                              <w:top w:val="single" w:sz="4" w:space="0" w:color="auto"/>
                              <w:left w:val="single" w:sz="4" w:space="0" w:color="auto"/>
                              <w:bottom w:val="single" w:sz="4" w:space="0" w:color="auto"/>
                              <w:right w:val="single" w:sz="4" w:space="0" w:color="auto"/>
                            </w:tcBorders>
                            <w:vAlign w:val="center"/>
                            <w:hideMark/>
                          </w:tcPr>
                          <w:p w14:paraId="4471335F"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5CCA5F8"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10.4</w:t>
                            </w:r>
                          </w:p>
                        </w:tc>
                      </w:tr>
                      <w:tr w:rsidR="00A85180" w14:paraId="39D402E7" w14:textId="77777777">
                        <w:trPr>
                          <w:trHeight w:val="227"/>
                        </w:trPr>
                        <w:tc>
                          <w:tcPr>
                            <w:tcW w:w="661" w:type="dxa"/>
                            <w:tcBorders>
                              <w:top w:val="single" w:sz="4" w:space="0" w:color="auto"/>
                              <w:left w:val="single" w:sz="4" w:space="0" w:color="auto"/>
                              <w:bottom w:val="double" w:sz="6" w:space="0" w:color="auto"/>
                              <w:right w:val="single" w:sz="4" w:space="0" w:color="auto"/>
                            </w:tcBorders>
                            <w:hideMark/>
                          </w:tcPr>
                          <w:p w14:paraId="656F1BF6" w14:textId="77777777" w:rsidR="00A85180" w:rsidRDefault="00A85180">
                            <w:pPr>
                              <w:spacing w:line="240" w:lineRule="exact"/>
                              <w:rPr>
                                <w:rFonts w:ascii="標楷體" w:eastAsia="標楷體" w:hAnsi="標楷體"/>
                                <w:spacing w:val="-16"/>
                              </w:rPr>
                            </w:pPr>
                            <w:proofErr w:type="gramStart"/>
                            <w:r>
                              <w:rPr>
                                <w:rFonts w:ascii="標楷體" w:eastAsia="標楷體" w:hAnsi="標楷體" w:hint="eastAsia"/>
                                <w:spacing w:val="-16"/>
                              </w:rPr>
                              <w:t>大夜</w:t>
                            </w:r>
                            <w:proofErr w:type="gramEnd"/>
                          </w:p>
                        </w:tc>
                        <w:tc>
                          <w:tcPr>
                            <w:tcW w:w="661" w:type="dxa"/>
                            <w:tcBorders>
                              <w:top w:val="single" w:sz="4" w:space="0" w:color="auto"/>
                              <w:left w:val="single" w:sz="4" w:space="0" w:color="auto"/>
                              <w:bottom w:val="double" w:sz="6" w:space="0" w:color="auto"/>
                              <w:right w:val="single" w:sz="4" w:space="0" w:color="auto"/>
                            </w:tcBorders>
                            <w:vAlign w:val="center"/>
                            <w:hideMark/>
                          </w:tcPr>
                          <w:p w14:paraId="7290A5AC"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13</w:t>
                            </w:r>
                          </w:p>
                        </w:tc>
                        <w:tc>
                          <w:tcPr>
                            <w:tcW w:w="661" w:type="dxa"/>
                            <w:tcBorders>
                              <w:top w:val="single" w:sz="4" w:space="0" w:color="auto"/>
                              <w:left w:val="single" w:sz="4" w:space="0" w:color="auto"/>
                              <w:bottom w:val="double" w:sz="6" w:space="0" w:color="auto"/>
                              <w:right w:val="single" w:sz="4" w:space="0" w:color="auto"/>
                            </w:tcBorders>
                            <w:vAlign w:val="center"/>
                            <w:hideMark/>
                          </w:tcPr>
                          <w:p w14:paraId="3230BA9C"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12.9</w:t>
                            </w:r>
                          </w:p>
                        </w:tc>
                        <w:tc>
                          <w:tcPr>
                            <w:tcW w:w="661" w:type="dxa"/>
                            <w:tcBorders>
                              <w:top w:val="single" w:sz="4" w:space="0" w:color="auto"/>
                              <w:left w:val="single" w:sz="4" w:space="0" w:color="auto"/>
                              <w:bottom w:val="double" w:sz="6" w:space="0" w:color="auto"/>
                              <w:right w:val="single" w:sz="4" w:space="0" w:color="auto"/>
                            </w:tcBorders>
                            <w:vAlign w:val="center"/>
                            <w:hideMark/>
                          </w:tcPr>
                          <w:p w14:paraId="1273C7B8"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11.1</w:t>
                            </w:r>
                          </w:p>
                        </w:tc>
                        <w:tc>
                          <w:tcPr>
                            <w:tcW w:w="661" w:type="dxa"/>
                            <w:tcBorders>
                              <w:top w:val="single" w:sz="4" w:space="0" w:color="auto"/>
                              <w:left w:val="single" w:sz="4" w:space="0" w:color="auto"/>
                              <w:bottom w:val="double" w:sz="6" w:space="0" w:color="auto"/>
                              <w:right w:val="single" w:sz="4" w:space="0" w:color="auto"/>
                            </w:tcBorders>
                            <w:vAlign w:val="center"/>
                            <w:hideMark/>
                          </w:tcPr>
                          <w:p w14:paraId="7EC19789"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11.3</w:t>
                            </w:r>
                          </w:p>
                        </w:tc>
                        <w:tc>
                          <w:tcPr>
                            <w:tcW w:w="661" w:type="dxa"/>
                            <w:tcBorders>
                              <w:top w:val="single" w:sz="4" w:space="0" w:color="auto"/>
                              <w:left w:val="single" w:sz="4" w:space="0" w:color="auto"/>
                              <w:bottom w:val="double" w:sz="6" w:space="0" w:color="auto"/>
                              <w:right w:val="single" w:sz="4" w:space="0" w:color="auto"/>
                            </w:tcBorders>
                            <w:vAlign w:val="center"/>
                            <w:hideMark/>
                          </w:tcPr>
                          <w:p w14:paraId="63DF5DB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11.8</w:t>
                            </w:r>
                          </w:p>
                        </w:tc>
                        <w:tc>
                          <w:tcPr>
                            <w:tcW w:w="780" w:type="dxa"/>
                            <w:tcBorders>
                              <w:top w:val="single" w:sz="4" w:space="0" w:color="auto"/>
                              <w:left w:val="single" w:sz="4" w:space="0" w:color="auto"/>
                              <w:bottom w:val="double" w:sz="6" w:space="0" w:color="auto"/>
                              <w:right w:val="single" w:sz="4" w:space="0" w:color="auto"/>
                            </w:tcBorders>
                            <w:vAlign w:val="center"/>
                            <w:hideMark/>
                          </w:tcPr>
                          <w:p w14:paraId="0B1B8543"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12.6</w:t>
                            </w:r>
                          </w:p>
                        </w:tc>
                      </w:tr>
                      <w:tr w:rsidR="00A85180" w14:paraId="6524BABB" w14:textId="77777777">
                        <w:trPr>
                          <w:trHeight w:val="255"/>
                        </w:trPr>
                        <w:tc>
                          <w:tcPr>
                            <w:tcW w:w="661" w:type="dxa"/>
                            <w:tcBorders>
                              <w:top w:val="double" w:sz="6" w:space="0" w:color="auto"/>
                              <w:left w:val="single" w:sz="4" w:space="0" w:color="auto"/>
                              <w:bottom w:val="single" w:sz="4" w:space="0" w:color="auto"/>
                              <w:right w:val="single" w:sz="4" w:space="0" w:color="auto"/>
                            </w:tcBorders>
                            <w:hideMark/>
                          </w:tcPr>
                          <w:p w14:paraId="15802E2A"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班別</w:t>
                            </w:r>
                          </w:p>
                        </w:tc>
                        <w:tc>
                          <w:tcPr>
                            <w:tcW w:w="661" w:type="dxa"/>
                            <w:tcBorders>
                              <w:top w:val="double" w:sz="6" w:space="0" w:color="auto"/>
                              <w:left w:val="single" w:sz="4" w:space="0" w:color="auto"/>
                              <w:bottom w:val="single" w:sz="4" w:space="0" w:color="auto"/>
                              <w:right w:val="single" w:sz="4" w:space="0" w:color="auto"/>
                            </w:tcBorders>
                            <w:hideMark/>
                          </w:tcPr>
                          <w:p w14:paraId="7177B75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3424" w:type="dxa"/>
                            <w:gridSpan w:val="5"/>
                            <w:tcBorders>
                              <w:top w:val="double" w:sz="6" w:space="0" w:color="auto"/>
                              <w:left w:val="single" w:sz="4" w:space="0" w:color="auto"/>
                              <w:bottom w:val="single" w:sz="4" w:space="0" w:color="auto"/>
                              <w:right w:val="single" w:sz="4" w:space="0" w:color="auto"/>
                            </w:tcBorders>
                            <w:hideMark/>
                          </w:tcPr>
                          <w:p w14:paraId="18C1FD72" w14:textId="77777777" w:rsidR="00A85180" w:rsidRDefault="00A85180">
                            <w:pPr>
                              <w:spacing w:line="240" w:lineRule="exact"/>
                              <w:ind w:leftChars="-50" w:left="-120" w:rightChars="-50" w:right="-120"/>
                              <w:jc w:val="center"/>
                              <w:rPr>
                                <w:rFonts w:ascii="標楷體" w:eastAsia="標楷體" w:hAnsi="標楷體"/>
                                <w:b/>
                                <w:spacing w:val="-18"/>
                              </w:rPr>
                            </w:pPr>
                            <w:r>
                              <w:rPr>
                                <w:rFonts w:ascii="標楷體" w:eastAsia="標楷體" w:hAnsi="標楷體" w:hint="eastAsia"/>
                                <w:b/>
                                <w:spacing w:val="-18"/>
                              </w:rPr>
                              <w:t>113年3月至</w:t>
                            </w:r>
                            <w:proofErr w:type="gramStart"/>
                            <w:r>
                              <w:rPr>
                                <w:rFonts w:ascii="標楷體" w:eastAsia="標楷體" w:hAnsi="標楷體" w:hint="eastAsia"/>
                                <w:b/>
                                <w:spacing w:val="-18"/>
                              </w:rPr>
                              <w:t>113年12月護病比</w:t>
                            </w:r>
                            <w:proofErr w:type="gramEnd"/>
                            <w:r>
                              <w:rPr>
                                <w:rFonts w:ascii="標楷體" w:eastAsia="標楷體" w:hAnsi="標楷體" w:hint="eastAsia"/>
                                <w:b/>
                                <w:spacing w:val="-18"/>
                              </w:rPr>
                              <w:t>超逾標準月數</w:t>
                            </w:r>
                          </w:p>
                        </w:tc>
                      </w:tr>
                      <w:tr w:rsidR="00A85180" w14:paraId="2F4CF0F6"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4D1C7A3D"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白班</w:t>
                            </w:r>
                          </w:p>
                        </w:tc>
                        <w:tc>
                          <w:tcPr>
                            <w:tcW w:w="661" w:type="dxa"/>
                            <w:vMerge w:val="restart"/>
                            <w:tcBorders>
                              <w:top w:val="single" w:sz="4" w:space="0" w:color="auto"/>
                              <w:left w:val="single" w:sz="4" w:space="0" w:color="auto"/>
                              <w:bottom w:val="single" w:sz="4" w:space="0" w:color="auto"/>
                              <w:right w:val="single" w:sz="4" w:space="0" w:color="auto"/>
                              <w:tl2br w:val="single" w:sz="4" w:space="0" w:color="auto"/>
                            </w:tcBorders>
                          </w:tcPr>
                          <w:p w14:paraId="588A5BFD" w14:textId="77777777" w:rsidR="00A85180" w:rsidRDefault="00A85180">
                            <w:pPr>
                              <w:spacing w:line="240" w:lineRule="exact"/>
                              <w:jc w:val="right"/>
                              <w:rPr>
                                <w:rFonts w:ascii="標楷體" w:eastAsia="標楷體" w:hAnsi="標楷體"/>
                                <w:spacing w:val="-16"/>
                              </w:rPr>
                            </w:pP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7CCFB"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5</w:t>
                            </w:r>
                          </w:p>
                        </w:tc>
                        <w:tc>
                          <w:tcPr>
                            <w:tcW w:w="661" w:type="dxa"/>
                            <w:tcBorders>
                              <w:top w:val="single" w:sz="4" w:space="0" w:color="auto"/>
                              <w:left w:val="single" w:sz="4" w:space="0" w:color="auto"/>
                              <w:bottom w:val="single" w:sz="4" w:space="0" w:color="auto"/>
                              <w:right w:val="single" w:sz="4" w:space="0" w:color="auto"/>
                            </w:tcBorders>
                            <w:vAlign w:val="center"/>
                            <w:hideMark/>
                          </w:tcPr>
                          <w:p w14:paraId="137F8B62"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w:t>
                            </w:r>
                          </w:p>
                        </w:tc>
                        <w:tc>
                          <w:tcPr>
                            <w:tcW w:w="661" w:type="dxa"/>
                            <w:tcBorders>
                              <w:top w:val="single" w:sz="4" w:space="0" w:color="auto"/>
                              <w:left w:val="single" w:sz="4" w:space="0" w:color="auto"/>
                              <w:bottom w:val="single" w:sz="4" w:space="0" w:color="auto"/>
                              <w:right w:val="single" w:sz="4" w:space="0" w:color="auto"/>
                            </w:tcBorders>
                            <w:vAlign w:val="center"/>
                            <w:hideMark/>
                          </w:tcPr>
                          <w:p w14:paraId="1F12EC0C"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661" w:type="dxa"/>
                            <w:tcBorders>
                              <w:top w:val="single" w:sz="4" w:space="0" w:color="auto"/>
                              <w:left w:val="single" w:sz="4" w:space="0" w:color="auto"/>
                              <w:bottom w:val="single" w:sz="4" w:space="0" w:color="auto"/>
                              <w:right w:val="single" w:sz="4" w:space="0" w:color="auto"/>
                            </w:tcBorders>
                            <w:vAlign w:val="center"/>
                            <w:hideMark/>
                          </w:tcPr>
                          <w:p w14:paraId="33F639BD"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780" w:type="dxa"/>
                            <w:tcBorders>
                              <w:top w:val="single" w:sz="4" w:space="0" w:color="auto"/>
                              <w:left w:val="single" w:sz="4" w:space="0" w:color="auto"/>
                              <w:bottom w:val="single" w:sz="4" w:space="0" w:color="auto"/>
                              <w:right w:val="single" w:sz="4" w:space="0" w:color="auto"/>
                            </w:tcBorders>
                            <w:vAlign w:val="center"/>
                            <w:hideMark/>
                          </w:tcPr>
                          <w:p w14:paraId="0811D60A"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w:t>
                            </w:r>
                          </w:p>
                        </w:tc>
                      </w:tr>
                      <w:tr w:rsidR="00A85180" w14:paraId="1EE03B97"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35C4D11A" w14:textId="77777777" w:rsidR="00A85180" w:rsidRDefault="00A85180">
                            <w:pPr>
                              <w:spacing w:line="240" w:lineRule="exact"/>
                              <w:rPr>
                                <w:rFonts w:ascii="標楷體" w:eastAsia="標楷體" w:hAnsi="標楷體"/>
                                <w:spacing w:val="-16"/>
                              </w:rPr>
                            </w:pPr>
                            <w:r>
                              <w:rPr>
                                <w:rFonts w:ascii="標楷體" w:eastAsia="標楷體" w:hAnsi="標楷體" w:hint="eastAsia"/>
                                <w:spacing w:val="-16"/>
                              </w:rPr>
                              <w:t>小夜</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96B413" w14:textId="77777777" w:rsidR="00A85180" w:rsidRDefault="00A85180">
                            <w:pPr>
                              <w:rPr>
                                <w:rFonts w:ascii="標楷體" w:eastAsia="標楷體" w:hAnsi="標楷體"/>
                                <w:spacing w:val="-16"/>
                              </w:rPr>
                            </w:pP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8730BD"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2</w:t>
                            </w:r>
                          </w:p>
                        </w:tc>
                        <w:tc>
                          <w:tcPr>
                            <w:tcW w:w="661" w:type="dxa"/>
                            <w:tcBorders>
                              <w:top w:val="single" w:sz="4" w:space="0" w:color="auto"/>
                              <w:left w:val="single" w:sz="4" w:space="0" w:color="auto"/>
                              <w:bottom w:val="single" w:sz="4" w:space="0" w:color="auto"/>
                              <w:right w:val="single" w:sz="4" w:space="0" w:color="auto"/>
                            </w:tcBorders>
                            <w:vAlign w:val="center"/>
                            <w:hideMark/>
                          </w:tcPr>
                          <w:p w14:paraId="7765BBD1"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3</w:t>
                            </w:r>
                          </w:p>
                        </w:tc>
                        <w:tc>
                          <w:tcPr>
                            <w:tcW w:w="661" w:type="dxa"/>
                            <w:tcBorders>
                              <w:top w:val="single" w:sz="4" w:space="0" w:color="auto"/>
                              <w:left w:val="single" w:sz="4" w:space="0" w:color="auto"/>
                              <w:bottom w:val="single" w:sz="4" w:space="0" w:color="auto"/>
                              <w:right w:val="single" w:sz="4" w:space="0" w:color="auto"/>
                            </w:tcBorders>
                            <w:vAlign w:val="center"/>
                            <w:hideMark/>
                          </w:tcPr>
                          <w:p w14:paraId="14E3361E"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3</w:t>
                            </w:r>
                          </w:p>
                        </w:tc>
                        <w:tc>
                          <w:tcPr>
                            <w:tcW w:w="661" w:type="dxa"/>
                            <w:tcBorders>
                              <w:top w:val="single" w:sz="4" w:space="0" w:color="auto"/>
                              <w:left w:val="single" w:sz="4" w:space="0" w:color="auto"/>
                              <w:bottom w:val="single" w:sz="4" w:space="0" w:color="auto"/>
                              <w:right w:val="single" w:sz="4" w:space="0" w:color="auto"/>
                            </w:tcBorders>
                            <w:vAlign w:val="center"/>
                            <w:hideMark/>
                          </w:tcPr>
                          <w:p w14:paraId="6B9FD3AB"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5</w:t>
                            </w:r>
                          </w:p>
                        </w:tc>
                        <w:tc>
                          <w:tcPr>
                            <w:tcW w:w="780" w:type="dxa"/>
                            <w:tcBorders>
                              <w:top w:val="single" w:sz="4" w:space="0" w:color="auto"/>
                              <w:left w:val="single" w:sz="4" w:space="0" w:color="auto"/>
                              <w:bottom w:val="single" w:sz="4" w:space="0" w:color="auto"/>
                              <w:right w:val="single" w:sz="4" w:space="0" w:color="auto"/>
                            </w:tcBorders>
                            <w:vAlign w:val="center"/>
                            <w:hideMark/>
                          </w:tcPr>
                          <w:p w14:paraId="6D883EDB"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w:t>
                            </w:r>
                          </w:p>
                        </w:tc>
                      </w:tr>
                      <w:tr w:rsidR="00A85180" w14:paraId="490A1F4C" w14:textId="77777777">
                        <w:trPr>
                          <w:trHeight w:val="227"/>
                        </w:trPr>
                        <w:tc>
                          <w:tcPr>
                            <w:tcW w:w="661" w:type="dxa"/>
                            <w:tcBorders>
                              <w:top w:val="single" w:sz="4" w:space="0" w:color="auto"/>
                              <w:left w:val="single" w:sz="4" w:space="0" w:color="auto"/>
                              <w:bottom w:val="single" w:sz="4" w:space="0" w:color="auto"/>
                              <w:right w:val="single" w:sz="4" w:space="0" w:color="auto"/>
                            </w:tcBorders>
                            <w:hideMark/>
                          </w:tcPr>
                          <w:p w14:paraId="1B5AD637" w14:textId="77777777" w:rsidR="00A85180" w:rsidRDefault="00A85180">
                            <w:pPr>
                              <w:spacing w:line="240" w:lineRule="exact"/>
                              <w:rPr>
                                <w:rFonts w:ascii="標楷體" w:eastAsia="標楷體" w:hAnsi="標楷體"/>
                                <w:spacing w:val="-16"/>
                              </w:rPr>
                            </w:pPr>
                            <w:proofErr w:type="gramStart"/>
                            <w:r>
                              <w:rPr>
                                <w:rFonts w:ascii="標楷體" w:eastAsia="標楷體" w:hAnsi="標楷體" w:hint="eastAsia"/>
                                <w:spacing w:val="-16"/>
                              </w:rPr>
                              <w:t>大夜</w:t>
                            </w:r>
                            <w:proofErr w:type="gramEnd"/>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8C4F7" w14:textId="77777777" w:rsidR="00A85180" w:rsidRDefault="00A85180">
                            <w:pPr>
                              <w:rPr>
                                <w:rFonts w:ascii="標楷體" w:eastAsia="標楷體" w:hAnsi="標楷體"/>
                                <w:spacing w:val="-16"/>
                              </w:rPr>
                            </w:pP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08E80F"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2</w:t>
                            </w:r>
                          </w:p>
                        </w:tc>
                        <w:tc>
                          <w:tcPr>
                            <w:tcW w:w="661" w:type="dxa"/>
                            <w:tcBorders>
                              <w:top w:val="single" w:sz="4" w:space="0" w:color="auto"/>
                              <w:left w:val="single" w:sz="4" w:space="0" w:color="auto"/>
                              <w:bottom w:val="single" w:sz="4" w:space="0" w:color="auto"/>
                              <w:right w:val="single" w:sz="4" w:space="0" w:color="auto"/>
                            </w:tcBorders>
                            <w:vAlign w:val="center"/>
                            <w:hideMark/>
                          </w:tcPr>
                          <w:p w14:paraId="01BB675D"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661" w:type="dxa"/>
                            <w:tcBorders>
                              <w:top w:val="single" w:sz="4" w:space="0" w:color="auto"/>
                              <w:left w:val="single" w:sz="4" w:space="0" w:color="auto"/>
                              <w:bottom w:val="single" w:sz="4" w:space="0" w:color="auto"/>
                              <w:right w:val="single" w:sz="4" w:space="0" w:color="auto"/>
                            </w:tcBorders>
                            <w:vAlign w:val="center"/>
                            <w:hideMark/>
                          </w:tcPr>
                          <w:p w14:paraId="0D78FB15"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w:t>
                            </w:r>
                          </w:p>
                        </w:tc>
                        <w:tc>
                          <w:tcPr>
                            <w:tcW w:w="661" w:type="dxa"/>
                            <w:tcBorders>
                              <w:top w:val="single" w:sz="4" w:space="0" w:color="auto"/>
                              <w:left w:val="single" w:sz="4" w:space="0" w:color="auto"/>
                              <w:bottom w:val="single" w:sz="4" w:space="0" w:color="auto"/>
                              <w:right w:val="single" w:sz="4" w:space="0" w:color="auto"/>
                            </w:tcBorders>
                            <w:vAlign w:val="center"/>
                            <w:hideMark/>
                          </w:tcPr>
                          <w:p w14:paraId="7545131E"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w:t>
                            </w:r>
                          </w:p>
                        </w:tc>
                        <w:tc>
                          <w:tcPr>
                            <w:tcW w:w="780" w:type="dxa"/>
                            <w:tcBorders>
                              <w:top w:val="single" w:sz="4" w:space="0" w:color="auto"/>
                              <w:left w:val="single" w:sz="4" w:space="0" w:color="auto"/>
                              <w:bottom w:val="single" w:sz="4" w:space="0" w:color="auto"/>
                              <w:right w:val="single" w:sz="4" w:space="0" w:color="auto"/>
                            </w:tcBorders>
                            <w:vAlign w:val="center"/>
                            <w:hideMark/>
                          </w:tcPr>
                          <w:p w14:paraId="75FB6978" w14:textId="77777777" w:rsidR="00A85180" w:rsidRDefault="00A85180">
                            <w:pPr>
                              <w:spacing w:line="240" w:lineRule="exact"/>
                              <w:jc w:val="right"/>
                              <w:rPr>
                                <w:rFonts w:ascii="標楷體" w:eastAsia="標楷體" w:hAnsi="標楷體"/>
                                <w:spacing w:val="-16"/>
                              </w:rPr>
                            </w:pPr>
                            <w:r>
                              <w:rPr>
                                <w:rFonts w:ascii="標楷體" w:eastAsia="標楷體" w:hAnsi="標楷體" w:hint="eastAsia"/>
                                <w:spacing w:val="-16"/>
                              </w:rPr>
                              <w:t>1</w:t>
                            </w:r>
                          </w:p>
                        </w:tc>
                      </w:tr>
                    </w:tbl>
                    <w:p w14:paraId="245F8672" w14:textId="77777777" w:rsidR="00A85180" w:rsidRDefault="00A85180" w:rsidP="00A85180">
                      <w:pPr>
                        <w:spacing w:line="240" w:lineRule="exact"/>
                        <w:ind w:leftChars="11" w:left="384" w:hangingChars="199" w:hanging="358"/>
                        <w:rPr>
                          <w:rFonts w:ascii="標楷體" w:eastAsia="標楷體" w:hAnsi="標楷體"/>
                          <w:sz w:val="18"/>
                          <w:szCs w:val="18"/>
                        </w:rPr>
                      </w:pPr>
                      <w:r>
                        <w:rPr>
                          <w:rFonts w:ascii="標楷體" w:eastAsia="標楷體" w:hAnsi="標楷體" w:hint="eastAsia"/>
                          <w:sz w:val="18"/>
                          <w:szCs w:val="18"/>
                        </w:rPr>
                        <w:t>資料來源：整理自聯合醫院提供資料。</w:t>
                      </w:r>
                    </w:p>
                    <w:p w14:paraId="7FB58319" w14:textId="77777777" w:rsidR="00A85180" w:rsidRDefault="00A85180" w:rsidP="00A85180">
                      <w:pPr>
                        <w:ind w:leftChars="-63" w:left="477" w:hangingChars="285" w:hanging="628"/>
                        <w:rPr>
                          <w:rFonts w:ascii="標楷體" w:eastAsia="標楷體" w:hAnsi="標楷體"/>
                          <w:b/>
                          <w:spacing w:val="-10"/>
                        </w:rPr>
                      </w:pPr>
                    </w:p>
                  </w:txbxContent>
                </v:textbox>
                <w10:wrap type="tight" anchorx="margin" anchory="page"/>
              </v:shape>
            </w:pict>
          </mc:Fallback>
        </mc:AlternateContent>
      </w:r>
      <w:r>
        <w:rPr>
          <w:rFonts w:ascii="標楷體" w:eastAsia="標楷體" w:hAnsi="標楷體" w:cs="Times New Roman" w:hint="eastAsia"/>
        </w:rPr>
        <w:t>113年3月至7月間，惟仁愛院區113年12月之白班及小夜班、陽明院區113年12月小夜</w:t>
      </w:r>
      <w:proofErr w:type="gramStart"/>
      <w:r>
        <w:rPr>
          <w:rFonts w:ascii="標楷體" w:eastAsia="標楷體" w:hAnsi="標楷體" w:cs="Times New Roman" w:hint="eastAsia"/>
        </w:rPr>
        <w:t>班別護病比</w:t>
      </w:r>
      <w:proofErr w:type="gramEnd"/>
      <w:r>
        <w:rPr>
          <w:rFonts w:ascii="標楷體" w:eastAsia="標楷體" w:hAnsi="標楷體" w:cs="Times New Roman" w:hint="eastAsia"/>
        </w:rPr>
        <w:t>，</w:t>
      </w:r>
      <w:proofErr w:type="gramStart"/>
      <w:r>
        <w:rPr>
          <w:rFonts w:ascii="標楷體" w:eastAsia="標楷體" w:hAnsi="標楷體" w:cs="Times New Roman" w:hint="eastAsia"/>
        </w:rPr>
        <w:t>均較113年10月</w:t>
      </w:r>
      <w:proofErr w:type="gramEnd"/>
      <w:r>
        <w:rPr>
          <w:rFonts w:ascii="標楷體" w:eastAsia="標楷體" w:hAnsi="標楷體" w:cs="Times New Roman" w:hint="eastAsia"/>
        </w:rPr>
        <w:t>及11月增加，有待持續監控及管理護理人力配置情形；2.聯合醫院7院區111至113年度許可病床數皆為2,930床，其中未開放病床數於113年底計804床，分別較111年底未開放數（681床）增加123床（18.06％）、112年底未開放數（629床）增加175床（27.82％），除忠孝、仁愛等2院</w:t>
      </w:r>
    </w:p>
    <w:p w14:paraId="45E9FA9C" w14:textId="50CFB03B" w:rsidR="00A85180" w:rsidRDefault="00A85180" w:rsidP="00713069">
      <w:pPr>
        <w:overflowPunct w:val="0"/>
        <w:spacing w:line="490" w:lineRule="exact"/>
        <w:jc w:val="both"/>
        <w:rPr>
          <w:rFonts w:ascii="標楷體" w:eastAsia="標楷體" w:hAnsi="標楷體" w:cs="Times New Roman"/>
        </w:rPr>
      </w:pPr>
      <w:r>
        <w:rPr>
          <w:rFonts w:ascii="標楷體" w:eastAsia="標楷體" w:hAnsi="標楷體" w:cs="Times New Roman" w:hint="eastAsia"/>
        </w:rPr>
        <w:t>區未開放之病床已減少及林森中醫院區病床已全數開放外，餘和平</w:t>
      </w:r>
      <w:proofErr w:type="gramStart"/>
      <w:r>
        <w:rPr>
          <w:rFonts w:ascii="標楷體" w:eastAsia="標楷體" w:hAnsi="標楷體" w:cs="Times New Roman" w:hint="eastAsia"/>
        </w:rPr>
        <w:t>婦幼院區</w:t>
      </w:r>
      <w:proofErr w:type="gramEnd"/>
      <w:r>
        <w:rPr>
          <w:rFonts w:ascii="標楷體" w:eastAsia="標楷體" w:hAnsi="標楷體" w:cs="Times New Roman" w:hint="eastAsia"/>
        </w:rPr>
        <w:t>等4院區113年底未開放病床分別較111及112年底增加15床至49床、42床至79床</w:t>
      </w:r>
      <w:proofErr w:type="gramStart"/>
      <w:r>
        <w:rPr>
          <w:rFonts w:ascii="標楷體" w:eastAsia="標楷體" w:hAnsi="標楷體" w:cs="Times New Roman" w:hint="eastAsia"/>
        </w:rPr>
        <w:t>不</w:t>
      </w:r>
      <w:proofErr w:type="gramEnd"/>
      <w:r>
        <w:rPr>
          <w:rFonts w:ascii="標楷體" w:eastAsia="標楷體" w:hAnsi="標楷體" w:cs="Times New Roman" w:hint="eastAsia"/>
        </w:rPr>
        <w:t>等等情事，經函請</w:t>
      </w:r>
      <w:proofErr w:type="gramStart"/>
      <w:r>
        <w:rPr>
          <w:rFonts w:ascii="標楷體" w:eastAsia="標楷體" w:hAnsi="標楷體" w:cs="Times New Roman" w:hint="eastAsia"/>
        </w:rPr>
        <w:t>研謀善策</w:t>
      </w:r>
      <w:proofErr w:type="gramEnd"/>
      <w:r>
        <w:rPr>
          <w:rFonts w:ascii="標楷體" w:eastAsia="標楷體" w:hAnsi="標楷體" w:cs="Times New Roman" w:hint="eastAsia"/>
        </w:rPr>
        <w:t>。據復：1.持續定期盤點及精進各院</w:t>
      </w:r>
      <w:proofErr w:type="gramStart"/>
      <w:r>
        <w:rPr>
          <w:rFonts w:ascii="標楷體" w:eastAsia="標楷體" w:hAnsi="標楷體" w:cs="Times New Roman" w:hint="eastAsia"/>
        </w:rPr>
        <w:t>區護病</w:t>
      </w:r>
      <w:proofErr w:type="gramEnd"/>
      <w:r>
        <w:rPr>
          <w:rFonts w:ascii="標楷體" w:eastAsia="標楷體" w:hAnsi="標楷體" w:cs="Times New Roman" w:hint="eastAsia"/>
        </w:rPr>
        <w:t>比及護理人力配置情形，包括積極提升護理人員薪資與福利、導入多元簽約獎金方案等措施，延攬與留任護理人力，降低臨床人員臨床負荷；2.除配合臺北市政府長照政策增加長照病床外，將積極推動病床開放，預計於114年底再開放225床急性一般病床、32床精神急性一般病床，期能服務更多病患。</w:t>
      </w:r>
    </w:p>
    <w:p w14:paraId="3C401A4C" w14:textId="77777777" w:rsidR="00A85180" w:rsidRDefault="00A85180" w:rsidP="00713069">
      <w:pPr>
        <w:overflowPunct w:val="0"/>
        <w:spacing w:beforeLines="50" w:before="180" w:line="500"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t>（四）</w:t>
      </w:r>
      <w:r>
        <w:rPr>
          <w:rFonts w:ascii="標楷體" w:eastAsia="標楷體" w:hAnsi="標楷體" w:cs="Times New Roman" w:hint="eastAsia"/>
          <w:b/>
          <w:spacing w:val="-6"/>
          <w:sz w:val="28"/>
          <w:szCs w:val="28"/>
        </w:rPr>
        <w:t>持續推動居家醫療服務，惟推動迄今每年收案</w:t>
      </w:r>
      <w:proofErr w:type="gramStart"/>
      <w:r>
        <w:rPr>
          <w:rFonts w:ascii="標楷體" w:eastAsia="標楷體" w:hAnsi="標楷體" w:cs="Times New Roman" w:hint="eastAsia"/>
          <w:b/>
          <w:spacing w:val="-6"/>
          <w:sz w:val="28"/>
          <w:szCs w:val="28"/>
        </w:rPr>
        <w:t>人數均未達</w:t>
      </w:r>
      <w:proofErr w:type="gramEnd"/>
      <w:r>
        <w:rPr>
          <w:rFonts w:ascii="標楷體" w:eastAsia="標楷體" w:hAnsi="標楷體" w:cs="Times New Roman" w:hint="eastAsia"/>
          <w:b/>
          <w:spacing w:val="-6"/>
          <w:sz w:val="28"/>
          <w:szCs w:val="28"/>
        </w:rPr>
        <w:t>目標值，並有訪視頻率間隔時間逾規定期限，或對照護期滿仍有照護需求之病患未依規定申請延長照護，或對符合結案條件之病患，未依實際狀況即時辦理結案等情，均有待檢討改善。</w:t>
      </w:r>
    </w:p>
    <w:p w14:paraId="30186702" w14:textId="77777777" w:rsidR="00713069" w:rsidRDefault="00A85180" w:rsidP="007A4556">
      <w:pPr>
        <w:overflowPunct w:val="0"/>
        <w:spacing w:beforeLines="50" w:before="180" w:line="500" w:lineRule="exact"/>
        <w:ind w:right="-2" w:firstLineChars="197" w:firstLine="465"/>
        <w:jc w:val="distribute"/>
        <w:rPr>
          <w:rFonts w:ascii="標楷體" w:eastAsia="標楷體" w:hAnsi="標楷體" w:cs="Times New Roman"/>
          <w:spacing w:val="-2"/>
          <w:szCs w:val="24"/>
        </w:rPr>
      </w:pPr>
      <w:r>
        <w:rPr>
          <w:rFonts w:ascii="標楷體" w:eastAsia="標楷體" w:hAnsi="標楷體" w:cs="Times New Roman" w:hint="eastAsia"/>
          <w:spacing w:val="-2"/>
          <w:szCs w:val="24"/>
        </w:rPr>
        <w:t>衛生福利部中央健康</w:t>
      </w:r>
      <w:proofErr w:type="gramStart"/>
      <w:r>
        <w:rPr>
          <w:rFonts w:ascii="標楷體" w:eastAsia="標楷體" w:hAnsi="標楷體" w:cs="Times New Roman" w:hint="eastAsia"/>
          <w:spacing w:val="-2"/>
          <w:szCs w:val="24"/>
        </w:rPr>
        <w:t>保險署</w:t>
      </w:r>
      <w:proofErr w:type="gramEnd"/>
      <w:r>
        <w:rPr>
          <w:rFonts w:ascii="標楷體" w:eastAsia="標楷體" w:hAnsi="標楷體" w:cs="Times New Roman" w:hint="eastAsia"/>
          <w:spacing w:val="-2"/>
          <w:szCs w:val="24"/>
        </w:rPr>
        <w:t>（下稱健保署）為整合及提升因失能或疾病特性外出就醫不便病</w:t>
      </w:r>
      <w:r w:rsidRPr="007A4556">
        <w:rPr>
          <w:rFonts w:ascii="標楷體" w:eastAsia="標楷體" w:hAnsi="標楷體" w:cs="Times New Roman" w:hint="eastAsia"/>
          <w:w w:val="99"/>
          <w:kern w:val="0"/>
          <w:szCs w:val="24"/>
          <w:fitText w:val="9988" w:id="-684040704"/>
        </w:rPr>
        <w:t>患之醫療照護，於104年間推出「全民健康保險居家醫療照護整合計畫」</w:t>
      </w:r>
      <w:proofErr w:type="gramStart"/>
      <w:r w:rsidRPr="007A4556">
        <w:rPr>
          <w:rFonts w:ascii="標楷體" w:eastAsia="標楷體" w:hAnsi="標楷體" w:cs="Times New Roman" w:hint="eastAsia"/>
          <w:w w:val="99"/>
          <w:kern w:val="0"/>
          <w:szCs w:val="24"/>
          <w:fitText w:val="9988" w:id="-684040704"/>
        </w:rPr>
        <w:t>（</w:t>
      </w:r>
      <w:proofErr w:type="gramEnd"/>
      <w:r w:rsidRPr="007A4556">
        <w:rPr>
          <w:rFonts w:ascii="標楷體" w:eastAsia="標楷體" w:hAnsi="標楷體" w:cs="Times New Roman" w:hint="eastAsia"/>
          <w:w w:val="99"/>
          <w:kern w:val="0"/>
          <w:szCs w:val="24"/>
          <w:fitText w:val="9988" w:id="-684040704"/>
        </w:rPr>
        <w:t>下稱居家醫療整合</w:t>
      </w:r>
      <w:r w:rsidRPr="007A4556">
        <w:rPr>
          <w:rFonts w:ascii="標楷體" w:eastAsia="標楷體" w:hAnsi="標楷體" w:cs="Times New Roman" w:hint="eastAsia"/>
          <w:spacing w:val="13"/>
          <w:w w:val="99"/>
          <w:kern w:val="0"/>
          <w:szCs w:val="24"/>
          <w:fitText w:val="9988" w:id="-684040704"/>
        </w:rPr>
        <w:t>計</w:t>
      </w:r>
    </w:p>
    <w:p w14:paraId="023DB778" w14:textId="1C60292D" w:rsidR="00A85180" w:rsidRDefault="00A85180" w:rsidP="00713069">
      <w:pPr>
        <w:overflowPunct w:val="0"/>
        <w:spacing w:line="500" w:lineRule="exact"/>
        <w:jc w:val="both"/>
        <w:rPr>
          <w:rFonts w:ascii="標楷體" w:eastAsia="標楷體" w:hAnsi="標楷體" w:cs="Times New Roman"/>
          <w:spacing w:val="-2"/>
          <w:sz w:val="22"/>
        </w:rPr>
      </w:pPr>
      <w:r>
        <w:rPr>
          <w:rFonts w:ascii="標楷體" w:eastAsia="標楷體" w:hAnsi="標楷體" w:cs="Times New Roman" w:hint="eastAsia"/>
          <w:spacing w:val="-2"/>
          <w:szCs w:val="24"/>
        </w:rPr>
        <w:lastRenderedPageBreak/>
        <w:t>畫</w:t>
      </w:r>
      <w:proofErr w:type="gramStart"/>
      <w:r>
        <w:rPr>
          <w:rFonts w:ascii="標楷體" w:eastAsia="標楷體" w:hAnsi="標楷體" w:cs="Times New Roman" w:hint="eastAsia"/>
          <w:spacing w:val="-2"/>
          <w:szCs w:val="24"/>
        </w:rPr>
        <w:t>）</w:t>
      </w:r>
      <w:proofErr w:type="gramEnd"/>
      <w:r>
        <w:rPr>
          <w:rFonts w:ascii="標楷體" w:eastAsia="標楷體" w:hAnsi="標楷體" w:cs="Times New Roman" w:hint="eastAsia"/>
          <w:spacing w:val="-2"/>
          <w:szCs w:val="24"/>
        </w:rPr>
        <w:t>，相關醫療費用申報、支付及審查原則，悉依「全民健康保險醫療費用申報與核付及醫療服務審查辦法」辦理；又臺北市立聯合醫院於105年向健保署申請自105年3月1日起辦理居家醫療整合計畫；</w:t>
      </w:r>
      <w:proofErr w:type="gramStart"/>
      <w:r>
        <w:rPr>
          <w:rFonts w:ascii="標楷體" w:eastAsia="標楷體" w:hAnsi="標楷體" w:cs="Times New Roman" w:hint="eastAsia"/>
          <w:spacing w:val="-2"/>
          <w:szCs w:val="24"/>
        </w:rPr>
        <w:t>113</w:t>
      </w:r>
      <w:proofErr w:type="gramEnd"/>
      <w:r>
        <w:rPr>
          <w:rFonts w:ascii="標楷體" w:eastAsia="標楷體" w:hAnsi="標楷體" w:cs="Times New Roman" w:hint="eastAsia"/>
          <w:spacing w:val="-2"/>
          <w:szCs w:val="24"/>
        </w:rPr>
        <w:t>年度向健保署申報醫療費用計2,763萬餘元。經查執行情形，核有下列事項：</w:t>
      </w:r>
    </w:p>
    <w:p w14:paraId="14B4329D" w14:textId="4EC06CD2" w:rsidR="00A85180" w:rsidRPr="00BD0A61" w:rsidRDefault="007A4556" w:rsidP="003849C2">
      <w:pPr>
        <w:overflowPunct w:val="0"/>
        <w:spacing w:beforeLines="20" w:before="72" w:line="480" w:lineRule="exact"/>
        <w:ind w:firstLineChars="177" w:firstLine="425"/>
        <w:jc w:val="both"/>
        <w:rPr>
          <w:rFonts w:ascii="標楷體" w:eastAsia="標楷體" w:hAnsi="標楷體" w:cs="Times New Roman"/>
          <w:spacing w:val="4"/>
          <w:sz w:val="22"/>
        </w:rPr>
      </w:pPr>
      <w:r>
        <w:rPr>
          <w:rFonts w:ascii="標楷體" w:eastAsia="標楷體" w:hAnsi="標楷體" w:cs="Times New Roman" w:hint="eastAsia"/>
          <w:b/>
          <w:bCs/>
          <w:noProof/>
          <w:szCs w:val="24"/>
        </w:rPr>
        <mc:AlternateContent>
          <mc:Choice Requires="wpg">
            <w:drawing>
              <wp:anchor distT="0" distB="0" distL="114300" distR="114300" simplePos="0" relativeHeight="251842560" behindDoc="0" locked="0" layoutInCell="1" allowOverlap="1" wp14:anchorId="2FE089BE" wp14:editId="46013400">
                <wp:simplePos x="0" y="0"/>
                <wp:positionH relativeFrom="column">
                  <wp:posOffset>1947185</wp:posOffset>
                </wp:positionH>
                <wp:positionV relativeFrom="paragraph">
                  <wp:posOffset>1717040</wp:posOffset>
                </wp:positionV>
                <wp:extent cx="4412615" cy="2432685"/>
                <wp:effectExtent l="0" t="0" r="6985" b="5715"/>
                <wp:wrapSquare wrapText="bothSides"/>
                <wp:docPr id="18" name="群組 18"/>
                <wp:cNvGraphicFramePr/>
                <a:graphic xmlns:a="http://schemas.openxmlformats.org/drawingml/2006/main">
                  <a:graphicData uri="http://schemas.microsoft.com/office/word/2010/wordprocessingGroup">
                    <wpg:wgp>
                      <wpg:cNvGrpSpPr/>
                      <wpg:grpSpPr>
                        <a:xfrm>
                          <a:off x="0" y="0"/>
                          <a:ext cx="4412615" cy="2432685"/>
                          <a:chOff x="0" y="0"/>
                          <a:chExt cx="4557955" cy="2433099"/>
                        </a:xfrm>
                      </wpg:grpSpPr>
                      <wps:wsp>
                        <wps:cNvPr id="38" name="文字方塊 2"/>
                        <wps:cNvSpPr txBox="1">
                          <a:spLocks noChangeArrowheads="1"/>
                        </wps:cNvSpPr>
                        <wps:spPr bwMode="auto">
                          <a:xfrm>
                            <a:off x="0" y="0"/>
                            <a:ext cx="4557955" cy="2433099"/>
                          </a:xfrm>
                          <a:prstGeom prst="rect">
                            <a:avLst/>
                          </a:prstGeom>
                          <a:solidFill>
                            <a:srgbClr val="FFFFFF"/>
                          </a:solidFill>
                          <a:ln w="9525">
                            <a:noFill/>
                            <a:miter lim="800000"/>
                            <a:headEnd/>
                            <a:tailEnd/>
                          </a:ln>
                        </wps:spPr>
                        <wps:txbx>
                          <w:txbxContent>
                            <w:p w14:paraId="320996BF" w14:textId="77777777" w:rsidR="007A4556" w:rsidRDefault="007A4556" w:rsidP="007A4556">
                              <w:pPr>
                                <w:jc w:val="center"/>
                                <w:rPr>
                                  <w:rFonts w:ascii="標楷體" w:eastAsia="標楷體" w:hAnsi="標楷體"/>
                                  <w:sz w:val="20"/>
                                </w:rPr>
                              </w:pPr>
                              <w:r>
                                <w:rPr>
                                  <w:rFonts w:ascii="標楷體" w:eastAsia="標楷體" w:hAnsi="標楷體"/>
                                  <w:b/>
                                  <w:bCs/>
                                  <w:noProof/>
                                </w:rPr>
                                <w:drawing>
                                  <wp:inline distT="0" distB="0" distL="0" distR="0" wp14:anchorId="6824E075" wp14:editId="416F768C">
                                    <wp:extent cx="4276725" cy="2009775"/>
                                    <wp:effectExtent l="0" t="0" r="0" b="0"/>
                                    <wp:docPr id="126" name="圖表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4E8F5A7" w14:textId="77777777" w:rsidR="007A4556" w:rsidRPr="001F1361" w:rsidRDefault="007A4556" w:rsidP="007A4556">
                              <w:pPr>
                                <w:ind w:leftChars="-1063" w:left="-254" w:hangingChars="1276" w:hanging="2297"/>
                                <w:jc w:val="center"/>
                                <w:rPr>
                                  <w:rFonts w:ascii="標楷體" w:eastAsia="標楷體" w:hAnsi="標楷體"/>
                                  <w:sz w:val="18"/>
                                  <w:szCs w:val="18"/>
                                </w:rPr>
                              </w:pPr>
                              <w:r w:rsidRPr="001F1361">
                                <w:rPr>
                                  <w:rFonts w:ascii="標楷體" w:eastAsia="標楷體" w:hAnsi="標楷體" w:hint="eastAsia"/>
                                  <w:sz w:val="18"/>
                                  <w:szCs w:val="18"/>
                                </w:rPr>
                                <w:t>資料來源:整理自聯合醫院提供資料。</w:t>
                              </w:r>
                            </w:p>
                          </w:txbxContent>
                        </wps:txbx>
                        <wps:bodyPr rot="0" vert="horz" wrap="square" lIns="91440" tIns="45720" rIns="91440" bIns="45720" anchor="t" anchorCtr="0">
                          <a:noAutofit/>
                        </wps:bodyPr>
                      </wps:wsp>
                      <wps:wsp>
                        <wps:cNvPr id="927419644" name="文字方塊 2"/>
                        <wps:cNvSpPr txBox="1">
                          <a:spLocks noChangeArrowheads="1"/>
                        </wps:cNvSpPr>
                        <wps:spPr bwMode="auto">
                          <a:xfrm>
                            <a:off x="530352" y="219456"/>
                            <a:ext cx="438150" cy="328930"/>
                          </a:xfrm>
                          <a:prstGeom prst="rect">
                            <a:avLst/>
                          </a:prstGeom>
                          <a:noFill/>
                          <a:ln w="9525">
                            <a:noFill/>
                            <a:miter lim="800000"/>
                            <a:headEnd/>
                            <a:tailEnd/>
                          </a:ln>
                        </wps:spPr>
                        <wps:txbx>
                          <w:txbxContent>
                            <w:p w14:paraId="176ACB7A" w14:textId="77777777" w:rsidR="007A4556" w:rsidRPr="00686B65" w:rsidRDefault="007A4556" w:rsidP="007A4556">
                              <w:pPr>
                                <w:rPr>
                                  <w:rFonts w:ascii="標楷體" w:eastAsia="標楷體" w:hAnsi="標楷體"/>
                                  <w:sz w:val="18"/>
                                  <w:szCs w:val="16"/>
                                </w:rPr>
                              </w:pPr>
                              <w:r w:rsidRPr="00686B65">
                                <w:rPr>
                                  <w:rFonts w:ascii="標楷體" w:eastAsia="標楷體" w:hAnsi="標楷體" w:hint="eastAsia"/>
                                  <w:sz w:val="18"/>
                                  <w:szCs w:val="16"/>
                                </w:rPr>
                                <w:t>人數</w:t>
                              </w:r>
                            </w:p>
                          </w:txbxContent>
                        </wps:txbx>
                        <wps:bodyPr rot="0" vert="horz" wrap="square" lIns="91440" tIns="45720" rIns="91440" bIns="45720" anchor="t" anchorCtr="0">
                          <a:noAutofit/>
                        </wps:bodyPr>
                      </wps:wsp>
                      <wps:wsp>
                        <wps:cNvPr id="82" name="文字方塊 2"/>
                        <wps:cNvSpPr txBox="1">
                          <a:spLocks noChangeArrowheads="1"/>
                        </wps:cNvSpPr>
                        <wps:spPr bwMode="auto">
                          <a:xfrm>
                            <a:off x="530352" y="1316736"/>
                            <a:ext cx="438150" cy="328930"/>
                          </a:xfrm>
                          <a:prstGeom prst="rect">
                            <a:avLst/>
                          </a:prstGeom>
                          <a:noFill/>
                          <a:ln w="9525">
                            <a:noFill/>
                            <a:miter lim="800000"/>
                            <a:headEnd/>
                            <a:tailEnd/>
                          </a:ln>
                        </wps:spPr>
                        <wps:txbx>
                          <w:txbxContent>
                            <w:p w14:paraId="770CD04C" w14:textId="77777777" w:rsidR="007A4556" w:rsidRPr="00686B65" w:rsidRDefault="007A4556" w:rsidP="007A4556">
                              <w:pPr>
                                <w:rPr>
                                  <w:rFonts w:ascii="標楷體" w:eastAsia="標楷體" w:hAnsi="標楷體"/>
                                  <w:sz w:val="18"/>
                                  <w:szCs w:val="16"/>
                                </w:rPr>
                              </w:pPr>
                              <w:r>
                                <w:rPr>
                                  <w:rFonts w:ascii="標楷體" w:eastAsia="標楷體" w:hAnsi="標楷體" w:hint="eastAsia"/>
                                  <w:sz w:val="18"/>
                                  <w:szCs w:val="16"/>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FE089BE" id="群組 18" o:spid="_x0000_s1120" style="position:absolute;left:0;text-align:left;margin-left:153.3pt;margin-top:135.2pt;width:347.45pt;height:191.55pt;z-index:251842560;mso-width-relative:margin;mso-height-relative:margin" coordsize="45579,24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">
                <v:shape id="_x0000_s1121" type="#_x0000_t202" style="position:absolute;width:45579;height:24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14:paraId="320996BF" w14:textId="77777777" w:rsidR="007A4556" w:rsidRDefault="007A4556" w:rsidP="007A4556">
                        <w:pPr>
                          <w:jc w:val="center"/>
                          <w:rPr>
                            <w:rFonts w:ascii="標楷體" w:eastAsia="標楷體" w:hAnsi="標楷體"/>
                            <w:sz w:val="20"/>
                          </w:rPr>
                        </w:pPr>
                        <w:r>
                          <w:rPr>
                            <w:rFonts w:ascii="標楷體" w:eastAsia="標楷體" w:hAnsi="標楷體"/>
                            <w:b/>
                            <w:bCs/>
                            <w:noProof/>
                          </w:rPr>
                          <w:drawing>
                            <wp:inline distT="0" distB="0" distL="0" distR="0" wp14:anchorId="6824E075" wp14:editId="416F768C">
                              <wp:extent cx="4276725" cy="2009775"/>
                              <wp:effectExtent l="0" t="0" r="0" b="0"/>
                              <wp:docPr id="126" name="圖表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4E8F5A7" w14:textId="77777777" w:rsidR="007A4556" w:rsidRPr="001F1361" w:rsidRDefault="007A4556" w:rsidP="007A4556">
                        <w:pPr>
                          <w:ind w:leftChars="-1063" w:left="-254" w:hangingChars="1276" w:hanging="2297"/>
                          <w:jc w:val="center"/>
                          <w:rPr>
                            <w:rFonts w:ascii="標楷體" w:eastAsia="標楷體" w:hAnsi="標楷體"/>
                            <w:sz w:val="18"/>
                            <w:szCs w:val="18"/>
                          </w:rPr>
                        </w:pPr>
                        <w:r w:rsidRPr="001F1361">
                          <w:rPr>
                            <w:rFonts w:ascii="標楷體" w:eastAsia="標楷體" w:hAnsi="標楷體" w:hint="eastAsia"/>
                            <w:sz w:val="18"/>
                            <w:szCs w:val="18"/>
                          </w:rPr>
                          <w:t>資料來源:整理自聯合醫院提供資料。</w:t>
                        </w:r>
                      </w:p>
                    </w:txbxContent>
                  </v:textbox>
                </v:shape>
                <v:shape id="_x0000_s1122" type="#_x0000_t202" style="position:absolute;left:5303;top:2194;width:4382;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" filled="f" stroked="f">
                  <v:textbox>
                    <w:txbxContent>
                      <w:p w14:paraId="176ACB7A" w14:textId="77777777" w:rsidR="007A4556" w:rsidRPr="00686B65" w:rsidRDefault="007A4556" w:rsidP="007A4556">
                        <w:pPr>
                          <w:rPr>
                            <w:rFonts w:ascii="標楷體" w:eastAsia="標楷體" w:hAnsi="標楷體"/>
                            <w:sz w:val="18"/>
                            <w:szCs w:val="16"/>
                          </w:rPr>
                        </w:pPr>
                        <w:r w:rsidRPr="00686B65">
                          <w:rPr>
                            <w:rFonts w:ascii="標楷體" w:eastAsia="標楷體" w:hAnsi="標楷體" w:hint="eastAsia"/>
                            <w:sz w:val="18"/>
                            <w:szCs w:val="16"/>
                          </w:rPr>
                          <w:t>人數</w:t>
                        </w:r>
                      </w:p>
                    </w:txbxContent>
                  </v:textbox>
                </v:shape>
                <v:shape id="_x0000_s1123" type="#_x0000_t202" style="position:absolute;left:5303;top:13167;width:4382;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" filled="f" stroked="f">
                  <v:textbox>
                    <w:txbxContent>
                      <w:p w14:paraId="770CD04C" w14:textId="77777777" w:rsidR="007A4556" w:rsidRPr="00686B65" w:rsidRDefault="007A4556" w:rsidP="007A4556">
                        <w:pPr>
                          <w:rPr>
                            <w:rFonts w:ascii="標楷體" w:eastAsia="標楷體" w:hAnsi="標楷體"/>
                            <w:sz w:val="18"/>
                            <w:szCs w:val="16"/>
                          </w:rPr>
                        </w:pPr>
                        <w:r>
                          <w:rPr>
                            <w:rFonts w:ascii="標楷體" w:eastAsia="標楷體" w:hAnsi="標楷體" w:hint="eastAsia"/>
                            <w:sz w:val="18"/>
                            <w:szCs w:val="16"/>
                          </w:rPr>
                          <w:t>年度</w:t>
                        </w:r>
                      </w:p>
                    </w:txbxContent>
                  </v:textbox>
                </v:shape>
                <w10:wrap type="square"/>
              </v:group>
            </w:pict>
          </mc:Fallback>
        </mc:AlternateContent>
      </w:r>
      <w:r w:rsidR="00A85180" w:rsidRPr="00BD0A61">
        <w:rPr>
          <w:rFonts w:ascii="標楷體" w:eastAsia="標楷體" w:hAnsi="標楷體" w:cs="Times New Roman" w:hint="eastAsia"/>
          <w:b/>
          <w:bCs/>
          <w:spacing w:val="4"/>
          <w:szCs w:val="24"/>
        </w:rPr>
        <w:t>1.推動居家醫療服務至113年底已歷8年餘，惟每年收案</w:t>
      </w:r>
      <w:proofErr w:type="gramStart"/>
      <w:r w:rsidR="00A85180" w:rsidRPr="00BD0A61">
        <w:rPr>
          <w:rFonts w:ascii="標楷體" w:eastAsia="標楷體" w:hAnsi="標楷體" w:cs="Times New Roman" w:hint="eastAsia"/>
          <w:b/>
          <w:bCs/>
          <w:spacing w:val="4"/>
          <w:szCs w:val="24"/>
        </w:rPr>
        <w:t>人數均未達</w:t>
      </w:r>
      <w:proofErr w:type="gramEnd"/>
      <w:r w:rsidR="00A85180" w:rsidRPr="00BD0A61">
        <w:rPr>
          <w:rFonts w:ascii="標楷體" w:eastAsia="標楷體" w:hAnsi="標楷體" w:cs="Times New Roman" w:hint="eastAsia"/>
          <w:b/>
          <w:bCs/>
          <w:spacing w:val="4"/>
          <w:szCs w:val="24"/>
        </w:rPr>
        <w:t>目標值：</w:t>
      </w:r>
      <w:r w:rsidR="00A85180" w:rsidRPr="00BD0A61">
        <w:rPr>
          <w:rFonts w:ascii="標楷體" w:eastAsia="標楷體" w:hAnsi="標楷體" w:cs="Times New Roman" w:hint="eastAsia"/>
          <w:spacing w:val="4"/>
          <w:szCs w:val="24"/>
        </w:rPr>
        <w:t>聯合醫院以臺北市鳥－臺灣藍鵲，象徵送愛到宅，由醫師、護理師、藥師等跨專業組成「</w:t>
      </w:r>
      <w:proofErr w:type="gramStart"/>
      <w:r w:rsidR="00A85180" w:rsidRPr="00BD0A61">
        <w:rPr>
          <w:rFonts w:ascii="標楷體" w:eastAsia="標楷體" w:hAnsi="標楷體" w:cs="Times New Roman" w:hint="eastAsia"/>
          <w:spacing w:val="4"/>
          <w:szCs w:val="24"/>
        </w:rPr>
        <w:t>臺北藍</w:t>
      </w:r>
      <w:proofErr w:type="gramEnd"/>
      <w:r w:rsidR="00A85180" w:rsidRPr="00BD0A61">
        <w:rPr>
          <w:rFonts w:ascii="標楷體" w:eastAsia="標楷體" w:hAnsi="標楷體" w:cs="Times New Roman" w:hint="eastAsia"/>
          <w:spacing w:val="4"/>
          <w:szCs w:val="24"/>
        </w:rPr>
        <w:t>鵲居家醫療照護團隊」，提供以價值為導向之居家醫療服務，並於配合健保署推動居家醫療整合計畫</w:t>
      </w:r>
      <w:proofErr w:type="gramStart"/>
      <w:r w:rsidR="00A85180" w:rsidRPr="00BD0A61">
        <w:rPr>
          <w:rFonts w:ascii="標楷體" w:eastAsia="標楷體" w:hAnsi="標楷體" w:cs="Times New Roman" w:hint="eastAsia"/>
          <w:spacing w:val="4"/>
          <w:szCs w:val="24"/>
        </w:rPr>
        <w:t>期間，</w:t>
      </w:r>
      <w:proofErr w:type="gramEnd"/>
      <w:r w:rsidR="00A85180" w:rsidRPr="00BD0A61">
        <w:rPr>
          <w:rFonts w:ascii="標楷體" w:eastAsia="標楷體" w:hAnsi="標楷體" w:cs="Times New Roman" w:hint="eastAsia"/>
          <w:spacing w:val="4"/>
          <w:szCs w:val="24"/>
        </w:rPr>
        <w:t>每年皆訂有「西醫」居家醫療</w:t>
      </w:r>
      <w:proofErr w:type="gramStart"/>
      <w:r w:rsidR="00A85180" w:rsidRPr="00BD0A61">
        <w:rPr>
          <w:rFonts w:ascii="標楷體" w:eastAsia="標楷體" w:hAnsi="標楷體" w:cs="Times New Roman" w:hint="eastAsia"/>
          <w:spacing w:val="4"/>
          <w:szCs w:val="24"/>
        </w:rPr>
        <w:t>照護收案</w:t>
      </w:r>
      <w:proofErr w:type="gramEnd"/>
      <w:r w:rsidR="00A85180" w:rsidRPr="00BD0A61">
        <w:rPr>
          <w:rFonts w:ascii="標楷體" w:eastAsia="標楷體" w:hAnsi="標楷體" w:cs="Times New Roman" w:hint="eastAsia"/>
          <w:spacing w:val="4"/>
          <w:szCs w:val="24"/>
        </w:rPr>
        <w:t>人數目標值為3,000人。惟自105年推動迄113年底，每年度皆未達目標值，且呈遞減趨勢，至</w:t>
      </w:r>
      <w:proofErr w:type="gramStart"/>
      <w:r w:rsidR="00A85180" w:rsidRPr="00BD0A61">
        <w:rPr>
          <w:rFonts w:ascii="標楷體" w:eastAsia="標楷體" w:hAnsi="標楷體" w:cs="Times New Roman" w:hint="eastAsia"/>
          <w:spacing w:val="4"/>
          <w:szCs w:val="24"/>
        </w:rPr>
        <w:t>113</w:t>
      </w:r>
      <w:proofErr w:type="gramEnd"/>
      <w:r w:rsidR="00A85180" w:rsidRPr="00BD0A61">
        <w:rPr>
          <w:rFonts w:ascii="標楷體" w:eastAsia="標楷體" w:hAnsi="標楷體" w:cs="Times New Roman" w:hint="eastAsia"/>
          <w:spacing w:val="4"/>
          <w:szCs w:val="24"/>
        </w:rPr>
        <w:t>年度僅1,517人（圖1），經該院檢討結果，主要係各院區辦理居家醫療業務皆有醫護人力不足及訪視設備老舊異常狀況頻仍等所致，經函請檢討改善。據復：後續將持續招募人力，發展多層次照護模式，並透過盤點基礎設備、</w:t>
      </w:r>
      <w:proofErr w:type="gramStart"/>
      <w:r w:rsidR="00A85180" w:rsidRPr="00BD0A61">
        <w:rPr>
          <w:rFonts w:ascii="標楷體" w:eastAsia="標楷體" w:hAnsi="標楷體" w:cs="Times New Roman" w:hint="eastAsia"/>
          <w:spacing w:val="4"/>
          <w:szCs w:val="24"/>
        </w:rPr>
        <w:t>汰換訪</w:t>
      </w:r>
      <w:proofErr w:type="gramEnd"/>
      <w:r w:rsidR="00A85180" w:rsidRPr="00BD0A61">
        <w:rPr>
          <w:rFonts w:ascii="標楷體" w:eastAsia="標楷體" w:hAnsi="標楷體" w:cs="Times New Roman" w:hint="eastAsia"/>
          <w:spacing w:val="4"/>
          <w:szCs w:val="24"/>
        </w:rPr>
        <w:t>視設備，改善設備老舊造成之執行困難，提升醫療團隊訪視效率等。</w:t>
      </w:r>
    </w:p>
    <w:p w14:paraId="034C2DA1" w14:textId="1F9FC11E" w:rsidR="009F5BB4" w:rsidRDefault="00A85180" w:rsidP="00713069">
      <w:pPr>
        <w:overflowPunct w:val="0"/>
        <w:spacing w:beforeLines="50" w:before="180" w:line="500" w:lineRule="exact"/>
        <w:ind w:firstLineChars="200" w:firstLine="496"/>
        <w:jc w:val="both"/>
        <w:rPr>
          <w:rFonts w:ascii="標楷體" w:eastAsia="標楷體" w:hAnsi="標楷體" w:cs="Times New Roman"/>
          <w:spacing w:val="4"/>
          <w:szCs w:val="24"/>
        </w:rPr>
      </w:pPr>
      <w:r w:rsidRPr="00BD0A61">
        <w:rPr>
          <w:rFonts w:ascii="標楷體" w:eastAsia="標楷體" w:hAnsi="標楷體" w:cs="Times New Roman" w:hint="eastAsia"/>
          <w:b/>
          <w:bCs/>
          <w:spacing w:val="4"/>
          <w:szCs w:val="24"/>
        </w:rPr>
        <w:t>2.</w:t>
      </w:r>
      <w:proofErr w:type="gramStart"/>
      <w:r w:rsidRPr="00BD0A61">
        <w:rPr>
          <w:rFonts w:ascii="標楷體" w:eastAsia="標楷體" w:hAnsi="標楷體" w:cs="Times New Roman" w:hint="eastAsia"/>
          <w:b/>
          <w:bCs/>
          <w:spacing w:val="4"/>
          <w:szCs w:val="24"/>
        </w:rPr>
        <w:t>訪視照護</w:t>
      </w:r>
      <w:proofErr w:type="gramEnd"/>
      <w:r w:rsidRPr="00BD0A61">
        <w:rPr>
          <w:rFonts w:ascii="標楷體" w:eastAsia="標楷體" w:hAnsi="標楷體" w:cs="Times New Roman" w:hint="eastAsia"/>
          <w:b/>
          <w:bCs/>
          <w:spacing w:val="4"/>
          <w:szCs w:val="24"/>
        </w:rPr>
        <w:t>病患頻率有逾規定期限，或對仍有照護需求之病患未依規定申請延長照護，或對符合結案條件之病患，未依實際狀態即時結案等情</w:t>
      </w:r>
      <w:r w:rsidRPr="00495ED5">
        <w:rPr>
          <w:rFonts w:ascii="標楷體" w:eastAsia="標楷體" w:hAnsi="標楷體" w:cs="Times New Roman" w:hint="eastAsia"/>
          <w:b/>
          <w:bCs/>
          <w:spacing w:val="4"/>
          <w:szCs w:val="24"/>
        </w:rPr>
        <w:t>：</w:t>
      </w:r>
      <w:r w:rsidRPr="00BD0A61">
        <w:rPr>
          <w:rFonts w:ascii="標楷體" w:eastAsia="標楷體" w:hAnsi="標楷體" w:cs="Times New Roman" w:hint="eastAsia"/>
          <w:spacing w:val="4"/>
          <w:szCs w:val="24"/>
        </w:rPr>
        <w:t>依居家醫療整合計畫第7點「結案條件」規定略</w:t>
      </w:r>
      <w:proofErr w:type="gramStart"/>
      <w:r w:rsidRPr="00BD0A61">
        <w:rPr>
          <w:rFonts w:ascii="標楷體" w:eastAsia="標楷體" w:hAnsi="標楷體" w:cs="Times New Roman" w:hint="eastAsia"/>
          <w:spacing w:val="4"/>
          <w:szCs w:val="24"/>
        </w:rPr>
        <w:t>以</w:t>
      </w:r>
      <w:proofErr w:type="gramEnd"/>
      <w:r w:rsidRPr="00BD0A61">
        <w:rPr>
          <w:rFonts w:ascii="標楷體" w:eastAsia="標楷體" w:hAnsi="標楷體" w:cs="Times New Roman" w:hint="eastAsia"/>
          <w:spacing w:val="4"/>
          <w:szCs w:val="24"/>
        </w:rPr>
        <w:t>，病人死亡、遷居、病情改善無須接受居家醫療照護、</w:t>
      </w:r>
      <w:proofErr w:type="gramStart"/>
      <w:r w:rsidRPr="00BD0A61">
        <w:rPr>
          <w:rFonts w:ascii="標楷體" w:eastAsia="標楷體" w:hAnsi="標楷體" w:cs="Times New Roman" w:hint="eastAsia"/>
          <w:spacing w:val="4"/>
          <w:szCs w:val="24"/>
        </w:rPr>
        <w:t>入住照護</w:t>
      </w:r>
      <w:proofErr w:type="gramEnd"/>
      <w:r w:rsidRPr="00BD0A61">
        <w:rPr>
          <w:rFonts w:ascii="標楷體" w:eastAsia="標楷體" w:hAnsi="標楷體" w:cs="Times New Roman" w:hint="eastAsia"/>
          <w:spacing w:val="4"/>
          <w:szCs w:val="24"/>
        </w:rPr>
        <w:t>機構、拒絕訪視、收案期間住院逾30日等，應予結案；照護團隊逾6個月未提供居家醫療照護之病人，由保險人逕行結案。同計畫第8點「收案程序」規定，居家醫療主治醫師…每3個月至少訪視1次，以確認病人病情變化，適時調整醫囑；…若病情需要申請延長照護者，須</w:t>
      </w:r>
      <w:proofErr w:type="gramStart"/>
      <w:r w:rsidRPr="00BD0A61">
        <w:rPr>
          <w:rFonts w:ascii="標楷體" w:eastAsia="標楷體" w:hAnsi="標楷體" w:cs="Times New Roman" w:hint="eastAsia"/>
          <w:spacing w:val="4"/>
          <w:szCs w:val="24"/>
        </w:rPr>
        <w:t>俟</w:t>
      </w:r>
      <w:proofErr w:type="gramEnd"/>
      <w:r w:rsidRPr="00BD0A61">
        <w:rPr>
          <w:rFonts w:ascii="標楷體" w:eastAsia="標楷體" w:hAnsi="標楷體" w:cs="Times New Roman" w:hint="eastAsia"/>
          <w:spacing w:val="4"/>
          <w:szCs w:val="24"/>
        </w:rPr>
        <w:t>上次照護期間屆滿前30日內始得申請；同一特約</w:t>
      </w:r>
      <w:proofErr w:type="gramStart"/>
      <w:r w:rsidRPr="00BD0A61">
        <w:rPr>
          <w:rFonts w:ascii="標楷體" w:eastAsia="標楷體" w:hAnsi="標楷體" w:cs="Times New Roman" w:hint="eastAsia"/>
          <w:spacing w:val="4"/>
          <w:szCs w:val="24"/>
        </w:rPr>
        <w:t>醫</w:t>
      </w:r>
      <w:proofErr w:type="gramEnd"/>
      <w:r w:rsidRPr="00BD0A61">
        <w:rPr>
          <w:rFonts w:ascii="標楷體" w:eastAsia="標楷體" w:hAnsi="標楷體" w:cs="Times New Roman" w:hint="eastAsia"/>
          <w:spacing w:val="4"/>
          <w:szCs w:val="24"/>
        </w:rPr>
        <w:t>事服務機構同一病人，於照護期間截止日起2周內再申請照護者，應以延長照護申請，不得以新病人申請。就聯合醫院提供</w:t>
      </w:r>
      <w:proofErr w:type="gramStart"/>
      <w:r w:rsidRPr="00BD0A61">
        <w:rPr>
          <w:rFonts w:ascii="標楷體" w:eastAsia="標楷體" w:hAnsi="標楷體" w:cs="Times New Roman" w:hint="eastAsia"/>
          <w:spacing w:val="4"/>
          <w:szCs w:val="24"/>
        </w:rPr>
        <w:t>113</w:t>
      </w:r>
      <w:proofErr w:type="gramEnd"/>
      <w:r w:rsidRPr="00BD0A61">
        <w:rPr>
          <w:rFonts w:ascii="標楷體" w:eastAsia="標楷體" w:hAnsi="標楷體" w:cs="Times New Roman" w:hint="eastAsia"/>
          <w:spacing w:val="4"/>
          <w:szCs w:val="24"/>
        </w:rPr>
        <w:t>年度辦理居家醫療整合照護個案結案、</w:t>
      </w:r>
      <w:proofErr w:type="gramStart"/>
      <w:r w:rsidRPr="00BD0A61">
        <w:rPr>
          <w:rFonts w:ascii="標楷體" w:eastAsia="標楷體" w:hAnsi="標楷體" w:cs="Times New Roman" w:hint="eastAsia"/>
          <w:spacing w:val="4"/>
          <w:szCs w:val="24"/>
        </w:rPr>
        <w:t>113</w:t>
      </w:r>
      <w:proofErr w:type="gramEnd"/>
      <w:r w:rsidRPr="00BD0A61">
        <w:rPr>
          <w:rFonts w:ascii="標楷體" w:eastAsia="標楷體" w:hAnsi="標楷體" w:cs="Times New Roman" w:hint="eastAsia"/>
          <w:spacing w:val="4"/>
          <w:szCs w:val="24"/>
        </w:rPr>
        <w:t>年度受理新申請照護個案訪視日期等資料予以查核，發現該院部分院區間有執行居家醫療照護之訪視頻率，間隔</w:t>
      </w:r>
      <w:proofErr w:type="gramStart"/>
      <w:r w:rsidRPr="00BD0A61">
        <w:rPr>
          <w:rFonts w:ascii="標楷體" w:eastAsia="標楷體" w:hAnsi="標楷體" w:cs="Times New Roman" w:hint="eastAsia"/>
          <w:spacing w:val="4"/>
          <w:szCs w:val="24"/>
        </w:rPr>
        <w:t>期間逾</w:t>
      </w:r>
      <w:proofErr w:type="gramEnd"/>
      <w:r w:rsidRPr="00BD0A61">
        <w:rPr>
          <w:rFonts w:ascii="標楷體" w:eastAsia="標楷體" w:hAnsi="標楷體" w:cs="Times New Roman" w:hint="eastAsia"/>
          <w:spacing w:val="4"/>
          <w:szCs w:val="24"/>
        </w:rPr>
        <w:t>規定期限3個月；或對照護期滿</w:t>
      </w:r>
    </w:p>
    <w:p w14:paraId="60067778" w14:textId="4A7F3437" w:rsidR="00A85180" w:rsidRPr="00BD0A61" w:rsidRDefault="003849C2" w:rsidP="009F5BB4">
      <w:pPr>
        <w:overflowPunct w:val="0"/>
        <w:spacing w:beforeLines="20" w:before="72" w:line="460" w:lineRule="exact"/>
        <w:jc w:val="both"/>
        <w:rPr>
          <w:rFonts w:ascii="標楷體" w:eastAsia="標楷體" w:hAnsi="標楷體" w:cs="Times New Roman"/>
          <w:b/>
          <w:spacing w:val="4"/>
          <w:sz w:val="28"/>
          <w:szCs w:val="28"/>
        </w:rPr>
      </w:pPr>
      <w:r w:rsidRPr="00BD0A61">
        <w:rPr>
          <w:rFonts w:hint="eastAsia"/>
          <w:noProof/>
          <w:spacing w:val="4"/>
        </w:rPr>
        <w:lastRenderedPageBreak/>
        <mc:AlternateContent>
          <mc:Choice Requires="wps">
            <w:drawing>
              <wp:anchor distT="45720" distB="45720" distL="114300" distR="114300" simplePos="0" relativeHeight="251723776" behindDoc="1" locked="0" layoutInCell="1" allowOverlap="1" wp14:anchorId="576BC3C1" wp14:editId="79192445">
                <wp:simplePos x="0" y="0"/>
                <wp:positionH relativeFrom="margin">
                  <wp:posOffset>3199130</wp:posOffset>
                </wp:positionH>
                <wp:positionV relativeFrom="page">
                  <wp:posOffset>990600</wp:posOffset>
                </wp:positionV>
                <wp:extent cx="3090545" cy="2177415"/>
                <wp:effectExtent l="0" t="0" r="0" b="0"/>
                <wp:wrapTight wrapText="bothSides">
                  <wp:wrapPolygon edited="0">
                    <wp:start x="0" y="0"/>
                    <wp:lineTo x="0" y="21354"/>
                    <wp:lineTo x="21436" y="21354"/>
                    <wp:lineTo x="21436" y="0"/>
                    <wp:lineTo x="0" y="0"/>
                  </wp:wrapPolygon>
                </wp:wrapTight>
                <wp:docPr id="927419590" name="文字方塊 927419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0545" cy="2177415"/>
                        </a:xfrm>
                        <a:prstGeom prst="rect">
                          <a:avLst/>
                        </a:prstGeom>
                        <a:solidFill>
                          <a:srgbClr val="FFFFFF"/>
                        </a:solidFill>
                        <a:ln w="9525">
                          <a:noFill/>
                          <a:miter lim="800000"/>
                          <a:headEnd/>
                          <a:tailEnd/>
                        </a:ln>
                      </wps:spPr>
                      <wps:txbx>
                        <w:txbxContent>
                          <w:p w14:paraId="6A786BBB" w14:textId="71AE55CE" w:rsidR="00A85180" w:rsidRDefault="00A85180" w:rsidP="00BD0A61">
                            <w:pPr>
                              <w:spacing w:line="240" w:lineRule="exact"/>
                              <w:jc w:val="center"/>
                              <w:rPr>
                                <w:rFonts w:ascii="標楷體" w:eastAsia="標楷體" w:hAnsi="標楷體"/>
                                <w:b/>
                                <w:spacing w:val="-6"/>
                              </w:rPr>
                            </w:pPr>
                            <w:r>
                              <w:rPr>
                                <w:rFonts w:ascii="標楷體" w:eastAsia="標楷體" w:hAnsi="標楷體" w:hint="eastAsia"/>
                                <w:b/>
                                <w:spacing w:val="-6"/>
                              </w:rPr>
                              <w:t>表5  居家醫療整合計畫</w:t>
                            </w:r>
                            <w:r w:rsidR="004B0E9F">
                              <w:rPr>
                                <w:rFonts w:ascii="標楷體" w:eastAsia="標楷體" w:hAnsi="標楷體" w:hint="eastAsia"/>
                                <w:b/>
                                <w:spacing w:val="-6"/>
                              </w:rPr>
                              <w:t>執行</w:t>
                            </w:r>
                            <w:r>
                              <w:rPr>
                                <w:rFonts w:ascii="標楷體" w:eastAsia="標楷體" w:hAnsi="標楷體" w:hint="eastAsia"/>
                                <w:b/>
                                <w:spacing w:val="-6"/>
                              </w:rPr>
                              <w:t>缺失態樣</w:t>
                            </w:r>
                          </w:p>
                          <w:tbl>
                            <w:tblPr>
                              <w:tblStyle w:val="47"/>
                              <w:tblW w:w="4536" w:type="dxa"/>
                              <w:tblInd w:w="-5" w:type="dxa"/>
                              <w:tblLook w:val="04A0" w:firstRow="1" w:lastRow="0" w:firstColumn="1" w:lastColumn="0" w:noHBand="0" w:noVBand="1"/>
                            </w:tblPr>
                            <w:tblGrid>
                              <w:gridCol w:w="2552"/>
                              <w:gridCol w:w="850"/>
                              <w:gridCol w:w="1134"/>
                            </w:tblGrid>
                            <w:tr w:rsidR="00A85180" w14:paraId="3A1F4388" w14:textId="77777777">
                              <w:trPr>
                                <w:trHeight w:val="283"/>
                              </w:trPr>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C9DB9F"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類別</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FB31CF"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院區</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B2C43D"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個案數量</w:t>
                                  </w:r>
                                </w:p>
                              </w:tc>
                            </w:tr>
                            <w:tr w:rsidR="00A85180" w14:paraId="6FEEFD0A" w14:textId="77777777">
                              <w:trPr>
                                <w:trHeight w:val="283"/>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5C6E9D68" w14:textId="77777777" w:rsidR="00A85180" w:rsidRDefault="00A85180">
                                  <w:pPr>
                                    <w:pStyle w:val="a4"/>
                                    <w:overflowPunct w:val="0"/>
                                    <w:spacing w:line="240" w:lineRule="exact"/>
                                    <w:ind w:leftChars="0" w:left="0"/>
                                    <w:jc w:val="both"/>
                                    <w:rPr>
                                      <w:rFonts w:ascii="標楷體" w:eastAsia="標楷體" w:hAnsi="標楷體"/>
                                      <w:color w:val="000000" w:themeColor="text1"/>
                                      <w:spacing w:val="-4"/>
                                      <w:szCs w:val="20"/>
                                    </w:rPr>
                                  </w:pPr>
                                  <w:r>
                                    <w:rPr>
                                      <w:rFonts w:ascii="標楷體" w:eastAsia="標楷體" w:hAnsi="標楷體" w:hint="eastAsia"/>
                                      <w:color w:val="000000" w:themeColor="text1"/>
                                      <w:spacing w:val="-4"/>
                                      <w:szCs w:val="20"/>
                                    </w:rPr>
                                    <w:t>未依規定訪視頻率訪視病人</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99994B"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陽明</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9A850D"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1</w:t>
                                  </w:r>
                                </w:p>
                              </w:tc>
                            </w:tr>
                            <w:tr w:rsidR="00A85180" w14:paraId="74C3431D" w14:textId="77777777">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671D" w14:textId="77777777" w:rsidR="00A85180" w:rsidRDefault="00A85180">
                                  <w:pPr>
                                    <w:spacing w:beforeAutospacing="1" w:afterAutospacing="1"/>
                                    <w:rPr>
                                      <w:rFonts w:ascii="標楷體" w:eastAsia="標楷體" w:hAnsi="標楷體"/>
                                      <w:color w:val="000000" w:themeColor="text1"/>
                                      <w:spacing w:val="-4"/>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C768E64"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中興</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415769"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1</w:t>
                                  </w:r>
                                </w:p>
                              </w:tc>
                            </w:tr>
                            <w:tr w:rsidR="00A85180" w14:paraId="7DF05EBB" w14:textId="77777777">
                              <w:trPr>
                                <w:trHeight w:val="283"/>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01F2A5ED" w14:textId="77777777" w:rsidR="00A85180" w:rsidRDefault="00A85180">
                                  <w:pPr>
                                    <w:pStyle w:val="a4"/>
                                    <w:overflowPunct w:val="0"/>
                                    <w:spacing w:line="240" w:lineRule="exact"/>
                                    <w:ind w:leftChars="0" w:left="0"/>
                                    <w:jc w:val="both"/>
                                    <w:rPr>
                                      <w:rFonts w:ascii="標楷體" w:eastAsia="標楷體" w:hAnsi="標楷體"/>
                                      <w:color w:val="000000" w:themeColor="text1"/>
                                      <w:szCs w:val="20"/>
                                    </w:rPr>
                                  </w:pPr>
                                  <w:r>
                                    <w:rPr>
                                      <w:rFonts w:ascii="標楷體" w:eastAsia="標楷體" w:hAnsi="標楷體" w:hint="eastAsia"/>
                                      <w:color w:val="000000" w:themeColor="text1"/>
                                      <w:szCs w:val="20"/>
                                    </w:rPr>
                                    <w:t>未依規定將有照護需求者申請延長照護</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D42846"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忠孝</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9E197"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3</w:t>
                                  </w:r>
                                </w:p>
                              </w:tc>
                            </w:tr>
                            <w:tr w:rsidR="00A85180" w14:paraId="02B71E29" w14:textId="77777777">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6F15F6" w14:textId="77777777" w:rsidR="00A85180" w:rsidRDefault="00A85180">
                                  <w:pPr>
                                    <w:spacing w:beforeAutospacing="1" w:afterAutospacing="1"/>
                                    <w:rPr>
                                      <w:rFonts w:ascii="標楷體" w:eastAsia="標楷體" w:hAnsi="標楷體"/>
                                      <w:color w:val="000000" w:themeColor="text1"/>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5AA32BF"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仁愛</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697B96"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1</w:t>
                                  </w:r>
                                </w:p>
                              </w:tc>
                            </w:tr>
                            <w:tr w:rsidR="00A85180" w14:paraId="52E130D7" w14:textId="77777777">
                              <w:trPr>
                                <w:trHeight w:val="283"/>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60CB754" w14:textId="77777777" w:rsidR="00A85180" w:rsidRDefault="00A85180">
                                  <w:pPr>
                                    <w:pStyle w:val="a4"/>
                                    <w:overflowPunct w:val="0"/>
                                    <w:spacing w:line="240" w:lineRule="exact"/>
                                    <w:ind w:leftChars="0" w:left="0"/>
                                    <w:jc w:val="both"/>
                                    <w:rPr>
                                      <w:rFonts w:ascii="標楷體" w:eastAsia="標楷體" w:hAnsi="標楷體"/>
                                      <w:color w:val="000000" w:themeColor="text1"/>
                                      <w:szCs w:val="20"/>
                                    </w:rPr>
                                  </w:pPr>
                                  <w:r>
                                    <w:rPr>
                                      <w:rFonts w:ascii="標楷體" w:eastAsia="標楷體" w:hAnsi="標楷體" w:hint="eastAsia"/>
                                      <w:color w:val="000000" w:themeColor="text1"/>
                                      <w:szCs w:val="20"/>
                                    </w:rPr>
                                    <w:t>未依實際狀態即時結案</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E1E057"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仁愛</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685DBF"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10</w:t>
                                  </w:r>
                                </w:p>
                              </w:tc>
                            </w:tr>
                            <w:tr w:rsidR="00A85180" w14:paraId="3E5D8871" w14:textId="77777777">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1B9ABF" w14:textId="77777777" w:rsidR="00A85180" w:rsidRDefault="00A85180">
                                  <w:pPr>
                                    <w:spacing w:beforeAutospacing="1" w:afterAutospacing="1"/>
                                    <w:rPr>
                                      <w:rFonts w:ascii="標楷體" w:eastAsia="標楷體" w:hAnsi="標楷體"/>
                                      <w:color w:val="000000" w:themeColor="text1"/>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20C67C7"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忠孝</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F627B1"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3</w:t>
                                  </w:r>
                                </w:p>
                              </w:tc>
                            </w:tr>
                            <w:tr w:rsidR="00A85180" w14:paraId="159019CF" w14:textId="77777777">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83A68" w14:textId="77777777" w:rsidR="00A85180" w:rsidRDefault="00A85180">
                                  <w:pPr>
                                    <w:spacing w:beforeAutospacing="1" w:afterAutospacing="1"/>
                                    <w:rPr>
                                      <w:rFonts w:ascii="標楷體" w:eastAsia="標楷體" w:hAnsi="標楷體"/>
                                      <w:color w:val="000000" w:themeColor="text1"/>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EF57C13"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中興</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A5CC02"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1</w:t>
                                  </w:r>
                                </w:p>
                              </w:tc>
                            </w:tr>
                            <w:tr w:rsidR="00A85180" w14:paraId="62B95557" w14:textId="77777777">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ACCB3" w14:textId="77777777" w:rsidR="00A85180" w:rsidRDefault="00A85180">
                                  <w:pPr>
                                    <w:spacing w:beforeAutospacing="1" w:afterAutospacing="1"/>
                                    <w:rPr>
                                      <w:rFonts w:ascii="標楷體" w:eastAsia="標楷體" w:hAnsi="標楷體"/>
                                      <w:color w:val="000000" w:themeColor="text1"/>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ECBD933"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陽明</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586221"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2</w:t>
                                  </w:r>
                                </w:p>
                              </w:tc>
                            </w:tr>
                          </w:tbl>
                          <w:p w14:paraId="7B0BE423" w14:textId="77777777" w:rsidR="00A85180" w:rsidRDefault="00A85180" w:rsidP="00A85180">
                            <w:pPr>
                              <w:spacing w:line="200" w:lineRule="exact"/>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：1.資料統計截止日為114年3月12日。</w:t>
                            </w:r>
                          </w:p>
                          <w:p w14:paraId="123C0462" w14:textId="77777777" w:rsidR="00A85180" w:rsidRDefault="00A85180" w:rsidP="00A85180">
                            <w:pPr>
                              <w:spacing w:line="200" w:lineRule="exact"/>
                              <w:ind w:left="96"/>
                              <w:rPr>
                                <w:rFonts w:ascii="標楷體" w:eastAsia="標楷體" w:hAnsi="標楷體"/>
                                <w:sz w:val="18"/>
                              </w:rPr>
                            </w:pPr>
                            <w:r>
                              <w:rPr>
                                <w:rFonts w:ascii="標楷體" w:eastAsia="標楷體" w:hAnsi="標楷體" w:hint="eastAsia"/>
                                <w:sz w:val="18"/>
                              </w:rPr>
                              <w:t xml:space="preserve">   2.資料來源：整理自聯合醫院提供資料。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BC3C1" id="文字方塊 927419590" o:spid="_x0000_s1124" type="#_x0000_t202" style="position:absolute;left:0;text-align:left;margin-left:251.9pt;margin-top:78pt;width:243.35pt;height:171.45pt;z-index:-251592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" stroked="f">
                <v:textbox>
                  <w:txbxContent>
                    <w:p w14:paraId="6A786BBB" w14:textId="71AE55CE" w:rsidR="00A85180" w:rsidRDefault="00A85180" w:rsidP="00BD0A61">
                      <w:pPr>
                        <w:spacing w:line="240" w:lineRule="exact"/>
                        <w:jc w:val="center"/>
                        <w:rPr>
                          <w:rFonts w:ascii="標楷體" w:eastAsia="標楷體" w:hAnsi="標楷體"/>
                          <w:b/>
                          <w:spacing w:val="-6"/>
                        </w:rPr>
                      </w:pPr>
                      <w:r>
                        <w:rPr>
                          <w:rFonts w:ascii="標楷體" w:eastAsia="標楷體" w:hAnsi="標楷體" w:hint="eastAsia"/>
                          <w:b/>
                          <w:spacing w:val="-6"/>
                        </w:rPr>
                        <w:t>表5  居家醫療整合計畫</w:t>
                      </w:r>
                      <w:r w:rsidR="004B0E9F">
                        <w:rPr>
                          <w:rFonts w:ascii="標楷體" w:eastAsia="標楷體" w:hAnsi="標楷體" w:hint="eastAsia"/>
                          <w:b/>
                          <w:spacing w:val="-6"/>
                        </w:rPr>
                        <w:t>執行</w:t>
                      </w:r>
                      <w:r>
                        <w:rPr>
                          <w:rFonts w:ascii="標楷體" w:eastAsia="標楷體" w:hAnsi="標楷體" w:hint="eastAsia"/>
                          <w:b/>
                          <w:spacing w:val="-6"/>
                        </w:rPr>
                        <w:t>缺失態樣</w:t>
                      </w:r>
                    </w:p>
                    <w:tbl>
                      <w:tblPr>
                        <w:tblStyle w:val="47"/>
                        <w:tblW w:w="4536" w:type="dxa"/>
                        <w:tblInd w:w="-5" w:type="dxa"/>
                        <w:tblLook w:val="04A0" w:firstRow="1" w:lastRow="0" w:firstColumn="1" w:lastColumn="0" w:noHBand="0" w:noVBand="1"/>
                      </w:tblPr>
                      <w:tblGrid>
                        <w:gridCol w:w="2552"/>
                        <w:gridCol w:w="850"/>
                        <w:gridCol w:w="1134"/>
                      </w:tblGrid>
                      <w:tr w:rsidR="00A85180" w14:paraId="3A1F4388" w14:textId="77777777">
                        <w:trPr>
                          <w:trHeight w:val="283"/>
                        </w:trPr>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C9DB9F"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類別</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FB31CF"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院區</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B2C43D"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個案數量</w:t>
                            </w:r>
                          </w:p>
                        </w:tc>
                      </w:tr>
                      <w:tr w:rsidR="00A85180" w14:paraId="6FEEFD0A" w14:textId="77777777">
                        <w:trPr>
                          <w:trHeight w:val="283"/>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5C6E9D68" w14:textId="77777777" w:rsidR="00A85180" w:rsidRDefault="00A85180">
                            <w:pPr>
                              <w:pStyle w:val="a4"/>
                              <w:overflowPunct w:val="0"/>
                              <w:spacing w:line="240" w:lineRule="exact"/>
                              <w:ind w:leftChars="0" w:left="0"/>
                              <w:jc w:val="both"/>
                              <w:rPr>
                                <w:rFonts w:ascii="標楷體" w:eastAsia="標楷體" w:hAnsi="標楷體"/>
                                <w:color w:val="000000" w:themeColor="text1"/>
                                <w:spacing w:val="-4"/>
                                <w:szCs w:val="20"/>
                              </w:rPr>
                            </w:pPr>
                            <w:r>
                              <w:rPr>
                                <w:rFonts w:ascii="標楷體" w:eastAsia="標楷體" w:hAnsi="標楷體" w:hint="eastAsia"/>
                                <w:color w:val="000000" w:themeColor="text1"/>
                                <w:spacing w:val="-4"/>
                                <w:szCs w:val="20"/>
                              </w:rPr>
                              <w:t>未依規定訪視頻率訪視病人</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99994B"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陽明</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9A850D"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1</w:t>
                            </w:r>
                          </w:p>
                        </w:tc>
                      </w:tr>
                      <w:tr w:rsidR="00A85180" w14:paraId="74C3431D" w14:textId="77777777">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671D" w14:textId="77777777" w:rsidR="00A85180" w:rsidRDefault="00A85180">
                            <w:pPr>
                              <w:spacing w:beforeAutospacing="1" w:afterAutospacing="1"/>
                              <w:rPr>
                                <w:rFonts w:ascii="標楷體" w:eastAsia="標楷體" w:hAnsi="標楷體"/>
                                <w:color w:val="000000" w:themeColor="text1"/>
                                <w:spacing w:val="-4"/>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C768E64"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中興</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415769"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1</w:t>
                            </w:r>
                          </w:p>
                        </w:tc>
                      </w:tr>
                      <w:tr w:rsidR="00A85180" w14:paraId="7DF05EBB" w14:textId="77777777">
                        <w:trPr>
                          <w:trHeight w:val="283"/>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01F2A5ED" w14:textId="77777777" w:rsidR="00A85180" w:rsidRDefault="00A85180">
                            <w:pPr>
                              <w:pStyle w:val="a4"/>
                              <w:overflowPunct w:val="0"/>
                              <w:spacing w:line="240" w:lineRule="exact"/>
                              <w:ind w:leftChars="0" w:left="0"/>
                              <w:jc w:val="both"/>
                              <w:rPr>
                                <w:rFonts w:ascii="標楷體" w:eastAsia="標楷體" w:hAnsi="標楷體"/>
                                <w:color w:val="000000" w:themeColor="text1"/>
                                <w:szCs w:val="20"/>
                              </w:rPr>
                            </w:pPr>
                            <w:r>
                              <w:rPr>
                                <w:rFonts w:ascii="標楷體" w:eastAsia="標楷體" w:hAnsi="標楷體" w:hint="eastAsia"/>
                                <w:color w:val="000000" w:themeColor="text1"/>
                                <w:szCs w:val="20"/>
                              </w:rPr>
                              <w:t>未依規定將有照護需求者申請延長照護</w:t>
                            </w:r>
                          </w:p>
                        </w:tc>
                        <w:tc>
                          <w:tcPr>
                            <w:tcW w:w="850" w:type="dxa"/>
                            <w:tcBorders>
                              <w:top w:val="single" w:sz="4" w:space="0" w:color="auto"/>
                              <w:left w:val="single" w:sz="4" w:space="0" w:color="auto"/>
                              <w:bottom w:val="single" w:sz="4" w:space="0" w:color="auto"/>
                              <w:right w:val="single" w:sz="4" w:space="0" w:color="auto"/>
                            </w:tcBorders>
                            <w:vAlign w:val="center"/>
                            <w:hideMark/>
                          </w:tcPr>
                          <w:p w14:paraId="54D42846"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忠孝</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19E197"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3</w:t>
                            </w:r>
                          </w:p>
                        </w:tc>
                      </w:tr>
                      <w:tr w:rsidR="00A85180" w14:paraId="02B71E29" w14:textId="77777777">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6F15F6" w14:textId="77777777" w:rsidR="00A85180" w:rsidRDefault="00A85180">
                            <w:pPr>
                              <w:spacing w:beforeAutospacing="1" w:afterAutospacing="1"/>
                              <w:rPr>
                                <w:rFonts w:ascii="標楷體" w:eastAsia="標楷體" w:hAnsi="標楷體"/>
                                <w:color w:val="000000" w:themeColor="text1"/>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5AA32BF"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仁愛</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697B96"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1</w:t>
                            </w:r>
                          </w:p>
                        </w:tc>
                      </w:tr>
                      <w:tr w:rsidR="00A85180" w14:paraId="52E130D7" w14:textId="77777777">
                        <w:trPr>
                          <w:trHeight w:val="283"/>
                        </w:trPr>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460CB754" w14:textId="77777777" w:rsidR="00A85180" w:rsidRDefault="00A85180">
                            <w:pPr>
                              <w:pStyle w:val="a4"/>
                              <w:overflowPunct w:val="0"/>
                              <w:spacing w:line="240" w:lineRule="exact"/>
                              <w:ind w:leftChars="0" w:left="0"/>
                              <w:jc w:val="both"/>
                              <w:rPr>
                                <w:rFonts w:ascii="標楷體" w:eastAsia="標楷體" w:hAnsi="標楷體"/>
                                <w:color w:val="000000" w:themeColor="text1"/>
                                <w:szCs w:val="20"/>
                              </w:rPr>
                            </w:pPr>
                            <w:r>
                              <w:rPr>
                                <w:rFonts w:ascii="標楷體" w:eastAsia="標楷體" w:hAnsi="標楷體" w:hint="eastAsia"/>
                                <w:color w:val="000000" w:themeColor="text1"/>
                                <w:szCs w:val="20"/>
                              </w:rPr>
                              <w:t>未依實際狀態即時結案</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E1E057"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仁愛</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685DBF"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10</w:t>
                            </w:r>
                          </w:p>
                        </w:tc>
                      </w:tr>
                      <w:tr w:rsidR="00A85180" w14:paraId="3E5D8871" w14:textId="77777777">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1B9ABF" w14:textId="77777777" w:rsidR="00A85180" w:rsidRDefault="00A85180">
                            <w:pPr>
                              <w:spacing w:beforeAutospacing="1" w:afterAutospacing="1"/>
                              <w:rPr>
                                <w:rFonts w:ascii="標楷體" w:eastAsia="標楷體" w:hAnsi="標楷體"/>
                                <w:color w:val="000000" w:themeColor="text1"/>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20C67C7"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忠孝</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F627B1"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3</w:t>
                            </w:r>
                          </w:p>
                        </w:tc>
                      </w:tr>
                      <w:tr w:rsidR="00A85180" w14:paraId="159019CF" w14:textId="77777777">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483A68" w14:textId="77777777" w:rsidR="00A85180" w:rsidRDefault="00A85180">
                            <w:pPr>
                              <w:spacing w:beforeAutospacing="1" w:afterAutospacing="1"/>
                              <w:rPr>
                                <w:rFonts w:ascii="標楷體" w:eastAsia="標楷體" w:hAnsi="標楷體"/>
                                <w:color w:val="000000" w:themeColor="text1"/>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EF57C13"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中興</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A5CC02"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1</w:t>
                            </w:r>
                          </w:p>
                        </w:tc>
                      </w:tr>
                      <w:tr w:rsidR="00A85180" w14:paraId="62B95557" w14:textId="77777777">
                        <w:trPr>
                          <w:trHeight w:val="28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ACCB3" w14:textId="77777777" w:rsidR="00A85180" w:rsidRDefault="00A85180">
                            <w:pPr>
                              <w:spacing w:beforeAutospacing="1" w:afterAutospacing="1"/>
                              <w:rPr>
                                <w:rFonts w:ascii="標楷體" w:eastAsia="標楷體" w:hAnsi="標楷體"/>
                                <w:color w:val="000000" w:themeColor="text1"/>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ECBD933"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陽明</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586221" w14:textId="77777777" w:rsidR="00A85180" w:rsidRDefault="00A85180">
                            <w:pPr>
                              <w:pStyle w:val="a4"/>
                              <w:overflowPunct w:val="0"/>
                              <w:spacing w:line="240" w:lineRule="exact"/>
                              <w:ind w:leftChars="0" w:left="0"/>
                              <w:jc w:val="center"/>
                              <w:rPr>
                                <w:rFonts w:ascii="標楷體" w:eastAsia="標楷體" w:hAnsi="標楷體"/>
                                <w:color w:val="000000" w:themeColor="text1"/>
                                <w:szCs w:val="20"/>
                              </w:rPr>
                            </w:pPr>
                            <w:r>
                              <w:rPr>
                                <w:rFonts w:ascii="標楷體" w:eastAsia="標楷體" w:hAnsi="標楷體" w:hint="eastAsia"/>
                                <w:color w:val="000000" w:themeColor="text1"/>
                                <w:szCs w:val="20"/>
                              </w:rPr>
                              <w:t>2</w:t>
                            </w:r>
                          </w:p>
                        </w:tc>
                      </w:tr>
                    </w:tbl>
                    <w:p w14:paraId="7B0BE423" w14:textId="77777777" w:rsidR="00A85180" w:rsidRDefault="00A85180" w:rsidP="00A85180">
                      <w:pPr>
                        <w:spacing w:line="200" w:lineRule="exact"/>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：1.資料統計截止日為114年3月12日。</w:t>
                      </w:r>
                    </w:p>
                    <w:p w14:paraId="123C0462" w14:textId="77777777" w:rsidR="00A85180" w:rsidRDefault="00A85180" w:rsidP="00A85180">
                      <w:pPr>
                        <w:spacing w:line="200" w:lineRule="exact"/>
                        <w:ind w:left="96"/>
                        <w:rPr>
                          <w:rFonts w:ascii="標楷體" w:eastAsia="標楷體" w:hAnsi="標楷體"/>
                          <w:sz w:val="18"/>
                        </w:rPr>
                      </w:pPr>
                      <w:r>
                        <w:rPr>
                          <w:rFonts w:ascii="標楷體" w:eastAsia="標楷體" w:hAnsi="標楷體" w:hint="eastAsia"/>
                          <w:sz w:val="18"/>
                        </w:rPr>
                        <w:t xml:space="preserve">   2.資料來源：整理自聯合醫院提供資料。</w:t>
                      </w:r>
                    </w:p>
                  </w:txbxContent>
                </v:textbox>
                <w10:wrap type="tight" anchorx="margin" anchory="page"/>
              </v:shape>
            </w:pict>
          </mc:Fallback>
        </mc:AlternateContent>
      </w:r>
      <w:r w:rsidR="00A85180" w:rsidRPr="00BD0A61">
        <w:rPr>
          <w:rFonts w:ascii="標楷體" w:eastAsia="標楷體" w:hAnsi="標楷體" w:cs="Times New Roman" w:hint="eastAsia"/>
          <w:spacing w:val="4"/>
          <w:szCs w:val="24"/>
        </w:rPr>
        <w:t>仍有照護需求病患，未依規定申請延長照護，而另以至現場訪視「病患」之新收案流程處理；另有照護個案已符合居家醫療整合計畫「結案條件」，惟聯合醫院未</w:t>
      </w:r>
      <w:proofErr w:type="gramStart"/>
      <w:r w:rsidR="00A85180" w:rsidRPr="00BD0A61">
        <w:rPr>
          <w:rFonts w:ascii="標楷體" w:eastAsia="標楷體" w:hAnsi="標楷體" w:cs="Times New Roman" w:hint="eastAsia"/>
          <w:spacing w:val="4"/>
          <w:szCs w:val="24"/>
        </w:rPr>
        <w:t>積極妥處結案</w:t>
      </w:r>
      <w:proofErr w:type="gramEnd"/>
      <w:r w:rsidR="00A85180" w:rsidRPr="00BD0A61">
        <w:rPr>
          <w:rFonts w:ascii="標楷體" w:eastAsia="標楷體" w:hAnsi="標楷體" w:cs="Times New Roman" w:hint="eastAsia"/>
          <w:spacing w:val="4"/>
          <w:szCs w:val="24"/>
        </w:rPr>
        <w:t>事宜等情事（表5），經函請檢討改善。據復：將強化個案訪視行程管理機制，並積極與個案溝通、加強訪視人員及管理師間之聯繫，另請個案管理師定期檢視系統，掌握應延長照護及須結案個案名單辦理相關事宜</w:t>
      </w:r>
      <w:bookmarkStart w:id="77" w:name="_Hlk199780343"/>
      <w:r w:rsidR="00A85180" w:rsidRPr="00BD0A61">
        <w:rPr>
          <w:rFonts w:ascii="標楷體" w:eastAsia="標楷體" w:hAnsi="標楷體" w:cs="Times New Roman" w:hint="eastAsia"/>
          <w:spacing w:val="4"/>
          <w:szCs w:val="24"/>
        </w:rPr>
        <w:t>等</w:t>
      </w:r>
      <w:bookmarkEnd w:id="77"/>
      <w:r w:rsidR="00A85180" w:rsidRPr="00BD0A61">
        <w:rPr>
          <w:rFonts w:ascii="標楷體" w:eastAsia="標楷體" w:hAnsi="標楷體" w:cs="Times New Roman" w:hint="eastAsia"/>
          <w:spacing w:val="4"/>
          <w:szCs w:val="24"/>
        </w:rPr>
        <w:t>。</w:t>
      </w:r>
    </w:p>
    <w:p w14:paraId="73221D8B" w14:textId="77777777" w:rsidR="00A85180" w:rsidRDefault="00A85180" w:rsidP="00BD0A61">
      <w:pPr>
        <w:suppressAutoHyphens/>
        <w:overflowPunct w:val="0"/>
        <w:spacing w:beforeLines="50" w:before="180" w:line="480" w:lineRule="exact"/>
        <w:jc w:val="both"/>
        <w:outlineLvl w:val="2"/>
        <w:rPr>
          <w:rFonts w:ascii="標楷體" w:eastAsia="標楷體" w:hAnsi="標楷體" w:cs="Times New Roman"/>
          <w:b/>
          <w:sz w:val="32"/>
          <w:szCs w:val="32"/>
        </w:rPr>
      </w:pPr>
      <w:r>
        <w:rPr>
          <w:rFonts w:ascii="標楷體" w:eastAsia="標楷體" w:hAnsi="標楷體" w:cs="Times New Roman" w:hint="eastAsia"/>
          <w:b/>
          <w:sz w:val="32"/>
          <w:szCs w:val="32"/>
        </w:rPr>
        <w:t>四、</w:t>
      </w:r>
      <w:proofErr w:type="gramStart"/>
      <w:r>
        <w:rPr>
          <w:rFonts w:ascii="標楷體" w:eastAsia="標楷體" w:hAnsi="標楷體" w:cs="Times New Roman" w:hint="eastAsia"/>
          <w:b/>
          <w:sz w:val="32"/>
          <w:szCs w:val="32"/>
        </w:rPr>
        <w:t>112</w:t>
      </w:r>
      <w:proofErr w:type="gramEnd"/>
      <w:r>
        <w:rPr>
          <w:rFonts w:ascii="標楷體" w:eastAsia="標楷體" w:hAnsi="標楷體" w:cs="Times New Roman" w:hint="eastAsia"/>
          <w:b/>
          <w:sz w:val="32"/>
          <w:szCs w:val="32"/>
        </w:rPr>
        <w:t>年度重要審核意見追蹤查核情形</w:t>
      </w:r>
    </w:p>
    <w:p w14:paraId="7ED44D5C" w14:textId="77777777" w:rsidR="00A85180" w:rsidRDefault="00A85180" w:rsidP="003849C2">
      <w:pPr>
        <w:overflowPunct w:val="0"/>
        <w:spacing w:beforeLines="20" w:before="72" w:line="46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本處於</w:t>
      </w:r>
      <w:proofErr w:type="gramStart"/>
      <w:r>
        <w:rPr>
          <w:rFonts w:ascii="標楷體" w:eastAsia="標楷體" w:hAnsi="標楷體" w:cs="Times New Roman" w:hint="eastAsia"/>
          <w:szCs w:val="24"/>
        </w:rPr>
        <w:t>112</w:t>
      </w:r>
      <w:proofErr w:type="gramEnd"/>
      <w:r>
        <w:rPr>
          <w:rFonts w:ascii="標楷體" w:eastAsia="標楷體" w:hAnsi="標楷體" w:cs="Times New Roman" w:hint="eastAsia"/>
          <w:szCs w:val="24"/>
        </w:rPr>
        <w:t>年度審核報告內列重要審核意見7項，經</w:t>
      </w:r>
      <w:proofErr w:type="gramStart"/>
      <w:r>
        <w:rPr>
          <w:rFonts w:ascii="標楷體" w:eastAsia="標楷體" w:hAnsi="標楷體" w:cs="Times New Roman" w:hint="eastAsia"/>
          <w:szCs w:val="24"/>
        </w:rPr>
        <w:t>賡</w:t>
      </w:r>
      <w:proofErr w:type="gramEnd"/>
      <w:r>
        <w:rPr>
          <w:rFonts w:ascii="標楷體" w:eastAsia="標楷體" w:hAnsi="標楷體" w:cs="Times New Roman" w:hint="eastAsia"/>
          <w:szCs w:val="24"/>
        </w:rPr>
        <w:t>續追蹤查核實際辦理結果，均已</w:t>
      </w:r>
      <w:proofErr w:type="gramStart"/>
      <w:r>
        <w:rPr>
          <w:rFonts w:ascii="標楷體" w:eastAsia="標楷體" w:hAnsi="標楷體" w:cs="Times New Roman" w:hint="eastAsia"/>
          <w:szCs w:val="24"/>
        </w:rPr>
        <w:t>研</w:t>
      </w:r>
      <w:proofErr w:type="gramEnd"/>
      <w:r>
        <w:rPr>
          <w:rFonts w:ascii="標楷體" w:eastAsia="標楷體" w:hAnsi="標楷體" w:cs="Times New Roman" w:hint="eastAsia"/>
          <w:szCs w:val="24"/>
        </w:rPr>
        <w:t>謀改善或依改善措施持續辦理（表6）。</w:t>
      </w:r>
    </w:p>
    <w:p w14:paraId="31A8C9F8" w14:textId="77777777" w:rsidR="00A85180" w:rsidRDefault="00A85180" w:rsidP="00A85180">
      <w:pPr>
        <w:overflowPunct w:val="0"/>
        <w:spacing w:afterLines="30" w:after="108" w:line="480" w:lineRule="exact"/>
        <w:jc w:val="center"/>
        <w:rPr>
          <w:rFonts w:ascii="標楷體" w:eastAsia="標楷體" w:hAnsi="標楷體" w:cs="Times New Roman"/>
          <w:b/>
          <w:szCs w:val="24"/>
        </w:rPr>
      </w:pPr>
      <w:r>
        <w:rPr>
          <w:rFonts w:ascii="標楷體" w:eastAsia="標楷體" w:hAnsi="標楷體" w:cs="Times New Roman" w:hint="eastAsia"/>
          <w:b/>
          <w:szCs w:val="24"/>
        </w:rPr>
        <w:t xml:space="preserve">表6　</w:t>
      </w:r>
      <w:proofErr w:type="gramStart"/>
      <w:r>
        <w:rPr>
          <w:rFonts w:ascii="標楷體" w:eastAsia="標楷體" w:hAnsi="標楷體" w:cs="Times New Roman" w:hint="eastAsia"/>
          <w:b/>
          <w:szCs w:val="24"/>
        </w:rPr>
        <w:t>112</w:t>
      </w:r>
      <w:proofErr w:type="gramEnd"/>
      <w:r>
        <w:rPr>
          <w:rFonts w:ascii="標楷體" w:eastAsia="標楷體" w:hAnsi="標楷體" w:cs="Times New Roman" w:hint="eastAsia"/>
          <w:b/>
          <w:szCs w:val="24"/>
        </w:rPr>
        <w:t>年度審核報告所列衛生局主管重要審核意見覆核辦理情形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84"/>
        <w:gridCol w:w="2829"/>
      </w:tblGrid>
      <w:tr w:rsidR="00A85180" w14:paraId="41E3267D" w14:textId="77777777" w:rsidTr="003849C2">
        <w:trPr>
          <w:trHeight w:hRule="exact" w:val="340"/>
          <w:jc w:val="center"/>
        </w:trPr>
        <w:tc>
          <w:tcPr>
            <w:tcW w:w="3573" w:type="pct"/>
            <w:tcBorders>
              <w:top w:val="single" w:sz="4" w:space="0" w:color="auto"/>
              <w:left w:val="single" w:sz="4" w:space="0" w:color="auto"/>
              <w:bottom w:val="single" w:sz="4" w:space="0" w:color="auto"/>
              <w:right w:val="single" w:sz="4" w:space="0" w:color="auto"/>
            </w:tcBorders>
            <w:vAlign w:val="center"/>
            <w:hideMark/>
          </w:tcPr>
          <w:p w14:paraId="3358F933" w14:textId="77777777" w:rsidR="00A85180" w:rsidRDefault="00A85180">
            <w:pPr>
              <w:widowControl/>
              <w:overflowPunct w:val="0"/>
              <w:spacing w:line="240" w:lineRule="exact"/>
              <w:jc w:val="center"/>
              <w:rPr>
                <w:rFonts w:ascii="標楷體" w:eastAsia="標楷體" w:hAnsi="標楷體" w:cs="Times New Roman"/>
                <w:sz w:val="20"/>
                <w:szCs w:val="24"/>
              </w:rPr>
            </w:pPr>
            <w:r>
              <w:rPr>
                <w:rFonts w:ascii="標楷體" w:eastAsia="標楷體" w:hAnsi="標楷體" w:cs="Times New Roman" w:hint="eastAsia"/>
                <w:sz w:val="20"/>
                <w:szCs w:val="24"/>
              </w:rPr>
              <w:t>重要審核意見標題</w:t>
            </w:r>
          </w:p>
        </w:tc>
        <w:tc>
          <w:tcPr>
            <w:tcW w:w="1427" w:type="pct"/>
            <w:tcBorders>
              <w:top w:val="single" w:sz="4" w:space="0" w:color="auto"/>
              <w:left w:val="single" w:sz="4" w:space="0" w:color="auto"/>
              <w:bottom w:val="single" w:sz="4" w:space="0" w:color="auto"/>
              <w:right w:val="single" w:sz="4" w:space="0" w:color="auto"/>
            </w:tcBorders>
            <w:vAlign w:val="center"/>
            <w:hideMark/>
          </w:tcPr>
          <w:p w14:paraId="775CE5A7" w14:textId="77777777" w:rsidR="00A85180" w:rsidRDefault="00A85180">
            <w:pPr>
              <w:widowControl/>
              <w:overflowPunct w:val="0"/>
              <w:spacing w:line="280" w:lineRule="exact"/>
              <w:jc w:val="center"/>
              <w:rPr>
                <w:rFonts w:ascii="標楷體" w:eastAsia="標楷體" w:hAnsi="標楷體" w:cs="Times New Roman"/>
                <w:sz w:val="20"/>
                <w:szCs w:val="24"/>
              </w:rPr>
            </w:pPr>
            <w:r>
              <w:rPr>
                <w:rFonts w:ascii="標楷體" w:eastAsia="標楷體" w:hAnsi="標楷體" w:cs="Times New Roman" w:hint="eastAsia"/>
                <w:sz w:val="20"/>
                <w:szCs w:val="24"/>
              </w:rPr>
              <w:t>說明</w:t>
            </w:r>
          </w:p>
        </w:tc>
      </w:tr>
      <w:tr w:rsidR="00A85180" w14:paraId="6C0EF733" w14:textId="77777777" w:rsidTr="003849C2">
        <w:trPr>
          <w:trHeight w:val="340"/>
          <w:jc w:val="center"/>
        </w:trPr>
        <w:tc>
          <w:tcPr>
            <w:tcW w:w="5000" w:type="pct"/>
            <w:gridSpan w:val="2"/>
            <w:tcBorders>
              <w:top w:val="single" w:sz="4" w:space="0" w:color="auto"/>
              <w:left w:val="single" w:sz="4" w:space="0" w:color="auto"/>
              <w:bottom w:val="single" w:sz="4" w:space="0" w:color="auto"/>
              <w:right w:val="single" w:sz="4" w:space="0" w:color="auto"/>
            </w:tcBorders>
            <w:vAlign w:val="center"/>
            <w:hideMark/>
          </w:tcPr>
          <w:p w14:paraId="424855C3" w14:textId="77777777" w:rsidR="00A85180" w:rsidRDefault="00A85180">
            <w:pPr>
              <w:widowControl/>
              <w:overflowPunct w:val="0"/>
              <w:spacing w:line="280" w:lineRule="exact"/>
              <w:jc w:val="both"/>
              <w:rPr>
                <w:rFonts w:ascii="標楷體" w:eastAsia="標楷體" w:hAnsi="標楷體" w:cs="Times New Roman"/>
                <w:sz w:val="20"/>
                <w:szCs w:val="24"/>
              </w:rPr>
            </w:pPr>
            <w:r>
              <w:rPr>
                <w:rFonts w:ascii="標楷體" w:eastAsia="標楷體" w:hAnsi="標楷體" w:cs="Times New Roman" w:hint="eastAsia"/>
                <w:b/>
                <w:sz w:val="20"/>
                <w:szCs w:val="24"/>
              </w:rPr>
              <w:t>已</w:t>
            </w:r>
            <w:proofErr w:type="gramStart"/>
            <w:r>
              <w:rPr>
                <w:rFonts w:ascii="標楷體" w:eastAsia="標楷體" w:hAnsi="標楷體" w:cs="Times New Roman" w:hint="eastAsia"/>
                <w:b/>
                <w:sz w:val="20"/>
                <w:szCs w:val="24"/>
              </w:rPr>
              <w:t>研</w:t>
            </w:r>
            <w:proofErr w:type="gramEnd"/>
            <w:r>
              <w:rPr>
                <w:rFonts w:ascii="標楷體" w:eastAsia="標楷體" w:hAnsi="標楷體" w:cs="Times New Roman" w:hint="eastAsia"/>
                <w:b/>
                <w:sz w:val="20"/>
                <w:szCs w:val="24"/>
              </w:rPr>
              <w:t>謀改善或依改善措施持續辦理</w:t>
            </w:r>
          </w:p>
        </w:tc>
      </w:tr>
      <w:tr w:rsidR="00A85180" w14:paraId="3C478766" w14:textId="77777777" w:rsidTr="003849C2">
        <w:trPr>
          <w:trHeight w:val="907"/>
          <w:jc w:val="center"/>
        </w:trPr>
        <w:tc>
          <w:tcPr>
            <w:tcW w:w="3573" w:type="pct"/>
            <w:tcBorders>
              <w:top w:val="single" w:sz="4" w:space="0" w:color="auto"/>
              <w:left w:val="single" w:sz="4" w:space="0" w:color="auto"/>
              <w:bottom w:val="single" w:sz="4" w:space="0" w:color="auto"/>
              <w:right w:val="single" w:sz="4" w:space="0" w:color="auto"/>
            </w:tcBorders>
            <w:vAlign w:val="center"/>
            <w:hideMark/>
          </w:tcPr>
          <w:p w14:paraId="152E45CF" w14:textId="77777777" w:rsidR="00A85180" w:rsidRDefault="00A85180" w:rsidP="00BD0A61">
            <w:pPr>
              <w:overflowPunct w:val="0"/>
              <w:spacing w:afterLines="10" w:after="36" w:line="300" w:lineRule="exact"/>
              <w:ind w:left="570" w:hangingChars="285" w:hanging="570"/>
              <w:jc w:val="both"/>
              <w:rPr>
                <w:rFonts w:ascii="標楷體" w:eastAsia="標楷體" w:hAnsi="標楷體" w:cs="Times New Roman"/>
                <w:sz w:val="20"/>
                <w:szCs w:val="20"/>
              </w:rPr>
            </w:pPr>
            <w:r>
              <w:rPr>
                <w:rFonts w:ascii="標楷體" w:eastAsia="標楷體" w:hAnsi="標楷體" w:cs="Times New Roman" w:hint="eastAsia"/>
                <w:sz w:val="20"/>
                <w:szCs w:val="20"/>
              </w:rPr>
              <w:t>（一）為維護民眾食安，辦理食品衛生查驗稽查作業，經核查獲之不合格件數及比率有上升趨勢，</w:t>
            </w:r>
            <w:proofErr w:type="gramStart"/>
            <w:r>
              <w:rPr>
                <w:rFonts w:ascii="標楷體" w:eastAsia="標楷體" w:hAnsi="標楷體" w:cs="Times New Roman" w:hint="eastAsia"/>
                <w:sz w:val="20"/>
                <w:szCs w:val="20"/>
              </w:rPr>
              <w:t>另間有未</w:t>
            </w:r>
            <w:proofErr w:type="gramEnd"/>
            <w:r>
              <w:rPr>
                <w:rFonts w:ascii="標楷體" w:eastAsia="標楷體" w:hAnsi="標楷體" w:cs="Times New Roman" w:hint="eastAsia"/>
                <w:sz w:val="20"/>
                <w:szCs w:val="20"/>
              </w:rPr>
              <w:t>及時追蹤違規業者改善情形等，有待分別加強督導業者確實改善及注意檢討辦理。</w:t>
            </w:r>
          </w:p>
        </w:tc>
        <w:tc>
          <w:tcPr>
            <w:tcW w:w="1427" w:type="pct"/>
            <w:vMerge w:val="restart"/>
            <w:tcBorders>
              <w:top w:val="single" w:sz="4" w:space="0" w:color="auto"/>
              <w:left w:val="single" w:sz="4" w:space="0" w:color="auto"/>
              <w:bottom w:val="single" w:sz="4" w:space="0" w:color="auto"/>
              <w:right w:val="single" w:sz="4" w:space="0" w:color="auto"/>
              <w:tl2br w:val="single" w:sz="4" w:space="0" w:color="auto"/>
            </w:tcBorders>
          </w:tcPr>
          <w:p w14:paraId="2B38C76E" w14:textId="77777777" w:rsidR="00A85180" w:rsidRDefault="00A85180">
            <w:pPr>
              <w:widowControl/>
              <w:overflowPunct w:val="0"/>
              <w:spacing w:line="480" w:lineRule="exact"/>
              <w:jc w:val="both"/>
              <w:rPr>
                <w:rFonts w:ascii="標楷體" w:eastAsia="標楷體" w:hAnsi="標楷體" w:cs="Times New Roman"/>
                <w:sz w:val="20"/>
                <w:szCs w:val="24"/>
              </w:rPr>
            </w:pPr>
          </w:p>
        </w:tc>
      </w:tr>
      <w:tr w:rsidR="00A85180" w14:paraId="401C52DE" w14:textId="77777777" w:rsidTr="003849C2">
        <w:trPr>
          <w:trHeight w:val="907"/>
          <w:jc w:val="center"/>
        </w:trPr>
        <w:tc>
          <w:tcPr>
            <w:tcW w:w="3573" w:type="pct"/>
            <w:tcBorders>
              <w:top w:val="single" w:sz="4" w:space="0" w:color="auto"/>
              <w:left w:val="single" w:sz="4" w:space="0" w:color="auto"/>
              <w:bottom w:val="single" w:sz="4" w:space="0" w:color="auto"/>
              <w:right w:val="single" w:sz="4" w:space="0" w:color="auto"/>
            </w:tcBorders>
            <w:vAlign w:val="center"/>
            <w:hideMark/>
          </w:tcPr>
          <w:p w14:paraId="1F2235FD" w14:textId="77777777" w:rsidR="00A85180" w:rsidRDefault="00A85180" w:rsidP="00BD0A61">
            <w:pPr>
              <w:overflowPunct w:val="0"/>
              <w:spacing w:afterLines="10" w:after="36" w:line="300" w:lineRule="exact"/>
              <w:ind w:left="570" w:hangingChars="285" w:hanging="570"/>
              <w:jc w:val="both"/>
              <w:rPr>
                <w:rFonts w:ascii="標楷體" w:eastAsia="標楷體" w:hAnsi="標楷體" w:cs="Times New Roman"/>
                <w:sz w:val="20"/>
                <w:szCs w:val="20"/>
              </w:rPr>
            </w:pPr>
            <w:r>
              <w:rPr>
                <w:rFonts w:ascii="標楷體" w:eastAsia="標楷體" w:hAnsi="標楷體" w:cs="Times New Roman" w:hint="eastAsia"/>
                <w:sz w:val="20"/>
                <w:szCs w:val="20"/>
              </w:rPr>
              <w:t>（二）為確保食品業者產品之衛生安全，辦理業者GHP之稽查，</w:t>
            </w:r>
            <w:proofErr w:type="gramStart"/>
            <w:r>
              <w:rPr>
                <w:rFonts w:ascii="標楷體" w:eastAsia="標楷體" w:hAnsi="標楷體" w:cs="Times New Roman" w:hint="eastAsia"/>
                <w:sz w:val="20"/>
                <w:szCs w:val="20"/>
              </w:rPr>
              <w:t>惟間有接獲</w:t>
            </w:r>
            <w:proofErr w:type="gramEnd"/>
            <w:r>
              <w:rPr>
                <w:rFonts w:ascii="標楷體" w:eastAsia="標楷體" w:hAnsi="標楷體" w:cs="Times New Roman" w:hint="eastAsia"/>
                <w:sz w:val="20"/>
                <w:szCs w:val="20"/>
              </w:rPr>
              <w:t>PMDS系統通報久未稽查之食品工廠清單，</w:t>
            </w:r>
            <w:proofErr w:type="gramStart"/>
            <w:r>
              <w:rPr>
                <w:rFonts w:ascii="標楷體" w:eastAsia="標楷體" w:hAnsi="標楷體" w:cs="Times New Roman" w:hint="eastAsia"/>
                <w:sz w:val="20"/>
                <w:szCs w:val="20"/>
              </w:rPr>
              <w:t>未派案稽查</w:t>
            </w:r>
            <w:proofErr w:type="gramEnd"/>
            <w:r>
              <w:rPr>
                <w:rFonts w:ascii="標楷體" w:eastAsia="標楷體" w:hAnsi="標楷體" w:cs="Times New Roman" w:hint="eastAsia"/>
                <w:sz w:val="20"/>
                <w:szCs w:val="20"/>
              </w:rPr>
              <w:t>；另稽查烘焙業者亦有對歇業店家進行無效稽查等情，尚待檢討改善。</w:t>
            </w:r>
          </w:p>
        </w:tc>
        <w:tc>
          <w:tcPr>
            <w:tcW w:w="1427" w:type="pct"/>
            <w:vMerge/>
            <w:tcBorders>
              <w:top w:val="single" w:sz="4" w:space="0" w:color="auto"/>
              <w:left w:val="single" w:sz="4" w:space="0" w:color="auto"/>
              <w:bottom w:val="single" w:sz="4" w:space="0" w:color="auto"/>
              <w:right w:val="single" w:sz="4" w:space="0" w:color="auto"/>
            </w:tcBorders>
            <w:vAlign w:val="center"/>
            <w:hideMark/>
          </w:tcPr>
          <w:p w14:paraId="7E7DEDE4" w14:textId="77777777" w:rsidR="00A85180" w:rsidRDefault="00A85180">
            <w:pPr>
              <w:widowControl/>
              <w:rPr>
                <w:rFonts w:ascii="標楷體" w:eastAsia="標楷體" w:hAnsi="標楷體" w:cs="Times New Roman"/>
                <w:sz w:val="20"/>
                <w:szCs w:val="24"/>
              </w:rPr>
            </w:pPr>
          </w:p>
        </w:tc>
      </w:tr>
      <w:tr w:rsidR="00A85180" w14:paraId="19C541CC" w14:textId="77777777" w:rsidTr="003849C2">
        <w:trPr>
          <w:trHeight w:val="992"/>
          <w:jc w:val="center"/>
        </w:trPr>
        <w:tc>
          <w:tcPr>
            <w:tcW w:w="3573" w:type="pct"/>
            <w:tcBorders>
              <w:top w:val="single" w:sz="4" w:space="0" w:color="auto"/>
              <w:left w:val="single" w:sz="4" w:space="0" w:color="auto"/>
              <w:bottom w:val="single" w:sz="4" w:space="0" w:color="auto"/>
              <w:right w:val="single" w:sz="4" w:space="0" w:color="auto"/>
            </w:tcBorders>
            <w:vAlign w:val="center"/>
            <w:hideMark/>
          </w:tcPr>
          <w:p w14:paraId="19A3DF0D" w14:textId="77777777" w:rsidR="00A85180" w:rsidRDefault="00A85180" w:rsidP="00BD0A61">
            <w:pPr>
              <w:overflowPunct w:val="0"/>
              <w:spacing w:afterLines="10" w:after="36" w:line="300" w:lineRule="exact"/>
              <w:ind w:left="570" w:hangingChars="285" w:hanging="570"/>
              <w:jc w:val="both"/>
              <w:rPr>
                <w:rFonts w:ascii="標楷體" w:eastAsia="標楷體" w:hAnsi="標楷體" w:cs="Times New Roman"/>
                <w:sz w:val="20"/>
                <w:szCs w:val="20"/>
              </w:rPr>
            </w:pPr>
            <w:r>
              <w:rPr>
                <w:rFonts w:ascii="標楷體" w:eastAsia="標楷體" w:hAnsi="標楷體" w:cs="Times New Roman" w:hint="eastAsia"/>
                <w:sz w:val="20"/>
                <w:szCs w:val="20"/>
              </w:rPr>
              <w:t>（三）政府推動食品安全衛生三級品管機制，強化業者食安企業責任，惟衛生局未有效督促業者上傳食品安全監測計畫</w:t>
            </w:r>
            <w:proofErr w:type="gramStart"/>
            <w:r>
              <w:rPr>
                <w:rFonts w:ascii="標楷體" w:eastAsia="標楷體" w:hAnsi="標楷體" w:cs="Times New Roman" w:hint="eastAsia"/>
                <w:sz w:val="20"/>
                <w:szCs w:val="20"/>
              </w:rPr>
              <w:t>自檢表及</w:t>
            </w:r>
            <w:proofErr w:type="gramEnd"/>
            <w:r>
              <w:rPr>
                <w:rFonts w:ascii="標楷體" w:eastAsia="標楷體" w:hAnsi="標楷體" w:cs="Times New Roman" w:hint="eastAsia"/>
                <w:sz w:val="20"/>
                <w:szCs w:val="20"/>
              </w:rPr>
              <w:t>加強設置衛生管理人員等情，有待檢討改善並強化輔導措施。</w:t>
            </w:r>
          </w:p>
        </w:tc>
        <w:tc>
          <w:tcPr>
            <w:tcW w:w="1427" w:type="pct"/>
            <w:vMerge/>
            <w:tcBorders>
              <w:top w:val="single" w:sz="4" w:space="0" w:color="auto"/>
              <w:left w:val="single" w:sz="4" w:space="0" w:color="auto"/>
              <w:bottom w:val="single" w:sz="4" w:space="0" w:color="auto"/>
              <w:right w:val="single" w:sz="4" w:space="0" w:color="auto"/>
            </w:tcBorders>
            <w:vAlign w:val="center"/>
            <w:hideMark/>
          </w:tcPr>
          <w:p w14:paraId="3EB0A561" w14:textId="77777777" w:rsidR="00A85180" w:rsidRDefault="00A85180">
            <w:pPr>
              <w:widowControl/>
              <w:rPr>
                <w:rFonts w:ascii="標楷體" w:eastAsia="標楷體" w:hAnsi="標楷體" w:cs="Times New Roman"/>
                <w:sz w:val="20"/>
                <w:szCs w:val="24"/>
              </w:rPr>
            </w:pPr>
          </w:p>
        </w:tc>
      </w:tr>
      <w:tr w:rsidR="00A85180" w14:paraId="18770E85" w14:textId="77777777" w:rsidTr="003849C2">
        <w:trPr>
          <w:trHeight w:val="992"/>
          <w:jc w:val="center"/>
        </w:trPr>
        <w:tc>
          <w:tcPr>
            <w:tcW w:w="3573" w:type="pct"/>
            <w:tcBorders>
              <w:top w:val="single" w:sz="4" w:space="0" w:color="auto"/>
              <w:left w:val="single" w:sz="4" w:space="0" w:color="auto"/>
              <w:bottom w:val="single" w:sz="4" w:space="0" w:color="auto"/>
              <w:right w:val="single" w:sz="4" w:space="0" w:color="auto"/>
            </w:tcBorders>
            <w:vAlign w:val="center"/>
            <w:hideMark/>
          </w:tcPr>
          <w:p w14:paraId="3F79F47E" w14:textId="77777777" w:rsidR="00A85180" w:rsidRDefault="00A85180" w:rsidP="00BD0A61">
            <w:pPr>
              <w:overflowPunct w:val="0"/>
              <w:spacing w:afterLines="10" w:after="36" w:line="300" w:lineRule="exact"/>
              <w:ind w:left="570" w:hangingChars="285" w:hanging="570"/>
              <w:jc w:val="both"/>
              <w:rPr>
                <w:rFonts w:ascii="標楷體" w:eastAsia="標楷體" w:hAnsi="標楷體" w:cs="Times New Roman"/>
                <w:sz w:val="20"/>
                <w:szCs w:val="20"/>
              </w:rPr>
            </w:pPr>
            <w:r>
              <w:rPr>
                <w:rFonts w:ascii="標楷體" w:eastAsia="標楷體" w:hAnsi="標楷體" w:cs="Times New Roman" w:hint="eastAsia"/>
                <w:sz w:val="20"/>
                <w:szCs w:val="20"/>
              </w:rPr>
              <w:t>（四）為提供民眾安心餐飲場所選項，經建置食藥</w:t>
            </w:r>
            <w:proofErr w:type="gramStart"/>
            <w:r>
              <w:rPr>
                <w:rFonts w:ascii="標楷體" w:eastAsia="標楷體" w:hAnsi="標楷體" w:cs="Times New Roman" w:hint="eastAsia"/>
                <w:sz w:val="20"/>
                <w:szCs w:val="20"/>
              </w:rPr>
              <w:t>粧</w:t>
            </w:r>
            <w:proofErr w:type="gramEnd"/>
            <w:r>
              <w:rPr>
                <w:rFonts w:ascii="標楷體" w:eastAsia="標楷體" w:hAnsi="標楷體" w:cs="Times New Roman" w:hint="eastAsia"/>
                <w:sz w:val="20"/>
                <w:szCs w:val="20"/>
              </w:rPr>
              <w:t>網路地圖（</w:t>
            </w:r>
            <w:proofErr w:type="spellStart"/>
            <w:r>
              <w:rPr>
                <w:rFonts w:ascii="標楷體" w:eastAsia="標楷體" w:hAnsi="標楷體" w:cs="Times New Roman" w:hint="eastAsia"/>
                <w:sz w:val="20"/>
                <w:szCs w:val="20"/>
              </w:rPr>
              <w:t>iMAP</w:t>
            </w:r>
            <w:proofErr w:type="spellEnd"/>
            <w:r>
              <w:rPr>
                <w:rFonts w:ascii="標楷體" w:eastAsia="標楷體" w:hAnsi="標楷體" w:cs="Times New Roman" w:hint="eastAsia"/>
                <w:sz w:val="20"/>
                <w:szCs w:val="20"/>
              </w:rPr>
              <w:t>），</w:t>
            </w:r>
            <w:proofErr w:type="gramStart"/>
            <w:r>
              <w:rPr>
                <w:rFonts w:ascii="標楷體" w:eastAsia="標楷體" w:hAnsi="標楷體" w:cs="Times New Roman" w:hint="eastAsia"/>
                <w:sz w:val="20"/>
                <w:szCs w:val="20"/>
              </w:rPr>
              <w:t>惟間有已</w:t>
            </w:r>
            <w:proofErr w:type="gramEnd"/>
            <w:r>
              <w:rPr>
                <w:rFonts w:ascii="標楷體" w:eastAsia="標楷體" w:hAnsi="標楷體" w:cs="Times New Roman" w:hint="eastAsia"/>
                <w:sz w:val="20"/>
                <w:szCs w:val="20"/>
              </w:rPr>
              <w:t>辦理稽查卻未於平</w:t>
            </w:r>
            <w:proofErr w:type="gramStart"/>
            <w:r>
              <w:rPr>
                <w:rFonts w:ascii="標楷體" w:eastAsia="標楷體" w:hAnsi="標楷體" w:cs="Times New Roman" w:hint="eastAsia"/>
                <w:sz w:val="20"/>
                <w:szCs w:val="20"/>
              </w:rPr>
              <w:t>臺</w:t>
            </w:r>
            <w:proofErr w:type="gramEnd"/>
            <w:r>
              <w:rPr>
                <w:rFonts w:ascii="標楷體" w:eastAsia="標楷體" w:hAnsi="標楷體" w:cs="Times New Roman" w:hint="eastAsia"/>
                <w:sz w:val="20"/>
                <w:szCs w:val="20"/>
              </w:rPr>
              <w:t>充分揭露相關資訊，或</w:t>
            </w:r>
            <w:proofErr w:type="spellStart"/>
            <w:r>
              <w:rPr>
                <w:rFonts w:ascii="標楷體" w:eastAsia="標楷體" w:hAnsi="標楷體" w:cs="Times New Roman" w:hint="eastAsia"/>
                <w:sz w:val="20"/>
                <w:szCs w:val="20"/>
              </w:rPr>
              <w:t>iMAP</w:t>
            </w:r>
            <w:proofErr w:type="spellEnd"/>
            <w:r>
              <w:rPr>
                <w:rFonts w:ascii="標楷體" w:eastAsia="標楷體" w:hAnsi="標楷體" w:cs="Times New Roman" w:hint="eastAsia"/>
                <w:sz w:val="20"/>
                <w:szCs w:val="20"/>
              </w:rPr>
              <w:t>未及時更新複查合格業者食安稽查結果等，有待檢討改善。</w:t>
            </w:r>
          </w:p>
        </w:tc>
        <w:tc>
          <w:tcPr>
            <w:tcW w:w="1427" w:type="pct"/>
            <w:vMerge/>
            <w:tcBorders>
              <w:top w:val="single" w:sz="4" w:space="0" w:color="auto"/>
              <w:left w:val="single" w:sz="4" w:space="0" w:color="auto"/>
              <w:bottom w:val="single" w:sz="4" w:space="0" w:color="auto"/>
              <w:right w:val="single" w:sz="4" w:space="0" w:color="auto"/>
            </w:tcBorders>
            <w:vAlign w:val="center"/>
            <w:hideMark/>
          </w:tcPr>
          <w:p w14:paraId="44A56741" w14:textId="77777777" w:rsidR="00A85180" w:rsidRDefault="00A85180">
            <w:pPr>
              <w:widowControl/>
              <w:rPr>
                <w:rFonts w:ascii="標楷體" w:eastAsia="標楷體" w:hAnsi="標楷體" w:cs="Times New Roman"/>
                <w:sz w:val="20"/>
                <w:szCs w:val="24"/>
              </w:rPr>
            </w:pPr>
          </w:p>
        </w:tc>
      </w:tr>
      <w:tr w:rsidR="00A85180" w14:paraId="53055883" w14:textId="77777777" w:rsidTr="003849C2">
        <w:trPr>
          <w:trHeight w:val="992"/>
          <w:jc w:val="center"/>
        </w:trPr>
        <w:tc>
          <w:tcPr>
            <w:tcW w:w="3573" w:type="pct"/>
            <w:tcBorders>
              <w:top w:val="single" w:sz="4" w:space="0" w:color="auto"/>
              <w:left w:val="single" w:sz="4" w:space="0" w:color="auto"/>
              <w:bottom w:val="single" w:sz="4" w:space="0" w:color="auto"/>
              <w:right w:val="single" w:sz="4" w:space="0" w:color="auto"/>
            </w:tcBorders>
            <w:vAlign w:val="center"/>
            <w:hideMark/>
          </w:tcPr>
          <w:p w14:paraId="2A74B8FE" w14:textId="77777777" w:rsidR="00A85180" w:rsidRDefault="00A85180" w:rsidP="00BD0A61">
            <w:pPr>
              <w:overflowPunct w:val="0"/>
              <w:spacing w:afterLines="10" w:after="36" w:line="300" w:lineRule="exact"/>
              <w:ind w:left="570" w:hangingChars="285" w:hanging="570"/>
              <w:jc w:val="both"/>
              <w:rPr>
                <w:rFonts w:ascii="標楷體" w:eastAsia="標楷體" w:hAnsi="標楷體" w:cs="Times New Roman"/>
                <w:sz w:val="20"/>
                <w:szCs w:val="20"/>
              </w:rPr>
            </w:pPr>
            <w:r>
              <w:rPr>
                <w:rFonts w:ascii="標楷體" w:eastAsia="標楷體" w:hAnsi="標楷體" w:cs="Times New Roman" w:hint="eastAsia"/>
                <w:sz w:val="20"/>
                <w:szCs w:val="20"/>
              </w:rPr>
              <w:t>（五）衛生局未確實掌握臺北市轄內食品輸入、製造及販售業者應電子申報及使用電子發票清單，及未有效輔導業者完成電子申報及使用電子發票等情，有待檢討改善。</w:t>
            </w:r>
          </w:p>
        </w:tc>
        <w:tc>
          <w:tcPr>
            <w:tcW w:w="1427" w:type="pct"/>
            <w:vMerge/>
            <w:tcBorders>
              <w:top w:val="single" w:sz="4" w:space="0" w:color="auto"/>
              <w:left w:val="single" w:sz="4" w:space="0" w:color="auto"/>
              <w:bottom w:val="single" w:sz="4" w:space="0" w:color="auto"/>
              <w:right w:val="single" w:sz="4" w:space="0" w:color="auto"/>
            </w:tcBorders>
            <w:vAlign w:val="center"/>
            <w:hideMark/>
          </w:tcPr>
          <w:p w14:paraId="5AE9B659" w14:textId="77777777" w:rsidR="00A85180" w:rsidRDefault="00A85180">
            <w:pPr>
              <w:widowControl/>
              <w:rPr>
                <w:rFonts w:ascii="標楷體" w:eastAsia="標楷體" w:hAnsi="標楷體" w:cs="Times New Roman"/>
                <w:sz w:val="20"/>
                <w:szCs w:val="24"/>
              </w:rPr>
            </w:pPr>
          </w:p>
        </w:tc>
      </w:tr>
      <w:tr w:rsidR="00A85180" w14:paraId="5FC15E71" w14:textId="77777777" w:rsidTr="003849C2">
        <w:trPr>
          <w:trHeight w:val="992"/>
          <w:jc w:val="center"/>
        </w:trPr>
        <w:tc>
          <w:tcPr>
            <w:tcW w:w="3573" w:type="pct"/>
            <w:tcBorders>
              <w:top w:val="single" w:sz="4" w:space="0" w:color="auto"/>
              <w:left w:val="single" w:sz="4" w:space="0" w:color="auto"/>
              <w:bottom w:val="single" w:sz="4" w:space="0" w:color="auto"/>
              <w:right w:val="single" w:sz="4" w:space="0" w:color="auto"/>
            </w:tcBorders>
            <w:vAlign w:val="center"/>
            <w:hideMark/>
          </w:tcPr>
          <w:p w14:paraId="0F216DD0" w14:textId="77777777" w:rsidR="00A85180" w:rsidRDefault="00A85180" w:rsidP="00BD0A61">
            <w:pPr>
              <w:overflowPunct w:val="0"/>
              <w:spacing w:afterLines="10" w:after="36" w:line="300" w:lineRule="exact"/>
              <w:ind w:left="570" w:hangingChars="285" w:hanging="570"/>
              <w:jc w:val="both"/>
              <w:rPr>
                <w:rFonts w:ascii="標楷體" w:eastAsia="標楷體" w:hAnsi="標楷體" w:cs="Times New Roman"/>
                <w:sz w:val="20"/>
                <w:szCs w:val="24"/>
              </w:rPr>
            </w:pPr>
            <w:r>
              <w:rPr>
                <w:rFonts w:ascii="標楷體" w:eastAsia="標楷體" w:hAnsi="標楷體" w:cs="Times New Roman" w:hint="eastAsia"/>
                <w:sz w:val="20"/>
                <w:szCs w:val="20"/>
              </w:rPr>
              <w:t>（六）臺北市轄內屬公告應申請餐飲分級認證標章業者，尚未辦理評核或未通過認證者計2百餘家，另取得認證已逾期未重新評核者亦有3百餘家，均有待檢討輔導改善。</w:t>
            </w:r>
          </w:p>
        </w:tc>
        <w:tc>
          <w:tcPr>
            <w:tcW w:w="1427" w:type="pct"/>
            <w:vMerge/>
            <w:tcBorders>
              <w:top w:val="single" w:sz="4" w:space="0" w:color="auto"/>
              <w:left w:val="single" w:sz="4" w:space="0" w:color="auto"/>
              <w:bottom w:val="single" w:sz="4" w:space="0" w:color="auto"/>
              <w:right w:val="single" w:sz="4" w:space="0" w:color="auto"/>
            </w:tcBorders>
            <w:vAlign w:val="center"/>
            <w:hideMark/>
          </w:tcPr>
          <w:p w14:paraId="107E7E56" w14:textId="77777777" w:rsidR="00A85180" w:rsidRDefault="00A85180">
            <w:pPr>
              <w:widowControl/>
              <w:rPr>
                <w:rFonts w:ascii="標楷體" w:eastAsia="標楷體" w:hAnsi="標楷體" w:cs="Times New Roman"/>
                <w:sz w:val="20"/>
                <w:szCs w:val="24"/>
              </w:rPr>
            </w:pPr>
          </w:p>
        </w:tc>
      </w:tr>
      <w:tr w:rsidR="00A85180" w14:paraId="1CE6FFDC" w14:textId="77777777" w:rsidTr="003849C2">
        <w:trPr>
          <w:trHeight w:val="992"/>
          <w:jc w:val="center"/>
        </w:trPr>
        <w:tc>
          <w:tcPr>
            <w:tcW w:w="3573" w:type="pct"/>
            <w:tcBorders>
              <w:top w:val="single" w:sz="4" w:space="0" w:color="auto"/>
              <w:left w:val="single" w:sz="4" w:space="0" w:color="auto"/>
              <w:bottom w:val="single" w:sz="4" w:space="0" w:color="auto"/>
              <w:right w:val="single" w:sz="4" w:space="0" w:color="auto"/>
            </w:tcBorders>
            <w:vAlign w:val="center"/>
            <w:hideMark/>
          </w:tcPr>
          <w:p w14:paraId="1850ED8B" w14:textId="77777777" w:rsidR="00A85180" w:rsidRDefault="00A85180" w:rsidP="00BD0A61">
            <w:pPr>
              <w:overflowPunct w:val="0"/>
              <w:spacing w:afterLines="10" w:after="36" w:line="300" w:lineRule="exact"/>
              <w:ind w:left="570" w:hangingChars="285" w:hanging="570"/>
              <w:jc w:val="both"/>
              <w:rPr>
                <w:rFonts w:ascii="標楷體" w:eastAsia="標楷體" w:hAnsi="標楷體" w:cs="Times New Roman"/>
                <w:sz w:val="20"/>
                <w:szCs w:val="20"/>
              </w:rPr>
            </w:pPr>
            <w:r>
              <w:rPr>
                <w:rFonts w:ascii="標楷體" w:eastAsia="標楷體" w:hAnsi="標楷體" w:cs="Times New Roman" w:hint="eastAsia"/>
                <w:sz w:val="20"/>
                <w:szCs w:val="20"/>
              </w:rPr>
              <w:t>（七）臺北市立聯合醫院為強化內控機制，訂定多項採購作業標準程序，惟辦理衛材採購</w:t>
            </w:r>
            <w:proofErr w:type="gramStart"/>
            <w:r>
              <w:rPr>
                <w:rFonts w:ascii="標楷體" w:eastAsia="標楷體" w:hAnsi="標楷體" w:cs="Times New Roman" w:hint="eastAsia"/>
                <w:sz w:val="20"/>
                <w:szCs w:val="20"/>
              </w:rPr>
              <w:t>間有未洽</w:t>
            </w:r>
            <w:proofErr w:type="gramEnd"/>
            <w:r>
              <w:rPr>
                <w:rFonts w:ascii="標楷體" w:eastAsia="標楷體" w:hAnsi="標楷體" w:cs="Times New Roman" w:hint="eastAsia"/>
                <w:sz w:val="20"/>
                <w:szCs w:val="20"/>
              </w:rPr>
              <w:t>合約廠商供貨，或未依決標單價給付，另以小額採購名義辦理等情事，亟待檢討改善。</w:t>
            </w:r>
          </w:p>
        </w:tc>
        <w:tc>
          <w:tcPr>
            <w:tcW w:w="1427" w:type="pct"/>
            <w:vMerge/>
            <w:tcBorders>
              <w:top w:val="single" w:sz="4" w:space="0" w:color="auto"/>
              <w:left w:val="single" w:sz="4" w:space="0" w:color="auto"/>
              <w:bottom w:val="single" w:sz="4" w:space="0" w:color="auto"/>
              <w:right w:val="single" w:sz="4" w:space="0" w:color="auto"/>
            </w:tcBorders>
            <w:vAlign w:val="center"/>
            <w:hideMark/>
          </w:tcPr>
          <w:p w14:paraId="73B5B4D3" w14:textId="77777777" w:rsidR="00A85180" w:rsidRDefault="00A85180">
            <w:pPr>
              <w:widowControl/>
              <w:rPr>
                <w:rFonts w:ascii="標楷體" w:eastAsia="標楷體" w:hAnsi="標楷體" w:cs="Times New Roman"/>
                <w:sz w:val="20"/>
                <w:szCs w:val="24"/>
              </w:rPr>
            </w:pPr>
          </w:p>
        </w:tc>
      </w:tr>
    </w:tbl>
    <w:p w14:paraId="6325E14C" w14:textId="7D24C4CA" w:rsidR="004551F8" w:rsidRPr="004C38E2" w:rsidRDefault="004551F8" w:rsidP="00BD0A61">
      <w:pPr>
        <w:overflowPunct w:val="0"/>
        <w:spacing w:afterLines="25" w:after="90" w:line="500" w:lineRule="exact"/>
        <w:rPr>
          <w:rFonts w:ascii="標楷體" w:eastAsia="標楷體" w:hAnsi="標楷體"/>
          <w:b/>
          <w:bCs/>
          <w:sz w:val="36"/>
          <w:szCs w:val="36"/>
        </w:rPr>
      </w:pPr>
      <w:r w:rsidRPr="00B474B8">
        <w:rPr>
          <w:rFonts w:ascii="標楷體" w:eastAsia="標楷體" w:hAnsi="標楷體" w:cs="Times New Roman"/>
          <w:spacing w:val="-2"/>
          <w:szCs w:val="24"/>
        </w:rPr>
        <w:br w:type="page"/>
      </w:r>
      <w:r w:rsidRPr="004C38E2">
        <w:rPr>
          <w:rFonts w:ascii="標楷體" w:eastAsia="標楷體" w:hAnsi="標楷體" w:hint="eastAsia"/>
          <w:b/>
          <w:bCs/>
          <w:sz w:val="36"/>
          <w:szCs w:val="36"/>
        </w:rPr>
        <w:lastRenderedPageBreak/>
        <w:t>拾參、環境保護局主管</w:t>
      </w:r>
    </w:p>
    <w:p w14:paraId="3F411F17" w14:textId="77777777" w:rsidR="004551F8" w:rsidRPr="00B474B8" w:rsidRDefault="004551F8" w:rsidP="00713069">
      <w:pPr>
        <w:pStyle w:val="a7"/>
        <w:spacing w:before="0" w:after="0"/>
        <w:ind w:firstLine="480"/>
        <w:rPr>
          <w:rFonts w:hAnsi="標楷體"/>
          <w:color w:val="auto"/>
          <w:sz w:val="32"/>
          <w:szCs w:val="32"/>
        </w:rPr>
      </w:pPr>
      <w:r w:rsidRPr="00B474B8">
        <w:rPr>
          <w:rFonts w:hAnsi="標楷體" w:hint="eastAsia"/>
          <w:color w:val="auto"/>
        </w:rPr>
        <w:t>環境保護局主管計有公務機關5個，非營業特種基金單位1個，各該單位決算及附屬單位決算非營業部分之審核情形如次：</w:t>
      </w:r>
    </w:p>
    <w:p w14:paraId="40528036" w14:textId="77777777" w:rsidR="004551F8" w:rsidRPr="00B474B8" w:rsidRDefault="004551F8" w:rsidP="004551F8">
      <w:pPr>
        <w:spacing w:before="240" w:after="120" w:line="460" w:lineRule="exact"/>
        <w:jc w:val="both"/>
        <w:outlineLvl w:val="2"/>
        <w:rPr>
          <w:rFonts w:ascii="標楷體" w:eastAsia="標楷體" w:hAnsi="標楷體"/>
          <w:b/>
          <w:sz w:val="32"/>
          <w:szCs w:val="32"/>
        </w:rPr>
      </w:pPr>
      <w:r w:rsidRPr="00B474B8">
        <w:rPr>
          <w:rFonts w:ascii="標楷體" w:eastAsia="標楷體" w:hAnsi="標楷體" w:hint="eastAsia"/>
          <w:b/>
          <w:sz w:val="32"/>
          <w:szCs w:val="32"/>
        </w:rPr>
        <w:t>一、單位決算部分</w:t>
      </w:r>
    </w:p>
    <w:p w14:paraId="380D5CB4" w14:textId="77777777" w:rsidR="004551F8" w:rsidRPr="00B474B8" w:rsidRDefault="004551F8" w:rsidP="004551F8">
      <w:pPr>
        <w:pStyle w:val="a7"/>
        <w:spacing w:before="0" w:after="0"/>
        <w:ind w:firstLine="480"/>
        <w:rPr>
          <w:rFonts w:hAnsi="標楷體"/>
          <w:color w:val="auto"/>
          <w:sz w:val="32"/>
          <w:szCs w:val="32"/>
        </w:rPr>
      </w:pPr>
      <w:r w:rsidRPr="00B474B8">
        <w:rPr>
          <w:rFonts w:hAnsi="標楷體" w:hint="eastAsia"/>
          <w:color w:val="auto"/>
        </w:rPr>
        <w:t>環境保護局主管包括環境保護局、環保稽查大隊、</w:t>
      </w:r>
      <w:bookmarkStart w:id="78" w:name="_Hlk138170525"/>
      <w:r w:rsidRPr="00B474B8">
        <w:rPr>
          <w:rFonts w:hAnsi="標楷體" w:hint="eastAsia"/>
          <w:color w:val="auto"/>
        </w:rPr>
        <w:t>內湖垃圾焚化廠</w:t>
      </w:r>
      <w:bookmarkEnd w:id="78"/>
      <w:r w:rsidRPr="00B474B8">
        <w:rPr>
          <w:rFonts w:hAnsi="標楷體" w:hint="eastAsia"/>
          <w:color w:val="auto"/>
        </w:rPr>
        <w:t>、木柵垃圾焚化廠、北投垃圾焚化廠等5個機關，掌理臺北市空氣、噪音、水污染防治、環境衛生及毒物管理、廢棄物管理、環境品質監測、環境檢驗、垃圾焚化等業務。茲將</w:t>
      </w:r>
      <w:proofErr w:type="gramStart"/>
      <w:r w:rsidRPr="00B474B8">
        <w:rPr>
          <w:rFonts w:hAnsi="標楷體" w:hint="eastAsia"/>
          <w:color w:val="auto"/>
        </w:rPr>
        <w:t>113</w:t>
      </w:r>
      <w:proofErr w:type="gramEnd"/>
      <w:r w:rsidRPr="00B474B8">
        <w:rPr>
          <w:rFonts w:hAnsi="標楷體" w:hint="eastAsia"/>
          <w:color w:val="auto"/>
        </w:rPr>
        <w:t>年度決算審核結果說明如次：</w:t>
      </w:r>
    </w:p>
    <w:p w14:paraId="73AA2AFF" w14:textId="77777777" w:rsidR="004551F8" w:rsidRPr="00B474B8" w:rsidRDefault="004551F8" w:rsidP="004551F8">
      <w:pPr>
        <w:spacing w:before="160" w:after="120" w:line="460" w:lineRule="exact"/>
        <w:ind w:firstLineChars="100" w:firstLine="280"/>
        <w:jc w:val="both"/>
        <w:outlineLvl w:val="3"/>
        <w:rPr>
          <w:rFonts w:ascii="標楷體" w:eastAsia="標楷體" w:hAnsi="標楷體"/>
          <w:b/>
          <w:sz w:val="32"/>
          <w:szCs w:val="32"/>
        </w:rPr>
      </w:pPr>
      <w:r w:rsidRPr="00B474B8">
        <w:rPr>
          <w:rFonts w:ascii="標楷體" w:eastAsia="標楷體" w:hAnsi="標楷體" w:hint="eastAsia"/>
          <w:b/>
          <w:sz w:val="28"/>
          <w:szCs w:val="28"/>
        </w:rPr>
        <w:t>（一）計畫實施之查核</w:t>
      </w:r>
    </w:p>
    <w:p w14:paraId="62406F06" w14:textId="77777777" w:rsidR="004551F8" w:rsidRPr="00B474B8" w:rsidRDefault="004551F8" w:rsidP="004551F8">
      <w:pPr>
        <w:pStyle w:val="a7"/>
        <w:spacing w:before="0" w:after="0"/>
        <w:ind w:firstLine="480"/>
        <w:rPr>
          <w:rFonts w:hAnsi="標楷體"/>
          <w:color w:val="FF0000"/>
        </w:rPr>
      </w:pPr>
      <w:r w:rsidRPr="00B474B8">
        <w:rPr>
          <w:rFonts w:hAnsi="標楷體" w:hint="eastAsia"/>
          <w:color w:val="auto"/>
        </w:rPr>
        <w:t>業務計畫21項，下分工作計畫26項，包括強化垃圾清運及源頭管制、提升環境品質、防制公害污染、維護市容整潔、強化廢（污）水管制、確保公眾飲用水品質、辦理垃圾焚化作業等重要施政項目</w:t>
      </w:r>
      <w:r w:rsidRPr="00B474B8">
        <w:rPr>
          <w:rFonts w:hAnsi="標楷體" w:hint="eastAsia"/>
          <w:color w:val="auto"/>
          <w:spacing w:val="2"/>
        </w:rPr>
        <w:t>，其中已執行完成者23項，尚在執行者3項</w:t>
      </w:r>
      <w:r w:rsidRPr="00B474B8">
        <w:rPr>
          <w:rFonts w:hAnsi="標楷體" w:hint="eastAsia"/>
          <w:color w:val="auto"/>
        </w:rPr>
        <w:t>，主要係環境保護局辦理垃圾焚化廠回饋地方經費尚待支用，須保留繼續執行。</w:t>
      </w:r>
    </w:p>
    <w:p w14:paraId="5CF012B8" w14:textId="77777777" w:rsidR="004551F8" w:rsidRPr="00B474B8" w:rsidRDefault="004551F8" w:rsidP="00B2423B">
      <w:pPr>
        <w:spacing w:before="160" w:after="120" w:line="480" w:lineRule="exact"/>
        <w:ind w:firstLineChars="100" w:firstLine="280"/>
        <w:jc w:val="both"/>
        <w:outlineLvl w:val="3"/>
        <w:rPr>
          <w:rFonts w:ascii="標楷體" w:eastAsia="標楷體" w:hAnsi="標楷體"/>
          <w:b/>
          <w:sz w:val="28"/>
          <w:szCs w:val="28"/>
        </w:rPr>
      </w:pPr>
      <w:r w:rsidRPr="00B474B8">
        <w:rPr>
          <w:rFonts w:ascii="標楷體" w:eastAsia="標楷體" w:hAnsi="標楷體" w:hint="eastAsia"/>
          <w:b/>
          <w:sz w:val="28"/>
          <w:szCs w:val="28"/>
        </w:rPr>
        <w:t>（二）預算執行之審核</w:t>
      </w:r>
    </w:p>
    <w:p w14:paraId="010AF902" w14:textId="77777777" w:rsidR="004551F8" w:rsidRPr="00B474B8" w:rsidRDefault="004551F8" w:rsidP="00DE78EB">
      <w:pPr>
        <w:pStyle w:val="a7"/>
        <w:spacing w:before="0" w:after="0" w:line="480" w:lineRule="exact"/>
        <w:ind w:firstLine="480"/>
        <w:rPr>
          <w:rFonts w:hAnsi="標楷體"/>
          <w:color w:val="auto"/>
        </w:rPr>
      </w:pPr>
      <w:r w:rsidRPr="00B474B8">
        <w:rPr>
          <w:rFonts w:hAnsi="標楷體" w:hint="eastAsia"/>
          <w:color w:val="auto"/>
        </w:rPr>
        <w:t>1.歲入原編列預算數13億5,602萬元，經追加預算1,173萬餘元，合計13億6</w:t>
      </w:r>
      <w:r w:rsidRPr="00B474B8">
        <w:rPr>
          <w:rFonts w:hAnsi="標楷體"/>
          <w:color w:val="auto"/>
        </w:rPr>
        <w:t>,775</w:t>
      </w:r>
      <w:r w:rsidRPr="00B474B8">
        <w:rPr>
          <w:rFonts w:hAnsi="標楷體" w:hint="eastAsia"/>
          <w:color w:val="auto"/>
        </w:rPr>
        <w:t>萬餘元，決算審核結果，審定實現數14億9,50</w:t>
      </w:r>
      <w:r w:rsidRPr="00B474B8">
        <w:rPr>
          <w:rFonts w:hAnsi="標楷體"/>
          <w:color w:val="auto"/>
        </w:rPr>
        <w:t>9</w:t>
      </w:r>
      <w:r w:rsidRPr="00B474B8">
        <w:rPr>
          <w:rFonts w:hAnsi="標楷體" w:hint="eastAsia"/>
          <w:color w:val="auto"/>
        </w:rPr>
        <w:t>萬餘元，應收保留數8,</w:t>
      </w:r>
      <w:r w:rsidRPr="00B474B8">
        <w:rPr>
          <w:rFonts w:hAnsi="標楷體"/>
          <w:color w:val="auto"/>
        </w:rPr>
        <w:t>729</w:t>
      </w:r>
      <w:r w:rsidRPr="00B474B8">
        <w:rPr>
          <w:rFonts w:hAnsi="標楷體" w:hint="eastAsia"/>
          <w:color w:val="auto"/>
        </w:rPr>
        <w:t>萬餘元，主要係環保稽查大隊之違反各類環境保護法令之罰鍰尚待收繳；合計決算審定數為1</w:t>
      </w:r>
      <w:r w:rsidRPr="00B474B8">
        <w:rPr>
          <w:rFonts w:hAnsi="標楷體"/>
          <w:color w:val="auto"/>
        </w:rPr>
        <w:t>5</w:t>
      </w:r>
      <w:r w:rsidRPr="00B474B8">
        <w:rPr>
          <w:rFonts w:hAnsi="標楷體" w:hint="eastAsia"/>
          <w:color w:val="auto"/>
        </w:rPr>
        <w:t>億8,</w:t>
      </w:r>
      <w:r w:rsidRPr="00B474B8">
        <w:rPr>
          <w:rFonts w:hAnsi="標楷體"/>
          <w:color w:val="auto"/>
        </w:rPr>
        <w:t>238</w:t>
      </w:r>
      <w:r w:rsidRPr="00B474B8">
        <w:rPr>
          <w:rFonts w:hAnsi="標楷體" w:hint="eastAsia"/>
          <w:color w:val="auto"/>
        </w:rPr>
        <w:t>萬餘元，較預算增加</w:t>
      </w:r>
      <w:r w:rsidRPr="00B474B8">
        <w:rPr>
          <w:rFonts w:hAnsi="標楷體"/>
          <w:color w:val="auto"/>
        </w:rPr>
        <w:t>2</w:t>
      </w:r>
      <w:r w:rsidRPr="00B474B8">
        <w:rPr>
          <w:rFonts w:hAnsi="標楷體" w:hint="eastAsia"/>
          <w:color w:val="auto"/>
        </w:rPr>
        <w:t>億</w:t>
      </w:r>
      <w:r w:rsidRPr="00B474B8">
        <w:rPr>
          <w:rFonts w:hAnsi="標楷體"/>
          <w:color w:val="auto"/>
        </w:rPr>
        <w:t>1</w:t>
      </w:r>
      <w:r w:rsidRPr="00B474B8">
        <w:rPr>
          <w:rFonts w:hAnsi="標楷體" w:hint="eastAsia"/>
          <w:color w:val="auto"/>
        </w:rPr>
        <w:t>,</w:t>
      </w:r>
      <w:r w:rsidRPr="00B474B8">
        <w:rPr>
          <w:rFonts w:hAnsi="標楷體"/>
          <w:color w:val="auto"/>
        </w:rPr>
        <w:t>4</w:t>
      </w:r>
      <w:r w:rsidRPr="00B474B8">
        <w:rPr>
          <w:rFonts w:hAnsi="標楷體" w:hint="eastAsia"/>
          <w:color w:val="auto"/>
        </w:rPr>
        <w:t>63萬餘元（1</w:t>
      </w:r>
      <w:r w:rsidRPr="00B474B8">
        <w:rPr>
          <w:rFonts w:hAnsi="標楷體"/>
          <w:color w:val="auto"/>
        </w:rPr>
        <w:t>5</w:t>
      </w:r>
      <w:r w:rsidRPr="00B474B8">
        <w:rPr>
          <w:rFonts w:hAnsi="標楷體" w:hint="eastAsia"/>
          <w:color w:val="auto"/>
        </w:rPr>
        <w:t>.</w:t>
      </w:r>
      <w:r w:rsidRPr="00B474B8">
        <w:rPr>
          <w:rFonts w:hAnsi="標楷體"/>
          <w:color w:val="auto"/>
        </w:rPr>
        <w:t>69</w:t>
      </w:r>
      <w:r w:rsidRPr="00B474B8">
        <w:rPr>
          <w:rFonts w:hAnsi="標楷體" w:hint="eastAsia"/>
          <w:color w:val="auto"/>
        </w:rPr>
        <w:t>％），主要係環保稽查大隊之違反各類環境保護法令之罰鍰收入較預計增加。</w:t>
      </w:r>
    </w:p>
    <w:p w14:paraId="1CFF853D" w14:textId="77777777" w:rsidR="004551F8" w:rsidRPr="00B474B8" w:rsidRDefault="004551F8" w:rsidP="00B2423B">
      <w:pPr>
        <w:pStyle w:val="a7"/>
        <w:spacing w:beforeLines="30" w:before="108" w:after="0" w:line="480" w:lineRule="exact"/>
        <w:ind w:firstLine="480"/>
        <w:rPr>
          <w:rFonts w:hAnsi="標楷體"/>
          <w:color w:val="auto"/>
        </w:rPr>
      </w:pPr>
      <w:r w:rsidRPr="00B474B8">
        <w:rPr>
          <w:rFonts w:hAnsi="標楷體" w:hint="eastAsia"/>
          <w:color w:val="auto"/>
        </w:rPr>
        <w:t>2.以前年度歲入轉入數計</w:t>
      </w:r>
      <w:r w:rsidRPr="00B474B8">
        <w:rPr>
          <w:rFonts w:hAnsi="標楷體"/>
          <w:color w:val="auto"/>
        </w:rPr>
        <w:t>9</w:t>
      </w:r>
      <w:r w:rsidRPr="00B474B8">
        <w:rPr>
          <w:rFonts w:hAnsi="標楷體" w:hint="eastAsia"/>
          <w:color w:val="auto"/>
        </w:rPr>
        <w:t>,</w:t>
      </w:r>
      <w:r w:rsidRPr="00B474B8">
        <w:rPr>
          <w:rFonts w:hAnsi="標楷體"/>
          <w:color w:val="auto"/>
        </w:rPr>
        <w:t>480</w:t>
      </w:r>
      <w:r w:rsidRPr="00B474B8">
        <w:rPr>
          <w:rFonts w:hAnsi="標楷體" w:hint="eastAsia"/>
          <w:color w:val="auto"/>
        </w:rPr>
        <w:t>萬餘元，決算審核結果，審定實現數</w:t>
      </w:r>
      <w:r w:rsidRPr="00B474B8">
        <w:rPr>
          <w:rFonts w:hAnsi="標楷體"/>
          <w:color w:val="auto"/>
        </w:rPr>
        <w:t>3</w:t>
      </w:r>
      <w:r w:rsidRPr="00B474B8">
        <w:rPr>
          <w:rFonts w:hAnsi="標楷體" w:hint="eastAsia"/>
          <w:color w:val="auto"/>
        </w:rPr>
        <w:t>,2</w:t>
      </w:r>
      <w:r w:rsidRPr="00B474B8">
        <w:rPr>
          <w:rFonts w:hAnsi="標楷體"/>
          <w:color w:val="auto"/>
        </w:rPr>
        <w:t>34</w:t>
      </w:r>
      <w:r w:rsidRPr="00B474B8">
        <w:rPr>
          <w:rFonts w:hAnsi="標楷體" w:hint="eastAsia"/>
          <w:color w:val="auto"/>
        </w:rPr>
        <w:t>萬餘元（3</w:t>
      </w:r>
      <w:r w:rsidRPr="00B474B8">
        <w:rPr>
          <w:rFonts w:hAnsi="標楷體"/>
          <w:color w:val="auto"/>
        </w:rPr>
        <w:t>4</w:t>
      </w:r>
      <w:r w:rsidRPr="00B474B8">
        <w:rPr>
          <w:rFonts w:hAnsi="標楷體" w:hint="eastAsia"/>
          <w:color w:val="auto"/>
        </w:rPr>
        <w:t>.</w:t>
      </w:r>
      <w:r w:rsidRPr="00B474B8">
        <w:rPr>
          <w:rFonts w:hAnsi="標楷體"/>
          <w:color w:val="auto"/>
        </w:rPr>
        <w:t>12</w:t>
      </w:r>
      <w:r w:rsidRPr="00B474B8">
        <w:rPr>
          <w:rFonts w:hAnsi="標楷體" w:hint="eastAsia"/>
          <w:color w:val="auto"/>
        </w:rPr>
        <w:t>％）；減免（註銷）數9</w:t>
      </w:r>
      <w:r w:rsidRPr="00B474B8">
        <w:rPr>
          <w:rFonts w:hAnsi="標楷體"/>
          <w:color w:val="auto"/>
        </w:rPr>
        <w:t>18</w:t>
      </w:r>
      <w:r w:rsidRPr="00B474B8">
        <w:rPr>
          <w:rFonts w:hAnsi="標楷體" w:hint="eastAsia"/>
          <w:color w:val="auto"/>
        </w:rPr>
        <w:t>萬餘元（9.</w:t>
      </w:r>
      <w:r w:rsidRPr="00B474B8">
        <w:rPr>
          <w:rFonts w:hAnsi="標楷體"/>
          <w:color w:val="auto"/>
        </w:rPr>
        <w:t>68</w:t>
      </w:r>
      <w:r w:rsidRPr="00B474B8">
        <w:rPr>
          <w:rFonts w:hAnsi="標楷體" w:hint="eastAsia"/>
          <w:color w:val="auto"/>
        </w:rPr>
        <w:t>％），主要係環保稽查大隊之違反各類環境保護法令之裁罰案件，依法取得執行憑證辦理註銷；應收保留數</w:t>
      </w:r>
      <w:r w:rsidRPr="00B474B8">
        <w:rPr>
          <w:rFonts w:hAnsi="標楷體"/>
          <w:color w:val="auto"/>
        </w:rPr>
        <w:t>5</w:t>
      </w:r>
      <w:r w:rsidRPr="00B474B8">
        <w:rPr>
          <w:rFonts w:hAnsi="標楷體" w:hint="eastAsia"/>
          <w:color w:val="auto"/>
        </w:rPr>
        <w:t>,</w:t>
      </w:r>
      <w:r w:rsidRPr="00B474B8">
        <w:rPr>
          <w:rFonts w:hAnsi="標楷體"/>
          <w:color w:val="auto"/>
        </w:rPr>
        <w:t>327</w:t>
      </w:r>
      <w:r w:rsidRPr="00B474B8">
        <w:rPr>
          <w:rFonts w:hAnsi="標楷體" w:hint="eastAsia"/>
          <w:color w:val="auto"/>
        </w:rPr>
        <w:t>萬餘元（5</w:t>
      </w:r>
      <w:r w:rsidRPr="00B474B8">
        <w:rPr>
          <w:rFonts w:hAnsi="標楷體"/>
          <w:color w:val="auto"/>
        </w:rPr>
        <w:t>6</w:t>
      </w:r>
      <w:r w:rsidRPr="00B474B8">
        <w:rPr>
          <w:rFonts w:hAnsi="標楷體" w:hint="eastAsia"/>
          <w:color w:val="auto"/>
        </w:rPr>
        <w:t>.</w:t>
      </w:r>
      <w:r w:rsidRPr="00B474B8">
        <w:rPr>
          <w:rFonts w:hAnsi="標楷體"/>
          <w:color w:val="auto"/>
        </w:rPr>
        <w:t>2</w:t>
      </w:r>
      <w:r w:rsidRPr="00B474B8">
        <w:rPr>
          <w:rFonts w:hAnsi="標楷體" w:hint="eastAsia"/>
          <w:color w:val="auto"/>
        </w:rPr>
        <w:t>0％），主要係環保稽查大隊之違反各類環境保護法令之罰鍰尚待收繳。</w:t>
      </w:r>
    </w:p>
    <w:p w14:paraId="11A741E4" w14:textId="77777777" w:rsidR="004551F8" w:rsidRPr="00B474B8" w:rsidRDefault="004551F8" w:rsidP="00B2423B">
      <w:pPr>
        <w:pStyle w:val="a7"/>
        <w:spacing w:beforeLines="30" w:before="108" w:after="0" w:line="480" w:lineRule="exact"/>
        <w:ind w:firstLine="480"/>
        <w:rPr>
          <w:rFonts w:hAnsi="標楷體"/>
          <w:color w:val="auto"/>
        </w:rPr>
      </w:pPr>
      <w:r w:rsidRPr="00B474B8">
        <w:rPr>
          <w:rFonts w:hAnsi="標楷體" w:hint="eastAsia"/>
          <w:color w:val="auto"/>
        </w:rPr>
        <w:t>3.歲出原編列預算數76億1,088萬餘元，經追加預算1億8,860萬餘元，及環境保護局主管等5個機關因人事費不足申請動支各類員工待遇準備1億9,318萬餘元，合計79億9,267萬餘元，決算審核結果，審定實現數78億2,704萬餘元（97.9</w:t>
      </w:r>
      <w:r w:rsidRPr="00B474B8">
        <w:rPr>
          <w:rFonts w:hAnsi="標楷體"/>
          <w:color w:val="auto"/>
        </w:rPr>
        <w:t>3</w:t>
      </w:r>
      <w:r w:rsidRPr="00B474B8">
        <w:rPr>
          <w:rFonts w:hAnsi="標楷體" w:hint="eastAsia"/>
          <w:color w:val="auto"/>
        </w:rPr>
        <w:t>％），應付保留數8</w:t>
      </w:r>
      <w:r w:rsidRPr="00B474B8">
        <w:rPr>
          <w:rFonts w:hAnsi="標楷體"/>
          <w:color w:val="auto"/>
        </w:rPr>
        <w:t>,163</w:t>
      </w:r>
      <w:r w:rsidRPr="00B474B8">
        <w:rPr>
          <w:rFonts w:hAnsi="標楷體" w:hint="eastAsia"/>
          <w:color w:val="auto"/>
        </w:rPr>
        <w:t>萬餘元（1.</w:t>
      </w:r>
      <w:r w:rsidRPr="00B474B8">
        <w:rPr>
          <w:rFonts w:hAnsi="標楷體"/>
          <w:color w:val="auto"/>
        </w:rPr>
        <w:t>02</w:t>
      </w:r>
      <w:r w:rsidRPr="00B474B8">
        <w:rPr>
          <w:rFonts w:hAnsi="標楷體" w:hint="eastAsia"/>
          <w:color w:val="auto"/>
        </w:rPr>
        <w:t>％），保留原因詳「（一）計畫實施之查核」說明；合計決算審定數為7</w:t>
      </w:r>
      <w:r w:rsidRPr="00B474B8">
        <w:rPr>
          <w:rFonts w:hAnsi="標楷體"/>
          <w:color w:val="auto"/>
        </w:rPr>
        <w:t>9</w:t>
      </w:r>
      <w:r w:rsidRPr="00B474B8">
        <w:rPr>
          <w:rFonts w:hAnsi="標楷體" w:hint="eastAsia"/>
          <w:color w:val="auto"/>
        </w:rPr>
        <w:t>億8</w:t>
      </w:r>
      <w:r w:rsidRPr="00B474B8">
        <w:rPr>
          <w:rFonts w:hAnsi="標楷體"/>
          <w:color w:val="auto"/>
        </w:rPr>
        <w:t>67</w:t>
      </w:r>
      <w:r w:rsidRPr="00B474B8">
        <w:rPr>
          <w:rFonts w:hAnsi="標楷體" w:hint="eastAsia"/>
          <w:color w:val="auto"/>
        </w:rPr>
        <w:t>萬餘元，預算賸餘8,</w:t>
      </w:r>
      <w:r w:rsidRPr="00B474B8">
        <w:rPr>
          <w:rFonts w:hAnsi="標楷體"/>
          <w:color w:val="auto"/>
        </w:rPr>
        <w:t>399</w:t>
      </w:r>
      <w:r w:rsidRPr="00B474B8">
        <w:rPr>
          <w:rFonts w:hAnsi="標楷體" w:hint="eastAsia"/>
          <w:color w:val="auto"/>
        </w:rPr>
        <w:t>萬餘元（1.0</w:t>
      </w:r>
      <w:r w:rsidRPr="00B474B8">
        <w:rPr>
          <w:rFonts w:hAnsi="標楷體"/>
          <w:color w:val="auto"/>
        </w:rPr>
        <w:t>5</w:t>
      </w:r>
      <w:r w:rsidRPr="00B474B8">
        <w:rPr>
          <w:rFonts w:hAnsi="標楷體" w:hint="eastAsia"/>
          <w:color w:val="auto"/>
        </w:rPr>
        <w:t>％），主要係環境保護局按業務需要減少支付之賸餘。</w:t>
      </w:r>
    </w:p>
    <w:p w14:paraId="589786CE" w14:textId="77777777" w:rsidR="004551F8" w:rsidRPr="00B474B8" w:rsidRDefault="004551F8" w:rsidP="004551F8">
      <w:pPr>
        <w:pStyle w:val="a7"/>
        <w:spacing w:before="0" w:after="0"/>
        <w:ind w:firstLine="472"/>
        <w:rPr>
          <w:rFonts w:hAnsi="標楷體"/>
          <w:color w:val="auto"/>
          <w:spacing w:val="-2"/>
        </w:rPr>
      </w:pPr>
      <w:r w:rsidRPr="00B474B8">
        <w:rPr>
          <w:rFonts w:hAnsi="標楷體" w:hint="eastAsia"/>
          <w:color w:val="auto"/>
          <w:spacing w:val="-2"/>
        </w:rPr>
        <w:lastRenderedPageBreak/>
        <w:t>4.以前年度歲出轉入數計1億1,388萬餘元，決算審核結果，審定實現數7,985萬餘元（70.12％）；減免（註銷）數2</w:t>
      </w:r>
      <w:r w:rsidRPr="00B474B8">
        <w:rPr>
          <w:rFonts w:hAnsi="標楷體"/>
          <w:color w:val="auto"/>
          <w:spacing w:val="-2"/>
        </w:rPr>
        <w:t>,572</w:t>
      </w:r>
      <w:r w:rsidRPr="00B474B8">
        <w:rPr>
          <w:rFonts w:hAnsi="標楷體" w:hint="eastAsia"/>
          <w:color w:val="auto"/>
          <w:spacing w:val="-2"/>
        </w:rPr>
        <w:t>萬餘元（2</w:t>
      </w:r>
      <w:r w:rsidRPr="00B474B8">
        <w:rPr>
          <w:rFonts w:hAnsi="標楷體"/>
          <w:color w:val="auto"/>
          <w:spacing w:val="-2"/>
        </w:rPr>
        <w:t>2</w:t>
      </w:r>
      <w:r w:rsidRPr="00B474B8">
        <w:rPr>
          <w:rFonts w:hAnsi="標楷體" w:hint="eastAsia"/>
          <w:color w:val="auto"/>
          <w:spacing w:val="-2"/>
        </w:rPr>
        <w:t>.</w:t>
      </w:r>
      <w:r w:rsidRPr="00B474B8">
        <w:rPr>
          <w:rFonts w:hAnsi="標楷體"/>
          <w:color w:val="auto"/>
          <w:spacing w:val="-2"/>
        </w:rPr>
        <w:t>59</w:t>
      </w:r>
      <w:r w:rsidRPr="00B474B8">
        <w:rPr>
          <w:rFonts w:hAnsi="標楷體" w:hint="eastAsia"/>
          <w:color w:val="auto"/>
          <w:spacing w:val="-2"/>
        </w:rPr>
        <w:t>％），主要係</w:t>
      </w:r>
      <w:r w:rsidRPr="00B474B8">
        <w:rPr>
          <w:rFonts w:hAnsi="標楷體" w:hint="eastAsia"/>
          <w:color w:val="auto"/>
        </w:rPr>
        <w:t>環境保護局之</w:t>
      </w:r>
      <w:r w:rsidRPr="00B474B8">
        <w:rPr>
          <w:rFonts w:hAnsi="標楷體" w:hint="eastAsia"/>
          <w:color w:val="auto"/>
          <w:spacing w:val="-2"/>
        </w:rPr>
        <w:t>垃圾焚化廠回饋地方經費之賸餘；應付保留數</w:t>
      </w:r>
      <w:r w:rsidRPr="00B474B8">
        <w:rPr>
          <w:rFonts w:hAnsi="標楷體"/>
          <w:color w:val="auto"/>
          <w:spacing w:val="-2"/>
        </w:rPr>
        <w:t>830</w:t>
      </w:r>
      <w:r w:rsidRPr="00B474B8">
        <w:rPr>
          <w:rFonts w:hAnsi="標楷體" w:hint="eastAsia"/>
          <w:color w:val="auto"/>
          <w:spacing w:val="-2"/>
        </w:rPr>
        <w:t>萬餘元（</w:t>
      </w:r>
      <w:r w:rsidRPr="00B474B8">
        <w:rPr>
          <w:rFonts w:hAnsi="標楷體"/>
          <w:color w:val="auto"/>
          <w:spacing w:val="-2"/>
        </w:rPr>
        <w:t>7</w:t>
      </w:r>
      <w:r w:rsidRPr="00B474B8">
        <w:rPr>
          <w:rFonts w:hAnsi="標楷體" w:hint="eastAsia"/>
          <w:color w:val="auto"/>
          <w:spacing w:val="-2"/>
        </w:rPr>
        <w:t>.</w:t>
      </w:r>
      <w:r w:rsidRPr="00B474B8">
        <w:rPr>
          <w:rFonts w:hAnsi="標楷體"/>
          <w:color w:val="auto"/>
          <w:spacing w:val="-2"/>
        </w:rPr>
        <w:t>29</w:t>
      </w:r>
      <w:r w:rsidRPr="00B474B8">
        <w:rPr>
          <w:rFonts w:hAnsi="標楷體" w:hint="eastAsia"/>
          <w:color w:val="auto"/>
          <w:spacing w:val="-2"/>
        </w:rPr>
        <w:t>％），主要係環境保護</w:t>
      </w:r>
      <w:proofErr w:type="gramStart"/>
      <w:r w:rsidRPr="00B474B8">
        <w:rPr>
          <w:rFonts w:hAnsi="標楷體" w:hint="eastAsia"/>
          <w:color w:val="auto"/>
          <w:spacing w:val="-2"/>
        </w:rPr>
        <w:t>局參建</w:t>
      </w:r>
      <w:proofErr w:type="gramEnd"/>
      <w:r w:rsidRPr="00B474B8">
        <w:rPr>
          <w:rFonts w:hAnsi="標楷體" w:hint="eastAsia"/>
          <w:color w:val="auto"/>
          <w:spacing w:val="-2"/>
        </w:rPr>
        <w:t>臺北市中山區培英基地公共住宅新建工程及廣慈博愛園區南區新建工程，配合工程進度，須保留繼續執行。</w:t>
      </w:r>
    </w:p>
    <w:p w14:paraId="481B6D28" w14:textId="77777777" w:rsidR="004551F8" w:rsidRPr="00B474B8" w:rsidRDefault="004551F8" w:rsidP="004551F8">
      <w:pPr>
        <w:spacing w:before="120" w:after="120" w:line="460" w:lineRule="exact"/>
        <w:jc w:val="both"/>
        <w:outlineLvl w:val="2"/>
        <w:rPr>
          <w:rFonts w:ascii="標楷體" w:eastAsia="標楷體" w:hAnsi="標楷體"/>
          <w:b/>
          <w:sz w:val="32"/>
          <w:szCs w:val="32"/>
        </w:rPr>
      </w:pPr>
      <w:r w:rsidRPr="00B474B8">
        <w:rPr>
          <w:rFonts w:ascii="標楷體" w:eastAsia="標楷體" w:hAnsi="標楷體" w:hint="eastAsia"/>
          <w:b/>
          <w:sz w:val="32"/>
          <w:szCs w:val="32"/>
        </w:rPr>
        <w:t>二、附屬單位決算非營業部分</w:t>
      </w:r>
    </w:p>
    <w:p w14:paraId="5F37714B" w14:textId="77777777" w:rsidR="004551F8" w:rsidRPr="00B474B8" w:rsidRDefault="004551F8" w:rsidP="004551F8">
      <w:pPr>
        <w:pStyle w:val="05"/>
        <w:spacing w:before="0" w:beforeAutospacing="0" w:after="0" w:afterAutospacing="0"/>
        <w:ind w:firstLine="480"/>
        <w:rPr>
          <w:rFonts w:hAnsi="標楷體"/>
          <w:sz w:val="32"/>
          <w:szCs w:val="32"/>
        </w:rPr>
      </w:pPr>
      <w:r w:rsidRPr="00B474B8">
        <w:rPr>
          <w:rFonts w:hAnsi="標楷體" w:hint="eastAsia"/>
        </w:rPr>
        <w:t>環境保護局主管僅臺北市環境保護基金（屬特別收入基金，含空氣污染防制基金、資源回收基金、一般廢棄物清除處理基金、水污染防治基金及環境教育基金等5個分基金）1個單位。茲將</w:t>
      </w:r>
      <w:proofErr w:type="gramStart"/>
      <w:r w:rsidRPr="00B474B8">
        <w:rPr>
          <w:rFonts w:hAnsi="標楷體" w:hint="eastAsia"/>
        </w:rPr>
        <w:t>11</w:t>
      </w:r>
      <w:r w:rsidRPr="00B474B8">
        <w:rPr>
          <w:rFonts w:hAnsi="標楷體"/>
        </w:rPr>
        <w:t>3</w:t>
      </w:r>
      <w:proofErr w:type="gramEnd"/>
      <w:r w:rsidRPr="00B474B8">
        <w:rPr>
          <w:rFonts w:hAnsi="標楷體" w:hint="eastAsia"/>
        </w:rPr>
        <w:t>年度決算審核結果說明如次：</w:t>
      </w:r>
    </w:p>
    <w:p w14:paraId="6D023B4F" w14:textId="77777777" w:rsidR="004551F8" w:rsidRPr="00B474B8" w:rsidRDefault="004551F8" w:rsidP="004551F8">
      <w:pPr>
        <w:spacing w:before="120" w:after="120" w:line="460" w:lineRule="exact"/>
        <w:ind w:firstLineChars="100" w:firstLine="280"/>
        <w:jc w:val="both"/>
        <w:outlineLvl w:val="3"/>
        <w:rPr>
          <w:rFonts w:ascii="標楷體" w:eastAsia="標楷體" w:hAnsi="標楷體"/>
          <w:b/>
          <w:sz w:val="28"/>
          <w:szCs w:val="28"/>
        </w:rPr>
      </w:pPr>
      <w:r w:rsidRPr="00B474B8">
        <w:rPr>
          <w:rFonts w:ascii="標楷體" w:eastAsia="標楷體" w:hAnsi="標楷體" w:hint="eastAsia"/>
          <w:b/>
          <w:sz w:val="28"/>
          <w:szCs w:val="28"/>
        </w:rPr>
        <w:t>（一）計畫實施之查核</w:t>
      </w:r>
    </w:p>
    <w:p w14:paraId="09AA4994" w14:textId="77777777" w:rsidR="004551F8" w:rsidRPr="00B474B8" w:rsidRDefault="004551F8" w:rsidP="004551F8">
      <w:pPr>
        <w:pStyle w:val="05"/>
        <w:spacing w:before="0" w:beforeAutospacing="0" w:after="0" w:afterAutospacing="0"/>
        <w:ind w:firstLine="480"/>
        <w:rPr>
          <w:rFonts w:hAnsi="標楷體"/>
          <w:sz w:val="32"/>
          <w:szCs w:val="32"/>
        </w:rPr>
      </w:pPr>
      <w:r w:rsidRPr="00B474B8">
        <w:rPr>
          <w:rFonts w:hAnsi="標楷體" w:hint="eastAsia"/>
        </w:rPr>
        <w:t>業務計畫主要有空氣污染防制計畫、資源回收計畫、廢棄物清理計畫、水污染防治計畫、環境教育計畫、辦理環保業務所需之車輛購置等6項，實施結果，計有空氣污染防制計畫及辦理環保業務所需之車輛購置等2項，或因電動機車補助案件較預計減少，或因購置</w:t>
      </w:r>
      <w:proofErr w:type="gramStart"/>
      <w:r w:rsidRPr="00B474B8">
        <w:rPr>
          <w:rFonts w:hAnsi="標楷體" w:hint="eastAsia"/>
        </w:rPr>
        <w:t>汰</w:t>
      </w:r>
      <w:proofErr w:type="gramEnd"/>
      <w:r w:rsidRPr="00B474B8">
        <w:rPr>
          <w:rFonts w:hAnsi="標楷體" w:hint="eastAsia"/>
        </w:rPr>
        <w:t>換</w:t>
      </w:r>
      <w:r w:rsidRPr="00B474B8">
        <w:rPr>
          <w:rFonts w:hAnsi="標楷體"/>
        </w:rPr>
        <w:t>環保清潔車輛</w:t>
      </w:r>
      <w:r w:rsidRPr="00B474B8">
        <w:rPr>
          <w:rFonts w:hAnsi="標楷體" w:hint="eastAsia"/>
        </w:rPr>
        <w:t>，依實際需求辦理，致未達預計目標</w:t>
      </w:r>
      <w:r w:rsidRPr="00B474B8">
        <w:rPr>
          <w:rFonts w:hAnsi="標楷體"/>
        </w:rPr>
        <w:t>。</w:t>
      </w:r>
    </w:p>
    <w:p w14:paraId="64D55A40" w14:textId="77777777" w:rsidR="004551F8" w:rsidRPr="00B474B8" w:rsidRDefault="004551F8" w:rsidP="004551F8">
      <w:pPr>
        <w:spacing w:before="120" w:after="120" w:line="460" w:lineRule="exact"/>
        <w:ind w:firstLineChars="100" w:firstLine="280"/>
        <w:jc w:val="both"/>
        <w:outlineLvl w:val="3"/>
        <w:rPr>
          <w:rFonts w:ascii="標楷體" w:eastAsia="標楷體" w:hAnsi="標楷體"/>
          <w:b/>
          <w:sz w:val="32"/>
          <w:szCs w:val="32"/>
        </w:rPr>
      </w:pPr>
      <w:r w:rsidRPr="00B474B8">
        <w:rPr>
          <w:rFonts w:ascii="標楷體" w:eastAsia="標楷體" w:hAnsi="標楷體" w:hint="eastAsia"/>
          <w:b/>
          <w:sz w:val="28"/>
          <w:szCs w:val="28"/>
        </w:rPr>
        <w:t>（二）餘</w:t>
      </w:r>
      <w:proofErr w:type="gramStart"/>
      <w:r w:rsidRPr="00B474B8">
        <w:rPr>
          <w:rFonts w:ascii="標楷體" w:eastAsia="標楷體" w:hAnsi="標楷體" w:hint="eastAsia"/>
          <w:b/>
          <w:sz w:val="28"/>
          <w:szCs w:val="28"/>
        </w:rPr>
        <w:t>絀</w:t>
      </w:r>
      <w:proofErr w:type="gramEnd"/>
      <w:r w:rsidRPr="00B474B8">
        <w:rPr>
          <w:rFonts w:ascii="標楷體" w:eastAsia="標楷體" w:hAnsi="標楷體" w:hint="eastAsia"/>
          <w:b/>
          <w:sz w:val="28"/>
          <w:szCs w:val="28"/>
        </w:rPr>
        <w:t>之審定</w:t>
      </w:r>
    </w:p>
    <w:p w14:paraId="67F43EE3" w14:textId="77777777" w:rsidR="004551F8" w:rsidRPr="00B474B8" w:rsidRDefault="004551F8" w:rsidP="004551F8">
      <w:pPr>
        <w:pStyle w:val="05"/>
        <w:spacing w:before="0" w:beforeAutospacing="0" w:after="0" w:afterAutospacing="0"/>
        <w:ind w:firstLine="480"/>
        <w:rPr>
          <w:rFonts w:hAnsi="標楷體"/>
        </w:rPr>
      </w:pPr>
      <w:r w:rsidRPr="00B474B8">
        <w:rPr>
          <w:rFonts w:hAnsi="標楷體" w:hint="eastAsia"/>
        </w:rPr>
        <w:t>決算審核結果，審定賸餘</w:t>
      </w:r>
      <w:r w:rsidRPr="00B474B8">
        <w:rPr>
          <w:rFonts w:hAnsi="標楷體"/>
        </w:rPr>
        <w:t>3,119萬餘元</w:t>
      </w:r>
      <w:r w:rsidRPr="00B474B8">
        <w:rPr>
          <w:rFonts w:hAnsi="標楷體" w:hint="eastAsia"/>
        </w:rPr>
        <w:t>，較預算賸餘</w:t>
      </w:r>
      <w:r w:rsidRPr="00B474B8">
        <w:rPr>
          <w:rFonts w:hAnsi="標楷體"/>
        </w:rPr>
        <w:t>1億47萬餘元</w:t>
      </w:r>
      <w:r w:rsidRPr="00B474B8">
        <w:rPr>
          <w:rFonts w:hAnsi="標楷體" w:hint="eastAsia"/>
        </w:rPr>
        <w:t>，減少</w:t>
      </w:r>
      <w:r w:rsidRPr="00B474B8">
        <w:rPr>
          <w:rFonts w:hAnsi="標楷體"/>
        </w:rPr>
        <w:t>6,927萬餘元，約68.95％</w:t>
      </w:r>
      <w:r w:rsidRPr="00B474B8">
        <w:rPr>
          <w:rFonts w:hAnsi="標楷體" w:hint="eastAsia"/>
        </w:rPr>
        <w:t>，主要係內湖、木柵及北投垃圾焚化廠依實際需求辦理設備、設施整修，超支經費依規定</w:t>
      </w:r>
      <w:proofErr w:type="gramStart"/>
      <w:r w:rsidRPr="00B474B8">
        <w:rPr>
          <w:rFonts w:hAnsi="標楷體" w:hint="eastAsia"/>
        </w:rPr>
        <w:t>併</w:t>
      </w:r>
      <w:proofErr w:type="gramEnd"/>
      <w:r w:rsidRPr="00B474B8">
        <w:rPr>
          <w:rFonts w:hAnsi="標楷體" w:hint="eastAsia"/>
        </w:rPr>
        <w:t>決算所致。</w:t>
      </w:r>
    </w:p>
    <w:p w14:paraId="201D6B0D" w14:textId="77777777" w:rsidR="004551F8" w:rsidRPr="00B474B8" w:rsidRDefault="004551F8" w:rsidP="004551F8">
      <w:pPr>
        <w:spacing w:before="120" w:after="120" w:line="460" w:lineRule="exact"/>
        <w:jc w:val="both"/>
        <w:outlineLvl w:val="2"/>
        <w:rPr>
          <w:rFonts w:ascii="標楷體" w:eastAsia="標楷體" w:hAnsi="標楷體"/>
          <w:b/>
          <w:sz w:val="32"/>
          <w:szCs w:val="32"/>
        </w:rPr>
      </w:pPr>
      <w:r w:rsidRPr="00B474B8">
        <w:rPr>
          <w:rFonts w:ascii="標楷體" w:eastAsia="標楷體" w:hAnsi="標楷體" w:hint="eastAsia"/>
          <w:b/>
          <w:sz w:val="32"/>
          <w:szCs w:val="32"/>
        </w:rPr>
        <w:t>三、重要審核意見</w:t>
      </w:r>
    </w:p>
    <w:p w14:paraId="23A08A5F" w14:textId="2CE88032" w:rsidR="004551F8" w:rsidRPr="00B474B8" w:rsidRDefault="004551F8" w:rsidP="004551F8">
      <w:pPr>
        <w:pStyle w:val="afffffd"/>
        <w:spacing w:before="120" w:after="120" w:line="460" w:lineRule="exact"/>
        <w:ind w:firstLineChars="100" w:firstLine="280"/>
        <w:jc w:val="both"/>
        <w:rPr>
          <w:rFonts w:ascii="標楷體" w:eastAsia="標楷體" w:hAnsi="標楷體"/>
          <w:b/>
          <w:sz w:val="28"/>
          <w:szCs w:val="28"/>
        </w:rPr>
      </w:pPr>
      <w:r w:rsidRPr="00B474B8">
        <w:rPr>
          <w:rFonts w:ascii="標楷體" w:eastAsia="標楷體" w:hAnsi="標楷體" w:hint="eastAsia"/>
          <w:b/>
          <w:sz w:val="28"/>
          <w:szCs w:val="28"/>
        </w:rPr>
        <w:t>（一）</w:t>
      </w:r>
      <w:r w:rsidR="004B0E9F">
        <w:rPr>
          <w:rFonts w:ascii="標楷體" w:eastAsia="標楷體" w:hAnsi="標楷體" w:cs="Times New Roman" w:hint="eastAsia"/>
          <w:b/>
          <w:sz w:val="28"/>
          <w:szCs w:val="28"/>
        </w:rPr>
        <w:t>持續</w:t>
      </w:r>
      <w:r w:rsidRPr="00B474B8">
        <w:rPr>
          <w:rFonts w:ascii="標楷體" w:eastAsia="標楷體" w:hAnsi="標楷體" w:cs="Times New Roman" w:hint="eastAsia"/>
          <w:b/>
          <w:sz w:val="28"/>
          <w:szCs w:val="28"/>
        </w:rPr>
        <w:t>推動溫室氣體減量，</w:t>
      </w:r>
      <w:r w:rsidR="004B0E9F">
        <w:rPr>
          <w:rFonts w:ascii="標楷體" w:eastAsia="標楷體" w:hAnsi="標楷體" w:cs="Times New Roman" w:hint="eastAsia"/>
          <w:b/>
          <w:sz w:val="28"/>
          <w:szCs w:val="28"/>
        </w:rPr>
        <w:t>並</w:t>
      </w:r>
      <w:r w:rsidRPr="00B474B8">
        <w:rPr>
          <w:rFonts w:ascii="標楷體" w:eastAsia="標楷體" w:hAnsi="標楷體" w:cs="Times New Roman" w:hint="eastAsia"/>
          <w:b/>
          <w:sz w:val="28"/>
          <w:szCs w:val="28"/>
        </w:rPr>
        <w:t>訂定階段性減量目標，惟</w:t>
      </w:r>
      <w:proofErr w:type="gramStart"/>
      <w:r w:rsidRPr="00B474B8">
        <w:rPr>
          <w:rFonts w:ascii="標楷體" w:eastAsia="標楷體" w:hAnsi="標楷體" w:cs="Times New Roman" w:hint="eastAsia"/>
          <w:b/>
          <w:sz w:val="28"/>
          <w:szCs w:val="28"/>
        </w:rPr>
        <w:t>1</w:t>
      </w:r>
      <w:r w:rsidRPr="00B474B8">
        <w:rPr>
          <w:rFonts w:ascii="標楷體" w:eastAsia="標楷體" w:hAnsi="標楷體" w:cs="Times New Roman"/>
          <w:b/>
          <w:sz w:val="28"/>
          <w:szCs w:val="28"/>
        </w:rPr>
        <w:t>12</w:t>
      </w:r>
      <w:proofErr w:type="gramEnd"/>
      <w:r w:rsidRPr="00B474B8">
        <w:rPr>
          <w:rFonts w:ascii="標楷體" w:eastAsia="標楷體" w:hAnsi="標楷體" w:cs="Times New Roman" w:hint="eastAsia"/>
          <w:b/>
          <w:sz w:val="28"/>
          <w:szCs w:val="28"/>
        </w:rPr>
        <w:t>年度臺北市溫室氣體淨排放量不減反增，且113年用電量成長，增加碳排放壓力，亟待</w:t>
      </w:r>
      <w:proofErr w:type="gramStart"/>
      <w:r w:rsidRPr="00B474B8">
        <w:rPr>
          <w:rFonts w:ascii="標楷體" w:eastAsia="標楷體" w:hAnsi="標楷體" w:cs="Times New Roman" w:hint="eastAsia"/>
          <w:b/>
          <w:sz w:val="28"/>
          <w:szCs w:val="28"/>
        </w:rPr>
        <w:t>因應妥處</w:t>
      </w:r>
      <w:proofErr w:type="gramEnd"/>
      <w:r w:rsidRPr="00B474B8">
        <w:rPr>
          <w:rFonts w:ascii="標楷體" w:eastAsia="標楷體" w:hAnsi="標楷體" w:cs="Times New Roman" w:hint="eastAsia"/>
          <w:b/>
          <w:sz w:val="28"/>
          <w:szCs w:val="28"/>
        </w:rPr>
        <w:t>，以達成</w:t>
      </w:r>
      <w:proofErr w:type="gramStart"/>
      <w:r w:rsidRPr="00B474B8">
        <w:rPr>
          <w:rFonts w:ascii="標楷體" w:eastAsia="標楷體" w:hAnsi="標楷體" w:cs="Times New Roman" w:hint="eastAsia"/>
          <w:b/>
          <w:sz w:val="28"/>
          <w:szCs w:val="28"/>
        </w:rPr>
        <w:t>階段性減碳目標</w:t>
      </w:r>
      <w:proofErr w:type="gramEnd"/>
      <w:r w:rsidRPr="00B474B8">
        <w:rPr>
          <w:rFonts w:ascii="標楷體" w:eastAsia="標楷體" w:hAnsi="標楷體" w:cs="Times New Roman" w:hint="eastAsia"/>
          <w:b/>
          <w:sz w:val="28"/>
          <w:szCs w:val="28"/>
        </w:rPr>
        <w:t>。</w:t>
      </w:r>
    </w:p>
    <w:p w14:paraId="448E66B3" w14:textId="77777777" w:rsidR="00AE147C" w:rsidRDefault="004551F8" w:rsidP="004551F8">
      <w:pPr>
        <w:overflowPunct w:val="0"/>
        <w:adjustRightInd w:val="0"/>
        <w:snapToGrid w:val="0"/>
        <w:spacing w:line="460" w:lineRule="exact"/>
        <w:ind w:firstLineChars="200" w:firstLine="480"/>
        <w:jc w:val="both"/>
        <w:rPr>
          <w:rFonts w:ascii="標楷體" w:eastAsia="標楷體" w:hAnsi="標楷體"/>
        </w:rPr>
      </w:pPr>
      <w:r w:rsidRPr="00B474B8">
        <w:rPr>
          <w:rFonts w:ascii="標楷體" w:eastAsia="標楷體" w:hAnsi="標楷體" w:hint="eastAsia"/>
        </w:rPr>
        <w:t>臺北市政府為推動溫室氣體減量，訂定階段性減量目標，分別於108年5月及112年5月報經行政院環境保護署（112年8月22日改制為環境部）核定第1期（107至109年）及第2期（110至114年）溫室氣體減量執行方案，114年應</w:t>
      </w:r>
      <w:r w:rsidRPr="00B474B8">
        <w:rPr>
          <w:rFonts w:ascii="標楷體" w:eastAsia="標楷體" w:hAnsi="標楷體"/>
        </w:rPr>
        <w:t>較</w:t>
      </w:r>
      <w:r w:rsidRPr="00B474B8">
        <w:rPr>
          <w:rFonts w:ascii="標楷體" w:eastAsia="標楷體" w:hAnsi="標楷體" w:hint="eastAsia"/>
        </w:rPr>
        <w:t>94年（</w:t>
      </w:r>
      <w:r w:rsidRPr="00B474B8">
        <w:rPr>
          <w:rFonts w:ascii="標楷體" w:eastAsia="標楷體" w:hAnsi="標楷體"/>
        </w:rPr>
        <w:t>基期年</w:t>
      </w:r>
      <w:r w:rsidRPr="00B474B8">
        <w:rPr>
          <w:rFonts w:ascii="標楷體" w:eastAsia="標楷體" w:hAnsi="標楷體" w:hint="eastAsia"/>
        </w:rPr>
        <w:t>）</w:t>
      </w:r>
      <w:proofErr w:type="gramStart"/>
      <w:r w:rsidRPr="00B474B8">
        <w:rPr>
          <w:rFonts w:ascii="標楷體" w:eastAsia="標楷體" w:hAnsi="標楷體"/>
        </w:rPr>
        <w:t>減碳</w:t>
      </w:r>
      <w:proofErr w:type="gramEnd"/>
      <w:r w:rsidRPr="00B474B8">
        <w:rPr>
          <w:rFonts w:ascii="標楷體" w:eastAsia="標楷體" w:hAnsi="標楷體" w:hint="eastAsia"/>
        </w:rPr>
        <w:t>25％，119年</w:t>
      </w:r>
      <w:proofErr w:type="gramStart"/>
      <w:r w:rsidRPr="00B474B8">
        <w:rPr>
          <w:rFonts w:ascii="標楷體" w:eastAsia="標楷體" w:hAnsi="標楷體" w:hint="eastAsia"/>
        </w:rPr>
        <w:t>應</w:t>
      </w:r>
      <w:r w:rsidRPr="00B474B8">
        <w:rPr>
          <w:rFonts w:ascii="標楷體" w:eastAsia="標楷體" w:hAnsi="標楷體"/>
        </w:rPr>
        <w:t>減碳</w:t>
      </w:r>
      <w:proofErr w:type="gramEnd"/>
      <w:r w:rsidRPr="00B474B8">
        <w:rPr>
          <w:rFonts w:ascii="標楷體" w:eastAsia="標楷體" w:hAnsi="標楷體" w:hint="eastAsia"/>
        </w:rPr>
        <w:t>40％，1</w:t>
      </w:r>
      <w:r w:rsidRPr="00B474B8">
        <w:rPr>
          <w:rFonts w:ascii="標楷體" w:eastAsia="標楷體" w:hAnsi="標楷體"/>
        </w:rPr>
        <w:t>2</w:t>
      </w:r>
      <w:r w:rsidRPr="00B474B8">
        <w:rPr>
          <w:rFonts w:ascii="標楷體" w:eastAsia="標楷體" w:hAnsi="標楷體" w:hint="eastAsia"/>
        </w:rPr>
        <w:t>9年</w:t>
      </w:r>
      <w:proofErr w:type="gramStart"/>
      <w:r w:rsidRPr="00B474B8">
        <w:rPr>
          <w:rFonts w:ascii="標楷體" w:eastAsia="標楷體" w:hAnsi="標楷體" w:hint="eastAsia"/>
        </w:rPr>
        <w:t>應</w:t>
      </w:r>
      <w:r w:rsidRPr="00B474B8">
        <w:rPr>
          <w:rFonts w:ascii="標楷體" w:eastAsia="標楷體" w:hAnsi="標楷體"/>
        </w:rPr>
        <w:t>減碳</w:t>
      </w:r>
      <w:proofErr w:type="gramEnd"/>
      <w:r w:rsidRPr="00B474B8">
        <w:rPr>
          <w:rFonts w:ascii="標楷體" w:eastAsia="標楷體" w:hAnsi="標楷體" w:hint="eastAsia"/>
        </w:rPr>
        <w:t>65％，1</w:t>
      </w:r>
      <w:r w:rsidRPr="00B474B8">
        <w:rPr>
          <w:rFonts w:ascii="標楷體" w:eastAsia="標楷體" w:hAnsi="標楷體"/>
        </w:rPr>
        <w:t>3</w:t>
      </w:r>
      <w:r w:rsidRPr="00B474B8">
        <w:rPr>
          <w:rFonts w:ascii="標楷體" w:eastAsia="標楷體" w:hAnsi="標楷體" w:hint="eastAsia"/>
        </w:rPr>
        <w:t>9年</w:t>
      </w:r>
      <w:proofErr w:type="gramStart"/>
      <w:r w:rsidRPr="00B474B8">
        <w:rPr>
          <w:rFonts w:ascii="標楷體" w:eastAsia="標楷體" w:hAnsi="標楷體" w:hint="eastAsia"/>
        </w:rPr>
        <w:t>達成</w:t>
      </w:r>
      <w:r w:rsidRPr="00B474B8">
        <w:rPr>
          <w:rFonts w:ascii="標楷體" w:eastAsia="標楷體" w:hAnsi="標楷體"/>
        </w:rPr>
        <w:t>淨零排放</w:t>
      </w:r>
      <w:proofErr w:type="gramEnd"/>
      <w:r w:rsidRPr="00B474B8">
        <w:rPr>
          <w:rFonts w:ascii="標楷體" w:eastAsia="標楷體" w:hAnsi="標楷體"/>
        </w:rPr>
        <w:t>目標</w:t>
      </w:r>
      <w:r w:rsidRPr="00B474B8">
        <w:rPr>
          <w:rFonts w:ascii="標楷體" w:eastAsia="標楷體" w:hAnsi="標楷體" w:hint="eastAsia"/>
        </w:rPr>
        <w:t>，1</w:t>
      </w:r>
      <w:r w:rsidRPr="00B474B8">
        <w:rPr>
          <w:rFonts w:ascii="標楷體" w:eastAsia="標楷體" w:hAnsi="標楷體"/>
        </w:rPr>
        <w:t>12</w:t>
      </w:r>
      <w:r w:rsidRPr="00B474B8">
        <w:rPr>
          <w:rFonts w:ascii="標楷體" w:eastAsia="標楷體" w:hAnsi="標楷體" w:hint="eastAsia"/>
        </w:rPr>
        <w:t>年推動策略執行經費預</w:t>
      </w:r>
      <w:r w:rsidRPr="00B474B8">
        <w:rPr>
          <w:rFonts w:ascii="標楷體" w:eastAsia="標楷體" w:hAnsi="標楷體"/>
        </w:rPr>
        <w:t>算</w:t>
      </w:r>
      <w:r w:rsidRPr="00B474B8">
        <w:rPr>
          <w:rFonts w:ascii="標楷體" w:eastAsia="標楷體" w:hAnsi="標楷體" w:hint="eastAsia"/>
        </w:rPr>
        <w:t>3</w:t>
      </w:r>
      <w:r w:rsidRPr="00B474B8">
        <w:rPr>
          <w:rFonts w:ascii="標楷體" w:eastAsia="標楷體" w:hAnsi="標楷體"/>
        </w:rPr>
        <w:t>1</w:t>
      </w:r>
      <w:r w:rsidRPr="00B474B8">
        <w:rPr>
          <w:rFonts w:ascii="標楷體" w:eastAsia="標楷體" w:hAnsi="標楷體" w:hint="eastAsia"/>
        </w:rPr>
        <w:t>億6</w:t>
      </w:r>
      <w:r w:rsidRPr="00B474B8">
        <w:rPr>
          <w:rFonts w:ascii="標楷體" w:eastAsia="標楷體" w:hAnsi="標楷體"/>
        </w:rPr>
        <w:t>71</w:t>
      </w:r>
      <w:r w:rsidRPr="00B474B8">
        <w:rPr>
          <w:rFonts w:ascii="標楷體" w:eastAsia="標楷體" w:hAnsi="標楷體" w:hint="eastAsia"/>
        </w:rPr>
        <w:t>萬餘元，執行數3</w:t>
      </w:r>
      <w:r w:rsidRPr="00B474B8">
        <w:rPr>
          <w:rFonts w:ascii="標楷體" w:eastAsia="標楷體" w:hAnsi="標楷體"/>
        </w:rPr>
        <w:t>0</w:t>
      </w:r>
      <w:r w:rsidRPr="00B474B8">
        <w:rPr>
          <w:rFonts w:ascii="標楷體" w:eastAsia="標楷體" w:hAnsi="標楷體" w:hint="eastAsia"/>
        </w:rPr>
        <w:t>億7</w:t>
      </w:r>
      <w:r w:rsidRPr="00B474B8">
        <w:rPr>
          <w:rFonts w:ascii="標楷體" w:eastAsia="標楷體" w:hAnsi="標楷體"/>
        </w:rPr>
        <w:t>,475</w:t>
      </w:r>
      <w:r w:rsidRPr="00B474B8">
        <w:rPr>
          <w:rFonts w:ascii="標楷體" w:eastAsia="標楷體" w:hAnsi="標楷體" w:hint="eastAsia"/>
        </w:rPr>
        <w:t>萬餘元。據112年</w:t>
      </w:r>
      <w:r w:rsidRPr="00B474B8">
        <w:rPr>
          <w:rFonts w:ascii="標楷體" w:eastAsia="標楷體" w:hAnsi="標楷體"/>
        </w:rPr>
        <w:t>臺北市溫室氣體排放量分析報告，</w:t>
      </w:r>
      <w:r w:rsidRPr="00B474B8">
        <w:rPr>
          <w:rFonts w:ascii="標楷體" w:eastAsia="標楷體" w:hAnsi="標楷體" w:hint="eastAsia"/>
        </w:rPr>
        <w:t>臺</w:t>
      </w:r>
      <w:r w:rsidRPr="00B474B8">
        <w:rPr>
          <w:rFonts w:ascii="標楷體" w:eastAsia="標楷體" w:hAnsi="標楷體"/>
        </w:rPr>
        <w:t>北市溫室氣</w:t>
      </w:r>
      <w:r w:rsidRPr="00B474B8">
        <w:rPr>
          <w:rFonts w:ascii="標楷體" w:eastAsia="標楷體" w:hAnsi="標楷體" w:hint="eastAsia"/>
        </w:rPr>
        <w:t>體</w:t>
      </w:r>
      <w:r w:rsidRPr="00B474B8">
        <w:rPr>
          <w:rFonts w:ascii="標楷體" w:eastAsia="標楷體" w:hAnsi="標楷體"/>
        </w:rPr>
        <w:t>排放量長期呈下降趨勢，</w:t>
      </w:r>
      <w:proofErr w:type="gramStart"/>
      <w:r w:rsidRPr="00B474B8">
        <w:rPr>
          <w:rFonts w:ascii="標楷體" w:eastAsia="標楷體" w:hAnsi="標楷體" w:hint="eastAsia"/>
        </w:rPr>
        <w:t>111</w:t>
      </w:r>
      <w:proofErr w:type="gramEnd"/>
      <w:r w:rsidRPr="00B474B8">
        <w:rPr>
          <w:rFonts w:ascii="標楷體" w:eastAsia="標楷體" w:hAnsi="標楷體" w:hint="eastAsia"/>
        </w:rPr>
        <w:t>年</w:t>
      </w:r>
      <w:r w:rsidRPr="00B474B8">
        <w:rPr>
          <w:rFonts w:ascii="標楷體" w:eastAsia="標楷體" w:hAnsi="標楷體"/>
        </w:rPr>
        <w:t>度為</w:t>
      </w:r>
      <w:r w:rsidRPr="00B474B8">
        <w:rPr>
          <w:rFonts w:ascii="標楷體" w:eastAsia="標楷體" w:hAnsi="標楷體" w:hint="eastAsia"/>
        </w:rPr>
        <w:t>1</w:t>
      </w:r>
      <w:r w:rsidRPr="00B474B8">
        <w:rPr>
          <w:rFonts w:ascii="標楷體" w:eastAsia="標楷體" w:hAnsi="標楷體"/>
        </w:rPr>
        <w:t>,</w:t>
      </w:r>
      <w:r w:rsidRPr="00B474B8">
        <w:rPr>
          <w:rFonts w:ascii="標楷體" w:eastAsia="標楷體" w:hAnsi="標楷體" w:hint="eastAsia"/>
        </w:rPr>
        <w:t>0</w:t>
      </w:r>
      <w:r w:rsidRPr="00B474B8">
        <w:rPr>
          <w:rFonts w:ascii="標楷體" w:eastAsia="標楷體" w:hAnsi="標楷體"/>
        </w:rPr>
        <w:t>84</w:t>
      </w:r>
      <w:r w:rsidRPr="00B474B8">
        <w:rPr>
          <w:rFonts w:ascii="標楷體" w:eastAsia="標楷體" w:hAnsi="標楷體" w:hint="eastAsia"/>
        </w:rPr>
        <w:t>.</w:t>
      </w:r>
      <w:r w:rsidRPr="00B474B8">
        <w:rPr>
          <w:rFonts w:ascii="標楷體" w:eastAsia="標楷體" w:hAnsi="標楷體"/>
        </w:rPr>
        <w:t>88</w:t>
      </w:r>
      <w:r w:rsidRPr="00B474B8">
        <w:rPr>
          <w:rFonts w:ascii="標楷體" w:eastAsia="標楷體" w:hAnsi="標楷體" w:hint="eastAsia"/>
        </w:rPr>
        <w:t>萬公噸二氧化碳當量（carbon dioxide equivalent，下稱CO</w:t>
      </w:r>
      <w:r w:rsidRPr="00B474B8">
        <w:rPr>
          <w:rFonts w:ascii="標楷體" w:eastAsia="標楷體" w:hAnsi="標楷體" w:hint="eastAsia"/>
          <w:vertAlign w:val="subscript"/>
        </w:rPr>
        <w:t>2e</w:t>
      </w:r>
      <w:r w:rsidRPr="00B474B8">
        <w:rPr>
          <w:rFonts w:ascii="標楷體" w:eastAsia="標楷體" w:hAnsi="標楷體" w:hint="eastAsia"/>
        </w:rPr>
        <w:t>），</w:t>
      </w:r>
      <w:r w:rsidRPr="00B474B8">
        <w:rPr>
          <w:rFonts w:ascii="標楷體" w:eastAsia="標楷體" w:hAnsi="標楷體"/>
        </w:rPr>
        <w:t>係自</w:t>
      </w:r>
      <w:r w:rsidRPr="00B474B8">
        <w:rPr>
          <w:rFonts w:ascii="標楷體" w:eastAsia="標楷體" w:hAnsi="標楷體" w:hint="eastAsia"/>
        </w:rPr>
        <w:t>94年</w:t>
      </w:r>
      <w:r w:rsidRPr="00B474B8">
        <w:rPr>
          <w:rFonts w:ascii="標楷體" w:eastAsia="標楷體" w:hAnsi="標楷體"/>
        </w:rPr>
        <w:t>以</w:t>
      </w:r>
      <w:r w:rsidRPr="00B474B8">
        <w:rPr>
          <w:rFonts w:ascii="標楷體" w:eastAsia="標楷體" w:hAnsi="標楷體" w:hint="eastAsia"/>
        </w:rPr>
        <w:t>來</w:t>
      </w:r>
      <w:r w:rsidRPr="00B474B8">
        <w:rPr>
          <w:rFonts w:ascii="標楷體" w:eastAsia="標楷體" w:hAnsi="標楷體"/>
        </w:rPr>
        <w:t>之最低點，</w:t>
      </w:r>
      <w:r w:rsidRPr="00B474B8">
        <w:rPr>
          <w:rFonts w:ascii="標楷體" w:eastAsia="標楷體" w:hAnsi="標楷體" w:hint="eastAsia"/>
        </w:rPr>
        <w:t>惟</w:t>
      </w:r>
      <w:proofErr w:type="gramStart"/>
      <w:r w:rsidRPr="00B474B8">
        <w:rPr>
          <w:rFonts w:ascii="標楷體" w:eastAsia="標楷體" w:hAnsi="標楷體" w:hint="eastAsia"/>
        </w:rPr>
        <w:t>112</w:t>
      </w:r>
      <w:proofErr w:type="gramEnd"/>
      <w:r w:rsidRPr="00B474B8">
        <w:rPr>
          <w:rFonts w:ascii="標楷體" w:eastAsia="標楷體" w:hAnsi="標楷體" w:hint="eastAsia"/>
        </w:rPr>
        <w:t>年</w:t>
      </w:r>
      <w:r w:rsidRPr="00B474B8">
        <w:rPr>
          <w:rFonts w:ascii="標楷體" w:eastAsia="標楷體" w:hAnsi="標楷體"/>
        </w:rPr>
        <w:t>度為</w:t>
      </w:r>
      <w:r w:rsidRPr="00B474B8">
        <w:rPr>
          <w:rFonts w:ascii="標楷體" w:eastAsia="標楷體" w:hAnsi="標楷體" w:hint="eastAsia"/>
        </w:rPr>
        <w:t>1</w:t>
      </w:r>
      <w:r w:rsidRPr="00B474B8">
        <w:rPr>
          <w:rFonts w:ascii="標楷體" w:eastAsia="標楷體" w:hAnsi="標楷體"/>
        </w:rPr>
        <w:t>,</w:t>
      </w:r>
      <w:r w:rsidRPr="00B474B8">
        <w:rPr>
          <w:rFonts w:ascii="標楷體" w:eastAsia="標楷體" w:hAnsi="標楷體" w:hint="eastAsia"/>
        </w:rPr>
        <w:t>093</w:t>
      </w:r>
      <w:r w:rsidRPr="00B474B8">
        <w:rPr>
          <w:rFonts w:ascii="標楷體" w:eastAsia="標楷體" w:hAnsi="標楷體"/>
        </w:rPr>
        <w:t>.15</w:t>
      </w:r>
      <w:r w:rsidRPr="00B474B8">
        <w:rPr>
          <w:rFonts w:ascii="標楷體" w:eastAsia="標楷體" w:hAnsi="標楷體" w:hint="eastAsia"/>
        </w:rPr>
        <w:t>萬公噸CO</w:t>
      </w:r>
      <w:r w:rsidRPr="00B474B8">
        <w:rPr>
          <w:rFonts w:ascii="標楷體" w:eastAsia="標楷體" w:hAnsi="標楷體" w:hint="eastAsia"/>
          <w:vertAlign w:val="subscript"/>
        </w:rPr>
        <w:t>2e</w:t>
      </w:r>
      <w:r w:rsidRPr="00B474B8">
        <w:rPr>
          <w:rFonts w:ascii="標楷體" w:eastAsia="標楷體" w:hAnsi="標楷體" w:hint="eastAsia"/>
        </w:rPr>
        <w:t>，較</w:t>
      </w:r>
      <w:r w:rsidRPr="00B474B8">
        <w:rPr>
          <w:rFonts w:ascii="標楷體" w:eastAsia="標楷體" w:hAnsi="標楷體"/>
        </w:rPr>
        <w:t>111</w:t>
      </w:r>
    </w:p>
    <w:p w14:paraId="60E91E46" w14:textId="0DC7C99E" w:rsidR="004551F8" w:rsidRPr="00B474B8" w:rsidRDefault="004551F8" w:rsidP="00AE147C">
      <w:pPr>
        <w:overflowPunct w:val="0"/>
        <w:adjustRightInd w:val="0"/>
        <w:snapToGrid w:val="0"/>
        <w:spacing w:line="460" w:lineRule="exact"/>
        <w:jc w:val="both"/>
        <w:rPr>
          <w:rFonts w:ascii="標楷體" w:eastAsia="標楷體" w:hAnsi="標楷體"/>
        </w:rPr>
      </w:pPr>
      <w:r w:rsidRPr="00B474B8">
        <w:rPr>
          <w:rFonts w:ascii="標楷體" w:eastAsia="標楷體" w:hAnsi="標楷體" w:hint="eastAsia"/>
        </w:rPr>
        <w:lastRenderedPageBreak/>
        <w:t>年</w:t>
      </w:r>
      <w:r w:rsidRPr="00B474B8">
        <w:rPr>
          <w:rFonts w:ascii="標楷體" w:eastAsia="標楷體" w:hAnsi="標楷體"/>
        </w:rPr>
        <w:t>不減反增</w:t>
      </w:r>
      <w:r w:rsidRPr="00B474B8">
        <w:rPr>
          <w:rFonts w:ascii="標楷體" w:eastAsia="標楷體" w:hAnsi="標楷體" w:hint="eastAsia"/>
        </w:rPr>
        <w:t>。次查，</w:t>
      </w:r>
      <w:r w:rsidRPr="00B474B8">
        <w:rPr>
          <w:rFonts w:ascii="標楷體" w:eastAsia="標楷體" w:hAnsi="標楷體"/>
        </w:rPr>
        <w:t>臺北市溫室氣體主要排放</w:t>
      </w:r>
      <w:r w:rsidRPr="00B474B8">
        <w:rPr>
          <w:rFonts w:ascii="標楷體" w:eastAsia="標楷體" w:hAnsi="標楷體" w:hint="eastAsia"/>
        </w:rPr>
        <w:t>來</w:t>
      </w:r>
      <w:r w:rsidRPr="00B474B8">
        <w:rPr>
          <w:rFonts w:ascii="標楷體" w:eastAsia="標楷體" w:hAnsi="標楷體"/>
        </w:rPr>
        <w:t>源為住商及運輸部</w:t>
      </w:r>
      <w:r w:rsidRPr="00B474B8">
        <w:rPr>
          <w:rFonts w:ascii="標楷體" w:eastAsia="標楷體" w:hAnsi="標楷體" w:hint="eastAsia"/>
        </w:rPr>
        <w:t>門</w:t>
      </w:r>
      <w:r w:rsidRPr="00B474B8">
        <w:rPr>
          <w:rFonts w:ascii="標楷體" w:eastAsia="標楷體" w:hAnsi="標楷體"/>
        </w:rPr>
        <w:t>，</w:t>
      </w:r>
      <w:r w:rsidRPr="00B474B8">
        <w:rPr>
          <w:rFonts w:ascii="標楷體" w:eastAsia="標楷體" w:hAnsi="標楷體" w:hint="eastAsia"/>
        </w:rPr>
        <w:t>約</w:t>
      </w:r>
      <w:r w:rsidRPr="00B474B8">
        <w:rPr>
          <w:rFonts w:ascii="標楷體" w:eastAsia="標楷體" w:hAnsi="標楷體"/>
        </w:rPr>
        <w:t>分占</w:t>
      </w:r>
      <w:r w:rsidRPr="00B474B8">
        <w:rPr>
          <w:rFonts w:ascii="標楷體" w:eastAsia="標楷體" w:hAnsi="標楷體" w:hint="eastAsia"/>
        </w:rPr>
        <w:t>75％、20％，</w:t>
      </w:r>
      <w:r w:rsidRPr="00B474B8">
        <w:rPr>
          <w:rFonts w:ascii="標楷體" w:eastAsia="標楷體" w:hAnsi="標楷體"/>
        </w:rPr>
        <w:t>其中住商</w:t>
      </w:r>
      <w:r w:rsidRPr="00B474B8">
        <w:rPr>
          <w:rFonts w:ascii="標楷體" w:eastAsia="標楷體" w:hAnsi="標楷體" w:hint="eastAsia"/>
        </w:rPr>
        <w:t>部</w:t>
      </w:r>
      <w:r w:rsidRPr="00B474B8">
        <w:rPr>
          <w:rFonts w:ascii="標楷體" w:eastAsia="標楷體" w:hAnsi="標楷體"/>
        </w:rPr>
        <w:t>門溫室氣體排放源歷年占</w:t>
      </w:r>
      <w:proofErr w:type="gramStart"/>
      <w:r w:rsidRPr="00B474B8">
        <w:rPr>
          <w:rFonts w:ascii="標楷體" w:eastAsia="標楷體" w:hAnsi="標楷體"/>
        </w:rPr>
        <w:t>比均以電力</w:t>
      </w:r>
      <w:proofErr w:type="gramEnd"/>
      <w:r w:rsidRPr="00B474B8">
        <w:rPr>
          <w:rFonts w:ascii="標楷體" w:eastAsia="標楷體" w:hAnsi="標楷體"/>
        </w:rPr>
        <w:t>為最高，以112</w:t>
      </w:r>
      <w:r w:rsidRPr="00B474B8">
        <w:rPr>
          <w:rFonts w:ascii="標楷體" w:eastAsia="標楷體" w:hAnsi="標楷體" w:hint="eastAsia"/>
        </w:rPr>
        <w:t>年</w:t>
      </w:r>
      <w:r w:rsidRPr="00B474B8">
        <w:rPr>
          <w:rFonts w:ascii="標楷體" w:eastAsia="標楷體" w:hAnsi="標楷體"/>
        </w:rPr>
        <w:t>為例，約占</w:t>
      </w:r>
      <w:r w:rsidRPr="00B474B8">
        <w:rPr>
          <w:rFonts w:ascii="標楷體" w:eastAsia="標楷體" w:hAnsi="標楷體" w:hint="eastAsia"/>
        </w:rPr>
        <w:t>88.92％。若按台灣電力股份有限公司（下稱台電公司）售電資料分析，臺北市用電量占各市縣用電量合計之比率，自1</w:t>
      </w:r>
      <w:r w:rsidRPr="00B474B8">
        <w:rPr>
          <w:rFonts w:ascii="標楷體" w:eastAsia="標楷體" w:hAnsi="標楷體"/>
        </w:rPr>
        <w:t>05</w:t>
      </w:r>
      <w:r w:rsidRPr="00B474B8">
        <w:rPr>
          <w:rFonts w:ascii="標楷體" w:eastAsia="標楷體" w:hAnsi="標楷體" w:hint="eastAsia"/>
        </w:rPr>
        <w:t>年起逐年呈下降趨勢，至11</w:t>
      </w:r>
      <w:r w:rsidRPr="00B474B8">
        <w:rPr>
          <w:rFonts w:ascii="標楷體" w:eastAsia="標楷體" w:hAnsi="標楷體"/>
        </w:rPr>
        <w:t>2</w:t>
      </w:r>
      <w:r w:rsidRPr="00B474B8">
        <w:rPr>
          <w:rFonts w:ascii="標楷體" w:eastAsia="標楷體" w:hAnsi="標楷體" w:hint="eastAsia"/>
        </w:rPr>
        <w:t>年已降至15</w:t>
      </w:r>
      <w:r w:rsidRPr="00B474B8">
        <w:rPr>
          <w:rFonts w:ascii="標楷體" w:eastAsia="標楷體" w:hAnsi="標楷體"/>
        </w:rPr>
        <w:t>1</w:t>
      </w:r>
      <w:r w:rsidRPr="00B474B8">
        <w:rPr>
          <w:rFonts w:ascii="標楷體" w:eastAsia="標楷體" w:hAnsi="標楷體" w:hint="eastAsia"/>
        </w:rPr>
        <w:t>.</w:t>
      </w:r>
      <w:r w:rsidRPr="00B474B8">
        <w:rPr>
          <w:rFonts w:ascii="標楷體" w:eastAsia="標楷體" w:hAnsi="標楷體"/>
        </w:rPr>
        <w:t>10</w:t>
      </w:r>
      <w:r w:rsidRPr="00B474B8">
        <w:rPr>
          <w:rFonts w:ascii="標楷體" w:eastAsia="標楷體" w:hAnsi="標楷體" w:hint="eastAsia"/>
        </w:rPr>
        <w:t>億度（6.6</w:t>
      </w:r>
      <w:r w:rsidRPr="00B474B8">
        <w:rPr>
          <w:rFonts w:ascii="標楷體" w:eastAsia="標楷體" w:hAnsi="標楷體"/>
        </w:rPr>
        <w:t>8</w:t>
      </w:r>
      <w:r w:rsidRPr="00B474B8">
        <w:rPr>
          <w:rFonts w:ascii="標楷體" w:eastAsia="標楷體" w:hAnsi="標楷體" w:hint="eastAsia"/>
        </w:rPr>
        <w:t>％），創下近</w:t>
      </w:r>
      <w:proofErr w:type="gramStart"/>
      <w:r w:rsidRPr="00B474B8">
        <w:rPr>
          <w:rFonts w:ascii="標楷體" w:eastAsia="標楷體" w:hAnsi="標楷體" w:hint="eastAsia"/>
        </w:rPr>
        <w:t>8</w:t>
      </w:r>
      <w:proofErr w:type="gramEnd"/>
      <w:r w:rsidRPr="00B474B8">
        <w:rPr>
          <w:rFonts w:ascii="標楷體" w:eastAsia="標楷體" w:hAnsi="標楷體" w:hint="eastAsia"/>
        </w:rPr>
        <w:t>年度用電量新低，節電工作已獲致相當成效，惟1</w:t>
      </w:r>
      <w:r w:rsidRPr="00B474B8">
        <w:rPr>
          <w:rFonts w:ascii="標楷體" w:eastAsia="標楷體" w:hAnsi="標楷體"/>
        </w:rPr>
        <w:t>13</w:t>
      </w:r>
      <w:r w:rsidRPr="00B474B8">
        <w:rPr>
          <w:rFonts w:ascii="標楷體" w:eastAsia="標楷體" w:hAnsi="標楷體" w:hint="eastAsia"/>
        </w:rPr>
        <w:t>年臺北市用電量為15</w:t>
      </w:r>
      <w:r w:rsidRPr="00B474B8">
        <w:rPr>
          <w:rFonts w:ascii="標楷體" w:eastAsia="標楷體" w:hAnsi="標楷體"/>
        </w:rPr>
        <w:t>2.</w:t>
      </w:r>
      <w:r w:rsidRPr="00B474B8">
        <w:rPr>
          <w:rFonts w:ascii="標楷體" w:eastAsia="標楷體" w:hAnsi="標楷體" w:hint="eastAsia"/>
        </w:rPr>
        <w:t>94億度，</w:t>
      </w:r>
      <w:r w:rsidRPr="00B474B8">
        <w:rPr>
          <w:rFonts w:ascii="標楷體" w:eastAsia="標楷體" w:hAnsi="標楷體"/>
          <w:noProof/>
          <w:color w:val="FF0000"/>
          <w:sz w:val="32"/>
          <w:szCs w:val="32"/>
        </w:rPr>
        <w:drawing>
          <wp:anchor distT="0" distB="0" distL="114300" distR="114300" simplePos="0" relativeHeight="251665408" behindDoc="0" locked="0" layoutInCell="1" allowOverlap="1" wp14:anchorId="37D14F8F" wp14:editId="73E5E249">
            <wp:simplePos x="0" y="0"/>
            <wp:positionH relativeFrom="column">
              <wp:posOffset>-76200</wp:posOffset>
            </wp:positionH>
            <wp:positionV relativeFrom="paragraph">
              <wp:posOffset>1949450</wp:posOffset>
            </wp:positionV>
            <wp:extent cx="6448425" cy="3276600"/>
            <wp:effectExtent l="0" t="0" r="0" b="0"/>
            <wp:wrapSquare wrapText="bothSides"/>
            <wp:docPr id="9" name="圖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14:sizeRelH relativeFrom="margin">
              <wp14:pctWidth>0</wp14:pctWidth>
            </wp14:sizeRelH>
            <wp14:sizeRelV relativeFrom="margin">
              <wp14:pctHeight>0</wp14:pctHeight>
            </wp14:sizeRelV>
          </wp:anchor>
        </w:drawing>
      </w:r>
      <w:r w:rsidRPr="00B474B8">
        <w:rPr>
          <w:rFonts w:ascii="標楷體" w:eastAsia="標楷體" w:hAnsi="標楷體" w:hint="eastAsia"/>
        </w:rPr>
        <w:t>較112年成長（圖1），增加碳排放壓力。又臺北市用電量主要集中於住商部門，其中服務業及住宅部門1</w:t>
      </w:r>
      <w:r w:rsidRPr="00B474B8">
        <w:rPr>
          <w:rFonts w:ascii="標楷體" w:eastAsia="標楷體" w:hAnsi="標楷體"/>
        </w:rPr>
        <w:t>13</w:t>
      </w:r>
      <w:r w:rsidRPr="00B474B8">
        <w:rPr>
          <w:rFonts w:ascii="標楷體" w:eastAsia="標楷體" w:hAnsi="標楷體" w:hint="eastAsia"/>
        </w:rPr>
        <w:t>年用電量較1</w:t>
      </w:r>
      <w:r w:rsidRPr="00B474B8">
        <w:rPr>
          <w:rFonts w:ascii="標楷體" w:eastAsia="標楷體" w:hAnsi="標楷體"/>
        </w:rPr>
        <w:t>12</w:t>
      </w:r>
      <w:r w:rsidRPr="00B474B8">
        <w:rPr>
          <w:rFonts w:ascii="標楷體" w:eastAsia="標楷體" w:hAnsi="標楷體" w:hint="eastAsia"/>
        </w:rPr>
        <w:t>年分別增加1</w:t>
      </w:r>
      <w:r w:rsidRPr="00B474B8">
        <w:rPr>
          <w:rFonts w:ascii="標楷體" w:eastAsia="標楷體" w:hAnsi="標楷體"/>
        </w:rPr>
        <w:t>.</w:t>
      </w:r>
      <w:r w:rsidRPr="00B474B8">
        <w:rPr>
          <w:rFonts w:ascii="標楷體" w:eastAsia="標楷體" w:hAnsi="標楷體" w:hint="eastAsia"/>
        </w:rPr>
        <w:t>64億度、1</w:t>
      </w:r>
      <w:r w:rsidRPr="00B474B8">
        <w:rPr>
          <w:rFonts w:ascii="標楷體" w:eastAsia="標楷體" w:hAnsi="標楷體"/>
        </w:rPr>
        <w:t>.3</w:t>
      </w:r>
      <w:r w:rsidRPr="00B474B8">
        <w:rPr>
          <w:rFonts w:ascii="標楷體" w:eastAsia="標楷體" w:hAnsi="標楷體" w:hint="eastAsia"/>
        </w:rPr>
        <w:t>0億度，且住宅部門之用電量自1</w:t>
      </w:r>
      <w:r w:rsidRPr="00B474B8">
        <w:rPr>
          <w:rFonts w:ascii="標楷體" w:eastAsia="標楷體" w:hAnsi="標楷體"/>
        </w:rPr>
        <w:t>11</w:t>
      </w:r>
      <w:r w:rsidRPr="00B474B8">
        <w:rPr>
          <w:rFonts w:ascii="標楷體" w:eastAsia="標楷體" w:hAnsi="標楷體" w:hint="eastAsia"/>
        </w:rPr>
        <w:t>年起，已連續3年成長，允應儘速瞭解原因，並</w:t>
      </w:r>
      <w:proofErr w:type="gramStart"/>
      <w:r w:rsidRPr="00B474B8">
        <w:rPr>
          <w:rFonts w:ascii="標楷體" w:eastAsia="標楷體" w:hAnsi="標楷體" w:hint="eastAsia"/>
        </w:rPr>
        <w:t>研謀精進節</w:t>
      </w:r>
      <w:proofErr w:type="gramEnd"/>
      <w:r w:rsidRPr="00B474B8">
        <w:rPr>
          <w:rFonts w:ascii="標楷體" w:eastAsia="標楷體" w:hAnsi="標楷體" w:hint="eastAsia"/>
        </w:rPr>
        <w:t>電作為，經函請</w:t>
      </w:r>
      <w:proofErr w:type="gramStart"/>
      <w:r w:rsidRPr="00B474B8">
        <w:rPr>
          <w:rFonts w:ascii="標楷體" w:eastAsia="標楷體" w:hAnsi="標楷體" w:hint="eastAsia"/>
        </w:rPr>
        <w:t>研</w:t>
      </w:r>
      <w:proofErr w:type="gramEnd"/>
      <w:r w:rsidRPr="00B474B8">
        <w:rPr>
          <w:rFonts w:ascii="標楷體" w:eastAsia="標楷體" w:hAnsi="標楷體" w:hint="eastAsia"/>
        </w:rPr>
        <w:t>謀改善。據復：112年因</w:t>
      </w:r>
      <w:proofErr w:type="gramStart"/>
      <w:r w:rsidRPr="00B474B8">
        <w:rPr>
          <w:rFonts w:ascii="標楷體" w:eastAsia="標楷體" w:hAnsi="標楷體" w:hint="eastAsia"/>
        </w:rPr>
        <w:t>疫情解封</w:t>
      </w:r>
      <w:proofErr w:type="gramEnd"/>
      <w:r w:rsidRPr="00B474B8">
        <w:rPr>
          <w:rFonts w:ascii="標楷體" w:eastAsia="標楷體" w:hAnsi="標楷體" w:hint="eastAsia"/>
        </w:rPr>
        <w:t>、景氣復甦、設籍人口增加、交通運輸電動化增加用電，致溫室氣體排放量較111年增加，後續將配合「</w:t>
      </w:r>
      <w:proofErr w:type="gramStart"/>
      <w:r w:rsidRPr="00B474B8">
        <w:rPr>
          <w:rFonts w:ascii="標楷體" w:eastAsia="標楷體" w:hAnsi="標楷體" w:hint="eastAsia"/>
        </w:rPr>
        <w:t>臺北市淨零排放</w:t>
      </w:r>
      <w:proofErr w:type="gramEnd"/>
      <w:r w:rsidRPr="00B474B8">
        <w:rPr>
          <w:rFonts w:ascii="標楷體" w:eastAsia="標楷體" w:hAnsi="標楷體" w:hint="eastAsia"/>
        </w:rPr>
        <w:t>管理自治條例」於114年1月施行，及訂定14項子法，據以推動各項節</w:t>
      </w:r>
      <w:proofErr w:type="gramStart"/>
      <w:r w:rsidRPr="00B474B8">
        <w:rPr>
          <w:rFonts w:ascii="標楷體" w:eastAsia="標楷體" w:hAnsi="標楷體" w:hint="eastAsia"/>
        </w:rPr>
        <w:t>電降碳</w:t>
      </w:r>
      <w:proofErr w:type="gramEnd"/>
      <w:r w:rsidRPr="00B474B8">
        <w:rPr>
          <w:rFonts w:ascii="標楷體" w:eastAsia="標楷體" w:hAnsi="標楷體" w:hint="eastAsia"/>
        </w:rPr>
        <w:t>方案，如加強溫室氣體減量等相關管制，持續補助</w:t>
      </w:r>
      <w:proofErr w:type="gramStart"/>
      <w:r w:rsidRPr="00B474B8">
        <w:rPr>
          <w:rFonts w:ascii="標楷體" w:eastAsia="標楷體" w:hAnsi="標楷體" w:hint="eastAsia"/>
        </w:rPr>
        <w:t>設置創儲節能</w:t>
      </w:r>
      <w:proofErr w:type="gramEnd"/>
      <w:r w:rsidRPr="00B474B8">
        <w:rPr>
          <w:rFonts w:ascii="標楷體" w:eastAsia="標楷體" w:hAnsi="標楷體" w:hint="eastAsia"/>
        </w:rPr>
        <w:t>設備及</w:t>
      </w:r>
      <w:proofErr w:type="gramStart"/>
      <w:r w:rsidRPr="00B474B8">
        <w:rPr>
          <w:rFonts w:ascii="標楷體" w:eastAsia="標楷體" w:hAnsi="標楷體" w:hint="eastAsia"/>
        </w:rPr>
        <w:t>汰換耗</w:t>
      </w:r>
      <w:proofErr w:type="gramEnd"/>
      <w:r w:rsidRPr="00B474B8">
        <w:rPr>
          <w:rFonts w:ascii="標楷體" w:eastAsia="標楷體" w:hAnsi="標楷體" w:hint="eastAsia"/>
        </w:rPr>
        <w:t>能設備、輔導能源大戶節能轉型、推動建築綠化降溫、</w:t>
      </w:r>
      <w:proofErr w:type="gramStart"/>
      <w:r w:rsidRPr="00B474B8">
        <w:rPr>
          <w:rFonts w:ascii="標楷體" w:eastAsia="標楷體" w:hAnsi="標楷體" w:hint="eastAsia"/>
        </w:rPr>
        <w:t>研</w:t>
      </w:r>
      <w:proofErr w:type="gramEnd"/>
      <w:r w:rsidRPr="00B474B8">
        <w:rPr>
          <w:rFonts w:ascii="標楷體" w:eastAsia="標楷體" w:hAnsi="標楷體" w:hint="eastAsia"/>
        </w:rPr>
        <w:t>訂建築能效管理等，並訂</w:t>
      </w:r>
      <w:proofErr w:type="gramStart"/>
      <w:r w:rsidRPr="00B474B8">
        <w:rPr>
          <w:rFonts w:ascii="標楷體" w:eastAsia="標楷體" w:hAnsi="標楷體" w:hint="eastAsia"/>
        </w:rPr>
        <w:t>定淨零新</w:t>
      </w:r>
      <w:proofErr w:type="gramEnd"/>
      <w:r w:rsidRPr="00B474B8">
        <w:rPr>
          <w:rFonts w:ascii="標楷體" w:eastAsia="標楷體" w:hAnsi="標楷體" w:hint="eastAsia"/>
        </w:rPr>
        <w:t>生活計畫，將透過公私協力，以</w:t>
      </w:r>
      <w:proofErr w:type="gramStart"/>
      <w:r w:rsidRPr="00B474B8">
        <w:rPr>
          <w:rFonts w:ascii="標楷體" w:eastAsia="標楷體" w:hAnsi="標楷體" w:hint="eastAsia"/>
        </w:rPr>
        <w:t>增加減碳成效</w:t>
      </w:r>
      <w:proofErr w:type="gramEnd"/>
      <w:r w:rsidRPr="00B474B8">
        <w:rPr>
          <w:rFonts w:ascii="標楷體" w:eastAsia="標楷體" w:hAnsi="標楷體" w:hint="eastAsia"/>
        </w:rPr>
        <w:t>。</w:t>
      </w:r>
    </w:p>
    <w:p w14:paraId="6A3B535F" w14:textId="77777777" w:rsidR="004551F8" w:rsidRPr="00B474B8" w:rsidRDefault="004551F8" w:rsidP="00713069">
      <w:pPr>
        <w:spacing w:beforeLines="35" w:before="126" w:line="460" w:lineRule="exact"/>
        <w:ind w:firstLineChars="100" w:firstLine="280"/>
        <w:jc w:val="both"/>
        <w:rPr>
          <w:rFonts w:ascii="標楷體" w:eastAsia="標楷體" w:hAnsi="標楷體"/>
          <w:b/>
          <w:sz w:val="28"/>
          <w:szCs w:val="28"/>
        </w:rPr>
      </w:pPr>
      <w:bookmarkStart w:id="79" w:name="_Hlk199170731"/>
      <w:r w:rsidRPr="00B474B8">
        <w:rPr>
          <w:rFonts w:ascii="標楷體" w:eastAsia="標楷體" w:hAnsi="標楷體" w:hint="eastAsia"/>
          <w:b/>
          <w:sz w:val="28"/>
          <w:szCs w:val="28"/>
        </w:rPr>
        <w:t>（二）配合</w:t>
      </w:r>
      <w:proofErr w:type="gramStart"/>
      <w:r w:rsidRPr="00B474B8">
        <w:rPr>
          <w:rFonts w:ascii="標楷體" w:eastAsia="標楷體" w:hAnsi="標楷體" w:hint="eastAsia"/>
          <w:b/>
          <w:sz w:val="28"/>
          <w:szCs w:val="28"/>
        </w:rPr>
        <w:t>低碳綠運輸</w:t>
      </w:r>
      <w:proofErr w:type="gramEnd"/>
      <w:r w:rsidRPr="00B474B8">
        <w:rPr>
          <w:rFonts w:ascii="標楷體" w:eastAsia="標楷體" w:hAnsi="標楷體" w:hint="eastAsia"/>
          <w:b/>
          <w:sz w:val="28"/>
          <w:szCs w:val="28"/>
        </w:rPr>
        <w:t>推廣運具電動化政策，充電設施已日趨普遍，惟目前有關充電設施之安全管理與配套措施未</w:t>
      </w:r>
      <w:proofErr w:type="gramStart"/>
      <w:r w:rsidRPr="00B474B8">
        <w:rPr>
          <w:rFonts w:ascii="標楷體" w:eastAsia="標楷體" w:hAnsi="標楷體" w:hint="eastAsia"/>
          <w:b/>
          <w:sz w:val="28"/>
          <w:szCs w:val="28"/>
        </w:rPr>
        <w:t>臻</w:t>
      </w:r>
      <w:proofErr w:type="gramEnd"/>
      <w:r w:rsidRPr="00B474B8">
        <w:rPr>
          <w:rFonts w:ascii="標楷體" w:eastAsia="標楷體" w:hAnsi="標楷體" w:hint="eastAsia"/>
          <w:b/>
          <w:sz w:val="28"/>
          <w:szCs w:val="28"/>
        </w:rPr>
        <w:t>完備，有待</w:t>
      </w:r>
      <w:proofErr w:type="gramStart"/>
      <w:r w:rsidRPr="00B474B8">
        <w:rPr>
          <w:rFonts w:ascii="標楷體" w:eastAsia="標楷體" w:hAnsi="標楷體" w:hint="eastAsia"/>
          <w:b/>
          <w:sz w:val="28"/>
          <w:szCs w:val="28"/>
        </w:rPr>
        <w:t>因應妥處</w:t>
      </w:r>
      <w:proofErr w:type="gramEnd"/>
      <w:r w:rsidRPr="00B474B8">
        <w:rPr>
          <w:rFonts w:ascii="標楷體" w:eastAsia="標楷體" w:hAnsi="標楷體" w:hint="eastAsia"/>
          <w:b/>
          <w:sz w:val="28"/>
          <w:szCs w:val="28"/>
        </w:rPr>
        <w:t>，以保障公共安全及民眾生命財產權益。</w:t>
      </w:r>
      <w:bookmarkEnd w:id="79"/>
    </w:p>
    <w:p w14:paraId="47C53CD2" w14:textId="77777777" w:rsidR="00AE147C" w:rsidRDefault="004551F8" w:rsidP="004551F8">
      <w:pPr>
        <w:spacing w:before="120" w:line="460" w:lineRule="exact"/>
        <w:ind w:firstLineChars="200" w:firstLine="480"/>
        <w:jc w:val="both"/>
        <w:rPr>
          <w:rFonts w:ascii="標楷體" w:eastAsia="標楷體" w:hAnsi="標楷體"/>
        </w:rPr>
      </w:pPr>
      <w:r w:rsidRPr="00B474B8">
        <w:rPr>
          <w:rFonts w:ascii="標楷體" w:eastAsia="標楷體" w:hAnsi="標楷體" w:hint="eastAsia"/>
        </w:rPr>
        <w:t>據臺北市政府1</w:t>
      </w:r>
      <w:r w:rsidRPr="00B474B8">
        <w:rPr>
          <w:rFonts w:ascii="標楷體" w:eastAsia="標楷體" w:hAnsi="標楷體"/>
        </w:rPr>
        <w:t>11</w:t>
      </w:r>
      <w:r w:rsidRPr="00B474B8">
        <w:rPr>
          <w:rFonts w:ascii="標楷體" w:eastAsia="標楷體" w:hAnsi="標楷體" w:hint="eastAsia"/>
        </w:rPr>
        <w:t>年提出之「臺北市2</w:t>
      </w:r>
      <w:r w:rsidRPr="00B474B8">
        <w:rPr>
          <w:rFonts w:ascii="標楷體" w:eastAsia="標楷體" w:hAnsi="標楷體"/>
        </w:rPr>
        <w:t>050</w:t>
      </w:r>
      <w:proofErr w:type="gramStart"/>
      <w:r w:rsidRPr="00B474B8">
        <w:rPr>
          <w:rFonts w:ascii="標楷體" w:eastAsia="標楷體" w:hAnsi="標楷體" w:hint="eastAsia"/>
        </w:rPr>
        <w:t>淨零行動</w:t>
      </w:r>
      <w:proofErr w:type="gramEnd"/>
      <w:r w:rsidRPr="00B474B8">
        <w:rPr>
          <w:rFonts w:ascii="標楷體" w:eastAsia="標楷體" w:hAnsi="標楷體" w:hint="eastAsia"/>
        </w:rPr>
        <w:t>白皮書2</w:t>
      </w:r>
      <w:r w:rsidRPr="00B474B8">
        <w:rPr>
          <w:rFonts w:ascii="標楷體" w:eastAsia="標楷體" w:hAnsi="標楷體"/>
        </w:rPr>
        <w:t>.0</w:t>
      </w:r>
      <w:r w:rsidRPr="00B474B8">
        <w:rPr>
          <w:rFonts w:ascii="標楷體" w:eastAsia="標楷體" w:hAnsi="標楷體" w:hint="eastAsia"/>
        </w:rPr>
        <w:t>」綠運輸低碳交通路徑與策</w:t>
      </w:r>
      <w:r w:rsidRPr="0003194C">
        <w:rPr>
          <w:rFonts w:ascii="標楷體" w:eastAsia="標楷體" w:hAnsi="標楷體" w:hint="eastAsia"/>
          <w:spacing w:val="2"/>
        </w:rPr>
        <w:t>略列載，臺北市綠運輸推動路徑，以擴大綠運輸使用、建構友善綠運輸環境及運具電動化為主</w:t>
      </w:r>
    </w:p>
    <w:p w14:paraId="00FA4B97" w14:textId="22A5A55A" w:rsidR="004551F8" w:rsidRPr="00B474B8" w:rsidRDefault="004551F8" w:rsidP="00AE147C">
      <w:pPr>
        <w:spacing w:before="120" w:line="460" w:lineRule="exact"/>
        <w:jc w:val="both"/>
        <w:rPr>
          <w:rFonts w:ascii="標楷體" w:eastAsia="標楷體" w:hAnsi="標楷體"/>
        </w:rPr>
      </w:pPr>
      <w:r w:rsidRPr="00B474B8">
        <w:rPr>
          <w:rFonts w:ascii="標楷體" w:eastAsia="標楷體" w:hAnsi="標楷體" w:hint="eastAsia"/>
        </w:rPr>
        <w:lastRenderedPageBreak/>
        <w:t>軸，另設置</w:t>
      </w:r>
      <w:proofErr w:type="gramStart"/>
      <w:r w:rsidRPr="00B474B8">
        <w:rPr>
          <w:rFonts w:ascii="標楷體" w:eastAsia="標楷體" w:hAnsi="標楷體" w:hint="eastAsia"/>
        </w:rPr>
        <w:t>充電車格方面</w:t>
      </w:r>
      <w:proofErr w:type="gramEnd"/>
      <w:r w:rsidRPr="00B474B8">
        <w:rPr>
          <w:rFonts w:ascii="標楷體" w:eastAsia="標楷體" w:hAnsi="標楷體" w:hint="eastAsia"/>
        </w:rPr>
        <w:t>，規劃於2</w:t>
      </w:r>
      <w:r w:rsidRPr="00B474B8">
        <w:rPr>
          <w:rFonts w:ascii="標楷體" w:eastAsia="標楷體" w:hAnsi="標楷體"/>
        </w:rPr>
        <w:t>030</w:t>
      </w:r>
      <w:r w:rsidRPr="00B474B8">
        <w:rPr>
          <w:rFonts w:ascii="標楷體" w:eastAsia="標楷體" w:hAnsi="標楷體" w:hint="eastAsia"/>
        </w:rPr>
        <w:t>年完成2</w:t>
      </w:r>
      <w:r w:rsidRPr="00B474B8">
        <w:rPr>
          <w:rFonts w:ascii="標楷體" w:eastAsia="標楷體" w:hAnsi="標楷體"/>
        </w:rPr>
        <w:t>,000</w:t>
      </w:r>
      <w:r w:rsidRPr="00B474B8">
        <w:rPr>
          <w:rFonts w:ascii="標楷體" w:eastAsia="標楷體" w:hAnsi="標楷體" w:hint="eastAsia"/>
        </w:rPr>
        <w:t>個、2</w:t>
      </w:r>
      <w:r w:rsidRPr="00B474B8">
        <w:rPr>
          <w:rFonts w:ascii="標楷體" w:eastAsia="標楷體" w:hAnsi="標楷體"/>
        </w:rPr>
        <w:t>040</w:t>
      </w:r>
      <w:r w:rsidRPr="00B474B8">
        <w:rPr>
          <w:rFonts w:ascii="標楷體" w:eastAsia="標楷體" w:hAnsi="標楷體" w:hint="eastAsia"/>
        </w:rPr>
        <w:t>年完成1</w:t>
      </w:r>
      <w:r w:rsidRPr="00B474B8">
        <w:rPr>
          <w:rFonts w:ascii="標楷體" w:eastAsia="標楷體" w:hAnsi="標楷體"/>
        </w:rPr>
        <w:t>0,000</w:t>
      </w:r>
      <w:r w:rsidRPr="00B474B8">
        <w:rPr>
          <w:rFonts w:ascii="標楷體" w:eastAsia="標楷體" w:hAnsi="標楷體" w:hint="eastAsia"/>
        </w:rPr>
        <w:t>個、2</w:t>
      </w:r>
      <w:r w:rsidRPr="00B474B8">
        <w:rPr>
          <w:rFonts w:ascii="標楷體" w:eastAsia="標楷體" w:hAnsi="標楷體"/>
        </w:rPr>
        <w:t>050</w:t>
      </w:r>
      <w:r w:rsidRPr="00B474B8">
        <w:rPr>
          <w:rFonts w:ascii="標楷體" w:eastAsia="標楷體" w:hAnsi="標楷體" w:hint="eastAsia"/>
        </w:rPr>
        <w:t>年完成2</w:t>
      </w:r>
      <w:r w:rsidRPr="00B474B8">
        <w:rPr>
          <w:rFonts w:ascii="標楷體" w:eastAsia="標楷體" w:hAnsi="標楷體"/>
        </w:rPr>
        <w:t>0,000</w:t>
      </w:r>
      <w:r w:rsidRPr="00B474B8">
        <w:rPr>
          <w:rFonts w:ascii="標楷體" w:eastAsia="標楷體" w:hAnsi="標楷體" w:hint="eastAsia"/>
        </w:rPr>
        <w:t>個（圖2）。</w:t>
      </w:r>
      <w:r w:rsidRPr="00B474B8">
        <w:rPr>
          <w:rFonts w:ascii="標楷體" w:eastAsia="標楷體" w:hAnsi="標楷體" w:hint="eastAsia"/>
          <w:bCs/>
        </w:rPr>
        <w:t>據臺北市停車管理工程處網頁揭露電動車充電資訊，截至1</w:t>
      </w:r>
      <w:r w:rsidRPr="00B474B8">
        <w:rPr>
          <w:rFonts w:ascii="標楷體" w:eastAsia="標楷體" w:hAnsi="標楷體"/>
          <w:bCs/>
        </w:rPr>
        <w:t>13</w:t>
      </w:r>
      <w:r w:rsidRPr="00B474B8">
        <w:rPr>
          <w:rFonts w:ascii="標楷體" w:eastAsia="標楷體" w:hAnsi="標楷體" w:hint="eastAsia"/>
          <w:bCs/>
        </w:rPr>
        <w:t>年底，臺北市公有停車場暨機關學校設置電動汽車或機車充電格分別計有</w:t>
      </w:r>
      <w:r w:rsidRPr="00B474B8">
        <w:rPr>
          <w:rFonts w:ascii="標楷體" w:eastAsia="標楷體" w:hAnsi="標楷體"/>
          <w:bCs/>
        </w:rPr>
        <w:t>1</w:t>
      </w:r>
      <w:r w:rsidRPr="00B474B8">
        <w:rPr>
          <w:rFonts w:ascii="標楷體" w:eastAsia="標楷體" w:hAnsi="標楷體" w:hint="eastAsia"/>
          <w:bCs/>
        </w:rPr>
        <w:t>,</w:t>
      </w:r>
      <w:r w:rsidRPr="00B474B8">
        <w:rPr>
          <w:rFonts w:ascii="標楷體" w:eastAsia="標楷體" w:hAnsi="標楷體"/>
          <w:bCs/>
        </w:rPr>
        <w:t>220</w:t>
      </w:r>
      <w:r w:rsidRPr="00B474B8">
        <w:rPr>
          <w:rFonts w:ascii="標楷體" w:eastAsia="標楷體" w:hAnsi="標楷體" w:hint="eastAsia"/>
          <w:bCs/>
        </w:rPr>
        <w:t>個及1</w:t>
      </w:r>
      <w:r w:rsidRPr="00B474B8">
        <w:rPr>
          <w:rFonts w:ascii="標楷體" w:eastAsia="標楷體" w:hAnsi="標楷體"/>
          <w:bCs/>
        </w:rPr>
        <w:t>32</w:t>
      </w:r>
      <w:r w:rsidRPr="00B474B8">
        <w:rPr>
          <w:rFonts w:ascii="標楷體" w:eastAsia="標楷體" w:hAnsi="標楷體" w:hint="eastAsia"/>
          <w:bCs/>
        </w:rPr>
        <w:t>個，其中電動汽車格較1</w:t>
      </w:r>
      <w:r w:rsidRPr="00B474B8">
        <w:rPr>
          <w:rFonts w:ascii="標楷體" w:eastAsia="標楷體" w:hAnsi="標楷體"/>
          <w:bCs/>
        </w:rPr>
        <w:t>09</w:t>
      </w:r>
      <w:r w:rsidRPr="00B474B8">
        <w:rPr>
          <w:rFonts w:ascii="標楷體" w:eastAsia="標楷體" w:hAnsi="標楷體" w:hint="eastAsia"/>
          <w:bCs/>
        </w:rPr>
        <w:t>年之3</w:t>
      </w:r>
      <w:r w:rsidRPr="00B474B8">
        <w:rPr>
          <w:rFonts w:ascii="標楷體" w:eastAsia="標楷體" w:hAnsi="標楷體"/>
          <w:bCs/>
        </w:rPr>
        <w:t>45</w:t>
      </w:r>
      <w:r w:rsidRPr="00B474B8">
        <w:rPr>
          <w:rFonts w:ascii="標楷體" w:eastAsia="標楷體" w:hAnsi="標楷體" w:hint="eastAsia"/>
          <w:bCs/>
        </w:rPr>
        <w:t>個，成長逾2倍。</w:t>
      </w:r>
      <w:r w:rsidRPr="00B474B8">
        <w:rPr>
          <w:rFonts w:ascii="標楷體" w:eastAsia="標楷體" w:hAnsi="標楷體" w:hint="eastAsia"/>
        </w:rPr>
        <w:t>近</w:t>
      </w:r>
      <w:r w:rsidRPr="00B474B8">
        <w:rPr>
          <w:rFonts w:ascii="標楷體" w:eastAsia="標楷體" w:hAnsi="標楷體"/>
        </w:rPr>
        <w:t>年</w:t>
      </w:r>
      <w:r w:rsidRPr="00B474B8">
        <w:rPr>
          <w:rFonts w:ascii="標楷體" w:eastAsia="標楷體" w:hAnsi="標楷體" w:hint="eastAsia"/>
        </w:rPr>
        <w:t>電動車掛牌數呈逐年成長趨勢，公共充電設施亦愈趨普遍，電動車</w:t>
      </w:r>
      <w:proofErr w:type="gramStart"/>
      <w:r w:rsidRPr="00B474B8">
        <w:rPr>
          <w:rFonts w:ascii="標楷體" w:eastAsia="標楷體" w:hAnsi="標楷體" w:hint="eastAsia"/>
        </w:rPr>
        <w:t>充換電</w:t>
      </w:r>
      <w:proofErr w:type="gramEnd"/>
      <w:r w:rsidRPr="00B474B8">
        <w:rPr>
          <w:rFonts w:ascii="標楷體" w:eastAsia="標楷體" w:hAnsi="標楷體" w:hint="eastAsia"/>
        </w:rPr>
        <w:t>站之安全維護已益顯重要，</w:t>
      </w:r>
      <w:proofErr w:type="gramStart"/>
      <w:r w:rsidRPr="00B474B8">
        <w:rPr>
          <w:rFonts w:ascii="標楷體" w:eastAsia="標楷體" w:hAnsi="標楷體" w:hint="eastAsia"/>
        </w:rPr>
        <w:t>揆</w:t>
      </w:r>
      <w:proofErr w:type="gramEnd"/>
      <w:r w:rsidRPr="00B474B8">
        <w:rPr>
          <w:rFonts w:ascii="標楷體" w:eastAsia="標楷體" w:hAnsi="標楷體" w:hint="eastAsia"/>
        </w:rPr>
        <w:t>諸國內外電動車火災之</w:t>
      </w:r>
      <w:r w:rsidRPr="00B474B8">
        <w:rPr>
          <w:rFonts w:ascii="標楷體" w:eastAsia="標楷體" w:hAnsi="標楷體"/>
        </w:rPr>
        <w:t>時點</w:t>
      </w:r>
      <w:r w:rsidRPr="00B474B8">
        <w:rPr>
          <w:rFonts w:ascii="標楷體" w:eastAsia="標楷體" w:hAnsi="標楷體" w:hint="eastAsia"/>
        </w:rPr>
        <w:t>，多</w:t>
      </w:r>
      <w:r w:rsidRPr="00B474B8">
        <w:rPr>
          <w:rFonts w:ascii="標楷體" w:eastAsia="標楷體" w:hAnsi="標楷體"/>
        </w:rPr>
        <w:t>於</w:t>
      </w:r>
      <w:r w:rsidRPr="00B474B8">
        <w:rPr>
          <w:rFonts w:ascii="標楷體" w:eastAsia="標楷體" w:hAnsi="標楷體" w:hint="eastAsia"/>
        </w:rPr>
        <w:t>充電時起火，或事故自撞導致</w:t>
      </w:r>
      <w:proofErr w:type="gramStart"/>
      <w:r w:rsidRPr="00B474B8">
        <w:rPr>
          <w:rFonts w:ascii="標楷體" w:eastAsia="標楷體" w:hAnsi="標楷體" w:hint="eastAsia"/>
        </w:rPr>
        <w:t>車內鋰離子</w:t>
      </w:r>
      <w:proofErr w:type="gramEnd"/>
      <w:r w:rsidRPr="00B474B8">
        <w:rPr>
          <w:rFonts w:ascii="標楷體" w:eastAsia="標楷體" w:hAnsi="標楷體" w:hint="eastAsia"/>
        </w:rPr>
        <w:t>電池熱失控起火等。臺北市政</w:t>
      </w:r>
      <w:r w:rsidRPr="00B474B8">
        <w:rPr>
          <w:rFonts w:ascii="標楷體" w:eastAsia="標楷體" w:hAnsi="標楷體"/>
        </w:rPr>
        <w:t>府</w:t>
      </w:r>
      <w:r w:rsidRPr="00B474B8">
        <w:rPr>
          <w:rFonts w:ascii="標楷體" w:eastAsia="標楷體" w:hAnsi="標楷體" w:hint="eastAsia"/>
        </w:rPr>
        <w:t>前於110年發布營利電動車</w:t>
      </w:r>
      <w:proofErr w:type="gramStart"/>
      <w:r w:rsidRPr="00B474B8">
        <w:rPr>
          <w:rFonts w:ascii="標楷體" w:eastAsia="標楷體" w:hAnsi="標楷體" w:hint="eastAsia"/>
        </w:rPr>
        <w:t>充換電</w:t>
      </w:r>
      <w:proofErr w:type="gramEnd"/>
      <w:r w:rsidRPr="00B474B8">
        <w:rPr>
          <w:rFonts w:ascii="標楷體" w:eastAsia="標楷體" w:hAnsi="標楷體" w:hint="eastAsia"/>
        </w:rPr>
        <w:t>站設置規範及社區電動車增設充電設備管理辦法參考範本，作為業者及民眾設置電動車充</w:t>
      </w:r>
      <w:r w:rsidRPr="00B474B8">
        <w:rPr>
          <w:rFonts w:ascii="標楷體" w:eastAsia="標楷體" w:hAnsi="標楷體"/>
          <w:noProof/>
        </w:rPr>
        <mc:AlternateContent>
          <mc:Choice Requires="wps">
            <w:drawing>
              <wp:anchor distT="45720" distB="45720" distL="114300" distR="114300" simplePos="0" relativeHeight="251666432" behindDoc="0" locked="0" layoutInCell="1" allowOverlap="1" wp14:anchorId="5526F358" wp14:editId="5252554D">
                <wp:simplePos x="0" y="0"/>
                <wp:positionH relativeFrom="column">
                  <wp:posOffset>1619250</wp:posOffset>
                </wp:positionH>
                <wp:positionV relativeFrom="paragraph">
                  <wp:posOffset>1346835</wp:posOffset>
                </wp:positionV>
                <wp:extent cx="4726940" cy="2353945"/>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26940" cy="2353945"/>
                        </a:xfrm>
                        <a:prstGeom prst="rect">
                          <a:avLst/>
                        </a:prstGeom>
                        <a:noFill/>
                        <a:ln w="9525">
                          <a:noFill/>
                          <a:miter lim="800000"/>
                          <a:headEnd/>
                          <a:tailEnd/>
                        </a:ln>
                      </wps:spPr>
                      <wps:txbx>
                        <w:txbxContent>
                          <w:p w14:paraId="7F9ADF1E" w14:textId="77777777" w:rsidR="004551F8" w:rsidRPr="00304C86" w:rsidRDefault="004551F8" w:rsidP="004551F8">
                            <w:pPr>
                              <w:jc w:val="center"/>
                              <w:rPr>
                                <w:rFonts w:ascii="標楷體" w:eastAsia="標楷體" w:hAnsi="標楷體"/>
                                <w:b/>
                              </w:rPr>
                            </w:pPr>
                            <w:r w:rsidRPr="00304C86">
                              <w:rPr>
                                <w:rFonts w:ascii="標楷體" w:eastAsia="標楷體" w:hAnsi="標楷體" w:hint="eastAsia"/>
                                <w:b/>
                              </w:rPr>
                              <w:t>圖</w:t>
                            </w:r>
                            <w:r>
                              <w:rPr>
                                <w:rFonts w:ascii="標楷體" w:eastAsia="標楷體" w:hAnsi="標楷體"/>
                                <w:b/>
                              </w:rPr>
                              <w:t>2</w:t>
                            </w:r>
                            <w:r w:rsidRPr="00304C86">
                              <w:rPr>
                                <w:rFonts w:ascii="標楷體" w:eastAsia="標楷體" w:hAnsi="標楷體" w:hint="eastAsia"/>
                                <w:b/>
                              </w:rPr>
                              <w:t xml:space="preserve">　運輸</w:t>
                            </w:r>
                            <w:proofErr w:type="gramStart"/>
                            <w:r w:rsidRPr="00304C86">
                              <w:rPr>
                                <w:rFonts w:ascii="標楷體" w:eastAsia="標楷體" w:hAnsi="標楷體" w:hint="eastAsia"/>
                                <w:b/>
                              </w:rPr>
                              <w:t>部門淨零排放</w:t>
                            </w:r>
                            <w:proofErr w:type="gramEnd"/>
                            <w:r w:rsidRPr="00304C86">
                              <w:rPr>
                                <w:rFonts w:ascii="標楷體" w:eastAsia="標楷體" w:hAnsi="標楷體" w:hint="eastAsia"/>
                                <w:b/>
                              </w:rPr>
                              <w:t>推動路徑</w:t>
                            </w:r>
                          </w:p>
                          <w:p w14:paraId="736E853F" w14:textId="77777777" w:rsidR="004551F8" w:rsidRDefault="004551F8" w:rsidP="004551F8">
                            <w:r w:rsidRPr="00963FBF">
                              <w:rPr>
                                <w:rFonts w:ascii="標楷體" w:eastAsia="標楷體"/>
                                <w:noProof/>
                              </w:rPr>
                              <w:drawing>
                                <wp:inline distT="0" distB="0" distL="0" distR="0" wp14:anchorId="59368876" wp14:editId="1C1DEB64">
                                  <wp:extent cx="4511040" cy="1795145"/>
                                  <wp:effectExtent l="0" t="0" r="3810" b="0"/>
                                  <wp:docPr id="127" name="圖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577248" cy="1821492"/>
                                          </a:xfrm>
                                          <a:prstGeom prst="rect">
                                            <a:avLst/>
                                          </a:prstGeom>
                                        </pic:spPr>
                                      </pic:pic>
                                    </a:graphicData>
                                  </a:graphic>
                                </wp:inline>
                              </w:drawing>
                            </w:r>
                          </w:p>
                          <w:p w14:paraId="71FAABC2" w14:textId="77777777" w:rsidR="004551F8" w:rsidRPr="00050C2C" w:rsidRDefault="004551F8" w:rsidP="004551F8">
                            <w:pPr>
                              <w:spacing w:line="240" w:lineRule="exact"/>
                              <w:ind w:leftChars="50" w:left="120"/>
                              <w:rPr>
                                <w:rFonts w:ascii="標楷體" w:eastAsia="標楷體" w:hAnsi="標楷體"/>
                                <w:sz w:val="18"/>
                                <w:szCs w:val="18"/>
                              </w:rPr>
                            </w:pPr>
                            <w:r w:rsidRPr="00050C2C">
                              <w:rPr>
                                <w:rFonts w:ascii="標楷體" w:eastAsia="標楷體" w:hAnsi="標楷體" w:hint="eastAsia"/>
                                <w:sz w:val="18"/>
                                <w:szCs w:val="18"/>
                              </w:rPr>
                              <w:t>資料來源：</w:t>
                            </w:r>
                            <w:r>
                              <w:rPr>
                                <w:rFonts w:ascii="標楷體" w:eastAsia="標楷體" w:hAnsi="標楷體" w:hint="eastAsia"/>
                                <w:sz w:val="18"/>
                                <w:szCs w:val="18"/>
                              </w:rPr>
                              <w:t>擷取自</w:t>
                            </w:r>
                            <w:r w:rsidRPr="00050C2C">
                              <w:rPr>
                                <w:rFonts w:ascii="標楷體" w:eastAsia="標楷體" w:hAnsi="標楷體" w:hint="eastAsia"/>
                                <w:sz w:val="18"/>
                                <w:szCs w:val="18"/>
                              </w:rPr>
                              <w:t>臺北市2</w:t>
                            </w:r>
                            <w:r w:rsidRPr="00050C2C">
                              <w:rPr>
                                <w:rFonts w:ascii="標楷體" w:eastAsia="標楷體" w:hAnsi="標楷體"/>
                                <w:sz w:val="18"/>
                                <w:szCs w:val="18"/>
                              </w:rPr>
                              <w:t>050</w:t>
                            </w:r>
                            <w:proofErr w:type="gramStart"/>
                            <w:r w:rsidRPr="00050C2C">
                              <w:rPr>
                                <w:rFonts w:ascii="標楷體" w:eastAsia="標楷體" w:hAnsi="標楷體" w:hint="eastAsia"/>
                                <w:sz w:val="18"/>
                                <w:szCs w:val="18"/>
                              </w:rPr>
                              <w:t>淨零行動</w:t>
                            </w:r>
                            <w:proofErr w:type="gramEnd"/>
                            <w:r w:rsidRPr="00050C2C">
                              <w:rPr>
                                <w:rFonts w:ascii="標楷體" w:eastAsia="標楷體" w:hAnsi="標楷體" w:hint="eastAsia"/>
                                <w:sz w:val="18"/>
                                <w:szCs w:val="18"/>
                              </w:rPr>
                              <w:t>白皮書2</w:t>
                            </w:r>
                            <w:r w:rsidRPr="00050C2C">
                              <w:rPr>
                                <w:rFonts w:ascii="標楷體" w:eastAsia="標楷體" w:hAnsi="標楷體"/>
                                <w:sz w:val="18"/>
                                <w:szCs w:val="18"/>
                              </w:rPr>
                              <w:t>.0</w:t>
                            </w:r>
                            <w:r w:rsidRPr="00050C2C">
                              <w:rPr>
                                <w:rFonts w:ascii="標楷體" w:eastAsia="標楷體" w:hAnsi="標楷體" w:hint="eastAsia"/>
                                <w:sz w:val="18"/>
                                <w:szCs w:val="18"/>
                              </w:rPr>
                              <w:t>，1</w:t>
                            </w:r>
                            <w:r w:rsidRPr="00050C2C">
                              <w:rPr>
                                <w:rFonts w:ascii="標楷體" w:eastAsia="標楷體" w:hAnsi="標楷體"/>
                                <w:sz w:val="18"/>
                                <w:szCs w:val="18"/>
                              </w:rPr>
                              <w:t>11</w:t>
                            </w:r>
                            <w:r w:rsidRPr="00050C2C">
                              <w:rPr>
                                <w:rFonts w:ascii="標楷體" w:eastAsia="標楷體" w:hAnsi="標楷體" w:hint="eastAsia"/>
                                <w:sz w:val="18"/>
                                <w:szCs w:val="18"/>
                              </w:rPr>
                              <w:t>年7月。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26F358" id="_x0000_s1125" type="#_x0000_t202" style="position:absolute;left:0;text-align:left;margin-left:127.5pt;margin-top:106.05pt;width:372.2pt;height:185.3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" filled="f" stroked="f">
                <v:textbox>
                  <w:txbxContent>
                    <w:p w14:paraId="7F9ADF1E" w14:textId="77777777" w:rsidR="004551F8" w:rsidRPr="00304C86" w:rsidRDefault="004551F8" w:rsidP="004551F8">
                      <w:pPr>
                        <w:jc w:val="center"/>
                        <w:rPr>
                          <w:rFonts w:ascii="標楷體" w:eastAsia="標楷體" w:hAnsi="標楷體"/>
                          <w:b/>
                        </w:rPr>
                      </w:pPr>
                      <w:r w:rsidRPr="00304C86">
                        <w:rPr>
                          <w:rFonts w:ascii="標楷體" w:eastAsia="標楷體" w:hAnsi="標楷體" w:hint="eastAsia"/>
                          <w:b/>
                        </w:rPr>
                        <w:t>圖</w:t>
                      </w:r>
                      <w:r>
                        <w:rPr>
                          <w:rFonts w:ascii="標楷體" w:eastAsia="標楷體" w:hAnsi="標楷體"/>
                          <w:b/>
                        </w:rPr>
                        <w:t>2</w:t>
                      </w:r>
                      <w:r w:rsidRPr="00304C86">
                        <w:rPr>
                          <w:rFonts w:ascii="標楷體" w:eastAsia="標楷體" w:hAnsi="標楷體" w:hint="eastAsia"/>
                          <w:b/>
                        </w:rPr>
                        <w:t xml:space="preserve">　運輸</w:t>
                      </w:r>
                      <w:proofErr w:type="gramStart"/>
                      <w:r w:rsidRPr="00304C86">
                        <w:rPr>
                          <w:rFonts w:ascii="標楷體" w:eastAsia="標楷體" w:hAnsi="標楷體" w:hint="eastAsia"/>
                          <w:b/>
                        </w:rPr>
                        <w:t>部門淨零排放</w:t>
                      </w:r>
                      <w:proofErr w:type="gramEnd"/>
                      <w:r w:rsidRPr="00304C86">
                        <w:rPr>
                          <w:rFonts w:ascii="標楷體" w:eastAsia="標楷體" w:hAnsi="標楷體" w:hint="eastAsia"/>
                          <w:b/>
                        </w:rPr>
                        <w:t>推動路徑</w:t>
                      </w:r>
                    </w:p>
                    <w:p w14:paraId="736E853F" w14:textId="77777777" w:rsidR="004551F8" w:rsidRDefault="004551F8" w:rsidP="004551F8">
                      <w:r w:rsidRPr="00963FBF">
                        <w:rPr>
                          <w:rFonts w:ascii="標楷體" w:eastAsia="標楷體"/>
                          <w:noProof/>
                        </w:rPr>
                        <w:drawing>
                          <wp:inline distT="0" distB="0" distL="0" distR="0" wp14:anchorId="59368876" wp14:editId="1C1DEB64">
                            <wp:extent cx="4511040" cy="1795145"/>
                            <wp:effectExtent l="0" t="0" r="3810" b="0"/>
                            <wp:docPr id="127" name="圖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577248" cy="1821492"/>
                                    </a:xfrm>
                                    <a:prstGeom prst="rect">
                                      <a:avLst/>
                                    </a:prstGeom>
                                  </pic:spPr>
                                </pic:pic>
                              </a:graphicData>
                            </a:graphic>
                          </wp:inline>
                        </w:drawing>
                      </w:r>
                    </w:p>
                    <w:p w14:paraId="71FAABC2" w14:textId="77777777" w:rsidR="004551F8" w:rsidRPr="00050C2C" w:rsidRDefault="004551F8" w:rsidP="004551F8">
                      <w:pPr>
                        <w:spacing w:line="240" w:lineRule="exact"/>
                        <w:ind w:leftChars="50" w:left="120"/>
                        <w:rPr>
                          <w:rFonts w:ascii="標楷體" w:eastAsia="標楷體" w:hAnsi="標楷體"/>
                          <w:sz w:val="18"/>
                          <w:szCs w:val="18"/>
                        </w:rPr>
                      </w:pPr>
                      <w:r w:rsidRPr="00050C2C">
                        <w:rPr>
                          <w:rFonts w:ascii="標楷體" w:eastAsia="標楷體" w:hAnsi="標楷體" w:hint="eastAsia"/>
                          <w:sz w:val="18"/>
                          <w:szCs w:val="18"/>
                        </w:rPr>
                        <w:t>資料來源：</w:t>
                      </w:r>
                      <w:r>
                        <w:rPr>
                          <w:rFonts w:ascii="標楷體" w:eastAsia="標楷體" w:hAnsi="標楷體" w:hint="eastAsia"/>
                          <w:sz w:val="18"/>
                          <w:szCs w:val="18"/>
                        </w:rPr>
                        <w:t>擷取自</w:t>
                      </w:r>
                      <w:r w:rsidRPr="00050C2C">
                        <w:rPr>
                          <w:rFonts w:ascii="標楷體" w:eastAsia="標楷體" w:hAnsi="標楷體" w:hint="eastAsia"/>
                          <w:sz w:val="18"/>
                          <w:szCs w:val="18"/>
                        </w:rPr>
                        <w:t>臺北市2</w:t>
                      </w:r>
                      <w:r w:rsidRPr="00050C2C">
                        <w:rPr>
                          <w:rFonts w:ascii="標楷體" w:eastAsia="標楷體" w:hAnsi="標楷體"/>
                          <w:sz w:val="18"/>
                          <w:szCs w:val="18"/>
                        </w:rPr>
                        <w:t>050</w:t>
                      </w:r>
                      <w:proofErr w:type="gramStart"/>
                      <w:r w:rsidRPr="00050C2C">
                        <w:rPr>
                          <w:rFonts w:ascii="標楷體" w:eastAsia="標楷體" w:hAnsi="標楷體" w:hint="eastAsia"/>
                          <w:sz w:val="18"/>
                          <w:szCs w:val="18"/>
                        </w:rPr>
                        <w:t>淨零行動</w:t>
                      </w:r>
                      <w:proofErr w:type="gramEnd"/>
                      <w:r w:rsidRPr="00050C2C">
                        <w:rPr>
                          <w:rFonts w:ascii="標楷體" w:eastAsia="標楷體" w:hAnsi="標楷體" w:hint="eastAsia"/>
                          <w:sz w:val="18"/>
                          <w:szCs w:val="18"/>
                        </w:rPr>
                        <w:t>白皮書2</w:t>
                      </w:r>
                      <w:r w:rsidRPr="00050C2C">
                        <w:rPr>
                          <w:rFonts w:ascii="標楷體" w:eastAsia="標楷體" w:hAnsi="標楷體"/>
                          <w:sz w:val="18"/>
                          <w:szCs w:val="18"/>
                        </w:rPr>
                        <w:t>.0</w:t>
                      </w:r>
                      <w:r w:rsidRPr="00050C2C">
                        <w:rPr>
                          <w:rFonts w:ascii="標楷體" w:eastAsia="標楷體" w:hAnsi="標楷體" w:hint="eastAsia"/>
                          <w:sz w:val="18"/>
                          <w:szCs w:val="18"/>
                        </w:rPr>
                        <w:t>，1</w:t>
                      </w:r>
                      <w:r w:rsidRPr="00050C2C">
                        <w:rPr>
                          <w:rFonts w:ascii="標楷體" w:eastAsia="標楷體" w:hAnsi="標楷體"/>
                          <w:sz w:val="18"/>
                          <w:szCs w:val="18"/>
                        </w:rPr>
                        <w:t>11</w:t>
                      </w:r>
                      <w:r w:rsidRPr="00050C2C">
                        <w:rPr>
                          <w:rFonts w:ascii="標楷體" w:eastAsia="標楷體" w:hAnsi="標楷體" w:hint="eastAsia"/>
                          <w:sz w:val="18"/>
                          <w:szCs w:val="18"/>
                        </w:rPr>
                        <w:t>年7月。</w:t>
                      </w:r>
                    </w:p>
                  </w:txbxContent>
                </v:textbox>
                <w10:wrap type="square"/>
              </v:shape>
            </w:pict>
          </mc:Fallback>
        </mc:AlternateContent>
      </w:r>
      <w:proofErr w:type="gramStart"/>
      <w:r w:rsidRPr="00B474B8">
        <w:rPr>
          <w:rFonts w:ascii="標楷體" w:eastAsia="標楷體" w:hAnsi="標楷體" w:hint="eastAsia"/>
        </w:rPr>
        <w:t>換電站</w:t>
      </w:r>
      <w:proofErr w:type="gramEnd"/>
      <w:r w:rsidRPr="00B474B8">
        <w:rPr>
          <w:rFonts w:ascii="標楷體" w:eastAsia="標楷體" w:hAnsi="標楷體" w:hint="eastAsia"/>
        </w:rPr>
        <w:t>之依循。</w:t>
      </w:r>
      <w:proofErr w:type="gramStart"/>
      <w:r w:rsidRPr="00B474B8">
        <w:rPr>
          <w:rFonts w:ascii="標楷體" w:eastAsia="標楷體" w:hAnsi="標楷體"/>
        </w:rPr>
        <w:t>惟</w:t>
      </w:r>
      <w:r w:rsidRPr="00B474B8">
        <w:rPr>
          <w:rFonts w:ascii="標楷體" w:eastAsia="標楷體" w:hAnsi="標楷體" w:hint="eastAsia"/>
        </w:rPr>
        <w:t>查現階段</w:t>
      </w:r>
      <w:proofErr w:type="gramEnd"/>
      <w:r w:rsidRPr="00B474B8">
        <w:rPr>
          <w:rFonts w:ascii="標楷體" w:eastAsia="標楷體" w:hAnsi="標楷體" w:hint="eastAsia"/>
        </w:rPr>
        <w:t>中央與地方有關充電設施之安全管理規範仍有未</w:t>
      </w:r>
      <w:proofErr w:type="gramStart"/>
      <w:r w:rsidRPr="00B474B8">
        <w:rPr>
          <w:rFonts w:ascii="標楷體" w:eastAsia="標楷體" w:hAnsi="標楷體" w:hint="eastAsia"/>
        </w:rPr>
        <w:t>臻</w:t>
      </w:r>
      <w:proofErr w:type="gramEnd"/>
      <w:r w:rsidRPr="00B474B8">
        <w:rPr>
          <w:rFonts w:ascii="標楷體" w:eastAsia="標楷體" w:hAnsi="標楷體" w:hint="eastAsia"/>
        </w:rPr>
        <w:t>完備之處，如室外電動車</w:t>
      </w:r>
      <w:proofErr w:type="gramStart"/>
      <w:r w:rsidRPr="00B474B8">
        <w:rPr>
          <w:rFonts w:ascii="標楷體" w:eastAsia="標楷體" w:hAnsi="標楷體" w:hint="eastAsia"/>
        </w:rPr>
        <w:t>充換電</w:t>
      </w:r>
      <w:proofErr w:type="gramEnd"/>
      <w:r w:rsidRPr="00B474B8">
        <w:rPr>
          <w:rFonts w:ascii="標楷體" w:eastAsia="標楷體" w:hAnsi="標楷體" w:hint="eastAsia"/>
        </w:rPr>
        <w:t>站因非屬建築物，不屬消防安全設備設置等相關法規之納管範圍，未能強制配置消防設備；室內增設之電動車充電站尚未納入建築物公共安全檢查及申報或消防安全設備檢修申報項目，無強制定期檢查機制；電動車</w:t>
      </w:r>
      <w:proofErr w:type="gramStart"/>
      <w:r w:rsidRPr="00B474B8">
        <w:rPr>
          <w:rFonts w:ascii="標楷體" w:eastAsia="標楷體" w:hAnsi="標楷體" w:hint="eastAsia"/>
        </w:rPr>
        <w:t>鋰</w:t>
      </w:r>
      <w:proofErr w:type="gramEnd"/>
      <w:r w:rsidRPr="00B474B8">
        <w:rPr>
          <w:rFonts w:ascii="標楷體" w:eastAsia="標楷體" w:hAnsi="標楷體" w:hint="eastAsia"/>
        </w:rPr>
        <w:t>電池、線路安全尚未比照燃油車建立定期檢驗機制等。</w:t>
      </w:r>
      <w:proofErr w:type="gramStart"/>
      <w:r w:rsidRPr="00B474B8">
        <w:rPr>
          <w:rFonts w:ascii="標楷體" w:eastAsia="標楷體" w:hAnsi="標楷體" w:hint="eastAsia"/>
        </w:rPr>
        <w:t>鑑</w:t>
      </w:r>
      <w:proofErr w:type="gramEnd"/>
      <w:r w:rsidRPr="00B474B8">
        <w:rPr>
          <w:rFonts w:ascii="標楷體" w:eastAsia="標楷體" w:hAnsi="標楷體" w:hint="eastAsia"/>
        </w:rPr>
        <w:t>於國內外電動車</w:t>
      </w:r>
      <w:proofErr w:type="gramStart"/>
      <w:r w:rsidRPr="00B474B8">
        <w:rPr>
          <w:rFonts w:ascii="標楷體" w:eastAsia="標楷體" w:hAnsi="標楷體" w:hint="eastAsia"/>
        </w:rPr>
        <w:t>鋰</w:t>
      </w:r>
      <w:proofErr w:type="gramEnd"/>
      <w:r w:rsidRPr="00B474B8">
        <w:rPr>
          <w:rFonts w:ascii="標楷體" w:eastAsia="標楷體" w:hAnsi="標楷體" w:hint="eastAsia"/>
        </w:rPr>
        <w:t>電池起火事故頻傳，引發大眾關注，且目前中央尚未完備全國相關一致性規範，允應即時</w:t>
      </w:r>
      <w:proofErr w:type="gramStart"/>
      <w:r w:rsidRPr="00B474B8">
        <w:rPr>
          <w:rFonts w:ascii="標楷體" w:eastAsia="標楷體" w:hAnsi="標楷體" w:hint="eastAsia"/>
        </w:rPr>
        <w:t>研</w:t>
      </w:r>
      <w:r w:rsidRPr="00B474B8">
        <w:rPr>
          <w:rFonts w:ascii="標楷體" w:eastAsia="標楷體" w:hAnsi="標楷體"/>
        </w:rPr>
        <w:t>酌</w:t>
      </w:r>
      <w:r w:rsidRPr="00B474B8">
        <w:rPr>
          <w:rFonts w:ascii="標楷體" w:eastAsia="標楷體" w:hAnsi="標楷體" w:hint="eastAsia"/>
        </w:rPr>
        <w:t>精</w:t>
      </w:r>
      <w:proofErr w:type="gramEnd"/>
      <w:r w:rsidRPr="00B474B8">
        <w:rPr>
          <w:rFonts w:ascii="標楷體" w:eastAsia="標楷體" w:hAnsi="標楷體" w:hint="eastAsia"/>
        </w:rPr>
        <w:t>進現有管理機制</w:t>
      </w:r>
      <w:proofErr w:type="gramStart"/>
      <w:r w:rsidRPr="00B474B8">
        <w:rPr>
          <w:rFonts w:ascii="標楷體" w:eastAsia="標楷體" w:hAnsi="標楷體" w:hint="eastAsia"/>
        </w:rPr>
        <w:t>或妥訂</w:t>
      </w:r>
      <w:proofErr w:type="gramEnd"/>
      <w:r w:rsidRPr="00B474B8">
        <w:rPr>
          <w:rFonts w:ascii="標楷體" w:eastAsia="標楷體" w:hAnsi="標楷體" w:hint="eastAsia"/>
        </w:rPr>
        <w:t>配套措施，以保障公共安全及民眾生命財產權益，經函請</w:t>
      </w:r>
      <w:proofErr w:type="gramStart"/>
      <w:r w:rsidRPr="00B474B8">
        <w:rPr>
          <w:rFonts w:ascii="標楷體" w:eastAsia="標楷體" w:hAnsi="標楷體" w:hint="eastAsia"/>
        </w:rPr>
        <w:t>研謀善策</w:t>
      </w:r>
      <w:proofErr w:type="gramEnd"/>
      <w:r w:rsidRPr="00B474B8">
        <w:rPr>
          <w:rFonts w:ascii="標楷體" w:eastAsia="標楷體" w:hAnsi="標楷體" w:hint="eastAsia"/>
        </w:rPr>
        <w:t>。據復：</w:t>
      </w:r>
      <w:r w:rsidRPr="00B474B8">
        <w:rPr>
          <w:rFonts w:ascii="標楷體" w:eastAsia="標楷體" w:hAnsi="標楷體"/>
        </w:rPr>
        <w:t>於113年9月10日召開「電動車與鋰電池安全管理會議」討論各局處</w:t>
      </w:r>
      <w:r w:rsidRPr="00B474B8">
        <w:rPr>
          <w:rFonts w:ascii="標楷體" w:eastAsia="標楷體" w:hAnsi="標楷體" w:hint="eastAsia"/>
        </w:rPr>
        <w:t>之權管業務，如電動汽車車輛、</w:t>
      </w:r>
      <w:proofErr w:type="gramStart"/>
      <w:r w:rsidRPr="00B474B8">
        <w:rPr>
          <w:rFonts w:ascii="標楷體" w:eastAsia="標楷體" w:hAnsi="標楷體" w:hint="eastAsia"/>
        </w:rPr>
        <w:t>充換電</w:t>
      </w:r>
      <w:proofErr w:type="gramEnd"/>
      <w:r w:rsidRPr="00B474B8">
        <w:rPr>
          <w:rFonts w:ascii="標楷體" w:eastAsia="標楷體" w:hAnsi="標楷體" w:hint="eastAsia"/>
        </w:rPr>
        <w:t>站、營利停車場空間、建築物停車空間、事故搶救、廢棄產品等各層面之管理情形及因應措施，並予以列管，後續</w:t>
      </w:r>
      <w:r w:rsidRPr="00B474B8">
        <w:rPr>
          <w:rFonts w:ascii="標楷體" w:eastAsia="標楷體" w:hAnsi="標楷體"/>
        </w:rPr>
        <w:t>電動車相關安全管理與配套措施將遵循中央訂定之相關政策</w:t>
      </w:r>
      <w:r w:rsidRPr="00B474B8">
        <w:rPr>
          <w:rFonts w:ascii="標楷體" w:eastAsia="標楷體" w:hAnsi="標楷體" w:hint="eastAsia"/>
        </w:rPr>
        <w:t>及</w:t>
      </w:r>
      <w:r w:rsidRPr="00B474B8">
        <w:rPr>
          <w:rFonts w:ascii="標楷體" w:eastAsia="標楷體" w:hAnsi="標楷體"/>
        </w:rPr>
        <w:t>法規</w:t>
      </w:r>
      <w:r w:rsidRPr="00B474B8">
        <w:rPr>
          <w:rFonts w:ascii="標楷體" w:eastAsia="標楷體" w:hAnsi="標楷體" w:hint="eastAsia"/>
        </w:rPr>
        <w:t>辦理。</w:t>
      </w:r>
    </w:p>
    <w:p w14:paraId="1D329ECC" w14:textId="77777777" w:rsidR="004551F8" w:rsidRPr="00B474B8" w:rsidRDefault="004551F8" w:rsidP="004551F8">
      <w:pPr>
        <w:spacing w:before="120" w:line="460" w:lineRule="exact"/>
        <w:ind w:firstLineChars="100" w:firstLine="280"/>
        <w:jc w:val="both"/>
        <w:rPr>
          <w:rFonts w:ascii="標楷體" w:eastAsia="標楷體" w:hAnsi="標楷體"/>
          <w:b/>
          <w:sz w:val="28"/>
          <w:szCs w:val="28"/>
        </w:rPr>
      </w:pPr>
      <w:r w:rsidRPr="00B474B8">
        <w:rPr>
          <w:rFonts w:ascii="標楷體" w:eastAsia="標楷體" w:hAnsi="標楷體" w:hint="eastAsia"/>
          <w:b/>
          <w:sz w:val="28"/>
          <w:szCs w:val="28"/>
        </w:rPr>
        <w:t>（三）為邁向2050</w:t>
      </w:r>
      <w:proofErr w:type="gramStart"/>
      <w:r w:rsidRPr="00B474B8">
        <w:rPr>
          <w:rFonts w:ascii="標楷體" w:eastAsia="標楷體" w:hAnsi="標楷體" w:hint="eastAsia"/>
          <w:b/>
          <w:sz w:val="28"/>
          <w:szCs w:val="28"/>
        </w:rPr>
        <w:t>淨零排放</w:t>
      </w:r>
      <w:proofErr w:type="gramEnd"/>
      <w:r w:rsidRPr="00B474B8">
        <w:rPr>
          <w:rFonts w:ascii="標楷體" w:eastAsia="標楷體" w:hAnsi="標楷體" w:hint="eastAsia"/>
          <w:b/>
          <w:sz w:val="28"/>
          <w:szCs w:val="28"/>
        </w:rPr>
        <w:t>願景，補助住宅及社區</w:t>
      </w:r>
      <w:proofErr w:type="gramStart"/>
      <w:r w:rsidRPr="00B474B8">
        <w:rPr>
          <w:rFonts w:ascii="標楷體" w:eastAsia="標楷體" w:hAnsi="標楷體" w:hint="eastAsia"/>
          <w:b/>
          <w:sz w:val="28"/>
          <w:szCs w:val="28"/>
        </w:rPr>
        <w:t>設置創能</w:t>
      </w:r>
      <w:proofErr w:type="gramEnd"/>
      <w:r w:rsidRPr="00B474B8">
        <w:rPr>
          <w:rFonts w:ascii="標楷體" w:eastAsia="標楷體" w:hAnsi="標楷體" w:hint="eastAsia"/>
          <w:b/>
          <w:sz w:val="28"/>
          <w:szCs w:val="28"/>
        </w:rPr>
        <w:t>、儲能、節能設備及裝設建物玻璃隔熱膜，</w:t>
      </w:r>
      <w:proofErr w:type="gramStart"/>
      <w:r w:rsidRPr="00B474B8">
        <w:rPr>
          <w:rFonts w:ascii="標楷體" w:eastAsia="標楷體" w:hAnsi="標楷體" w:hint="eastAsia"/>
          <w:b/>
          <w:sz w:val="28"/>
          <w:szCs w:val="28"/>
        </w:rPr>
        <w:t>惟間有預算</w:t>
      </w:r>
      <w:proofErr w:type="gramEnd"/>
      <w:r w:rsidRPr="00B474B8">
        <w:rPr>
          <w:rFonts w:ascii="標楷體" w:eastAsia="標楷體" w:hAnsi="標楷體" w:hint="eastAsia"/>
          <w:b/>
          <w:sz w:val="28"/>
          <w:szCs w:val="28"/>
        </w:rPr>
        <w:t>執行率仍低，或部分補助案件之申請人係位於同一地址等情事，有待檢討</w:t>
      </w:r>
      <w:proofErr w:type="gramStart"/>
      <w:r w:rsidRPr="00B474B8">
        <w:rPr>
          <w:rFonts w:ascii="標楷體" w:eastAsia="標楷體" w:hAnsi="標楷體" w:hint="eastAsia"/>
          <w:b/>
          <w:sz w:val="28"/>
          <w:szCs w:val="28"/>
        </w:rPr>
        <w:t>妥處，俾</w:t>
      </w:r>
      <w:proofErr w:type="gramEnd"/>
      <w:r w:rsidRPr="00B474B8">
        <w:rPr>
          <w:rFonts w:ascii="標楷體" w:eastAsia="標楷體" w:hAnsi="標楷體" w:hint="eastAsia"/>
          <w:b/>
          <w:sz w:val="28"/>
          <w:szCs w:val="28"/>
        </w:rPr>
        <w:t>提升補助效益。</w:t>
      </w:r>
    </w:p>
    <w:p w14:paraId="14649F05" w14:textId="77777777" w:rsidR="00AE147C" w:rsidRDefault="004551F8" w:rsidP="004551F8">
      <w:pPr>
        <w:spacing w:before="120" w:line="440" w:lineRule="exact"/>
        <w:ind w:firstLineChars="200" w:firstLine="492"/>
        <w:jc w:val="both"/>
        <w:rPr>
          <w:rFonts w:ascii="標楷體" w:eastAsia="標楷體" w:hAnsi="標楷體"/>
          <w:spacing w:val="3"/>
        </w:rPr>
      </w:pPr>
      <w:r w:rsidRPr="00B474B8">
        <w:rPr>
          <w:rFonts w:ascii="標楷體" w:eastAsia="標楷體" w:hAnsi="標楷體" w:hint="eastAsia"/>
          <w:spacing w:val="3"/>
        </w:rPr>
        <w:t>為邁向2050</w:t>
      </w:r>
      <w:proofErr w:type="gramStart"/>
      <w:r w:rsidRPr="00B474B8">
        <w:rPr>
          <w:rFonts w:ascii="標楷體" w:eastAsia="標楷體" w:hAnsi="標楷體" w:hint="eastAsia"/>
          <w:spacing w:val="3"/>
        </w:rPr>
        <w:t>淨零排放</w:t>
      </w:r>
      <w:proofErr w:type="gramEnd"/>
      <w:r w:rsidRPr="00B474B8">
        <w:rPr>
          <w:rFonts w:ascii="標楷體" w:eastAsia="標楷體" w:hAnsi="標楷體" w:hint="eastAsia"/>
          <w:spacing w:val="3"/>
        </w:rPr>
        <w:t>願景，環境保護局自1</w:t>
      </w:r>
      <w:r w:rsidRPr="00B474B8">
        <w:rPr>
          <w:rFonts w:ascii="標楷體" w:eastAsia="標楷體" w:hAnsi="標楷體"/>
          <w:spacing w:val="3"/>
        </w:rPr>
        <w:t>12</w:t>
      </w:r>
      <w:r w:rsidRPr="00B474B8">
        <w:rPr>
          <w:rFonts w:ascii="標楷體" w:eastAsia="標楷體" w:hAnsi="標楷體" w:hint="eastAsia"/>
          <w:spacing w:val="3"/>
        </w:rPr>
        <w:t>年起補助住宅及社區</w:t>
      </w:r>
      <w:proofErr w:type="gramStart"/>
      <w:r w:rsidRPr="00B474B8">
        <w:rPr>
          <w:rFonts w:ascii="標楷體" w:eastAsia="標楷體" w:hAnsi="標楷體" w:hint="eastAsia"/>
          <w:spacing w:val="3"/>
        </w:rPr>
        <w:t>設置創能</w:t>
      </w:r>
      <w:proofErr w:type="gramEnd"/>
      <w:r w:rsidRPr="00B474B8">
        <w:rPr>
          <w:rFonts w:ascii="標楷體" w:eastAsia="標楷體" w:hAnsi="標楷體" w:hint="eastAsia"/>
          <w:spacing w:val="3"/>
        </w:rPr>
        <w:t>、儲能、節能設備及裝設建物玻璃隔熱膜，以營造住宅、社區</w:t>
      </w:r>
      <w:proofErr w:type="gramStart"/>
      <w:r w:rsidRPr="00B474B8">
        <w:rPr>
          <w:rFonts w:ascii="標楷體" w:eastAsia="標楷體" w:hAnsi="標楷體" w:hint="eastAsia"/>
          <w:spacing w:val="3"/>
        </w:rPr>
        <w:t>零碳永</w:t>
      </w:r>
      <w:proofErr w:type="gramEnd"/>
      <w:r w:rsidRPr="00B474B8">
        <w:rPr>
          <w:rFonts w:ascii="標楷體" w:eastAsia="標楷體" w:hAnsi="標楷體" w:hint="eastAsia"/>
          <w:spacing w:val="3"/>
        </w:rPr>
        <w:t>續環境，符合公正轉型之社會期待，另113年持續辦理相關補助計畫，該</w:t>
      </w:r>
      <w:proofErr w:type="gramStart"/>
      <w:r w:rsidRPr="00B474B8">
        <w:rPr>
          <w:rFonts w:ascii="標楷體" w:eastAsia="標楷體" w:hAnsi="標楷體" w:hint="eastAsia"/>
          <w:spacing w:val="3"/>
        </w:rPr>
        <w:t>2</w:t>
      </w:r>
      <w:proofErr w:type="gramEnd"/>
      <w:r w:rsidRPr="00B474B8">
        <w:rPr>
          <w:rFonts w:ascii="標楷體" w:eastAsia="標楷體" w:hAnsi="標楷體" w:hint="eastAsia"/>
          <w:spacing w:val="3"/>
        </w:rPr>
        <w:t>年度各編列預算1億元。經查執行情形，核有：1</w:t>
      </w:r>
      <w:r w:rsidRPr="00B474B8">
        <w:rPr>
          <w:rFonts w:ascii="標楷體" w:eastAsia="標楷體" w:hAnsi="標楷體"/>
          <w:spacing w:val="3"/>
        </w:rPr>
        <w:t>.</w:t>
      </w:r>
      <w:r w:rsidRPr="00B474B8">
        <w:rPr>
          <w:rFonts w:ascii="標楷體" w:eastAsia="標楷體" w:hAnsi="標楷體" w:hint="eastAsia"/>
          <w:spacing w:val="3"/>
        </w:rPr>
        <w:t>112</w:t>
      </w:r>
    </w:p>
    <w:p w14:paraId="3A02C1C4" w14:textId="03133F00" w:rsidR="004551F8" w:rsidRPr="00B474B8" w:rsidRDefault="004551F8" w:rsidP="00AE147C">
      <w:pPr>
        <w:spacing w:before="120" w:line="440" w:lineRule="exact"/>
        <w:jc w:val="both"/>
        <w:rPr>
          <w:rFonts w:ascii="標楷體" w:eastAsia="標楷體" w:hAnsi="標楷體"/>
          <w:spacing w:val="3"/>
        </w:rPr>
      </w:pPr>
      <w:r w:rsidRPr="00B474B8">
        <w:rPr>
          <w:rFonts w:ascii="標楷體" w:eastAsia="標楷體" w:hAnsi="標楷體" w:hint="eastAsia"/>
          <w:spacing w:val="3"/>
        </w:rPr>
        <w:lastRenderedPageBreak/>
        <w:t>及</w:t>
      </w:r>
      <w:proofErr w:type="gramStart"/>
      <w:r w:rsidRPr="00B474B8">
        <w:rPr>
          <w:rFonts w:ascii="標楷體" w:eastAsia="標楷體" w:hAnsi="標楷體" w:hint="eastAsia"/>
          <w:spacing w:val="3"/>
        </w:rPr>
        <w:t>113</w:t>
      </w:r>
      <w:proofErr w:type="gramEnd"/>
      <w:r w:rsidRPr="00B474B8">
        <w:rPr>
          <w:rFonts w:ascii="標楷體" w:eastAsia="標楷體" w:hAnsi="標楷體" w:hint="eastAsia"/>
          <w:spacing w:val="3"/>
        </w:rPr>
        <w:t>年度補助住宅及社區</w:t>
      </w:r>
      <w:proofErr w:type="gramStart"/>
      <w:r w:rsidRPr="00B474B8">
        <w:rPr>
          <w:rFonts w:ascii="標楷體" w:eastAsia="標楷體" w:hAnsi="標楷體" w:hint="eastAsia"/>
          <w:spacing w:val="3"/>
        </w:rPr>
        <w:t>設置創能</w:t>
      </w:r>
      <w:proofErr w:type="gramEnd"/>
      <w:r w:rsidRPr="00B474B8">
        <w:rPr>
          <w:rFonts w:ascii="標楷體" w:eastAsia="標楷體" w:hAnsi="標楷體" w:hint="eastAsia"/>
          <w:spacing w:val="3"/>
        </w:rPr>
        <w:t>、儲能及節能設備分別為2</w:t>
      </w:r>
      <w:r w:rsidRPr="00B474B8">
        <w:rPr>
          <w:rFonts w:ascii="標楷體" w:eastAsia="標楷體" w:hAnsi="標楷體"/>
          <w:spacing w:val="3"/>
        </w:rPr>
        <w:t>2</w:t>
      </w:r>
      <w:r w:rsidRPr="00B474B8">
        <w:rPr>
          <w:rFonts w:ascii="標楷體" w:eastAsia="標楷體" w:hAnsi="標楷體" w:hint="eastAsia"/>
          <w:spacing w:val="3"/>
        </w:rPr>
        <w:t>件、14件，金額1,378萬餘元、329萬餘元，占預計額度3,000萬元及1</w:t>
      </w:r>
      <w:r w:rsidRPr="00B474B8">
        <w:rPr>
          <w:rFonts w:ascii="標楷體" w:eastAsia="標楷體" w:hAnsi="標楷體"/>
          <w:spacing w:val="3"/>
        </w:rPr>
        <w:t>,</w:t>
      </w:r>
      <w:r w:rsidRPr="00B474B8">
        <w:rPr>
          <w:rFonts w:ascii="標楷體" w:eastAsia="標楷體" w:hAnsi="標楷體" w:hint="eastAsia"/>
          <w:spacing w:val="3"/>
        </w:rPr>
        <w:t>000萬元之45.93％、32.90％，</w:t>
      </w:r>
      <w:proofErr w:type="gramStart"/>
      <w:r w:rsidRPr="00B474B8">
        <w:rPr>
          <w:rFonts w:ascii="標楷體" w:eastAsia="標楷體" w:hAnsi="標楷體" w:hint="eastAsia"/>
          <w:spacing w:val="3"/>
        </w:rPr>
        <w:t>均未及</w:t>
      </w:r>
      <w:proofErr w:type="gramEnd"/>
      <w:r w:rsidRPr="00B474B8">
        <w:rPr>
          <w:rFonts w:ascii="標楷體" w:eastAsia="標楷體" w:hAnsi="標楷體" w:hint="eastAsia"/>
          <w:spacing w:val="3"/>
        </w:rPr>
        <w:t>原規劃之</w:t>
      </w:r>
      <w:proofErr w:type="gramStart"/>
      <w:r w:rsidRPr="00B474B8">
        <w:rPr>
          <w:rFonts w:ascii="標楷體" w:eastAsia="標楷體" w:hAnsi="標楷體" w:hint="eastAsia"/>
          <w:spacing w:val="3"/>
        </w:rPr>
        <w:t>5成</w:t>
      </w:r>
      <w:proofErr w:type="gramEnd"/>
      <w:r w:rsidRPr="00B474B8">
        <w:rPr>
          <w:rFonts w:ascii="標楷體" w:eastAsia="標楷體" w:hAnsi="標楷體" w:hint="eastAsia"/>
          <w:spacing w:val="3"/>
        </w:rPr>
        <w:t>，執行率仍低；另依補助計畫規定，社區</w:t>
      </w:r>
      <w:proofErr w:type="gramStart"/>
      <w:r w:rsidRPr="00B474B8">
        <w:rPr>
          <w:rFonts w:ascii="標楷體" w:eastAsia="標楷體" w:hAnsi="標楷體" w:hint="eastAsia"/>
          <w:spacing w:val="3"/>
        </w:rPr>
        <w:t>申請創能</w:t>
      </w:r>
      <w:proofErr w:type="gramEnd"/>
      <w:r w:rsidRPr="00B474B8">
        <w:rPr>
          <w:rFonts w:ascii="標楷體" w:eastAsia="標楷體" w:hAnsi="標楷體" w:hint="eastAsia"/>
          <w:spacing w:val="3"/>
        </w:rPr>
        <w:t>、儲能項目須包含能源管理系統，提供</w:t>
      </w:r>
      <w:proofErr w:type="gramStart"/>
      <w:r w:rsidRPr="00B474B8">
        <w:rPr>
          <w:rFonts w:ascii="標楷體" w:eastAsia="標楷體" w:hAnsi="標楷體" w:hint="eastAsia"/>
          <w:spacing w:val="3"/>
        </w:rPr>
        <w:t>可視化界</w:t>
      </w:r>
      <w:proofErr w:type="gramEnd"/>
      <w:r w:rsidRPr="00B474B8">
        <w:rPr>
          <w:rFonts w:ascii="標楷體" w:eastAsia="標楷體" w:hAnsi="標楷體" w:hint="eastAsia"/>
          <w:spacing w:val="3"/>
        </w:rPr>
        <w:t>面，整合查詢設備用電情形，112年核定補助社區</w:t>
      </w:r>
      <w:proofErr w:type="gramStart"/>
      <w:r w:rsidRPr="00B474B8">
        <w:rPr>
          <w:rFonts w:ascii="標楷體" w:eastAsia="標楷體" w:hAnsi="標楷體" w:hint="eastAsia"/>
          <w:spacing w:val="3"/>
        </w:rPr>
        <w:t>設置創能</w:t>
      </w:r>
      <w:proofErr w:type="gramEnd"/>
      <w:r w:rsidRPr="00B474B8">
        <w:rPr>
          <w:rFonts w:ascii="標楷體" w:eastAsia="標楷體" w:hAnsi="標楷體" w:hint="eastAsia"/>
          <w:spacing w:val="3"/>
        </w:rPr>
        <w:t>、儲能項目計有14件、金額663萬餘元，惟其完工查驗現場照片紀錄，僅1社區有能源管理系統，核與計畫規定有間；2.自112年起補助住宅及社區裝設建物玻璃隔熱膜，</w:t>
      </w:r>
      <w:proofErr w:type="gramStart"/>
      <w:r w:rsidRPr="00B474B8">
        <w:rPr>
          <w:rFonts w:ascii="標楷體" w:eastAsia="標楷體" w:hAnsi="標楷體" w:hint="eastAsia"/>
          <w:spacing w:val="3"/>
        </w:rPr>
        <w:t>每才</w:t>
      </w:r>
      <w:proofErr w:type="gramEnd"/>
      <w:r w:rsidRPr="00B474B8">
        <w:rPr>
          <w:rFonts w:ascii="標楷體" w:eastAsia="標楷體" w:hAnsi="標楷體" w:hint="eastAsia"/>
          <w:spacing w:val="3"/>
        </w:rPr>
        <w:t>（面積）依實際購置金額補助，最高</w:t>
      </w:r>
      <w:proofErr w:type="gramStart"/>
      <w:r w:rsidRPr="00B474B8">
        <w:rPr>
          <w:rFonts w:ascii="標楷體" w:eastAsia="標楷體" w:hAnsi="標楷體" w:hint="eastAsia"/>
          <w:spacing w:val="3"/>
        </w:rPr>
        <w:t>上限每才</w:t>
      </w:r>
      <w:r w:rsidRPr="00B474B8">
        <w:rPr>
          <w:rFonts w:ascii="標楷體" w:eastAsia="標楷體" w:hAnsi="標楷體"/>
          <w:spacing w:val="3"/>
        </w:rPr>
        <w:t>250</w:t>
      </w:r>
      <w:r w:rsidRPr="00B474B8">
        <w:rPr>
          <w:rFonts w:ascii="標楷體" w:eastAsia="標楷體" w:hAnsi="標楷體" w:hint="eastAsia"/>
          <w:spacing w:val="3"/>
        </w:rPr>
        <w:t>元</w:t>
      </w:r>
      <w:proofErr w:type="gramEnd"/>
      <w:r w:rsidRPr="00B474B8">
        <w:rPr>
          <w:rFonts w:ascii="標楷體" w:eastAsia="標楷體" w:hAnsi="標楷體" w:hint="eastAsia"/>
          <w:spacing w:val="3"/>
        </w:rPr>
        <w:t>，每處（戶、社區）地址補助上限3萬元，1</w:t>
      </w:r>
      <w:r w:rsidRPr="00B474B8">
        <w:rPr>
          <w:rFonts w:ascii="標楷體" w:eastAsia="標楷體" w:hAnsi="標楷體"/>
          <w:spacing w:val="3"/>
        </w:rPr>
        <w:t>12</w:t>
      </w:r>
      <w:r w:rsidRPr="00B474B8">
        <w:rPr>
          <w:rFonts w:ascii="標楷體" w:eastAsia="標楷體" w:hAnsi="標楷體" w:hint="eastAsia"/>
          <w:spacing w:val="3"/>
        </w:rPr>
        <w:t>年及1</w:t>
      </w:r>
      <w:r w:rsidRPr="00B474B8">
        <w:rPr>
          <w:rFonts w:ascii="標楷體" w:eastAsia="標楷體" w:hAnsi="標楷體"/>
          <w:spacing w:val="3"/>
        </w:rPr>
        <w:t>13</w:t>
      </w:r>
      <w:r w:rsidRPr="00B474B8">
        <w:rPr>
          <w:rFonts w:ascii="標楷體" w:eastAsia="標楷體" w:hAnsi="標楷體" w:hint="eastAsia"/>
          <w:spacing w:val="3"/>
        </w:rPr>
        <w:t>年截至1</w:t>
      </w:r>
      <w:r w:rsidRPr="00B474B8">
        <w:rPr>
          <w:rFonts w:ascii="標楷體" w:eastAsia="標楷體" w:hAnsi="標楷體"/>
          <w:spacing w:val="3"/>
        </w:rPr>
        <w:t>0</w:t>
      </w:r>
      <w:r w:rsidRPr="00B474B8">
        <w:rPr>
          <w:rFonts w:ascii="標楷體" w:eastAsia="標楷體" w:hAnsi="標楷體" w:hint="eastAsia"/>
          <w:spacing w:val="3"/>
        </w:rPr>
        <w:t>月底</w:t>
      </w:r>
      <w:proofErr w:type="gramStart"/>
      <w:r w:rsidRPr="00B474B8">
        <w:rPr>
          <w:rFonts w:ascii="標楷體" w:eastAsia="標楷體" w:hAnsi="標楷體" w:hint="eastAsia"/>
          <w:spacing w:val="3"/>
        </w:rPr>
        <w:t>止</w:t>
      </w:r>
      <w:proofErr w:type="gramEnd"/>
      <w:r w:rsidRPr="00B474B8">
        <w:rPr>
          <w:rFonts w:ascii="標楷體" w:eastAsia="標楷體" w:hAnsi="標楷體" w:hint="eastAsia"/>
          <w:spacing w:val="3"/>
        </w:rPr>
        <w:t>分別補助1</w:t>
      </w:r>
      <w:r w:rsidRPr="00B474B8">
        <w:rPr>
          <w:rFonts w:ascii="標楷體" w:eastAsia="標楷體" w:hAnsi="標楷體"/>
          <w:spacing w:val="3"/>
        </w:rPr>
        <w:t>,340</w:t>
      </w:r>
      <w:r w:rsidRPr="00B474B8">
        <w:rPr>
          <w:rFonts w:ascii="標楷體" w:eastAsia="標楷體" w:hAnsi="標楷體" w:hint="eastAsia"/>
          <w:spacing w:val="3"/>
        </w:rPr>
        <w:t>件、9</w:t>
      </w:r>
      <w:r w:rsidRPr="00B474B8">
        <w:rPr>
          <w:rFonts w:ascii="標楷體" w:eastAsia="標楷體" w:hAnsi="標楷體"/>
          <w:spacing w:val="3"/>
        </w:rPr>
        <w:t>45</w:t>
      </w:r>
      <w:r w:rsidRPr="00B474B8">
        <w:rPr>
          <w:rFonts w:ascii="標楷體" w:eastAsia="標楷體" w:hAnsi="標楷體" w:hint="eastAsia"/>
          <w:spacing w:val="3"/>
        </w:rPr>
        <w:t>件，補助金額分別為3</w:t>
      </w:r>
      <w:r w:rsidRPr="00B474B8">
        <w:rPr>
          <w:rFonts w:ascii="標楷體" w:eastAsia="標楷體" w:hAnsi="標楷體"/>
          <w:spacing w:val="3"/>
        </w:rPr>
        <w:t>,495</w:t>
      </w:r>
      <w:r w:rsidRPr="00B474B8">
        <w:rPr>
          <w:rFonts w:ascii="標楷體" w:eastAsia="標楷體" w:hAnsi="標楷體" w:hint="eastAsia"/>
          <w:spacing w:val="3"/>
        </w:rPr>
        <w:t>萬餘元、2</w:t>
      </w:r>
      <w:r w:rsidRPr="00B474B8">
        <w:rPr>
          <w:rFonts w:ascii="標楷體" w:eastAsia="標楷體" w:hAnsi="標楷體"/>
          <w:spacing w:val="3"/>
        </w:rPr>
        <w:t>,419</w:t>
      </w:r>
      <w:r w:rsidRPr="00B474B8">
        <w:rPr>
          <w:rFonts w:ascii="標楷體" w:eastAsia="標楷體" w:hAnsi="標楷體" w:hint="eastAsia"/>
          <w:spacing w:val="3"/>
        </w:rPr>
        <w:t>萬餘元，</w:t>
      </w:r>
      <w:proofErr w:type="gramStart"/>
      <w:r w:rsidRPr="00B474B8">
        <w:rPr>
          <w:rFonts w:ascii="標楷體" w:eastAsia="標楷體" w:hAnsi="標楷體" w:hint="eastAsia"/>
          <w:spacing w:val="3"/>
        </w:rPr>
        <w:t>占原預計</w:t>
      </w:r>
      <w:proofErr w:type="gramEnd"/>
      <w:r w:rsidRPr="00B474B8">
        <w:rPr>
          <w:rFonts w:ascii="標楷體" w:eastAsia="標楷體" w:hAnsi="標楷體" w:hint="eastAsia"/>
          <w:spacing w:val="3"/>
        </w:rPr>
        <w:t>補助額度2</w:t>
      </w:r>
      <w:r w:rsidRPr="00B474B8">
        <w:rPr>
          <w:rFonts w:ascii="標楷體" w:eastAsia="標楷體" w:hAnsi="標楷體"/>
          <w:spacing w:val="3"/>
        </w:rPr>
        <w:t>,000</w:t>
      </w:r>
      <w:r w:rsidRPr="00B474B8">
        <w:rPr>
          <w:rFonts w:ascii="標楷體" w:eastAsia="標楷體" w:hAnsi="標楷體" w:hint="eastAsia"/>
          <w:spacing w:val="3"/>
        </w:rPr>
        <w:t>萬元、2</w:t>
      </w:r>
      <w:r w:rsidRPr="00B474B8">
        <w:rPr>
          <w:rFonts w:ascii="標楷體" w:eastAsia="標楷體" w:hAnsi="標楷體"/>
          <w:spacing w:val="3"/>
        </w:rPr>
        <w:t>,</w:t>
      </w:r>
      <w:r w:rsidRPr="00B474B8">
        <w:rPr>
          <w:rFonts w:ascii="標楷體" w:eastAsia="標楷體" w:hAnsi="標楷體" w:hint="eastAsia"/>
          <w:spacing w:val="3"/>
        </w:rPr>
        <w:t>500萬元之174.75％、96.78％，民眾申請補助情形踴躍，惟113年補助計畫執行結果，計有74件係補助相同地址，且同一地址合計補助超過3萬元，金額計2</w:t>
      </w:r>
      <w:r w:rsidRPr="00B474B8">
        <w:rPr>
          <w:rFonts w:ascii="標楷體" w:eastAsia="標楷體" w:hAnsi="標楷體"/>
          <w:spacing w:val="3"/>
        </w:rPr>
        <w:t>06</w:t>
      </w:r>
      <w:r w:rsidRPr="00B474B8">
        <w:rPr>
          <w:rFonts w:ascii="標楷體" w:eastAsia="標楷體" w:hAnsi="標楷體" w:hint="eastAsia"/>
          <w:spacing w:val="3"/>
        </w:rPr>
        <w:t>萬餘元，恐有補助資源集中於</w:t>
      </w:r>
      <w:proofErr w:type="gramStart"/>
      <w:r w:rsidRPr="00B474B8">
        <w:rPr>
          <w:rFonts w:ascii="標楷體" w:eastAsia="標楷體" w:hAnsi="標楷體" w:hint="eastAsia"/>
          <w:spacing w:val="3"/>
        </w:rPr>
        <w:t>少數申</w:t>
      </w:r>
      <w:proofErr w:type="gramEnd"/>
      <w:r w:rsidRPr="00B474B8">
        <w:rPr>
          <w:rFonts w:ascii="標楷體" w:eastAsia="標楷體" w:hAnsi="標楷體" w:hint="eastAsia"/>
          <w:spacing w:val="3"/>
        </w:rPr>
        <w:t>情人，</w:t>
      </w:r>
      <w:r w:rsidRPr="00B474B8">
        <w:rPr>
          <w:rFonts w:ascii="標楷體" w:eastAsia="標楷體" w:hAnsi="標楷體"/>
          <w:spacing w:val="3"/>
        </w:rPr>
        <w:t>影響公平性</w:t>
      </w:r>
      <w:r w:rsidRPr="00B474B8">
        <w:rPr>
          <w:rFonts w:ascii="標楷體" w:eastAsia="標楷體" w:hAnsi="標楷體" w:hint="eastAsia"/>
          <w:spacing w:val="3"/>
        </w:rPr>
        <w:t>等情事，經函請</w:t>
      </w:r>
      <w:proofErr w:type="gramStart"/>
      <w:r w:rsidRPr="00B474B8">
        <w:rPr>
          <w:rFonts w:ascii="標楷體" w:eastAsia="標楷體" w:hAnsi="標楷體" w:hint="eastAsia"/>
          <w:spacing w:val="3"/>
        </w:rPr>
        <w:t>檢討妥處</w:t>
      </w:r>
      <w:proofErr w:type="gramEnd"/>
      <w:r w:rsidRPr="00B474B8">
        <w:rPr>
          <w:rFonts w:ascii="標楷體" w:eastAsia="標楷體" w:hAnsi="標楷體" w:hint="eastAsia"/>
          <w:spacing w:val="3"/>
        </w:rPr>
        <w:t>。據復：1.112年率全國之先首創補助住宅社區</w:t>
      </w:r>
      <w:proofErr w:type="gramStart"/>
      <w:r w:rsidRPr="00B474B8">
        <w:rPr>
          <w:rFonts w:ascii="標楷體" w:eastAsia="標楷體" w:hAnsi="標楷體" w:hint="eastAsia"/>
          <w:spacing w:val="3"/>
        </w:rPr>
        <w:t>設置創能儲能</w:t>
      </w:r>
      <w:proofErr w:type="gramEnd"/>
      <w:r w:rsidRPr="00B474B8">
        <w:rPr>
          <w:rFonts w:ascii="標楷體" w:eastAsia="標楷體" w:hAnsi="標楷體" w:hint="eastAsia"/>
          <w:spacing w:val="3"/>
        </w:rPr>
        <w:t>及節能設備，目前尚屬補助初期，且設備涉專業性，申請情形尚不踴躍，已積極辦理多場說明會，後續</w:t>
      </w:r>
      <w:proofErr w:type="gramStart"/>
      <w:r w:rsidRPr="00B474B8">
        <w:rPr>
          <w:rFonts w:ascii="標楷體" w:eastAsia="標楷體" w:hAnsi="標楷體" w:hint="eastAsia"/>
          <w:spacing w:val="3"/>
        </w:rPr>
        <w:t>將綜整</w:t>
      </w:r>
      <w:proofErr w:type="gramEnd"/>
      <w:r w:rsidRPr="00B474B8">
        <w:rPr>
          <w:rFonts w:ascii="標楷體" w:eastAsia="標楷體" w:hAnsi="標楷體" w:hint="eastAsia"/>
          <w:spacing w:val="3"/>
        </w:rPr>
        <w:t>112年與113年辦理經驗，並配合中央能源轉型政策，滾動調整114年補助計畫內容，以精</w:t>
      </w:r>
      <w:proofErr w:type="gramStart"/>
      <w:r w:rsidRPr="00B474B8">
        <w:rPr>
          <w:rFonts w:ascii="標楷體" w:eastAsia="標楷體" w:hAnsi="標楷體" w:hint="eastAsia"/>
          <w:spacing w:val="3"/>
        </w:rPr>
        <w:t>進減碳</w:t>
      </w:r>
      <w:proofErr w:type="gramEnd"/>
      <w:r w:rsidRPr="00B474B8">
        <w:rPr>
          <w:rFonts w:ascii="標楷體" w:eastAsia="標楷體" w:hAnsi="標楷體" w:hint="eastAsia"/>
          <w:spacing w:val="3"/>
        </w:rPr>
        <w:t>效益；2.114年補助計畫將</w:t>
      </w:r>
      <w:proofErr w:type="gramStart"/>
      <w:r w:rsidRPr="00B474B8">
        <w:rPr>
          <w:rFonts w:ascii="標楷體" w:eastAsia="標楷體" w:hAnsi="標楷體" w:hint="eastAsia"/>
          <w:spacing w:val="3"/>
        </w:rPr>
        <w:t>調降每才補助</w:t>
      </w:r>
      <w:proofErr w:type="gramEnd"/>
      <w:r w:rsidRPr="00B474B8">
        <w:rPr>
          <w:rFonts w:ascii="標楷體" w:eastAsia="標楷體" w:hAnsi="標楷體" w:hint="eastAsia"/>
          <w:spacing w:val="3"/>
        </w:rPr>
        <w:t>額度及每處地址補助上限，並規範前2年已申請補助之電號不得再申請，以擴大補助效益。</w:t>
      </w:r>
    </w:p>
    <w:p w14:paraId="16D05063" w14:textId="77777777" w:rsidR="004551F8" w:rsidRPr="00B474B8" w:rsidRDefault="004551F8" w:rsidP="00713069">
      <w:pPr>
        <w:spacing w:beforeLines="50" w:before="180" w:line="460" w:lineRule="exact"/>
        <w:ind w:firstLineChars="100" w:firstLine="272"/>
        <w:jc w:val="both"/>
        <w:rPr>
          <w:rFonts w:ascii="標楷體" w:eastAsia="標楷體" w:hAnsi="標楷體"/>
          <w:b/>
          <w:spacing w:val="-4"/>
          <w:sz w:val="28"/>
          <w:szCs w:val="28"/>
        </w:rPr>
      </w:pPr>
      <w:bookmarkStart w:id="80" w:name="_Hlk198718983"/>
      <w:bookmarkStart w:id="81" w:name="_Hlk186032423"/>
      <w:r w:rsidRPr="00B474B8">
        <w:rPr>
          <w:rFonts w:ascii="標楷體" w:eastAsia="標楷體" w:hAnsi="標楷體" w:hint="eastAsia"/>
          <w:b/>
          <w:spacing w:val="-4"/>
          <w:sz w:val="28"/>
          <w:szCs w:val="28"/>
        </w:rPr>
        <w:t>（四</w:t>
      </w:r>
      <w:bookmarkStart w:id="82" w:name="_Hlk199422197"/>
      <w:r w:rsidRPr="00B474B8">
        <w:rPr>
          <w:rFonts w:ascii="標楷體" w:eastAsia="標楷體" w:hAnsi="標楷體" w:hint="eastAsia"/>
          <w:b/>
          <w:spacing w:val="-4"/>
          <w:sz w:val="28"/>
          <w:szCs w:val="28"/>
        </w:rPr>
        <w:t>）為推廣分散式發電，於轄內推廣設置太陽光電發電設備，惟部分設備因遭查報屬違建而須將設備移置他處，或按設置條件</w:t>
      </w:r>
      <w:proofErr w:type="gramStart"/>
      <w:r w:rsidRPr="00B474B8">
        <w:rPr>
          <w:rFonts w:ascii="標楷體" w:eastAsia="標楷體" w:hAnsi="標楷體" w:hint="eastAsia"/>
          <w:b/>
          <w:spacing w:val="-4"/>
          <w:sz w:val="28"/>
          <w:szCs w:val="28"/>
        </w:rPr>
        <w:t>推估發電量</w:t>
      </w:r>
      <w:proofErr w:type="gramEnd"/>
      <w:r w:rsidRPr="00B474B8">
        <w:rPr>
          <w:rFonts w:ascii="標楷體" w:eastAsia="標楷體" w:hAnsi="標楷體" w:hint="eastAsia"/>
          <w:b/>
          <w:spacing w:val="-4"/>
          <w:sz w:val="28"/>
          <w:szCs w:val="28"/>
        </w:rPr>
        <w:t>，而未能掌握設備實際發電量，或發電效能欠佳等情事，</w:t>
      </w:r>
      <w:proofErr w:type="gramStart"/>
      <w:r w:rsidRPr="00B474B8">
        <w:rPr>
          <w:rFonts w:ascii="標楷體" w:eastAsia="標楷體" w:hAnsi="標楷體" w:hint="eastAsia"/>
          <w:b/>
          <w:spacing w:val="-4"/>
          <w:sz w:val="28"/>
          <w:szCs w:val="28"/>
        </w:rPr>
        <w:t>均待檢討</w:t>
      </w:r>
      <w:proofErr w:type="gramEnd"/>
      <w:r w:rsidRPr="00B474B8">
        <w:rPr>
          <w:rFonts w:ascii="標楷體" w:eastAsia="標楷體" w:hAnsi="標楷體" w:hint="eastAsia"/>
          <w:b/>
          <w:spacing w:val="-4"/>
          <w:sz w:val="28"/>
          <w:szCs w:val="28"/>
        </w:rPr>
        <w:t>改善，以發揮設備建置效益。</w:t>
      </w:r>
      <w:bookmarkEnd w:id="82"/>
    </w:p>
    <w:bookmarkEnd w:id="80"/>
    <w:p w14:paraId="12035288" w14:textId="77777777" w:rsidR="00AE147C" w:rsidRDefault="004551F8" w:rsidP="004551F8">
      <w:pPr>
        <w:spacing w:before="120" w:line="440" w:lineRule="exact"/>
        <w:ind w:firstLineChars="200" w:firstLine="480"/>
        <w:jc w:val="both"/>
        <w:rPr>
          <w:rFonts w:ascii="標楷體" w:eastAsia="標楷體" w:hAnsi="標楷體"/>
        </w:rPr>
      </w:pPr>
      <w:r w:rsidRPr="00B474B8">
        <w:rPr>
          <w:rFonts w:ascii="標楷體" w:eastAsia="標楷體" w:hAnsi="標楷體" w:hint="eastAsia"/>
        </w:rPr>
        <w:t>環境保護局</w:t>
      </w:r>
      <w:r w:rsidRPr="00B474B8">
        <w:rPr>
          <w:rFonts w:ascii="標楷體" w:eastAsia="標楷體" w:hAnsi="標楷體"/>
        </w:rPr>
        <w:t>為</w:t>
      </w:r>
      <w:r w:rsidRPr="00B474B8">
        <w:rPr>
          <w:rFonts w:ascii="標楷體" w:eastAsia="標楷體" w:hAnsi="標楷體" w:hint="eastAsia"/>
        </w:rPr>
        <w:t>達成</w:t>
      </w:r>
      <w:r w:rsidRPr="00B474B8">
        <w:rPr>
          <w:rFonts w:ascii="標楷體" w:eastAsia="標楷體" w:hAnsi="標楷體"/>
        </w:rPr>
        <w:t>2050</w:t>
      </w:r>
      <w:proofErr w:type="gramStart"/>
      <w:r w:rsidRPr="00B474B8">
        <w:rPr>
          <w:rFonts w:ascii="標楷體" w:eastAsia="標楷體" w:hAnsi="標楷體"/>
        </w:rPr>
        <w:t>淨零排放</w:t>
      </w:r>
      <w:proofErr w:type="gramEnd"/>
      <w:r w:rsidRPr="00B474B8">
        <w:rPr>
          <w:rFonts w:ascii="標楷體" w:eastAsia="標楷體" w:hAnsi="標楷體" w:hint="eastAsia"/>
        </w:rPr>
        <w:t>目標</w:t>
      </w:r>
      <w:r w:rsidRPr="00B474B8">
        <w:rPr>
          <w:rFonts w:ascii="標楷體" w:eastAsia="標楷體" w:hAnsi="標楷體"/>
        </w:rPr>
        <w:t>，積極</w:t>
      </w:r>
      <w:r w:rsidRPr="00B474B8">
        <w:rPr>
          <w:rFonts w:ascii="標楷體" w:eastAsia="標楷體" w:hAnsi="標楷體" w:hint="eastAsia"/>
        </w:rPr>
        <w:t>於臺</w:t>
      </w:r>
      <w:r w:rsidRPr="00B474B8">
        <w:rPr>
          <w:rFonts w:ascii="標楷體" w:eastAsia="標楷體" w:hAnsi="標楷體"/>
        </w:rPr>
        <w:t>北市機關學校</w:t>
      </w:r>
      <w:r w:rsidRPr="00B474B8">
        <w:rPr>
          <w:rFonts w:ascii="標楷體" w:eastAsia="標楷體" w:hAnsi="標楷體" w:hint="eastAsia"/>
        </w:rPr>
        <w:t>及</w:t>
      </w:r>
      <w:r w:rsidRPr="00B474B8">
        <w:rPr>
          <w:rFonts w:ascii="標楷體" w:eastAsia="標楷體" w:hAnsi="標楷體"/>
        </w:rPr>
        <w:t>社區商辦推廣分散式發電，</w:t>
      </w:r>
      <w:r w:rsidRPr="00B474B8">
        <w:rPr>
          <w:rFonts w:ascii="標楷體" w:eastAsia="標楷體" w:hAnsi="標楷體" w:hint="eastAsia"/>
        </w:rPr>
        <w:t>以示範</w:t>
      </w:r>
      <w:proofErr w:type="gramStart"/>
      <w:r w:rsidRPr="00B474B8">
        <w:rPr>
          <w:rFonts w:ascii="標楷體" w:eastAsia="標楷體" w:hAnsi="標楷體" w:hint="eastAsia"/>
        </w:rPr>
        <w:t>綠色創能</w:t>
      </w:r>
      <w:proofErr w:type="gramEnd"/>
      <w:r w:rsidRPr="00B474B8">
        <w:rPr>
          <w:rFonts w:ascii="標楷體" w:eastAsia="標楷體" w:hAnsi="標楷體" w:hint="eastAsia"/>
        </w:rPr>
        <w:t>、儲能，</w:t>
      </w:r>
      <w:r w:rsidRPr="00B474B8">
        <w:rPr>
          <w:rFonts w:ascii="標楷體" w:eastAsia="標楷體" w:hAnsi="標楷體"/>
        </w:rPr>
        <w:t>達供電自給自足目標。</w:t>
      </w:r>
      <w:r w:rsidRPr="00B474B8">
        <w:rPr>
          <w:rFonts w:ascii="標楷體" w:eastAsia="標楷體" w:hAnsi="標楷體" w:hint="eastAsia"/>
        </w:rPr>
        <w:t>該局自111年起自籌經費建置太陽光電發電設備（下稱太光設備），截至113年9月底止，計投入463萬餘元，分別於南港山水綠生態公園、信義苗圃停車場、大安花市3號公廁及建國高架橋隔音牆等4處場址，</w:t>
      </w:r>
      <w:proofErr w:type="gramStart"/>
      <w:r w:rsidRPr="00B474B8">
        <w:rPr>
          <w:rFonts w:ascii="標楷體" w:eastAsia="標楷體" w:hAnsi="標楷體" w:hint="eastAsia"/>
        </w:rPr>
        <w:t>設置太光設備</w:t>
      </w:r>
      <w:proofErr w:type="gramEnd"/>
      <w:r w:rsidRPr="00B474B8">
        <w:rPr>
          <w:rFonts w:ascii="標楷體" w:eastAsia="標楷體" w:hAnsi="標楷體" w:hint="eastAsia"/>
        </w:rPr>
        <w:t>，打造創儲能示範場域（表1）。經查</w:t>
      </w:r>
      <w:bookmarkEnd w:id="81"/>
      <w:r w:rsidRPr="00B474B8">
        <w:rPr>
          <w:rFonts w:ascii="標楷體" w:eastAsia="標楷體" w:hAnsi="標楷體" w:hint="eastAsia"/>
        </w:rPr>
        <w:t>該局112年4月於信義苗圃停車場之貨櫃屋上裝</w:t>
      </w:r>
      <w:proofErr w:type="gramStart"/>
      <w:r w:rsidRPr="00B474B8">
        <w:rPr>
          <w:rFonts w:ascii="標楷體" w:eastAsia="標楷體" w:hAnsi="標楷體" w:hint="eastAsia"/>
        </w:rPr>
        <w:t>設太光設備</w:t>
      </w:r>
      <w:proofErr w:type="gramEnd"/>
      <w:r w:rsidRPr="00B474B8">
        <w:rPr>
          <w:rFonts w:ascii="標楷體" w:eastAsia="標楷體" w:hAnsi="標楷體" w:hint="eastAsia"/>
        </w:rPr>
        <w:t>，預估年發電量為480度，截至同年12月底發電量累計有404.7度，</w:t>
      </w:r>
      <w:proofErr w:type="gramStart"/>
      <w:r w:rsidRPr="00B474B8">
        <w:rPr>
          <w:rFonts w:ascii="標楷體" w:eastAsia="標楷體" w:hAnsi="標楷體" w:hint="eastAsia"/>
        </w:rPr>
        <w:t>嗣</w:t>
      </w:r>
      <w:proofErr w:type="gramEnd"/>
      <w:r w:rsidRPr="00B474B8">
        <w:rPr>
          <w:rFonts w:ascii="標楷體" w:eastAsia="標楷體" w:hAnsi="標楷體" w:hint="eastAsia"/>
        </w:rPr>
        <w:t>因設置場址貨櫃屋遭查報屬違建，113年2月1日搬遷至信義區清潔隊4號停車場，設備設置位址之</w:t>
      </w:r>
      <w:proofErr w:type="gramStart"/>
      <w:r w:rsidRPr="00B474B8">
        <w:rPr>
          <w:rFonts w:ascii="標楷體" w:eastAsia="標楷體" w:hAnsi="標楷體" w:hint="eastAsia"/>
        </w:rPr>
        <w:t>規劃核欠周</w:t>
      </w:r>
      <w:proofErr w:type="gramEnd"/>
      <w:r w:rsidRPr="00B474B8">
        <w:rPr>
          <w:rFonts w:ascii="標楷體" w:eastAsia="標楷體" w:hAnsi="標楷體" w:hint="eastAsia"/>
        </w:rPr>
        <w:t>妥，且113年2至10月累計發電量僅餘64.6度，發電效能較預計大幅降低，未達預期建置效益；另經檢視各設置場址監測實際發電量情形，其中大安花市3號公廁</w:t>
      </w:r>
      <w:proofErr w:type="gramStart"/>
      <w:r w:rsidRPr="00B474B8">
        <w:rPr>
          <w:rFonts w:ascii="標楷體" w:eastAsia="標楷體" w:hAnsi="標楷體" w:hint="eastAsia"/>
        </w:rPr>
        <w:t>之太光設備</w:t>
      </w:r>
      <w:proofErr w:type="gramEnd"/>
      <w:r w:rsidRPr="00B474B8">
        <w:rPr>
          <w:rFonts w:ascii="標楷體" w:eastAsia="標楷體" w:hAnsi="標楷體" w:hint="eastAsia"/>
        </w:rPr>
        <w:t>係以</w:t>
      </w:r>
      <w:proofErr w:type="gramStart"/>
      <w:r w:rsidRPr="00B474B8">
        <w:rPr>
          <w:rFonts w:ascii="標楷體" w:eastAsia="標楷體" w:hAnsi="標楷體" w:hint="eastAsia"/>
        </w:rPr>
        <w:t>面板貼膜</w:t>
      </w:r>
      <w:proofErr w:type="gramEnd"/>
      <w:r w:rsidRPr="00B474B8">
        <w:rPr>
          <w:rFonts w:ascii="標楷體" w:eastAsia="標楷體" w:hAnsi="標楷體" w:hint="eastAsia"/>
        </w:rPr>
        <w:t>、裝設位置及日照時間等因素</w:t>
      </w:r>
      <w:proofErr w:type="gramStart"/>
      <w:r w:rsidRPr="00B474B8">
        <w:rPr>
          <w:rFonts w:ascii="標楷體" w:eastAsia="標楷體" w:hAnsi="標楷體" w:hint="eastAsia"/>
        </w:rPr>
        <w:t>推估發電量</w:t>
      </w:r>
      <w:proofErr w:type="gramEnd"/>
      <w:r w:rsidRPr="00B474B8">
        <w:rPr>
          <w:rFonts w:ascii="標楷體" w:eastAsia="標楷體" w:hAnsi="標楷體" w:hint="eastAsia"/>
        </w:rPr>
        <w:t>，與其餘3處透過電子設備顯示或匯出實際發電數據不同，未能確實掌握設備</w:t>
      </w:r>
      <w:r w:rsidRPr="00B474B8">
        <w:rPr>
          <w:rFonts w:ascii="標楷體" w:eastAsia="標楷體" w:hAnsi="標楷體"/>
        </w:rPr>
        <w:t>運</w:t>
      </w:r>
      <w:r w:rsidRPr="00B474B8">
        <w:rPr>
          <w:rFonts w:ascii="標楷體" w:eastAsia="標楷體" w:hAnsi="標楷體" w:hint="eastAsia"/>
        </w:rPr>
        <w:t>作</w:t>
      </w:r>
      <w:r w:rsidRPr="00B474B8">
        <w:rPr>
          <w:rFonts w:ascii="標楷體" w:eastAsia="標楷體" w:hAnsi="標楷體"/>
        </w:rPr>
        <w:t>狀況及</w:t>
      </w:r>
      <w:r w:rsidRPr="00B474B8">
        <w:rPr>
          <w:rFonts w:ascii="標楷體" w:eastAsia="標楷體" w:hAnsi="標楷體" w:hint="eastAsia"/>
        </w:rPr>
        <w:t>實際</w:t>
      </w:r>
      <w:r w:rsidRPr="00B474B8">
        <w:rPr>
          <w:rFonts w:ascii="標楷體" w:eastAsia="標楷體" w:hAnsi="標楷體"/>
        </w:rPr>
        <w:t>發電</w:t>
      </w:r>
      <w:r w:rsidRPr="00B474B8">
        <w:rPr>
          <w:rFonts w:ascii="標楷體" w:eastAsia="標楷體" w:hAnsi="標楷體" w:hint="eastAsia"/>
        </w:rPr>
        <w:t>情形等情事，經函請檢討改善。據復：後續</w:t>
      </w:r>
      <w:proofErr w:type="gramStart"/>
      <w:r w:rsidRPr="00B474B8">
        <w:rPr>
          <w:rFonts w:ascii="標楷體" w:eastAsia="標楷體" w:hAnsi="標楷體" w:hint="eastAsia"/>
        </w:rPr>
        <w:t>設置太光設備</w:t>
      </w:r>
      <w:proofErr w:type="gramEnd"/>
      <w:r w:rsidRPr="00B474B8">
        <w:rPr>
          <w:rFonts w:ascii="標楷體" w:eastAsia="標楷體" w:hAnsi="標楷體" w:hint="eastAsia"/>
        </w:rPr>
        <w:t>將依規</w:t>
      </w:r>
      <w:r w:rsidRPr="0003194C">
        <w:rPr>
          <w:rFonts w:ascii="標楷體" w:eastAsia="標楷體" w:hAnsi="標楷體" w:hint="eastAsia"/>
          <w:spacing w:val="2"/>
        </w:rPr>
        <w:t>定設置於有使用許可之建物上；爾後固定每月至大安花市3號公廁現場下載相關發電數據並計</w:t>
      </w:r>
    </w:p>
    <w:p w14:paraId="50A8AF65" w14:textId="6C83A950" w:rsidR="004551F8" w:rsidRPr="00B474B8" w:rsidRDefault="004551F8" w:rsidP="00AE147C">
      <w:pPr>
        <w:spacing w:before="120" w:line="440" w:lineRule="exact"/>
        <w:jc w:val="both"/>
        <w:rPr>
          <w:rFonts w:ascii="標楷體" w:eastAsia="標楷體" w:hAnsi="標楷體"/>
        </w:rPr>
      </w:pPr>
      <w:r w:rsidRPr="00B474B8">
        <w:rPr>
          <w:rFonts w:ascii="標楷體" w:eastAsia="標楷體" w:hAnsi="標楷體" w:hint="eastAsia"/>
        </w:rPr>
        <w:lastRenderedPageBreak/>
        <w:t>算發電量，以掌握發電狀況，另信義區清潔隊4號停車場</w:t>
      </w:r>
      <w:proofErr w:type="gramStart"/>
      <w:r w:rsidRPr="00B474B8">
        <w:rPr>
          <w:rFonts w:ascii="標楷體" w:eastAsia="標楷體" w:hAnsi="標楷體" w:hint="eastAsia"/>
        </w:rPr>
        <w:t>之太光設備</w:t>
      </w:r>
      <w:proofErr w:type="gramEnd"/>
      <w:r w:rsidRPr="00B474B8">
        <w:rPr>
          <w:rFonts w:ascii="標楷體" w:eastAsia="標楷體" w:hAnsi="標楷體" w:hint="eastAsia"/>
        </w:rPr>
        <w:t>自114年4月調整銜接至</w:t>
      </w:r>
      <w:r w:rsidRPr="00B474B8">
        <w:rPr>
          <w:rFonts w:ascii="標楷體" w:eastAsia="標楷體" w:hAnsi="標楷體" w:hint="eastAsia"/>
          <w:noProof/>
          <w:color w:val="000000"/>
          <w:sz w:val="32"/>
          <w:szCs w:val="32"/>
        </w:rPr>
        <mc:AlternateContent>
          <mc:Choice Requires="wps">
            <w:drawing>
              <wp:anchor distT="0" distB="0" distL="114300" distR="114300" simplePos="0" relativeHeight="251667456" behindDoc="0" locked="0" layoutInCell="1" allowOverlap="1" wp14:anchorId="3B9F5F1D" wp14:editId="6C10A3D7">
                <wp:simplePos x="0" y="0"/>
                <wp:positionH relativeFrom="column">
                  <wp:posOffset>27305</wp:posOffset>
                </wp:positionH>
                <wp:positionV relativeFrom="paragraph">
                  <wp:posOffset>737235</wp:posOffset>
                </wp:positionV>
                <wp:extent cx="6305550" cy="2314575"/>
                <wp:effectExtent l="0" t="0" r="0" b="9525"/>
                <wp:wrapThrough wrapText="bothSides">
                  <wp:wrapPolygon edited="0">
                    <wp:start x="0" y="0"/>
                    <wp:lineTo x="0" y="21511"/>
                    <wp:lineTo x="21535" y="21511"/>
                    <wp:lineTo x="21535" y="0"/>
                    <wp:lineTo x="0" y="0"/>
                  </wp:wrapPolygon>
                </wp:wrapThrough>
                <wp:docPr id="12" name="文字方塊 12"/>
                <wp:cNvGraphicFramePr/>
                <a:graphic xmlns:a="http://schemas.openxmlformats.org/drawingml/2006/main">
                  <a:graphicData uri="http://schemas.microsoft.com/office/word/2010/wordprocessingShape">
                    <wps:wsp>
                      <wps:cNvSpPr txBox="1"/>
                      <wps:spPr>
                        <a:xfrm>
                          <a:off x="0" y="0"/>
                          <a:ext cx="6305550" cy="2314575"/>
                        </a:xfrm>
                        <a:prstGeom prst="rect">
                          <a:avLst/>
                        </a:prstGeom>
                        <a:solidFill>
                          <a:sysClr val="window" lastClr="FFFFFF"/>
                        </a:solidFill>
                        <a:ln w="6350">
                          <a:noFill/>
                        </a:ln>
                      </wps:spPr>
                      <wps:txbx>
                        <w:txbxContent>
                          <w:p w14:paraId="42DC0A9C" w14:textId="77777777" w:rsidR="004551F8" w:rsidRPr="005955B3" w:rsidRDefault="004551F8" w:rsidP="004551F8">
                            <w:pPr>
                              <w:jc w:val="center"/>
                              <w:rPr>
                                <w:rFonts w:ascii="標楷體" w:eastAsia="標楷體" w:hAnsi="標楷體"/>
                                <w:b/>
                              </w:rPr>
                            </w:pPr>
                            <w:r w:rsidRPr="005955B3">
                              <w:rPr>
                                <w:rFonts w:ascii="標楷體" w:eastAsia="標楷體" w:hAnsi="標楷體" w:hint="eastAsia"/>
                                <w:b/>
                              </w:rPr>
                              <w:t>表</w:t>
                            </w:r>
                            <w:r>
                              <w:rPr>
                                <w:rFonts w:ascii="標楷體" w:eastAsia="標楷體" w:hAnsi="標楷體"/>
                                <w:b/>
                              </w:rPr>
                              <w:t>1</w:t>
                            </w:r>
                            <w:r w:rsidRPr="005955B3">
                              <w:rPr>
                                <w:rFonts w:ascii="標楷體" w:eastAsia="標楷體" w:hAnsi="標楷體" w:hint="eastAsia"/>
                                <w:b/>
                              </w:rPr>
                              <w:t xml:space="preserve">　</w:t>
                            </w:r>
                            <w:proofErr w:type="gramStart"/>
                            <w:r>
                              <w:rPr>
                                <w:rFonts w:ascii="標楷體" w:eastAsia="標楷體" w:hAnsi="標楷體" w:hint="eastAsia"/>
                                <w:b/>
                              </w:rPr>
                              <w:t>環境保護</w:t>
                            </w:r>
                            <w:r w:rsidRPr="005955B3">
                              <w:rPr>
                                <w:rFonts w:ascii="標楷體" w:eastAsia="標楷體" w:hAnsi="標楷體" w:hint="eastAsia"/>
                                <w:b/>
                              </w:rPr>
                              <w:t>局創儲能</w:t>
                            </w:r>
                            <w:proofErr w:type="gramEnd"/>
                            <w:r w:rsidRPr="005955B3">
                              <w:rPr>
                                <w:rFonts w:ascii="標楷體" w:eastAsia="標楷體" w:hAnsi="標楷體" w:hint="eastAsia"/>
                                <w:b/>
                              </w:rPr>
                              <w:t>示範場域設置情形</w:t>
                            </w:r>
                          </w:p>
                          <w:p w14:paraId="0E8FCDC1" w14:textId="77777777" w:rsidR="004551F8" w:rsidRPr="001D1F09" w:rsidRDefault="004551F8" w:rsidP="004551F8">
                            <w:pPr>
                              <w:jc w:val="right"/>
                              <w:rPr>
                                <w:rFonts w:ascii="標楷體" w:eastAsia="標楷體" w:hAnsi="標楷體"/>
                                <w:sz w:val="20"/>
                              </w:rPr>
                            </w:pPr>
                            <w:r w:rsidRPr="001D1F09">
                              <w:rPr>
                                <w:rFonts w:ascii="標楷體" w:eastAsia="標楷體" w:hAnsi="標楷體"/>
                                <w:sz w:val="20"/>
                              </w:rPr>
                              <w:t>單位：</w:t>
                            </w:r>
                            <w:r>
                              <w:rPr>
                                <w:rFonts w:ascii="標楷體" w:eastAsia="標楷體" w:hAnsi="標楷體" w:hint="eastAsia"/>
                                <w:sz w:val="20"/>
                              </w:rPr>
                              <w:t>新臺幣元、</w:t>
                            </w:r>
                            <w:proofErr w:type="gramStart"/>
                            <w:r w:rsidRPr="001D1F09">
                              <w:rPr>
                                <w:rFonts w:ascii="標楷體" w:eastAsia="標楷體" w:hAnsi="標楷體" w:hint="eastAsia"/>
                                <w:sz w:val="20"/>
                              </w:rPr>
                              <w:t>瓩</w:t>
                            </w:r>
                            <w:proofErr w:type="gramEnd"/>
                            <w:r>
                              <w:rPr>
                                <w:rFonts w:ascii="標楷體" w:eastAsia="標楷體" w:hAnsi="標楷體" w:hint="eastAsia"/>
                                <w:sz w:val="20"/>
                              </w:rPr>
                              <w:t>、度</w:t>
                            </w:r>
                          </w:p>
                          <w:tbl>
                            <w:tblPr>
                              <w:tblStyle w:val="150"/>
                              <w:tblW w:w="9693" w:type="dxa"/>
                              <w:tblLook w:val="04A0" w:firstRow="1" w:lastRow="0" w:firstColumn="1" w:lastColumn="0" w:noHBand="0" w:noVBand="1"/>
                            </w:tblPr>
                            <w:tblGrid>
                              <w:gridCol w:w="2804"/>
                              <w:gridCol w:w="1592"/>
                              <w:gridCol w:w="1766"/>
                              <w:gridCol w:w="1765"/>
                              <w:gridCol w:w="1766"/>
                            </w:tblGrid>
                            <w:tr w:rsidR="004551F8" w:rsidRPr="001D1F09" w14:paraId="3821229C" w14:textId="77777777" w:rsidTr="00824CD6">
                              <w:trPr>
                                <w:trHeight w:val="425"/>
                              </w:trPr>
                              <w:tc>
                                <w:tcPr>
                                  <w:tcW w:w="2804" w:type="dxa"/>
                                </w:tcPr>
                                <w:p w14:paraId="3DD518BD"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hint="eastAsia"/>
                                    </w:rPr>
                                    <w:t>設置場址</w:t>
                                  </w:r>
                                </w:p>
                              </w:tc>
                              <w:tc>
                                <w:tcPr>
                                  <w:tcW w:w="1592" w:type="dxa"/>
                                </w:tcPr>
                                <w:p w14:paraId="3322EA45" w14:textId="77777777" w:rsidR="004551F8" w:rsidRPr="00F01648" w:rsidRDefault="004551F8" w:rsidP="00824CD6">
                                  <w:pPr>
                                    <w:spacing w:line="320" w:lineRule="exact"/>
                                    <w:jc w:val="center"/>
                                    <w:rPr>
                                      <w:rFonts w:ascii="標楷體" w:eastAsia="標楷體" w:hAnsi="標楷體" w:cs="新細明體"/>
                                      <w:color w:val="000000"/>
                                    </w:rPr>
                                  </w:pPr>
                                  <w:r w:rsidRPr="00F01648">
                                    <w:rPr>
                                      <w:rFonts w:ascii="標楷體" w:eastAsia="標楷體" w:hAnsi="標楷體" w:cs="新細明體" w:hint="eastAsia"/>
                                      <w:color w:val="000000"/>
                                    </w:rPr>
                                    <w:t>設置經費</w:t>
                                  </w:r>
                                </w:p>
                              </w:tc>
                              <w:tc>
                                <w:tcPr>
                                  <w:tcW w:w="1766" w:type="dxa"/>
                                  <w:tcBorders>
                                    <w:bottom w:val="single" w:sz="4" w:space="0" w:color="auto"/>
                                  </w:tcBorders>
                                </w:tcPr>
                                <w:p w14:paraId="5D822A36"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cs="新細明體" w:hint="eastAsia"/>
                                      <w:color w:val="000000"/>
                                    </w:rPr>
                                    <w:t>設備啟用日</w:t>
                                  </w:r>
                                </w:p>
                              </w:tc>
                              <w:tc>
                                <w:tcPr>
                                  <w:tcW w:w="1765" w:type="dxa"/>
                                </w:tcPr>
                                <w:p w14:paraId="659A4EF4"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hint="eastAsia"/>
                                    </w:rPr>
                                    <w:t>裝置容量</w:t>
                                  </w:r>
                                </w:p>
                              </w:tc>
                              <w:tc>
                                <w:tcPr>
                                  <w:tcW w:w="1766" w:type="dxa"/>
                                  <w:tcBorders>
                                    <w:bottom w:val="single" w:sz="4" w:space="0" w:color="auto"/>
                                  </w:tcBorders>
                                </w:tcPr>
                                <w:p w14:paraId="6BD3D1B6"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hint="eastAsia"/>
                                    </w:rPr>
                                    <w:t>預計年發電量</w:t>
                                  </w:r>
                                </w:p>
                              </w:tc>
                            </w:tr>
                            <w:tr w:rsidR="004551F8" w:rsidRPr="001D1F09" w14:paraId="6B4A48CF" w14:textId="77777777" w:rsidTr="00824CD6">
                              <w:trPr>
                                <w:trHeight w:val="282"/>
                              </w:trPr>
                              <w:tc>
                                <w:tcPr>
                                  <w:tcW w:w="2804" w:type="dxa"/>
                                </w:tcPr>
                                <w:p w14:paraId="6A399F4C" w14:textId="77777777" w:rsidR="004551F8" w:rsidRPr="00F01648" w:rsidRDefault="004551F8" w:rsidP="00824CD6">
                                  <w:pPr>
                                    <w:spacing w:line="320" w:lineRule="exact"/>
                                    <w:jc w:val="center"/>
                                    <w:rPr>
                                      <w:rFonts w:ascii="標楷體" w:eastAsia="標楷體" w:hAnsi="標楷體"/>
                                      <w:b/>
                                    </w:rPr>
                                  </w:pPr>
                                  <w:r w:rsidRPr="00F01648">
                                    <w:rPr>
                                      <w:rFonts w:ascii="標楷體" w:eastAsia="標楷體" w:hAnsi="標楷體" w:hint="eastAsia"/>
                                      <w:b/>
                                      <w:spacing w:val="200"/>
                                      <w:fitText w:val="800" w:id="-856545280"/>
                                    </w:rPr>
                                    <w:t>合</w:t>
                                  </w:r>
                                  <w:r w:rsidRPr="00F01648">
                                    <w:rPr>
                                      <w:rFonts w:ascii="標楷體" w:eastAsia="標楷體" w:hAnsi="標楷體" w:hint="eastAsia"/>
                                      <w:b/>
                                      <w:fitText w:val="800" w:id="-856545280"/>
                                    </w:rPr>
                                    <w:t>計</w:t>
                                  </w:r>
                                </w:p>
                              </w:tc>
                              <w:tc>
                                <w:tcPr>
                                  <w:tcW w:w="1592" w:type="dxa"/>
                                </w:tcPr>
                                <w:p w14:paraId="3FA124A4" w14:textId="77777777" w:rsidR="004551F8" w:rsidRPr="00F01648" w:rsidRDefault="004551F8" w:rsidP="00824CD6">
                                  <w:pPr>
                                    <w:spacing w:line="320" w:lineRule="exact"/>
                                    <w:jc w:val="right"/>
                                    <w:rPr>
                                      <w:rFonts w:ascii="標楷體" w:eastAsia="標楷體" w:hAnsi="標楷體" w:cs="新細明體"/>
                                      <w:b/>
                                      <w:color w:val="000000"/>
                                    </w:rPr>
                                  </w:pPr>
                                  <w:r w:rsidRPr="00F01648">
                                    <w:rPr>
                                      <w:rFonts w:ascii="標楷體" w:eastAsia="標楷體" w:hAnsi="標楷體" w:cs="新細明體" w:hint="eastAsia"/>
                                      <w:b/>
                                      <w:color w:val="000000"/>
                                    </w:rPr>
                                    <w:t>4</w:t>
                                  </w:r>
                                  <w:r w:rsidRPr="00F01648">
                                    <w:rPr>
                                      <w:rFonts w:ascii="標楷體" w:eastAsia="標楷體" w:hAnsi="標楷體" w:cs="新細明體"/>
                                      <w:b/>
                                      <w:color w:val="000000"/>
                                    </w:rPr>
                                    <w:t>,</w:t>
                                  </w:r>
                                  <w:r w:rsidRPr="00F01648">
                                    <w:rPr>
                                      <w:rFonts w:ascii="標楷體" w:eastAsia="標楷體" w:hAnsi="標楷體" w:cs="新細明體" w:hint="eastAsia"/>
                                      <w:b/>
                                      <w:color w:val="000000"/>
                                    </w:rPr>
                                    <w:t>6</w:t>
                                  </w:r>
                                  <w:r w:rsidRPr="00F01648">
                                    <w:rPr>
                                      <w:rFonts w:ascii="標楷體" w:eastAsia="標楷體" w:hAnsi="標楷體" w:cs="新細明體"/>
                                      <w:b/>
                                      <w:color w:val="000000"/>
                                    </w:rPr>
                                    <w:t>35,225</w:t>
                                  </w:r>
                                </w:p>
                              </w:tc>
                              <w:tc>
                                <w:tcPr>
                                  <w:tcW w:w="1766" w:type="dxa"/>
                                  <w:tcBorders>
                                    <w:tl2br w:val="single" w:sz="4" w:space="0" w:color="auto"/>
                                  </w:tcBorders>
                                </w:tcPr>
                                <w:p w14:paraId="24076EFD" w14:textId="77777777" w:rsidR="004551F8" w:rsidRPr="00F01648" w:rsidRDefault="004551F8" w:rsidP="00824CD6">
                                  <w:pPr>
                                    <w:spacing w:line="320" w:lineRule="exact"/>
                                    <w:jc w:val="center"/>
                                    <w:rPr>
                                      <w:rFonts w:ascii="標楷體" w:eastAsia="標楷體" w:hAnsi="標楷體" w:cs="新細明體"/>
                                      <w:color w:val="000000"/>
                                    </w:rPr>
                                  </w:pPr>
                                </w:p>
                              </w:tc>
                              <w:tc>
                                <w:tcPr>
                                  <w:tcW w:w="1765" w:type="dxa"/>
                                </w:tcPr>
                                <w:p w14:paraId="4C39975B" w14:textId="77777777" w:rsidR="004551F8" w:rsidRPr="00F01648" w:rsidRDefault="004551F8" w:rsidP="00824CD6">
                                  <w:pPr>
                                    <w:spacing w:line="320" w:lineRule="exact"/>
                                    <w:jc w:val="right"/>
                                    <w:rPr>
                                      <w:rFonts w:ascii="標楷體" w:eastAsia="標楷體" w:hAnsi="標楷體"/>
                                      <w:b/>
                                    </w:rPr>
                                  </w:pPr>
                                  <w:r w:rsidRPr="00F01648">
                                    <w:rPr>
                                      <w:rFonts w:ascii="標楷體" w:eastAsia="標楷體" w:hAnsi="標楷體" w:hint="eastAsia"/>
                                      <w:b/>
                                    </w:rPr>
                                    <w:t>2</w:t>
                                  </w:r>
                                  <w:r w:rsidRPr="00F01648">
                                    <w:rPr>
                                      <w:rFonts w:ascii="標楷體" w:eastAsia="標楷體" w:hAnsi="標楷體"/>
                                      <w:b/>
                                    </w:rPr>
                                    <w:t>3</w:t>
                                  </w:r>
                                </w:p>
                              </w:tc>
                              <w:tc>
                                <w:tcPr>
                                  <w:tcW w:w="1766" w:type="dxa"/>
                                  <w:tcBorders>
                                    <w:bottom w:val="single" w:sz="4" w:space="0" w:color="auto"/>
                                  </w:tcBorders>
                                </w:tcPr>
                                <w:p w14:paraId="587067C8" w14:textId="77777777" w:rsidR="004551F8" w:rsidRPr="00F01648" w:rsidRDefault="004551F8" w:rsidP="00824CD6">
                                  <w:pPr>
                                    <w:spacing w:line="320" w:lineRule="exact"/>
                                    <w:jc w:val="right"/>
                                    <w:rPr>
                                      <w:rFonts w:ascii="標楷體" w:eastAsia="標楷體" w:hAnsi="標楷體"/>
                                      <w:b/>
                                    </w:rPr>
                                  </w:pPr>
                                  <w:r w:rsidRPr="00F01648">
                                    <w:rPr>
                                      <w:rFonts w:ascii="標楷體" w:eastAsia="標楷體" w:hAnsi="標楷體" w:hint="eastAsia"/>
                                      <w:b/>
                                    </w:rPr>
                                    <w:t>1</w:t>
                                  </w:r>
                                  <w:r w:rsidRPr="00F01648">
                                    <w:rPr>
                                      <w:rFonts w:ascii="標楷體" w:eastAsia="標楷體" w:hAnsi="標楷體"/>
                                      <w:b/>
                                    </w:rPr>
                                    <w:t>7,010</w:t>
                                  </w:r>
                                </w:p>
                              </w:tc>
                            </w:tr>
                            <w:tr w:rsidR="004551F8" w:rsidRPr="001D1F09" w14:paraId="3EE36857" w14:textId="77777777" w:rsidTr="00824CD6">
                              <w:trPr>
                                <w:trHeight w:val="282"/>
                              </w:trPr>
                              <w:tc>
                                <w:tcPr>
                                  <w:tcW w:w="2804" w:type="dxa"/>
                                </w:tcPr>
                                <w:p w14:paraId="1BD80F48" w14:textId="77777777" w:rsidR="004551F8" w:rsidRPr="00F01648" w:rsidRDefault="004551F8" w:rsidP="00824CD6">
                                  <w:pPr>
                                    <w:spacing w:line="320" w:lineRule="exact"/>
                                    <w:jc w:val="both"/>
                                    <w:rPr>
                                      <w:rFonts w:ascii="標楷體" w:eastAsia="標楷體" w:hAnsi="標楷體"/>
                                    </w:rPr>
                                  </w:pPr>
                                  <w:r w:rsidRPr="00F01648">
                                    <w:rPr>
                                      <w:rFonts w:ascii="標楷體" w:eastAsia="標楷體" w:hAnsi="標楷體" w:cs="新細明體" w:hint="eastAsia"/>
                                      <w:color w:val="000000"/>
                                    </w:rPr>
                                    <w:t>山水綠生態公園</w:t>
                                  </w:r>
                                </w:p>
                              </w:tc>
                              <w:tc>
                                <w:tcPr>
                                  <w:tcW w:w="1592" w:type="dxa"/>
                                </w:tcPr>
                                <w:p w14:paraId="4ACF0E27" w14:textId="77777777" w:rsidR="004551F8" w:rsidRPr="00F01648" w:rsidRDefault="004551F8" w:rsidP="00824CD6">
                                  <w:pPr>
                                    <w:spacing w:line="320" w:lineRule="exact"/>
                                    <w:jc w:val="right"/>
                                    <w:rPr>
                                      <w:rFonts w:ascii="標楷體" w:eastAsia="標楷體" w:hAnsi="標楷體" w:cs="新細明體"/>
                                      <w:color w:val="000000"/>
                                    </w:rPr>
                                  </w:pPr>
                                  <w:r w:rsidRPr="00F01648">
                                    <w:rPr>
                                      <w:rFonts w:ascii="標楷體" w:eastAsia="標楷體" w:hAnsi="標楷體" w:cs="新細明體" w:hint="eastAsia"/>
                                      <w:color w:val="000000"/>
                                    </w:rPr>
                                    <w:t>4</w:t>
                                  </w:r>
                                  <w:r w:rsidRPr="00F01648">
                                    <w:rPr>
                                      <w:rFonts w:ascii="標楷體" w:eastAsia="標楷體" w:hAnsi="標楷體" w:cs="新細明體"/>
                                      <w:color w:val="000000"/>
                                    </w:rPr>
                                    <w:t>,194,750</w:t>
                                  </w:r>
                                </w:p>
                              </w:tc>
                              <w:tc>
                                <w:tcPr>
                                  <w:tcW w:w="1766" w:type="dxa"/>
                                </w:tcPr>
                                <w:p w14:paraId="045ED593"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cs="新細明體" w:hint="eastAsia"/>
                                      <w:color w:val="000000"/>
                                    </w:rPr>
                                    <w:t>111.10</w:t>
                                  </w:r>
                                  <w:r w:rsidRPr="00F01648">
                                    <w:rPr>
                                      <w:rFonts w:ascii="標楷體" w:eastAsia="標楷體" w:hAnsi="標楷體" w:cs="新細明體"/>
                                      <w:color w:val="000000"/>
                                    </w:rPr>
                                    <w:t>.</w:t>
                                  </w:r>
                                  <w:r w:rsidRPr="00F01648">
                                    <w:rPr>
                                      <w:rFonts w:ascii="標楷體" w:eastAsia="標楷體" w:hAnsi="標楷體" w:cs="新細明體" w:hint="eastAsia"/>
                                      <w:color w:val="000000"/>
                                    </w:rPr>
                                    <w:t>17</w:t>
                                  </w:r>
                                </w:p>
                              </w:tc>
                              <w:tc>
                                <w:tcPr>
                                  <w:tcW w:w="1765" w:type="dxa"/>
                                </w:tcPr>
                                <w:p w14:paraId="45340EFE"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rPr>
                                    <w:t>1</w:t>
                                  </w:r>
                                  <w:r w:rsidRPr="00F01648">
                                    <w:rPr>
                                      <w:rFonts w:ascii="標楷體" w:eastAsia="標楷體" w:hAnsi="標楷體"/>
                                    </w:rPr>
                                    <w:t>5.84</w:t>
                                  </w:r>
                                </w:p>
                              </w:tc>
                              <w:tc>
                                <w:tcPr>
                                  <w:tcW w:w="1766" w:type="dxa"/>
                                  <w:tcBorders>
                                    <w:top w:val="single" w:sz="4" w:space="0" w:color="auto"/>
                                    <w:left w:val="nil"/>
                                    <w:bottom w:val="single" w:sz="4" w:space="0" w:color="auto"/>
                                    <w:right w:val="single" w:sz="4" w:space="0" w:color="auto"/>
                                  </w:tcBorders>
                                  <w:shd w:val="clear" w:color="auto" w:fill="auto"/>
                                  <w:vAlign w:val="center"/>
                                </w:tcPr>
                                <w:p w14:paraId="792FEEA7"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color w:val="000000"/>
                                    </w:rPr>
                                    <w:t>15</w:t>
                                  </w:r>
                                  <w:r w:rsidRPr="00F01648">
                                    <w:rPr>
                                      <w:rFonts w:ascii="標楷體" w:eastAsia="標楷體" w:hAnsi="標楷體"/>
                                      <w:color w:val="000000"/>
                                    </w:rPr>
                                    <w:t>,</w:t>
                                  </w:r>
                                  <w:r w:rsidRPr="00F01648">
                                    <w:rPr>
                                      <w:rFonts w:ascii="標楷體" w:eastAsia="標楷體" w:hAnsi="標楷體" w:hint="eastAsia"/>
                                      <w:color w:val="000000"/>
                                    </w:rPr>
                                    <w:t>167</w:t>
                                  </w:r>
                                </w:p>
                              </w:tc>
                            </w:tr>
                            <w:tr w:rsidR="004551F8" w:rsidRPr="001D1F09" w14:paraId="458B029C" w14:textId="77777777" w:rsidTr="00824CD6">
                              <w:trPr>
                                <w:trHeight w:val="191"/>
                              </w:trPr>
                              <w:tc>
                                <w:tcPr>
                                  <w:tcW w:w="2804" w:type="dxa"/>
                                </w:tcPr>
                                <w:p w14:paraId="3526AC32" w14:textId="77777777" w:rsidR="004551F8" w:rsidRPr="00F01648" w:rsidRDefault="004551F8" w:rsidP="00824CD6">
                                  <w:pPr>
                                    <w:spacing w:line="320" w:lineRule="exact"/>
                                    <w:jc w:val="both"/>
                                    <w:rPr>
                                      <w:rFonts w:ascii="標楷體" w:eastAsia="標楷體" w:hAnsi="標楷體"/>
                                    </w:rPr>
                                  </w:pPr>
                                  <w:r w:rsidRPr="00F01648">
                                    <w:rPr>
                                      <w:rFonts w:ascii="標楷體" w:eastAsia="標楷體" w:hAnsi="標楷體" w:cs="新細明體" w:hint="eastAsia"/>
                                      <w:color w:val="000000"/>
                                    </w:rPr>
                                    <w:t>信義苗圃停車場（</w:t>
                                  </w:r>
                                  <w:proofErr w:type="gramStart"/>
                                  <w:r w:rsidRPr="00F01648">
                                    <w:rPr>
                                      <w:rFonts w:ascii="標楷體" w:eastAsia="標楷體" w:hAnsi="標楷體" w:cs="新細明體" w:hint="eastAsia"/>
                                      <w:color w:val="000000"/>
                                    </w:rPr>
                                    <w:t>註</w:t>
                                  </w:r>
                                  <w:proofErr w:type="gramEnd"/>
                                  <w:r w:rsidRPr="00F01648">
                                    <w:rPr>
                                      <w:rFonts w:ascii="標楷體" w:eastAsia="標楷體" w:hAnsi="標楷體" w:cs="新細明體" w:hint="eastAsia"/>
                                      <w:color w:val="000000"/>
                                    </w:rPr>
                                    <w:t>1</w:t>
                                  </w:r>
                                  <w:r w:rsidRPr="00F01648">
                                    <w:rPr>
                                      <w:rFonts w:ascii="標楷體" w:eastAsia="標楷體" w:hAnsi="標楷體" w:cs="新細明體"/>
                                      <w:color w:val="000000"/>
                                    </w:rPr>
                                    <w:t>）</w:t>
                                  </w:r>
                                </w:p>
                              </w:tc>
                              <w:tc>
                                <w:tcPr>
                                  <w:tcW w:w="1592" w:type="dxa"/>
                                </w:tcPr>
                                <w:p w14:paraId="27A8C4CB" w14:textId="77777777" w:rsidR="004551F8" w:rsidRPr="00F01648" w:rsidRDefault="004551F8" w:rsidP="00824CD6">
                                  <w:pPr>
                                    <w:spacing w:line="320" w:lineRule="exact"/>
                                    <w:jc w:val="right"/>
                                    <w:rPr>
                                      <w:rFonts w:ascii="標楷體" w:eastAsia="標楷體" w:hAnsi="標楷體" w:cs="新細明體"/>
                                      <w:color w:val="000000"/>
                                    </w:rPr>
                                  </w:pPr>
                                  <w:r w:rsidRPr="00F01648">
                                    <w:rPr>
                                      <w:rFonts w:ascii="標楷體" w:eastAsia="標楷體" w:hAnsi="標楷體" w:cs="新細明體" w:hint="eastAsia"/>
                                      <w:color w:val="000000"/>
                                    </w:rPr>
                                    <w:t>1</w:t>
                                  </w:r>
                                  <w:r w:rsidRPr="00F01648">
                                    <w:rPr>
                                      <w:rFonts w:ascii="標楷體" w:eastAsia="標楷體" w:hAnsi="標楷體" w:cs="新細明體"/>
                                      <w:color w:val="000000"/>
                                    </w:rPr>
                                    <w:t>47,105</w:t>
                                  </w:r>
                                </w:p>
                              </w:tc>
                              <w:tc>
                                <w:tcPr>
                                  <w:tcW w:w="1766" w:type="dxa"/>
                                </w:tcPr>
                                <w:p w14:paraId="1092764B"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cs="新細明體" w:hint="eastAsia"/>
                                      <w:color w:val="000000"/>
                                    </w:rPr>
                                    <w:t>112</w:t>
                                  </w:r>
                                  <w:r w:rsidRPr="00F01648">
                                    <w:rPr>
                                      <w:rFonts w:ascii="標楷體" w:eastAsia="標楷體" w:hAnsi="標楷體" w:cs="新細明體"/>
                                      <w:color w:val="000000"/>
                                    </w:rPr>
                                    <w:t>.0</w:t>
                                  </w:r>
                                  <w:r w:rsidRPr="00F01648">
                                    <w:rPr>
                                      <w:rFonts w:ascii="標楷體" w:eastAsia="標楷體" w:hAnsi="標楷體" w:cs="新細明體" w:hint="eastAsia"/>
                                      <w:color w:val="000000"/>
                                    </w:rPr>
                                    <w:t>4</w:t>
                                  </w:r>
                                  <w:r w:rsidRPr="00F01648">
                                    <w:rPr>
                                      <w:rFonts w:ascii="標楷體" w:eastAsia="標楷體" w:hAnsi="標楷體" w:cs="新細明體"/>
                                      <w:color w:val="000000"/>
                                    </w:rPr>
                                    <w:t>.0</w:t>
                                  </w:r>
                                  <w:r w:rsidRPr="00F01648">
                                    <w:rPr>
                                      <w:rFonts w:ascii="標楷體" w:eastAsia="標楷體" w:hAnsi="標楷體" w:cs="新細明體" w:hint="eastAsia"/>
                                      <w:color w:val="000000"/>
                                    </w:rPr>
                                    <w:t>4</w:t>
                                  </w:r>
                                </w:p>
                              </w:tc>
                              <w:tc>
                                <w:tcPr>
                                  <w:tcW w:w="1765" w:type="dxa"/>
                                </w:tcPr>
                                <w:p w14:paraId="5DD0C6DA"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rPr>
                                    <w:t>2</w:t>
                                  </w:r>
                                </w:p>
                              </w:tc>
                              <w:tc>
                                <w:tcPr>
                                  <w:tcW w:w="1766" w:type="dxa"/>
                                  <w:tcBorders>
                                    <w:top w:val="single" w:sz="4" w:space="0" w:color="auto"/>
                                    <w:left w:val="nil"/>
                                    <w:bottom w:val="single" w:sz="4" w:space="0" w:color="auto"/>
                                    <w:right w:val="single" w:sz="4" w:space="0" w:color="auto"/>
                                  </w:tcBorders>
                                  <w:shd w:val="clear" w:color="auto" w:fill="auto"/>
                                </w:tcPr>
                                <w:p w14:paraId="2D698E76"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color w:val="000000"/>
                                    </w:rPr>
                                    <w:t>480</w:t>
                                  </w:r>
                                </w:p>
                              </w:tc>
                            </w:tr>
                            <w:tr w:rsidR="004551F8" w:rsidRPr="001D1F09" w14:paraId="0336AC49" w14:textId="77777777" w:rsidTr="00824CD6">
                              <w:trPr>
                                <w:trHeight w:val="282"/>
                              </w:trPr>
                              <w:tc>
                                <w:tcPr>
                                  <w:tcW w:w="2804" w:type="dxa"/>
                                </w:tcPr>
                                <w:p w14:paraId="00EFE7ED" w14:textId="77777777" w:rsidR="004551F8" w:rsidRPr="00F01648" w:rsidRDefault="004551F8" w:rsidP="00824CD6">
                                  <w:pPr>
                                    <w:spacing w:line="320" w:lineRule="exact"/>
                                    <w:jc w:val="both"/>
                                    <w:rPr>
                                      <w:rFonts w:ascii="標楷體" w:eastAsia="標楷體" w:hAnsi="標楷體"/>
                                    </w:rPr>
                                  </w:pPr>
                                  <w:r w:rsidRPr="00F01648">
                                    <w:rPr>
                                      <w:rFonts w:ascii="標楷體" w:eastAsia="標楷體" w:hAnsi="標楷體" w:cs="新細明體" w:hint="eastAsia"/>
                                      <w:color w:val="000000"/>
                                    </w:rPr>
                                    <w:t>大安花市3號公廁</w:t>
                                  </w:r>
                                </w:p>
                              </w:tc>
                              <w:tc>
                                <w:tcPr>
                                  <w:tcW w:w="1592" w:type="dxa"/>
                                </w:tcPr>
                                <w:p w14:paraId="0EA12CFE" w14:textId="77777777" w:rsidR="004551F8" w:rsidRPr="00F01648" w:rsidRDefault="004551F8" w:rsidP="00824CD6">
                                  <w:pPr>
                                    <w:spacing w:line="320" w:lineRule="exact"/>
                                    <w:jc w:val="right"/>
                                    <w:rPr>
                                      <w:rFonts w:ascii="標楷體" w:eastAsia="標楷體" w:hAnsi="標楷體" w:cs="新細明體"/>
                                      <w:color w:val="000000"/>
                                    </w:rPr>
                                  </w:pPr>
                                  <w:r w:rsidRPr="00F01648">
                                    <w:rPr>
                                      <w:rFonts w:ascii="標楷體" w:eastAsia="標楷體" w:hAnsi="標楷體" w:cs="新細明體" w:hint="eastAsia"/>
                                      <w:color w:val="000000"/>
                                    </w:rPr>
                                    <w:t>1</w:t>
                                  </w:r>
                                  <w:r w:rsidRPr="00F01648">
                                    <w:rPr>
                                      <w:rFonts w:ascii="標楷體" w:eastAsia="標楷體" w:hAnsi="標楷體" w:cs="新細明體"/>
                                      <w:color w:val="000000"/>
                                    </w:rPr>
                                    <w:t>46,370</w:t>
                                  </w:r>
                                </w:p>
                              </w:tc>
                              <w:tc>
                                <w:tcPr>
                                  <w:tcW w:w="1766" w:type="dxa"/>
                                </w:tcPr>
                                <w:p w14:paraId="5847C119"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cs="新細明體" w:hint="eastAsia"/>
                                      <w:color w:val="000000"/>
                                    </w:rPr>
                                    <w:t>112</w:t>
                                  </w:r>
                                  <w:r w:rsidRPr="00F01648">
                                    <w:rPr>
                                      <w:rFonts w:ascii="標楷體" w:eastAsia="標楷體" w:hAnsi="標楷體" w:cs="新細明體"/>
                                      <w:color w:val="000000"/>
                                    </w:rPr>
                                    <w:t>.0</w:t>
                                  </w:r>
                                  <w:r w:rsidRPr="00F01648">
                                    <w:rPr>
                                      <w:rFonts w:ascii="標楷體" w:eastAsia="標楷體" w:hAnsi="標楷體" w:cs="新細明體" w:hint="eastAsia"/>
                                      <w:color w:val="000000"/>
                                    </w:rPr>
                                    <w:t>5</w:t>
                                  </w:r>
                                  <w:r w:rsidRPr="00F01648">
                                    <w:rPr>
                                      <w:rFonts w:ascii="標楷體" w:eastAsia="標楷體" w:hAnsi="標楷體" w:cs="新細明體"/>
                                      <w:color w:val="000000"/>
                                    </w:rPr>
                                    <w:t>.0</w:t>
                                  </w:r>
                                  <w:r w:rsidRPr="00F01648">
                                    <w:rPr>
                                      <w:rFonts w:ascii="標楷體" w:eastAsia="標楷體" w:hAnsi="標楷體" w:cs="新細明體" w:hint="eastAsia"/>
                                      <w:color w:val="000000"/>
                                    </w:rPr>
                                    <w:t>1</w:t>
                                  </w:r>
                                </w:p>
                              </w:tc>
                              <w:tc>
                                <w:tcPr>
                                  <w:tcW w:w="1765" w:type="dxa"/>
                                </w:tcPr>
                                <w:p w14:paraId="53C7C398"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rPr>
                                    <w:t>1</w:t>
                                  </w:r>
                                  <w:r w:rsidRPr="00F01648">
                                    <w:rPr>
                                      <w:rFonts w:ascii="標楷體" w:eastAsia="標楷體" w:hAnsi="標楷體"/>
                                    </w:rPr>
                                    <w:t>.36</w:t>
                                  </w:r>
                                </w:p>
                              </w:tc>
                              <w:tc>
                                <w:tcPr>
                                  <w:tcW w:w="1766" w:type="dxa"/>
                                  <w:tcBorders>
                                    <w:top w:val="single" w:sz="4" w:space="0" w:color="auto"/>
                                    <w:left w:val="nil"/>
                                    <w:bottom w:val="single" w:sz="4" w:space="0" w:color="auto"/>
                                    <w:right w:val="single" w:sz="4" w:space="0" w:color="auto"/>
                                  </w:tcBorders>
                                  <w:shd w:val="clear" w:color="auto" w:fill="auto"/>
                                  <w:vAlign w:val="center"/>
                                </w:tcPr>
                                <w:p w14:paraId="31A788C5"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color w:val="000000"/>
                                    </w:rPr>
                                    <w:t>442</w:t>
                                  </w:r>
                                </w:p>
                              </w:tc>
                            </w:tr>
                            <w:tr w:rsidR="004551F8" w:rsidRPr="001D1F09" w14:paraId="606577BC" w14:textId="77777777" w:rsidTr="00824CD6">
                              <w:trPr>
                                <w:trHeight w:val="269"/>
                              </w:trPr>
                              <w:tc>
                                <w:tcPr>
                                  <w:tcW w:w="2804" w:type="dxa"/>
                                </w:tcPr>
                                <w:p w14:paraId="637C2144" w14:textId="77777777" w:rsidR="004551F8" w:rsidRPr="00F01648" w:rsidRDefault="004551F8" w:rsidP="00824CD6">
                                  <w:pPr>
                                    <w:spacing w:line="320" w:lineRule="exact"/>
                                    <w:jc w:val="both"/>
                                    <w:rPr>
                                      <w:rFonts w:ascii="標楷體" w:eastAsia="標楷體" w:hAnsi="標楷體" w:cs="新細明體"/>
                                      <w:color w:val="000000"/>
                                    </w:rPr>
                                  </w:pPr>
                                  <w:r w:rsidRPr="00F01648">
                                    <w:rPr>
                                      <w:rFonts w:ascii="標楷體" w:eastAsia="標楷體" w:hAnsi="標楷體" w:cs="新細明體" w:hint="eastAsia"/>
                                      <w:color w:val="000000"/>
                                    </w:rPr>
                                    <w:t>建國高架隔音牆</w:t>
                                  </w:r>
                                </w:p>
                              </w:tc>
                              <w:tc>
                                <w:tcPr>
                                  <w:tcW w:w="1592" w:type="dxa"/>
                                </w:tcPr>
                                <w:p w14:paraId="2C15291D" w14:textId="77777777" w:rsidR="004551F8" w:rsidRPr="00F01648" w:rsidRDefault="004551F8" w:rsidP="00824CD6">
                                  <w:pPr>
                                    <w:spacing w:line="320" w:lineRule="exact"/>
                                    <w:jc w:val="right"/>
                                    <w:rPr>
                                      <w:rFonts w:ascii="標楷體" w:eastAsia="標楷體" w:hAnsi="標楷體" w:cs="新細明體"/>
                                      <w:color w:val="000000"/>
                                    </w:rPr>
                                  </w:pPr>
                                  <w:r w:rsidRPr="00F01648">
                                    <w:rPr>
                                      <w:rFonts w:ascii="標楷體" w:eastAsia="標楷體" w:hAnsi="標楷體" w:cs="新細明體" w:hint="eastAsia"/>
                                      <w:color w:val="000000"/>
                                    </w:rPr>
                                    <w:t>1</w:t>
                                  </w:r>
                                  <w:r w:rsidRPr="00F01648">
                                    <w:rPr>
                                      <w:rFonts w:ascii="標楷體" w:eastAsia="標楷體" w:hAnsi="標楷體" w:cs="新細明體"/>
                                      <w:color w:val="000000"/>
                                    </w:rPr>
                                    <w:t>47,000</w:t>
                                  </w:r>
                                </w:p>
                              </w:tc>
                              <w:tc>
                                <w:tcPr>
                                  <w:tcW w:w="1766" w:type="dxa"/>
                                </w:tcPr>
                                <w:p w14:paraId="42D70E3C" w14:textId="77777777" w:rsidR="004551F8" w:rsidRPr="00F01648" w:rsidRDefault="004551F8" w:rsidP="00824CD6">
                                  <w:pPr>
                                    <w:spacing w:line="320" w:lineRule="exact"/>
                                    <w:jc w:val="center"/>
                                    <w:rPr>
                                      <w:rFonts w:ascii="標楷體" w:eastAsia="標楷體" w:hAnsi="標楷體" w:cs="新細明體"/>
                                      <w:color w:val="000000"/>
                                    </w:rPr>
                                  </w:pPr>
                                  <w:r w:rsidRPr="00F01648">
                                    <w:rPr>
                                      <w:rFonts w:ascii="標楷體" w:eastAsia="標楷體" w:hAnsi="標楷體" w:cs="新細明體" w:hint="eastAsia"/>
                                      <w:color w:val="000000"/>
                                    </w:rPr>
                                    <w:t>112</w:t>
                                  </w:r>
                                  <w:r w:rsidRPr="00F01648">
                                    <w:rPr>
                                      <w:rFonts w:ascii="標楷體" w:eastAsia="標楷體" w:hAnsi="標楷體" w:cs="新細明體"/>
                                      <w:color w:val="000000"/>
                                    </w:rPr>
                                    <w:t>.0</w:t>
                                  </w:r>
                                  <w:r w:rsidRPr="00F01648">
                                    <w:rPr>
                                      <w:rFonts w:ascii="標楷體" w:eastAsia="標楷體" w:hAnsi="標楷體" w:cs="新細明體" w:hint="eastAsia"/>
                                      <w:color w:val="000000"/>
                                    </w:rPr>
                                    <w:t>6</w:t>
                                  </w:r>
                                  <w:r w:rsidRPr="00F01648">
                                    <w:rPr>
                                      <w:rFonts w:ascii="標楷體" w:eastAsia="標楷體" w:hAnsi="標楷體" w:cs="新細明體"/>
                                      <w:color w:val="000000"/>
                                    </w:rPr>
                                    <w:t>.</w:t>
                                  </w:r>
                                  <w:r w:rsidRPr="00F01648">
                                    <w:rPr>
                                      <w:rFonts w:ascii="標楷體" w:eastAsia="標楷體" w:hAnsi="標楷體" w:cs="新細明體" w:hint="eastAsia"/>
                                      <w:color w:val="000000"/>
                                    </w:rPr>
                                    <w:t>21</w:t>
                                  </w:r>
                                </w:p>
                              </w:tc>
                              <w:tc>
                                <w:tcPr>
                                  <w:tcW w:w="1765" w:type="dxa"/>
                                </w:tcPr>
                                <w:p w14:paraId="4F49DF53"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rPr>
                                    <w:t>3</w:t>
                                  </w:r>
                                  <w:r w:rsidRPr="00F01648">
                                    <w:rPr>
                                      <w:rFonts w:ascii="標楷體" w:eastAsia="標楷體" w:hAnsi="標楷體"/>
                                    </w:rPr>
                                    <w:t>.8</w:t>
                                  </w:r>
                                </w:p>
                              </w:tc>
                              <w:tc>
                                <w:tcPr>
                                  <w:tcW w:w="1766" w:type="dxa"/>
                                  <w:tcBorders>
                                    <w:top w:val="single" w:sz="4" w:space="0" w:color="auto"/>
                                    <w:left w:val="nil"/>
                                    <w:bottom w:val="single" w:sz="4" w:space="0" w:color="auto"/>
                                    <w:right w:val="single" w:sz="4" w:space="0" w:color="auto"/>
                                  </w:tcBorders>
                                  <w:shd w:val="clear" w:color="auto" w:fill="auto"/>
                                  <w:vAlign w:val="center"/>
                                </w:tcPr>
                                <w:p w14:paraId="60095096"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color w:val="000000"/>
                                    </w:rPr>
                                    <w:t>921</w:t>
                                  </w:r>
                                </w:p>
                              </w:tc>
                            </w:tr>
                          </w:tbl>
                          <w:p w14:paraId="2FAF610F" w14:textId="77777777" w:rsidR="004551F8" w:rsidRPr="00E82692" w:rsidRDefault="004551F8" w:rsidP="004551F8">
                            <w:pPr>
                              <w:spacing w:line="240" w:lineRule="exact"/>
                              <w:rPr>
                                <w:rFonts w:ascii="標楷體" w:eastAsia="標楷體" w:hAnsi="標楷體" w:cs="新細明體"/>
                                <w:color w:val="000000"/>
                                <w:kern w:val="0"/>
                                <w:sz w:val="18"/>
                                <w:szCs w:val="18"/>
                              </w:rPr>
                            </w:pPr>
                            <w:proofErr w:type="gramStart"/>
                            <w:r w:rsidRPr="00E82692">
                              <w:rPr>
                                <w:rFonts w:ascii="標楷體" w:eastAsia="標楷體" w:hAnsi="標楷體" w:hint="eastAsia"/>
                                <w:sz w:val="18"/>
                                <w:szCs w:val="18"/>
                              </w:rPr>
                              <w:t>註</w:t>
                            </w:r>
                            <w:proofErr w:type="gramEnd"/>
                            <w:r w:rsidRPr="00E82692">
                              <w:rPr>
                                <w:rFonts w:ascii="標楷體" w:eastAsia="標楷體" w:hAnsi="標楷體" w:hint="eastAsia"/>
                                <w:sz w:val="18"/>
                                <w:szCs w:val="18"/>
                              </w:rPr>
                              <w:t>：1</w:t>
                            </w:r>
                            <w:r w:rsidRPr="00E82692">
                              <w:rPr>
                                <w:rFonts w:ascii="標楷體" w:eastAsia="標楷體" w:hAnsi="標楷體"/>
                                <w:sz w:val="18"/>
                                <w:szCs w:val="18"/>
                              </w:rPr>
                              <w:t>.</w:t>
                            </w:r>
                            <w:r w:rsidRPr="00E82692">
                              <w:rPr>
                                <w:rFonts w:ascii="標楷體" w:eastAsia="標楷體" w:hAnsi="標楷體" w:hint="eastAsia"/>
                                <w:sz w:val="18"/>
                                <w:szCs w:val="18"/>
                              </w:rPr>
                              <w:t>原設置於</w:t>
                            </w:r>
                            <w:r w:rsidRPr="00E82692">
                              <w:rPr>
                                <w:rFonts w:ascii="標楷體" w:eastAsia="標楷體" w:hAnsi="標楷體" w:cs="新細明體" w:hint="eastAsia"/>
                                <w:color w:val="000000"/>
                                <w:kern w:val="0"/>
                                <w:sz w:val="18"/>
                                <w:szCs w:val="18"/>
                              </w:rPr>
                              <w:t>信義苗圃停車場</w:t>
                            </w:r>
                            <w:proofErr w:type="gramStart"/>
                            <w:r w:rsidRPr="00E82692">
                              <w:rPr>
                                <w:rFonts w:ascii="標楷體" w:eastAsia="標楷體" w:hAnsi="標楷體" w:cs="新細明體" w:hint="eastAsia"/>
                                <w:color w:val="000000"/>
                                <w:kern w:val="0"/>
                                <w:sz w:val="18"/>
                                <w:szCs w:val="18"/>
                              </w:rPr>
                              <w:t>之太光設備</w:t>
                            </w:r>
                            <w:proofErr w:type="gramEnd"/>
                            <w:r w:rsidRPr="00E82692">
                              <w:rPr>
                                <w:rFonts w:ascii="標楷體" w:eastAsia="標楷體" w:hAnsi="標楷體" w:cs="新細明體" w:hint="eastAsia"/>
                                <w:color w:val="000000"/>
                                <w:kern w:val="0"/>
                                <w:sz w:val="18"/>
                                <w:szCs w:val="18"/>
                              </w:rPr>
                              <w:t>，於1</w:t>
                            </w:r>
                            <w:r w:rsidRPr="00E82692">
                              <w:rPr>
                                <w:rFonts w:ascii="標楷體" w:eastAsia="標楷體" w:hAnsi="標楷體" w:cs="新細明體"/>
                                <w:color w:val="000000"/>
                                <w:kern w:val="0"/>
                                <w:sz w:val="18"/>
                                <w:szCs w:val="18"/>
                              </w:rPr>
                              <w:t>13</w:t>
                            </w:r>
                            <w:r w:rsidRPr="00E82692">
                              <w:rPr>
                                <w:rFonts w:ascii="標楷體" w:eastAsia="標楷體" w:hAnsi="標楷體" w:cs="新細明體" w:hint="eastAsia"/>
                                <w:color w:val="000000"/>
                                <w:kern w:val="0"/>
                                <w:sz w:val="18"/>
                                <w:szCs w:val="18"/>
                              </w:rPr>
                              <w:t>年2月1日搬遷至信義區清潔隊4號停車場。</w:t>
                            </w:r>
                          </w:p>
                          <w:p w14:paraId="762B364A" w14:textId="77777777" w:rsidR="004551F8" w:rsidRPr="00E82692" w:rsidRDefault="004551F8" w:rsidP="004551F8">
                            <w:pPr>
                              <w:spacing w:line="240" w:lineRule="exact"/>
                              <w:ind w:leftChars="150" w:left="360"/>
                              <w:rPr>
                                <w:rFonts w:ascii="標楷體" w:eastAsia="標楷體" w:hAnsi="標楷體"/>
                                <w:sz w:val="18"/>
                                <w:szCs w:val="18"/>
                              </w:rPr>
                            </w:pPr>
                            <w:r w:rsidRPr="00E82692">
                              <w:rPr>
                                <w:rFonts w:ascii="標楷體" w:eastAsia="標楷體" w:hAnsi="標楷體" w:hint="eastAsia"/>
                                <w:sz w:val="18"/>
                                <w:szCs w:val="18"/>
                              </w:rPr>
                              <w:t>2</w:t>
                            </w:r>
                            <w:r w:rsidRPr="00E82692">
                              <w:rPr>
                                <w:rFonts w:ascii="標楷體" w:eastAsia="標楷體" w:hAnsi="標楷體"/>
                                <w:sz w:val="18"/>
                                <w:szCs w:val="18"/>
                              </w:rPr>
                              <w:t>.</w:t>
                            </w:r>
                            <w:r w:rsidRPr="00E82692">
                              <w:rPr>
                                <w:rFonts w:ascii="標楷體" w:eastAsia="標楷體" w:hAnsi="標楷體" w:hint="eastAsia"/>
                                <w:sz w:val="18"/>
                                <w:szCs w:val="18"/>
                              </w:rPr>
                              <w:t>資料來源：整理自</w:t>
                            </w:r>
                            <w:r>
                              <w:rPr>
                                <w:rFonts w:ascii="標楷體" w:eastAsia="標楷體" w:hAnsi="標楷體" w:hint="eastAsia"/>
                                <w:sz w:val="18"/>
                                <w:szCs w:val="18"/>
                              </w:rPr>
                              <w:t>環境保護</w:t>
                            </w:r>
                            <w:r w:rsidRPr="00E82692">
                              <w:rPr>
                                <w:rFonts w:ascii="標楷體" w:eastAsia="標楷體" w:hAnsi="標楷體" w:hint="eastAsia"/>
                                <w:sz w:val="18"/>
                                <w:szCs w:val="18"/>
                              </w:rPr>
                              <w:t>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9F5F1D" id="文字方塊 12" o:spid="_x0000_s1126" type="#_x0000_t202" style="position:absolute;left:0;text-align:left;margin-left:2.15pt;margin-top:58.05pt;width:496.5pt;height:182.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" fillcolor="window" stroked="f" strokeweight=".5pt">
                <v:textbox>
                  <w:txbxContent>
                    <w:p w14:paraId="42DC0A9C" w14:textId="77777777" w:rsidR="004551F8" w:rsidRPr="005955B3" w:rsidRDefault="004551F8" w:rsidP="004551F8">
                      <w:pPr>
                        <w:jc w:val="center"/>
                        <w:rPr>
                          <w:rFonts w:ascii="標楷體" w:eastAsia="標楷體" w:hAnsi="標楷體"/>
                          <w:b/>
                        </w:rPr>
                      </w:pPr>
                      <w:r w:rsidRPr="005955B3">
                        <w:rPr>
                          <w:rFonts w:ascii="標楷體" w:eastAsia="標楷體" w:hAnsi="標楷體" w:hint="eastAsia"/>
                          <w:b/>
                        </w:rPr>
                        <w:t>表</w:t>
                      </w:r>
                      <w:r>
                        <w:rPr>
                          <w:rFonts w:ascii="標楷體" w:eastAsia="標楷體" w:hAnsi="標楷體"/>
                          <w:b/>
                        </w:rPr>
                        <w:t>1</w:t>
                      </w:r>
                      <w:r w:rsidRPr="005955B3">
                        <w:rPr>
                          <w:rFonts w:ascii="標楷體" w:eastAsia="標楷體" w:hAnsi="標楷體" w:hint="eastAsia"/>
                          <w:b/>
                        </w:rPr>
                        <w:t xml:space="preserve">　</w:t>
                      </w:r>
                      <w:proofErr w:type="gramStart"/>
                      <w:r>
                        <w:rPr>
                          <w:rFonts w:ascii="標楷體" w:eastAsia="標楷體" w:hAnsi="標楷體" w:hint="eastAsia"/>
                          <w:b/>
                        </w:rPr>
                        <w:t>環境保護</w:t>
                      </w:r>
                      <w:r w:rsidRPr="005955B3">
                        <w:rPr>
                          <w:rFonts w:ascii="標楷體" w:eastAsia="標楷體" w:hAnsi="標楷體" w:hint="eastAsia"/>
                          <w:b/>
                        </w:rPr>
                        <w:t>局創儲能</w:t>
                      </w:r>
                      <w:proofErr w:type="gramEnd"/>
                      <w:r w:rsidRPr="005955B3">
                        <w:rPr>
                          <w:rFonts w:ascii="標楷體" w:eastAsia="標楷體" w:hAnsi="標楷體" w:hint="eastAsia"/>
                          <w:b/>
                        </w:rPr>
                        <w:t>示範場域設置情形</w:t>
                      </w:r>
                    </w:p>
                    <w:p w14:paraId="0E8FCDC1" w14:textId="77777777" w:rsidR="004551F8" w:rsidRPr="001D1F09" w:rsidRDefault="004551F8" w:rsidP="004551F8">
                      <w:pPr>
                        <w:jc w:val="right"/>
                        <w:rPr>
                          <w:rFonts w:ascii="標楷體" w:eastAsia="標楷體" w:hAnsi="標楷體"/>
                          <w:sz w:val="20"/>
                        </w:rPr>
                      </w:pPr>
                      <w:r w:rsidRPr="001D1F09">
                        <w:rPr>
                          <w:rFonts w:ascii="標楷體" w:eastAsia="標楷體" w:hAnsi="標楷體"/>
                          <w:sz w:val="20"/>
                        </w:rPr>
                        <w:t>單位：</w:t>
                      </w:r>
                      <w:r>
                        <w:rPr>
                          <w:rFonts w:ascii="標楷體" w:eastAsia="標楷體" w:hAnsi="標楷體" w:hint="eastAsia"/>
                          <w:sz w:val="20"/>
                        </w:rPr>
                        <w:t>新臺幣元、</w:t>
                      </w:r>
                      <w:proofErr w:type="gramStart"/>
                      <w:r w:rsidRPr="001D1F09">
                        <w:rPr>
                          <w:rFonts w:ascii="標楷體" w:eastAsia="標楷體" w:hAnsi="標楷體" w:hint="eastAsia"/>
                          <w:sz w:val="20"/>
                        </w:rPr>
                        <w:t>瓩</w:t>
                      </w:r>
                      <w:proofErr w:type="gramEnd"/>
                      <w:r>
                        <w:rPr>
                          <w:rFonts w:ascii="標楷體" w:eastAsia="標楷體" w:hAnsi="標楷體" w:hint="eastAsia"/>
                          <w:sz w:val="20"/>
                        </w:rPr>
                        <w:t>、度</w:t>
                      </w:r>
                    </w:p>
                    <w:tbl>
                      <w:tblPr>
                        <w:tblStyle w:val="150"/>
                        <w:tblW w:w="9693" w:type="dxa"/>
                        <w:tblLook w:val="04A0" w:firstRow="1" w:lastRow="0" w:firstColumn="1" w:lastColumn="0" w:noHBand="0" w:noVBand="1"/>
                      </w:tblPr>
                      <w:tblGrid>
                        <w:gridCol w:w="2804"/>
                        <w:gridCol w:w="1592"/>
                        <w:gridCol w:w="1766"/>
                        <w:gridCol w:w="1765"/>
                        <w:gridCol w:w="1766"/>
                      </w:tblGrid>
                      <w:tr w:rsidR="004551F8" w:rsidRPr="001D1F09" w14:paraId="3821229C" w14:textId="77777777" w:rsidTr="00824CD6">
                        <w:trPr>
                          <w:trHeight w:val="425"/>
                        </w:trPr>
                        <w:tc>
                          <w:tcPr>
                            <w:tcW w:w="2804" w:type="dxa"/>
                          </w:tcPr>
                          <w:p w14:paraId="3DD518BD"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hint="eastAsia"/>
                              </w:rPr>
                              <w:t>設置場址</w:t>
                            </w:r>
                          </w:p>
                        </w:tc>
                        <w:tc>
                          <w:tcPr>
                            <w:tcW w:w="1592" w:type="dxa"/>
                          </w:tcPr>
                          <w:p w14:paraId="3322EA45" w14:textId="77777777" w:rsidR="004551F8" w:rsidRPr="00F01648" w:rsidRDefault="004551F8" w:rsidP="00824CD6">
                            <w:pPr>
                              <w:spacing w:line="320" w:lineRule="exact"/>
                              <w:jc w:val="center"/>
                              <w:rPr>
                                <w:rFonts w:ascii="標楷體" w:eastAsia="標楷體" w:hAnsi="標楷體" w:cs="新細明體"/>
                                <w:color w:val="000000"/>
                              </w:rPr>
                            </w:pPr>
                            <w:r w:rsidRPr="00F01648">
                              <w:rPr>
                                <w:rFonts w:ascii="標楷體" w:eastAsia="標楷體" w:hAnsi="標楷體" w:cs="新細明體" w:hint="eastAsia"/>
                                <w:color w:val="000000"/>
                              </w:rPr>
                              <w:t>設置經費</w:t>
                            </w:r>
                          </w:p>
                        </w:tc>
                        <w:tc>
                          <w:tcPr>
                            <w:tcW w:w="1766" w:type="dxa"/>
                            <w:tcBorders>
                              <w:bottom w:val="single" w:sz="4" w:space="0" w:color="auto"/>
                            </w:tcBorders>
                          </w:tcPr>
                          <w:p w14:paraId="5D822A36"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cs="新細明體" w:hint="eastAsia"/>
                                <w:color w:val="000000"/>
                              </w:rPr>
                              <w:t>設備啟用日</w:t>
                            </w:r>
                          </w:p>
                        </w:tc>
                        <w:tc>
                          <w:tcPr>
                            <w:tcW w:w="1765" w:type="dxa"/>
                          </w:tcPr>
                          <w:p w14:paraId="659A4EF4"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hint="eastAsia"/>
                              </w:rPr>
                              <w:t>裝置容量</w:t>
                            </w:r>
                          </w:p>
                        </w:tc>
                        <w:tc>
                          <w:tcPr>
                            <w:tcW w:w="1766" w:type="dxa"/>
                            <w:tcBorders>
                              <w:bottom w:val="single" w:sz="4" w:space="0" w:color="auto"/>
                            </w:tcBorders>
                          </w:tcPr>
                          <w:p w14:paraId="6BD3D1B6"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hint="eastAsia"/>
                              </w:rPr>
                              <w:t>預計年發電量</w:t>
                            </w:r>
                          </w:p>
                        </w:tc>
                      </w:tr>
                      <w:tr w:rsidR="004551F8" w:rsidRPr="001D1F09" w14:paraId="6B4A48CF" w14:textId="77777777" w:rsidTr="00824CD6">
                        <w:trPr>
                          <w:trHeight w:val="282"/>
                        </w:trPr>
                        <w:tc>
                          <w:tcPr>
                            <w:tcW w:w="2804" w:type="dxa"/>
                          </w:tcPr>
                          <w:p w14:paraId="6A399F4C" w14:textId="77777777" w:rsidR="004551F8" w:rsidRPr="00F01648" w:rsidRDefault="004551F8" w:rsidP="00824CD6">
                            <w:pPr>
                              <w:spacing w:line="320" w:lineRule="exact"/>
                              <w:jc w:val="center"/>
                              <w:rPr>
                                <w:rFonts w:ascii="標楷體" w:eastAsia="標楷體" w:hAnsi="標楷體"/>
                                <w:b/>
                              </w:rPr>
                            </w:pPr>
                            <w:r w:rsidRPr="00F01648">
                              <w:rPr>
                                <w:rFonts w:ascii="標楷體" w:eastAsia="標楷體" w:hAnsi="標楷體" w:hint="eastAsia"/>
                                <w:b/>
                                <w:spacing w:val="200"/>
                                <w:fitText w:val="800" w:id="-856545280"/>
                              </w:rPr>
                              <w:t>合</w:t>
                            </w:r>
                            <w:r w:rsidRPr="00F01648">
                              <w:rPr>
                                <w:rFonts w:ascii="標楷體" w:eastAsia="標楷體" w:hAnsi="標楷體" w:hint="eastAsia"/>
                                <w:b/>
                                <w:fitText w:val="800" w:id="-856545280"/>
                              </w:rPr>
                              <w:t>計</w:t>
                            </w:r>
                          </w:p>
                        </w:tc>
                        <w:tc>
                          <w:tcPr>
                            <w:tcW w:w="1592" w:type="dxa"/>
                          </w:tcPr>
                          <w:p w14:paraId="3FA124A4" w14:textId="77777777" w:rsidR="004551F8" w:rsidRPr="00F01648" w:rsidRDefault="004551F8" w:rsidP="00824CD6">
                            <w:pPr>
                              <w:spacing w:line="320" w:lineRule="exact"/>
                              <w:jc w:val="right"/>
                              <w:rPr>
                                <w:rFonts w:ascii="標楷體" w:eastAsia="標楷體" w:hAnsi="標楷體" w:cs="新細明體"/>
                                <w:b/>
                                <w:color w:val="000000"/>
                              </w:rPr>
                            </w:pPr>
                            <w:r w:rsidRPr="00F01648">
                              <w:rPr>
                                <w:rFonts w:ascii="標楷體" w:eastAsia="標楷體" w:hAnsi="標楷體" w:cs="新細明體" w:hint="eastAsia"/>
                                <w:b/>
                                <w:color w:val="000000"/>
                              </w:rPr>
                              <w:t>4</w:t>
                            </w:r>
                            <w:r w:rsidRPr="00F01648">
                              <w:rPr>
                                <w:rFonts w:ascii="標楷體" w:eastAsia="標楷體" w:hAnsi="標楷體" w:cs="新細明體"/>
                                <w:b/>
                                <w:color w:val="000000"/>
                              </w:rPr>
                              <w:t>,</w:t>
                            </w:r>
                            <w:r w:rsidRPr="00F01648">
                              <w:rPr>
                                <w:rFonts w:ascii="標楷體" w:eastAsia="標楷體" w:hAnsi="標楷體" w:cs="新細明體" w:hint="eastAsia"/>
                                <w:b/>
                                <w:color w:val="000000"/>
                              </w:rPr>
                              <w:t>6</w:t>
                            </w:r>
                            <w:r w:rsidRPr="00F01648">
                              <w:rPr>
                                <w:rFonts w:ascii="標楷體" w:eastAsia="標楷體" w:hAnsi="標楷體" w:cs="新細明體"/>
                                <w:b/>
                                <w:color w:val="000000"/>
                              </w:rPr>
                              <w:t>35,225</w:t>
                            </w:r>
                          </w:p>
                        </w:tc>
                        <w:tc>
                          <w:tcPr>
                            <w:tcW w:w="1766" w:type="dxa"/>
                            <w:tcBorders>
                              <w:tl2br w:val="single" w:sz="4" w:space="0" w:color="auto"/>
                            </w:tcBorders>
                          </w:tcPr>
                          <w:p w14:paraId="24076EFD" w14:textId="77777777" w:rsidR="004551F8" w:rsidRPr="00F01648" w:rsidRDefault="004551F8" w:rsidP="00824CD6">
                            <w:pPr>
                              <w:spacing w:line="320" w:lineRule="exact"/>
                              <w:jc w:val="center"/>
                              <w:rPr>
                                <w:rFonts w:ascii="標楷體" w:eastAsia="標楷體" w:hAnsi="標楷體" w:cs="新細明體"/>
                                <w:color w:val="000000"/>
                              </w:rPr>
                            </w:pPr>
                          </w:p>
                        </w:tc>
                        <w:tc>
                          <w:tcPr>
                            <w:tcW w:w="1765" w:type="dxa"/>
                          </w:tcPr>
                          <w:p w14:paraId="4C39975B" w14:textId="77777777" w:rsidR="004551F8" w:rsidRPr="00F01648" w:rsidRDefault="004551F8" w:rsidP="00824CD6">
                            <w:pPr>
                              <w:spacing w:line="320" w:lineRule="exact"/>
                              <w:jc w:val="right"/>
                              <w:rPr>
                                <w:rFonts w:ascii="標楷體" w:eastAsia="標楷體" w:hAnsi="標楷體"/>
                                <w:b/>
                              </w:rPr>
                            </w:pPr>
                            <w:r w:rsidRPr="00F01648">
                              <w:rPr>
                                <w:rFonts w:ascii="標楷體" w:eastAsia="標楷體" w:hAnsi="標楷體" w:hint="eastAsia"/>
                                <w:b/>
                              </w:rPr>
                              <w:t>2</w:t>
                            </w:r>
                            <w:r w:rsidRPr="00F01648">
                              <w:rPr>
                                <w:rFonts w:ascii="標楷體" w:eastAsia="標楷體" w:hAnsi="標楷體"/>
                                <w:b/>
                              </w:rPr>
                              <w:t>3</w:t>
                            </w:r>
                          </w:p>
                        </w:tc>
                        <w:tc>
                          <w:tcPr>
                            <w:tcW w:w="1766" w:type="dxa"/>
                            <w:tcBorders>
                              <w:bottom w:val="single" w:sz="4" w:space="0" w:color="auto"/>
                            </w:tcBorders>
                          </w:tcPr>
                          <w:p w14:paraId="587067C8" w14:textId="77777777" w:rsidR="004551F8" w:rsidRPr="00F01648" w:rsidRDefault="004551F8" w:rsidP="00824CD6">
                            <w:pPr>
                              <w:spacing w:line="320" w:lineRule="exact"/>
                              <w:jc w:val="right"/>
                              <w:rPr>
                                <w:rFonts w:ascii="標楷體" w:eastAsia="標楷體" w:hAnsi="標楷體"/>
                                <w:b/>
                              </w:rPr>
                            </w:pPr>
                            <w:r w:rsidRPr="00F01648">
                              <w:rPr>
                                <w:rFonts w:ascii="標楷體" w:eastAsia="標楷體" w:hAnsi="標楷體" w:hint="eastAsia"/>
                                <w:b/>
                              </w:rPr>
                              <w:t>1</w:t>
                            </w:r>
                            <w:r w:rsidRPr="00F01648">
                              <w:rPr>
                                <w:rFonts w:ascii="標楷體" w:eastAsia="標楷體" w:hAnsi="標楷體"/>
                                <w:b/>
                              </w:rPr>
                              <w:t>7,010</w:t>
                            </w:r>
                          </w:p>
                        </w:tc>
                      </w:tr>
                      <w:tr w:rsidR="004551F8" w:rsidRPr="001D1F09" w14:paraId="3EE36857" w14:textId="77777777" w:rsidTr="00824CD6">
                        <w:trPr>
                          <w:trHeight w:val="282"/>
                        </w:trPr>
                        <w:tc>
                          <w:tcPr>
                            <w:tcW w:w="2804" w:type="dxa"/>
                          </w:tcPr>
                          <w:p w14:paraId="1BD80F48" w14:textId="77777777" w:rsidR="004551F8" w:rsidRPr="00F01648" w:rsidRDefault="004551F8" w:rsidP="00824CD6">
                            <w:pPr>
                              <w:spacing w:line="320" w:lineRule="exact"/>
                              <w:jc w:val="both"/>
                              <w:rPr>
                                <w:rFonts w:ascii="標楷體" w:eastAsia="標楷體" w:hAnsi="標楷體"/>
                              </w:rPr>
                            </w:pPr>
                            <w:r w:rsidRPr="00F01648">
                              <w:rPr>
                                <w:rFonts w:ascii="標楷體" w:eastAsia="標楷體" w:hAnsi="標楷體" w:cs="新細明體" w:hint="eastAsia"/>
                                <w:color w:val="000000"/>
                              </w:rPr>
                              <w:t>山水綠生態公園</w:t>
                            </w:r>
                          </w:p>
                        </w:tc>
                        <w:tc>
                          <w:tcPr>
                            <w:tcW w:w="1592" w:type="dxa"/>
                          </w:tcPr>
                          <w:p w14:paraId="4ACF0E27" w14:textId="77777777" w:rsidR="004551F8" w:rsidRPr="00F01648" w:rsidRDefault="004551F8" w:rsidP="00824CD6">
                            <w:pPr>
                              <w:spacing w:line="320" w:lineRule="exact"/>
                              <w:jc w:val="right"/>
                              <w:rPr>
                                <w:rFonts w:ascii="標楷體" w:eastAsia="標楷體" w:hAnsi="標楷體" w:cs="新細明體"/>
                                <w:color w:val="000000"/>
                              </w:rPr>
                            </w:pPr>
                            <w:r w:rsidRPr="00F01648">
                              <w:rPr>
                                <w:rFonts w:ascii="標楷體" w:eastAsia="標楷體" w:hAnsi="標楷體" w:cs="新細明體" w:hint="eastAsia"/>
                                <w:color w:val="000000"/>
                              </w:rPr>
                              <w:t>4</w:t>
                            </w:r>
                            <w:r w:rsidRPr="00F01648">
                              <w:rPr>
                                <w:rFonts w:ascii="標楷體" w:eastAsia="標楷體" w:hAnsi="標楷體" w:cs="新細明體"/>
                                <w:color w:val="000000"/>
                              </w:rPr>
                              <w:t>,194,750</w:t>
                            </w:r>
                          </w:p>
                        </w:tc>
                        <w:tc>
                          <w:tcPr>
                            <w:tcW w:w="1766" w:type="dxa"/>
                          </w:tcPr>
                          <w:p w14:paraId="045ED593"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cs="新細明體" w:hint="eastAsia"/>
                                <w:color w:val="000000"/>
                              </w:rPr>
                              <w:t>111.10</w:t>
                            </w:r>
                            <w:r w:rsidRPr="00F01648">
                              <w:rPr>
                                <w:rFonts w:ascii="標楷體" w:eastAsia="標楷體" w:hAnsi="標楷體" w:cs="新細明體"/>
                                <w:color w:val="000000"/>
                              </w:rPr>
                              <w:t>.</w:t>
                            </w:r>
                            <w:r w:rsidRPr="00F01648">
                              <w:rPr>
                                <w:rFonts w:ascii="標楷體" w:eastAsia="標楷體" w:hAnsi="標楷體" w:cs="新細明體" w:hint="eastAsia"/>
                                <w:color w:val="000000"/>
                              </w:rPr>
                              <w:t>17</w:t>
                            </w:r>
                          </w:p>
                        </w:tc>
                        <w:tc>
                          <w:tcPr>
                            <w:tcW w:w="1765" w:type="dxa"/>
                          </w:tcPr>
                          <w:p w14:paraId="45340EFE"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rPr>
                              <w:t>1</w:t>
                            </w:r>
                            <w:r w:rsidRPr="00F01648">
                              <w:rPr>
                                <w:rFonts w:ascii="標楷體" w:eastAsia="標楷體" w:hAnsi="標楷體"/>
                              </w:rPr>
                              <w:t>5.84</w:t>
                            </w:r>
                          </w:p>
                        </w:tc>
                        <w:tc>
                          <w:tcPr>
                            <w:tcW w:w="1766" w:type="dxa"/>
                            <w:tcBorders>
                              <w:top w:val="single" w:sz="4" w:space="0" w:color="auto"/>
                              <w:left w:val="nil"/>
                              <w:bottom w:val="single" w:sz="4" w:space="0" w:color="auto"/>
                              <w:right w:val="single" w:sz="4" w:space="0" w:color="auto"/>
                            </w:tcBorders>
                            <w:shd w:val="clear" w:color="auto" w:fill="auto"/>
                            <w:vAlign w:val="center"/>
                          </w:tcPr>
                          <w:p w14:paraId="792FEEA7"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color w:val="000000"/>
                              </w:rPr>
                              <w:t>15</w:t>
                            </w:r>
                            <w:r w:rsidRPr="00F01648">
                              <w:rPr>
                                <w:rFonts w:ascii="標楷體" w:eastAsia="標楷體" w:hAnsi="標楷體"/>
                                <w:color w:val="000000"/>
                              </w:rPr>
                              <w:t>,</w:t>
                            </w:r>
                            <w:r w:rsidRPr="00F01648">
                              <w:rPr>
                                <w:rFonts w:ascii="標楷體" w:eastAsia="標楷體" w:hAnsi="標楷體" w:hint="eastAsia"/>
                                <w:color w:val="000000"/>
                              </w:rPr>
                              <w:t>167</w:t>
                            </w:r>
                          </w:p>
                        </w:tc>
                      </w:tr>
                      <w:tr w:rsidR="004551F8" w:rsidRPr="001D1F09" w14:paraId="458B029C" w14:textId="77777777" w:rsidTr="00824CD6">
                        <w:trPr>
                          <w:trHeight w:val="191"/>
                        </w:trPr>
                        <w:tc>
                          <w:tcPr>
                            <w:tcW w:w="2804" w:type="dxa"/>
                          </w:tcPr>
                          <w:p w14:paraId="3526AC32" w14:textId="77777777" w:rsidR="004551F8" w:rsidRPr="00F01648" w:rsidRDefault="004551F8" w:rsidP="00824CD6">
                            <w:pPr>
                              <w:spacing w:line="320" w:lineRule="exact"/>
                              <w:jc w:val="both"/>
                              <w:rPr>
                                <w:rFonts w:ascii="標楷體" w:eastAsia="標楷體" w:hAnsi="標楷體"/>
                              </w:rPr>
                            </w:pPr>
                            <w:r w:rsidRPr="00F01648">
                              <w:rPr>
                                <w:rFonts w:ascii="標楷體" w:eastAsia="標楷體" w:hAnsi="標楷體" w:cs="新細明體" w:hint="eastAsia"/>
                                <w:color w:val="000000"/>
                              </w:rPr>
                              <w:t>信義苗圃停車場（</w:t>
                            </w:r>
                            <w:proofErr w:type="gramStart"/>
                            <w:r w:rsidRPr="00F01648">
                              <w:rPr>
                                <w:rFonts w:ascii="標楷體" w:eastAsia="標楷體" w:hAnsi="標楷體" w:cs="新細明體" w:hint="eastAsia"/>
                                <w:color w:val="000000"/>
                              </w:rPr>
                              <w:t>註</w:t>
                            </w:r>
                            <w:proofErr w:type="gramEnd"/>
                            <w:r w:rsidRPr="00F01648">
                              <w:rPr>
                                <w:rFonts w:ascii="標楷體" w:eastAsia="標楷體" w:hAnsi="標楷體" w:cs="新細明體" w:hint="eastAsia"/>
                                <w:color w:val="000000"/>
                              </w:rPr>
                              <w:t>1</w:t>
                            </w:r>
                            <w:r w:rsidRPr="00F01648">
                              <w:rPr>
                                <w:rFonts w:ascii="標楷體" w:eastAsia="標楷體" w:hAnsi="標楷體" w:cs="新細明體"/>
                                <w:color w:val="000000"/>
                              </w:rPr>
                              <w:t>）</w:t>
                            </w:r>
                          </w:p>
                        </w:tc>
                        <w:tc>
                          <w:tcPr>
                            <w:tcW w:w="1592" w:type="dxa"/>
                          </w:tcPr>
                          <w:p w14:paraId="27A8C4CB" w14:textId="77777777" w:rsidR="004551F8" w:rsidRPr="00F01648" w:rsidRDefault="004551F8" w:rsidP="00824CD6">
                            <w:pPr>
                              <w:spacing w:line="320" w:lineRule="exact"/>
                              <w:jc w:val="right"/>
                              <w:rPr>
                                <w:rFonts w:ascii="標楷體" w:eastAsia="標楷體" w:hAnsi="標楷體" w:cs="新細明體"/>
                                <w:color w:val="000000"/>
                              </w:rPr>
                            </w:pPr>
                            <w:r w:rsidRPr="00F01648">
                              <w:rPr>
                                <w:rFonts w:ascii="標楷體" w:eastAsia="標楷體" w:hAnsi="標楷體" w:cs="新細明體" w:hint="eastAsia"/>
                                <w:color w:val="000000"/>
                              </w:rPr>
                              <w:t>1</w:t>
                            </w:r>
                            <w:r w:rsidRPr="00F01648">
                              <w:rPr>
                                <w:rFonts w:ascii="標楷體" w:eastAsia="標楷體" w:hAnsi="標楷體" w:cs="新細明體"/>
                                <w:color w:val="000000"/>
                              </w:rPr>
                              <w:t>47,105</w:t>
                            </w:r>
                          </w:p>
                        </w:tc>
                        <w:tc>
                          <w:tcPr>
                            <w:tcW w:w="1766" w:type="dxa"/>
                          </w:tcPr>
                          <w:p w14:paraId="1092764B"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cs="新細明體" w:hint="eastAsia"/>
                                <w:color w:val="000000"/>
                              </w:rPr>
                              <w:t>112</w:t>
                            </w:r>
                            <w:r w:rsidRPr="00F01648">
                              <w:rPr>
                                <w:rFonts w:ascii="標楷體" w:eastAsia="標楷體" w:hAnsi="標楷體" w:cs="新細明體"/>
                                <w:color w:val="000000"/>
                              </w:rPr>
                              <w:t>.0</w:t>
                            </w:r>
                            <w:r w:rsidRPr="00F01648">
                              <w:rPr>
                                <w:rFonts w:ascii="標楷體" w:eastAsia="標楷體" w:hAnsi="標楷體" w:cs="新細明體" w:hint="eastAsia"/>
                                <w:color w:val="000000"/>
                              </w:rPr>
                              <w:t>4</w:t>
                            </w:r>
                            <w:r w:rsidRPr="00F01648">
                              <w:rPr>
                                <w:rFonts w:ascii="標楷體" w:eastAsia="標楷體" w:hAnsi="標楷體" w:cs="新細明體"/>
                                <w:color w:val="000000"/>
                              </w:rPr>
                              <w:t>.0</w:t>
                            </w:r>
                            <w:r w:rsidRPr="00F01648">
                              <w:rPr>
                                <w:rFonts w:ascii="標楷體" w:eastAsia="標楷體" w:hAnsi="標楷體" w:cs="新細明體" w:hint="eastAsia"/>
                                <w:color w:val="000000"/>
                              </w:rPr>
                              <w:t>4</w:t>
                            </w:r>
                          </w:p>
                        </w:tc>
                        <w:tc>
                          <w:tcPr>
                            <w:tcW w:w="1765" w:type="dxa"/>
                          </w:tcPr>
                          <w:p w14:paraId="5DD0C6DA"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rPr>
                              <w:t>2</w:t>
                            </w:r>
                          </w:p>
                        </w:tc>
                        <w:tc>
                          <w:tcPr>
                            <w:tcW w:w="1766" w:type="dxa"/>
                            <w:tcBorders>
                              <w:top w:val="single" w:sz="4" w:space="0" w:color="auto"/>
                              <w:left w:val="nil"/>
                              <w:bottom w:val="single" w:sz="4" w:space="0" w:color="auto"/>
                              <w:right w:val="single" w:sz="4" w:space="0" w:color="auto"/>
                            </w:tcBorders>
                            <w:shd w:val="clear" w:color="auto" w:fill="auto"/>
                          </w:tcPr>
                          <w:p w14:paraId="2D698E76"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color w:val="000000"/>
                              </w:rPr>
                              <w:t>480</w:t>
                            </w:r>
                          </w:p>
                        </w:tc>
                      </w:tr>
                      <w:tr w:rsidR="004551F8" w:rsidRPr="001D1F09" w14:paraId="0336AC49" w14:textId="77777777" w:rsidTr="00824CD6">
                        <w:trPr>
                          <w:trHeight w:val="282"/>
                        </w:trPr>
                        <w:tc>
                          <w:tcPr>
                            <w:tcW w:w="2804" w:type="dxa"/>
                          </w:tcPr>
                          <w:p w14:paraId="00EFE7ED" w14:textId="77777777" w:rsidR="004551F8" w:rsidRPr="00F01648" w:rsidRDefault="004551F8" w:rsidP="00824CD6">
                            <w:pPr>
                              <w:spacing w:line="320" w:lineRule="exact"/>
                              <w:jc w:val="both"/>
                              <w:rPr>
                                <w:rFonts w:ascii="標楷體" w:eastAsia="標楷體" w:hAnsi="標楷體"/>
                              </w:rPr>
                            </w:pPr>
                            <w:r w:rsidRPr="00F01648">
                              <w:rPr>
                                <w:rFonts w:ascii="標楷體" w:eastAsia="標楷體" w:hAnsi="標楷體" w:cs="新細明體" w:hint="eastAsia"/>
                                <w:color w:val="000000"/>
                              </w:rPr>
                              <w:t>大安花市3號公廁</w:t>
                            </w:r>
                          </w:p>
                        </w:tc>
                        <w:tc>
                          <w:tcPr>
                            <w:tcW w:w="1592" w:type="dxa"/>
                          </w:tcPr>
                          <w:p w14:paraId="0EA12CFE" w14:textId="77777777" w:rsidR="004551F8" w:rsidRPr="00F01648" w:rsidRDefault="004551F8" w:rsidP="00824CD6">
                            <w:pPr>
                              <w:spacing w:line="320" w:lineRule="exact"/>
                              <w:jc w:val="right"/>
                              <w:rPr>
                                <w:rFonts w:ascii="標楷體" w:eastAsia="標楷體" w:hAnsi="標楷體" w:cs="新細明體"/>
                                <w:color w:val="000000"/>
                              </w:rPr>
                            </w:pPr>
                            <w:r w:rsidRPr="00F01648">
                              <w:rPr>
                                <w:rFonts w:ascii="標楷體" w:eastAsia="標楷體" w:hAnsi="標楷體" w:cs="新細明體" w:hint="eastAsia"/>
                                <w:color w:val="000000"/>
                              </w:rPr>
                              <w:t>1</w:t>
                            </w:r>
                            <w:r w:rsidRPr="00F01648">
                              <w:rPr>
                                <w:rFonts w:ascii="標楷體" w:eastAsia="標楷體" w:hAnsi="標楷體" w:cs="新細明體"/>
                                <w:color w:val="000000"/>
                              </w:rPr>
                              <w:t>46,370</w:t>
                            </w:r>
                          </w:p>
                        </w:tc>
                        <w:tc>
                          <w:tcPr>
                            <w:tcW w:w="1766" w:type="dxa"/>
                          </w:tcPr>
                          <w:p w14:paraId="5847C119" w14:textId="77777777" w:rsidR="004551F8" w:rsidRPr="00F01648" w:rsidRDefault="004551F8" w:rsidP="00824CD6">
                            <w:pPr>
                              <w:spacing w:line="320" w:lineRule="exact"/>
                              <w:jc w:val="center"/>
                              <w:rPr>
                                <w:rFonts w:ascii="標楷體" w:eastAsia="標楷體" w:hAnsi="標楷體"/>
                              </w:rPr>
                            </w:pPr>
                            <w:r w:rsidRPr="00F01648">
                              <w:rPr>
                                <w:rFonts w:ascii="標楷體" w:eastAsia="標楷體" w:hAnsi="標楷體" w:cs="新細明體" w:hint="eastAsia"/>
                                <w:color w:val="000000"/>
                              </w:rPr>
                              <w:t>112</w:t>
                            </w:r>
                            <w:r w:rsidRPr="00F01648">
                              <w:rPr>
                                <w:rFonts w:ascii="標楷體" w:eastAsia="標楷體" w:hAnsi="標楷體" w:cs="新細明體"/>
                                <w:color w:val="000000"/>
                              </w:rPr>
                              <w:t>.0</w:t>
                            </w:r>
                            <w:r w:rsidRPr="00F01648">
                              <w:rPr>
                                <w:rFonts w:ascii="標楷體" w:eastAsia="標楷體" w:hAnsi="標楷體" w:cs="新細明體" w:hint="eastAsia"/>
                                <w:color w:val="000000"/>
                              </w:rPr>
                              <w:t>5</w:t>
                            </w:r>
                            <w:r w:rsidRPr="00F01648">
                              <w:rPr>
                                <w:rFonts w:ascii="標楷體" w:eastAsia="標楷體" w:hAnsi="標楷體" w:cs="新細明體"/>
                                <w:color w:val="000000"/>
                              </w:rPr>
                              <w:t>.0</w:t>
                            </w:r>
                            <w:r w:rsidRPr="00F01648">
                              <w:rPr>
                                <w:rFonts w:ascii="標楷體" w:eastAsia="標楷體" w:hAnsi="標楷體" w:cs="新細明體" w:hint="eastAsia"/>
                                <w:color w:val="000000"/>
                              </w:rPr>
                              <w:t>1</w:t>
                            </w:r>
                          </w:p>
                        </w:tc>
                        <w:tc>
                          <w:tcPr>
                            <w:tcW w:w="1765" w:type="dxa"/>
                          </w:tcPr>
                          <w:p w14:paraId="53C7C398"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rPr>
                              <w:t>1</w:t>
                            </w:r>
                            <w:r w:rsidRPr="00F01648">
                              <w:rPr>
                                <w:rFonts w:ascii="標楷體" w:eastAsia="標楷體" w:hAnsi="標楷體"/>
                              </w:rPr>
                              <w:t>.36</w:t>
                            </w:r>
                          </w:p>
                        </w:tc>
                        <w:tc>
                          <w:tcPr>
                            <w:tcW w:w="1766" w:type="dxa"/>
                            <w:tcBorders>
                              <w:top w:val="single" w:sz="4" w:space="0" w:color="auto"/>
                              <w:left w:val="nil"/>
                              <w:bottom w:val="single" w:sz="4" w:space="0" w:color="auto"/>
                              <w:right w:val="single" w:sz="4" w:space="0" w:color="auto"/>
                            </w:tcBorders>
                            <w:shd w:val="clear" w:color="auto" w:fill="auto"/>
                            <w:vAlign w:val="center"/>
                          </w:tcPr>
                          <w:p w14:paraId="31A788C5"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color w:val="000000"/>
                              </w:rPr>
                              <w:t>442</w:t>
                            </w:r>
                          </w:p>
                        </w:tc>
                      </w:tr>
                      <w:tr w:rsidR="004551F8" w:rsidRPr="001D1F09" w14:paraId="606577BC" w14:textId="77777777" w:rsidTr="00824CD6">
                        <w:trPr>
                          <w:trHeight w:val="269"/>
                        </w:trPr>
                        <w:tc>
                          <w:tcPr>
                            <w:tcW w:w="2804" w:type="dxa"/>
                          </w:tcPr>
                          <w:p w14:paraId="637C2144" w14:textId="77777777" w:rsidR="004551F8" w:rsidRPr="00F01648" w:rsidRDefault="004551F8" w:rsidP="00824CD6">
                            <w:pPr>
                              <w:spacing w:line="320" w:lineRule="exact"/>
                              <w:jc w:val="both"/>
                              <w:rPr>
                                <w:rFonts w:ascii="標楷體" w:eastAsia="標楷體" w:hAnsi="標楷體" w:cs="新細明體"/>
                                <w:color w:val="000000"/>
                              </w:rPr>
                            </w:pPr>
                            <w:r w:rsidRPr="00F01648">
                              <w:rPr>
                                <w:rFonts w:ascii="標楷體" w:eastAsia="標楷體" w:hAnsi="標楷體" w:cs="新細明體" w:hint="eastAsia"/>
                                <w:color w:val="000000"/>
                              </w:rPr>
                              <w:t>建國高架隔音牆</w:t>
                            </w:r>
                          </w:p>
                        </w:tc>
                        <w:tc>
                          <w:tcPr>
                            <w:tcW w:w="1592" w:type="dxa"/>
                          </w:tcPr>
                          <w:p w14:paraId="2C15291D" w14:textId="77777777" w:rsidR="004551F8" w:rsidRPr="00F01648" w:rsidRDefault="004551F8" w:rsidP="00824CD6">
                            <w:pPr>
                              <w:spacing w:line="320" w:lineRule="exact"/>
                              <w:jc w:val="right"/>
                              <w:rPr>
                                <w:rFonts w:ascii="標楷體" w:eastAsia="標楷體" w:hAnsi="標楷體" w:cs="新細明體"/>
                                <w:color w:val="000000"/>
                              </w:rPr>
                            </w:pPr>
                            <w:r w:rsidRPr="00F01648">
                              <w:rPr>
                                <w:rFonts w:ascii="標楷體" w:eastAsia="標楷體" w:hAnsi="標楷體" w:cs="新細明體" w:hint="eastAsia"/>
                                <w:color w:val="000000"/>
                              </w:rPr>
                              <w:t>1</w:t>
                            </w:r>
                            <w:r w:rsidRPr="00F01648">
                              <w:rPr>
                                <w:rFonts w:ascii="標楷體" w:eastAsia="標楷體" w:hAnsi="標楷體" w:cs="新細明體"/>
                                <w:color w:val="000000"/>
                              </w:rPr>
                              <w:t>47,000</w:t>
                            </w:r>
                          </w:p>
                        </w:tc>
                        <w:tc>
                          <w:tcPr>
                            <w:tcW w:w="1766" w:type="dxa"/>
                          </w:tcPr>
                          <w:p w14:paraId="42D70E3C" w14:textId="77777777" w:rsidR="004551F8" w:rsidRPr="00F01648" w:rsidRDefault="004551F8" w:rsidP="00824CD6">
                            <w:pPr>
                              <w:spacing w:line="320" w:lineRule="exact"/>
                              <w:jc w:val="center"/>
                              <w:rPr>
                                <w:rFonts w:ascii="標楷體" w:eastAsia="標楷體" w:hAnsi="標楷體" w:cs="新細明體"/>
                                <w:color w:val="000000"/>
                              </w:rPr>
                            </w:pPr>
                            <w:r w:rsidRPr="00F01648">
                              <w:rPr>
                                <w:rFonts w:ascii="標楷體" w:eastAsia="標楷體" w:hAnsi="標楷體" w:cs="新細明體" w:hint="eastAsia"/>
                                <w:color w:val="000000"/>
                              </w:rPr>
                              <w:t>112</w:t>
                            </w:r>
                            <w:r w:rsidRPr="00F01648">
                              <w:rPr>
                                <w:rFonts w:ascii="標楷體" w:eastAsia="標楷體" w:hAnsi="標楷體" w:cs="新細明體"/>
                                <w:color w:val="000000"/>
                              </w:rPr>
                              <w:t>.0</w:t>
                            </w:r>
                            <w:r w:rsidRPr="00F01648">
                              <w:rPr>
                                <w:rFonts w:ascii="標楷體" w:eastAsia="標楷體" w:hAnsi="標楷體" w:cs="新細明體" w:hint="eastAsia"/>
                                <w:color w:val="000000"/>
                              </w:rPr>
                              <w:t>6</w:t>
                            </w:r>
                            <w:r w:rsidRPr="00F01648">
                              <w:rPr>
                                <w:rFonts w:ascii="標楷體" w:eastAsia="標楷體" w:hAnsi="標楷體" w:cs="新細明體"/>
                                <w:color w:val="000000"/>
                              </w:rPr>
                              <w:t>.</w:t>
                            </w:r>
                            <w:r w:rsidRPr="00F01648">
                              <w:rPr>
                                <w:rFonts w:ascii="標楷體" w:eastAsia="標楷體" w:hAnsi="標楷體" w:cs="新細明體" w:hint="eastAsia"/>
                                <w:color w:val="000000"/>
                              </w:rPr>
                              <w:t>21</w:t>
                            </w:r>
                          </w:p>
                        </w:tc>
                        <w:tc>
                          <w:tcPr>
                            <w:tcW w:w="1765" w:type="dxa"/>
                          </w:tcPr>
                          <w:p w14:paraId="4F49DF53"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rPr>
                              <w:t>3</w:t>
                            </w:r>
                            <w:r w:rsidRPr="00F01648">
                              <w:rPr>
                                <w:rFonts w:ascii="標楷體" w:eastAsia="標楷體" w:hAnsi="標楷體"/>
                              </w:rPr>
                              <w:t>.8</w:t>
                            </w:r>
                          </w:p>
                        </w:tc>
                        <w:tc>
                          <w:tcPr>
                            <w:tcW w:w="1766" w:type="dxa"/>
                            <w:tcBorders>
                              <w:top w:val="single" w:sz="4" w:space="0" w:color="auto"/>
                              <w:left w:val="nil"/>
                              <w:bottom w:val="single" w:sz="4" w:space="0" w:color="auto"/>
                              <w:right w:val="single" w:sz="4" w:space="0" w:color="auto"/>
                            </w:tcBorders>
                            <w:shd w:val="clear" w:color="auto" w:fill="auto"/>
                            <w:vAlign w:val="center"/>
                          </w:tcPr>
                          <w:p w14:paraId="60095096" w14:textId="77777777" w:rsidR="004551F8" w:rsidRPr="00F01648" w:rsidRDefault="004551F8" w:rsidP="00824CD6">
                            <w:pPr>
                              <w:spacing w:line="320" w:lineRule="exact"/>
                              <w:jc w:val="right"/>
                              <w:rPr>
                                <w:rFonts w:ascii="標楷體" w:eastAsia="標楷體" w:hAnsi="標楷體"/>
                              </w:rPr>
                            </w:pPr>
                            <w:r w:rsidRPr="00F01648">
                              <w:rPr>
                                <w:rFonts w:ascii="標楷體" w:eastAsia="標楷體" w:hAnsi="標楷體" w:hint="eastAsia"/>
                                <w:color w:val="000000"/>
                              </w:rPr>
                              <w:t>921</w:t>
                            </w:r>
                          </w:p>
                        </w:tc>
                      </w:tr>
                    </w:tbl>
                    <w:p w14:paraId="2FAF610F" w14:textId="77777777" w:rsidR="004551F8" w:rsidRPr="00E82692" w:rsidRDefault="004551F8" w:rsidP="004551F8">
                      <w:pPr>
                        <w:spacing w:line="240" w:lineRule="exact"/>
                        <w:rPr>
                          <w:rFonts w:ascii="標楷體" w:eastAsia="標楷體" w:hAnsi="標楷體" w:cs="新細明體"/>
                          <w:color w:val="000000"/>
                          <w:kern w:val="0"/>
                          <w:sz w:val="18"/>
                          <w:szCs w:val="18"/>
                        </w:rPr>
                      </w:pPr>
                      <w:proofErr w:type="gramStart"/>
                      <w:r w:rsidRPr="00E82692">
                        <w:rPr>
                          <w:rFonts w:ascii="標楷體" w:eastAsia="標楷體" w:hAnsi="標楷體" w:hint="eastAsia"/>
                          <w:sz w:val="18"/>
                          <w:szCs w:val="18"/>
                        </w:rPr>
                        <w:t>註</w:t>
                      </w:r>
                      <w:proofErr w:type="gramEnd"/>
                      <w:r w:rsidRPr="00E82692">
                        <w:rPr>
                          <w:rFonts w:ascii="標楷體" w:eastAsia="標楷體" w:hAnsi="標楷體" w:hint="eastAsia"/>
                          <w:sz w:val="18"/>
                          <w:szCs w:val="18"/>
                        </w:rPr>
                        <w:t>：1</w:t>
                      </w:r>
                      <w:r w:rsidRPr="00E82692">
                        <w:rPr>
                          <w:rFonts w:ascii="標楷體" w:eastAsia="標楷體" w:hAnsi="標楷體"/>
                          <w:sz w:val="18"/>
                          <w:szCs w:val="18"/>
                        </w:rPr>
                        <w:t>.</w:t>
                      </w:r>
                      <w:r w:rsidRPr="00E82692">
                        <w:rPr>
                          <w:rFonts w:ascii="標楷體" w:eastAsia="標楷體" w:hAnsi="標楷體" w:hint="eastAsia"/>
                          <w:sz w:val="18"/>
                          <w:szCs w:val="18"/>
                        </w:rPr>
                        <w:t>原設置於</w:t>
                      </w:r>
                      <w:r w:rsidRPr="00E82692">
                        <w:rPr>
                          <w:rFonts w:ascii="標楷體" w:eastAsia="標楷體" w:hAnsi="標楷體" w:cs="新細明體" w:hint="eastAsia"/>
                          <w:color w:val="000000"/>
                          <w:kern w:val="0"/>
                          <w:sz w:val="18"/>
                          <w:szCs w:val="18"/>
                        </w:rPr>
                        <w:t>信義苗圃停車場</w:t>
                      </w:r>
                      <w:proofErr w:type="gramStart"/>
                      <w:r w:rsidRPr="00E82692">
                        <w:rPr>
                          <w:rFonts w:ascii="標楷體" w:eastAsia="標楷體" w:hAnsi="標楷體" w:cs="新細明體" w:hint="eastAsia"/>
                          <w:color w:val="000000"/>
                          <w:kern w:val="0"/>
                          <w:sz w:val="18"/>
                          <w:szCs w:val="18"/>
                        </w:rPr>
                        <w:t>之太光設備</w:t>
                      </w:r>
                      <w:proofErr w:type="gramEnd"/>
                      <w:r w:rsidRPr="00E82692">
                        <w:rPr>
                          <w:rFonts w:ascii="標楷體" w:eastAsia="標楷體" w:hAnsi="標楷體" w:cs="新細明體" w:hint="eastAsia"/>
                          <w:color w:val="000000"/>
                          <w:kern w:val="0"/>
                          <w:sz w:val="18"/>
                          <w:szCs w:val="18"/>
                        </w:rPr>
                        <w:t>，於1</w:t>
                      </w:r>
                      <w:r w:rsidRPr="00E82692">
                        <w:rPr>
                          <w:rFonts w:ascii="標楷體" w:eastAsia="標楷體" w:hAnsi="標楷體" w:cs="新細明體"/>
                          <w:color w:val="000000"/>
                          <w:kern w:val="0"/>
                          <w:sz w:val="18"/>
                          <w:szCs w:val="18"/>
                        </w:rPr>
                        <w:t>13</w:t>
                      </w:r>
                      <w:r w:rsidRPr="00E82692">
                        <w:rPr>
                          <w:rFonts w:ascii="標楷體" w:eastAsia="標楷體" w:hAnsi="標楷體" w:cs="新細明體" w:hint="eastAsia"/>
                          <w:color w:val="000000"/>
                          <w:kern w:val="0"/>
                          <w:sz w:val="18"/>
                          <w:szCs w:val="18"/>
                        </w:rPr>
                        <w:t>年2月1日搬遷至信義區清潔隊4號停車場。</w:t>
                      </w:r>
                    </w:p>
                    <w:p w14:paraId="762B364A" w14:textId="77777777" w:rsidR="004551F8" w:rsidRPr="00E82692" w:rsidRDefault="004551F8" w:rsidP="004551F8">
                      <w:pPr>
                        <w:spacing w:line="240" w:lineRule="exact"/>
                        <w:ind w:leftChars="150" w:left="360"/>
                        <w:rPr>
                          <w:rFonts w:ascii="標楷體" w:eastAsia="標楷體" w:hAnsi="標楷體"/>
                          <w:sz w:val="18"/>
                          <w:szCs w:val="18"/>
                        </w:rPr>
                      </w:pPr>
                      <w:r w:rsidRPr="00E82692">
                        <w:rPr>
                          <w:rFonts w:ascii="標楷體" w:eastAsia="標楷體" w:hAnsi="標楷體" w:hint="eastAsia"/>
                          <w:sz w:val="18"/>
                          <w:szCs w:val="18"/>
                        </w:rPr>
                        <w:t>2</w:t>
                      </w:r>
                      <w:r w:rsidRPr="00E82692">
                        <w:rPr>
                          <w:rFonts w:ascii="標楷體" w:eastAsia="標楷體" w:hAnsi="標楷體"/>
                          <w:sz w:val="18"/>
                          <w:szCs w:val="18"/>
                        </w:rPr>
                        <w:t>.</w:t>
                      </w:r>
                      <w:r w:rsidRPr="00E82692">
                        <w:rPr>
                          <w:rFonts w:ascii="標楷體" w:eastAsia="標楷體" w:hAnsi="標楷體" w:hint="eastAsia"/>
                          <w:sz w:val="18"/>
                          <w:szCs w:val="18"/>
                        </w:rPr>
                        <w:t>資料來源：整理自</w:t>
                      </w:r>
                      <w:r>
                        <w:rPr>
                          <w:rFonts w:ascii="標楷體" w:eastAsia="標楷體" w:hAnsi="標楷體" w:hint="eastAsia"/>
                          <w:sz w:val="18"/>
                          <w:szCs w:val="18"/>
                        </w:rPr>
                        <w:t>環境保護</w:t>
                      </w:r>
                      <w:r w:rsidRPr="00E82692">
                        <w:rPr>
                          <w:rFonts w:ascii="標楷體" w:eastAsia="標楷體" w:hAnsi="標楷體" w:hint="eastAsia"/>
                          <w:sz w:val="18"/>
                          <w:szCs w:val="18"/>
                        </w:rPr>
                        <w:t>局提供資料。</w:t>
                      </w:r>
                    </w:p>
                  </w:txbxContent>
                </v:textbox>
                <w10:wrap type="through"/>
              </v:shape>
            </w:pict>
          </mc:Fallback>
        </mc:AlternateContent>
      </w:r>
      <w:r w:rsidRPr="00B474B8">
        <w:rPr>
          <w:rFonts w:ascii="標楷體" w:eastAsia="標楷體" w:hAnsi="標楷體" w:hint="eastAsia"/>
        </w:rPr>
        <w:t>照明、監測系統、電腦、冷氣等設備用電，每月平均發電量已有顯著提升。</w:t>
      </w:r>
    </w:p>
    <w:p w14:paraId="725D8FD4" w14:textId="77777777" w:rsidR="004551F8" w:rsidRPr="00B474B8" w:rsidRDefault="004551F8" w:rsidP="004551F8">
      <w:pPr>
        <w:spacing w:before="120" w:after="120" w:line="440" w:lineRule="exact"/>
        <w:ind w:firstLineChars="100" w:firstLine="280"/>
        <w:jc w:val="both"/>
        <w:rPr>
          <w:rFonts w:ascii="標楷體" w:eastAsia="標楷體" w:hAnsi="標楷體"/>
          <w:b/>
          <w:sz w:val="28"/>
          <w:szCs w:val="28"/>
        </w:rPr>
      </w:pPr>
      <w:r w:rsidRPr="00B474B8">
        <w:rPr>
          <w:rFonts w:ascii="標楷體" w:eastAsia="標楷體" w:hAnsi="標楷體" w:hint="eastAsia"/>
          <w:b/>
          <w:sz w:val="28"/>
          <w:szCs w:val="28"/>
        </w:rPr>
        <w:t>（五）持續推動垃圾</w:t>
      </w:r>
      <w:proofErr w:type="gramStart"/>
      <w:r w:rsidRPr="00B474B8">
        <w:rPr>
          <w:rFonts w:ascii="標楷體" w:eastAsia="標楷體" w:hAnsi="標楷體" w:hint="eastAsia"/>
          <w:b/>
          <w:sz w:val="28"/>
          <w:szCs w:val="28"/>
        </w:rPr>
        <w:t>焚化廠飛灰</w:t>
      </w:r>
      <w:proofErr w:type="gramEnd"/>
      <w:r w:rsidRPr="00B474B8">
        <w:rPr>
          <w:rFonts w:ascii="標楷體" w:eastAsia="標楷體" w:hAnsi="標楷體" w:hint="eastAsia"/>
          <w:b/>
          <w:sz w:val="28"/>
          <w:szCs w:val="28"/>
        </w:rPr>
        <w:t>水洗再利用計畫，</w:t>
      </w:r>
      <w:proofErr w:type="gramStart"/>
      <w:r w:rsidRPr="00B474B8">
        <w:rPr>
          <w:rFonts w:ascii="標楷體" w:eastAsia="標楷體" w:hAnsi="標楷體" w:hint="eastAsia"/>
          <w:b/>
          <w:sz w:val="28"/>
          <w:szCs w:val="28"/>
        </w:rPr>
        <w:t>惟再利用率</w:t>
      </w:r>
      <w:proofErr w:type="gramEnd"/>
      <w:r w:rsidRPr="00B474B8">
        <w:rPr>
          <w:rFonts w:ascii="標楷體" w:eastAsia="標楷體" w:hAnsi="標楷體" w:hint="eastAsia"/>
          <w:b/>
          <w:sz w:val="28"/>
          <w:szCs w:val="28"/>
        </w:rPr>
        <w:t>未及</w:t>
      </w:r>
      <w:proofErr w:type="gramStart"/>
      <w:r w:rsidRPr="00B474B8">
        <w:rPr>
          <w:rFonts w:ascii="標楷體" w:eastAsia="標楷體" w:hAnsi="標楷體" w:hint="eastAsia"/>
          <w:b/>
          <w:sz w:val="28"/>
          <w:szCs w:val="28"/>
        </w:rPr>
        <w:t>6成</w:t>
      </w:r>
      <w:proofErr w:type="gramEnd"/>
      <w:r w:rsidRPr="00B474B8">
        <w:rPr>
          <w:rFonts w:ascii="標楷體" w:eastAsia="標楷體" w:hAnsi="標楷體" w:hint="eastAsia"/>
          <w:b/>
          <w:sz w:val="28"/>
          <w:szCs w:val="28"/>
        </w:rPr>
        <w:t>，允宜</w:t>
      </w:r>
      <w:proofErr w:type="gramStart"/>
      <w:r w:rsidRPr="00B474B8">
        <w:rPr>
          <w:rFonts w:ascii="標楷體" w:eastAsia="標楷體" w:hAnsi="標楷體" w:hint="eastAsia"/>
          <w:b/>
          <w:sz w:val="28"/>
          <w:szCs w:val="28"/>
        </w:rPr>
        <w:t>研</w:t>
      </w:r>
      <w:proofErr w:type="gramEnd"/>
      <w:r w:rsidRPr="00B474B8">
        <w:rPr>
          <w:rFonts w:ascii="標楷體" w:eastAsia="標楷體" w:hAnsi="標楷體" w:hint="eastAsia"/>
          <w:b/>
          <w:sz w:val="28"/>
          <w:szCs w:val="28"/>
        </w:rPr>
        <w:t>謀拓展多元飛灰水洗再利用管道，</w:t>
      </w:r>
      <w:proofErr w:type="gramStart"/>
      <w:r w:rsidRPr="00B474B8">
        <w:rPr>
          <w:rFonts w:ascii="標楷體" w:eastAsia="標楷體" w:hAnsi="標楷體" w:hint="eastAsia"/>
          <w:b/>
          <w:sz w:val="28"/>
          <w:szCs w:val="28"/>
        </w:rPr>
        <w:t>俾</w:t>
      </w:r>
      <w:proofErr w:type="gramEnd"/>
      <w:r w:rsidRPr="00B474B8">
        <w:rPr>
          <w:rFonts w:ascii="標楷體" w:eastAsia="標楷體" w:hAnsi="標楷體" w:hint="eastAsia"/>
          <w:b/>
          <w:sz w:val="28"/>
          <w:szCs w:val="28"/>
        </w:rPr>
        <w:t>轉換為可再生利用資源，以達資源全循環零廢棄目標。</w:t>
      </w:r>
    </w:p>
    <w:p w14:paraId="3CB3835B" w14:textId="77777777" w:rsidR="00AE147C" w:rsidRDefault="004551F8" w:rsidP="004551F8">
      <w:pPr>
        <w:spacing w:before="120" w:line="440" w:lineRule="exact"/>
        <w:ind w:firstLineChars="200" w:firstLine="480"/>
        <w:jc w:val="both"/>
        <w:rPr>
          <w:rFonts w:ascii="標楷體" w:eastAsia="標楷體" w:hAnsi="標楷體"/>
        </w:rPr>
      </w:pPr>
      <w:r w:rsidRPr="00B474B8">
        <w:rPr>
          <w:rFonts w:ascii="標楷體" w:eastAsia="標楷體" w:hAnsi="標楷體"/>
          <w:b/>
          <w:noProof/>
        </w:rPr>
        <mc:AlternateContent>
          <mc:Choice Requires="wps">
            <w:drawing>
              <wp:anchor distT="0" distB="0" distL="114300" distR="114300" simplePos="0" relativeHeight="251668480" behindDoc="0" locked="0" layoutInCell="1" allowOverlap="1" wp14:anchorId="556A53CF" wp14:editId="6B1E0AD5">
                <wp:simplePos x="0" y="0"/>
                <wp:positionH relativeFrom="column">
                  <wp:posOffset>-48895</wp:posOffset>
                </wp:positionH>
                <wp:positionV relativeFrom="paragraph">
                  <wp:posOffset>2074545</wp:posOffset>
                </wp:positionV>
                <wp:extent cx="6381750" cy="2762250"/>
                <wp:effectExtent l="0" t="0" r="0" b="0"/>
                <wp:wrapTopAndBottom/>
                <wp:docPr id="4" name="文字方塊 4"/>
                <wp:cNvGraphicFramePr/>
                <a:graphic xmlns:a="http://schemas.openxmlformats.org/drawingml/2006/main">
                  <a:graphicData uri="http://schemas.microsoft.com/office/word/2010/wordprocessingShape">
                    <wps:wsp>
                      <wps:cNvSpPr txBox="1"/>
                      <wps:spPr>
                        <a:xfrm>
                          <a:off x="0" y="0"/>
                          <a:ext cx="6381750" cy="2762250"/>
                        </a:xfrm>
                        <a:prstGeom prst="rect">
                          <a:avLst/>
                        </a:prstGeom>
                        <a:solidFill>
                          <a:sysClr val="window" lastClr="FFFFFF"/>
                        </a:solidFill>
                        <a:ln w="6350">
                          <a:noFill/>
                        </a:ln>
                      </wps:spPr>
                      <wps:txbx>
                        <w:txbxContent>
                          <w:p w14:paraId="00534FBE" w14:textId="77777777" w:rsidR="004551F8" w:rsidRPr="00136999" w:rsidRDefault="004551F8" w:rsidP="004551F8">
                            <w:pPr>
                              <w:jc w:val="center"/>
                              <w:rPr>
                                <w:rFonts w:ascii="標楷體" w:eastAsia="標楷體" w:hAnsi="標楷體"/>
                                <w:b/>
                              </w:rPr>
                            </w:pPr>
                            <w:r>
                              <w:rPr>
                                <w:rFonts w:ascii="標楷體" w:eastAsia="標楷體" w:hAnsi="標楷體" w:hint="eastAsia"/>
                                <w:b/>
                              </w:rPr>
                              <w:t>表</w:t>
                            </w:r>
                            <w:r>
                              <w:rPr>
                                <w:rFonts w:ascii="標楷體" w:eastAsia="標楷體" w:hAnsi="標楷體"/>
                                <w:b/>
                              </w:rPr>
                              <w:t>2</w:t>
                            </w:r>
                            <w:r>
                              <w:rPr>
                                <w:rFonts w:ascii="標楷體" w:eastAsia="標楷體" w:hAnsi="標楷體" w:hint="eastAsia"/>
                                <w:b/>
                              </w:rPr>
                              <w:t xml:space="preserve">　</w:t>
                            </w:r>
                            <w:r w:rsidRPr="00136999">
                              <w:rPr>
                                <w:rFonts w:ascii="標楷體" w:eastAsia="標楷體" w:hAnsi="標楷體" w:hint="eastAsia"/>
                                <w:b/>
                              </w:rPr>
                              <w:t>北投垃圾</w:t>
                            </w:r>
                            <w:proofErr w:type="gramStart"/>
                            <w:r w:rsidRPr="00136999">
                              <w:rPr>
                                <w:rFonts w:ascii="標楷體" w:eastAsia="標楷體" w:hAnsi="標楷體" w:hint="eastAsia"/>
                                <w:b/>
                              </w:rPr>
                              <w:t>焚化廠飛灰</w:t>
                            </w:r>
                            <w:proofErr w:type="gramEnd"/>
                            <w:r>
                              <w:rPr>
                                <w:rFonts w:ascii="標楷體" w:eastAsia="標楷體" w:hAnsi="標楷體" w:hint="eastAsia"/>
                                <w:b/>
                              </w:rPr>
                              <w:t>處理及再利用情形</w:t>
                            </w:r>
                          </w:p>
                          <w:p w14:paraId="1726D46A" w14:textId="77777777" w:rsidR="004551F8" w:rsidRPr="00136999" w:rsidRDefault="004551F8" w:rsidP="004551F8">
                            <w:pPr>
                              <w:jc w:val="right"/>
                              <w:rPr>
                                <w:rFonts w:ascii="標楷體" w:eastAsia="標楷體" w:hAnsi="標楷體"/>
                                <w:sz w:val="20"/>
                              </w:rPr>
                            </w:pPr>
                            <w:r w:rsidRPr="00136999">
                              <w:rPr>
                                <w:rFonts w:ascii="標楷體" w:eastAsia="標楷體" w:hAnsi="標楷體" w:hint="eastAsia"/>
                                <w:sz w:val="20"/>
                              </w:rPr>
                              <w:t>單位：</w:t>
                            </w:r>
                            <w:r>
                              <w:rPr>
                                <w:rFonts w:ascii="標楷體" w:eastAsia="標楷體" w:hAnsi="標楷體" w:hint="eastAsia"/>
                                <w:sz w:val="20"/>
                              </w:rPr>
                              <w:t>公噸、％</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668"/>
                              <w:gridCol w:w="1079"/>
                              <w:gridCol w:w="1464"/>
                              <w:gridCol w:w="1296"/>
                              <w:gridCol w:w="1825"/>
                              <w:gridCol w:w="1534"/>
                              <w:gridCol w:w="1891"/>
                            </w:tblGrid>
                            <w:tr w:rsidR="004551F8" w:rsidRPr="00743750" w14:paraId="518429F1" w14:textId="77777777" w:rsidTr="00824CD6">
                              <w:trPr>
                                <w:trHeight w:val="378"/>
                              </w:trPr>
                              <w:tc>
                                <w:tcPr>
                                  <w:tcW w:w="342"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47AF9650" w14:textId="77777777" w:rsidR="004551F8" w:rsidRDefault="004551F8" w:rsidP="00824CD6">
                                  <w:pPr>
                                    <w:widowControl/>
                                    <w:jc w:val="right"/>
                                    <w:rPr>
                                      <w:rFonts w:ascii="標楷體" w:eastAsia="標楷體" w:hAnsi="標楷體" w:cs="新細明體"/>
                                      <w:color w:val="000000"/>
                                      <w:kern w:val="0"/>
                                      <w:sz w:val="20"/>
                                      <w:szCs w:val="20"/>
                                    </w:rPr>
                                  </w:pPr>
                                  <w:r w:rsidRPr="00743750">
                                    <w:rPr>
                                      <w:rFonts w:ascii="標楷體" w:eastAsia="標楷體" w:hAnsi="標楷體" w:cs="新細明體" w:hint="eastAsia"/>
                                      <w:color w:val="000000"/>
                                      <w:kern w:val="0"/>
                                      <w:sz w:val="20"/>
                                      <w:szCs w:val="20"/>
                                    </w:rPr>
                                    <w:t>項目</w:t>
                                  </w:r>
                                </w:p>
                                <w:p w14:paraId="36265EED" w14:textId="77777777" w:rsidR="004551F8" w:rsidRDefault="004551F8" w:rsidP="00824CD6">
                                  <w:pPr>
                                    <w:widowControl/>
                                    <w:rPr>
                                      <w:rFonts w:ascii="標楷體" w:eastAsia="標楷體" w:hAnsi="標楷體" w:cs="新細明體"/>
                                      <w:color w:val="000000"/>
                                      <w:kern w:val="0"/>
                                      <w:sz w:val="20"/>
                                      <w:szCs w:val="20"/>
                                    </w:rPr>
                                  </w:pPr>
                                </w:p>
                                <w:p w14:paraId="79146A4F" w14:textId="77777777" w:rsidR="004551F8" w:rsidRPr="00743750" w:rsidRDefault="004551F8" w:rsidP="00824CD6">
                                  <w:pPr>
                                    <w:widowControl/>
                                    <w:rPr>
                                      <w:rFonts w:ascii="標楷體" w:eastAsia="標楷體" w:hAnsi="標楷體" w:cs="新細明體"/>
                                      <w:color w:val="000000"/>
                                      <w:kern w:val="0"/>
                                      <w:sz w:val="20"/>
                                      <w:szCs w:val="20"/>
                                    </w:rPr>
                                  </w:pPr>
                                  <w:r w:rsidRPr="00743750">
                                    <w:rPr>
                                      <w:rFonts w:ascii="標楷體" w:eastAsia="標楷體" w:hAnsi="標楷體" w:cs="新細明體" w:hint="eastAsia"/>
                                      <w:color w:val="000000"/>
                                      <w:kern w:val="0"/>
                                      <w:sz w:val="20"/>
                                      <w:szCs w:val="20"/>
                                    </w:rPr>
                                    <w:t>年度</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F3F4C17" w14:textId="77777777" w:rsidR="004551F8" w:rsidRPr="00743750" w:rsidRDefault="004551F8" w:rsidP="00824CD6">
                                  <w:pPr>
                                    <w:widowControl/>
                                    <w:jc w:val="center"/>
                                    <w:rPr>
                                      <w:rFonts w:ascii="標楷體" w:eastAsia="標楷體" w:hAnsi="標楷體" w:cs="新細明體"/>
                                      <w:color w:val="000000"/>
                                      <w:kern w:val="0"/>
                                      <w:sz w:val="20"/>
                                      <w:szCs w:val="20"/>
                                    </w:rPr>
                                  </w:pPr>
                                  <w:r w:rsidRPr="00EC4211">
                                    <w:rPr>
                                      <w:rFonts w:ascii="標楷體" w:eastAsia="標楷體" w:hAnsi="標楷體" w:cs="新細明體" w:hint="eastAsia"/>
                                      <w:color w:val="000000"/>
                                      <w:kern w:val="0"/>
                                      <w:sz w:val="20"/>
                                      <w:szCs w:val="20"/>
                                    </w:rPr>
                                    <w:t>飛灰產生量</w:t>
                                  </w:r>
                                </w:p>
                              </w:tc>
                              <w:tc>
                                <w:tcPr>
                                  <w:tcW w:w="4104"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A56DDB4" w14:textId="77777777" w:rsidR="004551F8" w:rsidRPr="00743750" w:rsidRDefault="004551F8" w:rsidP="00824CD6">
                                  <w:pPr>
                                    <w:widowControl/>
                                    <w:jc w:val="center"/>
                                    <w:rPr>
                                      <w:rFonts w:ascii="標楷體" w:eastAsia="標楷體" w:hAnsi="標楷體" w:cs="新細明體"/>
                                      <w:color w:val="000000"/>
                                      <w:spacing w:val="-10"/>
                                      <w:kern w:val="0"/>
                                      <w:sz w:val="20"/>
                                      <w:szCs w:val="20"/>
                                    </w:rPr>
                                  </w:pPr>
                                  <w:r>
                                    <w:rPr>
                                      <w:rFonts w:ascii="標楷體" w:eastAsia="標楷體" w:hAnsi="標楷體" w:cs="新細明體" w:hint="eastAsia"/>
                                      <w:color w:val="000000"/>
                                      <w:kern w:val="0"/>
                                      <w:sz w:val="20"/>
                                      <w:szCs w:val="20"/>
                                    </w:rPr>
                                    <w:t>飛灰穩定化物產生量</w:t>
                                  </w:r>
                                </w:p>
                              </w:tc>
                            </w:tr>
                            <w:tr w:rsidR="004551F8" w:rsidRPr="00743750" w14:paraId="0731502D" w14:textId="77777777" w:rsidTr="00824CD6">
                              <w:trPr>
                                <w:trHeight w:val="272"/>
                              </w:trPr>
                              <w:tc>
                                <w:tcPr>
                                  <w:tcW w:w="342"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5649DD70" w14:textId="77777777" w:rsidR="004551F8" w:rsidRPr="00743750" w:rsidRDefault="004551F8" w:rsidP="00824CD6">
                                  <w:pPr>
                                    <w:widowControl/>
                                    <w:jc w:val="right"/>
                                    <w:rPr>
                                      <w:rFonts w:ascii="標楷體" w:eastAsia="標楷體" w:hAnsi="標楷體" w:cs="新細明體"/>
                                      <w:color w:val="000000"/>
                                      <w:kern w:val="0"/>
                                      <w:sz w:val="20"/>
                                      <w:szCs w:val="20"/>
                                    </w:rPr>
                                  </w:pPr>
                                </w:p>
                              </w:tc>
                              <w:tc>
                                <w:tcPr>
                                  <w:tcW w:w="55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AC0F830" w14:textId="77777777" w:rsidR="004551F8" w:rsidRPr="00EC4211" w:rsidRDefault="004551F8" w:rsidP="00824CD6">
                                  <w:pPr>
                                    <w:widowControl/>
                                    <w:jc w:val="center"/>
                                    <w:rPr>
                                      <w:rFonts w:ascii="標楷體" w:eastAsia="標楷體" w:hAnsi="標楷體" w:cs="新細明體"/>
                                      <w:color w:val="000000"/>
                                      <w:kern w:val="0"/>
                                      <w:sz w:val="20"/>
                                      <w:szCs w:val="20"/>
                                    </w:rPr>
                                  </w:pPr>
                                </w:p>
                              </w:tc>
                              <w:tc>
                                <w:tcPr>
                                  <w:tcW w:w="75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FE35DD" w14:textId="77777777" w:rsidR="004551F8" w:rsidRDefault="004551F8" w:rsidP="00824CD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總量</w:t>
                                  </w:r>
                                </w:p>
                                <w:p w14:paraId="3E650C64" w14:textId="0C48257F" w:rsidR="004551F8" w:rsidRPr="005F4A66" w:rsidRDefault="004551F8" w:rsidP="00824CD6">
                                  <w:pPr>
                                    <w:widowControl/>
                                    <w:jc w:val="center"/>
                                    <w:rPr>
                                      <w:rFonts w:ascii="標楷體" w:eastAsia="標楷體" w:hAnsi="標楷體" w:cs="新細明體"/>
                                      <w:color w:val="000000"/>
                                      <w:spacing w:val="4"/>
                                      <w:kern w:val="0"/>
                                      <w:sz w:val="20"/>
                                      <w:szCs w:val="20"/>
                                    </w:rPr>
                                  </w:pPr>
                                  <w:r w:rsidRPr="005F4A66">
                                    <w:rPr>
                                      <w:rFonts w:ascii="標楷體" w:eastAsia="標楷體" w:hAnsi="標楷體" w:cs="新細明體" w:hint="eastAsia"/>
                                      <w:color w:val="000000"/>
                                      <w:spacing w:val="4"/>
                                      <w:kern w:val="0"/>
                                      <w:sz w:val="20"/>
                                      <w:szCs w:val="20"/>
                                    </w:rPr>
                                    <w:t>（</w:t>
                                  </w:r>
                                  <w:r w:rsidRPr="005F4A66">
                                    <w:rPr>
                                      <w:rFonts w:ascii="標楷體" w:eastAsia="標楷體" w:hAnsi="標楷體" w:cs="新細明體"/>
                                      <w:color w:val="000000"/>
                                      <w:spacing w:val="4"/>
                                      <w:kern w:val="0"/>
                                      <w:sz w:val="20"/>
                                      <w:szCs w:val="20"/>
                                    </w:rPr>
                                    <w:t>A=B+C）</w:t>
                                  </w:r>
                                </w:p>
                              </w:tc>
                              <w:tc>
                                <w:tcPr>
                                  <w:tcW w:w="159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993F81" w14:textId="77777777" w:rsidR="004551F8" w:rsidRPr="00743750" w:rsidRDefault="004551F8" w:rsidP="00824CD6">
                                  <w:pPr>
                                    <w:widowControl/>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混練穩定化</w:t>
                                  </w:r>
                                  <w:proofErr w:type="gramEnd"/>
                                  <w:r>
                                    <w:rPr>
                                      <w:rFonts w:ascii="標楷體" w:eastAsia="標楷體" w:hAnsi="標楷體" w:cs="新細明體" w:hint="eastAsia"/>
                                      <w:color w:val="000000"/>
                                      <w:kern w:val="0"/>
                                      <w:sz w:val="20"/>
                                      <w:szCs w:val="20"/>
                                    </w:rPr>
                                    <w:t>物</w:t>
                                  </w:r>
                                </w:p>
                              </w:tc>
                              <w:tc>
                                <w:tcPr>
                                  <w:tcW w:w="175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261646" w14:textId="77777777" w:rsidR="004551F8" w:rsidRPr="0003194C" w:rsidRDefault="004551F8" w:rsidP="00824CD6">
                                  <w:pPr>
                                    <w:widowControl/>
                                    <w:jc w:val="center"/>
                                    <w:rPr>
                                      <w:rFonts w:ascii="標楷體" w:eastAsia="標楷體" w:hAnsi="標楷體" w:cs="新細明體"/>
                                      <w:color w:val="000000"/>
                                      <w:kern w:val="0"/>
                                      <w:sz w:val="20"/>
                                      <w:szCs w:val="20"/>
                                    </w:rPr>
                                  </w:pPr>
                                  <w:r w:rsidRPr="0003194C">
                                    <w:rPr>
                                      <w:rFonts w:ascii="標楷體" w:eastAsia="標楷體" w:hAnsi="標楷體" w:cs="新細明體" w:hint="eastAsia"/>
                                      <w:color w:val="000000"/>
                                      <w:kern w:val="0"/>
                                      <w:sz w:val="20"/>
                                      <w:szCs w:val="20"/>
                                    </w:rPr>
                                    <w:t>水洗穩定化物</w:t>
                                  </w:r>
                                </w:p>
                              </w:tc>
                            </w:tr>
                            <w:tr w:rsidR="004551F8" w:rsidRPr="00743750" w14:paraId="31706EEC" w14:textId="77777777" w:rsidTr="00824CD6">
                              <w:trPr>
                                <w:trHeight w:val="136"/>
                              </w:trPr>
                              <w:tc>
                                <w:tcPr>
                                  <w:tcW w:w="342"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09DD9289" w14:textId="77777777" w:rsidR="004551F8" w:rsidRPr="00743750" w:rsidRDefault="004551F8" w:rsidP="00824CD6">
                                  <w:pPr>
                                    <w:widowControl/>
                                    <w:jc w:val="right"/>
                                    <w:rPr>
                                      <w:rFonts w:ascii="標楷體" w:eastAsia="標楷體" w:hAnsi="標楷體" w:cs="新細明體"/>
                                      <w:color w:val="000000"/>
                                      <w:kern w:val="0"/>
                                      <w:sz w:val="20"/>
                                      <w:szCs w:val="20"/>
                                    </w:rPr>
                                  </w:pPr>
                                </w:p>
                              </w:tc>
                              <w:tc>
                                <w:tcPr>
                                  <w:tcW w:w="55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44B507D" w14:textId="77777777" w:rsidR="004551F8" w:rsidRPr="00EC4211" w:rsidRDefault="004551F8" w:rsidP="00824CD6">
                                  <w:pPr>
                                    <w:widowControl/>
                                    <w:jc w:val="center"/>
                                    <w:rPr>
                                      <w:rFonts w:ascii="標楷體" w:eastAsia="標楷體" w:hAnsi="標楷體" w:cs="新細明體"/>
                                      <w:color w:val="000000"/>
                                      <w:kern w:val="0"/>
                                      <w:sz w:val="20"/>
                                      <w:szCs w:val="20"/>
                                    </w:rPr>
                                  </w:pPr>
                                </w:p>
                              </w:tc>
                              <w:tc>
                                <w:tcPr>
                                  <w:tcW w:w="75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85B8029" w14:textId="77777777" w:rsidR="004551F8" w:rsidRDefault="004551F8" w:rsidP="00824CD6">
                                  <w:pPr>
                                    <w:widowControl/>
                                    <w:jc w:val="center"/>
                                    <w:rPr>
                                      <w:rFonts w:ascii="標楷體" w:eastAsia="標楷體" w:hAnsi="標楷體" w:cs="新細明體"/>
                                      <w:color w:val="000000"/>
                                      <w:kern w:val="0"/>
                                      <w:sz w:val="20"/>
                                      <w:szCs w:val="20"/>
                                    </w:rPr>
                                  </w:pP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5079F0" w14:textId="77777777" w:rsidR="004551F8" w:rsidRDefault="004551F8" w:rsidP="00824CD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暫存量（</w:t>
                                  </w:r>
                                  <w:r>
                                    <w:rPr>
                                      <w:rFonts w:ascii="標楷體" w:eastAsia="標楷體" w:hAnsi="標楷體" w:cs="新細明體"/>
                                      <w:color w:val="000000"/>
                                      <w:kern w:val="0"/>
                                      <w:sz w:val="20"/>
                                      <w:szCs w:val="20"/>
                                    </w:rPr>
                                    <w:t>B）</w:t>
                                  </w:r>
                                </w:p>
                              </w:tc>
                              <w:tc>
                                <w:tcPr>
                                  <w:tcW w:w="935" w:type="pct"/>
                                  <w:tcBorders>
                                    <w:top w:val="single" w:sz="4" w:space="0" w:color="auto"/>
                                    <w:left w:val="single" w:sz="4" w:space="0" w:color="auto"/>
                                    <w:bottom w:val="single" w:sz="4" w:space="0" w:color="auto"/>
                                    <w:right w:val="single" w:sz="4" w:space="0" w:color="auto"/>
                                  </w:tcBorders>
                                  <w:shd w:val="clear" w:color="auto" w:fill="auto"/>
                                  <w:vAlign w:val="center"/>
                                </w:tcPr>
                                <w:p w14:paraId="7F62CC3E" w14:textId="77777777" w:rsidR="004551F8" w:rsidRDefault="004551F8" w:rsidP="00824CD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暫存率</w:t>
                                  </w:r>
                                </w:p>
                                <w:p w14:paraId="0C42617C" w14:textId="430E23B6" w:rsidR="004551F8" w:rsidRPr="005F4A66" w:rsidRDefault="004551F8" w:rsidP="00824CD6">
                                  <w:pPr>
                                    <w:widowControl/>
                                    <w:jc w:val="center"/>
                                    <w:rPr>
                                      <w:rFonts w:ascii="標楷體" w:eastAsia="標楷體" w:hAnsi="標楷體" w:cs="新細明體"/>
                                      <w:color w:val="000000"/>
                                      <w:spacing w:val="2"/>
                                      <w:kern w:val="0"/>
                                      <w:sz w:val="20"/>
                                      <w:szCs w:val="20"/>
                                    </w:rPr>
                                  </w:pPr>
                                  <w:r w:rsidRPr="005F4A66">
                                    <w:rPr>
                                      <w:rFonts w:ascii="標楷體" w:eastAsia="標楷體" w:hAnsi="標楷體" w:cs="新細明體" w:hint="eastAsia"/>
                                      <w:color w:val="000000"/>
                                      <w:spacing w:val="2"/>
                                      <w:kern w:val="0"/>
                                      <w:sz w:val="20"/>
                                      <w:szCs w:val="20"/>
                                    </w:rPr>
                                    <w:t>（</w:t>
                                  </w:r>
                                  <w:r w:rsidRPr="005F4A66">
                                    <w:rPr>
                                      <w:rFonts w:ascii="標楷體" w:eastAsia="標楷體" w:hAnsi="標楷體" w:cs="新細明體"/>
                                      <w:color w:val="000000"/>
                                      <w:spacing w:val="2"/>
                                      <w:kern w:val="0"/>
                                      <w:sz w:val="20"/>
                                      <w:szCs w:val="20"/>
                                    </w:rPr>
                                    <w:t>D=B/A×100</w:t>
                                  </w:r>
                                  <w:r w:rsidR="005F4A66" w:rsidRPr="005F4A66">
                                    <w:rPr>
                                      <w:rFonts w:ascii="標楷體" w:eastAsia="標楷體" w:hAnsi="標楷體" w:cs="新細明體"/>
                                      <w:color w:val="000000"/>
                                      <w:spacing w:val="2"/>
                                      <w:kern w:val="0"/>
                                      <w:sz w:val="20"/>
                                      <w:szCs w:val="20"/>
                                    </w:rPr>
                                    <w:t>）</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69A2885E" w14:textId="77777777" w:rsidR="004551F8" w:rsidRPr="004B6C33" w:rsidRDefault="004551F8" w:rsidP="00824CD6">
                                  <w:pPr>
                                    <w:widowControl/>
                                    <w:jc w:val="center"/>
                                    <w:rPr>
                                      <w:rFonts w:ascii="標楷體" w:eastAsia="標楷體" w:hAnsi="標楷體" w:cs="新細明體"/>
                                      <w:color w:val="000000"/>
                                      <w:kern w:val="0"/>
                                      <w:sz w:val="20"/>
                                      <w:szCs w:val="20"/>
                                    </w:rPr>
                                  </w:pPr>
                                  <w:r w:rsidRPr="004B6C33">
                                    <w:rPr>
                                      <w:rFonts w:ascii="標楷體" w:eastAsia="標楷體" w:hAnsi="標楷體" w:cs="新細明體" w:hint="eastAsia"/>
                                      <w:color w:val="000000"/>
                                      <w:kern w:val="0"/>
                                      <w:sz w:val="20"/>
                                      <w:szCs w:val="20"/>
                                    </w:rPr>
                                    <w:t>再利用量（</w:t>
                                  </w:r>
                                  <w:r w:rsidRPr="004B6C33">
                                    <w:rPr>
                                      <w:rFonts w:ascii="標楷體" w:eastAsia="標楷體" w:hAnsi="標楷體" w:cs="新細明體"/>
                                      <w:color w:val="000000"/>
                                      <w:kern w:val="0"/>
                                      <w:sz w:val="20"/>
                                      <w:szCs w:val="20"/>
                                    </w:rPr>
                                    <w:t>C）</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B567271" w14:textId="77777777" w:rsidR="004551F8" w:rsidRDefault="004551F8" w:rsidP="00824CD6">
                                  <w:pPr>
                                    <w:widowControl/>
                                    <w:jc w:val="center"/>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再利用率</w:t>
                                  </w:r>
                                </w:p>
                                <w:p w14:paraId="5E7108EE" w14:textId="73CFDBEA" w:rsidR="004551F8" w:rsidRPr="005F4A66" w:rsidRDefault="004551F8" w:rsidP="00824CD6">
                                  <w:pPr>
                                    <w:widowControl/>
                                    <w:jc w:val="center"/>
                                    <w:rPr>
                                      <w:rFonts w:ascii="標楷體" w:eastAsia="標楷體" w:hAnsi="標楷體" w:cs="新細明體"/>
                                      <w:color w:val="000000"/>
                                      <w:spacing w:val="2"/>
                                      <w:kern w:val="0"/>
                                      <w:sz w:val="20"/>
                                      <w:szCs w:val="20"/>
                                    </w:rPr>
                                  </w:pPr>
                                  <w:r w:rsidRPr="005F4A66">
                                    <w:rPr>
                                      <w:rFonts w:ascii="標楷體" w:eastAsia="標楷體" w:hAnsi="標楷體" w:cs="新細明體" w:hint="eastAsia"/>
                                      <w:color w:val="000000"/>
                                      <w:spacing w:val="2"/>
                                      <w:kern w:val="0"/>
                                      <w:sz w:val="20"/>
                                      <w:szCs w:val="20"/>
                                    </w:rPr>
                                    <w:t>（</w:t>
                                  </w:r>
                                  <w:r w:rsidRPr="005F4A66">
                                    <w:rPr>
                                      <w:rFonts w:ascii="標楷體" w:eastAsia="標楷體" w:hAnsi="標楷體" w:cs="新細明體"/>
                                      <w:color w:val="000000"/>
                                      <w:spacing w:val="2"/>
                                      <w:kern w:val="0"/>
                                      <w:sz w:val="20"/>
                                      <w:szCs w:val="20"/>
                                    </w:rPr>
                                    <w:t>E=C/A×100</w:t>
                                  </w:r>
                                  <w:r w:rsidR="005F4A66" w:rsidRPr="005F4A66">
                                    <w:rPr>
                                      <w:rFonts w:ascii="標楷體" w:eastAsia="標楷體" w:hAnsi="標楷體" w:cs="新細明體"/>
                                      <w:color w:val="000000"/>
                                      <w:spacing w:val="2"/>
                                      <w:kern w:val="0"/>
                                      <w:sz w:val="20"/>
                                      <w:szCs w:val="20"/>
                                    </w:rPr>
                                    <w:t>）</w:t>
                                  </w:r>
                                </w:p>
                              </w:tc>
                            </w:tr>
                            <w:tr w:rsidR="004551F8" w:rsidRPr="00743750" w14:paraId="3630E42E" w14:textId="77777777" w:rsidTr="00824CD6">
                              <w:trPr>
                                <w:trHeight w:val="217"/>
                              </w:trPr>
                              <w:tc>
                                <w:tcPr>
                                  <w:tcW w:w="3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5C331E" w14:textId="77777777" w:rsidR="004551F8" w:rsidRPr="00743750" w:rsidRDefault="004551F8" w:rsidP="00824CD6">
                                  <w:pPr>
                                    <w:widowControl/>
                                    <w:spacing w:line="320" w:lineRule="exact"/>
                                    <w:jc w:val="center"/>
                                    <w:rPr>
                                      <w:rFonts w:ascii="標楷體" w:eastAsia="標楷體" w:hAnsi="標楷體" w:cs="新細明體"/>
                                      <w:color w:val="000000"/>
                                      <w:kern w:val="0"/>
                                      <w:sz w:val="20"/>
                                      <w:szCs w:val="20"/>
                                    </w:rPr>
                                  </w:pPr>
                                  <w:r w:rsidRPr="00743750">
                                    <w:rPr>
                                      <w:rFonts w:ascii="標楷體" w:eastAsia="標楷體" w:hAnsi="標楷體" w:cs="新細明體" w:hint="eastAsia"/>
                                      <w:color w:val="000000"/>
                                      <w:kern w:val="0"/>
                                      <w:sz w:val="20"/>
                                      <w:szCs w:val="20"/>
                                    </w:rPr>
                                    <w:t>111</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14:paraId="0921E882" w14:textId="77777777" w:rsidR="004551F8" w:rsidRPr="00743750" w:rsidRDefault="004551F8" w:rsidP="00824CD6">
                                  <w:pPr>
                                    <w:widowControl/>
                                    <w:spacing w:line="320" w:lineRule="exact"/>
                                    <w:jc w:val="right"/>
                                    <w:rPr>
                                      <w:rFonts w:ascii="標楷體" w:eastAsia="標楷體" w:hAnsi="標楷體" w:cs="新細明體"/>
                                      <w:color w:val="000000"/>
                                      <w:kern w:val="0"/>
                                      <w:sz w:val="20"/>
                                      <w:szCs w:val="20"/>
                                    </w:rPr>
                                  </w:pPr>
                                  <w:r w:rsidRPr="00613A85">
                                    <w:rPr>
                                      <w:rFonts w:ascii="標楷體" w:eastAsia="標楷體" w:hAnsi="標楷體" w:cs="新細明體" w:hint="eastAsia"/>
                                      <w:color w:val="000000"/>
                                      <w:kern w:val="0"/>
                                      <w:sz w:val="20"/>
                                      <w:szCs w:val="20"/>
                                    </w:rPr>
                                    <w:t>1</w:t>
                                  </w:r>
                                  <w:r w:rsidRPr="00613A85">
                                    <w:rPr>
                                      <w:rFonts w:ascii="標楷體" w:eastAsia="標楷體" w:hAnsi="標楷體" w:cs="新細明體"/>
                                      <w:color w:val="000000"/>
                                      <w:kern w:val="0"/>
                                      <w:sz w:val="20"/>
                                      <w:szCs w:val="20"/>
                                    </w:rPr>
                                    <w:t>0</w:t>
                                  </w:r>
                                  <w:r w:rsidRPr="00613A85">
                                    <w:rPr>
                                      <w:rFonts w:ascii="標楷體" w:eastAsia="標楷體" w:hAnsi="標楷體" w:cs="新細明體" w:hint="eastAsia"/>
                                      <w:color w:val="000000"/>
                                      <w:kern w:val="0"/>
                                      <w:sz w:val="20"/>
                                      <w:szCs w:val="20"/>
                                    </w:rPr>
                                    <w:t>,7</w:t>
                                  </w:r>
                                  <w:r w:rsidRPr="00613A85">
                                    <w:rPr>
                                      <w:rFonts w:ascii="標楷體" w:eastAsia="標楷體" w:hAnsi="標楷體" w:cs="新細明體"/>
                                      <w:color w:val="000000"/>
                                      <w:kern w:val="0"/>
                                      <w:sz w:val="20"/>
                                      <w:szCs w:val="20"/>
                                    </w:rPr>
                                    <w:t>87.17</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74E17833"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1</w:t>
                                  </w:r>
                                  <w:r>
                                    <w:rPr>
                                      <w:rFonts w:ascii="標楷體" w:eastAsia="標楷體" w:hAnsi="標楷體" w:cs="新細明體"/>
                                      <w:color w:val="000000"/>
                                      <w:spacing w:val="-10"/>
                                      <w:kern w:val="0"/>
                                      <w:sz w:val="20"/>
                                      <w:szCs w:val="20"/>
                                    </w:rPr>
                                    <w:t>3</w:t>
                                  </w:r>
                                  <w:r>
                                    <w:rPr>
                                      <w:rFonts w:ascii="標楷體" w:eastAsia="標楷體" w:hAnsi="標楷體" w:cs="新細明體" w:hint="eastAsia"/>
                                      <w:color w:val="000000"/>
                                      <w:spacing w:val="-10"/>
                                      <w:kern w:val="0"/>
                                      <w:sz w:val="20"/>
                                      <w:szCs w:val="20"/>
                                    </w:rPr>
                                    <w:t>,</w:t>
                                  </w:r>
                                  <w:r>
                                    <w:rPr>
                                      <w:rFonts w:ascii="標楷體" w:eastAsia="標楷體" w:hAnsi="標楷體" w:cs="新細明體"/>
                                      <w:color w:val="000000"/>
                                      <w:spacing w:val="-10"/>
                                      <w:kern w:val="0"/>
                                      <w:sz w:val="20"/>
                                      <w:szCs w:val="20"/>
                                    </w:rPr>
                                    <w:t>759.74</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CD267B"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1</w:t>
                                  </w:r>
                                  <w:r>
                                    <w:rPr>
                                      <w:rFonts w:ascii="標楷體" w:eastAsia="標楷體" w:hAnsi="標楷體" w:cs="新細明體"/>
                                      <w:color w:val="000000"/>
                                      <w:spacing w:val="-10"/>
                                      <w:kern w:val="0"/>
                                      <w:sz w:val="20"/>
                                      <w:szCs w:val="20"/>
                                    </w:rPr>
                                    <w:t>0,674.25</w:t>
                                  </w:r>
                                </w:p>
                              </w:tc>
                              <w:tc>
                                <w:tcPr>
                                  <w:tcW w:w="935" w:type="pct"/>
                                  <w:tcBorders>
                                    <w:top w:val="single" w:sz="4" w:space="0" w:color="auto"/>
                                    <w:left w:val="single" w:sz="4" w:space="0" w:color="auto"/>
                                    <w:bottom w:val="single" w:sz="4" w:space="0" w:color="auto"/>
                                    <w:right w:val="single" w:sz="4" w:space="0" w:color="auto"/>
                                  </w:tcBorders>
                                  <w:shd w:val="clear" w:color="auto" w:fill="auto"/>
                                  <w:vAlign w:val="center"/>
                                </w:tcPr>
                                <w:p w14:paraId="4149EA2A"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7</w:t>
                                  </w:r>
                                  <w:r>
                                    <w:rPr>
                                      <w:rFonts w:ascii="標楷體" w:eastAsia="標楷體" w:hAnsi="標楷體" w:cs="新細明體"/>
                                      <w:color w:val="000000"/>
                                      <w:spacing w:val="-10"/>
                                      <w:kern w:val="0"/>
                                      <w:sz w:val="20"/>
                                      <w:szCs w:val="20"/>
                                    </w:rPr>
                                    <w:t>7.58</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4BA930E9"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3,</w:t>
                                  </w:r>
                                  <w:r>
                                    <w:rPr>
                                      <w:rFonts w:ascii="標楷體" w:eastAsia="標楷體" w:hAnsi="標楷體" w:cs="新細明體"/>
                                      <w:color w:val="000000"/>
                                      <w:spacing w:val="-10"/>
                                      <w:kern w:val="0"/>
                                      <w:sz w:val="20"/>
                                      <w:szCs w:val="20"/>
                                    </w:rPr>
                                    <w:t>085.49</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4C64AD0"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2</w:t>
                                  </w:r>
                                  <w:r>
                                    <w:rPr>
                                      <w:rFonts w:ascii="標楷體" w:eastAsia="標楷體" w:hAnsi="標楷體" w:cs="新細明體"/>
                                      <w:color w:val="000000"/>
                                      <w:spacing w:val="-10"/>
                                      <w:kern w:val="0"/>
                                      <w:sz w:val="20"/>
                                      <w:szCs w:val="20"/>
                                    </w:rPr>
                                    <w:t>2.42</w:t>
                                  </w:r>
                                </w:p>
                              </w:tc>
                            </w:tr>
                            <w:tr w:rsidR="004551F8" w:rsidRPr="00743750" w14:paraId="1A3F9AE6" w14:textId="77777777" w:rsidTr="00824CD6">
                              <w:trPr>
                                <w:trHeight w:val="291"/>
                              </w:trPr>
                              <w:tc>
                                <w:tcPr>
                                  <w:tcW w:w="3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AE91A7" w14:textId="77777777" w:rsidR="004551F8" w:rsidRPr="00743750" w:rsidRDefault="004551F8" w:rsidP="00824CD6">
                                  <w:pPr>
                                    <w:widowControl/>
                                    <w:spacing w:line="320" w:lineRule="exact"/>
                                    <w:jc w:val="center"/>
                                    <w:rPr>
                                      <w:rFonts w:ascii="標楷體" w:eastAsia="標楷體" w:hAnsi="標楷體" w:cs="新細明體"/>
                                      <w:color w:val="000000"/>
                                      <w:kern w:val="0"/>
                                      <w:sz w:val="20"/>
                                      <w:szCs w:val="20"/>
                                    </w:rPr>
                                  </w:pPr>
                                  <w:r w:rsidRPr="00743750">
                                    <w:rPr>
                                      <w:rFonts w:ascii="標楷體" w:eastAsia="標楷體" w:hAnsi="標楷體" w:cs="新細明體" w:hint="eastAsia"/>
                                      <w:color w:val="000000"/>
                                      <w:kern w:val="0"/>
                                      <w:sz w:val="20"/>
                                      <w:szCs w:val="20"/>
                                    </w:rPr>
                                    <w:t>112</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14:paraId="20167E73" w14:textId="77777777" w:rsidR="004551F8" w:rsidRPr="00743750" w:rsidRDefault="004551F8" w:rsidP="00824CD6">
                                  <w:pPr>
                                    <w:widowControl/>
                                    <w:spacing w:line="320" w:lineRule="exact"/>
                                    <w:jc w:val="right"/>
                                    <w:rPr>
                                      <w:rFonts w:ascii="標楷體" w:eastAsia="標楷體" w:hAnsi="標楷體" w:cs="新細明體"/>
                                      <w:color w:val="000000"/>
                                      <w:kern w:val="0"/>
                                      <w:sz w:val="20"/>
                                      <w:szCs w:val="20"/>
                                    </w:rPr>
                                  </w:pPr>
                                  <w:r w:rsidRPr="00613A85">
                                    <w:rPr>
                                      <w:rFonts w:ascii="標楷體" w:eastAsia="標楷體" w:hAnsi="標楷體" w:cs="新細明體" w:hint="eastAsia"/>
                                      <w:color w:val="000000"/>
                                      <w:kern w:val="0"/>
                                      <w:sz w:val="20"/>
                                      <w:szCs w:val="20"/>
                                    </w:rPr>
                                    <w:t>1</w:t>
                                  </w:r>
                                  <w:r w:rsidRPr="00613A85">
                                    <w:rPr>
                                      <w:rFonts w:ascii="標楷體" w:eastAsia="標楷體" w:hAnsi="標楷體" w:cs="新細明體"/>
                                      <w:color w:val="000000"/>
                                      <w:kern w:val="0"/>
                                      <w:sz w:val="20"/>
                                      <w:szCs w:val="20"/>
                                    </w:rPr>
                                    <w:t>1,590.67</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19FDBFE5"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1</w:t>
                                  </w:r>
                                  <w:r>
                                    <w:rPr>
                                      <w:rFonts w:ascii="標楷體" w:eastAsia="標楷體" w:hAnsi="標楷體" w:cs="新細明體"/>
                                      <w:color w:val="000000"/>
                                      <w:spacing w:val="-10"/>
                                      <w:kern w:val="0"/>
                                      <w:sz w:val="20"/>
                                      <w:szCs w:val="20"/>
                                    </w:rPr>
                                    <w:t>4,332.90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B77DEC"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8</w:t>
                                  </w:r>
                                  <w:r>
                                    <w:rPr>
                                      <w:rFonts w:ascii="標楷體" w:eastAsia="標楷體" w:hAnsi="標楷體" w:cs="新細明體"/>
                                      <w:color w:val="000000"/>
                                      <w:spacing w:val="-10"/>
                                      <w:kern w:val="0"/>
                                      <w:sz w:val="20"/>
                                      <w:szCs w:val="20"/>
                                    </w:rPr>
                                    <w:t>,419.28</w:t>
                                  </w:r>
                                </w:p>
                              </w:tc>
                              <w:tc>
                                <w:tcPr>
                                  <w:tcW w:w="935" w:type="pct"/>
                                  <w:tcBorders>
                                    <w:top w:val="single" w:sz="4" w:space="0" w:color="auto"/>
                                    <w:left w:val="single" w:sz="4" w:space="0" w:color="auto"/>
                                    <w:bottom w:val="single" w:sz="4" w:space="0" w:color="auto"/>
                                    <w:right w:val="single" w:sz="4" w:space="0" w:color="auto"/>
                                  </w:tcBorders>
                                  <w:shd w:val="clear" w:color="auto" w:fill="auto"/>
                                  <w:vAlign w:val="center"/>
                                </w:tcPr>
                                <w:p w14:paraId="38669662"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5</w:t>
                                  </w:r>
                                  <w:r>
                                    <w:rPr>
                                      <w:rFonts w:ascii="標楷體" w:eastAsia="標楷體" w:hAnsi="標楷體" w:cs="新細明體"/>
                                      <w:color w:val="000000"/>
                                      <w:spacing w:val="-10"/>
                                      <w:kern w:val="0"/>
                                      <w:sz w:val="20"/>
                                      <w:szCs w:val="20"/>
                                    </w:rPr>
                                    <w:t>8.74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52A40AA9"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5</w:t>
                                  </w:r>
                                  <w:r>
                                    <w:rPr>
                                      <w:rFonts w:ascii="標楷體" w:eastAsia="標楷體" w:hAnsi="標楷體" w:cs="新細明體"/>
                                      <w:color w:val="000000"/>
                                      <w:spacing w:val="-10"/>
                                      <w:kern w:val="0"/>
                                      <w:sz w:val="20"/>
                                      <w:szCs w:val="20"/>
                                    </w:rPr>
                                    <w:t>,913.62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A39E629"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4</w:t>
                                  </w:r>
                                  <w:r>
                                    <w:rPr>
                                      <w:rFonts w:ascii="標楷體" w:eastAsia="標楷體" w:hAnsi="標楷體" w:cs="新細明體"/>
                                      <w:color w:val="000000"/>
                                      <w:spacing w:val="-10"/>
                                      <w:kern w:val="0"/>
                                      <w:sz w:val="20"/>
                                      <w:szCs w:val="20"/>
                                    </w:rPr>
                                    <w:t>1.26</w:t>
                                  </w:r>
                                </w:p>
                              </w:tc>
                            </w:tr>
                            <w:tr w:rsidR="004551F8" w:rsidRPr="00743750" w14:paraId="435365D1" w14:textId="77777777" w:rsidTr="00824CD6">
                              <w:trPr>
                                <w:trHeight w:val="291"/>
                              </w:trPr>
                              <w:tc>
                                <w:tcPr>
                                  <w:tcW w:w="3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262187" w14:textId="77777777" w:rsidR="004551F8" w:rsidRPr="00743750" w:rsidRDefault="004551F8" w:rsidP="00824CD6">
                                  <w:pPr>
                                    <w:widowControl/>
                                    <w:spacing w:line="320" w:lineRule="exact"/>
                                    <w:jc w:val="center"/>
                                    <w:rPr>
                                      <w:rFonts w:ascii="標楷體" w:eastAsia="標楷體" w:hAnsi="標楷體" w:cs="新細明體"/>
                                      <w:color w:val="000000"/>
                                      <w:kern w:val="0"/>
                                      <w:sz w:val="20"/>
                                      <w:szCs w:val="20"/>
                                    </w:rPr>
                                  </w:pPr>
                                  <w:r w:rsidRPr="00743750">
                                    <w:rPr>
                                      <w:rFonts w:ascii="標楷體" w:eastAsia="標楷體" w:hAnsi="標楷體" w:cs="新細明體" w:hint="eastAsia"/>
                                      <w:color w:val="000000"/>
                                      <w:kern w:val="0"/>
                                      <w:sz w:val="20"/>
                                      <w:szCs w:val="20"/>
                                    </w:rPr>
                                    <w:t>113</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14:paraId="72E105D1" w14:textId="77777777" w:rsidR="004551F8" w:rsidRPr="00743750" w:rsidRDefault="004551F8" w:rsidP="00824CD6">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11</w:t>
                                  </w:r>
                                  <w:r w:rsidRPr="00613A85">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190</w:t>
                                  </w:r>
                                  <w:r w:rsidRPr="00613A85">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83</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3DA91198"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1</w:t>
                                  </w:r>
                                  <w:r>
                                    <w:rPr>
                                      <w:rFonts w:ascii="標楷體" w:eastAsia="標楷體" w:hAnsi="標楷體" w:cs="新細明體"/>
                                      <w:color w:val="000000"/>
                                      <w:spacing w:val="-10"/>
                                      <w:kern w:val="0"/>
                                      <w:sz w:val="20"/>
                                      <w:szCs w:val="20"/>
                                    </w:rPr>
                                    <w:t>1,752.05</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14D900"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5</w:t>
                                  </w:r>
                                  <w:r>
                                    <w:rPr>
                                      <w:rFonts w:ascii="標楷體" w:eastAsia="標楷體" w:hAnsi="標楷體" w:cs="新細明體"/>
                                      <w:color w:val="000000"/>
                                      <w:spacing w:val="-10"/>
                                      <w:kern w:val="0"/>
                                      <w:sz w:val="20"/>
                                      <w:szCs w:val="20"/>
                                    </w:rPr>
                                    <w:t>,</w:t>
                                  </w:r>
                                  <w:r>
                                    <w:rPr>
                                      <w:rFonts w:ascii="標楷體" w:eastAsia="標楷體" w:hAnsi="標楷體" w:cs="新細明體" w:hint="eastAsia"/>
                                      <w:color w:val="000000"/>
                                      <w:spacing w:val="-10"/>
                                      <w:kern w:val="0"/>
                                      <w:sz w:val="20"/>
                                      <w:szCs w:val="20"/>
                                    </w:rPr>
                                    <w:t>6</w:t>
                                  </w:r>
                                  <w:r>
                                    <w:rPr>
                                      <w:rFonts w:ascii="標楷體" w:eastAsia="標楷體" w:hAnsi="標楷體" w:cs="新細明體"/>
                                      <w:color w:val="000000"/>
                                      <w:spacing w:val="-10"/>
                                      <w:kern w:val="0"/>
                                      <w:sz w:val="20"/>
                                      <w:szCs w:val="20"/>
                                    </w:rPr>
                                    <w:t>88.07</w:t>
                                  </w:r>
                                </w:p>
                              </w:tc>
                              <w:tc>
                                <w:tcPr>
                                  <w:tcW w:w="935" w:type="pct"/>
                                  <w:tcBorders>
                                    <w:top w:val="single" w:sz="4" w:space="0" w:color="auto"/>
                                    <w:left w:val="single" w:sz="4" w:space="0" w:color="auto"/>
                                    <w:bottom w:val="single" w:sz="4" w:space="0" w:color="auto"/>
                                    <w:right w:val="single" w:sz="4" w:space="0" w:color="auto"/>
                                  </w:tcBorders>
                                  <w:shd w:val="clear" w:color="auto" w:fill="auto"/>
                                  <w:vAlign w:val="center"/>
                                </w:tcPr>
                                <w:p w14:paraId="2CD5943E"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color w:val="000000"/>
                                      <w:spacing w:val="-10"/>
                                      <w:kern w:val="0"/>
                                      <w:sz w:val="20"/>
                                      <w:szCs w:val="20"/>
                                    </w:rPr>
                                    <w:t>48.40</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18A4CDB1"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color w:val="000000"/>
                                      <w:spacing w:val="-10"/>
                                      <w:kern w:val="0"/>
                                      <w:sz w:val="20"/>
                                      <w:szCs w:val="20"/>
                                    </w:rPr>
                                    <w:t>6,063.98</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573B780"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color w:val="000000"/>
                                      <w:spacing w:val="-10"/>
                                      <w:kern w:val="0"/>
                                      <w:sz w:val="20"/>
                                      <w:szCs w:val="20"/>
                                    </w:rPr>
                                    <w:t>51.60</w:t>
                                  </w:r>
                                </w:p>
                              </w:tc>
                            </w:tr>
                          </w:tbl>
                          <w:p w14:paraId="7175E53B" w14:textId="77777777" w:rsidR="004551F8" w:rsidRDefault="004551F8" w:rsidP="004551F8">
                            <w:pPr>
                              <w:spacing w:line="240" w:lineRule="exact"/>
                              <w:ind w:left="540" w:hangingChars="300" w:hanging="540"/>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飛灰產生量與飛灰穩定化物總量之重量差異，主要</w:t>
                            </w:r>
                            <w:proofErr w:type="gramStart"/>
                            <w:r>
                              <w:rPr>
                                <w:rFonts w:ascii="標楷體" w:eastAsia="標楷體" w:hAnsi="標楷體" w:hint="eastAsia"/>
                                <w:sz w:val="18"/>
                              </w:rPr>
                              <w:t>係</w:t>
                            </w:r>
                            <w:r w:rsidRPr="00504882">
                              <w:rPr>
                                <w:rFonts w:ascii="標楷體" w:eastAsia="標楷體" w:hAnsi="標楷體" w:hint="eastAsia"/>
                                <w:sz w:val="18"/>
                              </w:rPr>
                              <w:t>飛灰</w:t>
                            </w:r>
                            <w:r>
                              <w:rPr>
                                <w:rFonts w:ascii="標楷體" w:eastAsia="標楷體" w:hAnsi="標楷體" w:hint="eastAsia"/>
                                <w:sz w:val="18"/>
                              </w:rPr>
                              <w:t>於</w:t>
                            </w:r>
                            <w:r w:rsidRPr="00504882">
                              <w:rPr>
                                <w:rFonts w:ascii="標楷體" w:eastAsia="標楷體" w:hAnsi="標楷體" w:hint="eastAsia"/>
                                <w:sz w:val="18"/>
                              </w:rPr>
                              <w:t>混練穩定化</w:t>
                            </w:r>
                            <w:proofErr w:type="gramEnd"/>
                            <w:r>
                              <w:rPr>
                                <w:rFonts w:ascii="標楷體" w:eastAsia="標楷體" w:hAnsi="標楷體" w:hint="eastAsia"/>
                                <w:sz w:val="18"/>
                              </w:rPr>
                              <w:t>過程</w:t>
                            </w:r>
                            <w:r w:rsidRPr="00504882">
                              <w:rPr>
                                <w:rFonts w:ascii="標楷體" w:eastAsia="標楷體" w:hAnsi="標楷體" w:hint="eastAsia"/>
                                <w:sz w:val="18"/>
                              </w:rPr>
                              <w:t>，</w:t>
                            </w:r>
                            <w:r>
                              <w:rPr>
                                <w:rFonts w:ascii="標楷體" w:eastAsia="標楷體" w:hAnsi="標楷體" w:hint="eastAsia"/>
                                <w:sz w:val="18"/>
                              </w:rPr>
                              <w:t>需</w:t>
                            </w:r>
                            <w:r w:rsidRPr="00504882">
                              <w:rPr>
                                <w:rFonts w:ascii="標楷體" w:eastAsia="標楷體" w:hAnsi="標楷體" w:hint="eastAsia"/>
                                <w:sz w:val="18"/>
                              </w:rPr>
                              <w:t>添加適當比例之水泥、水及</w:t>
                            </w:r>
                            <w:proofErr w:type="gramStart"/>
                            <w:r w:rsidRPr="00504882">
                              <w:rPr>
                                <w:rFonts w:ascii="標楷體" w:eastAsia="標楷體" w:hAnsi="標楷體" w:hint="eastAsia"/>
                                <w:sz w:val="18"/>
                              </w:rPr>
                              <w:t>螯</w:t>
                            </w:r>
                            <w:proofErr w:type="gramEnd"/>
                            <w:r w:rsidRPr="00504882">
                              <w:rPr>
                                <w:rFonts w:ascii="標楷體" w:eastAsia="標楷體" w:hAnsi="標楷體" w:hint="eastAsia"/>
                                <w:sz w:val="18"/>
                              </w:rPr>
                              <w:t>合劑，</w:t>
                            </w:r>
                            <w:proofErr w:type="gramStart"/>
                            <w:r>
                              <w:rPr>
                                <w:rFonts w:ascii="標楷體" w:eastAsia="標楷體" w:hAnsi="標楷體" w:hint="eastAsia"/>
                                <w:sz w:val="18"/>
                              </w:rPr>
                              <w:t>故混練</w:t>
                            </w:r>
                            <w:proofErr w:type="gramEnd"/>
                            <w:r>
                              <w:rPr>
                                <w:rFonts w:ascii="標楷體" w:eastAsia="標楷體" w:hAnsi="標楷體" w:hint="eastAsia"/>
                                <w:sz w:val="18"/>
                              </w:rPr>
                              <w:t>後</w:t>
                            </w:r>
                            <w:r w:rsidRPr="00504882">
                              <w:rPr>
                                <w:rFonts w:ascii="標楷體" w:eastAsia="標楷體" w:hAnsi="標楷體" w:hint="eastAsia"/>
                                <w:sz w:val="18"/>
                              </w:rPr>
                              <w:t>穩定化物</w:t>
                            </w:r>
                            <w:r>
                              <w:rPr>
                                <w:rFonts w:ascii="標楷體" w:eastAsia="標楷體" w:hAnsi="標楷體" w:hint="eastAsia"/>
                                <w:sz w:val="18"/>
                              </w:rPr>
                              <w:t>重量較未處理飛灰重量增加</w:t>
                            </w:r>
                            <w:r w:rsidRPr="00504882">
                              <w:rPr>
                                <w:rFonts w:ascii="標楷體" w:eastAsia="標楷體" w:hAnsi="標楷體" w:hint="eastAsia"/>
                                <w:sz w:val="18"/>
                              </w:rPr>
                              <w:t>。</w:t>
                            </w:r>
                          </w:p>
                          <w:p w14:paraId="52E7EE43" w14:textId="77777777" w:rsidR="004551F8" w:rsidRDefault="004551F8" w:rsidP="004551F8">
                            <w:pPr>
                              <w:spacing w:line="240" w:lineRule="exact"/>
                              <w:ind w:leftChars="150" w:left="900" w:hangingChars="300" w:hanging="540"/>
                              <w:jc w:val="both"/>
                              <w:rPr>
                                <w:rFonts w:ascii="標楷體" w:eastAsia="標楷體" w:hAnsi="標楷體"/>
                                <w:sz w:val="18"/>
                              </w:rPr>
                            </w:pPr>
                            <w:r>
                              <w:rPr>
                                <w:rFonts w:ascii="標楷體" w:eastAsia="標楷體" w:hAnsi="標楷體"/>
                                <w:sz w:val="18"/>
                              </w:rPr>
                              <w:t>2.</w:t>
                            </w:r>
                            <w:proofErr w:type="gramStart"/>
                            <w:r>
                              <w:rPr>
                                <w:rFonts w:ascii="標楷體" w:eastAsia="標楷體" w:hAnsi="標楷體" w:hint="eastAsia"/>
                                <w:sz w:val="18"/>
                              </w:rPr>
                              <w:t>本表</w:t>
                            </w:r>
                            <w:r w:rsidRPr="00907A8D">
                              <w:rPr>
                                <w:rFonts w:ascii="標楷體" w:eastAsia="標楷體" w:hAnsi="標楷體" w:hint="eastAsia"/>
                                <w:sz w:val="18"/>
                              </w:rPr>
                              <w:t>暫存量</w:t>
                            </w:r>
                            <w:proofErr w:type="gramEnd"/>
                            <w:r w:rsidRPr="00907A8D">
                              <w:rPr>
                                <w:rFonts w:ascii="標楷體" w:eastAsia="標楷體" w:hAnsi="標楷體" w:hint="eastAsia"/>
                                <w:sz w:val="18"/>
                              </w:rPr>
                              <w:t>係指於焚化廠外之暫存場，不包括焚化廠內及灰</w:t>
                            </w:r>
                            <w:proofErr w:type="gramStart"/>
                            <w:r w:rsidRPr="00907A8D">
                              <w:rPr>
                                <w:rFonts w:ascii="標楷體" w:eastAsia="標楷體" w:hAnsi="標楷體" w:hint="eastAsia"/>
                                <w:sz w:val="18"/>
                              </w:rPr>
                              <w:t>渣貯坑</w:t>
                            </w:r>
                            <w:proofErr w:type="gramEnd"/>
                            <w:r w:rsidRPr="00907A8D">
                              <w:rPr>
                                <w:rFonts w:ascii="標楷體" w:eastAsia="標楷體" w:hAnsi="標楷體" w:hint="eastAsia"/>
                                <w:sz w:val="18"/>
                              </w:rPr>
                              <w:t>。</w:t>
                            </w:r>
                          </w:p>
                          <w:p w14:paraId="26AC547C" w14:textId="77777777" w:rsidR="004551F8" w:rsidRPr="00136999" w:rsidRDefault="004551F8" w:rsidP="004551F8">
                            <w:pPr>
                              <w:spacing w:line="240" w:lineRule="exact"/>
                              <w:ind w:leftChars="150" w:left="900" w:hangingChars="300" w:hanging="540"/>
                              <w:jc w:val="both"/>
                              <w:rPr>
                                <w:rFonts w:ascii="標楷體" w:eastAsia="標楷體" w:hAnsi="標楷體"/>
                                <w:sz w:val="18"/>
                              </w:rPr>
                            </w:pPr>
                            <w:r>
                              <w:rPr>
                                <w:rFonts w:ascii="標楷體" w:eastAsia="標楷體" w:hAnsi="標楷體" w:hint="eastAsia"/>
                                <w:sz w:val="18"/>
                              </w:rPr>
                              <w:t>3</w:t>
                            </w:r>
                            <w:r>
                              <w:rPr>
                                <w:rFonts w:ascii="標楷體" w:eastAsia="標楷體" w:hAnsi="標楷體"/>
                                <w:sz w:val="18"/>
                              </w:rPr>
                              <w:t>.</w:t>
                            </w:r>
                            <w:r w:rsidRPr="00136999">
                              <w:rPr>
                                <w:rFonts w:ascii="標楷體" w:eastAsia="標楷體" w:hAnsi="標楷體" w:hint="eastAsia"/>
                                <w:sz w:val="18"/>
                              </w:rPr>
                              <w:t>資料來源：整理自</w:t>
                            </w:r>
                            <w:r>
                              <w:rPr>
                                <w:rFonts w:ascii="標楷體" w:eastAsia="標楷體" w:hAnsi="標楷體" w:hint="eastAsia"/>
                                <w:sz w:val="18"/>
                              </w:rPr>
                              <w:t>環境部環境管理署焚化廠營運管理資訊系統</w:t>
                            </w:r>
                            <w:r w:rsidRPr="00136999">
                              <w:rPr>
                                <w:rFonts w:ascii="標楷體" w:eastAsia="標楷體" w:hAnsi="標楷體" w:hint="eastAsia"/>
                                <w:sz w:val="18"/>
                              </w:rPr>
                              <w:t>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6A53CF" id="文字方塊 4" o:spid="_x0000_s1127" type="#_x0000_t202" style="position:absolute;left:0;text-align:left;margin-left:-3.85pt;margin-top:163.35pt;width:502.5pt;height:21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" fillcolor="window" stroked="f" strokeweight=".5pt">
                <v:textbox>
                  <w:txbxContent>
                    <w:p w14:paraId="00534FBE" w14:textId="77777777" w:rsidR="004551F8" w:rsidRPr="00136999" w:rsidRDefault="004551F8" w:rsidP="004551F8">
                      <w:pPr>
                        <w:jc w:val="center"/>
                        <w:rPr>
                          <w:rFonts w:ascii="標楷體" w:eastAsia="標楷體" w:hAnsi="標楷體"/>
                          <w:b/>
                        </w:rPr>
                      </w:pPr>
                      <w:r>
                        <w:rPr>
                          <w:rFonts w:ascii="標楷體" w:eastAsia="標楷體" w:hAnsi="標楷體" w:hint="eastAsia"/>
                          <w:b/>
                        </w:rPr>
                        <w:t>表</w:t>
                      </w:r>
                      <w:r>
                        <w:rPr>
                          <w:rFonts w:ascii="標楷體" w:eastAsia="標楷體" w:hAnsi="標楷體"/>
                          <w:b/>
                        </w:rPr>
                        <w:t>2</w:t>
                      </w:r>
                      <w:r>
                        <w:rPr>
                          <w:rFonts w:ascii="標楷體" w:eastAsia="標楷體" w:hAnsi="標楷體" w:hint="eastAsia"/>
                          <w:b/>
                        </w:rPr>
                        <w:t xml:space="preserve">　</w:t>
                      </w:r>
                      <w:r w:rsidRPr="00136999">
                        <w:rPr>
                          <w:rFonts w:ascii="標楷體" w:eastAsia="標楷體" w:hAnsi="標楷體" w:hint="eastAsia"/>
                          <w:b/>
                        </w:rPr>
                        <w:t>北投垃圾</w:t>
                      </w:r>
                      <w:proofErr w:type="gramStart"/>
                      <w:r w:rsidRPr="00136999">
                        <w:rPr>
                          <w:rFonts w:ascii="標楷體" w:eastAsia="標楷體" w:hAnsi="標楷體" w:hint="eastAsia"/>
                          <w:b/>
                        </w:rPr>
                        <w:t>焚化廠飛灰</w:t>
                      </w:r>
                      <w:proofErr w:type="gramEnd"/>
                      <w:r>
                        <w:rPr>
                          <w:rFonts w:ascii="標楷體" w:eastAsia="標楷體" w:hAnsi="標楷體" w:hint="eastAsia"/>
                          <w:b/>
                        </w:rPr>
                        <w:t>處理及再利用情形</w:t>
                      </w:r>
                    </w:p>
                    <w:p w14:paraId="1726D46A" w14:textId="77777777" w:rsidR="004551F8" w:rsidRPr="00136999" w:rsidRDefault="004551F8" w:rsidP="004551F8">
                      <w:pPr>
                        <w:jc w:val="right"/>
                        <w:rPr>
                          <w:rFonts w:ascii="標楷體" w:eastAsia="標楷體" w:hAnsi="標楷體"/>
                          <w:sz w:val="20"/>
                        </w:rPr>
                      </w:pPr>
                      <w:r w:rsidRPr="00136999">
                        <w:rPr>
                          <w:rFonts w:ascii="標楷體" w:eastAsia="標楷體" w:hAnsi="標楷體" w:hint="eastAsia"/>
                          <w:sz w:val="20"/>
                        </w:rPr>
                        <w:t>單位：</w:t>
                      </w:r>
                      <w:r>
                        <w:rPr>
                          <w:rFonts w:ascii="標楷體" w:eastAsia="標楷體" w:hAnsi="標楷體" w:hint="eastAsia"/>
                          <w:sz w:val="20"/>
                        </w:rPr>
                        <w:t>公噸、％</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668"/>
                        <w:gridCol w:w="1079"/>
                        <w:gridCol w:w="1464"/>
                        <w:gridCol w:w="1296"/>
                        <w:gridCol w:w="1825"/>
                        <w:gridCol w:w="1534"/>
                        <w:gridCol w:w="1891"/>
                      </w:tblGrid>
                      <w:tr w:rsidR="004551F8" w:rsidRPr="00743750" w14:paraId="518429F1" w14:textId="77777777" w:rsidTr="00824CD6">
                        <w:trPr>
                          <w:trHeight w:val="378"/>
                        </w:trPr>
                        <w:tc>
                          <w:tcPr>
                            <w:tcW w:w="342"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47AF9650" w14:textId="77777777" w:rsidR="004551F8" w:rsidRDefault="004551F8" w:rsidP="00824CD6">
                            <w:pPr>
                              <w:widowControl/>
                              <w:jc w:val="right"/>
                              <w:rPr>
                                <w:rFonts w:ascii="標楷體" w:eastAsia="標楷體" w:hAnsi="標楷體" w:cs="新細明體"/>
                                <w:color w:val="000000"/>
                                <w:kern w:val="0"/>
                                <w:sz w:val="20"/>
                                <w:szCs w:val="20"/>
                              </w:rPr>
                            </w:pPr>
                            <w:r w:rsidRPr="00743750">
                              <w:rPr>
                                <w:rFonts w:ascii="標楷體" w:eastAsia="標楷體" w:hAnsi="標楷體" w:cs="新細明體" w:hint="eastAsia"/>
                                <w:color w:val="000000"/>
                                <w:kern w:val="0"/>
                                <w:sz w:val="20"/>
                                <w:szCs w:val="20"/>
                              </w:rPr>
                              <w:t>項目</w:t>
                            </w:r>
                          </w:p>
                          <w:p w14:paraId="36265EED" w14:textId="77777777" w:rsidR="004551F8" w:rsidRDefault="004551F8" w:rsidP="00824CD6">
                            <w:pPr>
                              <w:widowControl/>
                              <w:rPr>
                                <w:rFonts w:ascii="標楷體" w:eastAsia="標楷體" w:hAnsi="標楷體" w:cs="新細明體"/>
                                <w:color w:val="000000"/>
                                <w:kern w:val="0"/>
                                <w:sz w:val="20"/>
                                <w:szCs w:val="20"/>
                              </w:rPr>
                            </w:pPr>
                          </w:p>
                          <w:p w14:paraId="79146A4F" w14:textId="77777777" w:rsidR="004551F8" w:rsidRPr="00743750" w:rsidRDefault="004551F8" w:rsidP="00824CD6">
                            <w:pPr>
                              <w:widowControl/>
                              <w:rPr>
                                <w:rFonts w:ascii="標楷體" w:eastAsia="標楷體" w:hAnsi="標楷體" w:cs="新細明體"/>
                                <w:color w:val="000000"/>
                                <w:kern w:val="0"/>
                                <w:sz w:val="20"/>
                                <w:szCs w:val="20"/>
                              </w:rPr>
                            </w:pPr>
                            <w:r w:rsidRPr="00743750">
                              <w:rPr>
                                <w:rFonts w:ascii="標楷體" w:eastAsia="標楷體" w:hAnsi="標楷體" w:cs="新細明體" w:hint="eastAsia"/>
                                <w:color w:val="000000"/>
                                <w:kern w:val="0"/>
                                <w:sz w:val="20"/>
                                <w:szCs w:val="20"/>
                              </w:rPr>
                              <w:t>年度</w:t>
                            </w:r>
                          </w:p>
                        </w:tc>
                        <w:tc>
                          <w:tcPr>
                            <w:tcW w:w="55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F3F4C17" w14:textId="77777777" w:rsidR="004551F8" w:rsidRPr="00743750" w:rsidRDefault="004551F8" w:rsidP="00824CD6">
                            <w:pPr>
                              <w:widowControl/>
                              <w:jc w:val="center"/>
                              <w:rPr>
                                <w:rFonts w:ascii="標楷體" w:eastAsia="標楷體" w:hAnsi="標楷體" w:cs="新細明體"/>
                                <w:color w:val="000000"/>
                                <w:kern w:val="0"/>
                                <w:sz w:val="20"/>
                                <w:szCs w:val="20"/>
                              </w:rPr>
                            </w:pPr>
                            <w:r w:rsidRPr="00EC4211">
                              <w:rPr>
                                <w:rFonts w:ascii="標楷體" w:eastAsia="標楷體" w:hAnsi="標楷體" w:cs="新細明體" w:hint="eastAsia"/>
                                <w:color w:val="000000"/>
                                <w:kern w:val="0"/>
                                <w:sz w:val="20"/>
                                <w:szCs w:val="20"/>
                              </w:rPr>
                              <w:t>飛灰產生量</w:t>
                            </w:r>
                          </w:p>
                        </w:tc>
                        <w:tc>
                          <w:tcPr>
                            <w:tcW w:w="4104"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A56DDB4" w14:textId="77777777" w:rsidR="004551F8" w:rsidRPr="00743750" w:rsidRDefault="004551F8" w:rsidP="00824CD6">
                            <w:pPr>
                              <w:widowControl/>
                              <w:jc w:val="center"/>
                              <w:rPr>
                                <w:rFonts w:ascii="標楷體" w:eastAsia="標楷體" w:hAnsi="標楷體" w:cs="新細明體"/>
                                <w:color w:val="000000"/>
                                <w:spacing w:val="-10"/>
                                <w:kern w:val="0"/>
                                <w:sz w:val="20"/>
                                <w:szCs w:val="20"/>
                              </w:rPr>
                            </w:pPr>
                            <w:r>
                              <w:rPr>
                                <w:rFonts w:ascii="標楷體" w:eastAsia="標楷體" w:hAnsi="標楷體" w:cs="新細明體" w:hint="eastAsia"/>
                                <w:color w:val="000000"/>
                                <w:kern w:val="0"/>
                                <w:sz w:val="20"/>
                                <w:szCs w:val="20"/>
                              </w:rPr>
                              <w:t>飛灰穩定化物產生量</w:t>
                            </w:r>
                          </w:p>
                        </w:tc>
                      </w:tr>
                      <w:tr w:rsidR="004551F8" w:rsidRPr="00743750" w14:paraId="0731502D" w14:textId="77777777" w:rsidTr="00824CD6">
                        <w:trPr>
                          <w:trHeight w:val="272"/>
                        </w:trPr>
                        <w:tc>
                          <w:tcPr>
                            <w:tcW w:w="342"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5649DD70" w14:textId="77777777" w:rsidR="004551F8" w:rsidRPr="00743750" w:rsidRDefault="004551F8" w:rsidP="00824CD6">
                            <w:pPr>
                              <w:widowControl/>
                              <w:jc w:val="right"/>
                              <w:rPr>
                                <w:rFonts w:ascii="標楷體" w:eastAsia="標楷體" w:hAnsi="標楷體" w:cs="新細明體"/>
                                <w:color w:val="000000"/>
                                <w:kern w:val="0"/>
                                <w:sz w:val="20"/>
                                <w:szCs w:val="20"/>
                              </w:rPr>
                            </w:pPr>
                          </w:p>
                        </w:tc>
                        <w:tc>
                          <w:tcPr>
                            <w:tcW w:w="55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AC0F830" w14:textId="77777777" w:rsidR="004551F8" w:rsidRPr="00EC4211" w:rsidRDefault="004551F8" w:rsidP="00824CD6">
                            <w:pPr>
                              <w:widowControl/>
                              <w:jc w:val="center"/>
                              <w:rPr>
                                <w:rFonts w:ascii="標楷體" w:eastAsia="標楷體" w:hAnsi="標楷體" w:cs="新細明體"/>
                                <w:color w:val="000000"/>
                                <w:kern w:val="0"/>
                                <w:sz w:val="20"/>
                                <w:szCs w:val="20"/>
                              </w:rPr>
                            </w:pPr>
                          </w:p>
                        </w:tc>
                        <w:tc>
                          <w:tcPr>
                            <w:tcW w:w="75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FE35DD" w14:textId="77777777" w:rsidR="004551F8" w:rsidRDefault="004551F8" w:rsidP="00824CD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總量</w:t>
                            </w:r>
                          </w:p>
                          <w:p w14:paraId="3E650C64" w14:textId="0C48257F" w:rsidR="004551F8" w:rsidRPr="005F4A66" w:rsidRDefault="004551F8" w:rsidP="00824CD6">
                            <w:pPr>
                              <w:widowControl/>
                              <w:jc w:val="center"/>
                              <w:rPr>
                                <w:rFonts w:ascii="標楷體" w:eastAsia="標楷體" w:hAnsi="標楷體" w:cs="新細明體"/>
                                <w:color w:val="000000"/>
                                <w:spacing w:val="4"/>
                                <w:kern w:val="0"/>
                                <w:sz w:val="20"/>
                                <w:szCs w:val="20"/>
                              </w:rPr>
                            </w:pPr>
                            <w:r w:rsidRPr="005F4A66">
                              <w:rPr>
                                <w:rFonts w:ascii="標楷體" w:eastAsia="標楷體" w:hAnsi="標楷體" w:cs="新細明體" w:hint="eastAsia"/>
                                <w:color w:val="000000"/>
                                <w:spacing w:val="4"/>
                                <w:kern w:val="0"/>
                                <w:sz w:val="20"/>
                                <w:szCs w:val="20"/>
                              </w:rPr>
                              <w:t>（</w:t>
                            </w:r>
                            <w:r w:rsidRPr="005F4A66">
                              <w:rPr>
                                <w:rFonts w:ascii="標楷體" w:eastAsia="標楷體" w:hAnsi="標楷體" w:cs="新細明體"/>
                                <w:color w:val="000000"/>
                                <w:spacing w:val="4"/>
                                <w:kern w:val="0"/>
                                <w:sz w:val="20"/>
                                <w:szCs w:val="20"/>
                              </w:rPr>
                              <w:t>A=B+C）</w:t>
                            </w:r>
                          </w:p>
                        </w:tc>
                        <w:tc>
                          <w:tcPr>
                            <w:tcW w:w="159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993F81" w14:textId="77777777" w:rsidR="004551F8" w:rsidRPr="00743750" w:rsidRDefault="004551F8" w:rsidP="00824CD6">
                            <w:pPr>
                              <w:widowControl/>
                              <w:jc w:val="center"/>
                              <w:rPr>
                                <w:rFonts w:ascii="標楷體" w:eastAsia="標楷體" w:hAnsi="標楷體" w:cs="新細明體"/>
                                <w:color w:val="000000"/>
                                <w:kern w:val="0"/>
                                <w:sz w:val="20"/>
                                <w:szCs w:val="20"/>
                              </w:rPr>
                            </w:pPr>
                            <w:proofErr w:type="gramStart"/>
                            <w:r>
                              <w:rPr>
                                <w:rFonts w:ascii="標楷體" w:eastAsia="標楷體" w:hAnsi="標楷體" w:cs="新細明體" w:hint="eastAsia"/>
                                <w:color w:val="000000"/>
                                <w:kern w:val="0"/>
                                <w:sz w:val="20"/>
                                <w:szCs w:val="20"/>
                              </w:rPr>
                              <w:t>混練穩定化</w:t>
                            </w:r>
                            <w:proofErr w:type="gramEnd"/>
                            <w:r>
                              <w:rPr>
                                <w:rFonts w:ascii="標楷體" w:eastAsia="標楷體" w:hAnsi="標楷體" w:cs="新細明體" w:hint="eastAsia"/>
                                <w:color w:val="000000"/>
                                <w:kern w:val="0"/>
                                <w:sz w:val="20"/>
                                <w:szCs w:val="20"/>
                              </w:rPr>
                              <w:t>物</w:t>
                            </w:r>
                          </w:p>
                        </w:tc>
                        <w:tc>
                          <w:tcPr>
                            <w:tcW w:w="175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261646" w14:textId="77777777" w:rsidR="004551F8" w:rsidRPr="0003194C" w:rsidRDefault="004551F8" w:rsidP="00824CD6">
                            <w:pPr>
                              <w:widowControl/>
                              <w:jc w:val="center"/>
                              <w:rPr>
                                <w:rFonts w:ascii="標楷體" w:eastAsia="標楷體" w:hAnsi="標楷體" w:cs="新細明體"/>
                                <w:color w:val="000000"/>
                                <w:kern w:val="0"/>
                                <w:sz w:val="20"/>
                                <w:szCs w:val="20"/>
                              </w:rPr>
                            </w:pPr>
                            <w:r w:rsidRPr="0003194C">
                              <w:rPr>
                                <w:rFonts w:ascii="標楷體" w:eastAsia="標楷體" w:hAnsi="標楷體" w:cs="新細明體" w:hint="eastAsia"/>
                                <w:color w:val="000000"/>
                                <w:kern w:val="0"/>
                                <w:sz w:val="20"/>
                                <w:szCs w:val="20"/>
                              </w:rPr>
                              <w:t>水洗穩定化物</w:t>
                            </w:r>
                          </w:p>
                        </w:tc>
                      </w:tr>
                      <w:tr w:rsidR="004551F8" w:rsidRPr="00743750" w14:paraId="31706EEC" w14:textId="77777777" w:rsidTr="00824CD6">
                        <w:trPr>
                          <w:trHeight w:val="136"/>
                        </w:trPr>
                        <w:tc>
                          <w:tcPr>
                            <w:tcW w:w="342" w:type="pct"/>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09DD9289" w14:textId="77777777" w:rsidR="004551F8" w:rsidRPr="00743750" w:rsidRDefault="004551F8" w:rsidP="00824CD6">
                            <w:pPr>
                              <w:widowControl/>
                              <w:jc w:val="right"/>
                              <w:rPr>
                                <w:rFonts w:ascii="標楷體" w:eastAsia="標楷體" w:hAnsi="標楷體" w:cs="新細明體"/>
                                <w:color w:val="000000"/>
                                <w:kern w:val="0"/>
                                <w:sz w:val="20"/>
                                <w:szCs w:val="20"/>
                              </w:rPr>
                            </w:pPr>
                          </w:p>
                        </w:tc>
                        <w:tc>
                          <w:tcPr>
                            <w:tcW w:w="55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44B507D" w14:textId="77777777" w:rsidR="004551F8" w:rsidRPr="00EC4211" w:rsidRDefault="004551F8" w:rsidP="00824CD6">
                            <w:pPr>
                              <w:widowControl/>
                              <w:jc w:val="center"/>
                              <w:rPr>
                                <w:rFonts w:ascii="標楷體" w:eastAsia="標楷體" w:hAnsi="標楷體" w:cs="新細明體"/>
                                <w:color w:val="000000"/>
                                <w:kern w:val="0"/>
                                <w:sz w:val="20"/>
                                <w:szCs w:val="20"/>
                              </w:rPr>
                            </w:pPr>
                          </w:p>
                        </w:tc>
                        <w:tc>
                          <w:tcPr>
                            <w:tcW w:w="75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85B8029" w14:textId="77777777" w:rsidR="004551F8" w:rsidRDefault="004551F8" w:rsidP="00824CD6">
                            <w:pPr>
                              <w:widowControl/>
                              <w:jc w:val="center"/>
                              <w:rPr>
                                <w:rFonts w:ascii="標楷體" w:eastAsia="標楷體" w:hAnsi="標楷體" w:cs="新細明體"/>
                                <w:color w:val="000000"/>
                                <w:kern w:val="0"/>
                                <w:sz w:val="20"/>
                                <w:szCs w:val="20"/>
                              </w:rPr>
                            </w:pP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5079F0" w14:textId="77777777" w:rsidR="004551F8" w:rsidRDefault="004551F8" w:rsidP="00824CD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暫存量（</w:t>
                            </w:r>
                            <w:r>
                              <w:rPr>
                                <w:rFonts w:ascii="標楷體" w:eastAsia="標楷體" w:hAnsi="標楷體" w:cs="新細明體"/>
                                <w:color w:val="000000"/>
                                <w:kern w:val="0"/>
                                <w:sz w:val="20"/>
                                <w:szCs w:val="20"/>
                              </w:rPr>
                              <w:t>B）</w:t>
                            </w:r>
                          </w:p>
                        </w:tc>
                        <w:tc>
                          <w:tcPr>
                            <w:tcW w:w="935" w:type="pct"/>
                            <w:tcBorders>
                              <w:top w:val="single" w:sz="4" w:space="0" w:color="auto"/>
                              <w:left w:val="single" w:sz="4" w:space="0" w:color="auto"/>
                              <w:bottom w:val="single" w:sz="4" w:space="0" w:color="auto"/>
                              <w:right w:val="single" w:sz="4" w:space="0" w:color="auto"/>
                            </w:tcBorders>
                            <w:shd w:val="clear" w:color="auto" w:fill="auto"/>
                            <w:vAlign w:val="center"/>
                          </w:tcPr>
                          <w:p w14:paraId="7F62CC3E" w14:textId="77777777" w:rsidR="004551F8" w:rsidRDefault="004551F8" w:rsidP="00824CD6">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暫存率</w:t>
                            </w:r>
                          </w:p>
                          <w:p w14:paraId="0C42617C" w14:textId="430E23B6" w:rsidR="004551F8" w:rsidRPr="005F4A66" w:rsidRDefault="004551F8" w:rsidP="00824CD6">
                            <w:pPr>
                              <w:widowControl/>
                              <w:jc w:val="center"/>
                              <w:rPr>
                                <w:rFonts w:ascii="標楷體" w:eastAsia="標楷體" w:hAnsi="標楷體" w:cs="新細明體"/>
                                <w:color w:val="000000"/>
                                <w:spacing w:val="2"/>
                                <w:kern w:val="0"/>
                                <w:sz w:val="20"/>
                                <w:szCs w:val="20"/>
                              </w:rPr>
                            </w:pPr>
                            <w:r w:rsidRPr="005F4A66">
                              <w:rPr>
                                <w:rFonts w:ascii="標楷體" w:eastAsia="標楷體" w:hAnsi="標楷體" w:cs="新細明體" w:hint="eastAsia"/>
                                <w:color w:val="000000"/>
                                <w:spacing w:val="2"/>
                                <w:kern w:val="0"/>
                                <w:sz w:val="20"/>
                                <w:szCs w:val="20"/>
                              </w:rPr>
                              <w:t>（</w:t>
                            </w:r>
                            <w:r w:rsidRPr="005F4A66">
                              <w:rPr>
                                <w:rFonts w:ascii="標楷體" w:eastAsia="標楷體" w:hAnsi="標楷體" w:cs="新細明體"/>
                                <w:color w:val="000000"/>
                                <w:spacing w:val="2"/>
                                <w:kern w:val="0"/>
                                <w:sz w:val="20"/>
                                <w:szCs w:val="20"/>
                              </w:rPr>
                              <w:t>D=B/A×100</w:t>
                            </w:r>
                            <w:r w:rsidR="005F4A66" w:rsidRPr="005F4A66">
                              <w:rPr>
                                <w:rFonts w:ascii="標楷體" w:eastAsia="標楷體" w:hAnsi="標楷體" w:cs="新細明體"/>
                                <w:color w:val="000000"/>
                                <w:spacing w:val="2"/>
                                <w:kern w:val="0"/>
                                <w:sz w:val="20"/>
                                <w:szCs w:val="20"/>
                              </w:rPr>
                              <w:t>）</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69A2885E" w14:textId="77777777" w:rsidR="004551F8" w:rsidRPr="004B6C33" w:rsidRDefault="004551F8" w:rsidP="00824CD6">
                            <w:pPr>
                              <w:widowControl/>
                              <w:jc w:val="center"/>
                              <w:rPr>
                                <w:rFonts w:ascii="標楷體" w:eastAsia="標楷體" w:hAnsi="標楷體" w:cs="新細明體"/>
                                <w:color w:val="000000"/>
                                <w:kern w:val="0"/>
                                <w:sz w:val="20"/>
                                <w:szCs w:val="20"/>
                              </w:rPr>
                            </w:pPr>
                            <w:r w:rsidRPr="004B6C33">
                              <w:rPr>
                                <w:rFonts w:ascii="標楷體" w:eastAsia="標楷體" w:hAnsi="標楷體" w:cs="新細明體" w:hint="eastAsia"/>
                                <w:color w:val="000000"/>
                                <w:kern w:val="0"/>
                                <w:sz w:val="20"/>
                                <w:szCs w:val="20"/>
                              </w:rPr>
                              <w:t>再利用量（</w:t>
                            </w:r>
                            <w:r w:rsidRPr="004B6C33">
                              <w:rPr>
                                <w:rFonts w:ascii="標楷體" w:eastAsia="標楷體" w:hAnsi="標楷體" w:cs="新細明體"/>
                                <w:color w:val="000000"/>
                                <w:kern w:val="0"/>
                                <w:sz w:val="20"/>
                                <w:szCs w:val="20"/>
                              </w:rPr>
                              <w:t>C）</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1B567271" w14:textId="77777777" w:rsidR="004551F8" w:rsidRDefault="004551F8" w:rsidP="00824CD6">
                            <w:pPr>
                              <w:widowControl/>
                              <w:jc w:val="center"/>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再利用率</w:t>
                            </w:r>
                          </w:p>
                          <w:p w14:paraId="5E7108EE" w14:textId="73CFDBEA" w:rsidR="004551F8" w:rsidRPr="005F4A66" w:rsidRDefault="004551F8" w:rsidP="00824CD6">
                            <w:pPr>
                              <w:widowControl/>
                              <w:jc w:val="center"/>
                              <w:rPr>
                                <w:rFonts w:ascii="標楷體" w:eastAsia="標楷體" w:hAnsi="標楷體" w:cs="新細明體"/>
                                <w:color w:val="000000"/>
                                <w:spacing w:val="2"/>
                                <w:kern w:val="0"/>
                                <w:sz w:val="20"/>
                                <w:szCs w:val="20"/>
                              </w:rPr>
                            </w:pPr>
                            <w:r w:rsidRPr="005F4A66">
                              <w:rPr>
                                <w:rFonts w:ascii="標楷體" w:eastAsia="標楷體" w:hAnsi="標楷體" w:cs="新細明體" w:hint="eastAsia"/>
                                <w:color w:val="000000"/>
                                <w:spacing w:val="2"/>
                                <w:kern w:val="0"/>
                                <w:sz w:val="20"/>
                                <w:szCs w:val="20"/>
                              </w:rPr>
                              <w:t>（</w:t>
                            </w:r>
                            <w:r w:rsidRPr="005F4A66">
                              <w:rPr>
                                <w:rFonts w:ascii="標楷體" w:eastAsia="標楷體" w:hAnsi="標楷體" w:cs="新細明體"/>
                                <w:color w:val="000000"/>
                                <w:spacing w:val="2"/>
                                <w:kern w:val="0"/>
                                <w:sz w:val="20"/>
                                <w:szCs w:val="20"/>
                              </w:rPr>
                              <w:t>E=C/A×100</w:t>
                            </w:r>
                            <w:r w:rsidR="005F4A66" w:rsidRPr="005F4A66">
                              <w:rPr>
                                <w:rFonts w:ascii="標楷體" w:eastAsia="標楷體" w:hAnsi="標楷體" w:cs="新細明體"/>
                                <w:color w:val="000000"/>
                                <w:spacing w:val="2"/>
                                <w:kern w:val="0"/>
                                <w:sz w:val="20"/>
                                <w:szCs w:val="20"/>
                              </w:rPr>
                              <w:t>）</w:t>
                            </w:r>
                          </w:p>
                        </w:tc>
                      </w:tr>
                      <w:tr w:rsidR="004551F8" w:rsidRPr="00743750" w14:paraId="3630E42E" w14:textId="77777777" w:rsidTr="00824CD6">
                        <w:trPr>
                          <w:trHeight w:val="217"/>
                        </w:trPr>
                        <w:tc>
                          <w:tcPr>
                            <w:tcW w:w="3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5C331E" w14:textId="77777777" w:rsidR="004551F8" w:rsidRPr="00743750" w:rsidRDefault="004551F8" w:rsidP="00824CD6">
                            <w:pPr>
                              <w:widowControl/>
                              <w:spacing w:line="320" w:lineRule="exact"/>
                              <w:jc w:val="center"/>
                              <w:rPr>
                                <w:rFonts w:ascii="標楷體" w:eastAsia="標楷體" w:hAnsi="標楷體" w:cs="新細明體"/>
                                <w:color w:val="000000"/>
                                <w:kern w:val="0"/>
                                <w:sz w:val="20"/>
                                <w:szCs w:val="20"/>
                              </w:rPr>
                            </w:pPr>
                            <w:r w:rsidRPr="00743750">
                              <w:rPr>
                                <w:rFonts w:ascii="標楷體" w:eastAsia="標楷體" w:hAnsi="標楷體" w:cs="新細明體" w:hint="eastAsia"/>
                                <w:color w:val="000000"/>
                                <w:kern w:val="0"/>
                                <w:sz w:val="20"/>
                                <w:szCs w:val="20"/>
                              </w:rPr>
                              <w:t>111</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14:paraId="0921E882" w14:textId="77777777" w:rsidR="004551F8" w:rsidRPr="00743750" w:rsidRDefault="004551F8" w:rsidP="00824CD6">
                            <w:pPr>
                              <w:widowControl/>
                              <w:spacing w:line="320" w:lineRule="exact"/>
                              <w:jc w:val="right"/>
                              <w:rPr>
                                <w:rFonts w:ascii="標楷體" w:eastAsia="標楷體" w:hAnsi="標楷體" w:cs="新細明體"/>
                                <w:color w:val="000000"/>
                                <w:kern w:val="0"/>
                                <w:sz w:val="20"/>
                                <w:szCs w:val="20"/>
                              </w:rPr>
                            </w:pPr>
                            <w:r w:rsidRPr="00613A85">
                              <w:rPr>
                                <w:rFonts w:ascii="標楷體" w:eastAsia="標楷體" w:hAnsi="標楷體" w:cs="新細明體" w:hint="eastAsia"/>
                                <w:color w:val="000000"/>
                                <w:kern w:val="0"/>
                                <w:sz w:val="20"/>
                                <w:szCs w:val="20"/>
                              </w:rPr>
                              <w:t>1</w:t>
                            </w:r>
                            <w:r w:rsidRPr="00613A85">
                              <w:rPr>
                                <w:rFonts w:ascii="標楷體" w:eastAsia="標楷體" w:hAnsi="標楷體" w:cs="新細明體"/>
                                <w:color w:val="000000"/>
                                <w:kern w:val="0"/>
                                <w:sz w:val="20"/>
                                <w:szCs w:val="20"/>
                              </w:rPr>
                              <w:t>0</w:t>
                            </w:r>
                            <w:r w:rsidRPr="00613A85">
                              <w:rPr>
                                <w:rFonts w:ascii="標楷體" w:eastAsia="標楷體" w:hAnsi="標楷體" w:cs="新細明體" w:hint="eastAsia"/>
                                <w:color w:val="000000"/>
                                <w:kern w:val="0"/>
                                <w:sz w:val="20"/>
                                <w:szCs w:val="20"/>
                              </w:rPr>
                              <w:t>,7</w:t>
                            </w:r>
                            <w:r w:rsidRPr="00613A85">
                              <w:rPr>
                                <w:rFonts w:ascii="標楷體" w:eastAsia="標楷體" w:hAnsi="標楷體" w:cs="新細明體"/>
                                <w:color w:val="000000"/>
                                <w:kern w:val="0"/>
                                <w:sz w:val="20"/>
                                <w:szCs w:val="20"/>
                              </w:rPr>
                              <w:t>87.17</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74E17833"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1</w:t>
                            </w:r>
                            <w:r>
                              <w:rPr>
                                <w:rFonts w:ascii="標楷體" w:eastAsia="標楷體" w:hAnsi="標楷體" w:cs="新細明體"/>
                                <w:color w:val="000000"/>
                                <w:spacing w:val="-10"/>
                                <w:kern w:val="0"/>
                                <w:sz w:val="20"/>
                                <w:szCs w:val="20"/>
                              </w:rPr>
                              <w:t>3</w:t>
                            </w:r>
                            <w:r>
                              <w:rPr>
                                <w:rFonts w:ascii="標楷體" w:eastAsia="標楷體" w:hAnsi="標楷體" w:cs="新細明體" w:hint="eastAsia"/>
                                <w:color w:val="000000"/>
                                <w:spacing w:val="-10"/>
                                <w:kern w:val="0"/>
                                <w:sz w:val="20"/>
                                <w:szCs w:val="20"/>
                              </w:rPr>
                              <w:t>,</w:t>
                            </w:r>
                            <w:r>
                              <w:rPr>
                                <w:rFonts w:ascii="標楷體" w:eastAsia="標楷體" w:hAnsi="標楷體" w:cs="新細明體"/>
                                <w:color w:val="000000"/>
                                <w:spacing w:val="-10"/>
                                <w:kern w:val="0"/>
                                <w:sz w:val="20"/>
                                <w:szCs w:val="20"/>
                              </w:rPr>
                              <w:t>759.74</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CD267B"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1</w:t>
                            </w:r>
                            <w:r>
                              <w:rPr>
                                <w:rFonts w:ascii="標楷體" w:eastAsia="標楷體" w:hAnsi="標楷體" w:cs="新細明體"/>
                                <w:color w:val="000000"/>
                                <w:spacing w:val="-10"/>
                                <w:kern w:val="0"/>
                                <w:sz w:val="20"/>
                                <w:szCs w:val="20"/>
                              </w:rPr>
                              <w:t>0,674.25</w:t>
                            </w:r>
                          </w:p>
                        </w:tc>
                        <w:tc>
                          <w:tcPr>
                            <w:tcW w:w="935" w:type="pct"/>
                            <w:tcBorders>
                              <w:top w:val="single" w:sz="4" w:space="0" w:color="auto"/>
                              <w:left w:val="single" w:sz="4" w:space="0" w:color="auto"/>
                              <w:bottom w:val="single" w:sz="4" w:space="0" w:color="auto"/>
                              <w:right w:val="single" w:sz="4" w:space="0" w:color="auto"/>
                            </w:tcBorders>
                            <w:shd w:val="clear" w:color="auto" w:fill="auto"/>
                            <w:vAlign w:val="center"/>
                          </w:tcPr>
                          <w:p w14:paraId="4149EA2A"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7</w:t>
                            </w:r>
                            <w:r>
                              <w:rPr>
                                <w:rFonts w:ascii="標楷體" w:eastAsia="標楷體" w:hAnsi="標楷體" w:cs="新細明體"/>
                                <w:color w:val="000000"/>
                                <w:spacing w:val="-10"/>
                                <w:kern w:val="0"/>
                                <w:sz w:val="20"/>
                                <w:szCs w:val="20"/>
                              </w:rPr>
                              <w:t>7.58</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4BA930E9"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3,</w:t>
                            </w:r>
                            <w:r>
                              <w:rPr>
                                <w:rFonts w:ascii="標楷體" w:eastAsia="標楷體" w:hAnsi="標楷體" w:cs="新細明體"/>
                                <w:color w:val="000000"/>
                                <w:spacing w:val="-10"/>
                                <w:kern w:val="0"/>
                                <w:sz w:val="20"/>
                                <w:szCs w:val="20"/>
                              </w:rPr>
                              <w:t>085.49</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34C64AD0"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2</w:t>
                            </w:r>
                            <w:r>
                              <w:rPr>
                                <w:rFonts w:ascii="標楷體" w:eastAsia="標楷體" w:hAnsi="標楷體" w:cs="新細明體"/>
                                <w:color w:val="000000"/>
                                <w:spacing w:val="-10"/>
                                <w:kern w:val="0"/>
                                <w:sz w:val="20"/>
                                <w:szCs w:val="20"/>
                              </w:rPr>
                              <w:t>2.42</w:t>
                            </w:r>
                          </w:p>
                        </w:tc>
                      </w:tr>
                      <w:tr w:rsidR="004551F8" w:rsidRPr="00743750" w14:paraId="1A3F9AE6" w14:textId="77777777" w:rsidTr="00824CD6">
                        <w:trPr>
                          <w:trHeight w:val="291"/>
                        </w:trPr>
                        <w:tc>
                          <w:tcPr>
                            <w:tcW w:w="3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AE91A7" w14:textId="77777777" w:rsidR="004551F8" w:rsidRPr="00743750" w:rsidRDefault="004551F8" w:rsidP="00824CD6">
                            <w:pPr>
                              <w:widowControl/>
                              <w:spacing w:line="320" w:lineRule="exact"/>
                              <w:jc w:val="center"/>
                              <w:rPr>
                                <w:rFonts w:ascii="標楷體" w:eastAsia="標楷體" w:hAnsi="標楷體" w:cs="新細明體"/>
                                <w:color w:val="000000"/>
                                <w:kern w:val="0"/>
                                <w:sz w:val="20"/>
                                <w:szCs w:val="20"/>
                              </w:rPr>
                            </w:pPr>
                            <w:r w:rsidRPr="00743750">
                              <w:rPr>
                                <w:rFonts w:ascii="標楷體" w:eastAsia="標楷體" w:hAnsi="標楷體" w:cs="新細明體" w:hint="eastAsia"/>
                                <w:color w:val="000000"/>
                                <w:kern w:val="0"/>
                                <w:sz w:val="20"/>
                                <w:szCs w:val="20"/>
                              </w:rPr>
                              <w:t>112</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14:paraId="20167E73" w14:textId="77777777" w:rsidR="004551F8" w:rsidRPr="00743750" w:rsidRDefault="004551F8" w:rsidP="00824CD6">
                            <w:pPr>
                              <w:widowControl/>
                              <w:spacing w:line="320" w:lineRule="exact"/>
                              <w:jc w:val="right"/>
                              <w:rPr>
                                <w:rFonts w:ascii="標楷體" w:eastAsia="標楷體" w:hAnsi="標楷體" w:cs="新細明體"/>
                                <w:color w:val="000000"/>
                                <w:kern w:val="0"/>
                                <w:sz w:val="20"/>
                                <w:szCs w:val="20"/>
                              </w:rPr>
                            </w:pPr>
                            <w:r w:rsidRPr="00613A85">
                              <w:rPr>
                                <w:rFonts w:ascii="標楷體" w:eastAsia="標楷體" w:hAnsi="標楷體" w:cs="新細明體" w:hint="eastAsia"/>
                                <w:color w:val="000000"/>
                                <w:kern w:val="0"/>
                                <w:sz w:val="20"/>
                                <w:szCs w:val="20"/>
                              </w:rPr>
                              <w:t>1</w:t>
                            </w:r>
                            <w:r w:rsidRPr="00613A85">
                              <w:rPr>
                                <w:rFonts w:ascii="標楷體" w:eastAsia="標楷體" w:hAnsi="標楷體" w:cs="新細明體"/>
                                <w:color w:val="000000"/>
                                <w:kern w:val="0"/>
                                <w:sz w:val="20"/>
                                <w:szCs w:val="20"/>
                              </w:rPr>
                              <w:t>1,590.67</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19FDBFE5"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1</w:t>
                            </w:r>
                            <w:r>
                              <w:rPr>
                                <w:rFonts w:ascii="標楷體" w:eastAsia="標楷體" w:hAnsi="標楷體" w:cs="新細明體"/>
                                <w:color w:val="000000"/>
                                <w:spacing w:val="-10"/>
                                <w:kern w:val="0"/>
                                <w:sz w:val="20"/>
                                <w:szCs w:val="20"/>
                              </w:rPr>
                              <w:t>4,332.90</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B77DEC"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8</w:t>
                            </w:r>
                            <w:r>
                              <w:rPr>
                                <w:rFonts w:ascii="標楷體" w:eastAsia="標楷體" w:hAnsi="標楷體" w:cs="新細明體"/>
                                <w:color w:val="000000"/>
                                <w:spacing w:val="-10"/>
                                <w:kern w:val="0"/>
                                <w:sz w:val="20"/>
                                <w:szCs w:val="20"/>
                              </w:rPr>
                              <w:t>,419.28</w:t>
                            </w:r>
                          </w:p>
                        </w:tc>
                        <w:tc>
                          <w:tcPr>
                            <w:tcW w:w="935" w:type="pct"/>
                            <w:tcBorders>
                              <w:top w:val="single" w:sz="4" w:space="0" w:color="auto"/>
                              <w:left w:val="single" w:sz="4" w:space="0" w:color="auto"/>
                              <w:bottom w:val="single" w:sz="4" w:space="0" w:color="auto"/>
                              <w:right w:val="single" w:sz="4" w:space="0" w:color="auto"/>
                            </w:tcBorders>
                            <w:shd w:val="clear" w:color="auto" w:fill="auto"/>
                            <w:vAlign w:val="center"/>
                          </w:tcPr>
                          <w:p w14:paraId="38669662"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5</w:t>
                            </w:r>
                            <w:r>
                              <w:rPr>
                                <w:rFonts w:ascii="標楷體" w:eastAsia="標楷體" w:hAnsi="標楷體" w:cs="新細明體"/>
                                <w:color w:val="000000"/>
                                <w:spacing w:val="-10"/>
                                <w:kern w:val="0"/>
                                <w:sz w:val="20"/>
                                <w:szCs w:val="20"/>
                              </w:rPr>
                              <w:t>8.74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52A40AA9"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5</w:t>
                            </w:r>
                            <w:r>
                              <w:rPr>
                                <w:rFonts w:ascii="標楷體" w:eastAsia="標楷體" w:hAnsi="標楷體" w:cs="新細明體"/>
                                <w:color w:val="000000"/>
                                <w:spacing w:val="-10"/>
                                <w:kern w:val="0"/>
                                <w:sz w:val="20"/>
                                <w:szCs w:val="20"/>
                              </w:rPr>
                              <w:t>,913.62</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7A39E629"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4</w:t>
                            </w:r>
                            <w:r>
                              <w:rPr>
                                <w:rFonts w:ascii="標楷體" w:eastAsia="標楷體" w:hAnsi="標楷體" w:cs="新細明體"/>
                                <w:color w:val="000000"/>
                                <w:spacing w:val="-10"/>
                                <w:kern w:val="0"/>
                                <w:sz w:val="20"/>
                                <w:szCs w:val="20"/>
                              </w:rPr>
                              <w:t>1.26</w:t>
                            </w:r>
                          </w:p>
                        </w:tc>
                      </w:tr>
                      <w:tr w:rsidR="004551F8" w:rsidRPr="00743750" w14:paraId="435365D1" w14:textId="77777777" w:rsidTr="00824CD6">
                        <w:trPr>
                          <w:trHeight w:val="291"/>
                        </w:trPr>
                        <w:tc>
                          <w:tcPr>
                            <w:tcW w:w="3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262187" w14:textId="77777777" w:rsidR="004551F8" w:rsidRPr="00743750" w:rsidRDefault="004551F8" w:rsidP="00824CD6">
                            <w:pPr>
                              <w:widowControl/>
                              <w:spacing w:line="320" w:lineRule="exact"/>
                              <w:jc w:val="center"/>
                              <w:rPr>
                                <w:rFonts w:ascii="標楷體" w:eastAsia="標楷體" w:hAnsi="標楷體" w:cs="新細明體"/>
                                <w:color w:val="000000"/>
                                <w:kern w:val="0"/>
                                <w:sz w:val="20"/>
                                <w:szCs w:val="20"/>
                              </w:rPr>
                            </w:pPr>
                            <w:r w:rsidRPr="00743750">
                              <w:rPr>
                                <w:rFonts w:ascii="標楷體" w:eastAsia="標楷體" w:hAnsi="標楷體" w:cs="新細明體" w:hint="eastAsia"/>
                                <w:color w:val="000000"/>
                                <w:kern w:val="0"/>
                                <w:sz w:val="20"/>
                                <w:szCs w:val="20"/>
                              </w:rPr>
                              <w:t>113</w:t>
                            </w:r>
                          </w:p>
                        </w:tc>
                        <w:tc>
                          <w:tcPr>
                            <w:tcW w:w="553" w:type="pct"/>
                            <w:tcBorders>
                              <w:top w:val="single" w:sz="4" w:space="0" w:color="auto"/>
                              <w:left w:val="single" w:sz="4" w:space="0" w:color="auto"/>
                              <w:bottom w:val="single" w:sz="4" w:space="0" w:color="auto"/>
                              <w:right w:val="single" w:sz="4" w:space="0" w:color="auto"/>
                            </w:tcBorders>
                            <w:shd w:val="clear" w:color="auto" w:fill="auto"/>
                            <w:vAlign w:val="center"/>
                          </w:tcPr>
                          <w:p w14:paraId="72E105D1" w14:textId="77777777" w:rsidR="004551F8" w:rsidRPr="00743750" w:rsidRDefault="004551F8" w:rsidP="00824CD6">
                            <w:pPr>
                              <w:widowControl/>
                              <w:spacing w:line="320" w:lineRule="exact"/>
                              <w:jc w:val="right"/>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11</w:t>
                            </w:r>
                            <w:r w:rsidRPr="00613A85">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190</w:t>
                            </w:r>
                            <w:r w:rsidRPr="00613A85">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83</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14:paraId="3DA91198"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1</w:t>
                            </w:r>
                            <w:r>
                              <w:rPr>
                                <w:rFonts w:ascii="標楷體" w:eastAsia="標楷體" w:hAnsi="標楷體" w:cs="新細明體"/>
                                <w:color w:val="000000"/>
                                <w:spacing w:val="-10"/>
                                <w:kern w:val="0"/>
                                <w:sz w:val="20"/>
                                <w:szCs w:val="20"/>
                              </w:rPr>
                              <w:t>1,752.05</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14D900"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hint="eastAsia"/>
                                <w:color w:val="000000"/>
                                <w:spacing w:val="-10"/>
                                <w:kern w:val="0"/>
                                <w:sz w:val="20"/>
                                <w:szCs w:val="20"/>
                              </w:rPr>
                              <w:t>5</w:t>
                            </w:r>
                            <w:r>
                              <w:rPr>
                                <w:rFonts w:ascii="標楷體" w:eastAsia="標楷體" w:hAnsi="標楷體" w:cs="新細明體"/>
                                <w:color w:val="000000"/>
                                <w:spacing w:val="-10"/>
                                <w:kern w:val="0"/>
                                <w:sz w:val="20"/>
                                <w:szCs w:val="20"/>
                              </w:rPr>
                              <w:t>,</w:t>
                            </w:r>
                            <w:r>
                              <w:rPr>
                                <w:rFonts w:ascii="標楷體" w:eastAsia="標楷體" w:hAnsi="標楷體" w:cs="新細明體" w:hint="eastAsia"/>
                                <w:color w:val="000000"/>
                                <w:spacing w:val="-10"/>
                                <w:kern w:val="0"/>
                                <w:sz w:val="20"/>
                                <w:szCs w:val="20"/>
                              </w:rPr>
                              <w:t>6</w:t>
                            </w:r>
                            <w:r>
                              <w:rPr>
                                <w:rFonts w:ascii="標楷體" w:eastAsia="標楷體" w:hAnsi="標楷體" w:cs="新細明體"/>
                                <w:color w:val="000000"/>
                                <w:spacing w:val="-10"/>
                                <w:kern w:val="0"/>
                                <w:sz w:val="20"/>
                                <w:szCs w:val="20"/>
                              </w:rPr>
                              <w:t>88.07</w:t>
                            </w:r>
                          </w:p>
                        </w:tc>
                        <w:tc>
                          <w:tcPr>
                            <w:tcW w:w="935" w:type="pct"/>
                            <w:tcBorders>
                              <w:top w:val="single" w:sz="4" w:space="0" w:color="auto"/>
                              <w:left w:val="single" w:sz="4" w:space="0" w:color="auto"/>
                              <w:bottom w:val="single" w:sz="4" w:space="0" w:color="auto"/>
                              <w:right w:val="single" w:sz="4" w:space="0" w:color="auto"/>
                            </w:tcBorders>
                            <w:shd w:val="clear" w:color="auto" w:fill="auto"/>
                            <w:vAlign w:val="center"/>
                          </w:tcPr>
                          <w:p w14:paraId="2CD5943E"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color w:val="000000"/>
                                <w:spacing w:val="-10"/>
                                <w:kern w:val="0"/>
                                <w:sz w:val="20"/>
                                <w:szCs w:val="20"/>
                              </w:rPr>
                              <w:t>48.40</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tcPr>
                          <w:p w14:paraId="18A4CDB1"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color w:val="000000"/>
                                <w:spacing w:val="-10"/>
                                <w:kern w:val="0"/>
                                <w:sz w:val="20"/>
                                <w:szCs w:val="20"/>
                              </w:rPr>
                              <w:t>6,063.98</w:t>
                            </w:r>
                          </w:p>
                        </w:tc>
                        <w:tc>
                          <w:tcPr>
                            <w:tcW w:w="969" w:type="pct"/>
                            <w:tcBorders>
                              <w:top w:val="single" w:sz="4" w:space="0" w:color="auto"/>
                              <w:left w:val="single" w:sz="4" w:space="0" w:color="auto"/>
                              <w:bottom w:val="single" w:sz="4" w:space="0" w:color="auto"/>
                              <w:right w:val="single" w:sz="4" w:space="0" w:color="auto"/>
                            </w:tcBorders>
                            <w:shd w:val="clear" w:color="auto" w:fill="auto"/>
                            <w:vAlign w:val="center"/>
                          </w:tcPr>
                          <w:p w14:paraId="0573B780" w14:textId="77777777" w:rsidR="004551F8" w:rsidRPr="00743750" w:rsidRDefault="004551F8" w:rsidP="00824CD6">
                            <w:pPr>
                              <w:widowControl/>
                              <w:spacing w:line="320" w:lineRule="exact"/>
                              <w:jc w:val="right"/>
                              <w:rPr>
                                <w:rFonts w:ascii="標楷體" w:eastAsia="標楷體" w:hAnsi="標楷體" w:cs="新細明體"/>
                                <w:color w:val="000000"/>
                                <w:spacing w:val="-10"/>
                                <w:kern w:val="0"/>
                                <w:sz w:val="20"/>
                                <w:szCs w:val="20"/>
                              </w:rPr>
                            </w:pPr>
                            <w:r>
                              <w:rPr>
                                <w:rFonts w:ascii="標楷體" w:eastAsia="標楷體" w:hAnsi="標楷體" w:cs="新細明體"/>
                                <w:color w:val="000000"/>
                                <w:spacing w:val="-10"/>
                                <w:kern w:val="0"/>
                                <w:sz w:val="20"/>
                                <w:szCs w:val="20"/>
                              </w:rPr>
                              <w:t>51.60</w:t>
                            </w:r>
                          </w:p>
                        </w:tc>
                      </w:tr>
                    </w:tbl>
                    <w:p w14:paraId="7175E53B" w14:textId="77777777" w:rsidR="004551F8" w:rsidRDefault="004551F8" w:rsidP="004551F8">
                      <w:pPr>
                        <w:spacing w:line="240" w:lineRule="exact"/>
                        <w:ind w:left="540" w:hangingChars="300" w:hanging="540"/>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飛灰產生量與飛灰穩定化物總量之重量差異，主要</w:t>
                      </w:r>
                      <w:proofErr w:type="gramStart"/>
                      <w:r>
                        <w:rPr>
                          <w:rFonts w:ascii="標楷體" w:eastAsia="標楷體" w:hAnsi="標楷體" w:hint="eastAsia"/>
                          <w:sz w:val="18"/>
                        </w:rPr>
                        <w:t>係</w:t>
                      </w:r>
                      <w:r w:rsidRPr="00504882">
                        <w:rPr>
                          <w:rFonts w:ascii="標楷體" w:eastAsia="標楷體" w:hAnsi="標楷體" w:hint="eastAsia"/>
                          <w:sz w:val="18"/>
                        </w:rPr>
                        <w:t>飛灰</w:t>
                      </w:r>
                      <w:r>
                        <w:rPr>
                          <w:rFonts w:ascii="標楷體" w:eastAsia="標楷體" w:hAnsi="標楷體" w:hint="eastAsia"/>
                          <w:sz w:val="18"/>
                        </w:rPr>
                        <w:t>於</w:t>
                      </w:r>
                      <w:r w:rsidRPr="00504882">
                        <w:rPr>
                          <w:rFonts w:ascii="標楷體" w:eastAsia="標楷體" w:hAnsi="標楷體" w:hint="eastAsia"/>
                          <w:sz w:val="18"/>
                        </w:rPr>
                        <w:t>混練穩定化</w:t>
                      </w:r>
                      <w:proofErr w:type="gramEnd"/>
                      <w:r>
                        <w:rPr>
                          <w:rFonts w:ascii="標楷體" w:eastAsia="標楷體" w:hAnsi="標楷體" w:hint="eastAsia"/>
                          <w:sz w:val="18"/>
                        </w:rPr>
                        <w:t>過程</w:t>
                      </w:r>
                      <w:r w:rsidRPr="00504882">
                        <w:rPr>
                          <w:rFonts w:ascii="標楷體" w:eastAsia="標楷體" w:hAnsi="標楷體" w:hint="eastAsia"/>
                          <w:sz w:val="18"/>
                        </w:rPr>
                        <w:t>，</w:t>
                      </w:r>
                      <w:r>
                        <w:rPr>
                          <w:rFonts w:ascii="標楷體" w:eastAsia="標楷體" w:hAnsi="標楷體" w:hint="eastAsia"/>
                          <w:sz w:val="18"/>
                        </w:rPr>
                        <w:t>需</w:t>
                      </w:r>
                      <w:r w:rsidRPr="00504882">
                        <w:rPr>
                          <w:rFonts w:ascii="標楷體" w:eastAsia="標楷體" w:hAnsi="標楷體" w:hint="eastAsia"/>
                          <w:sz w:val="18"/>
                        </w:rPr>
                        <w:t>添加適當比例之水泥、水及</w:t>
                      </w:r>
                      <w:proofErr w:type="gramStart"/>
                      <w:r w:rsidRPr="00504882">
                        <w:rPr>
                          <w:rFonts w:ascii="標楷體" w:eastAsia="標楷體" w:hAnsi="標楷體" w:hint="eastAsia"/>
                          <w:sz w:val="18"/>
                        </w:rPr>
                        <w:t>螯</w:t>
                      </w:r>
                      <w:proofErr w:type="gramEnd"/>
                      <w:r w:rsidRPr="00504882">
                        <w:rPr>
                          <w:rFonts w:ascii="標楷體" w:eastAsia="標楷體" w:hAnsi="標楷體" w:hint="eastAsia"/>
                          <w:sz w:val="18"/>
                        </w:rPr>
                        <w:t>合劑，</w:t>
                      </w:r>
                      <w:proofErr w:type="gramStart"/>
                      <w:r>
                        <w:rPr>
                          <w:rFonts w:ascii="標楷體" w:eastAsia="標楷體" w:hAnsi="標楷體" w:hint="eastAsia"/>
                          <w:sz w:val="18"/>
                        </w:rPr>
                        <w:t>故混練</w:t>
                      </w:r>
                      <w:proofErr w:type="gramEnd"/>
                      <w:r>
                        <w:rPr>
                          <w:rFonts w:ascii="標楷體" w:eastAsia="標楷體" w:hAnsi="標楷體" w:hint="eastAsia"/>
                          <w:sz w:val="18"/>
                        </w:rPr>
                        <w:t>後</w:t>
                      </w:r>
                      <w:r w:rsidRPr="00504882">
                        <w:rPr>
                          <w:rFonts w:ascii="標楷體" w:eastAsia="標楷體" w:hAnsi="標楷體" w:hint="eastAsia"/>
                          <w:sz w:val="18"/>
                        </w:rPr>
                        <w:t>穩定化物</w:t>
                      </w:r>
                      <w:r>
                        <w:rPr>
                          <w:rFonts w:ascii="標楷體" w:eastAsia="標楷體" w:hAnsi="標楷體" w:hint="eastAsia"/>
                          <w:sz w:val="18"/>
                        </w:rPr>
                        <w:t>重量較未處理飛灰重量增加</w:t>
                      </w:r>
                      <w:r w:rsidRPr="00504882">
                        <w:rPr>
                          <w:rFonts w:ascii="標楷體" w:eastAsia="標楷體" w:hAnsi="標楷體" w:hint="eastAsia"/>
                          <w:sz w:val="18"/>
                        </w:rPr>
                        <w:t>。</w:t>
                      </w:r>
                    </w:p>
                    <w:p w14:paraId="52E7EE43" w14:textId="77777777" w:rsidR="004551F8" w:rsidRDefault="004551F8" w:rsidP="004551F8">
                      <w:pPr>
                        <w:spacing w:line="240" w:lineRule="exact"/>
                        <w:ind w:leftChars="150" w:left="900" w:hangingChars="300" w:hanging="540"/>
                        <w:jc w:val="both"/>
                        <w:rPr>
                          <w:rFonts w:ascii="標楷體" w:eastAsia="標楷體" w:hAnsi="標楷體"/>
                          <w:sz w:val="18"/>
                        </w:rPr>
                      </w:pPr>
                      <w:r>
                        <w:rPr>
                          <w:rFonts w:ascii="標楷體" w:eastAsia="標楷體" w:hAnsi="標楷體"/>
                          <w:sz w:val="18"/>
                        </w:rPr>
                        <w:t>2.</w:t>
                      </w:r>
                      <w:proofErr w:type="gramStart"/>
                      <w:r>
                        <w:rPr>
                          <w:rFonts w:ascii="標楷體" w:eastAsia="標楷體" w:hAnsi="標楷體" w:hint="eastAsia"/>
                          <w:sz w:val="18"/>
                        </w:rPr>
                        <w:t>本表</w:t>
                      </w:r>
                      <w:r w:rsidRPr="00907A8D">
                        <w:rPr>
                          <w:rFonts w:ascii="標楷體" w:eastAsia="標楷體" w:hAnsi="標楷體" w:hint="eastAsia"/>
                          <w:sz w:val="18"/>
                        </w:rPr>
                        <w:t>暫存量</w:t>
                      </w:r>
                      <w:proofErr w:type="gramEnd"/>
                      <w:r w:rsidRPr="00907A8D">
                        <w:rPr>
                          <w:rFonts w:ascii="標楷體" w:eastAsia="標楷體" w:hAnsi="標楷體" w:hint="eastAsia"/>
                          <w:sz w:val="18"/>
                        </w:rPr>
                        <w:t>係指於焚化廠外之暫存場，不包括焚化廠內及灰</w:t>
                      </w:r>
                      <w:proofErr w:type="gramStart"/>
                      <w:r w:rsidRPr="00907A8D">
                        <w:rPr>
                          <w:rFonts w:ascii="標楷體" w:eastAsia="標楷體" w:hAnsi="標楷體" w:hint="eastAsia"/>
                          <w:sz w:val="18"/>
                        </w:rPr>
                        <w:t>渣貯坑</w:t>
                      </w:r>
                      <w:proofErr w:type="gramEnd"/>
                      <w:r w:rsidRPr="00907A8D">
                        <w:rPr>
                          <w:rFonts w:ascii="標楷體" w:eastAsia="標楷體" w:hAnsi="標楷體" w:hint="eastAsia"/>
                          <w:sz w:val="18"/>
                        </w:rPr>
                        <w:t>。</w:t>
                      </w:r>
                    </w:p>
                    <w:p w14:paraId="26AC547C" w14:textId="77777777" w:rsidR="004551F8" w:rsidRPr="00136999" w:rsidRDefault="004551F8" w:rsidP="004551F8">
                      <w:pPr>
                        <w:spacing w:line="240" w:lineRule="exact"/>
                        <w:ind w:leftChars="150" w:left="900" w:hangingChars="300" w:hanging="540"/>
                        <w:jc w:val="both"/>
                        <w:rPr>
                          <w:rFonts w:ascii="標楷體" w:eastAsia="標楷體" w:hAnsi="標楷體"/>
                          <w:sz w:val="18"/>
                        </w:rPr>
                      </w:pPr>
                      <w:r>
                        <w:rPr>
                          <w:rFonts w:ascii="標楷體" w:eastAsia="標楷體" w:hAnsi="標楷體" w:hint="eastAsia"/>
                          <w:sz w:val="18"/>
                        </w:rPr>
                        <w:t>3</w:t>
                      </w:r>
                      <w:r>
                        <w:rPr>
                          <w:rFonts w:ascii="標楷體" w:eastAsia="標楷體" w:hAnsi="標楷體"/>
                          <w:sz w:val="18"/>
                        </w:rPr>
                        <w:t>.</w:t>
                      </w:r>
                      <w:r w:rsidRPr="00136999">
                        <w:rPr>
                          <w:rFonts w:ascii="標楷體" w:eastAsia="標楷體" w:hAnsi="標楷體" w:hint="eastAsia"/>
                          <w:sz w:val="18"/>
                        </w:rPr>
                        <w:t>資料來源：整理自</w:t>
                      </w:r>
                      <w:r>
                        <w:rPr>
                          <w:rFonts w:ascii="標楷體" w:eastAsia="標楷體" w:hAnsi="標楷體" w:hint="eastAsia"/>
                          <w:sz w:val="18"/>
                        </w:rPr>
                        <w:t>環境部環境管理署焚化廠營運管理資訊系統</w:t>
                      </w:r>
                      <w:r w:rsidRPr="00136999">
                        <w:rPr>
                          <w:rFonts w:ascii="標楷體" w:eastAsia="標楷體" w:hAnsi="標楷體" w:hint="eastAsia"/>
                          <w:sz w:val="18"/>
                        </w:rPr>
                        <w:t>資料。</w:t>
                      </w:r>
                    </w:p>
                  </w:txbxContent>
                </v:textbox>
                <w10:wrap type="topAndBottom"/>
              </v:shape>
            </w:pict>
          </mc:Fallback>
        </mc:AlternateContent>
      </w:r>
      <w:r w:rsidRPr="00B474B8">
        <w:rPr>
          <w:rFonts w:ascii="標楷體" w:eastAsia="標楷體" w:hAnsi="標楷體" w:hint="eastAsia"/>
        </w:rPr>
        <w:t>北投垃圾焚化廠92至99年間針對飛灰之處理，</w:t>
      </w:r>
      <w:proofErr w:type="gramStart"/>
      <w:r w:rsidRPr="00B474B8">
        <w:rPr>
          <w:rFonts w:ascii="標楷體" w:eastAsia="標楷體" w:hAnsi="標楷體" w:hint="eastAsia"/>
        </w:rPr>
        <w:t>均以混練</w:t>
      </w:r>
      <w:proofErr w:type="gramEnd"/>
      <w:r w:rsidRPr="00B474B8">
        <w:rPr>
          <w:rFonts w:ascii="標楷體" w:eastAsia="標楷體" w:hAnsi="標楷體" w:hint="eastAsia"/>
        </w:rPr>
        <w:t>固化後送至環境保護局廢棄物處理場暫存，</w:t>
      </w:r>
      <w:proofErr w:type="gramStart"/>
      <w:r w:rsidRPr="00B474B8">
        <w:rPr>
          <w:rFonts w:ascii="標楷體" w:eastAsia="標楷體" w:hAnsi="標楷體" w:hint="eastAsia"/>
        </w:rPr>
        <w:t>嗣</w:t>
      </w:r>
      <w:proofErr w:type="gramEnd"/>
      <w:r w:rsidRPr="00B474B8">
        <w:rPr>
          <w:rFonts w:ascii="標楷體" w:eastAsia="標楷體" w:hAnsi="標楷體" w:hint="eastAsia"/>
        </w:rPr>
        <w:t>為促進</w:t>
      </w:r>
      <w:proofErr w:type="gramStart"/>
      <w:r w:rsidRPr="00B474B8">
        <w:rPr>
          <w:rFonts w:ascii="標楷體" w:eastAsia="標楷體" w:hAnsi="標楷體" w:hint="eastAsia"/>
        </w:rPr>
        <w:t>飛灰再利用</w:t>
      </w:r>
      <w:proofErr w:type="gramEnd"/>
      <w:r w:rsidRPr="00B474B8">
        <w:rPr>
          <w:rFonts w:ascii="標楷體" w:eastAsia="標楷體" w:hAnsi="標楷體" w:hint="eastAsia"/>
        </w:rPr>
        <w:t>，於100年斥資7,579萬餘元設置飛灰水洗廠，透過水洗處理降低</w:t>
      </w:r>
      <w:proofErr w:type="gramStart"/>
      <w:r w:rsidRPr="00B474B8">
        <w:rPr>
          <w:rFonts w:ascii="標楷體" w:eastAsia="標楷體" w:hAnsi="標楷體" w:hint="eastAsia"/>
        </w:rPr>
        <w:t>飛灰中氯</w:t>
      </w:r>
      <w:proofErr w:type="gramEnd"/>
      <w:r w:rsidRPr="00B474B8">
        <w:rPr>
          <w:rFonts w:ascii="標楷體" w:eastAsia="標楷體" w:hAnsi="標楷體" w:hint="eastAsia"/>
        </w:rPr>
        <w:t>鹽濃度，以利其他單位進行再利用。該廠</w:t>
      </w:r>
      <w:proofErr w:type="gramStart"/>
      <w:r w:rsidRPr="00B474B8">
        <w:rPr>
          <w:rFonts w:ascii="標楷體" w:eastAsia="標楷體" w:hAnsi="標楷體" w:hint="eastAsia"/>
        </w:rPr>
        <w:t>113</w:t>
      </w:r>
      <w:proofErr w:type="gramEnd"/>
      <w:r w:rsidRPr="00B474B8">
        <w:rPr>
          <w:rFonts w:ascii="標楷體" w:eastAsia="標楷體" w:hAnsi="標楷體" w:hint="eastAsia"/>
        </w:rPr>
        <w:t>年度分別於公務預算及臺北市一般廢棄物清除處理基金列支3,0</w:t>
      </w:r>
      <w:r w:rsidRPr="00B474B8">
        <w:rPr>
          <w:rFonts w:ascii="標楷體" w:eastAsia="標楷體" w:hAnsi="標楷體"/>
        </w:rPr>
        <w:t>43</w:t>
      </w:r>
      <w:r w:rsidRPr="00B474B8">
        <w:rPr>
          <w:rFonts w:ascii="標楷體" w:eastAsia="標楷體" w:hAnsi="標楷體" w:hint="eastAsia"/>
        </w:rPr>
        <w:t>萬餘元及4</w:t>
      </w:r>
      <w:r w:rsidRPr="00B474B8">
        <w:rPr>
          <w:rFonts w:ascii="標楷體" w:eastAsia="標楷體" w:hAnsi="標楷體"/>
        </w:rPr>
        <w:t>,574</w:t>
      </w:r>
      <w:r w:rsidRPr="00B474B8">
        <w:rPr>
          <w:rFonts w:ascii="標楷體" w:eastAsia="標楷體" w:hAnsi="標楷體" w:hint="eastAsia"/>
        </w:rPr>
        <w:t>萬餘元，委外辦理飛灰水洗、</w:t>
      </w:r>
      <w:proofErr w:type="gramStart"/>
      <w:r w:rsidRPr="00B474B8">
        <w:rPr>
          <w:rFonts w:ascii="標楷體" w:eastAsia="標楷體" w:hAnsi="標楷體" w:hint="eastAsia"/>
        </w:rPr>
        <w:t>混練穩定化</w:t>
      </w:r>
      <w:proofErr w:type="gramEnd"/>
      <w:r w:rsidRPr="00B474B8">
        <w:rPr>
          <w:rFonts w:ascii="標楷體" w:eastAsia="標楷體" w:hAnsi="標楷體" w:hint="eastAsia"/>
        </w:rPr>
        <w:t>操作及再利用。另該廠111至113年度產出飛灰分別為10</w:t>
      </w:r>
      <w:r w:rsidRPr="00B474B8">
        <w:rPr>
          <w:rFonts w:ascii="標楷體" w:eastAsia="標楷體" w:hAnsi="標楷體"/>
        </w:rPr>
        <w:t>,787.17</w:t>
      </w:r>
      <w:r w:rsidRPr="00B474B8">
        <w:rPr>
          <w:rFonts w:ascii="標楷體" w:eastAsia="標楷體" w:hAnsi="標楷體" w:hint="eastAsia"/>
        </w:rPr>
        <w:t>公噸、11</w:t>
      </w:r>
      <w:r w:rsidRPr="00B474B8">
        <w:rPr>
          <w:rFonts w:ascii="標楷體" w:eastAsia="標楷體" w:hAnsi="標楷體"/>
        </w:rPr>
        <w:t>,590.67</w:t>
      </w:r>
      <w:r w:rsidRPr="00B474B8">
        <w:rPr>
          <w:rFonts w:ascii="標楷體" w:eastAsia="標楷體" w:hAnsi="標楷體" w:hint="eastAsia"/>
        </w:rPr>
        <w:t>公噸及11</w:t>
      </w:r>
      <w:r w:rsidRPr="00B474B8">
        <w:rPr>
          <w:rFonts w:ascii="標楷體" w:eastAsia="標楷體" w:hAnsi="標楷體"/>
        </w:rPr>
        <w:t>,</w:t>
      </w:r>
      <w:r w:rsidRPr="00B474B8">
        <w:rPr>
          <w:rFonts w:ascii="標楷體" w:eastAsia="標楷體" w:hAnsi="標楷體" w:hint="eastAsia"/>
        </w:rPr>
        <w:t>190</w:t>
      </w:r>
      <w:r w:rsidRPr="00B474B8">
        <w:rPr>
          <w:rFonts w:ascii="標楷體" w:eastAsia="標楷體" w:hAnsi="標楷體"/>
        </w:rPr>
        <w:t>.</w:t>
      </w:r>
      <w:r w:rsidRPr="00B474B8">
        <w:rPr>
          <w:rFonts w:ascii="標楷體" w:eastAsia="標楷體" w:hAnsi="標楷體" w:hint="eastAsia"/>
        </w:rPr>
        <w:t>83公噸，經處理後飛灰穩定化物總量（含水洗及混練）分別為13</w:t>
      </w:r>
      <w:r w:rsidRPr="00B474B8">
        <w:rPr>
          <w:rFonts w:ascii="標楷體" w:eastAsia="標楷體" w:hAnsi="標楷體"/>
        </w:rPr>
        <w:t>,</w:t>
      </w:r>
      <w:r w:rsidRPr="00B474B8">
        <w:rPr>
          <w:rFonts w:ascii="標楷體" w:eastAsia="標楷體" w:hAnsi="標楷體" w:hint="eastAsia"/>
        </w:rPr>
        <w:t>7</w:t>
      </w:r>
      <w:r w:rsidRPr="00B474B8">
        <w:rPr>
          <w:rFonts w:ascii="標楷體" w:eastAsia="標楷體" w:hAnsi="標楷體"/>
        </w:rPr>
        <w:t>59.74</w:t>
      </w:r>
      <w:r w:rsidRPr="00B474B8">
        <w:rPr>
          <w:rFonts w:ascii="標楷體" w:eastAsia="標楷體" w:hAnsi="標楷體" w:hint="eastAsia"/>
        </w:rPr>
        <w:t>公噸、14</w:t>
      </w:r>
      <w:r w:rsidRPr="00B474B8">
        <w:rPr>
          <w:rFonts w:ascii="標楷體" w:eastAsia="標楷體" w:hAnsi="標楷體"/>
        </w:rPr>
        <w:t>,</w:t>
      </w:r>
      <w:r w:rsidRPr="00B474B8">
        <w:rPr>
          <w:rFonts w:ascii="標楷體" w:eastAsia="標楷體" w:hAnsi="標楷體" w:hint="eastAsia"/>
        </w:rPr>
        <w:t>33</w:t>
      </w:r>
      <w:r w:rsidRPr="00B474B8">
        <w:rPr>
          <w:rFonts w:ascii="標楷體" w:eastAsia="標楷體" w:hAnsi="標楷體"/>
        </w:rPr>
        <w:t>2.90</w:t>
      </w:r>
      <w:r w:rsidRPr="00B474B8">
        <w:rPr>
          <w:rFonts w:ascii="標楷體" w:eastAsia="標楷體" w:hAnsi="標楷體" w:hint="eastAsia"/>
        </w:rPr>
        <w:t>公噸及11</w:t>
      </w:r>
      <w:r w:rsidRPr="00B474B8">
        <w:rPr>
          <w:rFonts w:ascii="標楷體" w:eastAsia="標楷體" w:hAnsi="標楷體"/>
        </w:rPr>
        <w:t>,</w:t>
      </w:r>
      <w:r w:rsidRPr="00B474B8">
        <w:rPr>
          <w:rFonts w:ascii="標楷體" w:eastAsia="標楷體" w:hAnsi="標楷體" w:hint="eastAsia"/>
        </w:rPr>
        <w:t>752</w:t>
      </w:r>
      <w:r w:rsidRPr="00B474B8">
        <w:rPr>
          <w:rFonts w:ascii="標楷體" w:eastAsia="標楷體" w:hAnsi="標楷體"/>
        </w:rPr>
        <w:t>.</w:t>
      </w:r>
      <w:r w:rsidRPr="00B474B8">
        <w:rPr>
          <w:rFonts w:ascii="標楷體" w:eastAsia="標楷體" w:hAnsi="標楷體" w:hint="eastAsia"/>
        </w:rPr>
        <w:t>0</w:t>
      </w:r>
      <w:r w:rsidRPr="00B474B8">
        <w:rPr>
          <w:rFonts w:ascii="標楷體" w:eastAsia="標楷體" w:hAnsi="標楷體"/>
        </w:rPr>
        <w:t>5</w:t>
      </w:r>
      <w:r w:rsidRPr="00B474B8">
        <w:rPr>
          <w:rFonts w:ascii="標楷體" w:eastAsia="標楷體" w:hAnsi="標楷體" w:hint="eastAsia"/>
        </w:rPr>
        <w:t>公噸（表2）。</w:t>
      </w:r>
      <w:proofErr w:type="gramStart"/>
      <w:r w:rsidRPr="00B474B8">
        <w:rPr>
          <w:rFonts w:ascii="標楷體" w:eastAsia="標楷體" w:hAnsi="標楷體" w:hint="eastAsia"/>
        </w:rPr>
        <w:t>經查飛灰</w:t>
      </w:r>
      <w:proofErr w:type="gramEnd"/>
      <w:r w:rsidRPr="00B474B8">
        <w:rPr>
          <w:rFonts w:ascii="標楷體" w:eastAsia="標楷體" w:hAnsi="標楷體" w:hint="eastAsia"/>
        </w:rPr>
        <w:t>水洗穩定化操作，因考量再利用機構特性及製程不同，</w:t>
      </w:r>
      <w:proofErr w:type="gramStart"/>
      <w:r w:rsidRPr="00B474B8">
        <w:rPr>
          <w:rFonts w:ascii="標楷體" w:eastAsia="標楷體" w:hAnsi="標楷體" w:hint="eastAsia"/>
        </w:rPr>
        <w:t>爰</w:t>
      </w:r>
      <w:proofErr w:type="gramEnd"/>
      <w:r w:rsidRPr="00B474B8">
        <w:rPr>
          <w:rFonts w:ascii="標楷體" w:eastAsia="標楷體" w:hAnsi="標楷體" w:hint="eastAsia"/>
        </w:rPr>
        <w:t>對於</w:t>
      </w:r>
    </w:p>
    <w:p w14:paraId="0A63A590" w14:textId="379DD2FA" w:rsidR="004551F8" w:rsidRPr="00B474B8" w:rsidRDefault="004551F8" w:rsidP="00AE147C">
      <w:pPr>
        <w:spacing w:before="120" w:line="440" w:lineRule="exact"/>
        <w:jc w:val="both"/>
        <w:rPr>
          <w:rFonts w:ascii="標楷體" w:eastAsia="標楷體" w:hAnsi="標楷體"/>
        </w:rPr>
      </w:pPr>
      <w:r w:rsidRPr="00B474B8">
        <w:rPr>
          <w:rFonts w:ascii="標楷體" w:eastAsia="標楷體" w:hAnsi="標楷體" w:hint="eastAsia"/>
        </w:rPr>
        <w:lastRenderedPageBreak/>
        <w:t>水洗穩定化</w:t>
      </w:r>
      <w:proofErr w:type="gramStart"/>
      <w:r w:rsidRPr="00B474B8">
        <w:rPr>
          <w:rFonts w:ascii="標楷體" w:eastAsia="標楷體" w:hAnsi="標楷體" w:hint="eastAsia"/>
        </w:rPr>
        <w:t>飛灰氯鹽</w:t>
      </w:r>
      <w:proofErr w:type="gramEnd"/>
      <w:r w:rsidRPr="00B474B8">
        <w:rPr>
          <w:rFonts w:ascii="標楷體" w:eastAsia="標楷體" w:hAnsi="標楷體" w:hint="eastAsia"/>
        </w:rPr>
        <w:t>濃度亦有所不同，若以氯鹽濃度1％以下標準，飛灰水洗廠1日飛灰水洗量最大可達34.5公噸，推算1年飛灰水洗量應可達8,970公噸（34.5公噸×5工作日×52</w:t>
      </w:r>
      <w:proofErr w:type="gramStart"/>
      <w:r w:rsidRPr="00B474B8">
        <w:rPr>
          <w:rFonts w:ascii="標楷體" w:eastAsia="標楷體" w:hAnsi="標楷體" w:hint="eastAsia"/>
        </w:rPr>
        <w:t>週</w:t>
      </w:r>
      <w:proofErr w:type="gramEnd"/>
      <w:r w:rsidRPr="00B474B8">
        <w:rPr>
          <w:rFonts w:ascii="標楷體" w:eastAsia="標楷體" w:hAnsi="標楷體" w:hint="eastAsia"/>
        </w:rPr>
        <w:t>），並供後續再利用，惟111至113年度飛灰水洗再利用量僅分別為3</w:t>
      </w:r>
      <w:r w:rsidRPr="00B474B8">
        <w:rPr>
          <w:rFonts w:ascii="標楷體" w:eastAsia="標楷體" w:hAnsi="標楷體"/>
        </w:rPr>
        <w:t>,085</w:t>
      </w:r>
      <w:r w:rsidRPr="00B474B8">
        <w:rPr>
          <w:rFonts w:ascii="標楷體" w:eastAsia="標楷體" w:hAnsi="標楷體" w:hint="eastAsia"/>
        </w:rPr>
        <w:t>.49公噸、5,913.62公噸及6,063.98公噸，占當年度飛灰穩定化物總量之比率（即飛灰再利用率）分別為22.42％、41.26％及51.60％，</w:t>
      </w:r>
      <w:proofErr w:type="gramStart"/>
      <w:r w:rsidRPr="00B474B8">
        <w:rPr>
          <w:rFonts w:ascii="標楷體" w:eastAsia="標楷體" w:hAnsi="標楷體" w:hint="eastAsia"/>
        </w:rPr>
        <w:t>飛灰再利用率</w:t>
      </w:r>
      <w:proofErr w:type="gramEnd"/>
      <w:r w:rsidRPr="00B474B8">
        <w:rPr>
          <w:rFonts w:ascii="標楷體" w:eastAsia="標楷體" w:hAnsi="標楷體" w:hint="eastAsia"/>
        </w:rPr>
        <w:t>雖已逐年上升，惟仍未及</w:t>
      </w:r>
      <w:proofErr w:type="gramStart"/>
      <w:r w:rsidRPr="00B474B8">
        <w:rPr>
          <w:rFonts w:ascii="標楷體" w:eastAsia="標楷體" w:hAnsi="標楷體" w:hint="eastAsia"/>
        </w:rPr>
        <w:t>6成</w:t>
      </w:r>
      <w:proofErr w:type="gramEnd"/>
      <w:r w:rsidRPr="00B474B8">
        <w:rPr>
          <w:rFonts w:ascii="標楷體" w:eastAsia="標楷體" w:hAnsi="標楷體" w:hint="eastAsia"/>
        </w:rPr>
        <w:t>，允宜</w:t>
      </w:r>
      <w:proofErr w:type="gramStart"/>
      <w:r w:rsidRPr="00B474B8">
        <w:rPr>
          <w:rFonts w:ascii="標楷體" w:eastAsia="標楷體" w:hAnsi="標楷體" w:hint="eastAsia"/>
        </w:rPr>
        <w:t>研</w:t>
      </w:r>
      <w:proofErr w:type="gramEnd"/>
      <w:r w:rsidRPr="00B474B8">
        <w:rPr>
          <w:rFonts w:ascii="標楷體" w:eastAsia="標楷體" w:hAnsi="標楷體" w:hint="eastAsia"/>
        </w:rPr>
        <w:t>謀拓展多元飛灰水洗再利用管道</w:t>
      </w:r>
      <w:r w:rsidRPr="00B474B8">
        <w:rPr>
          <w:rFonts w:ascii="標楷體" w:eastAsia="標楷體" w:hAnsi="標楷體" w:hint="eastAsia"/>
          <w:b/>
        </w:rPr>
        <w:t>，</w:t>
      </w:r>
      <w:r w:rsidRPr="00B474B8">
        <w:rPr>
          <w:rFonts w:ascii="標楷體" w:eastAsia="標楷體" w:hAnsi="標楷體" w:hint="eastAsia"/>
        </w:rPr>
        <w:t>積極轉換為可再生利用資源，以達資源全循環零廢棄目標，經函請檢討改善。據復：114年預計再利用量6,500公噸，並規劃自115年起每年增加再利用量1,200公噸，目標於119年飛灰全部以水洗再利用方式處理。另為因應後續逐年增加再利用量，正積極開拓其他再利用方式，以提高再利用量。</w:t>
      </w:r>
    </w:p>
    <w:p w14:paraId="2BD34E5F" w14:textId="77777777" w:rsidR="004551F8" w:rsidRPr="00B474B8" w:rsidRDefault="004551F8" w:rsidP="004551F8">
      <w:pPr>
        <w:spacing w:before="120" w:after="120" w:line="460" w:lineRule="exact"/>
        <w:jc w:val="both"/>
        <w:outlineLvl w:val="2"/>
        <w:rPr>
          <w:rFonts w:ascii="標楷體" w:eastAsia="標楷體" w:hAnsi="標楷體"/>
          <w:b/>
          <w:sz w:val="32"/>
          <w:szCs w:val="32"/>
        </w:rPr>
      </w:pPr>
      <w:r w:rsidRPr="00B474B8">
        <w:rPr>
          <w:rFonts w:ascii="標楷體" w:eastAsia="標楷體" w:hAnsi="標楷體" w:hint="eastAsia"/>
          <w:b/>
          <w:sz w:val="32"/>
          <w:szCs w:val="32"/>
        </w:rPr>
        <w:t>四、</w:t>
      </w:r>
      <w:proofErr w:type="gramStart"/>
      <w:r w:rsidRPr="00B474B8">
        <w:rPr>
          <w:rFonts w:ascii="標楷體" w:eastAsia="標楷體" w:hAnsi="標楷體" w:hint="eastAsia"/>
          <w:b/>
          <w:sz w:val="32"/>
          <w:szCs w:val="32"/>
        </w:rPr>
        <w:t>1</w:t>
      </w:r>
      <w:r w:rsidRPr="00B474B8">
        <w:rPr>
          <w:rFonts w:ascii="標楷體" w:eastAsia="標楷體" w:hAnsi="標楷體"/>
          <w:b/>
          <w:sz w:val="32"/>
          <w:szCs w:val="32"/>
        </w:rPr>
        <w:t>1</w:t>
      </w:r>
      <w:r w:rsidRPr="00B474B8">
        <w:rPr>
          <w:rFonts w:ascii="標楷體" w:eastAsia="標楷體" w:hAnsi="標楷體" w:hint="eastAsia"/>
          <w:b/>
          <w:sz w:val="32"/>
          <w:szCs w:val="32"/>
        </w:rPr>
        <w:t>2</w:t>
      </w:r>
      <w:proofErr w:type="gramEnd"/>
      <w:r w:rsidRPr="00B474B8">
        <w:rPr>
          <w:rFonts w:ascii="標楷體" w:eastAsia="標楷體" w:hAnsi="標楷體" w:hint="eastAsia"/>
          <w:b/>
          <w:sz w:val="32"/>
          <w:szCs w:val="32"/>
        </w:rPr>
        <w:t>年度重要審核意見追蹤查核情形</w:t>
      </w:r>
    </w:p>
    <w:p w14:paraId="647249CF" w14:textId="77777777" w:rsidR="004551F8" w:rsidRPr="00B474B8" w:rsidRDefault="004551F8" w:rsidP="004551F8">
      <w:pPr>
        <w:overflowPunct w:val="0"/>
        <w:spacing w:after="120" w:line="460" w:lineRule="exact"/>
        <w:ind w:firstLineChars="200" w:firstLine="480"/>
        <w:jc w:val="both"/>
        <w:rPr>
          <w:rFonts w:ascii="標楷體" w:eastAsia="標楷體" w:hAnsi="標楷體"/>
          <w:bCs/>
        </w:rPr>
      </w:pPr>
      <w:r w:rsidRPr="00B474B8">
        <w:rPr>
          <w:rFonts w:ascii="標楷體" w:eastAsia="標楷體" w:hAnsi="標楷體" w:hint="eastAsia"/>
          <w:bCs/>
        </w:rPr>
        <w:t>本處於</w:t>
      </w:r>
      <w:proofErr w:type="gramStart"/>
      <w:r w:rsidRPr="00B474B8">
        <w:rPr>
          <w:rFonts w:ascii="標楷體" w:eastAsia="標楷體" w:hAnsi="標楷體" w:hint="eastAsia"/>
          <w:bCs/>
        </w:rPr>
        <w:t>1</w:t>
      </w:r>
      <w:r w:rsidRPr="00B474B8">
        <w:rPr>
          <w:rFonts w:ascii="標楷體" w:eastAsia="標楷體" w:hAnsi="標楷體"/>
          <w:bCs/>
        </w:rPr>
        <w:t>1</w:t>
      </w:r>
      <w:r w:rsidRPr="00B474B8">
        <w:rPr>
          <w:rFonts w:ascii="標楷體" w:eastAsia="標楷體" w:hAnsi="標楷體" w:hint="eastAsia"/>
          <w:bCs/>
        </w:rPr>
        <w:t>2</w:t>
      </w:r>
      <w:proofErr w:type="gramEnd"/>
      <w:r w:rsidRPr="00B474B8">
        <w:rPr>
          <w:rFonts w:ascii="標楷體" w:eastAsia="標楷體" w:hAnsi="標楷體" w:hint="eastAsia"/>
          <w:bCs/>
        </w:rPr>
        <w:t>年度審核報告內列重要審核意見8項，經</w:t>
      </w:r>
      <w:proofErr w:type="gramStart"/>
      <w:r w:rsidRPr="00B474B8">
        <w:rPr>
          <w:rFonts w:ascii="標楷體" w:eastAsia="標楷體" w:hAnsi="標楷體" w:hint="eastAsia"/>
          <w:bCs/>
        </w:rPr>
        <w:t>賡</w:t>
      </w:r>
      <w:proofErr w:type="gramEnd"/>
      <w:r w:rsidRPr="00B474B8">
        <w:rPr>
          <w:rFonts w:ascii="標楷體" w:eastAsia="標楷體" w:hAnsi="標楷體" w:hint="eastAsia"/>
          <w:bCs/>
        </w:rPr>
        <w:t>續追蹤查核實際辦理結果，均已</w:t>
      </w:r>
      <w:proofErr w:type="gramStart"/>
      <w:r w:rsidRPr="00B474B8">
        <w:rPr>
          <w:rFonts w:ascii="標楷體" w:eastAsia="標楷體" w:hAnsi="標楷體" w:hint="eastAsia"/>
          <w:bCs/>
        </w:rPr>
        <w:t>研</w:t>
      </w:r>
      <w:proofErr w:type="gramEnd"/>
      <w:r w:rsidRPr="00B474B8">
        <w:rPr>
          <w:rFonts w:ascii="標楷體" w:eastAsia="標楷體" w:hAnsi="標楷體" w:hint="eastAsia"/>
          <w:bCs/>
        </w:rPr>
        <w:t>謀改善或依改善措施持續辦理（表3）。</w:t>
      </w:r>
    </w:p>
    <w:p w14:paraId="0F8665FD" w14:textId="77777777" w:rsidR="004551F8" w:rsidRPr="00B474B8" w:rsidRDefault="004551F8" w:rsidP="004551F8">
      <w:pPr>
        <w:widowControl/>
        <w:spacing w:before="120"/>
        <w:ind w:left="720" w:rightChars="-167" w:right="-401" w:hanging="1004"/>
        <w:jc w:val="center"/>
        <w:rPr>
          <w:rFonts w:ascii="標楷體" w:eastAsia="標楷體" w:hAnsi="標楷體"/>
          <w:b/>
        </w:rPr>
      </w:pPr>
      <w:r w:rsidRPr="00B474B8">
        <w:rPr>
          <w:rFonts w:ascii="標楷體" w:eastAsia="標楷體" w:hAnsi="標楷體" w:hint="eastAsia"/>
          <w:b/>
        </w:rPr>
        <w:t xml:space="preserve">表3　</w:t>
      </w:r>
      <w:proofErr w:type="gramStart"/>
      <w:r w:rsidRPr="00B474B8">
        <w:rPr>
          <w:rFonts w:ascii="標楷體" w:eastAsia="標楷體" w:hAnsi="標楷體" w:hint="eastAsia"/>
          <w:b/>
        </w:rPr>
        <w:t>112</w:t>
      </w:r>
      <w:proofErr w:type="gramEnd"/>
      <w:r w:rsidRPr="00B474B8">
        <w:rPr>
          <w:rFonts w:ascii="標楷體" w:eastAsia="標楷體" w:hAnsi="標楷體" w:hint="eastAsia"/>
          <w:b/>
        </w:rPr>
        <w:t>年度審核報告所列環境保護局主管重要審核意見覆核辦理情形</w:t>
      </w:r>
    </w:p>
    <w:tbl>
      <w:tblPr>
        <w:tblW w:w="9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847"/>
        <w:gridCol w:w="2041"/>
      </w:tblGrid>
      <w:tr w:rsidR="004551F8" w:rsidRPr="00B474B8" w14:paraId="63F32511" w14:textId="77777777" w:rsidTr="00824CD6">
        <w:trPr>
          <w:trHeight w:val="342"/>
          <w:tblHeader/>
          <w:jc w:val="center"/>
        </w:trPr>
        <w:tc>
          <w:tcPr>
            <w:tcW w:w="7847" w:type="dxa"/>
            <w:tcBorders>
              <w:top w:val="single" w:sz="4" w:space="0" w:color="auto"/>
              <w:left w:val="single" w:sz="4" w:space="0" w:color="auto"/>
              <w:bottom w:val="single" w:sz="4" w:space="0" w:color="auto"/>
              <w:right w:val="single" w:sz="4" w:space="0" w:color="auto"/>
            </w:tcBorders>
            <w:vAlign w:val="center"/>
          </w:tcPr>
          <w:p w14:paraId="320361F1" w14:textId="77777777" w:rsidR="004551F8" w:rsidRPr="00B474B8" w:rsidRDefault="004551F8" w:rsidP="00824CD6">
            <w:pPr>
              <w:widowControl/>
              <w:jc w:val="center"/>
              <w:rPr>
                <w:rFonts w:ascii="標楷體" w:eastAsia="標楷體" w:hAnsi="標楷體"/>
                <w:sz w:val="20"/>
                <w:szCs w:val="20"/>
              </w:rPr>
            </w:pPr>
            <w:r w:rsidRPr="00B474B8">
              <w:rPr>
                <w:rFonts w:ascii="標楷體" w:eastAsia="標楷體" w:hAnsi="標楷體" w:hint="eastAsia"/>
                <w:sz w:val="20"/>
                <w:szCs w:val="20"/>
              </w:rPr>
              <w:t>重要審核意見標題</w:t>
            </w:r>
          </w:p>
        </w:tc>
        <w:tc>
          <w:tcPr>
            <w:tcW w:w="2041" w:type="dxa"/>
            <w:tcBorders>
              <w:top w:val="single" w:sz="4" w:space="0" w:color="auto"/>
              <w:left w:val="single" w:sz="4" w:space="0" w:color="auto"/>
              <w:bottom w:val="single" w:sz="4" w:space="0" w:color="auto"/>
              <w:right w:val="single" w:sz="4" w:space="0" w:color="auto"/>
            </w:tcBorders>
            <w:vAlign w:val="center"/>
          </w:tcPr>
          <w:p w14:paraId="46D13BE2" w14:textId="77777777" w:rsidR="004551F8" w:rsidRPr="00B474B8" w:rsidRDefault="004551F8" w:rsidP="00824CD6">
            <w:pPr>
              <w:widowControl/>
              <w:jc w:val="center"/>
              <w:rPr>
                <w:rFonts w:ascii="標楷體" w:eastAsia="標楷體" w:hAnsi="標楷體"/>
                <w:sz w:val="20"/>
                <w:szCs w:val="20"/>
              </w:rPr>
            </w:pPr>
            <w:r w:rsidRPr="00B474B8">
              <w:rPr>
                <w:rFonts w:ascii="標楷體" w:eastAsia="標楷體" w:hAnsi="標楷體" w:hint="eastAsia"/>
                <w:sz w:val="20"/>
                <w:szCs w:val="20"/>
              </w:rPr>
              <w:t>說明</w:t>
            </w:r>
          </w:p>
        </w:tc>
      </w:tr>
      <w:tr w:rsidR="004551F8" w:rsidRPr="00B474B8" w14:paraId="5288713D" w14:textId="77777777" w:rsidTr="0072102A">
        <w:trPr>
          <w:trHeight w:val="397"/>
          <w:jc w:val="center"/>
        </w:trPr>
        <w:tc>
          <w:tcPr>
            <w:tcW w:w="7847" w:type="dxa"/>
            <w:tcBorders>
              <w:top w:val="single" w:sz="4" w:space="0" w:color="auto"/>
              <w:left w:val="single" w:sz="4" w:space="0" w:color="auto"/>
              <w:bottom w:val="single" w:sz="4" w:space="0" w:color="auto"/>
              <w:right w:val="nil"/>
            </w:tcBorders>
            <w:vAlign w:val="center"/>
          </w:tcPr>
          <w:p w14:paraId="01E1E076" w14:textId="77777777" w:rsidR="004551F8" w:rsidRPr="00B474B8" w:rsidRDefault="004551F8" w:rsidP="00824CD6">
            <w:pPr>
              <w:widowControl/>
              <w:ind w:leftChars="-10" w:left="294" w:hangingChars="159" w:hanging="318"/>
              <w:jc w:val="both"/>
              <w:rPr>
                <w:rFonts w:ascii="標楷體" w:eastAsia="標楷體" w:hAnsi="標楷體"/>
                <w:b/>
                <w:sz w:val="20"/>
                <w:szCs w:val="20"/>
              </w:rPr>
            </w:pPr>
            <w:r w:rsidRPr="00B474B8">
              <w:rPr>
                <w:rFonts w:ascii="標楷體" w:eastAsia="標楷體" w:hAnsi="標楷體" w:hint="eastAsia"/>
                <w:b/>
                <w:noProof/>
                <w:sz w:val="20"/>
                <w:szCs w:val="20"/>
              </w:rPr>
              <w:t>已研謀改善或依改善措施持續辦理</w:t>
            </w:r>
          </w:p>
        </w:tc>
        <w:tc>
          <w:tcPr>
            <w:tcW w:w="2041" w:type="dxa"/>
            <w:tcBorders>
              <w:top w:val="single" w:sz="4" w:space="0" w:color="auto"/>
              <w:left w:val="nil"/>
              <w:bottom w:val="single" w:sz="4" w:space="0" w:color="auto"/>
              <w:right w:val="single" w:sz="4" w:space="0" w:color="auto"/>
            </w:tcBorders>
          </w:tcPr>
          <w:p w14:paraId="516CB5D4" w14:textId="77777777" w:rsidR="004551F8" w:rsidRPr="00B474B8" w:rsidRDefault="004551F8" w:rsidP="00824CD6">
            <w:pPr>
              <w:widowControl/>
              <w:spacing w:line="240" w:lineRule="exact"/>
              <w:jc w:val="both"/>
              <w:rPr>
                <w:rFonts w:ascii="標楷體" w:eastAsia="標楷體" w:hAnsi="標楷體"/>
                <w:b/>
                <w:sz w:val="20"/>
                <w:szCs w:val="20"/>
              </w:rPr>
            </w:pPr>
          </w:p>
        </w:tc>
      </w:tr>
      <w:tr w:rsidR="004551F8" w:rsidRPr="00B474B8" w14:paraId="7ED4DE59" w14:textId="77777777" w:rsidTr="00824CD6">
        <w:trPr>
          <w:trHeight w:val="507"/>
          <w:jc w:val="center"/>
        </w:trPr>
        <w:tc>
          <w:tcPr>
            <w:tcW w:w="7847" w:type="dxa"/>
            <w:tcBorders>
              <w:top w:val="single" w:sz="4" w:space="0" w:color="auto"/>
              <w:left w:val="single" w:sz="4" w:space="0" w:color="auto"/>
              <w:bottom w:val="single" w:sz="4" w:space="0" w:color="auto"/>
              <w:right w:val="single" w:sz="4" w:space="0" w:color="auto"/>
            </w:tcBorders>
          </w:tcPr>
          <w:p w14:paraId="576D1F3B" w14:textId="77777777" w:rsidR="004551F8" w:rsidRPr="00B474B8" w:rsidRDefault="004551F8" w:rsidP="00824CD6">
            <w:pPr>
              <w:widowControl/>
              <w:spacing w:line="320" w:lineRule="exact"/>
              <w:ind w:leftChars="-10" w:left="556" w:hangingChars="290" w:hanging="580"/>
              <w:jc w:val="both"/>
              <w:rPr>
                <w:rFonts w:ascii="標楷體" w:eastAsia="標楷體" w:hAnsi="標楷體"/>
                <w:noProof/>
                <w:sz w:val="20"/>
                <w:szCs w:val="20"/>
              </w:rPr>
            </w:pPr>
            <w:r w:rsidRPr="00B474B8">
              <w:rPr>
                <w:rFonts w:ascii="標楷體" w:eastAsia="標楷體" w:hAnsi="標楷體" w:hint="eastAsia"/>
                <w:noProof/>
                <w:sz w:val="20"/>
                <w:szCs w:val="20"/>
              </w:rPr>
              <w:t>（一）為促進公私場所改善室內空氣品質，推動自主管理標章制度，惟逾百處場所認證標章屆期失效，迄未展延或再提出申請，且公告列管場所僅3成取得標章，允宜積極輔導並鼓勵主動申請標章，以維護公眾健康並提升企業形象。</w:t>
            </w:r>
          </w:p>
        </w:tc>
        <w:tc>
          <w:tcPr>
            <w:tcW w:w="2041" w:type="dxa"/>
            <w:vMerge w:val="restart"/>
            <w:tcBorders>
              <w:top w:val="single" w:sz="4" w:space="0" w:color="auto"/>
              <w:left w:val="single" w:sz="4" w:space="0" w:color="auto"/>
              <w:right w:val="single" w:sz="4" w:space="0" w:color="auto"/>
              <w:tl2br w:val="single" w:sz="4" w:space="0" w:color="auto"/>
            </w:tcBorders>
          </w:tcPr>
          <w:p w14:paraId="1053EDC2" w14:textId="77777777" w:rsidR="004551F8" w:rsidRPr="00B474B8" w:rsidRDefault="004551F8" w:rsidP="00824CD6">
            <w:pPr>
              <w:widowControl/>
              <w:spacing w:line="240" w:lineRule="exact"/>
              <w:jc w:val="both"/>
              <w:rPr>
                <w:rFonts w:ascii="標楷體" w:eastAsia="標楷體" w:hAnsi="標楷體"/>
                <w:sz w:val="20"/>
                <w:szCs w:val="20"/>
              </w:rPr>
            </w:pPr>
          </w:p>
        </w:tc>
      </w:tr>
      <w:tr w:rsidR="004551F8" w:rsidRPr="00B474B8" w14:paraId="3743747C" w14:textId="77777777" w:rsidTr="00824CD6">
        <w:trPr>
          <w:trHeight w:val="766"/>
          <w:jc w:val="center"/>
        </w:trPr>
        <w:tc>
          <w:tcPr>
            <w:tcW w:w="7847" w:type="dxa"/>
            <w:tcBorders>
              <w:top w:val="single" w:sz="4" w:space="0" w:color="auto"/>
              <w:left w:val="single" w:sz="4" w:space="0" w:color="auto"/>
              <w:bottom w:val="single" w:sz="4" w:space="0" w:color="auto"/>
              <w:right w:val="single" w:sz="4" w:space="0" w:color="auto"/>
            </w:tcBorders>
          </w:tcPr>
          <w:p w14:paraId="47630959" w14:textId="77777777" w:rsidR="004551F8" w:rsidRPr="00B474B8" w:rsidRDefault="004551F8" w:rsidP="00824CD6">
            <w:pPr>
              <w:widowControl/>
              <w:spacing w:line="320" w:lineRule="exact"/>
              <w:ind w:leftChars="-10" w:left="556" w:hangingChars="290" w:hanging="580"/>
              <w:jc w:val="both"/>
              <w:rPr>
                <w:rFonts w:ascii="標楷體" w:eastAsia="標楷體" w:hAnsi="標楷體"/>
                <w:noProof/>
                <w:sz w:val="20"/>
                <w:szCs w:val="20"/>
              </w:rPr>
            </w:pPr>
            <w:r w:rsidRPr="00B474B8">
              <w:rPr>
                <w:rFonts w:ascii="標楷體" w:eastAsia="標楷體" w:hAnsi="標楷體" w:hint="eastAsia"/>
                <w:noProof/>
                <w:sz w:val="20"/>
                <w:szCs w:val="20"/>
              </w:rPr>
              <w:t>（二）為有效管理與維護公廁安全及環境衛生，制定臺北市公廁環境衛生管理自治條例，惟部分公廁尚欠缺扶手、求助鈴等設施，且尚有半數親子廁所未設置兒童座椅及尿布臺，有待檢討改善，以營造安心舒適環境。</w:t>
            </w:r>
          </w:p>
        </w:tc>
        <w:tc>
          <w:tcPr>
            <w:tcW w:w="2041" w:type="dxa"/>
            <w:vMerge/>
            <w:tcBorders>
              <w:left w:val="single" w:sz="4" w:space="0" w:color="auto"/>
              <w:right w:val="single" w:sz="4" w:space="0" w:color="auto"/>
              <w:tl2br w:val="single" w:sz="4" w:space="0" w:color="auto"/>
            </w:tcBorders>
          </w:tcPr>
          <w:p w14:paraId="3D6A6F7A" w14:textId="77777777" w:rsidR="004551F8" w:rsidRPr="00B474B8" w:rsidRDefault="004551F8" w:rsidP="00824CD6">
            <w:pPr>
              <w:widowControl/>
              <w:spacing w:line="240" w:lineRule="exact"/>
              <w:jc w:val="both"/>
              <w:rPr>
                <w:rFonts w:ascii="標楷體" w:eastAsia="標楷體" w:hAnsi="標楷體"/>
                <w:sz w:val="20"/>
                <w:szCs w:val="20"/>
              </w:rPr>
            </w:pPr>
          </w:p>
        </w:tc>
      </w:tr>
      <w:tr w:rsidR="004551F8" w:rsidRPr="00B474B8" w14:paraId="7D22BB93" w14:textId="77777777" w:rsidTr="00824CD6">
        <w:trPr>
          <w:trHeight w:val="766"/>
          <w:jc w:val="center"/>
        </w:trPr>
        <w:tc>
          <w:tcPr>
            <w:tcW w:w="7847" w:type="dxa"/>
            <w:tcBorders>
              <w:top w:val="single" w:sz="4" w:space="0" w:color="auto"/>
              <w:left w:val="single" w:sz="4" w:space="0" w:color="auto"/>
              <w:bottom w:val="single" w:sz="4" w:space="0" w:color="auto"/>
              <w:right w:val="single" w:sz="4" w:space="0" w:color="auto"/>
            </w:tcBorders>
          </w:tcPr>
          <w:p w14:paraId="31D898BB" w14:textId="77777777" w:rsidR="004551F8" w:rsidRPr="00B474B8" w:rsidRDefault="004551F8" w:rsidP="00824CD6">
            <w:pPr>
              <w:widowControl/>
              <w:spacing w:line="320" w:lineRule="exact"/>
              <w:ind w:leftChars="-10" w:left="556" w:hangingChars="290" w:hanging="580"/>
              <w:jc w:val="both"/>
              <w:rPr>
                <w:rFonts w:ascii="標楷體" w:eastAsia="標楷體" w:hAnsi="標楷體"/>
                <w:noProof/>
                <w:sz w:val="20"/>
                <w:szCs w:val="20"/>
              </w:rPr>
            </w:pPr>
            <w:r w:rsidRPr="00B474B8">
              <w:rPr>
                <w:rFonts w:ascii="標楷體" w:eastAsia="標楷體" w:hAnsi="標楷體" w:hint="eastAsia"/>
                <w:noProof/>
                <w:sz w:val="20"/>
                <w:szCs w:val="20"/>
              </w:rPr>
              <w:t>（三）購置小型掃街車執行道路清掃作業，有部分車輛於保固期內損壞，惟未依契約規範責令廠商即時修復，共閒置637日，另有16位未具操作資格者駕駛掃街車等情，均待檢討改善。</w:t>
            </w:r>
          </w:p>
        </w:tc>
        <w:tc>
          <w:tcPr>
            <w:tcW w:w="2041" w:type="dxa"/>
            <w:vMerge/>
            <w:tcBorders>
              <w:left w:val="single" w:sz="4" w:space="0" w:color="auto"/>
              <w:right w:val="single" w:sz="4" w:space="0" w:color="auto"/>
              <w:tl2br w:val="single" w:sz="4" w:space="0" w:color="auto"/>
            </w:tcBorders>
          </w:tcPr>
          <w:p w14:paraId="5D68160C" w14:textId="77777777" w:rsidR="004551F8" w:rsidRPr="00B474B8" w:rsidRDefault="004551F8" w:rsidP="00824CD6">
            <w:pPr>
              <w:widowControl/>
              <w:spacing w:line="240" w:lineRule="exact"/>
              <w:jc w:val="both"/>
              <w:rPr>
                <w:rFonts w:ascii="標楷體" w:eastAsia="標楷體" w:hAnsi="標楷體"/>
                <w:sz w:val="20"/>
                <w:szCs w:val="20"/>
              </w:rPr>
            </w:pPr>
          </w:p>
        </w:tc>
      </w:tr>
      <w:tr w:rsidR="004551F8" w:rsidRPr="00B474B8" w14:paraId="1732C79B" w14:textId="77777777" w:rsidTr="00824CD6">
        <w:trPr>
          <w:trHeight w:val="614"/>
          <w:jc w:val="center"/>
        </w:trPr>
        <w:tc>
          <w:tcPr>
            <w:tcW w:w="7847" w:type="dxa"/>
            <w:tcBorders>
              <w:top w:val="single" w:sz="4" w:space="0" w:color="auto"/>
              <w:left w:val="single" w:sz="4" w:space="0" w:color="auto"/>
              <w:bottom w:val="single" w:sz="4" w:space="0" w:color="auto"/>
              <w:right w:val="single" w:sz="4" w:space="0" w:color="auto"/>
            </w:tcBorders>
          </w:tcPr>
          <w:p w14:paraId="3882E1DA" w14:textId="77777777" w:rsidR="004551F8" w:rsidRPr="00B474B8" w:rsidRDefault="004551F8" w:rsidP="00824CD6">
            <w:pPr>
              <w:widowControl/>
              <w:spacing w:line="320" w:lineRule="exact"/>
              <w:ind w:leftChars="-10" w:left="556" w:hangingChars="290" w:hanging="580"/>
              <w:jc w:val="both"/>
              <w:rPr>
                <w:rFonts w:ascii="標楷體" w:eastAsia="標楷體" w:hAnsi="標楷體"/>
                <w:noProof/>
                <w:sz w:val="20"/>
                <w:szCs w:val="20"/>
              </w:rPr>
            </w:pPr>
            <w:r w:rsidRPr="00B474B8">
              <w:rPr>
                <w:rFonts w:ascii="標楷體" w:eastAsia="標楷體" w:hAnsi="標楷體" w:hint="eastAsia"/>
                <w:noProof/>
                <w:sz w:val="20"/>
                <w:szCs w:val="20"/>
              </w:rPr>
              <w:t>（四）辦理再生家具回收整修拍賣，促進再生家具循環再利用，惟間有近3年惜物網及展示場得標率逐年降低，及未依規定檢查再生家具庫存數量等情，均待研謀改善。</w:t>
            </w:r>
          </w:p>
        </w:tc>
        <w:tc>
          <w:tcPr>
            <w:tcW w:w="2041" w:type="dxa"/>
            <w:vMerge/>
            <w:tcBorders>
              <w:left w:val="single" w:sz="4" w:space="0" w:color="auto"/>
              <w:right w:val="single" w:sz="4" w:space="0" w:color="auto"/>
              <w:tl2br w:val="single" w:sz="4" w:space="0" w:color="auto"/>
            </w:tcBorders>
          </w:tcPr>
          <w:p w14:paraId="101F2DF5" w14:textId="77777777" w:rsidR="004551F8" w:rsidRPr="00B474B8" w:rsidRDefault="004551F8" w:rsidP="00824CD6">
            <w:pPr>
              <w:widowControl/>
              <w:spacing w:line="240" w:lineRule="exact"/>
              <w:jc w:val="both"/>
              <w:rPr>
                <w:rFonts w:ascii="標楷體" w:eastAsia="標楷體" w:hAnsi="標楷體"/>
                <w:sz w:val="20"/>
                <w:szCs w:val="20"/>
              </w:rPr>
            </w:pPr>
          </w:p>
        </w:tc>
      </w:tr>
      <w:tr w:rsidR="004551F8" w:rsidRPr="00B474B8" w14:paraId="0AA96029" w14:textId="77777777" w:rsidTr="00824CD6">
        <w:trPr>
          <w:trHeight w:val="766"/>
          <w:jc w:val="center"/>
        </w:trPr>
        <w:tc>
          <w:tcPr>
            <w:tcW w:w="7847" w:type="dxa"/>
            <w:tcBorders>
              <w:top w:val="single" w:sz="4" w:space="0" w:color="auto"/>
              <w:left w:val="single" w:sz="4" w:space="0" w:color="auto"/>
              <w:bottom w:val="single" w:sz="4" w:space="0" w:color="auto"/>
              <w:right w:val="single" w:sz="4" w:space="0" w:color="auto"/>
            </w:tcBorders>
          </w:tcPr>
          <w:p w14:paraId="1220303F" w14:textId="77777777" w:rsidR="004551F8" w:rsidRPr="00B474B8" w:rsidRDefault="004551F8" w:rsidP="00824CD6">
            <w:pPr>
              <w:widowControl/>
              <w:spacing w:line="320" w:lineRule="exact"/>
              <w:ind w:leftChars="-10" w:left="556" w:hangingChars="290" w:hanging="580"/>
              <w:jc w:val="both"/>
              <w:rPr>
                <w:rFonts w:ascii="標楷體" w:eastAsia="標楷體" w:hAnsi="標楷體"/>
                <w:noProof/>
                <w:sz w:val="20"/>
                <w:szCs w:val="20"/>
              </w:rPr>
            </w:pPr>
            <w:r w:rsidRPr="00B474B8">
              <w:rPr>
                <w:rFonts w:ascii="標楷體" w:eastAsia="標楷體" w:hAnsi="標楷體" w:hint="eastAsia"/>
                <w:noProof/>
                <w:sz w:val="20"/>
                <w:szCs w:val="20"/>
              </w:rPr>
              <w:t>（五）為推動焚化再生粒料使用於公共工程，訂定焚化再生粒料推廣使用作業要點，惟未落實管制與查核，致有已先行供料使用，事後方取得使用許可，及再生粒料實際摻配比率與配比設計未合等情，有待檢討改善。</w:t>
            </w:r>
          </w:p>
        </w:tc>
        <w:tc>
          <w:tcPr>
            <w:tcW w:w="2041" w:type="dxa"/>
            <w:vMerge/>
            <w:tcBorders>
              <w:left w:val="single" w:sz="4" w:space="0" w:color="auto"/>
              <w:right w:val="single" w:sz="4" w:space="0" w:color="auto"/>
              <w:tl2br w:val="single" w:sz="4" w:space="0" w:color="auto"/>
            </w:tcBorders>
          </w:tcPr>
          <w:p w14:paraId="77E7976E" w14:textId="77777777" w:rsidR="004551F8" w:rsidRPr="00B474B8" w:rsidRDefault="004551F8" w:rsidP="00824CD6">
            <w:pPr>
              <w:widowControl/>
              <w:spacing w:line="240" w:lineRule="exact"/>
              <w:jc w:val="both"/>
              <w:rPr>
                <w:rFonts w:ascii="標楷體" w:eastAsia="標楷體" w:hAnsi="標楷體"/>
                <w:sz w:val="20"/>
                <w:szCs w:val="20"/>
              </w:rPr>
            </w:pPr>
          </w:p>
        </w:tc>
      </w:tr>
      <w:tr w:rsidR="004551F8" w:rsidRPr="00B474B8" w14:paraId="213EC1A5" w14:textId="77777777" w:rsidTr="00824CD6">
        <w:trPr>
          <w:trHeight w:val="550"/>
          <w:jc w:val="center"/>
        </w:trPr>
        <w:tc>
          <w:tcPr>
            <w:tcW w:w="7847" w:type="dxa"/>
            <w:tcBorders>
              <w:top w:val="single" w:sz="4" w:space="0" w:color="auto"/>
              <w:left w:val="single" w:sz="4" w:space="0" w:color="auto"/>
              <w:bottom w:val="single" w:sz="4" w:space="0" w:color="auto"/>
              <w:right w:val="single" w:sz="4" w:space="0" w:color="auto"/>
            </w:tcBorders>
          </w:tcPr>
          <w:p w14:paraId="1EDAA87D" w14:textId="77777777" w:rsidR="004551F8" w:rsidRPr="00B474B8" w:rsidRDefault="004551F8" w:rsidP="00824CD6">
            <w:pPr>
              <w:widowControl/>
              <w:spacing w:line="320" w:lineRule="exact"/>
              <w:ind w:leftChars="-10" w:left="556" w:hangingChars="290" w:hanging="580"/>
              <w:jc w:val="both"/>
              <w:rPr>
                <w:rFonts w:ascii="標楷體" w:eastAsia="標楷體" w:hAnsi="標楷體"/>
                <w:noProof/>
                <w:sz w:val="20"/>
                <w:szCs w:val="20"/>
              </w:rPr>
            </w:pPr>
            <w:r w:rsidRPr="00B474B8">
              <w:rPr>
                <w:rFonts w:ascii="標楷體" w:eastAsia="標楷體" w:hAnsi="標楷體" w:hint="eastAsia"/>
                <w:noProof/>
                <w:sz w:val="20"/>
                <w:szCs w:val="20"/>
              </w:rPr>
              <w:t>（六）機車逾期未實施定期檢驗或複驗，惟通知限期改善者比率偏低，允宜研謀改善，以提升空氣污染防制成效。</w:t>
            </w:r>
          </w:p>
        </w:tc>
        <w:tc>
          <w:tcPr>
            <w:tcW w:w="2041" w:type="dxa"/>
            <w:vMerge/>
            <w:tcBorders>
              <w:left w:val="single" w:sz="4" w:space="0" w:color="auto"/>
              <w:right w:val="single" w:sz="4" w:space="0" w:color="auto"/>
              <w:tl2br w:val="single" w:sz="4" w:space="0" w:color="auto"/>
            </w:tcBorders>
          </w:tcPr>
          <w:p w14:paraId="457E819A" w14:textId="77777777" w:rsidR="004551F8" w:rsidRPr="00B474B8" w:rsidRDefault="004551F8" w:rsidP="00824CD6">
            <w:pPr>
              <w:widowControl/>
              <w:spacing w:line="240" w:lineRule="exact"/>
              <w:jc w:val="both"/>
              <w:rPr>
                <w:rFonts w:ascii="標楷體" w:eastAsia="標楷體" w:hAnsi="標楷體"/>
                <w:sz w:val="20"/>
                <w:szCs w:val="20"/>
              </w:rPr>
            </w:pPr>
          </w:p>
        </w:tc>
      </w:tr>
      <w:tr w:rsidR="004551F8" w:rsidRPr="00B474B8" w14:paraId="082100DE" w14:textId="77777777" w:rsidTr="00824CD6">
        <w:trPr>
          <w:trHeight w:val="766"/>
          <w:jc w:val="center"/>
        </w:trPr>
        <w:tc>
          <w:tcPr>
            <w:tcW w:w="7847" w:type="dxa"/>
            <w:tcBorders>
              <w:top w:val="single" w:sz="4" w:space="0" w:color="auto"/>
              <w:left w:val="single" w:sz="4" w:space="0" w:color="auto"/>
              <w:bottom w:val="single" w:sz="4" w:space="0" w:color="auto"/>
              <w:right w:val="single" w:sz="4" w:space="0" w:color="auto"/>
            </w:tcBorders>
          </w:tcPr>
          <w:p w14:paraId="7F97A277" w14:textId="77777777" w:rsidR="004551F8" w:rsidRPr="00B474B8" w:rsidRDefault="004551F8" w:rsidP="00824CD6">
            <w:pPr>
              <w:widowControl/>
              <w:spacing w:line="320" w:lineRule="exact"/>
              <w:ind w:leftChars="-10" w:left="556" w:hangingChars="290" w:hanging="580"/>
              <w:jc w:val="both"/>
              <w:rPr>
                <w:rFonts w:ascii="標楷體" w:eastAsia="標楷體" w:hAnsi="標楷體"/>
                <w:noProof/>
                <w:sz w:val="20"/>
                <w:szCs w:val="20"/>
              </w:rPr>
            </w:pPr>
            <w:r w:rsidRPr="00B474B8">
              <w:rPr>
                <w:rFonts w:ascii="標楷體" w:eastAsia="標楷體" w:hAnsi="標楷體" w:hint="eastAsia"/>
                <w:noProof/>
                <w:sz w:val="20"/>
                <w:szCs w:val="20"/>
              </w:rPr>
              <w:t>（七）為降低轄內柴油車污染程度，推動柴油車自主管理標章制度，惟設籍於臺北市之柴油車取得標章比率未及2成，另有部分主動到檢柴油車檢測不合格迄未完成改善，及高污染風險車輛經通知後仍未到檢比率達8成等情，均待研謀改善。</w:t>
            </w:r>
          </w:p>
        </w:tc>
        <w:tc>
          <w:tcPr>
            <w:tcW w:w="2041" w:type="dxa"/>
            <w:vMerge/>
            <w:tcBorders>
              <w:left w:val="single" w:sz="4" w:space="0" w:color="auto"/>
              <w:right w:val="single" w:sz="4" w:space="0" w:color="auto"/>
              <w:tl2br w:val="single" w:sz="4" w:space="0" w:color="auto"/>
            </w:tcBorders>
          </w:tcPr>
          <w:p w14:paraId="7740B307" w14:textId="77777777" w:rsidR="004551F8" w:rsidRPr="00B474B8" w:rsidRDefault="004551F8" w:rsidP="00824CD6">
            <w:pPr>
              <w:widowControl/>
              <w:spacing w:line="240" w:lineRule="exact"/>
              <w:jc w:val="both"/>
              <w:rPr>
                <w:rFonts w:ascii="標楷體" w:eastAsia="標楷體" w:hAnsi="標楷體"/>
                <w:sz w:val="20"/>
                <w:szCs w:val="20"/>
              </w:rPr>
            </w:pPr>
          </w:p>
        </w:tc>
      </w:tr>
      <w:tr w:rsidR="004551F8" w:rsidRPr="00B474B8" w14:paraId="3FD44D46" w14:textId="77777777" w:rsidTr="0003194C">
        <w:trPr>
          <w:trHeight w:val="992"/>
          <w:jc w:val="center"/>
        </w:trPr>
        <w:tc>
          <w:tcPr>
            <w:tcW w:w="7847" w:type="dxa"/>
            <w:tcBorders>
              <w:top w:val="single" w:sz="4" w:space="0" w:color="auto"/>
              <w:left w:val="single" w:sz="4" w:space="0" w:color="auto"/>
              <w:right w:val="single" w:sz="4" w:space="0" w:color="auto"/>
            </w:tcBorders>
          </w:tcPr>
          <w:p w14:paraId="752AF8B8" w14:textId="77777777" w:rsidR="004551F8" w:rsidRPr="00B474B8" w:rsidRDefault="004551F8" w:rsidP="00824CD6">
            <w:pPr>
              <w:widowControl/>
              <w:spacing w:line="320" w:lineRule="exact"/>
              <w:ind w:leftChars="-10" w:left="556" w:hangingChars="290" w:hanging="580"/>
              <w:jc w:val="both"/>
              <w:rPr>
                <w:rFonts w:ascii="標楷體" w:eastAsia="標楷體" w:hAnsi="標楷體"/>
                <w:noProof/>
                <w:sz w:val="20"/>
                <w:szCs w:val="20"/>
              </w:rPr>
            </w:pPr>
            <w:r w:rsidRPr="00B474B8">
              <w:rPr>
                <w:rFonts w:ascii="標楷體" w:eastAsia="標楷體" w:hAnsi="標楷體" w:hint="eastAsia"/>
                <w:noProof/>
                <w:sz w:val="20"/>
                <w:szCs w:val="20"/>
              </w:rPr>
              <w:t>（八）為落實餐飲業油煙管制，委外辦理臺北市固定污染源管制暨餐飲業空污防制改善計畫，惟未能有效掌握近4成列管業者污染防制設施設置情形，且部分夜市裝設油煙防制設備比率僅介於0％至45％間，有待研謀改善。</w:t>
            </w:r>
          </w:p>
        </w:tc>
        <w:tc>
          <w:tcPr>
            <w:tcW w:w="2041" w:type="dxa"/>
            <w:vMerge/>
            <w:tcBorders>
              <w:left w:val="single" w:sz="4" w:space="0" w:color="auto"/>
              <w:right w:val="single" w:sz="4" w:space="0" w:color="auto"/>
              <w:tl2br w:val="single" w:sz="4" w:space="0" w:color="auto"/>
            </w:tcBorders>
          </w:tcPr>
          <w:p w14:paraId="0C94B444" w14:textId="77777777" w:rsidR="004551F8" w:rsidRPr="00B474B8" w:rsidRDefault="004551F8" w:rsidP="00824CD6">
            <w:pPr>
              <w:widowControl/>
              <w:spacing w:line="240" w:lineRule="exact"/>
              <w:jc w:val="both"/>
              <w:rPr>
                <w:rFonts w:ascii="標楷體" w:eastAsia="標楷體" w:hAnsi="標楷體"/>
                <w:sz w:val="20"/>
                <w:szCs w:val="20"/>
              </w:rPr>
            </w:pPr>
          </w:p>
        </w:tc>
      </w:tr>
    </w:tbl>
    <w:p w14:paraId="4EA55597" w14:textId="77777777" w:rsidR="004551F8" w:rsidRPr="00B474B8" w:rsidRDefault="004551F8" w:rsidP="004551F8">
      <w:pPr>
        <w:spacing w:line="20" w:lineRule="exact"/>
        <w:jc w:val="both"/>
        <w:rPr>
          <w:rFonts w:ascii="標楷體" w:eastAsia="標楷體" w:hAnsi="標楷體"/>
        </w:rPr>
      </w:pPr>
    </w:p>
    <w:p w14:paraId="3850B4DF" w14:textId="2B8666BE" w:rsidR="00F1456A" w:rsidRPr="008D59D2" w:rsidRDefault="00F1456A" w:rsidP="00F1456A">
      <w:pPr>
        <w:suppressAutoHyphens/>
        <w:overflowPunct w:val="0"/>
        <w:spacing w:afterLines="50" w:after="180" w:line="460" w:lineRule="exact"/>
        <w:jc w:val="both"/>
        <w:outlineLvl w:val="1"/>
        <w:rPr>
          <w:rFonts w:ascii="標楷體" w:eastAsia="標楷體" w:hAnsi="標楷體" w:cs="標楷體"/>
          <w:b/>
          <w:sz w:val="36"/>
          <w:szCs w:val="36"/>
        </w:rPr>
      </w:pPr>
      <w:r w:rsidRPr="008D59D2">
        <w:rPr>
          <w:rFonts w:ascii="標楷體" w:eastAsia="標楷體" w:hAnsi="標楷體" w:cs="標楷體" w:hint="eastAsia"/>
          <w:b/>
          <w:sz w:val="36"/>
          <w:szCs w:val="36"/>
        </w:rPr>
        <w:t>拾肆、都市發展局主管</w:t>
      </w:r>
    </w:p>
    <w:p w14:paraId="0B37AEEC" w14:textId="77777777" w:rsidR="00F1456A" w:rsidRPr="008D59D2" w:rsidRDefault="00F1456A" w:rsidP="00F1456A">
      <w:pPr>
        <w:overflowPunct w:val="0"/>
        <w:spacing w:beforeLines="30" w:before="108" w:afterLines="30" w:after="108" w:line="440" w:lineRule="exact"/>
        <w:ind w:firstLineChars="200" w:firstLine="480"/>
        <w:jc w:val="both"/>
        <w:rPr>
          <w:rFonts w:ascii="標楷體" w:eastAsia="標楷體" w:hAnsi="標楷體"/>
          <w:szCs w:val="24"/>
        </w:rPr>
      </w:pPr>
      <w:r w:rsidRPr="008D59D2">
        <w:rPr>
          <w:rFonts w:ascii="標楷體" w:eastAsia="標楷體" w:hAnsi="標楷體" w:hint="eastAsia"/>
          <w:szCs w:val="24"/>
        </w:rPr>
        <w:t>都市發展局主管計有公務機關3個，非營業特種基金單位4個，已</w:t>
      </w:r>
      <w:r w:rsidRPr="008D59D2">
        <w:rPr>
          <w:rFonts w:ascii="標楷體" w:eastAsia="標楷體" w:hAnsi="標楷體"/>
          <w:szCs w:val="24"/>
        </w:rPr>
        <w:t>結束待清理</w:t>
      </w:r>
      <w:r w:rsidRPr="008D59D2">
        <w:rPr>
          <w:rFonts w:ascii="標楷體" w:eastAsia="標楷體" w:hAnsi="標楷體" w:hint="eastAsia"/>
          <w:szCs w:val="24"/>
        </w:rPr>
        <w:t>基金</w:t>
      </w:r>
      <w:r w:rsidRPr="008D59D2">
        <w:rPr>
          <w:rFonts w:ascii="標楷體" w:eastAsia="標楷體" w:hAnsi="標楷體"/>
          <w:szCs w:val="24"/>
        </w:rPr>
        <w:t>1</w:t>
      </w:r>
      <w:r w:rsidRPr="008D59D2">
        <w:rPr>
          <w:rFonts w:ascii="標楷體" w:eastAsia="標楷體" w:hAnsi="標楷體" w:hint="eastAsia"/>
          <w:szCs w:val="24"/>
        </w:rPr>
        <w:t>個</w:t>
      </w:r>
      <w:r w:rsidRPr="008D59D2">
        <w:rPr>
          <w:rFonts w:ascii="標楷體" w:eastAsia="標楷體" w:hAnsi="標楷體"/>
          <w:szCs w:val="24"/>
        </w:rPr>
        <w:t>，</w:t>
      </w:r>
      <w:r w:rsidRPr="008D59D2">
        <w:rPr>
          <w:rFonts w:ascii="標楷體" w:eastAsia="標楷體" w:hAnsi="標楷體" w:hint="eastAsia"/>
          <w:szCs w:val="24"/>
        </w:rPr>
        <w:t>各該單位決算及附屬單位決算非營業部分之審核情形如次：</w:t>
      </w:r>
    </w:p>
    <w:p w14:paraId="723E5A64" w14:textId="77777777" w:rsidR="00F1456A" w:rsidRPr="008D59D2" w:rsidRDefault="00F1456A" w:rsidP="00F1456A">
      <w:pPr>
        <w:suppressAutoHyphens/>
        <w:overflowPunct w:val="0"/>
        <w:spacing w:beforeLines="30" w:before="108" w:afterLines="30" w:after="108" w:line="440" w:lineRule="exact"/>
        <w:jc w:val="both"/>
        <w:outlineLvl w:val="2"/>
        <w:rPr>
          <w:rFonts w:ascii="標楷體" w:eastAsia="標楷體" w:hAnsi="標楷體"/>
          <w:b/>
          <w:sz w:val="32"/>
          <w:szCs w:val="32"/>
        </w:rPr>
      </w:pPr>
      <w:r w:rsidRPr="008D59D2">
        <w:rPr>
          <w:rFonts w:ascii="標楷體" w:eastAsia="標楷體" w:hAnsi="標楷體" w:hint="eastAsia"/>
          <w:b/>
          <w:sz w:val="32"/>
          <w:szCs w:val="32"/>
        </w:rPr>
        <w:t>一、單位決算部分</w:t>
      </w:r>
    </w:p>
    <w:p w14:paraId="5D1E932E" w14:textId="77777777" w:rsidR="00F1456A" w:rsidRPr="008D59D2" w:rsidRDefault="00F1456A" w:rsidP="00F1456A">
      <w:pPr>
        <w:overflowPunct w:val="0"/>
        <w:spacing w:beforeLines="30" w:before="108" w:afterLines="30" w:after="108" w:line="440" w:lineRule="exact"/>
        <w:ind w:firstLineChars="200" w:firstLine="480"/>
        <w:jc w:val="both"/>
        <w:rPr>
          <w:rFonts w:ascii="標楷體" w:eastAsia="標楷體" w:hAnsi="標楷體"/>
          <w:szCs w:val="24"/>
        </w:rPr>
      </w:pPr>
      <w:r w:rsidRPr="008D59D2">
        <w:rPr>
          <w:rFonts w:ascii="標楷體" w:eastAsia="標楷體" w:hAnsi="標楷體" w:hint="eastAsia"/>
          <w:szCs w:val="24"/>
        </w:rPr>
        <w:t>都市發展局主管包括都市發展局、都市更新處、建築管理工程處等3個機關，掌理擬定或修訂全市綜合發展計畫、都市主要計畫及細部計畫、特定專用區計畫、開發許可</w:t>
      </w:r>
      <w:proofErr w:type="gramStart"/>
      <w:r w:rsidRPr="008D59D2">
        <w:rPr>
          <w:rFonts w:ascii="標楷體" w:eastAsia="標楷體" w:hAnsi="標楷體" w:hint="eastAsia"/>
          <w:szCs w:val="24"/>
        </w:rPr>
        <w:t>研</w:t>
      </w:r>
      <w:proofErr w:type="gramEnd"/>
      <w:r w:rsidRPr="008D59D2">
        <w:rPr>
          <w:rFonts w:ascii="標楷體" w:eastAsia="標楷體" w:hAnsi="標楷體" w:hint="eastAsia"/>
          <w:szCs w:val="24"/>
        </w:rPr>
        <w:t>擬審議管制工作暨</w:t>
      </w:r>
      <w:proofErr w:type="gramStart"/>
      <w:r w:rsidRPr="008D59D2">
        <w:rPr>
          <w:rFonts w:ascii="標楷體" w:eastAsia="標楷體" w:hAnsi="標楷體" w:hint="eastAsia"/>
          <w:szCs w:val="24"/>
        </w:rPr>
        <w:t>現況圖修測</w:t>
      </w:r>
      <w:proofErr w:type="gramEnd"/>
      <w:r w:rsidRPr="008D59D2">
        <w:rPr>
          <w:rFonts w:ascii="標楷體" w:eastAsia="標楷體" w:hAnsi="標楷體" w:hint="eastAsia"/>
          <w:szCs w:val="24"/>
        </w:rPr>
        <w:t>，全市居住政策及服務、都市更新、建築管理等業務。茲將</w:t>
      </w:r>
      <w:proofErr w:type="gramStart"/>
      <w:r w:rsidRPr="008D59D2">
        <w:rPr>
          <w:rFonts w:ascii="標楷體" w:eastAsia="標楷體" w:hAnsi="標楷體" w:hint="eastAsia"/>
          <w:szCs w:val="24"/>
        </w:rPr>
        <w:t>11</w:t>
      </w:r>
      <w:r>
        <w:rPr>
          <w:rFonts w:ascii="標楷體" w:eastAsia="標楷體" w:hAnsi="標楷體" w:hint="eastAsia"/>
          <w:szCs w:val="24"/>
        </w:rPr>
        <w:t>3</w:t>
      </w:r>
      <w:proofErr w:type="gramEnd"/>
      <w:r w:rsidRPr="008D59D2">
        <w:rPr>
          <w:rFonts w:ascii="標楷體" w:eastAsia="標楷體" w:hAnsi="標楷體" w:hint="eastAsia"/>
          <w:szCs w:val="24"/>
        </w:rPr>
        <w:t>年度決算審核結果說明如次：</w:t>
      </w:r>
    </w:p>
    <w:p w14:paraId="7901386E" w14:textId="77777777" w:rsidR="00F1456A" w:rsidRPr="008D59D2" w:rsidRDefault="00F1456A" w:rsidP="00F1456A">
      <w:pPr>
        <w:suppressAutoHyphens/>
        <w:overflowPunct w:val="0"/>
        <w:spacing w:before="120" w:after="60" w:line="4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8D59D2">
        <w:rPr>
          <w:rFonts w:ascii="標楷體" w:eastAsia="標楷體" w:hAnsi="標楷體" w:hint="eastAsia"/>
          <w:b/>
          <w:sz w:val="28"/>
          <w:szCs w:val="28"/>
        </w:rPr>
        <w:t>一</w:t>
      </w:r>
      <w:r>
        <w:rPr>
          <w:rFonts w:ascii="標楷體" w:eastAsia="標楷體" w:hAnsi="標楷體" w:hint="eastAsia"/>
          <w:b/>
          <w:sz w:val="28"/>
          <w:szCs w:val="28"/>
        </w:rPr>
        <w:t>）</w:t>
      </w:r>
      <w:r w:rsidRPr="008D59D2">
        <w:rPr>
          <w:rFonts w:ascii="標楷體" w:eastAsia="標楷體" w:hAnsi="標楷體" w:hint="eastAsia"/>
          <w:b/>
          <w:sz w:val="28"/>
          <w:szCs w:val="28"/>
        </w:rPr>
        <w:t>計畫實施之查核</w:t>
      </w:r>
    </w:p>
    <w:p w14:paraId="3EDEC34E" w14:textId="77777777" w:rsidR="00F1456A" w:rsidRPr="008D59D2" w:rsidRDefault="00F1456A" w:rsidP="00F1456A">
      <w:pPr>
        <w:overflowPunct w:val="0"/>
        <w:spacing w:beforeLines="30" w:before="108" w:afterLines="30" w:after="108" w:line="440" w:lineRule="exact"/>
        <w:ind w:firstLineChars="200" w:firstLine="480"/>
        <w:jc w:val="both"/>
        <w:rPr>
          <w:rFonts w:ascii="標楷體" w:eastAsia="標楷體" w:hAnsi="標楷體"/>
          <w:szCs w:val="24"/>
        </w:rPr>
      </w:pPr>
      <w:r w:rsidRPr="00337F3F">
        <w:rPr>
          <w:rFonts w:ascii="標楷體" w:eastAsia="標楷體" w:hAnsi="標楷體" w:hint="eastAsia"/>
          <w:szCs w:val="24"/>
        </w:rPr>
        <w:t>業務計畫12項，下分工作計畫16項，包括都市發展規劃、住</w:t>
      </w:r>
      <w:r w:rsidRPr="00337F3F">
        <w:rPr>
          <w:rFonts w:ascii="標楷體" w:eastAsia="標楷體" w:hAnsi="標楷體"/>
          <w:szCs w:val="24"/>
        </w:rPr>
        <w:t>宅業務補貼</w:t>
      </w:r>
      <w:r w:rsidRPr="00337F3F">
        <w:rPr>
          <w:rFonts w:ascii="標楷體" w:eastAsia="標楷體" w:hAnsi="標楷體" w:hint="eastAsia"/>
          <w:szCs w:val="24"/>
        </w:rPr>
        <w:t>、都市更新、建</w:t>
      </w:r>
      <w:r w:rsidRPr="00337F3F">
        <w:rPr>
          <w:rFonts w:ascii="標楷體" w:eastAsia="標楷體" w:hAnsi="標楷體"/>
          <w:szCs w:val="24"/>
        </w:rPr>
        <w:t>築管理及違建處理</w:t>
      </w:r>
      <w:r w:rsidRPr="00337F3F">
        <w:rPr>
          <w:rFonts w:ascii="標楷體" w:eastAsia="標楷體" w:hAnsi="標楷體" w:hint="eastAsia"/>
          <w:szCs w:val="24"/>
        </w:rPr>
        <w:t>等重要施政項目，其中已執行完成者12項，尚在執行者4項，主要係都市發展局辦理</w:t>
      </w:r>
      <w:r>
        <w:rPr>
          <w:rFonts w:ascii="標楷體" w:eastAsia="標楷體" w:hAnsi="標楷體" w:hint="eastAsia"/>
          <w:szCs w:val="24"/>
        </w:rPr>
        <w:t>之</w:t>
      </w:r>
      <w:r w:rsidRPr="00337F3F">
        <w:rPr>
          <w:rFonts w:ascii="標楷體" w:eastAsia="標楷體" w:hAnsi="標楷體" w:hint="eastAsia"/>
          <w:szCs w:val="24"/>
        </w:rPr>
        <w:t>臺北市都市計畫劃定都審地區通盤檢討等委託專業服務案，</w:t>
      </w:r>
      <w:r w:rsidRPr="00186295">
        <w:rPr>
          <w:rFonts w:ascii="標楷體" w:eastAsia="標楷體" w:hAnsi="標楷體" w:hint="eastAsia"/>
          <w:szCs w:val="24"/>
        </w:rPr>
        <w:t>暨建築管理工</w:t>
      </w:r>
      <w:r w:rsidRPr="00337F3F">
        <w:rPr>
          <w:rFonts w:ascii="標楷體" w:eastAsia="標楷體" w:hAnsi="標楷體" w:hint="eastAsia"/>
          <w:szCs w:val="24"/>
        </w:rPr>
        <w:t>程處辦理之臺北市建築基地內騎樓及沿街面人行空間改善工程，推動期程跨年度，仍須繼續執行。</w:t>
      </w:r>
    </w:p>
    <w:p w14:paraId="02F75E2F" w14:textId="77777777" w:rsidR="00F1456A" w:rsidRPr="008D59D2" w:rsidRDefault="00F1456A" w:rsidP="00F1456A">
      <w:pPr>
        <w:suppressAutoHyphens/>
        <w:overflowPunct w:val="0"/>
        <w:spacing w:before="120" w:after="60" w:line="4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8D59D2">
        <w:rPr>
          <w:rFonts w:ascii="標楷體" w:eastAsia="標楷體" w:hAnsi="標楷體" w:hint="eastAsia"/>
          <w:b/>
          <w:sz w:val="28"/>
          <w:szCs w:val="28"/>
        </w:rPr>
        <w:t>二</w:t>
      </w:r>
      <w:r>
        <w:rPr>
          <w:rFonts w:ascii="標楷體" w:eastAsia="標楷體" w:hAnsi="標楷體" w:hint="eastAsia"/>
          <w:b/>
          <w:sz w:val="28"/>
          <w:szCs w:val="28"/>
        </w:rPr>
        <w:t>）</w:t>
      </w:r>
      <w:r w:rsidRPr="008D59D2">
        <w:rPr>
          <w:rFonts w:ascii="標楷體" w:eastAsia="標楷體" w:hAnsi="標楷體" w:hint="eastAsia"/>
          <w:b/>
          <w:sz w:val="28"/>
          <w:szCs w:val="28"/>
        </w:rPr>
        <w:t>預算執行之審核</w:t>
      </w:r>
    </w:p>
    <w:p w14:paraId="66E4D231" w14:textId="77777777" w:rsidR="00F1456A" w:rsidRPr="008D59D2" w:rsidRDefault="00F1456A" w:rsidP="00F1456A">
      <w:pPr>
        <w:overflowPunct w:val="0"/>
        <w:spacing w:beforeLines="30" w:before="108" w:afterLines="30" w:after="108" w:line="440" w:lineRule="exact"/>
        <w:ind w:firstLineChars="200" w:firstLine="480"/>
        <w:jc w:val="both"/>
        <w:rPr>
          <w:rFonts w:ascii="標楷體" w:eastAsia="標楷體" w:hAnsi="標楷體"/>
          <w:szCs w:val="24"/>
        </w:rPr>
      </w:pPr>
      <w:r w:rsidRPr="008D59D2">
        <w:rPr>
          <w:rFonts w:ascii="標楷體" w:eastAsia="標楷體" w:hAnsi="標楷體" w:hint="eastAsia"/>
          <w:szCs w:val="24"/>
        </w:rPr>
        <w:t>1.</w:t>
      </w:r>
      <w:r w:rsidRPr="00E339AF">
        <w:rPr>
          <w:rFonts w:ascii="標楷體" w:eastAsia="標楷體" w:hAnsi="標楷體" w:hint="eastAsia"/>
          <w:szCs w:val="24"/>
        </w:rPr>
        <w:t>歲入原編列預算數11億8,215萬餘元，經追加預算2</w:t>
      </w:r>
      <w:r w:rsidRPr="00E339AF">
        <w:rPr>
          <w:rFonts w:ascii="標楷體" w:eastAsia="標楷體" w:hAnsi="標楷體"/>
          <w:szCs w:val="24"/>
        </w:rPr>
        <w:t>,</w:t>
      </w:r>
      <w:r w:rsidRPr="00E339AF">
        <w:rPr>
          <w:rFonts w:ascii="標楷體" w:eastAsia="標楷體" w:hAnsi="標楷體" w:hint="eastAsia"/>
          <w:szCs w:val="24"/>
        </w:rPr>
        <w:t>912萬元，合計12億1</w:t>
      </w:r>
      <w:r w:rsidRPr="00E339AF">
        <w:rPr>
          <w:rFonts w:ascii="標楷體" w:eastAsia="標楷體" w:hAnsi="標楷體"/>
          <w:szCs w:val="24"/>
        </w:rPr>
        <w:t>,</w:t>
      </w:r>
      <w:r w:rsidRPr="00E339AF">
        <w:rPr>
          <w:rFonts w:ascii="標楷體" w:eastAsia="標楷體" w:hAnsi="標楷體" w:hint="eastAsia"/>
          <w:szCs w:val="24"/>
        </w:rPr>
        <w:t>127萬餘元，決算審核結果，審定實現數11億8</w:t>
      </w:r>
      <w:r w:rsidRPr="00E339AF">
        <w:rPr>
          <w:rFonts w:ascii="標楷體" w:eastAsia="標楷體" w:hAnsi="標楷體"/>
          <w:szCs w:val="24"/>
        </w:rPr>
        <w:t>,</w:t>
      </w:r>
      <w:r w:rsidRPr="00E339AF">
        <w:rPr>
          <w:rFonts w:ascii="標楷體" w:eastAsia="標楷體" w:hAnsi="標楷體" w:hint="eastAsia"/>
          <w:szCs w:val="24"/>
        </w:rPr>
        <w:t>396萬餘元，應收保留數1</w:t>
      </w:r>
      <w:r w:rsidRPr="00E339AF">
        <w:rPr>
          <w:rFonts w:ascii="標楷體" w:eastAsia="標楷體" w:hAnsi="標楷體"/>
          <w:szCs w:val="24"/>
        </w:rPr>
        <w:t>,</w:t>
      </w:r>
      <w:r w:rsidRPr="00E339AF">
        <w:rPr>
          <w:rFonts w:ascii="標楷體" w:eastAsia="標楷體" w:hAnsi="標楷體" w:hint="eastAsia"/>
          <w:szCs w:val="24"/>
        </w:rPr>
        <w:t>940萬餘元，</w:t>
      </w:r>
      <w:r w:rsidRPr="00E82B51">
        <w:rPr>
          <w:rFonts w:ascii="標楷體" w:eastAsia="標楷體" w:hAnsi="標楷體" w:hint="eastAsia"/>
          <w:szCs w:val="24"/>
        </w:rPr>
        <w:t>主要係都市發展局及</w:t>
      </w:r>
      <w:bookmarkStart w:id="83" w:name="_Hlk138918879"/>
      <w:r w:rsidRPr="00E82B51">
        <w:rPr>
          <w:rFonts w:ascii="標楷體" w:eastAsia="標楷體" w:hAnsi="標楷體" w:hint="eastAsia"/>
          <w:szCs w:val="24"/>
        </w:rPr>
        <w:t>建築管理工程處</w:t>
      </w:r>
      <w:bookmarkEnd w:id="83"/>
      <w:r>
        <w:rPr>
          <w:rFonts w:ascii="標楷體" w:eastAsia="標楷體" w:hAnsi="標楷體" w:hint="eastAsia"/>
          <w:szCs w:val="24"/>
        </w:rPr>
        <w:t>應收違反</w:t>
      </w:r>
      <w:r w:rsidRPr="00E82B51">
        <w:rPr>
          <w:rFonts w:ascii="標楷體" w:eastAsia="標楷體" w:hAnsi="標楷體" w:hint="eastAsia"/>
          <w:szCs w:val="24"/>
        </w:rPr>
        <w:t>都市計畫法、建築法、公寓大廈管理條例等規定之罰鍰</w:t>
      </w:r>
      <w:r>
        <w:rPr>
          <w:rFonts w:ascii="標楷體" w:eastAsia="標楷體" w:hAnsi="標楷體" w:hint="eastAsia"/>
          <w:szCs w:val="24"/>
        </w:rPr>
        <w:t>尚</w:t>
      </w:r>
      <w:r w:rsidRPr="00E82B51">
        <w:rPr>
          <w:rFonts w:ascii="標楷體" w:eastAsia="標楷體" w:hAnsi="標楷體" w:hint="eastAsia"/>
          <w:szCs w:val="24"/>
        </w:rPr>
        <w:t>待收繳</w:t>
      </w:r>
      <w:r w:rsidRPr="00E339AF">
        <w:rPr>
          <w:rFonts w:ascii="標楷體" w:eastAsia="標楷體" w:hAnsi="標楷體" w:hint="eastAsia"/>
          <w:szCs w:val="24"/>
        </w:rPr>
        <w:t>；</w:t>
      </w:r>
      <w:r w:rsidRPr="008D59D2">
        <w:rPr>
          <w:rFonts w:ascii="標楷體" w:eastAsia="標楷體" w:hAnsi="標楷體" w:hint="eastAsia"/>
          <w:szCs w:val="24"/>
        </w:rPr>
        <w:t>合計決算審定數為</w:t>
      </w:r>
      <w:r>
        <w:rPr>
          <w:rFonts w:ascii="標楷體" w:eastAsia="標楷體" w:hAnsi="標楷體" w:hint="eastAsia"/>
          <w:szCs w:val="24"/>
        </w:rPr>
        <w:t>12</w:t>
      </w:r>
      <w:r w:rsidRPr="008D59D2">
        <w:rPr>
          <w:rFonts w:ascii="標楷體" w:eastAsia="標楷體" w:hAnsi="標楷體" w:hint="eastAsia"/>
          <w:szCs w:val="24"/>
        </w:rPr>
        <w:t>億</w:t>
      </w:r>
      <w:r>
        <w:rPr>
          <w:rFonts w:ascii="標楷體" w:eastAsia="標楷體" w:hAnsi="標楷體" w:hint="eastAsia"/>
          <w:szCs w:val="24"/>
        </w:rPr>
        <w:t>336</w:t>
      </w:r>
      <w:r w:rsidRPr="008D59D2">
        <w:rPr>
          <w:rFonts w:ascii="標楷體" w:eastAsia="標楷體" w:hAnsi="標楷體" w:hint="eastAsia"/>
          <w:szCs w:val="24"/>
        </w:rPr>
        <w:t>萬餘元，較預算</w:t>
      </w:r>
      <w:r>
        <w:rPr>
          <w:rFonts w:ascii="標楷體" w:eastAsia="標楷體" w:hAnsi="標楷體" w:hint="eastAsia"/>
          <w:szCs w:val="24"/>
        </w:rPr>
        <w:t>減少790</w:t>
      </w:r>
      <w:r w:rsidRPr="008D59D2">
        <w:rPr>
          <w:rFonts w:ascii="標楷體" w:eastAsia="標楷體" w:hAnsi="標楷體" w:hint="eastAsia"/>
          <w:szCs w:val="24"/>
        </w:rPr>
        <w:t>萬</w:t>
      </w:r>
      <w:r w:rsidRPr="00852AFF">
        <w:rPr>
          <w:rFonts w:ascii="標楷體" w:eastAsia="標楷體" w:hAnsi="標楷體" w:hint="eastAsia"/>
          <w:szCs w:val="24"/>
        </w:rPr>
        <w:t>餘元（0</w:t>
      </w:r>
      <w:r w:rsidRPr="00852AFF">
        <w:rPr>
          <w:rFonts w:ascii="標楷體" w:eastAsia="標楷體" w:hAnsi="標楷體"/>
          <w:szCs w:val="24"/>
        </w:rPr>
        <w:t>.</w:t>
      </w:r>
      <w:r w:rsidRPr="00852AFF">
        <w:rPr>
          <w:rFonts w:ascii="標楷體" w:eastAsia="標楷體" w:hAnsi="標楷體" w:hint="eastAsia"/>
          <w:szCs w:val="24"/>
        </w:rPr>
        <w:t>65％），主要係建築管理工程處辦理</w:t>
      </w:r>
      <w:r>
        <w:rPr>
          <w:rFonts w:ascii="標楷體" w:eastAsia="標楷體" w:hAnsi="標楷體" w:hint="eastAsia"/>
          <w:szCs w:val="24"/>
        </w:rPr>
        <w:t>內政部補助計畫，中央</w:t>
      </w:r>
      <w:r w:rsidRPr="00F43151">
        <w:rPr>
          <w:rFonts w:ascii="標楷體" w:eastAsia="標楷體" w:hAnsi="標楷體" w:hint="eastAsia"/>
          <w:szCs w:val="24"/>
        </w:rPr>
        <w:t>實際係依民眾申請都市危險及老舊建築物結構安全性能評估經費補助需求計畫等案件數，撥付特別統籌分配稅款</w:t>
      </w:r>
      <w:r w:rsidRPr="00852AFF">
        <w:rPr>
          <w:rFonts w:ascii="標楷體" w:eastAsia="標楷體" w:hAnsi="標楷體" w:hint="eastAsia"/>
          <w:szCs w:val="24"/>
        </w:rPr>
        <w:t>所致</w:t>
      </w:r>
      <w:r w:rsidRPr="008D59D2">
        <w:rPr>
          <w:rFonts w:ascii="標楷體" w:eastAsia="標楷體" w:hAnsi="標楷體" w:hint="eastAsia"/>
          <w:szCs w:val="24"/>
        </w:rPr>
        <w:t>。</w:t>
      </w:r>
    </w:p>
    <w:p w14:paraId="73608694" w14:textId="77777777" w:rsidR="00F1456A" w:rsidRPr="008D59D2" w:rsidRDefault="00F1456A" w:rsidP="00F1456A">
      <w:pPr>
        <w:overflowPunct w:val="0"/>
        <w:spacing w:beforeLines="30" w:before="108" w:afterLines="30" w:after="108" w:line="450" w:lineRule="exact"/>
        <w:ind w:firstLineChars="200" w:firstLine="480"/>
        <w:jc w:val="both"/>
        <w:rPr>
          <w:rFonts w:ascii="標楷體" w:eastAsia="標楷體" w:hAnsi="標楷體"/>
          <w:szCs w:val="24"/>
        </w:rPr>
      </w:pPr>
      <w:r w:rsidRPr="008D59D2">
        <w:rPr>
          <w:rFonts w:ascii="標楷體" w:eastAsia="標楷體" w:hAnsi="標楷體" w:hint="eastAsia"/>
          <w:szCs w:val="24"/>
        </w:rPr>
        <w:t>2.</w:t>
      </w:r>
      <w:r w:rsidRPr="0054147E">
        <w:rPr>
          <w:rFonts w:ascii="標楷體" w:eastAsia="標楷體" w:hAnsi="標楷體" w:hint="eastAsia"/>
          <w:szCs w:val="24"/>
        </w:rPr>
        <w:t>以前年度歲入轉入數計</w:t>
      </w:r>
      <w:r>
        <w:rPr>
          <w:rFonts w:ascii="標楷體" w:eastAsia="標楷體" w:hAnsi="標楷體" w:hint="eastAsia"/>
          <w:szCs w:val="24"/>
        </w:rPr>
        <w:t>5</w:t>
      </w:r>
      <w:r>
        <w:rPr>
          <w:rFonts w:ascii="標楷體" w:eastAsia="標楷體" w:hAnsi="標楷體"/>
          <w:szCs w:val="24"/>
        </w:rPr>
        <w:t>,</w:t>
      </w:r>
      <w:r>
        <w:rPr>
          <w:rFonts w:ascii="標楷體" w:eastAsia="標楷體" w:hAnsi="標楷體" w:hint="eastAsia"/>
          <w:szCs w:val="24"/>
        </w:rPr>
        <w:t>982</w:t>
      </w:r>
      <w:r w:rsidRPr="0054147E">
        <w:rPr>
          <w:rFonts w:ascii="標楷體" w:eastAsia="標楷體" w:hAnsi="標楷體" w:hint="eastAsia"/>
          <w:szCs w:val="24"/>
        </w:rPr>
        <w:t>萬餘元，決算審核結果，審定實現數</w:t>
      </w:r>
      <w:r>
        <w:rPr>
          <w:rFonts w:ascii="標楷體" w:eastAsia="標楷體" w:hAnsi="標楷體" w:hint="eastAsia"/>
          <w:szCs w:val="24"/>
        </w:rPr>
        <w:t>3</w:t>
      </w:r>
      <w:r w:rsidRPr="0054147E">
        <w:rPr>
          <w:rFonts w:ascii="標楷體" w:eastAsia="標楷體" w:hAnsi="標楷體"/>
          <w:szCs w:val="24"/>
        </w:rPr>
        <w:t>,</w:t>
      </w:r>
      <w:r>
        <w:rPr>
          <w:rFonts w:ascii="標楷體" w:eastAsia="標楷體" w:hAnsi="標楷體" w:hint="eastAsia"/>
          <w:szCs w:val="24"/>
        </w:rPr>
        <w:t>026</w:t>
      </w:r>
      <w:r w:rsidRPr="0054147E">
        <w:rPr>
          <w:rFonts w:ascii="標楷體" w:eastAsia="標楷體" w:hAnsi="標楷體" w:hint="eastAsia"/>
          <w:szCs w:val="24"/>
        </w:rPr>
        <w:t>萬餘元</w:t>
      </w:r>
      <w:r>
        <w:rPr>
          <w:rFonts w:ascii="標楷體" w:eastAsia="標楷體" w:hAnsi="標楷體" w:hint="eastAsia"/>
          <w:szCs w:val="24"/>
        </w:rPr>
        <w:t>（50.59</w:t>
      </w:r>
      <w:r w:rsidRPr="0054147E">
        <w:rPr>
          <w:rFonts w:ascii="標楷體" w:eastAsia="標楷體" w:hAnsi="標楷體" w:hint="eastAsia"/>
          <w:szCs w:val="24"/>
        </w:rPr>
        <w:t>％</w:t>
      </w:r>
      <w:r>
        <w:rPr>
          <w:rFonts w:ascii="標楷體" w:eastAsia="標楷體" w:hAnsi="標楷體" w:hint="eastAsia"/>
          <w:szCs w:val="24"/>
        </w:rPr>
        <w:t>）</w:t>
      </w:r>
      <w:r w:rsidRPr="0054147E">
        <w:rPr>
          <w:rFonts w:ascii="標楷體" w:eastAsia="標楷體" w:hAnsi="標楷體" w:hint="eastAsia"/>
          <w:szCs w:val="24"/>
        </w:rPr>
        <w:t>，減免</w:t>
      </w:r>
      <w:bookmarkStart w:id="84" w:name="_Hlk137717274"/>
      <w:r>
        <w:rPr>
          <w:rFonts w:ascii="標楷體" w:eastAsia="標楷體" w:hAnsi="標楷體" w:hint="eastAsia"/>
          <w:szCs w:val="24"/>
        </w:rPr>
        <w:t>（</w:t>
      </w:r>
      <w:r w:rsidRPr="0054147E">
        <w:rPr>
          <w:rFonts w:ascii="標楷體" w:eastAsia="標楷體" w:hAnsi="標楷體" w:hint="eastAsia"/>
          <w:szCs w:val="24"/>
        </w:rPr>
        <w:t>註銷</w:t>
      </w:r>
      <w:r>
        <w:rPr>
          <w:rFonts w:ascii="標楷體" w:eastAsia="標楷體" w:hAnsi="標楷體" w:hint="eastAsia"/>
          <w:szCs w:val="24"/>
        </w:rPr>
        <w:t>）</w:t>
      </w:r>
      <w:bookmarkEnd w:id="84"/>
      <w:r w:rsidRPr="0054147E">
        <w:rPr>
          <w:rFonts w:ascii="標楷體" w:eastAsia="標楷體" w:hAnsi="標楷體" w:hint="eastAsia"/>
          <w:szCs w:val="24"/>
        </w:rPr>
        <w:t>數</w:t>
      </w:r>
      <w:r>
        <w:rPr>
          <w:rFonts w:ascii="標楷體" w:eastAsia="標楷體" w:hAnsi="標楷體" w:hint="eastAsia"/>
          <w:szCs w:val="24"/>
        </w:rPr>
        <w:t>803</w:t>
      </w:r>
      <w:r w:rsidRPr="0054147E">
        <w:rPr>
          <w:rFonts w:ascii="標楷體" w:eastAsia="標楷體" w:hAnsi="標楷體" w:hint="eastAsia"/>
          <w:szCs w:val="24"/>
        </w:rPr>
        <w:t>萬餘元</w:t>
      </w:r>
      <w:r>
        <w:rPr>
          <w:rFonts w:ascii="標楷體" w:eastAsia="標楷體" w:hAnsi="標楷體" w:hint="eastAsia"/>
          <w:szCs w:val="24"/>
        </w:rPr>
        <w:t>（13.43</w:t>
      </w:r>
      <w:r w:rsidRPr="0054147E">
        <w:rPr>
          <w:rFonts w:ascii="標楷體" w:eastAsia="標楷體" w:hAnsi="標楷體" w:hint="eastAsia"/>
          <w:szCs w:val="24"/>
        </w:rPr>
        <w:t>％</w:t>
      </w:r>
      <w:r>
        <w:rPr>
          <w:rFonts w:ascii="標楷體" w:eastAsia="標楷體" w:hAnsi="標楷體" w:hint="eastAsia"/>
          <w:szCs w:val="24"/>
        </w:rPr>
        <w:t>）</w:t>
      </w:r>
      <w:r w:rsidRPr="00BC4961">
        <w:rPr>
          <w:rFonts w:ascii="標楷體" w:eastAsia="標楷體" w:hAnsi="標楷體" w:hint="eastAsia"/>
          <w:szCs w:val="24"/>
        </w:rPr>
        <w:t>，主要係都市發展局及建築管理工程處註銷已取得執行憑證</w:t>
      </w:r>
      <w:r>
        <w:rPr>
          <w:rFonts w:ascii="標楷體" w:eastAsia="標楷體" w:hAnsi="標楷體" w:hint="eastAsia"/>
          <w:szCs w:val="24"/>
        </w:rPr>
        <w:t>或撤銷原處分</w:t>
      </w:r>
      <w:r w:rsidRPr="00BC4961">
        <w:rPr>
          <w:rFonts w:ascii="標楷體" w:eastAsia="標楷體" w:hAnsi="標楷體" w:hint="eastAsia"/>
          <w:szCs w:val="24"/>
        </w:rPr>
        <w:t>之應收行政罰鍰；</w:t>
      </w:r>
      <w:r w:rsidRPr="0054147E">
        <w:rPr>
          <w:rFonts w:ascii="標楷體" w:eastAsia="標楷體" w:hAnsi="標楷體" w:hint="eastAsia"/>
          <w:szCs w:val="24"/>
        </w:rPr>
        <w:t>應收保留數</w:t>
      </w:r>
      <w:r>
        <w:rPr>
          <w:rFonts w:ascii="標楷體" w:eastAsia="標楷體" w:hAnsi="標楷體" w:hint="eastAsia"/>
          <w:szCs w:val="24"/>
        </w:rPr>
        <w:t>2</w:t>
      </w:r>
      <w:r w:rsidRPr="0054147E">
        <w:rPr>
          <w:rFonts w:ascii="標楷體" w:eastAsia="標楷體" w:hAnsi="標楷體"/>
          <w:szCs w:val="24"/>
        </w:rPr>
        <w:t>,</w:t>
      </w:r>
      <w:r>
        <w:rPr>
          <w:rFonts w:ascii="標楷體" w:eastAsia="標楷體" w:hAnsi="標楷體" w:hint="eastAsia"/>
          <w:szCs w:val="24"/>
        </w:rPr>
        <w:t>152</w:t>
      </w:r>
      <w:r w:rsidRPr="0054147E">
        <w:rPr>
          <w:rFonts w:ascii="標楷體" w:eastAsia="標楷體" w:hAnsi="標楷體" w:hint="eastAsia"/>
          <w:szCs w:val="24"/>
        </w:rPr>
        <w:t>萬餘元</w:t>
      </w:r>
      <w:r>
        <w:rPr>
          <w:rFonts w:ascii="標楷體" w:eastAsia="標楷體" w:hAnsi="標楷體" w:hint="eastAsia"/>
          <w:szCs w:val="24"/>
        </w:rPr>
        <w:t>（35</w:t>
      </w:r>
      <w:r w:rsidRPr="0054147E">
        <w:rPr>
          <w:rFonts w:ascii="標楷體" w:eastAsia="標楷體" w:hAnsi="標楷體"/>
          <w:szCs w:val="24"/>
        </w:rPr>
        <w:t>.</w:t>
      </w:r>
      <w:r>
        <w:rPr>
          <w:rFonts w:ascii="標楷體" w:eastAsia="標楷體" w:hAnsi="標楷體" w:hint="eastAsia"/>
          <w:szCs w:val="24"/>
        </w:rPr>
        <w:t>98</w:t>
      </w:r>
      <w:r w:rsidRPr="0054147E">
        <w:rPr>
          <w:rFonts w:ascii="標楷體" w:eastAsia="標楷體" w:hAnsi="標楷體" w:hint="eastAsia"/>
          <w:szCs w:val="24"/>
        </w:rPr>
        <w:t>％</w:t>
      </w:r>
      <w:r>
        <w:rPr>
          <w:rFonts w:ascii="標楷體" w:eastAsia="標楷體" w:hAnsi="標楷體" w:hint="eastAsia"/>
          <w:szCs w:val="24"/>
        </w:rPr>
        <w:t>）</w:t>
      </w:r>
      <w:r w:rsidRPr="0054147E">
        <w:rPr>
          <w:rFonts w:ascii="標楷體" w:eastAsia="標楷體" w:hAnsi="標楷體" w:hint="eastAsia"/>
          <w:szCs w:val="24"/>
        </w:rPr>
        <w:t>，</w:t>
      </w:r>
      <w:r w:rsidRPr="00FD6CF9">
        <w:rPr>
          <w:rFonts w:ascii="標楷體" w:eastAsia="標楷體" w:hAnsi="標楷體" w:hint="eastAsia"/>
          <w:spacing w:val="-2"/>
          <w:szCs w:val="24"/>
        </w:rPr>
        <w:t>主要係</w:t>
      </w:r>
      <w:bookmarkStart w:id="85" w:name="_Hlk106282877"/>
      <w:r w:rsidRPr="00FD6CF9">
        <w:rPr>
          <w:rFonts w:ascii="標楷體" w:eastAsia="標楷體" w:hAnsi="標楷體" w:hint="eastAsia"/>
          <w:spacing w:val="-2"/>
          <w:szCs w:val="24"/>
        </w:rPr>
        <w:t>都市發展局及建築管理工程處</w:t>
      </w:r>
      <w:bookmarkEnd w:id="85"/>
      <w:r w:rsidRPr="00FD6CF9">
        <w:rPr>
          <w:rFonts w:ascii="標楷體" w:eastAsia="標楷體" w:hAnsi="標楷體" w:hint="eastAsia"/>
          <w:spacing w:val="-2"/>
          <w:szCs w:val="24"/>
        </w:rPr>
        <w:t>應收違反都市計畫法、建築法、公寓大廈管理條例等規定之罰鍰尚待收繳。</w:t>
      </w:r>
    </w:p>
    <w:p w14:paraId="67B05250" w14:textId="77777777" w:rsidR="00F1456A" w:rsidRDefault="00F1456A" w:rsidP="00F1456A">
      <w:pPr>
        <w:overflowPunct w:val="0"/>
        <w:spacing w:beforeLines="30" w:before="108" w:afterLines="30" w:after="108" w:line="450" w:lineRule="exact"/>
        <w:ind w:firstLineChars="200" w:firstLine="480"/>
        <w:jc w:val="both"/>
        <w:rPr>
          <w:rFonts w:ascii="標楷體" w:eastAsia="標楷體" w:hAnsi="標楷體"/>
          <w:szCs w:val="24"/>
        </w:rPr>
      </w:pPr>
      <w:r w:rsidRPr="0081577C">
        <w:rPr>
          <w:rFonts w:ascii="標楷體" w:eastAsia="標楷體" w:hAnsi="標楷體" w:hint="eastAsia"/>
          <w:szCs w:val="24"/>
        </w:rPr>
        <w:t>3.歲出原編列預算數17億7</w:t>
      </w:r>
      <w:r w:rsidRPr="0081577C">
        <w:rPr>
          <w:rFonts w:ascii="標楷體" w:eastAsia="標楷體" w:hAnsi="標楷體"/>
          <w:szCs w:val="24"/>
        </w:rPr>
        <w:t>,</w:t>
      </w:r>
      <w:r w:rsidRPr="0081577C">
        <w:rPr>
          <w:rFonts w:ascii="標楷體" w:eastAsia="標楷體" w:hAnsi="標楷體" w:hint="eastAsia"/>
          <w:szCs w:val="24"/>
        </w:rPr>
        <w:t>110萬餘元，經追加預算</w:t>
      </w:r>
      <w:r>
        <w:rPr>
          <w:rFonts w:ascii="標楷體" w:eastAsia="標楷體" w:hAnsi="標楷體" w:hint="eastAsia"/>
          <w:szCs w:val="24"/>
        </w:rPr>
        <w:t>2</w:t>
      </w:r>
      <w:r w:rsidRPr="0081577C">
        <w:rPr>
          <w:rFonts w:ascii="標楷體" w:eastAsia="標楷體" w:hAnsi="標楷體"/>
          <w:szCs w:val="24"/>
        </w:rPr>
        <w:t>,</w:t>
      </w:r>
      <w:r>
        <w:rPr>
          <w:rFonts w:ascii="標楷體" w:eastAsia="標楷體" w:hAnsi="標楷體"/>
          <w:szCs w:val="24"/>
        </w:rPr>
        <w:t>91</w:t>
      </w:r>
      <w:r>
        <w:rPr>
          <w:rFonts w:ascii="標楷體" w:eastAsia="標楷體" w:hAnsi="標楷體" w:hint="eastAsia"/>
          <w:szCs w:val="24"/>
        </w:rPr>
        <w:t>2</w:t>
      </w:r>
      <w:r w:rsidRPr="0081577C">
        <w:rPr>
          <w:rFonts w:ascii="標楷體" w:eastAsia="標楷體" w:hAnsi="標楷體" w:hint="eastAsia"/>
          <w:szCs w:val="24"/>
        </w:rPr>
        <w:t>萬元</w:t>
      </w:r>
      <w:r>
        <w:rPr>
          <w:rFonts w:ascii="標楷體" w:eastAsia="標楷體" w:hAnsi="標楷體" w:hint="eastAsia"/>
          <w:szCs w:val="24"/>
        </w:rPr>
        <w:t>，並因建築管理工程處辦理臺北市開挖中建築工地每月委託四大公會檢查所需經費，經動支第二預備金380萬元，暨都市發展局及建築管理工程處等單位因人事費不足申請動支各類員工待遇準備1</w:t>
      </w:r>
      <w:r>
        <w:rPr>
          <w:rFonts w:ascii="標楷體" w:eastAsia="標楷體" w:hAnsi="標楷體"/>
          <w:szCs w:val="24"/>
        </w:rPr>
        <w:t>,</w:t>
      </w:r>
      <w:r>
        <w:rPr>
          <w:rFonts w:ascii="標楷體" w:eastAsia="標楷體" w:hAnsi="標楷體" w:hint="eastAsia"/>
          <w:szCs w:val="24"/>
        </w:rPr>
        <w:t>070萬餘元</w:t>
      </w:r>
      <w:r w:rsidRPr="0081577C">
        <w:rPr>
          <w:rFonts w:ascii="標楷體" w:eastAsia="標楷體" w:hAnsi="標楷體" w:hint="eastAsia"/>
          <w:szCs w:val="24"/>
        </w:rPr>
        <w:t>，合計數18億1</w:t>
      </w:r>
      <w:r w:rsidRPr="0081577C">
        <w:rPr>
          <w:rFonts w:ascii="標楷體" w:eastAsia="標楷體" w:hAnsi="標楷體"/>
          <w:szCs w:val="24"/>
        </w:rPr>
        <w:t>,</w:t>
      </w:r>
      <w:r w:rsidRPr="0081577C">
        <w:rPr>
          <w:rFonts w:ascii="標楷體" w:eastAsia="標楷體" w:hAnsi="標楷體" w:hint="eastAsia"/>
          <w:szCs w:val="24"/>
        </w:rPr>
        <w:t>472萬餘元，決算審核結果，審定實現數17億6,138萬餘元（97.06％），應付保留數1</w:t>
      </w:r>
      <w:r w:rsidRPr="0081577C">
        <w:rPr>
          <w:rFonts w:ascii="標楷體" w:eastAsia="標楷體" w:hAnsi="標楷體"/>
          <w:szCs w:val="24"/>
        </w:rPr>
        <w:t>,</w:t>
      </w:r>
      <w:r w:rsidRPr="0081577C">
        <w:rPr>
          <w:rFonts w:ascii="標楷體" w:eastAsia="標楷體" w:hAnsi="標楷體" w:hint="eastAsia"/>
          <w:szCs w:val="24"/>
        </w:rPr>
        <w:t>083萬餘元（0</w:t>
      </w:r>
      <w:r w:rsidRPr="0081577C">
        <w:rPr>
          <w:rFonts w:ascii="標楷體" w:eastAsia="標楷體" w:hAnsi="標楷體"/>
          <w:szCs w:val="24"/>
        </w:rPr>
        <w:t>.</w:t>
      </w:r>
      <w:bookmarkStart w:id="86" w:name="_Hlk106360188"/>
      <w:r w:rsidRPr="0081577C">
        <w:rPr>
          <w:rFonts w:ascii="標楷體" w:eastAsia="標楷體" w:hAnsi="標楷體" w:hint="eastAsia"/>
          <w:szCs w:val="24"/>
        </w:rPr>
        <w:t>60％</w:t>
      </w:r>
      <w:bookmarkEnd w:id="86"/>
      <w:r w:rsidRPr="0081577C">
        <w:rPr>
          <w:rFonts w:ascii="標楷體" w:eastAsia="標楷體" w:hAnsi="標楷體" w:hint="eastAsia"/>
          <w:szCs w:val="24"/>
        </w:rPr>
        <w:t>），</w:t>
      </w:r>
      <w:bookmarkStart w:id="87" w:name="OLE_LINK1"/>
      <w:r w:rsidRPr="0081577C">
        <w:rPr>
          <w:rFonts w:ascii="標楷體" w:eastAsia="標楷體" w:hAnsi="標楷體" w:hint="eastAsia"/>
          <w:szCs w:val="24"/>
        </w:rPr>
        <w:t>保留原因詳「（一）計畫實施之查核」說明</w:t>
      </w:r>
      <w:bookmarkEnd w:id="87"/>
      <w:r w:rsidRPr="0081577C">
        <w:rPr>
          <w:rFonts w:ascii="標楷體" w:eastAsia="標楷體" w:hAnsi="標楷體" w:hint="eastAsia"/>
          <w:szCs w:val="24"/>
        </w:rPr>
        <w:t>；合計決算審定數為17</w:t>
      </w:r>
    </w:p>
    <w:p w14:paraId="5917D85F" w14:textId="3ED40AD5" w:rsidR="00F1456A" w:rsidRPr="0081577C" w:rsidRDefault="00F1456A" w:rsidP="00F1456A">
      <w:pPr>
        <w:overflowPunct w:val="0"/>
        <w:spacing w:beforeLines="30" w:before="108" w:afterLines="30" w:after="108" w:line="440" w:lineRule="exact"/>
        <w:jc w:val="both"/>
        <w:rPr>
          <w:rFonts w:ascii="標楷體" w:eastAsia="標楷體" w:hAnsi="標楷體"/>
          <w:szCs w:val="24"/>
        </w:rPr>
      </w:pPr>
      <w:r w:rsidRPr="0081577C">
        <w:rPr>
          <w:rFonts w:ascii="標楷體" w:eastAsia="標楷體" w:hAnsi="標楷體" w:hint="eastAsia"/>
          <w:szCs w:val="24"/>
        </w:rPr>
        <w:lastRenderedPageBreak/>
        <w:t>億</w:t>
      </w:r>
      <w:proofErr w:type="gramStart"/>
      <w:r w:rsidRPr="0081577C">
        <w:rPr>
          <w:rFonts w:ascii="標楷體" w:eastAsia="標楷體" w:hAnsi="標楷體" w:hint="eastAsia"/>
          <w:szCs w:val="24"/>
        </w:rPr>
        <w:t>7</w:t>
      </w:r>
      <w:proofErr w:type="gramEnd"/>
      <w:r w:rsidRPr="0081577C">
        <w:rPr>
          <w:rFonts w:ascii="標楷體" w:eastAsia="標楷體" w:hAnsi="標楷體" w:hint="eastAsia"/>
          <w:szCs w:val="24"/>
        </w:rPr>
        <w:t>,222萬餘元，預算賸餘4</w:t>
      </w:r>
      <w:r w:rsidRPr="0081577C">
        <w:rPr>
          <w:rFonts w:ascii="標楷體" w:eastAsia="標楷體" w:hAnsi="標楷體"/>
          <w:szCs w:val="24"/>
        </w:rPr>
        <w:t>,</w:t>
      </w:r>
      <w:r w:rsidRPr="0081577C">
        <w:rPr>
          <w:rFonts w:ascii="標楷體" w:eastAsia="標楷體" w:hAnsi="標楷體" w:hint="eastAsia"/>
          <w:szCs w:val="24"/>
        </w:rPr>
        <w:t>250萬餘元（2</w:t>
      </w:r>
      <w:r w:rsidRPr="0081577C">
        <w:rPr>
          <w:rFonts w:ascii="標楷體" w:eastAsia="標楷體" w:hAnsi="標楷體"/>
          <w:szCs w:val="24"/>
        </w:rPr>
        <w:t>.</w:t>
      </w:r>
      <w:r w:rsidRPr="0081577C">
        <w:rPr>
          <w:rFonts w:ascii="標楷體" w:eastAsia="標楷體" w:hAnsi="標楷體" w:hint="eastAsia"/>
          <w:szCs w:val="24"/>
        </w:rPr>
        <w:t>34％），主要係建築管理工程處之主動輔導辦理建築物耐震能力初步評估及結構安全性能初步評估等補助經費賸餘款。</w:t>
      </w:r>
    </w:p>
    <w:p w14:paraId="02D4910D" w14:textId="77777777" w:rsidR="00F1456A" w:rsidRPr="00261705" w:rsidRDefault="00F1456A" w:rsidP="00F1456A">
      <w:pPr>
        <w:overflowPunct w:val="0"/>
        <w:spacing w:beforeLines="30" w:before="108" w:afterLines="30" w:after="108" w:line="440" w:lineRule="exact"/>
        <w:ind w:firstLineChars="200" w:firstLine="480"/>
        <w:jc w:val="both"/>
        <w:rPr>
          <w:rFonts w:ascii="標楷體" w:eastAsia="標楷體" w:hAnsi="標楷體"/>
          <w:szCs w:val="24"/>
        </w:rPr>
      </w:pPr>
      <w:r w:rsidRPr="008D59D2">
        <w:rPr>
          <w:rFonts w:ascii="標楷體" w:eastAsia="標楷體" w:hAnsi="標楷體" w:hint="eastAsia"/>
          <w:szCs w:val="24"/>
        </w:rPr>
        <w:t>4.以前年度歲出轉入數計</w:t>
      </w:r>
      <w:r>
        <w:rPr>
          <w:rFonts w:ascii="標楷體" w:eastAsia="標楷體" w:hAnsi="標楷體" w:hint="eastAsia"/>
          <w:szCs w:val="24"/>
        </w:rPr>
        <w:t>2</w:t>
      </w:r>
      <w:r w:rsidRPr="008D59D2">
        <w:rPr>
          <w:rFonts w:ascii="標楷體" w:eastAsia="標楷體" w:hAnsi="標楷體"/>
          <w:szCs w:val="24"/>
        </w:rPr>
        <w:t>,</w:t>
      </w:r>
      <w:r>
        <w:rPr>
          <w:rFonts w:ascii="標楷體" w:eastAsia="標楷體" w:hAnsi="標楷體" w:hint="eastAsia"/>
          <w:szCs w:val="24"/>
        </w:rPr>
        <w:t>618</w:t>
      </w:r>
      <w:r w:rsidRPr="008D59D2">
        <w:rPr>
          <w:rFonts w:ascii="標楷體" w:eastAsia="標楷體" w:hAnsi="標楷體" w:hint="eastAsia"/>
          <w:szCs w:val="24"/>
        </w:rPr>
        <w:t>萬餘元，決算審核結果，審定實現數</w:t>
      </w:r>
      <w:r>
        <w:rPr>
          <w:rFonts w:ascii="標楷體" w:eastAsia="標楷體" w:hAnsi="標楷體" w:hint="eastAsia"/>
          <w:szCs w:val="24"/>
        </w:rPr>
        <w:t>1</w:t>
      </w:r>
      <w:r w:rsidRPr="008D59D2">
        <w:rPr>
          <w:rFonts w:ascii="標楷體" w:eastAsia="標楷體" w:hAnsi="標楷體"/>
          <w:szCs w:val="24"/>
        </w:rPr>
        <w:t>,</w:t>
      </w:r>
      <w:r>
        <w:rPr>
          <w:rFonts w:ascii="標楷體" w:eastAsia="標楷體" w:hAnsi="標楷體" w:hint="eastAsia"/>
          <w:szCs w:val="24"/>
        </w:rPr>
        <w:t>677</w:t>
      </w:r>
      <w:r w:rsidRPr="008D59D2">
        <w:rPr>
          <w:rFonts w:ascii="標楷體" w:eastAsia="標楷體" w:hAnsi="標楷體" w:hint="eastAsia"/>
          <w:szCs w:val="24"/>
        </w:rPr>
        <w:t>萬餘元</w:t>
      </w:r>
      <w:r>
        <w:rPr>
          <w:rFonts w:ascii="標楷體" w:eastAsia="標楷體" w:hAnsi="標楷體" w:hint="eastAsia"/>
          <w:szCs w:val="24"/>
        </w:rPr>
        <w:t>（64.07</w:t>
      </w:r>
      <w:r w:rsidRPr="008D59D2">
        <w:rPr>
          <w:rFonts w:ascii="標楷體" w:eastAsia="標楷體" w:hAnsi="標楷體" w:hint="eastAsia"/>
          <w:szCs w:val="24"/>
        </w:rPr>
        <w:t>％</w:t>
      </w:r>
      <w:r>
        <w:rPr>
          <w:rFonts w:ascii="標楷體" w:eastAsia="標楷體" w:hAnsi="標楷體" w:hint="eastAsia"/>
          <w:szCs w:val="24"/>
        </w:rPr>
        <w:t>）</w:t>
      </w:r>
      <w:r w:rsidRPr="008D59D2">
        <w:rPr>
          <w:rFonts w:ascii="標楷體" w:eastAsia="標楷體" w:hAnsi="標楷體" w:hint="eastAsia"/>
          <w:szCs w:val="24"/>
        </w:rPr>
        <w:t>，減免</w:t>
      </w:r>
      <w:r>
        <w:rPr>
          <w:rFonts w:ascii="標楷體" w:eastAsia="標楷體" w:hAnsi="標楷體" w:hint="eastAsia"/>
          <w:szCs w:val="24"/>
        </w:rPr>
        <w:t>（</w:t>
      </w:r>
      <w:r w:rsidRPr="008D59D2">
        <w:rPr>
          <w:rFonts w:ascii="標楷體" w:eastAsia="標楷體" w:hAnsi="標楷體" w:hint="eastAsia"/>
          <w:szCs w:val="24"/>
        </w:rPr>
        <w:t>註銷</w:t>
      </w:r>
      <w:r>
        <w:rPr>
          <w:rFonts w:ascii="標楷體" w:eastAsia="標楷體" w:hAnsi="標楷體" w:hint="eastAsia"/>
          <w:szCs w:val="24"/>
        </w:rPr>
        <w:t>）</w:t>
      </w:r>
      <w:r w:rsidRPr="008D59D2">
        <w:rPr>
          <w:rFonts w:ascii="標楷體" w:eastAsia="標楷體" w:hAnsi="標楷體" w:hint="eastAsia"/>
          <w:szCs w:val="24"/>
        </w:rPr>
        <w:t>數</w:t>
      </w:r>
      <w:r>
        <w:rPr>
          <w:rFonts w:ascii="標楷體" w:eastAsia="標楷體" w:hAnsi="標楷體" w:hint="eastAsia"/>
          <w:szCs w:val="24"/>
        </w:rPr>
        <w:t>184</w:t>
      </w:r>
      <w:r w:rsidRPr="008D59D2">
        <w:rPr>
          <w:rFonts w:ascii="標楷體" w:eastAsia="標楷體" w:hAnsi="標楷體" w:hint="eastAsia"/>
          <w:szCs w:val="24"/>
        </w:rPr>
        <w:t>萬餘元</w:t>
      </w:r>
      <w:r>
        <w:rPr>
          <w:rFonts w:ascii="標楷體" w:eastAsia="標楷體" w:hAnsi="標楷體" w:hint="eastAsia"/>
          <w:szCs w:val="24"/>
        </w:rPr>
        <w:t>（7.06</w:t>
      </w:r>
      <w:r w:rsidRPr="008D59D2">
        <w:rPr>
          <w:rFonts w:ascii="標楷體" w:eastAsia="標楷體" w:hAnsi="標楷體" w:hint="eastAsia"/>
          <w:szCs w:val="24"/>
        </w:rPr>
        <w:t>％</w:t>
      </w:r>
      <w:r>
        <w:rPr>
          <w:rFonts w:ascii="標楷體" w:eastAsia="標楷體" w:hAnsi="標楷體" w:hint="eastAsia"/>
          <w:szCs w:val="24"/>
        </w:rPr>
        <w:t>）</w:t>
      </w:r>
      <w:r w:rsidRPr="006E23BC">
        <w:rPr>
          <w:rFonts w:ascii="標楷體" w:eastAsia="標楷體" w:hAnsi="標楷體" w:hint="eastAsia"/>
          <w:szCs w:val="24"/>
        </w:rPr>
        <w:t>，主要係建築管理工程處辦理建築基地內騎樓及沿街面人行空間改善工程之經費結餘；</w:t>
      </w:r>
      <w:r w:rsidRPr="00261705">
        <w:rPr>
          <w:rFonts w:ascii="標楷體" w:eastAsia="標楷體" w:hAnsi="標楷體" w:hint="eastAsia"/>
          <w:szCs w:val="24"/>
        </w:rPr>
        <w:t>應付保留數</w:t>
      </w:r>
      <w:r>
        <w:rPr>
          <w:rFonts w:ascii="標楷體" w:eastAsia="標楷體" w:hAnsi="標楷體" w:hint="eastAsia"/>
          <w:szCs w:val="24"/>
        </w:rPr>
        <w:t>755</w:t>
      </w:r>
      <w:r w:rsidRPr="00261705">
        <w:rPr>
          <w:rFonts w:ascii="標楷體" w:eastAsia="標楷體" w:hAnsi="標楷體" w:hint="eastAsia"/>
          <w:szCs w:val="24"/>
        </w:rPr>
        <w:t>萬餘元</w:t>
      </w:r>
      <w:r>
        <w:rPr>
          <w:rFonts w:ascii="標楷體" w:eastAsia="標楷體" w:hAnsi="標楷體" w:hint="eastAsia"/>
          <w:szCs w:val="24"/>
        </w:rPr>
        <w:t>（</w:t>
      </w:r>
      <w:r w:rsidRPr="00261705">
        <w:rPr>
          <w:rFonts w:ascii="標楷體" w:eastAsia="標楷體" w:hAnsi="標楷體" w:hint="eastAsia"/>
          <w:szCs w:val="24"/>
        </w:rPr>
        <w:t>2</w:t>
      </w:r>
      <w:r>
        <w:rPr>
          <w:rFonts w:ascii="標楷體" w:eastAsia="標楷體" w:hAnsi="標楷體" w:hint="eastAsia"/>
          <w:szCs w:val="24"/>
        </w:rPr>
        <w:t>8.87</w:t>
      </w:r>
      <w:r w:rsidRPr="00261705">
        <w:rPr>
          <w:rFonts w:ascii="標楷體" w:eastAsia="標楷體" w:hAnsi="標楷體" w:hint="eastAsia"/>
          <w:szCs w:val="24"/>
        </w:rPr>
        <w:t>％</w:t>
      </w:r>
      <w:r>
        <w:rPr>
          <w:rFonts w:ascii="標楷體" w:eastAsia="標楷體" w:hAnsi="標楷體" w:hint="eastAsia"/>
          <w:szCs w:val="24"/>
        </w:rPr>
        <w:t>）</w:t>
      </w:r>
      <w:r w:rsidRPr="006E23BC">
        <w:rPr>
          <w:rFonts w:ascii="標楷體" w:eastAsia="標楷體" w:hAnsi="標楷體" w:hint="eastAsia"/>
          <w:szCs w:val="24"/>
        </w:rPr>
        <w:t>，主要係都市發展局辦理各行政區都市計畫通盤檢討法定程序</w:t>
      </w:r>
      <w:r w:rsidRPr="006E23BC">
        <w:rPr>
          <w:rFonts w:ascii="新細明體" w:hAnsi="新細明體" w:hint="eastAsia"/>
          <w:szCs w:val="24"/>
        </w:rPr>
        <w:t>、</w:t>
      </w:r>
      <w:r w:rsidRPr="006E23BC">
        <w:rPr>
          <w:rFonts w:ascii="標楷體" w:eastAsia="標楷體" w:hAnsi="標楷體" w:hint="eastAsia"/>
          <w:szCs w:val="24"/>
        </w:rPr>
        <w:t>臺北市主要計畫銜接全國國土計畫及劃設國土功能分區之應辦規劃及相關作業等</w:t>
      </w:r>
      <w:r>
        <w:rPr>
          <w:rFonts w:ascii="標楷體" w:eastAsia="標楷體" w:hAnsi="標楷體" w:hint="eastAsia"/>
          <w:szCs w:val="24"/>
        </w:rPr>
        <w:t>委託專業服務</w:t>
      </w:r>
      <w:r w:rsidRPr="006E23BC">
        <w:rPr>
          <w:rFonts w:ascii="標楷體" w:eastAsia="標楷體" w:hAnsi="標楷體" w:hint="eastAsia"/>
          <w:szCs w:val="24"/>
        </w:rPr>
        <w:t>案尚未完成履約，須保留繼續執行。</w:t>
      </w:r>
    </w:p>
    <w:p w14:paraId="2FCD5FB6" w14:textId="77777777" w:rsidR="00F1456A" w:rsidRPr="008D59D2" w:rsidRDefault="00F1456A" w:rsidP="00F1456A">
      <w:pPr>
        <w:suppressAutoHyphens/>
        <w:overflowPunct w:val="0"/>
        <w:spacing w:beforeLines="30" w:before="108" w:afterLines="30" w:after="108" w:line="440" w:lineRule="exact"/>
        <w:jc w:val="both"/>
        <w:outlineLvl w:val="2"/>
        <w:rPr>
          <w:rFonts w:ascii="標楷體" w:eastAsia="標楷體" w:hAnsi="標楷體"/>
          <w:b/>
          <w:sz w:val="32"/>
          <w:szCs w:val="32"/>
        </w:rPr>
      </w:pPr>
      <w:r w:rsidRPr="008D59D2">
        <w:rPr>
          <w:rFonts w:ascii="標楷體" w:eastAsia="標楷體" w:hAnsi="標楷體" w:hint="eastAsia"/>
          <w:b/>
          <w:sz w:val="32"/>
          <w:szCs w:val="32"/>
        </w:rPr>
        <w:t>二、附屬單位決算非營業部分</w:t>
      </w:r>
    </w:p>
    <w:p w14:paraId="74DDA79A" w14:textId="77777777" w:rsidR="00F1456A" w:rsidRPr="008D59D2" w:rsidRDefault="00F1456A" w:rsidP="00F1456A">
      <w:pPr>
        <w:overflowPunct w:val="0"/>
        <w:spacing w:beforeLines="30" w:before="108" w:afterLines="30" w:after="108" w:line="440" w:lineRule="exact"/>
        <w:ind w:firstLineChars="200" w:firstLine="480"/>
        <w:jc w:val="both"/>
        <w:rPr>
          <w:rFonts w:ascii="標楷體" w:eastAsia="標楷體" w:hAnsi="標楷體"/>
          <w:szCs w:val="24"/>
        </w:rPr>
      </w:pPr>
      <w:r w:rsidRPr="008D59D2">
        <w:rPr>
          <w:rFonts w:ascii="標楷體" w:eastAsia="標楷體" w:hAnsi="標楷體" w:hint="eastAsia"/>
          <w:szCs w:val="24"/>
        </w:rPr>
        <w:t>都市發展局主管包括</w:t>
      </w:r>
      <w:r>
        <w:rPr>
          <w:rFonts w:ascii="標楷體" w:eastAsia="標楷體" w:hAnsi="標楷體" w:hint="eastAsia"/>
          <w:szCs w:val="24"/>
        </w:rPr>
        <w:t>（</w:t>
      </w:r>
      <w:r w:rsidRPr="008D59D2">
        <w:rPr>
          <w:rFonts w:ascii="標楷體" w:eastAsia="標楷體" w:hAnsi="標楷體" w:hint="eastAsia"/>
          <w:szCs w:val="24"/>
        </w:rPr>
        <w:t>一</w:t>
      </w:r>
      <w:r>
        <w:rPr>
          <w:rFonts w:ascii="標楷體" w:eastAsia="標楷體" w:hAnsi="標楷體" w:hint="eastAsia"/>
          <w:szCs w:val="24"/>
        </w:rPr>
        <w:t>）</w:t>
      </w:r>
      <w:r w:rsidRPr="008D59D2">
        <w:rPr>
          <w:rFonts w:ascii="標楷體" w:eastAsia="標楷體" w:hAnsi="標楷體" w:hint="eastAsia"/>
          <w:szCs w:val="24"/>
        </w:rPr>
        <w:t>作業基金：臺北市住宅基金、臺北市都市更新基金；</w:t>
      </w:r>
      <w:r>
        <w:rPr>
          <w:rFonts w:ascii="標楷體" w:eastAsia="標楷體" w:hAnsi="標楷體" w:hint="eastAsia"/>
          <w:szCs w:val="24"/>
        </w:rPr>
        <w:t>（</w:t>
      </w:r>
      <w:r w:rsidRPr="008D59D2">
        <w:rPr>
          <w:rFonts w:ascii="標楷體" w:eastAsia="標楷體" w:hAnsi="標楷體" w:hint="eastAsia"/>
          <w:szCs w:val="24"/>
        </w:rPr>
        <w:t>二</w:t>
      </w:r>
      <w:r>
        <w:rPr>
          <w:rFonts w:ascii="標楷體" w:eastAsia="標楷體" w:hAnsi="標楷體" w:hint="eastAsia"/>
          <w:szCs w:val="24"/>
        </w:rPr>
        <w:t>）</w:t>
      </w:r>
      <w:r w:rsidRPr="008D59D2">
        <w:rPr>
          <w:rFonts w:ascii="標楷體" w:eastAsia="標楷體" w:hAnsi="標楷體" w:hint="eastAsia"/>
          <w:szCs w:val="24"/>
        </w:rPr>
        <w:t>特別收入基金：臺北市建築物無障礙設備與設施改善基金、臺</w:t>
      </w:r>
      <w:r w:rsidRPr="008D59D2">
        <w:rPr>
          <w:rFonts w:ascii="標楷體" w:eastAsia="標楷體" w:hAnsi="標楷體"/>
          <w:szCs w:val="24"/>
        </w:rPr>
        <w:t>北市</w:t>
      </w:r>
      <w:r w:rsidRPr="008D59D2">
        <w:rPr>
          <w:rFonts w:ascii="標楷體" w:eastAsia="標楷體" w:hAnsi="標楷體" w:hint="eastAsia"/>
          <w:szCs w:val="24"/>
        </w:rPr>
        <w:t>容積</w:t>
      </w:r>
      <w:r w:rsidRPr="008D59D2">
        <w:rPr>
          <w:rFonts w:ascii="標楷體" w:eastAsia="標楷體" w:hAnsi="標楷體"/>
          <w:szCs w:val="24"/>
        </w:rPr>
        <w:t>代金基金</w:t>
      </w:r>
      <w:r w:rsidRPr="008D59D2">
        <w:rPr>
          <w:rFonts w:ascii="標楷體" w:eastAsia="標楷體" w:hAnsi="標楷體" w:hint="eastAsia"/>
          <w:szCs w:val="24"/>
        </w:rPr>
        <w:t>等共4個單位。茲將</w:t>
      </w:r>
      <w:proofErr w:type="gramStart"/>
      <w:r w:rsidRPr="008D59D2">
        <w:rPr>
          <w:rFonts w:ascii="標楷體" w:eastAsia="標楷體" w:hAnsi="標楷體" w:hint="eastAsia"/>
          <w:szCs w:val="24"/>
        </w:rPr>
        <w:t>11</w:t>
      </w:r>
      <w:r>
        <w:rPr>
          <w:rFonts w:ascii="標楷體" w:eastAsia="標楷體" w:hAnsi="標楷體" w:hint="eastAsia"/>
          <w:szCs w:val="24"/>
        </w:rPr>
        <w:t>3</w:t>
      </w:r>
      <w:proofErr w:type="gramEnd"/>
      <w:r w:rsidRPr="008D59D2">
        <w:rPr>
          <w:rFonts w:ascii="標楷體" w:eastAsia="標楷體" w:hAnsi="標楷體" w:hint="eastAsia"/>
          <w:szCs w:val="24"/>
        </w:rPr>
        <w:t>年度決算審核結果說明如次：</w:t>
      </w:r>
    </w:p>
    <w:p w14:paraId="7673B1A8" w14:textId="77777777" w:rsidR="00F1456A" w:rsidRPr="008D59D2" w:rsidRDefault="00F1456A" w:rsidP="00F1456A">
      <w:pPr>
        <w:suppressAutoHyphens/>
        <w:overflowPunct w:val="0"/>
        <w:spacing w:before="120" w:after="60" w:line="4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8D59D2">
        <w:rPr>
          <w:rFonts w:ascii="標楷體" w:eastAsia="標楷體" w:hAnsi="標楷體" w:hint="eastAsia"/>
          <w:b/>
          <w:sz w:val="28"/>
          <w:szCs w:val="28"/>
        </w:rPr>
        <w:t>一</w:t>
      </w:r>
      <w:r>
        <w:rPr>
          <w:rFonts w:ascii="標楷體" w:eastAsia="標楷體" w:hAnsi="標楷體" w:hint="eastAsia"/>
          <w:b/>
          <w:sz w:val="28"/>
          <w:szCs w:val="28"/>
        </w:rPr>
        <w:t>）</w:t>
      </w:r>
      <w:r w:rsidRPr="008D59D2">
        <w:rPr>
          <w:rFonts w:ascii="標楷體" w:eastAsia="標楷體" w:hAnsi="標楷體" w:hint="eastAsia"/>
          <w:b/>
          <w:sz w:val="28"/>
          <w:szCs w:val="28"/>
        </w:rPr>
        <w:t>計畫實施之查核</w:t>
      </w:r>
    </w:p>
    <w:p w14:paraId="4F737DD4" w14:textId="77777777" w:rsidR="00F1456A" w:rsidRPr="00D8751D" w:rsidRDefault="00F1456A" w:rsidP="00F1456A">
      <w:pPr>
        <w:overflowPunct w:val="0"/>
        <w:spacing w:beforeLines="50" w:before="180" w:afterLines="30" w:after="108" w:line="440" w:lineRule="exact"/>
        <w:ind w:firstLineChars="200" w:firstLine="480"/>
        <w:jc w:val="both"/>
        <w:rPr>
          <w:rFonts w:ascii="標楷體" w:eastAsia="標楷體" w:hAnsi="標楷體"/>
          <w:szCs w:val="24"/>
        </w:rPr>
      </w:pPr>
      <w:r w:rsidRPr="00D8751D">
        <w:rPr>
          <w:rFonts w:ascii="標楷體" w:eastAsia="標楷體" w:hAnsi="標楷體" w:hint="eastAsia"/>
          <w:szCs w:val="24"/>
        </w:rPr>
        <w:t>業務（營運）計畫主要有出租住宅及店</w:t>
      </w:r>
      <w:r>
        <w:rPr>
          <w:rFonts w:ascii="標楷體" w:eastAsia="標楷體" w:hAnsi="標楷體" w:hint="eastAsia"/>
          <w:szCs w:val="24"/>
        </w:rPr>
        <w:t>鋪</w:t>
      </w:r>
      <w:r w:rsidRPr="00D8751D">
        <w:rPr>
          <w:rFonts w:ascii="標楷體" w:eastAsia="標楷體" w:hAnsi="標楷體" w:hint="eastAsia"/>
          <w:szCs w:val="24"/>
        </w:rPr>
        <w:t>、</w:t>
      </w:r>
      <w:r>
        <w:rPr>
          <w:rFonts w:ascii="標楷體" w:eastAsia="標楷體" w:hAnsi="標楷體" w:hint="eastAsia"/>
          <w:szCs w:val="24"/>
        </w:rPr>
        <w:t>都市更新地區公共環境改善計畫相關委辦案等</w:t>
      </w:r>
      <w:r w:rsidRPr="00D8751D">
        <w:rPr>
          <w:rFonts w:ascii="標楷體" w:eastAsia="標楷體" w:hAnsi="標楷體" w:hint="eastAsia"/>
          <w:szCs w:val="24"/>
        </w:rPr>
        <w:t>、取得公共設施保留地計畫等</w:t>
      </w:r>
      <w:r w:rsidRPr="00D8751D">
        <w:rPr>
          <w:rFonts w:ascii="標楷體" w:eastAsia="標楷體" w:hAnsi="標楷體" w:cs="Shonar Bangla" w:hint="eastAsia"/>
          <w:szCs w:val="24"/>
        </w:rPr>
        <w:t>5</w:t>
      </w:r>
      <w:r w:rsidRPr="00D8751D">
        <w:rPr>
          <w:rFonts w:ascii="標楷體" w:eastAsia="標楷體" w:hAnsi="標楷體" w:hint="eastAsia"/>
          <w:szCs w:val="24"/>
        </w:rPr>
        <w:t>項，實施結果，計有出</w:t>
      </w:r>
      <w:r w:rsidRPr="00D8751D">
        <w:rPr>
          <w:rFonts w:ascii="標楷體" w:eastAsia="標楷體" w:hAnsi="標楷體"/>
          <w:szCs w:val="24"/>
        </w:rPr>
        <w:t>租住宅及店</w:t>
      </w:r>
      <w:r>
        <w:rPr>
          <w:rFonts w:ascii="標楷體" w:eastAsia="標楷體" w:hAnsi="標楷體" w:hint="eastAsia"/>
          <w:szCs w:val="24"/>
        </w:rPr>
        <w:t>鋪</w:t>
      </w:r>
      <w:r w:rsidRPr="00D8751D">
        <w:rPr>
          <w:rFonts w:ascii="標楷體" w:eastAsia="標楷體" w:hAnsi="標楷體" w:hint="eastAsia"/>
          <w:szCs w:val="24"/>
        </w:rPr>
        <w:t>、整建住宅更新規劃設計費補助等、建築物無障礙設備與設施改善及推動計畫等3項，或因部分</w:t>
      </w:r>
      <w:r>
        <w:rPr>
          <w:rFonts w:ascii="標楷體" w:eastAsia="標楷體" w:hAnsi="標楷體" w:hint="eastAsia"/>
          <w:szCs w:val="24"/>
        </w:rPr>
        <w:t>退租</w:t>
      </w:r>
      <w:proofErr w:type="gramStart"/>
      <w:r>
        <w:rPr>
          <w:rFonts w:ascii="標楷體" w:eastAsia="標楷體" w:hAnsi="標楷體" w:hint="eastAsia"/>
          <w:szCs w:val="24"/>
        </w:rPr>
        <w:t>空屋刻正</w:t>
      </w:r>
      <w:proofErr w:type="gramEnd"/>
      <w:r>
        <w:rPr>
          <w:rFonts w:ascii="標楷體" w:eastAsia="標楷體" w:hAnsi="標楷體" w:hint="eastAsia"/>
          <w:szCs w:val="24"/>
        </w:rPr>
        <w:t>檢修未及出租；</w:t>
      </w:r>
      <w:r w:rsidRPr="00D8751D">
        <w:rPr>
          <w:rFonts w:ascii="標楷體" w:eastAsia="標楷體" w:hAnsi="標楷體" w:hint="eastAsia"/>
          <w:szCs w:val="24"/>
        </w:rPr>
        <w:t>或</w:t>
      </w:r>
      <w:r>
        <w:rPr>
          <w:rFonts w:ascii="標楷體" w:eastAsia="標楷體" w:hAnsi="標楷體" w:hint="eastAsia"/>
          <w:szCs w:val="24"/>
        </w:rPr>
        <w:t>整建住宅</w:t>
      </w:r>
      <w:r w:rsidRPr="002C482F">
        <w:rPr>
          <w:rFonts w:ascii="標楷體" w:eastAsia="標楷體" w:hAnsi="標楷體" w:hint="eastAsia"/>
          <w:szCs w:val="24"/>
        </w:rPr>
        <w:t>符合補助申請要件之案件數未如預期，及已核定之補助案，部分尚未申領款項</w:t>
      </w:r>
      <w:r>
        <w:rPr>
          <w:rFonts w:ascii="標楷體" w:eastAsia="標楷體" w:hAnsi="標楷體" w:hint="eastAsia"/>
          <w:szCs w:val="24"/>
        </w:rPr>
        <w:t>；</w:t>
      </w:r>
      <w:r w:rsidRPr="00DE7D0B">
        <w:rPr>
          <w:rFonts w:ascii="標楷體" w:eastAsia="標楷體" w:hAnsi="標楷體" w:hint="eastAsia"/>
          <w:szCs w:val="24"/>
        </w:rPr>
        <w:t>或補助民眾辦理住宅無障礙設施改善經費，因民眾申請案件不如預期，且由申請單位自主施作，未如期辦理竣工結案等</w:t>
      </w:r>
      <w:r w:rsidRPr="00D8751D">
        <w:rPr>
          <w:rFonts w:ascii="標楷體" w:eastAsia="標楷體" w:hAnsi="標楷體" w:hint="eastAsia"/>
          <w:szCs w:val="24"/>
        </w:rPr>
        <w:t>，致未達預計目標。</w:t>
      </w:r>
    </w:p>
    <w:p w14:paraId="1CAF1B57" w14:textId="77777777" w:rsidR="00F1456A" w:rsidRPr="008D59D2" w:rsidRDefault="00F1456A" w:rsidP="00F1456A">
      <w:pPr>
        <w:suppressAutoHyphens/>
        <w:overflowPunct w:val="0"/>
        <w:spacing w:before="120" w:after="60" w:line="440" w:lineRule="exact"/>
        <w:ind w:firstLineChars="100" w:firstLine="280"/>
        <w:jc w:val="both"/>
        <w:rPr>
          <w:rFonts w:ascii="標楷體" w:eastAsia="標楷體" w:hAnsi="標楷體"/>
          <w:b/>
          <w:sz w:val="28"/>
          <w:szCs w:val="28"/>
        </w:rPr>
      </w:pPr>
      <w:r>
        <w:rPr>
          <w:rFonts w:ascii="標楷體" w:eastAsia="標楷體" w:hAnsi="標楷體" w:hint="eastAsia"/>
          <w:b/>
          <w:sz w:val="28"/>
          <w:szCs w:val="28"/>
        </w:rPr>
        <w:t>（</w:t>
      </w:r>
      <w:r w:rsidRPr="008D59D2">
        <w:rPr>
          <w:rFonts w:ascii="標楷體" w:eastAsia="標楷體" w:hAnsi="標楷體" w:hint="eastAsia"/>
          <w:b/>
          <w:sz w:val="28"/>
          <w:szCs w:val="28"/>
        </w:rPr>
        <w:t>二</w:t>
      </w:r>
      <w:r>
        <w:rPr>
          <w:rFonts w:ascii="標楷體" w:eastAsia="標楷體" w:hAnsi="標楷體" w:hint="eastAsia"/>
          <w:b/>
          <w:sz w:val="28"/>
          <w:szCs w:val="28"/>
        </w:rPr>
        <w:t>）</w:t>
      </w:r>
      <w:r w:rsidRPr="008D59D2">
        <w:rPr>
          <w:rFonts w:ascii="標楷體" w:eastAsia="標楷體" w:hAnsi="標楷體" w:hint="eastAsia"/>
          <w:b/>
          <w:sz w:val="28"/>
          <w:szCs w:val="28"/>
        </w:rPr>
        <w:t>餘</w:t>
      </w:r>
      <w:proofErr w:type="gramStart"/>
      <w:r w:rsidRPr="008D59D2">
        <w:rPr>
          <w:rFonts w:ascii="標楷體" w:eastAsia="標楷體" w:hAnsi="標楷體" w:hint="eastAsia"/>
          <w:b/>
          <w:sz w:val="28"/>
          <w:szCs w:val="28"/>
        </w:rPr>
        <w:t>絀</w:t>
      </w:r>
      <w:proofErr w:type="gramEnd"/>
      <w:r w:rsidRPr="008D59D2">
        <w:rPr>
          <w:rFonts w:ascii="標楷體" w:eastAsia="標楷體" w:hAnsi="標楷體" w:hint="eastAsia"/>
          <w:b/>
          <w:sz w:val="28"/>
          <w:szCs w:val="28"/>
        </w:rPr>
        <w:t>之審定</w:t>
      </w:r>
    </w:p>
    <w:p w14:paraId="04B88C9C" w14:textId="77777777" w:rsidR="00F1456A" w:rsidRPr="008D59D2" w:rsidRDefault="00F1456A" w:rsidP="00F1456A">
      <w:pPr>
        <w:overflowPunct w:val="0"/>
        <w:spacing w:beforeLines="50" w:before="180" w:afterLines="30" w:after="108" w:line="480" w:lineRule="exact"/>
        <w:ind w:firstLineChars="200" w:firstLine="480"/>
        <w:jc w:val="both"/>
        <w:rPr>
          <w:rFonts w:ascii="標楷體" w:eastAsia="標楷體" w:hAnsi="標楷體"/>
          <w:szCs w:val="24"/>
        </w:rPr>
      </w:pPr>
      <w:r w:rsidRPr="008D59D2">
        <w:rPr>
          <w:rFonts w:ascii="標楷體" w:eastAsia="標楷體" w:hAnsi="標楷體" w:hint="eastAsia"/>
          <w:b/>
          <w:szCs w:val="24"/>
        </w:rPr>
        <w:t>1.作業基金</w:t>
      </w:r>
      <w:r w:rsidRPr="008D59D2">
        <w:rPr>
          <w:rFonts w:ascii="標楷體" w:eastAsia="標楷體" w:hAnsi="標楷體" w:hint="eastAsia"/>
          <w:szCs w:val="24"/>
        </w:rPr>
        <w:t>：決算審核結果，審定賸餘</w:t>
      </w:r>
      <w:r>
        <w:rPr>
          <w:rFonts w:ascii="標楷體" w:eastAsia="標楷體" w:hAnsi="標楷體" w:hint="eastAsia"/>
          <w:szCs w:val="24"/>
        </w:rPr>
        <w:t>2</w:t>
      </w:r>
      <w:r w:rsidRPr="008D59D2">
        <w:rPr>
          <w:rFonts w:ascii="標楷體" w:eastAsia="標楷體" w:hAnsi="標楷體" w:hint="eastAsia"/>
          <w:szCs w:val="24"/>
        </w:rPr>
        <w:t>億</w:t>
      </w:r>
      <w:r>
        <w:rPr>
          <w:rFonts w:ascii="標楷體" w:eastAsia="標楷體" w:hAnsi="標楷體" w:hint="eastAsia"/>
          <w:szCs w:val="24"/>
        </w:rPr>
        <w:t>7</w:t>
      </w:r>
      <w:r w:rsidRPr="008D59D2">
        <w:rPr>
          <w:rFonts w:ascii="標楷體" w:eastAsia="標楷體" w:hAnsi="標楷體"/>
          <w:szCs w:val="24"/>
        </w:rPr>
        <w:t>,</w:t>
      </w:r>
      <w:r>
        <w:rPr>
          <w:rFonts w:ascii="標楷體" w:eastAsia="標楷體" w:hAnsi="標楷體" w:hint="eastAsia"/>
          <w:szCs w:val="24"/>
        </w:rPr>
        <w:t>447</w:t>
      </w:r>
      <w:r w:rsidRPr="008D59D2">
        <w:rPr>
          <w:rFonts w:ascii="標楷體" w:eastAsia="標楷體" w:hAnsi="標楷體" w:hint="eastAsia"/>
          <w:szCs w:val="24"/>
        </w:rPr>
        <w:t>萬餘元，較預算賸餘</w:t>
      </w:r>
      <w:r>
        <w:rPr>
          <w:rFonts w:ascii="標楷體" w:eastAsia="標楷體" w:hAnsi="標楷體" w:hint="eastAsia"/>
          <w:szCs w:val="24"/>
        </w:rPr>
        <w:t>39</w:t>
      </w:r>
      <w:r w:rsidRPr="008D59D2">
        <w:rPr>
          <w:rFonts w:ascii="標楷體" w:eastAsia="標楷體" w:hAnsi="標楷體" w:hint="eastAsia"/>
          <w:szCs w:val="24"/>
        </w:rPr>
        <w:t>億</w:t>
      </w:r>
      <w:r>
        <w:rPr>
          <w:rFonts w:ascii="標楷體" w:eastAsia="標楷體" w:hAnsi="標楷體" w:hint="eastAsia"/>
          <w:szCs w:val="24"/>
        </w:rPr>
        <w:t>9</w:t>
      </w:r>
      <w:r w:rsidRPr="008D59D2">
        <w:rPr>
          <w:rFonts w:ascii="標楷體" w:eastAsia="標楷體" w:hAnsi="標楷體"/>
          <w:szCs w:val="24"/>
        </w:rPr>
        <w:t>,</w:t>
      </w:r>
      <w:r>
        <w:rPr>
          <w:rFonts w:ascii="標楷體" w:eastAsia="標楷體" w:hAnsi="標楷體" w:hint="eastAsia"/>
          <w:szCs w:val="24"/>
        </w:rPr>
        <w:t>966</w:t>
      </w:r>
      <w:r w:rsidRPr="008D59D2">
        <w:rPr>
          <w:rFonts w:ascii="標楷體" w:eastAsia="標楷體" w:hAnsi="標楷體" w:hint="eastAsia"/>
          <w:szCs w:val="24"/>
        </w:rPr>
        <w:t>萬元，減少</w:t>
      </w:r>
      <w:r>
        <w:rPr>
          <w:rFonts w:ascii="標楷體" w:eastAsia="標楷體" w:hAnsi="標楷體" w:hint="eastAsia"/>
          <w:szCs w:val="24"/>
        </w:rPr>
        <w:t>37</w:t>
      </w:r>
      <w:r w:rsidRPr="008D59D2">
        <w:rPr>
          <w:rFonts w:ascii="標楷體" w:eastAsia="標楷體" w:hAnsi="標楷體" w:hint="eastAsia"/>
          <w:szCs w:val="24"/>
        </w:rPr>
        <w:t>億</w:t>
      </w:r>
      <w:r>
        <w:rPr>
          <w:rFonts w:ascii="標楷體" w:eastAsia="標楷體" w:hAnsi="標楷體" w:hint="eastAsia"/>
          <w:szCs w:val="24"/>
        </w:rPr>
        <w:t>2</w:t>
      </w:r>
      <w:r w:rsidRPr="008D59D2">
        <w:rPr>
          <w:rFonts w:ascii="標楷體" w:eastAsia="標楷體" w:hAnsi="標楷體" w:hint="eastAsia"/>
          <w:szCs w:val="24"/>
        </w:rPr>
        <w:t>,</w:t>
      </w:r>
      <w:r>
        <w:rPr>
          <w:rFonts w:ascii="標楷體" w:eastAsia="標楷體" w:hAnsi="標楷體" w:hint="eastAsia"/>
          <w:szCs w:val="24"/>
        </w:rPr>
        <w:t>518</w:t>
      </w:r>
      <w:r w:rsidRPr="008D59D2">
        <w:rPr>
          <w:rFonts w:ascii="標楷體" w:eastAsia="標楷體" w:hAnsi="標楷體" w:hint="eastAsia"/>
          <w:szCs w:val="24"/>
        </w:rPr>
        <w:t>萬餘元</w:t>
      </w:r>
      <w:bookmarkStart w:id="88" w:name="_Hlk106360227"/>
      <w:r w:rsidRPr="008D59D2">
        <w:rPr>
          <w:rFonts w:ascii="標楷體" w:eastAsia="標楷體" w:hAnsi="標楷體" w:hint="eastAsia"/>
          <w:szCs w:val="24"/>
        </w:rPr>
        <w:t>，約</w:t>
      </w:r>
      <w:r>
        <w:rPr>
          <w:rFonts w:ascii="標楷體" w:eastAsia="標楷體" w:hAnsi="標楷體" w:hint="eastAsia"/>
          <w:szCs w:val="24"/>
        </w:rPr>
        <w:t>93</w:t>
      </w:r>
      <w:r w:rsidRPr="008D59D2">
        <w:rPr>
          <w:rFonts w:ascii="標楷體" w:eastAsia="標楷體" w:hAnsi="標楷體" w:hint="eastAsia"/>
          <w:szCs w:val="24"/>
        </w:rPr>
        <w:t>.</w:t>
      </w:r>
      <w:r>
        <w:rPr>
          <w:rFonts w:ascii="標楷體" w:eastAsia="標楷體" w:hAnsi="標楷體" w:hint="eastAsia"/>
          <w:szCs w:val="24"/>
        </w:rPr>
        <w:t>14</w:t>
      </w:r>
      <w:r w:rsidRPr="008D59D2">
        <w:rPr>
          <w:rFonts w:ascii="標楷體" w:eastAsia="標楷體" w:hAnsi="標楷體" w:hint="eastAsia"/>
          <w:szCs w:val="24"/>
        </w:rPr>
        <w:t>％</w:t>
      </w:r>
      <w:bookmarkEnd w:id="88"/>
      <w:r w:rsidRPr="008D59D2">
        <w:rPr>
          <w:rFonts w:ascii="標楷體" w:eastAsia="標楷體" w:hAnsi="標楷體" w:hint="eastAsia"/>
          <w:szCs w:val="24"/>
        </w:rPr>
        <w:t>，主要係臺北市住宅基金及臺北市都市更新基金皆因都市計畫變更回饋代金收入較預</w:t>
      </w:r>
      <w:r>
        <w:rPr>
          <w:rFonts w:ascii="標楷體" w:eastAsia="標楷體" w:hAnsi="標楷體" w:hint="eastAsia"/>
          <w:szCs w:val="24"/>
        </w:rPr>
        <w:t>計</w:t>
      </w:r>
      <w:r w:rsidRPr="008D59D2">
        <w:rPr>
          <w:rFonts w:ascii="標楷體" w:eastAsia="標楷體" w:hAnsi="標楷體" w:hint="eastAsia"/>
          <w:szCs w:val="24"/>
        </w:rPr>
        <w:t>減少，徵收</w:t>
      </w:r>
      <w:proofErr w:type="gramStart"/>
      <w:r w:rsidRPr="008D59D2">
        <w:rPr>
          <w:rFonts w:ascii="標楷體" w:eastAsia="標楷體" w:hAnsi="標楷體" w:hint="eastAsia"/>
          <w:szCs w:val="24"/>
        </w:rPr>
        <w:t>收入隨減所</w:t>
      </w:r>
      <w:proofErr w:type="gramEnd"/>
      <w:r w:rsidRPr="008D59D2">
        <w:rPr>
          <w:rFonts w:ascii="標楷體" w:eastAsia="標楷體" w:hAnsi="標楷體" w:hint="eastAsia"/>
          <w:szCs w:val="24"/>
        </w:rPr>
        <w:t>致。</w:t>
      </w:r>
    </w:p>
    <w:p w14:paraId="36F6F265" w14:textId="77777777" w:rsidR="00F1456A" w:rsidRPr="008D59D2" w:rsidRDefault="00F1456A" w:rsidP="00F1456A">
      <w:pPr>
        <w:overflowPunct w:val="0"/>
        <w:spacing w:beforeLines="50" w:before="180" w:afterLines="30" w:after="108" w:line="480" w:lineRule="exact"/>
        <w:ind w:firstLineChars="200" w:firstLine="480"/>
        <w:jc w:val="both"/>
        <w:rPr>
          <w:rFonts w:ascii="標楷體" w:eastAsia="標楷體" w:hAnsi="標楷體"/>
          <w:szCs w:val="24"/>
        </w:rPr>
      </w:pPr>
      <w:r w:rsidRPr="008D59D2">
        <w:rPr>
          <w:rFonts w:ascii="標楷體" w:eastAsia="標楷體" w:hAnsi="標楷體" w:hint="eastAsia"/>
          <w:b/>
          <w:szCs w:val="24"/>
        </w:rPr>
        <w:t>2.特別收入基金</w:t>
      </w:r>
      <w:r w:rsidRPr="008D59D2">
        <w:rPr>
          <w:rFonts w:ascii="標楷體" w:eastAsia="標楷體" w:hAnsi="標楷體" w:hint="eastAsia"/>
          <w:szCs w:val="24"/>
        </w:rPr>
        <w:t>：決算審核結果，審定</w:t>
      </w:r>
      <w:r>
        <w:rPr>
          <w:rFonts w:ascii="標楷體" w:eastAsia="標楷體" w:hAnsi="標楷體" w:hint="eastAsia"/>
          <w:szCs w:val="24"/>
        </w:rPr>
        <w:t>短</w:t>
      </w:r>
      <w:proofErr w:type="gramStart"/>
      <w:r>
        <w:rPr>
          <w:rFonts w:ascii="標楷體" w:eastAsia="標楷體" w:hAnsi="標楷體" w:hint="eastAsia"/>
          <w:szCs w:val="24"/>
        </w:rPr>
        <w:t>絀</w:t>
      </w:r>
      <w:proofErr w:type="gramEnd"/>
      <w:r>
        <w:rPr>
          <w:rFonts w:ascii="標楷體" w:eastAsia="標楷體" w:hAnsi="標楷體" w:hint="eastAsia"/>
          <w:szCs w:val="24"/>
        </w:rPr>
        <w:t>7億465</w:t>
      </w:r>
      <w:r w:rsidRPr="008D59D2">
        <w:rPr>
          <w:rFonts w:ascii="標楷體" w:eastAsia="標楷體" w:hAnsi="標楷體" w:hint="eastAsia"/>
          <w:szCs w:val="24"/>
        </w:rPr>
        <w:t>萬餘元，較預算</w:t>
      </w:r>
      <w:r>
        <w:rPr>
          <w:rFonts w:ascii="標楷體" w:eastAsia="標楷體" w:hAnsi="標楷體" w:hint="eastAsia"/>
          <w:szCs w:val="24"/>
        </w:rPr>
        <w:t>短</w:t>
      </w:r>
      <w:proofErr w:type="gramStart"/>
      <w:r>
        <w:rPr>
          <w:rFonts w:ascii="標楷體" w:eastAsia="標楷體" w:hAnsi="標楷體" w:hint="eastAsia"/>
          <w:szCs w:val="24"/>
        </w:rPr>
        <w:t>絀</w:t>
      </w:r>
      <w:proofErr w:type="gramEnd"/>
      <w:r>
        <w:rPr>
          <w:rFonts w:ascii="標楷體" w:eastAsia="標楷體" w:hAnsi="標楷體" w:hint="eastAsia"/>
          <w:szCs w:val="24"/>
        </w:rPr>
        <w:t>1</w:t>
      </w:r>
      <w:r w:rsidRPr="008D59D2">
        <w:rPr>
          <w:rFonts w:ascii="標楷體" w:eastAsia="標楷體" w:hAnsi="標楷體" w:hint="eastAsia"/>
          <w:szCs w:val="24"/>
        </w:rPr>
        <w:t>億</w:t>
      </w:r>
      <w:r>
        <w:rPr>
          <w:rFonts w:ascii="標楷體" w:eastAsia="標楷體" w:hAnsi="標楷體" w:hint="eastAsia"/>
          <w:szCs w:val="24"/>
        </w:rPr>
        <w:t>7</w:t>
      </w:r>
      <w:r w:rsidRPr="008D59D2">
        <w:rPr>
          <w:rFonts w:ascii="標楷體" w:eastAsia="標楷體" w:hAnsi="標楷體"/>
          <w:szCs w:val="24"/>
        </w:rPr>
        <w:t>,</w:t>
      </w:r>
      <w:r>
        <w:rPr>
          <w:rFonts w:ascii="標楷體" w:eastAsia="標楷體" w:hAnsi="標楷體" w:hint="eastAsia"/>
          <w:szCs w:val="24"/>
        </w:rPr>
        <w:t>252</w:t>
      </w:r>
      <w:r w:rsidRPr="008D59D2">
        <w:rPr>
          <w:rFonts w:ascii="標楷體" w:eastAsia="標楷體" w:hAnsi="標楷體" w:hint="eastAsia"/>
          <w:szCs w:val="24"/>
        </w:rPr>
        <w:t>萬餘元，增</w:t>
      </w:r>
      <w:r w:rsidRPr="008D59D2">
        <w:rPr>
          <w:rFonts w:ascii="標楷體" w:eastAsia="標楷體" w:hAnsi="標楷體"/>
          <w:szCs w:val="24"/>
        </w:rPr>
        <w:t>加</w:t>
      </w:r>
      <w:r>
        <w:rPr>
          <w:rFonts w:ascii="標楷體" w:eastAsia="標楷體" w:hAnsi="標楷體" w:hint="eastAsia"/>
          <w:szCs w:val="24"/>
        </w:rPr>
        <w:t>5</w:t>
      </w:r>
      <w:r w:rsidRPr="008D59D2">
        <w:rPr>
          <w:rFonts w:ascii="標楷體" w:eastAsia="標楷體" w:hAnsi="標楷體" w:hint="eastAsia"/>
          <w:szCs w:val="24"/>
        </w:rPr>
        <w:t>億</w:t>
      </w:r>
      <w:r>
        <w:rPr>
          <w:rFonts w:ascii="標楷體" w:eastAsia="標楷體" w:hAnsi="標楷體" w:hint="eastAsia"/>
          <w:szCs w:val="24"/>
        </w:rPr>
        <w:t>3</w:t>
      </w:r>
      <w:r>
        <w:rPr>
          <w:rFonts w:ascii="標楷體" w:eastAsia="標楷體" w:hAnsi="標楷體"/>
          <w:szCs w:val="24"/>
        </w:rPr>
        <w:t>,</w:t>
      </w:r>
      <w:r>
        <w:rPr>
          <w:rFonts w:ascii="標楷體" w:eastAsia="標楷體" w:hAnsi="標楷體" w:hint="eastAsia"/>
          <w:szCs w:val="24"/>
        </w:rPr>
        <w:t>213</w:t>
      </w:r>
      <w:r w:rsidRPr="008D59D2">
        <w:rPr>
          <w:rFonts w:ascii="標楷體" w:eastAsia="標楷體" w:hAnsi="標楷體" w:hint="eastAsia"/>
          <w:szCs w:val="24"/>
        </w:rPr>
        <w:t>萬餘元，約</w:t>
      </w:r>
      <w:r>
        <w:rPr>
          <w:rFonts w:ascii="標楷體" w:eastAsia="標楷體" w:hAnsi="標楷體" w:hint="eastAsia"/>
          <w:szCs w:val="24"/>
        </w:rPr>
        <w:t>308.45</w:t>
      </w:r>
      <w:r w:rsidRPr="008D59D2">
        <w:rPr>
          <w:rFonts w:ascii="標楷體" w:eastAsia="標楷體" w:hAnsi="標楷體" w:hint="eastAsia"/>
          <w:szCs w:val="24"/>
        </w:rPr>
        <w:t>％，主要係臺北市容積代金基金</w:t>
      </w:r>
      <w:r w:rsidRPr="00B629AE">
        <w:rPr>
          <w:rFonts w:ascii="標楷體" w:eastAsia="標楷體" w:hAnsi="標楷體" w:hint="eastAsia"/>
          <w:szCs w:val="24"/>
        </w:rPr>
        <w:t>辦理標購取得公共設施保留地作業，土地所有權人投標踴躍，標購執行金額較預計增加所致</w:t>
      </w:r>
      <w:r w:rsidRPr="008D59D2">
        <w:rPr>
          <w:rFonts w:ascii="標楷體" w:eastAsia="標楷體" w:hAnsi="標楷體" w:hint="eastAsia"/>
          <w:szCs w:val="24"/>
        </w:rPr>
        <w:t>。</w:t>
      </w:r>
    </w:p>
    <w:p w14:paraId="3ABDEF99" w14:textId="77777777" w:rsidR="00F1456A" w:rsidRPr="008D59D2" w:rsidRDefault="00F1456A" w:rsidP="00F1456A">
      <w:pPr>
        <w:overflowPunct w:val="0"/>
        <w:spacing w:beforeLines="50" w:before="180" w:afterLines="30" w:after="108" w:line="490" w:lineRule="exact"/>
        <w:ind w:firstLineChars="200" w:firstLine="480"/>
        <w:jc w:val="both"/>
        <w:rPr>
          <w:rFonts w:ascii="標楷體" w:eastAsia="標楷體" w:hAnsi="標楷體"/>
          <w:szCs w:val="24"/>
        </w:rPr>
      </w:pPr>
      <w:r w:rsidRPr="008D59D2">
        <w:rPr>
          <w:rFonts w:ascii="標楷體" w:eastAsia="標楷體" w:hAnsi="標楷體"/>
          <w:szCs w:val="24"/>
        </w:rPr>
        <w:t>3</w:t>
      </w:r>
      <w:r w:rsidRPr="008D59D2">
        <w:rPr>
          <w:rFonts w:ascii="標楷體" w:eastAsia="標楷體" w:hAnsi="標楷體" w:hint="eastAsia"/>
          <w:szCs w:val="24"/>
        </w:rPr>
        <w:t>.另都</w:t>
      </w:r>
      <w:r w:rsidRPr="008D59D2">
        <w:rPr>
          <w:rFonts w:ascii="標楷體" w:eastAsia="標楷體" w:hAnsi="標楷體"/>
          <w:szCs w:val="24"/>
        </w:rPr>
        <w:t>市發展</w:t>
      </w:r>
      <w:r w:rsidRPr="008D59D2">
        <w:rPr>
          <w:rFonts w:ascii="標楷體" w:eastAsia="標楷體" w:hAnsi="標楷體" w:hint="eastAsia"/>
          <w:szCs w:val="24"/>
        </w:rPr>
        <w:t>局</w:t>
      </w:r>
      <w:r w:rsidRPr="008D59D2">
        <w:rPr>
          <w:rFonts w:ascii="標楷體" w:eastAsia="標楷體" w:hAnsi="標楷體"/>
          <w:szCs w:val="24"/>
        </w:rPr>
        <w:t>主管之已結</w:t>
      </w:r>
      <w:r w:rsidRPr="008D59D2">
        <w:rPr>
          <w:rFonts w:ascii="標楷體" w:eastAsia="標楷體" w:hAnsi="標楷體" w:hint="eastAsia"/>
          <w:szCs w:val="24"/>
        </w:rPr>
        <w:t>束</w:t>
      </w:r>
      <w:r w:rsidRPr="008D59D2">
        <w:rPr>
          <w:rFonts w:ascii="標楷體" w:eastAsia="標楷體" w:hAnsi="標楷體"/>
          <w:szCs w:val="24"/>
        </w:rPr>
        <w:t>尚待清理</w:t>
      </w:r>
      <w:r w:rsidRPr="008D59D2">
        <w:rPr>
          <w:rFonts w:ascii="標楷體" w:eastAsia="標楷體" w:hAnsi="標楷體" w:hint="eastAsia"/>
          <w:szCs w:val="24"/>
        </w:rPr>
        <w:t>基金</w:t>
      </w:r>
      <w:r w:rsidRPr="008D59D2">
        <w:rPr>
          <w:rFonts w:ascii="標楷體" w:eastAsia="標楷體" w:hAnsi="標楷體"/>
          <w:szCs w:val="24"/>
        </w:rPr>
        <w:t>，</w:t>
      </w:r>
      <w:r w:rsidRPr="008D59D2">
        <w:rPr>
          <w:rFonts w:ascii="標楷體" w:eastAsia="標楷體" w:hAnsi="標楷體" w:hint="eastAsia"/>
          <w:szCs w:val="24"/>
        </w:rPr>
        <w:t>僅</w:t>
      </w:r>
      <w:r w:rsidRPr="008D59D2">
        <w:rPr>
          <w:rFonts w:ascii="標楷體" w:eastAsia="標楷體" w:hAnsi="標楷體"/>
          <w:szCs w:val="24"/>
        </w:rPr>
        <w:t>有</w:t>
      </w:r>
      <w:r w:rsidRPr="008D59D2">
        <w:rPr>
          <w:rFonts w:ascii="標楷體" w:eastAsia="標楷體" w:hAnsi="標楷體" w:hint="eastAsia"/>
          <w:szCs w:val="24"/>
        </w:rPr>
        <w:t>臺北市國民住宅管理維護基金1個</w:t>
      </w:r>
      <w:r w:rsidRPr="008D59D2">
        <w:rPr>
          <w:rFonts w:ascii="標楷體" w:eastAsia="標楷體" w:hAnsi="標楷體"/>
          <w:szCs w:val="24"/>
        </w:rPr>
        <w:t>單位，因</w:t>
      </w:r>
      <w:r>
        <w:rPr>
          <w:rFonts w:ascii="標楷體" w:eastAsia="標楷體" w:hAnsi="標楷體" w:hint="eastAsia"/>
          <w:szCs w:val="24"/>
        </w:rPr>
        <w:t>仍須</w:t>
      </w:r>
      <w:r w:rsidRPr="008D59D2">
        <w:rPr>
          <w:rFonts w:ascii="標楷體" w:eastAsia="標楷體" w:hAnsi="標楷體" w:hint="eastAsia"/>
          <w:szCs w:val="24"/>
        </w:rPr>
        <w:t>辦</w:t>
      </w:r>
      <w:r w:rsidRPr="008D59D2">
        <w:rPr>
          <w:rFonts w:ascii="標楷體" w:eastAsia="標楷體" w:hAnsi="標楷體"/>
          <w:szCs w:val="24"/>
        </w:rPr>
        <w:t>理國宅</w:t>
      </w:r>
      <w:r w:rsidRPr="008D59D2">
        <w:rPr>
          <w:rFonts w:ascii="標楷體" w:eastAsia="標楷體" w:hAnsi="標楷體" w:hint="eastAsia"/>
          <w:szCs w:val="24"/>
        </w:rPr>
        <w:t>管</w:t>
      </w:r>
      <w:r w:rsidRPr="008D59D2">
        <w:rPr>
          <w:rFonts w:ascii="標楷體" w:eastAsia="標楷體" w:hAnsi="標楷體"/>
          <w:szCs w:val="24"/>
        </w:rPr>
        <w:t>理站</w:t>
      </w:r>
      <w:r w:rsidRPr="008D59D2">
        <w:rPr>
          <w:rFonts w:ascii="標楷體" w:eastAsia="標楷體" w:hAnsi="標楷體" w:hint="eastAsia"/>
          <w:szCs w:val="24"/>
        </w:rPr>
        <w:t>房</w:t>
      </w:r>
      <w:r w:rsidRPr="008D59D2">
        <w:rPr>
          <w:rFonts w:ascii="標楷體" w:eastAsia="標楷體" w:hAnsi="標楷體"/>
          <w:szCs w:val="24"/>
        </w:rPr>
        <w:t>舍</w:t>
      </w:r>
      <w:r w:rsidRPr="008D59D2">
        <w:rPr>
          <w:rFonts w:ascii="標楷體" w:eastAsia="標楷體" w:hAnsi="標楷體" w:hint="eastAsia"/>
          <w:szCs w:val="24"/>
        </w:rPr>
        <w:t>處</w:t>
      </w:r>
      <w:r w:rsidRPr="008D59D2">
        <w:rPr>
          <w:rFonts w:ascii="標楷體" w:eastAsia="標楷體" w:hAnsi="標楷體"/>
          <w:szCs w:val="24"/>
        </w:rPr>
        <w:t>分及管</w:t>
      </w:r>
      <w:r w:rsidRPr="008D59D2">
        <w:rPr>
          <w:rFonts w:ascii="標楷體" w:eastAsia="標楷體" w:hAnsi="標楷體" w:hint="eastAsia"/>
          <w:szCs w:val="24"/>
        </w:rPr>
        <w:t>理</w:t>
      </w:r>
      <w:r w:rsidRPr="008D59D2">
        <w:rPr>
          <w:rFonts w:ascii="標楷體" w:eastAsia="標楷體" w:hAnsi="標楷體"/>
          <w:szCs w:val="24"/>
        </w:rPr>
        <w:t>維護基金結餘款</w:t>
      </w:r>
      <w:r w:rsidRPr="008D59D2">
        <w:rPr>
          <w:rFonts w:ascii="標楷體" w:eastAsia="標楷體" w:hAnsi="標楷體" w:hint="eastAsia"/>
          <w:szCs w:val="24"/>
        </w:rPr>
        <w:t>移</w:t>
      </w:r>
      <w:r w:rsidRPr="008D59D2">
        <w:rPr>
          <w:rFonts w:ascii="標楷體" w:eastAsia="標楷體" w:hAnsi="標楷體"/>
          <w:szCs w:val="24"/>
        </w:rPr>
        <w:t>撥</w:t>
      </w:r>
      <w:r w:rsidRPr="008D59D2">
        <w:rPr>
          <w:rFonts w:ascii="標楷體" w:eastAsia="標楷體" w:hAnsi="標楷體" w:hint="eastAsia"/>
          <w:szCs w:val="24"/>
        </w:rPr>
        <w:t>之後續業</w:t>
      </w:r>
      <w:r w:rsidRPr="008D59D2">
        <w:rPr>
          <w:rFonts w:ascii="標楷體" w:eastAsia="標楷體" w:hAnsi="標楷體"/>
          <w:szCs w:val="24"/>
        </w:rPr>
        <w:t>務因素，</w:t>
      </w:r>
      <w:r w:rsidRPr="008D59D2">
        <w:rPr>
          <w:rFonts w:ascii="標楷體" w:eastAsia="標楷體" w:hAnsi="標楷體" w:hint="eastAsia"/>
          <w:szCs w:val="24"/>
        </w:rPr>
        <w:t>致尚</w:t>
      </w:r>
      <w:r w:rsidRPr="008D59D2">
        <w:rPr>
          <w:rFonts w:ascii="標楷體" w:eastAsia="標楷體" w:hAnsi="標楷體"/>
          <w:szCs w:val="24"/>
        </w:rPr>
        <w:t>未完成清理作業，</w:t>
      </w:r>
      <w:proofErr w:type="gramStart"/>
      <w:r w:rsidRPr="008D59D2">
        <w:rPr>
          <w:rFonts w:ascii="標楷體" w:eastAsia="標楷體" w:hAnsi="標楷體" w:hint="eastAsia"/>
          <w:szCs w:val="24"/>
        </w:rPr>
        <w:t>11</w:t>
      </w:r>
      <w:r>
        <w:rPr>
          <w:rFonts w:ascii="標楷體" w:eastAsia="標楷體" w:hAnsi="標楷體" w:hint="eastAsia"/>
          <w:szCs w:val="24"/>
        </w:rPr>
        <w:t>3</w:t>
      </w:r>
      <w:proofErr w:type="gramEnd"/>
      <w:r w:rsidRPr="008D59D2">
        <w:rPr>
          <w:rFonts w:ascii="標楷體" w:eastAsia="標楷體" w:hAnsi="標楷體"/>
          <w:szCs w:val="24"/>
        </w:rPr>
        <w:t>年度發生</w:t>
      </w:r>
      <w:r w:rsidRPr="008D59D2">
        <w:rPr>
          <w:rFonts w:ascii="標楷體" w:eastAsia="標楷體" w:hAnsi="標楷體" w:hint="eastAsia"/>
          <w:szCs w:val="24"/>
        </w:rPr>
        <w:t>賸餘</w:t>
      </w:r>
      <w:r>
        <w:rPr>
          <w:rFonts w:ascii="標楷體" w:eastAsia="標楷體" w:hAnsi="標楷體" w:hint="eastAsia"/>
          <w:szCs w:val="24"/>
        </w:rPr>
        <w:t>3</w:t>
      </w:r>
      <w:r w:rsidRPr="008D59D2">
        <w:rPr>
          <w:rFonts w:ascii="標楷體" w:eastAsia="標楷體" w:hAnsi="標楷體" w:hint="eastAsia"/>
          <w:szCs w:val="24"/>
        </w:rPr>
        <w:t>萬</w:t>
      </w:r>
      <w:r>
        <w:rPr>
          <w:rFonts w:ascii="標楷體" w:eastAsia="標楷體" w:hAnsi="標楷體" w:hint="eastAsia"/>
          <w:szCs w:val="24"/>
        </w:rPr>
        <w:t>餘</w:t>
      </w:r>
      <w:r w:rsidRPr="008D59D2">
        <w:rPr>
          <w:rFonts w:ascii="標楷體" w:eastAsia="標楷體" w:hAnsi="標楷體"/>
          <w:szCs w:val="24"/>
        </w:rPr>
        <w:t>元</w:t>
      </w:r>
      <w:r w:rsidRPr="008D59D2">
        <w:rPr>
          <w:rFonts w:ascii="標楷體" w:eastAsia="標楷體" w:hAnsi="標楷體" w:hint="eastAsia"/>
          <w:szCs w:val="24"/>
        </w:rPr>
        <w:t>。</w:t>
      </w:r>
    </w:p>
    <w:p w14:paraId="239D916F" w14:textId="77777777" w:rsidR="00F1456A" w:rsidRPr="00214632" w:rsidRDefault="00F1456A" w:rsidP="00F1456A">
      <w:pPr>
        <w:suppressAutoHyphens/>
        <w:overflowPunct w:val="0"/>
        <w:snapToGrid w:val="0"/>
        <w:spacing w:beforeLines="50" w:before="180" w:afterLines="50" w:after="180" w:line="500" w:lineRule="exact"/>
        <w:jc w:val="both"/>
        <w:outlineLvl w:val="2"/>
        <w:rPr>
          <w:rFonts w:ascii="標楷體" w:eastAsia="標楷體" w:hAnsi="標楷體"/>
          <w:b/>
          <w:sz w:val="32"/>
          <w:szCs w:val="32"/>
        </w:rPr>
      </w:pPr>
      <w:r w:rsidRPr="00214632">
        <w:rPr>
          <w:rFonts w:ascii="標楷體" w:eastAsia="標楷體" w:hAnsi="標楷體" w:hint="eastAsia"/>
          <w:b/>
          <w:sz w:val="32"/>
          <w:szCs w:val="32"/>
        </w:rPr>
        <w:lastRenderedPageBreak/>
        <w:t>三、重要審核意見</w:t>
      </w:r>
    </w:p>
    <w:p w14:paraId="6EE1026C" w14:textId="77777777" w:rsidR="00F1456A" w:rsidRPr="00881FAC" w:rsidRDefault="00F1456A" w:rsidP="00F1456A">
      <w:pPr>
        <w:overflowPunct w:val="0"/>
        <w:snapToGrid w:val="0"/>
        <w:spacing w:beforeLines="20" w:before="72" w:afterLines="20" w:after="72" w:line="460" w:lineRule="exact"/>
        <w:ind w:firstLineChars="100" w:firstLine="280"/>
        <w:jc w:val="both"/>
        <w:rPr>
          <w:rFonts w:ascii="標楷體" w:eastAsia="標楷體"/>
          <w:b/>
          <w:sz w:val="28"/>
          <w:szCs w:val="28"/>
        </w:rPr>
      </w:pPr>
      <w:r>
        <w:rPr>
          <w:rFonts w:ascii="標楷體" w:eastAsia="標楷體" w:hint="eastAsia"/>
          <w:b/>
          <w:sz w:val="28"/>
          <w:szCs w:val="28"/>
        </w:rPr>
        <w:t>（</w:t>
      </w:r>
      <w:r w:rsidRPr="00881FAC">
        <w:rPr>
          <w:rFonts w:ascii="標楷體" w:eastAsia="標楷體" w:hint="eastAsia"/>
          <w:b/>
          <w:sz w:val="28"/>
          <w:szCs w:val="28"/>
        </w:rPr>
        <w:t>一</w:t>
      </w:r>
      <w:r>
        <w:rPr>
          <w:rFonts w:ascii="標楷體" w:eastAsia="標楷體" w:hint="eastAsia"/>
          <w:b/>
          <w:sz w:val="28"/>
          <w:szCs w:val="28"/>
        </w:rPr>
        <w:t>）</w:t>
      </w:r>
      <w:r w:rsidRPr="00444FD7">
        <w:rPr>
          <w:rFonts w:ascii="標楷體" w:eastAsia="標楷體" w:hint="eastAsia"/>
          <w:b/>
          <w:sz w:val="28"/>
          <w:szCs w:val="28"/>
        </w:rPr>
        <w:t>持續</w:t>
      </w:r>
      <w:proofErr w:type="gramStart"/>
      <w:r w:rsidRPr="00444FD7">
        <w:rPr>
          <w:rFonts w:ascii="標楷體" w:eastAsia="標楷體" w:hint="eastAsia"/>
          <w:b/>
          <w:sz w:val="28"/>
          <w:szCs w:val="28"/>
        </w:rPr>
        <w:t>提供社宅及</w:t>
      </w:r>
      <w:proofErr w:type="gramEnd"/>
      <w:r w:rsidRPr="00444FD7">
        <w:rPr>
          <w:rFonts w:ascii="標楷體" w:eastAsia="標楷體" w:hint="eastAsia"/>
          <w:b/>
          <w:sz w:val="28"/>
          <w:szCs w:val="28"/>
        </w:rPr>
        <w:t>國宅予民眾</w:t>
      </w:r>
      <w:proofErr w:type="gramStart"/>
      <w:r w:rsidRPr="00444FD7">
        <w:rPr>
          <w:rFonts w:ascii="標楷體" w:eastAsia="標楷體" w:hint="eastAsia"/>
          <w:b/>
          <w:sz w:val="28"/>
          <w:szCs w:val="28"/>
        </w:rPr>
        <w:t>申請配租使用</w:t>
      </w:r>
      <w:proofErr w:type="gramEnd"/>
      <w:r w:rsidRPr="00444FD7">
        <w:rPr>
          <w:rFonts w:ascii="標楷體" w:eastAsia="標楷體" w:hint="eastAsia"/>
          <w:b/>
          <w:sz w:val="28"/>
          <w:szCs w:val="28"/>
        </w:rPr>
        <w:t>，惟因屋</w:t>
      </w:r>
      <w:proofErr w:type="gramStart"/>
      <w:r w:rsidRPr="00444FD7">
        <w:rPr>
          <w:rFonts w:ascii="標楷體" w:eastAsia="標楷體" w:hint="eastAsia"/>
          <w:b/>
          <w:sz w:val="28"/>
          <w:szCs w:val="28"/>
        </w:rPr>
        <w:t>況</w:t>
      </w:r>
      <w:proofErr w:type="gramEnd"/>
      <w:r w:rsidRPr="00444FD7">
        <w:rPr>
          <w:rFonts w:ascii="標楷體" w:eastAsia="標楷體" w:hint="eastAsia"/>
          <w:b/>
          <w:sz w:val="28"/>
          <w:szCs w:val="28"/>
        </w:rPr>
        <w:t>不佳之檢修或廚具之採購時程</w:t>
      </w:r>
      <w:proofErr w:type="gramStart"/>
      <w:r w:rsidRPr="00444FD7">
        <w:rPr>
          <w:rFonts w:ascii="標楷體" w:eastAsia="標楷體" w:hint="eastAsia"/>
          <w:b/>
          <w:sz w:val="28"/>
          <w:szCs w:val="28"/>
        </w:rPr>
        <w:t>影響配租作業</w:t>
      </w:r>
      <w:proofErr w:type="gramEnd"/>
      <w:r w:rsidRPr="00444FD7">
        <w:rPr>
          <w:rFonts w:ascii="標楷體" w:eastAsia="標楷體" w:hint="eastAsia"/>
          <w:b/>
          <w:sz w:val="28"/>
          <w:szCs w:val="28"/>
        </w:rPr>
        <w:t>，屢有空</w:t>
      </w:r>
      <w:proofErr w:type="gramStart"/>
      <w:r w:rsidRPr="00444FD7">
        <w:rPr>
          <w:rFonts w:ascii="標楷體" w:eastAsia="標楷體" w:hint="eastAsia"/>
          <w:b/>
          <w:sz w:val="28"/>
          <w:szCs w:val="28"/>
        </w:rPr>
        <w:t>置期逾6個月</w:t>
      </w:r>
      <w:proofErr w:type="gramEnd"/>
      <w:r w:rsidRPr="00444FD7">
        <w:rPr>
          <w:rFonts w:ascii="標楷體" w:eastAsia="標楷體" w:hint="eastAsia"/>
          <w:b/>
          <w:sz w:val="28"/>
          <w:szCs w:val="28"/>
        </w:rPr>
        <w:t>情事；另供作為老舊住宅拆除重建期間使用之中繼住宅，</w:t>
      </w:r>
      <w:proofErr w:type="gramStart"/>
      <w:r w:rsidRPr="00444FD7">
        <w:rPr>
          <w:rFonts w:ascii="標楷體" w:eastAsia="標楷體" w:hint="eastAsia"/>
          <w:b/>
          <w:sz w:val="28"/>
          <w:szCs w:val="28"/>
        </w:rPr>
        <w:t>間有未</w:t>
      </w:r>
      <w:proofErr w:type="gramEnd"/>
      <w:r w:rsidRPr="00444FD7">
        <w:rPr>
          <w:rFonts w:ascii="標楷體" w:eastAsia="標楷體" w:hint="eastAsia"/>
          <w:b/>
          <w:sz w:val="28"/>
          <w:szCs w:val="28"/>
        </w:rPr>
        <w:t>列管其使用情況，致有空置</w:t>
      </w:r>
      <w:proofErr w:type="gramStart"/>
      <w:r w:rsidRPr="00444FD7">
        <w:rPr>
          <w:rFonts w:ascii="標楷體" w:eastAsia="標楷體" w:hint="eastAsia"/>
          <w:b/>
          <w:sz w:val="28"/>
          <w:szCs w:val="28"/>
        </w:rPr>
        <w:t>期間近</w:t>
      </w:r>
      <w:proofErr w:type="gramEnd"/>
      <w:r w:rsidRPr="00444FD7">
        <w:rPr>
          <w:rFonts w:ascii="標楷體" w:eastAsia="標楷體" w:hint="eastAsia"/>
          <w:b/>
          <w:sz w:val="28"/>
          <w:szCs w:val="28"/>
        </w:rPr>
        <w:t>2年等情，有待</w:t>
      </w:r>
      <w:proofErr w:type="gramStart"/>
      <w:r w:rsidRPr="00444FD7">
        <w:rPr>
          <w:rFonts w:ascii="標楷體" w:eastAsia="標楷體" w:hint="eastAsia"/>
          <w:b/>
          <w:sz w:val="28"/>
          <w:szCs w:val="28"/>
        </w:rPr>
        <w:t>研</w:t>
      </w:r>
      <w:proofErr w:type="gramEnd"/>
      <w:r w:rsidRPr="00444FD7">
        <w:rPr>
          <w:rFonts w:ascii="標楷體" w:eastAsia="標楷體" w:hint="eastAsia"/>
          <w:b/>
          <w:sz w:val="28"/>
          <w:szCs w:val="28"/>
        </w:rPr>
        <w:t>謀改善，以提升住宅使用效益</w:t>
      </w:r>
      <w:r w:rsidRPr="00881FAC">
        <w:rPr>
          <w:rFonts w:ascii="標楷體" w:eastAsia="標楷體" w:hint="eastAsia"/>
          <w:b/>
          <w:sz w:val="28"/>
          <w:szCs w:val="28"/>
        </w:rPr>
        <w:t>。</w:t>
      </w:r>
    </w:p>
    <w:p w14:paraId="4926E4CA" w14:textId="77777777" w:rsidR="00F1456A" w:rsidRDefault="00F1456A" w:rsidP="00F1456A">
      <w:pPr>
        <w:overflowPunct w:val="0"/>
        <w:snapToGrid w:val="0"/>
        <w:spacing w:beforeLines="20" w:before="72" w:afterLines="20" w:after="72" w:line="440" w:lineRule="exact"/>
        <w:ind w:firstLineChars="200" w:firstLine="480"/>
        <w:jc w:val="both"/>
        <w:rPr>
          <w:rFonts w:ascii="標楷體" w:eastAsia="標楷體" w:hAnsi="標楷體"/>
          <w:szCs w:val="24"/>
        </w:rPr>
      </w:pPr>
      <w:r w:rsidRPr="008E40B2">
        <w:rPr>
          <w:rFonts w:ascii="標楷體" w:eastAsia="標楷體" w:hAnsi="標楷體" w:hint="eastAsia"/>
          <w:szCs w:val="24"/>
        </w:rPr>
        <w:t>都市發展局為提供民眾適宜及可負擔之居住環境，提供社會住宅（下稱社宅）及國民住宅（下稱國宅）予民眾</w:t>
      </w:r>
      <w:proofErr w:type="gramStart"/>
      <w:r w:rsidRPr="008E40B2">
        <w:rPr>
          <w:rFonts w:ascii="標楷體" w:eastAsia="標楷體" w:hAnsi="標楷體" w:hint="eastAsia"/>
          <w:szCs w:val="24"/>
        </w:rPr>
        <w:t>申請配租</w:t>
      </w:r>
      <w:proofErr w:type="gramEnd"/>
      <w:r w:rsidRPr="008E40B2">
        <w:rPr>
          <w:rFonts w:ascii="標楷體" w:eastAsia="標楷體" w:hAnsi="標楷體" w:hint="eastAsia"/>
          <w:szCs w:val="24"/>
        </w:rPr>
        <w:t>，並依管理權責分別於臺北市住宅基金暨行政法人臺北市住宅及都市更新中心（下稱住都中心）編列出租住宅成本預算，其中</w:t>
      </w:r>
      <w:proofErr w:type="gramStart"/>
      <w:r w:rsidRPr="008E40B2">
        <w:rPr>
          <w:rFonts w:ascii="標楷體" w:eastAsia="標楷體" w:hAnsi="標楷體" w:hint="eastAsia"/>
          <w:szCs w:val="24"/>
        </w:rPr>
        <w:t>113</w:t>
      </w:r>
      <w:proofErr w:type="gramEnd"/>
      <w:r w:rsidRPr="008E40B2">
        <w:rPr>
          <w:rFonts w:ascii="標楷體" w:eastAsia="標楷體" w:hAnsi="標楷體" w:hint="eastAsia"/>
          <w:szCs w:val="24"/>
        </w:rPr>
        <w:t>年度因應空置期間之水、電、瓦斯及管理費等支出預算，</w:t>
      </w:r>
      <w:proofErr w:type="gramStart"/>
      <w:r w:rsidRPr="008E40B2">
        <w:rPr>
          <w:rFonts w:ascii="標楷體" w:eastAsia="標楷體" w:hAnsi="標楷體" w:hint="eastAsia"/>
          <w:szCs w:val="24"/>
        </w:rPr>
        <w:t>社宅為</w:t>
      </w:r>
      <w:proofErr w:type="gramEnd"/>
      <w:r w:rsidRPr="008E40B2">
        <w:rPr>
          <w:rFonts w:ascii="標楷體" w:eastAsia="標楷體" w:hAnsi="標楷體" w:hint="eastAsia"/>
          <w:szCs w:val="24"/>
        </w:rPr>
        <w:t>1,111萬餘元、國宅為609萬餘元。經</w:t>
      </w:r>
      <w:proofErr w:type="gramStart"/>
      <w:r w:rsidRPr="008E40B2">
        <w:rPr>
          <w:rFonts w:ascii="標楷體" w:eastAsia="標楷體" w:hAnsi="標楷體" w:hint="eastAsia"/>
          <w:szCs w:val="24"/>
        </w:rPr>
        <w:t>查社宅</w:t>
      </w:r>
      <w:proofErr w:type="gramEnd"/>
      <w:r w:rsidRPr="008E40B2">
        <w:rPr>
          <w:rFonts w:ascii="標楷體" w:eastAsia="標楷體" w:hAnsi="標楷體" w:hint="eastAsia"/>
          <w:szCs w:val="24"/>
        </w:rPr>
        <w:t>及國宅之</w:t>
      </w:r>
      <w:proofErr w:type="gramStart"/>
      <w:r w:rsidRPr="008E40B2">
        <w:rPr>
          <w:rFonts w:ascii="標楷體" w:eastAsia="標楷體" w:hAnsi="標楷體" w:hint="eastAsia"/>
          <w:szCs w:val="24"/>
        </w:rPr>
        <w:t>空置戶處理</w:t>
      </w:r>
      <w:proofErr w:type="gramEnd"/>
      <w:r w:rsidRPr="008E40B2">
        <w:rPr>
          <w:rFonts w:ascii="標楷體" w:eastAsia="標楷體" w:hAnsi="標楷體" w:hint="eastAsia"/>
          <w:szCs w:val="24"/>
        </w:rPr>
        <w:t>情形，核有下列事項：</w:t>
      </w:r>
    </w:p>
    <w:p w14:paraId="74240773" w14:textId="77777777" w:rsidR="00F1456A" w:rsidRDefault="00F1456A" w:rsidP="00F1456A">
      <w:pPr>
        <w:overflowPunct w:val="0"/>
        <w:snapToGrid w:val="0"/>
        <w:spacing w:beforeLines="20" w:before="72" w:afterLines="20" w:after="72" w:line="440" w:lineRule="exact"/>
        <w:ind w:firstLineChars="200" w:firstLine="480"/>
        <w:jc w:val="both"/>
        <w:rPr>
          <w:rFonts w:ascii="標楷體" w:eastAsia="標楷體" w:hAnsi="標楷體"/>
          <w:szCs w:val="24"/>
        </w:rPr>
      </w:pPr>
      <w:r w:rsidRPr="00B1443E">
        <w:rPr>
          <w:rFonts w:ascii="標楷體" w:eastAsia="標楷體" w:hAnsi="標楷體" w:hint="eastAsia"/>
          <w:noProof/>
          <w:spacing w:val="1"/>
        </w:rPr>
        <mc:AlternateContent>
          <mc:Choice Requires="wps">
            <w:drawing>
              <wp:anchor distT="0" distB="0" distL="114300" distR="114300" simplePos="0" relativeHeight="251822080" behindDoc="0" locked="0" layoutInCell="1" allowOverlap="1" wp14:anchorId="13983408" wp14:editId="5110D0AD">
                <wp:simplePos x="0" y="0"/>
                <wp:positionH relativeFrom="margin">
                  <wp:posOffset>3457575</wp:posOffset>
                </wp:positionH>
                <wp:positionV relativeFrom="paragraph">
                  <wp:posOffset>371475</wp:posOffset>
                </wp:positionV>
                <wp:extent cx="2857500" cy="3850640"/>
                <wp:effectExtent l="0" t="0" r="0" b="0"/>
                <wp:wrapSquare wrapText="bothSides"/>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3850640"/>
                        </a:xfrm>
                        <a:prstGeom prst="rect">
                          <a:avLst/>
                        </a:prstGeom>
                        <a:solidFill>
                          <a:srgbClr val="FFFFFF"/>
                        </a:solidFill>
                        <a:ln w="9525">
                          <a:noFill/>
                          <a:miter lim="800000"/>
                          <a:headEnd/>
                          <a:tailEnd/>
                        </a:ln>
                      </wps:spPr>
                      <wps:txbx>
                        <w:txbxContent>
                          <w:p w14:paraId="4D267CF1" w14:textId="77777777" w:rsidR="00F1456A" w:rsidRDefault="00F1456A" w:rsidP="00F1456A">
                            <w:pPr>
                              <w:spacing w:line="260" w:lineRule="exact"/>
                              <w:ind w:left="661" w:hangingChars="275" w:hanging="661"/>
                              <w:jc w:val="both"/>
                              <w:rPr>
                                <w:rFonts w:ascii="標楷體" w:eastAsia="標楷體" w:hAnsi="標楷體" w:cs="新細明體"/>
                                <w:b/>
                                <w:kern w:val="0"/>
                              </w:rPr>
                            </w:pPr>
                            <w:r>
                              <w:rPr>
                                <w:rFonts w:ascii="標楷體" w:eastAsia="標楷體" w:hAnsi="標楷體" w:cs="新細明體" w:hint="eastAsia"/>
                                <w:b/>
                                <w:kern w:val="0"/>
                              </w:rPr>
                              <w:t xml:space="preserve">表1  </w:t>
                            </w:r>
                            <w:proofErr w:type="gramStart"/>
                            <w:r w:rsidRPr="00AC17BE">
                              <w:rPr>
                                <w:rFonts w:ascii="標楷體" w:eastAsia="標楷體" w:hAnsi="標楷體" w:cs="新細明體" w:hint="eastAsia"/>
                                <w:b/>
                                <w:spacing w:val="-2"/>
                                <w:kern w:val="0"/>
                              </w:rPr>
                              <w:t>社宅及</w:t>
                            </w:r>
                            <w:proofErr w:type="gramEnd"/>
                            <w:r w:rsidRPr="00AC17BE">
                              <w:rPr>
                                <w:rFonts w:ascii="標楷體" w:eastAsia="標楷體" w:hAnsi="標楷體" w:cs="新細明體" w:hint="eastAsia"/>
                                <w:b/>
                                <w:spacing w:val="-2"/>
                                <w:kern w:val="0"/>
                              </w:rPr>
                              <w:t>國宅1</w:t>
                            </w:r>
                            <w:r w:rsidRPr="00AC17BE">
                              <w:rPr>
                                <w:rFonts w:ascii="標楷體" w:eastAsia="標楷體" w:hAnsi="標楷體" w:cs="新細明體"/>
                                <w:b/>
                                <w:spacing w:val="-2"/>
                                <w:kern w:val="0"/>
                              </w:rPr>
                              <w:t>12</w:t>
                            </w:r>
                            <w:r w:rsidRPr="00AC17BE">
                              <w:rPr>
                                <w:rFonts w:ascii="標楷體" w:eastAsia="標楷體" w:hAnsi="標楷體" w:cs="新細明體" w:hint="eastAsia"/>
                                <w:b/>
                                <w:spacing w:val="-2"/>
                                <w:kern w:val="0"/>
                              </w:rPr>
                              <w:t>及1</w:t>
                            </w:r>
                            <w:r w:rsidRPr="00AC17BE">
                              <w:rPr>
                                <w:rFonts w:ascii="標楷體" w:eastAsia="標楷體" w:hAnsi="標楷體" w:cs="新細明體"/>
                                <w:b/>
                                <w:spacing w:val="-2"/>
                                <w:kern w:val="0"/>
                              </w:rPr>
                              <w:t>13</w:t>
                            </w:r>
                            <w:r w:rsidRPr="00AC17BE">
                              <w:rPr>
                                <w:rFonts w:ascii="標楷體" w:eastAsia="標楷體" w:hAnsi="標楷體" w:cs="新細明體" w:hint="eastAsia"/>
                                <w:b/>
                                <w:spacing w:val="-2"/>
                                <w:kern w:val="0"/>
                              </w:rPr>
                              <w:t>年空置期間合計達1</w:t>
                            </w:r>
                            <w:r w:rsidRPr="00AC17BE">
                              <w:rPr>
                                <w:rFonts w:ascii="標楷體" w:eastAsia="標楷體" w:hAnsi="標楷體" w:cs="新細明體"/>
                                <w:b/>
                                <w:spacing w:val="-2"/>
                                <w:kern w:val="0"/>
                              </w:rPr>
                              <w:t>2</w:t>
                            </w:r>
                            <w:r w:rsidRPr="00AC17BE">
                              <w:rPr>
                                <w:rFonts w:ascii="標楷體" w:eastAsia="標楷體" w:hAnsi="標楷體" w:cs="新細明體" w:hint="eastAsia"/>
                                <w:b/>
                                <w:spacing w:val="-2"/>
                                <w:kern w:val="0"/>
                              </w:rPr>
                              <w:t>個月</w:t>
                            </w:r>
                            <w:r>
                              <w:rPr>
                                <w:rFonts w:ascii="標楷體" w:eastAsia="標楷體" w:hAnsi="標楷體" w:cs="新細明體" w:hint="eastAsia"/>
                                <w:b/>
                                <w:spacing w:val="-2"/>
                                <w:kern w:val="0"/>
                              </w:rPr>
                              <w:t>（</w:t>
                            </w:r>
                            <w:r w:rsidRPr="00AC17BE">
                              <w:rPr>
                                <w:rFonts w:ascii="標楷體" w:eastAsia="標楷體" w:hAnsi="標楷體" w:cs="新細明體" w:hint="eastAsia"/>
                                <w:b/>
                                <w:spacing w:val="-2"/>
                                <w:kern w:val="0"/>
                              </w:rPr>
                              <w:t>含</w:t>
                            </w:r>
                            <w:r>
                              <w:rPr>
                                <w:rFonts w:ascii="標楷體" w:eastAsia="標楷體" w:hAnsi="標楷體" w:cs="新細明體" w:hint="eastAsia"/>
                                <w:b/>
                                <w:spacing w:val="-2"/>
                                <w:kern w:val="0"/>
                              </w:rPr>
                              <w:t>）</w:t>
                            </w:r>
                            <w:r w:rsidRPr="00AC17BE">
                              <w:rPr>
                                <w:rFonts w:ascii="標楷體" w:eastAsia="標楷體" w:hAnsi="標楷體" w:cs="新細明體" w:hint="eastAsia"/>
                                <w:b/>
                                <w:spacing w:val="-2"/>
                                <w:kern w:val="0"/>
                              </w:rPr>
                              <w:t>之空戶統計</w:t>
                            </w:r>
                          </w:p>
                          <w:p w14:paraId="5894148C" w14:textId="77777777" w:rsidR="00F1456A" w:rsidRDefault="00F1456A" w:rsidP="005D009F">
                            <w:pPr>
                              <w:spacing w:afterLines="10" w:after="36" w:line="240" w:lineRule="exact"/>
                              <w:ind w:rightChars="-18" w:right="-43"/>
                              <w:jc w:val="right"/>
                              <w:rPr>
                                <w:rFonts w:ascii="標楷體" w:eastAsia="標楷體" w:hAnsi="標楷體" w:cs="新細明體"/>
                                <w:kern w:val="0"/>
                                <w:sz w:val="20"/>
                              </w:rPr>
                            </w:pPr>
                            <w:r>
                              <w:rPr>
                                <w:rFonts w:ascii="標楷體" w:eastAsia="標楷體" w:hAnsi="標楷體" w:cs="新細明體" w:hint="eastAsia"/>
                                <w:kern w:val="0"/>
                                <w:sz w:val="20"/>
                              </w:rPr>
                              <w:t>單位：戶、月數</w:t>
                            </w:r>
                          </w:p>
                          <w:tbl>
                            <w:tblPr>
                              <w:tblStyle w:val="a6"/>
                              <w:tblW w:w="4293" w:type="dxa"/>
                              <w:tblLayout w:type="fixed"/>
                              <w:tblLook w:val="04A0" w:firstRow="1" w:lastRow="0" w:firstColumn="1" w:lastColumn="0" w:noHBand="0" w:noVBand="1"/>
                            </w:tblPr>
                            <w:tblGrid>
                              <w:gridCol w:w="709"/>
                              <w:gridCol w:w="1708"/>
                              <w:gridCol w:w="686"/>
                              <w:gridCol w:w="1190"/>
                            </w:tblGrid>
                            <w:tr w:rsidR="00F1456A" w:rsidRPr="0043736A" w14:paraId="22672AFD" w14:textId="77777777" w:rsidTr="001A7C79">
                              <w:trPr>
                                <w:trHeight w:hRule="exact" w:val="255"/>
                              </w:trPr>
                              <w:tc>
                                <w:tcPr>
                                  <w:tcW w:w="709" w:type="dxa"/>
                                  <w:vMerge w:val="restart"/>
                                  <w:vAlign w:val="center"/>
                                  <w:hideMark/>
                                </w:tcPr>
                                <w:p w14:paraId="43E52762" w14:textId="77777777" w:rsidR="00F1456A" w:rsidRPr="001A7C79" w:rsidRDefault="00F1456A" w:rsidP="001A7C79">
                                  <w:pPr>
                                    <w:spacing w:line="240" w:lineRule="exact"/>
                                    <w:jc w:val="center"/>
                                    <w:rPr>
                                      <w:rFonts w:ascii="標楷體" w:eastAsia="標楷體" w:hAnsi="標楷體"/>
                                    </w:rPr>
                                  </w:pPr>
                                  <w:r w:rsidRPr="001A7C79">
                                    <w:rPr>
                                      <w:rFonts w:ascii="標楷體" w:eastAsia="標楷體" w:hAnsi="標楷體" w:hint="eastAsia"/>
                                    </w:rPr>
                                    <w:t>類別</w:t>
                                  </w:r>
                                </w:p>
                              </w:tc>
                              <w:tc>
                                <w:tcPr>
                                  <w:tcW w:w="3584" w:type="dxa"/>
                                  <w:gridSpan w:val="3"/>
                                  <w:vAlign w:val="center"/>
                                </w:tcPr>
                                <w:p w14:paraId="4924C35A" w14:textId="77777777" w:rsidR="00F1456A" w:rsidRPr="001A7C79" w:rsidRDefault="00F1456A" w:rsidP="001A7C79">
                                  <w:pPr>
                                    <w:spacing w:line="240" w:lineRule="exact"/>
                                    <w:ind w:rightChars="-50" w:right="-120"/>
                                    <w:jc w:val="center"/>
                                    <w:rPr>
                                      <w:rFonts w:ascii="標楷體" w:eastAsia="標楷體" w:hAnsi="標楷體"/>
                                    </w:rPr>
                                  </w:pPr>
                                  <w:r w:rsidRPr="001A7C79">
                                    <w:rPr>
                                      <w:rFonts w:ascii="標楷體" w:eastAsia="標楷體" w:hAnsi="標楷體" w:hint="eastAsia"/>
                                    </w:rPr>
                                    <w:t>空置情形</w:t>
                                  </w:r>
                                </w:p>
                              </w:tc>
                            </w:tr>
                            <w:tr w:rsidR="00F1456A" w:rsidRPr="0043736A" w14:paraId="09213FE9" w14:textId="77777777" w:rsidTr="001A7C79">
                              <w:trPr>
                                <w:trHeight w:hRule="exact" w:val="255"/>
                              </w:trPr>
                              <w:tc>
                                <w:tcPr>
                                  <w:tcW w:w="709" w:type="dxa"/>
                                  <w:vMerge/>
                                  <w:vAlign w:val="center"/>
                                </w:tcPr>
                                <w:p w14:paraId="6AE8F6D6" w14:textId="77777777" w:rsidR="00F1456A" w:rsidRPr="001A7C79" w:rsidRDefault="00F1456A" w:rsidP="001A7C79">
                                  <w:pPr>
                                    <w:spacing w:line="240" w:lineRule="exact"/>
                                    <w:ind w:rightChars="-20" w:right="-48"/>
                                    <w:jc w:val="center"/>
                                    <w:rPr>
                                      <w:rFonts w:ascii="標楷體" w:eastAsia="標楷體" w:hAnsi="標楷體"/>
                                      <w:kern w:val="16"/>
                                    </w:rPr>
                                  </w:pPr>
                                </w:p>
                              </w:tc>
                              <w:tc>
                                <w:tcPr>
                                  <w:tcW w:w="1708" w:type="dxa"/>
                                  <w:vAlign w:val="center"/>
                                </w:tcPr>
                                <w:p w14:paraId="06526229" w14:textId="77777777" w:rsidR="00F1456A" w:rsidRPr="001A7C79" w:rsidRDefault="00F1456A" w:rsidP="001A7C79">
                                  <w:pPr>
                                    <w:spacing w:line="240" w:lineRule="exact"/>
                                    <w:jc w:val="center"/>
                                    <w:rPr>
                                      <w:rFonts w:ascii="標楷體" w:eastAsia="標楷體" w:hAnsi="標楷體"/>
                                    </w:rPr>
                                  </w:pPr>
                                  <w:r w:rsidRPr="001A7C79">
                                    <w:rPr>
                                      <w:rFonts w:ascii="標楷體" w:eastAsia="標楷體" w:hAnsi="標楷體" w:hint="eastAsia"/>
                                    </w:rPr>
                                    <w:t>案</w:t>
                                  </w:r>
                                  <w:r>
                                    <w:rPr>
                                      <w:rFonts w:ascii="標楷體" w:eastAsia="標楷體" w:hAnsi="標楷體" w:hint="eastAsia"/>
                                    </w:rPr>
                                    <w:t xml:space="preserve"> </w:t>
                                  </w:r>
                                  <w:r w:rsidRPr="001A7C79">
                                    <w:rPr>
                                      <w:rFonts w:ascii="標楷體" w:eastAsia="標楷體" w:hAnsi="標楷體" w:hint="eastAsia"/>
                                    </w:rPr>
                                    <w:t>名</w:t>
                                  </w:r>
                                </w:p>
                              </w:tc>
                              <w:tc>
                                <w:tcPr>
                                  <w:tcW w:w="686" w:type="dxa"/>
                                  <w:vAlign w:val="center"/>
                                </w:tcPr>
                                <w:p w14:paraId="218C8075" w14:textId="77777777" w:rsidR="00F1456A" w:rsidRPr="001A7C79" w:rsidRDefault="00F1456A" w:rsidP="001A7C79">
                                  <w:pPr>
                                    <w:spacing w:line="240" w:lineRule="exact"/>
                                    <w:jc w:val="center"/>
                                    <w:rPr>
                                      <w:rFonts w:ascii="標楷體" w:eastAsia="標楷體" w:hAnsi="標楷體"/>
                                    </w:rPr>
                                  </w:pPr>
                                  <w:r w:rsidRPr="001A7C79">
                                    <w:rPr>
                                      <w:rFonts w:ascii="標楷體" w:eastAsia="標楷體" w:hAnsi="標楷體" w:hint="eastAsia"/>
                                    </w:rPr>
                                    <w:t>戶數</w:t>
                                  </w:r>
                                </w:p>
                              </w:tc>
                              <w:tc>
                                <w:tcPr>
                                  <w:tcW w:w="1190" w:type="dxa"/>
                                  <w:tcBorders>
                                    <w:bottom w:val="single" w:sz="4" w:space="0" w:color="auto"/>
                                  </w:tcBorders>
                                  <w:vAlign w:val="center"/>
                                </w:tcPr>
                                <w:p w14:paraId="2628DFDF" w14:textId="77777777" w:rsidR="00F1456A" w:rsidRPr="001A7C79" w:rsidRDefault="00F1456A" w:rsidP="001A7C79">
                                  <w:pPr>
                                    <w:spacing w:line="240" w:lineRule="exact"/>
                                    <w:jc w:val="center"/>
                                    <w:rPr>
                                      <w:rFonts w:ascii="標楷體" w:eastAsia="標楷體" w:hAnsi="標楷體"/>
                                    </w:rPr>
                                  </w:pPr>
                                  <w:r w:rsidRPr="001A7C79">
                                    <w:rPr>
                                      <w:rFonts w:ascii="標楷體" w:eastAsia="標楷體" w:hAnsi="標楷體" w:hint="eastAsia"/>
                                    </w:rPr>
                                    <w:t>期</w:t>
                                  </w:r>
                                  <w:r>
                                    <w:rPr>
                                      <w:rFonts w:ascii="標楷體" w:eastAsia="標楷體" w:hAnsi="標楷體" w:hint="eastAsia"/>
                                    </w:rPr>
                                    <w:t xml:space="preserve"> </w:t>
                                  </w:r>
                                  <w:r w:rsidRPr="001A7C79">
                                    <w:rPr>
                                      <w:rFonts w:ascii="標楷體" w:eastAsia="標楷體" w:hAnsi="標楷體" w:hint="eastAsia"/>
                                    </w:rPr>
                                    <w:t>間</w:t>
                                  </w:r>
                                </w:p>
                              </w:tc>
                            </w:tr>
                            <w:tr w:rsidR="00F1456A" w:rsidRPr="0043736A" w14:paraId="77C3DDBD" w14:textId="77777777" w:rsidTr="001A7C79">
                              <w:trPr>
                                <w:trHeight w:hRule="exact" w:val="255"/>
                              </w:trPr>
                              <w:tc>
                                <w:tcPr>
                                  <w:tcW w:w="709" w:type="dxa"/>
                                  <w:vMerge w:val="restart"/>
                                </w:tcPr>
                                <w:p w14:paraId="5B9D9593" w14:textId="77777777" w:rsidR="00F1456A" w:rsidRPr="001A7C79" w:rsidRDefault="00F1456A" w:rsidP="00AC17BE">
                                  <w:pPr>
                                    <w:spacing w:line="240" w:lineRule="exact"/>
                                    <w:rPr>
                                      <w:rFonts w:ascii="標楷體" w:eastAsia="標楷體" w:hAnsi="標楷體"/>
                                      <w:spacing w:val="-2"/>
                                    </w:rPr>
                                  </w:pPr>
                                  <w:proofErr w:type="gramStart"/>
                                  <w:r w:rsidRPr="001A7C79">
                                    <w:rPr>
                                      <w:rFonts w:ascii="標楷體" w:eastAsia="標楷體" w:hAnsi="標楷體" w:hint="eastAsia"/>
                                      <w:spacing w:val="-2"/>
                                      <w:kern w:val="16"/>
                                    </w:rPr>
                                    <w:t>社宅</w:t>
                                  </w:r>
                                  <w:proofErr w:type="gramEnd"/>
                                </w:p>
                              </w:tc>
                              <w:tc>
                                <w:tcPr>
                                  <w:tcW w:w="1708" w:type="dxa"/>
                                  <w:vAlign w:val="center"/>
                                </w:tcPr>
                                <w:p w14:paraId="478010A1" w14:textId="77777777" w:rsidR="00F1456A" w:rsidRPr="001A7C79" w:rsidRDefault="00F1456A" w:rsidP="004B3529">
                                  <w:pPr>
                                    <w:spacing w:line="240" w:lineRule="exact"/>
                                    <w:rPr>
                                      <w:rFonts w:ascii="標楷體" w:eastAsia="標楷體" w:hAnsi="標楷體"/>
                                      <w:b/>
                                      <w:bCs/>
                                      <w:spacing w:val="-2"/>
                                    </w:rPr>
                                  </w:pPr>
                                  <w:r w:rsidRPr="001A7C79">
                                    <w:rPr>
                                      <w:rFonts w:ascii="標楷體" w:eastAsia="標楷體" w:hAnsi="標楷體" w:hint="eastAsia"/>
                                      <w:b/>
                                      <w:bCs/>
                                      <w:spacing w:val="-2"/>
                                    </w:rPr>
                                    <w:t>合計</w:t>
                                  </w:r>
                                  <w:r>
                                    <w:rPr>
                                      <w:rFonts w:ascii="標楷體" w:eastAsia="標楷體" w:hAnsi="標楷體" w:hint="eastAsia"/>
                                      <w:b/>
                                      <w:bCs/>
                                      <w:spacing w:val="-2"/>
                                    </w:rPr>
                                    <w:t xml:space="preserve"> </w:t>
                                  </w:r>
                                  <w:r>
                                    <w:rPr>
                                      <w:rFonts w:ascii="標楷體" w:eastAsia="標楷體" w:hAnsi="標楷體"/>
                                      <w:b/>
                                      <w:bCs/>
                                      <w:spacing w:val="-2"/>
                                    </w:rPr>
                                    <w:t xml:space="preserve"> </w:t>
                                  </w:r>
                                  <w:r w:rsidRPr="001A7C79">
                                    <w:rPr>
                                      <w:rFonts w:ascii="標楷體" w:eastAsia="標楷體" w:hAnsi="標楷體" w:hint="eastAsia"/>
                                      <w:b/>
                                      <w:bCs/>
                                      <w:spacing w:val="-2"/>
                                    </w:rPr>
                                    <w:t>1</w:t>
                                  </w:r>
                                  <w:r w:rsidRPr="001A7C79">
                                    <w:rPr>
                                      <w:rFonts w:ascii="標楷體" w:eastAsia="標楷體" w:hAnsi="標楷體"/>
                                      <w:b/>
                                      <w:bCs/>
                                      <w:spacing w:val="-2"/>
                                    </w:rPr>
                                    <w:t>1</w:t>
                                  </w:r>
                                  <w:r w:rsidRPr="001A7C79">
                                    <w:rPr>
                                      <w:rFonts w:ascii="標楷體" w:eastAsia="標楷體" w:hAnsi="標楷體" w:hint="eastAsia"/>
                                      <w:b/>
                                      <w:bCs/>
                                      <w:spacing w:val="-2"/>
                                    </w:rPr>
                                    <w:t>處</w:t>
                                  </w:r>
                                </w:p>
                              </w:tc>
                              <w:tc>
                                <w:tcPr>
                                  <w:tcW w:w="686" w:type="dxa"/>
                                  <w:vAlign w:val="center"/>
                                </w:tcPr>
                                <w:p w14:paraId="170ABD5E" w14:textId="77777777" w:rsidR="00F1456A" w:rsidRPr="001A7C79" w:rsidRDefault="00F1456A" w:rsidP="00AC17BE">
                                  <w:pPr>
                                    <w:spacing w:line="240" w:lineRule="exact"/>
                                    <w:jc w:val="right"/>
                                    <w:rPr>
                                      <w:rFonts w:ascii="標楷體" w:eastAsia="標楷體" w:hAnsi="標楷體"/>
                                      <w:b/>
                                      <w:bCs/>
                                      <w:spacing w:val="-6"/>
                                    </w:rPr>
                                  </w:pPr>
                                  <w:r w:rsidRPr="001A7C79">
                                    <w:rPr>
                                      <w:rFonts w:ascii="標楷體" w:eastAsia="標楷體" w:hAnsi="標楷體" w:hint="eastAsia"/>
                                      <w:b/>
                                      <w:bCs/>
                                      <w:spacing w:val="-6"/>
                                    </w:rPr>
                                    <w:t>2</w:t>
                                  </w:r>
                                  <w:r w:rsidRPr="001A7C79">
                                    <w:rPr>
                                      <w:rFonts w:ascii="標楷體" w:eastAsia="標楷體" w:hAnsi="標楷體"/>
                                      <w:b/>
                                      <w:bCs/>
                                      <w:spacing w:val="-6"/>
                                    </w:rPr>
                                    <w:t>7</w:t>
                                  </w:r>
                                </w:p>
                              </w:tc>
                              <w:tc>
                                <w:tcPr>
                                  <w:tcW w:w="1190" w:type="dxa"/>
                                  <w:tcBorders>
                                    <w:bottom w:val="single" w:sz="4" w:space="0" w:color="auto"/>
                                    <w:tl2br w:val="single" w:sz="4" w:space="0" w:color="auto"/>
                                  </w:tcBorders>
                                  <w:vAlign w:val="center"/>
                                </w:tcPr>
                                <w:p w14:paraId="120F8090" w14:textId="77777777" w:rsidR="00F1456A" w:rsidRPr="003E0FC4" w:rsidRDefault="00F1456A" w:rsidP="00AC17BE">
                                  <w:pPr>
                                    <w:spacing w:line="240" w:lineRule="exact"/>
                                    <w:rPr>
                                      <w:rFonts w:ascii="標楷體" w:eastAsia="標楷體" w:hAnsi="標楷體"/>
                                      <w:spacing w:val="-6"/>
                                    </w:rPr>
                                  </w:pPr>
                                </w:p>
                              </w:tc>
                            </w:tr>
                            <w:tr w:rsidR="00F1456A" w:rsidRPr="0043736A" w14:paraId="79F726CD" w14:textId="77777777" w:rsidTr="001A7C79">
                              <w:trPr>
                                <w:trHeight w:hRule="exact" w:val="255"/>
                              </w:trPr>
                              <w:tc>
                                <w:tcPr>
                                  <w:tcW w:w="709" w:type="dxa"/>
                                  <w:vMerge/>
                                </w:tcPr>
                                <w:p w14:paraId="301E9C2A"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2159BE84"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1</w:t>
                                  </w:r>
                                  <w:r w:rsidRPr="00AC17BE">
                                    <w:rPr>
                                      <w:rFonts w:ascii="標楷體" w:eastAsia="標楷體" w:hAnsi="標楷體"/>
                                      <w:spacing w:val="-2"/>
                                    </w:rPr>
                                    <w:t>.</w:t>
                                  </w:r>
                                  <w:r w:rsidRPr="00AC17BE">
                                    <w:rPr>
                                      <w:rFonts w:ascii="標楷體" w:eastAsia="標楷體" w:hAnsi="標楷體" w:hint="eastAsia"/>
                                      <w:spacing w:val="-2"/>
                                    </w:rPr>
                                    <w:t>行善</w:t>
                                  </w:r>
                                </w:p>
                              </w:tc>
                              <w:tc>
                                <w:tcPr>
                                  <w:tcW w:w="686" w:type="dxa"/>
                                  <w:vAlign w:val="center"/>
                                </w:tcPr>
                                <w:p w14:paraId="0AEE9DD5"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7</w:t>
                                  </w:r>
                                </w:p>
                              </w:tc>
                              <w:tc>
                                <w:tcPr>
                                  <w:tcW w:w="1190" w:type="dxa"/>
                                  <w:tcBorders>
                                    <w:tl2br w:val="nil"/>
                                  </w:tcBorders>
                                  <w:vAlign w:val="center"/>
                                </w:tcPr>
                                <w:p w14:paraId="7F29999D" w14:textId="77777777" w:rsidR="00F1456A" w:rsidRPr="003E0FC4" w:rsidRDefault="00F1456A" w:rsidP="00AC17BE">
                                  <w:pPr>
                                    <w:spacing w:line="240" w:lineRule="exact"/>
                                    <w:rPr>
                                      <w:rFonts w:ascii="標楷體" w:eastAsia="標楷體" w:hAnsi="標楷體"/>
                                      <w:spacing w:val="-6"/>
                                    </w:rPr>
                                  </w:pPr>
                                  <w:bookmarkStart w:id="89" w:name="_Hlk200010619"/>
                                  <w:r w:rsidRPr="003E0FC4">
                                    <w:rPr>
                                      <w:rFonts w:ascii="標楷體" w:eastAsia="標楷體" w:hAnsi="標楷體"/>
                                      <w:spacing w:val="-6"/>
                                    </w:rPr>
                                    <w:t>13</w:t>
                                  </w:r>
                                  <w:r w:rsidRPr="003E0FC4">
                                    <w:rPr>
                                      <w:rFonts w:ascii="標楷體" w:eastAsia="標楷體" w:hAnsi="標楷體" w:hint="eastAsia"/>
                                      <w:spacing w:val="-6"/>
                                    </w:rPr>
                                    <w:t>至21</w:t>
                                  </w:r>
                                  <w:bookmarkEnd w:id="89"/>
                                </w:p>
                              </w:tc>
                            </w:tr>
                            <w:tr w:rsidR="00F1456A" w:rsidRPr="0043736A" w14:paraId="51F30F7D" w14:textId="77777777" w:rsidTr="001A7C79">
                              <w:trPr>
                                <w:trHeight w:hRule="exact" w:val="255"/>
                              </w:trPr>
                              <w:tc>
                                <w:tcPr>
                                  <w:tcW w:w="709" w:type="dxa"/>
                                  <w:vMerge/>
                                </w:tcPr>
                                <w:p w14:paraId="19986F9A"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07FE146E"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2</w:t>
                                  </w:r>
                                  <w:r w:rsidRPr="00AC17BE">
                                    <w:rPr>
                                      <w:rFonts w:ascii="標楷體" w:eastAsia="標楷體" w:hAnsi="標楷體"/>
                                      <w:spacing w:val="-2"/>
                                    </w:rPr>
                                    <w:t>.</w:t>
                                  </w:r>
                                  <w:r w:rsidRPr="00AC17BE">
                                    <w:rPr>
                                      <w:rFonts w:ascii="標楷體" w:eastAsia="標楷體" w:hAnsi="標楷體" w:hint="eastAsia"/>
                                      <w:spacing w:val="-2"/>
                                    </w:rPr>
                                    <w:t>明倫</w:t>
                                  </w:r>
                                </w:p>
                              </w:tc>
                              <w:tc>
                                <w:tcPr>
                                  <w:tcW w:w="686" w:type="dxa"/>
                                  <w:vAlign w:val="center"/>
                                </w:tcPr>
                                <w:p w14:paraId="39627D41"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126BF06C"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2</w:t>
                                  </w:r>
                                </w:p>
                              </w:tc>
                            </w:tr>
                            <w:tr w:rsidR="00F1456A" w:rsidRPr="0043736A" w14:paraId="5E35864D" w14:textId="77777777" w:rsidTr="001A7C79">
                              <w:trPr>
                                <w:trHeight w:hRule="exact" w:val="255"/>
                              </w:trPr>
                              <w:tc>
                                <w:tcPr>
                                  <w:tcW w:w="709" w:type="dxa"/>
                                  <w:vMerge/>
                                </w:tcPr>
                                <w:p w14:paraId="74A60759"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2074D27A"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3</w:t>
                                  </w:r>
                                  <w:r w:rsidRPr="00AC17BE">
                                    <w:rPr>
                                      <w:rFonts w:ascii="標楷體" w:eastAsia="標楷體" w:hAnsi="標楷體"/>
                                      <w:spacing w:val="-2"/>
                                    </w:rPr>
                                    <w:t>.</w:t>
                                  </w:r>
                                  <w:r w:rsidRPr="00AC17BE">
                                    <w:rPr>
                                      <w:rFonts w:ascii="標楷體" w:eastAsia="標楷體" w:hAnsi="標楷體" w:hint="eastAsia"/>
                                      <w:spacing w:val="-2"/>
                                    </w:rPr>
                                    <w:t>東明</w:t>
                                  </w:r>
                                </w:p>
                              </w:tc>
                              <w:tc>
                                <w:tcPr>
                                  <w:tcW w:w="686" w:type="dxa"/>
                                  <w:vAlign w:val="center"/>
                                </w:tcPr>
                                <w:p w14:paraId="3CBB5096"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6</w:t>
                                  </w:r>
                                </w:p>
                              </w:tc>
                              <w:tc>
                                <w:tcPr>
                                  <w:tcW w:w="1190" w:type="dxa"/>
                                  <w:vAlign w:val="center"/>
                                </w:tcPr>
                                <w:p w14:paraId="790F6228"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2</w:t>
                                  </w:r>
                                  <w:r>
                                    <w:rPr>
                                      <w:rFonts w:ascii="標楷體" w:eastAsia="標楷體" w:hAnsi="標楷體" w:hint="eastAsia"/>
                                      <w:spacing w:val="-6"/>
                                    </w:rPr>
                                    <w:t>至1</w:t>
                                  </w:r>
                                  <w:r>
                                    <w:rPr>
                                      <w:rFonts w:ascii="標楷體" w:eastAsia="標楷體" w:hAnsi="標楷體"/>
                                      <w:spacing w:val="-6"/>
                                    </w:rPr>
                                    <w:t>5</w:t>
                                  </w:r>
                                </w:p>
                              </w:tc>
                            </w:tr>
                            <w:tr w:rsidR="00F1456A" w:rsidRPr="0043736A" w14:paraId="7148F770" w14:textId="77777777" w:rsidTr="001A7C79">
                              <w:trPr>
                                <w:trHeight w:hRule="exact" w:val="255"/>
                              </w:trPr>
                              <w:tc>
                                <w:tcPr>
                                  <w:tcW w:w="709" w:type="dxa"/>
                                  <w:vMerge/>
                                </w:tcPr>
                                <w:p w14:paraId="466E15DC"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08496341"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4</w:t>
                                  </w:r>
                                  <w:r w:rsidRPr="00AC17BE">
                                    <w:rPr>
                                      <w:rFonts w:ascii="標楷體" w:eastAsia="標楷體" w:hAnsi="標楷體"/>
                                      <w:spacing w:val="-2"/>
                                    </w:rPr>
                                    <w:t>.</w:t>
                                  </w:r>
                                  <w:r w:rsidRPr="00AC17BE">
                                    <w:rPr>
                                      <w:rFonts w:ascii="標楷體" w:eastAsia="標楷體" w:hAnsi="標楷體" w:hint="eastAsia"/>
                                      <w:spacing w:val="-2"/>
                                    </w:rPr>
                                    <w:t>青年</w:t>
                                  </w:r>
                                </w:p>
                              </w:tc>
                              <w:tc>
                                <w:tcPr>
                                  <w:tcW w:w="686" w:type="dxa"/>
                                  <w:vAlign w:val="center"/>
                                </w:tcPr>
                                <w:p w14:paraId="02716F49"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54C6FF9C"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8</w:t>
                                  </w:r>
                                </w:p>
                              </w:tc>
                            </w:tr>
                            <w:tr w:rsidR="00F1456A" w:rsidRPr="0043736A" w14:paraId="62F1FF22" w14:textId="77777777" w:rsidTr="001A7C79">
                              <w:trPr>
                                <w:trHeight w:hRule="exact" w:val="255"/>
                              </w:trPr>
                              <w:tc>
                                <w:tcPr>
                                  <w:tcW w:w="709" w:type="dxa"/>
                                  <w:vMerge/>
                                </w:tcPr>
                                <w:p w14:paraId="17496685"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75EEC645"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5</w:t>
                                  </w:r>
                                  <w:r w:rsidRPr="00AC17BE">
                                    <w:rPr>
                                      <w:rFonts w:ascii="標楷體" w:eastAsia="標楷體" w:hAnsi="標楷體"/>
                                      <w:spacing w:val="-2"/>
                                    </w:rPr>
                                    <w:t>.</w:t>
                                  </w:r>
                                  <w:r w:rsidRPr="00AC17BE">
                                    <w:rPr>
                                      <w:rFonts w:ascii="標楷體" w:eastAsia="標楷體" w:hAnsi="標楷體" w:hint="eastAsia"/>
                                      <w:spacing w:val="-2"/>
                                    </w:rPr>
                                    <w:t>洲美</w:t>
                                  </w:r>
                                </w:p>
                              </w:tc>
                              <w:tc>
                                <w:tcPr>
                                  <w:tcW w:w="686" w:type="dxa"/>
                                  <w:vAlign w:val="center"/>
                                </w:tcPr>
                                <w:p w14:paraId="6439299E"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2</w:t>
                                  </w:r>
                                </w:p>
                              </w:tc>
                              <w:tc>
                                <w:tcPr>
                                  <w:tcW w:w="1190" w:type="dxa"/>
                                  <w:vAlign w:val="center"/>
                                </w:tcPr>
                                <w:p w14:paraId="7FFE899B"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2</w:t>
                                  </w:r>
                                </w:p>
                              </w:tc>
                            </w:tr>
                            <w:tr w:rsidR="00F1456A" w:rsidRPr="0043736A" w14:paraId="1CE2E946" w14:textId="77777777" w:rsidTr="001A7C79">
                              <w:trPr>
                                <w:trHeight w:hRule="exact" w:val="255"/>
                              </w:trPr>
                              <w:tc>
                                <w:tcPr>
                                  <w:tcW w:w="709" w:type="dxa"/>
                                  <w:vMerge/>
                                </w:tcPr>
                                <w:p w14:paraId="78D5B70E"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39DC9005"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6</w:t>
                                  </w:r>
                                  <w:r w:rsidRPr="00AC17BE">
                                    <w:rPr>
                                      <w:rFonts w:ascii="標楷體" w:eastAsia="標楷體" w:hAnsi="標楷體"/>
                                      <w:spacing w:val="-2"/>
                                    </w:rPr>
                                    <w:t>.</w:t>
                                  </w:r>
                                  <w:r w:rsidRPr="00AC17BE">
                                    <w:rPr>
                                      <w:rFonts w:ascii="標楷體" w:eastAsia="標楷體" w:hAnsi="標楷體" w:hint="eastAsia"/>
                                      <w:spacing w:val="-2"/>
                                    </w:rPr>
                                    <w:t>健康</w:t>
                                  </w:r>
                                </w:p>
                              </w:tc>
                              <w:tc>
                                <w:tcPr>
                                  <w:tcW w:w="686" w:type="dxa"/>
                                  <w:vAlign w:val="center"/>
                                </w:tcPr>
                                <w:p w14:paraId="5D8DD413"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250DC8F3"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4</w:t>
                                  </w:r>
                                </w:p>
                              </w:tc>
                            </w:tr>
                            <w:tr w:rsidR="00F1456A" w:rsidRPr="0043736A" w14:paraId="1C126614" w14:textId="77777777" w:rsidTr="001A7C79">
                              <w:trPr>
                                <w:trHeight w:hRule="exact" w:val="255"/>
                              </w:trPr>
                              <w:tc>
                                <w:tcPr>
                                  <w:tcW w:w="709" w:type="dxa"/>
                                  <w:vMerge/>
                                </w:tcPr>
                                <w:p w14:paraId="481BD17C"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6E405E95"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7</w:t>
                                  </w:r>
                                  <w:r w:rsidRPr="00AC17BE">
                                    <w:rPr>
                                      <w:rFonts w:ascii="標楷體" w:eastAsia="標楷體" w:hAnsi="標楷體"/>
                                      <w:spacing w:val="-2"/>
                                    </w:rPr>
                                    <w:t>.</w:t>
                                  </w:r>
                                  <w:r w:rsidRPr="00AC17BE">
                                    <w:rPr>
                                      <w:rFonts w:ascii="標楷體" w:eastAsia="標楷體" w:hAnsi="標楷體" w:hint="eastAsia"/>
                                      <w:spacing w:val="-2"/>
                                    </w:rPr>
                                    <w:t>景文</w:t>
                                  </w:r>
                                </w:p>
                              </w:tc>
                              <w:tc>
                                <w:tcPr>
                                  <w:tcW w:w="686" w:type="dxa"/>
                                  <w:vAlign w:val="center"/>
                                </w:tcPr>
                                <w:p w14:paraId="3679607B"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2</w:t>
                                  </w:r>
                                </w:p>
                              </w:tc>
                              <w:tc>
                                <w:tcPr>
                                  <w:tcW w:w="1190" w:type="dxa"/>
                                  <w:vAlign w:val="center"/>
                                </w:tcPr>
                                <w:p w14:paraId="69772D51"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3</w:t>
                                  </w:r>
                                </w:p>
                              </w:tc>
                            </w:tr>
                            <w:tr w:rsidR="00F1456A" w:rsidRPr="0043736A" w14:paraId="6433C716" w14:textId="77777777" w:rsidTr="001A7C79">
                              <w:trPr>
                                <w:trHeight w:hRule="exact" w:val="255"/>
                              </w:trPr>
                              <w:tc>
                                <w:tcPr>
                                  <w:tcW w:w="709" w:type="dxa"/>
                                  <w:vMerge/>
                                </w:tcPr>
                                <w:p w14:paraId="08E2C517"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7EAFC331"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8</w:t>
                                  </w:r>
                                  <w:r w:rsidRPr="00AC17BE">
                                    <w:rPr>
                                      <w:rFonts w:ascii="標楷體" w:eastAsia="標楷體" w:hAnsi="標楷體"/>
                                      <w:spacing w:val="-2"/>
                                    </w:rPr>
                                    <w:t>.</w:t>
                                  </w:r>
                                  <w:r w:rsidRPr="00AC17BE">
                                    <w:rPr>
                                      <w:rFonts w:ascii="標楷體" w:eastAsia="標楷體" w:hAnsi="標楷體" w:hint="eastAsia"/>
                                      <w:spacing w:val="-2"/>
                                    </w:rPr>
                                    <w:t>瑞光</w:t>
                                  </w:r>
                                </w:p>
                              </w:tc>
                              <w:tc>
                                <w:tcPr>
                                  <w:tcW w:w="686" w:type="dxa"/>
                                  <w:vAlign w:val="center"/>
                                </w:tcPr>
                                <w:p w14:paraId="37E025B6"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2D139B26"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2</w:t>
                                  </w:r>
                                </w:p>
                              </w:tc>
                            </w:tr>
                            <w:tr w:rsidR="00F1456A" w:rsidRPr="0043736A" w14:paraId="66D2552D" w14:textId="77777777" w:rsidTr="001A7C79">
                              <w:trPr>
                                <w:trHeight w:hRule="exact" w:val="255"/>
                              </w:trPr>
                              <w:tc>
                                <w:tcPr>
                                  <w:tcW w:w="709" w:type="dxa"/>
                                  <w:vMerge/>
                                </w:tcPr>
                                <w:p w14:paraId="31697F5E"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374813F6"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9</w:t>
                                  </w:r>
                                  <w:r w:rsidRPr="00AC17BE">
                                    <w:rPr>
                                      <w:rFonts w:ascii="標楷體" w:eastAsia="標楷體" w:hAnsi="標楷體"/>
                                      <w:spacing w:val="-2"/>
                                    </w:rPr>
                                    <w:t>.</w:t>
                                  </w:r>
                                  <w:r w:rsidRPr="00AC17BE">
                                    <w:rPr>
                                      <w:rFonts w:ascii="標楷體" w:eastAsia="標楷體" w:hAnsi="標楷體" w:hint="eastAsia"/>
                                      <w:spacing w:val="-2"/>
                                    </w:rPr>
                                    <w:t>萬隆站</w:t>
                                  </w:r>
                                </w:p>
                              </w:tc>
                              <w:tc>
                                <w:tcPr>
                                  <w:tcW w:w="686" w:type="dxa"/>
                                  <w:vAlign w:val="center"/>
                                </w:tcPr>
                                <w:p w14:paraId="6332A3E6"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28C69F19"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2</w:t>
                                  </w:r>
                                  <w:r>
                                    <w:rPr>
                                      <w:rFonts w:ascii="標楷體" w:eastAsia="標楷體" w:hAnsi="標楷體"/>
                                      <w:spacing w:val="-6"/>
                                    </w:rPr>
                                    <w:t>0</w:t>
                                  </w:r>
                                </w:p>
                              </w:tc>
                            </w:tr>
                            <w:tr w:rsidR="00F1456A" w:rsidRPr="0043736A" w14:paraId="7C10D8E8" w14:textId="77777777" w:rsidTr="001A7C79">
                              <w:trPr>
                                <w:trHeight w:hRule="exact" w:val="255"/>
                              </w:trPr>
                              <w:tc>
                                <w:tcPr>
                                  <w:tcW w:w="709" w:type="dxa"/>
                                  <w:vMerge/>
                                </w:tcPr>
                                <w:p w14:paraId="2E1A8A0C"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4B2EBB03"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1</w:t>
                                  </w:r>
                                  <w:r w:rsidRPr="00AC17BE">
                                    <w:rPr>
                                      <w:rFonts w:ascii="標楷體" w:eastAsia="標楷體" w:hAnsi="標楷體"/>
                                      <w:spacing w:val="-2"/>
                                    </w:rPr>
                                    <w:t>0.</w:t>
                                  </w:r>
                                  <w:r w:rsidRPr="00AC17BE">
                                    <w:rPr>
                                      <w:rFonts w:ascii="標楷體" w:eastAsia="標楷體" w:hAnsi="標楷體" w:hint="eastAsia"/>
                                      <w:spacing w:val="-2"/>
                                    </w:rPr>
                                    <w:t>興隆D</w:t>
                                  </w:r>
                                  <w:r w:rsidRPr="00AC17BE">
                                    <w:rPr>
                                      <w:rFonts w:ascii="標楷體" w:eastAsia="標楷體" w:hAnsi="標楷體"/>
                                      <w:spacing w:val="-2"/>
                                    </w:rPr>
                                    <w:t>1</w:t>
                                  </w:r>
                                  <w:r w:rsidRPr="00AC17BE">
                                    <w:rPr>
                                      <w:rFonts w:ascii="標楷體" w:eastAsia="標楷體" w:hAnsi="標楷體" w:hint="eastAsia"/>
                                      <w:spacing w:val="-2"/>
                                    </w:rPr>
                                    <w:t>區</w:t>
                                  </w:r>
                                </w:p>
                              </w:tc>
                              <w:tc>
                                <w:tcPr>
                                  <w:tcW w:w="686" w:type="dxa"/>
                                  <w:vAlign w:val="center"/>
                                </w:tcPr>
                                <w:p w14:paraId="5AC934F6"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74019728"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9</w:t>
                                  </w:r>
                                </w:p>
                              </w:tc>
                            </w:tr>
                            <w:tr w:rsidR="00F1456A" w:rsidRPr="0043736A" w14:paraId="398B0849" w14:textId="77777777" w:rsidTr="001A7C79">
                              <w:trPr>
                                <w:trHeight w:hRule="exact" w:val="255"/>
                              </w:trPr>
                              <w:tc>
                                <w:tcPr>
                                  <w:tcW w:w="709" w:type="dxa"/>
                                  <w:vMerge/>
                                </w:tcPr>
                                <w:p w14:paraId="2D5E3465"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120CC0C4"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1</w:t>
                                  </w:r>
                                  <w:r w:rsidRPr="00AC17BE">
                                    <w:rPr>
                                      <w:rFonts w:ascii="標楷體" w:eastAsia="標楷體" w:hAnsi="標楷體"/>
                                      <w:spacing w:val="-2"/>
                                    </w:rPr>
                                    <w:t>1.</w:t>
                                  </w:r>
                                  <w:r w:rsidRPr="00AC17BE">
                                    <w:rPr>
                                      <w:rFonts w:ascii="標楷體" w:eastAsia="標楷體" w:hAnsi="標楷體" w:hint="eastAsia"/>
                                      <w:spacing w:val="-2"/>
                                    </w:rPr>
                                    <w:t>興隆D</w:t>
                                  </w:r>
                                  <w:r w:rsidRPr="00AC17BE">
                                    <w:rPr>
                                      <w:rFonts w:ascii="標楷體" w:eastAsia="標楷體" w:hAnsi="標楷體"/>
                                      <w:spacing w:val="-2"/>
                                    </w:rPr>
                                    <w:t>2</w:t>
                                  </w:r>
                                  <w:r w:rsidRPr="00AC17BE">
                                    <w:rPr>
                                      <w:rFonts w:ascii="標楷體" w:eastAsia="標楷體" w:hAnsi="標楷體" w:hint="eastAsia"/>
                                      <w:spacing w:val="-2"/>
                                    </w:rPr>
                                    <w:t>區</w:t>
                                  </w:r>
                                </w:p>
                              </w:tc>
                              <w:tc>
                                <w:tcPr>
                                  <w:tcW w:w="686" w:type="dxa"/>
                                  <w:vAlign w:val="center"/>
                                </w:tcPr>
                                <w:p w14:paraId="0E4BC9EA"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4</w:t>
                                  </w:r>
                                </w:p>
                              </w:tc>
                              <w:tc>
                                <w:tcPr>
                                  <w:tcW w:w="1190" w:type="dxa"/>
                                  <w:tcBorders>
                                    <w:bottom w:val="single" w:sz="4" w:space="0" w:color="auto"/>
                                  </w:tcBorders>
                                  <w:vAlign w:val="center"/>
                                </w:tcPr>
                                <w:p w14:paraId="0C8DDE04"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2</w:t>
                                  </w:r>
                                  <w:r>
                                    <w:rPr>
                                      <w:rFonts w:ascii="標楷體" w:eastAsia="標楷體" w:hAnsi="標楷體" w:hint="eastAsia"/>
                                      <w:spacing w:val="-6"/>
                                    </w:rPr>
                                    <w:t>至2</w:t>
                                  </w:r>
                                  <w:r>
                                    <w:rPr>
                                      <w:rFonts w:ascii="標楷體" w:eastAsia="標楷體" w:hAnsi="標楷體"/>
                                      <w:spacing w:val="-6"/>
                                    </w:rPr>
                                    <w:t>1</w:t>
                                  </w:r>
                                </w:p>
                              </w:tc>
                            </w:tr>
                            <w:tr w:rsidR="00F1456A" w:rsidRPr="0043736A" w14:paraId="53021FAD" w14:textId="77777777" w:rsidTr="001A7C79">
                              <w:trPr>
                                <w:trHeight w:hRule="exact" w:val="255"/>
                              </w:trPr>
                              <w:tc>
                                <w:tcPr>
                                  <w:tcW w:w="709" w:type="dxa"/>
                                  <w:vMerge w:val="restart"/>
                                </w:tcPr>
                                <w:p w14:paraId="25C9A147" w14:textId="77777777" w:rsidR="00F1456A" w:rsidRPr="001A7C79" w:rsidRDefault="00F1456A" w:rsidP="00AC17BE">
                                  <w:pPr>
                                    <w:spacing w:line="240" w:lineRule="exact"/>
                                    <w:rPr>
                                      <w:rFonts w:ascii="標楷體" w:eastAsia="標楷體" w:hAnsi="標楷體"/>
                                      <w:spacing w:val="-2"/>
                                    </w:rPr>
                                  </w:pPr>
                                  <w:r w:rsidRPr="001A7C79">
                                    <w:rPr>
                                      <w:rFonts w:ascii="標楷體" w:eastAsia="標楷體" w:hAnsi="標楷體" w:hint="eastAsia"/>
                                      <w:spacing w:val="-2"/>
                                      <w:kern w:val="16"/>
                                    </w:rPr>
                                    <w:t>國宅</w:t>
                                  </w:r>
                                </w:p>
                              </w:tc>
                              <w:tc>
                                <w:tcPr>
                                  <w:tcW w:w="1708" w:type="dxa"/>
                                  <w:vAlign w:val="center"/>
                                </w:tcPr>
                                <w:p w14:paraId="433CE295" w14:textId="77777777" w:rsidR="00F1456A" w:rsidRPr="001A7C79" w:rsidRDefault="00F1456A" w:rsidP="004B3529">
                                  <w:pPr>
                                    <w:spacing w:line="240" w:lineRule="exact"/>
                                    <w:rPr>
                                      <w:rFonts w:ascii="標楷體" w:eastAsia="標楷體" w:hAnsi="標楷體"/>
                                      <w:b/>
                                      <w:bCs/>
                                      <w:spacing w:val="-2"/>
                                    </w:rPr>
                                  </w:pPr>
                                  <w:r w:rsidRPr="001A7C79">
                                    <w:rPr>
                                      <w:rFonts w:ascii="標楷體" w:eastAsia="標楷體" w:hAnsi="標楷體" w:hint="eastAsia"/>
                                      <w:b/>
                                      <w:bCs/>
                                      <w:spacing w:val="-2"/>
                                    </w:rPr>
                                    <w:t>合計</w:t>
                                  </w:r>
                                  <w:r>
                                    <w:rPr>
                                      <w:rFonts w:ascii="標楷體" w:eastAsia="標楷體" w:hAnsi="標楷體" w:hint="eastAsia"/>
                                      <w:b/>
                                      <w:bCs/>
                                      <w:spacing w:val="-2"/>
                                    </w:rPr>
                                    <w:t xml:space="preserve"> </w:t>
                                  </w:r>
                                  <w:r>
                                    <w:rPr>
                                      <w:rFonts w:ascii="標楷體" w:eastAsia="標楷體" w:hAnsi="標楷體"/>
                                      <w:b/>
                                      <w:bCs/>
                                      <w:spacing w:val="-2"/>
                                    </w:rPr>
                                    <w:t xml:space="preserve"> </w:t>
                                  </w:r>
                                  <w:r w:rsidRPr="001A7C79">
                                    <w:rPr>
                                      <w:rFonts w:ascii="標楷體" w:eastAsia="標楷體" w:hAnsi="標楷體" w:hint="eastAsia"/>
                                      <w:b/>
                                      <w:bCs/>
                                      <w:spacing w:val="-2"/>
                                    </w:rPr>
                                    <w:t>4處</w:t>
                                  </w:r>
                                </w:p>
                              </w:tc>
                              <w:tc>
                                <w:tcPr>
                                  <w:tcW w:w="686" w:type="dxa"/>
                                  <w:vAlign w:val="center"/>
                                </w:tcPr>
                                <w:p w14:paraId="11CD340A" w14:textId="77777777" w:rsidR="00F1456A" w:rsidRPr="001A7C79" w:rsidRDefault="00F1456A" w:rsidP="00AC17BE">
                                  <w:pPr>
                                    <w:spacing w:line="240" w:lineRule="exact"/>
                                    <w:jc w:val="right"/>
                                    <w:rPr>
                                      <w:rFonts w:ascii="標楷體" w:eastAsia="標楷體" w:hAnsi="標楷體"/>
                                      <w:b/>
                                      <w:bCs/>
                                      <w:spacing w:val="-6"/>
                                    </w:rPr>
                                  </w:pPr>
                                  <w:r w:rsidRPr="001A7C79">
                                    <w:rPr>
                                      <w:rFonts w:ascii="標楷體" w:eastAsia="標楷體" w:hAnsi="標楷體" w:hint="eastAsia"/>
                                      <w:b/>
                                      <w:bCs/>
                                      <w:spacing w:val="-6"/>
                                    </w:rPr>
                                    <w:t>1</w:t>
                                  </w:r>
                                  <w:r w:rsidRPr="001A7C79">
                                    <w:rPr>
                                      <w:rFonts w:ascii="標楷體" w:eastAsia="標楷體" w:hAnsi="標楷體"/>
                                      <w:b/>
                                      <w:bCs/>
                                      <w:spacing w:val="-6"/>
                                    </w:rPr>
                                    <w:t>4</w:t>
                                  </w:r>
                                </w:p>
                              </w:tc>
                              <w:tc>
                                <w:tcPr>
                                  <w:tcW w:w="1190" w:type="dxa"/>
                                  <w:tcBorders>
                                    <w:bottom w:val="single" w:sz="4" w:space="0" w:color="auto"/>
                                    <w:tl2br w:val="single" w:sz="4" w:space="0" w:color="auto"/>
                                  </w:tcBorders>
                                  <w:vAlign w:val="center"/>
                                </w:tcPr>
                                <w:p w14:paraId="0852292C" w14:textId="77777777" w:rsidR="00F1456A" w:rsidRPr="003E0FC4" w:rsidRDefault="00F1456A" w:rsidP="00AC17BE">
                                  <w:pPr>
                                    <w:spacing w:line="240" w:lineRule="exact"/>
                                    <w:rPr>
                                      <w:rFonts w:ascii="標楷體" w:eastAsia="標楷體" w:hAnsi="標楷體"/>
                                      <w:spacing w:val="-6"/>
                                    </w:rPr>
                                  </w:pPr>
                                </w:p>
                              </w:tc>
                            </w:tr>
                            <w:tr w:rsidR="00F1456A" w:rsidRPr="0043736A" w14:paraId="5EB2EF34" w14:textId="77777777" w:rsidTr="001A7C79">
                              <w:trPr>
                                <w:trHeight w:hRule="exact" w:val="255"/>
                              </w:trPr>
                              <w:tc>
                                <w:tcPr>
                                  <w:tcW w:w="709" w:type="dxa"/>
                                  <w:vMerge/>
                                  <w:vAlign w:val="center"/>
                                </w:tcPr>
                                <w:p w14:paraId="13860D83" w14:textId="77777777" w:rsidR="00F1456A" w:rsidRPr="00AC17BE" w:rsidRDefault="00F1456A" w:rsidP="00AC17BE">
                                  <w:pPr>
                                    <w:spacing w:line="240" w:lineRule="exact"/>
                                    <w:rPr>
                                      <w:rFonts w:ascii="標楷體" w:eastAsia="標楷體" w:hAnsi="標楷體"/>
                                      <w:spacing w:val="-2"/>
                                      <w:kern w:val="16"/>
                                    </w:rPr>
                                  </w:pPr>
                                </w:p>
                              </w:tc>
                              <w:tc>
                                <w:tcPr>
                                  <w:tcW w:w="1708" w:type="dxa"/>
                                  <w:vAlign w:val="center"/>
                                </w:tcPr>
                                <w:p w14:paraId="18C11004"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1</w:t>
                                  </w:r>
                                  <w:r w:rsidRPr="00AC17BE">
                                    <w:rPr>
                                      <w:rFonts w:ascii="標楷體" w:eastAsia="標楷體" w:hAnsi="標楷體"/>
                                      <w:spacing w:val="-2"/>
                                    </w:rPr>
                                    <w:t>.</w:t>
                                  </w:r>
                                  <w:r w:rsidRPr="00AC17BE">
                                    <w:rPr>
                                      <w:rFonts w:ascii="標楷體" w:eastAsia="標楷體" w:hAnsi="標楷體" w:hint="eastAsia"/>
                                      <w:spacing w:val="-2"/>
                                    </w:rPr>
                                    <w:t>萬樂</w:t>
                                  </w:r>
                                  <w:r>
                                    <w:rPr>
                                      <w:rFonts w:ascii="標楷體" w:eastAsia="標楷體" w:hAnsi="標楷體" w:hint="eastAsia"/>
                                      <w:spacing w:val="-2"/>
                                    </w:rPr>
                                    <w:t>（</w:t>
                                  </w:r>
                                  <w:r w:rsidRPr="00AC17BE">
                                    <w:rPr>
                                      <w:rFonts w:ascii="標楷體" w:eastAsia="標楷體" w:hAnsi="標楷體" w:hint="eastAsia"/>
                                      <w:spacing w:val="-2"/>
                                    </w:rPr>
                                    <w:t>萬芳</w:t>
                                  </w:r>
                                  <w:r>
                                    <w:rPr>
                                      <w:rFonts w:ascii="標楷體" w:eastAsia="標楷體" w:hAnsi="標楷體" w:hint="eastAsia"/>
                                      <w:spacing w:val="-2"/>
                                    </w:rPr>
                                    <w:t>）</w:t>
                                  </w:r>
                                </w:p>
                              </w:tc>
                              <w:tc>
                                <w:tcPr>
                                  <w:tcW w:w="686" w:type="dxa"/>
                                  <w:vAlign w:val="center"/>
                                </w:tcPr>
                                <w:p w14:paraId="4190307C"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2</w:t>
                                  </w:r>
                                </w:p>
                              </w:tc>
                              <w:tc>
                                <w:tcPr>
                                  <w:tcW w:w="1190" w:type="dxa"/>
                                  <w:tcBorders>
                                    <w:tl2br w:val="nil"/>
                                  </w:tcBorders>
                                  <w:vAlign w:val="center"/>
                                </w:tcPr>
                                <w:p w14:paraId="53A0E661" w14:textId="77777777" w:rsidR="00F1456A" w:rsidRPr="003E0FC4" w:rsidRDefault="00F1456A" w:rsidP="00AC17BE">
                                  <w:pPr>
                                    <w:spacing w:line="240" w:lineRule="exact"/>
                                    <w:rPr>
                                      <w:rFonts w:ascii="標楷體" w:eastAsia="標楷體" w:hAnsi="標楷體"/>
                                      <w:spacing w:val="-6"/>
                                    </w:rPr>
                                  </w:pPr>
                                  <w:r w:rsidRPr="003E0FC4">
                                    <w:rPr>
                                      <w:rFonts w:ascii="標楷體" w:eastAsia="標楷體" w:hAnsi="標楷體"/>
                                      <w:spacing w:val="-6"/>
                                    </w:rPr>
                                    <w:t>12</w:t>
                                  </w:r>
                                  <w:r w:rsidRPr="003E0FC4">
                                    <w:rPr>
                                      <w:rFonts w:ascii="標楷體" w:eastAsia="標楷體" w:hAnsi="標楷體" w:hint="eastAsia"/>
                                      <w:spacing w:val="-6"/>
                                    </w:rPr>
                                    <w:t>至1</w:t>
                                  </w:r>
                                  <w:r w:rsidRPr="003E0FC4">
                                    <w:rPr>
                                      <w:rFonts w:ascii="標楷體" w:eastAsia="標楷體" w:hAnsi="標楷體"/>
                                      <w:spacing w:val="-6"/>
                                    </w:rPr>
                                    <w:t>3</w:t>
                                  </w:r>
                                </w:p>
                              </w:tc>
                            </w:tr>
                            <w:tr w:rsidR="00F1456A" w:rsidRPr="0043736A" w14:paraId="4FAB4BDC" w14:textId="77777777" w:rsidTr="001A7C79">
                              <w:trPr>
                                <w:trHeight w:hRule="exact" w:val="255"/>
                              </w:trPr>
                              <w:tc>
                                <w:tcPr>
                                  <w:tcW w:w="709" w:type="dxa"/>
                                  <w:vMerge/>
                                  <w:vAlign w:val="center"/>
                                </w:tcPr>
                                <w:p w14:paraId="118F812C" w14:textId="77777777" w:rsidR="00F1456A" w:rsidRPr="00AC17BE"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495B424F"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2</w:t>
                                  </w:r>
                                  <w:r w:rsidRPr="00AC17BE">
                                    <w:rPr>
                                      <w:rFonts w:ascii="標楷體" w:eastAsia="標楷體" w:hAnsi="標楷體"/>
                                      <w:spacing w:val="-2"/>
                                    </w:rPr>
                                    <w:t>.</w:t>
                                  </w:r>
                                  <w:r w:rsidRPr="00AC17BE">
                                    <w:rPr>
                                      <w:rFonts w:ascii="標楷體" w:eastAsia="標楷體" w:hAnsi="標楷體" w:hint="eastAsia"/>
                                      <w:spacing w:val="-2"/>
                                    </w:rPr>
                                    <w:t>四四東村C</w:t>
                                  </w:r>
                                </w:p>
                              </w:tc>
                              <w:tc>
                                <w:tcPr>
                                  <w:tcW w:w="686" w:type="dxa"/>
                                  <w:vAlign w:val="center"/>
                                </w:tcPr>
                                <w:p w14:paraId="4D0BBBEC"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3</w:t>
                                  </w:r>
                                </w:p>
                              </w:tc>
                              <w:tc>
                                <w:tcPr>
                                  <w:tcW w:w="1190" w:type="dxa"/>
                                  <w:vAlign w:val="center"/>
                                </w:tcPr>
                                <w:p w14:paraId="563523CD" w14:textId="77777777" w:rsidR="00F1456A" w:rsidRPr="003E0FC4" w:rsidRDefault="00F1456A" w:rsidP="00AC17BE">
                                  <w:pPr>
                                    <w:spacing w:line="240" w:lineRule="exact"/>
                                    <w:rPr>
                                      <w:rFonts w:ascii="標楷體" w:eastAsia="標楷體" w:hAnsi="標楷體"/>
                                      <w:spacing w:val="-6"/>
                                    </w:rPr>
                                  </w:pPr>
                                  <w:r w:rsidRPr="003E0FC4">
                                    <w:rPr>
                                      <w:rFonts w:ascii="標楷體" w:eastAsia="標楷體" w:hAnsi="標楷體"/>
                                      <w:spacing w:val="-6"/>
                                    </w:rPr>
                                    <w:t>14</w:t>
                                  </w:r>
                                  <w:r w:rsidRPr="003E0FC4">
                                    <w:rPr>
                                      <w:rFonts w:ascii="標楷體" w:eastAsia="標楷體" w:hAnsi="標楷體" w:hint="eastAsia"/>
                                      <w:spacing w:val="-6"/>
                                    </w:rPr>
                                    <w:t>至1</w:t>
                                  </w:r>
                                  <w:r w:rsidRPr="003E0FC4">
                                    <w:rPr>
                                      <w:rFonts w:ascii="標楷體" w:eastAsia="標楷體" w:hAnsi="標楷體"/>
                                      <w:spacing w:val="-6"/>
                                    </w:rPr>
                                    <w:t>6</w:t>
                                  </w:r>
                                </w:p>
                              </w:tc>
                            </w:tr>
                            <w:tr w:rsidR="00F1456A" w:rsidRPr="0043736A" w14:paraId="1900E0C8" w14:textId="77777777" w:rsidTr="001A7C79">
                              <w:trPr>
                                <w:trHeight w:hRule="exact" w:val="255"/>
                              </w:trPr>
                              <w:tc>
                                <w:tcPr>
                                  <w:tcW w:w="709" w:type="dxa"/>
                                  <w:vMerge/>
                                  <w:vAlign w:val="center"/>
                                </w:tcPr>
                                <w:p w14:paraId="798A0F56" w14:textId="77777777" w:rsidR="00F1456A" w:rsidRPr="00AC17BE"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407B3CF8"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3</w:t>
                                  </w:r>
                                  <w:r w:rsidRPr="00AC17BE">
                                    <w:rPr>
                                      <w:rFonts w:ascii="標楷體" w:eastAsia="標楷體" w:hAnsi="標楷體"/>
                                      <w:spacing w:val="-2"/>
                                    </w:rPr>
                                    <w:t>.</w:t>
                                  </w:r>
                                  <w:r w:rsidRPr="00AC17BE">
                                    <w:rPr>
                                      <w:rFonts w:ascii="標楷體" w:eastAsia="標楷體" w:hAnsi="標楷體" w:hint="eastAsia"/>
                                      <w:spacing w:val="-2"/>
                                    </w:rPr>
                                    <w:t>萬芳</w:t>
                                  </w:r>
                                  <w:r>
                                    <w:rPr>
                                      <w:rFonts w:ascii="標楷體" w:eastAsia="標楷體" w:hAnsi="標楷體" w:hint="eastAsia"/>
                                      <w:spacing w:val="-2"/>
                                    </w:rPr>
                                    <w:t>（</w:t>
                                  </w:r>
                                  <w:r w:rsidRPr="00AC17BE">
                                    <w:rPr>
                                      <w:rFonts w:ascii="標楷體" w:eastAsia="標楷體" w:hAnsi="標楷體" w:hint="eastAsia"/>
                                      <w:spacing w:val="-2"/>
                                    </w:rPr>
                                    <w:t>C</w:t>
                                  </w:r>
                                  <w:r>
                                    <w:rPr>
                                      <w:rFonts w:ascii="標楷體" w:eastAsia="標楷體" w:hAnsi="標楷體" w:hint="eastAsia"/>
                                      <w:spacing w:val="-2"/>
                                    </w:rPr>
                                    <w:t>）</w:t>
                                  </w:r>
                                </w:p>
                              </w:tc>
                              <w:tc>
                                <w:tcPr>
                                  <w:tcW w:w="686" w:type="dxa"/>
                                  <w:vAlign w:val="center"/>
                                </w:tcPr>
                                <w:p w14:paraId="52DED121"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6</w:t>
                                  </w:r>
                                </w:p>
                              </w:tc>
                              <w:tc>
                                <w:tcPr>
                                  <w:tcW w:w="1190" w:type="dxa"/>
                                  <w:vAlign w:val="center"/>
                                </w:tcPr>
                                <w:p w14:paraId="4909D36D"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2</w:t>
                                  </w:r>
                                  <w:r>
                                    <w:rPr>
                                      <w:rFonts w:ascii="標楷體" w:eastAsia="標楷體" w:hAnsi="標楷體"/>
                                      <w:spacing w:val="-6"/>
                                    </w:rPr>
                                    <w:t>1</w:t>
                                  </w:r>
                                </w:p>
                              </w:tc>
                            </w:tr>
                            <w:tr w:rsidR="00F1456A" w:rsidRPr="0043736A" w14:paraId="57DCCBC8" w14:textId="77777777" w:rsidTr="001A7C79">
                              <w:trPr>
                                <w:trHeight w:hRule="exact" w:val="255"/>
                              </w:trPr>
                              <w:tc>
                                <w:tcPr>
                                  <w:tcW w:w="709" w:type="dxa"/>
                                  <w:vMerge/>
                                  <w:vAlign w:val="center"/>
                                </w:tcPr>
                                <w:p w14:paraId="51BC0683" w14:textId="77777777" w:rsidR="00F1456A" w:rsidRPr="00AC17BE"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3552AFB9"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4</w:t>
                                  </w:r>
                                  <w:r w:rsidRPr="00AC17BE">
                                    <w:rPr>
                                      <w:rFonts w:ascii="標楷體" w:eastAsia="標楷體" w:hAnsi="標楷體"/>
                                      <w:spacing w:val="-2"/>
                                    </w:rPr>
                                    <w:t>.</w:t>
                                  </w:r>
                                  <w:r w:rsidRPr="00AC17BE">
                                    <w:rPr>
                                      <w:rFonts w:ascii="標楷體" w:eastAsia="標楷體" w:hAnsi="標楷體" w:hint="eastAsia"/>
                                      <w:spacing w:val="-2"/>
                                    </w:rPr>
                                    <w:t>萬芳社區中心</w:t>
                                  </w:r>
                                </w:p>
                              </w:tc>
                              <w:tc>
                                <w:tcPr>
                                  <w:tcW w:w="686" w:type="dxa"/>
                                  <w:vAlign w:val="center"/>
                                </w:tcPr>
                                <w:p w14:paraId="402C27C5"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3</w:t>
                                  </w:r>
                                </w:p>
                              </w:tc>
                              <w:tc>
                                <w:tcPr>
                                  <w:tcW w:w="1190" w:type="dxa"/>
                                  <w:vAlign w:val="center"/>
                                </w:tcPr>
                                <w:p w14:paraId="78FE890E" w14:textId="77777777" w:rsidR="00F1456A" w:rsidRPr="003E0FC4" w:rsidRDefault="00F1456A" w:rsidP="00AC17BE">
                                  <w:pPr>
                                    <w:spacing w:line="240" w:lineRule="exact"/>
                                    <w:rPr>
                                      <w:rFonts w:ascii="標楷體" w:eastAsia="標楷體" w:hAnsi="標楷體"/>
                                      <w:spacing w:val="-6"/>
                                    </w:rPr>
                                  </w:pPr>
                                  <w:r w:rsidRPr="003E0FC4">
                                    <w:rPr>
                                      <w:rFonts w:ascii="標楷體" w:eastAsia="標楷體" w:hAnsi="標楷體" w:hint="eastAsia"/>
                                      <w:spacing w:val="-10"/>
                                    </w:rPr>
                                    <w:t>1</w:t>
                                  </w:r>
                                  <w:r w:rsidRPr="003E0FC4">
                                    <w:rPr>
                                      <w:rFonts w:ascii="標楷體" w:eastAsia="標楷體" w:hAnsi="標楷體"/>
                                      <w:spacing w:val="-10"/>
                                    </w:rPr>
                                    <w:t>2</w:t>
                                  </w:r>
                                  <w:r w:rsidRPr="003E0FC4">
                                    <w:rPr>
                                      <w:rFonts w:ascii="標楷體" w:eastAsia="標楷體" w:hAnsi="標楷體" w:hint="eastAsia"/>
                                      <w:spacing w:val="-10"/>
                                    </w:rPr>
                                    <w:t>至1</w:t>
                                  </w:r>
                                  <w:r w:rsidRPr="003E0FC4">
                                    <w:rPr>
                                      <w:rFonts w:ascii="標楷體" w:eastAsia="標楷體" w:hAnsi="標楷體"/>
                                      <w:spacing w:val="-10"/>
                                    </w:rPr>
                                    <w:t>8</w:t>
                                  </w:r>
                                </w:p>
                              </w:tc>
                            </w:tr>
                          </w:tbl>
                          <w:p w14:paraId="4C828E7F" w14:textId="77777777" w:rsidR="00F1456A" w:rsidRPr="0043736A" w:rsidRDefault="00F1456A" w:rsidP="00F1456A">
                            <w:pPr>
                              <w:spacing w:beforeLines="10" w:before="36" w:line="220" w:lineRule="exact"/>
                              <w:rPr>
                                <w:sz w:val="18"/>
                                <w:szCs w:val="18"/>
                              </w:rPr>
                            </w:pPr>
                            <w:r w:rsidRPr="0043736A">
                              <w:rPr>
                                <w:rFonts w:ascii="標楷體" w:eastAsia="標楷體" w:hAnsi="標楷體" w:hint="eastAsia"/>
                                <w:sz w:val="18"/>
                                <w:szCs w:val="18"/>
                              </w:rPr>
                              <w:t>資料來源：整理自都市發展局提供資料。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983408" id="文字方塊 52" o:spid="_x0000_s1128" type="#_x0000_t202" style="position:absolute;left:0;text-align:left;margin-left:272.25pt;margin-top:29.25pt;width:225pt;height:303.2pt;z-index:251822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" stroked="f">
                <v:textbox>
                  <w:txbxContent>
                    <w:p w14:paraId="4D267CF1" w14:textId="77777777" w:rsidR="00F1456A" w:rsidRDefault="00F1456A" w:rsidP="00F1456A">
                      <w:pPr>
                        <w:spacing w:line="260" w:lineRule="exact"/>
                        <w:ind w:left="661" w:hangingChars="275" w:hanging="661"/>
                        <w:jc w:val="both"/>
                        <w:rPr>
                          <w:rFonts w:ascii="標楷體" w:eastAsia="標楷體" w:hAnsi="標楷體" w:cs="新細明體"/>
                          <w:b/>
                          <w:kern w:val="0"/>
                        </w:rPr>
                      </w:pPr>
                      <w:r>
                        <w:rPr>
                          <w:rFonts w:ascii="標楷體" w:eastAsia="標楷體" w:hAnsi="標楷體" w:cs="新細明體" w:hint="eastAsia"/>
                          <w:b/>
                          <w:kern w:val="0"/>
                        </w:rPr>
                        <w:t xml:space="preserve">表1  </w:t>
                      </w:r>
                      <w:proofErr w:type="gramStart"/>
                      <w:r w:rsidRPr="00AC17BE">
                        <w:rPr>
                          <w:rFonts w:ascii="標楷體" w:eastAsia="標楷體" w:hAnsi="標楷體" w:cs="新細明體" w:hint="eastAsia"/>
                          <w:b/>
                          <w:spacing w:val="-2"/>
                          <w:kern w:val="0"/>
                        </w:rPr>
                        <w:t>社宅及</w:t>
                      </w:r>
                      <w:proofErr w:type="gramEnd"/>
                      <w:r w:rsidRPr="00AC17BE">
                        <w:rPr>
                          <w:rFonts w:ascii="標楷體" w:eastAsia="標楷體" w:hAnsi="標楷體" w:cs="新細明體" w:hint="eastAsia"/>
                          <w:b/>
                          <w:spacing w:val="-2"/>
                          <w:kern w:val="0"/>
                        </w:rPr>
                        <w:t>國宅1</w:t>
                      </w:r>
                      <w:r w:rsidRPr="00AC17BE">
                        <w:rPr>
                          <w:rFonts w:ascii="標楷體" w:eastAsia="標楷體" w:hAnsi="標楷體" w:cs="新細明體"/>
                          <w:b/>
                          <w:spacing w:val="-2"/>
                          <w:kern w:val="0"/>
                        </w:rPr>
                        <w:t>12</w:t>
                      </w:r>
                      <w:r w:rsidRPr="00AC17BE">
                        <w:rPr>
                          <w:rFonts w:ascii="標楷體" w:eastAsia="標楷體" w:hAnsi="標楷體" w:cs="新細明體" w:hint="eastAsia"/>
                          <w:b/>
                          <w:spacing w:val="-2"/>
                          <w:kern w:val="0"/>
                        </w:rPr>
                        <w:t>及1</w:t>
                      </w:r>
                      <w:r w:rsidRPr="00AC17BE">
                        <w:rPr>
                          <w:rFonts w:ascii="標楷體" w:eastAsia="標楷體" w:hAnsi="標楷體" w:cs="新細明體"/>
                          <w:b/>
                          <w:spacing w:val="-2"/>
                          <w:kern w:val="0"/>
                        </w:rPr>
                        <w:t>13</w:t>
                      </w:r>
                      <w:r w:rsidRPr="00AC17BE">
                        <w:rPr>
                          <w:rFonts w:ascii="標楷體" w:eastAsia="標楷體" w:hAnsi="標楷體" w:cs="新細明體" w:hint="eastAsia"/>
                          <w:b/>
                          <w:spacing w:val="-2"/>
                          <w:kern w:val="0"/>
                        </w:rPr>
                        <w:t>年空置期間合計達1</w:t>
                      </w:r>
                      <w:r w:rsidRPr="00AC17BE">
                        <w:rPr>
                          <w:rFonts w:ascii="標楷體" w:eastAsia="標楷體" w:hAnsi="標楷體" w:cs="新細明體"/>
                          <w:b/>
                          <w:spacing w:val="-2"/>
                          <w:kern w:val="0"/>
                        </w:rPr>
                        <w:t>2</w:t>
                      </w:r>
                      <w:r w:rsidRPr="00AC17BE">
                        <w:rPr>
                          <w:rFonts w:ascii="標楷體" w:eastAsia="標楷體" w:hAnsi="標楷體" w:cs="新細明體" w:hint="eastAsia"/>
                          <w:b/>
                          <w:spacing w:val="-2"/>
                          <w:kern w:val="0"/>
                        </w:rPr>
                        <w:t>個月</w:t>
                      </w:r>
                      <w:r>
                        <w:rPr>
                          <w:rFonts w:ascii="標楷體" w:eastAsia="標楷體" w:hAnsi="標楷體" w:cs="新細明體" w:hint="eastAsia"/>
                          <w:b/>
                          <w:spacing w:val="-2"/>
                          <w:kern w:val="0"/>
                        </w:rPr>
                        <w:t>（</w:t>
                      </w:r>
                      <w:r w:rsidRPr="00AC17BE">
                        <w:rPr>
                          <w:rFonts w:ascii="標楷體" w:eastAsia="標楷體" w:hAnsi="標楷體" w:cs="新細明體" w:hint="eastAsia"/>
                          <w:b/>
                          <w:spacing w:val="-2"/>
                          <w:kern w:val="0"/>
                        </w:rPr>
                        <w:t>含</w:t>
                      </w:r>
                      <w:r>
                        <w:rPr>
                          <w:rFonts w:ascii="標楷體" w:eastAsia="標楷體" w:hAnsi="標楷體" w:cs="新細明體" w:hint="eastAsia"/>
                          <w:b/>
                          <w:spacing w:val="-2"/>
                          <w:kern w:val="0"/>
                        </w:rPr>
                        <w:t>）</w:t>
                      </w:r>
                      <w:r w:rsidRPr="00AC17BE">
                        <w:rPr>
                          <w:rFonts w:ascii="標楷體" w:eastAsia="標楷體" w:hAnsi="標楷體" w:cs="新細明體" w:hint="eastAsia"/>
                          <w:b/>
                          <w:spacing w:val="-2"/>
                          <w:kern w:val="0"/>
                        </w:rPr>
                        <w:t>之空戶統計</w:t>
                      </w:r>
                    </w:p>
                    <w:p w14:paraId="5894148C" w14:textId="77777777" w:rsidR="00F1456A" w:rsidRDefault="00F1456A" w:rsidP="005D009F">
                      <w:pPr>
                        <w:spacing w:afterLines="10" w:after="36" w:line="240" w:lineRule="exact"/>
                        <w:ind w:rightChars="-18" w:right="-43"/>
                        <w:jc w:val="right"/>
                        <w:rPr>
                          <w:rFonts w:ascii="標楷體" w:eastAsia="標楷體" w:hAnsi="標楷體" w:cs="新細明體"/>
                          <w:kern w:val="0"/>
                          <w:sz w:val="20"/>
                        </w:rPr>
                      </w:pPr>
                      <w:r>
                        <w:rPr>
                          <w:rFonts w:ascii="標楷體" w:eastAsia="標楷體" w:hAnsi="標楷體" w:cs="新細明體" w:hint="eastAsia"/>
                          <w:kern w:val="0"/>
                          <w:sz w:val="20"/>
                        </w:rPr>
                        <w:t>單位：戶、月數</w:t>
                      </w:r>
                    </w:p>
                    <w:tbl>
                      <w:tblPr>
                        <w:tblStyle w:val="a6"/>
                        <w:tblW w:w="4293" w:type="dxa"/>
                        <w:tblLayout w:type="fixed"/>
                        <w:tblLook w:val="04A0" w:firstRow="1" w:lastRow="0" w:firstColumn="1" w:lastColumn="0" w:noHBand="0" w:noVBand="1"/>
                      </w:tblPr>
                      <w:tblGrid>
                        <w:gridCol w:w="709"/>
                        <w:gridCol w:w="1708"/>
                        <w:gridCol w:w="686"/>
                        <w:gridCol w:w="1190"/>
                      </w:tblGrid>
                      <w:tr w:rsidR="00F1456A" w:rsidRPr="0043736A" w14:paraId="22672AFD" w14:textId="77777777" w:rsidTr="001A7C79">
                        <w:trPr>
                          <w:trHeight w:hRule="exact" w:val="255"/>
                        </w:trPr>
                        <w:tc>
                          <w:tcPr>
                            <w:tcW w:w="709" w:type="dxa"/>
                            <w:vMerge w:val="restart"/>
                            <w:vAlign w:val="center"/>
                            <w:hideMark/>
                          </w:tcPr>
                          <w:p w14:paraId="43E52762" w14:textId="77777777" w:rsidR="00F1456A" w:rsidRPr="001A7C79" w:rsidRDefault="00F1456A" w:rsidP="001A7C79">
                            <w:pPr>
                              <w:spacing w:line="240" w:lineRule="exact"/>
                              <w:jc w:val="center"/>
                              <w:rPr>
                                <w:rFonts w:ascii="標楷體" w:eastAsia="標楷體" w:hAnsi="標楷體"/>
                              </w:rPr>
                            </w:pPr>
                            <w:r w:rsidRPr="001A7C79">
                              <w:rPr>
                                <w:rFonts w:ascii="標楷體" w:eastAsia="標楷體" w:hAnsi="標楷體" w:hint="eastAsia"/>
                              </w:rPr>
                              <w:t>類別</w:t>
                            </w:r>
                          </w:p>
                        </w:tc>
                        <w:tc>
                          <w:tcPr>
                            <w:tcW w:w="3584" w:type="dxa"/>
                            <w:gridSpan w:val="3"/>
                            <w:vAlign w:val="center"/>
                          </w:tcPr>
                          <w:p w14:paraId="4924C35A" w14:textId="77777777" w:rsidR="00F1456A" w:rsidRPr="001A7C79" w:rsidRDefault="00F1456A" w:rsidP="001A7C79">
                            <w:pPr>
                              <w:spacing w:line="240" w:lineRule="exact"/>
                              <w:ind w:rightChars="-50" w:right="-120"/>
                              <w:jc w:val="center"/>
                              <w:rPr>
                                <w:rFonts w:ascii="標楷體" w:eastAsia="標楷體" w:hAnsi="標楷體"/>
                              </w:rPr>
                            </w:pPr>
                            <w:r w:rsidRPr="001A7C79">
                              <w:rPr>
                                <w:rFonts w:ascii="標楷體" w:eastAsia="標楷體" w:hAnsi="標楷體" w:hint="eastAsia"/>
                              </w:rPr>
                              <w:t>空置情形</w:t>
                            </w:r>
                          </w:p>
                        </w:tc>
                      </w:tr>
                      <w:tr w:rsidR="00F1456A" w:rsidRPr="0043736A" w14:paraId="09213FE9" w14:textId="77777777" w:rsidTr="001A7C79">
                        <w:trPr>
                          <w:trHeight w:hRule="exact" w:val="255"/>
                        </w:trPr>
                        <w:tc>
                          <w:tcPr>
                            <w:tcW w:w="709" w:type="dxa"/>
                            <w:vMerge/>
                            <w:vAlign w:val="center"/>
                          </w:tcPr>
                          <w:p w14:paraId="6AE8F6D6" w14:textId="77777777" w:rsidR="00F1456A" w:rsidRPr="001A7C79" w:rsidRDefault="00F1456A" w:rsidP="001A7C79">
                            <w:pPr>
                              <w:spacing w:line="240" w:lineRule="exact"/>
                              <w:ind w:rightChars="-20" w:right="-48"/>
                              <w:jc w:val="center"/>
                              <w:rPr>
                                <w:rFonts w:ascii="標楷體" w:eastAsia="標楷體" w:hAnsi="標楷體"/>
                                <w:kern w:val="16"/>
                              </w:rPr>
                            </w:pPr>
                          </w:p>
                        </w:tc>
                        <w:tc>
                          <w:tcPr>
                            <w:tcW w:w="1708" w:type="dxa"/>
                            <w:vAlign w:val="center"/>
                          </w:tcPr>
                          <w:p w14:paraId="06526229" w14:textId="77777777" w:rsidR="00F1456A" w:rsidRPr="001A7C79" w:rsidRDefault="00F1456A" w:rsidP="001A7C79">
                            <w:pPr>
                              <w:spacing w:line="240" w:lineRule="exact"/>
                              <w:jc w:val="center"/>
                              <w:rPr>
                                <w:rFonts w:ascii="標楷體" w:eastAsia="標楷體" w:hAnsi="標楷體"/>
                              </w:rPr>
                            </w:pPr>
                            <w:r w:rsidRPr="001A7C79">
                              <w:rPr>
                                <w:rFonts w:ascii="標楷體" w:eastAsia="標楷體" w:hAnsi="標楷體" w:hint="eastAsia"/>
                              </w:rPr>
                              <w:t>案</w:t>
                            </w:r>
                            <w:r>
                              <w:rPr>
                                <w:rFonts w:ascii="標楷體" w:eastAsia="標楷體" w:hAnsi="標楷體" w:hint="eastAsia"/>
                              </w:rPr>
                              <w:t xml:space="preserve"> </w:t>
                            </w:r>
                            <w:r w:rsidRPr="001A7C79">
                              <w:rPr>
                                <w:rFonts w:ascii="標楷體" w:eastAsia="標楷體" w:hAnsi="標楷體" w:hint="eastAsia"/>
                              </w:rPr>
                              <w:t>名</w:t>
                            </w:r>
                          </w:p>
                        </w:tc>
                        <w:tc>
                          <w:tcPr>
                            <w:tcW w:w="686" w:type="dxa"/>
                            <w:vAlign w:val="center"/>
                          </w:tcPr>
                          <w:p w14:paraId="218C8075" w14:textId="77777777" w:rsidR="00F1456A" w:rsidRPr="001A7C79" w:rsidRDefault="00F1456A" w:rsidP="001A7C79">
                            <w:pPr>
                              <w:spacing w:line="240" w:lineRule="exact"/>
                              <w:jc w:val="center"/>
                              <w:rPr>
                                <w:rFonts w:ascii="標楷體" w:eastAsia="標楷體" w:hAnsi="標楷體"/>
                              </w:rPr>
                            </w:pPr>
                            <w:r w:rsidRPr="001A7C79">
                              <w:rPr>
                                <w:rFonts w:ascii="標楷體" w:eastAsia="標楷體" w:hAnsi="標楷體" w:hint="eastAsia"/>
                              </w:rPr>
                              <w:t>戶數</w:t>
                            </w:r>
                          </w:p>
                        </w:tc>
                        <w:tc>
                          <w:tcPr>
                            <w:tcW w:w="1190" w:type="dxa"/>
                            <w:tcBorders>
                              <w:bottom w:val="single" w:sz="4" w:space="0" w:color="auto"/>
                            </w:tcBorders>
                            <w:vAlign w:val="center"/>
                          </w:tcPr>
                          <w:p w14:paraId="2628DFDF" w14:textId="77777777" w:rsidR="00F1456A" w:rsidRPr="001A7C79" w:rsidRDefault="00F1456A" w:rsidP="001A7C79">
                            <w:pPr>
                              <w:spacing w:line="240" w:lineRule="exact"/>
                              <w:jc w:val="center"/>
                              <w:rPr>
                                <w:rFonts w:ascii="標楷體" w:eastAsia="標楷體" w:hAnsi="標楷體"/>
                              </w:rPr>
                            </w:pPr>
                            <w:r w:rsidRPr="001A7C79">
                              <w:rPr>
                                <w:rFonts w:ascii="標楷體" w:eastAsia="標楷體" w:hAnsi="標楷體" w:hint="eastAsia"/>
                              </w:rPr>
                              <w:t>期</w:t>
                            </w:r>
                            <w:r>
                              <w:rPr>
                                <w:rFonts w:ascii="標楷體" w:eastAsia="標楷體" w:hAnsi="標楷體" w:hint="eastAsia"/>
                              </w:rPr>
                              <w:t xml:space="preserve"> </w:t>
                            </w:r>
                            <w:r w:rsidRPr="001A7C79">
                              <w:rPr>
                                <w:rFonts w:ascii="標楷體" w:eastAsia="標楷體" w:hAnsi="標楷體" w:hint="eastAsia"/>
                              </w:rPr>
                              <w:t>間</w:t>
                            </w:r>
                          </w:p>
                        </w:tc>
                      </w:tr>
                      <w:tr w:rsidR="00F1456A" w:rsidRPr="0043736A" w14:paraId="77C3DDBD" w14:textId="77777777" w:rsidTr="001A7C79">
                        <w:trPr>
                          <w:trHeight w:hRule="exact" w:val="255"/>
                        </w:trPr>
                        <w:tc>
                          <w:tcPr>
                            <w:tcW w:w="709" w:type="dxa"/>
                            <w:vMerge w:val="restart"/>
                          </w:tcPr>
                          <w:p w14:paraId="5B9D9593" w14:textId="77777777" w:rsidR="00F1456A" w:rsidRPr="001A7C79" w:rsidRDefault="00F1456A" w:rsidP="00AC17BE">
                            <w:pPr>
                              <w:spacing w:line="240" w:lineRule="exact"/>
                              <w:rPr>
                                <w:rFonts w:ascii="標楷體" w:eastAsia="標楷體" w:hAnsi="標楷體"/>
                                <w:spacing w:val="-2"/>
                              </w:rPr>
                            </w:pPr>
                            <w:proofErr w:type="gramStart"/>
                            <w:r w:rsidRPr="001A7C79">
                              <w:rPr>
                                <w:rFonts w:ascii="標楷體" w:eastAsia="標楷體" w:hAnsi="標楷體" w:hint="eastAsia"/>
                                <w:spacing w:val="-2"/>
                                <w:kern w:val="16"/>
                              </w:rPr>
                              <w:t>社宅</w:t>
                            </w:r>
                            <w:proofErr w:type="gramEnd"/>
                          </w:p>
                        </w:tc>
                        <w:tc>
                          <w:tcPr>
                            <w:tcW w:w="1708" w:type="dxa"/>
                            <w:vAlign w:val="center"/>
                          </w:tcPr>
                          <w:p w14:paraId="478010A1" w14:textId="77777777" w:rsidR="00F1456A" w:rsidRPr="001A7C79" w:rsidRDefault="00F1456A" w:rsidP="004B3529">
                            <w:pPr>
                              <w:spacing w:line="240" w:lineRule="exact"/>
                              <w:rPr>
                                <w:rFonts w:ascii="標楷體" w:eastAsia="標楷體" w:hAnsi="標楷體"/>
                                <w:b/>
                                <w:bCs/>
                                <w:spacing w:val="-2"/>
                              </w:rPr>
                            </w:pPr>
                            <w:r w:rsidRPr="001A7C79">
                              <w:rPr>
                                <w:rFonts w:ascii="標楷體" w:eastAsia="標楷體" w:hAnsi="標楷體" w:hint="eastAsia"/>
                                <w:b/>
                                <w:bCs/>
                                <w:spacing w:val="-2"/>
                              </w:rPr>
                              <w:t>合計</w:t>
                            </w:r>
                            <w:r>
                              <w:rPr>
                                <w:rFonts w:ascii="標楷體" w:eastAsia="標楷體" w:hAnsi="標楷體" w:hint="eastAsia"/>
                                <w:b/>
                                <w:bCs/>
                                <w:spacing w:val="-2"/>
                              </w:rPr>
                              <w:t xml:space="preserve"> </w:t>
                            </w:r>
                            <w:r>
                              <w:rPr>
                                <w:rFonts w:ascii="標楷體" w:eastAsia="標楷體" w:hAnsi="標楷體"/>
                                <w:b/>
                                <w:bCs/>
                                <w:spacing w:val="-2"/>
                              </w:rPr>
                              <w:t xml:space="preserve"> </w:t>
                            </w:r>
                            <w:r w:rsidRPr="001A7C79">
                              <w:rPr>
                                <w:rFonts w:ascii="標楷體" w:eastAsia="標楷體" w:hAnsi="標楷體" w:hint="eastAsia"/>
                                <w:b/>
                                <w:bCs/>
                                <w:spacing w:val="-2"/>
                              </w:rPr>
                              <w:t>1</w:t>
                            </w:r>
                            <w:r w:rsidRPr="001A7C79">
                              <w:rPr>
                                <w:rFonts w:ascii="標楷體" w:eastAsia="標楷體" w:hAnsi="標楷體"/>
                                <w:b/>
                                <w:bCs/>
                                <w:spacing w:val="-2"/>
                              </w:rPr>
                              <w:t>1</w:t>
                            </w:r>
                            <w:r w:rsidRPr="001A7C79">
                              <w:rPr>
                                <w:rFonts w:ascii="標楷體" w:eastAsia="標楷體" w:hAnsi="標楷體" w:hint="eastAsia"/>
                                <w:b/>
                                <w:bCs/>
                                <w:spacing w:val="-2"/>
                              </w:rPr>
                              <w:t>處</w:t>
                            </w:r>
                          </w:p>
                        </w:tc>
                        <w:tc>
                          <w:tcPr>
                            <w:tcW w:w="686" w:type="dxa"/>
                            <w:vAlign w:val="center"/>
                          </w:tcPr>
                          <w:p w14:paraId="170ABD5E" w14:textId="77777777" w:rsidR="00F1456A" w:rsidRPr="001A7C79" w:rsidRDefault="00F1456A" w:rsidP="00AC17BE">
                            <w:pPr>
                              <w:spacing w:line="240" w:lineRule="exact"/>
                              <w:jc w:val="right"/>
                              <w:rPr>
                                <w:rFonts w:ascii="標楷體" w:eastAsia="標楷體" w:hAnsi="標楷體"/>
                                <w:b/>
                                <w:bCs/>
                                <w:spacing w:val="-6"/>
                              </w:rPr>
                            </w:pPr>
                            <w:r w:rsidRPr="001A7C79">
                              <w:rPr>
                                <w:rFonts w:ascii="標楷體" w:eastAsia="標楷體" w:hAnsi="標楷體" w:hint="eastAsia"/>
                                <w:b/>
                                <w:bCs/>
                                <w:spacing w:val="-6"/>
                              </w:rPr>
                              <w:t>2</w:t>
                            </w:r>
                            <w:r w:rsidRPr="001A7C79">
                              <w:rPr>
                                <w:rFonts w:ascii="標楷體" w:eastAsia="標楷體" w:hAnsi="標楷體"/>
                                <w:b/>
                                <w:bCs/>
                                <w:spacing w:val="-6"/>
                              </w:rPr>
                              <w:t>7</w:t>
                            </w:r>
                          </w:p>
                        </w:tc>
                        <w:tc>
                          <w:tcPr>
                            <w:tcW w:w="1190" w:type="dxa"/>
                            <w:tcBorders>
                              <w:bottom w:val="single" w:sz="4" w:space="0" w:color="auto"/>
                              <w:tl2br w:val="single" w:sz="4" w:space="0" w:color="auto"/>
                            </w:tcBorders>
                            <w:vAlign w:val="center"/>
                          </w:tcPr>
                          <w:p w14:paraId="120F8090" w14:textId="77777777" w:rsidR="00F1456A" w:rsidRPr="003E0FC4" w:rsidRDefault="00F1456A" w:rsidP="00AC17BE">
                            <w:pPr>
                              <w:spacing w:line="240" w:lineRule="exact"/>
                              <w:rPr>
                                <w:rFonts w:ascii="標楷體" w:eastAsia="標楷體" w:hAnsi="標楷體"/>
                                <w:spacing w:val="-6"/>
                              </w:rPr>
                            </w:pPr>
                          </w:p>
                        </w:tc>
                      </w:tr>
                      <w:tr w:rsidR="00F1456A" w:rsidRPr="0043736A" w14:paraId="79F726CD" w14:textId="77777777" w:rsidTr="001A7C79">
                        <w:trPr>
                          <w:trHeight w:hRule="exact" w:val="255"/>
                        </w:trPr>
                        <w:tc>
                          <w:tcPr>
                            <w:tcW w:w="709" w:type="dxa"/>
                            <w:vMerge/>
                          </w:tcPr>
                          <w:p w14:paraId="301E9C2A"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2159BE84"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1</w:t>
                            </w:r>
                            <w:r w:rsidRPr="00AC17BE">
                              <w:rPr>
                                <w:rFonts w:ascii="標楷體" w:eastAsia="標楷體" w:hAnsi="標楷體"/>
                                <w:spacing w:val="-2"/>
                              </w:rPr>
                              <w:t>.</w:t>
                            </w:r>
                            <w:r w:rsidRPr="00AC17BE">
                              <w:rPr>
                                <w:rFonts w:ascii="標楷體" w:eastAsia="標楷體" w:hAnsi="標楷體" w:hint="eastAsia"/>
                                <w:spacing w:val="-2"/>
                              </w:rPr>
                              <w:t>行善</w:t>
                            </w:r>
                          </w:p>
                        </w:tc>
                        <w:tc>
                          <w:tcPr>
                            <w:tcW w:w="686" w:type="dxa"/>
                            <w:vAlign w:val="center"/>
                          </w:tcPr>
                          <w:p w14:paraId="0AEE9DD5"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7</w:t>
                            </w:r>
                          </w:p>
                        </w:tc>
                        <w:tc>
                          <w:tcPr>
                            <w:tcW w:w="1190" w:type="dxa"/>
                            <w:tcBorders>
                              <w:tl2br w:val="nil"/>
                            </w:tcBorders>
                            <w:vAlign w:val="center"/>
                          </w:tcPr>
                          <w:p w14:paraId="7F29999D" w14:textId="77777777" w:rsidR="00F1456A" w:rsidRPr="003E0FC4" w:rsidRDefault="00F1456A" w:rsidP="00AC17BE">
                            <w:pPr>
                              <w:spacing w:line="240" w:lineRule="exact"/>
                              <w:rPr>
                                <w:rFonts w:ascii="標楷體" w:eastAsia="標楷體" w:hAnsi="標楷體"/>
                                <w:spacing w:val="-6"/>
                              </w:rPr>
                            </w:pPr>
                            <w:bookmarkStart w:id="90" w:name="_Hlk200010619"/>
                            <w:r w:rsidRPr="003E0FC4">
                              <w:rPr>
                                <w:rFonts w:ascii="標楷體" w:eastAsia="標楷體" w:hAnsi="標楷體"/>
                                <w:spacing w:val="-6"/>
                              </w:rPr>
                              <w:t>13</w:t>
                            </w:r>
                            <w:r w:rsidRPr="003E0FC4">
                              <w:rPr>
                                <w:rFonts w:ascii="標楷體" w:eastAsia="標楷體" w:hAnsi="標楷體" w:hint="eastAsia"/>
                                <w:spacing w:val="-6"/>
                              </w:rPr>
                              <w:t>至21</w:t>
                            </w:r>
                            <w:bookmarkEnd w:id="90"/>
                          </w:p>
                        </w:tc>
                      </w:tr>
                      <w:tr w:rsidR="00F1456A" w:rsidRPr="0043736A" w14:paraId="51F30F7D" w14:textId="77777777" w:rsidTr="001A7C79">
                        <w:trPr>
                          <w:trHeight w:hRule="exact" w:val="255"/>
                        </w:trPr>
                        <w:tc>
                          <w:tcPr>
                            <w:tcW w:w="709" w:type="dxa"/>
                            <w:vMerge/>
                          </w:tcPr>
                          <w:p w14:paraId="19986F9A"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07FE146E"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2</w:t>
                            </w:r>
                            <w:r w:rsidRPr="00AC17BE">
                              <w:rPr>
                                <w:rFonts w:ascii="標楷體" w:eastAsia="標楷體" w:hAnsi="標楷體"/>
                                <w:spacing w:val="-2"/>
                              </w:rPr>
                              <w:t>.</w:t>
                            </w:r>
                            <w:r w:rsidRPr="00AC17BE">
                              <w:rPr>
                                <w:rFonts w:ascii="標楷體" w:eastAsia="標楷體" w:hAnsi="標楷體" w:hint="eastAsia"/>
                                <w:spacing w:val="-2"/>
                              </w:rPr>
                              <w:t>明倫</w:t>
                            </w:r>
                          </w:p>
                        </w:tc>
                        <w:tc>
                          <w:tcPr>
                            <w:tcW w:w="686" w:type="dxa"/>
                            <w:vAlign w:val="center"/>
                          </w:tcPr>
                          <w:p w14:paraId="39627D41"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126BF06C"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2</w:t>
                            </w:r>
                          </w:p>
                        </w:tc>
                      </w:tr>
                      <w:tr w:rsidR="00F1456A" w:rsidRPr="0043736A" w14:paraId="5E35864D" w14:textId="77777777" w:rsidTr="001A7C79">
                        <w:trPr>
                          <w:trHeight w:hRule="exact" w:val="255"/>
                        </w:trPr>
                        <w:tc>
                          <w:tcPr>
                            <w:tcW w:w="709" w:type="dxa"/>
                            <w:vMerge/>
                          </w:tcPr>
                          <w:p w14:paraId="74A60759"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2074D27A"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3</w:t>
                            </w:r>
                            <w:r w:rsidRPr="00AC17BE">
                              <w:rPr>
                                <w:rFonts w:ascii="標楷體" w:eastAsia="標楷體" w:hAnsi="標楷體"/>
                                <w:spacing w:val="-2"/>
                              </w:rPr>
                              <w:t>.</w:t>
                            </w:r>
                            <w:r w:rsidRPr="00AC17BE">
                              <w:rPr>
                                <w:rFonts w:ascii="標楷體" w:eastAsia="標楷體" w:hAnsi="標楷體" w:hint="eastAsia"/>
                                <w:spacing w:val="-2"/>
                              </w:rPr>
                              <w:t>東明</w:t>
                            </w:r>
                          </w:p>
                        </w:tc>
                        <w:tc>
                          <w:tcPr>
                            <w:tcW w:w="686" w:type="dxa"/>
                            <w:vAlign w:val="center"/>
                          </w:tcPr>
                          <w:p w14:paraId="3CBB5096"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6</w:t>
                            </w:r>
                          </w:p>
                        </w:tc>
                        <w:tc>
                          <w:tcPr>
                            <w:tcW w:w="1190" w:type="dxa"/>
                            <w:vAlign w:val="center"/>
                          </w:tcPr>
                          <w:p w14:paraId="790F6228"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2</w:t>
                            </w:r>
                            <w:r>
                              <w:rPr>
                                <w:rFonts w:ascii="標楷體" w:eastAsia="標楷體" w:hAnsi="標楷體" w:hint="eastAsia"/>
                                <w:spacing w:val="-6"/>
                              </w:rPr>
                              <w:t>至1</w:t>
                            </w:r>
                            <w:r>
                              <w:rPr>
                                <w:rFonts w:ascii="標楷體" w:eastAsia="標楷體" w:hAnsi="標楷體"/>
                                <w:spacing w:val="-6"/>
                              </w:rPr>
                              <w:t>5</w:t>
                            </w:r>
                          </w:p>
                        </w:tc>
                      </w:tr>
                      <w:tr w:rsidR="00F1456A" w:rsidRPr="0043736A" w14:paraId="7148F770" w14:textId="77777777" w:rsidTr="001A7C79">
                        <w:trPr>
                          <w:trHeight w:hRule="exact" w:val="255"/>
                        </w:trPr>
                        <w:tc>
                          <w:tcPr>
                            <w:tcW w:w="709" w:type="dxa"/>
                            <w:vMerge/>
                          </w:tcPr>
                          <w:p w14:paraId="466E15DC"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08496341"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4</w:t>
                            </w:r>
                            <w:r w:rsidRPr="00AC17BE">
                              <w:rPr>
                                <w:rFonts w:ascii="標楷體" w:eastAsia="標楷體" w:hAnsi="標楷體"/>
                                <w:spacing w:val="-2"/>
                              </w:rPr>
                              <w:t>.</w:t>
                            </w:r>
                            <w:r w:rsidRPr="00AC17BE">
                              <w:rPr>
                                <w:rFonts w:ascii="標楷體" w:eastAsia="標楷體" w:hAnsi="標楷體" w:hint="eastAsia"/>
                                <w:spacing w:val="-2"/>
                              </w:rPr>
                              <w:t>青年</w:t>
                            </w:r>
                          </w:p>
                        </w:tc>
                        <w:tc>
                          <w:tcPr>
                            <w:tcW w:w="686" w:type="dxa"/>
                            <w:vAlign w:val="center"/>
                          </w:tcPr>
                          <w:p w14:paraId="02716F49"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54C6FF9C"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8</w:t>
                            </w:r>
                          </w:p>
                        </w:tc>
                      </w:tr>
                      <w:tr w:rsidR="00F1456A" w:rsidRPr="0043736A" w14:paraId="62F1FF22" w14:textId="77777777" w:rsidTr="001A7C79">
                        <w:trPr>
                          <w:trHeight w:hRule="exact" w:val="255"/>
                        </w:trPr>
                        <w:tc>
                          <w:tcPr>
                            <w:tcW w:w="709" w:type="dxa"/>
                            <w:vMerge/>
                          </w:tcPr>
                          <w:p w14:paraId="17496685"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75EEC645"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5</w:t>
                            </w:r>
                            <w:r w:rsidRPr="00AC17BE">
                              <w:rPr>
                                <w:rFonts w:ascii="標楷體" w:eastAsia="標楷體" w:hAnsi="標楷體"/>
                                <w:spacing w:val="-2"/>
                              </w:rPr>
                              <w:t>.</w:t>
                            </w:r>
                            <w:r w:rsidRPr="00AC17BE">
                              <w:rPr>
                                <w:rFonts w:ascii="標楷體" w:eastAsia="標楷體" w:hAnsi="標楷體" w:hint="eastAsia"/>
                                <w:spacing w:val="-2"/>
                              </w:rPr>
                              <w:t>洲美</w:t>
                            </w:r>
                          </w:p>
                        </w:tc>
                        <w:tc>
                          <w:tcPr>
                            <w:tcW w:w="686" w:type="dxa"/>
                            <w:vAlign w:val="center"/>
                          </w:tcPr>
                          <w:p w14:paraId="6439299E"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2</w:t>
                            </w:r>
                          </w:p>
                        </w:tc>
                        <w:tc>
                          <w:tcPr>
                            <w:tcW w:w="1190" w:type="dxa"/>
                            <w:vAlign w:val="center"/>
                          </w:tcPr>
                          <w:p w14:paraId="7FFE899B"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2</w:t>
                            </w:r>
                          </w:p>
                        </w:tc>
                      </w:tr>
                      <w:tr w:rsidR="00F1456A" w:rsidRPr="0043736A" w14:paraId="1CE2E946" w14:textId="77777777" w:rsidTr="001A7C79">
                        <w:trPr>
                          <w:trHeight w:hRule="exact" w:val="255"/>
                        </w:trPr>
                        <w:tc>
                          <w:tcPr>
                            <w:tcW w:w="709" w:type="dxa"/>
                            <w:vMerge/>
                          </w:tcPr>
                          <w:p w14:paraId="78D5B70E"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39DC9005"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6</w:t>
                            </w:r>
                            <w:r w:rsidRPr="00AC17BE">
                              <w:rPr>
                                <w:rFonts w:ascii="標楷體" w:eastAsia="標楷體" w:hAnsi="標楷體"/>
                                <w:spacing w:val="-2"/>
                              </w:rPr>
                              <w:t>.</w:t>
                            </w:r>
                            <w:r w:rsidRPr="00AC17BE">
                              <w:rPr>
                                <w:rFonts w:ascii="標楷體" w:eastAsia="標楷體" w:hAnsi="標楷體" w:hint="eastAsia"/>
                                <w:spacing w:val="-2"/>
                              </w:rPr>
                              <w:t>健康</w:t>
                            </w:r>
                          </w:p>
                        </w:tc>
                        <w:tc>
                          <w:tcPr>
                            <w:tcW w:w="686" w:type="dxa"/>
                            <w:vAlign w:val="center"/>
                          </w:tcPr>
                          <w:p w14:paraId="5D8DD413"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250DC8F3"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4</w:t>
                            </w:r>
                          </w:p>
                        </w:tc>
                      </w:tr>
                      <w:tr w:rsidR="00F1456A" w:rsidRPr="0043736A" w14:paraId="1C126614" w14:textId="77777777" w:rsidTr="001A7C79">
                        <w:trPr>
                          <w:trHeight w:hRule="exact" w:val="255"/>
                        </w:trPr>
                        <w:tc>
                          <w:tcPr>
                            <w:tcW w:w="709" w:type="dxa"/>
                            <w:vMerge/>
                          </w:tcPr>
                          <w:p w14:paraId="481BD17C"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6E405E95"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7</w:t>
                            </w:r>
                            <w:r w:rsidRPr="00AC17BE">
                              <w:rPr>
                                <w:rFonts w:ascii="標楷體" w:eastAsia="標楷體" w:hAnsi="標楷體"/>
                                <w:spacing w:val="-2"/>
                              </w:rPr>
                              <w:t>.</w:t>
                            </w:r>
                            <w:r w:rsidRPr="00AC17BE">
                              <w:rPr>
                                <w:rFonts w:ascii="標楷體" w:eastAsia="標楷體" w:hAnsi="標楷體" w:hint="eastAsia"/>
                                <w:spacing w:val="-2"/>
                              </w:rPr>
                              <w:t>景文</w:t>
                            </w:r>
                          </w:p>
                        </w:tc>
                        <w:tc>
                          <w:tcPr>
                            <w:tcW w:w="686" w:type="dxa"/>
                            <w:vAlign w:val="center"/>
                          </w:tcPr>
                          <w:p w14:paraId="3679607B"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2</w:t>
                            </w:r>
                          </w:p>
                        </w:tc>
                        <w:tc>
                          <w:tcPr>
                            <w:tcW w:w="1190" w:type="dxa"/>
                            <w:vAlign w:val="center"/>
                          </w:tcPr>
                          <w:p w14:paraId="69772D51"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3</w:t>
                            </w:r>
                          </w:p>
                        </w:tc>
                      </w:tr>
                      <w:tr w:rsidR="00F1456A" w:rsidRPr="0043736A" w14:paraId="6433C716" w14:textId="77777777" w:rsidTr="001A7C79">
                        <w:trPr>
                          <w:trHeight w:hRule="exact" w:val="255"/>
                        </w:trPr>
                        <w:tc>
                          <w:tcPr>
                            <w:tcW w:w="709" w:type="dxa"/>
                            <w:vMerge/>
                          </w:tcPr>
                          <w:p w14:paraId="08E2C517"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7EAFC331"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8</w:t>
                            </w:r>
                            <w:r w:rsidRPr="00AC17BE">
                              <w:rPr>
                                <w:rFonts w:ascii="標楷體" w:eastAsia="標楷體" w:hAnsi="標楷體"/>
                                <w:spacing w:val="-2"/>
                              </w:rPr>
                              <w:t>.</w:t>
                            </w:r>
                            <w:r w:rsidRPr="00AC17BE">
                              <w:rPr>
                                <w:rFonts w:ascii="標楷體" w:eastAsia="標楷體" w:hAnsi="標楷體" w:hint="eastAsia"/>
                                <w:spacing w:val="-2"/>
                              </w:rPr>
                              <w:t>瑞光</w:t>
                            </w:r>
                          </w:p>
                        </w:tc>
                        <w:tc>
                          <w:tcPr>
                            <w:tcW w:w="686" w:type="dxa"/>
                            <w:vAlign w:val="center"/>
                          </w:tcPr>
                          <w:p w14:paraId="37E025B6"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2D139B26"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2</w:t>
                            </w:r>
                          </w:p>
                        </w:tc>
                      </w:tr>
                      <w:tr w:rsidR="00F1456A" w:rsidRPr="0043736A" w14:paraId="66D2552D" w14:textId="77777777" w:rsidTr="001A7C79">
                        <w:trPr>
                          <w:trHeight w:hRule="exact" w:val="255"/>
                        </w:trPr>
                        <w:tc>
                          <w:tcPr>
                            <w:tcW w:w="709" w:type="dxa"/>
                            <w:vMerge/>
                          </w:tcPr>
                          <w:p w14:paraId="31697F5E"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374813F6"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9</w:t>
                            </w:r>
                            <w:r w:rsidRPr="00AC17BE">
                              <w:rPr>
                                <w:rFonts w:ascii="標楷體" w:eastAsia="標楷體" w:hAnsi="標楷體"/>
                                <w:spacing w:val="-2"/>
                              </w:rPr>
                              <w:t>.</w:t>
                            </w:r>
                            <w:r w:rsidRPr="00AC17BE">
                              <w:rPr>
                                <w:rFonts w:ascii="標楷體" w:eastAsia="標楷體" w:hAnsi="標楷體" w:hint="eastAsia"/>
                                <w:spacing w:val="-2"/>
                              </w:rPr>
                              <w:t>萬隆站</w:t>
                            </w:r>
                          </w:p>
                        </w:tc>
                        <w:tc>
                          <w:tcPr>
                            <w:tcW w:w="686" w:type="dxa"/>
                            <w:vAlign w:val="center"/>
                          </w:tcPr>
                          <w:p w14:paraId="6332A3E6"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28C69F19"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2</w:t>
                            </w:r>
                            <w:r>
                              <w:rPr>
                                <w:rFonts w:ascii="標楷體" w:eastAsia="標楷體" w:hAnsi="標楷體"/>
                                <w:spacing w:val="-6"/>
                              </w:rPr>
                              <w:t>0</w:t>
                            </w:r>
                          </w:p>
                        </w:tc>
                      </w:tr>
                      <w:tr w:rsidR="00F1456A" w:rsidRPr="0043736A" w14:paraId="7C10D8E8" w14:textId="77777777" w:rsidTr="001A7C79">
                        <w:trPr>
                          <w:trHeight w:hRule="exact" w:val="255"/>
                        </w:trPr>
                        <w:tc>
                          <w:tcPr>
                            <w:tcW w:w="709" w:type="dxa"/>
                            <w:vMerge/>
                          </w:tcPr>
                          <w:p w14:paraId="2E1A8A0C"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4B2EBB03"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1</w:t>
                            </w:r>
                            <w:r w:rsidRPr="00AC17BE">
                              <w:rPr>
                                <w:rFonts w:ascii="標楷體" w:eastAsia="標楷體" w:hAnsi="標楷體"/>
                                <w:spacing w:val="-2"/>
                              </w:rPr>
                              <w:t>0.</w:t>
                            </w:r>
                            <w:r w:rsidRPr="00AC17BE">
                              <w:rPr>
                                <w:rFonts w:ascii="標楷體" w:eastAsia="標楷體" w:hAnsi="標楷體" w:hint="eastAsia"/>
                                <w:spacing w:val="-2"/>
                              </w:rPr>
                              <w:t>興隆D</w:t>
                            </w:r>
                            <w:r w:rsidRPr="00AC17BE">
                              <w:rPr>
                                <w:rFonts w:ascii="標楷體" w:eastAsia="標楷體" w:hAnsi="標楷體"/>
                                <w:spacing w:val="-2"/>
                              </w:rPr>
                              <w:t>1</w:t>
                            </w:r>
                            <w:r w:rsidRPr="00AC17BE">
                              <w:rPr>
                                <w:rFonts w:ascii="標楷體" w:eastAsia="標楷體" w:hAnsi="標楷體" w:hint="eastAsia"/>
                                <w:spacing w:val="-2"/>
                              </w:rPr>
                              <w:t>區</w:t>
                            </w:r>
                          </w:p>
                        </w:tc>
                        <w:tc>
                          <w:tcPr>
                            <w:tcW w:w="686" w:type="dxa"/>
                            <w:vAlign w:val="center"/>
                          </w:tcPr>
                          <w:p w14:paraId="5AC934F6"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1</w:t>
                            </w:r>
                          </w:p>
                        </w:tc>
                        <w:tc>
                          <w:tcPr>
                            <w:tcW w:w="1190" w:type="dxa"/>
                            <w:vAlign w:val="center"/>
                          </w:tcPr>
                          <w:p w14:paraId="74019728"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9</w:t>
                            </w:r>
                          </w:p>
                        </w:tc>
                      </w:tr>
                      <w:tr w:rsidR="00F1456A" w:rsidRPr="0043736A" w14:paraId="398B0849" w14:textId="77777777" w:rsidTr="001A7C79">
                        <w:trPr>
                          <w:trHeight w:hRule="exact" w:val="255"/>
                        </w:trPr>
                        <w:tc>
                          <w:tcPr>
                            <w:tcW w:w="709" w:type="dxa"/>
                            <w:vMerge/>
                          </w:tcPr>
                          <w:p w14:paraId="2D5E3465" w14:textId="77777777" w:rsidR="00F1456A" w:rsidRPr="001A7C79"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120CC0C4"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1</w:t>
                            </w:r>
                            <w:r w:rsidRPr="00AC17BE">
                              <w:rPr>
                                <w:rFonts w:ascii="標楷體" w:eastAsia="標楷體" w:hAnsi="標楷體"/>
                                <w:spacing w:val="-2"/>
                              </w:rPr>
                              <w:t>1.</w:t>
                            </w:r>
                            <w:r w:rsidRPr="00AC17BE">
                              <w:rPr>
                                <w:rFonts w:ascii="標楷體" w:eastAsia="標楷體" w:hAnsi="標楷體" w:hint="eastAsia"/>
                                <w:spacing w:val="-2"/>
                              </w:rPr>
                              <w:t>興隆D</w:t>
                            </w:r>
                            <w:r w:rsidRPr="00AC17BE">
                              <w:rPr>
                                <w:rFonts w:ascii="標楷體" w:eastAsia="標楷體" w:hAnsi="標楷體"/>
                                <w:spacing w:val="-2"/>
                              </w:rPr>
                              <w:t>2</w:t>
                            </w:r>
                            <w:r w:rsidRPr="00AC17BE">
                              <w:rPr>
                                <w:rFonts w:ascii="標楷體" w:eastAsia="標楷體" w:hAnsi="標楷體" w:hint="eastAsia"/>
                                <w:spacing w:val="-2"/>
                              </w:rPr>
                              <w:t>區</w:t>
                            </w:r>
                          </w:p>
                        </w:tc>
                        <w:tc>
                          <w:tcPr>
                            <w:tcW w:w="686" w:type="dxa"/>
                            <w:vAlign w:val="center"/>
                          </w:tcPr>
                          <w:p w14:paraId="0E4BC9EA"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4</w:t>
                            </w:r>
                          </w:p>
                        </w:tc>
                        <w:tc>
                          <w:tcPr>
                            <w:tcW w:w="1190" w:type="dxa"/>
                            <w:tcBorders>
                              <w:bottom w:val="single" w:sz="4" w:space="0" w:color="auto"/>
                            </w:tcBorders>
                            <w:vAlign w:val="center"/>
                          </w:tcPr>
                          <w:p w14:paraId="0C8DDE04"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1</w:t>
                            </w:r>
                            <w:r>
                              <w:rPr>
                                <w:rFonts w:ascii="標楷體" w:eastAsia="標楷體" w:hAnsi="標楷體"/>
                                <w:spacing w:val="-6"/>
                              </w:rPr>
                              <w:t>2</w:t>
                            </w:r>
                            <w:r>
                              <w:rPr>
                                <w:rFonts w:ascii="標楷體" w:eastAsia="標楷體" w:hAnsi="標楷體" w:hint="eastAsia"/>
                                <w:spacing w:val="-6"/>
                              </w:rPr>
                              <w:t>至2</w:t>
                            </w:r>
                            <w:r>
                              <w:rPr>
                                <w:rFonts w:ascii="標楷體" w:eastAsia="標楷體" w:hAnsi="標楷體"/>
                                <w:spacing w:val="-6"/>
                              </w:rPr>
                              <w:t>1</w:t>
                            </w:r>
                          </w:p>
                        </w:tc>
                      </w:tr>
                      <w:tr w:rsidR="00F1456A" w:rsidRPr="0043736A" w14:paraId="53021FAD" w14:textId="77777777" w:rsidTr="001A7C79">
                        <w:trPr>
                          <w:trHeight w:hRule="exact" w:val="255"/>
                        </w:trPr>
                        <w:tc>
                          <w:tcPr>
                            <w:tcW w:w="709" w:type="dxa"/>
                            <w:vMerge w:val="restart"/>
                          </w:tcPr>
                          <w:p w14:paraId="25C9A147" w14:textId="77777777" w:rsidR="00F1456A" w:rsidRPr="001A7C79" w:rsidRDefault="00F1456A" w:rsidP="00AC17BE">
                            <w:pPr>
                              <w:spacing w:line="240" w:lineRule="exact"/>
                              <w:rPr>
                                <w:rFonts w:ascii="標楷體" w:eastAsia="標楷體" w:hAnsi="標楷體"/>
                                <w:spacing w:val="-2"/>
                              </w:rPr>
                            </w:pPr>
                            <w:r w:rsidRPr="001A7C79">
                              <w:rPr>
                                <w:rFonts w:ascii="標楷體" w:eastAsia="標楷體" w:hAnsi="標楷體" w:hint="eastAsia"/>
                                <w:spacing w:val="-2"/>
                                <w:kern w:val="16"/>
                              </w:rPr>
                              <w:t>國宅</w:t>
                            </w:r>
                          </w:p>
                        </w:tc>
                        <w:tc>
                          <w:tcPr>
                            <w:tcW w:w="1708" w:type="dxa"/>
                            <w:vAlign w:val="center"/>
                          </w:tcPr>
                          <w:p w14:paraId="433CE295" w14:textId="77777777" w:rsidR="00F1456A" w:rsidRPr="001A7C79" w:rsidRDefault="00F1456A" w:rsidP="004B3529">
                            <w:pPr>
                              <w:spacing w:line="240" w:lineRule="exact"/>
                              <w:rPr>
                                <w:rFonts w:ascii="標楷體" w:eastAsia="標楷體" w:hAnsi="標楷體"/>
                                <w:b/>
                                <w:bCs/>
                                <w:spacing w:val="-2"/>
                              </w:rPr>
                            </w:pPr>
                            <w:r w:rsidRPr="001A7C79">
                              <w:rPr>
                                <w:rFonts w:ascii="標楷體" w:eastAsia="標楷體" w:hAnsi="標楷體" w:hint="eastAsia"/>
                                <w:b/>
                                <w:bCs/>
                                <w:spacing w:val="-2"/>
                              </w:rPr>
                              <w:t>合計</w:t>
                            </w:r>
                            <w:r>
                              <w:rPr>
                                <w:rFonts w:ascii="標楷體" w:eastAsia="標楷體" w:hAnsi="標楷體" w:hint="eastAsia"/>
                                <w:b/>
                                <w:bCs/>
                                <w:spacing w:val="-2"/>
                              </w:rPr>
                              <w:t xml:space="preserve"> </w:t>
                            </w:r>
                            <w:r>
                              <w:rPr>
                                <w:rFonts w:ascii="標楷體" w:eastAsia="標楷體" w:hAnsi="標楷體"/>
                                <w:b/>
                                <w:bCs/>
                                <w:spacing w:val="-2"/>
                              </w:rPr>
                              <w:t xml:space="preserve"> </w:t>
                            </w:r>
                            <w:r w:rsidRPr="001A7C79">
                              <w:rPr>
                                <w:rFonts w:ascii="標楷體" w:eastAsia="標楷體" w:hAnsi="標楷體" w:hint="eastAsia"/>
                                <w:b/>
                                <w:bCs/>
                                <w:spacing w:val="-2"/>
                              </w:rPr>
                              <w:t>4處</w:t>
                            </w:r>
                          </w:p>
                        </w:tc>
                        <w:tc>
                          <w:tcPr>
                            <w:tcW w:w="686" w:type="dxa"/>
                            <w:vAlign w:val="center"/>
                          </w:tcPr>
                          <w:p w14:paraId="11CD340A" w14:textId="77777777" w:rsidR="00F1456A" w:rsidRPr="001A7C79" w:rsidRDefault="00F1456A" w:rsidP="00AC17BE">
                            <w:pPr>
                              <w:spacing w:line="240" w:lineRule="exact"/>
                              <w:jc w:val="right"/>
                              <w:rPr>
                                <w:rFonts w:ascii="標楷體" w:eastAsia="標楷體" w:hAnsi="標楷體"/>
                                <w:b/>
                                <w:bCs/>
                                <w:spacing w:val="-6"/>
                              </w:rPr>
                            </w:pPr>
                            <w:r w:rsidRPr="001A7C79">
                              <w:rPr>
                                <w:rFonts w:ascii="標楷體" w:eastAsia="標楷體" w:hAnsi="標楷體" w:hint="eastAsia"/>
                                <w:b/>
                                <w:bCs/>
                                <w:spacing w:val="-6"/>
                              </w:rPr>
                              <w:t>1</w:t>
                            </w:r>
                            <w:r w:rsidRPr="001A7C79">
                              <w:rPr>
                                <w:rFonts w:ascii="標楷體" w:eastAsia="標楷體" w:hAnsi="標楷體"/>
                                <w:b/>
                                <w:bCs/>
                                <w:spacing w:val="-6"/>
                              </w:rPr>
                              <w:t>4</w:t>
                            </w:r>
                          </w:p>
                        </w:tc>
                        <w:tc>
                          <w:tcPr>
                            <w:tcW w:w="1190" w:type="dxa"/>
                            <w:tcBorders>
                              <w:bottom w:val="single" w:sz="4" w:space="0" w:color="auto"/>
                              <w:tl2br w:val="single" w:sz="4" w:space="0" w:color="auto"/>
                            </w:tcBorders>
                            <w:vAlign w:val="center"/>
                          </w:tcPr>
                          <w:p w14:paraId="0852292C" w14:textId="77777777" w:rsidR="00F1456A" w:rsidRPr="003E0FC4" w:rsidRDefault="00F1456A" w:rsidP="00AC17BE">
                            <w:pPr>
                              <w:spacing w:line="240" w:lineRule="exact"/>
                              <w:rPr>
                                <w:rFonts w:ascii="標楷體" w:eastAsia="標楷體" w:hAnsi="標楷體"/>
                                <w:spacing w:val="-6"/>
                              </w:rPr>
                            </w:pPr>
                          </w:p>
                        </w:tc>
                      </w:tr>
                      <w:tr w:rsidR="00F1456A" w:rsidRPr="0043736A" w14:paraId="5EB2EF34" w14:textId="77777777" w:rsidTr="001A7C79">
                        <w:trPr>
                          <w:trHeight w:hRule="exact" w:val="255"/>
                        </w:trPr>
                        <w:tc>
                          <w:tcPr>
                            <w:tcW w:w="709" w:type="dxa"/>
                            <w:vMerge/>
                            <w:vAlign w:val="center"/>
                          </w:tcPr>
                          <w:p w14:paraId="13860D83" w14:textId="77777777" w:rsidR="00F1456A" w:rsidRPr="00AC17BE" w:rsidRDefault="00F1456A" w:rsidP="00AC17BE">
                            <w:pPr>
                              <w:spacing w:line="240" w:lineRule="exact"/>
                              <w:rPr>
                                <w:rFonts w:ascii="標楷體" w:eastAsia="標楷體" w:hAnsi="標楷體"/>
                                <w:spacing w:val="-2"/>
                                <w:kern w:val="16"/>
                              </w:rPr>
                            </w:pPr>
                          </w:p>
                        </w:tc>
                        <w:tc>
                          <w:tcPr>
                            <w:tcW w:w="1708" w:type="dxa"/>
                            <w:vAlign w:val="center"/>
                          </w:tcPr>
                          <w:p w14:paraId="18C11004"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1</w:t>
                            </w:r>
                            <w:r w:rsidRPr="00AC17BE">
                              <w:rPr>
                                <w:rFonts w:ascii="標楷體" w:eastAsia="標楷體" w:hAnsi="標楷體"/>
                                <w:spacing w:val="-2"/>
                              </w:rPr>
                              <w:t>.</w:t>
                            </w:r>
                            <w:r w:rsidRPr="00AC17BE">
                              <w:rPr>
                                <w:rFonts w:ascii="標楷體" w:eastAsia="標楷體" w:hAnsi="標楷體" w:hint="eastAsia"/>
                                <w:spacing w:val="-2"/>
                              </w:rPr>
                              <w:t>萬樂</w:t>
                            </w:r>
                            <w:r>
                              <w:rPr>
                                <w:rFonts w:ascii="標楷體" w:eastAsia="標楷體" w:hAnsi="標楷體" w:hint="eastAsia"/>
                                <w:spacing w:val="-2"/>
                              </w:rPr>
                              <w:t>（</w:t>
                            </w:r>
                            <w:r w:rsidRPr="00AC17BE">
                              <w:rPr>
                                <w:rFonts w:ascii="標楷體" w:eastAsia="標楷體" w:hAnsi="標楷體" w:hint="eastAsia"/>
                                <w:spacing w:val="-2"/>
                              </w:rPr>
                              <w:t>萬芳</w:t>
                            </w:r>
                            <w:r>
                              <w:rPr>
                                <w:rFonts w:ascii="標楷體" w:eastAsia="標楷體" w:hAnsi="標楷體" w:hint="eastAsia"/>
                                <w:spacing w:val="-2"/>
                              </w:rPr>
                              <w:t>）</w:t>
                            </w:r>
                          </w:p>
                        </w:tc>
                        <w:tc>
                          <w:tcPr>
                            <w:tcW w:w="686" w:type="dxa"/>
                            <w:vAlign w:val="center"/>
                          </w:tcPr>
                          <w:p w14:paraId="4190307C"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2</w:t>
                            </w:r>
                          </w:p>
                        </w:tc>
                        <w:tc>
                          <w:tcPr>
                            <w:tcW w:w="1190" w:type="dxa"/>
                            <w:tcBorders>
                              <w:tl2br w:val="nil"/>
                            </w:tcBorders>
                            <w:vAlign w:val="center"/>
                          </w:tcPr>
                          <w:p w14:paraId="53A0E661" w14:textId="77777777" w:rsidR="00F1456A" w:rsidRPr="003E0FC4" w:rsidRDefault="00F1456A" w:rsidP="00AC17BE">
                            <w:pPr>
                              <w:spacing w:line="240" w:lineRule="exact"/>
                              <w:rPr>
                                <w:rFonts w:ascii="標楷體" w:eastAsia="標楷體" w:hAnsi="標楷體"/>
                                <w:spacing w:val="-6"/>
                              </w:rPr>
                            </w:pPr>
                            <w:r w:rsidRPr="003E0FC4">
                              <w:rPr>
                                <w:rFonts w:ascii="標楷體" w:eastAsia="標楷體" w:hAnsi="標楷體"/>
                                <w:spacing w:val="-6"/>
                              </w:rPr>
                              <w:t>12</w:t>
                            </w:r>
                            <w:r w:rsidRPr="003E0FC4">
                              <w:rPr>
                                <w:rFonts w:ascii="標楷體" w:eastAsia="標楷體" w:hAnsi="標楷體" w:hint="eastAsia"/>
                                <w:spacing w:val="-6"/>
                              </w:rPr>
                              <w:t>至1</w:t>
                            </w:r>
                            <w:r w:rsidRPr="003E0FC4">
                              <w:rPr>
                                <w:rFonts w:ascii="標楷體" w:eastAsia="標楷體" w:hAnsi="標楷體"/>
                                <w:spacing w:val="-6"/>
                              </w:rPr>
                              <w:t>3</w:t>
                            </w:r>
                          </w:p>
                        </w:tc>
                      </w:tr>
                      <w:tr w:rsidR="00F1456A" w:rsidRPr="0043736A" w14:paraId="4FAB4BDC" w14:textId="77777777" w:rsidTr="001A7C79">
                        <w:trPr>
                          <w:trHeight w:hRule="exact" w:val="255"/>
                        </w:trPr>
                        <w:tc>
                          <w:tcPr>
                            <w:tcW w:w="709" w:type="dxa"/>
                            <w:vMerge/>
                            <w:vAlign w:val="center"/>
                          </w:tcPr>
                          <w:p w14:paraId="118F812C" w14:textId="77777777" w:rsidR="00F1456A" w:rsidRPr="00AC17BE"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495B424F"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2</w:t>
                            </w:r>
                            <w:r w:rsidRPr="00AC17BE">
                              <w:rPr>
                                <w:rFonts w:ascii="標楷體" w:eastAsia="標楷體" w:hAnsi="標楷體"/>
                                <w:spacing w:val="-2"/>
                              </w:rPr>
                              <w:t>.</w:t>
                            </w:r>
                            <w:r w:rsidRPr="00AC17BE">
                              <w:rPr>
                                <w:rFonts w:ascii="標楷體" w:eastAsia="標楷體" w:hAnsi="標楷體" w:hint="eastAsia"/>
                                <w:spacing w:val="-2"/>
                              </w:rPr>
                              <w:t>四四東村C</w:t>
                            </w:r>
                          </w:p>
                        </w:tc>
                        <w:tc>
                          <w:tcPr>
                            <w:tcW w:w="686" w:type="dxa"/>
                            <w:vAlign w:val="center"/>
                          </w:tcPr>
                          <w:p w14:paraId="4D0BBBEC"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3</w:t>
                            </w:r>
                          </w:p>
                        </w:tc>
                        <w:tc>
                          <w:tcPr>
                            <w:tcW w:w="1190" w:type="dxa"/>
                            <w:vAlign w:val="center"/>
                          </w:tcPr>
                          <w:p w14:paraId="563523CD" w14:textId="77777777" w:rsidR="00F1456A" w:rsidRPr="003E0FC4" w:rsidRDefault="00F1456A" w:rsidP="00AC17BE">
                            <w:pPr>
                              <w:spacing w:line="240" w:lineRule="exact"/>
                              <w:rPr>
                                <w:rFonts w:ascii="標楷體" w:eastAsia="標楷體" w:hAnsi="標楷體"/>
                                <w:spacing w:val="-6"/>
                              </w:rPr>
                            </w:pPr>
                            <w:r w:rsidRPr="003E0FC4">
                              <w:rPr>
                                <w:rFonts w:ascii="標楷體" w:eastAsia="標楷體" w:hAnsi="標楷體"/>
                                <w:spacing w:val="-6"/>
                              </w:rPr>
                              <w:t>14</w:t>
                            </w:r>
                            <w:r w:rsidRPr="003E0FC4">
                              <w:rPr>
                                <w:rFonts w:ascii="標楷體" w:eastAsia="標楷體" w:hAnsi="標楷體" w:hint="eastAsia"/>
                                <w:spacing w:val="-6"/>
                              </w:rPr>
                              <w:t>至1</w:t>
                            </w:r>
                            <w:r w:rsidRPr="003E0FC4">
                              <w:rPr>
                                <w:rFonts w:ascii="標楷體" w:eastAsia="標楷體" w:hAnsi="標楷體"/>
                                <w:spacing w:val="-6"/>
                              </w:rPr>
                              <w:t>6</w:t>
                            </w:r>
                          </w:p>
                        </w:tc>
                      </w:tr>
                      <w:tr w:rsidR="00F1456A" w:rsidRPr="0043736A" w14:paraId="1900E0C8" w14:textId="77777777" w:rsidTr="001A7C79">
                        <w:trPr>
                          <w:trHeight w:hRule="exact" w:val="255"/>
                        </w:trPr>
                        <w:tc>
                          <w:tcPr>
                            <w:tcW w:w="709" w:type="dxa"/>
                            <w:vMerge/>
                            <w:vAlign w:val="center"/>
                          </w:tcPr>
                          <w:p w14:paraId="798A0F56" w14:textId="77777777" w:rsidR="00F1456A" w:rsidRPr="00AC17BE"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407B3CF8"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3</w:t>
                            </w:r>
                            <w:r w:rsidRPr="00AC17BE">
                              <w:rPr>
                                <w:rFonts w:ascii="標楷體" w:eastAsia="標楷體" w:hAnsi="標楷體"/>
                                <w:spacing w:val="-2"/>
                              </w:rPr>
                              <w:t>.</w:t>
                            </w:r>
                            <w:r w:rsidRPr="00AC17BE">
                              <w:rPr>
                                <w:rFonts w:ascii="標楷體" w:eastAsia="標楷體" w:hAnsi="標楷體" w:hint="eastAsia"/>
                                <w:spacing w:val="-2"/>
                              </w:rPr>
                              <w:t>萬芳</w:t>
                            </w:r>
                            <w:r>
                              <w:rPr>
                                <w:rFonts w:ascii="標楷體" w:eastAsia="標楷體" w:hAnsi="標楷體" w:hint="eastAsia"/>
                                <w:spacing w:val="-2"/>
                              </w:rPr>
                              <w:t>（</w:t>
                            </w:r>
                            <w:r w:rsidRPr="00AC17BE">
                              <w:rPr>
                                <w:rFonts w:ascii="標楷體" w:eastAsia="標楷體" w:hAnsi="標楷體" w:hint="eastAsia"/>
                                <w:spacing w:val="-2"/>
                              </w:rPr>
                              <w:t>C</w:t>
                            </w:r>
                            <w:r>
                              <w:rPr>
                                <w:rFonts w:ascii="標楷體" w:eastAsia="標楷體" w:hAnsi="標楷體" w:hint="eastAsia"/>
                                <w:spacing w:val="-2"/>
                              </w:rPr>
                              <w:t>）</w:t>
                            </w:r>
                          </w:p>
                        </w:tc>
                        <w:tc>
                          <w:tcPr>
                            <w:tcW w:w="686" w:type="dxa"/>
                            <w:vAlign w:val="center"/>
                          </w:tcPr>
                          <w:p w14:paraId="52DED121"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6</w:t>
                            </w:r>
                          </w:p>
                        </w:tc>
                        <w:tc>
                          <w:tcPr>
                            <w:tcW w:w="1190" w:type="dxa"/>
                            <w:vAlign w:val="center"/>
                          </w:tcPr>
                          <w:p w14:paraId="4909D36D" w14:textId="77777777" w:rsidR="00F1456A" w:rsidRPr="003E0FC4" w:rsidRDefault="00F1456A" w:rsidP="00AC17BE">
                            <w:pPr>
                              <w:spacing w:line="240" w:lineRule="exact"/>
                              <w:rPr>
                                <w:rFonts w:ascii="標楷體" w:eastAsia="標楷體" w:hAnsi="標楷體"/>
                                <w:spacing w:val="-6"/>
                              </w:rPr>
                            </w:pPr>
                            <w:r>
                              <w:rPr>
                                <w:rFonts w:ascii="標楷體" w:eastAsia="標楷體" w:hAnsi="標楷體" w:hint="eastAsia"/>
                                <w:spacing w:val="-6"/>
                              </w:rPr>
                              <w:t>2</w:t>
                            </w:r>
                            <w:r>
                              <w:rPr>
                                <w:rFonts w:ascii="標楷體" w:eastAsia="標楷體" w:hAnsi="標楷體"/>
                                <w:spacing w:val="-6"/>
                              </w:rPr>
                              <w:t>1</w:t>
                            </w:r>
                          </w:p>
                        </w:tc>
                      </w:tr>
                      <w:tr w:rsidR="00F1456A" w:rsidRPr="0043736A" w14:paraId="57DCCBC8" w14:textId="77777777" w:rsidTr="001A7C79">
                        <w:trPr>
                          <w:trHeight w:hRule="exact" w:val="255"/>
                        </w:trPr>
                        <w:tc>
                          <w:tcPr>
                            <w:tcW w:w="709" w:type="dxa"/>
                            <w:vMerge/>
                            <w:vAlign w:val="center"/>
                          </w:tcPr>
                          <w:p w14:paraId="51BC0683" w14:textId="77777777" w:rsidR="00F1456A" w:rsidRPr="00AC17BE" w:rsidRDefault="00F1456A" w:rsidP="00AC17BE">
                            <w:pPr>
                              <w:spacing w:line="240" w:lineRule="exact"/>
                              <w:ind w:rightChars="-20" w:right="-48"/>
                              <w:rPr>
                                <w:rFonts w:ascii="標楷體" w:eastAsia="標楷體" w:hAnsi="標楷體"/>
                                <w:spacing w:val="-2"/>
                                <w:kern w:val="16"/>
                              </w:rPr>
                            </w:pPr>
                          </w:p>
                        </w:tc>
                        <w:tc>
                          <w:tcPr>
                            <w:tcW w:w="1708" w:type="dxa"/>
                            <w:vAlign w:val="center"/>
                          </w:tcPr>
                          <w:p w14:paraId="3552AFB9" w14:textId="77777777" w:rsidR="00F1456A" w:rsidRPr="00AC17BE" w:rsidRDefault="00F1456A" w:rsidP="00AC17BE">
                            <w:pPr>
                              <w:spacing w:line="240" w:lineRule="exact"/>
                              <w:rPr>
                                <w:rFonts w:ascii="標楷體" w:eastAsia="標楷體" w:hAnsi="標楷體"/>
                                <w:spacing w:val="-2"/>
                              </w:rPr>
                            </w:pPr>
                            <w:r w:rsidRPr="00AC17BE">
                              <w:rPr>
                                <w:rFonts w:ascii="標楷體" w:eastAsia="標楷體" w:hAnsi="標楷體" w:hint="eastAsia"/>
                                <w:spacing w:val="-2"/>
                              </w:rPr>
                              <w:t>4</w:t>
                            </w:r>
                            <w:r w:rsidRPr="00AC17BE">
                              <w:rPr>
                                <w:rFonts w:ascii="標楷體" w:eastAsia="標楷體" w:hAnsi="標楷體"/>
                                <w:spacing w:val="-2"/>
                              </w:rPr>
                              <w:t>.</w:t>
                            </w:r>
                            <w:r w:rsidRPr="00AC17BE">
                              <w:rPr>
                                <w:rFonts w:ascii="標楷體" w:eastAsia="標楷體" w:hAnsi="標楷體" w:hint="eastAsia"/>
                                <w:spacing w:val="-2"/>
                              </w:rPr>
                              <w:t>萬芳社區中心</w:t>
                            </w:r>
                          </w:p>
                        </w:tc>
                        <w:tc>
                          <w:tcPr>
                            <w:tcW w:w="686" w:type="dxa"/>
                            <w:vAlign w:val="center"/>
                          </w:tcPr>
                          <w:p w14:paraId="402C27C5" w14:textId="77777777" w:rsidR="00F1456A" w:rsidRPr="003E0FC4" w:rsidRDefault="00F1456A" w:rsidP="00AC17BE">
                            <w:pPr>
                              <w:spacing w:line="240" w:lineRule="exact"/>
                              <w:jc w:val="right"/>
                              <w:rPr>
                                <w:rFonts w:ascii="標楷體" w:eastAsia="標楷體" w:hAnsi="標楷體"/>
                                <w:spacing w:val="-6"/>
                              </w:rPr>
                            </w:pPr>
                            <w:r>
                              <w:rPr>
                                <w:rFonts w:ascii="標楷體" w:eastAsia="標楷體" w:hAnsi="標楷體" w:hint="eastAsia"/>
                                <w:spacing w:val="-6"/>
                              </w:rPr>
                              <w:t>3</w:t>
                            </w:r>
                          </w:p>
                        </w:tc>
                        <w:tc>
                          <w:tcPr>
                            <w:tcW w:w="1190" w:type="dxa"/>
                            <w:vAlign w:val="center"/>
                          </w:tcPr>
                          <w:p w14:paraId="78FE890E" w14:textId="77777777" w:rsidR="00F1456A" w:rsidRPr="003E0FC4" w:rsidRDefault="00F1456A" w:rsidP="00AC17BE">
                            <w:pPr>
                              <w:spacing w:line="240" w:lineRule="exact"/>
                              <w:rPr>
                                <w:rFonts w:ascii="標楷體" w:eastAsia="標楷體" w:hAnsi="標楷體"/>
                                <w:spacing w:val="-6"/>
                              </w:rPr>
                            </w:pPr>
                            <w:r w:rsidRPr="003E0FC4">
                              <w:rPr>
                                <w:rFonts w:ascii="標楷體" w:eastAsia="標楷體" w:hAnsi="標楷體" w:hint="eastAsia"/>
                                <w:spacing w:val="-10"/>
                              </w:rPr>
                              <w:t>1</w:t>
                            </w:r>
                            <w:r w:rsidRPr="003E0FC4">
                              <w:rPr>
                                <w:rFonts w:ascii="標楷體" w:eastAsia="標楷體" w:hAnsi="標楷體"/>
                                <w:spacing w:val="-10"/>
                              </w:rPr>
                              <w:t>2</w:t>
                            </w:r>
                            <w:r w:rsidRPr="003E0FC4">
                              <w:rPr>
                                <w:rFonts w:ascii="標楷體" w:eastAsia="標楷體" w:hAnsi="標楷體" w:hint="eastAsia"/>
                                <w:spacing w:val="-10"/>
                              </w:rPr>
                              <w:t>至1</w:t>
                            </w:r>
                            <w:r w:rsidRPr="003E0FC4">
                              <w:rPr>
                                <w:rFonts w:ascii="標楷體" w:eastAsia="標楷體" w:hAnsi="標楷體"/>
                                <w:spacing w:val="-10"/>
                              </w:rPr>
                              <w:t>8</w:t>
                            </w:r>
                          </w:p>
                        </w:tc>
                      </w:tr>
                    </w:tbl>
                    <w:p w14:paraId="4C828E7F" w14:textId="77777777" w:rsidR="00F1456A" w:rsidRPr="0043736A" w:rsidRDefault="00F1456A" w:rsidP="00F1456A">
                      <w:pPr>
                        <w:spacing w:beforeLines="10" w:before="36" w:line="220" w:lineRule="exact"/>
                        <w:rPr>
                          <w:sz w:val="18"/>
                          <w:szCs w:val="18"/>
                        </w:rPr>
                      </w:pPr>
                      <w:r w:rsidRPr="0043736A">
                        <w:rPr>
                          <w:rFonts w:ascii="標楷體" w:eastAsia="標楷體" w:hAnsi="標楷體" w:hint="eastAsia"/>
                          <w:sz w:val="18"/>
                          <w:szCs w:val="18"/>
                        </w:rPr>
                        <w:t>資料來源：整理自都市發展局提供資料。</w:t>
                      </w:r>
                    </w:p>
                  </w:txbxContent>
                </v:textbox>
                <w10:wrap type="square" anchorx="margin"/>
              </v:shape>
            </w:pict>
          </mc:Fallback>
        </mc:AlternateContent>
      </w:r>
      <w:r w:rsidRPr="008E40B2">
        <w:rPr>
          <w:rFonts w:ascii="標楷體" w:eastAsia="標楷體" w:hAnsi="標楷體" w:hint="eastAsia"/>
          <w:b/>
          <w:bCs/>
          <w:szCs w:val="24"/>
        </w:rPr>
        <w:t>1.</w:t>
      </w:r>
      <w:proofErr w:type="gramStart"/>
      <w:r w:rsidRPr="008E40B2">
        <w:rPr>
          <w:rFonts w:ascii="標楷體" w:eastAsia="標楷體" w:hAnsi="標楷體" w:hint="eastAsia"/>
          <w:b/>
          <w:bCs/>
          <w:szCs w:val="24"/>
        </w:rPr>
        <w:t>社宅及國宅間有因</w:t>
      </w:r>
      <w:proofErr w:type="gramEnd"/>
      <w:r w:rsidRPr="008E40B2">
        <w:rPr>
          <w:rFonts w:ascii="標楷體" w:eastAsia="標楷體" w:hAnsi="標楷體" w:hint="eastAsia"/>
          <w:b/>
          <w:bCs/>
          <w:szCs w:val="24"/>
        </w:rPr>
        <w:t>屋</w:t>
      </w:r>
      <w:proofErr w:type="gramStart"/>
      <w:r w:rsidRPr="008E40B2">
        <w:rPr>
          <w:rFonts w:ascii="標楷體" w:eastAsia="標楷體" w:hAnsi="標楷體" w:hint="eastAsia"/>
          <w:b/>
          <w:bCs/>
          <w:szCs w:val="24"/>
        </w:rPr>
        <w:t>況</w:t>
      </w:r>
      <w:proofErr w:type="gramEnd"/>
      <w:r w:rsidRPr="008E40B2">
        <w:rPr>
          <w:rFonts w:ascii="標楷體" w:eastAsia="標楷體" w:hAnsi="標楷體" w:hint="eastAsia"/>
          <w:b/>
          <w:bCs/>
          <w:szCs w:val="24"/>
        </w:rPr>
        <w:t>不佳之檢修或廚具之採購時程</w:t>
      </w:r>
      <w:proofErr w:type="gramStart"/>
      <w:r w:rsidRPr="008E40B2">
        <w:rPr>
          <w:rFonts w:ascii="標楷體" w:eastAsia="標楷體" w:hAnsi="標楷體" w:hint="eastAsia"/>
          <w:b/>
          <w:bCs/>
          <w:szCs w:val="24"/>
        </w:rPr>
        <w:t>影響配租作業</w:t>
      </w:r>
      <w:proofErr w:type="gramEnd"/>
      <w:r w:rsidRPr="008E40B2">
        <w:rPr>
          <w:rFonts w:ascii="標楷體" w:eastAsia="標楷體" w:hAnsi="標楷體" w:hint="eastAsia"/>
          <w:b/>
          <w:bCs/>
          <w:szCs w:val="24"/>
        </w:rPr>
        <w:t>，屢有空</w:t>
      </w:r>
      <w:proofErr w:type="gramStart"/>
      <w:r w:rsidRPr="008E40B2">
        <w:rPr>
          <w:rFonts w:ascii="標楷體" w:eastAsia="標楷體" w:hAnsi="標楷體" w:hint="eastAsia"/>
          <w:b/>
          <w:bCs/>
          <w:szCs w:val="24"/>
        </w:rPr>
        <w:t>置期逾6個月</w:t>
      </w:r>
      <w:proofErr w:type="gramEnd"/>
      <w:r w:rsidRPr="008E40B2">
        <w:rPr>
          <w:rFonts w:ascii="標楷體" w:eastAsia="標楷體" w:hAnsi="標楷體" w:hint="eastAsia"/>
          <w:b/>
          <w:bCs/>
          <w:szCs w:val="24"/>
        </w:rPr>
        <w:t>：</w:t>
      </w:r>
      <w:proofErr w:type="gramStart"/>
      <w:r w:rsidRPr="008E40B2">
        <w:rPr>
          <w:rFonts w:ascii="標楷體" w:eastAsia="標楷體" w:hAnsi="標楷體" w:hint="eastAsia"/>
          <w:szCs w:val="24"/>
        </w:rPr>
        <w:t>113</w:t>
      </w:r>
      <w:proofErr w:type="gramEnd"/>
      <w:r w:rsidRPr="008E40B2">
        <w:rPr>
          <w:rFonts w:ascii="標楷體" w:eastAsia="標楷體" w:hAnsi="標楷體" w:hint="eastAsia"/>
          <w:szCs w:val="24"/>
        </w:rPr>
        <w:t>年度截至9月止，經排除供</w:t>
      </w:r>
      <w:proofErr w:type="gramStart"/>
      <w:r w:rsidRPr="008E40B2">
        <w:rPr>
          <w:rFonts w:ascii="標楷體" w:eastAsia="標楷體" w:hAnsi="標楷體" w:hint="eastAsia"/>
          <w:szCs w:val="24"/>
        </w:rPr>
        <w:t>中繼戶用途</w:t>
      </w:r>
      <w:proofErr w:type="gramEnd"/>
      <w:r w:rsidRPr="008E40B2">
        <w:rPr>
          <w:rFonts w:ascii="標楷體" w:eastAsia="標楷體" w:hAnsi="標楷體" w:hint="eastAsia"/>
          <w:szCs w:val="24"/>
        </w:rPr>
        <w:t>者，</w:t>
      </w:r>
      <w:proofErr w:type="gramStart"/>
      <w:r w:rsidRPr="008E40B2">
        <w:rPr>
          <w:rFonts w:ascii="標楷體" w:eastAsia="標楷體" w:hAnsi="標楷體" w:hint="eastAsia"/>
          <w:szCs w:val="24"/>
        </w:rPr>
        <w:t>臺北市社宅及</w:t>
      </w:r>
      <w:proofErr w:type="gramEnd"/>
      <w:r w:rsidRPr="008E40B2">
        <w:rPr>
          <w:rFonts w:ascii="標楷體" w:eastAsia="標楷體" w:hAnsi="標楷體" w:hint="eastAsia"/>
          <w:szCs w:val="24"/>
        </w:rPr>
        <w:t>國宅空置</w:t>
      </w:r>
      <w:proofErr w:type="gramStart"/>
      <w:r w:rsidRPr="008E40B2">
        <w:rPr>
          <w:rFonts w:ascii="標楷體" w:eastAsia="標楷體" w:hAnsi="標楷體" w:hint="eastAsia"/>
          <w:szCs w:val="24"/>
        </w:rPr>
        <w:t>期間逾</w:t>
      </w:r>
      <w:proofErr w:type="gramEnd"/>
      <w:r w:rsidRPr="008E40B2">
        <w:rPr>
          <w:rFonts w:ascii="標楷體" w:eastAsia="標楷體" w:hAnsi="標楷體" w:hint="eastAsia"/>
          <w:szCs w:val="24"/>
        </w:rPr>
        <w:t>6個月者計有19處</w:t>
      </w:r>
      <w:proofErr w:type="gramStart"/>
      <w:r w:rsidRPr="008E40B2">
        <w:rPr>
          <w:rFonts w:ascii="標楷體" w:eastAsia="標楷體" w:hAnsi="標楷體" w:hint="eastAsia"/>
          <w:szCs w:val="24"/>
        </w:rPr>
        <w:t>社宅共</w:t>
      </w:r>
      <w:proofErr w:type="gramEnd"/>
      <w:r w:rsidRPr="008E40B2">
        <w:rPr>
          <w:rFonts w:ascii="標楷體" w:eastAsia="標楷體" w:hAnsi="標楷體" w:hint="eastAsia"/>
          <w:szCs w:val="24"/>
        </w:rPr>
        <w:t>92戶及9處國宅共40戶，如加計</w:t>
      </w:r>
      <w:proofErr w:type="gramStart"/>
      <w:r w:rsidRPr="008E40B2">
        <w:rPr>
          <w:rFonts w:ascii="標楷體" w:eastAsia="標楷體" w:hAnsi="標楷體" w:hint="eastAsia"/>
          <w:szCs w:val="24"/>
        </w:rPr>
        <w:t>112</w:t>
      </w:r>
      <w:proofErr w:type="gramEnd"/>
      <w:r w:rsidRPr="008E40B2">
        <w:rPr>
          <w:rFonts w:ascii="標楷體" w:eastAsia="標楷體" w:hAnsi="標楷體" w:hint="eastAsia"/>
          <w:szCs w:val="24"/>
        </w:rPr>
        <w:t>年度空置期間合計達12個月者，計有11處</w:t>
      </w:r>
      <w:proofErr w:type="gramStart"/>
      <w:r w:rsidRPr="008E40B2">
        <w:rPr>
          <w:rFonts w:ascii="標楷體" w:eastAsia="標楷體" w:hAnsi="標楷體" w:hint="eastAsia"/>
          <w:szCs w:val="24"/>
        </w:rPr>
        <w:t>社宅共</w:t>
      </w:r>
      <w:proofErr w:type="gramEnd"/>
      <w:r w:rsidRPr="008E40B2">
        <w:rPr>
          <w:rFonts w:ascii="標楷體" w:eastAsia="標楷體" w:hAnsi="標楷體" w:hint="eastAsia"/>
          <w:szCs w:val="24"/>
        </w:rPr>
        <w:t>27戶及4處國宅共14戶（表1），主要係屋</w:t>
      </w:r>
      <w:proofErr w:type="gramStart"/>
      <w:r w:rsidRPr="008E40B2">
        <w:rPr>
          <w:rFonts w:ascii="標楷體" w:eastAsia="標楷體" w:hAnsi="標楷體" w:hint="eastAsia"/>
          <w:szCs w:val="24"/>
        </w:rPr>
        <w:t>況</w:t>
      </w:r>
      <w:proofErr w:type="gramEnd"/>
      <w:r w:rsidRPr="008E40B2">
        <w:rPr>
          <w:rFonts w:ascii="標楷體" w:eastAsia="標楷體" w:hAnsi="標楷體" w:hint="eastAsia"/>
          <w:szCs w:val="24"/>
        </w:rPr>
        <w:t>不佳未即時完成檢修，或候補名單</w:t>
      </w:r>
      <w:proofErr w:type="gramStart"/>
      <w:r w:rsidRPr="008E40B2">
        <w:rPr>
          <w:rFonts w:ascii="標楷體" w:eastAsia="標楷體" w:hAnsi="標楷體" w:hint="eastAsia"/>
          <w:szCs w:val="24"/>
        </w:rPr>
        <w:t>用罄須重新</w:t>
      </w:r>
      <w:proofErr w:type="gramEnd"/>
      <w:r w:rsidRPr="008E40B2">
        <w:rPr>
          <w:rFonts w:ascii="標楷體" w:eastAsia="標楷體" w:hAnsi="標楷體" w:hint="eastAsia"/>
          <w:szCs w:val="24"/>
        </w:rPr>
        <w:t>辦理招租，或因住戶退租，後續須辦理檢修及廚具採購等</w:t>
      </w:r>
      <w:proofErr w:type="gramStart"/>
      <w:r w:rsidRPr="008E40B2">
        <w:rPr>
          <w:rFonts w:ascii="標楷體" w:eastAsia="標楷體" w:hAnsi="標楷體" w:hint="eastAsia"/>
          <w:szCs w:val="24"/>
        </w:rPr>
        <w:t>影響配租作業</w:t>
      </w:r>
      <w:proofErr w:type="gramEnd"/>
      <w:r w:rsidRPr="008E40B2">
        <w:rPr>
          <w:rFonts w:ascii="標楷體" w:eastAsia="標楷體" w:hAnsi="標楷體" w:hint="eastAsia"/>
          <w:szCs w:val="24"/>
        </w:rPr>
        <w:t>，經函請</w:t>
      </w:r>
      <w:proofErr w:type="gramStart"/>
      <w:r w:rsidRPr="008E40B2">
        <w:rPr>
          <w:rFonts w:ascii="標楷體" w:eastAsia="標楷體" w:hAnsi="標楷體" w:hint="eastAsia"/>
          <w:szCs w:val="24"/>
        </w:rPr>
        <w:t>檢討妥處</w:t>
      </w:r>
      <w:proofErr w:type="gramEnd"/>
      <w:r w:rsidRPr="008E40B2">
        <w:rPr>
          <w:rFonts w:ascii="標楷體" w:eastAsia="標楷體" w:hAnsi="標楷體" w:hint="eastAsia"/>
          <w:szCs w:val="24"/>
        </w:rPr>
        <w:t>。據復：為</w:t>
      </w:r>
      <w:proofErr w:type="gramStart"/>
      <w:r w:rsidRPr="008E40B2">
        <w:rPr>
          <w:rFonts w:ascii="標楷體" w:eastAsia="標楷體" w:hAnsi="標楷體" w:hint="eastAsia"/>
          <w:szCs w:val="24"/>
        </w:rPr>
        <w:t>提升配租效率</w:t>
      </w:r>
      <w:proofErr w:type="gramEnd"/>
      <w:r w:rsidRPr="008E40B2">
        <w:rPr>
          <w:rFonts w:ascii="標楷體" w:eastAsia="標楷體" w:hAnsi="標楷體" w:hint="eastAsia"/>
          <w:szCs w:val="24"/>
        </w:rPr>
        <w:t>，已檢討精</w:t>
      </w:r>
      <w:proofErr w:type="gramStart"/>
      <w:r w:rsidRPr="008E40B2">
        <w:rPr>
          <w:rFonts w:ascii="標楷體" w:eastAsia="標楷體" w:hAnsi="標楷體" w:hint="eastAsia"/>
          <w:szCs w:val="24"/>
        </w:rPr>
        <w:t>進配租</w:t>
      </w:r>
      <w:proofErr w:type="gramEnd"/>
      <w:r w:rsidRPr="008E40B2">
        <w:rPr>
          <w:rFonts w:ascii="標楷體" w:eastAsia="標楷體" w:hAnsi="標楷體" w:hint="eastAsia"/>
          <w:szCs w:val="24"/>
        </w:rPr>
        <w:t>作業並提供住都中心參考，包含針對修繕</w:t>
      </w:r>
      <w:proofErr w:type="gramStart"/>
      <w:r w:rsidRPr="008E40B2">
        <w:rPr>
          <w:rFonts w:ascii="標楷體" w:eastAsia="標楷體" w:hAnsi="標楷體" w:hint="eastAsia"/>
          <w:szCs w:val="24"/>
        </w:rPr>
        <w:t>中空置戶</w:t>
      </w:r>
      <w:proofErr w:type="gramEnd"/>
      <w:r w:rsidRPr="008E40B2">
        <w:rPr>
          <w:rFonts w:ascii="標楷體" w:eastAsia="標楷體" w:hAnsi="標楷體" w:hint="eastAsia"/>
          <w:szCs w:val="24"/>
        </w:rPr>
        <w:t>，配合預估檢修時程啓動配租前置作業、候租名單有效期間屆滿或用罄則辦理隨到隨辦招租等措施；另為避免各國宅建物維修及廚具設備等採購契約之執行進度不一，影響配租期程，已著手檢討增修出租國宅社區檢修作業程序等。</w:t>
      </w:r>
    </w:p>
    <w:p w14:paraId="3D0CB879" w14:textId="77777777" w:rsidR="00F1456A" w:rsidRDefault="00F1456A" w:rsidP="00F1456A">
      <w:pPr>
        <w:overflowPunct w:val="0"/>
        <w:snapToGrid w:val="0"/>
        <w:spacing w:beforeLines="40" w:before="144" w:afterLines="20" w:after="72" w:line="460" w:lineRule="exact"/>
        <w:ind w:firstLineChars="200" w:firstLine="480"/>
        <w:jc w:val="both"/>
        <w:rPr>
          <w:rFonts w:ascii="標楷體" w:eastAsia="標楷體" w:hAnsi="標楷體"/>
          <w:szCs w:val="24"/>
        </w:rPr>
      </w:pPr>
      <w:r w:rsidRPr="008E40B2">
        <w:rPr>
          <w:rFonts w:ascii="標楷體" w:eastAsia="標楷體" w:hAnsi="標楷體" w:hint="eastAsia"/>
          <w:b/>
          <w:bCs/>
          <w:szCs w:val="24"/>
        </w:rPr>
        <w:t>2.提供中繼住宅供老舊住宅拆除重建期間使用，惟未列管其使用情況，間</w:t>
      </w:r>
      <w:proofErr w:type="gramStart"/>
      <w:r w:rsidRPr="008E40B2">
        <w:rPr>
          <w:rFonts w:ascii="標楷體" w:eastAsia="標楷體" w:hAnsi="標楷體" w:hint="eastAsia"/>
          <w:b/>
          <w:bCs/>
          <w:szCs w:val="24"/>
        </w:rPr>
        <w:t>有空置近2年</w:t>
      </w:r>
      <w:proofErr w:type="gramEnd"/>
      <w:r w:rsidRPr="008E40B2">
        <w:rPr>
          <w:rFonts w:ascii="標楷體" w:eastAsia="標楷體" w:hAnsi="標楷體" w:hint="eastAsia"/>
          <w:b/>
          <w:bCs/>
          <w:szCs w:val="24"/>
        </w:rPr>
        <w:t>：</w:t>
      </w:r>
      <w:r w:rsidRPr="008E40B2">
        <w:rPr>
          <w:rFonts w:ascii="標楷體" w:eastAsia="標楷體" w:hAnsi="標楷體" w:hint="eastAsia"/>
          <w:szCs w:val="24"/>
        </w:rPr>
        <w:t>為加速老舊住宅社區更新改建，都市發展局提供部分經管</w:t>
      </w:r>
      <w:proofErr w:type="gramStart"/>
      <w:r w:rsidRPr="008E40B2">
        <w:rPr>
          <w:rFonts w:ascii="標楷體" w:eastAsia="標楷體" w:hAnsi="標楷體" w:hint="eastAsia"/>
          <w:szCs w:val="24"/>
        </w:rPr>
        <w:t>之社宅及</w:t>
      </w:r>
      <w:proofErr w:type="gramEnd"/>
      <w:r w:rsidRPr="008E40B2">
        <w:rPr>
          <w:rFonts w:ascii="標楷體" w:eastAsia="標楷體" w:hAnsi="標楷體" w:hint="eastAsia"/>
          <w:szCs w:val="24"/>
        </w:rPr>
        <w:t>國宅供老舊住宅拆除重建期間使用，並訂定「臺北市政府受理中繼住宅申請處理原則」，規定該局</w:t>
      </w:r>
      <w:proofErr w:type="gramStart"/>
      <w:r w:rsidRPr="008E40B2">
        <w:rPr>
          <w:rFonts w:ascii="標楷體" w:eastAsia="標楷體" w:hAnsi="標楷體" w:hint="eastAsia"/>
          <w:szCs w:val="24"/>
        </w:rPr>
        <w:t>得衡酌中</w:t>
      </w:r>
      <w:proofErr w:type="gramEnd"/>
      <w:r w:rsidRPr="008E40B2">
        <w:rPr>
          <w:rFonts w:ascii="標楷體" w:eastAsia="標楷體" w:hAnsi="標楷體" w:hint="eastAsia"/>
          <w:szCs w:val="24"/>
        </w:rPr>
        <w:t>繼住宅之政策功能及空置情況，將</w:t>
      </w:r>
      <w:proofErr w:type="gramStart"/>
      <w:r w:rsidRPr="008E40B2">
        <w:rPr>
          <w:rFonts w:ascii="標楷體" w:eastAsia="標楷體" w:hAnsi="標楷體" w:hint="eastAsia"/>
          <w:szCs w:val="24"/>
        </w:rPr>
        <w:t>空置戶數</w:t>
      </w:r>
      <w:proofErr w:type="gramEnd"/>
      <w:r w:rsidRPr="008E40B2">
        <w:rPr>
          <w:rFonts w:ascii="標楷體" w:eastAsia="標楷體" w:hAnsi="標楷體" w:hint="eastAsia"/>
          <w:szCs w:val="24"/>
        </w:rPr>
        <w:t>於空置期間辦理短期出租或使用。截至113年9月底止，臺北市中繼住宅包括永平、基河三期出租國宅及斯文里</w:t>
      </w:r>
      <w:proofErr w:type="gramStart"/>
      <w:r w:rsidRPr="008E40B2">
        <w:rPr>
          <w:rFonts w:ascii="標楷體" w:eastAsia="標楷體" w:hAnsi="標楷體" w:hint="eastAsia"/>
          <w:szCs w:val="24"/>
        </w:rPr>
        <w:t>三期社宅等</w:t>
      </w:r>
      <w:proofErr w:type="gramEnd"/>
      <w:r w:rsidRPr="008E40B2">
        <w:rPr>
          <w:rFonts w:ascii="標楷體" w:eastAsia="標楷體" w:hAnsi="標楷體" w:hint="eastAsia"/>
          <w:szCs w:val="24"/>
        </w:rPr>
        <w:t>3處共計384戶，其中斯文里三期社</w:t>
      </w:r>
    </w:p>
    <w:p w14:paraId="253EC076" w14:textId="646CCD4C" w:rsidR="00F1456A" w:rsidRPr="008E40B2" w:rsidRDefault="00F1456A" w:rsidP="00F1456A">
      <w:pPr>
        <w:overflowPunct w:val="0"/>
        <w:snapToGrid w:val="0"/>
        <w:spacing w:beforeLines="40" w:before="144" w:afterLines="20" w:after="72" w:line="460" w:lineRule="exact"/>
        <w:jc w:val="both"/>
        <w:rPr>
          <w:rFonts w:ascii="標楷體" w:eastAsia="標楷體" w:hAnsi="標楷體"/>
          <w:szCs w:val="24"/>
        </w:rPr>
      </w:pPr>
      <w:proofErr w:type="gramStart"/>
      <w:r w:rsidRPr="008E40B2">
        <w:rPr>
          <w:rFonts w:ascii="標楷體" w:eastAsia="標楷體" w:hAnsi="標楷體" w:hint="eastAsia"/>
          <w:szCs w:val="24"/>
        </w:rPr>
        <w:lastRenderedPageBreak/>
        <w:t>宅計21戶</w:t>
      </w:r>
      <w:proofErr w:type="gramEnd"/>
      <w:r w:rsidRPr="008E40B2">
        <w:rPr>
          <w:rFonts w:ascii="標楷體" w:eastAsia="標楷體" w:hAnsi="標楷體" w:hint="eastAsia"/>
          <w:szCs w:val="24"/>
        </w:rPr>
        <w:t>，為</w:t>
      </w:r>
      <w:proofErr w:type="gramStart"/>
      <w:r w:rsidRPr="008E40B2">
        <w:rPr>
          <w:rFonts w:ascii="標楷體" w:eastAsia="標楷體" w:hAnsi="標楷體" w:hint="eastAsia"/>
          <w:szCs w:val="24"/>
        </w:rPr>
        <w:t>專案控留供</w:t>
      </w:r>
      <w:proofErr w:type="gramEnd"/>
      <w:r w:rsidRPr="008E40B2">
        <w:rPr>
          <w:rFonts w:ascii="標楷體" w:eastAsia="標楷體" w:hAnsi="標楷體" w:hint="eastAsia"/>
          <w:szCs w:val="24"/>
        </w:rPr>
        <w:t>斯文里二期</w:t>
      </w:r>
      <w:proofErr w:type="gramStart"/>
      <w:r w:rsidRPr="008E40B2">
        <w:rPr>
          <w:rFonts w:ascii="標楷體" w:eastAsia="標楷體" w:hAnsi="標楷體" w:hint="eastAsia"/>
          <w:szCs w:val="24"/>
        </w:rPr>
        <w:t>整宅公辦</w:t>
      </w:r>
      <w:proofErr w:type="gramEnd"/>
      <w:r w:rsidRPr="008E40B2">
        <w:rPr>
          <w:rFonts w:ascii="標楷體" w:eastAsia="標楷體" w:hAnsi="標楷體" w:hint="eastAsia"/>
          <w:szCs w:val="24"/>
        </w:rPr>
        <w:t>都市更新安置使用，原預計安置期間為112年1月至115年7月，</w:t>
      </w:r>
      <w:proofErr w:type="gramStart"/>
      <w:r w:rsidRPr="008E40B2">
        <w:rPr>
          <w:rFonts w:ascii="標楷體" w:eastAsia="標楷體" w:hAnsi="標楷體" w:hint="eastAsia"/>
          <w:szCs w:val="24"/>
        </w:rPr>
        <w:t>嗣</w:t>
      </w:r>
      <w:proofErr w:type="gramEnd"/>
      <w:r w:rsidRPr="008E40B2">
        <w:rPr>
          <w:rFonts w:ascii="標楷體" w:eastAsia="標楷體" w:hAnsi="標楷體" w:hint="eastAsia"/>
          <w:szCs w:val="24"/>
        </w:rPr>
        <w:t>因該公辦都更之興建方案多次發包流標，經檢討調整規劃，以招商方式推動，因而該21戶</w:t>
      </w:r>
      <w:proofErr w:type="gramStart"/>
      <w:r w:rsidRPr="008E40B2">
        <w:rPr>
          <w:rFonts w:ascii="標楷體" w:eastAsia="標楷體" w:hAnsi="標楷體" w:hint="eastAsia"/>
          <w:szCs w:val="24"/>
        </w:rPr>
        <w:t>社宅於</w:t>
      </w:r>
      <w:proofErr w:type="gramEnd"/>
      <w:r w:rsidRPr="008E40B2">
        <w:rPr>
          <w:rFonts w:ascii="標楷體" w:eastAsia="標楷體" w:hAnsi="標楷體" w:hint="eastAsia"/>
          <w:szCs w:val="24"/>
        </w:rPr>
        <w:t>該安置期間未作為中繼住宅使用，</w:t>
      </w:r>
      <w:proofErr w:type="gramStart"/>
      <w:r w:rsidRPr="008E40B2">
        <w:rPr>
          <w:rFonts w:ascii="標楷體" w:eastAsia="標楷體" w:hAnsi="標楷體" w:hint="eastAsia"/>
          <w:szCs w:val="24"/>
        </w:rPr>
        <w:t>惟住都</w:t>
      </w:r>
      <w:proofErr w:type="gramEnd"/>
      <w:r w:rsidRPr="008E40B2">
        <w:rPr>
          <w:rFonts w:ascii="標楷體" w:eastAsia="標楷體" w:hAnsi="標楷體" w:hint="eastAsia"/>
          <w:szCs w:val="24"/>
        </w:rPr>
        <w:t>中心</w:t>
      </w:r>
      <w:proofErr w:type="gramStart"/>
      <w:r w:rsidRPr="008E40B2">
        <w:rPr>
          <w:rFonts w:ascii="標楷體" w:eastAsia="標楷體" w:hAnsi="標楷體" w:hint="eastAsia"/>
          <w:szCs w:val="24"/>
        </w:rPr>
        <w:t>迨</w:t>
      </w:r>
      <w:proofErr w:type="gramEnd"/>
      <w:r w:rsidRPr="008E40B2">
        <w:rPr>
          <w:rFonts w:ascii="標楷體" w:eastAsia="標楷體" w:hAnsi="標楷體" w:hint="eastAsia"/>
          <w:szCs w:val="24"/>
        </w:rPr>
        <w:t>至</w:t>
      </w:r>
      <w:proofErr w:type="gramStart"/>
      <w:r w:rsidRPr="008E40B2">
        <w:rPr>
          <w:rFonts w:ascii="標楷體" w:eastAsia="標楷體" w:hAnsi="標楷體" w:hint="eastAsia"/>
          <w:szCs w:val="24"/>
        </w:rPr>
        <w:t>113年11月1日始函報</w:t>
      </w:r>
      <w:proofErr w:type="gramEnd"/>
      <w:r w:rsidRPr="008E40B2">
        <w:rPr>
          <w:rFonts w:ascii="標楷體" w:eastAsia="標楷體" w:hAnsi="標楷體" w:hint="eastAsia"/>
          <w:szCs w:val="24"/>
        </w:rPr>
        <w:t>該局申請辦理上開中繼住宅戶進行短期招租，空置期間長達22個月等情事，經函請檢討改善。據復：住都中心經於114年2月13日公告本案斯文里</w:t>
      </w:r>
      <w:proofErr w:type="gramStart"/>
      <w:r w:rsidRPr="008E40B2">
        <w:rPr>
          <w:rFonts w:ascii="標楷體" w:eastAsia="標楷體" w:hAnsi="標楷體" w:hint="eastAsia"/>
          <w:szCs w:val="24"/>
        </w:rPr>
        <w:t>三期社宅中</w:t>
      </w:r>
      <w:proofErr w:type="gramEnd"/>
      <w:r w:rsidRPr="008E40B2">
        <w:rPr>
          <w:rFonts w:ascii="標楷體" w:eastAsia="標楷體" w:hAnsi="標楷體" w:hint="eastAsia"/>
          <w:szCs w:val="24"/>
        </w:rPr>
        <w:t>繼住宅21戶之短期招租事宜，截至114年5月已完成簽約16戶，其餘5戶依序通知候租戶遞補中。</w:t>
      </w:r>
    </w:p>
    <w:p w14:paraId="736A481B" w14:textId="77777777" w:rsidR="00F1456A" w:rsidRDefault="00F1456A" w:rsidP="00F1456A">
      <w:pPr>
        <w:overflowPunct w:val="0"/>
        <w:snapToGrid w:val="0"/>
        <w:spacing w:beforeLines="20" w:before="72" w:afterLines="20" w:after="72" w:line="440" w:lineRule="exact"/>
        <w:ind w:firstLineChars="100" w:firstLine="280"/>
        <w:jc w:val="both"/>
        <w:rPr>
          <w:rFonts w:ascii="標楷體" w:eastAsia="標楷體" w:hAnsi="標楷體"/>
          <w:b/>
        </w:rPr>
      </w:pPr>
      <w:r>
        <w:rPr>
          <w:rFonts w:ascii="標楷體" w:eastAsia="標楷體" w:hint="eastAsia"/>
          <w:b/>
          <w:sz w:val="28"/>
          <w:szCs w:val="28"/>
        </w:rPr>
        <w:t>（二）</w:t>
      </w:r>
      <w:r w:rsidRPr="00444FD7">
        <w:rPr>
          <w:rFonts w:ascii="標楷體" w:eastAsia="標楷體" w:hint="eastAsia"/>
          <w:b/>
          <w:sz w:val="28"/>
          <w:szCs w:val="28"/>
        </w:rPr>
        <w:t>為即時提供民眾適宜及可負擔之居住環境，精進社會住宅工程驗收及</w:t>
      </w:r>
      <w:proofErr w:type="gramStart"/>
      <w:r w:rsidRPr="00444FD7">
        <w:rPr>
          <w:rFonts w:ascii="標楷體" w:eastAsia="標楷體" w:hint="eastAsia"/>
          <w:b/>
          <w:sz w:val="28"/>
          <w:szCs w:val="28"/>
        </w:rPr>
        <w:t>配租入</w:t>
      </w:r>
      <w:proofErr w:type="gramEnd"/>
      <w:r w:rsidRPr="00444FD7">
        <w:rPr>
          <w:rFonts w:ascii="標楷體" w:eastAsia="標楷體" w:hint="eastAsia"/>
          <w:b/>
          <w:sz w:val="28"/>
          <w:szCs w:val="28"/>
        </w:rPr>
        <w:t>住等管控時程，</w:t>
      </w:r>
      <w:proofErr w:type="gramStart"/>
      <w:r w:rsidRPr="00444FD7">
        <w:rPr>
          <w:rFonts w:ascii="標楷體" w:eastAsia="標楷體" w:hint="eastAsia"/>
          <w:b/>
          <w:sz w:val="28"/>
          <w:szCs w:val="28"/>
        </w:rPr>
        <w:t>惟間有建</w:t>
      </w:r>
      <w:proofErr w:type="gramEnd"/>
      <w:r w:rsidRPr="00444FD7">
        <w:rPr>
          <w:rFonts w:ascii="標楷體" w:eastAsia="標楷體" w:hint="eastAsia"/>
          <w:b/>
          <w:sz w:val="28"/>
          <w:szCs w:val="28"/>
        </w:rPr>
        <w:t>案取得使用執照及開放入住日，</w:t>
      </w:r>
      <w:proofErr w:type="gramStart"/>
      <w:r w:rsidRPr="00444FD7">
        <w:rPr>
          <w:rFonts w:ascii="標楷體" w:eastAsia="標楷體" w:hint="eastAsia"/>
          <w:b/>
          <w:sz w:val="28"/>
          <w:szCs w:val="28"/>
        </w:rPr>
        <w:t>超逾管控</w:t>
      </w:r>
      <w:proofErr w:type="gramEnd"/>
      <w:r w:rsidRPr="00444FD7">
        <w:rPr>
          <w:rFonts w:ascii="標楷體" w:eastAsia="標楷體" w:hint="eastAsia"/>
          <w:b/>
          <w:sz w:val="28"/>
          <w:szCs w:val="28"/>
        </w:rPr>
        <w:t>時程情事，有待</w:t>
      </w:r>
      <w:proofErr w:type="gramStart"/>
      <w:r w:rsidRPr="00444FD7">
        <w:rPr>
          <w:rFonts w:ascii="標楷體" w:eastAsia="標楷體" w:hint="eastAsia"/>
          <w:b/>
          <w:sz w:val="28"/>
          <w:szCs w:val="28"/>
        </w:rPr>
        <w:t>研</w:t>
      </w:r>
      <w:proofErr w:type="gramEnd"/>
      <w:r w:rsidRPr="00444FD7">
        <w:rPr>
          <w:rFonts w:ascii="標楷體" w:eastAsia="標楷體" w:hint="eastAsia"/>
          <w:b/>
          <w:sz w:val="28"/>
          <w:szCs w:val="28"/>
        </w:rPr>
        <w:t>謀改善</w:t>
      </w:r>
      <w:r w:rsidRPr="00881FAC">
        <w:rPr>
          <w:rFonts w:ascii="標楷體" w:eastAsia="標楷體" w:hint="eastAsia"/>
          <w:b/>
          <w:sz w:val="28"/>
          <w:szCs w:val="28"/>
        </w:rPr>
        <w:t>。</w:t>
      </w:r>
    </w:p>
    <w:p w14:paraId="5F3D8DA5" w14:textId="77777777" w:rsidR="00F1456A" w:rsidRDefault="00F1456A" w:rsidP="00170FDA">
      <w:pPr>
        <w:overflowPunct w:val="0"/>
        <w:snapToGrid w:val="0"/>
        <w:spacing w:before="120" w:after="60" w:line="440" w:lineRule="exact"/>
        <w:ind w:firstLineChars="200" w:firstLine="480"/>
        <w:jc w:val="distribute"/>
        <w:rPr>
          <w:rFonts w:ascii="標楷體" w:eastAsia="標楷體" w:hAnsi="標楷體"/>
          <w:szCs w:val="24"/>
        </w:rPr>
      </w:pPr>
      <w:r>
        <w:rPr>
          <w:rFonts w:ascii="新細明體" w:hAnsi="新細明體" w:cs="新細明體"/>
          <w:noProof/>
          <w:kern w:val="0"/>
        </w:rPr>
        <mc:AlternateContent>
          <mc:Choice Requires="wps">
            <w:drawing>
              <wp:anchor distT="45720" distB="45720" distL="114300" distR="114300" simplePos="0" relativeHeight="251821056" behindDoc="1" locked="0" layoutInCell="1" allowOverlap="1" wp14:anchorId="0D2263EA" wp14:editId="7B5FC8BE">
                <wp:simplePos x="0" y="0"/>
                <wp:positionH relativeFrom="column">
                  <wp:posOffset>2141855</wp:posOffset>
                </wp:positionH>
                <wp:positionV relativeFrom="paragraph">
                  <wp:posOffset>2364105</wp:posOffset>
                </wp:positionV>
                <wp:extent cx="4229100" cy="3810000"/>
                <wp:effectExtent l="0" t="0" r="0" b="0"/>
                <wp:wrapTight wrapText="bothSides">
                  <wp:wrapPolygon edited="0">
                    <wp:start x="0" y="0"/>
                    <wp:lineTo x="0" y="21492"/>
                    <wp:lineTo x="21503" y="21492"/>
                    <wp:lineTo x="21503" y="0"/>
                    <wp:lineTo x="0" y="0"/>
                  </wp:wrapPolygon>
                </wp:wrapTight>
                <wp:docPr id="53" name="文字方塊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3810000"/>
                        </a:xfrm>
                        <a:prstGeom prst="rect">
                          <a:avLst/>
                        </a:prstGeom>
                        <a:solidFill>
                          <a:srgbClr val="FFFFFF"/>
                        </a:solidFill>
                        <a:ln w="9525">
                          <a:noFill/>
                          <a:miter lim="800000"/>
                          <a:headEnd/>
                          <a:tailEnd/>
                        </a:ln>
                      </wps:spPr>
                      <wps:txbx>
                        <w:txbxContent>
                          <w:tbl>
                            <w:tblPr>
                              <w:tblStyle w:val="a6"/>
                              <w:tblW w:w="6384" w:type="dxa"/>
                              <w:tblInd w:w="-5" w:type="dxa"/>
                              <w:tblLayout w:type="fixed"/>
                              <w:tblLook w:val="04A0" w:firstRow="1" w:lastRow="0" w:firstColumn="1" w:lastColumn="0" w:noHBand="0" w:noVBand="1"/>
                            </w:tblPr>
                            <w:tblGrid>
                              <w:gridCol w:w="392"/>
                              <w:gridCol w:w="1174"/>
                              <w:gridCol w:w="542"/>
                              <w:gridCol w:w="876"/>
                              <w:gridCol w:w="993"/>
                              <w:gridCol w:w="994"/>
                              <w:gridCol w:w="704"/>
                              <w:gridCol w:w="709"/>
                            </w:tblGrid>
                            <w:tr w:rsidR="00F1456A" w14:paraId="3225C2F9" w14:textId="77777777" w:rsidTr="00A60CE6">
                              <w:trPr>
                                <w:tblHeader/>
                              </w:trPr>
                              <w:tc>
                                <w:tcPr>
                                  <w:tcW w:w="6384" w:type="dxa"/>
                                  <w:gridSpan w:val="8"/>
                                  <w:tcBorders>
                                    <w:top w:val="nil"/>
                                    <w:left w:val="nil"/>
                                    <w:bottom w:val="single" w:sz="4" w:space="0" w:color="auto"/>
                                    <w:right w:val="nil"/>
                                  </w:tcBorders>
                                  <w:shd w:val="clear" w:color="auto" w:fill="FFFFFF" w:themeFill="background1"/>
                                  <w:vAlign w:val="center"/>
                                  <w:hideMark/>
                                </w:tcPr>
                                <w:p w14:paraId="1B8400F7" w14:textId="4F40F371" w:rsidR="00F1456A" w:rsidRPr="002A6175" w:rsidRDefault="00F1456A">
                                  <w:pPr>
                                    <w:spacing w:line="300" w:lineRule="exact"/>
                                    <w:jc w:val="center"/>
                                    <w:rPr>
                                      <w:rFonts w:ascii="標楷體" w:eastAsia="標楷體" w:hAnsi="標楷體"/>
                                      <w:b/>
                                      <w:sz w:val="24"/>
                                      <w:szCs w:val="24"/>
                                      <w:highlight w:val="yellow"/>
                                    </w:rPr>
                                  </w:pPr>
                                  <w:r w:rsidRPr="002A6175">
                                    <w:rPr>
                                      <w:rFonts w:ascii="標楷體" w:eastAsia="標楷體" w:hAnsi="標楷體" w:hint="eastAsia"/>
                                      <w:b/>
                                      <w:sz w:val="24"/>
                                      <w:szCs w:val="24"/>
                                    </w:rPr>
                                    <w:t>表</w:t>
                                  </w:r>
                                  <w:r>
                                    <w:rPr>
                                      <w:rFonts w:ascii="標楷體" w:eastAsia="標楷體" w:hAnsi="標楷體"/>
                                      <w:b/>
                                      <w:sz w:val="24"/>
                                      <w:szCs w:val="24"/>
                                    </w:rPr>
                                    <w:t>2</w:t>
                                  </w:r>
                                  <w:r w:rsidR="005D009F">
                                    <w:rPr>
                                      <w:rFonts w:ascii="標楷體" w:eastAsia="標楷體" w:hAnsi="標楷體" w:hint="eastAsia"/>
                                      <w:b/>
                                      <w:sz w:val="24"/>
                                      <w:szCs w:val="24"/>
                                    </w:rPr>
                                    <w:t xml:space="preserve">　</w:t>
                                  </w:r>
                                  <w:r w:rsidRPr="002A6175">
                                    <w:rPr>
                                      <w:rFonts w:ascii="標楷體" w:eastAsia="標楷體" w:hAnsi="標楷體" w:hint="eastAsia"/>
                                      <w:b/>
                                      <w:sz w:val="24"/>
                                      <w:szCs w:val="24"/>
                                    </w:rPr>
                                    <w:t>社會住宅竣工日至取得使用執照及後續入住時程</w:t>
                                  </w:r>
                                </w:p>
                              </w:tc>
                            </w:tr>
                            <w:tr w:rsidR="00F1456A" w14:paraId="0617AE64" w14:textId="77777777" w:rsidTr="00A60CE6">
                              <w:trPr>
                                <w:trHeight w:val="258"/>
                                <w:tblHeader/>
                              </w:trPr>
                              <w:tc>
                                <w:tcPr>
                                  <w:tcW w:w="392"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6DB5899E" w14:textId="77777777" w:rsidR="00F1456A" w:rsidRDefault="00F1456A">
                                  <w:pPr>
                                    <w:spacing w:line="240" w:lineRule="exact"/>
                                    <w:jc w:val="center"/>
                                    <w:rPr>
                                      <w:rFonts w:ascii="標楷體" w:eastAsia="標楷體" w:hAnsi="標楷體"/>
                                      <w:spacing w:val="-12"/>
                                    </w:rPr>
                                  </w:pPr>
                                  <w:r>
                                    <w:rPr>
                                      <w:rFonts w:ascii="標楷體" w:eastAsia="標楷體" w:hAnsi="標楷體" w:hint="eastAsia"/>
                                      <w:spacing w:val="-12"/>
                                    </w:rPr>
                                    <w:t>項次</w:t>
                                  </w:r>
                                </w:p>
                              </w:tc>
                              <w:tc>
                                <w:tcPr>
                                  <w:tcW w:w="1174"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686D7752" w14:textId="77777777" w:rsidR="00F1456A" w:rsidRDefault="00F1456A" w:rsidP="009170F2">
                                  <w:pPr>
                                    <w:spacing w:line="240" w:lineRule="exact"/>
                                    <w:jc w:val="center"/>
                                    <w:rPr>
                                      <w:rFonts w:ascii="標楷體" w:eastAsia="標楷體" w:hAnsi="標楷體"/>
                                      <w:spacing w:val="-12"/>
                                    </w:rPr>
                                  </w:pPr>
                                  <w:proofErr w:type="gramStart"/>
                                  <w:r>
                                    <w:rPr>
                                      <w:rFonts w:ascii="標楷體" w:eastAsia="標楷體" w:hAnsi="標楷體" w:hint="eastAsia"/>
                                      <w:spacing w:val="-12"/>
                                    </w:rPr>
                                    <w:t>案名</w:t>
                                  </w:r>
                                  <w:proofErr w:type="gramEnd"/>
                                </w:p>
                              </w:tc>
                              <w:tc>
                                <w:tcPr>
                                  <w:tcW w:w="542"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4A87679F" w14:textId="77777777" w:rsidR="00F1456A" w:rsidRDefault="00F1456A" w:rsidP="009170F2">
                                  <w:pPr>
                                    <w:spacing w:line="240" w:lineRule="exact"/>
                                    <w:jc w:val="center"/>
                                    <w:rPr>
                                      <w:rFonts w:ascii="標楷體" w:eastAsia="標楷體" w:hAnsi="標楷體"/>
                                    </w:rPr>
                                  </w:pPr>
                                  <w:r>
                                    <w:rPr>
                                      <w:rFonts w:ascii="標楷體" w:eastAsia="標楷體" w:hAnsi="標楷體" w:hint="eastAsia"/>
                                    </w:rPr>
                                    <w:t>戶數</w:t>
                                  </w:r>
                                </w:p>
                              </w:tc>
                              <w:tc>
                                <w:tcPr>
                                  <w:tcW w:w="876"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479F08A4" w14:textId="77777777" w:rsidR="00F1456A" w:rsidRDefault="00F1456A" w:rsidP="009170F2">
                                  <w:pPr>
                                    <w:spacing w:line="240" w:lineRule="exact"/>
                                    <w:jc w:val="center"/>
                                    <w:rPr>
                                      <w:rFonts w:ascii="標楷體" w:eastAsia="標楷體" w:hAnsi="標楷體"/>
                                      <w:spacing w:val="-20"/>
                                    </w:rPr>
                                  </w:pPr>
                                  <w:r>
                                    <w:rPr>
                                      <w:rFonts w:ascii="標楷體" w:eastAsia="標楷體" w:hAnsi="標楷體" w:hint="eastAsia"/>
                                      <w:spacing w:val="-20"/>
                                    </w:rPr>
                                    <w:t>竣工日</w:t>
                                  </w:r>
                                </w:p>
                                <w:p w14:paraId="3B1B592A" w14:textId="77777777" w:rsidR="00F1456A" w:rsidRDefault="00F1456A" w:rsidP="009170F2">
                                  <w:pPr>
                                    <w:spacing w:line="240" w:lineRule="exact"/>
                                    <w:jc w:val="center"/>
                                    <w:rPr>
                                      <w:rFonts w:ascii="標楷體" w:eastAsia="標楷體" w:hAnsi="標楷體"/>
                                      <w:spacing w:val="-20"/>
                                    </w:rPr>
                                  </w:pPr>
                                  <w:r>
                                    <w:rPr>
                                      <w:rFonts w:ascii="標楷體" w:eastAsia="標楷體" w:hAnsi="標楷體" w:hint="eastAsia"/>
                                      <w:spacing w:val="-20"/>
                                    </w:rPr>
                                    <w:t>（A）</w:t>
                                  </w:r>
                                </w:p>
                              </w:tc>
                              <w:tc>
                                <w:tcPr>
                                  <w:tcW w:w="993"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23387514" w14:textId="77777777" w:rsidR="00F1456A" w:rsidRDefault="00F1456A" w:rsidP="005D009F">
                                  <w:pPr>
                                    <w:spacing w:line="240" w:lineRule="exact"/>
                                    <w:ind w:leftChars="-24" w:left="-58" w:rightChars="-12" w:right="-29"/>
                                    <w:jc w:val="center"/>
                                    <w:rPr>
                                      <w:rFonts w:ascii="標楷體" w:eastAsia="標楷體" w:hAnsi="標楷體"/>
                                      <w:spacing w:val="-20"/>
                                    </w:rPr>
                                  </w:pPr>
                                  <w:r>
                                    <w:rPr>
                                      <w:rFonts w:ascii="標楷體" w:eastAsia="標楷體" w:hAnsi="標楷體" w:hint="eastAsia"/>
                                      <w:spacing w:val="-20"/>
                                    </w:rPr>
                                    <w:t>使用執照發照日（B）</w:t>
                                  </w:r>
                                </w:p>
                              </w:tc>
                              <w:tc>
                                <w:tcPr>
                                  <w:tcW w:w="994"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47F04B6B" w14:textId="77777777" w:rsidR="00F1456A" w:rsidRDefault="00F1456A" w:rsidP="009170F2">
                                  <w:pPr>
                                    <w:spacing w:line="240" w:lineRule="exact"/>
                                    <w:jc w:val="center"/>
                                    <w:rPr>
                                      <w:rFonts w:ascii="標楷體" w:eastAsia="標楷體" w:hAnsi="標楷體"/>
                                      <w:spacing w:val="-20"/>
                                    </w:rPr>
                                  </w:pPr>
                                  <w:r>
                                    <w:rPr>
                                      <w:rFonts w:ascii="標楷體" w:eastAsia="標楷體" w:hAnsi="標楷體" w:hint="eastAsia"/>
                                      <w:spacing w:val="-20"/>
                                    </w:rPr>
                                    <w:t>入住日</w:t>
                                  </w:r>
                                </w:p>
                                <w:p w14:paraId="688A28D3" w14:textId="77777777" w:rsidR="00F1456A" w:rsidRDefault="00F1456A" w:rsidP="009170F2">
                                  <w:pPr>
                                    <w:spacing w:line="240" w:lineRule="exact"/>
                                    <w:jc w:val="center"/>
                                    <w:rPr>
                                      <w:rFonts w:ascii="標楷體" w:eastAsia="標楷體" w:hAnsi="標楷體"/>
                                      <w:spacing w:val="-20"/>
                                    </w:rPr>
                                  </w:pPr>
                                  <w:r>
                                    <w:rPr>
                                      <w:rFonts w:ascii="標楷體" w:eastAsia="標楷體" w:hAnsi="標楷體" w:hint="eastAsia"/>
                                      <w:spacing w:val="-20"/>
                                    </w:rPr>
                                    <w:t>（C）</w:t>
                                  </w:r>
                                </w:p>
                              </w:tc>
                              <w:tc>
                                <w:tcPr>
                                  <w:tcW w:w="14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174D2882" w14:textId="77777777" w:rsidR="00F1456A" w:rsidRDefault="00F1456A" w:rsidP="005D009F">
                                  <w:pPr>
                                    <w:spacing w:line="240" w:lineRule="exact"/>
                                    <w:jc w:val="center"/>
                                    <w:rPr>
                                      <w:rFonts w:ascii="標楷體" w:eastAsia="標楷體" w:hAnsi="標楷體"/>
                                    </w:rPr>
                                  </w:pPr>
                                  <w:r>
                                    <w:rPr>
                                      <w:rFonts w:ascii="標楷體" w:eastAsia="標楷體" w:hAnsi="標楷體" w:hint="eastAsia"/>
                                    </w:rPr>
                                    <w:t>間隔月數</w:t>
                                  </w:r>
                                </w:p>
                              </w:tc>
                            </w:tr>
                            <w:tr w:rsidR="00F1456A" w14:paraId="249BC1CC" w14:textId="77777777" w:rsidTr="00A60CE6">
                              <w:trPr>
                                <w:trHeight w:val="240"/>
                                <w:tblHeader/>
                              </w:trPr>
                              <w:tc>
                                <w:tcPr>
                                  <w:tcW w:w="392" w:type="dxa"/>
                                  <w:vMerge/>
                                  <w:tcBorders>
                                    <w:left w:val="single" w:sz="4" w:space="0" w:color="auto"/>
                                    <w:bottom w:val="single" w:sz="4" w:space="0" w:color="auto"/>
                                    <w:right w:val="single" w:sz="4" w:space="0" w:color="auto"/>
                                  </w:tcBorders>
                                  <w:shd w:val="clear" w:color="auto" w:fill="FFFFFF" w:themeFill="background1"/>
                                  <w:vAlign w:val="center"/>
                                </w:tcPr>
                                <w:p w14:paraId="5589D76B" w14:textId="77777777" w:rsidR="00F1456A" w:rsidRDefault="00F1456A">
                                  <w:pPr>
                                    <w:spacing w:line="240" w:lineRule="exact"/>
                                    <w:jc w:val="center"/>
                                    <w:rPr>
                                      <w:rFonts w:ascii="標楷體" w:eastAsia="標楷體" w:hAnsi="標楷體"/>
                                      <w:spacing w:val="-12"/>
                                    </w:rPr>
                                  </w:pPr>
                                </w:p>
                              </w:tc>
                              <w:tc>
                                <w:tcPr>
                                  <w:tcW w:w="1174" w:type="dxa"/>
                                  <w:vMerge/>
                                  <w:tcBorders>
                                    <w:left w:val="single" w:sz="4" w:space="0" w:color="auto"/>
                                    <w:bottom w:val="single" w:sz="4" w:space="0" w:color="auto"/>
                                    <w:right w:val="single" w:sz="4" w:space="0" w:color="auto"/>
                                  </w:tcBorders>
                                  <w:shd w:val="clear" w:color="auto" w:fill="FFFFFF" w:themeFill="background1"/>
                                  <w:vAlign w:val="center"/>
                                </w:tcPr>
                                <w:p w14:paraId="2419FA57" w14:textId="77777777" w:rsidR="00F1456A" w:rsidRDefault="00F1456A" w:rsidP="009170F2">
                                  <w:pPr>
                                    <w:spacing w:line="240" w:lineRule="exact"/>
                                    <w:jc w:val="center"/>
                                    <w:rPr>
                                      <w:rFonts w:ascii="標楷體" w:eastAsia="標楷體" w:hAnsi="標楷體"/>
                                      <w:spacing w:val="-12"/>
                                    </w:rPr>
                                  </w:pPr>
                                </w:p>
                              </w:tc>
                              <w:tc>
                                <w:tcPr>
                                  <w:tcW w:w="542" w:type="dxa"/>
                                  <w:vMerge/>
                                  <w:tcBorders>
                                    <w:left w:val="single" w:sz="4" w:space="0" w:color="auto"/>
                                    <w:bottom w:val="single" w:sz="4" w:space="0" w:color="auto"/>
                                    <w:right w:val="single" w:sz="4" w:space="0" w:color="auto"/>
                                  </w:tcBorders>
                                  <w:shd w:val="clear" w:color="auto" w:fill="FFFFFF" w:themeFill="background1"/>
                                  <w:vAlign w:val="center"/>
                                </w:tcPr>
                                <w:p w14:paraId="13A5A69D" w14:textId="77777777" w:rsidR="00F1456A" w:rsidRDefault="00F1456A" w:rsidP="009170F2">
                                  <w:pPr>
                                    <w:spacing w:line="240" w:lineRule="exact"/>
                                    <w:jc w:val="center"/>
                                    <w:rPr>
                                      <w:rFonts w:ascii="標楷體" w:eastAsia="標楷體" w:hAnsi="標楷體"/>
                                    </w:rPr>
                                  </w:pPr>
                                </w:p>
                              </w:tc>
                              <w:tc>
                                <w:tcPr>
                                  <w:tcW w:w="876" w:type="dxa"/>
                                  <w:vMerge/>
                                  <w:tcBorders>
                                    <w:left w:val="single" w:sz="4" w:space="0" w:color="auto"/>
                                    <w:bottom w:val="single" w:sz="4" w:space="0" w:color="auto"/>
                                    <w:right w:val="single" w:sz="4" w:space="0" w:color="auto"/>
                                  </w:tcBorders>
                                  <w:shd w:val="clear" w:color="auto" w:fill="FFFFFF" w:themeFill="background1"/>
                                  <w:vAlign w:val="center"/>
                                </w:tcPr>
                                <w:p w14:paraId="54F581B1" w14:textId="77777777" w:rsidR="00F1456A" w:rsidRDefault="00F1456A" w:rsidP="009170F2">
                                  <w:pPr>
                                    <w:spacing w:line="240" w:lineRule="exact"/>
                                    <w:jc w:val="center"/>
                                    <w:rPr>
                                      <w:rFonts w:ascii="標楷體" w:eastAsia="標楷體" w:hAnsi="標楷體"/>
                                      <w:spacing w:val="-20"/>
                                    </w:rPr>
                                  </w:pPr>
                                </w:p>
                              </w:tc>
                              <w:tc>
                                <w:tcPr>
                                  <w:tcW w:w="993" w:type="dxa"/>
                                  <w:vMerge/>
                                  <w:tcBorders>
                                    <w:left w:val="single" w:sz="4" w:space="0" w:color="auto"/>
                                    <w:bottom w:val="single" w:sz="4" w:space="0" w:color="auto"/>
                                    <w:right w:val="single" w:sz="4" w:space="0" w:color="auto"/>
                                  </w:tcBorders>
                                  <w:shd w:val="clear" w:color="auto" w:fill="FFFFFF" w:themeFill="background1"/>
                                  <w:vAlign w:val="center"/>
                                </w:tcPr>
                                <w:p w14:paraId="697D4707" w14:textId="77777777" w:rsidR="00F1456A" w:rsidRDefault="00F1456A" w:rsidP="009170F2">
                                  <w:pPr>
                                    <w:spacing w:line="240" w:lineRule="exact"/>
                                    <w:ind w:left="-118" w:firstLine="2"/>
                                    <w:jc w:val="center"/>
                                    <w:rPr>
                                      <w:rFonts w:ascii="標楷體" w:eastAsia="標楷體" w:hAnsi="標楷體"/>
                                      <w:spacing w:val="-20"/>
                                    </w:rPr>
                                  </w:pPr>
                                </w:p>
                              </w:tc>
                              <w:tc>
                                <w:tcPr>
                                  <w:tcW w:w="994" w:type="dxa"/>
                                  <w:vMerge/>
                                  <w:tcBorders>
                                    <w:left w:val="single" w:sz="4" w:space="0" w:color="auto"/>
                                    <w:bottom w:val="single" w:sz="4" w:space="0" w:color="auto"/>
                                    <w:right w:val="single" w:sz="4" w:space="0" w:color="auto"/>
                                  </w:tcBorders>
                                  <w:shd w:val="clear" w:color="auto" w:fill="FFFFFF" w:themeFill="background1"/>
                                  <w:vAlign w:val="center"/>
                                </w:tcPr>
                                <w:p w14:paraId="061ACEAF" w14:textId="77777777" w:rsidR="00F1456A" w:rsidRDefault="00F1456A" w:rsidP="009170F2">
                                  <w:pPr>
                                    <w:spacing w:line="240" w:lineRule="exact"/>
                                    <w:jc w:val="center"/>
                                    <w:rPr>
                                      <w:rFonts w:ascii="標楷體" w:eastAsia="標楷體" w:hAnsi="標楷體"/>
                                      <w:spacing w:val="-20"/>
                                    </w:rPr>
                                  </w:pPr>
                                </w:p>
                              </w:tc>
                              <w:tc>
                                <w:tcPr>
                                  <w:tcW w:w="704"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BBB5" w14:textId="77777777" w:rsidR="00F1456A" w:rsidRPr="00A60CE6" w:rsidRDefault="00F1456A" w:rsidP="00A60CE6">
                                  <w:pPr>
                                    <w:spacing w:line="240" w:lineRule="exact"/>
                                    <w:ind w:leftChars="-30" w:left="-72"/>
                                    <w:jc w:val="center"/>
                                    <w:rPr>
                                      <w:rFonts w:ascii="標楷體" w:eastAsia="標楷體" w:hAnsi="標楷體"/>
                                      <w:spacing w:val="-20"/>
                                    </w:rPr>
                                  </w:pPr>
                                  <w:r w:rsidRPr="00A60CE6">
                                    <w:rPr>
                                      <w:rFonts w:ascii="標楷體" w:eastAsia="標楷體" w:hAnsi="標楷體" w:hint="eastAsia"/>
                                      <w:spacing w:val="-20"/>
                                    </w:rPr>
                                    <w:t>（B-A）</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8E813" w14:textId="77777777" w:rsidR="00F1456A" w:rsidRPr="00A60CE6" w:rsidRDefault="00F1456A" w:rsidP="00A60CE6">
                                  <w:pPr>
                                    <w:spacing w:line="240" w:lineRule="exact"/>
                                    <w:ind w:leftChars="-30" w:left="-72"/>
                                    <w:jc w:val="center"/>
                                    <w:rPr>
                                      <w:rFonts w:ascii="標楷體" w:eastAsia="標楷體" w:hAnsi="標楷體"/>
                                      <w:spacing w:val="-20"/>
                                    </w:rPr>
                                  </w:pPr>
                                  <w:r w:rsidRPr="00A60CE6">
                                    <w:rPr>
                                      <w:rFonts w:ascii="標楷體" w:eastAsia="標楷體" w:hAnsi="標楷體" w:hint="eastAsia"/>
                                      <w:spacing w:val="-20"/>
                                    </w:rPr>
                                    <w:t>（C-</w:t>
                                  </w:r>
                                  <w:r w:rsidRPr="00A60CE6">
                                    <w:rPr>
                                      <w:rFonts w:ascii="標楷體" w:eastAsia="標楷體" w:hAnsi="標楷體"/>
                                      <w:spacing w:val="-20"/>
                                    </w:rPr>
                                    <w:t>B</w:t>
                                  </w:r>
                                  <w:r w:rsidRPr="00A60CE6">
                                    <w:rPr>
                                      <w:rFonts w:ascii="標楷體" w:eastAsia="標楷體" w:hAnsi="標楷體" w:hint="eastAsia"/>
                                      <w:spacing w:val="-20"/>
                                    </w:rPr>
                                    <w:t>）</w:t>
                                  </w:r>
                                </w:p>
                              </w:tc>
                            </w:tr>
                            <w:tr w:rsidR="00F1456A" w14:paraId="594B8A36" w14:textId="77777777" w:rsidTr="00A60CE6">
                              <w:trPr>
                                <w:trHeight w:val="284"/>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67EFD" w14:textId="77777777" w:rsidR="00F1456A" w:rsidRDefault="00F1456A">
                                  <w:pPr>
                                    <w:spacing w:line="260" w:lineRule="exact"/>
                                    <w:jc w:val="center"/>
                                    <w:rPr>
                                      <w:rFonts w:ascii="標楷體" w:eastAsia="標楷體" w:hAnsi="標楷體"/>
                                      <w:spacing w:val="-12"/>
                                    </w:rPr>
                                  </w:pPr>
                                  <w:r>
                                    <w:rPr>
                                      <w:rFonts w:ascii="標楷體" w:eastAsia="標楷體" w:hAnsi="標楷體" w:hint="eastAsia"/>
                                      <w:spacing w:val="-12"/>
                                    </w:rPr>
                                    <w:t>1</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225527" w14:textId="77777777" w:rsidR="00F1456A" w:rsidRDefault="00F1456A">
                                  <w:pPr>
                                    <w:spacing w:line="260" w:lineRule="exact"/>
                                    <w:rPr>
                                      <w:rFonts w:ascii="標楷體" w:eastAsia="標楷體" w:hAnsi="標楷體"/>
                                      <w:spacing w:val="-6"/>
                                    </w:rPr>
                                  </w:pPr>
                                  <w:r>
                                    <w:rPr>
                                      <w:rFonts w:ascii="標楷體" w:eastAsia="標楷體" w:hAnsi="標楷體" w:hint="eastAsia"/>
                                      <w:spacing w:val="-6"/>
                                    </w:rPr>
                                    <w:t>文山區和興水岸</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297736"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174</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CF1561"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112.8.14</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73FE03"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113.3.1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E46F6A"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113.10.4</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93036E"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78F91"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7</w:t>
                                  </w:r>
                                </w:p>
                              </w:tc>
                            </w:tr>
                            <w:tr w:rsidR="00F1456A" w14:paraId="0EF7C8D2" w14:textId="77777777" w:rsidTr="00A60CE6">
                              <w:trPr>
                                <w:trHeight w:val="284"/>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021FF8" w14:textId="77777777" w:rsidR="00F1456A" w:rsidRDefault="00F1456A" w:rsidP="00697887">
                                  <w:pPr>
                                    <w:spacing w:line="260" w:lineRule="exact"/>
                                    <w:jc w:val="center"/>
                                    <w:rPr>
                                      <w:rFonts w:ascii="標楷體" w:eastAsia="標楷體" w:hAnsi="標楷體"/>
                                      <w:spacing w:val="-10"/>
                                    </w:rPr>
                                  </w:pPr>
                                  <w:r>
                                    <w:rPr>
                                      <w:rFonts w:ascii="標楷體" w:eastAsia="標楷體" w:hAnsi="標楷體" w:hint="eastAsia"/>
                                      <w:spacing w:val="-10"/>
                                    </w:rPr>
                                    <w:t>2</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914B94" w14:textId="77777777" w:rsidR="00F1456A" w:rsidRDefault="00F1456A" w:rsidP="00697887">
                                  <w:pPr>
                                    <w:spacing w:line="260" w:lineRule="exact"/>
                                    <w:rPr>
                                      <w:rFonts w:ascii="標楷體" w:eastAsia="標楷體" w:hAnsi="標楷體"/>
                                      <w:spacing w:val="-6"/>
                                    </w:rPr>
                                  </w:pPr>
                                  <w:r>
                                    <w:rPr>
                                      <w:rFonts w:ascii="標楷體" w:eastAsia="標楷體" w:hAnsi="標楷體" w:hint="eastAsia"/>
                                      <w:spacing w:val="-6"/>
                                    </w:rPr>
                                    <w:t>廣慈博愛園區3區</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0D487A"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476</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A256BF" w14:textId="77777777" w:rsidR="00F1456A" w:rsidRDefault="00F1456A" w:rsidP="00697887">
                                  <w:pPr>
                                    <w:spacing w:line="260" w:lineRule="exact"/>
                                    <w:jc w:val="center"/>
                                    <w:rPr>
                                      <w:rFonts w:ascii="標楷體" w:eastAsia="標楷體" w:hAnsi="標楷體"/>
                                      <w:spacing w:val="-20"/>
                                    </w:rPr>
                                  </w:pPr>
                                  <w:r>
                                    <w:rPr>
                                      <w:rFonts w:ascii="標楷體" w:eastAsia="標楷體" w:hAnsi="標楷體" w:hint="eastAsia"/>
                                      <w:spacing w:val="-20"/>
                                    </w:rPr>
                                    <w:t>112.9.28</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6C2EA" w14:textId="77777777" w:rsidR="00F1456A" w:rsidRDefault="00F1456A" w:rsidP="00697887">
                                  <w:pPr>
                                    <w:spacing w:line="260" w:lineRule="exact"/>
                                    <w:jc w:val="center"/>
                                    <w:rPr>
                                      <w:rFonts w:ascii="標楷體" w:eastAsia="標楷體" w:hAnsi="標楷體"/>
                                      <w:spacing w:val="-20"/>
                                    </w:rPr>
                                  </w:pPr>
                                  <w:r>
                                    <w:rPr>
                                      <w:rFonts w:ascii="標楷體" w:eastAsia="標楷體" w:hAnsi="標楷體" w:hint="eastAsia"/>
                                      <w:spacing w:val="-20"/>
                                    </w:rPr>
                                    <w:t>113.3.29</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069A5" w14:textId="4432EA2E" w:rsidR="00F1456A" w:rsidRDefault="00F1456A" w:rsidP="004F6D52">
                                  <w:pPr>
                                    <w:spacing w:line="260" w:lineRule="exact"/>
                                    <w:jc w:val="center"/>
                                    <w:rPr>
                                      <w:rFonts w:ascii="標楷體" w:eastAsia="標楷體" w:hAnsi="標楷體"/>
                                      <w:spacing w:val="-20"/>
                                    </w:rPr>
                                  </w:pPr>
                                  <w:r>
                                    <w:rPr>
                                      <w:rFonts w:ascii="標楷體" w:eastAsia="標楷體" w:hAnsi="標楷體" w:hint="eastAsia"/>
                                      <w:spacing w:val="-20"/>
                                    </w:rPr>
                                    <w:t>113.11.1</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71A23A" w14:textId="77777777" w:rsidR="00F1456A" w:rsidRDefault="00F1456A" w:rsidP="005D009F">
                                  <w:pPr>
                                    <w:spacing w:line="260" w:lineRule="exact"/>
                                    <w:jc w:val="right"/>
                                    <w:rPr>
                                      <w:rFonts w:ascii="標楷體" w:eastAsia="標楷體" w:hAnsi="標楷體"/>
                                      <w:spacing w:val="-20"/>
                                    </w:rPr>
                                  </w:pPr>
                                  <w:r>
                                    <w:rPr>
                                      <w:rFonts w:ascii="標楷體" w:eastAsia="標楷體" w:hAnsi="標楷體" w:hint="eastAsia"/>
                                      <w:spacing w:val="-20"/>
                                    </w:rPr>
                                    <w:t>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96941" w14:textId="77777777" w:rsidR="00F1456A" w:rsidRDefault="00F1456A" w:rsidP="005D009F">
                                  <w:pPr>
                                    <w:spacing w:line="260" w:lineRule="exact"/>
                                    <w:jc w:val="right"/>
                                    <w:rPr>
                                      <w:rFonts w:ascii="標楷體" w:eastAsia="標楷體" w:hAnsi="標楷體"/>
                                      <w:spacing w:val="-20"/>
                                    </w:rPr>
                                  </w:pPr>
                                  <w:r>
                                    <w:rPr>
                                      <w:rFonts w:ascii="標楷體" w:eastAsia="標楷體" w:hAnsi="標楷體" w:hint="eastAsia"/>
                                      <w:spacing w:val="-10"/>
                                    </w:rPr>
                                    <w:t>7</w:t>
                                  </w:r>
                                </w:p>
                              </w:tc>
                            </w:tr>
                            <w:tr w:rsidR="00F1456A" w14:paraId="382ED095" w14:textId="77777777" w:rsidTr="00A60CE6">
                              <w:trPr>
                                <w:trHeight w:val="492"/>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DFCA79" w14:textId="77777777" w:rsidR="00F1456A" w:rsidRDefault="00F1456A">
                                  <w:pPr>
                                    <w:spacing w:line="260" w:lineRule="exact"/>
                                    <w:jc w:val="center"/>
                                    <w:rPr>
                                      <w:rFonts w:ascii="標楷體" w:eastAsia="標楷體" w:hAnsi="標楷體"/>
                                      <w:spacing w:val="-12"/>
                                    </w:rPr>
                                  </w:pPr>
                                  <w:r>
                                    <w:rPr>
                                      <w:rFonts w:ascii="標楷體" w:eastAsia="標楷體" w:hAnsi="標楷體" w:hint="eastAsia"/>
                                      <w:spacing w:val="-12"/>
                                    </w:rPr>
                                    <w:t>3</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6767E9" w14:textId="77777777" w:rsidR="00F1456A" w:rsidRDefault="00F1456A">
                                  <w:pPr>
                                    <w:spacing w:line="260" w:lineRule="exact"/>
                                    <w:rPr>
                                      <w:rFonts w:ascii="標楷體" w:eastAsia="標楷體" w:hAnsi="標楷體"/>
                                      <w:spacing w:val="-6"/>
                                    </w:rPr>
                                  </w:pPr>
                                  <w:r>
                                    <w:rPr>
                                      <w:rFonts w:ascii="標楷體" w:eastAsia="標楷體" w:hAnsi="標楷體" w:hint="eastAsia"/>
                                      <w:spacing w:val="-6"/>
                                    </w:rPr>
                                    <w:t>萬華區福星</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0A3B53"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255</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92A55B"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112.6.27</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DE9BD4"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112.9.21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CF2F4"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113.6.1</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13370"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2</w:t>
                                  </w:r>
                                </w:p>
                                <w:p w14:paraId="29AF1D64" w14:textId="77777777" w:rsidR="00F1456A" w:rsidRPr="00942ABC" w:rsidRDefault="00F1456A" w:rsidP="005D009F">
                                  <w:pPr>
                                    <w:spacing w:line="260" w:lineRule="exact"/>
                                    <w:ind w:leftChars="-50" w:left="-120" w:rightChars="-20" w:right="-48"/>
                                    <w:jc w:val="right"/>
                                    <w:rPr>
                                      <w:rFonts w:ascii="標楷體" w:eastAsia="標楷體" w:hAnsi="標楷體"/>
                                      <w:spacing w:val="-20"/>
                                    </w:rPr>
                                  </w:pPr>
                                  <w:proofErr w:type="gramStart"/>
                                  <w:r w:rsidRPr="00942ABC">
                                    <w:rPr>
                                      <w:rFonts w:ascii="標楷體" w:eastAsia="標楷體" w:hAnsi="標楷體" w:hint="eastAsia"/>
                                      <w:spacing w:val="-20"/>
                                    </w:rPr>
                                    <w:t>（註</w:t>
                                  </w:r>
                                  <w:proofErr w:type="gramEnd"/>
                                  <w:r w:rsidRPr="00942ABC">
                                    <w:rPr>
                                      <w:rFonts w:ascii="標楷體" w:eastAsia="標楷體" w:hAnsi="標楷體" w:hint="eastAsia"/>
                                      <w:spacing w:val="-20"/>
                                    </w:rPr>
                                    <w:t>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746AB"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8</w:t>
                                  </w:r>
                                </w:p>
                              </w:tc>
                            </w:tr>
                            <w:tr w:rsidR="00F1456A" w14:paraId="7405339E" w14:textId="77777777" w:rsidTr="00A60CE6">
                              <w:trPr>
                                <w:trHeight w:val="555"/>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04C263" w14:textId="77777777" w:rsidR="00F1456A" w:rsidRDefault="00F1456A">
                                  <w:pPr>
                                    <w:spacing w:line="260" w:lineRule="exact"/>
                                    <w:jc w:val="center"/>
                                    <w:rPr>
                                      <w:rFonts w:ascii="標楷體" w:eastAsia="標楷體" w:hAnsi="標楷體"/>
                                      <w:spacing w:val="-12"/>
                                    </w:rPr>
                                  </w:pPr>
                                  <w:r>
                                    <w:rPr>
                                      <w:rFonts w:ascii="標楷體" w:eastAsia="標楷體" w:hAnsi="標楷體" w:hint="eastAsia"/>
                                      <w:spacing w:val="-12"/>
                                    </w:rPr>
                                    <w:t>4</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23D24" w14:textId="77777777" w:rsidR="00F1456A" w:rsidRDefault="00F1456A">
                                  <w:pPr>
                                    <w:spacing w:line="260" w:lineRule="exact"/>
                                    <w:rPr>
                                      <w:rFonts w:ascii="標楷體" w:eastAsia="標楷體" w:hAnsi="標楷體"/>
                                      <w:spacing w:val="-6"/>
                                    </w:rPr>
                                  </w:pPr>
                                  <w:r>
                                    <w:rPr>
                                      <w:rFonts w:ascii="標楷體" w:eastAsia="標楷體" w:hAnsi="標楷體" w:hint="eastAsia"/>
                                      <w:spacing w:val="-6"/>
                                    </w:rPr>
                                    <w:t>內湖區舊宗</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103437"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97</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B00D47"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112.8.23</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A3AD4"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113.4.2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AFAF48"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113.9.14</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435F2"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6681E"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5</w:t>
                                  </w:r>
                                </w:p>
                              </w:tc>
                            </w:tr>
                            <w:tr w:rsidR="00F1456A" w14:paraId="4D70EA5A" w14:textId="77777777" w:rsidTr="00A60CE6">
                              <w:trPr>
                                <w:trHeight w:val="284"/>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9A23BF" w14:textId="77777777" w:rsidR="00F1456A" w:rsidRDefault="00F1456A">
                                  <w:pPr>
                                    <w:spacing w:line="260" w:lineRule="exact"/>
                                    <w:jc w:val="center"/>
                                    <w:rPr>
                                      <w:rFonts w:ascii="標楷體" w:eastAsia="標楷體" w:hAnsi="標楷體"/>
                                      <w:spacing w:val="-12"/>
                                    </w:rPr>
                                  </w:pPr>
                                  <w:r>
                                    <w:rPr>
                                      <w:rFonts w:ascii="標楷體" w:eastAsia="標楷體" w:hAnsi="標楷體" w:hint="eastAsia"/>
                                      <w:spacing w:val="-12"/>
                                    </w:rPr>
                                    <w:t>5</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A06DD" w14:textId="77777777" w:rsidR="00F1456A" w:rsidRDefault="00F1456A">
                                  <w:pPr>
                                    <w:spacing w:line="260" w:lineRule="exact"/>
                                    <w:rPr>
                                      <w:rFonts w:ascii="標楷體" w:eastAsia="標楷體" w:hAnsi="標楷體"/>
                                      <w:spacing w:val="-6"/>
                                    </w:rPr>
                                  </w:pPr>
                                  <w:r>
                                    <w:rPr>
                                      <w:rFonts w:ascii="標楷體" w:eastAsia="標楷體" w:hAnsi="標楷體" w:hint="eastAsia"/>
                                      <w:spacing w:val="-6"/>
                                    </w:rPr>
                                    <w:t>萬華區青年二期</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C63A22"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518</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B0E8C3" w14:textId="77777777" w:rsidR="00F1456A" w:rsidRDefault="00F1456A">
                                  <w:pPr>
                                    <w:spacing w:line="260" w:lineRule="exact"/>
                                    <w:ind w:leftChars="-10" w:left="-24" w:rightChars="-20" w:right="-48"/>
                                    <w:jc w:val="center"/>
                                    <w:rPr>
                                      <w:rFonts w:ascii="標楷體" w:eastAsia="標楷體" w:hAnsi="標楷體"/>
                                      <w:spacing w:val="-24"/>
                                    </w:rPr>
                                  </w:pPr>
                                  <w:r>
                                    <w:rPr>
                                      <w:rFonts w:ascii="標楷體" w:eastAsia="標楷體" w:hAnsi="標楷體" w:hint="eastAsia"/>
                                      <w:spacing w:val="-24"/>
                                    </w:rPr>
                                    <w:t>112.11.30</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E8CCF"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113.6.13</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CCA05C"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113.10.1</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0EE59"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spacing w:val="-10"/>
                                    </w:rPr>
                                    <w:t>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488CC"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3</w:t>
                                  </w:r>
                                </w:p>
                              </w:tc>
                            </w:tr>
                            <w:tr w:rsidR="00F1456A" w14:paraId="315A4F62" w14:textId="77777777" w:rsidTr="00A60CE6">
                              <w:trPr>
                                <w:trHeight w:val="516"/>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B5C6D" w14:textId="77777777" w:rsidR="00F1456A" w:rsidRDefault="00F1456A" w:rsidP="004C29C9">
                                  <w:pPr>
                                    <w:spacing w:line="260" w:lineRule="exact"/>
                                    <w:jc w:val="center"/>
                                    <w:rPr>
                                      <w:rFonts w:ascii="標楷體" w:eastAsia="標楷體" w:hAnsi="標楷體"/>
                                      <w:spacing w:val="-12"/>
                                    </w:rPr>
                                  </w:pPr>
                                  <w:r>
                                    <w:rPr>
                                      <w:rFonts w:ascii="標楷體" w:eastAsia="標楷體" w:hAnsi="標楷體" w:hint="eastAsia"/>
                                      <w:spacing w:val="-12"/>
                                    </w:rPr>
                                    <w:t>6</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75CAB8" w14:textId="77777777" w:rsidR="00F1456A" w:rsidRDefault="00F1456A" w:rsidP="004C29C9">
                                  <w:pPr>
                                    <w:spacing w:line="260" w:lineRule="exact"/>
                                    <w:ind w:leftChars="-20" w:left="-48" w:rightChars="-50" w:right="-120"/>
                                    <w:rPr>
                                      <w:rFonts w:ascii="標楷體" w:eastAsia="標楷體" w:hAnsi="標楷體"/>
                                      <w:spacing w:val="-16"/>
                                    </w:rPr>
                                  </w:pPr>
                                  <w:r>
                                    <w:rPr>
                                      <w:rFonts w:ascii="標楷體" w:eastAsia="標楷體" w:hAnsi="標楷體" w:hint="eastAsia"/>
                                      <w:spacing w:val="-16"/>
                                    </w:rPr>
                                    <w:t>信義區六張犁</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EB7E7"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722</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120890" w14:textId="77777777" w:rsidR="00F1456A" w:rsidRDefault="00F1456A" w:rsidP="004C29C9">
                                  <w:pPr>
                                    <w:spacing w:line="260" w:lineRule="exact"/>
                                    <w:jc w:val="center"/>
                                    <w:rPr>
                                      <w:rFonts w:ascii="標楷體" w:eastAsia="標楷體" w:hAnsi="標楷體"/>
                                      <w:spacing w:val="-20"/>
                                    </w:rPr>
                                  </w:pPr>
                                  <w:r>
                                    <w:rPr>
                                      <w:rFonts w:ascii="標楷體" w:eastAsia="標楷體" w:hAnsi="標楷體" w:hint="eastAsia"/>
                                      <w:spacing w:val="-20"/>
                                    </w:rPr>
                                    <w:t>113.6.26</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DF4884" w14:textId="77777777" w:rsidR="00F1456A" w:rsidRDefault="00F1456A" w:rsidP="004C29C9">
                                  <w:pPr>
                                    <w:spacing w:line="260" w:lineRule="exact"/>
                                    <w:jc w:val="center"/>
                                    <w:rPr>
                                      <w:rFonts w:ascii="標楷體" w:eastAsia="標楷體" w:hAnsi="標楷體"/>
                                      <w:spacing w:val="-20"/>
                                    </w:rPr>
                                  </w:pPr>
                                  <w:r>
                                    <w:rPr>
                                      <w:rFonts w:ascii="標楷體" w:eastAsia="標楷體" w:hAnsi="標楷體" w:hint="eastAsia"/>
                                      <w:spacing w:val="-20"/>
                                    </w:rPr>
                                    <w:t>－</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EDBF62" w14:textId="77777777" w:rsidR="00F1456A" w:rsidRDefault="00F1456A" w:rsidP="004F6D52">
                                  <w:pPr>
                                    <w:spacing w:line="260" w:lineRule="exact"/>
                                    <w:ind w:leftChars="-50" w:left="-120" w:rightChars="-50" w:right="-120"/>
                                    <w:jc w:val="center"/>
                                    <w:rPr>
                                      <w:rFonts w:ascii="標楷體" w:eastAsia="標楷體" w:hAnsi="標楷體"/>
                                      <w:spacing w:val="-20"/>
                                    </w:rPr>
                                  </w:pPr>
                                  <w:r>
                                    <w:rPr>
                                      <w:rFonts w:ascii="標楷體" w:eastAsia="標楷體" w:hAnsi="標楷體" w:hint="eastAsia"/>
                                      <w:spacing w:val="-20"/>
                                    </w:rPr>
                                    <w:t>待正式公告</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3B466" w14:textId="77777777" w:rsidR="00F1456A" w:rsidRDefault="00F1456A" w:rsidP="005D009F">
                                  <w:pPr>
                                    <w:spacing w:line="260" w:lineRule="exact"/>
                                    <w:jc w:val="right"/>
                                    <w:rPr>
                                      <w:rFonts w:ascii="標楷體" w:eastAsia="標楷體" w:hAnsi="標楷體"/>
                                      <w:spacing w:val="-10"/>
                                    </w:rPr>
                                  </w:pPr>
                                  <w:r w:rsidRPr="00562A72">
                                    <w:rPr>
                                      <w:rFonts w:ascii="標楷體" w:eastAsia="標楷體" w:hAnsi="標楷體" w:hint="eastAsia"/>
                                      <w:spacing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BC5D77" w14:textId="77777777" w:rsidR="00F1456A" w:rsidRDefault="00F1456A" w:rsidP="005D009F">
                                  <w:pPr>
                                    <w:spacing w:line="260" w:lineRule="exact"/>
                                    <w:jc w:val="right"/>
                                    <w:rPr>
                                      <w:rFonts w:ascii="標楷體" w:eastAsia="標楷體" w:hAnsi="標楷體"/>
                                      <w:spacing w:val="-10"/>
                                    </w:rPr>
                                  </w:pPr>
                                  <w:r w:rsidRPr="00562A72">
                                    <w:rPr>
                                      <w:rFonts w:ascii="標楷體" w:eastAsia="標楷體" w:hAnsi="標楷體" w:hint="eastAsia"/>
                                      <w:spacing w:val="-20"/>
                                    </w:rPr>
                                    <w:t>－</w:t>
                                  </w:r>
                                </w:p>
                              </w:tc>
                            </w:tr>
                            <w:tr w:rsidR="00F1456A" w14:paraId="0F6129B9" w14:textId="77777777" w:rsidTr="00A60CE6">
                              <w:trPr>
                                <w:trHeight w:val="284"/>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4426F" w14:textId="77777777" w:rsidR="00F1456A" w:rsidRDefault="00F1456A" w:rsidP="004C29C9">
                                  <w:pPr>
                                    <w:spacing w:line="260" w:lineRule="exact"/>
                                    <w:jc w:val="center"/>
                                    <w:rPr>
                                      <w:rFonts w:ascii="標楷體" w:eastAsia="標楷體" w:hAnsi="標楷體"/>
                                      <w:spacing w:val="-12"/>
                                    </w:rPr>
                                  </w:pPr>
                                  <w:r>
                                    <w:rPr>
                                      <w:rFonts w:ascii="標楷體" w:eastAsia="標楷體" w:hAnsi="標楷體" w:hint="eastAsia"/>
                                      <w:spacing w:val="-12"/>
                                    </w:rPr>
                                    <w:t>7</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58260" w14:textId="77777777" w:rsidR="00F1456A" w:rsidRDefault="00F1456A" w:rsidP="004C29C9">
                                  <w:pPr>
                                    <w:spacing w:line="260" w:lineRule="exact"/>
                                    <w:rPr>
                                      <w:rFonts w:ascii="標楷體" w:eastAsia="標楷體" w:hAnsi="標楷體"/>
                                      <w:spacing w:val="-6"/>
                                    </w:rPr>
                                  </w:pPr>
                                  <w:r>
                                    <w:rPr>
                                      <w:rFonts w:ascii="標楷體" w:eastAsia="標楷體" w:hAnsi="標楷體" w:hint="eastAsia"/>
                                      <w:spacing w:val="-6"/>
                                    </w:rPr>
                                    <w:t>文山區興隆A基地</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78600"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340</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9C81C4" w14:textId="77777777" w:rsidR="00F1456A" w:rsidRDefault="00F1456A" w:rsidP="004C29C9">
                                  <w:pPr>
                                    <w:spacing w:line="260" w:lineRule="exact"/>
                                    <w:jc w:val="center"/>
                                    <w:rPr>
                                      <w:rFonts w:ascii="標楷體" w:eastAsia="標楷體" w:hAnsi="標楷體"/>
                                      <w:spacing w:val="-20"/>
                                    </w:rPr>
                                  </w:pPr>
                                  <w:r>
                                    <w:rPr>
                                      <w:rFonts w:ascii="標楷體" w:eastAsia="標楷體" w:hAnsi="標楷體" w:hint="eastAsia"/>
                                      <w:spacing w:val="-20"/>
                                    </w:rPr>
                                    <w:t>113.7.28</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2B3F40" w14:textId="77777777" w:rsidR="00F1456A" w:rsidRDefault="00F1456A" w:rsidP="004C29C9">
                                  <w:pPr>
                                    <w:spacing w:line="260" w:lineRule="exact"/>
                                    <w:jc w:val="center"/>
                                    <w:rPr>
                                      <w:rFonts w:ascii="標楷體" w:eastAsia="標楷體" w:hAnsi="標楷體"/>
                                      <w:spacing w:val="-20"/>
                                    </w:rPr>
                                  </w:pPr>
                                  <w:r>
                                    <w:rPr>
                                      <w:rFonts w:ascii="標楷體" w:eastAsia="標楷體" w:hAnsi="標楷體" w:hint="eastAsia"/>
                                      <w:spacing w:val="-20"/>
                                    </w:rPr>
                                    <w:t>－</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6E9D" w14:textId="77777777" w:rsidR="00F1456A" w:rsidRDefault="00F1456A" w:rsidP="004F6D52">
                                  <w:pPr>
                                    <w:spacing w:line="260" w:lineRule="exact"/>
                                    <w:ind w:leftChars="-50" w:left="-120" w:rightChars="-50" w:right="-120"/>
                                    <w:jc w:val="center"/>
                                    <w:rPr>
                                      <w:rFonts w:ascii="標楷體" w:eastAsia="標楷體" w:hAnsi="標楷體"/>
                                      <w:spacing w:val="-20"/>
                                    </w:rPr>
                                  </w:pPr>
                                  <w:r>
                                    <w:rPr>
                                      <w:rFonts w:ascii="標楷體" w:eastAsia="標楷體" w:hAnsi="標楷體" w:hint="eastAsia"/>
                                      <w:spacing w:val="-20"/>
                                    </w:rPr>
                                    <w:t>待正式公告</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E5A53" w14:textId="77777777" w:rsidR="00F1456A" w:rsidRDefault="00F1456A" w:rsidP="005D009F">
                                  <w:pPr>
                                    <w:spacing w:line="260" w:lineRule="exact"/>
                                    <w:jc w:val="right"/>
                                    <w:rPr>
                                      <w:rFonts w:ascii="標楷體" w:eastAsia="標楷體" w:hAnsi="標楷體"/>
                                      <w:spacing w:val="-10"/>
                                    </w:rPr>
                                  </w:pPr>
                                  <w:r w:rsidRPr="00562A72">
                                    <w:rPr>
                                      <w:rFonts w:ascii="標楷體" w:eastAsia="標楷體" w:hAnsi="標楷體" w:hint="eastAsia"/>
                                      <w:spacing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BDB1A" w14:textId="77777777" w:rsidR="00F1456A" w:rsidRDefault="00F1456A" w:rsidP="005D009F">
                                  <w:pPr>
                                    <w:spacing w:line="260" w:lineRule="exact"/>
                                    <w:jc w:val="right"/>
                                    <w:rPr>
                                      <w:rFonts w:ascii="標楷體" w:eastAsia="標楷體" w:hAnsi="標楷體"/>
                                      <w:spacing w:val="-10"/>
                                    </w:rPr>
                                  </w:pPr>
                                  <w:r w:rsidRPr="00562A72">
                                    <w:rPr>
                                      <w:rFonts w:ascii="標楷體" w:eastAsia="標楷體" w:hAnsi="標楷體" w:hint="eastAsia"/>
                                      <w:spacing w:val="-20"/>
                                    </w:rPr>
                                    <w:t>－</w:t>
                                  </w:r>
                                </w:p>
                              </w:tc>
                            </w:tr>
                            <w:tr w:rsidR="00F1456A" w14:paraId="77A07E77" w14:textId="77777777" w:rsidTr="00A60CE6">
                              <w:trPr>
                                <w:trHeight w:val="284"/>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A574E" w14:textId="77777777" w:rsidR="00F1456A" w:rsidRDefault="00F1456A">
                                  <w:pPr>
                                    <w:spacing w:line="260" w:lineRule="exact"/>
                                    <w:jc w:val="center"/>
                                    <w:rPr>
                                      <w:rFonts w:ascii="標楷體" w:eastAsia="標楷體" w:hAnsi="標楷體"/>
                                      <w:spacing w:val="-12"/>
                                    </w:rPr>
                                  </w:pPr>
                                  <w:r>
                                    <w:rPr>
                                      <w:rFonts w:ascii="標楷體" w:eastAsia="標楷體" w:hAnsi="標楷體" w:hint="eastAsia"/>
                                      <w:spacing w:val="-12"/>
                                    </w:rPr>
                                    <w:t>8</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440E8C" w14:textId="77777777" w:rsidR="00F1456A" w:rsidRDefault="00F1456A">
                                  <w:pPr>
                                    <w:spacing w:line="260" w:lineRule="exact"/>
                                    <w:rPr>
                                      <w:rFonts w:ascii="標楷體" w:eastAsia="標楷體" w:hAnsi="標楷體"/>
                                      <w:spacing w:val="-6"/>
                                    </w:rPr>
                                  </w:pPr>
                                  <w:r>
                                    <w:rPr>
                                      <w:rFonts w:ascii="標楷體" w:eastAsia="標楷體" w:hAnsi="標楷體" w:hint="eastAsia"/>
                                      <w:spacing w:val="-6"/>
                                    </w:rPr>
                                    <w:t>文山區</w:t>
                                  </w:r>
                                  <w:proofErr w:type="gramStart"/>
                                  <w:r>
                                    <w:rPr>
                                      <w:rFonts w:ascii="標楷體" w:eastAsia="標楷體" w:hAnsi="標楷體" w:hint="eastAsia"/>
                                      <w:spacing w:val="-6"/>
                                    </w:rPr>
                                    <w:t>樟</w:t>
                                  </w:r>
                                  <w:proofErr w:type="gramEnd"/>
                                  <w:r>
                                    <w:rPr>
                                      <w:rFonts w:ascii="標楷體" w:eastAsia="標楷體" w:hAnsi="標楷體" w:hint="eastAsia"/>
                                      <w:spacing w:val="-6"/>
                                    </w:rPr>
                                    <w:t>新水岸</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EEE813"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192</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4A0B39"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113.8.12</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9D803E"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113.11.15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DB225" w14:textId="77777777" w:rsidR="00F1456A" w:rsidRDefault="00F1456A" w:rsidP="004F6D52">
                                  <w:pPr>
                                    <w:spacing w:line="260" w:lineRule="exact"/>
                                    <w:ind w:leftChars="-50" w:left="-120" w:rightChars="-50" w:right="-120"/>
                                    <w:jc w:val="center"/>
                                    <w:rPr>
                                      <w:rFonts w:ascii="標楷體" w:eastAsia="標楷體" w:hAnsi="標楷體"/>
                                      <w:spacing w:val="-20"/>
                                    </w:rPr>
                                  </w:pPr>
                                  <w:r>
                                    <w:rPr>
                                      <w:rFonts w:ascii="標楷體" w:eastAsia="標楷體" w:hAnsi="標楷體" w:hint="eastAsia"/>
                                      <w:spacing w:val="-20"/>
                                    </w:rPr>
                                    <w:t>待正式公告</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B83DA9"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25EED"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20"/>
                                    </w:rPr>
                                    <w:t>－</w:t>
                                  </w:r>
                                </w:p>
                              </w:tc>
                            </w:tr>
                          </w:tbl>
                          <w:p w14:paraId="6320894C" w14:textId="77777777" w:rsidR="00F1456A" w:rsidRDefault="00F1456A" w:rsidP="00F1456A">
                            <w:pPr>
                              <w:spacing w:line="24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：1.本表資料統計截止時間為113年9月30日。</w:t>
                            </w:r>
                          </w:p>
                          <w:p w14:paraId="7240225D" w14:textId="77777777" w:rsidR="00F1456A" w:rsidRDefault="00F1456A" w:rsidP="00F1456A">
                            <w:pPr>
                              <w:spacing w:line="240" w:lineRule="exact"/>
                              <w:ind w:leftChars="150" w:left="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間隔時間為2個月又2</w:t>
                            </w:r>
                            <w:r>
                              <w:rPr>
                                <w:rFonts w:ascii="標楷體" w:eastAsia="標楷體" w:hAnsi="標楷體"/>
                                <w:sz w:val="18"/>
                                <w:szCs w:val="18"/>
                              </w:rPr>
                              <w:t>5</w:t>
                            </w:r>
                            <w:r>
                              <w:rPr>
                                <w:rFonts w:ascii="標楷體" w:eastAsia="標楷體" w:hAnsi="標楷體" w:hint="eastAsia"/>
                                <w:sz w:val="18"/>
                                <w:szCs w:val="18"/>
                              </w:rPr>
                              <w:t>天。</w:t>
                            </w:r>
                          </w:p>
                          <w:p w14:paraId="2173505C" w14:textId="77777777" w:rsidR="00F1456A" w:rsidRDefault="00F1456A" w:rsidP="00F1456A">
                            <w:pPr>
                              <w:spacing w:line="240" w:lineRule="exact"/>
                              <w:ind w:leftChars="150" w:left="360"/>
                              <w:rPr>
                                <w:rFonts w:ascii="標楷體" w:eastAsia="標楷體" w:hAnsi="標楷體"/>
                                <w:sz w:val="18"/>
                                <w:szCs w:val="18"/>
                              </w:rPr>
                            </w:pPr>
                            <w:r>
                              <w:rPr>
                                <w:rFonts w:ascii="標楷體" w:eastAsia="標楷體" w:hAnsi="標楷體"/>
                                <w:sz w:val="18"/>
                                <w:szCs w:val="18"/>
                              </w:rPr>
                              <w:t>3</w:t>
                            </w:r>
                            <w:r>
                              <w:rPr>
                                <w:rFonts w:ascii="標楷體" w:eastAsia="標楷體" w:hAnsi="標楷體" w:hint="eastAsia"/>
                                <w:sz w:val="18"/>
                                <w:szCs w:val="18"/>
                              </w:rPr>
                              <w:t>.資料來源：整理自都市發展局提供資料。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2263EA" id="文字方塊 53" o:spid="_x0000_s1129" type="#_x0000_t202" style="position:absolute;left:0;text-align:left;margin-left:168.65pt;margin-top:186.15pt;width:333pt;height:300pt;z-index:-251495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" stroked="f">
                <v:textbox>
                  <w:txbxContent>
                    <w:tbl>
                      <w:tblPr>
                        <w:tblStyle w:val="a6"/>
                        <w:tblW w:w="6384" w:type="dxa"/>
                        <w:tblInd w:w="-5" w:type="dxa"/>
                        <w:tblLayout w:type="fixed"/>
                        <w:tblLook w:val="04A0" w:firstRow="1" w:lastRow="0" w:firstColumn="1" w:lastColumn="0" w:noHBand="0" w:noVBand="1"/>
                      </w:tblPr>
                      <w:tblGrid>
                        <w:gridCol w:w="392"/>
                        <w:gridCol w:w="1174"/>
                        <w:gridCol w:w="542"/>
                        <w:gridCol w:w="876"/>
                        <w:gridCol w:w="993"/>
                        <w:gridCol w:w="994"/>
                        <w:gridCol w:w="704"/>
                        <w:gridCol w:w="709"/>
                      </w:tblGrid>
                      <w:tr w:rsidR="00F1456A" w14:paraId="3225C2F9" w14:textId="77777777" w:rsidTr="00A60CE6">
                        <w:trPr>
                          <w:tblHeader/>
                        </w:trPr>
                        <w:tc>
                          <w:tcPr>
                            <w:tcW w:w="6384" w:type="dxa"/>
                            <w:gridSpan w:val="8"/>
                            <w:tcBorders>
                              <w:top w:val="nil"/>
                              <w:left w:val="nil"/>
                              <w:bottom w:val="single" w:sz="4" w:space="0" w:color="auto"/>
                              <w:right w:val="nil"/>
                            </w:tcBorders>
                            <w:shd w:val="clear" w:color="auto" w:fill="FFFFFF" w:themeFill="background1"/>
                            <w:vAlign w:val="center"/>
                            <w:hideMark/>
                          </w:tcPr>
                          <w:p w14:paraId="1B8400F7" w14:textId="4F40F371" w:rsidR="00F1456A" w:rsidRPr="002A6175" w:rsidRDefault="00F1456A">
                            <w:pPr>
                              <w:spacing w:line="300" w:lineRule="exact"/>
                              <w:jc w:val="center"/>
                              <w:rPr>
                                <w:rFonts w:ascii="標楷體" w:eastAsia="標楷體" w:hAnsi="標楷體"/>
                                <w:b/>
                                <w:sz w:val="24"/>
                                <w:szCs w:val="24"/>
                                <w:highlight w:val="yellow"/>
                              </w:rPr>
                            </w:pPr>
                            <w:r w:rsidRPr="002A6175">
                              <w:rPr>
                                <w:rFonts w:ascii="標楷體" w:eastAsia="標楷體" w:hAnsi="標楷體" w:hint="eastAsia"/>
                                <w:b/>
                                <w:sz w:val="24"/>
                                <w:szCs w:val="24"/>
                              </w:rPr>
                              <w:t>表</w:t>
                            </w:r>
                            <w:r>
                              <w:rPr>
                                <w:rFonts w:ascii="標楷體" w:eastAsia="標楷體" w:hAnsi="標楷體"/>
                                <w:b/>
                                <w:sz w:val="24"/>
                                <w:szCs w:val="24"/>
                              </w:rPr>
                              <w:t>2</w:t>
                            </w:r>
                            <w:r w:rsidR="005D009F">
                              <w:rPr>
                                <w:rFonts w:ascii="標楷體" w:eastAsia="標楷體" w:hAnsi="標楷體" w:hint="eastAsia"/>
                                <w:b/>
                                <w:sz w:val="24"/>
                                <w:szCs w:val="24"/>
                              </w:rPr>
                              <w:t xml:space="preserve">　</w:t>
                            </w:r>
                            <w:r w:rsidRPr="002A6175">
                              <w:rPr>
                                <w:rFonts w:ascii="標楷體" w:eastAsia="標楷體" w:hAnsi="標楷體" w:hint="eastAsia"/>
                                <w:b/>
                                <w:sz w:val="24"/>
                                <w:szCs w:val="24"/>
                              </w:rPr>
                              <w:t>社會住宅竣工日至取得使用執照及後續入住時程</w:t>
                            </w:r>
                          </w:p>
                        </w:tc>
                      </w:tr>
                      <w:tr w:rsidR="00F1456A" w14:paraId="0617AE64" w14:textId="77777777" w:rsidTr="00A60CE6">
                        <w:trPr>
                          <w:trHeight w:val="258"/>
                          <w:tblHeader/>
                        </w:trPr>
                        <w:tc>
                          <w:tcPr>
                            <w:tcW w:w="392"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6DB5899E" w14:textId="77777777" w:rsidR="00F1456A" w:rsidRDefault="00F1456A">
                            <w:pPr>
                              <w:spacing w:line="240" w:lineRule="exact"/>
                              <w:jc w:val="center"/>
                              <w:rPr>
                                <w:rFonts w:ascii="標楷體" w:eastAsia="標楷體" w:hAnsi="標楷體"/>
                                <w:spacing w:val="-12"/>
                              </w:rPr>
                            </w:pPr>
                            <w:r>
                              <w:rPr>
                                <w:rFonts w:ascii="標楷體" w:eastAsia="標楷體" w:hAnsi="標楷體" w:hint="eastAsia"/>
                                <w:spacing w:val="-12"/>
                              </w:rPr>
                              <w:t>項次</w:t>
                            </w:r>
                          </w:p>
                        </w:tc>
                        <w:tc>
                          <w:tcPr>
                            <w:tcW w:w="1174"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686D7752" w14:textId="77777777" w:rsidR="00F1456A" w:rsidRDefault="00F1456A" w:rsidP="009170F2">
                            <w:pPr>
                              <w:spacing w:line="240" w:lineRule="exact"/>
                              <w:jc w:val="center"/>
                              <w:rPr>
                                <w:rFonts w:ascii="標楷體" w:eastAsia="標楷體" w:hAnsi="標楷體"/>
                                <w:spacing w:val="-12"/>
                              </w:rPr>
                            </w:pPr>
                            <w:proofErr w:type="gramStart"/>
                            <w:r>
                              <w:rPr>
                                <w:rFonts w:ascii="標楷體" w:eastAsia="標楷體" w:hAnsi="標楷體" w:hint="eastAsia"/>
                                <w:spacing w:val="-12"/>
                              </w:rPr>
                              <w:t>案名</w:t>
                            </w:r>
                            <w:proofErr w:type="gramEnd"/>
                          </w:p>
                        </w:tc>
                        <w:tc>
                          <w:tcPr>
                            <w:tcW w:w="542"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4A87679F" w14:textId="77777777" w:rsidR="00F1456A" w:rsidRDefault="00F1456A" w:rsidP="009170F2">
                            <w:pPr>
                              <w:spacing w:line="240" w:lineRule="exact"/>
                              <w:jc w:val="center"/>
                              <w:rPr>
                                <w:rFonts w:ascii="標楷體" w:eastAsia="標楷體" w:hAnsi="標楷體"/>
                              </w:rPr>
                            </w:pPr>
                            <w:r>
                              <w:rPr>
                                <w:rFonts w:ascii="標楷體" w:eastAsia="標楷體" w:hAnsi="標楷體" w:hint="eastAsia"/>
                              </w:rPr>
                              <w:t>戶數</w:t>
                            </w:r>
                          </w:p>
                        </w:tc>
                        <w:tc>
                          <w:tcPr>
                            <w:tcW w:w="876"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479F08A4" w14:textId="77777777" w:rsidR="00F1456A" w:rsidRDefault="00F1456A" w:rsidP="009170F2">
                            <w:pPr>
                              <w:spacing w:line="240" w:lineRule="exact"/>
                              <w:jc w:val="center"/>
                              <w:rPr>
                                <w:rFonts w:ascii="標楷體" w:eastAsia="標楷體" w:hAnsi="標楷體"/>
                                <w:spacing w:val="-20"/>
                              </w:rPr>
                            </w:pPr>
                            <w:r>
                              <w:rPr>
                                <w:rFonts w:ascii="標楷體" w:eastAsia="標楷體" w:hAnsi="標楷體" w:hint="eastAsia"/>
                                <w:spacing w:val="-20"/>
                              </w:rPr>
                              <w:t>竣工日</w:t>
                            </w:r>
                          </w:p>
                          <w:p w14:paraId="3B1B592A" w14:textId="77777777" w:rsidR="00F1456A" w:rsidRDefault="00F1456A" w:rsidP="009170F2">
                            <w:pPr>
                              <w:spacing w:line="240" w:lineRule="exact"/>
                              <w:jc w:val="center"/>
                              <w:rPr>
                                <w:rFonts w:ascii="標楷體" w:eastAsia="標楷體" w:hAnsi="標楷體"/>
                                <w:spacing w:val="-20"/>
                              </w:rPr>
                            </w:pPr>
                            <w:r>
                              <w:rPr>
                                <w:rFonts w:ascii="標楷體" w:eastAsia="標楷體" w:hAnsi="標楷體" w:hint="eastAsia"/>
                                <w:spacing w:val="-20"/>
                              </w:rPr>
                              <w:t>（A）</w:t>
                            </w:r>
                          </w:p>
                        </w:tc>
                        <w:tc>
                          <w:tcPr>
                            <w:tcW w:w="993"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23387514" w14:textId="77777777" w:rsidR="00F1456A" w:rsidRDefault="00F1456A" w:rsidP="005D009F">
                            <w:pPr>
                              <w:spacing w:line="240" w:lineRule="exact"/>
                              <w:ind w:leftChars="-24" w:left="-58" w:rightChars="-12" w:right="-29"/>
                              <w:jc w:val="center"/>
                              <w:rPr>
                                <w:rFonts w:ascii="標楷體" w:eastAsia="標楷體" w:hAnsi="標楷體"/>
                                <w:spacing w:val="-20"/>
                              </w:rPr>
                            </w:pPr>
                            <w:r>
                              <w:rPr>
                                <w:rFonts w:ascii="標楷體" w:eastAsia="標楷體" w:hAnsi="標楷體" w:hint="eastAsia"/>
                                <w:spacing w:val="-20"/>
                              </w:rPr>
                              <w:t>使用執照發照日（B）</w:t>
                            </w:r>
                          </w:p>
                        </w:tc>
                        <w:tc>
                          <w:tcPr>
                            <w:tcW w:w="994" w:type="dxa"/>
                            <w:vMerge w:val="restart"/>
                            <w:tcBorders>
                              <w:top w:val="single" w:sz="4" w:space="0" w:color="auto"/>
                              <w:left w:val="single" w:sz="4" w:space="0" w:color="auto"/>
                              <w:right w:val="single" w:sz="4" w:space="0" w:color="auto"/>
                            </w:tcBorders>
                            <w:shd w:val="clear" w:color="auto" w:fill="FFFFFF" w:themeFill="background1"/>
                            <w:vAlign w:val="center"/>
                            <w:hideMark/>
                          </w:tcPr>
                          <w:p w14:paraId="47F04B6B" w14:textId="77777777" w:rsidR="00F1456A" w:rsidRDefault="00F1456A" w:rsidP="009170F2">
                            <w:pPr>
                              <w:spacing w:line="240" w:lineRule="exact"/>
                              <w:jc w:val="center"/>
                              <w:rPr>
                                <w:rFonts w:ascii="標楷體" w:eastAsia="標楷體" w:hAnsi="標楷體"/>
                                <w:spacing w:val="-20"/>
                              </w:rPr>
                            </w:pPr>
                            <w:r>
                              <w:rPr>
                                <w:rFonts w:ascii="標楷體" w:eastAsia="標楷體" w:hAnsi="標楷體" w:hint="eastAsia"/>
                                <w:spacing w:val="-20"/>
                              </w:rPr>
                              <w:t>入住日</w:t>
                            </w:r>
                          </w:p>
                          <w:p w14:paraId="688A28D3" w14:textId="77777777" w:rsidR="00F1456A" w:rsidRDefault="00F1456A" w:rsidP="009170F2">
                            <w:pPr>
                              <w:spacing w:line="240" w:lineRule="exact"/>
                              <w:jc w:val="center"/>
                              <w:rPr>
                                <w:rFonts w:ascii="標楷體" w:eastAsia="標楷體" w:hAnsi="標楷體"/>
                                <w:spacing w:val="-20"/>
                              </w:rPr>
                            </w:pPr>
                            <w:r>
                              <w:rPr>
                                <w:rFonts w:ascii="標楷體" w:eastAsia="標楷體" w:hAnsi="標楷體" w:hint="eastAsia"/>
                                <w:spacing w:val="-20"/>
                              </w:rPr>
                              <w:t>（C）</w:t>
                            </w:r>
                          </w:p>
                        </w:tc>
                        <w:tc>
                          <w:tcPr>
                            <w:tcW w:w="1413" w:type="dxa"/>
                            <w:gridSpan w:val="2"/>
                            <w:tcBorders>
                              <w:top w:val="single" w:sz="4" w:space="0" w:color="auto"/>
                              <w:left w:val="single" w:sz="4" w:space="0" w:color="auto"/>
                              <w:bottom w:val="single" w:sz="4" w:space="0" w:color="auto"/>
                              <w:right w:val="single" w:sz="4" w:space="0" w:color="auto"/>
                            </w:tcBorders>
                            <w:shd w:val="clear" w:color="auto" w:fill="FFFFFF" w:themeFill="background1"/>
                            <w:hideMark/>
                          </w:tcPr>
                          <w:p w14:paraId="174D2882" w14:textId="77777777" w:rsidR="00F1456A" w:rsidRDefault="00F1456A" w:rsidP="005D009F">
                            <w:pPr>
                              <w:spacing w:line="240" w:lineRule="exact"/>
                              <w:jc w:val="center"/>
                              <w:rPr>
                                <w:rFonts w:ascii="標楷體" w:eastAsia="標楷體" w:hAnsi="標楷體"/>
                              </w:rPr>
                            </w:pPr>
                            <w:r>
                              <w:rPr>
                                <w:rFonts w:ascii="標楷體" w:eastAsia="標楷體" w:hAnsi="標楷體" w:hint="eastAsia"/>
                              </w:rPr>
                              <w:t>間隔月數</w:t>
                            </w:r>
                          </w:p>
                        </w:tc>
                      </w:tr>
                      <w:tr w:rsidR="00F1456A" w14:paraId="249BC1CC" w14:textId="77777777" w:rsidTr="00A60CE6">
                        <w:trPr>
                          <w:trHeight w:val="240"/>
                          <w:tblHeader/>
                        </w:trPr>
                        <w:tc>
                          <w:tcPr>
                            <w:tcW w:w="392" w:type="dxa"/>
                            <w:vMerge/>
                            <w:tcBorders>
                              <w:left w:val="single" w:sz="4" w:space="0" w:color="auto"/>
                              <w:bottom w:val="single" w:sz="4" w:space="0" w:color="auto"/>
                              <w:right w:val="single" w:sz="4" w:space="0" w:color="auto"/>
                            </w:tcBorders>
                            <w:shd w:val="clear" w:color="auto" w:fill="FFFFFF" w:themeFill="background1"/>
                            <w:vAlign w:val="center"/>
                          </w:tcPr>
                          <w:p w14:paraId="5589D76B" w14:textId="77777777" w:rsidR="00F1456A" w:rsidRDefault="00F1456A">
                            <w:pPr>
                              <w:spacing w:line="240" w:lineRule="exact"/>
                              <w:jc w:val="center"/>
                              <w:rPr>
                                <w:rFonts w:ascii="標楷體" w:eastAsia="標楷體" w:hAnsi="標楷體"/>
                                <w:spacing w:val="-12"/>
                              </w:rPr>
                            </w:pPr>
                          </w:p>
                        </w:tc>
                        <w:tc>
                          <w:tcPr>
                            <w:tcW w:w="1174" w:type="dxa"/>
                            <w:vMerge/>
                            <w:tcBorders>
                              <w:left w:val="single" w:sz="4" w:space="0" w:color="auto"/>
                              <w:bottom w:val="single" w:sz="4" w:space="0" w:color="auto"/>
                              <w:right w:val="single" w:sz="4" w:space="0" w:color="auto"/>
                            </w:tcBorders>
                            <w:shd w:val="clear" w:color="auto" w:fill="FFFFFF" w:themeFill="background1"/>
                            <w:vAlign w:val="center"/>
                          </w:tcPr>
                          <w:p w14:paraId="2419FA57" w14:textId="77777777" w:rsidR="00F1456A" w:rsidRDefault="00F1456A" w:rsidP="009170F2">
                            <w:pPr>
                              <w:spacing w:line="240" w:lineRule="exact"/>
                              <w:jc w:val="center"/>
                              <w:rPr>
                                <w:rFonts w:ascii="標楷體" w:eastAsia="標楷體" w:hAnsi="標楷體"/>
                                <w:spacing w:val="-12"/>
                              </w:rPr>
                            </w:pPr>
                          </w:p>
                        </w:tc>
                        <w:tc>
                          <w:tcPr>
                            <w:tcW w:w="542" w:type="dxa"/>
                            <w:vMerge/>
                            <w:tcBorders>
                              <w:left w:val="single" w:sz="4" w:space="0" w:color="auto"/>
                              <w:bottom w:val="single" w:sz="4" w:space="0" w:color="auto"/>
                              <w:right w:val="single" w:sz="4" w:space="0" w:color="auto"/>
                            </w:tcBorders>
                            <w:shd w:val="clear" w:color="auto" w:fill="FFFFFF" w:themeFill="background1"/>
                            <w:vAlign w:val="center"/>
                          </w:tcPr>
                          <w:p w14:paraId="13A5A69D" w14:textId="77777777" w:rsidR="00F1456A" w:rsidRDefault="00F1456A" w:rsidP="009170F2">
                            <w:pPr>
                              <w:spacing w:line="240" w:lineRule="exact"/>
                              <w:jc w:val="center"/>
                              <w:rPr>
                                <w:rFonts w:ascii="標楷體" w:eastAsia="標楷體" w:hAnsi="標楷體"/>
                              </w:rPr>
                            </w:pPr>
                          </w:p>
                        </w:tc>
                        <w:tc>
                          <w:tcPr>
                            <w:tcW w:w="876" w:type="dxa"/>
                            <w:vMerge/>
                            <w:tcBorders>
                              <w:left w:val="single" w:sz="4" w:space="0" w:color="auto"/>
                              <w:bottom w:val="single" w:sz="4" w:space="0" w:color="auto"/>
                              <w:right w:val="single" w:sz="4" w:space="0" w:color="auto"/>
                            </w:tcBorders>
                            <w:shd w:val="clear" w:color="auto" w:fill="FFFFFF" w:themeFill="background1"/>
                            <w:vAlign w:val="center"/>
                          </w:tcPr>
                          <w:p w14:paraId="54F581B1" w14:textId="77777777" w:rsidR="00F1456A" w:rsidRDefault="00F1456A" w:rsidP="009170F2">
                            <w:pPr>
                              <w:spacing w:line="240" w:lineRule="exact"/>
                              <w:jc w:val="center"/>
                              <w:rPr>
                                <w:rFonts w:ascii="標楷體" w:eastAsia="標楷體" w:hAnsi="標楷體"/>
                                <w:spacing w:val="-20"/>
                              </w:rPr>
                            </w:pPr>
                          </w:p>
                        </w:tc>
                        <w:tc>
                          <w:tcPr>
                            <w:tcW w:w="993" w:type="dxa"/>
                            <w:vMerge/>
                            <w:tcBorders>
                              <w:left w:val="single" w:sz="4" w:space="0" w:color="auto"/>
                              <w:bottom w:val="single" w:sz="4" w:space="0" w:color="auto"/>
                              <w:right w:val="single" w:sz="4" w:space="0" w:color="auto"/>
                            </w:tcBorders>
                            <w:shd w:val="clear" w:color="auto" w:fill="FFFFFF" w:themeFill="background1"/>
                            <w:vAlign w:val="center"/>
                          </w:tcPr>
                          <w:p w14:paraId="697D4707" w14:textId="77777777" w:rsidR="00F1456A" w:rsidRDefault="00F1456A" w:rsidP="009170F2">
                            <w:pPr>
                              <w:spacing w:line="240" w:lineRule="exact"/>
                              <w:ind w:left="-118" w:firstLine="2"/>
                              <w:jc w:val="center"/>
                              <w:rPr>
                                <w:rFonts w:ascii="標楷體" w:eastAsia="標楷體" w:hAnsi="標楷體"/>
                                <w:spacing w:val="-20"/>
                              </w:rPr>
                            </w:pPr>
                          </w:p>
                        </w:tc>
                        <w:tc>
                          <w:tcPr>
                            <w:tcW w:w="994" w:type="dxa"/>
                            <w:vMerge/>
                            <w:tcBorders>
                              <w:left w:val="single" w:sz="4" w:space="0" w:color="auto"/>
                              <w:bottom w:val="single" w:sz="4" w:space="0" w:color="auto"/>
                              <w:right w:val="single" w:sz="4" w:space="0" w:color="auto"/>
                            </w:tcBorders>
                            <w:shd w:val="clear" w:color="auto" w:fill="FFFFFF" w:themeFill="background1"/>
                            <w:vAlign w:val="center"/>
                          </w:tcPr>
                          <w:p w14:paraId="061ACEAF" w14:textId="77777777" w:rsidR="00F1456A" w:rsidRDefault="00F1456A" w:rsidP="009170F2">
                            <w:pPr>
                              <w:spacing w:line="240" w:lineRule="exact"/>
                              <w:jc w:val="center"/>
                              <w:rPr>
                                <w:rFonts w:ascii="標楷體" w:eastAsia="標楷體" w:hAnsi="標楷體"/>
                                <w:spacing w:val="-20"/>
                              </w:rPr>
                            </w:pPr>
                          </w:p>
                        </w:tc>
                        <w:tc>
                          <w:tcPr>
                            <w:tcW w:w="704"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BBB5" w14:textId="77777777" w:rsidR="00F1456A" w:rsidRPr="00A60CE6" w:rsidRDefault="00F1456A" w:rsidP="00A60CE6">
                            <w:pPr>
                              <w:spacing w:line="240" w:lineRule="exact"/>
                              <w:ind w:leftChars="-30" w:left="-72"/>
                              <w:jc w:val="center"/>
                              <w:rPr>
                                <w:rFonts w:ascii="標楷體" w:eastAsia="標楷體" w:hAnsi="標楷體"/>
                                <w:spacing w:val="-20"/>
                              </w:rPr>
                            </w:pPr>
                            <w:r w:rsidRPr="00A60CE6">
                              <w:rPr>
                                <w:rFonts w:ascii="標楷體" w:eastAsia="標楷體" w:hAnsi="標楷體" w:hint="eastAsia"/>
                                <w:spacing w:val="-20"/>
                              </w:rPr>
                              <w:t>（B-A）</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8E813" w14:textId="77777777" w:rsidR="00F1456A" w:rsidRPr="00A60CE6" w:rsidRDefault="00F1456A" w:rsidP="00A60CE6">
                            <w:pPr>
                              <w:spacing w:line="240" w:lineRule="exact"/>
                              <w:ind w:leftChars="-30" w:left="-72"/>
                              <w:jc w:val="center"/>
                              <w:rPr>
                                <w:rFonts w:ascii="標楷體" w:eastAsia="標楷體" w:hAnsi="標楷體"/>
                                <w:spacing w:val="-20"/>
                              </w:rPr>
                            </w:pPr>
                            <w:r w:rsidRPr="00A60CE6">
                              <w:rPr>
                                <w:rFonts w:ascii="標楷體" w:eastAsia="標楷體" w:hAnsi="標楷體" w:hint="eastAsia"/>
                                <w:spacing w:val="-20"/>
                              </w:rPr>
                              <w:t>（C-</w:t>
                            </w:r>
                            <w:r w:rsidRPr="00A60CE6">
                              <w:rPr>
                                <w:rFonts w:ascii="標楷體" w:eastAsia="標楷體" w:hAnsi="標楷體"/>
                                <w:spacing w:val="-20"/>
                              </w:rPr>
                              <w:t>B</w:t>
                            </w:r>
                            <w:r w:rsidRPr="00A60CE6">
                              <w:rPr>
                                <w:rFonts w:ascii="標楷體" w:eastAsia="標楷體" w:hAnsi="標楷體" w:hint="eastAsia"/>
                                <w:spacing w:val="-20"/>
                              </w:rPr>
                              <w:t>）</w:t>
                            </w:r>
                          </w:p>
                        </w:tc>
                      </w:tr>
                      <w:tr w:rsidR="00F1456A" w14:paraId="594B8A36" w14:textId="77777777" w:rsidTr="00A60CE6">
                        <w:trPr>
                          <w:trHeight w:val="284"/>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67EFD" w14:textId="77777777" w:rsidR="00F1456A" w:rsidRDefault="00F1456A">
                            <w:pPr>
                              <w:spacing w:line="260" w:lineRule="exact"/>
                              <w:jc w:val="center"/>
                              <w:rPr>
                                <w:rFonts w:ascii="標楷體" w:eastAsia="標楷體" w:hAnsi="標楷體"/>
                                <w:spacing w:val="-12"/>
                              </w:rPr>
                            </w:pPr>
                            <w:r>
                              <w:rPr>
                                <w:rFonts w:ascii="標楷體" w:eastAsia="標楷體" w:hAnsi="標楷體" w:hint="eastAsia"/>
                                <w:spacing w:val="-12"/>
                              </w:rPr>
                              <w:t>1</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225527" w14:textId="77777777" w:rsidR="00F1456A" w:rsidRDefault="00F1456A">
                            <w:pPr>
                              <w:spacing w:line="260" w:lineRule="exact"/>
                              <w:rPr>
                                <w:rFonts w:ascii="標楷體" w:eastAsia="標楷體" w:hAnsi="標楷體"/>
                                <w:spacing w:val="-6"/>
                              </w:rPr>
                            </w:pPr>
                            <w:r>
                              <w:rPr>
                                <w:rFonts w:ascii="標楷體" w:eastAsia="標楷體" w:hAnsi="標楷體" w:hint="eastAsia"/>
                                <w:spacing w:val="-6"/>
                              </w:rPr>
                              <w:t>文山區和興水岸</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297736"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174</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CF1561"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112.8.14</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73FE03"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113.3.1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E46F6A"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113.10.4</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93036E"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78F91"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7</w:t>
                            </w:r>
                          </w:p>
                        </w:tc>
                      </w:tr>
                      <w:tr w:rsidR="00F1456A" w14:paraId="0EF7C8D2" w14:textId="77777777" w:rsidTr="00A60CE6">
                        <w:trPr>
                          <w:trHeight w:val="284"/>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021FF8" w14:textId="77777777" w:rsidR="00F1456A" w:rsidRDefault="00F1456A" w:rsidP="00697887">
                            <w:pPr>
                              <w:spacing w:line="260" w:lineRule="exact"/>
                              <w:jc w:val="center"/>
                              <w:rPr>
                                <w:rFonts w:ascii="標楷體" w:eastAsia="標楷體" w:hAnsi="標楷體"/>
                                <w:spacing w:val="-10"/>
                              </w:rPr>
                            </w:pPr>
                            <w:r>
                              <w:rPr>
                                <w:rFonts w:ascii="標楷體" w:eastAsia="標楷體" w:hAnsi="標楷體" w:hint="eastAsia"/>
                                <w:spacing w:val="-10"/>
                              </w:rPr>
                              <w:t>2</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914B94" w14:textId="77777777" w:rsidR="00F1456A" w:rsidRDefault="00F1456A" w:rsidP="00697887">
                            <w:pPr>
                              <w:spacing w:line="260" w:lineRule="exact"/>
                              <w:rPr>
                                <w:rFonts w:ascii="標楷體" w:eastAsia="標楷體" w:hAnsi="標楷體"/>
                                <w:spacing w:val="-6"/>
                              </w:rPr>
                            </w:pPr>
                            <w:r>
                              <w:rPr>
                                <w:rFonts w:ascii="標楷體" w:eastAsia="標楷體" w:hAnsi="標楷體" w:hint="eastAsia"/>
                                <w:spacing w:val="-6"/>
                              </w:rPr>
                              <w:t>廣慈博愛園區3區</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0D487A"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476</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A256BF" w14:textId="77777777" w:rsidR="00F1456A" w:rsidRDefault="00F1456A" w:rsidP="00697887">
                            <w:pPr>
                              <w:spacing w:line="260" w:lineRule="exact"/>
                              <w:jc w:val="center"/>
                              <w:rPr>
                                <w:rFonts w:ascii="標楷體" w:eastAsia="標楷體" w:hAnsi="標楷體"/>
                                <w:spacing w:val="-20"/>
                              </w:rPr>
                            </w:pPr>
                            <w:r>
                              <w:rPr>
                                <w:rFonts w:ascii="標楷體" w:eastAsia="標楷體" w:hAnsi="標楷體" w:hint="eastAsia"/>
                                <w:spacing w:val="-20"/>
                              </w:rPr>
                              <w:t>112.9.28</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6C2EA" w14:textId="77777777" w:rsidR="00F1456A" w:rsidRDefault="00F1456A" w:rsidP="00697887">
                            <w:pPr>
                              <w:spacing w:line="260" w:lineRule="exact"/>
                              <w:jc w:val="center"/>
                              <w:rPr>
                                <w:rFonts w:ascii="標楷體" w:eastAsia="標楷體" w:hAnsi="標楷體"/>
                                <w:spacing w:val="-20"/>
                              </w:rPr>
                            </w:pPr>
                            <w:r>
                              <w:rPr>
                                <w:rFonts w:ascii="標楷體" w:eastAsia="標楷體" w:hAnsi="標楷體" w:hint="eastAsia"/>
                                <w:spacing w:val="-20"/>
                              </w:rPr>
                              <w:t>113.3.29</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069A5" w14:textId="4432EA2E" w:rsidR="00F1456A" w:rsidRDefault="00F1456A" w:rsidP="004F6D52">
                            <w:pPr>
                              <w:spacing w:line="260" w:lineRule="exact"/>
                              <w:jc w:val="center"/>
                              <w:rPr>
                                <w:rFonts w:ascii="標楷體" w:eastAsia="標楷體" w:hAnsi="標楷體"/>
                                <w:spacing w:val="-20"/>
                              </w:rPr>
                            </w:pPr>
                            <w:r>
                              <w:rPr>
                                <w:rFonts w:ascii="標楷體" w:eastAsia="標楷體" w:hAnsi="標楷體" w:hint="eastAsia"/>
                                <w:spacing w:val="-20"/>
                              </w:rPr>
                              <w:t>113.11.1</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71A23A" w14:textId="77777777" w:rsidR="00F1456A" w:rsidRDefault="00F1456A" w:rsidP="005D009F">
                            <w:pPr>
                              <w:spacing w:line="260" w:lineRule="exact"/>
                              <w:jc w:val="right"/>
                              <w:rPr>
                                <w:rFonts w:ascii="標楷體" w:eastAsia="標楷體" w:hAnsi="標楷體"/>
                                <w:spacing w:val="-20"/>
                              </w:rPr>
                            </w:pPr>
                            <w:r>
                              <w:rPr>
                                <w:rFonts w:ascii="標楷體" w:eastAsia="標楷體" w:hAnsi="標楷體" w:hint="eastAsia"/>
                                <w:spacing w:val="-20"/>
                              </w:rPr>
                              <w:t>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96941" w14:textId="77777777" w:rsidR="00F1456A" w:rsidRDefault="00F1456A" w:rsidP="005D009F">
                            <w:pPr>
                              <w:spacing w:line="260" w:lineRule="exact"/>
                              <w:jc w:val="right"/>
                              <w:rPr>
                                <w:rFonts w:ascii="標楷體" w:eastAsia="標楷體" w:hAnsi="標楷體"/>
                                <w:spacing w:val="-20"/>
                              </w:rPr>
                            </w:pPr>
                            <w:r>
                              <w:rPr>
                                <w:rFonts w:ascii="標楷體" w:eastAsia="標楷體" w:hAnsi="標楷體" w:hint="eastAsia"/>
                                <w:spacing w:val="-10"/>
                              </w:rPr>
                              <w:t>7</w:t>
                            </w:r>
                          </w:p>
                        </w:tc>
                      </w:tr>
                      <w:tr w:rsidR="00F1456A" w14:paraId="382ED095" w14:textId="77777777" w:rsidTr="00A60CE6">
                        <w:trPr>
                          <w:trHeight w:val="492"/>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DFCA79" w14:textId="77777777" w:rsidR="00F1456A" w:rsidRDefault="00F1456A">
                            <w:pPr>
                              <w:spacing w:line="260" w:lineRule="exact"/>
                              <w:jc w:val="center"/>
                              <w:rPr>
                                <w:rFonts w:ascii="標楷體" w:eastAsia="標楷體" w:hAnsi="標楷體"/>
                                <w:spacing w:val="-12"/>
                              </w:rPr>
                            </w:pPr>
                            <w:r>
                              <w:rPr>
                                <w:rFonts w:ascii="標楷體" w:eastAsia="標楷體" w:hAnsi="標楷體" w:hint="eastAsia"/>
                                <w:spacing w:val="-12"/>
                              </w:rPr>
                              <w:t>3</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6767E9" w14:textId="77777777" w:rsidR="00F1456A" w:rsidRDefault="00F1456A">
                            <w:pPr>
                              <w:spacing w:line="260" w:lineRule="exact"/>
                              <w:rPr>
                                <w:rFonts w:ascii="標楷體" w:eastAsia="標楷體" w:hAnsi="標楷體"/>
                                <w:spacing w:val="-6"/>
                              </w:rPr>
                            </w:pPr>
                            <w:r>
                              <w:rPr>
                                <w:rFonts w:ascii="標楷體" w:eastAsia="標楷體" w:hAnsi="標楷體" w:hint="eastAsia"/>
                                <w:spacing w:val="-6"/>
                              </w:rPr>
                              <w:t>萬華區福星</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0A3B53"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255</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92A55B"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112.6.27</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DE9BD4"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112.9.21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CF2F4"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113.6.1</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13370"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2</w:t>
                            </w:r>
                          </w:p>
                          <w:p w14:paraId="29AF1D64" w14:textId="77777777" w:rsidR="00F1456A" w:rsidRPr="00942ABC" w:rsidRDefault="00F1456A" w:rsidP="005D009F">
                            <w:pPr>
                              <w:spacing w:line="260" w:lineRule="exact"/>
                              <w:ind w:leftChars="-50" w:left="-120" w:rightChars="-20" w:right="-48"/>
                              <w:jc w:val="right"/>
                              <w:rPr>
                                <w:rFonts w:ascii="標楷體" w:eastAsia="標楷體" w:hAnsi="標楷體"/>
                                <w:spacing w:val="-20"/>
                              </w:rPr>
                            </w:pPr>
                            <w:proofErr w:type="gramStart"/>
                            <w:r w:rsidRPr="00942ABC">
                              <w:rPr>
                                <w:rFonts w:ascii="標楷體" w:eastAsia="標楷體" w:hAnsi="標楷體" w:hint="eastAsia"/>
                                <w:spacing w:val="-20"/>
                              </w:rPr>
                              <w:t>（註</w:t>
                            </w:r>
                            <w:proofErr w:type="gramEnd"/>
                            <w:r w:rsidRPr="00942ABC">
                              <w:rPr>
                                <w:rFonts w:ascii="標楷體" w:eastAsia="標楷體" w:hAnsi="標楷體" w:hint="eastAsia"/>
                                <w:spacing w:val="-20"/>
                              </w:rPr>
                              <w:t>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746AB"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8</w:t>
                            </w:r>
                          </w:p>
                        </w:tc>
                      </w:tr>
                      <w:tr w:rsidR="00F1456A" w14:paraId="7405339E" w14:textId="77777777" w:rsidTr="00A60CE6">
                        <w:trPr>
                          <w:trHeight w:val="555"/>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04C263" w14:textId="77777777" w:rsidR="00F1456A" w:rsidRDefault="00F1456A">
                            <w:pPr>
                              <w:spacing w:line="260" w:lineRule="exact"/>
                              <w:jc w:val="center"/>
                              <w:rPr>
                                <w:rFonts w:ascii="標楷體" w:eastAsia="標楷體" w:hAnsi="標楷體"/>
                                <w:spacing w:val="-12"/>
                              </w:rPr>
                            </w:pPr>
                            <w:r>
                              <w:rPr>
                                <w:rFonts w:ascii="標楷體" w:eastAsia="標楷體" w:hAnsi="標楷體" w:hint="eastAsia"/>
                                <w:spacing w:val="-12"/>
                              </w:rPr>
                              <w:t>4</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23D24" w14:textId="77777777" w:rsidR="00F1456A" w:rsidRDefault="00F1456A">
                            <w:pPr>
                              <w:spacing w:line="260" w:lineRule="exact"/>
                              <w:rPr>
                                <w:rFonts w:ascii="標楷體" w:eastAsia="標楷體" w:hAnsi="標楷體"/>
                                <w:spacing w:val="-6"/>
                              </w:rPr>
                            </w:pPr>
                            <w:r>
                              <w:rPr>
                                <w:rFonts w:ascii="標楷體" w:eastAsia="標楷體" w:hAnsi="標楷體" w:hint="eastAsia"/>
                                <w:spacing w:val="-6"/>
                              </w:rPr>
                              <w:t>內湖區舊宗</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103437"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97</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B00D47"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112.8.23</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A3AD4"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113.4.2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AFAF48"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113.9.14</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435F2"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6681E"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5</w:t>
                            </w:r>
                          </w:p>
                        </w:tc>
                      </w:tr>
                      <w:tr w:rsidR="00F1456A" w14:paraId="4D70EA5A" w14:textId="77777777" w:rsidTr="00A60CE6">
                        <w:trPr>
                          <w:trHeight w:val="284"/>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9A23BF" w14:textId="77777777" w:rsidR="00F1456A" w:rsidRDefault="00F1456A">
                            <w:pPr>
                              <w:spacing w:line="260" w:lineRule="exact"/>
                              <w:jc w:val="center"/>
                              <w:rPr>
                                <w:rFonts w:ascii="標楷體" w:eastAsia="標楷體" w:hAnsi="標楷體"/>
                                <w:spacing w:val="-12"/>
                              </w:rPr>
                            </w:pPr>
                            <w:r>
                              <w:rPr>
                                <w:rFonts w:ascii="標楷體" w:eastAsia="標楷體" w:hAnsi="標楷體" w:hint="eastAsia"/>
                                <w:spacing w:val="-12"/>
                              </w:rPr>
                              <w:t>5</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A06DD" w14:textId="77777777" w:rsidR="00F1456A" w:rsidRDefault="00F1456A">
                            <w:pPr>
                              <w:spacing w:line="260" w:lineRule="exact"/>
                              <w:rPr>
                                <w:rFonts w:ascii="標楷體" w:eastAsia="標楷體" w:hAnsi="標楷體"/>
                                <w:spacing w:val="-6"/>
                              </w:rPr>
                            </w:pPr>
                            <w:r>
                              <w:rPr>
                                <w:rFonts w:ascii="標楷體" w:eastAsia="標楷體" w:hAnsi="標楷體" w:hint="eastAsia"/>
                                <w:spacing w:val="-6"/>
                              </w:rPr>
                              <w:t>萬華區青年二期</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C63A22"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518</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B0E8C3" w14:textId="77777777" w:rsidR="00F1456A" w:rsidRDefault="00F1456A">
                            <w:pPr>
                              <w:spacing w:line="260" w:lineRule="exact"/>
                              <w:ind w:leftChars="-10" w:left="-24" w:rightChars="-20" w:right="-48"/>
                              <w:jc w:val="center"/>
                              <w:rPr>
                                <w:rFonts w:ascii="標楷體" w:eastAsia="標楷體" w:hAnsi="標楷體"/>
                                <w:spacing w:val="-24"/>
                              </w:rPr>
                            </w:pPr>
                            <w:r>
                              <w:rPr>
                                <w:rFonts w:ascii="標楷體" w:eastAsia="標楷體" w:hAnsi="標楷體" w:hint="eastAsia"/>
                                <w:spacing w:val="-24"/>
                              </w:rPr>
                              <w:t>112.11.30</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E8CCF"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113.6.13</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CCA05C"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113.10.1</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0EE59"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spacing w:val="-10"/>
                              </w:rPr>
                              <w:t>6</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488CC"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3</w:t>
                            </w:r>
                          </w:p>
                        </w:tc>
                      </w:tr>
                      <w:tr w:rsidR="00F1456A" w14:paraId="315A4F62" w14:textId="77777777" w:rsidTr="00A60CE6">
                        <w:trPr>
                          <w:trHeight w:val="516"/>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B5C6D" w14:textId="77777777" w:rsidR="00F1456A" w:rsidRDefault="00F1456A" w:rsidP="004C29C9">
                            <w:pPr>
                              <w:spacing w:line="260" w:lineRule="exact"/>
                              <w:jc w:val="center"/>
                              <w:rPr>
                                <w:rFonts w:ascii="標楷體" w:eastAsia="標楷體" w:hAnsi="標楷體"/>
                                <w:spacing w:val="-12"/>
                              </w:rPr>
                            </w:pPr>
                            <w:r>
                              <w:rPr>
                                <w:rFonts w:ascii="標楷體" w:eastAsia="標楷體" w:hAnsi="標楷體" w:hint="eastAsia"/>
                                <w:spacing w:val="-12"/>
                              </w:rPr>
                              <w:t>6</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75CAB8" w14:textId="77777777" w:rsidR="00F1456A" w:rsidRDefault="00F1456A" w:rsidP="004C29C9">
                            <w:pPr>
                              <w:spacing w:line="260" w:lineRule="exact"/>
                              <w:ind w:leftChars="-20" w:left="-48" w:rightChars="-50" w:right="-120"/>
                              <w:rPr>
                                <w:rFonts w:ascii="標楷體" w:eastAsia="標楷體" w:hAnsi="標楷體"/>
                                <w:spacing w:val="-16"/>
                              </w:rPr>
                            </w:pPr>
                            <w:r>
                              <w:rPr>
                                <w:rFonts w:ascii="標楷體" w:eastAsia="標楷體" w:hAnsi="標楷體" w:hint="eastAsia"/>
                                <w:spacing w:val="-16"/>
                              </w:rPr>
                              <w:t>信義區六張犁</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EB7E7"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722</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120890" w14:textId="77777777" w:rsidR="00F1456A" w:rsidRDefault="00F1456A" w:rsidP="004C29C9">
                            <w:pPr>
                              <w:spacing w:line="260" w:lineRule="exact"/>
                              <w:jc w:val="center"/>
                              <w:rPr>
                                <w:rFonts w:ascii="標楷體" w:eastAsia="標楷體" w:hAnsi="標楷體"/>
                                <w:spacing w:val="-20"/>
                              </w:rPr>
                            </w:pPr>
                            <w:r>
                              <w:rPr>
                                <w:rFonts w:ascii="標楷體" w:eastAsia="標楷體" w:hAnsi="標楷體" w:hint="eastAsia"/>
                                <w:spacing w:val="-20"/>
                              </w:rPr>
                              <w:t>113.6.26</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DF4884" w14:textId="77777777" w:rsidR="00F1456A" w:rsidRDefault="00F1456A" w:rsidP="004C29C9">
                            <w:pPr>
                              <w:spacing w:line="260" w:lineRule="exact"/>
                              <w:jc w:val="center"/>
                              <w:rPr>
                                <w:rFonts w:ascii="標楷體" w:eastAsia="標楷體" w:hAnsi="標楷體"/>
                                <w:spacing w:val="-20"/>
                              </w:rPr>
                            </w:pPr>
                            <w:r>
                              <w:rPr>
                                <w:rFonts w:ascii="標楷體" w:eastAsia="標楷體" w:hAnsi="標楷體" w:hint="eastAsia"/>
                                <w:spacing w:val="-20"/>
                              </w:rPr>
                              <w:t>－</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EDBF62" w14:textId="77777777" w:rsidR="00F1456A" w:rsidRDefault="00F1456A" w:rsidP="004F6D52">
                            <w:pPr>
                              <w:spacing w:line="260" w:lineRule="exact"/>
                              <w:ind w:leftChars="-50" w:left="-120" w:rightChars="-50" w:right="-120"/>
                              <w:jc w:val="center"/>
                              <w:rPr>
                                <w:rFonts w:ascii="標楷體" w:eastAsia="標楷體" w:hAnsi="標楷體"/>
                                <w:spacing w:val="-20"/>
                              </w:rPr>
                            </w:pPr>
                            <w:r>
                              <w:rPr>
                                <w:rFonts w:ascii="標楷體" w:eastAsia="標楷體" w:hAnsi="標楷體" w:hint="eastAsia"/>
                                <w:spacing w:val="-20"/>
                              </w:rPr>
                              <w:t>待正式公告</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3B466" w14:textId="77777777" w:rsidR="00F1456A" w:rsidRDefault="00F1456A" w:rsidP="005D009F">
                            <w:pPr>
                              <w:spacing w:line="260" w:lineRule="exact"/>
                              <w:jc w:val="right"/>
                              <w:rPr>
                                <w:rFonts w:ascii="標楷體" w:eastAsia="標楷體" w:hAnsi="標楷體"/>
                                <w:spacing w:val="-10"/>
                              </w:rPr>
                            </w:pPr>
                            <w:r w:rsidRPr="00562A72">
                              <w:rPr>
                                <w:rFonts w:ascii="標楷體" w:eastAsia="標楷體" w:hAnsi="標楷體" w:hint="eastAsia"/>
                                <w:spacing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BC5D77" w14:textId="77777777" w:rsidR="00F1456A" w:rsidRDefault="00F1456A" w:rsidP="005D009F">
                            <w:pPr>
                              <w:spacing w:line="260" w:lineRule="exact"/>
                              <w:jc w:val="right"/>
                              <w:rPr>
                                <w:rFonts w:ascii="標楷體" w:eastAsia="標楷體" w:hAnsi="標楷體"/>
                                <w:spacing w:val="-10"/>
                              </w:rPr>
                            </w:pPr>
                            <w:r w:rsidRPr="00562A72">
                              <w:rPr>
                                <w:rFonts w:ascii="標楷體" w:eastAsia="標楷體" w:hAnsi="標楷體" w:hint="eastAsia"/>
                                <w:spacing w:val="-20"/>
                              </w:rPr>
                              <w:t>－</w:t>
                            </w:r>
                          </w:p>
                        </w:tc>
                      </w:tr>
                      <w:tr w:rsidR="00F1456A" w14:paraId="0F6129B9" w14:textId="77777777" w:rsidTr="00A60CE6">
                        <w:trPr>
                          <w:trHeight w:val="284"/>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4426F" w14:textId="77777777" w:rsidR="00F1456A" w:rsidRDefault="00F1456A" w:rsidP="004C29C9">
                            <w:pPr>
                              <w:spacing w:line="260" w:lineRule="exact"/>
                              <w:jc w:val="center"/>
                              <w:rPr>
                                <w:rFonts w:ascii="標楷體" w:eastAsia="標楷體" w:hAnsi="標楷體"/>
                                <w:spacing w:val="-12"/>
                              </w:rPr>
                            </w:pPr>
                            <w:r>
                              <w:rPr>
                                <w:rFonts w:ascii="標楷體" w:eastAsia="標楷體" w:hAnsi="標楷體" w:hint="eastAsia"/>
                                <w:spacing w:val="-12"/>
                              </w:rPr>
                              <w:t>7</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58260" w14:textId="77777777" w:rsidR="00F1456A" w:rsidRDefault="00F1456A" w:rsidP="004C29C9">
                            <w:pPr>
                              <w:spacing w:line="260" w:lineRule="exact"/>
                              <w:rPr>
                                <w:rFonts w:ascii="標楷體" w:eastAsia="標楷體" w:hAnsi="標楷體"/>
                                <w:spacing w:val="-6"/>
                              </w:rPr>
                            </w:pPr>
                            <w:r>
                              <w:rPr>
                                <w:rFonts w:ascii="標楷體" w:eastAsia="標楷體" w:hAnsi="標楷體" w:hint="eastAsia"/>
                                <w:spacing w:val="-6"/>
                              </w:rPr>
                              <w:t>文山區興隆A基地</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78600"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340</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9C81C4" w14:textId="77777777" w:rsidR="00F1456A" w:rsidRDefault="00F1456A" w:rsidP="004C29C9">
                            <w:pPr>
                              <w:spacing w:line="260" w:lineRule="exact"/>
                              <w:jc w:val="center"/>
                              <w:rPr>
                                <w:rFonts w:ascii="標楷體" w:eastAsia="標楷體" w:hAnsi="標楷體"/>
                                <w:spacing w:val="-20"/>
                              </w:rPr>
                            </w:pPr>
                            <w:r>
                              <w:rPr>
                                <w:rFonts w:ascii="標楷體" w:eastAsia="標楷體" w:hAnsi="標楷體" w:hint="eastAsia"/>
                                <w:spacing w:val="-20"/>
                              </w:rPr>
                              <w:t>113.7.28</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2B3F40" w14:textId="77777777" w:rsidR="00F1456A" w:rsidRDefault="00F1456A" w:rsidP="004C29C9">
                            <w:pPr>
                              <w:spacing w:line="260" w:lineRule="exact"/>
                              <w:jc w:val="center"/>
                              <w:rPr>
                                <w:rFonts w:ascii="標楷體" w:eastAsia="標楷體" w:hAnsi="標楷體"/>
                                <w:spacing w:val="-20"/>
                              </w:rPr>
                            </w:pPr>
                            <w:r>
                              <w:rPr>
                                <w:rFonts w:ascii="標楷體" w:eastAsia="標楷體" w:hAnsi="標楷體" w:hint="eastAsia"/>
                                <w:spacing w:val="-20"/>
                              </w:rPr>
                              <w:t>－</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6E9D" w14:textId="77777777" w:rsidR="00F1456A" w:rsidRDefault="00F1456A" w:rsidP="004F6D52">
                            <w:pPr>
                              <w:spacing w:line="260" w:lineRule="exact"/>
                              <w:ind w:leftChars="-50" w:left="-120" w:rightChars="-50" w:right="-120"/>
                              <w:jc w:val="center"/>
                              <w:rPr>
                                <w:rFonts w:ascii="標楷體" w:eastAsia="標楷體" w:hAnsi="標楷體"/>
                                <w:spacing w:val="-20"/>
                              </w:rPr>
                            </w:pPr>
                            <w:r>
                              <w:rPr>
                                <w:rFonts w:ascii="標楷體" w:eastAsia="標楷體" w:hAnsi="標楷體" w:hint="eastAsia"/>
                                <w:spacing w:val="-20"/>
                              </w:rPr>
                              <w:t>待正式公告</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E5A53" w14:textId="77777777" w:rsidR="00F1456A" w:rsidRDefault="00F1456A" w:rsidP="005D009F">
                            <w:pPr>
                              <w:spacing w:line="260" w:lineRule="exact"/>
                              <w:jc w:val="right"/>
                              <w:rPr>
                                <w:rFonts w:ascii="標楷體" w:eastAsia="標楷體" w:hAnsi="標楷體"/>
                                <w:spacing w:val="-10"/>
                              </w:rPr>
                            </w:pPr>
                            <w:r w:rsidRPr="00562A72">
                              <w:rPr>
                                <w:rFonts w:ascii="標楷體" w:eastAsia="標楷體" w:hAnsi="標楷體" w:hint="eastAsia"/>
                                <w:spacing w:val="-20"/>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BDB1A" w14:textId="77777777" w:rsidR="00F1456A" w:rsidRDefault="00F1456A" w:rsidP="005D009F">
                            <w:pPr>
                              <w:spacing w:line="260" w:lineRule="exact"/>
                              <w:jc w:val="right"/>
                              <w:rPr>
                                <w:rFonts w:ascii="標楷體" w:eastAsia="標楷體" w:hAnsi="標楷體"/>
                                <w:spacing w:val="-10"/>
                              </w:rPr>
                            </w:pPr>
                            <w:r w:rsidRPr="00562A72">
                              <w:rPr>
                                <w:rFonts w:ascii="標楷體" w:eastAsia="標楷體" w:hAnsi="標楷體" w:hint="eastAsia"/>
                                <w:spacing w:val="-20"/>
                              </w:rPr>
                              <w:t>－</w:t>
                            </w:r>
                          </w:p>
                        </w:tc>
                      </w:tr>
                      <w:tr w:rsidR="00F1456A" w14:paraId="77A07E77" w14:textId="77777777" w:rsidTr="00A60CE6">
                        <w:trPr>
                          <w:trHeight w:val="284"/>
                        </w:trPr>
                        <w:tc>
                          <w:tcPr>
                            <w:tcW w:w="3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A574E" w14:textId="77777777" w:rsidR="00F1456A" w:rsidRDefault="00F1456A">
                            <w:pPr>
                              <w:spacing w:line="260" w:lineRule="exact"/>
                              <w:jc w:val="center"/>
                              <w:rPr>
                                <w:rFonts w:ascii="標楷體" w:eastAsia="標楷體" w:hAnsi="標楷體"/>
                                <w:spacing w:val="-12"/>
                              </w:rPr>
                            </w:pPr>
                            <w:r>
                              <w:rPr>
                                <w:rFonts w:ascii="標楷體" w:eastAsia="標楷體" w:hAnsi="標楷體" w:hint="eastAsia"/>
                                <w:spacing w:val="-12"/>
                              </w:rPr>
                              <w:t>8</w:t>
                            </w:r>
                          </w:p>
                        </w:tc>
                        <w:tc>
                          <w:tcPr>
                            <w:tcW w:w="117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440E8C" w14:textId="77777777" w:rsidR="00F1456A" w:rsidRDefault="00F1456A">
                            <w:pPr>
                              <w:spacing w:line="260" w:lineRule="exact"/>
                              <w:rPr>
                                <w:rFonts w:ascii="標楷體" w:eastAsia="標楷體" w:hAnsi="標楷體"/>
                                <w:spacing w:val="-6"/>
                              </w:rPr>
                            </w:pPr>
                            <w:r>
                              <w:rPr>
                                <w:rFonts w:ascii="標楷體" w:eastAsia="標楷體" w:hAnsi="標楷體" w:hint="eastAsia"/>
                                <w:spacing w:val="-6"/>
                              </w:rPr>
                              <w:t>文山區</w:t>
                            </w:r>
                            <w:proofErr w:type="gramStart"/>
                            <w:r>
                              <w:rPr>
                                <w:rFonts w:ascii="標楷體" w:eastAsia="標楷體" w:hAnsi="標楷體" w:hint="eastAsia"/>
                                <w:spacing w:val="-6"/>
                              </w:rPr>
                              <w:t>樟</w:t>
                            </w:r>
                            <w:proofErr w:type="gramEnd"/>
                            <w:r>
                              <w:rPr>
                                <w:rFonts w:ascii="標楷體" w:eastAsia="標楷體" w:hAnsi="標楷體" w:hint="eastAsia"/>
                                <w:spacing w:val="-6"/>
                              </w:rPr>
                              <w:t>新水岸</w:t>
                            </w:r>
                          </w:p>
                        </w:tc>
                        <w:tc>
                          <w:tcPr>
                            <w:tcW w:w="54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EEE813"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192</w:t>
                            </w:r>
                          </w:p>
                        </w:tc>
                        <w:tc>
                          <w:tcPr>
                            <w:tcW w:w="8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4A0B39"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113.8.12</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9D803E" w14:textId="77777777" w:rsidR="00F1456A" w:rsidRDefault="00F1456A">
                            <w:pPr>
                              <w:spacing w:line="260" w:lineRule="exact"/>
                              <w:jc w:val="center"/>
                              <w:rPr>
                                <w:rFonts w:ascii="標楷體" w:eastAsia="標楷體" w:hAnsi="標楷體"/>
                                <w:spacing w:val="-20"/>
                              </w:rPr>
                            </w:pPr>
                            <w:r>
                              <w:rPr>
                                <w:rFonts w:ascii="標楷體" w:eastAsia="標楷體" w:hAnsi="標楷體" w:hint="eastAsia"/>
                                <w:spacing w:val="-20"/>
                              </w:rPr>
                              <w:t>113.11.15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DB225" w14:textId="77777777" w:rsidR="00F1456A" w:rsidRDefault="00F1456A" w:rsidP="004F6D52">
                            <w:pPr>
                              <w:spacing w:line="260" w:lineRule="exact"/>
                              <w:ind w:leftChars="-50" w:left="-120" w:rightChars="-50" w:right="-120"/>
                              <w:jc w:val="center"/>
                              <w:rPr>
                                <w:rFonts w:ascii="標楷體" w:eastAsia="標楷體" w:hAnsi="標楷體"/>
                                <w:spacing w:val="-20"/>
                              </w:rPr>
                            </w:pPr>
                            <w:r>
                              <w:rPr>
                                <w:rFonts w:ascii="標楷體" w:eastAsia="標楷體" w:hAnsi="標楷體" w:hint="eastAsia"/>
                                <w:spacing w:val="-20"/>
                              </w:rPr>
                              <w:t>待正式公告</w:t>
                            </w:r>
                          </w:p>
                        </w:tc>
                        <w:tc>
                          <w:tcPr>
                            <w:tcW w:w="7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B83DA9"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10"/>
                              </w:rPr>
                              <w:t>3</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25EED" w14:textId="77777777" w:rsidR="00F1456A" w:rsidRDefault="00F1456A" w:rsidP="005D009F">
                            <w:pPr>
                              <w:spacing w:line="260" w:lineRule="exact"/>
                              <w:jc w:val="right"/>
                              <w:rPr>
                                <w:rFonts w:ascii="標楷體" w:eastAsia="標楷體" w:hAnsi="標楷體"/>
                                <w:spacing w:val="-10"/>
                              </w:rPr>
                            </w:pPr>
                            <w:r>
                              <w:rPr>
                                <w:rFonts w:ascii="標楷體" w:eastAsia="標楷體" w:hAnsi="標楷體" w:hint="eastAsia"/>
                                <w:spacing w:val="-20"/>
                              </w:rPr>
                              <w:t>－</w:t>
                            </w:r>
                          </w:p>
                        </w:tc>
                      </w:tr>
                    </w:tbl>
                    <w:p w14:paraId="6320894C" w14:textId="77777777" w:rsidR="00F1456A" w:rsidRDefault="00F1456A" w:rsidP="00F1456A">
                      <w:pPr>
                        <w:spacing w:line="24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：1.本表資料統計截止時間為113年9月30日。</w:t>
                      </w:r>
                    </w:p>
                    <w:p w14:paraId="7240225D" w14:textId="77777777" w:rsidR="00F1456A" w:rsidRDefault="00F1456A" w:rsidP="00F1456A">
                      <w:pPr>
                        <w:spacing w:line="240" w:lineRule="exact"/>
                        <w:ind w:leftChars="150" w:left="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間隔時間為2個月又2</w:t>
                      </w:r>
                      <w:r>
                        <w:rPr>
                          <w:rFonts w:ascii="標楷體" w:eastAsia="標楷體" w:hAnsi="標楷體"/>
                          <w:sz w:val="18"/>
                          <w:szCs w:val="18"/>
                        </w:rPr>
                        <w:t>5</w:t>
                      </w:r>
                      <w:r>
                        <w:rPr>
                          <w:rFonts w:ascii="標楷體" w:eastAsia="標楷體" w:hAnsi="標楷體" w:hint="eastAsia"/>
                          <w:sz w:val="18"/>
                          <w:szCs w:val="18"/>
                        </w:rPr>
                        <w:t>天。</w:t>
                      </w:r>
                    </w:p>
                    <w:p w14:paraId="2173505C" w14:textId="77777777" w:rsidR="00F1456A" w:rsidRDefault="00F1456A" w:rsidP="00F1456A">
                      <w:pPr>
                        <w:spacing w:line="240" w:lineRule="exact"/>
                        <w:ind w:leftChars="150" w:left="360"/>
                        <w:rPr>
                          <w:rFonts w:ascii="標楷體" w:eastAsia="標楷體" w:hAnsi="標楷體"/>
                          <w:sz w:val="18"/>
                          <w:szCs w:val="18"/>
                        </w:rPr>
                      </w:pPr>
                      <w:r>
                        <w:rPr>
                          <w:rFonts w:ascii="標楷體" w:eastAsia="標楷體" w:hAnsi="標楷體"/>
                          <w:sz w:val="18"/>
                          <w:szCs w:val="18"/>
                        </w:rPr>
                        <w:t>3</w:t>
                      </w:r>
                      <w:r>
                        <w:rPr>
                          <w:rFonts w:ascii="標楷體" w:eastAsia="標楷體" w:hAnsi="標楷體" w:hint="eastAsia"/>
                          <w:sz w:val="18"/>
                          <w:szCs w:val="18"/>
                        </w:rPr>
                        <w:t>.資料來源：整理自都市發展局提供資料。</w:t>
                      </w:r>
                    </w:p>
                  </w:txbxContent>
                </v:textbox>
                <w10:wrap type="tight"/>
              </v:shape>
            </w:pict>
          </mc:Fallback>
        </mc:AlternateContent>
      </w:r>
      <w:r w:rsidRPr="001536F9">
        <w:rPr>
          <w:rFonts w:ascii="標楷體" w:eastAsia="標楷體" w:hAnsi="標楷體" w:hint="eastAsia"/>
          <w:szCs w:val="24"/>
        </w:rPr>
        <w:t>社會住宅興辦屬延續性之長期市政建設，截至113年9月底止，由臺北市政府興辦社會住宅計22,033戶、經管既有公有住宅計4,368戶</w:t>
      </w:r>
      <w:r>
        <w:rPr>
          <w:rFonts w:ascii="標楷體" w:eastAsia="標楷體" w:hAnsi="標楷體" w:hint="eastAsia"/>
          <w:szCs w:val="24"/>
        </w:rPr>
        <w:t>。</w:t>
      </w:r>
      <w:r w:rsidRPr="00927D95">
        <w:rPr>
          <w:rFonts w:ascii="標楷體" w:eastAsia="標楷體" w:hAnsi="標楷體" w:hint="eastAsia"/>
          <w:szCs w:val="24"/>
        </w:rPr>
        <w:t>為</w:t>
      </w:r>
      <w:r w:rsidRPr="00722945">
        <w:rPr>
          <w:rFonts w:ascii="標楷體" w:eastAsia="標楷體" w:hAnsi="標楷體" w:hint="eastAsia"/>
          <w:szCs w:val="24"/>
        </w:rPr>
        <w:t>即時提供民眾適宜及可負擔之居住環境</w:t>
      </w:r>
      <w:r w:rsidRPr="00927D95">
        <w:rPr>
          <w:rFonts w:ascii="標楷體" w:eastAsia="標楷體" w:hAnsi="標楷體" w:hint="eastAsia"/>
          <w:szCs w:val="24"/>
        </w:rPr>
        <w:t>，</w:t>
      </w:r>
      <w:r>
        <w:rPr>
          <w:rFonts w:ascii="標楷體" w:eastAsia="標楷體" w:hAnsi="標楷體" w:hint="eastAsia"/>
          <w:szCs w:val="24"/>
        </w:rPr>
        <w:t>由都市發展局持續精進社會住宅驗收及</w:t>
      </w:r>
      <w:proofErr w:type="gramStart"/>
      <w:r>
        <w:rPr>
          <w:rFonts w:ascii="標楷體" w:eastAsia="標楷體" w:hAnsi="標楷體" w:hint="eastAsia"/>
          <w:szCs w:val="24"/>
        </w:rPr>
        <w:t>配租入</w:t>
      </w:r>
      <w:proofErr w:type="gramEnd"/>
      <w:r>
        <w:rPr>
          <w:rFonts w:ascii="標楷體" w:eastAsia="標楷體" w:hAnsi="標楷體" w:hint="eastAsia"/>
          <w:szCs w:val="24"/>
        </w:rPr>
        <w:t>住等管控時程，規劃</w:t>
      </w:r>
      <w:r w:rsidRPr="001766AF">
        <w:rPr>
          <w:rFonts w:ascii="標楷體" w:eastAsia="標楷體" w:hAnsi="標楷體" w:hint="eastAsia"/>
          <w:szCs w:val="24"/>
        </w:rPr>
        <w:t>自112年4月21日起，將社會住宅竣工日至取得</w:t>
      </w:r>
      <w:r>
        <w:rPr>
          <w:rFonts w:ascii="標楷體" w:eastAsia="標楷體" w:hAnsi="標楷體" w:hint="eastAsia"/>
          <w:szCs w:val="24"/>
        </w:rPr>
        <w:t>使用執照</w:t>
      </w:r>
      <w:r w:rsidRPr="001766AF">
        <w:rPr>
          <w:rFonts w:ascii="標楷體" w:eastAsia="標楷體" w:hAnsi="標楷體" w:hint="eastAsia"/>
          <w:szCs w:val="24"/>
        </w:rPr>
        <w:t>期程管控在2個月內完成，並依建案250戶以下、250戶至500戶及500戶以</w:t>
      </w:r>
      <w:proofErr w:type="gramStart"/>
      <w:r w:rsidRPr="001766AF">
        <w:rPr>
          <w:rFonts w:ascii="標楷體" w:eastAsia="標楷體" w:hAnsi="標楷體" w:hint="eastAsia"/>
          <w:szCs w:val="24"/>
        </w:rPr>
        <w:t>上等戶</w:t>
      </w:r>
      <w:proofErr w:type="gramEnd"/>
      <w:r w:rsidRPr="001766AF">
        <w:rPr>
          <w:rFonts w:ascii="標楷體" w:eastAsia="標楷體" w:hAnsi="標楷體" w:hint="eastAsia"/>
          <w:szCs w:val="24"/>
        </w:rPr>
        <w:t>數規模，分別訂定</w:t>
      </w:r>
      <w:r>
        <w:rPr>
          <w:rFonts w:ascii="標楷體" w:eastAsia="標楷體" w:hAnsi="標楷體" w:hint="eastAsia"/>
          <w:szCs w:val="24"/>
        </w:rPr>
        <w:t>各該規模</w:t>
      </w:r>
      <w:proofErr w:type="gramStart"/>
      <w:r w:rsidRPr="001766AF">
        <w:rPr>
          <w:rFonts w:ascii="標楷體" w:eastAsia="標楷體" w:hAnsi="標楷體" w:hint="eastAsia"/>
          <w:szCs w:val="24"/>
        </w:rPr>
        <w:t>入住期程</w:t>
      </w:r>
      <w:proofErr w:type="gramEnd"/>
      <w:r w:rsidRPr="001766AF">
        <w:rPr>
          <w:rFonts w:ascii="標楷體" w:eastAsia="標楷體" w:hAnsi="標楷體" w:hint="eastAsia"/>
          <w:szCs w:val="24"/>
        </w:rPr>
        <w:t>規劃原則為使</w:t>
      </w:r>
      <w:r>
        <w:rPr>
          <w:rFonts w:ascii="標楷體" w:eastAsia="標楷體" w:hAnsi="標楷體" w:hint="eastAsia"/>
          <w:szCs w:val="24"/>
        </w:rPr>
        <w:t>用執</w:t>
      </w:r>
      <w:r w:rsidRPr="001766AF">
        <w:rPr>
          <w:rFonts w:ascii="標楷體" w:eastAsia="標楷體" w:hAnsi="標楷體" w:hint="eastAsia"/>
          <w:szCs w:val="24"/>
        </w:rPr>
        <w:t>照取得6個月、7個月及8個月開始開放入住</w:t>
      </w:r>
      <w:r>
        <w:rPr>
          <w:rFonts w:ascii="標楷體" w:eastAsia="標楷體" w:hAnsi="標楷體" w:hint="eastAsia"/>
          <w:szCs w:val="24"/>
        </w:rPr>
        <w:t>。</w:t>
      </w:r>
      <w:r w:rsidRPr="00910643">
        <w:rPr>
          <w:rFonts w:ascii="標楷體" w:eastAsia="標楷體" w:hAnsi="標楷體" w:hint="eastAsia"/>
          <w:szCs w:val="24"/>
        </w:rPr>
        <w:t>據</w:t>
      </w:r>
      <w:r>
        <w:rPr>
          <w:rFonts w:ascii="標楷體" w:eastAsia="標楷體" w:hAnsi="標楷體" w:hint="eastAsia"/>
          <w:szCs w:val="24"/>
        </w:rPr>
        <w:t>都市發展</w:t>
      </w:r>
      <w:r w:rsidRPr="00910643">
        <w:rPr>
          <w:rFonts w:ascii="標楷體" w:eastAsia="標楷體" w:hAnsi="標楷體" w:hint="eastAsia"/>
          <w:szCs w:val="24"/>
        </w:rPr>
        <w:t>局提供住宅基金截至113年9月推動中社會住宅執行資料，其中</w:t>
      </w:r>
      <w:r w:rsidRPr="00540521">
        <w:rPr>
          <w:rFonts w:ascii="標楷體" w:eastAsia="標楷體" w:hAnsi="標楷體" w:hint="eastAsia"/>
          <w:szCs w:val="24"/>
        </w:rPr>
        <w:t>「萬華區福星」社會住宅等</w:t>
      </w:r>
      <w:r>
        <w:rPr>
          <w:rFonts w:ascii="標楷體" w:eastAsia="標楷體" w:hAnsi="標楷體" w:hint="eastAsia"/>
          <w:szCs w:val="24"/>
        </w:rPr>
        <w:t>8</w:t>
      </w:r>
      <w:r w:rsidRPr="00540521">
        <w:rPr>
          <w:rFonts w:ascii="標楷體" w:eastAsia="標楷體" w:hAnsi="標楷體" w:hint="eastAsia"/>
          <w:szCs w:val="24"/>
        </w:rPr>
        <w:t>案</w:t>
      </w:r>
      <w:r>
        <w:rPr>
          <w:rFonts w:ascii="標楷體" w:eastAsia="標楷體" w:hAnsi="標楷體" w:hint="eastAsia"/>
          <w:szCs w:val="24"/>
        </w:rPr>
        <w:t>，</w:t>
      </w:r>
      <w:r w:rsidRPr="00540521">
        <w:rPr>
          <w:rFonts w:ascii="標楷體" w:eastAsia="標楷體" w:hAnsi="標楷體" w:hint="eastAsia"/>
          <w:szCs w:val="24"/>
        </w:rPr>
        <w:t>竣工日為112年6月至113年8月間，取得使</w:t>
      </w:r>
      <w:r>
        <w:rPr>
          <w:rFonts w:ascii="標楷體" w:eastAsia="標楷體" w:hAnsi="標楷體" w:hint="eastAsia"/>
          <w:szCs w:val="24"/>
        </w:rPr>
        <w:t>用執</w:t>
      </w:r>
      <w:r w:rsidRPr="00540521">
        <w:rPr>
          <w:rFonts w:ascii="標楷體" w:eastAsia="標楷體" w:hAnsi="標楷體" w:hint="eastAsia"/>
          <w:szCs w:val="24"/>
        </w:rPr>
        <w:t>照日為112年9月至113年11月間（表</w:t>
      </w:r>
      <w:r>
        <w:rPr>
          <w:rFonts w:ascii="標楷體" w:eastAsia="標楷體" w:hAnsi="標楷體" w:hint="eastAsia"/>
          <w:szCs w:val="24"/>
        </w:rPr>
        <w:t>2</w:t>
      </w:r>
      <w:r w:rsidRPr="00540521">
        <w:rPr>
          <w:rFonts w:ascii="標楷體" w:eastAsia="標楷體" w:hAnsi="標楷體" w:hint="eastAsia"/>
          <w:szCs w:val="24"/>
        </w:rPr>
        <w:t>項次1至5、8）</w:t>
      </w:r>
      <w:r>
        <w:rPr>
          <w:rFonts w:ascii="標楷體" w:eastAsia="標楷體" w:hAnsi="標楷體" w:hint="eastAsia"/>
          <w:szCs w:val="24"/>
        </w:rPr>
        <w:t>，或</w:t>
      </w:r>
      <w:r w:rsidRPr="00540521">
        <w:rPr>
          <w:rFonts w:ascii="標楷體" w:eastAsia="標楷體" w:hAnsi="標楷體" w:hint="eastAsia"/>
          <w:szCs w:val="24"/>
        </w:rPr>
        <w:t>尚未取得</w:t>
      </w:r>
      <w:r>
        <w:rPr>
          <w:rFonts w:ascii="標楷體" w:eastAsia="標楷體" w:hAnsi="標楷體" w:hint="eastAsia"/>
          <w:szCs w:val="24"/>
        </w:rPr>
        <w:t>使用執照（</w:t>
      </w:r>
      <w:r w:rsidRPr="00540521">
        <w:rPr>
          <w:rFonts w:ascii="標楷體" w:eastAsia="標楷體" w:hAnsi="標楷體" w:hint="eastAsia"/>
          <w:szCs w:val="24"/>
        </w:rPr>
        <w:t>表</w:t>
      </w:r>
      <w:r>
        <w:rPr>
          <w:rFonts w:ascii="標楷體" w:eastAsia="標楷體" w:hAnsi="標楷體" w:hint="eastAsia"/>
          <w:szCs w:val="24"/>
        </w:rPr>
        <w:t>2</w:t>
      </w:r>
      <w:r w:rsidRPr="00540521">
        <w:rPr>
          <w:rFonts w:ascii="標楷體" w:eastAsia="標楷體" w:hAnsi="標楷體" w:hint="eastAsia"/>
          <w:szCs w:val="24"/>
        </w:rPr>
        <w:t>項次6及7</w:t>
      </w:r>
      <w:r>
        <w:rPr>
          <w:rFonts w:ascii="標楷體" w:eastAsia="標楷體" w:hAnsi="標楷體" w:hint="eastAsia"/>
          <w:szCs w:val="24"/>
        </w:rPr>
        <w:t>）</w:t>
      </w:r>
      <w:r w:rsidRPr="00540521">
        <w:rPr>
          <w:rFonts w:ascii="標楷體" w:eastAsia="標楷體" w:hAnsi="標楷體" w:hint="eastAsia"/>
          <w:szCs w:val="24"/>
        </w:rPr>
        <w:t>，</w:t>
      </w:r>
      <w:proofErr w:type="gramStart"/>
      <w:r>
        <w:rPr>
          <w:rFonts w:ascii="標楷體" w:eastAsia="標楷體" w:hAnsi="標楷體" w:hint="eastAsia"/>
          <w:szCs w:val="24"/>
        </w:rPr>
        <w:t>均</w:t>
      </w:r>
      <w:r w:rsidRPr="00540521">
        <w:rPr>
          <w:rFonts w:ascii="標楷體" w:eastAsia="標楷體" w:hAnsi="標楷體" w:hint="eastAsia"/>
          <w:szCs w:val="24"/>
        </w:rPr>
        <w:t>已逾</w:t>
      </w:r>
      <w:proofErr w:type="gramEnd"/>
      <w:r w:rsidRPr="00540521">
        <w:rPr>
          <w:rFonts w:ascii="標楷體" w:eastAsia="標楷體" w:hAnsi="標楷體" w:hint="eastAsia"/>
          <w:szCs w:val="24"/>
        </w:rPr>
        <w:t>應於竣工後2個月內取得</w:t>
      </w:r>
      <w:r>
        <w:rPr>
          <w:rFonts w:ascii="標楷體" w:eastAsia="標楷體" w:hAnsi="標楷體" w:hint="eastAsia"/>
          <w:szCs w:val="24"/>
        </w:rPr>
        <w:t>使用執照</w:t>
      </w:r>
      <w:r w:rsidRPr="00540521">
        <w:rPr>
          <w:rFonts w:ascii="標楷體" w:eastAsia="標楷體" w:hAnsi="標楷體" w:hint="eastAsia"/>
          <w:szCs w:val="24"/>
        </w:rPr>
        <w:t>之</w:t>
      </w:r>
      <w:proofErr w:type="gramStart"/>
      <w:r w:rsidRPr="00540521">
        <w:rPr>
          <w:rFonts w:ascii="標楷體" w:eastAsia="標楷體" w:hAnsi="標楷體" w:hint="eastAsia"/>
          <w:szCs w:val="24"/>
        </w:rPr>
        <w:t>管控期程</w:t>
      </w:r>
      <w:proofErr w:type="gramEnd"/>
      <w:r w:rsidRPr="00540521">
        <w:rPr>
          <w:rFonts w:ascii="標楷體" w:eastAsia="標楷體" w:hAnsi="標楷體" w:hint="eastAsia"/>
          <w:szCs w:val="24"/>
        </w:rPr>
        <w:t>；另「文山區和興水岸」及「萬華區福星」社會住宅</w:t>
      </w:r>
      <w:r>
        <w:rPr>
          <w:rFonts w:ascii="標楷體" w:eastAsia="標楷體" w:hAnsi="標楷體" w:hint="eastAsia"/>
          <w:szCs w:val="24"/>
        </w:rPr>
        <w:t>（</w:t>
      </w:r>
      <w:r w:rsidRPr="00540521">
        <w:rPr>
          <w:rFonts w:ascii="標楷體" w:eastAsia="標楷體" w:hAnsi="標楷體" w:hint="eastAsia"/>
          <w:szCs w:val="24"/>
        </w:rPr>
        <w:t>表</w:t>
      </w:r>
      <w:r>
        <w:rPr>
          <w:rFonts w:ascii="標楷體" w:eastAsia="標楷體" w:hAnsi="標楷體" w:hint="eastAsia"/>
          <w:szCs w:val="24"/>
        </w:rPr>
        <w:t>2</w:t>
      </w:r>
      <w:r w:rsidRPr="00540521">
        <w:rPr>
          <w:rFonts w:ascii="標楷體" w:eastAsia="標楷體" w:hAnsi="標楷體" w:hint="eastAsia"/>
          <w:szCs w:val="24"/>
        </w:rPr>
        <w:t>項次1及3</w:t>
      </w:r>
      <w:r>
        <w:rPr>
          <w:rFonts w:ascii="標楷體" w:eastAsia="標楷體" w:hAnsi="標楷體" w:hint="eastAsia"/>
          <w:szCs w:val="24"/>
        </w:rPr>
        <w:t>）</w:t>
      </w:r>
      <w:r w:rsidRPr="00540521">
        <w:rPr>
          <w:rFonts w:ascii="標楷體" w:eastAsia="標楷體" w:hAnsi="標楷體" w:hint="eastAsia"/>
          <w:szCs w:val="24"/>
        </w:rPr>
        <w:t>等2案</w:t>
      </w:r>
      <w:r>
        <w:rPr>
          <w:rFonts w:ascii="標楷體" w:eastAsia="標楷體" w:hAnsi="標楷體" w:hint="eastAsia"/>
          <w:szCs w:val="24"/>
        </w:rPr>
        <w:t>，</w:t>
      </w:r>
      <w:r w:rsidRPr="00EE3B31">
        <w:rPr>
          <w:rFonts w:ascii="標楷體" w:eastAsia="標楷體" w:hAnsi="標楷體" w:hint="eastAsia"/>
          <w:szCs w:val="24"/>
        </w:rPr>
        <w:t>戶數規模</w:t>
      </w:r>
      <w:r>
        <w:rPr>
          <w:rFonts w:ascii="標楷體" w:eastAsia="標楷體" w:hAnsi="標楷體" w:hint="eastAsia"/>
          <w:szCs w:val="24"/>
        </w:rPr>
        <w:t>分別</w:t>
      </w:r>
      <w:r w:rsidRPr="00EE3B31">
        <w:rPr>
          <w:rFonts w:ascii="標楷體" w:eastAsia="標楷體" w:hAnsi="標楷體" w:hint="eastAsia"/>
          <w:szCs w:val="24"/>
        </w:rPr>
        <w:t>為250戶以下</w:t>
      </w:r>
      <w:r>
        <w:rPr>
          <w:rFonts w:ascii="標楷體" w:eastAsia="標楷體" w:hAnsi="標楷體" w:hint="eastAsia"/>
          <w:szCs w:val="24"/>
        </w:rPr>
        <w:t>及250戶至500戶</w:t>
      </w:r>
      <w:r w:rsidRPr="00540521">
        <w:rPr>
          <w:rFonts w:ascii="標楷體" w:eastAsia="標楷體" w:hAnsi="標楷體" w:hint="eastAsia"/>
          <w:szCs w:val="24"/>
        </w:rPr>
        <w:t>，應於取得</w:t>
      </w:r>
      <w:r>
        <w:rPr>
          <w:rFonts w:ascii="標楷體" w:eastAsia="標楷體" w:hAnsi="標楷體" w:hint="eastAsia"/>
          <w:szCs w:val="24"/>
        </w:rPr>
        <w:t>使用執照</w:t>
      </w:r>
      <w:r w:rsidRPr="00540521">
        <w:rPr>
          <w:rFonts w:ascii="標楷體" w:eastAsia="標楷體" w:hAnsi="標楷體" w:hint="eastAsia"/>
          <w:szCs w:val="24"/>
        </w:rPr>
        <w:t>後6個月及7個月內規劃租戶入住，惟實際租戶入住日</w:t>
      </w:r>
      <w:proofErr w:type="gramStart"/>
      <w:r w:rsidRPr="00540521">
        <w:rPr>
          <w:rFonts w:ascii="標楷體" w:eastAsia="標楷體" w:hAnsi="標楷體" w:hint="eastAsia"/>
          <w:szCs w:val="24"/>
        </w:rPr>
        <w:t>已較精進期</w:t>
      </w:r>
      <w:r w:rsidRPr="00541E9C">
        <w:rPr>
          <w:rFonts w:ascii="標楷體" w:eastAsia="標楷體" w:hAnsi="標楷體" w:hint="eastAsia"/>
          <w:szCs w:val="24"/>
        </w:rPr>
        <w:t>程逾時</w:t>
      </w:r>
      <w:proofErr w:type="gramEnd"/>
      <w:r w:rsidRPr="00541E9C">
        <w:rPr>
          <w:rFonts w:ascii="標楷體" w:eastAsia="標楷體" w:hAnsi="標楷體" w:hint="eastAsia"/>
          <w:szCs w:val="24"/>
        </w:rPr>
        <w:t>1個月</w:t>
      </w:r>
      <w:r>
        <w:rPr>
          <w:rFonts w:ascii="標楷體" w:eastAsia="標楷體" w:hAnsi="標楷體" w:hint="eastAsia"/>
          <w:szCs w:val="24"/>
        </w:rPr>
        <w:t>。</w:t>
      </w:r>
      <w:proofErr w:type="gramStart"/>
      <w:r w:rsidRPr="00042137">
        <w:rPr>
          <w:rFonts w:ascii="標楷體" w:eastAsia="標楷體" w:hAnsi="標楷體" w:hint="eastAsia"/>
          <w:szCs w:val="24"/>
        </w:rPr>
        <w:t>鑑</w:t>
      </w:r>
      <w:proofErr w:type="gramEnd"/>
      <w:r w:rsidRPr="00042137">
        <w:rPr>
          <w:rFonts w:ascii="標楷體" w:eastAsia="標楷體" w:hAnsi="標楷體" w:hint="eastAsia"/>
          <w:szCs w:val="24"/>
        </w:rPr>
        <w:t>於</w:t>
      </w:r>
      <w:r>
        <w:rPr>
          <w:rFonts w:ascii="標楷體" w:eastAsia="標楷體" w:hAnsi="標楷體" w:hint="eastAsia"/>
          <w:szCs w:val="24"/>
        </w:rPr>
        <w:t>都市發展局</w:t>
      </w:r>
      <w:r w:rsidRPr="00042137">
        <w:rPr>
          <w:rFonts w:ascii="標楷體" w:eastAsia="標楷體" w:hAnsi="標楷體" w:hint="eastAsia"/>
          <w:szCs w:val="24"/>
        </w:rPr>
        <w:t>為</w:t>
      </w:r>
      <w:r w:rsidRPr="00F122C1">
        <w:rPr>
          <w:rFonts w:ascii="標楷體" w:eastAsia="標楷體" w:hAnsi="標楷體" w:hint="eastAsia"/>
          <w:szCs w:val="24"/>
        </w:rPr>
        <w:t>即時提供民眾適宜及可負擔之居住環境</w:t>
      </w:r>
      <w:r>
        <w:rPr>
          <w:rFonts w:ascii="標楷體" w:eastAsia="標楷體" w:hAnsi="標楷體" w:hint="eastAsia"/>
          <w:szCs w:val="24"/>
        </w:rPr>
        <w:t>，已檢討</w:t>
      </w:r>
      <w:r w:rsidRPr="00042137">
        <w:rPr>
          <w:rFonts w:ascii="標楷體" w:eastAsia="標楷體" w:hAnsi="標楷體" w:hint="eastAsia"/>
          <w:szCs w:val="24"/>
        </w:rPr>
        <w:t>精進</w:t>
      </w:r>
      <w:r>
        <w:rPr>
          <w:rFonts w:ascii="標楷體" w:eastAsia="標楷體" w:hAnsi="標楷體" w:hint="eastAsia"/>
          <w:szCs w:val="24"/>
        </w:rPr>
        <w:t>工程</w:t>
      </w:r>
      <w:r w:rsidRPr="00042137">
        <w:rPr>
          <w:rFonts w:ascii="標楷體" w:eastAsia="標楷體" w:hAnsi="標楷體" w:hint="eastAsia"/>
          <w:szCs w:val="24"/>
        </w:rPr>
        <w:t>竣工後至取得</w:t>
      </w:r>
      <w:r>
        <w:rPr>
          <w:rFonts w:ascii="標楷體" w:eastAsia="標楷體" w:hAnsi="標楷體" w:hint="eastAsia"/>
          <w:szCs w:val="24"/>
        </w:rPr>
        <w:t>使用執照</w:t>
      </w:r>
      <w:r w:rsidRPr="00042137">
        <w:rPr>
          <w:rFonts w:ascii="標楷體" w:eastAsia="標楷體" w:hAnsi="標楷體" w:hint="eastAsia"/>
          <w:szCs w:val="24"/>
        </w:rPr>
        <w:t>、驗收及入住等</w:t>
      </w:r>
      <w:proofErr w:type="gramStart"/>
      <w:r w:rsidRPr="00042137">
        <w:rPr>
          <w:rFonts w:ascii="標楷體" w:eastAsia="標楷體" w:hAnsi="標楷體" w:hint="eastAsia"/>
          <w:szCs w:val="24"/>
        </w:rPr>
        <w:t>管控期程</w:t>
      </w:r>
      <w:proofErr w:type="gramEnd"/>
      <w:r w:rsidRPr="00042137">
        <w:rPr>
          <w:rFonts w:ascii="標楷體" w:eastAsia="標楷體" w:hAnsi="標楷體" w:hint="eastAsia"/>
          <w:szCs w:val="24"/>
        </w:rPr>
        <w:t>，惟是項精進措施</w:t>
      </w:r>
    </w:p>
    <w:p w14:paraId="4F5D1A76" w14:textId="10105FF2" w:rsidR="00F1456A" w:rsidRPr="00541E9C" w:rsidRDefault="00F1456A" w:rsidP="00F1456A">
      <w:pPr>
        <w:overflowPunct w:val="0"/>
        <w:snapToGrid w:val="0"/>
        <w:spacing w:before="120" w:after="60" w:line="440" w:lineRule="exact"/>
        <w:jc w:val="both"/>
        <w:rPr>
          <w:rFonts w:ascii="標楷體" w:eastAsia="標楷體" w:hAnsi="標楷體"/>
          <w:szCs w:val="24"/>
        </w:rPr>
      </w:pPr>
      <w:r w:rsidRPr="00042137">
        <w:rPr>
          <w:rFonts w:ascii="標楷體" w:eastAsia="標楷體" w:hAnsi="標楷體" w:hint="eastAsia"/>
          <w:szCs w:val="24"/>
        </w:rPr>
        <w:lastRenderedPageBreak/>
        <w:t>自11</w:t>
      </w:r>
      <w:r>
        <w:rPr>
          <w:rFonts w:ascii="標楷體" w:eastAsia="標楷體" w:hAnsi="標楷體" w:hint="eastAsia"/>
          <w:szCs w:val="24"/>
        </w:rPr>
        <w:t>2</w:t>
      </w:r>
      <w:r w:rsidRPr="00042137">
        <w:rPr>
          <w:rFonts w:ascii="標楷體" w:eastAsia="標楷體" w:hAnsi="標楷體" w:hint="eastAsia"/>
          <w:szCs w:val="24"/>
        </w:rPr>
        <w:t>年4月起實施後，</w:t>
      </w:r>
      <w:proofErr w:type="gramStart"/>
      <w:r w:rsidRPr="00042137">
        <w:rPr>
          <w:rFonts w:ascii="標楷體" w:eastAsia="標楷體" w:hAnsi="標楷體" w:hint="eastAsia"/>
          <w:szCs w:val="24"/>
        </w:rPr>
        <w:t>尚未納</w:t>
      </w:r>
      <w:r w:rsidRPr="008C1789">
        <w:rPr>
          <w:rFonts w:ascii="標楷體" w:eastAsia="標楷體" w:hAnsi="標楷體" w:hint="eastAsia"/>
          <w:szCs w:val="24"/>
        </w:rPr>
        <w:t>列</w:t>
      </w:r>
      <w:r>
        <w:rPr>
          <w:rFonts w:ascii="標楷體" w:eastAsia="標楷體" w:hAnsi="標楷體" w:hint="eastAsia"/>
          <w:szCs w:val="24"/>
        </w:rPr>
        <w:t>該</w:t>
      </w:r>
      <w:proofErr w:type="gramEnd"/>
      <w:r>
        <w:rPr>
          <w:rFonts w:ascii="標楷體" w:eastAsia="標楷體" w:hAnsi="標楷體" w:hint="eastAsia"/>
          <w:szCs w:val="24"/>
        </w:rPr>
        <w:t>局</w:t>
      </w:r>
      <w:r w:rsidRPr="008C1789">
        <w:rPr>
          <w:rFonts w:ascii="標楷體" w:eastAsia="標楷體" w:hAnsi="標楷體" w:hint="eastAsia"/>
          <w:szCs w:val="24"/>
        </w:rPr>
        <w:t>內部控制制度進行規範，且實際推動結果已有「文山區和興水岸」等8案（表</w:t>
      </w:r>
      <w:r>
        <w:rPr>
          <w:rFonts w:ascii="標楷體" w:eastAsia="標楷體" w:hAnsi="標楷體" w:hint="eastAsia"/>
          <w:szCs w:val="24"/>
        </w:rPr>
        <w:t>2）之竣工日至</w:t>
      </w:r>
      <w:r w:rsidRPr="00042137">
        <w:rPr>
          <w:rFonts w:ascii="標楷體" w:eastAsia="標楷體" w:hAnsi="標楷體" w:hint="eastAsia"/>
          <w:szCs w:val="24"/>
        </w:rPr>
        <w:t>取得</w:t>
      </w:r>
      <w:r>
        <w:rPr>
          <w:rFonts w:ascii="標楷體" w:eastAsia="標楷體" w:hAnsi="標楷體" w:hint="eastAsia"/>
          <w:szCs w:val="24"/>
        </w:rPr>
        <w:t>使用執照</w:t>
      </w:r>
      <w:r w:rsidRPr="00042137">
        <w:rPr>
          <w:rFonts w:ascii="標楷體" w:eastAsia="標楷體" w:hAnsi="標楷體" w:hint="eastAsia"/>
          <w:szCs w:val="24"/>
        </w:rPr>
        <w:t>日，或</w:t>
      </w:r>
      <w:r>
        <w:rPr>
          <w:rFonts w:ascii="標楷體" w:eastAsia="標楷體" w:hAnsi="標楷體" w:hint="eastAsia"/>
          <w:szCs w:val="24"/>
        </w:rPr>
        <w:t>開放住</w:t>
      </w:r>
      <w:r w:rsidRPr="00042137">
        <w:rPr>
          <w:rFonts w:ascii="標楷體" w:eastAsia="標楷體" w:hAnsi="標楷體" w:hint="eastAsia"/>
          <w:szCs w:val="24"/>
        </w:rPr>
        <w:t>戶入住日，未依精進措施辦理情事</w:t>
      </w:r>
      <w:r w:rsidRPr="00541E9C">
        <w:rPr>
          <w:rFonts w:ascii="標楷體" w:eastAsia="標楷體" w:hAnsi="標楷體" w:hint="eastAsia"/>
          <w:szCs w:val="24"/>
        </w:rPr>
        <w:t>，經函請</w:t>
      </w:r>
      <w:proofErr w:type="gramStart"/>
      <w:r>
        <w:rPr>
          <w:rFonts w:ascii="標楷體" w:eastAsia="標楷體" w:hAnsi="標楷體" w:hint="eastAsia"/>
          <w:szCs w:val="24"/>
        </w:rPr>
        <w:t>研</w:t>
      </w:r>
      <w:proofErr w:type="gramEnd"/>
      <w:r>
        <w:rPr>
          <w:rFonts w:ascii="標楷體" w:eastAsia="標楷體" w:hAnsi="標楷體" w:hint="eastAsia"/>
          <w:szCs w:val="24"/>
        </w:rPr>
        <w:t>謀</w:t>
      </w:r>
      <w:r w:rsidRPr="00541E9C">
        <w:rPr>
          <w:rFonts w:ascii="標楷體" w:eastAsia="標楷體" w:hAnsi="標楷體" w:hint="eastAsia"/>
          <w:szCs w:val="24"/>
        </w:rPr>
        <w:t>改善。據復：</w:t>
      </w:r>
      <w:r>
        <w:rPr>
          <w:rFonts w:ascii="標楷體" w:eastAsia="標楷體" w:hAnsi="標楷體" w:hint="eastAsia"/>
          <w:szCs w:val="24"/>
        </w:rPr>
        <w:t>針對</w:t>
      </w:r>
      <w:r w:rsidRPr="00541E9C">
        <w:rPr>
          <w:rFonts w:ascii="標楷體" w:eastAsia="標楷體" w:hAnsi="標楷體" w:hint="eastAsia"/>
          <w:szCs w:val="24"/>
        </w:rPr>
        <w:t>竣工日至取得</w:t>
      </w:r>
      <w:r>
        <w:rPr>
          <w:rFonts w:ascii="標楷體" w:eastAsia="標楷體" w:hAnsi="標楷體" w:hint="eastAsia"/>
          <w:szCs w:val="24"/>
        </w:rPr>
        <w:t>使用執照</w:t>
      </w:r>
      <w:r w:rsidRPr="00541E9C">
        <w:rPr>
          <w:rFonts w:ascii="標楷體" w:eastAsia="標楷體" w:hAnsi="標楷體" w:hint="eastAsia"/>
          <w:szCs w:val="24"/>
        </w:rPr>
        <w:t>時間逾2個月</w:t>
      </w:r>
      <w:r>
        <w:rPr>
          <w:rFonts w:ascii="標楷體" w:eastAsia="標楷體" w:hAnsi="標楷體" w:hint="eastAsia"/>
          <w:szCs w:val="24"/>
        </w:rPr>
        <w:t>之</w:t>
      </w:r>
      <w:r w:rsidRPr="00541E9C">
        <w:rPr>
          <w:rFonts w:ascii="標楷體" w:eastAsia="標楷體" w:hAnsi="標楷體" w:hint="eastAsia"/>
          <w:szCs w:val="24"/>
        </w:rPr>
        <w:t>8案</w:t>
      </w:r>
      <w:r>
        <w:rPr>
          <w:rFonts w:ascii="標楷體" w:eastAsia="標楷體" w:hAnsi="標楷體" w:hint="eastAsia"/>
          <w:szCs w:val="24"/>
        </w:rPr>
        <w:t>，案經該局檢討逾期責任結果</w:t>
      </w:r>
      <w:r w:rsidRPr="00541E9C">
        <w:rPr>
          <w:rFonts w:ascii="標楷體" w:eastAsia="標楷體" w:hAnsi="標楷體" w:hint="eastAsia"/>
          <w:szCs w:val="24"/>
        </w:rPr>
        <w:t>，</w:t>
      </w:r>
      <w:r w:rsidRPr="000E3BD2">
        <w:rPr>
          <w:rFonts w:ascii="標楷體" w:eastAsia="標楷體" w:hAnsi="標楷體" w:hint="eastAsia"/>
          <w:szCs w:val="24"/>
        </w:rPr>
        <w:t>截至114年3月</w:t>
      </w:r>
      <w:r>
        <w:rPr>
          <w:rFonts w:ascii="標楷體" w:eastAsia="標楷體" w:hAnsi="標楷體" w:hint="eastAsia"/>
          <w:szCs w:val="24"/>
        </w:rPr>
        <w:t>底</w:t>
      </w:r>
      <w:r w:rsidRPr="000E3BD2">
        <w:rPr>
          <w:rFonts w:ascii="標楷體" w:eastAsia="標楷體" w:hAnsi="標楷體" w:hint="eastAsia"/>
          <w:szCs w:val="24"/>
        </w:rPr>
        <w:t>止，除</w:t>
      </w:r>
      <w:r>
        <w:rPr>
          <w:rFonts w:ascii="標楷體" w:eastAsia="標楷體" w:hAnsi="標楷體" w:hint="eastAsia"/>
          <w:szCs w:val="24"/>
        </w:rPr>
        <w:t>3案</w:t>
      </w:r>
      <w:r w:rsidRPr="00541E9C">
        <w:rPr>
          <w:rFonts w:ascii="標楷體" w:eastAsia="標楷體" w:hAnsi="標楷體" w:hint="eastAsia"/>
          <w:szCs w:val="24"/>
        </w:rPr>
        <w:t>非可歸責廠商</w:t>
      </w:r>
      <w:r>
        <w:rPr>
          <w:rFonts w:ascii="標楷體" w:eastAsia="標楷體" w:hAnsi="標楷體" w:hint="eastAsia"/>
          <w:szCs w:val="24"/>
        </w:rPr>
        <w:t>責任</w:t>
      </w:r>
      <w:r w:rsidRPr="00541E9C">
        <w:rPr>
          <w:rFonts w:ascii="標楷體" w:eastAsia="標楷體" w:hAnsi="標楷體" w:hint="eastAsia"/>
          <w:szCs w:val="24"/>
        </w:rPr>
        <w:t>，</w:t>
      </w:r>
      <w:r>
        <w:rPr>
          <w:rFonts w:ascii="標楷體" w:eastAsia="標楷體" w:hAnsi="標楷體" w:hint="eastAsia"/>
          <w:szCs w:val="24"/>
        </w:rPr>
        <w:t>經</w:t>
      </w:r>
      <w:r w:rsidRPr="00541E9C">
        <w:rPr>
          <w:rFonts w:ascii="標楷體" w:eastAsia="標楷體" w:hAnsi="標楷體" w:hint="eastAsia"/>
          <w:szCs w:val="24"/>
        </w:rPr>
        <w:t>該局同意展延</w:t>
      </w:r>
      <w:r>
        <w:rPr>
          <w:rFonts w:ascii="標楷體" w:eastAsia="標楷體" w:hAnsi="標楷體" w:hint="eastAsia"/>
          <w:szCs w:val="24"/>
        </w:rPr>
        <w:t>使用執照取得</w:t>
      </w:r>
      <w:proofErr w:type="gramStart"/>
      <w:r w:rsidRPr="00541E9C">
        <w:rPr>
          <w:rFonts w:ascii="標楷體" w:eastAsia="標楷體" w:hAnsi="標楷體" w:hint="eastAsia"/>
          <w:szCs w:val="24"/>
        </w:rPr>
        <w:t>期程</w:t>
      </w:r>
      <w:r>
        <w:rPr>
          <w:rFonts w:ascii="標楷體" w:eastAsia="標楷體" w:hAnsi="標楷體" w:hint="eastAsia"/>
          <w:szCs w:val="24"/>
        </w:rPr>
        <w:t>外</w:t>
      </w:r>
      <w:proofErr w:type="gramEnd"/>
      <w:r w:rsidRPr="00541E9C">
        <w:rPr>
          <w:rFonts w:ascii="標楷體" w:eastAsia="標楷體" w:hAnsi="標楷體" w:hint="eastAsia"/>
          <w:szCs w:val="24"/>
        </w:rPr>
        <w:t>，餘</w:t>
      </w:r>
      <w:r>
        <w:rPr>
          <w:rFonts w:ascii="標楷體" w:eastAsia="標楷體" w:hAnsi="標楷體" w:hint="eastAsia"/>
          <w:szCs w:val="24"/>
        </w:rPr>
        <w:t>5案</w:t>
      </w:r>
      <w:r w:rsidRPr="00541E9C">
        <w:rPr>
          <w:rFonts w:ascii="標楷體" w:eastAsia="標楷體" w:hAnsi="標楷體" w:hint="eastAsia"/>
          <w:szCs w:val="24"/>
        </w:rPr>
        <w:t>已向廠商扣</w:t>
      </w:r>
      <w:proofErr w:type="gramStart"/>
      <w:r w:rsidRPr="00541E9C">
        <w:rPr>
          <w:rFonts w:ascii="標楷體" w:eastAsia="標楷體" w:hAnsi="標楷體" w:hint="eastAsia"/>
          <w:szCs w:val="24"/>
        </w:rPr>
        <w:t>罰</w:t>
      </w:r>
      <w:r>
        <w:rPr>
          <w:rFonts w:ascii="標楷體" w:eastAsia="標楷體" w:hAnsi="標楷體" w:hint="eastAsia"/>
          <w:szCs w:val="24"/>
        </w:rPr>
        <w:t>或</w:t>
      </w:r>
      <w:r w:rsidRPr="00541E9C">
        <w:rPr>
          <w:rFonts w:ascii="標楷體" w:eastAsia="標楷體" w:hAnsi="標楷體" w:hint="eastAsia"/>
          <w:szCs w:val="24"/>
        </w:rPr>
        <w:t>刻檢討</w:t>
      </w:r>
      <w:proofErr w:type="gramEnd"/>
      <w:r w:rsidRPr="00541E9C">
        <w:rPr>
          <w:rFonts w:ascii="標楷體" w:eastAsia="標楷體" w:hAnsi="標楷體" w:hint="eastAsia"/>
          <w:szCs w:val="24"/>
        </w:rPr>
        <w:t>廠商責任</w:t>
      </w:r>
      <w:r w:rsidRPr="0023570F">
        <w:rPr>
          <w:rFonts w:ascii="標楷體" w:eastAsia="標楷體" w:hAnsi="標楷體" w:hint="eastAsia"/>
          <w:szCs w:val="24"/>
        </w:rPr>
        <w:t>，爾後當注意</w:t>
      </w:r>
      <w:r>
        <w:rPr>
          <w:rFonts w:ascii="標楷體" w:eastAsia="標楷體" w:hAnsi="標楷體" w:hint="eastAsia"/>
          <w:szCs w:val="24"/>
        </w:rPr>
        <w:t>加強督導施工廠商辦理及管控進度</w:t>
      </w:r>
      <w:r w:rsidRPr="00541E9C">
        <w:rPr>
          <w:rFonts w:ascii="標楷體" w:eastAsia="標楷體" w:hAnsi="標楷體" w:hint="eastAsia"/>
          <w:szCs w:val="24"/>
        </w:rPr>
        <w:t>；</w:t>
      </w:r>
      <w:r>
        <w:rPr>
          <w:rFonts w:ascii="標楷體" w:eastAsia="標楷體" w:hAnsi="標楷體" w:hint="eastAsia"/>
          <w:szCs w:val="24"/>
        </w:rPr>
        <w:t>至於開放入住</w:t>
      </w:r>
      <w:proofErr w:type="gramStart"/>
      <w:r>
        <w:rPr>
          <w:rFonts w:ascii="標楷體" w:eastAsia="標楷體" w:hAnsi="標楷體" w:hint="eastAsia"/>
          <w:szCs w:val="24"/>
        </w:rPr>
        <w:t>日超逾管</w:t>
      </w:r>
      <w:proofErr w:type="gramEnd"/>
      <w:r>
        <w:rPr>
          <w:rFonts w:ascii="標楷體" w:eastAsia="標楷體" w:hAnsi="標楷體" w:hint="eastAsia"/>
          <w:szCs w:val="24"/>
        </w:rPr>
        <w:t>控時程之2案，係因</w:t>
      </w:r>
      <w:r w:rsidRPr="00273EDC">
        <w:rPr>
          <w:rFonts w:ascii="標楷體" w:eastAsia="標楷體" w:hAnsi="標楷體" w:hint="eastAsia"/>
          <w:szCs w:val="24"/>
        </w:rPr>
        <w:t>配合其他社會住宅辦理聯合招租、原住戶搬遷時程等，</w:t>
      </w:r>
      <w:r>
        <w:rPr>
          <w:rFonts w:ascii="標楷體" w:eastAsia="標楷體" w:hAnsi="標楷體" w:hint="eastAsia"/>
          <w:szCs w:val="24"/>
        </w:rPr>
        <w:t>而</w:t>
      </w:r>
      <w:r w:rsidRPr="00273EDC">
        <w:rPr>
          <w:rFonts w:ascii="標楷體" w:eastAsia="標楷體" w:hAnsi="標楷體" w:hint="eastAsia"/>
          <w:szCs w:val="24"/>
        </w:rPr>
        <w:t>調整</w:t>
      </w:r>
      <w:proofErr w:type="gramStart"/>
      <w:r w:rsidRPr="00273EDC">
        <w:rPr>
          <w:rFonts w:ascii="標楷體" w:eastAsia="標楷體" w:hAnsi="標楷體" w:hint="eastAsia"/>
          <w:szCs w:val="24"/>
        </w:rPr>
        <w:t>入住期程</w:t>
      </w:r>
      <w:proofErr w:type="gramEnd"/>
      <w:r>
        <w:rPr>
          <w:rFonts w:ascii="標楷體" w:eastAsia="標楷體" w:hAnsi="標楷體" w:hint="eastAsia"/>
          <w:szCs w:val="24"/>
        </w:rPr>
        <w:t>，</w:t>
      </w:r>
      <w:proofErr w:type="gramStart"/>
      <w:r>
        <w:rPr>
          <w:rFonts w:ascii="標楷體" w:eastAsia="標楷體" w:hAnsi="標楷體" w:hint="eastAsia"/>
          <w:szCs w:val="24"/>
        </w:rPr>
        <w:t>嗣</w:t>
      </w:r>
      <w:proofErr w:type="gramEnd"/>
      <w:r w:rsidRPr="00273EDC">
        <w:rPr>
          <w:rFonts w:ascii="標楷體" w:eastAsia="標楷體" w:hAnsi="標楷體" w:hint="eastAsia"/>
          <w:szCs w:val="24"/>
        </w:rPr>
        <w:t>為更精</w:t>
      </w:r>
      <w:r>
        <w:rPr>
          <w:rFonts w:ascii="標楷體" w:eastAsia="標楷體" w:hAnsi="標楷體" w:hint="eastAsia"/>
          <w:szCs w:val="24"/>
        </w:rPr>
        <w:t>確</w:t>
      </w:r>
      <w:r w:rsidRPr="00273EDC">
        <w:rPr>
          <w:rFonts w:ascii="標楷體" w:eastAsia="標楷體" w:hAnsi="標楷體" w:hint="eastAsia"/>
          <w:szCs w:val="24"/>
        </w:rPr>
        <w:t>呈現</w:t>
      </w:r>
      <w:r>
        <w:rPr>
          <w:rFonts w:ascii="標楷體" w:eastAsia="標楷體" w:hAnsi="標楷體" w:hint="eastAsia"/>
          <w:szCs w:val="24"/>
        </w:rPr>
        <w:t>，後續將配合調整社會住宅驗收及交屋之策進作為</w:t>
      </w:r>
      <w:r w:rsidRPr="0023570F">
        <w:rPr>
          <w:rFonts w:ascii="標楷體" w:eastAsia="標楷體" w:hAnsi="標楷體" w:hint="eastAsia"/>
          <w:szCs w:val="24"/>
        </w:rPr>
        <w:t>，</w:t>
      </w:r>
      <w:r>
        <w:rPr>
          <w:rFonts w:ascii="標楷體" w:eastAsia="標楷體" w:hAnsi="標楷體" w:hint="eastAsia"/>
          <w:szCs w:val="24"/>
        </w:rPr>
        <w:t>並預計於114年底前將相關精</w:t>
      </w:r>
      <w:proofErr w:type="gramStart"/>
      <w:r>
        <w:rPr>
          <w:rFonts w:ascii="標楷體" w:eastAsia="標楷體" w:hAnsi="標楷體" w:hint="eastAsia"/>
          <w:szCs w:val="24"/>
        </w:rPr>
        <w:t>進</w:t>
      </w:r>
      <w:r w:rsidRPr="008A5D64">
        <w:rPr>
          <w:rFonts w:ascii="標楷體" w:eastAsia="標楷體" w:hAnsi="標楷體" w:hint="eastAsia"/>
          <w:szCs w:val="24"/>
        </w:rPr>
        <w:t>管控期</w:t>
      </w:r>
      <w:proofErr w:type="gramEnd"/>
      <w:r w:rsidRPr="008A5D64">
        <w:rPr>
          <w:rFonts w:ascii="標楷體" w:eastAsia="標楷體" w:hAnsi="標楷體" w:hint="eastAsia"/>
          <w:szCs w:val="24"/>
        </w:rPr>
        <w:t>程措施檢討納入內部控制制度</w:t>
      </w:r>
      <w:r>
        <w:rPr>
          <w:rFonts w:ascii="標楷體" w:eastAsia="標楷體" w:hAnsi="標楷體" w:hint="eastAsia"/>
          <w:szCs w:val="24"/>
        </w:rPr>
        <w:t>。</w:t>
      </w:r>
    </w:p>
    <w:p w14:paraId="41CCF503" w14:textId="77777777" w:rsidR="00F1456A" w:rsidRPr="00C00C19" w:rsidRDefault="00F1456A" w:rsidP="00F1456A">
      <w:pPr>
        <w:overflowPunct w:val="0"/>
        <w:snapToGrid w:val="0"/>
        <w:spacing w:beforeLines="50" w:before="180" w:afterLines="20" w:after="72" w:line="480" w:lineRule="exact"/>
        <w:ind w:firstLineChars="100" w:firstLine="276"/>
        <w:jc w:val="both"/>
        <w:rPr>
          <w:rFonts w:ascii="標楷體" w:eastAsia="標楷體"/>
          <w:b/>
          <w:spacing w:val="-2"/>
          <w:sz w:val="28"/>
          <w:szCs w:val="28"/>
        </w:rPr>
      </w:pPr>
      <w:r w:rsidRPr="00C00C19">
        <w:rPr>
          <w:rFonts w:ascii="標楷體" w:eastAsia="標楷體" w:hint="eastAsia"/>
          <w:b/>
          <w:spacing w:val="-2"/>
          <w:sz w:val="28"/>
          <w:szCs w:val="28"/>
        </w:rPr>
        <w:t>（三）為明確社會住宅新建工程委託技術服務費用計算方式，依據機關委託技術服務廠商評選及計費辦法及市府公共工程技術服務契約範本，訂定委託技術服務契約，惟部分案件未依契約核算監造服務費用，</w:t>
      </w:r>
      <w:proofErr w:type="gramStart"/>
      <w:r w:rsidRPr="00C00C19">
        <w:rPr>
          <w:rFonts w:ascii="標楷體" w:eastAsia="標楷體" w:hint="eastAsia"/>
          <w:b/>
          <w:spacing w:val="-2"/>
          <w:sz w:val="28"/>
          <w:szCs w:val="28"/>
        </w:rPr>
        <w:t>致溢計</w:t>
      </w:r>
      <w:proofErr w:type="gramEnd"/>
      <w:r w:rsidRPr="00C00C19">
        <w:rPr>
          <w:rFonts w:ascii="標楷體" w:eastAsia="標楷體" w:hint="eastAsia"/>
          <w:b/>
          <w:spacing w:val="-2"/>
          <w:sz w:val="28"/>
          <w:szCs w:val="28"/>
        </w:rPr>
        <w:t>廠商服務費用，亟待</w:t>
      </w:r>
      <w:proofErr w:type="gramStart"/>
      <w:r w:rsidRPr="00C00C19">
        <w:rPr>
          <w:rFonts w:ascii="標楷體" w:eastAsia="標楷體" w:hint="eastAsia"/>
          <w:b/>
          <w:spacing w:val="-2"/>
          <w:sz w:val="28"/>
          <w:szCs w:val="28"/>
        </w:rPr>
        <w:t>檢討</w:t>
      </w:r>
      <w:r>
        <w:rPr>
          <w:rFonts w:ascii="標楷體" w:eastAsia="標楷體" w:hint="eastAsia"/>
          <w:b/>
          <w:spacing w:val="-2"/>
          <w:sz w:val="28"/>
          <w:szCs w:val="28"/>
        </w:rPr>
        <w:t>妥處</w:t>
      </w:r>
      <w:proofErr w:type="gramEnd"/>
      <w:r w:rsidRPr="00C00C19">
        <w:rPr>
          <w:rFonts w:ascii="標楷體" w:eastAsia="標楷體" w:hint="eastAsia"/>
          <w:b/>
          <w:spacing w:val="-2"/>
          <w:sz w:val="28"/>
          <w:szCs w:val="28"/>
        </w:rPr>
        <w:t>。</w:t>
      </w:r>
    </w:p>
    <w:p w14:paraId="30548D99" w14:textId="77777777" w:rsidR="00F1456A" w:rsidRDefault="00F1456A" w:rsidP="00F1456A">
      <w:pPr>
        <w:spacing w:beforeLines="30" w:before="108" w:line="460" w:lineRule="exact"/>
        <w:ind w:firstLineChars="200" w:firstLine="480"/>
        <w:jc w:val="both"/>
        <w:rPr>
          <w:rFonts w:ascii="標楷體" w:eastAsia="標楷體" w:hAnsi="標楷體"/>
          <w:noProof/>
          <w:kern w:val="0"/>
          <w:szCs w:val="24"/>
        </w:rPr>
      </w:pPr>
      <w:r w:rsidRPr="00375D8E">
        <w:rPr>
          <w:rFonts w:ascii="標楷體" w:eastAsia="標楷體" w:hAnsi="標楷體" w:hint="eastAsia"/>
          <w:noProof/>
          <w:kern w:val="0"/>
          <w:szCs w:val="24"/>
        </w:rPr>
        <w:t>行政院公共工程委員會（下稱工程會）為利各機關辦理委託技術服務採購案件有所依循，依據政府採購法第22條第2項規定授權訂定機關委託技術服務廠商評選及計費辦法（下稱技服辦法）。依工程會106年3月31日修訂之技服辦法第29條第1項規定，機關委託廠商辦理技術服務，服務費用採建造費用百分比法計費者，其服務費率應按工程內容、服務項目及難易度，按各級建造費用，分別訂定費率，或訂定統一折扣率；同條第2項規定，前項建造費用，指經機關核定之工程採購底價金額或評審委員會建議金額，不包括規費、規劃費、設計費、監造費、專案管理費、物價指數調整工程款、營業稅、土地及權利費用、法律費用、主辦機關所需工程管理費、承包商辦理工程之各項利息、保險費及招標文件所載其他除外費用（下稱不包括之費用及稅捐）；同條第3項規定，工程採購無底價且無評審委員會建議金額者，第1項建造費用以工程預算之90％代之，但應扣除前項不包括之費用及稅捐等。嗣臺北市政府於106年8月22日修頒該府公共工程技術服務契約範本（下稱府頒契約範本），將上開技服辦法第29條第1至3項納入該契約範本第3條「契約價金之給付」相關修正規定。經查都市發展局107至109年間辦理「臺北市南港區南港機廠基地公共住宅新建工程委託專案管理（含監造）技術服務案」（契約金額</w:t>
      </w:r>
      <w:r w:rsidRPr="00375D8E">
        <w:rPr>
          <w:rFonts w:ascii="標楷體" w:eastAsia="標楷體" w:hAnsi="標楷體"/>
          <w:noProof/>
          <w:kern w:val="0"/>
          <w:szCs w:val="24"/>
        </w:rPr>
        <w:t>2</w:t>
      </w:r>
      <w:r w:rsidRPr="00375D8E">
        <w:rPr>
          <w:rFonts w:ascii="標楷體" w:eastAsia="標楷體" w:hAnsi="標楷體" w:hint="eastAsia"/>
          <w:noProof/>
          <w:kern w:val="0"/>
          <w:szCs w:val="24"/>
        </w:rPr>
        <w:t>億</w:t>
      </w:r>
      <w:r w:rsidRPr="00375D8E">
        <w:rPr>
          <w:rFonts w:ascii="標楷體" w:eastAsia="標楷體" w:hAnsi="標楷體"/>
          <w:noProof/>
          <w:kern w:val="0"/>
          <w:szCs w:val="24"/>
        </w:rPr>
        <w:t>5,642</w:t>
      </w:r>
      <w:r w:rsidRPr="00375D8E">
        <w:rPr>
          <w:rFonts w:ascii="標楷體" w:eastAsia="標楷體" w:hAnsi="標楷體" w:hint="eastAsia"/>
          <w:noProof/>
          <w:kern w:val="0"/>
          <w:szCs w:val="24"/>
        </w:rPr>
        <w:t>萬餘元；下稱南機社宅技服案）、「臺北市萬華區福民公共住宅新建工程委託規劃設計暨監造技術服務案」（契約金額</w:t>
      </w:r>
      <w:r w:rsidRPr="00375D8E">
        <w:rPr>
          <w:rFonts w:ascii="標楷體" w:eastAsia="標楷體" w:hAnsi="標楷體"/>
          <w:noProof/>
          <w:kern w:val="0"/>
          <w:szCs w:val="24"/>
        </w:rPr>
        <w:t>9,067</w:t>
      </w:r>
      <w:r w:rsidRPr="00375D8E">
        <w:rPr>
          <w:rFonts w:ascii="標楷體" w:eastAsia="標楷體" w:hAnsi="標楷體" w:hint="eastAsia"/>
          <w:noProof/>
          <w:kern w:val="0"/>
          <w:szCs w:val="24"/>
        </w:rPr>
        <w:t>萬餘元；下稱福民社宅技服案）、「臺北市信義區松信社會住宅新建工程委託規劃設計暨監造技術服務案」（契約金額</w:t>
      </w:r>
      <w:r w:rsidRPr="00375D8E">
        <w:rPr>
          <w:rFonts w:ascii="標楷體" w:eastAsia="標楷體" w:hAnsi="標楷體"/>
          <w:noProof/>
          <w:kern w:val="0"/>
          <w:szCs w:val="24"/>
        </w:rPr>
        <w:t>3,175</w:t>
      </w:r>
      <w:r w:rsidRPr="00375D8E">
        <w:rPr>
          <w:rFonts w:ascii="標楷體" w:eastAsia="標楷體" w:hAnsi="標楷體" w:hint="eastAsia"/>
          <w:noProof/>
          <w:kern w:val="0"/>
          <w:szCs w:val="24"/>
        </w:rPr>
        <w:t>萬餘元；下稱松信社宅技服案）及「臺北市中山區力行社會住宅新建工程委託規劃設計暨監造技術服務案」（契約金額</w:t>
      </w:r>
      <w:r w:rsidRPr="00375D8E">
        <w:rPr>
          <w:rFonts w:ascii="標楷體" w:eastAsia="標楷體" w:hAnsi="標楷體"/>
          <w:noProof/>
          <w:kern w:val="0"/>
          <w:szCs w:val="24"/>
        </w:rPr>
        <w:t>1,171</w:t>
      </w:r>
      <w:r w:rsidRPr="00375D8E">
        <w:rPr>
          <w:rFonts w:ascii="標楷體" w:eastAsia="標楷體" w:hAnsi="標楷體" w:hint="eastAsia"/>
          <w:noProof/>
          <w:kern w:val="0"/>
          <w:szCs w:val="24"/>
        </w:rPr>
        <w:t>萬餘元；下稱力行社宅技服案）等</w:t>
      </w:r>
      <w:r w:rsidRPr="00375D8E">
        <w:rPr>
          <w:rFonts w:ascii="標楷體" w:eastAsia="標楷體" w:hAnsi="標楷體"/>
          <w:noProof/>
          <w:kern w:val="0"/>
          <w:szCs w:val="24"/>
        </w:rPr>
        <w:t>4</w:t>
      </w:r>
      <w:r w:rsidRPr="00375D8E">
        <w:rPr>
          <w:rFonts w:ascii="標楷體" w:eastAsia="標楷體" w:hAnsi="標楷體" w:hint="eastAsia"/>
          <w:noProof/>
          <w:kern w:val="0"/>
          <w:szCs w:val="24"/>
        </w:rPr>
        <w:t>案，皆採用納入上開技服辦法第</w:t>
      </w:r>
      <w:r w:rsidRPr="00375D8E">
        <w:rPr>
          <w:rFonts w:ascii="標楷體" w:eastAsia="標楷體" w:hAnsi="標楷體"/>
          <w:noProof/>
          <w:kern w:val="0"/>
          <w:szCs w:val="24"/>
        </w:rPr>
        <w:t>29</w:t>
      </w:r>
      <w:r w:rsidRPr="00375D8E">
        <w:rPr>
          <w:rFonts w:ascii="標楷體" w:eastAsia="標楷體" w:hAnsi="標楷體" w:hint="eastAsia"/>
          <w:noProof/>
          <w:kern w:val="0"/>
          <w:szCs w:val="24"/>
        </w:rPr>
        <w:t>條規定之府頒契約範本</w:t>
      </w:r>
      <w:r w:rsidRPr="00677044">
        <w:rPr>
          <w:rFonts w:ascii="標楷體" w:eastAsia="標楷體" w:hAnsi="標楷體" w:hint="eastAsia"/>
          <w:noProof/>
          <w:spacing w:val="1"/>
          <w:kern w:val="0"/>
          <w:szCs w:val="24"/>
          <w:fitText w:val="9888" w:id="-684007933"/>
        </w:rPr>
        <w:t>訂定契約條款；該4案經技術服務廠商完成設計作業後，其工程採購均係採公開招標、最有</w:t>
      </w:r>
      <w:r w:rsidRPr="00677044">
        <w:rPr>
          <w:rFonts w:ascii="標楷體" w:eastAsia="標楷體" w:hAnsi="標楷體" w:hint="eastAsia"/>
          <w:noProof/>
          <w:spacing w:val="-16"/>
          <w:kern w:val="0"/>
          <w:szCs w:val="24"/>
          <w:fitText w:val="9888" w:id="-684007933"/>
        </w:rPr>
        <w:t>利</w:t>
      </w:r>
    </w:p>
    <w:p w14:paraId="6EE04D41" w14:textId="71CBBE68" w:rsidR="00F1456A" w:rsidRDefault="00F1456A" w:rsidP="00F1456A">
      <w:pPr>
        <w:spacing w:line="460" w:lineRule="exact"/>
        <w:jc w:val="both"/>
        <w:rPr>
          <w:rFonts w:ascii="標楷體" w:eastAsia="標楷體" w:hAnsi="標楷體"/>
          <w:noProof/>
          <w:kern w:val="0"/>
          <w:szCs w:val="24"/>
        </w:rPr>
      </w:pPr>
      <w:r w:rsidRPr="00375D8E">
        <w:rPr>
          <w:rFonts w:ascii="標楷體" w:eastAsia="標楷體" w:hAnsi="標楷體" w:hint="eastAsia"/>
          <w:noProof/>
          <w:kern w:val="0"/>
          <w:szCs w:val="24"/>
        </w:rPr>
        <w:lastRenderedPageBreak/>
        <w:t>標決標方式辦理，既無底價亦無評審委員會建議金額，爰該局以建造費用百分比法計算監造服務費用時，建造費用應扣除不包括之費用及稅捐，並以工程預算之90％代之，惟實際或以工程</w:t>
      </w:r>
      <w:r w:rsidRPr="00375D8E">
        <w:rPr>
          <w:rFonts w:ascii="標楷體" w:eastAsia="標楷體" w:hAnsi="標楷體"/>
          <w:noProof/>
          <w:kern w:val="0"/>
          <w:szCs w:val="24"/>
        </w:rPr>
        <mc:AlternateContent>
          <mc:Choice Requires="wps">
            <w:drawing>
              <wp:anchor distT="45720" distB="45720" distL="114300" distR="114300" simplePos="0" relativeHeight="251823104" behindDoc="0" locked="0" layoutInCell="1" allowOverlap="1" wp14:anchorId="24A51ED4" wp14:editId="6D9C83F4">
                <wp:simplePos x="0" y="0"/>
                <wp:positionH relativeFrom="column">
                  <wp:posOffset>2199005</wp:posOffset>
                </wp:positionH>
                <wp:positionV relativeFrom="paragraph">
                  <wp:posOffset>109220</wp:posOffset>
                </wp:positionV>
                <wp:extent cx="4105275" cy="1847850"/>
                <wp:effectExtent l="0" t="0" r="9525" b="0"/>
                <wp:wrapSquare wrapText="bothSides"/>
                <wp:docPr id="9274195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275" cy="1847850"/>
                        </a:xfrm>
                        <a:prstGeom prst="rect">
                          <a:avLst/>
                        </a:prstGeom>
                        <a:solidFill>
                          <a:srgbClr val="FFFFFF"/>
                        </a:solidFill>
                        <a:ln w="9525">
                          <a:noFill/>
                          <a:miter lim="800000"/>
                          <a:headEnd/>
                          <a:tailEnd/>
                        </a:ln>
                      </wps:spPr>
                      <wps:txbx>
                        <w:txbxContent>
                          <w:p w14:paraId="791D9639" w14:textId="185819C1" w:rsidR="00F1456A" w:rsidRPr="00691ED0" w:rsidRDefault="00F1456A" w:rsidP="00F1456A">
                            <w:pPr>
                              <w:kinsoku w:val="0"/>
                              <w:overflowPunct w:val="0"/>
                              <w:autoSpaceDE w:val="0"/>
                              <w:autoSpaceDN w:val="0"/>
                              <w:spacing w:line="280" w:lineRule="exact"/>
                              <w:ind w:firstLineChars="4" w:firstLine="10"/>
                              <w:jc w:val="center"/>
                              <w:textAlignment w:val="center"/>
                              <w:rPr>
                                <w:rFonts w:ascii="標楷體" w:eastAsia="標楷體" w:hAnsi="標楷體"/>
                                <w:b/>
                                <w:szCs w:val="24"/>
                              </w:rPr>
                            </w:pPr>
                            <w:r w:rsidRPr="00691ED0">
                              <w:rPr>
                                <w:rFonts w:ascii="標楷體" w:eastAsia="標楷體" w:hAnsi="標楷體" w:hint="eastAsia"/>
                                <w:b/>
                                <w:szCs w:val="24"/>
                              </w:rPr>
                              <w:t>表</w:t>
                            </w:r>
                            <w:r>
                              <w:rPr>
                                <w:rFonts w:ascii="標楷體" w:eastAsia="標楷體" w:hAnsi="標楷體" w:hint="eastAsia"/>
                                <w:b/>
                                <w:szCs w:val="24"/>
                              </w:rPr>
                              <w:t>3</w:t>
                            </w:r>
                            <w:r w:rsidR="005D009F">
                              <w:rPr>
                                <w:rFonts w:ascii="標楷體" w:eastAsia="標楷體" w:hAnsi="標楷體" w:hint="eastAsia"/>
                                <w:b/>
                                <w:szCs w:val="24"/>
                              </w:rPr>
                              <w:t xml:space="preserve">　</w:t>
                            </w:r>
                            <w:proofErr w:type="gramStart"/>
                            <w:r w:rsidRPr="00691ED0">
                              <w:rPr>
                                <w:rFonts w:ascii="標楷體" w:eastAsia="標楷體" w:hAnsi="標楷體" w:hint="eastAsia"/>
                                <w:b/>
                                <w:szCs w:val="24"/>
                              </w:rPr>
                              <w:t>社宅工程</w:t>
                            </w:r>
                            <w:proofErr w:type="gramEnd"/>
                            <w:r w:rsidRPr="00691ED0">
                              <w:rPr>
                                <w:rFonts w:ascii="標楷體" w:eastAsia="標楷體" w:hAnsi="標楷體" w:hint="eastAsia"/>
                                <w:b/>
                                <w:szCs w:val="24"/>
                              </w:rPr>
                              <w:t>委託監造服務費用核算情形</w:t>
                            </w:r>
                          </w:p>
                          <w:tbl>
                            <w:tblPr>
                              <w:tblStyle w:val="21"/>
                              <w:tblW w:w="0" w:type="auto"/>
                              <w:tblInd w:w="0" w:type="dxa"/>
                              <w:tblLook w:val="04A0" w:firstRow="1" w:lastRow="0" w:firstColumn="1" w:lastColumn="0" w:noHBand="0" w:noVBand="1"/>
                            </w:tblPr>
                            <w:tblGrid>
                              <w:gridCol w:w="622"/>
                              <w:gridCol w:w="1693"/>
                              <w:gridCol w:w="1319"/>
                              <w:gridCol w:w="1319"/>
                              <w:gridCol w:w="1218"/>
                            </w:tblGrid>
                            <w:tr w:rsidR="00F1456A" w:rsidRPr="00F82E8D" w14:paraId="7BC003AF" w14:textId="77777777" w:rsidTr="00375D8E">
                              <w:tc>
                                <w:tcPr>
                                  <w:tcW w:w="6163" w:type="dxa"/>
                                  <w:gridSpan w:val="5"/>
                                  <w:tcBorders>
                                    <w:top w:val="nil"/>
                                    <w:left w:val="nil"/>
                                    <w:bottom w:val="single" w:sz="4" w:space="0" w:color="auto"/>
                                    <w:right w:val="nil"/>
                                  </w:tcBorders>
                                  <w:shd w:val="clear" w:color="auto" w:fill="auto"/>
                                  <w:vAlign w:val="center"/>
                                </w:tcPr>
                                <w:p w14:paraId="7F18F6C6" w14:textId="77777777" w:rsidR="00F1456A" w:rsidRDefault="00F1456A" w:rsidP="004018D4">
                                  <w:pPr>
                                    <w:kinsoku w:val="0"/>
                                    <w:overflowPunct w:val="0"/>
                                    <w:autoSpaceDE w:val="0"/>
                                    <w:autoSpaceDN w:val="0"/>
                                    <w:spacing w:line="260" w:lineRule="exact"/>
                                    <w:jc w:val="right"/>
                                    <w:textAlignment w:val="center"/>
                                    <w:rPr>
                                      <w:rFonts w:ascii="標楷體" w:eastAsia="標楷體" w:hAnsi="標楷體"/>
                                    </w:rPr>
                                  </w:pPr>
                                  <w:r w:rsidRPr="00E401EC">
                                    <w:rPr>
                                      <w:rFonts w:ascii="標楷體" w:eastAsia="標楷體" w:hAnsi="標楷體" w:hint="eastAsia"/>
                                      <w:bCs/>
                                      <w:spacing w:val="-10"/>
                                    </w:rPr>
                                    <w:t>單位：新臺幣元</w:t>
                                  </w:r>
                                </w:p>
                              </w:tc>
                            </w:tr>
                            <w:tr w:rsidR="00F1456A" w:rsidRPr="00F82E8D" w14:paraId="529F0476" w14:textId="77777777" w:rsidTr="00375D8E">
                              <w:tc>
                                <w:tcPr>
                                  <w:tcW w:w="622" w:type="dxa"/>
                                  <w:tcBorders>
                                    <w:top w:val="single" w:sz="4" w:space="0" w:color="auto"/>
                                  </w:tcBorders>
                                  <w:shd w:val="clear" w:color="auto" w:fill="auto"/>
                                  <w:vAlign w:val="center"/>
                                </w:tcPr>
                                <w:p w14:paraId="105A5739"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sidRPr="00F56DB3">
                                    <w:rPr>
                                      <w:rFonts w:ascii="標楷體" w:eastAsia="標楷體" w:hAnsi="標楷體" w:hint="eastAsia"/>
                                    </w:rPr>
                                    <w:t>項次</w:t>
                                  </w:r>
                                </w:p>
                              </w:tc>
                              <w:tc>
                                <w:tcPr>
                                  <w:tcW w:w="1693" w:type="dxa"/>
                                  <w:tcBorders>
                                    <w:top w:val="single" w:sz="4" w:space="0" w:color="auto"/>
                                  </w:tcBorders>
                                  <w:shd w:val="clear" w:color="auto" w:fill="auto"/>
                                  <w:vAlign w:val="center"/>
                                </w:tcPr>
                                <w:p w14:paraId="74D0E8EA"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案件名稱</w:t>
                                  </w:r>
                                </w:p>
                              </w:tc>
                              <w:tc>
                                <w:tcPr>
                                  <w:tcW w:w="1316" w:type="dxa"/>
                                  <w:tcBorders>
                                    <w:top w:val="single" w:sz="4" w:space="0" w:color="auto"/>
                                    <w:right w:val="single" w:sz="4" w:space="0" w:color="auto"/>
                                  </w:tcBorders>
                                  <w:shd w:val="clear" w:color="auto" w:fill="auto"/>
                                </w:tcPr>
                                <w:p w14:paraId="0D845697" w14:textId="77777777" w:rsidR="00F1456A"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依約核算</w:t>
                                  </w:r>
                                </w:p>
                                <w:p w14:paraId="28FAA2D1" w14:textId="77777777" w:rsidR="00F1456A"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監造服務</w:t>
                                  </w:r>
                                </w:p>
                                <w:p w14:paraId="3244FC1A" w14:textId="77777777" w:rsidR="00F1456A" w:rsidRPr="00F56DB3" w:rsidRDefault="00F1456A" w:rsidP="00C95B8F">
                                  <w:pPr>
                                    <w:kinsoku w:val="0"/>
                                    <w:overflowPunct w:val="0"/>
                                    <w:autoSpaceDE w:val="0"/>
                                    <w:autoSpaceDN w:val="0"/>
                                    <w:spacing w:line="240" w:lineRule="exact"/>
                                    <w:ind w:firstLineChars="50" w:firstLine="100"/>
                                    <w:jc w:val="center"/>
                                    <w:textAlignment w:val="center"/>
                                    <w:rPr>
                                      <w:rFonts w:ascii="標楷體" w:eastAsia="標楷體" w:hAnsi="標楷體"/>
                                    </w:rPr>
                                  </w:pPr>
                                  <w:r>
                                    <w:rPr>
                                      <w:rFonts w:ascii="標楷體" w:eastAsia="標楷體" w:hAnsi="標楷體" w:hint="eastAsia"/>
                                    </w:rPr>
                                    <w:t>費用（A）</w:t>
                                  </w:r>
                                </w:p>
                              </w:tc>
                              <w:tc>
                                <w:tcPr>
                                  <w:tcW w:w="1316" w:type="dxa"/>
                                  <w:tcBorders>
                                    <w:top w:val="single" w:sz="4" w:space="0" w:color="auto"/>
                                    <w:left w:val="single" w:sz="4" w:space="0" w:color="auto"/>
                                  </w:tcBorders>
                                  <w:shd w:val="clear" w:color="auto" w:fill="auto"/>
                                  <w:vAlign w:val="center"/>
                                </w:tcPr>
                                <w:p w14:paraId="1B883290" w14:textId="77777777" w:rsidR="00F1456A"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實際核定</w:t>
                                  </w:r>
                                </w:p>
                                <w:p w14:paraId="53086BDE" w14:textId="77777777" w:rsidR="00F1456A"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監造服務</w:t>
                                  </w:r>
                                </w:p>
                                <w:p w14:paraId="051F0E46" w14:textId="77777777" w:rsidR="00F1456A" w:rsidRPr="00F56DB3" w:rsidRDefault="00F1456A" w:rsidP="00C95B8F">
                                  <w:pPr>
                                    <w:kinsoku w:val="0"/>
                                    <w:overflowPunct w:val="0"/>
                                    <w:autoSpaceDE w:val="0"/>
                                    <w:autoSpaceDN w:val="0"/>
                                    <w:spacing w:line="240" w:lineRule="exact"/>
                                    <w:ind w:firstLineChars="50" w:firstLine="100"/>
                                    <w:jc w:val="center"/>
                                    <w:textAlignment w:val="center"/>
                                    <w:rPr>
                                      <w:rFonts w:ascii="標楷體" w:eastAsia="標楷體" w:hAnsi="標楷體"/>
                                    </w:rPr>
                                  </w:pPr>
                                  <w:r>
                                    <w:rPr>
                                      <w:rFonts w:ascii="標楷體" w:eastAsia="標楷體" w:hAnsi="標楷體" w:hint="eastAsia"/>
                                    </w:rPr>
                                    <w:t>費用（B）</w:t>
                                  </w:r>
                                </w:p>
                              </w:tc>
                              <w:tc>
                                <w:tcPr>
                                  <w:tcW w:w="1216" w:type="dxa"/>
                                  <w:tcBorders>
                                    <w:top w:val="single" w:sz="4" w:space="0" w:color="auto"/>
                                    <w:left w:val="single" w:sz="4" w:space="0" w:color="auto"/>
                                  </w:tcBorders>
                                  <w:shd w:val="clear" w:color="auto" w:fill="auto"/>
                                  <w:vAlign w:val="center"/>
                                </w:tcPr>
                                <w:p w14:paraId="1373591E" w14:textId="77777777" w:rsidR="00F1456A"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差異金額</w:t>
                                  </w:r>
                                </w:p>
                                <w:p w14:paraId="4B2E8487"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（C=B-A）</w:t>
                                  </w:r>
                                </w:p>
                              </w:tc>
                            </w:tr>
                            <w:tr w:rsidR="00F1456A" w:rsidRPr="00F82E8D" w14:paraId="6127BAC0" w14:textId="77777777" w:rsidTr="00375D8E">
                              <w:tc>
                                <w:tcPr>
                                  <w:tcW w:w="2315" w:type="dxa"/>
                                  <w:gridSpan w:val="2"/>
                                  <w:vAlign w:val="center"/>
                                </w:tcPr>
                                <w:p w14:paraId="397AFF68" w14:textId="77777777" w:rsidR="00F1456A" w:rsidRPr="00380E14" w:rsidRDefault="00F1456A" w:rsidP="00375D8E">
                                  <w:pPr>
                                    <w:kinsoku w:val="0"/>
                                    <w:overflowPunct w:val="0"/>
                                    <w:autoSpaceDE w:val="0"/>
                                    <w:autoSpaceDN w:val="0"/>
                                    <w:spacing w:line="240" w:lineRule="exact"/>
                                    <w:jc w:val="center"/>
                                    <w:textAlignment w:val="center"/>
                                    <w:rPr>
                                      <w:rFonts w:ascii="標楷體" w:eastAsia="標楷體" w:hAnsi="標楷體"/>
                                      <w:b/>
                                      <w:bCs/>
                                    </w:rPr>
                                  </w:pPr>
                                  <w:r w:rsidRPr="00380E14">
                                    <w:rPr>
                                      <w:rFonts w:ascii="標楷體" w:eastAsia="標楷體" w:hAnsi="標楷體" w:hint="eastAsia"/>
                                      <w:b/>
                                      <w:bCs/>
                                    </w:rPr>
                                    <w:t>合計</w:t>
                                  </w:r>
                                </w:p>
                              </w:tc>
                              <w:tc>
                                <w:tcPr>
                                  <w:tcW w:w="1316" w:type="dxa"/>
                                  <w:tcBorders>
                                    <w:right w:val="single" w:sz="4" w:space="0" w:color="auto"/>
                                  </w:tcBorders>
                                  <w:vAlign w:val="center"/>
                                </w:tcPr>
                                <w:p w14:paraId="3EA4F8C5" w14:textId="77777777" w:rsidR="00F1456A" w:rsidRPr="00380E14" w:rsidRDefault="00F1456A" w:rsidP="00375D8E">
                                  <w:pPr>
                                    <w:kinsoku w:val="0"/>
                                    <w:overflowPunct w:val="0"/>
                                    <w:autoSpaceDE w:val="0"/>
                                    <w:autoSpaceDN w:val="0"/>
                                    <w:spacing w:line="240" w:lineRule="exact"/>
                                    <w:jc w:val="right"/>
                                    <w:textAlignment w:val="center"/>
                                    <w:rPr>
                                      <w:rFonts w:ascii="標楷體" w:eastAsia="標楷體" w:hAnsi="標楷體"/>
                                      <w:b/>
                                      <w:bCs/>
                                    </w:rPr>
                                  </w:pPr>
                                  <w:r w:rsidRPr="00380E14">
                                    <w:rPr>
                                      <w:rFonts w:ascii="標楷體" w:eastAsia="標楷體" w:hAnsi="標楷體" w:hint="eastAsia"/>
                                      <w:b/>
                                      <w:bCs/>
                                    </w:rPr>
                                    <w:t>1</w:t>
                                  </w:r>
                                  <w:r w:rsidRPr="00380E14">
                                    <w:rPr>
                                      <w:rFonts w:ascii="標楷體" w:eastAsia="標楷體" w:hAnsi="標楷體"/>
                                      <w:b/>
                                      <w:bCs/>
                                    </w:rPr>
                                    <w:t>89,674,939</w:t>
                                  </w:r>
                                </w:p>
                              </w:tc>
                              <w:tc>
                                <w:tcPr>
                                  <w:tcW w:w="1316" w:type="dxa"/>
                                  <w:tcBorders>
                                    <w:left w:val="single" w:sz="4" w:space="0" w:color="auto"/>
                                  </w:tcBorders>
                                </w:tcPr>
                                <w:p w14:paraId="59E87C0D" w14:textId="77777777" w:rsidR="00F1456A" w:rsidRPr="00380E14" w:rsidRDefault="00F1456A" w:rsidP="00375D8E">
                                  <w:pPr>
                                    <w:kinsoku w:val="0"/>
                                    <w:overflowPunct w:val="0"/>
                                    <w:autoSpaceDE w:val="0"/>
                                    <w:autoSpaceDN w:val="0"/>
                                    <w:spacing w:line="240" w:lineRule="exact"/>
                                    <w:jc w:val="right"/>
                                    <w:textAlignment w:val="center"/>
                                    <w:rPr>
                                      <w:rFonts w:ascii="標楷體" w:eastAsia="標楷體" w:hAnsi="標楷體"/>
                                      <w:b/>
                                      <w:bCs/>
                                    </w:rPr>
                                  </w:pPr>
                                  <w:r w:rsidRPr="00380E14">
                                    <w:rPr>
                                      <w:rFonts w:ascii="標楷體" w:eastAsia="標楷體" w:hAnsi="標楷體" w:hint="eastAsia"/>
                                      <w:b/>
                                      <w:bCs/>
                                    </w:rPr>
                                    <w:t>211</w:t>
                                  </w:r>
                                  <w:r w:rsidRPr="00380E14">
                                    <w:rPr>
                                      <w:rFonts w:ascii="標楷體" w:eastAsia="標楷體" w:hAnsi="標楷體"/>
                                      <w:b/>
                                      <w:bCs/>
                                    </w:rPr>
                                    <w:t>,</w:t>
                                  </w:r>
                                  <w:r w:rsidRPr="00380E14">
                                    <w:rPr>
                                      <w:rFonts w:ascii="標楷體" w:eastAsia="標楷體" w:hAnsi="標楷體" w:hint="eastAsia"/>
                                      <w:b/>
                                      <w:bCs/>
                                    </w:rPr>
                                    <w:t>206</w:t>
                                  </w:r>
                                  <w:r w:rsidRPr="00380E14">
                                    <w:rPr>
                                      <w:rFonts w:ascii="標楷體" w:eastAsia="標楷體" w:hAnsi="標楷體"/>
                                      <w:b/>
                                      <w:bCs/>
                                    </w:rPr>
                                    <w:t>,</w:t>
                                  </w:r>
                                  <w:r w:rsidRPr="00380E14">
                                    <w:rPr>
                                      <w:rFonts w:ascii="標楷體" w:eastAsia="標楷體" w:hAnsi="標楷體" w:hint="eastAsia"/>
                                      <w:b/>
                                      <w:bCs/>
                                    </w:rPr>
                                    <w:t>802</w:t>
                                  </w:r>
                                </w:p>
                              </w:tc>
                              <w:tc>
                                <w:tcPr>
                                  <w:tcW w:w="1216" w:type="dxa"/>
                                  <w:tcBorders>
                                    <w:left w:val="single" w:sz="4" w:space="0" w:color="auto"/>
                                  </w:tcBorders>
                                </w:tcPr>
                                <w:p w14:paraId="46EBDA6F" w14:textId="77777777" w:rsidR="00F1456A" w:rsidRPr="00380E14" w:rsidRDefault="00F1456A" w:rsidP="00375D8E">
                                  <w:pPr>
                                    <w:kinsoku w:val="0"/>
                                    <w:overflowPunct w:val="0"/>
                                    <w:autoSpaceDE w:val="0"/>
                                    <w:autoSpaceDN w:val="0"/>
                                    <w:spacing w:line="240" w:lineRule="exact"/>
                                    <w:jc w:val="right"/>
                                    <w:textAlignment w:val="center"/>
                                    <w:rPr>
                                      <w:rFonts w:ascii="標楷體" w:eastAsia="標楷體" w:hAnsi="標楷體"/>
                                      <w:b/>
                                      <w:bCs/>
                                    </w:rPr>
                                  </w:pPr>
                                  <w:r w:rsidRPr="00380E14">
                                    <w:rPr>
                                      <w:rFonts w:ascii="標楷體" w:eastAsia="標楷體" w:hAnsi="標楷體" w:hint="eastAsia"/>
                                      <w:b/>
                                      <w:bCs/>
                                    </w:rPr>
                                    <w:t>21,531,863</w:t>
                                  </w:r>
                                </w:p>
                              </w:tc>
                            </w:tr>
                            <w:tr w:rsidR="00F1456A" w:rsidRPr="00F82E8D" w14:paraId="1FA5444C" w14:textId="77777777" w:rsidTr="00375D8E">
                              <w:tc>
                                <w:tcPr>
                                  <w:tcW w:w="622" w:type="dxa"/>
                                  <w:vAlign w:val="center"/>
                                </w:tcPr>
                                <w:p w14:paraId="4C343D34"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1</w:t>
                                  </w:r>
                                </w:p>
                              </w:tc>
                              <w:tc>
                                <w:tcPr>
                                  <w:tcW w:w="1693" w:type="dxa"/>
                                  <w:vAlign w:val="center"/>
                                </w:tcPr>
                                <w:p w14:paraId="0B1CCB7C"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proofErr w:type="gramStart"/>
                                  <w:r w:rsidRPr="00E435C9">
                                    <w:rPr>
                                      <w:rFonts w:ascii="標楷體" w:eastAsia="標楷體" w:hAnsi="標楷體" w:hint="eastAsia"/>
                                    </w:rPr>
                                    <w:t>南機社宅技服案</w:t>
                                  </w:r>
                                  <w:proofErr w:type="gramEnd"/>
                                </w:p>
                              </w:tc>
                              <w:tc>
                                <w:tcPr>
                                  <w:tcW w:w="1316" w:type="dxa"/>
                                  <w:tcBorders>
                                    <w:right w:val="single" w:sz="4" w:space="0" w:color="auto"/>
                                  </w:tcBorders>
                                  <w:vAlign w:val="center"/>
                                </w:tcPr>
                                <w:p w14:paraId="6AB7147C"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147</w:t>
                                  </w:r>
                                  <w:r>
                                    <w:rPr>
                                      <w:rFonts w:ascii="標楷體" w:eastAsia="標楷體" w:hAnsi="標楷體"/>
                                    </w:rPr>
                                    <w:t>,</w:t>
                                  </w:r>
                                  <w:r>
                                    <w:rPr>
                                      <w:rFonts w:ascii="標楷體" w:eastAsia="標楷體" w:hAnsi="標楷體" w:hint="eastAsia"/>
                                    </w:rPr>
                                    <w:t>578</w:t>
                                  </w:r>
                                  <w:r>
                                    <w:rPr>
                                      <w:rFonts w:ascii="標楷體" w:eastAsia="標楷體" w:hAnsi="標楷體"/>
                                    </w:rPr>
                                    <w:t>,</w:t>
                                  </w:r>
                                  <w:r>
                                    <w:rPr>
                                      <w:rFonts w:ascii="標楷體" w:eastAsia="標楷體" w:hAnsi="標楷體" w:hint="eastAsia"/>
                                    </w:rPr>
                                    <w:t>080</w:t>
                                  </w:r>
                                </w:p>
                              </w:tc>
                              <w:tc>
                                <w:tcPr>
                                  <w:tcW w:w="1316" w:type="dxa"/>
                                  <w:tcBorders>
                                    <w:left w:val="single" w:sz="4" w:space="0" w:color="auto"/>
                                  </w:tcBorders>
                                </w:tcPr>
                                <w:p w14:paraId="0C99BAFB"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165,125,257</w:t>
                                  </w:r>
                                </w:p>
                              </w:tc>
                              <w:tc>
                                <w:tcPr>
                                  <w:tcW w:w="1216" w:type="dxa"/>
                                  <w:tcBorders>
                                    <w:left w:val="single" w:sz="4" w:space="0" w:color="auto"/>
                                  </w:tcBorders>
                                </w:tcPr>
                                <w:p w14:paraId="00A6F22C"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17,547,177</w:t>
                                  </w:r>
                                </w:p>
                              </w:tc>
                            </w:tr>
                            <w:tr w:rsidR="00F1456A" w:rsidRPr="00F82E8D" w14:paraId="7830E27D" w14:textId="77777777" w:rsidTr="00375D8E">
                              <w:tc>
                                <w:tcPr>
                                  <w:tcW w:w="622" w:type="dxa"/>
                                  <w:vAlign w:val="center"/>
                                </w:tcPr>
                                <w:p w14:paraId="2239E7F0"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2</w:t>
                                  </w:r>
                                </w:p>
                              </w:tc>
                              <w:tc>
                                <w:tcPr>
                                  <w:tcW w:w="1693" w:type="dxa"/>
                                  <w:vAlign w:val="center"/>
                                </w:tcPr>
                                <w:p w14:paraId="22839661"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sidRPr="00E435C9">
                                    <w:rPr>
                                      <w:rFonts w:ascii="標楷體" w:eastAsia="標楷體" w:hAnsi="標楷體" w:hint="eastAsia"/>
                                    </w:rPr>
                                    <w:t>福民</w:t>
                                  </w:r>
                                  <w:proofErr w:type="gramStart"/>
                                  <w:r w:rsidRPr="00E435C9">
                                    <w:rPr>
                                      <w:rFonts w:ascii="標楷體" w:eastAsia="標楷體" w:hAnsi="標楷體" w:hint="eastAsia"/>
                                    </w:rPr>
                                    <w:t>社宅技服案</w:t>
                                  </w:r>
                                  <w:proofErr w:type="gramEnd"/>
                                </w:p>
                              </w:tc>
                              <w:tc>
                                <w:tcPr>
                                  <w:tcW w:w="1316" w:type="dxa"/>
                                  <w:tcBorders>
                                    <w:right w:val="single" w:sz="4" w:space="0" w:color="auto"/>
                                  </w:tcBorders>
                                  <w:vAlign w:val="center"/>
                                </w:tcPr>
                                <w:p w14:paraId="2D2CBB34"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20</w:t>
                                  </w:r>
                                  <w:r>
                                    <w:rPr>
                                      <w:rFonts w:ascii="標楷體" w:eastAsia="標楷體" w:hAnsi="標楷體"/>
                                    </w:rPr>
                                    <w:t>,</w:t>
                                  </w:r>
                                  <w:r>
                                    <w:rPr>
                                      <w:rFonts w:ascii="標楷體" w:eastAsia="標楷體" w:hAnsi="標楷體" w:hint="eastAsia"/>
                                    </w:rPr>
                                    <w:t>432</w:t>
                                  </w:r>
                                  <w:r>
                                    <w:rPr>
                                      <w:rFonts w:ascii="標楷體" w:eastAsia="標楷體" w:hAnsi="標楷體"/>
                                    </w:rPr>
                                    <w:t>,</w:t>
                                  </w:r>
                                  <w:r>
                                    <w:rPr>
                                      <w:rFonts w:ascii="標楷體" w:eastAsia="標楷體" w:hAnsi="標楷體" w:hint="eastAsia"/>
                                    </w:rPr>
                                    <w:t>881</w:t>
                                  </w:r>
                                </w:p>
                              </w:tc>
                              <w:tc>
                                <w:tcPr>
                                  <w:tcW w:w="1316" w:type="dxa"/>
                                  <w:tcBorders>
                                    <w:left w:val="single" w:sz="4" w:space="0" w:color="auto"/>
                                  </w:tcBorders>
                                </w:tcPr>
                                <w:p w14:paraId="28167F50"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22</w:t>
                                  </w:r>
                                  <w:r>
                                    <w:rPr>
                                      <w:rFonts w:ascii="標楷體" w:eastAsia="標楷體" w:hAnsi="標楷體"/>
                                    </w:rPr>
                                    <w:t>,</w:t>
                                  </w:r>
                                  <w:r>
                                    <w:rPr>
                                      <w:rFonts w:ascii="標楷體" w:eastAsia="標楷體" w:hAnsi="標楷體" w:hint="eastAsia"/>
                                    </w:rPr>
                                    <w:t>406</w:t>
                                  </w:r>
                                  <w:r>
                                    <w:rPr>
                                      <w:rFonts w:ascii="標楷體" w:eastAsia="標楷體" w:hAnsi="標楷體"/>
                                    </w:rPr>
                                    <w:t>,</w:t>
                                  </w:r>
                                  <w:r>
                                    <w:rPr>
                                      <w:rFonts w:ascii="標楷體" w:eastAsia="標楷體" w:hAnsi="標楷體" w:hint="eastAsia"/>
                                    </w:rPr>
                                    <w:t>451</w:t>
                                  </w:r>
                                </w:p>
                              </w:tc>
                              <w:tc>
                                <w:tcPr>
                                  <w:tcW w:w="1216" w:type="dxa"/>
                                  <w:tcBorders>
                                    <w:left w:val="single" w:sz="4" w:space="0" w:color="auto"/>
                                  </w:tcBorders>
                                </w:tcPr>
                                <w:p w14:paraId="021EF1DA"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w:t>
                                  </w:r>
                                  <w:r>
                                    <w:rPr>
                                      <w:rFonts w:ascii="標楷體" w:eastAsia="標楷體" w:hAnsi="標楷體"/>
                                    </w:rPr>
                                    <w:t>,</w:t>
                                  </w:r>
                                  <w:r>
                                    <w:rPr>
                                      <w:rFonts w:ascii="標楷體" w:eastAsia="標楷體" w:hAnsi="標楷體" w:hint="eastAsia"/>
                                    </w:rPr>
                                    <w:t>973</w:t>
                                  </w:r>
                                  <w:r>
                                    <w:rPr>
                                      <w:rFonts w:ascii="標楷體" w:eastAsia="標楷體" w:hAnsi="標楷體"/>
                                    </w:rPr>
                                    <w:t>,</w:t>
                                  </w:r>
                                  <w:r>
                                    <w:rPr>
                                      <w:rFonts w:ascii="標楷體" w:eastAsia="標楷體" w:hAnsi="標楷體" w:hint="eastAsia"/>
                                    </w:rPr>
                                    <w:t>570</w:t>
                                  </w:r>
                                </w:p>
                              </w:tc>
                            </w:tr>
                            <w:tr w:rsidR="00F1456A" w:rsidRPr="00F82E8D" w14:paraId="3FD76275" w14:textId="77777777" w:rsidTr="00375D8E">
                              <w:tc>
                                <w:tcPr>
                                  <w:tcW w:w="622" w:type="dxa"/>
                                  <w:vAlign w:val="center"/>
                                </w:tcPr>
                                <w:p w14:paraId="066DD701"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3</w:t>
                                  </w:r>
                                </w:p>
                              </w:tc>
                              <w:tc>
                                <w:tcPr>
                                  <w:tcW w:w="1693" w:type="dxa"/>
                                  <w:vAlign w:val="center"/>
                                </w:tcPr>
                                <w:p w14:paraId="3EDDFE6E"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sidRPr="00E435C9">
                                    <w:rPr>
                                      <w:rFonts w:ascii="標楷體" w:eastAsia="標楷體" w:hAnsi="標楷體" w:hint="eastAsia"/>
                                    </w:rPr>
                                    <w:t>松信</w:t>
                                  </w:r>
                                  <w:proofErr w:type="gramStart"/>
                                  <w:r w:rsidRPr="00E435C9">
                                    <w:rPr>
                                      <w:rFonts w:ascii="標楷體" w:eastAsia="標楷體" w:hAnsi="標楷體" w:hint="eastAsia"/>
                                    </w:rPr>
                                    <w:t>社宅技服案</w:t>
                                  </w:r>
                                  <w:proofErr w:type="gramEnd"/>
                                </w:p>
                              </w:tc>
                              <w:tc>
                                <w:tcPr>
                                  <w:tcW w:w="1316" w:type="dxa"/>
                                  <w:tcBorders>
                                    <w:right w:val="single" w:sz="4" w:space="0" w:color="auto"/>
                                  </w:tcBorders>
                                  <w:vAlign w:val="center"/>
                                </w:tcPr>
                                <w:p w14:paraId="65769D39"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17</w:t>
                                  </w:r>
                                  <w:r>
                                    <w:rPr>
                                      <w:rFonts w:ascii="標楷體" w:eastAsia="標楷體" w:hAnsi="標楷體"/>
                                    </w:rPr>
                                    <w:t>,</w:t>
                                  </w:r>
                                  <w:r>
                                    <w:rPr>
                                      <w:rFonts w:ascii="標楷體" w:eastAsia="標楷體" w:hAnsi="標楷體" w:hint="eastAsia"/>
                                    </w:rPr>
                                    <w:t>130</w:t>
                                  </w:r>
                                  <w:r>
                                    <w:rPr>
                                      <w:rFonts w:ascii="標楷體" w:eastAsia="標楷體" w:hAnsi="標楷體"/>
                                    </w:rPr>
                                    <w:t>,</w:t>
                                  </w:r>
                                  <w:r>
                                    <w:rPr>
                                      <w:rFonts w:ascii="標楷體" w:eastAsia="標楷體" w:hAnsi="標楷體" w:hint="eastAsia"/>
                                    </w:rPr>
                                    <w:t>835</w:t>
                                  </w:r>
                                </w:p>
                              </w:tc>
                              <w:tc>
                                <w:tcPr>
                                  <w:tcW w:w="1316" w:type="dxa"/>
                                  <w:tcBorders>
                                    <w:left w:val="single" w:sz="4" w:space="0" w:color="auto"/>
                                  </w:tcBorders>
                                </w:tcPr>
                                <w:p w14:paraId="127A76B1"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18</w:t>
                                  </w:r>
                                  <w:r>
                                    <w:rPr>
                                      <w:rFonts w:ascii="標楷體" w:eastAsia="標楷體" w:hAnsi="標楷體"/>
                                    </w:rPr>
                                    <w:t>,</w:t>
                                  </w:r>
                                  <w:r>
                                    <w:rPr>
                                      <w:rFonts w:ascii="標楷體" w:eastAsia="標楷體" w:hAnsi="標楷體" w:hint="eastAsia"/>
                                    </w:rPr>
                                    <w:t>734</w:t>
                                  </w:r>
                                  <w:r>
                                    <w:rPr>
                                      <w:rFonts w:ascii="標楷體" w:eastAsia="標楷體" w:hAnsi="標楷體"/>
                                    </w:rPr>
                                    <w:t>,</w:t>
                                  </w:r>
                                  <w:r>
                                    <w:rPr>
                                      <w:rFonts w:ascii="標楷體" w:eastAsia="標楷體" w:hAnsi="標楷體" w:hint="eastAsia"/>
                                    </w:rPr>
                                    <w:t>899</w:t>
                                  </w:r>
                                </w:p>
                              </w:tc>
                              <w:tc>
                                <w:tcPr>
                                  <w:tcW w:w="1216" w:type="dxa"/>
                                  <w:tcBorders>
                                    <w:left w:val="single" w:sz="4" w:space="0" w:color="auto"/>
                                  </w:tcBorders>
                                </w:tcPr>
                                <w:p w14:paraId="7F2815C0"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w:t>
                                  </w:r>
                                  <w:r>
                                    <w:rPr>
                                      <w:rFonts w:ascii="標楷體" w:eastAsia="標楷體" w:hAnsi="標楷體"/>
                                    </w:rPr>
                                    <w:t>,</w:t>
                                  </w:r>
                                  <w:r>
                                    <w:rPr>
                                      <w:rFonts w:ascii="標楷體" w:eastAsia="標楷體" w:hAnsi="標楷體" w:hint="eastAsia"/>
                                    </w:rPr>
                                    <w:t>604</w:t>
                                  </w:r>
                                  <w:r>
                                    <w:rPr>
                                      <w:rFonts w:ascii="標楷體" w:eastAsia="標楷體" w:hAnsi="標楷體"/>
                                    </w:rPr>
                                    <w:t>,</w:t>
                                  </w:r>
                                  <w:r>
                                    <w:rPr>
                                      <w:rFonts w:ascii="標楷體" w:eastAsia="標楷體" w:hAnsi="標楷體" w:hint="eastAsia"/>
                                    </w:rPr>
                                    <w:t>064</w:t>
                                  </w:r>
                                </w:p>
                              </w:tc>
                            </w:tr>
                            <w:tr w:rsidR="00F1456A" w:rsidRPr="00F82E8D" w14:paraId="47CF8FB6" w14:textId="77777777" w:rsidTr="00375D8E">
                              <w:tc>
                                <w:tcPr>
                                  <w:tcW w:w="622" w:type="dxa"/>
                                  <w:tcBorders>
                                    <w:bottom w:val="single" w:sz="4" w:space="0" w:color="auto"/>
                                  </w:tcBorders>
                                  <w:vAlign w:val="center"/>
                                </w:tcPr>
                                <w:p w14:paraId="44E8F826"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4</w:t>
                                  </w:r>
                                </w:p>
                              </w:tc>
                              <w:tc>
                                <w:tcPr>
                                  <w:tcW w:w="1693" w:type="dxa"/>
                                  <w:tcBorders>
                                    <w:bottom w:val="single" w:sz="4" w:space="0" w:color="auto"/>
                                  </w:tcBorders>
                                  <w:vAlign w:val="center"/>
                                </w:tcPr>
                                <w:p w14:paraId="388494E2"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sidRPr="00E435C9">
                                    <w:rPr>
                                      <w:rFonts w:ascii="標楷體" w:eastAsia="標楷體" w:hAnsi="標楷體" w:hint="eastAsia"/>
                                    </w:rPr>
                                    <w:t>力行</w:t>
                                  </w:r>
                                  <w:proofErr w:type="gramStart"/>
                                  <w:r w:rsidRPr="00E435C9">
                                    <w:rPr>
                                      <w:rFonts w:ascii="標楷體" w:eastAsia="標楷體" w:hAnsi="標楷體" w:hint="eastAsia"/>
                                    </w:rPr>
                                    <w:t>社宅技服案</w:t>
                                  </w:r>
                                  <w:proofErr w:type="gramEnd"/>
                                </w:p>
                              </w:tc>
                              <w:tc>
                                <w:tcPr>
                                  <w:tcW w:w="1316" w:type="dxa"/>
                                  <w:tcBorders>
                                    <w:bottom w:val="single" w:sz="4" w:space="0" w:color="auto"/>
                                    <w:right w:val="single" w:sz="4" w:space="0" w:color="auto"/>
                                  </w:tcBorders>
                                  <w:vAlign w:val="center"/>
                                </w:tcPr>
                                <w:p w14:paraId="51507C17"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4</w:t>
                                  </w:r>
                                  <w:r>
                                    <w:rPr>
                                      <w:rFonts w:ascii="標楷體" w:eastAsia="標楷體" w:hAnsi="標楷體"/>
                                    </w:rPr>
                                    <w:t>,</w:t>
                                  </w:r>
                                  <w:r>
                                    <w:rPr>
                                      <w:rFonts w:ascii="標楷體" w:eastAsia="標楷體" w:hAnsi="標楷體" w:hint="eastAsia"/>
                                    </w:rPr>
                                    <w:t>533</w:t>
                                  </w:r>
                                  <w:r>
                                    <w:rPr>
                                      <w:rFonts w:ascii="標楷體" w:eastAsia="標楷體" w:hAnsi="標楷體"/>
                                    </w:rPr>
                                    <w:t>,</w:t>
                                  </w:r>
                                  <w:r>
                                    <w:rPr>
                                      <w:rFonts w:ascii="標楷體" w:eastAsia="標楷體" w:hAnsi="標楷體" w:hint="eastAsia"/>
                                    </w:rPr>
                                    <w:t>143</w:t>
                                  </w:r>
                                </w:p>
                              </w:tc>
                              <w:tc>
                                <w:tcPr>
                                  <w:tcW w:w="1316" w:type="dxa"/>
                                  <w:tcBorders>
                                    <w:left w:val="single" w:sz="4" w:space="0" w:color="auto"/>
                                    <w:bottom w:val="single" w:sz="4" w:space="0" w:color="auto"/>
                                  </w:tcBorders>
                                </w:tcPr>
                                <w:p w14:paraId="17B55DF7"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4</w:t>
                                  </w:r>
                                  <w:r>
                                    <w:rPr>
                                      <w:rFonts w:ascii="標楷體" w:eastAsia="標楷體" w:hAnsi="標楷體"/>
                                    </w:rPr>
                                    <w:t>,</w:t>
                                  </w:r>
                                  <w:r>
                                    <w:rPr>
                                      <w:rFonts w:ascii="標楷體" w:eastAsia="標楷體" w:hAnsi="標楷體" w:hint="eastAsia"/>
                                    </w:rPr>
                                    <w:t>940</w:t>
                                  </w:r>
                                  <w:r>
                                    <w:rPr>
                                      <w:rFonts w:ascii="標楷體" w:eastAsia="標楷體" w:hAnsi="標楷體"/>
                                    </w:rPr>
                                    <w:t>,</w:t>
                                  </w:r>
                                  <w:r>
                                    <w:rPr>
                                      <w:rFonts w:ascii="標楷體" w:eastAsia="標楷體" w:hAnsi="標楷體" w:hint="eastAsia"/>
                                    </w:rPr>
                                    <w:t>195</w:t>
                                  </w:r>
                                </w:p>
                              </w:tc>
                              <w:tc>
                                <w:tcPr>
                                  <w:tcW w:w="1216" w:type="dxa"/>
                                  <w:tcBorders>
                                    <w:left w:val="single" w:sz="4" w:space="0" w:color="auto"/>
                                    <w:bottom w:val="single" w:sz="4" w:space="0" w:color="auto"/>
                                  </w:tcBorders>
                                </w:tcPr>
                                <w:p w14:paraId="23E29DE1"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407</w:t>
                                  </w:r>
                                  <w:r>
                                    <w:rPr>
                                      <w:rFonts w:ascii="標楷體" w:eastAsia="標楷體" w:hAnsi="標楷體"/>
                                    </w:rPr>
                                    <w:t>,</w:t>
                                  </w:r>
                                  <w:r>
                                    <w:rPr>
                                      <w:rFonts w:ascii="標楷體" w:eastAsia="標楷體" w:hAnsi="標楷體" w:hint="eastAsia"/>
                                    </w:rPr>
                                    <w:t>052</w:t>
                                  </w:r>
                                </w:p>
                              </w:tc>
                            </w:tr>
                            <w:tr w:rsidR="00F1456A" w:rsidRPr="00F82E8D" w14:paraId="3F7E34EE" w14:textId="77777777" w:rsidTr="00375D8E">
                              <w:tc>
                                <w:tcPr>
                                  <w:tcW w:w="6163" w:type="dxa"/>
                                  <w:gridSpan w:val="5"/>
                                  <w:tcBorders>
                                    <w:top w:val="single" w:sz="4" w:space="0" w:color="auto"/>
                                    <w:left w:val="nil"/>
                                    <w:bottom w:val="nil"/>
                                    <w:right w:val="nil"/>
                                  </w:tcBorders>
                                  <w:vAlign w:val="center"/>
                                </w:tcPr>
                                <w:p w14:paraId="00C92432" w14:textId="77777777" w:rsidR="00F1456A" w:rsidRPr="00375D8E" w:rsidRDefault="00F1456A" w:rsidP="00375D8E">
                                  <w:pPr>
                                    <w:kinsoku w:val="0"/>
                                    <w:overflowPunct w:val="0"/>
                                    <w:autoSpaceDE w:val="0"/>
                                    <w:autoSpaceDN w:val="0"/>
                                    <w:spacing w:line="240" w:lineRule="exact"/>
                                    <w:jc w:val="both"/>
                                    <w:textAlignment w:val="center"/>
                                    <w:rPr>
                                      <w:sz w:val="18"/>
                                      <w:szCs w:val="18"/>
                                    </w:rPr>
                                  </w:pPr>
                                  <w:r w:rsidRPr="00F56DB3">
                                    <w:rPr>
                                      <w:rFonts w:ascii="標楷體" w:eastAsia="標楷體" w:hAnsi="標楷體" w:hint="eastAsia"/>
                                      <w:sz w:val="18"/>
                                      <w:szCs w:val="18"/>
                                    </w:rPr>
                                    <w:t>資料來源：整理</w:t>
                                  </w:r>
                                  <w:r>
                                    <w:rPr>
                                      <w:rFonts w:ascii="標楷體" w:eastAsia="標楷體" w:hAnsi="標楷體" w:hint="eastAsia"/>
                                      <w:sz w:val="18"/>
                                      <w:szCs w:val="18"/>
                                    </w:rPr>
                                    <w:t>都市發展</w:t>
                                  </w:r>
                                  <w:r w:rsidRPr="00F56DB3">
                                    <w:rPr>
                                      <w:rFonts w:ascii="標楷體" w:eastAsia="標楷體" w:hAnsi="標楷體" w:hint="eastAsia"/>
                                      <w:sz w:val="18"/>
                                      <w:szCs w:val="18"/>
                                    </w:rPr>
                                    <w:t>局</w:t>
                                  </w:r>
                                  <w:r>
                                    <w:rPr>
                                      <w:rFonts w:ascii="標楷體" w:eastAsia="標楷體" w:hAnsi="標楷體" w:hint="eastAsia"/>
                                      <w:sz w:val="18"/>
                                      <w:szCs w:val="18"/>
                                    </w:rPr>
                                    <w:t>提供</w:t>
                                  </w:r>
                                  <w:r w:rsidRPr="00F56DB3">
                                    <w:rPr>
                                      <w:rFonts w:ascii="標楷體" w:eastAsia="標楷體" w:hAnsi="標楷體" w:hint="eastAsia"/>
                                      <w:sz w:val="18"/>
                                      <w:szCs w:val="18"/>
                                    </w:rPr>
                                    <w:t>資料。</w:t>
                                  </w:r>
                                </w:p>
                              </w:tc>
                            </w:tr>
                          </w:tbl>
                          <w:p w14:paraId="67C17317" w14:textId="77777777" w:rsidR="00F1456A" w:rsidRPr="00375D8E" w:rsidRDefault="00F1456A" w:rsidP="00F1456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A51ED4" id="_x0000_s1130" type="#_x0000_t202" style="position:absolute;left:0;text-align:left;margin-left:173.15pt;margin-top:8.6pt;width:323.25pt;height:145.5pt;z-index:251823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" stroked="f">
                <v:textbox>
                  <w:txbxContent>
                    <w:p w14:paraId="791D9639" w14:textId="185819C1" w:rsidR="00F1456A" w:rsidRPr="00691ED0" w:rsidRDefault="00F1456A" w:rsidP="00F1456A">
                      <w:pPr>
                        <w:kinsoku w:val="0"/>
                        <w:overflowPunct w:val="0"/>
                        <w:autoSpaceDE w:val="0"/>
                        <w:autoSpaceDN w:val="0"/>
                        <w:spacing w:line="280" w:lineRule="exact"/>
                        <w:ind w:firstLineChars="4" w:firstLine="10"/>
                        <w:jc w:val="center"/>
                        <w:textAlignment w:val="center"/>
                        <w:rPr>
                          <w:rFonts w:ascii="標楷體" w:eastAsia="標楷體" w:hAnsi="標楷體"/>
                          <w:b/>
                          <w:szCs w:val="24"/>
                        </w:rPr>
                      </w:pPr>
                      <w:r w:rsidRPr="00691ED0">
                        <w:rPr>
                          <w:rFonts w:ascii="標楷體" w:eastAsia="標楷體" w:hAnsi="標楷體" w:hint="eastAsia"/>
                          <w:b/>
                          <w:szCs w:val="24"/>
                        </w:rPr>
                        <w:t>表</w:t>
                      </w:r>
                      <w:r>
                        <w:rPr>
                          <w:rFonts w:ascii="標楷體" w:eastAsia="標楷體" w:hAnsi="標楷體" w:hint="eastAsia"/>
                          <w:b/>
                          <w:szCs w:val="24"/>
                        </w:rPr>
                        <w:t>3</w:t>
                      </w:r>
                      <w:r w:rsidR="005D009F">
                        <w:rPr>
                          <w:rFonts w:ascii="標楷體" w:eastAsia="標楷體" w:hAnsi="標楷體" w:hint="eastAsia"/>
                          <w:b/>
                          <w:szCs w:val="24"/>
                        </w:rPr>
                        <w:t xml:space="preserve">　</w:t>
                      </w:r>
                      <w:proofErr w:type="gramStart"/>
                      <w:r w:rsidRPr="00691ED0">
                        <w:rPr>
                          <w:rFonts w:ascii="標楷體" w:eastAsia="標楷體" w:hAnsi="標楷體" w:hint="eastAsia"/>
                          <w:b/>
                          <w:szCs w:val="24"/>
                        </w:rPr>
                        <w:t>社宅工程</w:t>
                      </w:r>
                      <w:proofErr w:type="gramEnd"/>
                      <w:r w:rsidRPr="00691ED0">
                        <w:rPr>
                          <w:rFonts w:ascii="標楷體" w:eastAsia="標楷體" w:hAnsi="標楷體" w:hint="eastAsia"/>
                          <w:b/>
                          <w:szCs w:val="24"/>
                        </w:rPr>
                        <w:t>委託監造服務費用核算情形</w:t>
                      </w:r>
                    </w:p>
                    <w:tbl>
                      <w:tblPr>
                        <w:tblStyle w:val="21"/>
                        <w:tblW w:w="0" w:type="auto"/>
                        <w:tblInd w:w="0" w:type="dxa"/>
                        <w:tblLook w:val="04A0" w:firstRow="1" w:lastRow="0" w:firstColumn="1" w:lastColumn="0" w:noHBand="0" w:noVBand="1"/>
                      </w:tblPr>
                      <w:tblGrid>
                        <w:gridCol w:w="622"/>
                        <w:gridCol w:w="1693"/>
                        <w:gridCol w:w="1319"/>
                        <w:gridCol w:w="1319"/>
                        <w:gridCol w:w="1218"/>
                      </w:tblGrid>
                      <w:tr w:rsidR="00F1456A" w:rsidRPr="00F82E8D" w14:paraId="7BC003AF" w14:textId="77777777" w:rsidTr="00375D8E">
                        <w:tc>
                          <w:tcPr>
                            <w:tcW w:w="6163" w:type="dxa"/>
                            <w:gridSpan w:val="5"/>
                            <w:tcBorders>
                              <w:top w:val="nil"/>
                              <w:left w:val="nil"/>
                              <w:bottom w:val="single" w:sz="4" w:space="0" w:color="auto"/>
                              <w:right w:val="nil"/>
                            </w:tcBorders>
                            <w:shd w:val="clear" w:color="auto" w:fill="auto"/>
                            <w:vAlign w:val="center"/>
                          </w:tcPr>
                          <w:p w14:paraId="7F18F6C6" w14:textId="77777777" w:rsidR="00F1456A" w:rsidRDefault="00F1456A" w:rsidP="004018D4">
                            <w:pPr>
                              <w:kinsoku w:val="0"/>
                              <w:overflowPunct w:val="0"/>
                              <w:autoSpaceDE w:val="0"/>
                              <w:autoSpaceDN w:val="0"/>
                              <w:spacing w:line="260" w:lineRule="exact"/>
                              <w:jc w:val="right"/>
                              <w:textAlignment w:val="center"/>
                              <w:rPr>
                                <w:rFonts w:ascii="標楷體" w:eastAsia="標楷體" w:hAnsi="標楷體"/>
                              </w:rPr>
                            </w:pPr>
                            <w:r w:rsidRPr="00E401EC">
                              <w:rPr>
                                <w:rFonts w:ascii="標楷體" w:eastAsia="標楷體" w:hAnsi="標楷體" w:hint="eastAsia"/>
                                <w:bCs/>
                                <w:spacing w:val="-10"/>
                              </w:rPr>
                              <w:t>單位：新臺幣元</w:t>
                            </w:r>
                          </w:p>
                        </w:tc>
                      </w:tr>
                      <w:tr w:rsidR="00F1456A" w:rsidRPr="00F82E8D" w14:paraId="529F0476" w14:textId="77777777" w:rsidTr="00375D8E">
                        <w:tc>
                          <w:tcPr>
                            <w:tcW w:w="622" w:type="dxa"/>
                            <w:tcBorders>
                              <w:top w:val="single" w:sz="4" w:space="0" w:color="auto"/>
                            </w:tcBorders>
                            <w:shd w:val="clear" w:color="auto" w:fill="auto"/>
                            <w:vAlign w:val="center"/>
                          </w:tcPr>
                          <w:p w14:paraId="105A5739"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sidRPr="00F56DB3">
                              <w:rPr>
                                <w:rFonts w:ascii="標楷體" w:eastAsia="標楷體" w:hAnsi="標楷體" w:hint="eastAsia"/>
                              </w:rPr>
                              <w:t>項次</w:t>
                            </w:r>
                          </w:p>
                        </w:tc>
                        <w:tc>
                          <w:tcPr>
                            <w:tcW w:w="1693" w:type="dxa"/>
                            <w:tcBorders>
                              <w:top w:val="single" w:sz="4" w:space="0" w:color="auto"/>
                            </w:tcBorders>
                            <w:shd w:val="clear" w:color="auto" w:fill="auto"/>
                            <w:vAlign w:val="center"/>
                          </w:tcPr>
                          <w:p w14:paraId="74D0E8EA"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案件名稱</w:t>
                            </w:r>
                          </w:p>
                        </w:tc>
                        <w:tc>
                          <w:tcPr>
                            <w:tcW w:w="1316" w:type="dxa"/>
                            <w:tcBorders>
                              <w:top w:val="single" w:sz="4" w:space="0" w:color="auto"/>
                              <w:right w:val="single" w:sz="4" w:space="0" w:color="auto"/>
                            </w:tcBorders>
                            <w:shd w:val="clear" w:color="auto" w:fill="auto"/>
                          </w:tcPr>
                          <w:p w14:paraId="0D845697" w14:textId="77777777" w:rsidR="00F1456A"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依約核算</w:t>
                            </w:r>
                          </w:p>
                          <w:p w14:paraId="28FAA2D1" w14:textId="77777777" w:rsidR="00F1456A"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監造服務</w:t>
                            </w:r>
                          </w:p>
                          <w:p w14:paraId="3244FC1A" w14:textId="77777777" w:rsidR="00F1456A" w:rsidRPr="00F56DB3" w:rsidRDefault="00F1456A" w:rsidP="00C95B8F">
                            <w:pPr>
                              <w:kinsoku w:val="0"/>
                              <w:overflowPunct w:val="0"/>
                              <w:autoSpaceDE w:val="0"/>
                              <w:autoSpaceDN w:val="0"/>
                              <w:spacing w:line="240" w:lineRule="exact"/>
                              <w:ind w:firstLineChars="50" w:firstLine="100"/>
                              <w:jc w:val="center"/>
                              <w:textAlignment w:val="center"/>
                              <w:rPr>
                                <w:rFonts w:ascii="標楷體" w:eastAsia="標楷體" w:hAnsi="標楷體"/>
                              </w:rPr>
                            </w:pPr>
                            <w:r>
                              <w:rPr>
                                <w:rFonts w:ascii="標楷體" w:eastAsia="標楷體" w:hAnsi="標楷體" w:hint="eastAsia"/>
                              </w:rPr>
                              <w:t>費用（A）</w:t>
                            </w:r>
                          </w:p>
                        </w:tc>
                        <w:tc>
                          <w:tcPr>
                            <w:tcW w:w="1316" w:type="dxa"/>
                            <w:tcBorders>
                              <w:top w:val="single" w:sz="4" w:space="0" w:color="auto"/>
                              <w:left w:val="single" w:sz="4" w:space="0" w:color="auto"/>
                            </w:tcBorders>
                            <w:shd w:val="clear" w:color="auto" w:fill="auto"/>
                            <w:vAlign w:val="center"/>
                          </w:tcPr>
                          <w:p w14:paraId="1B883290" w14:textId="77777777" w:rsidR="00F1456A"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實際核定</w:t>
                            </w:r>
                          </w:p>
                          <w:p w14:paraId="53086BDE" w14:textId="77777777" w:rsidR="00F1456A"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監造服務</w:t>
                            </w:r>
                          </w:p>
                          <w:p w14:paraId="051F0E46" w14:textId="77777777" w:rsidR="00F1456A" w:rsidRPr="00F56DB3" w:rsidRDefault="00F1456A" w:rsidP="00C95B8F">
                            <w:pPr>
                              <w:kinsoku w:val="0"/>
                              <w:overflowPunct w:val="0"/>
                              <w:autoSpaceDE w:val="0"/>
                              <w:autoSpaceDN w:val="0"/>
                              <w:spacing w:line="240" w:lineRule="exact"/>
                              <w:ind w:firstLineChars="50" w:firstLine="100"/>
                              <w:jc w:val="center"/>
                              <w:textAlignment w:val="center"/>
                              <w:rPr>
                                <w:rFonts w:ascii="標楷體" w:eastAsia="標楷體" w:hAnsi="標楷體"/>
                              </w:rPr>
                            </w:pPr>
                            <w:r>
                              <w:rPr>
                                <w:rFonts w:ascii="標楷體" w:eastAsia="標楷體" w:hAnsi="標楷體" w:hint="eastAsia"/>
                              </w:rPr>
                              <w:t>費用（B）</w:t>
                            </w:r>
                          </w:p>
                        </w:tc>
                        <w:tc>
                          <w:tcPr>
                            <w:tcW w:w="1216" w:type="dxa"/>
                            <w:tcBorders>
                              <w:top w:val="single" w:sz="4" w:space="0" w:color="auto"/>
                              <w:left w:val="single" w:sz="4" w:space="0" w:color="auto"/>
                            </w:tcBorders>
                            <w:shd w:val="clear" w:color="auto" w:fill="auto"/>
                            <w:vAlign w:val="center"/>
                          </w:tcPr>
                          <w:p w14:paraId="1373591E" w14:textId="77777777" w:rsidR="00F1456A"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差異金額</w:t>
                            </w:r>
                          </w:p>
                          <w:p w14:paraId="4B2E8487"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（C=B-A）</w:t>
                            </w:r>
                          </w:p>
                        </w:tc>
                      </w:tr>
                      <w:tr w:rsidR="00F1456A" w:rsidRPr="00F82E8D" w14:paraId="6127BAC0" w14:textId="77777777" w:rsidTr="00375D8E">
                        <w:tc>
                          <w:tcPr>
                            <w:tcW w:w="2315" w:type="dxa"/>
                            <w:gridSpan w:val="2"/>
                            <w:vAlign w:val="center"/>
                          </w:tcPr>
                          <w:p w14:paraId="397AFF68" w14:textId="77777777" w:rsidR="00F1456A" w:rsidRPr="00380E14" w:rsidRDefault="00F1456A" w:rsidP="00375D8E">
                            <w:pPr>
                              <w:kinsoku w:val="0"/>
                              <w:overflowPunct w:val="0"/>
                              <w:autoSpaceDE w:val="0"/>
                              <w:autoSpaceDN w:val="0"/>
                              <w:spacing w:line="240" w:lineRule="exact"/>
                              <w:jc w:val="center"/>
                              <w:textAlignment w:val="center"/>
                              <w:rPr>
                                <w:rFonts w:ascii="標楷體" w:eastAsia="標楷體" w:hAnsi="標楷體"/>
                                <w:b/>
                                <w:bCs/>
                              </w:rPr>
                            </w:pPr>
                            <w:r w:rsidRPr="00380E14">
                              <w:rPr>
                                <w:rFonts w:ascii="標楷體" w:eastAsia="標楷體" w:hAnsi="標楷體" w:hint="eastAsia"/>
                                <w:b/>
                                <w:bCs/>
                              </w:rPr>
                              <w:t>合計</w:t>
                            </w:r>
                          </w:p>
                        </w:tc>
                        <w:tc>
                          <w:tcPr>
                            <w:tcW w:w="1316" w:type="dxa"/>
                            <w:tcBorders>
                              <w:right w:val="single" w:sz="4" w:space="0" w:color="auto"/>
                            </w:tcBorders>
                            <w:vAlign w:val="center"/>
                          </w:tcPr>
                          <w:p w14:paraId="3EA4F8C5" w14:textId="77777777" w:rsidR="00F1456A" w:rsidRPr="00380E14" w:rsidRDefault="00F1456A" w:rsidP="00375D8E">
                            <w:pPr>
                              <w:kinsoku w:val="0"/>
                              <w:overflowPunct w:val="0"/>
                              <w:autoSpaceDE w:val="0"/>
                              <w:autoSpaceDN w:val="0"/>
                              <w:spacing w:line="240" w:lineRule="exact"/>
                              <w:jc w:val="right"/>
                              <w:textAlignment w:val="center"/>
                              <w:rPr>
                                <w:rFonts w:ascii="標楷體" w:eastAsia="標楷體" w:hAnsi="標楷體"/>
                                <w:b/>
                                <w:bCs/>
                              </w:rPr>
                            </w:pPr>
                            <w:r w:rsidRPr="00380E14">
                              <w:rPr>
                                <w:rFonts w:ascii="標楷體" w:eastAsia="標楷體" w:hAnsi="標楷體" w:hint="eastAsia"/>
                                <w:b/>
                                <w:bCs/>
                              </w:rPr>
                              <w:t>1</w:t>
                            </w:r>
                            <w:r w:rsidRPr="00380E14">
                              <w:rPr>
                                <w:rFonts w:ascii="標楷體" w:eastAsia="標楷體" w:hAnsi="標楷體"/>
                                <w:b/>
                                <w:bCs/>
                              </w:rPr>
                              <w:t>89,674,939</w:t>
                            </w:r>
                          </w:p>
                        </w:tc>
                        <w:tc>
                          <w:tcPr>
                            <w:tcW w:w="1316" w:type="dxa"/>
                            <w:tcBorders>
                              <w:left w:val="single" w:sz="4" w:space="0" w:color="auto"/>
                            </w:tcBorders>
                          </w:tcPr>
                          <w:p w14:paraId="59E87C0D" w14:textId="77777777" w:rsidR="00F1456A" w:rsidRPr="00380E14" w:rsidRDefault="00F1456A" w:rsidP="00375D8E">
                            <w:pPr>
                              <w:kinsoku w:val="0"/>
                              <w:overflowPunct w:val="0"/>
                              <w:autoSpaceDE w:val="0"/>
                              <w:autoSpaceDN w:val="0"/>
                              <w:spacing w:line="240" w:lineRule="exact"/>
                              <w:jc w:val="right"/>
                              <w:textAlignment w:val="center"/>
                              <w:rPr>
                                <w:rFonts w:ascii="標楷體" w:eastAsia="標楷體" w:hAnsi="標楷體"/>
                                <w:b/>
                                <w:bCs/>
                              </w:rPr>
                            </w:pPr>
                            <w:r w:rsidRPr="00380E14">
                              <w:rPr>
                                <w:rFonts w:ascii="標楷體" w:eastAsia="標楷體" w:hAnsi="標楷體" w:hint="eastAsia"/>
                                <w:b/>
                                <w:bCs/>
                              </w:rPr>
                              <w:t>211</w:t>
                            </w:r>
                            <w:r w:rsidRPr="00380E14">
                              <w:rPr>
                                <w:rFonts w:ascii="標楷體" w:eastAsia="標楷體" w:hAnsi="標楷體"/>
                                <w:b/>
                                <w:bCs/>
                              </w:rPr>
                              <w:t>,</w:t>
                            </w:r>
                            <w:r w:rsidRPr="00380E14">
                              <w:rPr>
                                <w:rFonts w:ascii="標楷體" w:eastAsia="標楷體" w:hAnsi="標楷體" w:hint="eastAsia"/>
                                <w:b/>
                                <w:bCs/>
                              </w:rPr>
                              <w:t>206</w:t>
                            </w:r>
                            <w:r w:rsidRPr="00380E14">
                              <w:rPr>
                                <w:rFonts w:ascii="標楷體" w:eastAsia="標楷體" w:hAnsi="標楷體"/>
                                <w:b/>
                                <w:bCs/>
                              </w:rPr>
                              <w:t>,</w:t>
                            </w:r>
                            <w:r w:rsidRPr="00380E14">
                              <w:rPr>
                                <w:rFonts w:ascii="標楷體" w:eastAsia="標楷體" w:hAnsi="標楷體" w:hint="eastAsia"/>
                                <w:b/>
                                <w:bCs/>
                              </w:rPr>
                              <w:t>802</w:t>
                            </w:r>
                          </w:p>
                        </w:tc>
                        <w:tc>
                          <w:tcPr>
                            <w:tcW w:w="1216" w:type="dxa"/>
                            <w:tcBorders>
                              <w:left w:val="single" w:sz="4" w:space="0" w:color="auto"/>
                            </w:tcBorders>
                          </w:tcPr>
                          <w:p w14:paraId="46EBDA6F" w14:textId="77777777" w:rsidR="00F1456A" w:rsidRPr="00380E14" w:rsidRDefault="00F1456A" w:rsidP="00375D8E">
                            <w:pPr>
                              <w:kinsoku w:val="0"/>
                              <w:overflowPunct w:val="0"/>
                              <w:autoSpaceDE w:val="0"/>
                              <w:autoSpaceDN w:val="0"/>
                              <w:spacing w:line="240" w:lineRule="exact"/>
                              <w:jc w:val="right"/>
                              <w:textAlignment w:val="center"/>
                              <w:rPr>
                                <w:rFonts w:ascii="標楷體" w:eastAsia="標楷體" w:hAnsi="標楷體"/>
                                <w:b/>
                                <w:bCs/>
                              </w:rPr>
                            </w:pPr>
                            <w:r w:rsidRPr="00380E14">
                              <w:rPr>
                                <w:rFonts w:ascii="標楷體" w:eastAsia="標楷體" w:hAnsi="標楷體" w:hint="eastAsia"/>
                                <w:b/>
                                <w:bCs/>
                              </w:rPr>
                              <w:t>21,531,863</w:t>
                            </w:r>
                          </w:p>
                        </w:tc>
                      </w:tr>
                      <w:tr w:rsidR="00F1456A" w:rsidRPr="00F82E8D" w14:paraId="1FA5444C" w14:textId="77777777" w:rsidTr="00375D8E">
                        <w:tc>
                          <w:tcPr>
                            <w:tcW w:w="622" w:type="dxa"/>
                            <w:vAlign w:val="center"/>
                          </w:tcPr>
                          <w:p w14:paraId="4C343D34"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1</w:t>
                            </w:r>
                          </w:p>
                        </w:tc>
                        <w:tc>
                          <w:tcPr>
                            <w:tcW w:w="1693" w:type="dxa"/>
                            <w:vAlign w:val="center"/>
                          </w:tcPr>
                          <w:p w14:paraId="0B1CCB7C"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proofErr w:type="gramStart"/>
                            <w:r w:rsidRPr="00E435C9">
                              <w:rPr>
                                <w:rFonts w:ascii="標楷體" w:eastAsia="標楷體" w:hAnsi="標楷體" w:hint="eastAsia"/>
                              </w:rPr>
                              <w:t>南機社宅技服案</w:t>
                            </w:r>
                            <w:proofErr w:type="gramEnd"/>
                          </w:p>
                        </w:tc>
                        <w:tc>
                          <w:tcPr>
                            <w:tcW w:w="1316" w:type="dxa"/>
                            <w:tcBorders>
                              <w:right w:val="single" w:sz="4" w:space="0" w:color="auto"/>
                            </w:tcBorders>
                            <w:vAlign w:val="center"/>
                          </w:tcPr>
                          <w:p w14:paraId="6AB7147C"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147</w:t>
                            </w:r>
                            <w:r>
                              <w:rPr>
                                <w:rFonts w:ascii="標楷體" w:eastAsia="標楷體" w:hAnsi="標楷體"/>
                              </w:rPr>
                              <w:t>,</w:t>
                            </w:r>
                            <w:r>
                              <w:rPr>
                                <w:rFonts w:ascii="標楷體" w:eastAsia="標楷體" w:hAnsi="標楷體" w:hint="eastAsia"/>
                              </w:rPr>
                              <w:t>578</w:t>
                            </w:r>
                            <w:r>
                              <w:rPr>
                                <w:rFonts w:ascii="標楷體" w:eastAsia="標楷體" w:hAnsi="標楷體"/>
                              </w:rPr>
                              <w:t>,</w:t>
                            </w:r>
                            <w:r>
                              <w:rPr>
                                <w:rFonts w:ascii="標楷體" w:eastAsia="標楷體" w:hAnsi="標楷體" w:hint="eastAsia"/>
                              </w:rPr>
                              <w:t>080</w:t>
                            </w:r>
                          </w:p>
                        </w:tc>
                        <w:tc>
                          <w:tcPr>
                            <w:tcW w:w="1316" w:type="dxa"/>
                            <w:tcBorders>
                              <w:left w:val="single" w:sz="4" w:space="0" w:color="auto"/>
                            </w:tcBorders>
                          </w:tcPr>
                          <w:p w14:paraId="0C99BAFB"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165,125,257</w:t>
                            </w:r>
                          </w:p>
                        </w:tc>
                        <w:tc>
                          <w:tcPr>
                            <w:tcW w:w="1216" w:type="dxa"/>
                            <w:tcBorders>
                              <w:left w:val="single" w:sz="4" w:space="0" w:color="auto"/>
                            </w:tcBorders>
                          </w:tcPr>
                          <w:p w14:paraId="00A6F22C"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17,547,177</w:t>
                            </w:r>
                          </w:p>
                        </w:tc>
                      </w:tr>
                      <w:tr w:rsidR="00F1456A" w:rsidRPr="00F82E8D" w14:paraId="7830E27D" w14:textId="77777777" w:rsidTr="00375D8E">
                        <w:tc>
                          <w:tcPr>
                            <w:tcW w:w="622" w:type="dxa"/>
                            <w:vAlign w:val="center"/>
                          </w:tcPr>
                          <w:p w14:paraId="2239E7F0"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2</w:t>
                            </w:r>
                          </w:p>
                        </w:tc>
                        <w:tc>
                          <w:tcPr>
                            <w:tcW w:w="1693" w:type="dxa"/>
                            <w:vAlign w:val="center"/>
                          </w:tcPr>
                          <w:p w14:paraId="22839661"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sidRPr="00E435C9">
                              <w:rPr>
                                <w:rFonts w:ascii="標楷體" w:eastAsia="標楷體" w:hAnsi="標楷體" w:hint="eastAsia"/>
                              </w:rPr>
                              <w:t>福民</w:t>
                            </w:r>
                            <w:proofErr w:type="gramStart"/>
                            <w:r w:rsidRPr="00E435C9">
                              <w:rPr>
                                <w:rFonts w:ascii="標楷體" w:eastAsia="標楷體" w:hAnsi="標楷體" w:hint="eastAsia"/>
                              </w:rPr>
                              <w:t>社宅技服案</w:t>
                            </w:r>
                            <w:proofErr w:type="gramEnd"/>
                          </w:p>
                        </w:tc>
                        <w:tc>
                          <w:tcPr>
                            <w:tcW w:w="1316" w:type="dxa"/>
                            <w:tcBorders>
                              <w:right w:val="single" w:sz="4" w:space="0" w:color="auto"/>
                            </w:tcBorders>
                            <w:vAlign w:val="center"/>
                          </w:tcPr>
                          <w:p w14:paraId="2D2CBB34"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20</w:t>
                            </w:r>
                            <w:r>
                              <w:rPr>
                                <w:rFonts w:ascii="標楷體" w:eastAsia="標楷體" w:hAnsi="標楷體"/>
                              </w:rPr>
                              <w:t>,</w:t>
                            </w:r>
                            <w:r>
                              <w:rPr>
                                <w:rFonts w:ascii="標楷體" w:eastAsia="標楷體" w:hAnsi="標楷體" w:hint="eastAsia"/>
                              </w:rPr>
                              <w:t>432</w:t>
                            </w:r>
                            <w:r>
                              <w:rPr>
                                <w:rFonts w:ascii="標楷體" w:eastAsia="標楷體" w:hAnsi="標楷體"/>
                              </w:rPr>
                              <w:t>,</w:t>
                            </w:r>
                            <w:r>
                              <w:rPr>
                                <w:rFonts w:ascii="標楷體" w:eastAsia="標楷體" w:hAnsi="標楷體" w:hint="eastAsia"/>
                              </w:rPr>
                              <w:t>881</w:t>
                            </w:r>
                          </w:p>
                        </w:tc>
                        <w:tc>
                          <w:tcPr>
                            <w:tcW w:w="1316" w:type="dxa"/>
                            <w:tcBorders>
                              <w:left w:val="single" w:sz="4" w:space="0" w:color="auto"/>
                            </w:tcBorders>
                          </w:tcPr>
                          <w:p w14:paraId="28167F50"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22</w:t>
                            </w:r>
                            <w:r>
                              <w:rPr>
                                <w:rFonts w:ascii="標楷體" w:eastAsia="標楷體" w:hAnsi="標楷體"/>
                              </w:rPr>
                              <w:t>,</w:t>
                            </w:r>
                            <w:r>
                              <w:rPr>
                                <w:rFonts w:ascii="標楷體" w:eastAsia="標楷體" w:hAnsi="標楷體" w:hint="eastAsia"/>
                              </w:rPr>
                              <w:t>406</w:t>
                            </w:r>
                            <w:r>
                              <w:rPr>
                                <w:rFonts w:ascii="標楷體" w:eastAsia="標楷體" w:hAnsi="標楷體"/>
                              </w:rPr>
                              <w:t>,</w:t>
                            </w:r>
                            <w:r>
                              <w:rPr>
                                <w:rFonts w:ascii="標楷體" w:eastAsia="標楷體" w:hAnsi="標楷體" w:hint="eastAsia"/>
                              </w:rPr>
                              <w:t>451</w:t>
                            </w:r>
                          </w:p>
                        </w:tc>
                        <w:tc>
                          <w:tcPr>
                            <w:tcW w:w="1216" w:type="dxa"/>
                            <w:tcBorders>
                              <w:left w:val="single" w:sz="4" w:space="0" w:color="auto"/>
                            </w:tcBorders>
                          </w:tcPr>
                          <w:p w14:paraId="021EF1DA"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w:t>
                            </w:r>
                            <w:r>
                              <w:rPr>
                                <w:rFonts w:ascii="標楷體" w:eastAsia="標楷體" w:hAnsi="標楷體"/>
                              </w:rPr>
                              <w:t>,</w:t>
                            </w:r>
                            <w:r>
                              <w:rPr>
                                <w:rFonts w:ascii="標楷體" w:eastAsia="標楷體" w:hAnsi="標楷體" w:hint="eastAsia"/>
                              </w:rPr>
                              <w:t>973</w:t>
                            </w:r>
                            <w:r>
                              <w:rPr>
                                <w:rFonts w:ascii="標楷體" w:eastAsia="標楷體" w:hAnsi="標楷體"/>
                              </w:rPr>
                              <w:t>,</w:t>
                            </w:r>
                            <w:r>
                              <w:rPr>
                                <w:rFonts w:ascii="標楷體" w:eastAsia="標楷體" w:hAnsi="標楷體" w:hint="eastAsia"/>
                              </w:rPr>
                              <w:t>570</w:t>
                            </w:r>
                          </w:p>
                        </w:tc>
                      </w:tr>
                      <w:tr w:rsidR="00F1456A" w:rsidRPr="00F82E8D" w14:paraId="3FD76275" w14:textId="77777777" w:rsidTr="00375D8E">
                        <w:tc>
                          <w:tcPr>
                            <w:tcW w:w="622" w:type="dxa"/>
                            <w:vAlign w:val="center"/>
                          </w:tcPr>
                          <w:p w14:paraId="066DD701"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3</w:t>
                            </w:r>
                          </w:p>
                        </w:tc>
                        <w:tc>
                          <w:tcPr>
                            <w:tcW w:w="1693" w:type="dxa"/>
                            <w:vAlign w:val="center"/>
                          </w:tcPr>
                          <w:p w14:paraId="3EDDFE6E"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sidRPr="00E435C9">
                              <w:rPr>
                                <w:rFonts w:ascii="標楷體" w:eastAsia="標楷體" w:hAnsi="標楷體" w:hint="eastAsia"/>
                              </w:rPr>
                              <w:t>松信</w:t>
                            </w:r>
                            <w:proofErr w:type="gramStart"/>
                            <w:r w:rsidRPr="00E435C9">
                              <w:rPr>
                                <w:rFonts w:ascii="標楷體" w:eastAsia="標楷體" w:hAnsi="標楷體" w:hint="eastAsia"/>
                              </w:rPr>
                              <w:t>社宅技服案</w:t>
                            </w:r>
                            <w:proofErr w:type="gramEnd"/>
                          </w:p>
                        </w:tc>
                        <w:tc>
                          <w:tcPr>
                            <w:tcW w:w="1316" w:type="dxa"/>
                            <w:tcBorders>
                              <w:right w:val="single" w:sz="4" w:space="0" w:color="auto"/>
                            </w:tcBorders>
                            <w:vAlign w:val="center"/>
                          </w:tcPr>
                          <w:p w14:paraId="65769D39"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17</w:t>
                            </w:r>
                            <w:r>
                              <w:rPr>
                                <w:rFonts w:ascii="標楷體" w:eastAsia="標楷體" w:hAnsi="標楷體"/>
                              </w:rPr>
                              <w:t>,</w:t>
                            </w:r>
                            <w:r>
                              <w:rPr>
                                <w:rFonts w:ascii="標楷體" w:eastAsia="標楷體" w:hAnsi="標楷體" w:hint="eastAsia"/>
                              </w:rPr>
                              <w:t>130</w:t>
                            </w:r>
                            <w:r>
                              <w:rPr>
                                <w:rFonts w:ascii="標楷體" w:eastAsia="標楷體" w:hAnsi="標楷體"/>
                              </w:rPr>
                              <w:t>,</w:t>
                            </w:r>
                            <w:r>
                              <w:rPr>
                                <w:rFonts w:ascii="標楷體" w:eastAsia="標楷體" w:hAnsi="標楷體" w:hint="eastAsia"/>
                              </w:rPr>
                              <w:t>835</w:t>
                            </w:r>
                          </w:p>
                        </w:tc>
                        <w:tc>
                          <w:tcPr>
                            <w:tcW w:w="1316" w:type="dxa"/>
                            <w:tcBorders>
                              <w:left w:val="single" w:sz="4" w:space="0" w:color="auto"/>
                            </w:tcBorders>
                          </w:tcPr>
                          <w:p w14:paraId="127A76B1"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18</w:t>
                            </w:r>
                            <w:r>
                              <w:rPr>
                                <w:rFonts w:ascii="標楷體" w:eastAsia="標楷體" w:hAnsi="標楷體"/>
                              </w:rPr>
                              <w:t>,</w:t>
                            </w:r>
                            <w:r>
                              <w:rPr>
                                <w:rFonts w:ascii="標楷體" w:eastAsia="標楷體" w:hAnsi="標楷體" w:hint="eastAsia"/>
                              </w:rPr>
                              <w:t>734</w:t>
                            </w:r>
                            <w:r>
                              <w:rPr>
                                <w:rFonts w:ascii="標楷體" w:eastAsia="標楷體" w:hAnsi="標楷體"/>
                              </w:rPr>
                              <w:t>,</w:t>
                            </w:r>
                            <w:r>
                              <w:rPr>
                                <w:rFonts w:ascii="標楷體" w:eastAsia="標楷體" w:hAnsi="標楷體" w:hint="eastAsia"/>
                              </w:rPr>
                              <w:t>899</w:t>
                            </w:r>
                          </w:p>
                        </w:tc>
                        <w:tc>
                          <w:tcPr>
                            <w:tcW w:w="1216" w:type="dxa"/>
                            <w:tcBorders>
                              <w:left w:val="single" w:sz="4" w:space="0" w:color="auto"/>
                            </w:tcBorders>
                          </w:tcPr>
                          <w:p w14:paraId="7F2815C0"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1</w:t>
                            </w:r>
                            <w:r>
                              <w:rPr>
                                <w:rFonts w:ascii="標楷體" w:eastAsia="標楷體" w:hAnsi="標楷體"/>
                              </w:rPr>
                              <w:t>,</w:t>
                            </w:r>
                            <w:r>
                              <w:rPr>
                                <w:rFonts w:ascii="標楷體" w:eastAsia="標楷體" w:hAnsi="標楷體" w:hint="eastAsia"/>
                              </w:rPr>
                              <w:t>604</w:t>
                            </w:r>
                            <w:r>
                              <w:rPr>
                                <w:rFonts w:ascii="標楷體" w:eastAsia="標楷體" w:hAnsi="標楷體"/>
                              </w:rPr>
                              <w:t>,</w:t>
                            </w:r>
                            <w:r>
                              <w:rPr>
                                <w:rFonts w:ascii="標楷體" w:eastAsia="標楷體" w:hAnsi="標楷體" w:hint="eastAsia"/>
                              </w:rPr>
                              <w:t>064</w:t>
                            </w:r>
                          </w:p>
                        </w:tc>
                      </w:tr>
                      <w:tr w:rsidR="00F1456A" w:rsidRPr="00F82E8D" w14:paraId="47CF8FB6" w14:textId="77777777" w:rsidTr="00375D8E">
                        <w:tc>
                          <w:tcPr>
                            <w:tcW w:w="622" w:type="dxa"/>
                            <w:tcBorders>
                              <w:bottom w:val="single" w:sz="4" w:space="0" w:color="auto"/>
                            </w:tcBorders>
                            <w:vAlign w:val="center"/>
                          </w:tcPr>
                          <w:p w14:paraId="44E8F826"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4</w:t>
                            </w:r>
                          </w:p>
                        </w:tc>
                        <w:tc>
                          <w:tcPr>
                            <w:tcW w:w="1693" w:type="dxa"/>
                            <w:tcBorders>
                              <w:bottom w:val="single" w:sz="4" w:space="0" w:color="auto"/>
                            </w:tcBorders>
                            <w:vAlign w:val="center"/>
                          </w:tcPr>
                          <w:p w14:paraId="388494E2" w14:textId="77777777" w:rsidR="00F1456A" w:rsidRPr="00F56DB3" w:rsidRDefault="00F1456A" w:rsidP="00375D8E">
                            <w:pPr>
                              <w:kinsoku w:val="0"/>
                              <w:overflowPunct w:val="0"/>
                              <w:autoSpaceDE w:val="0"/>
                              <w:autoSpaceDN w:val="0"/>
                              <w:spacing w:line="240" w:lineRule="exact"/>
                              <w:jc w:val="center"/>
                              <w:textAlignment w:val="center"/>
                              <w:rPr>
                                <w:rFonts w:ascii="標楷體" w:eastAsia="標楷體" w:hAnsi="標楷體"/>
                              </w:rPr>
                            </w:pPr>
                            <w:r w:rsidRPr="00E435C9">
                              <w:rPr>
                                <w:rFonts w:ascii="標楷體" w:eastAsia="標楷體" w:hAnsi="標楷體" w:hint="eastAsia"/>
                              </w:rPr>
                              <w:t>力行</w:t>
                            </w:r>
                            <w:proofErr w:type="gramStart"/>
                            <w:r w:rsidRPr="00E435C9">
                              <w:rPr>
                                <w:rFonts w:ascii="標楷體" w:eastAsia="標楷體" w:hAnsi="標楷體" w:hint="eastAsia"/>
                              </w:rPr>
                              <w:t>社宅技服案</w:t>
                            </w:r>
                            <w:proofErr w:type="gramEnd"/>
                          </w:p>
                        </w:tc>
                        <w:tc>
                          <w:tcPr>
                            <w:tcW w:w="1316" w:type="dxa"/>
                            <w:tcBorders>
                              <w:bottom w:val="single" w:sz="4" w:space="0" w:color="auto"/>
                              <w:right w:val="single" w:sz="4" w:space="0" w:color="auto"/>
                            </w:tcBorders>
                            <w:vAlign w:val="center"/>
                          </w:tcPr>
                          <w:p w14:paraId="51507C17"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4</w:t>
                            </w:r>
                            <w:r>
                              <w:rPr>
                                <w:rFonts w:ascii="標楷體" w:eastAsia="標楷體" w:hAnsi="標楷體"/>
                              </w:rPr>
                              <w:t>,</w:t>
                            </w:r>
                            <w:r>
                              <w:rPr>
                                <w:rFonts w:ascii="標楷體" w:eastAsia="標楷體" w:hAnsi="標楷體" w:hint="eastAsia"/>
                              </w:rPr>
                              <w:t>533</w:t>
                            </w:r>
                            <w:r>
                              <w:rPr>
                                <w:rFonts w:ascii="標楷體" w:eastAsia="標楷體" w:hAnsi="標楷體"/>
                              </w:rPr>
                              <w:t>,</w:t>
                            </w:r>
                            <w:r>
                              <w:rPr>
                                <w:rFonts w:ascii="標楷體" w:eastAsia="標楷體" w:hAnsi="標楷體" w:hint="eastAsia"/>
                              </w:rPr>
                              <w:t>143</w:t>
                            </w:r>
                          </w:p>
                        </w:tc>
                        <w:tc>
                          <w:tcPr>
                            <w:tcW w:w="1316" w:type="dxa"/>
                            <w:tcBorders>
                              <w:left w:val="single" w:sz="4" w:space="0" w:color="auto"/>
                              <w:bottom w:val="single" w:sz="4" w:space="0" w:color="auto"/>
                            </w:tcBorders>
                          </w:tcPr>
                          <w:p w14:paraId="17B55DF7"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4</w:t>
                            </w:r>
                            <w:r>
                              <w:rPr>
                                <w:rFonts w:ascii="標楷體" w:eastAsia="標楷體" w:hAnsi="標楷體"/>
                              </w:rPr>
                              <w:t>,</w:t>
                            </w:r>
                            <w:r>
                              <w:rPr>
                                <w:rFonts w:ascii="標楷體" w:eastAsia="標楷體" w:hAnsi="標楷體" w:hint="eastAsia"/>
                              </w:rPr>
                              <w:t>940</w:t>
                            </w:r>
                            <w:r>
                              <w:rPr>
                                <w:rFonts w:ascii="標楷體" w:eastAsia="標楷體" w:hAnsi="標楷體"/>
                              </w:rPr>
                              <w:t>,</w:t>
                            </w:r>
                            <w:r>
                              <w:rPr>
                                <w:rFonts w:ascii="標楷體" w:eastAsia="標楷體" w:hAnsi="標楷體" w:hint="eastAsia"/>
                              </w:rPr>
                              <w:t>195</w:t>
                            </w:r>
                          </w:p>
                        </w:tc>
                        <w:tc>
                          <w:tcPr>
                            <w:tcW w:w="1216" w:type="dxa"/>
                            <w:tcBorders>
                              <w:left w:val="single" w:sz="4" w:space="0" w:color="auto"/>
                              <w:bottom w:val="single" w:sz="4" w:space="0" w:color="auto"/>
                            </w:tcBorders>
                          </w:tcPr>
                          <w:p w14:paraId="23E29DE1" w14:textId="77777777" w:rsidR="00F1456A" w:rsidRPr="00F56DB3" w:rsidRDefault="00F1456A" w:rsidP="00375D8E">
                            <w:pPr>
                              <w:kinsoku w:val="0"/>
                              <w:overflowPunct w:val="0"/>
                              <w:autoSpaceDE w:val="0"/>
                              <w:autoSpaceDN w:val="0"/>
                              <w:spacing w:line="240" w:lineRule="exact"/>
                              <w:jc w:val="right"/>
                              <w:textAlignment w:val="center"/>
                              <w:rPr>
                                <w:rFonts w:ascii="標楷體" w:eastAsia="標楷體" w:hAnsi="標楷體"/>
                              </w:rPr>
                            </w:pPr>
                            <w:r>
                              <w:rPr>
                                <w:rFonts w:ascii="標楷體" w:eastAsia="標楷體" w:hAnsi="標楷體" w:hint="eastAsia"/>
                              </w:rPr>
                              <w:t>407</w:t>
                            </w:r>
                            <w:r>
                              <w:rPr>
                                <w:rFonts w:ascii="標楷體" w:eastAsia="標楷體" w:hAnsi="標楷體"/>
                              </w:rPr>
                              <w:t>,</w:t>
                            </w:r>
                            <w:r>
                              <w:rPr>
                                <w:rFonts w:ascii="標楷體" w:eastAsia="標楷體" w:hAnsi="標楷體" w:hint="eastAsia"/>
                              </w:rPr>
                              <w:t>052</w:t>
                            </w:r>
                          </w:p>
                        </w:tc>
                      </w:tr>
                      <w:tr w:rsidR="00F1456A" w:rsidRPr="00F82E8D" w14:paraId="3F7E34EE" w14:textId="77777777" w:rsidTr="00375D8E">
                        <w:tc>
                          <w:tcPr>
                            <w:tcW w:w="6163" w:type="dxa"/>
                            <w:gridSpan w:val="5"/>
                            <w:tcBorders>
                              <w:top w:val="single" w:sz="4" w:space="0" w:color="auto"/>
                              <w:left w:val="nil"/>
                              <w:bottom w:val="nil"/>
                              <w:right w:val="nil"/>
                            </w:tcBorders>
                            <w:vAlign w:val="center"/>
                          </w:tcPr>
                          <w:p w14:paraId="00C92432" w14:textId="77777777" w:rsidR="00F1456A" w:rsidRPr="00375D8E" w:rsidRDefault="00F1456A" w:rsidP="00375D8E">
                            <w:pPr>
                              <w:kinsoku w:val="0"/>
                              <w:overflowPunct w:val="0"/>
                              <w:autoSpaceDE w:val="0"/>
                              <w:autoSpaceDN w:val="0"/>
                              <w:spacing w:line="240" w:lineRule="exact"/>
                              <w:jc w:val="both"/>
                              <w:textAlignment w:val="center"/>
                              <w:rPr>
                                <w:sz w:val="18"/>
                                <w:szCs w:val="18"/>
                              </w:rPr>
                            </w:pPr>
                            <w:r w:rsidRPr="00F56DB3">
                              <w:rPr>
                                <w:rFonts w:ascii="標楷體" w:eastAsia="標楷體" w:hAnsi="標楷體" w:hint="eastAsia"/>
                                <w:sz w:val="18"/>
                                <w:szCs w:val="18"/>
                              </w:rPr>
                              <w:t>資料來源：整理</w:t>
                            </w:r>
                            <w:r>
                              <w:rPr>
                                <w:rFonts w:ascii="標楷體" w:eastAsia="標楷體" w:hAnsi="標楷體" w:hint="eastAsia"/>
                                <w:sz w:val="18"/>
                                <w:szCs w:val="18"/>
                              </w:rPr>
                              <w:t>都市發展</w:t>
                            </w:r>
                            <w:r w:rsidRPr="00F56DB3">
                              <w:rPr>
                                <w:rFonts w:ascii="標楷體" w:eastAsia="標楷體" w:hAnsi="標楷體" w:hint="eastAsia"/>
                                <w:sz w:val="18"/>
                                <w:szCs w:val="18"/>
                              </w:rPr>
                              <w:t>局</w:t>
                            </w:r>
                            <w:r>
                              <w:rPr>
                                <w:rFonts w:ascii="標楷體" w:eastAsia="標楷體" w:hAnsi="標楷體" w:hint="eastAsia"/>
                                <w:sz w:val="18"/>
                                <w:szCs w:val="18"/>
                              </w:rPr>
                              <w:t>提供</w:t>
                            </w:r>
                            <w:r w:rsidRPr="00F56DB3">
                              <w:rPr>
                                <w:rFonts w:ascii="標楷體" w:eastAsia="標楷體" w:hAnsi="標楷體" w:hint="eastAsia"/>
                                <w:sz w:val="18"/>
                                <w:szCs w:val="18"/>
                              </w:rPr>
                              <w:t>資料。</w:t>
                            </w:r>
                          </w:p>
                        </w:tc>
                      </w:tr>
                    </w:tbl>
                    <w:p w14:paraId="67C17317" w14:textId="77777777" w:rsidR="00F1456A" w:rsidRPr="00375D8E" w:rsidRDefault="00F1456A" w:rsidP="00F1456A"/>
                  </w:txbxContent>
                </v:textbox>
                <w10:wrap type="square"/>
              </v:shape>
            </w:pict>
          </mc:Fallback>
        </mc:AlternateContent>
      </w:r>
      <w:r w:rsidRPr="00375D8E">
        <w:rPr>
          <w:rFonts w:ascii="標楷體" w:eastAsia="標楷體" w:hAnsi="標楷體" w:hint="eastAsia"/>
          <w:noProof/>
          <w:kern w:val="0"/>
          <w:szCs w:val="24"/>
        </w:rPr>
        <w:t>採購決標金額計算，或僅以工程預算扣除不包括之費用及稅捐計算，而未按其90％計算等，導致都市發展局核定該4案之監造服務費用合計2億1,120萬餘元，相較依規定計算之監造服務費用合計1億8,967萬餘元，溢計2,153萬餘元（表</w:t>
      </w:r>
      <w:r>
        <w:rPr>
          <w:rFonts w:ascii="標楷體" w:eastAsia="標楷體" w:hAnsi="標楷體"/>
          <w:noProof/>
          <w:kern w:val="0"/>
          <w:szCs w:val="24"/>
        </w:rPr>
        <w:t>3</w:t>
      </w:r>
      <w:r w:rsidRPr="00375D8E">
        <w:rPr>
          <w:rFonts w:ascii="標楷體" w:eastAsia="標楷體" w:hAnsi="標楷體" w:hint="eastAsia"/>
          <w:noProof/>
          <w:kern w:val="0"/>
          <w:szCs w:val="24"/>
        </w:rPr>
        <w:t>），經函請檢討改善。據復：該局已重新依約修正核算該4案監造服務費用，減列原溢計之2,153萬餘元，並扣抵技術服務廠商相關溢領金額；承辦人員對相關計費作業較未熟稔，已引以為鑑，後續於執行採購契約作業時，將更謹慎核對契約條文，確實審查核對契約中相關給付價金依據，並要求同仁確實複查核對，以避免類似情事再度發生。</w:t>
      </w:r>
    </w:p>
    <w:p w14:paraId="2E00964C" w14:textId="77777777" w:rsidR="00F1456A" w:rsidRPr="009708DA" w:rsidRDefault="00F1456A" w:rsidP="00F1456A">
      <w:pPr>
        <w:overflowPunct w:val="0"/>
        <w:snapToGrid w:val="0"/>
        <w:spacing w:beforeLines="30" w:before="108" w:afterLines="20" w:after="72" w:line="460" w:lineRule="exact"/>
        <w:ind w:firstLineChars="100" w:firstLine="280"/>
        <w:jc w:val="both"/>
        <w:rPr>
          <w:rFonts w:ascii="標楷體" w:eastAsia="標楷體"/>
          <w:b/>
          <w:sz w:val="28"/>
          <w:szCs w:val="28"/>
        </w:rPr>
      </w:pPr>
      <w:r>
        <w:rPr>
          <w:rFonts w:ascii="標楷體" w:eastAsia="標楷體" w:hint="eastAsia"/>
          <w:b/>
          <w:sz w:val="28"/>
          <w:szCs w:val="28"/>
        </w:rPr>
        <w:t>（四）</w:t>
      </w:r>
      <w:r w:rsidRPr="002D4952">
        <w:rPr>
          <w:rFonts w:ascii="標楷體" w:eastAsia="標楷體" w:hint="eastAsia"/>
          <w:b/>
          <w:sz w:val="28"/>
          <w:szCs w:val="28"/>
        </w:rPr>
        <w:t>為提升臺北市社會住宅存量，持續興建社會住宅以滿足民眾居住需求，惟工程採購之品質管理及驗收點交作業，</w:t>
      </w:r>
      <w:proofErr w:type="gramStart"/>
      <w:r w:rsidRPr="002D4952">
        <w:rPr>
          <w:rFonts w:ascii="標楷體" w:eastAsia="標楷體" w:hint="eastAsia"/>
          <w:b/>
          <w:sz w:val="28"/>
          <w:szCs w:val="28"/>
        </w:rPr>
        <w:t>間有契約</w:t>
      </w:r>
      <w:proofErr w:type="gramEnd"/>
      <w:r w:rsidRPr="002D4952">
        <w:rPr>
          <w:rFonts w:ascii="標楷體" w:eastAsia="標楷體" w:hint="eastAsia"/>
          <w:b/>
          <w:sz w:val="28"/>
          <w:szCs w:val="28"/>
        </w:rPr>
        <w:t>變更、機電系統測試運轉及接水作業未依規定期限辦理，及履約階段</w:t>
      </w:r>
      <w:proofErr w:type="gramStart"/>
      <w:r w:rsidRPr="002D4952">
        <w:rPr>
          <w:rFonts w:ascii="標楷體" w:eastAsia="標楷體" w:hint="eastAsia"/>
          <w:b/>
          <w:sz w:val="28"/>
          <w:szCs w:val="28"/>
        </w:rPr>
        <w:t>竣工圖提送</w:t>
      </w:r>
      <w:proofErr w:type="gramEnd"/>
      <w:r w:rsidRPr="002D4952">
        <w:rPr>
          <w:rFonts w:ascii="標楷體" w:eastAsia="標楷體" w:hint="eastAsia"/>
          <w:b/>
          <w:sz w:val="28"/>
          <w:szCs w:val="28"/>
        </w:rPr>
        <w:t>逾期等情事，</w:t>
      </w:r>
      <w:proofErr w:type="gramStart"/>
      <w:r w:rsidRPr="002D4952">
        <w:rPr>
          <w:rFonts w:ascii="標楷體" w:eastAsia="標楷體" w:hint="eastAsia"/>
          <w:b/>
          <w:sz w:val="28"/>
          <w:szCs w:val="28"/>
        </w:rPr>
        <w:t>均待檢討</w:t>
      </w:r>
      <w:proofErr w:type="gramEnd"/>
      <w:r w:rsidRPr="002D4952">
        <w:rPr>
          <w:rFonts w:ascii="標楷體" w:eastAsia="標楷體" w:hint="eastAsia"/>
          <w:b/>
          <w:sz w:val="28"/>
          <w:szCs w:val="28"/>
        </w:rPr>
        <w:t>改善</w:t>
      </w:r>
      <w:r>
        <w:rPr>
          <w:rFonts w:ascii="標楷體" w:eastAsia="標楷體" w:hint="eastAsia"/>
          <w:b/>
          <w:sz w:val="28"/>
          <w:szCs w:val="28"/>
        </w:rPr>
        <w:t>。</w:t>
      </w:r>
    </w:p>
    <w:p w14:paraId="447A37B2" w14:textId="77777777" w:rsidR="00F1456A" w:rsidRDefault="00F1456A" w:rsidP="00F1456A">
      <w:pPr>
        <w:spacing w:line="430" w:lineRule="exact"/>
        <w:ind w:firstLineChars="200" w:firstLine="480"/>
        <w:jc w:val="both"/>
        <w:rPr>
          <w:rFonts w:ascii="標楷體" w:eastAsia="標楷體" w:hAnsi="標楷體"/>
          <w:color w:val="000000" w:themeColor="text1"/>
        </w:rPr>
      </w:pPr>
      <w:r w:rsidRPr="002D4952">
        <w:rPr>
          <w:rFonts w:ascii="標楷體" w:eastAsia="標楷體" w:hAnsi="標楷體" w:hint="eastAsia"/>
          <w:color w:val="000000" w:themeColor="text1"/>
        </w:rPr>
        <w:t>都市發展局為提升臺北市社會住宅存量，近年來持續興建社會住宅以滿足民眾居住需求。依政府採購法（下稱採購法）第70條第1項規定：「機關辦理工程採購，應明訂廠商執行品質管理…</w:t>
      </w:r>
      <w:proofErr w:type="gramStart"/>
      <w:r w:rsidRPr="002D4952">
        <w:rPr>
          <w:rFonts w:ascii="標楷體" w:eastAsia="標楷體" w:hAnsi="標楷體" w:hint="eastAsia"/>
          <w:color w:val="000000" w:themeColor="text1"/>
        </w:rPr>
        <w:t>…</w:t>
      </w:r>
      <w:proofErr w:type="gramEnd"/>
      <w:r w:rsidRPr="002D4952">
        <w:rPr>
          <w:rFonts w:ascii="標楷體" w:eastAsia="標楷體" w:hAnsi="標楷體" w:hint="eastAsia"/>
          <w:color w:val="000000" w:themeColor="text1"/>
        </w:rPr>
        <w:t>之責任，並對重點項目訂定檢查程序及檢驗標準。」同條第2項規定：「機關於廠商履約過程，得辦理分段查驗，其結果並得供驗收之用。」另採購法第五章驗收專章第71條至第73條之1等條文，對於工程採購驗收、結果不符處理及付款審核等作業程序，</w:t>
      </w:r>
      <w:proofErr w:type="gramStart"/>
      <w:r w:rsidRPr="002D4952">
        <w:rPr>
          <w:rFonts w:ascii="標楷體" w:eastAsia="標楷體" w:hAnsi="標楷體" w:hint="eastAsia"/>
          <w:color w:val="000000" w:themeColor="text1"/>
        </w:rPr>
        <w:t>均有明確</w:t>
      </w:r>
      <w:proofErr w:type="gramEnd"/>
      <w:r w:rsidRPr="002D4952">
        <w:rPr>
          <w:rFonts w:ascii="標楷體" w:eastAsia="標楷體" w:hAnsi="標楷體" w:hint="eastAsia"/>
          <w:color w:val="000000" w:themeColor="text1"/>
        </w:rPr>
        <w:t>之規範。經查都</w:t>
      </w:r>
      <w:r>
        <w:rPr>
          <w:rFonts w:ascii="標楷體" w:eastAsia="標楷體" w:hAnsi="標楷體" w:hint="eastAsia"/>
          <w:color w:val="000000" w:themeColor="text1"/>
        </w:rPr>
        <w:t>市</w:t>
      </w:r>
      <w:r w:rsidRPr="002D4952">
        <w:rPr>
          <w:rFonts w:ascii="標楷體" w:eastAsia="標楷體" w:hAnsi="標楷體" w:hint="eastAsia"/>
          <w:color w:val="000000" w:themeColor="text1"/>
        </w:rPr>
        <w:t>發</w:t>
      </w:r>
      <w:r>
        <w:rPr>
          <w:rFonts w:ascii="標楷體" w:eastAsia="標楷體" w:hAnsi="標楷體" w:hint="eastAsia"/>
          <w:color w:val="000000" w:themeColor="text1"/>
        </w:rPr>
        <w:t>展</w:t>
      </w:r>
      <w:r w:rsidRPr="002D4952">
        <w:rPr>
          <w:rFonts w:ascii="標楷體" w:eastAsia="標楷體" w:hAnsi="標楷體" w:hint="eastAsia"/>
          <w:color w:val="000000" w:themeColor="text1"/>
        </w:rPr>
        <w:t>局</w:t>
      </w:r>
      <w:r w:rsidRPr="008B2C4A">
        <w:rPr>
          <w:rFonts w:ascii="標楷體" w:eastAsia="標楷體" w:hAnsi="標楷體" w:hint="eastAsia"/>
          <w:color w:val="000000" w:themeColor="text1"/>
          <w:spacing w:val="-4"/>
        </w:rPr>
        <w:t>111至113年間辦理「廣慈博愛園區整體開發計畫行政大樓第A標、社福大樓第B</w:t>
      </w:r>
      <w:proofErr w:type="gramStart"/>
      <w:r w:rsidRPr="008B2C4A">
        <w:rPr>
          <w:rFonts w:ascii="標楷體" w:eastAsia="標楷體" w:hAnsi="標楷體" w:hint="eastAsia"/>
          <w:color w:val="000000" w:themeColor="text1"/>
          <w:spacing w:val="-4"/>
        </w:rPr>
        <w:t>標統包</w:t>
      </w:r>
      <w:proofErr w:type="gramEnd"/>
      <w:r w:rsidRPr="008B2C4A">
        <w:rPr>
          <w:rFonts w:ascii="標楷體" w:eastAsia="標楷體" w:hAnsi="標楷體" w:hint="eastAsia"/>
          <w:color w:val="000000" w:themeColor="text1"/>
          <w:spacing w:val="-4"/>
        </w:rPr>
        <w:t>工程」（下稱廣慈AB標）等4案之工程品質管理及驗收點交作業情形，核有：1.廣慈AB標及「廣慈博愛園區整體開發計畫公共住宅第D</w:t>
      </w:r>
      <w:proofErr w:type="gramStart"/>
      <w:r w:rsidRPr="008B2C4A">
        <w:rPr>
          <w:rFonts w:ascii="標楷體" w:eastAsia="標楷體" w:hAnsi="標楷體" w:hint="eastAsia"/>
          <w:color w:val="000000" w:themeColor="text1"/>
          <w:spacing w:val="-4"/>
        </w:rPr>
        <w:t>標統包</w:t>
      </w:r>
      <w:proofErr w:type="gramEnd"/>
      <w:r w:rsidRPr="008B2C4A">
        <w:rPr>
          <w:rFonts w:ascii="標楷體" w:eastAsia="標楷體" w:hAnsi="標楷體" w:hint="eastAsia"/>
          <w:color w:val="000000" w:themeColor="text1"/>
          <w:spacing w:val="-4"/>
        </w:rPr>
        <w:t>工程」（下稱廣慈D標）等2案，工程竣工後仍有契約變更程序尚未完成，</w:t>
      </w:r>
      <w:proofErr w:type="gramStart"/>
      <w:r w:rsidRPr="008B2C4A">
        <w:rPr>
          <w:rFonts w:ascii="標楷體" w:eastAsia="標楷體" w:hAnsi="標楷體" w:hint="eastAsia"/>
          <w:color w:val="000000" w:themeColor="text1"/>
          <w:spacing w:val="-4"/>
        </w:rPr>
        <w:t>肇致初驗</w:t>
      </w:r>
      <w:proofErr w:type="gramEnd"/>
      <w:r w:rsidRPr="008B2C4A">
        <w:rPr>
          <w:rFonts w:ascii="標楷體" w:eastAsia="標楷體" w:hAnsi="標楷體" w:hint="eastAsia"/>
          <w:color w:val="000000" w:themeColor="text1"/>
          <w:spacing w:val="-4"/>
        </w:rPr>
        <w:t>合格後，未能依採購法施行細則第93條規定於20日內辦理驗收，影響驗收作業期程</w:t>
      </w:r>
      <w:r w:rsidRPr="002D4952">
        <w:rPr>
          <w:rFonts w:ascii="標楷體" w:eastAsia="標楷體" w:hAnsi="標楷體" w:hint="eastAsia"/>
          <w:color w:val="000000" w:themeColor="text1"/>
        </w:rPr>
        <w:t>；2.廣慈AB標及「臺北市內湖區河濱高中基地公共住宅統包工程」（下稱河濱高中基地標）等2案，契約規定機電系統應於竣工前20日完成試車、試運轉或試用測試程序及資料，承商實際均逾期完成；另河濱高中基地標契約規定應於取得使用執照後30日內完成水電裝接，而承商實際未依限完成接水作業，惟都</w:t>
      </w:r>
      <w:r>
        <w:rPr>
          <w:rFonts w:ascii="標楷體" w:eastAsia="標楷體" w:hAnsi="標楷體" w:hint="eastAsia"/>
          <w:color w:val="000000" w:themeColor="text1"/>
        </w:rPr>
        <w:t>市</w:t>
      </w:r>
      <w:r w:rsidRPr="002D4952">
        <w:rPr>
          <w:rFonts w:ascii="標楷體" w:eastAsia="標楷體" w:hAnsi="標楷體" w:hint="eastAsia"/>
          <w:color w:val="000000" w:themeColor="text1"/>
        </w:rPr>
        <w:t>發</w:t>
      </w:r>
      <w:r>
        <w:rPr>
          <w:rFonts w:ascii="標楷體" w:eastAsia="標楷體" w:hAnsi="標楷體" w:hint="eastAsia"/>
          <w:color w:val="000000" w:themeColor="text1"/>
        </w:rPr>
        <w:t>展</w:t>
      </w:r>
      <w:proofErr w:type="gramStart"/>
      <w:r w:rsidRPr="002D4952">
        <w:rPr>
          <w:rFonts w:ascii="標楷體" w:eastAsia="標楷體" w:hAnsi="標楷體" w:hint="eastAsia"/>
          <w:color w:val="000000" w:themeColor="text1"/>
        </w:rPr>
        <w:t>局均未依約</w:t>
      </w:r>
      <w:proofErr w:type="gramEnd"/>
      <w:r w:rsidRPr="002D4952">
        <w:rPr>
          <w:rFonts w:ascii="標楷體" w:eastAsia="標楷體" w:hAnsi="標楷體" w:hint="eastAsia"/>
          <w:color w:val="000000" w:themeColor="text1"/>
        </w:rPr>
        <w:t>檢討承商逾期責任；3.河濱高中基地標及「臺北市文山區華興公共住宅統包工程」（下稱華興公宅標）等2案，契約規定承商應於工程累計實際進度達80％當月之次月底前提送履約階段竣工圖，部分工項承商未依契約</w:t>
      </w:r>
    </w:p>
    <w:p w14:paraId="6792B9CC" w14:textId="561BCEB7" w:rsidR="00F1456A" w:rsidRPr="009416A1" w:rsidRDefault="00F1456A" w:rsidP="00F1456A">
      <w:pPr>
        <w:spacing w:line="420" w:lineRule="exact"/>
        <w:jc w:val="both"/>
        <w:rPr>
          <w:rFonts w:ascii="標楷體" w:eastAsia="標楷體" w:hAnsi="標楷體"/>
          <w:color w:val="000000" w:themeColor="text1"/>
        </w:rPr>
      </w:pPr>
      <w:r>
        <w:rPr>
          <w:rFonts w:ascii="標楷體" w:eastAsia="標楷體" w:hAnsi="標楷體" w:hint="eastAsia"/>
          <w:noProof/>
          <w:color w:val="000000" w:themeColor="text1"/>
        </w:rPr>
        <w:lastRenderedPageBreak/>
        <mc:AlternateContent>
          <mc:Choice Requires="wps">
            <w:drawing>
              <wp:anchor distT="45720" distB="45720" distL="114300" distR="114300" simplePos="0" relativeHeight="251824128" behindDoc="0" locked="0" layoutInCell="1" allowOverlap="1" wp14:anchorId="287F18C9" wp14:editId="3B214737">
                <wp:simplePos x="0" y="0"/>
                <wp:positionH relativeFrom="column">
                  <wp:posOffset>1838325</wp:posOffset>
                </wp:positionH>
                <wp:positionV relativeFrom="paragraph">
                  <wp:posOffset>87259</wp:posOffset>
                </wp:positionV>
                <wp:extent cx="4467225" cy="2177415"/>
                <wp:effectExtent l="0" t="0" r="9525" b="8255"/>
                <wp:wrapSquare wrapText="bothSides"/>
                <wp:docPr id="927419591" name="文字方塊 927419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7225" cy="2177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276A6CC" w14:textId="7A113A61" w:rsidR="00F1456A" w:rsidRDefault="00F1456A" w:rsidP="00F1456A">
                            <w:pPr>
                              <w:pStyle w:val="a4"/>
                              <w:overflowPunct w:val="0"/>
                              <w:snapToGrid w:val="0"/>
                              <w:spacing w:line="220" w:lineRule="exact"/>
                              <w:ind w:leftChars="0" w:left="0"/>
                              <w:jc w:val="center"/>
                              <w:rPr>
                                <w:rFonts w:ascii="標楷體" w:eastAsia="標楷體" w:hAnsi="標楷體"/>
                                <w:b/>
                              </w:rPr>
                            </w:pPr>
                            <w:r w:rsidRPr="00891329">
                              <w:rPr>
                                <w:rFonts w:ascii="標楷體" w:eastAsia="標楷體" w:hAnsi="標楷體" w:hint="eastAsia"/>
                                <w:b/>
                              </w:rPr>
                              <w:t>表</w:t>
                            </w:r>
                            <w:r>
                              <w:rPr>
                                <w:rFonts w:ascii="標楷體" w:eastAsia="標楷體" w:hAnsi="標楷體" w:hint="eastAsia"/>
                                <w:b/>
                              </w:rPr>
                              <w:t>4</w:t>
                            </w:r>
                            <w:r w:rsidR="005D009F">
                              <w:rPr>
                                <w:rFonts w:ascii="標楷體" w:eastAsia="標楷體" w:hAnsi="標楷體" w:hint="eastAsia"/>
                                <w:b/>
                              </w:rPr>
                              <w:t xml:space="preserve">　</w:t>
                            </w:r>
                            <w:r>
                              <w:rPr>
                                <w:rFonts w:ascii="標楷體" w:eastAsia="標楷體" w:hAnsi="標楷體" w:hint="eastAsia"/>
                                <w:b/>
                              </w:rPr>
                              <w:t>抽查</w:t>
                            </w:r>
                            <w:r w:rsidRPr="00653B29">
                              <w:rPr>
                                <w:rFonts w:ascii="標楷體" w:eastAsia="標楷體" w:hAnsi="標楷體" w:hint="eastAsia"/>
                                <w:b/>
                              </w:rPr>
                              <w:t>案件</w:t>
                            </w:r>
                            <w:r>
                              <w:rPr>
                                <w:rFonts w:ascii="標楷體" w:eastAsia="標楷體" w:hAnsi="標楷體" w:hint="eastAsia"/>
                                <w:b/>
                              </w:rPr>
                              <w:t>之工程品質管理及驗收</w:t>
                            </w:r>
                            <w:proofErr w:type="gramStart"/>
                            <w:r>
                              <w:rPr>
                                <w:rFonts w:ascii="標楷體" w:eastAsia="標楷體" w:hAnsi="標楷體" w:hint="eastAsia"/>
                                <w:b/>
                              </w:rPr>
                              <w:t>點交</w:t>
                            </w:r>
                            <w:r>
                              <w:rPr>
                                <w:rFonts w:ascii="標楷體" w:eastAsia="標楷體" w:hAnsi="標楷體" w:hint="eastAsia"/>
                                <w:b/>
                                <w:spacing w:val="-10"/>
                              </w:rPr>
                              <w:t>缺失態</w:t>
                            </w:r>
                            <w:proofErr w:type="gramEnd"/>
                            <w:r>
                              <w:rPr>
                                <w:rFonts w:ascii="標楷體" w:eastAsia="標楷體" w:hAnsi="標楷體" w:hint="eastAsia"/>
                                <w:b/>
                                <w:spacing w:val="-10"/>
                              </w:rPr>
                              <w:t>樣</w:t>
                            </w:r>
                          </w:p>
                          <w:p w14:paraId="4CE9D393" w14:textId="77777777" w:rsidR="00F1456A" w:rsidRDefault="00F1456A" w:rsidP="00F1456A">
                            <w:pPr>
                              <w:spacing w:line="220" w:lineRule="exact"/>
                              <w:jc w:val="right"/>
                            </w:pPr>
                            <w:r w:rsidRPr="00803857">
                              <w:rPr>
                                <w:rFonts w:ascii="標楷體" w:eastAsia="標楷體" w:hAnsi="標楷體" w:cs="標楷體" w:hint="eastAsia"/>
                                <w:sz w:val="20"/>
                              </w:rPr>
                              <w:t>單位：新臺幣千元</w:t>
                            </w:r>
                          </w:p>
                          <w:tbl>
                            <w:tblPr>
                              <w:tblStyle w:val="21"/>
                              <w:tblW w:w="6799" w:type="dxa"/>
                              <w:tblInd w:w="0" w:type="dxa"/>
                              <w:tblLayout w:type="fixed"/>
                              <w:tblLook w:val="04A0" w:firstRow="1" w:lastRow="0" w:firstColumn="1" w:lastColumn="0" w:noHBand="0" w:noVBand="1"/>
                            </w:tblPr>
                            <w:tblGrid>
                              <w:gridCol w:w="426"/>
                              <w:gridCol w:w="1275"/>
                              <w:gridCol w:w="1276"/>
                              <w:gridCol w:w="987"/>
                              <w:gridCol w:w="993"/>
                              <w:gridCol w:w="850"/>
                              <w:gridCol w:w="992"/>
                            </w:tblGrid>
                            <w:tr w:rsidR="00F1456A" w:rsidRPr="00F82E8D" w14:paraId="0BB3C87F" w14:textId="77777777" w:rsidTr="00B47AB9">
                              <w:trPr>
                                <w:trHeight w:val="253"/>
                              </w:trPr>
                              <w:tc>
                                <w:tcPr>
                                  <w:tcW w:w="426" w:type="dxa"/>
                                  <w:vMerge w:val="restart"/>
                                  <w:shd w:val="clear" w:color="auto" w:fill="auto"/>
                                  <w:vAlign w:val="center"/>
                                </w:tcPr>
                                <w:p w14:paraId="416684CB" w14:textId="77777777" w:rsidR="00F1456A" w:rsidRPr="00F56DB3" w:rsidRDefault="00F1456A" w:rsidP="00696621">
                                  <w:pPr>
                                    <w:kinsoku w:val="0"/>
                                    <w:overflowPunct w:val="0"/>
                                    <w:autoSpaceDE w:val="0"/>
                                    <w:autoSpaceDN w:val="0"/>
                                    <w:spacing w:line="240" w:lineRule="exact"/>
                                    <w:jc w:val="center"/>
                                    <w:textAlignment w:val="center"/>
                                    <w:rPr>
                                      <w:rFonts w:ascii="標楷體" w:eastAsia="標楷體" w:hAnsi="標楷體"/>
                                    </w:rPr>
                                  </w:pPr>
                                  <w:r w:rsidRPr="00F56DB3">
                                    <w:rPr>
                                      <w:rFonts w:ascii="標楷體" w:eastAsia="標楷體" w:hAnsi="標楷體" w:hint="eastAsia"/>
                                    </w:rPr>
                                    <w:t>項次</w:t>
                                  </w:r>
                                </w:p>
                              </w:tc>
                              <w:tc>
                                <w:tcPr>
                                  <w:tcW w:w="1275" w:type="dxa"/>
                                  <w:vMerge w:val="restart"/>
                                  <w:shd w:val="clear" w:color="auto" w:fill="auto"/>
                                  <w:vAlign w:val="center"/>
                                </w:tcPr>
                                <w:p w14:paraId="15014A26" w14:textId="77777777" w:rsidR="00F1456A" w:rsidRPr="00F56DB3" w:rsidRDefault="00F1456A" w:rsidP="00696621">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案件名稱</w:t>
                                  </w:r>
                                </w:p>
                              </w:tc>
                              <w:tc>
                                <w:tcPr>
                                  <w:tcW w:w="1276" w:type="dxa"/>
                                  <w:vMerge w:val="restart"/>
                                  <w:vAlign w:val="center"/>
                                </w:tcPr>
                                <w:p w14:paraId="6D864495" w14:textId="77777777" w:rsidR="00F1456A" w:rsidRDefault="00F1456A" w:rsidP="00696621">
                                  <w:pPr>
                                    <w:kinsoku w:val="0"/>
                                    <w:overflowPunct w:val="0"/>
                                    <w:autoSpaceDE w:val="0"/>
                                    <w:autoSpaceDN w:val="0"/>
                                    <w:spacing w:line="240" w:lineRule="exact"/>
                                    <w:jc w:val="center"/>
                                    <w:textAlignment w:val="center"/>
                                    <w:rPr>
                                      <w:rFonts w:ascii="標楷體" w:eastAsia="標楷體" w:hAnsi="標楷體"/>
                                    </w:rPr>
                                  </w:pPr>
                                  <w:r w:rsidRPr="00653B29">
                                    <w:rPr>
                                      <w:rFonts w:ascii="標楷體" w:eastAsia="標楷體" w:hAnsi="標楷體" w:hint="eastAsia"/>
                                      <w:color w:val="000000"/>
                                    </w:rPr>
                                    <w:t>契約金額</w:t>
                                  </w:r>
                                </w:p>
                              </w:tc>
                              <w:tc>
                                <w:tcPr>
                                  <w:tcW w:w="3822" w:type="dxa"/>
                                  <w:gridSpan w:val="4"/>
                                </w:tcPr>
                                <w:p w14:paraId="5301EB7C" w14:textId="77777777" w:rsidR="00F1456A" w:rsidRDefault="00F1456A" w:rsidP="00696621">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缺失態樣</w:t>
                                  </w:r>
                                </w:p>
                              </w:tc>
                            </w:tr>
                            <w:tr w:rsidR="00F1456A" w:rsidRPr="00F82E8D" w14:paraId="39F336B0" w14:textId="77777777" w:rsidTr="00B47AB9">
                              <w:trPr>
                                <w:trHeight w:val="224"/>
                              </w:trPr>
                              <w:tc>
                                <w:tcPr>
                                  <w:tcW w:w="426" w:type="dxa"/>
                                  <w:vMerge/>
                                  <w:shd w:val="clear" w:color="auto" w:fill="auto"/>
                                  <w:vAlign w:val="center"/>
                                </w:tcPr>
                                <w:p w14:paraId="0B1F5874" w14:textId="77777777" w:rsidR="00F1456A" w:rsidRPr="00F56DB3" w:rsidRDefault="00F1456A" w:rsidP="00696621">
                                  <w:pPr>
                                    <w:kinsoku w:val="0"/>
                                    <w:overflowPunct w:val="0"/>
                                    <w:autoSpaceDE w:val="0"/>
                                    <w:autoSpaceDN w:val="0"/>
                                    <w:spacing w:line="240" w:lineRule="exact"/>
                                    <w:jc w:val="center"/>
                                    <w:textAlignment w:val="center"/>
                                    <w:rPr>
                                      <w:rFonts w:ascii="標楷體" w:eastAsia="標楷體" w:hAnsi="標楷體"/>
                                    </w:rPr>
                                  </w:pPr>
                                </w:p>
                              </w:tc>
                              <w:tc>
                                <w:tcPr>
                                  <w:tcW w:w="1275" w:type="dxa"/>
                                  <w:vMerge/>
                                  <w:shd w:val="clear" w:color="auto" w:fill="auto"/>
                                  <w:vAlign w:val="center"/>
                                </w:tcPr>
                                <w:p w14:paraId="4C9102FA" w14:textId="77777777" w:rsidR="00F1456A" w:rsidRDefault="00F1456A" w:rsidP="00696621">
                                  <w:pPr>
                                    <w:kinsoku w:val="0"/>
                                    <w:overflowPunct w:val="0"/>
                                    <w:autoSpaceDE w:val="0"/>
                                    <w:autoSpaceDN w:val="0"/>
                                    <w:spacing w:line="240" w:lineRule="exact"/>
                                    <w:jc w:val="center"/>
                                    <w:textAlignment w:val="center"/>
                                    <w:rPr>
                                      <w:rFonts w:ascii="標楷體" w:eastAsia="標楷體" w:hAnsi="標楷體"/>
                                    </w:rPr>
                                  </w:pPr>
                                </w:p>
                              </w:tc>
                              <w:tc>
                                <w:tcPr>
                                  <w:tcW w:w="1276" w:type="dxa"/>
                                  <w:vMerge/>
                                </w:tcPr>
                                <w:p w14:paraId="722C0A6F" w14:textId="77777777" w:rsidR="00F1456A" w:rsidRDefault="00F1456A" w:rsidP="00696621">
                                  <w:pPr>
                                    <w:kinsoku w:val="0"/>
                                    <w:overflowPunct w:val="0"/>
                                    <w:autoSpaceDE w:val="0"/>
                                    <w:autoSpaceDN w:val="0"/>
                                    <w:spacing w:line="240" w:lineRule="exact"/>
                                    <w:jc w:val="center"/>
                                    <w:textAlignment w:val="center"/>
                                    <w:rPr>
                                      <w:rFonts w:ascii="標楷體" w:eastAsia="標楷體" w:hAnsi="標楷體"/>
                                    </w:rPr>
                                  </w:pPr>
                                </w:p>
                              </w:tc>
                              <w:tc>
                                <w:tcPr>
                                  <w:tcW w:w="987" w:type="dxa"/>
                                  <w:tcBorders>
                                    <w:bottom w:val="single" w:sz="4" w:space="0" w:color="auto"/>
                                  </w:tcBorders>
                                  <w:vAlign w:val="center"/>
                                </w:tcPr>
                                <w:p w14:paraId="1E992775" w14:textId="77777777" w:rsidR="00F1456A" w:rsidRDefault="00F1456A" w:rsidP="00B47AB9">
                                  <w:pPr>
                                    <w:kinsoku w:val="0"/>
                                    <w:overflowPunct w:val="0"/>
                                    <w:autoSpaceDE w:val="0"/>
                                    <w:autoSpaceDN w:val="0"/>
                                    <w:spacing w:line="240" w:lineRule="exact"/>
                                    <w:ind w:leftChars="-30" w:left="-72" w:rightChars="-20" w:right="-48"/>
                                    <w:jc w:val="center"/>
                                    <w:textAlignment w:val="center"/>
                                    <w:rPr>
                                      <w:rFonts w:ascii="標楷體" w:eastAsia="標楷體" w:hAnsi="標楷體"/>
                                    </w:rPr>
                                  </w:pPr>
                                  <w:r>
                                    <w:rPr>
                                      <w:rFonts w:ascii="標楷體" w:eastAsia="標楷體" w:hAnsi="標楷體" w:hint="eastAsia"/>
                                    </w:rPr>
                                    <w:t>延宕辦理契約變更程序</w:t>
                                  </w:r>
                                </w:p>
                              </w:tc>
                              <w:tc>
                                <w:tcPr>
                                  <w:tcW w:w="993" w:type="dxa"/>
                                  <w:tcBorders>
                                    <w:bottom w:val="single" w:sz="4" w:space="0" w:color="auto"/>
                                  </w:tcBorders>
                                  <w:vAlign w:val="center"/>
                                </w:tcPr>
                                <w:p w14:paraId="748B72F7" w14:textId="77777777" w:rsidR="00F1456A" w:rsidRDefault="00F1456A" w:rsidP="00B47AB9">
                                  <w:pPr>
                                    <w:kinsoku w:val="0"/>
                                    <w:overflowPunct w:val="0"/>
                                    <w:autoSpaceDE w:val="0"/>
                                    <w:autoSpaceDN w:val="0"/>
                                    <w:spacing w:line="240" w:lineRule="exact"/>
                                    <w:ind w:leftChars="-30" w:left="-72" w:rightChars="-20" w:right="-48"/>
                                    <w:jc w:val="center"/>
                                    <w:textAlignment w:val="center"/>
                                    <w:rPr>
                                      <w:rFonts w:ascii="標楷體" w:eastAsia="標楷體" w:hAnsi="標楷體"/>
                                    </w:rPr>
                                  </w:pPr>
                                  <w:r>
                                    <w:rPr>
                                      <w:rFonts w:ascii="標楷體" w:eastAsia="標楷體" w:hAnsi="標楷體" w:hint="eastAsia"/>
                                    </w:rPr>
                                    <w:t>機電系統</w:t>
                                  </w:r>
                                  <w:r w:rsidRPr="00653FE7">
                                    <w:rPr>
                                      <w:rFonts w:ascii="標楷體" w:eastAsia="標楷體" w:hAnsi="標楷體" w:hint="eastAsia"/>
                                    </w:rPr>
                                    <w:t>測試運轉</w:t>
                                  </w:r>
                                  <w:r>
                                    <w:rPr>
                                      <w:rFonts w:ascii="標楷體" w:eastAsia="標楷體" w:hAnsi="標楷體" w:hint="eastAsia"/>
                                    </w:rPr>
                                    <w:t>資料逾期完成</w:t>
                                  </w:r>
                                </w:p>
                              </w:tc>
                              <w:tc>
                                <w:tcPr>
                                  <w:tcW w:w="850" w:type="dxa"/>
                                  <w:tcBorders>
                                    <w:bottom w:val="single" w:sz="4" w:space="0" w:color="auto"/>
                                  </w:tcBorders>
                                  <w:vAlign w:val="center"/>
                                </w:tcPr>
                                <w:p w14:paraId="24C6682A" w14:textId="77777777" w:rsidR="00F1456A" w:rsidRDefault="00F1456A" w:rsidP="00B47AB9">
                                  <w:pPr>
                                    <w:kinsoku w:val="0"/>
                                    <w:overflowPunct w:val="0"/>
                                    <w:autoSpaceDE w:val="0"/>
                                    <w:autoSpaceDN w:val="0"/>
                                    <w:spacing w:line="240" w:lineRule="exact"/>
                                    <w:ind w:leftChars="-30" w:left="-72" w:rightChars="-20" w:right="-48"/>
                                    <w:jc w:val="center"/>
                                    <w:textAlignment w:val="center"/>
                                    <w:rPr>
                                      <w:rFonts w:ascii="標楷體" w:eastAsia="標楷體" w:hAnsi="標楷體"/>
                                    </w:rPr>
                                  </w:pPr>
                                  <w:r>
                                    <w:rPr>
                                      <w:rFonts w:ascii="標楷體" w:eastAsia="標楷體" w:hAnsi="標楷體" w:hint="eastAsia"/>
                                    </w:rPr>
                                    <w:t>接水作業逾期完成</w:t>
                                  </w:r>
                                </w:p>
                              </w:tc>
                              <w:tc>
                                <w:tcPr>
                                  <w:tcW w:w="992" w:type="dxa"/>
                                  <w:tcBorders>
                                    <w:bottom w:val="single" w:sz="4" w:space="0" w:color="auto"/>
                                  </w:tcBorders>
                                  <w:vAlign w:val="center"/>
                                </w:tcPr>
                                <w:p w14:paraId="6A96E59A" w14:textId="77777777" w:rsidR="00F1456A" w:rsidRDefault="00F1456A" w:rsidP="00B47AB9">
                                  <w:pPr>
                                    <w:kinsoku w:val="0"/>
                                    <w:overflowPunct w:val="0"/>
                                    <w:autoSpaceDE w:val="0"/>
                                    <w:autoSpaceDN w:val="0"/>
                                    <w:spacing w:line="240" w:lineRule="exact"/>
                                    <w:ind w:leftChars="-30" w:left="-72" w:rightChars="-20" w:right="-48"/>
                                    <w:jc w:val="center"/>
                                    <w:textAlignment w:val="center"/>
                                    <w:rPr>
                                      <w:rFonts w:ascii="標楷體" w:eastAsia="標楷體" w:hAnsi="標楷體"/>
                                    </w:rPr>
                                  </w:pPr>
                                  <w:r>
                                    <w:rPr>
                                      <w:rFonts w:ascii="標楷體" w:eastAsia="標楷體" w:hAnsi="標楷體" w:hint="eastAsia"/>
                                    </w:rPr>
                                    <w:t>履約階段竣工圖逾期提送</w:t>
                                  </w:r>
                                </w:p>
                              </w:tc>
                            </w:tr>
                            <w:tr w:rsidR="00F1456A" w:rsidRPr="00F82E8D" w14:paraId="193FAE82" w14:textId="77777777" w:rsidTr="00B47AB9">
                              <w:tc>
                                <w:tcPr>
                                  <w:tcW w:w="1701" w:type="dxa"/>
                                  <w:gridSpan w:val="2"/>
                                  <w:vAlign w:val="center"/>
                                </w:tcPr>
                                <w:p w14:paraId="4285CD70" w14:textId="77777777" w:rsidR="00F1456A" w:rsidRPr="00691ED0" w:rsidRDefault="00F1456A" w:rsidP="00696621">
                                  <w:pPr>
                                    <w:kinsoku w:val="0"/>
                                    <w:overflowPunct w:val="0"/>
                                    <w:autoSpaceDE w:val="0"/>
                                    <w:autoSpaceDN w:val="0"/>
                                    <w:spacing w:line="240" w:lineRule="exact"/>
                                    <w:jc w:val="center"/>
                                    <w:textAlignment w:val="center"/>
                                    <w:rPr>
                                      <w:rFonts w:ascii="標楷體" w:eastAsia="標楷體" w:hAnsi="標楷體"/>
                                      <w:b/>
                                      <w:bCs/>
                                    </w:rPr>
                                  </w:pPr>
                                  <w:r w:rsidRPr="00691ED0">
                                    <w:rPr>
                                      <w:rFonts w:ascii="標楷體" w:eastAsia="標楷體" w:hAnsi="標楷體" w:hint="eastAsia"/>
                                      <w:b/>
                                      <w:bCs/>
                                    </w:rPr>
                                    <w:t>合計</w:t>
                                  </w:r>
                                </w:p>
                              </w:tc>
                              <w:tc>
                                <w:tcPr>
                                  <w:tcW w:w="1276" w:type="dxa"/>
                                  <w:vAlign w:val="center"/>
                                </w:tcPr>
                                <w:p w14:paraId="222710D0" w14:textId="77777777" w:rsidR="00F1456A" w:rsidRPr="00691ED0" w:rsidRDefault="00F1456A" w:rsidP="00696621">
                                  <w:pPr>
                                    <w:kinsoku w:val="0"/>
                                    <w:overflowPunct w:val="0"/>
                                    <w:autoSpaceDE w:val="0"/>
                                    <w:autoSpaceDN w:val="0"/>
                                    <w:spacing w:line="240" w:lineRule="exact"/>
                                    <w:jc w:val="right"/>
                                    <w:textAlignment w:val="center"/>
                                    <w:rPr>
                                      <w:rFonts w:ascii="標楷體" w:eastAsia="標楷體" w:hAnsi="標楷體"/>
                                      <w:b/>
                                      <w:bCs/>
                                      <w:color w:val="FF0000"/>
                                    </w:rPr>
                                  </w:pPr>
                                  <w:r w:rsidRPr="00691ED0">
                                    <w:rPr>
                                      <w:rFonts w:ascii="標楷體" w:eastAsia="標楷體" w:hAnsi="標楷體"/>
                                      <w:b/>
                                      <w:bCs/>
                                      <w:color w:val="000000" w:themeColor="text1"/>
                                    </w:rPr>
                                    <w:t>11,335,138</w:t>
                                  </w:r>
                                </w:p>
                              </w:tc>
                              <w:tc>
                                <w:tcPr>
                                  <w:tcW w:w="3822" w:type="dxa"/>
                                  <w:gridSpan w:val="4"/>
                                  <w:tcBorders>
                                    <w:tl2br w:val="single" w:sz="4" w:space="0" w:color="auto"/>
                                  </w:tcBorders>
                                </w:tcPr>
                                <w:p w14:paraId="4FBCCE35" w14:textId="77777777" w:rsidR="00F1456A" w:rsidRPr="00B65FED" w:rsidRDefault="00F1456A" w:rsidP="00696621">
                                  <w:pPr>
                                    <w:kinsoku w:val="0"/>
                                    <w:overflowPunct w:val="0"/>
                                    <w:autoSpaceDE w:val="0"/>
                                    <w:autoSpaceDN w:val="0"/>
                                    <w:spacing w:line="240" w:lineRule="exact"/>
                                    <w:jc w:val="center"/>
                                    <w:textAlignment w:val="center"/>
                                    <w:rPr>
                                      <w:rFonts w:ascii="標楷體" w:eastAsia="標楷體" w:hAnsi="標楷體"/>
                                    </w:rPr>
                                  </w:pPr>
                                </w:p>
                              </w:tc>
                            </w:tr>
                            <w:tr w:rsidR="00F1456A" w:rsidRPr="00F82E8D" w14:paraId="71480254" w14:textId="77777777" w:rsidTr="00B47AB9">
                              <w:tc>
                                <w:tcPr>
                                  <w:tcW w:w="426" w:type="dxa"/>
                                  <w:vAlign w:val="center"/>
                                </w:tcPr>
                                <w:p w14:paraId="3B16703E" w14:textId="77777777" w:rsidR="00F1456A" w:rsidRPr="00651B97" w:rsidRDefault="00F1456A" w:rsidP="00696621">
                                  <w:pPr>
                                    <w:kinsoku w:val="0"/>
                                    <w:overflowPunct w:val="0"/>
                                    <w:autoSpaceDE w:val="0"/>
                                    <w:autoSpaceDN w:val="0"/>
                                    <w:spacing w:line="240" w:lineRule="exact"/>
                                    <w:jc w:val="center"/>
                                    <w:textAlignment w:val="center"/>
                                    <w:rPr>
                                      <w:rFonts w:ascii="標楷體" w:eastAsia="標楷體" w:hAnsi="標楷體"/>
                                    </w:rPr>
                                  </w:pPr>
                                  <w:r w:rsidRPr="00651B97">
                                    <w:rPr>
                                      <w:rFonts w:ascii="標楷體" w:eastAsia="標楷體" w:hAnsi="標楷體" w:hint="eastAsia"/>
                                    </w:rPr>
                                    <w:t>1</w:t>
                                  </w:r>
                                </w:p>
                              </w:tc>
                              <w:tc>
                                <w:tcPr>
                                  <w:tcW w:w="1275" w:type="dxa"/>
                                  <w:vAlign w:val="center"/>
                                </w:tcPr>
                                <w:p w14:paraId="66DCCB25" w14:textId="77777777" w:rsidR="00F1456A" w:rsidRPr="00651B97" w:rsidRDefault="00F1456A" w:rsidP="00696621">
                                  <w:pPr>
                                    <w:kinsoku w:val="0"/>
                                    <w:overflowPunct w:val="0"/>
                                    <w:autoSpaceDE w:val="0"/>
                                    <w:autoSpaceDN w:val="0"/>
                                    <w:spacing w:line="240" w:lineRule="exact"/>
                                    <w:jc w:val="both"/>
                                    <w:textAlignment w:val="center"/>
                                    <w:rPr>
                                      <w:rFonts w:ascii="標楷體" w:eastAsia="標楷體" w:hAnsi="標楷體"/>
                                    </w:rPr>
                                  </w:pPr>
                                  <w:r w:rsidRPr="00651B97">
                                    <w:rPr>
                                      <w:rFonts w:ascii="標楷體" w:eastAsia="標楷體" w:hAnsi="標楷體" w:hint="eastAsia"/>
                                    </w:rPr>
                                    <w:t>廣慈AB標</w:t>
                                  </w:r>
                                </w:p>
                              </w:tc>
                              <w:tc>
                                <w:tcPr>
                                  <w:tcW w:w="1276" w:type="dxa"/>
                                  <w:vAlign w:val="center"/>
                                </w:tcPr>
                                <w:p w14:paraId="3F6A355D" w14:textId="77777777" w:rsidR="00F1456A" w:rsidRPr="008343A2" w:rsidRDefault="00F1456A" w:rsidP="00696621">
                                  <w:pPr>
                                    <w:kinsoku w:val="0"/>
                                    <w:overflowPunct w:val="0"/>
                                    <w:autoSpaceDE w:val="0"/>
                                    <w:autoSpaceDN w:val="0"/>
                                    <w:spacing w:line="240" w:lineRule="exact"/>
                                    <w:jc w:val="right"/>
                                    <w:textAlignment w:val="center"/>
                                    <w:rPr>
                                      <w:rFonts w:ascii="標楷體" w:eastAsia="標楷體" w:hAnsi="標楷體"/>
                                      <w:color w:val="FF0000"/>
                                    </w:rPr>
                                  </w:pPr>
                                  <w:r>
                                    <w:rPr>
                                      <w:rFonts w:ascii="標楷體" w:eastAsia="標楷體" w:hAnsi="標楷體" w:hint="eastAsia"/>
                                      <w:color w:val="000000"/>
                                    </w:rPr>
                                    <w:t>4</w:t>
                                  </w:r>
                                  <w:r>
                                    <w:rPr>
                                      <w:rFonts w:ascii="標楷體" w:eastAsia="標楷體" w:hAnsi="標楷體"/>
                                      <w:color w:val="000000"/>
                                    </w:rPr>
                                    <w:t>,468,800</w:t>
                                  </w:r>
                                </w:p>
                              </w:tc>
                              <w:tc>
                                <w:tcPr>
                                  <w:tcW w:w="987" w:type="dxa"/>
                                  <w:vAlign w:val="center"/>
                                </w:tcPr>
                                <w:p w14:paraId="688E1257"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r w:rsidRPr="008343A2">
                                    <w:rPr>
                                      <w:rFonts w:ascii="MS Gothic" w:eastAsia="MS Gothic" w:hAnsi="MS Gothic" w:cs="MS Gothic" w:hint="eastAsia"/>
                                      <w:shd w:val="clear" w:color="auto" w:fill="FFFFFF"/>
                                    </w:rPr>
                                    <w:t>✓</w:t>
                                  </w:r>
                                </w:p>
                              </w:tc>
                              <w:tc>
                                <w:tcPr>
                                  <w:tcW w:w="993" w:type="dxa"/>
                                  <w:vAlign w:val="center"/>
                                </w:tcPr>
                                <w:p w14:paraId="2D62807A"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r w:rsidRPr="008343A2">
                                    <w:rPr>
                                      <w:rFonts w:ascii="MS Gothic" w:eastAsia="MS Gothic" w:hAnsi="MS Gothic" w:cs="MS Gothic" w:hint="eastAsia"/>
                                      <w:shd w:val="clear" w:color="auto" w:fill="FFFFFF"/>
                                    </w:rPr>
                                    <w:t>✓</w:t>
                                  </w:r>
                                </w:p>
                              </w:tc>
                              <w:tc>
                                <w:tcPr>
                                  <w:tcW w:w="850" w:type="dxa"/>
                                  <w:vAlign w:val="center"/>
                                </w:tcPr>
                                <w:p w14:paraId="36E79F3D"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p>
                              </w:tc>
                              <w:tc>
                                <w:tcPr>
                                  <w:tcW w:w="992" w:type="dxa"/>
                                  <w:vAlign w:val="center"/>
                                </w:tcPr>
                                <w:p w14:paraId="6ED4B59C"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p>
                              </w:tc>
                            </w:tr>
                            <w:tr w:rsidR="00F1456A" w:rsidRPr="00F82E8D" w14:paraId="38B18652" w14:textId="77777777" w:rsidTr="00B47AB9">
                              <w:tc>
                                <w:tcPr>
                                  <w:tcW w:w="426" w:type="dxa"/>
                                  <w:vAlign w:val="center"/>
                                </w:tcPr>
                                <w:p w14:paraId="728E36A4" w14:textId="77777777" w:rsidR="00F1456A" w:rsidRPr="00651B97" w:rsidRDefault="00F1456A" w:rsidP="00696621">
                                  <w:pPr>
                                    <w:kinsoku w:val="0"/>
                                    <w:overflowPunct w:val="0"/>
                                    <w:autoSpaceDE w:val="0"/>
                                    <w:autoSpaceDN w:val="0"/>
                                    <w:spacing w:line="240" w:lineRule="exact"/>
                                    <w:jc w:val="center"/>
                                    <w:textAlignment w:val="center"/>
                                    <w:rPr>
                                      <w:rFonts w:ascii="標楷體" w:eastAsia="標楷體" w:hAnsi="標楷體"/>
                                    </w:rPr>
                                  </w:pPr>
                                  <w:r w:rsidRPr="00651B97">
                                    <w:rPr>
                                      <w:rFonts w:ascii="標楷體" w:eastAsia="標楷體" w:hAnsi="標楷體" w:hint="eastAsia"/>
                                    </w:rPr>
                                    <w:t>2</w:t>
                                  </w:r>
                                </w:p>
                              </w:tc>
                              <w:tc>
                                <w:tcPr>
                                  <w:tcW w:w="1275" w:type="dxa"/>
                                  <w:vAlign w:val="center"/>
                                </w:tcPr>
                                <w:p w14:paraId="54D32198" w14:textId="77777777" w:rsidR="00F1456A" w:rsidRPr="00651B97" w:rsidRDefault="00F1456A" w:rsidP="00696621">
                                  <w:pPr>
                                    <w:kinsoku w:val="0"/>
                                    <w:overflowPunct w:val="0"/>
                                    <w:autoSpaceDE w:val="0"/>
                                    <w:autoSpaceDN w:val="0"/>
                                    <w:spacing w:line="240" w:lineRule="exact"/>
                                    <w:jc w:val="both"/>
                                    <w:textAlignment w:val="center"/>
                                    <w:rPr>
                                      <w:rFonts w:ascii="標楷體" w:eastAsia="標楷體" w:hAnsi="標楷體"/>
                                    </w:rPr>
                                  </w:pPr>
                                  <w:r w:rsidRPr="00651B97">
                                    <w:rPr>
                                      <w:rFonts w:ascii="標楷體" w:eastAsia="標楷體" w:hAnsi="標楷體" w:hint="eastAsia"/>
                                      <w:color w:val="000000" w:themeColor="text1"/>
                                    </w:rPr>
                                    <w:t>廣慈D標</w:t>
                                  </w:r>
                                </w:p>
                              </w:tc>
                              <w:tc>
                                <w:tcPr>
                                  <w:tcW w:w="1276" w:type="dxa"/>
                                  <w:vAlign w:val="center"/>
                                </w:tcPr>
                                <w:p w14:paraId="42BCB356" w14:textId="77777777" w:rsidR="00F1456A" w:rsidRPr="008343A2" w:rsidRDefault="00F1456A" w:rsidP="00696621">
                                  <w:pPr>
                                    <w:kinsoku w:val="0"/>
                                    <w:overflowPunct w:val="0"/>
                                    <w:autoSpaceDE w:val="0"/>
                                    <w:autoSpaceDN w:val="0"/>
                                    <w:spacing w:line="240" w:lineRule="exact"/>
                                    <w:jc w:val="right"/>
                                    <w:textAlignment w:val="center"/>
                                    <w:rPr>
                                      <w:rFonts w:ascii="標楷體" w:eastAsia="標楷體" w:hAnsi="標楷體"/>
                                      <w:color w:val="FF0000"/>
                                    </w:rPr>
                                  </w:pPr>
                                  <w:r>
                                    <w:rPr>
                                      <w:rFonts w:ascii="標楷體" w:eastAsia="標楷體" w:hAnsi="標楷體" w:hint="eastAsia"/>
                                      <w:color w:val="000000"/>
                                    </w:rPr>
                                    <w:t>3</w:t>
                                  </w:r>
                                  <w:r>
                                    <w:rPr>
                                      <w:rFonts w:ascii="標楷體" w:eastAsia="標楷體" w:hAnsi="標楷體"/>
                                      <w:color w:val="000000"/>
                                    </w:rPr>
                                    <w:t>,395,000</w:t>
                                  </w:r>
                                </w:p>
                              </w:tc>
                              <w:tc>
                                <w:tcPr>
                                  <w:tcW w:w="987" w:type="dxa"/>
                                  <w:vAlign w:val="center"/>
                                </w:tcPr>
                                <w:p w14:paraId="5C38D264"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r w:rsidRPr="008343A2">
                                    <w:rPr>
                                      <w:rFonts w:ascii="MS Gothic" w:eastAsia="MS Gothic" w:hAnsi="MS Gothic" w:cs="MS Gothic" w:hint="eastAsia"/>
                                      <w:shd w:val="clear" w:color="auto" w:fill="FFFFFF"/>
                                    </w:rPr>
                                    <w:t>✓</w:t>
                                  </w:r>
                                </w:p>
                              </w:tc>
                              <w:tc>
                                <w:tcPr>
                                  <w:tcW w:w="993" w:type="dxa"/>
                                  <w:vAlign w:val="center"/>
                                </w:tcPr>
                                <w:p w14:paraId="0AEC329A"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p>
                              </w:tc>
                              <w:tc>
                                <w:tcPr>
                                  <w:tcW w:w="850" w:type="dxa"/>
                                  <w:vAlign w:val="center"/>
                                </w:tcPr>
                                <w:p w14:paraId="225E037B"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p>
                              </w:tc>
                              <w:tc>
                                <w:tcPr>
                                  <w:tcW w:w="992" w:type="dxa"/>
                                  <w:vAlign w:val="center"/>
                                </w:tcPr>
                                <w:p w14:paraId="0BB84EBE"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p>
                              </w:tc>
                            </w:tr>
                            <w:tr w:rsidR="00F1456A" w:rsidRPr="00F82E8D" w14:paraId="14CB9E9E" w14:textId="77777777" w:rsidTr="00B47AB9">
                              <w:tc>
                                <w:tcPr>
                                  <w:tcW w:w="426" w:type="dxa"/>
                                  <w:vAlign w:val="center"/>
                                </w:tcPr>
                                <w:p w14:paraId="0D7AD394" w14:textId="77777777" w:rsidR="00F1456A" w:rsidRPr="00651B97" w:rsidRDefault="00F1456A" w:rsidP="00696621">
                                  <w:pPr>
                                    <w:kinsoku w:val="0"/>
                                    <w:overflowPunct w:val="0"/>
                                    <w:autoSpaceDE w:val="0"/>
                                    <w:autoSpaceDN w:val="0"/>
                                    <w:spacing w:line="240" w:lineRule="exact"/>
                                    <w:jc w:val="center"/>
                                    <w:textAlignment w:val="center"/>
                                    <w:rPr>
                                      <w:rFonts w:ascii="標楷體" w:eastAsia="標楷體" w:hAnsi="標楷體"/>
                                    </w:rPr>
                                  </w:pPr>
                                  <w:r w:rsidRPr="00651B97">
                                    <w:rPr>
                                      <w:rFonts w:ascii="標楷體" w:eastAsia="標楷體" w:hAnsi="標楷體" w:hint="eastAsia"/>
                                    </w:rPr>
                                    <w:t>3</w:t>
                                  </w:r>
                                </w:p>
                              </w:tc>
                              <w:tc>
                                <w:tcPr>
                                  <w:tcW w:w="1275" w:type="dxa"/>
                                  <w:vAlign w:val="center"/>
                                </w:tcPr>
                                <w:p w14:paraId="3C139BCC" w14:textId="77777777" w:rsidR="00F1456A" w:rsidRPr="00651B97" w:rsidRDefault="00F1456A" w:rsidP="00696621">
                                  <w:pPr>
                                    <w:kinsoku w:val="0"/>
                                    <w:overflowPunct w:val="0"/>
                                    <w:autoSpaceDE w:val="0"/>
                                    <w:autoSpaceDN w:val="0"/>
                                    <w:spacing w:line="240" w:lineRule="exact"/>
                                    <w:jc w:val="both"/>
                                    <w:textAlignment w:val="center"/>
                                    <w:rPr>
                                      <w:rFonts w:ascii="標楷體" w:eastAsia="標楷體" w:hAnsi="標楷體"/>
                                    </w:rPr>
                                  </w:pPr>
                                  <w:r w:rsidRPr="00651B97">
                                    <w:rPr>
                                      <w:rFonts w:ascii="標楷體" w:eastAsia="標楷體" w:hAnsi="標楷體" w:hint="eastAsia"/>
                                    </w:rPr>
                                    <w:t>河濱高中基地標</w:t>
                                  </w:r>
                                </w:p>
                              </w:tc>
                              <w:tc>
                                <w:tcPr>
                                  <w:tcW w:w="1276" w:type="dxa"/>
                                  <w:vAlign w:val="center"/>
                                </w:tcPr>
                                <w:p w14:paraId="574CC271" w14:textId="77777777" w:rsidR="00F1456A" w:rsidRPr="008343A2" w:rsidRDefault="00F1456A" w:rsidP="00696621">
                                  <w:pPr>
                                    <w:kinsoku w:val="0"/>
                                    <w:overflowPunct w:val="0"/>
                                    <w:autoSpaceDE w:val="0"/>
                                    <w:autoSpaceDN w:val="0"/>
                                    <w:spacing w:line="240" w:lineRule="exact"/>
                                    <w:jc w:val="right"/>
                                    <w:textAlignment w:val="center"/>
                                    <w:rPr>
                                      <w:rFonts w:ascii="MS Gothic" w:eastAsia="MS Gothic" w:hAnsi="MS Gothic" w:cs="MS Gothic"/>
                                      <w:shd w:val="clear" w:color="auto" w:fill="FFFFFF"/>
                                    </w:rPr>
                                  </w:pPr>
                                  <w:r>
                                    <w:rPr>
                                      <w:rFonts w:ascii="標楷體" w:eastAsia="標楷體" w:hAnsi="標楷體" w:hint="eastAsia"/>
                                      <w:color w:val="000000"/>
                                    </w:rPr>
                                    <w:t>2</w:t>
                                  </w:r>
                                  <w:r>
                                    <w:rPr>
                                      <w:rFonts w:ascii="標楷體" w:eastAsia="標楷體" w:hAnsi="標楷體"/>
                                      <w:color w:val="000000"/>
                                    </w:rPr>
                                    <w:t>,647</w:t>
                                  </w:r>
                                  <w:r>
                                    <w:rPr>
                                      <w:rFonts w:ascii="標楷體" w:eastAsia="標楷體" w:hAnsi="標楷體" w:hint="eastAsia"/>
                                      <w:color w:val="000000"/>
                                    </w:rPr>
                                    <w:t>,</w:t>
                                  </w:r>
                                  <w:r>
                                    <w:rPr>
                                      <w:rFonts w:ascii="標楷體" w:eastAsia="標楷體" w:hAnsi="標楷體"/>
                                      <w:color w:val="000000"/>
                                    </w:rPr>
                                    <w:t>438</w:t>
                                  </w:r>
                                </w:p>
                              </w:tc>
                              <w:tc>
                                <w:tcPr>
                                  <w:tcW w:w="987" w:type="dxa"/>
                                  <w:vAlign w:val="center"/>
                                </w:tcPr>
                                <w:p w14:paraId="36CC4104"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p>
                              </w:tc>
                              <w:tc>
                                <w:tcPr>
                                  <w:tcW w:w="993" w:type="dxa"/>
                                  <w:vAlign w:val="center"/>
                                </w:tcPr>
                                <w:p w14:paraId="54E719BB"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r w:rsidRPr="008343A2">
                                    <w:rPr>
                                      <w:rFonts w:ascii="MS Gothic" w:eastAsia="MS Gothic" w:hAnsi="MS Gothic" w:cs="MS Gothic" w:hint="eastAsia"/>
                                      <w:shd w:val="clear" w:color="auto" w:fill="FFFFFF"/>
                                    </w:rPr>
                                    <w:t>✓</w:t>
                                  </w:r>
                                </w:p>
                              </w:tc>
                              <w:tc>
                                <w:tcPr>
                                  <w:tcW w:w="850" w:type="dxa"/>
                                  <w:vAlign w:val="center"/>
                                </w:tcPr>
                                <w:p w14:paraId="40D30EA0"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r w:rsidRPr="008343A2">
                                    <w:rPr>
                                      <w:rFonts w:ascii="MS Gothic" w:eastAsia="MS Gothic" w:hAnsi="MS Gothic" w:cs="MS Gothic" w:hint="eastAsia"/>
                                      <w:shd w:val="clear" w:color="auto" w:fill="FFFFFF"/>
                                    </w:rPr>
                                    <w:t>✓</w:t>
                                  </w:r>
                                </w:p>
                              </w:tc>
                              <w:tc>
                                <w:tcPr>
                                  <w:tcW w:w="992" w:type="dxa"/>
                                  <w:vAlign w:val="center"/>
                                </w:tcPr>
                                <w:p w14:paraId="7BE4D4FB"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r w:rsidRPr="008343A2">
                                    <w:rPr>
                                      <w:rFonts w:ascii="MS Gothic" w:eastAsia="MS Gothic" w:hAnsi="MS Gothic" w:cs="MS Gothic" w:hint="eastAsia"/>
                                      <w:shd w:val="clear" w:color="auto" w:fill="FFFFFF"/>
                                    </w:rPr>
                                    <w:t>✓</w:t>
                                  </w:r>
                                </w:p>
                              </w:tc>
                            </w:tr>
                            <w:tr w:rsidR="00F1456A" w:rsidRPr="00F82E8D" w14:paraId="7B63EF02" w14:textId="77777777" w:rsidTr="00B47AB9">
                              <w:tc>
                                <w:tcPr>
                                  <w:tcW w:w="426" w:type="dxa"/>
                                  <w:vAlign w:val="center"/>
                                </w:tcPr>
                                <w:p w14:paraId="6290C992" w14:textId="77777777" w:rsidR="00F1456A" w:rsidRPr="00651B97" w:rsidRDefault="00F1456A" w:rsidP="00696621">
                                  <w:pPr>
                                    <w:kinsoku w:val="0"/>
                                    <w:overflowPunct w:val="0"/>
                                    <w:autoSpaceDE w:val="0"/>
                                    <w:autoSpaceDN w:val="0"/>
                                    <w:spacing w:line="240" w:lineRule="exact"/>
                                    <w:jc w:val="center"/>
                                    <w:textAlignment w:val="center"/>
                                    <w:rPr>
                                      <w:rFonts w:ascii="標楷體" w:eastAsia="標楷體" w:hAnsi="標楷體"/>
                                    </w:rPr>
                                  </w:pPr>
                                  <w:r w:rsidRPr="00651B97">
                                    <w:rPr>
                                      <w:rFonts w:ascii="標楷體" w:eastAsia="標楷體" w:hAnsi="標楷體" w:hint="eastAsia"/>
                                    </w:rPr>
                                    <w:t>4</w:t>
                                  </w:r>
                                </w:p>
                              </w:tc>
                              <w:tc>
                                <w:tcPr>
                                  <w:tcW w:w="1275" w:type="dxa"/>
                                  <w:vAlign w:val="center"/>
                                </w:tcPr>
                                <w:p w14:paraId="6791CC64" w14:textId="77777777" w:rsidR="00F1456A" w:rsidRPr="00651B97" w:rsidRDefault="00F1456A" w:rsidP="00696621">
                                  <w:pPr>
                                    <w:kinsoku w:val="0"/>
                                    <w:overflowPunct w:val="0"/>
                                    <w:autoSpaceDE w:val="0"/>
                                    <w:autoSpaceDN w:val="0"/>
                                    <w:spacing w:line="240" w:lineRule="exact"/>
                                    <w:jc w:val="both"/>
                                    <w:textAlignment w:val="center"/>
                                    <w:rPr>
                                      <w:rFonts w:ascii="標楷體" w:eastAsia="標楷體" w:hAnsi="標楷體"/>
                                    </w:rPr>
                                  </w:pPr>
                                  <w:r w:rsidRPr="00651B97">
                                    <w:rPr>
                                      <w:rFonts w:ascii="標楷體" w:eastAsia="標楷體" w:hAnsi="標楷體" w:hint="eastAsia"/>
                                    </w:rPr>
                                    <w:t>華興</w:t>
                                  </w:r>
                                  <w:proofErr w:type="gramStart"/>
                                  <w:r w:rsidRPr="00651B97">
                                    <w:rPr>
                                      <w:rFonts w:ascii="標楷體" w:eastAsia="標楷體" w:hAnsi="標楷體" w:hint="eastAsia"/>
                                    </w:rPr>
                                    <w:t>公宅標</w:t>
                                  </w:r>
                                  <w:proofErr w:type="gramEnd"/>
                                </w:p>
                              </w:tc>
                              <w:tc>
                                <w:tcPr>
                                  <w:tcW w:w="1276" w:type="dxa"/>
                                  <w:vAlign w:val="center"/>
                                </w:tcPr>
                                <w:p w14:paraId="5F5AF6D0" w14:textId="77777777" w:rsidR="00F1456A" w:rsidRPr="008343A2" w:rsidRDefault="00F1456A" w:rsidP="00696621">
                                  <w:pPr>
                                    <w:kinsoku w:val="0"/>
                                    <w:overflowPunct w:val="0"/>
                                    <w:autoSpaceDE w:val="0"/>
                                    <w:autoSpaceDN w:val="0"/>
                                    <w:spacing w:line="240" w:lineRule="exact"/>
                                    <w:jc w:val="right"/>
                                    <w:textAlignment w:val="center"/>
                                    <w:rPr>
                                      <w:rFonts w:ascii="MS Gothic" w:eastAsia="MS Gothic" w:hAnsi="MS Gothic" w:cs="MS Gothic"/>
                                      <w:shd w:val="clear" w:color="auto" w:fill="FFFFFF"/>
                                    </w:rPr>
                                  </w:pPr>
                                  <w:r>
                                    <w:rPr>
                                      <w:rFonts w:ascii="標楷體" w:eastAsia="標楷體" w:hAnsi="標楷體" w:hint="eastAsia"/>
                                      <w:color w:val="000000"/>
                                    </w:rPr>
                                    <w:t>8</w:t>
                                  </w:r>
                                  <w:r>
                                    <w:rPr>
                                      <w:rFonts w:ascii="標楷體" w:eastAsia="標楷體" w:hAnsi="標楷體"/>
                                      <w:color w:val="000000"/>
                                    </w:rPr>
                                    <w:t>23</w:t>
                                  </w:r>
                                  <w:r>
                                    <w:rPr>
                                      <w:rFonts w:ascii="標楷體" w:eastAsia="標楷體" w:hAnsi="標楷體" w:hint="eastAsia"/>
                                      <w:color w:val="000000"/>
                                    </w:rPr>
                                    <w:t>,</w:t>
                                  </w:r>
                                  <w:r>
                                    <w:rPr>
                                      <w:rFonts w:ascii="標楷體" w:eastAsia="標楷體" w:hAnsi="標楷體"/>
                                      <w:color w:val="000000"/>
                                    </w:rPr>
                                    <w:t>900</w:t>
                                  </w:r>
                                </w:p>
                              </w:tc>
                              <w:tc>
                                <w:tcPr>
                                  <w:tcW w:w="987" w:type="dxa"/>
                                  <w:vAlign w:val="center"/>
                                </w:tcPr>
                                <w:p w14:paraId="3FBB6546"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p>
                              </w:tc>
                              <w:tc>
                                <w:tcPr>
                                  <w:tcW w:w="993" w:type="dxa"/>
                                  <w:vAlign w:val="center"/>
                                </w:tcPr>
                                <w:p w14:paraId="132914DC"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p>
                              </w:tc>
                              <w:tc>
                                <w:tcPr>
                                  <w:tcW w:w="850" w:type="dxa"/>
                                  <w:vAlign w:val="center"/>
                                </w:tcPr>
                                <w:p w14:paraId="2A11FB03"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p>
                              </w:tc>
                              <w:tc>
                                <w:tcPr>
                                  <w:tcW w:w="992" w:type="dxa"/>
                                  <w:vAlign w:val="center"/>
                                </w:tcPr>
                                <w:p w14:paraId="0ED779AF"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r w:rsidRPr="008343A2">
                                    <w:rPr>
                                      <w:rFonts w:ascii="MS Gothic" w:eastAsia="MS Gothic" w:hAnsi="MS Gothic" w:cs="MS Gothic" w:hint="eastAsia"/>
                                      <w:shd w:val="clear" w:color="auto" w:fill="FFFFFF"/>
                                    </w:rPr>
                                    <w:t>✓</w:t>
                                  </w:r>
                                </w:p>
                              </w:tc>
                            </w:tr>
                          </w:tbl>
                          <w:p w14:paraId="43D52805" w14:textId="77777777" w:rsidR="00F1456A" w:rsidRPr="00696621" w:rsidRDefault="00F1456A" w:rsidP="00F1456A">
                            <w:pPr>
                              <w:kinsoku w:val="0"/>
                              <w:overflowPunct w:val="0"/>
                              <w:autoSpaceDE w:val="0"/>
                              <w:autoSpaceDN w:val="0"/>
                              <w:spacing w:line="240" w:lineRule="exact"/>
                              <w:jc w:val="both"/>
                              <w:textAlignment w:val="center"/>
                              <w:rPr>
                                <w:rFonts w:ascii="標楷體" w:eastAsia="標楷體" w:hAnsi="標楷體"/>
                                <w:sz w:val="18"/>
                                <w:szCs w:val="18"/>
                              </w:rPr>
                            </w:pPr>
                            <w:r w:rsidRPr="00F56DB3">
                              <w:rPr>
                                <w:rFonts w:ascii="標楷體" w:eastAsia="標楷體" w:hAnsi="標楷體" w:hint="eastAsia"/>
                                <w:sz w:val="18"/>
                                <w:szCs w:val="18"/>
                              </w:rPr>
                              <w:t>資料來源：</w:t>
                            </w:r>
                            <w:r w:rsidRPr="00651B97">
                              <w:rPr>
                                <w:rFonts w:ascii="標楷體" w:eastAsia="標楷體" w:hAnsi="標楷體" w:hint="eastAsia"/>
                                <w:sz w:val="18"/>
                                <w:szCs w:val="18"/>
                              </w:rPr>
                              <w:t>整理自行政院公共工程委員會「公共工程雲端服務網」。</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87F18C9" id="文字方塊 927419591" o:spid="_x0000_s1131" type="#_x0000_t202" style="position:absolute;left:0;text-align:left;margin-left:144.75pt;margin-top:6.85pt;width:351.75pt;height:171.45pt;z-index:2518241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" stroked="f">
                <v:textbox style="mso-fit-shape-to-text:t">
                  <w:txbxContent>
                    <w:p w14:paraId="7276A6CC" w14:textId="7A113A61" w:rsidR="00F1456A" w:rsidRDefault="00F1456A" w:rsidP="00F1456A">
                      <w:pPr>
                        <w:pStyle w:val="a4"/>
                        <w:overflowPunct w:val="0"/>
                        <w:snapToGrid w:val="0"/>
                        <w:spacing w:line="220" w:lineRule="exact"/>
                        <w:ind w:leftChars="0" w:left="0"/>
                        <w:jc w:val="center"/>
                        <w:rPr>
                          <w:rFonts w:ascii="標楷體" w:eastAsia="標楷體" w:hAnsi="標楷體"/>
                          <w:b/>
                        </w:rPr>
                      </w:pPr>
                      <w:r w:rsidRPr="00891329">
                        <w:rPr>
                          <w:rFonts w:ascii="標楷體" w:eastAsia="標楷體" w:hAnsi="標楷體" w:hint="eastAsia"/>
                          <w:b/>
                        </w:rPr>
                        <w:t>表</w:t>
                      </w:r>
                      <w:r>
                        <w:rPr>
                          <w:rFonts w:ascii="標楷體" w:eastAsia="標楷體" w:hAnsi="標楷體" w:hint="eastAsia"/>
                          <w:b/>
                        </w:rPr>
                        <w:t>4</w:t>
                      </w:r>
                      <w:r w:rsidR="005D009F">
                        <w:rPr>
                          <w:rFonts w:ascii="標楷體" w:eastAsia="標楷體" w:hAnsi="標楷體" w:hint="eastAsia"/>
                          <w:b/>
                        </w:rPr>
                        <w:t xml:space="preserve">　</w:t>
                      </w:r>
                      <w:r>
                        <w:rPr>
                          <w:rFonts w:ascii="標楷體" w:eastAsia="標楷體" w:hAnsi="標楷體" w:hint="eastAsia"/>
                          <w:b/>
                        </w:rPr>
                        <w:t>抽查</w:t>
                      </w:r>
                      <w:r w:rsidRPr="00653B29">
                        <w:rPr>
                          <w:rFonts w:ascii="標楷體" w:eastAsia="標楷體" w:hAnsi="標楷體" w:hint="eastAsia"/>
                          <w:b/>
                        </w:rPr>
                        <w:t>案件</w:t>
                      </w:r>
                      <w:r>
                        <w:rPr>
                          <w:rFonts w:ascii="標楷體" w:eastAsia="標楷體" w:hAnsi="標楷體" w:hint="eastAsia"/>
                          <w:b/>
                        </w:rPr>
                        <w:t>之工程品質管理及驗收</w:t>
                      </w:r>
                      <w:proofErr w:type="gramStart"/>
                      <w:r>
                        <w:rPr>
                          <w:rFonts w:ascii="標楷體" w:eastAsia="標楷體" w:hAnsi="標楷體" w:hint="eastAsia"/>
                          <w:b/>
                        </w:rPr>
                        <w:t>點交</w:t>
                      </w:r>
                      <w:r>
                        <w:rPr>
                          <w:rFonts w:ascii="標楷體" w:eastAsia="標楷體" w:hAnsi="標楷體" w:hint="eastAsia"/>
                          <w:b/>
                          <w:spacing w:val="-10"/>
                        </w:rPr>
                        <w:t>缺失態</w:t>
                      </w:r>
                      <w:proofErr w:type="gramEnd"/>
                      <w:r>
                        <w:rPr>
                          <w:rFonts w:ascii="標楷體" w:eastAsia="標楷體" w:hAnsi="標楷體" w:hint="eastAsia"/>
                          <w:b/>
                          <w:spacing w:val="-10"/>
                        </w:rPr>
                        <w:t>樣</w:t>
                      </w:r>
                    </w:p>
                    <w:p w14:paraId="4CE9D393" w14:textId="77777777" w:rsidR="00F1456A" w:rsidRDefault="00F1456A" w:rsidP="00F1456A">
                      <w:pPr>
                        <w:spacing w:line="220" w:lineRule="exact"/>
                        <w:jc w:val="right"/>
                      </w:pPr>
                      <w:r w:rsidRPr="00803857">
                        <w:rPr>
                          <w:rFonts w:ascii="標楷體" w:eastAsia="標楷體" w:hAnsi="標楷體" w:cs="標楷體" w:hint="eastAsia"/>
                          <w:sz w:val="20"/>
                        </w:rPr>
                        <w:t>單位：新臺幣千元</w:t>
                      </w:r>
                    </w:p>
                    <w:tbl>
                      <w:tblPr>
                        <w:tblStyle w:val="21"/>
                        <w:tblW w:w="6799" w:type="dxa"/>
                        <w:tblInd w:w="0" w:type="dxa"/>
                        <w:tblLayout w:type="fixed"/>
                        <w:tblLook w:val="04A0" w:firstRow="1" w:lastRow="0" w:firstColumn="1" w:lastColumn="0" w:noHBand="0" w:noVBand="1"/>
                      </w:tblPr>
                      <w:tblGrid>
                        <w:gridCol w:w="426"/>
                        <w:gridCol w:w="1275"/>
                        <w:gridCol w:w="1276"/>
                        <w:gridCol w:w="987"/>
                        <w:gridCol w:w="993"/>
                        <w:gridCol w:w="850"/>
                        <w:gridCol w:w="992"/>
                      </w:tblGrid>
                      <w:tr w:rsidR="00F1456A" w:rsidRPr="00F82E8D" w14:paraId="0BB3C87F" w14:textId="77777777" w:rsidTr="00B47AB9">
                        <w:trPr>
                          <w:trHeight w:val="253"/>
                        </w:trPr>
                        <w:tc>
                          <w:tcPr>
                            <w:tcW w:w="426" w:type="dxa"/>
                            <w:vMerge w:val="restart"/>
                            <w:shd w:val="clear" w:color="auto" w:fill="auto"/>
                            <w:vAlign w:val="center"/>
                          </w:tcPr>
                          <w:p w14:paraId="416684CB" w14:textId="77777777" w:rsidR="00F1456A" w:rsidRPr="00F56DB3" w:rsidRDefault="00F1456A" w:rsidP="00696621">
                            <w:pPr>
                              <w:kinsoku w:val="0"/>
                              <w:overflowPunct w:val="0"/>
                              <w:autoSpaceDE w:val="0"/>
                              <w:autoSpaceDN w:val="0"/>
                              <w:spacing w:line="240" w:lineRule="exact"/>
                              <w:jc w:val="center"/>
                              <w:textAlignment w:val="center"/>
                              <w:rPr>
                                <w:rFonts w:ascii="標楷體" w:eastAsia="標楷體" w:hAnsi="標楷體"/>
                              </w:rPr>
                            </w:pPr>
                            <w:r w:rsidRPr="00F56DB3">
                              <w:rPr>
                                <w:rFonts w:ascii="標楷體" w:eastAsia="標楷體" w:hAnsi="標楷體" w:hint="eastAsia"/>
                              </w:rPr>
                              <w:t>項次</w:t>
                            </w:r>
                          </w:p>
                        </w:tc>
                        <w:tc>
                          <w:tcPr>
                            <w:tcW w:w="1275" w:type="dxa"/>
                            <w:vMerge w:val="restart"/>
                            <w:shd w:val="clear" w:color="auto" w:fill="auto"/>
                            <w:vAlign w:val="center"/>
                          </w:tcPr>
                          <w:p w14:paraId="15014A26" w14:textId="77777777" w:rsidR="00F1456A" w:rsidRPr="00F56DB3" w:rsidRDefault="00F1456A" w:rsidP="00696621">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案件名稱</w:t>
                            </w:r>
                          </w:p>
                        </w:tc>
                        <w:tc>
                          <w:tcPr>
                            <w:tcW w:w="1276" w:type="dxa"/>
                            <w:vMerge w:val="restart"/>
                            <w:vAlign w:val="center"/>
                          </w:tcPr>
                          <w:p w14:paraId="6D864495" w14:textId="77777777" w:rsidR="00F1456A" w:rsidRDefault="00F1456A" w:rsidP="00696621">
                            <w:pPr>
                              <w:kinsoku w:val="0"/>
                              <w:overflowPunct w:val="0"/>
                              <w:autoSpaceDE w:val="0"/>
                              <w:autoSpaceDN w:val="0"/>
                              <w:spacing w:line="240" w:lineRule="exact"/>
                              <w:jc w:val="center"/>
                              <w:textAlignment w:val="center"/>
                              <w:rPr>
                                <w:rFonts w:ascii="標楷體" w:eastAsia="標楷體" w:hAnsi="標楷體"/>
                              </w:rPr>
                            </w:pPr>
                            <w:r w:rsidRPr="00653B29">
                              <w:rPr>
                                <w:rFonts w:ascii="標楷體" w:eastAsia="標楷體" w:hAnsi="標楷體" w:hint="eastAsia"/>
                                <w:color w:val="000000"/>
                              </w:rPr>
                              <w:t>契約金額</w:t>
                            </w:r>
                          </w:p>
                        </w:tc>
                        <w:tc>
                          <w:tcPr>
                            <w:tcW w:w="3822" w:type="dxa"/>
                            <w:gridSpan w:val="4"/>
                          </w:tcPr>
                          <w:p w14:paraId="5301EB7C" w14:textId="77777777" w:rsidR="00F1456A" w:rsidRDefault="00F1456A" w:rsidP="00696621">
                            <w:pPr>
                              <w:kinsoku w:val="0"/>
                              <w:overflowPunct w:val="0"/>
                              <w:autoSpaceDE w:val="0"/>
                              <w:autoSpaceDN w:val="0"/>
                              <w:spacing w:line="240" w:lineRule="exact"/>
                              <w:jc w:val="center"/>
                              <w:textAlignment w:val="center"/>
                              <w:rPr>
                                <w:rFonts w:ascii="標楷體" w:eastAsia="標楷體" w:hAnsi="標楷體"/>
                              </w:rPr>
                            </w:pPr>
                            <w:r>
                              <w:rPr>
                                <w:rFonts w:ascii="標楷體" w:eastAsia="標楷體" w:hAnsi="標楷體" w:hint="eastAsia"/>
                              </w:rPr>
                              <w:t>缺失態樣</w:t>
                            </w:r>
                          </w:p>
                        </w:tc>
                      </w:tr>
                      <w:tr w:rsidR="00F1456A" w:rsidRPr="00F82E8D" w14:paraId="39F336B0" w14:textId="77777777" w:rsidTr="00B47AB9">
                        <w:trPr>
                          <w:trHeight w:val="224"/>
                        </w:trPr>
                        <w:tc>
                          <w:tcPr>
                            <w:tcW w:w="426" w:type="dxa"/>
                            <w:vMerge/>
                            <w:shd w:val="clear" w:color="auto" w:fill="auto"/>
                            <w:vAlign w:val="center"/>
                          </w:tcPr>
                          <w:p w14:paraId="0B1F5874" w14:textId="77777777" w:rsidR="00F1456A" w:rsidRPr="00F56DB3" w:rsidRDefault="00F1456A" w:rsidP="00696621">
                            <w:pPr>
                              <w:kinsoku w:val="0"/>
                              <w:overflowPunct w:val="0"/>
                              <w:autoSpaceDE w:val="0"/>
                              <w:autoSpaceDN w:val="0"/>
                              <w:spacing w:line="240" w:lineRule="exact"/>
                              <w:jc w:val="center"/>
                              <w:textAlignment w:val="center"/>
                              <w:rPr>
                                <w:rFonts w:ascii="標楷體" w:eastAsia="標楷體" w:hAnsi="標楷體"/>
                              </w:rPr>
                            </w:pPr>
                          </w:p>
                        </w:tc>
                        <w:tc>
                          <w:tcPr>
                            <w:tcW w:w="1275" w:type="dxa"/>
                            <w:vMerge/>
                            <w:shd w:val="clear" w:color="auto" w:fill="auto"/>
                            <w:vAlign w:val="center"/>
                          </w:tcPr>
                          <w:p w14:paraId="4C9102FA" w14:textId="77777777" w:rsidR="00F1456A" w:rsidRDefault="00F1456A" w:rsidP="00696621">
                            <w:pPr>
                              <w:kinsoku w:val="0"/>
                              <w:overflowPunct w:val="0"/>
                              <w:autoSpaceDE w:val="0"/>
                              <w:autoSpaceDN w:val="0"/>
                              <w:spacing w:line="240" w:lineRule="exact"/>
                              <w:jc w:val="center"/>
                              <w:textAlignment w:val="center"/>
                              <w:rPr>
                                <w:rFonts w:ascii="標楷體" w:eastAsia="標楷體" w:hAnsi="標楷體"/>
                              </w:rPr>
                            </w:pPr>
                          </w:p>
                        </w:tc>
                        <w:tc>
                          <w:tcPr>
                            <w:tcW w:w="1276" w:type="dxa"/>
                            <w:vMerge/>
                          </w:tcPr>
                          <w:p w14:paraId="722C0A6F" w14:textId="77777777" w:rsidR="00F1456A" w:rsidRDefault="00F1456A" w:rsidP="00696621">
                            <w:pPr>
                              <w:kinsoku w:val="0"/>
                              <w:overflowPunct w:val="0"/>
                              <w:autoSpaceDE w:val="0"/>
                              <w:autoSpaceDN w:val="0"/>
                              <w:spacing w:line="240" w:lineRule="exact"/>
                              <w:jc w:val="center"/>
                              <w:textAlignment w:val="center"/>
                              <w:rPr>
                                <w:rFonts w:ascii="標楷體" w:eastAsia="標楷體" w:hAnsi="標楷體"/>
                              </w:rPr>
                            </w:pPr>
                          </w:p>
                        </w:tc>
                        <w:tc>
                          <w:tcPr>
                            <w:tcW w:w="987" w:type="dxa"/>
                            <w:tcBorders>
                              <w:bottom w:val="single" w:sz="4" w:space="0" w:color="auto"/>
                            </w:tcBorders>
                            <w:vAlign w:val="center"/>
                          </w:tcPr>
                          <w:p w14:paraId="1E992775" w14:textId="77777777" w:rsidR="00F1456A" w:rsidRDefault="00F1456A" w:rsidP="00B47AB9">
                            <w:pPr>
                              <w:kinsoku w:val="0"/>
                              <w:overflowPunct w:val="0"/>
                              <w:autoSpaceDE w:val="0"/>
                              <w:autoSpaceDN w:val="0"/>
                              <w:spacing w:line="240" w:lineRule="exact"/>
                              <w:ind w:leftChars="-30" w:left="-72" w:rightChars="-20" w:right="-48"/>
                              <w:jc w:val="center"/>
                              <w:textAlignment w:val="center"/>
                              <w:rPr>
                                <w:rFonts w:ascii="標楷體" w:eastAsia="標楷體" w:hAnsi="標楷體"/>
                              </w:rPr>
                            </w:pPr>
                            <w:r>
                              <w:rPr>
                                <w:rFonts w:ascii="標楷體" w:eastAsia="標楷體" w:hAnsi="標楷體" w:hint="eastAsia"/>
                              </w:rPr>
                              <w:t>延宕辦理契約變更程序</w:t>
                            </w:r>
                          </w:p>
                        </w:tc>
                        <w:tc>
                          <w:tcPr>
                            <w:tcW w:w="993" w:type="dxa"/>
                            <w:tcBorders>
                              <w:bottom w:val="single" w:sz="4" w:space="0" w:color="auto"/>
                            </w:tcBorders>
                            <w:vAlign w:val="center"/>
                          </w:tcPr>
                          <w:p w14:paraId="748B72F7" w14:textId="77777777" w:rsidR="00F1456A" w:rsidRDefault="00F1456A" w:rsidP="00B47AB9">
                            <w:pPr>
                              <w:kinsoku w:val="0"/>
                              <w:overflowPunct w:val="0"/>
                              <w:autoSpaceDE w:val="0"/>
                              <w:autoSpaceDN w:val="0"/>
                              <w:spacing w:line="240" w:lineRule="exact"/>
                              <w:ind w:leftChars="-30" w:left="-72" w:rightChars="-20" w:right="-48"/>
                              <w:jc w:val="center"/>
                              <w:textAlignment w:val="center"/>
                              <w:rPr>
                                <w:rFonts w:ascii="標楷體" w:eastAsia="標楷體" w:hAnsi="標楷體"/>
                              </w:rPr>
                            </w:pPr>
                            <w:r>
                              <w:rPr>
                                <w:rFonts w:ascii="標楷體" w:eastAsia="標楷體" w:hAnsi="標楷體" w:hint="eastAsia"/>
                              </w:rPr>
                              <w:t>機電系統</w:t>
                            </w:r>
                            <w:r w:rsidRPr="00653FE7">
                              <w:rPr>
                                <w:rFonts w:ascii="標楷體" w:eastAsia="標楷體" w:hAnsi="標楷體" w:hint="eastAsia"/>
                              </w:rPr>
                              <w:t>測試運轉</w:t>
                            </w:r>
                            <w:r>
                              <w:rPr>
                                <w:rFonts w:ascii="標楷體" w:eastAsia="標楷體" w:hAnsi="標楷體" w:hint="eastAsia"/>
                              </w:rPr>
                              <w:t>資料逾期完成</w:t>
                            </w:r>
                          </w:p>
                        </w:tc>
                        <w:tc>
                          <w:tcPr>
                            <w:tcW w:w="850" w:type="dxa"/>
                            <w:tcBorders>
                              <w:bottom w:val="single" w:sz="4" w:space="0" w:color="auto"/>
                            </w:tcBorders>
                            <w:vAlign w:val="center"/>
                          </w:tcPr>
                          <w:p w14:paraId="24C6682A" w14:textId="77777777" w:rsidR="00F1456A" w:rsidRDefault="00F1456A" w:rsidP="00B47AB9">
                            <w:pPr>
                              <w:kinsoku w:val="0"/>
                              <w:overflowPunct w:val="0"/>
                              <w:autoSpaceDE w:val="0"/>
                              <w:autoSpaceDN w:val="0"/>
                              <w:spacing w:line="240" w:lineRule="exact"/>
                              <w:ind w:leftChars="-30" w:left="-72" w:rightChars="-20" w:right="-48"/>
                              <w:jc w:val="center"/>
                              <w:textAlignment w:val="center"/>
                              <w:rPr>
                                <w:rFonts w:ascii="標楷體" w:eastAsia="標楷體" w:hAnsi="標楷體"/>
                              </w:rPr>
                            </w:pPr>
                            <w:r>
                              <w:rPr>
                                <w:rFonts w:ascii="標楷體" w:eastAsia="標楷體" w:hAnsi="標楷體" w:hint="eastAsia"/>
                              </w:rPr>
                              <w:t>接水作業逾期完成</w:t>
                            </w:r>
                          </w:p>
                        </w:tc>
                        <w:tc>
                          <w:tcPr>
                            <w:tcW w:w="992" w:type="dxa"/>
                            <w:tcBorders>
                              <w:bottom w:val="single" w:sz="4" w:space="0" w:color="auto"/>
                            </w:tcBorders>
                            <w:vAlign w:val="center"/>
                          </w:tcPr>
                          <w:p w14:paraId="6A96E59A" w14:textId="77777777" w:rsidR="00F1456A" w:rsidRDefault="00F1456A" w:rsidP="00B47AB9">
                            <w:pPr>
                              <w:kinsoku w:val="0"/>
                              <w:overflowPunct w:val="0"/>
                              <w:autoSpaceDE w:val="0"/>
                              <w:autoSpaceDN w:val="0"/>
                              <w:spacing w:line="240" w:lineRule="exact"/>
                              <w:ind w:leftChars="-30" w:left="-72" w:rightChars="-20" w:right="-48"/>
                              <w:jc w:val="center"/>
                              <w:textAlignment w:val="center"/>
                              <w:rPr>
                                <w:rFonts w:ascii="標楷體" w:eastAsia="標楷體" w:hAnsi="標楷體"/>
                              </w:rPr>
                            </w:pPr>
                            <w:r>
                              <w:rPr>
                                <w:rFonts w:ascii="標楷體" w:eastAsia="標楷體" w:hAnsi="標楷體" w:hint="eastAsia"/>
                              </w:rPr>
                              <w:t>履約階段竣工圖逾期提送</w:t>
                            </w:r>
                          </w:p>
                        </w:tc>
                      </w:tr>
                      <w:tr w:rsidR="00F1456A" w:rsidRPr="00F82E8D" w14:paraId="193FAE82" w14:textId="77777777" w:rsidTr="00B47AB9">
                        <w:tc>
                          <w:tcPr>
                            <w:tcW w:w="1701" w:type="dxa"/>
                            <w:gridSpan w:val="2"/>
                            <w:vAlign w:val="center"/>
                          </w:tcPr>
                          <w:p w14:paraId="4285CD70" w14:textId="77777777" w:rsidR="00F1456A" w:rsidRPr="00691ED0" w:rsidRDefault="00F1456A" w:rsidP="00696621">
                            <w:pPr>
                              <w:kinsoku w:val="0"/>
                              <w:overflowPunct w:val="0"/>
                              <w:autoSpaceDE w:val="0"/>
                              <w:autoSpaceDN w:val="0"/>
                              <w:spacing w:line="240" w:lineRule="exact"/>
                              <w:jc w:val="center"/>
                              <w:textAlignment w:val="center"/>
                              <w:rPr>
                                <w:rFonts w:ascii="標楷體" w:eastAsia="標楷體" w:hAnsi="標楷體"/>
                                <w:b/>
                                <w:bCs/>
                              </w:rPr>
                            </w:pPr>
                            <w:r w:rsidRPr="00691ED0">
                              <w:rPr>
                                <w:rFonts w:ascii="標楷體" w:eastAsia="標楷體" w:hAnsi="標楷體" w:hint="eastAsia"/>
                                <w:b/>
                                <w:bCs/>
                              </w:rPr>
                              <w:t>合計</w:t>
                            </w:r>
                          </w:p>
                        </w:tc>
                        <w:tc>
                          <w:tcPr>
                            <w:tcW w:w="1276" w:type="dxa"/>
                            <w:vAlign w:val="center"/>
                          </w:tcPr>
                          <w:p w14:paraId="222710D0" w14:textId="77777777" w:rsidR="00F1456A" w:rsidRPr="00691ED0" w:rsidRDefault="00F1456A" w:rsidP="00696621">
                            <w:pPr>
                              <w:kinsoku w:val="0"/>
                              <w:overflowPunct w:val="0"/>
                              <w:autoSpaceDE w:val="0"/>
                              <w:autoSpaceDN w:val="0"/>
                              <w:spacing w:line="240" w:lineRule="exact"/>
                              <w:jc w:val="right"/>
                              <w:textAlignment w:val="center"/>
                              <w:rPr>
                                <w:rFonts w:ascii="標楷體" w:eastAsia="標楷體" w:hAnsi="標楷體"/>
                                <w:b/>
                                <w:bCs/>
                                <w:color w:val="FF0000"/>
                              </w:rPr>
                            </w:pPr>
                            <w:r w:rsidRPr="00691ED0">
                              <w:rPr>
                                <w:rFonts w:ascii="標楷體" w:eastAsia="標楷體" w:hAnsi="標楷體"/>
                                <w:b/>
                                <w:bCs/>
                                <w:color w:val="000000" w:themeColor="text1"/>
                              </w:rPr>
                              <w:t>11,335,138</w:t>
                            </w:r>
                          </w:p>
                        </w:tc>
                        <w:tc>
                          <w:tcPr>
                            <w:tcW w:w="3822" w:type="dxa"/>
                            <w:gridSpan w:val="4"/>
                            <w:tcBorders>
                              <w:tl2br w:val="single" w:sz="4" w:space="0" w:color="auto"/>
                            </w:tcBorders>
                          </w:tcPr>
                          <w:p w14:paraId="4FBCCE35" w14:textId="77777777" w:rsidR="00F1456A" w:rsidRPr="00B65FED" w:rsidRDefault="00F1456A" w:rsidP="00696621">
                            <w:pPr>
                              <w:kinsoku w:val="0"/>
                              <w:overflowPunct w:val="0"/>
                              <w:autoSpaceDE w:val="0"/>
                              <w:autoSpaceDN w:val="0"/>
                              <w:spacing w:line="240" w:lineRule="exact"/>
                              <w:jc w:val="center"/>
                              <w:textAlignment w:val="center"/>
                              <w:rPr>
                                <w:rFonts w:ascii="標楷體" w:eastAsia="標楷體" w:hAnsi="標楷體"/>
                              </w:rPr>
                            </w:pPr>
                          </w:p>
                        </w:tc>
                      </w:tr>
                      <w:tr w:rsidR="00F1456A" w:rsidRPr="00F82E8D" w14:paraId="71480254" w14:textId="77777777" w:rsidTr="00B47AB9">
                        <w:tc>
                          <w:tcPr>
                            <w:tcW w:w="426" w:type="dxa"/>
                            <w:vAlign w:val="center"/>
                          </w:tcPr>
                          <w:p w14:paraId="3B16703E" w14:textId="77777777" w:rsidR="00F1456A" w:rsidRPr="00651B97" w:rsidRDefault="00F1456A" w:rsidP="00696621">
                            <w:pPr>
                              <w:kinsoku w:val="0"/>
                              <w:overflowPunct w:val="0"/>
                              <w:autoSpaceDE w:val="0"/>
                              <w:autoSpaceDN w:val="0"/>
                              <w:spacing w:line="240" w:lineRule="exact"/>
                              <w:jc w:val="center"/>
                              <w:textAlignment w:val="center"/>
                              <w:rPr>
                                <w:rFonts w:ascii="標楷體" w:eastAsia="標楷體" w:hAnsi="標楷體"/>
                              </w:rPr>
                            </w:pPr>
                            <w:r w:rsidRPr="00651B97">
                              <w:rPr>
                                <w:rFonts w:ascii="標楷體" w:eastAsia="標楷體" w:hAnsi="標楷體" w:hint="eastAsia"/>
                              </w:rPr>
                              <w:t>1</w:t>
                            </w:r>
                          </w:p>
                        </w:tc>
                        <w:tc>
                          <w:tcPr>
                            <w:tcW w:w="1275" w:type="dxa"/>
                            <w:vAlign w:val="center"/>
                          </w:tcPr>
                          <w:p w14:paraId="66DCCB25" w14:textId="77777777" w:rsidR="00F1456A" w:rsidRPr="00651B97" w:rsidRDefault="00F1456A" w:rsidP="00696621">
                            <w:pPr>
                              <w:kinsoku w:val="0"/>
                              <w:overflowPunct w:val="0"/>
                              <w:autoSpaceDE w:val="0"/>
                              <w:autoSpaceDN w:val="0"/>
                              <w:spacing w:line="240" w:lineRule="exact"/>
                              <w:jc w:val="both"/>
                              <w:textAlignment w:val="center"/>
                              <w:rPr>
                                <w:rFonts w:ascii="標楷體" w:eastAsia="標楷體" w:hAnsi="標楷體"/>
                              </w:rPr>
                            </w:pPr>
                            <w:r w:rsidRPr="00651B97">
                              <w:rPr>
                                <w:rFonts w:ascii="標楷體" w:eastAsia="標楷體" w:hAnsi="標楷體" w:hint="eastAsia"/>
                              </w:rPr>
                              <w:t>廣慈AB標</w:t>
                            </w:r>
                          </w:p>
                        </w:tc>
                        <w:tc>
                          <w:tcPr>
                            <w:tcW w:w="1276" w:type="dxa"/>
                            <w:vAlign w:val="center"/>
                          </w:tcPr>
                          <w:p w14:paraId="3F6A355D" w14:textId="77777777" w:rsidR="00F1456A" w:rsidRPr="008343A2" w:rsidRDefault="00F1456A" w:rsidP="00696621">
                            <w:pPr>
                              <w:kinsoku w:val="0"/>
                              <w:overflowPunct w:val="0"/>
                              <w:autoSpaceDE w:val="0"/>
                              <w:autoSpaceDN w:val="0"/>
                              <w:spacing w:line="240" w:lineRule="exact"/>
                              <w:jc w:val="right"/>
                              <w:textAlignment w:val="center"/>
                              <w:rPr>
                                <w:rFonts w:ascii="標楷體" w:eastAsia="標楷體" w:hAnsi="標楷體"/>
                                <w:color w:val="FF0000"/>
                              </w:rPr>
                            </w:pPr>
                            <w:r>
                              <w:rPr>
                                <w:rFonts w:ascii="標楷體" w:eastAsia="標楷體" w:hAnsi="標楷體" w:hint="eastAsia"/>
                                <w:color w:val="000000"/>
                              </w:rPr>
                              <w:t>4</w:t>
                            </w:r>
                            <w:r>
                              <w:rPr>
                                <w:rFonts w:ascii="標楷體" w:eastAsia="標楷體" w:hAnsi="標楷體"/>
                                <w:color w:val="000000"/>
                              </w:rPr>
                              <w:t>,468,800</w:t>
                            </w:r>
                          </w:p>
                        </w:tc>
                        <w:tc>
                          <w:tcPr>
                            <w:tcW w:w="987" w:type="dxa"/>
                            <w:vAlign w:val="center"/>
                          </w:tcPr>
                          <w:p w14:paraId="688E1257"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r w:rsidRPr="008343A2">
                              <w:rPr>
                                <w:rFonts w:ascii="MS Gothic" w:eastAsia="MS Gothic" w:hAnsi="MS Gothic" w:cs="MS Gothic" w:hint="eastAsia"/>
                                <w:shd w:val="clear" w:color="auto" w:fill="FFFFFF"/>
                              </w:rPr>
                              <w:t>✓</w:t>
                            </w:r>
                          </w:p>
                        </w:tc>
                        <w:tc>
                          <w:tcPr>
                            <w:tcW w:w="993" w:type="dxa"/>
                            <w:vAlign w:val="center"/>
                          </w:tcPr>
                          <w:p w14:paraId="2D62807A"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r w:rsidRPr="008343A2">
                              <w:rPr>
                                <w:rFonts w:ascii="MS Gothic" w:eastAsia="MS Gothic" w:hAnsi="MS Gothic" w:cs="MS Gothic" w:hint="eastAsia"/>
                                <w:shd w:val="clear" w:color="auto" w:fill="FFFFFF"/>
                              </w:rPr>
                              <w:t>✓</w:t>
                            </w:r>
                          </w:p>
                        </w:tc>
                        <w:tc>
                          <w:tcPr>
                            <w:tcW w:w="850" w:type="dxa"/>
                            <w:vAlign w:val="center"/>
                          </w:tcPr>
                          <w:p w14:paraId="36E79F3D"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p>
                        </w:tc>
                        <w:tc>
                          <w:tcPr>
                            <w:tcW w:w="992" w:type="dxa"/>
                            <w:vAlign w:val="center"/>
                          </w:tcPr>
                          <w:p w14:paraId="6ED4B59C"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p>
                        </w:tc>
                      </w:tr>
                      <w:tr w:rsidR="00F1456A" w:rsidRPr="00F82E8D" w14:paraId="38B18652" w14:textId="77777777" w:rsidTr="00B47AB9">
                        <w:tc>
                          <w:tcPr>
                            <w:tcW w:w="426" w:type="dxa"/>
                            <w:vAlign w:val="center"/>
                          </w:tcPr>
                          <w:p w14:paraId="728E36A4" w14:textId="77777777" w:rsidR="00F1456A" w:rsidRPr="00651B97" w:rsidRDefault="00F1456A" w:rsidP="00696621">
                            <w:pPr>
                              <w:kinsoku w:val="0"/>
                              <w:overflowPunct w:val="0"/>
                              <w:autoSpaceDE w:val="0"/>
                              <w:autoSpaceDN w:val="0"/>
                              <w:spacing w:line="240" w:lineRule="exact"/>
                              <w:jc w:val="center"/>
                              <w:textAlignment w:val="center"/>
                              <w:rPr>
                                <w:rFonts w:ascii="標楷體" w:eastAsia="標楷體" w:hAnsi="標楷體"/>
                              </w:rPr>
                            </w:pPr>
                            <w:r w:rsidRPr="00651B97">
                              <w:rPr>
                                <w:rFonts w:ascii="標楷體" w:eastAsia="標楷體" w:hAnsi="標楷體" w:hint="eastAsia"/>
                              </w:rPr>
                              <w:t>2</w:t>
                            </w:r>
                          </w:p>
                        </w:tc>
                        <w:tc>
                          <w:tcPr>
                            <w:tcW w:w="1275" w:type="dxa"/>
                            <w:vAlign w:val="center"/>
                          </w:tcPr>
                          <w:p w14:paraId="54D32198" w14:textId="77777777" w:rsidR="00F1456A" w:rsidRPr="00651B97" w:rsidRDefault="00F1456A" w:rsidP="00696621">
                            <w:pPr>
                              <w:kinsoku w:val="0"/>
                              <w:overflowPunct w:val="0"/>
                              <w:autoSpaceDE w:val="0"/>
                              <w:autoSpaceDN w:val="0"/>
                              <w:spacing w:line="240" w:lineRule="exact"/>
                              <w:jc w:val="both"/>
                              <w:textAlignment w:val="center"/>
                              <w:rPr>
                                <w:rFonts w:ascii="標楷體" w:eastAsia="標楷體" w:hAnsi="標楷體"/>
                              </w:rPr>
                            </w:pPr>
                            <w:r w:rsidRPr="00651B97">
                              <w:rPr>
                                <w:rFonts w:ascii="標楷體" w:eastAsia="標楷體" w:hAnsi="標楷體" w:hint="eastAsia"/>
                                <w:color w:val="000000" w:themeColor="text1"/>
                              </w:rPr>
                              <w:t>廣慈D標</w:t>
                            </w:r>
                          </w:p>
                        </w:tc>
                        <w:tc>
                          <w:tcPr>
                            <w:tcW w:w="1276" w:type="dxa"/>
                            <w:vAlign w:val="center"/>
                          </w:tcPr>
                          <w:p w14:paraId="42BCB356" w14:textId="77777777" w:rsidR="00F1456A" w:rsidRPr="008343A2" w:rsidRDefault="00F1456A" w:rsidP="00696621">
                            <w:pPr>
                              <w:kinsoku w:val="0"/>
                              <w:overflowPunct w:val="0"/>
                              <w:autoSpaceDE w:val="0"/>
                              <w:autoSpaceDN w:val="0"/>
                              <w:spacing w:line="240" w:lineRule="exact"/>
                              <w:jc w:val="right"/>
                              <w:textAlignment w:val="center"/>
                              <w:rPr>
                                <w:rFonts w:ascii="標楷體" w:eastAsia="標楷體" w:hAnsi="標楷體"/>
                                <w:color w:val="FF0000"/>
                              </w:rPr>
                            </w:pPr>
                            <w:r>
                              <w:rPr>
                                <w:rFonts w:ascii="標楷體" w:eastAsia="標楷體" w:hAnsi="標楷體" w:hint="eastAsia"/>
                                <w:color w:val="000000"/>
                              </w:rPr>
                              <w:t>3</w:t>
                            </w:r>
                            <w:r>
                              <w:rPr>
                                <w:rFonts w:ascii="標楷體" w:eastAsia="標楷體" w:hAnsi="標楷體"/>
                                <w:color w:val="000000"/>
                              </w:rPr>
                              <w:t>,395,000</w:t>
                            </w:r>
                          </w:p>
                        </w:tc>
                        <w:tc>
                          <w:tcPr>
                            <w:tcW w:w="987" w:type="dxa"/>
                            <w:vAlign w:val="center"/>
                          </w:tcPr>
                          <w:p w14:paraId="5C38D264"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r w:rsidRPr="008343A2">
                              <w:rPr>
                                <w:rFonts w:ascii="MS Gothic" w:eastAsia="MS Gothic" w:hAnsi="MS Gothic" w:cs="MS Gothic" w:hint="eastAsia"/>
                                <w:shd w:val="clear" w:color="auto" w:fill="FFFFFF"/>
                              </w:rPr>
                              <w:t>✓</w:t>
                            </w:r>
                          </w:p>
                        </w:tc>
                        <w:tc>
                          <w:tcPr>
                            <w:tcW w:w="993" w:type="dxa"/>
                            <w:vAlign w:val="center"/>
                          </w:tcPr>
                          <w:p w14:paraId="0AEC329A"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p>
                        </w:tc>
                        <w:tc>
                          <w:tcPr>
                            <w:tcW w:w="850" w:type="dxa"/>
                            <w:vAlign w:val="center"/>
                          </w:tcPr>
                          <w:p w14:paraId="225E037B"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p>
                        </w:tc>
                        <w:tc>
                          <w:tcPr>
                            <w:tcW w:w="992" w:type="dxa"/>
                            <w:vAlign w:val="center"/>
                          </w:tcPr>
                          <w:p w14:paraId="0BB84EBE" w14:textId="77777777" w:rsidR="00F1456A" w:rsidRPr="008343A2" w:rsidRDefault="00F1456A" w:rsidP="004524CF">
                            <w:pPr>
                              <w:kinsoku w:val="0"/>
                              <w:overflowPunct w:val="0"/>
                              <w:autoSpaceDE w:val="0"/>
                              <w:autoSpaceDN w:val="0"/>
                              <w:spacing w:line="240" w:lineRule="exact"/>
                              <w:jc w:val="center"/>
                              <w:textAlignment w:val="center"/>
                              <w:rPr>
                                <w:rFonts w:ascii="標楷體" w:eastAsia="標楷體" w:hAnsi="標楷體"/>
                                <w:color w:val="FF0000"/>
                              </w:rPr>
                            </w:pPr>
                          </w:p>
                        </w:tc>
                      </w:tr>
                      <w:tr w:rsidR="00F1456A" w:rsidRPr="00F82E8D" w14:paraId="14CB9E9E" w14:textId="77777777" w:rsidTr="00B47AB9">
                        <w:tc>
                          <w:tcPr>
                            <w:tcW w:w="426" w:type="dxa"/>
                            <w:vAlign w:val="center"/>
                          </w:tcPr>
                          <w:p w14:paraId="0D7AD394" w14:textId="77777777" w:rsidR="00F1456A" w:rsidRPr="00651B97" w:rsidRDefault="00F1456A" w:rsidP="00696621">
                            <w:pPr>
                              <w:kinsoku w:val="0"/>
                              <w:overflowPunct w:val="0"/>
                              <w:autoSpaceDE w:val="0"/>
                              <w:autoSpaceDN w:val="0"/>
                              <w:spacing w:line="240" w:lineRule="exact"/>
                              <w:jc w:val="center"/>
                              <w:textAlignment w:val="center"/>
                              <w:rPr>
                                <w:rFonts w:ascii="標楷體" w:eastAsia="標楷體" w:hAnsi="標楷體"/>
                              </w:rPr>
                            </w:pPr>
                            <w:r w:rsidRPr="00651B97">
                              <w:rPr>
                                <w:rFonts w:ascii="標楷體" w:eastAsia="標楷體" w:hAnsi="標楷體" w:hint="eastAsia"/>
                              </w:rPr>
                              <w:t>3</w:t>
                            </w:r>
                          </w:p>
                        </w:tc>
                        <w:tc>
                          <w:tcPr>
                            <w:tcW w:w="1275" w:type="dxa"/>
                            <w:vAlign w:val="center"/>
                          </w:tcPr>
                          <w:p w14:paraId="3C139BCC" w14:textId="77777777" w:rsidR="00F1456A" w:rsidRPr="00651B97" w:rsidRDefault="00F1456A" w:rsidP="00696621">
                            <w:pPr>
                              <w:kinsoku w:val="0"/>
                              <w:overflowPunct w:val="0"/>
                              <w:autoSpaceDE w:val="0"/>
                              <w:autoSpaceDN w:val="0"/>
                              <w:spacing w:line="240" w:lineRule="exact"/>
                              <w:jc w:val="both"/>
                              <w:textAlignment w:val="center"/>
                              <w:rPr>
                                <w:rFonts w:ascii="標楷體" w:eastAsia="標楷體" w:hAnsi="標楷體"/>
                              </w:rPr>
                            </w:pPr>
                            <w:r w:rsidRPr="00651B97">
                              <w:rPr>
                                <w:rFonts w:ascii="標楷體" w:eastAsia="標楷體" w:hAnsi="標楷體" w:hint="eastAsia"/>
                              </w:rPr>
                              <w:t>河濱高中基地標</w:t>
                            </w:r>
                          </w:p>
                        </w:tc>
                        <w:tc>
                          <w:tcPr>
                            <w:tcW w:w="1276" w:type="dxa"/>
                            <w:vAlign w:val="center"/>
                          </w:tcPr>
                          <w:p w14:paraId="574CC271" w14:textId="77777777" w:rsidR="00F1456A" w:rsidRPr="008343A2" w:rsidRDefault="00F1456A" w:rsidP="00696621">
                            <w:pPr>
                              <w:kinsoku w:val="0"/>
                              <w:overflowPunct w:val="0"/>
                              <w:autoSpaceDE w:val="0"/>
                              <w:autoSpaceDN w:val="0"/>
                              <w:spacing w:line="240" w:lineRule="exact"/>
                              <w:jc w:val="right"/>
                              <w:textAlignment w:val="center"/>
                              <w:rPr>
                                <w:rFonts w:ascii="MS Gothic" w:eastAsia="MS Gothic" w:hAnsi="MS Gothic" w:cs="MS Gothic"/>
                                <w:shd w:val="clear" w:color="auto" w:fill="FFFFFF"/>
                              </w:rPr>
                            </w:pPr>
                            <w:r>
                              <w:rPr>
                                <w:rFonts w:ascii="標楷體" w:eastAsia="標楷體" w:hAnsi="標楷體" w:hint="eastAsia"/>
                                <w:color w:val="000000"/>
                              </w:rPr>
                              <w:t>2</w:t>
                            </w:r>
                            <w:r>
                              <w:rPr>
                                <w:rFonts w:ascii="標楷體" w:eastAsia="標楷體" w:hAnsi="標楷體"/>
                                <w:color w:val="000000"/>
                              </w:rPr>
                              <w:t>,647</w:t>
                            </w:r>
                            <w:r>
                              <w:rPr>
                                <w:rFonts w:ascii="標楷體" w:eastAsia="標楷體" w:hAnsi="標楷體" w:hint="eastAsia"/>
                                <w:color w:val="000000"/>
                              </w:rPr>
                              <w:t>,</w:t>
                            </w:r>
                            <w:r>
                              <w:rPr>
                                <w:rFonts w:ascii="標楷體" w:eastAsia="標楷體" w:hAnsi="標楷體"/>
                                <w:color w:val="000000"/>
                              </w:rPr>
                              <w:t>438</w:t>
                            </w:r>
                          </w:p>
                        </w:tc>
                        <w:tc>
                          <w:tcPr>
                            <w:tcW w:w="987" w:type="dxa"/>
                            <w:vAlign w:val="center"/>
                          </w:tcPr>
                          <w:p w14:paraId="36CC4104"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p>
                        </w:tc>
                        <w:tc>
                          <w:tcPr>
                            <w:tcW w:w="993" w:type="dxa"/>
                            <w:vAlign w:val="center"/>
                          </w:tcPr>
                          <w:p w14:paraId="54E719BB"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r w:rsidRPr="008343A2">
                              <w:rPr>
                                <w:rFonts w:ascii="MS Gothic" w:eastAsia="MS Gothic" w:hAnsi="MS Gothic" w:cs="MS Gothic" w:hint="eastAsia"/>
                                <w:shd w:val="clear" w:color="auto" w:fill="FFFFFF"/>
                              </w:rPr>
                              <w:t>✓</w:t>
                            </w:r>
                          </w:p>
                        </w:tc>
                        <w:tc>
                          <w:tcPr>
                            <w:tcW w:w="850" w:type="dxa"/>
                            <w:vAlign w:val="center"/>
                          </w:tcPr>
                          <w:p w14:paraId="40D30EA0"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r w:rsidRPr="008343A2">
                              <w:rPr>
                                <w:rFonts w:ascii="MS Gothic" w:eastAsia="MS Gothic" w:hAnsi="MS Gothic" w:cs="MS Gothic" w:hint="eastAsia"/>
                                <w:shd w:val="clear" w:color="auto" w:fill="FFFFFF"/>
                              </w:rPr>
                              <w:t>✓</w:t>
                            </w:r>
                          </w:p>
                        </w:tc>
                        <w:tc>
                          <w:tcPr>
                            <w:tcW w:w="992" w:type="dxa"/>
                            <w:vAlign w:val="center"/>
                          </w:tcPr>
                          <w:p w14:paraId="7BE4D4FB"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r w:rsidRPr="008343A2">
                              <w:rPr>
                                <w:rFonts w:ascii="MS Gothic" w:eastAsia="MS Gothic" w:hAnsi="MS Gothic" w:cs="MS Gothic" w:hint="eastAsia"/>
                                <w:shd w:val="clear" w:color="auto" w:fill="FFFFFF"/>
                              </w:rPr>
                              <w:t>✓</w:t>
                            </w:r>
                          </w:p>
                        </w:tc>
                      </w:tr>
                      <w:tr w:rsidR="00F1456A" w:rsidRPr="00F82E8D" w14:paraId="7B63EF02" w14:textId="77777777" w:rsidTr="00B47AB9">
                        <w:tc>
                          <w:tcPr>
                            <w:tcW w:w="426" w:type="dxa"/>
                            <w:vAlign w:val="center"/>
                          </w:tcPr>
                          <w:p w14:paraId="6290C992" w14:textId="77777777" w:rsidR="00F1456A" w:rsidRPr="00651B97" w:rsidRDefault="00F1456A" w:rsidP="00696621">
                            <w:pPr>
                              <w:kinsoku w:val="0"/>
                              <w:overflowPunct w:val="0"/>
                              <w:autoSpaceDE w:val="0"/>
                              <w:autoSpaceDN w:val="0"/>
                              <w:spacing w:line="240" w:lineRule="exact"/>
                              <w:jc w:val="center"/>
                              <w:textAlignment w:val="center"/>
                              <w:rPr>
                                <w:rFonts w:ascii="標楷體" w:eastAsia="標楷體" w:hAnsi="標楷體"/>
                              </w:rPr>
                            </w:pPr>
                            <w:r w:rsidRPr="00651B97">
                              <w:rPr>
                                <w:rFonts w:ascii="標楷體" w:eastAsia="標楷體" w:hAnsi="標楷體" w:hint="eastAsia"/>
                              </w:rPr>
                              <w:t>4</w:t>
                            </w:r>
                          </w:p>
                        </w:tc>
                        <w:tc>
                          <w:tcPr>
                            <w:tcW w:w="1275" w:type="dxa"/>
                            <w:vAlign w:val="center"/>
                          </w:tcPr>
                          <w:p w14:paraId="6791CC64" w14:textId="77777777" w:rsidR="00F1456A" w:rsidRPr="00651B97" w:rsidRDefault="00F1456A" w:rsidP="00696621">
                            <w:pPr>
                              <w:kinsoku w:val="0"/>
                              <w:overflowPunct w:val="0"/>
                              <w:autoSpaceDE w:val="0"/>
                              <w:autoSpaceDN w:val="0"/>
                              <w:spacing w:line="240" w:lineRule="exact"/>
                              <w:jc w:val="both"/>
                              <w:textAlignment w:val="center"/>
                              <w:rPr>
                                <w:rFonts w:ascii="標楷體" w:eastAsia="標楷體" w:hAnsi="標楷體"/>
                              </w:rPr>
                            </w:pPr>
                            <w:r w:rsidRPr="00651B97">
                              <w:rPr>
                                <w:rFonts w:ascii="標楷體" w:eastAsia="標楷體" w:hAnsi="標楷體" w:hint="eastAsia"/>
                              </w:rPr>
                              <w:t>華興</w:t>
                            </w:r>
                            <w:proofErr w:type="gramStart"/>
                            <w:r w:rsidRPr="00651B97">
                              <w:rPr>
                                <w:rFonts w:ascii="標楷體" w:eastAsia="標楷體" w:hAnsi="標楷體" w:hint="eastAsia"/>
                              </w:rPr>
                              <w:t>公宅標</w:t>
                            </w:r>
                            <w:proofErr w:type="gramEnd"/>
                          </w:p>
                        </w:tc>
                        <w:tc>
                          <w:tcPr>
                            <w:tcW w:w="1276" w:type="dxa"/>
                            <w:vAlign w:val="center"/>
                          </w:tcPr>
                          <w:p w14:paraId="5F5AF6D0" w14:textId="77777777" w:rsidR="00F1456A" w:rsidRPr="008343A2" w:rsidRDefault="00F1456A" w:rsidP="00696621">
                            <w:pPr>
                              <w:kinsoku w:val="0"/>
                              <w:overflowPunct w:val="0"/>
                              <w:autoSpaceDE w:val="0"/>
                              <w:autoSpaceDN w:val="0"/>
                              <w:spacing w:line="240" w:lineRule="exact"/>
                              <w:jc w:val="right"/>
                              <w:textAlignment w:val="center"/>
                              <w:rPr>
                                <w:rFonts w:ascii="MS Gothic" w:eastAsia="MS Gothic" w:hAnsi="MS Gothic" w:cs="MS Gothic"/>
                                <w:shd w:val="clear" w:color="auto" w:fill="FFFFFF"/>
                              </w:rPr>
                            </w:pPr>
                            <w:r>
                              <w:rPr>
                                <w:rFonts w:ascii="標楷體" w:eastAsia="標楷體" w:hAnsi="標楷體" w:hint="eastAsia"/>
                                <w:color w:val="000000"/>
                              </w:rPr>
                              <w:t>8</w:t>
                            </w:r>
                            <w:r>
                              <w:rPr>
                                <w:rFonts w:ascii="標楷體" w:eastAsia="標楷體" w:hAnsi="標楷體"/>
                                <w:color w:val="000000"/>
                              </w:rPr>
                              <w:t>23</w:t>
                            </w:r>
                            <w:r>
                              <w:rPr>
                                <w:rFonts w:ascii="標楷體" w:eastAsia="標楷體" w:hAnsi="標楷體" w:hint="eastAsia"/>
                                <w:color w:val="000000"/>
                              </w:rPr>
                              <w:t>,</w:t>
                            </w:r>
                            <w:r>
                              <w:rPr>
                                <w:rFonts w:ascii="標楷體" w:eastAsia="標楷體" w:hAnsi="標楷體"/>
                                <w:color w:val="000000"/>
                              </w:rPr>
                              <w:t>900</w:t>
                            </w:r>
                          </w:p>
                        </w:tc>
                        <w:tc>
                          <w:tcPr>
                            <w:tcW w:w="987" w:type="dxa"/>
                            <w:vAlign w:val="center"/>
                          </w:tcPr>
                          <w:p w14:paraId="3FBB6546"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p>
                        </w:tc>
                        <w:tc>
                          <w:tcPr>
                            <w:tcW w:w="993" w:type="dxa"/>
                            <w:vAlign w:val="center"/>
                          </w:tcPr>
                          <w:p w14:paraId="132914DC"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p>
                        </w:tc>
                        <w:tc>
                          <w:tcPr>
                            <w:tcW w:w="850" w:type="dxa"/>
                            <w:vAlign w:val="center"/>
                          </w:tcPr>
                          <w:p w14:paraId="2A11FB03"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p>
                        </w:tc>
                        <w:tc>
                          <w:tcPr>
                            <w:tcW w:w="992" w:type="dxa"/>
                            <w:vAlign w:val="center"/>
                          </w:tcPr>
                          <w:p w14:paraId="0ED779AF" w14:textId="77777777" w:rsidR="00F1456A" w:rsidRPr="008343A2" w:rsidRDefault="00F1456A" w:rsidP="004524CF">
                            <w:pPr>
                              <w:kinsoku w:val="0"/>
                              <w:overflowPunct w:val="0"/>
                              <w:autoSpaceDE w:val="0"/>
                              <w:autoSpaceDN w:val="0"/>
                              <w:spacing w:line="240" w:lineRule="exact"/>
                              <w:jc w:val="center"/>
                              <w:textAlignment w:val="center"/>
                              <w:rPr>
                                <w:rFonts w:ascii="MS Gothic" w:eastAsia="MS Gothic" w:hAnsi="MS Gothic" w:cs="MS Gothic"/>
                                <w:shd w:val="clear" w:color="auto" w:fill="FFFFFF"/>
                              </w:rPr>
                            </w:pPr>
                            <w:r w:rsidRPr="008343A2">
                              <w:rPr>
                                <w:rFonts w:ascii="MS Gothic" w:eastAsia="MS Gothic" w:hAnsi="MS Gothic" w:cs="MS Gothic" w:hint="eastAsia"/>
                                <w:shd w:val="clear" w:color="auto" w:fill="FFFFFF"/>
                              </w:rPr>
                              <w:t>✓</w:t>
                            </w:r>
                          </w:p>
                        </w:tc>
                      </w:tr>
                    </w:tbl>
                    <w:p w14:paraId="43D52805" w14:textId="77777777" w:rsidR="00F1456A" w:rsidRPr="00696621" w:rsidRDefault="00F1456A" w:rsidP="00F1456A">
                      <w:pPr>
                        <w:kinsoku w:val="0"/>
                        <w:overflowPunct w:val="0"/>
                        <w:autoSpaceDE w:val="0"/>
                        <w:autoSpaceDN w:val="0"/>
                        <w:spacing w:line="240" w:lineRule="exact"/>
                        <w:jc w:val="both"/>
                        <w:textAlignment w:val="center"/>
                        <w:rPr>
                          <w:rFonts w:ascii="標楷體" w:eastAsia="標楷體" w:hAnsi="標楷體"/>
                          <w:sz w:val="18"/>
                          <w:szCs w:val="18"/>
                        </w:rPr>
                      </w:pPr>
                      <w:r w:rsidRPr="00F56DB3">
                        <w:rPr>
                          <w:rFonts w:ascii="標楷體" w:eastAsia="標楷體" w:hAnsi="標楷體" w:hint="eastAsia"/>
                          <w:sz w:val="18"/>
                          <w:szCs w:val="18"/>
                        </w:rPr>
                        <w:t>資料來源：</w:t>
                      </w:r>
                      <w:r w:rsidRPr="00651B97">
                        <w:rPr>
                          <w:rFonts w:ascii="標楷體" w:eastAsia="標楷體" w:hAnsi="標楷體" w:hint="eastAsia"/>
                          <w:sz w:val="18"/>
                          <w:szCs w:val="18"/>
                        </w:rPr>
                        <w:t>整理自行政院公共工程委員會「公共工程雲端服務網」。</w:t>
                      </w:r>
                    </w:p>
                  </w:txbxContent>
                </v:textbox>
                <w10:wrap type="square"/>
              </v:shape>
            </w:pict>
          </mc:Fallback>
        </mc:AlternateContent>
      </w:r>
      <w:r w:rsidRPr="002D4952">
        <w:rPr>
          <w:rFonts w:ascii="標楷體" w:eastAsia="標楷體" w:hAnsi="標楷體" w:hint="eastAsia"/>
          <w:color w:val="000000" w:themeColor="text1"/>
        </w:rPr>
        <w:t>規定期限提送，惟都</w:t>
      </w:r>
      <w:r>
        <w:rPr>
          <w:rFonts w:ascii="標楷體" w:eastAsia="標楷體" w:hAnsi="標楷體" w:hint="eastAsia"/>
          <w:color w:val="000000" w:themeColor="text1"/>
        </w:rPr>
        <w:t>市</w:t>
      </w:r>
      <w:r w:rsidRPr="002D4952">
        <w:rPr>
          <w:rFonts w:ascii="標楷體" w:eastAsia="標楷體" w:hAnsi="標楷體" w:hint="eastAsia"/>
          <w:color w:val="000000" w:themeColor="text1"/>
        </w:rPr>
        <w:t>發</w:t>
      </w:r>
      <w:r>
        <w:rPr>
          <w:rFonts w:ascii="標楷體" w:eastAsia="標楷體" w:hAnsi="標楷體" w:hint="eastAsia"/>
          <w:color w:val="000000" w:themeColor="text1"/>
        </w:rPr>
        <w:t>展</w:t>
      </w:r>
      <w:r w:rsidRPr="002D4952">
        <w:rPr>
          <w:rFonts w:ascii="標楷體" w:eastAsia="標楷體" w:hAnsi="標楷體" w:hint="eastAsia"/>
          <w:color w:val="000000" w:themeColor="text1"/>
        </w:rPr>
        <w:t>局未依約檢討</w:t>
      </w:r>
      <w:proofErr w:type="gramStart"/>
      <w:r w:rsidRPr="002D4952">
        <w:rPr>
          <w:rFonts w:ascii="標楷體" w:eastAsia="標楷體" w:hAnsi="標楷體" w:hint="eastAsia"/>
          <w:color w:val="000000" w:themeColor="text1"/>
        </w:rPr>
        <w:t>扣罰等情事</w:t>
      </w:r>
      <w:proofErr w:type="gramEnd"/>
      <w:r w:rsidRPr="002D4952">
        <w:rPr>
          <w:rFonts w:ascii="標楷體" w:eastAsia="標楷體" w:hAnsi="標楷體" w:hint="eastAsia"/>
          <w:color w:val="000000" w:themeColor="text1"/>
        </w:rPr>
        <w:t>（表</w:t>
      </w:r>
      <w:r>
        <w:rPr>
          <w:rFonts w:ascii="標楷體" w:eastAsia="標楷體" w:hAnsi="標楷體"/>
          <w:color w:val="000000" w:themeColor="text1"/>
        </w:rPr>
        <w:t>4</w:t>
      </w:r>
      <w:r w:rsidRPr="002D4952">
        <w:rPr>
          <w:rFonts w:ascii="標楷體" w:eastAsia="標楷體" w:hAnsi="標楷體" w:hint="eastAsia"/>
          <w:color w:val="000000" w:themeColor="text1"/>
        </w:rPr>
        <w:t>），經函請檢討改善。據復：1.經檢討結果，廣慈AB標及廣慈D標等2案已依約分別</w:t>
      </w:r>
      <w:proofErr w:type="gramStart"/>
      <w:r w:rsidRPr="002D4952">
        <w:rPr>
          <w:rFonts w:ascii="標楷體" w:eastAsia="標楷體" w:hAnsi="標楷體" w:hint="eastAsia"/>
          <w:color w:val="000000" w:themeColor="text1"/>
        </w:rPr>
        <w:t>扣罰承商</w:t>
      </w:r>
      <w:proofErr w:type="gramEnd"/>
      <w:r w:rsidRPr="002D4952">
        <w:rPr>
          <w:rFonts w:ascii="標楷體" w:eastAsia="標楷體" w:hAnsi="標楷體" w:hint="eastAsia"/>
          <w:color w:val="000000" w:themeColor="text1"/>
        </w:rPr>
        <w:t>逾期違約金86萬餘元及33萬元，另廣慈AB標專案管理及監造廠商延宕辦理契約變更程序，已依約扣罰服務費共計3萬元，並依「臺北市政府委託技術服務履約績效管理要點」辦理扣分記點；2.經檢討結果，廣慈AB標已</w:t>
      </w:r>
      <w:proofErr w:type="gramStart"/>
      <w:r w:rsidRPr="002D4952">
        <w:rPr>
          <w:rFonts w:ascii="標楷體" w:eastAsia="標楷體" w:hAnsi="標楷體" w:hint="eastAsia"/>
          <w:color w:val="000000" w:themeColor="text1"/>
        </w:rPr>
        <w:t>扣罰承商</w:t>
      </w:r>
      <w:proofErr w:type="gramEnd"/>
      <w:r w:rsidRPr="002D4952">
        <w:rPr>
          <w:rFonts w:ascii="標楷體" w:eastAsia="標楷體" w:hAnsi="標楷體" w:hint="eastAsia"/>
          <w:color w:val="000000" w:themeColor="text1"/>
        </w:rPr>
        <w:t>逾期違約金216萬餘元，並扣罰專案管理及監造廠商服務費共計64萬餘元，另河濱高中基地標，依約應分</w:t>
      </w:r>
      <w:proofErr w:type="gramStart"/>
      <w:r w:rsidRPr="002D4952">
        <w:rPr>
          <w:rFonts w:ascii="標楷體" w:eastAsia="標楷體" w:hAnsi="標楷體" w:hint="eastAsia"/>
          <w:color w:val="000000" w:themeColor="text1"/>
        </w:rPr>
        <w:t>別扣罰承</w:t>
      </w:r>
      <w:proofErr w:type="gramEnd"/>
      <w:r w:rsidRPr="002D4952">
        <w:rPr>
          <w:rFonts w:ascii="標楷體" w:eastAsia="標楷體" w:hAnsi="標楷體" w:hint="eastAsia"/>
          <w:color w:val="000000" w:themeColor="text1"/>
        </w:rPr>
        <w:t>商453萬元及264萬餘元，將於給付尾款時</w:t>
      </w:r>
      <w:proofErr w:type="gramStart"/>
      <w:r w:rsidRPr="002D4952">
        <w:rPr>
          <w:rFonts w:ascii="標楷體" w:eastAsia="標楷體" w:hAnsi="標楷體" w:hint="eastAsia"/>
          <w:color w:val="000000" w:themeColor="text1"/>
        </w:rPr>
        <w:t>辦理扣回</w:t>
      </w:r>
      <w:proofErr w:type="gramEnd"/>
      <w:r w:rsidRPr="002D4952">
        <w:rPr>
          <w:rFonts w:ascii="標楷體" w:eastAsia="標楷體" w:hAnsi="標楷體" w:hint="eastAsia"/>
          <w:color w:val="000000" w:themeColor="text1"/>
        </w:rPr>
        <w:t>；3.經檢討結果，河濱高中基地標及華興</w:t>
      </w:r>
      <w:proofErr w:type="gramStart"/>
      <w:r w:rsidRPr="002D4952">
        <w:rPr>
          <w:rFonts w:ascii="標楷體" w:eastAsia="標楷體" w:hAnsi="標楷體" w:hint="eastAsia"/>
          <w:color w:val="000000" w:themeColor="text1"/>
        </w:rPr>
        <w:t>公宅標</w:t>
      </w:r>
      <w:proofErr w:type="gramEnd"/>
      <w:r w:rsidRPr="002D4952">
        <w:rPr>
          <w:rFonts w:ascii="標楷體" w:eastAsia="標楷體" w:hAnsi="標楷體" w:hint="eastAsia"/>
          <w:color w:val="000000" w:themeColor="text1"/>
        </w:rPr>
        <w:t>等2案依約應分</w:t>
      </w:r>
      <w:proofErr w:type="gramStart"/>
      <w:r w:rsidRPr="002D4952">
        <w:rPr>
          <w:rFonts w:ascii="標楷體" w:eastAsia="標楷體" w:hAnsi="標楷體" w:hint="eastAsia"/>
          <w:color w:val="000000" w:themeColor="text1"/>
        </w:rPr>
        <w:t>別扣罰承</w:t>
      </w:r>
      <w:proofErr w:type="gramEnd"/>
      <w:r w:rsidRPr="002D4952">
        <w:rPr>
          <w:rFonts w:ascii="標楷體" w:eastAsia="標楷體" w:hAnsi="標楷體" w:hint="eastAsia"/>
          <w:color w:val="000000" w:themeColor="text1"/>
        </w:rPr>
        <w:t>商逾期違約金31萬元及17萬元，將於給付尾款時</w:t>
      </w:r>
      <w:proofErr w:type="gramStart"/>
      <w:r w:rsidRPr="002D4952">
        <w:rPr>
          <w:rFonts w:ascii="標楷體" w:eastAsia="標楷體" w:hAnsi="標楷體" w:hint="eastAsia"/>
          <w:color w:val="000000" w:themeColor="text1"/>
        </w:rPr>
        <w:t>辦理扣回</w:t>
      </w:r>
      <w:proofErr w:type="gramEnd"/>
      <w:r>
        <w:rPr>
          <w:rFonts w:ascii="標楷體" w:eastAsia="標楷體" w:hAnsi="標楷體" w:hint="eastAsia"/>
        </w:rPr>
        <w:t>。</w:t>
      </w:r>
    </w:p>
    <w:p w14:paraId="02EEBF4C" w14:textId="77777777" w:rsidR="00F1456A" w:rsidRPr="00881FAC" w:rsidRDefault="00F1456A" w:rsidP="00F1456A">
      <w:pPr>
        <w:overflowPunct w:val="0"/>
        <w:snapToGrid w:val="0"/>
        <w:spacing w:beforeLines="20" w:before="72" w:afterLines="20" w:after="72" w:line="440" w:lineRule="exact"/>
        <w:ind w:firstLineChars="100" w:firstLine="280"/>
        <w:jc w:val="both"/>
        <w:rPr>
          <w:rFonts w:ascii="標楷體" w:eastAsia="標楷體"/>
          <w:b/>
          <w:sz w:val="28"/>
          <w:szCs w:val="28"/>
        </w:rPr>
      </w:pPr>
      <w:r>
        <w:rPr>
          <w:rFonts w:ascii="標楷體" w:eastAsia="標楷體" w:hint="eastAsia"/>
          <w:b/>
          <w:sz w:val="28"/>
          <w:szCs w:val="28"/>
        </w:rPr>
        <w:t>（五）</w:t>
      </w:r>
      <w:r w:rsidRPr="005713D0">
        <w:rPr>
          <w:rFonts w:ascii="標楷體" w:eastAsia="標楷體" w:hint="eastAsia"/>
          <w:b/>
          <w:sz w:val="28"/>
          <w:szCs w:val="28"/>
        </w:rPr>
        <w:t>持續推動建築物外牆安全診斷申報作業，惟迄113年底仍有逾</w:t>
      </w:r>
      <w:proofErr w:type="gramStart"/>
      <w:r w:rsidRPr="005713D0">
        <w:rPr>
          <w:rFonts w:ascii="標楷體" w:eastAsia="標楷體" w:hint="eastAsia"/>
          <w:b/>
          <w:sz w:val="28"/>
          <w:szCs w:val="28"/>
        </w:rPr>
        <w:t>7成</w:t>
      </w:r>
      <w:proofErr w:type="gramEnd"/>
      <w:r w:rsidRPr="005713D0">
        <w:rPr>
          <w:rFonts w:ascii="標楷體" w:eastAsia="標楷體" w:hint="eastAsia"/>
          <w:b/>
          <w:sz w:val="28"/>
          <w:szCs w:val="28"/>
        </w:rPr>
        <w:t>商業區建物未申報或為「有公共安全之虞」待修繕者；另推動公共安全檢查申報制度，</w:t>
      </w:r>
      <w:proofErr w:type="gramStart"/>
      <w:r w:rsidRPr="005713D0">
        <w:rPr>
          <w:rFonts w:ascii="標楷體" w:eastAsia="標楷體" w:hint="eastAsia"/>
          <w:b/>
          <w:sz w:val="28"/>
          <w:szCs w:val="28"/>
        </w:rPr>
        <w:t>亦間有未</w:t>
      </w:r>
      <w:proofErr w:type="gramEnd"/>
      <w:r w:rsidRPr="005713D0">
        <w:rPr>
          <w:rFonts w:ascii="標楷體" w:eastAsia="標楷體" w:hint="eastAsia"/>
          <w:b/>
          <w:sz w:val="28"/>
          <w:szCs w:val="28"/>
        </w:rPr>
        <w:t>掌握應申報卻未申報場所現況等，有待</w:t>
      </w:r>
      <w:proofErr w:type="gramStart"/>
      <w:r w:rsidRPr="005713D0">
        <w:rPr>
          <w:rFonts w:ascii="標楷體" w:eastAsia="標楷體" w:hint="eastAsia"/>
          <w:b/>
          <w:sz w:val="28"/>
          <w:szCs w:val="28"/>
        </w:rPr>
        <w:t>積極妥處</w:t>
      </w:r>
      <w:proofErr w:type="gramEnd"/>
      <w:r w:rsidRPr="00881FAC">
        <w:rPr>
          <w:rFonts w:ascii="標楷體" w:eastAsia="標楷體" w:hint="eastAsia"/>
          <w:b/>
          <w:sz w:val="28"/>
          <w:szCs w:val="28"/>
        </w:rPr>
        <w:t>。</w:t>
      </w:r>
    </w:p>
    <w:p w14:paraId="1C2D8793" w14:textId="6F36CC2F" w:rsidR="00F1456A" w:rsidRPr="005D009F" w:rsidRDefault="00F1456A" w:rsidP="005D009F">
      <w:pPr>
        <w:overflowPunct w:val="0"/>
        <w:spacing w:line="420" w:lineRule="exact"/>
        <w:ind w:firstLineChars="200" w:firstLine="480"/>
        <w:jc w:val="both"/>
        <w:rPr>
          <w:rFonts w:ascii="標楷體" w:eastAsia="標楷體" w:hAnsi="標楷體"/>
        </w:rPr>
      </w:pPr>
      <w:r w:rsidRPr="005D009F">
        <w:rPr>
          <w:rFonts w:ascii="標楷體" w:eastAsia="標楷體" w:hAnsi="標楷體" w:hint="eastAsia"/>
        </w:rPr>
        <w:t>建築管理工程處肩負臺北市建築物管理職責，執行違反建築法及臺北市高氯離子混凝土建築物善後處理自治條例等規定罰鍰作業，並於「建築業務</w:t>
      </w:r>
      <w:r w:rsidR="005B6040" w:rsidRPr="005D009F">
        <w:rPr>
          <w:rFonts w:ascii="標楷體" w:eastAsia="標楷體" w:hAnsi="標楷體" w:hint="eastAsia"/>
        </w:rPr>
        <w:t>－</w:t>
      </w:r>
      <w:r w:rsidRPr="005D009F">
        <w:rPr>
          <w:rFonts w:ascii="標楷體" w:eastAsia="標楷體" w:hAnsi="標楷體" w:hint="eastAsia"/>
        </w:rPr>
        <w:t>建築管理及違建處理」工作計畫列有「建築物安全檢查及使用」預算，作為推動建築物外牆安全診斷檢查及</w:t>
      </w:r>
      <w:proofErr w:type="gramStart"/>
      <w:r w:rsidRPr="005D009F">
        <w:rPr>
          <w:rFonts w:ascii="標楷體" w:eastAsia="標楷體" w:hAnsi="標楷體" w:hint="eastAsia"/>
        </w:rPr>
        <w:t>飾面剝落勘</w:t>
      </w:r>
      <w:proofErr w:type="gramEnd"/>
      <w:r w:rsidRPr="005D009F">
        <w:rPr>
          <w:rFonts w:ascii="標楷體" w:eastAsia="標楷體" w:hAnsi="標楷體" w:hint="eastAsia"/>
        </w:rPr>
        <w:t>檢、建物公共</w:t>
      </w:r>
      <w:proofErr w:type="gramStart"/>
      <w:r w:rsidRPr="005D009F">
        <w:rPr>
          <w:rFonts w:ascii="標楷體" w:eastAsia="標楷體" w:hAnsi="標楷體" w:hint="eastAsia"/>
        </w:rPr>
        <w:t>安全檢（複</w:t>
      </w:r>
      <w:proofErr w:type="gramEnd"/>
      <w:r w:rsidR="005D009F">
        <w:rPr>
          <w:rFonts w:ascii="標楷體" w:eastAsia="標楷體" w:hAnsi="標楷體" w:hint="eastAsia"/>
        </w:rPr>
        <w:t>）</w:t>
      </w:r>
      <w:r w:rsidRPr="005D009F">
        <w:rPr>
          <w:rFonts w:ascii="標楷體" w:eastAsia="標楷體" w:hAnsi="標楷體" w:hint="eastAsia"/>
        </w:rPr>
        <w:t>查勘檢等經費，</w:t>
      </w:r>
      <w:proofErr w:type="gramStart"/>
      <w:r w:rsidRPr="005D009F">
        <w:rPr>
          <w:rFonts w:ascii="標楷體" w:eastAsia="標楷體" w:hAnsi="標楷體" w:hint="eastAsia"/>
        </w:rPr>
        <w:t>113</w:t>
      </w:r>
      <w:proofErr w:type="gramEnd"/>
      <w:r w:rsidRPr="005D009F">
        <w:rPr>
          <w:rFonts w:ascii="標楷體" w:eastAsia="標楷體" w:hAnsi="標楷體" w:hint="eastAsia"/>
        </w:rPr>
        <w:t>年度編列歲出預算2,</w:t>
      </w:r>
      <w:r w:rsidRPr="005D009F">
        <w:rPr>
          <w:rFonts w:ascii="標楷體" w:eastAsia="標楷體" w:hAnsi="標楷體"/>
        </w:rPr>
        <w:t>880</w:t>
      </w:r>
      <w:r w:rsidRPr="005D009F">
        <w:rPr>
          <w:rFonts w:ascii="標楷體" w:eastAsia="標楷體" w:hAnsi="標楷體" w:hint="eastAsia"/>
        </w:rPr>
        <w:t>萬元。經查推動建築物安全檢查及使用情形，核有下列事項：</w:t>
      </w:r>
    </w:p>
    <w:p w14:paraId="782BF7E2" w14:textId="19C8CE3D" w:rsidR="002D2DED" w:rsidRDefault="005D009F" w:rsidP="005D009F">
      <w:pPr>
        <w:overflowPunct w:val="0"/>
        <w:spacing w:line="424" w:lineRule="exact"/>
        <w:ind w:firstLineChars="200" w:firstLine="640"/>
        <w:jc w:val="both"/>
        <w:rPr>
          <w:rFonts w:ascii="標楷體" w:eastAsia="標楷體" w:hAnsi="標楷體"/>
        </w:rPr>
      </w:pPr>
      <w:r w:rsidRPr="00824503">
        <w:rPr>
          <w:rFonts w:ascii="標楷體" w:eastAsia="標楷體" w:hAnsi="標楷體"/>
          <w:noProof/>
          <w:sz w:val="32"/>
          <w:szCs w:val="28"/>
        </w:rPr>
        <mc:AlternateContent>
          <mc:Choice Requires="wps">
            <w:drawing>
              <wp:anchor distT="45720" distB="45720" distL="114300" distR="114300" simplePos="0" relativeHeight="251825152" behindDoc="0" locked="0" layoutInCell="1" allowOverlap="1" wp14:anchorId="5EF9E92F" wp14:editId="60044D13">
                <wp:simplePos x="0" y="0"/>
                <wp:positionH relativeFrom="margin">
                  <wp:posOffset>2309265</wp:posOffset>
                </wp:positionH>
                <wp:positionV relativeFrom="paragraph">
                  <wp:posOffset>586121</wp:posOffset>
                </wp:positionV>
                <wp:extent cx="4067175" cy="2165350"/>
                <wp:effectExtent l="0" t="0" r="9525" b="6350"/>
                <wp:wrapSquare wrapText="bothSides"/>
                <wp:docPr id="9274195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7175" cy="2165350"/>
                        </a:xfrm>
                        <a:prstGeom prst="rect">
                          <a:avLst/>
                        </a:prstGeom>
                        <a:solidFill>
                          <a:srgbClr val="FFFFFF"/>
                        </a:solidFill>
                        <a:ln w="9525">
                          <a:noFill/>
                          <a:miter lim="800000"/>
                          <a:headEnd/>
                          <a:tailEnd/>
                        </a:ln>
                      </wps:spPr>
                      <wps:txbx>
                        <w:txbxContent>
                          <w:p w14:paraId="6F06E0CD" w14:textId="205D7739" w:rsidR="00F1456A" w:rsidRPr="009E3BB4" w:rsidRDefault="00F1456A" w:rsidP="00F1456A">
                            <w:pPr>
                              <w:spacing w:line="230" w:lineRule="exact"/>
                              <w:jc w:val="center"/>
                              <w:rPr>
                                <w:rFonts w:ascii="標楷體" w:eastAsia="標楷體" w:hAnsi="標楷體"/>
                                <w:b/>
                              </w:rPr>
                            </w:pPr>
                            <w:r w:rsidRPr="009E3BB4">
                              <w:rPr>
                                <w:rFonts w:ascii="標楷體" w:eastAsia="標楷體" w:hAnsi="標楷體" w:hint="eastAsia"/>
                                <w:b/>
                              </w:rPr>
                              <w:t>表</w:t>
                            </w:r>
                            <w:r>
                              <w:rPr>
                                <w:rFonts w:ascii="標楷體" w:eastAsia="標楷體" w:hAnsi="標楷體" w:hint="eastAsia"/>
                                <w:b/>
                              </w:rPr>
                              <w:t>5</w:t>
                            </w:r>
                            <w:r w:rsidRPr="009E3BB4">
                              <w:rPr>
                                <w:rFonts w:ascii="標楷體" w:eastAsia="標楷體" w:hAnsi="標楷體" w:hint="eastAsia"/>
                                <w:b/>
                              </w:rPr>
                              <w:t xml:space="preserve"> </w:t>
                            </w:r>
                            <w:r w:rsidR="002D2DED">
                              <w:rPr>
                                <w:rFonts w:ascii="標楷體" w:eastAsia="標楷體" w:hAnsi="標楷體"/>
                                <w:b/>
                              </w:rPr>
                              <w:t xml:space="preserve"> </w:t>
                            </w:r>
                            <w:r w:rsidRPr="009E3BB4">
                              <w:rPr>
                                <w:rFonts w:ascii="標楷體" w:eastAsia="標楷體" w:hAnsi="標楷體" w:hint="eastAsia"/>
                                <w:b/>
                              </w:rPr>
                              <w:t>截至1</w:t>
                            </w:r>
                            <w:r w:rsidRPr="009E3BB4">
                              <w:rPr>
                                <w:rFonts w:ascii="標楷體" w:eastAsia="標楷體" w:hAnsi="標楷體"/>
                                <w:b/>
                              </w:rPr>
                              <w:t>13</w:t>
                            </w:r>
                            <w:r w:rsidRPr="009E3BB4">
                              <w:rPr>
                                <w:rFonts w:ascii="標楷體" w:eastAsia="標楷體" w:hAnsi="標楷體" w:hint="eastAsia"/>
                                <w:b/>
                              </w:rPr>
                              <w:t>年1</w:t>
                            </w:r>
                            <w:r w:rsidRPr="009E3BB4">
                              <w:rPr>
                                <w:rFonts w:ascii="標楷體" w:eastAsia="標楷體" w:hAnsi="標楷體"/>
                                <w:b/>
                              </w:rPr>
                              <w:t>1</w:t>
                            </w:r>
                            <w:r w:rsidRPr="009E3BB4">
                              <w:rPr>
                                <w:rFonts w:ascii="標楷體" w:eastAsia="標楷體" w:hAnsi="標楷體" w:hint="eastAsia"/>
                                <w:b/>
                              </w:rPr>
                              <w:t>月</w:t>
                            </w:r>
                            <w:proofErr w:type="gramStart"/>
                            <w:r w:rsidRPr="009E3BB4">
                              <w:rPr>
                                <w:rFonts w:ascii="標楷體" w:eastAsia="標楷體" w:hAnsi="標楷體" w:hint="eastAsia"/>
                                <w:b/>
                              </w:rPr>
                              <w:t>止</w:t>
                            </w:r>
                            <w:proofErr w:type="gramEnd"/>
                            <w:r>
                              <w:rPr>
                                <w:rFonts w:ascii="標楷體" w:eastAsia="標楷體" w:hAnsi="標楷體" w:hint="eastAsia"/>
                                <w:b/>
                              </w:rPr>
                              <w:t>臺</w:t>
                            </w:r>
                            <w:r w:rsidRPr="009E3BB4">
                              <w:rPr>
                                <w:rFonts w:ascii="標楷體" w:eastAsia="標楷體" w:hAnsi="標楷體" w:hint="eastAsia"/>
                                <w:b/>
                              </w:rPr>
                              <w:t>北市建築物外牆申報概況</w:t>
                            </w:r>
                          </w:p>
                          <w:p w14:paraId="75EB0B09" w14:textId="2DE30BED" w:rsidR="00F1456A" w:rsidRPr="005B6040" w:rsidRDefault="00F1456A" w:rsidP="005B6040">
                            <w:pPr>
                              <w:spacing w:line="240" w:lineRule="exact"/>
                              <w:jc w:val="right"/>
                              <w:rPr>
                                <w:rFonts w:ascii="標楷體" w:eastAsia="標楷體" w:hAnsi="標楷體"/>
                                <w:sz w:val="20"/>
                              </w:rPr>
                            </w:pPr>
                            <w:r w:rsidRPr="005B6040">
                              <w:rPr>
                                <w:rFonts w:ascii="標楷體" w:eastAsia="標楷體" w:hAnsi="標楷體" w:hint="eastAsia"/>
                                <w:sz w:val="20"/>
                              </w:rPr>
                              <w:t>單位</w:t>
                            </w:r>
                            <w:r w:rsidR="005B6040">
                              <w:rPr>
                                <w:rFonts w:ascii="標楷體" w:eastAsia="標楷體" w:hAnsi="標楷體" w:hint="eastAsia"/>
                                <w:sz w:val="20"/>
                              </w:rPr>
                              <w:t>：</w:t>
                            </w:r>
                            <w:r w:rsidRPr="005B6040">
                              <w:rPr>
                                <w:rFonts w:ascii="標楷體" w:eastAsia="標楷體" w:hAnsi="標楷體" w:hint="eastAsia"/>
                                <w:sz w:val="20"/>
                              </w:rPr>
                              <w:t>棟</w:t>
                            </w:r>
                          </w:p>
                          <w:tbl>
                            <w:tblPr>
                              <w:tblStyle w:val="21"/>
                              <w:tblW w:w="6232" w:type="dxa"/>
                              <w:tblInd w:w="0" w:type="dxa"/>
                              <w:tblLayout w:type="fixed"/>
                              <w:tblLook w:val="04A0" w:firstRow="1" w:lastRow="0" w:firstColumn="1" w:lastColumn="0" w:noHBand="0" w:noVBand="1"/>
                            </w:tblPr>
                            <w:tblGrid>
                              <w:gridCol w:w="988"/>
                              <w:gridCol w:w="850"/>
                              <w:gridCol w:w="992"/>
                              <w:gridCol w:w="709"/>
                              <w:gridCol w:w="567"/>
                              <w:gridCol w:w="1418"/>
                              <w:gridCol w:w="708"/>
                            </w:tblGrid>
                            <w:tr w:rsidR="00F1456A" w:rsidRPr="009E3BB4" w14:paraId="71F06FC3" w14:textId="77777777" w:rsidTr="00DF452B">
                              <w:trPr>
                                <w:trHeight w:val="317"/>
                              </w:trPr>
                              <w:tc>
                                <w:tcPr>
                                  <w:tcW w:w="988" w:type="dxa"/>
                                  <w:vMerge w:val="restart"/>
                                  <w:shd w:val="clear" w:color="auto" w:fill="FFFFFF" w:themeFill="background1"/>
                                  <w:vAlign w:val="center"/>
                                </w:tcPr>
                                <w:p w14:paraId="55134E21" w14:textId="77777777" w:rsidR="00F1456A" w:rsidRPr="005713D0" w:rsidRDefault="00F1456A" w:rsidP="005D009F">
                                  <w:pPr>
                                    <w:spacing w:line="240" w:lineRule="exact"/>
                                    <w:jc w:val="center"/>
                                    <w:rPr>
                                      <w:rFonts w:ascii="標楷體" w:eastAsia="標楷體" w:hAnsi="標楷體"/>
                                    </w:rPr>
                                  </w:pPr>
                                  <w:r w:rsidRPr="005713D0">
                                    <w:rPr>
                                      <w:rFonts w:ascii="標楷體" w:eastAsia="標楷體" w:hAnsi="標楷體" w:hint="eastAsia"/>
                                    </w:rPr>
                                    <w:t>類別</w:t>
                                  </w:r>
                                </w:p>
                              </w:tc>
                              <w:tc>
                                <w:tcPr>
                                  <w:tcW w:w="850" w:type="dxa"/>
                                  <w:vMerge w:val="restart"/>
                                  <w:shd w:val="clear" w:color="auto" w:fill="FFFFFF" w:themeFill="background1"/>
                                  <w:vAlign w:val="center"/>
                                </w:tcPr>
                                <w:p w14:paraId="60A93D8D" w14:textId="77777777" w:rsidR="00F1456A" w:rsidRPr="005713D0" w:rsidRDefault="00F1456A" w:rsidP="005D009F">
                                  <w:pPr>
                                    <w:spacing w:line="240" w:lineRule="exact"/>
                                    <w:jc w:val="center"/>
                                    <w:rPr>
                                      <w:rFonts w:ascii="標楷體" w:eastAsia="標楷體" w:hAnsi="標楷體"/>
                                    </w:rPr>
                                  </w:pPr>
                                  <w:r w:rsidRPr="005713D0">
                                    <w:rPr>
                                      <w:rFonts w:ascii="標楷體" w:eastAsia="標楷體" w:hAnsi="標楷體" w:hint="eastAsia"/>
                                    </w:rPr>
                                    <w:t>應申報</w:t>
                                  </w:r>
                                </w:p>
                              </w:tc>
                              <w:tc>
                                <w:tcPr>
                                  <w:tcW w:w="3686" w:type="dxa"/>
                                  <w:gridSpan w:val="4"/>
                                  <w:shd w:val="clear" w:color="auto" w:fill="FFFFFF" w:themeFill="background1"/>
                                  <w:vAlign w:val="center"/>
                                </w:tcPr>
                                <w:p w14:paraId="57AB23D6" w14:textId="77777777" w:rsidR="00F1456A" w:rsidRPr="005713D0" w:rsidRDefault="00F1456A" w:rsidP="005D009F">
                                  <w:pPr>
                                    <w:spacing w:line="240" w:lineRule="exact"/>
                                    <w:jc w:val="center"/>
                                    <w:rPr>
                                      <w:rFonts w:ascii="標楷體" w:eastAsia="標楷體" w:hAnsi="標楷體"/>
                                      <w:spacing w:val="-10"/>
                                    </w:rPr>
                                  </w:pPr>
                                  <w:r w:rsidRPr="005713D0">
                                    <w:rPr>
                                      <w:rFonts w:ascii="標楷體" w:eastAsia="標楷體" w:hAnsi="標楷體" w:hint="eastAsia"/>
                                      <w:spacing w:val="-10"/>
                                    </w:rPr>
                                    <w:t>已申報</w:t>
                                  </w:r>
                                </w:p>
                              </w:tc>
                              <w:tc>
                                <w:tcPr>
                                  <w:tcW w:w="708" w:type="dxa"/>
                                  <w:vMerge w:val="restart"/>
                                  <w:shd w:val="clear" w:color="auto" w:fill="FFFFFF" w:themeFill="background1"/>
                                  <w:vAlign w:val="center"/>
                                </w:tcPr>
                                <w:p w14:paraId="5B8AABDF" w14:textId="77777777" w:rsidR="00F1456A" w:rsidRPr="005713D0" w:rsidRDefault="00F1456A" w:rsidP="005D009F">
                                  <w:pPr>
                                    <w:spacing w:line="240" w:lineRule="exact"/>
                                    <w:ind w:leftChars="-10" w:left="84" w:rightChars="-10" w:right="-24" w:hangingChars="63" w:hanging="108"/>
                                    <w:jc w:val="center"/>
                                    <w:rPr>
                                      <w:rFonts w:ascii="標楷體" w:eastAsia="標楷體" w:hAnsi="標楷體"/>
                                      <w:spacing w:val="-14"/>
                                    </w:rPr>
                                  </w:pPr>
                                  <w:r w:rsidRPr="005713D0">
                                    <w:rPr>
                                      <w:rFonts w:ascii="標楷體" w:eastAsia="標楷體" w:hAnsi="標楷體" w:hint="eastAsia"/>
                                      <w:spacing w:val="-14"/>
                                    </w:rPr>
                                    <w:t>未申報</w:t>
                                  </w:r>
                                </w:p>
                              </w:tc>
                            </w:tr>
                            <w:tr w:rsidR="00F1456A" w:rsidRPr="009E3BB4" w14:paraId="2E36F856" w14:textId="77777777" w:rsidTr="00DF452B">
                              <w:trPr>
                                <w:trHeight w:val="20"/>
                              </w:trPr>
                              <w:tc>
                                <w:tcPr>
                                  <w:tcW w:w="988" w:type="dxa"/>
                                  <w:vMerge/>
                                  <w:shd w:val="clear" w:color="auto" w:fill="FFFFFF" w:themeFill="background1"/>
                                  <w:vAlign w:val="center"/>
                                </w:tcPr>
                                <w:p w14:paraId="2FFC7F4E" w14:textId="77777777" w:rsidR="00F1456A" w:rsidRPr="005713D0" w:rsidRDefault="00F1456A" w:rsidP="005D009F">
                                  <w:pPr>
                                    <w:spacing w:line="240" w:lineRule="exact"/>
                                    <w:jc w:val="center"/>
                                    <w:rPr>
                                      <w:rFonts w:ascii="標楷體" w:eastAsia="標楷體" w:hAnsi="標楷體"/>
                                    </w:rPr>
                                  </w:pPr>
                                </w:p>
                              </w:tc>
                              <w:tc>
                                <w:tcPr>
                                  <w:tcW w:w="850" w:type="dxa"/>
                                  <w:vMerge/>
                                  <w:shd w:val="clear" w:color="auto" w:fill="FFFFFF" w:themeFill="background1"/>
                                  <w:vAlign w:val="center"/>
                                </w:tcPr>
                                <w:p w14:paraId="04ACA9BB" w14:textId="77777777" w:rsidR="00F1456A" w:rsidRPr="005713D0" w:rsidRDefault="00F1456A" w:rsidP="005D009F">
                                  <w:pPr>
                                    <w:spacing w:line="240" w:lineRule="exact"/>
                                    <w:jc w:val="center"/>
                                    <w:rPr>
                                      <w:rFonts w:ascii="標楷體" w:eastAsia="標楷體" w:hAnsi="標楷體"/>
                                    </w:rPr>
                                  </w:pPr>
                                </w:p>
                              </w:tc>
                              <w:tc>
                                <w:tcPr>
                                  <w:tcW w:w="2268" w:type="dxa"/>
                                  <w:gridSpan w:val="3"/>
                                  <w:shd w:val="clear" w:color="auto" w:fill="FFFFFF" w:themeFill="background1"/>
                                  <w:vAlign w:val="center"/>
                                </w:tcPr>
                                <w:p w14:paraId="6EF82EF7" w14:textId="77777777" w:rsidR="00F1456A" w:rsidRPr="005713D0" w:rsidRDefault="00F1456A" w:rsidP="005D009F">
                                  <w:pPr>
                                    <w:spacing w:line="240" w:lineRule="exact"/>
                                    <w:jc w:val="center"/>
                                    <w:rPr>
                                      <w:rFonts w:ascii="標楷體" w:eastAsia="標楷體" w:hAnsi="標楷體"/>
                                    </w:rPr>
                                  </w:pPr>
                                  <w:r w:rsidRPr="005713D0">
                                    <w:rPr>
                                      <w:rFonts w:ascii="標楷體" w:eastAsia="標楷體" w:hAnsi="標楷體" w:hint="eastAsia"/>
                                    </w:rPr>
                                    <w:t>經專業機構檢查結果</w:t>
                                  </w:r>
                                </w:p>
                              </w:tc>
                              <w:tc>
                                <w:tcPr>
                                  <w:tcW w:w="1418" w:type="dxa"/>
                                  <w:shd w:val="clear" w:color="auto" w:fill="auto"/>
                                </w:tcPr>
                                <w:p w14:paraId="422EB73C" w14:textId="77777777" w:rsidR="00F1456A" w:rsidRPr="005713D0" w:rsidRDefault="00F1456A" w:rsidP="005D009F">
                                  <w:pPr>
                                    <w:spacing w:line="240" w:lineRule="exact"/>
                                    <w:ind w:leftChars="-10" w:left="-24" w:rightChars="-10" w:right="-24"/>
                                    <w:jc w:val="center"/>
                                    <w:rPr>
                                      <w:rFonts w:ascii="標楷體" w:eastAsia="標楷體" w:hAnsi="標楷體"/>
                                      <w:spacing w:val="-14"/>
                                    </w:rPr>
                                  </w:pPr>
                                  <w:r w:rsidRPr="005713D0">
                                    <w:rPr>
                                      <w:rFonts w:ascii="標楷體" w:eastAsia="標楷體" w:hAnsi="標楷體" w:hint="eastAsia"/>
                                      <w:spacing w:val="-14"/>
                                    </w:rPr>
                                    <w:t>建物重新起算年限或解除列管者</w:t>
                                  </w:r>
                                </w:p>
                              </w:tc>
                              <w:tc>
                                <w:tcPr>
                                  <w:tcW w:w="708" w:type="dxa"/>
                                  <w:vMerge/>
                                  <w:shd w:val="clear" w:color="auto" w:fill="FFFFFF" w:themeFill="background1"/>
                                  <w:vAlign w:val="center"/>
                                </w:tcPr>
                                <w:p w14:paraId="15385C3B" w14:textId="77777777" w:rsidR="00F1456A" w:rsidRPr="005713D0" w:rsidRDefault="00F1456A" w:rsidP="005D009F">
                                  <w:pPr>
                                    <w:spacing w:line="240" w:lineRule="exact"/>
                                    <w:jc w:val="center"/>
                                    <w:rPr>
                                      <w:rFonts w:ascii="標楷體" w:eastAsia="標楷體" w:hAnsi="標楷體"/>
                                      <w:spacing w:val="-10"/>
                                    </w:rPr>
                                  </w:pPr>
                                </w:p>
                              </w:tc>
                            </w:tr>
                            <w:tr w:rsidR="00F1456A" w:rsidRPr="00691ED0" w14:paraId="6D65B7EF" w14:textId="77777777" w:rsidTr="00DF452B">
                              <w:trPr>
                                <w:trHeight w:val="245"/>
                              </w:trPr>
                              <w:tc>
                                <w:tcPr>
                                  <w:tcW w:w="988" w:type="dxa"/>
                                  <w:shd w:val="clear" w:color="auto" w:fill="FFFFFF" w:themeFill="background1"/>
                                  <w:vAlign w:val="center"/>
                                </w:tcPr>
                                <w:p w14:paraId="0DE1B7DD" w14:textId="77777777" w:rsidR="00F1456A" w:rsidRPr="00691ED0" w:rsidRDefault="00F1456A" w:rsidP="005D009F">
                                  <w:pPr>
                                    <w:spacing w:line="240" w:lineRule="exact"/>
                                    <w:jc w:val="center"/>
                                    <w:rPr>
                                      <w:rFonts w:ascii="標楷體" w:eastAsia="標楷體" w:hAnsi="標楷體"/>
                                      <w:b/>
                                      <w:bCs/>
                                      <w:spacing w:val="-10"/>
                                    </w:rPr>
                                  </w:pPr>
                                  <w:r w:rsidRPr="00691ED0">
                                    <w:rPr>
                                      <w:rFonts w:ascii="標楷體" w:eastAsia="標楷體" w:hAnsi="標楷體" w:hint="eastAsia"/>
                                      <w:b/>
                                      <w:bCs/>
                                      <w:spacing w:val="-10"/>
                                    </w:rPr>
                                    <w:t>合計</w:t>
                                  </w:r>
                                </w:p>
                              </w:tc>
                              <w:tc>
                                <w:tcPr>
                                  <w:tcW w:w="850" w:type="dxa"/>
                                  <w:shd w:val="clear" w:color="auto" w:fill="FFFFFF" w:themeFill="background1"/>
                                  <w:vAlign w:val="center"/>
                                </w:tcPr>
                                <w:p w14:paraId="27574ABD" w14:textId="77777777" w:rsidR="00F1456A" w:rsidRPr="00691ED0" w:rsidRDefault="00F1456A" w:rsidP="005D009F">
                                  <w:pPr>
                                    <w:spacing w:line="240" w:lineRule="exact"/>
                                    <w:jc w:val="right"/>
                                    <w:rPr>
                                      <w:rFonts w:ascii="標楷體" w:eastAsia="標楷體" w:hAnsi="標楷體"/>
                                      <w:b/>
                                      <w:bCs/>
                                    </w:rPr>
                                  </w:pPr>
                                  <w:r w:rsidRPr="00691ED0">
                                    <w:rPr>
                                      <w:rFonts w:ascii="標楷體" w:eastAsia="標楷體" w:hAnsi="標楷體" w:hint="eastAsia"/>
                                      <w:b/>
                                      <w:bCs/>
                                    </w:rPr>
                                    <w:t>1</w:t>
                                  </w:r>
                                  <w:r w:rsidRPr="00691ED0">
                                    <w:rPr>
                                      <w:rFonts w:ascii="標楷體" w:eastAsia="標楷體" w:hAnsi="標楷體"/>
                                      <w:b/>
                                      <w:bCs/>
                                    </w:rPr>
                                    <w:t>,000</w:t>
                                  </w:r>
                                </w:p>
                              </w:tc>
                              <w:tc>
                                <w:tcPr>
                                  <w:tcW w:w="2268" w:type="dxa"/>
                                  <w:gridSpan w:val="3"/>
                                  <w:shd w:val="clear" w:color="auto" w:fill="FFFFFF" w:themeFill="background1"/>
                                  <w:vAlign w:val="center"/>
                                </w:tcPr>
                                <w:p w14:paraId="5ADB0A01" w14:textId="77777777" w:rsidR="00F1456A" w:rsidRPr="00691ED0" w:rsidRDefault="00F1456A" w:rsidP="005D009F">
                                  <w:pPr>
                                    <w:spacing w:line="240" w:lineRule="exact"/>
                                    <w:jc w:val="right"/>
                                    <w:rPr>
                                      <w:rFonts w:ascii="標楷體" w:eastAsia="標楷體" w:hAnsi="標楷體"/>
                                      <w:b/>
                                      <w:bCs/>
                                    </w:rPr>
                                  </w:pPr>
                                  <w:r w:rsidRPr="00691ED0">
                                    <w:rPr>
                                      <w:rFonts w:ascii="標楷體" w:eastAsia="標楷體" w:hAnsi="標楷體"/>
                                      <w:b/>
                                      <w:bCs/>
                                    </w:rPr>
                                    <w:t>347</w:t>
                                  </w:r>
                                </w:p>
                              </w:tc>
                              <w:tc>
                                <w:tcPr>
                                  <w:tcW w:w="1418" w:type="dxa"/>
                                </w:tcPr>
                                <w:p w14:paraId="201B9DEF" w14:textId="77777777" w:rsidR="00F1456A" w:rsidRPr="00691ED0" w:rsidRDefault="00F1456A" w:rsidP="005D009F">
                                  <w:pPr>
                                    <w:spacing w:line="240" w:lineRule="exact"/>
                                    <w:jc w:val="right"/>
                                    <w:rPr>
                                      <w:rFonts w:ascii="標楷體" w:eastAsia="標楷體" w:hAnsi="標楷體"/>
                                      <w:b/>
                                      <w:bCs/>
                                    </w:rPr>
                                  </w:pPr>
                                  <w:r w:rsidRPr="00691ED0">
                                    <w:rPr>
                                      <w:rFonts w:ascii="標楷體" w:eastAsia="標楷體" w:hAnsi="標楷體" w:hint="eastAsia"/>
                                      <w:b/>
                                      <w:bCs/>
                                    </w:rPr>
                                    <w:t>6</w:t>
                                  </w:r>
                                  <w:r w:rsidRPr="00691ED0">
                                    <w:rPr>
                                      <w:rFonts w:ascii="標楷體" w:eastAsia="標楷體" w:hAnsi="標楷體"/>
                                      <w:b/>
                                      <w:bCs/>
                                    </w:rPr>
                                    <w:t>5</w:t>
                                  </w:r>
                                </w:p>
                              </w:tc>
                              <w:tc>
                                <w:tcPr>
                                  <w:tcW w:w="708" w:type="dxa"/>
                                  <w:shd w:val="clear" w:color="auto" w:fill="FFFFFF" w:themeFill="background1"/>
                                  <w:vAlign w:val="center"/>
                                </w:tcPr>
                                <w:p w14:paraId="5E869DEF" w14:textId="77777777" w:rsidR="00F1456A" w:rsidRPr="00691ED0" w:rsidRDefault="00F1456A" w:rsidP="005D009F">
                                  <w:pPr>
                                    <w:spacing w:line="240" w:lineRule="exact"/>
                                    <w:jc w:val="right"/>
                                    <w:rPr>
                                      <w:rFonts w:ascii="標楷體" w:eastAsia="標楷體" w:hAnsi="標楷體"/>
                                      <w:b/>
                                      <w:bCs/>
                                    </w:rPr>
                                  </w:pPr>
                                  <w:r w:rsidRPr="00691ED0">
                                    <w:rPr>
                                      <w:rFonts w:ascii="標楷體" w:eastAsia="標楷體" w:hAnsi="標楷體" w:hint="eastAsia"/>
                                      <w:b/>
                                      <w:bCs/>
                                    </w:rPr>
                                    <w:t>5</w:t>
                                  </w:r>
                                  <w:r w:rsidRPr="00691ED0">
                                    <w:rPr>
                                      <w:rFonts w:ascii="標楷體" w:eastAsia="標楷體" w:hAnsi="標楷體"/>
                                      <w:b/>
                                      <w:bCs/>
                                    </w:rPr>
                                    <w:t>88</w:t>
                                  </w:r>
                                </w:p>
                              </w:tc>
                            </w:tr>
                            <w:tr w:rsidR="00F1456A" w:rsidRPr="009E3BB4" w14:paraId="3D99A44C" w14:textId="77777777" w:rsidTr="00DF452B">
                              <w:trPr>
                                <w:trHeight w:val="20"/>
                              </w:trPr>
                              <w:tc>
                                <w:tcPr>
                                  <w:tcW w:w="988" w:type="dxa"/>
                                  <w:shd w:val="clear" w:color="auto" w:fill="FFFFFF" w:themeFill="background1"/>
                                  <w:vAlign w:val="center"/>
                                </w:tcPr>
                                <w:p w14:paraId="724E2B0E" w14:textId="77777777" w:rsidR="00F1456A" w:rsidRPr="005713D0" w:rsidRDefault="00F1456A" w:rsidP="005D009F">
                                  <w:pPr>
                                    <w:spacing w:line="240" w:lineRule="exact"/>
                                    <w:ind w:leftChars="-29" w:left="-70" w:rightChars="-32" w:right="-77"/>
                                    <w:rPr>
                                      <w:rFonts w:ascii="標楷體" w:eastAsia="標楷體" w:hAnsi="標楷體"/>
                                      <w:spacing w:val="-10"/>
                                    </w:rPr>
                                  </w:pPr>
                                  <w:r w:rsidRPr="005713D0">
                                    <w:rPr>
                                      <w:rFonts w:ascii="標楷體" w:eastAsia="標楷體" w:hAnsi="標楷體" w:hint="eastAsia"/>
                                      <w:spacing w:val="-10"/>
                                    </w:rPr>
                                    <w:t>公有建築物</w:t>
                                  </w:r>
                                </w:p>
                              </w:tc>
                              <w:tc>
                                <w:tcPr>
                                  <w:tcW w:w="850" w:type="dxa"/>
                                  <w:shd w:val="clear" w:color="auto" w:fill="FFFFFF" w:themeFill="background1"/>
                                  <w:vAlign w:val="center"/>
                                </w:tcPr>
                                <w:p w14:paraId="3BD6B332"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8</w:t>
                                  </w:r>
                                  <w:r w:rsidRPr="005713D0">
                                    <w:rPr>
                                      <w:rFonts w:ascii="標楷體" w:eastAsia="標楷體" w:hAnsi="標楷體"/>
                                    </w:rPr>
                                    <w:t>7</w:t>
                                  </w:r>
                                </w:p>
                              </w:tc>
                              <w:tc>
                                <w:tcPr>
                                  <w:tcW w:w="2268" w:type="dxa"/>
                                  <w:gridSpan w:val="3"/>
                                  <w:shd w:val="clear" w:color="auto" w:fill="FFFFFF" w:themeFill="background1"/>
                                  <w:vAlign w:val="center"/>
                                </w:tcPr>
                                <w:p w14:paraId="36A5496D"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8</w:t>
                                  </w:r>
                                  <w:r w:rsidRPr="005713D0">
                                    <w:rPr>
                                      <w:rFonts w:ascii="標楷體" w:eastAsia="標楷體" w:hAnsi="標楷體"/>
                                    </w:rPr>
                                    <w:t>7</w:t>
                                  </w:r>
                                </w:p>
                              </w:tc>
                              <w:tc>
                                <w:tcPr>
                                  <w:tcW w:w="1418" w:type="dxa"/>
                                </w:tcPr>
                                <w:p w14:paraId="7DFEA047" w14:textId="77777777" w:rsidR="00F1456A" w:rsidRPr="005713D0" w:rsidRDefault="00F1456A" w:rsidP="005D009F">
                                  <w:pPr>
                                    <w:spacing w:line="240" w:lineRule="exact"/>
                                    <w:jc w:val="right"/>
                                    <w:rPr>
                                      <w:rFonts w:ascii="標楷體" w:eastAsia="標楷體" w:hAnsi="標楷體"/>
                                    </w:rPr>
                                  </w:pPr>
                                  <w:r>
                                    <w:rPr>
                                      <w:rFonts w:ascii="標楷體" w:eastAsia="標楷體" w:hAnsi="標楷體" w:hint="eastAsia"/>
                                    </w:rPr>
                                    <w:t>－</w:t>
                                  </w:r>
                                </w:p>
                              </w:tc>
                              <w:tc>
                                <w:tcPr>
                                  <w:tcW w:w="708" w:type="dxa"/>
                                  <w:shd w:val="clear" w:color="auto" w:fill="FFFFFF" w:themeFill="background1"/>
                                  <w:vAlign w:val="center"/>
                                </w:tcPr>
                                <w:p w14:paraId="2C57C126" w14:textId="77777777" w:rsidR="00F1456A" w:rsidRPr="005713D0" w:rsidRDefault="00F1456A" w:rsidP="005D009F">
                                  <w:pPr>
                                    <w:spacing w:line="240" w:lineRule="exact"/>
                                    <w:jc w:val="right"/>
                                    <w:rPr>
                                      <w:rFonts w:ascii="標楷體" w:eastAsia="標楷體" w:hAnsi="標楷體"/>
                                      <w:spacing w:val="-10"/>
                                    </w:rPr>
                                  </w:pPr>
                                  <w:r>
                                    <w:rPr>
                                      <w:rFonts w:ascii="標楷體" w:eastAsia="標楷體" w:hAnsi="標楷體" w:hint="eastAsia"/>
                                      <w:spacing w:val="-10"/>
                                    </w:rPr>
                                    <w:t>－</w:t>
                                  </w:r>
                                </w:p>
                              </w:tc>
                            </w:tr>
                            <w:tr w:rsidR="00F1456A" w:rsidRPr="009E3BB4" w14:paraId="565251AB" w14:textId="77777777" w:rsidTr="00DF452B">
                              <w:trPr>
                                <w:trHeight w:val="20"/>
                              </w:trPr>
                              <w:tc>
                                <w:tcPr>
                                  <w:tcW w:w="988" w:type="dxa"/>
                                  <w:vMerge w:val="restart"/>
                                  <w:shd w:val="clear" w:color="auto" w:fill="FFFFFF" w:themeFill="background1"/>
                                  <w:vAlign w:val="center"/>
                                </w:tcPr>
                                <w:p w14:paraId="4A40DB1D" w14:textId="77777777" w:rsidR="00F1456A" w:rsidRPr="005713D0" w:rsidRDefault="00F1456A" w:rsidP="005D009F">
                                  <w:pPr>
                                    <w:spacing w:line="240" w:lineRule="exact"/>
                                    <w:jc w:val="center"/>
                                    <w:rPr>
                                      <w:rFonts w:ascii="標楷體" w:eastAsia="標楷體" w:hAnsi="標楷體"/>
                                      <w:spacing w:val="-10"/>
                                    </w:rPr>
                                  </w:pPr>
                                  <w:r w:rsidRPr="005713D0">
                                    <w:rPr>
                                      <w:rFonts w:ascii="標楷體" w:eastAsia="標楷體" w:hAnsi="標楷體" w:hint="eastAsia"/>
                                      <w:spacing w:val="-10"/>
                                    </w:rPr>
                                    <w:t>商業區</w:t>
                                  </w:r>
                                </w:p>
                                <w:p w14:paraId="3522C9C4" w14:textId="77777777" w:rsidR="00F1456A" w:rsidRPr="005713D0" w:rsidRDefault="00F1456A" w:rsidP="005D009F">
                                  <w:pPr>
                                    <w:spacing w:line="240" w:lineRule="exact"/>
                                    <w:jc w:val="center"/>
                                    <w:rPr>
                                      <w:rFonts w:ascii="標楷體" w:eastAsia="標楷體" w:hAnsi="標楷體"/>
                                      <w:spacing w:val="-10"/>
                                    </w:rPr>
                                  </w:pPr>
                                  <w:r w:rsidRPr="005713D0">
                                    <w:rPr>
                                      <w:rFonts w:ascii="標楷體" w:eastAsia="標楷體" w:hAnsi="標楷體" w:hint="eastAsia"/>
                                      <w:spacing w:val="-10"/>
                                    </w:rPr>
                                    <w:t>建築物</w:t>
                                  </w:r>
                                </w:p>
                              </w:tc>
                              <w:tc>
                                <w:tcPr>
                                  <w:tcW w:w="850" w:type="dxa"/>
                                  <w:vMerge w:val="restart"/>
                                  <w:shd w:val="clear" w:color="auto" w:fill="FFFFFF" w:themeFill="background1"/>
                                  <w:vAlign w:val="center"/>
                                </w:tcPr>
                                <w:p w14:paraId="12A34311"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9</w:t>
                                  </w:r>
                                  <w:r w:rsidRPr="005713D0">
                                    <w:rPr>
                                      <w:rFonts w:ascii="標楷體" w:eastAsia="標楷體" w:hAnsi="標楷體"/>
                                    </w:rPr>
                                    <w:t>13</w:t>
                                  </w:r>
                                </w:p>
                                <w:p w14:paraId="1C509501" w14:textId="77777777" w:rsidR="00F1456A" w:rsidRPr="005713D0" w:rsidRDefault="00F1456A" w:rsidP="005D009F">
                                  <w:pPr>
                                    <w:spacing w:line="240" w:lineRule="exact"/>
                                    <w:jc w:val="right"/>
                                    <w:rPr>
                                      <w:rFonts w:ascii="標楷體" w:eastAsia="標楷體" w:hAnsi="標楷體"/>
                                      <w:spacing w:val="-30"/>
                                    </w:rPr>
                                  </w:pPr>
                                  <w:r w:rsidRPr="005713D0">
                                    <w:rPr>
                                      <w:rFonts w:ascii="標楷體" w:eastAsia="標楷體" w:hAnsi="標楷體" w:hint="eastAsia"/>
                                      <w:spacing w:val="-26"/>
                                    </w:rPr>
                                    <w:t>(</w:t>
                                  </w:r>
                                  <w:proofErr w:type="gramStart"/>
                                  <w:r w:rsidRPr="005713D0">
                                    <w:rPr>
                                      <w:rFonts w:ascii="標楷體" w:eastAsia="標楷體" w:hAnsi="標楷體" w:hint="eastAsia"/>
                                      <w:spacing w:val="-26"/>
                                    </w:rPr>
                                    <w:t>註</w:t>
                                  </w:r>
                                  <w:proofErr w:type="gramEnd"/>
                                  <w:r w:rsidRPr="005713D0">
                                    <w:rPr>
                                      <w:rFonts w:ascii="標楷體" w:eastAsia="標楷體" w:hAnsi="標楷體" w:hint="eastAsia"/>
                                      <w:spacing w:val="-26"/>
                                    </w:rPr>
                                    <w:t>1)</w:t>
                                  </w:r>
                                </w:p>
                              </w:tc>
                              <w:tc>
                                <w:tcPr>
                                  <w:tcW w:w="992" w:type="dxa"/>
                                  <w:shd w:val="clear" w:color="auto" w:fill="FFFFFF" w:themeFill="background1"/>
                                  <w:vAlign w:val="center"/>
                                </w:tcPr>
                                <w:p w14:paraId="5A71192F" w14:textId="77777777" w:rsidR="00F1456A" w:rsidRPr="005713D0" w:rsidRDefault="00F1456A" w:rsidP="005D009F">
                                  <w:pPr>
                                    <w:spacing w:line="240" w:lineRule="exact"/>
                                    <w:jc w:val="center"/>
                                    <w:rPr>
                                      <w:rFonts w:ascii="標楷體" w:eastAsia="標楷體" w:hAnsi="標楷體"/>
                                      <w:spacing w:val="-10"/>
                                    </w:rPr>
                                  </w:pPr>
                                  <w:r w:rsidRPr="005713D0">
                                    <w:rPr>
                                      <w:rFonts w:ascii="標楷體" w:eastAsia="標楷體" w:hAnsi="標楷體" w:hint="eastAsia"/>
                                      <w:spacing w:val="-10"/>
                                    </w:rPr>
                                    <w:t>小計</w:t>
                                  </w:r>
                                </w:p>
                              </w:tc>
                              <w:tc>
                                <w:tcPr>
                                  <w:tcW w:w="1276" w:type="dxa"/>
                                  <w:gridSpan w:val="2"/>
                                  <w:shd w:val="clear" w:color="auto" w:fill="FFFFFF" w:themeFill="background1"/>
                                  <w:vAlign w:val="center"/>
                                </w:tcPr>
                                <w:p w14:paraId="3FE00767"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rPr>
                                    <w:t>260</w:t>
                                  </w:r>
                                </w:p>
                              </w:tc>
                              <w:tc>
                                <w:tcPr>
                                  <w:tcW w:w="1418" w:type="dxa"/>
                                  <w:vMerge w:val="restart"/>
                                  <w:shd w:val="clear" w:color="auto" w:fill="FFFFFF" w:themeFill="background1"/>
                                  <w:vAlign w:val="center"/>
                                </w:tcPr>
                                <w:p w14:paraId="1088C067"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6</w:t>
                                  </w:r>
                                  <w:r w:rsidRPr="005713D0">
                                    <w:rPr>
                                      <w:rFonts w:ascii="標楷體" w:eastAsia="標楷體" w:hAnsi="標楷體"/>
                                    </w:rPr>
                                    <w:t>5</w:t>
                                  </w:r>
                                </w:p>
                              </w:tc>
                              <w:tc>
                                <w:tcPr>
                                  <w:tcW w:w="708" w:type="dxa"/>
                                  <w:vMerge w:val="restart"/>
                                  <w:shd w:val="clear" w:color="auto" w:fill="FFFFFF" w:themeFill="background1"/>
                                  <w:vAlign w:val="center"/>
                                </w:tcPr>
                                <w:p w14:paraId="6949FBEB"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5</w:t>
                                  </w:r>
                                  <w:r w:rsidRPr="005713D0">
                                    <w:rPr>
                                      <w:rFonts w:ascii="標楷體" w:eastAsia="標楷體" w:hAnsi="標楷體"/>
                                    </w:rPr>
                                    <w:t>88</w:t>
                                  </w:r>
                                </w:p>
                              </w:tc>
                            </w:tr>
                            <w:tr w:rsidR="00F1456A" w:rsidRPr="009E3BB4" w14:paraId="62C75EDD" w14:textId="77777777" w:rsidTr="00DF452B">
                              <w:trPr>
                                <w:trHeight w:val="20"/>
                              </w:trPr>
                              <w:tc>
                                <w:tcPr>
                                  <w:tcW w:w="988" w:type="dxa"/>
                                  <w:vMerge/>
                                  <w:shd w:val="clear" w:color="auto" w:fill="FFFFFF" w:themeFill="background1"/>
                                  <w:vAlign w:val="center"/>
                                </w:tcPr>
                                <w:p w14:paraId="2F13EB28" w14:textId="77777777" w:rsidR="00F1456A" w:rsidRPr="009E3BB4" w:rsidRDefault="00F1456A" w:rsidP="005D009F">
                                  <w:pPr>
                                    <w:spacing w:line="240" w:lineRule="exact"/>
                                    <w:ind w:rightChars="-42" w:right="-101"/>
                                    <w:rPr>
                                      <w:rFonts w:ascii="標楷體" w:eastAsia="標楷體" w:hAnsi="標楷體"/>
                                      <w:spacing w:val="-20"/>
                                    </w:rPr>
                                  </w:pPr>
                                </w:p>
                              </w:tc>
                              <w:tc>
                                <w:tcPr>
                                  <w:tcW w:w="850" w:type="dxa"/>
                                  <w:vMerge/>
                                  <w:shd w:val="clear" w:color="auto" w:fill="FFFFFF" w:themeFill="background1"/>
                                  <w:vAlign w:val="center"/>
                                </w:tcPr>
                                <w:p w14:paraId="2A3135CC" w14:textId="77777777" w:rsidR="00F1456A" w:rsidRPr="009E3BB4" w:rsidRDefault="00F1456A" w:rsidP="005D009F">
                                  <w:pPr>
                                    <w:spacing w:line="240" w:lineRule="exact"/>
                                    <w:jc w:val="center"/>
                                    <w:rPr>
                                      <w:rFonts w:ascii="標楷體" w:eastAsia="標楷體" w:hAnsi="標楷體"/>
                                      <w:spacing w:val="-26"/>
                                    </w:rPr>
                                  </w:pPr>
                                </w:p>
                              </w:tc>
                              <w:tc>
                                <w:tcPr>
                                  <w:tcW w:w="992" w:type="dxa"/>
                                  <w:shd w:val="clear" w:color="auto" w:fill="FFFFFF" w:themeFill="background1"/>
                                  <w:vAlign w:val="center"/>
                                </w:tcPr>
                                <w:p w14:paraId="3CE9ABE6" w14:textId="77777777" w:rsidR="00F1456A" w:rsidRPr="00361191" w:rsidRDefault="00F1456A" w:rsidP="005D009F">
                                  <w:pPr>
                                    <w:spacing w:line="240" w:lineRule="exact"/>
                                    <w:ind w:leftChars="-20" w:left="60" w:rightChars="-20" w:right="-48" w:hangingChars="64" w:hanging="108"/>
                                    <w:jc w:val="center"/>
                                    <w:rPr>
                                      <w:rFonts w:ascii="標楷體" w:eastAsia="標楷體" w:hAnsi="標楷體"/>
                                      <w:spacing w:val="-16"/>
                                    </w:rPr>
                                  </w:pPr>
                                  <w:r w:rsidRPr="00361191">
                                    <w:rPr>
                                      <w:rFonts w:ascii="標楷體" w:eastAsia="標楷體" w:hAnsi="標楷體" w:hint="eastAsia"/>
                                      <w:spacing w:val="-16"/>
                                    </w:rPr>
                                    <w:t>已(免)改善</w:t>
                                  </w:r>
                                </w:p>
                              </w:tc>
                              <w:tc>
                                <w:tcPr>
                                  <w:tcW w:w="1276" w:type="dxa"/>
                                  <w:gridSpan w:val="2"/>
                                  <w:shd w:val="clear" w:color="auto" w:fill="FFFFFF" w:themeFill="background1"/>
                                  <w:vAlign w:val="center"/>
                                </w:tcPr>
                                <w:p w14:paraId="6B7479C2"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7</w:t>
                                  </w:r>
                                  <w:r w:rsidRPr="005713D0">
                                    <w:rPr>
                                      <w:rFonts w:ascii="標楷體" w:eastAsia="標楷體" w:hAnsi="標楷體"/>
                                    </w:rPr>
                                    <w:t>0</w:t>
                                  </w:r>
                                </w:p>
                              </w:tc>
                              <w:tc>
                                <w:tcPr>
                                  <w:tcW w:w="1418" w:type="dxa"/>
                                  <w:vMerge/>
                                  <w:shd w:val="clear" w:color="auto" w:fill="FBE4D5" w:themeFill="accent2" w:themeFillTint="33"/>
                                </w:tcPr>
                                <w:p w14:paraId="6E6FF432" w14:textId="77777777" w:rsidR="00F1456A" w:rsidRPr="009E3BB4" w:rsidRDefault="00F1456A" w:rsidP="005D009F">
                                  <w:pPr>
                                    <w:spacing w:line="240" w:lineRule="exact"/>
                                    <w:ind w:leftChars="-52" w:left="-125"/>
                                    <w:jc w:val="center"/>
                                    <w:rPr>
                                      <w:rFonts w:ascii="標楷體" w:eastAsia="標楷體" w:hAnsi="標楷體"/>
                                      <w:spacing w:val="-10"/>
                                    </w:rPr>
                                  </w:pPr>
                                </w:p>
                              </w:tc>
                              <w:tc>
                                <w:tcPr>
                                  <w:tcW w:w="708" w:type="dxa"/>
                                  <w:vMerge/>
                                  <w:shd w:val="clear" w:color="auto" w:fill="FFFFFF" w:themeFill="background1"/>
                                  <w:vAlign w:val="center"/>
                                </w:tcPr>
                                <w:p w14:paraId="57F81195" w14:textId="77777777" w:rsidR="00F1456A" w:rsidRPr="005E6E6B" w:rsidRDefault="00F1456A" w:rsidP="005D009F">
                                  <w:pPr>
                                    <w:spacing w:line="240" w:lineRule="exact"/>
                                    <w:jc w:val="center"/>
                                    <w:rPr>
                                      <w:rFonts w:ascii="標楷體" w:eastAsia="標楷體" w:hAnsi="標楷體"/>
                                    </w:rPr>
                                  </w:pPr>
                                </w:p>
                              </w:tc>
                            </w:tr>
                            <w:tr w:rsidR="00F1456A" w:rsidRPr="009E3BB4" w14:paraId="39CFBBAA" w14:textId="77777777" w:rsidTr="00DF452B">
                              <w:trPr>
                                <w:trHeight w:val="20"/>
                              </w:trPr>
                              <w:tc>
                                <w:tcPr>
                                  <w:tcW w:w="988" w:type="dxa"/>
                                  <w:vMerge/>
                                  <w:shd w:val="clear" w:color="auto" w:fill="FFFFFF" w:themeFill="background1"/>
                                </w:tcPr>
                                <w:p w14:paraId="158F270B" w14:textId="77777777" w:rsidR="00F1456A" w:rsidRPr="009E3BB4" w:rsidRDefault="00F1456A" w:rsidP="005D009F">
                                  <w:pPr>
                                    <w:spacing w:line="240" w:lineRule="exact"/>
                                    <w:rPr>
                                      <w:rFonts w:ascii="標楷體" w:eastAsia="標楷體" w:hAnsi="標楷體"/>
                                    </w:rPr>
                                  </w:pPr>
                                </w:p>
                              </w:tc>
                              <w:tc>
                                <w:tcPr>
                                  <w:tcW w:w="850" w:type="dxa"/>
                                  <w:vMerge/>
                                  <w:shd w:val="clear" w:color="auto" w:fill="FFFFFF" w:themeFill="background1"/>
                                </w:tcPr>
                                <w:p w14:paraId="2FD993E9" w14:textId="77777777" w:rsidR="00F1456A" w:rsidRPr="009E3BB4" w:rsidRDefault="00F1456A" w:rsidP="005D009F">
                                  <w:pPr>
                                    <w:spacing w:line="240" w:lineRule="exact"/>
                                    <w:jc w:val="center"/>
                                    <w:rPr>
                                      <w:rFonts w:ascii="標楷體" w:eastAsia="標楷體" w:hAnsi="標楷體"/>
                                    </w:rPr>
                                  </w:pPr>
                                </w:p>
                              </w:tc>
                              <w:tc>
                                <w:tcPr>
                                  <w:tcW w:w="992" w:type="dxa"/>
                                  <w:vMerge w:val="restart"/>
                                  <w:shd w:val="clear" w:color="auto" w:fill="FFFFFF" w:themeFill="background1"/>
                                  <w:vAlign w:val="center"/>
                                </w:tcPr>
                                <w:p w14:paraId="490C0CFD" w14:textId="77777777" w:rsidR="00F1456A" w:rsidRPr="005713D0" w:rsidRDefault="00F1456A" w:rsidP="005D009F">
                                  <w:pPr>
                                    <w:spacing w:line="240" w:lineRule="exact"/>
                                    <w:ind w:leftChars="-10" w:left="-24" w:rightChars="-10" w:right="-24"/>
                                    <w:jc w:val="center"/>
                                    <w:rPr>
                                      <w:rFonts w:ascii="標楷體" w:eastAsia="標楷體" w:hAnsi="標楷體"/>
                                      <w:spacing w:val="-10"/>
                                    </w:rPr>
                                  </w:pPr>
                                  <w:r w:rsidRPr="005713D0">
                                    <w:rPr>
                                      <w:rFonts w:ascii="標楷體" w:eastAsia="標楷體" w:hAnsi="標楷體" w:hint="eastAsia"/>
                                      <w:spacing w:val="-10"/>
                                    </w:rPr>
                                    <w:t>須修繕</w:t>
                                  </w:r>
                                </w:p>
                              </w:tc>
                              <w:tc>
                                <w:tcPr>
                                  <w:tcW w:w="709" w:type="dxa"/>
                                  <w:shd w:val="clear" w:color="auto" w:fill="FFFFFF" w:themeFill="background1"/>
                                  <w:vAlign w:val="center"/>
                                </w:tcPr>
                                <w:p w14:paraId="6E5B1A5A" w14:textId="77777777" w:rsidR="00F1456A" w:rsidRPr="005713D0" w:rsidRDefault="00F1456A" w:rsidP="005D009F">
                                  <w:pPr>
                                    <w:spacing w:line="240" w:lineRule="exact"/>
                                    <w:ind w:leftChars="-10" w:left="66" w:rightChars="-10" w:right="-24" w:hangingChars="50" w:hanging="90"/>
                                    <w:jc w:val="center"/>
                                    <w:rPr>
                                      <w:rFonts w:ascii="標楷體" w:eastAsia="標楷體" w:hAnsi="標楷體"/>
                                      <w:spacing w:val="-10"/>
                                    </w:rPr>
                                  </w:pPr>
                                  <w:r w:rsidRPr="005713D0">
                                    <w:rPr>
                                      <w:rFonts w:ascii="標楷體" w:eastAsia="標楷體" w:hAnsi="標楷體" w:hint="eastAsia"/>
                                      <w:spacing w:val="-10"/>
                                    </w:rPr>
                                    <w:t>已修繕</w:t>
                                  </w:r>
                                </w:p>
                              </w:tc>
                              <w:tc>
                                <w:tcPr>
                                  <w:tcW w:w="567" w:type="dxa"/>
                                  <w:shd w:val="clear" w:color="auto" w:fill="FFFFFF" w:themeFill="background1"/>
                                  <w:vAlign w:val="center"/>
                                </w:tcPr>
                                <w:p w14:paraId="380EE3BC" w14:textId="77777777" w:rsidR="00F1456A" w:rsidRPr="005713D0" w:rsidRDefault="00F1456A" w:rsidP="005D009F">
                                  <w:pPr>
                                    <w:spacing w:line="240" w:lineRule="exact"/>
                                    <w:jc w:val="right"/>
                                    <w:rPr>
                                      <w:rFonts w:ascii="標楷體" w:eastAsia="標楷體" w:hAnsi="標楷體"/>
                                      <w:spacing w:val="-10"/>
                                    </w:rPr>
                                  </w:pPr>
                                  <w:r w:rsidRPr="005713D0">
                                    <w:rPr>
                                      <w:rFonts w:ascii="標楷體" w:eastAsia="標楷體" w:hAnsi="標楷體" w:hint="eastAsia"/>
                                      <w:spacing w:val="-10"/>
                                    </w:rPr>
                                    <w:t>6</w:t>
                                  </w:r>
                                  <w:r w:rsidRPr="005713D0">
                                    <w:rPr>
                                      <w:rFonts w:ascii="標楷體" w:eastAsia="標楷體" w:hAnsi="標楷體"/>
                                      <w:spacing w:val="-10"/>
                                    </w:rPr>
                                    <w:t>7</w:t>
                                  </w:r>
                                </w:p>
                              </w:tc>
                              <w:tc>
                                <w:tcPr>
                                  <w:tcW w:w="1418" w:type="dxa"/>
                                  <w:vMerge/>
                                  <w:shd w:val="clear" w:color="auto" w:fill="FBE4D5" w:themeFill="accent2" w:themeFillTint="33"/>
                                </w:tcPr>
                                <w:p w14:paraId="2E4372A6" w14:textId="77777777" w:rsidR="00F1456A" w:rsidRPr="009E3BB4" w:rsidRDefault="00F1456A" w:rsidP="005D009F">
                                  <w:pPr>
                                    <w:spacing w:line="240" w:lineRule="exact"/>
                                    <w:ind w:leftChars="-52" w:left="-125"/>
                                    <w:jc w:val="center"/>
                                    <w:rPr>
                                      <w:rFonts w:ascii="標楷體" w:eastAsia="標楷體" w:hAnsi="標楷體"/>
                                    </w:rPr>
                                  </w:pPr>
                                </w:p>
                              </w:tc>
                              <w:tc>
                                <w:tcPr>
                                  <w:tcW w:w="708" w:type="dxa"/>
                                  <w:vMerge/>
                                  <w:shd w:val="clear" w:color="auto" w:fill="FFFFFF" w:themeFill="background1"/>
                                  <w:vAlign w:val="center"/>
                                </w:tcPr>
                                <w:p w14:paraId="6C920B7D" w14:textId="77777777" w:rsidR="00F1456A" w:rsidRPr="009E3BB4" w:rsidRDefault="00F1456A" w:rsidP="005D009F">
                                  <w:pPr>
                                    <w:spacing w:line="240" w:lineRule="exact"/>
                                    <w:jc w:val="center"/>
                                    <w:rPr>
                                      <w:rFonts w:ascii="標楷體" w:eastAsia="標楷體" w:hAnsi="標楷體"/>
                                    </w:rPr>
                                  </w:pPr>
                                </w:p>
                              </w:tc>
                            </w:tr>
                            <w:tr w:rsidR="00F1456A" w:rsidRPr="009E3BB4" w14:paraId="12DCD742" w14:textId="77777777" w:rsidTr="00DF452B">
                              <w:trPr>
                                <w:trHeight w:val="20"/>
                              </w:trPr>
                              <w:tc>
                                <w:tcPr>
                                  <w:tcW w:w="988" w:type="dxa"/>
                                  <w:vMerge/>
                                  <w:shd w:val="clear" w:color="auto" w:fill="FFFFFF" w:themeFill="background1"/>
                                </w:tcPr>
                                <w:p w14:paraId="715F28F8" w14:textId="77777777" w:rsidR="00F1456A" w:rsidRPr="009E3BB4" w:rsidRDefault="00F1456A" w:rsidP="005D009F">
                                  <w:pPr>
                                    <w:spacing w:line="240" w:lineRule="exact"/>
                                    <w:rPr>
                                      <w:rFonts w:ascii="標楷體" w:eastAsia="標楷體" w:hAnsi="標楷體"/>
                                    </w:rPr>
                                  </w:pPr>
                                </w:p>
                              </w:tc>
                              <w:tc>
                                <w:tcPr>
                                  <w:tcW w:w="850" w:type="dxa"/>
                                  <w:vMerge/>
                                  <w:shd w:val="clear" w:color="auto" w:fill="FFFFFF" w:themeFill="background1"/>
                                </w:tcPr>
                                <w:p w14:paraId="6AB3A57B" w14:textId="77777777" w:rsidR="00F1456A" w:rsidRPr="009E3BB4" w:rsidRDefault="00F1456A" w:rsidP="005D009F">
                                  <w:pPr>
                                    <w:spacing w:line="240" w:lineRule="exact"/>
                                    <w:jc w:val="center"/>
                                    <w:rPr>
                                      <w:rFonts w:ascii="標楷體" w:eastAsia="標楷體" w:hAnsi="標楷體"/>
                                    </w:rPr>
                                  </w:pPr>
                                </w:p>
                              </w:tc>
                              <w:tc>
                                <w:tcPr>
                                  <w:tcW w:w="992" w:type="dxa"/>
                                  <w:vMerge/>
                                  <w:shd w:val="clear" w:color="auto" w:fill="FFFFFF" w:themeFill="background1"/>
                                  <w:vAlign w:val="center"/>
                                </w:tcPr>
                                <w:p w14:paraId="08E05566" w14:textId="77777777" w:rsidR="00F1456A" w:rsidRPr="005713D0" w:rsidRDefault="00F1456A" w:rsidP="005D009F">
                                  <w:pPr>
                                    <w:spacing w:line="240" w:lineRule="exact"/>
                                    <w:ind w:leftChars="-52" w:left="-125"/>
                                    <w:jc w:val="center"/>
                                    <w:rPr>
                                      <w:rFonts w:ascii="標楷體" w:eastAsia="標楷體" w:hAnsi="標楷體"/>
                                      <w:spacing w:val="-10"/>
                                    </w:rPr>
                                  </w:pPr>
                                </w:p>
                              </w:tc>
                              <w:tc>
                                <w:tcPr>
                                  <w:tcW w:w="709" w:type="dxa"/>
                                  <w:shd w:val="clear" w:color="auto" w:fill="FFFFFF" w:themeFill="background1"/>
                                  <w:vAlign w:val="center"/>
                                </w:tcPr>
                                <w:p w14:paraId="2138EB3F" w14:textId="77777777" w:rsidR="00F1456A" w:rsidRPr="005713D0" w:rsidRDefault="00F1456A" w:rsidP="005D009F">
                                  <w:pPr>
                                    <w:spacing w:line="240" w:lineRule="exact"/>
                                    <w:ind w:leftChars="-10" w:left="77" w:rightChars="-10" w:right="-24" w:hangingChars="56" w:hanging="101"/>
                                    <w:jc w:val="center"/>
                                    <w:rPr>
                                      <w:rFonts w:ascii="標楷體" w:eastAsia="標楷體" w:hAnsi="標楷體"/>
                                      <w:spacing w:val="-10"/>
                                    </w:rPr>
                                  </w:pPr>
                                  <w:r w:rsidRPr="005713D0">
                                    <w:rPr>
                                      <w:rFonts w:ascii="標楷體" w:eastAsia="標楷體" w:hAnsi="標楷體" w:hint="eastAsia"/>
                                      <w:spacing w:val="-10"/>
                                    </w:rPr>
                                    <w:t>未修繕</w:t>
                                  </w:r>
                                </w:p>
                              </w:tc>
                              <w:tc>
                                <w:tcPr>
                                  <w:tcW w:w="567" w:type="dxa"/>
                                  <w:shd w:val="clear" w:color="auto" w:fill="FFFFFF" w:themeFill="background1"/>
                                  <w:vAlign w:val="center"/>
                                </w:tcPr>
                                <w:p w14:paraId="1FA5846A" w14:textId="77777777" w:rsidR="00F1456A" w:rsidRPr="005713D0" w:rsidRDefault="00F1456A" w:rsidP="005D009F">
                                  <w:pPr>
                                    <w:spacing w:line="240" w:lineRule="exact"/>
                                    <w:jc w:val="right"/>
                                    <w:rPr>
                                      <w:rFonts w:ascii="標楷體" w:eastAsia="標楷體" w:hAnsi="標楷體"/>
                                      <w:spacing w:val="-10"/>
                                    </w:rPr>
                                  </w:pPr>
                                  <w:r w:rsidRPr="005713D0">
                                    <w:rPr>
                                      <w:rFonts w:ascii="標楷體" w:eastAsia="標楷體" w:hAnsi="標楷體" w:hint="eastAsia"/>
                                      <w:spacing w:val="-10"/>
                                    </w:rPr>
                                    <w:t>1</w:t>
                                  </w:r>
                                  <w:r w:rsidRPr="005713D0">
                                    <w:rPr>
                                      <w:rFonts w:ascii="標楷體" w:eastAsia="標楷體" w:hAnsi="標楷體"/>
                                      <w:spacing w:val="-10"/>
                                    </w:rPr>
                                    <w:t>23</w:t>
                                  </w:r>
                                </w:p>
                              </w:tc>
                              <w:tc>
                                <w:tcPr>
                                  <w:tcW w:w="1418" w:type="dxa"/>
                                  <w:vMerge/>
                                  <w:shd w:val="clear" w:color="auto" w:fill="FBE4D5" w:themeFill="accent2" w:themeFillTint="33"/>
                                </w:tcPr>
                                <w:p w14:paraId="2BD596A6" w14:textId="77777777" w:rsidR="00F1456A" w:rsidRPr="009E3BB4" w:rsidRDefault="00F1456A" w:rsidP="005D009F">
                                  <w:pPr>
                                    <w:spacing w:line="240" w:lineRule="exact"/>
                                    <w:ind w:leftChars="-52" w:left="-125"/>
                                    <w:jc w:val="center"/>
                                    <w:rPr>
                                      <w:rFonts w:ascii="標楷體" w:eastAsia="標楷體" w:hAnsi="標楷體"/>
                                    </w:rPr>
                                  </w:pPr>
                                </w:p>
                              </w:tc>
                              <w:tc>
                                <w:tcPr>
                                  <w:tcW w:w="708" w:type="dxa"/>
                                  <w:vMerge/>
                                  <w:shd w:val="clear" w:color="auto" w:fill="FFFFFF" w:themeFill="background1"/>
                                  <w:vAlign w:val="center"/>
                                </w:tcPr>
                                <w:p w14:paraId="3C01245D" w14:textId="77777777" w:rsidR="00F1456A" w:rsidRPr="009E3BB4" w:rsidRDefault="00F1456A" w:rsidP="005D009F">
                                  <w:pPr>
                                    <w:spacing w:line="240" w:lineRule="exact"/>
                                    <w:jc w:val="center"/>
                                    <w:rPr>
                                      <w:rFonts w:ascii="標楷體" w:eastAsia="標楷體" w:hAnsi="標楷體"/>
                                    </w:rPr>
                                  </w:pPr>
                                </w:p>
                              </w:tc>
                            </w:tr>
                          </w:tbl>
                          <w:p w14:paraId="3D3ABFCA" w14:textId="77777777" w:rsidR="00F1456A" w:rsidRPr="009A1B7D" w:rsidRDefault="00F1456A" w:rsidP="00F1456A">
                            <w:pPr>
                              <w:spacing w:line="200" w:lineRule="exact"/>
                              <w:ind w:leftChars="1" w:left="452" w:hangingChars="250" w:hanging="450"/>
                              <w:jc w:val="both"/>
                              <w:rPr>
                                <w:rFonts w:ascii="標楷體" w:eastAsia="標楷體" w:hAnsi="標楷體"/>
                                <w:sz w:val="18"/>
                                <w:szCs w:val="18"/>
                              </w:rPr>
                            </w:pPr>
                            <w:proofErr w:type="gramStart"/>
                            <w:r w:rsidRPr="009A1B7D">
                              <w:rPr>
                                <w:rFonts w:ascii="標楷體" w:eastAsia="標楷體" w:hAnsi="標楷體" w:hint="eastAsia"/>
                                <w:sz w:val="18"/>
                                <w:szCs w:val="18"/>
                              </w:rPr>
                              <w:t>註</w:t>
                            </w:r>
                            <w:proofErr w:type="gramEnd"/>
                            <w:r>
                              <w:rPr>
                                <w:rFonts w:ascii="標楷體" w:eastAsia="標楷體" w:hAnsi="標楷體" w:hint="eastAsia"/>
                                <w:sz w:val="18"/>
                                <w:szCs w:val="18"/>
                              </w:rPr>
                              <w:t>：</w:t>
                            </w:r>
                            <w:r w:rsidRPr="009A1B7D">
                              <w:rPr>
                                <w:rFonts w:ascii="標楷體" w:eastAsia="標楷體" w:hAnsi="標楷體"/>
                                <w:sz w:val="18"/>
                                <w:szCs w:val="18"/>
                              </w:rPr>
                              <w:t>1.</w:t>
                            </w:r>
                            <w:r w:rsidRPr="009A1B7D">
                              <w:rPr>
                                <w:rFonts w:ascii="標楷體" w:eastAsia="標楷體" w:hAnsi="標楷體" w:hint="eastAsia"/>
                                <w:sz w:val="18"/>
                                <w:szCs w:val="18"/>
                              </w:rPr>
                              <w:t>有社區管理委員會5</w:t>
                            </w:r>
                            <w:r w:rsidRPr="009A1B7D">
                              <w:rPr>
                                <w:rFonts w:ascii="標楷體" w:eastAsia="標楷體" w:hAnsi="標楷體"/>
                                <w:sz w:val="18"/>
                                <w:szCs w:val="18"/>
                              </w:rPr>
                              <w:t>12</w:t>
                            </w:r>
                            <w:r w:rsidRPr="009A1B7D">
                              <w:rPr>
                                <w:rFonts w:ascii="標楷體" w:eastAsia="標楷體" w:hAnsi="標楷體" w:hint="eastAsia"/>
                                <w:sz w:val="18"/>
                                <w:szCs w:val="18"/>
                              </w:rPr>
                              <w:t>棟、無社區管理委員會4</w:t>
                            </w:r>
                            <w:r w:rsidRPr="009A1B7D">
                              <w:rPr>
                                <w:rFonts w:ascii="標楷體" w:eastAsia="標楷體" w:hAnsi="標楷體"/>
                                <w:sz w:val="18"/>
                                <w:szCs w:val="18"/>
                              </w:rPr>
                              <w:t>01</w:t>
                            </w:r>
                            <w:r w:rsidRPr="009A1B7D">
                              <w:rPr>
                                <w:rFonts w:ascii="標楷體" w:eastAsia="標楷體" w:hAnsi="標楷體" w:hint="eastAsia"/>
                                <w:sz w:val="18"/>
                                <w:szCs w:val="18"/>
                              </w:rPr>
                              <w:t>棟。</w:t>
                            </w:r>
                          </w:p>
                          <w:p w14:paraId="11DC86CC" w14:textId="77777777" w:rsidR="00F1456A" w:rsidRPr="009A1B7D" w:rsidRDefault="00F1456A" w:rsidP="00F1456A">
                            <w:pPr>
                              <w:spacing w:line="200" w:lineRule="exact"/>
                              <w:ind w:firstLineChars="200" w:firstLine="360"/>
                              <w:jc w:val="both"/>
                              <w:rPr>
                                <w:rFonts w:ascii="標楷體" w:eastAsia="標楷體" w:hAnsi="標楷體"/>
                                <w:sz w:val="18"/>
                                <w:szCs w:val="18"/>
                              </w:rPr>
                            </w:pPr>
                            <w:r>
                              <w:rPr>
                                <w:rFonts w:ascii="標楷體" w:eastAsia="標楷體" w:hAnsi="標楷體"/>
                                <w:sz w:val="18"/>
                                <w:szCs w:val="18"/>
                              </w:rPr>
                              <w:t>2</w:t>
                            </w:r>
                            <w:r w:rsidRPr="009A1B7D">
                              <w:rPr>
                                <w:rFonts w:ascii="標楷體" w:eastAsia="標楷體" w:hAnsi="標楷體"/>
                                <w:sz w:val="18"/>
                                <w:szCs w:val="18"/>
                              </w:rPr>
                              <w:t>.</w:t>
                            </w:r>
                            <w:r w:rsidRPr="009A1B7D">
                              <w:rPr>
                                <w:rFonts w:ascii="標楷體" w:eastAsia="標楷體" w:hAnsi="標楷體" w:hint="eastAsia"/>
                                <w:sz w:val="18"/>
                                <w:szCs w:val="18"/>
                              </w:rPr>
                              <w:t>資料來源</w:t>
                            </w:r>
                            <w:r>
                              <w:rPr>
                                <w:rFonts w:ascii="標楷體" w:eastAsia="標楷體" w:hAnsi="標楷體" w:hint="eastAsia"/>
                                <w:sz w:val="18"/>
                                <w:szCs w:val="18"/>
                              </w:rPr>
                              <w:t>：</w:t>
                            </w:r>
                            <w:r w:rsidRPr="009A1B7D">
                              <w:rPr>
                                <w:rFonts w:ascii="標楷體" w:eastAsia="標楷體" w:hAnsi="標楷體" w:hint="eastAsia"/>
                                <w:sz w:val="18"/>
                                <w:szCs w:val="18"/>
                              </w:rPr>
                              <w:t>整理自</w:t>
                            </w:r>
                            <w:r>
                              <w:rPr>
                                <w:rFonts w:ascii="標楷體" w:eastAsia="標楷體" w:hAnsi="標楷體" w:hint="eastAsia"/>
                                <w:sz w:val="18"/>
                                <w:szCs w:val="18"/>
                              </w:rPr>
                              <w:t>建築管理工程</w:t>
                            </w:r>
                            <w:r w:rsidRPr="009A1B7D">
                              <w:rPr>
                                <w:rFonts w:ascii="標楷體" w:eastAsia="標楷體" w:hAnsi="標楷體" w:hint="eastAsia"/>
                                <w:sz w:val="18"/>
                                <w:szCs w:val="18"/>
                              </w:rPr>
                              <w:t>處提供資料。</w:t>
                            </w:r>
                          </w:p>
                        </w:txbxContent>
                      </wps:txbx>
                      <wps:bodyPr rot="0" vert="horz" wrap="square" lIns="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F9E92F" id="_x0000_s1132" type="#_x0000_t202" style="position:absolute;left:0;text-align:left;margin-left:181.85pt;margin-top:46.15pt;width:320.25pt;height:170.5pt;z-index:251825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" stroked="f">
                <v:textbox inset="0">
                  <w:txbxContent>
                    <w:p w14:paraId="6F06E0CD" w14:textId="205D7739" w:rsidR="00F1456A" w:rsidRPr="009E3BB4" w:rsidRDefault="00F1456A" w:rsidP="00F1456A">
                      <w:pPr>
                        <w:spacing w:line="230" w:lineRule="exact"/>
                        <w:jc w:val="center"/>
                        <w:rPr>
                          <w:rFonts w:ascii="標楷體" w:eastAsia="標楷體" w:hAnsi="標楷體"/>
                          <w:b/>
                        </w:rPr>
                      </w:pPr>
                      <w:r w:rsidRPr="009E3BB4">
                        <w:rPr>
                          <w:rFonts w:ascii="標楷體" w:eastAsia="標楷體" w:hAnsi="標楷體" w:hint="eastAsia"/>
                          <w:b/>
                        </w:rPr>
                        <w:t>表</w:t>
                      </w:r>
                      <w:r>
                        <w:rPr>
                          <w:rFonts w:ascii="標楷體" w:eastAsia="標楷體" w:hAnsi="標楷體" w:hint="eastAsia"/>
                          <w:b/>
                        </w:rPr>
                        <w:t>5</w:t>
                      </w:r>
                      <w:r w:rsidRPr="009E3BB4">
                        <w:rPr>
                          <w:rFonts w:ascii="標楷體" w:eastAsia="標楷體" w:hAnsi="標楷體" w:hint="eastAsia"/>
                          <w:b/>
                        </w:rPr>
                        <w:t xml:space="preserve"> </w:t>
                      </w:r>
                      <w:r w:rsidR="002D2DED">
                        <w:rPr>
                          <w:rFonts w:ascii="標楷體" w:eastAsia="標楷體" w:hAnsi="標楷體"/>
                          <w:b/>
                        </w:rPr>
                        <w:t xml:space="preserve"> </w:t>
                      </w:r>
                      <w:r w:rsidRPr="009E3BB4">
                        <w:rPr>
                          <w:rFonts w:ascii="標楷體" w:eastAsia="標楷體" w:hAnsi="標楷體" w:hint="eastAsia"/>
                          <w:b/>
                        </w:rPr>
                        <w:t>截至1</w:t>
                      </w:r>
                      <w:r w:rsidRPr="009E3BB4">
                        <w:rPr>
                          <w:rFonts w:ascii="標楷體" w:eastAsia="標楷體" w:hAnsi="標楷體"/>
                          <w:b/>
                        </w:rPr>
                        <w:t>13</w:t>
                      </w:r>
                      <w:r w:rsidRPr="009E3BB4">
                        <w:rPr>
                          <w:rFonts w:ascii="標楷體" w:eastAsia="標楷體" w:hAnsi="標楷體" w:hint="eastAsia"/>
                          <w:b/>
                        </w:rPr>
                        <w:t>年1</w:t>
                      </w:r>
                      <w:r w:rsidRPr="009E3BB4">
                        <w:rPr>
                          <w:rFonts w:ascii="標楷體" w:eastAsia="標楷體" w:hAnsi="標楷體"/>
                          <w:b/>
                        </w:rPr>
                        <w:t>1</w:t>
                      </w:r>
                      <w:r w:rsidRPr="009E3BB4">
                        <w:rPr>
                          <w:rFonts w:ascii="標楷體" w:eastAsia="標楷體" w:hAnsi="標楷體" w:hint="eastAsia"/>
                          <w:b/>
                        </w:rPr>
                        <w:t>月</w:t>
                      </w:r>
                      <w:proofErr w:type="gramStart"/>
                      <w:r w:rsidRPr="009E3BB4">
                        <w:rPr>
                          <w:rFonts w:ascii="標楷體" w:eastAsia="標楷體" w:hAnsi="標楷體" w:hint="eastAsia"/>
                          <w:b/>
                        </w:rPr>
                        <w:t>止</w:t>
                      </w:r>
                      <w:proofErr w:type="gramEnd"/>
                      <w:r>
                        <w:rPr>
                          <w:rFonts w:ascii="標楷體" w:eastAsia="標楷體" w:hAnsi="標楷體" w:hint="eastAsia"/>
                          <w:b/>
                        </w:rPr>
                        <w:t>臺</w:t>
                      </w:r>
                      <w:r w:rsidRPr="009E3BB4">
                        <w:rPr>
                          <w:rFonts w:ascii="標楷體" w:eastAsia="標楷體" w:hAnsi="標楷體" w:hint="eastAsia"/>
                          <w:b/>
                        </w:rPr>
                        <w:t>北市建築物外牆申報概況</w:t>
                      </w:r>
                    </w:p>
                    <w:p w14:paraId="75EB0B09" w14:textId="2DE30BED" w:rsidR="00F1456A" w:rsidRPr="005B6040" w:rsidRDefault="00F1456A" w:rsidP="005B6040">
                      <w:pPr>
                        <w:spacing w:line="240" w:lineRule="exact"/>
                        <w:jc w:val="right"/>
                        <w:rPr>
                          <w:rFonts w:ascii="標楷體" w:eastAsia="標楷體" w:hAnsi="標楷體"/>
                          <w:sz w:val="20"/>
                        </w:rPr>
                      </w:pPr>
                      <w:r w:rsidRPr="005B6040">
                        <w:rPr>
                          <w:rFonts w:ascii="標楷體" w:eastAsia="標楷體" w:hAnsi="標楷體" w:hint="eastAsia"/>
                          <w:sz w:val="20"/>
                        </w:rPr>
                        <w:t>單位</w:t>
                      </w:r>
                      <w:r w:rsidR="005B6040">
                        <w:rPr>
                          <w:rFonts w:ascii="標楷體" w:eastAsia="標楷體" w:hAnsi="標楷體" w:hint="eastAsia"/>
                          <w:sz w:val="20"/>
                        </w:rPr>
                        <w:t>：</w:t>
                      </w:r>
                      <w:r w:rsidRPr="005B6040">
                        <w:rPr>
                          <w:rFonts w:ascii="標楷體" w:eastAsia="標楷體" w:hAnsi="標楷體" w:hint="eastAsia"/>
                          <w:sz w:val="20"/>
                        </w:rPr>
                        <w:t>棟</w:t>
                      </w:r>
                    </w:p>
                    <w:tbl>
                      <w:tblPr>
                        <w:tblStyle w:val="21"/>
                        <w:tblW w:w="6232" w:type="dxa"/>
                        <w:tblInd w:w="0" w:type="dxa"/>
                        <w:tblLayout w:type="fixed"/>
                        <w:tblLook w:val="04A0" w:firstRow="1" w:lastRow="0" w:firstColumn="1" w:lastColumn="0" w:noHBand="0" w:noVBand="1"/>
                      </w:tblPr>
                      <w:tblGrid>
                        <w:gridCol w:w="988"/>
                        <w:gridCol w:w="850"/>
                        <w:gridCol w:w="992"/>
                        <w:gridCol w:w="709"/>
                        <w:gridCol w:w="567"/>
                        <w:gridCol w:w="1418"/>
                        <w:gridCol w:w="708"/>
                      </w:tblGrid>
                      <w:tr w:rsidR="00F1456A" w:rsidRPr="009E3BB4" w14:paraId="71F06FC3" w14:textId="77777777" w:rsidTr="00DF452B">
                        <w:trPr>
                          <w:trHeight w:val="317"/>
                        </w:trPr>
                        <w:tc>
                          <w:tcPr>
                            <w:tcW w:w="988" w:type="dxa"/>
                            <w:vMerge w:val="restart"/>
                            <w:shd w:val="clear" w:color="auto" w:fill="FFFFFF" w:themeFill="background1"/>
                            <w:vAlign w:val="center"/>
                          </w:tcPr>
                          <w:p w14:paraId="55134E21" w14:textId="77777777" w:rsidR="00F1456A" w:rsidRPr="005713D0" w:rsidRDefault="00F1456A" w:rsidP="005D009F">
                            <w:pPr>
                              <w:spacing w:line="240" w:lineRule="exact"/>
                              <w:jc w:val="center"/>
                              <w:rPr>
                                <w:rFonts w:ascii="標楷體" w:eastAsia="標楷體" w:hAnsi="標楷體"/>
                              </w:rPr>
                            </w:pPr>
                            <w:r w:rsidRPr="005713D0">
                              <w:rPr>
                                <w:rFonts w:ascii="標楷體" w:eastAsia="標楷體" w:hAnsi="標楷體" w:hint="eastAsia"/>
                              </w:rPr>
                              <w:t>類別</w:t>
                            </w:r>
                          </w:p>
                        </w:tc>
                        <w:tc>
                          <w:tcPr>
                            <w:tcW w:w="850" w:type="dxa"/>
                            <w:vMerge w:val="restart"/>
                            <w:shd w:val="clear" w:color="auto" w:fill="FFFFFF" w:themeFill="background1"/>
                            <w:vAlign w:val="center"/>
                          </w:tcPr>
                          <w:p w14:paraId="60A93D8D" w14:textId="77777777" w:rsidR="00F1456A" w:rsidRPr="005713D0" w:rsidRDefault="00F1456A" w:rsidP="005D009F">
                            <w:pPr>
                              <w:spacing w:line="240" w:lineRule="exact"/>
                              <w:jc w:val="center"/>
                              <w:rPr>
                                <w:rFonts w:ascii="標楷體" w:eastAsia="標楷體" w:hAnsi="標楷體"/>
                              </w:rPr>
                            </w:pPr>
                            <w:r w:rsidRPr="005713D0">
                              <w:rPr>
                                <w:rFonts w:ascii="標楷體" w:eastAsia="標楷體" w:hAnsi="標楷體" w:hint="eastAsia"/>
                              </w:rPr>
                              <w:t>應申報</w:t>
                            </w:r>
                          </w:p>
                        </w:tc>
                        <w:tc>
                          <w:tcPr>
                            <w:tcW w:w="3686" w:type="dxa"/>
                            <w:gridSpan w:val="4"/>
                            <w:shd w:val="clear" w:color="auto" w:fill="FFFFFF" w:themeFill="background1"/>
                            <w:vAlign w:val="center"/>
                          </w:tcPr>
                          <w:p w14:paraId="57AB23D6" w14:textId="77777777" w:rsidR="00F1456A" w:rsidRPr="005713D0" w:rsidRDefault="00F1456A" w:rsidP="005D009F">
                            <w:pPr>
                              <w:spacing w:line="240" w:lineRule="exact"/>
                              <w:jc w:val="center"/>
                              <w:rPr>
                                <w:rFonts w:ascii="標楷體" w:eastAsia="標楷體" w:hAnsi="標楷體"/>
                                <w:spacing w:val="-10"/>
                              </w:rPr>
                            </w:pPr>
                            <w:r w:rsidRPr="005713D0">
                              <w:rPr>
                                <w:rFonts w:ascii="標楷體" w:eastAsia="標楷體" w:hAnsi="標楷體" w:hint="eastAsia"/>
                                <w:spacing w:val="-10"/>
                              </w:rPr>
                              <w:t>已申報</w:t>
                            </w:r>
                          </w:p>
                        </w:tc>
                        <w:tc>
                          <w:tcPr>
                            <w:tcW w:w="708" w:type="dxa"/>
                            <w:vMerge w:val="restart"/>
                            <w:shd w:val="clear" w:color="auto" w:fill="FFFFFF" w:themeFill="background1"/>
                            <w:vAlign w:val="center"/>
                          </w:tcPr>
                          <w:p w14:paraId="5B8AABDF" w14:textId="77777777" w:rsidR="00F1456A" w:rsidRPr="005713D0" w:rsidRDefault="00F1456A" w:rsidP="005D009F">
                            <w:pPr>
                              <w:spacing w:line="240" w:lineRule="exact"/>
                              <w:ind w:leftChars="-10" w:left="84" w:rightChars="-10" w:right="-24" w:hangingChars="63" w:hanging="108"/>
                              <w:jc w:val="center"/>
                              <w:rPr>
                                <w:rFonts w:ascii="標楷體" w:eastAsia="標楷體" w:hAnsi="標楷體"/>
                                <w:spacing w:val="-14"/>
                              </w:rPr>
                            </w:pPr>
                            <w:r w:rsidRPr="005713D0">
                              <w:rPr>
                                <w:rFonts w:ascii="標楷體" w:eastAsia="標楷體" w:hAnsi="標楷體" w:hint="eastAsia"/>
                                <w:spacing w:val="-14"/>
                              </w:rPr>
                              <w:t>未申報</w:t>
                            </w:r>
                          </w:p>
                        </w:tc>
                      </w:tr>
                      <w:tr w:rsidR="00F1456A" w:rsidRPr="009E3BB4" w14:paraId="2E36F856" w14:textId="77777777" w:rsidTr="00DF452B">
                        <w:trPr>
                          <w:trHeight w:val="20"/>
                        </w:trPr>
                        <w:tc>
                          <w:tcPr>
                            <w:tcW w:w="988" w:type="dxa"/>
                            <w:vMerge/>
                            <w:shd w:val="clear" w:color="auto" w:fill="FFFFFF" w:themeFill="background1"/>
                            <w:vAlign w:val="center"/>
                          </w:tcPr>
                          <w:p w14:paraId="2FFC7F4E" w14:textId="77777777" w:rsidR="00F1456A" w:rsidRPr="005713D0" w:rsidRDefault="00F1456A" w:rsidP="005D009F">
                            <w:pPr>
                              <w:spacing w:line="240" w:lineRule="exact"/>
                              <w:jc w:val="center"/>
                              <w:rPr>
                                <w:rFonts w:ascii="標楷體" w:eastAsia="標楷體" w:hAnsi="標楷體"/>
                              </w:rPr>
                            </w:pPr>
                          </w:p>
                        </w:tc>
                        <w:tc>
                          <w:tcPr>
                            <w:tcW w:w="850" w:type="dxa"/>
                            <w:vMerge/>
                            <w:shd w:val="clear" w:color="auto" w:fill="FFFFFF" w:themeFill="background1"/>
                            <w:vAlign w:val="center"/>
                          </w:tcPr>
                          <w:p w14:paraId="04ACA9BB" w14:textId="77777777" w:rsidR="00F1456A" w:rsidRPr="005713D0" w:rsidRDefault="00F1456A" w:rsidP="005D009F">
                            <w:pPr>
                              <w:spacing w:line="240" w:lineRule="exact"/>
                              <w:jc w:val="center"/>
                              <w:rPr>
                                <w:rFonts w:ascii="標楷體" w:eastAsia="標楷體" w:hAnsi="標楷體"/>
                              </w:rPr>
                            </w:pPr>
                          </w:p>
                        </w:tc>
                        <w:tc>
                          <w:tcPr>
                            <w:tcW w:w="2268" w:type="dxa"/>
                            <w:gridSpan w:val="3"/>
                            <w:shd w:val="clear" w:color="auto" w:fill="FFFFFF" w:themeFill="background1"/>
                            <w:vAlign w:val="center"/>
                          </w:tcPr>
                          <w:p w14:paraId="6EF82EF7" w14:textId="77777777" w:rsidR="00F1456A" w:rsidRPr="005713D0" w:rsidRDefault="00F1456A" w:rsidP="005D009F">
                            <w:pPr>
                              <w:spacing w:line="240" w:lineRule="exact"/>
                              <w:jc w:val="center"/>
                              <w:rPr>
                                <w:rFonts w:ascii="標楷體" w:eastAsia="標楷體" w:hAnsi="標楷體"/>
                              </w:rPr>
                            </w:pPr>
                            <w:r w:rsidRPr="005713D0">
                              <w:rPr>
                                <w:rFonts w:ascii="標楷體" w:eastAsia="標楷體" w:hAnsi="標楷體" w:hint="eastAsia"/>
                              </w:rPr>
                              <w:t>經專業機構檢查結果</w:t>
                            </w:r>
                          </w:p>
                        </w:tc>
                        <w:tc>
                          <w:tcPr>
                            <w:tcW w:w="1418" w:type="dxa"/>
                            <w:shd w:val="clear" w:color="auto" w:fill="auto"/>
                          </w:tcPr>
                          <w:p w14:paraId="422EB73C" w14:textId="77777777" w:rsidR="00F1456A" w:rsidRPr="005713D0" w:rsidRDefault="00F1456A" w:rsidP="005D009F">
                            <w:pPr>
                              <w:spacing w:line="240" w:lineRule="exact"/>
                              <w:ind w:leftChars="-10" w:left="-24" w:rightChars="-10" w:right="-24"/>
                              <w:jc w:val="center"/>
                              <w:rPr>
                                <w:rFonts w:ascii="標楷體" w:eastAsia="標楷體" w:hAnsi="標楷體"/>
                                <w:spacing w:val="-14"/>
                              </w:rPr>
                            </w:pPr>
                            <w:r w:rsidRPr="005713D0">
                              <w:rPr>
                                <w:rFonts w:ascii="標楷體" w:eastAsia="標楷體" w:hAnsi="標楷體" w:hint="eastAsia"/>
                                <w:spacing w:val="-14"/>
                              </w:rPr>
                              <w:t>建物重新起算年限或解除列管者</w:t>
                            </w:r>
                          </w:p>
                        </w:tc>
                        <w:tc>
                          <w:tcPr>
                            <w:tcW w:w="708" w:type="dxa"/>
                            <w:vMerge/>
                            <w:shd w:val="clear" w:color="auto" w:fill="FFFFFF" w:themeFill="background1"/>
                            <w:vAlign w:val="center"/>
                          </w:tcPr>
                          <w:p w14:paraId="15385C3B" w14:textId="77777777" w:rsidR="00F1456A" w:rsidRPr="005713D0" w:rsidRDefault="00F1456A" w:rsidP="005D009F">
                            <w:pPr>
                              <w:spacing w:line="240" w:lineRule="exact"/>
                              <w:jc w:val="center"/>
                              <w:rPr>
                                <w:rFonts w:ascii="標楷體" w:eastAsia="標楷體" w:hAnsi="標楷體"/>
                                <w:spacing w:val="-10"/>
                              </w:rPr>
                            </w:pPr>
                          </w:p>
                        </w:tc>
                      </w:tr>
                      <w:tr w:rsidR="00F1456A" w:rsidRPr="00691ED0" w14:paraId="6D65B7EF" w14:textId="77777777" w:rsidTr="00DF452B">
                        <w:trPr>
                          <w:trHeight w:val="245"/>
                        </w:trPr>
                        <w:tc>
                          <w:tcPr>
                            <w:tcW w:w="988" w:type="dxa"/>
                            <w:shd w:val="clear" w:color="auto" w:fill="FFFFFF" w:themeFill="background1"/>
                            <w:vAlign w:val="center"/>
                          </w:tcPr>
                          <w:p w14:paraId="0DE1B7DD" w14:textId="77777777" w:rsidR="00F1456A" w:rsidRPr="00691ED0" w:rsidRDefault="00F1456A" w:rsidP="005D009F">
                            <w:pPr>
                              <w:spacing w:line="240" w:lineRule="exact"/>
                              <w:jc w:val="center"/>
                              <w:rPr>
                                <w:rFonts w:ascii="標楷體" w:eastAsia="標楷體" w:hAnsi="標楷體"/>
                                <w:b/>
                                <w:bCs/>
                                <w:spacing w:val="-10"/>
                              </w:rPr>
                            </w:pPr>
                            <w:r w:rsidRPr="00691ED0">
                              <w:rPr>
                                <w:rFonts w:ascii="標楷體" w:eastAsia="標楷體" w:hAnsi="標楷體" w:hint="eastAsia"/>
                                <w:b/>
                                <w:bCs/>
                                <w:spacing w:val="-10"/>
                              </w:rPr>
                              <w:t>合計</w:t>
                            </w:r>
                          </w:p>
                        </w:tc>
                        <w:tc>
                          <w:tcPr>
                            <w:tcW w:w="850" w:type="dxa"/>
                            <w:shd w:val="clear" w:color="auto" w:fill="FFFFFF" w:themeFill="background1"/>
                            <w:vAlign w:val="center"/>
                          </w:tcPr>
                          <w:p w14:paraId="27574ABD" w14:textId="77777777" w:rsidR="00F1456A" w:rsidRPr="00691ED0" w:rsidRDefault="00F1456A" w:rsidP="005D009F">
                            <w:pPr>
                              <w:spacing w:line="240" w:lineRule="exact"/>
                              <w:jc w:val="right"/>
                              <w:rPr>
                                <w:rFonts w:ascii="標楷體" w:eastAsia="標楷體" w:hAnsi="標楷體"/>
                                <w:b/>
                                <w:bCs/>
                              </w:rPr>
                            </w:pPr>
                            <w:r w:rsidRPr="00691ED0">
                              <w:rPr>
                                <w:rFonts w:ascii="標楷體" w:eastAsia="標楷體" w:hAnsi="標楷體" w:hint="eastAsia"/>
                                <w:b/>
                                <w:bCs/>
                              </w:rPr>
                              <w:t>1</w:t>
                            </w:r>
                            <w:r w:rsidRPr="00691ED0">
                              <w:rPr>
                                <w:rFonts w:ascii="標楷體" w:eastAsia="標楷體" w:hAnsi="標楷體"/>
                                <w:b/>
                                <w:bCs/>
                              </w:rPr>
                              <w:t>,000</w:t>
                            </w:r>
                          </w:p>
                        </w:tc>
                        <w:tc>
                          <w:tcPr>
                            <w:tcW w:w="2268" w:type="dxa"/>
                            <w:gridSpan w:val="3"/>
                            <w:shd w:val="clear" w:color="auto" w:fill="FFFFFF" w:themeFill="background1"/>
                            <w:vAlign w:val="center"/>
                          </w:tcPr>
                          <w:p w14:paraId="5ADB0A01" w14:textId="77777777" w:rsidR="00F1456A" w:rsidRPr="00691ED0" w:rsidRDefault="00F1456A" w:rsidP="005D009F">
                            <w:pPr>
                              <w:spacing w:line="240" w:lineRule="exact"/>
                              <w:jc w:val="right"/>
                              <w:rPr>
                                <w:rFonts w:ascii="標楷體" w:eastAsia="標楷體" w:hAnsi="標楷體"/>
                                <w:b/>
                                <w:bCs/>
                              </w:rPr>
                            </w:pPr>
                            <w:r w:rsidRPr="00691ED0">
                              <w:rPr>
                                <w:rFonts w:ascii="標楷體" w:eastAsia="標楷體" w:hAnsi="標楷體"/>
                                <w:b/>
                                <w:bCs/>
                              </w:rPr>
                              <w:t>347</w:t>
                            </w:r>
                          </w:p>
                        </w:tc>
                        <w:tc>
                          <w:tcPr>
                            <w:tcW w:w="1418" w:type="dxa"/>
                          </w:tcPr>
                          <w:p w14:paraId="201B9DEF" w14:textId="77777777" w:rsidR="00F1456A" w:rsidRPr="00691ED0" w:rsidRDefault="00F1456A" w:rsidP="005D009F">
                            <w:pPr>
                              <w:spacing w:line="240" w:lineRule="exact"/>
                              <w:jc w:val="right"/>
                              <w:rPr>
                                <w:rFonts w:ascii="標楷體" w:eastAsia="標楷體" w:hAnsi="標楷體"/>
                                <w:b/>
                                <w:bCs/>
                              </w:rPr>
                            </w:pPr>
                            <w:r w:rsidRPr="00691ED0">
                              <w:rPr>
                                <w:rFonts w:ascii="標楷體" w:eastAsia="標楷體" w:hAnsi="標楷體" w:hint="eastAsia"/>
                                <w:b/>
                                <w:bCs/>
                              </w:rPr>
                              <w:t>6</w:t>
                            </w:r>
                            <w:r w:rsidRPr="00691ED0">
                              <w:rPr>
                                <w:rFonts w:ascii="標楷體" w:eastAsia="標楷體" w:hAnsi="標楷體"/>
                                <w:b/>
                                <w:bCs/>
                              </w:rPr>
                              <w:t>5</w:t>
                            </w:r>
                          </w:p>
                        </w:tc>
                        <w:tc>
                          <w:tcPr>
                            <w:tcW w:w="708" w:type="dxa"/>
                            <w:shd w:val="clear" w:color="auto" w:fill="FFFFFF" w:themeFill="background1"/>
                            <w:vAlign w:val="center"/>
                          </w:tcPr>
                          <w:p w14:paraId="5E869DEF" w14:textId="77777777" w:rsidR="00F1456A" w:rsidRPr="00691ED0" w:rsidRDefault="00F1456A" w:rsidP="005D009F">
                            <w:pPr>
                              <w:spacing w:line="240" w:lineRule="exact"/>
                              <w:jc w:val="right"/>
                              <w:rPr>
                                <w:rFonts w:ascii="標楷體" w:eastAsia="標楷體" w:hAnsi="標楷體"/>
                                <w:b/>
                                <w:bCs/>
                              </w:rPr>
                            </w:pPr>
                            <w:r w:rsidRPr="00691ED0">
                              <w:rPr>
                                <w:rFonts w:ascii="標楷體" w:eastAsia="標楷體" w:hAnsi="標楷體" w:hint="eastAsia"/>
                                <w:b/>
                                <w:bCs/>
                              </w:rPr>
                              <w:t>5</w:t>
                            </w:r>
                            <w:r w:rsidRPr="00691ED0">
                              <w:rPr>
                                <w:rFonts w:ascii="標楷體" w:eastAsia="標楷體" w:hAnsi="標楷體"/>
                                <w:b/>
                                <w:bCs/>
                              </w:rPr>
                              <w:t>88</w:t>
                            </w:r>
                          </w:p>
                        </w:tc>
                      </w:tr>
                      <w:tr w:rsidR="00F1456A" w:rsidRPr="009E3BB4" w14:paraId="3D99A44C" w14:textId="77777777" w:rsidTr="00DF452B">
                        <w:trPr>
                          <w:trHeight w:val="20"/>
                        </w:trPr>
                        <w:tc>
                          <w:tcPr>
                            <w:tcW w:w="988" w:type="dxa"/>
                            <w:shd w:val="clear" w:color="auto" w:fill="FFFFFF" w:themeFill="background1"/>
                            <w:vAlign w:val="center"/>
                          </w:tcPr>
                          <w:p w14:paraId="724E2B0E" w14:textId="77777777" w:rsidR="00F1456A" w:rsidRPr="005713D0" w:rsidRDefault="00F1456A" w:rsidP="005D009F">
                            <w:pPr>
                              <w:spacing w:line="240" w:lineRule="exact"/>
                              <w:ind w:leftChars="-29" w:left="-70" w:rightChars="-32" w:right="-77"/>
                              <w:rPr>
                                <w:rFonts w:ascii="標楷體" w:eastAsia="標楷體" w:hAnsi="標楷體"/>
                                <w:spacing w:val="-10"/>
                              </w:rPr>
                            </w:pPr>
                            <w:r w:rsidRPr="005713D0">
                              <w:rPr>
                                <w:rFonts w:ascii="標楷體" w:eastAsia="標楷體" w:hAnsi="標楷體" w:hint="eastAsia"/>
                                <w:spacing w:val="-10"/>
                              </w:rPr>
                              <w:t>公有建築物</w:t>
                            </w:r>
                          </w:p>
                        </w:tc>
                        <w:tc>
                          <w:tcPr>
                            <w:tcW w:w="850" w:type="dxa"/>
                            <w:shd w:val="clear" w:color="auto" w:fill="FFFFFF" w:themeFill="background1"/>
                            <w:vAlign w:val="center"/>
                          </w:tcPr>
                          <w:p w14:paraId="3BD6B332"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8</w:t>
                            </w:r>
                            <w:r w:rsidRPr="005713D0">
                              <w:rPr>
                                <w:rFonts w:ascii="標楷體" w:eastAsia="標楷體" w:hAnsi="標楷體"/>
                              </w:rPr>
                              <w:t>7</w:t>
                            </w:r>
                          </w:p>
                        </w:tc>
                        <w:tc>
                          <w:tcPr>
                            <w:tcW w:w="2268" w:type="dxa"/>
                            <w:gridSpan w:val="3"/>
                            <w:shd w:val="clear" w:color="auto" w:fill="FFFFFF" w:themeFill="background1"/>
                            <w:vAlign w:val="center"/>
                          </w:tcPr>
                          <w:p w14:paraId="36A5496D"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8</w:t>
                            </w:r>
                            <w:r w:rsidRPr="005713D0">
                              <w:rPr>
                                <w:rFonts w:ascii="標楷體" w:eastAsia="標楷體" w:hAnsi="標楷體"/>
                              </w:rPr>
                              <w:t>7</w:t>
                            </w:r>
                          </w:p>
                        </w:tc>
                        <w:tc>
                          <w:tcPr>
                            <w:tcW w:w="1418" w:type="dxa"/>
                          </w:tcPr>
                          <w:p w14:paraId="7DFEA047" w14:textId="77777777" w:rsidR="00F1456A" w:rsidRPr="005713D0" w:rsidRDefault="00F1456A" w:rsidP="005D009F">
                            <w:pPr>
                              <w:spacing w:line="240" w:lineRule="exact"/>
                              <w:jc w:val="right"/>
                              <w:rPr>
                                <w:rFonts w:ascii="標楷體" w:eastAsia="標楷體" w:hAnsi="標楷體"/>
                              </w:rPr>
                            </w:pPr>
                            <w:r>
                              <w:rPr>
                                <w:rFonts w:ascii="標楷體" w:eastAsia="標楷體" w:hAnsi="標楷體" w:hint="eastAsia"/>
                              </w:rPr>
                              <w:t>－</w:t>
                            </w:r>
                          </w:p>
                        </w:tc>
                        <w:tc>
                          <w:tcPr>
                            <w:tcW w:w="708" w:type="dxa"/>
                            <w:shd w:val="clear" w:color="auto" w:fill="FFFFFF" w:themeFill="background1"/>
                            <w:vAlign w:val="center"/>
                          </w:tcPr>
                          <w:p w14:paraId="2C57C126" w14:textId="77777777" w:rsidR="00F1456A" w:rsidRPr="005713D0" w:rsidRDefault="00F1456A" w:rsidP="005D009F">
                            <w:pPr>
                              <w:spacing w:line="240" w:lineRule="exact"/>
                              <w:jc w:val="right"/>
                              <w:rPr>
                                <w:rFonts w:ascii="標楷體" w:eastAsia="標楷體" w:hAnsi="標楷體"/>
                                <w:spacing w:val="-10"/>
                              </w:rPr>
                            </w:pPr>
                            <w:r>
                              <w:rPr>
                                <w:rFonts w:ascii="標楷體" w:eastAsia="標楷體" w:hAnsi="標楷體" w:hint="eastAsia"/>
                                <w:spacing w:val="-10"/>
                              </w:rPr>
                              <w:t>－</w:t>
                            </w:r>
                          </w:p>
                        </w:tc>
                      </w:tr>
                      <w:tr w:rsidR="00F1456A" w:rsidRPr="009E3BB4" w14:paraId="565251AB" w14:textId="77777777" w:rsidTr="00DF452B">
                        <w:trPr>
                          <w:trHeight w:val="20"/>
                        </w:trPr>
                        <w:tc>
                          <w:tcPr>
                            <w:tcW w:w="988" w:type="dxa"/>
                            <w:vMerge w:val="restart"/>
                            <w:shd w:val="clear" w:color="auto" w:fill="FFFFFF" w:themeFill="background1"/>
                            <w:vAlign w:val="center"/>
                          </w:tcPr>
                          <w:p w14:paraId="4A40DB1D" w14:textId="77777777" w:rsidR="00F1456A" w:rsidRPr="005713D0" w:rsidRDefault="00F1456A" w:rsidP="005D009F">
                            <w:pPr>
                              <w:spacing w:line="240" w:lineRule="exact"/>
                              <w:jc w:val="center"/>
                              <w:rPr>
                                <w:rFonts w:ascii="標楷體" w:eastAsia="標楷體" w:hAnsi="標楷體"/>
                                <w:spacing w:val="-10"/>
                              </w:rPr>
                            </w:pPr>
                            <w:r w:rsidRPr="005713D0">
                              <w:rPr>
                                <w:rFonts w:ascii="標楷體" w:eastAsia="標楷體" w:hAnsi="標楷體" w:hint="eastAsia"/>
                                <w:spacing w:val="-10"/>
                              </w:rPr>
                              <w:t>商業區</w:t>
                            </w:r>
                          </w:p>
                          <w:p w14:paraId="3522C9C4" w14:textId="77777777" w:rsidR="00F1456A" w:rsidRPr="005713D0" w:rsidRDefault="00F1456A" w:rsidP="005D009F">
                            <w:pPr>
                              <w:spacing w:line="240" w:lineRule="exact"/>
                              <w:jc w:val="center"/>
                              <w:rPr>
                                <w:rFonts w:ascii="標楷體" w:eastAsia="標楷體" w:hAnsi="標楷體"/>
                                <w:spacing w:val="-10"/>
                              </w:rPr>
                            </w:pPr>
                            <w:r w:rsidRPr="005713D0">
                              <w:rPr>
                                <w:rFonts w:ascii="標楷體" w:eastAsia="標楷體" w:hAnsi="標楷體" w:hint="eastAsia"/>
                                <w:spacing w:val="-10"/>
                              </w:rPr>
                              <w:t>建築物</w:t>
                            </w:r>
                          </w:p>
                        </w:tc>
                        <w:tc>
                          <w:tcPr>
                            <w:tcW w:w="850" w:type="dxa"/>
                            <w:vMerge w:val="restart"/>
                            <w:shd w:val="clear" w:color="auto" w:fill="FFFFFF" w:themeFill="background1"/>
                            <w:vAlign w:val="center"/>
                          </w:tcPr>
                          <w:p w14:paraId="12A34311"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9</w:t>
                            </w:r>
                            <w:r w:rsidRPr="005713D0">
                              <w:rPr>
                                <w:rFonts w:ascii="標楷體" w:eastAsia="標楷體" w:hAnsi="標楷體"/>
                              </w:rPr>
                              <w:t>13</w:t>
                            </w:r>
                          </w:p>
                          <w:p w14:paraId="1C509501" w14:textId="77777777" w:rsidR="00F1456A" w:rsidRPr="005713D0" w:rsidRDefault="00F1456A" w:rsidP="005D009F">
                            <w:pPr>
                              <w:spacing w:line="240" w:lineRule="exact"/>
                              <w:jc w:val="right"/>
                              <w:rPr>
                                <w:rFonts w:ascii="標楷體" w:eastAsia="標楷體" w:hAnsi="標楷體"/>
                                <w:spacing w:val="-30"/>
                              </w:rPr>
                            </w:pPr>
                            <w:r w:rsidRPr="005713D0">
                              <w:rPr>
                                <w:rFonts w:ascii="標楷體" w:eastAsia="標楷體" w:hAnsi="標楷體" w:hint="eastAsia"/>
                                <w:spacing w:val="-26"/>
                              </w:rPr>
                              <w:t>(</w:t>
                            </w:r>
                            <w:proofErr w:type="gramStart"/>
                            <w:r w:rsidRPr="005713D0">
                              <w:rPr>
                                <w:rFonts w:ascii="標楷體" w:eastAsia="標楷體" w:hAnsi="標楷體" w:hint="eastAsia"/>
                                <w:spacing w:val="-26"/>
                              </w:rPr>
                              <w:t>註</w:t>
                            </w:r>
                            <w:proofErr w:type="gramEnd"/>
                            <w:r w:rsidRPr="005713D0">
                              <w:rPr>
                                <w:rFonts w:ascii="標楷體" w:eastAsia="標楷體" w:hAnsi="標楷體" w:hint="eastAsia"/>
                                <w:spacing w:val="-26"/>
                              </w:rPr>
                              <w:t>1)</w:t>
                            </w:r>
                          </w:p>
                        </w:tc>
                        <w:tc>
                          <w:tcPr>
                            <w:tcW w:w="992" w:type="dxa"/>
                            <w:shd w:val="clear" w:color="auto" w:fill="FFFFFF" w:themeFill="background1"/>
                            <w:vAlign w:val="center"/>
                          </w:tcPr>
                          <w:p w14:paraId="5A71192F" w14:textId="77777777" w:rsidR="00F1456A" w:rsidRPr="005713D0" w:rsidRDefault="00F1456A" w:rsidP="005D009F">
                            <w:pPr>
                              <w:spacing w:line="240" w:lineRule="exact"/>
                              <w:jc w:val="center"/>
                              <w:rPr>
                                <w:rFonts w:ascii="標楷體" w:eastAsia="標楷體" w:hAnsi="標楷體"/>
                                <w:spacing w:val="-10"/>
                              </w:rPr>
                            </w:pPr>
                            <w:r w:rsidRPr="005713D0">
                              <w:rPr>
                                <w:rFonts w:ascii="標楷體" w:eastAsia="標楷體" w:hAnsi="標楷體" w:hint="eastAsia"/>
                                <w:spacing w:val="-10"/>
                              </w:rPr>
                              <w:t>小計</w:t>
                            </w:r>
                          </w:p>
                        </w:tc>
                        <w:tc>
                          <w:tcPr>
                            <w:tcW w:w="1276" w:type="dxa"/>
                            <w:gridSpan w:val="2"/>
                            <w:shd w:val="clear" w:color="auto" w:fill="FFFFFF" w:themeFill="background1"/>
                            <w:vAlign w:val="center"/>
                          </w:tcPr>
                          <w:p w14:paraId="3FE00767"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rPr>
                              <w:t>260</w:t>
                            </w:r>
                          </w:p>
                        </w:tc>
                        <w:tc>
                          <w:tcPr>
                            <w:tcW w:w="1418" w:type="dxa"/>
                            <w:vMerge w:val="restart"/>
                            <w:shd w:val="clear" w:color="auto" w:fill="FFFFFF" w:themeFill="background1"/>
                            <w:vAlign w:val="center"/>
                          </w:tcPr>
                          <w:p w14:paraId="1088C067"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6</w:t>
                            </w:r>
                            <w:r w:rsidRPr="005713D0">
                              <w:rPr>
                                <w:rFonts w:ascii="標楷體" w:eastAsia="標楷體" w:hAnsi="標楷體"/>
                              </w:rPr>
                              <w:t>5</w:t>
                            </w:r>
                          </w:p>
                        </w:tc>
                        <w:tc>
                          <w:tcPr>
                            <w:tcW w:w="708" w:type="dxa"/>
                            <w:vMerge w:val="restart"/>
                            <w:shd w:val="clear" w:color="auto" w:fill="FFFFFF" w:themeFill="background1"/>
                            <w:vAlign w:val="center"/>
                          </w:tcPr>
                          <w:p w14:paraId="6949FBEB"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5</w:t>
                            </w:r>
                            <w:r w:rsidRPr="005713D0">
                              <w:rPr>
                                <w:rFonts w:ascii="標楷體" w:eastAsia="標楷體" w:hAnsi="標楷體"/>
                              </w:rPr>
                              <w:t>88</w:t>
                            </w:r>
                          </w:p>
                        </w:tc>
                      </w:tr>
                      <w:tr w:rsidR="00F1456A" w:rsidRPr="009E3BB4" w14:paraId="62C75EDD" w14:textId="77777777" w:rsidTr="00DF452B">
                        <w:trPr>
                          <w:trHeight w:val="20"/>
                        </w:trPr>
                        <w:tc>
                          <w:tcPr>
                            <w:tcW w:w="988" w:type="dxa"/>
                            <w:vMerge/>
                            <w:shd w:val="clear" w:color="auto" w:fill="FFFFFF" w:themeFill="background1"/>
                            <w:vAlign w:val="center"/>
                          </w:tcPr>
                          <w:p w14:paraId="2F13EB28" w14:textId="77777777" w:rsidR="00F1456A" w:rsidRPr="009E3BB4" w:rsidRDefault="00F1456A" w:rsidP="005D009F">
                            <w:pPr>
                              <w:spacing w:line="240" w:lineRule="exact"/>
                              <w:ind w:rightChars="-42" w:right="-101"/>
                              <w:rPr>
                                <w:rFonts w:ascii="標楷體" w:eastAsia="標楷體" w:hAnsi="標楷體"/>
                                <w:spacing w:val="-20"/>
                              </w:rPr>
                            </w:pPr>
                          </w:p>
                        </w:tc>
                        <w:tc>
                          <w:tcPr>
                            <w:tcW w:w="850" w:type="dxa"/>
                            <w:vMerge/>
                            <w:shd w:val="clear" w:color="auto" w:fill="FFFFFF" w:themeFill="background1"/>
                            <w:vAlign w:val="center"/>
                          </w:tcPr>
                          <w:p w14:paraId="2A3135CC" w14:textId="77777777" w:rsidR="00F1456A" w:rsidRPr="009E3BB4" w:rsidRDefault="00F1456A" w:rsidP="005D009F">
                            <w:pPr>
                              <w:spacing w:line="240" w:lineRule="exact"/>
                              <w:jc w:val="center"/>
                              <w:rPr>
                                <w:rFonts w:ascii="標楷體" w:eastAsia="標楷體" w:hAnsi="標楷體"/>
                                <w:spacing w:val="-26"/>
                              </w:rPr>
                            </w:pPr>
                          </w:p>
                        </w:tc>
                        <w:tc>
                          <w:tcPr>
                            <w:tcW w:w="992" w:type="dxa"/>
                            <w:shd w:val="clear" w:color="auto" w:fill="FFFFFF" w:themeFill="background1"/>
                            <w:vAlign w:val="center"/>
                          </w:tcPr>
                          <w:p w14:paraId="3CE9ABE6" w14:textId="77777777" w:rsidR="00F1456A" w:rsidRPr="00361191" w:rsidRDefault="00F1456A" w:rsidP="005D009F">
                            <w:pPr>
                              <w:spacing w:line="240" w:lineRule="exact"/>
                              <w:ind w:leftChars="-20" w:left="60" w:rightChars="-20" w:right="-48" w:hangingChars="64" w:hanging="108"/>
                              <w:jc w:val="center"/>
                              <w:rPr>
                                <w:rFonts w:ascii="標楷體" w:eastAsia="標楷體" w:hAnsi="標楷體"/>
                                <w:spacing w:val="-16"/>
                              </w:rPr>
                            </w:pPr>
                            <w:r w:rsidRPr="00361191">
                              <w:rPr>
                                <w:rFonts w:ascii="標楷體" w:eastAsia="標楷體" w:hAnsi="標楷體" w:hint="eastAsia"/>
                                <w:spacing w:val="-16"/>
                              </w:rPr>
                              <w:t>已(免)改善</w:t>
                            </w:r>
                          </w:p>
                        </w:tc>
                        <w:tc>
                          <w:tcPr>
                            <w:tcW w:w="1276" w:type="dxa"/>
                            <w:gridSpan w:val="2"/>
                            <w:shd w:val="clear" w:color="auto" w:fill="FFFFFF" w:themeFill="background1"/>
                            <w:vAlign w:val="center"/>
                          </w:tcPr>
                          <w:p w14:paraId="6B7479C2" w14:textId="77777777" w:rsidR="00F1456A" w:rsidRPr="005713D0" w:rsidRDefault="00F1456A" w:rsidP="005D009F">
                            <w:pPr>
                              <w:spacing w:line="240" w:lineRule="exact"/>
                              <w:jc w:val="right"/>
                              <w:rPr>
                                <w:rFonts w:ascii="標楷體" w:eastAsia="標楷體" w:hAnsi="標楷體"/>
                              </w:rPr>
                            </w:pPr>
                            <w:r w:rsidRPr="005713D0">
                              <w:rPr>
                                <w:rFonts w:ascii="標楷體" w:eastAsia="標楷體" w:hAnsi="標楷體" w:hint="eastAsia"/>
                              </w:rPr>
                              <w:t>7</w:t>
                            </w:r>
                            <w:r w:rsidRPr="005713D0">
                              <w:rPr>
                                <w:rFonts w:ascii="標楷體" w:eastAsia="標楷體" w:hAnsi="標楷體"/>
                              </w:rPr>
                              <w:t>0</w:t>
                            </w:r>
                          </w:p>
                        </w:tc>
                        <w:tc>
                          <w:tcPr>
                            <w:tcW w:w="1418" w:type="dxa"/>
                            <w:vMerge/>
                            <w:shd w:val="clear" w:color="auto" w:fill="FBE4D5" w:themeFill="accent2" w:themeFillTint="33"/>
                          </w:tcPr>
                          <w:p w14:paraId="6E6FF432" w14:textId="77777777" w:rsidR="00F1456A" w:rsidRPr="009E3BB4" w:rsidRDefault="00F1456A" w:rsidP="005D009F">
                            <w:pPr>
                              <w:spacing w:line="240" w:lineRule="exact"/>
                              <w:ind w:leftChars="-52" w:left="-125"/>
                              <w:jc w:val="center"/>
                              <w:rPr>
                                <w:rFonts w:ascii="標楷體" w:eastAsia="標楷體" w:hAnsi="標楷體"/>
                                <w:spacing w:val="-10"/>
                              </w:rPr>
                            </w:pPr>
                          </w:p>
                        </w:tc>
                        <w:tc>
                          <w:tcPr>
                            <w:tcW w:w="708" w:type="dxa"/>
                            <w:vMerge/>
                            <w:shd w:val="clear" w:color="auto" w:fill="FFFFFF" w:themeFill="background1"/>
                            <w:vAlign w:val="center"/>
                          </w:tcPr>
                          <w:p w14:paraId="57F81195" w14:textId="77777777" w:rsidR="00F1456A" w:rsidRPr="005E6E6B" w:rsidRDefault="00F1456A" w:rsidP="005D009F">
                            <w:pPr>
                              <w:spacing w:line="240" w:lineRule="exact"/>
                              <w:jc w:val="center"/>
                              <w:rPr>
                                <w:rFonts w:ascii="標楷體" w:eastAsia="標楷體" w:hAnsi="標楷體"/>
                              </w:rPr>
                            </w:pPr>
                          </w:p>
                        </w:tc>
                      </w:tr>
                      <w:tr w:rsidR="00F1456A" w:rsidRPr="009E3BB4" w14:paraId="39CFBBAA" w14:textId="77777777" w:rsidTr="00DF452B">
                        <w:trPr>
                          <w:trHeight w:val="20"/>
                        </w:trPr>
                        <w:tc>
                          <w:tcPr>
                            <w:tcW w:w="988" w:type="dxa"/>
                            <w:vMerge/>
                            <w:shd w:val="clear" w:color="auto" w:fill="FFFFFF" w:themeFill="background1"/>
                          </w:tcPr>
                          <w:p w14:paraId="158F270B" w14:textId="77777777" w:rsidR="00F1456A" w:rsidRPr="009E3BB4" w:rsidRDefault="00F1456A" w:rsidP="005D009F">
                            <w:pPr>
                              <w:spacing w:line="240" w:lineRule="exact"/>
                              <w:rPr>
                                <w:rFonts w:ascii="標楷體" w:eastAsia="標楷體" w:hAnsi="標楷體"/>
                              </w:rPr>
                            </w:pPr>
                          </w:p>
                        </w:tc>
                        <w:tc>
                          <w:tcPr>
                            <w:tcW w:w="850" w:type="dxa"/>
                            <w:vMerge/>
                            <w:shd w:val="clear" w:color="auto" w:fill="FFFFFF" w:themeFill="background1"/>
                          </w:tcPr>
                          <w:p w14:paraId="2FD993E9" w14:textId="77777777" w:rsidR="00F1456A" w:rsidRPr="009E3BB4" w:rsidRDefault="00F1456A" w:rsidP="005D009F">
                            <w:pPr>
                              <w:spacing w:line="240" w:lineRule="exact"/>
                              <w:jc w:val="center"/>
                              <w:rPr>
                                <w:rFonts w:ascii="標楷體" w:eastAsia="標楷體" w:hAnsi="標楷體"/>
                              </w:rPr>
                            </w:pPr>
                          </w:p>
                        </w:tc>
                        <w:tc>
                          <w:tcPr>
                            <w:tcW w:w="992" w:type="dxa"/>
                            <w:vMerge w:val="restart"/>
                            <w:shd w:val="clear" w:color="auto" w:fill="FFFFFF" w:themeFill="background1"/>
                            <w:vAlign w:val="center"/>
                          </w:tcPr>
                          <w:p w14:paraId="490C0CFD" w14:textId="77777777" w:rsidR="00F1456A" w:rsidRPr="005713D0" w:rsidRDefault="00F1456A" w:rsidP="005D009F">
                            <w:pPr>
                              <w:spacing w:line="240" w:lineRule="exact"/>
                              <w:ind w:leftChars="-10" w:left="-24" w:rightChars="-10" w:right="-24"/>
                              <w:jc w:val="center"/>
                              <w:rPr>
                                <w:rFonts w:ascii="標楷體" w:eastAsia="標楷體" w:hAnsi="標楷體"/>
                                <w:spacing w:val="-10"/>
                              </w:rPr>
                            </w:pPr>
                            <w:r w:rsidRPr="005713D0">
                              <w:rPr>
                                <w:rFonts w:ascii="標楷體" w:eastAsia="標楷體" w:hAnsi="標楷體" w:hint="eastAsia"/>
                                <w:spacing w:val="-10"/>
                              </w:rPr>
                              <w:t>須修繕</w:t>
                            </w:r>
                          </w:p>
                        </w:tc>
                        <w:tc>
                          <w:tcPr>
                            <w:tcW w:w="709" w:type="dxa"/>
                            <w:shd w:val="clear" w:color="auto" w:fill="FFFFFF" w:themeFill="background1"/>
                            <w:vAlign w:val="center"/>
                          </w:tcPr>
                          <w:p w14:paraId="6E5B1A5A" w14:textId="77777777" w:rsidR="00F1456A" w:rsidRPr="005713D0" w:rsidRDefault="00F1456A" w:rsidP="005D009F">
                            <w:pPr>
                              <w:spacing w:line="240" w:lineRule="exact"/>
                              <w:ind w:leftChars="-10" w:left="66" w:rightChars="-10" w:right="-24" w:hangingChars="50" w:hanging="90"/>
                              <w:jc w:val="center"/>
                              <w:rPr>
                                <w:rFonts w:ascii="標楷體" w:eastAsia="標楷體" w:hAnsi="標楷體"/>
                                <w:spacing w:val="-10"/>
                              </w:rPr>
                            </w:pPr>
                            <w:r w:rsidRPr="005713D0">
                              <w:rPr>
                                <w:rFonts w:ascii="標楷體" w:eastAsia="標楷體" w:hAnsi="標楷體" w:hint="eastAsia"/>
                                <w:spacing w:val="-10"/>
                              </w:rPr>
                              <w:t>已修繕</w:t>
                            </w:r>
                          </w:p>
                        </w:tc>
                        <w:tc>
                          <w:tcPr>
                            <w:tcW w:w="567" w:type="dxa"/>
                            <w:shd w:val="clear" w:color="auto" w:fill="FFFFFF" w:themeFill="background1"/>
                            <w:vAlign w:val="center"/>
                          </w:tcPr>
                          <w:p w14:paraId="380EE3BC" w14:textId="77777777" w:rsidR="00F1456A" w:rsidRPr="005713D0" w:rsidRDefault="00F1456A" w:rsidP="005D009F">
                            <w:pPr>
                              <w:spacing w:line="240" w:lineRule="exact"/>
                              <w:jc w:val="right"/>
                              <w:rPr>
                                <w:rFonts w:ascii="標楷體" w:eastAsia="標楷體" w:hAnsi="標楷體"/>
                                <w:spacing w:val="-10"/>
                              </w:rPr>
                            </w:pPr>
                            <w:r w:rsidRPr="005713D0">
                              <w:rPr>
                                <w:rFonts w:ascii="標楷體" w:eastAsia="標楷體" w:hAnsi="標楷體" w:hint="eastAsia"/>
                                <w:spacing w:val="-10"/>
                              </w:rPr>
                              <w:t>6</w:t>
                            </w:r>
                            <w:r w:rsidRPr="005713D0">
                              <w:rPr>
                                <w:rFonts w:ascii="標楷體" w:eastAsia="標楷體" w:hAnsi="標楷體"/>
                                <w:spacing w:val="-10"/>
                              </w:rPr>
                              <w:t>7</w:t>
                            </w:r>
                          </w:p>
                        </w:tc>
                        <w:tc>
                          <w:tcPr>
                            <w:tcW w:w="1418" w:type="dxa"/>
                            <w:vMerge/>
                            <w:shd w:val="clear" w:color="auto" w:fill="FBE4D5" w:themeFill="accent2" w:themeFillTint="33"/>
                          </w:tcPr>
                          <w:p w14:paraId="2E4372A6" w14:textId="77777777" w:rsidR="00F1456A" w:rsidRPr="009E3BB4" w:rsidRDefault="00F1456A" w:rsidP="005D009F">
                            <w:pPr>
                              <w:spacing w:line="240" w:lineRule="exact"/>
                              <w:ind w:leftChars="-52" w:left="-125"/>
                              <w:jc w:val="center"/>
                              <w:rPr>
                                <w:rFonts w:ascii="標楷體" w:eastAsia="標楷體" w:hAnsi="標楷體"/>
                              </w:rPr>
                            </w:pPr>
                          </w:p>
                        </w:tc>
                        <w:tc>
                          <w:tcPr>
                            <w:tcW w:w="708" w:type="dxa"/>
                            <w:vMerge/>
                            <w:shd w:val="clear" w:color="auto" w:fill="FFFFFF" w:themeFill="background1"/>
                            <w:vAlign w:val="center"/>
                          </w:tcPr>
                          <w:p w14:paraId="6C920B7D" w14:textId="77777777" w:rsidR="00F1456A" w:rsidRPr="009E3BB4" w:rsidRDefault="00F1456A" w:rsidP="005D009F">
                            <w:pPr>
                              <w:spacing w:line="240" w:lineRule="exact"/>
                              <w:jc w:val="center"/>
                              <w:rPr>
                                <w:rFonts w:ascii="標楷體" w:eastAsia="標楷體" w:hAnsi="標楷體"/>
                              </w:rPr>
                            </w:pPr>
                          </w:p>
                        </w:tc>
                      </w:tr>
                      <w:tr w:rsidR="00F1456A" w:rsidRPr="009E3BB4" w14:paraId="12DCD742" w14:textId="77777777" w:rsidTr="00DF452B">
                        <w:trPr>
                          <w:trHeight w:val="20"/>
                        </w:trPr>
                        <w:tc>
                          <w:tcPr>
                            <w:tcW w:w="988" w:type="dxa"/>
                            <w:vMerge/>
                            <w:shd w:val="clear" w:color="auto" w:fill="FFFFFF" w:themeFill="background1"/>
                          </w:tcPr>
                          <w:p w14:paraId="715F28F8" w14:textId="77777777" w:rsidR="00F1456A" w:rsidRPr="009E3BB4" w:rsidRDefault="00F1456A" w:rsidP="005D009F">
                            <w:pPr>
                              <w:spacing w:line="240" w:lineRule="exact"/>
                              <w:rPr>
                                <w:rFonts w:ascii="標楷體" w:eastAsia="標楷體" w:hAnsi="標楷體"/>
                              </w:rPr>
                            </w:pPr>
                          </w:p>
                        </w:tc>
                        <w:tc>
                          <w:tcPr>
                            <w:tcW w:w="850" w:type="dxa"/>
                            <w:vMerge/>
                            <w:shd w:val="clear" w:color="auto" w:fill="FFFFFF" w:themeFill="background1"/>
                          </w:tcPr>
                          <w:p w14:paraId="6AB3A57B" w14:textId="77777777" w:rsidR="00F1456A" w:rsidRPr="009E3BB4" w:rsidRDefault="00F1456A" w:rsidP="005D009F">
                            <w:pPr>
                              <w:spacing w:line="240" w:lineRule="exact"/>
                              <w:jc w:val="center"/>
                              <w:rPr>
                                <w:rFonts w:ascii="標楷體" w:eastAsia="標楷體" w:hAnsi="標楷體"/>
                              </w:rPr>
                            </w:pPr>
                          </w:p>
                        </w:tc>
                        <w:tc>
                          <w:tcPr>
                            <w:tcW w:w="992" w:type="dxa"/>
                            <w:vMerge/>
                            <w:shd w:val="clear" w:color="auto" w:fill="FFFFFF" w:themeFill="background1"/>
                            <w:vAlign w:val="center"/>
                          </w:tcPr>
                          <w:p w14:paraId="08E05566" w14:textId="77777777" w:rsidR="00F1456A" w:rsidRPr="005713D0" w:rsidRDefault="00F1456A" w:rsidP="005D009F">
                            <w:pPr>
                              <w:spacing w:line="240" w:lineRule="exact"/>
                              <w:ind w:leftChars="-52" w:left="-125"/>
                              <w:jc w:val="center"/>
                              <w:rPr>
                                <w:rFonts w:ascii="標楷體" w:eastAsia="標楷體" w:hAnsi="標楷體"/>
                                <w:spacing w:val="-10"/>
                              </w:rPr>
                            </w:pPr>
                          </w:p>
                        </w:tc>
                        <w:tc>
                          <w:tcPr>
                            <w:tcW w:w="709" w:type="dxa"/>
                            <w:shd w:val="clear" w:color="auto" w:fill="FFFFFF" w:themeFill="background1"/>
                            <w:vAlign w:val="center"/>
                          </w:tcPr>
                          <w:p w14:paraId="2138EB3F" w14:textId="77777777" w:rsidR="00F1456A" w:rsidRPr="005713D0" w:rsidRDefault="00F1456A" w:rsidP="005D009F">
                            <w:pPr>
                              <w:spacing w:line="240" w:lineRule="exact"/>
                              <w:ind w:leftChars="-10" w:left="77" w:rightChars="-10" w:right="-24" w:hangingChars="56" w:hanging="101"/>
                              <w:jc w:val="center"/>
                              <w:rPr>
                                <w:rFonts w:ascii="標楷體" w:eastAsia="標楷體" w:hAnsi="標楷體"/>
                                <w:spacing w:val="-10"/>
                              </w:rPr>
                            </w:pPr>
                            <w:r w:rsidRPr="005713D0">
                              <w:rPr>
                                <w:rFonts w:ascii="標楷體" w:eastAsia="標楷體" w:hAnsi="標楷體" w:hint="eastAsia"/>
                                <w:spacing w:val="-10"/>
                              </w:rPr>
                              <w:t>未修繕</w:t>
                            </w:r>
                          </w:p>
                        </w:tc>
                        <w:tc>
                          <w:tcPr>
                            <w:tcW w:w="567" w:type="dxa"/>
                            <w:shd w:val="clear" w:color="auto" w:fill="FFFFFF" w:themeFill="background1"/>
                            <w:vAlign w:val="center"/>
                          </w:tcPr>
                          <w:p w14:paraId="1FA5846A" w14:textId="77777777" w:rsidR="00F1456A" w:rsidRPr="005713D0" w:rsidRDefault="00F1456A" w:rsidP="005D009F">
                            <w:pPr>
                              <w:spacing w:line="240" w:lineRule="exact"/>
                              <w:jc w:val="right"/>
                              <w:rPr>
                                <w:rFonts w:ascii="標楷體" w:eastAsia="標楷體" w:hAnsi="標楷體"/>
                                <w:spacing w:val="-10"/>
                              </w:rPr>
                            </w:pPr>
                            <w:r w:rsidRPr="005713D0">
                              <w:rPr>
                                <w:rFonts w:ascii="標楷體" w:eastAsia="標楷體" w:hAnsi="標楷體" w:hint="eastAsia"/>
                                <w:spacing w:val="-10"/>
                              </w:rPr>
                              <w:t>1</w:t>
                            </w:r>
                            <w:r w:rsidRPr="005713D0">
                              <w:rPr>
                                <w:rFonts w:ascii="標楷體" w:eastAsia="標楷體" w:hAnsi="標楷體"/>
                                <w:spacing w:val="-10"/>
                              </w:rPr>
                              <w:t>23</w:t>
                            </w:r>
                          </w:p>
                        </w:tc>
                        <w:tc>
                          <w:tcPr>
                            <w:tcW w:w="1418" w:type="dxa"/>
                            <w:vMerge/>
                            <w:shd w:val="clear" w:color="auto" w:fill="FBE4D5" w:themeFill="accent2" w:themeFillTint="33"/>
                          </w:tcPr>
                          <w:p w14:paraId="2BD596A6" w14:textId="77777777" w:rsidR="00F1456A" w:rsidRPr="009E3BB4" w:rsidRDefault="00F1456A" w:rsidP="005D009F">
                            <w:pPr>
                              <w:spacing w:line="240" w:lineRule="exact"/>
                              <w:ind w:leftChars="-52" w:left="-125"/>
                              <w:jc w:val="center"/>
                              <w:rPr>
                                <w:rFonts w:ascii="標楷體" w:eastAsia="標楷體" w:hAnsi="標楷體"/>
                              </w:rPr>
                            </w:pPr>
                          </w:p>
                        </w:tc>
                        <w:tc>
                          <w:tcPr>
                            <w:tcW w:w="708" w:type="dxa"/>
                            <w:vMerge/>
                            <w:shd w:val="clear" w:color="auto" w:fill="FFFFFF" w:themeFill="background1"/>
                            <w:vAlign w:val="center"/>
                          </w:tcPr>
                          <w:p w14:paraId="3C01245D" w14:textId="77777777" w:rsidR="00F1456A" w:rsidRPr="009E3BB4" w:rsidRDefault="00F1456A" w:rsidP="005D009F">
                            <w:pPr>
                              <w:spacing w:line="240" w:lineRule="exact"/>
                              <w:jc w:val="center"/>
                              <w:rPr>
                                <w:rFonts w:ascii="標楷體" w:eastAsia="標楷體" w:hAnsi="標楷體"/>
                              </w:rPr>
                            </w:pPr>
                          </w:p>
                        </w:tc>
                      </w:tr>
                    </w:tbl>
                    <w:p w14:paraId="3D3ABFCA" w14:textId="77777777" w:rsidR="00F1456A" w:rsidRPr="009A1B7D" w:rsidRDefault="00F1456A" w:rsidP="00F1456A">
                      <w:pPr>
                        <w:spacing w:line="200" w:lineRule="exact"/>
                        <w:ind w:leftChars="1" w:left="452" w:hangingChars="250" w:hanging="450"/>
                        <w:jc w:val="both"/>
                        <w:rPr>
                          <w:rFonts w:ascii="標楷體" w:eastAsia="標楷體" w:hAnsi="標楷體"/>
                          <w:sz w:val="18"/>
                          <w:szCs w:val="18"/>
                        </w:rPr>
                      </w:pPr>
                      <w:proofErr w:type="gramStart"/>
                      <w:r w:rsidRPr="009A1B7D">
                        <w:rPr>
                          <w:rFonts w:ascii="標楷體" w:eastAsia="標楷體" w:hAnsi="標楷體" w:hint="eastAsia"/>
                          <w:sz w:val="18"/>
                          <w:szCs w:val="18"/>
                        </w:rPr>
                        <w:t>註</w:t>
                      </w:r>
                      <w:proofErr w:type="gramEnd"/>
                      <w:r>
                        <w:rPr>
                          <w:rFonts w:ascii="標楷體" w:eastAsia="標楷體" w:hAnsi="標楷體" w:hint="eastAsia"/>
                          <w:sz w:val="18"/>
                          <w:szCs w:val="18"/>
                        </w:rPr>
                        <w:t>：</w:t>
                      </w:r>
                      <w:r w:rsidRPr="009A1B7D">
                        <w:rPr>
                          <w:rFonts w:ascii="標楷體" w:eastAsia="標楷體" w:hAnsi="標楷體"/>
                          <w:sz w:val="18"/>
                          <w:szCs w:val="18"/>
                        </w:rPr>
                        <w:t>1.</w:t>
                      </w:r>
                      <w:r w:rsidRPr="009A1B7D">
                        <w:rPr>
                          <w:rFonts w:ascii="標楷體" w:eastAsia="標楷體" w:hAnsi="標楷體" w:hint="eastAsia"/>
                          <w:sz w:val="18"/>
                          <w:szCs w:val="18"/>
                        </w:rPr>
                        <w:t>有社區管理委員會5</w:t>
                      </w:r>
                      <w:r w:rsidRPr="009A1B7D">
                        <w:rPr>
                          <w:rFonts w:ascii="標楷體" w:eastAsia="標楷體" w:hAnsi="標楷體"/>
                          <w:sz w:val="18"/>
                          <w:szCs w:val="18"/>
                        </w:rPr>
                        <w:t>12</w:t>
                      </w:r>
                      <w:r w:rsidRPr="009A1B7D">
                        <w:rPr>
                          <w:rFonts w:ascii="標楷體" w:eastAsia="標楷體" w:hAnsi="標楷體" w:hint="eastAsia"/>
                          <w:sz w:val="18"/>
                          <w:szCs w:val="18"/>
                        </w:rPr>
                        <w:t>棟、無社區管理委員會4</w:t>
                      </w:r>
                      <w:r w:rsidRPr="009A1B7D">
                        <w:rPr>
                          <w:rFonts w:ascii="標楷體" w:eastAsia="標楷體" w:hAnsi="標楷體"/>
                          <w:sz w:val="18"/>
                          <w:szCs w:val="18"/>
                        </w:rPr>
                        <w:t>01</w:t>
                      </w:r>
                      <w:r w:rsidRPr="009A1B7D">
                        <w:rPr>
                          <w:rFonts w:ascii="標楷體" w:eastAsia="標楷體" w:hAnsi="標楷體" w:hint="eastAsia"/>
                          <w:sz w:val="18"/>
                          <w:szCs w:val="18"/>
                        </w:rPr>
                        <w:t>棟。</w:t>
                      </w:r>
                    </w:p>
                    <w:p w14:paraId="11DC86CC" w14:textId="77777777" w:rsidR="00F1456A" w:rsidRPr="009A1B7D" w:rsidRDefault="00F1456A" w:rsidP="00F1456A">
                      <w:pPr>
                        <w:spacing w:line="200" w:lineRule="exact"/>
                        <w:ind w:firstLineChars="200" w:firstLine="360"/>
                        <w:jc w:val="both"/>
                        <w:rPr>
                          <w:rFonts w:ascii="標楷體" w:eastAsia="標楷體" w:hAnsi="標楷體"/>
                          <w:sz w:val="18"/>
                          <w:szCs w:val="18"/>
                        </w:rPr>
                      </w:pPr>
                      <w:r>
                        <w:rPr>
                          <w:rFonts w:ascii="標楷體" w:eastAsia="標楷體" w:hAnsi="標楷體"/>
                          <w:sz w:val="18"/>
                          <w:szCs w:val="18"/>
                        </w:rPr>
                        <w:t>2</w:t>
                      </w:r>
                      <w:r w:rsidRPr="009A1B7D">
                        <w:rPr>
                          <w:rFonts w:ascii="標楷體" w:eastAsia="標楷體" w:hAnsi="標楷體"/>
                          <w:sz w:val="18"/>
                          <w:szCs w:val="18"/>
                        </w:rPr>
                        <w:t>.</w:t>
                      </w:r>
                      <w:r w:rsidRPr="009A1B7D">
                        <w:rPr>
                          <w:rFonts w:ascii="標楷體" w:eastAsia="標楷體" w:hAnsi="標楷體" w:hint="eastAsia"/>
                          <w:sz w:val="18"/>
                          <w:szCs w:val="18"/>
                        </w:rPr>
                        <w:t>資料來源</w:t>
                      </w:r>
                      <w:r>
                        <w:rPr>
                          <w:rFonts w:ascii="標楷體" w:eastAsia="標楷體" w:hAnsi="標楷體" w:hint="eastAsia"/>
                          <w:sz w:val="18"/>
                          <w:szCs w:val="18"/>
                        </w:rPr>
                        <w:t>：</w:t>
                      </w:r>
                      <w:r w:rsidRPr="009A1B7D">
                        <w:rPr>
                          <w:rFonts w:ascii="標楷體" w:eastAsia="標楷體" w:hAnsi="標楷體" w:hint="eastAsia"/>
                          <w:sz w:val="18"/>
                          <w:szCs w:val="18"/>
                        </w:rPr>
                        <w:t>整理自</w:t>
                      </w:r>
                      <w:r>
                        <w:rPr>
                          <w:rFonts w:ascii="標楷體" w:eastAsia="標楷體" w:hAnsi="標楷體" w:hint="eastAsia"/>
                          <w:sz w:val="18"/>
                          <w:szCs w:val="18"/>
                        </w:rPr>
                        <w:t>建築管理工程</w:t>
                      </w:r>
                      <w:r w:rsidRPr="009A1B7D">
                        <w:rPr>
                          <w:rFonts w:ascii="標楷體" w:eastAsia="標楷體" w:hAnsi="標楷體" w:hint="eastAsia"/>
                          <w:sz w:val="18"/>
                          <w:szCs w:val="18"/>
                        </w:rPr>
                        <w:t>處提供資料。</w:t>
                      </w:r>
                    </w:p>
                  </w:txbxContent>
                </v:textbox>
                <w10:wrap type="square" anchorx="margin"/>
              </v:shape>
            </w:pict>
          </mc:Fallback>
        </mc:AlternateContent>
      </w:r>
      <w:r w:rsidR="00F1456A" w:rsidRPr="001077C9">
        <w:rPr>
          <w:rFonts w:ascii="標楷體" w:eastAsia="標楷體" w:hAnsi="標楷體" w:hint="eastAsia"/>
          <w:b/>
          <w:bCs/>
        </w:rPr>
        <w:t>1.推動建築物外牆安全診斷申報作業，迄113年底仍有逾</w:t>
      </w:r>
      <w:proofErr w:type="gramStart"/>
      <w:r w:rsidR="00F1456A" w:rsidRPr="001077C9">
        <w:rPr>
          <w:rFonts w:ascii="標楷體" w:eastAsia="標楷體" w:hAnsi="標楷體" w:hint="eastAsia"/>
          <w:b/>
          <w:bCs/>
        </w:rPr>
        <w:t>7成</w:t>
      </w:r>
      <w:proofErr w:type="gramEnd"/>
      <w:r w:rsidR="00F1456A" w:rsidRPr="001077C9">
        <w:rPr>
          <w:rFonts w:ascii="標楷體" w:eastAsia="標楷體" w:hAnsi="標楷體" w:hint="eastAsia"/>
          <w:b/>
          <w:bCs/>
        </w:rPr>
        <w:t>商業區建物未申報或為「有公共安全之虞」待修繕</w:t>
      </w:r>
      <w:r w:rsidR="00F1456A">
        <w:rPr>
          <w:rFonts w:ascii="標楷體" w:eastAsia="標楷體" w:hAnsi="標楷體" w:hint="eastAsia"/>
          <w:b/>
          <w:bCs/>
        </w:rPr>
        <w:t>：</w:t>
      </w:r>
      <w:r w:rsidR="00F1456A" w:rsidRPr="00393839">
        <w:rPr>
          <w:rFonts w:ascii="標楷體" w:eastAsia="標楷體" w:hAnsi="標楷體" w:hint="eastAsia"/>
        </w:rPr>
        <w:t>截至113年11月底止</w:t>
      </w:r>
      <w:r w:rsidR="00F1456A">
        <w:rPr>
          <w:rFonts w:ascii="標楷體" w:eastAsia="標楷體" w:hAnsi="標楷體" w:hint="eastAsia"/>
        </w:rPr>
        <w:t>，</w:t>
      </w:r>
      <w:r w:rsidR="00F1456A" w:rsidRPr="00414FF7">
        <w:rPr>
          <w:rFonts w:ascii="標楷體" w:eastAsia="標楷體" w:hAnsi="標楷體" w:hint="eastAsia"/>
        </w:rPr>
        <w:t>建築管理工程處</w:t>
      </w:r>
      <w:r w:rsidR="00F1456A">
        <w:rPr>
          <w:rFonts w:ascii="標楷體" w:eastAsia="標楷體" w:hAnsi="標楷體" w:hint="eastAsia"/>
        </w:rPr>
        <w:t>列管</w:t>
      </w:r>
      <w:r w:rsidR="00F1456A" w:rsidRPr="00393839">
        <w:rPr>
          <w:rFonts w:ascii="標楷體" w:eastAsia="標楷體" w:hAnsi="標楷體" w:hint="eastAsia"/>
        </w:rPr>
        <w:t>臺北市</w:t>
      </w:r>
      <w:proofErr w:type="gramStart"/>
      <w:r w:rsidR="00F1456A" w:rsidRPr="00393839">
        <w:rPr>
          <w:rFonts w:ascii="標楷體" w:eastAsia="標楷體" w:hAnsi="標楷體" w:hint="eastAsia"/>
        </w:rPr>
        <w:t>轄</w:t>
      </w:r>
      <w:proofErr w:type="gramEnd"/>
      <w:r w:rsidR="00F1456A" w:rsidRPr="00393839">
        <w:rPr>
          <w:rFonts w:ascii="標楷體" w:eastAsia="標楷體" w:hAnsi="標楷體" w:hint="eastAsia"/>
        </w:rPr>
        <w:t>內應</w:t>
      </w:r>
      <w:r w:rsidR="00F1456A">
        <w:rPr>
          <w:rFonts w:ascii="標楷體" w:eastAsia="標楷體" w:hAnsi="標楷體" w:hint="eastAsia"/>
        </w:rPr>
        <w:t>辦理</w:t>
      </w:r>
      <w:r w:rsidR="00F1456A" w:rsidRPr="00B17339">
        <w:rPr>
          <w:rFonts w:ascii="標楷體" w:eastAsia="標楷體" w:hAnsi="標楷體" w:hint="eastAsia"/>
        </w:rPr>
        <w:t>建築物外牆安全診斷</w:t>
      </w:r>
      <w:r w:rsidR="00F1456A" w:rsidRPr="00393839">
        <w:rPr>
          <w:rFonts w:ascii="標楷體" w:eastAsia="標楷體" w:hAnsi="標楷體" w:hint="eastAsia"/>
        </w:rPr>
        <w:t>申報建物共1,000棟，包含已全數完成申報87棟公有建築物，其餘913棟屬商業區建築物，未申報588棟、已申報325棟，申報率僅35.60％；已申報案件中具「有危害公共安全之虞」待修繕卻未完成者共123棟</w:t>
      </w:r>
      <w:r w:rsidR="00F1456A">
        <w:rPr>
          <w:rFonts w:ascii="標楷體" w:eastAsia="標楷體" w:hAnsi="標楷體" w:hint="eastAsia"/>
        </w:rPr>
        <w:t>（表</w:t>
      </w:r>
      <w:r w:rsidR="00F1456A">
        <w:rPr>
          <w:rFonts w:ascii="標楷體" w:eastAsia="標楷體" w:hAnsi="標楷體"/>
        </w:rPr>
        <w:t>5</w:t>
      </w:r>
      <w:r w:rsidR="00F1456A">
        <w:rPr>
          <w:rFonts w:ascii="標楷體" w:eastAsia="標楷體" w:hAnsi="標楷體" w:hint="eastAsia"/>
        </w:rPr>
        <w:t>）</w:t>
      </w:r>
      <w:r w:rsidR="00F1456A" w:rsidRPr="00393839">
        <w:rPr>
          <w:rFonts w:ascii="標楷體" w:eastAsia="標楷體" w:hAnsi="標楷體" w:hint="eastAsia"/>
        </w:rPr>
        <w:t>，其中66棟</w:t>
      </w:r>
      <w:r w:rsidR="00F1456A">
        <w:rPr>
          <w:rFonts w:ascii="標楷體" w:eastAsia="標楷體" w:hAnsi="標楷體" w:hint="eastAsia"/>
        </w:rPr>
        <w:t>已逾該處</w:t>
      </w:r>
      <w:r w:rsidR="00F1456A" w:rsidRPr="00393839">
        <w:rPr>
          <w:rFonts w:ascii="標楷體" w:eastAsia="標楷體" w:hAnsi="標楷體" w:hint="eastAsia"/>
        </w:rPr>
        <w:t>限期</w:t>
      </w:r>
    </w:p>
    <w:p w14:paraId="19B6D864" w14:textId="7DDF3CC9" w:rsidR="00F1456A" w:rsidRPr="000762F5" w:rsidRDefault="00F1456A" w:rsidP="002D2DED">
      <w:pPr>
        <w:overflowPunct w:val="0"/>
        <w:spacing w:line="420" w:lineRule="exact"/>
        <w:jc w:val="both"/>
        <w:rPr>
          <w:rFonts w:ascii="標楷體" w:eastAsia="標楷體" w:hAnsi="標楷體"/>
        </w:rPr>
      </w:pPr>
      <w:r w:rsidRPr="00393839">
        <w:rPr>
          <w:rFonts w:ascii="標楷體" w:eastAsia="標楷體" w:hAnsi="標楷體" w:hint="eastAsia"/>
        </w:rPr>
        <w:lastRenderedPageBreak/>
        <w:t>修繕</w:t>
      </w:r>
      <w:r>
        <w:rPr>
          <w:rFonts w:ascii="標楷體" w:eastAsia="標楷體" w:hAnsi="標楷體" w:hint="eastAsia"/>
        </w:rPr>
        <w:t>期限。</w:t>
      </w:r>
      <w:proofErr w:type="gramStart"/>
      <w:r w:rsidRPr="001077C9">
        <w:rPr>
          <w:rFonts w:ascii="標楷體" w:eastAsia="標楷體" w:hAnsi="標楷體" w:hint="eastAsia"/>
        </w:rPr>
        <w:t>鑑</w:t>
      </w:r>
      <w:proofErr w:type="gramEnd"/>
      <w:r w:rsidRPr="001077C9">
        <w:rPr>
          <w:rFonts w:ascii="標楷體" w:eastAsia="標楷體" w:hAnsi="標楷體" w:hint="eastAsia"/>
        </w:rPr>
        <w:t>於上開已申報待修繕而未完成改善123棟連同未申報588棟，共711棟皆屬商業區建築物，約占應申報</w:t>
      </w:r>
      <w:r>
        <w:rPr>
          <w:rFonts w:ascii="標楷體" w:eastAsia="標楷體" w:hAnsi="標楷體" w:hint="eastAsia"/>
        </w:rPr>
        <w:t>9</w:t>
      </w:r>
      <w:r>
        <w:rPr>
          <w:rFonts w:ascii="標楷體" w:eastAsia="標楷體" w:hAnsi="標楷體"/>
        </w:rPr>
        <w:t>13</w:t>
      </w:r>
      <w:r>
        <w:rPr>
          <w:rFonts w:ascii="標楷體" w:eastAsia="標楷體" w:hAnsi="標楷體" w:hint="eastAsia"/>
        </w:rPr>
        <w:t>棟</w:t>
      </w:r>
      <w:r w:rsidRPr="001077C9">
        <w:rPr>
          <w:rFonts w:ascii="標楷體" w:eastAsia="標楷體" w:hAnsi="標楷體" w:hint="eastAsia"/>
        </w:rPr>
        <w:t>商業區建築物之77.88％，其毗鄰建築線外側即為人行道，外</w:t>
      </w:r>
      <w:proofErr w:type="gramStart"/>
      <w:r w:rsidRPr="001077C9">
        <w:rPr>
          <w:rFonts w:ascii="標楷體" w:eastAsia="標楷體" w:hAnsi="標楷體" w:hint="eastAsia"/>
        </w:rPr>
        <w:t>牆飾材</w:t>
      </w:r>
      <w:proofErr w:type="gramEnd"/>
      <w:r w:rsidRPr="001077C9">
        <w:rPr>
          <w:rFonts w:ascii="標楷體" w:eastAsia="標楷體" w:hAnsi="標楷體" w:hint="eastAsia"/>
        </w:rPr>
        <w:t>磁磚或石材剝落對通行易造成公安疑慮</w:t>
      </w:r>
      <w:r>
        <w:rPr>
          <w:rFonts w:ascii="標楷體" w:eastAsia="標楷體" w:hAnsi="標楷體" w:hint="eastAsia"/>
        </w:rPr>
        <w:t>，經函請</w:t>
      </w:r>
      <w:proofErr w:type="gramStart"/>
      <w:r>
        <w:rPr>
          <w:rFonts w:ascii="標楷體" w:eastAsia="標楷體" w:hAnsi="標楷體" w:hint="eastAsia"/>
        </w:rPr>
        <w:t>檢討妥處</w:t>
      </w:r>
      <w:proofErr w:type="gramEnd"/>
      <w:r>
        <w:rPr>
          <w:rFonts w:ascii="標楷體" w:eastAsia="標楷體" w:hAnsi="標楷體" w:hint="eastAsia"/>
        </w:rPr>
        <w:t>。據復：</w:t>
      </w:r>
      <w:r w:rsidRPr="001077C9">
        <w:rPr>
          <w:rFonts w:ascii="標楷體" w:eastAsia="標楷體" w:hAnsi="標楷體" w:hint="eastAsia"/>
          <w:spacing w:val="-2"/>
        </w:rPr>
        <w:t>將</w:t>
      </w:r>
      <w:r w:rsidRPr="003A2B14">
        <w:rPr>
          <w:rFonts w:ascii="標楷體" w:eastAsia="標楷體" w:hAnsi="標楷體" w:hint="eastAsia"/>
          <w:spacing w:val="-2"/>
        </w:rPr>
        <w:t>積極宣導建築物外牆應於期限內申報</w:t>
      </w:r>
      <w:r>
        <w:rPr>
          <w:rFonts w:ascii="標楷體" w:eastAsia="標楷體" w:hAnsi="標楷體" w:hint="eastAsia"/>
          <w:spacing w:val="-2"/>
        </w:rPr>
        <w:t>，包含定期發函通知社區管理委員會依法辦理外牆安全診斷申報，並於未成立管理委員會之社區門口張貼應辦理外</w:t>
      </w:r>
      <w:r w:rsidRPr="003A2B14">
        <w:rPr>
          <w:rFonts w:ascii="標楷體" w:eastAsia="標楷體" w:hAnsi="標楷體" w:hint="eastAsia"/>
          <w:spacing w:val="-2"/>
        </w:rPr>
        <w:t>牆</w:t>
      </w:r>
      <w:r>
        <w:rPr>
          <w:rFonts w:ascii="標楷體" w:eastAsia="標楷體" w:hAnsi="標楷體" w:hint="eastAsia"/>
          <w:spacing w:val="-2"/>
        </w:rPr>
        <w:t>申報公文</w:t>
      </w:r>
      <w:r w:rsidRPr="001077C9">
        <w:rPr>
          <w:rFonts w:ascii="標楷體" w:eastAsia="標楷體" w:hAnsi="標楷體" w:hint="eastAsia"/>
          <w:spacing w:val="-2"/>
        </w:rPr>
        <w:t>；另對於已申報未完成修繕者，</w:t>
      </w:r>
      <w:r>
        <w:rPr>
          <w:rFonts w:ascii="標楷體" w:eastAsia="標楷體" w:hAnsi="標楷體" w:hint="eastAsia"/>
          <w:spacing w:val="-2"/>
        </w:rPr>
        <w:t>已</w:t>
      </w:r>
      <w:proofErr w:type="gramStart"/>
      <w:r w:rsidRPr="001077C9">
        <w:rPr>
          <w:rFonts w:ascii="標楷體" w:eastAsia="標楷體" w:hAnsi="標楷體" w:hint="eastAsia"/>
          <w:spacing w:val="-2"/>
        </w:rPr>
        <w:t>掣</w:t>
      </w:r>
      <w:proofErr w:type="gramEnd"/>
      <w:r w:rsidRPr="001077C9">
        <w:rPr>
          <w:rFonts w:ascii="標楷體" w:eastAsia="標楷體" w:hAnsi="標楷體" w:hint="eastAsia"/>
          <w:spacing w:val="-2"/>
        </w:rPr>
        <w:t>函義務人應提出未修繕原因及出具建築師簽證、修繕需要工期及修繕期間建築物所</w:t>
      </w:r>
      <w:proofErr w:type="gramStart"/>
      <w:r w:rsidRPr="001077C9">
        <w:rPr>
          <w:rFonts w:ascii="標楷體" w:eastAsia="標楷體" w:hAnsi="標楷體" w:hint="eastAsia"/>
          <w:spacing w:val="-2"/>
        </w:rPr>
        <w:t>採</w:t>
      </w:r>
      <w:proofErr w:type="gramEnd"/>
      <w:r w:rsidRPr="001077C9">
        <w:rPr>
          <w:rFonts w:ascii="標楷體" w:eastAsia="標楷體" w:hAnsi="標楷體" w:hint="eastAsia"/>
          <w:spacing w:val="-2"/>
        </w:rPr>
        <w:t>行必要防護措施</w:t>
      </w:r>
      <w:r>
        <w:rPr>
          <w:rFonts w:ascii="標楷體" w:eastAsia="標楷體" w:hAnsi="標楷體" w:hint="eastAsia"/>
          <w:spacing w:val="-2"/>
        </w:rPr>
        <w:t>等。</w:t>
      </w:r>
    </w:p>
    <w:p w14:paraId="16983179" w14:textId="5273F848" w:rsidR="00F1456A" w:rsidRPr="00F262C5" w:rsidRDefault="00F1456A" w:rsidP="00F1456A">
      <w:pPr>
        <w:overflowPunct w:val="0"/>
        <w:spacing w:line="420" w:lineRule="exact"/>
        <w:ind w:firstLineChars="236" w:firstLine="567"/>
        <w:jc w:val="both"/>
        <w:rPr>
          <w:rFonts w:ascii="標楷體" w:eastAsia="標楷體" w:hAnsi="標楷體"/>
          <w:spacing w:val="-2"/>
        </w:rPr>
      </w:pPr>
      <w:r>
        <w:rPr>
          <w:rFonts w:ascii="標楷體" w:eastAsia="標楷體" w:hAnsi="標楷體" w:hint="eastAsia"/>
          <w:b/>
          <w:bCs/>
        </w:rPr>
        <w:t>2</w:t>
      </w:r>
      <w:r w:rsidRPr="001077C9">
        <w:rPr>
          <w:rFonts w:ascii="標楷體" w:eastAsia="標楷體" w:hAnsi="標楷體" w:hint="eastAsia"/>
          <w:b/>
          <w:bCs/>
        </w:rPr>
        <w:t>.</w:t>
      </w:r>
      <w:r w:rsidRPr="00CE60E5">
        <w:rPr>
          <w:rFonts w:ascii="標楷體" w:eastAsia="標楷體" w:hAnsi="標楷體" w:hint="eastAsia"/>
          <w:b/>
          <w:bCs/>
        </w:rPr>
        <w:t>推動公共安全檢查申報制度，</w:t>
      </w:r>
      <w:proofErr w:type="gramStart"/>
      <w:r w:rsidRPr="00CE60E5">
        <w:rPr>
          <w:rFonts w:ascii="標楷體" w:eastAsia="標楷體" w:hAnsi="標楷體" w:hint="eastAsia"/>
          <w:b/>
          <w:bCs/>
        </w:rPr>
        <w:t>間有未</w:t>
      </w:r>
      <w:proofErr w:type="gramEnd"/>
      <w:r w:rsidRPr="00CE60E5">
        <w:rPr>
          <w:rFonts w:ascii="標楷體" w:eastAsia="標楷體" w:hAnsi="標楷體" w:hint="eastAsia"/>
          <w:b/>
          <w:bCs/>
        </w:rPr>
        <w:t>依</w:t>
      </w:r>
      <w:r>
        <w:rPr>
          <w:rFonts w:ascii="標楷體" w:eastAsia="標楷體" w:hAnsi="標楷體" w:hint="eastAsia"/>
          <w:b/>
          <w:bCs/>
        </w:rPr>
        <w:t>自訂之作業</w:t>
      </w:r>
      <w:r w:rsidRPr="00CE60E5">
        <w:rPr>
          <w:rFonts w:ascii="標楷體" w:eastAsia="標楷體" w:hAnsi="標楷體" w:hint="eastAsia"/>
          <w:b/>
          <w:bCs/>
        </w:rPr>
        <w:t>規定掌握應申報未申報場所現況</w:t>
      </w:r>
      <w:r>
        <w:rPr>
          <w:rFonts w:ascii="標楷體" w:eastAsia="標楷體" w:hAnsi="標楷體" w:hint="eastAsia"/>
          <w:b/>
          <w:bCs/>
        </w:rPr>
        <w:t>：</w:t>
      </w:r>
      <w:r w:rsidRPr="00CC2326">
        <w:rPr>
          <w:rFonts w:ascii="標楷體" w:eastAsia="標楷體" w:hAnsi="標楷體" w:hint="eastAsia"/>
        </w:rPr>
        <w:t>建築物公共安全檢查簽證及申報辦法第3條及第4條第1項規定，建築物公共安全檢查申報</w:t>
      </w:r>
      <w:proofErr w:type="gramStart"/>
      <w:r>
        <w:rPr>
          <w:rFonts w:ascii="標楷體" w:eastAsia="標楷體" w:hAnsi="標楷體" w:hint="eastAsia"/>
        </w:rPr>
        <w:t>（</w:t>
      </w:r>
      <w:proofErr w:type="gramEnd"/>
      <w:r w:rsidRPr="00CC2326">
        <w:rPr>
          <w:rFonts w:ascii="標楷體" w:eastAsia="標楷體" w:hAnsi="標楷體" w:hint="eastAsia"/>
        </w:rPr>
        <w:t>下稱公安申報)範圍，包含「防火避難設施及設備安全標準檢查」</w:t>
      </w:r>
      <w:proofErr w:type="gramStart"/>
      <w:r>
        <w:rPr>
          <w:rFonts w:ascii="標楷體" w:eastAsia="標楷體" w:hAnsi="標楷體" w:hint="eastAsia"/>
        </w:rPr>
        <w:t>（</w:t>
      </w:r>
      <w:proofErr w:type="gramEnd"/>
      <w:r w:rsidRPr="00CC2326">
        <w:rPr>
          <w:rFonts w:ascii="標楷體" w:eastAsia="標楷體" w:hAnsi="標楷體" w:hint="eastAsia"/>
        </w:rPr>
        <w:t>申報人為建築物所有權人或使用人)、「耐震能力評估檢查」</w:t>
      </w:r>
      <w:proofErr w:type="gramStart"/>
      <w:r>
        <w:rPr>
          <w:rFonts w:ascii="標楷體" w:eastAsia="標楷體" w:hAnsi="標楷體" w:hint="eastAsia"/>
        </w:rPr>
        <w:t>（</w:t>
      </w:r>
      <w:proofErr w:type="gramEnd"/>
      <w:r w:rsidRPr="00CC2326">
        <w:rPr>
          <w:rFonts w:ascii="標楷體" w:eastAsia="標楷體" w:hAnsi="標楷體" w:hint="eastAsia"/>
        </w:rPr>
        <w:t>申報人為建築物所有權人)。另</w:t>
      </w:r>
      <w:r>
        <w:rPr>
          <w:rFonts w:ascii="標楷體" w:eastAsia="標楷體" w:hAnsi="標楷體" w:hint="eastAsia"/>
        </w:rPr>
        <w:t>建築管理工程</w:t>
      </w:r>
      <w:r w:rsidRPr="00CC2326">
        <w:rPr>
          <w:rFonts w:ascii="標楷體" w:eastAsia="標楷體" w:hAnsi="標楷體" w:hint="eastAsia"/>
        </w:rPr>
        <w:t>處訂</w:t>
      </w:r>
      <w:r>
        <w:rPr>
          <w:rFonts w:ascii="標楷體" w:eastAsia="標楷體" w:hAnsi="標楷體" w:hint="eastAsia"/>
        </w:rPr>
        <w:t>定之</w:t>
      </w:r>
      <w:r w:rsidRPr="00CC2326">
        <w:rPr>
          <w:rFonts w:ascii="標楷體" w:eastAsia="標楷體" w:hAnsi="標楷體" w:hint="eastAsia"/>
        </w:rPr>
        <w:t>「未辦理公共安全申報及簽證場所處理流程圖及作業說明表（GO14）」</w:t>
      </w:r>
      <w:r>
        <w:rPr>
          <w:rFonts w:ascii="標楷體" w:eastAsia="標楷體" w:hAnsi="標楷體" w:hint="eastAsia"/>
        </w:rPr>
        <w:t>略</w:t>
      </w:r>
      <w:proofErr w:type="gramStart"/>
      <w:r>
        <w:rPr>
          <w:rFonts w:ascii="標楷體" w:eastAsia="標楷體" w:hAnsi="標楷體" w:hint="eastAsia"/>
        </w:rPr>
        <w:t>以</w:t>
      </w:r>
      <w:proofErr w:type="gramEnd"/>
      <w:r w:rsidRPr="00CC2326">
        <w:rPr>
          <w:rFonts w:ascii="標楷體" w:eastAsia="標楷體" w:hAnsi="標楷體" w:hint="eastAsia"/>
        </w:rPr>
        <w:t>，</w:t>
      </w:r>
      <w:r>
        <w:rPr>
          <w:rFonts w:ascii="標楷體" w:eastAsia="標楷體" w:hAnsi="標楷體" w:hint="eastAsia"/>
        </w:rPr>
        <w:t>該處</w:t>
      </w:r>
      <w:r w:rsidRPr="00CC2326">
        <w:rPr>
          <w:rFonts w:ascii="標楷體" w:eastAsia="標楷體" w:hAnsi="標楷體" w:hint="eastAsia"/>
        </w:rPr>
        <w:t>須於建築物公安申報季結束後，確認經主管機關認定應辦理公安申報場所是否辦理申報，並就新案未辦理首次申報場所者，限期30日改善或補辦手續，另未辦理申報場所</w:t>
      </w:r>
      <w:proofErr w:type="gramStart"/>
      <w:r>
        <w:rPr>
          <w:rFonts w:ascii="標楷體" w:eastAsia="標楷體" w:hAnsi="標楷體" w:hint="eastAsia"/>
        </w:rPr>
        <w:t>（</w:t>
      </w:r>
      <w:proofErr w:type="gramEnd"/>
      <w:r w:rsidRPr="00CC2326">
        <w:rPr>
          <w:rFonts w:ascii="標楷體" w:eastAsia="標楷體" w:hAnsi="標楷體" w:hint="eastAsia"/>
        </w:rPr>
        <w:t>非首次申報)者，依建築法第91條規定開立罰單並限期30日改善或補辦手續</w:t>
      </w:r>
      <w:r w:rsidRPr="00CE60E5">
        <w:rPr>
          <w:rFonts w:ascii="標楷體" w:eastAsia="標楷體" w:hAnsi="標楷體" w:hint="eastAsia"/>
        </w:rPr>
        <w:t>。</w:t>
      </w:r>
      <w:r>
        <w:rPr>
          <w:rFonts w:ascii="標楷體" w:eastAsia="標楷體" w:hAnsi="標楷體" w:hint="eastAsia"/>
        </w:rPr>
        <w:t>就該</w:t>
      </w:r>
      <w:r w:rsidRPr="00CE60E5">
        <w:rPr>
          <w:rFonts w:ascii="標楷體" w:eastAsia="標楷體" w:hAnsi="標楷體" w:hint="eastAsia"/>
        </w:rPr>
        <w:t>處</w:t>
      </w:r>
      <w:r>
        <w:rPr>
          <w:rFonts w:ascii="標楷體" w:eastAsia="標楷體" w:hAnsi="標楷體" w:hint="eastAsia"/>
        </w:rPr>
        <w:t>列管</w:t>
      </w:r>
      <w:r w:rsidRPr="00CE60E5">
        <w:rPr>
          <w:rFonts w:ascii="標楷體" w:eastAsia="標楷體" w:hAnsi="標楷體" w:hint="eastAsia"/>
        </w:rPr>
        <w:t>113年第1季及第2季「非首次」申報卻未申報場所清單共310件，經</w:t>
      </w:r>
      <w:r>
        <w:rPr>
          <w:rFonts w:ascii="標楷體" w:eastAsia="標楷體" w:hAnsi="標楷體" w:hint="eastAsia"/>
        </w:rPr>
        <w:t>抽查</w:t>
      </w:r>
      <w:r w:rsidRPr="00CE60E5">
        <w:rPr>
          <w:rFonts w:ascii="標楷體" w:eastAsia="標楷體" w:hAnsi="標楷體" w:hint="eastAsia"/>
        </w:rPr>
        <w:t>發現截至113年12月17日止已逾113年第1季申報期8個月</w:t>
      </w:r>
      <w:r>
        <w:rPr>
          <w:rFonts w:ascii="標楷體" w:eastAsia="標楷體" w:hAnsi="標楷體" w:hint="eastAsia"/>
        </w:rPr>
        <w:t>仍未申報之場所</w:t>
      </w:r>
      <w:r w:rsidRPr="00CE60E5">
        <w:rPr>
          <w:rFonts w:ascii="標楷體" w:eastAsia="標楷體" w:hAnsi="標楷體" w:hint="eastAsia"/>
        </w:rPr>
        <w:t>共12件、逾113年第2季申報期5個月</w:t>
      </w:r>
      <w:r>
        <w:rPr>
          <w:rFonts w:ascii="標楷體" w:eastAsia="標楷體" w:hAnsi="標楷體" w:hint="eastAsia"/>
        </w:rPr>
        <w:t>仍未申報之場所</w:t>
      </w:r>
      <w:r w:rsidRPr="00CE60E5">
        <w:rPr>
          <w:rFonts w:ascii="標楷體" w:eastAsia="標楷體" w:hAnsi="標楷體" w:hint="eastAsia"/>
        </w:rPr>
        <w:t>共13件，</w:t>
      </w:r>
      <w:r>
        <w:rPr>
          <w:rFonts w:ascii="標楷體" w:eastAsia="標楷體" w:hAnsi="標楷體" w:hint="eastAsia"/>
        </w:rPr>
        <w:t>其中不乏集合住宅或民眾易聚集場所，惟該</w:t>
      </w:r>
      <w:r w:rsidRPr="00CE60E5">
        <w:rPr>
          <w:rFonts w:ascii="標楷體" w:eastAsia="標楷體" w:hAnsi="標楷體" w:hint="eastAsia"/>
        </w:rPr>
        <w:t>處</w:t>
      </w:r>
      <w:r>
        <w:rPr>
          <w:rFonts w:ascii="標楷體" w:eastAsia="標楷體" w:hAnsi="標楷體" w:hint="eastAsia"/>
        </w:rPr>
        <w:t>處理進度</w:t>
      </w:r>
      <w:r w:rsidRPr="00CE60E5">
        <w:rPr>
          <w:rFonts w:ascii="標楷體" w:eastAsia="標楷體" w:hAnsi="標楷體" w:hint="eastAsia"/>
        </w:rPr>
        <w:t>仍停滯於待</w:t>
      </w:r>
      <w:proofErr w:type="gramStart"/>
      <w:r w:rsidRPr="00CE60E5">
        <w:rPr>
          <w:rFonts w:ascii="標楷體" w:eastAsia="標楷體" w:hAnsi="標楷體" w:hint="eastAsia"/>
        </w:rPr>
        <w:t>釐</w:t>
      </w:r>
      <w:proofErr w:type="gramEnd"/>
      <w:r w:rsidRPr="00CE60E5">
        <w:rPr>
          <w:rFonts w:ascii="標楷體" w:eastAsia="標楷體" w:hAnsi="標楷體" w:hint="eastAsia"/>
        </w:rPr>
        <w:t>清未申報場所現況</w:t>
      </w:r>
      <w:r>
        <w:rPr>
          <w:rFonts w:ascii="標楷體" w:eastAsia="標楷體" w:hAnsi="標楷體" w:hint="eastAsia"/>
        </w:rPr>
        <w:t>中；</w:t>
      </w:r>
      <w:r w:rsidRPr="00EA2D1D">
        <w:rPr>
          <w:rFonts w:ascii="標楷體" w:eastAsia="標楷體" w:hAnsi="標楷體" w:hint="eastAsia"/>
        </w:rPr>
        <w:t>另截至113年9月</w:t>
      </w:r>
      <w:proofErr w:type="gramStart"/>
      <w:r w:rsidRPr="00EA2D1D">
        <w:rPr>
          <w:rFonts w:ascii="標楷體" w:eastAsia="標楷體" w:hAnsi="標楷體" w:hint="eastAsia"/>
        </w:rPr>
        <w:t>止</w:t>
      </w:r>
      <w:proofErr w:type="gramEnd"/>
      <w:r>
        <w:rPr>
          <w:rFonts w:ascii="標楷體" w:eastAsia="標楷體" w:hAnsi="標楷體" w:hint="eastAsia"/>
        </w:rPr>
        <w:t>臺</w:t>
      </w:r>
      <w:r w:rsidRPr="00EA2D1D">
        <w:rPr>
          <w:rFonts w:ascii="標楷體" w:eastAsia="標楷體" w:hAnsi="標楷體" w:hint="eastAsia"/>
        </w:rPr>
        <w:t>北市8層樓以上「集合住宅」（H</w:t>
      </w:r>
      <w:r w:rsidR="006D73F5">
        <w:rPr>
          <w:rFonts w:ascii="標楷體" w:eastAsia="標楷體" w:hAnsi="標楷體" w:hint="eastAsia"/>
        </w:rPr>
        <w:t>－</w:t>
      </w:r>
      <w:r w:rsidRPr="00EA2D1D">
        <w:rPr>
          <w:rFonts w:ascii="標楷體" w:eastAsia="標楷體" w:hAnsi="標楷體" w:hint="eastAsia"/>
        </w:rPr>
        <w:t>2類組）應「首次」申報公安筆數共1,303筆，已申報1</w:t>
      </w:r>
      <w:r w:rsidRPr="00EA2D1D">
        <w:rPr>
          <w:rFonts w:ascii="標楷體" w:eastAsia="標楷體" w:hAnsi="標楷體"/>
        </w:rPr>
        <w:t>,125</w:t>
      </w:r>
      <w:r w:rsidRPr="00EA2D1D">
        <w:rPr>
          <w:rFonts w:ascii="標楷體" w:eastAsia="標楷體" w:hAnsi="標楷體" w:hint="eastAsia"/>
        </w:rPr>
        <w:t>筆，尚有178筆未申報，</w:t>
      </w:r>
      <w:r>
        <w:rPr>
          <w:rFonts w:ascii="標楷體" w:eastAsia="標楷體" w:hAnsi="標楷體" w:hint="eastAsia"/>
        </w:rPr>
        <w:t>該</w:t>
      </w:r>
      <w:proofErr w:type="gramStart"/>
      <w:r>
        <w:rPr>
          <w:rFonts w:ascii="標楷體" w:eastAsia="標楷體" w:hAnsi="標楷體" w:hint="eastAsia"/>
        </w:rPr>
        <w:t>處亦遲未</w:t>
      </w:r>
      <w:proofErr w:type="gramEnd"/>
      <w:r>
        <w:rPr>
          <w:rFonts w:ascii="標楷體" w:eastAsia="標楷體" w:hAnsi="標楷體" w:hint="eastAsia"/>
        </w:rPr>
        <w:t>發函義務人限期改善或補辦手續等情事，經函請</w:t>
      </w:r>
      <w:proofErr w:type="gramStart"/>
      <w:r>
        <w:rPr>
          <w:rFonts w:ascii="標楷體" w:eastAsia="標楷體" w:hAnsi="標楷體" w:hint="eastAsia"/>
        </w:rPr>
        <w:t>檢討妥處</w:t>
      </w:r>
      <w:proofErr w:type="gramEnd"/>
      <w:r>
        <w:rPr>
          <w:rFonts w:ascii="標楷體" w:eastAsia="標楷體" w:hAnsi="標楷體" w:hint="eastAsia"/>
        </w:rPr>
        <w:t>。據復：應於</w:t>
      </w:r>
      <w:r w:rsidRPr="00F262C5">
        <w:rPr>
          <w:rFonts w:ascii="標楷體" w:eastAsia="標楷體" w:hAnsi="標楷體" w:hint="eastAsia"/>
          <w:spacing w:val="-2"/>
        </w:rPr>
        <w:t>113年第1季及第2季</w:t>
      </w:r>
      <w:r>
        <w:rPr>
          <w:rFonts w:ascii="標楷體" w:eastAsia="標楷體" w:hAnsi="標楷體" w:hint="eastAsia"/>
          <w:spacing w:val="-2"/>
        </w:rPr>
        <w:t>辦理「非首次」申報卻未申報之2</w:t>
      </w:r>
      <w:r>
        <w:rPr>
          <w:rFonts w:ascii="標楷體" w:eastAsia="標楷體" w:hAnsi="標楷體"/>
          <w:spacing w:val="-2"/>
        </w:rPr>
        <w:t>5</w:t>
      </w:r>
      <w:r>
        <w:rPr>
          <w:rFonts w:ascii="標楷體" w:eastAsia="標楷體" w:hAnsi="標楷體" w:hint="eastAsia"/>
          <w:spacing w:val="-2"/>
        </w:rPr>
        <w:t>件公共場所，截至114年2月24日，</w:t>
      </w:r>
      <w:r w:rsidRPr="00F262C5">
        <w:rPr>
          <w:rFonts w:ascii="標楷體" w:eastAsia="標楷體" w:hAnsi="標楷體" w:hint="eastAsia"/>
          <w:spacing w:val="-2"/>
        </w:rPr>
        <w:t>已申報</w:t>
      </w:r>
      <w:r>
        <w:rPr>
          <w:rFonts w:ascii="標楷體" w:eastAsia="標楷體" w:hAnsi="標楷體" w:hint="eastAsia"/>
          <w:spacing w:val="-2"/>
        </w:rPr>
        <w:t>11件、</w:t>
      </w:r>
      <w:r w:rsidRPr="00F262C5">
        <w:rPr>
          <w:rFonts w:ascii="標楷體" w:eastAsia="標楷體" w:hAnsi="標楷體" w:hint="eastAsia"/>
          <w:spacing w:val="-2"/>
        </w:rPr>
        <w:t>停業</w:t>
      </w:r>
      <w:r>
        <w:rPr>
          <w:rFonts w:ascii="標楷體" w:eastAsia="標楷體" w:hAnsi="標楷體" w:hint="eastAsia"/>
          <w:spacing w:val="-2"/>
        </w:rPr>
        <w:t>6</w:t>
      </w:r>
      <w:r w:rsidRPr="00F262C5">
        <w:rPr>
          <w:rFonts w:ascii="標楷體" w:eastAsia="標楷體" w:hAnsi="標楷體" w:hint="eastAsia"/>
          <w:spacing w:val="-2"/>
        </w:rPr>
        <w:t>件，</w:t>
      </w:r>
      <w:r>
        <w:rPr>
          <w:rFonts w:ascii="標楷體" w:eastAsia="標楷體" w:hAnsi="標楷體" w:hint="eastAsia"/>
          <w:spacing w:val="-2"/>
        </w:rPr>
        <w:t>經義務人申請展</w:t>
      </w:r>
      <w:proofErr w:type="gramStart"/>
      <w:r>
        <w:rPr>
          <w:rFonts w:ascii="標楷體" w:eastAsia="標楷體" w:hAnsi="標楷體" w:hint="eastAsia"/>
          <w:spacing w:val="-2"/>
        </w:rPr>
        <w:t>延申</w:t>
      </w:r>
      <w:proofErr w:type="gramEnd"/>
      <w:r>
        <w:rPr>
          <w:rFonts w:ascii="標楷體" w:eastAsia="標楷體" w:hAnsi="標楷體" w:hint="eastAsia"/>
          <w:spacing w:val="-2"/>
        </w:rPr>
        <w:t>報期限3件、經該處</w:t>
      </w:r>
      <w:r w:rsidRPr="00F262C5">
        <w:rPr>
          <w:rFonts w:ascii="標楷體" w:eastAsia="標楷體" w:hAnsi="標楷體" w:hint="eastAsia"/>
          <w:spacing w:val="-2"/>
        </w:rPr>
        <w:t>裁罰</w:t>
      </w:r>
      <w:r>
        <w:rPr>
          <w:rFonts w:ascii="標楷體" w:eastAsia="標楷體" w:hAnsi="標楷體" w:hint="eastAsia"/>
          <w:spacing w:val="-2"/>
        </w:rPr>
        <w:t>及限期改善中5件</w:t>
      </w:r>
      <w:r w:rsidRPr="00F262C5">
        <w:rPr>
          <w:rFonts w:ascii="標楷體" w:eastAsia="標楷體" w:hAnsi="標楷體" w:hint="eastAsia"/>
          <w:spacing w:val="-2"/>
        </w:rPr>
        <w:t>；</w:t>
      </w:r>
      <w:r>
        <w:rPr>
          <w:rFonts w:ascii="標楷體" w:eastAsia="標楷體" w:hAnsi="標楷體" w:hint="eastAsia"/>
          <w:spacing w:val="-2"/>
        </w:rPr>
        <w:t>另應「首次」申報卻尚未申報之178筆</w:t>
      </w:r>
      <w:r w:rsidRPr="00F262C5">
        <w:rPr>
          <w:rFonts w:ascii="標楷體" w:eastAsia="標楷體" w:hAnsi="標楷體" w:hint="eastAsia"/>
          <w:spacing w:val="-2"/>
        </w:rPr>
        <w:t>8樓以上集合住宅（H</w:t>
      </w:r>
      <w:r w:rsidR="006D73F5">
        <w:rPr>
          <w:rFonts w:ascii="標楷體" w:eastAsia="標楷體" w:hAnsi="標楷體" w:hint="eastAsia"/>
          <w:spacing w:val="-2"/>
        </w:rPr>
        <w:t>－</w:t>
      </w:r>
      <w:r w:rsidRPr="00F262C5">
        <w:rPr>
          <w:rFonts w:ascii="標楷體" w:eastAsia="標楷體" w:hAnsi="標楷體" w:hint="eastAsia"/>
          <w:spacing w:val="-2"/>
        </w:rPr>
        <w:t>2類組）</w:t>
      </w:r>
      <w:r>
        <w:rPr>
          <w:rFonts w:ascii="標楷體" w:eastAsia="標楷體" w:hAnsi="標楷體" w:hint="eastAsia"/>
          <w:spacing w:val="-2"/>
        </w:rPr>
        <w:t>，截至114年2月24日止，已續由義務人申報44筆，並將由該</w:t>
      </w:r>
      <w:r w:rsidRPr="00F262C5">
        <w:rPr>
          <w:rFonts w:ascii="標楷體" w:eastAsia="標楷體" w:hAnsi="標楷體" w:hint="eastAsia"/>
          <w:spacing w:val="-2"/>
        </w:rPr>
        <w:t>處</w:t>
      </w:r>
      <w:r>
        <w:rPr>
          <w:rFonts w:ascii="標楷體" w:eastAsia="標楷體" w:hAnsi="標楷體" w:hint="eastAsia"/>
          <w:spacing w:val="-2"/>
        </w:rPr>
        <w:t>就其中9筆</w:t>
      </w:r>
      <w:r w:rsidRPr="00F262C5">
        <w:rPr>
          <w:rFonts w:ascii="標楷體" w:eastAsia="標楷體" w:hAnsi="標楷體" w:hint="eastAsia"/>
          <w:spacing w:val="-2"/>
        </w:rPr>
        <w:t>「有管委會」</w:t>
      </w:r>
      <w:r>
        <w:rPr>
          <w:rFonts w:ascii="標楷體" w:eastAsia="標楷體" w:hAnsi="標楷體" w:hint="eastAsia"/>
          <w:spacing w:val="-2"/>
        </w:rPr>
        <w:t>者連續處分義務人至</w:t>
      </w:r>
      <w:r w:rsidRPr="00F262C5">
        <w:rPr>
          <w:rFonts w:ascii="標楷體" w:eastAsia="標楷體" w:hAnsi="標楷體" w:hint="eastAsia"/>
          <w:spacing w:val="-2"/>
        </w:rPr>
        <w:t>申報為止</w:t>
      </w:r>
      <w:r>
        <w:rPr>
          <w:rFonts w:ascii="標楷體" w:eastAsia="標楷體" w:hAnsi="標楷體" w:hint="eastAsia"/>
          <w:spacing w:val="-2"/>
        </w:rPr>
        <w:t>，餘</w:t>
      </w:r>
      <w:r w:rsidRPr="00F262C5">
        <w:rPr>
          <w:rFonts w:ascii="標楷體" w:eastAsia="標楷體" w:hAnsi="標楷體" w:hint="eastAsia"/>
          <w:spacing w:val="-2"/>
        </w:rPr>
        <w:t>125筆「無管</w:t>
      </w:r>
      <w:r>
        <w:rPr>
          <w:rFonts w:ascii="標楷體" w:eastAsia="標楷體" w:hAnsi="標楷體" w:hint="eastAsia"/>
          <w:spacing w:val="-2"/>
        </w:rPr>
        <w:t>委</w:t>
      </w:r>
      <w:r w:rsidRPr="00F262C5">
        <w:rPr>
          <w:rFonts w:ascii="標楷體" w:eastAsia="標楷體" w:hAnsi="標楷體" w:hint="eastAsia"/>
          <w:spacing w:val="-2"/>
        </w:rPr>
        <w:t>會」</w:t>
      </w:r>
      <w:r>
        <w:rPr>
          <w:rFonts w:ascii="標楷體" w:eastAsia="標楷體" w:hAnsi="標楷體" w:hint="eastAsia"/>
          <w:spacing w:val="-2"/>
        </w:rPr>
        <w:t>者，該處亦將</w:t>
      </w:r>
      <w:r w:rsidRPr="00F262C5">
        <w:rPr>
          <w:rFonts w:ascii="標楷體" w:eastAsia="標楷體" w:hAnsi="標楷體" w:hint="eastAsia"/>
          <w:spacing w:val="-2"/>
        </w:rPr>
        <w:t>借重專業團體協助輔導儘速辦理公安申報，預計於115年4月1日起再次清查及裁罰。</w:t>
      </w:r>
    </w:p>
    <w:p w14:paraId="67AEAAD3" w14:textId="77777777" w:rsidR="00F1456A" w:rsidRPr="00881FAC" w:rsidRDefault="00F1456A" w:rsidP="00F1456A">
      <w:pPr>
        <w:overflowPunct w:val="0"/>
        <w:snapToGrid w:val="0"/>
        <w:spacing w:beforeLines="30" w:before="108" w:afterLines="20" w:after="72" w:line="410" w:lineRule="exact"/>
        <w:ind w:firstLineChars="100" w:firstLine="280"/>
        <w:jc w:val="both"/>
        <w:rPr>
          <w:rFonts w:ascii="標楷體" w:eastAsia="標楷體"/>
          <w:b/>
          <w:sz w:val="28"/>
          <w:szCs w:val="28"/>
        </w:rPr>
      </w:pPr>
      <w:r>
        <w:rPr>
          <w:rFonts w:ascii="標楷體" w:eastAsia="標楷體" w:hint="eastAsia"/>
          <w:b/>
          <w:sz w:val="28"/>
          <w:szCs w:val="28"/>
        </w:rPr>
        <w:t>（六）</w:t>
      </w:r>
      <w:r w:rsidRPr="00E71EA9">
        <w:rPr>
          <w:rFonts w:ascii="標楷體" w:eastAsia="標楷體" w:hint="eastAsia"/>
          <w:b/>
          <w:sz w:val="28"/>
          <w:szCs w:val="28"/>
        </w:rPr>
        <w:t>持續列管轄內高氯離子混凝土建築物（海砂屋），惟對民眾將「須拆除重建」海</w:t>
      </w:r>
      <w:proofErr w:type="gramStart"/>
      <w:r w:rsidRPr="00E71EA9">
        <w:rPr>
          <w:rFonts w:ascii="標楷體" w:eastAsia="標楷體" w:hint="eastAsia"/>
          <w:b/>
          <w:sz w:val="28"/>
          <w:szCs w:val="28"/>
        </w:rPr>
        <w:t>砂屋續供</w:t>
      </w:r>
      <w:proofErr w:type="gramEnd"/>
      <w:r w:rsidRPr="00E71EA9">
        <w:rPr>
          <w:rFonts w:ascii="標楷體" w:eastAsia="標楷體" w:hint="eastAsia"/>
          <w:b/>
          <w:sz w:val="28"/>
          <w:szCs w:val="28"/>
        </w:rPr>
        <w:t>作營業使用，</w:t>
      </w:r>
      <w:proofErr w:type="gramStart"/>
      <w:r w:rsidRPr="00E71EA9">
        <w:rPr>
          <w:rFonts w:ascii="標楷體" w:eastAsia="標楷體" w:hint="eastAsia"/>
          <w:b/>
          <w:sz w:val="28"/>
          <w:szCs w:val="28"/>
        </w:rPr>
        <w:t>間有未</w:t>
      </w:r>
      <w:proofErr w:type="gramEnd"/>
      <w:r w:rsidRPr="00E71EA9">
        <w:rPr>
          <w:rFonts w:ascii="標楷體" w:eastAsia="標楷體" w:hint="eastAsia"/>
          <w:b/>
          <w:sz w:val="28"/>
          <w:szCs w:val="28"/>
        </w:rPr>
        <w:t>依規定裁罰及強制斷水斷電等情事，</w:t>
      </w:r>
      <w:proofErr w:type="gramStart"/>
      <w:r w:rsidRPr="00E71EA9">
        <w:rPr>
          <w:rFonts w:ascii="標楷體" w:eastAsia="標楷體" w:hint="eastAsia"/>
          <w:b/>
          <w:sz w:val="28"/>
          <w:szCs w:val="28"/>
        </w:rPr>
        <w:t>允待檢討妥處</w:t>
      </w:r>
      <w:proofErr w:type="gramEnd"/>
      <w:r w:rsidRPr="00E71EA9">
        <w:rPr>
          <w:rFonts w:ascii="標楷體" w:eastAsia="標楷體" w:hint="eastAsia"/>
          <w:b/>
          <w:sz w:val="28"/>
          <w:szCs w:val="28"/>
        </w:rPr>
        <w:t>，以維護公共安全</w:t>
      </w:r>
      <w:r w:rsidRPr="00881FAC">
        <w:rPr>
          <w:rFonts w:ascii="標楷體" w:eastAsia="標楷體" w:hint="eastAsia"/>
          <w:b/>
          <w:sz w:val="28"/>
          <w:szCs w:val="28"/>
        </w:rPr>
        <w:t>。</w:t>
      </w:r>
    </w:p>
    <w:p w14:paraId="124167BD" w14:textId="77777777" w:rsidR="002D2DED" w:rsidRDefault="00F1456A" w:rsidP="00F1456A">
      <w:pPr>
        <w:spacing w:beforeLines="30" w:before="108" w:afterLines="20" w:after="72" w:line="410" w:lineRule="exact"/>
        <w:ind w:firstLineChars="200" w:firstLine="480"/>
        <w:jc w:val="both"/>
        <w:rPr>
          <w:rFonts w:ascii="標楷體" w:eastAsia="標楷體" w:hAnsi="標楷體"/>
          <w:spacing w:val="-4"/>
          <w:kern w:val="0"/>
        </w:rPr>
      </w:pPr>
      <w:r>
        <w:rPr>
          <w:rFonts w:ascii="標楷體" w:eastAsia="標楷體" w:hAnsi="標楷體" w:hint="eastAsia"/>
          <w:kern w:val="0"/>
        </w:rPr>
        <w:t>臺北市政府於112年7月19日修正發布「臺北市高氯離子混凝土建築物善後處理自治條例」第7條第1項規定「經鑑定須拆除重建之建築物，都發局應列管公告，依建築法規定通知所有權人停止使用，並限期命所有權人拆除。逾期未停止使用者，得處建築物所有權人新臺幣5千元以上6萬元以下罰鍰，必要時得按次處罰。其仍未停止使用者，得依行政執行法規定處以</w:t>
      </w:r>
      <w:proofErr w:type="gramStart"/>
      <w:r w:rsidRPr="009E2D41">
        <w:rPr>
          <w:rFonts w:ascii="標楷體" w:eastAsia="標楷體" w:hAnsi="標楷體" w:hint="eastAsia"/>
          <w:spacing w:val="-4"/>
          <w:kern w:val="0"/>
        </w:rPr>
        <w:t>怠</w:t>
      </w:r>
      <w:proofErr w:type="gramEnd"/>
      <w:r w:rsidRPr="009E2D41">
        <w:rPr>
          <w:rFonts w:ascii="標楷體" w:eastAsia="標楷體" w:hAnsi="標楷體" w:hint="eastAsia"/>
          <w:spacing w:val="-4"/>
          <w:kern w:val="0"/>
        </w:rPr>
        <w:t>金及停止供水供電…</w:t>
      </w:r>
      <w:proofErr w:type="gramStart"/>
      <w:r w:rsidRPr="009E2D41">
        <w:rPr>
          <w:rFonts w:ascii="標楷體" w:eastAsia="標楷體" w:hAnsi="標楷體" w:hint="eastAsia"/>
          <w:spacing w:val="-4"/>
          <w:kern w:val="0"/>
        </w:rPr>
        <w:t>…</w:t>
      </w:r>
      <w:proofErr w:type="gramEnd"/>
      <w:r w:rsidRPr="009E2D41">
        <w:rPr>
          <w:rFonts w:ascii="標楷體" w:eastAsia="標楷體" w:hAnsi="標楷體" w:hint="eastAsia"/>
          <w:spacing w:val="-4"/>
          <w:kern w:val="0"/>
        </w:rPr>
        <w:t>。」又現行該府推動臺北市高氯離子混凝土建築物（下稱海砂屋）處理機</w:t>
      </w:r>
    </w:p>
    <w:p w14:paraId="32DC3F83" w14:textId="4BC4EDC8" w:rsidR="00F1456A" w:rsidRDefault="00F1456A" w:rsidP="002D2DED">
      <w:pPr>
        <w:spacing w:beforeLines="30" w:before="108" w:afterLines="20" w:after="72" w:line="410" w:lineRule="exact"/>
        <w:jc w:val="both"/>
        <w:rPr>
          <w:rFonts w:ascii="標楷體" w:eastAsia="標楷體" w:hAnsi="標楷體"/>
          <w:szCs w:val="24"/>
        </w:rPr>
      </w:pPr>
      <w:r w:rsidRPr="009E2D41">
        <w:rPr>
          <w:rFonts w:ascii="標楷體" w:eastAsia="標楷體" w:hAnsi="標楷體" w:hint="eastAsia"/>
          <w:spacing w:val="-4"/>
          <w:kern w:val="0"/>
        </w:rPr>
        <w:lastRenderedPageBreak/>
        <w:t>制</w:t>
      </w:r>
      <w:r>
        <w:rPr>
          <w:rFonts w:ascii="標楷體" w:eastAsia="標楷體" w:hAnsi="標楷體" w:hint="eastAsia"/>
          <w:kern w:val="0"/>
        </w:rPr>
        <w:t>，針對經公告列管「須拆除重建」海砂屋，已要求海砂屋所有權人於公告日後2年內停止使用，倘屆期仍繼續使用，依上開條例等相關規定進行裁罰，必要時得持續裁罰、斷水斷電（營業用），並要求所有權人應於公告日3年內自行拆除完竣，逾3年未拆除者列入定期巡</w:t>
      </w:r>
      <w:proofErr w:type="gramStart"/>
      <w:r>
        <w:rPr>
          <w:rFonts w:ascii="標楷體" w:eastAsia="標楷體" w:hAnsi="標楷體" w:hint="eastAsia"/>
          <w:kern w:val="0"/>
        </w:rPr>
        <w:t>勘</w:t>
      </w:r>
      <w:proofErr w:type="gramEnd"/>
      <w:r>
        <w:rPr>
          <w:rFonts w:ascii="標楷體" w:eastAsia="標楷體" w:hAnsi="標楷體" w:hint="eastAsia"/>
          <w:kern w:val="0"/>
        </w:rPr>
        <w:t>判定是否須列為「強制拆除」案件。據建築管理工程處提供資料，該處於</w:t>
      </w:r>
      <w:proofErr w:type="gramStart"/>
      <w:r>
        <w:rPr>
          <w:rFonts w:ascii="標楷體" w:eastAsia="標楷體" w:hAnsi="標楷體" w:hint="eastAsia"/>
          <w:kern w:val="0"/>
        </w:rPr>
        <w:t>113</w:t>
      </w:r>
      <w:proofErr w:type="gramEnd"/>
      <w:r>
        <w:rPr>
          <w:rFonts w:ascii="標楷體" w:eastAsia="標楷體" w:hAnsi="標楷體" w:hint="eastAsia"/>
          <w:kern w:val="0"/>
        </w:rPr>
        <w:t>年度編列推動海砂屋拆除及補</w:t>
      </w:r>
      <w:proofErr w:type="gramStart"/>
      <w:r>
        <w:rPr>
          <w:rFonts w:ascii="標楷體" w:eastAsia="標楷體" w:hAnsi="標楷體" w:hint="eastAsia"/>
          <w:kern w:val="0"/>
        </w:rPr>
        <w:t>強等歲出</w:t>
      </w:r>
      <w:proofErr w:type="gramEnd"/>
      <w:r>
        <w:rPr>
          <w:rFonts w:ascii="標楷體" w:eastAsia="標楷體" w:hAnsi="標楷體" w:hint="eastAsia"/>
          <w:kern w:val="0"/>
        </w:rPr>
        <w:t>預算共4,426萬餘元，截至113年9月</w:t>
      </w:r>
      <w:proofErr w:type="gramStart"/>
      <w:r>
        <w:rPr>
          <w:rFonts w:ascii="標楷體" w:eastAsia="標楷體" w:hAnsi="標楷體" w:hint="eastAsia"/>
          <w:kern w:val="0"/>
        </w:rPr>
        <w:t>止列管海</w:t>
      </w:r>
      <w:proofErr w:type="gramEnd"/>
      <w:r>
        <w:rPr>
          <w:rFonts w:ascii="標楷體" w:eastAsia="標楷體" w:hAnsi="標楷體" w:hint="eastAsia"/>
          <w:kern w:val="0"/>
        </w:rPr>
        <w:t>砂屋案件共有121件、311棟、6,126戶，包含須拆除重建計113件、287棟、5,791戶。經本處運用GOOGLE MAP及財政部稅務入口網站「稅籍登記資料公示</w:t>
      </w:r>
      <w:r w:rsidR="008E1E9B">
        <w:rPr>
          <w:rFonts w:ascii="標楷體" w:eastAsia="標楷體" w:hAnsi="標楷體" w:hint="eastAsia"/>
          <w:kern w:val="0"/>
        </w:rPr>
        <w:t>查詢</w:t>
      </w:r>
      <w:r>
        <w:rPr>
          <w:rFonts w:ascii="標楷體" w:eastAsia="標楷體" w:hAnsi="標楷體" w:hint="eastAsia"/>
          <w:kern w:val="0"/>
        </w:rPr>
        <w:t>」，隨機抽查16件列管案件，發現「永吉路」等5件屬99年7月至110年12月列管「須拆除重建」案件共有11間店面，包含4間查有營業稅籍店面及7間查無營業稅籍，現況為餐廳、咖啡廳、藥妝店、電器行等營業場所（表6），截至113年12月9日止，</w:t>
      </w:r>
      <w:proofErr w:type="gramStart"/>
      <w:r>
        <w:rPr>
          <w:rFonts w:ascii="標楷體" w:eastAsia="標楷體" w:hAnsi="標楷體" w:hint="eastAsia"/>
          <w:kern w:val="0"/>
        </w:rPr>
        <w:t>均已逾</w:t>
      </w:r>
      <w:proofErr w:type="gramEnd"/>
      <w:r>
        <w:rPr>
          <w:rFonts w:ascii="標楷體" w:eastAsia="標楷體" w:hAnsi="標楷體" w:hint="eastAsia"/>
          <w:kern w:val="0"/>
        </w:rPr>
        <w:t>公告日3年，惟該處對上開11間海砂屋營業場所之後續處置情形，除將108年7</w:t>
      </w:r>
      <w:r>
        <w:rPr>
          <w:rFonts w:ascii="新細明體" w:hAnsi="新細明體" w:cs="新細明體"/>
          <w:noProof/>
          <w:kern w:val="0"/>
          <w:szCs w:val="24"/>
        </w:rPr>
        <mc:AlternateContent>
          <mc:Choice Requires="wps">
            <w:drawing>
              <wp:anchor distT="45720" distB="45720" distL="114300" distR="114300" simplePos="0" relativeHeight="251826176" behindDoc="0" locked="0" layoutInCell="1" allowOverlap="1" wp14:anchorId="527B4547" wp14:editId="5E1D9E84">
                <wp:simplePos x="0" y="0"/>
                <wp:positionH relativeFrom="margin">
                  <wp:posOffset>2171700</wp:posOffset>
                </wp:positionH>
                <wp:positionV relativeFrom="paragraph">
                  <wp:posOffset>2683510</wp:posOffset>
                </wp:positionV>
                <wp:extent cx="4241165" cy="2981325"/>
                <wp:effectExtent l="0" t="0" r="6985" b="9525"/>
                <wp:wrapSquare wrapText="bothSides"/>
                <wp:docPr id="927419593" name="文字方塊 927419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1165" cy="2981325"/>
                        </a:xfrm>
                        <a:prstGeom prst="rect">
                          <a:avLst/>
                        </a:prstGeom>
                        <a:solidFill>
                          <a:srgbClr val="FFFFFF"/>
                        </a:solidFill>
                        <a:ln w="9525">
                          <a:noFill/>
                          <a:miter lim="800000"/>
                          <a:headEnd/>
                          <a:tailEnd/>
                        </a:ln>
                      </wps:spPr>
                      <wps:txbx>
                        <w:txbxContent>
                          <w:p w14:paraId="34691BF6" w14:textId="66883A38" w:rsidR="00F1456A" w:rsidRDefault="00F1456A" w:rsidP="00F1456A">
                            <w:pPr>
                              <w:spacing w:afterLines="20" w:after="72" w:line="300" w:lineRule="exact"/>
                              <w:ind w:leftChars="-59" w:hangingChars="59" w:hanging="142"/>
                              <w:jc w:val="center"/>
                              <w:rPr>
                                <w:rFonts w:ascii="標楷體" w:eastAsia="標楷體" w:hAnsi="標楷體"/>
                                <w:b/>
                              </w:rPr>
                            </w:pPr>
                            <w:r>
                              <w:rPr>
                                <w:rFonts w:ascii="標楷體" w:eastAsia="標楷體" w:hAnsi="標楷體" w:hint="eastAsia"/>
                                <w:b/>
                              </w:rPr>
                              <w:t>表6</w:t>
                            </w:r>
                            <w:r w:rsidR="005D009F">
                              <w:rPr>
                                <w:rFonts w:ascii="標楷體" w:eastAsia="標楷體" w:hAnsi="標楷體" w:hint="eastAsia"/>
                                <w:b/>
                              </w:rPr>
                              <w:t xml:space="preserve">　</w:t>
                            </w:r>
                            <w:proofErr w:type="gramStart"/>
                            <w:r>
                              <w:rPr>
                                <w:rFonts w:ascii="標楷體" w:eastAsia="標楷體" w:hAnsi="標楷體" w:hint="eastAsia"/>
                                <w:b/>
                                <w:spacing w:val="-10"/>
                              </w:rPr>
                              <w:t>列管屬</w:t>
                            </w:r>
                            <w:proofErr w:type="gramEnd"/>
                            <w:r>
                              <w:rPr>
                                <w:rFonts w:ascii="標楷體" w:eastAsia="標楷體" w:hAnsi="標楷體" w:hint="eastAsia"/>
                                <w:b/>
                                <w:spacing w:val="-10"/>
                              </w:rPr>
                              <w:t>「須拆除重建」海砂屋持續作為營業場所使用情形</w:t>
                            </w:r>
                          </w:p>
                          <w:tbl>
                            <w:tblPr>
                              <w:tblStyle w:val="a6"/>
                              <w:tblW w:w="6497" w:type="dxa"/>
                              <w:tblInd w:w="-147" w:type="dxa"/>
                              <w:tblLook w:val="04A0" w:firstRow="1" w:lastRow="0" w:firstColumn="1" w:lastColumn="0" w:noHBand="0" w:noVBand="1"/>
                            </w:tblPr>
                            <w:tblGrid>
                              <w:gridCol w:w="569"/>
                              <w:gridCol w:w="991"/>
                              <w:gridCol w:w="1843"/>
                              <w:gridCol w:w="3094"/>
                            </w:tblGrid>
                            <w:tr w:rsidR="00F1456A" w14:paraId="53B15B74" w14:textId="77777777">
                              <w:trPr>
                                <w:trHeight w:val="559"/>
                              </w:trPr>
                              <w:tc>
                                <w:tcPr>
                                  <w:tcW w:w="5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626B15" w14:textId="77777777" w:rsidR="00F1456A" w:rsidRDefault="00F1456A">
                                  <w:pPr>
                                    <w:spacing w:line="240" w:lineRule="exact"/>
                                    <w:jc w:val="center"/>
                                    <w:rPr>
                                      <w:rFonts w:ascii="標楷體" w:eastAsia="標楷體" w:hAnsi="標楷體"/>
                                      <w:spacing w:val="-20"/>
                                    </w:rPr>
                                  </w:pPr>
                                  <w:r>
                                    <w:rPr>
                                      <w:rFonts w:ascii="標楷體" w:eastAsia="標楷體" w:hAnsi="標楷體" w:hint="eastAsia"/>
                                      <w:spacing w:val="-20"/>
                                    </w:rPr>
                                    <w:t>序號</w:t>
                                  </w:r>
                                </w:p>
                              </w:tc>
                              <w:tc>
                                <w:tcPr>
                                  <w:tcW w:w="9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B2DFBE" w14:textId="77777777" w:rsidR="00F1456A" w:rsidRDefault="00F1456A">
                                  <w:pPr>
                                    <w:spacing w:line="240" w:lineRule="exact"/>
                                    <w:jc w:val="center"/>
                                    <w:rPr>
                                      <w:rFonts w:ascii="標楷體" w:eastAsia="標楷體" w:hAnsi="標楷體"/>
                                      <w:spacing w:val="-20"/>
                                    </w:rPr>
                                  </w:pPr>
                                  <w:r>
                                    <w:rPr>
                                      <w:rFonts w:ascii="標楷體" w:eastAsia="標楷體" w:hAnsi="標楷體" w:hint="eastAsia"/>
                                      <w:spacing w:val="-20"/>
                                    </w:rPr>
                                    <w:t>公告列</w:t>
                                  </w:r>
                                </w:p>
                                <w:p w14:paraId="123E5112" w14:textId="77777777" w:rsidR="00F1456A" w:rsidRDefault="00F1456A">
                                  <w:pPr>
                                    <w:spacing w:line="240" w:lineRule="exact"/>
                                    <w:jc w:val="center"/>
                                    <w:rPr>
                                      <w:rFonts w:ascii="標楷體" w:eastAsia="標楷體" w:hAnsi="標楷體"/>
                                      <w:spacing w:val="-20"/>
                                    </w:rPr>
                                  </w:pPr>
                                  <w:proofErr w:type="gramStart"/>
                                  <w:r>
                                    <w:rPr>
                                      <w:rFonts w:ascii="標楷體" w:eastAsia="標楷體" w:hAnsi="標楷體" w:hint="eastAsia"/>
                                      <w:spacing w:val="-20"/>
                                    </w:rPr>
                                    <w:t>管日</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B8D93B" w14:textId="77777777" w:rsidR="00F1456A" w:rsidRDefault="00F1456A">
                                  <w:pPr>
                                    <w:spacing w:line="240" w:lineRule="exact"/>
                                    <w:jc w:val="center"/>
                                    <w:rPr>
                                      <w:rFonts w:ascii="標楷體" w:eastAsia="標楷體" w:hAnsi="標楷體"/>
                                    </w:rPr>
                                  </w:pPr>
                                  <w:r>
                                    <w:rPr>
                                      <w:rFonts w:ascii="標楷體" w:eastAsia="標楷體" w:hAnsi="標楷體" w:hint="eastAsia"/>
                                    </w:rPr>
                                    <w:t>行政區、地址</w:t>
                                  </w:r>
                                </w:p>
                                <w:p w14:paraId="7D72A763" w14:textId="77777777" w:rsidR="00F1456A" w:rsidRDefault="00F1456A">
                                  <w:pPr>
                                    <w:spacing w:line="240" w:lineRule="exact"/>
                                    <w:jc w:val="center"/>
                                    <w:rPr>
                                      <w:rFonts w:ascii="標楷體" w:eastAsia="標楷體" w:hAnsi="標楷體"/>
                                    </w:rPr>
                                  </w:pPr>
                                  <w:r>
                                    <w:rPr>
                                      <w:rFonts w:ascii="標楷體" w:eastAsia="標楷體" w:hAnsi="標楷體" w:hint="eastAsia"/>
                                    </w:rPr>
                                    <w:t>(路段)</w:t>
                                  </w:r>
                                </w:p>
                              </w:tc>
                              <w:tc>
                                <w:tcPr>
                                  <w:tcW w:w="30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8C8404" w14:textId="77777777" w:rsidR="00F1456A" w:rsidRDefault="00F1456A">
                                  <w:pPr>
                                    <w:spacing w:line="240" w:lineRule="exact"/>
                                    <w:ind w:leftChars="-33" w:left="-79"/>
                                    <w:jc w:val="center"/>
                                    <w:rPr>
                                      <w:rFonts w:ascii="標楷體" w:eastAsia="標楷體" w:hAnsi="標楷體"/>
                                    </w:rPr>
                                  </w:pPr>
                                  <w:r>
                                    <w:rPr>
                                      <w:rFonts w:ascii="標楷體" w:eastAsia="標楷體" w:hAnsi="標楷體" w:hint="eastAsia"/>
                                    </w:rPr>
                                    <w:t>類別(</w:t>
                                  </w:r>
                                  <w:proofErr w:type="gramStart"/>
                                  <w:r>
                                    <w:rPr>
                                      <w:rFonts w:ascii="標楷體" w:eastAsia="標楷體" w:hAnsi="標楷體" w:hint="eastAsia"/>
                                    </w:rPr>
                                    <w:t>註</w:t>
                                  </w:r>
                                  <w:proofErr w:type="gramEnd"/>
                                  <w:r>
                                    <w:rPr>
                                      <w:rFonts w:ascii="標楷體" w:eastAsia="標楷體" w:hAnsi="標楷體" w:hint="eastAsia"/>
                                    </w:rPr>
                                    <w:t>1)</w:t>
                                  </w:r>
                                </w:p>
                              </w:tc>
                            </w:tr>
                            <w:tr w:rsidR="00F1456A" w14:paraId="31561DF7" w14:textId="77777777">
                              <w:trPr>
                                <w:trHeight w:val="260"/>
                              </w:trPr>
                              <w:tc>
                                <w:tcPr>
                                  <w:tcW w:w="569" w:type="dxa"/>
                                  <w:tcBorders>
                                    <w:top w:val="single" w:sz="4" w:space="0" w:color="auto"/>
                                    <w:left w:val="single" w:sz="4" w:space="0" w:color="auto"/>
                                    <w:bottom w:val="single" w:sz="4" w:space="0" w:color="auto"/>
                                    <w:right w:val="single" w:sz="4" w:space="0" w:color="auto"/>
                                  </w:tcBorders>
                                  <w:vAlign w:val="center"/>
                                  <w:hideMark/>
                                </w:tcPr>
                                <w:p w14:paraId="560E4E5A" w14:textId="77777777" w:rsidR="00F1456A" w:rsidRDefault="00F1456A">
                                  <w:pPr>
                                    <w:spacing w:line="240" w:lineRule="exact"/>
                                    <w:jc w:val="center"/>
                                    <w:rPr>
                                      <w:rFonts w:ascii="標楷體" w:eastAsia="標楷體" w:hAnsi="標楷體"/>
                                      <w:spacing w:val="-20"/>
                                    </w:rPr>
                                  </w:pPr>
                                  <w:r>
                                    <w:rPr>
                                      <w:rFonts w:ascii="標楷體" w:eastAsia="標楷體" w:hAnsi="標楷體" w:hint="eastAsia"/>
                                      <w:spacing w:val="-20"/>
                                    </w:rPr>
                                    <w:t>1</w:t>
                                  </w:r>
                                </w:p>
                              </w:tc>
                              <w:tc>
                                <w:tcPr>
                                  <w:tcW w:w="991" w:type="dxa"/>
                                  <w:tcBorders>
                                    <w:top w:val="single" w:sz="4" w:space="0" w:color="auto"/>
                                    <w:left w:val="single" w:sz="4" w:space="0" w:color="auto"/>
                                    <w:bottom w:val="single" w:sz="4" w:space="0" w:color="auto"/>
                                    <w:right w:val="single" w:sz="4" w:space="0" w:color="auto"/>
                                  </w:tcBorders>
                                  <w:vAlign w:val="center"/>
                                  <w:hideMark/>
                                </w:tcPr>
                                <w:p w14:paraId="7DE0AB08" w14:textId="77777777" w:rsidR="00F1456A" w:rsidRDefault="00F1456A">
                                  <w:pPr>
                                    <w:spacing w:line="240" w:lineRule="exact"/>
                                    <w:rPr>
                                      <w:rFonts w:ascii="標楷體" w:eastAsia="標楷體" w:hAnsi="標楷體"/>
                                      <w:spacing w:val="-4"/>
                                    </w:rPr>
                                  </w:pPr>
                                  <w:r>
                                    <w:rPr>
                                      <w:rFonts w:ascii="標楷體" w:eastAsia="標楷體" w:hAnsi="標楷體" w:hint="eastAsia"/>
                                      <w:spacing w:val="-4"/>
                                    </w:rPr>
                                    <w:t>99.7.30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F0E5807" w14:textId="77777777" w:rsidR="00F1456A" w:rsidRDefault="00F1456A">
                                  <w:pPr>
                                    <w:spacing w:line="240" w:lineRule="exact"/>
                                    <w:ind w:leftChars="-30" w:left="-72" w:rightChars="-50" w:right="-120"/>
                                    <w:rPr>
                                      <w:rFonts w:ascii="標楷體" w:eastAsia="標楷體" w:hAnsi="標楷體"/>
                                    </w:rPr>
                                  </w:pPr>
                                  <w:r>
                                    <w:rPr>
                                      <w:rFonts w:ascii="標楷體" w:eastAsia="標楷體" w:hAnsi="標楷體" w:hint="eastAsia"/>
                                    </w:rPr>
                                    <w:t>信義區永吉路</w:t>
                                  </w:r>
                                </w:p>
                              </w:tc>
                              <w:tc>
                                <w:tcPr>
                                  <w:tcW w:w="3094" w:type="dxa"/>
                                  <w:tcBorders>
                                    <w:top w:val="single" w:sz="4" w:space="0" w:color="auto"/>
                                    <w:left w:val="single" w:sz="4" w:space="0" w:color="auto"/>
                                    <w:bottom w:val="single" w:sz="4" w:space="0" w:color="auto"/>
                                    <w:right w:val="single" w:sz="4" w:space="0" w:color="auto"/>
                                  </w:tcBorders>
                                  <w:vAlign w:val="center"/>
                                  <w:hideMark/>
                                </w:tcPr>
                                <w:p w14:paraId="5453E3C7" w14:textId="77777777" w:rsidR="00F1456A" w:rsidRDefault="00F1456A">
                                  <w:pPr>
                                    <w:spacing w:line="240" w:lineRule="exact"/>
                                    <w:rPr>
                                      <w:rFonts w:ascii="標楷體" w:eastAsia="標楷體" w:hAnsi="標楷體"/>
                                      <w:spacing w:val="-20"/>
                                    </w:rPr>
                                  </w:pPr>
                                  <w:r>
                                    <w:rPr>
                                      <w:rFonts w:ascii="標楷體" w:eastAsia="標楷體" w:hAnsi="標楷體" w:hint="eastAsia"/>
                                      <w:noProof/>
                                    </w:rPr>
                                    <w:t>家電行</w:t>
                                  </w:r>
                                </w:p>
                              </w:tc>
                            </w:tr>
                            <w:tr w:rsidR="00F1456A" w14:paraId="4B736AF0" w14:textId="77777777">
                              <w:trPr>
                                <w:trHeight w:val="260"/>
                              </w:trPr>
                              <w:tc>
                                <w:tcPr>
                                  <w:tcW w:w="569" w:type="dxa"/>
                                  <w:tcBorders>
                                    <w:top w:val="single" w:sz="4" w:space="0" w:color="auto"/>
                                    <w:left w:val="single" w:sz="4" w:space="0" w:color="auto"/>
                                    <w:bottom w:val="single" w:sz="4" w:space="0" w:color="auto"/>
                                    <w:right w:val="single" w:sz="4" w:space="0" w:color="auto"/>
                                  </w:tcBorders>
                                  <w:vAlign w:val="center"/>
                                  <w:hideMark/>
                                </w:tcPr>
                                <w:p w14:paraId="4FC849F2" w14:textId="77777777" w:rsidR="00F1456A" w:rsidRDefault="00F1456A">
                                  <w:pPr>
                                    <w:spacing w:line="240" w:lineRule="exact"/>
                                    <w:jc w:val="center"/>
                                    <w:rPr>
                                      <w:rFonts w:ascii="標楷體" w:eastAsia="標楷體" w:hAnsi="標楷體"/>
                                    </w:rPr>
                                  </w:pPr>
                                  <w:r>
                                    <w:rPr>
                                      <w:rFonts w:ascii="標楷體" w:eastAsia="標楷體" w:hAnsi="標楷體" w:hint="eastAsia"/>
                                    </w:rPr>
                                    <w:t>2</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51C9B21D" w14:textId="77777777" w:rsidR="00F1456A" w:rsidRDefault="00F1456A">
                                  <w:pPr>
                                    <w:spacing w:line="240" w:lineRule="exact"/>
                                    <w:rPr>
                                      <w:rFonts w:ascii="標楷體" w:eastAsia="標楷體" w:hAnsi="標楷體"/>
                                      <w:spacing w:val="-4"/>
                                    </w:rPr>
                                  </w:pPr>
                                  <w:r>
                                    <w:rPr>
                                      <w:rFonts w:ascii="標楷體" w:eastAsia="標楷體" w:hAnsi="標楷體" w:hint="eastAsia"/>
                                      <w:spacing w:val="-4"/>
                                    </w:rPr>
                                    <w:t>100.2.1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1C2DD46" w14:textId="77777777" w:rsidR="00F1456A" w:rsidRDefault="00F1456A">
                                  <w:pPr>
                                    <w:spacing w:line="240" w:lineRule="exact"/>
                                    <w:ind w:leftChars="-30" w:left="-72" w:rightChars="-50" w:right="-120"/>
                                    <w:rPr>
                                      <w:rFonts w:ascii="標楷體" w:eastAsia="標楷體" w:hAnsi="標楷體"/>
                                      <w:noProof/>
                                      <w:spacing w:val="-10"/>
                                    </w:rPr>
                                  </w:pPr>
                                  <w:r>
                                    <w:rPr>
                                      <w:rFonts w:ascii="標楷體" w:eastAsia="標楷體" w:hAnsi="標楷體" w:hint="eastAsia"/>
                                      <w:noProof/>
                                      <w:spacing w:val="-10"/>
                                    </w:rPr>
                                    <w:t>信義區基隆路</w:t>
                                  </w:r>
                                  <w:r>
                                    <w:rPr>
                                      <w:rFonts w:ascii="標楷體" w:eastAsia="標楷體" w:hAnsi="標楷體" w:hint="eastAsia"/>
                                      <w:color w:val="000000" w:themeColor="text1"/>
                                      <w:spacing w:val="-10"/>
                                    </w:rPr>
                                    <w:t>2</w:t>
                                  </w:r>
                                  <w:r>
                                    <w:rPr>
                                      <w:rFonts w:ascii="標楷體" w:eastAsia="標楷體" w:hAnsi="標楷體" w:hint="eastAsia"/>
                                      <w:noProof/>
                                      <w:spacing w:val="-10"/>
                                    </w:rPr>
                                    <w:t>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6BAF9EFE" w14:textId="77777777" w:rsidR="00F1456A" w:rsidRDefault="00F1456A">
                                  <w:pPr>
                                    <w:spacing w:line="240" w:lineRule="exact"/>
                                    <w:rPr>
                                      <w:rFonts w:ascii="標楷體" w:eastAsia="標楷體" w:hAnsi="標楷體"/>
                                      <w:noProof/>
                                    </w:rPr>
                                  </w:pPr>
                                  <w:r>
                                    <w:rPr>
                                      <w:rFonts w:ascii="標楷體" w:eastAsia="標楷體" w:hAnsi="標楷體" w:hint="eastAsia"/>
                                      <w:noProof/>
                                    </w:rPr>
                                    <w:t>家具行</w:t>
                                  </w:r>
                                </w:p>
                              </w:tc>
                            </w:tr>
                            <w:tr w:rsidR="00F1456A" w14:paraId="7C4AD3B9" w14:textId="77777777">
                              <w:trPr>
                                <w:trHeight w:val="260"/>
                              </w:trPr>
                              <w:tc>
                                <w:tcPr>
                                  <w:tcW w:w="569" w:type="dxa"/>
                                  <w:tcBorders>
                                    <w:top w:val="single" w:sz="4" w:space="0" w:color="auto"/>
                                    <w:left w:val="single" w:sz="4" w:space="0" w:color="auto"/>
                                    <w:bottom w:val="single" w:sz="4" w:space="0" w:color="auto"/>
                                    <w:right w:val="single" w:sz="4" w:space="0" w:color="auto"/>
                                  </w:tcBorders>
                                  <w:vAlign w:val="center"/>
                                  <w:hideMark/>
                                </w:tcPr>
                                <w:p w14:paraId="25DA4BFC" w14:textId="77777777" w:rsidR="00F1456A" w:rsidRDefault="00F1456A">
                                  <w:pPr>
                                    <w:spacing w:line="240" w:lineRule="exact"/>
                                    <w:jc w:val="center"/>
                                    <w:rPr>
                                      <w:rFonts w:ascii="標楷體" w:eastAsia="標楷體" w:hAnsi="標楷體"/>
                                    </w:rPr>
                                  </w:pPr>
                                  <w:r>
                                    <w:rPr>
                                      <w:rFonts w:ascii="標楷體" w:eastAsia="標楷體" w:hAnsi="標楷體" w:hint="eastAsia"/>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A1D15F"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54EA06A6" w14:textId="77777777" w:rsidR="00F1456A" w:rsidRDefault="00F1456A">
                                  <w:pPr>
                                    <w:spacing w:line="240" w:lineRule="exact"/>
                                    <w:ind w:leftChars="-30" w:left="-72" w:rightChars="-50" w:right="-120"/>
                                    <w:rPr>
                                      <w:rFonts w:ascii="標楷體" w:eastAsia="標楷體" w:hAnsi="標楷體"/>
                                      <w:noProof/>
                                      <w:spacing w:val="-10"/>
                                    </w:rPr>
                                  </w:pPr>
                                  <w:r>
                                    <w:rPr>
                                      <w:rFonts w:ascii="標楷體" w:eastAsia="標楷體" w:hAnsi="標楷體" w:hint="eastAsia"/>
                                      <w:noProof/>
                                      <w:spacing w:val="-10"/>
                                    </w:rPr>
                                    <w:t>信義區基隆路</w:t>
                                  </w:r>
                                  <w:r>
                                    <w:rPr>
                                      <w:rFonts w:ascii="標楷體" w:eastAsia="標楷體" w:hAnsi="標楷體" w:hint="eastAsia"/>
                                      <w:color w:val="000000" w:themeColor="text1"/>
                                      <w:spacing w:val="-10"/>
                                    </w:rPr>
                                    <w:t>2</w:t>
                                  </w:r>
                                  <w:r>
                                    <w:rPr>
                                      <w:rFonts w:ascii="標楷體" w:eastAsia="標楷體" w:hAnsi="標楷體" w:hint="eastAsia"/>
                                      <w:noProof/>
                                      <w:spacing w:val="-10"/>
                                    </w:rPr>
                                    <w:t>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310DDFAE" w14:textId="77777777" w:rsidR="00F1456A" w:rsidRDefault="00F1456A">
                                  <w:pPr>
                                    <w:spacing w:line="240" w:lineRule="exact"/>
                                    <w:rPr>
                                      <w:rFonts w:ascii="標楷體" w:eastAsia="標楷體" w:hAnsi="標楷體"/>
                                      <w:noProof/>
                                    </w:rPr>
                                  </w:pPr>
                                  <w:r>
                                    <w:rPr>
                                      <w:rFonts w:ascii="標楷體" w:eastAsia="標楷體" w:hAnsi="標楷體" w:hint="eastAsia"/>
                                      <w:noProof/>
                                    </w:rPr>
                                    <w:t>咖啡廳</w:t>
                                  </w:r>
                                </w:p>
                              </w:tc>
                            </w:tr>
                            <w:tr w:rsidR="00F1456A" w14:paraId="05DCF269" w14:textId="77777777">
                              <w:trPr>
                                <w:trHeight w:val="260"/>
                              </w:trPr>
                              <w:tc>
                                <w:tcPr>
                                  <w:tcW w:w="569" w:type="dxa"/>
                                  <w:tcBorders>
                                    <w:top w:val="single" w:sz="4" w:space="0" w:color="auto"/>
                                    <w:left w:val="single" w:sz="4" w:space="0" w:color="auto"/>
                                    <w:bottom w:val="single" w:sz="4" w:space="0" w:color="auto"/>
                                    <w:right w:val="single" w:sz="4" w:space="0" w:color="auto"/>
                                  </w:tcBorders>
                                  <w:vAlign w:val="center"/>
                                  <w:hideMark/>
                                </w:tcPr>
                                <w:p w14:paraId="5DA96547" w14:textId="77777777" w:rsidR="00F1456A" w:rsidRDefault="00F1456A">
                                  <w:pPr>
                                    <w:spacing w:line="240" w:lineRule="exact"/>
                                    <w:jc w:val="center"/>
                                    <w:rPr>
                                      <w:rFonts w:ascii="標楷體" w:eastAsia="標楷體" w:hAnsi="標楷體"/>
                                    </w:rPr>
                                  </w:pPr>
                                  <w:r>
                                    <w:rPr>
                                      <w:rFonts w:ascii="標楷體" w:eastAsia="標楷體" w:hAnsi="標楷體" w:hint="eastAsia"/>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F4569"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6736A735" w14:textId="77777777" w:rsidR="00F1456A" w:rsidRDefault="00F1456A">
                                  <w:pPr>
                                    <w:spacing w:line="240" w:lineRule="exact"/>
                                    <w:ind w:leftChars="-30" w:left="-72" w:rightChars="-50" w:right="-120"/>
                                    <w:rPr>
                                      <w:rFonts w:ascii="標楷體" w:eastAsia="標楷體" w:hAnsi="標楷體"/>
                                      <w:noProof/>
                                    </w:rPr>
                                  </w:pPr>
                                  <w:r>
                                    <w:rPr>
                                      <w:rFonts w:ascii="標楷體" w:eastAsia="標楷體" w:hAnsi="標楷體" w:hint="eastAsia"/>
                                      <w:noProof/>
                                      <w:spacing w:val="-10"/>
                                    </w:rPr>
                                    <w:t>信義區基隆路2段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36B982D5" w14:textId="77777777" w:rsidR="00F1456A" w:rsidRDefault="00F1456A">
                                  <w:pPr>
                                    <w:spacing w:line="240" w:lineRule="exact"/>
                                    <w:rPr>
                                      <w:rFonts w:ascii="標楷體" w:eastAsia="標楷體" w:hAnsi="標楷體"/>
                                      <w:noProof/>
                                    </w:rPr>
                                  </w:pPr>
                                  <w:r>
                                    <w:rPr>
                                      <w:rFonts w:ascii="標楷體" w:eastAsia="標楷體" w:hAnsi="標楷體" w:hint="eastAsia"/>
                                      <w:noProof/>
                                    </w:rPr>
                                    <w:t>飾品店</w:t>
                                  </w:r>
                                </w:p>
                              </w:tc>
                            </w:tr>
                            <w:tr w:rsidR="00F1456A" w14:paraId="6A258AB7" w14:textId="77777777">
                              <w:trPr>
                                <w:trHeight w:val="260"/>
                              </w:trPr>
                              <w:tc>
                                <w:tcPr>
                                  <w:tcW w:w="569" w:type="dxa"/>
                                  <w:tcBorders>
                                    <w:top w:val="single" w:sz="4" w:space="0" w:color="auto"/>
                                    <w:left w:val="single" w:sz="4" w:space="0" w:color="auto"/>
                                    <w:bottom w:val="single" w:sz="4" w:space="0" w:color="auto"/>
                                    <w:right w:val="single" w:sz="4" w:space="0" w:color="auto"/>
                                  </w:tcBorders>
                                  <w:vAlign w:val="center"/>
                                  <w:hideMark/>
                                </w:tcPr>
                                <w:p w14:paraId="084C4F22" w14:textId="77777777" w:rsidR="00F1456A" w:rsidRDefault="00F1456A">
                                  <w:pPr>
                                    <w:spacing w:line="240" w:lineRule="exact"/>
                                    <w:jc w:val="center"/>
                                    <w:rPr>
                                      <w:rFonts w:ascii="標楷體" w:eastAsia="標楷體" w:hAnsi="標楷體"/>
                                    </w:rPr>
                                  </w:pPr>
                                  <w:r>
                                    <w:rPr>
                                      <w:rFonts w:ascii="標楷體" w:eastAsia="標楷體" w:hAnsi="標楷體" w:hint="eastAsia"/>
                                    </w:rPr>
                                    <w:t>5</w:t>
                                  </w:r>
                                </w:p>
                              </w:tc>
                              <w:tc>
                                <w:tcPr>
                                  <w:tcW w:w="991" w:type="dxa"/>
                                  <w:tcBorders>
                                    <w:top w:val="single" w:sz="4" w:space="0" w:color="auto"/>
                                    <w:left w:val="single" w:sz="4" w:space="0" w:color="auto"/>
                                    <w:bottom w:val="single" w:sz="4" w:space="0" w:color="auto"/>
                                    <w:right w:val="single" w:sz="4" w:space="0" w:color="auto"/>
                                  </w:tcBorders>
                                  <w:vAlign w:val="center"/>
                                  <w:hideMark/>
                                </w:tcPr>
                                <w:p w14:paraId="72848C89" w14:textId="77777777" w:rsidR="00F1456A" w:rsidRDefault="00F1456A">
                                  <w:pPr>
                                    <w:spacing w:line="240" w:lineRule="exact"/>
                                    <w:rPr>
                                      <w:rFonts w:ascii="標楷體" w:eastAsia="標楷體" w:hAnsi="標楷體"/>
                                      <w:spacing w:val="-4"/>
                                    </w:rPr>
                                  </w:pPr>
                                  <w:r>
                                    <w:rPr>
                                      <w:rFonts w:ascii="標楷體" w:eastAsia="標楷體" w:hAnsi="標楷體" w:hint="eastAsia"/>
                                      <w:spacing w:val="-4"/>
                                    </w:rPr>
                                    <w:t>103.7.4</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106505" w14:textId="77777777" w:rsidR="00F1456A" w:rsidRDefault="00F1456A">
                                  <w:pPr>
                                    <w:spacing w:line="240" w:lineRule="exact"/>
                                    <w:ind w:leftChars="-30" w:left="-72" w:rightChars="-50" w:right="-120"/>
                                    <w:rPr>
                                      <w:rFonts w:ascii="標楷體" w:eastAsia="標楷體" w:hAnsi="標楷體"/>
                                      <w:noProof/>
                                    </w:rPr>
                                  </w:pPr>
                                  <w:r>
                                    <w:rPr>
                                      <w:rFonts w:ascii="標楷體" w:eastAsia="標楷體" w:hAnsi="標楷體" w:hint="eastAsia"/>
                                    </w:rPr>
                                    <w:t>士林區德行西路</w:t>
                                  </w:r>
                                </w:p>
                              </w:tc>
                              <w:tc>
                                <w:tcPr>
                                  <w:tcW w:w="3094" w:type="dxa"/>
                                  <w:tcBorders>
                                    <w:top w:val="single" w:sz="4" w:space="0" w:color="auto"/>
                                    <w:left w:val="single" w:sz="4" w:space="0" w:color="auto"/>
                                    <w:bottom w:val="single" w:sz="4" w:space="0" w:color="auto"/>
                                    <w:right w:val="single" w:sz="4" w:space="0" w:color="auto"/>
                                  </w:tcBorders>
                                  <w:vAlign w:val="center"/>
                                  <w:hideMark/>
                                </w:tcPr>
                                <w:p w14:paraId="2A005765" w14:textId="77777777" w:rsidR="00F1456A" w:rsidRDefault="00F1456A">
                                  <w:pPr>
                                    <w:spacing w:line="240" w:lineRule="exact"/>
                                    <w:rPr>
                                      <w:rFonts w:ascii="標楷體" w:eastAsia="標楷體" w:hAnsi="標楷體"/>
                                      <w:noProof/>
                                    </w:rPr>
                                  </w:pPr>
                                  <w:r>
                                    <w:rPr>
                                      <w:rFonts w:ascii="標楷體" w:eastAsia="標楷體" w:hAnsi="標楷體" w:hint="eastAsia"/>
                                    </w:rPr>
                                    <w:t>藥妝店</w:t>
                                  </w:r>
                                </w:p>
                              </w:tc>
                            </w:tr>
                            <w:tr w:rsidR="00F1456A" w14:paraId="67954CC7" w14:textId="77777777" w:rsidTr="00BC7877">
                              <w:trPr>
                                <w:trHeight w:val="246"/>
                              </w:trPr>
                              <w:tc>
                                <w:tcPr>
                                  <w:tcW w:w="569" w:type="dxa"/>
                                  <w:tcBorders>
                                    <w:top w:val="single" w:sz="4" w:space="0" w:color="auto"/>
                                    <w:left w:val="single" w:sz="4" w:space="0" w:color="auto"/>
                                    <w:bottom w:val="single" w:sz="4" w:space="0" w:color="auto"/>
                                    <w:right w:val="single" w:sz="4" w:space="0" w:color="auto"/>
                                  </w:tcBorders>
                                  <w:vAlign w:val="center"/>
                                  <w:hideMark/>
                                </w:tcPr>
                                <w:p w14:paraId="3D478431" w14:textId="77777777" w:rsidR="00F1456A" w:rsidRDefault="00F1456A">
                                  <w:pPr>
                                    <w:spacing w:line="240" w:lineRule="exact"/>
                                    <w:jc w:val="center"/>
                                    <w:rPr>
                                      <w:rFonts w:ascii="標楷體" w:eastAsia="標楷體" w:hAnsi="標楷體"/>
                                    </w:rPr>
                                  </w:pPr>
                                  <w:r>
                                    <w:rPr>
                                      <w:rFonts w:ascii="標楷體" w:eastAsia="標楷體" w:hAnsi="標楷體" w:hint="eastAsia"/>
                                    </w:rPr>
                                    <w:t>6</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7BA73359" w14:textId="77777777" w:rsidR="00F1456A" w:rsidRDefault="00F1456A">
                                  <w:pPr>
                                    <w:spacing w:line="240" w:lineRule="exact"/>
                                    <w:rPr>
                                      <w:rFonts w:ascii="標楷體" w:eastAsia="標楷體" w:hAnsi="標楷體"/>
                                      <w:spacing w:val="-4"/>
                                    </w:rPr>
                                  </w:pPr>
                                  <w:r>
                                    <w:rPr>
                                      <w:rFonts w:ascii="標楷體" w:eastAsia="標楷體" w:hAnsi="標楷體" w:hint="eastAsia"/>
                                      <w:spacing w:val="-4"/>
                                    </w:rPr>
                                    <w:t>108.7.22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869DE95" w14:textId="77777777" w:rsidR="00F1456A" w:rsidRDefault="00F1456A">
                                  <w:pPr>
                                    <w:spacing w:line="240" w:lineRule="exact"/>
                                    <w:ind w:leftChars="-30" w:left="-72" w:rightChars="-50" w:right="-120"/>
                                    <w:rPr>
                                      <w:rFonts w:ascii="標楷體" w:eastAsia="標楷體" w:hAnsi="標楷體"/>
                                    </w:rPr>
                                  </w:pPr>
                                  <w:r>
                                    <w:rPr>
                                      <w:rFonts w:ascii="標楷體" w:eastAsia="標楷體" w:hAnsi="標楷體" w:hint="eastAsia"/>
                                    </w:rPr>
                                    <w:t>中正區寧波東街</w:t>
                                  </w:r>
                                </w:p>
                              </w:tc>
                              <w:tc>
                                <w:tcPr>
                                  <w:tcW w:w="3094" w:type="dxa"/>
                                  <w:tcBorders>
                                    <w:top w:val="single" w:sz="4" w:space="0" w:color="auto"/>
                                    <w:left w:val="single" w:sz="4" w:space="0" w:color="auto"/>
                                    <w:bottom w:val="single" w:sz="4" w:space="0" w:color="auto"/>
                                    <w:right w:val="single" w:sz="4" w:space="0" w:color="auto"/>
                                  </w:tcBorders>
                                  <w:vAlign w:val="center"/>
                                  <w:hideMark/>
                                </w:tcPr>
                                <w:p w14:paraId="708CE0B4" w14:textId="77777777" w:rsidR="00F1456A" w:rsidRDefault="00F1456A">
                                  <w:pPr>
                                    <w:spacing w:line="240" w:lineRule="exact"/>
                                    <w:rPr>
                                      <w:rFonts w:ascii="標楷體" w:eastAsia="標楷體" w:hAnsi="標楷體"/>
                                    </w:rPr>
                                  </w:pPr>
                                  <w:r>
                                    <w:rPr>
                                      <w:rFonts w:ascii="標楷體" w:eastAsia="標楷體" w:hAnsi="標楷體" w:hint="eastAsia"/>
                                    </w:rPr>
                                    <w:t>小吃店</w:t>
                                  </w:r>
                                </w:p>
                              </w:tc>
                            </w:tr>
                            <w:tr w:rsidR="00F1456A" w14:paraId="116CD5BA" w14:textId="77777777">
                              <w:trPr>
                                <w:trHeight w:val="270"/>
                              </w:trPr>
                              <w:tc>
                                <w:tcPr>
                                  <w:tcW w:w="569" w:type="dxa"/>
                                  <w:tcBorders>
                                    <w:top w:val="single" w:sz="4" w:space="0" w:color="auto"/>
                                    <w:left w:val="single" w:sz="4" w:space="0" w:color="auto"/>
                                    <w:bottom w:val="single" w:sz="4" w:space="0" w:color="auto"/>
                                    <w:right w:val="single" w:sz="4" w:space="0" w:color="auto"/>
                                  </w:tcBorders>
                                  <w:vAlign w:val="center"/>
                                  <w:hideMark/>
                                </w:tcPr>
                                <w:p w14:paraId="65AF6401" w14:textId="77777777" w:rsidR="00F1456A" w:rsidRDefault="00F1456A">
                                  <w:pPr>
                                    <w:spacing w:line="240" w:lineRule="exact"/>
                                    <w:jc w:val="center"/>
                                    <w:rPr>
                                      <w:rFonts w:ascii="標楷體" w:eastAsia="標楷體" w:hAnsi="標楷體"/>
                                    </w:rPr>
                                  </w:pPr>
                                  <w:r>
                                    <w:rPr>
                                      <w:rFonts w:ascii="標楷體" w:eastAsia="標楷體" w:hAnsi="標楷體" w:hint="eastAsia"/>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C61EB"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4E6528E5" w14:textId="77777777" w:rsidR="00F1456A" w:rsidRDefault="00F1456A">
                                  <w:pPr>
                                    <w:spacing w:line="240" w:lineRule="exact"/>
                                    <w:ind w:leftChars="-30" w:left="-72" w:rightChars="-50" w:right="-120"/>
                                    <w:rPr>
                                      <w:rFonts w:ascii="標楷體" w:eastAsia="標楷體" w:hAnsi="標楷體"/>
                                      <w:spacing w:val="-10"/>
                                    </w:rPr>
                                  </w:pPr>
                                  <w:r>
                                    <w:rPr>
                                      <w:rFonts w:ascii="標楷體" w:eastAsia="標楷體" w:hAnsi="標楷體" w:hint="eastAsia"/>
                                    </w:rPr>
                                    <w:t>中正區寧波東街</w:t>
                                  </w:r>
                                </w:p>
                              </w:tc>
                              <w:tc>
                                <w:tcPr>
                                  <w:tcW w:w="3094" w:type="dxa"/>
                                  <w:tcBorders>
                                    <w:top w:val="single" w:sz="4" w:space="0" w:color="auto"/>
                                    <w:left w:val="single" w:sz="4" w:space="0" w:color="auto"/>
                                    <w:bottom w:val="single" w:sz="4" w:space="0" w:color="auto"/>
                                    <w:right w:val="single" w:sz="4" w:space="0" w:color="auto"/>
                                  </w:tcBorders>
                                  <w:vAlign w:val="center"/>
                                  <w:hideMark/>
                                </w:tcPr>
                                <w:p w14:paraId="19DEBFB2" w14:textId="77777777" w:rsidR="00F1456A" w:rsidRDefault="00F1456A">
                                  <w:pPr>
                                    <w:spacing w:line="240" w:lineRule="exact"/>
                                    <w:rPr>
                                      <w:rFonts w:ascii="標楷體" w:eastAsia="標楷體" w:hAnsi="標楷體"/>
                                    </w:rPr>
                                  </w:pPr>
                                  <w:r>
                                    <w:rPr>
                                      <w:rFonts w:ascii="標楷體" w:eastAsia="標楷體" w:hAnsi="標楷體" w:hint="eastAsia"/>
                                    </w:rPr>
                                    <w:t>便當店</w:t>
                                  </w:r>
                                </w:p>
                              </w:tc>
                            </w:tr>
                            <w:tr w:rsidR="00F1456A" w14:paraId="47E3DE21" w14:textId="77777777">
                              <w:trPr>
                                <w:trHeight w:val="275"/>
                              </w:trPr>
                              <w:tc>
                                <w:tcPr>
                                  <w:tcW w:w="569" w:type="dxa"/>
                                  <w:tcBorders>
                                    <w:top w:val="single" w:sz="4" w:space="0" w:color="auto"/>
                                    <w:left w:val="single" w:sz="4" w:space="0" w:color="auto"/>
                                    <w:bottom w:val="single" w:sz="4" w:space="0" w:color="auto"/>
                                    <w:right w:val="single" w:sz="4" w:space="0" w:color="auto"/>
                                  </w:tcBorders>
                                  <w:vAlign w:val="center"/>
                                  <w:hideMark/>
                                </w:tcPr>
                                <w:p w14:paraId="174FEDAE" w14:textId="77777777" w:rsidR="00F1456A" w:rsidRDefault="00F1456A">
                                  <w:pPr>
                                    <w:spacing w:line="240" w:lineRule="exact"/>
                                    <w:jc w:val="center"/>
                                    <w:rPr>
                                      <w:rFonts w:ascii="標楷體" w:eastAsia="標楷體" w:hAnsi="標楷體"/>
                                    </w:rPr>
                                  </w:pPr>
                                  <w:r>
                                    <w:rPr>
                                      <w:rFonts w:ascii="標楷體" w:eastAsia="標楷體" w:hAnsi="標楷體" w:hint="eastAsia"/>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DED05"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5E5ADD96" w14:textId="77777777" w:rsidR="00F1456A" w:rsidRDefault="00F1456A">
                                  <w:pPr>
                                    <w:spacing w:line="240" w:lineRule="exact"/>
                                    <w:ind w:leftChars="-30" w:left="-72" w:rightChars="-50" w:right="-120"/>
                                    <w:rPr>
                                      <w:rFonts w:ascii="標楷體" w:eastAsia="標楷體" w:hAnsi="標楷體"/>
                                      <w:spacing w:val="-10"/>
                                    </w:rPr>
                                  </w:pPr>
                                  <w:r>
                                    <w:rPr>
                                      <w:rFonts w:ascii="標楷體" w:eastAsia="標楷體" w:hAnsi="標楷體" w:hint="eastAsia"/>
                                      <w:spacing w:val="-10"/>
                                    </w:rPr>
                                    <w:t>中正區寧波東街24巷</w:t>
                                  </w:r>
                                </w:p>
                              </w:tc>
                              <w:tc>
                                <w:tcPr>
                                  <w:tcW w:w="3094" w:type="dxa"/>
                                  <w:tcBorders>
                                    <w:top w:val="single" w:sz="4" w:space="0" w:color="auto"/>
                                    <w:left w:val="single" w:sz="4" w:space="0" w:color="auto"/>
                                    <w:bottom w:val="single" w:sz="4" w:space="0" w:color="auto"/>
                                    <w:right w:val="single" w:sz="4" w:space="0" w:color="auto"/>
                                  </w:tcBorders>
                                  <w:vAlign w:val="center"/>
                                  <w:hideMark/>
                                </w:tcPr>
                                <w:p w14:paraId="5EF3BE99" w14:textId="77777777" w:rsidR="00F1456A" w:rsidRDefault="00F1456A">
                                  <w:pPr>
                                    <w:spacing w:line="240" w:lineRule="exact"/>
                                    <w:rPr>
                                      <w:rFonts w:ascii="標楷體" w:eastAsia="標楷體" w:hAnsi="標楷體"/>
                                    </w:rPr>
                                  </w:pPr>
                                  <w:r>
                                    <w:rPr>
                                      <w:rFonts w:ascii="標楷體" w:eastAsia="標楷體" w:hAnsi="標楷體" w:hint="eastAsia"/>
                                    </w:rPr>
                                    <w:t>早餐店</w:t>
                                  </w:r>
                                </w:p>
                              </w:tc>
                            </w:tr>
                            <w:tr w:rsidR="00F1456A" w14:paraId="5298BA46" w14:textId="77777777">
                              <w:trPr>
                                <w:trHeight w:val="278"/>
                              </w:trPr>
                              <w:tc>
                                <w:tcPr>
                                  <w:tcW w:w="569" w:type="dxa"/>
                                  <w:tcBorders>
                                    <w:top w:val="single" w:sz="4" w:space="0" w:color="auto"/>
                                    <w:left w:val="single" w:sz="4" w:space="0" w:color="auto"/>
                                    <w:bottom w:val="single" w:sz="4" w:space="0" w:color="auto"/>
                                    <w:right w:val="single" w:sz="4" w:space="0" w:color="auto"/>
                                  </w:tcBorders>
                                  <w:vAlign w:val="center"/>
                                  <w:hideMark/>
                                </w:tcPr>
                                <w:p w14:paraId="0BCD7D12" w14:textId="77777777" w:rsidR="00F1456A" w:rsidRDefault="00F1456A">
                                  <w:pPr>
                                    <w:spacing w:line="240" w:lineRule="exact"/>
                                    <w:jc w:val="center"/>
                                    <w:rPr>
                                      <w:rFonts w:ascii="標楷體" w:eastAsia="標楷體" w:hAnsi="標楷體"/>
                                    </w:rPr>
                                  </w:pPr>
                                  <w:r>
                                    <w:rPr>
                                      <w:rFonts w:ascii="標楷體" w:eastAsia="標楷體" w:hAnsi="標楷體" w:hint="eastAsia"/>
                                    </w:rPr>
                                    <w:t>9</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6543D049" w14:textId="77777777" w:rsidR="00F1456A" w:rsidRDefault="00F1456A">
                                  <w:pPr>
                                    <w:spacing w:line="240" w:lineRule="exact"/>
                                    <w:rPr>
                                      <w:rFonts w:ascii="標楷體" w:eastAsia="標楷體" w:hAnsi="標楷體"/>
                                      <w:spacing w:val="-4"/>
                                    </w:rPr>
                                  </w:pPr>
                                  <w:r>
                                    <w:rPr>
                                      <w:rFonts w:ascii="標楷體" w:eastAsia="標楷體" w:hAnsi="標楷體" w:hint="eastAsia"/>
                                      <w:spacing w:val="-4"/>
                                    </w:rPr>
                                    <w:t>110.12.2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59A7BEC" w14:textId="77777777" w:rsidR="00F1456A" w:rsidRDefault="00F1456A">
                                  <w:pPr>
                                    <w:spacing w:line="240" w:lineRule="exact"/>
                                    <w:ind w:leftChars="-30" w:left="-72" w:rightChars="-50" w:right="-120"/>
                                    <w:rPr>
                                      <w:rFonts w:ascii="標楷體" w:eastAsia="標楷體" w:hAnsi="標楷體"/>
                                      <w:spacing w:val="-10"/>
                                    </w:rPr>
                                  </w:pPr>
                                  <w:r>
                                    <w:rPr>
                                      <w:rFonts w:ascii="標楷體" w:eastAsia="標楷體" w:hAnsi="標楷體" w:hint="eastAsia"/>
                                      <w:spacing w:val="-10"/>
                                    </w:rPr>
                                    <w:t>士林區重慶北路4段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42911328" w14:textId="77777777" w:rsidR="00F1456A" w:rsidRDefault="00F1456A">
                                  <w:pPr>
                                    <w:spacing w:line="240" w:lineRule="exact"/>
                                    <w:rPr>
                                      <w:rFonts w:ascii="標楷體" w:eastAsia="標楷體" w:hAnsi="標楷體"/>
                                    </w:rPr>
                                  </w:pPr>
                                  <w:r>
                                    <w:rPr>
                                      <w:rFonts w:ascii="標楷體" w:eastAsia="標楷體" w:hAnsi="標楷體" w:hint="eastAsia"/>
                                    </w:rPr>
                                    <w:t>汽車保養所</w:t>
                                  </w:r>
                                </w:p>
                              </w:tc>
                            </w:tr>
                            <w:tr w:rsidR="00F1456A" w14:paraId="77B71E50" w14:textId="77777777">
                              <w:trPr>
                                <w:trHeight w:val="314"/>
                              </w:trPr>
                              <w:tc>
                                <w:tcPr>
                                  <w:tcW w:w="569" w:type="dxa"/>
                                  <w:tcBorders>
                                    <w:top w:val="single" w:sz="4" w:space="0" w:color="auto"/>
                                    <w:left w:val="single" w:sz="4" w:space="0" w:color="auto"/>
                                    <w:bottom w:val="single" w:sz="4" w:space="0" w:color="auto"/>
                                    <w:right w:val="single" w:sz="4" w:space="0" w:color="auto"/>
                                  </w:tcBorders>
                                  <w:vAlign w:val="center"/>
                                  <w:hideMark/>
                                </w:tcPr>
                                <w:p w14:paraId="482EF9FA" w14:textId="77777777" w:rsidR="00F1456A" w:rsidRDefault="00F1456A">
                                  <w:pPr>
                                    <w:spacing w:line="240" w:lineRule="exact"/>
                                    <w:jc w:val="center"/>
                                    <w:rPr>
                                      <w:rFonts w:ascii="標楷體" w:eastAsia="標楷體" w:hAnsi="標楷體"/>
                                    </w:rPr>
                                  </w:pPr>
                                  <w:r>
                                    <w:rPr>
                                      <w:rFonts w:ascii="標楷體" w:eastAsia="標楷體" w:hAnsi="標楷體" w:hint="eastAsia"/>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38D0E6"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17B2E2AC" w14:textId="77777777" w:rsidR="00F1456A" w:rsidRDefault="00F1456A">
                                  <w:pPr>
                                    <w:spacing w:line="240" w:lineRule="exact"/>
                                    <w:ind w:leftChars="-30" w:left="-72" w:rightChars="-50" w:right="-120"/>
                                    <w:rPr>
                                      <w:rFonts w:ascii="標楷體" w:eastAsia="標楷體" w:hAnsi="標楷體"/>
                                      <w:spacing w:val="-10"/>
                                    </w:rPr>
                                  </w:pPr>
                                  <w:r>
                                    <w:rPr>
                                      <w:rFonts w:ascii="標楷體" w:eastAsia="標楷體" w:hAnsi="標楷體" w:hint="eastAsia"/>
                                      <w:spacing w:val="-10"/>
                                    </w:rPr>
                                    <w:t>士林區重慶北路4段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44AE8F2A" w14:textId="77777777" w:rsidR="00F1456A" w:rsidRDefault="00F1456A">
                                  <w:pPr>
                                    <w:spacing w:line="240" w:lineRule="exact"/>
                                    <w:rPr>
                                      <w:rFonts w:ascii="標楷體" w:eastAsia="標楷體" w:hAnsi="標楷體"/>
                                    </w:rPr>
                                  </w:pPr>
                                  <w:r>
                                    <w:rPr>
                                      <w:rFonts w:ascii="標楷體" w:eastAsia="標楷體" w:hAnsi="標楷體" w:hint="eastAsia"/>
                                    </w:rPr>
                                    <w:t>公司行號</w:t>
                                  </w:r>
                                </w:p>
                              </w:tc>
                            </w:tr>
                            <w:tr w:rsidR="00F1456A" w14:paraId="5E01A196" w14:textId="77777777" w:rsidTr="00BC7877">
                              <w:trPr>
                                <w:trHeight w:val="238"/>
                              </w:trPr>
                              <w:tc>
                                <w:tcPr>
                                  <w:tcW w:w="569" w:type="dxa"/>
                                  <w:tcBorders>
                                    <w:top w:val="single" w:sz="4" w:space="0" w:color="auto"/>
                                    <w:left w:val="single" w:sz="4" w:space="0" w:color="auto"/>
                                    <w:bottom w:val="single" w:sz="4" w:space="0" w:color="auto"/>
                                    <w:right w:val="single" w:sz="4" w:space="0" w:color="auto"/>
                                  </w:tcBorders>
                                  <w:vAlign w:val="center"/>
                                  <w:hideMark/>
                                </w:tcPr>
                                <w:p w14:paraId="4712DE05" w14:textId="77777777" w:rsidR="00F1456A" w:rsidRDefault="00F1456A">
                                  <w:pPr>
                                    <w:spacing w:line="260" w:lineRule="exact"/>
                                    <w:jc w:val="center"/>
                                    <w:rPr>
                                      <w:rFonts w:ascii="標楷體" w:eastAsia="標楷體" w:hAnsi="標楷體"/>
                                    </w:rPr>
                                  </w:pPr>
                                  <w:r>
                                    <w:rPr>
                                      <w:rFonts w:ascii="標楷體" w:eastAsia="標楷體" w:hAnsi="標楷體" w:hint="eastAsia"/>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DC4281"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51F01CCA" w14:textId="77777777" w:rsidR="00F1456A" w:rsidRDefault="00F1456A">
                                  <w:pPr>
                                    <w:spacing w:line="240" w:lineRule="exact"/>
                                    <w:ind w:leftChars="-30" w:left="-72" w:rightChars="-50" w:right="-120"/>
                                    <w:rPr>
                                      <w:rFonts w:ascii="標楷體" w:eastAsia="標楷體" w:hAnsi="標楷體"/>
                                      <w:spacing w:val="-10"/>
                                    </w:rPr>
                                  </w:pPr>
                                  <w:r>
                                    <w:rPr>
                                      <w:rFonts w:ascii="標楷體" w:eastAsia="標楷體" w:hAnsi="標楷體" w:hint="eastAsia"/>
                                      <w:spacing w:val="-10"/>
                                    </w:rPr>
                                    <w:t>士林區重慶北路4段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038D47A1" w14:textId="77777777" w:rsidR="00F1456A" w:rsidRDefault="00F1456A">
                                  <w:pPr>
                                    <w:spacing w:line="240" w:lineRule="exact"/>
                                    <w:rPr>
                                      <w:rFonts w:ascii="標楷體" w:eastAsia="標楷體" w:hAnsi="標楷體"/>
                                    </w:rPr>
                                  </w:pPr>
                                  <w:r>
                                    <w:rPr>
                                      <w:rFonts w:ascii="標楷體" w:eastAsia="標楷體" w:hAnsi="標楷體" w:hint="eastAsia"/>
                                    </w:rPr>
                                    <w:t>家具行</w:t>
                                  </w:r>
                                </w:p>
                              </w:tc>
                            </w:tr>
                          </w:tbl>
                          <w:p w14:paraId="7FA0D6DF" w14:textId="77777777" w:rsidR="00F1456A" w:rsidRPr="006B52B8" w:rsidRDefault="00F1456A" w:rsidP="005D009F">
                            <w:pPr>
                              <w:spacing w:line="240" w:lineRule="exact"/>
                              <w:ind w:leftChars="-63" w:left="787" w:rightChars="23" w:right="55" w:hangingChars="521" w:hanging="938"/>
                              <w:jc w:val="both"/>
                              <w:rPr>
                                <w:rFonts w:ascii="標楷體" w:eastAsia="標楷體" w:hAnsi="標楷體"/>
                                <w:sz w:val="18"/>
                                <w:szCs w:val="18"/>
                              </w:rPr>
                            </w:pPr>
                            <w:r>
                              <w:rPr>
                                <w:rFonts w:ascii="標楷體" w:eastAsia="標楷體" w:hAnsi="標楷體" w:hint="eastAsia"/>
                                <w:sz w:val="18"/>
                                <w:szCs w:val="18"/>
                              </w:rPr>
                              <w:t>資料來源：整理自113年12月查詢財政部稅籍登記資料公示查詢網站及GOOGLE MAP，暨建築管理工程處提供截至113年10月止之處置作為等資料。</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7B4547" id="文字方塊 927419593" o:spid="_x0000_s1133" type="#_x0000_t202" style="position:absolute;left:0;text-align:left;margin-left:171pt;margin-top:211.3pt;width:333.95pt;height:234.75pt;z-index:2518261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" stroked="f">
                <v:textbox>
                  <w:txbxContent>
                    <w:p w14:paraId="34691BF6" w14:textId="66883A38" w:rsidR="00F1456A" w:rsidRDefault="00F1456A" w:rsidP="00F1456A">
                      <w:pPr>
                        <w:spacing w:afterLines="20" w:after="72" w:line="300" w:lineRule="exact"/>
                        <w:ind w:leftChars="-59" w:hangingChars="59" w:hanging="142"/>
                        <w:jc w:val="center"/>
                        <w:rPr>
                          <w:rFonts w:ascii="標楷體" w:eastAsia="標楷體" w:hAnsi="標楷體"/>
                          <w:b/>
                        </w:rPr>
                      </w:pPr>
                      <w:r>
                        <w:rPr>
                          <w:rFonts w:ascii="標楷體" w:eastAsia="標楷體" w:hAnsi="標楷體" w:hint="eastAsia"/>
                          <w:b/>
                        </w:rPr>
                        <w:t>表6</w:t>
                      </w:r>
                      <w:r w:rsidR="005D009F">
                        <w:rPr>
                          <w:rFonts w:ascii="標楷體" w:eastAsia="標楷體" w:hAnsi="標楷體" w:hint="eastAsia"/>
                          <w:b/>
                        </w:rPr>
                        <w:t xml:space="preserve">　</w:t>
                      </w:r>
                      <w:proofErr w:type="gramStart"/>
                      <w:r>
                        <w:rPr>
                          <w:rFonts w:ascii="標楷體" w:eastAsia="標楷體" w:hAnsi="標楷體" w:hint="eastAsia"/>
                          <w:b/>
                          <w:spacing w:val="-10"/>
                        </w:rPr>
                        <w:t>列管屬</w:t>
                      </w:r>
                      <w:proofErr w:type="gramEnd"/>
                      <w:r>
                        <w:rPr>
                          <w:rFonts w:ascii="標楷體" w:eastAsia="標楷體" w:hAnsi="標楷體" w:hint="eastAsia"/>
                          <w:b/>
                          <w:spacing w:val="-10"/>
                        </w:rPr>
                        <w:t>「須拆除重建」海砂屋持續作為營業場所使用情形</w:t>
                      </w:r>
                    </w:p>
                    <w:tbl>
                      <w:tblPr>
                        <w:tblStyle w:val="a6"/>
                        <w:tblW w:w="6497" w:type="dxa"/>
                        <w:tblInd w:w="-147" w:type="dxa"/>
                        <w:tblLook w:val="04A0" w:firstRow="1" w:lastRow="0" w:firstColumn="1" w:lastColumn="0" w:noHBand="0" w:noVBand="1"/>
                      </w:tblPr>
                      <w:tblGrid>
                        <w:gridCol w:w="569"/>
                        <w:gridCol w:w="991"/>
                        <w:gridCol w:w="1843"/>
                        <w:gridCol w:w="3094"/>
                      </w:tblGrid>
                      <w:tr w:rsidR="00F1456A" w14:paraId="53B15B74" w14:textId="77777777">
                        <w:trPr>
                          <w:trHeight w:val="559"/>
                        </w:trPr>
                        <w:tc>
                          <w:tcPr>
                            <w:tcW w:w="56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626B15" w14:textId="77777777" w:rsidR="00F1456A" w:rsidRDefault="00F1456A">
                            <w:pPr>
                              <w:spacing w:line="240" w:lineRule="exact"/>
                              <w:jc w:val="center"/>
                              <w:rPr>
                                <w:rFonts w:ascii="標楷體" w:eastAsia="標楷體" w:hAnsi="標楷體"/>
                                <w:spacing w:val="-20"/>
                              </w:rPr>
                            </w:pPr>
                            <w:r>
                              <w:rPr>
                                <w:rFonts w:ascii="標楷體" w:eastAsia="標楷體" w:hAnsi="標楷體" w:hint="eastAsia"/>
                                <w:spacing w:val="-20"/>
                              </w:rPr>
                              <w:t>序號</w:t>
                            </w:r>
                          </w:p>
                        </w:tc>
                        <w:tc>
                          <w:tcPr>
                            <w:tcW w:w="9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B2DFBE" w14:textId="77777777" w:rsidR="00F1456A" w:rsidRDefault="00F1456A">
                            <w:pPr>
                              <w:spacing w:line="240" w:lineRule="exact"/>
                              <w:jc w:val="center"/>
                              <w:rPr>
                                <w:rFonts w:ascii="標楷體" w:eastAsia="標楷體" w:hAnsi="標楷體"/>
                                <w:spacing w:val="-20"/>
                              </w:rPr>
                            </w:pPr>
                            <w:r>
                              <w:rPr>
                                <w:rFonts w:ascii="標楷體" w:eastAsia="標楷體" w:hAnsi="標楷體" w:hint="eastAsia"/>
                                <w:spacing w:val="-20"/>
                              </w:rPr>
                              <w:t>公告列</w:t>
                            </w:r>
                          </w:p>
                          <w:p w14:paraId="123E5112" w14:textId="77777777" w:rsidR="00F1456A" w:rsidRDefault="00F1456A">
                            <w:pPr>
                              <w:spacing w:line="240" w:lineRule="exact"/>
                              <w:jc w:val="center"/>
                              <w:rPr>
                                <w:rFonts w:ascii="標楷體" w:eastAsia="標楷體" w:hAnsi="標楷體"/>
                                <w:spacing w:val="-20"/>
                              </w:rPr>
                            </w:pPr>
                            <w:proofErr w:type="gramStart"/>
                            <w:r>
                              <w:rPr>
                                <w:rFonts w:ascii="標楷體" w:eastAsia="標楷體" w:hAnsi="標楷體" w:hint="eastAsia"/>
                                <w:spacing w:val="-20"/>
                              </w:rPr>
                              <w:t>管日</w:t>
                            </w:r>
                            <w:proofErr w:type="gramEnd"/>
                          </w:p>
                        </w:tc>
                        <w:tc>
                          <w:tcPr>
                            <w:tcW w:w="184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B8D93B" w14:textId="77777777" w:rsidR="00F1456A" w:rsidRDefault="00F1456A">
                            <w:pPr>
                              <w:spacing w:line="240" w:lineRule="exact"/>
                              <w:jc w:val="center"/>
                              <w:rPr>
                                <w:rFonts w:ascii="標楷體" w:eastAsia="標楷體" w:hAnsi="標楷體"/>
                              </w:rPr>
                            </w:pPr>
                            <w:r>
                              <w:rPr>
                                <w:rFonts w:ascii="標楷體" w:eastAsia="標楷體" w:hAnsi="標楷體" w:hint="eastAsia"/>
                              </w:rPr>
                              <w:t>行政區、地址</w:t>
                            </w:r>
                          </w:p>
                          <w:p w14:paraId="7D72A763" w14:textId="77777777" w:rsidR="00F1456A" w:rsidRDefault="00F1456A">
                            <w:pPr>
                              <w:spacing w:line="240" w:lineRule="exact"/>
                              <w:jc w:val="center"/>
                              <w:rPr>
                                <w:rFonts w:ascii="標楷體" w:eastAsia="標楷體" w:hAnsi="標楷體"/>
                              </w:rPr>
                            </w:pPr>
                            <w:r>
                              <w:rPr>
                                <w:rFonts w:ascii="標楷體" w:eastAsia="標楷體" w:hAnsi="標楷體" w:hint="eastAsia"/>
                              </w:rPr>
                              <w:t>(路段)</w:t>
                            </w:r>
                          </w:p>
                        </w:tc>
                        <w:tc>
                          <w:tcPr>
                            <w:tcW w:w="309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8C8404" w14:textId="77777777" w:rsidR="00F1456A" w:rsidRDefault="00F1456A">
                            <w:pPr>
                              <w:spacing w:line="240" w:lineRule="exact"/>
                              <w:ind w:leftChars="-33" w:left="-79"/>
                              <w:jc w:val="center"/>
                              <w:rPr>
                                <w:rFonts w:ascii="標楷體" w:eastAsia="標楷體" w:hAnsi="標楷體"/>
                              </w:rPr>
                            </w:pPr>
                            <w:r>
                              <w:rPr>
                                <w:rFonts w:ascii="標楷體" w:eastAsia="標楷體" w:hAnsi="標楷體" w:hint="eastAsia"/>
                              </w:rPr>
                              <w:t>類別(</w:t>
                            </w:r>
                            <w:proofErr w:type="gramStart"/>
                            <w:r>
                              <w:rPr>
                                <w:rFonts w:ascii="標楷體" w:eastAsia="標楷體" w:hAnsi="標楷體" w:hint="eastAsia"/>
                              </w:rPr>
                              <w:t>註</w:t>
                            </w:r>
                            <w:proofErr w:type="gramEnd"/>
                            <w:r>
                              <w:rPr>
                                <w:rFonts w:ascii="標楷體" w:eastAsia="標楷體" w:hAnsi="標楷體" w:hint="eastAsia"/>
                              </w:rPr>
                              <w:t>1)</w:t>
                            </w:r>
                          </w:p>
                        </w:tc>
                      </w:tr>
                      <w:tr w:rsidR="00F1456A" w14:paraId="31561DF7" w14:textId="77777777">
                        <w:trPr>
                          <w:trHeight w:val="260"/>
                        </w:trPr>
                        <w:tc>
                          <w:tcPr>
                            <w:tcW w:w="569" w:type="dxa"/>
                            <w:tcBorders>
                              <w:top w:val="single" w:sz="4" w:space="0" w:color="auto"/>
                              <w:left w:val="single" w:sz="4" w:space="0" w:color="auto"/>
                              <w:bottom w:val="single" w:sz="4" w:space="0" w:color="auto"/>
                              <w:right w:val="single" w:sz="4" w:space="0" w:color="auto"/>
                            </w:tcBorders>
                            <w:vAlign w:val="center"/>
                            <w:hideMark/>
                          </w:tcPr>
                          <w:p w14:paraId="560E4E5A" w14:textId="77777777" w:rsidR="00F1456A" w:rsidRDefault="00F1456A">
                            <w:pPr>
                              <w:spacing w:line="240" w:lineRule="exact"/>
                              <w:jc w:val="center"/>
                              <w:rPr>
                                <w:rFonts w:ascii="標楷體" w:eastAsia="標楷體" w:hAnsi="標楷體"/>
                                <w:spacing w:val="-20"/>
                              </w:rPr>
                            </w:pPr>
                            <w:r>
                              <w:rPr>
                                <w:rFonts w:ascii="標楷體" w:eastAsia="標楷體" w:hAnsi="標楷體" w:hint="eastAsia"/>
                                <w:spacing w:val="-20"/>
                              </w:rPr>
                              <w:t>1</w:t>
                            </w:r>
                          </w:p>
                        </w:tc>
                        <w:tc>
                          <w:tcPr>
                            <w:tcW w:w="991" w:type="dxa"/>
                            <w:tcBorders>
                              <w:top w:val="single" w:sz="4" w:space="0" w:color="auto"/>
                              <w:left w:val="single" w:sz="4" w:space="0" w:color="auto"/>
                              <w:bottom w:val="single" w:sz="4" w:space="0" w:color="auto"/>
                              <w:right w:val="single" w:sz="4" w:space="0" w:color="auto"/>
                            </w:tcBorders>
                            <w:vAlign w:val="center"/>
                            <w:hideMark/>
                          </w:tcPr>
                          <w:p w14:paraId="7DE0AB08" w14:textId="77777777" w:rsidR="00F1456A" w:rsidRDefault="00F1456A">
                            <w:pPr>
                              <w:spacing w:line="240" w:lineRule="exact"/>
                              <w:rPr>
                                <w:rFonts w:ascii="標楷體" w:eastAsia="標楷體" w:hAnsi="標楷體"/>
                                <w:spacing w:val="-4"/>
                              </w:rPr>
                            </w:pPr>
                            <w:r>
                              <w:rPr>
                                <w:rFonts w:ascii="標楷體" w:eastAsia="標楷體" w:hAnsi="標楷體" w:hint="eastAsia"/>
                                <w:spacing w:val="-4"/>
                              </w:rPr>
                              <w:t>99.7.30</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F0E5807" w14:textId="77777777" w:rsidR="00F1456A" w:rsidRDefault="00F1456A">
                            <w:pPr>
                              <w:spacing w:line="240" w:lineRule="exact"/>
                              <w:ind w:leftChars="-30" w:left="-72" w:rightChars="-50" w:right="-120"/>
                              <w:rPr>
                                <w:rFonts w:ascii="標楷體" w:eastAsia="標楷體" w:hAnsi="標楷體"/>
                              </w:rPr>
                            </w:pPr>
                            <w:r>
                              <w:rPr>
                                <w:rFonts w:ascii="標楷體" w:eastAsia="標楷體" w:hAnsi="標楷體" w:hint="eastAsia"/>
                              </w:rPr>
                              <w:t>信義區永吉路</w:t>
                            </w:r>
                          </w:p>
                        </w:tc>
                        <w:tc>
                          <w:tcPr>
                            <w:tcW w:w="3094" w:type="dxa"/>
                            <w:tcBorders>
                              <w:top w:val="single" w:sz="4" w:space="0" w:color="auto"/>
                              <w:left w:val="single" w:sz="4" w:space="0" w:color="auto"/>
                              <w:bottom w:val="single" w:sz="4" w:space="0" w:color="auto"/>
                              <w:right w:val="single" w:sz="4" w:space="0" w:color="auto"/>
                            </w:tcBorders>
                            <w:vAlign w:val="center"/>
                            <w:hideMark/>
                          </w:tcPr>
                          <w:p w14:paraId="5453E3C7" w14:textId="77777777" w:rsidR="00F1456A" w:rsidRDefault="00F1456A">
                            <w:pPr>
                              <w:spacing w:line="240" w:lineRule="exact"/>
                              <w:rPr>
                                <w:rFonts w:ascii="標楷體" w:eastAsia="標楷體" w:hAnsi="標楷體"/>
                                <w:spacing w:val="-20"/>
                              </w:rPr>
                            </w:pPr>
                            <w:r>
                              <w:rPr>
                                <w:rFonts w:ascii="標楷體" w:eastAsia="標楷體" w:hAnsi="標楷體" w:hint="eastAsia"/>
                                <w:noProof/>
                              </w:rPr>
                              <w:t>家電行</w:t>
                            </w:r>
                          </w:p>
                        </w:tc>
                      </w:tr>
                      <w:tr w:rsidR="00F1456A" w14:paraId="4B736AF0" w14:textId="77777777">
                        <w:trPr>
                          <w:trHeight w:val="260"/>
                        </w:trPr>
                        <w:tc>
                          <w:tcPr>
                            <w:tcW w:w="569" w:type="dxa"/>
                            <w:tcBorders>
                              <w:top w:val="single" w:sz="4" w:space="0" w:color="auto"/>
                              <w:left w:val="single" w:sz="4" w:space="0" w:color="auto"/>
                              <w:bottom w:val="single" w:sz="4" w:space="0" w:color="auto"/>
                              <w:right w:val="single" w:sz="4" w:space="0" w:color="auto"/>
                            </w:tcBorders>
                            <w:vAlign w:val="center"/>
                            <w:hideMark/>
                          </w:tcPr>
                          <w:p w14:paraId="4FC849F2" w14:textId="77777777" w:rsidR="00F1456A" w:rsidRDefault="00F1456A">
                            <w:pPr>
                              <w:spacing w:line="240" w:lineRule="exact"/>
                              <w:jc w:val="center"/>
                              <w:rPr>
                                <w:rFonts w:ascii="標楷體" w:eastAsia="標楷體" w:hAnsi="標楷體"/>
                              </w:rPr>
                            </w:pPr>
                            <w:r>
                              <w:rPr>
                                <w:rFonts w:ascii="標楷體" w:eastAsia="標楷體" w:hAnsi="標楷體" w:hint="eastAsia"/>
                              </w:rPr>
                              <w:t>2</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51C9B21D" w14:textId="77777777" w:rsidR="00F1456A" w:rsidRDefault="00F1456A">
                            <w:pPr>
                              <w:spacing w:line="240" w:lineRule="exact"/>
                              <w:rPr>
                                <w:rFonts w:ascii="標楷體" w:eastAsia="標楷體" w:hAnsi="標楷體"/>
                                <w:spacing w:val="-4"/>
                              </w:rPr>
                            </w:pPr>
                            <w:r>
                              <w:rPr>
                                <w:rFonts w:ascii="標楷體" w:eastAsia="標楷體" w:hAnsi="標楷體" w:hint="eastAsia"/>
                                <w:spacing w:val="-4"/>
                              </w:rPr>
                              <w:t>100.2.1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1C2DD46" w14:textId="77777777" w:rsidR="00F1456A" w:rsidRDefault="00F1456A">
                            <w:pPr>
                              <w:spacing w:line="240" w:lineRule="exact"/>
                              <w:ind w:leftChars="-30" w:left="-72" w:rightChars="-50" w:right="-120"/>
                              <w:rPr>
                                <w:rFonts w:ascii="標楷體" w:eastAsia="標楷體" w:hAnsi="標楷體"/>
                                <w:noProof/>
                                <w:spacing w:val="-10"/>
                              </w:rPr>
                            </w:pPr>
                            <w:r>
                              <w:rPr>
                                <w:rFonts w:ascii="標楷體" w:eastAsia="標楷體" w:hAnsi="標楷體" w:hint="eastAsia"/>
                                <w:noProof/>
                                <w:spacing w:val="-10"/>
                              </w:rPr>
                              <w:t>信義區基隆路</w:t>
                            </w:r>
                            <w:r>
                              <w:rPr>
                                <w:rFonts w:ascii="標楷體" w:eastAsia="標楷體" w:hAnsi="標楷體" w:hint="eastAsia"/>
                                <w:color w:val="000000" w:themeColor="text1"/>
                                <w:spacing w:val="-10"/>
                              </w:rPr>
                              <w:t>2</w:t>
                            </w:r>
                            <w:r>
                              <w:rPr>
                                <w:rFonts w:ascii="標楷體" w:eastAsia="標楷體" w:hAnsi="標楷體" w:hint="eastAsia"/>
                                <w:noProof/>
                                <w:spacing w:val="-10"/>
                              </w:rPr>
                              <w:t>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6BAF9EFE" w14:textId="77777777" w:rsidR="00F1456A" w:rsidRDefault="00F1456A">
                            <w:pPr>
                              <w:spacing w:line="240" w:lineRule="exact"/>
                              <w:rPr>
                                <w:rFonts w:ascii="標楷體" w:eastAsia="標楷體" w:hAnsi="標楷體"/>
                                <w:noProof/>
                              </w:rPr>
                            </w:pPr>
                            <w:r>
                              <w:rPr>
                                <w:rFonts w:ascii="標楷體" w:eastAsia="標楷體" w:hAnsi="標楷體" w:hint="eastAsia"/>
                                <w:noProof/>
                              </w:rPr>
                              <w:t>家具行</w:t>
                            </w:r>
                          </w:p>
                        </w:tc>
                      </w:tr>
                      <w:tr w:rsidR="00F1456A" w14:paraId="7C4AD3B9" w14:textId="77777777">
                        <w:trPr>
                          <w:trHeight w:val="260"/>
                        </w:trPr>
                        <w:tc>
                          <w:tcPr>
                            <w:tcW w:w="569" w:type="dxa"/>
                            <w:tcBorders>
                              <w:top w:val="single" w:sz="4" w:space="0" w:color="auto"/>
                              <w:left w:val="single" w:sz="4" w:space="0" w:color="auto"/>
                              <w:bottom w:val="single" w:sz="4" w:space="0" w:color="auto"/>
                              <w:right w:val="single" w:sz="4" w:space="0" w:color="auto"/>
                            </w:tcBorders>
                            <w:vAlign w:val="center"/>
                            <w:hideMark/>
                          </w:tcPr>
                          <w:p w14:paraId="25DA4BFC" w14:textId="77777777" w:rsidR="00F1456A" w:rsidRDefault="00F1456A">
                            <w:pPr>
                              <w:spacing w:line="240" w:lineRule="exact"/>
                              <w:jc w:val="center"/>
                              <w:rPr>
                                <w:rFonts w:ascii="標楷體" w:eastAsia="標楷體" w:hAnsi="標楷體"/>
                              </w:rPr>
                            </w:pPr>
                            <w:r>
                              <w:rPr>
                                <w:rFonts w:ascii="標楷體" w:eastAsia="標楷體" w:hAnsi="標楷體" w:hint="eastAsia"/>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A1D15F"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54EA06A6" w14:textId="77777777" w:rsidR="00F1456A" w:rsidRDefault="00F1456A">
                            <w:pPr>
                              <w:spacing w:line="240" w:lineRule="exact"/>
                              <w:ind w:leftChars="-30" w:left="-72" w:rightChars="-50" w:right="-120"/>
                              <w:rPr>
                                <w:rFonts w:ascii="標楷體" w:eastAsia="標楷體" w:hAnsi="標楷體"/>
                                <w:noProof/>
                                <w:spacing w:val="-10"/>
                              </w:rPr>
                            </w:pPr>
                            <w:r>
                              <w:rPr>
                                <w:rFonts w:ascii="標楷體" w:eastAsia="標楷體" w:hAnsi="標楷體" w:hint="eastAsia"/>
                                <w:noProof/>
                                <w:spacing w:val="-10"/>
                              </w:rPr>
                              <w:t>信義區基隆路</w:t>
                            </w:r>
                            <w:r>
                              <w:rPr>
                                <w:rFonts w:ascii="標楷體" w:eastAsia="標楷體" w:hAnsi="標楷體" w:hint="eastAsia"/>
                                <w:color w:val="000000" w:themeColor="text1"/>
                                <w:spacing w:val="-10"/>
                              </w:rPr>
                              <w:t>2</w:t>
                            </w:r>
                            <w:r>
                              <w:rPr>
                                <w:rFonts w:ascii="標楷體" w:eastAsia="標楷體" w:hAnsi="標楷體" w:hint="eastAsia"/>
                                <w:noProof/>
                                <w:spacing w:val="-10"/>
                              </w:rPr>
                              <w:t>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310DDFAE" w14:textId="77777777" w:rsidR="00F1456A" w:rsidRDefault="00F1456A">
                            <w:pPr>
                              <w:spacing w:line="240" w:lineRule="exact"/>
                              <w:rPr>
                                <w:rFonts w:ascii="標楷體" w:eastAsia="標楷體" w:hAnsi="標楷體"/>
                                <w:noProof/>
                              </w:rPr>
                            </w:pPr>
                            <w:r>
                              <w:rPr>
                                <w:rFonts w:ascii="標楷體" w:eastAsia="標楷體" w:hAnsi="標楷體" w:hint="eastAsia"/>
                                <w:noProof/>
                              </w:rPr>
                              <w:t>咖啡廳</w:t>
                            </w:r>
                          </w:p>
                        </w:tc>
                      </w:tr>
                      <w:tr w:rsidR="00F1456A" w14:paraId="05DCF269" w14:textId="77777777">
                        <w:trPr>
                          <w:trHeight w:val="260"/>
                        </w:trPr>
                        <w:tc>
                          <w:tcPr>
                            <w:tcW w:w="569" w:type="dxa"/>
                            <w:tcBorders>
                              <w:top w:val="single" w:sz="4" w:space="0" w:color="auto"/>
                              <w:left w:val="single" w:sz="4" w:space="0" w:color="auto"/>
                              <w:bottom w:val="single" w:sz="4" w:space="0" w:color="auto"/>
                              <w:right w:val="single" w:sz="4" w:space="0" w:color="auto"/>
                            </w:tcBorders>
                            <w:vAlign w:val="center"/>
                            <w:hideMark/>
                          </w:tcPr>
                          <w:p w14:paraId="5DA96547" w14:textId="77777777" w:rsidR="00F1456A" w:rsidRDefault="00F1456A">
                            <w:pPr>
                              <w:spacing w:line="240" w:lineRule="exact"/>
                              <w:jc w:val="center"/>
                              <w:rPr>
                                <w:rFonts w:ascii="標楷體" w:eastAsia="標楷體" w:hAnsi="標楷體"/>
                              </w:rPr>
                            </w:pPr>
                            <w:r>
                              <w:rPr>
                                <w:rFonts w:ascii="標楷體" w:eastAsia="標楷體" w:hAnsi="標楷體" w:hint="eastAsia"/>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F4569"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6736A735" w14:textId="77777777" w:rsidR="00F1456A" w:rsidRDefault="00F1456A">
                            <w:pPr>
                              <w:spacing w:line="240" w:lineRule="exact"/>
                              <w:ind w:leftChars="-30" w:left="-72" w:rightChars="-50" w:right="-120"/>
                              <w:rPr>
                                <w:rFonts w:ascii="標楷體" w:eastAsia="標楷體" w:hAnsi="標楷體"/>
                                <w:noProof/>
                              </w:rPr>
                            </w:pPr>
                            <w:r>
                              <w:rPr>
                                <w:rFonts w:ascii="標楷體" w:eastAsia="標楷體" w:hAnsi="標楷體" w:hint="eastAsia"/>
                                <w:noProof/>
                                <w:spacing w:val="-10"/>
                              </w:rPr>
                              <w:t>信義區基隆路2段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36B982D5" w14:textId="77777777" w:rsidR="00F1456A" w:rsidRDefault="00F1456A">
                            <w:pPr>
                              <w:spacing w:line="240" w:lineRule="exact"/>
                              <w:rPr>
                                <w:rFonts w:ascii="標楷體" w:eastAsia="標楷體" w:hAnsi="標楷體"/>
                                <w:noProof/>
                              </w:rPr>
                            </w:pPr>
                            <w:r>
                              <w:rPr>
                                <w:rFonts w:ascii="標楷體" w:eastAsia="標楷體" w:hAnsi="標楷體" w:hint="eastAsia"/>
                                <w:noProof/>
                              </w:rPr>
                              <w:t>飾品店</w:t>
                            </w:r>
                          </w:p>
                        </w:tc>
                      </w:tr>
                      <w:tr w:rsidR="00F1456A" w14:paraId="6A258AB7" w14:textId="77777777">
                        <w:trPr>
                          <w:trHeight w:val="260"/>
                        </w:trPr>
                        <w:tc>
                          <w:tcPr>
                            <w:tcW w:w="569" w:type="dxa"/>
                            <w:tcBorders>
                              <w:top w:val="single" w:sz="4" w:space="0" w:color="auto"/>
                              <w:left w:val="single" w:sz="4" w:space="0" w:color="auto"/>
                              <w:bottom w:val="single" w:sz="4" w:space="0" w:color="auto"/>
                              <w:right w:val="single" w:sz="4" w:space="0" w:color="auto"/>
                            </w:tcBorders>
                            <w:vAlign w:val="center"/>
                            <w:hideMark/>
                          </w:tcPr>
                          <w:p w14:paraId="084C4F22" w14:textId="77777777" w:rsidR="00F1456A" w:rsidRDefault="00F1456A">
                            <w:pPr>
                              <w:spacing w:line="240" w:lineRule="exact"/>
                              <w:jc w:val="center"/>
                              <w:rPr>
                                <w:rFonts w:ascii="標楷體" w:eastAsia="標楷體" w:hAnsi="標楷體"/>
                              </w:rPr>
                            </w:pPr>
                            <w:r>
                              <w:rPr>
                                <w:rFonts w:ascii="標楷體" w:eastAsia="標楷體" w:hAnsi="標楷體" w:hint="eastAsia"/>
                              </w:rPr>
                              <w:t>5</w:t>
                            </w:r>
                          </w:p>
                        </w:tc>
                        <w:tc>
                          <w:tcPr>
                            <w:tcW w:w="991" w:type="dxa"/>
                            <w:tcBorders>
                              <w:top w:val="single" w:sz="4" w:space="0" w:color="auto"/>
                              <w:left w:val="single" w:sz="4" w:space="0" w:color="auto"/>
                              <w:bottom w:val="single" w:sz="4" w:space="0" w:color="auto"/>
                              <w:right w:val="single" w:sz="4" w:space="0" w:color="auto"/>
                            </w:tcBorders>
                            <w:vAlign w:val="center"/>
                            <w:hideMark/>
                          </w:tcPr>
                          <w:p w14:paraId="72848C89" w14:textId="77777777" w:rsidR="00F1456A" w:rsidRDefault="00F1456A">
                            <w:pPr>
                              <w:spacing w:line="240" w:lineRule="exact"/>
                              <w:rPr>
                                <w:rFonts w:ascii="標楷體" w:eastAsia="標楷體" w:hAnsi="標楷體"/>
                                <w:spacing w:val="-4"/>
                              </w:rPr>
                            </w:pPr>
                            <w:r>
                              <w:rPr>
                                <w:rFonts w:ascii="標楷體" w:eastAsia="標楷體" w:hAnsi="標楷體" w:hint="eastAsia"/>
                                <w:spacing w:val="-4"/>
                              </w:rPr>
                              <w:t>103.7.4</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106505" w14:textId="77777777" w:rsidR="00F1456A" w:rsidRDefault="00F1456A">
                            <w:pPr>
                              <w:spacing w:line="240" w:lineRule="exact"/>
                              <w:ind w:leftChars="-30" w:left="-72" w:rightChars="-50" w:right="-120"/>
                              <w:rPr>
                                <w:rFonts w:ascii="標楷體" w:eastAsia="標楷體" w:hAnsi="標楷體"/>
                                <w:noProof/>
                              </w:rPr>
                            </w:pPr>
                            <w:r>
                              <w:rPr>
                                <w:rFonts w:ascii="標楷體" w:eastAsia="標楷體" w:hAnsi="標楷體" w:hint="eastAsia"/>
                              </w:rPr>
                              <w:t>士林區德行西路</w:t>
                            </w:r>
                          </w:p>
                        </w:tc>
                        <w:tc>
                          <w:tcPr>
                            <w:tcW w:w="3094" w:type="dxa"/>
                            <w:tcBorders>
                              <w:top w:val="single" w:sz="4" w:space="0" w:color="auto"/>
                              <w:left w:val="single" w:sz="4" w:space="0" w:color="auto"/>
                              <w:bottom w:val="single" w:sz="4" w:space="0" w:color="auto"/>
                              <w:right w:val="single" w:sz="4" w:space="0" w:color="auto"/>
                            </w:tcBorders>
                            <w:vAlign w:val="center"/>
                            <w:hideMark/>
                          </w:tcPr>
                          <w:p w14:paraId="2A005765" w14:textId="77777777" w:rsidR="00F1456A" w:rsidRDefault="00F1456A">
                            <w:pPr>
                              <w:spacing w:line="240" w:lineRule="exact"/>
                              <w:rPr>
                                <w:rFonts w:ascii="標楷體" w:eastAsia="標楷體" w:hAnsi="標楷體"/>
                                <w:noProof/>
                              </w:rPr>
                            </w:pPr>
                            <w:r>
                              <w:rPr>
                                <w:rFonts w:ascii="標楷體" w:eastAsia="標楷體" w:hAnsi="標楷體" w:hint="eastAsia"/>
                              </w:rPr>
                              <w:t>藥妝店</w:t>
                            </w:r>
                          </w:p>
                        </w:tc>
                      </w:tr>
                      <w:tr w:rsidR="00F1456A" w14:paraId="67954CC7" w14:textId="77777777" w:rsidTr="00BC7877">
                        <w:trPr>
                          <w:trHeight w:val="246"/>
                        </w:trPr>
                        <w:tc>
                          <w:tcPr>
                            <w:tcW w:w="569" w:type="dxa"/>
                            <w:tcBorders>
                              <w:top w:val="single" w:sz="4" w:space="0" w:color="auto"/>
                              <w:left w:val="single" w:sz="4" w:space="0" w:color="auto"/>
                              <w:bottom w:val="single" w:sz="4" w:space="0" w:color="auto"/>
                              <w:right w:val="single" w:sz="4" w:space="0" w:color="auto"/>
                            </w:tcBorders>
                            <w:vAlign w:val="center"/>
                            <w:hideMark/>
                          </w:tcPr>
                          <w:p w14:paraId="3D478431" w14:textId="77777777" w:rsidR="00F1456A" w:rsidRDefault="00F1456A">
                            <w:pPr>
                              <w:spacing w:line="240" w:lineRule="exact"/>
                              <w:jc w:val="center"/>
                              <w:rPr>
                                <w:rFonts w:ascii="標楷體" w:eastAsia="標楷體" w:hAnsi="標楷體"/>
                              </w:rPr>
                            </w:pPr>
                            <w:r>
                              <w:rPr>
                                <w:rFonts w:ascii="標楷體" w:eastAsia="標楷體" w:hAnsi="標楷體" w:hint="eastAsia"/>
                              </w:rPr>
                              <w:t>6</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7BA73359" w14:textId="77777777" w:rsidR="00F1456A" w:rsidRDefault="00F1456A">
                            <w:pPr>
                              <w:spacing w:line="240" w:lineRule="exact"/>
                              <w:rPr>
                                <w:rFonts w:ascii="標楷體" w:eastAsia="標楷體" w:hAnsi="標楷體"/>
                                <w:spacing w:val="-4"/>
                              </w:rPr>
                            </w:pPr>
                            <w:r>
                              <w:rPr>
                                <w:rFonts w:ascii="標楷體" w:eastAsia="標楷體" w:hAnsi="標楷體" w:hint="eastAsia"/>
                                <w:spacing w:val="-4"/>
                              </w:rPr>
                              <w:t>108.7.22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869DE95" w14:textId="77777777" w:rsidR="00F1456A" w:rsidRDefault="00F1456A">
                            <w:pPr>
                              <w:spacing w:line="240" w:lineRule="exact"/>
                              <w:ind w:leftChars="-30" w:left="-72" w:rightChars="-50" w:right="-120"/>
                              <w:rPr>
                                <w:rFonts w:ascii="標楷體" w:eastAsia="標楷體" w:hAnsi="標楷體"/>
                              </w:rPr>
                            </w:pPr>
                            <w:r>
                              <w:rPr>
                                <w:rFonts w:ascii="標楷體" w:eastAsia="標楷體" w:hAnsi="標楷體" w:hint="eastAsia"/>
                              </w:rPr>
                              <w:t>中正區寧波東街</w:t>
                            </w:r>
                          </w:p>
                        </w:tc>
                        <w:tc>
                          <w:tcPr>
                            <w:tcW w:w="3094" w:type="dxa"/>
                            <w:tcBorders>
                              <w:top w:val="single" w:sz="4" w:space="0" w:color="auto"/>
                              <w:left w:val="single" w:sz="4" w:space="0" w:color="auto"/>
                              <w:bottom w:val="single" w:sz="4" w:space="0" w:color="auto"/>
                              <w:right w:val="single" w:sz="4" w:space="0" w:color="auto"/>
                            </w:tcBorders>
                            <w:vAlign w:val="center"/>
                            <w:hideMark/>
                          </w:tcPr>
                          <w:p w14:paraId="708CE0B4" w14:textId="77777777" w:rsidR="00F1456A" w:rsidRDefault="00F1456A">
                            <w:pPr>
                              <w:spacing w:line="240" w:lineRule="exact"/>
                              <w:rPr>
                                <w:rFonts w:ascii="標楷體" w:eastAsia="標楷體" w:hAnsi="標楷體"/>
                              </w:rPr>
                            </w:pPr>
                            <w:r>
                              <w:rPr>
                                <w:rFonts w:ascii="標楷體" w:eastAsia="標楷體" w:hAnsi="標楷體" w:hint="eastAsia"/>
                              </w:rPr>
                              <w:t>小吃店</w:t>
                            </w:r>
                          </w:p>
                        </w:tc>
                      </w:tr>
                      <w:tr w:rsidR="00F1456A" w14:paraId="116CD5BA" w14:textId="77777777">
                        <w:trPr>
                          <w:trHeight w:val="270"/>
                        </w:trPr>
                        <w:tc>
                          <w:tcPr>
                            <w:tcW w:w="569" w:type="dxa"/>
                            <w:tcBorders>
                              <w:top w:val="single" w:sz="4" w:space="0" w:color="auto"/>
                              <w:left w:val="single" w:sz="4" w:space="0" w:color="auto"/>
                              <w:bottom w:val="single" w:sz="4" w:space="0" w:color="auto"/>
                              <w:right w:val="single" w:sz="4" w:space="0" w:color="auto"/>
                            </w:tcBorders>
                            <w:vAlign w:val="center"/>
                            <w:hideMark/>
                          </w:tcPr>
                          <w:p w14:paraId="65AF6401" w14:textId="77777777" w:rsidR="00F1456A" w:rsidRDefault="00F1456A">
                            <w:pPr>
                              <w:spacing w:line="240" w:lineRule="exact"/>
                              <w:jc w:val="center"/>
                              <w:rPr>
                                <w:rFonts w:ascii="標楷體" w:eastAsia="標楷體" w:hAnsi="標楷體"/>
                              </w:rPr>
                            </w:pPr>
                            <w:r>
                              <w:rPr>
                                <w:rFonts w:ascii="標楷體" w:eastAsia="標楷體" w:hAnsi="標楷體" w:hint="eastAsia"/>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9C61EB"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4E6528E5" w14:textId="77777777" w:rsidR="00F1456A" w:rsidRDefault="00F1456A">
                            <w:pPr>
                              <w:spacing w:line="240" w:lineRule="exact"/>
                              <w:ind w:leftChars="-30" w:left="-72" w:rightChars="-50" w:right="-120"/>
                              <w:rPr>
                                <w:rFonts w:ascii="標楷體" w:eastAsia="標楷體" w:hAnsi="標楷體"/>
                                <w:spacing w:val="-10"/>
                              </w:rPr>
                            </w:pPr>
                            <w:r>
                              <w:rPr>
                                <w:rFonts w:ascii="標楷體" w:eastAsia="標楷體" w:hAnsi="標楷體" w:hint="eastAsia"/>
                              </w:rPr>
                              <w:t>中正區寧波東街</w:t>
                            </w:r>
                          </w:p>
                        </w:tc>
                        <w:tc>
                          <w:tcPr>
                            <w:tcW w:w="3094" w:type="dxa"/>
                            <w:tcBorders>
                              <w:top w:val="single" w:sz="4" w:space="0" w:color="auto"/>
                              <w:left w:val="single" w:sz="4" w:space="0" w:color="auto"/>
                              <w:bottom w:val="single" w:sz="4" w:space="0" w:color="auto"/>
                              <w:right w:val="single" w:sz="4" w:space="0" w:color="auto"/>
                            </w:tcBorders>
                            <w:vAlign w:val="center"/>
                            <w:hideMark/>
                          </w:tcPr>
                          <w:p w14:paraId="19DEBFB2" w14:textId="77777777" w:rsidR="00F1456A" w:rsidRDefault="00F1456A">
                            <w:pPr>
                              <w:spacing w:line="240" w:lineRule="exact"/>
                              <w:rPr>
                                <w:rFonts w:ascii="標楷體" w:eastAsia="標楷體" w:hAnsi="標楷體"/>
                              </w:rPr>
                            </w:pPr>
                            <w:r>
                              <w:rPr>
                                <w:rFonts w:ascii="標楷體" w:eastAsia="標楷體" w:hAnsi="標楷體" w:hint="eastAsia"/>
                              </w:rPr>
                              <w:t>便當店</w:t>
                            </w:r>
                          </w:p>
                        </w:tc>
                      </w:tr>
                      <w:tr w:rsidR="00F1456A" w14:paraId="47E3DE21" w14:textId="77777777">
                        <w:trPr>
                          <w:trHeight w:val="275"/>
                        </w:trPr>
                        <w:tc>
                          <w:tcPr>
                            <w:tcW w:w="569" w:type="dxa"/>
                            <w:tcBorders>
                              <w:top w:val="single" w:sz="4" w:space="0" w:color="auto"/>
                              <w:left w:val="single" w:sz="4" w:space="0" w:color="auto"/>
                              <w:bottom w:val="single" w:sz="4" w:space="0" w:color="auto"/>
                              <w:right w:val="single" w:sz="4" w:space="0" w:color="auto"/>
                            </w:tcBorders>
                            <w:vAlign w:val="center"/>
                            <w:hideMark/>
                          </w:tcPr>
                          <w:p w14:paraId="174FEDAE" w14:textId="77777777" w:rsidR="00F1456A" w:rsidRDefault="00F1456A">
                            <w:pPr>
                              <w:spacing w:line="240" w:lineRule="exact"/>
                              <w:jc w:val="center"/>
                              <w:rPr>
                                <w:rFonts w:ascii="標楷體" w:eastAsia="標楷體" w:hAnsi="標楷體"/>
                              </w:rPr>
                            </w:pPr>
                            <w:r>
                              <w:rPr>
                                <w:rFonts w:ascii="標楷體" w:eastAsia="標楷體" w:hAnsi="標楷體" w:hint="eastAsia"/>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5DED05"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5E5ADD96" w14:textId="77777777" w:rsidR="00F1456A" w:rsidRDefault="00F1456A">
                            <w:pPr>
                              <w:spacing w:line="240" w:lineRule="exact"/>
                              <w:ind w:leftChars="-30" w:left="-72" w:rightChars="-50" w:right="-120"/>
                              <w:rPr>
                                <w:rFonts w:ascii="標楷體" w:eastAsia="標楷體" w:hAnsi="標楷體"/>
                                <w:spacing w:val="-10"/>
                              </w:rPr>
                            </w:pPr>
                            <w:r>
                              <w:rPr>
                                <w:rFonts w:ascii="標楷體" w:eastAsia="標楷體" w:hAnsi="標楷體" w:hint="eastAsia"/>
                                <w:spacing w:val="-10"/>
                              </w:rPr>
                              <w:t>中正區寧波東街24巷</w:t>
                            </w:r>
                          </w:p>
                        </w:tc>
                        <w:tc>
                          <w:tcPr>
                            <w:tcW w:w="3094" w:type="dxa"/>
                            <w:tcBorders>
                              <w:top w:val="single" w:sz="4" w:space="0" w:color="auto"/>
                              <w:left w:val="single" w:sz="4" w:space="0" w:color="auto"/>
                              <w:bottom w:val="single" w:sz="4" w:space="0" w:color="auto"/>
                              <w:right w:val="single" w:sz="4" w:space="0" w:color="auto"/>
                            </w:tcBorders>
                            <w:vAlign w:val="center"/>
                            <w:hideMark/>
                          </w:tcPr>
                          <w:p w14:paraId="5EF3BE99" w14:textId="77777777" w:rsidR="00F1456A" w:rsidRDefault="00F1456A">
                            <w:pPr>
                              <w:spacing w:line="240" w:lineRule="exact"/>
                              <w:rPr>
                                <w:rFonts w:ascii="標楷體" w:eastAsia="標楷體" w:hAnsi="標楷體"/>
                              </w:rPr>
                            </w:pPr>
                            <w:r>
                              <w:rPr>
                                <w:rFonts w:ascii="標楷體" w:eastAsia="標楷體" w:hAnsi="標楷體" w:hint="eastAsia"/>
                              </w:rPr>
                              <w:t>早餐店</w:t>
                            </w:r>
                          </w:p>
                        </w:tc>
                      </w:tr>
                      <w:tr w:rsidR="00F1456A" w14:paraId="5298BA46" w14:textId="77777777">
                        <w:trPr>
                          <w:trHeight w:val="278"/>
                        </w:trPr>
                        <w:tc>
                          <w:tcPr>
                            <w:tcW w:w="569" w:type="dxa"/>
                            <w:tcBorders>
                              <w:top w:val="single" w:sz="4" w:space="0" w:color="auto"/>
                              <w:left w:val="single" w:sz="4" w:space="0" w:color="auto"/>
                              <w:bottom w:val="single" w:sz="4" w:space="0" w:color="auto"/>
                              <w:right w:val="single" w:sz="4" w:space="0" w:color="auto"/>
                            </w:tcBorders>
                            <w:vAlign w:val="center"/>
                            <w:hideMark/>
                          </w:tcPr>
                          <w:p w14:paraId="0BCD7D12" w14:textId="77777777" w:rsidR="00F1456A" w:rsidRDefault="00F1456A">
                            <w:pPr>
                              <w:spacing w:line="240" w:lineRule="exact"/>
                              <w:jc w:val="center"/>
                              <w:rPr>
                                <w:rFonts w:ascii="標楷體" w:eastAsia="標楷體" w:hAnsi="標楷體"/>
                              </w:rPr>
                            </w:pPr>
                            <w:r>
                              <w:rPr>
                                <w:rFonts w:ascii="標楷體" w:eastAsia="標楷體" w:hAnsi="標楷體" w:hint="eastAsia"/>
                              </w:rPr>
                              <w:t>9</w:t>
                            </w:r>
                          </w:p>
                        </w:tc>
                        <w:tc>
                          <w:tcPr>
                            <w:tcW w:w="991" w:type="dxa"/>
                            <w:vMerge w:val="restart"/>
                            <w:tcBorders>
                              <w:top w:val="single" w:sz="4" w:space="0" w:color="auto"/>
                              <w:left w:val="single" w:sz="4" w:space="0" w:color="auto"/>
                              <w:bottom w:val="single" w:sz="4" w:space="0" w:color="auto"/>
                              <w:right w:val="single" w:sz="4" w:space="0" w:color="auto"/>
                            </w:tcBorders>
                            <w:vAlign w:val="center"/>
                            <w:hideMark/>
                          </w:tcPr>
                          <w:p w14:paraId="6543D049" w14:textId="77777777" w:rsidR="00F1456A" w:rsidRDefault="00F1456A">
                            <w:pPr>
                              <w:spacing w:line="240" w:lineRule="exact"/>
                              <w:rPr>
                                <w:rFonts w:ascii="標楷體" w:eastAsia="標楷體" w:hAnsi="標楷體"/>
                                <w:spacing w:val="-4"/>
                              </w:rPr>
                            </w:pPr>
                            <w:r>
                              <w:rPr>
                                <w:rFonts w:ascii="標楷體" w:eastAsia="標楷體" w:hAnsi="標楷體" w:hint="eastAsia"/>
                                <w:spacing w:val="-4"/>
                              </w:rPr>
                              <w:t>110.12.2</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59A7BEC" w14:textId="77777777" w:rsidR="00F1456A" w:rsidRDefault="00F1456A">
                            <w:pPr>
                              <w:spacing w:line="240" w:lineRule="exact"/>
                              <w:ind w:leftChars="-30" w:left="-72" w:rightChars="-50" w:right="-120"/>
                              <w:rPr>
                                <w:rFonts w:ascii="標楷體" w:eastAsia="標楷體" w:hAnsi="標楷體"/>
                                <w:spacing w:val="-10"/>
                              </w:rPr>
                            </w:pPr>
                            <w:r>
                              <w:rPr>
                                <w:rFonts w:ascii="標楷體" w:eastAsia="標楷體" w:hAnsi="標楷體" w:hint="eastAsia"/>
                                <w:spacing w:val="-10"/>
                              </w:rPr>
                              <w:t>士林區重慶北路4段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42911328" w14:textId="77777777" w:rsidR="00F1456A" w:rsidRDefault="00F1456A">
                            <w:pPr>
                              <w:spacing w:line="240" w:lineRule="exact"/>
                              <w:rPr>
                                <w:rFonts w:ascii="標楷體" w:eastAsia="標楷體" w:hAnsi="標楷體"/>
                              </w:rPr>
                            </w:pPr>
                            <w:r>
                              <w:rPr>
                                <w:rFonts w:ascii="標楷體" w:eastAsia="標楷體" w:hAnsi="標楷體" w:hint="eastAsia"/>
                              </w:rPr>
                              <w:t>汽車保養所</w:t>
                            </w:r>
                          </w:p>
                        </w:tc>
                      </w:tr>
                      <w:tr w:rsidR="00F1456A" w14:paraId="77B71E50" w14:textId="77777777">
                        <w:trPr>
                          <w:trHeight w:val="314"/>
                        </w:trPr>
                        <w:tc>
                          <w:tcPr>
                            <w:tcW w:w="569" w:type="dxa"/>
                            <w:tcBorders>
                              <w:top w:val="single" w:sz="4" w:space="0" w:color="auto"/>
                              <w:left w:val="single" w:sz="4" w:space="0" w:color="auto"/>
                              <w:bottom w:val="single" w:sz="4" w:space="0" w:color="auto"/>
                              <w:right w:val="single" w:sz="4" w:space="0" w:color="auto"/>
                            </w:tcBorders>
                            <w:vAlign w:val="center"/>
                            <w:hideMark/>
                          </w:tcPr>
                          <w:p w14:paraId="482EF9FA" w14:textId="77777777" w:rsidR="00F1456A" w:rsidRDefault="00F1456A">
                            <w:pPr>
                              <w:spacing w:line="240" w:lineRule="exact"/>
                              <w:jc w:val="center"/>
                              <w:rPr>
                                <w:rFonts w:ascii="標楷體" w:eastAsia="標楷體" w:hAnsi="標楷體"/>
                              </w:rPr>
                            </w:pPr>
                            <w:r>
                              <w:rPr>
                                <w:rFonts w:ascii="標楷體" w:eastAsia="標楷體" w:hAnsi="標楷體" w:hint="eastAsia"/>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38D0E6"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17B2E2AC" w14:textId="77777777" w:rsidR="00F1456A" w:rsidRDefault="00F1456A">
                            <w:pPr>
                              <w:spacing w:line="240" w:lineRule="exact"/>
                              <w:ind w:leftChars="-30" w:left="-72" w:rightChars="-50" w:right="-120"/>
                              <w:rPr>
                                <w:rFonts w:ascii="標楷體" w:eastAsia="標楷體" w:hAnsi="標楷體"/>
                                <w:spacing w:val="-10"/>
                              </w:rPr>
                            </w:pPr>
                            <w:r>
                              <w:rPr>
                                <w:rFonts w:ascii="標楷體" w:eastAsia="標楷體" w:hAnsi="標楷體" w:hint="eastAsia"/>
                                <w:spacing w:val="-10"/>
                              </w:rPr>
                              <w:t>士林區重慶北路4段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44AE8F2A" w14:textId="77777777" w:rsidR="00F1456A" w:rsidRDefault="00F1456A">
                            <w:pPr>
                              <w:spacing w:line="240" w:lineRule="exact"/>
                              <w:rPr>
                                <w:rFonts w:ascii="標楷體" w:eastAsia="標楷體" w:hAnsi="標楷體"/>
                              </w:rPr>
                            </w:pPr>
                            <w:r>
                              <w:rPr>
                                <w:rFonts w:ascii="標楷體" w:eastAsia="標楷體" w:hAnsi="標楷體" w:hint="eastAsia"/>
                              </w:rPr>
                              <w:t>公司行號</w:t>
                            </w:r>
                          </w:p>
                        </w:tc>
                      </w:tr>
                      <w:tr w:rsidR="00F1456A" w14:paraId="5E01A196" w14:textId="77777777" w:rsidTr="00BC7877">
                        <w:trPr>
                          <w:trHeight w:val="238"/>
                        </w:trPr>
                        <w:tc>
                          <w:tcPr>
                            <w:tcW w:w="569" w:type="dxa"/>
                            <w:tcBorders>
                              <w:top w:val="single" w:sz="4" w:space="0" w:color="auto"/>
                              <w:left w:val="single" w:sz="4" w:space="0" w:color="auto"/>
                              <w:bottom w:val="single" w:sz="4" w:space="0" w:color="auto"/>
                              <w:right w:val="single" w:sz="4" w:space="0" w:color="auto"/>
                            </w:tcBorders>
                            <w:vAlign w:val="center"/>
                            <w:hideMark/>
                          </w:tcPr>
                          <w:p w14:paraId="4712DE05" w14:textId="77777777" w:rsidR="00F1456A" w:rsidRDefault="00F1456A">
                            <w:pPr>
                              <w:spacing w:line="260" w:lineRule="exact"/>
                              <w:jc w:val="center"/>
                              <w:rPr>
                                <w:rFonts w:ascii="標楷體" w:eastAsia="標楷體" w:hAnsi="標楷體"/>
                              </w:rPr>
                            </w:pPr>
                            <w:r>
                              <w:rPr>
                                <w:rFonts w:ascii="標楷體" w:eastAsia="標楷體" w:hAnsi="標楷體" w:hint="eastAsia"/>
                              </w:rPr>
                              <w:t>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DC4281" w14:textId="77777777" w:rsidR="00F1456A" w:rsidRDefault="00F1456A">
                            <w:pPr>
                              <w:rPr>
                                <w:rFonts w:ascii="標楷體" w:eastAsia="標楷體" w:hAnsi="標楷體"/>
                                <w:spacing w:val="-4"/>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51F01CCA" w14:textId="77777777" w:rsidR="00F1456A" w:rsidRDefault="00F1456A">
                            <w:pPr>
                              <w:spacing w:line="240" w:lineRule="exact"/>
                              <w:ind w:leftChars="-30" w:left="-72" w:rightChars="-50" w:right="-120"/>
                              <w:rPr>
                                <w:rFonts w:ascii="標楷體" w:eastAsia="標楷體" w:hAnsi="標楷體"/>
                                <w:spacing w:val="-10"/>
                              </w:rPr>
                            </w:pPr>
                            <w:r>
                              <w:rPr>
                                <w:rFonts w:ascii="標楷體" w:eastAsia="標楷體" w:hAnsi="標楷體" w:hint="eastAsia"/>
                                <w:spacing w:val="-10"/>
                              </w:rPr>
                              <w:t>士林區重慶北路4段</w:t>
                            </w:r>
                          </w:p>
                        </w:tc>
                        <w:tc>
                          <w:tcPr>
                            <w:tcW w:w="3094" w:type="dxa"/>
                            <w:tcBorders>
                              <w:top w:val="single" w:sz="4" w:space="0" w:color="auto"/>
                              <w:left w:val="single" w:sz="4" w:space="0" w:color="auto"/>
                              <w:bottom w:val="single" w:sz="4" w:space="0" w:color="auto"/>
                              <w:right w:val="single" w:sz="4" w:space="0" w:color="auto"/>
                            </w:tcBorders>
                            <w:vAlign w:val="center"/>
                            <w:hideMark/>
                          </w:tcPr>
                          <w:p w14:paraId="038D47A1" w14:textId="77777777" w:rsidR="00F1456A" w:rsidRDefault="00F1456A">
                            <w:pPr>
                              <w:spacing w:line="240" w:lineRule="exact"/>
                              <w:rPr>
                                <w:rFonts w:ascii="標楷體" w:eastAsia="標楷體" w:hAnsi="標楷體"/>
                              </w:rPr>
                            </w:pPr>
                            <w:r>
                              <w:rPr>
                                <w:rFonts w:ascii="標楷體" w:eastAsia="標楷體" w:hAnsi="標楷體" w:hint="eastAsia"/>
                              </w:rPr>
                              <w:t>家具行</w:t>
                            </w:r>
                          </w:p>
                        </w:tc>
                      </w:tr>
                    </w:tbl>
                    <w:p w14:paraId="7FA0D6DF" w14:textId="77777777" w:rsidR="00F1456A" w:rsidRPr="006B52B8" w:rsidRDefault="00F1456A" w:rsidP="005D009F">
                      <w:pPr>
                        <w:spacing w:line="240" w:lineRule="exact"/>
                        <w:ind w:leftChars="-63" w:left="787" w:rightChars="23" w:right="55" w:hangingChars="521" w:hanging="938"/>
                        <w:jc w:val="both"/>
                        <w:rPr>
                          <w:rFonts w:ascii="標楷體" w:eastAsia="標楷體" w:hAnsi="標楷體"/>
                          <w:sz w:val="18"/>
                          <w:szCs w:val="18"/>
                        </w:rPr>
                      </w:pPr>
                      <w:r>
                        <w:rPr>
                          <w:rFonts w:ascii="標楷體" w:eastAsia="標楷體" w:hAnsi="標楷體" w:hint="eastAsia"/>
                          <w:sz w:val="18"/>
                          <w:szCs w:val="18"/>
                        </w:rPr>
                        <w:t>資料來源：整理自113年12月查詢財政部稅籍登記資料公示查詢網站及GOOGLE MAP，暨建築管理工程處提供截至113年10月止之處置作為等資料。</w:t>
                      </w:r>
                    </w:p>
                  </w:txbxContent>
                </v:textbox>
                <w10:wrap type="square" anchorx="margin"/>
              </v:shape>
            </w:pict>
          </mc:Fallback>
        </mc:AlternateContent>
      </w:r>
      <w:r>
        <w:rPr>
          <w:rFonts w:ascii="標楷體" w:eastAsia="標楷體" w:hAnsi="標楷體" w:hint="eastAsia"/>
          <w:kern w:val="0"/>
        </w:rPr>
        <w:t>月及110年12月公告「須拆除重建」之6件海砂屋（表6序號6至11），停留</w:t>
      </w:r>
      <w:proofErr w:type="gramStart"/>
      <w:r>
        <w:rPr>
          <w:rFonts w:ascii="標楷體" w:eastAsia="標楷體" w:hAnsi="標楷體" w:hint="eastAsia"/>
          <w:kern w:val="0"/>
        </w:rPr>
        <w:t>於裁罰前</w:t>
      </w:r>
      <w:proofErr w:type="gramEnd"/>
      <w:r>
        <w:rPr>
          <w:rFonts w:ascii="標楷體" w:eastAsia="標楷體" w:hAnsi="標楷體" w:hint="eastAsia"/>
          <w:kern w:val="0"/>
        </w:rPr>
        <w:t>請受處罰者陳述意見階段外，餘99年7月至103年7月公告之5件海砂屋（表6序號1至5），仍未向建築物所有權人辦理裁罰或僅裁罰2次，致無法依「</w:t>
      </w:r>
      <w:proofErr w:type="gramStart"/>
      <w:r>
        <w:rPr>
          <w:rFonts w:ascii="標楷體" w:eastAsia="標楷體" w:hAnsi="標楷體" w:hint="eastAsia"/>
          <w:kern w:val="0"/>
        </w:rPr>
        <w:t>裁罰達3次</w:t>
      </w:r>
      <w:proofErr w:type="gramEnd"/>
      <w:r>
        <w:rPr>
          <w:rFonts w:ascii="標楷體" w:eastAsia="標楷體" w:hAnsi="標楷體" w:hint="eastAsia"/>
          <w:kern w:val="0"/>
        </w:rPr>
        <w:t>仍持續作為營業使用者可斷水斷電」之規定進行後續處置。</w:t>
      </w:r>
      <w:proofErr w:type="gramStart"/>
      <w:r>
        <w:rPr>
          <w:rFonts w:ascii="標楷體" w:eastAsia="標楷體" w:hAnsi="標楷體" w:hint="eastAsia"/>
          <w:kern w:val="0"/>
        </w:rPr>
        <w:t>鑑</w:t>
      </w:r>
      <w:proofErr w:type="gramEnd"/>
      <w:r>
        <w:rPr>
          <w:rFonts w:ascii="標楷體" w:eastAsia="標楷體" w:hAnsi="標楷體" w:hint="eastAsia"/>
          <w:kern w:val="0"/>
        </w:rPr>
        <w:t>於經列管「須拆除重建」海砂屋有危及公共安全風險，如作為營業場所，因消費者不易知悉海砂屋狀況，易危害民眾生命安全，經函請</w:t>
      </w:r>
      <w:proofErr w:type="gramStart"/>
      <w:r>
        <w:rPr>
          <w:rFonts w:ascii="標楷體" w:eastAsia="標楷體" w:hAnsi="標楷體" w:hint="eastAsia"/>
          <w:kern w:val="0"/>
        </w:rPr>
        <w:t>檢討妥處</w:t>
      </w:r>
      <w:proofErr w:type="gramEnd"/>
      <w:r>
        <w:rPr>
          <w:rFonts w:ascii="標楷體" w:eastAsia="標楷體" w:hAnsi="標楷體" w:hint="eastAsia"/>
          <w:kern w:val="0"/>
        </w:rPr>
        <w:t>。據復：因建築物拆除係屬私權，現行法規僅對2年未依規定停止使用者處以裁罰，且對未依規定於3年內自行拆除者，可行政裁量續處以裁罰；本項持續作營業場所使用之11間海砂屋，截至114年3月底止已有5間停用，3間稅籍回復住家用，相關建築物將由該處持續列管至拆除前，另為確認海砂屋現況，該處已規劃於114年9月辦理巡</w:t>
      </w:r>
      <w:proofErr w:type="gramStart"/>
      <w:r>
        <w:rPr>
          <w:rFonts w:ascii="標楷體" w:eastAsia="標楷體" w:hAnsi="標楷體" w:hint="eastAsia"/>
          <w:kern w:val="0"/>
        </w:rPr>
        <w:t>勘</w:t>
      </w:r>
      <w:proofErr w:type="gramEnd"/>
      <w:r>
        <w:rPr>
          <w:rFonts w:ascii="標楷體" w:eastAsia="標楷體" w:hAnsi="標楷體" w:hint="eastAsia"/>
          <w:kern w:val="0"/>
        </w:rPr>
        <w:t>，並預計114年底前完成本項相關裁罰事項</w:t>
      </w:r>
      <w:r w:rsidRPr="00881FAC">
        <w:rPr>
          <w:rFonts w:ascii="標楷體" w:eastAsia="標楷體" w:hAnsi="標楷體" w:hint="eastAsia"/>
          <w:szCs w:val="24"/>
        </w:rPr>
        <w:t>。</w:t>
      </w:r>
    </w:p>
    <w:p w14:paraId="467D5CC8" w14:textId="77777777" w:rsidR="00F1456A" w:rsidRPr="00881FAC" w:rsidRDefault="00F1456A" w:rsidP="00F1456A">
      <w:pPr>
        <w:overflowPunct w:val="0"/>
        <w:snapToGrid w:val="0"/>
        <w:spacing w:beforeLines="30" w:before="108" w:afterLines="30" w:after="108" w:line="440" w:lineRule="exact"/>
        <w:ind w:firstLineChars="100" w:firstLine="280"/>
        <w:jc w:val="both"/>
        <w:rPr>
          <w:rFonts w:ascii="標楷體" w:eastAsia="標楷體"/>
          <w:b/>
          <w:sz w:val="28"/>
          <w:szCs w:val="28"/>
        </w:rPr>
      </w:pPr>
      <w:r>
        <w:rPr>
          <w:rFonts w:ascii="標楷體" w:eastAsia="標楷體" w:hint="eastAsia"/>
          <w:b/>
          <w:sz w:val="28"/>
          <w:szCs w:val="28"/>
        </w:rPr>
        <w:t>（七）</w:t>
      </w:r>
      <w:r w:rsidRPr="00346E33">
        <w:rPr>
          <w:rFonts w:ascii="標楷體" w:eastAsia="標楷體" w:hint="eastAsia"/>
          <w:b/>
          <w:sz w:val="28"/>
          <w:szCs w:val="28"/>
        </w:rPr>
        <w:t>建築管理工程處為維護公共安全及市容觀瞻，致力違章建築之查報拆除作業，惟處理（拆除）件數不及查報件數</w:t>
      </w:r>
      <w:r w:rsidRPr="00346E33">
        <w:rPr>
          <w:rFonts w:ascii="標楷體" w:eastAsia="標楷體" w:hAnsi="標楷體" w:hint="eastAsia"/>
          <w:b/>
          <w:sz w:val="28"/>
          <w:szCs w:val="28"/>
        </w:rPr>
        <w:t>，</w:t>
      </w:r>
      <w:r w:rsidRPr="00346E33">
        <w:rPr>
          <w:rFonts w:ascii="標楷體" w:eastAsia="標楷體" w:hint="eastAsia"/>
          <w:b/>
          <w:sz w:val="28"/>
          <w:szCs w:val="28"/>
        </w:rPr>
        <w:t>或處理消防局通報之火災查報違建案件，</w:t>
      </w:r>
      <w:proofErr w:type="gramStart"/>
      <w:r w:rsidRPr="00346E33">
        <w:rPr>
          <w:rFonts w:ascii="標楷體" w:eastAsia="標楷體" w:hint="eastAsia"/>
          <w:b/>
          <w:sz w:val="28"/>
          <w:szCs w:val="28"/>
        </w:rPr>
        <w:t>間有未</w:t>
      </w:r>
      <w:proofErr w:type="gramEnd"/>
      <w:r w:rsidRPr="00346E33">
        <w:rPr>
          <w:rFonts w:ascii="標楷體" w:eastAsia="標楷體" w:hint="eastAsia"/>
          <w:b/>
          <w:sz w:val="28"/>
          <w:szCs w:val="28"/>
        </w:rPr>
        <w:t>依規定通知違建所有人限期改善或訂期強制拆除等情，均有待檢討</w:t>
      </w:r>
      <w:r w:rsidRPr="00881FAC">
        <w:rPr>
          <w:rFonts w:ascii="標楷體" w:eastAsia="標楷體" w:hint="eastAsia"/>
          <w:b/>
          <w:sz w:val="28"/>
          <w:szCs w:val="28"/>
        </w:rPr>
        <w:t>。</w:t>
      </w:r>
    </w:p>
    <w:p w14:paraId="349DD481" w14:textId="59D303C7" w:rsidR="002D2DED" w:rsidRDefault="00F1456A" w:rsidP="002D2DED">
      <w:pPr>
        <w:overflowPunct w:val="0"/>
        <w:snapToGrid w:val="0"/>
        <w:spacing w:before="120" w:after="60" w:line="440" w:lineRule="exact"/>
        <w:ind w:firstLineChars="200" w:firstLine="480"/>
        <w:jc w:val="both"/>
        <w:rPr>
          <w:rFonts w:ascii="標楷體" w:eastAsia="標楷體" w:hAnsi="標楷體"/>
          <w:szCs w:val="24"/>
        </w:rPr>
      </w:pPr>
      <w:r w:rsidRPr="00346E33">
        <w:rPr>
          <w:rFonts w:ascii="標楷體" w:eastAsia="標楷體" w:hAnsi="標楷體" w:hint="eastAsia"/>
          <w:szCs w:val="24"/>
        </w:rPr>
        <w:t>臺北市政府為實施建築管理及有效處理違章建築，自100年4月1日公告實施「臺北市違章建築處理規則」，辦理違建查報及拆除等業務，並由建築管理工程處於「建管業務</w:t>
      </w:r>
      <w:r w:rsidR="006D73F5">
        <w:rPr>
          <w:rFonts w:ascii="標楷體" w:eastAsia="標楷體" w:hAnsi="標楷體" w:hint="eastAsia"/>
          <w:szCs w:val="24"/>
        </w:rPr>
        <w:t>－</w:t>
      </w:r>
      <w:r w:rsidRPr="00346E33">
        <w:rPr>
          <w:rFonts w:ascii="標楷體" w:eastAsia="標楷體" w:hAnsi="標楷體" w:hint="eastAsia"/>
          <w:szCs w:val="24"/>
        </w:rPr>
        <w:t>建築管理</w:t>
      </w:r>
      <w:r w:rsidRPr="006D73F5">
        <w:rPr>
          <w:rFonts w:ascii="標楷體" w:eastAsia="標楷體" w:hAnsi="標楷體" w:hint="eastAsia"/>
          <w:spacing w:val="-4"/>
          <w:szCs w:val="24"/>
        </w:rPr>
        <w:t>及違建處理」工作計畫項下列有「違建拆除」及「違建查報」等相關預算，作為違規建築物查報</w:t>
      </w:r>
      <w:r w:rsidRPr="00346E33">
        <w:rPr>
          <w:rFonts w:ascii="標楷體" w:eastAsia="標楷體" w:hAnsi="標楷體" w:hint="eastAsia"/>
          <w:szCs w:val="24"/>
        </w:rPr>
        <w:t>拆</w:t>
      </w:r>
    </w:p>
    <w:p w14:paraId="525D367A" w14:textId="7B98D6BE" w:rsidR="00F1456A" w:rsidRDefault="00F1456A" w:rsidP="002D2DED">
      <w:pPr>
        <w:overflowPunct w:val="0"/>
        <w:snapToGrid w:val="0"/>
        <w:spacing w:before="120" w:after="60" w:line="410" w:lineRule="exact"/>
        <w:jc w:val="both"/>
        <w:rPr>
          <w:rFonts w:ascii="標楷體" w:eastAsia="標楷體" w:hAnsi="標楷體"/>
          <w:szCs w:val="24"/>
        </w:rPr>
      </w:pPr>
      <w:r w:rsidRPr="00346E33">
        <w:rPr>
          <w:rFonts w:ascii="標楷體" w:eastAsia="標楷體" w:hAnsi="標楷體" w:hint="eastAsia"/>
          <w:szCs w:val="24"/>
        </w:rPr>
        <w:lastRenderedPageBreak/>
        <w:t>除業務執行所需經費，111至113年度分別編列歲出預算計1,426萬餘元、1,469萬餘元、1,492萬餘元。經查相關業務執行情形，核有：1.據建築管理工程處提供臺北市違章建築查報及處理情形統計表，因各年度實際處理件數均不及查報件數，累計未處理完竣違章建築件數，由110年底81,335件遞增至113年9月20日之83,444件，另屬101及</w:t>
      </w:r>
      <w:proofErr w:type="gramStart"/>
      <w:r w:rsidRPr="00346E33">
        <w:rPr>
          <w:rFonts w:ascii="標楷體" w:eastAsia="標楷體" w:hAnsi="標楷體" w:hint="eastAsia"/>
          <w:szCs w:val="24"/>
        </w:rPr>
        <w:t>102</w:t>
      </w:r>
      <w:proofErr w:type="gramEnd"/>
      <w:r w:rsidRPr="00346E33">
        <w:rPr>
          <w:rFonts w:ascii="標楷體" w:eastAsia="標楷體" w:hAnsi="標楷體" w:hint="eastAsia"/>
          <w:szCs w:val="24"/>
        </w:rPr>
        <w:t>年度查報違建案件，</w:t>
      </w:r>
      <w:proofErr w:type="gramStart"/>
      <w:r w:rsidRPr="00346E33">
        <w:rPr>
          <w:rFonts w:ascii="標楷體" w:eastAsia="標楷體" w:hAnsi="標楷體" w:hint="eastAsia"/>
          <w:szCs w:val="24"/>
        </w:rPr>
        <w:t>尚各有</w:t>
      </w:r>
      <w:proofErr w:type="gramEnd"/>
      <w:r w:rsidRPr="00346E33">
        <w:rPr>
          <w:rFonts w:ascii="標楷體" w:eastAsia="標楷體" w:hAnsi="標楷體" w:hint="eastAsia"/>
          <w:szCs w:val="24"/>
        </w:rPr>
        <w:t>1,311件[占查報案件（下同）之21.90％]及1,273件（23.29％），</w:t>
      </w:r>
      <w:proofErr w:type="gramStart"/>
      <w:r w:rsidRPr="00346E33">
        <w:rPr>
          <w:rFonts w:ascii="標楷體" w:eastAsia="標楷體" w:hAnsi="標楷體" w:hint="eastAsia"/>
          <w:szCs w:val="24"/>
        </w:rPr>
        <w:t>均已逾</w:t>
      </w:r>
      <w:proofErr w:type="gramEnd"/>
      <w:r w:rsidRPr="00346E33">
        <w:rPr>
          <w:rFonts w:ascii="標楷體" w:eastAsia="標楷體" w:hAnsi="標楷體" w:hint="eastAsia"/>
          <w:szCs w:val="24"/>
        </w:rPr>
        <w:t>行政執行時效，仍未處理完竣，且其中不乏已訂有限期強制拆除日卻未完成；2.</w:t>
      </w:r>
      <w:r w:rsidRPr="00346E33">
        <w:rPr>
          <w:rFonts w:ascii="標楷體" w:eastAsia="標楷體" w:hAnsi="標楷體" w:hint="eastAsia"/>
        </w:rPr>
        <w:t>據建築管理工程處列管110至113年</w:t>
      </w:r>
      <w:r w:rsidRPr="00346E33">
        <w:rPr>
          <w:rFonts w:ascii="標楷體" w:eastAsia="標楷體" w:hAnsi="標楷體"/>
          <w:noProof/>
          <w:color w:val="000000" w:themeColor="text1"/>
          <w:kern w:val="0"/>
          <w:sz w:val="32"/>
          <w:szCs w:val="32"/>
        </w:rPr>
        <mc:AlternateContent>
          <mc:Choice Requires="wps">
            <w:drawing>
              <wp:anchor distT="45720" distB="45720" distL="114300" distR="114300" simplePos="0" relativeHeight="251828224" behindDoc="0" locked="0" layoutInCell="1" allowOverlap="1" wp14:anchorId="3157131C" wp14:editId="7484D4E3">
                <wp:simplePos x="0" y="0"/>
                <wp:positionH relativeFrom="margin">
                  <wp:posOffset>2941955</wp:posOffset>
                </wp:positionH>
                <wp:positionV relativeFrom="paragraph">
                  <wp:posOffset>1625600</wp:posOffset>
                </wp:positionV>
                <wp:extent cx="3371850" cy="2219325"/>
                <wp:effectExtent l="0" t="0" r="0" b="9525"/>
                <wp:wrapSquare wrapText="bothSides"/>
                <wp:docPr id="9274195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2219325"/>
                        </a:xfrm>
                        <a:prstGeom prst="rect">
                          <a:avLst/>
                        </a:prstGeom>
                        <a:solidFill>
                          <a:srgbClr val="FFFFFF"/>
                        </a:solidFill>
                        <a:ln w="9525">
                          <a:noFill/>
                          <a:miter lim="800000"/>
                          <a:headEnd/>
                          <a:tailEnd/>
                        </a:ln>
                      </wps:spPr>
                      <wps:txbx>
                        <w:txbxContent>
                          <w:tbl>
                            <w:tblPr>
                              <w:tblStyle w:val="a6"/>
                              <w:tblW w:w="5103" w:type="dxa"/>
                              <w:tblLook w:val="04A0" w:firstRow="1" w:lastRow="0" w:firstColumn="1" w:lastColumn="0" w:noHBand="0" w:noVBand="1"/>
                            </w:tblPr>
                            <w:tblGrid>
                              <w:gridCol w:w="416"/>
                              <w:gridCol w:w="1427"/>
                              <w:gridCol w:w="992"/>
                              <w:gridCol w:w="759"/>
                              <w:gridCol w:w="709"/>
                              <w:gridCol w:w="800"/>
                            </w:tblGrid>
                            <w:tr w:rsidR="00F1456A" w:rsidRPr="006036F3" w14:paraId="70F9E943" w14:textId="77777777" w:rsidTr="0056458B">
                              <w:trPr>
                                <w:trHeight w:val="300"/>
                              </w:trPr>
                              <w:tc>
                                <w:tcPr>
                                  <w:tcW w:w="5103" w:type="dxa"/>
                                  <w:gridSpan w:val="6"/>
                                  <w:tcBorders>
                                    <w:top w:val="nil"/>
                                    <w:left w:val="nil"/>
                                    <w:bottom w:val="nil"/>
                                    <w:right w:val="nil"/>
                                  </w:tcBorders>
                                </w:tcPr>
                                <w:p w14:paraId="7D6A4585" w14:textId="738A63F3" w:rsidR="00F1456A" w:rsidRPr="00F628C2" w:rsidRDefault="00F1456A" w:rsidP="007257C2">
                                  <w:pPr>
                                    <w:pStyle w:val="a4"/>
                                    <w:spacing w:line="360" w:lineRule="exact"/>
                                    <w:ind w:leftChars="0" w:left="0"/>
                                    <w:jc w:val="center"/>
                                    <w:rPr>
                                      <w:rFonts w:ascii="標楷體" w:eastAsia="標楷體" w:hAnsi="標楷體"/>
                                      <w:b/>
                                      <w:sz w:val="24"/>
                                    </w:rPr>
                                  </w:pPr>
                                  <w:r w:rsidRPr="00F628C2">
                                    <w:rPr>
                                      <w:rFonts w:ascii="標楷體" w:eastAsia="標楷體" w:hAnsi="標楷體" w:hint="eastAsia"/>
                                      <w:b/>
                                      <w:sz w:val="24"/>
                                    </w:rPr>
                                    <w:t>表</w:t>
                                  </w:r>
                                  <w:r>
                                    <w:rPr>
                                      <w:rFonts w:ascii="標楷體" w:eastAsia="標楷體" w:hAnsi="標楷體" w:hint="eastAsia"/>
                                      <w:b/>
                                      <w:sz w:val="24"/>
                                    </w:rPr>
                                    <w:t>7</w:t>
                                  </w:r>
                                  <w:r w:rsidR="005D009F">
                                    <w:rPr>
                                      <w:rFonts w:ascii="標楷體" w:eastAsia="標楷體" w:hAnsi="標楷體" w:hint="eastAsia"/>
                                      <w:b/>
                                      <w:sz w:val="24"/>
                                    </w:rPr>
                                    <w:t xml:space="preserve">　</w:t>
                                  </w:r>
                                  <w:r w:rsidRPr="00F628C2">
                                    <w:rPr>
                                      <w:rFonts w:ascii="標楷體" w:eastAsia="標楷體" w:hAnsi="標楷體" w:hint="eastAsia"/>
                                      <w:b/>
                                      <w:sz w:val="24"/>
                                    </w:rPr>
                                    <w:t>消防局通報火災違建案件辦理情形</w:t>
                                  </w:r>
                                </w:p>
                              </w:tc>
                            </w:tr>
                            <w:tr w:rsidR="00F1456A" w:rsidRPr="006036F3" w14:paraId="69534396" w14:textId="77777777" w:rsidTr="0056458B">
                              <w:trPr>
                                <w:trHeight w:val="191"/>
                              </w:trPr>
                              <w:tc>
                                <w:tcPr>
                                  <w:tcW w:w="5103" w:type="dxa"/>
                                  <w:gridSpan w:val="6"/>
                                  <w:tcBorders>
                                    <w:top w:val="nil"/>
                                    <w:left w:val="nil"/>
                                    <w:bottom w:val="single" w:sz="4" w:space="0" w:color="auto"/>
                                    <w:right w:val="nil"/>
                                  </w:tcBorders>
                                </w:tcPr>
                                <w:p w14:paraId="3E76A98C" w14:textId="77777777" w:rsidR="00F1456A" w:rsidRPr="006036F3" w:rsidRDefault="00F1456A" w:rsidP="0056458B">
                                  <w:pPr>
                                    <w:pStyle w:val="a4"/>
                                    <w:spacing w:line="0" w:lineRule="atLeast"/>
                                    <w:ind w:leftChars="0" w:left="0"/>
                                    <w:jc w:val="right"/>
                                    <w:rPr>
                                      <w:rFonts w:ascii="標楷體" w:eastAsia="標楷體" w:hAnsi="標楷體"/>
                                      <w:spacing w:val="-20"/>
                                      <w:szCs w:val="20"/>
                                    </w:rPr>
                                  </w:pPr>
                                  <w:r w:rsidRPr="006036F3">
                                    <w:rPr>
                                      <w:rFonts w:ascii="標楷體" w:eastAsia="標楷體" w:hAnsi="標楷體" w:hint="eastAsia"/>
                                      <w:szCs w:val="20"/>
                                    </w:rPr>
                                    <w:t>單位：件</w:t>
                                  </w:r>
                                </w:p>
                              </w:tc>
                            </w:tr>
                            <w:tr w:rsidR="00F1456A" w:rsidRPr="006036F3" w14:paraId="28872F1E" w14:textId="77777777" w:rsidTr="005D009F">
                              <w:trPr>
                                <w:trHeight w:val="303"/>
                              </w:trPr>
                              <w:tc>
                                <w:tcPr>
                                  <w:tcW w:w="1843" w:type="dxa"/>
                                  <w:gridSpan w:val="2"/>
                                  <w:tcBorders>
                                    <w:top w:val="single" w:sz="4" w:space="0" w:color="auto"/>
                                  </w:tcBorders>
                                  <w:vAlign w:val="center"/>
                                </w:tcPr>
                                <w:p w14:paraId="3A54C8A1" w14:textId="77777777" w:rsidR="00F1456A" w:rsidRPr="006036F3" w:rsidRDefault="00F1456A" w:rsidP="005D009F">
                                  <w:pPr>
                                    <w:pStyle w:val="a4"/>
                                    <w:spacing w:line="200" w:lineRule="exact"/>
                                    <w:ind w:leftChars="0" w:left="0"/>
                                    <w:jc w:val="center"/>
                                    <w:rPr>
                                      <w:rFonts w:ascii="標楷體" w:eastAsia="標楷體" w:hAnsi="標楷體"/>
                                      <w:spacing w:val="-20"/>
                                      <w:szCs w:val="20"/>
                                    </w:rPr>
                                  </w:pPr>
                                  <w:r w:rsidRPr="006036F3">
                                    <w:rPr>
                                      <w:rFonts w:ascii="標楷體" w:eastAsia="標楷體" w:hAnsi="標楷體" w:hint="eastAsia"/>
                                      <w:spacing w:val="-20"/>
                                      <w:szCs w:val="20"/>
                                    </w:rPr>
                                    <w:t>年度</w:t>
                                  </w:r>
                                </w:p>
                              </w:tc>
                              <w:tc>
                                <w:tcPr>
                                  <w:tcW w:w="992" w:type="dxa"/>
                                  <w:tcBorders>
                                    <w:top w:val="single" w:sz="4" w:space="0" w:color="auto"/>
                                  </w:tcBorders>
                                  <w:vAlign w:val="center"/>
                                </w:tcPr>
                                <w:p w14:paraId="61A19AFC" w14:textId="77777777" w:rsidR="00F1456A" w:rsidRPr="006036F3" w:rsidRDefault="00F1456A" w:rsidP="005D009F">
                                  <w:pPr>
                                    <w:pStyle w:val="a4"/>
                                    <w:spacing w:line="200" w:lineRule="exact"/>
                                    <w:ind w:leftChars="0" w:left="0"/>
                                    <w:jc w:val="center"/>
                                    <w:rPr>
                                      <w:rFonts w:ascii="標楷體" w:eastAsia="標楷體" w:hAnsi="標楷體"/>
                                      <w:spacing w:val="-20"/>
                                      <w:szCs w:val="20"/>
                                    </w:rPr>
                                  </w:pPr>
                                  <w:r>
                                    <w:rPr>
                                      <w:rFonts w:ascii="標楷體" w:eastAsia="標楷體" w:hAnsi="標楷體" w:hint="eastAsia"/>
                                      <w:spacing w:val="-20"/>
                                      <w:szCs w:val="20"/>
                                    </w:rPr>
                                    <w:t>合計</w:t>
                                  </w:r>
                                </w:p>
                              </w:tc>
                              <w:tc>
                                <w:tcPr>
                                  <w:tcW w:w="759" w:type="dxa"/>
                                  <w:tcBorders>
                                    <w:top w:val="single" w:sz="4" w:space="0" w:color="auto"/>
                                  </w:tcBorders>
                                  <w:vAlign w:val="center"/>
                                </w:tcPr>
                                <w:p w14:paraId="0FC38EDD" w14:textId="77777777" w:rsidR="00F1456A" w:rsidRPr="006036F3" w:rsidRDefault="00F1456A" w:rsidP="005D009F">
                                  <w:pPr>
                                    <w:pStyle w:val="a4"/>
                                    <w:spacing w:line="200" w:lineRule="exact"/>
                                    <w:ind w:leftChars="0" w:left="0"/>
                                    <w:jc w:val="center"/>
                                    <w:rPr>
                                      <w:rFonts w:ascii="標楷體" w:eastAsia="標楷體" w:hAnsi="標楷體"/>
                                      <w:spacing w:val="-20"/>
                                      <w:szCs w:val="20"/>
                                    </w:rPr>
                                  </w:pPr>
                                  <w:r w:rsidRPr="006036F3">
                                    <w:rPr>
                                      <w:rFonts w:ascii="標楷體" w:eastAsia="標楷體" w:hAnsi="標楷體" w:hint="eastAsia"/>
                                      <w:spacing w:val="-20"/>
                                      <w:szCs w:val="20"/>
                                    </w:rPr>
                                    <w:t>111</w:t>
                                  </w:r>
                                </w:p>
                              </w:tc>
                              <w:tc>
                                <w:tcPr>
                                  <w:tcW w:w="709" w:type="dxa"/>
                                  <w:tcBorders>
                                    <w:top w:val="single" w:sz="4" w:space="0" w:color="auto"/>
                                  </w:tcBorders>
                                  <w:vAlign w:val="center"/>
                                </w:tcPr>
                                <w:p w14:paraId="5C4C7B8A" w14:textId="77777777" w:rsidR="00F1456A" w:rsidRPr="006036F3" w:rsidRDefault="00F1456A" w:rsidP="005D009F">
                                  <w:pPr>
                                    <w:pStyle w:val="a4"/>
                                    <w:spacing w:line="200" w:lineRule="exact"/>
                                    <w:ind w:leftChars="0" w:left="0"/>
                                    <w:jc w:val="center"/>
                                    <w:rPr>
                                      <w:rFonts w:ascii="標楷體" w:eastAsia="標楷體" w:hAnsi="標楷體"/>
                                      <w:spacing w:val="-20"/>
                                      <w:szCs w:val="20"/>
                                    </w:rPr>
                                  </w:pPr>
                                  <w:r w:rsidRPr="006036F3">
                                    <w:rPr>
                                      <w:rFonts w:ascii="標楷體" w:eastAsia="標楷體" w:hAnsi="標楷體" w:hint="eastAsia"/>
                                      <w:spacing w:val="-20"/>
                                      <w:szCs w:val="20"/>
                                    </w:rPr>
                                    <w:t>1</w:t>
                                  </w:r>
                                  <w:r w:rsidRPr="006036F3">
                                    <w:rPr>
                                      <w:rFonts w:ascii="標楷體" w:eastAsia="標楷體" w:hAnsi="標楷體"/>
                                      <w:spacing w:val="-20"/>
                                      <w:szCs w:val="20"/>
                                    </w:rPr>
                                    <w:t>12</w:t>
                                  </w:r>
                                </w:p>
                              </w:tc>
                              <w:tc>
                                <w:tcPr>
                                  <w:tcW w:w="800" w:type="dxa"/>
                                  <w:tcBorders>
                                    <w:top w:val="single" w:sz="4" w:space="0" w:color="auto"/>
                                  </w:tcBorders>
                                  <w:vAlign w:val="center"/>
                                </w:tcPr>
                                <w:p w14:paraId="7D2C535E" w14:textId="77777777" w:rsidR="00F1456A" w:rsidRPr="006036F3" w:rsidRDefault="00F1456A" w:rsidP="005D009F">
                                  <w:pPr>
                                    <w:pStyle w:val="a4"/>
                                    <w:spacing w:line="200" w:lineRule="exact"/>
                                    <w:ind w:leftChars="0" w:left="0"/>
                                    <w:jc w:val="center"/>
                                    <w:rPr>
                                      <w:rFonts w:ascii="標楷體" w:eastAsia="標楷體" w:hAnsi="標楷體"/>
                                      <w:spacing w:val="-20"/>
                                      <w:szCs w:val="20"/>
                                    </w:rPr>
                                  </w:pPr>
                                  <w:r w:rsidRPr="006036F3">
                                    <w:rPr>
                                      <w:rFonts w:ascii="標楷體" w:eastAsia="標楷體" w:hAnsi="標楷體" w:hint="eastAsia"/>
                                      <w:spacing w:val="-20"/>
                                      <w:szCs w:val="20"/>
                                    </w:rPr>
                                    <w:t>11</w:t>
                                  </w:r>
                                  <w:r w:rsidRPr="006036F3">
                                    <w:rPr>
                                      <w:rFonts w:ascii="標楷體" w:eastAsia="標楷體" w:hAnsi="標楷體"/>
                                      <w:spacing w:val="-20"/>
                                      <w:szCs w:val="20"/>
                                    </w:rPr>
                                    <w:t>3</w:t>
                                  </w:r>
                                </w:p>
                              </w:tc>
                            </w:tr>
                            <w:tr w:rsidR="00F1456A" w:rsidRPr="006036F3" w14:paraId="09A2CB99" w14:textId="77777777" w:rsidTr="005D009F">
                              <w:trPr>
                                <w:trHeight w:val="340"/>
                              </w:trPr>
                              <w:tc>
                                <w:tcPr>
                                  <w:tcW w:w="1843" w:type="dxa"/>
                                  <w:gridSpan w:val="2"/>
                                  <w:vAlign w:val="center"/>
                                </w:tcPr>
                                <w:p w14:paraId="65275003" w14:textId="77777777" w:rsidR="00F1456A" w:rsidRPr="006036F3" w:rsidRDefault="00F1456A" w:rsidP="005D009F">
                                  <w:pPr>
                                    <w:pStyle w:val="a4"/>
                                    <w:spacing w:line="200" w:lineRule="exact"/>
                                    <w:ind w:leftChars="0" w:left="0"/>
                                    <w:jc w:val="center"/>
                                    <w:rPr>
                                      <w:rFonts w:ascii="標楷體" w:eastAsia="標楷體" w:hAnsi="標楷體"/>
                                      <w:szCs w:val="20"/>
                                    </w:rPr>
                                  </w:pPr>
                                  <w:r w:rsidRPr="006036F3">
                                    <w:rPr>
                                      <w:rFonts w:ascii="標楷體" w:eastAsia="標楷體" w:hAnsi="標楷體" w:hint="eastAsia"/>
                                      <w:szCs w:val="20"/>
                                    </w:rPr>
                                    <w:t>查報件數</w:t>
                                  </w:r>
                                </w:p>
                              </w:tc>
                              <w:tc>
                                <w:tcPr>
                                  <w:tcW w:w="992" w:type="dxa"/>
                                  <w:vAlign w:val="center"/>
                                </w:tcPr>
                                <w:p w14:paraId="3035732F" w14:textId="77777777" w:rsidR="00F1456A" w:rsidRPr="00324A48" w:rsidRDefault="00F1456A" w:rsidP="005D009F">
                                  <w:pPr>
                                    <w:pStyle w:val="a4"/>
                                    <w:spacing w:line="200" w:lineRule="exact"/>
                                    <w:ind w:leftChars="0" w:left="0"/>
                                    <w:jc w:val="right"/>
                                    <w:rPr>
                                      <w:rFonts w:ascii="標楷體" w:eastAsia="標楷體" w:hAnsi="標楷體"/>
                                      <w:b/>
                                      <w:bCs/>
                                      <w:szCs w:val="20"/>
                                    </w:rPr>
                                  </w:pPr>
                                  <w:r w:rsidRPr="00324A48">
                                    <w:rPr>
                                      <w:rFonts w:ascii="標楷體" w:eastAsia="標楷體" w:hAnsi="標楷體" w:hint="eastAsia"/>
                                      <w:b/>
                                      <w:bCs/>
                                      <w:szCs w:val="20"/>
                                    </w:rPr>
                                    <w:t>1</w:t>
                                  </w:r>
                                  <w:r w:rsidRPr="00324A48">
                                    <w:rPr>
                                      <w:rFonts w:ascii="標楷體" w:eastAsia="標楷體" w:hAnsi="標楷體"/>
                                      <w:b/>
                                      <w:bCs/>
                                      <w:szCs w:val="20"/>
                                    </w:rPr>
                                    <w:t>59</w:t>
                                  </w:r>
                                </w:p>
                              </w:tc>
                              <w:tc>
                                <w:tcPr>
                                  <w:tcW w:w="759" w:type="dxa"/>
                                  <w:vAlign w:val="center"/>
                                </w:tcPr>
                                <w:p w14:paraId="0D90A1BA"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6</w:t>
                                  </w:r>
                                  <w:r w:rsidRPr="006036F3">
                                    <w:rPr>
                                      <w:rFonts w:ascii="標楷體" w:eastAsia="標楷體" w:hAnsi="標楷體"/>
                                      <w:szCs w:val="20"/>
                                    </w:rPr>
                                    <w:t>5</w:t>
                                  </w:r>
                                </w:p>
                              </w:tc>
                              <w:tc>
                                <w:tcPr>
                                  <w:tcW w:w="709" w:type="dxa"/>
                                  <w:vAlign w:val="center"/>
                                </w:tcPr>
                                <w:p w14:paraId="00991346"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6</w:t>
                                  </w:r>
                                  <w:r w:rsidRPr="006036F3">
                                    <w:rPr>
                                      <w:rFonts w:ascii="標楷體" w:eastAsia="標楷體" w:hAnsi="標楷體"/>
                                      <w:szCs w:val="20"/>
                                    </w:rPr>
                                    <w:t>5</w:t>
                                  </w:r>
                                </w:p>
                              </w:tc>
                              <w:tc>
                                <w:tcPr>
                                  <w:tcW w:w="800" w:type="dxa"/>
                                  <w:vAlign w:val="center"/>
                                </w:tcPr>
                                <w:p w14:paraId="0B850879"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2</w:t>
                                  </w:r>
                                  <w:r>
                                    <w:rPr>
                                      <w:rFonts w:ascii="標楷體" w:eastAsia="標楷體" w:hAnsi="標楷體"/>
                                      <w:szCs w:val="20"/>
                                    </w:rPr>
                                    <w:t>9</w:t>
                                  </w:r>
                                </w:p>
                              </w:tc>
                            </w:tr>
                            <w:tr w:rsidR="00F1456A" w:rsidRPr="006036F3" w14:paraId="17D65F19" w14:textId="77777777" w:rsidTr="005D009F">
                              <w:trPr>
                                <w:trHeight w:val="340"/>
                              </w:trPr>
                              <w:tc>
                                <w:tcPr>
                                  <w:tcW w:w="1843" w:type="dxa"/>
                                  <w:gridSpan w:val="2"/>
                                  <w:tcBorders>
                                    <w:bottom w:val="single" w:sz="4" w:space="0" w:color="auto"/>
                                  </w:tcBorders>
                                  <w:vAlign w:val="center"/>
                                </w:tcPr>
                                <w:p w14:paraId="4569700E" w14:textId="77777777" w:rsidR="00F1456A" w:rsidRPr="006036F3" w:rsidRDefault="00F1456A" w:rsidP="005D009F">
                                  <w:pPr>
                                    <w:pStyle w:val="a4"/>
                                    <w:spacing w:line="200" w:lineRule="exact"/>
                                    <w:ind w:leftChars="0" w:left="0"/>
                                    <w:jc w:val="center"/>
                                    <w:rPr>
                                      <w:rFonts w:ascii="標楷體" w:eastAsia="標楷體" w:hAnsi="標楷體"/>
                                      <w:szCs w:val="20"/>
                                    </w:rPr>
                                  </w:pPr>
                                  <w:r>
                                    <w:rPr>
                                      <w:rFonts w:ascii="標楷體" w:eastAsia="標楷體" w:hAnsi="標楷體" w:hint="eastAsia"/>
                                      <w:szCs w:val="20"/>
                                    </w:rPr>
                                    <w:t>處理完竣</w:t>
                                  </w:r>
                                </w:p>
                              </w:tc>
                              <w:tc>
                                <w:tcPr>
                                  <w:tcW w:w="992" w:type="dxa"/>
                                  <w:tcBorders>
                                    <w:bottom w:val="single" w:sz="4" w:space="0" w:color="auto"/>
                                  </w:tcBorders>
                                  <w:vAlign w:val="center"/>
                                </w:tcPr>
                                <w:p w14:paraId="78FCA582" w14:textId="77777777" w:rsidR="00F1456A" w:rsidRPr="00324A48" w:rsidRDefault="00F1456A" w:rsidP="005D009F">
                                  <w:pPr>
                                    <w:pStyle w:val="a4"/>
                                    <w:spacing w:line="200" w:lineRule="exact"/>
                                    <w:ind w:leftChars="0" w:left="0"/>
                                    <w:jc w:val="right"/>
                                    <w:rPr>
                                      <w:rFonts w:ascii="標楷體" w:eastAsia="標楷體" w:hAnsi="標楷體"/>
                                      <w:b/>
                                      <w:bCs/>
                                      <w:szCs w:val="20"/>
                                    </w:rPr>
                                  </w:pPr>
                                  <w:r w:rsidRPr="00324A48">
                                    <w:rPr>
                                      <w:rFonts w:ascii="標楷體" w:eastAsia="標楷體" w:hAnsi="標楷體" w:hint="eastAsia"/>
                                      <w:b/>
                                      <w:bCs/>
                                      <w:szCs w:val="20"/>
                                    </w:rPr>
                                    <w:t>1</w:t>
                                  </w:r>
                                  <w:r w:rsidRPr="00324A48">
                                    <w:rPr>
                                      <w:rFonts w:ascii="標楷體" w:eastAsia="標楷體" w:hAnsi="標楷體"/>
                                      <w:b/>
                                      <w:bCs/>
                                      <w:szCs w:val="20"/>
                                    </w:rPr>
                                    <w:t>05</w:t>
                                  </w:r>
                                </w:p>
                              </w:tc>
                              <w:tc>
                                <w:tcPr>
                                  <w:tcW w:w="759" w:type="dxa"/>
                                  <w:tcBorders>
                                    <w:bottom w:val="single" w:sz="4" w:space="0" w:color="auto"/>
                                  </w:tcBorders>
                                  <w:vAlign w:val="center"/>
                                </w:tcPr>
                                <w:p w14:paraId="0F665B46"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5</w:t>
                                  </w:r>
                                  <w:r>
                                    <w:rPr>
                                      <w:rFonts w:ascii="標楷體" w:eastAsia="標楷體" w:hAnsi="標楷體"/>
                                      <w:szCs w:val="20"/>
                                    </w:rPr>
                                    <w:t>7</w:t>
                                  </w:r>
                                </w:p>
                              </w:tc>
                              <w:tc>
                                <w:tcPr>
                                  <w:tcW w:w="709" w:type="dxa"/>
                                  <w:tcBorders>
                                    <w:bottom w:val="single" w:sz="4" w:space="0" w:color="auto"/>
                                  </w:tcBorders>
                                  <w:vAlign w:val="center"/>
                                </w:tcPr>
                                <w:p w14:paraId="64C84765"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4</w:t>
                                  </w:r>
                                  <w:r>
                                    <w:rPr>
                                      <w:rFonts w:ascii="標楷體" w:eastAsia="標楷體" w:hAnsi="標楷體"/>
                                      <w:szCs w:val="20"/>
                                    </w:rPr>
                                    <w:t>2</w:t>
                                  </w:r>
                                </w:p>
                              </w:tc>
                              <w:tc>
                                <w:tcPr>
                                  <w:tcW w:w="800" w:type="dxa"/>
                                  <w:tcBorders>
                                    <w:bottom w:val="single" w:sz="4" w:space="0" w:color="auto"/>
                                  </w:tcBorders>
                                  <w:vAlign w:val="center"/>
                                </w:tcPr>
                                <w:p w14:paraId="7267EC05"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6</w:t>
                                  </w:r>
                                </w:p>
                              </w:tc>
                            </w:tr>
                            <w:tr w:rsidR="00F1456A" w:rsidRPr="006036F3" w14:paraId="1BBFE8A8" w14:textId="77777777" w:rsidTr="005D009F">
                              <w:trPr>
                                <w:trHeight w:val="340"/>
                              </w:trPr>
                              <w:tc>
                                <w:tcPr>
                                  <w:tcW w:w="416" w:type="dxa"/>
                                  <w:vMerge w:val="restart"/>
                                  <w:vAlign w:val="center"/>
                                </w:tcPr>
                                <w:p w14:paraId="160B0F7C"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未結案</w:t>
                                  </w:r>
                                </w:p>
                              </w:tc>
                              <w:tc>
                                <w:tcPr>
                                  <w:tcW w:w="1427" w:type="dxa"/>
                                  <w:tcBorders>
                                    <w:bottom w:val="single" w:sz="4" w:space="0" w:color="auto"/>
                                  </w:tcBorders>
                                  <w:vAlign w:val="center"/>
                                </w:tcPr>
                                <w:p w14:paraId="415DD3E0" w14:textId="77777777" w:rsidR="00F1456A" w:rsidRPr="00602FD1" w:rsidRDefault="00F1456A" w:rsidP="005D009F">
                                  <w:pPr>
                                    <w:pStyle w:val="a4"/>
                                    <w:spacing w:line="200" w:lineRule="exact"/>
                                    <w:ind w:leftChars="0" w:left="0"/>
                                    <w:jc w:val="center"/>
                                    <w:rPr>
                                      <w:rFonts w:ascii="標楷體" w:eastAsia="標楷體" w:hAnsi="標楷體"/>
                                      <w:szCs w:val="20"/>
                                    </w:rPr>
                                  </w:pPr>
                                  <w:r>
                                    <w:rPr>
                                      <w:rFonts w:ascii="標楷體" w:eastAsia="標楷體" w:hAnsi="標楷體" w:hint="eastAsia"/>
                                      <w:szCs w:val="20"/>
                                    </w:rPr>
                                    <w:t>小計</w:t>
                                  </w:r>
                                </w:p>
                              </w:tc>
                              <w:tc>
                                <w:tcPr>
                                  <w:tcW w:w="992" w:type="dxa"/>
                                  <w:tcBorders>
                                    <w:bottom w:val="single" w:sz="4" w:space="0" w:color="auto"/>
                                  </w:tcBorders>
                                  <w:vAlign w:val="center"/>
                                </w:tcPr>
                                <w:p w14:paraId="47960B52" w14:textId="77777777" w:rsidR="00F1456A" w:rsidRPr="00324A48" w:rsidRDefault="00F1456A" w:rsidP="005D009F">
                                  <w:pPr>
                                    <w:pStyle w:val="a4"/>
                                    <w:spacing w:line="200" w:lineRule="exact"/>
                                    <w:ind w:leftChars="0" w:left="0"/>
                                    <w:jc w:val="right"/>
                                    <w:rPr>
                                      <w:rFonts w:ascii="標楷體" w:eastAsia="標楷體" w:hAnsi="標楷體"/>
                                      <w:b/>
                                      <w:bCs/>
                                      <w:szCs w:val="20"/>
                                    </w:rPr>
                                  </w:pPr>
                                  <w:r w:rsidRPr="00324A48">
                                    <w:rPr>
                                      <w:rFonts w:ascii="標楷體" w:eastAsia="標楷體" w:hAnsi="標楷體" w:hint="eastAsia"/>
                                      <w:b/>
                                      <w:bCs/>
                                      <w:szCs w:val="20"/>
                                    </w:rPr>
                                    <w:t>5</w:t>
                                  </w:r>
                                  <w:r w:rsidRPr="00324A48">
                                    <w:rPr>
                                      <w:rFonts w:ascii="標楷體" w:eastAsia="標楷體" w:hAnsi="標楷體"/>
                                      <w:b/>
                                      <w:bCs/>
                                      <w:szCs w:val="20"/>
                                    </w:rPr>
                                    <w:t>4</w:t>
                                  </w:r>
                                </w:p>
                              </w:tc>
                              <w:tc>
                                <w:tcPr>
                                  <w:tcW w:w="759" w:type="dxa"/>
                                  <w:tcBorders>
                                    <w:bottom w:val="single" w:sz="4" w:space="0" w:color="auto"/>
                                  </w:tcBorders>
                                  <w:vAlign w:val="center"/>
                                </w:tcPr>
                                <w:p w14:paraId="623D258C"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8</w:t>
                                  </w:r>
                                </w:p>
                              </w:tc>
                              <w:tc>
                                <w:tcPr>
                                  <w:tcW w:w="709" w:type="dxa"/>
                                  <w:tcBorders>
                                    <w:bottom w:val="single" w:sz="4" w:space="0" w:color="auto"/>
                                  </w:tcBorders>
                                  <w:vAlign w:val="center"/>
                                </w:tcPr>
                                <w:p w14:paraId="5ED6671D"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2</w:t>
                                  </w:r>
                                  <w:r>
                                    <w:rPr>
                                      <w:rFonts w:ascii="標楷體" w:eastAsia="標楷體" w:hAnsi="標楷體"/>
                                      <w:szCs w:val="20"/>
                                    </w:rPr>
                                    <w:t>3</w:t>
                                  </w:r>
                                </w:p>
                              </w:tc>
                              <w:tc>
                                <w:tcPr>
                                  <w:tcW w:w="800" w:type="dxa"/>
                                  <w:tcBorders>
                                    <w:bottom w:val="single" w:sz="4" w:space="0" w:color="auto"/>
                                  </w:tcBorders>
                                  <w:vAlign w:val="center"/>
                                </w:tcPr>
                                <w:p w14:paraId="623EBC05"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2</w:t>
                                  </w:r>
                                  <w:r>
                                    <w:rPr>
                                      <w:rFonts w:ascii="標楷體" w:eastAsia="標楷體" w:hAnsi="標楷體"/>
                                      <w:szCs w:val="20"/>
                                    </w:rPr>
                                    <w:t>3</w:t>
                                  </w:r>
                                </w:p>
                              </w:tc>
                            </w:tr>
                            <w:tr w:rsidR="00F1456A" w:rsidRPr="006036F3" w14:paraId="3D464B01" w14:textId="77777777" w:rsidTr="005D009F">
                              <w:trPr>
                                <w:trHeight w:val="340"/>
                              </w:trPr>
                              <w:tc>
                                <w:tcPr>
                                  <w:tcW w:w="416" w:type="dxa"/>
                                  <w:vMerge/>
                                  <w:vAlign w:val="center"/>
                                </w:tcPr>
                                <w:p w14:paraId="2C4D2A88" w14:textId="77777777" w:rsidR="00F1456A" w:rsidRPr="006036F3" w:rsidRDefault="00F1456A" w:rsidP="005D009F">
                                  <w:pPr>
                                    <w:pStyle w:val="a4"/>
                                    <w:spacing w:line="200" w:lineRule="exact"/>
                                    <w:ind w:leftChars="0" w:left="0"/>
                                    <w:jc w:val="center"/>
                                    <w:rPr>
                                      <w:rFonts w:ascii="標楷體" w:eastAsia="標楷體" w:hAnsi="標楷體"/>
                                      <w:szCs w:val="20"/>
                                    </w:rPr>
                                  </w:pPr>
                                </w:p>
                              </w:tc>
                              <w:tc>
                                <w:tcPr>
                                  <w:tcW w:w="1427" w:type="dxa"/>
                                  <w:tcBorders>
                                    <w:bottom w:val="single" w:sz="4" w:space="0" w:color="auto"/>
                                  </w:tcBorders>
                                  <w:vAlign w:val="center"/>
                                </w:tcPr>
                                <w:p w14:paraId="27657169" w14:textId="77777777" w:rsidR="00F1456A" w:rsidRPr="006036F3" w:rsidRDefault="00F1456A" w:rsidP="005D009F">
                                  <w:pPr>
                                    <w:pStyle w:val="a4"/>
                                    <w:spacing w:line="200" w:lineRule="exact"/>
                                    <w:ind w:leftChars="-20" w:left="-48" w:rightChars="-20" w:right="-48"/>
                                    <w:jc w:val="center"/>
                                    <w:rPr>
                                      <w:rFonts w:ascii="標楷體" w:eastAsia="標楷體" w:hAnsi="標楷體"/>
                                      <w:szCs w:val="20"/>
                                    </w:rPr>
                                  </w:pPr>
                                  <w:r w:rsidRPr="00602FD1">
                                    <w:rPr>
                                      <w:rFonts w:ascii="標楷體" w:eastAsia="標楷體" w:hAnsi="標楷體" w:hint="eastAsia"/>
                                      <w:szCs w:val="20"/>
                                    </w:rPr>
                                    <w:t>待</w:t>
                                  </w:r>
                                  <w:r>
                                    <w:rPr>
                                      <w:rFonts w:ascii="標楷體" w:eastAsia="標楷體" w:hAnsi="標楷體" w:hint="eastAsia"/>
                                      <w:szCs w:val="20"/>
                                    </w:rPr>
                                    <w:t>辦理</w:t>
                                  </w:r>
                                  <w:r w:rsidRPr="00602FD1">
                                    <w:rPr>
                                      <w:rFonts w:ascii="標楷體" w:eastAsia="標楷體" w:hAnsi="標楷體" w:hint="eastAsia"/>
                                      <w:szCs w:val="20"/>
                                    </w:rPr>
                                    <w:t>結案或爭議處理中</w:t>
                                  </w:r>
                                </w:p>
                              </w:tc>
                              <w:tc>
                                <w:tcPr>
                                  <w:tcW w:w="992" w:type="dxa"/>
                                  <w:tcBorders>
                                    <w:bottom w:val="single" w:sz="4" w:space="0" w:color="auto"/>
                                  </w:tcBorders>
                                  <w:vAlign w:val="center"/>
                                </w:tcPr>
                                <w:p w14:paraId="79BC7FFD" w14:textId="77777777" w:rsidR="00F1456A" w:rsidRPr="00324A48" w:rsidRDefault="00F1456A" w:rsidP="005D009F">
                                  <w:pPr>
                                    <w:pStyle w:val="a4"/>
                                    <w:spacing w:line="200" w:lineRule="exact"/>
                                    <w:ind w:leftChars="0" w:left="0"/>
                                    <w:jc w:val="right"/>
                                    <w:rPr>
                                      <w:rFonts w:ascii="標楷體" w:eastAsia="標楷體" w:hAnsi="標楷體"/>
                                      <w:b/>
                                      <w:bCs/>
                                      <w:szCs w:val="20"/>
                                    </w:rPr>
                                  </w:pPr>
                                  <w:r w:rsidRPr="00324A48">
                                    <w:rPr>
                                      <w:rFonts w:ascii="標楷體" w:eastAsia="標楷體" w:hAnsi="標楷體" w:hint="eastAsia"/>
                                      <w:b/>
                                      <w:bCs/>
                                      <w:szCs w:val="20"/>
                                    </w:rPr>
                                    <w:t>3</w:t>
                                  </w:r>
                                  <w:r w:rsidRPr="00324A48">
                                    <w:rPr>
                                      <w:rFonts w:ascii="標楷體" w:eastAsia="標楷體" w:hAnsi="標楷體"/>
                                      <w:b/>
                                      <w:bCs/>
                                      <w:szCs w:val="20"/>
                                    </w:rPr>
                                    <w:t>1</w:t>
                                  </w:r>
                                </w:p>
                              </w:tc>
                              <w:tc>
                                <w:tcPr>
                                  <w:tcW w:w="759" w:type="dxa"/>
                                  <w:tcBorders>
                                    <w:bottom w:val="single" w:sz="4" w:space="0" w:color="auto"/>
                                  </w:tcBorders>
                                  <w:vAlign w:val="center"/>
                                </w:tcPr>
                                <w:p w14:paraId="4F870B9D"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5</w:t>
                                  </w:r>
                                </w:p>
                              </w:tc>
                              <w:tc>
                                <w:tcPr>
                                  <w:tcW w:w="709" w:type="dxa"/>
                                  <w:tcBorders>
                                    <w:bottom w:val="single" w:sz="4" w:space="0" w:color="auto"/>
                                  </w:tcBorders>
                                  <w:vAlign w:val="center"/>
                                </w:tcPr>
                                <w:p w14:paraId="0AD565DF"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1</w:t>
                                  </w:r>
                                  <w:r>
                                    <w:rPr>
                                      <w:rFonts w:ascii="標楷體" w:eastAsia="標楷體" w:hAnsi="標楷體"/>
                                      <w:szCs w:val="20"/>
                                    </w:rPr>
                                    <w:t>6</w:t>
                                  </w:r>
                                </w:p>
                              </w:tc>
                              <w:tc>
                                <w:tcPr>
                                  <w:tcW w:w="800" w:type="dxa"/>
                                  <w:tcBorders>
                                    <w:bottom w:val="single" w:sz="4" w:space="0" w:color="auto"/>
                                  </w:tcBorders>
                                  <w:vAlign w:val="center"/>
                                </w:tcPr>
                                <w:p w14:paraId="37B1DBB4"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1</w:t>
                                  </w:r>
                                  <w:r>
                                    <w:rPr>
                                      <w:rFonts w:ascii="標楷體" w:eastAsia="標楷體" w:hAnsi="標楷體"/>
                                      <w:szCs w:val="20"/>
                                    </w:rPr>
                                    <w:t>0</w:t>
                                  </w:r>
                                </w:p>
                              </w:tc>
                            </w:tr>
                            <w:tr w:rsidR="00F1456A" w:rsidRPr="006036F3" w14:paraId="448B0B15" w14:textId="77777777" w:rsidTr="005D009F">
                              <w:trPr>
                                <w:trHeight w:val="340"/>
                              </w:trPr>
                              <w:tc>
                                <w:tcPr>
                                  <w:tcW w:w="416" w:type="dxa"/>
                                  <w:vMerge/>
                                  <w:tcBorders>
                                    <w:bottom w:val="single" w:sz="4" w:space="0" w:color="auto"/>
                                  </w:tcBorders>
                                  <w:vAlign w:val="center"/>
                                </w:tcPr>
                                <w:p w14:paraId="4CB82B32" w14:textId="77777777" w:rsidR="00F1456A" w:rsidRPr="006036F3" w:rsidRDefault="00F1456A" w:rsidP="005D009F">
                                  <w:pPr>
                                    <w:pStyle w:val="a4"/>
                                    <w:spacing w:line="200" w:lineRule="exact"/>
                                    <w:ind w:leftChars="0" w:left="0"/>
                                    <w:jc w:val="center"/>
                                    <w:rPr>
                                      <w:rFonts w:ascii="標楷體" w:eastAsia="標楷體" w:hAnsi="標楷體"/>
                                      <w:szCs w:val="20"/>
                                    </w:rPr>
                                  </w:pPr>
                                </w:p>
                              </w:tc>
                              <w:tc>
                                <w:tcPr>
                                  <w:tcW w:w="1427" w:type="dxa"/>
                                  <w:tcBorders>
                                    <w:bottom w:val="single" w:sz="4" w:space="0" w:color="auto"/>
                                  </w:tcBorders>
                                  <w:vAlign w:val="center"/>
                                </w:tcPr>
                                <w:p w14:paraId="505E0218" w14:textId="77777777" w:rsidR="00F1456A" w:rsidRPr="006036F3" w:rsidRDefault="00F1456A" w:rsidP="005D009F">
                                  <w:pPr>
                                    <w:pStyle w:val="a4"/>
                                    <w:spacing w:line="200" w:lineRule="exact"/>
                                    <w:ind w:leftChars="-20" w:left="-48" w:rightChars="-20" w:right="-48"/>
                                    <w:jc w:val="center"/>
                                    <w:rPr>
                                      <w:rFonts w:ascii="標楷體" w:eastAsia="標楷體" w:hAnsi="標楷體"/>
                                      <w:szCs w:val="20"/>
                                    </w:rPr>
                                  </w:pPr>
                                  <w:r>
                                    <w:rPr>
                                      <w:rFonts w:ascii="標楷體" w:eastAsia="標楷體" w:hAnsi="標楷體" w:hint="eastAsia"/>
                                      <w:szCs w:val="20"/>
                                    </w:rPr>
                                    <w:t>未依規定限期改善或拆除者</w:t>
                                  </w:r>
                                </w:p>
                              </w:tc>
                              <w:tc>
                                <w:tcPr>
                                  <w:tcW w:w="992" w:type="dxa"/>
                                  <w:tcBorders>
                                    <w:bottom w:val="single" w:sz="4" w:space="0" w:color="auto"/>
                                  </w:tcBorders>
                                  <w:vAlign w:val="center"/>
                                </w:tcPr>
                                <w:p w14:paraId="41831FE5" w14:textId="77777777" w:rsidR="00F1456A" w:rsidRPr="00324A48" w:rsidRDefault="00F1456A" w:rsidP="005D009F">
                                  <w:pPr>
                                    <w:pStyle w:val="a4"/>
                                    <w:spacing w:line="200" w:lineRule="exact"/>
                                    <w:ind w:leftChars="0" w:left="0"/>
                                    <w:jc w:val="right"/>
                                    <w:rPr>
                                      <w:rFonts w:ascii="標楷體" w:eastAsia="標楷體" w:hAnsi="標楷體"/>
                                      <w:b/>
                                      <w:bCs/>
                                      <w:szCs w:val="20"/>
                                    </w:rPr>
                                  </w:pPr>
                                  <w:r w:rsidRPr="00324A48">
                                    <w:rPr>
                                      <w:rFonts w:ascii="標楷體" w:eastAsia="標楷體" w:hAnsi="標楷體" w:hint="eastAsia"/>
                                      <w:b/>
                                      <w:bCs/>
                                      <w:szCs w:val="20"/>
                                    </w:rPr>
                                    <w:t>2</w:t>
                                  </w:r>
                                  <w:r w:rsidRPr="00324A48">
                                    <w:rPr>
                                      <w:rFonts w:ascii="標楷體" w:eastAsia="標楷體" w:hAnsi="標楷體"/>
                                      <w:b/>
                                      <w:bCs/>
                                      <w:szCs w:val="20"/>
                                    </w:rPr>
                                    <w:t>3</w:t>
                                  </w:r>
                                </w:p>
                              </w:tc>
                              <w:tc>
                                <w:tcPr>
                                  <w:tcW w:w="759" w:type="dxa"/>
                                  <w:tcBorders>
                                    <w:bottom w:val="single" w:sz="4" w:space="0" w:color="auto"/>
                                  </w:tcBorders>
                                  <w:vAlign w:val="center"/>
                                </w:tcPr>
                                <w:p w14:paraId="5E6B717A"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3</w:t>
                                  </w:r>
                                </w:p>
                              </w:tc>
                              <w:tc>
                                <w:tcPr>
                                  <w:tcW w:w="709" w:type="dxa"/>
                                  <w:tcBorders>
                                    <w:bottom w:val="single" w:sz="4" w:space="0" w:color="auto"/>
                                  </w:tcBorders>
                                  <w:vAlign w:val="center"/>
                                </w:tcPr>
                                <w:p w14:paraId="5AED34A1"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7</w:t>
                                  </w:r>
                                </w:p>
                              </w:tc>
                              <w:tc>
                                <w:tcPr>
                                  <w:tcW w:w="800" w:type="dxa"/>
                                  <w:tcBorders>
                                    <w:bottom w:val="single" w:sz="4" w:space="0" w:color="auto"/>
                                  </w:tcBorders>
                                  <w:vAlign w:val="center"/>
                                </w:tcPr>
                                <w:p w14:paraId="5908E020"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1</w:t>
                                  </w:r>
                                  <w:r>
                                    <w:rPr>
                                      <w:rFonts w:ascii="標楷體" w:eastAsia="標楷體" w:hAnsi="標楷體"/>
                                      <w:szCs w:val="20"/>
                                    </w:rPr>
                                    <w:t>3</w:t>
                                  </w:r>
                                </w:p>
                              </w:tc>
                            </w:tr>
                            <w:tr w:rsidR="00F1456A" w:rsidRPr="006036F3" w14:paraId="5599CE21" w14:textId="77777777" w:rsidTr="0056458B">
                              <w:trPr>
                                <w:trHeight w:val="516"/>
                              </w:trPr>
                              <w:tc>
                                <w:tcPr>
                                  <w:tcW w:w="5103" w:type="dxa"/>
                                  <w:gridSpan w:val="6"/>
                                  <w:tcBorders>
                                    <w:top w:val="single" w:sz="4" w:space="0" w:color="auto"/>
                                    <w:left w:val="nil"/>
                                    <w:bottom w:val="nil"/>
                                    <w:right w:val="nil"/>
                                  </w:tcBorders>
                                </w:tcPr>
                                <w:p w14:paraId="25350E34" w14:textId="77777777" w:rsidR="00F1456A" w:rsidRPr="0030453A" w:rsidRDefault="00F1456A" w:rsidP="0056458B">
                                  <w:pPr>
                                    <w:spacing w:line="0" w:lineRule="atLeas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30453A">
                                    <w:rPr>
                                      <w:rFonts w:ascii="標楷體" w:eastAsia="標楷體" w:hAnsi="標楷體" w:hint="eastAsia"/>
                                      <w:sz w:val="18"/>
                                      <w:szCs w:val="18"/>
                                    </w:rPr>
                                    <w:t>1.113年</w:t>
                                  </w:r>
                                  <w:r>
                                    <w:rPr>
                                      <w:rFonts w:ascii="標楷體" w:eastAsia="標楷體" w:hAnsi="標楷體" w:hint="eastAsia"/>
                                      <w:sz w:val="18"/>
                                      <w:szCs w:val="18"/>
                                    </w:rPr>
                                    <w:t>度統計至</w:t>
                                  </w:r>
                                  <w:r w:rsidRPr="0030453A">
                                    <w:rPr>
                                      <w:rFonts w:ascii="標楷體" w:eastAsia="標楷體" w:hAnsi="標楷體" w:hint="eastAsia"/>
                                      <w:sz w:val="18"/>
                                      <w:szCs w:val="18"/>
                                    </w:rPr>
                                    <w:t>10月</w:t>
                                  </w:r>
                                  <w:r>
                                    <w:rPr>
                                      <w:rFonts w:ascii="標楷體" w:eastAsia="標楷體" w:hAnsi="標楷體" w:hint="eastAsia"/>
                                      <w:sz w:val="18"/>
                                      <w:szCs w:val="18"/>
                                    </w:rPr>
                                    <w:t>1</w:t>
                                  </w:r>
                                  <w:r>
                                    <w:rPr>
                                      <w:rFonts w:ascii="標楷體" w:eastAsia="標楷體" w:hAnsi="標楷體"/>
                                      <w:sz w:val="18"/>
                                      <w:szCs w:val="18"/>
                                    </w:rPr>
                                    <w:t>5</w:t>
                                  </w:r>
                                  <w:r w:rsidRPr="0030453A">
                                    <w:rPr>
                                      <w:rFonts w:ascii="標楷體" w:eastAsia="標楷體" w:hAnsi="標楷體" w:hint="eastAsia"/>
                                      <w:sz w:val="18"/>
                                      <w:szCs w:val="18"/>
                                    </w:rPr>
                                    <w:t>日</w:t>
                                  </w:r>
                                  <w:r>
                                    <w:rPr>
                                      <w:rFonts w:ascii="標楷體" w:eastAsia="標楷體" w:hAnsi="標楷體" w:hint="eastAsia"/>
                                      <w:sz w:val="18"/>
                                      <w:szCs w:val="18"/>
                                    </w:rPr>
                                    <w:t>止</w:t>
                                  </w:r>
                                  <w:r w:rsidRPr="0030453A">
                                    <w:rPr>
                                      <w:rFonts w:ascii="標楷體" w:eastAsia="標楷體" w:hAnsi="標楷體" w:hint="eastAsia"/>
                                      <w:sz w:val="18"/>
                                      <w:szCs w:val="18"/>
                                    </w:rPr>
                                    <w:t>。</w:t>
                                  </w:r>
                                </w:p>
                                <w:p w14:paraId="7F6EB81B" w14:textId="77777777" w:rsidR="00F1456A" w:rsidRPr="00C00691" w:rsidRDefault="00F1456A" w:rsidP="0056458B">
                                  <w:pPr>
                                    <w:pStyle w:val="a4"/>
                                    <w:spacing w:line="0" w:lineRule="atLeast"/>
                                    <w:ind w:leftChars="0" w:left="0"/>
                                    <w:rPr>
                                      <w:rFonts w:ascii="標楷體" w:eastAsia="標楷體" w:hAnsi="標楷體"/>
                                      <w:sz w:val="18"/>
                                      <w:szCs w:val="18"/>
                                    </w:rPr>
                                  </w:pPr>
                                  <w:r>
                                    <w:rPr>
                                      <w:rFonts w:ascii="標楷體" w:eastAsia="標楷體" w:hAnsi="標楷體" w:hint="eastAsia"/>
                                      <w:sz w:val="18"/>
                                      <w:szCs w:val="18"/>
                                    </w:rPr>
                                    <w:t xml:space="preserve">    </w:t>
                                  </w:r>
                                  <w:r w:rsidRPr="0030453A">
                                    <w:rPr>
                                      <w:rFonts w:ascii="標楷體" w:eastAsia="標楷體" w:hAnsi="標楷體" w:hint="eastAsia"/>
                                      <w:sz w:val="18"/>
                                      <w:szCs w:val="18"/>
                                    </w:rPr>
                                    <w:t>2.資料來源：整理自</w:t>
                                  </w:r>
                                  <w:r>
                                    <w:rPr>
                                      <w:rFonts w:ascii="標楷體" w:eastAsia="標楷體" w:hAnsi="標楷體" w:hint="eastAsia"/>
                                      <w:sz w:val="18"/>
                                      <w:szCs w:val="18"/>
                                    </w:rPr>
                                    <w:t>建築管理工程</w:t>
                                  </w:r>
                                  <w:r w:rsidRPr="0030453A">
                                    <w:rPr>
                                      <w:rFonts w:ascii="標楷體" w:eastAsia="標楷體" w:hAnsi="標楷體" w:hint="eastAsia"/>
                                      <w:sz w:val="18"/>
                                      <w:szCs w:val="18"/>
                                    </w:rPr>
                                    <w:t>處提供資料。</w:t>
                                  </w:r>
                                </w:p>
                              </w:tc>
                            </w:tr>
                          </w:tbl>
                          <w:p w14:paraId="0885BE9A" w14:textId="77777777" w:rsidR="00F1456A" w:rsidRPr="00001A2E" w:rsidRDefault="00F1456A" w:rsidP="00F1456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57131C" id="_x0000_s1134" type="#_x0000_t202" style="position:absolute;left:0;text-align:left;margin-left:231.65pt;margin-top:128pt;width:265.5pt;height:174.75pt;z-index:251828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" stroked="f">
                <v:textbox>
                  <w:txbxContent>
                    <w:tbl>
                      <w:tblPr>
                        <w:tblStyle w:val="a6"/>
                        <w:tblW w:w="5103" w:type="dxa"/>
                        <w:tblLook w:val="04A0" w:firstRow="1" w:lastRow="0" w:firstColumn="1" w:lastColumn="0" w:noHBand="0" w:noVBand="1"/>
                      </w:tblPr>
                      <w:tblGrid>
                        <w:gridCol w:w="416"/>
                        <w:gridCol w:w="1427"/>
                        <w:gridCol w:w="992"/>
                        <w:gridCol w:w="759"/>
                        <w:gridCol w:w="709"/>
                        <w:gridCol w:w="800"/>
                      </w:tblGrid>
                      <w:tr w:rsidR="00F1456A" w:rsidRPr="006036F3" w14:paraId="70F9E943" w14:textId="77777777" w:rsidTr="0056458B">
                        <w:trPr>
                          <w:trHeight w:val="300"/>
                        </w:trPr>
                        <w:tc>
                          <w:tcPr>
                            <w:tcW w:w="5103" w:type="dxa"/>
                            <w:gridSpan w:val="6"/>
                            <w:tcBorders>
                              <w:top w:val="nil"/>
                              <w:left w:val="nil"/>
                              <w:bottom w:val="nil"/>
                              <w:right w:val="nil"/>
                            </w:tcBorders>
                          </w:tcPr>
                          <w:p w14:paraId="7D6A4585" w14:textId="738A63F3" w:rsidR="00F1456A" w:rsidRPr="00F628C2" w:rsidRDefault="00F1456A" w:rsidP="007257C2">
                            <w:pPr>
                              <w:pStyle w:val="a4"/>
                              <w:spacing w:line="360" w:lineRule="exact"/>
                              <w:ind w:leftChars="0" w:left="0"/>
                              <w:jc w:val="center"/>
                              <w:rPr>
                                <w:rFonts w:ascii="標楷體" w:eastAsia="標楷體" w:hAnsi="標楷體"/>
                                <w:b/>
                                <w:sz w:val="24"/>
                              </w:rPr>
                            </w:pPr>
                            <w:r w:rsidRPr="00F628C2">
                              <w:rPr>
                                <w:rFonts w:ascii="標楷體" w:eastAsia="標楷體" w:hAnsi="標楷體" w:hint="eastAsia"/>
                                <w:b/>
                                <w:sz w:val="24"/>
                              </w:rPr>
                              <w:t>表</w:t>
                            </w:r>
                            <w:r>
                              <w:rPr>
                                <w:rFonts w:ascii="標楷體" w:eastAsia="標楷體" w:hAnsi="標楷體" w:hint="eastAsia"/>
                                <w:b/>
                                <w:sz w:val="24"/>
                              </w:rPr>
                              <w:t>7</w:t>
                            </w:r>
                            <w:r w:rsidR="005D009F">
                              <w:rPr>
                                <w:rFonts w:ascii="標楷體" w:eastAsia="標楷體" w:hAnsi="標楷體" w:hint="eastAsia"/>
                                <w:b/>
                                <w:sz w:val="24"/>
                              </w:rPr>
                              <w:t xml:space="preserve">　</w:t>
                            </w:r>
                            <w:r w:rsidRPr="00F628C2">
                              <w:rPr>
                                <w:rFonts w:ascii="標楷體" w:eastAsia="標楷體" w:hAnsi="標楷體" w:hint="eastAsia"/>
                                <w:b/>
                                <w:sz w:val="24"/>
                              </w:rPr>
                              <w:t>消防局通報火災違建案件辦理情形</w:t>
                            </w:r>
                          </w:p>
                        </w:tc>
                      </w:tr>
                      <w:tr w:rsidR="00F1456A" w:rsidRPr="006036F3" w14:paraId="69534396" w14:textId="77777777" w:rsidTr="0056458B">
                        <w:trPr>
                          <w:trHeight w:val="191"/>
                        </w:trPr>
                        <w:tc>
                          <w:tcPr>
                            <w:tcW w:w="5103" w:type="dxa"/>
                            <w:gridSpan w:val="6"/>
                            <w:tcBorders>
                              <w:top w:val="nil"/>
                              <w:left w:val="nil"/>
                              <w:bottom w:val="single" w:sz="4" w:space="0" w:color="auto"/>
                              <w:right w:val="nil"/>
                            </w:tcBorders>
                          </w:tcPr>
                          <w:p w14:paraId="3E76A98C" w14:textId="77777777" w:rsidR="00F1456A" w:rsidRPr="006036F3" w:rsidRDefault="00F1456A" w:rsidP="0056458B">
                            <w:pPr>
                              <w:pStyle w:val="a4"/>
                              <w:spacing w:line="0" w:lineRule="atLeast"/>
                              <w:ind w:leftChars="0" w:left="0"/>
                              <w:jc w:val="right"/>
                              <w:rPr>
                                <w:rFonts w:ascii="標楷體" w:eastAsia="標楷體" w:hAnsi="標楷體"/>
                                <w:spacing w:val="-20"/>
                                <w:szCs w:val="20"/>
                              </w:rPr>
                            </w:pPr>
                            <w:r w:rsidRPr="006036F3">
                              <w:rPr>
                                <w:rFonts w:ascii="標楷體" w:eastAsia="標楷體" w:hAnsi="標楷體" w:hint="eastAsia"/>
                                <w:szCs w:val="20"/>
                              </w:rPr>
                              <w:t>單位：件</w:t>
                            </w:r>
                          </w:p>
                        </w:tc>
                      </w:tr>
                      <w:tr w:rsidR="00F1456A" w:rsidRPr="006036F3" w14:paraId="28872F1E" w14:textId="77777777" w:rsidTr="005D009F">
                        <w:trPr>
                          <w:trHeight w:val="303"/>
                        </w:trPr>
                        <w:tc>
                          <w:tcPr>
                            <w:tcW w:w="1843" w:type="dxa"/>
                            <w:gridSpan w:val="2"/>
                            <w:tcBorders>
                              <w:top w:val="single" w:sz="4" w:space="0" w:color="auto"/>
                            </w:tcBorders>
                            <w:vAlign w:val="center"/>
                          </w:tcPr>
                          <w:p w14:paraId="3A54C8A1" w14:textId="77777777" w:rsidR="00F1456A" w:rsidRPr="006036F3" w:rsidRDefault="00F1456A" w:rsidP="005D009F">
                            <w:pPr>
                              <w:pStyle w:val="a4"/>
                              <w:spacing w:line="200" w:lineRule="exact"/>
                              <w:ind w:leftChars="0" w:left="0"/>
                              <w:jc w:val="center"/>
                              <w:rPr>
                                <w:rFonts w:ascii="標楷體" w:eastAsia="標楷體" w:hAnsi="標楷體"/>
                                <w:spacing w:val="-20"/>
                                <w:szCs w:val="20"/>
                              </w:rPr>
                            </w:pPr>
                            <w:r w:rsidRPr="006036F3">
                              <w:rPr>
                                <w:rFonts w:ascii="標楷體" w:eastAsia="標楷體" w:hAnsi="標楷體" w:hint="eastAsia"/>
                                <w:spacing w:val="-20"/>
                                <w:szCs w:val="20"/>
                              </w:rPr>
                              <w:t>年度</w:t>
                            </w:r>
                          </w:p>
                        </w:tc>
                        <w:tc>
                          <w:tcPr>
                            <w:tcW w:w="992" w:type="dxa"/>
                            <w:tcBorders>
                              <w:top w:val="single" w:sz="4" w:space="0" w:color="auto"/>
                            </w:tcBorders>
                            <w:vAlign w:val="center"/>
                          </w:tcPr>
                          <w:p w14:paraId="61A19AFC" w14:textId="77777777" w:rsidR="00F1456A" w:rsidRPr="006036F3" w:rsidRDefault="00F1456A" w:rsidP="005D009F">
                            <w:pPr>
                              <w:pStyle w:val="a4"/>
                              <w:spacing w:line="200" w:lineRule="exact"/>
                              <w:ind w:leftChars="0" w:left="0"/>
                              <w:jc w:val="center"/>
                              <w:rPr>
                                <w:rFonts w:ascii="標楷體" w:eastAsia="標楷體" w:hAnsi="標楷體"/>
                                <w:spacing w:val="-20"/>
                                <w:szCs w:val="20"/>
                              </w:rPr>
                            </w:pPr>
                            <w:r>
                              <w:rPr>
                                <w:rFonts w:ascii="標楷體" w:eastAsia="標楷體" w:hAnsi="標楷體" w:hint="eastAsia"/>
                                <w:spacing w:val="-20"/>
                                <w:szCs w:val="20"/>
                              </w:rPr>
                              <w:t>合計</w:t>
                            </w:r>
                          </w:p>
                        </w:tc>
                        <w:tc>
                          <w:tcPr>
                            <w:tcW w:w="759" w:type="dxa"/>
                            <w:tcBorders>
                              <w:top w:val="single" w:sz="4" w:space="0" w:color="auto"/>
                            </w:tcBorders>
                            <w:vAlign w:val="center"/>
                          </w:tcPr>
                          <w:p w14:paraId="0FC38EDD" w14:textId="77777777" w:rsidR="00F1456A" w:rsidRPr="006036F3" w:rsidRDefault="00F1456A" w:rsidP="005D009F">
                            <w:pPr>
                              <w:pStyle w:val="a4"/>
                              <w:spacing w:line="200" w:lineRule="exact"/>
                              <w:ind w:leftChars="0" w:left="0"/>
                              <w:jc w:val="center"/>
                              <w:rPr>
                                <w:rFonts w:ascii="標楷體" w:eastAsia="標楷體" w:hAnsi="標楷體"/>
                                <w:spacing w:val="-20"/>
                                <w:szCs w:val="20"/>
                              </w:rPr>
                            </w:pPr>
                            <w:r w:rsidRPr="006036F3">
                              <w:rPr>
                                <w:rFonts w:ascii="標楷體" w:eastAsia="標楷體" w:hAnsi="標楷體" w:hint="eastAsia"/>
                                <w:spacing w:val="-20"/>
                                <w:szCs w:val="20"/>
                              </w:rPr>
                              <w:t>111</w:t>
                            </w:r>
                          </w:p>
                        </w:tc>
                        <w:tc>
                          <w:tcPr>
                            <w:tcW w:w="709" w:type="dxa"/>
                            <w:tcBorders>
                              <w:top w:val="single" w:sz="4" w:space="0" w:color="auto"/>
                            </w:tcBorders>
                            <w:vAlign w:val="center"/>
                          </w:tcPr>
                          <w:p w14:paraId="5C4C7B8A" w14:textId="77777777" w:rsidR="00F1456A" w:rsidRPr="006036F3" w:rsidRDefault="00F1456A" w:rsidP="005D009F">
                            <w:pPr>
                              <w:pStyle w:val="a4"/>
                              <w:spacing w:line="200" w:lineRule="exact"/>
                              <w:ind w:leftChars="0" w:left="0"/>
                              <w:jc w:val="center"/>
                              <w:rPr>
                                <w:rFonts w:ascii="標楷體" w:eastAsia="標楷體" w:hAnsi="標楷體"/>
                                <w:spacing w:val="-20"/>
                                <w:szCs w:val="20"/>
                              </w:rPr>
                            </w:pPr>
                            <w:r w:rsidRPr="006036F3">
                              <w:rPr>
                                <w:rFonts w:ascii="標楷體" w:eastAsia="標楷體" w:hAnsi="標楷體" w:hint="eastAsia"/>
                                <w:spacing w:val="-20"/>
                                <w:szCs w:val="20"/>
                              </w:rPr>
                              <w:t>1</w:t>
                            </w:r>
                            <w:r w:rsidRPr="006036F3">
                              <w:rPr>
                                <w:rFonts w:ascii="標楷體" w:eastAsia="標楷體" w:hAnsi="標楷體"/>
                                <w:spacing w:val="-20"/>
                                <w:szCs w:val="20"/>
                              </w:rPr>
                              <w:t>12</w:t>
                            </w:r>
                          </w:p>
                        </w:tc>
                        <w:tc>
                          <w:tcPr>
                            <w:tcW w:w="800" w:type="dxa"/>
                            <w:tcBorders>
                              <w:top w:val="single" w:sz="4" w:space="0" w:color="auto"/>
                            </w:tcBorders>
                            <w:vAlign w:val="center"/>
                          </w:tcPr>
                          <w:p w14:paraId="7D2C535E" w14:textId="77777777" w:rsidR="00F1456A" w:rsidRPr="006036F3" w:rsidRDefault="00F1456A" w:rsidP="005D009F">
                            <w:pPr>
                              <w:pStyle w:val="a4"/>
                              <w:spacing w:line="200" w:lineRule="exact"/>
                              <w:ind w:leftChars="0" w:left="0"/>
                              <w:jc w:val="center"/>
                              <w:rPr>
                                <w:rFonts w:ascii="標楷體" w:eastAsia="標楷體" w:hAnsi="標楷體"/>
                                <w:spacing w:val="-20"/>
                                <w:szCs w:val="20"/>
                              </w:rPr>
                            </w:pPr>
                            <w:r w:rsidRPr="006036F3">
                              <w:rPr>
                                <w:rFonts w:ascii="標楷體" w:eastAsia="標楷體" w:hAnsi="標楷體" w:hint="eastAsia"/>
                                <w:spacing w:val="-20"/>
                                <w:szCs w:val="20"/>
                              </w:rPr>
                              <w:t>11</w:t>
                            </w:r>
                            <w:r w:rsidRPr="006036F3">
                              <w:rPr>
                                <w:rFonts w:ascii="標楷體" w:eastAsia="標楷體" w:hAnsi="標楷體"/>
                                <w:spacing w:val="-20"/>
                                <w:szCs w:val="20"/>
                              </w:rPr>
                              <w:t>3</w:t>
                            </w:r>
                          </w:p>
                        </w:tc>
                      </w:tr>
                      <w:tr w:rsidR="00F1456A" w:rsidRPr="006036F3" w14:paraId="09A2CB99" w14:textId="77777777" w:rsidTr="005D009F">
                        <w:trPr>
                          <w:trHeight w:val="340"/>
                        </w:trPr>
                        <w:tc>
                          <w:tcPr>
                            <w:tcW w:w="1843" w:type="dxa"/>
                            <w:gridSpan w:val="2"/>
                            <w:vAlign w:val="center"/>
                          </w:tcPr>
                          <w:p w14:paraId="65275003" w14:textId="77777777" w:rsidR="00F1456A" w:rsidRPr="006036F3" w:rsidRDefault="00F1456A" w:rsidP="005D009F">
                            <w:pPr>
                              <w:pStyle w:val="a4"/>
                              <w:spacing w:line="200" w:lineRule="exact"/>
                              <w:ind w:leftChars="0" w:left="0"/>
                              <w:jc w:val="center"/>
                              <w:rPr>
                                <w:rFonts w:ascii="標楷體" w:eastAsia="標楷體" w:hAnsi="標楷體"/>
                                <w:szCs w:val="20"/>
                              </w:rPr>
                            </w:pPr>
                            <w:r w:rsidRPr="006036F3">
                              <w:rPr>
                                <w:rFonts w:ascii="標楷體" w:eastAsia="標楷體" w:hAnsi="標楷體" w:hint="eastAsia"/>
                                <w:szCs w:val="20"/>
                              </w:rPr>
                              <w:t>查報件數</w:t>
                            </w:r>
                          </w:p>
                        </w:tc>
                        <w:tc>
                          <w:tcPr>
                            <w:tcW w:w="992" w:type="dxa"/>
                            <w:vAlign w:val="center"/>
                          </w:tcPr>
                          <w:p w14:paraId="3035732F" w14:textId="77777777" w:rsidR="00F1456A" w:rsidRPr="00324A48" w:rsidRDefault="00F1456A" w:rsidP="005D009F">
                            <w:pPr>
                              <w:pStyle w:val="a4"/>
                              <w:spacing w:line="200" w:lineRule="exact"/>
                              <w:ind w:leftChars="0" w:left="0"/>
                              <w:jc w:val="right"/>
                              <w:rPr>
                                <w:rFonts w:ascii="標楷體" w:eastAsia="標楷體" w:hAnsi="標楷體"/>
                                <w:b/>
                                <w:bCs/>
                                <w:szCs w:val="20"/>
                              </w:rPr>
                            </w:pPr>
                            <w:r w:rsidRPr="00324A48">
                              <w:rPr>
                                <w:rFonts w:ascii="標楷體" w:eastAsia="標楷體" w:hAnsi="標楷體" w:hint="eastAsia"/>
                                <w:b/>
                                <w:bCs/>
                                <w:szCs w:val="20"/>
                              </w:rPr>
                              <w:t>1</w:t>
                            </w:r>
                            <w:r w:rsidRPr="00324A48">
                              <w:rPr>
                                <w:rFonts w:ascii="標楷體" w:eastAsia="標楷體" w:hAnsi="標楷體"/>
                                <w:b/>
                                <w:bCs/>
                                <w:szCs w:val="20"/>
                              </w:rPr>
                              <w:t>59</w:t>
                            </w:r>
                          </w:p>
                        </w:tc>
                        <w:tc>
                          <w:tcPr>
                            <w:tcW w:w="759" w:type="dxa"/>
                            <w:vAlign w:val="center"/>
                          </w:tcPr>
                          <w:p w14:paraId="0D90A1BA"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6</w:t>
                            </w:r>
                            <w:r w:rsidRPr="006036F3">
                              <w:rPr>
                                <w:rFonts w:ascii="標楷體" w:eastAsia="標楷體" w:hAnsi="標楷體"/>
                                <w:szCs w:val="20"/>
                              </w:rPr>
                              <w:t>5</w:t>
                            </w:r>
                          </w:p>
                        </w:tc>
                        <w:tc>
                          <w:tcPr>
                            <w:tcW w:w="709" w:type="dxa"/>
                            <w:vAlign w:val="center"/>
                          </w:tcPr>
                          <w:p w14:paraId="00991346"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6</w:t>
                            </w:r>
                            <w:r w:rsidRPr="006036F3">
                              <w:rPr>
                                <w:rFonts w:ascii="標楷體" w:eastAsia="標楷體" w:hAnsi="標楷體"/>
                                <w:szCs w:val="20"/>
                              </w:rPr>
                              <w:t>5</w:t>
                            </w:r>
                          </w:p>
                        </w:tc>
                        <w:tc>
                          <w:tcPr>
                            <w:tcW w:w="800" w:type="dxa"/>
                            <w:vAlign w:val="center"/>
                          </w:tcPr>
                          <w:p w14:paraId="0B850879"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2</w:t>
                            </w:r>
                            <w:r>
                              <w:rPr>
                                <w:rFonts w:ascii="標楷體" w:eastAsia="標楷體" w:hAnsi="標楷體"/>
                                <w:szCs w:val="20"/>
                              </w:rPr>
                              <w:t>9</w:t>
                            </w:r>
                          </w:p>
                        </w:tc>
                      </w:tr>
                      <w:tr w:rsidR="00F1456A" w:rsidRPr="006036F3" w14:paraId="17D65F19" w14:textId="77777777" w:rsidTr="005D009F">
                        <w:trPr>
                          <w:trHeight w:val="340"/>
                        </w:trPr>
                        <w:tc>
                          <w:tcPr>
                            <w:tcW w:w="1843" w:type="dxa"/>
                            <w:gridSpan w:val="2"/>
                            <w:tcBorders>
                              <w:bottom w:val="single" w:sz="4" w:space="0" w:color="auto"/>
                            </w:tcBorders>
                            <w:vAlign w:val="center"/>
                          </w:tcPr>
                          <w:p w14:paraId="4569700E" w14:textId="77777777" w:rsidR="00F1456A" w:rsidRPr="006036F3" w:rsidRDefault="00F1456A" w:rsidP="005D009F">
                            <w:pPr>
                              <w:pStyle w:val="a4"/>
                              <w:spacing w:line="200" w:lineRule="exact"/>
                              <w:ind w:leftChars="0" w:left="0"/>
                              <w:jc w:val="center"/>
                              <w:rPr>
                                <w:rFonts w:ascii="標楷體" w:eastAsia="標楷體" w:hAnsi="標楷體"/>
                                <w:szCs w:val="20"/>
                              </w:rPr>
                            </w:pPr>
                            <w:r>
                              <w:rPr>
                                <w:rFonts w:ascii="標楷體" w:eastAsia="標楷體" w:hAnsi="標楷體" w:hint="eastAsia"/>
                                <w:szCs w:val="20"/>
                              </w:rPr>
                              <w:t>處理完竣</w:t>
                            </w:r>
                          </w:p>
                        </w:tc>
                        <w:tc>
                          <w:tcPr>
                            <w:tcW w:w="992" w:type="dxa"/>
                            <w:tcBorders>
                              <w:bottom w:val="single" w:sz="4" w:space="0" w:color="auto"/>
                            </w:tcBorders>
                            <w:vAlign w:val="center"/>
                          </w:tcPr>
                          <w:p w14:paraId="78FCA582" w14:textId="77777777" w:rsidR="00F1456A" w:rsidRPr="00324A48" w:rsidRDefault="00F1456A" w:rsidP="005D009F">
                            <w:pPr>
                              <w:pStyle w:val="a4"/>
                              <w:spacing w:line="200" w:lineRule="exact"/>
                              <w:ind w:leftChars="0" w:left="0"/>
                              <w:jc w:val="right"/>
                              <w:rPr>
                                <w:rFonts w:ascii="標楷體" w:eastAsia="標楷體" w:hAnsi="標楷體"/>
                                <w:b/>
                                <w:bCs/>
                                <w:szCs w:val="20"/>
                              </w:rPr>
                            </w:pPr>
                            <w:r w:rsidRPr="00324A48">
                              <w:rPr>
                                <w:rFonts w:ascii="標楷體" w:eastAsia="標楷體" w:hAnsi="標楷體" w:hint="eastAsia"/>
                                <w:b/>
                                <w:bCs/>
                                <w:szCs w:val="20"/>
                              </w:rPr>
                              <w:t>1</w:t>
                            </w:r>
                            <w:r w:rsidRPr="00324A48">
                              <w:rPr>
                                <w:rFonts w:ascii="標楷體" w:eastAsia="標楷體" w:hAnsi="標楷體"/>
                                <w:b/>
                                <w:bCs/>
                                <w:szCs w:val="20"/>
                              </w:rPr>
                              <w:t>05</w:t>
                            </w:r>
                          </w:p>
                        </w:tc>
                        <w:tc>
                          <w:tcPr>
                            <w:tcW w:w="759" w:type="dxa"/>
                            <w:tcBorders>
                              <w:bottom w:val="single" w:sz="4" w:space="0" w:color="auto"/>
                            </w:tcBorders>
                            <w:vAlign w:val="center"/>
                          </w:tcPr>
                          <w:p w14:paraId="0F665B46"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5</w:t>
                            </w:r>
                            <w:r>
                              <w:rPr>
                                <w:rFonts w:ascii="標楷體" w:eastAsia="標楷體" w:hAnsi="標楷體"/>
                                <w:szCs w:val="20"/>
                              </w:rPr>
                              <w:t>7</w:t>
                            </w:r>
                          </w:p>
                        </w:tc>
                        <w:tc>
                          <w:tcPr>
                            <w:tcW w:w="709" w:type="dxa"/>
                            <w:tcBorders>
                              <w:bottom w:val="single" w:sz="4" w:space="0" w:color="auto"/>
                            </w:tcBorders>
                            <w:vAlign w:val="center"/>
                          </w:tcPr>
                          <w:p w14:paraId="64C84765"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4</w:t>
                            </w:r>
                            <w:r>
                              <w:rPr>
                                <w:rFonts w:ascii="標楷體" w:eastAsia="標楷體" w:hAnsi="標楷體"/>
                                <w:szCs w:val="20"/>
                              </w:rPr>
                              <w:t>2</w:t>
                            </w:r>
                          </w:p>
                        </w:tc>
                        <w:tc>
                          <w:tcPr>
                            <w:tcW w:w="800" w:type="dxa"/>
                            <w:tcBorders>
                              <w:bottom w:val="single" w:sz="4" w:space="0" w:color="auto"/>
                            </w:tcBorders>
                            <w:vAlign w:val="center"/>
                          </w:tcPr>
                          <w:p w14:paraId="7267EC05"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6</w:t>
                            </w:r>
                          </w:p>
                        </w:tc>
                      </w:tr>
                      <w:tr w:rsidR="00F1456A" w:rsidRPr="006036F3" w14:paraId="1BBFE8A8" w14:textId="77777777" w:rsidTr="005D009F">
                        <w:trPr>
                          <w:trHeight w:val="340"/>
                        </w:trPr>
                        <w:tc>
                          <w:tcPr>
                            <w:tcW w:w="416" w:type="dxa"/>
                            <w:vMerge w:val="restart"/>
                            <w:vAlign w:val="center"/>
                          </w:tcPr>
                          <w:p w14:paraId="160B0F7C"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未結案</w:t>
                            </w:r>
                          </w:p>
                        </w:tc>
                        <w:tc>
                          <w:tcPr>
                            <w:tcW w:w="1427" w:type="dxa"/>
                            <w:tcBorders>
                              <w:bottom w:val="single" w:sz="4" w:space="0" w:color="auto"/>
                            </w:tcBorders>
                            <w:vAlign w:val="center"/>
                          </w:tcPr>
                          <w:p w14:paraId="415DD3E0" w14:textId="77777777" w:rsidR="00F1456A" w:rsidRPr="00602FD1" w:rsidRDefault="00F1456A" w:rsidP="005D009F">
                            <w:pPr>
                              <w:pStyle w:val="a4"/>
                              <w:spacing w:line="200" w:lineRule="exact"/>
                              <w:ind w:leftChars="0" w:left="0"/>
                              <w:jc w:val="center"/>
                              <w:rPr>
                                <w:rFonts w:ascii="標楷體" w:eastAsia="標楷體" w:hAnsi="標楷體"/>
                                <w:szCs w:val="20"/>
                              </w:rPr>
                            </w:pPr>
                            <w:r>
                              <w:rPr>
                                <w:rFonts w:ascii="標楷體" w:eastAsia="標楷體" w:hAnsi="標楷體" w:hint="eastAsia"/>
                                <w:szCs w:val="20"/>
                              </w:rPr>
                              <w:t>小計</w:t>
                            </w:r>
                          </w:p>
                        </w:tc>
                        <w:tc>
                          <w:tcPr>
                            <w:tcW w:w="992" w:type="dxa"/>
                            <w:tcBorders>
                              <w:bottom w:val="single" w:sz="4" w:space="0" w:color="auto"/>
                            </w:tcBorders>
                            <w:vAlign w:val="center"/>
                          </w:tcPr>
                          <w:p w14:paraId="47960B52" w14:textId="77777777" w:rsidR="00F1456A" w:rsidRPr="00324A48" w:rsidRDefault="00F1456A" w:rsidP="005D009F">
                            <w:pPr>
                              <w:pStyle w:val="a4"/>
                              <w:spacing w:line="200" w:lineRule="exact"/>
                              <w:ind w:leftChars="0" w:left="0"/>
                              <w:jc w:val="right"/>
                              <w:rPr>
                                <w:rFonts w:ascii="標楷體" w:eastAsia="標楷體" w:hAnsi="標楷體"/>
                                <w:b/>
                                <w:bCs/>
                                <w:szCs w:val="20"/>
                              </w:rPr>
                            </w:pPr>
                            <w:r w:rsidRPr="00324A48">
                              <w:rPr>
                                <w:rFonts w:ascii="標楷體" w:eastAsia="標楷體" w:hAnsi="標楷體" w:hint="eastAsia"/>
                                <w:b/>
                                <w:bCs/>
                                <w:szCs w:val="20"/>
                              </w:rPr>
                              <w:t>5</w:t>
                            </w:r>
                            <w:r w:rsidRPr="00324A48">
                              <w:rPr>
                                <w:rFonts w:ascii="標楷體" w:eastAsia="標楷體" w:hAnsi="標楷體"/>
                                <w:b/>
                                <w:bCs/>
                                <w:szCs w:val="20"/>
                              </w:rPr>
                              <w:t>4</w:t>
                            </w:r>
                          </w:p>
                        </w:tc>
                        <w:tc>
                          <w:tcPr>
                            <w:tcW w:w="759" w:type="dxa"/>
                            <w:tcBorders>
                              <w:bottom w:val="single" w:sz="4" w:space="0" w:color="auto"/>
                            </w:tcBorders>
                            <w:vAlign w:val="center"/>
                          </w:tcPr>
                          <w:p w14:paraId="623D258C"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8</w:t>
                            </w:r>
                          </w:p>
                        </w:tc>
                        <w:tc>
                          <w:tcPr>
                            <w:tcW w:w="709" w:type="dxa"/>
                            <w:tcBorders>
                              <w:bottom w:val="single" w:sz="4" w:space="0" w:color="auto"/>
                            </w:tcBorders>
                            <w:vAlign w:val="center"/>
                          </w:tcPr>
                          <w:p w14:paraId="5ED6671D"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2</w:t>
                            </w:r>
                            <w:r>
                              <w:rPr>
                                <w:rFonts w:ascii="標楷體" w:eastAsia="標楷體" w:hAnsi="標楷體"/>
                                <w:szCs w:val="20"/>
                              </w:rPr>
                              <w:t>3</w:t>
                            </w:r>
                          </w:p>
                        </w:tc>
                        <w:tc>
                          <w:tcPr>
                            <w:tcW w:w="800" w:type="dxa"/>
                            <w:tcBorders>
                              <w:bottom w:val="single" w:sz="4" w:space="0" w:color="auto"/>
                            </w:tcBorders>
                            <w:vAlign w:val="center"/>
                          </w:tcPr>
                          <w:p w14:paraId="623EBC05" w14:textId="77777777" w:rsidR="00F1456A" w:rsidRPr="006036F3" w:rsidRDefault="00F1456A" w:rsidP="005D009F">
                            <w:pPr>
                              <w:pStyle w:val="a4"/>
                              <w:spacing w:line="200" w:lineRule="exact"/>
                              <w:ind w:leftChars="0" w:left="0"/>
                              <w:jc w:val="right"/>
                              <w:rPr>
                                <w:rFonts w:ascii="標楷體" w:eastAsia="標楷體" w:hAnsi="標楷體"/>
                                <w:szCs w:val="20"/>
                              </w:rPr>
                            </w:pPr>
                            <w:r w:rsidRPr="006036F3">
                              <w:rPr>
                                <w:rFonts w:ascii="標楷體" w:eastAsia="標楷體" w:hAnsi="標楷體" w:hint="eastAsia"/>
                                <w:szCs w:val="20"/>
                              </w:rPr>
                              <w:t>2</w:t>
                            </w:r>
                            <w:r>
                              <w:rPr>
                                <w:rFonts w:ascii="標楷體" w:eastAsia="標楷體" w:hAnsi="標楷體"/>
                                <w:szCs w:val="20"/>
                              </w:rPr>
                              <w:t>3</w:t>
                            </w:r>
                          </w:p>
                        </w:tc>
                      </w:tr>
                      <w:tr w:rsidR="00F1456A" w:rsidRPr="006036F3" w14:paraId="3D464B01" w14:textId="77777777" w:rsidTr="005D009F">
                        <w:trPr>
                          <w:trHeight w:val="340"/>
                        </w:trPr>
                        <w:tc>
                          <w:tcPr>
                            <w:tcW w:w="416" w:type="dxa"/>
                            <w:vMerge/>
                            <w:vAlign w:val="center"/>
                          </w:tcPr>
                          <w:p w14:paraId="2C4D2A88" w14:textId="77777777" w:rsidR="00F1456A" w:rsidRPr="006036F3" w:rsidRDefault="00F1456A" w:rsidP="005D009F">
                            <w:pPr>
                              <w:pStyle w:val="a4"/>
                              <w:spacing w:line="200" w:lineRule="exact"/>
                              <w:ind w:leftChars="0" w:left="0"/>
                              <w:jc w:val="center"/>
                              <w:rPr>
                                <w:rFonts w:ascii="標楷體" w:eastAsia="標楷體" w:hAnsi="標楷體"/>
                                <w:szCs w:val="20"/>
                              </w:rPr>
                            </w:pPr>
                          </w:p>
                        </w:tc>
                        <w:tc>
                          <w:tcPr>
                            <w:tcW w:w="1427" w:type="dxa"/>
                            <w:tcBorders>
                              <w:bottom w:val="single" w:sz="4" w:space="0" w:color="auto"/>
                            </w:tcBorders>
                            <w:vAlign w:val="center"/>
                          </w:tcPr>
                          <w:p w14:paraId="27657169" w14:textId="77777777" w:rsidR="00F1456A" w:rsidRPr="006036F3" w:rsidRDefault="00F1456A" w:rsidP="005D009F">
                            <w:pPr>
                              <w:pStyle w:val="a4"/>
                              <w:spacing w:line="200" w:lineRule="exact"/>
                              <w:ind w:leftChars="-20" w:left="-48" w:rightChars="-20" w:right="-48"/>
                              <w:jc w:val="center"/>
                              <w:rPr>
                                <w:rFonts w:ascii="標楷體" w:eastAsia="標楷體" w:hAnsi="標楷體"/>
                                <w:szCs w:val="20"/>
                              </w:rPr>
                            </w:pPr>
                            <w:r w:rsidRPr="00602FD1">
                              <w:rPr>
                                <w:rFonts w:ascii="標楷體" w:eastAsia="標楷體" w:hAnsi="標楷體" w:hint="eastAsia"/>
                                <w:szCs w:val="20"/>
                              </w:rPr>
                              <w:t>待</w:t>
                            </w:r>
                            <w:r>
                              <w:rPr>
                                <w:rFonts w:ascii="標楷體" w:eastAsia="標楷體" w:hAnsi="標楷體" w:hint="eastAsia"/>
                                <w:szCs w:val="20"/>
                              </w:rPr>
                              <w:t>辦理</w:t>
                            </w:r>
                            <w:r w:rsidRPr="00602FD1">
                              <w:rPr>
                                <w:rFonts w:ascii="標楷體" w:eastAsia="標楷體" w:hAnsi="標楷體" w:hint="eastAsia"/>
                                <w:szCs w:val="20"/>
                              </w:rPr>
                              <w:t>結案或爭議處理中</w:t>
                            </w:r>
                          </w:p>
                        </w:tc>
                        <w:tc>
                          <w:tcPr>
                            <w:tcW w:w="992" w:type="dxa"/>
                            <w:tcBorders>
                              <w:bottom w:val="single" w:sz="4" w:space="0" w:color="auto"/>
                            </w:tcBorders>
                            <w:vAlign w:val="center"/>
                          </w:tcPr>
                          <w:p w14:paraId="79BC7FFD" w14:textId="77777777" w:rsidR="00F1456A" w:rsidRPr="00324A48" w:rsidRDefault="00F1456A" w:rsidP="005D009F">
                            <w:pPr>
                              <w:pStyle w:val="a4"/>
                              <w:spacing w:line="200" w:lineRule="exact"/>
                              <w:ind w:leftChars="0" w:left="0"/>
                              <w:jc w:val="right"/>
                              <w:rPr>
                                <w:rFonts w:ascii="標楷體" w:eastAsia="標楷體" w:hAnsi="標楷體"/>
                                <w:b/>
                                <w:bCs/>
                                <w:szCs w:val="20"/>
                              </w:rPr>
                            </w:pPr>
                            <w:r w:rsidRPr="00324A48">
                              <w:rPr>
                                <w:rFonts w:ascii="標楷體" w:eastAsia="標楷體" w:hAnsi="標楷體" w:hint="eastAsia"/>
                                <w:b/>
                                <w:bCs/>
                                <w:szCs w:val="20"/>
                              </w:rPr>
                              <w:t>3</w:t>
                            </w:r>
                            <w:r w:rsidRPr="00324A48">
                              <w:rPr>
                                <w:rFonts w:ascii="標楷體" w:eastAsia="標楷體" w:hAnsi="標楷體"/>
                                <w:b/>
                                <w:bCs/>
                                <w:szCs w:val="20"/>
                              </w:rPr>
                              <w:t>1</w:t>
                            </w:r>
                          </w:p>
                        </w:tc>
                        <w:tc>
                          <w:tcPr>
                            <w:tcW w:w="759" w:type="dxa"/>
                            <w:tcBorders>
                              <w:bottom w:val="single" w:sz="4" w:space="0" w:color="auto"/>
                            </w:tcBorders>
                            <w:vAlign w:val="center"/>
                          </w:tcPr>
                          <w:p w14:paraId="4F870B9D"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5</w:t>
                            </w:r>
                          </w:p>
                        </w:tc>
                        <w:tc>
                          <w:tcPr>
                            <w:tcW w:w="709" w:type="dxa"/>
                            <w:tcBorders>
                              <w:bottom w:val="single" w:sz="4" w:space="0" w:color="auto"/>
                            </w:tcBorders>
                            <w:vAlign w:val="center"/>
                          </w:tcPr>
                          <w:p w14:paraId="0AD565DF"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1</w:t>
                            </w:r>
                            <w:r>
                              <w:rPr>
                                <w:rFonts w:ascii="標楷體" w:eastAsia="標楷體" w:hAnsi="標楷體"/>
                                <w:szCs w:val="20"/>
                              </w:rPr>
                              <w:t>6</w:t>
                            </w:r>
                          </w:p>
                        </w:tc>
                        <w:tc>
                          <w:tcPr>
                            <w:tcW w:w="800" w:type="dxa"/>
                            <w:tcBorders>
                              <w:bottom w:val="single" w:sz="4" w:space="0" w:color="auto"/>
                            </w:tcBorders>
                            <w:vAlign w:val="center"/>
                          </w:tcPr>
                          <w:p w14:paraId="37B1DBB4"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1</w:t>
                            </w:r>
                            <w:r>
                              <w:rPr>
                                <w:rFonts w:ascii="標楷體" w:eastAsia="標楷體" w:hAnsi="標楷體"/>
                                <w:szCs w:val="20"/>
                              </w:rPr>
                              <w:t>0</w:t>
                            </w:r>
                          </w:p>
                        </w:tc>
                      </w:tr>
                      <w:tr w:rsidR="00F1456A" w:rsidRPr="006036F3" w14:paraId="448B0B15" w14:textId="77777777" w:rsidTr="005D009F">
                        <w:trPr>
                          <w:trHeight w:val="340"/>
                        </w:trPr>
                        <w:tc>
                          <w:tcPr>
                            <w:tcW w:w="416" w:type="dxa"/>
                            <w:vMerge/>
                            <w:tcBorders>
                              <w:bottom w:val="single" w:sz="4" w:space="0" w:color="auto"/>
                            </w:tcBorders>
                            <w:vAlign w:val="center"/>
                          </w:tcPr>
                          <w:p w14:paraId="4CB82B32" w14:textId="77777777" w:rsidR="00F1456A" w:rsidRPr="006036F3" w:rsidRDefault="00F1456A" w:rsidP="005D009F">
                            <w:pPr>
                              <w:pStyle w:val="a4"/>
                              <w:spacing w:line="200" w:lineRule="exact"/>
                              <w:ind w:leftChars="0" w:left="0"/>
                              <w:jc w:val="center"/>
                              <w:rPr>
                                <w:rFonts w:ascii="標楷體" w:eastAsia="標楷體" w:hAnsi="標楷體"/>
                                <w:szCs w:val="20"/>
                              </w:rPr>
                            </w:pPr>
                          </w:p>
                        </w:tc>
                        <w:tc>
                          <w:tcPr>
                            <w:tcW w:w="1427" w:type="dxa"/>
                            <w:tcBorders>
                              <w:bottom w:val="single" w:sz="4" w:space="0" w:color="auto"/>
                            </w:tcBorders>
                            <w:vAlign w:val="center"/>
                          </w:tcPr>
                          <w:p w14:paraId="505E0218" w14:textId="77777777" w:rsidR="00F1456A" w:rsidRPr="006036F3" w:rsidRDefault="00F1456A" w:rsidP="005D009F">
                            <w:pPr>
                              <w:pStyle w:val="a4"/>
                              <w:spacing w:line="200" w:lineRule="exact"/>
                              <w:ind w:leftChars="-20" w:left="-48" w:rightChars="-20" w:right="-48"/>
                              <w:jc w:val="center"/>
                              <w:rPr>
                                <w:rFonts w:ascii="標楷體" w:eastAsia="標楷體" w:hAnsi="標楷體"/>
                                <w:szCs w:val="20"/>
                              </w:rPr>
                            </w:pPr>
                            <w:r>
                              <w:rPr>
                                <w:rFonts w:ascii="標楷體" w:eastAsia="標楷體" w:hAnsi="標楷體" w:hint="eastAsia"/>
                                <w:szCs w:val="20"/>
                              </w:rPr>
                              <w:t>未依規定限期改善或拆除者</w:t>
                            </w:r>
                          </w:p>
                        </w:tc>
                        <w:tc>
                          <w:tcPr>
                            <w:tcW w:w="992" w:type="dxa"/>
                            <w:tcBorders>
                              <w:bottom w:val="single" w:sz="4" w:space="0" w:color="auto"/>
                            </w:tcBorders>
                            <w:vAlign w:val="center"/>
                          </w:tcPr>
                          <w:p w14:paraId="41831FE5" w14:textId="77777777" w:rsidR="00F1456A" w:rsidRPr="00324A48" w:rsidRDefault="00F1456A" w:rsidP="005D009F">
                            <w:pPr>
                              <w:pStyle w:val="a4"/>
                              <w:spacing w:line="200" w:lineRule="exact"/>
                              <w:ind w:leftChars="0" w:left="0"/>
                              <w:jc w:val="right"/>
                              <w:rPr>
                                <w:rFonts w:ascii="標楷體" w:eastAsia="標楷體" w:hAnsi="標楷體"/>
                                <w:b/>
                                <w:bCs/>
                                <w:szCs w:val="20"/>
                              </w:rPr>
                            </w:pPr>
                            <w:r w:rsidRPr="00324A48">
                              <w:rPr>
                                <w:rFonts w:ascii="標楷體" w:eastAsia="標楷體" w:hAnsi="標楷體" w:hint="eastAsia"/>
                                <w:b/>
                                <w:bCs/>
                                <w:szCs w:val="20"/>
                              </w:rPr>
                              <w:t>2</w:t>
                            </w:r>
                            <w:r w:rsidRPr="00324A48">
                              <w:rPr>
                                <w:rFonts w:ascii="標楷體" w:eastAsia="標楷體" w:hAnsi="標楷體"/>
                                <w:b/>
                                <w:bCs/>
                                <w:szCs w:val="20"/>
                              </w:rPr>
                              <w:t>3</w:t>
                            </w:r>
                          </w:p>
                        </w:tc>
                        <w:tc>
                          <w:tcPr>
                            <w:tcW w:w="759" w:type="dxa"/>
                            <w:tcBorders>
                              <w:bottom w:val="single" w:sz="4" w:space="0" w:color="auto"/>
                            </w:tcBorders>
                            <w:vAlign w:val="center"/>
                          </w:tcPr>
                          <w:p w14:paraId="5E6B717A"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3</w:t>
                            </w:r>
                          </w:p>
                        </w:tc>
                        <w:tc>
                          <w:tcPr>
                            <w:tcW w:w="709" w:type="dxa"/>
                            <w:tcBorders>
                              <w:bottom w:val="single" w:sz="4" w:space="0" w:color="auto"/>
                            </w:tcBorders>
                            <w:vAlign w:val="center"/>
                          </w:tcPr>
                          <w:p w14:paraId="5AED34A1"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7</w:t>
                            </w:r>
                          </w:p>
                        </w:tc>
                        <w:tc>
                          <w:tcPr>
                            <w:tcW w:w="800" w:type="dxa"/>
                            <w:tcBorders>
                              <w:bottom w:val="single" w:sz="4" w:space="0" w:color="auto"/>
                            </w:tcBorders>
                            <w:vAlign w:val="center"/>
                          </w:tcPr>
                          <w:p w14:paraId="5908E020" w14:textId="77777777" w:rsidR="00F1456A" w:rsidRPr="006036F3" w:rsidRDefault="00F1456A" w:rsidP="005D009F">
                            <w:pPr>
                              <w:pStyle w:val="a4"/>
                              <w:spacing w:line="200" w:lineRule="exact"/>
                              <w:ind w:leftChars="0" w:left="0"/>
                              <w:jc w:val="right"/>
                              <w:rPr>
                                <w:rFonts w:ascii="標楷體" w:eastAsia="標楷體" w:hAnsi="標楷體"/>
                                <w:szCs w:val="20"/>
                              </w:rPr>
                            </w:pPr>
                            <w:r>
                              <w:rPr>
                                <w:rFonts w:ascii="標楷體" w:eastAsia="標楷體" w:hAnsi="標楷體" w:hint="eastAsia"/>
                                <w:szCs w:val="20"/>
                              </w:rPr>
                              <w:t>1</w:t>
                            </w:r>
                            <w:r>
                              <w:rPr>
                                <w:rFonts w:ascii="標楷體" w:eastAsia="標楷體" w:hAnsi="標楷體"/>
                                <w:szCs w:val="20"/>
                              </w:rPr>
                              <w:t>3</w:t>
                            </w:r>
                          </w:p>
                        </w:tc>
                      </w:tr>
                      <w:tr w:rsidR="00F1456A" w:rsidRPr="006036F3" w14:paraId="5599CE21" w14:textId="77777777" w:rsidTr="0056458B">
                        <w:trPr>
                          <w:trHeight w:val="516"/>
                        </w:trPr>
                        <w:tc>
                          <w:tcPr>
                            <w:tcW w:w="5103" w:type="dxa"/>
                            <w:gridSpan w:val="6"/>
                            <w:tcBorders>
                              <w:top w:val="single" w:sz="4" w:space="0" w:color="auto"/>
                              <w:left w:val="nil"/>
                              <w:bottom w:val="nil"/>
                              <w:right w:val="nil"/>
                            </w:tcBorders>
                          </w:tcPr>
                          <w:p w14:paraId="25350E34" w14:textId="77777777" w:rsidR="00F1456A" w:rsidRPr="0030453A" w:rsidRDefault="00F1456A" w:rsidP="0056458B">
                            <w:pPr>
                              <w:spacing w:line="0" w:lineRule="atLeas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r w:rsidRPr="0030453A">
                              <w:rPr>
                                <w:rFonts w:ascii="標楷體" w:eastAsia="標楷體" w:hAnsi="標楷體" w:hint="eastAsia"/>
                                <w:sz w:val="18"/>
                                <w:szCs w:val="18"/>
                              </w:rPr>
                              <w:t>1.113年</w:t>
                            </w:r>
                            <w:r>
                              <w:rPr>
                                <w:rFonts w:ascii="標楷體" w:eastAsia="標楷體" w:hAnsi="標楷體" w:hint="eastAsia"/>
                                <w:sz w:val="18"/>
                                <w:szCs w:val="18"/>
                              </w:rPr>
                              <w:t>度統計至</w:t>
                            </w:r>
                            <w:r w:rsidRPr="0030453A">
                              <w:rPr>
                                <w:rFonts w:ascii="標楷體" w:eastAsia="標楷體" w:hAnsi="標楷體" w:hint="eastAsia"/>
                                <w:sz w:val="18"/>
                                <w:szCs w:val="18"/>
                              </w:rPr>
                              <w:t>10月</w:t>
                            </w:r>
                            <w:r>
                              <w:rPr>
                                <w:rFonts w:ascii="標楷體" w:eastAsia="標楷體" w:hAnsi="標楷體" w:hint="eastAsia"/>
                                <w:sz w:val="18"/>
                                <w:szCs w:val="18"/>
                              </w:rPr>
                              <w:t>1</w:t>
                            </w:r>
                            <w:r>
                              <w:rPr>
                                <w:rFonts w:ascii="標楷體" w:eastAsia="標楷體" w:hAnsi="標楷體"/>
                                <w:sz w:val="18"/>
                                <w:szCs w:val="18"/>
                              </w:rPr>
                              <w:t>5</w:t>
                            </w:r>
                            <w:r w:rsidRPr="0030453A">
                              <w:rPr>
                                <w:rFonts w:ascii="標楷體" w:eastAsia="標楷體" w:hAnsi="標楷體" w:hint="eastAsia"/>
                                <w:sz w:val="18"/>
                                <w:szCs w:val="18"/>
                              </w:rPr>
                              <w:t>日</w:t>
                            </w:r>
                            <w:r>
                              <w:rPr>
                                <w:rFonts w:ascii="標楷體" w:eastAsia="標楷體" w:hAnsi="標楷體" w:hint="eastAsia"/>
                                <w:sz w:val="18"/>
                                <w:szCs w:val="18"/>
                              </w:rPr>
                              <w:t>止</w:t>
                            </w:r>
                            <w:r w:rsidRPr="0030453A">
                              <w:rPr>
                                <w:rFonts w:ascii="標楷體" w:eastAsia="標楷體" w:hAnsi="標楷體" w:hint="eastAsia"/>
                                <w:sz w:val="18"/>
                                <w:szCs w:val="18"/>
                              </w:rPr>
                              <w:t>。</w:t>
                            </w:r>
                          </w:p>
                          <w:p w14:paraId="7F6EB81B" w14:textId="77777777" w:rsidR="00F1456A" w:rsidRPr="00C00691" w:rsidRDefault="00F1456A" w:rsidP="0056458B">
                            <w:pPr>
                              <w:pStyle w:val="a4"/>
                              <w:spacing w:line="0" w:lineRule="atLeast"/>
                              <w:ind w:leftChars="0" w:left="0"/>
                              <w:rPr>
                                <w:rFonts w:ascii="標楷體" w:eastAsia="標楷體" w:hAnsi="標楷體"/>
                                <w:sz w:val="18"/>
                                <w:szCs w:val="18"/>
                              </w:rPr>
                            </w:pPr>
                            <w:r>
                              <w:rPr>
                                <w:rFonts w:ascii="標楷體" w:eastAsia="標楷體" w:hAnsi="標楷體" w:hint="eastAsia"/>
                                <w:sz w:val="18"/>
                                <w:szCs w:val="18"/>
                              </w:rPr>
                              <w:t xml:space="preserve">    </w:t>
                            </w:r>
                            <w:r w:rsidRPr="0030453A">
                              <w:rPr>
                                <w:rFonts w:ascii="標楷體" w:eastAsia="標楷體" w:hAnsi="標楷體" w:hint="eastAsia"/>
                                <w:sz w:val="18"/>
                                <w:szCs w:val="18"/>
                              </w:rPr>
                              <w:t>2.資料來源：整理自</w:t>
                            </w:r>
                            <w:r>
                              <w:rPr>
                                <w:rFonts w:ascii="標楷體" w:eastAsia="標楷體" w:hAnsi="標楷體" w:hint="eastAsia"/>
                                <w:sz w:val="18"/>
                                <w:szCs w:val="18"/>
                              </w:rPr>
                              <w:t>建築管理工程</w:t>
                            </w:r>
                            <w:r w:rsidRPr="0030453A">
                              <w:rPr>
                                <w:rFonts w:ascii="標楷體" w:eastAsia="標楷體" w:hAnsi="標楷體" w:hint="eastAsia"/>
                                <w:sz w:val="18"/>
                                <w:szCs w:val="18"/>
                              </w:rPr>
                              <w:t>處提供資料。</w:t>
                            </w:r>
                          </w:p>
                        </w:tc>
                      </w:tr>
                    </w:tbl>
                    <w:p w14:paraId="0885BE9A" w14:textId="77777777" w:rsidR="00F1456A" w:rsidRPr="00001A2E" w:rsidRDefault="00F1456A" w:rsidP="00F1456A"/>
                  </w:txbxContent>
                </v:textbox>
                <w10:wrap type="square" anchorx="margin"/>
              </v:shape>
            </w:pict>
          </mc:Fallback>
        </mc:AlternateContent>
      </w:r>
      <w:r w:rsidRPr="00346E33">
        <w:rPr>
          <w:rFonts w:ascii="標楷體" w:eastAsia="標楷體" w:hAnsi="標楷體" w:hint="eastAsia"/>
        </w:rPr>
        <w:t>度違建處理案件清冊，發現</w:t>
      </w:r>
      <w:r w:rsidRPr="00346E33">
        <w:rPr>
          <w:rFonts w:ascii="標楷體" w:eastAsia="標楷體" w:hAnsi="標楷體" w:hint="eastAsia"/>
          <w:szCs w:val="24"/>
        </w:rPr>
        <w:t>受理消防局</w:t>
      </w:r>
      <w:proofErr w:type="gramStart"/>
      <w:r w:rsidRPr="00346E33">
        <w:rPr>
          <w:rFonts w:ascii="標楷體" w:eastAsia="標楷體" w:hAnsi="標楷體" w:hint="eastAsia"/>
          <w:szCs w:val="24"/>
        </w:rPr>
        <w:t>111</w:t>
      </w:r>
      <w:proofErr w:type="gramEnd"/>
      <w:r w:rsidRPr="00346E33">
        <w:rPr>
          <w:rFonts w:ascii="標楷體" w:eastAsia="標楷體" w:hAnsi="標楷體" w:hint="eastAsia"/>
          <w:szCs w:val="24"/>
        </w:rPr>
        <w:t>年度、</w:t>
      </w:r>
      <w:proofErr w:type="gramStart"/>
      <w:r w:rsidRPr="00346E33">
        <w:rPr>
          <w:rFonts w:ascii="標楷體" w:eastAsia="標楷體" w:hAnsi="標楷體" w:hint="eastAsia"/>
          <w:szCs w:val="24"/>
        </w:rPr>
        <w:t>112</w:t>
      </w:r>
      <w:proofErr w:type="gramEnd"/>
      <w:r w:rsidRPr="00346E33">
        <w:rPr>
          <w:rFonts w:ascii="標楷體" w:eastAsia="標楷體" w:hAnsi="標楷體" w:hint="eastAsia"/>
          <w:szCs w:val="24"/>
        </w:rPr>
        <w:t>年度、</w:t>
      </w:r>
      <w:proofErr w:type="gramStart"/>
      <w:r w:rsidRPr="00346E33">
        <w:rPr>
          <w:rFonts w:ascii="標楷體" w:eastAsia="標楷體" w:hAnsi="標楷體" w:hint="eastAsia"/>
          <w:szCs w:val="24"/>
        </w:rPr>
        <w:t>113</w:t>
      </w:r>
      <w:proofErr w:type="gramEnd"/>
      <w:r w:rsidRPr="00346E33">
        <w:rPr>
          <w:rFonts w:ascii="標楷體" w:eastAsia="標楷體" w:hAnsi="標楷體" w:hint="eastAsia"/>
          <w:szCs w:val="24"/>
        </w:rPr>
        <w:t>年度</w:t>
      </w:r>
      <w:r>
        <w:rPr>
          <w:rFonts w:ascii="標楷體" w:eastAsia="標楷體" w:hAnsi="標楷體" w:hint="eastAsia"/>
          <w:szCs w:val="24"/>
        </w:rPr>
        <w:t>（</w:t>
      </w:r>
      <w:r w:rsidRPr="00346E33">
        <w:rPr>
          <w:rFonts w:ascii="標楷體" w:eastAsia="標楷體" w:hAnsi="標楷體" w:hint="eastAsia"/>
          <w:szCs w:val="24"/>
        </w:rPr>
        <w:t>截至10月15日</w:t>
      </w:r>
      <w:r>
        <w:rPr>
          <w:rFonts w:ascii="標楷體" w:eastAsia="標楷體" w:hAnsi="標楷體" w:hint="eastAsia"/>
          <w:szCs w:val="24"/>
        </w:rPr>
        <w:t>）</w:t>
      </w:r>
      <w:r w:rsidRPr="00346E33">
        <w:rPr>
          <w:rFonts w:ascii="標楷體" w:eastAsia="標楷體" w:hAnsi="標楷體" w:hint="eastAsia"/>
          <w:szCs w:val="24"/>
        </w:rPr>
        <w:t>所通報火災違建案件，查報件數各為65件、65件、29件，而同期間未處理完竣件數各為8件、23件、23件，除待辦理結案或爭議處理中有待</w:t>
      </w:r>
      <w:proofErr w:type="gramStart"/>
      <w:r w:rsidRPr="00346E33">
        <w:rPr>
          <w:rFonts w:ascii="標楷體" w:eastAsia="標楷體" w:hAnsi="標楷體" w:hint="eastAsia"/>
          <w:szCs w:val="24"/>
        </w:rPr>
        <w:t>賡</w:t>
      </w:r>
      <w:proofErr w:type="gramEnd"/>
      <w:r w:rsidRPr="00346E33">
        <w:rPr>
          <w:rFonts w:ascii="標楷體" w:eastAsia="標楷體" w:hAnsi="標楷體" w:hint="eastAsia"/>
          <w:szCs w:val="24"/>
        </w:rPr>
        <w:t>續列管追蹤處置之31件外，尚待通知違建所有人限期改善</w:t>
      </w:r>
      <w:proofErr w:type="gramStart"/>
      <w:r w:rsidRPr="00346E33">
        <w:rPr>
          <w:rFonts w:ascii="標楷體" w:eastAsia="標楷體" w:hAnsi="標楷體" w:hint="eastAsia"/>
          <w:szCs w:val="24"/>
        </w:rPr>
        <w:t>或待訂定</w:t>
      </w:r>
      <w:proofErr w:type="gramEnd"/>
      <w:r w:rsidRPr="00346E33">
        <w:rPr>
          <w:rFonts w:ascii="標楷體" w:eastAsia="標楷體" w:hAnsi="標楷體" w:hint="eastAsia"/>
          <w:szCs w:val="24"/>
        </w:rPr>
        <w:t>強制拆除日期或已逾期未拆除者計23件</w:t>
      </w:r>
      <w:r w:rsidR="004B0E9F" w:rsidRPr="00346E33">
        <w:rPr>
          <w:rFonts w:ascii="標楷體" w:eastAsia="標楷體" w:hAnsi="標楷體" w:hint="eastAsia"/>
          <w:szCs w:val="24"/>
        </w:rPr>
        <w:t>（表</w:t>
      </w:r>
      <w:r w:rsidR="004B0E9F">
        <w:rPr>
          <w:rFonts w:ascii="標楷體" w:eastAsia="標楷體" w:hAnsi="標楷體" w:hint="eastAsia"/>
          <w:szCs w:val="24"/>
        </w:rPr>
        <w:t>7</w:t>
      </w:r>
      <w:r w:rsidR="004B0E9F" w:rsidRPr="00346E33">
        <w:rPr>
          <w:rFonts w:ascii="標楷體" w:eastAsia="標楷體" w:hAnsi="標楷體" w:hint="eastAsia"/>
          <w:szCs w:val="24"/>
        </w:rPr>
        <w:t>）</w:t>
      </w:r>
      <w:r w:rsidRPr="00346E33">
        <w:rPr>
          <w:rFonts w:ascii="標楷體" w:eastAsia="標楷體" w:hAnsi="標楷體" w:hint="eastAsia"/>
          <w:szCs w:val="24"/>
        </w:rPr>
        <w:t>，</w:t>
      </w:r>
      <w:proofErr w:type="gramStart"/>
      <w:r w:rsidRPr="00346E33">
        <w:rPr>
          <w:rFonts w:ascii="標楷體" w:eastAsia="標楷體" w:hAnsi="標楷體" w:hint="eastAsia"/>
          <w:szCs w:val="24"/>
        </w:rPr>
        <w:t>均屬發生</w:t>
      </w:r>
      <w:proofErr w:type="gramEnd"/>
      <w:r w:rsidRPr="00346E33">
        <w:rPr>
          <w:rFonts w:ascii="標楷體" w:eastAsia="標楷體" w:hAnsi="標楷體" w:hint="eastAsia"/>
          <w:szCs w:val="24"/>
        </w:rPr>
        <w:t>火災後恐有結構安全問題，須優先查報拆除對象等情事，經函請</w:t>
      </w:r>
      <w:proofErr w:type="gramStart"/>
      <w:r w:rsidRPr="00346E33">
        <w:rPr>
          <w:rFonts w:ascii="標楷體" w:eastAsia="標楷體" w:hAnsi="標楷體" w:hint="eastAsia"/>
          <w:szCs w:val="24"/>
        </w:rPr>
        <w:t>檢討妥處</w:t>
      </w:r>
      <w:proofErr w:type="gramEnd"/>
      <w:r w:rsidRPr="00346E33">
        <w:rPr>
          <w:rFonts w:ascii="標楷體" w:eastAsia="標楷體" w:hAnsi="標楷體" w:hint="eastAsia"/>
          <w:szCs w:val="24"/>
        </w:rPr>
        <w:t>。據復：1.經檢討違章建築處理（拆除）件數不及查報件數或遲未處理完竣原因，主要係拆除違建作業耗時、拆除人力不足等，已</w:t>
      </w:r>
      <w:proofErr w:type="gramStart"/>
      <w:r w:rsidRPr="00346E33">
        <w:rPr>
          <w:rFonts w:ascii="標楷體" w:eastAsia="標楷體" w:hAnsi="標楷體" w:hint="eastAsia"/>
          <w:szCs w:val="24"/>
        </w:rPr>
        <w:t>研</w:t>
      </w:r>
      <w:proofErr w:type="gramEnd"/>
      <w:r w:rsidRPr="00346E33">
        <w:rPr>
          <w:rFonts w:ascii="標楷體" w:eastAsia="標楷體" w:hAnsi="標楷體" w:hint="eastAsia"/>
          <w:szCs w:val="24"/>
        </w:rPr>
        <w:t>擬減少人員流動方案、訂定違建拆除標準作業流程等策進作為，另就未處理完竣之101及</w:t>
      </w:r>
      <w:proofErr w:type="gramStart"/>
      <w:r w:rsidRPr="00346E33">
        <w:rPr>
          <w:rFonts w:ascii="標楷體" w:eastAsia="標楷體" w:hAnsi="標楷體" w:hint="eastAsia"/>
          <w:szCs w:val="24"/>
        </w:rPr>
        <w:t>102</w:t>
      </w:r>
      <w:proofErr w:type="gramEnd"/>
      <w:r w:rsidRPr="00346E33">
        <w:rPr>
          <w:rFonts w:ascii="標楷體" w:eastAsia="標楷體" w:hAnsi="標楷體" w:hint="eastAsia"/>
          <w:szCs w:val="24"/>
        </w:rPr>
        <w:t>年度查報違建案件，未來將持續疏導拆除限期改善；</w:t>
      </w:r>
      <w:r w:rsidRPr="00346E33">
        <w:rPr>
          <w:rFonts w:ascii="標楷體" w:eastAsia="標楷體" w:hAnsi="標楷體" w:hint="eastAsia"/>
        </w:rPr>
        <w:t>2</w:t>
      </w:r>
      <w:r w:rsidRPr="00346E33">
        <w:rPr>
          <w:rFonts w:ascii="標楷體" w:eastAsia="標楷體" w:hAnsi="標楷體"/>
        </w:rPr>
        <w:t>.</w:t>
      </w:r>
      <w:r w:rsidRPr="00346E33">
        <w:rPr>
          <w:rFonts w:ascii="標楷體" w:eastAsia="標楷體" w:hAnsi="標楷體" w:hint="eastAsia"/>
        </w:rPr>
        <w:t>針對消防局通報火災查報違建之未結案件54件，已由專案人員每月逐案檢視</w:t>
      </w:r>
      <w:proofErr w:type="gramStart"/>
      <w:r w:rsidRPr="00346E33">
        <w:rPr>
          <w:rFonts w:ascii="標楷體" w:eastAsia="標楷體" w:hAnsi="標楷體" w:hint="eastAsia"/>
        </w:rPr>
        <w:t>限改</w:t>
      </w:r>
      <w:r w:rsidRPr="00346E33">
        <w:rPr>
          <w:rFonts w:ascii="新細明體" w:hAnsi="新細明體" w:hint="eastAsia"/>
        </w:rPr>
        <w:t>、</w:t>
      </w:r>
      <w:r w:rsidRPr="00346E33">
        <w:rPr>
          <w:rFonts w:ascii="標楷體" w:eastAsia="標楷體" w:hAnsi="標楷體" w:hint="eastAsia"/>
        </w:rPr>
        <w:t>訂拆</w:t>
      </w:r>
      <w:proofErr w:type="gramEnd"/>
      <w:r w:rsidRPr="00346E33">
        <w:rPr>
          <w:rFonts w:ascii="標楷體" w:eastAsia="標楷體" w:hAnsi="標楷體" w:hint="eastAsia"/>
        </w:rPr>
        <w:t>進度，截至114年4月11日止，已結案35件</w:t>
      </w:r>
      <w:r w:rsidRPr="00346E33">
        <w:rPr>
          <w:rFonts w:ascii="新細明體" w:hAnsi="新細明體" w:hint="eastAsia"/>
        </w:rPr>
        <w:t>、</w:t>
      </w:r>
      <w:r w:rsidRPr="00346E33">
        <w:rPr>
          <w:rFonts w:ascii="標楷體" w:eastAsia="標楷體" w:hAnsi="標楷體" w:hint="eastAsia"/>
        </w:rPr>
        <w:t>訂有拆除日期者8件、申請修繕者7件、待結案者1件、尚有爭議或待補正資料者3件，後續將由該處持續追蹤列管並依規定辦理</w:t>
      </w:r>
      <w:r w:rsidRPr="00346E33">
        <w:rPr>
          <w:rFonts w:ascii="標楷體" w:eastAsia="標楷體" w:hAnsi="標楷體" w:hint="eastAsia"/>
          <w:szCs w:val="24"/>
        </w:rPr>
        <w:t>。</w:t>
      </w:r>
    </w:p>
    <w:p w14:paraId="5CFFCDA5" w14:textId="77777777" w:rsidR="00F1456A" w:rsidRPr="00881FAC" w:rsidRDefault="00F1456A" w:rsidP="002D2DED">
      <w:pPr>
        <w:overflowPunct w:val="0"/>
        <w:snapToGrid w:val="0"/>
        <w:spacing w:beforeLines="50" w:before="180" w:afterLines="20" w:after="72" w:line="460" w:lineRule="exact"/>
        <w:ind w:firstLineChars="100" w:firstLine="280"/>
        <w:jc w:val="both"/>
        <w:rPr>
          <w:rFonts w:ascii="標楷體" w:eastAsia="標楷體"/>
          <w:b/>
          <w:sz w:val="28"/>
          <w:szCs w:val="28"/>
        </w:rPr>
      </w:pPr>
      <w:r>
        <w:rPr>
          <w:rFonts w:ascii="標楷體" w:eastAsia="標楷體" w:hint="eastAsia"/>
          <w:b/>
          <w:sz w:val="28"/>
          <w:szCs w:val="28"/>
        </w:rPr>
        <w:t>（八）</w:t>
      </w:r>
      <w:r w:rsidRPr="000D4F0D">
        <w:rPr>
          <w:rFonts w:ascii="標楷體" w:eastAsia="標楷體" w:hint="eastAsia"/>
          <w:b/>
          <w:sz w:val="28"/>
          <w:szCs w:val="28"/>
        </w:rPr>
        <w:t>訂定管理廣告物</w:t>
      </w:r>
      <w:proofErr w:type="gramStart"/>
      <w:r w:rsidRPr="000D4F0D">
        <w:rPr>
          <w:rFonts w:ascii="標楷體" w:eastAsia="標楷體" w:hint="eastAsia"/>
          <w:b/>
          <w:sz w:val="28"/>
          <w:szCs w:val="28"/>
        </w:rPr>
        <w:t>之內控</w:t>
      </w:r>
      <w:proofErr w:type="gramEnd"/>
      <w:r w:rsidRPr="000D4F0D">
        <w:rPr>
          <w:rFonts w:ascii="標楷體" w:eastAsia="標楷體" w:hint="eastAsia"/>
          <w:b/>
          <w:sz w:val="28"/>
          <w:szCs w:val="28"/>
        </w:rPr>
        <w:t>重點，強化推動審查許可廣告物之設置及其違規處辦、限期改善等作業，</w:t>
      </w:r>
      <w:proofErr w:type="gramStart"/>
      <w:r w:rsidRPr="000D4F0D">
        <w:rPr>
          <w:rFonts w:ascii="標楷體" w:eastAsia="標楷體" w:hint="eastAsia"/>
          <w:b/>
          <w:sz w:val="28"/>
          <w:szCs w:val="28"/>
        </w:rPr>
        <w:t>間有未</w:t>
      </w:r>
      <w:proofErr w:type="gramEnd"/>
      <w:r w:rsidRPr="000D4F0D">
        <w:rPr>
          <w:rFonts w:ascii="標楷體" w:eastAsia="標楷體" w:hint="eastAsia"/>
          <w:b/>
          <w:sz w:val="28"/>
          <w:szCs w:val="28"/>
        </w:rPr>
        <w:t>掌握廣告物案件之設置許可效期屆滿日及後續再申辦或恢復原狀情事，不利廣告物管理，有待檢討改善</w:t>
      </w:r>
      <w:r w:rsidRPr="00881FAC">
        <w:rPr>
          <w:rFonts w:ascii="標楷體" w:eastAsia="標楷體" w:hint="eastAsia"/>
          <w:b/>
          <w:sz w:val="28"/>
          <w:szCs w:val="28"/>
        </w:rPr>
        <w:t>。</w:t>
      </w:r>
    </w:p>
    <w:p w14:paraId="2B3E3822" w14:textId="60686E32" w:rsidR="002D2DED" w:rsidRDefault="00F1456A" w:rsidP="002D2DED">
      <w:pPr>
        <w:overflowPunct w:val="0"/>
        <w:snapToGrid w:val="0"/>
        <w:spacing w:before="120" w:after="60" w:line="460" w:lineRule="exact"/>
        <w:ind w:firstLineChars="200" w:firstLine="480"/>
        <w:jc w:val="both"/>
        <w:rPr>
          <w:rFonts w:ascii="標楷體" w:eastAsia="標楷體" w:hAnsi="標楷體"/>
          <w:szCs w:val="24"/>
        </w:rPr>
      </w:pPr>
      <w:r>
        <w:rPr>
          <w:rFonts w:ascii="標楷體" w:eastAsia="標楷體" w:hAnsi="標楷體" w:hint="eastAsia"/>
          <w:szCs w:val="24"/>
        </w:rPr>
        <w:t>建築管理工程處</w:t>
      </w:r>
      <w:r w:rsidRPr="00EC7740">
        <w:rPr>
          <w:rFonts w:ascii="標楷體" w:eastAsia="標楷體" w:hAnsi="標楷體" w:hint="eastAsia"/>
          <w:szCs w:val="24"/>
        </w:rPr>
        <w:t>為管理轄內</w:t>
      </w:r>
      <w:r>
        <w:rPr>
          <w:rFonts w:ascii="標楷體" w:eastAsia="標楷體" w:hAnsi="標楷體" w:hint="eastAsia"/>
          <w:szCs w:val="24"/>
        </w:rPr>
        <w:t>之</w:t>
      </w:r>
      <w:r w:rsidRPr="00EC7740">
        <w:rPr>
          <w:rFonts w:ascii="標楷體" w:eastAsia="標楷體" w:hAnsi="標楷體" w:hint="eastAsia"/>
          <w:szCs w:val="24"/>
        </w:rPr>
        <w:t>廣告物</w:t>
      </w:r>
      <w:r>
        <w:rPr>
          <w:rFonts w:ascii="標楷體" w:eastAsia="標楷體" w:hAnsi="標楷體" w:hint="eastAsia"/>
          <w:szCs w:val="24"/>
        </w:rPr>
        <w:t>，及</w:t>
      </w:r>
      <w:r w:rsidRPr="00EC7740">
        <w:rPr>
          <w:rFonts w:ascii="標楷體" w:eastAsia="標楷體" w:hAnsi="標楷體" w:hint="eastAsia"/>
          <w:szCs w:val="24"/>
        </w:rPr>
        <w:t>順遂廣告物雜</w:t>
      </w:r>
      <w:r>
        <w:rPr>
          <w:rFonts w:ascii="標楷體" w:eastAsia="標楷體" w:hAnsi="標楷體" w:hint="eastAsia"/>
          <w:szCs w:val="24"/>
        </w:rPr>
        <w:t>項執</w:t>
      </w:r>
      <w:r w:rsidRPr="00EC7740">
        <w:rPr>
          <w:rFonts w:ascii="標楷體" w:eastAsia="標楷體" w:hAnsi="標楷體" w:hint="eastAsia"/>
          <w:szCs w:val="24"/>
        </w:rPr>
        <w:t>照及使</w:t>
      </w:r>
      <w:r>
        <w:rPr>
          <w:rFonts w:ascii="標楷體" w:eastAsia="標楷體" w:hAnsi="標楷體" w:hint="eastAsia"/>
          <w:szCs w:val="24"/>
        </w:rPr>
        <w:t>用執</w:t>
      </w:r>
      <w:r w:rsidRPr="00EC7740">
        <w:rPr>
          <w:rFonts w:ascii="標楷體" w:eastAsia="標楷體" w:hAnsi="標楷體" w:hint="eastAsia"/>
          <w:szCs w:val="24"/>
        </w:rPr>
        <w:t>照申請、大小型</w:t>
      </w:r>
      <w:proofErr w:type="gramStart"/>
      <w:r w:rsidRPr="00EC7740">
        <w:rPr>
          <w:rFonts w:ascii="標楷體" w:eastAsia="標楷體" w:hAnsi="標楷體" w:hint="eastAsia"/>
          <w:szCs w:val="24"/>
        </w:rPr>
        <w:t>廣告物裁罰</w:t>
      </w:r>
      <w:proofErr w:type="gramEnd"/>
      <w:r w:rsidRPr="00EC7740">
        <w:rPr>
          <w:rFonts w:ascii="標楷體" w:eastAsia="標楷體" w:hAnsi="標楷體" w:hint="eastAsia"/>
          <w:szCs w:val="24"/>
        </w:rPr>
        <w:t>查報及拆除業務推動，訂有「廣告物設置許可、許可證申請（H004）」、「廣告物違規案件查報、拆除處理（H005）」等內控重點，</w:t>
      </w:r>
      <w:r w:rsidRPr="0025052E">
        <w:rPr>
          <w:rFonts w:ascii="標楷體" w:eastAsia="標楷體" w:hAnsi="標楷體" w:hint="eastAsia"/>
          <w:szCs w:val="24"/>
        </w:rPr>
        <w:t>並於「建管業務</w:t>
      </w:r>
      <w:r w:rsidR="006D73F5">
        <w:rPr>
          <w:rFonts w:ascii="標楷體" w:eastAsia="標楷體" w:hAnsi="標楷體" w:hint="eastAsia"/>
          <w:szCs w:val="24"/>
        </w:rPr>
        <w:t>－</w:t>
      </w:r>
      <w:r w:rsidRPr="0025052E">
        <w:rPr>
          <w:rFonts w:ascii="標楷體" w:eastAsia="標楷體" w:hAnsi="標楷體" w:hint="eastAsia"/>
          <w:szCs w:val="24"/>
        </w:rPr>
        <w:t>建築管理及違建處理」工作計畫項</w:t>
      </w:r>
      <w:r w:rsidRPr="006D73F5">
        <w:rPr>
          <w:rFonts w:ascii="標楷體" w:eastAsia="標楷體" w:hAnsi="標楷體" w:hint="eastAsia"/>
          <w:spacing w:val="-1"/>
          <w:szCs w:val="24"/>
        </w:rPr>
        <w:t>下列有「公寓大廈及廣告物」預算，112及</w:t>
      </w:r>
      <w:proofErr w:type="gramStart"/>
      <w:r w:rsidRPr="006D73F5">
        <w:rPr>
          <w:rFonts w:ascii="標楷體" w:eastAsia="標楷體" w:hAnsi="標楷體" w:hint="eastAsia"/>
          <w:spacing w:val="-1"/>
          <w:szCs w:val="24"/>
        </w:rPr>
        <w:t>113</w:t>
      </w:r>
      <w:proofErr w:type="gramEnd"/>
      <w:r w:rsidRPr="006D73F5">
        <w:rPr>
          <w:rFonts w:ascii="標楷體" w:eastAsia="標楷體" w:hAnsi="標楷體" w:hint="eastAsia"/>
          <w:spacing w:val="-1"/>
          <w:szCs w:val="24"/>
        </w:rPr>
        <w:t>年度分別編列歲出預算1,267萬餘元、2,237萬餘元。據建築管理工程處提供截至113年10月29日</w:t>
      </w:r>
      <w:proofErr w:type="gramStart"/>
      <w:r w:rsidRPr="006D73F5">
        <w:rPr>
          <w:rFonts w:ascii="標楷體" w:eastAsia="標楷體" w:hAnsi="標楷體" w:hint="eastAsia"/>
          <w:spacing w:val="-1"/>
          <w:szCs w:val="24"/>
        </w:rPr>
        <w:t>止</w:t>
      </w:r>
      <w:proofErr w:type="gramEnd"/>
      <w:r w:rsidRPr="006D73F5">
        <w:rPr>
          <w:rFonts w:ascii="標楷體" w:eastAsia="標楷體" w:hAnsi="標楷體" w:hint="eastAsia"/>
          <w:spacing w:val="-1"/>
          <w:szCs w:val="24"/>
        </w:rPr>
        <w:t>大型屋頂樹立廣告物（列管）案件及</w:t>
      </w:r>
      <w:proofErr w:type="gramStart"/>
      <w:r w:rsidRPr="006D73F5">
        <w:rPr>
          <w:rFonts w:ascii="標楷體" w:eastAsia="標楷體" w:hAnsi="標楷體" w:hint="eastAsia"/>
          <w:spacing w:val="-1"/>
          <w:szCs w:val="24"/>
        </w:rPr>
        <w:t>107</w:t>
      </w:r>
      <w:proofErr w:type="gramEnd"/>
      <w:r w:rsidRPr="006D73F5">
        <w:rPr>
          <w:rFonts w:ascii="標楷體" w:eastAsia="標楷體" w:hAnsi="標楷體" w:hint="eastAsia"/>
          <w:spacing w:val="-1"/>
          <w:szCs w:val="24"/>
        </w:rPr>
        <w:t>年度受理民眾申請廣告物許可證或設置許可清單等資料，發現該處</w:t>
      </w:r>
      <w:proofErr w:type="gramStart"/>
      <w:r w:rsidRPr="006D73F5">
        <w:rPr>
          <w:rFonts w:ascii="標楷體" w:eastAsia="標楷體" w:hAnsi="標楷體" w:hint="eastAsia"/>
          <w:spacing w:val="-1"/>
          <w:szCs w:val="24"/>
        </w:rPr>
        <w:t>107</w:t>
      </w:r>
      <w:proofErr w:type="gramEnd"/>
      <w:r w:rsidRPr="006D73F5">
        <w:rPr>
          <w:rFonts w:ascii="標楷體" w:eastAsia="標楷體" w:hAnsi="標楷體" w:hint="eastAsia"/>
          <w:spacing w:val="-1"/>
          <w:szCs w:val="24"/>
        </w:rPr>
        <w:t>年度核准（備）招牌廣告、</w:t>
      </w:r>
      <w:r w:rsidRPr="006D73F5">
        <w:rPr>
          <w:rFonts w:ascii="標楷體" w:eastAsia="標楷體" w:hAnsi="標楷體" w:hint="eastAsia"/>
          <w:spacing w:val="2"/>
          <w:szCs w:val="24"/>
        </w:rPr>
        <w:t>樹立廣告許可證或張貼廣告設置許可案件共385件，惟截至113年10月29日止，僅列管214</w:t>
      </w:r>
    </w:p>
    <w:p w14:paraId="5C811F49" w14:textId="2BA29012" w:rsidR="00F1456A" w:rsidRPr="000D4F0D" w:rsidRDefault="002D2DED" w:rsidP="002D2DED">
      <w:pPr>
        <w:overflowPunct w:val="0"/>
        <w:snapToGrid w:val="0"/>
        <w:spacing w:before="120" w:after="60" w:line="440" w:lineRule="exact"/>
        <w:jc w:val="both"/>
        <w:rPr>
          <w:rFonts w:ascii="標楷體" w:eastAsia="標楷體" w:hAnsi="標楷體"/>
          <w:szCs w:val="24"/>
        </w:rPr>
      </w:pPr>
      <w:r w:rsidRPr="008D3787">
        <w:rPr>
          <w:rFonts w:ascii="標楷體" w:eastAsia="標楷體" w:hAnsi="標楷體"/>
          <w:noProof/>
          <w:kern w:val="0"/>
          <w:sz w:val="32"/>
          <w:szCs w:val="32"/>
        </w:rPr>
        <w:lastRenderedPageBreak/>
        <mc:AlternateContent>
          <mc:Choice Requires="wps">
            <w:drawing>
              <wp:anchor distT="45720" distB="45720" distL="114300" distR="114300" simplePos="0" relativeHeight="251827200" behindDoc="0" locked="0" layoutInCell="1" allowOverlap="1" wp14:anchorId="26E7FFC1" wp14:editId="1CEF5752">
                <wp:simplePos x="0" y="0"/>
                <wp:positionH relativeFrom="margin">
                  <wp:posOffset>2952750</wp:posOffset>
                </wp:positionH>
                <wp:positionV relativeFrom="paragraph">
                  <wp:posOffset>988599</wp:posOffset>
                </wp:positionV>
                <wp:extent cx="3314700" cy="2886075"/>
                <wp:effectExtent l="0" t="0" r="0" b="9525"/>
                <wp:wrapSquare wrapText="bothSides"/>
                <wp:docPr id="9274196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0" cy="2886075"/>
                        </a:xfrm>
                        <a:prstGeom prst="rect">
                          <a:avLst/>
                        </a:prstGeom>
                        <a:solidFill>
                          <a:srgbClr val="FFFFFF"/>
                        </a:solidFill>
                        <a:ln w="9525">
                          <a:noFill/>
                          <a:miter lim="800000"/>
                          <a:headEnd/>
                          <a:tailEnd/>
                        </a:ln>
                      </wps:spPr>
                      <wps:txbx>
                        <w:txbxContent>
                          <w:tbl>
                            <w:tblPr>
                              <w:tblStyle w:val="a6"/>
                              <w:tblW w:w="4962" w:type="dxa"/>
                              <w:tblLayout w:type="fixed"/>
                              <w:tblLook w:val="04A0" w:firstRow="1" w:lastRow="0" w:firstColumn="1" w:lastColumn="0" w:noHBand="0" w:noVBand="1"/>
                            </w:tblPr>
                            <w:tblGrid>
                              <w:gridCol w:w="417"/>
                              <w:gridCol w:w="576"/>
                              <w:gridCol w:w="1842"/>
                              <w:gridCol w:w="1134"/>
                              <w:gridCol w:w="993"/>
                            </w:tblGrid>
                            <w:tr w:rsidR="00F1456A" w:rsidRPr="003A4789" w14:paraId="4F4CC678" w14:textId="77777777" w:rsidTr="004D7A70">
                              <w:trPr>
                                <w:trHeight w:val="199"/>
                              </w:trPr>
                              <w:tc>
                                <w:tcPr>
                                  <w:tcW w:w="4962" w:type="dxa"/>
                                  <w:gridSpan w:val="5"/>
                                  <w:tcBorders>
                                    <w:top w:val="nil"/>
                                    <w:left w:val="nil"/>
                                    <w:bottom w:val="nil"/>
                                    <w:right w:val="nil"/>
                                  </w:tcBorders>
                                </w:tcPr>
                                <w:p w14:paraId="2B6B529B" w14:textId="14CAE5AB" w:rsidR="00F1456A" w:rsidRPr="006144B8" w:rsidRDefault="00F1456A" w:rsidP="005D009F">
                                  <w:pPr>
                                    <w:overflowPunct w:val="0"/>
                                    <w:adjustRightInd w:val="0"/>
                                    <w:spacing w:line="300" w:lineRule="exact"/>
                                    <w:ind w:left="535" w:rightChars="-31" w:right="-74" w:hangingChars="262" w:hanging="535"/>
                                    <w:rPr>
                                      <w:rFonts w:ascii="標楷體" w:eastAsia="標楷體" w:hAnsi="標楷體"/>
                                      <w:b/>
                                      <w:spacing w:val="-6"/>
                                      <w:kern w:val="16"/>
                                      <w:sz w:val="24"/>
                                      <w:szCs w:val="24"/>
                                    </w:rPr>
                                  </w:pPr>
                                  <w:r w:rsidRPr="0094345E">
                                    <w:rPr>
                                      <w:rFonts w:ascii="標楷體" w:eastAsia="標楷體" w:hAnsi="標楷體" w:hint="eastAsia"/>
                                      <w:b/>
                                      <w:spacing w:val="-18"/>
                                      <w:kern w:val="16"/>
                                      <w:sz w:val="24"/>
                                      <w:szCs w:val="24"/>
                                    </w:rPr>
                                    <w:t>表</w:t>
                                  </w:r>
                                  <w:r>
                                    <w:rPr>
                                      <w:rFonts w:ascii="標楷體" w:eastAsia="標楷體" w:hAnsi="標楷體" w:hint="eastAsia"/>
                                      <w:b/>
                                      <w:spacing w:val="-18"/>
                                      <w:kern w:val="16"/>
                                      <w:sz w:val="24"/>
                                      <w:szCs w:val="24"/>
                                    </w:rPr>
                                    <w:t>8</w:t>
                                  </w:r>
                                  <w:r w:rsidR="005D009F">
                                    <w:rPr>
                                      <w:rFonts w:ascii="標楷體" w:eastAsia="標楷體" w:hAnsi="標楷體" w:hint="eastAsia"/>
                                      <w:b/>
                                      <w:spacing w:val="-18"/>
                                      <w:kern w:val="16"/>
                                      <w:sz w:val="24"/>
                                      <w:szCs w:val="24"/>
                                    </w:rPr>
                                    <w:t xml:space="preserve">　</w:t>
                                  </w:r>
                                  <w:r w:rsidRPr="0094345E">
                                    <w:rPr>
                                      <w:rFonts w:ascii="標楷體" w:eastAsia="標楷體" w:hAnsi="標楷體" w:hint="eastAsia"/>
                                      <w:b/>
                                      <w:spacing w:val="-18"/>
                                      <w:kern w:val="16"/>
                                      <w:sz w:val="24"/>
                                      <w:szCs w:val="24"/>
                                    </w:rPr>
                                    <w:t>107年核准（備）廣告物截至1</w:t>
                                  </w:r>
                                  <w:r w:rsidRPr="0094345E">
                                    <w:rPr>
                                      <w:rFonts w:ascii="標楷體" w:eastAsia="標楷體" w:hAnsi="標楷體"/>
                                      <w:b/>
                                      <w:spacing w:val="-18"/>
                                      <w:kern w:val="16"/>
                                      <w:sz w:val="24"/>
                                      <w:szCs w:val="24"/>
                                    </w:rPr>
                                    <w:t>13</w:t>
                                  </w:r>
                                  <w:r w:rsidRPr="0094345E">
                                    <w:rPr>
                                      <w:rFonts w:ascii="標楷體" w:eastAsia="標楷體" w:hAnsi="標楷體" w:hint="eastAsia"/>
                                      <w:b/>
                                      <w:spacing w:val="-18"/>
                                      <w:kern w:val="16"/>
                                      <w:sz w:val="24"/>
                                      <w:szCs w:val="24"/>
                                    </w:rPr>
                                    <w:t>年10月29日列管情形</w:t>
                                  </w:r>
                                </w:p>
                              </w:tc>
                            </w:tr>
                            <w:tr w:rsidR="00F1456A" w:rsidRPr="00795792" w14:paraId="36A05143" w14:textId="77777777" w:rsidTr="004D7A70">
                              <w:trPr>
                                <w:trHeight w:val="20"/>
                              </w:trPr>
                              <w:tc>
                                <w:tcPr>
                                  <w:tcW w:w="4962" w:type="dxa"/>
                                  <w:gridSpan w:val="5"/>
                                  <w:tcBorders>
                                    <w:top w:val="nil"/>
                                    <w:left w:val="nil"/>
                                    <w:bottom w:val="single" w:sz="4" w:space="0" w:color="auto"/>
                                    <w:right w:val="nil"/>
                                  </w:tcBorders>
                                </w:tcPr>
                                <w:p w14:paraId="4F66D258" w14:textId="77777777" w:rsidR="00F1456A" w:rsidRPr="00795792" w:rsidRDefault="00F1456A" w:rsidP="0056458B">
                                  <w:pPr>
                                    <w:overflowPunct w:val="0"/>
                                    <w:adjustRightInd w:val="0"/>
                                    <w:spacing w:line="240" w:lineRule="exact"/>
                                    <w:jc w:val="right"/>
                                    <w:rPr>
                                      <w:rFonts w:ascii="標楷體" w:eastAsia="標楷體" w:hAnsi="標楷體"/>
                                      <w:kern w:val="16"/>
                                    </w:rPr>
                                  </w:pPr>
                                  <w:r w:rsidRPr="00795792">
                                    <w:rPr>
                                      <w:rFonts w:ascii="標楷體" w:eastAsia="標楷體" w:hAnsi="標楷體" w:hint="eastAsia"/>
                                      <w:kern w:val="16"/>
                                    </w:rPr>
                                    <w:t>單位：件</w:t>
                                  </w:r>
                                </w:p>
                              </w:tc>
                            </w:tr>
                            <w:tr w:rsidR="00F1456A" w:rsidRPr="00795792" w14:paraId="0042EFC1" w14:textId="77777777" w:rsidTr="004D7A70">
                              <w:trPr>
                                <w:trHeight w:val="20"/>
                              </w:trPr>
                              <w:tc>
                                <w:tcPr>
                                  <w:tcW w:w="3969" w:type="dxa"/>
                                  <w:gridSpan w:val="4"/>
                                  <w:tcBorders>
                                    <w:top w:val="single" w:sz="4" w:space="0" w:color="auto"/>
                                  </w:tcBorders>
                                  <w:vAlign w:val="center"/>
                                </w:tcPr>
                                <w:p w14:paraId="3F5A4245"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項目</w:t>
                                  </w:r>
                                </w:p>
                              </w:tc>
                              <w:tc>
                                <w:tcPr>
                                  <w:tcW w:w="993" w:type="dxa"/>
                                  <w:tcBorders>
                                    <w:top w:val="single" w:sz="4" w:space="0" w:color="auto"/>
                                  </w:tcBorders>
                                </w:tcPr>
                                <w:p w14:paraId="04AD1D1F"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件數</w:t>
                                  </w:r>
                                </w:p>
                              </w:tc>
                            </w:tr>
                            <w:tr w:rsidR="00F1456A" w:rsidRPr="00795792" w14:paraId="6B5CF098" w14:textId="77777777" w:rsidTr="004D7A70">
                              <w:trPr>
                                <w:trHeight w:val="20"/>
                              </w:trPr>
                              <w:tc>
                                <w:tcPr>
                                  <w:tcW w:w="3969" w:type="dxa"/>
                                  <w:gridSpan w:val="4"/>
                                  <w:tcBorders>
                                    <w:top w:val="single" w:sz="4" w:space="0" w:color="auto"/>
                                  </w:tcBorders>
                                  <w:shd w:val="clear" w:color="auto" w:fill="auto"/>
                                  <w:vAlign w:val="center"/>
                                </w:tcPr>
                                <w:p w14:paraId="22F46926" w14:textId="77777777" w:rsidR="00F1456A" w:rsidRPr="00691ED0" w:rsidRDefault="00F1456A" w:rsidP="0056458B">
                                  <w:pPr>
                                    <w:overflowPunct w:val="0"/>
                                    <w:adjustRightInd w:val="0"/>
                                    <w:spacing w:line="0" w:lineRule="atLeast"/>
                                    <w:jc w:val="center"/>
                                    <w:rPr>
                                      <w:rFonts w:ascii="標楷體" w:eastAsia="標楷體" w:hAnsi="標楷體"/>
                                      <w:b/>
                                      <w:bCs/>
                                      <w:kern w:val="16"/>
                                    </w:rPr>
                                  </w:pPr>
                                  <w:r w:rsidRPr="00691ED0">
                                    <w:rPr>
                                      <w:rFonts w:ascii="標楷體" w:eastAsia="標楷體" w:hAnsi="標楷體" w:hint="eastAsia"/>
                                      <w:b/>
                                      <w:bCs/>
                                      <w:kern w:val="16"/>
                                    </w:rPr>
                                    <w:t>合計</w:t>
                                  </w:r>
                                </w:p>
                              </w:tc>
                              <w:tc>
                                <w:tcPr>
                                  <w:tcW w:w="993" w:type="dxa"/>
                                  <w:tcBorders>
                                    <w:top w:val="single" w:sz="4" w:space="0" w:color="auto"/>
                                  </w:tcBorders>
                                  <w:shd w:val="clear" w:color="auto" w:fill="auto"/>
                                </w:tcPr>
                                <w:p w14:paraId="1572ACD4" w14:textId="77777777" w:rsidR="00F1456A" w:rsidRPr="00691ED0" w:rsidRDefault="00F1456A" w:rsidP="005D009F">
                                  <w:pPr>
                                    <w:overflowPunct w:val="0"/>
                                    <w:adjustRightInd w:val="0"/>
                                    <w:spacing w:line="0" w:lineRule="atLeast"/>
                                    <w:jc w:val="right"/>
                                    <w:rPr>
                                      <w:rFonts w:ascii="標楷體" w:eastAsia="標楷體" w:hAnsi="標楷體"/>
                                      <w:b/>
                                      <w:bCs/>
                                      <w:kern w:val="16"/>
                                    </w:rPr>
                                  </w:pPr>
                                  <w:r w:rsidRPr="00691ED0">
                                    <w:rPr>
                                      <w:rFonts w:ascii="標楷體" w:eastAsia="標楷體" w:hAnsi="標楷體"/>
                                      <w:b/>
                                      <w:bCs/>
                                      <w:kern w:val="16"/>
                                    </w:rPr>
                                    <w:t>385</w:t>
                                  </w:r>
                                </w:p>
                              </w:tc>
                            </w:tr>
                            <w:tr w:rsidR="00F1456A" w:rsidRPr="00795792" w14:paraId="26E3AA7D" w14:textId="77777777" w:rsidTr="004D7A70">
                              <w:trPr>
                                <w:trHeight w:val="20"/>
                              </w:trPr>
                              <w:tc>
                                <w:tcPr>
                                  <w:tcW w:w="417" w:type="dxa"/>
                                  <w:vMerge w:val="restart"/>
                                  <w:tcBorders>
                                    <w:top w:val="single" w:sz="4" w:space="0" w:color="auto"/>
                                  </w:tcBorders>
                                  <w:shd w:val="clear" w:color="auto" w:fill="auto"/>
                                  <w:vAlign w:val="center"/>
                                </w:tcPr>
                                <w:p w14:paraId="6786DE2B"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許可屆期日</w:t>
                                  </w:r>
                                </w:p>
                              </w:tc>
                              <w:tc>
                                <w:tcPr>
                                  <w:tcW w:w="576" w:type="dxa"/>
                                  <w:vMerge w:val="restart"/>
                                  <w:tcBorders>
                                    <w:top w:val="single" w:sz="4" w:space="0" w:color="auto"/>
                                  </w:tcBorders>
                                  <w:shd w:val="clear" w:color="auto" w:fill="auto"/>
                                  <w:vAlign w:val="center"/>
                                </w:tcPr>
                                <w:p w14:paraId="3C0607A4"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有</w:t>
                                  </w:r>
                                </w:p>
                                <w:p w14:paraId="4E5FE742"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列管</w:t>
                                  </w:r>
                                </w:p>
                                <w:p w14:paraId="5037B028" w14:textId="77777777" w:rsidR="00F1456A" w:rsidRPr="006C3F07" w:rsidRDefault="00F1456A" w:rsidP="0056458B">
                                  <w:pPr>
                                    <w:overflowPunct w:val="0"/>
                                    <w:adjustRightInd w:val="0"/>
                                    <w:spacing w:line="0" w:lineRule="atLeast"/>
                                    <w:ind w:leftChars="-54" w:left="-130" w:rightChars="-30" w:right="-72"/>
                                    <w:jc w:val="center"/>
                                    <w:rPr>
                                      <w:rFonts w:ascii="標楷體" w:eastAsia="標楷體" w:hAnsi="標楷體"/>
                                      <w:spacing w:val="-20"/>
                                      <w:kern w:val="16"/>
                                    </w:rPr>
                                  </w:pPr>
                                  <w:r w:rsidRPr="006C3F07">
                                    <w:rPr>
                                      <w:rFonts w:ascii="標楷體" w:eastAsia="標楷體" w:hAnsi="標楷體" w:hint="eastAsia"/>
                                      <w:spacing w:val="-20"/>
                                      <w:kern w:val="16"/>
                                    </w:rPr>
                                    <w:t>（</w:t>
                                  </w:r>
                                  <w:r w:rsidRPr="006C3F07">
                                    <w:rPr>
                                      <w:rFonts w:ascii="標楷體" w:eastAsia="標楷體" w:hAnsi="標楷體"/>
                                      <w:spacing w:val="-20"/>
                                      <w:kern w:val="16"/>
                                    </w:rPr>
                                    <w:t>214）</w:t>
                                  </w:r>
                                </w:p>
                              </w:tc>
                              <w:tc>
                                <w:tcPr>
                                  <w:tcW w:w="1842" w:type="dxa"/>
                                  <w:vMerge w:val="restart"/>
                                  <w:tcBorders>
                                    <w:top w:val="single" w:sz="4" w:space="0" w:color="auto"/>
                                  </w:tcBorders>
                                  <w:shd w:val="clear" w:color="auto" w:fill="auto"/>
                                  <w:vAlign w:val="center"/>
                                </w:tcPr>
                                <w:p w14:paraId="036DDEED" w14:textId="77777777" w:rsidR="00F1456A" w:rsidRPr="00795792" w:rsidRDefault="00F1456A" w:rsidP="0056458B">
                                  <w:pPr>
                                    <w:overflowPunct w:val="0"/>
                                    <w:adjustRightInd w:val="0"/>
                                    <w:spacing w:line="0" w:lineRule="atLeast"/>
                                    <w:ind w:leftChars="-49" w:left="-118" w:rightChars="-38" w:right="-91"/>
                                    <w:jc w:val="center"/>
                                    <w:rPr>
                                      <w:rFonts w:ascii="標楷體" w:eastAsia="標楷體" w:hAnsi="標楷體"/>
                                      <w:kern w:val="16"/>
                                    </w:rPr>
                                  </w:pPr>
                                  <w:r w:rsidRPr="00795792">
                                    <w:rPr>
                                      <w:rFonts w:ascii="標楷體" w:eastAsia="標楷體" w:hAnsi="標楷體" w:hint="eastAsia"/>
                                      <w:kern w:val="16"/>
                                    </w:rPr>
                                    <w:t>民眾已重辦許可申請</w:t>
                                  </w:r>
                                  <w:r>
                                    <w:rPr>
                                      <w:rFonts w:ascii="標楷體" w:eastAsia="標楷體" w:hAnsi="標楷體" w:hint="eastAsia"/>
                                      <w:kern w:val="16"/>
                                    </w:rPr>
                                    <w:t>（</w:t>
                                  </w:r>
                                  <w:r w:rsidRPr="00795792">
                                    <w:rPr>
                                      <w:rFonts w:ascii="標楷體" w:eastAsia="標楷體" w:hAnsi="標楷體"/>
                                      <w:kern w:val="16"/>
                                    </w:rPr>
                                    <w:t>22</w:t>
                                  </w:r>
                                  <w:r>
                                    <w:rPr>
                                      <w:rFonts w:ascii="標楷體" w:eastAsia="標楷體" w:hAnsi="標楷體"/>
                                      <w:kern w:val="16"/>
                                    </w:rPr>
                                    <w:t>）</w:t>
                                  </w:r>
                                </w:p>
                              </w:tc>
                              <w:tc>
                                <w:tcPr>
                                  <w:tcW w:w="1134" w:type="dxa"/>
                                  <w:tcBorders>
                                    <w:top w:val="single" w:sz="4" w:space="0" w:color="auto"/>
                                  </w:tcBorders>
                                  <w:vAlign w:val="center"/>
                                </w:tcPr>
                                <w:p w14:paraId="290DEF42"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續辦完成</w:t>
                                  </w:r>
                                </w:p>
                              </w:tc>
                              <w:tc>
                                <w:tcPr>
                                  <w:tcW w:w="993" w:type="dxa"/>
                                  <w:tcBorders>
                                    <w:top w:val="single" w:sz="4" w:space="0" w:color="auto"/>
                                  </w:tcBorders>
                                  <w:vAlign w:val="center"/>
                                </w:tcPr>
                                <w:p w14:paraId="16A0838E" w14:textId="77777777" w:rsidR="00F1456A" w:rsidRPr="00795792" w:rsidRDefault="00F1456A" w:rsidP="005D009F">
                                  <w:pPr>
                                    <w:overflowPunct w:val="0"/>
                                    <w:adjustRightInd w:val="0"/>
                                    <w:spacing w:line="0" w:lineRule="atLeast"/>
                                    <w:jc w:val="right"/>
                                    <w:rPr>
                                      <w:rFonts w:ascii="標楷體" w:eastAsia="標楷體" w:hAnsi="標楷體"/>
                                      <w:kern w:val="16"/>
                                    </w:rPr>
                                  </w:pPr>
                                  <w:r w:rsidRPr="00795792">
                                    <w:rPr>
                                      <w:rFonts w:ascii="標楷體" w:eastAsia="標楷體" w:hAnsi="標楷體"/>
                                      <w:kern w:val="16"/>
                                    </w:rPr>
                                    <w:t>21</w:t>
                                  </w:r>
                                </w:p>
                              </w:tc>
                            </w:tr>
                            <w:tr w:rsidR="00F1456A" w:rsidRPr="00795792" w14:paraId="3D75FE29" w14:textId="77777777" w:rsidTr="004D7A70">
                              <w:trPr>
                                <w:trHeight w:val="20"/>
                              </w:trPr>
                              <w:tc>
                                <w:tcPr>
                                  <w:tcW w:w="417" w:type="dxa"/>
                                  <w:vMerge/>
                                  <w:shd w:val="clear" w:color="auto" w:fill="auto"/>
                                </w:tcPr>
                                <w:p w14:paraId="07105754"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576" w:type="dxa"/>
                                  <w:vMerge/>
                                  <w:shd w:val="clear" w:color="auto" w:fill="auto"/>
                                  <w:vAlign w:val="center"/>
                                </w:tcPr>
                                <w:p w14:paraId="18F2E3CC"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1842" w:type="dxa"/>
                                  <w:vMerge/>
                                  <w:shd w:val="clear" w:color="auto" w:fill="auto"/>
                                  <w:vAlign w:val="center"/>
                                </w:tcPr>
                                <w:p w14:paraId="3919B804"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1134" w:type="dxa"/>
                                  <w:tcBorders>
                                    <w:top w:val="single" w:sz="4" w:space="0" w:color="auto"/>
                                  </w:tcBorders>
                                  <w:vAlign w:val="center"/>
                                </w:tcPr>
                                <w:p w14:paraId="2AB5400E" w14:textId="77777777" w:rsidR="00F1456A" w:rsidRPr="00795792" w:rsidRDefault="00F1456A" w:rsidP="0056458B">
                                  <w:pPr>
                                    <w:overflowPunct w:val="0"/>
                                    <w:adjustRightInd w:val="0"/>
                                    <w:spacing w:line="0" w:lineRule="atLeast"/>
                                    <w:jc w:val="center"/>
                                    <w:rPr>
                                      <w:rFonts w:ascii="標楷體" w:eastAsia="標楷體" w:hAnsi="標楷體"/>
                                      <w:kern w:val="16"/>
                                    </w:rPr>
                                  </w:pPr>
                                  <w:proofErr w:type="gramStart"/>
                                  <w:r w:rsidRPr="00795792">
                                    <w:rPr>
                                      <w:rFonts w:ascii="標楷體" w:eastAsia="標楷體" w:hAnsi="標楷體" w:hint="eastAsia"/>
                                      <w:kern w:val="16"/>
                                    </w:rPr>
                                    <w:t>續辦退件</w:t>
                                  </w:r>
                                  <w:proofErr w:type="gramEnd"/>
                                </w:p>
                              </w:tc>
                              <w:tc>
                                <w:tcPr>
                                  <w:tcW w:w="993" w:type="dxa"/>
                                  <w:tcBorders>
                                    <w:top w:val="single" w:sz="4" w:space="0" w:color="auto"/>
                                  </w:tcBorders>
                                  <w:vAlign w:val="center"/>
                                </w:tcPr>
                                <w:p w14:paraId="06672152" w14:textId="77777777" w:rsidR="00F1456A" w:rsidRPr="00795792" w:rsidRDefault="00F1456A" w:rsidP="005D009F">
                                  <w:pPr>
                                    <w:overflowPunct w:val="0"/>
                                    <w:adjustRightInd w:val="0"/>
                                    <w:spacing w:line="0" w:lineRule="atLeast"/>
                                    <w:jc w:val="right"/>
                                    <w:rPr>
                                      <w:rFonts w:ascii="標楷體" w:eastAsia="標楷體" w:hAnsi="標楷體"/>
                                      <w:kern w:val="16"/>
                                    </w:rPr>
                                  </w:pPr>
                                  <w:r w:rsidRPr="00795792">
                                    <w:rPr>
                                      <w:rFonts w:ascii="標楷體" w:eastAsia="標楷體" w:hAnsi="標楷體" w:hint="eastAsia"/>
                                      <w:kern w:val="16"/>
                                    </w:rPr>
                                    <w:t>1</w:t>
                                  </w:r>
                                </w:p>
                              </w:tc>
                            </w:tr>
                            <w:tr w:rsidR="00F1456A" w:rsidRPr="00795792" w14:paraId="18A8A85B" w14:textId="77777777" w:rsidTr="004D7A70">
                              <w:trPr>
                                <w:trHeight w:val="20"/>
                              </w:trPr>
                              <w:tc>
                                <w:tcPr>
                                  <w:tcW w:w="417" w:type="dxa"/>
                                  <w:vMerge/>
                                  <w:shd w:val="clear" w:color="auto" w:fill="auto"/>
                                  <w:vAlign w:val="center"/>
                                </w:tcPr>
                                <w:p w14:paraId="72A44DA6"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576" w:type="dxa"/>
                                  <w:vMerge/>
                                  <w:shd w:val="clear" w:color="auto" w:fill="auto"/>
                                  <w:vAlign w:val="center"/>
                                </w:tcPr>
                                <w:p w14:paraId="2443C295"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1842" w:type="dxa"/>
                                  <w:vMerge w:val="restart"/>
                                  <w:tcBorders>
                                    <w:top w:val="single" w:sz="4" w:space="0" w:color="auto"/>
                                  </w:tcBorders>
                                  <w:shd w:val="clear" w:color="auto" w:fill="auto"/>
                                  <w:vAlign w:val="center"/>
                                </w:tcPr>
                                <w:p w14:paraId="568C898C" w14:textId="77777777" w:rsidR="00F1456A" w:rsidRPr="00795792" w:rsidRDefault="00F1456A" w:rsidP="0056458B">
                                  <w:pPr>
                                    <w:overflowPunct w:val="0"/>
                                    <w:adjustRightInd w:val="0"/>
                                    <w:spacing w:line="240" w:lineRule="exact"/>
                                    <w:ind w:leftChars="-61" w:left="-146" w:rightChars="-44" w:right="-106"/>
                                    <w:jc w:val="center"/>
                                    <w:rPr>
                                      <w:rFonts w:ascii="標楷體" w:eastAsia="標楷體" w:hAnsi="標楷體"/>
                                      <w:kern w:val="16"/>
                                    </w:rPr>
                                  </w:pPr>
                                  <w:r w:rsidRPr="00795792">
                                    <w:rPr>
                                      <w:rFonts w:ascii="標楷體" w:eastAsia="標楷體" w:hAnsi="標楷體" w:hint="eastAsia"/>
                                      <w:kern w:val="16"/>
                                    </w:rPr>
                                    <w:t>未掌握民眾續予使用需求狀態者</w:t>
                                  </w:r>
                                  <w:r>
                                    <w:rPr>
                                      <w:rFonts w:ascii="標楷體" w:eastAsia="標楷體" w:hAnsi="標楷體" w:hint="eastAsia"/>
                                      <w:kern w:val="16"/>
                                    </w:rPr>
                                    <w:t>（</w:t>
                                  </w:r>
                                  <w:r w:rsidRPr="00795792">
                                    <w:rPr>
                                      <w:rFonts w:ascii="標楷體" w:eastAsia="標楷體" w:hAnsi="標楷體"/>
                                      <w:kern w:val="16"/>
                                    </w:rPr>
                                    <w:t>192</w:t>
                                  </w:r>
                                  <w:r>
                                    <w:rPr>
                                      <w:rFonts w:ascii="標楷體" w:eastAsia="標楷體" w:hAnsi="標楷體"/>
                                      <w:kern w:val="16"/>
                                    </w:rPr>
                                    <w:t>）</w:t>
                                  </w:r>
                                </w:p>
                              </w:tc>
                              <w:tc>
                                <w:tcPr>
                                  <w:tcW w:w="1134" w:type="dxa"/>
                                  <w:tcBorders>
                                    <w:top w:val="single" w:sz="4" w:space="0" w:color="auto"/>
                                  </w:tcBorders>
                                  <w:shd w:val="clear" w:color="auto" w:fill="auto"/>
                                  <w:vAlign w:val="center"/>
                                </w:tcPr>
                                <w:p w14:paraId="68859B45" w14:textId="77777777" w:rsidR="00F1456A" w:rsidRPr="00795792" w:rsidRDefault="00F1456A" w:rsidP="0056458B">
                                  <w:pPr>
                                    <w:overflowPunct w:val="0"/>
                                    <w:adjustRightInd w:val="0"/>
                                    <w:spacing w:line="240" w:lineRule="exact"/>
                                    <w:ind w:leftChars="-45" w:left="-108"/>
                                    <w:jc w:val="center"/>
                                    <w:rPr>
                                      <w:rFonts w:ascii="標楷體" w:eastAsia="標楷體" w:hAnsi="標楷體"/>
                                      <w:kern w:val="16"/>
                                    </w:rPr>
                                  </w:pPr>
                                  <w:r w:rsidRPr="00795792">
                                    <w:rPr>
                                      <w:rFonts w:ascii="標楷體" w:eastAsia="標楷體" w:hAnsi="標楷體" w:hint="eastAsia"/>
                                      <w:kern w:val="16"/>
                                    </w:rPr>
                                    <w:t>已知民眾</w:t>
                                  </w:r>
                                </w:p>
                                <w:p w14:paraId="68A296FB" w14:textId="77777777" w:rsidR="00F1456A" w:rsidRPr="00795792" w:rsidRDefault="00F1456A" w:rsidP="0056458B">
                                  <w:pPr>
                                    <w:overflowPunct w:val="0"/>
                                    <w:adjustRightInd w:val="0"/>
                                    <w:spacing w:line="240" w:lineRule="exact"/>
                                    <w:ind w:leftChars="-45" w:left="-108"/>
                                    <w:jc w:val="center"/>
                                    <w:rPr>
                                      <w:rFonts w:ascii="標楷體" w:eastAsia="標楷體" w:hAnsi="標楷體"/>
                                      <w:kern w:val="16"/>
                                    </w:rPr>
                                  </w:pPr>
                                  <w:r w:rsidRPr="00795792">
                                    <w:rPr>
                                      <w:rFonts w:ascii="標楷體" w:eastAsia="標楷體" w:hAnsi="標楷體" w:hint="eastAsia"/>
                                      <w:kern w:val="16"/>
                                    </w:rPr>
                                    <w:t>未續辦</w:t>
                                  </w:r>
                                </w:p>
                              </w:tc>
                              <w:tc>
                                <w:tcPr>
                                  <w:tcW w:w="993" w:type="dxa"/>
                                  <w:tcBorders>
                                    <w:top w:val="single" w:sz="4" w:space="0" w:color="auto"/>
                                  </w:tcBorders>
                                  <w:vAlign w:val="center"/>
                                </w:tcPr>
                                <w:p w14:paraId="4087111F" w14:textId="77777777" w:rsidR="00F1456A" w:rsidRPr="00795792" w:rsidRDefault="00F1456A" w:rsidP="005D009F">
                                  <w:pPr>
                                    <w:overflowPunct w:val="0"/>
                                    <w:adjustRightInd w:val="0"/>
                                    <w:spacing w:line="240" w:lineRule="exact"/>
                                    <w:jc w:val="right"/>
                                    <w:rPr>
                                      <w:rFonts w:ascii="標楷體" w:eastAsia="標楷體" w:hAnsi="標楷體"/>
                                      <w:kern w:val="16"/>
                                    </w:rPr>
                                  </w:pPr>
                                  <w:r w:rsidRPr="00795792">
                                    <w:rPr>
                                      <w:rFonts w:ascii="標楷體" w:eastAsia="標楷體" w:hAnsi="標楷體"/>
                                      <w:kern w:val="16"/>
                                    </w:rPr>
                                    <w:t>77</w:t>
                                  </w:r>
                                </w:p>
                              </w:tc>
                            </w:tr>
                            <w:tr w:rsidR="00F1456A" w:rsidRPr="00795792" w14:paraId="7AD28B75" w14:textId="77777777" w:rsidTr="004D7A70">
                              <w:trPr>
                                <w:trHeight w:val="20"/>
                              </w:trPr>
                              <w:tc>
                                <w:tcPr>
                                  <w:tcW w:w="417" w:type="dxa"/>
                                  <w:vMerge/>
                                  <w:shd w:val="clear" w:color="auto" w:fill="auto"/>
                                </w:tcPr>
                                <w:p w14:paraId="194F7996"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576" w:type="dxa"/>
                                  <w:vMerge/>
                                  <w:shd w:val="clear" w:color="auto" w:fill="auto"/>
                                  <w:vAlign w:val="center"/>
                                </w:tcPr>
                                <w:p w14:paraId="18F830C2"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1842" w:type="dxa"/>
                                  <w:vMerge/>
                                  <w:shd w:val="clear" w:color="auto" w:fill="auto"/>
                                  <w:vAlign w:val="center"/>
                                </w:tcPr>
                                <w:p w14:paraId="04733DF9" w14:textId="77777777" w:rsidR="00F1456A" w:rsidRPr="00795792" w:rsidRDefault="00F1456A" w:rsidP="0056458B">
                                  <w:pPr>
                                    <w:overflowPunct w:val="0"/>
                                    <w:adjustRightInd w:val="0"/>
                                    <w:spacing w:line="240" w:lineRule="exact"/>
                                    <w:jc w:val="center"/>
                                    <w:rPr>
                                      <w:rFonts w:ascii="標楷體" w:eastAsia="標楷體" w:hAnsi="標楷體"/>
                                      <w:kern w:val="16"/>
                                    </w:rPr>
                                  </w:pPr>
                                </w:p>
                              </w:tc>
                              <w:tc>
                                <w:tcPr>
                                  <w:tcW w:w="1134" w:type="dxa"/>
                                  <w:tcBorders>
                                    <w:top w:val="single" w:sz="4" w:space="0" w:color="auto"/>
                                  </w:tcBorders>
                                  <w:shd w:val="clear" w:color="auto" w:fill="auto"/>
                                  <w:vAlign w:val="center"/>
                                </w:tcPr>
                                <w:p w14:paraId="541D3579" w14:textId="77777777" w:rsidR="00F1456A" w:rsidRDefault="00F1456A" w:rsidP="0056458B">
                                  <w:pPr>
                                    <w:overflowPunct w:val="0"/>
                                    <w:adjustRightInd w:val="0"/>
                                    <w:spacing w:line="240" w:lineRule="exact"/>
                                    <w:ind w:leftChars="-45" w:left="-108" w:rightChars="-27" w:right="-65"/>
                                    <w:jc w:val="center"/>
                                    <w:rPr>
                                      <w:rFonts w:ascii="標楷體" w:eastAsia="標楷體" w:hAnsi="標楷體"/>
                                      <w:spacing w:val="-4"/>
                                      <w:kern w:val="16"/>
                                    </w:rPr>
                                  </w:pPr>
                                  <w:r w:rsidRPr="00795792">
                                    <w:rPr>
                                      <w:rFonts w:ascii="標楷體" w:eastAsia="標楷體" w:hAnsi="標楷體" w:hint="eastAsia"/>
                                      <w:spacing w:val="-4"/>
                                      <w:kern w:val="16"/>
                                    </w:rPr>
                                    <w:t>未知民眾</w:t>
                                  </w:r>
                                </w:p>
                                <w:p w14:paraId="7F994FC0" w14:textId="77777777" w:rsidR="00F1456A" w:rsidRPr="00795792" w:rsidRDefault="00F1456A" w:rsidP="0056458B">
                                  <w:pPr>
                                    <w:overflowPunct w:val="0"/>
                                    <w:adjustRightInd w:val="0"/>
                                    <w:spacing w:line="240" w:lineRule="exact"/>
                                    <w:ind w:leftChars="-45" w:left="-108" w:rightChars="-27" w:right="-65"/>
                                    <w:jc w:val="center"/>
                                    <w:rPr>
                                      <w:rFonts w:ascii="標楷體" w:eastAsia="標楷體" w:hAnsi="標楷體"/>
                                      <w:spacing w:val="-4"/>
                                      <w:kern w:val="16"/>
                                    </w:rPr>
                                  </w:pPr>
                                  <w:r w:rsidRPr="00795792">
                                    <w:rPr>
                                      <w:rFonts w:ascii="標楷體" w:eastAsia="標楷體" w:hAnsi="標楷體" w:hint="eastAsia"/>
                                      <w:spacing w:val="-4"/>
                                      <w:kern w:val="16"/>
                                    </w:rPr>
                                    <w:t>續辦與否</w:t>
                                  </w:r>
                                </w:p>
                              </w:tc>
                              <w:tc>
                                <w:tcPr>
                                  <w:tcW w:w="993" w:type="dxa"/>
                                  <w:tcBorders>
                                    <w:top w:val="single" w:sz="4" w:space="0" w:color="auto"/>
                                  </w:tcBorders>
                                  <w:vAlign w:val="center"/>
                                </w:tcPr>
                                <w:p w14:paraId="37956F10" w14:textId="77777777" w:rsidR="00F1456A" w:rsidRPr="00795792" w:rsidRDefault="00F1456A" w:rsidP="005D009F">
                                  <w:pPr>
                                    <w:overflowPunct w:val="0"/>
                                    <w:adjustRightInd w:val="0"/>
                                    <w:spacing w:line="240" w:lineRule="exact"/>
                                    <w:jc w:val="right"/>
                                    <w:rPr>
                                      <w:rFonts w:ascii="標楷體" w:eastAsia="標楷體" w:hAnsi="標楷體"/>
                                      <w:kern w:val="16"/>
                                    </w:rPr>
                                  </w:pPr>
                                  <w:r w:rsidRPr="00795792">
                                    <w:rPr>
                                      <w:rFonts w:ascii="標楷體" w:eastAsia="標楷體" w:hAnsi="標楷體" w:hint="eastAsia"/>
                                      <w:kern w:val="16"/>
                                    </w:rPr>
                                    <w:t>1</w:t>
                                  </w:r>
                                  <w:r w:rsidRPr="00795792">
                                    <w:rPr>
                                      <w:rFonts w:ascii="標楷體" w:eastAsia="標楷體" w:hAnsi="標楷體"/>
                                      <w:kern w:val="16"/>
                                    </w:rPr>
                                    <w:t>15</w:t>
                                  </w:r>
                                </w:p>
                              </w:tc>
                            </w:tr>
                            <w:tr w:rsidR="00F1456A" w:rsidRPr="00C85AE0" w14:paraId="6F13FAAA" w14:textId="77777777" w:rsidTr="004D7A70">
                              <w:trPr>
                                <w:trHeight w:val="1099"/>
                              </w:trPr>
                              <w:tc>
                                <w:tcPr>
                                  <w:tcW w:w="417" w:type="dxa"/>
                                  <w:vMerge/>
                                  <w:shd w:val="clear" w:color="auto" w:fill="auto"/>
                                </w:tcPr>
                                <w:p w14:paraId="7A3CEEC0"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576" w:type="dxa"/>
                                  <w:tcBorders>
                                    <w:top w:val="single" w:sz="4" w:space="0" w:color="auto"/>
                                  </w:tcBorders>
                                  <w:shd w:val="clear" w:color="auto" w:fill="auto"/>
                                  <w:vAlign w:val="center"/>
                                </w:tcPr>
                                <w:p w14:paraId="0EA047A5"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未列管</w:t>
                                  </w:r>
                                </w:p>
                                <w:p w14:paraId="35E93D37" w14:textId="77777777" w:rsidR="00F1456A" w:rsidRPr="006C3F07" w:rsidRDefault="00F1456A" w:rsidP="0056458B">
                                  <w:pPr>
                                    <w:overflowPunct w:val="0"/>
                                    <w:adjustRightInd w:val="0"/>
                                    <w:spacing w:line="0" w:lineRule="atLeast"/>
                                    <w:ind w:leftChars="-42" w:left="-101" w:rightChars="-35" w:right="-84"/>
                                    <w:jc w:val="center"/>
                                    <w:rPr>
                                      <w:rFonts w:ascii="標楷體" w:eastAsia="標楷體" w:hAnsi="標楷體"/>
                                      <w:spacing w:val="-24"/>
                                      <w:kern w:val="16"/>
                                    </w:rPr>
                                  </w:pPr>
                                  <w:r w:rsidRPr="006C3F07">
                                    <w:rPr>
                                      <w:rFonts w:ascii="標楷體" w:eastAsia="標楷體" w:hAnsi="標楷體" w:hint="eastAsia"/>
                                      <w:spacing w:val="-24"/>
                                      <w:kern w:val="16"/>
                                    </w:rPr>
                                    <w:t>（</w:t>
                                  </w:r>
                                  <w:r w:rsidRPr="006C3F07">
                                    <w:rPr>
                                      <w:rFonts w:ascii="標楷體" w:eastAsia="標楷體" w:hAnsi="標楷體"/>
                                      <w:spacing w:val="-24"/>
                                      <w:kern w:val="16"/>
                                    </w:rPr>
                                    <w:t>171）</w:t>
                                  </w:r>
                                </w:p>
                              </w:tc>
                              <w:tc>
                                <w:tcPr>
                                  <w:tcW w:w="2976" w:type="dxa"/>
                                  <w:gridSpan w:val="2"/>
                                  <w:tcBorders>
                                    <w:top w:val="single" w:sz="4" w:space="0" w:color="auto"/>
                                  </w:tcBorders>
                                  <w:shd w:val="clear" w:color="auto" w:fill="auto"/>
                                  <w:vAlign w:val="center"/>
                                </w:tcPr>
                                <w:p w14:paraId="4FDE2A44" w14:textId="77777777" w:rsidR="00F1456A" w:rsidRPr="00795792" w:rsidRDefault="00F1456A" w:rsidP="0056458B">
                                  <w:pPr>
                                    <w:overflowPunct w:val="0"/>
                                    <w:adjustRightInd w:val="0"/>
                                    <w:spacing w:beforeLines="50" w:before="180" w:line="0" w:lineRule="atLeast"/>
                                    <w:jc w:val="center"/>
                                    <w:rPr>
                                      <w:rFonts w:ascii="標楷體" w:eastAsia="標楷體" w:hAnsi="標楷體"/>
                                      <w:kern w:val="16"/>
                                    </w:rPr>
                                  </w:pPr>
                                  <w:r w:rsidRPr="00795792">
                                    <w:rPr>
                                      <w:rFonts w:ascii="標楷體" w:eastAsia="標楷體" w:hAnsi="標楷體" w:hint="eastAsia"/>
                                      <w:kern w:val="16"/>
                                    </w:rPr>
                                    <w:t>查無許可證字號、僅留存廣告物地址</w:t>
                                  </w:r>
                                  <w:r>
                                    <w:rPr>
                                      <w:rFonts w:ascii="標楷體" w:eastAsia="標楷體" w:hAnsi="標楷體" w:hint="eastAsia"/>
                                      <w:kern w:val="16"/>
                                    </w:rPr>
                                    <w:t>（</w:t>
                                  </w:r>
                                  <w:r w:rsidRPr="00795792">
                                    <w:rPr>
                                      <w:rFonts w:ascii="標楷體" w:eastAsia="標楷體" w:hAnsi="標楷體"/>
                                      <w:kern w:val="16"/>
                                    </w:rPr>
                                    <w:t>171</w:t>
                                  </w:r>
                                  <w:r>
                                    <w:rPr>
                                      <w:rFonts w:ascii="標楷體" w:eastAsia="標楷體" w:hAnsi="標楷體"/>
                                      <w:kern w:val="16"/>
                                    </w:rPr>
                                    <w:t>）</w:t>
                                  </w:r>
                                </w:p>
                              </w:tc>
                              <w:tc>
                                <w:tcPr>
                                  <w:tcW w:w="993" w:type="dxa"/>
                                  <w:tcBorders>
                                    <w:top w:val="single" w:sz="4" w:space="0" w:color="auto"/>
                                  </w:tcBorders>
                                  <w:vAlign w:val="center"/>
                                </w:tcPr>
                                <w:p w14:paraId="190850E4" w14:textId="77777777" w:rsidR="00F1456A" w:rsidRPr="00795792" w:rsidRDefault="00F1456A" w:rsidP="005D009F">
                                  <w:pPr>
                                    <w:overflowPunct w:val="0"/>
                                    <w:adjustRightInd w:val="0"/>
                                    <w:spacing w:line="0" w:lineRule="atLeast"/>
                                    <w:jc w:val="right"/>
                                    <w:rPr>
                                      <w:rFonts w:ascii="標楷體" w:eastAsia="標楷體" w:hAnsi="標楷體"/>
                                      <w:kern w:val="16"/>
                                    </w:rPr>
                                  </w:pPr>
                                  <w:r w:rsidRPr="00795792">
                                    <w:rPr>
                                      <w:rFonts w:ascii="標楷體" w:eastAsia="標楷體" w:hAnsi="標楷體" w:hint="eastAsia"/>
                                      <w:kern w:val="16"/>
                                    </w:rPr>
                                    <w:t>1</w:t>
                                  </w:r>
                                  <w:r w:rsidRPr="00795792">
                                    <w:rPr>
                                      <w:rFonts w:ascii="標楷體" w:eastAsia="標楷體" w:hAnsi="標楷體"/>
                                      <w:kern w:val="16"/>
                                    </w:rPr>
                                    <w:t>71</w:t>
                                  </w:r>
                                </w:p>
                              </w:tc>
                            </w:tr>
                            <w:tr w:rsidR="00F1456A" w:rsidRPr="00C85AE0" w14:paraId="28FE7E27" w14:textId="77777777" w:rsidTr="00091466">
                              <w:trPr>
                                <w:trHeight w:val="382"/>
                              </w:trPr>
                              <w:tc>
                                <w:tcPr>
                                  <w:tcW w:w="4962" w:type="dxa"/>
                                  <w:gridSpan w:val="5"/>
                                  <w:tcBorders>
                                    <w:top w:val="single" w:sz="4" w:space="0" w:color="auto"/>
                                    <w:left w:val="nil"/>
                                    <w:bottom w:val="nil"/>
                                    <w:right w:val="nil"/>
                                  </w:tcBorders>
                                </w:tcPr>
                                <w:p w14:paraId="6C8442AB" w14:textId="77777777" w:rsidR="00F1456A" w:rsidRPr="00DF0E79" w:rsidRDefault="00F1456A" w:rsidP="00091466">
                                  <w:pPr>
                                    <w:overflowPunct w:val="0"/>
                                    <w:adjustRightInd w:val="0"/>
                                    <w:snapToGrid w:val="0"/>
                                    <w:spacing w:line="0" w:lineRule="atLeast"/>
                                    <w:ind w:leftChars="-20" w:left="-48"/>
                                    <w:rPr>
                                      <w:rFonts w:ascii="標楷體" w:eastAsia="標楷體" w:hAnsi="標楷體"/>
                                      <w:kern w:val="16"/>
                                      <w:sz w:val="18"/>
                                      <w:szCs w:val="18"/>
                                    </w:rPr>
                                  </w:pPr>
                                  <w:r w:rsidRPr="00DF0E79">
                                    <w:rPr>
                                      <w:rFonts w:ascii="標楷體" w:eastAsia="標楷體" w:hAnsi="標楷體" w:hint="eastAsia"/>
                                      <w:kern w:val="16"/>
                                      <w:sz w:val="18"/>
                                      <w:szCs w:val="18"/>
                                    </w:rPr>
                                    <w:t>資料來源：整理自</w:t>
                                  </w:r>
                                  <w:r>
                                    <w:rPr>
                                      <w:rFonts w:ascii="標楷體" w:eastAsia="標楷體" w:hAnsi="標楷體" w:hint="eastAsia"/>
                                      <w:kern w:val="16"/>
                                      <w:sz w:val="18"/>
                                      <w:szCs w:val="18"/>
                                    </w:rPr>
                                    <w:t>建築管理工程</w:t>
                                  </w:r>
                                  <w:r w:rsidRPr="00DF0E79">
                                    <w:rPr>
                                      <w:rFonts w:ascii="標楷體" w:eastAsia="標楷體" w:hAnsi="標楷體" w:hint="eastAsia"/>
                                      <w:kern w:val="16"/>
                                      <w:sz w:val="18"/>
                                      <w:szCs w:val="18"/>
                                    </w:rPr>
                                    <w:t>處提供資料。</w:t>
                                  </w:r>
                                </w:p>
                              </w:tc>
                            </w:tr>
                          </w:tbl>
                          <w:p w14:paraId="463A6487" w14:textId="77777777" w:rsidR="00F1456A" w:rsidRPr="00196ACA" w:rsidRDefault="00F1456A" w:rsidP="00F1456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E7FFC1" id="_x0000_s1135" type="#_x0000_t202" style="position:absolute;left:0;text-align:left;margin-left:232.5pt;margin-top:77.85pt;width:261pt;height:227.25pt;z-index:251827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" stroked="f">
                <v:textbox>
                  <w:txbxContent>
                    <w:tbl>
                      <w:tblPr>
                        <w:tblStyle w:val="a6"/>
                        <w:tblW w:w="4962" w:type="dxa"/>
                        <w:tblLayout w:type="fixed"/>
                        <w:tblLook w:val="04A0" w:firstRow="1" w:lastRow="0" w:firstColumn="1" w:lastColumn="0" w:noHBand="0" w:noVBand="1"/>
                      </w:tblPr>
                      <w:tblGrid>
                        <w:gridCol w:w="417"/>
                        <w:gridCol w:w="576"/>
                        <w:gridCol w:w="1842"/>
                        <w:gridCol w:w="1134"/>
                        <w:gridCol w:w="993"/>
                      </w:tblGrid>
                      <w:tr w:rsidR="00F1456A" w:rsidRPr="003A4789" w14:paraId="4F4CC678" w14:textId="77777777" w:rsidTr="004D7A70">
                        <w:trPr>
                          <w:trHeight w:val="199"/>
                        </w:trPr>
                        <w:tc>
                          <w:tcPr>
                            <w:tcW w:w="4962" w:type="dxa"/>
                            <w:gridSpan w:val="5"/>
                            <w:tcBorders>
                              <w:top w:val="nil"/>
                              <w:left w:val="nil"/>
                              <w:bottom w:val="nil"/>
                              <w:right w:val="nil"/>
                            </w:tcBorders>
                          </w:tcPr>
                          <w:p w14:paraId="2B6B529B" w14:textId="14CAE5AB" w:rsidR="00F1456A" w:rsidRPr="006144B8" w:rsidRDefault="00F1456A" w:rsidP="005D009F">
                            <w:pPr>
                              <w:overflowPunct w:val="0"/>
                              <w:adjustRightInd w:val="0"/>
                              <w:spacing w:line="300" w:lineRule="exact"/>
                              <w:ind w:left="535" w:rightChars="-31" w:right="-74" w:hangingChars="262" w:hanging="535"/>
                              <w:rPr>
                                <w:rFonts w:ascii="標楷體" w:eastAsia="標楷體" w:hAnsi="標楷體"/>
                                <w:b/>
                                <w:spacing w:val="-6"/>
                                <w:kern w:val="16"/>
                                <w:sz w:val="24"/>
                                <w:szCs w:val="24"/>
                              </w:rPr>
                            </w:pPr>
                            <w:r w:rsidRPr="0094345E">
                              <w:rPr>
                                <w:rFonts w:ascii="標楷體" w:eastAsia="標楷體" w:hAnsi="標楷體" w:hint="eastAsia"/>
                                <w:b/>
                                <w:spacing w:val="-18"/>
                                <w:kern w:val="16"/>
                                <w:sz w:val="24"/>
                                <w:szCs w:val="24"/>
                              </w:rPr>
                              <w:t>表</w:t>
                            </w:r>
                            <w:r>
                              <w:rPr>
                                <w:rFonts w:ascii="標楷體" w:eastAsia="標楷體" w:hAnsi="標楷體" w:hint="eastAsia"/>
                                <w:b/>
                                <w:spacing w:val="-18"/>
                                <w:kern w:val="16"/>
                                <w:sz w:val="24"/>
                                <w:szCs w:val="24"/>
                              </w:rPr>
                              <w:t>8</w:t>
                            </w:r>
                            <w:r w:rsidR="005D009F">
                              <w:rPr>
                                <w:rFonts w:ascii="標楷體" w:eastAsia="標楷體" w:hAnsi="標楷體" w:hint="eastAsia"/>
                                <w:b/>
                                <w:spacing w:val="-18"/>
                                <w:kern w:val="16"/>
                                <w:sz w:val="24"/>
                                <w:szCs w:val="24"/>
                              </w:rPr>
                              <w:t xml:space="preserve">　</w:t>
                            </w:r>
                            <w:r w:rsidRPr="0094345E">
                              <w:rPr>
                                <w:rFonts w:ascii="標楷體" w:eastAsia="標楷體" w:hAnsi="標楷體" w:hint="eastAsia"/>
                                <w:b/>
                                <w:spacing w:val="-18"/>
                                <w:kern w:val="16"/>
                                <w:sz w:val="24"/>
                                <w:szCs w:val="24"/>
                              </w:rPr>
                              <w:t>107年核准（備）廣告物截至1</w:t>
                            </w:r>
                            <w:r w:rsidRPr="0094345E">
                              <w:rPr>
                                <w:rFonts w:ascii="標楷體" w:eastAsia="標楷體" w:hAnsi="標楷體"/>
                                <w:b/>
                                <w:spacing w:val="-18"/>
                                <w:kern w:val="16"/>
                                <w:sz w:val="24"/>
                                <w:szCs w:val="24"/>
                              </w:rPr>
                              <w:t>13</w:t>
                            </w:r>
                            <w:r w:rsidRPr="0094345E">
                              <w:rPr>
                                <w:rFonts w:ascii="標楷體" w:eastAsia="標楷體" w:hAnsi="標楷體" w:hint="eastAsia"/>
                                <w:b/>
                                <w:spacing w:val="-18"/>
                                <w:kern w:val="16"/>
                                <w:sz w:val="24"/>
                                <w:szCs w:val="24"/>
                              </w:rPr>
                              <w:t>年10月29日列管情形</w:t>
                            </w:r>
                          </w:p>
                        </w:tc>
                      </w:tr>
                      <w:tr w:rsidR="00F1456A" w:rsidRPr="00795792" w14:paraId="36A05143" w14:textId="77777777" w:rsidTr="004D7A70">
                        <w:trPr>
                          <w:trHeight w:val="20"/>
                        </w:trPr>
                        <w:tc>
                          <w:tcPr>
                            <w:tcW w:w="4962" w:type="dxa"/>
                            <w:gridSpan w:val="5"/>
                            <w:tcBorders>
                              <w:top w:val="nil"/>
                              <w:left w:val="nil"/>
                              <w:bottom w:val="single" w:sz="4" w:space="0" w:color="auto"/>
                              <w:right w:val="nil"/>
                            </w:tcBorders>
                          </w:tcPr>
                          <w:p w14:paraId="4F66D258" w14:textId="77777777" w:rsidR="00F1456A" w:rsidRPr="00795792" w:rsidRDefault="00F1456A" w:rsidP="0056458B">
                            <w:pPr>
                              <w:overflowPunct w:val="0"/>
                              <w:adjustRightInd w:val="0"/>
                              <w:spacing w:line="240" w:lineRule="exact"/>
                              <w:jc w:val="right"/>
                              <w:rPr>
                                <w:rFonts w:ascii="標楷體" w:eastAsia="標楷體" w:hAnsi="標楷體"/>
                                <w:kern w:val="16"/>
                              </w:rPr>
                            </w:pPr>
                            <w:r w:rsidRPr="00795792">
                              <w:rPr>
                                <w:rFonts w:ascii="標楷體" w:eastAsia="標楷體" w:hAnsi="標楷體" w:hint="eastAsia"/>
                                <w:kern w:val="16"/>
                              </w:rPr>
                              <w:t>單位：件</w:t>
                            </w:r>
                          </w:p>
                        </w:tc>
                      </w:tr>
                      <w:tr w:rsidR="00F1456A" w:rsidRPr="00795792" w14:paraId="0042EFC1" w14:textId="77777777" w:rsidTr="004D7A70">
                        <w:trPr>
                          <w:trHeight w:val="20"/>
                        </w:trPr>
                        <w:tc>
                          <w:tcPr>
                            <w:tcW w:w="3969" w:type="dxa"/>
                            <w:gridSpan w:val="4"/>
                            <w:tcBorders>
                              <w:top w:val="single" w:sz="4" w:space="0" w:color="auto"/>
                            </w:tcBorders>
                            <w:vAlign w:val="center"/>
                          </w:tcPr>
                          <w:p w14:paraId="3F5A4245"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項目</w:t>
                            </w:r>
                          </w:p>
                        </w:tc>
                        <w:tc>
                          <w:tcPr>
                            <w:tcW w:w="993" w:type="dxa"/>
                            <w:tcBorders>
                              <w:top w:val="single" w:sz="4" w:space="0" w:color="auto"/>
                            </w:tcBorders>
                          </w:tcPr>
                          <w:p w14:paraId="04AD1D1F"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件數</w:t>
                            </w:r>
                          </w:p>
                        </w:tc>
                      </w:tr>
                      <w:tr w:rsidR="00F1456A" w:rsidRPr="00795792" w14:paraId="6B5CF098" w14:textId="77777777" w:rsidTr="004D7A70">
                        <w:trPr>
                          <w:trHeight w:val="20"/>
                        </w:trPr>
                        <w:tc>
                          <w:tcPr>
                            <w:tcW w:w="3969" w:type="dxa"/>
                            <w:gridSpan w:val="4"/>
                            <w:tcBorders>
                              <w:top w:val="single" w:sz="4" w:space="0" w:color="auto"/>
                            </w:tcBorders>
                            <w:shd w:val="clear" w:color="auto" w:fill="auto"/>
                            <w:vAlign w:val="center"/>
                          </w:tcPr>
                          <w:p w14:paraId="22F46926" w14:textId="77777777" w:rsidR="00F1456A" w:rsidRPr="00691ED0" w:rsidRDefault="00F1456A" w:rsidP="0056458B">
                            <w:pPr>
                              <w:overflowPunct w:val="0"/>
                              <w:adjustRightInd w:val="0"/>
                              <w:spacing w:line="0" w:lineRule="atLeast"/>
                              <w:jc w:val="center"/>
                              <w:rPr>
                                <w:rFonts w:ascii="標楷體" w:eastAsia="標楷體" w:hAnsi="標楷體"/>
                                <w:b/>
                                <w:bCs/>
                                <w:kern w:val="16"/>
                              </w:rPr>
                            </w:pPr>
                            <w:r w:rsidRPr="00691ED0">
                              <w:rPr>
                                <w:rFonts w:ascii="標楷體" w:eastAsia="標楷體" w:hAnsi="標楷體" w:hint="eastAsia"/>
                                <w:b/>
                                <w:bCs/>
                                <w:kern w:val="16"/>
                              </w:rPr>
                              <w:t>合計</w:t>
                            </w:r>
                          </w:p>
                        </w:tc>
                        <w:tc>
                          <w:tcPr>
                            <w:tcW w:w="993" w:type="dxa"/>
                            <w:tcBorders>
                              <w:top w:val="single" w:sz="4" w:space="0" w:color="auto"/>
                            </w:tcBorders>
                            <w:shd w:val="clear" w:color="auto" w:fill="auto"/>
                          </w:tcPr>
                          <w:p w14:paraId="1572ACD4" w14:textId="77777777" w:rsidR="00F1456A" w:rsidRPr="00691ED0" w:rsidRDefault="00F1456A" w:rsidP="005D009F">
                            <w:pPr>
                              <w:overflowPunct w:val="0"/>
                              <w:adjustRightInd w:val="0"/>
                              <w:spacing w:line="0" w:lineRule="atLeast"/>
                              <w:jc w:val="right"/>
                              <w:rPr>
                                <w:rFonts w:ascii="標楷體" w:eastAsia="標楷體" w:hAnsi="標楷體"/>
                                <w:b/>
                                <w:bCs/>
                                <w:kern w:val="16"/>
                              </w:rPr>
                            </w:pPr>
                            <w:r w:rsidRPr="00691ED0">
                              <w:rPr>
                                <w:rFonts w:ascii="標楷體" w:eastAsia="標楷體" w:hAnsi="標楷體"/>
                                <w:b/>
                                <w:bCs/>
                                <w:kern w:val="16"/>
                              </w:rPr>
                              <w:t>385</w:t>
                            </w:r>
                          </w:p>
                        </w:tc>
                      </w:tr>
                      <w:tr w:rsidR="00F1456A" w:rsidRPr="00795792" w14:paraId="26E3AA7D" w14:textId="77777777" w:rsidTr="004D7A70">
                        <w:trPr>
                          <w:trHeight w:val="20"/>
                        </w:trPr>
                        <w:tc>
                          <w:tcPr>
                            <w:tcW w:w="417" w:type="dxa"/>
                            <w:vMerge w:val="restart"/>
                            <w:tcBorders>
                              <w:top w:val="single" w:sz="4" w:space="0" w:color="auto"/>
                            </w:tcBorders>
                            <w:shd w:val="clear" w:color="auto" w:fill="auto"/>
                            <w:vAlign w:val="center"/>
                          </w:tcPr>
                          <w:p w14:paraId="6786DE2B"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許可屆期日</w:t>
                            </w:r>
                          </w:p>
                        </w:tc>
                        <w:tc>
                          <w:tcPr>
                            <w:tcW w:w="576" w:type="dxa"/>
                            <w:vMerge w:val="restart"/>
                            <w:tcBorders>
                              <w:top w:val="single" w:sz="4" w:space="0" w:color="auto"/>
                            </w:tcBorders>
                            <w:shd w:val="clear" w:color="auto" w:fill="auto"/>
                            <w:vAlign w:val="center"/>
                          </w:tcPr>
                          <w:p w14:paraId="3C0607A4"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有</w:t>
                            </w:r>
                          </w:p>
                          <w:p w14:paraId="4E5FE742"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列管</w:t>
                            </w:r>
                          </w:p>
                          <w:p w14:paraId="5037B028" w14:textId="77777777" w:rsidR="00F1456A" w:rsidRPr="006C3F07" w:rsidRDefault="00F1456A" w:rsidP="0056458B">
                            <w:pPr>
                              <w:overflowPunct w:val="0"/>
                              <w:adjustRightInd w:val="0"/>
                              <w:spacing w:line="0" w:lineRule="atLeast"/>
                              <w:ind w:leftChars="-54" w:left="-130" w:rightChars="-30" w:right="-72"/>
                              <w:jc w:val="center"/>
                              <w:rPr>
                                <w:rFonts w:ascii="標楷體" w:eastAsia="標楷體" w:hAnsi="標楷體"/>
                                <w:spacing w:val="-20"/>
                                <w:kern w:val="16"/>
                              </w:rPr>
                            </w:pPr>
                            <w:r w:rsidRPr="006C3F07">
                              <w:rPr>
                                <w:rFonts w:ascii="標楷體" w:eastAsia="標楷體" w:hAnsi="標楷體" w:hint="eastAsia"/>
                                <w:spacing w:val="-20"/>
                                <w:kern w:val="16"/>
                              </w:rPr>
                              <w:t>（</w:t>
                            </w:r>
                            <w:r w:rsidRPr="006C3F07">
                              <w:rPr>
                                <w:rFonts w:ascii="標楷體" w:eastAsia="標楷體" w:hAnsi="標楷體"/>
                                <w:spacing w:val="-20"/>
                                <w:kern w:val="16"/>
                              </w:rPr>
                              <w:t>214）</w:t>
                            </w:r>
                          </w:p>
                        </w:tc>
                        <w:tc>
                          <w:tcPr>
                            <w:tcW w:w="1842" w:type="dxa"/>
                            <w:vMerge w:val="restart"/>
                            <w:tcBorders>
                              <w:top w:val="single" w:sz="4" w:space="0" w:color="auto"/>
                            </w:tcBorders>
                            <w:shd w:val="clear" w:color="auto" w:fill="auto"/>
                            <w:vAlign w:val="center"/>
                          </w:tcPr>
                          <w:p w14:paraId="036DDEED" w14:textId="77777777" w:rsidR="00F1456A" w:rsidRPr="00795792" w:rsidRDefault="00F1456A" w:rsidP="0056458B">
                            <w:pPr>
                              <w:overflowPunct w:val="0"/>
                              <w:adjustRightInd w:val="0"/>
                              <w:spacing w:line="0" w:lineRule="atLeast"/>
                              <w:ind w:leftChars="-49" w:left="-118" w:rightChars="-38" w:right="-91"/>
                              <w:jc w:val="center"/>
                              <w:rPr>
                                <w:rFonts w:ascii="標楷體" w:eastAsia="標楷體" w:hAnsi="標楷體"/>
                                <w:kern w:val="16"/>
                              </w:rPr>
                            </w:pPr>
                            <w:r w:rsidRPr="00795792">
                              <w:rPr>
                                <w:rFonts w:ascii="標楷體" w:eastAsia="標楷體" w:hAnsi="標楷體" w:hint="eastAsia"/>
                                <w:kern w:val="16"/>
                              </w:rPr>
                              <w:t>民眾已重辦許可申請</w:t>
                            </w:r>
                            <w:r>
                              <w:rPr>
                                <w:rFonts w:ascii="標楷體" w:eastAsia="標楷體" w:hAnsi="標楷體" w:hint="eastAsia"/>
                                <w:kern w:val="16"/>
                              </w:rPr>
                              <w:t>（</w:t>
                            </w:r>
                            <w:r w:rsidRPr="00795792">
                              <w:rPr>
                                <w:rFonts w:ascii="標楷體" w:eastAsia="標楷體" w:hAnsi="標楷體"/>
                                <w:kern w:val="16"/>
                              </w:rPr>
                              <w:t>22</w:t>
                            </w:r>
                            <w:r>
                              <w:rPr>
                                <w:rFonts w:ascii="標楷體" w:eastAsia="標楷體" w:hAnsi="標楷體"/>
                                <w:kern w:val="16"/>
                              </w:rPr>
                              <w:t>）</w:t>
                            </w:r>
                          </w:p>
                        </w:tc>
                        <w:tc>
                          <w:tcPr>
                            <w:tcW w:w="1134" w:type="dxa"/>
                            <w:tcBorders>
                              <w:top w:val="single" w:sz="4" w:space="0" w:color="auto"/>
                            </w:tcBorders>
                            <w:vAlign w:val="center"/>
                          </w:tcPr>
                          <w:p w14:paraId="290DEF42"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續辦完成</w:t>
                            </w:r>
                          </w:p>
                        </w:tc>
                        <w:tc>
                          <w:tcPr>
                            <w:tcW w:w="993" w:type="dxa"/>
                            <w:tcBorders>
                              <w:top w:val="single" w:sz="4" w:space="0" w:color="auto"/>
                            </w:tcBorders>
                            <w:vAlign w:val="center"/>
                          </w:tcPr>
                          <w:p w14:paraId="16A0838E" w14:textId="77777777" w:rsidR="00F1456A" w:rsidRPr="00795792" w:rsidRDefault="00F1456A" w:rsidP="005D009F">
                            <w:pPr>
                              <w:overflowPunct w:val="0"/>
                              <w:adjustRightInd w:val="0"/>
                              <w:spacing w:line="0" w:lineRule="atLeast"/>
                              <w:jc w:val="right"/>
                              <w:rPr>
                                <w:rFonts w:ascii="標楷體" w:eastAsia="標楷體" w:hAnsi="標楷體"/>
                                <w:kern w:val="16"/>
                              </w:rPr>
                            </w:pPr>
                            <w:r w:rsidRPr="00795792">
                              <w:rPr>
                                <w:rFonts w:ascii="標楷體" w:eastAsia="標楷體" w:hAnsi="標楷體"/>
                                <w:kern w:val="16"/>
                              </w:rPr>
                              <w:t>21</w:t>
                            </w:r>
                          </w:p>
                        </w:tc>
                      </w:tr>
                      <w:tr w:rsidR="00F1456A" w:rsidRPr="00795792" w14:paraId="3D75FE29" w14:textId="77777777" w:rsidTr="004D7A70">
                        <w:trPr>
                          <w:trHeight w:val="20"/>
                        </w:trPr>
                        <w:tc>
                          <w:tcPr>
                            <w:tcW w:w="417" w:type="dxa"/>
                            <w:vMerge/>
                            <w:shd w:val="clear" w:color="auto" w:fill="auto"/>
                          </w:tcPr>
                          <w:p w14:paraId="07105754"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576" w:type="dxa"/>
                            <w:vMerge/>
                            <w:shd w:val="clear" w:color="auto" w:fill="auto"/>
                            <w:vAlign w:val="center"/>
                          </w:tcPr>
                          <w:p w14:paraId="18F2E3CC"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1842" w:type="dxa"/>
                            <w:vMerge/>
                            <w:shd w:val="clear" w:color="auto" w:fill="auto"/>
                            <w:vAlign w:val="center"/>
                          </w:tcPr>
                          <w:p w14:paraId="3919B804"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1134" w:type="dxa"/>
                            <w:tcBorders>
                              <w:top w:val="single" w:sz="4" w:space="0" w:color="auto"/>
                            </w:tcBorders>
                            <w:vAlign w:val="center"/>
                          </w:tcPr>
                          <w:p w14:paraId="2AB5400E" w14:textId="77777777" w:rsidR="00F1456A" w:rsidRPr="00795792" w:rsidRDefault="00F1456A" w:rsidP="0056458B">
                            <w:pPr>
                              <w:overflowPunct w:val="0"/>
                              <w:adjustRightInd w:val="0"/>
                              <w:spacing w:line="0" w:lineRule="atLeast"/>
                              <w:jc w:val="center"/>
                              <w:rPr>
                                <w:rFonts w:ascii="標楷體" w:eastAsia="標楷體" w:hAnsi="標楷體"/>
                                <w:kern w:val="16"/>
                              </w:rPr>
                            </w:pPr>
                            <w:proofErr w:type="gramStart"/>
                            <w:r w:rsidRPr="00795792">
                              <w:rPr>
                                <w:rFonts w:ascii="標楷體" w:eastAsia="標楷體" w:hAnsi="標楷體" w:hint="eastAsia"/>
                                <w:kern w:val="16"/>
                              </w:rPr>
                              <w:t>續辦退件</w:t>
                            </w:r>
                            <w:proofErr w:type="gramEnd"/>
                          </w:p>
                        </w:tc>
                        <w:tc>
                          <w:tcPr>
                            <w:tcW w:w="993" w:type="dxa"/>
                            <w:tcBorders>
                              <w:top w:val="single" w:sz="4" w:space="0" w:color="auto"/>
                            </w:tcBorders>
                            <w:vAlign w:val="center"/>
                          </w:tcPr>
                          <w:p w14:paraId="06672152" w14:textId="77777777" w:rsidR="00F1456A" w:rsidRPr="00795792" w:rsidRDefault="00F1456A" w:rsidP="005D009F">
                            <w:pPr>
                              <w:overflowPunct w:val="0"/>
                              <w:adjustRightInd w:val="0"/>
                              <w:spacing w:line="0" w:lineRule="atLeast"/>
                              <w:jc w:val="right"/>
                              <w:rPr>
                                <w:rFonts w:ascii="標楷體" w:eastAsia="標楷體" w:hAnsi="標楷體"/>
                                <w:kern w:val="16"/>
                              </w:rPr>
                            </w:pPr>
                            <w:r w:rsidRPr="00795792">
                              <w:rPr>
                                <w:rFonts w:ascii="標楷體" w:eastAsia="標楷體" w:hAnsi="標楷體" w:hint="eastAsia"/>
                                <w:kern w:val="16"/>
                              </w:rPr>
                              <w:t>1</w:t>
                            </w:r>
                          </w:p>
                        </w:tc>
                      </w:tr>
                      <w:tr w:rsidR="00F1456A" w:rsidRPr="00795792" w14:paraId="18A8A85B" w14:textId="77777777" w:rsidTr="004D7A70">
                        <w:trPr>
                          <w:trHeight w:val="20"/>
                        </w:trPr>
                        <w:tc>
                          <w:tcPr>
                            <w:tcW w:w="417" w:type="dxa"/>
                            <w:vMerge/>
                            <w:shd w:val="clear" w:color="auto" w:fill="auto"/>
                            <w:vAlign w:val="center"/>
                          </w:tcPr>
                          <w:p w14:paraId="72A44DA6"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576" w:type="dxa"/>
                            <w:vMerge/>
                            <w:shd w:val="clear" w:color="auto" w:fill="auto"/>
                            <w:vAlign w:val="center"/>
                          </w:tcPr>
                          <w:p w14:paraId="2443C295"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1842" w:type="dxa"/>
                            <w:vMerge w:val="restart"/>
                            <w:tcBorders>
                              <w:top w:val="single" w:sz="4" w:space="0" w:color="auto"/>
                            </w:tcBorders>
                            <w:shd w:val="clear" w:color="auto" w:fill="auto"/>
                            <w:vAlign w:val="center"/>
                          </w:tcPr>
                          <w:p w14:paraId="568C898C" w14:textId="77777777" w:rsidR="00F1456A" w:rsidRPr="00795792" w:rsidRDefault="00F1456A" w:rsidP="0056458B">
                            <w:pPr>
                              <w:overflowPunct w:val="0"/>
                              <w:adjustRightInd w:val="0"/>
                              <w:spacing w:line="240" w:lineRule="exact"/>
                              <w:ind w:leftChars="-61" w:left="-146" w:rightChars="-44" w:right="-106"/>
                              <w:jc w:val="center"/>
                              <w:rPr>
                                <w:rFonts w:ascii="標楷體" w:eastAsia="標楷體" w:hAnsi="標楷體"/>
                                <w:kern w:val="16"/>
                              </w:rPr>
                            </w:pPr>
                            <w:r w:rsidRPr="00795792">
                              <w:rPr>
                                <w:rFonts w:ascii="標楷體" w:eastAsia="標楷體" w:hAnsi="標楷體" w:hint="eastAsia"/>
                                <w:kern w:val="16"/>
                              </w:rPr>
                              <w:t>未掌握民眾續予使用需求狀態者</w:t>
                            </w:r>
                            <w:r>
                              <w:rPr>
                                <w:rFonts w:ascii="標楷體" w:eastAsia="標楷體" w:hAnsi="標楷體" w:hint="eastAsia"/>
                                <w:kern w:val="16"/>
                              </w:rPr>
                              <w:t>（</w:t>
                            </w:r>
                            <w:r w:rsidRPr="00795792">
                              <w:rPr>
                                <w:rFonts w:ascii="標楷體" w:eastAsia="標楷體" w:hAnsi="標楷體"/>
                                <w:kern w:val="16"/>
                              </w:rPr>
                              <w:t>192</w:t>
                            </w:r>
                            <w:r>
                              <w:rPr>
                                <w:rFonts w:ascii="標楷體" w:eastAsia="標楷體" w:hAnsi="標楷體"/>
                                <w:kern w:val="16"/>
                              </w:rPr>
                              <w:t>）</w:t>
                            </w:r>
                          </w:p>
                        </w:tc>
                        <w:tc>
                          <w:tcPr>
                            <w:tcW w:w="1134" w:type="dxa"/>
                            <w:tcBorders>
                              <w:top w:val="single" w:sz="4" w:space="0" w:color="auto"/>
                            </w:tcBorders>
                            <w:shd w:val="clear" w:color="auto" w:fill="auto"/>
                            <w:vAlign w:val="center"/>
                          </w:tcPr>
                          <w:p w14:paraId="68859B45" w14:textId="77777777" w:rsidR="00F1456A" w:rsidRPr="00795792" w:rsidRDefault="00F1456A" w:rsidP="0056458B">
                            <w:pPr>
                              <w:overflowPunct w:val="0"/>
                              <w:adjustRightInd w:val="0"/>
                              <w:spacing w:line="240" w:lineRule="exact"/>
                              <w:ind w:leftChars="-45" w:left="-108"/>
                              <w:jc w:val="center"/>
                              <w:rPr>
                                <w:rFonts w:ascii="標楷體" w:eastAsia="標楷體" w:hAnsi="標楷體"/>
                                <w:kern w:val="16"/>
                              </w:rPr>
                            </w:pPr>
                            <w:r w:rsidRPr="00795792">
                              <w:rPr>
                                <w:rFonts w:ascii="標楷體" w:eastAsia="標楷體" w:hAnsi="標楷體" w:hint="eastAsia"/>
                                <w:kern w:val="16"/>
                              </w:rPr>
                              <w:t>已知民眾</w:t>
                            </w:r>
                          </w:p>
                          <w:p w14:paraId="68A296FB" w14:textId="77777777" w:rsidR="00F1456A" w:rsidRPr="00795792" w:rsidRDefault="00F1456A" w:rsidP="0056458B">
                            <w:pPr>
                              <w:overflowPunct w:val="0"/>
                              <w:adjustRightInd w:val="0"/>
                              <w:spacing w:line="240" w:lineRule="exact"/>
                              <w:ind w:leftChars="-45" w:left="-108"/>
                              <w:jc w:val="center"/>
                              <w:rPr>
                                <w:rFonts w:ascii="標楷體" w:eastAsia="標楷體" w:hAnsi="標楷體"/>
                                <w:kern w:val="16"/>
                              </w:rPr>
                            </w:pPr>
                            <w:r w:rsidRPr="00795792">
                              <w:rPr>
                                <w:rFonts w:ascii="標楷體" w:eastAsia="標楷體" w:hAnsi="標楷體" w:hint="eastAsia"/>
                                <w:kern w:val="16"/>
                              </w:rPr>
                              <w:t>未續辦</w:t>
                            </w:r>
                          </w:p>
                        </w:tc>
                        <w:tc>
                          <w:tcPr>
                            <w:tcW w:w="993" w:type="dxa"/>
                            <w:tcBorders>
                              <w:top w:val="single" w:sz="4" w:space="0" w:color="auto"/>
                            </w:tcBorders>
                            <w:vAlign w:val="center"/>
                          </w:tcPr>
                          <w:p w14:paraId="4087111F" w14:textId="77777777" w:rsidR="00F1456A" w:rsidRPr="00795792" w:rsidRDefault="00F1456A" w:rsidP="005D009F">
                            <w:pPr>
                              <w:overflowPunct w:val="0"/>
                              <w:adjustRightInd w:val="0"/>
                              <w:spacing w:line="240" w:lineRule="exact"/>
                              <w:jc w:val="right"/>
                              <w:rPr>
                                <w:rFonts w:ascii="標楷體" w:eastAsia="標楷體" w:hAnsi="標楷體"/>
                                <w:kern w:val="16"/>
                              </w:rPr>
                            </w:pPr>
                            <w:r w:rsidRPr="00795792">
                              <w:rPr>
                                <w:rFonts w:ascii="標楷體" w:eastAsia="標楷體" w:hAnsi="標楷體"/>
                                <w:kern w:val="16"/>
                              </w:rPr>
                              <w:t>77</w:t>
                            </w:r>
                          </w:p>
                        </w:tc>
                      </w:tr>
                      <w:tr w:rsidR="00F1456A" w:rsidRPr="00795792" w14:paraId="7AD28B75" w14:textId="77777777" w:rsidTr="004D7A70">
                        <w:trPr>
                          <w:trHeight w:val="20"/>
                        </w:trPr>
                        <w:tc>
                          <w:tcPr>
                            <w:tcW w:w="417" w:type="dxa"/>
                            <w:vMerge/>
                            <w:shd w:val="clear" w:color="auto" w:fill="auto"/>
                          </w:tcPr>
                          <w:p w14:paraId="194F7996"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576" w:type="dxa"/>
                            <w:vMerge/>
                            <w:shd w:val="clear" w:color="auto" w:fill="auto"/>
                            <w:vAlign w:val="center"/>
                          </w:tcPr>
                          <w:p w14:paraId="18F830C2"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1842" w:type="dxa"/>
                            <w:vMerge/>
                            <w:shd w:val="clear" w:color="auto" w:fill="auto"/>
                            <w:vAlign w:val="center"/>
                          </w:tcPr>
                          <w:p w14:paraId="04733DF9" w14:textId="77777777" w:rsidR="00F1456A" w:rsidRPr="00795792" w:rsidRDefault="00F1456A" w:rsidP="0056458B">
                            <w:pPr>
                              <w:overflowPunct w:val="0"/>
                              <w:adjustRightInd w:val="0"/>
                              <w:spacing w:line="240" w:lineRule="exact"/>
                              <w:jc w:val="center"/>
                              <w:rPr>
                                <w:rFonts w:ascii="標楷體" w:eastAsia="標楷體" w:hAnsi="標楷體"/>
                                <w:kern w:val="16"/>
                              </w:rPr>
                            </w:pPr>
                          </w:p>
                        </w:tc>
                        <w:tc>
                          <w:tcPr>
                            <w:tcW w:w="1134" w:type="dxa"/>
                            <w:tcBorders>
                              <w:top w:val="single" w:sz="4" w:space="0" w:color="auto"/>
                            </w:tcBorders>
                            <w:shd w:val="clear" w:color="auto" w:fill="auto"/>
                            <w:vAlign w:val="center"/>
                          </w:tcPr>
                          <w:p w14:paraId="541D3579" w14:textId="77777777" w:rsidR="00F1456A" w:rsidRDefault="00F1456A" w:rsidP="0056458B">
                            <w:pPr>
                              <w:overflowPunct w:val="0"/>
                              <w:adjustRightInd w:val="0"/>
                              <w:spacing w:line="240" w:lineRule="exact"/>
                              <w:ind w:leftChars="-45" w:left="-108" w:rightChars="-27" w:right="-65"/>
                              <w:jc w:val="center"/>
                              <w:rPr>
                                <w:rFonts w:ascii="標楷體" w:eastAsia="標楷體" w:hAnsi="標楷體"/>
                                <w:spacing w:val="-4"/>
                                <w:kern w:val="16"/>
                              </w:rPr>
                            </w:pPr>
                            <w:r w:rsidRPr="00795792">
                              <w:rPr>
                                <w:rFonts w:ascii="標楷體" w:eastAsia="標楷體" w:hAnsi="標楷體" w:hint="eastAsia"/>
                                <w:spacing w:val="-4"/>
                                <w:kern w:val="16"/>
                              </w:rPr>
                              <w:t>未知民眾</w:t>
                            </w:r>
                          </w:p>
                          <w:p w14:paraId="7F994FC0" w14:textId="77777777" w:rsidR="00F1456A" w:rsidRPr="00795792" w:rsidRDefault="00F1456A" w:rsidP="0056458B">
                            <w:pPr>
                              <w:overflowPunct w:val="0"/>
                              <w:adjustRightInd w:val="0"/>
                              <w:spacing w:line="240" w:lineRule="exact"/>
                              <w:ind w:leftChars="-45" w:left="-108" w:rightChars="-27" w:right="-65"/>
                              <w:jc w:val="center"/>
                              <w:rPr>
                                <w:rFonts w:ascii="標楷體" w:eastAsia="標楷體" w:hAnsi="標楷體"/>
                                <w:spacing w:val="-4"/>
                                <w:kern w:val="16"/>
                              </w:rPr>
                            </w:pPr>
                            <w:r w:rsidRPr="00795792">
                              <w:rPr>
                                <w:rFonts w:ascii="標楷體" w:eastAsia="標楷體" w:hAnsi="標楷體" w:hint="eastAsia"/>
                                <w:spacing w:val="-4"/>
                                <w:kern w:val="16"/>
                              </w:rPr>
                              <w:t>續辦與否</w:t>
                            </w:r>
                          </w:p>
                        </w:tc>
                        <w:tc>
                          <w:tcPr>
                            <w:tcW w:w="993" w:type="dxa"/>
                            <w:tcBorders>
                              <w:top w:val="single" w:sz="4" w:space="0" w:color="auto"/>
                            </w:tcBorders>
                            <w:vAlign w:val="center"/>
                          </w:tcPr>
                          <w:p w14:paraId="37956F10" w14:textId="77777777" w:rsidR="00F1456A" w:rsidRPr="00795792" w:rsidRDefault="00F1456A" w:rsidP="005D009F">
                            <w:pPr>
                              <w:overflowPunct w:val="0"/>
                              <w:adjustRightInd w:val="0"/>
                              <w:spacing w:line="240" w:lineRule="exact"/>
                              <w:jc w:val="right"/>
                              <w:rPr>
                                <w:rFonts w:ascii="標楷體" w:eastAsia="標楷體" w:hAnsi="標楷體"/>
                                <w:kern w:val="16"/>
                              </w:rPr>
                            </w:pPr>
                            <w:r w:rsidRPr="00795792">
                              <w:rPr>
                                <w:rFonts w:ascii="標楷體" w:eastAsia="標楷體" w:hAnsi="標楷體" w:hint="eastAsia"/>
                                <w:kern w:val="16"/>
                              </w:rPr>
                              <w:t>1</w:t>
                            </w:r>
                            <w:r w:rsidRPr="00795792">
                              <w:rPr>
                                <w:rFonts w:ascii="標楷體" w:eastAsia="標楷體" w:hAnsi="標楷體"/>
                                <w:kern w:val="16"/>
                              </w:rPr>
                              <w:t>15</w:t>
                            </w:r>
                          </w:p>
                        </w:tc>
                      </w:tr>
                      <w:tr w:rsidR="00F1456A" w:rsidRPr="00C85AE0" w14:paraId="6F13FAAA" w14:textId="77777777" w:rsidTr="004D7A70">
                        <w:trPr>
                          <w:trHeight w:val="1099"/>
                        </w:trPr>
                        <w:tc>
                          <w:tcPr>
                            <w:tcW w:w="417" w:type="dxa"/>
                            <w:vMerge/>
                            <w:shd w:val="clear" w:color="auto" w:fill="auto"/>
                          </w:tcPr>
                          <w:p w14:paraId="7A3CEEC0" w14:textId="77777777" w:rsidR="00F1456A" w:rsidRPr="00795792" w:rsidRDefault="00F1456A" w:rsidP="0056458B">
                            <w:pPr>
                              <w:overflowPunct w:val="0"/>
                              <w:adjustRightInd w:val="0"/>
                              <w:spacing w:line="0" w:lineRule="atLeast"/>
                              <w:jc w:val="center"/>
                              <w:rPr>
                                <w:rFonts w:ascii="標楷體" w:eastAsia="標楷體" w:hAnsi="標楷體"/>
                                <w:kern w:val="16"/>
                              </w:rPr>
                            </w:pPr>
                          </w:p>
                        </w:tc>
                        <w:tc>
                          <w:tcPr>
                            <w:tcW w:w="576" w:type="dxa"/>
                            <w:tcBorders>
                              <w:top w:val="single" w:sz="4" w:space="0" w:color="auto"/>
                            </w:tcBorders>
                            <w:shd w:val="clear" w:color="auto" w:fill="auto"/>
                            <w:vAlign w:val="center"/>
                          </w:tcPr>
                          <w:p w14:paraId="0EA047A5" w14:textId="77777777" w:rsidR="00F1456A" w:rsidRPr="00795792" w:rsidRDefault="00F1456A" w:rsidP="0056458B">
                            <w:pPr>
                              <w:overflowPunct w:val="0"/>
                              <w:adjustRightInd w:val="0"/>
                              <w:spacing w:line="0" w:lineRule="atLeast"/>
                              <w:jc w:val="center"/>
                              <w:rPr>
                                <w:rFonts w:ascii="標楷體" w:eastAsia="標楷體" w:hAnsi="標楷體"/>
                                <w:kern w:val="16"/>
                              </w:rPr>
                            </w:pPr>
                            <w:r w:rsidRPr="00795792">
                              <w:rPr>
                                <w:rFonts w:ascii="標楷體" w:eastAsia="標楷體" w:hAnsi="標楷體" w:hint="eastAsia"/>
                                <w:kern w:val="16"/>
                              </w:rPr>
                              <w:t>未列管</w:t>
                            </w:r>
                          </w:p>
                          <w:p w14:paraId="35E93D37" w14:textId="77777777" w:rsidR="00F1456A" w:rsidRPr="006C3F07" w:rsidRDefault="00F1456A" w:rsidP="0056458B">
                            <w:pPr>
                              <w:overflowPunct w:val="0"/>
                              <w:adjustRightInd w:val="0"/>
                              <w:spacing w:line="0" w:lineRule="atLeast"/>
                              <w:ind w:leftChars="-42" w:left="-101" w:rightChars="-35" w:right="-84"/>
                              <w:jc w:val="center"/>
                              <w:rPr>
                                <w:rFonts w:ascii="標楷體" w:eastAsia="標楷體" w:hAnsi="標楷體"/>
                                <w:spacing w:val="-24"/>
                                <w:kern w:val="16"/>
                              </w:rPr>
                            </w:pPr>
                            <w:r w:rsidRPr="006C3F07">
                              <w:rPr>
                                <w:rFonts w:ascii="標楷體" w:eastAsia="標楷體" w:hAnsi="標楷體" w:hint="eastAsia"/>
                                <w:spacing w:val="-24"/>
                                <w:kern w:val="16"/>
                              </w:rPr>
                              <w:t>（</w:t>
                            </w:r>
                            <w:r w:rsidRPr="006C3F07">
                              <w:rPr>
                                <w:rFonts w:ascii="標楷體" w:eastAsia="標楷體" w:hAnsi="標楷體"/>
                                <w:spacing w:val="-24"/>
                                <w:kern w:val="16"/>
                              </w:rPr>
                              <w:t>171）</w:t>
                            </w:r>
                          </w:p>
                        </w:tc>
                        <w:tc>
                          <w:tcPr>
                            <w:tcW w:w="2976" w:type="dxa"/>
                            <w:gridSpan w:val="2"/>
                            <w:tcBorders>
                              <w:top w:val="single" w:sz="4" w:space="0" w:color="auto"/>
                            </w:tcBorders>
                            <w:shd w:val="clear" w:color="auto" w:fill="auto"/>
                            <w:vAlign w:val="center"/>
                          </w:tcPr>
                          <w:p w14:paraId="4FDE2A44" w14:textId="77777777" w:rsidR="00F1456A" w:rsidRPr="00795792" w:rsidRDefault="00F1456A" w:rsidP="0056458B">
                            <w:pPr>
                              <w:overflowPunct w:val="0"/>
                              <w:adjustRightInd w:val="0"/>
                              <w:spacing w:beforeLines="50" w:before="180" w:line="0" w:lineRule="atLeast"/>
                              <w:jc w:val="center"/>
                              <w:rPr>
                                <w:rFonts w:ascii="標楷體" w:eastAsia="標楷體" w:hAnsi="標楷體"/>
                                <w:kern w:val="16"/>
                              </w:rPr>
                            </w:pPr>
                            <w:r w:rsidRPr="00795792">
                              <w:rPr>
                                <w:rFonts w:ascii="標楷體" w:eastAsia="標楷體" w:hAnsi="標楷體" w:hint="eastAsia"/>
                                <w:kern w:val="16"/>
                              </w:rPr>
                              <w:t>查無許可證字號、僅留存廣告物地址</w:t>
                            </w:r>
                            <w:r>
                              <w:rPr>
                                <w:rFonts w:ascii="標楷體" w:eastAsia="標楷體" w:hAnsi="標楷體" w:hint="eastAsia"/>
                                <w:kern w:val="16"/>
                              </w:rPr>
                              <w:t>（</w:t>
                            </w:r>
                            <w:r w:rsidRPr="00795792">
                              <w:rPr>
                                <w:rFonts w:ascii="標楷體" w:eastAsia="標楷體" w:hAnsi="標楷體"/>
                                <w:kern w:val="16"/>
                              </w:rPr>
                              <w:t>171</w:t>
                            </w:r>
                            <w:r>
                              <w:rPr>
                                <w:rFonts w:ascii="標楷體" w:eastAsia="標楷體" w:hAnsi="標楷體"/>
                                <w:kern w:val="16"/>
                              </w:rPr>
                              <w:t>）</w:t>
                            </w:r>
                          </w:p>
                        </w:tc>
                        <w:tc>
                          <w:tcPr>
                            <w:tcW w:w="993" w:type="dxa"/>
                            <w:tcBorders>
                              <w:top w:val="single" w:sz="4" w:space="0" w:color="auto"/>
                            </w:tcBorders>
                            <w:vAlign w:val="center"/>
                          </w:tcPr>
                          <w:p w14:paraId="190850E4" w14:textId="77777777" w:rsidR="00F1456A" w:rsidRPr="00795792" w:rsidRDefault="00F1456A" w:rsidP="005D009F">
                            <w:pPr>
                              <w:overflowPunct w:val="0"/>
                              <w:adjustRightInd w:val="0"/>
                              <w:spacing w:line="0" w:lineRule="atLeast"/>
                              <w:jc w:val="right"/>
                              <w:rPr>
                                <w:rFonts w:ascii="標楷體" w:eastAsia="標楷體" w:hAnsi="標楷體"/>
                                <w:kern w:val="16"/>
                              </w:rPr>
                            </w:pPr>
                            <w:r w:rsidRPr="00795792">
                              <w:rPr>
                                <w:rFonts w:ascii="標楷體" w:eastAsia="標楷體" w:hAnsi="標楷體" w:hint="eastAsia"/>
                                <w:kern w:val="16"/>
                              </w:rPr>
                              <w:t>1</w:t>
                            </w:r>
                            <w:r w:rsidRPr="00795792">
                              <w:rPr>
                                <w:rFonts w:ascii="標楷體" w:eastAsia="標楷體" w:hAnsi="標楷體"/>
                                <w:kern w:val="16"/>
                              </w:rPr>
                              <w:t>71</w:t>
                            </w:r>
                          </w:p>
                        </w:tc>
                      </w:tr>
                      <w:tr w:rsidR="00F1456A" w:rsidRPr="00C85AE0" w14:paraId="28FE7E27" w14:textId="77777777" w:rsidTr="00091466">
                        <w:trPr>
                          <w:trHeight w:val="382"/>
                        </w:trPr>
                        <w:tc>
                          <w:tcPr>
                            <w:tcW w:w="4962" w:type="dxa"/>
                            <w:gridSpan w:val="5"/>
                            <w:tcBorders>
                              <w:top w:val="single" w:sz="4" w:space="0" w:color="auto"/>
                              <w:left w:val="nil"/>
                              <w:bottom w:val="nil"/>
                              <w:right w:val="nil"/>
                            </w:tcBorders>
                          </w:tcPr>
                          <w:p w14:paraId="6C8442AB" w14:textId="77777777" w:rsidR="00F1456A" w:rsidRPr="00DF0E79" w:rsidRDefault="00F1456A" w:rsidP="00091466">
                            <w:pPr>
                              <w:overflowPunct w:val="0"/>
                              <w:adjustRightInd w:val="0"/>
                              <w:snapToGrid w:val="0"/>
                              <w:spacing w:line="0" w:lineRule="atLeast"/>
                              <w:ind w:leftChars="-20" w:left="-48"/>
                              <w:rPr>
                                <w:rFonts w:ascii="標楷體" w:eastAsia="標楷體" w:hAnsi="標楷體"/>
                                <w:kern w:val="16"/>
                                <w:sz w:val="18"/>
                                <w:szCs w:val="18"/>
                              </w:rPr>
                            </w:pPr>
                            <w:r w:rsidRPr="00DF0E79">
                              <w:rPr>
                                <w:rFonts w:ascii="標楷體" w:eastAsia="標楷體" w:hAnsi="標楷體" w:hint="eastAsia"/>
                                <w:kern w:val="16"/>
                                <w:sz w:val="18"/>
                                <w:szCs w:val="18"/>
                              </w:rPr>
                              <w:t>資料來源：整理自</w:t>
                            </w:r>
                            <w:r>
                              <w:rPr>
                                <w:rFonts w:ascii="標楷體" w:eastAsia="標楷體" w:hAnsi="標楷體" w:hint="eastAsia"/>
                                <w:kern w:val="16"/>
                                <w:sz w:val="18"/>
                                <w:szCs w:val="18"/>
                              </w:rPr>
                              <w:t>建築管理工程</w:t>
                            </w:r>
                            <w:r w:rsidRPr="00DF0E79">
                              <w:rPr>
                                <w:rFonts w:ascii="標楷體" w:eastAsia="標楷體" w:hAnsi="標楷體" w:hint="eastAsia"/>
                                <w:kern w:val="16"/>
                                <w:sz w:val="18"/>
                                <w:szCs w:val="18"/>
                              </w:rPr>
                              <w:t>處提供資料。</w:t>
                            </w:r>
                          </w:p>
                        </w:tc>
                      </w:tr>
                    </w:tbl>
                    <w:p w14:paraId="463A6487" w14:textId="77777777" w:rsidR="00F1456A" w:rsidRPr="00196ACA" w:rsidRDefault="00F1456A" w:rsidP="00F1456A"/>
                  </w:txbxContent>
                </v:textbox>
                <w10:wrap type="square" anchorx="margin"/>
              </v:shape>
            </w:pict>
          </mc:Fallback>
        </mc:AlternateContent>
      </w:r>
      <w:r w:rsidR="00F1456A" w:rsidRPr="0025052E">
        <w:rPr>
          <w:rFonts w:ascii="標楷體" w:eastAsia="標楷體" w:hAnsi="標楷體" w:hint="eastAsia"/>
          <w:szCs w:val="24"/>
        </w:rPr>
        <w:t>件許可證或設置許可</w:t>
      </w:r>
      <w:r w:rsidR="00F1456A">
        <w:rPr>
          <w:rFonts w:ascii="標楷體" w:eastAsia="標楷體" w:hAnsi="標楷體" w:hint="eastAsia"/>
          <w:szCs w:val="24"/>
        </w:rPr>
        <w:t>，且</w:t>
      </w:r>
      <w:r w:rsidR="00F1456A" w:rsidRPr="0025052E">
        <w:rPr>
          <w:rFonts w:ascii="標楷體" w:eastAsia="標楷體" w:hAnsi="標楷體" w:hint="eastAsia"/>
          <w:szCs w:val="24"/>
        </w:rPr>
        <w:t>效期</w:t>
      </w:r>
      <w:r w:rsidR="00F1456A">
        <w:rPr>
          <w:rFonts w:ascii="標楷體" w:eastAsia="標楷體" w:hAnsi="標楷體" w:hint="eastAsia"/>
          <w:szCs w:val="24"/>
        </w:rPr>
        <w:t>已</w:t>
      </w:r>
      <w:r w:rsidR="00F1456A" w:rsidRPr="0025052E">
        <w:rPr>
          <w:rFonts w:ascii="標楷體" w:eastAsia="標楷體" w:hAnsi="標楷體" w:hint="eastAsia"/>
          <w:szCs w:val="24"/>
        </w:rPr>
        <w:t>分別於109年2月至112年12月間屆期</w:t>
      </w:r>
      <w:r w:rsidR="00F1456A" w:rsidRPr="00EC7740">
        <w:rPr>
          <w:rFonts w:ascii="標楷體" w:eastAsia="標楷體" w:hAnsi="標楷體" w:hint="eastAsia"/>
          <w:szCs w:val="24"/>
        </w:rPr>
        <w:t>；餘171件則因新舊管理系統資料轉移，僅留廣告物地址，無相關許可字號可</w:t>
      </w:r>
      <w:proofErr w:type="gramStart"/>
      <w:r w:rsidR="00F1456A" w:rsidRPr="00EC7740">
        <w:rPr>
          <w:rFonts w:ascii="標楷體" w:eastAsia="標楷體" w:hAnsi="標楷體" w:hint="eastAsia"/>
          <w:szCs w:val="24"/>
        </w:rPr>
        <w:t>稽</w:t>
      </w:r>
      <w:proofErr w:type="gramEnd"/>
      <w:r w:rsidR="00F1456A" w:rsidRPr="00EC7740">
        <w:rPr>
          <w:rFonts w:ascii="標楷體" w:eastAsia="標楷體" w:hAnsi="標楷體" w:hint="eastAsia"/>
          <w:szCs w:val="24"/>
        </w:rPr>
        <w:t>確切許可屆期日</w:t>
      </w:r>
      <w:r w:rsidR="00F1456A">
        <w:rPr>
          <w:rFonts w:ascii="標楷體" w:eastAsia="標楷體" w:hAnsi="標楷體" w:hint="eastAsia"/>
          <w:szCs w:val="24"/>
        </w:rPr>
        <w:t>，且因</w:t>
      </w:r>
      <w:r w:rsidR="00F1456A" w:rsidRPr="00EC7740">
        <w:rPr>
          <w:rFonts w:ascii="標楷體" w:eastAsia="標楷體" w:hAnsi="標楷體" w:hint="eastAsia"/>
          <w:szCs w:val="24"/>
        </w:rPr>
        <w:t>未列管全數核准（備）大小廣告物許可證或設置許可效期屆期日</w:t>
      </w:r>
      <w:r w:rsidR="00F1456A">
        <w:rPr>
          <w:rFonts w:ascii="標楷體" w:eastAsia="標楷體" w:hAnsi="標楷體" w:hint="eastAsia"/>
          <w:szCs w:val="24"/>
        </w:rPr>
        <w:t>，並</w:t>
      </w:r>
      <w:r w:rsidR="00F1456A" w:rsidRPr="00EC7740">
        <w:rPr>
          <w:rFonts w:ascii="標楷體" w:eastAsia="標楷體" w:hAnsi="標楷體" w:hint="eastAsia"/>
          <w:szCs w:val="24"/>
        </w:rPr>
        <w:t>追蹤廣告物現況，致</w:t>
      </w:r>
      <w:proofErr w:type="gramStart"/>
      <w:r w:rsidR="00F1456A" w:rsidRPr="00EC7740">
        <w:rPr>
          <w:rFonts w:ascii="標楷體" w:eastAsia="標楷體" w:hAnsi="標楷體" w:hint="eastAsia"/>
          <w:szCs w:val="24"/>
        </w:rPr>
        <w:t>107</w:t>
      </w:r>
      <w:proofErr w:type="gramEnd"/>
      <w:r w:rsidR="00F1456A" w:rsidRPr="00EC7740">
        <w:rPr>
          <w:rFonts w:ascii="標楷體" w:eastAsia="標楷體" w:hAnsi="標楷體" w:hint="eastAsia"/>
          <w:szCs w:val="24"/>
        </w:rPr>
        <w:t>年度</w:t>
      </w:r>
      <w:r w:rsidR="00F1456A">
        <w:rPr>
          <w:rFonts w:ascii="標楷體" w:eastAsia="標楷體" w:hAnsi="標楷體" w:hint="eastAsia"/>
          <w:szCs w:val="24"/>
        </w:rPr>
        <w:t>所</w:t>
      </w:r>
      <w:r w:rsidR="00F1456A" w:rsidRPr="00EC7740">
        <w:rPr>
          <w:rFonts w:ascii="標楷體" w:eastAsia="標楷體" w:hAnsi="標楷體" w:hint="eastAsia"/>
          <w:szCs w:val="24"/>
        </w:rPr>
        <w:t>核准</w:t>
      </w:r>
      <w:r w:rsidR="00F1456A">
        <w:rPr>
          <w:rFonts w:ascii="標楷體" w:eastAsia="標楷體" w:hAnsi="標楷體" w:hint="eastAsia"/>
          <w:szCs w:val="24"/>
        </w:rPr>
        <w:t>（</w:t>
      </w:r>
      <w:r w:rsidR="00F1456A" w:rsidRPr="00EC7740">
        <w:rPr>
          <w:rFonts w:ascii="標楷體" w:eastAsia="標楷體" w:hAnsi="標楷體" w:hint="eastAsia"/>
          <w:szCs w:val="24"/>
        </w:rPr>
        <w:t>備</w:t>
      </w:r>
      <w:r w:rsidR="00F1456A">
        <w:rPr>
          <w:rFonts w:ascii="標楷體" w:eastAsia="標楷體" w:hAnsi="標楷體" w:hint="eastAsia"/>
          <w:szCs w:val="24"/>
        </w:rPr>
        <w:t>）之</w:t>
      </w:r>
      <w:r w:rsidR="00F1456A" w:rsidRPr="00EC7740">
        <w:rPr>
          <w:rFonts w:ascii="標楷體" w:eastAsia="標楷體" w:hAnsi="標楷體" w:hint="eastAsia"/>
          <w:szCs w:val="24"/>
        </w:rPr>
        <w:t>385件大小型廣告物許可案件中，</w:t>
      </w:r>
      <w:r w:rsidR="00F1456A">
        <w:rPr>
          <w:rFonts w:ascii="標楷體" w:eastAsia="標楷體" w:hAnsi="標楷體" w:hint="eastAsia"/>
          <w:szCs w:val="24"/>
        </w:rPr>
        <w:t>已有363件（94.29％）無法掌握</w:t>
      </w:r>
      <w:r w:rsidR="00F1456A" w:rsidRPr="00EC7740">
        <w:rPr>
          <w:rFonts w:ascii="標楷體" w:eastAsia="標楷體" w:hAnsi="標楷體" w:hint="eastAsia"/>
          <w:szCs w:val="24"/>
        </w:rPr>
        <w:t>民眾</w:t>
      </w:r>
      <w:r w:rsidR="00F1456A">
        <w:rPr>
          <w:rFonts w:ascii="標楷體" w:eastAsia="標楷體" w:hAnsi="標楷體" w:hint="eastAsia"/>
          <w:szCs w:val="24"/>
        </w:rPr>
        <w:t>是否</w:t>
      </w:r>
      <w:r w:rsidR="00F1456A" w:rsidRPr="00EC7740">
        <w:rPr>
          <w:rFonts w:ascii="標楷體" w:eastAsia="標楷體" w:hAnsi="標楷體" w:hint="eastAsia"/>
          <w:szCs w:val="24"/>
        </w:rPr>
        <w:t>續予使用廣告物（表</w:t>
      </w:r>
      <w:r w:rsidR="00F1456A">
        <w:rPr>
          <w:rFonts w:ascii="標楷體" w:eastAsia="標楷體" w:hAnsi="標楷體" w:hint="eastAsia"/>
          <w:szCs w:val="24"/>
        </w:rPr>
        <w:t>8</w:t>
      </w:r>
      <w:r w:rsidR="00F1456A" w:rsidRPr="00EC7740">
        <w:rPr>
          <w:rFonts w:ascii="標楷體" w:eastAsia="標楷體" w:hAnsi="標楷體" w:hint="eastAsia"/>
          <w:szCs w:val="24"/>
        </w:rPr>
        <w:t>），不利廣告物管理</w:t>
      </w:r>
      <w:r w:rsidR="00F1456A">
        <w:rPr>
          <w:rFonts w:ascii="標楷體" w:eastAsia="標楷體" w:hAnsi="標楷體" w:hint="eastAsia"/>
          <w:szCs w:val="24"/>
        </w:rPr>
        <w:t>，相關管理措施有待精進</w:t>
      </w:r>
      <w:r w:rsidR="00F1456A" w:rsidRPr="00EC7740">
        <w:rPr>
          <w:rFonts w:ascii="標楷體" w:eastAsia="標楷體" w:hAnsi="標楷體" w:hint="eastAsia"/>
          <w:szCs w:val="24"/>
        </w:rPr>
        <w:t>，</w:t>
      </w:r>
      <w:r w:rsidR="00F1456A">
        <w:rPr>
          <w:rFonts w:ascii="標楷體" w:eastAsia="標楷體" w:hAnsi="標楷體" w:hint="eastAsia"/>
          <w:szCs w:val="24"/>
        </w:rPr>
        <w:t>經函請</w:t>
      </w:r>
      <w:r w:rsidR="00F1456A" w:rsidRPr="00EC7740">
        <w:rPr>
          <w:rFonts w:ascii="標楷體" w:eastAsia="標楷體" w:hAnsi="標楷體" w:hint="eastAsia"/>
          <w:szCs w:val="24"/>
        </w:rPr>
        <w:t>檢討改善</w:t>
      </w:r>
      <w:r w:rsidR="00F1456A">
        <w:rPr>
          <w:rFonts w:ascii="標楷體" w:eastAsia="標楷體" w:hAnsi="標楷體" w:hint="eastAsia"/>
          <w:szCs w:val="24"/>
        </w:rPr>
        <w:t>。</w:t>
      </w:r>
      <w:r w:rsidR="00F1456A" w:rsidRPr="00491D7A">
        <w:rPr>
          <w:rFonts w:ascii="標楷體" w:eastAsia="標楷體" w:hAnsi="標楷體" w:hint="eastAsia"/>
          <w:szCs w:val="24"/>
        </w:rPr>
        <w:t>據復：</w:t>
      </w:r>
      <w:r w:rsidR="00F1456A" w:rsidRPr="00E93B5E">
        <w:rPr>
          <w:rFonts w:ascii="標楷體" w:eastAsia="標楷體" w:hAnsi="標楷體" w:hint="eastAsia"/>
          <w:szCs w:val="24"/>
        </w:rPr>
        <w:t>已於113年5月15日將</w:t>
      </w:r>
      <w:r w:rsidR="00F1456A">
        <w:rPr>
          <w:rFonts w:ascii="標楷體" w:eastAsia="標楷體" w:hAnsi="標楷體" w:hint="eastAsia"/>
          <w:szCs w:val="24"/>
        </w:rPr>
        <w:t>臺</w:t>
      </w:r>
      <w:r w:rsidR="00F1456A" w:rsidRPr="00E93B5E">
        <w:rPr>
          <w:rFonts w:ascii="標楷體" w:eastAsia="標楷體" w:hAnsi="標楷體" w:hint="eastAsia"/>
          <w:szCs w:val="24"/>
        </w:rPr>
        <w:t>北市廣告物管理系統加入「廣告物許可清冊複合式查詢」功能</w:t>
      </w:r>
      <w:r w:rsidR="00F1456A">
        <w:rPr>
          <w:rFonts w:ascii="標楷體" w:eastAsia="標楷體" w:hAnsi="標楷體" w:hint="eastAsia"/>
          <w:szCs w:val="24"/>
        </w:rPr>
        <w:t>，</w:t>
      </w:r>
      <w:proofErr w:type="gramStart"/>
      <w:r w:rsidR="00F1456A">
        <w:rPr>
          <w:rFonts w:ascii="標楷體" w:eastAsia="標楷體" w:hAnsi="標楷體" w:hint="eastAsia"/>
          <w:szCs w:val="24"/>
        </w:rPr>
        <w:t>俾</w:t>
      </w:r>
      <w:proofErr w:type="gramEnd"/>
      <w:r w:rsidR="00F1456A">
        <w:rPr>
          <w:rFonts w:ascii="標楷體" w:eastAsia="標楷體" w:hAnsi="標楷體" w:hint="eastAsia"/>
          <w:szCs w:val="24"/>
        </w:rPr>
        <w:t>利後續查詢掌握民眾已申請廣告物許可期限；另</w:t>
      </w:r>
      <w:r w:rsidR="00F1456A" w:rsidRPr="0041315D">
        <w:rPr>
          <w:rFonts w:ascii="標楷體" w:eastAsia="標楷體" w:hAnsi="標楷體" w:hint="eastAsia"/>
          <w:szCs w:val="24"/>
        </w:rPr>
        <w:t>就</w:t>
      </w:r>
      <w:r w:rsidR="00F1456A">
        <w:rPr>
          <w:rFonts w:ascii="標楷體" w:eastAsia="標楷體" w:hAnsi="標楷體" w:hint="eastAsia"/>
          <w:szCs w:val="24"/>
        </w:rPr>
        <w:t>未掌握民眾續予使用廣告物需求狀態之363件，亦將造冊列管</w:t>
      </w:r>
      <w:proofErr w:type="gramStart"/>
      <w:r w:rsidR="00F1456A">
        <w:rPr>
          <w:rFonts w:ascii="標楷體" w:eastAsia="標楷體" w:hAnsi="標楷體" w:hint="eastAsia"/>
          <w:szCs w:val="24"/>
        </w:rPr>
        <w:t>釐</w:t>
      </w:r>
      <w:proofErr w:type="gramEnd"/>
      <w:r w:rsidR="00F1456A">
        <w:rPr>
          <w:rFonts w:ascii="標楷體" w:eastAsia="標楷體" w:hAnsi="標楷體" w:hint="eastAsia"/>
          <w:szCs w:val="24"/>
        </w:rPr>
        <w:t>清是否需重新申請設置許可</w:t>
      </w:r>
      <w:r w:rsidR="00F1456A" w:rsidRPr="00F11AFC">
        <w:rPr>
          <w:rFonts w:ascii="標楷體" w:eastAsia="標楷體" w:hAnsi="標楷體" w:hint="eastAsia"/>
          <w:szCs w:val="24"/>
        </w:rPr>
        <w:t>，</w:t>
      </w:r>
      <w:r w:rsidR="00F1456A">
        <w:rPr>
          <w:rFonts w:ascii="標楷體" w:eastAsia="標楷體" w:hAnsi="標楷體" w:hint="eastAsia"/>
          <w:szCs w:val="24"/>
        </w:rPr>
        <w:t>預計</w:t>
      </w:r>
      <w:r w:rsidR="00F1456A" w:rsidRPr="00F11AFC">
        <w:rPr>
          <w:rFonts w:ascii="標楷體" w:eastAsia="標楷體" w:hAnsi="標楷體" w:hint="eastAsia"/>
          <w:szCs w:val="24"/>
        </w:rPr>
        <w:t>於114年8月底前清查完成</w:t>
      </w:r>
      <w:r w:rsidR="00F1456A">
        <w:rPr>
          <w:rFonts w:ascii="標楷體" w:eastAsia="標楷體" w:hAnsi="標楷體" w:hint="eastAsia"/>
          <w:szCs w:val="24"/>
        </w:rPr>
        <w:t>。</w:t>
      </w:r>
    </w:p>
    <w:p w14:paraId="609A2662" w14:textId="77777777" w:rsidR="00F1456A" w:rsidRPr="00881FAC" w:rsidRDefault="00F1456A" w:rsidP="00F1456A">
      <w:pPr>
        <w:overflowPunct w:val="0"/>
        <w:snapToGrid w:val="0"/>
        <w:spacing w:beforeLines="30" w:before="108" w:afterLines="30" w:after="108" w:line="460" w:lineRule="exact"/>
        <w:jc w:val="both"/>
        <w:rPr>
          <w:rFonts w:ascii="標楷體" w:eastAsia="標楷體" w:hAnsi="標楷體"/>
          <w:b/>
          <w:sz w:val="32"/>
          <w:szCs w:val="32"/>
        </w:rPr>
      </w:pPr>
      <w:bookmarkStart w:id="91" w:name="_Hlk137629772"/>
      <w:r w:rsidRPr="00881FAC">
        <w:rPr>
          <w:rFonts w:ascii="標楷體" w:eastAsia="標楷體" w:hAnsi="標楷體" w:hint="eastAsia"/>
          <w:b/>
          <w:sz w:val="32"/>
          <w:szCs w:val="32"/>
        </w:rPr>
        <w:t>四、</w:t>
      </w:r>
      <w:proofErr w:type="gramStart"/>
      <w:r w:rsidRPr="00881FAC">
        <w:rPr>
          <w:rFonts w:ascii="標楷體" w:eastAsia="標楷體" w:hAnsi="標楷體" w:hint="eastAsia"/>
          <w:b/>
          <w:sz w:val="32"/>
          <w:szCs w:val="32"/>
        </w:rPr>
        <w:t>11</w:t>
      </w:r>
      <w:r>
        <w:rPr>
          <w:rFonts w:ascii="標楷體" w:eastAsia="標楷體" w:hAnsi="標楷體" w:hint="eastAsia"/>
          <w:b/>
          <w:sz w:val="32"/>
          <w:szCs w:val="32"/>
        </w:rPr>
        <w:t>2</w:t>
      </w:r>
      <w:proofErr w:type="gramEnd"/>
      <w:r w:rsidRPr="00881FAC">
        <w:rPr>
          <w:rFonts w:ascii="標楷體" w:eastAsia="標楷體" w:hAnsi="標楷體" w:hint="eastAsia"/>
          <w:b/>
          <w:sz w:val="32"/>
          <w:szCs w:val="32"/>
        </w:rPr>
        <w:t>年度重要審核意見追蹤查核情形</w:t>
      </w:r>
    </w:p>
    <w:p w14:paraId="14BF68E7" w14:textId="77777777" w:rsidR="00F1456A" w:rsidRPr="00881FAC" w:rsidRDefault="00F1456A" w:rsidP="00F1456A">
      <w:pPr>
        <w:overflowPunct w:val="0"/>
        <w:spacing w:beforeLines="30" w:before="108" w:afterLines="30" w:after="108" w:line="420" w:lineRule="exact"/>
        <w:ind w:firstLineChars="200" w:firstLine="480"/>
        <w:jc w:val="both"/>
        <w:rPr>
          <w:rFonts w:ascii="標楷體" w:eastAsia="標楷體" w:hAnsi="標楷體"/>
          <w:szCs w:val="24"/>
        </w:rPr>
      </w:pPr>
      <w:bookmarkStart w:id="92" w:name="_Hlk137629893"/>
      <w:bookmarkEnd w:id="91"/>
      <w:r w:rsidRPr="00881FAC">
        <w:rPr>
          <w:rFonts w:ascii="標楷體" w:eastAsia="標楷體" w:hAnsi="標楷體" w:hint="eastAsia"/>
          <w:szCs w:val="24"/>
        </w:rPr>
        <w:t>本處於</w:t>
      </w:r>
      <w:proofErr w:type="gramStart"/>
      <w:r w:rsidRPr="00881FAC">
        <w:rPr>
          <w:rFonts w:ascii="標楷體" w:eastAsia="標楷體" w:hAnsi="標楷體" w:hint="eastAsia"/>
          <w:szCs w:val="24"/>
        </w:rPr>
        <w:t>11</w:t>
      </w:r>
      <w:r>
        <w:rPr>
          <w:rFonts w:ascii="標楷體" w:eastAsia="標楷體" w:hAnsi="標楷體" w:hint="eastAsia"/>
          <w:szCs w:val="24"/>
        </w:rPr>
        <w:t>2</w:t>
      </w:r>
      <w:proofErr w:type="gramEnd"/>
      <w:r w:rsidRPr="00881FAC">
        <w:rPr>
          <w:rFonts w:ascii="標楷體" w:eastAsia="標楷體" w:hAnsi="標楷體" w:hint="eastAsia"/>
          <w:szCs w:val="24"/>
        </w:rPr>
        <w:t>年度審核報告內列重要審核意見</w:t>
      </w:r>
      <w:r>
        <w:rPr>
          <w:rFonts w:ascii="標楷體" w:eastAsia="標楷體" w:hAnsi="標楷體" w:hint="eastAsia"/>
          <w:szCs w:val="24"/>
        </w:rPr>
        <w:t>7</w:t>
      </w:r>
      <w:r w:rsidRPr="00881FAC">
        <w:rPr>
          <w:rFonts w:ascii="標楷體" w:eastAsia="標楷體" w:hAnsi="標楷體" w:hint="eastAsia"/>
          <w:szCs w:val="24"/>
        </w:rPr>
        <w:t>項，經</w:t>
      </w:r>
      <w:proofErr w:type="gramStart"/>
      <w:r w:rsidRPr="00881FAC">
        <w:rPr>
          <w:rFonts w:ascii="標楷體" w:eastAsia="標楷體" w:hAnsi="標楷體" w:hint="eastAsia"/>
          <w:szCs w:val="24"/>
        </w:rPr>
        <w:t>賡</w:t>
      </w:r>
      <w:proofErr w:type="gramEnd"/>
      <w:r w:rsidRPr="00881FAC">
        <w:rPr>
          <w:rFonts w:ascii="標楷體" w:eastAsia="標楷體" w:hAnsi="標楷體" w:hint="eastAsia"/>
          <w:szCs w:val="24"/>
        </w:rPr>
        <w:t>續追蹤查核實際辦理結果，</w:t>
      </w:r>
      <w:r>
        <w:rPr>
          <w:rFonts w:ascii="標楷體" w:eastAsia="標楷體" w:hAnsi="標楷體" w:hint="eastAsia"/>
          <w:szCs w:val="24"/>
        </w:rPr>
        <w:t>均</w:t>
      </w:r>
      <w:r w:rsidRPr="00881FAC">
        <w:rPr>
          <w:rFonts w:ascii="標楷體" w:eastAsia="標楷體" w:hAnsi="標楷體" w:hint="eastAsia"/>
          <w:szCs w:val="24"/>
        </w:rPr>
        <w:t>已</w:t>
      </w:r>
      <w:proofErr w:type="gramStart"/>
      <w:r w:rsidRPr="00881FAC">
        <w:rPr>
          <w:rFonts w:ascii="標楷體" w:eastAsia="標楷體" w:hAnsi="標楷體" w:hint="eastAsia"/>
          <w:szCs w:val="24"/>
        </w:rPr>
        <w:t>研</w:t>
      </w:r>
      <w:proofErr w:type="gramEnd"/>
      <w:r w:rsidRPr="00881FAC">
        <w:rPr>
          <w:rFonts w:ascii="標楷體" w:eastAsia="標楷體" w:hAnsi="標楷體" w:hint="eastAsia"/>
          <w:szCs w:val="24"/>
        </w:rPr>
        <w:t>謀改善或依改善措施持續辦理</w:t>
      </w:r>
      <w:r>
        <w:rPr>
          <w:rFonts w:ascii="標楷體" w:eastAsia="標楷體" w:hAnsi="標楷體" w:hint="eastAsia"/>
          <w:szCs w:val="24"/>
        </w:rPr>
        <w:t>（</w:t>
      </w:r>
      <w:r w:rsidRPr="00881FAC">
        <w:rPr>
          <w:rFonts w:ascii="標楷體" w:eastAsia="標楷體" w:hAnsi="標楷體" w:hint="eastAsia"/>
          <w:szCs w:val="24"/>
        </w:rPr>
        <w:t>表</w:t>
      </w:r>
      <w:r>
        <w:rPr>
          <w:rFonts w:ascii="標楷體" w:eastAsia="標楷體" w:hAnsi="標楷體" w:hint="eastAsia"/>
          <w:szCs w:val="24"/>
        </w:rPr>
        <w:t>9）</w:t>
      </w:r>
      <w:r w:rsidRPr="00881FAC">
        <w:rPr>
          <w:rFonts w:ascii="標楷體" w:eastAsia="標楷體" w:hAnsi="標楷體" w:hint="eastAsia"/>
          <w:szCs w:val="24"/>
        </w:rPr>
        <w:t>。</w:t>
      </w:r>
    </w:p>
    <w:bookmarkEnd w:id="92"/>
    <w:p w14:paraId="0E281D98" w14:textId="77777777" w:rsidR="00F1456A" w:rsidRPr="00B413F5" w:rsidRDefault="00F1456A" w:rsidP="00F1456A">
      <w:pPr>
        <w:overflowPunct w:val="0"/>
        <w:spacing w:beforeLines="20" w:before="72" w:afterLines="20" w:after="72" w:line="360" w:lineRule="exact"/>
        <w:jc w:val="center"/>
        <w:rPr>
          <w:rFonts w:ascii="標楷體" w:eastAsia="標楷體" w:hAnsi="標楷體"/>
          <w:b/>
          <w:szCs w:val="24"/>
        </w:rPr>
      </w:pPr>
      <w:r w:rsidRPr="00B413F5">
        <w:rPr>
          <w:rFonts w:ascii="標楷體" w:eastAsia="標楷體" w:hAnsi="標楷體" w:hint="eastAsia"/>
          <w:b/>
          <w:szCs w:val="24"/>
        </w:rPr>
        <w:t>表</w:t>
      </w:r>
      <w:r>
        <w:rPr>
          <w:rFonts w:ascii="標楷體" w:eastAsia="標楷體" w:hAnsi="標楷體" w:hint="eastAsia"/>
          <w:b/>
          <w:szCs w:val="24"/>
        </w:rPr>
        <w:t xml:space="preserve">9　</w:t>
      </w:r>
      <w:proofErr w:type="gramStart"/>
      <w:r>
        <w:rPr>
          <w:rFonts w:ascii="標楷體" w:eastAsia="標楷體" w:hAnsi="標楷體" w:hint="eastAsia"/>
          <w:b/>
          <w:szCs w:val="24"/>
        </w:rPr>
        <w:t>112</w:t>
      </w:r>
      <w:proofErr w:type="gramEnd"/>
      <w:r w:rsidRPr="00B413F5">
        <w:rPr>
          <w:rFonts w:ascii="標楷體" w:eastAsia="標楷體" w:hAnsi="標楷體" w:hint="eastAsia"/>
          <w:b/>
          <w:szCs w:val="24"/>
        </w:rPr>
        <w:t>年度審核報告所列都市發展局主管重要審核意見覆核辦理情形</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99"/>
        <w:gridCol w:w="3119"/>
      </w:tblGrid>
      <w:tr w:rsidR="00F1456A" w:rsidRPr="00B413F5" w14:paraId="53BD2DED" w14:textId="77777777" w:rsidTr="0015145D">
        <w:trPr>
          <w:trHeight w:val="235"/>
        </w:trPr>
        <w:tc>
          <w:tcPr>
            <w:tcW w:w="6799" w:type="dxa"/>
            <w:tcBorders>
              <w:bottom w:val="single" w:sz="4" w:space="0" w:color="auto"/>
            </w:tcBorders>
            <w:shd w:val="clear" w:color="auto" w:fill="auto"/>
            <w:vAlign w:val="center"/>
          </w:tcPr>
          <w:p w14:paraId="3404021F" w14:textId="77777777" w:rsidR="00F1456A" w:rsidRPr="00B413F5" w:rsidRDefault="00F1456A" w:rsidP="0015145D">
            <w:pPr>
              <w:overflowPunct w:val="0"/>
              <w:snapToGrid w:val="0"/>
              <w:spacing w:line="280" w:lineRule="exact"/>
              <w:jc w:val="center"/>
              <w:rPr>
                <w:rFonts w:ascii="標楷體" w:eastAsia="標楷體" w:hAnsi="標楷體"/>
                <w:sz w:val="20"/>
              </w:rPr>
            </w:pPr>
            <w:r w:rsidRPr="00B413F5">
              <w:rPr>
                <w:rFonts w:ascii="標楷體" w:eastAsia="標楷體" w:hAnsi="標楷體"/>
                <w:sz w:val="20"/>
              </w:rPr>
              <w:t>重要審核意見標題</w:t>
            </w:r>
          </w:p>
        </w:tc>
        <w:tc>
          <w:tcPr>
            <w:tcW w:w="3119" w:type="dxa"/>
            <w:tcBorders>
              <w:bottom w:val="single" w:sz="4" w:space="0" w:color="auto"/>
            </w:tcBorders>
            <w:shd w:val="clear" w:color="auto" w:fill="auto"/>
            <w:vAlign w:val="center"/>
          </w:tcPr>
          <w:p w14:paraId="18D2380E" w14:textId="77777777" w:rsidR="00F1456A" w:rsidRPr="00B413F5" w:rsidRDefault="00F1456A" w:rsidP="0015145D">
            <w:pPr>
              <w:overflowPunct w:val="0"/>
              <w:snapToGrid w:val="0"/>
              <w:spacing w:line="280" w:lineRule="exact"/>
              <w:jc w:val="center"/>
              <w:rPr>
                <w:rFonts w:ascii="標楷體" w:eastAsia="標楷體" w:hAnsi="標楷體"/>
                <w:sz w:val="20"/>
              </w:rPr>
            </w:pPr>
            <w:r w:rsidRPr="00B413F5">
              <w:rPr>
                <w:rFonts w:ascii="標楷體" w:eastAsia="標楷體" w:hAnsi="標楷體"/>
                <w:sz w:val="20"/>
              </w:rPr>
              <w:t>說明</w:t>
            </w:r>
          </w:p>
        </w:tc>
      </w:tr>
      <w:tr w:rsidR="00F1456A" w:rsidRPr="00B413F5" w14:paraId="3C629BC2" w14:textId="77777777" w:rsidTr="0015145D">
        <w:trPr>
          <w:trHeight w:val="340"/>
        </w:trPr>
        <w:tc>
          <w:tcPr>
            <w:tcW w:w="6799" w:type="dxa"/>
            <w:tcBorders>
              <w:right w:val="nil"/>
            </w:tcBorders>
            <w:shd w:val="clear" w:color="auto" w:fill="auto"/>
            <w:vAlign w:val="center"/>
          </w:tcPr>
          <w:p w14:paraId="1B97C9D2" w14:textId="77777777" w:rsidR="00F1456A" w:rsidRPr="00B413F5" w:rsidRDefault="00F1456A" w:rsidP="0015145D">
            <w:pPr>
              <w:overflowPunct w:val="0"/>
              <w:snapToGrid w:val="0"/>
              <w:spacing w:line="280" w:lineRule="exact"/>
              <w:jc w:val="both"/>
              <w:rPr>
                <w:rFonts w:ascii="標楷體" w:eastAsia="標楷體" w:hAnsi="標楷體"/>
                <w:b/>
                <w:sz w:val="20"/>
              </w:rPr>
            </w:pPr>
            <w:r w:rsidRPr="00B413F5">
              <w:rPr>
                <w:rFonts w:ascii="標楷體" w:eastAsia="標楷體" w:hAnsi="標楷體" w:hint="eastAsia"/>
                <w:b/>
                <w:sz w:val="20"/>
              </w:rPr>
              <w:t>已</w:t>
            </w:r>
            <w:proofErr w:type="gramStart"/>
            <w:r w:rsidRPr="00B413F5">
              <w:rPr>
                <w:rFonts w:ascii="標楷體" w:eastAsia="標楷體" w:hAnsi="標楷體" w:hint="eastAsia"/>
                <w:b/>
                <w:sz w:val="20"/>
              </w:rPr>
              <w:t>研</w:t>
            </w:r>
            <w:proofErr w:type="gramEnd"/>
            <w:r w:rsidRPr="00B413F5">
              <w:rPr>
                <w:rFonts w:ascii="標楷體" w:eastAsia="標楷體" w:hAnsi="標楷體"/>
                <w:b/>
                <w:sz w:val="20"/>
              </w:rPr>
              <w:t>謀</w:t>
            </w:r>
            <w:r w:rsidRPr="00B413F5">
              <w:rPr>
                <w:rFonts w:ascii="標楷體" w:eastAsia="標楷體" w:hAnsi="標楷體" w:hint="eastAsia"/>
                <w:b/>
                <w:sz w:val="20"/>
              </w:rPr>
              <w:t>改善或</w:t>
            </w:r>
            <w:r w:rsidRPr="00B413F5">
              <w:rPr>
                <w:rFonts w:ascii="標楷體" w:eastAsia="標楷體" w:hAnsi="標楷體"/>
                <w:b/>
                <w:sz w:val="20"/>
              </w:rPr>
              <w:t>依改善措施持續</w:t>
            </w:r>
            <w:r w:rsidRPr="00B413F5">
              <w:rPr>
                <w:rFonts w:ascii="標楷體" w:eastAsia="標楷體" w:hAnsi="標楷體" w:hint="eastAsia"/>
                <w:b/>
                <w:sz w:val="20"/>
              </w:rPr>
              <w:t>辦理</w:t>
            </w:r>
          </w:p>
        </w:tc>
        <w:tc>
          <w:tcPr>
            <w:tcW w:w="3119" w:type="dxa"/>
            <w:tcBorders>
              <w:left w:val="nil"/>
              <w:bottom w:val="single" w:sz="4" w:space="0" w:color="auto"/>
            </w:tcBorders>
            <w:shd w:val="clear" w:color="auto" w:fill="auto"/>
          </w:tcPr>
          <w:p w14:paraId="29264645" w14:textId="77777777" w:rsidR="00F1456A" w:rsidRPr="00B413F5" w:rsidRDefault="00F1456A" w:rsidP="0015145D">
            <w:pPr>
              <w:overflowPunct w:val="0"/>
              <w:snapToGrid w:val="0"/>
              <w:spacing w:line="280" w:lineRule="exact"/>
              <w:rPr>
                <w:rFonts w:ascii="標楷體" w:eastAsia="標楷體" w:hAnsi="標楷體"/>
                <w:sz w:val="20"/>
              </w:rPr>
            </w:pPr>
          </w:p>
        </w:tc>
      </w:tr>
      <w:tr w:rsidR="00F1456A" w:rsidRPr="00235765" w14:paraId="5EF26D9D" w14:textId="77777777" w:rsidTr="0015145D">
        <w:trPr>
          <w:trHeight w:val="567"/>
        </w:trPr>
        <w:tc>
          <w:tcPr>
            <w:tcW w:w="6799" w:type="dxa"/>
            <w:shd w:val="clear" w:color="auto" w:fill="auto"/>
            <w:vAlign w:val="center"/>
          </w:tcPr>
          <w:p w14:paraId="2DFE4163" w14:textId="77777777" w:rsidR="00F1456A" w:rsidRPr="00235765" w:rsidRDefault="00F1456A" w:rsidP="0015145D">
            <w:pPr>
              <w:overflowPunct w:val="0"/>
              <w:snapToGrid w:val="0"/>
              <w:spacing w:line="240" w:lineRule="exact"/>
              <w:ind w:left="580" w:hangingChars="290" w:hanging="580"/>
              <w:jc w:val="both"/>
              <w:rPr>
                <w:rFonts w:ascii="標楷體" w:eastAsia="標楷體" w:hAnsi="標楷體"/>
                <w:sz w:val="20"/>
              </w:rPr>
            </w:pPr>
            <w:r w:rsidRPr="00235765">
              <w:rPr>
                <w:rFonts w:ascii="標楷體" w:eastAsia="標楷體" w:hAnsi="標楷體" w:hint="eastAsia"/>
                <w:sz w:val="20"/>
              </w:rPr>
              <w:t>（一）</w:t>
            </w:r>
            <w:r w:rsidRPr="005971D9">
              <w:rPr>
                <w:rFonts w:ascii="標楷體" w:eastAsia="標楷體" w:hAnsi="標楷體" w:hint="eastAsia"/>
                <w:sz w:val="20"/>
              </w:rPr>
              <w:t>透過多元管道提升社會住宅量能，惟自建</w:t>
            </w:r>
            <w:proofErr w:type="gramStart"/>
            <w:r w:rsidRPr="005971D9">
              <w:rPr>
                <w:rFonts w:ascii="標楷體" w:eastAsia="標楷體" w:hAnsi="標楷體" w:hint="eastAsia"/>
                <w:sz w:val="20"/>
              </w:rPr>
              <w:t>社宅進度間有</w:t>
            </w:r>
            <w:proofErr w:type="gramEnd"/>
            <w:r w:rsidRPr="005971D9">
              <w:rPr>
                <w:rFonts w:ascii="標楷體" w:eastAsia="標楷體" w:hAnsi="標楷體" w:hint="eastAsia"/>
                <w:sz w:val="20"/>
              </w:rPr>
              <w:t>落後、委託物業公司管理及店鋪租金催繳等作業未盡周全，</w:t>
            </w:r>
            <w:proofErr w:type="gramStart"/>
            <w:r w:rsidRPr="005971D9">
              <w:rPr>
                <w:rFonts w:ascii="標楷體" w:eastAsia="標楷體" w:hAnsi="標楷體" w:hint="eastAsia"/>
                <w:sz w:val="20"/>
              </w:rPr>
              <w:t>均待檢討</w:t>
            </w:r>
            <w:proofErr w:type="gramEnd"/>
            <w:r w:rsidRPr="005971D9">
              <w:rPr>
                <w:rFonts w:ascii="標楷體" w:eastAsia="標楷體" w:hAnsi="標楷體" w:hint="eastAsia"/>
                <w:sz w:val="20"/>
              </w:rPr>
              <w:t>改善</w:t>
            </w:r>
            <w:r w:rsidRPr="00235765">
              <w:rPr>
                <w:rFonts w:ascii="標楷體" w:eastAsia="標楷體" w:hAnsi="標楷體" w:hint="eastAsia"/>
                <w:sz w:val="20"/>
              </w:rPr>
              <w:t>。</w:t>
            </w:r>
          </w:p>
        </w:tc>
        <w:tc>
          <w:tcPr>
            <w:tcW w:w="3119" w:type="dxa"/>
            <w:vMerge w:val="restart"/>
            <w:tcBorders>
              <w:tl2br w:val="single" w:sz="4" w:space="0" w:color="auto"/>
            </w:tcBorders>
            <w:shd w:val="clear" w:color="auto" w:fill="auto"/>
          </w:tcPr>
          <w:p w14:paraId="0E1F39A0" w14:textId="77777777" w:rsidR="00F1456A" w:rsidRPr="00235765" w:rsidRDefault="00F1456A" w:rsidP="0015145D">
            <w:pPr>
              <w:overflowPunct w:val="0"/>
              <w:snapToGrid w:val="0"/>
              <w:spacing w:line="300" w:lineRule="exact"/>
              <w:rPr>
                <w:rFonts w:ascii="標楷體" w:eastAsia="標楷體" w:hAnsi="標楷體"/>
                <w:sz w:val="20"/>
              </w:rPr>
            </w:pPr>
          </w:p>
        </w:tc>
      </w:tr>
      <w:tr w:rsidR="00F1456A" w:rsidRPr="00235765" w14:paraId="6FB18669" w14:textId="77777777" w:rsidTr="0015145D">
        <w:trPr>
          <w:trHeight w:val="828"/>
        </w:trPr>
        <w:tc>
          <w:tcPr>
            <w:tcW w:w="6799" w:type="dxa"/>
            <w:shd w:val="clear" w:color="auto" w:fill="auto"/>
            <w:vAlign w:val="center"/>
          </w:tcPr>
          <w:p w14:paraId="15640C9C" w14:textId="77777777" w:rsidR="00F1456A" w:rsidRPr="00235765" w:rsidRDefault="00F1456A" w:rsidP="0015145D">
            <w:pPr>
              <w:overflowPunct w:val="0"/>
              <w:snapToGrid w:val="0"/>
              <w:spacing w:line="240" w:lineRule="exact"/>
              <w:ind w:left="580" w:hangingChars="290" w:hanging="580"/>
              <w:jc w:val="both"/>
              <w:rPr>
                <w:rFonts w:ascii="標楷體" w:eastAsia="標楷體" w:hAnsi="標楷體"/>
                <w:sz w:val="20"/>
              </w:rPr>
            </w:pPr>
            <w:r w:rsidRPr="00235765">
              <w:rPr>
                <w:rFonts w:ascii="標楷體" w:eastAsia="標楷體" w:hAnsi="標楷體" w:hint="eastAsia"/>
                <w:sz w:val="20"/>
              </w:rPr>
              <w:t>（二）</w:t>
            </w:r>
            <w:r w:rsidRPr="007358E2">
              <w:rPr>
                <w:rFonts w:ascii="標楷體" w:eastAsia="標楷體" w:hAnsi="標楷體" w:hint="eastAsia"/>
                <w:sz w:val="20"/>
              </w:rPr>
              <w:t>為確保社會住宅之居住品質，都市發展局委外建置</w:t>
            </w:r>
            <w:proofErr w:type="gramStart"/>
            <w:r w:rsidRPr="007358E2">
              <w:rPr>
                <w:rFonts w:ascii="標楷體" w:eastAsia="標楷體" w:hAnsi="標楷體" w:hint="eastAsia"/>
                <w:sz w:val="20"/>
              </w:rPr>
              <w:t>社宅雲</w:t>
            </w:r>
            <w:proofErr w:type="gramEnd"/>
            <w:r w:rsidRPr="007358E2">
              <w:rPr>
                <w:rFonts w:ascii="標楷體" w:eastAsia="標楷體" w:hAnsi="標楷體" w:hint="eastAsia"/>
                <w:sz w:val="20"/>
              </w:rPr>
              <w:t>提供服務及管理功能，惟近年</w:t>
            </w:r>
            <w:proofErr w:type="gramStart"/>
            <w:r w:rsidRPr="007358E2">
              <w:rPr>
                <w:rFonts w:ascii="標楷體" w:eastAsia="標楷體" w:hAnsi="標楷體" w:hint="eastAsia"/>
                <w:sz w:val="20"/>
              </w:rPr>
              <w:t>社宅雲報</w:t>
            </w:r>
            <w:proofErr w:type="gramEnd"/>
            <w:r w:rsidRPr="007358E2">
              <w:rPr>
                <w:rFonts w:ascii="標楷體" w:eastAsia="標楷體" w:hAnsi="標楷體" w:hint="eastAsia"/>
                <w:sz w:val="20"/>
              </w:rPr>
              <w:t>修案件多集中於機電、浴室及照明等特定項目，有待注意加強改善</w:t>
            </w:r>
            <w:r w:rsidRPr="00235765">
              <w:rPr>
                <w:rFonts w:ascii="標楷體" w:eastAsia="標楷體" w:hAnsi="標楷體" w:hint="eastAsia"/>
                <w:sz w:val="20"/>
              </w:rPr>
              <w:t>。</w:t>
            </w:r>
          </w:p>
        </w:tc>
        <w:tc>
          <w:tcPr>
            <w:tcW w:w="3119" w:type="dxa"/>
            <w:vMerge/>
            <w:tcBorders>
              <w:tl2br w:val="single" w:sz="4" w:space="0" w:color="auto"/>
            </w:tcBorders>
            <w:shd w:val="clear" w:color="auto" w:fill="auto"/>
          </w:tcPr>
          <w:p w14:paraId="3A4477B7" w14:textId="77777777" w:rsidR="00F1456A" w:rsidRPr="00235765" w:rsidRDefault="00F1456A" w:rsidP="0015145D">
            <w:pPr>
              <w:overflowPunct w:val="0"/>
              <w:snapToGrid w:val="0"/>
              <w:spacing w:line="300" w:lineRule="exact"/>
              <w:rPr>
                <w:rFonts w:ascii="標楷體" w:eastAsia="標楷體" w:hAnsi="標楷體"/>
                <w:sz w:val="20"/>
              </w:rPr>
            </w:pPr>
          </w:p>
        </w:tc>
      </w:tr>
      <w:tr w:rsidR="00F1456A" w:rsidRPr="00235765" w14:paraId="008DDFBC" w14:textId="77777777" w:rsidTr="0015145D">
        <w:trPr>
          <w:trHeight w:val="828"/>
        </w:trPr>
        <w:tc>
          <w:tcPr>
            <w:tcW w:w="6799" w:type="dxa"/>
            <w:shd w:val="clear" w:color="auto" w:fill="auto"/>
            <w:vAlign w:val="center"/>
          </w:tcPr>
          <w:p w14:paraId="087E6FAC" w14:textId="77777777" w:rsidR="00F1456A" w:rsidRPr="00235765" w:rsidRDefault="00F1456A" w:rsidP="0015145D">
            <w:pPr>
              <w:overflowPunct w:val="0"/>
              <w:snapToGrid w:val="0"/>
              <w:spacing w:line="240" w:lineRule="exact"/>
              <w:ind w:left="600" w:hangingChars="300" w:hanging="600"/>
              <w:jc w:val="both"/>
              <w:rPr>
                <w:rFonts w:ascii="標楷體" w:eastAsia="標楷體" w:hAnsi="標楷體"/>
                <w:sz w:val="20"/>
              </w:rPr>
            </w:pPr>
            <w:r w:rsidRPr="00235765">
              <w:rPr>
                <w:rFonts w:ascii="標楷體" w:eastAsia="標楷體" w:hAnsi="標楷體" w:hint="eastAsia"/>
                <w:sz w:val="20"/>
              </w:rPr>
              <w:t>（三）</w:t>
            </w:r>
            <w:r w:rsidRPr="007358E2">
              <w:rPr>
                <w:rFonts w:ascii="標楷體" w:eastAsia="標楷體" w:hAnsi="標楷體" w:hint="eastAsia"/>
                <w:sz w:val="20"/>
              </w:rPr>
              <w:t>為服務民眾居住需求，辦理文山區興隆公共住宅二期E基地新建工程，惟部分施工項目未依實際施作情形估驗計價，另施工管理亦</w:t>
            </w:r>
            <w:proofErr w:type="gramStart"/>
            <w:r w:rsidRPr="007358E2">
              <w:rPr>
                <w:rFonts w:ascii="標楷體" w:eastAsia="標楷體" w:hAnsi="標楷體" w:hint="eastAsia"/>
                <w:sz w:val="20"/>
              </w:rPr>
              <w:t>間有未臻</w:t>
            </w:r>
            <w:proofErr w:type="gramEnd"/>
            <w:r w:rsidRPr="007358E2">
              <w:rPr>
                <w:rFonts w:ascii="標楷體" w:eastAsia="標楷體" w:hAnsi="標楷體" w:hint="eastAsia"/>
                <w:sz w:val="20"/>
              </w:rPr>
              <w:t>周妥情事，</w:t>
            </w:r>
            <w:proofErr w:type="gramStart"/>
            <w:r w:rsidRPr="007358E2">
              <w:rPr>
                <w:rFonts w:ascii="標楷體" w:eastAsia="標楷體" w:hAnsi="標楷體" w:hint="eastAsia"/>
                <w:sz w:val="20"/>
              </w:rPr>
              <w:t>允待檢討</w:t>
            </w:r>
            <w:proofErr w:type="gramEnd"/>
            <w:r w:rsidRPr="007358E2">
              <w:rPr>
                <w:rFonts w:ascii="標楷體" w:eastAsia="標楷體" w:hAnsi="標楷體" w:hint="eastAsia"/>
                <w:sz w:val="20"/>
              </w:rPr>
              <w:t>改善</w:t>
            </w:r>
            <w:r w:rsidRPr="00235765">
              <w:rPr>
                <w:rFonts w:ascii="標楷體" w:eastAsia="標楷體" w:hAnsi="標楷體" w:hint="eastAsia"/>
                <w:sz w:val="20"/>
              </w:rPr>
              <w:t>。</w:t>
            </w:r>
          </w:p>
        </w:tc>
        <w:tc>
          <w:tcPr>
            <w:tcW w:w="3119" w:type="dxa"/>
            <w:vMerge/>
            <w:tcBorders>
              <w:tl2br w:val="single" w:sz="4" w:space="0" w:color="auto"/>
            </w:tcBorders>
            <w:shd w:val="clear" w:color="auto" w:fill="auto"/>
          </w:tcPr>
          <w:p w14:paraId="758EC0F8" w14:textId="77777777" w:rsidR="00F1456A" w:rsidRPr="00235765" w:rsidRDefault="00F1456A" w:rsidP="0015145D">
            <w:pPr>
              <w:overflowPunct w:val="0"/>
              <w:snapToGrid w:val="0"/>
              <w:spacing w:line="300" w:lineRule="exact"/>
              <w:rPr>
                <w:rFonts w:ascii="標楷體" w:eastAsia="標楷體" w:hAnsi="標楷體"/>
                <w:sz w:val="20"/>
              </w:rPr>
            </w:pPr>
          </w:p>
        </w:tc>
      </w:tr>
      <w:tr w:rsidR="00F1456A" w:rsidRPr="00235765" w14:paraId="7026E1BD" w14:textId="77777777" w:rsidTr="0015145D">
        <w:trPr>
          <w:trHeight w:val="828"/>
        </w:trPr>
        <w:tc>
          <w:tcPr>
            <w:tcW w:w="6799" w:type="dxa"/>
            <w:shd w:val="clear" w:color="auto" w:fill="auto"/>
            <w:vAlign w:val="center"/>
          </w:tcPr>
          <w:p w14:paraId="5DCCE9AA" w14:textId="77777777" w:rsidR="00F1456A" w:rsidRPr="00235765" w:rsidRDefault="00F1456A" w:rsidP="0015145D">
            <w:pPr>
              <w:overflowPunct w:val="0"/>
              <w:snapToGrid w:val="0"/>
              <w:spacing w:line="240" w:lineRule="exact"/>
              <w:ind w:left="580" w:hangingChars="290" w:hanging="580"/>
              <w:jc w:val="both"/>
              <w:rPr>
                <w:rFonts w:ascii="標楷體" w:eastAsia="標楷體" w:hAnsi="標楷體"/>
                <w:sz w:val="20"/>
              </w:rPr>
            </w:pPr>
            <w:r w:rsidRPr="00235765">
              <w:rPr>
                <w:rFonts w:ascii="標楷體" w:eastAsia="標楷體" w:hAnsi="標楷體" w:hint="eastAsia"/>
                <w:sz w:val="20"/>
              </w:rPr>
              <w:t>（四）</w:t>
            </w:r>
            <w:r w:rsidRPr="007358E2">
              <w:rPr>
                <w:rFonts w:ascii="標楷體" w:eastAsia="標楷體" w:hAnsi="標楷體" w:hint="eastAsia"/>
                <w:sz w:val="20"/>
              </w:rPr>
              <w:t>為因應社會住宅出租及營運需求，訂有臺北市社會住宅出租辦法，惟部分</w:t>
            </w:r>
            <w:proofErr w:type="gramStart"/>
            <w:r w:rsidRPr="007358E2">
              <w:rPr>
                <w:rFonts w:ascii="標楷體" w:eastAsia="標楷體" w:hAnsi="標楷體" w:hint="eastAsia"/>
                <w:sz w:val="20"/>
              </w:rPr>
              <w:t>攸</w:t>
            </w:r>
            <w:proofErr w:type="gramEnd"/>
            <w:r w:rsidRPr="007358E2">
              <w:rPr>
                <w:rFonts w:ascii="標楷體" w:eastAsia="標楷體" w:hAnsi="標楷體" w:hint="eastAsia"/>
                <w:sz w:val="20"/>
              </w:rPr>
              <w:t>關民眾居住權益之規範未能與時俱進，或未配合實務需求及相關法令異動，適時檢討修正，允待</w:t>
            </w:r>
            <w:proofErr w:type="gramStart"/>
            <w:r w:rsidRPr="007358E2">
              <w:rPr>
                <w:rFonts w:ascii="標楷體" w:eastAsia="標楷體" w:hAnsi="標楷體" w:hint="eastAsia"/>
                <w:sz w:val="20"/>
              </w:rPr>
              <w:t>研</w:t>
            </w:r>
            <w:proofErr w:type="gramEnd"/>
            <w:r w:rsidRPr="007358E2">
              <w:rPr>
                <w:rFonts w:ascii="標楷體" w:eastAsia="標楷體" w:hAnsi="標楷體" w:hint="eastAsia"/>
                <w:sz w:val="20"/>
              </w:rPr>
              <w:t>謀改善</w:t>
            </w:r>
            <w:r w:rsidRPr="00235765">
              <w:rPr>
                <w:rFonts w:ascii="標楷體" w:eastAsia="標楷體" w:hAnsi="標楷體" w:hint="eastAsia"/>
                <w:sz w:val="20"/>
              </w:rPr>
              <w:t>。</w:t>
            </w:r>
          </w:p>
        </w:tc>
        <w:tc>
          <w:tcPr>
            <w:tcW w:w="3119" w:type="dxa"/>
            <w:vMerge/>
            <w:tcBorders>
              <w:tl2br w:val="single" w:sz="4" w:space="0" w:color="auto"/>
            </w:tcBorders>
            <w:shd w:val="clear" w:color="auto" w:fill="auto"/>
          </w:tcPr>
          <w:p w14:paraId="192D0BB5" w14:textId="77777777" w:rsidR="00F1456A" w:rsidRPr="00235765" w:rsidRDefault="00F1456A" w:rsidP="0015145D">
            <w:pPr>
              <w:overflowPunct w:val="0"/>
              <w:snapToGrid w:val="0"/>
              <w:spacing w:line="300" w:lineRule="exact"/>
              <w:rPr>
                <w:rFonts w:ascii="標楷體" w:eastAsia="標楷體" w:hAnsi="標楷體"/>
                <w:sz w:val="20"/>
              </w:rPr>
            </w:pPr>
          </w:p>
        </w:tc>
      </w:tr>
      <w:tr w:rsidR="00F1456A" w:rsidRPr="00235765" w14:paraId="10862899" w14:textId="77777777" w:rsidTr="0015145D">
        <w:trPr>
          <w:trHeight w:val="835"/>
        </w:trPr>
        <w:tc>
          <w:tcPr>
            <w:tcW w:w="6799" w:type="dxa"/>
            <w:shd w:val="clear" w:color="auto" w:fill="auto"/>
            <w:vAlign w:val="center"/>
          </w:tcPr>
          <w:p w14:paraId="1EAEF856" w14:textId="77777777" w:rsidR="00F1456A" w:rsidRPr="00235765" w:rsidRDefault="00F1456A" w:rsidP="0015145D">
            <w:pPr>
              <w:overflowPunct w:val="0"/>
              <w:snapToGrid w:val="0"/>
              <w:spacing w:line="240" w:lineRule="exact"/>
              <w:ind w:left="600" w:hangingChars="300" w:hanging="600"/>
              <w:jc w:val="both"/>
              <w:rPr>
                <w:rFonts w:ascii="標楷體" w:eastAsia="標楷體" w:hAnsi="標楷體"/>
                <w:sz w:val="20"/>
              </w:rPr>
            </w:pPr>
            <w:r w:rsidRPr="00235765">
              <w:rPr>
                <w:rFonts w:ascii="標楷體" w:eastAsia="標楷體" w:hAnsi="標楷體" w:hint="eastAsia"/>
                <w:sz w:val="20"/>
              </w:rPr>
              <w:t>（五）</w:t>
            </w:r>
            <w:r w:rsidRPr="007160E6">
              <w:rPr>
                <w:rFonts w:ascii="標楷體" w:eastAsia="標楷體" w:hAnsi="標楷體" w:hint="eastAsia"/>
                <w:sz w:val="20"/>
              </w:rPr>
              <w:t>運用容積代金標購公保地已有增加，惟部分類別公保地執行績效較低，仍待提升；另涉及無需求公共設施保留地解編事宜，尚有部分主要計畫未完成公告實施程序等，</w:t>
            </w:r>
            <w:proofErr w:type="gramStart"/>
            <w:r w:rsidRPr="007160E6">
              <w:rPr>
                <w:rFonts w:ascii="標楷體" w:eastAsia="標楷體" w:hAnsi="標楷體" w:hint="eastAsia"/>
                <w:sz w:val="20"/>
              </w:rPr>
              <w:t>均待檢討</w:t>
            </w:r>
            <w:proofErr w:type="gramEnd"/>
            <w:r w:rsidRPr="007160E6">
              <w:rPr>
                <w:rFonts w:ascii="標楷體" w:eastAsia="標楷體" w:hAnsi="標楷體" w:hint="eastAsia"/>
                <w:sz w:val="20"/>
              </w:rPr>
              <w:t>改善</w:t>
            </w:r>
            <w:r w:rsidRPr="00235765">
              <w:rPr>
                <w:rFonts w:ascii="標楷體" w:eastAsia="標楷體" w:hAnsi="標楷體" w:hint="eastAsia"/>
                <w:sz w:val="20"/>
              </w:rPr>
              <w:t>。</w:t>
            </w:r>
          </w:p>
        </w:tc>
        <w:tc>
          <w:tcPr>
            <w:tcW w:w="3119" w:type="dxa"/>
            <w:vMerge/>
            <w:tcBorders>
              <w:tl2br w:val="single" w:sz="4" w:space="0" w:color="auto"/>
            </w:tcBorders>
            <w:shd w:val="clear" w:color="auto" w:fill="auto"/>
          </w:tcPr>
          <w:p w14:paraId="3979CBA4" w14:textId="77777777" w:rsidR="00F1456A" w:rsidRPr="00235765" w:rsidRDefault="00F1456A" w:rsidP="0015145D">
            <w:pPr>
              <w:overflowPunct w:val="0"/>
              <w:snapToGrid w:val="0"/>
              <w:spacing w:line="300" w:lineRule="exact"/>
              <w:rPr>
                <w:rFonts w:ascii="標楷體" w:eastAsia="標楷體" w:hAnsi="標楷體"/>
                <w:sz w:val="20"/>
              </w:rPr>
            </w:pPr>
          </w:p>
        </w:tc>
      </w:tr>
      <w:tr w:rsidR="00F1456A" w:rsidRPr="00235765" w14:paraId="737CB759" w14:textId="77777777" w:rsidTr="0015145D">
        <w:trPr>
          <w:trHeight w:val="567"/>
        </w:trPr>
        <w:tc>
          <w:tcPr>
            <w:tcW w:w="6799" w:type="dxa"/>
            <w:shd w:val="clear" w:color="auto" w:fill="auto"/>
            <w:vAlign w:val="center"/>
          </w:tcPr>
          <w:p w14:paraId="05D03D24" w14:textId="77777777" w:rsidR="00F1456A" w:rsidRPr="00235765" w:rsidRDefault="00F1456A" w:rsidP="0015145D">
            <w:pPr>
              <w:overflowPunct w:val="0"/>
              <w:snapToGrid w:val="0"/>
              <w:spacing w:line="240" w:lineRule="exact"/>
              <w:ind w:left="580" w:hangingChars="290" w:hanging="580"/>
              <w:jc w:val="both"/>
              <w:rPr>
                <w:rFonts w:ascii="標楷體" w:eastAsia="標楷體" w:hAnsi="標楷體"/>
                <w:sz w:val="20"/>
              </w:rPr>
            </w:pPr>
            <w:r w:rsidRPr="00235765">
              <w:rPr>
                <w:rFonts w:ascii="標楷體" w:eastAsia="標楷體" w:hAnsi="標楷體" w:hint="eastAsia"/>
                <w:sz w:val="20"/>
              </w:rPr>
              <w:t>（六）</w:t>
            </w:r>
            <w:r w:rsidRPr="007160E6">
              <w:rPr>
                <w:rFonts w:ascii="標楷體" w:eastAsia="標楷體" w:hAnsi="標楷體" w:hint="eastAsia"/>
                <w:sz w:val="20"/>
              </w:rPr>
              <w:t>都市更新處為追蹤都市更新整建維護補助效益，設有定期書面稽考補助案機制，</w:t>
            </w:r>
            <w:proofErr w:type="gramStart"/>
            <w:r w:rsidRPr="007160E6">
              <w:rPr>
                <w:rFonts w:ascii="標楷體" w:eastAsia="標楷體" w:hAnsi="標楷體" w:hint="eastAsia"/>
                <w:sz w:val="20"/>
              </w:rPr>
              <w:t>惟間有漏</w:t>
            </w:r>
            <w:proofErr w:type="gramEnd"/>
            <w:r w:rsidRPr="007160E6">
              <w:rPr>
                <w:rFonts w:ascii="標楷體" w:eastAsia="標楷體" w:hAnsi="標楷體" w:hint="eastAsia"/>
                <w:sz w:val="20"/>
              </w:rPr>
              <w:t>列稽考案件或誤算稽考時限等情，有待檢討改善</w:t>
            </w:r>
            <w:r w:rsidRPr="00235765">
              <w:rPr>
                <w:rFonts w:ascii="標楷體" w:eastAsia="標楷體" w:hAnsi="標楷體" w:hint="eastAsia"/>
                <w:sz w:val="20"/>
              </w:rPr>
              <w:t>。</w:t>
            </w:r>
          </w:p>
        </w:tc>
        <w:tc>
          <w:tcPr>
            <w:tcW w:w="3119" w:type="dxa"/>
            <w:vMerge/>
            <w:tcBorders>
              <w:tl2br w:val="single" w:sz="4" w:space="0" w:color="auto"/>
            </w:tcBorders>
            <w:shd w:val="clear" w:color="auto" w:fill="auto"/>
          </w:tcPr>
          <w:p w14:paraId="20C65377" w14:textId="77777777" w:rsidR="00F1456A" w:rsidRPr="00235765" w:rsidRDefault="00F1456A" w:rsidP="0015145D">
            <w:pPr>
              <w:overflowPunct w:val="0"/>
              <w:snapToGrid w:val="0"/>
              <w:spacing w:line="300" w:lineRule="exact"/>
              <w:rPr>
                <w:rFonts w:ascii="標楷體" w:eastAsia="標楷體" w:hAnsi="標楷體"/>
                <w:sz w:val="20"/>
              </w:rPr>
            </w:pPr>
          </w:p>
        </w:tc>
      </w:tr>
      <w:tr w:rsidR="00F1456A" w:rsidRPr="00235765" w14:paraId="1F7906D2" w14:textId="77777777" w:rsidTr="0015145D">
        <w:trPr>
          <w:trHeight w:val="567"/>
        </w:trPr>
        <w:tc>
          <w:tcPr>
            <w:tcW w:w="6799" w:type="dxa"/>
            <w:shd w:val="clear" w:color="auto" w:fill="auto"/>
            <w:vAlign w:val="center"/>
          </w:tcPr>
          <w:p w14:paraId="1292B73D" w14:textId="77777777" w:rsidR="00F1456A" w:rsidRPr="00235765" w:rsidRDefault="00F1456A" w:rsidP="0015145D">
            <w:pPr>
              <w:overflowPunct w:val="0"/>
              <w:snapToGrid w:val="0"/>
              <w:spacing w:line="240" w:lineRule="exact"/>
              <w:ind w:left="580" w:hangingChars="290" w:hanging="580"/>
              <w:jc w:val="both"/>
              <w:rPr>
                <w:rFonts w:ascii="標楷體" w:eastAsia="標楷體" w:hAnsi="標楷體"/>
                <w:sz w:val="20"/>
              </w:rPr>
            </w:pPr>
            <w:r w:rsidRPr="00235765">
              <w:rPr>
                <w:rFonts w:ascii="標楷體" w:eastAsia="標楷體" w:hAnsi="標楷體" w:hint="eastAsia"/>
                <w:sz w:val="20"/>
              </w:rPr>
              <w:t>（七）</w:t>
            </w:r>
            <w:r w:rsidRPr="007160E6">
              <w:rPr>
                <w:rFonts w:ascii="標楷體" w:eastAsia="標楷體" w:hAnsi="標楷體" w:hint="eastAsia"/>
                <w:sz w:val="20"/>
              </w:rPr>
              <w:t>都市更新處經管之台北都更解壓說概念館內設施，</w:t>
            </w:r>
            <w:proofErr w:type="gramStart"/>
            <w:r w:rsidRPr="007160E6">
              <w:rPr>
                <w:rFonts w:ascii="標楷體" w:eastAsia="標楷體" w:hAnsi="標楷體" w:hint="eastAsia"/>
                <w:sz w:val="20"/>
              </w:rPr>
              <w:t>間有未</w:t>
            </w:r>
            <w:proofErr w:type="gramEnd"/>
            <w:r w:rsidRPr="007160E6">
              <w:rPr>
                <w:rFonts w:ascii="標楷體" w:eastAsia="標楷體" w:hAnsi="標楷體" w:hint="eastAsia"/>
                <w:sz w:val="20"/>
              </w:rPr>
              <w:t>依屬性辦理財產登記等情，有待檢討改善</w:t>
            </w:r>
            <w:r w:rsidRPr="00235765">
              <w:rPr>
                <w:rFonts w:ascii="標楷體" w:eastAsia="標楷體" w:hAnsi="標楷體" w:hint="eastAsia"/>
                <w:sz w:val="20"/>
              </w:rPr>
              <w:t>。</w:t>
            </w:r>
          </w:p>
        </w:tc>
        <w:tc>
          <w:tcPr>
            <w:tcW w:w="3119" w:type="dxa"/>
            <w:vMerge/>
            <w:tcBorders>
              <w:tl2br w:val="single" w:sz="4" w:space="0" w:color="auto"/>
            </w:tcBorders>
            <w:shd w:val="clear" w:color="auto" w:fill="auto"/>
          </w:tcPr>
          <w:p w14:paraId="218C53D6" w14:textId="77777777" w:rsidR="00F1456A" w:rsidRPr="00235765" w:rsidRDefault="00F1456A" w:rsidP="0015145D">
            <w:pPr>
              <w:overflowPunct w:val="0"/>
              <w:snapToGrid w:val="0"/>
              <w:spacing w:line="300" w:lineRule="exact"/>
              <w:rPr>
                <w:rFonts w:ascii="標楷體" w:eastAsia="標楷體" w:hAnsi="標楷體"/>
                <w:sz w:val="20"/>
              </w:rPr>
            </w:pPr>
          </w:p>
        </w:tc>
      </w:tr>
    </w:tbl>
    <w:p w14:paraId="4AFE9434" w14:textId="42512A64" w:rsidR="00436738" w:rsidRDefault="00F1456A" w:rsidP="00060E0B">
      <w:pPr>
        <w:widowControl/>
        <w:rPr>
          <w:rFonts w:ascii="標楷體" w:eastAsia="標楷體" w:hAnsi="Times New Roman" w:cs="Times New Roman"/>
          <w:b/>
          <w:noProof/>
          <w:sz w:val="36"/>
          <w:szCs w:val="36"/>
        </w:rPr>
      </w:pPr>
      <w:r>
        <w:rPr>
          <w:rFonts w:ascii="標楷體" w:eastAsia="標楷體" w:hAnsi="Times New Roman" w:cs="Times New Roman"/>
          <w:b/>
          <w:noProof/>
          <w:sz w:val="36"/>
          <w:szCs w:val="36"/>
        </w:rPr>
        <w:br w:type="page"/>
      </w:r>
      <w:r w:rsidR="00436738">
        <w:rPr>
          <w:rFonts w:ascii="標楷體" w:eastAsia="標楷體" w:hAnsi="Times New Roman" w:cs="Times New Roman" w:hint="eastAsia"/>
          <w:b/>
          <w:noProof/>
          <w:sz w:val="36"/>
          <w:szCs w:val="36"/>
        </w:rPr>
        <w:lastRenderedPageBreak/>
        <w:t>拾伍、文化局主管</w:t>
      </w:r>
    </w:p>
    <w:p w14:paraId="23886FA0" w14:textId="77777777" w:rsidR="00436738" w:rsidRDefault="00436738" w:rsidP="008A3435">
      <w:pPr>
        <w:widowControl/>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文化局主管計有公務機關7個，非營業特種基金單位2個，各該單位決算及附屬單位決算非營業部分之審核</w:t>
      </w:r>
      <w:r w:rsidRPr="008A3435">
        <w:rPr>
          <w:rFonts w:ascii="標楷體" w:eastAsia="標楷體" w:hAnsi="標楷體" w:cs="Times New Roman" w:hint="eastAsia"/>
          <w:spacing w:val="1"/>
          <w:szCs w:val="24"/>
        </w:rPr>
        <w:t>情形</w:t>
      </w:r>
      <w:r>
        <w:rPr>
          <w:rFonts w:ascii="標楷體" w:eastAsia="標楷體" w:hAnsi="Times New Roman" w:cs="Times New Roman" w:hint="eastAsia"/>
          <w:color w:val="000000"/>
          <w:szCs w:val="24"/>
        </w:rPr>
        <w:t>如次：</w:t>
      </w:r>
    </w:p>
    <w:p w14:paraId="442F13B5" w14:textId="77777777" w:rsidR="00436738" w:rsidRDefault="00436738" w:rsidP="00436738">
      <w:pPr>
        <w:spacing w:beforeLines="20" w:before="72" w:afterLines="20" w:after="72" w:line="440" w:lineRule="exact"/>
        <w:jc w:val="both"/>
        <w:outlineLvl w:val="2"/>
        <w:rPr>
          <w:rFonts w:ascii="標楷體" w:eastAsia="標楷體" w:hAnsi="Times New Roman" w:cs="Times New Roman"/>
          <w:b/>
          <w:noProof/>
          <w:sz w:val="32"/>
          <w:szCs w:val="32"/>
        </w:rPr>
      </w:pPr>
      <w:r>
        <w:rPr>
          <w:rFonts w:ascii="標楷體" w:eastAsia="標楷體" w:hAnsi="Times New Roman" w:cs="Times New Roman" w:hint="eastAsia"/>
          <w:b/>
          <w:noProof/>
          <w:sz w:val="32"/>
          <w:szCs w:val="32"/>
        </w:rPr>
        <w:t>一、單位決算部分</w:t>
      </w:r>
    </w:p>
    <w:p w14:paraId="5D13E4A3" w14:textId="77777777" w:rsidR="00436738" w:rsidRDefault="00436738" w:rsidP="008A3435">
      <w:pPr>
        <w:widowControl/>
        <w:overflowPunct w:val="0"/>
        <w:spacing w:line="400" w:lineRule="exact"/>
        <w:ind w:firstLineChars="200" w:firstLine="484"/>
        <w:jc w:val="both"/>
        <w:rPr>
          <w:rFonts w:ascii="標楷體" w:eastAsia="標楷體" w:hAnsi="標楷體" w:cs="Times New Roman"/>
          <w:spacing w:val="1"/>
          <w:szCs w:val="24"/>
        </w:rPr>
      </w:pPr>
      <w:r>
        <w:rPr>
          <w:rFonts w:ascii="標楷體" w:eastAsia="標楷體" w:hAnsi="標楷體" w:cs="Times New Roman" w:hint="eastAsia"/>
          <w:spacing w:val="1"/>
          <w:szCs w:val="24"/>
        </w:rPr>
        <w:t>文化局主管包括文化局、中山堂管理所、市立文獻館、市立美術館、市立交響樂團、市立國樂團、藝文推廣處等7個機關，掌理臺北市文化行政業務。茲將</w:t>
      </w:r>
      <w:proofErr w:type="gramStart"/>
      <w:r>
        <w:rPr>
          <w:rFonts w:ascii="標楷體" w:eastAsia="標楷體" w:hAnsi="標楷體" w:cs="Times New Roman" w:hint="eastAsia"/>
          <w:spacing w:val="1"/>
          <w:szCs w:val="24"/>
        </w:rPr>
        <w:t>113</w:t>
      </w:r>
      <w:proofErr w:type="gramEnd"/>
      <w:r>
        <w:rPr>
          <w:rFonts w:ascii="標楷體" w:eastAsia="標楷體" w:hAnsi="標楷體" w:cs="Times New Roman" w:hint="eastAsia"/>
          <w:spacing w:val="1"/>
          <w:szCs w:val="24"/>
        </w:rPr>
        <w:t>年度決算審核結果說明如次：</w:t>
      </w:r>
    </w:p>
    <w:p w14:paraId="5F3731E8" w14:textId="77777777" w:rsidR="00436738" w:rsidRDefault="00436738" w:rsidP="008A3435">
      <w:pPr>
        <w:spacing w:line="40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（一）計畫實施之查核</w:t>
      </w:r>
    </w:p>
    <w:p w14:paraId="63827250" w14:textId="77777777" w:rsidR="00436738" w:rsidRDefault="00436738" w:rsidP="008A3435">
      <w:pPr>
        <w:widowControl/>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業務計畫29項，下分工作計畫35項，包括辦理文化資產保存維護與活化、專業藝文人才扶植、推動影視音</w:t>
      </w:r>
      <w:proofErr w:type="gramStart"/>
      <w:r>
        <w:rPr>
          <w:rFonts w:ascii="標楷體" w:eastAsia="標楷體" w:hAnsi="Times New Roman" w:cs="Times New Roman" w:hint="eastAsia"/>
          <w:color w:val="000000"/>
          <w:szCs w:val="24"/>
        </w:rPr>
        <w:t>及文創產業</w:t>
      </w:r>
      <w:proofErr w:type="gramEnd"/>
      <w:r>
        <w:rPr>
          <w:rFonts w:ascii="標楷體" w:eastAsia="標楷體" w:hAnsi="Times New Roman" w:cs="Times New Roman" w:hint="eastAsia"/>
          <w:color w:val="000000"/>
          <w:szCs w:val="24"/>
        </w:rPr>
        <w:t>發展、藝文設施之興建與營運管理、舉辦藝文活動，充實市民文化內涵等重要施政項目，其中已執行完成者24項，尚在</w:t>
      </w:r>
      <w:r>
        <w:rPr>
          <w:rFonts w:ascii="標楷體" w:eastAsia="標楷體" w:hAnsi="標楷體" w:cs="Times New Roman" w:hint="eastAsia"/>
          <w:szCs w:val="24"/>
        </w:rPr>
        <w:t>執行者</w:t>
      </w:r>
      <w:r>
        <w:rPr>
          <w:rFonts w:ascii="標楷體" w:eastAsia="標楷體" w:hAnsi="Times New Roman" w:cs="Times New Roman" w:hint="eastAsia"/>
          <w:color w:val="000000"/>
          <w:szCs w:val="24"/>
        </w:rPr>
        <w:t>11項，主要係文化局代辦北部流行音樂中心興建工程技術服務案之履約爭議</w:t>
      </w:r>
      <w:r w:rsidRPr="008A3435">
        <w:rPr>
          <w:rFonts w:ascii="標楷體" w:eastAsia="標楷體" w:hAnsi="Times New Roman" w:cs="Times New Roman" w:hint="eastAsia"/>
          <w:szCs w:val="24"/>
        </w:rPr>
        <w:t>調解</w:t>
      </w:r>
      <w:r>
        <w:rPr>
          <w:rFonts w:ascii="標楷體" w:eastAsia="標楷體" w:hAnsi="Times New Roman" w:cs="Times New Roman" w:hint="eastAsia"/>
          <w:color w:val="000000"/>
          <w:szCs w:val="24"/>
        </w:rPr>
        <w:t>費尚待中央核復處理方式，及臺北市音樂與圖書中心工程各項分攤款，尚須配合主辦機關執行進度撥款，暨文化部文化資產局補助辦理部分文化資產保存及修復工程等計畫，履約期程跨年度等，仍須保留繼續執行。</w:t>
      </w:r>
    </w:p>
    <w:p w14:paraId="1E684985" w14:textId="77777777" w:rsidR="00436738" w:rsidRDefault="00436738" w:rsidP="008A3435">
      <w:pPr>
        <w:spacing w:line="40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（二）預算執行之審核</w:t>
      </w:r>
    </w:p>
    <w:p w14:paraId="21D940B8" w14:textId="77777777" w:rsidR="00436738" w:rsidRDefault="00436738" w:rsidP="008A3435">
      <w:pPr>
        <w:widowControl/>
        <w:overflowPunct w:val="0"/>
        <w:spacing w:beforeLines="10" w:before="36" w:line="41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t>1.歲入原編列預算數1億5,359萬元，經追加預算2億32萬餘元，合計3億5,391萬餘元，決算審核結果，修正增列應收保留數619萬餘元，主要係文化局短列應收委辦「</w:t>
      </w:r>
      <w:proofErr w:type="gramStart"/>
      <w:r>
        <w:rPr>
          <w:rFonts w:ascii="標楷體" w:eastAsia="標楷體" w:hAnsi="Times New Roman" w:cs="Times New Roman" w:hint="eastAsia"/>
          <w:szCs w:val="24"/>
        </w:rPr>
        <w:t>108</w:t>
      </w:r>
      <w:proofErr w:type="gramEnd"/>
      <w:r>
        <w:rPr>
          <w:rFonts w:ascii="標楷體" w:eastAsia="標楷體" w:hAnsi="Times New Roman" w:cs="Times New Roman" w:hint="eastAsia"/>
          <w:szCs w:val="24"/>
        </w:rPr>
        <w:t>年度國際影視攝製投資計畫」拍攝影片收益；審定實現數2億7,099萬餘元，應收保留數1億1,865萬餘元，主要係文化部文化資產局補助文化局辦理文化資產保存修復及管理維護計畫，依實際執行進度申撥款項；合計決算審定數為3億8,965萬餘元，較預算增加3,574萬餘元（10.10％），主要係市立美術館廠商違約罰款及市立交響樂團音樂會演出門票等收入較預計增加，暨文化局收回以前</w:t>
      </w:r>
      <w:r w:rsidRPr="008A3435">
        <w:rPr>
          <w:rFonts w:ascii="標楷體" w:eastAsia="標楷體" w:hAnsi="標楷體" w:cs="Times New Roman" w:hint="eastAsia"/>
          <w:szCs w:val="24"/>
        </w:rPr>
        <w:t>年度</w:t>
      </w:r>
      <w:r>
        <w:rPr>
          <w:rFonts w:ascii="標楷體" w:eastAsia="標楷體" w:hAnsi="Times New Roman" w:cs="Times New Roman" w:hint="eastAsia"/>
          <w:szCs w:val="24"/>
        </w:rPr>
        <w:t>委辦國際影視攝製投資計畫之拍攝影片收益，</w:t>
      </w:r>
      <w:proofErr w:type="gramStart"/>
      <w:r>
        <w:rPr>
          <w:rFonts w:ascii="標楷體" w:eastAsia="標楷體" w:hAnsi="Times New Roman" w:cs="Times New Roman" w:hint="eastAsia"/>
          <w:szCs w:val="24"/>
        </w:rPr>
        <w:t>原未編列</w:t>
      </w:r>
      <w:proofErr w:type="gramEnd"/>
      <w:r>
        <w:rPr>
          <w:rFonts w:ascii="標楷體" w:eastAsia="標楷體" w:hAnsi="Times New Roman" w:cs="Times New Roman" w:hint="eastAsia"/>
          <w:szCs w:val="24"/>
        </w:rPr>
        <w:t>預算所致。</w:t>
      </w:r>
    </w:p>
    <w:p w14:paraId="26949EAC" w14:textId="77777777" w:rsidR="00436738" w:rsidRDefault="00436738" w:rsidP="008A3435">
      <w:pPr>
        <w:widowControl/>
        <w:overflowPunct w:val="0"/>
        <w:spacing w:beforeLines="10" w:before="36" w:line="41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2.以前年度歲入轉入數計3,775萬餘元，決算審核結果，審定實現數1,875萬餘元（49.69％）；減免（註銷）數63</w:t>
      </w:r>
      <w:r w:rsidRPr="00436738">
        <w:rPr>
          <w:rFonts w:ascii="標楷體" w:eastAsia="標楷體" w:hAnsi="Times New Roman" w:cs="Times New Roman" w:hint="eastAsia"/>
          <w:szCs w:val="24"/>
        </w:rPr>
        <w:t>萬餘</w:t>
      </w:r>
      <w:r>
        <w:rPr>
          <w:rFonts w:ascii="標楷體" w:eastAsia="標楷體" w:hAnsi="標楷體" w:cs="Times New Roman" w:hint="eastAsia"/>
          <w:szCs w:val="24"/>
        </w:rPr>
        <w:t>元（1.68％），係文化部文化資產局補助文化局辦理臺北市市定古蹟清真寺</w:t>
      </w:r>
      <w:r w:rsidRPr="008A3435">
        <w:rPr>
          <w:rFonts w:ascii="標楷體" w:eastAsia="標楷體" w:hAnsi="Times New Roman" w:cs="Times New Roman" w:hint="eastAsia"/>
          <w:szCs w:val="24"/>
        </w:rPr>
        <w:t>修復</w:t>
      </w:r>
      <w:r>
        <w:rPr>
          <w:rFonts w:ascii="標楷體" w:eastAsia="標楷體" w:hAnsi="標楷體" w:cs="Times New Roman" w:hint="eastAsia"/>
          <w:szCs w:val="24"/>
        </w:rPr>
        <w:t>工程第二期（含監造）經費，</w:t>
      </w:r>
      <w:r>
        <w:rPr>
          <w:rFonts w:ascii="標楷體" w:eastAsia="標楷體" w:hAnsi="標楷體" w:cs="Times New Roman" w:hint="eastAsia"/>
          <w:color w:val="000000"/>
          <w:szCs w:val="24"/>
        </w:rPr>
        <w:t>依實際發包金額核撥款項所致</w:t>
      </w:r>
      <w:r>
        <w:rPr>
          <w:rFonts w:ascii="標楷體" w:eastAsia="標楷體" w:hAnsi="標楷體" w:cs="Times New Roman" w:hint="eastAsia"/>
          <w:szCs w:val="24"/>
        </w:rPr>
        <w:t>；應收保留數1,835萬餘元（48.63％），主要係</w:t>
      </w:r>
      <w:proofErr w:type="gramStart"/>
      <w:r>
        <w:rPr>
          <w:rFonts w:ascii="標楷體" w:eastAsia="標楷體" w:hAnsi="標楷體" w:cs="Times New Roman" w:hint="eastAsia"/>
          <w:szCs w:val="24"/>
        </w:rPr>
        <w:t>文化局欠租人</w:t>
      </w:r>
      <w:proofErr w:type="gramEnd"/>
      <w:r>
        <w:rPr>
          <w:rFonts w:ascii="標楷體" w:eastAsia="標楷體" w:hAnsi="標楷體" w:cs="Times New Roman" w:hint="eastAsia"/>
          <w:szCs w:val="24"/>
        </w:rPr>
        <w:t>之懲罰性違約金及應收土地租金收入尚待收繳。</w:t>
      </w:r>
    </w:p>
    <w:p w14:paraId="2E97FF6E" w14:textId="77777777" w:rsidR="00436738" w:rsidRDefault="00436738" w:rsidP="008A3435">
      <w:pPr>
        <w:widowControl/>
        <w:overflowPunct w:val="0"/>
        <w:spacing w:beforeLines="10" w:before="36" w:line="410" w:lineRule="exact"/>
        <w:ind w:firstLineChars="200" w:firstLine="480"/>
        <w:jc w:val="both"/>
        <w:rPr>
          <w:rFonts w:ascii="標楷體" w:eastAsia="標楷體" w:hAnsi="Times New Roman" w:cs="Times New Roman"/>
          <w:szCs w:val="24"/>
          <w:highlight w:val="yellow"/>
        </w:rPr>
      </w:pPr>
      <w:r>
        <w:rPr>
          <w:rFonts w:ascii="標楷體" w:eastAsia="標楷體" w:hAnsi="Times New Roman" w:cs="Times New Roman" w:hint="eastAsia"/>
          <w:szCs w:val="24"/>
        </w:rPr>
        <w:t>3.歲出原編列預算數45億6,409萬餘元，經追加預算4億130萬餘元，並因文化局及市立文獻館辦理「</w:t>
      </w:r>
      <w:proofErr w:type="gramStart"/>
      <w:r>
        <w:rPr>
          <w:rFonts w:ascii="標楷體" w:eastAsia="標楷體" w:hAnsi="Times New Roman" w:cs="Times New Roman" w:hint="eastAsia"/>
          <w:szCs w:val="24"/>
        </w:rPr>
        <w:t>臺北建</w:t>
      </w:r>
      <w:proofErr w:type="gramEnd"/>
      <w:r>
        <w:rPr>
          <w:rFonts w:ascii="標楷體" w:eastAsia="標楷體" w:hAnsi="Times New Roman" w:cs="Times New Roman" w:hint="eastAsia"/>
          <w:szCs w:val="24"/>
        </w:rPr>
        <w:t>城140週年系列活動案」所需經費不敷支應，經動支第二預備金1,686萬餘元，暨文化局、市立文獻館、市立美術館及市立國樂團等4單位因人事費不足申請動支各類員工待遇準備1,195萬餘元，合計49億9,421萬餘元，決算審核結果，審定實現數42億6,740萬餘元（85.45％），應付保留數6億4,848萬餘元（12.98％），保留原因詳「（一）計畫實施之查核」說明；合計決算審定數為49億1,588萬餘元，預算賸餘7,832萬餘元（1.57％），主要係文化局補助辦理文化資產推廣與行銷、保存與活化，及投資國際影視攝製等計畫之結餘。</w:t>
      </w:r>
    </w:p>
    <w:p w14:paraId="182EFBBA" w14:textId="77777777" w:rsidR="00436738" w:rsidRDefault="00436738" w:rsidP="00436738">
      <w:pPr>
        <w:widowControl/>
        <w:overflowPunct w:val="0"/>
        <w:spacing w:line="400" w:lineRule="exact"/>
        <w:ind w:firstLineChars="200" w:firstLine="480"/>
        <w:jc w:val="both"/>
        <w:rPr>
          <w:rFonts w:ascii="標楷體" w:eastAsia="標楷體" w:hAnsi="Times New Roman" w:cs="Times New Roman"/>
          <w:szCs w:val="24"/>
        </w:rPr>
      </w:pPr>
      <w:r>
        <w:rPr>
          <w:rFonts w:ascii="標楷體" w:eastAsia="標楷體" w:hAnsi="Times New Roman" w:cs="Times New Roman" w:hint="eastAsia"/>
          <w:szCs w:val="24"/>
        </w:rPr>
        <w:lastRenderedPageBreak/>
        <w:t>4.</w:t>
      </w:r>
      <w:r>
        <w:rPr>
          <w:rFonts w:ascii="標楷體" w:eastAsia="標楷體" w:hAnsi="標楷體" w:hint="eastAsia"/>
          <w:kern w:val="0"/>
          <w:szCs w:val="24"/>
        </w:rPr>
        <w:t>以前年度歲出轉入數計4億9,555萬餘元，決算審核結果，審定實現數4億5,766萬餘元（92.36％）；減免（註銷）數624萬餘元（1.26％），主要係文化局補助辦理部分計畫經費撤案或結餘，與藝文推廣處辦理城市舞臺暨藝文大樓及廣場周邊環境改善工程之結餘；應付保留數3,163萬餘元（6.38％），主要係</w:t>
      </w:r>
      <w:r>
        <w:rPr>
          <w:rFonts w:ascii="標楷體" w:eastAsia="標楷體" w:hAnsi="Times New Roman" w:cs="Times New Roman" w:hint="eastAsia"/>
          <w:szCs w:val="24"/>
        </w:rPr>
        <w:t>文化局補助辦理部分文化資產保存及修復工程</w:t>
      </w:r>
      <w:proofErr w:type="gramStart"/>
      <w:r>
        <w:rPr>
          <w:rFonts w:ascii="標楷體" w:eastAsia="標楷體" w:hAnsi="Times New Roman" w:cs="Times New Roman" w:hint="eastAsia"/>
          <w:szCs w:val="24"/>
        </w:rPr>
        <w:t>及參建臺北市</w:t>
      </w:r>
      <w:proofErr w:type="gramEnd"/>
      <w:r>
        <w:rPr>
          <w:rFonts w:ascii="標楷體" w:eastAsia="標楷體" w:hAnsi="Times New Roman" w:cs="Times New Roman" w:hint="eastAsia"/>
          <w:szCs w:val="24"/>
        </w:rPr>
        <w:t>音樂與圖書中心工程各項分攤款，與藝文推廣處城市舞台整修工程委託專案管理案，尚在執行中，須保留繼續執行。</w:t>
      </w:r>
    </w:p>
    <w:p w14:paraId="5D7BBD19" w14:textId="77777777" w:rsidR="00436738" w:rsidRDefault="00436738" w:rsidP="00436738">
      <w:pPr>
        <w:spacing w:beforeLines="50" w:before="180" w:afterLines="20" w:after="72" w:line="400" w:lineRule="exact"/>
        <w:jc w:val="both"/>
        <w:outlineLvl w:val="2"/>
        <w:rPr>
          <w:rFonts w:ascii="標楷體" w:eastAsia="標楷體" w:hAnsi="Times New Roman" w:cs="Times New Roman"/>
          <w:b/>
          <w:noProof/>
          <w:sz w:val="32"/>
          <w:szCs w:val="32"/>
        </w:rPr>
      </w:pPr>
      <w:r>
        <w:rPr>
          <w:rFonts w:ascii="標楷體" w:eastAsia="標楷體" w:hAnsi="Times New Roman" w:cs="Times New Roman" w:hint="eastAsia"/>
          <w:b/>
          <w:noProof/>
          <w:sz w:val="32"/>
          <w:szCs w:val="32"/>
        </w:rPr>
        <w:t>二、附屬單位決算非營業部分</w:t>
      </w:r>
    </w:p>
    <w:p w14:paraId="6F126090" w14:textId="77777777" w:rsidR="00436738" w:rsidRDefault="00436738" w:rsidP="00B94306">
      <w:pPr>
        <w:widowControl/>
        <w:overflowPunct w:val="0"/>
        <w:spacing w:beforeLines="10" w:before="36" w:line="420" w:lineRule="exact"/>
        <w:ind w:firstLineChars="200" w:firstLine="480"/>
        <w:jc w:val="both"/>
        <w:rPr>
          <w:rFonts w:ascii="標楷體" w:eastAsia="標楷體" w:hAnsi="標楷體" w:cs="Times New Roman"/>
          <w:szCs w:val="24"/>
        </w:rPr>
      </w:pPr>
      <w:r>
        <w:rPr>
          <w:rFonts w:ascii="標楷體" w:eastAsia="標楷體" w:hAnsi="標楷體" w:cs="Times New Roman" w:hint="eastAsia"/>
          <w:szCs w:val="24"/>
        </w:rPr>
        <w:t>文化局主管</w:t>
      </w:r>
      <w:r>
        <w:rPr>
          <w:rFonts w:ascii="標楷體" w:eastAsia="標楷體" w:hAnsi="標楷體" w:cs="Times New Roman" w:hint="eastAsia"/>
          <w:szCs w:val="32"/>
        </w:rPr>
        <w:t>包括</w:t>
      </w:r>
      <w:r>
        <w:rPr>
          <w:rFonts w:ascii="標楷體" w:eastAsia="標楷體" w:hAnsi="標楷體" w:cs="Times New Roman" w:hint="eastAsia"/>
          <w:szCs w:val="24"/>
        </w:rPr>
        <w:t>（一）作業基金：臺北市文化設施發展基金；（二）特別收入基金：臺北市公共藝術基金等共2個單位。茲將</w:t>
      </w:r>
      <w:proofErr w:type="gramStart"/>
      <w:r>
        <w:rPr>
          <w:rFonts w:ascii="標楷體" w:eastAsia="標楷體" w:hAnsi="Times New Roman" w:cs="Times New Roman" w:hint="eastAsia"/>
          <w:szCs w:val="24"/>
        </w:rPr>
        <w:t>113</w:t>
      </w:r>
      <w:proofErr w:type="gramEnd"/>
      <w:r>
        <w:rPr>
          <w:rFonts w:ascii="標楷體" w:eastAsia="標楷體" w:hAnsi="標楷體" w:cs="Times New Roman" w:hint="eastAsia"/>
          <w:szCs w:val="24"/>
        </w:rPr>
        <w:t>年度決算審核結果說明如次：</w:t>
      </w:r>
    </w:p>
    <w:p w14:paraId="2F0F7783" w14:textId="77777777" w:rsidR="00436738" w:rsidRDefault="00436738" w:rsidP="00436738">
      <w:pPr>
        <w:spacing w:beforeLines="20" w:before="72" w:afterLines="20" w:after="72" w:line="40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（一）計畫實施之查核</w:t>
      </w:r>
    </w:p>
    <w:p w14:paraId="7F68B886" w14:textId="77777777" w:rsidR="00436738" w:rsidRDefault="00436738" w:rsidP="00436738">
      <w:pPr>
        <w:widowControl/>
        <w:overflowPunct w:val="0"/>
        <w:spacing w:line="42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業務（營運）計畫主要有古蹟及歷史建築修復計畫、公共藝術推動計畫及辦理地景藝術裝置等3項，實施</w:t>
      </w:r>
      <w:r>
        <w:rPr>
          <w:rFonts w:ascii="標楷體" w:eastAsia="標楷體" w:hAnsi="標楷體" w:cs="Times New Roman" w:hint="eastAsia"/>
          <w:szCs w:val="24"/>
        </w:rPr>
        <w:t>結果</w:t>
      </w:r>
      <w:r>
        <w:rPr>
          <w:rFonts w:ascii="標楷體" w:eastAsia="標楷體" w:hAnsi="Times New Roman" w:cs="Times New Roman" w:hint="eastAsia"/>
          <w:color w:val="000000"/>
          <w:szCs w:val="24"/>
        </w:rPr>
        <w:t>，或因</w:t>
      </w:r>
      <w:r>
        <w:rPr>
          <w:rFonts w:ascii="標楷體" w:eastAsia="標楷體" w:hAnsi="標楷體" w:hint="eastAsia"/>
          <w:szCs w:val="32"/>
        </w:rPr>
        <w:t>歷史建築中國電影製片廠－A攝影棚、錄音室修復工程尚在執行中</w:t>
      </w:r>
      <w:r>
        <w:rPr>
          <w:rFonts w:ascii="標楷體" w:eastAsia="標楷體" w:hAnsi="標楷體" w:cs="Times New Roman" w:hint="eastAsia"/>
          <w:color w:val="000000"/>
          <w:szCs w:val="24"/>
        </w:rPr>
        <w:t>；</w:t>
      </w:r>
      <w:r>
        <w:rPr>
          <w:rFonts w:ascii="標楷體" w:eastAsia="標楷體" w:hAnsi="Times New Roman" w:cs="Times New Roman" w:hint="eastAsia"/>
          <w:color w:val="000000"/>
          <w:szCs w:val="24"/>
        </w:rPr>
        <w:t>或因</w:t>
      </w:r>
      <w:r>
        <w:rPr>
          <w:rFonts w:ascii="標楷體" w:eastAsia="標楷體" w:hAnsi="標楷體" w:cs="Times New Roman" w:hint="eastAsia"/>
          <w:szCs w:val="24"/>
        </w:rPr>
        <w:t>補助辦理案件數</w:t>
      </w:r>
      <w:r>
        <w:rPr>
          <w:rFonts w:ascii="標楷體" w:eastAsia="標楷體" w:hAnsi="Courier New" w:cs="Times New Roman" w:hint="eastAsia"/>
          <w:szCs w:val="24"/>
        </w:rPr>
        <w:t>較預計減少</w:t>
      </w:r>
      <w:r>
        <w:rPr>
          <w:rFonts w:ascii="標楷體" w:eastAsia="標楷體" w:hAnsi="Courier New" w:cs="Times New Roman" w:hint="eastAsia"/>
          <w:kern w:val="0"/>
          <w:szCs w:val="24"/>
        </w:rPr>
        <w:t>，及依實際需求</w:t>
      </w:r>
      <w:r>
        <w:rPr>
          <w:rFonts w:ascii="標楷體" w:eastAsia="標楷體" w:hAnsi="Times New Roman" w:cs="Times New Roman" w:hint="eastAsia"/>
          <w:color w:val="000000"/>
          <w:szCs w:val="24"/>
        </w:rPr>
        <w:t>辦理地景藝術裝置</w:t>
      </w:r>
      <w:r>
        <w:rPr>
          <w:rFonts w:ascii="標楷體" w:eastAsia="標楷體" w:hAnsi="Courier New" w:cs="Times New Roman" w:hint="eastAsia"/>
          <w:kern w:val="0"/>
          <w:szCs w:val="24"/>
        </w:rPr>
        <w:t>等</w:t>
      </w:r>
      <w:r>
        <w:rPr>
          <w:rFonts w:ascii="標楷體" w:eastAsia="標楷體" w:hAnsi="Times New Roman" w:cs="Times New Roman" w:hint="eastAsia"/>
          <w:color w:val="000000"/>
          <w:szCs w:val="24"/>
        </w:rPr>
        <w:t>，</w:t>
      </w:r>
      <w:proofErr w:type="gramStart"/>
      <w:r>
        <w:rPr>
          <w:rFonts w:ascii="標楷體" w:eastAsia="標楷體" w:hAnsi="Times New Roman" w:cs="Times New Roman" w:hint="eastAsia"/>
          <w:color w:val="000000"/>
          <w:szCs w:val="24"/>
        </w:rPr>
        <w:t>致均未達</w:t>
      </w:r>
      <w:proofErr w:type="gramEnd"/>
      <w:r>
        <w:rPr>
          <w:rFonts w:ascii="標楷體" w:eastAsia="標楷體" w:hAnsi="Times New Roman" w:cs="Times New Roman" w:hint="eastAsia"/>
          <w:color w:val="000000"/>
          <w:szCs w:val="24"/>
        </w:rPr>
        <w:t>預計目標。</w:t>
      </w:r>
    </w:p>
    <w:p w14:paraId="6F7BE802" w14:textId="77777777" w:rsidR="00436738" w:rsidRDefault="00436738" w:rsidP="00436738">
      <w:pPr>
        <w:spacing w:beforeLines="20" w:before="72" w:afterLines="20" w:after="72" w:line="400" w:lineRule="exact"/>
        <w:ind w:firstLineChars="100" w:firstLine="280"/>
        <w:jc w:val="both"/>
        <w:rPr>
          <w:rFonts w:ascii="標楷體" w:eastAsia="標楷體" w:hAnsi="Times New Roman" w:cs="Times New Roman"/>
          <w:b/>
          <w:sz w:val="28"/>
          <w:szCs w:val="28"/>
        </w:rPr>
      </w:pPr>
      <w:r>
        <w:rPr>
          <w:rFonts w:ascii="標楷體" w:eastAsia="標楷體" w:hAnsi="Times New Roman" w:cs="Times New Roman" w:hint="eastAsia"/>
          <w:b/>
          <w:sz w:val="28"/>
          <w:szCs w:val="28"/>
        </w:rPr>
        <w:t>（二）餘</w:t>
      </w:r>
      <w:proofErr w:type="gramStart"/>
      <w:r>
        <w:rPr>
          <w:rFonts w:ascii="標楷體" w:eastAsia="標楷體" w:hAnsi="Times New Roman" w:cs="Times New Roman" w:hint="eastAsia"/>
          <w:b/>
          <w:sz w:val="28"/>
          <w:szCs w:val="28"/>
        </w:rPr>
        <w:t>絀</w:t>
      </w:r>
      <w:proofErr w:type="gramEnd"/>
      <w:r>
        <w:rPr>
          <w:rFonts w:ascii="標楷體" w:eastAsia="標楷體" w:hAnsi="Times New Roman" w:cs="Times New Roman" w:hint="eastAsia"/>
          <w:b/>
          <w:sz w:val="28"/>
          <w:szCs w:val="28"/>
        </w:rPr>
        <w:t>之審定</w:t>
      </w:r>
    </w:p>
    <w:p w14:paraId="7F809453" w14:textId="77777777" w:rsidR="00436738" w:rsidRDefault="00436738" w:rsidP="00436738">
      <w:pPr>
        <w:widowControl/>
        <w:overflowPunct w:val="0"/>
        <w:spacing w:line="41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b/>
          <w:color w:val="000000"/>
          <w:szCs w:val="24"/>
        </w:rPr>
        <w:t>1.作業基金：</w:t>
      </w:r>
      <w:r>
        <w:rPr>
          <w:rFonts w:ascii="標楷體" w:eastAsia="標楷體" w:hAnsi="標楷體" w:cs="Times New Roman" w:hint="eastAsia"/>
          <w:szCs w:val="24"/>
        </w:rPr>
        <w:t>決算審核結果，</w:t>
      </w:r>
      <w:r>
        <w:rPr>
          <w:rFonts w:ascii="標楷體" w:eastAsia="標楷體" w:hAnsi="標楷體" w:cs="Times New Roman" w:hint="eastAsia"/>
          <w:szCs w:val="32"/>
        </w:rPr>
        <w:t>審定賸餘2,552萬餘元，較預算賸餘2,800萬餘元，減少248萬餘元，約8.86％，主要係辦理北投</w:t>
      </w:r>
      <w:r w:rsidRPr="00436738">
        <w:rPr>
          <w:rFonts w:ascii="標楷體" w:eastAsia="標楷體" w:hAnsi="Times New Roman" w:cs="Times New Roman" w:hint="eastAsia"/>
          <w:color w:val="000000"/>
          <w:szCs w:val="24"/>
        </w:rPr>
        <w:t>製片廠</w:t>
      </w:r>
      <w:r>
        <w:rPr>
          <w:rFonts w:ascii="標楷體" w:eastAsia="標楷體" w:hAnsi="標楷體" w:cs="Times New Roman" w:hint="eastAsia"/>
          <w:szCs w:val="32"/>
        </w:rPr>
        <w:t>新建</w:t>
      </w:r>
      <w:proofErr w:type="gramStart"/>
      <w:r>
        <w:rPr>
          <w:rFonts w:ascii="標楷體" w:eastAsia="標楷體" w:hAnsi="標楷體" w:cs="Times New Roman" w:hint="eastAsia"/>
          <w:szCs w:val="32"/>
        </w:rPr>
        <w:t>營運案招商</w:t>
      </w:r>
      <w:proofErr w:type="gramEnd"/>
      <w:r>
        <w:rPr>
          <w:rFonts w:ascii="標楷體" w:eastAsia="標楷體" w:hAnsi="標楷體" w:cs="Times New Roman" w:hint="eastAsia"/>
          <w:szCs w:val="32"/>
        </w:rPr>
        <w:t>未果，土地租金收入短收，及</w:t>
      </w:r>
      <w:proofErr w:type="gramStart"/>
      <w:r>
        <w:rPr>
          <w:rFonts w:ascii="標楷體" w:eastAsia="標楷體" w:hAnsi="標楷體" w:cs="Times New Roman" w:hint="eastAsia"/>
          <w:szCs w:val="32"/>
        </w:rPr>
        <w:t>松山文創園區</w:t>
      </w:r>
      <w:proofErr w:type="gramEnd"/>
      <w:r>
        <w:rPr>
          <w:rFonts w:ascii="標楷體" w:eastAsia="標楷體" w:hAnsi="標楷體" w:cs="Times New Roman" w:hint="eastAsia"/>
          <w:szCs w:val="32"/>
        </w:rPr>
        <w:t>BOT案營運權利金收入未如預期等所致。</w:t>
      </w:r>
    </w:p>
    <w:p w14:paraId="02C7413F" w14:textId="77777777" w:rsidR="00436738" w:rsidRDefault="00436738" w:rsidP="00436738">
      <w:pPr>
        <w:widowControl/>
        <w:overflowPunct w:val="0"/>
        <w:spacing w:beforeLines="20" w:before="72"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b/>
          <w:color w:val="000000"/>
          <w:szCs w:val="24"/>
        </w:rPr>
        <w:t>2.特別收入基金：</w:t>
      </w:r>
      <w:r>
        <w:rPr>
          <w:rFonts w:ascii="標楷體" w:eastAsia="標楷體" w:hAnsi="Times New Roman" w:cs="Times New Roman" w:hint="eastAsia"/>
          <w:color w:val="000000"/>
          <w:szCs w:val="24"/>
        </w:rPr>
        <w:t>決算審核結果，</w:t>
      </w:r>
      <w:r>
        <w:rPr>
          <w:rFonts w:ascii="標楷體" w:eastAsia="標楷體" w:hAnsi="標楷體" w:cs="Times New Roman" w:hint="eastAsia"/>
          <w:kern w:val="0"/>
          <w:szCs w:val="32"/>
        </w:rPr>
        <w:t>審定短</w:t>
      </w:r>
      <w:proofErr w:type="gramStart"/>
      <w:r>
        <w:rPr>
          <w:rFonts w:ascii="標楷體" w:eastAsia="標楷體" w:hAnsi="標楷體" w:cs="Times New Roman" w:hint="eastAsia"/>
          <w:kern w:val="0"/>
          <w:szCs w:val="32"/>
        </w:rPr>
        <w:t>絀</w:t>
      </w:r>
      <w:proofErr w:type="gramEnd"/>
      <w:r>
        <w:rPr>
          <w:rFonts w:ascii="標楷體" w:eastAsia="標楷體" w:hAnsi="標楷體" w:cs="Times New Roman" w:hint="eastAsia"/>
          <w:kern w:val="0"/>
          <w:szCs w:val="32"/>
        </w:rPr>
        <w:t>3,167萬餘元，較預算短</w:t>
      </w:r>
      <w:proofErr w:type="gramStart"/>
      <w:r>
        <w:rPr>
          <w:rFonts w:ascii="標楷體" w:eastAsia="標楷體" w:hAnsi="標楷體" w:cs="Times New Roman" w:hint="eastAsia"/>
          <w:kern w:val="0"/>
          <w:szCs w:val="32"/>
        </w:rPr>
        <w:t>絀</w:t>
      </w:r>
      <w:proofErr w:type="gramEnd"/>
      <w:r>
        <w:rPr>
          <w:rFonts w:ascii="標楷體" w:eastAsia="標楷體" w:hAnsi="標楷體" w:cs="Times New Roman" w:hint="eastAsia"/>
          <w:kern w:val="0"/>
          <w:szCs w:val="32"/>
        </w:rPr>
        <w:t>3,146萬餘元，增加21萬餘元，約0.67％，主要係依文化藝術獎助及促進條例等規定</w:t>
      </w:r>
      <w:proofErr w:type="gramStart"/>
      <w:r>
        <w:rPr>
          <w:rFonts w:ascii="標楷體" w:eastAsia="標楷體" w:hAnsi="標楷體" w:cs="Times New Roman" w:hint="eastAsia"/>
          <w:kern w:val="0"/>
          <w:szCs w:val="32"/>
        </w:rPr>
        <w:t>提撥</w:t>
      </w:r>
      <w:proofErr w:type="gramEnd"/>
      <w:r>
        <w:rPr>
          <w:rFonts w:ascii="標楷體" w:eastAsia="標楷體" w:hAnsi="標楷體" w:cs="Times New Roman" w:hint="eastAsia"/>
          <w:kern w:val="0"/>
          <w:szCs w:val="32"/>
        </w:rPr>
        <w:t>辦理公共藝術之收入較預計減少所致。</w:t>
      </w:r>
    </w:p>
    <w:p w14:paraId="311EC290" w14:textId="77777777" w:rsidR="00436738" w:rsidRDefault="00436738" w:rsidP="00436738">
      <w:pPr>
        <w:spacing w:beforeLines="50" w:before="180" w:afterLines="20" w:after="72" w:line="400" w:lineRule="exact"/>
        <w:jc w:val="both"/>
        <w:outlineLvl w:val="2"/>
        <w:rPr>
          <w:rFonts w:ascii="標楷體" w:eastAsia="標楷體" w:hAnsi="Times New Roman" w:cs="Times New Roman"/>
          <w:b/>
          <w:noProof/>
          <w:sz w:val="32"/>
          <w:szCs w:val="32"/>
        </w:rPr>
      </w:pPr>
      <w:r>
        <w:rPr>
          <w:rFonts w:ascii="標楷體" w:eastAsia="標楷體" w:hAnsi="Times New Roman" w:cs="Times New Roman" w:hint="eastAsia"/>
          <w:b/>
          <w:noProof/>
          <w:sz w:val="32"/>
          <w:szCs w:val="32"/>
        </w:rPr>
        <w:t>三、重要審核意見</w:t>
      </w:r>
    </w:p>
    <w:p w14:paraId="041ADC65" w14:textId="77777777" w:rsidR="00436738" w:rsidRDefault="00436738" w:rsidP="00436738">
      <w:pPr>
        <w:spacing w:beforeLines="20" w:before="72" w:afterLines="20" w:after="72" w:line="420" w:lineRule="exact"/>
        <w:ind w:firstLineChars="100" w:firstLine="280"/>
        <w:jc w:val="both"/>
        <w:rPr>
          <w:rFonts w:ascii="標楷體" w:eastAsia="標楷體" w:hAnsi="標楷體" w:cs="Times New Roman"/>
          <w:b/>
          <w:sz w:val="28"/>
          <w:szCs w:val="28"/>
        </w:rPr>
      </w:pPr>
      <w:r>
        <w:rPr>
          <w:rFonts w:ascii="標楷體" w:eastAsia="標楷體" w:hAnsi="標楷體" w:cs="Times New Roman" w:hint="eastAsia"/>
          <w:b/>
          <w:sz w:val="28"/>
          <w:szCs w:val="28"/>
        </w:rPr>
        <w:t>（一）為型塑臺北市為亞洲區域音樂文化重鎮之形象，舉辦潮</w:t>
      </w:r>
      <w:proofErr w:type="gramStart"/>
      <w:r>
        <w:rPr>
          <w:rFonts w:ascii="標楷體" w:eastAsia="標楷體" w:hAnsi="標楷體" w:cs="Times New Roman" w:hint="eastAsia"/>
          <w:b/>
          <w:sz w:val="28"/>
          <w:szCs w:val="28"/>
        </w:rPr>
        <w:t>臺</w:t>
      </w:r>
      <w:proofErr w:type="gramEnd"/>
      <w:r>
        <w:rPr>
          <w:rFonts w:ascii="標楷體" w:eastAsia="標楷體" w:hAnsi="標楷體" w:cs="Times New Roman" w:hint="eastAsia"/>
          <w:b/>
          <w:sz w:val="28"/>
          <w:szCs w:val="28"/>
        </w:rPr>
        <w:t>北系列活動，惟未能妥為定位品牌核心價值，且未及早籌備並串聯不同領域之相關活動，與加強行銷宣傳，致執行結果，</w:t>
      </w:r>
      <w:proofErr w:type="gramStart"/>
      <w:r>
        <w:rPr>
          <w:rFonts w:ascii="標楷體" w:eastAsia="標楷體" w:hAnsi="標楷體" w:cs="Times New Roman" w:hint="eastAsia"/>
          <w:b/>
          <w:sz w:val="28"/>
          <w:szCs w:val="28"/>
        </w:rPr>
        <w:t>間有品牌</w:t>
      </w:r>
      <w:proofErr w:type="gramEnd"/>
      <w:r>
        <w:rPr>
          <w:rFonts w:ascii="標楷體" w:eastAsia="標楷體" w:hAnsi="標楷體" w:cs="Times New Roman" w:hint="eastAsia"/>
          <w:b/>
          <w:sz w:val="28"/>
          <w:szCs w:val="28"/>
        </w:rPr>
        <w:t>獨特性欠鮮明，或部分活動參與人數仍低等情，亟待檢討改善，以發揮城市</w:t>
      </w:r>
      <w:proofErr w:type="gramStart"/>
      <w:r>
        <w:rPr>
          <w:rFonts w:ascii="標楷體" w:eastAsia="標楷體" w:hAnsi="標楷體" w:cs="Times New Roman" w:hint="eastAsia"/>
          <w:b/>
          <w:sz w:val="28"/>
          <w:szCs w:val="28"/>
        </w:rPr>
        <w:t>級策展綜</w:t>
      </w:r>
      <w:proofErr w:type="gramEnd"/>
      <w:r>
        <w:rPr>
          <w:rFonts w:ascii="標楷體" w:eastAsia="標楷體" w:hAnsi="標楷體" w:cs="Times New Roman" w:hint="eastAsia"/>
          <w:b/>
          <w:sz w:val="28"/>
          <w:szCs w:val="28"/>
        </w:rPr>
        <w:t>效。</w:t>
      </w:r>
    </w:p>
    <w:p w14:paraId="66F3CFD9" w14:textId="77777777" w:rsidR="00436738" w:rsidRDefault="00436738" w:rsidP="00436738">
      <w:pPr>
        <w:pStyle w:val="04"/>
        <w:spacing w:before="100" w:line="400" w:lineRule="exact"/>
        <w:ind w:firstLineChars="200" w:firstLine="480"/>
        <w:rPr>
          <w:rFonts w:hAnsi="標楷體"/>
          <w:b w:val="0"/>
          <w:color w:val="000000" w:themeColor="text1"/>
          <w:sz w:val="24"/>
        </w:rPr>
      </w:pPr>
      <w:r>
        <w:rPr>
          <w:rFonts w:hAnsi="標楷體" w:hint="eastAsia"/>
          <w:b w:val="0"/>
          <w:color w:val="000000" w:themeColor="text1"/>
          <w:sz w:val="24"/>
        </w:rPr>
        <w:t>文化局為提升臺北市國際能見度，</w:t>
      </w:r>
      <w:proofErr w:type="gramStart"/>
      <w:r>
        <w:rPr>
          <w:rFonts w:hAnsi="標楷體" w:hint="eastAsia"/>
          <w:b w:val="0"/>
          <w:color w:val="000000" w:themeColor="text1"/>
          <w:sz w:val="24"/>
        </w:rPr>
        <w:t>113</w:t>
      </w:r>
      <w:proofErr w:type="gramEnd"/>
      <w:r>
        <w:rPr>
          <w:rFonts w:hAnsi="標楷體" w:hint="eastAsia"/>
          <w:b w:val="0"/>
          <w:color w:val="000000" w:themeColor="text1"/>
          <w:sz w:val="24"/>
        </w:rPr>
        <w:t>年度耗資2,022萬餘元，委外辦理「潮</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北TRENDY TAIPEI－Music X Innovation」活動（下稱潮</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之統籌、規劃及行銷作業，並以「演唱會經濟」、「產業論壇」及「城市行動」等3大辦理方向，及以「流行音樂」為主要元素，整合及串聯音樂、影視、藝術、新創與科技等5大領域之公私資源，共計舉辦13項系列活動（表1），期共同推動文化及觀光產業發展，建立城市及活動品牌，為臺北市首次試辦大型</w:t>
      </w:r>
      <w:proofErr w:type="gramStart"/>
      <w:r>
        <w:rPr>
          <w:rFonts w:hAnsi="標楷體" w:hint="eastAsia"/>
          <w:b w:val="0"/>
          <w:color w:val="000000" w:themeColor="text1"/>
          <w:sz w:val="24"/>
        </w:rPr>
        <w:t>複合式展演</w:t>
      </w:r>
      <w:proofErr w:type="gramEnd"/>
      <w:r>
        <w:rPr>
          <w:rFonts w:hAnsi="標楷體" w:hint="eastAsia"/>
          <w:b w:val="0"/>
          <w:color w:val="000000" w:themeColor="text1"/>
          <w:sz w:val="24"/>
        </w:rPr>
        <w:t>活動。經查執行情形，核有：1.該局於統籌及整合行銷潮</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北相關活動時，僅將橫跨5大領域之13項活動內容分為「充電」及「放電」等兩大概念，未設定潮</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北系列活動之品牌理念或應具備之特定</w:t>
      </w:r>
    </w:p>
    <w:p w14:paraId="1585BD26" w14:textId="765B75F0" w:rsidR="00436738" w:rsidRDefault="00436738" w:rsidP="00436738">
      <w:pPr>
        <w:pStyle w:val="04"/>
        <w:spacing w:before="100" w:line="400" w:lineRule="exact"/>
        <w:ind w:firstLineChars="0" w:firstLine="0"/>
        <w:rPr>
          <w:rFonts w:hAnsi="標楷體"/>
          <w:b w:val="0"/>
          <w:color w:val="000000" w:themeColor="text1"/>
          <w:sz w:val="24"/>
        </w:rPr>
      </w:pPr>
      <w:r>
        <w:rPr>
          <w:rFonts w:hint="eastAsia"/>
          <w:noProof/>
        </w:rPr>
        <w:lastRenderedPageBreak/>
        <mc:AlternateContent>
          <mc:Choice Requires="wps">
            <w:drawing>
              <wp:anchor distT="0" distB="0" distL="114300" distR="114300" simplePos="0" relativeHeight="251713536" behindDoc="1" locked="0" layoutInCell="1" allowOverlap="1" wp14:anchorId="17C70540" wp14:editId="76DCF41D">
                <wp:simplePos x="0" y="0"/>
                <wp:positionH relativeFrom="margin">
                  <wp:posOffset>3312160</wp:posOffset>
                </wp:positionH>
                <wp:positionV relativeFrom="page">
                  <wp:posOffset>887946</wp:posOffset>
                </wp:positionV>
                <wp:extent cx="3002280" cy="4248150"/>
                <wp:effectExtent l="0" t="0" r="7620" b="0"/>
                <wp:wrapTight wrapText="bothSides">
                  <wp:wrapPolygon edited="0">
                    <wp:start x="0" y="0"/>
                    <wp:lineTo x="0" y="21503"/>
                    <wp:lineTo x="21518" y="21503"/>
                    <wp:lineTo x="21518" y="0"/>
                    <wp:lineTo x="0" y="0"/>
                  </wp:wrapPolygon>
                </wp:wrapTight>
                <wp:docPr id="56" name="矩形 56"/>
                <wp:cNvGraphicFramePr/>
                <a:graphic xmlns:a="http://schemas.openxmlformats.org/drawingml/2006/main">
                  <a:graphicData uri="http://schemas.microsoft.com/office/word/2010/wordprocessingShape">
                    <wps:wsp>
                      <wps:cNvSpPr/>
                      <wps:spPr>
                        <a:xfrm>
                          <a:off x="0" y="0"/>
                          <a:ext cx="3002280" cy="4248150"/>
                        </a:xfrm>
                        <a:prstGeom prst="rect">
                          <a:avLst/>
                        </a:prstGeom>
                        <a:solidFill>
                          <a:sysClr val="window" lastClr="FFFFFF"/>
                        </a:solidFill>
                        <a:ln w="12700" cap="flat" cmpd="sng" algn="ctr">
                          <a:noFill/>
                          <a:prstDash val="solid"/>
                          <a:miter lim="800000"/>
                        </a:ln>
                        <a:effectLst/>
                      </wps:spPr>
                      <wps:txbx>
                        <w:txbxContent>
                          <w:p w14:paraId="50D52A7E" w14:textId="188AAA65" w:rsidR="00436738" w:rsidRDefault="00436738" w:rsidP="00436738">
                            <w:pPr>
                              <w:jc w:val="center"/>
                              <w:rPr>
                                <w:rFonts w:ascii="標楷體" w:eastAsia="標楷體" w:hAnsi="標楷體"/>
                                <w:b/>
                                <w:szCs w:val="24"/>
                              </w:rPr>
                            </w:pPr>
                            <w:bookmarkStart w:id="93" w:name="_Hlk196983407"/>
                            <w:bookmarkEnd w:id="93"/>
                            <w:r>
                              <w:rPr>
                                <w:rFonts w:ascii="標楷體" w:eastAsia="標楷體" w:hAnsi="標楷體" w:hint="eastAsia"/>
                                <w:b/>
                                <w:szCs w:val="24"/>
                              </w:rPr>
                              <w:t>表1　潮</w:t>
                            </w:r>
                            <w:proofErr w:type="gramStart"/>
                            <w:r>
                              <w:rPr>
                                <w:rFonts w:ascii="標楷體" w:eastAsia="標楷體" w:hAnsi="標楷體" w:hint="eastAsia"/>
                                <w:b/>
                                <w:szCs w:val="24"/>
                              </w:rPr>
                              <w:t>臺</w:t>
                            </w:r>
                            <w:proofErr w:type="gramEnd"/>
                            <w:r>
                              <w:rPr>
                                <w:rFonts w:ascii="標楷體" w:eastAsia="標楷體" w:hAnsi="標楷體" w:hint="eastAsia"/>
                                <w:b/>
                                <w:szCs w:val="24"/>
                              </w:rPr>
                              <w:t>北13項系列活動分類情形</w:t>
                            </w:r>
                          </w:p>
                          <w:tbl>
                            <w:tblPr>
                              <w:tblW w:w="4536" w:type="dxa"/>
                              <w:tblInd w:w="-5" w:type="dxa"/>
                              <w:shd w:val="clear" w:color="auto" w:fill="FFFFFF"/>
                              <w:tblCellMar>
                                <w:left w:w="28" w:type="dxa"/>
                                <w:right w:w="28" w:type="dxa"/>
                              </w:tblCellMar>
                              <w:tblLook w:val="04A0" w:firstRow="1" w:lastRow="0" w:firstColumn="1" w:lastColumn="0" w:noHBand="0" w:noVBand="1"/>
                            </w:tblPr>
                            <w:tblGrid>
                              <w:gridCol w:w="660"/>
                              <w:gridCol w:w="474"/>
                              <w:gridCol w:w="2268"/>
                              <w:gridCol w:w="546"/>
                              <w:gridCol w:w="588"/>
                            </w:tblGrid>
                            <w:tr w:rsidR="00436738" w14:paraId="646071FC" w14:textId="77777777">
                              <w:trPr>
                                <w:trHeight w:val="476"/>
                              </w:trPr>
                              <w:tc>
                                <w:tcPr>
                                  <w:tcW w:w="660" w:type="dxa"/>
                                  <w:tcBorders>
                                    <w:top w:val="single" w:sz="4" w:space="0" w:color="auto"/>
                                    <w:left w:val="single" w:sz="4" w:space="0" w:color="auto"/>
                                    <w:bottom w:val="single" w:sz="4" w:space="0" w:color="000000"/>
                                    <w:right w:val="single" w:sz="4" w:space="0" w:color="auto"/>
                                  </w:tcBorders>
                                  <w:shd w:val="clear" w:color="auto" w:fill="FFFFFF"/>
                                  <w:vAlign w:val="center"/>
                                  <w:hideMark/>
                                </w:tcPr>
                                <w:p w14:paraId="1CCC173E"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辦理</w:t>
                                  </w:r>
                                </w:p>
                                <w:p w14:paraId="5CA4557A"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方向</w:t>
                                  </w:r>
                                </w:p>
                              </w:tc>
                              <w:tc>
                                <w:tcPr>
                                  <w:tcW w:w="474" w:type="dxa"/>
                                  <w:tcBorders>
                                    <w:top w:val="single" w:sz="4" w:space="0" w:color="auto"/>
                                    <w:left w:val="single" w:sz="4" w:space="0" w:color="auto"/>
                                    <w:bottom w:val="single" w:sz="4" w:space="0" w:color="000000"/>
                                    <w:right w:val="single" w:sz="4" w:space="0" w:color="auto"/>
                                  </w:tcBorders>
                                  <w:shd w:val="clear" w:color="auto" w:fill="FFFFFF"/>
                                  <w:vAlign w:val="center"/>
                                  <w:hideMark/>
                                </w:tcPr>
                                <w:p w14:paraId="27700CC1"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項次</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A5FD04"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活動主題</w:t>
                                  </w:r>
                                </w:p>
                              </w:tc>
                              <w:tc>
                                <w:tcPr>
                                  <w:tcW w:w="546" w:type="dxa"/>
                                  <w:tcBorders>
                                    <w:top w:val="single" w:sz="4" w:space="0" w:color="auto"/>
                                    <w:left w:val="single" w:sz="4" w:space="0" w:color="auto"/>
                                    <w:bottom w:val="single" w:sz="4" w:space="0" w:color="000000"/>
                                    <w:right w:val="single" w:sz="4" w:space="0" w:color="auto"/>
                                  </w:tcBorders>
                                  <w:shd w:val="clear" w:color="auto" w:fill="FFFFFF"/>
                                  <w:vAlign w:val="center"/>
                                  <w:hideMark/>
                                </w:tcPr>
                                <w:p w14:paraId="4AE83F12" w14:textId="77777777" w:rsidR="00436738" w:rsidRDefault="00436738">
                                  <w:pPr>
                                    <w:widowControl/>
                                    <w:spacing w:line="240" w:lineRule="exact"/>
                                    <w:ind w:leftChars="20" w:left="48" w:rightChars="20" w:right="48"/>
                                    <w:jc w:val="distribute"/>
                                    <w:rPr>
                                      <w:rFonts w:ascii="標楷體" w:eastAsia="標楷體" w:hAnsi="標楷體" w:cs="新細明體"/>
                                      <w:bCs/>
                                      <w:color w:val="000000"/>
                                      <w:spacing w:val="-16"/>
                                      <w:kern w:val="0"/>
                                      <w:sz w:val="20"/>
                                    </w:rPr>
                                  </w:pPr>
                                  <w:r>
                                    <w:rPr>
                                      <w:rFonts w:ascii="標楷體" w:eastAsia="標楷體" w:hAnsi="標楷體" w:cs="新細明體" w:hint="eastAsia"/>
                                      <w:bCs/>
                                      <w:color w:val="000000"/>
                                      <w:spacing w:val="-16"/>
                                      <w:kern w:val="0"/>
                                      <w:sz w:val="20"/>
                                    </w:rPr>
                                    <w:t>活動分類</w:t>
                                  </w:r>
                                </w:p>
                              </w:tc>
                              <w:tc>
                                <w:tcPr>
                                  <w:tcW w:w="588" w:type="dxa"/>
                                  <w:tcBorders>
                                    <w:top w:val="single" w:sz="4" w:space="0" w:color="auto"/>
                                    <w:left w:val="nil"/>
                                    <w:bottom w:val="single" w:sz="4" w:space="0" w:color="auto"/>
                                    <w:right w:val="single" w:sz="4" w:space="0" w:color="auto"/>
                                  </w:tcBorders>
                                  <w:shd w:val="clear" w:color="auto" w:fill="FFFFFF"/>
                                  <w:vAlign w:val="center"/>
                                  <w:hideMark/>
                                </w:tcPr>
                                <w:p w14:paraId="4AC86D5B"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領域</w:t>
                                  </w:r>
                                </w:p>
                                <w:p w14:paraId="06181168"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類別</w:t>
                                  </w:r>
                                </w:p>
                              </w:tc>
                            </w:tr>
                            <w:tr w:rsidR="00436738" w14:paraId="3367A8FD" w14:textId="77777777">
                              <w:trPr>
                                <w:trHeight w:hRule="exact" w:val="510"/>
                              </w:trPr>
                              <w:tc>
                                <w:tcPr>
                                  <w:tcW w:w="660" w:type="dxa"/>
                                  <w:vMerge w:val="restart"/>
                                  <w:tcBorders>
                                    <w:top w:val="nil"/>
                                    <w:left w:val="single" w:sz="4" w:space="0" w:color="auto"/>
                                    <w:bottom w:val="single" w:sz="4" w:space="0" w:color="auto"/>
                                    <w:right w:val="single" w:sz="4" w:space="0" w:color="auto"/>
                                  </w:tcBorders>
                                  <w:shd w:val="clear" w:color="auto" w:fill="FFFFFF"/>
                                  <w:vAlign w:val="center"/>
                                  <w:hideMark/>
                                </w:tcPr>
                                <w:p w14:paraId="6301BB05"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產業</w:t>
                                  </w:r>
                                </w:p>
                                <w:p w14:paraId="54708CED"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論壇</w:t>
                                  </w:r>
                                </w:p>
                              </w:tc>
                              <w:tc>
                                <w:tcPr>
                                  <w:tcW w:w="474" w:type="dxa"/>
                                  <w:tcBorders>
                                    <w:top w:val="nil"/>
                                    <w:left w:val="nil"/>
                                    <w:bottom w:val="single" w:sz="4" w:space="0" w:color="auto"/>
                                    <w:right w:val="single" w:sz="4" w:space="0" w:color="auto"/>
                                  </w:tcBorders>
                                  <w:shd w:val="clear" w:color="auto" w:fill="FFFFFF"/>
                                  <w:vAlign w:val="center"/>
                                  <w:hideMark/>
                                </w:tcPr>
                                <w:p w14:paraId="7CDB3F54"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2268" w:type="dxa"/>
                                  <w:tcBorders>
                                    <w:top w:val="nil"/>
                                    <w:left w:val="nil"/>
                                    <w:bottom w:val="single" w:sz="4" w:space="0" w:color="auto"/>
                                    <w:right w:val="single" w:sz="4" w:space="0" w:color="auto"/>
                                  </w:tcBorders>
                                  <w:shd w:val="clear" w:color="auto" w:fill="FFFFFF"/>
                                  <w:vAlign w:val="center"/>
                                  <w:hideMark/>
                                </w:tcPr>
                                <w:p w14:paraId="0219748D"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TAIPEI MUSIC EXPO</w:t>
                                  </w: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北音樂博覽會</w:t>
                                  </w:r>
                                </w:p>
                              </w:tc>
                              <w:tc>
                                <w:tcPr>
                                  <w:tcW w:w="546" w:type="dxa"/>
                                  <w:vMerge w:val="restart"/>
                                  <w:tcBorders>
                                    <w:top w:val="nil"/>
                                    <w:left w:val="single" w:sz="4" w:space="0" w:color="auto"/>
                                    <w:bottom w:val="single" w:sz="4" w:space="0" w:color="auto"/>
                                    <w:right w:val="single" w:sz="4" w:space="0" w:color="auto"/>
                                  </w:tcBorders>
                                  <w:shd w:val="clear" w:color="auto" w:fill="FFFFFF"/>
                                  <w:vAlign w:val="center"/>
                                  <w:hideMark/>
                                </w:tcPr>
                                <w:p w14:paraId="25990297" w14:textId="77777777" w:rsidR="00436738" w:rsidRDefault="00436738">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充電學習</w:t>
                                  </w:r>
                                </w:p>
                              </w:tc>
                              <w:tc>
                                <w:tcPr>
                                  <w:tcW w:w="588" w:type="dxa"/>
                                  <w:tcBorders>
                                    <w:top w:val="single" w:sz="4" w:space="0" w:color="auto"/>
                                    <w:left w:val="nil"/>
                                    <w:bottom w:val="single" w:sz="4" w:space="0" w:color="auto"/>
                                    <w:right w:val="single" w:sz="4" w:space="0" w:color="auto"/>
                                  </w:tcBorders>
                                  <w:shd w:val="clear" w:color="auto" w:fill="FFFFFF"/>
                                  <w:vAlign w:val="center"/>
                                  <w:hideMark/>
                                </w:tcPr>
                                <w:p w14:paraId="7A052BA1"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音樂</w:t>
                                  </w:r>
                                </w:p>
                              </w:tc>
                            </w:tr>
                            <w:tr w:rsidR="00436738" w14:paraId="721A21BA" w14:textId="77777777">
                              <w:trPr>
                                <w:trHeigh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2ACAC229"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3F8766FA"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2268" w:type="dxa"/>
                                  <w:tcBorders>
                                    <w:top w:val="nil"/>
                                    <w:left w:val="nil"/>
                                    <w:bottom w:val="single" w:sz="4" w:space="0" w:color="auto"/>
                                    <w:right w:val="single" w:sz="4" w:space="0" w:color="auto"/>
                                  </w:tcBorders>
                                  <w:shd w:val="clear" w:color="auto" w:fill="FFFFFF"/>
                                  <w:vAlign w:val="center"/>
                                  <w:hideMark/>
                                </w:tcPr>
                                <w:p w14:paraId="4886549E"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StartSphere Taipei台北創新創業總匯 </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64691C65"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2F733738"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新創</w:t>
                                  </w:r>
                                </w:p>
                              </w:tc>
                            </w:tr>
                            <w:tr w:rsidR="00436738" w14:paraId="55D20510" w14:textId="77777777">
                              <w:trPr>
                                <w:trHeigh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6F8CDA39"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099CAE14"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2268" w:type="dxa"/>
                                  <w:tcBorders>
                                    <w:top w:val="nil"/>
                                    <w:left w:val="nil"/>
                                    <w:bottom w:val="single" w:sz="4" w:space="0" w:color="auto"/>
                                    <w:right w:val="single" w:sz="4" w:space="0" w:color="auto"/>
                                  </w:tcBorders>
                                  <w:shd w:val="clear" w:color="auto" w:fill="FFFFFF"/>
                                  <w:vAlign w:val="center"/>
                                  <w:hideMark/>
                                </w:tcPr>
                                <w:p w14:paraId="5ACEE1FF" w14:textId="77777777" w:rsidR="00436738" w:rsidRDefault="00436738">
                                  <w:pPr>
                                    <w:widowControl/>
                                    <w:spacing w:line="240" w:lineRule="exact"/>
                                    <w:jc w:val="both"/>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北秋季程式設計節</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4DC0DE56"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7B1E55E4"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科技</w:t>
                                  </w:r>
                                </w:p>
                              </w:tc>
                            </w:tr>
                            <w:tr w:rsidR="00436738" w14:paraId="38200CE2" w14:textId="77777777">
                              <w:trPr>
                                <w:trHeight w:hRule="exact" w:val="51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75190CC1"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5D0B2F10"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2268" w:type="dxa"/>
                                  <w:tcBorders>
                                    <w:top w:val="nil"/>
                                    <w:left w:val="nil"/>
                                    <w:bottom w:val="single" w:sz="4" w:space="0" w:color="auto"/>
                                    <w:right w:val="single" w:sz="4" w:space="0" w:color="auto"/>
                                  </w:tcBorders>
                                  <w:shd w:val="clear" w:color="auto" w:fill="FFFFFF"/>
                                  <w:vAlign w:val="center"/>
                                  <w:hideMark/>
                                </w:tcPr>
                                <w:p w14:paraId="111968D5"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2024 AAPPAC亞太表演藝術中心協會年會</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16D77C10"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63BF2CA1"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藝術</w:t>
                                  </w:r>
                                </w:p>
                              </w:tc>
                            </w:tr>
                            <w:tr w:rsidR="00436738" w14:paraId="40204504" w14:textId="77777777">
                              <w:trPr>
                                <w:trHeigh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409AFF43"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153F79EB"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2268" w:type="dxa"/>
                                  <w:tcBorders>
                                    <w:top w:val="nil"/>
                                    <w:left w:val="nil"/>
                                    <w:bottom w:val="single" w:sz="4" w:space="0" w:color="auto"/>
                                    <w:right w:val="single" w:sz="4" w:space="0" w:color="auto"/>
                                  </w:tcBorders>
                                  <w:shd w:val="clear" w:color="auto" w:fill="FFFFFF"/>
                                  <w:vAlign w:val="center"/>
                                  <w:hideMark/>
                                </w:tcPr>
                                <w:p w14:paraId="3F34F846" w14:textId="77777777" w:rsidR="00436738" w:rsidRDefault="00436738">
                                  <w:pPr>
                                    <w:widowControl/>
                                    <w:spacing w:line="240" w:lineRule="exact"/>
                                    <w:jc w:val="both"/>
                                    <w:rPr>
                                      <w:rFonts w:ascii="標楷體" w:eastAsia="標楷體" w:hAnsi="標楷體" w:cs="新細明體"/>
                                      <w:color w:val="000000"/>
                                      <w:spacing w:val="-6"/>
                                      <w:kern w:val="0"/>
                                      <w:sz w:val="20"/>
                                    </w:rPr>
                                  </w:pPr>
                                  <w:r>
                                    <w:rPr>
                                      <w:rFonts w:ascii="標楷體" w:eastAsia="標楷體" w:hAnsi="標楷體" w:cs="新細明體" w:hint="eastAsia"/>
                                      <w:color w:val="000000"/>
                                      <w:spacing w:val="-6"/>
                                      <w:kern w:val="0"/>
                                      <w:sz w:val="20"/>
                                    </w:rPr>
                                    <w:t xml:space="preserve">2024 Res Artis </w:t>
                                  </w:r>
                                  <w:proofErr w:type="gramStart"/>
                                  <w:r>
                                    <w:rPr>
                                      <w:rFonts w:ascii="標楷體" w:eastAsia="標楷體" w:hAnsi="標楷體" w:cs="新細明體" w:hint="eastAsia"/>
                                      <w:color w:val="000000"/>
                                      <w:spacing w:val="-6"/>
                                      <w:kern w:val="0"/>
                                      <w:sz w:val="20"/>
                                    </w:rPr>
                                    <w:t>臺</w:t>
                                  </w:r>
                                  <w:proofErr w:type="gramEnd"/>
                                  <w:r>
                                    <w:rPr>
                                      <w:rFonts w:ascii="標楷體" w:eastAsia="標楷體" w:hAnsi="標楷體" w:cs="新細明體" w:hint="eastAsia"/>
                                      <w:color w:val="000000"/>
                                      <w:spacing w:val="-6"/>
                                      <w:kern w:val="0"/>
                                      <w:sz w:val="20"/>
                                    </w:rPr>
                                    <w:t>北年會</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6E256F57"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2D2D5B9C"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藝術</w:t>
                                  </w:r>
                                </w:p>
                              </w:tc>
                            </w:tr>
                            <w:tr w:rsidR="00436738" w14:paraId="66E69CC5" w14:textId="77777777">
                              <w:trPr>
                                <w:trHeight w:hRule="exact" w:val="51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31048006"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14B02A4B"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2268" w:type="dxa"/>
                                  <w:tcBorders>
                                    <w:top w:val="nil"/>
                                    <w:left w:val="nil"/>
                                    <w:bottom w:val="single" w:sz="4" w:space="0" w:color="auto"/>
                                    <w:right w:val="single" w:sz="4" w:space="0" w:color="auto"/>
                                  </w:tcBorders>
                                  <w:shd w:val="clear" w:color="auto" w:fill="FFFFFF"/>
                                  <w:vAlign w:val="center"/>
                                  <w:hideMark/>
                                </w:tcPr>
                                <w:p w14:paraId="455336FE"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亞洲影視內容峰會／大獎ContentAsia／Award</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24718D82"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334E88E6"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影視</w:t>
                                  </w:r>
                                </w:p>
                              </w:tc>
                            </w:tr>
                            <w:tr w:rsidR="00436738" w14:paraId="537F781B" w14:textId="77777777">
                              <w:trPr>
                                <w:trHeight w:hRule="exact" w:val="51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38191AC4"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3624ABF1"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2268" w:type="dxa"/>
                                  <w:tcBorders>
                                    <w:top w:val="nil"/>
                                    <w:left w:val="nil"/>
                                    <w:bottom w:val="single" w:sz="4" w:space="0" w:color="auto"/>
                                    <w:right w:val="single" w:sz="4" w:space="0" w:color="auto"/>
                                  </w:tcBorders>
                                  <w:shd w:val="clear" w:color="auto" w:fill="FFFFFF"/>
                                  <w:vAlign w:val="center"/>
                                  <w:hideMark/>
                                </w:tcPr>
                                <w:p w14:paraId="37E5151E"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數位亞洲大會DigiAsia Taipei</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6A67EE32"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3029ED40"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科技</w:t>
                                  </w:r>
                                </w:p>
                              </w:tc>
                            </w:tr>
                            <w:tr w:rsidR="00436738" w14:paraId="21F90F6D" w14:textId="77777777">
                              <w:trPr>
                                <w:trHeight w:hRule="exac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5C2F8510"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2610AE2D"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2268" w:type="dxa"/>
                                  <w:tcBorders>
                                    <w:top w:val="nil"/>
                                    <w:left w:val="nil"/>
                                    <w:bottom w:val="single" w:sz="4" w:space="0" w:color="auto"/>
                                    <w:right w:val="single" w:sz="4" w:space="0" w:color="auto"/>
                                  </w:tcBorders>
                                  <w:shd w:val="clear" w:color="auto" w:fill="FFFFFF"/>
                                  <w:vAlign w:val="center"/>
                                  <w:hideMark/>
                                </w:tcPr>
                                <w:p w14:paraId="68F6B562" w14:textId="77777777" w:rsidR="00436738" w:rsidRDefault="00436738">
                                  <w:pPr>
                                    <w:widowControl/>
                                    <w:spacing w:line="240" w:lineRule="exact"/>
                                    <w:jc w:val="both"/>
                                    <w:rPr>
                                      <w:rFonts w:ascii="標楷體" w:eastAsia="標楷體" w:hAnsi="標楷體" w:cs="新細明體"/>
                                      <w:color w:val="000000"/>
                                      <w:spacing w:val="-16"/>
                                      <w:kern w:val="0"/>
                                      <w:sz w:val="20"/>
                                    </w:rPr>
                                  </w:pPr>
                                  <w:r>
                                    <w:rPr>
                                      <w:rFonts w:ascii="標楷體" w:eastAsia="標楷體" w:hAnsi="標楷體" w:cs="新細明體" w:hint="eastAsia"/>
                                      <w:color w:val="000000"/>
                                      <w:spacing w:val="-16"/>
                                      <w:kern w:val="0"/>
                                      <w:sz w:val="20"/>
                                    </w:rPr>
                                    <w:t>MOJO魔力</w:t>
                                  </w:r>
                                  <w:proofErr w:type="gramStart"/>
                                  <w:r>
                                    <w:rPr>
                                      <w:rFonts w:ascii="標楷體" w:eastAsia="標楷體" w:hAnsi="標楷體" w:cs="新細明體" w:hint="eastAsia"/>
                                      <w:color w:val="000000"/>
                                      <w:spacing w:val="-16"/>
                                      <w:kern w:val="0"/>
                                      <w:sz w:val="20"/>
                                    </w:rPr>
                                    <w:t>臺</w:t>
                                  </w:r>
                                  <w:proofErr w:type="gramEnd"/>
                                  <w:r>
                                    <w:rPr>
                                      <w:rFonts w:ascii="標楷體" w:eastAsia="標楷體" w:hAnsi="標楷體" w:cs="新細明體" w:hint="eastAsia"/>
                                      <w:color w:val="000000"/>
                                      <w:spacing w:val="-16"/>
                                      <w:kern w:val="0"/>
                                      <w:sz w:val="20"/>
                                    </w:rPr>
                                    <w:t>北－名人專題講座</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5B9963EA"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269AF6C1"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藝術</w:t>
                                  </w:r>
                                </w:p>
                              </w:tc>
                            </w:tr>
                            <w:tr w:rsidR="00436738" w14:paraId="52AAE940" w14:textId="77777777">
                              <w:trPr>
                                <w:trHeight w:hRule="exac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6AD17CBF"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01AB956A"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2268" w:type="dxa"/>
                                  <w:tcBorders>
                                    <w:top w:val="nil"/>
                                    <w:left w:val="nil"/>
                                    <w:bottom w:val="single" w:sz="4" w:space="0" w:color="auto"/>
                                    <w:right w:val="single" w:sz="4" w:space="0" w:color="auto"/>
                                  </w:tcBorders>
                                  <w:shd w:val="clear" w:color="auto" w:fill="FFFFFF"/>
                                  <w:vAlign w:val="center"/>
                                  <w:hideMark/>
                                </w:tcPr>
                                <w:p w14:paraId="2E8FB7E2"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台北電影學院</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5A8E31AB"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1C14526D"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影視</w:t>
                                  </w:r>
                                </w:p>
                              </w:tc>
                            </w:tr>
                            <w:tr w:rsidR="00436738" w14:paraId="654F3F41" w14:textId="77777777">
                              <w:trPr>
                                <w:trHeight w:hRule="exact" w:val="340"/>
                              </w:trPr>
                              <w:tc>
                                <w:tcPr>
                                  <w:tcW w:w="660" w:type="dxa"/>
                                  <w:vMerge w:val="restart"/>
                                  <w:tcBorders>
                                    <w:top w:val="nil"/>
                                    <w:left w:val="single" w:sz="4" w:space="0" w:color="auto"/>
                                    <w:bottom w:val="single" w:sz="4" w:space="0" w:color="auto"/>
                                    <w:right w:val="single" w:sz="4" w:space="0" w:color="auto"/>
                                  </w:tcBorders>
                                  <w:shd w:val="clear" w:color="auto" w:fill="FFFFFF"/>
                                  <w:vAlign w:val="center"/>
                                  <w:hideMark/>
                                </w:tcPr>
                                <w:p w14:paraId="01C32B4C"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演唱會經濟</w:t>
                                  </w:r>
                                </w:p>
                              </w:tc>
                              <w:tc>
                                <w:tcPr>
                                  <w:tcW w:w="474" w:type="dxa"/>
                                  <w:tcBorders>
                                    <w:top w:val="nil"/>
                                    <w:left w:val="nil"/>
                                    <w:bottom w:val="single" w:sz="4" w:space="0" w:color="auto"/>
                                    <w:right w:val="single" w:sz="4" w:space="0" w:color="auto"/>
                                  </w:tcBorders>
                                  <w:shd w:val="clear" w:color="auto" w:fill="FFFFFF"/>
                                  <w:vAlign w:val="center"/>
                                  <w:hideMark/>
                                </w:tcPr>
                                <w:p w14:paraId="3760BD6E"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2268" w:type="dxa"/>
                                  <w:tcBorders>
                                    <w:top w:val="nil"/>
                                    <w:left w:val="nil"/>
                                    <w:bottom w:val="single" w:sz="4" w:space="0" w:color="auto"/>
                                    <w:right w:val="single" w:sz="4" w:space="0" w:color="auto"/>
                                  </w:tcBorders>
                                  <w:shd w:val="clear" w:color="auto" w:fill="FFFFFF"/>
                                  <w:vAlign w:val="center"/>
                                  <w:hideMark/>
                                </w:tcPr>
                                <w:p w14:paraId="154FEEFF"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JAM JAM ASIA音樂節</w:t>
                                  </w:r>
                                </w:p>
                              </w:tc>
                              <w:tc>
                                <w:tcPr>
                                  <w:tcW w:w="546" w:type="dxa"/>
                                  <w:vMerge w:val="restart"/>
                                  <w:tcBorders>
                                    <w:top w:val="nil"/>
                                    <w:left w:val="single" w:sz="4" w:space="0" w:color="auto"/>
                                    <w:bottom w:val="single" w:sz="4" w:space="0" w:color="auto"/>
                                    <w:right w:val="single" w:sz="4" w:space="0" w:color="auto"/>
                                  </w:tcBorders>
                                  <w:shd w:val="clear" w:color="auto" w:fill="FFFFFF"/>
                                  <w:vAlign w:val="center"/>
                                  <w:hideMark/>
                                </w:tcPr>
                                <w:p w14:paraId="36906270" w14:textId="77777777" w:rsidR="00436738" w:rsidRDefault="00436738">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放電玩樂</w:t>
                                  </w:r>
                                </w:p>
                              </w:tc>
                              <w:tc>
                                <w:tcPr>
                                  <w:tcW w:w="588" w:type="dxa"/>
                                  <w:tcBorders>
                                    <w:top w:val="nil"/>
                                    <w:left w:val="nil"/>
                                    <w:bottom w:val="single" w:sz="4" w:space="0" w:color="auto"/>
                                    <w:right w:val="single" w:sz="4" w:space="0" w:color="auto"/>
                                  </w:tcBorders>
                                  <w:shd w:val="clear" w:color="auto" w:fill="FFFFFF"/>
                                  <w:vAlign w:val="center"/>
                                  <w:hideMark/>
                                </w:tcPr>
                                <w:p w14:paraId="5C1D2632"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音樂</w:t>
                                  </w:r>
                                </w:p>
                              </w:tc>
                            </w:tr>
                            <w:tr w:rsidR="00436738" w14:paraId="70448265" w14:textId="77777777">
                              <w:trPr>
                                <w:trHeight w:hRule="exac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2C3A7A74"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5A7885D0"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w:t>
                                  </w:r>
                                </w:p>
                              </w:tc>
                              <w:tc>
                                <w:tcPr>
                                  <w:tcW w:w="2268" w:type="dxa"/>
                                  <w:tcBorders>
                                    <w:top w:val="nil"/>
                                    <w:left w:val="nil"/>
                                    <w:bottom w:val="single" w:sz="4" w:space="0" w:color="auto"/>
                                    <w:right w:val="single" w:sz="4" w:space="0" w:color="auto"/>
                                  </w:tcBorders>
                                  <w:shd w:val="clear" w:color="auto" w:fill="FFFFFF"/>
                                  <w:vAlign w:val="center"/>
                                  <w:hideMark/>
                                </w:tcPr>
                                <w:p w14:paraId="5CB255F3" w14:textId="77777777" w:rsidR="00436738" w:rsidRDefault="00436738">
                                  <w:pPr>
                                    <w:widowControl/>
                                    <w:spacing w:line="240" w:lineRule="exact"/>
                                    <w:jc w:val="both"/>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北音樂</w:t>
                                  </w:r>
                                  <w:proofErr w:type="gramStart"/>
                                  <w:r>
                                    <w:rPr>
                                      <w:rFonts w:ascii="標楷體" w:eastAsia="標楷體" w:hAnsi="標楷體" w:cs="新細明體" w:hint="eastAsia"/>
                                      <w:color w:val="000000"/>
                                      <w:kern w:val="0"/>
                                      <w:sz w:val="20"/>
                                    </w:rPr>
                                    <w:t>不</w:t>
                                  </w:r>
                                  <w:proofErr w:type="gramEnd"/>
                                  <w:r>
                                    <w:rPr>
                                      <w:rFonts w:ascii="標楷體" w:eastAsia="標楷體" w:hAnsi="標楷體" w:cs="新細明體" w:hint="eastAsia"/>
                                      <w:color w:val="000000"/>
                                      <w:kern w:val="0"/>
                                      <w:sz w:val="20"/>
                                    </w:rPr>
                                    <w:t>斷電</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40983FDE"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2BD6F367"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音樂</w:t>
                                  </w:r>
                                </w:p>
                              </w:tc>
                            </w:tr>
                            <w:tr w:rsidR="00436738" w14:paraId="76A6B97B" w14:textId="77777777">
                              <w:trPr>
                                <w:trHeight w:hRule="exac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0F4B3D94"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548604FF"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2268" w:type="dxa"/>
                                  <w:tcBorders>
                                    <w:top w:val="nil"/>
                                    <w:left w:val="nil"/>
                                    <w:bottom w:val="single" w:sz="4" w:space="0" w:color="auto"/>
                                    <w:right w:val="single" w:sz="4" w:space="0" w:color="auto"/>
                                  </w:tcBorders>
                                  <w:shd w:val="clear" w:color="auto" w:fill="FFFFFF"/>
                                  <w:vAlign w:val="center"/>
                                  <w:hideMark/>
                                </w:tcPr>
                                <w:p w14:paraId="347A8740" w14:textId="77777777" w:rsidR="00436738" w:rsidRDefault="00436738">
                                  <w:pPr>
                                    <w:widowControl/>
                                    <w:spacing w:line="240" w:lineRule="exact"/>
                                    <w:jc w:val="both"/>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北爵士音樂節</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5BA36935"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2707F09F"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音樂</w:t>
                                  </w:r>
                                </w:p>
                              </w:tc>
                            </w:tr>
                            <w:tr w:rsidR="00436738" w14:paraId="3E202379" w14:textId="77777777">
                              <w:trPr>
                                <w:trHeight w:hRule="exact" w:val="510"/>
                              </w:trPr>
                              <w:tc>
                                <w:tcPr>
                                  <w:tcW w:w="660" w:type="dxa"/>
                                  <w:tcBorders>
                                    <w:top w:val="nil"/>
                                    <w:left w:val="single" w:sz="4" w:space="0" w:color="auto"/>
                                    <w:bottom w:val="single" w:sz="4" w:space="0" w:color="auto"/>
                                    <w:right w:val="single" w:sz="4" w:space="0" w:color="auto"/>
                                  </w:tcBorders>
                                  <w:shd w:val="clear" w:color="auto" w:fill="FFFFFF"/>
                                  <w:vAlign w:val="center"/>
                                  <w:hideMark/>
                                </w:tcPr>
                                <w:p w14:paraId="7526ACF3"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城市</w:t>
                                  </w:r>
                                </w:p>
                                <w:p w14:paraId="67C5DD7C"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行動</w:t>
                                  </w:r>
                                </w:p>
                              </w:tc>
                              <w:tc>
                                <w:tcPr>
                                  <w:tcW w:w="474" w:type="dxa"/>
                                  <w:tcBorders>
                                    <w:top w:val="nil"/>
                                    <w:left w:val="nil"/>
                                    <w:bottom w:val="single" w:sz="4" w:space="0" w:color="auto"/>
                                    <w:right w:val="single" w:sz="4" w:space="0" w:color="auto"/>
                                  </w:tcBorders>
                                  <w:shd w:val="clear" w:color="auto" w:fill="FFFFFF"/>
                                  <w:vAlign w:val="center"/>
                                  <w:hideMark/>
                                </w:tcPr>
                                <w:p w14:paraId="2CCEDDF3"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2268" w:type="dxa"/>
                                  <w:tcBorders>
                                    <w:top w:val="nil"/>
                                    <w:left w:val="nil"/>
                                    <w:bottom w:val="single" w:sz="4" w:space="0" w:color="auto"/>
                                    <w:right w:val="single" w:sz="4" w:space="0" w:color="auto"/>
                                  </w:tcBorders>
                                  <w:shd w:val="clear" w:color="auto" w:fill="FFFFFF"/>
                                  <w:vAlign w:val="center"/>
                                  <w:hideMark/>
                                </w:tcPr>
                                <w:p w14:paraId="17258F71"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潮</w:t>
                                  </w: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北之夜</w:t>
                                  </w:r>
                                </w:p>
                              </w:tc>
                              <w:tc>
                                <w:tcPr>
                                  <w:tcW w:w="546" w:type="dxa"/>
                                  <w:tcBorders>
                                    <w:top w:val="nil"/>
                                    <w:left w:val="single" w:sz="4" w:space="0" w:color="auto"/>
                                    <w:bottom w:val="single" w:sz="4" w:space="0" w:color="auto"/>
                                    <w:right w:val="single" w:sz="4" w:space="0" w:color="auto"/>
                                  </w:tcBorders>
                                  <w:shd w:val="clear" w:color="auto" w:fill="FFFFFF"/>
                                  <w:vAlign w:val="center"/>
                                  <w:hideMark/>
                                </w:tcPr>
                                <w:p w14:paraId="16FCA590" w14:textId="77777777" w:rsidR="00436738" w:rsidRDefault="00436738">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放電玩樂</w:t>
                                  </w:r>
                                </w:p>
                              </w:tc>
                              <w:tc>
                                <w:tcPr>
                                  <w:tcW w:w="588" w:type="dxa"/>
                                  <w:tcBorders>
                                    <w:top w:val="nil"/>
                                    <w:left w:val="nil"/>
                                    <w:bottom w:val="single" w:sz="4" w:space="0" w:color="auto"/>
                                    <w:right w:val="single" w:sz="4" w:space="0" w:color="auto"/>
                                  </w:tcBorders>
                                  <w:shd w:val="clear" w:color="auto" w:fill="FFFFFF"/>
                                  <w:vAlign w:val="center"/>
                                  <w:hideMark/>
                                </w:tcPr>
                                <w:p w14:paraId="75685209"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音樂</w:t>
                                  </w:r>
                                </w:p>
                              </w:tc>
                            </w:tr>
                          </w:tbl>
                          <w:p w14:paraId="71FDAAB3" w14:textId="77777777" w:rsidR="00436738" w:rsidRDefault="00436738" w:rsidP="00436738">
                            <w:pPr>
                              <w:spacing w:line="240" w:lineRule="exact"/>
                              <w:rPr>
                                <w:rFonts w:ascii="標楷體" w:eastAsia="標楷體" w:hAnsi="標楷體"/>
                                <w:sz w:val="18"/>
                                <w:szCs w:val="18"/>
                              </w:rPr>
                            </w:pPr>
                            <w:r>
                              <w:rPr>
                                <w:rFonts w:ascii="標楷體" w:eastAsia="標楷體" w:hAnsi="標楷體" w:hint="eastAsia"/>
                                <w:color w:val="000000"/>
                                <w:sz w:val="18"/>
                                <w:szCs w:val="18"/>
                              </w:rPr>
                              <w:t>資料來源：整理自文化局提供資料。</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C70540" id="矩形 56" o:spid="_x0000_s1136" style="position:absolute;left:0;text-align:left;margin-left:260.8pt;margin-top:69.9pt;width:236.4pt;height:334.5pt;z-index:-2516029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" fillcolor="window" stroked="f" strokeweight="1pt">
                <v:textbox>
                  <w:txbxContent>
                    <w:p w14:paraId="50D52A7E" w14:textId="188AAA65" w:rsidR="00436738" w:rsidRDefault="00436738" w:rsidP="00436738">
                      <w:pPr>
                        <w:jc w:val="center"/>
                        <w:rPr>
                          <w:rFonts w:ascii="標楷體" w:eastAsia="標楷體" w:hAnsi="標楷體"/>
                          <w:b/>
                          <w:szCs w:val="24"/>
                        </w:rPr>
                      </w:pPr>
                      <w:bookmarkStart w:id="94" w:name="_Hlk196983407"/>
                      <w:bookmarkEnd w:id="94"/>
                      <w:r>
                        <w:rPr>
                          <w:rFonts w:ascii="標楷體" w:eastAsia="標楷體" w:hAnsi="標楷體" w:hint="eastAsia"/>
                          <w:b/>
                          <w:szCs w:val="24"/>
                        </w:rPr>
                        <w:t>表1　潮</w:t>
                      </w:r>
                      <w:proofErr w:type="gramStart"/>
                      <w:r>
                        <w:rPr>
                          <w:rFonts w:ascii="標楷體" w:eastAsia="標楷體" w:hAnsi="標楷體" w:hint="eastAsia"/>
                          <w:b/>
                          <w:szCs w:val="24"/>
                        </w:rPr>
                        <w:t>臺</w:t>
                      </w:r>
                      <w:proofErr w:type="gramEnd"/>
                      <w:r>
                        <w:rPr>
                          <w:rFonts w:ascii="標楷體" w:eastAsia="標楷體" w:hAnsi="標楷體" w:hint="eastAsia"/>
                          <w:b/>
                          <w:szCs w:val="24"/>
                        </w:rPr>
                        <w:t>北13項系列活動分類情形</w:t>
                      </w:r>
                    </w:p>
                    <w:tbl>
                      <w:tblPr>
                        <w:tblW w:w="4536" w:type="dxa"/>
                        <w:tblInd w:w="-5" w:type="dxa"/>
                        <w:shd w:val="clear" w:color="auto" w:fill="FFFFFF"/>
                        <w:tblCellMar>
                          <w:left w:w="28" w:type="dxa"/>
                          <w:right w:w="28" w:type="dxa"/>
                        </w:tblCellMar>
                        <w:tblLook w:val="04A0" w:firstRow="1" w:lastRow="0" w:firstColumn="1" w:lastColumn="0" w:noHBand="0" w:noVBand="1"/>
                      </w:tblPr>
                      <w:tblGrid>
                        <w:gridCol w:w="660"/>
                        <w:gridCol w:w="474"/>
                        <w:gridCol w:w="2268"/>
                        <w:gridCol w:w="546"/>
                        <w:gridCol w:w="588"/>
                      </w:tblGrid>
                      <w:tr w:rsidR="00436738" w14:paraId="646071FC" w14:textId="77777777">
                        <w:trPr>
                          <w:trHeight w:val="476"/>
                        </w:trPr>
                        <w:tc>
                          <w:tcPr>
                            <w:tcW w:w="660" w:type="dxa"/>
                            <w:tcBorders>
                              <w:top w:val="single" w:sz="4" w:space="0" w:color="auto"/>
                              <w:left w:val="single" w:sz="4" w:space="0" w:color="auto"/>
                              <w:bottom w:val="single" w:sz="4" w:space="0" w:color="000000"/>
                              <w:right w:val="single" w:sz="4" w:space="0" w:color="auto"/>
                            </w:tcBorders>
                            <w:shd w:val="clear" w:color="auto" w:fill="FFFFFF"/>
                            <w:vAlign w:val="center"/>
                            <w:hideMark/>
                          </w:tcPr>
                          <w:p w14:paraId="1CCC173E"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辦理</w:t>
                            </w:r>
                          </w:p>
                          <w:p w14:paraId="5CA4557A"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方向</w:t>
                            </w:r>
                          </w:p>
                        </w:tc>
                        <w:tc>
                          <w:tcPr>
                            <w:tcW w:w="474" w:type="dxa"/>
                            <w:tcBorders>
                              <w:top w:val="single" w:sz="4" w:space="0" w:color="auto"/>
                              <w:left w:val="single" w:sz="4" w:space="0" w:color="auto"/>
                              <w:bottom w:val="single" w:sz="4" w:space="0" w:color="000000"/>
                              <w:right w:val="single" w:sz="4" w:space="0" w:color="auto"/>
                            </w:tcBorders>
                            <w:shd w:val="clear" w:color="auto" w:fill="FFFFFF"/>
                            <w:vAlign w:val="center"/>
                            <w:hideMark/>
                          </w:tcPr>
                          <w:p w14:paraId="27700CC1"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項次</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A5FD04"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活動主題</w:t>
                            </w:r>
                          </w:p>
                        </w:tc>
                        <w:tc>
                          <w:tcPr>
                            <w:tcW w:w="546" w:type="dxa"/>
                            <w:tcBorders>
                              <w:top w:val="single" w:sz="4" w:space="0" w:color="auto"/>
                              <w:left w:val="single" w:sz="4" w:space="0" w:color="auto"/>
                              <w:bottom w:val="single" w:sz="4" w:space="0" w:color="000000"/>
                              <w:right w:val="single" w:sz="4" w:space="0" w:color="auto"/>
                            </w:tcBorders>
                            <w:shd w:val="clear" w:color="auto" w:fill="FFFFFF"/>
                            <w:vAlign w:val="center"/>
                            <w:hideMark/>
                          </w:tcPr>
                          <w:p w14:paraId="4AE83F12" w14:textId="77777777" w:rsidR="00436738" w:rsidRDefault="00436738">
                            <w:pPr>
                              <w:widowControl/>
                              <w:spacing w:line="240" w:lineRule="exact"/>
                              <w:ind w:leftChars="20" w:left="48" w:rightChars="20" w:right="48"/>
                              <w:jc w:val="distribute"/>
                              <w:rPr>
                                <w:rFonts w:ascii="標楷體" w:eastAsia="標楷體" w:hAnsi="標楷體" w:cs="新細明體"/>
                                <w:bCs/>
                                <w:color w:val="000000"/>
                                <w:spacing w:val="-16"/>
                                <w:kern w:val="0"/>
                                <w:sz w:val="20"/>
                              </w:rPr>
                            </w:pPr>
                            <w:r>
                              <w:rPr>
                                <w:rFonts w:ascii="標楷體" w:eastAsia="標楷體" w:hAnsi="標楷體" w:cs="新細明體" w:hint="eastAsia"/>
                                <w:bCs/>
                                <w:color w:val="000000"/>
                                <w:spacing w:val="-16"/>
                                <w:kern w:val="0"/>
                                <w:sz w:val="20"/>
                              </w:rPr>
                              <w:t>活動分類</w:t>
                            </w:r>
                          </w:p>
                        </w:tc>
                        <w:tc>
                          <w:tcPr>
                            <w:tcW w:w="588" w:type="dxa"/>
                            <w:tcBorders>
                              <w:top w:val="single" w:sz="4" w:space="0" w:color="auto"/>
                              <w:left w:val="nil"/>
                              <w:bottom w:val="single" w:sz="4" w:space="0" w:color="auto"/>
                              <w:right w:val="single" w:sz="4" w:space="0" w:color="auto"/>
                            </w:tcBorders>
                            <w:shd w:val="clear" w:color="auto" w:fill="FFFFFF"/>
                            <w:vAlign w:val="center"/>
                            <w:hideMark/>
                          </w:tcPr>
                          <w:p w14:paraId="4AC86D5B"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領域</w:t>
                            </w:r>
                          </w:p>
                          <w:p w14:paraId="06181168"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類別</w:t>
                            </w:r>
                          </w:p>
                        </w:tc>
                      </w:tr>
                      <w:tr w:rsidR="00436738" w14:paraId="3367A8FD" w14:textId="77777777">
                        <w:trPr>
                          <w:trHeight w:hRule="exact" w:val="510"/>
                        </w:trPr>
                        <w:tc>
                          <w:tcPr>
                            <w:tcW w:w="660" w:type="dxa"/>
                            <w:vMerge w:val="restart"/>
                            <w:tcBorders>
                              <w:top w:val="nil"/>
                              <w:left w:val="single" w:sz="4" w:space="0" w:color="auto"/>
                              <w:bottom w:val="single" w:sz="4" w:space="0" w:color="auto"/>
                              <w:right w:val="single" w:sz="4" w:space="0" w:color="auto"/>
                            </w:tcBorders>
                            <w:shd w:val="clear" w:color="auto" w:fill="FFFFFF"/>
                            <w:vAlign w:val="center"/>
                            <w:hideMark/>
                          </w:tcPr>
                          <w:p w14:paraId="6301BB05"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產業</w:t>
                            </w:r>
                          </w:p>
                          <w:p w14:paraId="54708CED"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論壇</w:t>
                            </w:r>
                          </w:p>
                        </w:tc>
                        <w:tc>
                          <w:tcPr>
                            <w:tcW w:w="474" w:type="dxa"/>
                            <w:tcBorders>
                              <w:top w:val="nil"/>
                              <w:left w:val="nil"/>
                              <w:bottom w:val="single" w:sz="4" w:space="0" w:color="auto"/>
                              <w:right w:val="single" w:sz="4" w:space="0" w:color="auto"/>
                            </w:tcBorders>
                            <w:shd w:val="clear" w:color="auto" w:fill="FFFFFF"/>
                            <w:vAlign w:val="center"/>
                            <w:hideMark/>
                          </w:tcPr>
                          <w:p w14:paraId="7CDB3F54"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2268" w:type="dxa"/>
                            <w:tcBorders>
                              <w:top w:val="nil"/>
                              <w:left w:val="nil"/>
                              <w:bottom w:val="single" w:sz="4" w:space="0" w:color="auto"/>
                              <w:right w:val="single" w:sz="4" w:space="0" w:color="auto"/>
                            </w:tcBorders>
                            <w:shd w:val="clear" w:color="auto" w:fill="FFFFFF"/>
                            <w:vAlign w:val="center"/>
                            <w:hideMark/>
                          </w:tcPr>
                          <w:p w14:paraId="0219748D"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TAIPEI MUSIC EXPO</w:t>
                            </w: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北音樂博覽會</w:t>
                            </w:r>
                          </w:p>
                        </w:tc>
                        <w:tc>
                          <w:tcPr>
                            <w:tcW w:w="546" w:type="dxa"/>
                            <w:vMerge w:val="restart"/>
                            <w:tcBorders>
                              <w:top w:val="nil"/>
                              <w:left w:val="single" w:sz="4" w:space="0" w:color="auto"/>
                              <w:bottom w:val="single" w:sz="4" w:space="0" w:color="auto"/>
                              <w:right w:val="single" w:sz="4" w:space="0" w:color="auto"/>
                            </w:tcBorders>
                            <w:shd w:val="clear" w:color="auto" w:fill="FFFFFF"/>
                            <w:vAlign w:val="center"/>
                            <w:hideMark/>
                          </w:tcPr>
                          <w:p w14:paraId="25990297" w14:textId="77777777" w:rsidR="00436738" w:rsidRDefault="00436738">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充電學習</w:t>
                            </w:r>
                          </w:p>
                        </w:tc>
                        <w:tc>
                          <w:tcPr>
                            <w:tcW w:w="588" w:type="dxa"/>
                            <w:tcBorders>
                              <w:top w:val="single" w:sz="4" w:space="0" w:color="auto"/>
                              <w:left w:val="nil"/>
                              <w:bottom w:val="single" w:sz="4" w:space="0" w:color="auto"/>
                              <w:right w:val="single" w:sz="4" w:space="0" w:color="auto"/>
                            </w:tcBorders>
                            <w:shd w:val="clear" w:color="auto" w:fill="FFFFFF"/>
                            <w:vAlign w:val="center"/>
                            <w:hideMark/>
                          </w:tcPr>
                          <w:p w14:paraId="7A052BA1"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音樂</w:t>
                            </w:r>
                          </w:p>
                        </w:tc>
                      </w:tr>
                      <w:tr w:rsidR="00436738" w14:paraId="721A21BA" w14:textId="77777777">
                        <w:trPr>
                          <w:trHeigh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2ACAC229"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3F8766FA"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2268" w:type="dxa"/>
                            <w:tcBorders>
                              <w:top w:val="nil"/>
                              <w:left w:val="nil"/>
                              <w:bottom w:val="single" w:sz="4" w:space="0" w:color="auto"/>
                              <w:right w:val="single" w:sz="4" w:space="0" w:color="auto"/>
                            </w:tcBorders>
                            <w:shd w:val="clear" w:color="auto" w:fill="FFFFFF"/>
                            <w:vAlign w:val="center"/>
                            <w:hideMark/>
                          </w:tcPr>
                          <w:p w14:paraId="4886549E"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StartSphere Taipei台北創新創業總匯 </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64691C65"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2F733738"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新創</w:t>
                            </w:r>
                          </w:p>
                        </w:tc>
                      </w:tr>
                      <w:tr w:rsidR="00436738" w14:paraId="55D20510" w14:textId="77777777">
                        <w:trPr>
                          <w:trHeigh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6F8CDA39"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099CAE14"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2268" w:type="dxa"/>
                            <w:tcBorders>
                              <w:top w:val="nil"/>
                              <w:left w:val="nil"/>
                              <w:bottom w:val="single" w:sz="4" w:space="0" w:color="auto"/>
                              <w:right w:val="single" w:sz="4" w:space="0" w:color="auto"/>
                            </w:tcBorders>
                            <w:shd w:val="clear" w:color="auto" w:fill="FFFFFF"/>
                            <w:vAlign w:val="center"/>
                            <w:hideMark/>
                          </w:tcPr>
                          <w:p w14:paraId="5ACEE1FF" w14:textId="77777777" w:rsidR="00436738" w:rsidRDefault="00436738">
                            <w:pPr>
                              <w:widowControl/>
                              <w:spacing w:line="240" w:lineRule="exact"/>
                              <w:jc w:val="both"/>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北秋季程式設計節</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4DC0DE56"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7B1E55E4"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科技</w:t>
                            </w:r>
                          </w:p>
                        </w:tc>
                      </w:tr>
                      <w:tr w:rsidR="00436738" w14:paraId="38200CE2" w14:textId="77777777">
                        <w:trPr>
                          <w:trHeight w:hRule="exact" w:val="51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75190CC1"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5D0B2F10"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2268" w:type="dxa"/>
                            <w:tcBorders>
                              <w:top w:val="nil"/>
                              <w:left w:val="nil"/>
                              <w:bottom w:val="single" w:sz="4" w:space="0" w:color="auto"/>
                              <w:right w:val="single" w:sz="4" w:space="0" w:color="auto"/>
                            </w:tcBorders>
                            <w:shd w:val="clear" w:color="auto" w:fill="FFFFFF"/>
                            <w:vAlign w:val="center"/>
                            <w:hideMark/>
                          </w:tcPr>
                          <w:p w14:paraId="111968D5"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2024 AAPPAC亞太表演藝術中心協會年會</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16D77C10"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63BF2CA1"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藝術</w:t>
                            </w:r>
                          </w:p>
                        </w:tc>
                      </w:tr>
                      <w:tr w:rsidR="00436738" w14:paraId="40204504" w14:textId="77777777">
                        <w:trPr>
                          <w:trHeigh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409AFF43"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153F79EB"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2268" w:type="dxa"/>
                            <w:tcBorders>
                              <w:top w:val="nil"/>
                              <w:left w:val="nil"/>
                              <w:bottom w:val="single" w:sz="4" w:space="0" w:color="auto"/>
                              <w:right w:val="single" w:sz="4" w:space="0" w:color="auto"/>
                            </w:tcBorders>
                            <w:shd w:val="clear" w:color="auto" w:fill="FFFFFF"/>
                            <w:vAlign w:val="center"/>
                            <w:hideMark/>
                          </w:tcPr>
                          <w:p w14:paraId="3F34F846" w14:textId="77777777" w:rsidR="00436738" w:rsidRDefault="00436738">
                            <w:pPr>
                              <w:widowControl/>
                              <w:spacing w:line="240" w:lineRule="exact"/>
                              <w:jc w:val="both"/>
                              <w:rPr>
                                <w:rFonts w:ascii="標楷體" w:eastAsia="標楷體" w:hAnsi="標楷體" w:cs="新細明體"/>
                                <w:color w:val="000000"/>
                                <w:spacing w:val="-6"/>
                                <w:kern w:val="0"/>
                                <w:sz w:val="20"/>
                              </w:rPr>
                            </w:pPr>
                            <w:r>
                              <w:rPr>
                                <w:rFonts w:ascii="標楷體" w:eastAsia="標楷體" w:hAnsi="標楷體" w:cs="新細明體" w:hint="eastAsia"/>
                                <w:color w:val="000000"/>
                                <w:spacing w:val="-6"/>
                                <w:kern w:val="0"/>
                                <w:sz w:val="20"/>
                              </w:rPr>
                              <w:t xml:space="preserve">2024 Res Artis </w:t>
                            </w:r>
                            <w:proofErr w:type="gramStart"/>
                            <w:r>
                              <w:rPr>
                                <w:rFonts w:ascii="標楷體" w:eastAsia="標楷體" w:hAnsi="標楷體" w:cs="新細明體" w:hint="eastAsia"/>
                                <w:color w:val="000000"/>
                                <w:spacing w:val="-6"/>
                                <w:kern w:val="0"/>
                                <w:sz w:val="20"/>
                              </w:rPr>
                              <w:t>臺</w:t>
                            </w:r>
                            <w:proofErr w:type="gramEnd"/>
                            <w:r>
                              <w:rPr>
                                <w:rFonts w:ascii="標楷體" w:eastAsia="標楷體" w:hAnsi="標楷體" w:cs="新細明體" w:hint="eastAsia"/>
                                <w:color w:val="000000"/>
                                <w:spacing w:val="-6"/>
                                <w:kern w:val="0"/>
                                <w:sz w:val="20"/>
                              </w:rPr>
                              <w:t>北年會</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6E256F57"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2D2D5B9C"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藝術</w:t>
                            </w:r>
                          </w:p>
                        </w:tc>
                      </w:tr>
                      <w:tr w:rsidR="00436738" w14:paraId="66E69CC5" w14:textId="77777777">
                        <w:trPr>
                          <w:trHeight w:hRule="exact" w:val="51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31048006"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14B02A4B"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2268" w:type="dxa"/>
                            <w:tcBorders>
                              <w:top w:val="nil"/>
                              <w:left w:val="nil"/>
                              <w:bottom w:val="single" w:sz="4" w:space="0" w:color="auto"/>
                              <w:right w:val="single" w:sz="4" w:space="0" w:color="auto"/>
                            </w:tcBorders>
                            <w:shd w:val="clear" w:color="auto" w:fill="FFFFFF"/>
                            <w:vAlign w:val="center"/>
                            <w:hideMark/>
                          </w:tcPr>
                          <w:p w14:paraId="455336FE"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亞洲影視內容峰會／大獎ContentAsia／Award</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24718D82"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334E88E6"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影視</w:t>
                            </w:r>
                          </w:p>
                        </w:tc>
                      </w:tr>
                      <w:tr w:rsidR="00436738" w14:paraId="537F781B" w14:textId="77777777">
                        <w:trPr>
                          <w:trHeight w:hRule="exact" w:val="51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38191AC4"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3624ABF1"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2268" w:type="dxa"/>
                            <w:tcBorders>
                              <w:top w:val="nil"/>
                              <w:left w:val="nil"/>
                              <w:bottom w:val="single" w:sz="4" w:space="0" w:color="auto"/>
                              <w:right w:val="single" w:sz="4" w:space="0" w:color="auto"/>
                            </w:tcBorders>
                            <w:shd w:val="clear" w:color="auto" w:fill="FFFFFF"/>
                            <w:vAlign w:val="center"/>
                            <w:hideMark/>
                          </w:tcPr>
                          <w:p w14:paraId="37E5151E"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數位亞洲大會DigiAsia Taipei</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6A67EE32"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3029ED40"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科技</w:t>
                            </w:r>
                          </w:p>
                        </w:tc>
                      </w:tr>
                      <w:tr w:rsidR="00436738" w14:paraId="21F90F6D" w14:textId="77777777">
                        <w:trPr>
                          <w:trHeight w:hRule="exac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5C2F8510"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2610AE2D"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2268" w:type="dxa"/>
                            <w:tcBorders>
                              <w:top w:val="nil"/>
                              <w:left w:val="nil"/>
                              <w:bottom w:val="single" w:sz="4" w:space="0" w:color="auto"/>
                              <w:right w:val="single" w:sz="4" w:space="0" w:color="auto"/>
                            </w:tcBorders>
                            <w:shd w:val="clear" w:color="auto" w:fill="FFFFFF"/>
                            <w:vAlign w:val="center"/>
                            <w:hideMark/>
                          </w:tcPr>
                          <w:p w14:paraId="68F6B562" w14:textId="77777777" w:rsidR="00436738" w:rsidRDefault="00436738">
                            <w:pPr>
                              <w:widowControl/>
                              <w:spacing w:line="240" w:lineRule="exact"/>
                              <w:jc w:val="both"/>
                              <w:rPr>
                                <w:rFonts w:ascii="標楷體" w:eastAsia="標楷體" w:hAnsi="標楷體" w:cs="新細明體"/>
                                <w:color w:val="000000"/>
                                <w:spacing w:val="-16"/>
                                <w:kern w:val="0"/>
                                <w:sz w:val="20"/>
                              </w:rPr>
                            </w:pPr>
                            <w:r>
                              <w:rPr>
                                <w:rFonts w:ascii="標楷體" w:eastAsia="標楷體" w:hAnsi="標楷體" w:cs="新細明體" w:hint="eastAsia"/>
                                <w:color w:val="000000"/>
                                <w:spacing w:val="-16"/>
                                <w:kern w:val="0"/>
                                <w:sz w:val="20"/>
                              </w:rPr>
                              <w:t>MOJO魔力</w:t>
                            </w:r>
                            <w:proofErr w:type="gramStart"/>
                            <w:r>
                              <w:rPr>
                                <w:rFonts w:ascii="標楷體" w:eastAsia="標楷體" w:hAnsi="標楷體" w:cs="新細明體" w:hint="eastAsia"/>
                                <w:color w:val="000000"/>
                                <w:spacing w:val="-16"/>
                                <w:kern w:val="0"/>
                                <w:sz w:val="20"/>
                              </w:rPr>
                              <w:t>臺</w:t>
                            </w:r>
                            <w:proofErr w:type="gramEnd"/>
                            <w:r>
                              <w:rPr>
                                <w:rFonts w:ascii="標楷體" w:eastAsia="標楷體" w:hAnsi="標楷體" w:cs="新細明體" w:hint="eastAsia"/>
                                <w:color w:val="000000"/>
                                <w:spacing w:val="-16"/>
                                <w:kern w:val="0"/>
                                <w:sz w:val="20"/>
                              </w:rPr>
                              <w:t>北－名人專題講座</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5B9963EA"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269AF6C1"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藝術</w:t>
                            </w:r>
                          </w:p>
                        </w:tc>
                      </w:tr>
                      <w:tr w:rsidR="00436738" w14:paraId="52AAE940" w14:textId="77777777">
                        <w:trPr>
                          <w:trHeight w:hRule="exac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6AD17CBF"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01AB956A"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2268" w:type="dxa"/>
                            <w:tcBorders>
                              <w:top w:val="nil"/>
                              <w:left w:val="nil"/>
                              <w:bottom w:val="single" w:sz="4" w:space="0" w:color="auto"/>
                              <w:right w:val="single" w:sz="4" w:space="0" w:color="auto"/>
                            </w:tcBorders>
                            <w:shd w:val="clear" w:color="auto" w:fill="FFFFFF"/>
                            <w:vAlign w:val="center"/>
                            <w:hideMark/>
                          </w:tcPr>
                          <w:p w14:paraId="2E8FB7E2"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台北電影學院</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5A8E31AB"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1C14526D"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影視</w:t>
                            </w:r>
                          </w:p>
                        </w:tc>
                      </w:tr>
                      <w:tr w:rsidR="00436738" w14:paraId="654F3F41" w14:textId="77777777">
                        <w:trPr>
                          <w:trHeight w:hRule="exact" w:val="340"/>
                        </w:trPr>
                        <w:tc>
                          <w:tcPr>
                            <w:tcW w:w="660" w:type="dxa"/>
                            <w:vMerge w:val="restart"/>
                            <w:tcBorders>
                              <w:top w:val="nil"/>
                              <w:left w:val="single" w:sz="4" w:space="0" w:color="auto"/>
                              <w:bottom w:val="single" w:sz="4" w:space="0" w:color="auto"/>
                              <w:right w:val="single" w:sz="4" w:space="0" w:color="auto"/>
                            </w:tcBorders>
                            <w:shd w:val="clear" w:color="auto" w:fill="FFFFFF"/>
                            <w:vAlign w:val="center"/>
                            <w:hideMark/>
                          </w:tcPr>
                          <w:p w14:paraId="01C32B4C"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演唱會經濟</w:t>
                            </w:r>
                          </w:p>
                        </w:tc>
                        <w:tc>
                          <w:tcPr>
                            <w:tcW w:w="474" w:type="dxa"/>
                            <w:tcBorders>
                              <w:top w:val="nil"/>
                              <w:left w:val="nil"/>
                              <w:bottom w:val="single" w:sz="4" w:space="0" w:color="auto"/>
                              <w:right w:val="single" w:sz="4" w:space="0" w:color="auto"/>
                            </w:tcBorders>
                            <w:shd w:val="clear" w:color="auto" w:fill="FFFFFF"/>
                            <w:vAlign w:val="center"/>
                            <w:hideMark/>
                          </w:tcPr>
                          <w:p w14:paraId="3760BD6E"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2268" w:type="dxa"/>
                            <w:tcBorders>
                              <w:top w:val="nil"/>
                              <w:left w:val="nil"/>
                              <w:bottom w:val="single" w:sz="4" w:space="0" w:color="auto"/>
                              <w:right w:val="single" w:sz="4" w:space="0" w:color="auto"/>
                            </w:tcBorders>
                            <w:shd w:val="clear" w:color="auto" w:fill="FFFFFF"/>
                            <w:vAlign w:val="center"/>
                            <w:hideMark/>
                          </w:tcPr>
                          <w:p w14:paraId="154FEEFF"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JAM JAM ASIA音樂節</w:t>
                            </w:r>
                          </w:p>
                        </w:tc>
                        <w:tc>
                          <w:tcPr>
                            <w:tcW w:w="546" w:type="dxa"/>
                            <w:vMerge w:val="restart"/>
                            <w:tcBorders>
                              <w:top w:val="nil"/>
                              <w:left w:val="single" w:sz="4" w:space="0" w:color="auto"/>
                              <w:bottom w:val="single" w:sz="4" w:space="0" w:color="auto"/>
                              <w:right w:val="single" w:sz="4" w:space="0" w:color="auto"/>
                            </w:tcBorders>
                            <w:shd w:val="clear" w:color="auto" w:fill="FFFFFF"/>
                            <w:vAlign w:val="center"/>
                            <w:hideMark/>
                          </w:tcPr>
                          <w:p w14:paraId="36906270" w14:textId="77777777" w:rsidR="00436738" w:rsidRDefault="00436738">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放電玩樂</w:t>
                            </w:r>
                          </w:p>
                        </w:tc>
                        <w:tc>
                          <w:tcPr>
                            <w:tcW w:w="588" w:type="dxa"/>
                            <w:tcBorders>
                              <w:top w:val="nil"/>
                              <w:left w:val="nil"/>
                              <w:bottom w:val="single" w:sz="4" w:space="0" w:color="auto"/>
                              <w:right w:val="single" w:sz="4" w:space="0" w:color="auto"/>
                            </w:tcBorders>
                            <w:shd w:val="clear" w:color="auto" w:fill="FFFFFF"/>
                            <w:vAlign w:val="center"/>
                            <w:hideMark/>
                          </w:tcPr>
                          <w:p w14:paraId="5C1D2632"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音樂</w:t>
                            </w:r>
                          </w:p>
                        </w:tc>
                      </w:tr>
                      <w:tr w:rsidR="00436738" w14:paraId="70448265" w14:textId="77777777">
                        <w:trPr>
                          <w:trHeight w:hRule="exac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2C3A7A74"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5A7885D0"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w:t>
                            </w:r>
                          </w:p>
                        </w:tc>
                        <w:tc>
                          <w:tcPr>
                            <w:tcW w:w="2268" w:type="dxa"/>
                            <w:tcBorders>
                              <w:top w:val="nil"/>
                              <w:left w:val="nil"/>
                              <w:bottom w:val="single" w:sz="4" w:space="0" w:color="auto"/>
                              <w:right w:val="single" w:sz="4" w:space="0" w:color="auto"/>
                            </w:tcBorders>
                            <w:shd w:val="clear" w:color="auto" w:fill="FFFFFF"/>
                            <w:vAlign w:val="center"/>
                            <w:hideMark/>
                          </w:tcPr>
                          <w:p w14:paraId="5CB255F3" w14:textId="77777777" w:rsidR="00436738" w:rsidRDefault="00436738">
                            <w:pPr>
                              <w:widowControl/>
                              <w:spacing w:line="240" w:lineRule="exact"/>
                              <w:jc w:val="both"/>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北音樂</w:t>
                            </w:r>
                            <w:proofErr w:type="gramStart"/>
                            <w:r>
                              <w:rPr>
                                <w:rFonts w:ascii="標楷體" w:eastAsia="標楷體" w:hAnsi="標楷體" w:cs="新細明體" w:hint="eastAsia"/>
                                <w:color w:val="000000"/>
                                <w:kern w:val="0"/>
                                <w:sz w:val="20"/>
                              </w:rPr>
                              <w:t>不</w:t>
                            </w:r>
                            <w:proofErr w:type="gramEnd"/>
                            <w:r>
                              <w:rPr>
                                <w:rFonts w:ascii="標楷體" w:eastAsia="標楷體" w:hAnsi="標楷體" w:cs="新細明體" w:hint="eastAsia"/>
                                <w:color w:val="000000"/>
                                <w:kern w:val="0"/>
                                <w:sz w:val="20"/>
                              </w:rPr>
                              <w:t>斷電</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40983FDE"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2BD6F367"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音樂</w:t>
                            </w:r>
                          </w:p>
                        </w:tc>
                      </w:tr>
                      <w:tr w:rsidR="00436738" w14:paraId="76A6B97B" w14:textId="77777777">
                        <w:trPr>
                          <w:trHeight w:hRule="exact" w:val="340"/>
                        </w:trPr>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0F4B3D94" w14:textId="77777777" w:rsidR="00436738" w:rsidRDefault="00436738">
                            <w:pPr>
                              <w:widowControl/>
                              <w:rPr>
                                <w:rFonts w:ascii="標楷體" w:eastAsia="標楷體" w:hAnsi="標楷體" w:cs="新細明體"/>
                                <w:bCs/>
                                <w:color w:val="000000"/>
                                <w:kern w:val="0"/>
                                <w:sz w:val="20"/>
                              </w:rPr>
                            </w:pPr>
                          </w:p>
                        </w:tc>
                        <w:tc>
                          <w:tcPr>
                            <w:tcW w:w="474" w:type="dxa"/>
                            <w:tcBorders>
                              <w:top w:val="nil"/>
                              <w:left w:val="nil"/>
                              <w:bottom w:val="single" w:sz="4" w:space="0" w:color="auto"/>
                              <w:right w:val="single" w:sz="4" w:space="0" w:color="auto"/>
                            </w:tcBorders>
                            <w:shd w:val="clear" w:color="auto" w:fill="FFFFFF"/>
                            <w:vAlign w:val="center"/>
                            <w:hideMark/>
                          </w:tcPr>
                          <w:p w14:paraId="548604FF"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2268" w:type="dxa"/>
                            <w:tcBorders>
                              <w:top w:val="nil"/>
                              <w:left w:val="nil"/>
                              <w:bottom w:val="single" w:sz="4" w:space="0" w:color="auto"/>
                              <w:right w:val="single" w:sz="4" w:space="0" w:color="auto"/>
                            </w:tcBorders>
                            <w:shd w:val="clear" w:color="auto" w:fill="FFFFFF"/>
                            <w:vAlign w:val="center"/>
                            <w:hideMark/>
                          </w:tcPr>
                          <w:p w14:paraId="347A8740" w14:textId="77777777" w:rsidR="00436738" w:rsidRDefault="00436738">
                            <w:pPr>
                              <w:widowControl/>
                              <w:spacing w:line="240" w:lineRule="exact"/>
                              <w:jc w:val="both"/>
                              <w:rPr>
                                <w:rFonts w:ascii="標楷體" w:eastAsia="標楷體" w:hAnsi="標楷體" w:cs="新細明體"/>
                                <w:color w:val="000000"/>
                                <w:kern w:val="0"/>
                                <w:sz w:val="20"/>
                              </w:rPr>
                            </w:pP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北爵士音樂節</w:t>
                            </w:r>
                          </w:p>
                        </w:tc>
                        <w:tc>
                          <w:tcPr>
                            <w:tcW w:w="0" w:type="auto"/>
                            <w:vMerge/>
                            <w:tcBorders>
                              <w:top w:val="nil"/>
                              <w:left w:val="single" w:sz="4" w:space="0" w:color="auto"/>
                              <w:bottom w:val="single" w:sz="4" w:space="0" w:color="auto"/>
                              <w:right w:val="single" w:sz="4" w:space="0" w:color="auto"/>
                            </w:tcBorders>
                            <w:shd w:val="clear" w:color="auto" w:fill="FFFFFF"/>
                            <w:vAlign w:val="center"/>
                            <w:hideMark/>
                          </w:tcPr>
                          <w:p w14:paraId="5BA36935" w14:textId="77777777" w:rsidR="00436738" w:rsidRDefault="00436738">
                            <w:pPr>
                              <w:widowControl/>
                              <w:rPr>
                                <w:rFonts w:ascii="標楷體" w:eastAsia="標楷體" w:hAnsi="標楷體" w:cs="新細明體"/>
                                <w:color w:val="000000"/>
                                <w:spacing w:val="-10"/>
                                <w:kern w:val="0"/>
                                <w:sz w:val="20"/>
                              </w:rPr>
                            </w:pPr>
                          </w:p>
                        </w:tc>
                        <w:tc>
                          <w:tcPr>
                            <w:tcW w:w="588" w:type="dxa"/>
                            <w:tcBorders>
                              <w:top w:val="nil"/>
                              <w:left w:val="nil"/>
                              <w:bottom w:val="single" w:sz="4" w:space="0" w:color="auto"/>
                              <w:right w:val="single" w:sz="4" w:space="0" w:color="auto"/>
                            </w:tcBorders>
                            <w:shd w:val="clear" w:color="auto" w:fill="FFFFFF"/>
                            <w:vAlign w:val="center"/>
                            <w:hideMark/>
                          </w:tcPr>
                          <w:p w14:paraId="2707F09F"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音樂</w:t>
                            </w:r>
                          </w:p>
                        </w:tc>
                      </w:tr>
                      <w:tr w:rsidR="00436738" w14:paraId="3E202379" w14:textId="77777777">
                        <w:trPr>
                          <w:trHeight w:hRule="exact" w:val="510"/>
                        </w:trPr>
                        <w:tc>
                          <w:tcPr>
                            <w:tcW w:w="660" w:type="dxa"/>
                            <w:tcBorders>
                              <w:top w:val="nil"/>
                              <w:left w:val="single" w:sz="4" w:space="0" w:color="auto"/>
                              <w:bottom w:val="single" w:sz="4" w:space="0" w:color="auto"/>
                              <w:right w:val="single" w:sz="4" w:space="0" w:color="auto"/>
                            </w:tcBorders>
                            <w:shd w:val="clear" w:color="auto" w:fill="FFFFFF"/>
                            <w:vAlign w:val="center"/>
                            <w:hideMark/>
                          </w:tcPr>
                          <w:p w14:paraId="7526ACF3"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城市</w:t>
                            </w:r>
                          </w:p>
                          <w:p w14:paraId="67C5DD7C" w14:textId="77777777" w:rsidR="00436738" w:rsidRDefault="00436738">
                            <w:pPr>
                              <w:widowControl/>
                              <w:spacing w:line="240" w:lineRule="exact"/>
                              <w:jc w:val="distribute"/>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行動</w:t>
                            </w:r>
                          </w:p>
                        </w:tc>
                        <w:tc>
                          <w:tcPr>
                            <w:tcW w:w="474" w:type="dxa"/>
                            <w:tcBorders>
                              <w:top w:val="nil"/>
                              <w:left w:val="nil"/>
                              <w:bottom w:val="single" w:sz="4" w:space="0" w:color="auto"/>
                              <w:right w:val="single" w:sz="4" w:space="0" w:color="auto"/>
                            </w:tcBorders>
                            <w:shd w:val="clear" w:color="auto" w:fill="FFFFFF"/>
                            <w:vAlign w:val="center"/>
                            <w:hideMark/>
                          </w:tcPr>
                          <w:p w14:paraId="2CCEDDF3"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2268" w:type="dxa"/>
                            <w:tcBorders>
                              <w:top w:val="nil"/>
                              <w:left w:val="nil"/>
                              <w:bottom w:val="single" w:sz="4" w:space="0" w:color="auto"/>
                              <w:right w:val="single" w:sz="4" w:space="0" w:color="auto"/>
                            </w:tcBorders>
                            <w:shd w:val="clear" w:color="auto" w:fill="FFFFFF"/>
                            <w:vAlign w:val="center"/>
                            <w:hideMark/>
                          </w:tcPr>
                          <w:p w14:paraId="17258F71" w14:textId="77777777" w:rsidR="00436738" w:rsidRDefault="00436738">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潮</w:t>
                            </w:r>
                            <w:proofErr w:type="gramStart"/>
                            <w:r>
                              <w:rPr>
                                <w:rFonts w:ascii="標楷體" w:eastAsia="標楷體" w:hAnsi="標楷體" w:cs="新細明體" w:hint="eastAsia"/>
                                <w:color w:val="000000"/>
                                <w:kern w:val="0"/>
                                <w:sz w:val="20"/>
                              </w:rPr>
                              <w:t>臺</w:t>
                            </w:r>
                            <w:proofErr w:type="gramEnd"/>
                            <w:r>
                              <w:rPr>
                                <w:rFonts w:ascii="標楷體" w:eastAsia="標楷體" w:hAnsi="標楷體" w:cs="新細明體" w:hint="eastAsia"/>
                                <w:color w:val="000000"/>
                                <w:kern w:val="0"/>
                                <w:sz w:val="20"/>
                              </w:rPr>
                              <w:t>北之夜</w:t>
                            </w:r>
                          </w:p>
                        </w:tc>
                        <w:tc>
                          <w:tcPr>
                            <w:tcW w:w="546" w:type="dxa"/>
                            <w:tcBorders>
                              <w:top w:val="nil"/>
                              <w:left w:val="single" w:sz="4" w:space="0" w:color="auto"/>
                              <w:bottom w:val="single" w:sz="4" w:space="0" w:color="auto"/>
                              <w:right w:val="single" w:sz="4" w:space="0" w:color="auto"/>
                            </w:tcBorders>
                            <w:shd w:val="clear" w:color="auto" w:fill="FFFFFF"/>
                            <w:vAlign w:val="center"/>
                            <w:hideMark/>
                          </w:tcPr>
                          <w:p w14:paraId="16FCA590" w14:textId="77777777" w:rsidR="00436738" w:rsidRDefault="00436738">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放電玩樂</w:t>
                            </w:r>
                          </w:p>
                        </w:tc>
                        <w:tc>
                          <w:tcPr>
                            <w:tcW w:w="588" w:type="dxa"/>
                            <w:tcBorders>
                              <w:top w:val="nil"/>
                              <w:left w:val="nil"/>
                              <w:bottom w:val="single" w:sz="4" w:space="0" w:color="auto"/>
                              <w:right w:val="single" w:sz="4" w:space="0" w:color="auto"/>
                            </w:tcBorders>
                            <w:shd w:val="clear" w:color="auto" w:fill="FFFFFF"/>
                            <w:vAlign w:val="center"/>
                            <w:hideMark/>
                          </w:tcPr>
                          <w:p w14:paraId="75685209" w14:textId="77777777" w:rsidR="00436738" w:rsidRDefault="00436738">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音樂</w:t>
                            </w:r>
                          </w:p>
                        </w:tc>
                      </w:tr>
                    </w:tbl>
                    <w:p w14:paraId="71FDAAB3" w14:textId="77777777" w:rsidR="00436738" w:rsidRDefault="00436738" w:rsidP="00436738">
                      <w:pPr>
                        <w:spacing w:line="240" w:lineRule="exact"/>
                        <w:rPr>
                          <w:rFonts w:ascii="標楷體" w:eastAsia="標楷體" w:hAnsi="標楷體"/>
                          <w:sz w:val="18"/>
                          <w:szCs w:val="18"/>
                        </w:rPr>
                      </w:pPr>
                      <w:r>
                        <w:rPr>
                          <w:rFonts w:ascii="標楷體" w:eastAsia="標楷體" w:hAnsi="標楷體" w:hint="eastAsia"/>
                          <w:color w:val="000000"/>
                          <w:sz w:val="18"/>
                          <w:szCs w:val="18"/>
                        </w:rPr>
                        <w:t>資料來源：整理自文化局提供資料。</w:t>
                      </w:r>
                    </w:p>
                  </w:txbxContent>
                </v:textbox>
                <w10:wrap type="tight" anchorx="margin" anchory="page"/>
              </v:rect>
            </w:pict>
          </mc:Fallback>
        </mc:AlternateContent>
      </w:r>
      <w:r>
        <w:rPr>
          <w:rFonts w:hAnsi="標楷體" w:hint="eastAsia"/>
          <w:b w:val="0"/>
          <w:color w:val="000000" w:themeColor="text1"/>
          <w:sz w:val="24"/>
        </w:rPr>
        <w:t>精神，以有效融合前開不同領域或類型之活動，或突顯既有活動之嶄新亮點，未能深度傳達品牌價值，</w:t>
      </w:r>
      <w:proofErr w:type="gramStart"/>
      <w:r>
        <w:rPr>
          <w:rFonts w:hAnsi="標楷體" w:hint="eastAsia"/>
          <w:b w:val="0"/>
          <w:color w:val="000000" w:themeColor="text1"/>
          <w:sz w:val="24"/>
        </w:rPr>
        <w:t>凸</w:t>
      </w:r>
      <w:proofErr w:type="gramEnd"/>
      <w:r>
        <w:rPr>
          <w:rFonts w:hAnsi="標楷體" w:hint="eastAsia"/>
          <w:b w:val="0"/>
          <w:color w:val="000000" w:themeColor="text1"/>
          <w:sz w:val="24"/>
        </w:rPr>
        <w:t>顯臺北市多元、音樂產業能量；且查潮</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w:t>
      </w:r>
      <w:proofErr w:type="gramStart"/>
      <w:r>
        <w:rPr>
          <w:rFonts w:hAnsi="標楷體" w:hint="eastAsia"/>
          <w:b w:val="0"/>
          <w:color w:val="000000" w:themeColor="text1"/>
          <w:sz w:val="24"/>
        </w:rPr>
        <w:t>113</w:t>
      </w:r>
      <w:proofErr w:type="gramEnd"/>
      <w:r>
        <w:rPr>
          <w:rFonts w:hAnsi="標楷體" w:hint="eastAsia"/>
          <w:b w:val="0"/>
          <w:color w:val="000000" w:themeColor="text1"/>
          <w:sz w:val="24"/>
        </w:rPr>
        <w:t>年度系列活動串聯該局舉辦多年之</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北爵士音樂節結果，實際參與人次僅20,010人次，較</w:t>
      </w:r>
      <w:proofErr w:type="gramStart"/>
      <w:r>
        <w:rPr>
          <w:rFonts w:hAnsi="標楷體" w:hint="eastAsia"/>
          <w:b w:val="0"/>
          <w:color w:val="000000" w:themeColor="text1"/>
          <w:sz w:val="24"/>
        </w:rPr>
        <w:t>112</w:t>
      </w:r>
      <w:proofErr w:type="gramEnd"/>
      <w:r>
        <w:rPr>
          <w:rFonts w:hAnsi="標楷體" w:hint="eastAsia"/>
          <w:b w:val="0"/>
          <w:color w:val="000000" w:themeColor="text1"/>
          <w:sz w:val="24"/>
        </w:rPr>
        <w:t>年度之26,060人次減少23.22％，串聯活動展演效果仍待提升；2.該局為落實潮</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北「演唱會經濟」核心政策目標，串聯</w:t>
      </w:r>
      <w:proofErr w:type="gramStart"/>
      <w:r>
        <w:rPr>
          <w:rFonts w:hAnsi="標楷體" w:hint="eastAsia"/>
          <w:b w:val="0"/>
          <w:color w:val="000000" w:themeColor="text1"/>
          <w:sz w:val="24"/>
        </w:rPr>
        <w:t>臺</w:t>
      </w:r>
      <w:proofErr w:type="gramEnd"/>
      <w:r>
        <w:rPr>
          <w:rFonts w:hAnsi="標楷體" w:hint="eastAsia"/>
          <w:b w:val="0"/>
          <w:color w:val="000000" w:themeColor="text1"/>
          <w:sz w:val="24"/>
        </w:rPr>
        <w:t xml:space="preserve">北流行音樂中心（下稱北流中心）舉辦之售票「JAM </w:t>
      </w:r>
      <w:proofErr w:type="spellStart"/>
      <w:r>
        <w:rPr>
          <w:rFonts w:hAnsi="標楷體" w:hint="eastAsia"/>
          <w:b w:val="0"/>
          <w:color w:val="000000" w:themeColor="text1"/>
          <w:sz w:val="24"/>
        </w:rPr>
        <w:t>JAM</w:t>
      </w:r>
      <w:proofErr w:type="spellEnd"/>
      <w:r>
        <w:rPr>
          <w:rFonts w:hAnsi="標楷體" w:hint="eastAsia"/>
          <w:b w:val="0"/>
          <w:color w:val="000000" w:themeColor="text1"/>
          <w:sz w:val="24"/>
        </w:rPr>
        <w:t xml:space="preserve"> ASIA音樂節」，為潮</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北音樂系列活動之大型演唱會，計有5個</w:t>
      </w:r>
      <w:proofErr w:type="gramStart"/>
      <w:r>
        <w:rPr>
          <w:rFonts w:hAnsi="標楷體" w:hint="eastAsia"/>
          <w:b w:val="0"/>
          <w:color w:val="000000" w:themeColor="text1"/>
          <w:sz w:val="24"/>
        </w:rPr>
        <w:t>舞臺供逾50組</w:t>
      </w:r>
      <w:proofErr w:type="gramEnd"/>
      <w:r>
        <w:rPr>
          <w:rFonts w:hAnsi="標楷體" w:hint="eastAsia"/>
          <w:b w:val="0"/>
          <w:color w:val="000000" w:themeColor="text1"/>
          <w:sz w:val="24"/>
        </w:rPr>
        <w:t>之國、內外音樂人演出，擬打造專屬於臺北市之都會型國際音樂節，惟因未能及早籌備企劃活動及加強行銷宣傳，實際僅售票4,431張，</w:t>
      </w:r>
      <w:proofErr w:type="gramStart"/>
      <w:r>
        <w:rPr>
          <w:rFonts w:hAnsi="標楷體" w:hint="eastAsia"/>
          <w:b w:val="0"/>
          <w:color w:val="000000" w:themeColor="text1"/>
          <w:sz w:val="24"/>
        </w:rPr>
        <w:t>占原預計</w:t>
      </w:r>
      <w:proofErr w:type="gramEnd"/>
      <w:r>
        <w:rPr>
          <w:rFonts w:hAnsi="標楷體" w:hint="eastAsia"/>
          <w:b w:val="0"/>
          <w:color w:val="000000" w:themeColor="text1"/>
          <w:sz w:val="24"/>
        </w:rPr>
        <w:t>銷售目標值10,311張之42.97％，且其中有1,560張係由該局以公務預算191萬餘元購入，作為推廣潮</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北演唱會業務之用，售票成績未盡理想等情事，經函請</w:t>
      </w:r>
      <w:proofErr w:type="gramStart"/>
      <w:r>
        <w:rPr>
          <w:rFonts w:hAnsi="標楷體" w:hint="eastAsia"/>
          <w:b w:val="0"/>
          <w:color w:val="000000" w:themeColor="text1"/>
          <w:sz w:val="24"/>
        </w:rPr>
        <w:t>研</w:t>
      </w:r>
      <w:proofErr w:type="gramEnd"/>
      <w:r>
        <w:rPr>
          <w:rFonts w:hAnsi="標楷體" w:hint="eastAsia"/>
          <w:b w:val="0"/>
          <w:color w:val="000000" w:themeColor="text1"/>
          <w:sz w:val="24"/>
        </w:rPr>
        <w:t>謀改善。據復</w:t>
      </w:r>
      <w:r>
        <w:rPr>
          <w:rFonts w:ascii="新細明體" w:eastAsia="新細明體" w:hAnsi="新細明體" w:hint="eastAsia"/>
          <w:b w:val="0"/>
          <w:color w:val="000000" w:themeColor="text1"/>
          <w:sz w:val="24"/>
        </w:rPr>
        <w:t>：</w:t>
      </w:r>
      <w:r>
        <w:rPr>
          <w:rFonts w:hAnsi="標楷體" w:hint="eastAsia"/>
          <w:b w:val="0"/>
          <w:color w:val="000000" w:themeColor="text1"/>
          <w:sz w:val="24"/>
        </w:rPr>
        <w:t>1.已提前規劃</w:t>
      </w:r>
      <w:proofErr w:type="gramStart"/>
      <w:r>
        <w:rPr>
          <w:rFonts w:hAnsi="標楷體" w:hint="eastAsia"/>
          <w:b w:val="0"/>
          <w:color w:val="000000" w:themeColor="text1"/>
          <w:sz w:val="24"/>
        </w:rPr>
        <w:t>114</w:t>
      </w:r>
      <w:proofErr w:type="gramEnd"/>
      <w:r>
        <w:rPr>
          <w:rFonts w:hAnsi="標楷體" w:hint="eastAsia"/>
          <w:b w:val="0"/>
          <w:color w:val="000000" w:themeColor="text1"/>
          <w:sz w:val="24"/>
        </w:rPr>
        <w:t>年度潮</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北活動主題與核心概念，強化子議題之設定，以利各系列活動相互呼應、整體融合，進而貫徹活動理念與品牌精神，並以「TRENDY TAIPEI：IT'S NOW」為題，期透過不斷擾動、持續創新，並將強化行銷、互相串聯各系列活動，以展現</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北的文化驅動力，打造出國際都會型音樂節；2.</w:t>
      </w:r>
      <w:proofErr w:type="gramStart"/>
      <w:r>
        <w:rPr>
          <w:rFonts w:hAnsi="標楷體" w:hint="eastAsia"/>
          <w:b w:val="0"/>
          <w:color w:val="000000" w:themeColor="text1"/>
          <w:sz w:val="24"/>
        </w:rPr>
        <w:t>北流中心</w:t>
      </w:r>
      <w:proofErr w:type="gramEnd"/>
      <w:r>
        <w:rPr>
          <w:rFonts w:hAnsi="標楷體" w:hint="eastAsia"/>
          <w:b w:val="0"/>
          <w:color w:val="000000" w:themeColor="text1"/>
          <w:sz w:val="24"/>
        </w:rPr>
        <w:t xml:space="preserve">預計於114年8月辦理114年JAM </w:t>
      </w:r>
      <w:proofErr w:type="spellStart"/>
      <w:r>
        <w:rPr>
          <w:rFonts w:hAnsi="標楷體" w:hint="eastAsia"/>
          <w:b w:val="0"/>
          <w:color w:val="000000" w:themeColor="text1"/>
          <w:sz w:val="24"/>
        </w:rPr>
        <w:t>JAM</w:t>
      </w:r>
      <w:proofErr w:type="spellEnd"/>
      <w:r>
        <w:rPr>
          <w:rFonts w:hAnsi="標楷體" w:hint="eastAsia"/>
          <w:b w:val="0"/>
          <w:color w:val="000000" w:themeColor="text1"/>
          <w:sz w:val="24"/>
        </w:rPr>
        <w:t xml:space="preserve"> ASIA亞洲音樂節，首度組成5位</w:t>
      </w:r>
      <w:proofErr w:type="gramStart"/>
      <w:r>
        <w:rPr>
          <w:rFonts w:hAnsi="標楷體" w:hint="eastAsia"/>
          <w:b w:val="0"/>
          <w:color w:val="000000" w:themeColor="text1"/>
          <w:sz w:val="24"/>
        </w:rPr>
        <w:t>跨界策展</w:t>
      </w:r>
      <w:proofErr w:type="gramEnd"/>
      <w:r>
        <w:rPr>
          <w:rFonts w:hAnsi="標楷體" w:hint="eastAsia"/>
          <w:b w:val="0"/>
          <w:color w:val="000000" w:themeColor="text1"/>
          <w:sz w:val="24"/>
        </w:rPr>
        <w:t>人團隊，將以亞洲流行音樂為核心，邀請來自亞太10國，超過50組歌手輪番登台，以呈現亞洲音樂的豐富樣貌，並已提前於114年5月7日辦理記者會，及妥為規劃波段行銷方案，期增加該音樂節銷售成果。</w:t>
      </w:r>
    </w:p>
    <w:p w14:paraId="46B625F5" w14:textId="77777777" w:rsidR="00436738" w:rsidRDefault="00436738" w:rsidP="00436738">
      <w:pPr>
        <w:pStyle w:val="04"/>
        <w:widowControl w:val="0"/>
        <w:suppressAutoHyphens w:val="0"/>
        <w:spacing w:beforeLines="20" w:before="72" w:afterLines="20" w:after="72" w:line="420" w:lineRule="exact"/>
        <w:ind w:firstLine="272"/>
        <w:rPr>
          <w:rFonts w:hAnsi="標楷體"/>
          <w:spacing w:val="-4"/>
          <w:szCs w:val="28"/>
          <w:highlight w:val="yellow"/>
        </w:rPr>
      </w:pPr>
      <w:r>
        <w:rPr>
          <w:rFonts w:hAnsi="標楷體" w:hint="eastAsia"/>
          <w:spacing w:val="-4"/>
          <w:szCs w:val="28"/>
        </w:rPr>
        <w:t>（二）持續舉辦白晝之夜及</w:t>
      </w:r>
      <w:proofErr w:type="gramStart"/>
      <w:r>
        <w:rPr>
          <w:rFonts w:hAnsi="標楷體" w:hint="eastAsia"/>
          <w:spacing w:val="-4"/>
          <w:szCs w:val="28"/>
        </w:rPr>
        <w:t>臺</w:t>
      </w:r>
      <w:proofErr w:type="gramEnd"/>
      <w:r>
        <w:rPr>
          <w:rFonts w:hAnsi="標楷體" w:hint="eastAsia"/>
          <w:spacing w:val="-4"/>
          <w:szCs w:val="28"/>
        </w:rPr>
        <w:t>北數位藝術節，提升市民文化素養，並累積</w:t>
      </w:r>
      <w:proofErr w:type="gramStart"/>
      <w:r>
        <w:rPr>
          <w:rFonts w:hAnsi="標楷體" w:hint="eastAsia"/>
          <w:spacing w:val="-4"/>
          <w:szCs w:val="28"/>
        </w:rPr>
        <w:t>固定觀</w:t>
      </w:r>
      <w:proofErr w:type="gramEnd"/>
      <w:r>
        <w:rPr>
          <w:rFonts w:hAnsi="標楷體" w:hint="eastAsia"/>
          <w:spacing w:val="-4"/>
          <w:szCs w:val="28"/>
        </w:rPr>
        <w:t>展群眾，惟113年策展結果，</w:t>
      </w:r>
      <w:proofErr w:type="gramStart"/>
      <w:r>
        <w:rPr>
          <w:rFonts w:hAnsi="標楷體" w:hint="eastAsia"/>
          <w:spacing w:val="-4"/>
          <w:szCs w:val="28"/>
        </w:rPr>
        <w:t>間有策</w:t>
      </w:r>
      <w:proofErr w:type="gramEnd"/>
      <w:r>
        <w:rPr>
          <w:rFonts w:hAnsi="標楷體" w:hint="eastAsia"/>
          <w:spacing w:val="-4"/>
          <w:szCs w:val="28"/>
        </w:rPr>
        <w:t>展規劃及藝術內容未符民眾期待，或業者自發響應家數及觀展人次大幅減少等情，有待積極檢討改善，以強化藝文活動品牌影響力。</w:t>
      </w:r>
    </w:p>
    <w:p w14:paraId="54DB08F6" w14:textId="77777777" w:rsidR="00436738" w:rsidRDefault="00436738" w:rsidP="00436738">
      <w:pPr>
        <w:pStyle w:val="04"/>
        <w:spacing w:before="0" w:line="420" w:lineRule="exact"/>
        <w:ind w:firstLineChars="200" w:firstLine="480"/>
        <w:rPr>
          <w:rFonts w:hAnsi="標楷體"/>
          <w:b w:val="0"/>
          <w:color w:val="000000" w:themeColor="text1"/>
          <w:sz w:val="24"/>
        </w:rPr>
      </w:pPr>
      <w:r>
        <w:rPr>
          <w:rFonts w:hAnsi="標楷體" w:hint="eastAsia"/>
          <w:b w:val="0"/>
          <w:color w:val="000000" w:themeColor="text1"/>
          <w:sz w:val="24"/>
        </w:rPr>
        <w:t>文化局為促進數位藝術發展，及響應巴黎創辦「白晝之夜」之全城藝術概念，分別自95及105年起補助或自辦</w:t>
      </w:r>
      <w:proofErr w:type="gramStart"/>
      <w:r>
        <w:rPr>
          <w:rFonts w:hAnsi="標楷體" w:hint="eastAsia"/>
          <w:b w:val="0"/>
          <w:color w:val="000000" w:themeColor="text1"/>
          <w:sz w:val="24"/>
        </w:rPr>
        <w:t>臺</w:t>
      </w:r>
      <w:proofErr w:type="gramEnd"/>
      <w:r>
        <w:rPr>
          <w:rFonts w:hAnsi="標楷體" w:hint="eastAsia"/>
          <w:b w:val="0"/>
          <w:color w:val="000000" w:themeColor="text1"/>
          <w:sz w:val="24"/>
        </w:rPr>
        <w:t>北數位藝術節（下稱數位藝術節）及</w:t>
      </w:r>
      <w:proofErr w:type="gramStart"/>
      <w:r>
        <w:rPr>
          <w:rFonts w:hAnsi="標楷體" w:hint="eastAsia"/>
          <w:b w:val="0"/>
          <w:color w:val="000000" w:themeColor="text1"/>
          <w:sz w:val="24"/>
        </w:rPr>
        <w:t>臺</w:t>
      </w:r>
      <w:proofErr w:type="gramEnd"/>
      <w:r>
        <w:rPr>
          <w:rFonts w:hAnsi="標楷體" w:hint="eastAsia"/>
          <w:b w:val="0"/>
          <w:color w:val="000000" w:themeColor="text1"/>
          <w:sz w:val="24"/>
        </w:rPr>
        <w:t xml:space="preserve">北白晝之夜（下稱白晝之夜）等藝文活動，已累積相當之經驗及口碑。近3（111至113）年度該局每年分別於臺北市文化設施發展基金或公務預算平均編列700萬元及1,217萬餘元經費，辦理前開藝文活動。經查執行情形，核有下列事項： </w:t>
      </w:r>
    </w:p>
    <w:p w14:paraId="069E02B8" w14:textId="77777777" w:rsidR="00AE147C" w:rsidRDefault="00436738" w:rsidP="00436738">
      <w:pPr>
        <w:pStyle w:val="04"/>
        <w:spacing w:beforeLines="10" w:before="36" w:line="420" w:lineRule="exact"/>
        <w:ind w:firstLineChars="200" w:firstLine="480"/>
        <w:rPr>
          <w:rFonts w:hAnsi="標楷體"/>
          <w:b w:val="0"/>
          <w:bCs/>
          <w:color w:val="000000" w:themeColor="text1"/>
          <w:sz w:val="24"/>
        </w:rPr>
      </w:pPr>
      <w:r>
        <w:rPr>
          <w:rFonts w:hAnsi="標楷體" w:hint="eastAsia"/>
          <w:color w:val="000000" w:themeColor="text1"/>
          <w:sz w:val="24"/>
        </w:rPr>
        <w:t>1.113年度舉辦白晝之夜活動，吸引40萬餘人次參與，惟整體策展內容未達民眾期待，且民間業者自發響應家數大幅減少：</w:t>
      </w:r>
      <w:r>
        <w:rPr>
          <w:rFonts w:hAnsi="標楷體" w:hint="eastAsia"/>
          <w:b w:val="0"/>
          <w:bCs/>
          <w:color w:val="000000" w:themeColor="text1"/>
          <w:sz w:val="24"/>
        </w:rPr>
        <w:t>依文化局「2024</w:t>
      </w:r>
      <w:proofErr w:type="gramStart"/>
      <w:r>
        <w:rPr>
          <w:rFonts w:hAnsi="標楷體" w:hint="eastAsia"/>
          <w:b w:val="0"/>
          <w:bCs/>
          <w:color w:val="000000" w:themeColor="text1"/>
          <w:sz w:val="24"/>
        </w:rPr>
        <w:t>臺</w:t>
      </w:r>
      <w:proofErr w:type="gramEnd"/>
      <w:r>
        <w:rPr>
          <w:rFonts w:hAnsi="標楷體" w:hint="eastAsia"/>
          <w:b w:val="0"/>
          <w:bCs/>
          <w:color w:val="000000" w:themeColor="text1"/>
          <w:sz w:val="24"/>
        </w:rPr>
        <w:t>北白晝之夜執行統籌」勞務採購契約書所</w:t>
      </w:r>
    </w:p>
    <w:p w14:paraId="71F3A0DA" w14:textId="08D8F790" w:rsidR="00436738" w:rsidRDefault="00436738" w:rsidP="00AE147C">
      <w:pPr>
        <w:pStyle w:val="04"/>
        <w:spacing w:beforeLines="10" w:before="36" w:line="420" w:lineRule="exact"/>
        <w:ind w:firstLineChars="0" w:firstLine="0"/>
        <w:rPr>
          <w:rFonts w:hAnsi="標楷體"/>
          <w:color w:val="000000" w:themeColor="text1"/>
          <w:sz w:val="24"/>
        </w:rPr>
      </w:pPr>
      <w:r>
        <w:rPr>
          <w:rFonts w:hAnsi="標楷體" w:hint="eastAsia"/>
          <w:b w:val="0"/>
          <w:bCs/>
          <w:color w:val="000000" w:themeColor="text1"/>
          <w:sz w:val="24"/>
        </w:rPr>
        <w:lastRenderedPageBreak/>
        <w:t>附實施計畫</w:t>
      </w:r>
      <w:proofErr w:type="gramStart"/>
      <w:r>
        <w:rPr>
          <w:rFonts w:hAnsi="標楷體" w:hint="eastAsia"/>
          <w:b w:val="0"/>
          <w:bCs/>
          <w:color w:val="000000" w:themeColor="text1"/>
          <w:sz w:val="24"/>
        </w:rPr>
        <w:t>肆</w:t>
      </w:r>
      <w:proofErr w:type="gramEnd"/>
      <w:r>
        <w:rPr>
          <w:rFonts w:hAnsi="標楷體" w:hint="eastAsia"/>
          <w:b w:val="0"/>
          <w:bCs/>
          <w:color w:val="000000" w:themeColor="text1"/>
          <w:sz w:val="24"/>
        </w:rPr>
        <w:t>規定，辦理白晝之夜活動須符合「免費」、「夜間辦理」及「創新」等三原則，並考量國際化提升觀光效益，及強調在地化之參與，暨與地方文史產業串聯等目的。經查執行情形，</w:t>
      </w:r>
      <w:r w:rsidR="006F1C53">
        <w:rPr>
          <w:rFonts w:hint="eastAsia"/>
          <w:noProof/>
        </w:rPr>
        <mc:AlternateContent>
          <mc:Choice Requires="wps">
            <w:drawing>
              <wp:anchor distT="0" distB="0" distL="114300" distR="114300" simplePos="0" relativeHeight="251714560" behindDoc="1" locked="0" layoutInCell="1" allowOverlap="1" wp14:anchorId="492136ED" wp14:editId="3589EA5C">
                <wp:simplePos x="0" y="0"/>
                <wp:positionH relativeFrom="margin">
                  <wp:posOffset>2303061</wp:posOffset>
                </wp:positionH>
                <wp:positionV relativeFrom="page">
                  <wp:posOffset>1544128</wp:posOffset>
                </wp:positionV>
                <wp:extent cx="3997325" cy="1775460"/>
                <wp:effectExtent l="0" t="0" r="3175" b="0"/>
                <wp:wrapTight wrapText="bothSides">
                  <wp:wrapPolygon edited="0">
                    <wp:start x="0" y="0"/>
                    <wp:lineTo x="0" y="21322"/>
                    <wp:lineTo x="21514" y="21322"/>
                    <wp:lineTo x="21514" y="0"/>
                    <wp:lineTo x="0" y="0"/>
                  </wp:wrapPolygon>
                </wp:wrapTight>
                <wp:docPr id="55" name="矩形 55"/>
                <wp:cNvGraphicFramePr/>
                <a:graphic xmlns:a="http://schemas.openxmlformats.org/drawingml/2006/main">
                  <a:graphicData uri="http://schemas.microsoft.com/office/word/2010/wordprocessingShape">
                    <wps:wsp>
                      <wps:cNvSpPr/>
                      <wps:spPr>
                        <a:xfrm>
                          <a:off x="0" y="0"/>
                          <a:ext cx="3997325" cy="1775460"/>
                        </a:xfrm>
                        <a:prstGeom prst="rect">
                          <a:avLst/>
                        </a:prstGeom>
                        <a:solidFill>
                          <a:sysClr val="window" lastClr="FFFFFF"/>
                        </a:solidFill>
                        <a:ln w="12700" cap="flat" cmpd="sng" algn="ctr">
                          <a:noFill/>
                          <a:prstDash val="solid"/>
                          <a:miter lim="800000"/>
                        </a:ln>
                        <a:effectLst/>
                      </wps:spPr>
                      <wps:txbx>
                        <w:txbxContent>
                          <w:p w14:paraId="2B8A9BC0" w14:textId="55FE6FAC" w:rsidR="00436738" w:rsidRDefault="00436738" w:rsidP="00436738">
                            <w:pPr>
                              <w:spacing w:line="280" w:lineRule="exact"/>
                              <w:jc w:val="center"/>
                              <w:rPr>
                                <w:rFonts w:ascii="標楷體" w:eastAsia="標楷體" w:hAnsi="標楷體"/>
                                <w:b/>
                                <w:szCs w:val="24"/>
                              </w:rPr>
                            </w:pPr>
                            <w:r>
                              <w:rPr>
                                <w:rFonts w:ascii="標楷體" w:eastAsia="標楷體" w:hAnsi="標楷體" w:hint="eastAsia"/>
                                <w:b/>
                                <w:szCs w:val="24"/>
                              </w:rPr>
                              <w:t>表2</w:t>
                            </w:r>
                            <w:r w:rsidR="006F1C53">
                              <w:rPr>
                                <w:rFonts w:ascii="標楷體" w:eastAsia="標楷體" w:hAnsi="標楷體" w:hint="eastAsia"/>
                                <w:b/>
                                <w:szCs w:val="24"/>
                              </w:rPr>
                              <w:t xml:space="preserve">　</w:t>
                            </w:r>
                            <w:r>
                              <w:rPr>
                                <w:rFonts w:ascii="標楷體" w:eastAsia="標楷體" w:hAnsi="標楷體" w:hint="eastAsia"/>
                                <w:b/>
                                <w:szCs w:val="24"/>
                              </w:rPr>
                              <w:t>白晝之夜活動經費及執行情形</w:t>
                            </w:r>
                          </w:p>
                          <w:p w14:paraId="7F85DF00" w14:textId="77777777" w:rsidR="00436738" w:rsidRDefault="00436738" w:rsidP="00436738">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單位：新臺幣千元、件</w:t>
                            </w:r>
                            <w:r>
                              <w:rPr>
                                <w:rFonts w:ascii="標楷體" w:eastAsia="標楷體" w:hAnsi="標楷體" w:cs="新細明體" w:hint="eastAsia"/>
                                <w:color w:val="000000"/>
                                <w:spacing w:val="-34"/>
                                <w:kern w:val="0"/>
                                <w:sz w:val="20"/>
                              </w:rPr>
                              <w:t>／</w:t>
                            </w:r>
                            <w:r>
                              <w:rPr>
                                <w:rFonts w:ascii="標楷體" w:eastAsia="標楷體" w:hAnsi="標楷體" w:cs="新細明體" w:hint="eastAsia"/>
                                <w:color w:val="000000"/>
                                <w:kern w:val="0"/>
                                <w:sz w:val="20"/>
                              </w:rPr>
                              <w:t>場、％</w:t>
                            </w:r>
                          </w:p>
                          <w:tbl>
                            <w:tblPr>
                              <w:tblW w:w="6090" w:type="dxa"/>
                              <w:tblInd w:w="-5" w:type="dxa"/>
                              <w:tblLayout w:type="fixed"/>
                              <w:tblCellMar>
                                <w:left w:w="28" w:type="dxa"/>
                                <w:right w:w="28" w:type="dxa"/>
                              </w:tblCellMar>
                              <w:tblLook w:val="04A0" w:firstRow="1" w:lastRow="0" w:firstColumn="1" w:lastColumn="0" w:noHBand="0" w:noVBand="1"/>
                            </w:tblPr>
                            <w:tblGrid>
                              <w:gridCol w:w="567"/>
                              <w:gridCol w:w="709"/>
                              <w:gridCol w:w="567"/>
                              <w:gridCol w:w="707"/>
                              <w:gridCol w:w="708"/>
                              <w:gridCol w:w="708"/>
                              <w:gridCol w:w="708"/>
                              <w:gridCol w:w="708"/>
                              <w:gridCol w:w="708"/>
                            </w:tblGrid>
                            <w:tr w:rsidR="00436738" w14:paraId="372FDCC7" w14:textId="77777777">
                              <w:trPr>
                                <w:trHeight w:hRule="exact" w:val="510"/>
                              </w:trPr>
                              <w:tc>
                                <w:tcPr>
                                  <w:tcW w:w="567" w:type="dxa"/>
                                  <w:vMerge w:val="restart"/>
                                  <w:tcBorders>
                                    <w:top w:val="single" w:sz="4" w:space="0" w:color="auto"/>
                                    <w:left w:val="single" w:sz="4" w:space="0" w:color="auto"/>
                                    <w:bottom w:val="single" w:sz="4" w:space="0" w:color="auto"/>
                                    <w:right w:val="single" w:sz="4" w:space="0" w:color="auto"/>
                                  </w:tcBorders>
                                  <w:noWrap/>
                                  <w:vAlign w:val="center"/>
                                  <w:hideMark/>
                                </w:tcPr>
                                <w:p w14:paraId="4DC9036D" w14:textId="77777777" w:rsidR="00436738" w:rsidRDefault="00436738">
                                  <w:pPr>
                                    <w:widowControl/>
                                    <w:spacing w:line="240" w:lineRule="exact"/>
                                    <w:ind w:leftChars="10" w:left="24" w:rightChars="10" w:right="2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33955353" w14:textId="77777777" w:rsidR="00436738" w:rsidRDefault="00436738">
                                  <w:pPr>
                                    <w:widowControl/>
                                    <w:spacing w:line="240" w:lineRule="exact"/>
                                    <w:ind w:leftChars="10" w:left="24" w:rightChars="10" w:right="2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委外</w:t>
                                  </w:r>
                                </w:p>
                                <w:p w14:paraId="02AA721F" w14:textId="77777777" w:rsidR="00436738" w:rsidRDefault="00436738">
                                  <w:pPr>
                                    <w:widowControl/>
                                    <w:spacing w:line="240" w:lineRule="exact"/>
                                    <w:ind w:leftChars="10" w:left="24" w:rightChars="10" w:right="2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w:t>
                                  </w:r>
                                </w:p>
                                <w:p w14:paraId="5FE8B001" w14:textId="77777777" w:rsidR="00436738" w:rsidRDefault="00436738">
                                  <w:pPr>
                                    <w:widowControl/>
                                    <w:spacing w:line="240" w:lineRule="exact"/>
                                    <w:ind w:leftChars="10" w:left="24" w:rightChars="10" w:right="2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經費</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7CB4FEAA" w14:textId="77777777" w:rsidR="00436738" w:rsidRDefault="00436738">
                                  <w:pPr>
                                    <w:widowControl/>
                                    <w:spacing w:line="240" w:lineRule="exact"/>
                                    <w:ind w:leftChars="-10" w:left="-24" w:rightChars="10" w:right="24"/>
                                    <w:jc w:val="distribute"/>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合計</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69AAA9B" w14:textId="77777777" w:rsidR="00436738" w:rsidRDefault="00436738">
                                  <w:pPr>
                                    <w:widowControl/>
                                    <w:spacing w:line="240" w:lineRule="exact"/>
                                    <w:ind w:leftChars="-10" w:left="-24" w:rightChars="10" w:right="24"/>
                                    <w:jc w:val="distribute"/>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夜間裝置</w:t>
                                  </w:r>
                                </w:p>
                                <w:p w14:paraId="368FD70C" w14:textId="77777777" w:rsidR="00436738" w:rsidRDefault="00436738">
                                  <w:pPr>
                                    <w:widowControl/>
                                    <w:spacing w:line="240" w:lineRule="exact"/>
                                    <w:ind w:leftChars="-10" w:left="-24" w:rightChars="10" w:right="24"/>
                                    <w:jc w:val="distribute"/>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藝術作品</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4739BFED" w14:textId="77777777" w:rsidR="00436738" w:rsidRDefault="00436738">
                                  <w:pPr>
                                    <w:widowControl/>
                                    <w:spacing w:line="240" w:lineRule="exact"/>
                                    <w:ind w:leftChars="-10" w:left="-24" w:rightChars="10" w:right="24"/>
                                    <w:jc w:val="distribute"/>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表演藝術作品</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0D84B567" w14:textId="77777777" w:rsidR="00436738" w:rsidRDefault="00436738">
                                  <w:pPr>
                                    <w:widowControl/>
                                    <w:spacing w:line="240" w:lineRule="exact"/>
                                    <w:ind w:leftChars="-10" w:left="-24" w:rightChars="10" w:right="24"/>
                                    <w:jc w:val="distribute"/>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其他活動</w:t>
                                  </w:r>
                                </w:p>
                              </w:tc>
                            </w:tr>
                            <w:tr w:rsidR="00436738" w14:paraId="6B841B40" w14:textId="77777777">
                              <w:trPr>
                                <w:trHeight w:hRule="exact" w:val="3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42358626" w14:textId="77777777" w:rsidR="00436738" w:rsidRDefault="00436738">
                                  <w:pPr>
                                    <w:widowControl/>
                                    <w:rPr>
                                      <w:rFonts w:ascii="標楷體" w:eastAsia="標楷體" w:hAnsi="標楷體" w:cs="新細明體"/>
                                      <w:color w:val="000000"/>
                                      <w:kern w:val="0"/>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684110" w14:textId="77777777" w:rsidR="00436738" w:rsidRDefault="00436738">
                                  <w:pPr>
                                    <w:widowControl/>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C94D3D0" w14:textId="77777777" w:rsidR="00436738" w:rsidRDefault="00436738">
                                  <w:pPr>
                                    <w:widowControl/>
                                    <w:rPr>
                                      <w:rFonts w:ascii="標楷體" w:eastAsia="標楷體" w:hAnsi="標楷體" w:cs="新細明體"/>
                                      <w:color w:val="000000"/>
                                      <w:spacing w:val="-20"/>
                                      <w:kern w:val="0"/>
                                      <w:sz w:val="20"/>
                                    </w:rPr>
                                  </w:pP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648E9399"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數量</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CC147E5"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占比</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DF00AF0"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數量</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CE05E7E"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占比</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69608A6"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數量</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D6B253"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占比</w:t>
                                  </w:r>
                                </w:p>
                              </w:tc>
                            </w:tr>
                            <w:tr w:rsidR="00436738" w14:paraId="20823961" w14:textId="77777777">
                              <w:trPr>
                                <w:trHeight w:hRule="exact" w:val="340"/>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46166541" w14:textId="77777777" w:rsidR="00436738" w:rsidRDefault="00436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43743F4"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11,500 </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36E393" w14:textId="77777777" w:rsidR="00436738" w:rsidRDefault="00436738">
                                  <w:pPr>
                                    <w:widowControl/>
                                    <w:spacing w:line="28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81</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4FC54283"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D9579B3"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24.69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A6AA743"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48</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89F8A01"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59.26</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B7E524F"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28639C"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16.05</w:t>
                                  </w:r>
                                </w:p>
                              </w:tc>
                            </w:tr>
                            <w:tr w:rsidR="00436738" w14:paraId="6C814B94" w14:textId="77777777">
                              <w:trPr>
                                <w:trHeight w:hRule="exact" w:val="340"/>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3EE012AF" w14:textId="77777777" w:rsidR="00436738" w:rsidRDefault="00436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5399240"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11,500 </w:t>
                                  </w:r>
                                </w:p>
                              </w:tc>
                              <w:tc>
                                <w:tcPr>
                                  <w:tcW w:w="567" w:type="dxa"/>
                                  <w:tcBorders>
                                    <w:top w:val="single" w:sz="4" w:space="0" w:color="auto"/>
                                    <w:left w:val="single" w:sz="4" w:space="0" w:color="auto"/>
                                    <w:bottom w:val="single" w:sz="4" w:space="0" w:color="auto"/>
                                    <w:right w:val="single" w:sz="4" w:space="0" w:color="auto"/>
                                  </w:tcBorders>
                                  <w:vAlign w:val="center"/>
                                  <w:hideMark/>
                                </w:tcPr>
                                <w:p w14:paraId="7CAC7072" w14:textId="77777777" w:rsidR="00436738" w:rsidRDefault="00436738">
                                  <w:pPr>
                                    <w:widowControl/>
                                    <w:spacing w:line="28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76</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7E62C563"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E3B7076"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28.95</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9561E55"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54</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7D676F3"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71.05</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99E1A79"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6A77C4"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436738" w14:paraId="79FCD1E5" w14:textId="77777777">
                              <w:trPr>
                                <w:trHeight w:hRule="exact" w:val="340"/>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373D6182" w14:textId="77777777" w:rsidR="00436738" w:rsidRDefault="00436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8D27717"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13,371 </w:t>
                                  </w:r>
                                </w:p>
                              </w:tc>
                              <w:tc>
                                <w:tcPr>
                                  <w:tcW w:w="567" w:type="dxa"/>
                                  <w:tcBorders>
                                    <w:top w:val="single" w:sz="4" w:space="0" w:color="auto"/>
                                    <w:left w:val="single" w:sz="4" w:space="0" w:color="auto"/>
                                    <w:bottom w:val="single" w:sz="4" w:space="0" w:color="auto"/>
                                    <w:right w:val="single" w:sz="4" w:space="0" w:color="auto"/>
                                  </w:tcBorders>
                                  <w:vAlign w:val="center"/>
                                  <w:hideMark/>
                                </w:tcPr>
                                <w:p w14:paraId="4D2F9668" w14:textId="77777777" w:rsidR="00436738" w:rsidRDefault="00436738">
                                  <w:pPr>
                                    <w:widowControl/>
                                    <w:spacing w:line="28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125</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35A9E095"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11994EF"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5.60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D7388BD"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45</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451946D"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36.00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8B7E44D"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BE3B7D"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58.40</w:t>
                                  </w:r>
                                </w:p>
                              </w:tc>
                            </w:tr>
                          </w:tbl>
                          <w:p w14:paraId="730D33D4" w14:textId="77777777" w:rsidR="00436738" w:rsidRDefault="00436738" w:rsidP="00436738">
                            <w:pPr>
                              <w:widowControl/>
                              <w:spacing w:line="240" w:lineRule="exact"/>
                              <w:rPr>
                                <w:sz w:val="18"/>
                              </w:rPr>
                            </w:pPr>
                            <w:r>
                              <w:rPr>
                                <w:rFonts w:ascii="標楷體" w:eastAsia="標楷體" w:hAnsi="標楷體" w:cs="新細明體" w:hint="eastAsia"/>
                                <w:color w:val="000000"/>
                                <w:kern w:val="0"/>
                                <w:sz w:val="18"/>
                                <w:szCs w:val="18"/>
                              </w:rPr>
                              <w:t>資料來源</w:t>
                            </w:r>
                            <w:r>
                              <w:rPr>
                                <w:rFonts w:ascii="新細明體" w:eastAsia="新細明體" w:hAnsi="新細明體" w:cs="新細明體" w:hint="eastAsia"/>
                                <w:color w:val="000000"/>
                                <w:kern w:val="0"/>
                                <w:sz w:val="18"/>
                                <w:szCs w:val="18"/>
                              </w:rPr>
                              <w:t>：</w:t>
                            </w:r>
                            <w:r>
                              <w:rPr>
                                <w:rFonts w:ascii="標楷體" w:eastAsia="標楷體" w:hAnsi="標楷體" w:cs="新細明體" w:hint="eastAsia"/>
                                <w:color w:val="000000"/>
                                <w:kern w:val="0"/>
                                <w:sz w:val="18"/>
                                <w:szCs w:val="18"/>
                              </w:rPr>
                              <w:t>整理自文化局提供資料。</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2136ED" id="矩形 55" o:spid="_x0000_s1137" style="position:absolute;left:0;text-align:left;margin-left:181.35pt;margin-top:121.6pt;width:314.75pt;height:139.8pt;z-index:-2516019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" fillcolor="window" stroked="f" strokeweight="1pt">
                <v:textbox>
                  <w:txbxContent>
                    <w:p w14:paraId="2B8A9BC0" w14:textId="55FE6FAC" w:rsidR="00436738" w:rsidRDefault="00436738" w:rsidP="00436738">
                      <w:pPr>
                        <w:spacing w:line="280" w:lineRule="exact"/>
                        <w:jc w:val="center"/>
                        <w:rPr>
                          <w:rFonts w:ascii="標楷體" w:eastAsia="標楷體" w:hAnsi="標楷體"/>
                          <w:b/>
                          <w:szCs w:val="24"/>
                        </w:rPr>
                      </w:pPr>
                      <w:r>
                        <w:rPr>
                          <w:rFonts w:ascii="標楷體" w:eastAsia="標楷體" w:hAnsi="標楷體" w:hint="eastAsia"/>
                          <w:b/>
                          <w:szCs w:val="24"/>
                        </w:rPr>
                        <w:t>表2</w:t>
                      </w:r>
                      <w:r w:rsidR="006F1C53">
                        <w:rPr>
                          <w:rFonts w:ascii="標楷體" w:eastAsia="標楷體" w:hAnsi="標楷體" w:hint="eastAsia"/>
                          <w:b/>
                          <w:szCs w:val="24"/>
                        </w:rPr>
                        <w:t xml:space="preserve">　</w:t>
                      </w:r>
                      <w:r>
                        <w:rPr>
                          <w:rFonts w:ascii="標楷體" w:eastAsia="標楷體" w:hAnsi="標楷體" w:hint="eastAsia"/>
                          <w:b/>
                          <w:szCs w:val="24"/>
                        </w:rPr>
                        <w:t>白晝之夜活動經費及執行情形</w:t>
                      </w:r>
                    </w:p>
                    <w:p w14:paraId="7F85DF00" w14:textId="77777777" w:rsidR="00436738" w:rsidRDefault="00436738" w:rsidP="00436738">
                      <w:pPr>
                        <w:widowControl/>
                        <w:spacing w:line="240" w:lineRule="exact"/>
                        <w:ind w:rightChars="-50" w:right="-12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單位：新臺幣千元、件</w:t>
                      </w:r>
                      <w:r>
                        <w:rPr>
                          <w:rFonts w:ascii="標楷體" w:eastAsia="標楷體" w:hAnsi="標楷體" w:cs="新細明體" w:hint="eastAsia"/>
                          <w:color w:val="000000"/>
                          <w:spacing w:val="-34"/>
                          <w:kern w:val="0"/>
                          <w:sz w:val="20"/>
                        </w:rPr>
                        <w:t>／</w:t>
                      </w:r>
                      <w:r>
                        <w:rPr>
                          <w:rFonts w:ascii="標楷體" w:eastAsia="標楷體" w:hAnsi="標楷體" w:cs="新細明體" w:hint="eastAsia"/>
                          <w:color w:val="000000"/>
                          <w:kern w:val="0"/>
                          <w:sz w:val="20"/>
                        </w:rPr>
                        <w:t>場、％</w:t>
                      </w:r>
                    </w:p>
                    <w:tbl>
                      <w:tblPr>
                        <w:tblW w:w="6090" w:type="dxa"/>
                        <w:tblInd w:w="-5" w:type="dxa"/>
                        <w:tblLayout w:type="fixed"/>
                        <w:tblCellMar>
                          <w:left w:w="28" w:type="dxa"/>
                          <w:right w:w="28" w:type="dxa"/>
                        </w:tblCellMar>
                        <w:tblLook w:val="04A0" w:firstRow="1" w:lastRow="0" w:firstColumn="1" w:lastColumn="0" w:noHBand="0" w:noVBand="1"/>
                      </w:tblPr>
                      <w:tblGrid>
                        <w:gridCol w:w="567"/>
                        <w:gridCol w:w="709"/>
                        <w:gridCol w:w="567"/>
                        <w:gridCol w:w="707"/>
                        <w:gridCol w:w="708"/>
                        <w:gridCol w:w="708"/>
                        <w:gridCol w:w="708"/>
                        <w:gridCol w:w="708"/>
                        <w:gridCol w:w="708"/>
                      </w:tblGrid>
                      <w:tr w:rsidR="00436738" w14:paraId="372FDCC7" w14:textId="77777777">
                        <w:trPr>
                          <w:trHeight w:hRule="exact" w:val="510"/>
                        </w:trPr>
                        <w:tc>
                          <w:tcPr>
                            <w:tcW w:w="567" w:type="dxa"/>
                            <w:vMerge w:val="restart"/>
                            <w:tcBorders>
                              <w:top w:val="single" w:sz="4" w:space="0" w:color="auto"/>
                              <w:left w:val="single" w:sz="4" w:space="0" w:color="auto"/>
                              <w:bottom w:val="single" w:sz="4" w:space="0" w:color="auto"/>
                              <w:right w:val="single" w:sz="4" w:space="0" w:color="auto"/>
                            </w:tcBorders>
                            <w:noWrap/>
                            <w:vAlign w:val="center"/>
                            <w:hideMark/>
                          </w:tcPr>
                          <w:p w14:paraId="4DC9036D" w14:textId="77777777" w:rsidR="00436738" w:rsidRDefault="00436738">
                            <w:pPr>
                              <w:widowControl/>
                              <w:spacing w:line="240" w:lineRule="exact"/>
                              <w:ind w:leftChars="10" w:left="24" w:rightChars="10" w:right="2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33955353" w14:textId="77777777" w:rsidR="00436738" w:rsidRDefault="00436738">
                            <w:pPr>
                              <w:widowControl/>
                              <w:spacing w:line="240" w:lineRule="exact"/>
                              <w:ind w:leftChars="10" w:left="24" w:rightChars="10" w:right="2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委外</w:t>
                            </w:r>
                          </w:p>
                          <w:p w14:paraId="02AA721F" w14:textId="77777777" w:rsidR="00436738" w:rsidRDefault="00436738">
                            <w:pPr>
                              <w:widowControl/>
                              <w:spacing w:line="240" w:lineRule="exact"/>
                              <w:ind w:leftChars="10" w:left="24" w:rightChars="10" w:right="2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w:t>
                            </w:r>
                          </w:p>
                          <w:p w14:paraId="5FE8B001" w14:textId="77777777" w:rsidR="00436738" w:rsidRDefault="00436738">
                            <w:pPr>
                              <w:widowControl/>
                              <w:spacing w:line="240" w:lineRule="exact"/>
                              <w:ind w:leftChars="10" w:left="24" w:rightChars="10" w:right="24"/>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經費</w:t>
                            </w:r>
                          </w:p>
                        </w:tc>
                        <w:tc>
                          <w:tcPr>
                            <w:tcW w:w="567" w:type="dxa"/>
                            <w:vMerge w:val="restart"/>
                            <w:tcBorders>
                              <w:top w:val="single" w:sz="4" w:space="0" w:color="auto"/>
                              <w:left w:val="single" w:sz="4" w:space="0" w:color="auto"/>
                              <w:bottom w:val="single" w:sz="4" w:space="0" w:color="auto"/>
                              <w:right w:val="single" w:sz="4" w:space="0" w:color="auto"/>
                            </w:tcBorders>
                            <w:vAlign w:val="center"/>
                            <w:hideMark/>
                          </w:tcPr>
                          <w:p w14:paraId="7CB4FEAA" w14:textId="77777777" w:rsidR="00436738" w:rsidRDefault="00436738">
                            <w:pPr>
                              <w:widowControl/>
                              <w:spacing w:line="240" w:lineRule="exact"/>
                              <w:ind w:leftChars="-10" w:left="-24" w:rightChars="10" w:right="24"/>
                              <w:jc w:val="distribute"/>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合計</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69AAA9B" w14:textId="77777777" w:rsidR="00436738" w:rsidRDefault="00436738">
                            <w:pPr>
                              <w:widowControl/>
                              <w:spacing w:line="240" w:lineRule="exact"/>
                              <w:ind w:leftChars="-10" w:left="-24" w:rightChars="10" w:right="24"/>
                              <w:jc w:val="distribute"/>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夜間裝置</w:t>
                            </w:r>
                          </w:p>
                          <w:p w14:paraId="368FD70C" w14:textId="77777777" w:rsidR="00436738" w:rsidRDefault="00436738">
                            <w:pPr>
                              <w:widowControl/>
                              <w:spacing w:line="240" w:lineRule="exact"/>
                              <w:ind w:leftChars="-10" w:left="-24" w:rightChars="10" w:right="24"/>
                              <w:jc w:val="distribute"/>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藝術作品</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4739BFED" w14:textId="77777777" w:rsidR="00436738" w:rsidRDefault="00436738">
                            <w:pPr>
                              <w:widowControl/>
                              <w:spacing w:line="240" w:lineRule="exact"/>
                              <w:ind w:leftChars="-10" w:left="-24" w:rightChars="10" w:right="24"/>
                              <w:jc w:val="distribute"/>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表演藝術作品</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0D84B567" w14:textId="77777777" w:rsidR="00436738" w:rsidRDefault="00436738">
                            <w:pPr>
                              <w:widowControl/>
                              <w:spacing w:line="240" w:lineRule="exact"/>
                              <w:ind w:leftChars="-10" w:left="-24" w:rightChars="10" w:right="24"/>
                              <w:jc w:val="distribute"/>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其他活動</w:t>
                            </w:r>
                          </w:p>
                        </w:tc>
                      </w:tr>
                      <w:tr w:rsidR="00436738" w14:paraId="6B841B40" w14:textId="77777777">
                        <w:trPr>
                          <w:trHeight w:hRule="exact" w:val="340"/>
                        </w:trPr>
                        <w:tc>
                          <w:tcPr>
                            <w:tcW w:w="567" w:type="dxa"/>
                            <w:vMerge/>
                            <w:tcBorders>
                              <w:top w:val="single" w:sz="4" w:space="0" w:color="auto"/>
                              <w:left w:val="single" w:sz="4" w:space="0" w:color="auto"/>
                              <w:bottom w:val="single" w:sz="4" w:space="0" w:color="auto"/>
                              <w:right w:val="single" w:sz="4" w:space="0" w:color="auto"/>
                            </w:tcBorders>
                            <w:vAlign w:val="center"/>
                            <w:hideMark/>
                          </w:tcPr>
                          <w:p w14:paraId="42358626" w14:textId="77777777" w:rsidR="00436738" w:rsidRDefault="00436738">
                            <w:pPr>
                              <w:widowControl/>
                              <w:rPr>
                                <w:rFonts w:ascii="標楷體" w:eastAsia="標楷體" w:hAnsi="標楷體" w:cs="新細明體"/>
                                <w:color w:val="000000"/>
                                <w:kern w:val="0"/>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684110" w14:textId="77777777" w:rsidR="00436738" w:rsidRDefault="00436738">
                            <w:pPr>
                              <w:widowControl/>
                              <w:rPr>
                                <w:rFonts w:ascii="標楷體" w:eastAsia="標楷體" w:hAnsi="標楷體" w:cs="新細明體"/>
                                <w:color w:val="000000"/>
                                <w:kern w:val="0"/>
                                <w:sz w:val="20"/>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2C94D3D0" w14:textId="77777777" w:rsidR="00436738" w:rsidRDefault="00436738">
                            <w:pPr>
                              <w:widowControl/>
                              <w:rPr>
                                <w:rFonts w:ascii="標楷體" w:eastAsia="標楷體" w:hAnsi="標楷體" w:cs="新細明體"/>
                                <w:color w:val="000000"/>
                                <w:spacing w:val="-20"/>
                                <w:kern w:val="0"/>
                                <w:sz w:val="20"/>
                              </w:rPr>
                            </w:pP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648E9399"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數量</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CC147E5"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占比</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DF00AF0"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數量</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CE05E7E"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占比</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69608A6"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數量</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D6B253" w14:textId="77777777" w:rsidR="00436738" w:rsidRDefault="00436738">
                            <w:pPr>
                              <w:widowControl/>
                              <w:spacing w:line="240" w:lineRule="exact"/>
                              <w:ind w:leftChars="-10" w:left="-24" w:rightChars="20" w:right="48"/>
                              <w:jc w:val="distribute"/>
                              <w:rPr>
                                <w:rFonts w:ascii="標楷體" w:eastAsia="標楷體" w:hAnsi="標楷體" w:cs="新細明體"/>
                                <w:color w:val="000000"/>
                                <w:spacing w:val="-28"/>
                                <w:kern w:val="0"/>
                                <w:sz w:val="20"/>
                              </w:rPr>
                            </w:pPr>
                            <w:r>
                              <w:rPr>
                                <w:rFonts w:ascii="標楷體" w:eastAsia="標楷體" w:hAnsi="標楷體" w:cs="新細明體" w:hint="eastAsia"/>
                                <w:color w:val="000000"/>
                                <w:spacing w:val="-28"/>
                                <w:kern w:val="0"/>
                                <w:sz w:val="20"/>
                              </w:rPr>
                              <w:t>占比</w:t>
                            </w:r>
                          </w:p>
                        </w:tc>
                      </w:tr>
                      <w:tr w:rsidR="00436738" w14:paraId="20823961" w14:textId="77777777">
                        <w:trPr>
                          <w:trHeight w:hRule="exact" w:val="340"/>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46166541" w14:textId="77777777" w:rsidR="00436738" w:rsidRDefault="00436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43743F4"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11,500 </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36E393" w14:textId="77777777" w:rsidR="00436738" w:rsidRDefault="00436738">
                            <w:pPr>
                              <w:widowControl/>
                              <w:spacing w:line="28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81</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4FC54283"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D9579B3"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24.69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A6AA743"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48</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89F8A01"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59.26</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B7E524F"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28639C"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16.05</w:t>
                            </w:r>
                          </w:p>
                        </w:tc>
                      </w:tr>
                      <w:tr w:rsidR="00436738" w14:paraId="6C814B94" w14:textId="77777777">
                        <w:trPr>
                          <w:trHeight w:hRule="exact" w:val="340"/>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3EE012AF" w14:textId="77777777" w:rsidR="00436738" w:rsidRDefault="00436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5399240"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11,500 </w:t>
                            </w:r>
                          </w:p>
                        </w:tc>
                        <w:tc>
                          <w:tcPr>
                            <w:tcW w:w="567" w:type="dxa"/>
                            <w:tcBorders>
                              <w:top w:val="single" w:sz="4" w:space="0" w:color="auto"/>
                              <w:left w:val="single" w:sz="4" w:space="0" w:color="auto"/>
                              <w:bottom w:val="single" w:sz="4" w:space="0" w:color="auto"/>
                              <w:right w:val="single" w:sz="4" w:space="0" w:color="auto"/>
                            </w:tcBorders>
                            <w:vAlign w:val="center"/>
                            <w:hideMark/>
                          </w:tcPr>
                          <w:p w14:paraId="7CAC7072" w14:textId="77777777" w:rsidR="00436738" w:rsidRDefault="00436738">
                            <w:pPr>
                              <w:widowControl/>
                              <w:spacing w:line="28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76</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7E62C563"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E3B7076"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28.95</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9561E55"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54</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7D676F3"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71.05</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99E1A79"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6A77C4"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r>
                      <w:tr w:rsidR="00436738" w14:paraId="79FCD1E5" w14:textId="77777777">
                        <w:trPr>
                          <w:trHeight w:hRule="exact" w:val="340"/>
                        </w:trPr>
                        <w:tc>
                          <w:tcPr>
                            <w:tcW w:w="567" w:type="dxa"/>
                            <w:tcBorders>
                              <w:top w:val="single" w:sz="4" w:space="0" w:color="auto"/>
                              <w:left w:val="single" w:sz="4" w:space="0" w:color="auto"/>
                              <w:bottom w:val="single" w:sz="4" w:space="0" w:color="auto"/>
                              <w:right w:val="single" w:sz="4" w:space="0" w:color="auto"/>
                            </w:tcBorders>
                            <w:noWrap/>
                            <w:vAlign w:val="center"/>
                            <w:hideMark/>
                          </w:tcPr>
                          <w:p w14:paraId="373D6182" w14:textId="77777777" w:rsidR="00436738" w:rsidRDefault="00436738">
                            <w:pPr>
                              <w:widowControl/>
                              <w:spacing w:line="28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48D27717"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13,371 </w:t>
                            </w:r>
                          </w:p>
                        </w:tc>
                        <w:tc>
                          <w:tcPr>
                            <w:tcW w:w="567" w:type="dxa"/>
                            <w:tcBorders>
                              <w:top w:val="single" w:sz="4" w:space="0" w:color="auto"/>
                              <w:left w:val="single" w:sz="4" w:space="0" w:color="auto"/>
                              <w:bottom w:val="single" w:sz="4" w:space="0" w:color="auto"/>
                              <w:right w:val="single" w:sz="4" w:space="0" w:color="auto"/>
                            </w:tcBorders>
                            <w:vAlign w:val="center"/>
                            <w:hideMark/>
                          </w:tcPr>
                          <w:p w14:paraId="4D2F9668" w14:textId="77777777" w:rsidR="00436738" w:rsidRDefault="00436738">
                            <w:pPr>
                              <w:widowControl/>
                              <w:spacing w:line="280" w:lineRule="exact"/>
                              <w:jc w:val="right"/>
                              <w:rPr>
                                <w:rFonts w:ascii="標楷體" w:eastAsia="標楷體" w:hAnsi="標楷體" w:cs="新細明體"/>
                                <w:b/>
                                <w:bCs/>
                                <w:color w:val="000000"/>
                                <w:kern w:val="0"/>
                                <w:sz w:val="20"/>
                              </w:rPr>
                            </w:pPr>
                            <w:r>
                              <w:rPr>
                                <w:rFonts w:ascii="標楷體" w:eastAsia="標楷體" w:hAnsi="標楷體" w:cs="新細明體" w:hint="eastAsia"/>
                                <w:b/>
                                <w:bCs/>
                                <w:color w:val="000000"/>
                                <w:kern w:val="0"/>
                                <w:sz w:val="20"/>
                              </w:rPr>
                              <w:t>125</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35A9E095"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11994EF"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5.60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D7388BD"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45</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451946D"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36.00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8B7E44D"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BE3B7D" w14:textId="77777777" w:rsidR="00436738" w:rsidRDefault="00436738">
                            <w:pPr>
                              <w:widowControl/>
                              <w:spacing w:line="28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58.40</w:t>
                            </w:r>
                          </w:p>
                        </w:tc>
                      </w:tr>
                    </w:tbl>
                    <w:p w14:paraId="730D33D4" w14:textId="77777777" w:rsidR="00436738" w:rsidRDefault="00436738" w:rsidP="00436738">
                      <w:pPr>
                        <w:widowControl/>
                        <w:spacing w:line="240" w:lineRule="exact"/>
                        <w:rPr>
                          <w:sz w:val="18"/>
                        </w:rPr>
                      </w:pPr>
                      <w:r>
                        <w:rPr>
                          <w:rFonts w:ascii="標楷體" w:eastAsia="標楷體" w:hAnsi="標楷體" w:cs="新細明體" w:hint="eastAsia"/>
                          <w:color w:val="000000"/>
                          <w:kern w:val="0"/>
                          <w:sz w:val="18"/>
                          <w:szCs w:val="18"/>
                        </w:rPr>
                        <w:t>資料來源</w:t>
                      </w:r>
                      <w:r>
                        <w:rPr>
                          <w:rFonts w:ascii="新細明體" w:eastAsia="新細明體" w:hAnsi="新細明體" w:cs="新細明體" w:hint="eastAsia"/>
                          <w:color w:val="000000"/>
                          <w:kern w:val="0"/>
                          <w:sz w:val="18"/>
                          <w:szCs w:val="18"/>
                        </w:rPr>
                        <w:t>：</w:t>
                      </w:r>
                      <w:r>
                        <w:rPr>
                          <w:rFonts w:ascii="標楷體" w:eastAsia="標楷體" w:hAnsi="標楷體" w:cs="新細明體" w:hint="eastAsia"/>
                          <w:color w:val="000000"/>
                          <w:kern w:val="0"/>
                          <w:sz w:val="18"/>
                          <w:szCs w:val="18"/>
                        </w:rPr>
                        <w:t>整理自文化局提供資料。</w:t>
                      </w:r>
                    </w:p>
                  </w:txbxContent>
                </v:textbox>
                <w10:wrap type="tight" anchorx="margin" anchory="page"/>
              </v:rect>
            </w:pict>
          </mc:Fallback>
        </mc:AlternateContent>
      </w:r>
      <w:r>
        <w:rPr>
          <w:rFonts w:hAnsi="標楷體" w:hint="eastAsia"/>
          <w:b w:val="0"/>
          <w:bCs/>
          <w:color w:val="000000" w:themeColor="text1"/>
          <w:sz w:val="24"/>
        </w:rPr>
        <w:t>核有：（1）對於該活動舉辦定位及辦理型態主張不明，且對廠商執行成果尚乏有效考核評估機制，</w:t>
      </w:r>
      <w:proofErr w:type="gramStart"/>
      <w:r>
        <w:rPr>
          <w:rFonts w:hAnsi="標楷體" w:hint="eastAsia"/>
          <w:b w:val="0"/>
          <w:bCs/>
          <w:color w:val="000000" w:themeColor="text1"/>
          <w:sz w:val="24"/>
        </w:rPr>
        <w:t>113</w:t>
      </w:r>
      <w:proofErr w:type="gramEnd"/>
      <w:r>
        <w:rPr>
          <w:rFonts w:hAnsi="標楷體" w:hint="eastAsia"/>
          <w:b w:val="0"/>
          <w:bCs/>
          <w:color w:val="000000" w:themeColor="text1"/>
          <w:sz w:val="24"/>
        </w:rPr>
        <w:t>年度策展結果，整體作品及活動數量共125件／場（表2），居近</w:t>
      </w:r>
      <w:proofErr w:type="gramStart"/>
      <w:r>
        <w:rPr>
          <w:rFonts w:hAnsi="標楷體" w:hint="eastAsia"/>
          <w:b w:val="0"/>
          <w:bCs/>
          <w:color w:val="000000" w:themeColor="text1"/>
          <w:sz w:val="24"/>
        </w:rPr>
        <w:t>3</w:t>
      </w:r>
      <w:proofErr w:type="gramEnd"/>
      <w:r>
        <w:rPr>
          <w:rFonts w:hAnsi="標楷體" w:hint="eastAsia"/>
          <w:b w:val="0"/>
          <w:bCs/>
          <w:color w:val="000000" w:themeColor="text1"/>
          <w:sz w:val="24"/>
        </w:rPr>
        <w:t>年度之冠，惟活動內容主要係集中在</w:t>
      </w:r>
      <w:proofErr w:type="gramStart"/>
      <w:r>
        <w:rPr>
          <w:rFonts w:hAnsi="標楷體" w:hint="eastAsia"/>
          <w:b w:val="0"/>
          <w:bCs/>
          <w:color w:val="000000" w:themeColor="text1"/>
          <w:sz w:val="24"/>
        </w:rPr>
        <w:t>短片徵件</w:t>
      </w:r>
      <w:proofErr w:type="gramEnd"/>
      <w:r>
        <w:rPr>
          <w:rFonts w:hAnsi="標楷體" w:hint="eastAsia"/>
          <w:b w:val="0"/>
          <w:bCs/>
          <w:color w:val="000000" w:themeColor="text1"/>
          <w:sz w:val="24"/>
        </w:rPr>
        <w:t>、影片或</w:t>
      </w:r>
      <w:proofErr w:type="gramStart"/>
      <w:r>
        <w:rPr>
          <w:rFonts w:hAnsi="標楷體" w:hint="eastAsia"/>
          <w:b w:val="0"/>
          <w:bCs/>
          <w:color w:val="000000" w:themeColor="text1"/>
          <w:sz w:val="24"/>
        </w:rPr>
        <w:t>生態走讀等</w:t>
      </w:r>
      <w:proofErr w:type="gramEnd"/>
      <w:r>
        <w:rPr>
          <w:rFonts w:hAnsi="標楷體" w:hint="eastAsia"/>
          <w:b w:val="0"/>
          <w:bCs/>
          <w:color w:val="000000" w:themeColor="text1"/>
          <w:sz w:val="24"/>
        </w:rPr>
        <w:t>，而與該活動主軸有關之「夜間裝置藝術作品」及「表演藝術作品」數量合計僅有52件，較111及</w:t>
      </w:r>
      <w:proofErr w:type="gramStart"/>
      <w:r>
        <w:rPr>
          <w:rFonts w:hAnsi="標楷體" w:hint="eastAsia"/>
          <w:b w:val="0"/>
          <w:bCs/>
          <w:color w:val="000000" w:themeColor="text1"/>
          <w:sz w:val="24"/>
        </w:rPr>
        <w:t>112</w:t>
      </w:r>
      <w:proofErr w:type="gramEnd"/>
      <w:r>
        <w:rPr>
          <w:rFonts w:hAnsi="標楷體" w:hint="eastAsia"/>
          <w:b w:val="0"/>
          <w:bCs/>
          <w:color w:val="000000" w:themeColor="text1"/>
          <w:sz w:val="24"/>
        </w:rPr>
        <w:t>年度分別減少16件／場及24件／場，減幅約23.53％及31.58％，民眾對於該活動「展演規劃滿意度」僅達75.4％，</w:t>
      </w:r>
      <w:proofErr w:type="gramStart"/>
      <w:r>
        <w:rPr>
          <w:rFonts w:hAnsi="標楷體" w:hint="eastAsia"/>
          <w:b w:val="0"/>
          <w:bCs/>
          <w:color w:val="000000" w:themeColor="text1"/>
          <w:sz w:val="24"/>
        </w:rPr>
        <w:t>且間有民眾</w:t>
      </w:r>
      <w:proofErr w:type="gramEnd"/>
      <w:r>
        <w:rPr>
          <w:rFonts w:hAnsi="標楷體" w:hint="eastAsia"/>
          <w:b w:val="0"/>
          <w:bCs/>
          <w:color w:val="000000" w:themeColor="text1"/>
          <w:sz w:val="24"/>
        </w:rPr>
        <w:t>反映</w:t>
      </w:r>
      <w:proofErr w:type="gramStart"/>
      <w:r>
        <w:rPr>
          <w:rFonts w:hAnsi="標楷體" w:hint="eastAsia"/>
          <w:b w:val="0"/>
          <w:bCs/>
          <w:color w:val="000000" w:themeColor="text1"/>
          <w:sz w:val="24"/>
        </w:rPr>
        <w:t>113</w:t>
      </w:r>
      <w:proofErr w:type="gramEnd"/>
      <w:r>
        <w:rPr>
          <w:rFonts w:hAnsi="標楷體" w:hint="eastAsia"/>
          <w:b w:val="0"/>
          <w:bCs/>
          <w:color w:val="000000" w:themeColor="text1"/>
          <w:sz w:val="24"/>
        </w:rPr>
        <w:t>年度活動展出之靜態作品與藝術裝置數量少，內容不符預期，影響觀展體驗；（2）</w:t>
      </w:r>
      <w:proofErr w:type="gramStart"/>
      <w:r>
        <w:rPr>
          <w:rFonts w:hAnsi="標楷體" w:hint="eastAsia"/>
          <w:b w:val="0"/>
          <w:bCs/>
          <w:color w:val="000000" w:themeColor="text1"/>
          <w:sz w:val="24"/>
        </w:rPr>
        <w:t>113</w:t>
      </w:r>
      <w:proofErr w:type="gramEnd"/>
      <w:r>
        <w:rPr>
          <w:rFonts w:hAnsi="標楷體" w:hint="eastAsia"/>
          <w:b w:val="0"/>
          <w:bCs/>
          <w:color w:val="000000" w:themeColor="text1"/>
          <w:sz w:val="24"/>
        </w:rPr>
        <w:t>年度白晝之夜辦理結果，僅有</w:t>
      </w:r>
      <w:proofErr w:type="gramStart"/>
      <w:r>
        <w:rPr>
          <w:rFonts w:hAnsi="標楷體" w:hint="eastAsia"/>
          <w:b w:val="0"/>
          <w:bCs/>
          <w:color w:val="000000" w:themeColor="text1"/>
          <w:sz w:val="24"/>
        </w:rPr>
        <w:t>1家旅宿業者</w:t>
      </w:r>
      <w:proofErr w:type="gramEnd"/>
      <w:r>
        <w:rPr>
          <w:rFonts w:hAnsi="標楷體" w:hint="eastAsia"/>
          <w:b w:val="0"/>
          <w:bCs/>
          <w:color w:val="000000" w:themeColor="text1"/>
          <w:sz w:val="24"/>
        </w:rPr>
        <w:t>響應提供藝術家或表演者住房價格優惠，與111及</w:t>
      </w:r>
      <w:proofErr w:type="gramStart"/>
      <w:r>
        <w:rPr>
          <w:rFonts w:hAnsi="標楷體" w:hint="eastAsia"/>
          <w:b w:val="0"/>
          <w:bCs/>
          <w:color w:val="000000" w:themeColor="text1"/>
          <w:sz w:val="24"/>
        </w:rPr>
        <w:t>112</w:t>
      </w:r>
      <w:proofErr w:type="gramEnd"/>
      <w:r>
        <w:rPr>
          <w:rFonts w:hAnsi="標楷體" w:hint="eastAsia"/>
          <w:b w:val="0"/>
          <w:bCs/>
          <w:color w:val="000000" w:themeColor="text1"/>
          <w:sz w:val="24"/>
        </w:rPr>
        <w:t>年度合作或</w:t>
      </w:r>
      <w:proofErr w:type="gramStart"/>
      <w:r>
        <w:rPr>
          <w:rFonts w:hAnsi="標楷體" w:hint="eastAsia"/>
          <w:b w:val="0"/>
          <w:bCs/>
          <w:color w:val="000000" w:themeColor="text1"/>
          <w:sz w:val="24"/>
        </w:rPr>
        <w:t>響應旅宿業者</w:t>
      </w:r>
      <w:proofErr w:type="gramEnd"/>
      <w:r>
        <w:rPr>
          <w:rFonts w:hAnsi="標楷體" w:hint="eastAsia"/>
          <w:b w:val="0"/>
          <w:bCs/>
          <w:color w:val="000000" w:themeColor="text1"/>
          <w:sz w:val="24"/>
        </w:rPr>
        <w:t>計有42家及29家，提供觀展旅客住房價格優惠</w:t>
      </w:r>
      <w:proofErr w:type="gramStart"/>
      <w:r>
        <w:rPr>
          <w:rFonts w:hAnsi="標楷體" w:hint="eastAsia"/>
          <w:b w:val="0"/>
          <w:bCs/>
          <w:color w:val="000000" w:themeColor="text1"/>
          <w:sz w:val="24"/>
        </w:rPr>
        <w:t>或享接</w:t>
      </w:r>
      <w:proofErr w:type="gramEnd"/>
      <w:r>
        <w:rPr>
          <w:rFonts w:hAnsi="標楷體" w:hint="eastAsia"/>
          <w:b w:val="0"/>
          <w:bCs/>
          <w:color w:val="000000" w:themeColor="text1"/>
          <w:sz w:val="24"/>
        </w:rPr>
        <w:t>駁服務、延後退房等專屬方案相較，不論業者參加規模或行銷方案內容，</w:t>
      </w:r>
      <w:proofErr w:type="gramStart"/>
      <w:r>
        <w:rPr>
          <w:rFonts w:hAnsi="標楷體" w:hint="eastAsia"/>
          <w:b w:val="0"/>
          <w:bCs/>
          <w:color w:val="000000" w:themeColor="text1"/>
          <w:sz w:val="24"/>
        </w:rPr>
        <w:t>均呈大幅</w:t>
      </w:r>
      <w:proofErr w:type="gramEnd"/>
      <w:r>
        <w:rPr>
          <w:rFonts w:hAnsi="標楷體" w:hint="eastAsia"/>
          <w:b w:val="0"/>
          <w:bCs/>
          <w:color w:val="000000" w:themeColor="text1"/>
          <w:sz w:val="24"/>
        </w:rPr>
        <w:t>下降或縮水現象，顯示該活動與地方旅宿業之串聯行銷性，猶有不足；（3）</w:t>
      </w:r>
      <w:proofErr w:type="gramStart"/>
      <w:r>
        <w:rPr>
          <w:rFonts w:hAnsi="標楷體" w:hint="eastAsia"/>
          <w:b w:val="0"/>
          <w:bCs/>
          <w:color w:val="000000" w:themeColor="text1"/>
          <w:sz w:val="24"/>
        </w:rPr>
        <w:t>113</w:t>
      </w:r>
      <w:proofErr w:type="gramEnd"/>
      <w:r>
        <w:rPr>
          <w:rFonts w:hAnsi="標楷體" w:hint="eastAsia"/>
          <w:b w:val="0"/>
          <w:bCs/>
          <w:color w:val="000000" w:themeColor="text1"/>
          <w:sz w:val="24"/>
        </w:rPr>
        <w:t>年度白晝之夜活動係以大安森林公園為主要展區，並串聯忠泰美術館、師大美術館及數位藝術節</w:t>
      </w:r>
      <w:proofErr w:type="gramStart"/>
      <w:r>
        <w:rPr>
          <w:rFonts w:hAnsi="標楷體" w:hint="eastAsia"/>
          <w:b w:val="0"/>
          <w:bCs/>
          <w:color w:val="000000" w:themeColor="text1"/>
          <w:sz w:val="24"/>
        </w:rPr>
        <w:t>之主展場</w:t>
      </w:r>
      <w:proofErr w:type="gramEnd"/>
      <w:r>
        <w:rPr>
          <w:rFonts w:hAnsi="標楷體" w:hint="eastAsia"/>
          <w:b w:val="0"/>
          <w:bCs/>
          <w:color w:val="000000" w:themeColor="text1"/>
          <w:sz w:val="24"/>
        </w:rPr>
        <w:t>臺灣當代文化實驗場等周邊知名場域，以形成一個連結整個大安區之藝術網絡，其活動期間（11月2日下午2時至11月3日清晨2時）吸引40萬餘人次參與，惟人潮多集中在大安森林公園，無法有效導引至前開主要串聯場域，致數位藝術節同期間實際參觀人次僅有3,512人次，較</w:t>
      </w:r>
      <w:proofErr w:type="gramStart"/>
      <w:r>
        <w:rPr>
          <w:rFonts w:hAnsi="標楷體" w:hint="eastAsia"/>
          <w:b w:val="0"/>
          <w:bCs/>
          <w:color w:val="000000" w:themeColor="text1"/>
          <w:sz w:val="24"/>
        </w:rPr>
        <w:t>111</w:t>
      </w:r>
      <w:proofErr w:type="gramEnd"/>
      <w:r>
        <w:rPr>
          <w:rFonts w:hAnsi="標楷體" w:hint="eastAsia"/>
          <w:b w:val="0"/>
          <w:bCs/>
          <w:color w:val="000000" w:themeColor="text1"/>
          <w:sz w:val="24"/>
        </w:rPr>
        <w:t>年度二活動串聯導入參觀人次7,347人次，減少3,835人次，約52.20％，該二活動展演聯合行銷成效未</w:t>
      </w:r>
      <w:proofErr w:type="gramStart"/>
      <w:r>
        <w:rPr>
          <w:rFonts w:hAnsi="標楷體" w:hint="eastAsia"/>
          <w:b w:val="0"/>
          <w:bCs/>
          <w:color w:val="000000" w:themeColor="text1"/>
          <w:sz w:val="24"/>
        </w:rPr>
        <w:t>臻</w:t>
      </w:r>
      <w:proofErr w:type="gramEnd"/>
      <w:r>
        <w:rPr>
          <w:rFonts w:hAnsi="標楷體" w:hint="eastAsia"/>
          <w:b w:val="0"/>
          <w:bCs/>
          <w:color w:val="000000" w:themeColor="text1"/>
          <w:sz w:val="24"/>
        </w:rPr>
        <w:t>理想等情事，經函請檢討改善，以維活動品牌口碑及規模。據復：（1）</w:t>
      </w:r>
      <w:proofErr w:type="gramStart"/>
      <w:r>
        <w:rPr>
          <w:rFonts w:hAnsi="標楷體" w:hint="eastAsia"/>
          <w:b w:val="0"/>
          <w:bCs/>
          <w:color w:val="000000" w:themeColor="text1"/>
          <w:sz w:val="24"/>
        </w:rPr>
        <w:t>鑑</w:t>
      </w:r>
      <w:proofErr w:type="gramEnd"/>
      <w:r>
        <w:rPr>
          <w:rFonts w:hAnsi="標楷體" w:hint="eastAsia"/>
          <w:b w:val="0"/>
          <w:bCs/>
          <w:color w:val="000000" w:themeColor="text1"/>
          <w:sz w:val="24"/>
        </w:rPr>
        <w:t>於</w:t>
      </w:r>
      <w:proofErr w:type="gramStart"/>
      <w:r>
        <w:rPr>
          <w:rFonts w:hAnsi="標楷體" w:hint="eastAsia"/>
          <w:b w:val="0"/>
          <w:bCs/>
          <w:color w:val="000000" w:themeColor="text1"/>
          <w:sz w:val="24"/>
        </w:rPr>
        <w:t>113</w:t>
      </w:r>
      <w:proofErr w:type="gramEnd"/>
      <w:r>
        <w:rPr>
          <w:rFonts w:hAnsi="標楷體" w:hint="eastAsia"/>
          <w:b w:val="0"/>
          <w:bCs/>
          <w:color w:val="000000" w:themeColor="text1"/>
          <w:sz w:val="24"/>
        </w:rPr>
        <w:t>年度白晝之夜活動之滿意度調查，民眾較偏好藝術作品之設置，</w:t>
      </w:r>
      <w:proofErr w:type="gramStart"/>
      <w:r>
        <w:rPr>
          <w:rFonts w:hAnsi="標楷體" w:hint="eastAsia"/>
          <w:b w:val="0"/>
          <w:bCs/>
          <w:color w:val="000000" w:themeColor="text1"/>
          <w:sz w:val="24"/>
        </w:rPr>
        <w:t>114</w:t>
      </w:r>
      <w:proofErr w:type="gramEnd"/>
      <w:r>
        <w:rPr>
          <w:rFonts w:hAnsi="標楷體" w:hint="eastAsia"/>
          <w:b w:val="0"/>
          <w:bCs/>
          <w:color w:val="000000" w:themeColor="text1"/>
          <w:sz w:val="24"/>
        </w:rPr>
        <w:t>年度將於工作會議中與藝術總監及執行團隊討論藝術形態呈現之比例調配；（2）將積極請臺北市政府觀光傳播局（下稱觀光傳播局）協助宣傳，並追蹤有意願提供優惠活動之業者，擴大活動之效益；（3）將持續加強亮點作品宣傳及觀賞串連活動之路徑引導，以吸引更多民眾參與。</w:t>
      </w:r>
    </w:p>
    <w:p w14:paraId="44F5A094" w14:textId="77777777" w:rsidR="002345B0" w:rsidRDefault="00436738" w:rsidP="006F1C53">
      <w:pPr>
        <w:pStyle w:val="04"/>
        <w:spacing w:beforeLines="20" w:before="72" w:line="430" w:lineRule="exact"/>
        <w:ind w:firstLineChars="200" w:firstLine="480"/>
        <w:rPr>
          <w:rFonts w:hAnsi="標楷體"/>
          <w:b w:val="0"/>
          <w:bCs/>
          <w:color w:val="000000" w:themeColor="text1"/>
          <w:sz w:val="24"/>
        </w:rPr>
      </w:pPr>
      <w:r>
        <w:rPr>
          <w:rFonts w:hAnsi="標楷體" w:hint="eastAsia"/>
          <w:color w:val="000000" w:themeColor="text1"/>
          <w:sz w:val="24"/>
        </w:rPr>
        <w:t>2.持續舉辦數位藝術節，已成為發掘國內數位藝術新秀重要平</w:t>
      </w:r>
      <w:proofErr w:type="gramStart"/>
      <w:r>
        <w:rPr>
          <w:rFonts w:hAnsi="標楷體" w:hint="eastAsia"/>
          <w:color w:val="000000" w:themeColor="text1"/>
          <w:sz w:val="24"/>
        </w:rPr>
        <w:t>臺</w:t>
      </w:r>
      <w:proofErr w:type="gramEnd"/>
      <w:r>
        <w:rPr>
          <w:rFonts w:hAnsi="標楷體" w:hint="eastAsia"/>
          <w:color w:val="000000" w:themeColor="text1"/>
          <w:sz w:val="24"/>
        </w:rPr>
        <w:t>，惟</w:t>
      </w:r>
      <w:proofErr w:type="gramStart"/>
      <w:r>
        <w:rPr>
          <w:rFonts w:hAnsi="標楷體" w:hint="eastAsia"/>
          <w:color w:val="000000" w:themeColor="text1"/>
          <w:sz w:val="24"/>
        </w:rPr>
        <w:t>113</w:t>
      </w:r>
      <w:proofErr w:type="gramEnd"/>
      <w:r>
        <w:rPr>
          <w:rFonts w:hAnsi="標楷體" w:hint="eastAsia"/>
          <w:color w:val="000000" w:themeColor="text1"/>
          <w:sz w:val="24"/>
        </w:rPr>
        <w:t>年度策展結果，參觀人次銳減：</w:t>
      </w:r>
      <w:proofErr w:type="gramStart"/>
      <w:r>
        <w:rPr>
          <w:rFonts w:hAnsi="標楷體" w:hint="eastAsia"/>
          <w:b w:val="0"/>
          <w:bCs/>
          <w:color w:val="000000" w:themeColor="text1"/>
          <w:sz w:val="24"/>
        </w:rPr>
        <w:t>113</w:t>
      </w:r>
      <w:proofErr w:type="gramEnd"/>
      <w:r>
        <w:rPr>
          <w:rFonts w:hAnsi="標楷體" w:hint="eastAsia"/>
          <w:b w:val="0"/>
          <w:bCs/>
          <w:color w:val="000000" w:themeColor="text1"/>
          <w:sz w:val="24"/>
        </w:rPr>
        <w:t>年度數位藝術節係假臺灣當代文化實驗場舉辦，策展主題以「</w:t>
      </w:r>
      <w:proofErr w:type="gramStart"/>
      <w:r>
        <w:rPr>
          <w:rFonts w:hAnsi="標楷體" w:hint="eastAsia"/>
          <w:b w:val="0"/>
          <w:bCs/>
          <w:color w:val="000000" w:themeColor="text1"/>
          <w:sz w:val="24"/>
        </w:rPr>
        <w:t>鎧美拉</w:t>
      </w:r>
      <w:proofErr w:type="gramEnd"/>
      <w:r>
        <w:rPr>
          <w:rFonts w:hAnsi="標楷體" w:hint="eastAsia"/>
          <w:b w:val="0"/>
          <w:bCs/>
          <w:color w:val="000000" w:themeColor="text1"/>
          <w:sz w:val="24"/>
        </w:rPr>
        <w:t>之島 CHIMERA ISLAND」為名，於同年11月2日至17日期間展出21件國內外藝術作品，期透過多樣化之藝術作品，與觀眾共同思考人類和科技之間的關係，並規劃行銷工作重點，包括邀約藝文專業媒體報導、串聯白晝</w:t>
      </w:r>
      <w:proofErr w:type="gramStart"/>
      <w:r>
        <w:rPr>
          <w:rFonts w:hAnsi="標楷體" w:hint="eastAsia"/>
          <w:b w:val="0"/>
          <w:bCs/>
          <w:color w:val="000000" w:themeColor="text1"/>
          <w:sz w:val="24"/>
        </w:rPr>
        <w:t>之夜及未來</w:t>
      </w:r>
      <w:proofErr w:type="gramEnd"/>
      <w:r>
        <w:rPr>
          <w:rFonts w:hAnsi="標楷體" w:hint="eastAsia"/>
          <w:b w:val="0"/>
          <w:bCs/>
          <w:color w:val="000000" w:themeColor="text1"/>
          <w:sz w:val="24"/>
        </w:rPr>
        <w:t>媒體藝術節等藝術展演辦理聯合行銷，及運用社群媒體進行口碑行銷等，期達成「強化藝文專業評價」、「數位藝術品牌塑造」及「擴增多樣觀眾族群」等3大目標。</w:t>
      </w:r>
      <w:r w:rsidRPr="002345B0">
        <w:rPr>
          <w:rFonts w:hAnsi="標楷體" w:hint="eastAsia"/>
          <w:b w:val="0"/>
          <w:bCs/>
          <w:color w:val="000000" w:themeColor="text1"/>
          <w:spacing w:val="2"/>
          <w:sz w:val="24"/>
        </w:rPr>
        <w:t>經查文化局</w:t>
      </w:r>
      <w:proofErr w:type="gramStart"/>
      <w:r w:rsidRPr="002345B0">
        <w:rPr>
          <w:rFonts w:hAnsi="標楷體" w:hint="eastAsia"/>
          <w:b w:val="0"/>
          <w:bCs/>
          <w:color w:val="000000" w:themeColor="text1"/>
          <w:spacing w:val="2"/>
          <w:sz w:val="24"/>
        </w:rPr>
        <w:t>113</w:t>
      </w:r>
      <w:proofErr w:type="gramEnd"/>
      <w:r w:rsidRPr="002345B0">
        <w:rPr>
          <w:rFonts w:hAnsi="標楷體" w:hint="eastAsia"/>
          <w:b w:val="0"/>
          <w:bCs/>
          <w:color w:val="000000" w:themeColor="text1"/>
          <w:spacing w:val="2"/>
          <w:sz w:val="24"/>
        </w:rPr>
        <w:t>年度委外辦理數位藝術節經費為752萬餘元，與112及</w:t>
      </w:r>
      <w:proofErr w:type="gramStart"/>
      <w:r w:rsidRPr="002345B0">
        <w:rPr>
          <w:rFonts w:hAnsi="標楷體" w:hint="eastAsia"/>
          <w:b w:val="0"/>
          <w:bCs/>
          <w:color w:val="000000" w:themeColor="text1"/>
          <w:spacing w:val="2"/>
          <w:sz w:val="24"/>
        </w:rPr>
        <w:t>111</w:t>
      </w:r>
      <w:proofErr w:type="gramEnd"/>
      <w:r w:rsidRPr="002345B0">
        <w:rPr>
          <w:rFonts w:hAnsi="標楷體" w:hint="eastAsia"/>
          <w:b w:val="0"/>
          <w:bCs/>
          <w:color w:val="000000" w:themeColor="text1"/>
          <w:spacing w:val="2"/>
          <w:sz w:val="24"/>
        </w:rPr>
        <w:t>年度補助</w:t>
      </w:r>
    </w:p>
    <w:p w14:paraId="2A6EC315" w14:textId="31026BFD" w:rsidR="00436738" w:rsidRDefault="00436738" w:rsidP="002345B0">
      <w:pPr>
        <w:pStyle w:val="04"/>
        <w:spacing w:beforeLines="20" w:before="72" w:line="430" w:lineRule="exact"/>
        <w:ind w:firstLineChars="0" w:firstLine="0"/>
        <w:rPr>
          <w:rFonts w:hAnsi="標楷體"/>
          <w:b w:val="0"/>
          <w:color w:val="000000" w:themeColor="text1"/>
          <w:sz w:val="24"/>
        </w:rPr>
      </w:pPr>
      <w:r>
        <w:rPr>
          <w:rFonts w:hint="eastAsia"/>
          <w:noProof/>
        </w:rPr>
        <w:lastRenderedPageBreak/>
        <mc:AlternateContent>
          <mc:Choice Requires="wps">
            <w:drawing>
              <wp:anchor distT="0" distB="0" distL="114300" distR="114300" simplePos="0" relativeHeight="251715584" behindDoc="1" locked="0" layoutInCell="1" allowOverlap="1" wp14:anchorId="1A44F14D" wp14:editId="1BE4A0D1">
                <wp:simplePos x="0" y="0"/>
                <wp:positionH relativeFrom="margin">
                  <wp:posOffset>2311688</wp:posOffset>
                </wp:positionH>
                <wp:positionV relativeFrom="page">
                  <wp:posOffset>897147</wp:posOffset>
                </wp:positionV>
                <wp:extent cx="3995420" cy="2379980"/>
                <wp:effectExtent l="0" t="0" r="24130" b="20320"/>
                <wp:wrapTight wrapText="bothSides">
                  <wp:wrapPolygon edited="0">
                    <wp:start x="0" y="0"/>
                    <wp:lineTo x="0" y="21612"/>
                    <wp:lineTo x="21627" y="21612"/>
                    <wp:lineTo x="21627" y="0"/>
                    <wp:lineTo x="0" y="0"/>
                  </wp:wrapPolygon>
                </wp:wrapTight>
                <wp:docPr id="54" name="矩形 54"/>
                <wp:cNvGraphicFramePr/>
                <a:graphic xmlns:a="http://schemas.openxmlformats.org/drawingml/2006/main">
                  <a:graphicData uri="http://schemas.microsoft.com/office/word/2010/wordprocessingShape">
                    <wps:wsp>
                      <wps:cNvSpPr/>
                      <wps:spPr>
                        <a:xfrm>
                          <a:off x="0" y="0"/>
                          <a:ext cx="3995420" cy="2379980"/>
                        </a:xfrm>
                        <a:prstGeom prst="rect">
                          <a:avLst/>
                        </a:prstGeom>
                        <a:noFill/>
                        <a:ln w="12700" cap="flat" cmpd="sng" algn="ctr">
                          <a:solidFill>
                            <a:sysClr val="window" lastClr="FFFFFF"/>
                          </a:solidFill>
                          <a:prstDash val="solid"/>
                          <a:miter lim="800000"/>
                        </a:ln>
                        <a:effectLst/>
                      </wps:spPr>
                      <wps:txbx>
                        <w:txbxContent>
                          <w:p w14:paraId="3F5320D6" w14:textId="77777777" w:rsidR="00436738" w:rsidRDefault="00436738" w:rsidP="00436738">
                            <w:pPr>
                              <w:jc w:val="center"/>
                              <w:rPr>
                                <w:rFonts w:ascii="標楷體" w:eastAsia="標楷體" w:hAnsi="標楷體"/>
                                <w:b/>
                                <w:color w:val="000000"/>
                                <w:szCs w:val="24"/>
                              </w:rPr>
                            </w:pPr>
                            <w:r>
                              <w:rPr>
                                <w:rFonts w:ascii="標楷體" w:eastAsia="標楷體" w:hAnsi="標楷體" w:hint="eastAsia"/>
                                <w:b/>
                                <w:color w:val="000000"/>
                                <w:szCs w:val="24"/>
                              </w:rPr>
                              <w:t>圖1  數位藝術節活動經費及參與人次情形</w:t>
                            </w:r>
                          </w:p>
                          <w:p w14:paraId="731F752D" w14:textId="3CFF019E" w:rsidR="00436738" w:rsidRDefault="00436738" w:rsidP="00436738">
                            <w:pPr>
                              <w:rPr>
                                <w:rFonts w:ascii="標楷體" w:eastAsia="標楷體" w:hAnsi="標楷體"/>
                                <w:color w:val="000000"/>
                              </w:rPr>
                            </w:pPr>
                            <w:r>
                              <w:rPr>
                                <w:noProof/>
                              </w:rPr>
                              <w:drawing>
                                <wp:inline distT="0" distB="0" distL="0" distR="0" wp14:anchorId="5C8A43AD" wp14:editId="60BC9077">
                                  <wp:extent cx="3810000" cy="1647825"/>
                                  <wp:effectExtent l="0" t="0" r="0" b="0"/>
                                  <wp:docPr id="2003185536" name="圖表 200318553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18DF2B79" w14:textId="77777777" w:rsidR="00436738" w:rsidRDefault="00436738" w:rsidP="00544F6E">
                            <w:pPr>
                              <w:spacing w:line="260" w:lineRule="exact"/>
                              <w:ind w:leftChars="100" w:left="240"/>
                              <w:rPr>
                                <w:rFonts w:ascii="標楷體" w:eastAsia="標楷體" w:hAnsi="標楷體"/>
                                <w:color w:val="000000"/>
                                <w:sz w:val="18"/>
                                <w:szCs w:val="18"/>
                              </w:rPr>
                            </w:pPr>
                            <w:r>
                              <w:rPr>
                                <w:rFonts w:ascii="標楷體" w:eastAsia="標楷體" w:hAnsi="標楷體" w:hint="eastAsia"/>
                                <w:sz w:val="18"/>
                              </w:rPr>
                              <w:t>資料來源</w:t>
                            </w:r>
                            <w:r>
                              <w:rPr>
                                <w:rFonts w:ascii="新細明體" w:eastAsia="新細明體" w:hAnsi="新細明體" w:hint="eastAsia"/>
                                <w:sz w:val="18"/>
                              </w:rPr>
                              <w:t>：</w:t>
                            </w:r>
                            <w:r>
                              <w:rPr>
                                <w:rFonts w:ascii="標楷體" w:eastAsia="標楷體" w:hAnsi="標楷體" w:hint="eastAsia"/>
                                <w:sz w:val="18"/>
                              </w:rPr>
                              <w:t>整理自文化局提供資料。</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44F14D" id="矩形 54" o:spid="_x0000_s1138" style="position:absolute;left:0;text-align:left;margin-left:182pt;margin-top:70.65pt;width:314.6pt;height:187.4pt;z-index:-2516008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" filled="f" strokecolor="window" strokeweight="1pt">
                <v:textbox>
                  <w:txbxContent>
                    <w:p w14:paraId="3F5320D6" w14:textId="77777777" w:rsidR="00436738" w:rsidRDefault="00436738" w:rsidP="00436738">
                      <w:pPr>
                        <w:jc w:val="center"/>
                        <w:rPr>
                          <w:rFonts w:ascii="標楷體" w:eastAsia="標楷體" w:hAnsi="標楷體"/>
                          <w:b/>
                          <w:color w:val="000000"/>
                          <w:szCs w:val="24"/>
                        </w:rPr>
                      </w:pPr>
                      <w:r>
                        <w:rPr>
                          <w:rFonts w:ascii="標楷體" w:eastAsia="標楷體" w:hAnsi="標楷體" w:hint="eastAsia"/>
                          <w:b/>
                          <w:color w:val="000000"/>
                          <w:szCs w:val="24"/>
                        </w:rPr>
                        <w:t>圖1  數位藝術節活動經費及參與人次情形</w:t>
                      </w:r>
                    </w:p>
                    <w:p w14:paraId="731F752D" w14:textId="3CFF019E" w:rsidR="00436738" w:rsidRDefault="00436738" w:rsidP="00436738">
                      <w:pPr>
                        <w:rPr>
                          <w:rFonts w:ascii="標楷體" w:eastAsia="標楷體" w:hAnsi="標楷體"/>
                          <w:color w:val="000000"/>
                        </w:rPr>
                      </w:pPr>
                      <w:r>
                        <w:rPr>
                          <w:noProof/>
                        </w:rPr>
                        <w:drawing>
                          <wp:inline distT="0" distB="0" distL="0" distR="0" wp14:anchorId="5C8A43AD" wp14:editId="60BC9077">
                            <wp:extent cx="3810000" cy="1647825"/>
                            <wp:effectExtent l="0" t="0" r="0" b="0"/>
                            <wp:docPr id="2003185536" name="圖表 2003185536"/>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8DF2B79" w14:textId="77777777" w:rsidR="00436738" w:rsidRDefault="00436738" w:rsidP="00544F6E">
                      <w:pPr>
                        <w:spacing w:line="260" w:lineRule="exact"/>
                        <w:ind w:leftChars="100" w:left="240"/>
                        <w:rPr>
                          <w:rFonts w:ascii="標楷體" w:eastAsia="標楷體" w:hAnsi="標楷體"/>
                          <w:color w:val="000000"/>
                          <w:sz w:val="18"/>
                          <w:szCs w:val="18"/>
                        </w:rPr>
                      </w:pPr>
                      <w:r>
                        <w:rPr>
                          <w:rFonts w:ascii="標楷體" w:eastAsia="標楷體" w:hAnsi="標楷體" w:hint="eastAsia"/>
                          <w:sz w:val="18"/>
                        </w:rPr>
                        <w:t>資料來源</w:t>
                      </w:r>
                      <w:r>
                        <w:rPr>
                          <w:rFonts w:ascii="新細明體" w:eastAsia="新細明體" w:hAnsi="新細明體" w:hint="eastAsia"/>
                          <w:sz w:val="18"/>
                        </w:rPr>
                        <w:t>：</w:t>
                      </w:r>
                      <w:r>
                        <w:rPr>
                          <w:rFonts w:ascii="標楷體" w:eastAsia="標楷體" w:hAnsi="標楷體" w:hint="eastAsia"/>
                          <w:sz w:val="18"/>
                        </w:rPr>
                        <w:t>整理自文化局提供資料。</w:t>
                      </w:r>
                    </w:p>
                  </w:txbxContent>
                </v:textbox>
                <w10:wrap type="tight" anchorx="margin" anchory="page"/>
              </v:rect>
            </w:pict>
          </mc:Fallback>
        </mc:AlternateContent>
      </w:r>
      <w:proofErr w:type="gramStart"/>
      <w:r>
        <w:rPr>
          <w:rFonts w:hAnsi="標楷體" w:hint="eastAsia"/>
          <w:b w:val="0"/>
          <w:bCs/>
          <w:color w:val="000000" w:themeColor="text1"/>
          <w:sz w:val="24"/>
        </w:rPr>
        <w:t>臺</w:t>
      </w:r>
      <w:proofErr w:type="gramEnd"/>
      <w:r>
        <w:rPr>
          <w:rFonts w:hAnsi="標楷體" w:hint="eastAsia"/>
          <w:b w:val="0"/>
          <w:bCs/>
          <w:color w:val="000000" w:themeColor="text1"/>
          <w:sz w:val="24"/>
        </w:rPr>
        <w:t>北數位藝術中心辦理該活動經費729萬餘元及725萬餘元相較，預算規模差異不大，惟因</w:t>
      </w:r>
      <w:proofErr w:type="gramStart"/>
      <w:r>
        <w:rPr>
          <w:rFonts w:hAnsi="標楷體" w:hint="eastAsia"/>
          <w:b w:val="0"/>
          <w:bCs/>
          <w:color w:val="000000" w:themeColor="text1"/>
          <w:sz w:val="24"/>
        </w:rPr>
        <w:t>113</w:t>
      </w:r>
      <w:proofErr w:type="gramEnd"/>
      <w:r>
        <w:rPr>
          <w:rFonts w:hAnsi="標楷體" w:hint="eastAsia"/>
          <w:b w:val="0"/>
          <w:bCs/>
          <w:color w:val="000000" w:themeColor="text1"/>
          <w:sz w:val="24"/>
        </w:rPr>
        <w:t>年度展</w:t>
      </w:r>
      <w:proofErr w:type="gramStart"/>
      <w:r>
        <w:rPr>
          <w:rFonts w:hAnsi="標楷體" w:hint="eastAsia"/>
          <w:b w:val="0"/>
          <w:bCs/>
          <w:color w:val="000000" w:themeColor="text1"/>
          <w:sz w:val="24"/>
        </w:rPr>
        <w:t>場地點離捷運</w:t>
      </w:r>
      <w:proofErr w:type="gramEnd"/>
      <w:r>
        <w:rPr>
          <w:rFonts w:hAnsi="標楷體" w:hint="eastAsia"/>
          <w:b w:val="0"/>
          <w:bCs/>
          <w:color w:val="000000" w:themeColor="text1"/>
          <w:sz w:val="24"/>
        </w:rPr>
        <w:t>站之距離較往年展場地點為遠，</w:t>
      </w:r>
      <w:proofErr w:type="gramStart"/>
      <w:r>
        <w:rPr>
          <w:rFonts w:hAnsi="標楷體" w:hint="eastAsia"/>
          <w:b w:val="0"/>
          <w:bCs/>
          <w:color w:val="000000" w:themeColor="text1"/>
          <w:sz w:val="24"/>
        </w:rPr>
        <w:t>且客群</w:t>
      </w:r>
      <w:proofErr w:type="gramEnd"/>
      <w:r>
        <w:rPr>
          <w:rFonts w:hAnsi="標楷體" w:hint="eastAsia"/>
          <w:b w:val="0"/>
          <w:bCs/>
          <w:color w:val="000000" w:themeColor="text1"/>
          <w:sz w:val="24"/>
        </w:rPr>
        <w:t>多為數位藝術者，較無觀光客等其他客群，致實際參觀人次10,178人次，較112及</w:t>
      </w:r>
      <w:proofErr w:type="gramStart"/>
      <w:r>
        <w:rPr>
          <w:rFonts w:hAnsi="標楷體" w:hint="eastAsia"/>
          <w:b w:val="0"/>
          <w:bCs/>
          <w:color w:val="000000" w:themeColor="text1"/>
          <w:sz w:val="24"/>
        </w:rPr>
        <w:t>111</w:t>
      </w:r>
      <w:proofErr w:type="gramEnd"/>
      <w:r>
        <w:rPr>
          <w:rFonts w:hAnsi="標楷體" w:hint="eastAsia"/>
          <w:b w:val="0"/>
          <w:bCs/>
          <w:color w:val="000000" w:themeColor="text1"/>
          <w:sz w:val="24"/>
        </w:rPr>
        <w:t>年度之54,736人次及33,800人次（圖1），分別減少44,558人次及23,622人次，減幅達</w:t>
      </w:r>
      <w:proofErr w:type="gramStart"/>
      <w:r>
        <w:rPr>
          <w:rFonts w:hAnsi="標楷體" w:hint="eastAsia"/>
          <w:b w:val="0"/>
          <w:bCs/>
          <w:color w:val="000000" w:themeColor="text1"/>
          <w:sz w:val="24"/>
        </w:rPr>
        <w:t>8成</w:t>
      </w:r>
      <w:proofErr w:type="gramEnd"/>
      <w:r>
        <w:rPr>
          <w:rFonts w:hAnsi="標楷體" w:hint="eastAsia"/>
          <w:b w:val="0"/>
          <w:bCs/>
          <w:color w:val="000000" w:themeColor="text1"/>
          <w:sz w:val="24"/>
        </w:rPr>
        <w:t>1及</w:t>
      </w:r>
      <w:proofErr w:type="gramStart"/>
      <w:r>
        <w:rPr>
          <w:rFonts w:hAnsi="標楷體" w:hint="eastAsia"/>
          <w:b w:val="0"/>
          <w:bCs/>
          <w:color w:val="000000" w:themeColor="text1"/>
          <w:sz w:val="24"/>
        </w:rPr>
        <w:t>6成</w:t>
      </w:r>
      <w:proofErr w:type="gramEnd"/>
      <w:r>
        <w:rPr>
          <w:rFonts w:hAnsi="標楷體" w:hint="eastAsia"/>
          <w:b w:val="0"/>
          <w:bCs/>
          <w:color w:val="000000" w:themeColor="text1"/>
          <w:sz w:val="24"/>
        </w:rPr>
        <w:t>9，未能達到擴增多樣觀眾群之目標，經函請檢討改善，以擴增數位藝術人口，強化數位藝術品牌形象。據復：經檢討因</w:t>
      </w:r>
      <w:proofErr w:type="gramStart"/>
      <w:r>
        <w:rPr>
          <w:rFonts w:hAnsi="標楷體" w:hint="eastAsia"/>
          <w:b w:val="0"/>
          <w:bCs/>
          <w:color w:val="000000" w:themeColor="text1"/>
          <w:sz w:val="24"/>
        </w:rPr>
        <w:t>113</w:t>
      </w:r>
      <w:proofErr w:type="gramEnd"/>
      <w:r>
        <w:rPr>
          <w:rFonts w:hAnsi="標楷體" w:hint="eastAsia"/>
          <w:b w:val="0"/>
          <w:bCs/>
          <w:color w:val="000000" w:themeColor="text1"/>
          <w:sz w:val="24"/>
        </w:rPr>
        <w:t>年度展出作品內容偏重實驗性與藝術性，可能較難直接與一般觀眾產生連結，未來將邀集專家及顧問</w:t>
      </w:r>
      <w:proofErr w:type="gramStart"/>
      <w:r>
        <w:rPr>
          <w:rFonts w:hAnsi="標楷體" w:hint="eastAsia"/>
          <w:b w:val="0"/>
          <w:bCs/>
          <w:color w:val="000000" w:themeColor="text1"/>
          <w:sz w:val="24"/>
        </w:rPr>
        <w:t>群於策展</w:t>
      </w:r>
      <w:proofErr w:type="gramEnd"/>
      <w:r>
        <w:rPr>
          <w:rFonts w:hAnsi="標楷體" w:hint="eastAsia"/>
          <w:b w:val="0"/>
          <w:bCs/>
          <w:color w:val="000000" w:themeColor="text1"/>
          <w:sz w:val="24"/>
        </w:rPr>
        <w:t>初期即提出觀眾導向建議，</w:t>
      </w:r>
      <w:proofErr w:type="gramStart"/>
      <w:r>
        <w:rPr>
          <w:rFonts w:hAnsi="標楷體" w:hint="eastAsia"/>
          <w:b w:val="0"/>
          <w:bCs/>
          <w:color w:val="000000" w:themeColor="text1"/>
          <w:sz w:val="24"/>
        </w:rPr>
        <w:t>俾</w:t>
      </w:r>
      <w:proofErr w:type="gramEnd"/>
      <w:r>
        <w:rPr>
          <w:rFonts w:hAnsi="標楷體" w:hint="eastAsia"/>
          <w:b w:val="0"/>
          <w:bCs/>
          <w:color w:val="000000" w:themeColor="text1"/>
          <w:sz w:val="24"/>
        </w:rPr>
        <w:t>利展出內容兼顧創作自由與公眾參與，並將積極加強亮點作品宣傳，及持續盤點觀展行為及民眾回饋，作為後續展覽場域規劃與行銷策略精進之依據，亦將透過跨局處會議，結合觀光傳播局及臺北市政府產業發展局等單位協助導入旅遊、商圈等面向資源，以拓展不同觀眾群。</w:t>
      </w:r>
    </w:p>
    <w:p w14:paraId="763EC814" w14:textId="09D02014" w:rsidR="00436738" w:rsidRDefault="00436738" w:rsidP="002345B0">
      <w:pPr>
        <w:widowControl/>
        <w:spacing w:beforeLines="50" w:before="180" w:afterLines="20" w:after="72" w:line="420" w:lineRule="exact"/>
        <w:ind w:firstLineChars="100" w:firstLine="280"/>
        <w:jc w:val="both"/>
        <w:rPr>
          <w:rFonts w:ascii="標楷體" w:eastAsia="標楷體" w:hAnsi="標楷體"/>
          <w:b/>
          <w:bCs/>
          <w:sz w:val="28"/>
          <w:szCs w:val="28"/>
        </w:rPr>
      </w:pPr>
      <w:r>
        <w:rPr>
          <w:rFonts w:ascii="標楷體" w:eastAsia="標楷體" w:hAnsi="標楷體" w:hint="eastAsia"/>
          <w:b/>
          <w:bCs/>
          <w:sz w:val="28"/>
          <w:szCs w:val="28"/>
        </w:rPr>
        <w:t>（三）</w:t>
      </w:r>
      <w:bookmarkStart w:id="95" w:name="_Hlk200351170"/>
      <w:r>
        <w:rPr>
          <w:rFonts w:ascii="標楷體" w:eastAsia="標楷體" w:hAnsi="Times New Roman" w:cs="Times New Roman" w:hint="eastAsia"/>
          <w:b/>
          <w:bCs/>
          <w:sz w:val="28"/>
          <w:szCs w:val="28"/>
        </w:rPr>
        <w:t>強化藝文表演活動黃牛檢舉案件之處理機制，</w:t>
      </w:r>
      <w:proofErr w:type="gramStart"/>
      <w:r>
        <w:rPr>
          <w:rFonts w:ascii="標楷體" w:eastAsia="標楷體" w:hAnsi="Times New Roman" w:cs="Times New Roman" w:hint="eastAsia"/>
          <w:b/>
          <w:bCs/>
          <w:sz w:val="28"/>
          <w:szCs w:val="28"/>
        </w:rPr>
        <w:t>惟核有</w:t>
      </w:r>
      <w:proofErr w:type="gramEnd"/>
      <w:r>
        <w:rPr>
          <w:rFonts w:ascii="標楷體" w:eastAsia="標楷體" w:hAnsi="Times New Roman" w:cs="Times New Roman" w:hint="eastAsia"/>
          <w:b/>
          <w:bCs/>
          <w:sz w:val="28"/>
          <w:szCs w:val="28"/>
        </w:rPr>
        <w:t>逾</w:t>
      </w:r>
      <w:r w:rsidR="008A6A0C">
        <w:rPr>
          <w:rFonts w:ascii="標楷體" w:eastAsia="標楷體" w:hAnsi="Times New Roman" w:cs="Times New Roman" w:hint="eastAsia"/>
          <w:b/>
          <w:bCs/>
          <w:sz w:val="28"/>
          <w:szCs w:val="28"/>
        </w:rPr>
        <w:t>二百</w:t>
      </w:r>
      <w:r>
        <w:rPr>
          <w:rFonts w:ascii="標楷體" w:eastAsia="標楷體" w:hAnsi="Times New Roman" w:cs="Times New Roman" w:hint="eastAsia"/>
          <w:b/>
          <w:bCs/>
          <w:sz w:val="28"/>
          <w:szCs w:val="28"/>
        </w:rPr>
        <w:t>案件自受理後，已逾6個月仍未辦結，</w:t>
      </w:r>
      <w:proofErr w:type="gramStart"/>
      <w:r>
        <w:rPr>
          <w:rFonts w:ascii="標楷體" w:eastAsia="標楷體" w:hAnsi="Times New Roman" w:cs="Times New Roman" w:hint="eastAsia"/>
          <w:b/>
          <w:bCs/>
          <w:sz w:val="28"/>
          <w:szCs w:val="28"/>
        </w:rPr>
        <w:t>且對類此</w:t>
      </w:r>
      <w:proofErr w:type="gramEnd"/>
      <w:r>
        <w:rPr>
          <w:rFonts w:ascii="標楷體" w:eastAsia="標楷體" w:hAnsi="Times New Roman" w:cs="Times New Roman" w:hint="eastAsia"/>
          <w:b/>
          <w:bCs/>
          <w:sz w:val="28"/>
          <w:szCs w:val="28"/>
        </w:rPr>
        <w:t>行政罰法案件之裁處及罰鍰收繳作業，仍未</w:t>
      </w:r>
      <w:proofErr w:type="gramStart"/>
      <w:r>
        <w:rPr>
          <w:rFonts w:ascii="標楷體" w:eastAsia="標楷體" w:hAnsi="Times New Roman" w:cs="Times New Roman" w:hint="eastAsia"/>
          <w:b/>
          <w:bCs/>
          <w:sz w:val="28"/>
          <w:szCs w:val="28"/>
        </w:rPr>
        <w:t>研</w:t>
      </w:r>
      <w:proofErr w:type="gramEnd"/>
      <w:r>
        <w:rPr>
          <w:rFonts w:ascii="標楷體" w:eastAsia="標楷體" w:hAnsi="Times New Roman" w:cs="Times New Roman" w:hint="eastAsia"/>
          <w:b/>
          <w:bCs/>
          <w:sz w:val="28"/>
          <w:szCs w:val="28"/>
        </w:rPr>
        <w:t>訂相關標準作業程序，以有效管控案件辦理進度，有待</w:t>
      </w:r>
      <w:proofErr w:type="gramStart"/>
      <w:r>
        <w:rPr>
          <w:rFonts w:ascii="標楷體" w:eastAsia="標楷體" w:hAnsi="Times New Roman" w:cs="Times New Roman" w:hint="eastAsia"/>
          <w:b/>
          <w:bCs/>
          <w:sz w:val="28"/>
          <w:szCs w:val="28"/>
        </w:rPr>
        <w:t>研</w:t>
      </w:r>
      <w:proofErr w:type="gramEnd"/>
      <w:r>
        <w:rPr>
          <w:rFonts w:ascii="標楷體" w:eastAsia="標楷體" w:hAnsi="Times New Roman" w:cs="Times New Roman" w:hint="eastAsia"/>
          <w:b/>
          <w:bCs/>
          <w:sz w:val="28"/>
          <w:szCs w:val="28"/>
        </w:rPr>
        <w:t>謀改善</w:t>
      </w:r>
      <w:bookmarkEnd w:id="95"/>
      <w:r>
        <w:rPr>
          <w:rFonts w:ascii="標楷體" w:eastAsia="標楷體" w:hAnsi="Times New Roman" w:cs="Times New Roman" w:hint="eastAsia"/>
          <w:b/>
          <w:bCs/>
          <w:sz w:val="28"/>
          <w:szCs w:val="28"/>
        </w:rPr>
        <w:t>。</w:t>
      </w:r>
    </w:p>
    <w:p w14:paraId="46F61919" w14:textId="77777777" w:rsidR="002345B0" w:rsidRDefault="00436738" w:rsidP="002345B0">
      <w:pPr>
        <w:spacing w:line="430" w:lineRule="exact"/>
        <w:ind w:firstLineChars="200" w:firstLine="480"/>
        <w:jc w:val="both"/>
        <w:rPr>
          <w:rFonts w:ascii="標楷體" w:eastAsia="標楷體" w:hAnsi="標楷體"/>
          <w:kern w:val="0"/>
          <w:szCs w:val="28"/>
        </w:rPr>
      </w:pPr>
      <w:r>
        <w:rPr>
          <w:rFonts w:ascii="標楷體" w:eastAsia="標楷體" w:hAnsi="標楷體" w:hint="eastAsia"/>
          <w:kern w:val="0"/>
          <w:szCs w:val="28"/>
        </w:rPr>
        <w:t>政府為保障民眾近用文化創意活動之權益，確保藝文表演票</w:t>
      </w:r>
      <w:proofErr w:type="gramStart"/>
      <w:r>
        <w:rPr>
          <w:rFonts w:ascii="標楷體" w:eastAsia="標楷體" w:hAnsi="標楷體" w:hint="eastAsia"/>
          <w:kern w:val="0"/>
          <w:szCs w:val="28"/>
        </w:rPr>
        <w:t>券</w:t>
      </w:r>
      <w:proofErr w:type="gramEnd"/>
      <w:r>
        <w:rPr>
          <w:rFonts w:ascii="標楷體" w:eastAsia="標楷體" w:hAnsi="標楷體" w:hint="eastAsia"/>
          <w:kern w:val="0"/>
          <w:szCs w:val="28"/>
        </w:rPr>
        <w:t>正常流通，於112年5月31日公布增修文化創意產業發展法第10條之1規定（下稱文創法第10－1條），針對藝文表演票</w:t>
      </w:r>
      <w:proofErr w:type="gramStart"/>
      <w:r>
        <w:rPr>
          <w:rFonts w:ascii="標楷體" w:eastAsia="標楷體" w:hAnsi="標楷體" w:hint="eastAsia"/>
          <w:kern w:val="0"/>
          <w:szCs w:val="28"/>
        </w:rPr>
        <w:t>券</w:t>
      </w:r>
      <w:proofErr w:type="gramEnd"/>
      <w:r>
        <w:rPr>
          <w:rFonts w:ascii="標楷體" w:eastAsia="標楷體" w:hAnsi="標楷體" w:hint="eastAsia"/>
          <w:kern w:val="0"/>
          <w:szCs w:val="28"/>
        </w:rPr>
        <w:t>加價出售獲取利益，或以不正當方式增加購票速度，侵害一般民眾公平取得票</w:t>
      </w:r>
      <w:proofErr w:type="gramStart"/>
      <w:r>
        <w:rPr>
          <w:rFonts w:ascii="標楷體" w:eastAsia="標楷體" w:hAnsi="標楷體" w:hint="eastAsia"/>
          <w:kern w:val="0"/>
          <w:szCs w:val="28"/>
        </w:rPr>
        <w:t>券</w:t>
      </w:r>
      <w:proofErr w:type="gramEnd"/>
      <w:r>
        <w:rPr>
          <w:rFonts w:ascii="標楷體" w:eastAsia="標楷體" w:hAnsi="標楷體" w:hint="eastAsia"/>
          <w:kern w:val="0"/>
          <w:szCs w:val="28"/>
        </w:rPr>
        <w:t>之機會等行為明定處以罰鍰。另</w:t>
      </w:r>
      <w:proofErr w:type="gramStart"/>
      <w:r>
        <w:rPr>
          <w:rFonts w:ascii="標楷體" w:eastAsia="標楷體" w:hAnsi="標楷體" w:hint="eastAsia"/>
          <w:kern w:val="0"/>
          <w:szCs w:val="28"/>
        </w:rPr>
        <w:t>文化部為協助</w:t>
      </w:r>
      <w:proofErr w:type="gramEnd"/>
      <w:r>
        <w:rPr>
          <w:rFonts w:ascii="標楷體" w:eastAsia="標楷體" w:hAnsi="標楷體" w:hint="eastAsia"/>
          <w:kern w:val="0"/>
          <w:szCs w:val="28"/>
        </w:rPr>
        <w:t>及輔導各地方政府查緝相關案件，於該</w:t>
      </w:r>
      <w:proofErr w:type="gramStart"/>
      <w:r>
        <w:rPr>
          <w:rFonts w:ascii="標楷體" w:eastAsia="標楷體" w:hAnsi="標楷體" w:hint="eastAsia"/>
          <w:kern w:val="0"/>
          <w:szCs w:val="28"/>
        </w:rPr>
        <w:t>部官網</w:t>
      </w:r>
      <w:proofErr w:type="gramEnd"/>
      <w:r>
        <w:rPr>
          <w:rFonts w:ascii="標楷體" w:eastAsia="標楷體" w:hAnsi="標楷體" w:hint="eastAsia"/>
          <w:kern w:val="0"/>
          <w:szCs w:val="28"/>
        </w:rPr>
        <w:t>成立檢舉專區，統一受理檢舉案件後，移由藝文表演活動舉辦地之直轄市、縣市管轄，進行行政調查、約談及裁處等相關程序。截至113年底止，文化局列管中央分案及警察機關專案查緝黃牛檢舉案件共計5,817件。經查執行情形，核有：1.</w:t>
      </w:r>
      <w:proofErr w:type="gramStart"/>
      <w:r>
        <w:rPr>
          <w:rFonts w:ascii="標楷體" w:eastAsia="標楷體" w:hAnsi="標楷體" w:hint="eastAsia"/>
          <w:kern w:val="0"/>
          <w:szCs w:val="28"/>
        </w:rPr>
        <w:t>文創法</w:t>
      </w:r>
      <w:proofErr w:type="gramEnd"/>
      <w:r>
        <w:rPr>
          <w:rFonts w:ascii="標楷體" w:eastAsia="標楷體" w:hAnsi="標楷體" w:hint="eastAsia"/>
          <w:kern w:val="0"/>
          <w:szCs w:val="28"/>
        </w:rPr>
        <w:t>第10－1條規定自112年6月2日正式施行，迄至114年3月底，</w:t>
      </w:r>
      <w:r>
        <w:rPr>
          <w:rFonts w:ascii="標楷體" w:eastAsia="標楷體" w:hAnsi="標楷體" w:hint="eastAsia"/>
          <w:kern w:val="0"/>
          <w:szCs w:val="28"/>
          <w:shd w:val="clear" w:color="auto" w:fill="FFFFFF"/>
        </w:rPr>
        <w:t>除將辦理黃牛檢舉案件之處理程序及獎金發放等業務之權責劃分原則，載明於內部控制制度</w:t>
      </w:r>
      <w:r>
        <w:rPr>
          <w:rFonts w:ascii="標楷體" w:eastAsia="標楷體" w:hAnsi="標楷體" w:hint="eastAsia"/>
          <w:spacing w:val="-12"/>
          <w:kern w:val="0"/>
          <w:szCs w:val="28"/>
          <w:shd w:val="clear" w:color="auto" w:fill="FFFFFF"/>
        </w:rPr>
        <w:t>分層負責明細表外，</w:t>
      </w:r>
      <w:r>
        <w:rPr>
          <w:rFonts w:ascii="標楷體" w:eastAsia="標楷體" w:hAnsi="標楷體" w:hint="eastAsia"/>
          <w:kern w:val="0"/>
          <w:szCs w:val="28"/>
        </w:rPr>
        <w:t>仍未依臺北市政府112年4月26日修正臺北市政府實施內部控制制度作業原則第5點第5款規定，就內部各單位辦理該類檢舉案件之行政裁處及罰鍰收繳等相關作業程序，</w:t>
      </w:r>
      <w:proofErr w:type="gramStart"/>
      <w:r>
        <w:rPr>
          <w:rFonts w:ascii="標楷體" w:eastAsia="標楷體" w:hAnsi="標楷體" w:hint="eastAsia"/>
          <w:kern w:val="0"/>
          <w:szCs w:val="28"/>
        </w:rPr>
        <w:t>研</w:t>
      </w:r>
      <w:proofErr w:type="gramEnd"/>
      <w:r>
        <w:rPr>
          <w:rFonts w:ascii="標楷體" w:eastAsia="標楷體" w:hAnsi="標楷體" w:hint="eastAsia"/>
          <w:kern w:val="0"/>
          <w:szCs w:val="28"/>
        </w:rPr>
        <w:t>訂內部控制制度，以明權責，並有效管控案件辦理進度；2.</w:t>
      </w:r>
      <w:proofErr w:type="gramStart"/>
      <w:r>
        <w:rPr>
          <w:rFonts w:ascii="標楷體" w:eastAsia="標楷體" w:hAnsi="標楷體" w:hint="eastAsia"/>
          <w:kern w:val="0"/>
          <w:szCs w:val="28"/>
        </w:rPr>
        <w:t>列管前開</w:t>
      </w:r>
      <w:proofErr w:type="gramEnd"/>
      <w:r>
        <w:rPr>
          <w:rFonts w:ascii="標楷體" w:eastAsia="標楷體" w:hAnsi="標楷體" w:hint="eastAsia"/>
          <w:kern w:val="0"/>
          <w:szCs w:val="28"/>
        </w:rPr>
        <w:t>5,817件檢舉案，截至114年3月底，業經行政調查完成裁處者計86件（占1.48％）；因檢舉案件資料不</w:t>
      </w:r>
      <w:r w:rsidRPr="00AE147C">
        <w:rPr>
          <w:rFonts w:ascii="標楷體" w:eastAsia="標楷體" w:hAnsi="標楷體" w:hint="eastAsia"/>
          <w:spacing w:val="4"/>
          <w:kern w:val="0"/>
          <w:szCs w:val="28"/>
        </w:rPr>
        <w:t>全及受理後依權責</w:t>
      </w:r>
      <w:proofErr w:type="gramStart"/>
      <w:r w:rsidRPr="00AE147C">
        <w:rPr>
          <w:rFonts w:ascii="標楷體" w:eastAsia="標楷體" w:hAnsi="標楷體" w:hint="eastAsia"/>
          <w:spacing w:val="4"/>
          <w:kern w:val="0"/>
          <w:szCs w:val="28"/>
        </w:rPr>
        <w:t>辦結者計</w:t>
      </w:r>
      <w:proofErr w:type="gramEnd"/>
      <w:r w:rsidRPr="00AE147C">
        <w:rPr>
          <w:rFonts w:ascii="標楷體" w:eastAsia="標楷體" w:hAnsi="標楷體" w:hint="eastAsia"/>
          <w:spacing w:val="4"/>
          <w:kern w:val="0"/>
          <w:szCs w:val="28"/>
        </w:rPr>
        <w:t>4,565件（占78.48％）；仍在調查中尚未結案者計1,166件</w:t>
      </w:r>
      <w:proofErr w:type="gramStart"/>
      <w:r w:rsidRPr="00AE147C">
        <w:rPr>
          <w:rFonts w:ascii="標楷體" w:eastAsia="標楷體" w:hAnsi="標楷體" w:hint="eastAsia"/>
          <w:spacing w:val="4"/>
          <w:kern w:val="0"/>
          <w:szCs w:val="28"/>
        </w:rPr>
        <w:t>（</w:t>
      </w:r>
      <w:proofErr w:type="gramEnd"/>
      <w:r w:rsidRPr="00AE147C">
        <w:rPr>
          <w:rFonts w:ascii="標楷體" w:eastAsia="標楷體" w:hAnsi="標楷體" w:hint="eastAsia"/>
          <w:spacing w:val="4"/>
          <w:kern w:val="0"/>
          <w:szCs w:val="28"/>
        </w:rPr>
        <w:t>占</w:t>
      </w:r>
    </w:p>
    <w:p w14:paraId="618EA418" w14:textId="162C9252" w:rsidR="00436738" w:rsidRDefault="00436738" w:rsidP="002345B0">
      <w:pPr>
        <w:spacing w:line="430" w:lineRule="exact"/>
        <w:jc w:val="both"/>
        <w:rPr>
          <w:rFonts w:ascii="標楷體" w:eastAsia="標楷體" w:hAnsi="標楷體" w:cs="全字庫正楷體"/>
          <w:kern w:val="0"/>
        </w:rPr>
      </w:pPr>
      <w:r>
        <w:rPr>
          <w:rFonts w:hint="eastAsia"/>
          <w:noProof/>
        </w:rPr>
        <w:lastRenderedPageBreak/>
        <mc:AlternateContent>
          <mc:Choice Requires="wps">
            <w:drawing>
              <wp:anchor distT="45720" distB="45720" distL="114300" distR="114300" simplePos="0" relativeHeight="251712512" behindDoc="1" locked="0" layoutInCell="1" allowOverlap="1" wp14:anchorId="61E9CA39" wp14:editId="38F61619">
                <wp:simplePos x="0" y="0"/>
                <wp:positionH relativeFrom="margin">
                  <wp:posOffset>2397760</wp:posOffset>
                </wp:positionH>
                <wp:positionV relativeFrom="page">
                  <wp:posOffset>914400</wp:posOffset>
                </wp:positionV>
                <wp:extent cx="3891280" cy="2303780"/>
                <wp:effectExtent l="0" t="0" r="0" b="1270"/>
                <wp:wrapTight wrapText="bothSides">
                  <wp:wrapPolygon edited="0">
                    <wp:start x="0" y="0"/>
                    <wp:lineTo x="0" y="21433"/>
                    <wp:lineTo x="21466" y="21433"/>
                    <wp:lineTo x="21466" y="0"/>
                    <wp:lineTo x="0" y="0"/>
                  </wp:wrapPolygon>
                </wp:wrapTight>
                <wp:docPr id="927419595" name="文字方塊 9274195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1280" cy="2303780"/>
                        </a:xfrm>
                        <a:prstGeom prst="rect">
                          <a:avLst/>
                        </a:prstGeom>
                        <a:solidFill>
                          <a:srgbClr val="FFFFFF"/>
                        </a:solidFill>
                        <a:ln w="9525">
                          <a:noFill/>
                          <a:miter lim="800000"/>
                          <a:headEnd/>
                          <a:tailEnd/>
                        </a:ln>
                      </wps:spPr>
                      <wps:txbx>
                        <w:txbxContent>
                          <w:p w14:paraId="33C914E8" w14:textId="77777777" w:rsidR="00436738" w:rsidRDefault="00436738" w:rsidP="00436738">
                            <w:pPr>
                              <w:ind w:left="661" w:hangingChars="275" w:hanging="661"/>
                              <w:jc w:val="both"/>
                              <w:rPr>
                                <w:rFonts w:ascii="標楷體" w:eastAsia="標楷體" w:hAnsi="標楷體"/>
                                <w:b/>
                                <w:bCs/>
                              </w:rPr>
                            </w:pPr>
                            <w:r>
                              <w:rPr>
                                <w:rFonts w:ascii="標楷體" w:eastAsia="標楷體" w:hAnsi="標楷體" w:hint="eastAsia"/>
                                <w:b/>
                                <w:bCs/>
                              </w:rPr>
                              <w:t xml:space="preserve">圖2　</w:t>
                            </w:r>
                            <w:r>
                              <w:rPr>
                                <w:rFonts w:ascii="標楷體" w:eastAsia="標楷體" w:hAnsi="標楷體" w:hint="eastAsia"/>
                                <w:b/>
                                <w:bCs/>
                                <w:spacing w:val="-16"/>
                              </w:rPr>
                              <w:t>113年底前受理黃牛檢舉案件截至114年3月底處理情形</w:t>
                            </w:r>
                          </w:p>
                          <w:p w14:paraId="4433C520" w14:textId="77777777" w:rsidR="00436738" w:rsidRDefault="00436738" w:rsidP="00436738">
                            <w:pPr>
                              <w:spacing w:line="20" w:lineRule="exact"/>
                            </w:pPr>
                          </w:p>
                          <w:p w14:paraId="111E22FC" w14:textId="77777777" w:rsidR="00436738" w:rsidRDefault="00436738" w:rsidP="00436738">
                            <w:pPr>
                              <w:spacing w:line="20" w:lineRule="exact"/>
                            </w:pPr>
                          </w:p>
                          <w:p w14:paraId="4C30E687" w14:textId="77777777" w:rsidR="00436738" w:rsidRDefault="00436738" w:rsidP="00436738">
                            <w:pPr>
                              <w:spacing w:line="20" w:lineRule="exact"/>
                            </w:pPr>
                          </w:p>
                          <w:p w14:paraId="0B089FBD" w14:textId="77777777" w:rsidR="00436738" w:rsidRDefault="00436738" w:rsidP="00436738">
                            <w:pPr>
                              <w:spacing w:line="20" w:lineRule="exact"/>
                            </w:pPr>
                          </w:p>
                          <w:p w14:paraId="64E4CF34" w14:textId="77777777" w:rsidR="00436738" w:rsidRDefault="00436738" w:rsidP="00436738">
                            <w:pPr>
                              <w:spacing w:line="20" w:lineRule="exact"/>
                            </w:pPr>
                          </w:p>
                          <w:p w14:paraId="38EDEAE9" w14:textId="77777777" w:rsidR="00436738" w:rsidRDefault="00436738" w:rsidP="00436738">
                            <w:pPr>
                              <w:spacing w:line="20" w:lineRule="exact"/>
                            </w:pPr>
                          </w:p>
                          <w:p w14:paraId="1A59D180" w14:textId="77777777" w:rsidR="00436738" w:rsidRDefault="00436738" w:rsidP="00436738">
                            <w:pPr>
                              <w:spacing w:line="20" w:lineRule="exact"/>
                            </w:pPr>
                          </w:p>
                          <w:p w14:paraId="02C6E1B6" w14:textId="77777777" w:rsidR="00436738" w:rsidRDefault="00436738" w:rsidP="00436738">
                            <w:pPr>
                              <w:spacing w:line="20" w:lineRule="exact"/>
                            </w:pPr>
                          </w:p>
                          <w:p w14:paraId="22CDBE2A" w14:textId="77777777" w:rsidR="00436738" w:rsidRDefault="00436738" w:rsidP="00436738">
                            <w:pPr>
                              <w:spacing w:line="20" w:lineRule="exact"/>
                            </w:pPr>
                          </w:p>
                          <w:p w14:paraId="4A0509D5" w14:textId="77777777" w:rsidR="00436738" w:rsidRDefault="00436738" w:rsidP="00436738">
                            <w:pPr>
                              <w:spacing w:line="20" w:lineRule="exact"/>
                            </w:pPr>
                          </w:p>
                          <w:p w14:paraId="3E57002E" w14:textId="77777777" w:rsidR="00436738" w:rsidRDefault="00436738" w:rsidP="00436738">
                            <w:pPr>
                              <w:spacing w:line="20" w:lineRule="exact"/>
                            </w:pPr>
                          </w:p>
                          <w:p w14:paraId="2AAEA959" w14:textId="77777777" w:rsidR="00436738" w:rsidRDefault="00436738" w:rsidP="00436738">
                            <w:pPr>
                              <w:spacing w:line="20" w:lineRule="exact"/>
                            </w:pPr>
                          </w:p>
                          <w:p w14:paraId="09A37D7F" w14:textId="77777777" w:rsidR="00436738" w:rsidRDefault="00436738" w:rsidP="00436738">
                            <w:pPr>
                              <w:spacing w:line="20" w:lineRule="exact"/>
                            </w:pPr>
                          </w:p>
                          <w:p w14:paraId="60123386" w14:textId="77777777" w:rsidR="00436738" w:rsidRDefault="00436738" w:rsidP="00436738">
                            <w:pPr>
                              <w:spacing w:line="20" w:lineRule="exact"/>
                            </w:pPr>
                          </w:p>
                          <w:p w14:paraId="354F72F9" w14:textId="77777777" w:rsidR="00436738" w:rsidRDefault="00436738" w:rsidP="00436738">
                            <w:pPr>
                              <w:spacing w:line="20" w:lineRule="exact"/>
                            </w:pPr>
                          </w:p>
                          <w:p w14:paraId="43FA8563" w14:textId="77777777" w:rsidR="00436738" w:rsidRDefault="00436738" w:rsidP="00436738">
                            <w:pPr>
                              <w:spacing w:line="20" w:lineRule="exact"/>
                            </w:pPr>
                          </w:p>
                          <w:p w14:paraId="7CDBF304" w14:textId="77777777" w:rsidR="00436738" w:rsidRDefault="00436738" w:rsidP="00436738">
                            <w:pPr>
                              <w:spacing w:line="20" w:lineRule="exact"/>
                            </w:pPr>
                          </w:p>
                          <w:p w14:paraId="1D06C84E" w14:textId="77777777" w:rsidR="00436738" w:rsidRDefault="00436738" w:rsidP="00436738">
                            <w:pPr>
                              <w:spacing w:line="20" w:lineRule="exact"/>
                            </w:pPr>
                          </w:p>
                          <w:p w14:paraId="283F28E3" w14:textId="77777777" w:rsidR="00436738" w:rsidRDefault="00436738" w:rsidP="00436738">
                            <w:pPr>
                              <w:spacing w:line="20" w:lineRule="exact"/>
                            </w:pPr>
                          </w:p>
                          <w:p w14:paraId="1A104A0F" w14:textId="77777777" w:rsidR="00436738" w:rsidRDefault="00436738" w:rsidP="00436738">
                            <w:pPr>
                              <w:spacing w:line="20" w:lineRule="exact"/>
                            </w:pPr>
                          </w:p>
                          <w:p w14:paraId="7DF5E0C3" w14:textId="77777777" w:rsidR="00436738" w:rsidRDefault="00436738" w:rsidP="00436738">
                            <w:pPr>
                              <w:spacing w:line="20" w:lineRule="exact"/>
                            </w:pPr>
                          </w:p>
                          <w:p w14:paraId="5CBC8556" w14:textId="77777777" w:rsidR="00436738" w:rsidRDefault="00436738" w:rsidP="00436738">
                            <w:pPr>
                              <w:spacing w:line="20" w:lineRule="exact"/>
                            </w:pPr>
                          </w:p>
                          <w:p w14:paraId="47540EAE" w14:textId="77777777" w:rsidR="00436738" w:rsidRDefault="00436738" w:rsidP="00436738">
                            <w:pPr>
                              <w:spacing w:line="20" w:lineRule="exact"/>
                            </w:pPr>
                          </w:p>
                          <w:p w14:paraId="7EC40C43" w14:textId="77777777" w:rsidR="00436738" w:rsidRDefault="00436738" w:rsidP="00436738">
                            <w:pPr>
                              <w:spacing w:line="20" w:lineRule="exact"/>
                            </w:pPr>
                          </w:p>
                          <w:p w14:paraId="42176B7D" w14:textId="77777777" w:rsidR="00436738" w:rsidRDefault="00436738" w:rsidP="00436738">
                            <w:pPr>
                              <w:spacing w:line="20" w:lineRule="exact"/>
                            </w:pPr>
                          </w:p>
                          <w:p w14:paraId="17836BB6" w14:textId="77777777" w:rsidR="00436738" w:rsidRDefault="00436738" w:rsidP="00436738">
                            <w:pPr>
                              <w:spacing w:line="20" w:lineRule="exact"/>
                            </w:pPr>
                          </w:p>
                          <w:p w14:paraId="27C7DBAB" w14:textId="77777777" w:rsidR="00436738" w:rsidRDefault="00436738" w:rsidP="00436738">
                            <w:pPr>
                              <w:spacing w:line="20" w:lineRule="exact"/>
                            </w:pPr>
                          </w:p>
                          <w:p w14:paraId="3942EB97" w14:textId="77777777" w:rsidR="00436738" w:rsidRDefault="00436738" w:rsidP="00436738">
                            <w:pPr>
                              <w:spacing w:line="20" w:lineRule="exact"/>
                            </w:pPr>
                          </w:p>
                          <w:p w14:paraId="5754C9BC" w14:textId="77777777" w:rsidR="00436738" w:rsidRDefault="00436738" w:rsidP="00436738">
                            <w:pPr>
                              <w:spacing w:line="20" w:lineRule="exact"/>
                            </w:pPr>
                          </w:p>
                          <w:p w14:paraId="6ACC0EE1" w14:textId="77777777" w:rsidR="00436738" w:rsidRDefault="00436738" w:rsidP="00436738">
                            <w:pPr>
                              <w:spacing w:line="20" w:lineRule="exact"/>
                            </w:pPr>
                          </w:p>
                          <w:p w14:paraId="3163C8EC" w14:textId="77777777" w:rsidR="00436738" w:rsidRDefault="00436738" w:rsidP="00436738">
                            <w:pPr>
                              <w:spacing w:line="20" w:lineRule="exact"/>
                            </w:pPr>
                          </w:p>
                          <w:p w14:paraId="5C1FD0E3" w14:textId="77777777" w:rsidR="00436738" w:rsidRDefault="00436738" w:rsidP="00436738">
                            <w:pPr>
                              <w:spacing w:line="20" w:lineRule="exact"/>
                            </w:pPr>
                          </w:p>
                          <w:p w14:paraId="4B9D756C" w14:textId="77777777" w:rsidR="00436738" w:rsidRDefault="00436738" w:rsidP="00436738">
                            <w:pPr>
                              <w:spacing w:line="20" w:lineRule="exact"/>
                            </w:pPr>
                          </w:p>
                          <w:p w14:paraId="72AE8BB8" w14:textId="77777777" w:rsidR="00436738" w:rsidRDefault="00436738" w:rsidP="00436738">
                            <w:pPr>
                              <w:spacing w:line="20" w:lineRule="exact"/>
                            </w:pPr>
                          </w:p>
                          <w:p w14:paraId="2D3309BB" w14:textId="77777777" w:rsidR="00436738" w:rsidRDefault="00436738" w:rsidP="00436738">
                            <w:pPr>
                              <w:spacing w:line="20" w:lineRule="exact"/>
                            </w:pPr>
                          </w:p>
                          <w:p w14:paraId="1A091664" w14:textId="77777777" w:rsidR="00436738" w:rsidRDefault="00436738" w:rsidP="00436738">
                            <w:pPr>
                              <w:spacing w:line="20" w:lineRule="exact"/>
                            </w:pPr>
                          </w:p>
                          <w:p w14:paraId="69ACAA6E" w14:textId="77777777" w:rsidR="00436738" w:rsidRDefault="00436738" w:rsidP="00436738">
                            <w:pPr>
                              <w:spacing w:line="20" w:lineRule="exact"/>
                            </w:pPr>
                          </w:p>
                          <w:p w14:paraId="20132F54" w14:textId="77777777" w:rsidR="00436738" w:rsidRDefault="00436738" w:rsidP="00436738">
                            <w:pPr>
                              <w:spacing w:line="20" w:lineRule="exact"/>
                            </w:pPr>
                          </w:p>
                          <w:p w14:paraId="1B0B7C8A" w14:textId="77777777" w:rsidR="00436738" w:rsidRDefault="00436738" w:rsidP="00436738">
                            <w:pPr>
                              <w:spacing w:line="20" w:lineRule="exact"/>
                            </w:pPr>
                          </w:p>
                          <w:p w14:paraId="22B57780" w14:textId="77777777" w:rsidR="00436738" w:rsidRDefault="00436738" w:rsidP="00436738">
                            <w:pPr>
                              <w:spacing w:line="20" w:lineRule="exact"/>
                            </w:pPr>
                          </w:p>
                          <w:p w14:paraId="26B63A46" w14:textId="77777777" w:rsidR="00436738" w:rsidRDefault="00436738" w:rsidP="00436738">
                            <w:pPr>
                              <w:spacing w:line="20" w:lineRule="exact"/>
                            </w:pPr>
                          </w:p>
                          <w:p w14:paraId="37E661ED" w14:textId="77777777" w:rsidR="00436738" w:rsidRDefault="00436738" w:rsidP="00436738">
                            <w:pPr>
                              <w:spacing w:line="20" w:lineRule="exact"/>
                            </w:pPr>
                          </w:p>
                          <w:p w14:paraId="1C479A6A" w14:textId="77777777" w:rsidR="00436738" w:rsidRDefault="00436738" w:rsidP="00436738">
                            <w:pPr>
                              <w:spacing w:line="20" w:lineRule="exact"/>
                            </w:pPr>
                          </w:p>
                          <w:p w14:paraId="01FB9BC5" w14:textId="77777777" w:rsidR="00436738" w:rsidRDefault="00436738" w:rsidP="00436738">
                            <w:pPr>
                              <w:spacing w:line="20" w:lineRule="exact"/>
                            </w:pPr>
                          </w:p>
                          <w:p w14:paraId="2C937E14" w14:textId="77777777" w:rsidR="00436738" w:rsidRDefault="00436738" w:rsidP="00436738">
                            <w:pPr>
                              <w:spacing w:line="20" w:lineRule="exact"/>
                            </w:pPr>
                          </w:p>
                          <w:p w14:paraId="315890DF" w14:textId="77777777" w:rsidR="00436738" w:rsidRDefault="00436738" w:rsidP="00436738">
                            <w:pPr>
                              <w:spacing w:line="20" w:lineRule="exact"/>
                            </w:pPr>
                          </w:p>
                          <w:p w14:paraId="2DBA900F" w14:textId="77777777" w:rsidR="00436738" w:rsidRDefault="00436738" w:rsidP="00436738">
                            <w:pPr>
                              <w:spacing w:line="20" w:lineRule="exact"/>
                            </w:pPr>
                          </w:p>
                          <w:p w14:paraId="69354924" w14:textId="77777777" w:rsidR="00436738" w:rsidRDefault="00436738" w:rsidP="00436738">
                            <w:pPr>
                              <w:spacing w:line="20" w:lineRule="exact"/>
                            </w:pPr>
                          </w:p>
                          <w:p w14:paraId="3C43E509" w14:textId="77777777" w:rsidR="00436738" w:rsidRDefault="00436738" w:rsidP="00436738">
                            <w:pPr>
                              <w:spacing w:line="20" w:lineRule="exact"/>
                            </w:pPr>
                          </w:p>
                          <w:p w14:paraId="13B666E2" w14:textId="77777777" w:rsidR="00436738" w:rsidRDefault="00436738" w:rsidP="00436738">
                            <w:pPr>
                              <w:spacing w:line="20" w:lineRule="exact"/>
                            </w:pPr>
                          </w:p>
                          <w:p w14:paraId="5795B30F" w14:textId="77777777" w:rsidR="00436738" w:rsidRDefault="00436738" w:rsidP="00436738">
                            <w:pPr>
                              <w:spacing w:line="20" w:lineRule="exact"/>
                            </w:pPr>
                          </w:p>
                          <w:p w14:paraId="250320D1" w14:textId="77777777" w:rsidR="00436738" w:rsidRDefault="00436738" w:rsidP="00436738">
                            <w:pPr>
                              <w:spacing w:line="20" w:lineRule="exact"/>
                            </w:pPr>
                          </w:p>
                          <w:p w14:paraId="040EA7A7" w14:textId="77777777" w:rsidR="00436738" w:rsidRDefault="00436738" w:rsidP="00436738">
                            <w:pPr>
                              <w:spacing w:line="20" w:lineRule="exact"/>
                            </w:pPr>
                          </w:p>
                          <w:p w14:paraId="41426E36" w14:textId="77777777" w:rsidR="00436738" w:rsidRDefault="00436738" w:rsidP="00436738">
                            <w:pPr>
                              <w:spacing w:line="20" w:lineRule="exact"/>
                            </w:pPr>
                          </w:p>
                          <w:p w14:paraId="2C8ADE77" w14:textId="77777777" w:rsidR="00436738" w:rsidRDefault="00436738" w:rsidP="00436738">
                            <w:pPr>
                              <w:spacing w:line="20" w:lineRule="exact"/>
                            </w:pPr>
                          </w:p>
                          <w:p w14:paraId="668554B1" w14:textId="77777777" w:rsidR="00436738" w:rsidRDefault="00436738" w:rsidP="00436738">
                            <w:pPr>
                              <w:spacing w:line="20" w:lineRule="exact"/>
                            </w:pPr>
                          </w:p>
                          <w:p w14:paraId="240F05DC" w14:textId="77777777" w:rsidR="00436738" w:rsidRDefault="00436738" w:rsidP="00436738">
                            <w:pPr>
                              <w:spacing w:line="20" w:lineRule="exact"/>
                            </w:pPr>
                          </w:p>
                          <w:p w14:paraId="6F60908D" w14:textId="77777777" w:rsidR="00436738" w:rsidRDefault="00436738" w:rsidP="00436738">
                            <w:pPr>
                              <w:spacing w:line="20" w:lineRule="exact"/>
                            </w:pPr>
                          </w:p>
                          <w:p w14:paraId="669663F0" w14:textId="77777777" w:rsidR="00436738" w:rsidRDefault="00436738" w:rsidP="00436738">
                            <w:pPr>
                              <w:spacing w:line="20" w:lineRule="exact"/>
                            </w:pPr>
                          </w:p>
                          <w:p w14:paraId="3284CBA0" w14:textId="77777777" w:rsidR="00436738" w:rsidRDefault="00436738" w:rsidP="00436738">
                            <w:pPr>
                              <w:spacing w:line="20" w:lineRule="exact"/>
                            </w:pPr>
                          </w:p>
                          <w:p w14:paraId="2B848002" w14:textId="77777777" w:rsidR="00436738" w:rsidRDefault="00436738" w:rsidP="00436738">
                            <w:pPr>
                              <w:spacing w:line="20" w:lineRule="exact"/>
                            </w:pPr>
                          </w:p>
                          <w:p w14:paraId="152FA020" w14:textId="77777777" w:rsidR="00436738" w:rsidRDefault="00436738" w:rsidP="00436738">
                            <w:pPr>
                              <w:spacing w:line="20" w:lineRule="exact"/>
                            </w:pPr>
                          </w:p>
                          <w:p w14:paraId="5F1EA578" w14:textId="77777777" w:rsidR="00436738" w:rsidRDefault="00436738" w:rsidP="00436738">
                            <w:pPr>
                              <w:spacing w:line="20" w:lineRule="exact"/>
                            </w:pPr>
                          </w:p>
                          <w:p w14:paraId="35BECF20" w14:textId="77777777" w:rsidR="00436738" w:rsidRDefault="00436738" w:rsidP="00436738">
                            <w:pPr>
                              <w:spacing w:line="20" w:lineRule="exact"/>
                            </w:pPr>
                          </w:p>
                          <w:p w14:paraId="741CD2FE" w14:textId="77777777" w:rsidR="00436738" w:rsidRDefault="00436738" w:rsidP="00436738">
                            <w:pPr>
                              <w:spacing w:line="20" w:lineRule="exact"/>
                            </w:pPr>
                          </w:p>
                          <w:p w14:paraId="10D74859" w14:textId="77777777" w:rsidR="00436738" w:rsidRDefault="00436738" w:rsidP="00436738">
                            <w:pPr>
                              <w:spacing w:line="20" w:lineRule="exact"/>
                            </w:pPr>
                          </w:p>
                          <w:p w14:paraId="2DFF2B5E" w14:textId="77777777" w:rsidR="00436738" w:rsidRDefault="00436738" w:rsidP="00436738">
                            <w:pPr>
                              <w:spacing w:line="20" w:lineRule="exact"/>
                            </w:pPr>
                          </w:p>
                          <w:p w14:paraId="312F6EFF" w14:textId="77777777" w:rsidR="00436738" w:rsidRDefault="00436738" w:rsidP="00436738">
                            <w:pPr>
                              <w:spacing w:line="20" w:lineRule="exact"/>
                            </w:pPr>
                          </w:p>
                          <w:p w14:paraId="03C1E8CF" w14:textId="77777777" w:rsidR="00436738" w:rsidRDefault="00436738" w:rsidP="00436738">
                            <w:pPr>
                              <w:spacing w:line="20" w:lineRule="exact"/>
                            </w:pPr>
                          </w:p>
                          <w:p w14:paraId="410CFB35" w14:textId="77777777" w:rsidR="00436738" w:rsidRDefault="00436738" w:rsidP="00436738">
                            <w:pPr>
                              <w:spacing w:line="20" w:lineRule="exact"/>
                            </w:pPr>
                          </w:p>
                          <w:p w14:paraId="2A0DE7F6" w14:textId="77777777" w:rsidR="00436738" w:rsidRDefault="00436738" w:rsidP="00436738">
                            <w:pPr>
                              <w:spacing w:line="20" w:lineRule="exact"/>
                            </w:pPr>
                          </w:p>
                          <w:p w14:paraId="72889BAF" w14:textId="77777777" w:rsidR="00436738" w:rsidRDefault="00436738" w:rsidP="00436738">
                            <w:pPr>
                              <w:spacing w:line="20" w:lineRule="exact"/>
                            </w:pPr>
                          </w:p>
                          <w:p w14:paraId="7DC9882C" w14:textId="77777777" w:rsidR="00436738" w:rsidRDefault="00436738" w:rsidP="00436738">
                            <w:pPr>
                              <w:spacing w:line="20" w:lineRule="exact"/>
                            </w:pPr>
                          </w:p>
                          <w:p w14:paraId="377A0D13" w14:textId="77777777" w:rsidR="00436738" w:rsidRDefault="00436738" w:rsidP="00436738">
                            <w:pPr>
                              <w:spacing w:line="20" w:lineRule="exact"/>
                            </w:pPr>
                          </w:p>
                          <w:p w14:paraId="60546CF0" w14:textId="77777777" w:rsidR="00436738" w:rsidRDefault="00436738" w:rsidP="00436738">
                            <w:pPr>
                              <w:spacing w:line="20" w:lineRule="exact"/>
                            </w:pPr>
                          </w:p>
                          <w:p w14:paraId="21E427A1" w14:textId="77777777" w:rsidR="00436738" w:rsidRDefault="00436738" w:rsidP="00436738">
                            <w:pPr>
                              <w:spacing w:line="20" w:lineRule="exact"/>
                            </w:pPr>
                          </w:p>
                          <w:p w14:paraId="48D1094E" w14:textId="77777777" w:rsidR="00436738" w:rsidRDefault="00436738" w:rsidP="00436738">
                            <w:pPr>
                              <w:spacing w:line="20" w:lineRule="exact"/>
                            </w:pPr>
                          </w:p>
                          <w:p w14:paraId="165EC98F" w14:textId="77777777" w:rsidR="00436738" w:rsidRDefault="00436738" w:rsidP="00436738">
                            <w:pPr>
                              <w:spacing w:line="20" w:lineRule="exact"/>
                            </w:pPr>
                          </w:p>
                          <w:p w14:paraId="4D672CB8" w14:textId="77777777" w:rsidR="00436738" w:rsidRDefault="00436738" w:rsidP="00436738">
                            <w:pPr>
                              <w:spacing w:line="20" w:lineRule="exact"/>
                            </w:pPr>
                          </w:p>
                          <w:p w14:paraId="0A2B6A69" w14:textId="77777777" w:rsidR="00436738" w:rsidRDefault="00436738" w:rsidP="00436738">
                            <w:pPr>
                              <w:spacing w:line="20" w:lineRule="exact"/>
                            </w:pPr>
                          </w:p>
                          <w:p w14:paraId="3E9DF046" w14:textId="77777777" w:rsidR="00436738" w:rsidRDefault="00436738" w:rsidP="00436738">
                            <w:pPr>
                              <w:spacing w:line="20" w:lineRule="exact"/>
                            </w:pPr>
                          </w:p>
                          <w:p w14:paraId="4C1774C3" w14:textId="77777777" w:rsidR="00436738" w:rsidRDefault="00436738" w:rsidP="00436738">
                            <w:pPr>
                              <w:spacing w:line="20" w:lineRule="exact"/>
                            </w:pPr>
                          </w:p>
                          <w:p w14:paraId="3AE733AF" w14:textId="77777777" w:rsidR="00436738" w:rsidRDefault="00436738" w:rsidP="00436738">
                            <w:pPr>
                              <w:spacing w:line="20" w:lineRule="exact"/>
                            </w:pPr>
                          </w:p>
                          <w:p w14:paraId="52B6880E" w14:textId="77777777" w:rsidR="00436738" w:rsidRDefault="00436738" w:rsidP="00436738">
                            <w:pPr>
                              <w:spacing w:line="20" w:lineRule="exact"/>
                            </w:pPr>
                          </w:p>
                          <w:p w14:paraId="3F8E65DD" w14:textId="77777777" w:rsidR="00436738" w:rsidRDefault="00436738" w:rsidP="00436738">
                            <w:pPr>
                              <w:spacing w:line="20" w:lineRule="exact"/>
                            </w:pPr>
                          </w:p>
                          <w:p w14:paraId="54E6B4E3" w14:textId="77777777" w:rsidR="00436738" w:rsidRDefault="00436738" w:rsidP="00436738">
                            <w:pPr>
                              <w:spacing w:line="20" w:lineRule="exact"/>
                            </w:pPr>
                          </w:p>
                          <w:p w14:paraId="31B64DFE" w14:textId="77777777" w:rsidR="00436738" w:rsidRDefault="00436738" w:rsidP="00436738">
                            <w:pPr>
                              <w:spacing w:line="20" w:lineRule="exact"/>
                            </w:pPr>
                          </w:p>
                          <w:p w14:paraId="39DAE7D5" w14:textId="77777777" w:rsidR="00436738" w:rsidRDefault="00436738" w:rsidP="00436738">
                            <w:pPr>
                              <w:spacing w:line="20" w:lineRule="exact"/>
                            </w:pPr>
                          </w:p>
                          <w:p w14:paraId="1DFCB910" w14:textId="77777777" w:rsidR="00436738" w:rsidRDefault="00436738" w:rsidP="00436738">
                            <w:pPr>
                              <w:spacing w:line="20" w:lineRule="exact"/>
                            </w:pPr>
                          </w:p>
                          <w:p w14:paraId="035456C2" w14:textId="77777777" w:rsidR="00436738" w:rsidRDefault="00436738" w:rsidP="00436738">
                            <w:pPr>
                              <w:spacing w:line="20" w:lineRule="exact"/>
                            </w:pPr>
                          </w:p>
                          <w:p w14:paraId="55910FF1" w14:textId="77777777" w:rsidR="00436738" w:rsidRDefault="00436738" w:rsidP="00436738">
                            <w:pPr>
                              <w:spacing w:line="20" w:lineRule="exact"/>
                            </w:pPr>
                          </w:p>
                          <w:p w14:paraId="391D64A0" w14:textId="77777777" w:rsidR="00436738" w:rsidRDefault="00436738" w:rsidP="00436738">
                            <w:pPr>
                              <w:spacing w:line="20" w:lineRule="exact"/>
                            </w:pPr>
                          </w:p>
                          <w:p w14:paraId="37AA10F6" w14:textId="77777777" w:rsidR="00436738" w:rsidRDefault="00436738" w:rsidP="00436738">
                            <w:pPr>
                              <w:spacing w:line="20" w:lineRule="exact"/>
                            </w:pPr>
                          </w:p>
                          <w:p w14:paraId="1259881C" w14:textId="77777777" w:rsidR="00436738" w:rsidRDefault="00436738" w:rsidP="00436738">
                            <w:pPr>
                              <w:spacing w:line="20" w:lineRule="exact"/>
                            </w:pPr>
                          </w:p>
                          <w:p w14:paraId="0FC74C61" w14:textId="77777777" w:rsidR="00436738" w:rsidRDefault="00436738" w:rsidP="00436738">
                            <w:pPr>
                              <w:spacing w:line="20" w:lineRule="exact"/>
                            </w:pPr>
                          </w:p>
                          <w:p w14:paraId="6BC9CD2C" w14:textId="77777777" w:rsidR="00436738" w:rsidRDefault="00436738" w:rsidP="00436738">
                            <w:pPr>
                              <w:spacing w:line="20" w:lineRule="exact"/>
                            </w:pPr>
                          </w:p>
                          <w:p w14:paraId="37D10A12" w14:textId="77777777" w:rsidR="00436738" w:rsidRDefault="00436738" w:rsidP="00436738">
                            <w:pPr>
                              <w:spacing w:line="20" w:lineRule="exact"/>
                            </w:pPr>
                          </w:p>
                          <w:p w14:paraId="697C1C65" w14:textId="77777777" w:rsidR="00436738" w:rsidRDefault="00436738" w:rsidP="00436738">
                            <w:pPr>
                              <w:spacing w:line="20" w:lineRule="exact"/>
                            </w:pPr>
                          </w:p>
                          <w:p w14:paraId="595A2FF2" w14:textId="77777777" w:rsidR="00436738" w:rsidRDefault="00436738" w:rsidP="00436738">
                            <w:pPr>
                              <w:spacing w:line="20" w:lineRule="exact"/>
                            </w:pPr>
                          </w:p>
                          <w:p w14:paraId="73EE4E46" w14:textId="77777777" w:rsidR="00436738" w:rsidRDefault="00436738" w:rsidP="00436738">
                            <w:pPr>
                              <w:spacing w:line="20" w:lineRule="exact"/>
                            </w:pPr>
                          </w:p>
                          <w:p w14:paraId="183DBAD5" w14:textId="77777777" w:rsidR="00436738" w:rsidRDefault="00436738" w:rsidP="00436738">
                            <w:pPr>
                              <w:spacing w:line="20" w:lineRule="exact"/>
                            </w:pPr>
                          </w:p>
                          <w:p w14:paraId="13354A55" w14:textId="77777777" w:rsidR="00436738" w:rsidRDefault="00436738" w:rsidP="00436738">
                            <w:pPr>
                              <w:spacing w:line="20" w:lineRule="exact"/>
                            </w:pPr>
                          </w:p>
                          <w:p w14:paraId="7E716742" w14:textId="77777777" w:rsidR="00436738" w:rsidRDefault="00436738" w:rsidP="00436738">
                            <w:pPr>
                              <w:spacing w:line="20" w:lineRule="exact"/>
                            </w:pPr>
                          </w:p>
                          <w:p w14:paraId="5F933AA6" w14:textId="77777777" w:rsidR="00436738" w:rsidRDefault="00436738" w:rsidP="00436738">
                            <w:pPr>
                              <w:spacing w:line="20" w:lineRule="exact"/>
                            </w:pPr>
                          </w:p>
                          <w:p w14:paraId="2E3DCCE5" w14:textId="77777777" w:rsidR="00436738" w:rsidRDefault="00436738" w:rsidP="00436738">
                            <w:pPr>
                              <w:spacing w:line="20" w:lineRule="exact"/>
                            </w:pPr>
                          </w:p>
                          <w:p w14:paraId="13EA37D3" w14:textId="77777777" w:rsidR="00436738" w:rsidRDefault="00436738" w:rsidP="00436738">
                            <w:pPr>
                              <w:spacing w:line="20" w:lineRule="exact"/>
                            </w:pPr>
                          </w:p>
                          <w:p w14:paraId="1B6C49D5" w14:textId="77777777" w:rsidR="00436738" w:rsidRDefault="00436738" w:rsidP="00436738">
                            <w:pPr>
                              <w:spacing w:line="20" w:lineRule="exact"/>
                            </w:pPr>
                          </w:p>
                          <w:p w14:paraId="2459425A" w14:textId="77777777" w:rsidR="00436738" w:rsidRDefault="00436738" w:rsidP="00436738">
                            <w:pPr>
                              <w:spacing w:line="20" w:lineRule="exact"/>
                            </w:pPr>
                          </w:p>
                          <w:p w14:paraId="0F534599" w14:textId="77777777" w:rsidR="00436738" w:rsidRDefault="00436738" w:rsidP="00436738">
                            <w:pPr>
                              <w:spacing w:line="20" w:lineRule="exact"/>
                            </w:pPr>
                          </w:p>
                          <w:p w14:paraId="08A1BC54" w14:textId="77777777" w:rsidR="00436738" w:rsidRDefault="00436738" w:rsidP="00436738">
                            <w:pPr>
                              <w:spacing w:line="20" w:lineRule="exact"/>
                            </w:pPr>
                          </w:p>
                          <w:p w14:paraId="3FC28967" w14:textId="77777777" w:rsidR="00436738" w:rsidRDefault="00436738" w:rsidP="00436738">
                            <w:pPr>
                              <w:spacing w:line="20" w:lineRule="exact"/>
                            </w:pPr>
                          </w:p>
                          <w:p w14:paraId="251E18AD" w14:textId="77777777" w:rsidR="00436738" w:rsidRDefault="00436738" w:rsidP="00436738">
                            <w:pPr>
                              <w:spacing w:line="20" w:lineRule="exact"/>
                            </w:pPr>
                          </w:p>
                          <w:p w14:paraId="0EA559AD" w14:textId="77777777" w:rsidR="00436738" w:rsidRDefault="00436738" w:rsidP="00436738">
                            <w:pPr>
                              <w:spacing w:line="20" w:lineRule="exact"/>
                            </w:pPr>
                          </w:p>
                          <w:p w14:paraId="786DF77E" w14:textId="77777777" w:rsidR="00436738" w:rsidRDefault="00436738" w:rsidP="00436738">
                            <w:pPr>
                              <w:spacing w:line="20" w:lineRule="exact"/>
                            </w:pPr>
                          </w:p>
                          <w:p w14:paraId="2DBC9F13" w14:textId="77777777" w:rsidR="00436738" w:rsidRDefault="00436738" w:rsidP="00436738">
                            <w:pPr>
                              <w:spacing w:line="20" w:lineRule="exact"/>
                            </w:pPr>
                          </w:p>
                          <w:p w14:paraId="382F70F2" w14:textId="77777777" w:rsidR="00436738" w:rsidRDefault="00436738" w:rsidP="00436738">
                            <w:pPr>
                              <w:spacing w:line="20" w:lineRule="exact"/>
                            </w:pPr>
                          </w:p>
                          <w:p w14:paraId="0F0CD3FA" w14:textId="77777777" w:rsidR="00436738" w:rsidRDefault="00436738" w:rsidP="00436738">
                            <w:pPr>
                              <w:spacing w:line="20" w:lineRule="exact"/>
                            </w:pPr>
                          </w:p>
                          <w:p w14:paraId="7A2CCC0C" w14:textId="77777777" w:rsidR="00436738" w:rsidRDefault="00436738" w:rsidP="00436738">
                            <w:pPr>
                              <w:spacing w:line="20" w:lineRule="exact"/>
                            </w:pPr>
                          </w:p>
                          <w:p w14:paraId="239CEB56" w14:textId="77777777" w:rsidR="00436738" w:rsidRDefault="00436738" w:rsidP="00436738">
                            <w:pPr>
                              <w:spacing w:line="20" w:lineRule="exact"/>
                            </w:pPr>
                          </w:p>
                          <w:p w14:paraId="55FD0933" w14:textId="77777777" w:rsidR="00436738" w:rsidRDefault="00436738" w:rsidP="00436738">
                            <w:pPr>
                              <w:spacing w:line="20" w:lineRule="exact"/>
                            </w:pPr>
                          </w:p>
                          <w:p w14:paraId="6756C3E4" w14:textId="77777777" w:rsidR="00436738" w:rsidRDefault="00436738" w:rsidP="00436738">
                            <w:pPr>
                              <w:spacing w:line="20" w:lineRule="exact"/>
                            </w:pPr>
                          </w:p>
                          <w:p w14:paraId="06A5DDEB" w14:textId="77777777" w:rsidR="00436738" w:rsidRDefault="00436738" w:rsidP="00436738">
                            <w:pPr>
                              <w:spacing w:line="20" w:lineRule="exact"/>
                            </w:pPr>
                          </w:p>
                          <w:p w14:paraId="243F3CEA" w14:textId="77777777" w:rsidR="00436738" w:rsidRDefault="00436738" w:rsidP="00436738">
                            <w:pPr>
                              <w:spacing w:line="20" w:lineRule="exact"/>
                            </w:pPr>
                          </w:p>
                          <w:p w14:paraId="2910ADDB" w14:textId="77777777" w:rsidR="00436738" w:rsidRDefault="00436738" w:rsidP="00436738">
                            <w:pPr>
                              <w:spacing w:line="20" w:lineRule="exact"/>
                            </w:pPr>
                          </w:p>
                          <w:p w14:paraId="7FEA8405" w14:textId="77777777" w:rsidR="00436738" w:rsidRDefault="00436738" w:rsidP="00436738">
                            <w:pPr>
                              <w:spacing w:line="20" w:lineRule="exact"/>
                            </w:pPr>
                          </w:p>
                          <w:p w14:paraId="62D7AF5F" w14:textId="77777777" w:rsidR="00436738" w:rsidRDefault="00436738" w:rsidP="00436738">
                            <w:pPr>
                              <w:spacing w:line="20" w:lineRule="exact"/>
                            </w:pPr>
                          </w:p>
                          <w:p w14:paraId="076FBD96" w14:textId="77777777" w:rsidR="00436738" w:rsidRDefault="00436738" w:rsidP="00436738">
                            <w:pPr>
                              <w:spacing w:line="20" w:lineRule="exact"/>
                            </w:pPr>
                          </w:p>
                          <w:p w14:paraId="64C8D072" w14:textId="77777777" w:rsidR="00436738" w:rsidRDefault="00436738" w:rsidP="00436738">
                            <w:pPr>
                              <w:spacing w:line="20" w:lineRule="exact"/>
                            </w:pPr>
                          </w:p>
                          <w:p w14:paraId="06F1A505" w14:textId="77777777" w:rsidR="00436738" w:rsidRDefault="00436738" w:rsidP="00436738">
                            <w:pPr>
                              <w:spacing w:line="20" w:lineRule="exact"/>
                            </w:pPr>
                          </w:p>
                          <w:p w14:paraId="7F54711A" w14:textId="77777777" w:rsidR="00436738" w:rsidRDefault="00436738" w:rsidP="00436738">
                            <w:pPr>
                              <w:spacing w:line="20" w:lineRule="exact"/>
                            </w:pPr>
                          </w:p>
                          <w:p w14:paraId="6583ECCD" w14:textId="77777777" w:rsidR="00436738" w:rsidRDefault="00436738" w:rsidP="00436738">
                            <w:pPr>
                              <w:spacing w:line="20" w:lineRule="exact"/>
                            </w:pPr>
                          </w:p>
                          <w:p w14:paraId="11206624" w14:textId="77777777" w:rsidR="00436738" w:rsidRDefault="00436738" w:rsidP="00436738">
                            <w:pPr>
                              <w:spacing w:line="20" w:lineRule="exact"/>
                            </w:pPr>
                          </w:p>
                          <w:p w14:paraId="22FB3B9C" w14:textId="77777777" w:rsidR="00436738" w:rsidRDefault="00436738" w:rsidP="00436738">
                            <w:pPr>
                              <w:spacing w:line="20" w:lineRule="exact"/>
                            </w:pPr>
                          </w:p>
                          <w:p w14:paraId="1B2AA2EB" w14:textId="77777777" w:rsidR="00436738" w:rsidRDefault="00436738" w:rsidP="00436738">
                            <w:pPr>
                              <w:spacing w:line="20" w:lineRule="exact"/>
                            </w:pPr>
                          </w:p>
                          <w:p w14:paraId="4DB8E3A4" w14:textId="77777777" w:rsidR="00436738" w:rsidRDefault="00436738" w:rsidP="00436738">
                            <w:pPr>
                              <w:spacing w:line="20" w:lineRule="exact"/>
                            </w:pPr>
                          </w:p>
                          <w:p w14:paraId="4901F55A" w14:textId="77777777" w:rsidR="00436738" w:rsidRDefault="00436738" w:rsidP="00436738">
                            <w:pPr>
                              <w:spacing w:line="20" w:lineRule="exact"/>
                            </w:pPr>
                          </w:p>
                          <w:p w14:paraId="6B2E5150" w14:textId="77777777" w:rsidR="00436738" w:rsidRDefault="00436738" w:rsidP="00436738">
                            <w:pPr>
                              <w:spacing w:line="20" w:lineRule="exact"/>
                            </w:pPr>
                          </w:p>
                          <w:p w14:paraId="6AF25F2C" w14:textId="77777777" w:rsidR="00436738" w:rsidRDefault="00436738" w:rsidP="00436738">
                            <w:pPr>
                              <w:spacing w:line="20" w:lineRule="exact"/>
                            </w:pPr>
                          </w:p>
                          <w:p w14:paraId="6F3A1796" w14:textId="77777777" w:rsidR="00436738" w:rsidRDefault="00436738" w:rsidP="00436738">
                            <w:pPr>
                              <w:spacing w:line="20" w:lineRule="exact"/>
                            </w:pPr>
                          </w:p>
                          <w:p w14:paraId="22A7D865" w14:textId="77777777" w:rsidR="00436738" w:rsidRDefault="00436738" w:rsidP="00436738">
                            <w:pPr>
                              <w:spacing w:line="20" w:lineRule="exact"/>
                            </w:pPr>
                          </w:p>
                          <w:p w14:paraId="1C255AC2" w14:textId="77777777" w:rsidR="00436738" w:rsidRDefault="00436738" w:rsidP="00436738">
                            <w:pPr>
                              <w:spacing w:line="20" w:lineRule="exact"/>
                            </w:pPr>
                          </w:p>
                          <w:p w14:paraId="60178391" w14:textId="77777777" w:rsidR="00436738" w:rsidRDefault="00436738" w:rsidP="00436738">
                            <w:pPr>
                              <w:spacing w:line="20" w:lineRule="exact"/>
                            </w:pPr>
                          </w:p>
                          <w:p w14:paraId="011F2945" w14:textId="77777777" w:rsidR="00436738" w:rsidRDefault="00436738" w:rsidP="00436738">
                            <w:pPr>
                              <w:spacing w:line="20" w:lineRule="exact"/>
                            </w:pPr>
                          </w:p>
                          <w:p w14:paraId="237EFC82" w14:textId="77777777" w:rsidR="00436738" w:rsidRDefault="00436738" w:rsidP="00436738">
                            <w:pPr>
                              <w:spacing w:line="20" w:lineRule="exact"/>
                            </w:pPr>
                          </w:p>
                          <w:p w14:paraId="59A9C2CB" w14:textId="77777777" w:rsidR="00436738" w:rsidRDefault="00436738" w:rsidP="00436738">
                            <w:pPr>
                              <w:spacing w:line="20" w:lineRule="exact"/>
                            </w:pPr>
                          </w:p>
                          <w:p w14:paraId="60A2DA98" w14:textId="77777777" w:rsidR="00436738" w:rsidRDefault="00436738" w:rsidP="00436738">
                            <w:pPr>
                              <w:spacing w:line="20" w:lineRule="exact"/>
                            </w:pPr>
                          </w:p>
                          <w:p w14:paraId="62A8F081" w14:textId="77777777" w:rsidR="00436738" w:rsidRDefault="00436738" w:rsidP="00436738">
                            <w:pPr>
                              <w:spacing w:line="20" w:lineRule="exact"/>
                            </w:pPr>
                          </w:p>
                          <w:p w14:paraId="061F654D" w14:textId="77777777" w:rsidR="00436738" w:rsidRDefault="00436738" w:rsidP="00436738">
                            <w:pPr>
                              <w:spacing w:line="20" w:lineRule="exact"/>
                            </w:pPr>
                          </w:p>
                          <w:p w14:paraId="7D7DE5AE" w14:textId="77777777" w:rsidR="00436738" w:rsidRDefault="00436738" w:rsidP="00436738">
                            <w:pPr>
                              <w:spacing w:line="20" w:lineRule="exact"/>
                            </w:pPr>
                          </w:p>
                          <w:p w14:paraId="61E13294" w14:textId="77777777" w:rsidR="00436738" w:rsidRDefault="00436738" w:rsidP="00436738">
                            <w:pPr>
                              <w:spacing w:line="20" w:lineRule="exact"/>
                            </w:pPr>
                          </w:p>
                          <w:p w14:paraId="175E4709" w14:textId="77777777" w:rsidR="00436738" w:rsidRDefault="00436738" w:rsidP="00436738">
                            <w:pPr>
                              <w:spacing w:line="20" w:lineRule="exact"/>
                            </w:pPr>
                          </w:p>
                          <w:p w14:paraId="16D7F3FF" w14:textId="77777777" w:rsidR="00436738" w:rsidRDefault="00436738" w:rsidP="00436738">
                            <w:pPr>
                              <w:spacing w:line="20" w:lineRule="exact"/>
                            </w:pPr>
                          </w:p>
                          <w:p w14:paraId="75B83B4D" w14:textId="77777777" w:rsidR="00436738" w:rsidRDefault="00436738" w:rsidP="00436738">
                            <w:pPr>
                              <w:spacing w:line="20" w:lineRule="exact"/>
                            </w:pPr>
                          </w:p>
                          <w:p w14:paraId="37C7E59F" w14:textId="77777777" w:rsidR="00436738" w:rsidRDefault="00436738" w:rsidP="00436738">
                            <w:pPr>
                              <w:spacing w:line="20" w:lineRule="exact"/>
                            </w:pPr>
                          </w:p>
                          <w:p w14:paraId="0AC0C6ED" w14:textId="77777777" w:rsidR="00436738" w:rsidRDefault="00436738" w:rsidP="00436738">
                            <w:pPr>
                              <w:spacing w:line="20" w:lineRule="exact"/>
                            </w:pPr>
                          </w:p>
                          <w:p w14:paraId="209C347D" w14:textId="77777777" w:rsidR="00436738" w:rsidRDefault="00436738" w:rsidP="00436738">
                            <w:pPr>
                              <w:spacing w:line="20" w:lineRule="exact"/>
                            </w:pPr>
                          </w:p>
                          <w:p w14:paraId="23965057" w14:textId="77777777" w:rsidR="00436738" w:rsidRDefault="00436738" w:rsidP="00436738">
                            <w:pPr>
                              <w:spacing w:line="20" w:lineRule="exact"/>
                            </w:pPr>
                          </w:p>
                          <w:p w14:paraId="5894E488" w14:textId="77777777" w:rsidR="00436738" w:rsidRDefault="00436738" w:rsidP="00436738">
                            <w:pPr>
                              <w:spacing w:line="20" w:lineRule="exact"/>
                            </w:pPr>
                          </w:p>
                          <w:p w14:paraId="631027D2" w14:textId="77777777" w:rsidR="00436738" w:rsidRDefault="00436738" w:rsidP="00436738">
                            <w:pPr>
                              <w:spacing w:line="20" w:lineRule="exact"/>
                            </w:pPr>
                          </w:p>
                          <w:p w14:paraId="7DD48B23" w14:textId="77777777" w:rsidR="00436738" w:rsidRDefault="00436738" w:rsidP="00436738">
                            <w:pPr>
                              <w:spacing w:line="20" w:lineRule="exact"/>
                            </w:pPr>
                          </w:p>
                          <w:p w14:paraId="5DEAB47A" w14:textId="77777777" w:rsidR="00436738" w:rsidRDefault="00436738" w:rsidP="00436738">
                            <w:pPr>
                              <w:spacing w:line="20" w:lineRule="exact"/>
                            </w:pPr>
                          </w:p>
                          <w:p w14:paraId="101A826B" w14:textId="77777777" w:rsidR="00436738" w:rsidRDefault="00436738" w:rsidP="00436738">
                            <w:pPr>
                              <w:spacing w:line="20" w:lineRule="exact"/>
                            </w:pPr>
                          </w:p>
                          <w:p w14:paraId="6409EB08" w14:textId="77777777" w:rsidR="00436738" w:rsidRDefault="00436738" w:rsidP="00436738">
                            <w:pPr>
                              <w:spacing w:line="20" w:lineRule="exact"/>
                            </w:pPr>
                          </w:p>
                          <w:p w14:paraId="6B8A7988" w14:textId="77777777" w:rsidR="00436738" w:rsidRDefault="00436738" w:rsidP="00436738">
                            <w:pPr>
                              <w:spacing w:line="20" w:lineRule="exact"/>
                            </w:pPr>
                          </w:p>
                          <w:p w14:paraId="3A653843" w14:textId="77777777" w:rsidR="00436738" w:rsidRDefault="00436738" w:rsidP="00436738">
                            <w:pPr>
                              <w:spacing w:line="20" w:lineRule="exact"/>
                            </w:pPr>
                          </w:p>
                          <w:p w14:paraId="582C44DF" w14:textId="77777777" w:rsidR="00436738" w:rsidRDefault="00436738" w:rsidP="00436738">
                            <w:pPr>
                              <w:spacing w:line="20" w:lineRule="exact"/>
                            </w:pPr>
                          </w:p>
                          <w:p w14:paraId="355AF362" w14:textId="28E6A081" w:rsidR="00436738" w:rsidRDefault="00436738" w:rsidP="00436738">
                            <w:pPr>
                              <w:spacing w:line="20" w:lineRule="exact"/>
                            </w:pPr>
                            <w:r>
                              <w:rPr>
                                <w:noProof/>
                              </w:rPr>
                              <w:drawing>
                                <wp:inline distT="0" distB="0" distL="0" distR="0" wp14:anchorId="688790C0" wp14:editId="0136A863">
                                  <wp:extent cx="3886200" cy="2143125"/>
                                  <wp:effectExtent l="0" t="0" r="0" b="0"/>
                                  <wp:docPr id="2003185537" name="圖表 2003185537"/>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E9CA39" id="文字方塊 927419595" o:spid="_x0000_s1139" type="#_x0000_t202" style="position:absolute;left:0;text-align:left;margin-left:188.8pt;margin-top:1in;width:306.4pt;height:181.4pt;z-index:-251603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" stroked="f">
                <v:textbox>
                  <w:txbxContent>
                    <w:p w14:paraId="33C914E8" w14:textId="77777777" w:rsidR="00436738" w:rsidRDefault="00436738" w:rsidP="00436738">
                      <w:pPr>
                        <w:ind w:left="661" w:hangingChars="275" w:hanging="661"/>
                        <w:jc w:val="both"/>
                        <w:rPr>
                          <w:rFonts w:ascii="標楷體" w:eastAsia="標楷體" w:hAnsi="標楷體"/>
                          <w:b/>
                          <w:bCs/>
                        </w:rPr>
                      </w:pPr>
                      <w:r>
                        <w:rPr>
                          <w:rFonts w:ascii="標楷體" w:eastAsia="標楷體" w:hAnsi="標楷體" w:hint="eastAsia"/>
                          <w:b/>
                          <w:bCs/>
                        </w:rPr>
                        <w:t xml:space="preserve">圖2　</w:t>
                      </w:r>
                      <w:r>
                        <w:rPr>
                          <w:rFonts w:ascii="標楷體" w:eastAsia="標楷體" w:hAnsi="標楷體" w:hint="eastAsia"/>
                          <w:b/>
                          <w:bCs/>
                          <w:spacing w:val="-16"/>
                        </w:rPr>
                        <w:t>113年底前受理黃牛檢舉案件截至114年3月底處理情形</w:t>
                      </w:r>
                    </w:p>
                    <w:p w14:paraId="4433C520" w14:textId="77777777" w:rsidR="00436738" w:rsidRDefault="00436738" w:rsidP="00436738">
                      <w:pPr>
                        <w:spacing w:line="20" w:lineRule="exact"/>
                      </w:pPr>
                    </w:p>
                    <w:p w14:paraId="111E22FC" w14:textId="77777777" w:rsidR="00436738" w:rsidRDefault="00436738" w:rsidP="00436738">
                      <w:pPr>
                        <w:spacing w:line="20" w:lineRule="exact"/>
                      </w:pPr>
                    </w:p>
                    <w:p w14:paraId="4C30E687" w14:textId="77777777" w:rsidR="00436738" w:rsidRDefault="00436738" w:rsidP="00436738">
                      <w:pPr>
                        <w:spacing w:line="20" w:lineRule="exact"/>
                      </w:pPr>
                    </w:p>
                    <w:p w14:paraId="0B089FBD" w14:textId="77777777" w:rsidR="00436738" w:rsidRDefault="00436738" w:rsidP="00436738">
                      <w:pPr>
                        <w:spacing w:line="20" w:lineRule="exact"/>
                      </w:pPr>
                    </w:p>
                    <w:p w14:paraId="64E4CF34" w14:textId="77777777" w:rsidR="00436738" w:rsidRDefault="00436738" w:rsidP="00436738">
                      <w:pPr>
                        <w:spacing w:line="20" w:lineRule="exact"/>
                      </w:pPr>
                    </w:p>
                    <w:p w14:paraId="38EDEAE9" w14:textId="77777777" w:rsidR="00436738" w:rsidRDefault="00436738" w:rsidP="00436738">
                      <w:pPr>
                        <w:spacing w:line="20" w:lineRule="exact"/>
                      </w:pPr>
                    </w:p>
                    <w:p w14:paraId="1A59D180" w14:textId="77777777" w:rsidR="00436738" w:rsidRDefault="00436738" w:rsidP="00436738">
                      <w:pPr>
                        <w:spacing w:line="20" w:lineRule="exact"/>
                      </w:pPr>
                    </w:p>
                    <w:p w14:paraId="02C6E1B6" w14:textId="77777777" w:rsidR="00436738" w:rsidRDefault="00436738" w:rsidP="00436738">
                      <w:pPr>
                        <w:spacing w:line="20" w:lineRule="exact"/>
                      </w:pPr>
                    </w:p>
                    <w:p w14:paraId="22CDBE2A" w14:textId="77777777" w:rsidR="00436738" w:rsidRDefault="00436738" w:rsidP="00436738">
                      <w:pPr>
                        <w:spacing w:line="20" w:lineRule="exact"/>
                      </w:pPr>
                    </w:p>
                    <w:p w14:paraId="4A0509D5" w14:textId="77777777" w:rsidR="00436738" w:rsidRDefault="00436738" w:rsidP="00436738">
                      <w:pPr>
                        <w:spacing w:line="20" w:lineRule="exact"/>
                      </w:pPr>
                    </w:p>
                    <w:p w14:paraId="3E57002E" w14:textId="77777777" w:rsidR="00436738" w:rsidRDefault="00436738" w:rsidP="00436738">
                      <w:pPr>
                        <w:spacing w:line="20" w:lineRule="exact"/>
                      </w:pPr>
                    </w:p>
                    <w:p w14:paraId="2AAEA959" w14:textId="77777777" w:rsidR="00436738" w:rsidRDefault="00436738" w:rsidP="00436738">
                      <w:pPr>
                        <w:spacing w:line="20" w:lineRule="exact"/>
                      </w:pPr>
                    </w:p>
                    <w:p w14:paraId="09A37D7F" w14:textId="77777777" w:rsidR="00436738" w:rsidRDefault="00436738" w:rsidP="00436738">
                      <w:pPr>
                        <w:spacing w:line="20" w:lineRule="exact"/>
                      </w:pPr>
                    </w:p>
                    <w:p w14:paraId="60123386" w14:textId="77777777" w:rsidR="00436738" w:rsidRDefault="00436738" w:rsidP="00436738">
                      <w:pPr>
                        <w:spacing w:line="20" w:lineRule="exact"/>
                      </w:pPr>
                    </w:p>
                    <w:p w14:paraId="354F72F9" w14:textId="77777777" w:rsidR="00436738" w:rsidRDefault="00436738" w:rsidP="00436738">
                      <w:pPr>
                        <w:spacing w:line="20" w:lineRule="exact"/>
                      </w:pPr>
                    </w:p>
                    <w:p w14:paraId="43FA8563" w14:textId="77777777" w:rsidR="00436738" w:rsidRDefault="00436738" w:rsidP="00436738">
                      <w:pPr>
                        <w:spacing w:line="20" w:lineRule="exact"/>
                      </w:pPr>
                    </w:p>
                    <w:p w14:paraId="7CDBF304" w14:textId="77777777" w:rsidR="00436738" w:rsidRDefault="00436738" w:rsidP="00436738">
                      <w:pPr>
                        <w:spacing w:line="20" w:lineRule="exact"/>
                      </w:pPr>
                    </w:p>
                    <w:p w14:paraId="1D06C84E" w14:textId="77777777" w:rsidR="00436738" w:rsidRDefault="00436738" w:rsidP="00436738">
                      <w:pPr>
                        <w:spacing w:line="20" w:lineRule="exact"/>
                      </w:pPr>
                    </w:p>
                    <w:p w14:paraId="283F28E3" w14:textId="77777777" w:rsidR="00436738" w:rsidRDefault="00436738" w:rsidP="00436738">
                      <w:pPr>
                        <w:spacing w:line="20" w:lineRule="exact"/>
                      </w:pPr>
                    </w:p>
                    <w:p w14:paraId="1A104A0F" w14:textId="77777777" w:rsidR="00436738" w:rsidRDefault="00436738" w:rsidP="00436738">
                      <w:pPr>
                        <w:spacing w:line="20" w:lineRule="exact"/>
                      </w:pPr>
                    </w:p>
                    <w:p w14:paraId="7DF5E0C3" w14:textId="77777777" w:rsidR="00436738" w:rsidRDefault="00436738" w:rsidP="00436738">
                      <w:pPr>
                        <w:spacing w:line="20" w:lineRule="exact"/>
                      </w:pPr>
                    </w:p>
                    <w:p w14:paraId="5CBC8556" w14:textId="77777777" w:rsidR="00436738" w:rsidRDefault="00436738" w:rsidP="00436738">
                      <w:pPr>
                        <w:spacing w:line="20" w:lineRule="exact"/>
                      </w:pPr>
                    </w:p>
                    <w:p w14:paraId="47540EAE" w14:textId="77777777" w:rsidR="00436738" w:rsidRDefault="00436738" w:rsidP="00436738">
                      <w:pPr>
                        <w:spacing w:line="20" w:lineRule="exact"/>
                      </w:pPr>
                    </w:p>
                    <w:p w14:paraId="7EC40C43" w14:textId="77777777" w:rsidR="00436738" w:rsidRDefault="00436738" w:rsidP="00436738">
                      <w:pPr>
                        <w:spacing w:line="20" w:lineRule="exact"/>
                      </w:pPr>
                    </w:p>
                    <w:p w14:paraId="42176B7D" w14:textId="77777777" w:rsidR="00436738" w:rsidRDefault="00436738" w:rsidP="00436738">
                      <w:pPr>
                        <w:spacing w:line="20" w:lineRule="exact"/>
                      </w:pPr>
                    </w:p>
                    <w:p w14:paraId="17836BB6" w14:textId="77777777" w:rsidR="00436738" w:rsidRDefault="00436738" w:rsidP="00436738">
                      <w:pPr>
                        <w:spacing w:line="20" w:lineRule="exact"/>
                      </w:pPr>
                    </w:p>
                    <w:p w14:paraId="27C7DBAB" w14:textId="77777777" w:rsidR="00436738" w:rsidRDefault="00436738" w:rsidP="00436738">
                      <w:pPr>
                        <w:spacing w:line="20" w:lineRule="exact"/>
                      </w:pPr>
                    </w:p>
                    <w:p w14:paraId="3942EB97" w14:textId="77777777" w:rsidR="00436738" w:rsidRDefault="00436738" w:rsidP="00436738">
                      <w:pPr>
                        <w:spacing w:line="20" w:lineRule="exact"/>
                      </w:pPr>
                    </w:p>
                    <w:p w14:paraId="5754C9BC" w14:textId="77777777" w:rsidR="00436738" w:rsidRDefault="00436738" w:rsidP="00436738">
                      <w:pPr>
                        <w:spacing w:line="20" w:lineRule="exact"/>
                      </w:pPr>
                    </w:p>
                    <w:p w14:paraId="6ACC0EE1" w14:textId="77777777" w:rsidR="00436738" w:rsidRDefault="00436738" w:rsidP="00436738">
                      <w:pPr>
                        <w:spacing w:line="20" w:lineRule="exact"/>
                      </w:pPr>
                    </w:p>
                    <w:p w14:paraId="3163C8EC" w14:textId="77777777" w:rsidR="00436738" w:rsidRDefault="00436738" w:rsidP="00436738">
                      <w:pPr>
                        <w:spacing w:line="20" w:lineRule="exact"/>
                      </w:pPr>
                    </w:p>
                    <w:p w14:paraId="5C1FD0E3" w14:textId="77777777" w:rsidR="00436738" w:rsidRDefault="00436738" w:rsidP="00436738">
                      <w:pPr>
                        <w:spacing w:line="20" w:lineRule="exact"/>
                      </w:pPr>
                    </w:p>
                    <w:p w14:paraId="4B9D756C" w14:textId="77777777" w:rsidR="00436738" w:rsidRDefault="00436738" w:rsidP="00436738">
                      <w:pPr>
                        <w:spacing w:line="20" w:lineRule="exact"/>
                      </w:pPr>
                    </w:p>
                    <w:p w14:paraId="72AE8BB8" w14:textId="77777777" w:rsidR="00436738" w:rsidRDefault="00436738" w:rsidP="00436738">
                      <w:pPr>
                        <w:spacing w:line="20" w:lineRule="exact"/>
                      </w:pPr>
                    </w:p>
                    <w:p w14:paraId="2D3309BB" w14:textId="77777777" w:rsidR="00436738" w:rsidRDefault="00436738" w:rsidP="00436738">
                      <w:pPr>
                        <w:spacing w:line="20" w:lineRule="exact"/>
                      </w:pPr>
                    </w:p>
                    <w:p w14:paraId="1A091664" w14:textId="77777777" w:rsidR="00436738" w:rsidRDefault="00436738" w:rsidP="00436738">
                      <w:pPr>
                        <w:spacing w:line="20" w:lineRule="exact"/>
                      </w:pPr>
                    </w:p>
                    <w:p w14:paraId="69ACAA6E" w14:textId="77777777" w:rsidR="00436738" w:rsidRDefault="00436738" w:rsidP="00436738">
                      <w:pPr>
                        <w:spacing w:line="20" w:lineRule="exact"/>
                      </w:pPr>
                    </w:p>
                    <w:p w14:paraId="20132F54" w14:textId="77777777" w:rsidR="00436738" w:rsidRDefault="00436738" w:rsidP="00436738">
                      <w:pPr>
                        <w:spacing w:line="20" w:lineRule="exact"/>
                      </w:pPr>
                    </w:p>
                    <w:p w14:paraId="1B0B7C8A" w14:textId="77777777" w:rsidR="00436738" w:rsidRDefault="00436738" w:rsidP="00436738">
                      <w:pPr>
                        <w:spacing w:line="20" w:lineRule="exact"/>
                      </w:pPr>
                    </w:p>
                    <w:p w14:paraId="22B57780" w14:textId="77777777" w:rsidR="00436738" w:rsidRDefault="00436738" w:rsidP="00436738">
                      <w:pPr>
                        <w:spacing w:line="20" w:lineRule="exact"/>
                      </w:pPr>
                    </w:p>
                    <w:p w14:paraId="26B63A46" w14:textId="77777777" w:rsidR="00436738" w:rsidRDefault="00436738" w:rsidP="00436738">
                      <w:pPr>
                        <w:spacing w:line="20" w:lineRule="exact"/>
                      </w:pPr>
                    </w:p>
                    <w:p w14:paraId="37E661ED" w14:textId="77777777" w:rsidR="00436738" w:rsidRDefault="00436738" w:rsidP="00436738">
                      <w:pPr>
                        <w:spacing w:line="20" w:lineRule="exact"/>
                      </w:pPr>
                    </w:p>
                    <w:p w14:paraId="1C479A6A" w14:textId="77777777" w:rsidR="00436738" w:rsidRDefault="00436738" w:rsidP="00436738">
                      <w:pPr>
                        <w:spacing w:line="20" w:lineRule="exact"/>
                      </w:pPr>
                    </w:p>
                    <w:p w14:paraId="01FB9BC5" w14:textId="77777777" w:rsidR="00436738" w:rsidRDefault="00436738" w:rsidP="00436738">
                      <w:pPr>
                        <w:spacing w:line="20" w:lineRule="exact"/>
                      </w:pPr>
                    </w:p>
                    <w:p w14:paraId="2C937E14" w14:textId="77777777" w:rsidR="00436738" w:rsidRDefault="00436738" w:rsidP="00436738">
                      <w:pPr>
                        <w:spacing w:line="20" w:lineRule="exact"/>
                      </w:pPr>
                    </w:p>
                    <w:p w14:paraId="315890DF" w14:textId="77777777" w:rsidR="00436738" w:rsidRDefault="00436738" w:rsidP="00436738">
                      <w:pPr>
                        <w:spacing w:line="20" w:lineRule="exact"/>
                      </w:pPr>
                    </w:p>
                    <w:p w14:paraId="2DBA900F" w14:textId="77777777" w:rsidR="00436738" w:rsidRDefault="00436738" w:rsidP="00436738">
                      <w:pPr>
                        <w:spacing w:line="20" w:lineRule="exact"/>
                      </w:pPr>
                    </w:p>
                    <w:p w14:paraId="69354924" w14:textId="77777777" w:rsidR="00436738" w:rsidRDefault="00436738" w:rsidP="00436738">
                      <w:pPr>
                        <w:spacing w:line="20" w:lineRule="exact"/>
                      </w:pPr>
                    </w:p>
                    <w:p w14:paraId="3C43E509" w14:textId="77777777" w:rsidR="00436738" w:rsidRDefault="00436738" w:rsidP="00436738">
                      <w:pPr>
                        <w:spacing w:line="20" w:lineRule="exact"/>
                      </w:pPr>
                    </w:p>
                    <w:p w14:paraId="13B666E2" w14:textId="77777777" w:rsidR="00436738" w:rsidRDefault="00436738" w:rsidP="00436738">
                      <w:pPr>
                        <w:spacing w:line="20" w:lineRule="exact"/>
                      </w:pPr>
                    </w:p>
                    <w:p w14:paraId="5795B30F" w14:textId="77777777" w:rsidR="00436738" w:rsidRDefault="00436738" w:rsidP="00436738">
                      <w:pPr>
                        <w:spacing w:line="20" w:lineRule="exact"/>
                      </w:pPr>
                    </w:p>
                    <w:p w14:paraId="250320D1" w14:textId="77777777" w:rsidR="00436738" w:rsidRDefault="00436738" w:rsidP="00436738">
                      <w:pPr>
                        <w:spacing w:line="20" w:lineRule="exact"/>
                      </w:pPr>
                    </w:p>
                    <w:p w14:paraId="040EA7A7" w14:textId="77777777" w:rsidR="00436738" w:rsidRDefault="00436738" w:rsidP="00436738">
                      <w:pPr>
                        <w:spacing w:line="20" w:lineRule="exact"/>
                      </w:pPr>
                    </w:p>
                    <w:p w14:paraId="41426E36" w14:textId="77777777" w:rsidR="00436738" w:rsidRDefault="00436738" w:rsidP="00436738">
                      <w:pPr>
                        <w:spacing w:line="20" w:lineRule="exact"/>
                      </w:pPr>
                    </w:p>
                    <w:p w14:paraId="2C8ADE77" w14:textId="77777777" w:rsidR="00436738" w:rsidRDefault="00436738" w:rsidP="00436738">
                      <w:pPr>
                        <w:spacing w:line="20" w:lineRule="exact"/>
                      </w:pPr>
                    </w:p>
                    <w:p w14:paraId="668554B1" w14:textId="77777777" w:rsidR="00436738" w:rsidRDefault="00436738" w:rsidP="00436738">
                      <w:pPr>
                        <w:spacing w:line="20" w:lineRule="exact"/>
                      </w:pPr>
                    </w:p>
                    <w:p w14:paraId="240F05DC" w14:textId="77777777" w:rsidR="00436738" w:rsidRDefault="00436738" w:rsidP="00436738">
                      <w:pPr>
                        <w:spacing w:line="20" w:lineRule="exact"/>
                      </w:pPr>
                    </w:p>
                    <w:p w14:paraId="6F60908D" w14:textId="77777777" w:rsidR="00436738" w:rsidRDefault="00436738" w:rsidP="00436738">
                      <w:pPr>
                        <w:spacing w:line="20" w:lineRule="exact"/>
                      </w:pPr>
                    </w:p>
                    <w:p w14:paraId="669663F0" w14:textId="77777777" w:rsidR="00436738" w:rsidRDefault="00436738" w:rsidP="00436738">
                      <w:pPr>
                        <w:spacing w:line="20" w:lineRule="exact"/>
                      </w:pPr>
                    </w:p>
                    <w:p w14:paraId="3284CBA0" w14:textId="77777777" w:rsidR="00436738" w:rsidRDefault="00436738" w:rsidP="00436738">
                      <w:pPr>
                        <w:spacing w:line="20" w:lineRule="exact"/>
                      </w:pPr>
                    </w:p>
                    <w:p w14:paraId="2B848002" w14:textId="77777777" w:rsidR="00436738" w:rsidRDefault="00436738" w:rsidP="00436738">
                      <w:pPr>
                        <w:spacing w:line="20" w:lineRule="exact"/>
                      </w:pPr>
                    </w:p>
                    <w:p w14:paraId="152FA020" w14:textId="77777777" w:rsidR="00436738" w:rsidRDefault="00436738" w:rsidP="00436738">
                      <w:pPr>
                        <w:spacing w:line="20" w:lineRule="exact"/>
                      </w:pPr>
                    </w:p>
                    <w:p w14:paraId="5F1EA578" w14:textId="77777777" w:rsidR="00436738" w:rsidRDefault="00436738" w:rsidP="00436738">
                      <w:pPr>
                        <w:spacing w:line="20" w:lineRule="exact"/>
                      </w:pPr>
                    </w:p>
                    <w:p w14:paraId="35BECF20" w14:textId="77777777" w:rsidR="00436738" w:rsidRDefault="00436738" w:rsidP="00436738">
                      <w:pPr>
                        <w:spacing w:line="20" w:lineRule="exact"/>
                      </w:pPr>
                    </w:p>
                    <w:p w14:paraId="741CD2FE" w14:textId="77777777" w:rsidR="00436738" w:rsidRDefault="00436738" w:rsidP="00436738">
                      <w:pPr>
                        <w:spacing w:line="20" w:lineRule="exact"/>
                      </w:pPr>
                    </w:p>
                    <w:p w14:paraId="10D74859" w14:textId="77777777" w:rsidR="00436738" w:rsidRDefault="00436738" w:rsidP="00436738">
                      <w:pPr>
                        <w:spacing w:line="20" w:lineRule="exact"/>
                      </w:pPr>
                    </w:p>
                    <w:p w14:paraId="2DFF2B5E" w14:textId="77777777" w:rsidR="00436738" w:rsidRDefault="00436738" w:rsidP="00436738">
                      <w:pPr>
                        <w:spacing w:line="20" w:lineRule="exact"/>
                      </w:pPr>
                    </w:p>
                    <w:p w14:paraId="312F6EFF" w14:textId="77777777" w:rsidR="00436738" w:rsidRDefault="00436738" w:rsidP="00436738">
                      <w:pPr>
                        <w:spacing w:line="20" w:lineRule="exact"/>
                      </w:pPr>
                    </w:p>
                    <w:p w14:paraId="03C1E8CF" w14:textId="77777777" w:rsidR="00436738" w:rsidRDefault="00436738" w:rsidP="00436738">
                      <w:pPr>
                        <w:spacing w:line="20" w:lineRule="exact"/>
                      </w:pPr>
                    </w:p>
                    <w:p w14:paraId="410CFB35" w14:textId="77777777" w:rsidR="00436738" w:rsidRDefault="00436738" w:rsidP="00436738">
                      <w:pPr>
                        <w:spacing w:line="20" w:lineRule="exact"/>
                      </w:pPr>
                    </w:p>
                    <w:p w14:paraId="2A0DE7F6" w14:textId="77777777" w:rsidR="00436738" w:rsidRDefault="00436738" w:rsidP="00436738">
                      <w:pPr>
                        <w:spacing w:line="20" w:lineRule="exact"/>
                      </w:pPr>
                    </w:p>
                    <w:p w14:paraId="72889BAF" w14:textId="77777777" w:rsidR="00436738" w:rsidRDefault="00436738" w:rsidP="00436738">
                      <w:pPr>
                        <w:spacing w:line="20" w:lineRule="exact"/>
                      </w:pPr>
                    </w:p>
                    <w:p w14:paraId="7DC9882C" w14:textId="77777777" w:rsidR="00436738" w:rsidRDefault="00436738" w:rsidP="00436738">
                      <w:pPr>
                        <w:spacing w:line="20" w:lineRule="exact"/>
                      </w:pPr>
                    </w:p>
                    <w:p w14:paraId="377A0D13" w14:textId="77777777" w:rsidR="00436738" w:rsidRDefault="00436738" w:rsidP="00436738">
                      <w:pPr>
                        <w:spacing w:line="20" w:lineRule="exact"/>
                      </w:pPr>
                    </w:p>
                    <w:p w14:paraId="60546CF0" w14:textId="77777777" w:rsidR="00436738" w:rsidRDefault="00436738" w:rsidP="00436738">
                      <w:pPr>
                        <w:spacing w:line="20" w:lineRule="exact"/>
                      </w:pPr>
                    </w:p>
                    <w:p w14:paraId="21E427A1" w14:textId="77777777" w:rsidR="00436738" w:rsidRDefault="00436738" w:rsidP="00436738">
                      <w:pPr>
                        <w:spacing w:line="20" w:lineRule="exact"/>
                      </w:pPr>
                    </w:p>
                    <w:p w14:paraId="48D1094E" w14:textId="77777777" w:rsidR="00436738" w:rsidRDefault="00436738" w:rsidP="00436738">
                      <w:pPr>
                        <w:spacing w:line="20" w:lineRule="exact"/>
                      </w:pPr>
                    </w:p>
                    <w:p w14:paraId="165EC98F" w14:textId="77777777" w:rsidR="00436738" w:rsidRDefault="00436738" w:rsidP="00436738">
                      <w:pPr>
                        <w:spacing w:line="20" w:lineRule="exact"/>
                      </w:pPr>
                    </w:p>
                    <w:p w14:paraId="4D672CB8" w14:textId="77777777" w:rsidR="00436738" w:rsidRDefault="00436738" w:rsidP="00436738">
                      <w:pPr>
                        <w:spacing w:line="20" w:lineRule="exact"/>
                      </w:pPr>
                    </w:p>
                    <w:p w14:paraId="0A2B6A69" w14:textId="77777777" w:rsidR="00436738" w:rsidRDefault="00436738" w:rsidP="00436738">
                      <w:pPr>
                        <w:spacing w:line="20" w:lineRule="exact"/>
                      </w:pPr>
                    </w:p>
                    <w:p w14:paraId="3E9DF046" w14:textId="77777777" w:rsidR="00436738" w:rsidRDefault="00436738" w:rsidP="00436738">
                      <w:pPr>
                        <w:spacing w:line="20" w:lineRule="exact"/>
                      </w:pPr>
                    </w:p>
                    <w:p w14:paraId="4C1774C3" w14:textId="77777777" w:rsidR="00436738" w:rsidRDefault="00436738" w:rsidP="00436738">
                      <w:pPr>
                        <w:spacing w:line="20" w:lineRule="exact"/>
                      </w:pPr>
                    </w:p>
                    <w:p w14:paraId="3AE733AF" w14:textId="77777777" w:rsidR="00436738" w:rsidRDefault="00436738" w:rsidP="00436738">
                      <w:pPr>
                        <w:spacing w:line="20" w:lineRule="exact"/>
                      </w:pPr>
                    </w:p>
                    <w:p w14:paraId="52B6880E" w14:textId="77777777" w:rsidR="00436738" w:rsidRDefault="00436738" w:rsidP="00436738">
                      <w:pPr>
                        <w:spacing w:line="20" w:lineRule="exact"/>
                      </w:pPr>
                    </w:p>
                    <w:p w14:paraId="3F8E65DD" w14:textId="77777777" w:rsidR="00436738" w:rsidRDefault="00436738" w:rsidP="00436738">
                      <w:pPr>
                        <w:spacing w:line="20" w:lineRule="exact"/>
                      </w:pPr>
                    </w:p>
                    <w:p w14:paraId="54E6B4E3" w14:textId="77777777" w:rsidR="00436738" w:rsidRDefault="00436738" w:rsidP="00436738">
                      <w:pPr>
                        <w:spacing w:line="20" w:lineRule="exact"/>
                      </w:pPr>
                    </w:p>
                    <w:p w14:paraId="31B64DFE" w14:textId="77777777" w:rsidR="00436738" w:rsidRDefault="00436738" w:rsidP="00436738">
                      <w:pPr>
                        <w:spacing w:line="20" w:lineRule="exact"/>
                      </w:pPr>
                    </w:p>
                    <w:p w14:paraId="39DAE7D5" w14:textId="77777777" w:rsidR="00436738" w:rsidRDefault="00436738" w:rsidP="00436738">
                      <w:pPr>
                        <w:spacing w:line="20" w:lineRule="exact"/>
                      </w:pPr>
                    </w:p>
                    <w:p w14:paraId="1DFCB910" w14:textId="77777777" w:rsidR="00436738" w:rsidRDefault="00436738" w:rsidP="00436738">
                      <w:pPr>
                        <w:spacing w:line="20" w:lineRule="exact"/>
                      </w:pPr>
                    </w:p>
                    <w:p w14:paraId="035456C2" w14:textId="77777777" w:rsidR="00436738" w:rsidRDefault="00436738" w:rsidP="00436738">
                      <w:pPr>
                        <w:spacing w:line="20" w:lineRule="exact"/>
                      </w:pPr>
                    </w:p>
                    <w:p w14:paraId="55910FF1" w14:textId="77777777" w:rsidR="00436738" w:rsidRDefault="00436738" w:rsidP="00436738">
                      <w:pPr>
                        <w:spacing w:line="20" w:lineRule="exact"/>
                      </w:pPr>
                    </w:p>
                    <w:p w14:paraId="391D64A0" w14:textId="77777777" w:rsidR="00436738" w:rsidRDefault="00436738" w:rsidP="00436738">
                      <w:pPr>
                        <w:spacing w:line="20" w:lineRule="exact"/>
                      </w:pPr>
                    </w:p>
                    <w:p w14:paraId="37AA10F6" w14:textId="77777777" w:rsidR="00436738" w:rsidRDefault="00436738" w:rsidP="00436738">
                      <w:pPr>
                        <w:spacing w:line="20" w:lineRule="exact"/>
                      </w:pPr>
                    </w:p>
                    <w:p w14:paraId="1259881C" w14:textId="77777777" w:rsidR="00436738" w:rsidRDefault="00436738" w:rsidP="00436738">
                      <w:pPr>
                        <w:spacing w:line="20" w:lineRule="exact"/>
                      </w:pPr>
                    </w:p>
                    <w:p w14:paraId="0FC74C61" w14:textId="77777777" w:rsidR="00436738" w:rsidRDefault="00436738" w:rsidP="00436738">
                      <w:pPr>
                        <w:spacing w:line="20" w:lineRule="exact"/>
                      </w:pPr>
                    </w:p>
                    <w:p w14:paraId="6BC9CD2C" w14:textId="77777777" w:rsidR="00436738" w:rsidRDefault="00436738" w:rsidP="00436738">
                      <w:pPr>
                        <w:spacing w:line="20" w:lineRule="exact"/>
                      </w:pPr>
                    </w:p>
                    <w:p w14:paraId="37D10A12" w14:textId="77777777" w:rsidR="00436738" w:rsidRDefault="00436738" w:rsidP="00436738">
                      <w:pPr>
                        <w:spacing w:line="20" w:lineRule="exact"/>
                      </w:pPr>
                    </w:p>
                    <w:p w14:paraId="697C1C65" w14:textId="77777777" w:rsidR="00436738" w:rsidRDefault="00436738" w:rsidP="00436738">
                      <w:pPr>
                        <w:spacing w:line="20" w:lineRule="exact"/>
                      </w:pPr>
                    </w:p>
                    <w:p w14:paraId="595A2FF2" w14:textId="77777777" w:rsidR="00436738" w:rsidRDefault="00436738" w:rsidP="00436738">
                      <w:pPr>
                        <w:spacing w:line="20" w:lineRule="exact"/>
                      </w:pPr>
                    </w:p>
                    <w:p w14:paraId="73EE4E46" w14:textId="77777777" w:rsidR="00436738" w:rsidRDefault="00436738" w:rsidP="00436738">
                      <w:pPr>
                        <w:spacing w:line="20" w:lineRule="exact"/>
                      </w:pPr>
                    </w:p>
                    <w:p w14:paraId="183DBAD5" w14:textId="77777777" w:rsidR="00436738" w:rsidRDefault="00436738" w:rsidP="00436738">
                      <w:pPr>
                        <w:spacing w:line="20" w:lineRule="exact"/>
                      </w:pPr>
                    </w:p>
                    <w:p w14:paraId="13354A55" w14:textId="77777777" w:rsidR="00436738" w:rsidRDefault="00436738" w:rsidP="00436738">
                      <w:pPr>
                        <w:spacing w:line="20" w:lineRule="exact"/>
                      </w:pPr>
                    </w:p>
                    <w:p w14:paraId="7E716742" w14:textId="77777777" w:rsidR="00436738" w:rsidRDefault="00436738" w:rsidP="00436738">
                      <w:pPr>
                        <w:spacing w:line="20" w:lineRule="exact"/>
                      </w:pPr>
                    </w:p>
                    <w:p w14:paraId="5F933AA6" w14:textId="77777777" w:rsidR="00436738" w:rsidRDefault="00436738" w:rsidP="00436738">
                      <w:pPr>
                        <w:spacing w:line="20" w:lineRule="exact"/>
                      </w:pPr>
                    </w:p>
                    <w:p w14:paraId="2E3DCCE5" w14:textId="77777777" w:rsidR="00436738" w:rsidRDefault="00436738" w:rsidP="00436738">
                      <w:pPr>
                        <w:spacing w:line="20" w:lineRule="exact"/>
                      </w:pPr>
                    </w:p>
                    <w:p w14:paraId="13EA37D3" w14:textId="77777777" w:rsidR="00436738" w:rsidRDefault="00436738" w:rsidP="00436738">
                      <w:pPr>
                        <w:spacing w:line="20" w:lineRule="exact"/>
                      </w:pPr>
                    </w:p>
                    <w:p w14:paraId="1B6C49D5" w14:textId="77777777" w:rsidR="00436738" w:rsidRDefault="00436738" w:rsidP="00436738">
                      <w:pPr>
                        <w:spacing w:line="20" w:lineRule="exact"/>
                      </w:pPr>
                    </w:p>
                    <w:p w14:paraId="2459425A" w14:textId="77777777" w:rsidR="00436738" w:rsidRDefault="00436738" w:rsidP="00436738">
                      <w:pPr>
                        <w:spacing w:line="20" w:lineRule="exact"/>
                      </w:pPr>
                    </w:p>
                    <w:p w14:paraId="0F534599" w14:textId="77777777" w:rsidR="00436738" w:rsidRDefault="00436738" w:rsidP="00436738">
                      <w:pPr>
                        <w:spacing w:line="20" w:lineRule="exact"/>
                      </w:pPr>
                    </w:p>
                    <w:p w14:paraId="08A1BC54" w14:textId="77777777" w:rsidR="00436738" w:rsidRDefault="00436738" w:rsidP="00436738">
                      <w:pPr>
                        <w:spacing w:line="20" w:lineRule="exact"/>
                      </w:pPr>
                    </w:p>
                    <w:p w14:paraId="3FC28967" w14:textId="77777777" w:rsidR="00436738" w:rsidRDefault="00436738" w:rsidP="00436738">
                      <w:pPr>
                        <w:spacing w:line="20" w:lineRule="exact"/>
                      </w:pPr>
                    </w:p>
                    <w:p w14:paraId="251E18AD" w14:textId="77777777" w:rsidR="00436738" w:rsidRDefault="00436738" w:rsidP="00436738">
                      <w:pPr>
                        <w:spacing w:line="20" w:lineRule="exact"/>
                      </w:pPr>
                    </w:p>
                    <w:p w14:paraId="0EA559AD" w14:textId="77777777" w:rsidR="00436738" w:rsidRDefault="00436738" w:rsidP="00436738">
                      <w:pPr>
                        <w:spacing w:line="20" w:lineRule="exact"/>
                      </w:pPr>
                    </w:p>
                    <w:p w14:paraId="786DF77E" w14:textId="77777777" w:rsidR="00436738" w:rsidRDefault="00436738" w:rsidP="00436738">
                      <w:pPr>
                        <w:spacing w:line="20" w:lineRule="exact"/>
                      </w:pPr>
                    </w:p>
                    <w:p w14:paraId="2DBC9F13" w14:textId="77777777" w:rsidR="00436738" w:rsidRDefault="00436738" w:rsidP="00436738">
                      <w:pPr>
                        <w:spacing w:line="20" w:lineRule="exact"/>
                      </w:pPr>
                    </w:p>
                    <w:p w14:paraId="382F70F2" w14:textId="77777777" w:rsidR="00436738" w:rsidRDefault="00436738" w:rsidP="00436738">
                      <w:pPr>
                        <w:spacing w:line="20" w:lineRule="exact"/>
                      </w:pPr>
                    </w:p>
                    <w:p w14:paraId="0F0CD3FA" w14:textId="77777777" w:rsidR="00436738" w:rsidRDefault="00436738" w:rsidP="00436738">
                      <w:pPr>
                        <w:spacing w:line="20" w:lineRule="exact"/>
                      </w:pPr>
                    </w:p>
                    <w:p w14:paraId="7A2CCC0C" w14:textId="77777777" w:rsidR="00436738" w:rsidRDefault="00436738" w:rsidP="00436738">
                      <w:pPr>
                        <w:spacing w:line="20" w:lineRule="exact"/>
                      </w:pPr>
                    </w:p>
                    <w:p w14:paraId="239CEB56" w14:textId="77777777" w:rsidR="00436738" w:rsidRDefault="00436738" w:rsidP="00436738">
                      <w:pPr>
                        <w:spacing w:line="20" w:lineRule="exact"/>
                      </w:pPr>
                    </w:p>
                    <w:p w14:paraId="55FD0933" w14:textId="77777777" w:rsidR="00436738" w:rsidRDefault="00436738" w:rsidP="00436738">
                      <w:pPr>
                        <w:spacing w:line="20" w:lineRule="exact"/>
                      </w:pPr>
                    </w:p>
                    <w:p w14:paraId="6756C3E4" w14:textId="77777777" w:rsidR="00436738" w:rsidRDefault="00436738" w:rsidP="00436738">
                      <w:pPr>
                        <w:spacing w:line="20" w:lineRule="exact"/>
                      </w:pPr>
                    </w:p>
                    <w:p w14:paraId="06A5DDEB" w14:textId="77777777" w:rsidR="00436738" w:rsidRDefault="00436738" w:rsidP="00436738">
                      <w:pPr>
                        <w:spacing w:line="20" w:lineRule="exact"/>
                      </w:pPr>
                    </w:p>
                    <w:p w14:paraId="243F3CEA" w14:textId="77777777" w:rsidR="00436738" w:rsidRDefault="00436738" w:rsidP="00436738">
                      <w:pPr>
                        <w:spacing w:line="20" w:lineRule="exact"/>
                      </w:pPr>
                    </w:p>
                    <w:p w14:paraId="2910ADDB" w14:textId="77777777" w:rsidR="00436738" w:rsidRDefault="00436738" w:rsidP="00436738">
                      <w:pPr>
                        <w:spacing w:line="20" w:lineRule="exact"/>
                      </w:pPr>
                    </w:p>
                    <w:p w14:paraId="7FEA8405" w14:textId="77777777" w:rsidR="00436738" w:rsidRDefault="00436738" w:rsidP="00436738">
                      <w:pPr>
                        <w:spacing w:line="20" w:lineRule="exact"/>
                      </w:pPr>
                    </w:p>
                    <w:p w14:paraId="62D7AF5F" w14:textId="77777777" w:rsidR="00436738" w:rsidRDefault="00436738" w:rsidP="00436738">
                      <w:pPr>
                        <w:spacing w:line="20" w:lineRule="exact"/>
                      </w:pPr>
                    </w:p>
                    <w:p w14:paraId="076FBD96" w14:textId="77777777" w:rsidR="00436738" w:rsidRDefault="00436738" w:rsidP="00436738">
                      <w:pPr>
                        <w:spacing w:line="20" w:lineRule="exact"/>
                      </w:pPr>
                    </w:p>
                    <w:p w14:paraId="64C8D072" w14:textId="77777777" w:rsidR="00436738" w:rsidRDefault="00436738" w:rsidP="00436738">
                      <w:pPr>
                        <w:spacing w:line="20" w:lineRule="exact"/>
                      </w:pPr>
                    </w:p>
                    <w:p w14:paraId="06F1A505" w14:textId="77777777" w:rsidR="00436738" w:rsidRDefault="00436738" w:rsidP="00436738">
                      <w:pPr>
                        <w:spacing w:line="20" w:lineRule="exact"/>
                      </w:pPr>
                    </w:p>
                    <w:p w14:paraId="7F54711A" w14:textId="77777777" w:rsidR="00436738" w:rsidRDefault="00436738" w:rsidP="00436738">
                      <w:pPr>
                        <w:spacing w:line="20" w:lineRule="exact"/>
                      </w:pPr>
                    </w:p>
                    <w:p w14:paraId="6583ECCD" w14:textId="77777777" w:rsidR="00436738" w:rsidRDefault="00436738" w:rsidP="00436738">
                      <w:pPr>
                        <w:spacing w:line="20" w:lineRule="exact"/>
                      </w:pPr>
                    </w:p>
                    <w:p w14:paraId="11206624" w14:textId="77777777" w:rsidR="00436738" w:rsidRDefault="00436738" w:rsidP="00436738">
                      <w:pPr>
                        <w:spacing w:line="20" w:lineRule="exact"/>
                      </w:pPr>
                    </w:p>
                    <w:p w14:paraId="22FB3B9C" w14:textId="77777777" w:rsidR="00436738" w:rsidRDefault="00436738" w:rsidP="00436738">
                      <w:pPr>
                        <w:spacing w:line="20" w:lineRule="exact"/>
                      </w:pPr>
                    </w:p>
                    <w:p w14:paraId="1B2AA2EB" w14:textId="77777777" w:rsidR="00436738" w:rsidRDefault="00436738" w:rsidP="00436738">
                      <w:pPr>
                        <w:spacing w:line="20" w:lineRule="exact"/>
                      </w:pPr>
                    </w:p>
                    <w:p w14:paraId="4DB8E3A4" w14:textId="77777777" w:rsidR="00436738" w:rsidRDefault="00436738" w:rsidP="00436738">
                      <w:pPr>
                        <w:spacing w:line="20" w:lineRule="exact"/>
                      </w:pPr>
                    </w:p>
                    <w:p w14:paraId="4901F55A" w14:textId="77777777" w:rsidR="00436738" w:rsidRDefault="00436738" w:rsidP="00436738">
                      <w:pPr>
                        <w:spacing w:line="20" w:lineRule="exact"/>
                      </w:pPr>
                    </w:p>
                    <w:p w14:paraId="6B2E5150" w14:textId="77777777" w:rsidR="00436738" w:rsidRDefault="00436738" w:rsidP="00436738">
                      <w:pPr>
                        <w:spacing w:line="20" w:lineRule="exact"/>
                      </w:pPr>
                    </w:p>
                    <w:p w14:paraId="6AF25F2C" w14:textId="77777777" w:rsidR="00436738" w:rsidRDefault="00436738" w:rsidP="00436738">
                      <w:pPr>
                        <w:spacing w:line="20" w:lineRule="exact"/>
                      </w:pPr>
                    </w:p>
                    <w:p w14:paraId="6F3A1796" w14:textId="77777777" w:rsidR="00436738" w:rsidRDefault="00436738" w:rsidP="00436738">
                      <w:pPr>
                        <w:spacing w:line="20" w:lineRule="exact"/>
                      </w:pPr>
                    </w:p>
                    <w:p w14:paraId="22A7D865" w14:textId="77777777" w:rsidR="00436738" w:rsidRDefault="00436738" w:rsidP="00436738">
                      <w:pPr>
                        <w:spacing w:line="20" w:lineRule="exact"/>
                      </w:pPr>
                    </w:p>
                    <w:p w14:paraId="1C255AC2" w14:textId="77777777" w:rsidR="00436738" w:rsidRDefault="00436738" w:rsidP="00436738">
                      <w:pPr>
                        <w:spacing w:line="20" w:lineRule="exact"/>
                      </w:pPr>
                    </w:p>
                    <w:p w14:paraId="60178391" w14:textId="77777777" w:rsidR="00436738" w:rsidRDefault="00436738" w:rsidP="00436738">
                      <w:pPr>
                        <w:spacing w:line="20" w:lineRule="exact"/>
                      </w:pPr>
                    </w:p>
                    <w:p w14:paraId="011F2945" w14:textId="77777777" w:rsidR="00436738" w:rsidRDefault="00436738" w:rsidP="00436738">
                      <w:pPr>
                        <w:spacing w:line="20" w:lineRule="exact"/>
                      </w:pPr>
                    </w:p>
                    <w:p w14:paraId="237EFC82" w14:textId="77777777" w:rsidR="00436738" w:rsidRDefault="00436738" w:rsidP="00436738">
                      <w:pPr>
                        <w:spacing w:line="20" w:lineRule="exact"/>
                      </w:pPr>
                    </w:p>
                    <w:p w14:paraId="59A9C2CB" w14:textId="77777777" w:rsidR="00436738" w:rsidRDefault="00436738" w:rsidP="00436738">
                      <w:pPr>
                        <w:spacing w:line="20" w:lineRule="exact"/>
                      </w:pPr>
                    </w:p>
                    <w:p w14:paraId="60A2DA98" w14:textId="77777777" w:rsidR="00436738" w:rsidRDefault="00436738" w:rsidP="00436738">
                      <w:pPr>
                        <w:spacing w:line="20" w:lineRule="exact"/>
                      </w:pPr>
                    </w:p>
                    <w:p w14:paraId="62A8F081" w14:textId="77777777" w:rsidR="00436738" w:rsidRDefault="00436738" w:rsidP="00436738">
                      <w:pPr>
                        <w:spacing w:line="20" w:lineRule="exact"/>
                      </w:pPr>
                    </w:p>
                    <w:p w14:paraId="061F654D" w14:textId="77777777" w:rsidR="00436738" w:rsidRDefault="00436738" w:rsidP="00436738">
                      <w:pPr>
                        <w:spacing w:line="20" w:lineRule="exact"/>
                      </w:pPr>
                    </w:p>
                    <w:p w14:paraId="7D7DE5AE" w14:textId="77777777" w:rsidR="00436738" w:rsidRDefault="00436738" w:rsidP="00436738">
                      <w:pPr>
                        <w:spacing w:line="20" w:lineRule="exact"/>
                      </w:pPr>
                    </w:p>
                    <w:p w14:paraId="61E13294" w14:textId="77777777" w:rsidR="00436738" w:rsidRDefault="00436738" w:rsidP="00436738">
                      <w:pPr>
                        <w:spacing w:line="20" w:lineRule="exact"/>
                      </w:pPr>
                    </w:p>
                    <w:p w14:paraId="175E4709" w14:textId="77777777" w:rsidR="00436738" w:rsidRDefault="00436738" w:rsidP="00436738">
                      <w:pPr>
                        <w:spacing w:line="20" w:lineRule="exact"/>
                      </w:pPr>
                    </w:p>
                    <w:p w14:paraId="16D7F3FF" w14:textId="77777777" w:rsidR="00436738" w:rsidRDefault="00436738" w:rsidP="00436738">
                      <w:pPr>
                        <w:spacing w:line="20" w:lineRule="exact"/>
                      </w:pPr>
                    </w:p>
                    <w:p w14:paraId="75B83B4D" w14:textId="77777777" w:rsidR="00436738" w:rsidRDefault="00436738" w:rsidP="00436738">
                      <w:pPr>
                        <w:spacing w:line="20" w:lineRule="exact"/>
                      </w:pPr>
                    </w:p>
                    <w:p w14:paraId="37C7E59F" w14:textId="77777777" w:rsidR="00436738" w:rsidRDefault="00436738" w:rsidP="00436738">
                      <w:pPr>
                        <w:spacing w:line="20" w:lineRule="exact"/>
                      </w:pPr>
                    </w:p>
                    <w:p w14:paraId="0AC0C6ED" w14:textId="77777777" w:rsidR="00436738" w:rsidRDefault="00436738" w:rsidP="00436738">
                      <w:pPr>
                        <w:spacing w:line="20" w:lineRule="exact"/>
                      </w:pPr>
                    </w:p>
                    <w:p w14:paraId="209C347D" w14:textId="77777777" w:rsidR="00436738" w:rsidRDefault="00436738" w:rsidP="00436738">
                      <w:pPr>
                        <w:spacing w:line="20" w:lineRule="exact"/>
                      </w:pPr>
                    </w:p>
                    <w:p w14:paraId="23965057" w14:textId="77777777" w:rsidR="00436738" w:rsidRDefault="00436738" w:rsidP="00436738">
                      <w:pPr>
                        <w:spacing w:line="20" w:lineRule="exact"/>
                      </w:pPr>
                    </w:p>
                    <w:p w14:paraId="5894E488" w14:textId="77777777" w:rsidR="00436738" w:rsidRDefault="00436738" w:rsidP="00436738">
                      <w:pPr>
                        <w:spacing w:line="20" w:lineRule="exact"/>
                      </w:pPr>
                    </w:p>
                    <w:p w14:paraId="631027D2" w14:textId="77777777" w:rsidR="00436738" w:rsidRDefault="00436738" w:rsidP="00436738">
                      <w:pPr>
                        <w:spacing w:line="20" w:lineRule="exact"/>
                      </w:pPr>
                    </w:p>
                    <w:p w14:paraId="7DD48B23" w14:textId="77777777" w:rsidR="00436738" w:rsidRDefault="00436738" w:rsidP="00436738">
                      <w:pPr>
                        <w:spacing w:line="20" w:lineRule="exact"/>
                      </w:pPr>
                    </w:p>
                    <w:p w14:paraId="5DEAB47A" w14:textId="77777777" w:rsidR="00436738" w:rsidRDefault="00436738" w:rsidP="00436738">
                      <w:pPr>
                        <w:spacing w:line="20" w:lineRule="exact"/>
                      </w:pPr>
                    </w:p>
                    <w:p w14:paraId="101A826B" w14:textId="77777777" w:rsidR="00436738" w:rsidRDefault="00436738" w:rsidP="00436738">
                      <w:pPr>
                        <w:spacing w:line="20" w:lineRule="exact"/>
                      </w:pPr>
                    </w:p>
                    <w:p w14:paraId="6409EB08" w14:textId="77777777" w:rsidR="00436738" w:rsidRDefault="00436738" w:rsidP="00436738">
                      <w:pPr>
                        <w:spacing w:line="20" w:lineRule="exact"/>
                      </w:pPr>
                    </w:p>
                    <w:p w14:paraId="6B8A7988" w14:textId="77777777" w:rsidR="00436738" w:rsidRDefault="00436738" w:rsidP="00436738">
                      <w:pPr>
                        <w:spacing w:line="20" w:lineRule="exact"/>
                      </w:pPr>
                    </w:p>
                    <w:p w14:paraId="3A653843" w14:textId="77777777" w:rsidR="00436738" w:rsidRDefault="00436738" w:rsidP="00436738">
                      <w:pPr>
                        <w:spacing w:line="20" w:lineRule="exact"/>
                      </w:pPr>
                    </w:p>
                    <w:p w14:paraId="582C44DF" w14:textId="77777777" w:rsidR="00436738" w:rsidRDefault="00436738" w:rsidP="00436738">
                      <w:pPr>
                        <w:spacing w:line="20" w:lineRule="exact"/>
                      </w:pPr>
                    </w:p>
                    <w:p w14:paraId="355AF362" w14:textId="28E6A081" w:rsidR="00436738" w:rsidRDefault="00436738" w:rsidP="00436738">
                      <w:pPr>
                        <w:spacing w:line="20" w:lineRule="exact"/>
                      </w:pPr>
                      <w:r>
                        <w:rPr>
                          <w:noProof/>
                        </w:rPr>
                        <w:drawing>
                          <wp:inline distT="0" distB="0" distL="0" distR="0" wp14:anchorId="688790C0" wp14:editId="0136A863">
                            <wp:extent cx="3886200" cy="2143125"/>
                            <wp:effectExtent l="0" t="0" r="0" b="0"/>
                            <wp:docPr id="2003185537" name="圖表 20031855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xbxContent>
                </v:textbox>
                <w10:wrap type="tight" anchorx="margin" anchory="page"/>
              </v:shape>
            </w:pict>
          </mc:Fallback>
        </mc:AlternateContent>
      </w:r>
      <w:r>
        <w:rPr>
          <w:rFonts w:ascii="標楷體" w:eastAsia="標楷體" w:hAnsi="標楷體" w:hint="eastAsia"/>
          <w:kern w:val="0"/>
          <w:szCs w:val="28"/>
        </w:rPr>
        <w:t>20.04％</w:t>
      </w:r>
      <w:proofErr w:type="gramStart"/>
      <w:r>
        <w:rPr>
          <w:rFonts w:ascii="標楷體" w:eastAsia="標楷體" w:hAnsi="標楷體" w:hint="eastAsia"/>
          <w:kern w:val="0"/>
          <w:szCs w:val="28"/>
        </w:rPr>
        <w:t>）</w:t>
      </w:r>
      <w:proofErr w:type="gramEnd"/>
      <w:r>
        <w:rPr>
          <w:rFonts w:ascii="標楷體" w:eastAsia="標楷體" w:hAnsi="標楷體" w:hint="eastAsia"/>
          <w:kern w:val="0"/>
          <w:szCs w:val="28"/>
        </w:rPr>
        <w:t>，距離民眾檢舉時日或活動舉辦日期，</w:t>
      </w:r>
      <w:proofErr w:type="gramStart"/>
      <w:r>
        <w:rPr>
          <w:rFonts w:ascii="標楷體" w:eastAsia="標楷體" w:hAnsi="標楷體" w:hint="eastAsia"/>
          <w:kern w:val="0"/>
          <w:szCs w:val="28"/>
        </w:rPr>
        <w:t>均逾3個月</w:t>
      </w:r>
      <w:proofErr w:type="gramEnd"/>
      <w:r>
        <w:rPr>
          <w:rFonts w:ascii="標楷體" w:eastAsia="標楷體" w:hAnsi="標楷體" w:hint="eastAsia"/>
          <w:kern w:val="0"/>
          <w:szCs w:val="28"/>
        </w:rPr>
        <w:t>，其中有204案自受理後已逾6個月仍未結案，約占17.50％（圖2）；3.為應違反</w:t>
      </w:r>
      <w:proofErr w:type="gramStart"/>
      <w:r>
        <w:rPr>
          <w:rFonts w:ascii="標楷體" w:eastAsia="標楷體" w:hAnsi="標楷體" w:hint="eastAsia"/>
          <w:kern w:val="0"/>
          <w:szCs w:val="28"/>
        </w:rPr>
        <w:t>文創法</w:t>
      </w:r>
      <w:proofErr w:type="gramEnd"/>
      <w:r>
        <w:rPr>
          <w:rFonts w:ascii="標楷體" w:eastAsia="標楷體" w:hAnsi="標楷體" w:hint="eastAsia"/>
          <w:kern w:val="0"/>
          <w:szCs w:val="28"/>
        </w:rPr>
        <w:t>第10－1條規定案件之義務人，因無力一次繳清行政罰鍰需求，</w:t>
      </w:r>
      <w:proofErr w:type="gramStart"/>
      <w:r>
        <w:rPr>
          <w:rFonts w:ascii="標楷體" w:eastAsia="標楷體" w:hAnsi="標楷體" w:hint="eastAsia"/>
          <w:kern w:val="0"/>
          <w:szCs w:val="28"/>
        </w:rPr>
        <w:t>113</w:t>
      </w:r>
      <w:proofErr w:type="gramEnd"/>
      <w:r>
        <w:rPr>
          <w:rFonts w:ascii="標楷體" w:eastAsia="標楷體" w:hAnsi="標楷體" w:hint="eastAsia"/>
          <w:kern w:val="0"/>
          <w:szCs w:val="28"/>
        </w:rPr>
        <w:t>年度業受理並核定6案件分期繳款，惟未擬定相關案件</w:t>
      </w:r>
      <w:proofErr w:type="gramStart"/>
      <w:r>
        <w:rPr>
          <w:rFonts w:ascii="標楷體" w:eastAsia="標楷體" w:hAnsi="標楷體" w:hint="eastAsia"/>
          <w:kern w:val="0"/>
          <w:szCs w:val="28"/>
        </w:rPr>
        <w:t>延繳期數</w:t>
      </w:r>
      <w:proofErr w:type="gramEnd"/>
      <w:r>
        <w:rPr>
          <w:rFonts w:ascii="標楷體" w:eastAsia="標楷體" w:hAnsi="標楷體" w:hint="eastAsia"/>
          <w:kern w:val="0"/>
          <w:szCs w:val="28"/>
        </w:rPr>
        <w:t>之處理原則，</w:t>
      </w:r>
      <w:proofErr w:type="gramStart"/>
      <w:r>
        <w:rPr>
          <w:rFonts w:ascii="標楷體" w:eastAsia="標楷體" w:hAnsi="標楷體" w:hint="eastAsia"/>
          <w:kern w:val="0"/>
          <w:szCs w:val="28"/>
        </w:rPr>
        <w:t>間有罰鍰</w:t>
      </w:r>
      <w:proofErr w:type="gramEnd"/>
      <w:r>
        <w:rPr>
          <w:rFonts w:ascii="標楷體" w:eastAsia="標楷體" w:hAnsi="標楷體" w:hint="eastAsia"/>
          <w:kern w:val="0"/>
          <w:szCs w:val="28"/>
        </w:rPr>
        <w:t>金額相同，核定</w:t>
      </w:r>
      <w:proofErr w:type="gramStart"/>
      <w:r>
        <w:rPr>
          <w:rFonts w:ascii="標楷體" w:eastAsia="標楷體" w:hAnsi="標楷體" w:hint="eastAsia"/>
          <w:kern w:val="0"/>
          <w:szCs w:val="28"/>
        </w:rPr>
        <w:t>延繳期數</w:t>
      </w:r>
      <w:proofErr w:type="gramEnd"/>
      <w:r>
        <w:rPr>
          <w:rFonts w:ascii="標楷體" w:eastAsia="標楷體" w:hAnsi="標楷體" w:hint="eastAsia"/>
          <w:kern w:val="0"/>
          <w:szCs w:val="28"/>
        </w:rPr>
        <w:t>卻不同，或有罰鍰金額較低者之</w:t>
      </w:r>
      <w:proofErr w:type="gramStart"/>
      <w:r>
        <w:rPr>
          <w:rFonts w:ascii="標楷體" w:eastAsia="標楷體" w:hAnsi="標楷體" w:hint="eastAsia"/>
          <w:kern w:val="0"/>
          <w:szCs w:val="28"/>
        </w:rPr>
        <w:t>延繳期數</w:t>
      </w:r>
      <w:proofErr w:type="gramEnd"/>
      <w:r>
        <w:rPr>
          <w:rFonts w:ascii="標楷體" w:eastAsia="標楷體" w:hAnsi="標楷體" w:hint="eastAsia"/>
          <w:kern w:val="0"/>
          <w:szCs w:val="28"/>
        </w:rPr>
        <w:t>，反較罰鍰金額較高者為長等裁量基準</w:t>
      </w:r>
      <w:proofErr w:type="gramStart"/>
      <w:r>
        <w:rPr>
          <w:rFonts w:ascii="標楷體" w:eastAsia="標楷體" w:hAnsi="標楷體" w:hint="eastAsia"/>
          <w:kern w:val="0"/>
          <w:szCs w:val="28"/>
        </w:rPr>
        <w:t>不</w:t>
      </w:r>
      <w:proofErr w:type="gramEnd"/>
      <w:r>
        <w:rPr>
          <w:rFonts w:ascii="標楷體" w:eastAsia="標楷體" w:hAnsi="標楷體" w:hint="eastAsia"/>
          <w:kern w:val="0"/>
          <w:szCs w:val="28"/>
        </w:rPr>
        <w:t>一等情事，經函請</w:t>
      </w:r>
      <w:proofErr w:type="gramStart"/>
      <w:r>
        <w:rPr>
          <w:rFonts w:ascii="標楷體" w:eastAsia="標楷體" w:hAnsi="標楷體" w:hint="eastAsia"/>
          <w:kern w:val="0"/>
          <w:szCs w:val="28"/>
        </w:rPr>
        <w:t>研</w:t>
      </w:r>
      <w:proofErr w:type="gramEnd"/>
      <w:r>
        <w:rPr>
          <w:rFonts w:ascii="標楷體" w:eastAsia="標楷體" w:hAnsi="標楷體" w:hint="eastAsia"/>
          <w:kern w:val="0"/>
          <w:szCs w:val="28"/>
        </w:rPr>
        <w:t>謀改善。據復：1.將</w:t>
      </w:r>
      <w:r>
        <w:rPr>
          <w:rFonts w:ascii="標楷體" w:eastAsia="標楷體" w:hAnsi="標楷體" w:cs="全字庫正楷體" w:hint="eastAsia"/>
          <w:kern w:val="0"/>
        </w:rPr>
        <w:t>持續完善行政裁處及罰鍰收繳等相關作業程序，預計於114年底前完成標準作業內控程序；2.已增加黃牛檢舉案件辦理業務人力及委請律師事務所協助，以提升查緝作業效率及加強黃牛防制相關宣導事宜</w:t>
      </w:r>
      <w:r>
        <w:rPr>
          <w:rFonts w:ascii="標楷體" w:eastAsia="標楷體" w:hAnsi="標楷體" w:hint="eastAsia"/>
          <w:kern w:val="0"/>
          <w:szCs w:val="28"/>
        </w:rPr>
        <w:t>；3.</w:t>
      </w:r>
      <w:r>
        <w:rPr>
          <w:rFonts w:ascii="標楷體" w:eastAsia="標楷體" w:hAnsi="標楷體" w:cs="全字庫正楷體" w:hint="eastAsia"/>
          <w:kern w:val="0"/>
        </w:rPr>
        <w:t>已於114年5月22日公告訂定「臺北市政府受理申請分期繳納違反文化創意產業發展法第十條之一第二項行政罰鍰案件處理原則」，自同年6月1日生效，以建立公平、客觀之審查標準。</w:t>
      </w:r>
    </w:p>
    <w:p w14:paraId="383A1E3C" w14:textId="77777777" w:rsidR="00436738" w:rsidRDefault="00436738" w:rsidP="00713069">
      <w:pPr>
        <w:pStyle w:val="04"/>
        <w:widowControl w:val="0"/>
        <w:suppressAutoHyphens w:val="0"/>
        <w:spacing w:beforeLines="50" w:before="180" w:afterLines="20" w:after="72" w:line="420" w:lineRule="exact"/>
        <w:ind w:firstLine="280"/>
        <w:rPr>
          <w:szCs w:val="28"/>
        </w:rPr>
      </w:pPr>
      <w:r>
        <w:rPr>
          <w:rFonts w:hint="eastAsia"/>
          <w:szCs w:val="28"/>
        </w:rPr>
        <w:t>（四）為健全文化環境生態，積極爭取中央補助經費辦理文化資產修復，惟辦理補助款追加預算作業時，未妥為衡酌各計畫執行量能，致預算保留比率偏高，且所經管之有形文化資產，部分未依規定訂定(檢討)管理維護計畫，均有待檢討改善。</w:t>
      </w:r>
    </w:p>
    <w:p w14:paraId="28A6C4C1" w14:textId="3B599909" w:rsidR="00436738" w:rsidRDefault="00436738" w:rsidP="00C335C3">
      <w:pPr>
        <w:spacing w:line="430" w:lineRule="exact"/>
        <w:ind w:firstLineChars="200" w:firstLine="480"/>
        <w:jc w:val="both"/>
        <w:rPr>
          <w:rFonts w:ascii="標楷體" w:eastAsia="標楷體" w:hAnsi="標楷體" w:cs="全字庫正楷體"/>
          <w:kern w:val="0"/>
        </w:rPr>
      </w:pPr>
      <w:r>
        <w:rPr>
          <w:rFonts w:hint="eastAsia"/>
          <w:noProof/>
        </w:rPr>
        <mc:AlternateContent>
          <mc:Choice Requires="wps">
            <w:drawing>
              <wp:anchor distT="45720" distB="45720" distL="114300" distR="114300" simplePos="0" relativeHeight="251716608" behindDoc="0" locked="0" layoutInCell="1" allowOverlap="1" wp14:anchorId="60FFCFD6" wp14:editId="61FA8F1E">
                <wp:simplePos x="0" y="0"/>
                <wp:positionH relativeFrom="margin">
                  <wp:posOffset>3630930</wp:posOffset>
                </wp:positionH>
                <wp:positionV relativeFrom="page">
                  <wp:posOffset>7321550</wp:posOffset>
                </wp:positionV>
                <wp:extent cx="2659380" cy="2473960"/>
                <wp:effectExtent l="0" t="0" r="7620" b="2540"/>
                <wp:wrapSquare wrapText="bothSides"/>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9380" cy="2473960"/>
                        </a:xfrm>
                        <a:prstGeom prst="rect">
                          <a:avLst/>
                        </a:prstGeom>
                        <a:solidFill>
                          <a:srgbClr val="FFFFFF"/>
                        </a:solidFill>
                        <a:ln w="9525">
                          <a:noFill/>
                          <a:miter lim="800000"/>
                          <a:headEnd/>
                          <a:tailEnd/>
                        </a:ln>
                      </wps:spPr>
                      <wps:txbx>
                        <w:txbxContent>
                          <w:tbl>
                            <w:tblPr>
                              <w:tblW w:w="4074" w:type="dxa"/>
                              <w:tblLayout w:type="fixed"/>
                              <w:tblCellMar>
                                <w:left w:w="28" w:type="dxa"/>
                                <w:right w:w="28" w:type="dxa"/>
                              </w:tblCellMar>
                              <w:tblLook w:val="04A0" w:firstRow="1" w:lastRow="0" w:firstColumn="1" w:lastColumn="0" w:noHBand="0" w:noVBand="1"/>
                            </w:tblPr>
                            <w:tblGrid>
                              <w:gridCol w:w="658"/>
                              <w:gridCol w:w="420"/>
                              <w:gridCol w:w="770"/>
                              <w:gridCol w:w="700"/>
                              <w:gridCol w:w="756"/>
                              <w:gridCol w:w="770"/>
                            </w:tblGrid>
                            <w:tr w:rsidR="00436738" w14:paraId="5649890E" w14:textId="77777777" w:rsidTr="00C335C3">
                              <w:trPr>
                                <w:trHeight w:val="324"/>
                              </w:trPr>
                              <w:tc>
                                <w:tcPr>
                                  <w:tcW w:w="4074" w:type="dxa"/>
                                  <w:gridSpan w:val="6"/>
                                  <w:hideMark/>
                                </w:tcPr>
                                <w:p w14:paraId="5E8CB005" w14:textId="45AE7CDC" w:rsidR="00436738" w:rsidRDefault="00436738" w:rsidP="005D009F">
                                  <w:pPr>
                                    <w:spacing w:line="280" w:lineRule="exact"/>
                                    <w:ind w:left="668" w:rightChars="-23" w:right="-55" w:hangingChars="278" w:hanging="668"/>
                                    <w:rPr>
                                      <w:rFonts w:ascii="標楷體" w:eastAsia="標楷體" w:hAnsi="標楷體"/>
                                      <w:b/>
                                      <w:color w:val="000000"/>
                                      <w:szCs w:val="24"/>
                                    </w:rPr>
                                  </w:pPr>
                                  <w:r>
                                    <w:rPr>
                                      <w:rFonts w:ascii="標楷體" w:eastAsia="標楷體" w:hAnsi="標楷體" w:hint="eastAsia"/>
                                      <w:b/>
                                      <w:color w:val="000000"/>
                                      <w:szCs w:val="24"/>
                                    </w:rPr>
                                    <w:t>表3</w:t>
                                  </w:r>
                                  <w:r w:rsidR="00C335C3">
                                    <w:rPr>
                                      <w:rFonts w:ascii="標楷體" w:eastAsia="標楷體" w:hAnsi="標楷體" w:hint="eastAsia"/>
                                      <w:b/>
                                      <w:color w:val="000000"/>
                                      <w:szCs w:val="24"/>
                                    </w:rPr>
                                    <w:t xml:space="preserve">　</w:t>
                                  </w:r>
                                  <w:r>
                                    <w:rPr>
                                      <w:rFonts w:ascii="標楷體" w:eastAsia="標楷體" w:hAnsi="標楷體" w:hint="eastAsia"/>
                                      <w:b/>
                                      <w:color w:val="000000"/>
                                      <w:szCs w:val="24"/>
                                    </w:rPr>
                                    <w:t>文化局編列文化資產保存維護相關計畫補助預算及執行情形</w:t>
                                  </w:r>
                                </w:p>
                              </w:tc>
                            </w:tr>
                            <w:tr w:rsidR="00C335C3" w14:paraId="343DAA43" w14:textId="77777777" w:rsidTr="00154172">
                              <w:trPr>
                                <w:trHeight w:val="92"/>
                              </w:trPr>
                              <w:tc>
                                <w:tcPr>
                                  <w:tcW w:w="4074" w:type="dxa"/>
                                  <w:gridSpan w:val="6"/>
                                </w:tcPr>
                                <w:p w14:paraId="6A575AA7" w14:textId="77777777" w:rsidR="00C335C3" w:rsidRDefault="00C335C3">
                                  <w:pPr>
                                    <w:spacing w:line="240" w:lineRule="exact"/>
                                    <w:jc w:val="right"/>
                                    <w:rPr>
                                      <w:rFonts w:ascii="標楷體" w:eastAsia="標楷體" w:hAnsi="標楷體"/>
                                      <w:color w:val="000000"/>
                                      <w:sz w:val="18"/>
                                      <w:szCs w:val="18"/>
                                    </w:rPr>
                                  </w:pPr>
                                  <w:r>
                                    <w:rPr>
                                      <w:rFonts w:ascii="標楷體" w:eastAsia="標楷體" w:hAnsi="標楷體" w:hint="eastAsia"/>
                                      <w:color w:val="000000"/>
                                      <w:sz w:val="18"/>
                                      <w:szCs w:val="18"/>
                                    </w:rPr>
                                    <w:t>單位：新臺幣千元、％</w:t>
                                  </w:r>
                                </w:p>
                              </w:tc>
                            </w:tr>
                            <w:tr w:rsidR="00436738" w14:paraId="180E9E65" w14:textId="77777777" w:rsidTr="00C335C3">
                              <w:trPr>
                                <w:trHeight w:val="227"/>
                              </w:trPr>
                              <w:tc>
                                <w:tcPr>
                                  <w:tcW w:w="658" w:type="dxa"/>
                                  <w:tcBorders>
                                    <w:top w:val="single" w:sz="4" w:space="0" w:color="auto"/>
                                    <w:left w:val="single" w:sz="4" w:space="0" w:color="auto"/>
                                    <w:bottom w:val="single" w:sz="4" w:space="0" w:color="auto"/>
                                    <w:right w:val="single" w:sz="4" w:space="0" w:color="auto"/>
                                  </w:tcBorders>
                                  <w:vAlign w:val="center"/>
                                  <w:hideMark/>
                                </w:tcPr>
                                <w:p w14:paraId="3CB98DE7" w14:textId="77777777" w:rsidR="00436738" w:rsidRDefault="00436738" w:rsidP="00C335C3">
                                  <w:pP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經費</w:t>
                                  </w:r>
                                </w:p>
                                <w:p w14:paraId="3585AE49" w14:textId="77777777" w:rsidR="00436738" w:rsidRDefault="00436738" w:rsidP="00C335C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來源</w:t>
                                  </w:r>
                                </w:p>
                              </w:tc>
                              <w:tc>
                                <w:tcPr>
                                  <w:tcW w:w="420" w:type="dxa"/>
                                  <w:tcBorders>
                                    <w:top w:val="single" w:sz="4" w:space="0" w:color="auto"/>
                                    <w:left w:val="single" w:sz="4" w:space="0" w:color="auto"/>
                                    <w:bottom w:val="single" w:sz="4" w:space="0" w:color="auto"/>
                                    <w:right w:val="single" w:sz="4" w:space="0" w:color="auto"/>
                                  </w:tcBorders>
                                  <w:noWrap/>
                                  <w:vAlign w:val="center"/>
                                  <w:hideMark/>
                                </w:tcPr>
                                <w:p w14:paraId="647BF86A" w14:textId="77777777" w:rsidR="00436738" w:rsidRDefault="00436738">
                                  <w:pPr>
                                    <w:spacing w:line="240" w:lineRule="exact"/>
                                    <w:ind w:rightChars="-71" w:right="-170"/>
                                    <w:rPr>
                                      <w:rFonts w:ascii="標楷體" w:eastAsia="標楷體" w:hAnsi="標楷體"/>
                                      <w:color w:val="000000"/>
                                      <w:sz w:val="20"/>
                                      <w:szCs w:val="20"/>
                                    </w:rPr>
                                  </w:pPr>
                                  <w:r>
                                    <w:rPr>
                                      <w:rFonts w:ascii="標楷體" w:eastAsia="標楷體" w:hAnsi="標楷體" w:hint="eastAsia"/>
                                      <w:color w:val="000000"/>
                                      <w:sz w:val="20"/>
                                      <w:szCs w:val="20"/>
                                    </w:rPr>
                                    <w:t>年度</w:t>
                                  </w:r>
                                </w:p>
                              </w:tc>
                              <w:tc>
                                <w:tcPr>
                                  <w:tcW w:w="770" w:type="dxa"/>
                                  <w:tcBorders>
                                    <w:top w:val="single" w:sz="4" w:space="0" w:color="auto"/>
                                    <w:left w:val="nil"/>
                                    <w:bottom w:val="single" w:sz="4" w:space="0" w:color="auto"/>
                                    <w:right w:val="single" w:sz="4" w:space="0" w:color="auto"/>
                                  </w:tcBorders>
                                  <w:noWrap/>
                                  <w:vAlign w:val="center"/>
                                  <w:hideMark/>
                                </w:tcPr>
                                <w:p w14:paraId="10601075"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預算數</w:t>
                                  </w:r>
                                </w:p>
                                <w:p w14:paraId="02F5E8CE" w14:textId="5E7FA56C" w:rsidR="00C335C3" w:rsidRDefault="00C335C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w:t>
                                  </w:r>
                                  <w:r>
                                    <w:rPr>
                                      <w:rFonts w:ascii="標楷體" w:eastAsia="標楷體" w:hAnsi="標楷體"/>
                                      <w:color w:val="000000"/>
                                      <w:sz w:val="20"/>
                                      <w:szCs w:val="20"/>
                                    </w:rPr>
                                    <w:t>A）</w:t>
                                  </w:r>
                                </w:p>
                              </w:tc>
                              <w:tc>
                                <w:tcPr>
                                  <w:tcW w:w="700" w:type="dxa"/>
                                  <w:tcBorders>
                                    <w:top w:val="single" w:sz="4" w:space="0" w:color="auto"/>
                                    <w:left w:val="nil"/>
                                    <w:bottom w:val="single" w:sz="4" w:space="0" w:color="auto"/>
                                    <w:right w:val="single" w:sz="4" w:space="0" w:color="auto"/>
                                  </w:tcBorders>
                                  <w:noWrap/>
                                  <w:vAlign w:val="center"/>
                                  <w:hideMark/>
                                </w:tcPr>
                                <w:p w14:paraId="2E1DCF76"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實現數</w:t>
                                  </w:r>
                                </w:p>
                                <w:p w14:paraId="2EF0E8B3" w14:textId="0C192975" w:rsidR="00C335C3" w:rsidRDefault="00C335C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（B</w:t>
                                  </w:r>
                                  <w:r>
                                    <w:rPr>
                                      <w:rFonts w:ascii="標楷體" w:eastAsia="標楷體" w:hAnsi="標楷體"/>
                                      <w:color w:val="000000"/>
                                      <w:sz w:val="20"/>
                                      <w:szCs w:val="20"/>
                                    </w:rPr>
                                    <w:t>）</w:t>
                                  </w:r>
                                </w:p>
                              </w:tc>
                              <w:tc>
                                <w:tcPr>
                                  <w:tcW w:w="756" w:type="dxa"/>
                                  <w:tcBorders>
                                    <w:top w:val="single" w:sz="4" w:space="0" w:color="auto"/>
                                    <w:left w:val="nil"/>
                                    <w:bottom w:val="single" w:sz="4" w:space="0" w:color="auto"/>
                                    <w:right w:val="single" w:sz="4" w:space="0" w:color="auto"/>
                                  </w:tcBorders>
                                  <w:noWrap/>
                                  <w:vAlign w:val="center"/>
                                  <w:hideMark/>
                                </w:tcPr>
                                <w:p w14:paraId="1E715247"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保留數</w:t>
                                  </w:r>
                                </w:p>
                                <w:p w14:paraId="6B1BE7E7" w14:textId="5B58D7B5" w:rsidR="00C335C3" w:rsidRDefault="00C335C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w:t>
                                  </w:r>
                                  <w:r>
                                    <w:rPr>
                                      <w:rFonts w:ascii="標楷體" w:eastAsia="標楷體" w:hAnsi="標楷體"/>
                                      <w:color w:val="000000"/>
                                      <w:sz w:val="20"/>
                                      <w:szCs w:val="20"/>
                                    </w:rPr>
                                    <w:t>C）</w:t>
                                  </w:r>
                                </w:p>
                              </w:tc>
                              <w:tc>
                                <w:tcPr>
                                  <w:tcW w:w="770" w:type="dxa"/>
                                  <w:tcBorders>
                                    <w:top w:val="single" w:sz="4" w:space="0" w:color="auto"/>
                                    <w:left w:val="nil"/>
                                    <w:bottom w:val="single" w:sz="4" w:space="0" w:color="auto"/>
                                    <w:right w:val="single" w:sz="4" w:space="0" w:color="auto"/>
                                  </w:tcBorders>
                                  <w:noWrap/>
                                  <w:vAlign w:val="center"/>
                                  <w:hideMark/>
                                </w:tcPr>
                                <w:p w14:paraId="23007B87" w14:textId="77777777" w:rsidR="00436738" w:rsidRPr="00C335C3" w:rsidRDefault="00436738" w:rsidP="00C335C3">
                                  <w:pPr>
                                    <w:spacing w:line="220" w:lineRule="exact"/>
                                    <w:ind w:leftChars="-5" w:left="-12"/>
                                    <w:jc w:val="center"/>
                                    <w:rPr>
                                      <w:rFonts w:ascii="標楷體" w:eastAsia="標楷體" w:hAnsi="標楷體"/>
                                      <w:color w:val="000000"/>
                                      <w:spacing w:val="-10"/>
                                      <w:sz w:val="20"/>
                                      <w:szCs w:val="20"/>
                                    </w:rPr>
                                  </w:pPr>
                                  <w:r w:rsidRPr="00C335C3">
                                    <w:rPr>
                                      <w:rFonts w:ascii="標楷體" w:eastAsia="標楷體" w:hAnsi="標楷體" w:hint="eastAsia"/>
                                      <w:color w:val="000000"/>
                                      <w:spacing w:val="-10"/>
                                      <w:sz w:val="20"/>
                                      <w:szCs w:val="20"/>
                                    </w:rPr>
                                    <w:t>保留比率</w:t>
                                  </w:r>
                                </w:p>
                                <w:p w14:paraId="289C87B3" w14:textId="7931F22B" w:rsidR="00C335C3" w:rsidRPr="00C335C3" w:rsidRDefault="00C335C3" w:rsidP="00C335C3">
                                  <w:pPr>
                                    <w:spacing w:line="220" w:lineRule="exact"/>
                                    <w:ind w:leftChars="-74" w:left="-178" w:rightChars="-57" w:right="-137"/>
                                    <w:jc w:val="center"/>
                                    <w:rPr>
                                      <w:rFonts w:ascii="標楷體" w:eastAsia="標楷體" w:hAnsi="標楷體"/>
                                      <w:color w:val="000000"/>
                                      <w:spacing w:val="-30"/>
                                      <w:sz w:val="20"/>
                                      <w:szCs w:val="20"/>
                                    </w:rPr>
                                  </w:pPr>
                                  <w:r w:rsidRPr="00C335C3">
                                    <w:rPr>
                                      <w:rFonts w:ascii="標楷體" w:eastAsia="標楷體" w:hAnsi="標楷體" w:hint="eastAsia"/>
                                      <w:color w:val="000000"/>
                                      <w:spacing w:val="-30"/>
                                      <w:sz w:val="20"/>
                                      <w:szCs w:val="20"/>
                                    </w:rPr>
                                    <w:t>（</w:t>
                                  </w:r>
                                  <w:r w:rsidRPr="00C335C3">
                                    <w:rPr>
                                      <w:rFonts w:ascii="標楷體" w:eastAsia="標楷體" w:hAnsi="標楷體"/>
                                      <w:color w:val="000000"/>
                                      <w:spacing w:val="-30"/>
                                      <w:sz w:val="20"/>
                                      <w:szCs w:val="20"/>
                                    </w:rPr>
                                    <w:t>C/A</w:t>
                                  </w:r>
                                  <w:r w:rsidRPr="00C335C3">
                                    <w:rPr>
                                      <w:rFonts w:ascii="標楷體" w:eastAsia="標楷體" w:hAnsi="標楷體" w:hint="eastAsia"/>
                                      <w:color w:val="000000"/>
                                      <w:spacing w:val="-30"/>
                                      <w:sz w:val="20"/>
                                      <w:szCs w:val="20"/>
                                    </w:rPr>
                                    <w:t>×</w:t>
                                  </w:r>
                                  <w:r w:rsidRPr="00C335C3">
                                    <w:rPr>
                                      <w:rFonts w:ascii="標楷體" w:eastAsia="標楷體" w:hAnsi="標楷體"/>
                                      <w:color w:val="000000"/>
                                      <w:spacing w:val="-30"/>
                                      <w:sz w:val="20"/>
                                      <w:szCs w:val="20"/>
                                    </w:rPr>
                                    <w:t>100）</w:t>
                                  </w:r>
                                </w:p>
                              </w:tc>
                            </w:tr>
                            <w:tr w:rsidR="00436738" w14:paraId="2A111AC3" w14:textId="77777777" w:rsidTr="00C335C3">
                              <w:trPr>
                                <w:trHeight w:val="227"/>
                              </w:trPr>
                              <w:tc>
                                <w:tcPr>
                                  <w:tcW w:w="658" w:type="dxa"/>
                                  <w:vMerge w:val="restart"/>
                                  <w:tcBorders>
                                    <w:top w:val="nil"/>
                                    <w:left w:val="single" w:sz="4" w:space="0" w:color="auto"/>
                                    <w:bottom w:val="single" w:sz="4" w:space="0" w:color="auto"/>
                                    <w:right w:val="single" w:sz="4" w:space="0" w:color="auto"/>
                                  </w:tcBorders>
                                  <w:vAlign w:val="center"/>
                                  <w:hideMark/>
                                </w:tcPr>
                                <w:p w14:paraId="03DF3D4C" w14:textId="77777777" w:rsidR="00436738" w:rsidRDefault="00436738">
                                  <w:pPr>
                                    <w:spacing w:line="240" w:lineRule="exact"/>
                                    <w:jc w:val="center"/>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合計</w:t>
                                  </w:r>
                                </w:p>
                              </w:tc>
                              <w:tc>
                                <w:tcPr>
                                  <w:tcW w:w="420" w:type="dxa"/>
                                  <w:tcBorders>
                                    <w:top w:val="nil"/>
                                    <w:left w:val="single" w:sz="4" w:space="0" w:color="auto"/>
                                    <w:bottom w:val="single" w:sz="4" w:space="0" w:color="auto"/>
                                    <w:right w:val="single" w:sz="4" w:space="0" w:color="auto"/>
                                  </w:tcBorders>
                                  <w:noWrap/>
                                  <w:vAlign w:val="center"/>
                                  <w:hideMark/>
                                </w:tcPr>
                                <w:p w14:paraId="263F2D5B" w14:textId="77777777" w:rsidR="00436738" w:rsidRDefault="00436738">
                                  <w:pPr>
                                    <w:spacing w:line="240" w:lineRule="exact"/>
                                    <w:jc w:val="center"/>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111</w:t>
                                  </w:r>
                                </w:p>
                              </w:tc>
                              <w:tc>
                                <w:tcPr>
                                  <w:tcW w:w="770" w:type="dxa"/>
                                  <w:tcBorders>
                                    <w:top w:val="single" w:sz="4" w:space="0" w:color="auto"/>
                                    <w:left w:val="nil"/>
                                    <w:bottom w:val="single" w:sz="4" w:space="0" w:color="auto"/>
                                    <w:right w:val="single" w:sz="4" w:space="0" w:color="auto"/>
                                  </w:tcBorders>
                                  <w:noWrap/>
                                  <w:vAlign w:val="center"/>
                                  <w:hideMark/>
                                </w:tcPr>
                                <w:p w14:paraId="60BBBDFE"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144,520 </w:t>
                                  </w:r>
                                </w:p>
                              </w:tc>
                              <w:tc>
                                <w:tcPr>
                                  <w:tcW w:w="700" w:type="dxa"/>
                                  <w:tcBorders>
                                    <w:top w:val="single" w:sz="4" w:space="0" w:color="auto"/>
                                    <w:left w:val="nil"/>
                                    <w:bottom w:val="single" w:sz="4" w:space="0" w:color="auto"/>
                                    <w:right w:val="single" w:sz="4" w:space="0" w:color="auto"/>
                                  </w:tcBorders>
                                  <w:noWrap/>
                                  <w:vAlign w:val="center"/>
                                  <w:hideMark/>
                                </w:tcPr>
                                <w:p w14:paraId="1D74B37C"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28,694 </w:t>
                                  </w:r>
                                </w:p>
                              </w:tc>
                              <w:tc>
                                <w:tcPr>
                                  <w:tcW w:w="756" w:type="dxa"/>
                                  <w:tcBorders>
                                    <w:top w:val="single" w:sz="4" w:space="0" w:color="auto"/>
                                    <w:left w:val="nil"/>
                                    <w:bottom w:val="single" w:sz="4" w:space="0" w:color="auto"/>
                                    <w:right w:val="single" w:sz="4" w:space="0" w:color="auto"/>
                                  </w:tcBorders>
                                  <w:noWrap/>
                                  <w:vAlign w:val="center"/>
                                  <w:hideMark/>
                                </w:tcPr>
                                <w:p w14:paraId="21165957"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111,455 </w:t>
                                  </w:r>
                                </w:p>
                              </w:tc>
                              <w:tc>
                                <w:tcPr>
                                  <w:tcW w:w="770" w:type="dxa"/>
                                  <w:tcBorders>
                                    <w:top w:val="single" w:sz="4" w:space="0" w:color="auto"/>
                                    <w:left w:val="nil"/>
                                    <w:bottom w:val="single" w:sz="4" w:space="0" w:color="auto"/>
                                    <w:right w:val="single" w:sz="4" w:space="0" w:color="auto"/>
                                  </w:tcBorders>
                                  <w:noWrap/>
                                  <w:vAlign w:val="center"/>
                                  <w:hideMark/>
                                </w:tcPr>
                                <w:p w14:paraId="716E2868"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77.12</w:t>
                                  </w:r>
                                </w:p>
                              </w:tc>
                            </w:tr>
                            <w:tr w:rsidR="00436738" w14:paraId="62F1464E" w14:textId="77777777" w:rsidTr="00C335C3">
                              <w:trPr>
                                <w:trHeight w:val="227"/>
                              </w:trPr>
                              <w:tc>
                                <w:tcPr>
                                  <w:tcW w:w="658" w:type="dxa"/>
                                  <w:vMerge/>
                                  <w:tcBorders>
                                    <w:top w:val="nil"/>
                                    <w:left w:val="single" w:sz="4" w:space="0" w:color="auto"/>
                                    <w:bottom w:val="single" w:sz="4" w:space="0" w:color="auto"/>
                                    <w:right w:val="single" w:sz="4" w:space="0" w:color="auto"/>
                                  </w:tcBorders>
                                  <w:vAlign w:val="center"/>
                                  <w:hideMark/>
                                </w:tcPr>
                                <w:p w14:paraId="6D3C83C7" w14:textId="77777777" w:rsidR="00436738" w:rsidRDefault="00436738">
                                  <w:pPr>
                                    <w:widowControl/>
                                    <w:rPr>
                                      <w:rFonts w:ascii="標楷體" w:eastAsia="標楷體" w:hAnsi="標楷體"/>
                                      <w:b/>
                                      <w:color w:val="000000"/>
                                      <w:spacing w:val="-6"/>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45985A6F" w14:textId="77777777" w:rsidR="00436738" w:rsidRDefault="00436738">
                                  <w:pPr>
                                    <w:spacing w:line="240" w:lineRule="exact"/>
                                    <w:jc w:val="center"/>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112</w:t>
                                  </w:r>
                                </w:p>
                              </w:tc>
                              <w:tc>
                                <w:tcPr>
                                  <w:tcW w:w="770" w:type="dxa"/>
                                  <w:tcBorders>
                                    <w:top w:val="single" w:sz="4" w:space="0" w:color="auto"/>
                                    <w:left w:val="nil"/>
                                    <w:bottom w:val="single" w:sz="4" w:space="0" w:color="auto"/>
                                    <w:right w:val="single" w:sz="4" w:space="0" w:color="auto"/>
                                  </w:tcBorders>
                                  <w:noWrap/>
                                  <w:vAlign w:val="center"/>
                                  <w:hideMark/>
                                </w:tcPr>
                                <w:p w14:paraId="00D238F5"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151,401 </w:t>
                                  </w:r>
                                </w:p>
                              </w:tc>
                              <w:tc>
                                <w:tcPr>
                                  <w:tcW w:w="700" w:type="dxa"/>
                                  <w:tcBorders>
                                    <w:top w:val="single" w:sz="4" w:space="0" w:color="auto"/>
                                    <w:left w:val="nil"/>
                                    <w:bottom w:val="single" w:sz="4" w:space="0" w:color="auto"/>
                                    <w:right w:val="single" w:sz="4" w:space="0" w:color="auto"/>
                                  </w:tcBorders>
                                  <w:noWrap/>
                                  <w:vAlign w:val="center"/>
                                  <w:hideMark/>
                                </w:tcPr>
                                <w:p w14:paraId="1BDFC04F"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20,272 </w:t>
                                  </w:r>
                                </w:p>
                              </w:tc>
                              <w:tc>
                                <w:tcPr>
                                  <w:tcW w:w="756" w:type="dxa"/>
                                  <w:tcBorders>
                                    <w:top w:val="single" w:sz="4" w:space="0" w:color="auto"/>
                                    <w:left w:val="nil"/>
                                    <w:bottom w:val="single" w:sz="4" w:space="0" w:color="auto"/>
                                    <w:right w:val="single" w:sz="4" w:space="0" w:color="auto"/>
                                  </w:tcBorders>
                                  <w:noWrap/>
                                  <w:vAlign w:val="center"/>
                                  <w:hideMark/>
                                </w:tcPr>
                                <w:p w14:paraId="71E15E1B"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130,606 </w:t>
                                  </w:r>
                                </w:p>
                              </w:tc>
                              <w:tc>
                                <w:tcPr>
                                  <w:tcW w:w="770" w:type="dxa"/>
                                  <w:tcBorders>
                                    <w:top w:val="single" w:sz="4" w:space="0" w:color="auto"/>
                                    <w:left w:val="nil"/>
                                    <w:bottom w:val="single" w:sz="4" w:space="0" w:color="auto"/>
                                    <w:right w:val="single" w:sz="4" w:space="0" w:color="auto"/>
                                  </w:tcBorders>
                                  <w:noWrap/>
                                  <w:vAlign w:val="center"/>
                                  <w:hideMark/>
                                </w:tcPr>
                                <w:p w14:paraId="6DE41B1E"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86.26</w:t>
                                  </w:r>
                                </w:p>
                              </w:tc>
                            </w:tr>
                            <w:tr w:rsidR="00436738" w14:paraId="228C1BD8" w14:textId="77777777" w:rsidTr="00C335C3">
                              <w:trPr>
                                <w:trHeight w:val="227"/>
                              </w:trPr>
                              <w:tc>
                                <w:tcPr>
                                  <w:tcW w:w="658" w:type="dxa"/>
                                  <w:vMerge/>
                                  <w:tcBorders>
                                    <w:top w:val="nil"/>
                                    <w:left w:val="single" w:sz="4" w:space="0" w:color="auto"/>
                                    <w:bottom w:val="single" w:sz="4" w:space="0" w:color="auto"/>
                                    <w:right w:val="single" w:sz="4" w:space="0" w:color="auto"/>
                                  </w:tcBorders>
                                  <w:vAlign w:val="center"/>
                                  <w:hideMark/>
                                </w:tcPr>
                                <w:p w14:paraId="5D231AA4" w14:textId="77777777" w:rsidR="00436738" w:rsidRDefault="00436738">
                                  <w:pPr>
                                    <w:widowControl/>
                                    <w:rPr>
                                      <w:rFonts w:ascii="標楷體" w:eastAsia="標楷體" w:hAnsi="標楷體"/>
                                      <w:b/>
                                      <w:color w:val="000000"/>
                                      <w:spacing w:val="-6"/>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26C1EC88" w14:textId="77777777" w:rsidR="00436738" w:rsidRDefault="00436738">
                                  <w:pPr>
                                    <w:spacing w:line="240" w:lineRule="exact"/>
                                    <w:jc w:val="center"/>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113</w:t>
                                  </w:r>
                                </w:p>
                              </w:tc>
                              <w:tc>
                                <w:tcPr>
                                  <w:tcW w:w="770" w:type="dxa"/>
                                  <w:tcBorders>
                                    <w:top w:val="single" w:sz="4" w:space="0" w:color="auto"/>
                                    <w:left w:val="nil"/>
                                    <w:bottom w:val="single" w:sz="4" w:space="0" w:color="auto"/>
                                    <w:right w:val="single" w:sz="4" w:space="0" w:color="auto"/>
                                  </w:tcBorders>
                                  <w:noWrap/>
                                  <w:vAlign w:val="center"/>
                                  <w:hideMark/>
                                </w:tcPr>
                                <w:p w14:paraId="789BE6E8"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277,592 </w:t>
                                  </w:r>
                                </w:p>
                              </w:tc>
                              <w:tc>
                                <w:tcPr>
                                  <w:tcW w:w="700" w:type="dxa"/>
                                  <w:tcBorders>
                                    <w:top w:val="single" w:sz="4" w:space="0" w:color="auto"/>
                                    <w:left w:val="nil"/>
                                    <w:bottom w:val="single" w:sz="4" w:space="0" w:color="auto"/>
                                    <w:right w:val="single" w:sz="4" w:space="0" w:color="auto"/>
                                  </w:tcBorders>
                                  <w:noWrap/>
                                  <w:vAlign w:val="center"/>
                                  <w:hideMark/>
                                </w:tcPr>
                                <w:p w14:paraId="0FF659C1"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19,928 </w:t>
                                  </w:r>
                                </w:p>
                              </w:tc>
                              <w:tc>
                                <w:tcPr>
                                  <w:tcW w:w="756" w:type="dxa"/>
                                  <w:tcBorders>
                                    <w:top w:val="single" w:sz="4" w:space="0" w:color="auto"/>
                                    <w:left w:val="nil"/>
                                    <w:bottom w:val="single" w:sz="4" w:space="0" w:color="auto"/>
                                    <w:right w:val="single" w:sz="4" w:space="0" w:color="auto"/>
                                  </w:tcBorders>
                                  <w:noWrap/>
                                  <w:vAlign w:val="center"/>
                                  <w:hideMark/>
                                </w:tcPr>
                                <w:p w14:paraId="78DE042C"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252,230 </w:t>
                                  </w:r>
                                </w:p>
                              </w:tc>
                              <w:tc>
                                <w:tcPr>
                                  <w:tcW w:w="770" w:type="dxa"/>
                                  <w:tcBorders>
                                    <w:top w:val="single" w:sz="4" w:space="0" w:color="auto"/>
                                    <w:left w:val="nil"/>
                                    <w:bottom w:val="single" w:sz="4" w:space="0" w:color="auto"/>
                                    <w:right w:val="single" w:sz="4" w:space="0" w:color="auto"/>
                                  </w:tcBorders>
                                  <w:noWrap/>
                                  <w:vAlign w:val="center"/>
                                  <w:hideMark/>
                                </w:tcPr>
                                <w:p w14:paraId="7852FBA0"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90.86</w:t>
                                  </w:r>
                                </w:p>
                              </w:tc>
                            </w:tr>
                            <w:tr w:rsidR="00436738" w14:paraId="2FCE4161" w14:textId="77777777" w:rsidTr="00C335C3">
                              <w:trPr>
                                <w:trHeight w:val="227"/>
                              </w:trPr>
                              <w:tc>
                                <w:tcPr>
                                  <w:tcW w:w="658" w:type="dxa"/>
                                  <w:vMerge w:val="restart"/>
                                  <w:tcBorders>
                                    <w:top w:val="nil"/>
                                    <w:left w:val="single" w:sz="4" w:space="0" w:color="auto"/>
                                    <w:bottom w:val="single" w:sz="4" w:space="0" w:color="auto"/>
                                    <w:right w:val="single" w:sz="4" w:space="0" w:color="auto"/>
                                  </w:tcBorders>
                                  <w:vAlign w:val="center"/>
                                  <w:hideMark/>
                                </w:tcPr>
                                <w:p w14:paraId="7414E48A" w14:textId="77777777" w:rsidR="00436738" w:rsidRDefault="00436738">
                                  <w:pPr>
                                    <w:spacing w:line="240" w:lineRule="exact"/>
                                    <w:jc w:val="center"/>
                                    <w:rPr>
                                      <w:rFonts w:ascii="標楷體" w:eastAsia="標楷體" w:hAnsi="標楷體"/>
                                      <w:bCs/>
                                      <w:color w:val="000000"/>
                                      <w:sz w:val="20"/>
                                      <w:szCs w:val="20"/>
                                    </w:rPr>
                                  </w:pPr>
                                  <w:r>
                                    <w:rPr>
                                      <w:rFonts w:ascii="標楷體" w:eastAsia="標楷體" w:hAnsi="標楷體" w:hint="eastAsia"/>
                                      <w:bCs/>
                                      <w:color w:val="000000"/>
                                      <w:sz w:val="20"/>
                                      <w:szCs w:val="20"/>
                                    </w:rPr>
                                    <w:t>中央</w:t>
                                  </w:r>
                                </w:p>
                                <w:p w14:paraId="60906F60" w14:textId="77777777" w:rsidR="00436738" w:rsidRDefault="00436738">
                                  <w:pPr>
                                    <w:spacing w:line="240" w:lineRule="exact"/>
                                    <w:jc w:val="center"/>
                                    <w:rPr>
                                      <w:rFonts w:ascii="標楷體" w:eastAsia="標楷體" w:hAnsi="標楷體"/>
                                      <w:bCs/>
                                      <w:color w:val="000000"/>
                                      <w:sz w:val="20"/>
                                      <w:szCs w:val="20"/>
                                    </w:rPr>
                                  </w:pPr>
                                  <w:r>
                                    <w:rPr>
                                      <w:rFonts w:ascii="標楷體" w:eastAsia="標楷體" w:hAnsi="標楷體" w:hint="eastAsia"/>
                                      <w:bCs/>
                                      <w:color w:val="000000"/>
                                      <w:sz w:val="20"/>
                                      <w:szCs w:val="20"/>
                                    </w:rPr>
                                    <w:t>補助款</w:t>
                                  </w:r>
                                </w:p>
                              </w:tc>
                              <w:tc>
                                <w:tcPr>
                                  <w:tcW w:w="420" w:type="dxa"/>
                                  <w:tcBorders>
                                    <w:top w:val="nil"/>
                                    <w:left w:val="single" w:sz="4" w:space="0" w:color="auto"/>
                                    <w:bottom w:val="single" w:sz="4" w:space="0" w:color="auto"/>
                                    <w:right w:val="single" w:sz="4" w:space="0" w:color="auto"/>
                                  </w:tcBorders>
                                  <w:noWrap/>
                                  <w:vAlign w:val="center"/>
                                  <w:hideMark/>
                                </w:tcPr>
                                <w:p w14:paraId="200DAFC9"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111</w:t>
                                  </w:r>
                                </w:p>
                              </w:tc>
                              <w:tc>
                                <w:tcPr>
                                  <w:tcW w:w="770" w:type="dxa"/>
                                  <w:tcBorders>
                                    <w:top w:val="single" w:sz="4" w:space="0" w:color="auto"/>
                                    <w:left w:val="nil"/>
                                    <w:bottom w:val="single" w:sz="4" w:space="0" w:color="auto"/>
                                    <w:right w:val="single" w:sz="4" w:space="0" w:color="auto"/>
                                  </w:tcBorders>
                                  <w:noWrap/>
                                  <w:vAlign w:val="center"/>
                                  <w:hideMark/>
                                </w:tcPr>
                                <w:p w14:paraId="481D79CD"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59,570 </w:t>
                                  </w:r>
                                </w:p>
                              </w:tc>
                              <w:tc>
                                <w:tcPr>
                                  <w:tcW w:w="700" w:type="dxa"/>
                                  <w:tcBorders>
                                    <w:top w:val="single" w:sz="4" w:space="0" w:color="auto"/>
                                    <w:left w:val="nil"/>
                                    <w:bottom w:val="single" w:sz="4" w:space="0" w:color="auto"/>
                                    <w:right w:val="single" w:sz="4" w:space="0" w:color="auto"/>
                                  </w:tcBorders>
                                  <w:noWrap/>
                                  <w:vAlign w:val="center"/>
                                  <w:hideMark/>
                                </w:tcPr>
                                <w:p w14:paraId="2DD687C3"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11,488 </w:t>
                                  </w:r>
                                </w:p>
                              </w:tc>
                              <w:tc>
                                <w:tcPr>
                                  <w:tcW w:w="756" w:type="dxa"/>
                                  <w:tcBorders>
                                    <w:top w:val="single" w:sz="4" w:space="0" w:color="auto"/>
                                    <w:left w:val="nil"/>
                                    <w:bottom w:val="single" w:sz="4" w:space="0" w:color="auto"/>
                                    <w:right w:val="single" w:sz="4" w:space="0" w:color="auto"/>
                                  </w:tcBorders>
                                  <w:noWrap/>
                                  <w:vAlign w:val="center"/>
                                  <w:hideMark/>
                                </w:tcPr>
                                <w:p w14:paraId="1A2318F6"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46,346 </w:t>
                                  </w:r>
                                </w:p>
                              </w:tc>
                              <w:tc>
                                <w:tcPr>
                                  <w:tcW w:w="770" w:type="dxa"/>
                                  <w:tcBorders>
                                    <w:top w:val="single" w:sz="4" w:space="0" w:color="auto"/>
                                    <w:left w:val="nil"/>
                                    <w:bottom w:val="single" w:sz="4" w:space="0" w:color="auto"/>
                                    <w:right w:val="single" w:sz="4" w:space="0" w:color="auto"/>
                                  </w:tcBorders>
                                  <w:noWrap/>
                                  <w:vAlign w:val="center"/>
                                  <w:hideMark/>
                                </w:tcPr>
                                <w:p w14:paraId="4F815608"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77.80</w:t>
                                  </w:r>
                                </w:p>
                              </w:tc>
                            </w:tr>
                            <w:tr w:rsidR="00436738" w14:paraId="3EC5D0B0" w14:textId="77777777" w:rsidTr="00C335C3">
                              <w:trPr>
                                <w:trHeight w:val="227"/>
                              </w:trPr>
                              <w:tc>
                                <w:tcPr>
                                  <w:tcW w:w="658" w:type="dxa"/>
                                  <w:vMerge/>
                                  <w:tcBorders>
                                    <w:top w:val="nil"/>
                                    <w:left w:val="single" w:sz="4" w:space="0" w:color="auto"/>
                                    <w:bottom w:val="single" w:sz="4" w:space="0" w:color="auto"/>
                                    <w:right w:val="single" w:sz="4" w:space="0" w:color="auto"/>
                                  </w:tcBorders>
                                  <w:vAlign w:val="center"/>
                                  <w:hideMark/>
                                </w:tcPr>
                                <w:p w14:paraId="16AF033A" w14:textId="77777777" w:rsidR="00436738" w:rsidRDefault="00436738">
                                  <w:pPr>
                                    <w:widowControl/>
                                    <w:rPr>
                                      <w:rFonts w:ascii="標楷體" w:eastAsia="標楷體" w:hAnsi="標楷體"/>
                                      <w:bCs/>
                                      <w:color w:val="000000"/>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531B8B81"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112</w:t>
                                  </w:r>
                                </w:p>
                              </w:tc>
                              <w:tc>
                                <w:tcPr>
                                  <w:tcW w:w="770" w:type="dxa"/>
                                  <w:tcBorders>
                                    <w:top w:val="single" w:sz="4" w:space="0" w:color="auto"/>
                                    <w:left w:val="nil"/>
                                    <w:bottom w:val="single" w:sz="4" w:space="0" w:color="auto"/>
                                    <w:right w:val="single" w:sz="4" w:space="0" w:color="auto"/>
                                  </w:tcBorders>
                                  <w:noWrap/>
                                  <w:vAlign w:val="center"/>
                                  <w:hideMark/>
                                </w:tcPr>
                                <w:p w14:paraId="62C3BFFC"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72,244 </w:t>
                                  </w:r>
                                </w:p>
                              </w:tc>
                              <w:tc>
                                <w:tcPr>
                                  <w:tcW w:w="700" w:type="dxa"/>
                                  <w:tcBorders>
                                    <w:top w:val="single" w:sz="4" w:space="0" w:color="auto"/>
                                    <w:left w:val="nil"/>
                                    <w:bottom w:val="single" w:sz="4" w:space="0" w:color="auto"/>
                                    <w:right w:val="single" w:sz="4" w:space="0" w:color="auto"/>
                                  </w:tcBorders>
                                  <w:noWrap/>
                                  <w:vAlign w:val="center"/>
                                  <w:hideMark/>
                                </w:tcPr>
                                <w:p w14:paraId="0AA90483"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7,962 </w:t>
                                  </w:r>
                                </w:p>
                              </w:tc>
                              <w:tc>
                                <w:tcPr>
                                  <w:tcW w:w="756" w:type="dxa"/>
                                  <w:tcBorders>
                                    <w:top w:val="single" w:sz="4" w:space="0" w:color="auto"/>
                                    <w:left w:val="nil"/>
                                    <w:bottom w:val="single" w:sz="4" w:space="0" w:color="auto"/>
                                    <w:right w:val="single" w:sz="4" w:space="0" w:color="auto"/>
                                  </w:tcBorders>
                                  <w:noWrap/>
                                  <w:vAlign w:val="center"/>
                                  <w:hideMark/>
                                </w:tcPr>
                                <w:p w14:paraId="111EC087"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63,932 </w:t>
                                  </w:r>
                                </w:p>
                              </w:tc>
                              <w:tc>
                                <w:tcPr>
                                  <w:tcW w:w="770" w:type="dxa"/>
                                  <w:tcBorders>
                                    <w:top w:val="single" w:sz="4" w:space="0" w:color="auto"/>
                                    <w:left w:val="nil"/>
                                    <w:bottom w:val="single" w:sz="4" w:space="0" w:color="auto"/>
                                    <w:right w:val="single" w:sz="4" w:space="0" w:color="auto"/>
                                  </w:tcBorders>
                                  <w:noWrap/>
                                  <w:vAlign w:val="center"/>
                                  <w:hideMark/>
                                </w:tcPr>
                                <w:p w14:paraId="63CCB197"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88.49</w:t>
                                  </w:r>
                                </w:p>
                              </w:tc>
                            </w:tr>
                            <w:tr w:rsidR="00436738" w14:paraId="13228BC8" w14:textId="77777777" w:rsidTr="00C335C3">
                              <w:trPr>
                                <w:trHeight w:val="170"/>
                              </w:trPr>
                              <w:tc>
                                <w:tcPr>
                                  <w:tcW w:w="658" w:type="dxa"/>
                                  <w:vMerge/>
                                  <w:tcBorders>
                                    <w:top w:val="nil"/>
                                    <w:left w:val="single" w:sz="4" w:space="0" w:color="auto"/>
                                    <w:bottom w:val="single" w:sz="4" w:space="0" w:color="auto"/>
                                    <w:right w:val="single" w:sz="4" w:space="0" w:color="auto"/>
                                  </w:tcBorders>
                                  <w:vAlign w:val="center"/>
                                  <w:hideMark/>
                                </w:tcPr>
                                <w:p w14:paraId="45E3B9D1" w14:textId="77777777" w:rsidR="00436738" w:rsidRDefault="00436738">
                                  <w:pPr>
                                    <w:widowControl/>
                                    <w:rPr>
                                      <w:rFonts w:ascii="標楷體" w:eastAsia="標楷體" w:hAnsi="標楷體"/>
                                      <w:bCs/>
                                      <w:color w:val="000000"/>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4C5C6483"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113</w:t>
                                  </w:r>
                                </w:p>
                              </w:tc>
                              <w:tc>
                                <w:tcPr>
                                  <w:tcW w:w="770" w:type="dxa"/>
                                  <w:tcBorders>
                                    <w:top w:val="nil"/>
                                    <w:left w:val="nil"/>
                                    <w:bottom w:val="single" w:sz="4" w:space="0" w:color="auto"/>
                                    <w:right w:val="single" w:sz="4" w:space="0" w:color="auto"/>
                                  </w:tcBorders>
                                  <w:noWrap/>
                                  <w:vAlign w:val="center"/>
                                  <w:hideMark/>
                                </w:tcPr>
                                <w:p w14:paraId="0F88CA69"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180,701 </w:t>
                                  </w:r>
                                </w:p>
                              </w:tc>
                              <w:tc>
                                <w:tcPr>
                                  <w:tcW w:w="700" w:type="dxa"/>
                                  <w:tcBorders>
                                    <w:top w:val="nil"/>
                                    <w:left w:val="nil"/>
                                    <w:bottom w:val="single" w:sz="4" w:space="0" w:color="auto"/>
                                    <w:right w:val="single" w:sz="4" w:space="0" w:color="auto"/>
                                  </w:tcBorders>
                                  <w:noWrap/>
                                  <w:vAlign w:val="center"/>
                                  <w:hideMark/>
                                </w:tcPr>
                                <w:p w14:paraId="0DC9E94D"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9,541 </w:t>
                                  </w:r>
                                </w:p>
                              </w:tc>
                              <w:tc>
                                <w:tcPr>
                                  <w:tcW w:w="756" w:type="dxa"/>
                                  <w:tcBorders>
                                    <w:top w:val="nil"/>
                                    <w:left w:val="nil"/>
                                    <w:bottom w:val="single" w:sz="4" w:space="0" w:color="auto"/>
                                    <w:right w:val="single" w:sz="4" w:space="0" w:color="auto"/>
                                  </w:tcBorders>
                                  <w:noWrap/>
                                  <w:vAlign w:val="center"/>
                                  <w:hideMark/>
                                </w:tcPr>
                                <w:p w14:paraId="1607E992"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171,092 </w:t>
                                  </w:r>
                                </w:p>
                              </w:tc>
                              <w:tc>
                                <w:tcPr>
                                  <w:tcW w:w="770" w:type="dxa"/>
                                  <w:tcBorders>
                                    <w:top w:val="nil"/>
                                    <w:left w:val="nil"/>
                                    <w:bottom w:val="single" w:sz="4" w:space="0" w:color="auto"/>
                                    <w:right w:val="single" w:sz="4" w:space="0" w:color="auto"/>
                                  </w:tcBorders>
                                  <w:noWrap/>
                                  <w:vAlign w:val="center"/>
                                  <w:hideMark/>
                                </w:tcPr>
                                <w:p w14:paraId="48983B2A"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94.68</w:t>
                                  </w:r>
                                </w:p>
                              </w:tc>
                            </w:tr>
                            <w:tr w:rsidR="00436738" w14:paraId="192E0FFF" w14:textId="77777777" w:rsidTr="00C335C3">
                              <w:trPr>
                                <w:trHeight w:val="170"/>
                              </w:trPr>
                              <w:tc>
                                <w:tcPr>
                                  <w:tcW w:w="658" w:type="dxa"/>
                                  <w:vMerge w:val="restart"/>
                                  <w:tcBorders>
                                    <w:top w:val="nil"/>
                                    <w:left w:val="single" w:sz="4" w:space="0" w:color="auto"/>
                                    <w:bottom w:val="single" w:sz="4" w:space="0" w:color="auto"/>
                                    <w:right w:val="single" w:sz="4" w:space="0" w:color="auto"/>
                                  </w:tcBorders>
                                  <w:vAlign w:val="center"/>
                                  <w:hideMark/>
                                </w:tcPr>
                                <w:p w14:paraId="2F59431C" w14:textId="77777777" w:rsidR="00436738" w:rsidRDefault="00436738">
                                  <w:pPr>
                                    <w:spacing w:line="240" w:lineRule="exact"/>
                                    <w:jc w:val="center"/>
                                    <w:rPr>
                                      <w:rFonts w:ascii="標楷體" w:eastAsia="標楷體" w:hAnsi="標楷體"/>
                                      <w:bCs/>
                                      <w:color w:val="000000"/>
                                      <w:sz w:val="20"/>
                                      <w:szCs w:val="20"/>
                                    </w:rPr>
                                  </w:pPr>
                                  <w:r>
                                    <w:rPr>
                                      <w:rFonts w:ascii="標楷體" w:eastAsia="標楷體" w:hAnsi="標楷體" w:hint="eastAsia"/>
                                      <w:bCs/>
                                      <w:color w:val="000000"/>
                                      <w:sz w:val="20"/>
                                      <w:szCs w:val="20"/>
                                    </w:rPr>
                                    <w:t>臺北市自籌款</w:t>
                                  </w:r>
                                </w:p>
                              </w:tc>
                              <w:tc>
                                <w:tcPr>
                                  <w:tcW w:w="420" w:type="dxa"/>
                                  <w:tcBorders>
                                    <w:top w:val="nil"/>
                                    <w:left w:val="single" w:sz="4" w:space="0" w:color="auto"/>
                                    <w:bottom w:val="single" w:sz="4" w:space="0" w:color="auto"/>
                                    <w:right w:val="single" w:sz="4" w:space="0" w:color="auto"/>
                                  </w:tcBorders>
                                  <w:noWrap/>
                                  <w:vAlign w:val="center"/>
                                  <w:hideMark/>
                                </w:tcPr>
                                <w:p w14:paraId="0E705FA4"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111</w:t>
                                  </w:r>
                                </w:p>
                              </w:tc>
                              <w:tc>
                                <w:tcPr>
                                  <w:tcW w:w="770" w:type="dxa"/>
                                  <w:tcBorders>
                                    <w:top w:val="nil"/>
                                    <w:left w:val="nil"/>
                                    <w:bottom w:val="single" w:sz="4" w:space="0" w:color="auto"/>
                                    <w:right w:val="single" w:sz="4" w:space="0" w:color="auto"/>
                                  </w:tcBorders>
                                  <w:noWrap/>
                                  <w:hideMark/>
                                </w:tcPr>
                                <w:p w14:paraId="0811E196"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84,950 </w:t>
                                  </w:r>
                                </w:p>
                              </w:tc>
                              <w:tc>
                                <w:tcPr>
                                  <w:tcW w:w="700" w:type="dxa"/>
                                  <w:tcBorders>
                                    <w:top w:val="nil"/>
                                    <w:left w:val="nil"/>
                                    <w:bottom w:val="single" w:sz="4" w:space="0" w:color="auto"/>
                                    <w:right w:val="single" w:sz="4" w:space="0" w:color="auto"/>
                                  </w:tcBorders>
                                  <w:noWrap/>
                                  <w:hideMark/>
                                </w:tcPr>
                                <w:p w14:paraId="3107E427"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17,206 </w:t>
                                  </w:r>
                                </w:p>
                              </w:tc>
                              <w:tc>
                                <w:tcPr>
                                  <w:tcW w:w="756" w:type="dxa"/>
                                  <w:tcBorders>
                                    <w:top w:val="nil"/>
                                    <w:left w:val="nil"/>
                                    <w:bottom w:val="single" w:sz="4" w:space="0" w:color="auto"/>
                                    <w:right w:val="single" w:sz="4" w:space="0" w:color="auto"/>
                                  </w:tcBorders>
                                  <w:noWrap/>
                                  <w:hideMark/>
                                </w:tcPr>
                                <w:p w14:paraId="16C86989"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65,109 </w:t>
                                  </w:r>
                                </w:p>
                              </w:tc>
                              <w:tc>
                                <w:tcPr>
                                  <w:tcW w:w="770" w:type="dxa"/>
                                  <w:tcBorders>
                                    <w:top w:val="nil"/>
                                    <w:left w:val="nil"/>
                                    <w:bottom w:val="single" w:sz="4" w:space="0" w:color="auto"/>
                                    <w:right w:val="single" w:sz="4" w:space="0" w:color="auto"/>
                                  </w:tcBorders>
                                  <w:noWrap/>
                                  <w:vAlign w:val="center"/>
                                  <w:hideMark/>
                                </w:tcPr>
                                <w:p w14:paraId="21857D8B"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76.64</w:t>
                                  </w:r>
                                </w:p>
                              </w:tc>
                            </w:tr>
                            <w:tr w:rsidR="00436738" w14:paraId="175C6B6F" w14:textId="77777777" w:rsidTr="00C335C3">
                              <w:trPr>
                                <w:trHeight w:val="170"/>
                              </w:trPr>
                              <w:tc>
                                <w:tcPr>
                                  <w:tcW w:w="658" w:type="dxa"/>
                                  <w:vMerge/>
                                  <w:tcBorders>
                                    <w:top w:val="nil"/>
                                    <w:left w:val="single" w:sz="4" w:space="0" w:color="auto"/>
                                    <w:bottom w:val="single" w:sz="4" w:space="0" w:color="auto"/>
                                    <w:right w:val="single" w:sz="4" w:space="0" w:color="auto"/>
                                  </w:tcBorders>
                                  <w:vAlign w:val="center"/>
                                  <w:hideMark/>
                                </w:tcPr>
                                <w:p w14:paraId="17285C97" w14:textId="77777777" w:rsidR="00436738" w:rsidRDefault="00436738">
                                  <w:pPr>
                                    <w:widowControl/>
                                    <w:rPr>
                                      <w:rFonts w:ascii="標楷體" w:eastAsia="標楷體" w:hAnsi="標楷體"/>
                                      <w:bCs/>
                                      <w:color w:val="000000"/>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0274D41E"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112</w:t>
                                  </w:r>
                                </w:p>
                              </w:tc>
                              <w:tc>
                                <w:tcPr>
                                  <w:tcW w:w="770" w:type="dxa"/>
                                  <w:tcBorders>
                                    <w:top w:val="nil"/>
                                    <w:left w:val="nil"/>
                                    <w:bottom w:val="single" w:sz="4" w:space="0" w:color="auto"/>
                                    <w:right w:val="single" w:sz="4" w:space="0" w:color="auto"/>
                                  </w:tcBorders>
                                  <w:noWrap/>
                                  <w:hideMark/>
                                </w:tcPr>
                                <w:p w14:paraId="56FA2C68"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79,157 </w:t>
                                  </w:r>
                                </w:p>
                              </w:tc>
                              <w:tc>
                                <w:tcPr>
                                  <w:tcW w:w="700" w:type="dxa"/>
                                  <w:tcBorders>
                                    <w:top w:val="nil"/>
                                    <w:left w:val="nil"/>
                                    <w:bottom w:val="single" w:sz="4" w:space="0" w:color="auto"/>
                                    <w:right w:val="single" w:sz="4" w:space="0" w:color="auto"/>
                                  </w:tcBorders>
                                  <w:noWrap/>
                                  <w:hideMark/>
                                </w:tcPr>
                                <w:p w14:paraId="568683C0"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12,309 </w:t>
                                  </w:r>
                                </w:p>
                              </w:tc>
                              <w:tc>
                                <w:tcPr>
                                  <w:tcW w:w="756" w:type="dxa"/>
                                  <w:tcBorders>
                                    <w:top w:val="nil"/>
                                    <w:left w:val="nil"/>
                                    <w:bottom w:val="single" w:sz="4" w:space="0" w:color="auto"/>
                                    <w:right w:val="single" w:sz="4" w:space="0" w:color="auto"/>
                                  </w:tcBorders>
                                  <w:noWrap/>
                                  <w:hideMark/>
                                </w:tcPr>
                                <w:p w14:paraId="017931CC"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66,674 </w:t>
                                  </w:r>
                                </w:p>
                              </w:tc>
                              <w:tc>
                                <w:tcPr>
                                  <w:tcW w:w="770" w:type="dxa"/>
                                  <w:tcBorders>
                                    <w:top w:val="nil"/>
                                    <w:left w:val="nil"/>
                                    <w:bottom w:val="single" w:sz="4" w:space="0" w:color="auto"/>
                                    <w:right w:val="single" w:sz="4" w:space="0" w:color="auto"/>
                                  </w:tcBorders>
                                  <w:noWrap/>
                                  <w:vAlign w:val="center"/>
                                  <w:hideMark/>
                                </w:tcPr>
                                <w:p w14:paraId="217818CE"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84.23</w:t>
                                  </w:r>
                                </w:p>
                              </w:tc>
                            </w:tr>
                            <w:tr w:rsidR="00436738" w14:paraId="20C8E91E" w14:textId="77777777" w:rsidTr="00C335C3">
                              <w:trPr>
                                <w:trHeight w:val="170"/>
                              </w:trPr>
                              <w:tc>
                                <w:tcPr>
                                  <w:tcW w:w="658" w:type="dxa"/>
                                  <w:vMerge/>
                                  <w:tcBorders>
                                    <w:top w:val="nil"/>
                                    <w:left w:val="single" w:sz="4" w:space="0" w:color="auto"/>
                                    <w:bottom w:val="single" w:sz="4" w:space="0" w:color="auto"/>
                                    <w:right w:val="single" w:sz="4" w:space="0" w:color="auto"/>
                                  </w:tcBorders>
                                  <w:vAlign w:val="center"/>
                                  <w:hideMark/>
                                </w:tcPr>
                                <w:p w14:paraId="4F924313" w14:textId="77777777" w:rsidR="00436738" w:rsidRDefault="00436738">
                                  <w:pPr>
                                    <w:widowControl/>
                                    <w:rPr>
                                      <w:rFonts w:ascii="標楷體" w:eastAsia="標楷體" w:hAnsi="標楷體"/>
                                      <w:bCs/>
                                      <w:color w:val="000000"/>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39240582"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113</w:t>
                                  </w:r>
                                </w:p>
                              </w:tc>
                              <w:tc>
                                <w:tcPr>
                                  <w:tcW w:w="770" w:type="dxa"/>
                                  <w:tcBorders>
                                    <w:top w:val="nil"/>
                                    <w:left w:val="nil"/>
                                    <w:bottom w:val="single" w:sz="4" w:space="0" w:color="auto"/>
                                    <w:right w:val="single" w:sz="4" w:space="0" w:color="auto"/>
                                  </w:tcBorders>
                                  <w:noWrap/>
                                  <w:hideMark/>
                                </w:tcPr>
                                <w:p w14:paraId="35F4270A"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96,891 </w:t>
                                  </w:r>
                                </w:p>
                              </w:tc>
                              <w:tc>
                                <w:tcPr>
                                  <w:tcW w:w="700" w:type="dxa"/>
                                  <w:tcBorders>
                                    <w:top w:val="nil"/>
                                    <w:left w:val="nil"/>
                                    <w:bottom w:val="single" w:sz="4" w:space="0" w:color="auto"/>
                                    <w:right w:val="single" w:sz="4" w:space="0" w:color="auto"/>
                                  </w:tcBorders>
                                  <w:noWrap/>
                                  <w:hideMark/>
                                </w:tcPr>
                                <w:p w14:paraId="728A8A2A"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10,387 </w:t>
                                  </w:r>
                                </w:p>
                              </w:tc>
                              <w:tc>
                                <w:tcPr>
                                  <w:tcW w:w="756" w:type="dxa"/>
                                  <w:tcBorders>
                                    <w:top w:val="nil"/>
                                    <w:left w:val="nil"/>
                                    <w:bottom w:val="single" w:sz="4" w:space="0" w:color="auto"/>
                                    <w:right w:val="single" w:sz="4" w:space="0" w:color="auto"/>
                                  </w:tcBorders>
                                  <w:noWrap/>
                                  <w:hideMark/>
                                </w:tcPr>
                                <w:p w14:paraId="47E35DCD"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81,138 </w:t>
                                  </w:r>
                                </w:p>
                              </w:tc>
                              <w:tc>
                                <w:tcPr>
                                  <w:tcW w:w="770" w:type="dxa"/>
                                  <w:tcBorders>
                                    <w:top w:val="nil"/>
                                    <w:left w:val="nil"/>
                                    <w:bottom w:val="single" w:sz="4" w:space="0" w:color="auto"/>
                                    <w:right w:val="single" w:sz="4" w:space="0" w:color="auto"/>
                                  </w:tcBorders>
                                  <w:noWrap/>
                                  <w:vAlign w:val="center"/>
                                  <w:hideMark/>
                                </w:tcPr>
                                <w:p w14:paraId="789254B7"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83.74</w:t>
                                  </w:r>
                                </w:p>
                              </w:tc>
                            </w:tr>
                            <w:tr w:rsidR="00436738" w14:paraId="6919B20F" w14:textId="77777777" w:rsidTr="00C335C3">
                              <w:trPr>
                                <w:trHeight w:val="68"/>
                              </w:trPr>
                              <w:tc>
                                <w:tcPr>
                                  <w:tcW w:w="4074" w:type="dxa"/>
                                  <w:gridSpan w:val="6"/>
                                  <w:tcBorders>
                                    <w:top w:val="single" w:sz="4" w:space="0" w:color="auto"/>
                                    <w:left w:val="nil"/>
                                    <w:bottom w:val="nil"/>
                                    <w:right w:val="nil"/>
                                  </w:tcBorders>
                                  <w:hideMark/>
                                </w:tcPr>
                                <w:p w14:paraId="56A3E875" w14:textId="77777777" w:rsidR="00436738" w:rsidRDefault="00436738">
                                  <w:pPr>
                                    <w:spacing w:line="200" w:lineRule="exact"/>
                                    <w:rPr>
                                      <w:rFonts w:ascii="標楷體" w:eastAsia="標楷體" w:hAnsi="標楷體"/>
                                      <w:color w:val="000000"/>
                                      <w:sz w:val="20"/>
                                      <w:szCs w:val="20"/>
                                    </w:rPr>
                                  </w:pPr>
                                  <w:r>
                                    <w:rPr>
                                      <w:rFonts w:ascii="標楷體" w:eastAsia="標楷體" w:hAnsi="標楷體" w:hint="eastAsia"/>
                                      <w:color w:val="000000"/>
                                      <w:sz w:val="18"/>
                                      <w:szCs w:val="20"/>
                                    </w:rPr>
                                    <w:t>資料來源：整理自文化局提供資料。</w:t>
                                  </w:r>
                                </w:p>
                              </w:tc>
                            </w:tr>
                          </w:tbl>
                          <w:p w14:paraId="19D0D653" w14:textId="77777777" w:rsidR="00436738" w:rsidRDefault="00436738" w:rsidP="00C335C3">
                            <w:pPr>
                              <w:spacing w:line="20" w:lineRule="exact"/>
                            </w:pPr>
                          </w:p>
                        </w:txbxContent>
                      </wps:txbx>
                      <wps:bodyPr rot="0" vertOverflow="clip" horzOverflow="clip"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0FFCFD6" id="文字方塊 51" o:spid="_x0000_s1140" type="#_x0000_t202" style="position:absolute;left:0;text-align:left;margin-left:285.9pt;margin-top:576.5pt;width:209.4pt;height:194.8pt;z-index:251716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" stroked="f">
                <v:textbox inset="1mm,1mm,1mm,1mm">
                  <w:txbxContent>
                    <w:tbl>
                      <w:tblPr>
                        <w:tblW w:w="4074" w:type="dxa"/>
                        <w:tblLayout w:type="fixed"/>
                        <w:tblCellMar>
                          <w:left w:w="28" w:type="dxa"/>
                          <w:right w:w="28" w:type="dxa"/>
                        </w:tblCellMar>
                        <w:tblLook w:val="04A0" w:firstRow="1" w:lastRow="0" w:firstColumn="1" w:lastColumn="0" w:noHBand="0" w:noVBand="1"/>
                      </w:tblPr>
                      <w:tblGrid>
                        <w:gridCol w:w="658"/>
                        <w:gridCol w:w="420"/>
                        <w:gridCol w:w="770"/>
                        <w:gridCol w:w="700"/>
                        <w:gridCol w:w="756"/>
                        <w:gridCol w:w="770"/>
                      </w:tblGrid>
                      <w:tr w:rsidR="00436738" w14:paraId="5649890E" w14:textId="77777777" w:rsidTr="00C335C3">
                        <w:trPr>
                          <w:trHeight w:val="324"/>
                        </w:trPr>
                        <w:tc>
                          <w:tcPr>
                            <w:tcW w:w="4074" w:type="dxa"/>
                            <w:gridSpan w:val="6"/>
                            <w:hideMark/>
                          </w:tcPr>
                          <w:p w14:paraId="5E8CB005" w14:textId="45AE7CDC" w:rsidR="00436738" w:rsidRDefault="00436738" w:rsidP="005D009F">
                            <w:pPr>
                              <w:spacing w:line="280" w:lineRule="exact"/>
                              <w:ind w:left="668" w:rightChars="-23" w:right="-55" w:hangingChars="278" w:hanging="668"/>
                              <w:rPr>
                                <w:rFonts w:ascii="標楷體" w:eastAsia="標楷體" w:hAnsi="標楷體"/>
                                <w:b/>
                                <w:color w:val="000000"/>
                                <w:szCs w:val="24"/>
                              </w:rPr>
                            </w:pPr>
                            <w:r>
                              <w:rPr>
                                <w:rFonts w:ascii="標楷體" w:eastAsia="標楷體" w:hAnsi="標楷體" w:hint="eastAsia"/>
                                <w:b/>
                                <w:color w:val="000000"/>
                                <w:szCs w:val="24"/>
                              </w:rPr>
                              <w:t>表3</w:t>
                            </w:r>
                            <w:r w:rsidR="00C335C3">
                              <w:rPr>
                                <w:rFonts w:ascii="標楷體" w:eastAsia="標楷體" w:hAnsi="標楷體" w:hint="eastAsia"/>
                                <w:b/>
                                <w:color w:val="000000"/>
                                <w:szCs w:val="24"/>
                              </w:rPr>
                              <w:t xml:space="preserve">　</w:t>
                            </w:r>
                            <w:r>
                              <w:rPr>
                                <w:rFonts w:ascii="標楷體" w:eastAsia="標楷體" w:hAnsi="標楷體" w:hint="eastAsia"/>
                                <w:b/>
                                <w:color w:val="000000"/>
                                <w:szCs w:val="24"/>
                              </w:rPr>
                              <w:t>文化局編列文化資產保存維護相關計畫補助預算及執行情形</w:t>
                            </w:r>
                          </w:p>
                        </w:tc>
                      </w:tr>
                      <w:tr w:rsidR="00C335C3" w14:paraId="343DAA43" w14:textId="77777777" w:rsidTr="00154172">
                        <w:trPr>
                          <w:trHeight w:val="92"/>
                        </w:trPr>
                        <w:tc>
                          <w:tcPr>
                            <w:tcW w:w="4074" w:type="dxa"/>
                            <w:gridSpan w:val="6"/>
                          </w:tcPr>
                          <w:p w14:paraId="6A575AA7" w14:textId="77777777" w:rsidR="00C335C3" w:rsidRDefault="00C335C3">
                            <w:pPr>
                              <w:spacing w:line="240" w:lineRule="exact"/>
                              <w:jc w:val="right"/>
                              <w:rPr>
                                <w:rFonts w:ascii="標楷體" w:eastAsia="標楷體" w:hAnsi="標楷體"/>
                                <w:color w:val="000000"/>
                                <w:sz w:val="18"/>
                                <w:szCs w:val="18"/>
                              </w:rPr>
                            </w:pPr>
                            <w:r>
                              <w:rPr>
                                <w:rFonts w:ascii="標楷體" w:eastAsia="標楷體" w:hAnsi="標楷體" w:hint="eastAsia"/>
                                <w:color w:val="000000"/>
                                <w:sz w:val="18"/>
                                <w:szCs w:val="18"/>
                              </w:rPr>
                              <w:t>單位：新臺幣千元、％</w:t>
                            </w:r>
                          </w:p>
                        </w:tc>
                      </w:tr>
                      <w:tr w:rsidR="00436738" w14:paraId="180E9E65" w14:textId="77777777" w:rsidTr="00C335C3">
                        <w:trPr>
                          <w:trHeight w:val="227"/>
                        </w:trPr>
                        <w:tc>
                          <w:tcPr>
                            <w:tcW w:w="658" w:type="dxa"/>
                            <w:tcBorders>
                              <w:top w:val="single" w:sz="4" w:space="0" w:color="auto"/>
                              <w:left w:val="single" w:sz="4" w:space="0" w:color="auto"/>
                              <w:bottom w:val="single" w:sz="4" w:space="0" w:color="auto"/>
                              <w:right w:val="single" w:sz="4" w:space="0" w:color="auto"/>
                            </w:tcBorders>
                            <w:vAlign w:val="center"/>
                            <w:hideMark/>
                          </w:tcPr>
                          <w:p w14:paraId="3CB98DE7" w14:textId="77777777" w:rsidR="00436738" w:rsidRDefault="00436738" w:rsidP="00C335C3">
                            <w:pPr>
                              <w:spacing w:line="220" w:lineRule="exact"/>
                              <w:jc w:val="center"/>
                              <w:rPr>
                                <w:rFonts w:ascii="標楷體" w:eastAsia="標楷體" w:hAnsi="標楷體"/>
                                <w:color w:val="000000"/>
                                <w:sz w:val="20"/>
                                <w:szCs w:val="20"/>
                              </w:rPr>
                            </w:pPr>
                            <w:r>
                              <w:rPr>
                                <w:rFonts w:ascii="標楷體" w:eastAsia="標楷體" w:hAnsi="標楷體" w:hint="eastAsia"/>
                                <w:color w:val="000000"/>
                                <w:sz w:val="20"/>
                                <w:szCs w:val="20"/>
                              </w:rPr>
                              <w:t>經費</w:t>
                            </w:r>
                          </w:p>
                          <w:p w14:paraId="3585AE49" w14:textId="77777777" w:rsidR="00436738" w:rsidRDefault="00436738" w:rsidP="00C335C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來源</w:t>
                            </w:r>
                          </w:p>
                        </w:tc>
                        <w:tc>
                          <w:tcPr>
                            <w:tcW w:w="420" w:type="dxa"/>
                            <w:tcBorders>
                              <w:top w:val="single" w:sz="4" w:space="0" w:color="auto"/>
                              <w:left w:val="single" w:sz="4" w:space="0" w:color="auto"/>
                              <w:bottom w:val="single" w:sz="4" w:space="0" w:color="auto"/>
                              <w:right w:val="single" w:sz="4" w:space="0" w:color="auto"/>
                            </w:tcBorders>
                            <w:noWrap/>
                            <w:vAlign w:val="center"/>
                            <w:hideMark/>
                          </w:tcPr>
                          <w:p w14:paraId="647BF86A" w14:textId="77777777" w:rsidR="00436738" w:rsidRDefault="00436738">
                            <w:pPr>
                              <w:spacing w:line="240" w:lineRule="exact"/>
                              <w:ind w:rightChars="-71" w:right="-170"/>
                              <w:rPr>
                                <w:rFonts w:ascii="標楷體" w:eastAsia="標楷體" w:hAnsi="標楷體"/>
                                <w:color w:val="000000"/>
                                <w:sz w:val="20"/>
                                <w:szCs w:val="20"/>
                              </w:rPr>
                            </w:pPr>
                            <w:r>
                              <w:rPr>
                                <w:rFonts w:ascii="標楷體" w:eastAsia="標楷體" w:hAnsi="標楷體" w:hint="eastAsia"/>
                                <w:color w:val="000000"/>
                                <w:sz w:val="20"/>
                                <w:szCs w:val="20"/>
                              </w:rPr>
                              <w:t>年度</w:t>
                            </w:r>
                          </w:p>
                        </w:tc>
                        <w:tc>
                          <w:tcPr>
                            <w:tcW w:w="770" w:type="dxa"/>
                            <w:tcBorders>
                              <w:top w:val="single" w:sz="4" w:space="0" w:color="auto"/>
                              <w:left w:val="nil"/>
                              <w:bottom w:val="single" w:sz="4" w:space="0" w:color="auto"/>
                              <w:right w:val="single" w:sz="4" w:space="0" w:color="auto"/>
                            </w:tcBorders>
                            <w:noWrap/>
                            <w:vAlign w:val="center"/>
                            <w:hideMark/>
                          </w:tcPr>
                          <w:p w14:paraId="10601075"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預算數</w:t>
                            </w:r>
                          </w:p>
                          <w:p w14:paraId="02F5E8CE" w14:textId="5E7FA56C" w:rsidR="00C335C3" w:rsidRDefault="00C335C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w:t>
                            </w:r>
                            <w:r>
                              <w:rPr>
                                <w:rFonts w:ascii="標楷體" w:eastAsia="標楷體" w:hAnsi="標楷體"/>
                                <w:color w:val="000000"/>
                                <w:sz w:val="20"/>
                                <w:szCs w:val="20"/>
                              </w:rPr>
                              <w:t>A）</w:t>
                            </w:r>
                          </w:p>
                        </w:tc>
                        <w:tc>
                          <w:tcPr>
                            <w:tcW w:w="700" w:type="dxa"/>
                            <w:tcBorders>
                              <w:top w:val="single" w:sz="4" w:space="0" w:color="auto"/>
                              <w:left w:val="nil"/>
                              <w:bottom w:val="single" w:sz="4" w:space="0" w:color="auto"/>
                              <w:right w:val="single" w:sz="4" w:space="0" w:color="auto"/>
                            </w:tcBorders>
                            <w:noWrap/>
                            <w:vAlign w:val="center"/>
                            <w:hideMark/>
                          </w:tcPr>
                          <w:p w14:paraId="2E1DCF76"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實現數</w:t>
                            </w:r>
                          </w:p>
                          <w:p w14:paraId="2EF0E8B3" w14:textId="0C192975" w:rsidR="00C335C3" w:rsidRDefault="00C335C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（B</w:t>
                            </w:r>
                            <w:r>
                              <w:rPr>
                                <w:rFonts w:ascii="標楷體" w:eastAsia="標楷體" w:hAnsi="標楷體"/>
                                <w:color w:val="000000"/>
                                <w:sz w:val="20"/>
                                <w:szCs w:val="20"/>
                              </w:rPr>
                              <w:t>）</w:t>
                            </w:r>
                          </w:p>
                        </w:tc>
                        <w:tc>
                          <w:tcPr>
                            <w:tcW w:w="756" w:type="dxa"/>
                            <w:tcBorders>
                              <w:top w:val="single" w:sz="4" w:space="0" w:color="auto"/>
                              <w:left w:val="nil"/>
                              <w:bottom w:val="single" w:sz="4" w:space="0" w:color="auto"/>
                              <w:right w:val="single" w:sz="4" w:space="0" w:color="auto"/>
                            </w:tcBorders>
                            <w:noWrap/>
                            <w:vAlign w:val="center"/>
                            <w:hideMark/>
                          </w:tcPr>
                          <w:p w14:paraId="1E715247"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保留數</w:t>
                            </w:r>
                          </w:p>
                          <w:p w14:paraId="6B1BE7E7" w14:textId="5B58D7B5" w:rsidR="00C335C3" w:rsidRDefault="00C335C3">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w:t>
                            </w:r>
                            <w:r>
                              <w:rPr>
                                <w:rFonts w:ascii="標楷體" w:eastAsia="標楷體" w:hAnsi="標楷體"/>
                                <w:color w:val="000000"/>
                                <w:sz w:val="20"/>
                                <w:szCs w:val="20"/>
                              </w:rPr>
                              <w:t>C）</w:t>
                            </w:r>
                          </w:p>
                        </w:tc>
                        <w:tc>
                          <w:tcPr>
                            <w:tcW w:w="770" w:type="dxa"/>
                            <w:tcBorders>
                              <w:top w:val="single" w:sz="4" w:space="0" w:color="auto"/>
                              <w:left w:val="nil"/>
                              <w:bottom w:val="single" w:sz="4" w:space="0" w:color="auto"/>
                              <w:right w:val="single" w:sz="4" w:space="0" w:color="auto"/>
                            </w:tcBorders>
                            <w:noWrap/>
                            <w:vAlign w:val="center"/>
                            <w:hideMark/>
                          </w:tcPr>
                          <w:p w14:paraId="23007B87" w14:textId="77777777" w:rsidR="00436738" w:rsidRPr="00C335C3" w:rsidRDefault="00436738" w:rsidP="00C335C3">
                            <w:pPr>
                              <w:spacing w:line="220" w:lineRule="exact"/>
                              <w:ind w:leftChars="-5" w:left="-12"/>
                              <w:jc w:val="center"/>
                              <w:rPr>
                                <w:rFonts w:ascii="標楷體" w:eastAsia="標楷體" w:hAnsi="標楷體"/>
                                <w:color w:val="000000"/>
                                <w:spacing w:val="-10"/>
                                <w:sz w:val="20"/>
                                <w:szCs w:val="20"/>
                              </w:rPr>
                            </w:pPr>
                            <w:r w:rsidRPr="00C335C3">
                              <w:rPr>
                                <w:rFonts w:ascii="標楷體" w:eastAsia="標楷體" w:hAnsi="標楷體" w:hint="eastAsia"/>
                                <w:color w:val="000000"/>
                                <w:spacing w:val="-10"/>
                                <w:sz w:val="20"/>
                                <w:szCs w:val="20"/>
                              </w:rPr>
                              <w:t>保留比率</w:t>
                            </w:r>
                          </w:p>
                          <w:p w14:paraId="289C87B3" w14:textId="7931F22B" w:rsidR="00C335C3" w:rsidRPr="00C335C3" w:rsidRDefault="00C335C3" w:rsidP="00C335C3">
                            <w:pPr>
                              <w:spacing w:line="220" w:lineRule="exact"/>
                              <w:ind w:leftChars="-74" w:left="-178" w:rightChars="-57" w:right="-137"/>
                              <w:jc w:val="center"/>
                              <w:rPr>
                                <w:rFonts w:ascii="標楷體" w:eastAsia="標楷體" w:hAnsi="標楷體"/>
                                <w:color w:val="000000"/>
                                <w:spacing w:val="-30"/>
                                <w:sz w:val="20"/>
                                <w:szCs w:val="20"/>
                              </w:rPr>
                            </w:pPr>
                            <w:r w:rsidRPr="00C335C3">
                              <w:rPr>
                                <w:rFonts w:ascii="標楷體" w:eastAsia="標楷體" w:hAnsi="標楷體" w:hint="eastAsia"/>
                                <w:color w:val="000000"/>
                                <w:spacing w:val="-30"/>
                                <w:sz w:val="20"/>
                                <w:szCs w:val="20"/>
                              </w:rPr>
                              <w:t>（</w:t>
                            </w:r>
                            <w:r w:rsidRPr="00C335C3">
                              <w:rPr>
                                <w:rFonts w:ascii="標楷體" w:eastAsia="標楷體" w:hAnsi="標楷體"/>
                                <w:color w:val="000000"/>
                                <w:spacing w:val="-30"/>
                                <w:sz w:val="20"/>
                                <w:szCs w:val="20"/>
                              </w:rPr>
                              <w:t>C/A</w:t>
                            </w:r>
                            <w:r w:rsidRPr="00C335C3">
                              <w:rPr>
                                <w:rFonts w:ascii="標楷體" w:eastAsia="標楷體" w:hAnsi="標楷體" w:hint="eastAsia"/>
                                <w:color w:val="000000"/>
                                <w:spacing w:val="-30"/>
                                <w:sz w:val="20"/>
                                <w:szCs w:val="20"/>
                              </w:rPr>
                              <w:t>×</w:t>
                            </w:r>
                            <w:r w:rsidRPr="00C335C3">
                              <w:rPr>
                                <w:rFonts w:ascii="標楷體" w:eastAsia="標楷體" w:hAnsi="標楷體"/>
                                <w:color w:val="000000"/>
                                <w:spacing w:val="-30"/>
                                <w:sz w:val="20"/>
                                <w:szCs w:val="20"/>
                              </w:rPr>
                              <w:t>100）</w:t>
                            </w:r>
                          </w:p>
                        </w:tc>
                      </w:tr>
                      <w:tr w:rsidR="00436738" w14:paraId="2A111AC3" w14:textId="77777777" w:rsidTr="00C335C3">
                        <w:trPr>
                          <w:trHeight w:val="227"/>
                        </w:trPr>
                        <w:tc>
                          <w:tcPr>
                            <w:tcW w:w="658" w:type="dxa"/>
                            <w:vMerge w:val="restart"/>
                            <w:tcBorders>
                              <w:top w:val="nil"/>
                              <w:left w:val="single" w:sz="4" w:space="0" w:color="auto"/>
                              <w:bottom w:val="single" w:sz="4" w:space="0" w:color="auto"/>
                              <w:right w:val="single" w:sz="4" w:space="0" w:color="auto"/>
                            </w:tcBorders>
                            <w:vAlign w:val="center"/>
                            <w:hideMark/>
                          </w:tcPr>
                          <w:p w14:paraId="03DF3D4C" w14:textId="77777777" w:rsidR="00436738" w:rsidRDefault="00436738">
                            <w:pPr>
                              <w:spacing w:line="240" w:lineRule="exact"/>
                              <w:jc w:val="center"/>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合計</w:t>
                            </w:r>
                          </w:p>
                        </w:tc>
                        <w:tc>
                          <w:tcPr>
                            <w:tcW w:w="420" w:type="dxa"/>
                            <w:tcBorders>
                              <w:top w:val="nil"/>
                              <w:left w:val="single" w:sz="4" w:space="0" w:color="auto"/>
                              <w:bottom w:val="single" w:sz="4" w:space="0" w:color="auto"/>
                              <w:right w:val="single" w:sz="4" w:space="0" w:color="auto"/>
                            </w:tcBorders>
                            <w:noWrap/>
                            <w:vAlign w:val="center"/>
                            <w:hideMark/>
                          </w:tcPr>
                          <w:p w14:paraId="263F2D5B" w14:textId="77777777" w:rsidR="00436738" w:rsidRDefault="00436738">
                            <w:pPr>
                              <w:spacing w:line="240" w:lineRule="exact"/>
                              <w:jc w:val="center"/>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111</w:t>
                            </w:r>
                          </w:p>
                        </w:tc>
                        <w:tc>
                          <w:tcPr>
                            <w:tcW w:w="770" w:type="dxa"/>
                            <w:tcBorders>
                              <w:top w:val="single" w:sz="4" w:space="0" w:color="auto"/>
                              <w:left w:val="nil"/>
                              <w:bottom w:val="single" w:sz="4" w:space="0" w:color="auto"/>
                              <w:right w:val="single" w:sz="4" w:space="0" w:color="auto"/>
                            </w:tcBorders>
                            <w:noWrap/>
                            <w:vAlign w:val="center"/>
                            <w:hideMark/>
                          </w:tcPr>
                          <w:p w14:paraId="60BBBDFE"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144,520 </w:t>
                            </w:r>
                          </w:p>
                        </w:tc>
                        <w:tc>
                          <w:tcPr>
                            <w:tcW w:w="700" w:type="dxa"/>
                            <w:tcBorders>
                              <w:top w:val="single" w:sz="4" w:space="0" w:color="auto"/>
                              <w:left w:val="nil"/>
                              <w:bottom w:val="single" w:sz="4" w:space="0" w:color="auto"/>
                              <w:right w:val="single" w:sz="4" w:space="0" w:color="auto"/>
                            </w:tcBorders>
                            <w:noWrap/>
                            <w:vAlign w:val="center"/>
                            <w:hideMark/>
                          </w:tcPr>
                          <w:p w14:paraId="1D74B37C"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28,694 </w:t>
                            </w:r>
                          </w:p>
                        </w:tc>
                        <w:tc>
                          <w:tcPr>
                            <w:tcW w:w="756" w:type="dxa"/>
                            <w:tcBorders>
                              <w:top w:val="single" w:sz="4" w:space="0" w:color="auto"/>
                              <w:left w:val="nil"/>
                              <w:bottom w:val="single" w:sz="4" w:space="0" w:color="auto"/>
                              <w:right w:val="single" w:sz="4" w:space="0" w:color="auto"/>
                            </w:tcBorders>
                            <w:noWrap/>
                            <w:vAlign w:val="center"/>
                            <w:hideMark/>
                          </w:tcPr>
                          <w:p w14:paraId="21165957"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111,455 </w:t>
                            </w:r>
                          </w:p>
                        </w:tc>
                        <w:tc>
                          <w:tcPr>
                            <w:tcW w:w="770" w:type="dxa"/>
                            <w:tcBorders>
                              <w:top w:val="single" w:sz="4" w:space="0" w:color="auto"/>
                              <w:left w:val="nil"/>
                              <w:bottom w:val="single" w:sz="4" w:space="0" w:color="auto"/>
                              <w:right w:val="single" w:sz="4" w:space="0" w:color="auto"/>
                            </w:tcBorders>
                            <w:noWrap/>
                            <w:vAlign w:val="center"/>
                            <w:hideMark/>
                          </w:tcPr>
                          <w:p w14:paraId="716E2868"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77.12</w:t>
                            </w:r>
                          </w:p>
                        </w:tc>
                      </w:tr>
                      <w:tr w:rsidR="00436738" w14:paraId="62F1464E" w14:textId="77777777" w:rsidTr="00C335C3">
                        <w:trPr>
                          <w:trHeight w:val="227"/>
                        </w:trPr>
                        <w:tc>
                          <w:tcPr>
                            <w:tcW w:w="658" w:type="dxa"/>
                            <w:vMerge/>
                            <w:tcBorders>
                              <w:top w:val="nil"/>
                              <w:left w:val="single" w:sz="4" w:space="0" w:color="auto"/>
                              <w:bottom w:val="single" w:sz="4" w:space="0" w:color="auto"/>
                              <w:right w:val="single" w:sz="4" w:space="0" w:color="auto"/>
                            </w:tcBorders>
                            <w:vAlign w:val="center"/>
                            <w:hideMark/>
                          </w:tcPr>
                          <w:p w14:paraId="6D3C83C7" w14:textId="77777777" w:rsidR="00436738" w:rsidRDefault="00436738">
                            <w:pPr>
                              <w:widowControl/>
                              <w:rPr>
                                <w:rFonts w:ascii="標楷體" w:eastAsia="標楷體" w:hAnsi="標楷體"/>
                                <w:b/>
                                <w:color w:val="000000"/>
                                <w:spacing w:val="-6"/>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45985A6F" w14:textId="77777777" w:rsidR="00436738" w:rsidRDefault="00436738">
                            <w:pPr>
                              <w:spacing w:line="240" w:lineRule="exact"/>
                              <w:jc w:val="center"/>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112</w:t>
                            </w:r>
                          </w:p>
                        </w:tc>
                        <w:tc>
                          <w:tcPr>
                            <w:tcW w:w="770" w:type="dxa"/>
                            <w:tcBorders>
                              <w:top w:val="single" w:sz="4" w:space="0" w:color="auto"/>
                              <w:left w:val="nil"/>
                              <w:bottom w:val="single" w:sz="4" w:space="0" w:color="auto"/>
                              <w:right w:val="single" w:sz="4" w:space="0" w:color="auto"/>
                            </w:tcBorders>
                            <w:noWrap/>
                            <w:vAlign w:val="center"/>
                            <w:hideMark/>
                          </w:tcPr>
                          <w:p w14:paraId="00D238F5"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151,401 </w:t>
                            </w:r>
                          </w:p>
                        </w:tc>
                        <w:tc>
                          <w:tcPr>
                            <w:tcW w:w="700" w:type="dxa"/>
                            <w:tcBorders>
                              <w:top w:val="single" w:sz="4" w:space="0" w:color="auto"/>
                              <w:left w:val="nil"/>
                              <w:bottom w:val="single" w:sz="4" w:space="0" w:color="auto"/>
                              <w:right w:val="single" w:sz="4" w:space="0" w:color="auto"/>
                            </w:tcBorders>
                            <w:noWrap/>
                            <w:vAlign w:val="center"/>
                            <w:hideMark/>
                          </w:tcPr>
                          <w:p w14:paraId="1BDFC04F"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20,272 </w:t>
                            </w:r>
                          </w:p>
                        </w:tc>
                        <w:tc>
                          <w:tcPr>
                            <w:tcW w:w="756" w:type="dxa"/>
                            <w:tcBorders>
                              <w:top w:val="single" w:sz="4" w:space="0" w:color="auto"/>
                              <w:left w:val="nil"/>
                              <w:bottom w:val="single" w:sz="4" w:space="0" w:color="auto"/>
                              <w:right w:val="single" w:sz="4" w:space="0" w:color="auto"/>
                            </w:tcBorders>
                            <w:noWrap/>
                            <w:vAlign w:val="center"/>
                            <w:hideMark/>
                          </w:tcPr>
                          <w:p w14:paraId="71E15E1B"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130,606 </w:t>
                            </w:r>
                          </w:p>
                        </w:tc>
                        <w:tc>
                          <w:tcPr>
                            <w:tcW w:w="770" w:type="dxa"/>
                            <w:tcBorders>
                              <w:top w:val="single" w:sz="4" w:space="0" w:color="auto"/>
                              <w:left w:val="nil"/>
                              <w:bottom w:val="single" w:sz="4" w:space="0" w:color="auto"/>
                              <w:right w:val="single" w:sz="4" w:space="0" w:color="auto"/>
                            </w:tcBorders>
                            <w:noWrap/>
                            <w:vAlign w:val="center"/>
                            <w:hideMark/>
                          </w:tcPr>
                          <w:p w14:paraId="6DE41B1E"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86.26</w:t>
                            </w:r>
                          </w:p>
                        </w:tc>
                      </w:tr>
                      <w:tr w:rsidR="00436738" w14:paraId="228C1BD8" w14:textId="77777777" w:rsidTr="00C335C3">
                        <w:trPr>
                          <w:trHeight w:val="227"/>
                        </w:trPr>
                        <w:tc>
                          <w:tcPr>
                            <w:tcW w:w="658" w:type="dxa"/>
                            <w:vMerge/>
                            <w:tcBorders>
                              <w:top w:val="nil"/>
                              <w:left w:val="single" w:sz="4" w:space="0" w:color="auto"/>
                              <w:bottom w:val="single" w:sz="4" w:space="0" w:color="auto"/>
                              <w:right w:val="single" w:sz="4" w:space="0" w:color="auto"/>
                            </w:tcBorders>
                            <w:vAlign w:val="center"/>
                            <w:hideMark/>
                          </w:tcPr>
                          <w:p w14:paraId="5D231AA4" w14:textId="77777777" w:rsidR="00436738" w:rsidRDefault="00436738">
                            <w:pPr>
                              <w:widowControl/>
                              <w:rPr>
                                <w:rFonts w:ascii="標楷體" w:eastAsia="標楷體" w:hAnsi="標楷體"/>
                                <w:b/>
                                <w:color w:val="000000"/>
                                <w:spacing w:val="-6"/>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26C1EC88" w14:textId="77777777" w:rsidR="00436738" w:rsidRDefault="00436738">
                            <w:pPr>
                              <w:spacing w:line="240" w:lineRule="exact"/>
                              <w:jc w:val="center"/>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113</w:t>
                            </w:r>
                          </w:p>
                        </w:tc>
                        <w:tc>
                          <w:tcPr>
                            <w:tcW w:w="770" w:type="dxa"/>
                            <w:tcBorders>
                              <w:top w:val="single" w:sz="4" w:space="0" w:color="auto"/>
                              <w:left w:val="nil"/>
                              <w:bottom w:val="single" w:sz="4" w:space="0" w:color="auto"/>
                              <w:right w:val="single" w:sz="4" w:space="0" w:color="auto"/>
                            </w:tcBorders>
                            <w:noWrap/>
                            <w:vAlign w:val="center"/>
                            <w:hideMark/>
                          </w:tcPr>
                          <w:p w14:paraId="789BE6E8"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277,592 </w:t>
                            </w:r>
                          </w:p>
                        </w:tc>
                        <w:tc>
                          <w:tcPr>
                            <w:tcW w:w="700" w:type="dxa"/>
                            <w:tcBorders>
                              <w:top w:val="single" w:sz="4" w:space="0" w:color="auto"/>
                              <w:left w:val="nil"/>
                              <w:bottom w:val="single" w:sz="4" w:space="0" w:color="auto"/>
                              <w:right w:val="single" w:sz="4" w:space="0" w:color="auto"/>
                            </w:tcBorders>
                            <w:noWrap/>
                            <w:vAlign w:val="center"/>
                            <w:hideMark/>
                          </w:tcPr>
                          <w:p w14:paraId="0FF659C1"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19,928 </w:t>
                            </w:r>
                          </w:p>
                        </w:tc>
                        <w:tc>
                          <w:tcPr>
                            <w:tcW w:w="756" w:type="dxa"/>
                            <w:tcBorders>
                              <w:top w:val="single" w:sz="4" w:space="0" w:color="auto"/>
                              <w:left w:val="nil"/>
                              <w:bottom w:val="single" w:sz="4" w:space="0" w:color="auto"/>
                              <w:right w:val="single" w:sz="4" w:space="0" w:color="auto"/>
                            </w:tcBorders>
                            <w:noWrap/>
                            <w:vAlign w:val="center"/>
                            <w:hideMark/>
                          </w:tcPr>
                          <w:p w14:paraId="78DE042C"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 xml:space="preserve">252,230 </w:t>
                            </w:r>
                          </w:p>
                        </w:tc>
                        <w:tc>
                          <w:tcPr>
                            <w:tcW w:w="770" w:type="dxa"/>
                            <w:tcBorders>
                              <w:top w:val="single" w:sz="4" w:space="0" w:color="auto"/>
                              <w:left w:val="nil"/>
                              <w:bottom w:val="single" w:sz="4" w:space="0" w:color="auto"/>
                              <w:right w:val="single" w:sz="4" w:space="0" w:color="auto"/>
                            </w:tcBorders>
                            <w:noWrap/>
                            <w:vAlign w:val="center"/>
                            <w:hideMark/>
                          </w:tcPr>
                          <w:p w14:paraId="7852FBA0" w14:textId="77777777" w:rsidR="00436738" w:rsidRDefault="00436738">
                            <w:pPr>
                              <w:spacing w:line="240" w:lineRule="exact"/>
                              <w:jc w:val="right"/>
                              <w:rPr>
                                <w:rFonts w:ascii="標楷體" w:eastAsia="標楷體" w:hAnsi="標楷體"/>
                                <w:b/>
                                <w:color w:val="000000"/>
                                <w:spacing w:val="-6"/>
                                <w:sz w:val="20"/>
                                <w:szCs w:val="20"/>
                              </w:rPr>
                            </w:pPr>
                            <w:r>
                              <w:rPr>
                                <w:rFonts w:ascii="標楷體" w:eastAsia="標楷體" w:hAnsi="標楷體" w:hint="eastAsia"/>
                                <w:b/>
                                <w:color w:val="000000"/>
                                <w:spacing w:val="-6"/>
                                <w:sz w:val="20"/>
                                <w:szCs w:val="20"/>
                              </w:rPr>
                              <w:t>90.86</w:t>
                            </w:r>
                          </w:p>
                        </w:tc>
                      </w:tr>
                      <w:tr w:rsidR="00436738" w14:paraId="2FCE4161" w14:textId="77777777" w:rsidTr="00C335C3">
                        <w:trPr>
                          <w:trHeight w:val="227"/>
                        </w:trPr>
                        <w:tc>
                          <w:tcPr>
                            <w:tcW w:w="658" w:type="dxa"/>
                            <w:vMerge w:val="restart"/>
                            <w:tcBorders>
                              <w:top w:val="nil"/>
                              <w:left w:val="single" w:sz="4" w:space="0" w:color="auto"/>
                              <w:bottom w:val="single" w:sz="4" w:space="0" w:color="auto"/>
                              <w:right w:val="single" w:sz="4" w:space="0" w:color="auto"/>
                            </w:tcBorders>
                            <w:vAlign w:val="center"/>
                            <w:hideMark/>
                          </w:tcPr>
                          <w:p w14:paraId="7414E48A" w14:textId="77777777" w:rsidR="00436738" w:rsidRDefault="00436738">
                            <w:pPr>
                              <w:spacing w:line="240" w:lineRule="exact"/>
                              <w:jc w:val="center"/>
                              <w:rPr>
                                <w:rFonts w:ascii="標楷體" w:eastAsia="標楷體" w:hAnsi="標楷體"/>
                                <w:bCs/>
                                <w:color w:val="000000"/>
                                <w:sz w:val="20"/>
                                <w:szCs w:val="20"/>
                              </w:rPr>
                            </w:pPr>
                            <w:r>
                              <w:rPr>
                                <w:rFonts w:ascii="標楷體" w:eastAsia="標楷體" w:hAnsi="標楷體" w:hint="eastAsia"/>
                                <w:bCs/>
                                <w:color w:val="000000"/>
                                <w:sz w:val="20"/>
                                <w:szCs w:val="20"/>
                              </w:rPr>
                              <w:t>中央</w:t>
                            </w:r>
                          </w:p>
                          <w:p w14:paraId="60906F60" w14:textId="77777777" w:rsidR="00436738" w:rsidRDefault="00436738">
                            <w:pPr>
                              <w:spacing w:line="240" w:lineRule="exact"/>
                              <w:jc w:val="center"/>
                              <w:rPr>
                                <w:rFonts w:ascii="標楷體" w:eastAsia="標楷體" w:hAnsi="標楷體"/>
                                <w:bCs/>
                                <w:color w:val="000000"/>
                                <w:sz w:val="20"/>
                                <w:szCs w:val="20"/>
                              </w:rPr>
                            </w:pPr>
                            <w:r>
                              <w:rPr>
                                <w:rFonts w:ascii="標楷體" w:eastAsia="標楷體" w:hAnsi="標楷體" w:hint="eastAsia"/>
                                <w:bCs/>
                                <w:color w:val="000000"/>
                                <w:sz w:val="20"/>
                                <w:szCs w:val="20"/>
                              </w:rPr>
                              <w:t>補助款</w:t>
                            </w:r>
                          </w:p>
                        </w:tc>
                        <w:tc>
                          <w:tcPr>
                            <w:tcW w:w="420" w:type="dxa"/>
                            <w:tcBorders>
                              <w:top w:val="nil"/>
                              <w:left w:val="single" w:sz="4" w:space="0" w:color="auto"/>
                              <w:bottom w:val="single" w:sz="4" w:space="0" w:color="auto"/>
                              <w:right w:val="single" w:sz="4" w:space="0" w:color="auto"/>
                            </w:tcBorders>
                            <w:noWrap/>
                            <w:vAlign w:val="center"/>
                            <w:hideMark/>
                          </w:tcPr>
                          <w:p w14:paraId="200DAFC9"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111</w:t>
                            </w:r>
                          </w:p>
                        </w:tc>
                        <w:tc>
                          <w:tcPr>
                            <w:tcW w:w="770" w:type="dxa"/>
                            <w:tcBorders>
                              <w:top w:val="single" w:sz="4" w:space="0" w:color="auto"/>
                              <w:left w:val="nil"/>
                              <w:bottom w:val="single" w:sz="4" w:space="0" w:color="auto"/>
                              <w:right w:val="single" w:sz="4" w:space="0" w:color="auto"/>
                            </w:tcBorders>
                            <w:noWrap/>
                            <w:vAlign w:val="center"/>
                            <w:hideMark/>
                          </w:tcPr>
                          <w:p w14:paraId="481D79CD"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59,570 </w:t>
                            </w:r>
                          </w:p>
                        </w:tc>
                        <w:tc>
                          <w:tcPr>
                            <w:tcW w:w="700" w:type="dxa"/>
                            <w:tcBorders>
                              <w:top w:val="single" w:sz="4" w:space="0" w:color="auto"/>
                              <w:left w:val="nil"/>
                              <w:bottom w:val="single" w:sz="4" w:space="0" w:color="auto"/>
                              <w:right w:val="single" w:sz="4" w:space="0" w:color="auto"/>
                            </w:tcBorders>
                            <w:noWrap/>
                            <w:vAlign w:val="center"/>
                            <w:hideMark/>
                          </w:tcPr>
                          <w:p w14:paraId="2DD687C3"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11,488 </w:t>
                            </w:r>
                          </w:p>
                        </w:tc>
                        <w:tc>
                          <w:tcPr>
                            <w:tcW w:w="756" w:type="dxa"/>
                            <w:tcBorders>
                              <w:top w:val="single" w:sz="4" w:space="0" w:color="auto"/>
                              <w:left w:val="nil"/>
                              <w:bottom w:val="single" w:sz="4" w:space="0" w:color="auto"/>
                              <w:right w:val="single" w:sz="4" w:space="0" w:color="auto"/>
                            </w:tcBorders>
                            <w:noWrap/>
                            <w:vAlign w:val="center"/>
                            <w:hideMark/>
                          </w:tcPr>
                          <w:p w14:paraId="1A2318F6"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46,346 </w:t>
                            </w:r>
                          </w:p>
                        </w:tc>
                        <w:tc>
                          <w:tcPr>
                            <w:tcW w:w="770" w:type="dxa"/>
                            <w:tcBorders>
                              <w:top w:val="single" w:sz="4" w:space="0" w:color="auto"/>
                              <w:left w:val="nil"/>
                              <w:bottom w:val="single" w:sz="4" w:space="0" w:color="auto"/>
                              <w:right w:val="single" w:sz="4" w:space="0" w:color="auto"/>
                            </w:tcBorders>
                            <w:noWrap/>
                            <w:vAlign w:val="center"/>
                            <w:hideMark/>
                          </w:tcPr>
                          <w:p w14:paraId="4F815608"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77.80</w:t>
                            </w:r>
                          </w:p>
                        </w:tc>
                      </w:tr>
                      <w:tr w:rsidR="00436738" w14:paraId="3EC5D0B0" w14:textId="77777777" w:rsidTr="00C335C3">
                        <w:trPr>
                          <w:trHeight w:val="227"/>
                        </w:trPr>
                        <w:tc>
                          <w:tcPr>
                            <w:tcW w:w="658" w:type="dxa"/>
                            <w:vMerge/>
                            <w:tcBorders>
                              <w:top w:val="nil"/>
                              <w:left w:val="single" w:sz="4" w:space="0" w:color="auto"/>
                              <w:bottom w:val="single" w:sz="4" w:space="0" w:color="auto"/>
                              <w:right w:val="single" w:sz="4" w:space="0" w:color="auto"/>
                            </w:tcBorders>
                            <w:vAlign w:val="center"/>
                            <w:hideMark/>
                          </w:tcPr>
                          <w:p w14:paraId="16AF033A" w14:textId="77777777" w:rsidR="00436738" w:rsidRDefault="00436738">
                            <w:pPr>
                              <w:widowControl/>
                              <w:rPr>
                                <w:rFonts w:ascii="標楷體" w:eastAsia="標楷體" w:hAnsi="標楷體"/>
                                <w:bCs/>
                                <w:color w:val="000000"/>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531B8B81"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112</w:t>
                            </w:r>
                          </w:p>
                        </w:tc>
                        <w:tc>
                          <w:tcPr>
                            <w:tcW w:w="770" w:type="dxa"/>
                            <w:tcBorders>
                              <w:top w:val="single" w:sz="4" w:space="0" w:color="auto"/>
                              <w:left w:val="nil"/>
                              <w:bottom w:val="single" w:sz="4" w:space="0" w:color="auto"/>
                              <w:right w:val="single" w:sz="4" w:space="0" w:color="auto"/>
                            </w:tcBorders>
                            <w:noWrap/>
                            <w:vAlign w:val="center"/>
                            <w:hideMark/>
                          </w:tcPr>
                          <w:p w14:paraId="62C3BFFC"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72,244 </w:t>
                            </w:r>
                          </w:p>
                        </w:tc>
                        <w:tc>
                          <w:tcPr>
                            <w:tcW w:w="700" w:type="dxa"/>
                            <w:tcBorders>
                              <w:top w:val="single" w:sz="4" w:space="0" w:color="auto"/>
                              <w:left w:val="nil"/>
                              <w:bottom w:val="single" w:sz="4" w:space="0" w:color="auto"/>
                              <w:right w:val="single" w:sz="4" w:space="0" w:color="auto"/>
                            </w:tcBorders>
                            <w:noWrap/>
                            <w:vAlign w:val="center"/>
                            <w:hideMark/>
                          </w:tcPr>
                          <w:p w14:paraId="0AA90483"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7,962 </w:t>
                            </w:r>
                          </w:p>
                        </w:tc>
                        <w:tc>
                          <w:tcPr>
                            <w:tcW w:w="756" w:type="dxa"/>
                            <w:tcBorders>
                              <w:top w:val="single" w:sz="4" w:space="0" w:color="auto"/>
                              <w:left w:val="nil"/>
                              <w:bottom w:val="single" w:sz="4" w:space="0" w:color="auto"/>
                              <w:right w:val="single" w:sz="4" w:space="0" w:color="auto"/>
                            </w:tcBorders>
                            <w:noWrap/>
                            <w:vAlign w:val="center"/>
                            <w:hideMark/>
                          </w:tcPr>
                          <w:p w14:paraId="111EC087"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63,932 </w:t>
                            </w:r>
                          </w:p>
                        </w:tc>
                        <w:tc>
                          <w:tcPr>
                            <w:tcW w:w="770" w:type="dxa"/>
                            <w:tcBorders>
                              <w:top w:val="single" w:sz="4" w:space="0" w:color="auto"/>
                              <w:left w:val="nil"/>
                              <w:bottom w:val="single" w:sz="4" w:space="0" w:color="auto"/>
                              <w:right w:val="single" w:sz="4" w:space="0" w:color="auto"/>
                            </w:tcBorders>
                            <w:noWrap/>
                            <w:vAlign w:val="center"/>
                            <w:hideMark/>
                          </w:tcPr>
                          <w:p w14:paraId="63CCB197"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88.49</w:t>
                            </w:r>
                          </w:p>
                        </w:tc>
                      </w:tr>
                      <w:tr w:rsidR="00436738" w14:paraId="13228BC8" w14:textId="77777777" w:rsidTr="00C335C3">
                        <w:trPr>
                          <w:trHeight w:val="170"/>
                        </w:trPr>
                        <w:tc>
                          <w:tcPr>
                            <w:tcW w:w="658" w:type="dxa"/>
                            <w:vMerge/>
                            <w:tcBorders>
                              <w:top w:val="nil"/>
                              <w:left w:val="single" w:sz="4" w:space="0" w:color="auto"/>
                              <w:bottom w:val="single" w:sz="4" w:space="0" w:color="auto"/>
                              <w:right w:val="single" w:sz="4" w:space="0" w:color="auto"/>
                            </w:tcBorders>
                            <w:vAlign w:val="center"/>
                            <w:hideMark/>
                          </w:tcPr>
                          <w:p w14:paraId="45E3B9D1" w14:textId="77777777" w:rsidR="00436738" w:rsidRDefault="00436738">
                            <w:pPr>
                              <w:widowControl/>
                              <w:rPr>
                                <w:rFonts w:ascii="標楷體" w:eastAsia="標楷體" w:hAnsi="標楷體"/>
                                <w:bCs/>
                                <w:color w:val="000000"/>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4C5C6483"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113</w:t>
                            </w:r>
                          </w:p>
                        </w:tc>
                        <w:tc>
                          <w:tcPr>
                            <w:tcW w:w="770" w:type="dxa"/>
                            <w:tcBorders>
                              <w:top w:val="nil"/>
                              <w:left w:val="nil"/>
                              <w:bottom w:val="single" w:sz="4" w:space="0" w:color="auto"/>
                              <w:right w:val="single" w:sz="4" w:space="0" w:color="auto"/>
                            </w:tcBorders>
                            <w:noWrap/>
                            <w:vAlign w:val="center"/>
                            <w:hideMark/>
                          </w:tcPr>
                          <w:p w14:paraId="0F88CA69"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180,701 </w:t>
                            </w:r>
                          </w:p>
                        </w:tc>
                        <w:tc>
                          <w:tcPr>
                            <w:tcW w:w="700" w:type="dxa"/>
                            <w:tcBorders>
                              <w:top w:val="nil"/>
                              <w:left w:val="nil"/>
                              <w:bottom w:val="single" w:sz="4" w:space="0" w:color="auto"/>
                              <w:right w:val="single" w:sz="4" w:space="0" w:color="auto"/>
                            </w:tcBorders>
                            <w:noWrap/>
                            <w:vAlign w:val="center"/>
                            <w:hideMark/>
                          </w:tcPr>
                          <w:p w14:paraId="0DC9E94D"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9,541 </w:t>
                            </w:r>
                          </w:p>
                        </w:tc>
                        <w:tc>
                          <w:tcPr>
                            <w:tcW w:w="756" w:type="dxa"/>
                            <w:tcBorders>
                              <w:top w:val="nil"/>
                              <w:left w:val="nil"/>
                              <w:bottom w:val="single" w:sz="4" w:space="0" w:color="auto"/>
                              <w:right w:val="single" w:sz="4" w:space="0" w:color="auto"/>
                            </w:tcBorders>
                            <w:noWrap/>
                            <w:vAlign w:val="center"/>
                            <w:hideMark/>
                          </w:tcPr>
                          <w:p w14:paraId="1607E992"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 xml:space="preserve">171,092 </w:t>
                            </w:r>
                          </w:p>
                        </w:tc>
                        <w:tc>
                          <w:tcPr>
                            <w:tcW w:w="770" w:type="dxa"/>
                            <w:tcBorders>
                              <w:top w:val="nil"/>
                              <w:left w:val="nil"/>
                              <w:bottom w:val="single" w:sz="4" w:space="0" w:color="auto"/>
                              <w:right w:val="single" w:sz="4" w:space="0" w:color="auto"/>
                            </w:tcBorders>
                            <w:noWrap/>
                            <w:vAlign w:val="center"/>
                            <w:hideMark/>
                          </w:tcPr>
                          <w:p w14:paraId="48983B2A"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94.68</w:t>
                            </w:r>
                          </w:p>
                        </w:tc>
                      </w:tr>
                      <w:tr w:rsidR="00436738" w14:paraId="192E0FFF" w14:textId="77777777" w:rsidTr="00C335C3">
                        <w:trPr>
                          <w:trHeight w:val="170"/>
                        </w:trPr>
                        <w:tc>
                          <w:tcPr>
                            <w:tcW w:w="658" w:type="dxa"/>
                            <w:vMerge w:val="restart"/>
                            <w:tcBorders>
                              <w:top w:val="nil"/>
                              <w:left w:val="single" w:sz="4" w:space="0" w:color="auto"/>
                              <w:bottom w:val="single" w:sz="4" w:space="0" w:color="auto"/>
                              <w:right w:val="single" w:sz="4" w:space="0" w:color="auto"/>
                            </w:tcBorders>
                            <w:vAlign w:val="center"/>
                            <w:hideMark/>
                          </w:tcPr>
                          <w:p w14:paraId="2F59431C" w14:textId="77777777" w:rsidR="00436738" w:rsidRDefault="00436738">
                            <w:pPr>
                              <w:spacing w:line="240" w:lineRule="exact"/>
                              <w:jc w:val="center"/>
                              <w:rPr>
                                <w:rFonts w:ascii="標楷體" w:eastAsia="標楷體" w:hAnsi="標楷體"/>
                                <w:bCs/>
                                <w:color w:val="000000"/>
                                <w:sz w:val="20"/>
                                <w:szCs w:val="20"/>
                              </w:rPr>
                            </w:pPr>
                            <w:r>
                              <w:rPr>
                                <w:rFonts w:ascii="標楷體" w:eastAsia="標楷體" w:hAnsi="標楷體" w:hint="eastAsia"/>
                                <w:bCs/>
                                <w:color w:val="000000"/>
                                <w:sz w:val="20"/>
                                <w:szCs w:val="20"/>
                              </w:rPr>
                              <w:t>臺北市自籌款</w:t>
                            </w:r>
                          </w:p>
                        </w:tc>
                        <w:tc>
                          <w:tcPr>
                            <w:tcW w:w="420" w:type="dxa"/>
                            <w:tcBorders>
                              <w:top w:val="nil"/>
                              <w:left w:val="single" w:sz="4" w:space="0" w:color="auto"/>
                              <w:bottom w:val="single" w:sz="4" w:space="0" w:color="auto"/>
                              <w:right w:val="single" w:sz="4" w:space="0" w:color="auto"/>
                            </w:tcBorders>
                            <w:noWrap/>
                            <w:vAlign w:val="center"/>
                            <w:hideMark/>
                          </w:tcPr>
                          <w:p w14:paraId="0E705FA4"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111</w:t>
                            </w:r>
                          </w:p>
                        </w:tc>
                        <w:tc>
                          <w:tcPr>
                            <w:tcW w:w="770" w:type="dxa"/>
                            <w:tcBorders>
                              <w:top w:val="nil"/>
                              <w:left w:val="nil"/>
                              <w:bottom w:val="single" w:sz="4" w:space="0" w:color="auto"/>
                              <w:right w:val="single" w:sz="4" w:space="0" w:color="auto"/>
                            </w:tcBorders>
                            <w:noWrap/>
                            <w:hideMark/>
                          </w:tcPr>
                          <w:p w14:paraId="0811E196"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84,950 </w:t>
                            </w:r>
                          </w:p>
                        </w:tc>
                        <w:tc>
                          <w:tcPr>
                            <w:tcW w:w="700" w:type="dxa"/>
                            <w:tcBorders>
                              <w:top w:val="nil"/>
                              <w:left w:val="nil"/>
                              <w:bottom w:val="single" w:sz="4" w:space="0" w:color="auto"/>
                              <w:right w:val="single" w:sz="4" w:space="0" w:color="auto"/>
                            </w:tcBorders>
                            <w:noWrap/>
                            <w:hideMark/>
                          </w:tcPr>
                          <w:p w14:paraId="3107E427"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17,206 </w:t>
                            </w:r>
                          </w:p>
                        </w:tc>
                        <w:tc>
                          <w:tcPr>
                            <w:tcW w:w="756" w:type="dxa"/>
                            <w:tcBorders>
                              <w:top w:val="nil"/>
                              <w:left w:val="nil"/>
                              <w:bottom w:val="single" w:sz="4" w:space="0" w:color="auto"/>
                              <w:right w:val="single" w:sz="4" w:space="0" w:color="auto"/>
                            </w:tcBorders>
                            <w:noWrap/>
                            <w:hideMark/>
                          </w:tcPr>
                          <w:p w14:paraId="16C86989"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65,109 </w:t>
                            </w:r>
                          </w:p>
                        </w:tc>
                        <w:tc>
                          <w:tcPr>
                            <w:tcW w:w="770" w:type="dxa"/>
                            <w:tcBorders>
                              <w:top w:val="nil"/>
                              <w:left w:val="nil"/>
                              <w:bottom w:val="single" w:sz="4" w:space="0" w:color="auto"/>
                              <w:right w:val="single" w:sz="4" w:space="0" w:color="auto"/>
                            </w:tcBorders>
                            <w:noWrap/>
                            <w:vAlign w:val="center"/>
                            <w:hideMark/>
                          </w:tcPr>
                          <w:p w14:paraId="21857D8B"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76.64</w:t>
                            </w:r>
                          </w:p>
                        </w:tc>
                      </w:tr>
                      <w:tr w:rsidR="00436738" w14:paraId="175C6B6F" w14:textId="77777777" w:rsidTr="00C335C3">
                        <w:trPr>
                          <w:trHeight w:val="170"/>
                        </w:trPr>
                        <w:tc>
                          <w:tcPr>
                            <w:tcW w:w="658" w:type="dxa"/>
                            <w:vMerge/>
                            <w:tcBorders>
                              <w:top w:val="nil"/>
                              <w:left w:val="single" w:sz="4" w:space="0" w:color="auto"/>
                              <w:bottom w:val="single" w:sz="4" w:space="0" w:color="auto"/>
                              <w:right w:val="single" w:sz="4" w:space="0" w:color="auto"/>
                            </w:tcBorders>
                            <w:vAlign w:val="center"/>
                            <w:hideMark/>
                          </w:tcPr>
                          <w:p w14:paraId="17285C97" w14:textId="77777777" w:rsidR="00436738" w:rsidRDefault="00436738">
                            <w:pPr>
                              <w:widowControl/>
                              <w:rPr>
                                <w:rFonts w:ascii="標楷體" w:eastAsia="標楷體" w:hAnsi="標楷體"/>
                                <w:bCs/>
                                <w:color w:val="000000"/>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0274D41E"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112</w:t>
                            </w:r>
                          </w:p>
                        </w:tc>
                        <w:tc>
                          <w:tcPr>
                            <w:tcW w:w="770" w:type="dxa"/>
                            <w:tcBorders>
                              <w:top w:val="nil"/>
                              <w:left w:val="nil"/>
                              <w:bottom w:val="single" w:sz="4" w:space="0" w:color="auto"/>
                              <w:right w:val="single" w:sz="4" w:space="0" w:color="auto"/>
                            </w:tcBorders>
                            <w:noWrap/>
                            <w:hideMark/>
                          </w:tcPr>
                          <w:p w14:paraId="56FA2C68"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79,157 </w:t>
                            </w:r>
                          </w:p>
                        </w:tc>
                        <w:tc>
                          <w:tcPr>
                            <w:tcW w:w="700" w:type="dxa"/>
                            <w:tcBorders>
                              <w:top w:val="nil"/>
                              <w:left w:val="nil"/>
                              <w:bottom w:val="single" w:sz="4" w:space="0" w:color="auto"/>
                              <w:right w:val="single" w:sz="4" w:space="0" w:color="auto"/>
                            </w:tcBorders>
                            <w:noWrap/>
                            <w:hideMark/>
                          </w:tcPr>
                          <w:p w14:paraId="568683C0"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12,309 </w:t>
                            </w:r>
                          </w:p>
                        </w:tc>
                        <w:tc>
                          <w:tcPr>
                            <w:tcW w:w="756" w:type="dxa"/>
                            <w:tcBorders>
                              <w:top w:val="nil"/>
                              <w:left w:val="nil"/>
                              <w:bottom w:val="single" w:sz="4" w:space="0" w:color="auto"/>
                              <w:right w:val="single" w:sz="4" w:space="0" w:color="auto"/>
                            </w:tcBorders>
                            <w:noWrap/>
                            <w:hideMark/>
                          </w:tcPr>
                          <w:p w14:paraId="017931CC"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66,674 </w:t>
                            </w:r>
                          </w:p>
                        </w:tc>
                        <w:tc>
                          <w:tcPr>
                            <w:tcW w:w="770" w:type="dxa"/>
                            <w:tcBorders>
                              <w:top w:val="nil"/>
                              <w:left w:val="nil"/>
                              <w:bottom w:val="single" w:sz="4" w:space="0" w:color="auto"/>
                              <w:right w:val="single" w:sz="4" w:space="0" w:color="auto"/>
                            </w:tcBorders>
                            <w:noWrap/>
                            <w:vAlign w:val="center"/>
                            <w:hideMark/>
                          </w:tcPr>
                          <w:p w14:paraId="217818CE"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84.23</w:t>
                            </w:r>
                          </w:p>
                        </w:tc>
                      </w:tr>
                      <w:tr w:rsidR="00436738" w14:paraId="20C8E91E" w14:textId="77777777" w:rsidTr="00C335C3">
                        <w:trPr>
                          <w:trHeight w:val="170"/>
                        </w:trPr>
                        <w:tc>
                          <w:tcPr>
                            <w:tcW w:w="658" w:type="dxa"/>
                            <w:vMerge/>
                            <w:tcBorders>
                              <w:top w:val="nil"/>
                              <w:left w:val="single" w:sz="4" w:space="0" w:color="auto"/>
                              <w:bottom w:val="single" w:sz="4" w:space="0" w:color="auto"/>
                              <w:right w:val="single" w:sz="4" w:space="0" w:color="auto"/>
                            </w:tcBorders>
                            <w:vAlign w:val="center"/>
                            <w:hideMark/>
                          </w:tcPr>
                          <w:p w14:paraId="4F924313" w14:textId="77777777" w:rsidR="00436738" w:rsidRDefault="00436738">
                            <w:pPr>
                              <w:widowControl/>
                              <w:rPr>
                                <w:rFonts w:ascii="標楷體" w:eastAsia="標楷體" w:hAnsi="標楷體"/>
                                <w:bCs/>
                                <w:color w:val="000000"/>
                                <w:sz w:val="20"/>
                                <w:szCs w:val="20"/>
                              </w:rPr>
                            </w:pPr>
                          </w:p>
                        </w:tc>
                        <w:tc>
                          <w:tcPr>
                            <w:tcW w:w="420" w:type="dxa"/>
                            <w:tcBorders>
                              <w:top w:val="nil"/>
                              <w:left w:val="single" w:sz="4" w:space="0" w:color="auto"/>
                              <w:bottom w:val="single" w:sz="4" w:space="0" w:color="auto"/>
                              <w:right w:val="single" w:sz="4" w:space="0" w:color="auto"/>
                            </w:tcBorders>
                            <w:noWrap/>
                            <w:vAlign w:val="center"/>
                            <w:hideMark/>
                          </w:tcPr>
                          <w:p w14:paraId="39240582" w14:textId="77777777" w:rsidR="00436738" w:rsidRDefault="00436738">
                            <w:pPr>
                              <w:spacing w:line="240" w:lineRule="exact"/>
                              <w:jc w:val="center"/>
                              <w:rPr>
                                <w:rFonts w:ascii="標楷體" w:eastAsia="標楷體" w:hAnsi="標楷體"/>
                                <w:color w:val="000000"/>
                                <w:sz w:val="20"/>
                                <w:szCs w:val="20"/>
                              </w:rPr>
                            </w:pPr>
                            <w:r>
                              <w:rPr>
                                <w:rFonts w:ascii="標楷體" w:eastAsia="標楷體" w:hAnsi="標楷體" w:hint="eastAsia"/>
                                <w:color w:val="000000"/>
                                <w:sz w:val="20"/>
                                <w:szCs w:val="20"/>
                              </w:rPr>
                              <w:t>113</w:t>
                            </w:r>
                          </w:p>
                        </w:tc>
                        <w:tc>
                          <w:tcPr>
                            <w:tcW w:w="770" w:type="dxa"/>
                            <w:tcBorders>
                              <w:top w:val="nil"/>
                              <w:left w:val="nil"/>
                              <w:bottom w:val="single" w:sz="4" w:space="0" w:color="auto"/>
                              <w:right w:val="single" w:sz="4" w:space="0" w:color="auto"/>
                            </w:tcBorders>
                            <w:noWrap/>
                            <w:hideMark/>
                          </w:tcPr>
                          <w:p w14:paraId="35F4270A"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96,891 </w:t>
                            </w:r>
                          </w:p>
                        </w:tc>
                        <w:tc>
                          <w:tcPr>
                            <w:tcW w:w="700" w:type="dxa"/>
                            <w:tcBorders>
                              <w:top w:val="nil"/>
                              <w:left w:val="nil"/>
                              <w:bottom w:val="single" w:sz="4" w:space="0" w:color="auto"/>
                              <w:right w:val="single" w:sz="4" w:space="0" w:color="auto"/>
                            </w:tcBorders>
                            <w:noWrap/>
                            <w:hideMark/>
                          </w:tcPr>
                          <w:p w14:paraId="728A8A2A"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10,387 </w:t>
                            </w:r>
                          </w:p>
                        </w:tc>
                        <w:tc>
                          <w:tcPr>
                            <w:tcW w:w="756" w:type="dxa"/>
                            <w:tcBorders>
                              <w:top w:val="nil"/>
                              <w:left w:val="nil"/>
                              <w:bottom w:val="single" w:sz="4" w:space="0" w:color="auto"/>
                              <w:right w:val="single" w:sz="4" w:space="0" w:color="auto"/>
                            </w:tcBorders>
                            <w:noWrap/>
                            <w:hideMark/>
                          </w:tcPr>
                          <w:p w14:paraId="47E35DCD" w14:textId="77777777" w:rsidR="00436738" w:rsidRDefault="00436738">
                            <w:pPr>
                              <w:spacing w:line="240" w:lineRule="exact"/>
                              <w:jc w:val="right"/>
                              <w:rPr>
                                <w:rFonts w:ascii="標楷體" w:eastAsia="標楷體" w:hAnsi="標楷體"/>
                                <w:sz w:val="20"/>
                                <w:szCs w:val="20"/>
                              </w:rPr>
                            </w:pPr>
                            <w:r>
                              <w:rPr>
                                <w:rFonts w:ascii="標楷體" w:eastAsia="標楷體" w:hAnsi="標楷體" w:hint="eastAsia"/>
                                <w:sz w:val="20"/>
                                <w:szCs w:val="20"/>
                              </w:rPr>
                              <w:t xml:space="preserve">81,138 </w:t>
                            </w:r>
                          </w:p>
                        </w:tc>
                        <w:tc>
                          <w:tcPr>
                            <w:tcW w:w="770" w:type="dxa"/>
                            <w:tcBorders>
                              <w:top w:val="nil"/>
                              <w:left w:val="nil"/>
                              <w:bottom w:val="single" w:sz="4" w:space="0" w:color="auto"/>
                              <w:right w:val="single" w:sz="4" w:space="0" w:color="auto"/>
                            </w:tcBorders>
                            <w:noWrap/>
                            <w:vAlign w:val="center"/>
                            <w:hideMark/>
                          </w:tcPr>
                          <w:p w14:paraId="789254B7" w14:textId="77777777" w:rsidR="00436738" w:rsidRDefault="00436738">
                            <w:pPr>
                              <w:spacing w:line="240" w:lineRule="exact"/>
                              <w:jc w:val="right"/>
                              <w:rPr>
                                <w:rFonts w:ascii="標楷體" w:eastAsia="標楷體" w:hAnsi="標楷體"/>
                                <w:color w:val="000000"/>
                                <w:sz w:val="20"/>
                                <w:szCs w:val="20"/>
                              </w:rPr>
                            </w:pPr>
                            <w:r>
                              <w:rPr>
                                <w:rFonts w:ascii="標楷體" w:eastAsia="標楷體" w:hAnsi="標楷體" w:hint="eastAsia"/>
                                <w:color w:val="000000"/>
                                <w:sz w:val="20"/>
                                <w:szCs w:val="20"/>
                              </w:rPr>
                              <w:t>83.74</w:t>
                            </w:r>
                          </w:p>
                        </w:tc>
                      </w:tr>
                      <w:tr w:rsidR="00436738" w14:paraId="6919B20F" w14:textId="77777777" w:rsidTr="00C335C3">
                        <w:trPr>
                          <w:trHeight w:val="68"/>
                        </w:trPr>
                        <w:tc>
                          <w:tcPr>
                            <w:tcW w:w="4074" w:type="dxa"/>
                            <w:gridSpan w:val="6"/>
                            <w:tcBorders>
                              <w:top w:val="single" w:sz="4" w:space="0" w:color="auto"/>
                              <w:left w:val="nil"/>
                              <w:bottom w:val="nil"/>
                              <w:right w:val="nil"/>
                            </w:tcBorders>
                            <w:hideMark/>
                          </w:tcPr>
                          <w:p w14:paraId="56A3E875" w14:textId="77777777" w:rsidR="00436738" w:rsidRDefault="00436738">
                            <w:pPr>
                              <w:spacing w:line="200" w:lineRule="exact"/>
                              <w:rPr>
                                <w:rFonts w:ascii="標楷體" w:eastAsia="標楷體" w:hAnsi="標楷體"/>
                                <w:color w:val="000000"/>
                                <w:sz w:val="20"/>
                                <w:szCs w:val="20"/>
                              </w:rPr>
                            </w:pPr>
                            <w:r>
                              <w:rPr>
                                <w:rFonts w:ascii="標楷體" w:eastAsia="標楷體" w:hAnsi="標楷體" w:hint="eastAsia"/>
                                <w:color w:val="000000"/>
                                <w:sz w:val="18"/>
                                <w:szCs w:val="20"/>
                              </w:rPr>
                              <w:t>資料來源：整理自文化局提供資料。</w:t>
                            </w:r>
                          </w:p>
                        </w:tc>
                      </w:tr>
                    </w:tbl>
                    <w:p w14:paraId="19D0D653" w14:textId="77777777" w:rsidR="00436738" w:rsidRDefault="00436738" w:rsidP="00C335C3">
                      <w:pPr>
                        <w:spacing w:line="20" w:lineRule="exact"/>
                      </w:pPr>
                    </w:p>
                  </w:txbxContent>
                </v:textbox>
                <w10:wrap type="square" anchorx="margin" anchory="page"/>
              </v:shape>
            </w:pict>
          </mc:Fallback>
        </mc:AlternateContent>
      </w:r>
      <w:r>
        <w:rPr>
          <w:rFonts w:ascii="標楷體" w:eastAsia="標楷體" w:hAnsi="標楷體" w:hint="eastAsia"/>
          <w:szCs w:val="24"/>
        </w:rPr>
        <w:t>文化局為鼓勵文化資產相關人能落實文化資產保存維護工作，並促進保存之意願，近年積極向中央爭取文化資產補助經費，並配合編列自籌款，111至113年度分別編列及追加文化資產保存維護等相關計畫補助預算為1億4,452萬元、1億5,140萬餘元及2億7,759萬餘元。經查執行情形，核有：1.該等補助計畫多為跨年度連續性計畫，惟該局每年就中央</w:t>
      </w:r>
      <w:proofErr w:type="gramStart"/>
      <w:r>
        <w:rPr>
          <w:rFonts w:ascii="標楷體" w:eastAsia="標楷體" w:hAnsi="標楷體" w:hint="eastAsia"/>
          <w:szCs w:val="24"/>
        </w:rPr>
        <w:t>補助款補辦</w:t>
      </w:r>
      <w:proofErr w:type="gramEnd"/>
      <w:r>
        <w:rPr>
          <w:rFonts w:ascii="標楷體" w:eastAsia="標楷體" w:hAnsi="標楷體" w:hint="eastAsia"/>
          <w:szCs w:val="24"/>
        </w:rPr>
        <w:t>追加預算作業時，</w:t>
      </w:r>
      <w:proofErr w:type="gramStart"/>
      <w:r>
        <w:rPr>
          <w:rFonts w:ascii="標楷體" w:eastAsia="標楷體" w:hAnsi="標楷體" w:hint="eastAsia"/>
          <w:szCs w:val="24"/>
        </w:rPr>
        <w:t>均按中央政府</w:t>
      </w:r>
      <w:proofErr w:type="gramEnd"/>
      <w:r>
        <w:rPr>
          <w:rFonts w:ascii="標楷體" w:eastAsia="標楷體" w:hAnsi="標楷體" w:hint="eastAsia"/>
          <w:szCs w:val="24"/>
        </w:rPr>
        <w:t>核定各補助計畫經費總額，一次納編預算，未能衡酌各計畫實際執行期程，妥為分年編列預算，致預算執行率連年低於</w:t>
      </w:r>
      <w:proofErr w:type="gramStart"/>
      <w:r>
        <w:rPr>
          <w:rFonts w:ascii="標楷體" w:eastAsia="標楷體" w:hAnsi="標楷體" w:hint="eastAsia"/>
          <w:szCs w:val="24"/>
        </w:rPr>
        <w:t>3成</w:t>
      </w:r>
      <w:proofErr w:type="gramEnd"/>
      <w:r>
        <w:rPr>
          <w:rFonts w:ascii="標楷體" w:eastAsia="標楷體" w:hAnsi="標楷體" w:hint="eastAsia"/>
          <w:szCs w:val="24"/>
        </w:rPr>
        <w:t>，且預算保留金額由</w:t>
      </w:r>
      <w:proofErr w:type="gramStart"/>
      <w:r>
        <w:rPr>
          <w:rFonts w:ascii="標楷體" w:eastAsia="標楷體" w:hAnsi="標楷體" w:hint="eastAsia"/>
          <w:szCs w:val="24"/>
        </w:rPr>
        <w:t>111</w:t>
      </w:r>
      <w:proofErr w:type="gramEnd"/>
      <w:r>
        <w:rPr>
          <w:rFonts w:ascii="標楷體" w:eastAsia="標楷體" w:hAnsi="標楷體" w:hint="eastAsia"/>
          <w:szCs w:val="24"/>
        </w:rPr>
        <w:t>年度之1億1,145萬餘元，擴增至</w:t>
      </w:r>
      <w:proofErr w:type="gramStart"/>
      <w:r>
        <w:rPr>
          <w:rFonts w:ascii="標楷體" w:eastAsia="標楷體" w:hAnsi="標楷體" w:hint="eastAsia"/>
          <w:szCs w:val="24"/>
        </w:rPr>
        <w:t>113</w:t>
      </w:r>
      <w:proofErr w:type="gramEnd"/>
      <w:r>
        <w:rPr>
          <w:rFonts w:ascii="標楷體" w:eastAsia="標楷體" w:hAnsi="標楷體" w:hint="eastAsia"/>
          <w:szCs w:val="24"/>
        </w:rPr>
        <w:t>年度之2億5,223萬餘元（表3）；2.截至113年底止，該局經管之古蹟及歷史建築等有形文化資產計19筆，其中齊東街日式宿舍等6筆文化資產（占31.58％），已被指定公告為古蹟或歷史建物逾6年至20年不等，惟未依文化資產保存</w:t>
      </w:r>
      <w:r w:rsidRPr="00C335C3">
        <w:rPr>
          <w:rFonts w:ascii="標楷體" w:eastAsia="標楷體" w:hAnsi="標楷體" w:hint="eastAsia"/>
          <w:kern w:val="0"/>
          <w:szCs w:val="24"/>
        </w:rPr>
        <w:t>法第23條第2項及古蹟管理維護辦法第2條第3項及</w:t>
      </w:r>
      <w:r w:rsidR="00C335C3">
        <w:rPr>
          <w:rFonts w:ascii="標楷體" w:eastAsia="標楷體" w:hAnsi="標楷體" w:hint="eastAsia"/>
          <w:szCs w:val="24"/>
        </w:rPr>
        <w:t>第5項、第21條等規定，</w:t>
      </w:r>
      <w:r w:rsidR="00C335C3">
        <w:rPr>
          <w:rFonts w:ascii="標楷體" w:eastAsia="標楷體" w:hAnsi="標楷體" w:hint="eastAsia"/>
          <w:szCs w:val="24"/>
        </w:rPr>
        <w:lastRenderedPageBreak/>
        <w:t>擬訂管</w:t>
      </w:r>
      <w:r>
        <w:rPr>
          <w:rFonts w:ascii="標楷體" w:eastAsia="標楷體" w:hAnsi="標楷體" w:hint="eastAsia"/>
          <w:szCs w:val="24"/>
        </w:rPr>
        <w:t>理維護計畫並報主管機關備查，或既有管理維護計畫已逾5年未依規定重新進行檢討等情事，經函請檢討改善。據復：1.</w:t>
      </w:r>
      <w:r>
        <w:rPr>
          <w:rFonts w:ascii="標楷體" w:eastAsia="標楷體" w:hAnsi="標楷體" w:cs="全字庫正楷體" w:hint="eastAsia"/>
          <w:kern w:val="0"/>
        </w:rPr>
        <w:t>為改善當年度追加預算（中央補助款）與補助案件之執行期程未能相互配合問題，經洽文化部文化資產局並獲同意爾後補助案之補助款支出，擬依執行進度</w:t>
      </w:r>
      <w:proofErr w:type="gramStart"/>
      <w:r>
        <w:rPr>
          <w:rFonts w:ascii="標楷體" w:eastAsia="標楷體" w:hAnsi="標楷體" w:cs="全字庫正楷體" w:hint="eastAsia"/>
          <w:kern w:val="0"/>
        </w:rPr>
        <w:t>採</w:t>
      </w:r>
      <w:proofErr w:type="gramEnd"/>
      <w:r>
        <w:rPr>
          <w:rFonts w:ascii="標楷體" w:eastAsia="標楷體" w:hAnsi="標楷體" w:cs="全字庫正楷體" w:hint="eastAsia"/>
          <w:kern w:val="0"/>
        </w:rPr>
        <w:t>分年編列預算辦理，並於納入預算證明中切結，以確保當年度預算得以全數執行</w:t>
      </w:r>
      <w:r>
        <w:rPr>
          <w:rFonts w:ascii="標楷體" w:eastAsia="標楷體" w:hAnsi="標楷體" w:hint="eastAsia"/>
          <w:szCs w:val="24"/>
        </w:rPr>
        <w:t>；2.案內6處文化資產中，</w:t>
      </w:r>
      <w:r>
        <w:rPr>
          <w:rFonts w:ascii="標楷體" w:eastAsia="標楷體" w:hAnsi="標楷體" w:cs="全字庫正楷體" w:hint="eastAsia"/>
          <w:kern w:val="0"/>
        </w:rPr>
        <w:t>除剝皮</w:t>
      </w:r>
      <w:proofErr w:type="gramStart"/>
      <w:r>
        <w:rPr>
          <w:rFonts w:ascii="標楷體" w:eastAsia="標楷體" w:hAnsi="標楷體" w:cs="全字庫正楷體" w:hint="eastAsia"/>
          <w:kern w:val="0"/>
        </w:rPr>
        <w:t>寮</w:t>
      </w:r>
      <w:proofErr w:type="gramEnd"/>
      <w:r>
        <w:rPr>
          <w:rFonts w:ascii="標楷體" w:eastAsia="標楷體" w:hAnsi="標楷體" w:cs="全字庫正楷體" w:hint="eastAsia"/>
          <w:kern w:val="0"/>
        </w:rPr>
        <w:t>歷史街區</w:t>
      </w:r>
      <w:proofErr w:type="gramStart"/>
      <w:r>
        <w:rPr>
          <w:rFonts w:ascii="標楷體" w:eastAsia="標楷體" w:hAnsi="標楷體" w:cs="全字庫正楷體" w:hint="eastAsia"/>
          <w:kern w:val="0"/>
        </w:rPr>
        <w:t>西側已委託</w:t>
      </w:r>
      <w:proofErr w:type="gramEnd"/>
      <w:r>
        <w:rPr>
          <w:rFonts w:ascii="標楷體" w:eastAsia="標楷體" w:hAnsi="標楷體" w:cs="全字庫正楷體" w:hint="eastAsia"/>
          <w:kern w:val="0"/>
        </w:rPr>
        <w:t>財團法人台北市文化基金會營運管理，將請其儘速提送修正版管理維護計畫外，其餘直轄市定古蹟「齊東街日式宿舍」等5案尚在辦理修復工程中，將</w:t>
      </w:r>
      <w:proofErr w:type="gramStart"/>
      <w:r>
        <w:rPr>
          <w:rFonts w:ascii="標楷體" w:eastAsia="標楷體" w:hAnsi="標楷體" w:cs="全字庫正楷體" w:hint="eastAsia"/>
          <w:kern w:val="0"/>
        </w:rPr>
        <w:t>俟</w:t>
      </w:r>
      <w:proofErr w:type="gramEnd"/>
      <w:r>
        <w:rPr>
          <w:rFonts w:ascii="標楷體" w:eastAsia="標楷體" w:hAnsi="標楷體" w:cs="全字庫正楷體" w:hint="eastAsia"/>
          <w:kern w:val="0"/>
        </w:rPr>
        <w:t>修復完成後再請利用經營單位提送管理維護計畫送該局備查。</w:t>
      </w:r>
    </w:p>
    <w:p w14:paraId="20D6FB9A" w14:textId="77777777" w:rsidR="00436738" w:rsidRDefault="00436738" w:rsidP="00436738">
      <w:pPr>
        <w:spacing w:before="100" w:line="400" w:lineRule="exact"/>
        <w:jc w:val="both"/>
        <w:outlineLvl w:val="2"/>
        <w:rPr>
          <w:rFonts w:ascii="標楷體" w:eastAsia="標楷體" w:hAnsi="Times New Roman" w:cs="Times New Roman"/>
          <w:b/>
          <w:noProof/>
          <w:sz w:val="32"/>
          <w:szCs w:val="32"/>
        </w:rPr>
      </w:pPr>
      <w:r>
        <w:rPr>
          <w:rFonts w:ascii="標楷體" w:eastAsia="標楷體" w:hAnsi="Times New Roman" w:cs="Times New Roman" w:hint="eastAsia"/>
          <w:b/>
          <w:noProof/>
          <w:sz w:val="32"/>
          <w:szCs w:val="32"/>
        </w:rPr>
        <w:t>四、112年度重要審核意見追蹤查核情形</w:t>
      </w:r>
    </w:p>
    <w:p w14:paraId="727F1477" w14:textId="77777777" w:rsidR="00436738" w:rsidRDefault="00436738" w:rsidP="00436738">
      <w:pPr>
        <w:overflowPunct w:val="0"/>
        <w:spacing w:line="400" w:lineRule="exact"/>
        <w:ind w:firstLineChars="200" w:firstLine="480"/>
        <w:jc w:val="both"/>
        <w:rPr>
          <w:rFonts w:ascii="標楷體" w:eastAsia="標楷體" w:hAnsi="Times New Roman" w:cs="Times New Roman"/>
          <w:color w:val="000000"/>
          <w:szCs w:val="24"/>
        </w:rPr>
      </w:pPr>
      <w:r>
        <w:rPr>
          <w:rFonts w:ascii="標楷體" w:eastAsia="標楷體" w:hAnsi="Times New Roman" w:cs="Times New Roman" w:hint="eastAsia"/>
          <w:color w:val="000000"/>
          <w:szCs w:val="24"/>
        </w:rPr>
        <w:t>本處於</w:t>
      </w:r>
      <w:proofErr w:type="gramStart"/>
      <w:r>
        <w:rPr>
          <w:rFonts w:ascii="標楷體" w:eastAsia="標楷體" w:hAnsi="Times New Roman" w:cs="Times New Roman" w:hint="eastAsia"/>
          <w:color w:val="000000"/>
          <w:szCs w:val="24"/>
        </w:rPr>
        <w:t>112</w:t>
      </w:r>
      <w:proofErr w:type="gramEnd"/>
      <w:r>
        <w:rPr>
          <w:rFonts w:ascii="標楷體" w:eastAsia="標楷體" w:hAnsi="Times New Roman" w:cs="Times New Roman" w:hint="eastAsia"/>
          <w:color w:val="000000"/>
          <w:szCs w:val="24"/>
        </w:rPr>
        <w:t>年度審核</w:t>
      </w:r>
      <w:r>
        <w:rPr>
          <w:rFonts w:ascii="標楷體" w:eastAsia="標楷體" w:hAnsi="標楷體" w:cs="Times New Roman" w:hint="eastAsia"/>
          <w:color w:val="000000"/>
        </w:rPr>
        <w:t>報告</w:t>
      </w:r>
      <w:r>
        <w:rPr>
          <w:rFonts w:ascii="標楷體" w:eastAsia="標楷體" w:hAnsi="Times New Roman" w:cs="Times New Roman" w:hint="eastAsia"/>
          <w:color w:val="000000"/>
          <w:szCs w:val="24"/>
        </w:rPr>
        <w:t>內列重要審核意見9項，經</w:t>
      </w:r>
      <w:proofErr w:type="gramStart"/>
      <w:r>
        <w:rPr>
          <w:rFonts w:ascii="標楷體" w:eastAsia="標楷體" w:hAnsi="Times New Roman" w:cs="Times New Roman" w:hint="eastAsia"/>
          <w:color w:val="000000"/>
          <w:szCs w:val="24"/>
        </w:rPr>
        <w:t>賡</w:t>
      </w:r>
      <w:proofErr w:type="gramEnd"/>
      <w:r>
        <w:rPr>
          <w:rFonts w:ascii="標楷體" w:eastAsia="標楷體" w:hAnsi="Times New Roman" w:cs="Times New Roman" w:hint="eastAsia"/>
          <w:color w:val="000000"/>
          <w:szCs w:val="24"/>
        </w:rPr>
        <w:t>續追蹤查核實際辦理結果，仍待繼續改善者3項</w:t>
      </w:r>
      <w:r>
        <w:rPr>
          <w:rFonts w:ascii="細明體" w:eastAsia="細明體" w:hAnsi="細明體" w:cs="Times New Roman" w:hint="eastAsia"/>
          <w:color w:val="000000"/>
          <w:szCs w:val="24"/>
        </w:rPr>
        <w:t>、</w:t>
      </w:r>
      <w:r>
        <w:rPr>
          <w:rFonts w:ascii="標楷體" w:eastAsia="標楷體" w:hAnsi="標楷體" w:cs="Times New Roman" w:hint="eastAsia"/>
          <w:color w:val="000000"/>
          <w:szCs w:val="24"/>
        </w:rPr>
        <w:t>已</w:t>
      </w:r>
      <w:proofErr w:type="gramStart"/>
      <w:r>
        <w:rPr>
          <w:rFonts w:ascii="標楷體" w:eastAsia="標楷體" w:hAnsi="標楷體" w:cs="Times New Roman" w:hint="eastAsia"/>
          <w:color w:val="000000"/>
          <w:szCs w:val="24"/>
        </w:rPr>
        <w:t>研</w:t>
      </w:r>
      <w:proofErr w:type="gramEnd"/>
      <w:r>
        <w:rPr>
          <w:rFonts w:ascii="標楷體" w:eastAsia="標楷體" w:hAnsi="標楷體" w:cs="Times New Roman" w:hint="eastAsia"/>
          <w:color w:val="000000"/>
          <w:szCs w:val="24"/>
        </w:rPr>
        <w:t>謀改善或依改善措施持續辦理者6項（表4），其中仍待繼續改善者，經再</w:t>
      </w:r>
      <w:proofErr w:type="gramStart"/>
      <w:r>
        <w:rPr>
          <w:rFonts w:ascii="標楷體" w:eastAsia="標楷體" w:hAnsi="標楷體" w:cs="Times New Roman" w:hint="eastAsia"/>
          <w:color w:val="000000"/>
          <w:szCs w:val="24"/>
        </w:rPr>
        <w:t>研</w:t>
      </w:r>
      <w:proofErr w:type="gramEnd"/>
      <w:r>
        <w:rPr>
          <w:rFonts w:ascii="標楷體" w:eastAsia="標楷體" w:hAnsi="標楷體" w:cs="Times New Roman" w:hint="eastAsia"/>
          <w:color w:val="000000"/>
          <w:szCs w:val="24"/>
        </w:rPr>
        <w:t>提審核意見3項通知檢討改善</w:t>
      </w:r>
      <w:r>
        <w:rPr>
          <w:rFonts w:ascii="標楷體" w:eastAsia="標楷體" w:hAnsi="Times New Roman" w:cs="Times New Roman" w:hint="eastAsia"/>
          <w:color w:val="000000"/>
          <w:szCs w:val="24"/>
        </w:rPr>
        <w:t>。</w:t>
      </w:r>
    </w:p>
    <w:p w14:paraId="10410B0D" w14:textId="77777777" w:rsidR="00436738" w:rsidRDefault="00436738" w:rsidP="00436738">
      <w:pPr>
        <w:widowControl/>
        <w:snapToGrid w:val="0"/>
        <w:spacing w:before="60" w:line="400" w:lineRule="exact"/>
        <w:jc w:val="center"/>
        <w:rPr>
          <w:rFonts w:ascii="標楷體" w:eastAsia="標楷體" w:hAnsi="標楷體" w:cs="Times New Roman"/>
          <w:b/>
        </w:rPr>
      </w:pPr>
      <w:r>
        <w:rPr>
          <w:rFonts w:ascii="標楷體" w:eastAsia="標楷體" w:hAnsi="標楷體" w:cs="Times New Roman" w:hint="eastAsia"/>
          <w:b/>
        </w:rPr>
        <w:t xml:space="preserve">表4　</w:t>
      </w:r>
      <w:proofErr w:type="gramStart"/>
      <w:r>
        <w:rPr>
          <w:rFonts w:ascii="標楷體" w:eastAsia="標楷體" w:hAnsi="標楷體" w:cs="Times New Roman" w:hint="eastAsia"/>
          <w:b/>
        </w:rPr>
        <w:t>112</w:t>
      </w:r>
      <w:proofErr w:type="gramEnd"/>
      <w:r>
        <w:rPr>
          <w:rFonts w:ascii="標楷體" w:eastAsia="標楷體" w:hAnsi="標楷體" w:cs="Times New Roman" w:hint="eastAsia"/>
          <w:b/>
        </w:rPr>
        <w:t>年度審核報告所列文化局主管重要審核意見覆核辦理情形</w:t>
      </w:r>
    </w:p>
    <w:tbl>
      <w:tblPr>
        <w:tblW w:w="993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379"/>
        <w:gridCol w:w="3552"/>
      </w:tblGrid>
      <w:tr w:rsidR="00436738" w14:paraId="22D8B5BB" w14:textId="77777777" w:rsidTr="00DE1CFA">
        <w:trPr>
          <w:trHeight w:val="283"/>
        </w:trPr>
        <w:tc>
          <w:tcPr>
            <w:tcW w:w="6379" w:type="dxa"/>
            <w:tcBorders>
              <w:top w:val="single" w:sz="4" w:space="0" w:color="auto"/>
              <w:left w:val="single" w:sz="4" w:space="0" w:color="auto"/>
              <w:bottom w:val="single" w:sz="4" w:space="0" w:color="auto"/>
              <w:right w:val="single" w:sz="4" w:space="0" w:color="auto"/>
            </w:tcBorders>
            <w:vAlign w:val="center"/>
            <w:hideMark/>
          </w:tcPr>
          <w:p w14:paraId="2A51A1E7" w14:textId="77777777" w:rsidR="00436738" w:rsidRDefault="00436738">
            <w:pPr>
              <w:widowControl/>
              <w:kinsoku w:val="0"/>
              <w:overflowPunct w:val="0"/>
              <w:spacing w:line="200" w:lineRule="exact"/>
              <w:jc w:val="center"/>
              <w:rPr>
                <w:rFonts w:ascii="標楷體" w:eastAsia="標楷體" w:hAnsi="標楷體" w:cs="Times New Roman"/>
                <w:sz w:val="20"/>
                <w:szCs w:val="24"/>
              </w:rPr>
            </w:pPr>
            <w:r>
              <w:rPr>
                <w:rFonts w:ascii="標楷體" w:eastAsia="標楷體" w:hAnsi="標楷體" w:cs="Times New Roman" w:hint="eastAsia"/>
                <w:sz w:val="20"/>
                <w:szCs w:val="24"/>
              </w:rPr>
              <w:t>重要審核意見標題</w:t>
            </w:r>
          </w:p>
        </w:tc>
        <w:tc>
          <w:tcPr>
            <w:tcW w:w="3552" w:type="dxa"/>
            <w:tcBorders>
              <w:top w:val="single" w:sz="4" w:space="0" w:color="auto"/>
              <w:left w:val="single" w:sz="4" w:space="0" w:color="auto"/>
              <w:bottom w:val="single" w:sz="4" w:space="0" w:color="auto"/>
              <w:right w:val="single" w:sz="4" w:space="0" w:color="auto"/>
            </w:tcBorders>
            <w:vAlign w:val="center"/>
            <w:hideMark/>
          </w:tcPr>
          <w:p w14:paraId="18BCECE4" w14:textId="77777777" w:rsidR="00436738" w:rsidRDefault="00436738">
            <w:pPr>
              <w:widowControl/>
              <w:kinsoku w:val="0"/>
              <w:overflowPunct w:val="0"/>
              <w:spacing w:line="200" w:lineRule="exact"/>
              <w:jc w:val="center"/>
              <w:rPr>
                <w:rFonts w:ascii="標楷體" w:eastAsia="標楷體" w:hAnsi="標楷體" w:cs="Times New Roman"/>
                <w:sz w:val="20"/>
                <w:szCs w:val="24"/>
              </w:rPr>
            </w:pPr>
            <w:r>
              <w:rPr>
                <w:rFonts w:ascii="標楷體" w:eastAsia="標楷體" w:hAnsi="標楷體" w:cs="Times New Roman" w:hint="eastAsia"/>
                <w:sz w:val="20"/>
                <w:szCs w:val="24"/>
              </w:rPr>
              <w:t>說明</w:t>
            </w:r>
          </w:p>
        </w:tc>
      </w:tr>
      <w:tr w:rsidR="00436738" w14:paraId="4A59D969" w14:textId="77777777" w:rsidTr="00DE1CFA">
        <w:trPr>
          <w:trHeight w:val="323"/>
        </w:trPr>
        <w:tc>
          <w:tcPr>
            <w:tcW w:w="6379" w:type="dxa"/>
            <w:tcBorders>
              <w:top w:val="single" w:sz="4" w:space="0" w:color="auto"/>
              <w:left w:val="single" w:sz="4" w:space="0" w:color="auto"/>
              <w:bottom w:val="single" w:sz="4" w:space="0" w:color="auto"/>
              <w:right w:val="single" w:sz="4" w:space="0" w:color="auto"/>
            </w:tcBorders>
            <w:vAlign w:val="center"/>
            <w:hideMark/>
          </w:tcPr>
          <w:p w14:paraId="6EC084AC" w14:textId="77777777" w:rsidR="00436738" w:rsidRDefault="00436738">
            <w:pPr>
              <w:widowControl/>
              <w:kinsoku w:val="0"/>
              <w:overflowPunct w:val="0"/>
              <w:spacing w:line="200" w:lineRule="exact"/>
              <w:ind w:left="200" w:hangingChars="100" w:hanging="200"/>
              <w:jc w:val="both"/>
              <w:rPr>
                <w:rFonts w:ascii="標楷體" w:eastAsia="標楷體" w:hAnsi="標楷體" w:cs="Times New Roman"/>
                <w:sz w:val="20"/>
                <w:szCs w:val="24"/>
              </w:rPr>
            </w:pPr>
            <w:r>
              <w:rPr>
                <w:rFonts w:ascii="標楷體" w:eastAsia="標楷體" w:hAnsi="標楷體" w:cs="Times New Roman" w:hint="eastAsia"/>
                <w:b/>
                <w:sz w:val="20"/>
                <w:szCs w:val="24"/>
              </w:rPr>
              <w:t>仍待繼續改善</w:t>
            </w:r>
          </w:p>
        </w:tc>
        <w:tc>
          <w:tcPr>
            <w:tcW w:w="3552" w:type="dxa"/>
            <w:tcBorders>
              <w:top w:val="single" w:sz="4" w:space="0" w:color="auto"/>
              <w:left w:val="single" w:sz="4" w:space="0" w:color="auto"/>
              <w:bottom w:val="single" w:sz="4" w:space="0" w:color="auto"/>
              <w:right w:val="single" w:sz="4" w:space="0" w:color="auto"/>
            </w:tcBorders>
            <w:vAlign w:val="center"/>
          </w:tcPr>
          <w:p w14:paraId="6AAEAE19" w14:textId="77777777" w:rsidR="00436738" w:rsidRDefault="00436738">
            <w:pPr>
              <w:widowControl/>
              <w:overflowPunct w:val="0"/>
              <w:spacing w:line="240" w:lineRule="exact"/>
              <w:jc w:val="center"/>
              <w:rPr>
                <w:rFonts w:ascii="標楷體" w:eastAsia="標楷體" w:hAnsi="標楷體" w:cs="Times New Roman"/>
                <w:sz w:val="20"/>
                <w:szCs w:val="24"/>
              </w:rPr>
            </w:pPr>
          </w:p>
        </w:tc>
      </w:tr>
      <w:tr w:rsidR="00436738" w14:paraId="5DD682AC" w14:textId="77777777" w:rsidTr="00DE1CFA">
        <w:trPr>
          <w:trHeight w:val="113"/>
        </w:trPr>
        <w:tc>
          <w:tcPr>
            <w:tcW w:w="6379" w:type="dxa"/>
            <w:tcBorders>
              <w:top w:val="single" w:sz="4" w:space="0" w:color="auto"/>
              <w:left w:val="single" w:sz="4" w:space="0" w:color="auto"/>
              <w:bottom w:val="single" w:sz="4" w:space="0" w:color="auto"/>
              <w:right w:val="single" w:sz="4" w:space="0" w:color="auto"/>
            </w:tcBorders>
            <w:vAlign w:val="center"/>
            <w:hideMark/>
          </w:tcPr>
          <w:p w14:paraId="73F6734C" w14:textId="77777777" w:rsidR="00436738" w:rsidRDefault="00436738" w:rsidP="00544F6E">
            <w:pPr>
              <w:widowControl/>
              <w:spacing w:line="240" w:lineRule="exact"/>
              <w:ind w:left="560" w:hangingChars="280" w:hanging="560"/>
              <w:jc w:val="both"/>
              <w:rPr>
                <w:rFonts w:ascii="標楷體" w:eastAsia="標楷體" w:hAnsi="標楷體" w:cs="Times New Roman"/>
                <w:sz w:val="20"/>
                <w:szCs w:val="20"/>
              </w:rPr>
            </w:pPr>
            <w:r>
              <w:rPr>
                <w:rFonts w:ascii="標楷體" w:eastAsia="標楷體" w:hAnsi="標楷體" w:cs="Times New Roman" w:hint="eastAsia"/>
                <w:sz w:val="20"/>
                <w:szCs w:val="20"/>
              </w:rPr>
              <w:t>（一）捐助成立財團法人文化基金會，</w:t>
            </w:r>
            <w:proofErr w:type="gramStart"/>
            <w:r>
              <w:rPr>
                <w:rFonts w:ascii="標楷體" w:eastAsia="標楷體" w:hAnsi="標楷體" w:cs="Times New Roman" w:hint="eastAsia"/>
                <w:sz w:val="20"/>
                <w:szCs w:val="20"/>
              </w:rPr>
              <w:t>推動文創產業</w:t>
            </w:r>
            <w:proofErr w:type="gramEnd"/>
            <w:r>
              <w:rPr>
                <w:rFonts w:ascii="標楷體" w:eastAsia="標楷體" w:hAnsi="標楷體" w:cs="Times New Roman" w:hint="eastAsia"/>
                <w:sz w:val="20"/>
                <w:szCs w:val="20"/>
              </w:rPr>
              <w:t>相關業務等，並且每年補助辦理多項城市藝文活動，惟其受託經營藝文場館、推動影視協拍數位化計畫、興辦影視音實驗教育機構等業務，</w:t>
            </w:r>
            <w:proofErr w:type="gramStart"/>
            <w:r>
              <w:rPr>
                <w:rFonts w:ascii="標楷體" w:eastAsia="標楷體" w:hAnsi="標楷體" w:cs="Times New Roman" w:hint="eastAsia"/>
                <w:sz w:val="20"/>
                <w:szCs w:val="20"/>
              </w:rPr>
              <w:t>間有執行</w:t>
            </w:r>
            <w:proofErr w:type="gramEnd"/>
            <w:r>
              <w:rPr>
                <w:rFonts w:ascii="標楷體" w:eastAsia="標楷體" w:hAnsi="標楷體" w:cs="Times New Roman" w:hint="eastAsia"/>
                <w:sz w:val="20"/>
                <w:szCs w:val="20"/>
              </w:rPr>
              <w:t>成效未盡理想情事，均有待督促檢討改善。</w:t>
            </w:r>
          </w:p>
        </w:tc>
        <w:tc>
          <w:tcPr>
            <w:tcW w:w="3552" w:type="dxa"/>
            <w:tcBorders>
              <w:top w:val="single" w:sz="4" w:space="0" w:color="auto"/>
              <w:left w:val="single" w:sz="4" w:space="0" w:color="auto"/>
              <w:bottom w:val="single" w:sz="4" w:space="0" w:color="auto"/>
              <w:right w:val="single" w:sz="4" w:space="0" w:color="auto"/>
            </w:tcBorders>
            <w:hideMark/>
          </w:tcPr>
          <w:p w14:paraId="50B228DD" w14:textId="77777777" w:rsidR="00436738" w:rsidRDefault="00436738">
            <w:pPr>
              <w:widowControl/>
              <w:overflowPunct w:val="0"/>
              <w:spacing w:line="240" w:lineRule="exact"/>
              <w:jc w:val="both"/>
              <w:rPr>
                <w:rFonts w:ascii="標楷體" w:eastAsia="標楷體" w:hAnsi="標楷體" w:cs="Times New Roman"/>
                <w:sz w:val="20"/>
                <w:szCs w:val="20"/>
              </w:rPr>
            </w:pPr>
            <w:r>
              <w:rPr>
                <w:rFonts w:ascii="標楷體" w:eastAsia="標楷體" w:hAnsi="標楷體" w:cs="Times New Roman" w:hint="eastAsia"/>
                <w:sz w:val="20"/>
                <w:szCs w:val="20"/>
              </w:rPr>
              <w:t>因部分營運單位經營成效改善情形，仍待</w:t>
            </w:r>
            <w:proofErr w:type="gramStart"/>
            <w:r>
              <w:rPr>
                <w:rFonts w:ascii="標楷體" w:eastAsia="標楷體" w:hAnsi="標楷體" w:cs="Times New Roman" w:hint="eastAsia"/>
                <w:sz w:val="20"/>
                <w:szCs w:val="20"/>
              </w:rPr>
              <w:t>賡</w:t>
            </w:r>
            <w:proofErr w:type="gramEnd"/>
            <w:r>
              <w:rPr>
                <w:rFonts w:ascii="標楷體" w:eastAsia="標楷體" w:hAnsi="標楷體" w:cs="Times New Roman" w:hint="eastAsia"/>
                <w:sz w:val="20"/>
                <w:szCs w:val="20"/>
              </w:rPr>
              <w:t>續強化，業再</w:t>
            </w:r>
            <w:proofErr w:type="gramStart"/>
            <w:r>
              <w:rPr>
                <w:rFonts w:ascii="標楷體" w:eastAsia="標楷體" w:hAnsi="標楷體" w:cs="Times New Roman" w:hint="eastAsia"/>
                <w:sz w:val="20"/>
                <w:szCs w:val="20"/>
              </w:rPr>
              <w:t>研</w:t>
            </w:r>
            <w:proofErr w:type="gramEnd"/>
            <w:r>
              <w:rPr>
                <w:rFonts w:ascii="標楷體" w:eastAsia="標楷體" w:hAnsi="標楷體" w:cs="Times New Roman" w:hint="eastAsia"/>
                <w:sz w:val="20"/>
                <w:szCs w:val="20"/>
              </w:rPr>
              <w:t>提審核意見詳「戊、附錄」、「陸、主管機關監督政府捐助之財團法人之查核」之重要審核意見。</w:t>
            </w:r>
          </w:p>
        </w:tc>
      </w:tr>
      <w:tr w:rsidR="00436738" w14:paraId="49F9631E" w14:textId="77777777" w:rsidTr="005D009F">
        <w:trPr>
          <w:trHeight w:hRule="exact" w:val="794"/>
        </w:trPr>
        <w:tc>
          <w:tcPr>
            <w:tcW w:w="6379" w:type="dxa"/>
            <w:tcBorders>
              <w:top w:val="single" w:sz="4" w:space="0" w:color="auto"/>
              <w:left w:val="single" w:sz="4" w:space="0" w:color="auto"/>
              <w:bottom w:val="single" w:sz="4" w:space="0" w:color="auto"/>
              <w:right w:val="single" w:sz="4" w:space="0" w:color="auto"/>
            </w:tcBorders>
            <w:hideMark/>
          </w:tcPr>
          <w:p w14:paraId="095FD8E7" w14:textId="77777777" w:rsidR="00436738" w:rsidRDefault="00436738" w:rsidP="005D009F">
            <w:pPr>
              <w:widowControl/>
              <w:spacing w:line="240" w:lineRule="exact"/>
              <w:ind w:left="560" w:hangingChars="280" w:hanging="560"/>
              <w:jc w:val="both"/>
              <w:rPr>
                <w:rFonts w:ascii="標楷體" w:eastAsia="標楷體" w:hAnsi="標楷體" w:cs="Times New Roman"/>
                <w:sz w:val="20"/>
                <w:szCs w:val="20"/>
              </w:rPr>
            </w:pPr>
            <w:r>
              <w:rPr>
                <w:rFonts w:ascii="標楷體" w:eastAsia="標楷體" w:hAnsi="標楷體" w:cs="Times New Roman" w:hint="eastAsia"/>
                <w:sz w:val="20"/>
                <w:szCs w:val="20"/>
              </w:rPr>
              <w:t>（二）臺北市保存有形文化資產數量龐巨，有關經管維護情形，經核有部分公有文化資產公告後未訂定修復再利用計畫，或於國家文化資產網頁公示</w:t>
            </w:r>
            <w:proofErr w:type="gramStart"/>
            <w:r>
              <w:rPr>
                <w:rFonts w:ascii="標楷體" w:eastAsia="標楷體" w:hAnsi="標楷體" w:cs="Times New Roman" w:hint="eastAsia"/>
                <w:sz w:val="20"/>
                <w:szCs w:val="20"/>
              </w:rPr>
              <w:t>資料間與現況</w:t>
            </w:r>
            <w:proofErr w:type="gramEnd"/>
            <w:r>
              <w:rPr>
                <w:rFonts w:ascii="標楷體" w:eastAsia="標楷體" w:hAnsi="標楷體" w:cs="Times New Roman" w:hint="eastAsia"/>
                <w:sz w:val="20"/>
                <w:szCs w:val="20"/>
              </w:rPr>
              <w:t>未</w:t>
            </w:r>
            <w:proofErr w:type="gramStart"/>
            <w:r>
              <w:rPr>
                <w:rFonts w:ascii="標楷體" w:eastAsia="標楷體" w:hAnsi="標楷體" w:cs="Times New Roman" w:hint="eastAsia"/>
                <w:sz w:val="20"/>
                <w:szCs w:val="20"/>
              </w:rPr>
              <w:t>符等情</w:t>
            </w:r>
            <w:proofErr w:type="gramEnd"/>
            <w:r>
              <w:rPr>
                <w:rFonts w:ascii="標楷體" w:eastAsia="標楷體" w:hAnsi="標楷體" w:cs="Times New Roman" w:hint="eastAsia"/>
                <w:sz w:val="20"/>
                <w:szCs w:val="20"/>
              </w:rPr>
              <w:t>，均有待</w:t>
            </w:r>
            <w:proofErr w:type="gramStart"/>
            <w:r>
              <w:rPr>
                <w:rFonts w:ascii="標楷體" w:eastAsia="標楷體" w:hAnsi="標楷體" w:cs="Times New Roman" w:hint="eastAsia"/>
                <w:sz w:val="20"/>
                <w:szCs w:val="20"/>
              </w:rPr>
              <w:t>研</w:t>
            </w:r>
            <w:proofErr w:type="gramEnd"/>
            <w:r>
              <w:rPr>
                <w:rFonts w:ascii="標楷體" w:eastAsia="標楷體" w:hAnsi="標楷體" w:cs="Times New Roman" w:hint="eastAsia"/>
                <w:sz w:val="20"/>
                <w:szCs w:val="20"/>
              </w:rPr>
              <w:t>謀改善。</w:t>
            </w:r>
          </w:p>
        </w:tc>
        <w:tc>
          <w:tcPr>
            <w:tcW w:w="3552" w:type="dxa"/>
            <w:tcBorders>
              <w:top w:val="single" w:sz="4" w:space="0" w:color="auto"/>
              <w:left w:val="single" w:sz="4" w:space="0" w:color="auto"/>
              <w:bottom w:val="single" w:sz="4" w:space="0" w:color="auto"/>
              <w:right w:val="single" w:sz="4" w:space="0" w:color="auto"/>
            </w:tcBorders>
            <w:hideMark/>
          </w:tcPr>
          <w:p w14:paraId="3D10D648" w14:textId="77777777" w:rsidR="00436738" w:rsidRDefault="00436738">
            <w:pPr>
              <w:widowControl/>
              <w:overflowPunct w:val="0"/>
              <w:spacing w:line="240" w:lineRule="exact"/>
              <w:jc w:val="both"/>
              <w:rPr>
                <w:rFonts w:ascii="標楷體" w:eastAsia="標楷體" w:hAnsi="標楷體" w:cs="Times New Roman"/>
                <w:sz w:val="20"/>
                <w:szCs w:val="20"/>
              </w:rPr>
            </w:pPr>
            <w:r>
              <w:rPr>
                <w:rFonts w:ascii="標楷體" w:eastAsia="標楷體" w:hAnsi="標楷體" w:cs="Times New Roman" w:hint="eastAsia"/>
                <w:sz w:val="20"/>
                <w:szCs w:val="20"/>
              </w:rPr>
              <w:t>因辦理文化資產管理維護作業仍未</w:t>
            </w:r>
            <w:proofErr w:type="gramStart"/>
            <w:r>
              <w:rPr>
                <w:rFonts w:ascii="標楷體" w:eastAsia="標楷體" w:hAnsi="標楷體" w:cs="Times New Roman" w:hint="eastAsia"/>
                <w:sz w:val="20"/>
                <w:szCs w:val="20"/>
              </w:rPr>
              <w:t>臻</w:t>
            </w:r>
            <w:proofErr w:type="gramEnd"/>
            <w:r>
              <w:rPr>
                <w:rFonts w:ascii="標楷體" w:eastAsia="標楷體" w:hAnsi="標楷體" w:cs="Times New Roman" w:hint="eastAsia"/>
                <w:sz w:val="20"/>
                <w:szCs w:val="20"/>
              </w:rPr>
              <w:t>周妥，業再</w:t>
            </w:r>
            <w:proofErr w:type="gramStart"/>
            <w:r>
              <w:rPr>
                <w:rFonts w:ascii="標楷體" w:eastAsia="標楷體" w:hAnsi="標楷體" w:cs="Times New Roman" w:hint="eastAsia"/>
                <w:sz w:val="20"/>
                <w:szCs w:val="20"/>
              </w:rPr>
              <w:t>研</w:t>
            </w:r>
            <w:proofErr w:type="gramEnd"/>
            <w:r>
              <w:rPr>
                <w:rFonts w:ascii="標楷體" w:eastAsia="標楷體" w:hAnsi="標楷體" w:cs="Times New Roman" w:hint="eastAsia"/>
                <w:sz w:val="20"/>
                <w:szCs w:val="20"/>
              </w:rPr>
              <w:t>提審核意見詳「三</w:t>
            </w:r>
            <w:r>
              <w:rPr>
                <w:rFonts w:ascii="細明體" w:eastAsia="細明體" w:hAnsi="細明體" w:cs="Times New Roman" w:hint="eastAsia"/>
                <w:sz w:val="20"/>
                <w:szCs w:val="20"/>
              </w:rPr>
              <w:t>、</w:t>
            </w:r>
            <w:r>
              <w:rPr>
                <w:rFonts w:ascii="標楷體" w:eastAsia="標楷體" w:hAnsi="標楷體" w:cs="Times New Roman" w:hint="eastAsia"/>
                <w:sz w:val="20"/>
                <w:szCs w:val="20"/>
              </w:rPr>
              <w:t>重要審核意見（四）」。</w:t>
            </w:r>
          </w:p>
        </w:tc>
      </w:tr>
      <w:tr w:rsidR="00436738" w14:paraId="074110A0" w14:textId="77777777" w:rsidTr="00DE1CFA">
        <w:trPr>
          <w:trHeight w:val="113"/>
        </w:trPr>
        <w:tc>
          <w:tcPr>
            <w:tcW w:w="6379" w:type="dxa"/>
            <w:tcBorders>
              <w:top w:val="single" w:sz="4" w:space="0" w:color="auto"/>
              <w:left w:val="single" w:sz="4" w:space="0" w:color="auto"/>
              <w:bottom w:val="single" w:sz="4" w:space="0" w:color="auto"/>
              <w:right w:val="single" w:sz="4" w:space="0" w:color="auto"/>
            </w:tcBorders>
            <w:hideMark/>
          </w:tcPr>
          <w:p w14:paraId="7F5C635D" w14:textId="77777777" w:rsidR="00436738" w:rsidRDefault="00436738" w:rsidP="00544F6E">
            <w:pPr>
              <w:widowControl/>
              <w:spacing w:line="240" w:lineRule="exact"/>
              <w:ind w:left="560" w:hangingChars="280" w:hanging="560"/>
              <w:jc w:val="both"/>
              <w:rPr>
                <w:rFonts w:ascii="標楷體" w:eastAsia="標楷體" w:hAnsi="標楷體" w:cs="Times New Roman"/>
                <w:sz w:val="20"/>
                <w:szCs w:val="20"/>
              </w:rPr>
            </w:pPr>
            <w:r>
              <w:rPr>
                <w:rFonts w:ascii="標楷體" w:eastAsia="標楷體" w:hAnsi="標楷體" w:cs="Times New Roman" w:hint="eastAsia"/>
                <w:sz w:val="20"/>
                <w:szCs w:val="20"/>
              </w:rPr>
              <w:t>（三）為應行政法人營運需求，經編列補助預算</w:t>
            </w:r>
            <w:proofErr w:type="gramStart"/>
            <w:r>
              <w:rPr>
                <w:rFonts w:ascii="標楷體" w:eastAsia="標楷體" w:hAnsi="標楷體" w:cs="Times New Roman" w:hint="eastAsia"/>
                <w:sz w:val="20"/>
                <w:szCs w:val="20"/>
              </w:rPr>
              <w:t>挹</w:t>
            </w:r>
            <w:proofErr w:type="gramEnd"/>
            <w:r>
              <w:rPr>
                <w:rFonts w:ascii="標楷體" w:eastAsia="標楷體" w:hAnsi="標楷體" w:cs="Times New Roman" w:hint="eastAsia"/>
                <w:sz w:val="20"/>
                <w:szCs w:val="20"/>
              </w:rPr>
              <w:t>注營運，並無償提供市有房地，經核有資本支出預算執行率偏低，或尚未完成財產帳移轉作業，影響財務資訊充分揭露，均有待</w:t>
            </w:r>
            <w:proofErr w:type="gramStart"/>
            <w:r>
              <w:rPr>
                <w:rFonts w:ascii="標楷體" w:eastAsia="標楷體" w:hAnsi="標楷體" w:cs="Times New Roman" w:hint="eastAsia"/>
                <w:sz w:val="20"/>
                <w:szCs w:val="20"/>
              </w:rPr>
              <w:t>檢討妥處</w:t>
            </w:r>
            <w:proofErr w:type="gramEnd"/>
            <w:r>
              <w:rPr>
                <w:rFonts w:ascii="標楷體" w:eastAsia="標楷體" w:hAnsi="標楷體" w:cs="Times New Roman" w:hint="eastAsia"/>
                <w:sz w:val="20"/>
                <w:szCs w:val="20"/>
              </w:rPr>
              <w:t>。</w:t>
            </w:r>
          </w:p>
        </w:tc>
        <w:tc>
          <w:tcPr>
            <w:tcW w:w="3552" w:type="dxa"/>
            <w:tcBorders>
              <w:top w:val="single" w:sz="4" w:space="0" w:color="auto"/>
              <w:left w:val="single" w:sz="4" w:space="0" w:color="auto"/>
              <w:bottom w:val="single" w:sz="4" w:space="0" w:color="auto"/>
              <w:right w:val="single" w:sz="4" w:space="0" w:color="auto"/>
            </w:tcBorders>
            <w:hideMark/>
          </w:tcPr>
          <w:p w14:paraId="165CF574" w14:textId="77777777" w:rsidR="00436738" w:rsidRDefault="00436738">
            <w:pPr>
              <w:widowControl/>
              <w:overflowPunct w:val="0"/>
              <w:spacing w:line="240" w:lineRule="exact"/>
              <w:jc w:val="both"/>
              <w:rPr>
                <w:rFonts w:ascii="標楷體" w:eastAsia="標楷體" w:hAnsi="標楷體" w:cs="Times New Roman"/>
                <w:sz w:val="20"/>
                <w:szCs w:val="20"/>
              </w:rPr>
            </w:pPr>
            <w:r>
              <w:rPr>
                <w:rFonts w:ascii="標楷體" w:eastAsia="標楷體" w:hAnsi="標楷體" w:cs="Times New Roman" w:hint="eastAsia"/>
                <w:sz w:val="20"/>
                <w:szCs w:val="20"/>
              </w:rPr>
              <w:t>因</w:t>
            </w:r>
            <w:proofErr w:type="gramStart"/>
            <w:r>
              <w:rPr>
                <w:rFonts w:ascii="標楷體" w:eastAsia="標楷體" w:hAnsi="標楷體" w:cs="Times New Roman" w:hint="eastAsia"/>
                <w:sz w:val="20"/>
                <w:szCs w:val="20"/>
              </w:rPr>
              <w:t>臺</w:t>
            </w:r>
            <w:proofErr w:type="gramEnd"/>
            <w:r>
              <w:rPr>
                <w:rFonts w:ascii="標楷體" w:eastAsia="標楷體" w:hAnsi="標楷體" w:cs="Times New Roman" w:hint="eastAsia"/>
                <w:sz w:val="20"/>
                <w:szCs w:val="20"/>
              </w:rPr>
              <w:t>北表演藝術中心執行文化局補助預算成效</w:t>
            </w:r>
            <w:proofErr w:type="gramStart"/>
            <w:r>
              <w:rPr>
                <w:rFonts w:ascii="標楷體" w:eastAsia="標楷體" w:hAnsi="標楷體" w:cs="Times New Roman" w:hint="eastAsia"/>
                <w:sz w:val="20"/>
                <w:szCs w:val="20"/>
              </w:rPr>
              <w:t>依舊欠彰</w:t>
            </w:r>
            <w:proofErr w:type="gramEnd"/>
            <w:r>
              <w:rPr>
                <w:rFonts w:ascii="標楷體" w:eastAsia="標楷體" w:hAnsi="標楷體" w:cs="Times New Roman" w:hint="eastAsia"/>
                <w:sz w:val="20"/>
                <w:szCs w:val="20"/>
              </w:rPr>
              <w:t>，業再</w:t>
            </w:r>
            <w:proofErr w:type="gramStart"/>
            <w:r>
              <w:rPr>
                <w:rFonts w:ascii="標楷體" w:eastAsia="標楷體" w:hAnsi="標楷體" w:cs="Times New Roman" w:hint="eastAsia"/>
                <w:sz w:val="20"/>
                <w:szCs w:val="20"/>
              </w:rPr>
              <w:t>研</w:t>
            </w:r>
            <w:proofErr w:type="gramEnd"/>
            <w:r>
              <w:rPr>
                <w:rFonts w:ascii="標楷體" w:eastAsia="標楷體" w:hAnsi="標楷體" w:cs="Times New Roman" w:hint="eastAsia"/>
                <w:sz w:val="20"/>
                <w:szCs w:val="20"/>
              </w:rPr>
              <w:t>提審核意見詳「戊、附錄」、「伍、行政法人年度決算之查核」、「二、文化局監督部分」、「（二）</w:t>
            </w:r>
            <w:proofErr w:type="gramStart"/>
            <w:r>
              <w:rPr>
                <w:rFonts w:ascii="標楷體" w:eastAsia="標楷體" w:hAnsi="標楷體" w:cs="Times New Roman" w:hint="eastAsia"/>
                <w:sz w:val="20"/>
                <w:szCs w:val="20"/>
              </w:rPr>
              <w:t>臺</w:t>
            </w:r>
            <w:proofErr w:type="gramEnd"/>
            <w:r>
              <w:rPr>
                <w:rFonts w:ascii="標楷體" w:eastAsia="標楷體" w:hAnsi="標楷體" w:cs="Times New Roman" w:hint="eastAsia"/>
                <w:sz w:val="20"/>
                <w:szCs w:val="20"/>
              </w:rPr>
              <w:t>北表演藝術中心」之重要審核意見。</w:t>
            </w:r>
          </w:p>
        </w:tc>
      </w:tr>
      <w:tr w:rsidR="00436738" w14:paraId="587F0C77" w14:textId="77777777" w:rsidTr="00DE1CFA">
        <w:trPr>
          <w:trHeight w:val="340"/>
        </w:trPr>
        <w:tc>
          <w:tcPr>
            <w:tcW w:w="6379" w:type="dxa"/>
            <w:tcBorders>
              <w:top w:val="single" w:sz="4" w:space="0" w:color="auto"/>
              <w:left w:val="single" w:sz="4" w:space="0" w:color="auto"/>
              <w:bottom w:val="single" w:sz="4" w:space="0" w:color="auto"/>
              <w:right w:val="single" w:sz="4" w:space="0" w:color="auto"/>
            </w:tcBorders>
            <w:vAlign w:val="center"/>
            <w:hideMark/>
          </w:tcPr>
          <w:p w14:paraId="6627876A" w14:textId="77777777" w:rsidR="00436738" w:rsidRDefault="00436738">
            <w:pPr>
              <w:widowControl/>
              <w:spacing w:line="240" w:lineRule="exact"/>
              <w:rPr>
                <w:rFonts w:ascii="標楷體" w:eastAsia="標楷體" w:hAnsi="標楷體" w:cs="Times New Roman"/>
                <w:b/>
                <w:sz w:val="20"/>
                <w:szCs w:val="24"/>
              </w:rPr>
            </w:pPr>
            <w:r>
              <w:rPr>
                <w:rFonts w:ascii="標楷體" w:eastAsia="標楷體" w:hAnsi="標楷體" w:cs="Times New Roman" w:hint="eastAsia"/>
                <w:b/>
                <w:sz w:val="20"/>
                <w:szCs w:val="24"/>
              </w:rPr>
              <w:t>已</w:t>
            </w:r>
            <w:proofErr w:type="gramStart"/>
            <w:r>
              <w:rPr>
                <w:rFonts w:ascii="標楷體" w:eastAsia="標楷體" w:hAnsi="標楷體" w:cs="Times New Roman" w:hint="eastAsia"/>
                <w:b/>
                <w:sz w:val="20"/>
                <w:szCs w:val="24"/>
              </w:rPr>
              <w:t>研</w:t>
            </w:r>
            <w:proofErr w:type="gramEnd"/>
            <w:r>
              <w:rPr>
                <w:rFonts w:ascii="標楷體" w:eastAsia="標楷體" w:hAnsi="標楷體" w:cs="Times New Roman" w:hint="eastAsia"/>
                <w:b/>
                <w:sz w:val="20"/>
                <w:szCs w:val="24"/>
              </w:rPr>
              <w:t>謀改善或依改善措施持續辦理</w:t>
            </w:r>
          </w:p>
        </w:tc>
        <w:tc>
          <w:tcPr>
            <w:tcW w:w="3552" w:type="dxa"/>
            <w:tcBorders>
              <w:top w:val="single" w:sz="4" w:space="0" w:color="auto"/>
              <w:left w:val="single" w:sz="4" w:space="0" w:color="auto"/>
              <w:bottom w:val="single" w:sz="4" w:space="0" w:color="auto"/>
              <w:right w:val="single" w:sz="4" w:space="0" w:color="auto"/>
            </w:tcBorders>
            <w:vAlign w:val="center"/>
          </w:tcPr>
          <w:p w14:paraId="1582DDAE" w14:textId="77777777" w:rsidR="00436738" w:rsidRDefault="00436738">
            <w:pPr>
              <w:widowControl/>
              <w:spacing w:line="240" w:lineRule="exact"/>
              <w:jc w:val="both"/>
              <w:rPr>
                <w:rFonts w:ascii="標楷體" w:eastAsia="標楷體" w:hAnsi="標楷體" w:cs="Times New Roman"/>
                <w:sz w:val="20"/>
                <w:szCs w:val="24"/>
                <w:highlight w:val="yellow"/>
              </w:rPr>
            </w:pPr>
          </w:p>
        </w:tc>
      </w:tr>
      <w:tr w:rsidR="00436738" w14:paraId="75289151" w14:textId="77777777" w:rsidTr="00DE1CFA">
        <w:trPr>
          <w:trHeight w:val="20"/>
        </w:trPr>
        <w:tc>
          <w:tcPr>
            <w:tcW w:w="6379" w:type="dxa"/>
            <w:tcBorders>
              <w:top w:val="single" w:sz="4" w:space="0" w:color="auto"/>
              <w:left w:val="single" w:sz="4" w:space="0" w:color="auto"/>
              <w:bottom w:val="single" w:sz="4" w:space="0" w:color="auto"/>
              <w:right w:val="single" w:sz="4" w:space="0" w:color="auto"/>
            </w:tcBorders>
            <w:vAlign w:val="center"/>
            <w:hideMark/>
          </w:tcPr>
          <w:p w14:paraId="1D0E0A2C" w14:textId="77777777" w:rsidR="00436738" w:rsidRDefault="00436738">
            <w:pPr>
              <w:widowControl/>
              <w:spacing w:line="240" w:lineRule="exact"/>
              <w:ind w:left="590" w:hangingChars="295" w:hanging="590"/>
              <w:jc w:val="both"/>
              <w:rPr>
                <w:rFonts w:ascii="標楷體" w:eastAsia="標楷體" w:hAnsi="標楷體" w:cs="Times New Roman"/>
                <w:sz w:val="20"/>
                <w:szCs w:val="20"/>
              </w:rPr>
            </w:pPr>
            <w:r>
              <w:rPr>
                <w:rFonts w:ascii="標楷體" w:eastAsia="標楷體" w:hAnsi="標楷體" w:cs="Times New Roman" w:hint="eastAsia"/>
                <w:sz w:val="20"/>
                <w:szCs w:val="20"/>
              </w:rPr>
              <w:t>（一）為提升國內影視音產業之創新能力，推動北投影視音產業園區計畫，惟可行性評估及財務規劃欠周，招商逾9年仍未完成簽約，且未妥善利用高價土地，影響施政效能。</w:t>
            </w:r>
          </w:p>
        </w:tc>
        <w:tc>
          <w:tcPr>
            <w:tcW w:w="3552" w:type="dxa"/>
            <w:vMerge w:val="restart"/>
            <w:tcBorders>
              <w:top w:val="single" w:sz="4" w:space="0" w:color="auto"/>
              <w:left w:val="single" w:sz="4" w:space="0" w:color="auto"/>
              <w:bottom w:val="single" w:sz="4" w:space="0" w:color="auto"/>
              <w:right w:val="single" w:sz="4" w:space="0" w:color="auto"/>
              <w:tl2br w:val="single" w:sz="4" w:space="0" w:color="auto"/>
            </w:tcBorders>
          </w:tcPr>
          <w:p w14:paraId="3EA904C3" w14:textId="77777777" w:rsidR="00436738" w:rsidRDefault="00436738">
            <w:pPr>
              <w:widowControl/>
              <w:spacing w:line="240" w:lineRule="exact"/>
              <w:jc w:val="both"/>
              <w:rPr>
                <w:rFonts w:ascii="標楷體" w:eastAsia="標楷體" w:hAnsi="標楷體" w:cs="Times New Roman"/>
                <w:sz w:val="20"/>
                <w:szCs w:val="20"/>
                <w:highlight w:val="yellow"/>
              </w:rPr>
            </w:pPr>
          </w:p>
        </w:tc>
      </w:tr>
      <w:tr w:rsidR="00436738" w14:paraId="46EE49CB" w14:textId="77777777" w:rsidTr="00DE1CFA">
        <w:trPr>
          <w:trHeight w:val="20"/>
        </w:trPr>
        <w:tc>
          <w:tcPr>
            <w:tcW w:w="6379" w:type="dxa"/>
            <w:tcBorders>
              <w:top w:val="single" w:sz="4" w:space="0" w:color="auto"/>
              <w:left w:val="single" w:sz="4" w:space="0" w:color="auto"/>
              <w:bottom w:val="single" w:sz="4" w:space="0" w:color="auto"/>
              <w:right w:val="single" w:sz="4" w:space="0" w:color="auto"/>
            </w:tcBorders>
            <w:vAlign w:val="center"/>
            <w:hideMark/>
          </w:tcPr>
          <w:p w14:paraId="305BC085" w14:textId="77777777" w:rsidR="00436738" w:rsidRDefault="00436738">
            <w:pPr>
              <w:widowControl/>
              <w:spacing w:line="240" w:lineRule="exact"/>
              <w:ind w:left="590" w:hangingChars="295" w:hanging="590"/>
              <w:jc w:val="both"/>
              <w:rPr>
                <w:rFonts w:ascii="標楷體" w:eastAsia="標楷體" w:hAnsi="標楷體" w:cs="Times New Roman"/>
                <w:sz w:val="20"/>
                <w:szCs w:val="20"/>
              </w:rPr>
            </w:pPr>
            <w:r>
              <w:rPr>
                <w:rFonts w:ascii="標楷體" w:eastAsia="標楷體" w:hAnsi="標楷體" w:cs="Times New Roman" w:hint="eastAsia"/>
                <w:sz w:val="20"/>
                <w:szCs w:val="20"/>
              </w:rPr>
              <w:t>（二）</w:t>
            </w:r>
            <w:proofErr w:type="gramStart"/>
            <w:r>
              <w:rPr>
                <w:rFonts w:ascii="標楷體" w:eastAsia="標楷體" w:hAnsi="標楷體" w:cs="Times New Roman" w:hint="eastAsia"/>
                <w:sz w:val="20"/>
                <w:szCs w:val="20"/>
              </w:rPr>
              <w:t>112</w:t>
            </w:r>
            <w:proofErr w:type="gramEnd"/>
            <w:r>
              <w:rPr>
                <w:rFonts w:ascii="標楷體" w:eastAsia="標楷體" w:hAnsi="標楷體" w:cs="Times New Roman" w:hint="eastAsia"/>
                <w:sz w:val="20"/>
                <w:szCs w:val="20"/>
              </w:rPr>
              <w:t>年度委外經營藝文場館結果，收支短</w:t>
            </w:r>
            <w:proofErr w:type="gramStart"/>
            <w:r>
              <w:rPr>
                <w:rFonts w:ascii="標楷體" w:eastAsia="標楷體" w:hAnsi="標楷體" w:cs="Times New Roman" w:hint="eastAsia"/>
                <w:sz w:val="20"/>
                <w:szCs w:val="20"/>
              </w:rPr>
              <w:t>絀</w:t>
            </w:r>
            <w:proofErr w:type="gramEnd"/>
            <w:r>
              <w:rPr>
                <w:rFonts w:ascii="標楷體" w:eastAsia="標楷體" w:hAnsi="標楷體" w:cs="Times New Roman" w:hint="eastAsia"/>
                <w:sz w:val="20"/>
                <w:szCs w:val="20"/>
              </w:rPr>
              <w:t>者雖已減少，惟仍有部</w:t>
            </w:r>
            <w:proofErr w:type="gramStart"/>
            <w:r>
              <w:rPr>
                <w:rFonts w:ascii="標楷體" w:eastAsia="標楷體" w:hAnsi="標楷體" w:cs="Times New Roman" w:hint="eastAsia"/>
                <w:sz w:val="20"/>
                <w:szCs w:val="20"/>
              </w:rPr>
              <w:t>分場館參訪</w:t>
            </w:r>
            <w:proofErr w:type="gramEnd"/>
            <w:r>
              <w:rPr>
                <w:rFonts w:ascii="標楷體" w:eastAsia="標楷體" w:hAnsi="標楷體" w:cs="Times New Roman" w:hint="eastAsia"/>
                <w:sz w:val="20"/>
                <w:szCs w:val="20"/>
              </w:rPr>
              <w:t>人次較</w:t>
            </w:r>
            <w:proofErr w:type="gramStart"/>
            <w:r>
              <w:rPr>
                <w:rFonts w:ascii="標楷體" w:eastAsia="標楷體" w:hAnsi="標楷體" w:cs="Times New Roman" w:hint="eastAsia"/>
                <w:sz w:val="20"/>
                <w:szCs w:val="20"/>
              </w:rPr>
              <w:t>疫情前</w:t>
            </w:r>
            <w:proofErr w:type="gramEnd"/>
            <w:r>
              <w:rPr>
                <w:rFonts w:ascii="標楷體" w:eastAsia="標楷體" w:hAnsi="標楷體" w:cs="Times New Roman" w:hint="eastAsia"/>
                <w:sz w:val="20"/>
                <w:szCs w:val="20"/>
              </w:rPr>
              <w:t>減少；又舉辦藝文節慶</w:t>
            </w:r>
            <w:proofErr w:type="gramStart"/>
            <w:r>
              <w:rPr>
                <w:rFonts w:ascii="標楷體" w:eastAsia="標楷體" w:hAnsi="標楷體" w:cs="Times New Roman" w:hint="eastAsia"/>
                <w:sz w:val="20"/>
                <w:szCs w:val="20"/>
              </w:rPr>
              <w:t>活動間有未能</w:t>
            </w:r>
            <w:proofErr w:type="gramEnd"/>
            <w:r>
              <w:rPr>
                <w:rFonts w:ascii="標楷體" w:eastAsia="標楷體" w:hAnsi="標楷體" w:cs="Times New Roman" w:hint="eastAsia"/>
                <w:sz w:val="20"/>
                <w:szCs w:val="20"/>
              </w:rPr>
              <w:t>善用場館提供公益回饋資源等情事，均有待</w:t>
            </w:r>
            <w:proofErr w:type="gramStart"/>
            <w:r>
              <w:rPr>
                <w:rFonts w:ascii="標楷體" w:eastAsia="標楷體" w:hAnsi="標楷體" w:cs="Times New Roman" w:hint="eastAsia"/>
                <w:sz w:val="20"/>
                <w:szCs w:val="20"/>
              </w:rPr>
              <w:t>研</w:t>
            </w:r>
            <w:proofErr w:type="gramEnd"/>
            <w:r>
              <w:rPr>
                <w:rFonts w:ascii="標楷體" w:eastAsia="標楷體" w:hAnsi="標楷體" w:cs="Times New Roman" w:hint="eastAsia"/>
                <w:sz w:val="20"/>
                <w:szCs w:val="20"/>
              </w:rPr>
              <w:t>謀改善。</w:t>
            </w:r>
          </w:p>
        </w:tc>
        <w:tc>
          <w:tcPr>
            <w:tcW w:w="3552" w:type="dxa"/>
            <w:vMerge/>
            <w:tcBorders>
              <w:top w:val="single" w:sz="4" w:space="0" w:color="auto"/>
              <w:left w:val="single" w:sz="4" w:space="0" w:color="auto"/>
              <w:bottom w:val="single" w:sz="4" w:space="0" w:color="auto"/>
              <w:right w:val="single" w:sz="4" w:space="0" w:color="auto"/>
            </w:tcBorders>
            <w:vAlign w:val="center"/>
            <w:hideMark/>
          </w:tcPr>
          <w:p w14:paraId="4AF57DF7" w14:textId="77777777" w:rsidR="00436738" w:rsidRDefault="00436738">
            <w:pPr>
              <w:widowControl/>
              <w:rPr>
                <w:rFonts w:ascii="標楷體" w:eastAsia="標楷體" w:hAnsi="標楷體" w:cs="Times New Roman"/>
                <w:sz w:val="20"/>
                <w:szCs w:val="20"/>
                <w:highlight w:val="yellow"/>
              </w:rPr>
            </w:pPr>
          </w:p>
        </w:tc>
      </w:tr>
      <w:tr w:rsidR="00436738" w14:paraId="701E252B" w14:textId="77777777" w:rsidTr="00DE1CFA">
        <w:trPr>
          <w:trHeight w:val="20"/>
        </w:trPr>
        <w:tc>
          <w:tcPr>
            <w:tcW w:w="6379" w:type="dxa"/>
            <w:tcBorders>
              <w:top w:val="single" w:sz="4" w:space="0" w:color="auto"/>
              <w:left w:val="single" w:sz="4" w:space="0" w:color="auto"/>
              <w:bottom w:val="single" w:sz="4" w:space="0" w:color="auto"/>
              <w:right w:val="single" w:sz="4" w:space="0" w:color="auto"/>
            </w:tcBorders>
            <w:vAlign w:val="center"/>
            <w:hideMark/>
          </w:tcPr>
          <w:p w14:paraId="3E91BB26" w14:textId="77777777" w:rsidR="00436738" w:rsidRDefault="00436738">
            <w:pPr>
              <w:widowControl/>
              <w:spacing w:line="240" w:lineRule="exact"/>
              <w:ind w:left="590" w:hangingChars="295" w:hanging="590"/>
              <w:jc w:val="both"/>
              <w:rPr>
                <w:rFonts w:ascii="標楷體" w:eastAsia="標楷體" w:hAnsi="標楷體" w:cs="Times New Roman"/>
                <w:sz w:val="20"/>
                <w:szCs w:val="20"/>
              </w:rPr>
            </w:pPr>
            <w:r>
              <w:rPr>
                <w:rFonts w:ascii="標楷體" w:eastAsia="標楷體" w:hAnsi="標楷體" w:cs="Times New Roman" w:hint="eastAsia"/>
                <w:sz w:val="20"/>
                <w:szCs w:val="20"/>
              </w:rPr>
              <w:t>（三）</w:t>
            </w:r>
            <w:r w:rsidRPr="008F4C9B">
              <w:rPr>
                <w:rFonts w:ascii="標楷體" w:eastAsia="標楷體" w:hAnsi="標楷體" w:cs="Times New Roman" w:hint="eastAsia"/>
                <w:spacing w:val="2"/>
                <w:sz w:val="20"/>
                <w:szCs w:val="20"/>
              </w:rPr>
              <w:t>為深耕文化藝術發展，長年舉辦詩歌節及爵士音樂節，並累積相當經驗及口碑，惟參與人次遞減，有待檢討改進，以厚植藝文節慶內涵。</w:t>
            </w:r>
          </w:p>
        </w:tc>
        <w:tc>
          <w:tcPr>
            <w:tcW w:w="3552" w:type="dxa"/>
            <w:vMerge/>
            <w:tcBorders>
              <w:top w:val="single" w:sz="4" w:space="0" w:color="auto"/>
              <w:left w:val="single" w:sz="4" w:space="0" w:color="auto"/>
              <w:bottom w:val="single" w:sz="4" w:space="0" w:color="auto"/>
              <w:right w:val="single" w:sz="4" w:space="0" w:color="auto"/>
            </w:tcBorders>
            <w:vAlign w:val="center"/>
            <w:hideMark/>
          </w:tcPr>
          <w:p w14:paraId="77C588CD" w14:textId="77777777" w:rsidR="00436738" w:rsidRDefault="00436738">
            <w:pPr>
              <w:widowControl/>
              <w:rPr>
                <w:rFonts w:ascii="標楷體" w:eastAsia="標楷體" w:hAnsi="標楷體" w:cs="Times New Roman"/>
                <w:sz w:val="20"/>
                <w:szCs w:val="20"/>
                <w:highlight w:val="yellow"/>
              </w:rPr>
            </w:pPr>
          </w:p>
        </w:tc>
      </w:tr>
      <w:tr w:rsidR="00436738" w14:paraId="4F0E1CE8" w14:textId="77777777" w:rsidTr="00DE1CFA">
        <w:trPr>
          <w:trHeight w:val="20"/>
        </w:trPr>
        <w:tc>
          <w:tcPr>
            <w:tcW w:w="6379" w:type="dxa"/>
            <w:tcBorders>
              <w:top w:val="single" w:sz="4" w:space="0" w:color="auto"/>
              <w:left w:val="single" w:sz="4" w:space="0" w:color="auto"/>
              <w:bottom w:val="single" w:sz="4" w:space="0" w:color="auto"/>
              <w:right w:val="single" w:sz="4" w:space="0" w:color="auto"/>
            </w:tcBorders>
            <w:vAlign w:val="center"/>
            <w:hideMark/>
          </w:tcPr>
          <w:p w14:paraId="4F84D6D6" w14:textId="77777777" w:rsidR="00436738" w:rsidRDefault="00436738" w:rsidP="00315E84">
            <w:pPr>
              <w:widowControl/>
              <w:spacing w:line="240" w:lineRule="exact"/>
              <w:ind w:left="580" w:hangingChars="290" w:hanging="580"/>
              <w:jc w:val="both"/>
              <w:rPr>
                <w:rFonts w:ascii="標楷體" w:eastAsia="標楷體" w:hAnsi="標楷體" w:cs="Times New Roman"/>
                <w:sz w:val="20"/>
                <w:szCs w:val="20"/>
              </w:rPr>
            </w:pPr>
            <w:r>
              <w:rPr>
                <w:rFonts w:ascii="標楷體" w:eastAsia="標楷體" w:hAnsi="標楷體" w:cs="Times New Roman" w:hint="eastAsia"/>
                <w:sz w:val="20"/>
                <w:szCs w:val="20"/>
              </w:rPr>
              <w:t>（四）為推動公共藝術，依法設置公共藝術基金，累積公共藝術作品745件，以落實文化藝術零距離目標，惟經核公共藝術之教育推廣仍有待強化，列管公共藝術案件機制尚未</w:t>
            </w:r>
            <w:proofErr w:type="gramStart"/>
            <w:r>
              <w:rPr>
                <w:rFonts w:ascii="標楷體" w:eastAsia="標楷體" w:hAnsi="標楷體" w:cs="Times New Roman" w:hint="eastAsia"/>
                <w:sz w:val="20"/>
                <w:szCs w:val="20"/>
              </w:rPr>
              <w:t>臻</w:t>
            </w:r>
            <w:proofErr w:type="gramEnd"/>
            <w:r>
              <w:rPr>
                <w:rFonts w:ascii="標楷體" w:eastAsia="標楷體" w:hAnsi="標楷體" w:cs="Times New Roman" w:hint="eastAsia"/>
                <w:sz w:val="20"/>
                <w:szCs w:val="20"/>
              </w:rPr>
              <w:t>完善，基金收入預算之編列與執行存有落差等情。</w:t>
            </w:r>
          </w:p>
        </w:tc>
        <w:tc>
          <w:tcPr>
            <w:tcW w:w="3552" w:type="dxa"/>
            <w:vMerge/>
            <w:tcBorders>
              <w:top w:val="single" w:sz="4" w:space="0" w:color="auto"/>
              <w:left w:val="single" w:sz="4" w:space="0" w:color="auto"/>
              <w:bottom w:val="single" w:sz="4" w:space="0" w:color="auto"/>
              <w:right w:val="single" w:sz="4" w:space="0" w:color="auto"/>
            </w:tcBorders>
            <w:vAlign w:val="center"/>
            <w:hideMark/>
          </w:tcPr>
          <w:p w14:paraId="36329F18" w14:textId="77777777" w:rsidR="00436738" w:rsidRDefault="00436738">
            <w:pPr>
              <w:widowControl/>
              <w:rPr>
                <w:rFonts w:ascii="標楷體" w:eastAsia="標楷體" w:hAnsi="標楷體" w:cs="Times New Roman"/>
                <w:sz w:val="20"/>
                <w:szCs w:val="20"/>
                <w:highlight w:val="yellow"/>
              </w:rPr>
            </w:pPr>
          </w:p>
        </w:tc>
      </w:tr>
      <w:tr w:rsidR="00436738" w14:paraId="1715ECB0" w14:textId="77777777" w:rsidTr="00DE1CFA">
        <w:trPr>
          <w:trHeight w:val="20"/>
        </w:trPr>
        <w:tc>
          <w:tcPr>
            <w:tcW w:w="6379" w:type="dxa"/>
            <w:tcBorders>
              <w:top w:val="single" w:sz="4" w:space="0" w:color="auto"/>
              <w:left w:val="single" w:sz="4" w:space="0" w:color="auto"/>
              <w:bottom w:val="single" w:sz="4" w:space="0" w:color="auto"/>
              <w:right w:val="single" w:sz="4" w:space="0" w:color="auto"/>
            </w:tcBorders>
            <w:vAlign w:val="center"/>
            <w:hideMark/>
          </w:tcPr>
          <w:p w14:paraId="6B77CB2B" w14:textId="77777777" w:rsidR="00436738" w:rsidRDefault="00436738">
            <w:pPr>
              <w:widowControl/>
              <w:spacing w:line="240" w:lineRule="exact"/>
              <w:ind w:left="590" w:hangingChars="295" w:hanging="590"/>
              <w:jc w:val="both"/>
              <w:rPr>
                <w:rFonts w:ascii="標楷體" w:eastAsia="標楷體" w:hAnsi="標楷體" w:cs="Times New Roman"/>
                <w:sz w:val="20"/>
                <w:szCs w:val="20"/>
              </w:rPr>
            </w:pPr>
            <w:r>
              <w:rPr>
                <w:rFonts w:ascii="標楷體" w:eastAsia="標楷體" w:hAnsi="標楷體" w:cs="Times New Roman" w:hint="eastAsia"/>
                <w:sz w:val="20"/>
                <w:szCs w:val="20"/>
              </w:rPr>
              <w:t>（五）為推動文化觀光發展，延續以無圍牆博物館概念，推出36處文化點，其中有8處文化點未規劃串聯遊程，致無法透過</w:t>
            </w:r>
            <w:proofErr w:type="gramStart"/>
            <w:r>
              <w:rPr>
                <w:rFonts w:ascii="標楷體" w:eastAsia="標楷體" w:hAnsi="標楷體" w:cs="Times New Roman" w:hint="eastAsia"/>
                <w:sz w:val="20"/>
                <w:szCs w:val="20"/>
              </w:rPr>
              <w:t>臺</w:t>
            </w:r>
            <w:proofErr w:type="gramEnd"/>
            <w:r>
              <w:rPr>
                <w:rFonts w:ascii="標楷體" w:eastAsia="標楷體" w:hAnsi="標楷體" w:cs="Times New Roman" w:hint="eastAsia"/>
                <w:sz w:val="20"/>
                <w:szCs w:val="20"/>
              </w:rPr>
              <w:t>北旅遊網加強宣傳，另約三成有形文化資產之文化點尚未提供導</w:t>
            </w:r>
            <w:proofErr w:type="gramStart"/>
            <w:r>
              <w:rPr>
                <w:rFonts w:ascii="標楷體" w:eastAsia="標楷體" w:hAnsi="標楷體" w:cs="Times New Roman" w:hint="eastAsia"/>
                <w:sz w:val="20"/>
                <w:szCs w:val="20"/>
              </w:rPr>
              <w:t>覽</w:t>
            </w:r>
            <w:proofErr w:type="gramEnd"/>
            <w:r>
              <w:rPr>
                <w:rFonts w:ascii="標楷體" w:eastAsia="標楷體" w:hAnsi="標楷體" w:cs="Times New Roman" w:hint="eastAsia"/>
                <w:sz w:val="20"/>
                <w:szCs w:val="20"/>
              </w:rPr>
              <w:t>服務，均有待檢討改善。</w:t>
            </w:r>
          </w:p>
        </w:tc>
        <w:tc>
          <w:tcPr>
            <w:tcW w:w="3552" w:type="dxa"/>
            <w:vMerge/>
            <w:tcBorders>
              <w:top w:val="single" w:sz="4" w:space="0" w:color="auto"/>
              <w:left w:val="single" w:sz="4" w:space="0" w:color="auto"/>
              <w:bottom w:val="single" w:sz="4" w:space="0" w:color="auto"/>
              <w:right w:val="single" w:sz="4" w:space="0" w:color="auto"/>
            </w:tcBorders>
            <w:vAlign w:val="center"/>
            <w:hideMark/>
          </w:tcPr>
          <w:p w14:paraId="6DBA171F" w14:textId="77777777" w:rsidR="00436738" w:rsidRDefault="00436738">
            <w:pPr>
              <w:widowControl/>
              <w:rPr>
                <w:rFonts w:ascii="標楷體" w:eastAsia="標楷體" w:hAnsi="標楷體" w:cs="Times New Roman"/>
                <w:sz w:val="20"/>
                <w:szCs w:val="20"/>
                <w:highlight w:val="yellow"/>
              </w:rPr>
            </w:pPr>
          </w:p>
        </w:tc>
      </w:tr>
      <w:tr w:rsidR="00436738" w14:paraId="77A0EA48" w14:textId="77777777" w:rsidTr="00DE1CFA">
        <w:trPr>
          <w:trHeight w:val="20"/>
        </w:trPr>
        <w:tc>
          <w:tcPr>
            <w:tcW w:w="6379" w:type="dxa"/>
            <w:tcBorders>
              <w:top w:val="single" w:sz="4" w:space="0" w:color="auto"/>
              <w:left w:val="single" w:sz="4" w:space="0" w:color="auto"/>
              <w:bottom w:val="single" w:sz="4" w:space="0" w:color="auto"/>
              <w:right w:val="single" w:sz="4" w:space="0" w:color="auto"/>
            </w:tcBorders>
            <w:vAlign w:val="center"/>
            <w:hideMark/>
          </w:tcPr>
          <w:p w14:paraId="3F25C91F" w14:textId="77777777" w:rsidR="00436738" w:rsidRDefault="00436738">
            <w:pPr>
              <w:widowControl/>
              <w:spacing w:line="240" w:lineRule="exact"/>
              <w:ind w:left="590" w:hangingChars="295" w:hanging="590"/>
              <w:jc w:val="both"/>
              <w:rPr>
                <w:rFonts w:ascii="標楷體" w:eastAsia="標楷體" w:hAnsi="標楷體" w:cs="Times New Roman"/>
                <w:sz w:val="20"/>
                <w:szCs w:val="20"/>
              </w:rPr>
            </w:pPr>
            <w:r>
              <w:rPr>
                <w:rFonts w:ascii="標楷體" w:eastAsia="標楷體" w:hAnsi="標楷體" w:cs="Times New Roman" w:hint="eastAsia"/>
                <w:sz w:val="20"/>
                <w:szCs w:val="20"/>
              </w:rPr>
              <w:t>（六）市府對</w:t>
            </w:r>
            <w:proofErr w:type="gramStart"/>
            <w:r>
              <w:rPr>
                <w:rFonts w:ascii="標楷體" w:eastAsia="標楷體" w:hAnsi="標楷體" w:cs="Times New Roman" w:hint="eastAsia"/>
                <w:sz w:val="20"/>
                <w:szCs w:val="20"/>
              </w:rPr>
              <w:t>臺</w:t>
            </w:r>
            <w:proofErr w:type="gramEnd"/>
            <w:r>
              <w:rPr>
                <w:rFonts w:ascii="標楷體" w:eastAsia="標楷體" w:hAnsi="標楷體" w:cs="Times New Roman" w:hint="eastAsia"/>
                <w:sz w:val="20"/>
                <w:szCs w:val="20"/>
              </w:rPr>
              <w:t>北流行音樂中心及</w:t>
            </w:r>
            <w:proofErr w:type="gramStart"/>
            <w:r>
              <w:rPr>
                <w:rFonts w:ascii="標楷體" w:eastAsia="標楷體" w:hAnsi="標楷體" w:cs="Times New Roman" w:hint="eastAsia"/>
                <w:sz w:val="20"/>
                <w:szCs w:val="20"/>
              </w:rPr>
              <w:t>臺</w:t>
            </w:r>
            <w:proofErr w:type="gramEnd"/>
            <w:r>
              <w:rPr>
                <w:rFonts w:ascii="標楷體" w:eastAsia="標楷體" w:hAnsi="標楷體" w:cs="Times New Roman" w:hint="eastAsia"/>
                <w:sz w:val="20"/>
                <w:szCs w:val="20"/>
              </w:rPr>
              <w:t>北表演藝術中心之績效評鑑成績尚佳，惟內部管理機制</w:t>
            </w:r>
            <w:proofErr w:type="gramStart"/>
            <w:r>
              <w:rPr>
                <w:rFonts w:ascii="標楷體" w:eastAsia="標楷體" w:hAnsi="標楷體" w:cs="Times New Roman" w:hint="eastAsia"/>
                <w:sz w:val="20"/>
                <w:szCs w:val="20"/>
              </w:rPr>
              <w:t>間有未臻</w:t>
            </w:r>
            <w:proofErr w:type="gramEnd"/>
            <w:r>
              <w:rPr>
                <w:rFonts w:ascii="標楷體" w:eastAsia="標楷體" w:hAnsi="標楷體" w:cs="Times New Roman" w:hint="eastAsia"/>
                <w:sz w:val="20"/>
                <w:szCs w:val="20"/>
              </w:rPr>
              <w:t>周妥落實，自營部分場館空間長期閒置，臺灣流行音樂資料庫維運情形欠佳，均有待督促</w:t>
            </w:r>
            <w:proofErr w:type="gramStart"/>
            <w:r>
              <w:rPr>
                <w:rFonts w:ascii="標楷體" w:eastAsia="標楷體" w:hAnsi="標楷體" w:cs="Times New Roman" w:hint="eastAsia"/>
                <w:sz w:val="20"/>
                <w:szCs w:val="20"/>
              </w:rPr>
              <w:t>研</w:t>
            </w:r>
            <w:proofErr w:type="gramEnd"/>
            <w:r>
              <w:rPr>
                <w:rFonts w:ascii="標楷體" w:eastAsia="標楷體" w:hAnsi="標楷體" w:cs="Times New Roman" w:hint="eastAsia"/>
                <w:sz w:val="20"/>
                <w:szCs w:val="20"/>
              </w:rPr>
              <w:t>謀改善。</w:t>
            </w:r>
          </w:p>
        </w:tc>
        <w:tc>
          <w:tcPr>
            <w:tcW w:w="3552" w:type="dxa"/>
            <w:vMerge/>
            <w:tcBorders>
              <w:top w:val="single" w:sz="4" w:space="0" w:color="auto"/>
              <w:left w:val="single" w:sz="4" w:space="0" w:color="auto"/>
              <w:bottom w:val="single" w:sz="4" w:space="0" w:color="auto"/>
              <w:right w:val="single" w:sz="4" w:space="0" w:color="auto"/>
            </w:tcBorders>
            <w:vAlign w:val="center"/>
            <w:hideMark/>
          </w:tcPr>
          <w:p w14:paraId="27A1720B" w14:textId="77777777" w:rsidR="00436738" w:rsidRDefault="00436738">
            <w:pPr>
              <w:widowControl/>
              <w:rPr>
                <w:rFonts w:ascii="標楷體" w:eastAsia="標楷體" w:hAnsi="標楷體" w:cs="Times New Roman"/>
                <w:sz w:val="20"/>
                <w:szCs w:val="20"/>
                <w:highlight w:val="yellow"/>
              </w:rPr>
            </w:pPr>
          </w:p>
        </w:tc>
      </w:tr>
    </w:tbl>
    <w:p w14:paraId="2452153C" w14:textId="7F540C4E" w:rsidR="004551F8" w:rsidRPr="00B474B8" w:rsidRDefault="004551F8" w:rsidP="00DE1CFA">
      <w:pPr>
        <w:widowControl/>
        <w:rPr>
          <w:rFonts w:ascii="標楷體" w:eastAsia="標楷體" w:hAnsi="標楷體" w:cs="Times New Roman"/>
          <w:b/>
          <w:sz w:val="36"/>
          <w:szCs w:val="28"/>
        </w:rPr>
      </w:pPr>
      <w:r w:rsidRPr="00B474B8">
        <w:rPr>
          <w:rFonts w:ascii="標楷體" w:eastAsia="標楷體" w:hAnsi="標楷體" w:cs="Times New Roman" w:hint="eastAsia"/>
          <w:b/>
          <w:sz w:val="36"/>
          <w:szCs w:val="28"/>
        </w:rPr>
        <w:lastRenderedPageBreak/>
        <w:t>拾陸、消防局主管</w:t>
      </w:r>
    </w:p>
    <w:p w14:paraId="7C0565D3" w14:textId="77777777" w:rsidR="004551F8" w:rsidRPr="00B474B8" w:rsidRDefault="004551F8" w:rsidP="00BC3717">
      <w:pPr>
        <w:overflowPunct w:val="0"/>
        <w:spacing w:line="40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消防局主管僅消防局1個機關，掌理臺北市減災規劃、整備應變、火災預防、災害搶救、火災調查、緊急救護及為民服務等業務。茲將</w:t>
      </w:r>
      <w:proofErr w:type="gramStart"/>
      <w:r w:rsidRPr="00B474B8">
        <w:rPr>
          <w:rFonts w:ascii="標楷體" w:eastAsia="標楷體" w:hAnsi="標楷體" w:cs="Times New Roman" w:hint="eastAsia"/>
          <w:szCs w:val="24"/>
        </w:rPr>
        <w:t>11</w:t>
      </w:r>
      <w:r w:rsidRPr="00B474B8">
        <w:rPr>
          <w:rFonts w:ascii="標楷體" w:eastAsia="標楷體" w:hAnsi="標楷體" w:cs="Times New Roman"/>
          <w:szCs w:val="24"/>
        </w:rPr>
        <w:t>3</w:t>
      </w:r>
      <w:proofErr w:type="gramEnd"/>
      <w:r w:rsidRPr="00B474B8">
        <w:rPr>
          <w:rFonts w:ascii="標楷體" w:eastAsia="標楷體" w:hAnsi="標楷體" w:cs="Times New Roman" w:hint="eastAsia"/>
          <w:szCs w:val="24"/>
        </w:rPr>
        <w:t>年度決算審核結果說明如次：</w:t>
      </w:r>
    </w:p>
    <w:p w14:paraId="76205758" w14:textId="77777777" w:rsidR="004551F8" w:rsidRPr="00B474B8" w:rsidRDefault="004551F8" w:rsidP="004551F8">
      <w:pPr>
        <w:widowControl/>
        <w:suppressAutoHyphens/>
        <w:overflowPunct w:val="0"/>
        <w:spacing w:beforeLines="30" w:before="108" w:afterLines="30" w:after="108" w:line="42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（一）計畫實施之查核</w:t>
      </w:r>
    </w:p>
    <w:p w14:paraId="51C3C95F" w14:textId="77777777" w:rsidR="004551F8" w:rsidRPr="00B474B8" w:rsidRDefault="004551F8" w:rsidP="00713069">
      <w:pPr>
        <w:overflowPunct w:val="0"/>
        <w:spacing w:line="400" w:lineRule="exact"/>
        <w:ind w:firstLineChars="200" w:firstLine="480"/>
        <w:jc w:val="both"/>
        <w:rPr>
          <w:rFonts w:ascii="標楷體" w:eastAsia="標楷體" w:hAnsi="標楷體" w:cs="Times New Roman"/>
          <w:color w:val="FF0000"/>
          <w:spacing w:val="-2"/>
          <w:szCs w:val="24"/>
        </w:rPr>
      </w:pPr>
      <w:r w:rsidRPr="00B474B8">
        <w:rPr>
          <w:rFonts w:ascii="標楷體" w:eastAsia="標楷體" w:hAnsi="標楷體" w:cs="Times New Roman" w:hint="eastAsia"/>
          <w:szCs w:val="24"/>
        </w:rPr>
        <w:t>業務計畫5項，下分工作計畫9項，包括持續推動並健全臺北市災害防救體系、落實消防安全設備檢查、辦理複合式災害防救演習、補助設置住宅用火災警報器、興建基層消防分隊及整修舊有廳舍、增進防災科學教育館功能、提升火災現場調查技能及裝備、</w:t>
      </w:r>
      <w:proofErr w:type="gramStart"/>
      <w:r w:rsidRPr="00B474B8">
        <w:rPr>
          <w:rFonts w:ascii="標楷體" w:eastAsia="標楷體" w:hAnsi="標楷體" w:cs="Times New Roman" w:hint="eastAsia"/>
          <w:szCs w:val="24"/>
        </w:rPr>
        <w:t>充實義</w:t>
      </w:r>
      <w:proofErr w:type="gramEnd"/>
      <w:r w:rsidRPr="00B474B8">
        <w:rPr>
          <w:rFonts w:ascii="標楷體" w:eastAsia="標楷體" w:hAnsi="標楷體" w:cs="Times New Roman" w:hint="eastAsia"/>
          <w:szCs w:val="24"/>
        </w:rPr>
        <w:t>消組織及民間救難志願組織裝備器材、精進救災救護指揮派遣等重要施政項目，</w:t>
      </w:r>
      <w:r w:rsidRPr="00B474B8">
        <w:rPr>
          <w:rFonts w:ascii="標楷體" w:eastAsia="標楷體" w:hAnsi="標楷體" w:cs="Times New Roman" w:hint="eastAsia"/>
          <w:spacing w:val="-2"/>
          <w:szCs w:val="24"/>
        </w:rPr>
        <w:t>其中已執行完成者5項，尚在執行者4項，主要係大湖分隊及關渡分隊新建工程契約期程跨年度等，須保留繼續執行。</w:t>
      </w:r>
    </w:p>
    <w:p w14:paraId="5F112BD5" w14:textId="77777777" w:rsidR="004551F8" w:rsidRPr="00B474B8" w:rsidRDefault="004551F8" w:rsidP="004551F8">
      <w:pPr>
        <w:widowControl/>
        <w:suppressAutoHyphens/>
        <w:overflowPunct w:val="0"/>
        <w:spacing w:beforeLines="30" w:before="108" w:afterLines="30" w:after="108" w:line="42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（二）預算執行之審核</w:t>
      </w:r>
    </w:p>
    <w:p w14:paraId="30CB80EB" w14:textId="77777777" w:rsidR="004551F8" w:rsidRPr="00B474B8" w:rsidRDefault="004551F8" w:rsidP="00BC3717">
      <w:pPr>
        <w:overflowPunct w:val="0"/>
        <w:spacing w:line="42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1.歲入原編列預算數5,034萬餘元，經追加預算6,727萬餘元，合計1億1,761萬餘元，決算審核結果，審定實現數1億383萬餘元，應收保留數1,856萬餘元，主要係中央核定特別統籌</w:t>
      </w:r>
      <w:proofErr w:type="gramStart"/>
      <w:r w:rsidRPr="00B474B8">
        <w:rPr>
          <w:rFonts w:ascii="標楷體" w:eastAsia="標楷體" w:hAnsi="標楷體" w:cs="Times New Roman" w:hint="eastAsia"/>
          <w:szCs w:val="24"/>
        </w:rPr>
        <w:t>分配稅尚待</w:t>
      </w:r>
      <w:proofErr w:type="gramEnd"/>
      <w:r w:rsidRPr="00B474B8">
        <w:rPr>
          <w:rFonts w:ascii="標楷體" w:eastAsia="標楷體" w:hAnsi="標楷體" w:cs="Times New Roman" w:hint="eastAsia"/>
          <w:szCs w:val="24"/>
        </w:rPr>
        <w:t>收取；合計決算審定數為1億2,240萬餘元，較預算增加479萬餘元（4.07％），主要係違反消防法之罰鍰及市有房地遭無權占用之使用補償金較預計增加。</w:t>
      </w:r>
    </w:p>
    <w:p w14:paraId="0A1D787D" w14:textId="77777777" w:rsidR="004551F8" w:rsidRPr="00B474B8" w:rsidRDefault="004551F8" w:rsidP="00BC3717">
      <w:pPr>
        <w:overflowPunct w:val="0"/>
        <w:spacing w:line="40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2.以前年度歲入轉入數計90萬餘元，決算審核結果，審定實現數55萬餘元（61.97％）；減免（註銷）數31萬餘元（34.91％），主要係違反消防法之罰鍰案件，已取得執行憑證後辦理註銷；應收保留數2萬餘元（3.12％），主要係違反消防法之罰鍰尚待收繳。</w:t>
      </w:r>
    </w:p>
    <w:p w14:paraId="27A400F8" w14:textId="77777777" w:rsidR="004551F8" w:rsidRPr="00B474B8" w:rsidRDefault="004551F8" w:rsidP="00BC3717">
      <w:pPr>
        <w:overflowPunct w:val="0"/>
        <w:spacing w:line="400" w:lineRule="exact"/>
        <w:ind w:firstLineChars="200" w:firstLine="480"/>
        <w:jc w:val="both"/>
        <w:rPr>
          <w:rFonts w:ascii="標楷體" w:eastAsia="標楷體" w:hAnsi="標楷體" w:cs="Times New Roman"/>
          <w:color w:val="2E74B5" w:themeColor="accent5" w:themeShade="BF"/>
          <w:szCs w:val="24"/>
          <w:highlight w:val="yellow"/>
        </w:rPr>
      </w:pPr>
      <w:r w:rsidRPr="00B474B8">
        <w:rPr>
          <w:rFonts w:ascii="標楷體" w:eastAsia="標楷體" w:hAnsi="標楷體" w:cs="Times New Roman" w:hint="eastAsia"/>
          <w:szCs w:val="24"/>
        </w:rPr>
        <w:t>3.歲出原編列預算數35億5,139萬餘元，經追加預算6</w:t>
      </w:r>
      <w:r w:rsidRPr="00B474B8">
        <w:rPr>
          <w:rFonts w:ascii="標楷體" w:eastAsia="標楷體" w:hAnsi="標楷體" w:cs="Times New Roman"/>
          <w:szCs w:val="24"/>
        </w:rPr>
        <w:t>,</w:t>
      </w:r>
      <w:r w:rsidRPr="00B474B8">
        <w:rPr>
          <w:rFonts w:ascii="標楷體" w:eastAsia="標楷體" w:hAnsi="標楷體" w:cs="Times New Roman" w:hint="eastAsia"/>
          <w:szCs w:val="24"/>
        </w:rPr>
        <w:t>727萬餘元，並因人事費不足申請動支各類員工待遇準備7,096萬餘元，合計36億8,963萬餘元，決算審核結果，修正減列應付保留數289萬餘元，</w:t>
      </w:r>
      <w:proofErr w:type="gramStart"/>
      <w:r w:rsidRPr="00B474B8">
        <w:rPr>
          <w:rFonts w:ascii="標楷體" w:eastAsia="標楷體" w:hAnsi="標楷體" w:cs="Times New Roman" w:hint="eastAsia"/>
          <w:szCs w:val="24"/>
        </w:rPr>
        <w:t>係減列</w:t>
      </w:r>
      <w:proofErr w:type="gramEnd"/>
      <w:r w:rsidRPr="00B474B8">
        <w:rPr>
          <w:rFonts w:ascii="標楷體" w:eastAsia="標楷體" w:hAnsi="標楷體" w:cs="Times New Roman" w:hint="eastAsia"/>
          <w:szCs w:val="24"/>
        </w:rPr>
        <w:t>無須支用之光明分隊、內湖分隊及保養場之污水下水道接管工程施工費；審定實現數35億8,351萬餘元（97.12％），應付保留數6,337萬餘元（1.72％），保留原因詳「（一）計畫實施之查核」說明；合計決算審定數為36億4,688萬餘元，預算賸餘4,274萬餘元（1.16％），主要係福國分隊室內裝修工程尚未完成契約變更、臺北市文山區景豐二區社會住宅新建工程尚未完成招標作業，相關經費無保留需求，及按業務需要減少支付之賸餘。</w:t>
      </w:r>
    </w:p>
    <w:p w14:paraId="59C5EE5A" w14:textId="77777777" w:rsidR="004551F8" w:rsidRPr="00B474B8" w:rsidRDefault="004551F8" w:rsidP="00BC3717">
      <w:pPr>
        <w:overflowPunct w:val="0"/>
        <w:spacing w:line="400" w:lineRule="exact"/>
        <w:ind w:firstLineChars="200" w:firstLine="480"/>
        <w:jc w:val="both"/>
        <w:rPr>
          <w:rFonts w:ascii="標楷體" w:eastAsia="標楷體" w:hAnsi="標楷體" w:cs="Times New Roman"/>
          <w:color w:val="2E74B5" w:themeColor="accent5" w:themeShade="BF"/>
          <w:szCs w:val="24"/>
        </w:rPr>
      </w:pPr>
      <w:r w:rsidRPr="00B474B8">
        <w:rPr>
          <w:rFonts w:ascii="標楷體" w:eastAsia="標楷體" w:hAnsi="標楷體" w:cs="Times New Roman" w:hint="eastAsia"/>
          <w:szCs w:val="24"/>
        </w:rPr>
        <w:t>4.以前年度歲出轉入數計1億2,345萬餘元，決算審核結果，審定實現數8,458萬餘元（68.52％）；減免（註銷）數7萬餘元（0.06％），主要係關渡分隊與臺北市政府警察局北投分局關渡派出所新建工程基地內受保護樹木移植與復育工程之結餘；應付保留數3,878萬餘元（31.42％），主要係關渡分隊及大湖分隊新建工程契約期程跨年度等，須保留繼續執行。</w:t>
      </w:r>
    </w:p>
    <w:p w14:paraId="1955DEBF" w14:textId="77777777" w:rsidR="004551F8" w:rsidRPr="00B474B8" w:rsidRDefault="004551F8" w:rsidP="004551F8">
      <w:pPr>
        <w:widowControl/>
        <w:suppressAutoHyphens/>
        <w:overflowPunct w:val="0"/>
        <w:spacing w:beforeLines="30" w:before="108" w:afterLines="30" w:after="108" w:line="42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（三）重要審核意見</w:t>
      </w:r>
    </w:p>
    <w:p w14:paraId="0E4EF605" w14:textId="77777777" w:rsidR="004551F8" w:rsidRPr="00B474B8" w:rsidRDefault="004551F8" w:rsidP="00713069">
      <w:pPr>
        <w:spacing w:beforeLines="35" w:before="126" w:line="420" w:lineRule="exact"/>
        <w:ind w:firstLineChars="200" w:firstLine="561"/>
        <w:jc w:val="both"/>
        <w:rPr>
          <w:rFonts w:ascii="標楷體" w:eastAsia="標楷體" w:hAnsi="標楷體"/>
          <w:b/>
          <w:sz w:val="28"/>
          <w:szCs w:val="28"/>
        </w:rPr>
      </w:pPr>
      <w:r w:rsidRPr="00B474B8">
        <w:rPr>
          <w:rFonts w:ascii="標楷體" w:eastAsia="標楷體" w:hAnsi="標楷體" w:hint="eastAsia"/>
          <w:b/>
          <w:sz w:val="28"/>
          <w:szCs w:val="28"/>
        </w:rPr>
        <w:t>為提升災害防救效能，持續執行災害防救工作，</w:t>
      </w:r>
      <w:proofErr w:type="gramStart"/>
      <w:r w:rsidRPr="00B474B8">
        <w:rPr>
          <w:rFonts w:ascii="標楷體" w:eastAsia="標楷體" w:hAnsi="標楷體" w:hint="eastAsia"/>
          <w:b/>
          <w:sz w:val="28"/>
          <w:szCs w:val="28"/>
        </w:rPr>
        <w:t>惟間有收容</w:t>
      </w:r>
      <w:proofErr w:type="gramEnd"/>
      <w:r w:rsidRPr="00B474B8">
        <w:rPr>
          <w:rFonts w:ascii="標楷體" w:eastAsia="標楷體" w:hAnsi="標楷體" w:hint="eastAsia"/>
          <w:b/>
          <w:sz w:val="28"/>
          <w:szCs w:val="28"/>
        </w:rPr>
        <w:t>處所每人可用空間不符市府規定標準，或各系統公布保全住戶資料互不一致，另災害應變中心尚未訂定開設強化三級作業程序，有待</w:t>
      </w:r>
      <w:proofErr w:type="gramStart"/>
      <w:r w:rsidRPr="00B474B8">
        <w:rPr>
          <w:rFonts w:ascii="標楷體" w:eastAsia="標楷體" w:hAnsi="標楷體" w:hint="eastAsia"/>
          <w:b/>
          <w:sz w:val="28"/>
          <w:szCs w:val="28"/>
        </w:rPr>
        <w:t>研謀妥處</w:t>
      </w:r>
      <w:proofErr w:type="gramEnd"/>
      <w:r w:rsidRPr="00B474B8">
        <w:rPr>
          <w:rFonts w:ascii="標楷體" w:eastAsia="標楷體" w:hAnsi="標楷體" w:hint="eastAsia"/>
          <w:b/>
          <w:sz w:val="28"/>
          <w:szCs w:val="28"/>
        </w:rPr>
        <w:t>。</w:t>
      </w:r>
    </w:p>
    <w:p w14:paraId="0640CCE0" w14:textId="3EBFBB5B" w:rsidR="004551F8" w:rsidRPr="00B474B8" w:rsidRDefault="004551F8" w:rsidP="00BC3717">
      <w:pPr>
        <w:spacing w:line="400" w:lineRule="exact"/>
        <w:ind w:firstLineChars="200" w:firstLine="480"/>
        <w:jc w:val="both"/>
        <w:rPr>
          <w:rFonts w:ascii="標楷體" w:eastAsia="標楷體" w:hAnsi="標楷體"/>
          <w:bCs/>
          <w:szCs w:val="24"/>
        </w:rPr>
      </w:pPr>
      <w:r w:rsidRPr="00B474B8">
        <w:rPr>
          <w:rFonts w:ascii="標楷體" w:eastAsia="標楷體" w:hAnsi="標楷體" w:cs="DFKaiShu-SB-Estd-BF"/>
          <w:noProof/>
          <w:szCs w:val="32"/>
        </w:rPr>
        <w:lastRenderedPageBreak/>
        <mc:AlternateContent>
          <mc:Choice Requires="wps">
            <w:drawing>
              <wp:anchor distT="0" distB="0" distL="36195" distR="36195" simplePos="0" relativeHeight="251671552" behindDoc="1" locked="0" layoutInCell="1" allowOverlap="1" wp14:anchorId="1F4876E7" wp14:editId="57BA332B">
                <wp:simplePos x="0" y="0"/>
                <wp:positionH relativeFrom="margin">
                  <wp:posOffset>3416935</wp:posOffset>
                </wp:positionH>
                <wp:positionV relativeFrom="paragraph">
                  <wp:posOffset>2376170</wp:posOffset>
                </wp:positionV>
                <wp:extent cx="2933700" cy="3108960"/>
                <wp:effectExtent l="0" t="0" r="0" b="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700" cy="3108960"/>
                        </a:xfrm>
                        <a:prstGeom prst="rect">
                          <a:avLst/>
                        </a:prstGeom>
                        <a:solidFill>
                          <a:srgbClr val="FFFFFF"/>
                        </a:solidFill>
                        <a:ln w="9525">
                          <a:noFill/>
                          <a:miter lim="800000"/>
                          <a:headEnd/>
                          <a:tailEnd/>
                        </a:ln>
                      </wps:spPr>
                      <wps:txbx>
                        <w:txbxContent>
                          <w:p w14:paraId="48BA078F" w14:textId="77777777" w:rsidR="004551F8" w:rsidRPr="005A0FAB" w:rsidRDefault="004551F8" w:rsidP="004551F8">
                            <w:pPr>
                              <w:spacing w:line="300" w:lineRule="exact"/>
                              <w:ind w:left="721" w:hangingChars="300" w:hanging="721"/>
                              <w:jc w:val="both"/>
                              <w:rPr>
                                <w:rFonts w:ascii="標楷體" w:eastAsia="標楷體" w:hAnsi="標楷體"/>
                                <w:b/>
                                <w:szCs w:val="24"/>
                              </w:rPr>
                            </w:pPr>
                            <w:bookmarkStart w:id="96" w:name="_Hlk188537621"/>
                            <w:bookmarkEnd w:id="96"/>
                            <w:r w:rsidRPr="005A0FAB">
                              <w:rPr>
                                <w:rFonts w:ascii="標楷體" w:eastAsia="標楷體" w:hAnsi="標楷體" w:hint="eastAsia"/>
                                <w:b/>
                                <w:szCs w:val="24"/>
                              </w:rPr>
                              <w:t>表</w:t>
                            </w:r>
                            <w:r w:rsidRPr="005A0FAB">
                              <w:rPr>
                                <w:rFonts w:ascii="標楷體" w:eastAsia="標楷體" w:hAnsi="標楷體"/>
                                <w:b/>
                                <w:szCs w:val="24"/>
                              </w:rPr>
                              <w:t>1</w:t>
                            </w:r>
                            <w:r w:rsidRPr="005A0FAB">
                              <w:rPr>
                                <w:rFonts w:ascii="標楷體" w:eastAsia="標楷體" w:hAnsi="標楷體" w:hint="eastAsia"/>
                                <w:b/>
                                <w:szCs w:val="24"/>
                              </w:rPr>
                              <w:t xml:space="preserve">　各系統公布臺北市土石流保全住戶資訊情形</w:t>
                            </w:r>
                          </w:p>
                          <w:tbl>
                            <w:tblPr>
                              <w:tblW w:w="4379" w:type="dxa"/>
                              <w:tblLayout w:type="fixed"/>
                              <w:tblCellMar>
                                <w:left w:w="28" w:type="dxa"/>
                                <w:right w:w="28" w:type="dxa"/>
                              </w:tblCellMar>
                              <w:tblLook w:val="04A0" w:firstRow="1" w:lastRow="0" w:firstColumn="1" w:lastColumn="0" w:noHBand="0" w:noVBand="1"/>
                            </w:tblPr>
                            <w:tblGrid>
                              <w:gridCol w:w="742"/>
                              <w:gridCol w:w="763"/>
                              <w:gridCol w:w="763"/>
                              <w:gridCol w:w="532"/>
                              <w:gridCol w:w="532"/>
                              <w:gridCol w:w="523"/>
                              <w:gridCol w:w="524"/>
                            </w:tblGrid>
                            <w:tr w:rsidR="004551F8" w:rsidRPr="00573712" w14:paraId="38BF3168" w14:textId="77777777" w:rsidTr="00824CD6">
                              <w:trPr>
                                <w:trHeight w:val="227"/>
                              </w:trPr>
                              <w:tc>
                                <w:tcPr>
                                  <w:tcW w:w="4379" w:type="dxa"/>
                                  <w:gridSpan w:val="7"/>
                                  <w:tcBorders>
                                    <w:bottom w:val="single" w:sz="4" w:space="0" w:color="auto"/>
                                  </w:tcBorders>
                                  <w:shd w:val="clear" w:color="auto" w:fill="auto"/>
                                  <w:noWrap/>
                                  <w:vAlign w:val="center"/>
                                </w:tcPr>
                                <w:p w14:paraId="23C0DBDB" w14:textId="77777777" w:rsidR="004551F8" w:rsidRPr="0014541C" w:rsidRDefault="004551F8" w:rsidP="00824CD6">
                                  <w:pPr>
                                    <w:spacing w:line="240" w:lineRule="exact"/>
                                    <w:jc w:val="right"/>
                                    <w:rPr>
                                      <w:rFonts w:ascii="標楷體" w:eastAsia="標楷體" w:hAnsi="標楷體"/>
                                      <w:color w:val="000000"/>
                                      <w:sz w:val="20"/>
                                      <w:szCs w:val="20"/>
                                    </w:rPr>
                                  </w:pPr>
                                  <w:r w:rsidRPr="0014541C">
                                    <w:rPr>
                                      <w:rFonts w:ascii="標楷體" w:eastAsia="標楷體" w:hAnsi="標楷體" w:hint="eastAsia"/>
                                      <w:color w:val="000000"/>
                                      <w:sz w:val="20"/>
                                      <w:szCs w:val="20"/>
                                    </w:rPr>
                                    <w:t>單位：戶、人</w:t>
                                  </w:r>
                                </w:p>
                              </w:tc>
                            </w:tr>
                            <w:tr w:rsidR="004551F8" w:rsidRPr="00573712" w14:paraId="5E4C6313" w14:textId="77777777" w:rsidTr="00824CD6">
                              <w:trPr>
                                <w:trHeight w:val="227"/>
                              </w:trPr>
                              <w:tc>
                                <w:tcPr>
                                  <w:tcW w:w="742" w:type="dxa"/>
                                  <w:vMerge w:val="restart"/>
                                  <w:tcBorders>
                                    <w:top w:val="single" w:sz="4" w:space="0" w:color="auto"/>
                                    <w:left w:val="single" w:sz="4" w:space="0" w:color="auto"/>
                                    <w:right w:val="single" w:sz="4" w:space="0" w:color="auto"/>
                                  </w:tcBorders>
                                  <w:shd w:val="clear" w:color="auto" w:fill="auto"/>
                                  <w:noWrap/>
                                  <w:vAlign w:val="center"/>
                                </w:tcPr>
                                <w:p w14:paraId="19D73C40"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區里名</w:t>
                                  </w:r>
                                </w:p>
                              </w:tc>
                              <w:tc>
                                <w:tcPr>
                                  <w:tcW w:w="1526" w:type="dxa"/>
                                  <w:gridSpan w:val="2"/>
                                  <w:tcBorders>
                                    <w:top w:val="single" w:sz="4" w:space="0" w:color="auto"/>
                                    <w:left w:val="nil"/>
                                    <w:bottom w:val="single" w:sz="4" w:space="0" w:color="auto"/>
                                    <w:right w:val="single" w:sz="4" w:space="0" w:color="auto"/>
                                  </w:tcBorders>
                                  <w:shd w:val="clear" w:color="auto" w:fill="auto"/>
                                  <w:noWrap/>
                                  <w:vAlign w:val="center"/>
                                </w:tcPr>
                                <w:p w14:paraId="712F1214" w14:textId="77777777" w:rsidR="004551F8" w:rsidRPr="00270AE5" w:rsidRDefault="004551F8" w:rsidP="00824CD6">
                                  <w:pPr>
                                    <w:spacing w:line="240" w:lineRule="exact"/>
                                    <w:jc w:val="center"/>
                                    <w:rPr>
                                      <w:rFonts w:ascii="標楷體" w:eastAsia="標楷體" w:hAnsi="標楷體"/>
                                      <w:color w:val="000000"/>
                                      <w:spacing w:val="-10"/>
                                      <w:sz w:val="20"/>
                                      <w:szCs w:val="20"/>
                                    </w:rPr>
                                  </w:pPr>
                                  <w:r w:rsidRPr="00270AE5">
                                    <w:rPr>
                                      <w:rFonts w:ascii="標楷體" w:eastAsia="標楷體" w:hAnsi="標楷體" w:hint="eastAsia"/>
                                      <w:color w:val="000000"/>
                                      <w:spacing w:val="-10"/>
                                      <w:sz w:val="20"/>
                                      <w:szCs w:val="20"/>
                                    </w:rPr>
                                    <w:t>臺北市山坡地資訊</w:t>
                                  </w:r>
                                </w:p>
                                <w:p w14:paraId="35D57743" w14:textId="77777777" w:rsidR="004551F8" w:rsidRPr="00573712" w:rsidRDefault="004551F8" w:rsidP="00824CD6">
                                  <w:pPr>
                                    <w:spacing w:line="240" w:lineRule="exact"/>
                                    <w:jc w:val="center"/>
                                    <w:rPr>
                                      <w:rFonts w:ascii="標楷體" w:eastAsia="標楷體" w:hAnsi="標楷體"/>
                                      <w:color w:val="000000"/>
                                      <w:sz w:val="20"/>
                                      <w:szCs w:val="20"/>
                                    </w:rPr>
                                  </w:pPr>
                                  <w:r w:rsidRPr="00270AE5">
                                    <w:rPr>
                                      <w:rFonts w:ascii="標楷體" w:eastAsia="標楷體" w:hAnsi="標楷體" w:hint="eastAsia"/>
                                      <w:color w:val="000000"/>
                                      <w:spacing w:val="-10"/>
                                      <w:sz w:val="20"/>
                                      <w:szCs w:val="20"/>
                                    </w:rPr>
                                    <w:t>整合系統公布</w:t>
                                  </w:r>
                                </w:p>
                              </w:tc>
                              <w:tc>
                                <w:tcPr>
                                  <w:tcW w:w="1064" w:type="dxa"/>
                                  <w:gridSpan w:val="2"/>
                                  <w:tcBorders>
                                    <w:top w:val="single" w:sz="4" w:space="0" w:color="auto"/>
                                    <w:left w:val="nil"/>
                                    <w:bottom w:val="single" w:sz="4" w:space="0" w:color="auto"/>
                                    <w:right w:val="single" w:sz="4" w:space="0" w:color="auto"/>
                                  </w:tcBorders>
                                  <w:shd w:val="clear" w:color="auto" w:fill="auto"/>
                                  <w:noWrap/>
                                  <w:vAlign w:val="center"/>
                                </w:tcPr>
                                <w:p w14:paraId="594D11B1" w14:textId="77777777" w:rsidR="004551F8"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區公所</w:t>
                                  </w:r>
                                </w:p>
                                <w:p w14:paraId="7CAC90A8" w14:textId="77777777" w:rsidR="004551F8" w:rsidRPr="00573712" w:rsidRDefault="004551F8" w:rsidP="00824CD6">
                                  <w:pPr>
                                    <w:spacing w:line="240" w:lineRule="exact"/>
                                    <w:jc w:val="center"/>
                                    <w:rPr>
                                      <w:rFonts w:ascii="標楷體" w:eastAsia="標楷體" w:hAnsi="標楷體"/>
                                      <w:color w:val="000000"/>
                                      <w:spacing w:val="-20"/>
                                      <w:sz w:val="20"/>
                                      <w:szCs w:val="20"/>
                                    </w:rPr>
                                  </w:pPr>
                                  <w:r w:rsidRPr="00573712">
                                    <w:rPr>
                                      <w:rFonts w:ascii="標楷體" w:eastAsia="標楷體" w:hAnsi="標楷體" w:hint="eastAsia"/>
                                      <w:color w:val="000000"/>
                                      <w:sz w:val="20"/>
                                      <w:szCs w:val="20"/>
                                    </w:rPr>
                                    <w:t>網站公布</w:t>
                                  </w:r>
                                </w:p>
                              </w:tc>
                              <w:tc>
                                <w:tcPr>
                                  <w:tcW w:w="1047" w:type="dxa"/>
                                  <w:gridSpan w:val="2"/>
                                  <w:tcBorders>
                                    <w:top w:val="single" w:sz="4" w:space="0" w:color="auto"/>
                                    <w:left w:val="single" w:sz="4" w:space="0" w:color="auto"/>
                                    <w:bottom w:val="single" w:sz="4" w:space="0" w:color="auto"/>
                                    <w:right w:val="single" w:sz="4" w:space="0" w:color="auto"/>
                                  </w:tcBorders>
                                  <w:vAlign w:val="center"/>
                                </w:tcPr>
                                <w:p w14:paraId="033689AD"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差異數</w:t>
                                  </w:r>
                                </w:p>
                              </w:tc>
                            </w:tr>
                            <w:tr w:rsidR="004551F8" w:rsidRPr="00573712" w14:paraId="25B57100" w14:textId="77777777" w:rsidTr="00824CD6">
                              <w:trPr>
                                <w:trHeight w:val="227"/>
                              </w:trPr>
                              <w:tc>
                                <w:tcPr>
                                  <w:tcW w:w="742" w:type="dxa"/>
                                  <w:vMerge/>
                                  <w:tcBorders>
                                    <w:left w:val="single" w:sz="4" w:space="0" w:color="auto"/>
                                    <w:bottom w:val="single" w:sz="4" w:space="0" w:color="auto"/>
                                    <w:right w:val="single" w:sz="4" w:space="0" w:color="auto"/>
                                  </w:tcBorders>
                                  <w:shd w:val="clear" w:color="auto" w:fill="auto"/>
                                  <w:noWrap/>
                                  <w:vAlign w:val="center"/>
                                  <w:hideMark/>
                                </w:tcPr>
                                <w:p w14:paraId="3381B6B5" w14:textId="77777777" w:rsidR="004551F8" w:rsidRPr="00573712" w:rsidRDefault="004551F8" w:rsidP="00824CD6">
                                  <w:pPr>
                                    <w:spacing w:line="240" w:lineRule="exact"/>
                                    <w:jc w:val="center"/>
                                    <w:rPr>
                                      <w:rFonts w:ascii="標楷體" w:eastAsia="標楷體" w:hAnsi="標楷體"/>
                                      <w:color w:val="000000"/>
                                      <w:sz w:val="20"/>
                                      <w:szCs w:val="20"/>
                                    </w:rPr>
                                  </w:pP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124B1054"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戶數</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64BE206F"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人數</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6CEF2BD2"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戶數</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2E710DE7"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人數</w:t>
                                  </w:r>
                                </w:p>
                              </w:tc>
                              <w:tc>
                                <w:tcPr>
                                  <w:tcW w:w="523" w:type="dxa"/>
                                  <w:tcBorders>
                                    <w:top w:val="single" w:sz="4" w:space="0" w:color="auto"/>
                                    <w:left w:val="nil"/>
                                    <w:bottom w:val="single" w:sz="4" w:space="0" w:color="auto"/>
                                    <w:right w:val="single" w:sz="4" w:space="0" w:color="auto"/>
                                  </w:tcBorders>
                                  <w:vAlign w:val="center"/>
                                </w:tcPr>
                                <w:p w14:paraId="422F1F13"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戶數</w:t>
                                  </w:r>
                                </w:p>
                              </w:tc>
                              <w:tc>
                                <w:tcPr>
                                  <w:tcW w:w="524" w:type="dxa"/>
                                  <w:tcBorders>
                                    <w:top w:val="single" w:sz="4" w:space="0" w:color="auto"/>
                                    <w:left w:val="nil"/>
                                    <w:bottom w:val="single" w:sz="4" w:space="0" w:color="auto"/>
                                    <w:right w:val="single" w:sz="4" w:space="0" w:color="auto"/>
                                  </w:tcBorders>
                                  <w:vAlign w:val="center"/>
                                </w:tcPr>
                                <w:p w14:paraId="24C7F2AC"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人數</w:t>
                                  </w:r>
                                </w:p>
                              </w:tc>
                            </w:tr>
                            <w:tr w:rsidR="004551F8" w:rsidRPr="00573712" w14:paraId="3E6E5616" w14:textId="77777777" w:rsidTr="00824CD6">
                              <w:trPr>
                                <w:trHeight w:val="34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BCCF89"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內湖區</w:t>
                                  </w:r>
                                </w:p>
                                <w:p w14:paraId="3272A000"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碧山里</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7270E2AF" w14:textId="77777777" w:rsidR="004551F8" w:rsidRPr="00573712" w:rsidRDefault="004551F8" w:rsidP="00170FDA">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6FB546BD"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4</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1867A18C"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8</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5AAD2617"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10</w:t>
                                  </w:r>
                                </w:p>
                              </w:tc>
                              <w:tc>
                                <w:tcPr>
                                  <w:tcW w:w="523" w:type="dxa"/>
                                  <w:tcBorders>
                                    <w:top w:val="single" w:sz="4" w:space="0" w:color="auto"/>
                                    <w:left w:val="nil"/>
                                    <w:bottom w:val="single" w:sz="4" w:space="0" w:color="auto"/>
                                    <w:right w:val="single" w:sz="4" w:space="0" w:color="auto"/>
                                  </w:tcBorders>
                                  <w:vAlign w:val="center"/>
                                </w:tcPr>
                                <w:p w14:paraId="3F9B1CF8"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6</w:t>
                                  </w:r>
                                </w:p>
                              </w:tc>
                              <w:tc>
                                <w:tcPr>
                                  <w:tcW w:w="524" w:type="dxa"/>
                                  <w:tcBorders>
                                    <w:top w:val="single" w:sz="4" w:space="0" w:color="auto"/>
                                    <w:left w:val="nil"/>
                                    <w:bottom w:val="single" w:sz="4" w:space="0" w:color="auto"/>
                                    <w:right w:val="single" w:sz="4" w:space="0" w:color="auto"/>
                                  </w:tcBorders>
                                  <w:vAlign w:val="center"/>
                                </w:tcPr>
                                <w:p w14:paraId="3CB31D0D"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6</w:t>
                                  </w:r>
                                </w:p>
                              </w:tc>
                            </w:tr>
                            <w:tr w:rsidR="004551F8" w:rsidRPr="00573712" w14:paraId="5964764C" w14:textId="77777777" w:rsidTr="00824CD6">
                              <w:trPr>
                                <w:trHeight w:val="34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96615"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內湖區</w:t>
                                  </w:r>
                                </w:p>
                                <w:p w14:paraId="79FDF02B"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金瑞里</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1DF398D6"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253AFCEC"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6</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63059F88"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69C60E47"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7</w:t>
                                  </w:r>
                                </w:p>
                              </w:tc>
                              <w:tc>
                                <w:tcPr>
                                  <w:tcW w:w="523" w:type="dxa"/>
                                  <w:tcBorders>
                                    <w:top w:val="single" w:sz="4" w:space="0" w:color="auto"/>
                                    <w:left w:val="nil"/>
                                    <w:bottom w:val="single" w:sz="4" w:space="0" w:color="auto"/>
                                    <w:right w:val="single" w:sz="4" w:space="0" w:color="auto"/>
                                  </w:tcBorders>
                                  <w:vAlign w:val="center"/>
                                </w:tcPr>
                                <w:p w14:paraId="6E1EACE1" w14:textId="77777777" w:rsidR="004551F8" w:rsidRPr="00573712" w:rsidRDefault="004551F8" w:rsidP="00170FDA">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w:t>
                                  </w:r>
                                </w:p>
                              </w:tc>
                              <w:tc>
                                <w:tcPr>
                                  <w:tcW w:w="524" w:type="dxa"/>
                                  <w:tcBorders>
                                    <w:top w:val="single" w:sz="4" w:space="0" w:color="auto"/>
                                    <w:left w:val="nil"/>
                                    <w:bottom w:val="single" w:sz="4" w:space="0" w:color="auto"/>
                                    <w:right w:val="single" w:sz="4" w:space="0" w:color="auto"/>
                                  </w:tcBorders>
                                  <w:vAlign w:val="center"/>
                                </w:tcPr>
                                <w:p w14:paraId="29DB33F1"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w:t>
                                  </w:r>
                                </w:p>
                              </w:tc>
                            </w:tr>
                            <w:tr w:rsidR="004551F8" w:rsidRPr="00573712" w14:paraId="1F4DEAF7" w14:textId="77777777" w:rsidTr="00824CD6">
                              <w:trPr>
                                <w:trHeight w:val="34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B21F7"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內湖區</w:t>
                                  </w:r>
                                </w:p>
                                <w:p w14:paraId="71F2F132" w14:textId="77777777" w:rsidR="004551F8" w:rsidRPr="00573712" w:rsidRDefault="004551F8" w:rsidP="00824CD6">
                                  <w:pPr>
                                    <w:spacing w:line="220" w:lineRule="exact"/>
                                    <w:jc w:val="center"/>
                                    <w:rPr>
                                      <w:rFonts w:ascii="標楷體" w:eastAsia="標楷體" w:hAnsi="標楷體"/>
                                      <w:color w:val="000000"/>
                                      <w:sz w:val="20"/>
                                      <w:szCs w:val="20"/>
                                    </w:rPr>
                                  </w:pPr>
                                  <w:proofErr w:type="gramStart"/>
                                  <w:r w:rsidRPr="00573712">
                                    <w:rPr>
                                      <w:rFonts w:ascii="標楷體" w:eastAsia="標楷體" w:hAnsi="標楷體" w:hint="eastAsia"/>
                                      <w:color w:val="000000"/>
                                      <w:sz w:val="20"/>
                                      <w:szCs w:val="20"/>
                                    </w:rPr>
                                    <w:t>港華里</w:t>
                                  </w:r>
                                  <w:proofErr w:type="gramEnd"/>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101BFDBC"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3</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1CE1BE6F"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4</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1B537773"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10</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6C1A496C"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14</w:t>
                                  </w:r>
                                </w:p>
                              </w:tc>
                              <w:tc>
                                <w:tcPr>
                                  <w:tcW w:w="523" w:type="dxa"/>
                                  <w:tcBorders>
                                    <w:top w:val="single" w:sz="4" w:space="0" w:color="auto"/>
                                    <w:left w:val="nil"/>
                                    <w:bottom w:val="single" w:sz="4" w:space="0" w:color="auto"/>
                                    <w:right w:val="single" w:sz="4" w:space="0" w:color="auto"/>
                                  </w:tcBorders>
                                  <w:vAlign w:val="center"/>
                                </w:tcPr>
                                <w:p w14:paraId="477F9B7C"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7</w:t>
                                  </w:r>
                                </w:p>
                              </w:tc>
                              <w:tc>
                                <w:tcPr>
                                  <w:tcW w:w="524" w:type="dxa"/>
                                  <w:tcBorders>
                                    <w:top w:val="single" w:sz="4" w:space="0" w:color="auto"/>
                                    <w:left w:val="nil"/>
                                    <w:bottom w:val="single" w:sz="4" w:space="0" w:color="auto"/>
                                    <w:right w:val="single" w:sz="4" w:space="0" w:color="auto"/>
                                  </w:tcBorders>
                                  <w:vAlign w:val="center"/>
                                </w:tcPr>
                                <w:p w14:paraId="057CC994"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w:t>
                                  </w:r>
                                  <w:r w:rsidRPr="00573712">
                                    <w:rPr>
                                      <w:rFonts w:ascii="標楷體" w:eastAsia="標楷體" w:hAnsi="標楷體"/>
                                      <w:color w:val="000000"/>
                                      <w:sz w:val="20"/>
                                      <w:szCs w:val="20"/>
                                    </w:rPr>
                                    <w:t>0</w:t>
                                  </w:r>
                                </w:p>
                              </w:tc>
                            </w:tr>
                            <w:tr w:rsidR="004551F8" w:rsidRPr="00573712" w14:paraId="6C1DE30C" w14:textId="77777777" w:rsidTr="00824CD6">
                              <w:trPr>
                                <w:trHeight w:val="34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BC20D"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北投區</w:t>
                                  </w:r>
                                </w:p>
                                <w:p w14:paraId="0E9028AB"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大屯里</w:t>
                                  </w:r>
                                </w:p>
                              </w:tc>
                              <w:tc>
                                <w:tcPr>
                                  <w:tcW w:w="763" w:type="dxa"/>
                                  <w:tcBorders>
                                    <w:top w:val="single" w:sz="4" w:space="0" w:color="auto"/>
                                    <w:left w:val="nil"/>
                                    <w:bottom w:val="single" w:sz="4" w:space="0" w:color="auto"/>
                                    <w:right w:val="single" w:sz="4" w:space="0" w:color="auto"/>
                                  </w:tcBorders>
                                  <w:shd w:val="clear" w:color="auto" w:fill="auto"/>
                                  <w:noWrap/>
                                  <w:vAlign w:val="center"/>
                                </w:tcPr>
                                <w:p w14:paraId="4B74E796"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r w:rsidRPr="00573712">
                                    <w:rPr>
                                      <w:rFonts w:ascii="標楷體" w:eastAsia="標楷體" w:hAnsi="標楷體"/>
                                      <w:color w:val="000000"/>
                                      <w:sz w:val="20"/>
                                      <w:szCs w:val="20"/>
                                    </w:rPr>
                                    <w:t>1</w:t>
                                  </w:r>
                                </w:p>
                              </w:tc>
                              <w:tc>
                                <w:tcPr>
                                  <w:tcW w:w="763" w:type="dxa"/>
                                  <w:tcBorders>
                                    <w:top w:val="single" w:sz="4" w:space="0" w:color="auto"/>
                                    <w:left w:val="nil"/>
                                    <w:bottom w:val="single" w:sz="4" w:space="0" w:color="auto"/>
                                    <w:right w:val="single" w:sz="4" w:space="0" w:color="auto"/>
                                  </w:tcBorders>
                                  <w:shd w:val="clear" w:color="auto" w:fill="auto"/>
                                  <w:noWrap/>
                                  <w:vAlign w:val="center"/>
                                </w:tcPr>
                                <w:p w14:paraId="5EE5398F"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6</w:t>
                                  </w:r>
                                  <w:r w:rsidRPr="00573712">
                                    <w:rPr>
                                      <w:rFonts w:ascii="標楷體" w:eastAsia="標楷體" w:hAnsi="標楷體"/>
                                      <w:color w:val="000000"/>
                                      <w:sz w:val="20"/>
                                      <w:szCs w:val="20"/>
                                    </w:rPr>
                                    <w:t>9</w:t>
                                  </w:r>
                                </w:p>
                              </w:tc>
                              <w:tc>
                                <w:tcPr>
                                  <w:tcW w:w="532" w:type="dxa"/>
                                  <w:tcBorders>
                                    <w:top w:val="single" w:sz="4" w:space="0" w:color="auto"/>
                                    <w:left w:val="nil"/>
                                    <w:bottom w:val="single" w:sz="4" w:space="0" w:color="auto"/>
                                    <w:right w:val="single" w:sz="4" w:space="0" w:color="auto"/>
                                  </w:tcBorders>
                                  <w:shd w:val="clear" w:color="auto" w:fill="auto"/>
                                  <w:noWrap/>
                                  <w:vAlign w:val="center"/>
                                </w:tcPr>
                                <w:p w14:paraId="1ADE1B83"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r w:rsidRPr="00573712">
                                    <w:rPr>
                                      <w:rFonts w:ascii="標楷體" w:eastAsia="標楷體" w:hAnsi="標楷體"/>
                                      <w:color w:val="000000"/>
                                      <w:sz w:val="20"/>
                                      <w:szCs w:val="20"/>
                                    </w:rPr>
                                    <w:t>0</w:t>
                                  </w:r>
                                </w:p>
                              </w:tc>
                              <w:tc>
                                <w:tcPr>
                                  <w:tcW w:w="532" w:type="dxa"/>
                                  <w:tcBorders>
                                    <w:top w:val="single" w:sz="4" w:space="0" w:color="auto"/>
                                    <w:left w:val="nil"/>
                                    <w:bottom w:val="single" w:sz="4" w:space="0" w:color="auto"/>
                                    <w:right w:val="single" w:sz="4" w:space="0" w:color="auto"/>
                                  </w:tcBorders>
                                  <w:shd w:val="clear" w:color="auto" w:fill="auto"/>
                                  <w:noWrap/>
                                  <w:vAlign w:val="center"/>
                                </w:tcPr>
                                <w:p w14:paraId="55D22E08"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6</w:t>
                                  </w:r>
                                  <w:r w:rsidRPr="00573712">
                                    <w:rPr>
                                      <w:rFonts w:ascii="標楷體" w:eastAsia="標楷體" w:hAnsi="標楷體"/>
                                      <w:color w:val="000000"/>
                                      <w:sz w:val="20"/>
                                      <w:szCs w:val="20"/>
                                    </w:rPr>
                                    <w:t>7</w:t>
                                  </w:r>
                                </w:p>
                              </w:tc>
                              <w:tc>
                                <w:tcPr>
                                  <w:tcW w:w="523" w:type="dxa"/>
                                  <w:tcBorders>
                                    <w:top w:val="single" w:sz="4" w:space="0" w:color="auto"/>
                                    <w:left w:val="nil"/>
                                    <w:bottom w:val="single" w:sz="4" w:space="0" w:color="auto"/>
                                    <w:right w:val="single" w:sz="4" w:space="0" w:color="auto"/>
                                  </w:tcBorders>
                                  <w:vAlign w:val="center"/>
                                </w:tcPr>
                                <w:p w14:paraId="7B3CC0A5"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w:t>
                                  </w:r>
                                </w:p>
                              </w:tc>
                              <w:tc>
                                <w:tcPr>
                                  <w:tcW w:w="524" w:type="dxa"/>
                                  <w:tcBorders>
                                    <w:top w:val="single" w:sz="4" w:space="0" w:color="auto"/>
                                    <w:left w:val="nil"/>
                                    <w:bottom w:val="single" w:sz="4" w:space="0" w:color="auto"/>
                                    <w:right w:val="single" w:sz="4" w:space="0" w:color="auto"/>
                                  </w:tcBorders>
                                  <w:vAlign w:val="center"/>
                                </w:tcPr>
                                <w:p w14:paraId="64B76EAE"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p>
                              </w:tc>
                            </w:tr>
                            <w:tr w:rsidR="004551F8" w:rsidRPr="00573712" w14:paraId="4EC0C9AF" w14:textId="77777777" w:rsidTr="00824CD6">
                              <w:trPr>
                                <w:trHeight w:val="34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C3B65"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北投區</w:t>
                                  </w:r>
                                </w:p>
                                <w:p w14:paraId="719F6B3A"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秀山里</w:t>
                                  </w:r>
                                </w:p>
                              </w:tc>
                              <w:tc>
                                <w:tcPr>
                                  <w:tcW w:w="763" w:type="dxa"/>
                                  <w:tcBorders>
                                    <w:top w:val="single" w:sz="4" w:space="0" w:color="auto"/>
                                    <w:left w:val="nil"/>
                                    <w:bottom w:val="single" w:sz="4" w:space="0" w:color="auto"/>
                                    <w:right w:val="single" w:sz="4" w:space="0" w:color="auto"/>
                                  </w:tcBorders>
                                  <w:shd w:val="clear" w:color="auto" w:fill="auto"/>
                                  <w:noWrap/>
                                  <w:vAlign w:val="center"/>
                                </w:tcPr>
                                <w:p w14:paraId="0BE19299"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color w:val="000000"/>
                                      <w:sz w:val="20"/>
                                      <w:szCs w:val="20"/>
                                    </w:rPr>
                                    <w:t>12</w:t>
                                  </w:r>
                                </w:p>
                              </w:tc>
                              <w:tc>
                                <w:tcPr>
                                  <w:tcW w:w="763" w:type="dxa"/>
                                  <w:tcBorders>
                                    <w:top w:val="single" w:sz="4" w:space="0" w:color="auto"/>
                                    <w:left w:val="nil"/>
                                    <w:bottom w:val="single" w:sz="4" w:space="0" w:color="auto"/>
                                    <w:right w:val="single" w:sz="4" w:space="0" w:color="auto"/>
                                  </w:tcBorders>
                                  <w:shd w:val="clear" w:color="auto" w:fill="auto"/>
                                  <w:noWrap/>
                                  <w:vAlign w:val="center"/>
                                </w:tcPr>
                                <w:p w14:paraId="67C1BB3D"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3</w:t>
                                  </w:r>
                                  <w:r w:rsidRPr="00573712">
                                    <w:rPr>
                                      <w:rFonts w:ascii="標楷體" w:eastAsia="標楷體" w:hAnsi="標楷體"/>
                                      <w:color w:val="000000"/>
                                      <w:sz w:val="20"/>
                                      <w:szCs w:val="20"/>
                                    </w:rPr>
                                    <w:t>1</w:t>
                                  </w:r>
                                </w:p>
                              </w:tc>
                              <w:tc>
                                <w:tcPr>
                                  <w:tcW w:w="532" w:type="dxa"/>
                                  <w:tcBorders>
                                    <w:top w:val="single" w:sz="4" w:space="0" w:color="auto"/>
                                    <w:left w:val="nil"/>
                                    <w:bottom w:val="single" w:sz="4" w:space="0" w:color="auto"/>
                                    <w:right w:val="single" w:sz="4" w:space="0" w:color="auto"/>
                                  </w:tcBorders>
                                  <w:shd w:val="clear" w:color="auto" w:fill="auto"/>
                                  <w:noWrap/>
                                  <w:vAlign w:val="center"/>
                                </w:tcPr>
                                <w:p w14:paraId="0E391431"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w:t>
                                  </w:r>
                                  <w:r w:rsidRPr="00573712">
                                    <w:rPr>
                                      <w:rFonts w:ascii="標楷體" w:eastAsia="標楷體" w:hAnsi="標楷體"/>
                                      <w:color w:val="000000"/>
                                      <w:sz w:val="20"/>
                                      <w:szCs w:val="20"/>
                                    </w:rPr>
                                    <w:t>1</w:t>
                                  </w:r>
                                </w:p>
                              </w:tc>
                              <w:tc>
                                <w:tcPr>
                                  <w:tcW w:w="532" w:type="dxa"/>
                                  <w:tcBorders>
                                    <w:top w:val="single" w:sz="4" w:space="0" w:color="auto"/>
                                    <w:left w:val="nil"/>
                                    <w:bottom w:val="single" w:sz="4" w:space="0" w:color="auto"/>
                                    <w:right w:val="single" w:sz="4" w:space="0" w:color="auto"/>
                                  </w:tcBorders>
                                  <w:shd w:val="clear" w:color="auto" w:fill="auto"/>
                                  <w:noWrap/>
                                  <w:vAlign w:val="center"/>
                                </w:tcPr>
                                <w:p w14:paraId="3EC84709"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r w:rsidRPr="00573712">
                                    <w:rPr>
                                      <w:rFonts w:ascii="標楷體" w:eastAsia="標楷體" w:hAnsi="標楷體"/>
                                      <w:color w:val="000000"/>
                                      <w:sz w:val="20"/>
                                      <w:szCs w:val="20"/>
                                    </w:rPr>
                                    <w:t>8</w:t>
                                  </w:r>
                                </w:p>
                              </w:tc>
                              <w:tc>
                                <w:tcPr>
                                  <w:tcW w:w="523" w:type="dxa"/>
                                  <w:tcBorders>
                                    <w:top w:val="single" w:sz="4" w:space="0" w:color="auto"/>
                                    <w:left w:val="nil"/>
                                    <w:bottom w:val="single" w:sz="4" w:space="0" w:color="auto"/>
                                    <w:right w:val="single" w:sz="4" w:space="0" w:color="auto"/>
                                  </w:tcBorders>
                                  <w:vAlign w:val="center"/>
                                </w:tcPr>
                                <w:p w14:paraId="2459F6B1"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w:t>
                                  </w:r>
                                </w:p>
                              </w:tc>
                              <w:tc>
                                <w:tcPr>
                                  <w:tcW w:w="524" w:type="dxa"/>
                                  <w:tcBorders>
                                    <w:top w:val="single" w:sz="4" w:space="0" w:color="auto"/>
                                    <w:left w:val="nil"/>
                                    <w:bottom w:val="single" w:sz="4" w:space="0" w:color="auto"/>
                                    <w:right w:val="single" w:sz="4" w:space="0" w:color="auto"/>
                                  </w:tcBorders>
                                  <w:vAlign w:val="center"/>
                                </w:tcPr>
                                <w:p w14:paraId="2A59B6A6"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3</w:t>
                                  </w:r>
                                </w:p>
                              </w:tc>
                            </w:tr>
                          </w:tbl>
                          <w:p w14:paraId="55060E12" w14:textId="77777777" w:rsidR="004551F8" w:rsidRPr="00762B5F" w:rsidRDefault="004551F8" w:rsidP="004551F8">
                            <w:pPr>
                              <w:spacing w:line="180" w:lineRule="exact"/>
                              <w:ind w:left="558" w:rightChars="-31" w:right="-74" w:hangingChars="310" w:hanging="558"/>
                              <w:jc w:val="both"/>
                              <w:rPr>
                                <w:rFonts w:ascii="標楷體" w:eastAsia="標楷體" w:hAnsi="標楷體"/>
                                <w:sz w:val="18"/>
                                <w:szCs w:val="18"/>
                              </w:rPr>
                            </w:pPr>
                            <w:proofErr w:type="gramStart"/>
                            <w:r w:rsidRPr="00762B5F">
                              <w:rPr>
                                <w:rFonts w:ascii="標楷體" w:eastAsia="標楷體" w:hAnsi="標楷體" w:hint="eastAsia"/>
                                <w:sz w:val="18"/>
                                <w:szCs w:val="18"/>
                              </w:rPr>
                              <w:t>註</w:t>
                            </w:r>
                            <w:proofErr w:type="gramEnd"/>
                            <w:r w:rsidRPr="00762B5F">
                              <w:rPr>
                                <w:rFonts w:ascii="標楷體" w:eastAsia="標楷體" w:hAnsi="標楷體" w:hint="eastAsia"/>
                                <w:sz w:val="18"/>
                                <w:szCs w:val="18"/>
                              </w:rPr>
                              <w:t>：1</w:t>
                            </w:r>
                            <w:r w:rsidRPr="00762B5F">
                              <w:rPr>
                                <w:rFonts w:ascii="標楷體" w:eastAsia="標楷體" w:hAnsi="標楷體"/>
                                <w:sz w:val="18"/>
                                <w:szCs w:val="18"/>
                              </w:rPr>
                              <w:t>.</w:t>
                            </w:r>
                            <w:r w:rsidRPr="00762B5F">
                              <w:rPr>
                                <w:rFonts w:ascii="標楷體" w:eastAsia="標楷體" w:hAnsi="標楷體" w:hint="eastAsia"/>
                                <w:sz w:val="18"/>
                                <w:szCs w:val="18"/>
                              </w:rPr>
                              <w:t>臺北市山坡地資訊整合系統公布資料更新時間為113年10月底。</w:t>
                            </w:r>
                          </w:p>
                          <w:p w14:paraId="6456BE06" w14:textId="77777777" w:rsidR="004551F8" w:rsidRPr="00050B9B" w:rsidRDefault="004551F8" w:rsidP="005D009F">
                            <w:pPr>
                              <w:spacing w:line="180" w:lineRule="exact"/>
                              <w:ind w:leftChars="150" w:left="545" w:rightChars="-31" w:right="-74" w:hangingChars="103" w:hanging="185"/>
                              <w:jc w:val="both"/>
                              <w:rPr>
                                <w:rFonts w:ascii="標楷體" w:eastAsia="標楷體" w:hAnsi="標楷體"/>
                                <w:spacing w:val="2"/>
                                <w:sz w:val="18"/>
                                <w:szCs w:val="18"/>
                              </w:rPr>
                            </w:pPr>
                            <w:r w:rsidRPr="00762B5F">
                              <w:rPr>
                                <w:rFonts w:ascii="標楷體" w:eastAsia="標楷體" w:hAnsi="標楷體" w:hint="eastAsia"/>
                                <w:sz w:val="18"/>
                                <w:szCs w:val="18"/>
                              </w:rPr>
                              <w:t>2</w:t>
                            </w:r>
                            <w:r w:rsidRPr="00762B5F">
                              <w:rPr>
                                <w:rFonts w:ascii="標楷體" w:eastAsia="標楷體" w:hAnsi="標楷體"/>
                                <w:sz w:val="18"/>
                                <w:szCs w:val="18"/>
                              </w:rPr>
                              <w:t>.</w:t>
                            </w:r>
                            <w:r w:rsidRPr="00762B5F">
                              <w:rPr>
                                <w:rFonts w:ascii="標楷體" w:eastAsia="標楷體" w:hAnsi="標楷體" w:hint="eastAsia"/>
                                <w:sz w:val="18"/>
                                <w:szCs w:val="18"/>
                              </w:rPr>
                              <w:t>資料來源：</w:t>
                            </w:r>
                            <w:r w:rsidRPr="00050B9B">
                              <w:rPr>
                                <w:rFonts w:ascii="標楷體" w:eastAsia="標楷體" w:hAnsi="標楷體" w:hint="eastAsia"/>
                                <w:spacing w:val="2"/>
                                <w:sz w:val="18"/>
                                <w:szCs w:val="18"/>
                              </w:rPr>
                              <w:t>整理自臺北市山坡地資訊整合系統、臺北市內湖區公所、臺北市北投區公所網站。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4876E7" id="_x0000_s1141" type="#_x0000_t202" style="position:absolute;left:0;text-align:left;margin-left:269.05pt;margin-top:187.1pt;width:231pt;height:244.8pt;z-index:-251644928;visibility:visible;mso-wrap-style:square;mso-width-percent:0;mso-height-percent:0;mso-wrap-distance-left:2.8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" stroked="f">
                <v:textbox>
                  <w:txbxContent>
                    <w:p w14:paraId="48BA078F" w14:textId="77777777" w:rsidR="004551F8" w:rsidRPr="005A0FAB" w:rsidRDefault="004551F8" w:rsidP="004551F8">
                      <w:pPr>
                        <w:spacing w:line="300" w:lineRule="exact"/>
                        <w:ind w:left="721" w:hangingChars="300" w:hanging="721"/>
                        <w:jc w:val="both"/>
                        <w:rPr>
                          <w:rFonts w:ascii="標楷體" w:eastAsia="標楷體" w:hAnsi="標楷體"/>
                          <w:b/>
                          <w:szCs w:val="24"/>
                        </w:rPr>
                      </w:pPr>
                      <w:bookmarkStart w:id="97" w:name="_Hlk188537621"/>
                      <w:bookmarkEnd w:id="97"/>
                      <w:r w:rsidRPr="005A0FAB">
                        <w:rPr>
                          <w:rFonts w:ascii="標楷體" w:eastAsia="標楷體" w:hAnsi="標楷體" w:hint="eastAsia"/>
                          <w:b/>
                          <w:szCs w:val="24"/>
                        </w:rPr>
                        <w:t>表</w:t>
                      </w:r>
                      <w:r w:rsidRPr="005A0FAB">
                        <w:rPr>
                          <w:rFonts w:ascii="標楷體" w:eastAsia="標楷體" w:hAnsi="標楷體"/>
                          <w:b/>
                          <w:szCs w:val="24"/>
                        </w:rPr>
                        <w:t>1</w:t>
                      </w:r>
                      <w:r w:rsidRPr="005A0FAB">
                        <w:rPr>
                          <w:rFonts w:ascii="標楷體" w:eastAsia="標楷體" w:hAnsi="標楷體" w:hint="eastAsia"/>
                          <w:b/>
                          <w:szCs w:val="24"/>
                        </w:rPr>
                        <w:t xml:space="preserve">　各系統公布臺北市土石流保全住戶資訊情形</w:t>
                      </w:r>
                    </w:p>
                    <w:tbl>
                      <w:tblPr>
                        <w:tblW w:w="4379" w:type="dxa"/>
                        <w:tblLayout w:type="fixed"/>
                        <w:tblCellMar>
                          <w:left w:w="28" w:type="dxa"/>
                          <w:right w:w="28" w:type="dxa"/>
                        </w:tblCellMar>
                        <w:tblLook w:val="04A0" w:firstRow="1" w:lastRow="0" w:firstColumn="1" w:lastColumn="0" w:noHBand="0" w:noVBand="1"/>
                      </w:tblPr>
                      <w:tblGrid>
                        <w:gridCol w:w="742"/>
                        <w:gridCol w:w="763"/>
                        <w:gridCol w:w="763"/>
                        <w:gridCol w:w="532"/>
                        <w:gridCol w:w="532"/>
                        <w:gridCol w:w="523"/>
                        <w:gridCol w:w="524"/>
                      </w:tblGrid>
                      <w:tr w:rsidR="004551F8" w:rsidRPr="00573712" w14:paraId="38BF3168" w14:textId="77777777" w:rsidTr="00824CD6">
                        <w:trPr>
                          <w:trHeight w:val="227"/>
                        </w:trPr>
                        <w:tc>
                          <w:tcPr>
                            <w:tcW w:w="4379" w:type="dxa"/>
                            <w:gridSpan w:val="7"/>
                            <w:tcBorders>
                              <w:bottom w:val="single" w:sz="4" w:space="0" w:color="auto"/>
                            </w:tcBorders>
                            <w:shd w:val="clear" w:color="auto" w:fill="auto"/>
                            <w:noWrap/>
                            <w:vAlign w:val="center"/>
                          </w:tcPr>
                          <w:p w14:paraId="23C0DBDB" w14:textId="77777777" w:rsidR="004551F8" w:rsidRPr="0014541C" w:rsidRDefault="004551F8" w:rsidP="00824CD6">
                            <w:pPr>
                              <w:spacing w:line="240" w:lineRule="exact"/>
                              <w:jc w:val="right"/>
                              <w:rPr>
                                <w:rFonts w:ascii="標楷體" w:eastAsia="標楷體" w:hAnsi="標楷體"/>
                                <w:color w:val="000000"/>
                                <w:sz w:val="20"/>
                                <w:szCs w:val="20"/>
                              </w:rPr>
                            </w:pPr>
                            <w:r w:rsidRPr="0014541C">
                              <w:rPr>
                                <w:rFonts w:ascii="標楷體" w:eastAsia="標楷體" w:hAnsi="標楷體" w:hint="eastAsia"/>
                                <w:color w:val="000000"/>
                                <w:sz w:val="20"/>
                                <w:szCs w:val="20"/>
                              </w:rPr>
                              <w:t>單位：戶、人</w:t>
                            </w:r>
                          </w:p>
                        </w:tc>
                      </w:tr>
                      <w:tr w:rsidR="004551F8" w:rsidRPr="00573712" w14:paraId="5E4C6313" w14:textId="77777777" w:rsidTr="00824CD6">
                        <w:trPr>
                          <w:trHeight w:val="227"/>
                        </w:trPr>
                        <w:tc>
                          <w:tcPr>
                            <w:tcW w:w="742" w:type="dxa"/>
                            <w:vMerge w:val="restart"/>
                            <w:tcBorders>
                              <w:top w:val="single" w:sz="4" w:space="0" w:color="auto"/>
                              <w:left w:val="single" w:sz="4" w:space="0" w:color="auto"/>
                              <w:right w:val="single" w:sz="4" w:space="0" w:color="auto"/>
                            </w:tcBorders>
                            <w:shd w:val="clear" w:color="auto" w:fill="auto"/>
                            <w:noWrap/>
                            <w:vAlign w:val="center"/>
                          </w:tcPr>
                          <w:p w14:paraId="19D73C40"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區里名</w:t>
                            </w:r>
                          </w:p>
                        </w:tc>
                        <w:tc>
                          <w:tcPr>
                            <w:tcW w:w="1526" w:type="dxa"/>
                            <w:gridSpan w:val="2"/>
                            <w:tcBorders>
                              <w:top w:val="single" w:sz="4" w:space="0" w:color="auto"/>
                              <w:left w:val="nil"/>
                              <w:bottom w:val="single" w:sz="4" w:space="0" w:color="auto"/>
                              <w:right w:val="single" w:sz="4" w:space="0" w:color="auto"/>
                            </w:tcBorders>
                            <w:shd w:val="clear" w:color="auto" w:fill="auto"/>
                            <w:noWrap/>
                            <w:vAlign w:val="center"/>
                          </w:tcPr>
                          <w:p w14:paraId="712F1214" w14:textId="77777777" w:rsidR="004551F8" w:rsidRPr="00270AE5" w:rsidRDefault="004551F8" w:rsidP="00824CD6">
                            <w:pPr>
                              <w:spacing w:line="240" w:lineRule="exact"/>
                              <w:jc w:val="center"/>
                              <w:rPr>
                                <w:rFonts w:ascii="標楷體" w:eastAsia="標楷體" w:hAnsi="標楷體"/>
                                <w:color w:val="000000"/>
                                <w:spacing w:val="-10"/>
                                <w:sz w:val="20"/>
                                <w:szCs w:val="20"/>
                              </w:rPr>
                            </w:pPr>
                            <w:r w:rsidRPr="00270AE5">
                              <w:rPr>
                                <w:rFonts w:ascii="標楷體" w:eastAsia="標楷體" w:hAnsi="標楷體" w:hint="eastAsia"/>
                                <w:color w:val="000000"/>
                                <w:spacing w:val="-10"/>
                                <w:sz w:val="20"/>
                                <w:szCs w:val="20"/>
                              </w:rPr>
                              <w:t>臺北市山坡地資訊</w:t>
                            </w:r>
                          </w:p>
                          <w:p w14:paraId="35D57743" w14:textId="77777777" w:rsidR="004551F8" w:rsidRPr="00573712" w:rsidRDefault="004551F8" w:rsidP="00824CD6">
                            <w:pPr>
                              <w:spacing w:line="240" w:lineRule="exact"/>
                              <w:jc w:val="center"/>
                              <w:rPr>
                                <w:rFonts w:ascii="標楷體" w:eastAsia="標楷體" w:hAnsi="標楷體"/>
                                <w:color w:val="000000"/>
                                <w:sz w:val="20"/>
                                <w:szCs w:val="20"/>
                              </w:rPr>
                            </w:pPr>
                            <w:r w:rsidRPr="00270AE5">
                              <w:rPr>
                                <w:rFonts w:ascii="標楷體" w:eastAsia="標楷體" w:hAnsi="標楷體" w:hint="eastAsia"/>
                                <w:color w:val="000000"/>
                                <w:spacing w:val="-10"/>
                                <w:sz w:val="20"/>
                                <w:szCs w:val="20"/>
                              </w:rPr>
                              <w:t>整合系統公布</w:t>
                            </w:r>
                          </w:p>
                        </w:tc>
                        <w:tc>
                          <w:tcPr>
                            <w:tcW w:w="1064" w:type="dxa"/>
                            <w:gridSpan w:val="2"/>
                            <w:tcBorders>
                              <w:top w:val="single" w:sz="4" w:space="0" w:color="auto"/>
                              <w:left w:val="nil"/>
                              <w:bottom w:val="single" w:sz="4" w:space="0" w:color="auto"/>
                              <w:right w:val="single" w:sz="4" w:space="0" w:color="auto"/>
                            </w:tcBorders>
                            <w:shd w:val="clear" w:color="auto" w:fill="auto"/>
                            <w:noWrap/>
                            <w:vAlign w:val="center"/>
                          </w:tcPr>
                          <w:p w14:paraId="594D11B1" w14:textId="77777777" w:rsidR="004551F8"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區公所</w:t>
                            </w:r>
                          </w:p>
                          <w:p w14:paraId="7CAC90A8" w14:textId="77777777" w:rsidR="004551F8" w:rsidRPr="00573712" w:rsidRDefault="004551F8" w:rsidP="00824CD6">
                            <w:pPr>
                              <w:spacing w:line="240" w:lineRule="exact"/>
                              <w:jc w:val="center"/>
                              <w:rPr>
                                <w:rFonts w:ascii="標楷體" w:eastAsia="標楷體" w:hAnsi="標楷體"/>
                                <w:color w:val="000000"/>
                                <w:spacing w:val="-20"/>
                                <w:sz w:val="20"/>
                                <w:szCs w:val="20"/>
                              </w:rPr>
                            </w:pPr>
                            <w:r w:rsidRPr="00573712">
                              <w:rPr>
                                <w:rFonts w:ascii="標楷體" w:eastAsia="標楷體" w:hAnsi="標楷體" w:hint="eastAsia"/>
                                <w:color w:val="000000"/>
                                <w:sz w:val="20"/>
                                <w:szCs w:val="20"/>
                              </w:rPr>
                              <w:t>網站公布</w:t>
                            </w:r>
                          </w:p>
                        </w:tc>
                        <w:tc>
                          <w:tcPr>
                            <w:tcW w:w="1047" w:type="dxa"/>
                            <w:gridSpan w:val="2"/>
                            <w:tcBorders>
                              <w:top w:val="single" w:sz="4" w:space="0" w:color="auto"/>
                              <w:left w:val="single" w:sz="4" w:space="0" w:color="auto"/>
                              <w:bottom w:val="single" w:sz="4" w:space="0" w:color="auto"/>
                              <w:right w:val="single" w:sz="4" w:space="0" w:color="auto"/>
                            </w:tcBorders>
                            <w:vAlign w:val="center"/>
                          </w:tcPr>
                          <w:p w14:paraId="033689AD"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差異數</w:t>
                            </w:r>
                          </w:p>
                        </w:tc>
                      </w:tr>
                      <w:tr w:rsidR="004551F8" w:rsidRPr="00573712" w14:paraId="25B57100" w14:textId="77777777" w:rsidTr="00824CD6">
                        <w:trPr>
                          <w:trHeight w:val="227"/>
                        </w:trPr>
                        <w:tc>
                          <w:tcPr>
                            <w:tcW w:w="742" w:type="dxa"/>
                            <w:vMerge/>
                            <w:tcBorders>
                              <w:left w:val="single" w:sz="4" w:space="0" w:color="auto"/>
                              <w:bottom w:val="single" w:sz="4" w:space="0" w:color="auto"/>
                              <w:right w:val="single" w:sz="4" w:space="0" w:color="auto"/>
                            </w:tcBorders>
                            <w:shd w:val="clear" w:color="auto" w:fill="auto"/>
                            <w:noWrap/>
                            <w:vAlign w:val="center"/>
                            <w:hideMark/>
                          </w:tcPr>
                          <w:p w14:paraId="3381B6B5" w14:textId="77777777" w:rsidR="004551F8" w:rsidRPr="00573712" w:rsidRDefault="004551F8" w:rsidP="00824CD6">
                            <w:pPr>
                              <w:spacing w:line="240" w:lineRule="exact"/>
                              <w:jc w:val="center"/>
                              <w:rPr>
                                <w:rFonts w:ascii="標楷體" w:eastAsia="標楷體" w:hAnsi="標楷體"/>
                                <w:color w:val="000000"/>
                                <w:sz w:val="20"/>
                                <w:szCs w:val="20"/>
                              </w:rPr>
                            </w:pP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124B1054"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戶數</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64BE206F"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人數</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6CEF2BD2"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戶數</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2E710DE7"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人數</w:t>
                            </w:r>
                          </w:p>
                        </w:tc>
                        <w:tc>
                          <w:tcPr>
                            <w:tcW w:w="523" w:type="dxa"/>
                            <w:tcBorders>
                              <w:top w:val="single" w:sz="4" w:space="0" w:color="auto"/>
                              <w:left w:val="nil"/>
                              <w:bottom w:val="single" w:sz="4" w:space="0" w:color="auto"/>
                              <w:right w:val="single" w:sz="4" w:space="0" w:color="auto"/>
                            </w:tcBorders>
                            <w:vAlign w:val="center"/>
                          </w:tcPr>
                          <w:p w14:paraId="422F1F13"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戶數</w:t>
                            </w:r>
                          </w:p>
                        </w:tc>
                        <w:tc>
                          <w:tcPr>
                            <w:tcW w:w="524" w:type="dxa"/>
                            <w:tcBorders>
                              <w:top w:val="single" w:sz="4" w:space="0" w:color="auto"/>
                              <w:left w:val="nil"/>
                              <w:bottom w:val="single" w:sz="4" w:space="0" w:color="auto"/>
                              <w:right w:val="single" w:sz="4" w:space="0" w:color="auto"/>
                            </w:tcBorders>
                            <w:vAlign w:val="center"/>
                          </w:tcPr>
                          <w:p w14:paraId="24C7F2AC" w14:textId="77777777" w:rsidR="004551F8" w:rsidRPr="00573712" w:rsidRDefault="004551F8" w:rsidP="00824CD6">
                            <w:pPr>
                              <w:spacing w:line="24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人數</w:t>
                            </w:r>
                          </w:p>
                        </w:tc>
                      </w:tr>
                      <w:tr w:rsidR="004551F8" w:rsidRPr="00573712" w14:paraId="3E6E5616" w14:textId="77777777" w:rsidTr="00824CD6">
                        <w:trPr>
                          <w:trHeight w:val="34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BCCF89"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內湖區</w:t>
                            </w:r>
                          </w:p>
                          <w:p w14:paraId="3272A000"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碧山里</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7270E2AF" w14:textId="77777777" w:rsidR="004551F8" w:rsidRPr="00573712" w:rsidRDefault="004551F8" w:rsidP="00170FDA">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6FB546BD"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4</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1867A18C"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8</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5AAD2617"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10</w:t>
                            </w:r>
                          </w:p>
                        </w:tc>
                        <w:tc>
                          <w:tcPr>
                            <w:tcW w:w="523" w:type="dxa"/>
                            <w:tcBorders>
                              <w:top w:val="single" w:sz="4" w:space="0" w:color="auto"/>
                              <w:left w:val="nil"/>
                              <w:bottom w:val="single" w:sz="4" w:space="0" w:color="auto"/>
                              <w:right w:val="single" w:sz="4" w:space="0" w:color="auto"/>
                            </w:tcBorders>
                            <w:vAlign w:val="center"/>
                          </w:tcPr>
                          <w:p w14:paraId="3F9B1CF8"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6</w:t>
                            </w:r>
                          </w:p>
                        </w:tc>
                        <w:tc>
                          <w:tcPr>
                            <w:tcW w:w="524" w:type="dxa"/>
                            <w:tcBorders>
                              <w:top w:val="single" w:sz="4" w:space="0" w:color="auto"/>
                              <w:left w:val="nil"/>
                              <w:bottom w:val="single" w:sz="4" w:space="0" w:color="auto"/>
                              <w:right w:val="single" w:sz="4" w:space="0" w:color="auto"/>
                            </w:tcBorders>
                            <w:vAlign w:val="center"/>
                          </w:tcPr>
                          <w:p w14:paraId="3CB31D0D"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6</w:t>
                            </w:r>
                          </w:p>
                        </w:tc>
                      </w:tr>
                      <w:tr w:rsidR="004551F8" w:rsidRPr="00573712" w14:paraId="5964764C" w14:textId="77777777" w:rsidTr="00824CD6">
                        <w:trPr>
                          <w:trHeight w:val="34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96615"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內湖區</w:t>
                            </w:r>
                          </w:p>
                          <w:p w14:paraId="79FDF02B"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金瑞里</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1DF398D6"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253AFCEC"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6</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63059F88"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69C60E47"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7</w:t>
                            </w:r>
                          </w:p>
                        </w:tc>
                        <w:tc>
                          <w:tcPr>
                            <w:tcW w:w="523" w:type="dxa"/>
                            <w:tcBorders>
                              <w:top w:val="single" w:sz="4" w:space="0" w:color="auto"/>
                              <w:left w:val="nil"/>
                              <w:bottom w:val="single" w:sz="4" w:space="0" w:color="auto"/>
                              <w:right w:val="single" w:sz="4" w:space="0" w:color="auto"/>
                            </w:tcBorders>
                            <w:vAlign w:val="center"/>
                          </w:tcPr>
                          <w:p w14:paraId="6E1EACE1" w14:textId="77777777" w:rsidR="004551F8" w:rsidRPr="00573712" w:rsidRDefault="004551F8" w:rsidP="00170FDA">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w:t>
                            </w:r>
                          </w:p>
                        </w:tc>
                        <w:tc>
                          <w:tcPr>
                            <w:tcW w:w="524" w:type="dxa"/>
                            <w:tcBorders>
                              <w:top w:val="single" w:sz="4" w:space="0" w:color="auto"/>
                              <w:left w:val="nil"/>
                              <w:bottom w:val="single" w:sz="4" w:space="0" w:color="auto"/>
                              <w:right w:val="single" w:sz="4" w:space="0" w:color="auto"/>
                            </w:tcBorders>
                            <w:vAlign w:val="center"/>
                          </w:tcPr>
                          <w:p w14:paraId="29DB33F1"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w:t>
                            </w:r>
                          </w:p>
                        </w:tc>
                      </w:tr>
                      <w:tr w:rsidR="004551F8" w:rsidRPr="00573712" w14:paraId="1F4DEAF7" w14:textId="77777777" w:rsidTr="00824CD6">
                        <w:trPr>
                          <w:trHeight w:val="34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B21F7"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內湖區</w:t>
                            </w:r>
                          </w:p>
                          <w:p w14:paraId="71F2F132" w14:textId="77777777" w:rsidR="004551F8" w:rsidRPr="00573712" w:rsidRDefault="004551F8" w:rsidP="00824CD6">
                            <w:pPr>
                              <w:spacing w:line="220" w:lineRule="exact"/>
                              <w:jc w:val="center"/>
                              <w:rPr>
                                <w:rFonts w:ascii="標楷體" w:eastAsia="標楷體" w:hAnsi="標楷體"/>
                                <w:color w:val="000000"/>
                                <w:sz w:val="20"/>
                                <w:szCs w:val="20"/>
                              </w:rPr>
                            </w:pPr>
                            <w:proofErr w:type="gramStart"/>
                            <w:r w:rsidRPr="00573712">
                              <w:rPr>
                                <w:rFonts w:ascii="標楷體" w:eastAsia="標楷體" w:hAnsi="標楷體" w:hint="eastAsia"/>
                                <w:color w:val="000000"/>
                                <w:sz w:val="20"/>
                                <w:szCs w:val="20"/>
                              </w:rPr>
                              <w:t>港華里</w:t>
                            </w:r>
                            <w:proofErr w:type="gramEnd"/>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101BFDBC"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3</w:t>
                            </w:r>
                          </w:p>
                        </w:tc>
                        <w:tc>
                          <w:tcPr>
                            <w:tcW w:w="763" w:type="dxa"/>
                            <w:tcBorders>
                              <w:top w:val="single" w:sz="4" w:space="0" w:color="auto"/>
                              <w:left w:val="nil"/>
                              <w:bottom w:val="single" w:sz="4" w:space="0" w:color="auto"/>
                              <w:right w:val="single" w:sz="4" w:space="0" w:color="auto"/>
                            </w:tcBorders>
                            <w:shd w:val="clear" w:color="auto" w:fill="auto"/>
                            <w:noWrap/>
                            <w:vAlign w:val="center"/>
                            <w:hideMark/>
                          </w:tcPr>
                          <w:p w14:paraId="1CE1BE6F"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4</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1B537773"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10</w:t>
                            </w:r>
                          </w:p>
                        </w:tc>
                        <w:tc>
                          <w:tcPr>
                            <w:tcW w:w="532" w:type="dxa"/>
                            <w:tcBorders>
                              <w:top w:val="single" w:sz="4" w:space="0" w:color="auto"/>
                              <w:left w:val="nil"/>
                              <w:bottom w:val="single" w:sz="4" w:space="0" w:color="auto"/>
                              <w:right w:val="single" w:sz="4" w:space="0" w:color="auto"/>
                            </w:tcBorders>
                            <w:shd w:val="clear" w:color="auto" w:fill="auto"/>
                            <w:noWrap/>
                            <w:vAlign w:val="center"/>
                            <w:hideMark/>
                          </w:tcPr>
                          <w:p w14:paraId="6C1A496C"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14</w:t>
                            </w:r>
                          </w:p>
                        </w:tc>
                        <w:tc>
                          <w:tcPr>
                            <w:tcW w:w="523" w:type="dxa"/>
                            <w:tcBorders>
                              <w:top w:val="single" w:sz="4" w:space="0" w:color="auto"/>
                              <w:left w:val="nil"/>
                              <w:bottom w:val="single" w:sz="4" w:space="0" w:color="auto"/>
                              <w:right w:val="single" w:sz="4" w:space="0" w:color="auto"/>
                            </w:tcBorders>
                            <w:vAlign w:val="center"/>
                          </w:tcPr>
                          <w:p w14:paraId="477F9B7C"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7</w:t>
                            </w:r>
                          </w:p>
                        </w:tc>
                        <w:tc>
                          <w:tcPr>
                            <w:tcW w:w="524" w:type="dxa"/>
                            <w:tcBorders>
                              <w:top w:val="single" w:sz="4" w:space="0" w:color="auto"/>
                              <w:left w:val="nil"/>
                              <w:bottom w:val="single" w:sz="4" w:space="0" w:color="auto"/>
                              <w:right w:val="single" w:sz="4" w:space="0" w:color="auto"/>
                            </w:tcBorders>
                            <w:vAlign w:val="center"/>
                          </w:tcPr>
                          <w:p w14:paraId="057CC994"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w:t>
                            </w:r>
                            <w:r w:rsidRPr="00573712">
                              <w:rPr>
                                <w:rFonts w:ascii="標楷體" w:eastAsia="標楷體" w:hAnsi="標楷體"/>
                                <w:color w:val="000000"/>
                                <w:sz w:val="20"/>
                                <w:szCs w:val="20"/>
                              </w:rPr>
                              <w:t>0</w:t>
                            </w:r>
                          </w:p>
                        </w:tc>
                      </w:tr>
                      <w:tr w:rsidR="004551F8" w:rsidRPr="00573712" w14:paraId="6C1DE30C" w14:textId="77777777" w:rsidTr="00824CD6">
                        <w:trPr>
                          <w:trHeight w:val="34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3BC20D"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北投區</w:t>
                            </w:r>
                          </w:p>
                          <w:p w14:paraId="0E9028AB"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大屯里</w:t>
                            </w:r>
                          </w:p>
                        </w:tc>
                        <w:tc>
                          <w:tcPr>
                            <w:tcW w:w="763" w:type="dxa"/>
                            <w:tcBorders>
                              <w:top w:val="single" w:sz="4" w:space="0" w:color="auto"/>
                              <w:left w:val="nil"/>
                              <w:bottom w:val="single" w:sz="4" w:space="0" w:color="auto"/>
                              <w:right w:val="single" w:sz="4" w:space="0" w:color="auto"/>
                            </w:tcBorders>
                            <w:shd w:val="clear" w:color="auto" w:fill="auto"/>
                            <w:noWrap/>
                            <w:vAlign w:val="center"/>
                          </w:tcPr>
                          <w:p w14:paraId="4B74E796"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r w:rsidRPr="00573712">
                              <w:rPr>
                                <w:rFonts w:ascii="標楷體" w:eastAsia="標楷體" w:hAnsi="標楷體"/>
                                <w:color w:val="000000"/>
                                <w:sz w:val="20"/>
                                <w:szCs w:val="20"/>
                              </w:rPr>
                              <w:t>1</w:t>
                            </w:r>
                          </w:p>
                        </w:tc>
                        <w:tc>
                          <w:tcPr>
                            <w:tcW w:w="763" w:type="dxa"/>
                            <w:tcBorders>
                              <w:top w:val="single" w:sz="4" w:space="0" w:color="auto"/>
                              <w:left w:val="nil"/>
                              <w:bottom w:val="single" w:sz="4" w:space="0" w:color="auto"/>
                              <w:right w:val="single" w:sz="4" w:space="0" w:color="auto"/>
                            </w:tcBorders>
                            <w:shd w:val="clear" w:color="auto" w:fill="auto"/>
                            <w:noWrap/>
                            <w:vAlign w:val="center"/>
                          </w:tcPr>
                          <w:p w14:paraId="5EE5398F"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6</w:t>
                            </w:r>
                            <w:r w:rsidRPr="00573712">
                              <w:rPr>
                                <w:rFonts w:ascii="標楷體" w:eastAsia="標楷體" w:hAnsi="標楷體"/>
                                <w:color w:val="000000"/>
                                <w:sz w:val="20"/>
                                <w:szCs w:val="20"/>
                              </w:rPr>
                              <w:t>9</w:t>
                            </w:r>
                          </w:p>
                        </w:tc>
                        <w:tc>
                          <w:tcPr>
                            <w:tcW w:w="532" w:type="dxa"/>
                            <w:tcBorders>
                              <w:top w:val="single" w:sz="4" w:space="0" w:color="auto"/>
                              <w:left w:val="nil"/>
                              <w:bottom w:val="single" w:sz="4" w:space="0" w:color="auto"/>
                              <w:right w:val="single" w:sz="4" w:space="0" w:color="auto"/>
                            </w:tcBorders>
                            <w:shd w:val="clear" w:color="auto" w:fill="auto"/>
                            <w:noWrap/>
                            <w:vAlign w:val="center"/>
                          </w:tcPr>
                          <w:p w14:paraId="1ADE1B83"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r w:rsidRPr="00573712">
                              <w:rPr>
                                <w:rFonts w:ascii="標楷體" w:eastAsia="標楷體" w:hAnsi="標楷體"/>
                                <w:color w:val="000000"/>
                                <w:sz w:val="20"/>
                                <w:szCs w:val="20"/>
                              </w:rPr>
                              <w:t>0</w:t>
                            </w:r>
                          </w:p>
                        </w:tc>
                        <w:tc>
                          <w:tcPr>
                            <w:tcW w:w="532" w:type="dxa"/>
                            <w:tcBorders>
                              <w:top w:val="single" w:sz="4" w:space="0" w:color="auto"/>
                              <w:left w:val="nil"/>
                              <w:bottom w:val="single" w:sz="4" w:space="0" w:color="auto"/>
                              <w:right w:val="single" w:sz="4" w:space="0" w:color="auto"/>
                            </w:tcBorders>
                            <w:shd w:val="clear" w:color="auto" w:fill="auto"/>
                            <w:noWrap/>
                            <w:vAlign w:val="center"/>
                          </w:tcPr>
                          <w:p w14:paraId="55D22E08"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6</w:t>
                            </w:r>
                            <w:r w:rsidRPr="00573712">
                              <w:rPr>
                                <w:rFonts w:ascii="標楷體" w:eastAsia="標楷體" w:hAnsi="標楷體"/>
                                <w:color w:val="000000"/>
                                <w:sz w:val="20"/>
                                <w:szCs w:val="20"/>
                              </w:rPr>
                              <w:t>7</w:t>
                            </w:r>
                          </w:p>
                        </w:tc>
                        <w:tc>
                          <w:tcPr>
                            <w:tcW w:w="523" w:type="dxa"/>
                            <w:tcBorders>
                              <w:top w:val="single" w:sz="4" w:space="0" w:color="auto"/>
                              <w:left w:val="nil"/>
                              <w:bottom w:val="single" w:sz="4" w:space="0" w:color="auto"/>
                              <w:right w:val="single" w:sz="4" w:space="0" w:color="auto"/>
                            </w:tcBorders>
                            <w:vAlign w:val="center"/>
                          </w:tcPr>
                          <w:p w14:paraId="7B3CC0A5"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w:t>
                            </w:r>
                          </w:p>
                        </w:tc>
                        <w:tc>
                          <w:tcPr>
                            <w:tcW w:w="524" w:type="dxa"/>
                            <w:tcBorders>
                              <w:top w:val="single" w:sz="4" w:space="0" w:color="auto"/>
                              <w:left w:val="nil"/>
                              <w:bottom w:val="single" w:sz="4" w:space="0" w:color="auto"/>
                              <w:right w:val="single" w:sz="4" w:space="0" w:color="auto"/>
                            </w:tcBorders>
                            <w:vAlign w:val="center"/>
                          </w:tcPr>
                          <w:p w14:paraId="64B76EAE"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p>
                        </w:tc>
                      </w:tr>
                      <w:tr w:rsidR="004551F8" w:rsidRPr="00573712" w14:paraId="4EC0C9AF" w14:textId="77777777" w:rsidTr="00824CD6">
                        <w:trPr>
                          <w:trHeight w:val="34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C3B65"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北投區</w:t>
                            </w:r>
                          </w:p>
                          <w:p w14:paraId="719F6B3A" w14:textId="77777777" w:rsidR="004551F8" w:rsidRPr="00573712" w:rsidRDefault="004551F8" w:rsidP="00824CD6">
                            <w:pPr>
                              <w:spacing w:line="220" w:lineRule="exact"/>
                              <w:jc w:val="center"/>
                              <w:rPr>
                                <w:rFonts w:ascii="標楷體" w:eastAsia="標楷體" w:hAnsi="標楷體"/>
                                <w:color w:val="000000"/>
                                <w:sz w:val="20"/>
                                <w:szCs w:val="20"/>
                              </w:rPr>
                            </w:pPr>
                            <w:r w:rsidRPr="00573712">
                              <w:rPr>
                                <w:rFonts w:ascii="標楷體" w:eastAsia="標楷體" w:hAnsi="標楷體" w:hint="eastAsia"/>
                                <w:color w:val="000000"/>
                                <w:sz w:val="20"/>
                                <w:szCs w:val="20"/>
                              </w:rPr>
                              <w:t>秀山里</w:t>
                            </w:r>
                          </w:p>
                        </w:tc>
                        <w:tc>
                          <w:tcPr>
                            <w:tcW w:w="763" w:type="dxa"/>
                            <w:tcBorders>
                              <w:top w:val="single" w:sz="4" w:space="0" w:color="auto"/>
                              <w:left w:val="nil"/>
                              <w:bottom w:val="single" w:sz="4" w:space="0" w:color="auto"/>
                              <w:right w:val="single" w:sz="4" w:space="0" w:color="auto"/>
                            </w:tcBorders>
                            <w:shd w:val="clear" w:color="auto" w:fill="auto"/>
                            <w:noWrap/>
                            <w:vAlign w:val="center"/>
                          </w:tcPr>
                          <w:p w14:paraId="0BE19299"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color w:val="000000"/>
                                <w:sz w:val="20"/>
                                <w:szCs w:val="20"/>
                              </w:rPr>
                              <w:t>12</w:t>
                            </w:r>
                          </w:p>
                        </w:tc>
                        <w:tc>
                          <w:tcPr>
                            <w:tcW w:w="763" w:type="dxa"/>
                            <w:tcBorders>
                              <w:top w:val="single" w:sz="4" w:space="0" w:color="auto"/>
                              <w:left w:val="nil"/>
                              <w:bottom w:val="single" w:sz="4" w:space="0" w:color="auto"/>
                              <w:right w:val="single" w:sz="4" w:space="0" w:color="auto"/>
                            </w:tcBorders>
                            <w:shd w:val="clear" w:color="auto" w:fill="auto"/>
                            <w:noWrap/>
                            <w:vAlign w:val="center"/>
                          </w:tcPr>
                          <w:p w14:paraId="67C1BB3D"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3</w:t>
                            </w:r>
                            <w:r w:rsidRPr="00573712">
                              <w:rPr>
                                <w:rFonts w:ascii="標楷體" w:eastAsia="標楷體" w:hAnsi="標楷體"/>
                                <w:color w:val="000000"/>
                                <w:sz w:val="20"/>
                                <w:szCs w:val="20"/>
                              </w:rPr>
                              <w:t>1</w:t>
                            </w:r>
                          </w:p>
                        </w:tc>
                        <w:tc>
                          <w:tcPr>
                            <w:tcW w:w="532" w:type="dxa"/>
                            <w:tcBorders>
                              <w:top w:val="single" w:sz="4" w:space="0" w:color="auto"/>
                              <w:left w:val="nil"/>
                              <w:bottom w:val="single" w:sz="4" w:space="0" w:color="auto"/>
                              <w:right w:val="single" w:sz="4" w:space="0" w:color="auto"/>
                            </w:tcBorders>
                            <w:shd w:val="clear" w:color="auto" w:fill="auto"/>
                            <w:noWrap/>
                            <w:vAlign w:val="center"/>
                          </w:tcPr>
                          <w:p w14:paraId="0E391431"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w:t>
                            </w:r>
                            <w:r w:rsidRPr="00573712">
                              <w:rPr>
                                <w:rFonts w:ascii="標楷體" w:eastAsia="標楷體" w:hAnsi="標楷體"/>
                                <w:color w:val="000000"/>
                                <w:sz w:val="20"/>
                                <w:szCs w:val="20"/>
                              </w:rPr>
                              <w:t>1</w:t>
                            </w:r>
                          </w:p>
                        </w:tc>
                        <w:tc>
                          <w:tcPr>
                            <w:tcW w:w="532" w:type="dxa"/>
                            <w:tcBorders>
                              <w:top w:val="single" w:sz="4" w:space="0" w:color="auto"/>
                              <w:left w:val="nil"/>
                              <w:bottom w:val="single" w:sz="4" w:space="0" w:color="auto"/>
                              <w:right w:val="single" w:sz="4" w:space="0" w:color="auto"/>
                            </w:tcBorders>
                            <w:shd w:val="clear" w:color="auto" w:fill="auto"/>
                            <w:noWrap/>
                            <w:vAlign w:val="center"/>
                          </w:tcPr>
                          <w:p w14:paraId="3EC84709"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2</w:t>
                            </w:r>
                            <w:r w:rsidRPr="00573712">
                              <w:rPr>
                                <w:rFonts w:ascii="標楷體" w:eastAsia="標楷體" w:hAnsi="標楷體"/>
                                <w:color w:val="000000"/>
                                <w:sz w:val="20"/>
                                <w:szCs w:val="20"/>
                              </w:rPr>
                              <w:t>8</w:t>
                            </w:r>
                          </w:p>
                        </w:tc>
                        <w:tc>
                          <w:tcPr>
                            <w:tcW w:w="523" w:type="dxa"/>
                            <w:tcBorders>
                              <w:top w:val="single" w:sz="4" w:space="0" w:color="auto"/>
                              <w:left w:val="nil"/>
                              <w:bottom w:val="single" w:sz="4" w:space="0" w:color="auto"/>
                              <w:right w:val="single" w:sz="4" w:space="0" w:color="auto"/>
                            </w:tcBorders>
                            <w:vAlign w:val="center"/>
                          </w:tcPr>
                          <w:p w14:paraId="2459F6B1"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1</w:t>
                            </w:r>
                          </w:p>
                        </w:tc>
                        <w:tc>
                          <w:tcPr>
                            <w:tcW w:w="524" w:type="dxa"/>
                            <w:tcBorders>
                              <w:top w:val="single" w:sz="4" w:space="0" w:color="auto"/>
                              <w:left w:val="nil"/>
                              <w:bottom w:val="single" w:sz="4" w:space="0" w:color="auto"/>
                              <w:right w:val="single" w:sz="4" w:space="0" w:color="auto"/>
                            </w:tcBorders>
                            <w:vAlign w:val="center"/>
                          </w:tcPr>
                          <w:p w14:paraId="2A59B6A6" w14:textId="77777777" w:rsidR="004551F8" w:rsidRPr="00573712" w:rsidRDefault="004551F8" w:rsidP="00824CD6">
                            <w:pPr>
                              <w:spacing w:line="220" w:lineRule="exact"/>
                              <w:ind w:rightChars="30" w:right="72"/>
                              <w:jc w:val="right"/>
                              <w:rPr>
                                <w:rFonts w:ascii="標楷體" w:eastAsia="標楷體" w:hAnsi="標楷體"/>
                                <w:color w:val="000000"/>
                                <w:sz w:val="20"/>
                                <w:szCs w:val="20"/>
                              </w:rPr>
                            </w:pPr>
                            <w:r w:rsidRPr="00573712">
                              <w:rPr>
                                <w:rFonts w:ascii="標楷體" w:eastAsia="標楷體" w:hAnsi="標楷體" w:hint="eastAsia"/>
                                <w:color w:val="000000"/>
                                <w:sz w:val="20"/>
                                <w:szCs w:val="20"/>
                              </w:rPr>
                              <w:t>3</w:t>
                            </w:r>
                          </w:p>
                        </w:tc>
                      </w:tr>
                    </w:tbl>
                    <w:p w14:paraId="55060E12" w14:textId="77777777" w:rsidR="004551F8" w:rsidRPr="00762B5F" w:rsidRDefault="004551F8" w:rsidP="004551F8">
                      <w:pPr>
                        <w:spacing w:line="180" w:lineRule="exact"/>
                        <w:ind w:left="558" w:rightChars="-31" w:right="-74" w:hangingChars="310" w:hanging="558"/>
                        <w:jc w:val="both"/>
                        <w:rPr>
                          <w:rFonts w:ascii="標楷體" w:eastAsia="標楷體" w:hAnsi="標楷體"/>
                          <w:sz w:val="18"/>
                          <w:szCs w:val="18"/>
                        </w:rPr>
                      </w:pPr>
                      <w:proofErr w:type="gramStart"/>
                      <w:r w:rsidRPr="00762B5F">
                        <w:rPr>
                          <w:rFonts w:ascii="標楷體" w:eastAsia="標楷體" w:hAnsi="標楷體" w:hint="eastAsia"/>
                          <w:sz w:val="18"/>
                          <w:szCs w:val="18"/>
                        </w:rPr>
                        <w:t>註</w:t>
                      </w:r>
                      <w:proofErr w:type="gramEnd"/>
                      <w:r w:rsidRPr="00762B5F">
                        <w:rPr>
                          <w:rFonts w:ascii="標楷體" w:eastAsia="標楷體" w:hAnsi="標楷體" w:hint="eastAsia"/>
                          <w:sz w:val="18"/>
                          <w:szCs w:val="18"/>
                        </w:rPr>
                        <w:t>：1</w:t>
                      </w:r>
                      <w:r w:rsidRPr="00762B5F">
                        <w:rPr>
                          <w:rFonts w:ascii="標楷體" w:eastAsia="標楷體" w:hAnsi="標楷體"/>
                          <w:sz w:val="18"/>
                          <w:szCs w:val="18"/>
                        </w:rPr>
                        <w:t>.</w:t>
                      </w:r>
                      <w:r w:rsidRPr="00762B5F">
                        <w:rPr>
                          <w:rFonts w:ascii="標楷體" w:eastAsia="標楷體" w:hAnsi="標楷體" w:hint="eastAsia"/>
                          <w:sz w:val="18"/>
                          <w:szCs w:val="18"/>
                        </w:rPr>
                        <w:t>臺北市山坡地資訊整合系統公布資料更新時間為113年10月底。</w:t>
                      </w:r>
                    </w:p>
                    <w:p w14:paraId="6456BE06" w14:textId="77777777" w:rsidR="004551F8" w:rsidRPr="00050B9B" w:rsidRDefault="004551F8" w:rsidP="005D009F">
                      <w:pPr>
                        <w:spacing w:line="180" w:lineRule="exact"/>
                        <w:ind w:leftChars="150" w:left="545" w:rightChars="-31" w:right="-74" w:hangingChars="103" w:hanging="185"/>
                        <w:jc w:val="both"/>
                        <w:rPr>
                          <w:rFonts w:ascii="標楷體" w:eastAsia="標楷體" w:hAnsi="標楷體"/>
                          <w:spacing w:val="2"/>
                          <w:sz w:val="18"/>
                          <w:szCs w:val="18"/>
                        </w:rPr>
                      </w:pPr>
                      <w:r w:rsidRPr="00762B5F">
                        <w:rPr>
                          <w:rFonts w:ascii="標楷體" w:eastAsia="標楷體" w:hAnsi="標楷體" w:hint="eastAsia"/>
                          <w:sz w:val="18"/>
                          <w:szCs w:val="18"/>
                        </w:rPr>
                        <w:t>2</w:t>
                      </w:r>
                      <w:r w:rsidRPr="00762B5F">
                        <w:rPr>
                          <w:rFonts w:ascii="標楷體" w:eastAsia="標楷體" w:hAnsi="標楷體"/>
                          <w:sz w:val="18"/>
                          <w:szCs w:val="18"/>
                        </w:rPr>
                        <w:t>.</w:t>
                      </w:r>
                      <w:r w:rsidRPr="00762B5F">
                        <w:rPr>
                          <w:rFonts w:ascii="標楷體" w:eastAsia="標楷體" w:hAnsi="標楷體" w:hint="eastAsia"/>
                          <w:sz w:val="18"/>
                          <w:szCs w:val="18"/>
                        </w:rPr>
                        <w:t>資料來源：</w:t>
                      </w:r>
                      <w:r w:rsidRPr="00050B9B">
                        <w:rPr>
                          <w:rFonts w:ascii="標楷體" w:eastAsia="標楷體" w:hAnsi="標楷體" w:hint="eastAsia"/>
                          <w:spacing w:val="2"/>
                          <w:sz w:val="18"/>
                          <w:szCs w:val="18"/>
                        </w:rPr>
                        <w:t>整理自臺北市山坡地資訊整合系統、臺北市內湖區公所、臺北市北投區公所網站。</w:t>
                      </w:r>
                    </w:p>
                  </w:txbxContent>
                </v:textbox>
                <w10:wrap type="square" anchorx="margin"/>
              </v:shape>
            </w:pict>
          </mc:Fallback>
        </mc:AlternateContent>
      </w:r>
      <w:r w:rsidRPr="00B474B8">
        <w:rPr>
          <w:rFonts w:ascii="標楷體" w:eastAsia="標楷體" w:hAnsi="標楷體" w:hint="eastAsia"/>
          <w:szCs w:val="24"/>
        </w:rPr>
        <w:t>臺北市政府為執行災害防救會報事務，設立臺北市災害防救辦公室，</w:t>
      </w:r>
      <w:proofErr w:type="gramStart"/>
      <w:r w:rsidRPr="00B474B8">
        <w:rPr>
          <w:rFonts w:ascii="標楷體" w:eastAsia="標楷體" w:hAnsi="標楷體" w:hint="eastAsia"/>
          <w:szCs w:val="24"/>
        </w:rPr>
        <w:t>並置減災</w:t>
      </w:r>
      <w:proofErr w:type="gramEnd"/>
      <w:r w:rsidRPr="00B474B8">
        <w:rPr>
          <w:rFonts w:ascii="標楷體" w:eastAsia="標楷體" w:hAnsi="標楷體" w:hint="eastAsia"/>
          <w:szCs w:val="24"/>
        </w:rPr>
        <w:t>規劃組、應變動員組及調查復原組等工作小組，分由消防局科室主管兼任組長，112及</w:t>
      </w:r>
      <w:proofErr w:type="gramStart"/>
      <w:r w:rsidRPr="00B474B8">
        <w:rPr>
          <w:rFonts w:ascii="標楷體" w:eastAsia="標楷體" w:hAnsi="標楷體" w:hint="eastAsia"/>
          <w:szCs w:val="24"/>
        </w:rPr>
        <w:t>113</w:t>
      </w:r>
      <w:proofErr w:type="gramEnd"/>
      <w:r w:rsidRPr="00B474B8">
        <w:rPr>
          <w:rFonts w:ascii="標楷體" w:eastAsia="標楷體" w:hAnsi="標楷體" w:hint="eastAsia"/>
          <w:szCs w:val="24"/>
        </w:rPr>
        <w:t>年度各編列預算1億6,957萬餘元及1億9,587萬餘元，執行災害防救工作，期提升防救災應變能力。經查消防</w:t>
      </w:r>
      <w:proofErr w:type="gramStart"/>
      <w:r w:rsidRPr="00B474B8">
        <w:rPr>
          <w:rFonts w:ascii="標楷體" w:eastAsia="標楷體" w:hAnsi="標楷體" w:hint="eastAsia"/>
          <w:szCs w:val="24"/>
        </w:rPr>
        <w:t>局綜整</w:t>
      </w:r>
      <w:proofErr w:type="gramEnd"/>
      <w:r w:rsidRPr="00B474B8">
        <w:rPr>
          <w:rFonts w:ascii="標楷體" w:eastAsia="標楷體" w:hAnsi="標楷體" w:hint="eastAsia"/>
          <w:szCs w:val="24"/>
        </w:rPr>
        <w:t>各項防救災措施執行情形，核有：1.依臺北市室內避難收容處所選定評估參考原則，室內避難收容處所每人4平方公尺為原則。截至113年10月</w:t>
      </w:r>
      <w:proofErr w:type="gramStart"/>
      <w:r w:rsidRPr="00B474B8">
        <w:rPr>
          <w:rFonts w:ascii="標楷體" w:eastAsia="標楷體" w:hAnsi="標楷體" w:hint="eastAsia"/>
          <w:szCs w:val="24"/>
        </w:rPr>
        <w:t>止</w:t>
      </w:r>
      <w:proofErr w:type="gramEnd"/>
      <w:r w:rsidRPr="00B474B8">
        <w:rPr>
          <w:rFonts w:ascii="標楷體" w:eastAsia="標楷體" w:hAnsi="標楷體" w:hint="eastAsia"/>
          <w:szCs w:val="24"/>
        </w:rPr>
        <w:t>臺北市設置可供水災、震災及土石流等災害之室內緊急避難收容處所計314處，經按各該避難收容處所室內面積除以最大收容人數，核有39處每人可用空間不足4平方公尺，甚有6處不足2平方公尺，核與前開原則有間；2.臺北市政府工務局大地工程處為執行各項防災措施及災害搶救準備工作，每年更新土石流、老舊聚落及</w:t>
      </w:r>
      <w:proofErr w:type="gramStart"/>
      <w:r w:rsidRPr="00B474B8">
        <w:rPr>
          <w:rFonts w:ascii="標楷體" w:eastAsia="標楷體" w:hAnsi="標楷體" w:hint="eastAsia"/>
          <w:szCs w:val="24"/>
        </w:rPr>
        <w:t>列管邊坡</w:t>
      </w:r>
      <w:proofErr w:type="gramEnd"/>
      <w:r w:rsidRPr="00B474B8">
        <w:rPr>
          <w:rFonts w:ascii="標楷體" w:eastAsia="標楷體" w:hAnsi="標楷體" w:hint="eastAsia"/>
          <w:szCs w:val="24"/>
        </w:rPr>
        <w:t>等防災地圖，並按月於臺北市山坡地資訊整合系統更新相關保全住戶</w:t>
      </w:r>
      <w:proofErr w:type="gramStart"/>
      <w:r w:rsidRPr="00B474B8">
        <w:rPr>
          <w:rFonts w:ascii="標楷體" w:eastAsia="標楷體" w:hAnsi="標楷體" w:hint="eastAsia"/>
          <w:szCs w:val="24"/>
        </w:rPr>
        <w:t>戶</w:t>
      </w:r>
      <w:proofErr w:type="gramEnd"/>
      <w:r w:rsidRPr="00B474B8">
        <w:rPr>
          <w:rFonts w:ascii="標楷體" w:eastAsia="標楷體" w:hAnsi="標楷體" w:hint="eastAsia"/>
          <w:szCs w:val="24"/>
        </w:rPr>
        <w:t>數及人數，惟該系統公布資訊與部分區公所網站公布之土石流保全住戶</w:t>
      </w:r>
      <w:proofErr w:type="gramStart"/>
      <w:r w:rsidRPr="00B474B8">
        <w:rPr>
          <w:rFonts w:ascii="標楷體" w:eastAsia="標楷體" w:hAnsi="標楷體" w:hint="eastAsia"/>
          <w:szCs w:val="24"/>
        </w:rPr>
        <w:t>戶</w:t>
      </w:r>
      <w:proofErr w:type="gramEnd"/>
      <w:r w:rsidRPr="00B474B8">
        <w:rPr>
          <w:rFonts w:ascii="標楷體" w:eastAsia="標楷體" w:hAnsi="標楷體" w:hint="eastAsia"/>
          <w:szCs w:val="24"/>
        </w:rPr>
        <w:t>數及人數互不一致（表1），又臺北市士林區等區公所公布溪山里等4處疏散避難地圖非最新版本、臺北市文山區公所公布政大里山坡地聚落疏散避難路線圖面資訊模糊；3.為爭取災害應變時效，於臺北市各級災害應變中心作業要點增設「強化三級」開設層級。截至</w:t>
      </w:r>
      <w:proofErr w:type="gramStart"/>
      <w:r w:rsidRPr="00B474B8">
        <w:rPr>
          <w:rFonts w:ascii="標楷體" w:eastAsia="標楷體" w:hAnsi="標楷體" w:hint="eastAsia"/>
          <w:szCs w:val="24"/>
        </w:rPr>
        <w:t>113</w:t>
      </w:r>
      <w:proofErr w:type="gramEnd"/>
      <w:r w:rsidRPr="00B474B8">
        <w:rPr>
          <w:rFonts w:ascii="標楷體" w:eastAsia="標楷體" w:hAnsi="標楷體" w:hint="eastAsia"/>
          <w:szCs w:val="24"/>
        </w:rPr>
        <w:t>年度0922水災為止，計開設14次市級災害應變中心強化三級，</w:t>
      </w:r>
      <w:proofErr w:type="gramStart"/>
      <w:r w:rsidRPr="00B474B8">
        <w:rPr>
          <w:rFonts w:ascii="標楷體" w:eastAsia="標楷體" w:hAnsi="標楷體" w:hint="eastAsia"/>
          <w:szCs w:val="24"/>
        </w:rPr>
        <w:t>惟前揭</w:t>
      </w:r>
      <w:proofErr w:type="gramEnd"/>
      <w:r w:rsidRPr="00B474B8">
        <w:rPr>
          <w:rFonts w:ascii="標楷體" w:eastAsia="標楷體" w:hAnsi="標楷體" w:hint="eastAsia"/>
          <w:szCs w:val="24"/>
        </w:rPr>
        <w:t>要點尚未就強化三級開設時機、功能群組、輪值機制等詳加規範等情事，經函請</w:t>
      </w:r>
      <w:proofErr w:type="gramStart"/>
      <w:r w:rsidRPr="00B474B8">
        <w:rPr>
          <w:rFonts w:ascii="標楷體" w:eastAsia="標楷體" w:hAnsi="標楷體" w:hint="eastAsia"/>
          <w:szCs w:val="24"/>
        </w:rPr>
        <w:t>研謀妥處</w:t>
      </w:r>
      <w:proofErr w:type="gramEnd"/>
      <w:r w:rsidRPr="00B474B8">
        <w:rPr>
          <w:rFonts w:ascii="標楷體" w:eastAsia="標楷體" w:hAnsi="標楷體" w:hint="eastAsia"/>
          <w:szCs w:val="24"/>
        </w:rPr>
        <w:t>。據復：1.業修正該39處收容量能，以符規範；2.已請區公所更正保全住戶資料及疏散避難路線圖；3.已增訂強化三級相關規定。</w:t>
      </w:r>
    </w:p>
    <w:p w14:paraId="7F00638B" w14:textId="61E214F3" w:rsidR="004551F8" w:rsidRPr="00CE4DB8" w:rsidRDefault="004551F8" w:rsidP="00F159FD">
      <w:pPr>
        <w:widowControl/>
        <w:suppressAutoHyphens/>
        <w:overflowPunct w:val="0"/>
        <w:spacing w:beforeLines="50" w:before="180" w:afterLines="35" w:after="126" w:line="400" w:lineRule="exact"/>
        <w:ind w:firstLineChars="100" w:firstLine="280"/>
        <w:jc w:val="both"/>
        <w:rPr>
          <w:rFonts w:ascii="標楷體" w:eastAsia="標楷體" w:hAnsi="標楷體" w:cs="Times New Roman"/>
          <w:b/>
          <w:sz w:val="28"/>
          <w:szCs w:val="28"/>
        </w:rPr>
      </w:pPr>
      <w:r w:rsidRPr="00B474B8">
        <w:rPr>
          <w:rFonts w:ascii="標楷體" w:eastAsia="標楷體" w:hAnsi="標楷體" w:cs="Times New Roman" w:hint="eastAsia"/>
          <w:b/>
          <w:sz w:val="28"/>
          <w:szCs w:val="28"/>
        </w:rPr>
        <w:t>（四）</w:t>
      </w:r>
      <w:proofErr w:type="gramStart"/>
      <w:r w:rsidRPr="00B474B8">
        <w:rPr>
          <w:rFonts w:ascii="標楷體" w:eastAsia="標楷體" w:hAnsi="標楷體" w:cs="Times New Roman" w:hint="eastAsia"/>
          <w:b/>
          <w:sz w:val="28"/>
          <w:szCs w:val="28"/>
        </w:rPr>
        <w:t>11</w:t>
      </w:r>
      <w:r w:rsidRPr="00B474B8">
        <w:rPr>
          <w:rFonts w:ascii="標楷體" w:eastAsia="標楷體" w:hAnsi="標楷體" w:cs="Times New Roman"/>
          <w:b/>
          <w:sz w:val="28"/>
          <w:szCs w:val="28"/>
        </w:rPr>
        <w:t>2</w:t>
      </w:r>
      <w:proofErr w:type="gramEnd"/>
      <w:r w:rsidRPr="00B474B8">
        <w:rPr>
          <w:rFonts w:ascii="標楷體" w:eastAsia="標楷體" w:hAnsi="標楷體" w:cs="Times New Roman" w:hint="eastAsia"/>
          <w:b/>
          <w:sz w:val="28"/>
          <w:szCs w:val="28"/>
        </w:rPr>
        <w:t>年度重要審核意見追蹤查核情形</w:t>
      </w:r>
    </w:p>
    <w:p w14:paraId="4CF7D836" w14:textId="33D141F1" w:rsidR="004551F8" w:rsidRDefault="004551F8" w:rsidP="00BC3717">
      <w:pPr>
        <w:spacing w:line="400" w:lineRule="exact"/>
        <w:ind w:firstLineChars="200" w:firstLine="480"/>
        <w:jc w:val="both"/>
        <w:rPr>
          <w:rFonts w:ascii="標楷體" w:eastAsia="標楷體" w:hAnsi="標楷體" w:cs="Times New Roman"/>
          <w:szCs w:val="24"/>
        </w:rPr>
      </w:pPr>
      <w:r w:rsidRPr="00B474B8">
        <w:rPr>
          <w:rFonts w:ascii="標楷體" w:eastAsia="標楷體" w:hAnsi="標楷體" w:cs="Times New Roman" w:hint="eastAsia"/>
          <w:szCs w:val="24"/>
        </w:rPr>
        <w:t>本處於</w:t>
      </w:r>
      <w:proofErr w:type="gramStart"/>
      <w:r w:rsidRPr="00B474B8">
        <w:rPr>
          <w:rFonts w:ascii="標楷體" w:eastAsia="標楷體" w:hAnsi="標楷體" w:cs="Times New Roman" w:hint="eastAsia"/>
          <w:szCs w:val="24"/>
        </w:rPr>
        <w:t>11</w:t>
      </w:r>
      <w:r w:rsidRPr="00B474B8">
        <w:rPr>
          <w:rFonts w:ascii="標楷體" w:eastAsia="標楷體" w:hAnsi="標楷體" w:cs="Times New Roman"/>
          <w:szCs w:val="24"/>
        </w:rPr>
        <w:t>2</w:t>
      </w:r>
      <w:proofErr w:type="gramEnd"/>
      <w:r w:rsidRPr="00B474B8">
        <w:rPr>
          <w:rFonts w:ascii="標楷體" w:eastAsia="標楷體" w:hAnsi="標楷體" w:cs="Times New Roman" w:hint="eastAsia"/>
          <w:szCs w:val="24"/>
        </w:rPr>
        <w:t>年度審核報告內列重要審核意見</w:t>
      </w:r>
      <w:r w:rsidRPr="00B474B8">
        <w:rPr>
          <w:rFonts w:ascii="標楷體" w:eastAsia="標楷體" w:hAnsi="標楷體" w:cs="Times New Roman"/>
          <w:szCs w:val="24"/>
        </w:rPr>
        <w:t>2</w:t>
      </w:r>
      <w:r w:rsidRPr="00B474B8">
        <w:rPr>
          <w:rFonts w:ascii="標楷體" w:eastAsia="標楷體" w:hAnsi="標楷體" w:cs="Times New Roman" w:hint="eastAsia"/>
          <w:szCs w:val="24"/>
        </w:rPr>
        <w:t>項，經</w:t>
      </w:r>
      <w:proofErr w:type="gramStart"/>
      <w:r w:rsidRPr="00B474B8">
        <w:rPr>
          <w:rFonts w:ascii="標楷體" w:eastAsia="標楷體" w:hAnsi="標楷體" w:cs="Times New Roman" w:hint="eastAsia"/>
          <w:szCs w:val="24"/>
        </w:rPr>
        <w:t>賡</w:t>
      </w:r>
      <w:proofErr w:type="gramEnd"/>
      <w:r w:rsidRPr="00B474B8">
        <w:rPr>
          <w:rFonts w:ascii="標楷體" w:eastAsia="標楷體" w:hAnsi="標楷體" w:cs="Times New Roman" w:hint="eastAsia"/>
          <w:szCs w:val="24"/>
        </w:rPr>
        <w:t>續追蹤查核實際辦理結果，均已</w:t>
      </w:r>
      <w:proofErr w:type="gramStart"/>
      <w:r w:rsidRPr="00B474B8">
        <w:rPr>
          <w:rFonts w:ascii="標楷體" w:eastAsia="標楷體" w:hAnsi="標楷體" w:cs="Times New Roman" w:hint="eastAsia"/>
          <w:szCs w:val="24"/>
        </w:rPr>
        <w:t>研</w:t>
      </w:r>
      <w:proofErr w:type="gramEnd"/>
      <w:r w:rsidRPr="00B474B8">
        <w:rPr>
          <w:rFonts w:ascii="標楷體" w:eastAsia="標楷體" w:hAnsi="標楷體" w:cs="Times New Roman" w:hint="eastAsia"/>
          <w:szCs w:val="24"/>
        </w:rPr>
        <w:t>謀改善或依改善措施持續辦理（表2）。</w:t>
      </w:r>
    </w:p>
    <w:tbl>
      <w:tblPr>
        <w:tblW w:w="4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109"/>
        <w:gridCol w:w="2790"/>
      </w:tblGrid>
      <w:tr w:rsidR="00CE4DB8" w:rsidRPr="00BC1340" w14:paraId="3CE3233B" w14:textId="77777777" w:rsidTr="00F159FD">
        <w:trPr>
          <w:trHeight w:val="397"/>
          <w:jc w:val="center"/>
        </w:trPr>
        <w:tc>
          <w:tcPr>
            <w:tcW w:w="5000" w:type="pct"/>
            <w:gridSpan w:val="2"/>
            <w:tcBorders>
              <w:top w:val="nil"/>
              <w:left w:val="nil"/>
              <w:bottom w:val="single" w:sz="4" w:space="0" w:color="auto"/>
              <w:right w:val="nil"/>
            </w:tcBorders>
            <w:vAlign w:val="center"/>
          </w:tcPr>
          <w:p w14:paraId="110661D0" w14:textId="77777777" w:rsidR="00CE4DB8" w:rsidRPr="00BC1340" w:rsidRDefault="00CE4DB8" w:rsidP="00824CD6">
            <w:pPr>
              <w:overflowPunct w:val="0"/>
              <w:snapToGrid w:val="0"/>
              <w:spacing w:line="240" w:lineRule="exact"/>
              <w:jc w:val="center"/>
              <w:rPr>
                <w:rFonts w:ascii="標楷體" w:eastAsia="標楷體" w:hAnsi="標楷體" w:cs="Times New Roman"/>
                <w:sz w:val="20"/>
                <w:szCs w:val="20"/>
              </w:rPr>
            </w:pPr>
            <w:r w:rsidRPr="00BC1340">
              <w:rPr>
                <w:rFonts w:ascii="標楷體" w:eastAsia="標楷體" w:hAnsi="標楷體" w:cs="Times New Roman" w:hint="eastAsia"/>
                <w:b/>
                <w:szCs w:val="24"/>
              </w:rPr>
              <w:t>表</w:t>
            </w:r>
            <w:r>
              <w:rPr>
                <w:rFonts w:ascii="標楷體" w:eastAsia="標楷體" w:hAnsi="標楷體" w:cs="Times New Roman" w:hint="eastAsia"/>
                <w:b/>
                <w:szCs w:val="24"/>
              </w:rPr>
              <w:t>2</w:t>
            </w:r>
            <w:r w:rsidRPr="00BC1340">
              <w:rPr>
                <w:rFonts w:ascii="標楷體" w:eastAsia="標楷體" w:hAnsi="標楷體" w:cs="Times New Roman" w:hint="eastAsia"/>
                <w:b/>
                <w:szCs w:val="24"/>
              </w:rPr>
              <w:t xml:space="preserve">　</w:t>
            </w:r>
            <w:proofErr w:type="gramStart"/>
            <w:r w:rsidRPr="00BC1340">
              <w:rPr>
                <w:rFonts w:ascii="標楷體" w:eastAsia="標楷體" w:hAnsi="標楷體" w:cs="Times New Roman"/>
                <w:b/>
                <w:szCs w:val="24"/>
              </w:rPr>
              <w:t>1</w:t>
            </w:r>
            <w:r>
              <w:rPr>
                <w:rFonts w:ascii="標楷體" w:eastAsia="標楷體" w:hAnsi="標楷體" w:cs="Times New Roman"/>
                <w:b/>
                <w:szCs w:val="24"/>
              </w:rPr>
              <w:t>12</w:t>
            </w:r>
            <w:proofErr w:type="gramEnd"/>
            <w:r w:rsidRPr="00BC1340">
              <w:rPr>
                <w:rFonts w:ascii="標楷體" w:eastAsia="標楷體" w:hAnsi="標楷體" w:cs="Times New Roman" w:hint="eastAsia"/>
                <w:b/>
                <w:szCs w:val="24"/>
              </w:rPr>
              <w:t>年度審核報告所列</w:t>
            </w:r>
            <w:r>
              <w:rPr>
                <w:rFonts w:ascii="標楷體" w:eastAsia="標楷體" w:hAnsi="標楷體" w:cs="Times New Roman" w:hint="eastAsia"/>
                <w:b/>
                <w:szCs w:val="24"/>
              </w:rPr>
              <w:t>消防</w:t>
            </w:r>
            <w:r w:rsidRPr="00BC1340">
              <w:rPr>
                <w:rFonts w:ascii="標楷體" w:eastAsia="標楷體" w:hAnsi="標楷體" w:cs="Times New Roman" w:hint="eastAsia"/>
                <w:b/>
                <w:szCs w:val="24"/>
              </w:rPr>
              <w:t>局主管重要審核意見覆核辦理情形</w:t>
            </w:r>
          </w:p>
        </w:tc>
      </w:tr>
      <w:tr w:rsidR="00CE4DB8" w:rsidRPr="00BC1340" w14:paraId="4560AB56" w14:textId="77777777" w:rsidTr="00F159FD">
        <w:trPr>
          <w:trHeight w:val="340"/>
          <w:jc w:val="center"/>
        </w:trPr>
        <w:tc>
          <w:tcPr>
            <w:tcW w:w="3591" w:type="pct"/>
            <w:tcBorders>
              <w:top w:val="single" w:sz="4" w:space="0" w:color="auto"/>
              <w:left w:val="single" w:sz="4" w:space="0" w:color="auto"/>
              <w:bottom w:val="single" w:sz="4" w:space="0" w:color="auto"/>
              <w:right w:val="single" w:sz="4" w:space="0" w:color="auto"/>
            </w:tcBorders>
            <w:vAlign w:val="center"/>
            <w:hideMark/>
          </w:tcPr>
          <w:p w14:paraId="70CB70E3" w14:textId="77777777" w:rsidR="00CE4DB8" w:rsidRPr="00BC1340" w:rsidRDefault="00CE4DB8" w:rsidP="00CE4DB8">
            <w:pPr>
              <w:overflowPunct w:val="0"/>
              <w:snapToGrid w:val="0"/>
              <w:spacing w:line="260" w:lineRule="exact"/>
              <w:jc w:val="center"/>
              <w:rPr>
                <w:rFonts w:ascii="標楷體" w:eastAsia="標楷體" w:hAnsi="標楷體" w:cs="Times New Roman"/>
                <w:sz w:val="20"/>
                <w:szCs w:val="20"/>
              </w:rPr>
            </w:pPr>
            <w:r w:rsidRPr="00BC1340">
              <w:rPr>
                <w:rFonts w:ascii="標楷體" w:eastAsia="標楷體" w:hAnsi="標楷體" w:cs="Times New Roman" w:hint="eastAsia"/>
                <w:sz w:val="20"/>
                <w:szCs w:val="20"/>
              </w:rPr>
              <w:t>重要審核意見標題</w:t>
            </w:r>
          </w:p>
        </w:tc>
        <w:tc>
          <w:tcPr>
            <w:tcW w:w="1409" w:type="pct"/>
            <w:tcBorders>
              <w:top w:val="single" w:sz="4" w:space="0" w:color="auto"/>
              <w:left w:val="single" w:sz="4" w:space="0" w:color="auto"/>
              <w:bottom w:val="single" w:sz="4" w:space="0" w:color="auto"/>
              <w:right w:val="single" w:sz="4" w:space="0" w:color="auto"/>
            </w:tcBorders>
            <w:vAlign w:val="center"/>
            <w:hideMark/>
          </w:tcPr>
          <w:p w14:paraId="47B6A83B" w14:textId="77777777" w:rsidR="00CE4DB8" w:rsidRPr="00BC1340" w:rsidRDefault="00CE4DB8" w:rsidP="00CE4DB8">
            <w:pPr>
              <w:overflowPunct w:val="0"/>
              <w:snapToGrid w:val="0"/>
              <w:spacing w:line="260" w:lineRule="exact"/>
              <w:jc w:val="center"/>
              <w:rPr>
                <w:rFonts w:ascii="標楷體" w:eastAsia="標楷體" w:hAnsi="標楷體" w:cs="Times New Roman"/>
                <w:sz w:val="20"/>
                <w:szCs w:val="20"/>
              </w:rPr>
            </w:pPr>
            <w:r w:rsidRPr="00BC1340">
              <w:rPr>
                <w:rFonts w:ascii="標楷體" w:eastAsia="標楷體" w:hAnsi="標楷體" w:cs="Times New Roman" w:hint="eastAsia"/>
                <w:sz w:val="20"/>
                <w:szCs w:val="20"/>
              </w:rPr>
              <w:t>說明</w:t>
            </w:r>
          </w:p>
        </w:tc>
      </w:tr>
      <w:tr w:rsidR="00CE4DB8" w:rsidRPr="00BC1340" w14:paraId="319FC32C" w14:textId="77777777" w:rsidTr="00F159FD">
        <w:trPr>
          <w:trHeight w:val="397"/>
          <w:jc w:val="center"/>
        </w:trPr>
        <w:tc>
          <w:tcPr>
            <w:tcW w:w="5000" w:type="pct"/>
            <w:gridSpan w:val="2"/>
            <w:tcBorders>
              <w:top w:val="single" w:sz="4" w:space="0" w:color="auto"/>
              <w:left w:val="single" w:sz="4" w:space="0" w:color="auto"/>
              <w:bottom w:val="single" w:sz="4" w:space="0" w:color="auto"/>
              <w:right w:val="single" w:sz="4" w:space="0" w:color="auto"/>
              <w:tl2br w:val="nil"/>
            </w:tcBorders>
            <w:vAlign w:val="center"/>
          </w:tcPr>
          <w:p w14:paraId="2899DC28" w14:textId="77777777" w:rsidR="00CE4DB8" w:rsidRPr="00BC1340" w:rsidRDefault="00CE4DB8" w:rsidP="00824CD6">
            <w:pPr>
              <w:overflowPunct w:val="0"/>
              <w:snapToGrid w:val="0"/>
              <w:spacing w:line="260" w:lineRule="exact"/>
              <w:rPr>
                <w:rFonts w:ascii="標楷體" w:eastAsia="標楷體" w:hAnsi="標楷體" w:cs="Times New Roman"/>
                <w:sz w:val="20"/>
                <w:szCs w:val="20"/>
              </w:rPr>
            </w:pPr>
            <w:r w:rsidRPr="00BC1340">
              <w:rPr>
                <w:rFonts w:ascii="標楷體" w:eastAsia="標楷體" w:hAnsi="標楷體" w:cs="Times New Roman" w:hint="eastAsia"/>
                <w:b/>
                <w:sz w:val="20"/>
                <w:szCs w:val="20"/>
              </w:rPr>
              <w:t>已</w:t>
            </w:r>
            <w:proofErr w:type="gramStart"/>
            <w:r w:rsidRPr="00BC1340">
              <w:rPr>
                <w:rFonts w:ascii="標楷體" w:eastAsia="標楷體" w:hAnsi="標楷體" w:cs="Times New Roman" w:hint="eastAsia"/>
                <w:b/>
                <w:sz w:val="20"/>
                <w:szCs w:val="20"/>
              </w:rPr>
              <w:t>研</w:t>
            </w:r>
            <w:proofErr w:type="gramEnd"/>
            <w:r w:rsidRPr="00BC1340">
              <w:rPr>
                <w:rFonts w:ascii="標楷體" w:eastAsia="標楷體" w:hAnsi="標楷體" w:cs="Times New Roman" w:hint="eastAsia"/>
                <w:b/>
                <w:sz w:val="20"/>
                <w:szCs w:val="20"/>
              </w:rPr>
              <w:t>謀改善或依改善措施持續辦理</w:t>
            </w:r>
          </w:p>
        </w:tc>
      </w:tr>
      <w:tr w:rsidR="00CE4DB8" w:rsidRPr="00BC1340" w14:paraId="393E4636" w14:textId="77777777" w:rsidTr="00F159FD">
        <w:trPr>
          <w:trHeight w:val="1134"/>
          <w:jc w:val="center"/>
        </w:trPr>
        <w:tc>
          <w:tcPr>
            <w:tcW w:w="3591" w:type="pct"/>
            <w:tcBorders>
              <w:top w:val="single" w:sz="4" w:space="0" w:color="auto"/>
              <w:left w:val="single" w:sz="4" w:space="0" w:color="auto"/>
              <w:bottom w:val="single" w:sz="4" w:space="0" w:color="auto"/>
              <w:right w:val="single" w:sz="4" w:space="0" w:color="auto"/>
            </w:tcBorders>
            <w:vAlign w:val="center"/>
          </w:tcPr>
          <w:p w14:paraId="590F4440" w14:textId="77777777" w:rsidR="00CE4DB8" w:rsidRPr="006D2A64" w:rsidRDefault="00CE4DB8" w:rsidP="00824CD6">
            <w:pPr>
              <w:overflowPunct w:val="0"/>
              <w:snapToGrid w:val="0"/>
              <w:spacing w:line="280" w:lineRule="exact"/>
              <w:ind w:left="200" w:hangingChars="100" w:hanging="200"/>
              <w:jc w:val="both"/>
              <w:rPr>
                <w:rFonts w:ascii="標楷體" w:eastAsia="標楷體" w:hAnsi="標楷體" w:cs="Times New Roman"/>
                <w:sz w:val="20"/>
                <w:szCs w:val="20"/>
                <w:highlight w:val="yellow"/>
              </w:rPr>
            </w:pPr>
            <w:r>
              <w:rPr>
                <w:rFonts w:ascii="標楷體" w:eastAsia="標楷體" w:hAnsi="標楷體" w:cs="Times New Roman" w:hint="eastAsia"/>
                <w:sz w:val="20"/>
                <w:szCs w:val="20"/>
              </w:rPr>
              <w:t>1</w:t>
            </w:r>
            <w:r>
              <w:rPr>
                <w:rFonts w:ascii="標楷體" w:eastAsia="標楷體" w:hAnsi="標楷體" w:cs="Times New Roman"/>
                <w:sz w:val="20"/>
                <w:szCs w:val="20"/>
              </w:rPr>
              <w:t>.</w:t>
            </w:r>
            <w:r w:rsidRPr="00FE4C62">
              <w:rPr>
                <w:rFonts w:ascii="標楷體" w:eastAsia="標楷體" w:hAnsi="標楷體" w:cs="Times New Roman" w:hint="eastAsia"/>
                <w:sz w:val="20"/>
                <w:szCs w:val="20"/>
              </w:rPr>
              <w:t>辦理臺北市</w:t>
            </w:r>
            <w:proofErr w:type="gramStart"/>
            <w:r w:rsidRPr="00FE4C62">
              <w:rPr>
                <w:rFonts w:ascii="標楷體" w:eastAsia="標楷體" w:hAnsi="標楷體" w:cs="Times New Roman" w:hint="eastAsia"/>
                <w:sz w:val="20"/>
                <w:szCs w:val="20"/>
              </w:rPr>
              <w:t>112</w:t>
            </w:r>
            <w:proofErr w:type="gramEnd"/>
            <w:r w:rsidRPr="00FE4C62">
              <w:rPr>
                <w:rFonts w:ascii="標楷體" w:eastAsia="標楷體" w:hAnsi="標楷體" w:cs="Times New Roman" w:hint="eastAsia"/>
                <w:sz w:val="20"/>
                <w:szCs w:val="20"/>
              </w:rPr>
              <w:t>年度強韌臺灣大規模風災震災整備與協作計畫，</w:t>
            </w:r>
            <w:proofErr w:type="gramStart"/>
            <w:r w:rsidRPr="00FE4C62">
              <w:rPr>
                <w:rFonts w:ascii="標楷體" w:eastAsia="標楷體" w:hAnsi="標楷體" w:cs="Times New Roman" w:hint="eastAsia"/>
                <w:sz w:val="20"/>
                <w:szCs w:val="20"/>
              </w:rPr>
              <w:t>賡</w:t>
            </w:r>
            <w:proofErr w:type="gramEnd"/>
            <w:r w:rsidRPr="00FE4C62">
              <w:rPr>
                <w:rFonts w:ascii="標楷體" w:eastAsia="標楷體" w:hAnsi="標楷體" w:cs="Times New Roman" w:hint="eastAsia"/>
                <w:sz w:val="20"/>
                <w:szCs w:val="20"/>
              </w:rPr>
              <w:t>續推動韌性社區，及盤點避難收容處所需求與能量，</w:t>
            </w:r>
            <w:proofErr w:type="gramStart"/>
            <w:r w:rsidRPr="00FE4C62">
              <w:rPr>
                <w:rFonts w:ascii="標楷體" w:eastAsia="標楷體" w:hAnsi="標楷體" w:cs="Times New Roman" w:hint="eastAsia"/>
                <w:sz w:val="20"/>
                <w:szCs w:val="20"/>
              </w:rPr>
              <w:t>惟間有較</w:t>
            </w:r>
            <w:proofErr w:type="gramEnd"/>
            <w:r w:rsidRPr="00FE4C62">
              <w:rPr>
                <w:rFonts w:ascii="標楷體" w:eastAsia="標楷體" w:hAnsi="標楷體" w:cs="Times New Roman" w:hint="eastAsia"/>
                <w:sz w:val="20"/>
                <w:szCs w:val="20"/>
              </w:rPr>
              <w:t>高震災風險地區尚未成立或推動韌性社區，另部分避難收容處所位處災害</w:t>
            </w:r>
            <w:proofErr w:type="gramStart"/>
            <w:r w:rsidRPr="00FE4C62">
              <w:rPr>
                <w:rFonts w:ascii="標楷體" w:eastAsia="標楷體" w:hAnsi="標楷體" w:cs="Times New Roman" w:hint="eastAsia"/>
                <w:sz w:val="20"/>
                <w:szCs w:val="20"/>
              </w:rPr>
              <w:t>潛勢區內</w:t>
            </w:r>
            <w:proofErr w:type="gramEnd"/>
            <w:r w:rsidRPr="00FE4C62">
              <w:rPr>
                <w:rFonts w:ascii="標楷體" w:eastAsia="標楷體" w:hAnsi="標楷體" w:cs="Times New Roman" w:hint="eastAsia"/>
                <w:sz w:val="20"/>
                <w:szCs w:val="20"/>
              </w:rPr>
              <w:t>，且機關對外公開之避難收容處所資訊有不一致等情，</w:t>
            </w:r>
            <w:proofErr w:type="gramStart"/>
            <w:r w:rsidRPr="00FE4C62">
              <w:rPr>
                <w:rFonts w:ascii="標楷體" w:eastAsia="標楷體" w:hAnsi="標楷體" w:cs="Times New Roman" w:hint="eastAsia"/>
                <w:sz w:val="20"/>
                <w:szCs w:val="20"/>
              </w:rPr>
              <w:t>均待檢討</w:t>
            </w:r>
            <w:proofErr w:type="gramEnd"/>
            <w:r w:rsidRPr="00FE4C62">
              <w:rPr>
                <w:rFonts w:ascii="標楷體" w:eastAsia="標楷體" w:hAnsi="標楷體" w:cs="Times New Roman" w:hint="eastAsia"/>
                <w:sz w:val="20"/>
                <w:szCs w:val="20"/>
              </w:rPr>
              <w:t>改善</w:t>
            </w:r>
            <w:r w:rsidRPr="001F2807">
              <w:rPr>
                <w:rFonts w:ascii="標楷體" w:eastAsia="標楷體" w:hAnsi="標楷體" w:cs="Times New Roman" w:hint="eastAsia"/>
                <w:sz w:val="20"/>
                <w:szCs w:val="20"/>
              </w:rPr>
              <w:t>。</w:t>
            </w:r>
          </w:p>
        </w:tc>
        <w:tc>
          <w:tcPr>
            <w:tcW w:w="1409" w:type="pct"/>
            <w:vMerge w:val="restart"/>
            <w:tcBorders>
              <w:left w:val="single" w:sz="4" w:space="0" w:color="auto"/>
              <w:right w:val="single" w:sz="4" w:space="0" w:color="auto"/>
              <w:tl2br w:val="single" w:sz="4" w:space="0" w:color="auto"/>
            </w:tcBorders>
          </w:tcPr>
          <w:p w14:paraId="39BA4037" w14:textId="77777777" w:rsidR="00CE4DB8" w:rsidRPr="00BC1340" w:rsidRDefault="00CE4DB8" w:rsidP="00824CD6">
            <w:pPr>
              <w:overflowPunct w:val="0"/>
              <w:snapToGrid w:val="0"/>
              <w:spacing w:line="260" w:lineRule="exact"/>
              <w:rPr>
                <w:rFonts w:ascii="標楷體" w:eastAsia="標楷體" w:hAnsi="標楷體" w:cs="Times New Roman"/>
                <w:sz w:val="20"/>
                <w:szCs w:val="20"/>
              </w:rPr>
            </w:pPr>
          </w:p>
        </w:tc>
      </w:tr>
      <w:tr w:rsidR="00CE4DB8" w:rsidRPr="00BC1340" w14:paraId="5C09630D" w14:textId="77777777" w:rsidTr="00170FDA">
        <w:trPr>
          <w:trHeight w:val="1361"/>
          <w:jc w:val="center"/>
        </w:trPr>
        <w:tc>
          <w:tcPr>
            <w:tcW w:w="3591" w:type="pct"/>
            <w:tcBorders>
              <w:top w:val="single" w:sz="4" w:space="0" w:color="auto"/>
              <w:left w:val="single" w:sz="4" w:space="0" w:color="auto"/>
              <w:bottom w:val="single" w:sz="4" w:space="0" w:color="auto"/>
              <w:right w:val="single" w:sz="4" w:space="0" w:color="auto"/>
            </w:tcBorders>
          </w:tcPr>
          <w:p w14:paraId="2518635B" w14:textId="77777777" w:rsidR="00CE4DB8" w:rsidRDefault="00CE4DB8" w:rsidP="00170FDA">
            <w:pPr>
              <w:overflowPunct w:val="0"/>
              <w:snapToGrid w:val="0"/>
              <w:spacing w:line="300" w:lineRule="exact"/>
              <w:ind w:left="200" w:hangingChars="100" w:hanging="200"/>
              <w:jc w:val="both"/>
              <w:rPr>
                <w:rFonts w:ascii="標楷體" w:eastAsia="標楷體" w:hAnsi="標楷體" w:cs="Times New Roman"/>
                <w:sz w:val="20"/>
                <w:szCs w:val="20"/>
              </w:rPr>
            </w:pPr>
            <w:r>
              <w:rPr>
                <w:rFonts w:ascii="標楷體" w:eastAsia="標楷體" w:hAnsi="標楷體" w:cs="Times New Roman"/>
                <w:sz w:val="20"/>
                <w:szCs w:val="20"/>
              </w:rPr>
              <w:t>2.</w:t>
            </w:r>
            <w:r>
              <w:rPr>
                <w:rFonts w:ascii="標楷體" w:eastAsia="標楷體" w:hAnsi="標楷體" w:cs="Times New Roman" w:hint="eastAsia"/>
                <w:sz w:val="20"/>
                <w:szCs w:val="20"/>
              </w:rPr>
              <w:t>為</w:t>
            </w:r>
            <w:r w:rsidRPr="00FE4C62">
              <w:rPr>
                <w:rFonts w:ascii="標楷體" w:eastAsia="標楷體" w:hAnsi="標楷體" w:cs="Times New Roman" w:hint="eastAsia"/>
                <w:sz w:val="20"/>
                <w:szCs w:val="20"/>
              </w:rPr>
              <w:t>提升災害搶救效能，重新建置119高效能勤務派遣系統，並增設多次報案之高使用者清單功能，然</w:t>
            </w:r>
            <w:proofErr w:type="gramStart"/>
            <w:r w:rsidRPr="00FE4C62">
              <w:rPr>
                <w:rFonts w:ascii="標楷體" w:eastAsia="標楷體" w:hAnsi="標楷體" w:cs="Times New Roman" w:hint="eastAsia"/>
                <w:sz w:val="20"/>
                <w:szCs w:val="20"/>
              </w:rPr>
              <w:t>112</w:t>
            </w:r>
            <w:proofErr w:type="gramEnd"/>
            <w:r w:rsidRPr="00FE4C62">
              <w:rPr>
                <w:rFonts w:ascii="標楷體" w:eastAsia="標楷體" w:hAnsi="標楷體" w:cs="Times New Roman" w:hint="eastAsia"/>
                <w:sz w:val="20"/>
                <w:szCs w:val="20"/>
              </w:rPr>
              <w:t>年度誤報及無故撥打電話較</w:t>
            </w:r>
            <w:proofErr w:type="gramStart"/>
            <w:r w:rsidRPr="00FE4C62">
              <w:rPr>
                <w:rFonts w:ascii="標楷體" w:eastAsia="標楷體" w:hAnsi="標楷體" w:cs="Times New Roman" w:hint="eastAsia"/>
                <w:sz w:val="20"/>
                <w:szCs w:val="20"/>
              </w:rPr>
              <w:t>111</w:t>
            </w:r>
            <w:proofErr w:type="gramEnd"/>
            <w:r w:rsidRPr="00FE4C62">
              <w:rPr>
                <w:rFonts w:ascii="標楷體" w:eastAsia="標楷體" w:hAnsi="標楷體" w:cs="Times New Roman" w:hint="eastAsia"/>
                <w:sz w:val="20"/>
                <w:szCs w:val="20"/>
              </w:rPr>
              <w:t>年度增加4萬餘通；另列管臺北市製造、儲存及處理公共危險物品達管制量30倍以上危險場所，有38個場所尚未遴選保安檢查員等情，均待</w:t>
            </w:r>
            <w:proofErr w:type="gramStart"/>
            <w:r w:rsidRPr="00FE4C62">
              <w:rPr>
                <w:rFonts w:ascii="標楷體" w:eastAsia="標楷體" w:hAnsi="標楷體" w:cs="Times New Roman" w:hint="eastAsia"/>
                <w:sz w:val="20"/>
                <w:szCs w:val="20"/>
              </w:rPr>
              <w:t>研謀善策</w:t>
            </w:r>
            <w:proofErr w:type="gramEnd"/>
            <w:r w:rsidRPr="001F2807">
              <w:rPr>
                <w:rFonts w:ascii="標楷體" w:eastAsia="標楷體" w:hAnsi="標楷體" w:cs="Times New Roman" w:hint="eastAsia"/>
                <w:sz w:val="20"/>
                <w:szCs w:val="20"/>
              </w:rPr>
              <w:t>。</w:t>
            </w:r>
          </w:p>
        </w:tc>
        <w:tc>
          <w:tcPr>
            <w:tcW w:w="1409" w:type="pct"/>
            <w:vMerge/>
            <w:tcBorders>
              <w:left w:val="single" w:sz="4" w:space="0" w:color="auto"/>
              <w:right w:val="single" w:sz="4" w:space="0" w:color="auto"/>
              <w:tl2br w:val="single" w:sz="4" w:space="0" w:color="auto"/>
            </w:tcBorders>
          </w:tcPr>
          <w:p w14:paraId="33A85674" w14:textId="77777777" w:rsidR="00CE4DB8" w:rsidRPr="00BC1340" w:rsidRDefault="00CE4DB8" w:rsidP="00824CD6">
            <w:pPr>
              <w:overflowPunct w:val="0"/>
              <w:snapToGrid w:val="0"/>
              <w:spacing w:line="260" w:lineRule="exact"/>
              <w:rPr>
                <w:rFonts w:ascii="標楷體" w:eastAsia="標楷體" w:hAnsi="標楷體" w:cs="Times New Roman"/>
                <w:sz w:val="20"/>
                <w:szCs w:val="20"/>
              </w:rPr>
            </w:pPr>
          </w:p>
        </w:tc>
      </w:tr>
    </w:tbl>
    <w:p w14:paraId="7EA9093E" w14:textId="77777777" w:rsidR="00B474B8" w:rsidRPr="00B474B8" w:rsidRDefault="00B474B8" w:rsidP="00B474B8">
      <w:pPr>
        <w:spacing w:line="480" w:lineRule="exact"/>
        <w:outlineLvl w:val="1"/>
        <w:rPr>
          <w:rFonts w:ascii="標楷體" w:eastAsia="標楷體" w:hAnsi="標楷體"/>
          <w:b/>
          <w:color w:val="000000" w:themeColor="text1"/>
          <w:sz w:val="36"/>
          <w:szCs w:val="36"/>
        </w:rPr>
      </w:pPr>
      <w:r w:rsidRPr="00B474B8">
        <w:rPr>
          <w:rFonts w:ascii="標楷體" w:eastAsia="標楷體" w:hAnsi="標楷體" w:hint="eastAsia"/>
          <w:b/>
          <w:color w:val="000000" w:themeColor="text1"/>
          <w:sz w:val="36"/>
          <w:szCs w:val="36"/>
        </w:rPr>
        <w:lastRenderedPageBreak/>
        <w:t>拾柒、</w:t>
      </w:r>
      <w:proofErr w:type="gramStart"/>
      <w:r w:rsidRPr="00B474B8">
        <w:rPr>
          <w:rFonts w:ascii="標楷體" w:eastAsia="標楷體" w:hAnsi="標楷體" w:hint="eastAsia"/>
          <w:b/>
          <w:color w:val="000000" w:themeColor="text1"/>
          <w:sz w:val="36"/>
          <w:szCs w:val="36"/>
        </w:rPr>
        <w:t>臺</w:t>
      </w:r>
      <w:proofErr w:type="gramEnd"/>
      <w:r w:rsidRPr="00B474B8">
        <w:rPr>
          <w:rFonts w:ascii="標楷體" w:eastAsia="標楷體" w:hAnsi="標楷體" w:hint="eastAsia"/>
          <w:b/>
          <w:color w:val="000000" w:themeColor="text1"/>
          <w:sz w:val="36"/>
          <w:szCs w:val="36"/>
        </w:rPr>
        <w:t>北翡翠水庫管理局主管</w:t>
      </w:r>
    </w:p>
    <w:p w14:paraId="35D4822A" w14:textId="38BF1D84" w:rsidR="00B474B8" w:rsidRPr="00B474B8" w:rsidRDefault="00B474B8" w:rsidP="001C51AA">
      <w:pPr>
        <w:overflowPunct w:val="0"/>
        <w:spacing w:before="120" w:line="460" w:lineRule="exact"/>
        <w:ind w:firstLineChars="200" w:firstLine="480"/>
        <w:jc w:val="both"/>
        <w:rPr>
          <w:rFonts w:ascii="標楷體" w:eastAsia="標楷體" w:hAnsi="標楷體"/>
          <w:color w:val="000000" w:themeColor="text1"/>
          <w:szCs w:val="24"/>
        </w:rPr>
      </w:pPr>
      <w:proofErr w:type="gramStart"/>
      <w:r w:rsidRPr="00B474B8">
        <w:rPr>
          <w:rFonts w:ascii="標楷體" w:eastAsia="標楷體" w:hAnsi="標楷體" w:hint="eastAsia"/>
          <w:color w:val="000000" w:themeColor="text1"/>
          <w:szCs w:val="24"/>
        </w:rPr>
        <w:t>臺</w:t>
      </w:r>
      <w:proofErr w:type="gramEnd"/>
      <w:r w:rsidRPr="00B474B8">
        <w:rPr>
          <w:rFonts w:ascii="標楷體" w:eastAsia="標楷體" w:hAnsi="標楷體" w:hint="eastAsia"/>
          <w:color w:val="000000" w:themeColor="text1"/>
          <w:szCs w:val="24"/>
        </w:rPr>
        <w:t>北翡翠水庫管理局主管僅</w:t>
      </w:r>
      <w:proofErr w:type="gramStart"/>
      <w:r w:rsidRPr="00B474B8">
        <w:rPr>
          <w:rFonts w:ascii="標楷體" w:eastAsia="標楷體" w:hAnsi="標楷體" w:hint="eastAsia"/>
          <w:color w:val="000000" w:themeColor="text1"/>
          <w:szCs w:val="24"/>
        </w:rPr>
        <w:t>臺</w:t>
      </w:r>
      <w:proofErr w:type="gramEnd"/>
      <w:r w:rsidRPr="00B474B8">
        <w:rPr>
          <w:rFonts w:ascii="標楷體" w:eastAsia="標楷體" w:hAnsi="標楷體" w:hint="eastAsia"/>
          <w:color w:val="000000" w:themeColor="text1"/>
          <w:szCs w:val="24"/>
        </w:rPr>
        <w:t>北翡翠水庫管理局1個機關，掌理大壩及附屬設施之相關檢查、監測及維護，水庫操作系統等設備之維護，水文氣象、水質、水庫淤積之調查、分析與研究，加強水（陸）域巡邏及垃圾、漂流物清理與取締水庫蓄水範圍內各項污染水源之行為及</w:t>
      </w:r>
      <w:proofErr w:type="gramStart"/>
      <w:r w:rsidRPr="00B474B8">
        <w:rPr>
          <w:rFonts w:ascii="標楷體" w:eastAsia="標楷體" w:hAnsi="標楷體" w:hint="eastAsia"/>
          <w:color w:val="000000" w:themeColor="text1"/>
          <w:szCs w:val="24"/>
        </w:rPr>
        <w:t>颱</w:t>
      </w:r>
      <w:proofErr w:type="gramEnd"/>
      <w:r w:rsidRPr="00B474B8">
        <w:rPr>
          <w:rFonts w:ascii="標楷體" w:eastAsia="標楷體" w:hAnsi="標楷體" w:hint="eastAsia"/>
          <w:color w:val="000000" w:themeColor="text1"/>
          <w:szCs w:val="24"/>
        </w:rPr>
        <w:t>洪期間與石門水庫聯合運轉，並強化與氣象、下游防汛單位之協調、通報連</w:t>
      </w:r>
      <w:proofErr w:type="gramStart"/>
      <w:r w:rsidRPr="00B474B8">
        <w:rPr>
          <w:rFonts w:ascii="標楷體" w:eastAsia="標楷體" w:hAnsi="標楷體" w:hint="eastAsia"/>
          <w:color w:val="000000" w:themeColor="text1"/>
          <w:szCs w:val="24"/>
        </w:rPr>
        <w:t>繫</w:t>
      </w:r>
      <w:proofErr w:type="gramEnd"/>
      <w:r w:rsidRPr="00B474B8">
        <w:rPr>
          <w:rFonts w:ascii="標楷體" w:eastAsia="標楷體" w:hAnsi="標楷體" w:hint="eastAsia"/>
          <w:color w:val="000000" w:themeColor="text1"/>
          <w:szCs w:val="24"/>
        </w:rPr>
        <w:t>作業，維護大壩下游行水區河岸之安全，</w:t>
      </w:r>
      <w:proofErr w:type="gramStart"/>
      <w:r w:rsidRPr="00B474B8">
        <w:rPr>
          <w:rFonts w:ascii="標楷體" w:eastAsia="標楷體" w:hAnsi="標楷體" w:hint="eastAsia"/>
          <w:color w:val="000000" w:themeColor="text1"/>
          <w:szCs w:val="24"/>
        </w:rPr>
        <w:t>賡</w:t>
      </w:r>
      <w:proofErr w:type="gramEnd"/>
      <w:r w:rsidRPr="00B474B8">
        <w:rPr>
          <w:rFonts w:ascii="標楷體" w:eastAsia="標楷體" w:hAnsi="標楷體" w:hint="eastAsia"/>
          <w:color w:val="000000" w:themeColor="text1"/>
          <w:szCs w:val="24"/>
        </w:rPr>
        <w:t>續辦理水庫蓄水範圍內水土保持，及辦理水資源保育宣導，並藉由「翡翠水庫環境學習中心」推廣環境教育等工作。茲將</w:t>
      </w:r>
      <w:proofErr w:type="gramStart"/>
      <w:r w:rsidRPr="00B474B8">
        <w:rPr>
          <w:rFonts w:ascii="標楷體" w:eastAsia="標楷體" w:hAnsi="標楷體" w:hint="eastAsia"/>
          <w:color w:val="000000" w:themeColor="text1"/>
          <w:szCs w:val="24"/>
        </w:rPr>
        <w:t>1</w:t>
      </w:r>
      <w:r w:rsidRPr="00B474B8">
        <w:rPr>
          <w:rFonts w:ascii="標楷體" w:eastAsia="標楷體" w:hAnsi="標楷體"/>
          <w:color w:val="000000" w:themeColor="text1"/>
          <w:szCs w:val="24"/>
        </w:rPr>
        <w:t>1</w:t>
      </w:r>
      <w:r w:rsidRPr="00B474B8">
        <w:rPr>
          <w:rFonts w:ascii="標楷體" w:eastAsia="標楷體" w:hAnsi="標楷體" w:hint="eastAsia"/>
          <w:color w:val="000000" w:themeColor="text1"/>
          <w:szCs w:val="24"/>
        </w:rPr>
        <w:t>3</w:t>
      </w:r>
      <w:proofErr w:type="gramEnd"/>
      <w:r w:rsidRPr="00B474B8">
        <w:rPr>
          <w:rFonts w:ascii="標楷體" w:eastAsia="標楷體" w:hAnsi="標楷體" w:hint="eastAsia"/>
          <w:color w:val="000000" w:themeColor="text1"/>
          <w:szCs w:val="24"/>
        </w:rPr>
        <w:t>年度決算審核結果說明如次：</w:t>
      </w:r>
    </w:p>
    <w:p w14:paraId="34925BCD" w14:textId="77777777" w:rsidR="00B474B8" w:rsidRPr="00B474B8" w:rsidRDefault="00B474B8" w:rsidP="00B474B8">
      <w:pPr>
        <w:spacing w:beforeLines="20" w:before="72" w:afterLines="20" w:after="72" w:line="460" w:lineRule="exact"/>
        <w:ind w:firstLineChars="100" w:firstLine="280"/>
        <w:rPr>
          <w:rFonts w:ascii="標楷體" w:eastAsia="標楷體" w:hAnsi="標楷體"/>
          <w:b/>
          <w:color w:val="000000" w:themeColor="text1"/>
          <w:sz w:val="28"/>
          <w:szCs w:val="28"/>
        </w:rPr>
      </w:pPr>
      <w:r w:rsidRPr="00B474B8">
        <w:rPr>
          <w:rFonts w:ascii="標楷體" w:eastAsia="標楷體" w:hAnsi="標楷體" w:hint="eastAsia"/>
          <w:b/>
          <w:color w:val="000000" w:themeColor="text1"/>
          <w:sz w:val="28"/>
          <w:szCs w:val="28"/>
        </w:rPr>
        <w:t>（一）計畫實施之查核</w:t>
      </w:r>
    </w:p>
    <w:p w14:paraId="6DD89971" w14:textId="77777777" w:rsidR="00B474B8" w:rsidRPr="00B474B8" w:rsidRDefault="00B474B8" w:rsidP="00B474B8">
      <w:pPr>
        <w:overflowPunct w:val="0"/>
        <w:spacing w:line="460" w:lineRule="exact"/>
        <w:ind w:firstLineChars="200" w:firstLine="480"/>
        <w:jc w:val="both"/>
        <w:rPr>
          <w:rFonts w:ascii="標楷體" w:eastAsia="標楷體" w:hAnsi="標楷體"/>
          <w:color w:val="000000" w:themeColor="text1"/>
          <w:szCs w:val="24"/>
        </w:rPr>
      </w:pPr>
      <w:r w:rsidRPr="00B474B8">
        <w:rPr>
          <w:rFonts w:ascii="標楷體" w:eastAsia="標楷體" w:hAnsi="標楷體" w:hint="eastAsia"/>
          <w:color w:val="000000" w:themeColor="text1"/>
          <w:szCs w:val="24"/>
        </w:rPr>
        <w:t>業務計畫3項，下分工作計畫5項，包括辦理水庫區及碼頭等設施維護、</w:t>
      </w:r>
      <w:proofErr w:type="gramStart"/>
      <w:r w:rsidRPr="00B474B8">
        <w:rPr>
          <w:rFonts w:ascii="標楷體" w:eastAsia="標楷體" w:hAnsi="標楷體" w:hint="eastAsia"/>
          <w:color w:val="000000" w:themeColor="text1"/>
          <w:szCs w:val="24"/>
        </w:rPr>
        <w:t>汰</w:t>
      </w:r>
      <w:proofErr w:type="gramEnd"/>
      <w:r w:rsidRPr="00B474B8">
        <w:rPr>
          <w:rFonts w:ascii="標楷體" w:eastAsia="標楷體" w:hAnsi="標楷體" w:hint="eastAsia"/>
          <w:color w:val="000000" w:themeColor="text1"/>
          <w:szCs w:val="24"/>
        </w:rPr>
        <w:t>換及添購各項機械設備及辦理大壩安全檢查、監測與</w:t>
      </w:r>
      <w:proofErr w:type="gramStart"/>
      <w:r w:rsidRPr="00B474B8">
        <w:rPr>
          <w:rFonts w:ascii="標楷體" w:eastAsia="標楷體" w:hAnsi="標楷體" w:hint="eastAsia"/>
          <w:color w:val="000000" w:themeColor="text1"/>
          <w:szCs w:val="24"/>
        </w:rPr>
        <w:t>評析等重要</w:t>
      </w:r>
      <w:proofErr w:type="gramEnd"/>
      <w:r w:rsidRPr="00B474B8">
        <w:rPr>
          <w:rFonts w:ascii="標楷體" w:eastAsia="標楷體" w:hAnsi="標楷體" w:hint="eastAsia"/>
          <w:color w:val="000000" w:themeColor="text1"/>
          <w:szCs w:val="24"/>
        </w:rPr>
        <w:t>施政項目，其中已執行完成者4項，尚在執行者1項，主要</w:t>
      </w:r>
      <w:proofErr w:type="gramStart"/>
      <w:r w:rsidRPr="00B474B8">
        <w:rPr>
          <w:rFonts w:ascii="標楷體" w:eastAsia="標楷體" w:hAnsi="標楷體" w:hint="eastAsia"/>
          <w:color w:val="000000" w:themeColor="text1"/>
          <w:szCs w:val="24"/>
        </w:rPr>
        <w:t>係翡翠</w:t>
      </w:r>
      <w:proofErr w:type="gramEnd"/>
      <w:r w:rsidRPr="00B474B8">
        <w:rPr>
          <w:rFonts w:ascii="標楷體" w:eastAsia="標楷體" w:hAnsi="標楷體" w:hint="eastAsia"/>
          <w:color w:val="000000" w:themeColor="text1"/>
          <w:szCs w:val="24"/>
        </w:rPr>
        <w:t>發電機組</w:t>
      </w:r>
      <w:proofErr w:type="gramStart"/>
      <w:r w:rsidRPr="00B474B8">
        <w:rPr>
          <w:rFonts w:ascii="標楷體" w:eastAsia="標楷體" w:hAnsi="標楷體" w:hint="eastAsia"/>
          <w:color w:val="000000" w:themeColor="text1"/>
          <w:szCs w:val="24"/>
        </w:rPr>
        <w:t>調速機控制</w:t>
      </w:r>
      <w:proofErr w:type="gramEnd"/>
      <w:r w:rsidRPr="00B474B8">
        <w:rPr>
          <w:rFonts w:ascii="標楷體" w:eastAsia="標楷體" w:hAnsi="標楷體" w:hint="eastAsia"/>
          <w:color w:val="000000" w:themeColor="text1"/>
          <w:szCs w:val="24"/>
        </w:rPr>
        <w:t>系統</w:t>
      </w:r>
      <w:proofErr w:type="gramStart"/>
      <w:r w:rsidRPr="00B474B8">
        <w:rPr>
          <w:rFonts w:ascii="標楷體" w:eastAsia="標楷體" w:hAnsi="標楷體" w:hint="eastAsia"/>
          <w:color w:val="000000" w:themeColor="text1"/>
          <w:szCs w:val="24"/>
        </w:rPr>
        <w:t>汰換案</w:t>
      </w:r>
      <w:proofErr w:type="gramEnd"/>
      <w:r w:rsidRPr="00B474B8">
        <w:rPr>
          <w:rFonts w:ascii="標楷體" w:eastAsia="標楷體" w:hAnsi="標楷體" w:hint="eastAsia"/>
          <w:color w:val="000000" w:themeColor="text1"/>
          <w:szCs w:val="24"/>
        </w:rPr>
        <w:t>契約期程跨年度，仍須繼續執行。</w:t>
      </w:r>
    </w:p>
    <w:p w14:paraId="29837951" w14:textId="77777777" w:rsidR="00B474B8" w:rsidRPr="00B474B8" w:rsidRDefault="00B474B8" w:rsidP="00B474B8">
      <w:pPr>
        <w:spacing w:beforeLines="20" w:before="72" w:afterLines="20" w:after="72" w:line="460" w:lineRule="exact"/>
        <w:ind w:firstLineChars="100" w:firstLine="280"/>
        <w:rPr>
          <w:rFonts w:ascii="標楷體" w:eastAsia="標楷體" w:hAnsi="標楷體"/>
          <w:b/>
          <w:color w:val="000000" w:themeColor="text1"/>
          <w:sz w:val="28"/>
          <w:szCs w:val="28"/>
        </w:rPr>
      </w:pPr>
      <w:r w:rsidRPr="00B474B8">
        <w:rPr>
          <w:rFonts w:ascii="標楷體" w:eastAsia="標楷體" w:hAnsi="標楷體" w:hint="eastAsia"/>
          <w:b/>
          <w:color w:val="000000" w:themeColor="text1"/>
          <w:sz w:val="28"/>
          <w:szCs w:val="28"/>
        </w:rPr>
        <w:t>（二）預算執行之審核</w:t>
      </w:r>
    </w:p>
    <w:p w14:paraId="33D1D63E" w14:textId="77777777" w:rsidR="00B474B8" w:rsidRPr="00B474B8" w:rsidRDefault="00B474B8" w:rsidP="00B474B8">
      <w:pPr>
        <w:overflowPunct w:val="0"/>
        <w:spacing w:line="460" w:lineRule="exact"/>
        <w:ind w:firstLineChars="200" w:firstLine="480"/>
        <w:jc w:val="both"/>
        <w:rPr>
          <w:rFonts w:ascii="標楷體" w:eastAsia="標楷體" w:hAnsi="標楷體"/>
          <w:color w:val="000000" w:themeColor="text1"/>
          <w:szCs w:val="24"/>
        </w:rPr>
      </w:pPr>
      <w:r w:rsidRPr="00B474B8">
        <w:rPr>
          <w:rFonts w:ascii="標楷體" w:eastAsia="標楷體" w:hAnsi="標楷體" w:hint="eastAsia"/>
          <w:color w:val="000000" w:themeColor="text1"/>
          <w:szCs w:val="24"/>
        </w:rPr>
        <w:t>1.歲入預算數6億9,454萬餘元，決算審核結果，審定實現數8億5,827萬餘元，較預算增加1億6,373萬餘元（23.57％），</w:t>
      </w:r>
      <w:proofErr w:type="gramStart"/>
      <w:r w:rsidRPr="00B474B8">
        <w:rPr>
          <w:rFonts w:ascii="標楷體" w:eastAsia="標楷體" w:hAnsi="標楷體" w:hint="eastAsia"/>
          <w:color w:val="000000" w:themeColor="text1"/>
          <w:szCs w:val="24"/>
        </w:rPr>
        <w:t>主要係售水</w:t>
      </w:r>
      <w:proofErr w:type="gramEnd"/>
      <w:r w:rsidRPr="00B474B8">
        <w:rPr>
          <w:rFonts w:ascii="標楷體" w:eastAsia="標楷體" w:hAnsi="標楷體" w:hint="eastAsia"/>
          <w:color w:val="000000" w:themeColor="text1"/>
          <w:szCs w:val="24"/>
        </w:rPr>
        <w:t>收入較預計增加。</w:t>
      </w:r>
    </w:p>
    <w:p w14:paraId="1414DCBF" w14:textId="77777777" w:rsidR="00B474B8" w:rsidRPr="00B474B8" w:rsidRDefault="00B474B8" w:rsidP="00B474B8">
      <w:pPr>
        <w:overflowPunct w:val="0"/>
        <w:spacing w:line="460" w:lineRule="exact"/>
        <w:ind w:firstLineChars="200" w:firstLine="480"/>
        <w:jc w:val="both"/>
        <w:rPr>
          <w:rFonts w:ascii="標楷體" w:eastAsia="標楷體" w:hAnsi="標楷體"/>
          <w:color w:val="000000" w:themeColor="text1"/>
          <w:szCs w:val="24"/>
        </w:rPr>
      </w:pPr>
      <w:r w:rsidRPr="00B474B8">
        <w:rPr>
          <w:rFonts w:ascii="標楷體" w:eastAsia="標楷體" w:hAnsi="標楷體" w:hint="eastAsia"/>
          <w:color w:val="000000" w:themeColor="text1"/>
          <w:szCs w:val="24"/>
        </w:rPr>
        <w:t>2.歲出預算數3億413萬元，決算審核結果，審定實現數2億9,836萬餘元（98.10％），應付保留數109萬餘元（0.36％），保留原因詳「（一）計畫實施之查核」說明；合計決算審定數2億9,946萬餘元，預算賸餘466萬餘元（1.54％），主要係實際進用員額較少之人事費結餘。</w:t>
      </w:r>
    </w:p>
    <w:p w14:paraId="7F654527" w14:textId="77777777" w:rsidR="00B474B8" w:rsidRPr="00B474B8" w:rsidRDefault="00B474B8" w:rsidP="00B474B8">
      <w:pPr>
        <w:overflowPunct w:val="0"/>
        <w:spacing w:line="460" w:lineRule="exact"/>
        <w:ind w:firstLineChars="200" w:firstLine="480"/>
        <w:jc w:val="both"/>
        <w:rPr>
          <w:rFonts w:ascii="標楷體" w:eastAsia="標楷體" w:hAnsi="標楷體"/>
          <w:szCs w:val="24"/>
        </w:rPr>
      </w:pPr>
      <w:r w:rsidRPr="00B474B8">
        <w:rPr>
          <w:rFonts w:ascii="標楷體" w:eastAsia="標楷體" w:hAnsi="標楷體" w:hint="eastAsia"/>
          <w:color w:val="000000" w:themeColor="text1"/>
          <w:szCs w:val="24"/>
        </w:rPr>
        <w:t>3.</w:t>
      </w:r>
      <w:r w:rsidRPr="00B474B8">
        <w:rPr>
          <w:rFonts w:ascii="標楷體" w:eastAsia="標楷體" w:hAnsi="標楷體" w:hint="eastAsia"/>
          <w:color w:val="000000" w:themeColor="text1"/>
          <w:spacing w:val="2"/>
          <w:szCs w:val="24"/>
        </w:rPr>
        <w:t>以前年度歲出轉入數計588萬餘元，決算審核結果，審定實現數587萬餘元（99.76％），減免（註銷）數1萬餘元（0.24％），</w:t>
      </w:r>
      <w:r w:rsidRPr="00B474B8">
        <w:rPr>
          <w:rFonts w:ascii="標楷體" w:eastAsia="標楷體" w:hAnsi="標楷體"/>
          <w:color w:val="000000" w:themeColor="text1"/>
          <w:spacing w:val="2"/>
          <w:szCs w:val="24"/>
        </w:rPr>
        <w:t>主要係</w:t>
      </w:r>
      <w:r w:rsidRPr="00B474B8">
        <w:rPr>
          <w:rFonts w:ascii="標楷體" w:eastAsia="標楷體" w:hAnsi="標楷體" w:hint="eastAsia"/>
          <w:color w:val="000000" w:themeColor="text1"/>
          <w:spacing w:val="2"/>
          <w:szCs w:val="24"/>
        </w:rPr>
        <w:t>翡翠水庫駐警隊備勤室及航管站整修工程之結餘。</w:t>
      </w:r>
    </w:p>
    <w:p w14:paraId="6B1AEB17" w14:textId="77777777" w:rsidR="00B474B8" w:rsidRPr="00B474B8" w:rsidRDefault="00B474B8" w:rsidP="00F159FD">
      <w:pPr>
        <w:spacing w:beforeLines="40" w:before="144" w:afterLines="20" w:after="72" w:line="460" w:lineRule="exact"/>
        <w:ind w:firstLineChars="100" w:firstLine="280"/>
        <w:rPr>
          <w:rFonts w:ascii="標楷體" w:eastAsia="標楷體" w:hAnsi="標楷體"/>
          <w:b/>
          <w:color w:val="000000" w:themeColor="text1"/>
          <w:sz w:val="28"/>
          <w:szCs w:val="28"/>
        </w:rPr>
      </w:pPr>
      <w:r w:rsidRPr="00B474B8">
        <w:rPr>
          <w:rFonts w:ascii="標楷體" w:eastAsia="標楷體" w:hAnsi="標楷體" w:hint="eastAsia"/>
          <w:b/>
          <w:sz w:val="28"/>
          <w:szCs w:val="28"/>
        </w:rPr>
        <w:t>（三）</w:t>
      </w:r>
      <w:proofErr w:type="gramStart"/>
      <w:r w:rsidRPr="00B474B8">
        <w:rPr>
          <w:rFonts w:ascii="標楷體" w:eastAsia="標楷體" w:hAnsi="標楷體" w:hint="eastAsia"/>
          <w:b/>
          <w:color w:val="000000" w:themeColor="text1"/>
          <w:sz w:val="28"/>
          <w:szCs w:val="28"/>
        </w:rPr>
        <w:t>112</w:t>
      </w:r>
      <w:proofErr w:type="gramEnd"/>
      <w:r w:rsidRPr="00B474B8">
        <w:rPr>
          <w:rFonts w:ascii="標楷體" w:eastAsia="標楷體" w:hAnsi="標楷體" w:hint="eastAsia"/>
          <w:b/>
          <w:color w:val="000000" w:themeColor="text1"/>
          <w:sz w:val="28"/>
          <w:szCs w:val="28"/>
        </w:rPr>
        <w:t>年度重要審核意見追蹤查核情形</w:t>
      </w:r>
    </w:p>
    <w:p w14:paraId="02B9D05D" w14:textId="77777777" w:rsidR="00B474B8" w:rsidRPr="00B474B8" w:rsidRDefault="00B474B8" w:rsidP="00B474B8">
      <w:pPr>
        <w:suppressAutoHyphens/>
        <w:overflowPunct w:val="0"/>
        <w:spacing w:line="460" w:lineRule="exact"/>
        <w:ind w:firstLineChars="200" w:firstLine="480"/>
        <w:jc w:val="both"/>
        <w:rPr>
          <w:rFonts w:ascii="標楷體" w:eastAsia="標楷體" w:hAnsi="標楷體"/>
          <w:b/>
          <w:color w:val="000000" w:themeColor="text1"/>
          <w:sz w:val="28"/>
          <w:szCs w:val="28"/>
        </w:rPr>
      </w:pPr>
      <w:r w:rsidRPr="00B474B8">
        <w:rPr>
          <w:rFonts w:ascii="標楷體" w:eastAsia="標楷體" w:hAnsi="標楷體" w:hint="eastAsia"/>
          <w:color w:val="000000" w:themeColor="text1"/>
          <w:kern w:val="0"/>
          <w:szCs w:val="24"/>
        </w:rPr>
        <w:t>本處於</w:t>
      </w:r>
      <w:proofErr w:type="gramStart"/>
      <w:r w:rsidRPr="00B474B8">
        <w:rPr>
          <w:rFonts w:ascii="標楷體" w:eastAsia="標楷體" w:hAnsi="標楷體" w:hint="eastAsia"/>
          <w:color w:val="000000" w:themeColor="text1"/>
          <w:kern w:val="0"/>
          <w:szCs w:val="24"/>
        </w:rPr>
        <w:t>1</w:t>
      </w:r>
      <w:r w:rsidRPr="00B474B8">
        <w:rPr>
          <w:rFonts w:ascii="標楷體" w:eastAsia="標楷體" w:hAnsi="標楷體"/>
          <w:color w:val="000000" w:themeColor="text1"/>
          <w:kern w:val="0"/>
          <w:szCs w:val="24"/>
        </w:rPr>
        <w:t>1</w:t>
      </w:r>
      <w:r w:rsidRPr="00B474B8">
        <w:rPr>
          <w:rFonts w:ascii="標楷體" w:eastAsia="標楷體" w:hAnsi="標楷體" w:hint="eastAsia"/>
          <w:color w:val="000000" w:themeColor="text1"/>
          <w:kern w:val="0"/>
          <w:szCs w:val="24"/>
        </w:rPr>
        <w:t>2</w:t>
      </w:r>
      <w:proofErr w:type="gramEnd"/>
      <w:r w:rsidRPr="00B474B8">
        <w:rPr>
          <w:rFonts w:ascii="標楷體" w:eastAsia="標楷體" w:hAnsi="標楷體" w:hint="eastAsia"/>
          <w:color w:val="000000" w:themeColor="text1"/>
          <w:kern w:val="0"/>
          <w:szCs w:val="24"/>
        </w:rPr>
        <w:t>年度審核報告內列重要審核意見2項，經</w:t>
      </w:r>
      <w:proofErr w:type="gramStart"/>
      <w:r w:rsidRPr="00B474B8">
        <w:rPr>
          <w:rFonts w:ascii="標楷體" w:eastAsia="標楷體" w:hAnsi="標楷體" w:hint="eastAsia"/>
          <w:color w:val="000000" w:themeColor="text1"/>
          <w:kern w:val="0"/>
          <w:szCs w:val="24"/>
        </w:rPr>
        <w:t>賡</w:t>
      </w:r>
      <w:proofErr w:type="gramEnd"/>
      <w:r w:rsidRPr="00B474B8">
        <w:rPr>
          <w:rFonts w:ascii="標楷體" w:eastAsia="標楷體" w:hAnsi="標楷體" w:hint="eastAsia"/>
          <w:color w:val="000000" w:themeColor="text1"/>
          <w:kern w:val="0"/>
          <w:szCs w:val="24"/>
        </w:rPr>
        <w:t>續追蹤查核實際辦理結果，均已</w:t>
      </w:r>
      <w:proofErr w:type="gramStart"/>
      <w:r w:rsidRPr="00B474B8">
        <w:rPr>
          <w:rFonts w:ascii="標楷體" w:eastAsia="標楷體" w:hAnsi="標楷體" w:hint="eastAsia"/>
          <w:color w:val="000000" w:themeColor="text1"/>
          <w:kern w:val="0"/>
          <w:szCs w:val="24"/>
        </w:rPr>
        <w:t>研</w:t>
      </w:r>
      <w:proofErr w:type="gramEnd"/>
      <w:r w:rsidRPr="00B474B8">
        <w:rPr>
          <w:rFonts w:ascii="標楷體" w:eastAsia="標楷體" w:hAnsi="標楷體" w:hint="eastAsia"/>
          <w:color w:val="000000" w:themeColor="text1"/>
          <w:kern w:val="0"/>
          <w:szCs w:val="24"/>
        </w:rPr>
        <w:t>謀改善或依改善措施持續辦理（表1）。</w:t>
      </w:r>
    </w:p>
    <w:p w14:paraId="2D7B2EC4" w14:textId="77777777" w:rsidR="00B474B8" w:rsidRPr="00B474B8" w:rsidRDefault="00B474B8" w:rsidP="00B474B8">
      <w:pPr>
        <w:suppressAutoHyphens/>
        <w:overflowPunct w:val="0"/>
        <w:spacing w:after="100" w:line="480" w:lineRule="exact"/>
        <w:ind w:firstLineChars="100" w:firstLine="240"/>
        <w:jc w:val="center"/>
        <w:rPr>
          <w:rFonts w:ascii="標楷體" w:eastAsia="標楷體" w:hAnsi="標楷體"/>
          <w:b/>
          <w:color w:val="000000" w:themeColor="text1"/>
        </w:rPr>
      </w:pPr>
      <w:r w:rsidRPr="00B474B8">
        <w:rPr>
          <w:rFonts w:ascii="標楷體" w:eastAsia="標楷體" w:hAnsi="標楷體" w:hint="eastAsia"/>
          <w:b/>
          <w:color w:val="000000" w:themeColor="text1"/>
        </w:rPr>
        <w:t xml:space="preserve">表1　</w:t>
      </w:r>
      <w:proofErr w:type="gramStart"/>
      <w:r w:rsidRPr="00B474B8">
        <w:rPr>
          <w:rFonts w:ascii="標楷體" w:eastAsia="標楷體" w:hAnsi="標楷體" w:hint="eastAsia"/>
          <w:b/>
          <w:color w:val="000000" w:themeColor="text1"/>
        </w:rPr>
        <w:t>112</w:t>
      </w:r>
      <w:proofErr w:type="gramEnd"/>
      <w:r w:rsidRPr="00B474B8">
        <w:rPr>
          <w:rFonts w:ascii="標楷體" w:eastAsia="標楷體" w:hAnsi="標楷體" w:hint="eastAsia"/>
          <w:b/>
          <w:color w:val="000000" w:themeColor="text1"/>
        </w:rPr>
        <w:t>年度審核報告所列</w:t>
      </w:r>
      <w:proofErr w:type="gramStart"/>
      <w:r w:rsidRPr="00B474B8">
        <w:rPr>
          <w:rFonts w:ascii="標楷體" w:eastAsia="標楷體" w:hAnsi="標楷體" w:hint="eastAsia"/>
          <w:b/>
          <w:color w:val="000000" w:themeColor="text1"/>
        </w:rPr>
        <w:t>臺</w:t>
      </w:r>
      <w:proofErr w:type="gramEnd"/>
      <w:r w:rsidRPr="00B474B8">
        <w:rPr>
          <w:rFonts w:ascii="標楷體" w:eastAsia="標楷體" w:hAnsi="標楷體" w:hint="eastAsia"/>
          <w:b/>
          <w:color w:val="000000" w:themeColor="text1"/>
        </w:rPr>
        <w:t>北翡翠水庫管理局主管重要審核意見覆核辦理情形</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232"/>
        <w:gridCol w:w="3683"/>
      </w:tblGrid>
      <w:tr w:rsidR="00B474B8" w:rsidRPr="00B474B8" w14:paraId="1B6A400B" w14:textId="77777777" w:rsidTr="00DF5F46">
        <w:trPr>
          <w:trHeight w:val="363"/>
        </w:trPr>
        <w:tc>
          <w:tcPr>
            <w:tcW w:w="6232" w:type="dxa"/>
            <w:tcBorders>
              <w:top w:val="single" w:sz="4" w:space="0" w:color="auto"/>
              <w:left w:val="single" w:sz="4" w:space="0" w:color="auto"/>
              <w:bottom w:val="single" w:sz="4" w:space="0" w:color="auto"/>
              <w:right w:val="single" w:sz="4" w:space="0" w:color="auto"/>
            </w:tcBorders>
            <w:vAlign w:val="center"/>
            <w:hideMark/>
          </w:tcPr>
          <w:p w14:paraId="69BDEAC5" w14:textId="77777777" w:rsidR="00B474B8" w:rsidRPr="00B474B8" w:rsidRDefault="00B474B8" w:rsidP="00824CD6">
            <w:pPr>
              <w:snapToGrid w:val="0"/>
              <w:spacing w:line="240" w:lineRule="exact"/>
              <w:jc w:val="center"/>
              <w:rPr>
                <w:rFonts w:ascii="標楷體" w:eastAsia="標楷體" w:hAnsi="標楷體"/>
                <w:color w:val="000000" w:themeColor="text1"/>
                <w:sz w:val="20"/>
              </w:rPr>
            </w:pPr>
            <w:r w:rsidRPr="00B474B8">
              <w:rPr>
                <w:rFonts w:ascii="標楷體" w:eastAsia="標楷體" w:hAnsi="標楷體" w:hint="eastAsia"/>
                <w:color w:val="000000" w:themeColor="text1"/>
                <w:sz w:val="20"/>
              </w:rPr>
              <w:t>重要審核意見標題</w:t>
            </w:r>
          </w:p>
        </w:tc>
        <w:tc>
          <w:tcPr>
            <w:tcW w:w="3683" w:type="dxa"/>
            <w:tcBorders>
              <w:top w:val="single" w:sz="4" w:space="0" w:color="auto"/>
              <w:left w:val="single" w:sz="4" w:space="0" w:color="auto"/>
              <w:bottom w:val="single" w:sz="4" w:space="0" w:color="auto"/>
              <w:right w:val="single" w:sz="4" w:space="0" w:color="auto"/>
            </w:tcBorders>
            <w:vAlign w:val="center"/>
            <w:hideMark/>
          </w:tcPr>
          <w:p w14:paraId="35E4890B" w14:textId="77777777" w:rsidR="00B474B8" w:rsidRPr="00B474B8" w:rsidRDefault="00B474B8" w:rsidP="00824CD6">
            <w:pPr>
              <w:snapToGrid w:val="0"/>
              <w:spacing w:line="240" w:lineRule="exact"/>
              <w:jc w:val="center"/>
              <w:rPr>
                <w:rFonts w:ascii="標楷體" w:eastAsia="標楷體" w:hAnsi="標楷體"/>
                <w:color w:val="000000" w:themeColor="text1"/>
                <w:sz w:val="20"/>
              </w:rPr>
            </w:pPr>
            <w:r w:rsidRPr="00B474B8">
              <w:rPr>
                <w:rFonts w:ascii="標楷體" w:eastAsia="標楷體" w:hAnsi="標楷體" w:hint="eastAsia"/>
                <w:color w:val="000000" w:themeColor="text1"/>
                <w:sz w:val="20"/>
              </w:rPr>
              <w:t>說明</w:t>
            </w:r>
          </w:p>
        </w:tc>
      </w:tr>
      <w:tr w:rsidR="00B474B8" w:rsidRPr="00B474B8" w14:paraId="49261DE5" w14:textId="77777777" w:rsidTr="00824CD6">
        <w:trPr>
          <w:trHeight w:val="340"/>
        </w:trPr>
        <w:tc>
          <w:tcPr>
            <w:tcW w:w="9915" w:type="dxa"/>
            <w:gridSpan w:val="2"/>
            <w:tcBorders>
              <w:top w:val="single" w:sz="4" w:space="0" w:color="auto"/>
              <w:left w:val="single" w:sz="4" w:space="0" w:color="auto"/>
              <w:bottom w:val="single" w:sz="4" w:space="0" w:color="auto"/>
              <w:right w:val="single" w:sz="4" w:space="0" w:color="auto"/>
            </w:tcBorders>
            <w:vAlign w:val="center"/>
            <w:hideMark/>
          </w:tcPr>
          <w:p w14:paraId="56279FB1" w14:textId="77777777" w:rsidR="00B474B8" w:rsidRPr="00B474B8" w:rsidRDefault="00B474B8" w:rsidP="00824CD6">
            <w:pPr>
              <w:snapToGrid w:val="0"/>
              <w:spacing w:line="240" w:lineRule="exact"/>
              <w:jc w:val="both"/>
              <w:rPr>
                <w:rFonts w:ascii="標楷體" w:eastAsia="標楷體" w:hAnsi="標楷體"/>
                <w:color w:val="000000" w:themeColor="text1"/>
                <w:spacing w:val="-6"/>
                <w:sz w:val="20"/>
              </w:rPr>
            </w:pPr>
            <w:r w:rsidRPr="00B474B8">
              <w:rPr>
                <w:rFonts w:ascii="標楷體" w:eastAsia="標楷體" w:hAnsi="標楷體" w:hint="eastAsia"/>
                <w:b/>
                <w:color w:val="000000" w:themeColor="text1"/>
                <w:sz w:val="20"/>
                <w:szCs w:val="24"/>
              </w:rPr>
              <w:t>已</w:t>
            </w:r>
            <w:proofErr w:type="gramStart"/>
            <w:r w:rsidRPr="00B474B8">
              <w:rPr>
                <w:rFonts w:ascii="標楷體" w:eastAsia="標楷體" w:hAnsi="標楷體" w:hint="eastAsia"/>
                <w:b/>
                <w:color w:val="000000" w:themeColor="text1"/>
                <w:sz w:val="20"/>
                <w:szCs w:val="24"/>
              </w:rPr>
              <w:t>研</w:t>
            </w:r>
            <w:proofErr w:type="gramEnd"/>
            <w:r w:rsidRPr="00B474B8">
              <w:rPr>
                <w:rFonts w:ascii="標楷體" w:eastAsia="標楷體" w:hAnsi="標楷體" w:hint="eastAsia"/>
                <w:b/>
                <w:color w:val="000000" w:themeColor="text1"/>
                <w:sz w:val="20"/>
                <w:szCs w:val="24"/>
              </w:rPr>
              <w:t>謀改善或依改善措施持續辦理</w:t>
            </w:r>
          </w:p>
        </w:tc>
      </w:tr>
      <w:tr w:rsidR="00B474B8" w:rsidRPr="00B474B8" w14:paraId="4F2E1D1C" w14:textId="77777777" w:rsidTr="00824CD6">
        <w:trPr>
          <w:trHeight w:val="977"/>
        </w:trPr>
        <w:tc>
          <w:tcPr>
            <w:tcW w:w="6232" w:type="dxa"/>
            <w:tcBorders>
              <w:top w:val="single" w:sz="4" w:space="0" w:color="auto"/>
              <w:left w:val="single" w:sz="4" w:space="0" w:color="auto"/>
              <w:bottom w:val="single" w:sz="4" w:space="0" w:color="auto"/>
              <w:right w:val="single" w:sz="4" w:space="0" w:color="auto"/>
            </w:tcBorders>
            <w:hideMark/>
          </w:tcPr>
          <w:p w14:paraId="5655B6CD" w14:textId="77777777" w:rsidR="00B474B8" w:rsidRPr="00B474B8" w:rsidRDefault="00B474B8" w:rsidP="00824CD6">
            <w:pPr>
              <w:spacing w:line="300" w:lineRule="exact"/>
              <w:ind w:left="200" w:hangingChars="100" w:hanging="200"/>
              <w:jc w:val="both"/>
              <w:rPr>
                <w:rFonts w:ascii="標楷體" w:eastAsia="標楷體" w:hAnsi="標楷體"/>
                <w:color w:val="000000" w:themeColor="text1"/>
                <w:position w:val="2"/>
                <w:sz w:val="20"/>
                <w:szCs w:val="24"/>
              </w:rPr>
            </w:pPr>
            <w:r w:rsidRPr="00B474B8">
              <w:rPr>
                <w:rFonts w:ascii="標楷體" w:eastAsia="標楷體" w:hAnsi="標楷體" w:hint="eastAsia"/>
                <w:color w:val="000000" w:themeColor="text1"/>
                <w:position w:val="2"/>
                <w:sz w:val="20"/>
                <w:szCs w:val="24"/>
              </w:rPr>
              <w:t>1.翡翠水庫以營造永續優質水庫為施政願景，並出售原水及翡翠發電廠電力以充裕</w:t>
            </w:r>
            <w:proofErr w:type="gramStart"/>
            <w:r w:rsidRPr="00B474B8">
              <w:rPr>
                <w:rFonts w:ascii="標楷體" w:eastAsia="標楷體" w:hAnsi="標楷體" w:hint="eastAsia"/>
                <w:color w:val="000000" w:themeColor="text1"/>
                <w:position w:val="2"/>
                <w:sz w:val="20"/>
                <w:szCs w:val="24"/>
              </w:rPr>
              <w:t>庫收，惟售</w:t>
            </w:r>
            <w:proofErr w:type="gramEnd"/>
            <w:r w:rsidRPr="00B474B8">
              <w:rPr>
                <w:rFonts w:ascii="標楷體" w:eastAsia="標楷體" w:hAnsi="標楷體" w:hint="eastAsia"/>
                <w:color w:val="000000" w:themeColor="text1"/>
                <w:position w:val="2"/>
                <w:sz w:val="20"/>
                <w:szCs w:val="24"/>
              </w:rPr>
              <w:t>電契約費率偏低，出售原水量計算方式因未列計南勢溪河道損失量及生態基流量亦有低估，有待檢討</w:t>
            </w:r>
            <w:proofErr w:type="gramStart"/>
            <w:r w:rsidRPr="00B474B8">
              <w:rPr>
                <w:rFonts w:ascii="標楷體" w:eastAsia="標楷體" w:hAnsi="標楷體" w:hint="eastAsia"/>
                <w:color w:val="000000" w:themeColor="text1"/>
                <w:position w:val="2"/>
                <w:sz w:val="20"/>
                <w:szCs w:val="24"/>
              </w:rPr>
              <w:t>研</w:t>
            </w:r>
            <w:proofErr w:type="gramEnd"/>
            <w:r w:rsidRPr="00B474B8">
              <w:rPr>
                <w:rFonts w:ascii="標楷體" w:eastAsia="標楷體" w:hAnsi="標楷體" w:hint="eastAsia"/>
                <w:color w:val="000000" w:themeColor="text1"/>
                <w:position w:val="2"/>
                <w:sz w:val="20"/>
                <w:szCs w:val="24"/>
              </w:rPr>
              <w:t>謀改善。</w:t>
            </w:r>
          </w:p>
        </w:tc>
        <w:tc>
          <w:tcPr>
            <w:tcW w:w="3683" w:type="dxa"/>
            <w:vMerge w:val="restart"/>
            <w:tcBorders>
              <w:top w:val="single" w:sz="4" w:space="0" w:color="auto"/>
              <w:left w:val="single" w:sz="4" w:space="0" w:color="auto"/>
              <w:right w:val="single" w:sz="4" w:space="0" w:color="auto"/>
              <w:tl2br w:val="single" w:sz="4" w:space="0" w:color="auto"/>
            </w:tcBorders>
          </w:tcPr>
          <w:p w14:paraId="3152C3CB" w14:textId="77777777" w:rsidR="00B474B8" w:rsidRPr="00B474B8" w:rsidRDefault="00B474B8" w:rsidP="00824CD6">
            <w:pPr>
              <w:snapToGrid w:val="0"/>
              <w:spacing w:line="240" w:lineRule="exact"/>
              <w:jc w:val="both"/>
              <w:rPr>
                <w:rFonts w:ascii="標楷體" w:eastAsia="標楷體" w:hAnsi="標楷體"/>
                <w:color w:val="000000" w:themeColor="text1"/>
                <w:spacing w:val="-6"/>
                <w:sz w:val="20"/>
              </w:rPr>
            </w:pPr>
          </w:p>
        </w:tc>
      </w:tr>
      <w:tr w:rsidR="00B474B8" w:rsidRPr="00B474B8" w14:paraId="17212BF4" w14:textId="77777777" w:rsidTr="00824CD6">
        <w:trPr>
          <w:trHeight w:val="821"/>
        </w:trPr>
        <w:tc>
          <w:tcPr>
            <w:tcW w:w="6232" w:type="dxa"/>
            <w:tcBorders>
              <w:top w:val="single" w:sz="4" w:space="0" w:color="auto"/>
              <w:left w:val="single" w:sz="4" w:space="0" w:color="auto"/>
              <w:bottom w:val="single" w:sz="4" w:space="0" w:color="auto"/>
              <w:right w:val="single" w:sz="4" w:space="0" w:color="auto"/>
            </w:tcBorders>
          </w:tcPr>
          <w:p w14:paraId="371F9742" w14:textId="77777777" w:rsidR="00B474B8" w:rsidRPr="00B474B8" w:rsidRDefault="00B474B8" w:rsidP="00824CD6">
            <w:pPr>
              <w:spacing w:line="300" w:lineRule="exact"/>
              <w:ind w:left="200" w:hangingChars="100" w:hanging="200"/>
              <w:jc w:val="both"/>
              <w:rPr>
                <w:rFonts w:ascii="標楷體" w:eastAsia="標楷體" w:hAnsi="標楷體"/>
                <w:color w:val="000000" w:themeColor="text1"/>
                <w:position w:val="2"/>
                <w:sz w:val="20"/>
                <w:szCs w:val="24"/>
              </w:rPr>
            </w:pPr>
            <w:r w:rsidRPr="00B474B8">
              <w:rPr>
                <w:rFonts w:ascii="標楷體" w:eastAsia="標楷體" w:hAnsi="標楷體" w:hint="eastAsia"/>
                <w:color w:val="000000" w:themeColor="text1"/>
                <w:position w:val="2"/>
                <w:sz w:val="20"/>
                <w:szCs w:val="24"/>
              </w:rPr>
              <w:t>2.為利翡翠水庫蓄水範圍周邊坡地水土保育並減少淤積，推動水土保持中程計畫，惟預約式工程細部設計及施工作業，核有部分未</w:t>
            </w:r>
            <w:proofErr w:type="gramStart"/>
            <w:r w:rsidRPr="00B474B8">
              <w:rPr>
                <w:rFonts w:ascii="標楷體" w:eastAsia="標楷體" w:hAnsi="標楷體" w:hint="eastAsia"/>
                <w:color w:val="000000" w:themeColor="text1"/>
                <w:position w:val="2"/>
                <w:sz w:val="20"/>
                <w:szCs w:val="24"/>
              </w:rPr>
              <w:t>臻</w:t>
            </w:r>
            <w:proofErr w:type="gramEnd"/>
            <w:r w:rsidRPr="00B474B8">
              <w:rPr>
                <w:rFonts w:ascii="標楷體" w:eastAsia="標楷體" w:hAnsi="標楷體" w:hint="eastAsia"/>
                <w:color w:val="000000" w:themeColor="text1"/>
                <w:position w:val="2"/>
                <w:sz w:val="20"/>
                <w:szCs w:val="24"/>
              </w:rPr>
              <w:t>周妥，有待檢討改善。</w:t>
            </w:r>
          </w:p>
        </w:tc>
        <w:tc>
          <w:tcPr>
            <w:tcW w:w="3683" w:type="dxa"/>
            <w:vMerge/>
            <w:tcBorders>
              <w:left w:val="single" w:sz="4" w:space="0" w:color="auto"/>
              <w:bottom w:val="single" w:sz="4" w:space="0" w:color="auto"/>
              <w:right w:val="single" w:sz="4" w:space="0" w:color="auto"/>
              <w:tl2br w:val="single" w:sz="4" w:space="0" w:color="auto"/>
            </w:tcBorders>
          </w:tcPr>
          <w:p w14:paraId="51FAA1E2" w14:textId="77777777" w:rsidR="00B474B8" w:rsidRPr="00B474B8" w:rsidRDefault="00B474B8" w:rsidP="00824CD6">
            <w:pPr>
              <w:snapToGrid w:val="0"/>
              <w:spacing w:line="240" w:lineRule="exact"/>
              <w:jc w:val="both"/>
              <w:rPr>
                <w:rFonts w:ascii="標楷體" w:eastAsia="標楷體" w:hAnsi="標楷體"/>
                <w:color w:val="000000" w:themeColor="text1"/>
                <w:spacing w:val="-6"/>
                <w:sz w:val="20"/>
              </w:rPr>
            </w:pPr>
          </w:p>
        </w:tc>
      </w:tr>
    </w:tbl>
    <w:p w14:paraId="1E0D0F07" w14:textId="77777777" w:rsidR="00B66083" w:rsidRPr="00BB3AFF" w:rsidRDefault="00B66083" w:rsidP="00B66083">
      <w:pPr>
        <w:spacing w:afterLines="10" w:after="36" w:line="440" w:lineRule="exact"/>
        <w:jc w:val="both"/>
        <w:rPr>
          <w:rFonts w:ascii="標楷體" w:eastAsia="標楷體" w:hAnsi="標楷體"/>
          <w:b/>
          <w:color w:val="000000" w:themeColor="text1"/>
          <w:sz w:val="36"/>
          <w:szCs w:val="36"/>
        </w:rPr>
      </w:pPr>
      <w:bookmarkStart w:id="98" w:name="_Hlk137130143"/>
      <w:r w:rsidRPr="00BB3AFF">
        <w:rPr>
          <w:rFonts w:ascii="標楷體" w:eastAsia="標楷體" w:hAnsi="標楷體"/>
          <w:b/>
          <w:color w:val="000000" w:themeColor="text1"/>
          <w:sz w:val="36"/>
          <w:szCs w:val="36"/>
        </w:rPr>
        <w:lastRenderedPageBreak/>
        <w:t>拾捌、觀光傳播局主管</w:t>
      </w:r>
    </w:p>
    <w:p w14:paraId="760638DC" w14:textId="77777777" w:rsidR="00B66083" w:rsidRPr="00BB3AFF" w:rsidRDefault="00B66083" w:rsidP="00292EF6">
      <w:pPr>
        <w:overflowPunct w:val="0"/>
        <w:spacing w:line="400" w:lineRule="exact"/>
        <w:ind w:firstLineChars="200" w:firstLine="480"/>
        <w:jc w:val="both"/>
        <w:rPr>
          <w:rFonts w:ascii="標楷體" w:eastAsia="標楷體"/>
          <w:color w:val="000000" w:themeColor="text1"/>
          <w:szCs w:val="24"/>
        </w:rPr>
      </w:pPr>
      <w:r w:rsidRPr="00BB3AFF">
        <w:rPr>
          <w:rFonts w:ascii="標楷體" w:eastAsia="標楷體" w:hint="eastAsia"/>
          <w:color w:val="000000" w:themeColor="text1"/>
          <w:szCs w:val="24"/>
        </w:rPr>
        <w:t>觀光傳播局主管包括觀光傳播局、</w:t>
      </w:r>
      <w:proofErr w:type="gramStart"/>
      <w:r w:rsidRPr="00BB3AFF">
        <w:rPr>
          <w:rFonts w:ascii="標楷體" w:eastAsia="標楷體" w:hint="eastAsia"/>
          <w:color w:val="000000" w:themeColor="text1"/>
          <w:szCs w:val="24"/>
        </w:rPr>
        <w:t>臺</w:t>
      </w:r>
      <w:proofErr w:type="gramEnd"/>
      <w:r w:rsidRPr="00BB3AFF">
        <w:rPr>
          <w:rFonts w:ascii="標楷體" w:eastAsia="標楷體" w:hint="eastAsia"/>
          <w:color w:val="000000" w:themeColor="text1"/>
          <w:szCs w:val="24"/>
        </w:rPr>
        <w:t>北廣播電臺等</w:t>
      </w:r>
      <w:r w:rsidRPr="00BB3AFF">
        <w:rPr>
          <w:rFonts w:ascii="標楷體" w:eastAsia="標楷體"/>
          <w:color w:val="000000" w:themeColor="text1"/>
          <w:szCs w:val="24"/>
        </w:rPr>
        <w:t>2</w:t>
      </w:r>
      <w:r w:rsidRPr="00BB3AFF">
        <w:rPr>
          <w:rFonts w:ascii="標楷體" w:eastAsia="標楷體" w:hint="eastAsia"/>
          <w:color w:val="000000" w:themeColor="text1"/>
          <w:szCs w:val="24"/>
        </w:rPr>
        <w:t>個機關，掌理臺北市重大市政及觀光宣導行銷、觀光政策規劃、觀光產業及電影片映演業暨有線電視系統業之輔導管理、旅遊行程之規劃推廣、旅遊服務中心經營管理、行銷刊物之編撰發行及電臺節目</w:t>
      </w:r>
      <w:proofErr w:type="gramStart"/>
      <w:r w:rsidRPr="00BB3AFF">
        <w:rPr>
          <w:rFonts w:ascii="標楷體" w:eastAsia="標楷體" w:hint="eastAsia"/>
          <w:color w:val="000000" w:themeColor="text1"/>
          <w:szCs w:val="24"/>
        </w:rPr>
        <w:t>製播等業務</w:t>
      </w:r>
      <w:proofErr w:type="gramEnd"/>
      <w:r w:rsidRPr="00BB3AFF">
        <w:rPr>
          <w:rFonts w:ascii="標楷體" w:eastAsia="標楷體" w:hint="eastAsia"/>
          <w:color w:val="000000" w:themeColor="text1"/>
          <w:szCs w:val="24"/>
        </w:rPr>
        <w:t>。茲將</w:t>
      </w:r>
      <w:proofErr w:type="gramStart"/>
      <w:r w:rsidRPr="00BB3AFF">
        <w:rPr>
          <w:rFonts w:ascii="標楷體" w:eastAsia="標楷體" w:hint="eastAsia"/>
          <w:color w:val="000000" w:themeColor="text1"/>
          <w:szCs w:val="24"/>
        </w:rPr>
        <w:t>11</w:t>
      </w:r>
      <w:r>
        <w:rPr>
          <w:rFonts w:ascii="標楷體" w:eastAsia="標楷體" w:hint="eastAsia"/>
          <w:color w:val="000000" w:themeColor="text1"/>
          <w:szCs w:val="24"/>
        </w:rPr>
        <w:t>3</w:t>
      </w:r>
      <w:proofErr w:type="gramEnd"/>
      <w:r w:rsidRPr="00BB3AFF">
        <w:rPr>
          <w:rFonts w:ascii="標楷體" w:eastAsia="標楷體" w:hint="eastAsia"/>
          <w:color w:val="000000" w:themeColor="text1"/>
          <w:szCs w:val="24"/>
        </w:rPr>
        <w:t>年度決算審核結果說明如次：</w:t>
      </w:r>
    </w:p>
    <w:p w14:paraId="67C04E66" w14:textId="77777777" w:rsidR="00B66083" w:rsidRPr="00BB3AFF" w:rsidRDefault="00B66083" w:rsidP="00292EF6">
      <w:pPr>
        <w:spacing w:beforeLines="20" w:before="72" w:afterLines="20" w:after="72" w:line="460" w:lineRule="exact"/>
        <w:ind w:firstLineChars="100" w:firstLine="280"/>
        <w:rPr>
          <w:rFonts w:ascii="標楷體" w:eastAsia="標楷體" w:hAnsi="標楷體"/>
          <w:b/>
          <w:color w:val="000000" w:themeColor="text1"/>
          <w:sz w:val="28"/>
          <w:szCs w:val="28"/>
        </w:rPr>
      </w:pPr>
      <w:r w:rsidRPr="00BB3AFF">
        <w:rPr>
          <w:rFonts w:ascii="標楷體" w:eastAsia="標楷體" w:hAnsi="標楷體"/>
          <w:b/>
          <w:color w:val="000000" w:themeColor="text1"/>
          <w:sz w:val="28"/>
          <w:szCs w:val="28"/>
        </w:rPr>
        <w:t>（一）計畫實施之查核</w:t>
      </w:r>
    </w:p>
    <w:p w14:paraId="578C9045" w14:textId="77777777" w:rsidR="00B66083" w:rsidRPr="00BB3AFF" w:rsidRDefault="00B66083" w:rsidP="00292EF6">
      <w:pPr>
        <w:overflowPunct w:val="0"/>
        <w:spacing w:line="400" w:lineRule="exact"/>
        <w:ind w:firstLineChars="200" w:firstLine="480"/>
        <w:jc w:val="both"/>
        <w:rPr>
          <w:rFonts w:ascii="標楷體" w:eastAsia="標楷體"/>
          <w:color w:val="0000FF"/>
          <w:szCs w:val="24"/>
          <w:shd w:val="pct15" w:color="auto" w:fill="FFFFFF"/>
        </w:rPr>
      </w:pPr>
      <w:bookmarkStart w:id="99" w:name="_Hlk75164826"/>
      <w:r w:rsidRPr="00BB3AFF">
        <w:rPr>
          <w:rFonts w:ascii="標楷體" w:eastAsia="標楷體" w:hint="eastAsia"/>
          <w:color w:val="000000" w:themeColor="text1"/>
          <w:szCs w:val="24"/>
        </w:rPr>
        <w:t>業務計畫10項，下分工作計畫1</w:t>
      </w:r>
      <w:r>
        <w:rPr>
          <w:rFonts w:ascii="標楷體" w:eastAsia="標楷體" w:hint="eastAsia"/>
          <w:color w:val="000000" w:themeColor="text1"/>
          <w:szCs w:val="24"/>
        </w:rPr>
        <w:t>4</w:t>
      </w:r>
      <w:r w:rsidRPr="008D4616">
        <w:rPr>
          <w:rFonts w:ascii="標楷體" w:eastAsia="標楷體" w:hint="eastAsia"/>
          <w:color w:val="000000" w:themeColor="text1"/>
          <w:szCs w:val="24"/>
        </w:rPr>
        <w:t>項，包括運用媒體傳播管道及編印發行出版品行銷市政及觀光資訊、推廣國內外會展、補助觀光活動、輔導管理旅宿業、經營管理旅遊服務中心及擴展電臺資源等重要施政項目，其中已執行完成者1</w:t>
      </w:r>
      <w:r>
        <w:rPr>
          <w:rFonts w:ascii="標楷體" w:eastAsia="標楷體" w:hint="eastAsia"/>
          <w:color w:val="000000" w:themeColor="text1"/>
          <w:szCs w:val="24"/>
        </w:rPr>
        <w:t>3</w:t>
      </w:r>
      <w:r w:rsidRPr="008D4616">
        <w:rPr>
          <w:rFonts w:ascii="標楷體" w:eastAsia="標楷體" w:hint="eastAsia"/>
          <w:color w:val="000000" w:themeColor="text1"/>
          <w:szCs w:val="24"/>
        </w:rPr>
        <w:t>項，尚在執行者1項，</w:t>
      </w:r>
      <w:r w:rsidRPr="00B43437">
        <w:rPr>
          <w:rFonts w:ascii="標楷體" w:eastAsia="標楷體" w:hint="eastAsia"/>
          <w:color w:val="000000" w:themeColor="text1"/>
          <w:szCs w:val="24"/>
        </w:rPr>
        <w:t>主要係</w:t>
      </w:r>
      <w:bookmarkEnd w:id="99"/>
      <w:r>
        <w:rPr>
          <w:rFonts w:ascii="標楷體" w:eastAsia="標楷體" w:hint="eastAsia"/>
          <w:color w:val="000000" w:themeColor="text1"/>
          <w:szCs w:val="24"/>
        </w:rPr>
        <w:t>觀光傳播局辦理「</w:t>
      </w:r>
      <w:proofErr w:type="gramStart"/>
      <w:r>
        <w:rPr>
          <w:rFonts w:ascii="標楷體" w:eastAsia="標楷體" w:hint="eastAsia"/>
          <w:color w:val="000000" w:themeColor="text1"/>
          <w:szCs w:val="24"/>
        </w:rPr>
        <w:t>臺</w:t>
      </w:r>
      <w:proofErr w:type="gramEnd"/>
      <w:r>
        <w:rPr>
          <w:rFonts w:ascii="標楷體" w:eastAsia="標楷體" w:hint="eastAsia"/>
          <w:color w:val="000000" w:themeColor="text1"/>
          <w:szCs w:val="24"/>
        </w:rPr>
        <w:t>北</w:t>
      </w:r>
      <w:proofErr w:type="gramStart"/>
      <w:r>
        <w:rPr>
          <w:rFonts w:ascii="標楷體" w:eastAsia="標楷體" w:hint="eastAsia"/>
          <w:color w:val="000000" w:themeColor="text1"/>
          <w:szCs w:val="24"/>
        </w:rPr>
        <w:t>最</w:t>
      </w:r>
      <w:proofErr w:type="gramEnd"/>
      <w:r>
        <w:rPr>
          <w:rFonts w:ascii="標楷體" w:eastAsia="標楷體" w:hint="eastAsia"/>
          <w:color w:val="000000" w:themeColor="text1"/>
          <w:szCs w:val="24"/>
        </w:rPr>
        <w:t>H</w:t>
      </w:r>
      <w:r>
        <w:rPr>
          <w:rFonts w:ascii="標楷體" w:eastAsia="標楷體"/>
          <w:color w:val="000000" w:themeColor="text1"/>
          <w:szCs w:val="24"/>
        </w:rPr>
        <w:t>igh</w:t>
      </w:r>
      <w:r>
        <w:rPr>
          <w:rFonts w:ascii="標楷體" w:eastAsia="標楷體" w:hint="eastAsia"/>
          <w:color w:val="000000" w:themeColor="text1"/>
          <w:szCs w:val="24"/>
        </w:rPr>
        <w:t>新年城－跨年系列活動」企劃執行及行銷宣傳等相關業務，尚未完成查驗，</w:t>
      </w:r>
      <w:r w:rsidRPr="008D4616">
        <w:rPr>
          <w:rFonts w:ascii="標楷體" w:eastAsia="標楷體" w:hint="eastAsia"/>
          <w:color w:val="000000" w:themeColor="text1"/>
          <w:szCs w:val="24"/>
        </w:rPr>
        <w:t>須保留繼續執行。</w:t>
      </w:r>
    </w:p>
    <w:p w14:paraId="46879283" w14:textId="77777777" w:rsidR="00B66083" w:rsidRPr="00516488" w:rsidRDefault="00B66083" w:rsidP="00292EF6">
      <w:pPr>
        <w:spacing w:beforeLines="20" w:before="72" w:afterLines="20" w:after="72" w:line="460" w:lineRule="exact"/>
        <w:ind w:firstLineChars="100" w:firstLine="280"/>
        <w:rPr>
          <w:rFonts w:ascii="標楷體" w:eastAsia="標楷體" w:hAnsi="標楷體"/>
          <w:b/>
          <w:color w:val="000000" w:themeColor="text1"/>
          <w:sz w:val="28"/>
          <w:szCs w:val="28"/>
        </w:rPr>
      </w:pPr>
      <w:r w:rsidRPr="00516488">
        <w:rPr>
          <w:rFonts w:ascii="標楷體" w:eastAsia="標楷體" w:hAnsi="標楷體"/>
          <w:b/>
          <w:color w:val="000000" w:themeColor="text1"/>
          <w:sz w:val="28"/>
          <w:szCs w:val="28"/>
        </w:rPr>
        <w:t>（二）預算執行之審核</w:t>
      </w:r>
    </w:p>
    <w:p w14:paraId="5A0C978F" w14:textId="1D3AADF1" w:rsidR="00B66083" w:rsidRPr="00A97D3D" w:rsidRDefault="00B66083" w:rsidP="00292EF6">
      <w:pPr>
        <w:overflowPunct w:val="0"/>
        <w:spacing w:line="440" w:lineRule="exact"/>
        <w:ind w:firstLineChars="200" w:firstLine="480"/>
        <w:jc w:val="both"/>
        <w:rPr>
          <w:rFonts w:ascii="標楷體" w:eastAsia="標楷體"/>
          <w:color w:val="000000" w:themeColor="text1"/>
          <w:szCs w:val="24"/>
        </w:rPr>
      </w:pPr>
      <w:r w:rsidRPr="00516488">
        <w:rPr>
          <w:rFonts w:ascii="標楷體" w:eastAsia="標楷體"/>
          <w:color w:val="000000" w:themeColor="text1"/>
          <w:szCs w:val="24"/>
        </w:rPr>
        <w:t>1.歲入原編列預算數3,</w:t>
      </w:r>
      <w:r w:rsidRPr="00516488">
        <w:rPr>
          <w:rFonts w:ascii="標楷體" w:eastAsia="標楷體" w:hint="eastAsia"/>
          <w:color w:val="000000" w:themeColor="text1"/>
          <w:szCs w:val="24"/>
        </w:rPr>
        <w:t>7</w:t>
      </w:r>
      <w:r>
        <w:rPr>
          <w:rFonts w:ascii="標楷體" w:eastAsia="標楷體" w:hint="eastAsia"/>
          <w:color w:val="000000" w:themeColor="text1"/>
          <w:szCs w:val="24"/>
        </w:rPr>
        <w:t>02</w:t>
      </w:r>
      <w:r w:rsidRPr="00516488">
        <w:rPr>
          <w:rFonts w:ascii="標楷體" w:eastAsia="標楷體"/>
          <w:color w:val="000000" w:themeColor="text1"/>
          <w:szCs w:val="24"/>
        </w:rPr>
        <w:t>萬</w:t>
      </w:r>
      <w:r>
        <w:rPr>
          <w:rFonts w:ascii="標楷體" w:eastAsia="標楷體" w:hint="eastAsia"/>
          <w:color w:val="000000" w:themeColor="text1"/>
          <w:szCs w:val="24"/>
        </w:rPr>
        <w:t>餘</w:t>
      </w:r>
      <w:r w:rsidRPr="00516488">
        <w:rPr>
          <w:rFonts w:ascii="標楷體" w:eastAsia="標楷體"/>
          <w:color w:val="000000" w:themeColor="text1"/>
          <w:szCs w:val="24"/>
        </w:rPr>
        <w:t>元，經追加預算</w:t>
      </w:r>
      <w:r>
        <w:rPr>
          <w:rFonts w:ascii="標楷體" w:eastAsia="標楷體" w:hint="eastAsia"/>
          <w:color w:val="000000" w:themeColor="text1"/>
          <w:szCs w:val="24"/>
        </w:rPr>
        <w:t>1</w:t>
      </w:r>
      <w:r w:rsidRPr="00516488">
        <w:rPr>
          <w:rFonts w:ascii="標楷體" w:eastAsia="標楷體"/>
          <w:color w:val="000000" w:themeColor="text1"/>
          <w:szCs w:val="24"/>
        </w:rPr>
        <w:t>,</w:t>
      </w:r>
      <w:r>
        <w:rPr>
          <w:rFonts w:ascii="標楷體" w:eastAsia="標楷體" w:hint="eastAsia"/>
          <w:color w:val="000000" w:themeColor="text1"/>
          <w:szCs w:val="24"/>
        </w:rPr>
        <w:t>196</w:t>
      </w:r>
      <w:r w:rsidRPr="00516488">
        <w:rPr>
          <w:rFonts w:ascii="標楷體" w:eastAsia="標楷體"/>
          <w:color w:val="000000" w:themeColor="text1"/>
          <w:szCs w:val="24"/>
        </w:rPr>
        <w:t>萬餘元，合計</w:t>
      </w:r>
      <w:r>
        <w:rPr>
          <w:rFonts w:ascii="標楷體" w:eastAsia="標楷體" w:hint="eastAsia"/>
          <w:color w:val="000000" w:themeColor="text1"/>
          <w:szCs w:val="24"/>
        </w:rPr>
        <w:t>4</w:t>
      </w:r>
      <w:r w:rsidRPr="00516488">
        <w:rPr>
          <w:rFonts w:ascii="標楷體" w:eastAsia="標楷體"/>
          <w:color w:val="000000" w:themeColor="text1"/>
          <w:szCs w:val="24"/>
        </w:rPr>
        <w:t>,</w:t>
      </w:r>
      <w:r>
        <w:rPr>
          <w:rFonts w:ascii="標楷體" w:eastAsia="標楷體" w:hint="eastAsia"/>
          <w:color w:val="000000" w:themeColor="text1"/>
          <w:szCs w:val="24"/>
        </w:rPr>
        <w:t>899</w:t>
      </w:r>
      <w:r w:rsidRPr="00516488">
        <w:rPr>
          <w:rFonts w:ascii="標楷體" w:eastAsia="標楷體"/>
          <w:color w:val="000000" w:themeColor="text1"/>
          <w:szCs w:val="24"/>
        </w:rPr>
        <w:t>萬餘元，決算審核結果，審定實現數</w:t>
      </w:r>
      <w:r>
        <w:rPr>
          <w:rFonts w:ascii="標楷體" w:eastAsia="標楷體" w:hAnsi="標楷體" w:hint="eastAsia"/>
          <w:kern w:val="0"/>
          <w:szCs w:val="24"/>
        </w:rPr>
        <w:t>3,746萬餘元，應收保留數831萬餘元，</w:t>
      </w:r>
      <w:r w:rsidRPr="00A97D3D">
        <w:rPr>
          <w:rFonts w:ascii="標楷體" w:eastAsia="標楷體"/>
          <w:color w:val="000000" w:themeColor="text1"/>
          <w:szCs w:val="24"/>
        </w:rPr>
        <w:t>主要係</w:t>
      </w:r>
      <w:r w:rsidRPr="00A97D3D">
        <w:rPr>
          <w:rFonts w:ascii="標楷體" w:eastAsia="標楷體" w:hint="eastAsia"/>
          <w:color w:val="000000" w:themeColor="text1"/>
          <w:szCs w:val="24"/>
        </w:rPr>
        <w:t>觀光傳播局辦理違反發展觀光條例之罰鍰</w:t>
      </w:r>
      <w:r>
        <w:rPr>
          <w:rFonts w:ascii="標楷體" w:eastAsia="標楷體" w:hint="eastAsia"/>
          <w:color w:val="000000" w:themeColor="text1"/>
          <w:szCs w:val="24"/>
        </w:rPr>
        <w:t>及</w:t>
      </w:r>
      <w:proofErr w:type="gramStart"/>
      <w:r>
        <w:rPr>
          <w:rFonts w:ascii="標楷體" w:eastAsia="標楷體" w:hint="eastAsia"/>
          <w:color w:val="000000" w:themeColor="text1"/>
          <w:szCs w:val="24"/>
        </w:rPr>
        <w:t>怠</w:t>
      </w:r>
      <w:proofErr w:type="gramEnd"/>
      <w:r>
        <w:rPr>
          <w:rFonts w:ascii="標楷體" w:eastAsia="標楷體" w:hint="eastAsia"/>
          <w:color w:val="000000" w:themeColor="text1"/>
          <w:szCs w:val="24"/>
        </w:rPr>
        <w:t>金等</w:t>
      </w:r>
      <w:r w:rsidRPr="00A97D3D">
        <w:rPr>
          <w:rFonts w:ascii="標楷體" w:eastAsia="標楷體" w:hint="eastAsia"/>
          <w:color w:val="000000" w:themeColor="text1"/>
          <w:szCs w:val="24"/>
        </w:rPr>
        <w:t>尚待收繳，</w:t>
      </w:r>
      <w:r w:rsidRPr="007D6803">
        <w:rPr>
          <w:rFonts w:ascii="標楷體" w:eastAsia="標楷體" w:hint="eastAsia"/>
          <w:color w:val="000000" w:themeColor="text1"/>
          <w:szCs w:val="24"/>
        </w:rPr>
        <w:t>及</w:t>
      </w:r>
      <w:r w:rsidRPr="00101003">
        <w:rPr>
          <w:rFonts w:ascii="標楷體" w:eastAsia="標楷體" w:hint="eastAsia"/>
          <w:color w:val="000000" w:themeColor="text1"/>
          <w:szCs w:val="24"/>
        </w:rPr>
        <w:t>交通部觀光署補助「臺北市政府執行</w:t>
      </w:r>
      <w:proofErr w:type="gramStart"/>
      <w:r w:rsidRPr="00101003">
        <w:rPr>
          <w:rFonts w:ascii="標楷體" w:eastAsia="標楷體" w:hint="eastAsia"/>
          <w:color w:val="000000" w:themeColor="text1"/>
          <w:szCs w:val="24"/>
        </w:rPr>
        <w:t>違法旅宿管理</w:t>
      </w:r>
      <w:proofErr w:type="gramEnd"/>
      <w:r w:rsidRPr="00101003">
        <w:rPr>
          <w:rFonts w:ascii="標楷體" w:eastAsia="標楷體" w:hint="eastAsia"/>
          <w:color w:val="000000" w:themeColor="text1"/>
          <w:szCs w:val="24"/>
        </w:rPr>
        <w:t>工作補助計畫」</w:t>
      </w:r>
      <w:r w:rsidRPr="007D6803">
        <w:rPr>
          <w:rFonts w:ascii="標楷體" w:eastAsia="標楷體" w:hint="eastAsia"/>
          <w:color w:val="000000" w:themeColor="text1"/>
          <w:szCs w:val="24"/>
        </w:rPr>
        <w:t>與「</w:t>
      </w:r>
      <w:proofErr w:type="gramStart"/>
      <w:r w:rsidRPr="007D6803">
        <w:rPr>
          <w:rFonts w:ascii="標楷體" w:eastAsia="標楷體"/>
          <w:color w:val="000000" w:themeColor="text1"/>
          <w:szCs w:val="24"/>
        </w:rPr>
        <w:t>11</w:t>
      </w:r>
      <w:r w:rsidRPr="007D6803">
        <w:rPr>
          <w:rFonts w:ascii="標楷體" w:eastAsia="標楷體" w:hint="eastAsia"/>
          <w:color w:val="000000" w:themeColor="text1"/>
          <w:szCs w:val="24"/>
        </w:rPr>
        <w:t>3</w:t>
      </w:r>
      <w:proofErr w:type="gramEnd"/>
      <w:r w:rsidRPr="007D6803">
        <w:rPr>
          <w:rFonts w:ascii="標楷體" w:eastAsia="標楷體" w:hint="eastAsia"/>
          <w:color w:val="000000" w:themeColor="text1"/>
          <w:szCs w:val="24"/>
        </w:rPr>
        <w:t>年度台灣好行服務升級計畫</w:t>
      </w:r>
      <w:r w:rsidR="00170FDA">
        <w:rPr>
          <w:rFonts w:ascii="標楷體" w:eastAsia="標楷體" w:hAnsi="標楷體" w:hint="eastAsia"/>
          <w:color w:val="000000" w:themeColor="text1"/>
          <w:szCs w:val="24"/>
        </w:rPr>
        <w:t>－</w:t>
      </w:r>
      <w:r w:rsidRPr="007D6803">
        <w:rPr>
          <w:rFonts w:ascii="標楷體" w:eastAsia="標楷體" w:hint="eastAsia"/>
          <w:color w:val="000000" w:themeColor="text1"/>
          <w:szCs w:val="24"/>
        </w:rPr>
        <w:t>北投竹子湖線細部計畫」，</w:t>
      </w:r>
      <w:r>
        <w:rPr>
          <w:rFonts w:ascii="標楷體" w:eastAsia="標楷體" w:hint="eastAsia"/>
          <w:color w:val="000000" w:themeColor="text1"/>
          <w:szCs w:val="24"/>
        </w:rPr>
        <w:t>須</w:t>
      </w:r>
      <w:proofErr w:type="gramStart"/>
      <w:r>
        <w:rPr>
          <w:rFonts w:ascii="標楷體" w:eastAsia="標楷體" w:hint="eastAsia"/>
          <w:color w:val="000000" w:themeColor="text1"/>
          <w:szCs w:val="24"/>
        </w:rPr>
        <w:t>俟</w:t>
      </w:r>
      <w:proofErr w:type="gramEnd"/>
      <w:r>
        <w:rPr>
          <w:rFonts w:ascii="標楷體" w:eastAsia="標楷體" w:hint="eastAsia"/>
          <w:color w:val="000000" w:themeColor="text1"/>
          <w:szCs w:val="24"/>
        </w:rPr>
        <w:t>計畫完成</w:t>
      </w:r>
      <w:proofErr w:type="gramStart"/>
      <w:r>
        <w:rPr>
          <w:rFonts w:ascii="標楷體" w:eastAsia="標楷體" w:hint="eastAsia"/>
          <w:color w:val="000000" w:themeColor="text1"/>
          <w:szCs w:val="24"/>
        </w:rPr>
        <w:t>始得申撥款</w:t>
      </w:r>
      <w:proofErr w:type="gramEnd"/>
      <w:r>
        <w:rPr>
          <w:rFonts w:ascii="標楷體" w:eastAsia="標楷體" w:hint="eastAsia"/>
          <w:color w:val="000000" w:themeColor="text1"/>
          <w:szCs w:val="24"/>
        </w:rPr>
        <w:t>項，</w:t>
      </w:r>
      <w:r w:rsidRPr="00A97D3D">
        <w:rPr>
          <w:rFonts w:ascii="標楷體" w:eastAsia="標楷體"/>
          <w:color w:val="000000" w:themeColor="text1"/>
          <w:szCs w:val="24"/>
        </w:rPr>
        <w:t>合計決算審定數</w:t>
      </w:r>
      <w:r>
        <w:rPr>
          <w:rFonts w:ascii="標楷體" w:eastAsia="標楷體" w:hint="eastAsia"/>
          <w:color w:val="000000" w:themeColor="text1"/>
          <w:szCs w:val="24"/>
        </w:rPr>
        <w:t>4</w:t>
      </w:r>
      <w:r w:rsidRPr="00A97D3D">
        <w:rPr>
          <w:rFonts w:ascii="標楷體" w:eastAsia="標楷體"/>
          <w:color w:val="000000" w:themeColor="text1"/>
          <w:szCs w:val="24"/>
        </w:rPr>
        <w:t>,</w:t>
      </w:r>
      <w:r w:rsidRPr="00A97D3D">
        <w:rPr>
          <w:rFonts w:ascii="標楷體" w:eastAsia="標楷體" w:hint="eastAsia"/>
          <w:color w:val="000000" w:themeColor="text1"/>
          <w:szCs w:val="24"/>
        </w:rPr>
        <w:t>5</w:t>
      </w:r>
      <w:r>
        <w:rPr>
          <w:rFonts w:ascii="標楷體" w:eastAsia="標楷體" w:hint="eastAsia"/>
          <w:color w:val="000000" w:themeColor="text1"/>
          <w:szCs w:val="24"/>
        </w:rPr>
        <w:t>78</w:t>
      </w:r>
      <w:r w:rsidRPr="00A97D3D">
        <w:rPr>
          <w:rFonts w:ascii="標楷體" w:eastAsia="標楷體"/>
          <w:color w:val="000000" w:themeColor="text1"/>
          <w:szCs w:val="24"/>
        </w:rPr>
        <w:t>萬餘元，較預算</w:t>
      </w:r>
      <w:r>
        <w:rPr>
          <w:rFonts w:ascii="標楷體" w:eastAsia="標楷體" w:hint="eastAsia"/>
          <w:color w:val="000000" w:themeColor="text1"/>
          <w:szCs w:val="24"/>
        </w:rPr>
        <w:t>減少321</w:t>
      </w:r>
      <w:r w:rsidRPr="00A97D3D">
        <w:rPr>
          <w:rFonts w:ascii="標楷體" w:eastAsia="標楷體"/>
          <w:color w:val="000000" w:themeColor="text1"/>
          <w:szCs w:val="24"/>
        </w:rPr>
        <w:t>萬餘元（</w:t>
      </w:r>
      <w:r>
        <w:rPr>
          <w:rFonts w:ascii="標楷體" w:eastAsia="標楷體" w:hint="eastAsia"/>
          <w:color w:val="000000" w:themeColor="text1"/>
          <w:szCs w:val="24"/>
        </w:rPr>
        <w:t>6.56</w:t>
      </w:r>
      <w:r w:rsidRPr="00A97D3D">
        <w:rPr>
          <w:rFonts w:ascii="標楷體" w:eastAsia="標楷體"/>
          <w:color w:val="000000" w:themeColor="text1"/>
          <w:szCs w:val="24"/>
        </w:rPr>
        <w:t>％），</w:t>
      </w:r>
      <w:r w:rsidRPr="007D6803">
        <w:rPr>
          <w:rFonts w:ascii="標楷體" w:eastAsia="標楷體"/>
          <w:color w:val="000000" w:themeColor="text1"/>
          <w:szCs w:val="24"/>
        </w:rPr>
        <w:t>主要係</w:t>
      </w:r>
      <w:r w:rsidRPr="007D6803">
        <w:rPr>
          <w:rFonts w:ascii="標楷體" w:eastAsia="標楷體" w:hint="eastAsia"/>
          <w:color w:val="000000" w:themeColor="text1"/>
          <w:szCs w:val="24"/>
        </w:rPr>
        <w:t>「臺北市政府熊</w:t>
      </w:r>
      <w:proofErr w:type="gramStart"/>
      <w:r w:rsidRPr="007D6803">
        <w:rPr>
          <w:rFonts w:ascii="標楷體" w:eastAsia="標楷體" w:hint="eastAsia"/>
          <w:color w:val="000000" w:themeColor="text1"/>
          <w:szCs w:val="24"/>
        </w:rPr>
        <w:t>讚</w:t>
      </w:r>
      <w:proofErr w:type="gramEnd"/>
      <w:r w:rsidRPr="007D6803">
        <w:rPr>
          <w:rFonts w:ascii="標楷體" w:eastAsia="標楷體" w:hint="eastAsia"/>
          <w:color w:val="000000" w:themeColor="text1"/>
          <w:szCs w:val="24"/>
        </w:rPr>
        <w:t>Bravo名稱及專用</w:t>
      </w:r>
      <w:proofErr w:type="gramStart"/>
      <w:r w:rsidRPr="007D6803">
        <w:rPr>
          <w:rFonts w:ascii="標楷體" w:eastAsia="標楷體" w:hint="eastAsia"/>
          <w:color w:val="000000" w:themeColor="text1"/>
          <w:szCs w:val="24"/>
        </w:rPr>
        <w:t>圖檔非專屬</w:t>
      </w:r>
      <w:proofErr w:type="gramEnd"/>
      <w:r w:rsidRPr="007D6803">
        <w:rPr>
          <w:rFonts w:ascii="標楷體" w:eastAsia="標楷體" w:hint="eastAsia"/>
          <w:color w:val="000000" w:themeColor="text1"/>
          <w:szCs w:val="24"/>
        </w:rPr>
        <w:t>授權合作案」權利金較預計減少所致</w:t>
      </w:r>
      <w:r w:rsidRPr="00A97D3D">
        <w:rPr>
          <w:rFonts w:ascii="標楷體" w:eastAsia="標楷體"/>
          <w:color w:val="000000" w:themeColor="text1"/>
          <w:szCs w:val="24"/>
        </w:rPr>
        <w:t>。</w:t>
      </w:r>
    </w:p>
    <w:p w14:paraId="301F3F56" w14:textId="77777777" w:rsidR="00B66083" w:rsidRPr="003356A5" w:rsidRDefault="00B66083" w:rsidP="00292EF6">
      <w:pPr>
        <w:overflowPunct w:val="0"/>
        <w:spacing w:line="440" w:lineRule="exact"/>
        <w:ind w:firstLineChars="200" w:firstLine="480"/>
        <w:jc w:val="both"/>
        <w:rPr>
          <w:rFonts w:ascii="標楷體" w:eastAsia="標楷體"/>
          <w:color w:val="000000" w:themeColor="text1"/>
          <w:szCs w:val="24"/>
        </w:rPr>
      </w:pPr>
      <w:r w:rsidRPr="004107E9">
        <w:rPr>
          <w:rFonts w:ascii="標楷體" w:eastAsia="標楷體"/>
          <w:color w:val="000000" w:themeColor="text1"/>
          <w:szCs w:val="24"/>
        </w:rPr>
        <w:t>2.以前年度歲入轉</w:t>
      </w:r>
      <w:r w:rsidRPr="00EF5F33">
        <w:rPr>
          <w:rFonts w:ascii="標楷體" w:eastAsia="標楷體"/>
          <w:color w:val="000000" w:themeColor="text1"/>
          <w:szCs w:val="24"/>
        </w:rPr>
        <w:t>入數計</w:t>
      </w:r>
      <w:r>
        <w:rPr>
          <w:rFonts w:ascii="標楷體" w:eastAsia="標楷體" w:hint="eastAsia"/>
          <w:color w:val="000000" w:themeColor="text1"/>
          <w:szCs w:val="24"/>
        </w:rPr>
        <w:t>1</w:t>
      </w:r>
      <w:r w:rsidRPr="00EF5F33">
        <w:rPr>
          <w:rFonts w:ascii="標楷體" w:eastAsia="標楷體"/>
          <w:color w:val="000000" w:themeColor="text1"/>
          <w:szCs w:val="24"/>
        </w:rPr>
        <w:t>,</w:t>
      </w:r>
      <w:r>
        <w:rPr>
          <w:rFonts w:ascii="標楷體" w:eastAsia="標楷體" w:hint="eastAsia"/>
          <w:color w:val="000000" w:themeColor="text1"/>
          <w:szCs w:val="24"/>
        </w:rPr>
        <w:t>742</w:t>
      </w:r>
      <w:r w:rsidRPr="00EF5F33">
        <w:rPr>
          <w:rFonts w:ascii="標楷體" w:eastAsia="標楷體"/>
          <w:color w:val="000000" w:themeColor="text1"/>
          <w:szCs w:val="24"/>
        </w:rPr>
        <w:t>萬餘元，決算審核結果，審定實現數</w:t>
      </w:r>
      <w:r>
        <w:rPr>
          <w:rFonts w:ascii="標楷體" w:eastAsia="標楷體" w:hint="eastAsia"/>
          <w:color w:val="000000" w:themeColor="text1"/>
          <w:szCs w:val="24"/>
        </w:rPr>
        <w:t>795</w:t>
      </w:r>
      <w:r w:rsidRPr="00EF5F33">
        <w:rPr>
          <w:rFonts w:ascii="標楷體" w:eastAsia="標楷體"/>
          <w:color w:val="000000" w:themeColor="text1"/>
          <w:szCs w:val="24"/>
        </w:rPr>
        <w:t>萬餘元（</w:t>
      </w:r>
      <w:r>
        <w:rPr>
          <w:rFonts w:ascii="標楷體" w:eastAsia="標楷體" w:hint="eastAsia"/>
          <w:color w:val="000000" w:themeColor="text1"/>
          <w:szCs w:val="24"/>
        </w:rPr>
        <w:t>45.63</w:t>
      </w:r>
      <w:r w:rsidRPr="00EF5F33">
        <w:rPr>
          <w:rFonts w:ascii="標楷體" w:eastAsia="標楷體"/>
          <w:color w:val="000000" w:themeColor="text1"/>
          <w:szCs w:val="24"/>
        </w:rPr>
        <w:t>％）；減免（註銷）數</w:t>
      </w:r>
      <w:r w:rsidRPr="00EF5F33">
        <w:rPr>
          <w:rFonts w:ascii="標楷體" w:eastAsia="標楷體" w:hint="eastAsia"/>
          <w:color w:val="000000" w:themeColor="text1"/>
          <w:szCs w:val="24"/>
        </w:rPr>
        <w:t>25</w:t>
      </w:r>
      <w:r>
        <w:rPr>
          <w:rFonts w:ascii="標楷體" w:eastAsia="標楷體" w:hint="eastAsia"/>
          <w:color w:val="000000" w:themeColor="text1"/>
          <w:szCs w:val="24"/>
        </w:rPr>
        <w:t>5</w:t>
      </w:r>
      <w:r w:rsidRPr="00EF5F33">
        <w:rPr>
          <w:rFonts w:ascii="標楷體" w:eastAsia="標楷體"/>
          <w:color w:val="000000" w:themeColor="text1"/>
          <w:szCs w:val="24"/>
        </w:rPr>
        <w:t>萬餘元（</w:t>
      </w:r>
      <w:r>
        <w:rPr>
          <w:rFonts w:ascii="標楷體" w:eastAsia="標楷體" w:hint="eastAsia"/>
          <w:color w:val="000000" w:themeColor="text1"/>
          <w:szCs w:val="24"/>
        </w:rPr>
        <w:t>14.64</w:t>
      </w:r>
      <w:r w:rsidRPr="00EF5F33">
        <w:rPr>
          <w:rFonts w:ascii="標楷體" w:eastAsia="標楷體"/>
          <w:color w:val="000000" w:themeColor="text1"/>
          <w:szCs w:val="24"/>
        </w:rPr>
        <w:t>％）</w:t>
      </w:r>
      <w:r w:rsidRPr="003356A5">
        <w:rPr>
          <w:rFonts w:ascii="標楷體" w:eastAsia="標楷體"/>
          <w:color w:val="000000" w:themeColor="text1"/>
          <w:szCs w:val="24"/>
        </w:rPr>
        <w:t>，</w:t>
      </w:r>
      <w:r w:rsidRPr="003356A5">
        <w:rPr>
          <w:rFonts w:ascii="標楷體" w:eastAsia="標楷體" w:hint="eastAsia"/>
          <w:color w:val="000000" w:themeColor="text1"/>
          <w:szCs w:val="24"/>
        </w:rPr>
        <w:t>主要係觀光傳播局應收違反發展觀光條例之罰鍰，已取得執行憑證後辦理註銷</w:t>
      </w:r>
      <w:r w:rsidRPr="003356A5">
        <w:rPr>
          <w:rFonts w:ascii="標楷體" w:eastAsia="標楷體"/>
          <w:color w:val="000000" w:themeColor="text1"/>
          <w:szCs w:val="24"/>
        </w:rPr>
        <w:t>；應收保留數</w:t>
      </w:r>
      <w:r>
        <w:rPr>
          <w:rFonts w:ascii="標楷體" w:eastAsia="標楷體" w:hint="eastAsia"/>
          <w:color w:val="000000" w:themeColor="text1"/>
          <w:szCs w:val="24"/>
        </w:rPr>
        <w:t>692</w:t>
      </w:r>
      <w:r w:rsidRPr="003356A5">
        <w:rPr>
          <w:rFonts w:ascii="標楷體" w:eastAsia="標楷體"/>
          <w:color w:val="000000" w:themeColor="text1"/>
          <w:szCs w:val="24"/>
        </w:rPr>
        <w:t>萬餘元（</w:t>
      </w:r>
      <w:r>
        <w:rPr>
          <w:rFonts w:ascii="標楷體" w:eastAsia="標楷體" w:hint="eastAsia"/>
          <w:color w:val="000000" w:themeColor="text1"/>
          <w:szCs w:val="24"/>
        </w:rPr>
        <w:t>39.73</w:t>
      </w:r>
      <w:r w:rsidRPr="003356A5">
        <w:rPr>
          <w:rFonts w:ascii="標楷體" w:eastAsia="標楷體"/>
          <w:color w:val="000000" w:themeColor="text1"/>
          <w:szCs w:val="24"/>
        </w:rPr>
        <w:t>％），</w:t>
      </w:r>
      <w:r w:rsidRPr="003356A5">
        <w:rPr>
          <w:rFonts w:ascii="標楷體" w:eastAsia="標楷體" w:hint="eastAsia"/>
          <w:color w:val="000000" w:themeColor="text1"/>
          <w:szCs w:val="24"/>
        </w:rPr>
        <w:t>主要係觀光傳播局</w:t>
      </w:r>
      <w:r>
        <w:rPr>
          <w:rFonts w:ascii="標楷體" w:eastAsia="標楷體" w:hint="eastAsia"/>
          <w:color w:val="000000" w:themeColor="text1"/>
          <w:szCs w:val="24"/>
        </w:rPr>
        <w:t>辦理</w:t>
      </w:r>
      <w:r w:rsidRPr="003356A5">
        <w:rPr>
          <w:rFonts w:ascii="標楷體" w:eastAsia="標楷體" w:hint="eastAsia"/>
          <w:color w:val="000000" w:themeColor="text1"/>
          <w:szCs w:val="24"/>
        </w:rPr>
        <w:t>違反發展觀光條例</w:t>
      </w:r>
      <w:r>
        <w:rPr>
          <w:rFonts w:ascii="標楷體" w:eastAsia="標楷體" w:hint="eastAsia"/>
          <w:color w:val="000000" w:themeColor="text1"/>
          <w:szCs w:val="24"/>
        </w:rPr>
        <w:t>之</w:t>
      </w:r>
      <w:r w:rsidRPr="003356A5">
        <w:rPr>
          <w:rFonts w:ascii="標楷體" w:eastAsia="標楷體" w:hint="eastAsia"/>
          <w:color w:val="000000" w:themeColor="text1"/>
          <w:szCs w:val="24"/>
        </w:rPr>
        <w:t>罰鍰尚待收繳。</w:t>
      </w:r>
    </w:p>
    <w:p w14:paraId="39CD9FC8" w14:textId="77777777" w:rsidR="00B66083" w:rsidRPr="001379F4" w:rsidRDefault="00B66083" w:rsidP="00292EF6">
      <w:pPr>
        <w:overflowPunct w:val="0"/>
        <w:spacing w:line="440" w:lineRule="exact"/>
        <w:ind w:firstLineChars="200" w:firstLine="480"/>
        <w:jc w:val="both"/>
        <w:rPr>
          <w:rFonts w:ascii="標楷體" w:eastAsia="標楷體"/>
          <w:color w:val="000000" w:themeColor="text1"/>
          <w:szCs w:val="24"/>
        </w:rPr>
      </w:pPr>
      <w:r w:rsidRPr="00326BE1">
        <w:rPr>
          <w:rFonts w:ascii="標楷體" w:eastAsia="標楷體"/>
          <w:color w:val="000000" w:themeColor="text1"/>
          <w:szCs w:val="24"/>
        </w:rPr>
        <w:t>3.歲出原編列預算數</w:t>
      </w:r>
      <w:r>
        <w:rPr>
          <w:rFonts w:ascii="標楷體" w:eastAsia="標楷體" w:hint="eastAsia"/>
          <w:color w:val="000000" w:themeColor="text1"/>
          <w:szCs w:val="24"/>
        </w:rPr>
        <w:t>7</w:t>
      </w:r>
      <w:r w:rsidRPr="00326BE1">
        <w:rPr>
          <w:rFonts w:ascii="標楷體" w:eastAsia="標楷體"/>
          <w:color w:val="000000" w:themeColor="text1"/>
          <w:szCs w:val="24"/>
        </w:rPr>
        <w:t>億</w:t>
      </w:r>
      <w:r>
        <w:rPr>
          <w:rFonts w:ascii="標楷體" w:eastAsia="標楷體" w:hint="eastAsia"/>
          <w:color w:val="000000" w:themeColor="text1"/>
          <w:szCs w:val="24"/>
        </w:rPr>
        <w:t>4</w:t>
      </w:r>
      <w:r w:rsidRPr="00326BE1">
        <w:rPr>
          <w:rFonts w:ascii="標楷體" w:eastAsia="標楷體"/>
          <w:color w:val="000000" w:themeColor="text1"/>
          <w:szCs w:val="24"/>
        </w:rPr>
        <w:t>,</w:t>
      </w:r>
      <w:r>
        <w:rPr>
          <w:rFonts w:ascii="標楷體" w:eastAsia="標楷體" w:hint="eastAsia"/>
          <w:color w:val="000000" w:themeColor="text1"/>
          <w:szCs w:val="24"/>
        </w:rPr>
        <w:t>087</w:t>
      </w:r>
      <w:r w:rsidRPr="00326BE1">
        <w:rPr>
          <w:rFonts w:ascii="標楷體" w:eastAsia="標楷體"/>
          <w:color w:val="000000" w:themeColor="text1"/>
          <w:szCs w:val="24"/>
        </w:rPr>
        <w:t>萬</w:t>
      </w:r>
      <w:r>
        <w:rPr>
          <w:rFonts w:ascii="標楷體" w:eastAsia="標楷體" w:hint="eastAsia"/>
          <w:color w:val="000000" w:themeColor="text1"/>
          <w:szCs w:val="24"/>
        </w:rPr>
        <w:t>餘</w:t>
      </w:r>
      <w:r w:rsidRPr="00326BE1">
        <w:rPr>
          <w:rFonts w:ascii="標楷體" w:eastAsia="標楷體"/>
          <w:color w:val="000000" w:themeColor="text1"/>
          <w:szCs w:val="24"/>
        </w:rPr>
        <w:t>元，經追加預算</w:t>
      </w:r>
      <w:r>
        <w:rPr>
          <w:rFonts w:ascii="標楷體" w:eastAsia="標楷體" w:hint="eastAsia"/>
          <w:color w:val="000000" w:themeColor="text1"/>
          <w:szCs w:val="24"/>
        </w:rPr>
        <w:t>1</w:t>
      </w:r>
      <w:r w:rsidRPr="00326BE1">
        <w:rPr>
          <w:rFonts w:ascii="標楷體" w:eastAsia="標楷體"/>
          <w:color w:val="000000" w:themeColor="text1"/>
          <w:szCs w:val="24"/>
        </w:rPr>
        <w:t>,</w:t>
      </w:r>
      <w:r>
        <w:rPr>
          <w:rFonts w:ascii="標楷體" w:eastAsia="標楷體" w:hint="eastAsia"/>
          <w:color w:val="000000" w:themeColor="text1"/>
          <w:szCs w:val="24"/>
        </w:rPr>
        <w:t>196</w:t>
      </w:r>
      <w:r w:rsidRPr="00326BE1">
        <w:rPr>
          <w:rFonts w:ascii="標楷體" w:eastAsia="標楷體"/>
          <w:color w:val="000000" w:themeColor="text1"/>
          <w:szCs w:val="24"/>
        </w:rPr>
        <w:t>萬餘元，並因</w:t>
      </w:r>
      <w:r w:rsidRPr="00326BE1">
        <w:rPr>
          <w:rFonts w:ascii="標楷體" w:eastAsia="標楷體" w:hint="eastAsia"/>
          <w:color w:val="000000" w:themeColor="text1"/>
          <w:szCs w:val="24"/>
        </w:rPr>
        <w:t>觀光傳播局</w:t>
      </w:r>
      <w:r w:rsidRPr="00C75AC8">
        <w:rPr>
          <w:rFonts w:ascii="標楷體" w:eastAsia="標楷體"/>
          <w:color w:val="000000" w:themeColor="text1"/>
          <w:szCs w:val="24"/>
        </w:rPr>
        <w:t>辦理「中華民國各界慶祝113年國慶晚會」</w:t>
      </w:r>
      <w:r>
        <w:rPr>
          <w:rFonts w:ascii="標楷體" w:eastAsia="標楷體" w:hint="eastAsia"/>
          <w:color w:val="000000" w:themeColor="text1"/>
          <w:szCs w:val="24"/>
        </w:rPr>
        <w:t>及</w:t>
      </w:r>
      <w:r w:rsidRPr="00C75AC8">
        <w:rPr>
          <w:rFonts w:ascii="標楷體" w:eastAsia="標楷體"/>
          <w:color w:val="000000" w:themeColor="text1"/>
          <w:szCs w:val="24"/>
        </w:rPr>
        <w:t>支應</w:t>
      </w:r>
      <w:r>
        <w:rPr>
          <w:rFonts w:ascii="標楷體" w:eastAsia="標楷體" w:hint="eastAsia"/>
          <w:color w:val="000000" w:themeColor="text1"/>
          <w:szCs w:val="24"/>
        </w:rPr>
        <w:t>該</w:t>
      </w:r>
      <w:r w:rsidRPr="00C75AC8">
        <w:rPr>
          <w:rFonts w:ascii="標楷體" w:eastAsia="標楷體"/>
          <w:color w:val="000000" w:themeColor="text1"/>
          <w:szCs w:val="24"/>
        </w:rPr>
        <w:t>活動場地費所需經費</w:t>
      </w:r>
      <w:r w:rsidRPr="00326BE1">
        <w:rPr>
          <w:rFonts w:ascii="標楷體" w:eastAsia="標楷體"/>
          <w:color w:val="000000" w:themeColor="text1"/>
          <w:szCs w:val="24"/>
        </w:rPr>
        <w:t>，經動支第二預備金</w:t>
      </w:r>
      <w:r>
        <w:rPr>
          <w:rFonts w:ascii="標楷體" w:eastAsia="標楷體" w:hint="eastAsia"/>
          <w:color w:val="000000" w:themeColor="text1"/>
          <w:szCs w:val="24"/>
        </w:rPr>
        <w:t>1</w:t>
      </w:r>
      <w:r>
        <w:rPr>
          <w:rFonts w:ascii="標楷體" w:eastAsia="標楷體"/>
          <w:color w:val="000000" w:themeColor="text1"/>
          <w:szCs w:val="24"/>
        </w:rPr>
        <w:t>,</w:t>
      </w:r>
      <w:r>
        <w:rPr>
          <w:rFonts w:ascii="標楷體" w:eastAsia="標楷體" w:hint="eastAsia"/>
          <w:color w:val="000000" w:themeColor="text1"/>
          <w:szCs w:val="24"/>
        </w:rPr>
        <w:t>310</w:t>
      </w:r>
      <w:r w:rsidRPr="00326BE1">
        <w:rPr>
          <w:rFonts w:ascii="標楷體" w:eastAsia="標楷體"/>
          <w:color w:val="000000" w:themeColor="text1"/>
          <w:szCs w:val="24"/>
        </w:rPr>
        <w:t>萬餘元</w:t>
      </w:r>
      <w:r w:rsidRPr="00326BE1">
        <w:rPr>
          <w:rFonts w:ascii="標楷體" w:eastAsia="標楷體" w:hint="eastAsia"/>
          <w:color w:val="000000" w:themeColor="text1"/>
          <w:szCs w:val="24"/>
        </w:rPr>
        <w:t>，</w:t>
      </w:r>
      <w:proofErr w:type="gramStart"/>
      <w:r>
        <w:rPr>
          <w:rFonts w:ascii="標楷體" w:eastAsia="標楷體" w:hint="eastAsia"/>
          <w:color w:val="000000" w:themeColor="text1"/>
          <w:szCs w:val="24"/>
        </w:rPr>
        <w:t>暨因</w:t>
      </w:r>
      <w:r w:rsidRPr="00326BE1">
        <w:rPr>
          <w:rFonts w:ascii="標楷體" w:eastAsia="標楷體" w:hint="eastAsia"/>
          <w:color w:val="000000" w:themeColor="text1"/>
          <w:szCs w:val="24"/>
        </w:rPr>
        <w:t>觀光</w:t>
      </w:r>
      <w:proofErr w:type="gramEnd"/>
      <w:r w:rsidRPr="00326BE1">
        <w:rPr>
          <w:rFonts w:ascii="標楷體" w:eastAsia="標楷體" w:hint="eastAsia"/>
          <w:color w:val="000000" w:themeColor="text1"/>
          <w:szCs w:val="24"/>
        </w:rPr>
        <w:t>傳播局</w:t>
      </w:r>
      <w:r>
        <w:rPr>
          <w:rFonts w:ascii="標楷體" w:eastAsia="標楷體" w:hint="eastAsia"/>
          <w:color w:val="000000" w:themeColor="text1"/>
          <w:szCs w:val="24"/>
        </w:rPr>
        <w:t>及</w:t>
      </w:r>
      <w:proofErr w:type="gramStart"/>
      <w:r w:rsidRPr="00F869A8">
        <w:rPr>
          <w:rFonts w:ascii="標楷體" w:eastAsia="標楷體" w:hint="eastAsia"/>
          <w:color w:val="000000" w:themeColor="text1"/>
          <w:szCs w:val="24"/>
        </w:rPr>
        <w:t>臺</w:t>
      </w:r>
      <w:proofErr w:type="gramEnd"/>
      <w:r w:rsidRPr="00F869A8">
        <w:rPr>
          <w:rFonts w:ascii="標楷體" w:eastAsia="標楷體" w:hint="eastAsia"/>
          <w:color w:val="000000" w:themeColor="text1"/>
          <w:szCs w:val="24"/>
        </w:rPr>
        <w:t>北廣播電臺人事費不足</w:t>
      </w:r>
      <w:r>
        <w:rPr>
          <w:rFonts w:ascii="標楷體" w:eastAsia="標楷體" w:hint="eastAsia"/>
          <w:color w:val="000000" w:themeColor="text1"/>
          <w:szCs w:val="24"/>
        </w:rPr>
        <w:t>，</w:t>
      </w:r>
      <w:r w:rsidRPr="00F869A8">
        <w:rPr>
          <w:rFonts w:ascii="標楷體" w:eastAsia="標楷體" w:hint="eastAsia"/>
          <w:color w:val="000000" w:themeColor="text1"/>
          <w:szCs w:val="24"/>
        </w:rPr>
        <w:t>動支</w:t>
      </w:r>
      <w:r>
        <w:rPr>
          <w:rFonts w:ascii="標楷體" w:eastAsia="標楷體" w:hint="eastAsia"/>
          <w:color w:val="000000" w:themeColor="text1"/>
          <w:szCs w:val="24"/>
        </w:rPr>
        <w:t>各類員工</w:t>
      </w:r>
      <w:r w:rsidRPr="00F869A8">
        <w:rPr>
          <w:rFonts w:ascii="標楷體" w:eastAsia="標楷體" w:hint="eastAsia"/>
          <w:color w:val="000000" w:themeColor="text1"/>
          <w:szCs w:val="24"/>
        </w:rPr>
        <w:t>待遇準備</w:t>
      </w:r>
      <w:r>
        <w:rPr>
          <w:rFonts w:ascii="標楷體" w:eastAsia="標楷體" w:hint="eastAsia"/>
          <w:color w:val="000000" w:themeColor="text1"/>
          <w:szCs w:val="24"/>
        </w:rPr>
        <w:t>427</w:t>
      </w:r>
      <w:r w:rsidRPr="00F869A8">
        <w:rPr>
          <w:rFonts w:ascii="標楷體" w:eastAsia="標楷體" w:hint="eastAsia"/>
          <w:color w:val="000000" w:themeColor="text1"/>
          <w:szCs w:val="24"/>
        </w:rPr>
        <w:t>萬餘元</w:t>
      </w:r>
      <w:r w:rsidRPr="00F869A8">
        <w:rPr>
          <w:rFonts w:ascii="標楷體" w:eastAsia="標楷體"/>
          <w:color w:val="000000" w:themeColor="text1"/>
          <w:szCs w:val="24"/>
        </w:rPr>
        <w:t>，合計</w:t>
      </w:r>
      <w:r>
        <w:rPr>
          <w:rFonts w:ascii="標楷體" w:eastAsia="標楷體" w:hint="eastAsia"/>
          <w:color w:val="000000" w:themeColor="text1"/>
          <w:szCs w:val="24"/>
        </w:rPr>
        <w:t>7</w:t>
      </w:r>
      <w:r w:rsidRPr="00F869A8">
        <w:rPr>
          <w:rFonts w:ascii="標楷體" w:eastAsia="標楷體"/>
          <w:color w:val="000000" w:themeColor="text1"/>
          <w:szCs w:val="24"/>
        </w:rPr>
        <w:t>億</w:t>
      </w:r>
      <w:r>
        <w:rPr>
          <w:rFonts w:ascii="標楷體" w:eastAsia="標楷體" w:hint="eastAsia"/>
          <w:color w:val="000000" w:themeColor="text1"/>
          <w:szCs w:val="24"/>
        </w:rPr>
        <w:t>7</w:t>
      </w:r>
      <w:r w:rsidRPr="00F869A8">
        <w:rPr>
          <w:rFonts w:ascii="標楷體" w:eastAsia="標楷體"/>
          <w:color w:val="000000" w:themeColor="text1"/>
          <w:szCs w:val="24"/>
        </w:rPr>
        <w:t>,</w:t>
      </w:r>
      <w:r>
        <w:rPr>
          <w:rFonts w:ascii="標楷體" w:eastAsia="標楷體" w:hint="eastAsia"/>
          <w:color w:val="000000" w:themeColor="text1"/>
          <w:szCs w:val="24"/>
        </w:rPr>
        <w:t>022</w:t>
      </w:r>
      <w:r w:rsidRPr="00F869A8">
        <w:rPr>
          <w:rFonts w:ascii="標楷體" w:eastAsia="標楷體"/>
          <w:color w:val="000000" w:themeColor="text1"/>
          <w:szCs w:val="24"/>
        </w:rPr>
        <w:t>萬餘元</w:t>
      </w:r>
      <w:r w:rsidRPr="002A568C">
        <w:rPr>
          <w:rFonts w:ascii="標楷體" w:eastAsia="標楷體"/>
          <w:color w:val="000000" w:themeColor="text1"/>
          <w:szCs w:val="24"/>
        </w:rPr>
        <w:t>，決算審核結果，審定實現數</w:t>
      </w:r>
      <w:r>
        <w:rPr>
          <w:rFonts w:ascii="標楷體" w:eastAsia="標楷體" w:hint="eastAsia"/>
          <w:color w:val="000000" w:themeColor="text1"/>
          <w:szCs w:val="24"/>
        </w:rPr>
        <w:t>7</w:t>
      </w:r>
      <w:r w:rsidRPr="002A568C">
        <w:rPr>
          <w:rFonts w:ascii="標楷體" w:eastAsia="標楷體"/>
          <w:color w:val="000000" w:themeColor="text1"/>
          <w:szCs w:val="24"/>
        </w:rPr>
        <w:t>億</w:t>
      </w:r>
      <w:r>
        <w:rPr>
          <w:rFonts w:ascii="標楷體" w:eastAsia="標楷體" w:hint="eastAsia"/>
          <w:color w:val="000000" w:themeColor="text1"/>
          <w:szCs w:val="24"/>
        </w:rPr>
        <w:t>3</w:t>
      </w:r>
      <w:r w:rsidRPr="002A568C">
        <w:rPr>
          <w:rFonts w:ascii="標楷體" w:eastAsia="標楷體"/>
          <w:color w:val="000000" w:themeColor="text1"/>
          <w:szCs w:val="24"/>
        </w:rPr>
        <w:t>,</w:t>
      </w:r>
      <w:r>
        <w:rPr>
          <w:rFonts w:ascii="標楷體" w:eastAsia="標楷體" w:hint="eastAsia"/>
          <w:color w:val="000000" w:themeColor="text1"/>
          <w:szCs w:val="24"/>
        </w:rPr>
        <w:t>951</w:t>
      </w:r>
      <w:r w:rsidRPr="002A568C">
        <w:rPr>
          <w:rFonts w:ascii="標楷體" w:eastAsia="標楷體"/>
          <w:color w:val="000000" w:themeColor="text1"/>
          <w:szCs w:val="24"/>
        </w:rPr>
        <w:t>萬餘元</w:t>
      </w:r>
      <w:r w:rsidRPr="00B57EB1">
        <w:rPr>
          <w:rFonts w:ascii="標楷體" w:eastAsia="標楷體"/>
          <w:color w:val="000000" w:themeColor="text1"/>
          <w:szCs w:val="24"/>
        </w:rPr>
        <w:t>（</w:t>
      </w:r>
      <w:r w:rsidRPr="00B57EB1">
        <w:rPr>
          <w:rFonts w:ascii="標楷體" w:eastAsia="標楷體" w:hint="eastAsia"/>
          <w:color w:val="000000" w:themeColor="text1"/>
          <w:szCs w:val="24"/>
        </w:rPr>
        <w:t>9</w:t>
      </w:r>
      <w:r>
        <w:rPr>
          <w:rFonts w:ascii="標楷體" w:eastAsia="標楷體" w:hint="eastAsia"/>
          <w:color w:val="000000" w:themeColor="text1"/>
          <w:szCs w:val="24"/>
        </w:rPr>
        <w:t>6.01</w:t>
      </w:r>
      <w:r w:rsidRPr="00B57EB1">
        <w:rPr>
          <w:rFonts w:ascii="標楷體" w:eastAsia="標楷體"/>
          <w:color w:val="000000" w:themeColor="text1"/>
          <w:szCs w:val="24"/>
        </w:rPr>
        <w:t>％）</w:t>
      </w:r>
      <w:r w:rsidRPr="0031034F">
        <w:rPr>
          <w:rFonts w:ascii="標楷體" w:eastAsia="標楷體"/>
          <w:color w:val="000000" w:themeColor="text1"/>
          <w:szCs w:val="24"/>
        </w:rPr>
        <w:t>，應付保留數</w:t>
      </w:r>
      <w:r>
        <w:rPr>
          <w:rFonts w:ascii="標楷體" w:eastAsia="標楷體" w:hint="eastAsia"/>
          <w:color w:val="000000" w:themeColor="text1"/>
          <w:szCs w:val="24"/>
        </w:rPr>
        <w:t>600</w:t>
      </w:r>
      <w:r w:rsidRPr="0031034F">
        <w:rPr>
          <w:rFonts w:ascii="標楷體" w:eastAsia="標楷體"/>
          <w:color w:val="000000" w:themeColor="text1"/>
          <w:szCs w:val="24"/>
        </w:rPr>
        <w:t>萬元</w:t>
      </w:r>
      <w:r w:rsidRPr="00B57EB1">
        <w:rPr>
          <w:rFonts w:ascii="標楷體" w:eastAsia="標楷體"/>
          <w:color w:val="000000" w:themeColor="text1"/>
          <w:szCs w:val="24"/>
        </w:rPr>
        <w:t>（</w:t>
      </w:r>
      <w:r w:rsidRPr="00B57EB1">
        <w:rPr>
          <w:rFonts w:ascii="標楷體" w:eastAsia="標楷體" w:hint="eastAsia"/>
          <w:color w:val="000000" w:themeColor="text1"/>
          <w:szCs w:val="24"/>
        </w:rPr>
        <w:t>0.</w:t>
      </w:r>
      <w:r>
        <w:rPr>
          <w:rFonts w:ascii="標楷體" w:eastAsia="標楷體" w:hint="eastAsia"/>
          <w:color w:val="000000" w:themeColor="text1"/>
          <w:szCs w:val="24"/>
        </w:rPr>
        <w:t>78</w:t>
      </w:r>
      <w:r w:rsidRPr="00B57EB1">
        <w:rPr>
          <w:rFonts w:ascii="標楷體" w:eastAsia="標楷體"/>
          <w:color w:val="000000" w:themeColor="text1"/>
          <w:szCs w:val="24"/>
        </w:rPr>
        <w:t>％）</w:t>
      </w:r>
      <w:r w:rsidRPr="00AE0E10">
        <w:rPr>
          <w:rFonts w:ascii="標楷體" w:eastAsia="標楷體"/>
          <w:color w:val="000000" w:themeColor="text1"/>
          <w:szCs w:val="24"/>
        </w:rPr>
        <w:t>，保留原因詳「（一）計畫實施之查核」說明；合計決算審定數</w:t>
      </w:r>
      <w:r>
        <w:rPr>
          <w:rFonts w:ascii="標楷體" w:eastAsia="標楷體" w:hint="eastAsia"/>
          <w:color w:val="000000" w:themeColor="text1"/>
          <w:szCs w:val="24"/>
        </w:rPr>
        <w:t>7</w:t>
      </w:r>
      <w:r w:rsidRPr="002A568C">
        <w:rPr>
          <w:rFonts w:ascii="標楷體" w:eastAsia="標楷體"/>
          <w:color w:val="000000" w:themeColor="text1"/>
          <w:szCs w:val="24"/>
        </w:rPr>
        <w:t>億</w:t>
      </w:r>
      <w:r>
        <w:rPr>
          <w:rFonts w:ascii="標楷體" w:eastAsia="標楷體" w:hint="eastAsia"/>
          <w:color w:val="000000" w:themeColor="text1"/>
          <w:szCs w:val="24"/>
        </w:rPr>
        <w:t>4</w:t>
      </w:r>
      <w:r w:rsidRPr="002A568C">
        <w:rPr>
          <w:rFonts w:ascii="標楷體" w:eastAsia="標楷體"/>
          <w:color w:val="000000" w:themeColor="text1"/>
          <w:szCs w:val="24"/>
        </w:rPr>
        <w:t>,</w:t>
      </w:r>
      <w:r>
        <w:rPr>
          <w:rFonts w:ascii="標楷體" w:eastAsia="標楷體" w:hint="eastAsia"/>
          <w:color w:val="000000" w:themeColor="text1"/>
          <w:szCs w:val="24"/>
        </w:rPr>
        <w:t>551</w:t>
      </w:r>
      <w:r w:rsidRPr="002A568C">
        <w:rPr>
          <w:rFonts w:ascii="標楷體" w:eastAsia="標楷體"/>
          <w:color w:val="000000" w:themeColor="text1"/>
          <w:szCs w:val="24"/>
        </w:rPr>
        <w:t>萬餘元</w:t>
      </w:r>
      <w:r w:rsidRPr="003919AE">
        <w:rPr>
          <w:rFonts w:ascii="標楷體" w:eastAsia="標楷體"/>
          <w:color w:val="000000" w:themeColor="text1"/>
          <w:szCs w:val="24"/>
        </w:rPr>
        <w:t>，預算賸餘</w:t>
      </w:r>
      <w:r>
        <w:rPr>
          <w:rFonts w:ascii="標楷體" w:eastAsia="標楷體" w:hint="eastAsia"/>
          <w:color w:val="000000" w:themeColor="text1"/>
          <w:szCs w:val="24"/>
        </w:rPr>
        <w:t>2</w:t>
      </w:r>
      <w:r w:rsidRPr="003919AE">
        <w:rPr>
          <w:rFonts w:ascii="標楷體" w:eastAsia="標楷體"/>
          <w:color w:val="000000" w:themeColor="text1"/>
          <w:szCs w:val="24"/>
        </w:rPr>
        <w:t>,</w:t>
      </w:r>
      <w:r>
        <w:rPr>
          <w:rFonts w:ascii="標楷體" w:eastAsia="標楷體" w:hint="eastAsia"/>
          <w:color w:val="000000" w:themeColor="text1"/>
          <w:szCs w:val="24"/>
        </w:rPr>
        <w:t>470</w:t>
      </w:r>
      <w:r w:rsidRPr="003919AE">
        <w:rPr>
          <w:rFonts w:ascii="標楷體" w:eastAsia="標楷體"/>
          <w:color w:val="000000" w:themeColor="text1"/>
          <w:szCs w:val="24"/>
        </w:rPr>
        <w:t>萬餘元</w:t>
      </w:r>
      <w:r w:rsidRPr="00F36E5C">
        <w:rPr>
          <w:rFonts w:ascii="標楷體" w:eastAsia="標楷體"/>
          <w:color w:val="000000" w:themeColor="text1"/>
          <w:szCs w:val="24"/>
        </w:rPr>
        <w:t>（</w:t>
      </w:r>
      <w:r>
        <w:rPr>
          <w:rFonts w:ascii="標楷體" w:eastAsia="標楷體" w:hint="eastAsia"/>
          <w:color w:val="000000" w:themeColor="text1"/>
          <w:szCs w:val="24"/>
        </w:rPr>
        <w:t>3.21</w:t>
      </w:r>
      <w:r w:rsidRPr="00F36E5C">
        <w:rPr>
          <w:rFonts w:ascii="標楷體" w:eastAsia="標楷體"/>
          <w:color w:val="000000" w:themeColor="text1"/>
          <w:szCs w:val="24"/>
        </w:rPr>
        <w:t>％）</w:t>
      </w:r>
      <w:r w:rsidRPr="00BE60A2">
        <w:rPr>
          <w:rFonts w:ascii="標楷體" w:eastAsia="標楷體"/>
          <w:color w:val="000000" w:themeColor="text1"/>
          <w:szCs w:val="24"/>
        </w:rPr>
        <w:t>，</w:t>
      </w:r>
      <w:r w:rsidRPr="001379F4">
        <w:rPr>
          <w:rFonts w:ascii="標楷體" w:eastAsia="標楷體"/>
          <w:color w:val="000000" w:themeColor="text1"/>
          <w:szCs w:val="24"/>
        </w:rPr>
        <w:t>主要係</w:t>
      </w:r>
      <w:r w:rsidRPr="001379F4">
        <w:rPr>
          <w:rFonts w:ascii="標楷體" w:eastAsia="標楷體" w:hint="eastAsia"/>
          <w:color w:val="000000" w:themeColor="text1"/>
          <w:szCs w:val="24"/>
        </w:rPr>
        <w:t>補助社會團體及職業團體辦理國際會議、獎勵旅遊、展覽</w:t>
      </w:r>
      <w:r>
        <w:rPr>
          <w:rFonts w:ascii="標楷體" w:eastAsia="標楷體" w:hint="eastAsia"/>
          <w:color w:val="000000" w:themeColor="text1"/>
          <w:szCs w:val="24"/>
        </w:rPr>
        <w:t>（</w:t>
      </w:r>
      <w:r w:rsidRPr="001379F4">
        <w:rPr>
          <w:rFonts w:ascii="標楷體" w:eastAsia="標楷體" w:hint="eastAsia"/>
          <w:color w:val="000000" w:themeColor="text1"/>
          <w:szCs w:val="24"/>
        </w:rPr>
        <w:t>MICE</w:t>
      </w:r>
      <w:r>
        <w:rPr>
          <w:rFonts w:ascii="標楷體" w:eastAsia="標楷體" w:hint="eastAsia"/>
          <w:color w:val="000000" w:themeColor="text1"/>
          <w:szCs w:val="24"/>
        </w:rPr>
        <w:t>）、觀光活動</w:t>
      </w:r>
      <w:r w:rsidRPr="001379F4">
        <w:rPr>
          <w:rFonts w:ascii="標楷體" w:eastAsia="標楷體" w:hint="eastAsia"/>
          <w:color w:val="000000" w:themeColor="text1"/>
          <w:szCs w:val="24"/>
        </w:rPr>
        <w:t>等</w:t>
      </w:r>
      <w:r>
        <w:rPr>
          <w:rFonts w:ascii="標楷體" w:eastAsia="標楷體" w:hint="eastAsia"/>
          <w:color w:val="000000" w:themeColor="text1"/>
          <w:szCs w:val="24"/>
        </w:rPr>
        <w:t>經費賸餘</w:t>
      </w:r>
      <w:r w:rsidRPr="001379F4">
        <w:rPr>
          <w:rFonts w:ascii="標楷體" w:eastAsia="標楷體" w:hint="eastAsia"/>
          <w:color w:val="000000" w:themeColor="text1"/>
          <w:szCs w:val="24"/>
        </w:rPr>
        <w:t>。</w:t>
      </w:r>
    </w:p>
    <w:p w14:paraId="207797D2" w14:textId="77777777" w:rsidR="00B66083" w:rsidRPr="00BB3AFF" w:rsidRDefault="00B66083" w:rsidP="00292EF6">
      <w:pPr>
        <w:overflowPunct w:val="0"/>
        <w:spacing w:line="400" w:lineRule="exact"/>
        <w:ind w:firstLineChars="200" w:firstLine="480"/>
        <w:jc w:val="both"/>
        <w:rPr>
          <w:rFonts w:ascii="標楷體" w:eastAsia="標楷體"/>
          <w:color w:val="0000FF"/>
          <w:szCs w:val="24"/>
        </w:rPr>
      </w:pPr>
      <w:r w:rsidRPr="004C354A">
        <w:rPr>
          <w:rFonts w:ascii="標楷體" w:eastAsia="標楷體"/>
          <w:color w:val="000000" w:themeColor="text1"/>
          <w:szCs w:val="24"/>
        </w:rPr>
        <w:t>4.以前年度歲出轉入數計</w:t>
      </w:r>
      <w:r>
        <w:rPr>
          <w:rFonts w:ascii="標楷體" w:eastAsia="標楷體" w:hint="eastAsia"/>
          <w:color w:val="000000" w:themeColor="text1"/>
          <w:szCs w:val="24"/>
        </w:rPr>
        <w:t>13</w:t>
      </w:r>
      <w:r w:rsidRPr="004C354A">
        <w:rPr>
          <w:rFonts w:ascii="標楷體" w:eastAsia="標楷體"/>
          <w:color w:val="000000" w:themeColor="text1"/>
          <w:szCs w:val="24"/>
        </w:rPr>
        <w:t>萬餘元，決算審核結果，</w:t>
      </w:r>
      <w:r w:rsidRPr="00CD671C">
        <w:rPr>
          <w:rFonts w:ascii="標楷體" w:eastAsia="標楷體"/>
          <w:color w:val="000000" w:themeColor="text1"/>
          <w:szCs w:val="24"/>
        </w:rPr>
        <w:t>審定實現數</w:t>
      </w:r>
      <w:r>
        <w:rPr>
          <w:rFonts w:ascii="標楷體" w:eastAsia="標楷體" w:hint="eastAsia"/>
          <w:color w:val="000000" w:themeColor="text1"/>
          <w:szCs w:val="24"/>
        </w:rPr>
        <w:t>13</w:t>
      </w:r>
      <w:r w:rsidRPr="00CD671C">
        <w:rPr>
          <w:rFonts w:ascii="標楷體" w:eastAsia="標楷體"/>
          <w:color w:val="000000" w:themeColor="text1"/>
          <w:szCs w:val="24"/>
        </w:rPr>
        <w:t>萬餘元</w:t>
      </w:r>
      <w:r w:rsidRPr="00CF30BA">
        <w:rPr>
          <w:rFonts w:ascii="標楷體" w:eastAsia="標楷體"/>
          <w:color w:val="000000" w:themeColor="text1"/>
          <w:szCs w:val="24"/>
        </w:rPr>
        <w:t>（</w:t>
      </w:r>
      <w:r>
        <w:rPr>
          <w:rFonts w:ascii="標楷體" w:eastAsia="標楷體" w:hint="eastAsia"/>
          <w:color w:val="000000" w:themeColor="text1"/>
          <w:szCs w:val="24"/>
        </w:rPr>
        <w:t>100.00</w:t>
      </w:r>
      <w:r w:rsidRPr="00CF30BA">
        <w:rPr>
          <w:rFonts w:ascii="標楷體" w:eastAsia="標楷體"/>
          <w:color w:val="000000" w:themeColor="text1"/>
          <w:szCs w:val="24"/>
        </w:rPr>
        <w:t>％）</w:t>
      </w:r>
      <w:bookmarkEnd w:id="98"/>
      <w:r w:rsidRPr="0089643A">
        <w:rPr>
          <w:rFonts w:ascii="標楷體" w:eastAsia="標楷體" w:hint="eastAsia"/>
          <w:color w:val="0000FF"/>
          <w:szCs w:val="24"/>
        </w:rPr>
        <w:t>。</w:t>
      </w:r>
    </w:p>
    <w:p w14:paraId="270816CD" w14:textId="77777777" w:rsidR="00B66083" w:rsidRPr="00A317BB" w:rsidRDefault="00B66083" w:rsidP="006327C8">
      <w:pPr>
        <w:spacing w:beforeLines="50" w:before="180" w:afterLines="20" w:after="72" w:line="460" w:lineRule="exact"/>
        <w:ind w:firstLineChars="100" w:firstLine="280"/>
        <w:rPr>
          <w:rFonts w:ascii="標楷體" w:eastAsia="標楷體" w:hAnsi="標楷體"/>
          <w:b/>
          <w:color w:val="000000" w:themeColor="text1"/>
          <w:sz w:val="28"/>
          <w:szCs w:val="28"/>
        </w:rPr>
      </w:pPr>
      <w:r w:rsidRPr="00A317BB">
        <w:rPr>
          <w:rFonts w:ascii="標楷體" w:eastAsia="標楷體" w:hAnsi="標楷體"/>
          <w:b/>
          <w:color w:val="000000" w:themeColor="text1"/>
          <w:sz w:val="28"/>
          <w:szCs w:val="28"/>
        </w:rPr>
        <w:t>（</w:t>
      </w:r>
      <w:r w:rsidRPr="00A317BB">
        <w:rPr>
          <w:rFonts w:ascii="標楷體" w:eastAsia="標楷體" w:hAnsi="標楷體" w:hint="eastAsia"/>
          <w:b/>
          <w:color w:val="000000" w:themeColor="text1"/>
          <w:sz w:val="28"/>
          <w:szCs w:val="28"/>
        </w:rPr>
        <w:t>三</w:t>
      </w:r>
      <w:r w:rsidRPr="00A317BB">
        <w:rPr>
          <w:rFonts w:ascii="標楷體" w:eastAsia="標楷體" w:hAnsi="標楷體"/>
          <w:b/>
          <w:color w:val="000000" w:themeColor="text1"/>
          <w:sz w:val="28"/>
          <w:szCs w:val="28"/>
        </w:rPr>
        <w:t>）</w:t>
      </w:r>
      <w:r w:rsidRPr="00A317BB">
        <w:rPr>
          <w:rFonts w:ascii="標楷體" w:eastAsia="標楷體" w:hAnsi="標楷體" w:hint="eastAsia"/>
          <w:b/>
          <w:color w:val="000000" w:themeColor="text1"/>
          <w:sz w:val="28"/>
          <w:szCs w:val="28"/>
        </w:rPr>
        <w:t>重要審核意見</w:t>
      </w:r>
    </w:p>
    <w:p w14:paraId="7C5F8332" w14:textId="77777777" w:rsidR="00B66083" w:rsidRPr="003A52FC" w:rsidRDefault="00B66083" w:rsidP="00B66083">
      <w:pPr>
        <w:overflowPunct w:val="0"/>
        <w:spacing w:line="420" w:lineRule="exact"/>
        <w:ind w:firstLineChars="200" w:firstLine="553"/>
        <w:jc w:val="both"/>
        <w:rPr>
          <w:rFonts w:ascii="標楷體" w:eastAsia="標楷體"/>
          <w:b/>
          <w:bCs/>
          <w:color w:val="000000" w:themeColor="text1"/>
          <w:spacing w:val="-2"/>
          <w:sz w:val="28"/>
          <w:szCs w:val="28"/>
        </w:rPr>
      </w:pPr>
      <w:r>
        <w:rPr>
          <w:rFonts w:ascii="標楷體" w:eastAsia="標楷體" w:hint="eastAsia"/>
          <w:b/>
          <w:color w:val="000000" w:themeColor="text1"/>
          <w:spacing w:val="-2"/>
          <w:sz w:val="28"/>
          <w:szCs w:val="28"/>
        </w:rPr>
        <w:lastRenderedPageBreak/>
        <w:t>1</w:t>
      </w:r>
      <w:r w:rsidRPr="008163D8">
        <w:rPr>
          <w:rFonts w:ascii="標楷體" w:eastAsia="標楷體" w:hint="eastAsia"/>
          <w:b/>
          <w:color w:val="000000" w:themeColor="text1"/>
          <w:spacing w:val="-2"/>
          <w:sz w:val="28"/>
          <w:szCs w:val="28"/>
        </w:rPr>
        <w:t>.</w:t>
      </w:r>
      <w:r w:rsidRPr="003A52FC">
        <w:rPr>
          <w:rFonts w:ascii="標楷體" w:eastAsia="標楷體" w:hint="eastAsia"/>
          <w:b/>
          <w:color w:val="000000" w:themeColor="text1"/>
          <w:spacing w:val="-2"/>
          <w:sz w:val="28"/>
          <w:szCs w:val="28"/>
        </w:rPr>
        <w:t>為維護旅客住宿安全及權益，</w:t>
      </w:r>
      <w:r>
        <w:rPr>
          <w:rFonts w:ascii="標楷體" w:eastAsia="標楷體" w:hint="eastAsia"/>
          <w:b/>
          <w:color w:val="000000" w:themeColor="text1"/>
          <w:spacing w:val="-2"/>
          <w:sz w:val="28"/>
          <w:szCs w:val="28"/>
        </w:rPr>
        <w:t>持續</w:t>
      </w:r>
      <w:r w:rsidRPr="003A52FC">
        <w:rPr>
          <w:rFonts w:ascii="標楷體" w:eastAsia="標楷體" w:hint="eastAsia"/>
          <w:b/>
          <w:color w:val="000000" w:themeColor="text1"/>
          <w:spacing w:val="-2"/>
          <w:sz w:val="28"/>
          <w:szCs w:val="28"/>
        </w:rPr>
        <w:t>辦理</w:t>
      </w:r>
      <w:proofErr w:type="gramStart"/>
      <w:r>
        <w:rPr>
          <w:rFonts w:ascii="標楷體" w:eastAsia="標楷體" w:hint="eastAsia"/>
          <w:b/>
          <w:color w:val="000000" w:themeColor="text1"/>
          <w:spacing w:val="-2"/>
          <w:sz w:val="28"/>
          <w:szCs w:val="28"/>
        </w:rPr>
        <w:t>轄內</w:t>
      </w:r>
      <w:r w:rsidRPr="003A52FC">
        <w:rPr>
          <w:rFonts w:ascii="標楷體" w:eastAsia="標楷體" w:hint="eastAsia"/>
          <w:b/>
          <w:color w:val="000000" w:themeColor="text1"/>
          <w:spacing w:val="-2"/>
          <w:sz w:val="28"/>
          <w:szCs w:val="28"/>
        </w:rPr>
        <w:t>旅宿業</w:t>
      </w:r>
      <w:proofErr w:type="gramEnd"/>
      <w:r w:rsidRPr="003A52FC">
        <w:rPr>
          <w:rFonts w:ascii="標楷體" w:eastAsia="標楷體" w:hint="eastAsia"/>
          <w:b/>
          <w:color w:val="000000" w:themeColor="text1"/>
          <w:spacing w:val="-2"/>
          <w:sz w:val="28"/>
          <w:szCs w:val="28"/>
        </w:rPr>
        <w:t>稽查取締業務，惟</w:t>
      </w:r>
      <w:r>
        <w:rPr>
          <w:rFonts w:ascii="標楷體" w:eastAsia="標楷體" w:hint="eastAsia"/>
          <w:b/>
          <w:color w:val="000000" w:themeColor="text1"/>
          <w:spacing w:val="-2"/>
          <w:sz w:val="28"/>
          <w:szCs w:val="28"/>
        </w:rPr>
        <w:t>部分</w:t>
      </w:r>
      <w:r w:rsidRPr="003A52FC">
        <w:rPr>
          <w:rFonts w:ascii="標楷體" w:eastAsia="標楷體" w:hint="eastAsia"/>
          <w:b/>
          <w:color w:val="000000" w:themeColor="text1"/>
          <w:spacing w:val="-2"/>
          <w:sz w:val="28"/>
          <w:szCs w:val="28"/>
        </w:rPr>
        <w:t>非法</w:t>
      </w:r>
      <w:proofErr w:type="gramStart"/>
      <w:r w:rsidRPr="003A52FC">
        <w:rPr>
          <w:rFonts w:ascii="標楷體" w:eastAsia="標楷體" w:hint="eastAsia"/>
          <w:b/>
          <w:color w:val="000000" w:themeColor="text1"/>
          <w:spacing w:val="-2"/>
          <w:sz w:val="28"/>
          <w:szCs w:val="28"/>
        </w:rPr>
        <w:t>旅宿</w:t>
      </w:r>
      <w:r>
        <w:rPr>
          <w:rFonts w:ascii="標楷體" w:eastAsia="標楷體" w:hint="eastAsia"/>
          <w:b/>
          <w:color w:val="000000" w:themeColor="text1"/>
          <w:spacing w:val="-2"/>
          <w:sz w:val="28"/>
          <w:szCs w:val="28"/>
        </w:rPr>
        <w:t>漏</w:t>
      </w:r>
      <w:proofErr w:type="gramEnd"/>
      <w:r>
        <w:rPr>
          <w:rFonts w:ascii="標楷體" w:eastAsia="標楷體" w:hint="eastAsia"/>
          <w:b/>
          <w:color w:val="000000" w:themeColor="text1"/>
          <w:spacing w:val="-2"/>
          <w:sz w:val="28"/>
          <w:szCs w:val="28"/>
        </w:rPr>
        <w:t>未納管或</w:t>
      </w:r>
      <w:r>
        <w:rPr>
          <w:rFonts w:ascii="標楷體" w:eastAsia="標楷體" w:hAnsi="標楷體" w:hint="eastAsia"/>
          <w:b/>
          <w:color w:val="000000" w:themeColor="text1"/>
          <w:spacing w:val="-2"/>
          <w:sz w:val="28"/>
          <w:szCs w:val="28"/>
        </w:rPr>
        <w:t>續</w:t>
      </w:r>
      <w:r w:rsidRPr="003A52FC">
        <w:rPr>
          <w:rFonts w:ascii="標楷體" w:eastAsia="標楷體" w:hint="eastAsia"/>
          <w:b/>
          <w:color w:val="000000" w:themeColor="text1"/>
          <w:spacing w:val="-2"/>
          <w:sz w:val="28"/>
          <w:szCs w:val="28"/>
        </w:rPr>
        <w:t>於網路刊登招攬住宿資訊，</w:t>
      </w:r>
      <w:r>
        <w:rPr>
          <w:rFonts w:ascii="標楷體" w:eastAsia="標楷體" w:hint="eastAsia"/>
          <w:b/>
          <w:color w:val="000000" w:themeColor="text1"/>
          <w:spacing w:val="-2"/>
          <w:sz w:val="28"/>
          <w:szCs w:val="28"/>
        </w:rPr>
        <w:t>又未依規定期限辦理</w:t>
      </w:r>
      <w:r w:rsidRPr="003A52FC">
        <w:rPr>
          <w:rFonts w:ascii="標楷體" w:eastAsia="標楷體" w:hint="eastAsia"/>
          <w:b/>
          <w:color w:val="000000" w:themeColor="text1"/>
          <w:spacing w:val="-2"/>
          <w:sz w:val="28"/>
          <w:szCs w:val="28"/>
        </w:rPr>
        <w:t>非法民宿</w:t>
      </w:r>
      <w:r>
        <w:rPr>
          <w:rFonts w:ascii="標楷體" w:eastAsia="標楷體" w:hint="eastAsia"/>
          <w:b/>
          <w:color w:val="000000" w:themeColor="text1"/>
          <w:spacing w:val="-2"/>
          <w:sz w:val="28"/>
          <w:szCs w:val="28"/>
        </w:rPr>
        <w:t>之複查</w:t>
      </w:r>
      <w:r w:rsidRPr="003A52FC">
        <w:rPr>
          <w:rFonts w:ascii="標楷體" w:eastAsia="標楷體" w:hint="eastAsia"/>
          <w:b/>
          <w:color w:val="000000" w:themeColor="text1"/>
          <w:spacing w:val="-2"/>
          <w:sz w:val="28"/>
          <w:szCs w:val="28"/>
        </w:rPr>
        <w:t>作業</w:t>
      </w:r>
      <w:r>
        <w:rPr>
          <w:rFonts w:ascii="標楷體" w:eastAsia="標楷體" w:hint="eastAsia"/>
          <w:b/>
          <w:color w:val="000000" w:themeColor="text1"/>
          <w:spacing w:val="-2"/>
          <w:sz w:val="28"/>
          <w:szCs w:val="28"/>
        </w:rPr>
        <w:t>，且</w:t>
      </w:r>
      <w:proofErr w:type="gramStart"/>
      <w:r>
        <w:rPr>
          <w:rFonts w:ascii="標楷體" w:eastAsia="標楷體" w:hint="eastAsia"/>
          <w:b/>
          <w:color w:val="000000" w:themeColor="text1"/>
          <w:spacing w:val="-2"/>
          <w:sz w:val="28"/>
          <w:szCs w:val="28"/>
        </w:rPr>
        <w:t>非法</w:t>
      </w:r>
      <w:r w:rsidRPr="00F74ACC">
        <w:rPr>
          <w:rFonts w:ascii="標楷體" w:eastAsia="標楷體" w:hint="eastAsia"/>
          <w:b/>
          <w:color w:val="000000" w:themeColor="text1"/>
          <w:spacing w:val="-2"/>
          <w:sz w:val="28"/>
          <w:szCs w:val="28"/>
        </w:rPr>
        <w:t>旅</w:t>
      </w:r>
      <w:r>
        <w:rPr>
          <w:rFonts w:ascii="標楷體" w:eastAsia="標楷體" w:hint="eastAsia"/>
          <w:b/>
          <w:color w:val="000000" w:themeColor="text1"/>
          <w:spacing w:val="-2"/>
          <w:sz w:val="28"/>
          <w:szCs w:val="28"/>
        </w:rPr>
        <w:t>宿解除</w:t>
      </w:r>
      <w:proofErr w:type="gramEnd"/>
      <w:r>
        <w:rPr>
          <w:rFonts w:ascii="標楷體" w:eastAsia="標楷體" w:hint="eastAsia"/>
          <w:b/>
          <w:color w:val="000000" w:themeColor="text1"/>
          <w:spacing w:val="-2"/>
          <w:sz w:val="28"/>
          <w:szCs w:val="28"/>
        </w:rPr>
        <w:t>列管</w:t>
      </w:r>
      <w:r>
        <w:rPr>
          <w:rFonts w:ascii="標楷體" w:eastAsia="標楷體" w:hAnsi="標楷體" w:hint="eastAsia"/>
          <w:b/>
          <w:color w:val="000000" w:themeColor="text1"/>
          <w:spacing w:val="-2"/>
          <w:sz w:val="28"/>
          <w:szCs w:val="28"/>
        </w:rPr>
        <w:t>機制未</w:t>
      </w:r>
      <w:proofErr w:type="gramStart"/>
      <w:r>
        <w:rPr>
          <w:rFonts w:ascii="標楷體" w:eastAsia="標楷體" w:hAnsi="標楷體" w:hint="eastAsia"/>
          <w:b/>
          <w:color w:val="000000" w:themeColor="text1"/>
          <w:spacing w:val="-2"/>
          <w:sz w:val="28"/>
          <w:szCs w:val="28"/>
        </w:rPr>
        <w:t>臻</w:t>
      </w:r>
      <w:proofErr w:type="gramEnd"/>
      <w:r>
        <w:rPr>
          <w:rFonts w:ascii="標楷體" w:eastAsia="標楷體" w:hAnsi="標楷體" w:hint="eastAsia"/>
          <w:b/>
          <w:color w:val="000000" w:themeColor="text1"/>
          <w:spacing w:val="-2"/>
          <w:sz w:val="28"/>
          <w:szCs w:val="28"/>
        </w:rPr>
        <w:t>周妥</w:t>
      </w:r>
      <w:r w:rsidRPr="003A52FC">
        <w:rPr>
          <w:rFonts w:ascii="標楷體" w:eastAsia="標楷體" w:hint="eastAsia"/>
          <w:b/>
          <w:color w:val="000000" w:themeColor="text1"/>
          <w:spacing w:val="-2"/>
          <w:sz w:val="28"/>
          <w:szCs w:val="28"/>
        </w:rPr>
        <w:t>等情，亟待檢討</w:t>
      </w:r>
      <w:proofErr w:type="gramStart"/>
      <w:r w:rsidRPr="003A52FC">
        <w:rPr>
          <w:rFonts w:ascii="標楷體" w:eastAsia="標楷體" w:hint="eastAsia"/>
          <w:b/>
          <w:color w:val="000000" w:themeColor="text1"/>
          <w:spacing w:val="-2"/>
          <w:sz w:val="28"/>
          <w:szCs w:val="28"/>
        </w:rPr>
        <w:t>研</w:t>
      </w:r>
      <w:proofErr w:type="gramEnd"/>
      <w:r w:rsidRPr="003A52FC">
        <w:rPr>
          <w:rFonts w:ascii="標楷體" w:eastAsia="標楷體" w:hint="eastAsia"/>
          <w:b/>
          <w:color w:val="000000" w:themeColor="text1"/>
          <w:spacing w:val="-2"/>
          <w:sz w:val="28"/>
          <w:szCs w:val="28"/>
        </w:rPr>
        <w:t>謀改善</w:t>
      </w:r>
      <w:r w:rsidRPr="008163D8">
        <w:rPr>
          <w:rFonts w:ascii="標楷體" w:eastAsia="標楷體" w:hint="eastAsia"/>
          <w:b/>
          <w:bCs/>
          <w:color w:val="000000" w:themeColor="text1"/>
          <w:spacing w:val="-2"/>
          <w:sz w:val="28"/>
          <w:szCs w:val="28"/>
        </w:rPr>
        <w:t>。</w:t>
      </w:r>
    </w:p>
    <w:p w14:paraId="7739155D" w14:textId="6A96E770" w:rsidR="00B66083" w:rsidRPr="00775702" w:rsidRDefault="00B66083" w:rsidP="00B97B1A">
      <w:pPr>
        <w:overflowPunct w:val="0"/>
        <w:spacing w:line="432" w:lineRule="exact"/>
        <w:ind w:firstLineChars="200" w:firstLine="480"/>
        <w:jc w:val="both"/>
        <w:rPr>
          <w:rFonts w:ascii="標楷體" w:eastAsia="標楷體" w:hAnsi="標楷體" w:cs="DFKaiShu-SB-Estd-BF"/>
          <w:szCs w:val="24"/>
        </w:rPr>
      </w:pPr>
      <w:r w:rsidRPr="00775702">
        <w:rPr>
          <w:rFonts w:ascii="標楷體" w:eastAsia="標楷體" w:hAnsi="標楷體" w:cs="DFKaiShu-SB-Estd-BF" w:hint="eastAsia"/>
          <w:szCs w:val="24"/>
        </w:rPr>
        <w:t>觀光傳播局（下稱觀傳局）為維護旅客住宿安全及權益，於111至113年度各編列預算2,062萬餘元、1,677萬餘元及1,370萬餘元，持續辦理</w:t>
      </w:r>
      <w:proofErr w:type="gramStart"/>
      <w:r w:rsidRPr="00775702">
        <w:rPr>
          <w:rFonts w:ascii="標楷體" w:eastAsia="標楷體" w:hAnsi="標楷體" w:cs="DFKaiShu-SB-Estd-BF" w:hint="eastAsia"/>
          <w:szCs w:val="24"/>
        </w:rPr>
        <w:t>轄內旅宿業</w:t>
      </w:r>
      <w:proofErr w:type="gramEnd"/>
      <w:r w:rsidRPr="00775702">
        <w:rPr>
          <w:rFonts w:ascii="標楷體" w:eastAsia="標楷體" w:hAnsi="標楷體" w:cs="DFKaiShu-SB-Estd-BF" w:hint="eastAsia"/>
          <w:szCs w:val="24"/>
        </w:rPr>
        <w:t>稽查取締業務，並於111至113年度獲交通部觀光局（112年9月15日改制為交通部觀光署，下稱觀光署）每年補助各450萬元執行</w:t>
      </w:r>
      <w:proofErr w:type="gramStart"/>
      <w:r w:rsidRPr="00775702">
        <w:rPr>
          <w:rFonts w:ascii="標楷體" w:eastAsia="標楷體" w:hAnsi="標楷體" w:cs="DFKaiShu-SB-Estd-BF" w:hint="eastAsia"/>
          <w:szCs w:val="24"/>
        </w:rPr>
        <w:t>非法旅宿管理</w:t>
      </w:r>
      <w:proofErr w:type="gramEnd"/>
      <w:r w:rsidRPr="00775702">
        <w:rPr>
          <w:rFonts w:ascii="標楷體" w:eastAsia="標楷體" w:hAnsi="標楷體" w:cs="DFKaiShu-SB-Estd-BF" w:hint="eastAsia"/>
          <w:szCs w:val="24"/>
        </w:rPr>
        <w:t>工作。經</w:t>
      </w:r>
      <w:proofErr w:type="gramStart"/>
      <w:r w:rsidRPr="00775702">
        <w:rPr>
          <w:rFonts w:ascii="標楷體" w:eastAsia="標楷體" w:hAnsi="標楷體" w:cs="DFKaiShu-SB-Estd-BF" w:hint="eastAsia"/>
          <w:szCs w:val="24"/>
        </w:rPr>
        <w:t>查觀傳局</w:t>
      </w:r>
      <w:proofErr w:type="gramEnd"/>
      <w:r w:rsidRPr="00775702">
        <w:rPr>
          <w:rFonts w:ascii="標楷體" w:eastAsia="標楷體" w:hAnsi="標楷體" w:cs="DFKaiShu-SB-Estd-BF" w:hint="eastAsia"/>
          <w:szCs w:val="24"/>
        </w:rPr>
        <w:t>辦理旅宿業稽查及違規取締執行情形，核有：（1）截至114年2月17日止，該局列管之</w:t>
      </w:r>
      <w:proofErr w:type="gramStart"/>
      <w:r w:rsidRPr="00775702">
        <w:rPr>
          <w:rFonts w:ascii="標楷體" w:eastAsia="標楷體" w:hAnsi="標楷體" w:cs="DFKaiShu-SB-Estd-BF" w:hint="eastAsia"/>
          <w:szCs w:val="24"/>
        </w:rPr>
        <w:t>非法旅宿計有</w:t>
      </w:r>
      <w:proofErr w:type="gramEnd"/>
      <w:r w:rsidRPr="00775702">
        <w:rPr>
          <w:rFonts w:ascii="標楷體" w:eastAsia="標楷體" w:hAnsi="標楷體" w:cs="DFKaiShu-SB-Estd-BF" w:hint="eastAsia"/>
          <w:szCs w:val="24"/>
        </w:rPr>
        <w:t>243家，經本處蒐集</w:t>
      </w:r>
      <w:r w:rsidR="00F86E8E">
        <w:rPr>
          <w:rFonts w:ascii="標楷體" w:eastAsia="標楷體" w:hAnsi="標楷體" w:cs="DFKaiShu-SB-Estd-BF" w:hint="eastAsia"/>
          <w:szCs w:val="24"/>
        </w:rPr>
        <w:t>A</w:t>
      </w:r>
      <w:r w:rsidRPr="00775702">
        <w:rPr>
          <w:rFonts w:ascii="標楷體" w:eastAsia="標楷體" w:hAnsi="標楷體" w:cs="DFKaiShu-SB-Estd-BF" w:hint="eastAsia"/>
          <w:szCs w:val="24"/>
        </w:rPr>
        <w:t>goda、</w:t>
      </w:r>
      <w:r w:rsidR="00F86E8E">
        <w:rPr>
          <w:rFonts w:ascii="標楷體" w:eastAsia="標楷體" w:hAnsi="標楷體" w:cs="DFKaiShu-SB-Estd-BF"/>
          <w:szCs w:val="24"/>
        </w:rPr>
        <w:t>B</w:t>
      </w:r>
      <w:r w:rsidRPr="00775702">
        <w:rPr>
          <w:rFonts w:ascii="標楷體" w:eastAsia="標楷體" w:hAnsi="標楷體" w:cs="DFKaiShu-SB-Estd-BF" w:hint="eastAsia"/>
          <w:szCs w:val="24"/>
        </w:rPr>
        <w:t>ooking.com等網路訂房平</w:t>
      </w:r>
      <w:proofErr w:type="gramStart"/>
      <w:r w:rsidRPr="00775702">
        <w:rPr>
          <w:rFonts w:ascii="標楷體" w:eastAsia="標楷體" w:hAnsi="標楷體" w:cs="DFKaiShu-SB-Estd-BF" w:hint="eastAsia"/>
          <w:szCs w:val="24"/>
        </w:rPr>
        <w:t>臺</w:t>
      </w:r>
      <w:proofErr w:type="gramEnd"/>
      <w:r w:rsidRPr="00775702">
        <w:rPr>
          <w:rFonts w:ascii="標楷體" w:eastAsia="標楷體" w:hAnsi="標楷體" w:cs="DFKaiShu-SB-Estd-BF" w:hint="eastAsia"/>
          <w:szCs w:val="24"/>
        </w:rPr>
        <w:t>刊登之臺北市住宿資訊，與觀光署刊載於</w:t>
      </w:r>
      <w:proofErr w:type="gramStart"/>
      <w:r w:rsidRPr="00775702">
        <w:rPr>
          <w:rFonts w:ascii="標楷體" w:eastAsia="標楷體" w:hAnsi="標楷體" w:cs="DFKaiShu-SB-Estd-BF" w:hint="eastAsia"/>
          <w:szCs w:val="24"/>
        </w:rPr>
        <w:t>臺灣旅宿網</w:t>
      </w:r>
      <w:proofErr w:type="gramEnd"/>
      <w:r w:rsidRPr="00775702">
        <w:rPr>
          <w:rFonts w:ascii="標楷體" w:eastAsia="標楷體" w:hAnsi="標楷體" w:cs="DFKaiShu-SB-Estd-BF" w:hint="eastAsia"/>
          <w:szCs w:val="24"/>
        </w:rPr>
        <w:t>之</w:t>
      </w:r>
      <w:proofErr w:type="gramStart"/>
      <w:r w:rsidRPr="00775702">
        <w:rPr>
          <w:rFonts w:ascii="標楷體" w:eastAsia="標楷體" w:hAnsi="標楷體" w:cs="DFKaiShu-SB-Estd-BF" w:hint="eastAsia"/>
          <w:szCs w:val="24"/>
        </w:rPr>
        <w:t>合法旅宿清冊</w:t>
      </w:r>
      <w:proofErr w:type="gramEnd"/>
      <w:r w:rsidRPr="00775702">
        <w:rPr>
          <w:rFonts w:ascii="標楷體" w:eastAsia="標楷體" w:hAnsi="標楷體" w:cs="DFKaiShu-SB-Estd-BF" w:hint="eastAsia"/>
          <w:szCs w:val="24"/>
        </w:rPr>
        <w:t>暨該局列管</w:t>
      </w:r>
      <w:proofErr w:type="gramStart"/>
      <w:r w:rsidRPr="00775702">
        <w:rPr>
          <w:rFonts w:ascii="標楷體" w:eastAsia="標楷體" w:hAnsi="標楷體" w:cs="DFKaiShu-SB-Estd-BF" w:hint="eastAsia"/>
          <w:szCs w:val="24"/>
        </w:rPr>
        <w:t>合法旅宿及非法旅宿清冊</w:t>
      </w:r>
      <w:proofErr w:type="gramEnd"/>
      <w:r w:rsidRPr="00775702">
        <w:rPr>
          <w:rFonts w:ascii="標楷體" w:eastAsia="標楷體" w:hAnsi="標楷體" w:cs="DFKaiShu-SB-Estd-BF" w:hint="eastAsia"/>
          <w:szCs w:val="24"/>
        </w:rPr>
        <w:t>等相互勾</w:t>
      </w:r>
      <w:proofErr w:type="gramStart"/>
      <w:r w:rsidRPr="00775702">
        <w:rPr>
          <w:rFonts w:ascii="標楷體" w:eastAsia="標楷體" w:hAnsi="標楷體" w:cs="DFKaiShu-SB-Estd-BF" w:hint="eastAsia"/>
          <w:szCs w:val="24"/>
        </w:rPr>
        <w:t>稽</w:t>
      </w:r>
      <w:proofErr w:type="gramEnd"/>
      <w:r w:rsidRPr="00775702">
        <w:rPr>
          <w:rFonts w:ascii="標楷體" w:eastAsia="標楷體" w:hAnsi="標楷體" w:cs="DFKaiShu-SB-Estd-BF" w:hint="eastAsia"/>
          <w:szCs w:val="24"/>
        </w:rPr>
        <w:t>結果，有4家</w:t>
      </w:r>
      <w:proofErr w:type="gramStart"/>
      <w:r w:rsidRPr="00775702">
        <w:rPr>
          <w:rFonts w:ascii="標楷體" w:eastAsia="標楷體" w:hAnsi="標楷體" w:cs="DFKaiShu-SB-Estd-BF" w:hint="eastAsia"/>
          <w:szCs w:val="24"/>
        </w:rPr>
        <w:t>非法旅宿業者</w:t>
      </w:r>
      <w:proofErr w:type="gramEnd"/>
      <w:r w:rsidRPr="00775702">
        <w:rPr>
          <w:rFonts w:ascii="標楷體" w:eastAsia="標楷體" w:hAnsi="標楷體" w:cs="DFKaiShu-SB-Estd-BF" w:hint="eastAsia"/>
          <w:szCs w:val="24"/>
        </w:rPr>
        <w:t>未納入該局列管清冊；另有</w:t>
      </w:r>
      <w:proofErr w:type="gramStart"/>
      <w:r w:rsidRPr="00775702">
        <w:rPr>
          <w:rFonts w:ascii="標楷體" w:eastAsia="標楷體" w:hAnsi="標楷體" w:cs="DFKaiShu-SB-Estd-BF" w:hint="eastAsia"/>
          <w:szCs w:val="24"/>
        </w:rPr>
        <w:t>11家經納管</w:t>
      </w:r>
      <w:proofErr w:type="gramEnd"/>
      <w:r w:rsidRPr="00775702">
        <w:rPr>
          <w:rFonts w:ascii="標楷體" w:eastAsia="標楷體" w:hAnsi="標楷體" w:cs="DFKaiShu-SB-Estd-BF" w:hint="eastAsia"/>
          <w:szCs w:val="24"/>
        </w:rPr>
        <w:t>之</w:t>
      </w:r>
      <w:proofErr w:type="gramStart"/>
      <w:r w:rsidRPr="00775702">
        <w:rPr>
          <w:rFonts w:ascii="標楷體" w:eastAsia="標楷體" w:hAnsi="標楷體" w:cs="DFKaiShu-SB-Estd-BF" w:hint="eastAsia"/>
          <w:szCs w:val="24"/>
        </w:rPr>
        <w:t>非法旅宿</w:t>
      </w:r>
      <w:proofErr w:type="gramEnd"/>
      <w:r w:rsidRPr="00775702">
        <w:rPr>
          <w:rFonts w:ascii="標楷體" w:eastAsia="標楷體" w:hAnsi="標楷體" w:cs="DFKaiShu-SB-Estd-BF" w:hint="eastAsia"/>
          <w:szCs w:val="24"/>
        </w:rPr>
        <w:t>，雖經該局</w:t>
      </w:r>
      <w:proofErr w:type="gramStart"/>
      <w:r w:rsidRPr="00775702">
        <w:rPr>
          <w:rFonts w:ascii="標楷體" w:eastAsia="標楷體" w:hAnsi="標楷體" w:cs="DFKaiShu-SB-Estd-BF" w:hint="eastAsia"/>
          <w:szCs w:val="24"/>
        </w:rPr>
        <w:t>多次裁</w:t>
      </w:r>
      <w:proofErr w:type="gramEnd"/>
      <w:r w:rsidRPr="00775702">
        <w:rPr>
          <w:rFonts w:ascii="標楷體" w:eastAsia="標楷體" w:hAnsi="標楷體" w:cs="DFKaiShu-SB-Estd-BF" w:hint="eastAsia"/>
          <w:szCs w:val="24"/>
        </w:rPr>
        <w:t>罰，或經現場稽查</w:t>
      </w:r>
      <w:proofErr w:type="gramStart"/>
      <w:r w:rsidRPr="00775702">
        <w:rPr>
          <w:rFonts w:ascii="標楷體" w:eastAsia="標楷體" w:hAnsi="標楷體" w:cs="DFKaiShu-SB-Estd-BF" w:hint="eastAsia"/>
          <w:szCs w:val="24"/>
        </w:rPr>
        <w:t>查</w:t>
      </w:r>
      <w:proofErr w:type="gramEnd"/>
      <w:r w:rsidRPr="00775702">
        <w:rPr>
          <w:rFonts w:ascii="標楷體" w:eastAsia="標楷體" w:hAnsi="標楷體" w:cs="DFKaiShu-SB-Estd-BF" w:hint="eastAsia"/>
          <w:szCs w:val="24"/>
        </w:rPr>
        <w:t>無營業現況，惟持續於網路刊登招攬住宿資訊；（</w:t>
      </w:r>
      <w:r w:rsidRPr="00775702">
        <w:rPr>
          <w:rFonts w:ascii="標楷體" w:eastAsia="標楷體" w:hAnsi="標楷體" w:cs="DFKaiShu-SB-Estd-BF"/>
          <w:szCs w:val="24"/>
        </w:rPr>
        <w:t>2</w:t>
      </w:r>
      <w:r w:rsidRPr="00775702">
        <w:rPr>
          <w:rFonts w:ascii="標楷體" w:eastAsia="標楷體" w:hAnsi="標楷體" w:cs="DFKaiShu-SB-Estd-BF" w:hint="eastAsia"/>
          <w:szCs w:val="24"/>
        </w:rPr>
        <w:t>）</w:t>
      </w:r>
      <w:proofErr w:type="gramStart"/>
      <w:r w:rsidRPr="00775702">
        <w:rPr>
          <w:rFonts w:ascii="標楷體" w:eastAsia="標楷體" w:hAnsi="標楷體" w:cs="DFKaiShu-SB-Estd-BF" w:hint="eastAsia"/>
          <w:szCs w:val="24"/>
        </w:rPr>
        <w:t>依觀傳局</w:t>
      </w:r>
      <w:proofErr w:type="gramEnd"/>
      <w:r w:rsidRPr="00775702">
        <w:rPr>
          <w:rFonts w:ascii="標楷體" w:eastAsia="標楷體" w:hAnsi="標楷體" w:cs="DFKaiShu-SB-Estd-BF" w:hint="eastAsia"/>
          <w:szCs w:val="24"/>
        </w:rPr>
        <w:t>處理非法觀光</w:t>
      </w:r>
      <w:proofErr w:type="gramStart"/>
      <w:r w:rsidRPr="00775702">
        <w:rPr>
          <w:rFonts w:ascii="標楷體" w:eastAsia="標楷體" w:hAnsi="標楷體" w:cs="DFKaiShu-SB-Estd-BF" w:hint="eastAsia"/>
          <w:szCs w:val="24"/>
        </w:rPr>
        <w:t>旅館業旅館業</w:t>
      </w:r>
      <w:proofErr w:type="gramEnd"/>
      <w:r w:rsidRPr="00775702">
        <w:rPr>
          <w:rFonts w:ascii="標楷體" w:eastAsia="標楷體" w:hAnsi="標楷體" w:cs="DFKaiShu-SB-Estd-BF" w:hint="eastAsia"/>
          <w:szCs w:val="24"/>
        </w:rPr>
        <w:t>或民宿行政執行作業流程圖（民宿）所列，對非法民宿，應辦理複查，複查結果發現仍持續非法經營，經處</w:t>
      </w:r>
      <w:proofErr w:type="gramStart"/>
      <w:r w:rsidRPr="00775702">
        <w:rPr>
          <w:rFonts w:ascii="標楷體" w:eastAsia="標楷體" w:hAnsi="標楷體" w:cs="DFKaiShu-SB-Estd-BF" w:hint="eastAsia"/>
          <w:szCs w:val="24"/>
        </w:rPr>
        <w:t>怠</w:t>
      </w:r>
      <w:proofErr w:type="gramEnd"/>
      <w:r w:rsidRPr="00775702">
        <w:rPr>
          <w:rFonts w:ascii="標楷體" w:eastAsia="標楷體" w:hAnsi="標楷體" w:cs="DFKaiShu-SB-Estd-BF" w:hint="eastAsia"/>
          <w:szCs w:val="24"/>
        </w:rPr>
        <w:t>金後，最多再辦理4次複查作業，後續如發現繼續經營者，簽辦執行停止供水供電；若各次複查未發現有營業情事，則列管案址並不定期追蹤。該局</w:t>
      </w:r>
      <w:proofErr w:type="gramStart"/>
      <w:r w:rsidRPr="00775702">
        <w:rPr>
          <w:rFonts w:ascii="標楷體" w:eastAsia="標楷體" w:hAnsi="標楷體" w:cs="DFKaiShu-SB-Estd-BF" w:hint="eastAsia"/>
          <w:szCs w:val="24"/>
        </w:rPr>
        <w:t>113</w:t>
      </w:r>
      <w:proofErr w:type="gramEnd"/>
      <w:r w:rsidRPr="00775702">
        <w:rPr>
          <w:rFonts w:ascii="標楷體" w:eastAsia="標楷體" w:hAnsi="標楷體" w:cs="DFKaiShu-SB-Estd-BF" w:hint="eastAsia"/>
          <w:szCs w:val="24"/>
        </w:rPr>
        <w:t>年度查獲轄內非法民宿共計119家，經第1次至第3次複查因未發現有繼續營業情事，</w:t>
      </w:r>
      <w:proofErr w:type="gramStart"/>
      <w:r w:rsidRPr="00775702">
        <w:rPr>
          <w:rFonts w:ascii="標楷體" w:eastAsia="標楷體" w:hAnsi="標楷體" w:cs="DFKaiShu-SB-Estd-BF" w:hint="eastAsia"/>
          <w:szCs w:val="24"/>
        </w:rPr>
        <w:t>爰</w:t>
      </w:r>
      <w:proofErr w:type="gramEnd"/>
      <w:r w:rsidRPr="00775702">
        <w:rPr>
          <w:rFonts w:ascii="標楷體" w:eastAsia="標楷體" w:hAnsi="標楷體" w:cs="DFKaiShu-SB-Estd-BF" w:hint="eastAsia"/>
          <w:szCs w:val="24"/>
        </w:rPr>
        <w:t>列管案址並不定期追蹤，惟該局對非法</w:t>
      </w:r>
      <w:proofErr w:type="gramStart"/>
      <w:r w:rsidRPr="00775702">
        <w:rPr>
          <w:rFonts w:ascii="標楷體" w:eastAsia="標楷體" w:hAnsi="標楷體" w:cs="DFKaiShu-SB-Estd-BF" w:hint="eastAsia"/>
          <w:szCs w:val="24"/>
        </w:rPr>
        <w:t>民宿所辦理</w:t>
      </w:r>
      <w:proofErr w:type="gramEnd"/>
      <w:r w:rsidRPr="00775702">
        <w:rPr>
          <w:rFonts w:ascii="標楷體" w:eastAsia="標楷體" w:hAnsi="標楷體" w:cs="DFKaiShu-SB-Estd-BF" w:hint="eastAsia"/>
          <w:szCs w:val="24"/>
        </w:rPr>
        <w:t>第1至3次複查作業，</w:t>
      </w:r>
      <w:proofErr w:type="gramStart"/>
      <w:r w:rsidRPr="00775702">
        <w:rPr>
          <w:rFonts w:ascii="標楷體" w:eastAsia="標楷體" w:hAnsi="標楷體" w:cs="DFKaiShu-SB-Estd-BF" w:hint="eastAsia"/>
          <w:szCs w:val="24"/>
        </w:rPr>
        <w:t>均有未</w:t>
      </w:r>
      <w:proofErr w:type="gramEnd"/>
      <w:r w:rsidRPr="00775702">
        <w:rPr>
          <w:rFonts w:ascii="標楷體" w:eastAsia="標楷體" w:hAnsi="標楷體" w:cs="DFKaiShu-SB-Estd-BF" w:hint="eastAsia"/>
          <w:szCs w:val="24"/>
        </w:rPr>
        <w:t>依規定期限辦理複查；（3）該局對於</w:t>
      </w:r>
      <w:proofErr w:type="gramStart"/>
      <w:r w:rsidRPr="00775702">
        <w:rPr>
          <w:rFonts w:ascii="標楷體" w:eastAsia="標楷體" w:hAnsi="標楷體" w:cs="DFKaiShu-SB-Estd-BF" w:hint="eastAsia"/>
          <w:szCs w:val="24"/>
        </w:rPr>
        <w:t>非法旅宿之</w:t>
      </w:r>
      <w:proofErr w:type="gramEnd"/>
      <w:r w:rsidRPr="00775702">
        <w:rPr>
          <w:rFonts w:ascii="標楷體" w:eastAsia="標楷體" w:hAnsi="標楷體" w:cs="DFKaiShu-SB-Estd-BF" w:hint="eastAsia"/>
          <w:szCs w:val="24"/>
        </w:rPr>
        <w:t>解除列管作業，係經現場複查及蒐集訂房網站資訊達3次「未見營業」者，惟因未規範3次檢查之期限，致有部分列管之</w:t>
      </w:r>
      <w:proofErr w:type="gramStart"/>
      <w:r w:rsidRPr="00775702">
        <w:rPr>
          <w:rFonts w:ascii="標楷體" w:eastAsia="標楷體" w:hAnsi="標楷體" w:cs="DFKaiShu-SB-Estd-BF" w:hint="eastAsia"/>
          <w:szCs w:val="24"/>
        </w:rPr>
        <w:t>非法旅宿於</w:t>
      </w:r>
      <w:proofErr w:type="gramEnd"/>
      <w:r w:rsidRPr="00775702">
        <w:rPr>
          <w:rFonts w:ascii="標楷體" w:eastAsia="標楷體" w:hAnsi="標楷體" w:cs="DFKaiShu-SB-Estd-BF" w:hint="eastAsia"/>
          <w:szCs w:val="24"/>
        </w:rPr>
        <w:t>1年內經檢查3次未見營業即解除列管，或部分列管之非法</w:t>
      </w:r>
      <w:proofErr w:type="gramStart"/>
      <w:r w:rsidRPr="00775702">
        <w:rPr>
          <w:rFonts w:ascii="標楷體" w:eastAsia="標楷體" w:hAnsi="標楷體" w:cs="DFKaiShu-SB-Estd-BF" w:hint="eastAsia"/>
          <w:szCs w:val="24"/>
        </w:rPr>
        <w:t>旅宿經</w:t>
      </w:r>
      <w:proofErr w:type="gramEnd"/>
      <w:r w:rsidRPr="00775702">
        <w:rPr>
          <w:rFonts w:ascii="標楷體" w:eastAsia="標楷體" w:hAnsi="標楷體" w:cs="DFKaiShu-SB-Estd-BF" w:hint="eastAsia"/>
          <w:szCs w:val="24"/>
        </w:rPr>
        <w:t>多年累計3次未見營業始解除列管，執行標準不一；另有僅1次檢查情形為「未見營業」，或僅有2次檢查情形為「未見營業」即</w:t>
      </w:r>
      <w:proofErr w:type="gramStart"/>
      <w:r w:rsidRPr="00775702">
        <w:rPr>
          <w:rFonts w:ascii="標楷體" w:eastAsia="標楷體" w:hAnsi="標楷體" w:cs="DFKaiShu-SB-Estd-BF" w:hint="eastAsia"/>
          <w:szCs w:val="24"/>
        </w:rPr>
        <w:t>予解列等</w:t>
      </w:r>
      <w:proofErr w:type="gramEnd"/>
      <w:r w:rsidRPr="00775702">
        <w:rPr>
          <w:rFonts w:ascii="標楷體" w:eastAsia="標楷體" w:hAnsi="標楷體" w:cs="DFKaiShu-SB-Estd-BF" w:hint="eastAsia"/>
          <w:szCs w:val="24"/>
        </w:rPr>
        <w:t>情事，經函請</w:t>
      </w:r>
      <w:proofErr w:type="gramStart"/>
      <w:r w:rsidRPr="00775702">
        <w:rPr>
          <w:rFonts w:ascii="標楷體" w:eastAsia="標楷體" w:hAnsi="標楷體" w:cs="DFKaiShu-SB-Estd-BF" w:hint="eastAsia"/>
          <w:szCs w:val="24"/>
        </w:rPr>
        <w:t>研</w:t>
      </w:r>
      <w:proofErr w:type="gramEnd"/>
      <w:r w:rsidRPr="00775702">
        <w:rPr>
          <w:rFonts w:ascii="標楷體" w:eastAsia="標楷體" w:hAnsi="標楷體" w:cs="DFKaiShu-SB-Estd-BF" w:hint="eastAsia"/>
          <w:szCs w:val="24"/>
        </w:rPr>
        <w:t>謀改善。據復：（1）</w:t>
      </w:r>
      <w:proofErr w:type="gramStart"/>
      <w:r w:rsidRPr="00775702">
        <w:rPr>
          <w:rFonts w:ascii="標楷體" w:eastAsia="標楷體" w:hAnsi="標楷體" w:cs="DFKaiShu-SB-Estd-BF" w:hint="eastAsia"/>
          <w:szCs w:val="24"/>
        </w:rPr>
        <w:t>原未納</w:t>
      </w:r>
      <w:proofErr w:type="gramEnd"/>
      <w:r w:rsidRPr="00775702">
        <w:rPr>
          <w:rFonts w:ascii="標楷體" w:eastAsia="標楷體" w:hAnsi="標楷體" w:cs="DFKaiShu-SB-Estd-BF" w:hint="eastAsia"/>
          <w:szCs w:val="24"/>
        </w:rPr>
        <w:t>管之4家業者已進行裁處，並已納管加強稽查；另刻正辦理該11家業者非法刊登廣告及非法</w:t>
      </w:r>
      <w:proofErr w:type="gramStart"/>
      <w:r w:rsidRPr="00775702">
        <w:rPr>
          <w:rFonts w:ascii="標楷體" w:eastAsia="標楷體" w:hAnsi="標楷體" w:cs="DFKaiShu-SB-Estd-BF" w:hint="eastAsia"/>
          <w:szCs w:val="24"/>
        </w:rPr>
        <w:t>經營旅宿之</w:t>
      </w:r>
      <w:proofErr w:type="gramEnd"/>
      <w:r w:rsidRPr="00775702">
        <w:rPr>
          <w:rFonts w:ascii="標楷體" w:eastAsia="標楷體" w:hAnsi="標楷體" w:cs="DFKaiShu-SB-Estd-BF" w:hint="eastAsia"/>
          <w:szCs w:val="24"/>
        </w:rPr>
        <w:t>查調及裁處作業，又</w:t>
      </w:r>
      <w:proofErr w:type="gramStart"/>
      <w:r w:rsidRPr="00775702">
        <w:rPr>
          <w:rFonts w:ascii="標楷體" w:eastAsia="標楷體" w:hAnsi="標楷體" w:cs="DFKaiShu-SB-Estd-BF" w:hint="eastAsia"/>
          <w:szCs w:val="24"/>
        </w:rPr>
        <w:t>研</w:t>
      </w:r>
      <w:proofErr w:type="gramEnd"/>
      <w:r w:rsidRPr="00775702">
        <w:rPr>
          <w:rFonts w:ascii="標楷體" w:eastAsia="標楷體" w:hAnsi="標楷體" w:cs="DFKaiShu-SB-Estd-BF" w:hint="eastAsia"/>
          <w:szCs w:val="24"/>
        </w:rPr>
        <w:t>擬修改裁罰行政流程，加強查察頻率並持續裁罰，落實強制業者結束非法營業行為；（2）已督促同仁應落實依規定期限辦理複查，並於稽查紀錄表格增加主管審查欄位及複查結果之抽查機制，以強化管理；（3）將</w:t>
      </w:r>
      <w:proofErr w:type="gramStart"/>
      <w:r w:rsidRPr="00775702">
        <w:rPr>
          <w:rFonts w:ascii="標楷體" w:eastAsia="標楷體" w:hAnsi="標楷體" w:cs="DFKaiShu-SB-Estd-BF" w:hint="eastAsia"/>
          <w:szCs w:val="24"/>
        </w:rPr>
        <w:t>研</w:t>
      </w:r>
      <w:proofErr w:type="gramEnd"/>
      <w:r w:rsidRPr="00775702">
        <w:rPr>
          <w:rFonts w:ascii="標楷體" w:eastAsia="標楷體" w:hAnsi="標楷體" w:cs="DFKaiShu-SB-Estd-BF" w:hint="eastAsia"/>
          <w:szCs w:val="24"/>
        </w:rPr>
        <w:t>修增訂</w:t>
      </w:r>
      <w:proofErr w:type="gramStart"/>
      <w:r w:rsidRPr="00775702">
        <w:rPr>
          <w:rFonts w:ascii="標楷體" w:eastAsia="標楷體" w:hAnsi="標楷體" w:cs="DFKaiShu-SB-Estd-BF" w:hint="eastAsia"/>
          <w:szCs w:val="24"/>
        </w:rPr>
        <w:t>非法旅宿解除</w:t>
      </w:r>
      <w:proofErr w:type="gramEnd"/>
      <w:r w:rsidRPr="00775702">
        <w:rPr>
          <w:rFonts w:ascii="標楷體" w:eastAsia="標楷體" w:hAnsi="標楷體" w:cs="DFKaiShu-SB-Estd-BF" w:hint="eastAsia"/>
          <w:szCs w:val="24"/>
        </w:rPr>
        <w:t>列管作業規範（含稽查期限及次數）並修正稽查紀錄表格，增加主管覆核欄位，以落實稽查檢核控管。</w:t>
      </w:r>
    </w:p>
    <w:p w14:paraId="63F588E5" w14:textId="77777777" w:rsidR="00B66083" w:rsidRPr="00687307" w:rsidRDefault="00B66083" w:rsidP="00B97B1A">
      <w:pPr>
        <w:overflowPunct w:val="0"/>
        <w:spacing w:beforeLines="10" w:before="36" w:afterLines="10" w:after="36" w:line="460" w:lineRule="exact"/>
        <w:ind w:firstLineChars="200" w:firstLine="561"/>
        <w:jc w:val="both"/>
        <w:rPr>
          <w:rFonts w:ascii="標楷體" w:eastAsia="標楷體" w:hAnsi="標楷體" w:cs="DFKaiShu-SB-Estd-BF"/>
          <w:b/>
          <w:color w:val="000000" w:themeColor="text1"/>
          <w:sz w:val="28"/>
          <w:szCs w:val="24"/>
        </w:rPr>
      </w:pPr>
      <w:bookmarkStart w:id="100" w:name="_Hlk199148441"/>
      <w:r w:rsidRPr="00687307">
        <w:rPr>
          <w:rFonts w:ascii="標楷體" w:eastAsia="標楷體" w:hAnsi="標楷體" w:cs="DFKaiShu-SB-Estd-BF" w:hint="eastAsia"/>
          <w:b/>
          <w:color w:val="000000" w:themeColor="text1"/>
          <w:sz w:val="28"/>
          <w:szCs w:val="24"/>
        </w:rPr>
        <w:t>2</w:t>
      </w:r>
      <w:r w:rsidRPr="00687307">
        <w:rPr>
          <w:rFonts w:ascii="標楷體" w:eastAsia="標楷體" w:hAnsi="標楷體" w:cs="DFKaiShu-SB-Estd-BF"/>
          <w:b/>
          <w:color w:val="000000" w:themeColor="text1"/>
          <w:sz w:val="28"/>
          <w:szCs w:val="24"/>
        </w:rPr>
        <w:t>.</w:t>
      </w:r>
      <w:r w:rsidRPr="00687307">
        <w:rPr>
          <w:rFonts w:ascii="標楷體" w:eastAsia="標楷體" w:hAnsi="標楷體" w:cs="DFKaiShu-SB-Estd-BF" w:hint="eastAsia"/>
          <w:b/>
          <w:color w:val="000000" w:themeColor="text1"/>
          <w:sz w:val="28"/>
          <w:szCs w:val="24"/>
        </w:rPr>
        <w:t>為活絡臺北市觀光產業，</w:t>
      </w:r>
      <w:r>
        <w:rPr>
          <w:rFonts w:ascii="標楷體" w:eastAsia="標楷體" w:hAnsi="標楷體" w:cs="DFKaiShu-SB-Estd-BF" w:hint="eastAsia"/>
          <w:b/>
          <w:color w:val="000000" w:themeColor="text1"/>
          <w:sz w:val="28"/>
          <w:szCs w:val="24"/>
        </w:rPr>
        <w:t>持續</w:t>
      </w:r>
      <w:r w:rsidRPr="00687307">
        <w:rPr>
          <w:rFonts w:ascii="標楷體" w:eastAsia="標楷體" w:hAnsi="標楷體" w:cs="DFKaiShu-SB-Estd-BF" w:hint="eastAsia"/>
          <w:b/>
          <w:bCs/>
          <w:color w:val="000000" w:themeColor="text1"/>
          <w:sz w:val="28"/>
          <w:szCs w:val="24"/>
        </w:rPr>
        <w:t>補助民間團體辦理觀光活動</w:t>
      </w:r>
      <w:r w:rsidRPr="00687307">
        <w:rPr>
          <w:rFonts w:ascii="標楷體" w:eastAsia="標楷體" w:hAnsi="標楷體" w:cs="DFKaiShu-SB-Estd-BF" w:hint="eastAsia"/>
          <w:b/>
          <w:color w:val="000000" w:themeColor="text1"/>
          <w:sz w:val="28"/>
          <w:szCs w:val="24"/>
        </w:rPr>
        <w:t>，並訂有績效衡量指標，惟實際考核</w:t>
      </w:r>
      <w:r>
        <w:rPr>
          <w:rFonts w:ascii="標楷體" w:eastAsia="標楷體" w:hAnsi="標楷體" w:cs="DFKaiShu-SB-Estd-BF" w:hint="eastAsia"/>
          <w:b/>
          <w:color w:val="000000" w:themeColor="text1"/>
          <w:sz w:val="28"/>
          <w:szCs w:val="24"/>
        </w:rPr>
        <w:t>結果</w:t>
      </w:r>
      <w:r w:rsidRPr="00687307">
        <w:rPr>
          <w:rFonts w:ascii="標楷體" w:eastAsia="標楷體" w:hAnsi="標楷體" w:cs="DFKaiShu-SB-Estd-BF" w:hint="eastAsia"/>
          <w:b/>
          <w:color w:val="000000" w:themeColor="text1"/>
          <w:sz w:val="28"/>
          <w:szCs w:val="24"/>
        </w:rPr>
        <w:t>缺漏表達各項指標達成情形，</w:t>
      </w:r>
      <w:r>
        <w:rPr>
          <w:rFonts w:ascii="標楷體" w:eastAsia="標楷體" w:hAnsi="標楷體" w:cs="DFKaiShu-SB-Estd-BF" w:hint="eastAsia"/>
          <w:b/>
          <w:color w:val="000000" w:themeColor="text1"/>
          <w:sz w:val="28"/>
          <w:szCs w:val="24"/>
        </w:rPr>
        <w:t>又</w:t>
      </w:r>
      <w:r w:rsidRPr="00687307">
        <w:rPr>
          <w:rFonts w:ascii="標楷體" w:eastAsia="標楷體" w:hAnsi="標楷體" w:cs="DFKaiShu-SB-Estd-BF" w:hint="eastAsia"/>
          <w:b/>
          <w:color w:val="000000" w:themeColor="text1"/>
          <w:sz w:val="28"/>
          <w:szCs w:val="24"/>
        </w:rPr>
        <w:t>部分補助案</w:t>
      </w:r>
      <w:r>
        <w:rPr>
          <w:rFonts w:ascii="標楷體" w:eastAsia="標楷體" w:hAnsi="標楷體" w:cs="DFKaiShu-SB-Estd-BF" w:hint="eastAsia"/>
          <w:b/>
          <w:color w:val="000000" w:themeColor="text1"/>
          <w:sz w:val="28"/>
          <w:szCs w:val="24"/>
        </w:rPr>
        <w:t>有應</w:t>
      </w:r>
      <w:r w:rsidRPr="00687307">
        <w:rPr>
          <w:rFonts w:ascii="標楷體" w:eastAsia="標楷體" w:hAnsi="標楷體" w:cs="DFKaiShu-SB-Estd-BF" w:hint="eastAsia"/>
          <w:b/>
          <w:color w:val="000000" w:themeColor="text1"/>
          <w:sz w:val="28"/>
          <w:szCs w:val="24"/>
        </w:rPr>
        <w:t>扣減補助金額</w:t>
      </w:r>
      <w:r>
        <w:rPr>
          <w:rFonts w:ascii="標楷體" w:eastAsia="標楷體" w:hAnsi="標楷體" w:cs="DFKaiShu-SB-Estd-BF" w:hint="eastAsia"/>
          <w:b/>
          <w:color w:val="000000" w:themeColor="text1"/>
          <w:sz w:val="28"/>
          <w:szCs w:val="24"/>
        </w:rPr>
        <w:t>之情形，仍全額撥付補助款</w:t>
      </w:r>
      <w:r w:rsidRPr="00687307">
        <w:rPr>
          <w:rFonts w:ascii="標楷體" w:eastAsia="標楷體" w:hAnsi="標楷體" w:cs="DFKaiShu-SB-Estd-BF" w:hint="eastAsia"/>
          <w:b/>
          <w:color w:val="000000" w:themeColor="text1"/>
          <w:sz w:val="28"/>
          <w:szCs w:val="24"/>
        </w:rPr>
        <w:t>等情，</w:t>
      </w:r>
      <w:r>
        <w:rPr>
          <w:rFonts w:ascii="標楷體" w:eastAsia="標楷體" w:hAnsi="標楷體" w:cs="DFKaiShu-SB-Estd-BF" w:hint="eastAsia"/>
          <w:b/>
          <w:color w:val="000000" w:themeColor="text1"/>
          <w:sz w:val="28"/>
          <w:szCs w:val="24"/>
        </w:rPr>
        <w:t>有</w:t>
      </w:r>
      <w:r w:rsidRPr="00687307">
        <w:rPr>
          <w:rFonts w:ascii="標楷體" w:eastAsia="標楷體" w:hAnsi="標楷體" w:cs="DFKaiShu-SB-Estd-BF" w:hint="eastAsia"/>
          <w:b/>
          <w:color w:val="000000" w:themeColor="text1"/>
          <w:sz w:val="28"/>
          <w:szCs w:val="24"/>
        </w:rPr>
        <w:t>待</w:t>
      </w:r>
      <w:proofErr w:type="gramStart"/>
      <w:r>
        <w:rPr>
          <w:rFonts w:ascii="標楷體" w:eastAsia="標楷體" w:hAnsi="標楷體" w:cs="DFKaiShu-SB-Estd-BF" w:hint="eastAsia"/>
          <w:b/>
          <w:color w:val="000000" w:themeColor="text1"/>
          <w:sz w:val="28"/>
          <w:szCs w:val="24"/>
        </w:rPr>
        <w:t>研謀</w:t>
      </w:r>
      <w:r w:rsidRPr="00687307">
        <w:rPr>
          <w:rFonts w:ascii="標楷體" w:eastAsia="標楷體" w:hAnsi="標楷體" w:cs="DFKaiShu-SB-Estd-BF" w:hint="eastAsia"/>
          <w:b/>
          <w:color w:val="000000" w:themeColor="text1"/>
          <w:sz w:val="28"/>
          <w:szCs w:val="24"/>
        </w:rPr>
        <w:t>妥處</w:t>
      </w:r>
      <w:proofErr w:type="gramEnd"/>
      <w:r w:rsidRPr="00687307">
        <w:rPr>
          <w:rFonts w:ascii="標楷體" w:eastAsia="標楷體" w:hAnsi="標楷體" w:cs="DFKaiShu-SB-Estd-BF" w:hint="eastAsia"/>
          <w:b/>
          <w:color w:val="000000" w:themeColor="text1"/>
          <w:sz w:val="28"/>
          <w:szCs w:val="24"/>
        </w:rPr>
        <w:t>。</w:t>
      </w:r>
    </w:p>
    <w:bookmarkEnd w:id="100"/>
    <w:p w14:paraId="094645C1" w14:textId="77777777" w:rsidR="006327C8" w:rsidRDefault="00B66083" w:rsidP="00B97B1A">
      <w:pPr>
        <w:overflowPunct w:val="0"/>
        <w:spacing w:line="440" w:lineRule="exact"/>
        <w:ind w:firstLineChars="200" w:firstLine="480"/>
        <w:jc w:val="both"/>
        <w:rPr>
          <w:rFonts w:ascii="標楷體" w:eastAsia="標楷體" w:hAnsi="標楷體" w:cs="DFKaiShu-SB-Estd-BF"/>
          <w:szCs w:val="24"/>
        </w:rPr>
      </w:pPr>
      <w:r>
        <w:rPr>
          <w:rFonts w:ascii="標楷體" w:eastAsia="標楷體" w:hAnsi="標楷體" w:cs="DFKaiShu-SB-Estd-BF" w:hint="eastAsia"/>
          <w:szCs w:val="24"/>
        </w:rPr>
        <w:t>觀光傳播</w:t>
      </w:r>
      <w:r w:rsidRPr="003202C0">
        <w:rPr>
          <w:rFonts w:ascii="標楷體" w:eastAsia="標楷體" w:hAnsi="標楷體" w:cs="DFKaiShu-SB-Estd-BF" w:hint="eastAsia"/>
          <w:szCs w:val="24"/>
        </w:rPr>
        <w:t>局</w:t>
      </w:r>
      <w:r>
        <w:rPr>
          <w:rFonts w:ascii="標楷體" w:eastAsia="標楷體" w:hAnsi="標楷體" w:cs="DFKaiShu-SB-Estd-BF" w:hint="eastAsia"/>
          <w:szCs w:val="24"/>
        </w:rPr>
        <w:t>（下稱觀傳局）</w:t>
      </w:r>
      <w:r w:rsidRPr="00467A5C">
        <w:rPr>
          <w:rFonts w:ascii="標楷體" w:eastAsia="標楷體" w:hAnsi="標楷體" w:cs="DFKaiShu-SB-Estd-BF" w:hint="eastAsia"/>
          <w:szCs w:val="24"/>
        </w:rPr>
        <w:t>為推動各項觀光活動，以活絡臺北市觀光產業，</w:t>
      </w:r>
      <w:r>
        <w:rPr>
          <w:rFonts w:ascii="標楷體" w:eastAsia="標楷體" w:hAnsi="標楷體" w:cs="DFKaiShu-SB-Estd-BF" w:hint="eastAsia"/>
          <w:szCs w:val="24"/>
        </w:rPr>
        <w:t>持續</w:t>
      </w:r>
      <w:r w:rsidRPr="00467A5C">
        <w:rPr>
          <w:rFonts w:ascii="標楷體" w:eastAsia="標楷體" w:hAnsi="標楷體" w:cs="DFKaiShu-SB-Estd-BF" w:hint="eastAsia"/>
          <w:szCs w:val="24"/>
        </w:rPr>
        <w:t>補助依法設立之法人或團體（下稱民間團體）辦理觀光活動，111至113年度補助核銷金額分別為729萬餘元、673萬餘元、</w:t>
      </w:r>
      <w:r w:rsidRPr="00467A5C">
        <w:rPr>
          <w:rFonts w:ascii="標楷體" w:eastAsia="標楷體" w:hAnsi="標楷體" w:cs="DFKaiShu-SB-Estd-BF"/>
          <w:szCs w:val="24"/>
        </w:rPr>
        <w:t>813</w:t>
      </w:r>
      <w:r w:rsidRPr="00467A5C">
        <w:rPr>
          <w:rFonts w:ascii="標楷體" w:eastAsia="標楷體" w:hAnsi="標楷體" w:cs="DFKaiShu-SB-Estd-BF" w:hint="eastAsia"/>
          <w:szCs w:val="24"/>
        </w:rPr>
        <w:t>萬餘元。</w:t>
      </w:r>
      <w:r w:rsidRPr="004D0C5C">
        <w:rPr>
          <w:rFonts w:ascii="標楷體" w:eastAsia="標楷體" w:hAnsi="標楷體" w:cs="DFKaiShu-SB-Estd-BF" w:hint="eastAsia"/>
          <w:szCs w:val="24"/>
        </w:rPr>
        <w:t>經查</w:t>
      </w:r>
      <w:r>
        <w:rPr>
          <w:rFonts w:ascii="標楷體" w:eastAsia="標楷體" w:hAnsi="標楷體" w:cs="DFKaiShu-SB-Estd-BF" w:hint="eastAsia"/>
          <w:szCs w:val="24"/>
        </w:rPr>
        <w:t>該局</w:t>
      </w:r>
      <w:r w:rsidRPr="004D0C5C">
        <w:rPr>
          <w:rFonts w:ascii="標楷體" w:eastAsia="標楷體" w:hAnsi="標楷體" w:cs="DFKaiShu-SB-Estd-BF" w:hint="eastAsia"/>
          <w:szCs w:val="24"/>
        </w:rPr>
        <w:t>補助民間團體辦理觀光活動情形，核有</w:t>
      </w:r>
      <w:r>
        <w:rPr>
          <w:rFonts w:ascii="標楷體" w:eastAsia="標楷體" w:hAnsi="標楷體" w:cs="DFKaiShu-SB-Estd-BF" w:hint="eastAsia"/>
          <w:szCs w:val="24"/>
        </w:rPr>
        <w:t>：（1）</w:t>
      </w:r>
      <w:r w:rsidRPr="008E2D18">
        <w:rPr>
          <w:rFonts w:ascii="標楷體" w:eastAsia="標楷體" w:hAnsi="標楷體" w:cs="DFKaiShu-SB-Estd-BF" w:hint="eastAsia"/>
          <w:szCs w:val="24"/>
        </w:rPr>
        <w:t>辦理補助</w:t>
      </w:r>
    </w:p>
    <w:p w14:paraId="5D91999F" w14:textId="3DA54B4B" w:rsidR="00B66083" w:rsidRPr="00A942F0" w:rsidRDefault="00B66083" w:rsidP="006327C8">
      <w:pPr>
        <w:overflowPunct w:val="0"/>
        <w:spacing w:line="400" w:lineRule="exact"/>
        <w:jc w:val="both"/>
        <w:rPr>
          <w:rFonts w:ascii="標楷體" w:eastAsia="標楷體" w:hAnsi="標楷體" w:cs="DFKaiShu-SB-Estd-BF"/>
          <w:szCs w:val="24"/>
        </w:rPr>
      </w:pPr>
      <w:r w:rsidRPr="008E2D18">
        <w:rPr>
          <w:rFonts w:ascii="標楷體" w:eastAsia="標楷體" w:hAnsi="標楷體" w:cs="DFKaiShu-SB-Estd-BF" w:hint="eastAsia"/>
          <w:szCs w:val="24"/>
        </w:rPr>
        <w:lastRenderedPageBreak/>
        <w:t>案</w:t>
      </w:r>
      <w:r>
        <w:rPr>
          <w:rFonts w:ascii="標楷體" w:eastAsia="標楷體" w:hAnsi="標楷體" w:cs="DFKaiShu-SB-Estd-BF" w:hint="eastAsia"/>
          <w:szCs w:val="24"/>
        </w:rPr>
        <w:t>件</w:t>
      </w:r>
      <w:r w:rsidRPr="008E2D18">
        <w:rPr>
          <w:rFonts w:ascii="標楷體" w:eastAsia="標楷體" w:hAnsi="標楷體" w:cs="DFKaiShu-SB-Estd-BF" w:hint="eastAsia"/>
          <w:szCs w:val="24"/>
        </w:rPr>
        <w:t>以「媒體露出效益」、「活動參與</w:t>
      </w:r>
      <w:proofErr w:type="gramStart"/>
      <w:r w:rsidRPr="008E2D18">
        <w:rPr>
          <w:rFonts w:ascii="標楷體" w:eastAsia="標楷體" w:hAnsi="標楷體" w:cs="DFKaiShu-SB-Estd-BF" w:hint="eastAsia"/>
          <w:szCs w:val="24"/>
        </w:rPr>
        <w:t>人次」</w:t>
      </w:r>
      <w:proofErr w:type="gramEnd"/>
      <w:r w:rsidRPr="008E2D18">
        <w:rPr>
          <w:rFonts w:ascii="標楷體" w:eastAsia="標楷體" w:hAnsi="標楷體" w:cs="DFKaiShu-SB-Estd-BF" w:hint="eastAsia"/>
          <w:szCs w:val="24"/>
        </w:rPr>
        <w:t>、「觀光周邊產值」為績效衡量指標</w:t>
      </w:r>
      <w:r>
        <w:rPr>
          <w:rFonts w:ascii="標楷體" w:eastAsia="標楷體" w:hAnsi="標楷體" w:cs="DFKaiShu-SB-Estd-BF" w:hint="eastAsia"/>
          <w:szCs w:val="24"/>
        </w:rPr>
        <w:t>（KPI）；</w:t>
      </w:r>
      <w:r w:rsidRPr="0062352B">
        <w:rPr>
          <w:rFonts w:ascii="標楷體" w:eastAsia="標楷體" w:hAnsi="標楷體" w:cs="DFKaiShu-SB-Estd-BF" w:hint="eastAsia"/>
          <w:szCs w:val="24"/>
        </w:rPr>
        <w:t>KPI</w:t>
      </w:r>
      <w:r w:rsidRPr="0062352B">
        <w:rPr>
          <w:rFonts w:ascii="標楷體" w:eastAsia="標楷體" w:hAnsi="標楷體" w:cs="DFKaiShu-SB-Estd-BF"/>
          <w:szCs w:val="24"/>
        </w:rPr>
        <w:t>如結案</w:t>
      </w:r>
      <w:r w:rsidRPr="0062352B">
        <w:rPr>
          <w:rFonts w:ascii="標楷體" w:eastAsia="標楷體" w:hAnsi="標楷體" w:cs="DFKaiShu-SB-Estd-BF" w:hint="eastAsia"/>
          <w:szCs w:val="24"/>
        </w:rPr>
        <w:t>核</w:t>
      </w:r>
      <w:r w:rsidRPr="0062352B">
        <w:rPr>
          <w:rFonts w:ascii="標楷體" w:eastAsia="標楷體" w:hAnsi="標楷體" w:cs="DFKaiShu-SB-Estd-BF"/>
          <w:szCs w:val="24"/>
        </w:rPr>
        <w:t>銷未達標準且無法提出合理說明者，將依</w:t>
      </w:r>
      <w:r w:rsidRPr="008E2D18">
        <w:rPr>
          <w:rFonts w:ascii="標楷體" w:eastAsia="標楷體" w:hAnsi="標楷體" w:cs="DFKaiShu-SB-Estd-BF" w:hint="eastAsia"/>
          <w:szCs w:val="24"/>
        </w:rPr>
        <w:t>媒體露出</w:t>
      </w:r>
      <w:r>
        <w:rPr>
          <w:rFonts w:ascii="標楷體" w:eastAsia="標楷體" w:hAnsi="標楷體" w:cs="DFKaiShu-SB-Estd-BF" w:hint="eastAsia"/>
          <w:szCs w:val="24"/>
        </w:rPr>
        <w:t>及</w:t>
      </w:r>
      <w:r w:rsidRPr="008E2D18">
        <w:rPr>
          <w:rFonts w:ascii="標楷體" w:eastAsia="標楷體" w:hAnsi="標楷體" w:cs="DFKaiShu-SB-Estd-BF" w:hint="eastAsia"/>
          <w:szCs w:val="24"/>
        </w:rPr>
        <w:t>參與人次</w:t>
      </w:r>
      <w:r w:rsidRPr="0062352B">
        <w:rPr>
          <w:rFonts w:ascii="標楷體" w:eastAsia="標楷體" w:hAnsi="標楷體" w:cs="DFKaiShu-SB-Estd-BF"/>
          <w:szCs w:val="24"/>
        </w:rPr>
        <w:t>未達比例部</w:t>
      </w:r>
      <w:r w:rsidRPr="0062352B">
        <w:rPr>
          <w:rFonts w:ascii="標楷體" w:eastAsia="標楷體" w:hAnsi="標楷體" w:cs="DFKaiShu-SB-Estd-BF" w:hint="eastAsia"/>
          <w:szCs w:val="24"/>
        </w:rPr>
        <w:t>分</w:t>
      </w:r>
      <w:r w:rsidRPr="0062352B">
        <w:rPr>
          <w:rFonts w:ascii="標楷體" w:eastAsia="標楷體" w:hAnsi="標楷體" w:cs="DFKaiShu-SB-Estd-BF"/>
          <w:szCs w:val="24"/>
        </w:rPr>
        <w:t>，列入行政考核紀錄，作為爾後</w:t>
      </w:r>
      <w:r w:rsidRPr="0062352B">
        <w:rPr>
          <w:rFonts w:ascii="標楷體" w:eastAsia="標楷體" w:hAnsi="標楷體" w:cs="DFKaiShu-SB-Estd-BF" w:hint="eastAsia"/>
          <w:szCs w:val="24"/>
        </w:rPr>
        <w:t>審查</w:t>
      </w:r>
      <w:r w:rsidRPr="0062352B">
        <w:rPr>
          <w:rFonts w:ascii="標楷體" w:eastAsia="標楷體" w:hAnsi="標楷體" w:cs="DFKaiShu-SB-Estd-BF"/>
          <w:szCs w:val="24"/>
        </w:rPr>
        <w:t>委員會補助審查參考。</w:t>
      </w:r>
      <w:proofErr w:type="gramStart"/>
      <w:r>
        <w:rPr>
          <w:rFonts w:ascii="標楷體" w:eastAsia="標楷體" w:hAnsi="標楷體" w:cs="DFKaiShu-SB-Estd-BF" w:hint="eastAsia"/>
          <w:szCs w:val="24"/>
        </w:rPr>
        <w:t>惟觀傳局</w:t>
      </w:r>
      <w:proofErr w:type="gramEnd"/>
      <w:r w:rsidRPr="00A54AE5">
        <w:rPr>
          <w:rFonts w:ascii="標楷體" w:eastAsia="標楷體" w:hAnsi="標楷體" w:cs="DFKaiShu-SB-Estd-BF" w:hint="eastAsia"/>
          <w:szCs w:val="24"/>
        </w:rPr>
        <w:t>實際考核所填列之現場稽核表及結案審核表，</w:t>
      </w:r>
      <w:proofErr w:type="gramStart"/>
      <w:r w:rsidRPr="00A54AE5">
        <w:rPr>
          <w:rFonts w:ascii="標楷體" w:eastAsia="標楷體" w:hAnsi="標楷體" w:cs="DFKaiShu-SB-Estd-BF" w:hint="eastAsia"/>
          <w:szCs w:val="24"/>
        </w:rPr>
        <w:t>均缺漏</w:t>
      </w:r>
      <w:proofErr w:type="gramEnd"/>
      <w:r w:rsidRPr="00A54AE5">
        <w:rPr>
          <w:rFonts w:ascii="標楷體" w:eastAsia="標楷體" w:hAnsi="標楷體" w:cs="DFKaiShu-SB-Estd-BF" w:hint="eastAsia"/>
          <w:szCs w:val="24"/>
        </w:rPr>
        <w:t>表達</w:t>
      </w:r>
      <w:r>
        <w:rPr>
          <w:rFonts w:ascii="標楷體" w:eastAsia="標楷體" w:hAnsi="標楷體" w:cs="DFKaiShu-SB-Estd-BF" w:hint="eastAsia"/>
          <w:szCs w:val="24"/>
        </w:rPr>
        <w:t>前揭</w:t>
      </w:r>
      <w:r w:rsidRPr="00A54AE5">
        <w:rPr>
          <w:rFonts w:ascii="標楷體" w:eastAsia="標楷體" w:hAnsi="標楷體" w:cs="DFKaiShu-SB-Estd-BF" w:hint="eastAsia"/>
          <w:szCs w:val="24"/>
        </w:rPr>
        <w:t>各項指標達成情形，</w:t>
      </w:r>
      <w:proofErr w:type="gramStart"/>
      <w:r>
        <w:rPr>
          <w:rFonts w:ascii="標楷體" w:eastAsia="標楷體" w:hAnsi="標楷體" w:cs="DFKaiShu-SB-Estd-BF" w:hint="eastAsia"/>
          <w:szCs w:val="24"/>
        </w:rPr>
        <w:t>且乏評核</w:t>
      </w:r>
      <w:proofErr w:type="gramEnd"/>
      <w:r>
        <w:rPr>
          <w:rFonts w:ascii="標楷體" w:eastAsia="標楷體" w:hAnsi="標楷體" w:cs="DFKaiShu-SB-Estd-BF" w:hint="eastAsia"/>
          <w:szCs w:val="24"/>
        </w:rPr>
        <w:t>意見，</w:t>
      </w:r>
      <w:r w:rsidRPr="008E2D18">
        <w:rPr>
          <w:rFonts w:ascii="標楷體" w:eastAsia="標楷體" w:hAnsi="標楷體" w:cs="DFKaiShu-SB-Estd-BF" w:hint="eastAsia"/>
          <w:szCs w:val="24"/>
        </w:rPr>
        <w:t>難以瞭解各補助案執行成效</w:t>
      </w:r>
      <w:r>
        <w:rPr>
          <w:rFonts w:ascii="標楷體" w:eastAsia="標楷體" w:hAnsi="標楷體" w:cs="DFKaiShu-SB-Estd-BF" w:hint="eastAsia"/>
          <w:szCs w:val="24"/>
        </w:rPr>
        <w:t>；又</w:t>
      </w:r>
      <w:proofErr w:type="gramStart"/>
      <w:r w:rsidRPr="008E2D18">
        <w:rPr>
          <w:rFonts w:ascii="標楷體" w:eastAsia="標楷體" w:hAnsi="標楷體" w:cs="DFKaiShu-SB-Estd-BF" w:hint="eastAsia"/>
          <w:szCs w:val="24"/>
        </w:rPr>
        <w:t>113</w:t>
      </w:r>
      <w:proofErr w:type="gramEnd"/>
      <w:r w:rsidRPr="008E2D18">
        <w:rPr>
          <w:rFonts w:ascii="標楷體" w:eastAsia="標楷體" w:hAnsi="標楷體" w:cs="DFKaiShu-SB-Estd-BF" w:hint="eastAsia"/>
          <w:szCs w:val="24"/>
        </w:rPr>
        <w:t>年度</w:t>
      </w:r>
      <w:proofErr w:type="gramStart"/>
      <w:r>
        <w:rPr>
          <w:rFonts w:ascii="標楷體" w:eastAsia="標楷體" w:hAnsi="標楷體" w:cs="DFKaiShu-SB-Estd-BF" w:hint="eastAsia"/>
          <w:szCs w:val="24"/>
        </w:rPr>
        <w:t>觀傳局</w:t>
      </w:r>
      <w:proofErr w:type="gramEnd"/>
      <w:r w:rsidRPr="008E2D18">
        <w:rPr>
          <w:rFonts w:ascii="標楷體" w:eastAsia="標楷體" w:hAnsi="標楷體" w:cs="DFKaiShu-SB-Estd-BF" w:hint="eastAsia"/>
          <w:szCs w:val="24"/>
        </w:rPr>
        <w:t>實際補助24案，其中16案</w:t>
      </w:r>
      <w:r>
        <w:rPr>
          <w:rFonts w:ascii="標楷體" w:eastAsia="標楷體" w:hAnsi="標楷體" w:cs="DFKaiShu-SB-Estd-BF" w:hint="eastAsia"/>
          <w:szCs w:val="24"/>
        </w:rPr>
        <w:t>KPI</w:t>
      </w:r>
      <w:r w:rsidRPr="008E2D18">
        <w:rPr>
          <w:rFonts w:ascii="標楷體" w:eastAsia="標楷體" w:hAnsi="標楷體" w:cs="DFKaiShu-SB-Estd-BF" w:hint="eastAsia"/>
          <w:szCs w:val="24"/>
        </w:rPr>
        <w:t>未達預計目標，惟未要求受補助單位提出</w:t>
      </w:r>
      <w:r>
        <w:rPr>
          <w:rFonts w:ascii="標楷體" w:eastAsia="標楷體" w:hAnsi="標楷體" w:cs="DFKaiShu-SB-Estd-BF" w:hint="eastAsia"/>
          <w:szCs w:val="24"/>
        </w:rPr>
        <w:t>檢討</w:t>
      </w:r>
      <w:r w:rsidRPr="008E2D18">
        <w:rPr>
          <w:rFonts w:ascii="標楷體" w:eastAsia="標楷體" w:hAnsi="標楷體" w:cs="DFKaiShu-SB-Estd-BF" w:hint="eastAsia"/>
          <w:szCs w:val="24"/>
        </w:rPr>
        <w:t>說明，亦</w:t>
      </w:r>
      <w:r>
        <w:rPr>
          <w:rFonts w:ascii="標楷體" w:eastAsia="標楷體" w:hAnsi="標楷體" w:cs="DFKaiShu-SB-Estd-BF" w:hint="eastAsia"/>
          <w:szCs w:val="24"/>
        </w:rPr>
        <w:t>未</w:t>
      </w:r>
      <w:r w:rsidRPr="008E2D18">
        <w:rPr>
          <w:rFonts w:ascii="標楷體" w:eastAsia="標楷體" w:hAnsi="標楷體" w:cs="DFKaiShu-SB-Estd-BF" w:hint="eastAsia"/>
          <w:szCs w:val="24"/>
        </w:rPr>
        <w:t>依</w:t>
      </w:r>
      <w:r>
        <w:rPr>
          <w:rFonts w:ascii="標楷體" w:eastAsia="標楷體" w:hAnsi="標楷體" w:cs="DFKaiShu-SB-Estd-BF" w:hint="eastAsia"/>
          <w:szCs w:val="24"/>
        </w:rPr>
        <w:t>上揭</w:t>
      </w:r>
      <w:r w:rsidRPr="008E2D18">
        <w:rPr>
          <w:rFonts w:ascii="標楷體" w:eastAsia="標楷體" w:hAnsi="標楷體" w:cs="DFKaiShu-SB-Estd-BF" w:hint="eastAsia"/>
          <w:szCs w:val="24"/>
        </w:rPr>
        <w:t>規定</w:t>
      </w:r>
      <w:r w:rsidRPr="008E2D18">
        <w:rPr>
          <w:rFonts w:ascii="標楷體" w:eastAsia="標楷體" w:hAnsi="標楷體" w:cs="DFKaiShu-SB-Estd-BF"/>
          <w:szCs w:val="24"/>
        </w:rPr>
        <w:t>列入行政考核紀錄</w:t>
      </w:r>
      <w:r>
        <w:rPr>
          <w:rFonts w:ascii="標楷體" w:eastAsia="標楷體" w:hAnsi="標楷體" w:cs="DFKaiShu-SB-Estd-BF" w:hint="eastAsia"/>
          <w:szCs w:val="24"/>
        </w:rPr>
        <w:t>；（2）</w:t>
      </w:r>
      <w:r w:rsidRPr="004D0C5C">
        <w:rPr>
          <w:rFonts w:ascii="標楷體" w:eastAsia="標楷體" w:hAnsi="標楷體" w:cs="DFKaiShu-SB-Estd-BF" w:hint="eastAsia"/>
          <w:szCs w:val="24"/>
        </w:rPr>
        <w:t>依臺北市觀光活動補助辦法第12條</w:t>
      </w:r>
      <w:r>
        <w:rPr>
          <w:rFonts w:ascii="標楷體" w:eastAsia="標楷體" w:hAnsi="標楷體" w:cs="DFKaiShu-SB-Estd-BF" w:hint="eastAsia"/>
          <w:szCs w:val="24"/>
        </w:rPr>
        <w:t>第3項</w:t>
      </w:r>
      <w:r w:rsidRPr="004D0C5C">
        <w:rPr>
          <w:rFonts w:ascii="標楷體" w:eastAsia="標楷體" w:hAnsi="標楷體" w:cs="DFKaiShu-SB-Estd-BF" w:hint="eastAsia"/>
          <w:szCs w:val="24"/>
        </w:rPr>
        <w:t>規定</w:t>
      </w:r>
      <w:r>
        <w:rPr>
          <w:rFonts w:ascii="標楷體" w:eastAsia="標楷體" w:hAnsi="標楷體" w:cs="DFKaiShu-SB-Estd-BF" w:hint="eastAsia"/>
          <w:szCs w:val="24"/>
        </w:rPr>
        <w:t>：「</w:t>
      </w:r>
      <w:r w:rsidRPr="004D0C5C">
        <w:rPr>
          <w:rFonts w:ascii="標楷體" w:eastAsia="標楷體" w:hAnsi="標楷體" w:cs="DFKaiShu-SB-Estd-BF" w:hint="eastAsia"/>
          <w:szCs w:val="24"/>
        </w:rPr>
        <w:t>受補助者應於觀光活動辦理前，投保公共意外責任保險或其他相關保險</w:t>
      </w:r>
      <w:r>
        <w:rPr>
          <w:rFonts w:ascii="標楷體" w:eastAsia="標楷體" w:hAnsi="標楷體" w:cs="DFKaiShu-SB-Estd-BF" w:hint="eastAsia"/>
          <w:szCs w:val="24"/>
        </w:rPr>
        <w:t>。」同辦法第15條規定：「</w:t>
      </w:r>
      <w:r w:rsidRPr="00126CC2">
        <w:rPr>
          <w:rFonts w:ascii="標楷體" w:eastAsia="標楷體" w:hAnsi="標楷體" w:cs="DFKaiShu-SB-Estd-BF" w:hint="eastAsia"/>
          <w:szCs w:val="24"/>
        </w:rPr>
        <w:t>受補助者有下列情形之</w:t>
      </w:r>
      <w:proofErr w:type="gramStart"/>
      <w:r w:rsidRPr="00126CC2">
        <w:rPr>
          <w:rFonts w:ascii="標楷體" w:eastAsia="標楷體" w:hAnsi="標楷體" w:cs="DFKaiShu-SB-Estd-BF" w:hint="eastAsia"/>
          <w:szCs w:val="24"/>
        </w:rPr>
        <w:t>一</w:t>
      </w:r>
      <w:proofErr w:type="gramEnd"/>
      <w:r w:rsidRPr="00126CC2">
        <w:rPr>
          <w:rFonts w:ascii="標楷體" w:eastAsia="標楷體" w:hAnsi="標楷體" w:cs="DFKaiShu-SB-Estd-BF" w:hint="eastAsia"/>
          <w:szCs w:val="24"/>
        </w:rPr>
        <w:t>者，</w:t>
      </w:r>
      <w:proofErr w:type="gramStart"/>
      <w:r w:rsidRPr="00126CC2">
        <w:rPr>
          <w:rFonts w:ascii="標楷體" w:eastAsia="標楷體" w:hAnsi="標楷體" w:cs="DFKaiShu-SB-Estd-BF" w:hint="eastAsia"/>
          <w:szCs w:val="24"/>
        </w:rPr>
        <w:t>觀傳局</w:t>
      </w:r>
      <w:proofErr w:type="gramEnd"/>
      <w:r w:rsidRPr="00126CC2">
        <w:rPr>
          <w:rFonts w:ascii="標楷體" w:eastAsia="標楷體" w:hAnsi="標楷體" w:cs="DFKaiShu-SB-Estd-BF" w:hint="eastAsia"/>
          <w:szCs w:val="24"/>
        </w:rPr>
        <w:t>得撤銷或廢止原核准補助處分之全部或一部，並命其返還全部或一部補助款：</w:t>
      </w:r>
      <w:r>
        <w:rPr>
          <w:rFonts w:ascii="標楷體" w:eastAsia="標楷體" w:hAnsi="標楷體" w:cs="DFKaiShu-SB-Estd-BF"/>
          <w:szCs w:val="24"/>
        </w:rPr>
        <w:t>…</w:t>
      </w:r>
      <w:proofErr w:type="gramStart"/>
      <w:r>
        <w:rPr>
          <w:rFonts w:ascii="標楷體" w:eastAsia="標楷體" w:hAnsi="標楷體" w:cs="DFKaiShu-SB-Estd-BF"/>
          <w:szCs w:val="24"/>
        </w:rPr>
        <w:t>…</w:t>
      </w:r>
      <w:proofErr w:type="gramEnd"/>
      <w:r w:rsidRPr="00126CC2">
        <w:rPr>
          <w:rFonts w:ascii="標楷體" w:eastAsia="標楷體" w:hAnsi="標楷體" w:cs="DFKaiShu-SB-Estd-BF" w:hint="eastAsia"/>
          <w:szCs w:val="24"/>
        </w:rPr>
        <w:t>三、其他違反本辦法之規定。</w:t>
      </w:r>
      <w:r>
        <w:rPr>
          <w:rFonts w:ascii="標楷體" w:eastAsia="標楷體" w:hAnsi="標楷體" w:cs="DFKaiShu-SB-Estd-BF" w:hint="eastAsia"/>
          <w:szCs w:val="24"/>
        </w:rPr>
        <w:t>」另</w:t>
      </w:r>
      <w:r w:rsidRPr="004D0C5C">
        <w:rPr>
          <w:rFonts w:ascii="標楷體" w:eastAsia="標楷體" w:hAnsi="標楷體" w:cs="DFKaiShu-SB-Estd-BF" w:hint="eastAsia"/>
          <w:szCs w:val="24"/>
        </w:rPr>
        <w:t>依110年9月17日修訂之臺北市觀光活動補助申請須知第10點第3款規定</w:t>
      </w:r>
      <w:r>
        <w:rPr>
          <w:rFonts w:ascii="標楷體" w:eastAsia="標楷體" w:hAnsi="標楷體" w:cs="DFKaiShu-SB-Estd-BF" w:hint="eastAsia"/>
          <w:szCs w:val="24"/>
        </w:rPr>
        <w:t>略</w:t>
      </w:r>
      <w:proofErr w:type="gramStart"/>
      <w:r>
        <w:rPr>
          <w:rFonts w:ascii="標楷體" w:eastAsia="標楷體" w:hAnsi="標楷體" w:cs="DFKaiShu-SB-Estd-BF" w:hint="eastAsia"/>
          <w:szCs w:val="24"/>
        </w:rPr>
        <w:t>以</w:t>
      </w:r>
      <w:proofErr w:type="gramEnd"/>
      <w:r>
        <w:rPr>
          <w:rFonts w:ascii="標楷體" w:eastAsia="標楷體" w:hAnsi="標楷體" w:cs="DFKaiShu-SB-Estd-BF" w:hint="eastAsia"/>
          <w:szCs w:val="24"/>
        </w:rPr>
        <w:t>，</w:t>
      </w:r>
      <w:r w:rsidRPr="004D0C5C">
        <w:rPr>
          <w:rFonts w:ascii="標楷體" w:eastAsia="標楷體" w:hAnsi="標楷體" w:cs="DFKaiShu-SB-Estd-BF" w:hint="eastAsia"/>
          <w:szCs w:val="24"/>
        </w:rPr>
        <w:t>如實際辦理經費與核定補助企</w:t>
      </w:r>
      <w:proofErr w:type="gramStart"/>
      <w:r w:rsidRPr="004D0C5C">
        <w:rPr>
          <w:rFonts w:ascii="標楷體" w:eastAsia="標楷體" w:hAnsi="標楷體" w:cs="DFKaiShu-SB-Estd-BF" w:hint="eastAsia"/>
          <w:szCs w:val="24"/>
        </w:rPr>
        <w:t>畫書總經費</w:t>
      </w:r>
      <w:proofErr w:type="gramEnd"/>
      <w:r w:rsidRPr="004D0C5C">
        <w:rPr>
          <w:rFonts w:ascii="標楷體" w:eastAsia="標楷體" w:hAnsi="標楷體" w:cs="DFKaiShu-SB-Estd-BF" w:hint="eastAsia"/>
          <w:szCs w:val="24"/>
        </w:rPr>
        <w:t>比例不符，將依縮減比例扣減補助金額。</w:t>
      </w:r>
      <w:r>
        <w:rPr>
          <w:rFonts w:ascii="標楷體" w:eastAsia="標楷體" w:hAnsi="標楷體" w:cs="DFKaiShu-SB-Estd-BF" w:hint="eastAsia"/>
          <w:szCs w:val="24"/>
        </w:rPr>
        <w:t>經</w:t>
      </w:r>
      <w:proofErr w:type="gramStart"/>
      <w:r>
        <w:rPr>
          <w:rFonts w:ascii="標楷體" w:eastAsia="標楷體" w:hAnsi="標楷體" w:cs="DFKaiShu-SB-Estd-BF" w:hint="eastAsia"/>
          <w:szCs w:val="24"/>
        </w:rPr>
        <w:t>查觀傳局</w:t>
      </w:r>
      <w:proofErr w:type="gramEnd"/>
      <w:r w:rsidRPr="004D0C5C">
        <w:rPr>
          <w:rFonts w:ascii="標楷體" w:eastAsia="標楷體" w:hAnsi="標楷體" w:cs="DFKaiShu-SB-Estd-BF" w:hint="eastAsia"/>
          <w:szCs w:val="24"/>
        </w:rPr>
        <w:t>111</w:t>
      </w:r>
      <w:r>
        <w:rPr>
          <w:rFonts w:ascii="標楷體" w:eastAsia="標楷體" w:hAnsi="標楷體" w:cs="DFKaiShu-SB-Estd-BF" w:hint="eastAsia"/>
          <w:szCs w:val="24"/>
        </w:rPr>
        <w:t>至113</w:t>
      </w:r>
      <w:r w:rsidRPr="004D0C5C">
        <w:rPr>
          <w:rFonts w:ascii="標楷體" w:eastAsia="標楷體" w:hAnsi="標楷體" w:cs="DFKaiShu-SB-Estd-BF" w:hint="eastAsia"/>
          <w:szCs w:val="24"/>
        </w:rPr>
        <w:t>年度</w:t>
      </w:r>
      <w:r>
        <w:rPr>
          <w:rFonts w:ascii="標楷體" w:eastAsia="標楷體" w:hAnsi="標楷體" w:cs="DFKaiShu-SB-Estd-BF" w:hint="eastAsia"/>
          <w:szCs w:val="24"/>
        </w:rPr>
        <w:t>補助</w:t>
      </w:r>
      <w:r w:rsidRPr="00467A5C">
        <w:rPr>
          <w:rFonts w:ascii="標楷體" w:eastAsia="標楷體" w:hAnsi="標楷體" w:cs="DFKaiShu-SB-Estd-BF" w:hint="eastAsia"/>
          <w:szCs w:val="24"/>
        </w:rPr>
        <w:t>民間團體辦理觀光活動</w:t>
      </w:r>
      <w:r>
        <w:rPr>
          <w:rFonts w:ascii="標楷體" w:eastAsia="標楷體" w:hAnsi="標楷體" w:cs="DFKaiShu-SB-Estd-BF" w:hint="eastAsia"/>
          <w:szCs w:val="24"/>
        </w:rPr>
        <w:t>，核有</w:t>
      </w:r>
      <w:r w:rsidRPr="004D0C5C">
        <w:rPr>
          <w:rFonts w:ascii="標楷體" w:eastAsia="標楷體" w:hAnsi="標楷體" w:cs="DFKaiShu-SB-Estd-BF" w:hint="eastAsia"/>
          <w:szCs w:val="24"/>
        </w:rPr>
        <w:t>受補助</w:t>
      </w:r>
      <w:r>
        <w:rPr>
          <w:rFonts w:ascii="標楷體" w:eastAsia="標楷體" w:hAnsi="標楷體" w:cs="DFKaiShu-SB-Estd-BF" w:hint="eastAsia"/>
          <w:szCs w:val="24"/>
        </w:rPr>
        <w:t>單位未依規定投保</w:t>
      </w:r>
      <w:r w:rsidRPr="004D0C5C">
        <w:rPr>
          <w:rFonts w:ascii="標楷體" w:eastAsia="標楷體" w:hAnsi="標楷體" w:cs="DFKaiShu-SB-Estd-BF" w:hint="eastAsia"/>
          <w:szCs w:val="24"/>
        </w:rPr>
        <w:t>公共意外責任保險，</w:t>
      </w:r>
      <w:r>
        <w:rPr>
          <w:rFonts w:ascii="標楷體" w:eastAsia="標楷體" w:hAnsi="標楷體" w:cs="DFKaiShu-SB-Estd-BF" w:hint="eastAsia"/>
          <w:szCs w:val="24"/>
        </w:rPr>
        <w:t>或投保之</w:t>
      </w:r>
      <w:r w:rsidRPr="004D0C5C">
        <w:rPr>
          <w:rFonts w:ascii="標楷體" w:eastAsia="標楷體" w:hAnsi="標楷體" w:cs="DFKaiShu-SB-Estd-BF" w:hint="eastAsia"/>
          <w:szCs w:val="24"/>
        </w:rPr>
        <w:t>保險期間</w:t>
      </w:r>
      <w:r>
        <w:rPr>
          <w:rFonts w:ascii="標楷體" w:eastAsia="標楷體" w:hAnsi="標楷體" w:cs="DFKaiShu-SB-Estd-BF" w:hint="eastAsia"/>
          <w:szCs w:val="24"/>
        </w:rPr>
        <w:t>與</w:t>
      </w:r>
      <w:r w:rsidRPr="004D0C5C">
        <w:rPr>
          <w:rFonts w:ascii="標楷體" w:eastAsia="標楷體" w:hAnsi="標楷體" w:cs="DFKaiShu-SB-Estd-BF" w:hint="eastAsia"/>
          <w:szCs w:val="24"/>
        </w:rPr>
        <w:t>活動舉辦</w:t>
      </w:r>
      <w:r>
        <w:rPr>
          <w:rFonts w:ascii="標楷體" w:eastAsia="標楷體" w:hAnsi="標楷體" w:cs="DFKaiShu-SB-Estd-BF" w:hint="eastAsia"/>
          <w:szCs w:val="24"/>
        </w:rPr>
        <w:t>日期有間，或未檢附合法之保險證明文件，或</w:t>
      </w:r>
      <w:r w:rsidRPr="004D0C5C">
        <w:rPr>
          <w:rFonts w:ascii="標楷體" w:eastAsia="標楷體" w:hAnsi="標楷體" w:cs="DFKaiShu-SB-Estd-BF" w:hint="eastAsia"/>
          <w:szCs w:val="24"/>
        </w:rPr>
        <w:t>實際支出較原核定總經費減少，惟</w:t>
      </w:r>
      <w:r>
        <w:rPr>
          <w:rFonts w:ascii="標楷體" w:eastAsia="標楷體" w:hAnsi="標楷體" w:cs="DFKaiShu-SB-Estd-BF" w:hint="eastAsia"/>
          <w:szCs w:val="24"/>
        </w:rPr>
        <w:t>該</w:t>
      </w:r>
      <w:proofErr w:type="gramStart"/>
      <w:r w:rsidRPr="003202C0">
        <w:rPr>
          <w:rFonts w:ascii="標楷體" w:eastAsia="標楷體" w:hAnsi="標楷體" w:cs="DFKaiShu-SB-Estd-BF" w:hint="eastAsia"/>
          <w:szCs w:val="24"/>
        </w:rPr>
        <w:t>局</w:t>
      </w:r>
      <w:r>
        <w:rPr>
          <w:rFonts w:ascii="標楷體" w:eastAsia="標楷體" w:hAnsi="標楷體" w:cs="DFKaiShu-SB-Estd-BF" w:hint="eastAsia"/>
          <w:szCs w:val="24"/>
        </w:rPr>
        <w:t>均未</w:t>
      </w:r>
      <w:r w:rsidRPr="004D0C5C">
        <w:rPr>
          <w:rFonts w:ascii="標楷體" w:eastAsia="標楷體" w:hAnsi="標楷體" w:cs="DFKaiShu-SB-Estd-BF" w:hint="eastAsia"/>
          <w:szCs w:val="24"/>
        </w:rPr>
        <w:t>依</w:t>
      </w:r>
      <w:proofErr w:type="gramEnd"/>
      <w:r w:rsidRPr="004D0C5C">
        <w:rPr>
          <w:rFonts w:ascii="標楷體" w:eastAsia="標楷體" w:hAnsi="標楷體" w:cs="DFKaiShu-SB-Estd-BF" w:hint="eastAsia"/>
          <w:szCs w:val="24"/>
        </w:rPr>
        <w:t>規定扣減</w:t>
      </w:r>
      <w:r w:rsidRPr="004D0C5C">
        <w:rPr>
          <w:rFonts w:ascii="標楷體" w:eastAsia="標楷體" w:hAnsi="標楷體" w:cs="DFKaiShu-SB-Estd-BF"/>
          <w:szCs w:val="24"/>
        </w:rPr>
        <w:t>補助款</w:t>
      </w:r>
      <w:r w:rsidRPr="004D0C5C">
        <w:rPr>
          <w:rFonts w:ascii="標楷體" w:eastAsia="標楷體" w:hAnsi="標楷體" w:cs="DFKaiShu-SB-Estd-BF" w:hint="eastAsia"/>
          <w:szCs w:val="24"/>
        </w:rPr>
        <w:t>等</w:t>
      </w:r>
      <w:r>
        <w:rPr>
          <w:rFonts w:ascii="標楷體" w:eastAsia="標楷體" w:hAnsi="標楷體" w:cs="DFKaiShu-SB-Estd-BF" w:hint="eastAsia"/>
          <w:szCs w:val="24"/>
        </w:rPr>
        <w:t>情事，經函請</w:t>
      </w:r>
      <w:proofErr w:type="gramStart"/>
      <w:r>
        <w:rPr>
          <w:rFonts w:ascii="標楷體" w:eastAsia="標楷體" w:hAnsi="標楷體" w:cs="DFKaiShu-SB-Estd-BF" w:hint="eastAsia"/>
          <w:szCs w:val="24"/>
        </w:rPr>
        <w:t>研謀妥處</w:t>
      </w:r>
      <w:proofErr w:type="gramEnd"/>
      <w:r>
        <w:rPr>
          <w:rFonts w:ascii="標楷體" w:eastAsia="標楷體" w:hAnsi="標楷體" w:cs="DFKaiShu-SB-Estd-BF" w:hint="eastAsia"/>
          <w:szCs w:val="24"/>
        </w:rPr>
        <w:t>。據復：（1）爾後</w:t>
      </w:r>
      <w:r w:rsidRPr="00A942F0">
        <w:rPr>
          <w:rFonts w:ascii="標楷體" w:eastAsia="標楷體" w:hAnsi="標楷體" w:cs="DFKaiShu-SB-Estd-BF" w:hint="eastAsia"/>
          <w:szCs w:val="24"/>
        </w:rPr>
        <w:t>將要求受補助單位針對「媒體露出效益」、「活動參與</w:t>
      </w:r>
      <w:proofErr w:type="gramStart"/>
      <w:r w:rsidRPr="00A942F0">
        <w:rPr>
          <w:rFonts w:ascii="標楷體" w:eastAsia="標楷體" w:hAnsi="標楷體" w:cs="DFKaiShu-SB-Estd-BF" w:hint="eastAsia"/>
          <w:szCs w:val="24"/>
        </w:rPr>
        <w:t>人次」</w:t>
      </w:r>
      <w:proofErr w:type="gramEnd"/>
      <w:r w:rsidRPr="00A942F0">
        <w:rPr>
          <w:rFonts w:ascii="標楷體" w:eastAsia="標楷體" w:hAnsi="標楷體" w:cs="DFKaiShu-SB-Estd-BF" w:hint="eastAsia"/>
          <w:szCs w:val="24"/>
        </w:rPr>
        <w:t>、「觀光周邊產值」等</w:t>
      </w:r>
      <w:r>
        <w:rPr>
          <w:rFonts w:ascii="標楷體" w:eastAsia="標楷體" w:hAnsi="標楷體" w:cs="DFKaiShu-SB-Estd-BF" w:hint="eastAsia"/>
          <w:szCs w:val="24"/>
        </w:rPr>
        <w:t>3</w:t>
      </w:r>
      <w:r w:rsidRPr="00A942F0">
        <w:rPr>
          <w:rFonts w:ascii="標楷體" w:eastAsia="標楷體" w:hAnsi="標楷體" w:cs="DFKaiShu-SB-Estd-BF" w:hint="eastAsia"/>
          <w:szCs w:val="24"/>
        </w:rPr>
        <w:t>項指標達成情形，於成果報告書中提供相關佐證資料，如實際執行成果低於原企劃預期效益，受補助單位應敘明原因</w:t>
      </w:r>
      <w:r>
        <w:rPr>
          <w:rFonts w:ascii="標楷體" w:eastAsia="標楷體" w:hAnsi="標楷體" w:cs="DFKaiShu-SB-Estd-BF" w:hint="eastAsia"/>
          <w:szCs w:val="24"/>
        </w:rPr>
        <w:t>；（2）</w:t>
      </w:r>
      <w:r w:rsidRPr="00C9187A">
        <w:rPr>
          <w:rFonts w:ascii="標楷體" w:eastAsia="標楷體" w:hAnsi="標楷體" w:cs="DFKaiShu-SB-Estd-BF" w:hint="eastAsia"/>
          <w:szCs w:val="24"/>
        </w:rPr>
        <w:t>將向受補助單位追回應扣減之款項</w:t>
      </w:r>
      <w:r>
        <w:rPr>
          <w:rFonts w:ascii="標楷體" w:eastAsia="標楷體" w:hAnsi="標楷體" w:cs="DFKaiShu-SB-Estd-BF" w:hint="eastAsia"/>
          <w:szCs w:val="24"/>
        </w:rPr>
        <w:t>，</w:t>
      </w:r>
      <w:proofErr w:type="gramStart"/>
      <w:r>
        <w:rPr>
          <w:rFonts w:ascii="標楷體" w:eastAsia="標楷體" w:hAnsi="標楷體" w:cs="DFKaiShu-SB-Estd-BF" w:hint="eastAsia"/>
          <w:szCs w:val="24"/>
        </w:rPr>
        <w:t>或刻與</w:t>
      </w:r>
      <w:proofErr w:type="gramEnd"/>
      <w:r>
        <w:rPr>
          <w:rFonts w:ascii="標楷體" w:eastAsia="標楷體" w:hAnsi="標楷體" w:cs="DFKaiShu-SB-Estd-BF" w:hint="eastAsia"/>
          <w:szCs w:val="24"/>
        </w:rPr>
        <w:t>受補助單位聯繫</w:t>
      </w:r>
      <w:proofErr w:type="gramStart"/>
      <w:r>
        <w:rPr>
          <w:rFonts w:ascii="標楷體" w:eastAsia="標楷體" w:hAnsi="標楷體" w:cs="DFKaiShu-SB-Estd-BF" w:hint="eastAsia"/>
          <w:szCs w:val="24"/>
        </w:rPr>
        <w:t>釐</w:t>
      </w:r>
      <w:proofErr w:type="gramEnd"/>
      <w:r>
        <w:rPr>
          <w:rFonts w:ascii="標楷體" w:eastAsia="標楷體" w:hAnsi="標楷體" w:cs="DFKaiShu-SB-Estd-BF" w:hint="eastAsia"/>
          <w:szCs w:val="24"/>
        </w:rPr>
        <w:t>清</w:t>
      </w:r>
      <w:r w:rsidRPr="00C9187A">
        <w:rPr>
          <w:rFonts w:ascii="標楷體" w:eastAsia="標楷體" w:hAnsi="標楷體" w:cs="DFKaiShu-SB-Estd-BF" w:hint="eastAsia"/>
          <w:szCs w:val="24"/>
        </w:rPr>
        <w:t>，倘無法提供相關證明，將追回應扣減款項</w:t>
      </w:r>
      <w:r>
        <w:rPr>
          <w:rFonts w:ascii="標楷體" w:eastAsia="標楷體" w:hAnsi="標楷體" w:cs="DFKaiShu-SB-Estd-BF" w:hint="eastAsia"/>
          <w:szCs w:val="24"/>
        </w:rPr>
        <w:t>；</w:t>
      </w:r>
      <w:r w:rsidRPr="0074783C">
        <w:rPr>
          <w:rFonts w:ascii="標楷體" w:eastAsia="標楷體" w:hAnsi="標楷體" w:hint="eastAsia"/>
          <w:color w:val="000000" w:themeColor="text1"/>
        </w:rPr>
        <w:t>爾後將加強督導結案相關資料審查情形</w:t>
      </w:r>
      <w:r>
        <w:rPr>
          <w:rFonts w:ascii="標楷體" w:eastAsia="標楷體" w:hAnsi="標楷體" w:cs="DFKaiShu-SB-Estd-BF" w:hint="eastAsia"/>
          <w:szCs w:val="24"/>
        </w:rPr>
        <w:t>。</w:t>
      </w:r>
    </w:p>
    <w:p w14:paraId="35BF6033" w14:textId="77777777" w:rsidR="00B66083" w:rsidRDefault="00B66083" w:rsidP="006327C8">
      <w:pPr>
        <w:overflowPunct w:val="0"/>
        <w:spacing w:beforeLines="30" w:before="108" w:line="460" w:lineRule="exact"/>
        <w:ind w:firstLineChars="200" w:firstLine="561"/>
        <w:jc w:val="both"/>
        <w:rPr>
          <w:rFonts w:ascii="標楷體" w:eastAsia="標楷體" w:hAnsi="標楷體"/>
          <w:b/>
          <w:sz w:val="28"/>
          <w:szCs w:val="28"/>
        </w:rPr>
      </w:pPr>
      <w:r>
        <w:rPr>
          <w:rFonts w:ascii="標楷體" w:eastAsia="標楷體" w:hAnsi="標楷體" w:hint="eastAsia"/>
          <w:b/>
          <w:sz w:val="28"/>
          <w:szCs w:val="28"/>
        </w:rPr>
        <w:t>3.持續辦理長</w:t>
      </w:r>
      <w:proofErr w:type="gramStart"/>
      <w:r>
        <w:rPr>
          <w:rFonts w:ascii="標楷體" w:eastAsia="標楷體" w:hAnsi="標楷體" w:hint="eastAsia"/>
          <w:b/>
          <w:sz w:val="28"/>
          <w:szCs w:val="28"/>
        </w:rPr>
        <w:t>青樂活遊臺</w:t>
      </w:r>
      <w:proofErr w:type="gramEnd"/>
      <w:r>
        <w:rPr>
          <w:rFonts w:ascii="標楷體" w:eastAsia="標楷體" w:hAnsi="標楷體" w:hint="eastAsia"/>
          <w:b/>
          <w:sz w:val="28"/>
          <w:szCs w:val="28"/>
        </w:rPr>
        <w:t>北活動，協助長者豐富休閒生活，惟部分車次實際出團人數未達計畫目標，</w:t>
      </w:r>
      <w:proofErr w:type="gramStart"/>
      <w:r>
        <w:rPr>
          <w:rFonts w:ascii="標楷體" w:eastAsia="標楷體" w:hAnsi="標楷體" w:hint="eastAsia"/>
          <w:b/>
          <w:sz w:val="28"/>
          <w:szCs w:val="28"/>
        </w:rPr>
        <w:t>且轄內部分里別近5年度均未報名</w:t>
      </w:r>
      <w:proofErr w:type="gramEnd"/>
      <w:r>
        <w:rPr>
          <w:rFonts w:ascii="標楷體" w:eastAsia="標楷體" w:hAnsi="標楷體" w:hint="eastAsia"/>
          <w:b/>
          <w:sz w:val="28"/>
          <w:szCs w:val="28"/>
        </w:rPr>
        <w:t>參與活動，長者參與率仍待</w:t>
      </w:r>
      <w:proofErr w:type="gramStart"/>
      <w:r>
        <w:rPr>
          <w:rFonts w:ascii="標楷體" w:eastAsia="標楷體" w:hAnsi="標楷體" w:hint="eastAsia"/>
          <w:b/>
          <w:sz w:val="28"/>
          <w:szCs w:val="28"/>
        </w:rPr>
        <w:t>研</w:t>
      </w:r>
      <w:proofErr w:type="gramEnd"/>
      <w:r>
        <w:rPr>
          <w:rFonts w:ascii="標楷體" w:eastAsia="標楷體" w:hAnsi="標楷體" w:hint="eastAsia"/>
          <w:b/>
          <w:sz w:val="28"/>
          <w:szCs w:val="28"/>
        </w:rPr>
        <w:t>謀提升，又對委外廠商辦理活動所取得之個人資料，未落實監督辦理銷毀等情，有待檢討改善。</w:t>
      </w:r>
    </w:p>
    <w:p w14:paraId="45F47315" w14:textId="77777777" w:rsidR="00A10A82" w:rsidRDefault="00B66083" w:rsidP="006327C8">
      <w:pPr>
        <w:overflowPunct w:val="0"/>
        <w:spacing w:beforeLines="10" w:before="36" w:line="400" w:lineRule="exact"/>
        <w:ind w:firstLineChars="200" w:firstLine="480"/>
        <w:jc w:val="both"/>
        <w:rPr>
          <w:rFonts w:ascii="標楷體" w:eastAsia="標楷體" w:hAnsi="標楷體"/>
        </w:rPr>
      </w:pPr>
      <w:r>
        <w:rPr>
          <w:rFonts w:ascii="標楷體" w:eastAsia="標楷體" w:hAnsi="標楷體" w:hint="eastAsia"/>
        </w:rPr>
        <w:t>觀光傳播局（下稱觀傳局）自</w:t>
      </w:r>
      <w:proofErr w:type="gramStart"/>
      <w:r>
        <w:rPr>
          <w:rFonts w:ascii="標楷體" w:eastAsia="標楷體" w:hAnsi="標楷體" w:hint="eastAsia"/>
        </w:rPr>
        <w:t>107</w:t>
      </w:r>
      <w:proofErr w:type="gramEnd"/>
      <w:r>
        <w:rPr>
          <w:rFonts w:ascii="標楷體" w:eastAsia="標楷體" w:hAnsi="標楷體" w:hint="eastAsia"/>
        </w:rPr>
        <w:t>年度起舉辦長</w:t>
      </w:r>
      <w:proofErr w:type="gramStart"/>
      <w:r>
        <w:rPr>
          <w:rFonts w:ascii="標楷體" w:eastAsia="標楷體" w:hAnsi="標楷體" w:hint="eastAsia"/>
        </w:rPr>
        <w:t>青樂活遊臺</w:t>
      </w:r>
      <w:proofErr w:type="gramEnd"/>
      <w:r>
        <w:rPr>
          <w:rFonts w:ascii="標楷體" w:eastAsia="標楷體" w:hAnsi="標楷體" w:hint="eastAsia"/>
        </w:rPr>
        <w:t>北活動，邀約設籍臺北市且行動可自理之長者（一般市民為65歲以上、原住民族為55歲以上）走出戶外，增加長者相互交流機會及對臺北市建設之了解，進而帶動周邊觀光產業發展。</w:t>
      </w:r>
      <w:proofErr w:type="gramStart"/>
      <w:r>
        <w:rPr>
          <w:rFonts w:ascii="標楷體" w:eastAsia="標楷體" w:hAnsi="標楷體" w:hint="eastAsia"/>
        </w:rPr>
        <w:t>觀傳局</w:t>
      </w:r>
      <w:proofErr w:type="gramEnd"/>
      <w:r>
        <w:rPr>
          <w:rFonts w:ascii="標楷體" w:eastAsia="標楷體" w:hAnsi="標楷體" w:hint="eastAsia"/>
        </w:rPr>
        <w:t>111至113年度編列預算3,091萬元、2,660萬元（未含動支第二預備金278萬餘元）及3,443萬餘元，</w:t>
      </w:r>
      <w:proofErr w:type="gramStart"/>
      <w:r>
        <w:rPr>
          <w:rFonts w:ascii="標楷體" w:eastAsia="標楷體" w:hAnsi="標楷體" w:hint="eastAsia"/>
        </w:rPr>
        <w:t>續委外</w:t>
      </w:r>
      <w:proofErr w:type="gramEnd"/>
      <w:r>
        <w:rPr>
          <w:rFonts w:ascii="標楷體" w:eastAsia="標楷體" w:hAnsi="標楷體" w:hint="eastAsia"/>
        </w:rPr>
        <w:t>辦理上開活動。經查活動辦理情形，核有：（1）依111至113年度長</w:t>
      </w:r>
      <w:proofErr w:type="gramStart"/>
      <w:r>
        <w:rPr>
          <w:rFonts w:ascii="標楷體" w:eastAsia="標楷體" w:hAnsi="標楷體" w:hint="eastAsia"/>
        </w:rPr>
        <w:t>青樂活遊臺</w:t>
      </w:r>
      <w:proofErr w:type="gramEnd"/>
      <w:r>
        <w:rPr>
          <w:rFonts w:ascii="標楷體" w:eastAsia="標楷體" w:hAnsi="標楷體" w:hint="eastAsia"/>
        </w:rPr>
        <w:t>北活動實施計畫規定略</w:t>
      </w:r>
      <w:proofErr w:type="gramStart"/>
      <w:r>
        <w:rPr>
          <w:rFonts w:ascii="標楷體" w:eastAsia="標楷體" w:hAnsi="標楷體" w:hint="eastAsia"/>
        </w:rPr>
        <w:t>以</w:t>
      </w:r>
      <w:proofErr w:type="gramEnd"/>
      <w:r>
        <w:rPr>
          <w:rFonts w:ascii="標楷體" w:eastAsia="標楷體" w:hAnsi="標楷體" w:hint="eastAsia"/>
        </w:rPr>
        <w:t>，各里依實際需求及招募情形組團出車，每團至少1甲</w:t>
      </w:r>
      <w:proofErr w:type="gramStart"/>
      <w:r>
        <w:rPr>
          <w:rFonts w:ascii="標楷體" w:eastAsia="標楷體" w:hAnsi="標楷體" w:hint="eastAsia"/>
        </w:rPr>
        <w:t>類車始可</w:t>
      </w:r>
      <w:proofErr w:type="gramEnd"/>
      <w:r>
        <w:rPr>
          <w:rFonts w:ascii="標楷體" w:eastAsia="標楷體" w:hAnsi="標楷體" w:hint="eastAsia"/>
        </w:rPr>
        <w:t>出團，每車長者至少須達35位。</w:t>
      </w:r>
      <w:proofErr w:type="gramStart"/>
      <w:r>
        <w:rPr>
          <w:rFonts w:ascii="標楷體" w:eastAsia="標楷體" w:hAnsi="標楷體" w:hint="eastAsia"/>
        </w:rPr>
        <w:t>觀傳局</w:t>
      </w:r>
      <w:proofErr w:type="gramEnd"/>
      <w:r>
        <w:rPr>
          <w:rFonts w:ascii="標楷體" w:eastAsia="標楷體" w:hAnsi="標楷體" w:hint="eastAsia"/>
        </w:rPr>
        <w:t>辦理長</w:t>
      </w:r>
      <w:proofErr w:type="gramStart"/>
      <w:r>
        <w:rPr>
          <w:rFonts w:ascii="標楷體" w:eastAsia="標楷體" w:hAnsi="標楷體" w:hint="eastAsia"/>
        </w:rPr>
        <w:t>青樂活遊臺</w:t>
      </w:r>
      <w:proofErr w:type="gramEnd"/>
      <w:r>
        <w:rPr>
          <w:rFonts w:ascii="標楷體" w:eastAsia="標楷體" w:hAnsi="標楷體" w:hint="eastAsia"/>
        </w:rPr>
        <w:t>北活動，111至113年度出車數量計2,630車次，其中每車次（按每團投保人數及車數平均計算）投保人數未達35人者，共計181車次；又經統計111至113年度以里辦公處名義申請參加人數，分別為20,453人、36,586人及33,103人，各占前一年底臺北市65歲以上人口數之比率為4.06％、7.05％及5.98％，</w:t>
      </w:r>
      <w:proofErr w:type="gramStart"/>
      <w:r>
        <w:rPr>
          <w:rFonts w:ascii="標楷體" w:eastAsia="標楷體" w:hAnsi="標楷體" w:hint="eastAsia"/>
        </w:rPr>
        <w:t>113</w:t>
      </w:r>
      <w:proofErr w:type="gramEnd"/>
      <w:r>
        <w:rPr>
          <w:rFonts w:ascii="標楷體" w:eastAsia="標楷體" w:hAnsi="標楷體" w:hint="eastAsia"/>
        </w:rPr>
        <w:t>年度較</w:t>
      </w:r>
      <w:proofErr w:type="gramStart"/>
      <w:r>
        <w:rPr>
          <w:rFonts w:ascii="標楷體" w:eastAsia="標楷體" w:hAnsi="標楷體" w:hint="eastAsia"/>
        </w:rPr>
        <w:t>112</w:t>
      </w:r>
      <w:proofErr w:type="gramEnd"/>
      <w:r>
        <w:rPr>
          <w:rFonts w:ascii="標楷體" w:eastAsia="標楷體" w:hAnsi="標楷體" w:hint="eastAsia"/>
        </w:rPr>
        <w:t>年度下降（表1），</w:t>
      </w:r>
      <w:proofErr w:type="gramStart"/>
      <w:r>
        <w:rPr>
          <w:rFonts w:ascii="標楷體" w:eastAsia="標楷體" w:hAnsi="標楷體" w:hint="eastAsia"/>
        </w:rPr>
        <w:t>且轄內</w:t>
      </w:r>
      <w:proofErr w:type="gramEnd"/>
      <w:r>
        <w:rPr>
          <w:rFonts w:ascii="標楷體" w:eastAsia="標楷體" w:hAnsi="標楷體" w:hint="eastAsia"/>
        </w:rPr>
        <w:t>有20個里近</w:t>
      </w:r>
      <w:proofErr w:type="gramStart"/>
      <w:r>
        <w:rPr>
          <w:rFonts w:ascii="標楷體" w:eastAsia="標楷體" w:hAnsi="標楷體" w:hint="eastAsia"/>
        </w:rPr>
        <w:t>5</w:t>
      </w:r>
      <w:proofErr w:type="gramEnd"/>
      <w:r>
        <w:rPr>
          <w:rFonts w:ascii="標楷體" w:eastAsia="標楷體" w:hAnsi="標楷體" w:hint="eastAsia"/>
        </w:rPr>
        <w:t>年度（109至113年）</w:t>
      </w:r>
      <w:proofErr w:type="gramStart"/>
      <w:r>
        <w:rPr>
          <w:rFonts w:ascii="標楷體" w:eastAsia="標楷體" w:hAnsi="標楷體" w:hint="eastAsia"/>
        </w:rPr>
        <w:t>均未報名</w:t>
      </w:r>
      <w:proofErr w:type="gramEnd"/>
      <w:r>
        <w:rPr>
          <w:rFonts w:ascii="標楷體" w:eastAsia="標楷體" w:hAnsi="標楷體" w:hint="eastAsia"/>
        </w:rPr>
        <w:t>參與活動，長者參與率仍待</w:t>
      </w:r>
      <w:proofErr w:type="gramStart"/>
      <w:r>
        <w:rPr>
          <w:rFonts w:ascii="標楷體" w:eastAsia="標楷體" w:hAnsi="標楷體" w:hint="eastAsia"/>
        </w:rPr>
        <w:t>研</w:t>
      </w:r>
      <w:proofErr w:type="gramEnd"/>
      <w:r>
        <w:rPr>
          <w:rFonts w:ascii="標楷體" w:eastAsia="標楷體" w:hAnsi="標楷體" w:hint="eastAsia"/>
        </w:rPr>
        <w:t>謀提升；（2）</w:t>
      </w:r>
      <w:r w:rsidRPr="00170FDA">
        <w:rPr>
          <w:rFonts w:ascii="標楷體" w:eastAsia="標楷體" w:hAnsi="標楷體" w:hint="eastAsia"/>
          <w:spacing w:val="1"/>
          <w:kern w:val="0"/>
          <w:fitText w:val="9888" w:id="-684008190"/>
        </w:rPr>
        <w:t>依</w:t>
      </w:r>
      <w:proofErr w:type="gramStart"/>
      <w:r w:rsidRPr="00170FDA">
        <w:rPr>
          <w:rFonts w:ascii="標楷體" w:eastAsia="標楷體" w:hAnsi="標楷體" w:hint="eastAsia"/>
          <w:spacing w:val="1"/>
          <w:kern w:val="0"/>
          <w:fitText w:val="9888" w:id="-684008190"/>
        </w:rPr>
        <w:t>113</w:t>
      </w:r>
      <w:proofErr w:type="gramEnd"/>
      <w:r w:rsidRPr="00170FDA">
        <w:rPr>
          <w:rFonts w:ascii="標楷體" w:eastAsia="標楷體" w:hAnsi="標楷體" w:hint="eastAsia"/>
          <w:spacing w:val="1"/>
          <w:kern w:val="0"/>
          <w:fitText w:val="9888" w:id="-684008190"/>
        </w:rPr>
        <w:t>年度長</w:t>
      </w:r>
      <w:proofErr w:type="gramStart"/>
      <w:r w:rsidRPr="00170FDA">
        <w:rPr>
          <w:rFonts w:ascii="標楷體" w:eastAsia="標楷體" w:hAnsi="標楷體" w:hint="eastAsia"/>
          <w:spacing w:val="1"/>
          <w:kern w:val="0"/>
          <w:fitText w:val="9888" w:id="-684008190"/>
        </w:rPr>
        <w:t>青樂活遊臺</w:t>
      </w:r>
      <w:proofErr w:type="gramEnd"/>
      <w:r w:rsidRPr="00170FDA">
        <w:rPr>
          <w:rFonts w:ascii="標楷體" w:eastAsia="標楷體" w:hAnsi="標楷體" w:hint="eastAsia"/>
          <w:spacing w:val="1"/>
          <w:kern w:val="0"/>
          <w:fitText w:val="9888" w:id="-684008190"/>
        </w:rPr>
        <w:t>北活動案契約書補充約定規定略</w:t>
      </w:r>
      <w:proofErr w:type="gramStart"/>
      <w:r w:rsidRPr="00170FDA">
        <w:rPr>
          <w:rFonts w:ascii="標楷體" w:eastAsia="標楷體" w:hAnsi="標楷體" w:hint="eastAsia"/>
          <w:spacing w:val="1"/>
          <w:kern w:val="0"/>
          <w:fitText w:val="9888" w:id="-684008190"/>
        </w:rPr>
        <w:t>以</w:t>
      </w:r>
      <w:proofErr w:type="gramEnd"/>
      <w:r w:rsidRPr="00170FDA">
        <w:rPr>
          <w:rFonts w:ascii="標楷體" w:eastAsia="標楷體" w:hAnsi="標楷體" w:hint="eastAsia"/>
          <w:spacing w:val="1"/>
          <w:kern w:val="0"/>
          <w:fitText w:val="9888" w:id="-684008190"/>
        </w:rPr>
        <w:t>，廠商應於受託執行業務期間屆</w:t>
      </w:r>
      <w:r w:rsidRPr="00170FDA">
        <w:rPr>
          <w:rFonts w:ascii="標楷體" w:eastAsia="標楷體" w:hAnsi="標楷體" w:hint="eastAsia"/>
          <w:spacing w:val="-16"/>
          <w:kern w:val="0"/>
          <w:fitText w:val="9888" w:id="-684008190"/>
        </w:rPr>
        <w:t>滿</w:t>
      </w:r>
    </w:p>
    <w:p w14:paraId="09DA4C89" w14:textId="6A3D1FA9" w:rsidR="00B66083" w:rsidRDefault="00B66083" w:rsidP="00A10A82">
      <w:pPr>
        <w:overflowPunct w:val="0"/>
        <w:spacing w:line="420" w:lineRule="exact"/>
        <w:jc w:val="both"/>
        <w:rPr>
          <w:rFonts w:ascii="標楷體" w:eastAsia="標楷體" w:hAnsi="標楷體"/>
          <w:color w:val="FF0000"/>
        </w:rPr>
      </w:pPr>
      <w:r>
        <w:rPr>
          <w:rFonts w:ascii="標楷體" w:eastAsia="標楷體" w:hAnsi="標楷體" w:hint="eastAsia"/>
        </w:rPr>
        <w:lastRenderedPageBreak/>
        <w:t>或經機關要求時，將因履行受託業務而取得之個人資料全數返還予機關，其備份應全數銷毀刪除，並提供刪除、銷毀或返還個人資料之時間、方式、地點等紀錄。</w:t>
      </w:r>
      <w:proofErr w:type="gramStart"/>
      <w:r>
        <w:rPr>
          <w:rFonts w:ascii="標楷體" w:eastAsia="標楷體" w:hAnsi="標楷體" w:hint="eastAsia"/>
        </w:rPr>
        <w:t>觀傳局</w:t>
      </w:r>
      <w:proofErr w:type="gramEnd"/>
      <w:r>
        <w:rPr>
          <w:rFonts w:ascii="標楷體" w:eastAsia="標楷體" w:hAnsi="標楷體" w:hint="eastAsia"/>
        </w:rPr>
        <w:t>每年辦理長</w:t>
      </w:r>
      <w:proofErr w:type="gramStart"/>
      <w:r>
        <w:rPr>
          <w:rFonts w:ascii="標楷體" w:eastAsia="標楷體" w:hAnsi="標楷體" w:hint="eastAsia"/>
        </w:rPr>
        <w:t>青樂活遊臺</w:t>
      </w:r>
      <w:proofErr w:type="gramEnd"/>
      <w:r>
        <w:rPr>
          <w:rFonts w:ascii="標楷體" w:eastAsia="標楷體" w:hAnsi="標楷體" w:hint="eastAsia"/>
        </w:rPr>
        <w:t>北活動之招標作業，並由得標廠商架設當</w:t>
      </w:r>
      <w:proofErr w:type="gramStart"/>
      <w:r>
        <w:rPr>
          <w:rFonts w:ascii="標楷體" w:eastAsia="標楷體" w:hAnsi="標楷體" w:hint="eastAsia"/>
        </w:rPr>
        <w:t>年度線上報名</w:t>
      </w:r>
      <w:proofErr w:type="gramEnd"/>
      <w:r>
        <w:rPr>
          <w:rFonts w:ascii="標楷體" w:eastAsia="標楷體" w:hAnsi="標楷體" w:hint="eastAsia"/>
        </w:rPr>
        <w:t>系統，供團體辦理報名作業，及上傳包含身分證字號等個人資料之出團人員名單，由廠商辦理活動投保事宜，惟當年度計畫結束後，該</w:t>
      </w:r>
      <w:r w:rsidR="00292EF6">
        <w:rPr>
          <w:rFonts w:hint="eastAsia"/>
          <w:noProof/>
        </w:rPr>
        <mc:AlternateContent>
          <mc:Choice Requires="wps">
            <w:drawing>
              <wp:anchor distT="45720" distB="45720" distL="114300" distR="114300" simplePos="0" relativeHeight="251673600" behindDoc="0" locked="0" layoutInCell="1" allowOverlap="1" wp14:anchorId="4C7970AE" wp14:editId="525E5AD7">
                <wp:simplePos x="0" y="0"/>
                <wp:positionH relativeFrom="margin">
                  <wp:posOffset>1208405</wp:posOffset>
                </wp:positionH>
                <wp:positionV relativeFrom="paragraph">
                  <wp:posOffset>104775</wp:posOffset>
                </wp:positionV>
                <wp:extent cx="5104130" cy="3790950"/>
                <wp:effectExtent l="0" t="0" r="1270" b="0"/>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4130" cy="3790950"/>
                        </a:xfrm>
                        <a:prstGeom prst="rect">
                          <a:avLst/>
                        </a:prstGeom>
                        <a:solidFill>
                          <a:srgbClr val="FFFFFF"/>
                        </a:solidFill>
                        <a:ln w="9525">
                          <a:noFill/>
                          <a:miter lim="800000"/>
                          <a:headEnd/>
                          <a:tailEnd/>
                        </a:ln>
                      </wps:spPr>
                      <wps:txbx>
                        <w:txbxContent>
                          <w:p w14:paraId="1EAE766B" w14:textId="0CF9097A" w:rsidR="00B66083" w:rsidRDefault="00B66083" w:rsidP="00292EF6">
                            <w:pPr>
                              <w:spacing w:line="240" w:lineRule="exact"/>
                              <w:ind w:left="639" w:rightChars="-22" w:right="-53" w:hangingChars="275" w:hanging="639"/>
                              <w:jc w:val="center"/>
                              <w:rPr>
                                <w:spacing w:val="-4"/>
                                <w:szCs w:val="24"/>
                              </w:rPr>
                            </w:pPr>
                            <w:r>
                              <w:rPr>
                                <w:rFonts w:ascii="標楷體" w:eastAsia="標楷體" w:hAnsi="標楷體" w:hint="eastAsia"/>
                                <w:b/>
                                <w:bCs/>
                                <w:color w:val="000000"/>
                                <w:spacing w:val="-4"/>
                                <w:szCs w:val="24"/>
                              </w:rPr>
                              <w:t>表1　各行政區參加長</w:t>
                            </w:r>
                            <w:proofErr w:type="gramStart"/>
                            <w:r>
                              <w:rPr>
                                <w:rFonts w:ascii="標楷體" w:eastAsia="標楷體" w:hAnsi="標楷體" w:hint="eastAsia"/>
                                <w:b/>
                                <w:bCs/>
                                <w:color w:val="000000"/>
                                <w:spacing w:val="-4"/>
                                <w:szCs w:val="24"/>
                              </w:rPr>
                              <w:t>青樂活遊臺</w:t>
                            </w:r>
                            <w:proofErr w:type="gramEnd"/>
                            <w:r>
                              <w:rPr>
                                <w:rFonts w:ascii="標楷體" w:eastAsia="標楷體" w:hAnsi="標楷體" w:hint="eastAsia"/>
                                <w:b/>
                                <w:bCs/>
                                <w:color w:val="000000"/>
                                <w:spacing w:val="-4"/>
                                <w:szCs w:val="24"/>
                              </w:rPr>
                              <w:t>北活動之人數及參與比率</w:t>
                            </w:r>
                          </w:p>
                          <w:p w14:paraId="26019FF8" w14:textId="77777777" w:rsidR="00B66083" w:rsidRPr="009F2087" w:rsidRDefault="00B66083" w:rsidP="004B0E9F">
                            <w:pPr>
                              <w:spacing w:line="240" w:lineRule="exact"/>
                              <w:ind w:rightChars="61" w:right="146"/>
                              <w:jc w:val="right"/>
                              <w:rPr>
                                <w:sz w:val="20"/>
                                <w:szCs w:val="20"/>
                              </w:rPr>
                            </w:pPr>
                            <w:r w:rsidRPr="009F2087">
                              <w:rPr>
                                <w:rFonts w:ascii="標楷體" w:eastAsia="標楷體" w:hAnsi="標楷體" w:hint="eastAsia"/>
                                <w:color w:val="000000"/>
                                <w:sz w:val="20"/>
                                <w:szCs w:val="20"/>
                              </w:rPr>
                              <w:t>單位：人、％</w:t>
                            </w:r>
                          </w:p>
                          <w:tbl>
                            <w:tblPr>
                              <w:tblW w:w="7881" w:type="dxa"/>
                              <w:tblInd w:w="-5" w:type="dxa"/>
                              <w:tblCellMar>
                                <w:left w:w="28" w:type="dxa"/>
                                <w:right w:w="28" w:type="dxa"/>
                              </w:tblCellMar>
                              <w:tblLook w:val="04A0" w:firstRow="1" w:lastRow="0" w:firstColumn="1" w:lastColumn="0" w:noHBand="0" w:noVBand="1"/>
                            </w:tblPr>
                            <w:tblGrid>
                              <w:gridCol w:w="826"/>
                              <w:gridCol w:w="824"/>
                              <w:gridCol w:w="814"/>
                              <w:gridCol w:w="822"/>
                              <w:gridCol w:w="658"/>
                              <w:gridCol w:w="858"/>
                              <w:gridCol w:w="809"/>
                              <w:gridCol w:w="658"/>
                              <w:gridCol w:w="814"/>
                              <w:gridCol w:w="798"/>
                            </w:tblGrid>
                            <w:tr w:rsidR="00B66083" w14:paraId="678371C9" w14:textId="77777777" w:rsidTr="004B0E9F">
                              <w:trPr>
                                <w:trHeight w:val="304"/>
                              </w:trPr>
                              <w:tc>
                                <w:tcPr>
                                  <w:tcW w:w="826"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2762B04E" w14:textId="77777777" w:rsidR="00B66083" w:rsidRDefault="00B66083" w:rsidP="004B0E9F">
                                  <w:pPr>
                                    <w:spacing w:line="240" w:lineRule="exact"/>
                                    <w:ind w:leftChars="117" w:left="281"/>
                                    <w:rPr>
                                      <w:rFonts w:ascii="標楷體" w:eastAsia="標楷體" w:hAnsi="標楷體"/>
                                      <w:color w:val="000000"/>
                                      <w:sz w:val="20"/>
                                    </w:rPr>
                                  </w:pPr>
                                  <w:r>
                                    <w:rPr>
                                      <w:rFonts w:ascii="標楷體" w:eastAsia="標楷體" w:hAnsi="標楷體" w:hint="eastAsia"/>
                                      <w:color w:val="000000"/>
                                      <w:sz w:val="20"/>
                                    </w:rPr>
                                    <w:t>年度</w:t>
                                  </w:r>
                                </w:p>
                                <w:p w14:paraId="1012778E" w14:textId="77777777" w:rsidR="00B66083" w:rsidRDefault="00B66083">
                                  <w:pPr>
                                    <w:spacing w:line="240" w:lineRule="exact"/>
                                    <w:ind w:leftChars="200" w:left="480"/>
                                    <w:rPr>
                                      <w:rFonts w:ascii="標楷體" w:eastAsia="標楷體" w:hAnsi="標楷體"/>
                                      <w:color w:val="000000"/>
                                      <w:sz w:val="20"/>
                                    </w:rPr>
                                  </w:pPr>
                                </w:p>
                                <w:p w14:paraId="2F81468C" w14:textId="77777777" w:rsidR="00B66083" w:rsidRDefault="00B66083">
                                  <w:pPr>
                                    <w:spacing w:line="240" w:lineRule="exact"/>
                                    <w:ind w:leftChars="200" w:left="480"/>
                                    <w:rPr>
                                      <w:rFonts w:ascii="標楷體" w:eastAsia="標楷體" w:hAnsi="標楷體"/>
                                      <w:color w:val="000000"/>
                                      <w:sz w:val="20"/>
                                    </w:rPr>
                                  </w:pPr>
                                </w:p>
                                <w:p w14:paraId="0D7C3909" w14:textId="77777777" w:rsidR="00B66083" w:rsidRDefault="00B66083">
                                  <w:pPr>
                                    <w:spacing w:line="240" w:lineRule="exact"/>
                                    <w:ind w:leftChars="200" w:left="480"/>
                                    <w:rPr>
                                      <w:rFonts w:ascii="標楷體" w:eastAsia="標楷體" w:hAnsi="標楷體"/>
                                      <w:color w:val="000000"/>
                                      <w:sz w:val="20"/>
                                    </w:rPr>
                                  </w:pPr>
                                </w:p>
                                <w:p w14:paraId="71A4CF61" w14:textId="77777777" w:rsidR="00B66083" w:rsidRDefault="00B66083">
                                  <w:pPr>
                                    <w:spacing w:line="240" w:lineRule="exact"/>
                                    <w:ind w:left="400" w:hangingChars="200" w:hanging="400"/>
                                    <w:rPr>
                                      <w:rFonts w:ascii="標楷體" w:eastAsia="標楷體" w:hAnsi="標楷體"/>
                                      <w:color w:val="000000"/>
                                      <w:sz w:val="20"/>
                                    </w:rPr>
                                  </w:pPr>
                                  <w:r>
                                    <w:rPr>
                                      <w:rFonts w:ascii="標楷體" w:eastAsia="標楷體" w:hAnsi="標楷體" w:hint="eastAsia"/>
                                      <w:color w:val="000000"/>
                                      <w:sz w:val="20"/>
                                    </w:rPr>
                                    <w:t>行政區</w:t>
                                  </w:r>
                                </w:p>
                              </w:tc>
                              <w:tc>
                                <w:tcPr>
                                  <w:tcW w:w="2460" w:type="dxa"/>
                                  <w:gridSpan w:val="3"/>
                                  <w:tcBorders>
                                    <w:top w:val="single" w:sz="4" w:space="0" w:color="auto"/>
                                    <w:left w:val="nil"/>
                                    <w:bottom w:val="single" w:sz="4" w:space="0" w:color="auto"/>
                                    <w:right w:val="double" w:sz="4" w:space="0" w:color="auto"/>
                                  </w:tcBorders>
                                  <w:vAlign w:val="center"/>
                                  <w:hideMark/>
                                </w:tcPr>
                                <w:p w14:paraId="5AB4B685" w14:textId="77777777" w:rsidR="00B66083" w:rsidRDefault="00B66083">
                                  <w:pPr>
                                    <w:spacing w:line="220" w:lineRule="exact"/>
                                    <w:jc w:val="center"/>
                                    <w:rPr>
                                      <w:rFonts w:ascii="標楷體" w:eastAsia="標楷體" w:hAnsi="標楷體"/>
                                      <w:color w:val="000000"/>
                                      <w:sz w:val="20"/>
                                    </w:rPr>
                                  </w:pPr>
                                  <w:r>
                                    <w:rPr>
                                      <w:rFonts w:ascii="標楷體" w:eastAsia="標楷體" w:hAnsi="標楷體" w:hint="eastAsia"/>
                                      <w:color w:val="000000"/>
                                      <w:sz w:val="20"/>
                                    </w:rPr>
                                    <w:t>111</w:t>
                                  </w:r>
                                </w:p>
                              </w:tc>
                              <w:tc>
                                <w:tcPr>
                                  <w:tcW w:w="2325" w:type="dxa"/>
                                  <w:gridSpan w:val="3"/>
                                  <w:tcBorders>
                                    <w:top w:val="single" w:sz="4" w:space="0" w:color="auto"/>
                                    <w:left w:val="double" w:sz="4" w:space="0" w:color="auto"/>
                                    <w:bottom w:val="single" w:sz="4" w:space="0" w:color="auto"/>
                                    <w:right w:val="double" w:sz="4" w:space="0" w:color="auto"/>
                                  </w:tcBorders>
                                  <w:vAlign w:val="center"/>
                                  <w:hideMark/>
                                </w:tcPr>
                                <w:p w14:paraId="61CAF6F0" w14:textId="77777777" w:rsidR="00B66083" w:rsidRDefault="00B66083">
                                  <w:pPr>
                                    <w:spacing w:line="220" w:lineRule="exact"/>
                                    <w:jc w:val="center"/>
                                    <w:rPr>
                                      <w:rFonts w:ascii="標楷體" w:eastAsia="標楷體" w:hAnsi="標楷體"/>
                                      <w:color w:val="000000"/>
                                      <w:sz w:val="20"/>
                                    </w:rPr>
                                  </w:pPr>
                                  <w:r>
                                    <w:rPr>
                                      <w:rFonts w:ascii="標楷體" w:eastAsia="標楷體" w:hAnsi="標楷體" w:hint="eastAsia"/>
                                      <w:color w:val="000000"/>
                                      <w:sz w:val="20"/>
                                    </w:rPr>
                                    <w:t>112</w:t>
                                  </w:r>
                                </w:p>
                              </w:tc>
                              <w:tc>
                                <w:tcPr>
                                  <w:tcW w:w="2270" w:type="dxa"/>
                                  <w:gridSpan w:val="3"/>
                                  <w:tcBorders>
                                    <w:top w:val="single" w:sz="4" w:space="0" w:color="auto"/>
                                    <w:left w:val="double" w:sz="4" w:space="0" w:color="auto"/>
                                    <w:bottom w:val="single" w:sz="4" w:space="0" w:color="auto"/>
                                    <w:right w:val="single" w:sz="4" w:space="0" w:color="auto"/>
                                  </w:tcBorders>
                                  <w:vAlign w:val="center"/>
                                  <w:hideMark/>
                                </w:tcPr>
                                <w:p w14:paraId="4270413C" w14:textId="77777777" w:rsidR="00B66083" w:rsidRDefault="00B66083">
                                  <w:pPr>
                                    <w:spacing w:line="220" w:lineRule="exact"/>
                                    <w:jc w:val="center"/>
                                    <w:rPr>
                                      <w:rFonts w:ascii="標楷體" w:eastAsia="標楷體" w:hAnsi="標楷體"/>
                                      <w:color w:val="000000"/>
                                      <w:sz w:val="20"/>
                                    </w:rPr>
                                  </w:pPr>
                                  <w:r>
                                    <w:rPr>
                                      <w:rFonts w:ascii="標楷體" w:eastAsia="標楷體" w:hAnsi="標楷體" w:hint="eastAsia"/>
                                      <w:color w:val="000000"/>
                                      <w:sz w:val="20"/>
                                    </w:rPr>
                                    <w:t>113</w:t>
                                  </w:r>
                                </w:p>
                              </w:tc>
                            </w:tr>
                            <w:tr w:rsidR="00B66083" w14:paraId="586A5FB3" w14:textId="77777777" w:rsidTr="004B0E9F">
                              <w:trPr>
                                <w:trHeight w:val="810"/>
                              </w:trPr>
                              <w:tc>
                                <w:tcPr>
                                  <w:tcW w:w="826" w:type="dxa"/>
                                  <w:vMerge/>
                                  <w:tcBorders>
                                    <w:top w:val="single" w:sz="4" w:space="0" w:color="auto"/>
                                    <w:left w:val="single" w:sz="4" w:space="0" w:color="auto"/>
                                    <w:bottom w:val="single" w:sz="4" w:space="0" w:color="auto"/>
                                    <w:right w:val="single" w:sz="4" w:space="0" w:color="auto"/>
                                  </w:tcBorders>
                                  <w:vAlign w:val="center"/>
                                  <w:hideMark/>
                                </w:tcPr>
                                <w:p w14:paraId="38B127CD" w14:textId="77777777" w:rsidR="00B66083" w:rsidRDefault="00B66083">
                                  <w:pPr>
                                    <w:widowControl/>
                                    <w:rPr>
                                      <w:rFonts w:ascii="標楷體" w:eastAsia="標楷體" w:hAnsi="標楷體"/>
                                      <w:color w:val="000000"/>
                                      <w:sz w:val="20"/>
                                    </w:rPr>
                                  </w:pPr>
                                </w:p>
                              </w:tc>
                              <w:tc>
                                <w:tcPr>
                                  <w:tcW w:w="824" w:type="dxa"/>
                                  <w:tcBorders>
                                    <w:top w:val="nil"/>
                                    <w:left w:val="nil"/>
                                    <w:bottom w:val="single" w:sz="4" w:space="0" w:color="auto"/>
                                    <w:right w:val="single" w:sz="4" w:space="0" w:color="auto"/>
                                  </w:tcBorders>
                                  <w:vAlign w:val="center"/>
                                  <w:hideMark/>
                                </w:tcPr>
                                <w:p w14:paraId="7F50C001" w14:textId="77777777" w:rsidR="00B66083" w:rsidRDefault="00B66083">
                                  <w:pPr>
                                    <w:spacing w:line="240" w:lineRule="exact"/>
                                    <w:jc w:val="center"/>
                                    <w:rPr>
                                      <w:rFonts w:ascii="標楷體" w:eastAsia="標楷體" w:hAnsi="標楷體"/>
                                      <w:color w:val="000000"/>
                                      <w:spacing w:val="-8"/>
                                      <w:sz w:val="20"/>
                                    </w:rPr>
                                  </w:pPr>
                                  <w:r>
                                    <w:rPr>
                                      <w:rFonts w:ascii="標楷體" w:eastAsia="標楷體" w:hAnsi="標楷體" w:hint="eastAsia"/>
                                      <w:color w:val="000000"/>
                                      <w:spacing w:val="-8"/>
                                      <w:sz w:val="20"/>
                                    </w:rPr>
                                    <w:t>參加人數合計(A)</w:t>
                                  </w:r>
                                </w:p>
                              </w:tc>
                              <w:tc>
                                <w:tcPr>
                                  <w:tcW w:w="814" w:type="dxa"/>
                                  <w:tcBorders>
                                    <w:top w:val="nil"/>
                                    <w:left w:val="nil"/>
                                    <w:bottom w:val="single" w:sz="4" w:space="0" w:color="auto"/>
                                    <w:right w:val="single" w:sz="4" w:space="0" w:color="auto"/>
                                  </w:tcBorders>
                                  <w:vAlign w:val="center"/>
                                  <w:hideMark/>
                                </w:tcPr>
                                <w:p w14:paraId="57E2F314" w14:textId="77777777" w:rsidR="00B66083" w:rsidRDefault="00B66083">
                                  <w:pPr>
                                    <w:spacing w:line="240" w:lineRule="exact"/>
                                    <w:jc w:val="center"/>
                                    <w:rPr>
                                      <w:rFonts w:ascii="標楷體" w:eastAsia="標楷體" w:hAnsi="標楷體"/>
                                      <w:color w:val="000000"/>
                                      <w:spacing w:val="-12"/>
                                      <w:sz w:val="20"/>
                                    </w:rPr>
                                  </w:pPr>
                                  <w:r>
                                    <w:rPr>
                                      <w:rFonts w:ascii="標楷體" w:eastAsia="標楷體" w:hAnsi="標楷體" w:hint="eastAsia"/>
                                      <w:color w:val="000000"/>
                                      <w:spacing w:val="-12"/>
                                      <w:sz w:val="20"/>
                                    </w:rPr>
                                    <w:t>110年底65歲以上人口數(B)</w:t>
                                  </w:r>
                                </w:p>
                              </w:tc>
                              <w:tc>
                                <w:tcPr>
                                  <w:tcW w:w="822" w:type="dxa"/>
                                  <w:tcBorders>
                                    <w:top w:val="nil"/>
                                    <w:left w:val="nil"/>
                                    <w:bottom w:val="single" w:sz="4" w:space="0" w:color="auto"/>
                                    <w:right w:val="double" w:sz="4" w:space="0" w:color="auto"/>
                                  </w:tcBorders>
                                  <w:vAlign w:val="center"/>
                                  <w:hideMark/>
                                </w:tcPr>
                                <w:p w14:paraId="27B4F335" w14:textId="77777777" w:rsidR="004B0E9F" w:rsidRPr="004B0E9F" w:rsidRDefault="00B66083" w:rsidP="004B0E9F">
                                  <w:pPr>
                                    <w:spacing w:line="240" w:lineRule="exact"/>
                                    <w:ind w:leftChars="-29" w:left="-70" w:rightChars="-11" w:right="-26"/>
                                    <w:jc w:val="center"/>
                                    <w:rPr>
                                      <w:rFonts w:ascii="標楷體" w:eastAsia="標楷體" w:hAnsi="標楷體"/>
                                      <w:color w:val="000000"/>
                                      <w:spacing w:val="-20"/>
                                      <w:sz w:val="20"/>
                                    </w:rPr>
                                  </w:pPr>
                                  <w:r w:rsidRPr="004B0E9F">
                                    <w:rPr>
                                      <w:rFonts w:ascii="標楷體" w:eastAsia="標楷體" w:hAnsi="標楷體" w:hint="eastAsia"/>
                                      <w:color w:val="000000"/>
                                      <w:spacing w:val="-20"/>
                                      <w:sz w:val="20"/>
                                    </w:rPr>
                                    <w:t>長者參與率</w:t>
                                  </w:r>
                                </w:p>
                                <w:p w14:paraId="389424E7" w14:textId="1A744A34" w:rsidR="00B66083" w:rsidRPr="004B0E9F" w:rsidRDefault="00B66083" w:rsidP="004B0E9F">
                                  <w:pPr>
                                    <w:spacing w:line="240" w:lineRule="exact"/>
                                    <w:ind w:leftChars="-77" w:left="-185" w:rightChars="-58" w:right="-139"/>
                                    <w:jc w:val="center"/>
                                    <w:rPr>
                                      <w:rFonts w:ascii="標楷體" w:eastAsia="標楷體" w:hAnsi="標楷體"/>
                                      <w:color w:val="000000"/>
                                      <w:spacing w:val="-20"/>
                                      <w:sz w:val="20"/>
                                    </w:rPr>
                                  </w:pPr>
                                  <w:r w:rsidRPr="004B0E9F">
                                    <w:rPr>
                                      <w:rFonts w:ascii="標楷體" w:eastAsia="標楷體" w:hAnsi="標楷體" w:hint="eastAsia"/>
                                      <w:color w:val="000000"/>
                                      <w:spacing w:val="-20"/>
                                      <w:sz w:val="20"/>
                                    </w:rPr>
                                    <w:t>(A/B</w:t>
                                  </w:r>
                                  <w:r w:rsidR="004B0E9F" w:rsidRPr="004B0E9F">
                                    <w:rPr>
                                      <w:rFonts w:ascii="標楷體" w:eastAsia="標楷體" w:hAnsi="標楷體" w:hint="eastAsia"/>
                                      <w:color w:val="000000"/>
                                      <w:spacing w:val="-20"/>
                                      <w:sz w:val="20"/>
                                    </w:rPr>
                                    <w:t>×1</w:t>
                                  </w:r>
                                  <w:r w:rsidR="004B0E9F" w:rsidRPr="004B0E9F">
                                    <w:rPr>
                                      <w:rFonts w:ascii="標楷體" w:eastAsia="標楷體" w:hAnsi="標楷體"/>
                                      <w:color w:val="000000"/>
                                      <w:spacing w:val="-20"/>
                                      <w:sz w:val="20"/>
                                    </w:rPr>
                                    <w:t>00</w:t>
                                  </w:r>
                                  <w:r w:rsidRPr="004B0E9F">
                                    <w:rPr>
                                      <w:rFonts w:ascii="標楷體" w:eastAsia="標楷體" w:hAnsi="標楷體" w:hint="eastAsia"/>
                                      <w:color w:val="000000"/>
                                      <w:spacing w:val="-20"/>
                                      <w:sz w:val="20"/>
                                    </w:rPr>
                                    <w:t>)</w:t>
                                  </w:r>
                                </w:p>
                              </w:tc>
                              <w:tc>
                                <w:tcPr>
                                  <w:tcW w:w="658" w:type="dxa"/>
                                  <w:tcBorders>
                                    <w:top w:val="nil"/>
                                    <w:left w:val="double" w:sz="4" w:space="0" w:color="auto"/>
                                    <w:bottom w:val="single" w:sz="4" w:space="0" w:color="auto"/>
                                    <w:right w:val="single" w:sz="4" w:space="0" w:color="auto"/>
                                  </w:tcBorders>
                                  <w:vAlign w:val="center"/>
                                  <w:hideMark/>
                                </w:tcPr>
                                <w:p w14:paraId="26587535" w14:textId="77777777" w:rsidR="00B66083" w:rsidRDefault="00B66083">
                                  <w:pPr>
                                    <w:spacing w:line="240" w:lineRule="exact"/>
                                    <w:jc w:val="center"/>
                                    <w:rPr>
                                      <w:rFonts w:ascii="標楷體" w:eastAsia="標楷體" w:hAnsi="標楷體"/>
                                      <w:color w:val="000000"/>
                                      <w:spacing w:val="-8"/>
                                      <w:sz w:val="20"/>
                                    </w:rPr>
                                  </w:pPr>
                                  <w:r>
                                    <w:rPr>
                                      <w:rFonts w:ascii="標楷體" w:eastAsia="標楷體" w:hAnsi="標楷體" w:hint="eastAsia"/>
                                      <w:color w:val="000000"/>
                                      <w:spacing w:val="-8"/>
                                      <w:sz w:val="20"/>
                                    </w:rPr>
                                    <w:t>參加人數合計(A)</w:t>
                                  </w:r>
                                </w:p>
                              </w:tc>
                              <w:tc>
                                <w:tcPr>
                                  <w:tcW w:w="858" w:type="dxa"/>
                                  <w:tcBorders>
                                    <w:top w:val="nil"/>
                                    <w:left w:val="nil"/>
                                    <w:bottom w:val="single" w:sz="4" w:space="0" w:color="auto"/>
                                    <w:right w:val="single" w:sz="4" w:space="0" w:color="auto"/>
                                  </w:tcBorders>
                                  <w:vAlign w:val="center"/>
                                  <w:hideMark/>
                                </w:tcPr>
                                <w:p w14:paraId="2A952A14" w14:textId="77777777" w:rsidR="00B66083" w:rsidRDefault="00B66083">
                                  <w:pPr>
                                    <w:spacing w:line="240" w:lineRule="exact"/>
                                    <w:jc w:val="center"/>
                                    <w:rPr>
                                      <w:rFonts w:ascii="標楷體" w:eastAsia="標楷體" w:hAnsi="標楷體"/>
                                      <w:color w:val="000000"/>
                                      <w:spacing w:val="-8"/>
                                      <w:sz w:val="20"/>
                                    </w:rPr>
                                  </w:pPr>
                                  <w:r>
                                    <w:rPr>
                                      <w:rFonts w:ascii="標楷體" w:eastAsia="標楷體" w:hAnsi="標楷體" w:hint="eastAsia"/>
                                      <w:color w:val="000000"/>
                                      <w:spacing w:val="-8"/>
                                      <w:sz w:val="20"/>
                                    </w:rPr>
                                    <w:t>111年底65歲以上人口數(B)</w:t>
                                  </w:r>
                                </w:p>
                              </w:tc>
                              <w:tc>
                                <w:tcPr>
                                  <w:tcW w:w="809" w:type="dxa"/>
                                  <w:tcBorders>
                                    <w:top w:val="nil"/>
                                    <w:left w:val="nil"/>
                                    <w:bottom w:val="single" w:sz="4" w:space="0" w:color="auto"/>
                                    <w:right w:val="double" w:sz="4" w:space="0" w:color="auto"/>
                                  </w:tcBorders>
                                  <w:vAlign w:val="center"/>
                                  <w:hideMark/>
                                </w:tcPr>
                                <w:p w14:paraId="05156E9D" w14:textId="77777777" w:rsidR="004B0E9F" w:rsidRPr="004B0E9F" w:rsidRDefault="004B0E9F" w:rsidP="004B0E9F">
                                  <w:pPr>
                                    <w:spacing w:line="240" w:lineRule="exact"/>
                                    <w:ind w:leftChars="-29" w:left="-70" w:rightChars="-11" w:right="-26"/>
                                    <w:jc w:val="center"/>
                                    <w:rPr>
                                      <w:rFonts w:ascii="標楷體" w:eastAsia="標楷體" w:hAnsi="標楷體"/>
                                      <w:color w:val="000000"/>
                                      <w:spacing w:val="-20"/>
                                      <w:sz w:val="20"/>
                                    </w:rPr>
                                  </w:pPr>
                                  <w:r w:rsidRPr="004B0E9F">
                                    <w:rPr>
                                      <w:rFonts w:ascii="標楷體" w:eastAsia="標楷體" w:hAnsi="標楷體" w:hint="eastAsia"/>
                                      <w:color w:val="000000"/>
                                      <w:spacing w:val="-20"/>
                                      <w:sz w:val="20"/>
                                    </w:rPr>
                                    <w:t>長者參與率</w:t>
                                  </w:r>
                                </w:p>
                                <w:p w14:paraId="377C011B" w14:textId="22412114" w:rsidR="00B66083" w:rsidRDefault="004B0E9F" w:rsidP="004B0E9F">
                                  <w:pPr>
                                    <w:spacing w:line="240" w:lineRule="exact"/>
                                    <w:jc w:val="center"/>
                                    <w:rPr>
                                      <w:rFonts w:ascii="標楷體" w:eastAsia="標楷體" w:hAnsi="標楷體"/>
                                      <w:color w:val="000000"/>
                                      <w:spacing w:val="-8"/>
                                      <w:sz w:val="20"/>
                                    </w:rPr>
                                  </w:pPr>
                                  <w:r w:rsidRPr="004B0E9F">
                                    <w:rPr>
                                      <w:rFonts w:ascii="標楷體" w:eastAsia="標楷體" w:hAnsi="標楷體" w:hint="eastAsia"/>
                                      <w:color w:val="000000"/>
                                      <w:spacing w:val="-20"/>
                                      <w:sz w:val="20"/>
                                    </w:rPr>
                                    <w:t>(A/B×1</w:t>
                                  </w:r>
                                  <w:r w:rsidRPr="004B0E9F">
                                    <w:rPr>
                                      <w:rFonts w:ascii="標楷體" w:eastAsia="標楷體" w:hAnsi="標楷體"/>
                                      <w:color w:val="000000"/>
                                      <w:spacing w:val="-20"/>
                                      <w:sz w:val="20"/>
                                    </w:rPr>
                                    <w:t>00</w:t>
                                  </w:r>
                                  <w:r w:rsidRPr="004B0E9F">
                                    <w:rPr>
                                      <w:rFonts w:ascii="標楷體" w:eastAsia="標楷體" w:hAnsi="標楷體" w:hint="eastAsia"/>
                                      <w:color w:val="000000"/>
                                      <w:spacing w:val="-20"/>
                                      <w:sz w:val="20"/>
                                    </w:rPr>
                                    <w:t>)</w:t>
                                  </w:r>
                                </w:p>
                              </w:tc>
                              <w:tc>
                                <w:tcPr>
                                  <w:tcW w:w="658" w:type="dxa"/>
                                  <w:tcBorders>
                                    <w:top w:val="nil"/>
                                    <w:left w:val="double" w:sz="4" w:space="0" w:color="auto"/>
                                    <w:bottom w:val="single" w:sz="4" w:space="0" w:color="auto"/>
                                    <w:right w:val="single" w:sz="4" w:space="0" w:color="auto"/>
                                  </w:tcBorders>
                                  <w:vAlign w:val="center"/>
                                  <w:hideMark/>
                                </w:tcPr>
                                <w:p w14:paraId="2B43395C" w14:textId="77777777" w:rsidR="00B66083" w:rsidRDefault="00B66083">
                                  <w:pPr>
                                    <w:spacing w:line="240" w:lineRule="exact"/>
                                    <w:jc w:val="center"/>
                                    <w:rPr>
                                      <w:rFonts w:ascii="標楷體" w:eastAsia="標楷體" w:hAnsi="標楷體"/>
                                      <w:color w:val="000000"/>
                                      <w:spacing w:val="-8"/>
                                      <w:sz w:val="20"/>
                                    </w:rPr>
                                  </w:pPr>
                                  <w:r>
                                    <w:rPr>
                                      <w:rFonts w:ascii="標楷體" w:eastAsia="標楷體" w:hAnsi="標楷體" w:hint="eastAsia"/>
                                      <w:color w:val="000000"/>
                                      <w:spacing w:val="-8"/>
                                      <w:sz w:val="20"/>
                                    </w:rPr>
                                    <w:t>參加人數合計(A)</w:t>
                                  </w:r>
                                </w:p>
                              </w:tc>
                              <w:tc>
                                <w:tcPr>
                                  <w:tcW w:w="814" w:type="dxa"/>
                                  <w:tcBorders>
                                    <w:top w:val="nil"/>
                                    <w:left w:val="nil"/>
                                    <w:bottom w:val="single" w:sz="4" w:space="0" w:color="auto"/>
                                    <w:right w:val="single" w:sz="4" w:space="0" w:color="auto"/>
                                  </w:tcBorders>
                                  <w:vAlign w:val="center"/>
                                  <w:hideMark/>
                                </w:tcPr>
                                <w:p w14:paraId="4CFC3C03" w14:textId="77777777" w:rsidR="00B66083" w:rsidRDefault="00B66083">
                                  <w:pPr>
                                    <w:spacing w:line="240" w:lineRule="exact"/>
                                    <w:jc w:val="center"/>
                                    <w:rPr>
                                      <w:rFonts w:ascii="標楷體" w:eastAsia="標楷體" w:hAnsi="標楷體"/>
                                      <w:color w:val="000000"/>
                                      <w:spacing w:val="-8"/>
                                      <w:sz w:val="20"/>
                                    </w:rPr>
                                  </w:pPr>
                                  <w:r>
                                    <w:rPr>
                                      <w:rFonts w:ascii="標楷體" w:eastAsia="標楷體" w:hAnsi="標楷體" w:hint="eastAsia"/>
                                      <w:color w:val="000000"/>
                                      <w:spacing w:val="-8"/>
                                      <w:sz w:val="20"/>
                                    </w:rPr>
                                    <w:t>112年底65歲以上人口數(B)</w:t>
                                  </w:r>
                                </w:p>
                              </w:tc>
                              <w:tc>
                                <w:tcPr>
                                  <w:tcW w:w="798" w:type="dxa"/>
                                  <w:tcBorders>
                                    <w:top w:val="nil"/>
                                    <w:left w:val="nil"/>
                                    <w:bottom w:val="single" w:sz="4" w:space="0" w:color="auto"/>
                                    <w:right w:val="single" w:sz="4" w:space="0" w:color="auto"/>
                                  </w:tcBorders>
                                  <w:vAlign w:val="center"/>
                                  <w:hideMark/>
                                </w:tcPr>
                                <w:p w14:paraId="5FE82540" w14:textId="77777777" w:rsidR="004B0E9F" w:rsidRPr="004B0E9F" w:rsidRDefault="004B0E9F" w:rsidP="004B0E9F">
                                  <w:pPr>
                                    <w:spacing w:line="240" w:lineRule="exact"/>
                                    <w:ind w:leftChars="-29" w:left="-70" w:rightChars="-11" w:right="-26"/>
                                    <w:jc w:val="center"/>
                                    <w:rPr>
                                      <w:rFonts w:ascii="標楷體" w:eastAsia="標楷體" w:hAnsi="標楷體"/>
                                      <w:color w:val="000000"/>
                                      <w:spacing w:val="-20"/>
                                      <w:sz w:val="20"/>
                                    </w:rPr>
                                  </w:pPr>
                                  <w:r w:rsidRPr="004B0E9F">
                                    <w:rPr>
                                      <w:rFonts w:ascii="標楷體" w:eastAsia="標楷體" w:hAnsi="標楷體" w:hint="eastAsia"/>
                                      <w:color w:val="000000"/>
                                      <w:spacing w:val="-20"/>
                                      <w:sz w:val="20"/>
                                    </w:rPr>
                                    <w:t>長者參與率</w:t>
                                  </w:r>
                                </w:p>
                                <w:p w14:paraId="039724C6" w14:textId="67E9FC63" w:rsidR="00B66083" w:rsidRDefault="004B0E9F" w:rsidP="004B0E9F">
                                  <w:pPr>
                                    <w:spacing w:line="240" w:lineRule="exact"/>
                                    <w:jc w:val="center"/>
                                    <w:rPr>
                                      <w:rFonts w:ascii="標楷體" w:eastAsia="標楷體" w:hAnsi="標楷體"/>
                                      <w:color w:val="000000"/>
                                      <w:spacing w:val="-8"/>
                                      <w:sz w:val="20"/>
                                    </w:rPr>
                                  </w:pPr>
                                  <w:r w:rsidRPr="004B0E9F">
                                    <w:rPr>
                                      <w:rFonts w:ascii="標楷體" w:eastAsia="標楷體" w:hAnsi="標楷體" w:hint="eastAsia"/>
                                      <w:color w:val="000000"/>
                                      <w:spacing w:val="-20"/>
                                      <w:sz w:val="20"/>
                                    </w:rPr>
                                    <w:t>(A/B×1</w:t>
                                  </w:r>
                                  <w:r w:rsidRPr="004B0E9F">
                                    <w:rPr>
                                      <w:rFonts w:ascii="標楷體" w:eastAsia="標楷體" w:hAnsi="標楷體"/>
                                      <w:color w:val="000000"/>
                                      <w:spacing w:val="-20"/>
                                      <w:sz w:val="20"/>
                                    </w:rPr>
                                    <w:t>00</w:t>
                                  </w:r>
                                  <w:r w:rsidRPr="004B0E9F">
                                    <w:rPr>
                                      <w:rFonts w:ascii="標楷體" w:eastAsia="標楷體" w:hAnsi="標楷體" w:hint="eastAsia"/>
                                      <w:color w:val="000000"/>
                                      <w:spacing w:val="-20"/>
                                      <w:sz w:val="20"/>
                                    </w:rPr>
                                    <w:t>)</w:t>
                                  </w:r>
                                </w:p>
                              </w:tc>
                            </w:tr>
                            <w:tr w:rsidR="00B66083" w14:paraId="4CE76EF1" w14:textId="77777777" w:rsidTr="004B0E9F">
                              <w:trPr>
                                <w:trHeight w:val="312"/>
                              </w:trPr>
                              <w:tc>
                                <w:tcPr>
                                  <w:tcW w:w="826" w:type="dxa"/>
                                  <w:tcBorders>
                                    <w:top w:val="nil"/>
                                    <w:left w:val="single" w:sz="4" w:space="0" w:color="auto"/>
                                    <w:bottom w:val="single" w:sz="4" w:space="0" w:color="auto"/>
                                    <w:right w:val="single" w:sz="4" w:space="0" w:color="auto"/>
                                  </w:tcBorders>
                                  <w:noWrap/>
                                  <w:vAlign w:val="center"/>
                                  <w:hideMark/>
                                </w:tcPr>
                                <w:p w14:paraId="03E63078" w14:textId="621AE18D" w:rsidR="00B66083" w:rsidRDefault="004B0E9F">
                                  <w:pPr>
                                    <w:spacing w:line="260" w:lineRule="exact"/>
                                    <w:jc w:val="center"/>
                                    <w:rPr>
                                      <w:rFonts w:ascii="標楷體" w:eastAsia="標楷體" w:hAnsi="標楷體"/>
                                      <w:b/>
                                      <w:bCs/>
                                      <w:color w:val="000000"/>
                                      <w:sz w:val="20"/>
                                    </w:rPr>
                                  </w:pPr>
                                  <w:r>
                                    <w:rPr>
                                      <w:rFonts w:ascii="標楷體" w:eastAsia="標楷體" w:hAnsi="標楷體" w:hint="eastAsia"/>
                                      <w:b/>
                                      <w:bCs/>
                                      <w:color w:val="000000"/>
                                      <w:sz w:val="20"/>
                                    </w:rPr>
                                    <w:t>合</w:t>
                                  </w:r>
                                  <w:r w:rsidR="00B66083">
                                    <w:rPr>
                                      <w:rFonts w:ascii="標楷體" w:eastAsia="標楷體" w:hAnsi="標楷體" w:hint="eastAsia"/>
                                      <w:b/>
                                      <w:bCs/>
                                      <w:color w:val="000000"/>
                                      <w:sz w:val="20"/>
                                    </w:rPr>
                                    <w:t>計</w:t>
                                  </w:r>
                                </w:p>
                              </w:tc>
                              <w:tc>
                                <w:tcPr>
                                  <w:tcW w:w="824" w:type="dxa"/>
                                  <w:tcBorders>
                                    <w:top w:val="nil"/>
                                    <w:left w:val="nil"/>
                                    <w:bottom w:val="single" w:sz="4" w:space="0" w:color="auto"/>
                                    <w:right w:val="single" w:sz="4" w:space="0" w:color="auto"/>
                                  </w:tcBorders>
                                  <w:noWrap/>
                                  <w:vAlign w:val="center"/>
                                  <w:hideMark/>
                                </w:tcPr>
                                <w:p w14:paraId="30DE2849"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20,453</w:t>
                                  </w:r>
                                </w:p>
                              </w:tc>
                              <w:tc>
                                <w:tcPr>
                                  <w:tcW w:w="814" w:type="dxa"/>
                                  <w:tcBorders>
                                    <w:top w:val="nil"/>
                                    <w:left w:val="nil"/>
                                    <w:bottom w:val="single" w:sz="4" w:space="0" w:color="auto"/>
                                    <w:right w:val="single" w:sz="4" w:space="0" w:color="auto"/>
                                  </w:tcBorders>
                                  <w:noWrap/>
                                  <w:vAlign w:val="center"/>
                                  <w:hideMark/>
                                </w:tcPr>
                                <w:p w14:paraId="55BC574E"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504,106</w:t>
                                  </w:r>
                                </w:p>
                              </w:tc>
                              <w:tc>
                                <w:tcPr>
                                  <w:tcW w:w="822" w:type="dxa"/>
                                  <w:tcBorders>
                                    <w:top w:val="nil"/>
                                    <w:left w:val="nil"/>
                                    <w:bottom w:val="single" w:sz="4" w:space="0" w:color="auto"/>
                                    <w:right w:val="double" w:sz="4" w:space="0" w:color="auto"/>
                                  </w:tcBorders>
                                  <w:noWrap/>
                                  <w:vAlign w:val="center"/>
                                  <w:hideMark/>
                                </w:tcPr>
                                <w:p w14:paraId="356E1C8F"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4.06</w:t>
                                  </w:r>
                                </w:p>
                              </w:tc>
                              <w:tc>
                                <w:tcPr>
                                  <w:tcW w:w="658" w:type="dxa"/>
                                  <w:tcBorders>
                                    <w:top w:val="nil"/>
                                    <w:left w:val="double" w:sz="4" w:space="0" w:color="auto"/>
                                    <w:bottom w:val="single" w:sz="4" w:space="0" w:color="auto"/>
                                    <w:right w:val="single" w:sz="4" w:space="0" w:color="auto"/>
                                  </w:tcBorders>
                                  <w:noWrap/>
                                  <w:vAlign w:val="center"/>
                                  <w:hideMark/>
                                </w:tcPr>
                                <w:p w14:paraId="5C4A6FE4"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36,586</w:t>
                                  </w:r>
                                </w:p>
                              </w:tc>
                              <w:tc>
                                <w:tcPr>
                                  <w:tcW w:w="858" w:type="dxa"/>
                                  <w:tcBorders>
                                    <w:top w:val="nil"/>
                                    <w:left w:val="nil"/>
                                    <w:bottom w:val="single" w:sz="4" w:space="0" w:color="auto"/>
                                    <w:right w:val="single" w:sz="4" w:space="0" w:color="auto"/>
                                  </w:tcBorders>
                                  <w:noWrap/>
                                  <w:vAlign w:val="center"/>
                                  <w:hideMark/>
                                </w:tcPr>
                                <w:p w14:paraId="2EB364C8" w14:textId="77777777" w:rsidR="00B66083" w:rsidRDefault="00B66083">
                                  <w:pPr>
                                    <w:spacing w:line="260" w:lineRule="exact"/>
                                    <w:jc w:val="right"/>
                                    <w:rPr>
                                      <w:rFonts w:ascii="標楷體" w:eastAsia="標楷體" w:hAnsi="標楷體"/>
                                      <w:b/>
                                      <w:bCs/>
                                      <w:sz w:val="20"/>
                                    </w:rPr>
                                  </w:pPr>
                                  <w:r>
                                    <w:rPr>
                                      <w:rFonts w:ascii="標楷體" w:eastAsia="標楷體" w:hAnsi="標楷體" w:hint="eastAsia"/>
                                      <w:b/>
                                      <w:bCs/>
                                      <w:sz w:val="20"/>
                                    </w:rPr>
                                    <w:t>518,594</w:t>
                                  </w:r>
                                </w:p>
                              </w:tc>
                              <w:tc>
                                <w:tcPr>
                                  <w:tcW w:w="809" w:type="dxa"/>
                                  <w:tcBorders>
                                    <w:top w:val="nil"/>
                                    <w:left w:val="nil"/>
                                    <w:bottom w:val="single" w:sz="4" w:space="0" w:color="auto"/>
                                    <w:right w:val="double" w:sz="4" w:space="0" w:color="auto"/>
                                  </w:tcBorders>
                                  <w:noWrap/>
                                  <w:vAlign w:val="center"/>
                                  <w:hideMark/>
                                </w:tcPr>
                                <w:p w14:paraId="332E1629"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7.05</w:t>
                                  </w:r>
                                </w:p>
                              </w:tc>
                              <w:tc>
                                <w:tcPr>
                                  <w:tcW w:w="658" w:type="dxa"/>
                                  <w:tcBorders>
                                    <w:top w:val="nil"/>
                                    <w:left w:val="double" w:sz="4" w:space="0" w:color="auto"/>
                                    <w:bottom w:val="single" w:sz="4" w:space="0" w:color="auto"/>
                                    <w:right w:val="single" w:sz="4" w:space="0" w:color="auto"/>
                                  </w:tcBorders>
                                  <w:noWrap/>
                                  <w:vAlign w:val="center"/>
                                  <w:hideMark/>
                                </w:tcPr>
                                <w:p w14:paraId="0A150401"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33,103</w:t>
                                  </w:r>
                                </w:p>
                              </w:tc>
                              <w:tc>
                                <w:tcPr>
                                  <w:tcW w:w="814" w:type="dxa"/>
                                  <w:tcBorders>
                                    <w:top w:val="nil"/>
                                    <w:left w:val="nil"/>
                                    <w:bottom w:val="single" w:sz="4" w:space="0" w:color="auto"/>
                                    <w:right w:val="single" w:sz="4" w:space="0" w:color="auto"/>
                                  </w:tcBorders>
                                  <w:noWrap/>
                                  <w:vAlign w:val="center"/>
                                  <w:hideMark/>
                                </w:tcPr>
                                <w:p w14:paraId="63475D6C" w14:textId="77777777" w:rsidR="00B66083" w:rsidRDefault="00B66083">
                                  <w:pPr>
                                    <w:spacing w:line="260" w:lineRule="exact"/>
                                    <w:jc w:val="right"/>
                                    <w:rPr>
                                      <w:rFonts w:ascii="標楷體" w:eastAsia="標楷體" w:hAnsi="標楷體"/>
                                      <w:b/>
                                      <w:bCs/>
                                      <w:sz w:val="20"/>
                                    </w:rPr>
                                  </w:pPr>
                                  <w:r>
                                    <w:rPr>
                                      <w:rFonts w:ascii="標楷體" w:eastAsia="標楷體" w:hAnsi="標楷體" w:hint="eastAsia"/>
                                      <w:b/>
                                      <w:bCs/>
                                      <w:sz w:val="20"/>
                                    </w:rPr>
                                    <w:t>553,155</w:t>
                                  </w:r>
                                </w:p>
                              </w:tc>
                              <w:tc>
                                <w:tcPr>
                                  <w:tcW w:w="798" w:type="dxa"/>
                                  <w:tcBorders>
                                    <w:top w:val="nil"/>
                                    <w:left w:val="nil"/>
                                    <w:bottom w:val="single" w:sz="4" w:space="0" w:color="auto"/>
                                    <w:right w:val="single" w:sz="4" w:space="0" w:color="auto"/>
                                  </w:tcBorders>
                                  <w:noWrap/>
                                  <w:vAlign w:val="center"/>
                                  <w:hideMark/>
                                </w:tcPr>
                                <w:p w14:paraId="43D7E7E1"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5.98</w:t>
                                  </w:r>
                                </w:p>
                              </w:tc>
                            </w:tr>
                            <w:tr w:rsidR="00B66083" w14:paraId="6329516E" w14:textId="77777777" w:rsidTr="004B0E9F">
                              <w:trPr>
                                <w:trHeight w:val="283"/>
                              </w:trPr>
                              <w:tc>
                                <w:tcPr>
                                  <w:tcW w:w="826" w:type="dxa"/>
                                  <w:tcBorders>
                                    <w:top w:val="single" w:sz="4" w:space="0" w:color="auto"/>
                                    <w:left w:val="single" w:sz="4" w:space="0" w:color="auto"/>
                                    <w:bottom w:val="single" w:sz="4" w:space="0" w:color="auto"/>
                                    <w:right w:val="single" w:sz="4" w:space="0" w:color="auto"/>
                                  </w:tcBorders>
                                  <w:noWrap/>
                                  <w:vAlign w:val="center"/>
                                  <w:hideMark/>
                                </w:tcPr>
                                <w:p w14:paraId="6597E2F9"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松山區</w:t>
                                  </w:r>
                                </w:p>
                              </w:tc>
                              <w:tc>
                                <w:tcPr>
                                  <w:tcW w:w="824" w:type="dxa"/>
                                  <w:tcBorders>
                                    <w:top w:val="single" w:sz="4" w:space="0" w:color="auto"/>
                                    <w:left w:val="nil"/>
                                    <w:bottom w:val="single" w:sz="4" w:space="0" w:color="auto"/>
                                    <w:right w:val="single" w:sz="4" w:space="0" w:color="auto"/>
                                  </w:tcBorders>
                                  <w:noWrap/>
                                  <w:vAlign w:val="center"/>
                                  <w:hideMark/>
                                </w:tcPr>
                                <w:p w14:paraId="0EEB58F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1,050</w:t>
                                  </w:r>
                                </w:p>
                              </w:tc>
                              <w:tc>
                                <w:tcPr>
                                  <w:tcW w:w="814" w:type="dxa"/>
                                  <w:tcBorders>
                                    <w:top w:val="single" w:sz="4" w:space="0" w:color="auto"/>
                                    <w:left w:val="nil"/>
                                    <w:bottom w:val="single" w:sz="4" w:space="0" w:color="auto"/>
                                    <w:right w:val="single" w:sz="4" w:space="0" w:color="auto"/>
                                  </w:tcBorders>
                                  <w:noWrap/>
                                  <w:vAlign w:val="center"/>
                                  <w:hideMark/>
                                </w:tcPr>
                                <w:p w14:paraId="75C1459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40,942</w:t>
                                  </w:r>
                                </w:p>
                              </w:tc>
                              <w:tc>
                                <w:tcPr>
                                  <w:tcW w:w="822" w:type="dxa"/>
                                  <w:tcBorders>
                                    <w:top w:val="single" w:sz="4" w:space="0" w:color="auto"/>
                                    <w:left w:val="nil"/>
                                    <w:bottom w:val="single" w:sz="4" w:space="0" w:color="auto"/>
                                    <w:right w:val="double" w:sz="4" w:space="0" w:color="auto"/>
                                  </w:tcBorders>
                                  <w:noWrap/>
                                  <w:vAlign w:val="center"/>
                                  <w:hideMark/>
                                </w:tcPr>
                                <w:p w14:paraId="1297725F"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2.56</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570B691F"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2,634</w:t>
                                  </w:r>
                                </w:p>
                              </w:tc>
                              <w:tc>
                                <w:tcPr>
                                  <w:tcW w:w="858" w:type="dxa"/>
                                  <w:tcBorders>
                                    <w:top w:val="single" w:sz="4" w:space="0" w:color="auto"/>
                                    <w:left w:val="nil"/>
                                    <w:bottom w:val="single" w:sz="4" w:space="0" w:color="auto"/>
                                    <w:right w:val="single" w:sz="4" w:space="0" w:color="auto"/>
                                  </w:tcBorders>
                                  <w:noWrap/>
                                  <w:vAlign w:val="center"/>
                                  <w:hideMark/>
                                </w:tcPr>
                                <w:p w14:paraId="6BCCB67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41,802</w:t>
                                  </w:r>
                                </w:p>
                              </w:tc>
                              <w:tc>
                                <w:tcPr>
                                  <w:tcW w:w="809" w:type="dxa"/>
                                  <w:tcBorders>
                                    <w:top w:val="single" w:sz="4" w:space="0" w:color="auto"/>
                                    <w:left w:val="nil"/>
                                    <w:bottom w:val="single" w:sz="4" w:space="0" w:color="auto"/>
                                    <w:right w:val="double" w:sz="4" w:space="0" w:color="auto"/>
                                  </w:tcBorders>
                                  <w:noWrap/>
                                  <w:vAlign w:val="center"/>
                                  <w:hideMark/>
                                </w:tcPr>
                                <w:p w14:paraId="27808B6F"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6.30</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0971EE94"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2,176</w:t>
                                  </w:r>
                                </w:p>
                              </w:tc>
                              <w:tc>
                                <w:tcPr>
                                  <w:tcW w:w="814" w:type="dxa"/>
                                  <w:tcBorders>
                                    <w:top w:val="single" w:sz="4" w:space="0" w:color="auto"/>
                                    <w:left w:val="nil"/>
                                    <w:bottom w:val="single" w:sz="4" w:space="0" w:color="auto"/>
                                    <w:right w:val="single" w:sz="4" w:space="0" w:color="auto"/>
                                  </w:tcBorders>
                                  <w:noWrap/>
                                  <w:vAlign w:val="center"/>
                                  <w:hideMark/>
                                </w:tcPr>
                                <w:p w14:paraId="72DA61A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44,701</w:t>
                                  </w:r>
                                </w:p>
                              </w:tc>
                              <w:tc>
                                <w:tcPr>
                                  <w:tcW w:w="798" w:type="dxa"/>
                                  <w:tcBorders>
                                    <w:top w:val="single" w:sz="4" w:space="0" w:color="auto"/>
                                    <w:left w:val="nil"/>
                                    <w:bottom w:val="single" w:sz="4" w:space="0" w:color="auto"/>
                                    <w:right w:val="single" w:sz="4" w:space="0" w:color="auto"/>
                                  </w:tcBorders>
                                  <w:noWrap/>
                                  <w:vAlign w:val="center"/>
                                  <w:hideMark/>
                                </w:tcPr>
                                <w:p w14:paraId="3EE14538"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4.87</w:t>
                                  </w:r>
                                </w:p>
                              </w:tc>
                            </w:tr>
                            <w:tr w:rsidR="00B66083" w14:paraId="019E7A12" w14:textId="77777777" w:rsidTr="004B0E9F">
                              <w:trPr>
                                <w:trHeight w:val="283"/>
                              </w:trPr>
                              <w:tc>
                                <w:tcPr>
                                  <w:tcW w:w="826" w:type="dxa"/>
                                  <w:tcBorders>
                                    <w:top w:val="single" w:sz="4" w:space="0" w:color="auto"/>
                                    <w:left w:val="single" w:sz="4" w:space="0" w:color="auto"/>
                                    <w:bottom w:val="single" w:sz="4" w:space="0" w:color="auto"/>
                                    <w:right w:val="single" w:sz="4" w:space="0" w:color="auto"/>
                                  </w:tcBorders>
                                  <w:noWrap/>
                                  <w:vAlign w:val="center"/>
                                  <w:hideMark/>
                                </w:tcPr>
                                <w:p w14:paraId="4325CBDE"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信義區</w:t>
                                  </w:r>
                                </w:p>
                              </w:tc>
                              <w:tc>
                                <w:tcPr>
                                  <w:tcW w:w="824" w:type="dxa"/>
                                  <w:tcBorders>
                                    <w:top w:val="single" w:sz="4" w:space="0" w:color="auto"/>
                                    <w:left w:val="nil"/>
                                    <w:bottom w:val="single" w:sz="4" w:space="0" w:color="auto"/>
                                    <w:right w:val="single" w:sz="4" w:space="0" w:color="auto"/>
                                  </w:tcBorders>
                                  <w:noWrap/>
                                  <w:vAlign w:val="center"/>
                                  <w:hideMark/>
                                </w:tcPr>
                                <w:p w14:paraId="1C0AD48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2,211</w:t>
                                  </w:r>
                                </w:p>
                              </w:tc>
                              <w:tc>
                                <w:tcPr>
                                  <w:tcW w:w="814" w:type="dxa"/>
                                  <w:tcBorders>
                                    <w:top w:val="single" w:sz="4" w:space="0" w:color="auto"/>
                                    <w:left w:val="nil"/>
                                    <w:bottom w:val="single" w:sz="4" w:space="0" w:color="auto"/>
                                    <w:right w:val="single" w:sz="4" w:space="0" w:color="auto"/>
                                  </w:tcBorders>
                                  <w:noWrap/>
                                  <w:vAlign w:val="center"/>
                                  <w:hideMark/>
                                </w:tcPr>
                                <w:p w14:paraId="6686E599"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45,070</w:t>
                                  </w:r>
                                </w:p>
                              </w:tc>
                              <w:tc>
                                <w:tcPr>
                                  <w:tcW w:w="822" w:type="dxa"/>
                                  <w:tcBorders>
                                    <w:top w:val="single" w:sz="4" w:space="0" w:color="auto"/>
                                    <w:left w:val="nil"/>
                                    <w:bottom w:val="single" w:sz="4" w:space="0" w:color="auto"/>
                                    <w:right w:val="double" w:sz="4" w:space="0" w:color="auto"/>
                                  </w:tcBorders>
                                  <w:noWrap/>
                                  <w:vAlign w:val="center"/>
                                  <w:hideMark/>
                                </w:tcPr>
                                <w:p w14:paraId="60231A23"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4.91</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3DAE9EB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3,474</w:t>
                                  </w:r>
                                </w:p>
                              </w:tc>
                              <w:tc>
                                <w:tcPr>
                                  <w:tcW w:w="858" w:type="dxa"/>
                                  <w:tcBorders>
                                    <w:top w:val="single" w:sz="4" w:space="0" w:color="auto"/>
                                    <w:left w:val="nil"/>
                                    <w:bottom w:val="single" w:sz="4" w:space="0" w:color="auto"/>
                                    <w:right w:val="single" w:sz="4" w:space="0" w:color="auto"/>
                                  </w:tcBorders>
                                  <w:noWrap/>
                                  <w:vAlign w:val="center"/>
                                  <w:hideMark/>
                                </w:tcPr>
                                <w:p w14:paraId="6F0B787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46,351</w:t>
                                  </w:r>
                                </w:p>
                              </w:tc>
                              <w:tc>
                                <w:tcPr>
                                  <w:tcW w:w="809" w:type="dxa"/>
                                  <w:tcBorders>
                                    <w:top w:val="single" w:sz="4" w:space="0" w:color="auto"/>
                                    <w:left w:val="nil"/>
                                    <w:bottom w:val="single" w:sz="4" w:space="0" w:color="auto"/>
                                    <w:right w:val="double" w:sz="4" w:space="0" w:color="auto"/>
                                  </w:tcBorders>
                                  <w:noWrap/>
                                  <w:vAlign w:val="center"/>
                                  <w:hideMark/>
                                </w:tcPr>
                                <w:p w14:paraId="261970F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7.49</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390F271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3,091</w:t>
                                  </w:r>
                                </w:p>
                              </w:tc>
                              <w:tc>
                                <w:tcPr>
                                  <w:tcW w:w="814" w:type="dxa"/>
                                  <w:tcBorders>
                                    <w:top w:val="single" w:sz="4" w:space="0" w:color="auto"/>
                                    <w:left w:val="nil"/>
                                    <w:bottom w:val="single" w:sz="4" w:space="0" w:color="auto"/>
                                    <w:right w:val="single" w:sz="4" w:space="0" w:color="auto"/>
                                  </w:tcBorders>
                                  <w:noWrap/>
                                  <w:vAlign w:val="center"/>
                                  <w:hideMark/>
                                </w:tcPr>
                                <w:p w14:paraId="155A9CA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49,429</w:t>
                                  </w:r>
                                </w:p>
                              </w:tc>
                              <w:tc>
                                <w:tcPr>
                                  <w:tcW w:w="798" w:type="dxa"/>
                                  <w:tcBorders>
                                    <w:top w:val="single" w:sz="4" w:space="0" w:color="auto"/>
                                    <w:left w:val="nil"/>
                                    <w:bottom w:val="single" w:sz="4" w:space="0" w:color="auto"/>
                                    <w:right w:val="single" w:sz="4" w:space="0" w:color="auto"/>
                                  </w:tcBorders>
                                  <w:noWrap/>
                                  <w:vAlign w:val="center"/>
                                  <w:hideMark/>
                                </w:tcPr>
                                <w:p w14:paraId="5037A414"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6.25</w:t>
                                  </w:r>
                                </w:p>
                              </w:tc>
                            </w:tr>
                            <w:tr w:rsidR="00B66083" w14:paraId="74F4DE19" w14:textId="77777777" w:rsidTr="004B0E9F">
                              <w:trPr>
                                <w:trHeight w:val="283"/>
                              </w:trPr>
                              <w:tc>
                                <w:tcPr>
                                  <w:tcW w:w="826" w:type="dxa"/>
                                  <w:tcBorders>
                                    <w:top w:val="single" w:sz="4" w:space="0" w:color="auto"/>
                                    <w:left w:val="single" w:sz="4" w:space="0" w:color="auto"/>
                                    <w:bottom w:val="single" w:sz="4" w:space="0" w:color="auto"/>
                                    <w:right w:val="single" w:sz="4" w:space="0" w:color="auto"/>
                                  </w:tcBorders>
                                  <w:noWrap/>
                                  <w:vAlign w:val="center"/>
                                  <w:hideMark/>
                                </w:tcPr>
                                <w:p w14:paraId="37BDC01C"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大安區</w:t>
                                  </w:r>
                                </w:p>
                              </w:tc>
                              <w:tc>
                                <w:tcPr>
                                  <w:tcW w:w="824" w:type="dxa"/>
                                  <w:tcBorders>
                                    <w:top w:val="single" w:sz="4" w:space="0" w:color="auto"/>
                                    <w:left w:val="nil"/>
                                    <w:bottom w:val="single" w:sz="4" w:space="0" w:color="auto"/>
                                    <w:right w:val="single" w:sz="4" w:space="0" w:color="auto"/>
                                  </w:tcBorders>
                                  <w:noWrap/>
                                  <w:vAlign w:val="center"/>
                                  <w:hideMark/>
                                </w:tcPr>
                                <w:p w14:paraId="057FB52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1,974</w:t>
                                  </w:r>
                                </w:p>
                              </w:tc>
                              <w:tc>
                                <w:tcPr>
                                  <w:tcW w:w="814" w:type="dxa"/>
                                  <w:tcBorders>
                                    <w:top w:val="single" w:sz="4" w:space="0" w:color="auto"/>
                                    <w:left w:val="nil"/>
                                    <w:bottom w:val="single" w:sz="4" w:space="0" w:color="auto"/>
                                    <w:right w:val="single" w:sz="4" w:space="0" w:color="auto"/>
                                  </w:tcBorders>
                                  <w:noWrap/>
                                  <w:vAlign w:val="center"/>
                                  <w:hideMark/>
                                </w:tcPr>
                                <w:p w14:paraId="0F55B3A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64,857</w:t>
                                  </w:r>
                                </w:p>
                              </w:tc>
                              <w:tc>
                                <w:tcPr>
                                  <w:tcW w:w="822" w:type="dxa"/>
                                  <w:tcBorders>
                                    <w:top w:val="single" w:sz="4" w:space="0" w:color="auto"/>
                                    <w:left w:val="nil"/>
                                    <w:bottom w:val="single" w:sz="4" w:space="0" w:color="auto"/>
                                    <w:right w:val="double" w:sz="4" w:space="0" w:color="auto"/>
                                  </w:tcBorders>
                                  <w:noWrap/>
                                  <w:vAlign w:val="center"/>
                                  <w:hideMark/>
                                </w:tcPr>
                                <w:p w14:paraId="65DA95C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3.04</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0DB14B1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3,682</w:t>
                                  </w:r>
                                </w:p>
                              </w:tc>
                              <w:tc>
                                <w:tcPr>
                                  <w:tcW w:w="858" w:type="dxa"/>
                                  <w:tcBorders>
                                    <w:top w:val="single" w:sz="4" w:space="0" w:color="auto"/>
                                    <w:left w:val="nil"/>
                                    <w:bottom w:val="single" w:sz="4" w:space="0" w:color="auto"/>
                                    <w:right w:val="single" w:sz="4" w:space="0" w:color="auto"/>
                                  </w:tcBorders>
                                  <w:noWrap/>
                                  <w:vAlign w:val="center"/>
                                  <w:hideMark/>
                                </w:tcPr>
                                <w:p w14:paraId="659A69A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65,344</w:t>
                                  </w:r>
                                </w:p>
                              </w:tc>
                              <w:tc>
                                <w:tcPr>
                                  <w:tcW w:w="809" w:type="dxa"/>
                                  <w:tcBorders>
                                    <w:top w:val="single" w:sz="4" w:space="0" w:color="auto"/>
                                    <w:left w:val="nil"/>
                                    <w:bottom w:val="single" w:sz="4" w:space="0" w:color="auto"/>
                                    <w:right w:val="double" w:sz="4" w:space="0" w:color="auto"/>
                                  </w:tcBorders>
                                  <w:noWrap/>
                                  <w:vAlign w:val="center"/>
                                  <w:hideMark/>
                                </w:tcPr>
                                <w:p w14:paraId="6FD308C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5.63</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0E04721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3,403</w:t>
                                  </w:r>
                                </w:p>
                              </w:tc>
                              <w:tc>
                                <w:tcPr>
                                  <w:tcW w:w="814" w:type="dxa"/>
                                  <w:tcBorders>
                                    <w:top w:val="single" w:sz="4" w:space="0" w:color="auto"/>
                                    <w:left w:val="nil"/>
                                    <w:bottom w:val="single" w:sz="4" w:space="0" w:color="auto"/>
                                    <w:right w:val="single" w:sz="4" w:space="0" w:color="auto"/>
                                  </w:tcBorders>
                                  <w:noWrap/>
                                  <w:vAlign w:val="center"/>
                                  <w:hideMark/>
                                </w:tcPr>
                                <w:p w14:paraId="5B9AA8D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70,196</w:t>
                                  </w:r>
                                </w:p>
                              </w:tc>
                              <w:tc>
                                <w:tcPr>
                                  <w:tcW w:w="798" w:type="dxa"/>
                                  <w:tcBorders>
                                    <w:top w:val="single" w:sz="4" w:space="0" w:color="auto"/>
                                    <w:left w:val="nil"/>
                                    <w:bottom w:val="single" w:sz="4" w:space="0" w:color="auto"/>
                                    <w:right w:val="single" w:sz="4" w:space="0" w:color="auto"/>
                                  </w:tcBorders>
                                  <w:noWrap/>
                                  <w:vAlign w:val="center"/>
                                  <w:hideMark/>
                                </w:tcPr>
                                <w:p w14:paraId="574B0B14"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4.85</w:t>
                                  </w:r>
                                </w:p>
                              </w:tc>
                            </w:tr>
                            <w:tr w:rsidR="00B66083" w14:paraId="0C0B1C2B" w14:textId="77777777" w:rsidTr="004B0E9F">
                              <w:trPr>
                                <w:trHeight w:val="283"/>
                              </w:trPr>
                              <w:tc>
                                <w:tcPr>
                                  <w:tcW w:w="826" w:type="dxa"/>
                                  <w:tcBorders>
                                    <w:top w:val="single" w:sz="4" w:space="0" w:color="auto"/>
                                    <w:left w:val="single" w:sz="4" w:space="0" w:color="auto"/>
                                    <w:bottom w:val="single" w:sz="4" w:space="0" w:color="auto"/>
                                    <w:right w:val="single" w:sz="4" w:space="0" w:color="auto"/>
                                  </w:tcBorders>
                                  <w:noWrap/>
                                  <w:vAlign w:val="center"/>
                                  <w:hideMark/>
                                </w:tcPr>
                                <w:p w14:paraId="70F94B22"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中山區</w:t>
                                  </w:r>
                                </w:p>
                              </w:tc>
                              <w:tc>
                                <w:tcPr>
                                  <w:tcW w:w="824" w:type="dxa"/>
                                  <w:tcBorders>
                                    <w:top w:val="single" w:sz="4" w:space="0" w:color="auto"/>
                                    <w:left w:val="nil"/>
                                    <w:bottom w:val="single" w:sz="4" w:space="0" w:color="auto"/>
                                    <w:right w:val="single" w:sz="4" w:space="0" w:color="auto"/>
                                  </w:tcBorders>
                                  <w:noWrap/>
                                  <w:vAlign w:val="center"/>
                                  <w:hideMark/>
                                </w:tcPr>
                                <w:p w14:paraId="26C4407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1,328</w:t>
                                  </w:r>
                                </w:p>
                              </w:tc>
                              <w:tc>
                                <w:tcPr>
                                  <w:tcW w:w="814" w:type="dxa"/>
                                  <w:tcBorders>
                                    <w:top w:val="single" w:sz="4" w:space="0" w:color="auto"/>
                                    <w:left w:val="nil"/>
                                    <w:bottom w:val="single" w:sz="4" w:space="0" w:color="auto"/>
                                    <w:right w:val="single" w:sz="4" w:space="0" w:color="auto"/>
                                  </w:tcBorders>
                                  <w:noWrap/>
                                  <w:vAlign w:val="center"/>
                                  <w:hideMark/>
                                </w:tcPr>
                                <w:p w14:paraId="51EA5C2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45,157</w:t>
                                  </w:r>
                                </w:p>
                              </w:tc>
                              <w:tc>
                                <w:tcPr>
                                  <w:tcW w:w="822" w:type="dxa"/>
                                  <w:tcBorders>
                                    <w:top w:val="single" w:sz="4" w:space="0" w:color="auto"/>
                                    <w:left w:val="nil"/>
                                    <w:bottom w:val="single" w:sz="4" w:space="0" w:color="auto"/>
                                    <w:right w:val="double" w:sz="4" w:space="0" w:color="auto"/>
                                  </w:tcBorders>
                                  <w:noWrap/>
                                  <w:vAlign w:val="center"/>
                                  <w:hideMark/>
                                </w:tcPr>
                                <w:p w14:paraId="26DE9AE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2.94</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44E9CCD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2,456</w:t>
                                  </w:r>
                                </w:p>
                              </w:tc>
                              <w:tc>
                                <w:tcPr>
                                  <w:tcW w:w="858" w:type="dxa"/>
                                  <w:tcBorders>
                                    <w:top w:val="single" w:sz="4" w:space="0" w:color="auto"/>
                                    <w:left w:val="nil"/>
                                    <w:bottom w:val="single" w:sz="4" w:space="0" w:color="auto"/>
                                    <w:right w:val="single" w:sz="4" w:space="0" w:color="auto"/>
                                  </w:tcBorders>
                                  <w:noWrap/>
                                  <w:vAlign w:val="center"/>
                                  <w:hideMark/>
                                </w:tcPr>
                                <w:p w14:paraId="58631E2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46,699</w:t>
                                  </w:r>
                                </w:p>
                              </w:tc>
                              <w:tc>
                                <w:tcPr>
                                  <w:tcW w:w="809" w:type="dxa"/>
                                  <w:tcBorders>
                                    <w:top w:val="single" w:sz="4" w:space="0" w:color="auto"/>
                                    <w:left w:val="nil"/>
                                    <w:bottom w:val="single" w:sz="4" w:space="0" w:color="auto"/>
                                    <w:right w:val="double" w:sz="4" w:space="0" w:color="auto"/>
                                  </w:tcBorders>
                                  <w:noWrap/>
                                  <w:vAlign w:val="center"/>
                                  <w:hideMark/>
                                </w:tcPr>
                                <w:p w14:paraId="6D89A3A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5.26</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5458087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2,323</w:t>
                                  </w:r>
                                </w:p>
                              </w:tc>
                              <w:tc>
                                <w:tcPr>
                                  <w:tcW w:w="814" w:type="dxa"/>
                                  <w:tcBorders>
                                    <w:top w:val="single" w:sz="4" w:space="0" w:color="auto"/>
                                    <w:left w:val="nil"/>
                                    <w:bottom w:val="single" w:sz="4" w:space="0" w:color="auto"/>
                                    <w:right w:val="single" w:sz="4" w:space="0" w:color="auto"/>
                                  </w:tcBorders>
                                  <w:noWrap/>
                                  <w:vAlign w:val="center"/>
                                  <w:hideMark/>
                                </w:tcPr>
                                <w:p w14:paraId="5048E20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49,942</w:t>
                                  </w:r>
                                </w:p>
                              </w:tc>
                              <w:tc>
                                <w:tcPr>
                                  <w:tcW w:w="798" w:type="dxa"/>
                                  <w:tcBorders>
                                    <w:top w:val="single" w:sz="4" w:space="0" w:color="auto"/>
                                    <w:left w:val="nil"/>
                                    <w:bottom w:val="single" w:sz="4" w:space="0" w:color="auto"/>
                                    <w:right w:val="single" w:sz="4" w:space="0" w:color="auto"/>
                                  </w:tcBorders>
                                  <w:noWrap/>
                                  <w:vAlign w:val="center"/>
                                  <w:hideMark/>
                                </w:tcPr>
                                <w:p w14:paraId="171497A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4.65</w:t>
                                  </w:r>
                                </w:p>
                              </w:tc>
                            </w:tr>
                            <w:tr w:rsidR="00B66083" w14:paraId="6C63204E"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21445512"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中正區</w:t>
                                  </w:r>
                                </w:p>
                              </w:tc>
                              <w:tc>
                                <w:tcPr>
                                  <w:tcW w:w="824" w:type="dxa"/>
                                  <w:tcBorders>
                                    <w:top w:val="nil"/>
                                    <w:left w:val="nil"/>
                                    <w:bottom w:val="single" w:sz="4" w:space="0" w:color="auto"/>
                                    <w:right w:val="single" w:sz="4" w:space="0" w:color="auto"/>
                                  </w:tcBorders>
                                  <w:noWrap/>
                                  <w:vAlign w:val="center"/>
                                  <w:hideMark/>
                                </w:tcPr>
                                <w:p w14:paraId="558056E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1,281</w:t>
                                  </w:r>
                                </w:p>
                              </w:tc>
                              <w:tc>
                                <w:tcPr>
                                  <w:tcW w:w="814" w:type="dxa"/>
                                  <w:tcBorders>
                                    <w:top w:val="nil"/>
                                    <w:left w:val="nil"/>
                                    <w:bottom w:val="single" w:sz="4" w:space="0" w:color="auto"/>
                                    <w:right w:val="single" w:sz="4" w:space="0" w:color="auto"/>
                                  </w:tcBorders>
                                  <w:noWrap/>
                                  <w:vAlign w:val="center"/>
                                  <w:hideMark/>
                                </w:tcPr>
                                <w:p w14:paraId="37929AB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29,894</w:t>
                                  </w:r>
                                </w:p>
                              </w:tc>
                              <w:tc>
                                <w:tcPr>
                                  <w:tcW w:w="822" w:type="dxa"/>
                                  <w:tcBorders>
                                    <w:top w:val="nil"/>
                                    <w:left w:val="nil"/>
                                    <w:bottom w:val="single" w:sz="4" w:space="0" w:color="auto"/>
                                    <w:right w:val="double" w:sz="4" w:space="0" w:color="auto"/>
                                  </w:tcBorders>
                                  <w:noWrap/>
                                  <w:vAlign w:val="center"/>
                                  <w:hideMark/>
                                </w:tcPr>
                                <w:p w14:paraId="0E45F3D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4.29</w:t>
                                  </w:r>
                                </w:p>
                              </w:tc>
                              <w:tc>
                                <w:tcPr>
                                  <w:tcW w:w="658" w:type="dxa"/>
                                  <w:tcBorders>
                                    <w:top w:val="nil"/>
                                    <w:left w:val="double" w:sz="4" w:space="0" w:color="auto"/>
                                    <w:bottom w:val="single" w:sz="4" w:space="0" w:color="auto"/>
                                    <w:right w:val="single" w:sz="4" w:space="0" w:color="auto"/>
                                  </w:tcBorders>
                                  <w:noWrap/>
                                  <w:vAlign w:val="center"/>
                                  <w:hideMark/>
                                </w:tcPr>
                                <w:p w14:paraId="2CA829A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2,349</w:t>
                                  </w:r>
                                </w:p>
                              </w:tc>
                              <w:tc>
                                <w:tcPr>
                                  <w:tcW w:w="858" w:type="dxa"/>
                                  <w:tcBorders>
                                    <w:top w:val="nil"/>
                                    <w:left w:val="nil"/>
                                    <w:bottom w:val="single" w:sz="4" w:space="0" w:color="auto"/>
                                    <w:right w:val="single" w:sz="4" w:space="0" w:color="auto"/>
                                  </w:tcBorders>
                                  <w:noWrap/>
                                  <w:vAlign w:val="center"/>
                                  <w:hideMark/>
                                </w:tcPr>
                                <w:p w14:paraId="4A533F3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30,513</w:t>
                                  </w:r>
                                </w:p>
                              </w:tc>
                              <w:tc>
                                <w:tcPr>
                                  <w:tcW w:w="809" w:type="dxa"/>
                                  <w:tcBorders>
                                    <w:top w:val="nil"/>
                                    <w:left w:val="nil"/>
                                    <w:bottom w:val="single" w:sz="4" w:space="0" w:color="auto"/>
                                    <w:right w:val="double" w:sz="4" w:space="0" w:color="auto"/>
                                  </w:tcBorders>
                                  <w:noWrap/>
                                  <w:vAlign w:val="center"/>
                                  <w:hideMark/>
                                </w:tcPr>
                                <w:p w14:paraId="76AC0BDF"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7.70</w:t>
                                  </w:r>
                                </w:p>
                              </w:tc>
                              <w:tc>
                                <w:tcPr>
                                  <w:tcW w:w="658" w:type="dxa"/>
                                  <w:tcBorders>
                                    <w:top w:val="nil"/>
                                    <w:left w:val="double" w:sz="4" w:space="0" w:color="auto"/>
                                    <w:bottom w:val="single" w:sz="4" w:space="0" w:color="auto"/>
                                    <w:right w:val="single" w:sz="4" w:space="0" w:color="auto"/>
                                  </w:tcBorders>
                                  <w:noWrap/>
                                  <w:vAlign w:val="center"/>
                                  <w:hideMark/>
                                </w:tcPr>
                                <w:p w14:paraId="4150586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2,158</w:t>
                                  </w:r>
                                </w:p>
                              </w:tc>
                              <w:tc>
                                <w:tcPr>
                                  <w:tcW w:w="814" w:type="dxa"/>
                                  <w:tcBorders>
                                    <w:top w:val="nil"/>
                                    <w:left w:val="nil"/>
                                    <w:bottom w:val="single" w:sz="4" w:space="0" w:color="auto"/>
                                    <w:right w:val="single" w:sz="4" w:space="0" w:color="auto"/>
                                  </w:tcBorders>
                                  <w:noWrap/>
                                  <w:vAlign w:val="center"/>
                                  <w:hideMark/>
                                </w:tcPr>
                                <w:p w14:paraId="425B708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32,604</w:t>
                                  </w:r>
                                </w:p>
                              </w:tc>
                              <w:tc>
                                <w:tcPr>
                                  <w:tcW w:w="798" w:type="dxa"/>
                                  <w:tcBorders>
                                    <w:top w:val="nil"/>
                                    <w:left w:val="nil"/>
                                    <w:bottom w:val="single" w:sz="4" w:space="0" w:color="auto"/>
                                    <w:right w:val="single" w:sz="4" w:space="0" w:color="auto"/>
                                  </w:tcBorders>
                                  <w:noWrap/>
                                  <w:vAlign w:val="center"/>
                                  <w:hideMark/>
                                </w:tcPr>
                                <w:p w14:paraId="48F7FAF3"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6.62</w:t>
                                  </w:r>
                                </w:p>
                              </w:tc>
                            </w:tr>
                            <w:tr w:rsidR="00B66083" w14:paraId="45582BC9"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31DB3CFC"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大同區</w:t>
                                  </w:r>
                                </w:p>
                              </w:tc>
                              <w:tc>
                                <w:tcPr>
                                  <w:tcW w:w="824" w:type="dxa"/>
                                  <w:tcBorders>
                                    <w:top w:val="nil"/>
                                    <w:left w:val="nil"/>
                                    <w:bottom w:val="single" w:sz="4" w:space="0" w:color="auto"/>
                                    <w:right w:val="single" w:sz="4" w:space="0" w:color="auto"/>
                                  </w:tcBorders>
                                  <w:noWrap/>
                                  <w:vAlign w:val="center"/>
                                  <w:hideMark/>
                                </w:tcPr>
                                <w:p w14:paraId="42BF51B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1,298</w:t>
                                  </w:r>
                                </w:p>
                              </w:tc>
                              <w:tc>
                                <w:tcPr>
                                  <w:tcW w:w="814" w:type="dxa"/>
                                  <w:tcBorders>
                                    <w:top w:val="nil"/>
                                    <w:left w:val="nil"/>
                                    <w:bottom w:val="single" w:sz="4" w:space="0" w:color="auto"/>
                                    <w:right w:val="single" w:sz="4" w:space="0" w:color="auto"/>
                                  </w:tcBorders>
                                  <w:noWrap/>
                                  <w:vAlign w:val="center"/>
                                  <w:hideMark/>
                                </w:tcPr>
                                <w:p w14:paraId="40AE758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24,424</w:t>
                                  </w:r>
                                </w:p>
                              </w:tc>
                              <w:tc>
                                <w:tcPr>
                                  <w:tcW w:w="822" w:type="dxa"/>
                                  <w:tcBorders>
                                    <w:top w:val="nil"/>
                                    <w:left w:val="nil"/>
                                    <w:bottom w:val="single" w:sz="4" w:space="0" w:color="auto"/>
                                    <w:right w:val="double" w:sz="4" w:space="0" w:color="auto"/>
                                  </w:tcBorders>
                                  <w:noWrap/>
                                  <w:vAlign w:val="center"/>
                                  <w:hideMark/>
                                </w:tcPr>
                                <w:p w14:paraId="7FDEAD2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5.31</w:t>
                                  </w:r>
                                </w:p>
                              </w:tc>
                              <w:tc>
                                <w:tcPr>
                                  <w:tcW w:w="658" w:type="dxa"/>
                                  <w:tcBorders>
                                    <w:top w:val="nil"/>
                                    <w:left w:val="double" w:sz="4" w:space="0" w:color="auto"/>
                                    <w:bottom w:val="single" w:sz="4" w:space="0" w:color="auto"/>
                                    <w:right w:val="single" w:sz="4" w:space="0" w:color="auto"/>
                                  </w:tcBorders>
                                  <w:noWrap/>
                                  <w:vAlign w:val="center"/>
                                  <w:hideMark/>
                                </w:tcPr>
                                <w:p w14:paraId="1CA5A27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1,917</w:t>
                                  </w:r>
                                </w:p>
                              </w:tc>
                              <w:tc>
                                <w:tcPr>
                                  <w:tcW w:w="858" w:type="dxa"/>
                                  <w:tcBorders>
                                    <w:top w:val="nil"/>
                                    <w:left w:val="nil"/>
                                    <w:bottom w:val="single" w:sz="4" w:space="0" w:color="auto"/>
                                    <w:right w:val="single" w:sz="4" w:space="0" w:color="auto"/>
                                  </w:tcBorders>
                                  <w:noWrap/>
                                  <w:vAlign w:val="center"/>
                                  <w:hideMark/>
                                </w:tcPr>
                                <w:p w14:paraId="195654E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25,022</w:t>
                                  </w:r>
                                </w:p>
                              </w:tc>
                              <w:tc>
                                <w:tcPr>
                                  <w:tcW w:w="809" w:type="dxa"/>
                                  <w:tcBorders>
                                    <w:top w:val="nil"/>
                                    <w:left w:val="nil"/>
                                    <w:bottom w:val="single" w:sz="4" w:space="0" w:color="auto"/>
                                    <w:right w:val="double" w:sz="4" w:space="0" w:color="auto"/>
                                  </w:tcBorders>
                                  <w:noWrap/>
                                  <w:vAlign w:val="center"/>
                                  <w:hideMark/>
                                </w:tcPr>
                                <w:p w14:paraId="2004A339"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7.66</w:t>
                                  </w:r>
                                </w:p>
                              </w:tc>
                              <w:tc>
                                <w:tcPr>
                                  <w:tcW w:w="658" w:type="dxa"/>
                                  <w:tcBorders>
                                    <w:top w:val="nil"/>
                                    <w:left w:val="double" w:sz="4" w:space="0" w:color="auto"/>
                                    <w:bottom w:val="single" w:sz="4" w:space="0" w:color="auto"/>
                                    <w:right w:val="single" w:sz="4" w:space="0" w:color="auto"/>
                                  </w:tcBorders>
                                  <w:noWrap/>
                                  <w:vAlign w:val="center"/>
                                  <w:hideMark/>
                                </w:tcPr>
                                <w:p w14:paraId="6CF6921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1,790</w:t>
                                  </w:r>
                                </w:p>
                              </w:tc>
                              <w:tc>
                                <w:tcPr>
                                  <w:tcW w:w="814" w:type="dxa"/>
                                  <w:tcBorders>
                                    <w:top w:val="nil"/>
                                    <w:left w:val="nil"/>
                                    <w:bottom w:val="single" w:sz="4" w:space="0" w:color="auto"/>
                                    <w:right w:val="single" w:sz="4" w:space="0" w:color="auto"/>
                                  </w:tcBorders>
                                  <w:noWrap/>
                                  <w:vAlign w:val="center"/>
                                  <w:hideMark/>
                                </w:tcPr>
                                <w:p w14:paraId="4A4FEBD3"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26,426</w:t>
                                  </w:r>
                                </w:p>
                              </w:tc>
                              <w:tc>
                                <w:tcPr>
                                  <w:tcW w:w="798" w:type="dxa"/>
                                  <w:tcBorders>
                                    <w:top w:val="nil"/>
                                    <w:left w:val="nil"/>
                                    <w:bottom w:val="single" w:sz="4" w:space="0" w:color="auto"/>
                                    <w:right w:val="single" w:sz="4" w:space="0" w:color="auto"/>
                                  </w:tcBorders>
                                  <w:noWrap/>
                                  <w:vAlign w:val="center"/>
                                  <w:hideMark/>
                                </w:tcPr>
                                <w:p w14:paraId="7716EB9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6.77</w:t>
                                  </w:r>
                                </w:p>
                              </w:tc>
                            </w:tr>
                            <w:tr w:rsidR="00B66083" w14:paraId="7E473DB4"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62949FA6"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萬華區</w:t>
                                  </w:r>
                                </w:p>
                              </w:tc>
                              <w:tc>
                                <w:tcPr>
                                  <w:tcW w:w="824" w:type="dxa"/>
                                  <w:tcBorders>
                                    <w:top w:val="nil"/>
                                    <w:left w:val="nil"/>
                                    <w:bottom w:val="single" w:sz="4" w:space="0" w:color="auto"/>
                                    <w:right w:val="single" w:sz="4" w:space="0" w:color="auto"/>
                                  </w:tcBorders>
                                  <w:noWrap/>
                                  <w:vAlign w:val="center"/>
                                  <w:hideMark/>
                                </w:tcPr>
                                <w:p w14:paraId="7ABD9724"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2,578</w:t>
                                  </w:r>
                                </w:p>
                              </w:tc>
                              <w:tc>
                                <w:tcPr>
                                  <w:tcW w:w="814" w:type="dxa"/>
                                  <w:tcBorders>
                                    <w:top w:val="nil"/>
                                    <w:left w:val="nil"/>
                                    <w:bottom w:val="single" w:sz="4" w:space="0" w:color="auto"/>
                                    <w:right w:val="single" w:sz="4" w:space="0" w:color="auto"/>
                                  </w:tcBorders>
                                  <w:noWrap/>
                                  <w:vAlign w:val="center"/>
                                  <w:hideMark/>
                                </w:tcPr>
                                <w:p w14:paraId="565C393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39,072</w:t>
                                  </w:r>
                                </w:p>
                              </w:tc>
                              <w:tc>
                                <w:tcPr>
                                  <w:tcW w:w="822" w:type="dxa"/>
                                  <w:tcBorders>
                                    <w:top w:val="nil"/>
                                    <w:left w:val="nil"/>
                                    <w:bottom w:val="single" w:sz="4" w:space="0" w:color="auto"/>
                                    <w:right w:val="double" w:sz="4" w:space="0" w:color="auto"/>
                                  </w:tcBorders>
                                  <w:noWrap/>
                                  <w:vAlign w:val="center"/>
                                  <w:hideMark/>
                                </w:tcPr>
                                <w:p w14:paraId="2B0CA81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6.60</w:t>
                                  </w:r>
                                </w:p>
                              </w:tc>
                              <w:tc>
                                <w:tcPr>
                                  <w:tcW w:w="658" w:type="dxa"/>
                                  <w:tcBorders>
                                    <w:top w:val="nil"/>
                                    <w:left w:val="double" w:sz="4" w:space="0" w:color="auto"/>
                                    <w:bottom w:val="single" w:sz="4" w:space="0" w:color="auto"/>
                                    <w:right w:val="single" w:sz="4" w:space="0" w:color="auto"/>
                                  </w:tcBorders>
                                  <w:noWrap/>
                                  <w:vAlign w:val="center"/>
                                  <w:hideMark/>
                                </w:tcPr>
                                <w:p w14:paraId="1F982B8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3,207</w:t>
                                  </w:r>
                                </w:p>
                              </w:tc>
                              <w:tc>
                                <w:tcPr>
                                  <w:tcW w:w="858" w:type="dxa"/>
                                  <w:tcBorders>
                                    <w:top w:val="nil"/>
                                    <w:left w:val="nil"/>
                                    <w:bottom w:val="single" w:sz="4" w:space="0" w:color="auto"/>
                                    <w:right w:val="single" w:sz="4" w:space="0" w:color="auto"/>
                                  </w:tcBorders>
                                  <w:noWrap/>
                                  <w:vAlign w:val="center"/>
                                  <w:hideMark/>
                                </w:tcPr>
                                <w:p w14:paraId="2BCBB3D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39,956</w:t>
                                  </w:r>
                                </w:p>
                              </w:tc>
                              <w:tc>
                                <w:tcPr>
                                  <w:tcW w:w="809" w:type="dxa"/>
                                  <w:tcBorders>
                                    <w:top w:val="nil"/>
                                    <w:left w:val="nil"/>
                                    <w:bottom w:val="single" w:sz="4" w:space="0" w:color="auto"/>
                                    <w:right w:val="double" w:sz="4" w:space="0" w:color="auto"/>
                                  </w:tcBorders>
                                  <w:noWrap/>
                                  <w:vAlign w:val="center"/>
                                  <w:hideMark/>
                                </w:tcPr>
                                <w:p w14:paraId="40BEFCFF"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8.03</w:t>
                                  </w:r>
                                </w:p>
                              </w:tc>
                              <w:tc>
                                <w:tcPr>
                                  <w:tcW w:w="658" w:type="dxa"/>
                                  <w:tcBorders>
                                    <w:top w:val="nil"/>
                                    <w:left w:val="double" w:sz="4" w:space="0" w:color="auto"/>
                                    <w:bottom w:val="single" w:sz="4" w:space="0" w:color="auto"/>
                                    <w:right w:val="single" w:sz="4" w:space="0" w:color="auto"/>
                                  </w:tcBorders>
                                  <w:noWrap/>
                                  <w:vAlign w:val="center"/>
                                  <w:hideMark/>
                                </w:tcPr>
                                <w:p w14:paraId="79FC9DD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2,849</w:t>
                                  </w:r>
                                </w:p>
                              </w:tc>
                              <w:tc>
                                <w:tcPr>
                                  <w:tcW w:w="814" w:type="dxa"/>
                                  <w:tcBorders>
                                    <w:top w:val="nil"/>
                                    <w:left w:val="nil"/>
                                    <w:bottom w:val="single" w:sz="4" w:space="0" w:color="auto"/>
                                    <w:right w:val="single" w:sz="4" w:space="0" w:color="auto"/>
                                  </w:tcBorders>
                                  <w:noWrap/>
                                  <w:vAlign w:val="center"/>
                                  <w:hideMark/>
                                </w:tcPr>
                                <w:p w14:paraId="6B3F83A9"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41,940</w:t>
                                  </w:r>
                                </w:p>
                              </w:tc>
                              <w:tc>
                                <w:tcPr>
                                  <w:tcW w:w="798" w:type="dxa"/>
                                  <w:tcBorders>
                                    <w:top w:val="nil"/>
                                    <w:left w:val="nil"/>
                                    <w:bottom w:val="single" w:sz="4" w:space="0" w:color="auto"/>
                                    <w:right w:val="single" w:sz="4" w:space="0" w:color="auto"/>
                                  </w:tcBorders>
                                  <w:noWrap/>
                                  <w:vAlign w:val="center"/>
                                  <w:hideMark/>
                                </w:tcPr>
                                <w:p w14:paraId="7EAAECB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6.79</w:t>
                                  </w:r>
                                </w:p>
                              </w:tc>
                            </w:tr>
                            <w:tr w:rsidR="00B66083" w14:paraId="48008453"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0E1728E4"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文山區</w:t>
                                  </w:r>
                                </w:p>
                              </w:tc>
                              <w:tc>
                                <w:tcPr>
                                  <w:tcW w:w="824" w:type="dxa"/>
                                  <w:tcBorders>
                                    <w:top w:val="nil"/>
                                    <w:left w:val="nil"/>
                                    <w:bottom w:val="single" w:sz="4" w:space="0" w:color="auto"/>
                                    <w:right w:val="single" w:sz="4" w:space="0" w:color="auto"/>
                                  </w:tcBorders>
                                  <w:noWrap/>
                                  <w:vAlign w:val="center"/>
                                  <w:hideMark/>
                                </w:tcPr>
                                <w:p w14:paraId="2988681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1,805</w:t>
                                  </w:r>
                                </w:p>
                              </w:tc>
                              <w:tc>
                                <w:tcPr>
                                  <w:tcW w:w="814" w:type="dxa"/>
                                  <w:tcBorders>
                                    <w:top w:val="nil"/>
                                    <w:left w:val="nil"/>
                                    <w:bottom w:val="single" w:sz="4" w:space="0" w:color="auto"/>
                                    <w:right w:val="single" w:sz="4" w:space="0" w:color="auto"/>
                                  </w:tcBorders>
                                  <w:noWrap/>
                                  <w:vAlign w:val="center"/>
                                  <w:hideMark/>
                                </w:tcPr>
                                <w:p w14:paraId="710E8CE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47,031</w:t>
                                  </w:r>
                                </w:p>
                              </w:tc>
                              <w:tc>
                                <w:tcPr>
                                  <w:tcW w:w="822" w:type="dxa"/>
                                  <w:tcBorders>
                                    <w:top w:val="nil"/>
                                    <w:left w:val="nil"/>
                                    <w:bottom w:val="single" w:sz="4" w:space="0" w:color="auto"/>
                                    <w:right w:val="double" w:sz="4" w:space="0" w:color="auto"/>
                                  </w:tcBorders>
                                  <w:noWrap/>
                                  <w:vAlign w:val="center"/>
                                  <w:hideMark/>
                                </w:tcPr>
                                <w:p w14:paraId="5640637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3.84</w:t>
                                  </w:r>
                                </w:p>
                              </w:tc>
                              <w:tc>
                                <w:tcPr>
                                  <w:tcW w:w="658" w:type="dxa"/>
                                  <w:tcBorders>
                                    <w:top w:val="nil"/>
                                    <w:left w:val="double" w:sz="4" w:space="0" w:color="auto"/>
                                    <w:bottom w:val="single" w:sz="4" w:space="0" w:color="auto"/>
                                    <w:right w:val="single" w:sz="4" w:space="0" w:color="auto"/>
                                  </w:tcBorders>
                                  <w:noWrap/>
                                  <w:vAlign w:val="center"/>
                                  <w:hideMark/>
                                </w:tcPr>
                                <w:p w14:paraId="7F35B01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4,197</w:t>
                                  </w:r>
                                </w:p>
                              </w:tc>
                              <w:tc>
                                <w:tcPr>
                                  <w:tcW w:w="858" w:type="dxa"/>
                                  <w:tcBorders>
                                    <w:top w:val="nil"/>
                                    <w:left w:val="nil"/>
                                    <w:bottom w:val="single" w:sz="4" w:space="0" w:color="auto"/>
                                    <w:right w:val="single" w:sz="4" w:space="0" w:color="auto"/>
                                  </w:tcBorders>
                                  <w:noWrap/>
                                  <w:vAlign w:val="center"/>
                                  <w:hideMark/>
                                </w:tcPr>
                                <w:p w14:paraId="49B0471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48,705</w:t>
                                  </w:r>
                                </w:p>
                              </w:tc>
                              <w:tc>
                                <w:tcPr>
                                  <w:tcW w:w="809" w:type="dxa"/>
                                  <w:tcBorders>
                                    <w:top w:val="nil"/>
                                    <w:left w:val="nil"/>
                                    <w:bottom w:val="single" w:sz="4" w:space="0" w:color="auto"/>
                                    <w:right w:val="double" w:sz="4" w:space="0" w:color="auto"/>
                                  </w:tcBorders>
                                  <w:noWrap/>
                                  <w:vAlign w:val="center"/>
                                  <w:hideMark/>
                                </w:tcPr>
                                <w:p w14:paraId="0AA4A2DD"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8.62</w:t>
                                  </w:r>
                                </w:p>
                              </w:tc>
                              <w:tc>
                                <w:tcPr>
                                  <w:tcW w:w="658" w:type="dxa"/>
                                  <w:tcBorders>
                                    <w:top w:val="nil"/>
                                    <w:left w:val="double" w:sz="4" w:space="0" w:color="auto"/>
                                    <w:bottom w:val="single" w:sz="4" w:space="0" w:color="auto"/>
                                    <w:right w:val="single" w:sz="4" w:space="0" w:color="auto"/>
                                  </w:tcBorders>
                                  <w:noWrap/>
                                  <w:vAlign w:val="center"/>
                                  <w:hideMark/>
                                </w:tcPr>
                                <w:p w14:paraId="6908B9C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3,439</w:t>
                                  </w:r>
                                </w:p>
                              </w:tc>
                              <w:tc>
                                <w:tcPr>
                                  <w:tcW w:w="814" w:type="dxa"/>
                                  <w:tcBorders>
                                    <w:top w:val="nil"/>
                                    <w:left w:val="nil"/>
                                    <w:bottom w:val="single" w:sz="4" w:space="0" w:color="auto"/>
                                    <w:right w:val="single" w:sz="4" w:space="0" w:color="auto"/>
                                  </w:tcBorders>
                                  <w:noWrap/>
                                  <w:vAlign w:val="center"/>
                                  <w:hideMark/>
                                </w:tcPr>
                                <w:p w14:paraId="0ECBB15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52,127</w:t>
                                  </w:r>
                                </w:p>
                              </w:tc>
                              <w:tc>
                                <w:tcPr>
                                  <w:tcW w:w="798" w:type="dxa"/>
                                  <w:tcBorders>
                                    <w:top w:val="nil"/>
                                    <w:left w:val="nil"/>
                                    <w:bottom w:val="single" w:sz="4" w:space="0" w:color="auto"/>
                                    <w:right w:val="single" w:sz="4" w:space="0" w:color="auto"/>
                                  </w:tcBorders>
                                  <w:noWrap/>
                                  <w:vAlign w:val="center"/>
                                  <w:hideMark/>
                                </w:tcPr>
                                <w:p w14:paraId="375EB989"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6.60</w:t>
                                  </w:r>
                                </w:p>
                              </w:tc>
                            </w:tr>
                            <w:tr w:rsidR="00B66083" w14:paraId="1C9236B5"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56E14FE6"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南港區</w:t>
                                  </w:r>
                                </w:p>
                              </w:tc>
                              <w:tc>
                                <w:tcPr>
                                  <w:tcW w:w="824" w:type="dxa"/>
                                  <w:tcBorders>
                                    <w:top w:val="nil"/>
                                    <w:left w:val="nil"/>
                                    <w:bottom w:val="single" w:sz="4" w:space="0" w:color="auto"/>
                                    <w:right w:val="single" w:sz="4" w:space="0" w:color="auto"/>
                                  </w:tcBorders>
                                  <w:noWrap/>
                                  <w:vAlign w:val="center"/>
                                  <w:hideMark/>
                                </w:tcPr>
                                <w:p w14:paraId="1CC30C0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1,188</w:t>
                                  </w:r>
                                </w:p>
                              </w:tc>
                              <w:tc>
                                <w:tcPr>
                                  <w:tcW w:w="814" w:type="dxa"/>
                                  <w:tcBorders>
                                    <w:top w:val="nil"/>
                                    <w:left w:val="nil"/>
                                    <w:bottom w:val="single" w:sz="4" w:space="0" w:color="auto"/>
                                    <w:right w:val="single" w:sz="4" w:space="0" w:color="auto"/>
                                  </w:tcBorders>
                                  <w:noWrap/>
                                  <w:vAlign w:val="center"/>
                                  <w:hideMark/>
                                </w:tcPr>
                                <w:p w14:paraId="01B19B2D"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20,688</w:t>
                                  </w:r>
                                </w:p>
                              </w:tc>
                              <w:tc>
                                <w:tcPr>
                                  <w:tcW w:w="822" w:type="dxa"/>
                                  <w:tcBorders>
                                    <w:top w:val="nil"/>
                                    <w:left w:val="nil"/>
                                    <w:bottom w:val="single" w:sz="4" w:space="0" w:color="auto"/>
                                    <w:right w:val="double" w:sz="4" w:space="0" w:color="auto"/>
                                  </w:tcBorders>
                                  <w:noWrap/>
                                  <w:vAlign w:val="center"/>
                                  <w:hideMark/>
                                </w:tcPr>
                                <w:p w14:paraId="159AC20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5.74</w:t>
                                  </w:r>
                                </w:p>
                              </w:tc>
                              <w:tc>
                                <w:tcPr>
                                  <w:tcW w:w="658" w:type="dxa"/>
                                  <w:tcBorders>
                                    <w:top w:val="nil"/>
                                    <w:left w:val="double" w:sz="4" w:space="0" w:color="auto"/>
                                    <w:bottom w:val="single" w:sz="4" w:space="0" w:color="auto"/>
                                    <w:right w:val="single" w:sz="4" w:space="0" w:color="auto"/>
                                  </w:tcBorders>
                                  <w:noWrap/>
                                  <w:vAlign w:val="center"/>
                                  <w:hideMark/>
                                </w:tcPr>
                                <w:p w14:paraId="6D122E4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1,669</w:t>
                                  </w:r>
                                </w:p>
                              </w:tc>
                              <w:tc>
                                <w:tcPr>
                                  <w:tcW w:w="858" w:type="dxa"/>
                                  <w:tcBorders>
                                    <w:top w:val="nil"/>
                                    <w:left w:val="nil"/>
                                    <w:bottom w:val="single" w:sz="4" w:space="0" w:color="auto"/>
                                    <w:right w:val="single" w:sz="4" w:space="0" w:color="auto"/>
                                  </w:tcBorders>
                                  <w:noWrap/>
                                  <w:vAlign w:val="center"/>
                                  <w:hideMark/>
                                </w:tcPr>
                                <w:p w14:paraId="6D856EC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21,423</w:t>
                                  </w:r>
                                </w:p>
                              </w:tc>
                              <w:tc>
                                <w:tcPr>
                                  <w:tcW w:w="809" w:type="dxa"/>
                                  <w:tcBorders>
                                    <w:top w:val="nil"/>
                                    <w:left w:val="nil"/>
                                    <w:bottom w:val="single" w:sz="4" w:space="0" w:color="auto"/>
                                    <w:right w:val="double" w:sz="4" w:space="0" w:color="auto"/>
                                  </w:tcBorders>
                                  <w:noWrap/>
                                  <w:vAlign w:val="center"/>
                                  <w:hideMark/>
                                </w:tcPr>
                                <w:p w14:paraId="32F85343"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7.79</w:t>
                                  </w:r>
                                </w:p>
                              </w:tc>
                              <w:tc>
                                <w:tcPr>
                                  <w:tcW w:w="658" w:type="dxa"/>
                                  <w:tcBorders>
                                    <w:top w:val="nil"/>
                                    <w:left w:val="double" w:sz="4" w:space="0" w:color="auto"/>
                                    <w:bottom w:val="single" w:sz="4" w:space="0" w:color="auto"/>
                                    <w:right w:val="single" w:sz="4" w:space="0" w:color="auto"/>
                                  </w:tcBorders>
                                  <w:noWrap/>
                                  <w:vAlign w:val="center"/>
                                  <w:hideMark/>
                                </w:tcPr>
                                <w:p w14:paraId="7B9F125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1,694</w:t>
                                  </w:r>
                                </w:p>
                              </w:tc>
                              <w:tc>
                                <w:tcPr>
                                  <w:tcW w:w="814" w:type="dxa"/>
                                  <w:tcBorders>
                                    <w:top w:val="nil"/>
                                    <w:left w:val="nil"/>
                                    <w:bottom w:val="single" w:sz="4" w:space="0" w:color="auto"/>
                                    <w:right w:val="single" w:sz="4" w:space="0" w:color="auto"/>
                                  </w:tcBorders>
                                  <w:noWrap/>
                                  <w:vAlign w:val="center"/>
                                  <w:hideMark/>
                                </w:tcPr>
                                <w:p w14:paraId="2090A8F8"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22,728</w:t>
                                  </w:r>
                                </w:p>
                              </w:tc>
                              <w:tc>
                                <w:tcPr>
                                  <w:tcW w:w="798" w:type="dxa"/>
                                  <w:tcBorders>
                                    <w:top w:val="nil"/>
                                    <w:left w:val="nil"/>
                                    <w:bottom w:val="single" w:sz="4" w:space="0" w:color="auto"/>
                                    <w:right w:val="single" w:sz="4" w:space="0" w:color="auto"/>
                                  </w:tcBorders>
                                  <w:noWrap/>
                                  <w:vAlign w:val="center"/>
                                  <w:hideMark/>
                                </w:tcPr>
                                <w:p w14:paraId="68AEFFA4"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7.45</w:t>
                                  </w:r>
                                </w:p>
                              </w:tc>
                            </w:tr>
                            <w:tr w:rsidR="00B66083" w14:paraId="1E033898" w14:textId="77777777" w:rsidTr="004B0E9F">
                              <w:trPr>
                                <w:trHeight w:val="283"/>
                              </w:trPr>
                              <w:tc>
                                <w:tcPr>
                                  <w:tcW w:w="826" w:type="dxa"/>
                                  <w:tcBorders>
                                    <w:top w:val="single" w:sz="4" w:space="0" w:color="auto"/>
                                    <w:left w:val="single" w:sz="4" w:space="0" w:color="auto"/>
                                    <w:bottom w:val="single" w:sz="4" w:space="0" w:color="auto"/>
                                    <w:right w:val="single" w:sz="4" w:space="0" w:color="auto"/>
                                  </w:tcBorders>
                                  <w:noWrap/>
                                  <w:vAlign w:val="center"/>
                                  <w:hideMark/>
                                </w:tcPr>
                                <w:p w14:paraId="30498875"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內湖區</w:t>
                                  </w:r>
                                </w:p>
                              </w:tc>
                              <w:tc>
                                <w:tcPr>
                                  <w:tcW w:w="824" w:type="dxa"/>
                                  <w:tcBorders>
                                    <w:top w:val="single" w:sz="4" w:space="0" w:color="auto"/>
                                    <w:left w:val="nil"/>
                                    <w:bottom w:val="single" w:sz="4" w:space="0" w:color="auto"/>
                                    <w:right w:val="single" w:sz="4" w:space="0" w:color="auto"/>
                                  </w:tcBorders>
                                  <w:noWrap/>
                                  <w:vAlign w:val="center"/>
                                  <w:hideMark/>
                                </w:tcPr>
                                <w:p w14:paraId="1004CE0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1,284</w:t>
                                  </w:r>
                                </w:p>
                              </w:tc>
                              <w:tc>
                                <w:tcPr>
                                  <w:tcW w:w="814" w:type="dxa"/>
                                  <w:tcBorders>
                                    <w:top w:val="single" w:sz="4" w:space="0" w:color="auto"/>
                                    <w:left w:val="nil"/>
                                    <w:bottom w:val="single" w:sz="4" w:space="0" w:color="auto"/>
                                    <w:right w:val="single" w:sz="4" w:space="0" w:color="auto"/>
                                  </w:tcBorders>
                                  <w:noWrap/>
                                  <w:vAlign w:val="center"/>
                                  <w:hideMark/>
                                </w:tcPr>
                                <w:p w14:paraId="23603D4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43,390</w:t>
                                  </w:r>
                                </w:p>
                              </w:tc>
                              <w:tc>
                                <w:tcPr>
                                  <w:tcW w:w="822" w:type="dxa"/>
                                  <w:tcBorders>
                                    <w:top w:val="single" w:sz="4" w:space="0" w:color="auto"/>
                                    <w:left w:val="nil"/>
                                    <w:bottom w:val="single" w:sz="4" w:space="0" w:color="auto"/>
                                    <w:right w:val="double" w:sz="4" w:space="0" w:color="auto"/>
                                  </w:tcBorders>
                                  <w:noWrap/>
                                  <w:vAlign w:val="center"/>
                                  <w:hideMark/>
                                </w:tcPr>
                                <w:p w14:paraId="3E1CA89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2.96</w:t>
                                  </w:r>
                                </w:p>
                              </w:tc>
                              <w:tc>
                                <w:tcPr>
                                  <w:tcW w:w="658" w:type="dxa"/>
                                  <w:tcBorders>
                                    <w:top w:val="nil"/>
                                    <w:left w:val="double" w:sz="4" w:space="0" w:color="auto"/>
                                    <w:bottom w:val="single" w:sz="4" w:space="0" w:color="auto"/>
                                    <w:right w:val="single" w:sz="4" w:space="0" w:color="auto"/>
                                  </w:tcBorders>
                                  <w:noWrap/>
                                  <w:vAlign w:val="center"/>
                                  <w:hideMark/>
                                </w:tcPr>
                                <w:p w14:paraId="6C7D494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3,234</w:t>
                                  </w:r>
                                </w:p>
                              </w:tc>
                              <w:tc>
                                <w:tcPr>
                                  <w:tcW w:w="858" w:type="dxa"/>
                                  <w:tcBorders>
                                    <w:top w:val="nil"/>
                                    <w:left w:val="nil"/>
                                    <w:bottom w:val="single" w:sz="4" w:space="0" w:color="auto"/>
                                    <w:right w:val="single" w:sz="4" w:space="0" w:color="auto"/>
                                  </w:tcBorders>
                                  <w:noWrap/>
                                  <w:vAlign w:val="center"/>
                                  <w:hideMark/>
                                </w:tcPr>
                                <w:p w14:paraId="1D7021A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45,893</w:t>
                                  </w:r>
                                </w:p>
                              </w:tc>
                              <w:tc>
                                <w:tcPr>
                                  <w:tcW w:w="809" w:type="dxa"/>
                                  <w:tcBorders>
                                    <w:top w:val="nil"/>
                                    <w:left w:val="nil"/>
                                    <w:bottom w:val="single" w:sz="4" w:space="0" w:color="auto"/>
                                    <w:right w:val="double" w:sz="4" w:space="0" w:color="auto"/>
                                  </w:tcBorders>
                                  <w:noWrap/>
                                  <w:vAlign w:val="center"/>
                                  <w:hideMark/>
                                </w:tcPr>
                                <w:p w14:paraId="71C6B6E3"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7.05</w:t>
                                  </w:r>
                                </w:p>
                              </w:tc>
                              <w:tc>
                                <w:tcPr>
                                  <w:tcW w:w="658" w:type="dxa"/>
                                  <w:tcBorders>
                                    <w:top w:val="nil"/>
                                    <w:left w:val="double" w:sz="4" w:space="0" w:color="auto"/>
                                    <w:bottom w:val="single" w:sz="4" w:space="0" w:color="auto"/>
                                    <w:right w:val="single" w:sz="4" w:space="0" w:color="auto"/>
                                  </w:tcBorders>
                                  <w:noWrap/>
                                  <w:vAlign w:val="center"/>
                                  <w:hideMark/>
                                </w:tcPr>
                                <w:p w14:paraId="6F631268"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3,202</w:t>
                                  </w:r>
                                </w:p>
                              </w:tc>
                              <w:tc>
                                <w:tcPr>
                                  <w:tcW w:w="814" w:type="dxa"/>
                                  <w:tcBorders>
                                    <w:top w:val="nil"/>
                                    <w:left w:val="nil"/>
                                    <w:bottom w:val="single" w:sz="4" w:space="0" w:color="auto"/>
                                    <w:right w:val="single" w:sz="4" w:space="0" w:color="auto"/>
                                  </w:tcBorders>
                                  <w:noWrap/>
                                  <w:vAlign w:val="center"/>
                                  <w:hideMark/>
                                </w:tcPr>
                                <w:p w14:paraId="46C6080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49,856</w:t>
                                  </w:r>
                                </w:p>
                              </w:tc>
                              <w:tc>
                                <w:tcPr>
                                  <w:tcW w:w="798" w:type="dxa"/>
                                  <w:tcBorders>
                                    <w:top w:val="nil"/>
                                    <w:left w:val="nil"/>
                                    <w:bottom w:val="single" w:sz="4" w:space="0" w:color="auto"/>
                                    <w:right w:val="single" w:sz="4" w:space="0" w:color="auto"/>
                                  </w:tcBorders>
                                  <w:noWrap/>
                                  <w:vAlign w:val="center"/>
                                  <w:hideMark/>
                                </w:tcPr>
                                <w:p w14:paraId="362E01A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6.42</w:t>
                                  </w:r>
                                </w:p>
                              </w:tc>
                            </w:tr>
                            <w:tr w:rsidR="00B66083" w14:paraId="610F9E0A"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7C9EE486"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士林區</w:t>
                                  </w:r>
                                </w:p>
                              </w:tc>
                              <w:tc>
                                <w:tcPr>
                                  <w:tcW w:w="824" w:type="dxa"/>
                                  <w:tcBorders>
                                    <w:top w:val="nil"/>
                                    <w:left w:val="nil"/>
                                    <w:bottom w:val="single" w:sz="4" w:space="0" w:color="auto"/>
                                    <w:right w:val="single" w:sz="4" w:space="0" w:color="auto"/>
                                  </w:tcBorders>
                                  <w:noWrap/>
                                  <w:vAlign w:val="center"/>
                                  <w:hideMark/>
                                </w:tcPr>
                                <w:p w14:paraId="76B1E98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2,495</w:t>
                                  </w:r>
                                </w:p>
                              </w:tc>
                              <w:tc>
                                <w:tcPr>
                                  <w:tcW w:w="814" w:type="dxa"/>
                                  <w:tcBorders>
                                    <w:top w:val="nil"/>
                                    <w:left w:val="nil"/>
                                    <w:bottom w:val="single" w:sz="4" w:space="0" w:color="auto"/>
                                    <w:right w:val="single" w:sz="4" w:space="0" w:color="auto"/>
                                  </w:tcBorders>
                                  <w:noWrap/>
                                  <w:vAlign w:val="center"/>
                                  <w:hideMark/>
                                </w:tcPr>
                                <w:p w14:paraId="2259D69D"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56,381</w:t>
                                  </w:r>
                                </w:p>
                              </w:tc>
                              <w:tc>
                                <w:tcPr>
                                  <w:tcW w:w="822" w:type="dxa"/>
                                  <w:tcBorders>
                                    <w:top w:val="nil"/>
                                    <w:left w:val="nil"/>
                                    <w:bottom w:val="single" w:sz="4" w:space="0" w:color="auto"/>
                                    <w:right w:val="double" w:sz="4" w:space="0" w:color="auto"/>
                                  </w:tcBorders>
                                  <w:noWrap/>
                                  <w:vAlign w:val="center"/>
                                  <w:hideMark/>
                                </w:tcPr>
                                <w:p w14:paraId="6B8AF968"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4.43</w:t>
                                  </w:r>
                                </w:p>
                              </w:tc>
                              <w:tc>
                                <w:tcPr>
                                  <w:tcW w:w="658" w:type="dxa"/>
                                  <w:tcBorders>
                                    <w:top w:val="nil"/>
                                    <w:left w:val="double" w:sz="4" w:space="0" w:color="auto"/>
                                    <w:bottom w:val="single" w:sz="4" w:space="0" w:color="auto"/>
                                    <w:right w:val="single" w:sz="4" w:space="0" w:color="auto"/>
                                  </w:tcBorders>
                                  <w:noWrap/>
                                  <w:vAlign w:val="center"/>
                                  <w:hideMark/>
                                </w:tcPr>
                                <w:p w14:paraId="4D8F09B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4,204</w:t>
                                  </w:r>
                                </w:p>
                              </w:tc>
                              <w:tc>
                                <w:tcPr>
                                  <w:tcW w:w="858" w:type="dxa"/>
                                  <w:tcBorders>
                                    <w:top w:val="nil"/>
                                    <w:left w:val="nil"/>
                                    <w:bottom w:val="single" w:sz="4" w:space="0" w:color="auto"/>
                                    <w:right w:val="single" w:sz="4" w:space="0" w:color="auto"/>
                                  </w:tcBorders>
                                  <w:noWrap/>
                                  <w:vAlign w:val="center"/>
                                  <w:hideMark/>
                                </w:tcPr>
                                <w:p w14:paraId="0374599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58,271</w:t>
                                  </w:r>
                                </w:p>
                              </w:tc>
                              <w:tc>
                                <w:tcPr>
                                  <w:tcW w:w="809" w:type="dxa"/>
                                  <w:tcBorders>
                                    <w:top w:val="nil"/>
                                    <w:left w:val="nil"/>
                                    <w:bottom w:val="single" w:sz="4" w:space="0" w:color="auto"/>
                                    <w:right w:val="double" w:sz="4" w:space="0" w:color="auto"/>
                                  </w:tcBorders>
                                  <w:noWrap/>
                                  <w:vAlign w:val="center"/>
                                  <w:hideMark/>
                                </w:tcPr>
                                <w:p w14:paraId="219CF056"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7.21</w:t>
                                  </w:r>
                                </w:p>
                              </w:tc>
                              <w:tc>
                                <w:tcPr>
                                  <w:tcW w:w="658" w:type="dxa"/>
                                  <w:tcBorders>
                                    <w:top w:val="nil"/>
                                    <w:left w:val="double" w:sz="4" w:space="0" w:color="auto"/>
                                    <w:bottom w:val="single" w:sz="4" w:space="0" w:color="auto"/>
                                    <w:right w:val="single" w:sz="4" w:space="0" w:color="auto"/>
                                  </w:tcBorders>
                                  <w:noWrap/>
                                  <w:vAlign w:val="center"/>
                                  <w:hideMark/>
                                </w:tcPr>
                                <w:p w14:paraId="1CBCD2D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3,710</w:t>
                                  </w:r>
                                </w:p>
                              </w:tc>
                              <w:tc>
                                <w:tcPr>
                                  <w:tcW w:w="814" w:type="dxa"/>
                                  <w:tcBorders>
                                    <w:top w:val="nil"/>
                                    <w:left w:val="nil"/>
                                    <w:bottom w:val="single" w:sz="4" w:space="0" w:color="auto"/>
                                    <w:right w:val="single" w:sz="4" w:space="0" w:color="auto"/>
                                  </w:tcBorders>
                                  <w:noWrap/>
                                  <w:vAlign w:val="center"/>
                                  <w:hideMark/>
                                </w:tcPr>
                                <w:p w14:paraId="12F1FD9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61,698</w:t>
                                  </w:r>
                                </w:p>
                              </w:tc>
                              <w:tc>
                                <w:tcPr>
                                  <w:tcW w:w="798" w:type="dxa"/>
                                  <w:tcBorders>
                                    <w:top w:val="nil"/>
                                    <w:left w:val="nil"/>
                                    <w:bottom w:val="single" w:sz="4" w:space="0" w:color="auto"/>
                                    <w:right w:val="single" w:sz="4" w:space="0" w:color="auto"/>
                                  </w:tcBorders>
                                  <w:noWrap/>
                                  <w:vAlign w:val="center"/>
                                  <w:hideMark/>
                                </w:tcPr>
                                <w:p w14:paraId="68996DA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6.01</w:t>
                                  </w:r>
                                </w:p>
                              </w:tc>
                            </w:tr>
                            <w:tr w:rsidR="00B66083" w14:paraId="7DA146DB"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2F2EDCB2"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北投區</w:t>
                                  </w:r>
                                </w:p>
                              </w:tc>
                              <w:tc>
                                <w:tcPr>
                                  <w:tcW w:w="824" w:type="dxa"/>
                                  <w:tcBorders>
                                    <w:top w:val="nil"/>
                                    <w:left w:val="nil"/>
                                    <w:bottom w:val="single" w:sz="4" w:space="0" w:color="auto"/>
                                    <w:right w:val="single" w:sz="4" w:space="0" w:color="auto"/>
                                  </w:tcBorders>
                                  <w:noWrap/>
                                  <w:vAlign w:val="center"/>
                                  <w:hideMark/>
                                </w:tcPr>
                                <w:p w14:paraId="33D5643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1,961</w:t>
                                  </w:r>
                                </w:p>
                              </w:tc>
                              <w:tc>
                                <w:tcPr>
                                  <w:tcW w:w="814" w:type="dxa"/>
                                  <w:tcBorders>
                                    <w:top w:val="nil"/>
                                    <w:left w:val="nil"/>
                                    <w:bottom w:val="single" w:sz="4" w:space="0" w:color="auto"/>
                                    <w:right w:val="single" w:sz="4" w:space="0" w:color="auto"/>
                                  </w:tcBorders>
                                  <w:noWrap/>
                                  <w:vAlign w:val="center"/>
                                  <w:hideMark/>
                                </w:tcPr>
                                <w:p w14:paraId="1C71893D"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47,200</w:t>
                                  </w:r>
                                </w:p>
                              </w:tc>
                              <w:tc>
                                <w:tcPr>
                                  <w:tcW w:w="822" w:type="dxa"/>
                                  <w:tcBorders>
                                    <w:top w:val="nil"/>
                                    <w:left w:val="nil"/>
                                    <w:bottom w:val="single" w:sz="4" w:space="0" w:color="auto"/>
                                    <w:right w:val="double" w:sz="4" w:space="0" w:color="auto"/>
                                  </w:tcBorders>
                                  <w:noWrap/>
                                  <w:vAlign w:val="center"/>
                                  <w:hideMark/>
                                </w:tcPr>
                                <w:p w14:paraId="4AAAB00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4.15</w:t>
                                  </w:r>
                                </w:p>
                              </w:tc>
                              <w:tc>
                                <w:tcPr>
                                  <w:tcW w:w="658" w:type="dxa"/>
                                  <w:tcBorders>
                                    <w:top w:val="nil"/>
                                    <w:left w:val="double" w:sz="4" w:space="0" w:color="auto"/>
                                    <w:bottom w:val="single" w:sz="4" w:space="0" w:color="auto"/>
                                    <w:right w:val="single" w:sz="4" w:space="0" w:color="auto"/>
                                  </w:tcBorders>
                                  <w:noWrap/>
                                  <w:vAlign w:val="center"/>
                                  <w:hideMark/>
                                </w:tcPr>
                                <w:p w14:paraId="1130696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3,563</w:t>
                                  </w:r>
                                </w:p>
                              </w:tc>
                              <w:tc>
                                <w:tcPr>
                                  <w:tcW w:w="858" w:type="dxa"/>
                                  <w:tcBorders>
                                    <w:top w:val="nil"/>
                                    <w:left w:val="nil"/>
                                    <w:bottom w:val="single" w:sz="4" w:space="0" w:color="auto"/>
                                    <w:right w:val="single" w:sz="4" w:space="0" w:color="auto"/>
                                  </w:tcBorders>
                                  <w:noWrap/>
                                  <w:vAlign w:val="center"/>
                                  <w:hideMark/>
                                </w:tcPr>
                                <w:p w14:paraId="0948018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48,615</w:t>
                                  </w:r>
                                </w:p>
                              </w:tc>
                              <w:tc>
                                <w:tcPr>
                                  <w:tcW w:w="809" w:type="dxa"/>
                                  <w:tcBorders>
                                    <w:top w:val="nil"/>
                                    <w:left w:val="nil"/>
                                    <w:bottom w:val="single" w:sz="4" w:space="0" w:color="auto"/>
                                    <w:right w:val="double" w:sz="4" w:space="0" w:color="auto"/>
                                  </w:tcBorders>
                                  <w:noWrap/>
                                  <w:vAlign w:val="center"/>
                                  <w:hideMark/>
                                </w:tcPr>
                                <w:p w14:paraId="2A6FC74D"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7.33</w:t>
                                  </w:r>
                                </w:p>
                              </w:tc>
                              <w:tc>
                                <w:tcPr>
                                  <w:tcW w:w="658" w:type="dxa"/>
                                  <w:tcBorders>
                                    <w:top w:val="nil"/>
                                    <w:left w:val="double" w:sz="4" w:space="0" w:color="auto"/>
                                    <w:bottom w:val="single" w:sz="4" w:space="0" w:color="auto"/>
                                    <w:right w:val="single" w:sz="4" w:space="0" w:color="auto"/>
                                  </w:tcBorders>
                                  <w:noWrap/>
                                  <w:vAlign w:val="center"/>
                                  <w:hideMark/>
                                </w:tcPr>
                                <w:p w14:paraId="1D3DA958"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3,268</w:t>
                                  </w:r>
                                </w:p>
                              </w:tc>
                              <w:tc>
                                <w:tcPr>
                                  <w:tcW w:w="814" w:type="dxa"/>
                                  <w:tcBorders>
                                    <w:top w:val="nil"/>
                                    <w:left w:val="nil"/>
                                    <w:bottom w:val="single" w:sz="4" w:space="0" w:color="auto"/>
                                    <w:right w:val="single" w:sz="4" w:space="0" w:color="auto"/>
                                  </w:tcBorders>
                                  <w:noWrap/>
                                  <w:vAlign w:val="center"/>
                                  <w:hideMark/>
                                </w:tcPr>
                                <w:p w14:paraId="61965CA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51,508</w:t>
                                  </w:r>
                                </w:p>
                              </w:tc>
                              <w:tc>
                                <w:tcPr>
                                  <w:tcW w:w="798" w:type="dxa"/>
                                  <w:tcBorders>
                                    <w:top w:val="nil"/>
                                    <w:left w:val="nil"/>
                                    <w:bottom w:val="single" w:sz="4" w:space="0" w:color="auto"/>
                                    <w:right w:val="single" w:sz="4" w:space="0" w:color="auto"/>
                                  </w:tcBorders>
                                  <w:noWrap/>
                                  <w:vAlign w:val="center"/>
                                  <w:hideMark/>
                                </w:tcPr>
                                <w:p w14:paraId="606E2C2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6.34</w:t>
                                  </w:r>
                                </w:p>
                              </w:tc>
                            </w:tr>
                          </w:tbl>
                          <w:p w14:paraId="2F284C93" w14:textId="77777777" w:rsidR="00B66083" w:rsidRDefault="00B66083" w:rsidP="00B66083">
                            <w:pPr>
                              <w:rPr>
                                <w:sz w:val="18"/>
                                <w:szCs w:val="18"/>
                              </w:rPr>
                            </w:pPr>
                            <w:r>
                              <w:rPr>
                                <w:rFonts w:ascii="標楷體" w:eastAsia="標楷體" w:hAnsi="標楷體" w:hint="eastAsia"/>
                                <w:sz w:val="18"/>
                                <w:szCs w:val="18"/>
                              </w:rPr>
                              <w:t>資料來源：整理自觀光傳播局提供資料及民政局網站之人口統計資料。</w:t>
                            </w:r>
                          </w:p>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C7970AE" id="文字方塊 13" o:spid="_x0000_s1142" type="#_x0000_t202" style="position:absolute;left:0;text-align:left;margin-left:95.15pt;margin-top:8.25pt;width:401.9pt;height:298.5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" stroked="f">
                <v:textbox inset="0,0,0,0">
                  <w:txbxContent>
                    <w:p w14:paraId="1EAE766B" w14:textId="0CF9097A" w:rsidR="00B66083" w:rsidRDefault="00B66083" w:rsidP="00292EF6">
                      <w:pPr>
                        <w:spacing w:line="240" w:lineRule="exact"/>
                        <w:ind w:left="639" w:rightChars="-22" w:right="-53" w:hangingChars="275" w:hanging="639"/>
                        <w:jc w:val="center"/>
                        <w:rPr>
                          <w:spacing w:val="-4"/>
                          <w:szCs w:val="24"/>
                        </w:rPr>
                      </w:pPr>
                      <w:r>
                        <w:rPr>
                          <w:rFonts w:ascii="標楷體" w:eastAsia="標楷體" w:hAnsi="標楷體" w:hint="eastAsia"/>
                          <w:b/>
                          <w:bCs/>
                          <w:color w:val="000000"/>
                          <w:spacing w:val="-4"/>
                          <w:szCs w:val="24"/>
                        </w:rPr>
                        <w:t>表1　各行政區參加長</w:t>
                      </w:r>
                      <w:proofErr w:type="gramStart"/>
                      <w:r>
                        <w:rPr>
                          <w:rFonts w:ascii="標楷體" w:eastAsia="標楷體" w:hAnsi="標楷體" w:hint="eastAsia"/>
                          <w:b/>
                          <w:bCs/>
                          <w:color w:val="000000"/>
                          <w:spacing w:val="-4"/>
                          <w:szCs w:val="24"/>
                        </w:rPr>
                        <w:t>青樂活遊臺</w:t>
                      </w:r>
                      <w:proofErr w:type="gramEnd"/>
                      <w:r>
                        <w:rPr>
                          <w:rFonts w:ascii="標楷體" w:eastAsia="標楷體" w:hAnsi="標楷體" w:hint="eastAsia"/>
                          <w:b/>
                          <w:bCs/>
                          <w:color w:val="000000"/>
                          <w:spacing w:val="-4"/>
                          <w:szCs w:val="24"/>
                        </w:rPr>
                        <w:t>北活動之人數及參與比率</w:t>
                      </w:r>
                    </w:p>
                    <w:p w14:paraId="26019FF8" w14:textId="77777777" w:rsidR="00B66083" w:rsidRPr="009F2087" w:rsidRDefault="00B66083" w:rsidP="004B0E9F">
                      <w:pPr>
                        <w:spacing w:line="240" w:lineRule="exact"/>
                        <w:ind w:rightChars="61" w:right="146"/>
                        <w:jc w:val="right"/>
                        <w:rPr>
                          <w:sz w:val="20"/>
                          <w:szCs w:val="20"/>
                        </w:rPr>
                      </w:pPr>
                      <w:r w:rsidRPr="009F2087">
                        <w:rPr>
                          <w:rFonts w:ascii="標楷體" w:eastAsia="標楷體" w:hAnsi="標楷體" w:hint="eastAsia"/>
                          <w:color w:val="000000"/>
                          <w:sz w:val="20"/>
                          <w:szCs w:val="20"/>
                        </w:rPr>
                        <w:t>單位：人、％</w:t>
                      </w:r>
                    </w:p>
                    <w:tbl>
                      <w:tblPr>
                        <w:tblW w:w="7881" w:type="dxa"/>
                        <w:tblInd w:w="-5" w:type="dxa"/>
                        <w:tblCellMar>
                          <w:left w:w="28" w:type="dxa"/>
                          <w:right w:w="28" w:type="dxa"/>
                        </w:tblCellMar>
                        <w:tblLook w:val="04A0" w:firstRow="1" w:lastRow="0" w:firstColumn="1" w:lastColumn="0" w:noHBand="0" w:noVBand="1"/>
                      </w:tblPr>
                      <w:tblGrid>
                        <w:gridCol w:w="826"/>
                        <w:gridCol w:w="824"/>
                        <w:gridCol w:w="814"/>
                        <w:gridCol w:w="822"/>
                        <w:gridCol w:w="658"/>
                        <w:gridCol w:w="858"/>
                        <w:gridCol w:w="809"/>
                        <w:gridCol w:w="658"/>
                        <w:gridCol w:w="814"/>
                        <w:gridCol w:w="798"/>
                      </w:tblGrid>
                      <w:tr w:rsidR="00B66083" w14:paraId="678371C9" w14:textId="77777777" w:rsidTr="004B0E9F">
                        <w:trPr>
                          <w:trHeight w:val="304"/>
                        </w:trPr>
                        <w:tc>
                          <w:tcPr>
                            <w:tcW w:w="826"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2762B04E" w14:textId="77777777" w:rsidR="00B66083" w:rsidRDefault="00B66083" w:rsidP="004B0E9F">
                            <w:pPr>
                              <w:spacing w:line="240" w:lineRule="exact"/>
                              <w:ind w:leftChars="117" w:left="281"/>
                              <w:rPr>
                                <w:rFonts w:ascii="標楷體" w:eastAsia="標楷體" w:hAnsi="標楷體"/>
                                <w:color w:val="000000"/>
                                <w:sz w:val="20"/>
                              </w:rPr>
                            </w:pPr>
                            <w:r>
                              <w:rPr>
                                <w:rFonts w:ascii="標楷體" w:eastAsia="標楷體" w:hAnsi="標楷體" w:hint="eastAsia"/>
                                <w:color w:val="000000"/>
                                <w:sz w:val="20"/>
                              </w:rPr>
                              <w:t>年度</w:t>
                            </w:r>
                          </w:p>
                          <w:p w14:paraId="1012778E" w14:textId="77777777" w:rsidR="00B66083" w:rsidRDefault="00B66083">
                            <w:pPr>
                              <w:spacing w:line="240" w:lineRule="exact"/>
                              <w:ind w:leftChars="200" w:left="480"/>
                              <w:rPr>
                                <w:rFonts w:ascii="標楷體" w:eastAsia="標楷體" w:hAnsi="標楷體"/>
                                <w:color w:val="000000"/>
                                <w:sz w:val="20"/>
                              </w:rPr>
                            </w:pPr>
                          </w:p>
                          <w:p w14:paraId="2F81468C" w14:textId="77777777" w:rsidR="00B66083" w:rsidRDefault="00B66083">
                            <w:pPr>
                              <w:spacing w:line="240" w:lineRule="exact"/>
                              <w:ind w:leftChars="200" w:left="480"/>
                              <w:rPr>
                                <w:rFonts w:ascii="標楷體" w:eastAsia="標楷體" w:hAnsi="標楷體"/>
                                <w:color w:val="000000"/>
                                <w:sz w:val="20"/>
                              </w:rPr>
                            </w:pPr>
                          </w:p>
                          <w:p w14:paraId="0D7C3909" w14:textId="77777777" w:rsidR="00B66083" w:rsidRDefault="00B66083">
                            <w:pPr>
                              <w:spacing w:line="240" w:lineRule="exact"/>
                              <w:ind w:leftChars="200" w:left="480"/>
                              <w:rPr>
                                <w:rFonts w:ascii="標楷體" w:eastAsia="標楷體" w:hAnsi="標楷體"/>
                                <w:color w:val="000000"/>
                                <w:sz w:val="20"/>
                              </w:rPr>
                            </w:pPr>
                          </w:p>
                          <w:p w14:paraId="71A4CF61" w14:textId="77777777" w:rsidR="00B66083" w:rsidRDefault="00B66083">
                            <w:pPr>
                              <w:spacing w:line="240" w:lineRule="exact"/>
                              <w:ind w:left="400" w:hangingChars="200" w:hanging="400"/>
                              <w:rPr>
                                <w:rFonts w:ascii="標楷體" w:eastAsia="標楷體" w:hAnsi="標楷體"/>
                                <w:color w:val="000000"/>
                                <w:sz w:val="20"/>
                              </w:rPr>
                            </w:pPr>
                            <w:r>
                              <w:rPr>
                                <w:rFonts w:ascii="標楷體" w:eastAsia="標楷體" w:hAnsi="標楷體" w:hint="eastAsia"/>
                                <w:color w:val="000000"/>
                                <w:sz w:val="20"/>
                              </w:rPr>
                              <w:t>行政區</w:t>
                            </w:r>
                          </w:p>
                        </w:tc>
                        <w:tc>
                          <w:tcPr>
                            <w:tcW w:w="2460" w:type="dxa"/>
                            <w:gridSpan w:val="3"/>
                            <w:tcBorders>
                              <w:top w:val="single" w:sz="4" w:space="0" w:color="auto"/>
                              <w:left w:val="nil"/>
                              <w:bottom w:val="single" w:sz="4" w:space="0" w:color="auto"/>
                              <w:right w:val="double" w:sz="4" w:space="0" w:color="auto"/>
                            </w:tcBorders>
                            <w:vAlign w:val="center"/>
                            <w:hideMark/>
                          </w:tcPr>
                          <w:p w14:paraId="5AB4B685" w14:textId="77777777" w:rsidR="00B66083" w:rsidRDefault="00B66083">
                            <w:pPr>
                              <w:spacing w:line="220" w:lineRule="exact"/>
                              <w:jc w:val="center"/>
                              <w:rPr>
                                <w:rFonts w:ascii="標楷體" w:eastAsia="標楷體" w:hAnsi="標楷體"/>
                                <w:color w:val="000000"/>
                                <w:sz w:val="20"/>
                              </w:rPr>
                            </w:pPr>
                            <w:r>
                              <w:rPr>
                                <w:rFonts w:ascii="標楷體" w:eastAsia="標楷體" w:hAnsi="標楷體" w:hint="eastAsia"/>
                                <w:color w:val="000000"/>
                                <w:sz w:val="20"/>
                              </w:rPr>
                              <w:t>111</w:t>
                            </w:r>
                          </w:p>
                        </w:tc>
                        <w:tc>
                          <w:tcPr>
                            <w:tcW w:w="2325" w:type="dxa"/>
                            <w:gridSpan w:val="3"/>
                            <w:tcBorders>
                              <w:top w:val="single" w:sz="4" w:space="0" w:color="auto"/>
                              <w:left w:val="double" w:sz="4" w:space="0" w:color="auto"/>
                              <w:bottom w:val="single" w:sz="4" w:space="0" w:color="auto"/>
                              <w:right w:val="double" w:sz="4" w:space="0" w:color="auto"/>
                            </w:tcBorders>
                            <w:vAlign w:val="center"/>
                            <w:hideMark/>
                          </w:tcPr>
                          <w:p w14:paraId="61CAF6F0" w14:textId="77777777" w:rsidR="00B66083" w:rsidRDefault="00B66083">
                            <w:pPr>
                              <w:spacing w:line="220" w:lineRule="exact"/>
                              <w:jc w:val="center"/>
                              <w:rPr>
                                <w:rFonts w:ascii="標楷體" w:eastAsia="標楷體" w:hAnsi="標楷體"/>
                                <w:color w:val="000000"/>
                                <w:sz w:val="20"/>
                              </w:rPr>
                            </w:pPr>
                            <w:r>
                              <w:rPr>
                                <w:rFonts w:ascii="標楷體" w:eastAsia="標楷體" w:hAnsi="標楷體" w:hint="eastAsia"/>
                                <w:color w:val="000000"/>
                                <w:sz w:val="20"/>
                              </w:rPr>
                              <w:t>112</w:t>
                            </w:r>
                          </w:p>
                        </w:tc>
                        <w:tc>
                          <w:tcPr>
                            <w:tcW w:w="2270" w:type="dxa"/>
                            <w:gridSpan w:val="3"/>
                            <w:tcBorders>
                              <w:top w:val="single" w:sz="4" w:space="0" w:color="auto"/>
                              <w:left w:val="double" w:sz="4" w:space="0" w:color="auto"/>
                              <w:bottom w:val="single" w:sz="4" w:space="0" w:color="auto"/>
                              <w:right w:val="single" w:sz="4" w:space="0" w:color="auto"/>
                            </w:tcBorders>
                            <w:vAlign w:val="center"/>
                            <w:hideMark/>
                          </w:tcPr>
                          <w:p w14:paraId="4270413C" w14:textId="77777777" w:rsidR="00B66083" w:rsidRDefault="00B66083">
                            <w:pPr>
                              <w:spacing w:line="220" w:lineRule="exact"/>
                              <w:jc w:val="center"/>
                              <w:rPr>
                                <w:rFonts w:ascii="標楷體" w:eastAsia="標楷體" w:hAnsi="標楷體"/>
                                <w:color w:val="000000"/>
                                <w:sz w:val="20"/>
                              </w:rPr>
                            </w:pPr>
                            <w:r>
                              <w:rPr>
                                <w:rFonts w:ascii="標楷體" w:eastAsia="標楷體" w:hAnsi="標楷體" w:hint="eastAsia"/>
                                <w:color w:val="000000"/>
                                <w:sz w:val="20"/>
                              </w:rPr>
                              <w:t>113</w:t>
                            </w:r>
                          </w:p>
                        </w:tc>
                      </w:tr>
                      <w:tr w:rsidR="00B66083" w14:paraId="586A5FB3" w14:textId="77777777" w:rsidTr="004B0E9F">
                        <w:trPr>
                          <w:trHeight w:val="810"/>
                        </w:trPr>
                        <w:tc>
                          <w:tcPr>
                            <w:tcW w:w="826" w:type="dxa"/>
                            <w:vMerge/>
                            <w:tcBorders>
                              <w:top w:val="single" w:sz="4" w:space="0" w:color="auto"/>
                              <w:left w:val="single" w:sz="4" w:space="0" w:color="auto"/>
                              <w:bottom w:val="single" w:sz="4" w:space="0" w:color="auto"/>
                              <w:right w:val="single" w:sz="4" w:space="0" w:color="auto"/>
                            </w:tcBorders>
                            <w:vAlign w:val="center"/>
                            <w:hideMark/>
                          </w:tcPr>
                          <w:p w14:paraId="38B127CD" w14:textId="77777777" w:rsidR="00B66083" w:rsidRDefault="00B66083">
                            <w:pPr>
                              <w:widowControl/>
                              <w:rPr>
                                <w:rFonts w:ascii="標楷體" w:eastAsia="標楷體" w:hAnsi="標楷體"/>
                                <w:color w:val="000000"/>
                                <w:sz w:val="20"/>
                              </w:rPr>
                            </w:pPr>
                          </w:p>
                        </w:tc>
                        <w:tc>
                          <w:tcPr>
                            <w:tcW w:w="824" w:type="dxa"/>
                            <w:tcBorders>
                              <w:top w:val="nil"/>
                              <w:left w:val="nil"/>
                              <w:bottom w:val="single" w:sz="4" w:space="0" w:color="auto"/>
                              <w:right w:val="single" w:sz="4" w:space="0" w:color="auto"/>
                            </w:tcBorders>
                            <w:vAlign w:val="center"/>
                            <w:hideMark/>
                          </w:tcPr>
                          <w:p w14:paraId="7F50C001" w14:textId="77777777" w:rsidR="00B66083" w:rsidRDefault="00B66083">
                            <w:pPr>
                              <w:spacing w:line="240" w:lineRule="exact"/>
                              <w:jc w:val="center"/>
                              <w:rPr>
                                <w:rFonts w:ascii="標楷體" w:eastAsia="標楷體" w:hAnsi="標楷體"/>
                                <w:color w:val="000000"/>
                                <w:spacing w:val="-8"/>
                                <w:sz w:val="20"/>
                              </w:rPr>
                            </w:pPr>
                            <w:r>
                              <w:rPr>
                                <w:rFonts w:ascii="標楷體" w:eastAsia="標楷體" w:hAnsi="標楷體" w:hint="eastAsia"/>
                                <w:color w:val="000000"/>
                                <w:spacing w:val="-8"/>
                                <w:sz w:val="20"/>
                              </w:rPr>
                              <w:t>參加人數合計(A)</w:t>
                            </w:r>
                          </w:p>
                        </w:tc>
                        <w:tc>
                          <w:tcPr>
                            <w:tcW w:w="814" w:type="dxa"/>
                            <w:tcBorders>
                              <w:top w:val="nil"/>
                              <w:left w:val="nil"/>
                              <w:bottom w:val="single" w:sz="4" w:space="0" w:color="auto"/>
                              <w:right w:val="single" w:sz="4" w:space="0" w:color="auto"/>
                            </w:tcBorders>
                            <w:vAlign w:val="center"/>
                            <w:hideMark/>
                          </w:tcPr>
                          <w:p w14:paraId="57E2F314" w14:textId="77777777" w:rsidR="00B66083" w:rsidRDefault="00B66083">
                            <w:pPr>
                              <w:spacing w:line="240" w:lineRule="exact"/>
                              <w:jc w:val="center"/>
                              <w:rPr>
                                <w:rFonts w:ascii="標楷體" w:eastAsia="標楷體" w:hAnsi="標楷體"/>
                                <w:color w:val="000000"/>
                                <w:spacing w:val="-12"/>
                                <w:sz w:val="20"/>
                              </w:rPr>
                            </w:pPr>
                            <w:r>
                              <w:rPr>
                                <w:rFonts w:ascii="標楷體" w:eastAsia="標楷體" w:hAnsi="標楷體" w:hint="eastAsia"/>
                                <w:color w:val="000000"/>
                                <w:spacing w:val="-12"/>
                                <w:sz w:val="20"/>
                              </w:rPr>
                              <w:t>110年底65歲以上人口數(B)</w:t>
                            </w:r>
                          </w:p>
                        </w:tc>
                        <w:tc>
                          <w:tcPr>
                            <w:tcW w:w="822" w:type="dxa"/>
                            <w:tcBorders>
                              <w:top w:val="nil"/>
                              <w:left w:val="nil"/>
                              <w:bottom w:val="single" w:sz="4" w:space="0" w:color="auto"/>
                              <w:right w:val="double" w:sz="4" w:space="0" w:color="auto"/>
                            </w:tcBorders>
                            <w:vAlign w:val="center"/>
                            <w:hideMark/>
                          </w:tcPr>
                          <w:p w14:paraId="27B4F335" w14:textId="77777777" w:rsidR="004B0E9F" w:rsidRPr="004B0E9F" w:rsidRDefault="00B66083" w:rsidP="004B0E9F">
                            <w:pPr>
                              <w:spacing w:line="240" w:lineRule="exact"/>
                              <w:ind w:leftChars="-29" w:left="-70" w:rightChars="-11" w:right="-26"/>
                              <w:jc w:val="center"/>
                              <w:rPr>
                                <w:rFonts w:ascii="標楷體" w:eastAsia="標楷體" w:hAnsi="標楷體"/>
                                <w:color w:val="000000"/>
                                <w:spacing w:val="-20"/>
                                <w:sz w:val="20"/>
                              </w:rPr>
                            </w:pPr>
                            <w:r w:rsidRPr="004B0E9F">
                              <w:rPr>
                                <w:rFonts w:ascii="標楷體" w:eastAsia="標楷體" w:hAnsi="標楷體" w:hint="eastAsia"/>
                                <w:color w:val="000000"/>
                                <w:spacing w:val="-20"/>
                                <w:sz w:val="20"/>
                              </w:rPr>
                              <w:t>長者參與率</w:t>
                            </w:r>
                          </w:p>
                          <w:p w14:paraId="389424E7" w14:textId="1A744A34" w:rsidR="00B66083" w:rsidRPr="004B0E9F" w:rsidRDefault="00B66083" w:rsidP="004B0E9F">
                            <w:pPr>
                              <w:spacing w:line="240" w:lineRule="exact"/>
                              <w:ind w:leftChars="-77" w:left="-185" w:rightChars="-58" w:right="-139"/>
                              <w:jc w:val="center"/>
                              <w:rPr>
                                <w:rFonts w:ascii="標楷體" w:eastAsia="標楷體" w:hAnsi="標楷體"/>
                                <w:color w:val="000000"/>
                                <w:spacing w:val="-20"/>
                                <w:sz w:val="20"/>
                              </w:rPr>
                            </w:pPr>
                            <w:r w:rsidRPr="004B0E9F">
                              <w:rPr>
                                <w:rFonts w:ascii="標楷體" w:eastAsia="標楷體" w:hAnsi="標楷體" w:hint="eastAsia"/>
                                <w:color w:val="000000"/>
                                <w:spacing w:val="-20"/>
                                <w:sz w:val="20"/>
                              </w:rPr>
                              <w:t>(A/B</w:t>
                            </w:r>
                            <w:r w:rsidR="004B0E9F" w:rsidRPr="004B0E9F">
                              <w:rPr>
                                <w:rFonts w:ascii="標楷體" w:eastAsia="標楷體" w:hAnsi="標楷體" w:hint="eastAsia"/>
                                <w:color w:val="000000"/>
                                <w:spacing w:val="-20"/>
                                <w:sz w:val="20"/>
                              </w:rPr>
                              <w:t>×1</w:t>
                            </w:r>
                            <w:r w:rsidR="004B0E9F" w:rsidRPr="004B0E9F">
                              <w:rPr>
                                <w:rFonts w:ascii="標楷體" w:eastAsia="標楷體" w:hAnsi="標楷體"/>
                                <w:color w:val="000000"/>
                                <w:spacing w:val="-20"/>
                                <w:sz w:val="20"/>
                              </w:rPr>
                              <w:t>00</w:t>
                            </w:r>
                            <w:r w:rsidRPr="004B0E9F">
                              <w:rPr>
                                <w:rFonts w:ascii="標楷體" w:eastAsia="標楷體" w:hAnsi="標楷體" w:hint="eastAsia"/>
                                <w:color w:val="000000"/>
                                <w:spacing w:val="-20"/>
                                <w:sz w:val="20"/>
                              </w:rPr>
                              <w:t>)</w:t>
                            </w:r>
                          </w:p>
                        </w:tc>
                        <w:tc>
                          <w:tcPr>
                            <w:tcW w:w="658" w:type="dxa"/>
                            <w:tcBorders>
                              <w:top w:val="nil"/>
                              <w:left w:val="double" w:sz="4" w:space="0" w:color="auto"/>
                              <w:bottom w:val="single" w:sz="4" w:space="0" w:color="auto"/>
                              <w:right w:val="single" w:sz="4" w:space="0" w:color="auto"/>
                            </w:tcBorders>
                            <w:vAlign w:val="center"/>
                            <w:hideMark/>
                          </w:tcPr>
                          <w:p w14:paraId="26587535" w14:textId="77777777" w:rsidR="00B66083" w:rsidRDefault="00B66083">
                            <w:pPr>
                              <w:spacing w:line="240" w:lineRule="exact"/>
                              <w:jc w:val="center"/>
                              <w:rPr>
                                <w:rFonts w:ascii="標楷體" w:eastAsia="標楷體" w:hAnsi="標楷體"/>
                                <w:color w:val="000000"/>
                                <w:spacing w:val="-8"/>
                                <w:sz w:val="20"/>
                              </w:rPr>
                            </w:pPr>
                            <w:r>
                              <w:rPr>
                                <w:rFonts w:ascii="標楷體" w:eastAsia="標楷體" w:hAnsi="標楷體" w:hint="eastAsia"/>
                                <w:color w:val="000000"/>
                                <w:spacing w:val="-8"/>
                                <w:sz w:val="20"/>
                              </w:rPr>
                              <w:t>參加人數合計(A)</w:t>
                            </w:r>
                          </w:p>
                        </w:tc>
                        <w:tc>
                          <w:tcPr>
                            <w:tcW w:w="858" w:type="dxa"/>
                            <w:tcBorders>
                              <w:top w:val="nil"/>
                              <w:left w:val="nil"/>
                              <w:bottom w:val="single" w:sz="4" w:space="0" w:color="auto"/>
                              <w:right w:val="single" w:sz="4" w:space="0" w:color="auto"/>
                            </w:tcBorders>
                            <w:vAlign w:val="center"/>
                            <w:hideMark/>
                          </w:tcPr>
                          <w:p w14:paraId="2A952A14" w14:textId="77777777" w:rsidR="00B66083" w:rsidRDefault="00B66083">
                            <w:pPr>
                              <w:spacing w:line="240" w:lineRule="exact"/>
                              <w:jc w:val="center"/>
                              <w:rPr>
                                <w:rFonts w:ascii="標楷體" w:eastAsia="標楷體" w:hAnsi="標楷體"/>
                                <w:color w:val="000000"/>
                                <w:spacing w:val="-8"/>
                                <w:sz w:val="20"/>
                              </w:rPr>
                            </w:pPr>
                            <w:r>
                              <w:rPr>
                                <w:rFonts w:ascii="標楷體" w:eastAsia="標楷體" w:hAnsi="標楷體" w:hint="eastAsia"/>
                                <w:color w:val="000000"/>
                                <w:spacing w:val="-8"/>
                                <w:sz w:val="20"/>
                              </w:rPr>
                              <w:t>111年底65歲以上人口數(B)</w:t>
                            </w:r>
                          </w:p>
                        </w:tc>
                        <w:tc>
                          <w:tcPr>
                            <w:tcW w:w="809" w:type="dxa"/>
                            <w:tcBorders>
                              <w:top w:val="nil"/>
                              <w:left w:val="nil"/>
                              <w:bottom w:val="single" w:sz="4" w:space="0" w:color="auto"/>
                              <w:right w:val="double" w:sz="4" w:space="0" w:color="auto"/>
                            </w:tcBorders>
                            <w:vAlign w:val="center"/>
                            <w:hideMark/>
                          </w:tcPr>
                          <w:p w14:paraId="05156E9D" w14:textId="77777777" w:rsidR="004B0E9F" w:rsidRPr="004B0E9F" w:rsidRDefault="004B0E9F" w:rsidP="004B0E9F">
                            <w:pPr>
                              <w:spacing w:line="240" w:lineRule="exact"/>
                              <w:ind w:leftChars="-29" w:left="-70" w:rightChars="-11" w:right="-26"/>
                              <w:jc w:val="center"/>
                              <w:rPr>
                                <w:rFonts w:ascii="標楷體" w:eastAsia="標楷體" w:hAnsi="標楷體"/>
                                <w:color w:val="000000"/>
                                <w:spacing w:val="-20"/>
                                <w:sz w:val="20"/>
                              </w:rPr>
                            </w:pPr>
                            <w:r w:rsidRPr="004B0E9F">
                              <w:rPr>
                                <w:rFonts w:ascii="標楷體" w:eastAsia="標楷體" w:hAnsi="標楷體" w:hint="eastAsia"/>
                                <w:color w:val="000000"/>
                                <w:spacing w:val="-20"/>
                                <w:sz w:val="20"/>
                              </w:rPr>
                              <w:t>長者參與率</w:t>
                            </w:r>
                          </w:p>
                          <w:p w14:paraId="377C011B" w14:textId="22412114" w:rsidR="00B66083" w:rsidRDefault="004B0E9F" w:rsidP="004B0E9F">
                            <w:pPr>
                              <w:spacing w:line="240" w:lineRule="exact"/>
                              <w:jc w:val="center"/>
                              <w:rPr>
                                <w:rFonts w:ascii="標楷體" w:eastAsia="標楷體" w:hAnsi="標楷體"/>
                                <w:color w:val="000000"/>
                                <w:spacing w:val="-8"/>
                                <w:sz w:val="20"/>
                              </w:rPr>
                            </w:pPr>
                            <w:r w:rsidRPr="004B0E9F">
                              <w:rPr>
                                <w:rFonts w:ascii="標楷體" w:eastAsia="標楷體" w:hAnsi="標楷體" w:hint="eastAsia"/>
                                <w:color w:val="000000"/>
                                <w:spacing w:val="-20"/>
                                <w:sz w:val="20"/>
                              </w:rPr>
                              <w:t>(A/B×1</w:t>
                            </w:r>
                            <w:r w:rsidRPr="004B0E9F">
                              <w:rPr>
                                <w:rFonts w:ascii="標楷體" w:eastAsia="標楷體" w:hAnsi="標楷體"/>
                                <w:color w:val="000000"/>
                                <w:spacing w:val="-20"/>
                                <w:sz w:val="20"/>
                              </w:rPr>
                              <w:t>00</w:t>
                            </w:r>
                            <w:r w:rsidRPr="004B0E9F">
                              <w:rPr>
                                <w:rFonts w:ascii="標楷體" w:eastAsia="標楷體" w:hAnsi="標楷體" w:hint="eastAsia"/>
                                <w:color w:val="000000"/>
                                <w:spacing w:val="-20"/>
                                <w:sz w:val="20"/>
                              </w:rPr>
                              <w:t>)</w:t>
                            </w:r>
                          </w:p>
                        </w:tc>
                        <w:tc>
                          <w:tcPr>
                            <w:tcW w:w="658" w:type="dxa"/>
                            <w:tcBorders>
                              <w:top w:val="nil"/>
                              <w:left w:val="double" w:sz="4" w:space="0" w:color="auto"/>
                              <w:bottom w:val="single" w:sz="4" w:space="0" w:color="auto"/>
                              <w:right w:val="single" w:sz="4" w:space="0" w:color="auto"/>
                            </w:tcBorders>
                            <w:vAlign w:val="center"/>
                            <w:hideMark/>
                          </w:tcPr>
                          <w:p w14:paraId="2B43395C" w14:textId="77777777" w:rsidR="00B66083" w:rsidRDefault="00B66083">
                            <w:pPr>
                              <w:spacing w:line="240" w:lineRule="exact"/>
                              <w:jc w:val="center"/>
                              <w:rPr>
                                <w:rFonts w:ascii="標楷體" w:eastAsia="標楷體" w:hAnsi="標楷體"/>
                                <w:color w:val="000000"/>
                                <w:spacing w:val="-8"/>
                                <w:sz w:val="20"/>
                              </w:rPr>
                            </w:pPr>
                            <w:r>
                              <w:rPr>
                                <w:rFonts w:ascii="標楷體" w:eastAsia="標楷體" w:hAnsi="標楷體" w:hint="eastAsia"/>
                                <w:color w:val="000000"/>
                                <w:spacing w:val="-8"/>
                                <w:sz w:val="20"/>
                              </w:rPr>
                              <w:t>參加人數合計(A)</w:t>
                            </w:r>
                          </w:p>
                        </w:tc>
                        <w:tc>
                          <w:tcPr>
                            <w:tcW w:w="814" w:type="dxa"/>
                            <w:tcBorders>
                              <w:top w:val="nil"/>
                              <w:left w:val="nil"/>
                              <w:bottom w:val="single" w:sz="4" w:space="0" w:color="auto"/>
                              <w:right w:val="single" w:sz="4" w:space="0" w:color="auto"/>
                            </w:tcBorders>
                            <w:vAlign w:val="center"/>
                            <w:hideMark/>
                          </w:tcPr>
                          <w:p w14:paraId="4CFC3C03" w14:textId="77777777" w:rsidR="00B66083" w:rsidRDefault="00B66083">
                            <w:pPr>
                              <w:spacing w:line="240" w:lineRule="exact"/>
                              <w:jc w:val="center"/>
                              <w:rPr>
                                <w:rFonts w:ascii="標楷體" w:eastAsia="標楷體" w:hAnsi="標楷體"/>
                                <w:color w:val="000000"/>
                                <w:spacing w:val="-8"/>
                                <w:sz w:val="20"/>
                              </w:rPr>
                            </w:pPr>
                            <w:r>
                              <w:rPr>
                                <w:rFonts w:ascii="標楷體" w:eastAsia="標楷體" w:hAnsi="標楷體" w:hint="eastAsia"/>
                                <w:color w:val="000000"/>
                                <w:spacing w:val="-8"/>
                                <w:sz w:val="20"/>
                              </w:rPr>
                              <w:t>112年底65歲以上人口數(B)</w:t>
                            </w:r>
                          </w:p>
                        </w:tc>
                        <w:tc>
                          <w:tcPr>
                            <w:tcW w:w="798" w:type="dxa"/>
                            <w:tcBorders>
                              <w:top w:val="nil"/>
                              <w:left w:val="nil"/>
                              <w:bottom w:val="single" w:sz="4" w:space="0" w:color="auto"/>
                              <w:right w:val="single" w:sz="4" w:space="0" w:color="auto"/>
                            </w:tcBorders>
                            <w:vAlign w:val="center"/>
                            <w:hideMark/>
                          </w:tcPr>
                          <w:p w14:paraId="5FE82540" w14:textId="77777777" w:rsidR="004B0E9F" w:rsidRPr="004B0E9F" w:rsidRDefault="004B0E9F" w:rsidP="004B0E9F">
                            <w:pPr>
                              <w:spacing w:line="240" w:lineRule="exact"/>
                              <w:ind w:leftChars="-29" w:left="-70" w:rightChars="-11" w:right="-26"/>
                              <w:jc w:val="center"/>
                              <w:rPr>
                                <w:rFonts w:ascii="標楷體" w:eastAsia="標楷體" w:hAnsi="標楷體"/>
                                <w:color w:val="000000"/>
                                <w:spacing w:val="-20"/>
                                <w:sz w:val="20"/>
                              </w:rPr>
                            </w:pPr>
                            <w:r w:rsidRPr="004B0E9F">
                              <w:rPr>
                                <w:rFonts w:ascii="標楷體" w:eastAsia="標楷體" w:hAnsi="標楷體" w:hint="eastAsia"/>
                                <w:color w:val="000000"/>
                                <w:spacing w:val="-20"/>
                                <w:sz w:val="20"/>
                              </w:rPr>
                              <w:t>長者參與率</w:t>
                            </w:r>
                          </w:p>
                          <w:p w14:paraId="039724C6" w14:textId="67E9FC63" w:rsidR="00B66083" w:rsidRDefault="004B0E9F" w:rsidP="004B0E9F">
                            <w:pPr>
                              <w:spacing w:line="240" w:lineRule="exact"/>
                              <w:jc w:val="center"/>
                              <w:rPr>
                                <w:rFonts w:ascii="標楷體" w:eastAsia="標楷體" w:hAnsi="標楷體"/>
                                <w:color w:val="000000"/>
                                <w:spacing w:val="-8"/>
                                <w:sz w:val="20"/>
                              </w:rPr>
                            </w:pPr>
                            <w:r w:rsidRPr="004B0E9F">
                              <w:rPr>
                                <w:rFonts w:ascii="標楷體" w:eastAsia="標楷體" w:hAnsi="標楷體" w:hint="eastAsia"/>
                                <w:color w:val="000000"/>
                                <w:spacing w:val="-20"/>
                                <w:sz w:val="20"/>
                              </w:rPr>
                              <w:t>(A/B×1</w:t>
                            </w:r>
                            <w:r w:rsidRPr="004B0E9F">
                              <w:rPr>
                                <w:rFonts w:ascii="標楷體" w:eastAsia="標楷體" w:hAnsi="標楷體"/>
                                <w:color w:val="000000"/>
                                <w:spacing w:val="-20"/>
                                <w:sz w:val="20"/>
                              </w:rPr>
                              <w:t>00</w:t>
                            </w:r>
                            <w:r w:rsidRPr="004B0E9F">
                              <w:rPr>
                                <w:rFonts w:ascii="標楷體" w:eastAsia="標楷體" w:hAnsi="標楷體" w:hint="eastAsia"/>
                                <w:color w:val="000000"/>
                                <w:spacing w:val="-20"/>
                                <w:sz w:val="20"/>
                              </w:rPr>
                              <w:t>)</w:t>
                            </w:r>
                          </w:p>
                        </w:tc>
                      </w:tr>
                      <w:tr w:rsidR="00B66083" w14:paraId="4CE76EF1" w14:textId="77777777" w:rsidTr="004B0E9F">
                        <w:trPr>
                          <w:trHeight w:val="312"/>
                        </w:trPr>
                        <w:tc>
                          <w:tcPr>
                            <w:tcW w:w="826" w:type="dxa"/>
                            <w:tcBorders>
                              <w:top w:val="nil"/>
                              <w:left w:val="single" w:sz="4" w:space="0" w:color="auto"/>
                              <w:bottom w:val="single" w:sz="4" w:space="0" w:color="auto"/>
                              <w:right w:val="single" w:sz="4" w:space="0" w:color="auto"/>
                            </w:tcBorders>
                            <w:noWrap/>
                            <w:vAlign w:val="center"/>
                            <w:hideMark/>
                          </w:tcPr>
                          <w:p w14:paraId="03E63078" w14:textId="621AE18D" w:rsidR="00B66083" w:rsidRDefault="004B0E9F">
                            <w:pPr>
                              <w:spacing w:line="260" w:lineRule="exact"/>
                              <w:jc w:val="center"/>
                              <w:rPr>
                                <w:rFonts w:ascii="標楷體" w:eastAsia="標楷體" w:hAnsi="標楷體"/>
                                <w:b/>
                                <w:bCs/>
                                <w:color w:val="000000"/>
                                <w:sz w:val="20"/>
                              </w:rPr>
                            </w:pPr>
                            <w:r>
                              <w:rPr>
                                <w:rFonts w:ascii="標楷體" w:eastAsia="標楷體" w:hAnsi="標楷體" w:hint="eastAsia"/>
                                <w:b/>
                                <w:bCs/>
                                <w:color w:val="000000"/>
                                <w:sz w:val="20"/>
                              </w:rPr>
                              <w:t>合</w:t>
                            </w:r>
                            <w:r w:rsidR="00B66083">
                              <w:rPr>
                                <w:rFonts w:ascii="標楷體" w:eastAsia="標楷體" w:hAnsi="標楷體" w:hint="eastAsia"/>
                                <w:b/>
                                <w:bCs/>
                                <w:color w:val="000000"/>
                                <w:sz w:val="20"/>
                              </w:rPr>
                              <w:t>計</w:t>
                            </w:r>
                          </w:p>
                        </w:tc>
                        <w:tc>
                          <w:tcPr>
                            <w:tcW w:w="824" w:type="dxa"/>
                            <w:tcBorders>
                              <w:top w:val="nil"/>
                              <w:left w:val="nil"/>
                              <w:bottom w:val="single" w:sz="4" w:space="0" w:color="auto"/>
                              <w:right w:val="single" w:sz="4" w:space="0" w:color="auto"/>
                            </w:tcBorders>
                            <w:noWrap/>
                            <w:vAlign w:val="center"/>
                            <w:hideMark/>
                          </w:tcPr>
                          <w:p w14:paraId="30DE2849"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20,453</w:t>
                            </w:r>
                          </w:p>
                        </w:tc>
                        <w:tc>
                          <w:tcPr>
                            <w:tcW w:w="814" w:type="dxa"/>
                            <w:tcBorders>
                              <w:top w:val="nil"/>
                              <w:left w:val="nil"/>
                              <w:bottom w:val="single" w:sz="4" w:space="0" w:color="auto"/>
                              <w:right w:val="single" w:sz="4" w:space="0" w:color="auto"/>
                            </w:tcBorders>
                            <w:noWrap/>
                            <w:vAlign w:val="center"/>
                            <w:hideMark/>
                          </w:tcPr>
                          <w:p w14:paraId="55BC574E"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504,106</w:t>
                            </w:r>
                          </w:p>
                        </w:tc>
                        <w:tc>
                          <w:tcPr>
                            <w:tcW w:w="822" w:type="dxa"/>
                            <w:tcBorders>
                              <w:top w:val="nil"/>
                              <w:left w:val="nil"/>
                              <w:bottom w:val="single" w:sz="4" w:space="0" w:color="auto"/>
                              <w:right w:val="double" w:sz="4" w:space="0" w:color="auto"/>
                            </w:tcBorders>
                            <w:noWrap/>
                            <w:vAlign w:val="center"/>
                            <w:hideMark/>
                          </w:tcPr>
                          <w:p w14:paraId="356E1C8F"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4.06</w:t>
                            </w:r>
                          </w:p>
                        </w:tc>
                        <w:tc>
                          <w:tcPr>
                            <w:tcW w:w="658" w:type="dxa"/>
                            <w:tcBorders>
                              <w:top w:val="nil"/>
                              <w:left w:val="double" w:sz="4" w:space="0" w:color="auto"/>
                              <w:bottom w:val="single" w:sz="4" w:space="0" w:color="auto"/>
                              <w:right w:val="single" w:sz="4" w:space="0" w:color="auto"/>
                            </w:tcBorders>
                            <w:noWrap/>
                            <w:vAlign w:val="center"/>
                            <w:hideMark/>
                          </w:tcPr>
                          <w:p w14:paraId="5C4A6FE4"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36,586</w:t>
                            </w:r>
                          </w:p>
                        </w:tc>
                        <w:tc>
                          <w:tcPr>
                            <w:tcW w:w="858" w:type="dxa"/>
                            <w:tcBorders>
                              <w:top w:val="nil"/>
                              <w:left w:val="nil"/>
                              <w:bottom w:val="single" w:sz="4" w:space="0" w:color="auto"/>
                              <w:right w:val="single" w:sz="4" w:space="0" w:color="auto"/>
                            </w:tcBorders>
                            <w:noWrap/>
                            <w:vAlign w:val="center"/>
                            <w:hideMark/>
                          </w:tcPr>
                          <w:p w14:paraId="2EB364C8" w14:textId="77777777" w:rsidR="00B66083" w:rsidRDefault="00B66083">
                            <w:pPr>
                              <w:spacing w:line="260" w:lineRule="exact"/>
                              <w:jc w:val="right"/>
                              <w:rPr>
                                <w:rFonts w:ascii="標楷體" w:eastAsia="標楷體" w:hAnsi="標楷體"/>
                                <w:b/>
                                <w:bCs/>
                                <w:sz w:val="20"/>
                              </w:rPr>
                            </w:pPr>
                            <w:r>
                              <w:rPr>
                                <w:rFonts w:ascii="標楷體" w:eastAsia="標楷體" w:hAnsi="標楷體" w:hint="eastAsia"/>
                                <w:b/>
                                <w:bCs/>
                                <w:sz w:val="20"/>
                              </w:rPr>
                              <w:t>518,594</w:t>
                            </w:r>
                          </w:p>
                        </w:tc>
                        <w:tc>
                          <w:tcPr>
                            <w:tcW w:w="809" w:type="dxa"/>
                            <w:tcBorders>
                              <w:top w:val="nil"/>
                              <w:left w:val="nil"/>
                              <w:bottom w:val="single" w:sz="4" w:space="0" w:color="auto"/>
                              <w:right w:val="double" w:sz="4" w:space="0" w:color="auto"/>
                            </w:tcBorders>
                            <w:noWrap/>
                            <w:vAlign w:val="center"/>
                            <w:hideMark/>
                          </w:tcPr>
                          <w:p w14:paraId="332E1629"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7.05</w:t>
                            </w:r>
                          </w:p>
                        </w:tc>
                        <w:tc>
                          <w:tcPr>
                            <w:tcW w:w="658" w:type="dxa"/>
                            <w:tcBorders>
                              <w:top w:val="nil"/>
                              <w:left w:val="double" w:sz="4" w:space="0" w:color="auto"/>
                              <w:bottom w:val="single" w:sz="4" w:space="0" w:color="auto"/>
                              <w:right w:val="single" w:sz="4" w:space="0" w:color="auto"/>
                            </w:tcBorders>
                            <w:noWrap/>
                            <w:vAlign w:val="center"/>
                            <w:hideMark/>
                          </w:tcPr>
                          <w:p w14:paraId="0A150401"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33,103</w:t>
                            </w:r>
                          </w:p>
                        </w:tc>
                        <w:tc>
                          <w:tcPr>
                            <w:tcW w:w="814" w:type="dxa"/>
                            <w:tcBorders>
                              <w:top w:val="nil"/>
                              <w:left w:val="nil"/>
                              <w:bottom w:val="single" w:sz="4" w:space="0" w:color="auto"/>
                              <w:right w:val="single" w:sz="4" w:space="0" w:color="auto"/>
                            </w:tcBorders>
                            <w:noWrap/>
                            <w:vAlign w:val="center"/>
                            <w:hideMark/>
                          </w:tcPr>
                          <w:p w14:paraId="63475D6C" w14:textId="77777777" w:rsidR="00B66083" w:rsidRDefault="00B66083">
                            <w:pPr>
                              <w:spacing w:line="260" w:lineRule="exact"/>
                              <w:jc w:val="right"/>
                              <w:rPr>
                                <w:rFonts w:ascii="標楷體" w:eastAsia="標楷體" w:hAnsi="標楷體"/>
                                <w:b/>
                                <w:bCs/>
                                <w:sz w:val="20"/>
                              </w:rPr>
                            </w:pPr>
                            <w:r>
                              <w:rPr>
                                <w:rFonts w:ascii="標楷體" w:eastAsia="標楷體" w:hAnsi="標楷體" w:hint="eastAsia"/>
                                <w:b/>
                                <w:bCs/>
                                <w:sz w:val="20"/>
                              </w:rPr>
                              <w:t>553,155</w:t>
                            </w:r>
                          </w:p>
                        </w:tc>
                        <w:tc>
                          <w:tcPr>
                            <w:tcW w:w="798" w:type="dxa"/>
                            <w:tcBorders>
                              <w:top w:val="nil"/>
                              <w:left w:val="nil"/>
                              <w:bottom w:val="single" w:sz="4" w:space="0" w:color="auto"/>
                              <w:right w:val="single" w:sz="4" w:space="0" w:color="auto"/>
                            </w:tcBorders>
                            <w:noWrap/>
                            <w:vAlign w:val="center"/>
                            <w:hideMark/>
                          </w:tcPr>
                          <w:p w14:paraId="43D7E7E1" w14:textId="77777777" w:rsidR="00B66083" w:rsidRDefault="00B66083">
                            <w:pPr>
                              <w:spacing w:line="260" w:lineRule="exact"/>
                              <w:jc w:val="right"/>
                              <w:rPr>
                                <w:rFonts w:ascii="標楷體" w:eastAsia="標楷體" w:hAnsi="標楷體"/>
                                <w:b/>
                                <w:bCs/>
                                <w:color w:val="000000"/>
                                <w:sz w:val="20"/>
                              </w:rPr>
                            </w:pPr>
                            <w:r>
                              <w:rPr>
                                <w:rFonts w:ascii="標楷體" w:eastAsia="標楷體" w:hAnsi="標楷體" w:hint="eastAsia"/>
                                <w:b/>
                                <w:bCs/>
                                <w:color w:val="000000"/>
                                <w:sz w:val="20"/>
                              </w:rPr>
                              <w:t>5.98</w:t>
                            </w:r>
                          </w:p>
                        </w:tc>
                      </w:tr>
                      <w:tr w:rsidR="00B66083" w14:paraId="6329516E" w14:textId="77777777" w:rsidTr="004B0E9F">
                        <w:trPr>
                          <w:trHeight w:val="283"/>
                        </w:trPr>
                        <w:tc>
                          <w:tcPr>
                            <w:tcW w:w="826" w:type="dxa"/>
                            <w:tcBorders>
                              <w:top w:val="single" w:sz="4" w:space="0" w:color="auto"/>
                              <w:left w:val="single" w:sz="4" w:space="0" w:color="auto"/>
                              <w:bottom w:val="single" w:sz="4" w:space="0" w:color="auto"/>
                              <w:right w:val="single" w:sz="4" w:space="0" w:color="auto"/>
                            </w:tcBorders>
                            <w:noWrap/>
                            <w:vAlign w:val="center"/>
                            <w:hideMark/>
                          </w:tcPr>
                          <w:p w14:paraId="6597E2F9"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松山區</w:t>
                            </w:r>
                          </w:p>
                        </w:tc>
                        <w:tc>
                          <w:tcPr>
                            <w:tcW w:w="824" w:type="dxa"/>
                            <w:tcBorders>
                              <w:top w:val="single" w:sz="4" w:space="0" w:color="auto"/>
                              <w:left w:val="nil"/>
                              <w:bottom w:val="single" w:sz="4" w:space="0" w:color="auto"/>
                              <w:right w:val="single" w:sz="4" w:space="0" w:color="auto"/>
                            </w:tcBorders>
                            <w:noWrap/>
                            <w:vAlign w:val="center"/>
                            <w:hideMark/>
                          </w:tcPr>
                          <w:p w14:paraId="0EEB58F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1,050</w:t>
                            </w:r>
                          </w:p>
                        </w:tc>
                        <w:tc>
                          <w:tcPr>
                            <w:tcW w:w="814" w:type="dxa"/>
                            <w:tcBorders>
                              <w:top w:val="single" w:sz="4" w:space="0" w:color="auto"/>
                              <w:left w:val="nil"/>
                              <w:bottom w:val="single" w:sz="4" w:space="0" w:color="auto"/>
                              <w:right w:val="single" w:sz="4" w:space="0" w:color="auto"/>
                            </w:tcBorders>
                            <w:noWrap/>
                            <w:vAlign w:val="center"/>
                            <w:hideMark/>
                          </w:tcPr>
                          <w:p w14:paraId="75C1459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40,942</w:t>
                            </w:r>
                          </w:p>
                        </w:tc>
                        <w:tc>
                          <w:tcPr>
                            <w:tcW w:w="822" w:type="dxa"/>
                            <w:tcBorders>
                              <w:top w:val="single" w:sz="4" w:space="0" w:color="auto"/>
                              <w:left w:val="nil"/>
                              <w:bottom w:val="single" w:sz="4" w:space="0" w:color="auto"/>
                              <w:right w:val="double" w:sz="4" w:space="0" w:color="auto"/>
                            </w:tcBorders>
                            <w:noWrap/>
                            <w:vAlign w:val="center"/>
                            <w:hideMark/>
                          </w:tcPr>
                          <w:p w14:paraId="1297725F"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2.56</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570B691F"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2,634</w:t>
                            </w:r>
                          </w:p>
                        </w:tc>
                        <w:tc>
                          <w:tcPr>
                            <w:tcW w:w="858" w:type="dxa"/>
                            <w:tcBorders>
                              <w:top w:val="single" w:sz="4" w:space="0" w:color="auto"/>
                              <w:left w:val="nil"/>
                              <w:bottom w:val="single" w:sz="4" w:space="0" w:color="auto"/>
                              <w:right w:val="single" w:sz="4" w:space="0" w:color="auto"/>
                            </w:tcBorders>
                            <w:noWrap/>
                            <w:vAlign w:val="center"/>
                            <w:hideMark/>
                          </w:tcPr>
                          <w:p w14:paraId="6BCCB67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41,802</w:t>
                            </w:r>
                          </w:p>
                        </w:tc>
                        <w:tc>
                          <w:tcPr>
                            <w:tcW w:w="809" w:type="dxa"/>
                            <w:tcBorders>
                              <w:top w:val="single" w:sz="4" w:space="0" w:color="auto"/>
                              <w:left w:val="nil"/>
                              <w:bottom w:val="single" w:sz="4" w:space="0" w:color="auto"/>
                              <w:right w:val="double" w:sz="4" w:space="0" w:color="auto"/>
                            </w:tcBorders>
                            <w:noWrap/>
                            <w:vAlign w:val="center"/>
                            <w:hideMark/>
                          </w:tcPr>
                          <w:p w14:paraId="27808B6F"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6.30</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0971EE94"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2,176</w:t>
                            </w:r>
                          </w:p>
                        </w:tc>
                        <w:tc>
                          <w:tcPr>
                            <w:tcW w:w="814" w:type="dxa"/>
                            <w:tcBorders>
                              <w:top w:val="single" w:sz="4" w:space="0" w:color="auto"/>
                              <w:left w:val="nil"/>
                              <w:bottom w:val="single" w:sz="4" w:space="0" w:color="auto"/>
                              <w:right w:val="single" w:sz="4" w:space="0" w:color="auto"/>
                            </w:tcBorders>
                            <w:noWrap/>
                            <w:vAlign w:val="center"/>
                            <w:hideMark/>
                          </w:tcPr>
                          <w:p w14:paraId="72DA61A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44,701</w:t>
                            </w:r>
                          </w:p>
                        </w:tc>
                        <w:tc>
                          <w:tcPr>
                            <w:tcW w:w="798" w:type="dxa"/>
                            <w:tcBorders>
                              <w:top w:val="single" w:sz="4" w:space="0" w:color="auto"/>
                              <w:left w:val="nil"/>
                              <w:bottom w:val="single" w:sz="4" w:space="0" w:color="auto"/>
                              <w:right w:val="single" w:sz="4" w:space="0" w:color="auto"/>
                            </w:tcBorders>
                            <w:noWrap/>
                            <w:vAlign w:val="center"/>
                            <w:hideMark/>
                          </w:tcPr>
                          <w:p w14:paraId="3EE14538"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4.87</w:t>
                            </w:r>
                          </w:p>
                        </w:tc>
                      </w:tr>
                      <w:tr w:rsidR="00B66083" w14:paraId="019E7A12" w14:textId="77777777" w:rsidTr="004B0E9F">
                        <w:trPr>
                          <w:trHeight w:val="283"/>
                        </w:trPr>
                        <w:tc>
                          <w:tcPr>
                            <w:tcW w:w="826" w:type="dxa"/>
                            <w:tcBorders>
                              <w:top w:val="single" w:sz="4" w:space="0" w:color="auto"/>
                              <w:left w:val="single" w:sz="4" w:space="0" w:color="auto"/>
                              <w:bottom w:val="single" w:sz="4" w:space="0" w:color="auto"/>
                              <w:right w:val="single" w:sz="4" w:space="0" w:color="auto"/>
                            </w:tcBorders>
                            <w:noWrap/>
                            <w:vAlign w:val="center"/>
                            <w:hideMark/>
                          </w:tcPr>
                          <w:p w14:paraId="4325CBDE"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信義區</w:t>
                            </w:r>
                          </w:p>
                        </w:tc>
                        <w:tc>
                          <w:tcPr>
                            <w:tcW w:w="824" w:type="dxa"/>
                            <w:tcBorders>
                              <w:top w:val="single" w:sz="4" w:space="0" w:color="auto"/>
                              <w:left w:val="nil"/>
                              <w:bottom w:val="single" w:sz="4" w:space="0" w:color="auto"/>
                              <w:right w:val="single" w:sz="4" w:space="0" w:color="auto"/>
                            </w:tcBorders>
                            <w:noWrap/>
                            <w:vAlign w:val="center"/>
                            <w:hideMark/>
                          </w:tcPr>
                          <w:p w14:paraId="1C0AD48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2,211</w:t>
                            </w:r>
                          </w:p>
                        </w:tc>
                        <w:tc>
                          <w:tcPr>
                            <w:tcW w:w="814" w:type="dxa"/>
                            <w:tcBorders>
                              <w:top w:val="single" w:sz="4" w:space="0" w:color="auto"/>
                              <w:left w:val="nil"/>
                              <w:bottom w:val="single" w:sz="4" w:space="0" w:color="auto"/>
                              <w:right w:val="single" w:sz="4" w:space="0" w:color="auto"/>
                            </w:tcBorders>
                            <w:noWrap/>
                            <w:vAlign w:val="center"/>
                            <w:hideMark/>
                          </w:tcPr>
                          <w:p w14:paraId="6686E599"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45,070</w:t>
                            </w:r>
                          </w:p>
                        </w:tc>
                        <w:tc>
                          <w:tcPr>
                            <w:tcW w:w="822" w:type="dxa"/>
                            <w:tcBorders>
                              <w:top w:val="single" w:sz="4" w:space="0" w:color="auto"/>
                              <w:left w:val="nil"/>
                              <w:bottom w:val="single" w:sz="4" w:space="0" w:color="auto"/>
                              <w:right w:val="double" w:sz="4" w:space="0" w:color="auto"/>
                            </w:tcBorders>
                            <w:noWrap/>
                            <w:vAlign w:val="center"/>
                            <w:hideMark/>
                          </w:tcPr>
                          <w:p w14:paraId="60231A23"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4.91</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3DAE9EB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3,474</w:t>
                            </w:r>
                          </w:p>
                        </w:tc>
                        <w:tc>
                          <w:tcPr>
                            <w:tcW w:w="858" w:type="dxa"/>
                            <w:tcBorders>
                              <w:top w:val="single" w:sz="4" w:space="0" w:color="auto"/>
                              <w:left w:val="nil"/>
                              <w:bottom w:val="single" w:sz="4" w:space="0" w:color="auto"/>
                              <w:right w:val="single" w:sz="4" w:space="0" w:color="auto"/>
                            </w:tcBorders>
                            <w:noWrap/>
                            <w:vAlign w:val="center"/>
                            <w:hideMark/>
                          </w:tcPr>
                          <w:p w14:paraId="6F0B787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46,351</w:t>
                            </w:r>
                          </w:p>
                        </w:tc>
                        <w:tc>
                          <w:tcPr>
                            <w:tcW w:w="809" w:type="dxa"/>
                            <w:tcBorders>
                              <w:top w:val="single" w:sz="4" w:space="0" w:color="auto"/>
                              <w:left w:val="nil"/>
                              <w:bottom w:val="single" w:sz="4" w:space="0" w:color="auto"/>
                              <w:right w:val="double" w:sz="4" w:space="0" w:color="auto"/>
                            </w:tcBorders>
                            <w:noWrap/>
                            <w:vAlign w:val="center"/>
                            <w:hideMark/>
                          </w:tcPr>
                          <w:p w14:paraId="261970F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7.49</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390F271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3,091</w:t>
                            </w:r>
                          </w:p>
                        </w:tc>
                        <w:tc>
                          <w:tcPr>
                            <w:tcW w:w="814" w:type="dxa"/>
                            <w:tcBorders>
                              <w:top w:val="single" w:sz="4" w:space="0" w:color="auto"/>
                              <w:left w:val="nil"/>
                              <w:bottom w:val="single" w:sz="4" w:space="0" w:color="auto"/>
                              <w:right w:val="single" w:sz="4" w:space="0" w:color="auto"/>
                            </w:tcBorders>
                            <w:noWrap/>
                            <w:vAlign w:val="center"/>
                            <w:hideMark/>
                          </w:tcPr>
                          <w:p w14:paraId="155A9CA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49,429</w:t>
                            </w:r>
                          </w:p>
                        </w:tc>
                        <w:tc>
                          <w:tcPr>
                            <w:tcW w:w="798" w:type="dxa"/>
                            <w:tcBorders>
                              <w:top w:val="single" w:sz="4" w:space="0" w:color="auto"/>
                              <w:left w:val="nil"/>
                              <w:bottom w:val="single" w:sz="4" w:space="0" w:color="auto"/>
                              <w:right w:val="single" w:sz="4" w:space="0" w:color="auto"/>
                            </w:tcBorders>
                            <w:noWrap/>
                            <w:vAlign w:val="center"/>
                            <w:hideMark/>
                          </w:tcPr>
                          <w:p w14:paraId="5037A414"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6.25</w:t>
                            </w:r>
                          </w:p>
                        </w:tc>
                      </w:tr>
                      <w:tr w:rsidR="00B66083" w14:paraId="74F4DE19" w14:textId="77777777" w:rsidTr="004B0E9F">
                        <w:trPr>
                          <w:trHeight w:val="283"/>
                        </w:trPr>
                        <w:tc>
                          <w:tcPr>
                            <w:tcW w:w="826" w:type="dxa"/>
                            <w:tcBorders>
                              <w:top w:val="single" w:sz="4" w:space="0" w:color="auto"/>
                              <w:left w:val="single" w:sz="4" w:space="0" w:color="auto"/>
                              <w:bottom w:val="single" w:sz="4" w:space="0" w:color="auto"/>
                              <w:right w:val="single" w:sz="4" w:space="0" w:color="auto"/>
                            </w:tcBorders>
                            <w:noWrap/>
                            <w:vAlign w:val="center"/>
                            <w:hideMark/>
                          </w:tcPr>
                          <w:p w14:paraId="37BDC01C"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大安區</w:t>
                            </w:r>
                          </w:p>
                        </w:tc>
                        <w:tc>
                          <w:tcPr>
                            <w:tcW w:w="824" w:type="dxa"/>
                            <w:tcBorders>
                              <w:top w:val="single" w:sz="4" w:space="0" w:color="auto"/>
                              <w:left w:val="nil"/>
                              <w:bottom w:val="single" w:sz="4" w:space="0" w:color="auto"/>
                              <w:right w:val="single" w:sz="4" w:space="0" w:color="auto"/>
                            </w:tcBorders>
                            <w:noWrap/>
                            <w:vAlign w:val="center"/>
                            <w:hideMark/>
                          </w:tcPr>
                          <w:p w14:paraId="057FB52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1,974</w:t>
                            </w:r>
                          </w:p>
                        </w:tc>
                        <w:tc>
                          <w:tcPr>
                            <w:tcW w:w="814" w:type="dxa"/>
                            <w:tcBorders>
                              <w:top w:val="single" w:sz="4" w:space="0" w:color="auto"/>
                              <w:left w:val="nil"/>
                              <w:bottom w:val="single" w:sz="4" w:space="0" w:color="auto"/>
                              <w:right w:val="single" w:sz="4" w:space="0" w:color="auto"/>
                            </w:tcBorders>
                            <w:noWrap/>
                            <w:vAlign w:val="center"/>
                            <w:hideMark/>
                          </w:tcPr>
                          <w:p w14:paraId="0F55B3A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64,857</w:t>
                            </w:r>
                          </w:p>
                        </w:tc>
                        <w:tc>
                          <w:tcPr>
                            <w:tcW w:w="822" w:type="dxa"/>
                            <w:tcBorders>
                              <w:top w:val="single" w:sz="4" w:space="0" w:color="auto"/>
                              <w:left w:val="nil"/>
                              <w:bottom w:val="single" w:sz="4" w:space="0" w:color="auto"/>
                              <w:right w:val="double" w:sz="4" w:space="0" w:color="auto"/>
                            </w:tcBorders>
                            <w:noWrap/>
                            <w:vAlign w:val="center"/>
                            <w:hideMark/>
                          </w:tcPr>
                          <w:p w14:paraId="65DA95C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3.04</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0DB14B1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3,682</w:t>
                            </w:r>
                          </w:p>
                        </w:tc>
                        <w:tc>
                          <w:tcPr>
                            <w:tcW w:w="858" w:type="dxa"/>
                            <w:tcBorders>
                              <w:top w:val="single" w:sz="4" w:space="0" w:color="auto"/>
                              <w:left w:val="nil"/>
                              <w:bottom w:val="single" w:sz="4" w:space="0" w:color="auto"/>
                              <w:right w:val="single" w:sz="4" w:space="0" w:color="auto"/>
                            </w:tcBorders>
                            <w:noWrap/>
                            <w:vAlign w:val="center"/>
                            <w:hideMark/>
                          </w:tcPr>
                          <w:p w14:paraId="659A69A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65,344</w:t>
                            </w:r>
                          </w:p>
                        </w:tc>
                        <w:tc>
                          <w:tcPr>
                            <w:tcW w:w="809" w:type="dxa"/>
                            <w:tcBorders>
                              <w:top w:val="single" w:sz="4" w:space="0" w:color="auto"/>
                              <w:left w:val="nil"/>
                              <w:bottom w:val="single" w:sz="4" w:space="0" w:color="auto"/>
                              <w:right w:val="double" w:sz="4" w:space="0" w:color="auto"/>
                            </w:tcBorders>
                            <w:noWrap/>
                            <w:vAlign w:val="center"/>
                            <w:hideMark/>
                          </w:tcPr>
                          <w:p w14:paraId="6FD308C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5.63</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0E04721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3,403</w:t>
                            </w:r>
                          </w:p>
                        </w:tc>
                        <w:tc>
                          <w:tcPr>
                            <w:tcW w:w="814" w:type="dxa"/>
                            <w:tcBorders>
                              <w:top w:val="single" w:sz="4" w:space="0" w:color="auto"/>
                              <w:left w:val="nil"/>
                              <w:bottom w:val="single" w:sz="4" w:space="0" w:color="auto"/>
                              <w:right w:val="single" w:sz="4" w:space="0" w:color="auto"/>
                            </w:tcBorders>
                            <w:noWrap/>
                            <w:vAlign w:val="center"/>
                            <w:hideMark/>
                          </w:tcPr>
                          <w:p w14:paraId="5B9AA8D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70,196</w:t>
                            </w:r>
                          </w:p>
                        </w:tc>
                        <w:tc>
                          <w:tcPr>
                            <w:tcW w:w="798" w:type="dxa"/>
                            <w:tcBorders>
                              <w:top w:val="single" w:sz="4" w:space="0" w:color="auto"/>
                              <w:left w:val="nil"/>
                              <w:bottom w:val="single" w:sz="4" w:space="0" w:color="auto"/>
                              <w:right w:val="single" w:sz="4" w:space="0" w:color="auto"/>
                            </w:tcBorders>
                            <w:noWrap/>
                            <w:vAlign w:val="center"/>
                            <w:hideMark/>
                          </w:tcPr>
                          <w:p w14:paraId="574B0B14"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4.85</w:t>
                            </w:r>
                          </w:p>
                        </w:tc>
                      </w:tr>
                      <w:tr w:rsidR="00B66083" w14:paraId="0C0B1C2B" w14:textId="77777777" w:rsidTr="004B0E9F">
                        <w:trPr>
                          <w:trHeight w:val="283"/>
                        </w:trPr>
                        <w:tc>
                          <w:tcPr>
                            <w:tcW w:w="826" w:type="dxa"/>
                            <w:tcBorders>
                              <w:top w:val="single" w:sz="4" w:space="0" w:color="auto"/>
                              <w:left w:val="single" w:sz="4" w:space="0" w:color="auto"/>
                              <w:bottom w:val="single" w:sz="4" w:space="0" w:color="auto"/>
                              <w:right w:val="single" w:sz="4" w:space="0" w:color="auto"/>
                            </w:tcBorders>
                            <w:noWrap/>
                            <w:vAlign w:val="center"/>
                            <w:hideMark/>
                          </w:tcPr>
                          <w:p w14:paraId="70F94B22"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中山區</w:t>
                            </w:r>
                          </w:p>
                        </w:tc>
                        <w:tc>
                          <w:tcPr>
                            <w:tcW w:w="824" w:type="dxa"/>
                            <w:tcBorders>
                              <w:top w:val="single" w:sz="4" w:space="0" w:color="auto"/>
                              <w:left w:val="nil"/>
                              <w:bottom w:val="single" w:sz="4" w:space="0" w:color="auto"/>
                              <w:right w:val="single" w:sz="4" w:space="0" w:color="auto"/>
                            </w:tcBorders>
                            <w:noWrap/>
                            <w:vAlign w:val="center"/>
                            <w:hideMark/>
                          </w:tcPr>
                          <w:p w14:paraId="26C4407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1,328</w:t>
                            </w:r>
                          </w:p>
                        </w:tc>
                        <w:tc>
                          <w:tcPr>
                            <w:tcW w:w="814" w:type="dxa"/>
                            <w:tcBorders>
                              <w:top w:val="single" w:sz="4" w:space="0" w:color="auto"/>
                              <w:left w:val="nil"/>
                              <w:bottom w:val="single" w:sz="4" w:space="0" w:color="auto"/>
                              <w:right w:val="single" w:sz="4" w:space="0" w:color="auto"/>
                            </w:tcBorders>
                            <w:noWrap/>
                            <w:vAlign w:val="center"/>
                            <w:hideMark/>
                          </w:tcPr>
                          <w:p w14:paraId="51EA5C2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45,157</w:t>
                            </w:r>
                          </w:p>
                        </w:tc>
                        <w:tc>
                          <w:tcPr>
                            <w:tcW w:w="822" w:type="dxa"/>
                            <w:tcBorders>
                              <w:top w:val="single" w:sz="4" w:space="0" w:color="auto"/>
                              <w:left w:val="nil"/>
                              <w:bottom w:val="single" w:sz="4" w:space="0" w:color="auto"/>
                              <w:right w:val="double" w:sz="4" w:space="0" w:color="auto"/>
                            </w:tcBorders>
                            <w:noWrap/>
                            <w:vAlign w:val="center"/>
                            <w:hideMark/>
                          </w:tcPr>
                          <w:p w14:paraId="26DE9AE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2.94</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44E9CCD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2,456</w:t>
                            </w:r>
                          </w:p>
                        </w:tc>
                        <w:tc>
                          <w:tcPr>
                            <w:tcW w:w="858" w:type="dxa"/>
                            <w:tcBorders>
                              <w:top w:val="single" w:sz="4" w:space="0" w:color="auto"/>
                              <w:left w:val="nil"/>
                              <w:bottom w:val="single" w:sz="4" w:space="0" w:color="auto"/>
                              <w:right w:val="single" w:sz="4" w:space="0" w:color="auto"/>
                            </w:tcBorders>
                            <w:noWrap/>
                            <w:vAlign w:val="center"/>
                            <w:hideMark/>
                          </w:tcPr>
                          <w:p w14:paraId="58631E2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46,699</w:t>
                            </w:r>
                          </w:p>
                        </w:tc>
                        <w:tc>
                          <w:tcPr>
                            <w:tcW w:w="809" w:type="dxa"/>
                            <w:tcBorders>
                              <w:top w:val="single" w:sz="4" w:space="0" w:color="auto"/>
                              <w:left w:val="nil"/>
                              <w:bottom w:val="single" w:sz="4" w:space="0" w:color="auto"/>
                              <w:right w:val="double" w:sz="4" w:space="0" w:color="auto"/>
                            </w:tcBorders>
                            <w:noWrap/>
                            <w:vAlign w:val="center"/>
                            <w:hideMark/>
                          </w:tcPr>
                          <w:p w14:paraId="6D89A3A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5.26</w:t>
                            </w:r>
                          </w:p>
                        </w:tc>
                        <w:tc>
                          <w:tcPr>
                            <w:tcW w:w="658" w:type="dxa"/>
                            <w:tcBorders>
                              <w:top w:val="single" w:sz="4" w:space="0" w:color="auto"/>
                              <w:left w:val="double" w:sz="4" w:space="0" w:color="auto"/>
                              <w:bottom w:val="single" w:sz="4" w:space="0" w:color="auto"/>
                              <w:right w:val="single" w:sz="4" w:space="0" w:color="auto"/>
                            </w:tcBorders>
                            <w:noWrap/>
                            <w:vAlign w:val="center"/>
                            <w:hideMark/>
                          </w:tcPr>
                          <w:p w14:paraId="5458087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2,323</w:t>
                            </w:r>
                          </w:p>
                        </w:tc>
                        <w:tc>
                          <w:tcPr>
                            <w:tcW w:w="814" w:type="dxa"/>
                            <w:tcBorders>
                              <w:top w:val="single" w:sz="4" w:space="0" w:color="auto"/>
                              <w:left w:val="nil"/>
                              <w:bottom w:val="single" w:sz="4" w:space="0" w:color="auto"/>
                              <w:right w:val="single" w:sz="4" w:space="0" w:color="auto"/>
                            </w:tcBorders>
                            <w:noWrap/>
                            <w:vAlign w:val="center"/>
                            <w:hideMark/>
                          </w:tcPr>
                          <w:p w14:paraId="5048E20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49,942</w:t>
                            </w:r>
                          </w:p>
                        </w:tc>
                        <w:tc>
                          <w:tcPr>
                            <w:tcW w:w="798" w:type="dxa"/>
                            <w:tcBorders>
                              <w:top w:val="single" w:sz="4" w:space="0" w:color="auto"/>
                              <w:left w:val="nil"/>
                              <w:bottom w:val="single" w:sz="4" w:space="0" w:color="auto"/>
                              <w:right w:val="single" w:sz="4" w:space="0" w:color="auto"/>
                            </w:tcBorders>
                            <w:noWrap/>
                            <w:vAlign w:val="center"/>
                            <w:hideMark/>
                          </w:tcPr>
                          <w:p w14:paraId="171497A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4.65</w:t>
                            </w:r>
                          </w:p>
                        </w:tc>
                      </w:tr>
                      <w:tr w:rsidR="00B66083" w14:paraId="6C63204E"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21445512"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中正區</w:t>
                            </w:r>
                          </w:p>
                        </w:tc>
                        <w:tc>
                          <w:tcPr>
                            <w:tcW w:w="824" w:type="dxa"/>
                            <w:tcBorders>
                              <w:top w:val="nil"/>
                              <w:left w:val="nil"/>
                              <w:bottom w:val="single" w:sz="4" w:space="0" w:color="auto"/>
                              <w:right w:val="single" w:sz="4" w:space="0" w:color="auto"/>
                            </w:tcBorders>
                            <w:noWrap/>
                            <w:vAlign w:val="center"/>
                            <w:hideMark/>
                          </w:tcPr>
                          <w:p w14:paraId="558056E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1,281</w:t>
                            </w:r>
                          </w:p>
                        </w:tc>
                        <w:tc>
                          <w:tcPr>
                            <w:tcW w:w="814" w:type="dxa"/>
                            <w:tcBorders>
                              <w:top w:val="nil"/>
                              <w:left w:val="nil"/>
                              <w:bottom w:val="single" w:sz="4" w:space="0" w:color="auto"/>
                              <w:right w:val="single" w:sz="4" w:space="0" w:color="auto"/>
                            </w:tcBorders>
                            <w:noWrap/>
                            <w:vAlign w:val="center"/>
                            <w:hideMark/>
                          </w:tcPr>
                          <w:p w14:paraId="37929AB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29,894</w:t>
                            </w:r>
                          </w:p>
                        </w:tc>
                        <w:tc>
                          <w:tcPr>
                            <w:tcW w:w="822" w:type="dxa"/>
                            <w:tcBorders>
                              <w:top w:val="nil"/>
                              <w:left w:val="nil"/>
                              <w:bottom w:val="single" w:sz="4" w:space="0" w:color="auto"/>
                              <w:right w:val="double" w:sz="4" w:space="0" w:color="auto"/>
                            </w:tcBorders>
                            <w:noWrap/>
                            <w:vAlign w:val="center"/>
                            <w:hideMark/>
                          </w:tcPr>
                          <w:p w14:paraId="0E45F3D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4.29</w:t>
                            </w:r>
                          </w:p>
                        </w:tc>
                        <w:tc>
                          <w:tcPr>
                            <w:tcW w:w="658" w:type="dxa"/>
                            <w:tcBorders>
                              <w:top w:val="nil"/>
                              <w:left w:val="double" w:sz="4" w:space="0" w:color="auto"/>
                              <w:bottom w:val="single" w:sz="4" w:space="0" w:color="auto"/>
                              <w:right w:val="single" w:sz="4" w:space="0" w:color="auto"/>
                            </w:tcBorders>
                            <w:noWrap/>
                            <w:vAlign w:val="center"/>
                            <w:hideMark/>
                          </w:tcPr>
                          <w:p w14:paraId="2CA829A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2,349</w:t>
                            </w:r>
                          </w:p>
                        </w:tc>
                        <w:tc>
                          <w:tcPr>
                            <w:tcW w:w="858" w:type="dxa"/>
                            <w:tcBorders>
                              <w:top w:val="nil"/>
                              <w:left w:val="nil"/>
                              <w:bottom w:val="single" w:sz="4" w:space="0" w:color="auto"/>
                              <w:right w:val="single" w:sz="4" w:space="0" w:color="auto"/>
                            </w:tcBorders>
                            <w:noWrap/>
                            <w:vAlign w:val="center"/>
                            <w:hideMark/>
                          </w:tcPr>
                          <w:p w14:paraId="4A533F3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30,513</w:t>
                            </w:r>
                          </w:p>
                        </w:tc>
                        <w:tc>
                          <w:tcPr>
                            <w:tcW w:w="809" w:type="dxa"/>
                            <w:tcBorders>
                              <w:top w:val="nil"/>
                              <w:left w:val="nil"/>
                              <w:bottom w:val="single" w:sz="4" w:space="0" w:color="auto"/>
                              <w:right w:val="double" w:sz="4" w:space="0" w:color="auto"/>
                            </w:tcBorders>
                            <w:noWrap/>
                            <w:vAlign w:val="center"/>
                            <w:hideMark/>
                          </w:tcPr>
                          <w:p w14:paraId="76AC0BDF"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7.70</w:t>
                            </w:r>
                          </w:p>
                        </w:tc>
                        <w:tc>
                          <w:tcPr>
                            <w:tcW w:w="658" w:type="dxa"/>
                            <w:tcBorders>
                              <w:top w:val="nil"/>
                              <w:left w:val="double" w:sz="4" w:space="0" w:color="auto"/>
                              <w:bottom w:val="single" w:sz="4" w:space="0" w:color="auto"/>
                              <w:right w:val="single" w:sz="4" w:space="0" w:color="auto"/>
                            </w:tcBorders>
                            <w:noWrap/>
                            <w:vAlign w:val="center"/>
                            <w:hideMark/>
                          </w:tcPr>
                          <w:p w14:paraId="4150586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2,158</w:t>
                            </w:r>
                          </w:p>
                        </w:tc>
                        <w:tc>
                          <w:tcPr>
                            <w:tcW w:w="814" w:type="dxa"/>
                            <w:tcBorders>
                              <w:top w:val="nil"/>
                              <w:left w:val="nil"/>
                              <w:bottom w:val="single" w:sz="4" w:space="0" w:color="auto"/>
                              <w:right w:val="single" w:sz="4" w:space="0" w:color="auto"/>
                            </w:tcBorders>
                            <w:noWrap/>
                            <w:vAlign w:val="center"/>
                            <w:hideMark/>
                          </w:tcPr>
                          <w:p w14:paraId="425B708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32,604</w:t>
                            </w:r>
                          </w:p>
                        </w:tc>
                        <w:tc>
                          <w:tcPr>
                            <w:tcW w:w="798" w:type="dxa"/>
                            <w:tcBorders>
                              <w:top w:val="nil"/>
                              <w:left w:val="nil"/>
                              <w:bottom w:val="single" w:sz="4" w:space="0" w:color="auto"/>
                              <w:right w:val="single" w:sz="4" w:space="0" w:color="auto"/>
                            </w:tcBorders>
                            <w:noWrap/>
                            <w:vAlign w:val="center"/>
                            <w:hideMark/>
                          </w:tcPr>
                          <w:p w14:paraId="48F7FAF3"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6.62</w:t>
                            </w:r>
                          </w:p>
                        </w:tc>
                      </w:tr>
                      <w:tr w:rsidR="00B66083" w14:paraId="45582BC9"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31DB3CFC"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大同區</w:t>
                            </w:r>
                          </w:p>
                        </w:tc>
                        <w:tc>
                          <w:tcPr>
                            <w:tcW w:w="824" w:type="dxa"/>
                            <w:tcBorders>
                              <w:top w:val="nil"/>
                              <w:left w:val="nil"/>
                              <w:bottom w:val="single" w:sz="4" w:space="0" w:color="auto"/>
                              <w:right w:val="single" w:sz="4" w:space="0" w:color="auto"/>
                            </w:tcBorders>
                            <w:noWrap/>
                            <w:vAlign w:val="center"/>
                            <w:hideMark/>
                          </w:tcPr>
                          <w:p w14:paraId="42BF51B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1,298</w:t>
                            </w:r>
                          </w:p>
                        </w:tc>
                        <w:tc>
                          <w:tcPr>
                            <w:tcW w:w="814" w:type="dxa"/>
                            <w:tcBorders>
                              <w:top w:val="nil"/>
                              <w:left w:val="nil"/>
                              <w:bottom w:val="single" w:sz="4" w:space="0" w:color="auto"/>
                              <w:right w:val="single" w:sz="4" w:space="0" w:color="auto"/>
                            </w:tcBorders>
                            <w:noWrap/>
                            <w:vAlign w:val="center"/>
                            <w:hideMark/>
                          </w:tcPr>
                          <w:p w14:paraId="40AE758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24,424</w:t>
                            </w:r>
                          </w:p>
                        </w:tc>
                        <w:tc>
                          <w:tcPr>
                            <w:tcW w:w="822" w:type="dxa"/>
                            <w:tcBorders>
                              <w:top w:val="nil"/>
                              <w:left w:val="nil"/>
                              <w:bottom w:val="single" w:sz="4" w:space="0" w:color="auto"/>
                              <w:right w:val="double" w:sz="4" w:space="0" w:color="auto"/>
                            </w:tcBorders>
                            <w:noWrap/>
                            <w:vAlign w:val="center"/>
                            <w:hideMark/>
                          </w:tcPr>
                          <w:p w14:paraId="7FDEAD2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5.31</w:t>
                            </w:r>
                          </w:p>
                        </w:tc>
                        <w:tc>
                          <w:tcPr>
                            <w:tcW w:w="658" w:type="dxa"/>
                            <w:tcBorders>
                              <w:top w:val="nil"/>
                              <w:left w:val="double" w:sz="4" w:space="0" w:color="auto"/>
                              <w:bottom w:val="single" w:sz="4" w:space="0" w:color="auto"/>
                              <w:right w:val="single" w:sz="4" w:space="0" w:color="auto"/>
                            </w:tcBorders>
                            <w:noWrap/>
                            <w:vAlign w:val="center"/>
                            <w:hideMark/>
                          </w:tcPr>
                          <w:p w14:paraId="1CA5A27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1,917</w:t>
                            </w:r>
                          </w:p>
                        </w:tc>
                        <w:tc>
                          <w:tcPr>
                            <w:tcW w:w="858" w:type="dxa"/>
                            <w:tcBorders>
                              <w:top w:val="nil"/>
                              <w:left w:val="nil"/>
                              <w:bottom w:val="single" w:sz="4" w:space="0" w:color="auto"/>
                              <w:right w:val="single" w:sz="4" w:space="0" w:color="auto"/>
                            </w:tcBorders>
                            <w:noWrap/>
                            <w:vAlign w:val="center"/>
                            <w:hideMark/>
                          </w:tcPr>
                          <w:p w14:paraId="195654E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25,022</w:t>
                            </w:r>
                          </w:p>
                        </w:tc>
                        <w:tc>
                          <w:tcPr>
                            <w:tcW w:w="809" w:type="dxa"/>
                            <w:tcBorders>
                              <w:top w:val="nil"/>
                              <w:left w:val="nil"/>
                              <w:bottom w:val="single" w:sz="4" w:space="0" w:color="auto"/>
                              <w:right w:val="double" w:sz="4" w:space="0" w:color="auto"/>
                            </w:tcBorders>
                            <w:noWrap/>
                            <w:vAlign w:val="center"/>
                            <w:hideMark/>
                          </w:tcPr>
                          <w:p w14:paraId="2004A339"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7.66</w:t>
                            </w:r>
                          </w:p>
                        </w:tc>
                        <w:tc>
                          <w:tcPr>
                            <w:tcW w:w="658" w:type="dxa"/>
                            <w:tcBorders>
                              <w:top w:val="nil"/>
                              <w:left w:val="double" w:sz="4" w:space="0" w:color="auto"/>
                              <w:bottom w:val="single" w:sz="4" w:space="0" w:color="auto"/>
                              <w:right w:val="single" w:sz="4" w:space="0" w:color="auto"/>
                            </w:tcBorders>
                            <w:noWrap/>
                            <w:vAlign w:val="center"/>
                            <w:hideMark/>
                          </w:tcPr>
                          <w:p w14:paraId="6CF6921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1,790</w:t>
                            </w:r>
                          </w:p>
                        </w:tc>
                        <w:tc>
                          <w:tcPr>
                            <w:tcW w:w="814" w:type="dxa"/>
                            <w:tcBorders>
                              <w:top w:val="nil"/>
                              <w:left w:val="nil"/>
                              <w:bottom w:val="single" w:sz="4" w:space="0" w:color="auto"/>
                              <w:right w:val="single" w:sz="4" w:space="0" w:color="auto"/>
                            </w:tcBorders>
                            <w:noWrap/>
                            <w:vAlign w:val="center"/>
                            <w:hideMark/>
                          </w:tcPr>
                          <w:p w14:paraId="4A4FEBD3"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26,426</w:t>
                            </w:r>
                          </w:p>
                        </w:tc>
                        <w:tc>
                          <w:tcPr>
                            <w:tcW w:w="798" w:type="dxa"/>
                            <w:tcBorders>
                              <w:top w:val="nil"/>
                              <w:left w:val="nil"/>
                              <w:bottom w:val="single" w:sz="4" w:space="0" w:color="auto"/>
                              <w:right w:val="single" w:sz="4" w:space="0" w:color="auto"/>
                            </w:tcBorders>
                            <w:noWrap/>
                            <w:vAlign w:val="center"/>
                            <w:hideMark/>
                          </w:tcPr>
                          <w:p w14:paraId="7716EB9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6.77</w:t>
                            </w:r>
                          </w:p>
                        </w:tc>
                      </w:tr>
                      <w:tr w:rsidR="00B66083" w14:paraId="7E473DB4"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62949FA6"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萬華區</w:t>
                            </w:r>
                          </w:p>
                        </w:tc>
                        <w:tc>
                          <w:tcPr>
                            <w:tcW w:w="824" w:type="dxa"/>
                            <w:tcBorders>
                              <w:top w:val="nil"/>
                              <w:left w:val="nil"/>
                              <w:bottom w:val="single" w:sz="4" w:space="0" w:color="auto"/>
                              <w:right w:val="single" w:sz="4" w:space="0" w:color="auto"/>
                            </w:tcBorders>
                            <w:noWrap/>
                            <w:vAlign w:val="center"/>
                            <w:hideMark/>
                          </w:tcPr>
                          <w:p w14:paraId="7ABD9724"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2,578</w:t>
                            </w:r>
                          </w:p>
                        </w:tc>
                        <w:tc>
                          <w:tcPr>
                            <w:tcW w:w="814" w:type="dxa"/>
                            <w:tcBorders>
                              <w:top w:val="nil"/>
                              <w:left w:val="nil"/>
                              <w:bottom w:val="single" w:sz="4" w:space="0" w:color="auto"/>
                              <w:right w:val="single" w:sz="4" w:space="0" w:color="auto"/>
                            </w:tcBorders>
                            <w:noWrap/>
                            <w:vAlign w:val="center"/>
                            <w:hideMark/>
                          </w:tcPr>
                          <w:p w14:paraId="565C393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39,072</w:t>
                            </w:r>
                          </w:p>
                        </w:tc>
                        <w:tc>
                          <w:tcPr>
                            <w:tcW w:w="822" w:type="dxa"/>
                            <w:tcBorders>
                              <w:top w:val="nil"/>
                              <w:left w:val="nil"/>
                              <w:bottom w:val="single" w:sz="4" w:space="0" w:color="auto"/>
                              <w:right w:val="double" w:sz="4" w:space="0" w:color="auto"/>
                            </w:tcBorders>
                            <w:noWrap/>
                            <w:vAlign w:val="center"/>
                            <w:hideMark/>
                          </w:tcPr>
                          <w:p w14:paraId="2B0CA81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6.60</w:t>
                            </w:r>
                          </w:p>
                        </w:tc>
                        <w:tc>
                          <w:tcPr>
                            <w:tcW w:w="658" w:type="dxa"/>
                            <w:tcBorders>
                              <w:top w:val="nil"/>
                              <w:left w:val="double" w:sz="4" w:space="0" w:color="auto"/>
                              <w:bottom w:val="single" w:sz="4" w:space="0" w:color="auto"/>
                              <w:right w:val="single" w:sz="4" w:space="0" w:color="auto"/>
                            </w:tcBorders>
                            <w:noWrap/>
                            <w:vAlign w:val="center"/>
                            <w:hideMark/>
                          </w:tcPr>
                          <w:p w14:paraId="1F982B8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3,207</w:t>
                            </w:r>
                          </w:p>
                        </w:tc>
                        <w:tc>
                          <w:tcPr>
                            <w:tcW w:w="858" w:type="dxa"/>
                            <w:tcBorders>
                              <w:top w:val="nil"/>
                              <w:left w:val="nil"/>
                              <w:bottom w:val="single" w:sz="4" w:space="0" w:color="auto"/>
                              <w:right w:val="single" w:sz="4" w:space="0" w:color="auto"/>
                            </w:tcBorders>
                            <w:noWrap/>
                            <w:vAlign w:val="center"/>
                            <w:hideMark/>
                          </w:tcPr>
                          <w:p w14:paraId="2BCBB3D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39,956</w:t>
                            </w:r>
                          </w:p>
                        </w:tc>
                        <w:tc>
                          <w:tcPr>
                            <w:tcW w:w="809" w:type="dxa"/>
                            <w:tcBorders>
                              <w:top w:val="nil"/>
                              <w:left w:val="nil"/>
                              <w:bottom w:val="single" w:sz="4" w:space="0" w:color="auto"/>
                              <w:right w:val="double" w:sz="4" w:space="0" w:color="auto"/>
                            </w:tcBorders>
                            <w:noWrap/>
                            <w:vAlign w:val="center"/>
                            <w:hideMark/>
                          </w:tcPr>
                          <w:p w14:paraId="40BEFCFF"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8.03</w:t>
                            </w:r>
                          </w:p>
                        </w:tc>
                        <w:tc>
                          <w:tcPr>
                            <w:tcW w:w="658" w:type="dxa"/>
                            <w:tcBorders>
                              <w:top w:val="nil"/>
                              <w:left w:val="double" w:sz="4" w:space="0" w:color="auto"/>
                              <w:bottom w:val="single" w:sz="4" w:space="0" w:color="auto"/>
                              <w:right w:val="single" w:sz="4" w:space="0" w:color="auto"/>
                            </w:tcBorders>
                            <w:noWrap/>
                            <w:vAlign w:val="center"/>
                            <w:hideMark/>
                          </w:tcPr>
                          <w:p w14:paraId="79FC9DD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2,849</w:t>
                            </w:r>
                          </w:p>
                        </w:tc>
                        <w:tc>
                          <w:tcPr>
                            <w:tcW w:w="814" w:type="dxa"/>
                            <w:tcBorders>
                              <w:top w:val="nil"/>
                              <w:left w:val="nil"/>
                              <w:bottom w:val="single" w:sz="4" w:space="0" w:color="auto"/>
                              <w:right w:val="single" w:sz="4" w:space="0" w:color="auto"/>
                            </w:tcBorders>
                            <w:noWrap/>
                            <w:vAlign w:val="center"/>
                            <w:hideMark/>
                          </w:tcPr>
                          <w:p w14:paraId="6B3F83A9"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41,940</w:t>
                            </w:r>
                          </w:p>
                        </w:tc>
                        <w:tc>
                          <w:tcPr>
                            <w:tcW w:w="798" w:type="dxa"/>
                            <w:tcBorders>
                              <w:top w:val="nil"/>
                              <w:left w:val="nil"/>
                              <w:bottom w:val="single" w:sz="4" w:space="0" w:color="auto"/>
                              <w:right w:val="single" w:sz="4" w:space="0" w:color="auto"/>
                            </w:tcBorders>
                            <w:noWrap/>
                            <w:vAlign w:val="center"/>
                            <w:hideMark/>
                          </w:tcPr>
                          <w:p w14:paraId="7EAAECB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6.79</w:t>
                            </w:r>
                          </w:p>
                        </w:tc>
                      </w:tr>
                      <w:tr w:rsidR="00B66083" w14:paraId="48008453"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0E1728E4"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文山區</w:t>
                            </w:r>
                          </w:p>
                        </w:tc>
                        <w:tc>
                          <w:tcPr>
                            <w:tcW w:w="824" w:type="dxa"/>
                            <w:tcBorders>
                              <w:top w:val="nil"/>
                              <w:left w:val="nil"/>
                              <w:bottom w:val="single" w:sz="4" w:space="0" w:color="auto"/>
                              <w:right w:val="single" w:sz="4" w:space="0" w:color="auto"/>
                            </w:tcBorders>
                            <w:noWrap/>
                            <w:vAlign w:val="center"/>
                            <w:hideMark/>
                          </w:tcPr>
                          <w:p w14:paraId="2988681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1,805</w:t>
                            </w:r>
                          </w:p>
                        </w:tc>
                        <w:tc>
                          <w:tcPr>
                            <w:tcW w:w="814" w:type="dxa"/>
                            <w:tcBorders>
                              <w:top w:val="nil"/>
                              <w:left w:val="nil"/>
                              <w:bottom w:val="single" w:sz="4" w:space="0" w:color="auto"/>
                              <w:right w:val="single" w:sz="4" w:space="0" w:color="auto"/>
                            </w:tcBorders>
                            <w:noWrap/>
                            <w:vAlign w:val="center"/>
                            <w:hideMark/>
                          </w:tcPr>
                          <w:p w14:paraId="710E8CE7"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47,031</w:t>
                            </w:r>
                          </w:p>
                        </w:tc>
                        <w:tc>
                          <w:tcPr>
                            <w:tcW w:w="822" w:type="dxa"/>
                            <w:tcBorders>
                              <w:top w:val="nil"/>
                              <w:left w:val="nil"/>
                              <w:bottom w:val="single" w:sz="4" w:space="0" w:color="auto"/>
                              <w:right w:val="double" w:sz="4" w:space="0" w:color="auto"/>
                            </w:tcBorders>
                            <w:noWrap/>
                            <w:vAlign w:val="center"/>
                            <w:hideMark/>
                          </w:tcPr>
                          <w:p w14:paraId="5640637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3.84</w:t>
                            </w:r>
                          </w:p>
                        </w:tc>
                        <w:tc>
                          <w:tcPr>
                            <w:tcW w:w="658" w:type="dxa"/>
                            <w:tcBorders>
                              <w:top w:val="nil"/>
                              <w:left w:val="double" w:sz="4" w:space="0" w:color="auto"/>
                              <w:bottom w:val="single" w:sz="4" w:space="0" w:color="auto"/>
                              <w:right w:val="single" w:sz="4" w:space="0" w:color="auto"/>
                            </w:tcBorders>
                            <w:noWrap/>
                            <w:vAlign w:val="center"/>
                            <w:hideMark/>
                          </w:tcPr>
                          <w:p w14:paraId="7F35B01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4,197</w:t>
                            </w:r>
                          </w:p>
                        </w:tc>
                        <w:tc>
                          <w:tcPr>
                            <w:tcW w:w="858" w:type="dxa"/>
                            <w:tcBorders>
                              <w:top w:val="nil"/>
                              <w:left w:val="nil"/>
                              <w:bottom w:val="single" w:sz="4" w:space="0" w:color="auto"/>
                              <w:right w:val="single" w:sz="4" w:space="0" w:color="auto"/>
                            </w:tcBorders>
                            <w:noWrap/>
                            <w:vAlign w:val="center"/>
                            <w:hideMark/>
                          </w:tcPr>
                          <w:p w14:paraId="49B0471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48,705</w:t>
                            </w:r>
                          </w:p>
                        </w:tc>
                        <w:tc>
                          <w:tcPr>
                            <w:tcW w:w="809" w:type="dxa"/>
                            <w:tcBorders>
                              <w:top w:val="nil"/>
                              <w:left w:val="nil"/>
                              <w:bottom w:val="single" w:sz="4" w:space="0" w:color="auto"/>
                              <w:right w:val="double" w:sz="4" w:space="0" w:color="auto"/>
                            </w:tcBorders>
                            <w:noWrap/>
                            <w:vAlign w:val="center"/>
                            <w:hideMark/>
                          </w:tcPr>
                          <w:p w14:paraId="0AA4A2DD"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8.62</w:t>
                            </w:r>
                          </w:p>
                        </w:tc>
                        <w:tc>
                          <w:tcPr>
                            <w:tcW w:w="658" w:type="dxa"/>
                            <w:tcBorders>
                              <w:top w:val="nil"/>
                              <w:left w:val="double" w:sz="4" w:space="0" w:color="auto"/>
                              <w:bottom w:val="single" w:sz="4" w:space="0" w:color="auto"/>
                              <w:right w:val="single" w:sz="4" w:space="0" w:color="auto"/>
                            </w:tcBorders>
                            <w:noWrap/>
                            <w:vAlign w:val="center"/>
                            <w:hideMark/>
                          </w:tcPr>
                          <w:p w14:paraId="6908B9C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3,439</w:t>
                            </w:r>
                          </w:p>
                        </w:tc>
                        <w:tc>
                          <w:tcPr>
                            <w:tcW w:w="814" w:type="dxa"/>
                            <w:tcBorders>
                              <w:top w:val="nil"/>
                              <w:left w:val="nil"/>
                              <w:bottom w:val="single" w:sz="4" w:space="0" w:color="auto"/>
                              <w:right w:val="single" w:sz="4" w:space="0" w:color="auto"/>
                            </w:tcBorders>
                            <w:noWrap/>
                            <w:vAlign w:val="center"/>
                            <w:hideMark/>
                          </w:tcPr>
                          <w:p w14:paraId="0ECBB15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52,127</w:t>
                            </w:r>
                          </w:p>
                        </w:tc>
                        <w:tc>
                          <w:tcPr>
                            <w:tcW w:w="798" w:type="dxa"/>
                            <w:tcBorders>
                              <w:top w:val="nil"/>
                              <w:left w:val="nil"/>
                              <w:bottom w:val="single" w:sz="4" w:space="0" w:color="auto"/>
                              <w:right w:val="single" w:sz="4" w:space="0" w:color="auto"/>
                            </w:tcBorders>
                            <w:noWrap/>
                            <w:vAlign w:val="center"/>
                            <w:hideMark/>
                          </w:tcPr>
                          <w:p w14:paraId="375EB989"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6.60</w:t>
                            </w:r>
                          </w:p>
                        </w:tc>
                      </w:tr>
                      <w:tr w:rsidR="00B66083" w14:paraId="1C9236B5"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56E14FE6"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南港區</w:t>
                            </w:r>
                          </w:p>
                        </w:tc>
                        <w:tc>
                          <w:tcPr>
                            <w:tcW w:w="824" w:type="dxa"/>
                            <w:tcBorders>
                              <w:top w:val="nil"/>
                              <w:left w:val="nil"/>
                              <w:bottom w:val="single" w:sz="4" w:space="0" w:color="auto"/>
                              <w:right w:val="single" w:sz="4" w:space="0" w:color="auto"/>
                            </w:tcBorders>
                            <w:noWrap/>
                            <w:vAlign w:val="center"/>
                            <w:hideMark/>
                          </w:tcPr>
                          <w:p w14:paraId="1CC30C0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1,188</w:t>
                            </w:r>
                          </w:p>
                        </w:tc>
                        <w:tc>
                          <w:tcPr>
                            <w:tcW w:w="814" w:type="dxa"/>
                            <w:tcBorders>
                              <w:top w:val="nil"/>
                              <w:left w:val="nil"/>
                              <w:bottom w:val="single" w:sz="4" w:space="0" w:color="auto"/>
                              <w:right w:val="single" w:sz="4" w:space="0" w:color="auto"/>
                            </w:tcBorders>
                            <w:noWrap/>
                            <w:vAlign w:val="center"/>
                            <w:hideMark/>
                          </w:tcPr>
                          <w:p w14:paraId="01B19B2D"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20,688</w:t>
                            </w:r>
                          </w:p>
                        </w:tc>
                        <w:tc>
                          <w:tcPr>
                            <w:tcW w:w="822" w:type="dxa"/>
                            <w:tcBorders>
                              <w:top w:val="nil"/>
                              <w:left w:val="nil"/>
                              <w:bottom w:val="single" w:sz="4" w:space="0" w:color="auto"/>
                              <w:right w:val="double" w:sz="4" w:space="0" w:color="auto"/>
                            </w:tcBorders>
                            <w:noWrap/>
                            <w:vAlign w:val="center"/>
                            <w:hideMark/>
                          </w:tcPr>
                          <w:p w14:paraId="159AC20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5.74</w:t>
                            </w:r>
                          </w:p>
                        </w:tc>
                        <w:tc>
                          <w:tcPr>
                            <w:tcW w:w="658" w:type="dxa"/>
                            <w:tcBorders>
                              <w:top w:val="nil"/>
                              <w:left w:val="double" w:sz="4" w:space="0" w:color="auto"/>
                              <w:bottom w:val="single" w:sz="4" w:space="0" w:color="auto"/>
                              <w:right w:val="single" w:sz="4" w:space="0" w:color="auto"/>
                            </w:tcBorders>
                            <w:noWrap/>
                            <w:vAlign w:val="center"/>
                            <w:hideMark/>
                          </w:tcPr>
                          <w:p w14:paraId="6D122E4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1,669</w:t>
                            </w:r>
                          </w:p>
                        </w:tc>
                        <w:tc>
                          <w:tcPr>
                            <w:tcW w:w="858" w:type="dxa"/>
                            <w:tcBorders>
                              <w:top w:val="nil"/>
                              <w:left w:val="nil"/>
                              <w:bottom w:val="single" w:sz="4" w:space="0" w:color="auto"/>
                              <w:right w:val="single" w:sz="4" w:space="0" w:color="auto"/>
                            </w:tcBorders>
                            <w:noWrap/>
                            <w:vAlign w:val="center"/>
                            <w:hideMark/>
                          </w:tcPr>
                          <w:p w14:paraId="6D856EC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21,423</w:t>
                            </w:r>
                          </w:p>
                        </w:tc>
                        <w:tc>
                          <w:tcPr>
                            <w:tcW w:w="809" w:type="dxa"/>
                            <w:tcBorders>
                              <w:top w:val="nil"/>
                              <w:left w:val="nil"/>
                              <w:bottom w:val="single" w:sz="4" w:space="0" w:color="auto"/>
                              <w:right w:val="double" w:sz="4" w:space="0" w:color="auto"/>
                            </w:tcBorders>
                            <w:noWrap/>
                            <w:vAlign w:val="center"/>
                            <w:hideMark/>
                          </w:tcPr>
                          <w:p w14:paraId="32F85343"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7.79</w:t>
                            </w:r>
                          </w:p>
                        </w:tc>
                        <w:tc>
                          <w:tcPr>
                            <w:tcW w:w="658" w:type="dxa"/>
                            <w:tcBorders>
                              <w:top w:val="nil"/>
                              <w:left w:val="double" w:sz="4" w:space="0" w:color="auto"/>
                              <w:bottom w:val="single" w:sz="4" w:space="0" w:color="auto"/>
                              <w:right w:val="single" w:sz="4" w:space="0" w:color="auto"/>
                            </w:tcBorders>
                            <w:noWrap/>
                            <w:vAlign w:val="center"/>
                            <w:hideMark/>
                          </w:tcPr>
                          <w:p w14:paraId="7B9F125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1,694</w:t>
                            </w:r>
                          </w:p>
                        </w:tc>
                        <w:tc>
                          <w:tcPr>
                            <w:tcW w:w="814" w:type="dxa"/>
                            <w:tcBorders>
                              <w:top w:val="nil"/>
                              <w:left w:val="nil"/>
                              <w:bottom w:val="single" w:sz="4" w:space="0" w:color="auto"/>
                              <w:right w:val="single" w:sz="4" w:space="0" w:color="auto"/>
                            </w:tcBorders>
                            <w:noWrap/>
                            <w:vAlign w:val="center"/>
                            <w:hideMark/>
                          </w:tcPr>
                          <w:p w14:paraId="2090A8F8"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22,728</w:t>
                            </w:r>
                          </w:p>
                        </w:tc>
                        <w:tc>
                          <w:tcPr>
                            <w:tcW w:w="798" w:type="dxa"/>
                            <w:tcBorders>
                              <w:top w:val="nil"/>
                              <w:left w:val="nil"/>
                              <w:bottom w:val="single" w:sz="4" w:space="0" w:color="auto"/>
                              <w:right w:val="single" w:sz="4" w:space="0" w:color="auto"/>
                            </w:tcBorders>
                            <w:noWrap/>
                            <w:vAlign w:val="center"/>
                            <w:hideMark/>
                          </w:tcPr>
                          <w:p w14:paraId="68AEFFA4"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7.45</w:t>
                            </w:r>
                          </w:p>
                        </w:tc>
                      </w:tr>
                      <w:tr w:rsidR="00B66083" w14:paraId="1E033898" w14:textId="77777777" w:rsidTr="004B0E9F">
                        <w:trPr>
                          <w:trHeight w:val="283"/>
                        </w:trPr>
                        <w:tc>
                          <w:tcPr>
                            <w:tcW w:w="826" w:type="dxa"/>
                            <w:tcBorders>
                              <w:top w:val="single" w:sz="4" w:space="0" w:color="auto"/>
                              <w:left w:val="single" w:sz="4" w:space="0" w:color="auto"/>
                              <w:bottom w:val="single" w:sz="4" w:space="0" w:color="auto"/>
                              <w:right w:val="single" w:sz="4" w:space="0" w:color="auto"/>
                            </w:tcBorders>
                            <w:noWrap/>
                            <w:vAlign w:val="center"/>
                            <w:hideMark/>
                          </w:tcPr>
                          <w:p w14:paraId="30498875"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內湖區</w:t>
                            </w:r>
                          </w:p>
                        </w:tc>
                        <w:tc>
                          <w:tcPr>
                            <w:tcW w:w="824" w:type="dxa"/>
                            <w:tcBorders>
                              <w:top w:val="single" w:sz="4" w:space="0" w:color="auto"/>
                              <w:left w:val="nil"/>
                              <w:bottom w:val="single" w:sz="4" w:space="0" w:color="auto"/>
                              <w:right w:val="single" w:sz="4" w:space="0" w:color="auto"/>
                            </w:tcBorders>
                            <w:noWrap/>
                            <w:vAlign w:val="center"/>
                            <w:hideMark/>
                          </w:tcPr>
                          <w:p w14:paraId="1004CE0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1,284</w:t>
                            </w:r>
                          </w:p>
                        </w:tc>
                        <w:tc>
                          <w:tcPr>
                            <w:tcW w:w="814" w:type="dxa"/>
                            <w:tcBorders>
                              <w:top w:val="single" w:sz="4" w:space="0" w:color="auto"/>
                              <w:left w:val="nil"/>
                              <w:bottom w:val="single" w:sz="4" w:space="0" w:color="auto"/>
                              <w:right w:val="single" w:sz="4" w:space="0" w:color="auto"/>
                            </w:tcBorders>
                            <w:noWrap/>
                            <w:vAlign w:val="center"/>
                            <w:hideMark/>
                          </w:tcPr>
                          <w:p w14:paraId="23603D4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43,390</w:t>
                            </w:r>
                          </w:p>
                        </w:tc>
                        <w:tc>
                          <w:tcPr>
                            <w:tcW w:w="822" w:type="dxa"/>
                            <w:tcBorders>
                              <w:top w:val="single" w:sz="4" w:space="0" w:color="auto"/>
                              <w:left w:val="nil"/>
                              <w:bottom w:val="single" w:sz="4" w:space="0" w:color="auto"/>
                              <w:right w:val="double" w:sz="4" w:space="0" w:color="auto"/>
                            </w:tcBorders>
                            <w:noWrap/>
                            <w:vAlign w:val="center"/>
                            <w:hideMark/>
                          </w:tcPr>
                          <w:p w14:paraId="3E1CA89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2.96</w:t>
                            </w:r>
                          </w:p>
                        </w:tc>
                        <w:tc>
                          <w:tcPr>
                            <w:tcW w:w="658" w:type="dxa"/>
                            <w:tcBorders>
                              <w:top w:val="nil"/>
                              <w:left w:val="double" w:sz="4" w:space="0" w:color="auto"/>
                              <w:bottom w:val="single" w:sz="4" w:space="0" w:color="auto"/>
                              <w:right w:val="single" w:sz="4" w:space="0" w:color="auto"/>
                            </w:tcBorders>
                            <w:noWrap/>
                            <w:vAlign w:val="center"/>
                            <w:hideMark/>
                          </w:tcPr>
                          <w:p w14:paraId="6C7D494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3,234</w:t>
                            </w:r>
                          </w:p>
                        </w:tc>
                        <w:tc>
                          <w:tcPr>
                            <w:tcW w:w="858" w:type="dxa"/>
                            <w:tcBorders>
                              <w:top w:val="nil"/>
                              <w:left w:val="nil"/>
                              <w:bottom w:val="single" w:sz="4" w:space="0" w:color="auto"/>
                              <w:right w:val="single" w:sz="4" w:space="0" w:color="auto"/>
                            </w:tcBorders>
                            <w:noWrap/>
                            <w:vAlign w:val="center"/>
                            <w:hideMark/>
                          </w:tcPr>
                          <w:p w14:paraId="1D7021A0"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45,893</w:t>
                            </w:r>
                          </w:p>
                        </w:tc>
                        <w:tc>
                          <w:tcPr>
                            <w:tcW w:w="809" w:type="dxa"/>
                            <w:tcBorders>
                              <w:top w:val="nil"/>
                              <w:left w:val="nil"/>
                              <w:bottom w:val="single" w:sz="4" w:space="0" w:color="auto"/>
                              <w:right w:val="double" w:sz="4" w:space="0" w:color="auto"/>
                            </w:tcBorders>
                            <w:noWrap/>
                            <w:vAlign w:val="center"/>
                            <w:hideMark/>
                          </w:tcPr>
                          <w:p w14:paraId="71C6B6E3"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7.05</w:t>
                            </w:r>
                          </w:p>
                        </w:tc>
                        <w:tc>
                          <w:tcPr>
                            <w:tcW w:w="658" w:type="dxa"/>
                            <w:tcBorders>
                              <w:top w:val="nil"/>
                              <w:left w:val="double" w:sz="4" w:space="0" w:color="auto"/>
                              <w:bottom w:val="single" w:sz="4" w:space="0" w:color="auto"/>
                              <w:right w:val="single" w:sz="4" w:space="0" w:color="auto"/>
                            </w:tcBorders>
                            <w:noWrap/>
                            <w:vAlign w:val="center"/>
                            <w:hideMark/>
                          </w:tcPr>
                          <w:p w14:paraId="6F631268"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3,202</w:t>
                            </w:r>
                          </w:p>
                        </w:tc>
                        <w:tc>
                          <w:tcPr>
                            <w:tcW w:w="814" w:type="dxa"/>
                            <w:tcBorders>
                              <w:top w:val="nil"/>
                              <w:left w:val="nil"/>
                              <w:bottom w:val="single" w:sz="4" w:space="0" w:color="auto"/>
                              <w:right w:val="single" w:sz="4" w:space="0" w:color="auto"/>
                            </w:tcBorders>
                            <w:noWrap/>
                            <w:vAlign w:val="center"/>
                            <w:hideMark/>
                          </w:tcPr>
                          <w:p w14:paraId="46C6080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49,856</w:t>
                            </w:r>
                          </w:p>
                        </w:tc>
                        <w:tc>
                          <w:tcPr>
                            <w:tcW w:w="798" w:type="dxa"/>
                            <w:tcBorders>
                              <w:top w:val="nil"/>
                              <w:left w:val="nil"/>
                              <w:bottom w:val="single" w:sz="4" w:space="0" w:color="auto"/>
                              <w:right w:val="single" w:sz="4" w:space="0" w:color="auto"/>
                            </w:tcBorders>
                            <w:noWrap/>
                            <w:vAlign w:val="center"/>
                            <w:hideMark/>
                          </w:tcPr>
                          <w:p w14:paraId="362E01A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6.42</w:t>
                            </w:r>
                          </w:p>
                        </w:tc>
                      </w:tr>
                      <w:tr w:rsidR="00B66083" w14:paraId="610F9E0A"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7C9EE486"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士林區</w:t>
                            </w:r>
                          </w:p>
                        </w:tc>
                        <w:tc>
                          <w:tcPr>
                            <w:tcW w:w="824" w:type="dxa"/>
                            <w:tcBorders>
                              <w:top w:val="nil"/>
                              <w:left w:val="nil"/>
                              <w:bottom w:val="single" w:sz="4" w:space="0" w:color="auto"/>
                              <w:right w:val="single" w:sz="4" w:space="0" w:color="auto"/>
                            </w:tcBorders>
                            <w:noWrap/>
                            <w:vAlign w:val="center"/>
                            <w:hideMark/>
                          </w:tcPr>
                          <w:p w14:paraId="76B1E98E"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2,495</w:t>
                            </w:r>
                          </w:p>
                        </w:tc>
                        <w:tc>
                          <w:tcPr>
                            <w:tcW w:w="814" w:type="dxa"/>
                            <w:tcBorders>
                              <w:top w:val="nil"/>
                              <w:left w:val="nil"/>
                              <w:bottom w:val="single" w:sz="4" w:space="0" w:color="auto"/>
                              <w:right w:val="single" w:sz="4" w:space="0" w:color="auto"/>
                            </w:tcBorders>
                            <w:noWrap/>
                            <w:vAlign w:val="center"/>
                            <w:hideMark/>
                          </w:tcPr>
                          <w:p w14:paraId="2259D69D"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56,381</w:t>
                            </w:r>
                          </w:p>
                        </w:tc>
                        <w:tc>
                          <w:tcPr>
                            <w:tcW w:w="822" w:type="dxa"/>
                            <w:tcBorders>
                              <w:top w:val="nil"/>
                              <w:left w:val="nil"/>
                              <w:bottom w:val="single" w:sz="4" w:space="0" w:color="auto"/>
                              <w:right w:val="double" w:sz="4" w:space="0" w:color="auto"/>
                            </w:tcBorders>
                            <w:noWrap/>
                            <w:vAlign w:val="center"/>
                            <w:hideMark/>
                          </w:tcPr>
                          <w:p w14:paraId="6B8AF968"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4.43</w:t>
                            </w:r>
                          </w:p>
                        </w:tc>
                        <w:tc>
                          <w:tcPr>
                            <w:tcW w:w="658" w:type="dxa"/>
                            <w:tcBorders>
                              <w:top w:val="nil"/>
                              <w:left w:val="double" w:sz="4" w:space="0" w:color="auto"/>
                              <w:bottom w:val="single" w:sz="4" w:space="0" w:color="auto"/>
                              <w:right w:val="single" w:sz="4" w:space="0" w:color="auto"/>
                            </w:tcBorders>
                            <w:noWrap/>
                            <w:vAlign w:val="center"/>
                            <w:hideMark/>
                          </w:tcPr>
                          <w:p w14:paraId="4D8F09B6"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4,204</w:t>
                            </w:r>
                          </w:p>
                        </w:tc>
                        <w:tc>
                          <w:tcPr>
                            <w:tcW w:w="858" w:type="dxa"/>
                            <w:tcBorders>
                              <w:top w:val="nil"/>
                              <w:left w:val="nil"/>
                              <w:bottom w:val="single" w:sz="4" w:space="0" w:color="auto"/>
                              <w:right w:val="single" w:sz="4" w:space="0" w:color="auto"/>
                            </w:tcBorders>
                            <w:noWrap/>
                            <w:vAlign w:val="center"/>
                            <w:hideMark/>
                          </w:tcPr>
                          <w:p w14:paraId="03745992"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58,271</w:t>
                            </w:r>
                          </w:p>
                        </w:tc>
                        <w:tc>
                          <w:tcPr>
                            <w:tcW w:w="809" w:type="dxa"/>
                            <w:tcBorders>
                              <w:top w:val="nil"/>
                              <w:left w:val="nil"/>
                              <w:bottom w:val="single" w:sz="4" w:space="0" w:color="auto"/>
                              <w:right w:val="double" w:sz="4" w:space="0" w:color="auto"/>
                            </w:tcBorders>
                            <w:noWrap/>
                            <w:vAlign w:val="center"/>
                            <w:hideMark/>
                          </w:tcPr>
                          <w:p w14:paraId="219CF056"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7.21</w:t>
                            </w:r>
                          </w:p>
                        </w:tc>
                        <w:tc>
                          <w:tcPr>
                            <w:tcW w:w="658" w:type="dxa"/>
                            <w:tcBorders>
                              <w:top w:val="nil"/>
                              <w:left w:val="double" w:sz="4" w:space="0" w:color="auto"/>
                              <w:bottom w:val="single" w:sz="4" w:space="0" w:color="auto"/>
                              <w:right w:val="single" w:sz="4" w:space="0" w:color="auto"/>
                            </w:tcBorders>
                            <w:noWrap/>
                            <w:vAlign w:val="center"/>
                            <w:hideMark/>
                          </w:tcPr>
                          <w:p w14:paraId="1CBCD2D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3,710</w:t>
                            </w:r>
                          </w:p>
                        </w:tc>
                        <w:tc>
                          <w:tcPr>
                            <w:tcW w:w="814" w:type="dxa"/>
                            <w:tcBorders>
                              <w:top w:val="nil"/>
                              <w:left w:val="nil"/>
                              <w:bottom w:val="single" w:sz="4" w:space="0" w:color="auto"/>
                              <w:right w:val="single" w:sz="4" w:space="0" w:color="auto"/>
                            </w:tcBorders>
                            <w:noWrap/>
                            <w:vAlign w:val="center"/>
                            <w:hideMark/>
                          </w:tcPr>
                          <w:p w14:paraId="12F1FD9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61,698</w:t>
                            </w:r>
                          </w:p>
                        </w:tc>
                        <w:tc>
                          <w:tcPr>
                            <w:tcW w:w="798" w:type="dxa"/>
                            <w:tcBorders>
                              <w:top w:val="nil"/>
                              <w:left w:val="nil"/>
                              <w:bottom w:val="single" w:sz="4" w:space="0" w:color="auto"/>
                              <w:right w:val="single" w:sz="4" w:space="0" w:color="auto"/>
                            </w:tcBorders>
                            <w:noWrap/>
                            <w:vAlign w:val="center"/>
                            <w:hideMark/>
                          </w:tcPr>
                          <w:p w14:paraId="68996DA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6.01</w:t>
                            </w:r>
                          </w:p>
                        </w:tc>
                      </w:tr>
                      <w:tr w:rsidR="00B66083" w14:paraId="7DA146DB" w14:textId="77777777" w:rsidTr="004B0E9F">
                        <w:trPr>
                          <w:trHeight w:val="283"/>
                        </w:trPr>
                        <w:tc>
                          <w:tcPr>
                            <w:tcW w:w="826" w:type="dxa"/>
                            <w:tcBorders>
                              <w:top w:val="nil"/>
                              <w:left w:val="single" w:sz="4" w:space="0" w:color="auto"/>
                              <w:bottom w:val="single" w:sz="4" w:space="0" w:color="auto"/>
                              <w:right w:val="single" w:sz="4" w:space="0" w:color="auto"/>
                            </w:tcBorders>
                            <w:noWrap/>
                            <w:vAlign w:val="center"/>
                            <w:hideMark/>
                          </w:tcPr>
                          <w:p w14:paraId="2F2EDCB2" w14:textId="77777777" w:rsidR="00B66083" w:rsidRDefault="00B66083">
                            <w:pPr>
                              <w:spacing w:line="220" w:lineRule="exact"/>
                              <w:jc w:val="center"/>
                              <w:rPr>
                                <w:rFonts w:ascii="標楷體" w:eastAsia="標楷體" w:hAnsi="標楷體"/>
                                <w:sz w:val="20"/>
                              </w:rPr>
                            </w:pPr>
                            <w:r>
                              <w:rPr>
                                <w:rFonts w:ascii="標楷體" w:eastAsia="標楷體" w:hAnsi="標楷體" w:hint="eastAsia"/>
                                <w:sz w:val="20"/>
                              </w:rPr>
                              <w:t>北投區</w:t>
                            </w:r>
                          </w:p>
                        </w:tc>
                        <w:tc>
                          <w:tcPr>
                            <w:tcW w:w="824" w:type="dxa"/>
                            <w:tcBorders>
                              <w:top w:val="nil"/>
                              <w:left w:val="nil"/>
                              <w:bottom w:val="single" w:sz="4" w:space="0" w:color="auto"/>
                              <w:right w:val="single" w:sz="4" w:space="0" w:color="auto"/>
                            </w:tcBorders>
                            <w:noWrap/>
                            <w:vAlign w:val="center"/>
                            <w:hideMark/>
                          </w:tcPr>
                          <w:p w14:paraId="33D56431"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1,961</w:t>
                            </w:r>
                          </w:p>
                        </w:tc>
                        <w:tc>
                          <w:tcPr>
                            <w:tcW w:w="814" w:type="dxa"/>
                            <w:tcBorders>
                              <w:top w:val="nil"/>
                              <w:left w:val="nil"/>
                              <w:bottom w:val="single" w:sz="4" w:space="0" w:color="auto"/>
                              <w:right w:val="single" w:sz="4" w:space="0" w:color="auto"/>
                            </w:tcBorders>
                            <w:noWrap/>
                            <w:vAlign w:val="center"/>
                            <w:hideMark/>
                          </w:tcPr>
                          <w:p w14:paraId="1C71893D"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47,200</w:t>
                            </w:r>
                          </w:p>
                        </w:tc>
                        <w:tc>
                          <w:tcPr>
                            <w:tcW w:w="822" w:type="dxa"/>
                            <w:tcBorders>
                              <w:top w:val="nil"/>
                              <w:left w:val="nil"/>
                              <w:bottom w:val="single" w:sz="4" w:space="0" w:color="auto"/>
                              <w:right w:val="double" w:sz="4" w:space="0" w:color="auto"/>
                            </w:tcBorders>
                            <w:noWrap/>
                            <w:vAlign w:val="center"/>
                            <w:hideMark/>
                          </w:tcPr>
                          <w:p w14:paraId="4AAAB00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4.15</w:t>
                            </w:r>
                          </w:p>
                        </w:tc>
                        <w:tc>
                          <w:tcPr>
                            <w:tcW w:w="658" w:type="dxa"/>
                            <w:tcBorders>
                              <w:top w:val="nil"/>
                              <w:left w:val="double" w:sz="4" w:space="0" w:color="auto"/>
                              <w:bottom w:val="single" w:sz="4" w:space="0" w:color="auto"/>
                              <w:right w:val="single" w:sz="4" w:space="0" w:color="auto"/>
                            </w:tcBorders>
                            <w:noWrap/>
                            <w:vAlign w:val="center"/>
                            <w:hideMark/>
                          </w:tcPr>
                          <w:p w14:paraId="11306965"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3,563</w:t>
                            </w:r>
                          </w:p>
                        </w:tc>
                        <w:tc>
                          <w:tcPr>
                            <w:tcW w:w="858" w:type="dxa"/>
                            <w:tcBorders>
                              <w:top w:val="nil"/>
                              <w:left w:val="nil"/>
                              <w:bottom w:val="single" w:sz="4" w:space="0" w:color="auto"/>
                              <w:right w:val="single" w:sz="4" w:space="0" w:color="auto"/>
                            </w:tcBorders>
                            <w:noWrap/>
                            <w:vAlign w:val="center"/>
                            <w:hideMark/>
                          </w:tcPr>
                          <w:p w14:paraId="0948018A"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48,615</w:t>
                            </w:r>
                          </w:p>
                        </w:tc>
                        <w:tc>
                          <w:tcPr>
                            <w:tcW w:w="809" w:type="dxa"/>
                            <w:tcBorders>
                              <w:top w:val="nil"/>
                              <w:left w:val="nil"/>
                              <w:bottom w:val="single" w:sz="4" w:space="0" w:color="auto"/>
                              <w:right w:val="double" w:sz="4" w:space="0" w:color="auto"/>
                            </w:tcBorders>
                            <w:noWrap/>
                            <w:vAlign w:val="center"/>
                            <w:hideMark/>
                          </w:tcPr>
                          <w:p w14:paraId="2A6FC74D" w14:textId="77777777" w:rsidR="00B66083" w:rsidRDefault="00B66083">
                            <w:pPr>
                              <w:spacing w:line="220" w:lineRule="exact"/>
                              <w:jc w:val="right"/>
                              <w:rPr>
                                <w:rFonts w:ascii="標楷體" w:eastAsia="標楷體" w:hAnsi="標楷體"/>
                                <w:bCs/>
                                <w:sz w:val="20"/>
                              </w:rPr>
                            </w:pPr>
                            <w:r>
                              <w:rPr>
                                <w:rFonts w:ascii="標楷體" w:eastAsia="標楷體" w:hAnsi="標楷體" w:hint="eastAsia"/>
                                <w:bCs/>
                                <w:sz w:val="20"/>
                              </w:rPr>
                              <w:t>7.33</w:t>
                            </w:r>
                          </w:p>
                        </w:tc>
                        <w:tc>
                          <w:tcPr>
                            <w:tcW w:w="658" w:type="dxa"/>
                            <w:tcBorders>
                              <w:top w:val="nil"/>
                              <w:left w:val="double" w:sz="4" w:space="0" w:color="auto"/>
                              <w:bottom w:val="single" w:sz="4" w:space="0" w:color="auto"/>
                              <w:right w:val="single" w:sz="4" w:space="0" w:color="auto"/>
                            </w:tcBorders>
                            <w:noWrap/>
                            <w:vAlign w:val="center"/>
                            <w:hideMark/>
                          </w:tcPr>
                          <w:p w14:paraId="1D3DA958"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3,268</w:t>
                            </w:r>
                          </w:p>
                        </w:tc>
                        <w:tc>
                          <w:tcPr>
                            <w:tcW w:w="814" w:type="dxa"/>
                            <w:tcBorders>
                              <w:top w:val="nil"/>
                              <w:left w:val="nil"/>
                              <w:bottom w:val="single" w:sz="4" w:space="0" w:color="auto"/>
                              <w:right w:val="single" w:sz="4" w:space="0" w:color="auto"/>
                            </w:tcBorders>
                            <w:noWrap/>
                            <w:vAlign w:val="center"/>
                            <w:hideMark/>
                          </w:tcPr>
                          <w:p w14:paraId="61965CAC"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51,508</w:t>
                            </w:r>
                          </w:p>
                        </w:tc>
                        <w:tc>
                          <w:tcPr>
                            <w:tcW w:w="798" w:type="dxa"/>
                            <w:tcBorders>
                              <w:top w:val="nil"/>
                              <w:left w:val="nil"/>
                              <w:bottom w:val="single" w:sz="4" w:space="0" w:color="auto"/>
                              <w:right w:val="single" w:sz="4" w:space="0" w:color="auto"/>
                            </w:tcBorders>
                            <w:noWrap/>
                            <w:vAlign w:val="center"/>
                            <w:hideMark/>
                          </w:tcPr>
                          <w:p w14:paraId="606E2C2B" w14:textId="77777777" w:rsidR="00B66083" w:rsidRDefault="00B66083">
                            <w:pPr>
                              <w:spacing w:line="220" w:lineRule="exact"/>
                              <w:jc w:val="right"/>
                              <w:rPr>
                                <w:rFonts w:ascii="標楷體" w:eastAsia="標楷體" w:hAnsi="標楷體"/>
                                <w:sz w:val="20"/>
                              </w:rPr>
                            </w:pPr>
                            <w:r>
                              <w:rPr>
                                <w:rFonts w:ascii="標楷體" w:eastAsia="標楷體" w:hAnsi="標楷體" w:hint="eastAsia"/>
                                <w:sz w:val="20"/>
                              </w:rPr>
                              <w:t>6.34</w:t>
                            </w:r>
                          </w:p>
                        </w:tc>
                      </w:tr>
                    </w:tbl>
                    <w:p w14:paraId="2F284C93" w14:textId="77777777" w:rsidR="00B66083" w:rsidRDefault="00B66083" w:rsidP="00B66083">
                      <w:pPr>
                        <w:rPr>
                          <w:sz w:val="18"/>
                          <w:szCs w:val="18"/>
                        </w:rPr>
                      </w:pPr>
                      <w:r>
                        <w:rPr>
                          <w:rFonts w:ascii="標楷體" w:eastAsia="標楷體" w:hAnsi="標楷體" w:hint="eastAsia"/>
                          <w:sz w:val="18"/>
                          <w:szCs w:val="18"/>
                        </w:rPr>
                        <w:t>資料來源：整理自觀光傳播局提供資料及民政局網站之人口統計資料。</w:t>
                      </w:r>
                    </w:p>
                  </w:txbxContent>
                </v:textbox>
                <w10:wrap type="square" anchorx="margin"/>
              </v:shape>
            </w:pict>
          </mc:Fallback>
        </mc:AlternateContent>
      </w:r>
      <w:r>
        <w:rPr>
          <w:rFonts w:ascii="標楷體" w:eastAsia="標楷體" w:hAnsi="標楷體" w:hint="eastAsia"/>
        </w:rPr>
        <w:t>局未查核個人資料實際銷毀情形，未能落實個人資料保護作業等情事，經函請檢討改善。據復：（1）除持續鼓勵里長每團召集至少35位長者再出團、按各里實際長者人口數分配車數，及增加借調車機制外，亦將</w:t>
      </w:r>
      <w:proofErr w:type="gramStart"/>
      <w:r>
        <w:rPr>
          <w:rFonts w:ascii="標楷體" w:eastAsia="標楷體" w:hAnsi="標楷體" w:hint="eastAsia"/>
        </w:rPr>
        <w:t>研</w:t>
      </w:r>
      <w:proofErr w:type="gramEnd"/>
      <w:r>
        <w:rPr>
          <w:rFonts w:ascii="標楷體" w:eastAsia="標楷體" w:hAnsi="標楷體" w:hint="eastAsia"/>
        </w:rPr>
        <w:t>擬變化午餐便當形態、針對參加民眾舉辦抽獎活動、協請臺北市政府民政局及社會局加強宣傳、釋放不出</w:t>
      </w:r>
      <w:proofErr w:type="gramStart"/>
      <w:r>
        <w:rPr>
          <w:rFonts w:ascii="標楷體" w:eastAsia="標楷體" w:hAnsi="標楷體" w:hint="eastAsia"/>
        </w:rPr>
        <w:t>團里別</w:t>
      </w:r>
      <w:proofErr w:type="gramEnd"/>
      <w:r>
        <w:rPr>
          <w:rFonts w:ascii="標楷體" w:eastAsia="標楷體" w:hAnsi="標楷體" w:hint="eastAsia"/>
        </w:rPr>
        <w:t>額度等方案，以提升資源運用；（</w:t>
      </w:r>
      <w:r>
        <w:rPr>
          <w:rFonts w:ascii="標楷體" w:eastAsia="標楷體" w:hAnsi="標楷體" w:hint="eastAsia"/>
          <w:sz w:val="22"/>
        </w:rPr>
        <w:t>2</w:t>
      </w:r>
      <w:r>
        <w:rPr>
          <w:rFonts w:ascii="標楷體" w:eastAsia="標楷體" w:hAnsi="標楷體" w:hint="eastAsia"/>
        </w:rPr>
        <w:t>）爾後活動結束後，將會同資訊及政風單位共同前往委託廠商系統端辦理外部查核，落實個人資料銷毀程序，並請廠商記錄刪除及銷毀作業時間、方式及地點等資訊，</w:t>
      </w:r>
      <w:proofErr w:type="gramStart"/>
      <w:r>
        <w:rPr>
          <w:rFonts w:ascii="標楷體" w:eastAsia="標楷體" w:hAnsi="標楷體" w:hint="eastAsia"/>
        </w:rPr>
        <w:t>併</w:t>
      </w:r>
      <w:proofErr w:type="gramEnd"/>
      <w:r>
        <w:rPr>
          <w:rFonts w:ascii="標楷體" w:eastAsia="標楷體" w:hAnsi="標楷體" w:hint="eastAsia"/>
        </w:rPr>
        <w:t>同年度結案報告送交該局查核。</w:t>
      </w:r>
    </w:p>
    <w:p w14:paraId="16B6EC9A" w14:textId="4802DBFD" w:rsidR="00B66083" w:rsidRPr="00D46F5D" w:rsidRDefault="00B66083" w:rsidP="00A10A82">
      <w:pPr>
        <w:spacing w:beforeLines="20" w:before="72" w:afterLines="20" w:after="72" w:line="460" w:lineRule="exact"/>
        <w:ind w:firstLineChars="100" w:firstLine="280"/>
        <w:rPr>
          <w:rFonts w:ascii="標楷體" w:eastAsia="標楷體" w:hAnsi="標楷體"/>
          <w:b/>
          <w:color w:val="000000" w:themeColor="text1"/>
          <w:sz w:val="28"/>
          <w:szCs w:val="28"/>
        </w:rPr>
      </w:pPr>
      <w:r w:rsidRPr="00D46F5D">
        <w:rPr>
          <w:rFonts w:ascii="標楷體" w:eastAsia="標楷體" w:hAnsi="標楷體"/>
          <w:b/>
          <w:color w:val="000000" w:themeColor="text1"/>
          <w:sz w:val="28"/>
          <w:szCs w:val="28"/>
        </w:rPr>
        <w:t>（</w:t>
      </w:r>
      <w:r w:rsidRPr="00D46F5D">
        <w:rPr>
          <w:rFonts w:ascii="標楷體" w:eastAsia="標楷體" w:hAnsi="標楷體" w:hint="eastAsia"/>
          <w:b/>
          <w:color w:val="000000" w:themeColor="text1"/>
          <w:sz w:val="28"/>
          <w:szCs w:val="28"/>
        </w:rPr>
        <w:t>四</w:t>
      </w:r>
      <w:r w:rsidRPr="00D46F5D">
        <w:rPr>
          <w:rFonts w:ascii="標楷體" w:eastAsia="標楷體" w:hAnsi="標楷體"/>
          <w:b/>
          <w:color w:val="000000" w:themeColor="text1"/>
          <w:sz w:val="28"/>
          <w:szCs w:val="28"/>
        </w:rPr>
        <w:t>）</w:t>
      </w:r>
      <w:proofErr w:type="gramStart"/>
      <w:r w:rsidRPr="00D46F5D">
        <w:rPr>
          <w:rFonts w:ascii="標楷體" w:eastAsia="標楷體" w:hAnsi="標楷體" w:hint="eastAsia"/>
          <w:b/>
          <w:color w:val="000000" w:themeColor="text1"/>
          <w:sz w:val="28"/>
          <w:szCs w:val="28"/>
        </w:rPr>
        <w:t>11</w:t>
      </w:r>
      <w:r>
        <w:rPr>
          <w:rFonts w:ascii="標楷體" w:eastAsia="標楷體" w:hAnsi="標楷體" w:hint="eastAsia"/>
          <w:b/>
          <w:color w:val="000000" w:themeColor="text1"/>
          <w:sz w:val="28"/>
          <w:szCs w:val="28"/>
        </w:rPr>
        <w:t>2</w:t>
      </w:r>
      <w:proofErr w:type="gramEnd"/>
      <w:r w:rsidRPr="00D46F5D">
        <w:rPr>
          <w:rFonts w:ascii="標楷體" w:eastAsia="標楷體" w:hAnsi="標楷體" w:hint="eastAsia"/>
          <w:b/>
          <w:color w:val="000000" w:themeColor="text1"/>
          <w:sz w:val="28"/>
          <w:szCs w:val="28"/>
        </w:rPr>
        <w:t>年度重要審核意見追蹤查核情形</w:t>
      </w:r>
    </w:p>
    <w:p w14:paraId="029F98B4" w14:textId="393349A2" w:rsidR="00B66083" w:rsidRDefault="00B66083" w:rsidP="00292EF6">
      <w:pPr>
        <w:pStyle w:val="05"/>
        <w:spacing w:before="0" w:beforeAutospacing="0" w:after="0" w:afterAutospacing="0" w:line="400" w:lineRule="exact"/>
        <w:ind w:firstLine="480"/>
        <w:rPr>
          <w:rFonts w:hAnsi="標楷體"/>
          <w:bCs/>
          <w:color w:val="000000" w:themeColor="text1"/>
        </w:rPr>
      </w:pPr>
      <w:r w:rsidRPr="00D46F5D">
        <w:rPr>
          <w:rFonts w:hAnsi="標楷體" w:hint="eastAsia"/>
          <w:bCs/>
          <w:color w:val="000000" w:themeColor="text1"/>
        </w:rPr>
        <w:t>本處於</w:t>
      </w:r>
      <w:proofErr w:type="gramStart"/>
      <w:r w:rsidRPr="00D46F5D">
        <w:rPr>
          <w:rFonts w:hAnsi="標楷體" w:hint="eastAsia"/>
          <w:bCs/>
          <w:color w:val="000000" w:themeColor="text1"/>
        </w:rPr>
        <w:t>11</w:t>
      </w:r>
      <w:r>
        <w:rPr>
          <w:rFonts w:hAnsi="標楷體" w:hint="eastAsia"/>
          <w:bCs/>
          <w:color w:val="000000" w:themeColor="text1"/>
        </w:rPr>
        <w:t>2</w:t>
      </w:r>
      <w:proofErr w:type="gramEnd"/>
      <w:r w:rsidRPr="00D46F5D">
        <w:rPr>
          <w:rFonts w:hAnsi="標楷體" w:hint="eastAsia"/>
          <w:bCs/>
          <w:color w:val="000000" w:themeColor="text1"/>
        </w:rPr>
        <w:t>年度審核報告內列重要審核意見2項，經</w:t>
      </w:r>
      <w:proofErr w:type="gramStart"/>
      <w:r w:rsidRPr="00D46F5D">
        <w:rPr>
          <w:rFonts w:hAnsi="標楷體" w:hint="eastAsia"/>
          <w:bCs/>
          <w:color w:val="000000" w:themeColor="text1"/>
        </w:rPr>
        <w:t>賡</w:t>
      </w:r>
      <w:proofErr w:type="gramEnd"/>
      <w:r w:rsidRPr="00D46F5D">
        <w:rPr>
          <w:rFonts w:hAnsi="標楷體" w:hint="eastAsia"/>
          <w:bCs/>
          <w:color w:val="000000" w:themeColor="text1"/>
        </w:rPr>
        <w:t>續追蹤查核實際辦理結果，均已</w:t>
      </w:r>
      <w:proofErr w:type="gramStart"/>
      <w:r w:rsidRPr="00D46F5D">
        <w:rPr>
          <w:rFonts w:hAnsi="標楷體" w:hint="eastAsia"/>
          <w:bCs/>
          <w:color w:val="000000" w:themeColor="text1"/>
        </w:rPr>
        <w:t>研</w:t>
      </w:r>
      <w:proofErr w:type="gramEnd"/>
      <w:r w:rsidRPr="00D46F5D">
        <w:rPr>
          <w:rFonts w:hAnsi="標楷體" w:hint="eastAsia"/>
          <w:bCs/>
          <w:color w:val="000000" w:themeColor="text1"/>
        </w:rPr>
        <w:t>謀改善或依改善措施持續辦理（表</w:t>
      </w:r>
      <w:r>
        <w:rPr>
          <w:rFonts w:hAnsi="標楷體" w:hint="eastAsia"/>
          <w:bCs/>
          <w:color w:val="000000" w:themeColor="text1"/>
        </w:rPr>
        <w:t>2</w:t>
      </w:r>
      <w:r w:rsidRPr="00D46F5D">
        <w:rPr>
          <w:rFonts w:hAnsi="標楷體" w:hint="eastAsia"/>
          <w:bCs/>
          <w:color w:val="000000" w:themeColor="text1"/>
        </w:rPr>
        <w:t>）。</w:t>
      </w:r>
    </w:p>
    <w:p w14:paraId="3FB1F32E" w14:textId="77777777" w:rsidR="00B66083" w:rsidRDefault="00B66083" w:rsidP="00A10A82">
      <w:pPr>
        <w:suppressAutoHyphens/>
        <w:overflowPunct w:val="0"/>
        <w:spacing w:after="100" w:line="480" w:lineRule="exact"/>
        <w:ind w:firstLineChars="100" w:firstLine="240"/>
        <w:jc w:val="center"/>
        <w:rPr>
          <w:rFonts w:ascii="標楷體" w:eastAsia="標楷體" w:hAnsi="標楷體"/>
          <w:b/>
        </w:rPr>
      </w:pPr>
      <w:r>
        <w:rPr>
          <w:rFonts w:ascii="標楷體" w:eastAsia="標楷體" w:hAnsi="標楷體" w:hint="eastAsia"/>
          <w:b/>
        </w:rPr>
        <w:t xml:space="preserve">表2　</w:t>
      </w:r>
      <w:proofErr w:type="gramStart"/>
      <w:r>
        <w:rPr>
          <w:rFonts w:ascii="標楷體" w:eastAsia="標楷體" w:hAnsi="標楷體" w:hint="eastAsia"/>
          <w:b/>
        </w:rPr>
        <w:t>112</w:t>
      </w:r>
      <w:proofErr w:type="gramEnd"/>
      <w:r>
        <w:rPr>
          <w:rFonts w:ascii="標楷體" w:eastAsia="標楷體" w:hAnsi="標楷體" w:hint="eastAsia"/>
          <w:b/>
        </w:rPr>
        <w:t>年度審核</w:t>
      </w:r>
      <w:r w:rsidRPr="00A10A82">
        <w:rPr>
          <w:rFonts w:ascii="標楷體" w:eastAsia="標楷體" w:hAnsi="標楷體" w:hint="eastAsia"/>
          <w:b/>
          <w:color w:val="000000" w:themeColor="text1"/>
        </w:rPr>
        <w:t>報告</w:t>
      </w:r>
      <w:r>
        <w:rPr>
          <w:rFonts w:ascii="標楷體" w:eastAsia="標楷體" w:hAnsi="標楷體" w:hint="eastAsia"/>
          <w:b/>
        </w:rPr>
        <w:t>所列觀光傳播局主管重要審核意見覆核辦理情形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343"/>
        <w:gridCol w:w="1570"/>
      </w:tblGrid>
      <w:tr w:rsidR="00B66083" w14:paraId="13D072F7" w14:textId="77777777" w:rsidTr="00A10A82">
        <w:trPr>
          <w:trHeight w:val="397"/>
        </w:trPr>
        <w:tc>
          <w:tcPr>
            <w:tcW w:w="4208" w:type="pct"/>
            <w:tcBorders>
              <w:top w:val="single" w:sz="4" w:space="0" w:color="auto"/>
              <w:left w:val="single" w:sz="4" w:space="0" w:color="auto"/>
              <w:bottom w:val="single" w:sz="4" w:space="0" w:color="auto"/>
              <w:right w:val="single" w:sz="4" w:space="0" w:color="auto"/>
            </w:tcBorders>
            <w:vAlign w:val="center"/>
            <w:hideMark/>
          </w:tcPr>
          <w:p w14:paraId="28CAF1A0" w14:textId="77777777" w:rsidR="00B66083" w:rsidRDefault="00B66083" w:rsidP="00824CD6">
            <w:pPr>
              <w:widowControl/>
              <w:spacing w:line="240" w:lineRule="exact"/>
              <w:jc w:val="center"/>
              <w:rPr>
                <w:rFonts w:ascii="標楷體" w:eastAsia="標楷體" w:hAnsi="標楷體"/>
                <w:sz w:val="20"/>
                <w:szCs w:val="24"/>
              </w:rPr>
            </w:pPr>
            <w:r>
              <w:rPr>
                <w:rFonts w:ascii="標楷體" w:eastAsia="標楷體" w:hAnsi="標楷體" w:hint="eastAsia"/>
                <w:sz w:val="20"/>
                <w:szCs w:val="24"/>
              </w:rPr>
              <w:t>重要審核意見標題</w:t>
            </w:r>
          </w:p>
        </w:tc>
        <w:tc>
          <w:tcPr>
            <w:tcW w:w="792" w:type="pct"/>
            <w:tcBorders>
              <w:top w:val="single" w:sz="4" w:space="0" w:color="auto"/>
              <w:left w:val="single" w:sz="4" w:space="0" w:color="auto"/>
              <w:bottom w:val="single" w:sz="4" w:space="0" w:color="auto"/>
              <w:right w:val="single" w:sz="4" w:space="0" w:color="auto"/>
            </w:tcBorders>
            <w:vAlign w:val="center"/>
            <w:hideMark/>
          </w:tcPr>
          <w:p w14:paraId="0CA43D4D" w14:textId="77777777" w:rsidR="00B66083" w:rsidRDefault="00B66083" w:rsidP="00824CD6">
            <w:pPr>
              <w:widowControl/>
              <w:spacing w:line="220" w:lineRule="exact"/>
              <w:jc w:val="center"/>
              <w:rPr>
                <w:rFonts w:ascii="標楷體" w:eastAsia="標楷體" w:hAnsi="標楷體"/>
                <w:sz w:val="20"/>
                <w:szCs w:val="24"/>
              </w:rPr>
            </w:pPr>
            <w:r>
              <w:rPr>
                <w:rFonts w:ascii="標楷體" w:eastAsia="標楷體" w:hAnsi="標楷體" w:hint="eastAsia"/>
                <w:sz w:val="20"/>
                <w:szCs w:val="24"/>
              </w:rPr>
              <w:t>說明</w:t>
            </w:r>
          </w:p>
        </w:tc>
      </w:tr>
      <w:tr w:rsidR="00B66083" w14:paraId="04DA65B6" w14:textId="77777777" w:rsidTr="00A10A82">
        <w:trPr>
          <w:trHeight w:val="397"/>
        </w:trPr>
        <w:tc>
          <w:tcPr>
            <w:tcW w:w="4208" w:type="pct"/>
            <w:tcBorders>
              <w:top w:val="single" w:sz="4" w:space="0" w:color="auto"/>
              <w:left w:val="single" w:sz="4" w:space="0" w:color="auto"/>
              <w:bottom w:val="single" w:sz="4" w:space="0" w:color="auto"/>
              <w:right w:val="nil"/>
            </w:tcBorders>
            <w:vAlign w:val="center"/>
            <w:hideMark/>
          </w:tcPr>
          <w:p w14:paraId="3ED725DA" w14:textId="77777777" w:rsidR="00B66083" w:rsidRDefault="00B66083" w:rsidP="00824CD6">
            <w:pPr>
              <w:widowControl/>
              <w:spacing w:line="240" w:lineRule="exact"/>
              <w:ind w:left="200" w:hangingChars="100" w:hanging="200"/>
              <w:jc w:val="both"/>
              <w:rPr>
                <w:rFonts w:ascii="標楷體" w:eastAsia="標楷體" w:hAnsi="標楷體"/>
                <w:b/>
                <w:sz w:val="20"/>
                <w:szCs w:val="24"/>
              </w:rPr>
            </w:pPr>
            <w:r>
              <w:rPr>
                <w:rFonts w:ascii="標楷體" w:eastAsia="標楷體" w:hAnsi="標楷體" w:hint="eastAsia"/>
                <w:b/>
                <w:sz w:val="20"/>
                <w:szCs w:val="24"/>
              </w:rPr>
              <w:t>已</w:t>
            </w:r>
            <w:proofErr w:type="gramStart"/>
            <w:r>
              <w:rPr>
                <w:rFonts w:ascii="標楷體" w:eastAsia="標楷體" w:hAnsi="標楷體" w:hint="eastAsia"/>
                <w:b/>
                <w:sz w:val="20"/>
                <w:szCs w:val="24"/>
              </w:rPr>
              <w:t>研</w:t>
            </w:r>
            <w:proofErr w:type="gramEnd"/>
            <w:r>
              <w:rPr>
                <w:rFonts w:ascii="標楷體" w:eastAsia="標楷體" w:hAnsi="標楷體" w:hint="eastAsia"/>
                <w:b/>
                <w:sz w:val="20"/>
                <w:szCs w:val="24"/>
              </w:rPr>
              <w:t>謀改善或依改善措施持續辦理</w:t>
            </w:r>
          </w:p>
        </w:tc>
        <w:tc>
          <w:tcPr>
            <w:tcW w:w="792" w:type="pct"/>
            <w:tcBorders>
              <w:top w:val="single" w:sz="4" w:space="0" w:color="auto"/>
              <w:left w:val="nil"/>
              <w:bottom w:val="single" w:sz="4" w:space="0" w:color="auto"/>
              <w:right w:val="single" w:sz="4" w:space="0" w:color="auto"/>
            </w:tcBorders>
            <w:vAlign w:val="center"/>
          </w:tcPr>
          <w:p w14:paraId="5ED3F7E8" w14:textId="77777777" w:rsidR="00B66083" w:rsidRDefault="00B66083" w:rsidP="00824CD6">
            <w:pPr>
              <w:widowControl/>
              <w:spacing w:line="260" w:lineRule="exact"/>
              <w:jc w:val="both"/>
              <w:rPr>
                <w:rFonts w:ascii="標楷體" w:eastAsia="標楷體" w:hAnsi="標楷體"/>
                <w:sz w:val="20"/>
                <w:szCs w:val="24"/>
              </w:rPr>
            </w:pPr>
          </w:p>
        </w:tc>
      </w:tr>
      <w:tr w:rsidR="00B66083" w14:paraId="16B2D346" w14:textId="77777777" w:rsidTr="00824CD6">
        <w:trPr>
          <w:trHeight w:val="567"/>
        </w:trPr>
        <w:tc>
          <w:tcPr>
            <w:tcW w:w="4208" w:type="pct"/>
            <w:tcBorders>
              <w:top w:val="single" w:sz="4" w:space="0" w:color="auto"/>
              <w:left w:val="single" w:sz="4" w:space="0" w:color="auto"/>
              <w:bottom w:val="single" w:sz="4" w:space="0" w:color="auto"/>
              <w:right w:val="single" w:sz="4" w:space="0" w:color="auto"/>
            </w:tcBorders>
            <w:vAlign w:val="center"/>
            <w:hideMark/>
          </w:tcPr>
          <w:p w14:paraId="497CB635" w14:textId="77777777" w:rsidR="00B66083" w:rsidRPr="00897FD4" w:rsidRDefault="00B66083" w:rsidP="00A10A82">
            <w:pPr>
              <w:overflowPunct w:val="0"/>
              <w:spacing w:line="300" w:lineRule="exact"/>
              <w:ind w:left="200" w:hangingChars="100" w:hanging="200"/>
              <w:jc w:val="both"/>
              <w:rPr>
                <w:rFonts w:ascii="標楷體" w:eastAsia="標楷體" w:hAnsi="標楷體"/>
                <w:sz w:val="20"/>
              </w:rPr>
            </w:pPr>
            <w:r w:rsidRPr="00897FD4">
              <w:rPr>
                <w:rFonts w:ascii="標楷體" w:eastAsia="標楷體" w:hAnsi="標楷體" w:hint="eastAsia"/>
                <w:sz w:val="20"/>
              </w:rPr>
              <w:t>1.</w:t>
            </w:r>
            <w:r w:rsidRPr="00123BB0">
              <w:rPr>
                <w:rFonts w:ascii="標楷體" w:eastAsia="標楷體" w:hAnsi="標楷體" w:hint="eastAsia"/>
                <w:sz w:val="20"/>
              </w:rPr>
              <w:t>為推展觀光及營造優質友善旅遊環境，辦理觀光行銷等業務，</w:t>
            </w:r>
            <w:proofErr w:type="gramStart"/>
            <w:r w:rsidRPr="00123BB0">
              <w:rPr>
                <w:rFonts w:ascii="標楷體" w:eastAsia="標楷體" w:hAnsi="標楷體" w:hint="eastAsia"/>
                <w:sz w:val="20"/>
              </w:rPr>
              <w:t>惟間有部分</w:t>
            </w:r>
            <w:proofErr w:type="gramEnd"/>
            <w:r w:rsidRPr="00123BB0">
              <w:rPr>
                <w:rFonts w:ascii="標楷體" w:eastAsia="標楷體" w:hAnsi="標楷體" w:hint="eastAsia"/>
                <w:sz w:val="20"/>
              </w:rPr>
              <w:t>旅遊熱門景點</w:t>
            </w:r>
            <w:proofErr w:type="gramStart"/>
            <w:r w:rsidRPr="00123BB0">
              <w:rPr>
                <w:rFonts w:ascii="標楷體" w:eastAsia="標楷體" w:hAnsi="標楷體" w:hint="eastAsia"/>
                <w:sz w:val="20"/>
              </w:rPr>
              <w:t>尚未納列主要</w:t>
            </w:r>
            <w:proofErr w:type="gramEnd"/>
            <w:r w:rsidRPr="00123BB0">
              <w:rPr>
                <w:rFonts w:ascii="標楷體" w:eastAsia="標楷體" w:hAnsi="標楷體" w:hint="eastAsia"/>
                <w:sz w:val="20"/>
              </w:rPr>
              <w:t>觀光遊憩據點；又隨</w:t>
            </w:r>
            <w:proofErr w:type="gramStart"/>
            <w:r w:rsidRPr="00123BB0">
              <w:rPr>
                <w:rFonts w:ascii="標楷體" w:eastAsia="標楷體" w:hAnsi="標楷體" w:hint="eastAsia"/>
                <w:sz w:val="20"/>
              </w:rPr>
              <w:t>疫</w:t>
            </w:r>
            <w:proofErr w:type="gramEnd"/>
            <w:r w:rsidRPr="00123BB0">
              <w:rPr>
                <w:rFonts w:ascii="標楷體" w:eastAsia="標楷體" w:hAnsi="標楷體" w:hint="eastAsia"/>
                <w:sz w:val="20"/>
              </w:rPr>
              <w:t>情減緩，旅遊潮復甦帶動住宿需求，惟旅館消費爭議</w:t>
            </w:r>
            <w:proofErr w:type="gramStart"/>
            <w:r w:rsidRPr="00123BB0">
              <w:rPr>
                <w:rFonts w:ascii="標楷體" w:eastAsia="標楷體" w:hAnsi="標楷體" w:hint="eastAsia"/>
                <w:sz w:val="20"/>
              </w:rPr>
              <w:t>案件隨增等</w:t>
            </w:r>
            <w:proofErr w:type="gramEnd"/>
            <w:r w:rsidRPr="00123BB0">
              <w:rPr>
                <w:rFonts w:ascii="標楷體" w:eastAsia="標楷體" w:hAnsi="標楷體" w:hint="eastAsia"/>
                <w:sz w:val="20"/>
              </w:rPr>
              <w:t>情，均待</w:t>
            </w:r>
            <w:proofErr w:type="gramStart"/>
            <w:r w:rsidRPr="00123BB0">
              <w:rPr>
                <w:rFonts w:ascii="標楷體" w:eastAsia="標楷體" w:hAnsi="標楷體" w:hint="eastAsia"/>
                <w:sz w:val="20"/>
              </w:rPr>
              <w:t>研</w:t>
            </w:r>
            <w:proofErr w:type="gramEnd"/>
            <w:r w:rsidRPr="00123BB0">
              <w:rPr>
                <w:rFonts w:ascii="標楷體" w:eastAsia="標楷體" w:hAnsi="標楷體" w:hint="eastAsia"/>
                <w:sz w:val="20"/>
              </w:rPr>
              <w:t>謀改善。</w:t>
            </w:r>
          </w:p>
        </w:tc>
        <w:tc>
          <w:tcPr>
            <w:tcW w:w="792" w:type="pct"/>
            <w:vMerge w:val="restart"/>
            <w:tcBorders>
              <w:top w:val="single" w:sz="4" w:space="0" w:color="auto"/>
              <w:left w:val="single" w:sz="4" w:space="0" w:color="auto"/>
              <w:bottom w:val="single" w:sz="4" w:space="0" w:color="auto"/>
              <w:right w:val="single" w:sz="4" w:space="0" w:color="auto"/>
              <w:tl2br w:val="single" w:sz="4" w:space="0" w:color="auto"/>
            </w:tcBorders>
          </w:tcPr>
          <w:p w14:paraId="5066E6D8" w14:textId="77777777" w:rsidR="00B66083" w:rsidRDefault="00B66083" w:rsidP="00824CD6">
            <w:pPr>
              <w:spacing w:after="20" w:line="280" w:lineRule="exact"/>
              <w:ind w:left="410" w:hangingChars="205" w:hanging="410"/>
              <w:jc w:val="both"/>
              <w:rPr>
                <w:rFonts w:ascii="標楷體" w:eastAsia="標楷體" w:hAnsi="標楷體"/>
                <w:sz w:val="20"/>
                <w:szCs w:val="24"/>
              </w:rPr>
            </w:pPr>
          </w:p>
        </w:tc>
      </w:tr>
      <w:tr w:rsidR="00B66083" w14:paraId="6A238907" w14:textId="77777777" w:rsidTr="00824CD6">
        <w:trPr>
          <w:trHeight w:val="567"/>
        </w:trPr>
        <w:tc>
          <w:tcPr>
            <w:tcW w:w="4208" w:type="pct"/>
            <w:tcBorders>
              <w:top w:val="single" w:sz="4" w:space="0" w:color="auto"/>
              <w:left w:val="single" w:sz="4" w:space="0" w:color="auto"/>
              <w:bottom w:val="single" w:sz="4" w:space="0" w:color="auto"/>
              <w:right w:val="single" w:sz="4" w:space="0" w:color="auto"/>
            </w:tcBorders>
            <w:vAlign w:val="center"/>
            <w:hideMark/>
          </w:tcPr>
          <w:p w14:paraId="2A2122FD" w14:textId="5A726D16" w:rsidR="00B66083" w:rsidRPr="004B4536" w:rsidRDefault="00B66083" w:rsidP="00A10A82">
            <w:pPr>
              <w:overflowPunct w:val="0"/>
              <w:spacing w:line="300" w:lineRule="exact"/>
              <w:ind w:left="200" w:hangingChars="100" w:hanging="200"/>
              <w:jc w:val="both"/>
              <w:rPr>
                <w:rFonts w:ascii="標楷體" w:eastAsia="標楷體" w:hAnsi="標楷體"/>
                <w:sz w:val="20"/>
              </w:rPr>
            </w:pPr>
            <w:r w:rsidRPr="004B4536">
              <w:rPr>
                <w:rFonts w:ascii="標楷體" w:eastAsia="標楷體" w:hAnsi="標楷體" w:hint="eastAsia"/>
                <w:sz w:val="20"/>
              </w:rPr>
              <w:t>2.</w:t>
            </w:r>
            <w:r w:rsidRPr="00123BB0">
              <w:rPr>
                <w:rFonts w:ascii="標楷體" w:eastAsia="標楷體" w:hAnsi="標楷體" w:hint="eastAsia"/>
                <w:sz w:val="20"/>
              </w:rPr>
              <w:t>統籌營運2023台灣燈會，</w:t>
            </w:r>
            <w:r w:rsidRPr="00123BB0">
              <w:rPr>
                <w:rFonts w:ascii="標楷體" w:eastAsia="標楷體" w:hAnsi="標楷體"/>
                <w:sz w:val="20"/>
              </w:rPr>
              <w:t>觀賞</w:t>
            </w:r>
            <w:proofErr w:type="gramStart"/>
            <w:r w:rsidRPr="00123BB0">
              <w:rPr>
                <w:rFonts w:ascii="標楷體" w:eastAsia="標楷體" w:hAnsi="標楷體"/>
                <w:sz w:val="20"/>
              </w:rPr>
              <w:t>到訪</w:t>
            </w:r>
            <w:r w:rsidRPr="00123BB0">
              <w:rPr>
                <w:rFonts w:ascii="標楷體" w:eastAsia="標楷體" w:hAnsi="標楷體" w:hint="eastAsia"/>
                <w:sz w:val="20"/>
              </w:rPr>
              <w:t>逾千</w:t>
            </w:r>
            <w:r w:rsidRPr="00123BB0">
              <w:rPr>
                <w:rFonts w:ascii="標楷體" w:eastAsia="標楷體" w:hAnsi="標楷體"/>
                <w:sz w:val="20"/>
              </w:rPr>
              <w:t>萬人</w:t>
            </w:r>
            <w:r w:rsidRPr="00123BB0">
              <w:rPr>
                <w:rFonts w:ascii="標楷體" w:eastAsia="標楷體" w:hAnsi="標楷體" w:hint="eastAsia"/>
                <w:sz w:val="20"/>
              </w:rPr>
              <w:t>次</w:t>
            </w:r>
            <w:proofErr w:type="gramEnd"/>
            <w:r w:rsidRPr="00123BB0">
              <w:rPr>
                <w:rFonts w:ascii="標楷體" w:eastAsia="標楷體" w:hAnsi="標楷體" w:hint="eastAsia"/>
                <w:sz w:val="20"/>
              </w:rPr>
              <w:t>，可活絡地方商機，惟部分財產及物品與企業贊助物資，</w:t>
            </w:r>
            <w:proofErr w:type="gramStart"/>
            <w:r w:rsidRPr="00123BB0">
              <w:rPr>
                <w:rFonts w:ascii="標楷體" w:eastAsia="標楷體" w:hAnsi="標楷體" w:hint="eastAsia"/>
                <w:sz w:val="20"/>
              </w:rPr>
              <w:t>間有未</w:t>
            </w:r>
            <w:proofErr w:type="gramEnd"/>
            <w:r w:rsidRPr="00123BB0">
              <w:rPr>
                <w:rFonts w:ascii="標楷體" w:eastAsia="標楷體" w:hAnsi="標楷體" w:hint="eastAsia"/>
                <w:sz w:val="20"/>
              </w:rPr>
              <w:t>依規定登記管理等情，有待檢討改善。</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480639" w14:textId="77777777" w:rsidR="00B66083" w:rsidRDefault="00B66083" w:rsidP="00824CD6">
            <w:pPr>
              <w:widowControl/>
              <w:rPr>
                <w:rFonts w:ascii="標楷體" w:eastAsia="標楷體" w:hAnsi="標楷體"/>
                <w:sz w:val="20"/>
                <w:szCs w:val="24"/>
              </w:rPr>
            </w:pPr>
          </w:p>
        </w:tc>
      </w:tr>
    </w:tbl>
    <w:p w14:paraId="7FDB6368" w14:textId="77777777" w:rsidR="008B567C" w:rsidRPr="00AF45A9" w:rsidRDefault="008B567C" w:rsidP="008B567C">
      <w:pPr>
        <w:spacing w:afterLines="50" w:after="180" w:line="560" w:lineRule="exact"/>
        <w:jc w:val="both"/>
        <w:rPr>
          <w:rFonts w:ascii="標楷體" w:eastAsia="標楷體"/>
          <w:b/>
          <w:sz w:val="36"/>
          <w:szCs w:val="36"/>
        </w:rPr>
      </w:pPr>
      <w:r w:rsidRPr="00AF45A9">
        <w:rPr>
          <w:rFonts w:ascii="標楷體" w:eastAsia="標楷體" w:hint="eastAsia"/>
          <w:b/>
          <w:sz w:val="36"/>
          <w:szCs w:val="36"/>
        </w:rPr>
        <w:lastRenderedPageBreak/>
        <w:t>拾玖、地政局主管</w:t>
      </w:r>
    </w:p>
    <w:p w14:paraId="1E819035" w14:textId="77777777" w:rsidR="008B567C" w:rsidRPr="00D52CBB" w:rsidRDefault="008B567C" w:rsidP="00FC5E25">
      <w:pPr>
        <w:spacing w:line="454" w:lineRule="exact"/>
        <w:ind w:firstLineChars="200" w:firstLine="480"/>
        <w:jc w:val="both"/>
        <w:rPr>
          <w:rFonts w:ascii="標楷體" w:eastAsia="標楷體"/>
        </w:rPr>
      </w:pPr>
      <w:r w:rsidRPr="00D52CBB">
        <w:rPr>
          <w:rFonts w:ascii="標楷體" w:eastAsia="標楷體" w:hint="eastAsia"/>
        </w:rPr>
        <w:t>地政局主管</w:t>
      </w:r>
      <w:r w:rsidRPr="001F7FAB">
        <w:rPr>
          <w:rFonts w:ascii="標楷體" w:eastAsia="標楷體" w:hint="eastAsia"/>
          <w:color w:val="000000" w:themeColor="text1"/>
        </w:rPr>
        <w:t>計有公務機關8個，非營業特種基金單位2個，各該單位決算及附屬單位決算非營業部分之審核情形如次：</w:t>
      </w:r>
    </w:p>
    <w:p w14:paraId="6B860BCE" w14:textId="77777777" w:rsidR="008B567C" w:rsidRPr="00D048D9" w:rsidRDefault="008B567C" w:rsidP="008B567C">
      <w:pPr>
        <w:spacing w:before="120" w:after="120" w:line="460" w:lineRule="exact"/>
        <w:jc w:val="both"/>
        <w:outlineLvl w:val="2"/>
        <w:rPr>
          <w:rFonts w:ascii="標楷體" w:eastAsia="標楷體"/>
          <w:b/>
          <w:sz w:val="32"/>
          <w:szCs w:val="32"/>
        </w:rPr>
      </w:pPr>
      <w:r w:rsidRPr="00D048D9">
        <w:rPr>
          <w:rFonts w:ascii="標楷體" w:eastAsia="標楷體" w:hint="eastAsia"/>
          <w:b/>
          <w:sz w:val="32"/>
          <w:szCs w:val="32"/>
        </w:rPr>
        <w:t>一、單位決算部分</w:t>
      </w:r>
    </w:p>
    <w:p w14:paraId="107FD3C7" w14:textId="77777777" w:rsidR="008B567C" w:rsidRPr="003F350A" w:rsidRDefault="008B567C" w:rsidP="00FC5E25">
      <w:pPr>
        <w:spacing w:line="444" w:lineRule="exact"/>
        <w:ind w:firstLineChars="200" w:firstLine="480"/>
        <w:jc w:val="both"/>
        <w:rPr>
          <w:rFonts w:ascii="標楷體" w:eastAsia="標楷體"/>
          <w:color w:val="000000" w:themeColor="text1"/>
        </w:rPr>
      </w:pPr>
      <w:r w:rsidRPr="003F350A">
        <w:rPr>
          <w:rFonts w:ascii="標楷體" w:eastAsia="標楷體" w:hint="eastAsia"/>
          <w:color w:val="000000" w:themeColor="text1"/>
        </w:rPr>
        <w:t>地政局主管包括地政局</w:t>
      </w:r>
      <w:r w:rsidRPr="003F350A">
        <w:rPr>
          <w:rFonts w:ascii="標楷體" w:eastAsia="標楷體" w:hAnsi="標楷體" w:hint="eastAsia"/>
          <w:color w:val="000000" w:themeColor="text1"/>
        </w:rPr>
        <w:t>、</w:t>
      </w:r>
      <w:r w:rsidRPr="003F350A">
        <w:rPr>
          <w:rFonts w:ascii="標楷體" w:eastAsia="標楷體" w:hint="eastAsia"/>
          <w:color w:val="000000" w:themeColor="text1"/>
        </w:rPr>
        <w:t>土地開發總隊及松山、大安、中山、古亭、建成、士林地政事務所等8個機關，負責辦理全市土地登記、測量、重劃、徵收等有關之地政業務。茲將</w:t>
      </w:r>
      <w:proofErr w:type="gramStart"/>
      <w:r w:rsidRPr="003F350A">
        <w:rPr>
          <w:rFonts w:ascii="標楷體" w:eastAsia="標楷體" w:hint="eastAsia"/>
          <w:color w:val="000000" w:themeColor="text1"/>
        </w:rPr>
        <w:t>11</w:t>
      </w:r>
      <w:r>
        <w:rPr>
          <w:rFonts w:ascii="標楷體" w:eastAsia="標楷體"/>
          <w:color w:val="000000" w:themeColor="text1"/>
        </w:rPr>
        <w:t>3</w:t>
      </w:r>
      <w:proofErr w:type="gramEnd"/>
      <w:r w:rsidRPr="003F350A">
        <w:rPr>
          <w:rFonts w:ascii="標楷體" w:eastAsia="標楷體" w:hint="eastAsia"/>
          <w:color w:val="000000" w:themeColor="text1"/>
        </w:rPr>
        <w:t>年度決算審核結果說明如次：</w:t>
      </w:r>
    </w:p>
    <w:p w14:paraId="12EC292D" w14:textId="77777777" w:rsidR="008B567C" w:rsidRPr="00E05CBD" w:rsidRDefault="008B567C" w:rsidP="008B567C">
      <w:pPr>
        <w:spacing w:before="60" w:after="60" w:line="480" w:lineRule="exact"/>
        <w:ind w:firstLineChars="100" w:firstLine="280"/>
        <w:jc w:val="both"/>
        <w:outlineLvl w:val="3"/>
        <w:rPr>
          <w:rFonts w:ascii="標楷體" w:eastAsia="標楷體"/>
          <w:b/>
          <w:sz w:val="28"/>
          <w:szCs w:val="28"/>
        </w:rPr>
      </w:pPr>
      <w:r w:rsidRPr="00E05CBD">
        <w:rPr>
          <w:rFonts w:ascii="標楷體" w:eastAsia="標楷體" w:hint="eastAsia"/>
          <w:b/>
          <w:sz w:val="28"/>
          <w:szCs w:val="28"/>
        </w:rPr>
        <w:t>（一）計畫實施之查核</w:t>
      </w:r>
    </w:p>
    <w:p w14:paraId="08F45973" w14:textId="77777777" w:rsidR="008B567C" w:rsidRPr="00D228C5" w:rsidRDefault="008B567C" w:rsidP="0061217A">
      <w:pPr>
        <w:spacing w:line="440" w:lineRule="exact"/>
        <w:ind w:firstLineChars="200" w:firstLine="480"/>
        <w:jc w:val="both"/>
        <w:rPr>
          <w:rFonts w:ascii="標楷體" w:eastAsia="標楷體"/>
          <w:color w:val="000000" w:themeColor="text1"/>
        </w:rPr>
      </w:pPr>
      <w:r w:rsidRPr="006F6030">
        <w:rPr>
          <w:rFonts w:ascii="標楷體" w:eastAsia="標楷體" w:hint="eastAsia"/>
          <w:color w:val="000000" w:themeColor="text1"/>
        </w:rPr>
        <w:t>業務計畫26項，</w:t>
      </w:r>
      <w:r w:rsidRPr="003F350A">
        <w:rPr>
          <w:rFonts w:ascii="標楷體" w:eastAsia="標楷體" w:hint="eastAsia"/>
          <w:color w:val="000000" w:themeColor="text1"/>
        </w:rPr>
        <w:t>下分工作計畫2</w:t>
      </w:r>
      <w:r>
        <w:rPr>
          <w:rFonts w:ascii="標楷體" w:eastAsia="標楷體" w:hint="eastAsia"/>
          <w:color w:val="000000" w:themeColor="text1"/>
        </w:rPr>
        <w:t>9</w:t>
      </w:r>
      <w:r w:rsidRPr="003F350A">
        <w:rPr>
          <w:rFonts w:ascii="標楷體" w:eastAsia="標楷體" w:hint="eastAsia"/>
          <w:color w:val="000000" w:themeColor="text1"/>
        </w:rPr>
        <w:t>項，包括辦理地籍清理作業、土地登記及測量業務、1</w:t>
      </w:r>
      <w:r>
        <w:rPr>
          <w:rFonts w:ascii="標楷體" w:eastAsia="標楷體" w:hint="eastAsia"/>
          <w:color w:val="000000" w:themeColor="text1"/>
        </w:rPr>
        <w:t>1</w:t>
      </w:r>
      <w:r>
        <w:rPr>
          <w:rFonts w:ascii="標楷體" w:eastAsia="標楷體"/>
          <w:color w:val="000000" w:themeColor="text1"/>
        </w:rPr>
        <w:t>3</w:t>
      </w:r>
      <w:r w:rsidRPr="003F350A">
        <w:rPr>
          <w:rFonts w:ascii="標楷體" w:eastAsia="標楷體" w:hint="eastAsia"/>
          <w:color w:val="000000" w:themeColor="text1"/>
        </w:rPr>
        <w:t>年公告土地現值業務、推動智慧</w:t>
      </w:r>
      <w:r>
        <w:rPr>
          <w:rFonts w:ascii="標楷體" w:eastAsia="標楷體" w:hint="eastAsia"/>
          <w:color w:val="000000" w:themeColor="text1"/>
        </w:rPr>
        <w:t>測繪、</w:t>
      </w:r>
      <w:r w:rsidRPr="003F350A">
        <w:rPr>
          <w:rFonts w:ascii="標楷體" w:eastAsia="標楷體" w:hint="eastAsia"/>
          <w:color w:val="000000" w:themeColor="text1"/>
        </w:rPr>
        <w:t>不動產經紀業管理、區段徵收及市地重劃作業等重</w:t>
      </w:r>
      <w:r w:rsidRPr="00BD0121">
        <w:rPr>
          <w:rFonts w:ascii="標楷體" w:eastAsia="標楷體" w:hint="eastAsia"/>
          <w:color w:val="000000" w:themeColor="text1"/>
        </w:rPr>
        <w:t>要施政項目，</w:t>
      </w:r>
      <w:r>
        <w:rPr>
          <w:rFonts w:ascii="標楷體" w:eastAsia="標楷體" w:hint="eastAsia"/>
          <w:color w:val="000000" w:themeColor="text1"/>
        </w:rPr>
        <w:t>其中已執行完成者28項，尚在執行者1項，係古亭地政事務所辦理萬和超市大樓耐震補強及外牆防水工程期程跨年度，須保留繼續執行</w:t>
      </w:r>
      <w:r w:rsidRPr="00BD0121">
        <w:rPr>
          <w:rFonts w:ascii="標楷體" w:eastAsia="標楷體" w:hAnsi="標楷體" w:hint="eastAsia"/>
          <w:color w:val="000000" w:themeColor="text1"/>
          <w:spacing w:val="6"/>
        </w:rPr>
        <w:t>。</w:t>
      </w:r>
      <w:r w:rsidRPr="00BD0121">
        <w:rPr>
          <w:rFonts w:ascii="標楷體" w:eastAsia="標楷體"/>
          <w:noProof/>
          <w:color w:val="000000" w:themeColor="text1"/>
        </w:rPr>
        <w:t xml:space="preserve"> </w:t>
      </w:r>
    </w:p>
    <w:p w14:paraId="211849CD" w14:textId="77777777" w:rsidR="008B567C" w:rsidRPr="00E05CBD" w:rsidRDefault="008B567C" w:rsidP="008B567C">
      <w:pPr>
        <w:spacing w:before="60" w:after="60" w:line="480" w:lineRule="exact"/>
        <w:ind w:firstLineChars="100" w:firstLine="280"/>
        <w:jc w:val="both"/>
        <w:outlineLvl w:val="3"/>
        <w:rPr>
          <w:rFonts w:ascii="標楷體" w:eastAsia="標楷體"/>
          <w:b/>
          <w:sz w:val="28"/>
          <w:szCs w:val="28"/>
        </w:rPr>
      </w:pPr>
      <w:r w:rsidRPr="00E05CBD">
        <w:rPr>
          <w:rFonts w:ascii="標楷體" w:eastAsia="標楷體" w:hint="eastAsia"/>
          <w:b/>
          <w:sz w:val="28"/>
          <w:szCs w:val="28"/>
        </w:rPr>
        <w:t>（二）預算執行之審核</w:t>
      </w:r>
    </w:p>
    <w:p w14:paraId="3BD3F9B7" w14:textId="77777777" w:rsidR="008B567C" w:rsidRDefault="008B567C" w:rsidP="0061217A">
      <w:pPr>
        <w:spacing w:line="440" w:lineRule="exact"/>
        <w:ind w:firstLineChars="200" w:firstLine="480"/>
        <w:jc w:val="both"/>
        <w:rPr>
          <w:rFonts w:ascii="標楷體" w:eastAsia="標楷體"/>
          <w:color w:val="FF0000"/>
        </w:rPr>
      </w:pPr>
      <w:r w:rsidRPr="000B103F">
        <w:rPr>
          <w:rFonts w:ascii="標楷體" w:eastAsia="標楷體" w:hint="eastAsia"/>
        </w:rPr>
        <w:t>1.</w:t>
      </w:r>
      <w:r w:rsidRPr="000B103F">
        <w:rPr>
          <w:rFonts w:ascii="標楷體" w:eastAsia="標楷體"/>
        </w:rPr>
        <w:t>歲入</w:t>
      </w:r>
      <w:r w:rsidRPr="000B103F">
        <w:rPr>
          <w:rFonts w:ascii="標楷體" w:eastAsia="標楷體" w:hint="eastAsia"/>
        </w:rPr>
        <w:t>編列</w:t>
      </w:r>
      <w:r w:rsidRPr="000B103F">
        <w:rPr>
          <w:rFonts w:ascii="標楷體" w:eastAsia="標楷體"/>
        </w:rPr>
        <w:t>預算數</w:t>
      </w:r>
      <w:r>
        <w:rPr>
          <w:rFonts w:ascii="標楷體" w:eastAsia="標楷體" w:hint="eastAsia"/>
        </w:rPr>
        <w:t>5</w:t>
      </w:r>
      <w:r>
        <w:rPr>
          <w:rFonts w:ascii="標楷體" w:eastAsia="標楷體"/>
        </w:rPr>
        <w:t>9</w:t>
      </w:r>
      <w:r w:rsidRPr="000B103F">
        <w:rPr>
          <w:rFonts w:ascii="標楷體" w:eastAsia="標楷體"/>
        </w:rPr>
        <w:t>億</w:t>
      </w:r>
      <w:r>
        <w:rPr>
          <w:rFonts w:ascii="標楷體" w:eastAsia="標楷體" w:hint="eastAsia"/>
        </w:rPr>
        <w:t>5</w:t>
      </w:r>
      <w:r w:rsidRPr="000B103F">
        <w:rPr>
          <w:rFonts w:ascii="標楷體" w:eastAsia="標楷體"/>
        </w:rPr>
        <w:t>,</w:t>
      </w:r>
      <w:r>
        <w:rPr>
          <w:rFonts w:ascii="標楷體" w:eastAsia="標楷體" w:hint="eastAsia"/>
        </w:rPr>
        <w:t>178</w:t>
      </w:r>
      <w:r w:rsidRPr="000B103F">
        <w:rPr>
          <w:rFonts w:ascii="標楷體" w:eastAsia="標楷體"/>
        </w:rPr>
        <w:t>萬餘元，決算審核結果，審定實</w:t>
      </w:r>
      <w:r w:rsidRPr="000B103F">
        <w:rPr>
          <w:rFonts w:ascii="標楷體" w:eastAsia="標楷體" w:hint="eastAsia"/>
        </w:rPr>
        <w:t>現</w:t>
      </w:r>
      <w:r w:rsidRPr="000B103F">
        <w:rPr>
          <w:rFonts w:ascii="標楷體" w:eastAsia="標楷體"/>
        </w:rPr>
        <w:t>數</w:t>
      </w:r>
      <w:r>
        <w:rPr>
          <w:rFonts w:ascii="標楷體" w:eastAsia="標楷體" w:hint="eastAsia"/>
        </w:rPr>
        <w:t>64</w:t>
      </w:r>
      <w:r w:rsidRPr="000B103F">
        <w:rPr>
          <w:rFonts w:ascii="標楷體" w:eastAsia="標楷體" w:hint="eastAsia"/>
        </w:rPr>
        <w:t>億</w:t>
      </w:r>
      <w:r>
        <w:rPr>
          <w:rFonts w:ascii="標楷體" w:eastAsia="標楷體" w:hint="eastAsia"/>
        </w:rPr>
        <w:t>402</w:t>
      </w:r>
      <w:r w:rsidRPr="000B103F">
        <w:rPr>
          <w:rFonts w:ascii="標楷體" w:eastAsia="標楷體" w:hint="eastAsia"/>
        </w:rPr>
        <w:t>萬餘元</w:t>
      </w:r>
      <w:r w:rsidRPr="000B103F">
        <w:rPr>
          <w:rFonts w:ascii="標楷體" w:eastAsia="標楷體"/>
        </w:rPr>
        <w:t>，應收保留數</w:t>
      </w:r>
      <w:r>
        <w:rPr>
          <w:rFonts w:ascii="標楷體" w:eastAsia="標楷體" w:hint="eastAsia"/>
        </w:rPr>
        <w:t>2</w:t>
      </w:r>
      <w:r>
        <w:rPr>
          <w:rFonts w:ascii="標楷體" w:eastAsia="標楷體"/>
        </w:rPr>
        <w:t>,063</w:t>
      </w:r>
      <w:r w:rsidRPr="000B103F">
        <w:rPr>
          <w:rFonts w:ascii="標楷體" w:eastAsia="標楷體"/>
        </w:rPr>
        <w:t>萬</w:t>
      </w:r>
      <w:r w:rsidRPr="000B103F">
        <w:rPr>
          <w:rFonts w:ascii="標楷體" w:eastAsia="標楷體" w:hint="eastAsia"/>
        </w:rPr>
        <w:t>餘</w:t>
      </w:r>
      <w:r w:rsidRPr="000B103F">
        <w:rPr>
          <w:rFonts w:ascii="標楷體" w:eastAsia="標楷體"/>
        </w:rPr>
        <w:t>元，</w:t>
      </w:r>
      <w:r w:rsidRPr="00FC6DA9">
        <w:rPr>
          <w:rFonts w:ascii="標楷體" w:eastAsia="標楷體" w:hint="eastAsia"/>
        </w:rPr>
        <w:t>主要係</w:t>
      </w:r>
      <w:r>
        <w:rPr>
          <w:rFonts w:ascii="標楷體" w:eastAsia="標楷體" w:hint="eastAsia"/>
        </w:rPr>
        <w:t>臺北市實施平均地權基金超預算賸餘</w:t>
      </w:r>
      <w:r w:rsidRPr="00FC6DA9">
        <w:rPr>
          <w:rFonts w:ascii="標楷體" w:eastAsia="標楷體" w:hint="eastAsia"/>
        </w:rPr>
        <w:t>尚待收繳；</w:t>
      </w:r>
      <w:r w:rsidRPr="00FC6DA9">
        <w:rPr>
          <w:rFonts w:ascii="標楷體" w:eastAsia="標楷體"/>
        </w:rPr>
        <w:t>合計決算審定數為</w:t>
      </w:r>
      <w:r>
        <w:rPr>
          <w:rFonts w:ascii="標楷體" w:eastAsia="標楷體"/>
        </w:rPr>
        <w:t>64</w:t>
      </w:r>
      <w:r w:rsidRPr="00FC6DA9">
        <w:rPr>
          <w:rFonts w:ascii="標楷體" w:eastAsia="標楷體" w:hint="eastAsia"/>
        </w:rPr>
        <w:t>億</w:t>
      </w:r>
      <w:r>
        <w:rPr>
          <w:rFonts w:ascii="標楷體" w:eastAsia="標楷體" w:hint="eastAsia"/>
        </w:rPr>
        <w:t>2</w:t>
      </w:r>
      <w:r w:rsidRPr="00FC6DA9">
        <w:rPr>
          <w:rFonts w:ascii="標楷體" w:eastAsia="標楷體"/>
        </w:rPr>
        <w:t>,</w:t>
      </w:r>
      <w:r>
        <w:rPr>
          <w:rFonts w:ascii="標楷體" w:eastAsia="標楷體"/>
        </w:rPr>
        <w:t>465</w:t>
      </w:r>
      <w:r w:rsidRPr="00FC6DA9">
        <w:rPr>
          <w:rFonts w:ascii="標楷體" w:eastAsia="標楷體" w:hint="eastAsia"/>
        </w:rPr>
        <w:t>萬餘元</w:t>
      </w:r>
      <w:r w:rsidRPr="00FC6DA9">
        <w:rPr>
          <w:rFonts w:ascii="標楷體" w:eastAsia="標楷體"/>
        </w:rPr>
        <w:t>，較預算</w:t>
      </w:r>
      <w:r>
        <w:rPr>
          <w:rFonts w:ascii="標楷體" w:eastAsia="標楷體" w:hint="eastAsia"/>
        </w:rPr>
        <w:t>增加</w:t>
      </w:r>
      <w:r>
        <w:rPr>
          <w:rFonts w:ascii="標楷體" w:eastAsia="標楷體" w:hAnsi="標楷體" w:hint="eastAsia"/>
        </w:rPr>
        <w:t>4</w:t>
      </w:r>
      <w:r w:rsidRPr="000B103F">
        <w:rPr>
          <w:rFonts w:ascii="標楷體" w:eastAsia="標楷體"/>
        </w:rPr>
        <w:t>億</w:t>
      </w:r>
      <w:r>
        <w:rPr>
          <w:rFonts w:ascii="標楷體" w:eastAsia="標楷體" w:hAnsi="標楷體" w:hint="eastAsia"/>
        </w:rPr>
        <w:t>7</w:t>
      </w:r>
      <w:r w:rsidRPr="00FC6DA9">
        <w:rPr>
          <w:rFonts w:ascii="標楷體" w:eastAsia="標楷體" w:hAnsi="標楷體"/>
        </w:rPr>
        <w:t>,</w:t>
      </w:r>
      <w:r>
        <w:rPr>
          <w:rFonts w:ascii="標楷體" w:eastAsia="標楷體" w:hAnsi="標楷體" w:hint="eastAsia"/>
        </w:rPr>
        <w:t>286</w:t>
      </w:r>
      <w:r w:rsidRPr="00FC6DA9">
        <w:rPr>
          <w:rFonts w:ascii="標楷體" w:eastAsia="標楷體" w:hAnsi="標楷體" w:hint="eastAsia"/>
        </w:rPr>
        <w:t>萬餘元</w:t>
      </w:r>
      <w:r w:rsidRPr="00FC6DA9">
        <w:rPr>
          <w:rFonts w:ascii="標楷體" w:eastAsia="標楷體" w:hint="eastAsia"/>
        </w:rPr>
        <w:t>（</w:t>
      </w:r>
      <w:r>
        <w:rPr>
          <w:rFonts w:ascii="標楷體" w:eastAsia="標楷體" w:hAnsi="標楷體" w:hint="eastAsia"/>
        </w:rPr>
        <w:t>7</w:t>
      </w:r>
      <w:r>
        <w:rPr>
          <w:rFonts w:ascii="標楷體" w:eastAsia="標楷體" w:hAnsi="標楷體"/>
        </w:rPr>
        <w:t>.</w:t>
      </w:r>
      <w:r>
        <w:rPr>
          <w:rFonts w:ascii="標楷體" w:eastAsia="標楷體" w:hAnsi="標楷體" w:hint="eastAsia"/>
        </w:rPr>
        <w:t>94</w:t>
      </w:r>
      <w:r w:rsidRPr="00FC6DA9">
        <w:rPr>
          <w:rFonts w:ascii="標楷體" w:eastAsia="標楷體" w:hAnsi="標楷體" w:hint="eastAsia"/>
        </w:rPr>
        <w:t>％）</w:t>
      </w:r>
      <w:r w:rsidRPr="00FC6DA9">
        <w:rPr>
          <w:rFonts w:ascii="標楷體" w:eastAsia="標楷體"/>
        </w:rPr>
        <w:t>，主要係</w:t>
      </w:r>
      <w:r>
        <w:rPr>
          <w:rFonts w:ascii="標楷體" w:eastAsia="標楷體" w:hint="eastAsia"/>
        </w:rPr>
        <w:t>各地政事務所</w:t>
      </w:r>
      <w:r w:rsidRPr="00FC6DA9">
        <w:rPr>
          <w:rFonts w:ascii="標楷體" w:eastAsia="標楷體" w:hint="eastAsia"/>
        </w:rPr>
        <w:t>之</w:t>
      </w:r>
      <w:r>
        <w:rPr>
          <w:rFonts w:ascii="標楷體" w:eastAsia="標楷體" w:hint="eastAsia"/>
        </w:rPr>
        <w:t>土地登記案件較預計增加</w:t>
      </w:r>
      <w:r w:rsidRPr="00FC6DA9">
        <w:rPr>
          <w:rFonts w:ascii="標楷體" w:eastAsia="標楷體" w:hint="eastAsia"/>
        </w:rPr>
        <w:t>。</w:t>
      </w:r>
    </w:p>
    <w:p w14:paraId="4E1FBCD1" w14:textId="77777777" w:rsidR="008B567C" w:rsidRPr="005209BB" w:rsidRDefault="008B567C" w:rsidP="0061217A">
      <w:pPr>
        <w:spacing w:line="440" w:lineRule="exact"/>
        <w:ind w:firstLineChars="200" w:firstLine="480"/>
        <w:jc w:val="both"/>
        <w:rPr>
          <w:rFonts w:ascii="標楷體" w:eastAsia="標楷體"/>
          <w:color w:val="FF0000"/>
        </w:rPr>
      </w:pPr>
      <w:r w:rsidRPr="00FC6DA9">
        <w:rPr>
          <w:rFonts w:ascii="標楷體" w:eastAsia="標楷體" w:hint="eastAsia"/>
        </w:rPr>
        <w:t>2.</w:t>
      </w:r>
      <w:r w:rsidRPr="00FC6DA9">
        <w:rPr>
          <w:rFonts w:ascii="標楷體" w:eastAsia="標楷體"/>
        </w:rPr>
        <w:t>以前年度</w:t>
      </w:r>
      <w:r w:rsidRPr="00FC6DA9">
        <w:rPr>
          <w:rFonts w:ascii="標楷體" w:eastAsia="標楷體" w:hint="eastAsia"/>
        </w:rPr>
        <w:t>歲入</w:t>
      </w:r>
      <w:r w:rsidRPr="00FC6DA9">
        <w:rPr>
          <w:rFonts w:ascii="標楷體" w:eastAsia="標楷體"/>
        </w:rPr>
        <w:t>轉入數計</w:t>
      </w:r>
      <w:r>
        <w:rPr>
          <w:rFonts w:ascii="標楷體" w:eastAsia="標楷體" w:hint="eastAsia"/>
        </w:rPr>
        <w:t>412</w:t>
      </w:r>
      <w:r w:rsidRPr="00FC6DA9">
        <w:rPr>
          <w:rFonts w:ascii="標楷體" w:eastAsia="標楷體"/>
        </w:rPr>
        <w:t>萬餘元，決算審核結果</w:t>
      </w:r>
      <w:r w:rsidRPr="00FC6DA9">
        <w:rPr>
          <w:rFonts w:ascii="標楷體" w:eastAsia="標楷體" w:hAnsi="標楷體" w:hint="eastAsia"/>
        </w:rPr>
        <w:t>，</w:t>
      </w:r>
      <w:r w:rsidRPr="00FC6DA9">
        <w:rPr>
          <w:rFonts w:ascii="標楷體" w:eastAsia="標楷體"/>
        </w:rPr>
        <w:t>審定實</w:t>
      </w:r>
      <w:r w:rsidRPr="00FC6DA9">
        <w:rPr>
          <w:rFonts w:ascii="標楷體" w:eastAsia="標楷體" w:hint="eastAsia"/>
        </w:rPr>
        <w:t>現</w:t>
      </w:r>
      <w:r w:rsidRPr="00FC6DA9">
        <w:rPr>
          <w:rFonts w:ascii="標楷體" w:eastAsia="標楷體"/>
        </w:rPr>
        <w:t>數</w:t>
      </w:r>
      <w:r>
        <w:rPr>
          <w:rFonts w:ascii="標楷體" w:eastAsia="標楷體" w:hint="eastAsia"/>
        </w:rPr>
        <w:t>205</w:t>
      </w:r>
      <w:r w:rsidRPr="00FC6DA9">
        <w:rPr>
          <w:rFonts w:ascii="標楷體" w:eastAsia="標楷體" w:hint="eastAsia"/>
        </w:rPr>
        <w:t>萬餘元</w:t>
      </w:r>
      <w:r w:rsidRPr="00FC6DA9">
        <w:rPr>
          <w:rFonts w:ascii="標楷體" w:eastAsia="標楷體" w:hAnsi="標楷體" w:hint="eastAsia"/>
        </w:rPr>
        <w:t>（</w:t>
      </w:r>
      <w:r>
        <w:rPr>
          <w:rFonts w:ascii="標楷體" w:eastAsia="標楷體" w:hint="eastAsia"/>
        </w:rPr>
        <w:t>49</w:t>
      </w:r>
      <w:r>
        <w:rPr>
          <w:rFonts w:ascii="標楷體" w:eastAsia="標楷體"/>
        </w:rPr>
        <w:t>.7</w:t>
      </w:r>
      <w:r>
        <w:rPr>
          <w:rFonts w:ascii="標楷體" w:eastAsia="標楷體" w:hint="eastAsia"/>
        </w:rPr>
        <w:t>4</w:t>
      </w:r>
      <w:r w:rsidRPr="00FC6DA9">
        <w:rPr>
          <w:rFonts w:ascii="標楷體" w:eastAsia="標楷體"/>
        </w:rPr>
        <w:t>％</w:t>
      </w:r>
      <w:r w:rsidRPr="00FC6DA9">
        <w:rPr>
          <w:rFonts w:ascii="標楷體" w:eastAsia="標楷體" w:hAnsi="標楷體" w:hint="eastAsia"/>
        </w:rPr>
        <w:t>）</w:t>
      </w:r>
      <w:r w:rsidRPr="00FC6DA9">
        <w:rPr>
          <w:rFonts w:ascii="標楷體" w:eastAsia="標楷體" w:hint="eastAsia"/>
        </w:rPr>
        <w:t>，</w:t>
      </w:r>
      <w:r w:rsidRPr="00FC6DA9">
        <w:rPr>
          <w:rFonts w:ascii="標楷體" w:eastAsia="標楷體"/>
        </w:rPr>
        <w:t>減免</w:t>
      </w:r>
      <w:r w:rsidRPr="00FC6DA9">
        <w:rPr>
          <w:rFonts w:ascii="標楷體" w:eastAsia="標楷體" w:hint="eastAsia"/>
        </w:rPr>
        <w:t>（註銷）</w:t>
      </w:r>
      <w:r w:rsidRPr="00FC6DA9">
        <w:rPr>
          <w:rFonts w:ascii="標楷體" w:eastAsia="標楷體"/>
        </w:rPr>
        <w:t>數</w:t>
      </w:r>
      <w:r>
        <w:rPr>
          <w:rFonts w:ascii="標楷體" w:eastAsia="標楷體" w:hint="eastAsia"/>
        </w:rPr>
        <w:t>28</w:t>
      </w:r>
      <w:r w:rsidRPr="00FC6DA9">
        <w:rPr>
          <w:rFonts w:ascii="標楷體" w:eastAsia="標楷體"/>
        </w:rPr>
        <w:t>萬餘元</w:t>
      </w:r>
      <w:r w:rsidRPr="00FC6DA9">
        <w:rPr>
          <w:rFonts w:ascii="標楷體" w:eastAsia="標楷體" w:hint="eastAsia"/>
        </w:rPr>
        <w:t>（</w:t>
      </w:r>
      <w:r>
        <w:rPr>
          <w:rFonts w:ascii="標楷體" w:eastAsia="標楷體" w:hint="eastAsia"/>
        </w:rPr>
        <w:t>6.90</w:t>
      </w:r>
      <w:r w:rsidRPr="00FC6DA9">
        <w:rPr>
          <w:rFonts w:ascii="標楷體" w:eastAsia="標楷體"/>
        </w:rPr>
        <w:t>％</w:t>
      </w:r>
      <w:r w:rsidRPr="00FC6DA9">
        <w:rPr>
          <w:rFonts w:ascii="標楷體" w:eastAsia="標楷體" w:hint="eastAsia"/>
        </w:rPr>
        <w:t>）</w:t>
      </w:r>
      <w:r w:rsidRPr="00FC6DA9">
        <w:rPr>
          <w:rFonts w:ascii="標楷體" w:eastAsia="標楷體"/>
        </w:rPr>
        <w:t>，</w:t>
      </w:r>
      <w:r w:rsidRPr="007F4832">
        <w:rPr>
          <w:rFonts w:ascii="標楷體" w:eastAsia="標楷體" w:hAnsi="標楷體" w:hint="eastAsia"/>
          <w:noProof/>
        </w:rPr>
        <w:t>主要係</w:t>
      </w:r>
      <w:r>
        <w:rPr>
          <w:rFonts w:ascii="標楷體" w:eastAsia="標楷體" w:hAnsi="標楷體" w:hint="eastAsia"/>
          <w:noProof/>
        </w:rPr>
        <w:t>各地政</w:t>
      </w:r>
      <w:r>
        <w:rPr>
          <w:rFonts w:ascii="標楷體" w:eastAsia="標楷體" w:hint="eastAsia"/>
        </w:rPr>
        <w:t>事務所</w:t>
      </w:r>
      <w:r w:rsidRPr="007F4832">
        <w:rPr>
          <w:rFonts w:ascii="標楷體" w:eastAsia="標楷體" w:hAnsi="標楷體" w:hint="eastAsia"/>
          <w:noProof/>
        </w:rPr>
        <w:t>之違反</w:t>
      </w:r>
      <w:r>
        <w:rPr>
          <w:rFonts w:ascii="標楷體" w:eastAsia="標楷體" w:hAnsi="標楷體" w:hint="eastAsia"/>
          <w:noProof/>
        </w:rPr>
        <w:t>土地法裁</w:t>
      </w:r>
      <w:r w:rsidRPr="007F4832">
        <w:rPr>
          <w:rFonts w:ascii="標楷體" w:eastAsia="標楷體" w:hAnsi="標楷體" w:hint="eastAsia"/>
          <w:noProof/>
        </w:rPr>
        <w:t>罰</w:t>
      </w:r>
      <w:r>
        <w:rPr>
          <w:rFonts w:ascii="標楷體" w:eastAsia="標楷體" w:hAnsi="標楷體" w:hint="eastAsia"/>
          <w:noProof/>
        </w:rPr>
        <w:t>案件</w:t>
      </w:r>
      <w:r w:rsidRPr="007F4832">
        <w:rPr>
          <w:rFonts w:ascii="標楷體" w:eastAsia="標楷體" w:hAnsi="標楷體" w:hint="eastAsia"/>
          <w:noProof/>
        </w:rPr>
        <w:t>，依法取得執行憑證辦理註銷</w:t>
      </w:r>
      <w:r w:rsidRPr="007F4832">
        <w:rPr>
          <w:rFonts w:ascii="標楷體" w:eastAsia="標楷體" w:hAnsi="標楷體" w:hint="eastAsia"/>
        </w:rPr>
        <w:t>；</w:t>
      </w:r>
      <w:r w:rsidRPr="00414D3A">
        <w:rPr>
          <w:rFonts w:ascii="標楷體" w:eastAsia="標楷體"/>
        </w:rPr>
        <w:t>應收保留數</w:t>
      </w:r>
      <w:r>
        <w:rPr>
          <w:rFonts w:ascii="標楷體" w:eastAsia="標楷體" w:hint="eastAsia"/>
        </w:rPr>
        <w:t>179</w:t>
      </w:r>
      <w:r w:rsidRPr="00414D3A">
        <w:rPr>
          <w:rFonts w:ascii="標楷體" w:eastAsia="標楷體"/>
        </w:rPr>
        <w:t>萬餘元</w:t>
      </w:r>
      <w:r w:rsidRPr="00414D3A">
        <w:rPr>
          <w:rFonts w:ascii="標楷體" w:eastAsia="標楷體" w:hint="eastAsia"/>
        </w:rPr>
        <w:t>（</w:t>
      </w:r>
      <w:r>
        <w:rPr>
          <w:rFonts w:ascii="標楷體" w:eastAsia="標楷體" w:hint="eastAsia"/>
        </w:rPr>
        <w:t>43.36</w:t>
      </w:r>
      <w:r w:rsidRPr="007F4832">
        <w:rPr>
          <w:rFonts w:ascii="標楷體" w:eastAsia="標楷體"/>
        </w:rPr>
        <w:t>％</w:t>
      </w:r>
      <w:r w:rsidRPr="007F4832">
        <w:rPr>
          <w:rFonts w:ascii="標楷體" w:eastAsia="標楷體" w:hint="eastAsia"/>
        </w:rPr>
        <w:t>），</w:t>
      </w:r>
      <w:proofErr w:type="gramStart"/>
      <w:r w:rsidRPr="007F4832">
        <w:rPr>
          <w:rFonts w:ascii="標楷體" w:eastAsia="標楷體" w:hint="eastAsia"/>
        </w:rPr>
        <w:t>主要係地政局</w:t>
      </w:r>
      <w:proofErr w:type="gramEnd"/>
      <w:r w:rsidRPr="007F4832">
        <w:rPr>
          <w:rFonts w:ascii="標楷體" w:eastAsia="標楷體" w:hint="eastAsia"/>
        </w:rPr>
        <w:t>之違反不動產經紀業管理條例罰鍰尚待收繳。</w:t>
      </w:r>
    </w:p>
    <w:p w14:paraId="329B87E0" w14:textId="77777777" w:rsidR="008B567C" w:rsidRPr="00467812" w:rsidRDefault="008B567C" w:rsidP="0061217A">
      <w:pPr>
        <w:spacing w:line="450" w:lineRule="exact"/>
        <w:ind w:firstLineChars="200" w:firstLine="480"/>
        <w:jc w:val="both"/>
        <w:rPr>
          <w:rFonts w:ascii="標楷體" w:eastAsia="標楷體"/>
          <w:color w:val="FF0000"/>
          <w:spacing w:val="-2"/>
        </w:rPr>
      </w:pPr>
      <w:r w:rsidRPr="00610B43">
        <w:rPr>
          <w:rFonts w:ascii="標楷體" w:eastAsia="標楷體" w:hAnsi="標楷體" w:hint="eastAsia"/>
          <w:noProof/>
        </w:rPr>
        <w:t>3</w:t>
      </w:r>
      <w:r w:rsidRPr="00610B43">
        <w:rPr>
          <w:rFonts w:ascii="標楷體" w:eastAsia="標楷體" w:hint="eastAsia"/>
        </w:rPr>
        <w:t>.</w:t>
      </w:r>
      <w:r w:rsidRPr="007C51AF">
        <w:rPr>
          <w:rFonts w:ascii="標楷體" w:eastAsia="標楷體"/>
        </w:rPr>
        <w:t>歲出</w:t>
      </w:r>
      <w:r w:rsidRPr="007C51AF">
        <w:rPr>
          <w:rFonts w:ascii="標楷體" w:eastAsia="標楷體" w:hint="eastAsia"/>
        </w:rPr>
        <w:t>原編列</w:t>
      </w:r>
      <w:r w:rsidRPr="007C51AF">
        <w:rPr>
          <w:rFonts w:ascii="標楷體" w:eastAsia="標楷體"/>
        </w:rPr>
        <w:t>預算數</w:t>
      </w:r>
      <w:r w:rsidRPr="007C51AF">
        <w:rPr>
          <w:rFonts w:ascii="標楷體" w:eastAsia="標楷體" w:hint="eastAsia"/>
        </w:rPr>
        <w:t>1</w:t>
      </w:r>
      <w:r w:rsidRPr="007C51AF">
        <w:rPr>
          <w:rFonts w:ascii="標楷體" w:eastAsia="標楷體"/>
        </w:rPr>
        <w:t>3</w:t>
      </w:r>
      <w:r w:rsidRPr="007C51AF">
        <w:rPr>
          <w:rFonts w:ascii="標楷體" w:eastAsia="標楷體" w:hint="eastAsia"/>
        </w:rPr>
        <w:t>億763</w:t>
      </w:r>
      <w:r w:rsidRPr="007C51AF">
        <w:rPr>
          <w:rFonts w:ascii="標楷體" w:eastAsia="標楷體"/>
        </w:rPr>
        <w:t>萬餘元</w:t>
      </w:r>
      <w:r w:rsidRPr="007C51AF">
        <w:rPr>
          <w:rFonts w:ascii="標楷體" w:eastAsia="標楷體" w:hint="eastAsia"/>
        </w:rPr>
        <w:t>，經</w:t>
      </w:r>
      <w:r>
        <w:rPr>
          <w:rFonts w:ascii="標楷體" w:eastAsia="標楷體" w:hint="eastAsia"/>
        </w:rPr>
        <w:t>地政局及所屬6個機關</w:t>
      </w:r>
      <w:r w:rsidRPr="007C51AF">
        <w:rPr>
          <w:rFonts w:ascii="標楷體" w:eastAsia="標楷體" w:hint="eastAsia"/>
        </w:rPr>
        <w:t>因人事費不足申請動支各類員工待遇準備2,</w:t>
      </w:r>
      <w:r w:rsidRPr="007C51AF">
        <w:rPr>
          <w:rFonts w:ascii="標楷體" w:eastAsia="標楷體"/>
        </w:rPr>
        <w:t>314</w:t>
      </w:r>
      <w:r w:rsidRPr="007C51AF">
        <w:rPr>
          <w:rFonts w:ascii="標楷體" w:eastAsia="標楷體" w:hint="eastAsia"/>
        </w:rPr>
        <w:t>萬餘元，合計1</w:t>
      </w:r>
      <w:r w:rsidRPr="007C51AF">
        <w:rPr>
          <w:rFonts w:ascii="標楷體" w:eastAsia="標楷體"/>
        </w:rPr>
        <w:t>3</w:t>
      </w:r>
      <w:r w:rsidRPr="007C51AF">
        <w:rPr>
          <w:rFonts w:ascii="標楷體" w:eastAsia="標楷體" w:hint="eastAsia"/>
        </w:rPr>
        <w:t>億3,</w:t>
      </w:r>
      <w:r w:rsidRPr="007C51AF">
        <w:rPr>
          <w:rFonts w:ascii="標楷體" w:eastAsia="標楷體"/>
        </w:rPr>
        <w:t>077</w:t>
      </w:r>
      <w:r w:rsidRPr="007C51AF">
        <w:rPr>
          <w:rFonts w:ascii="標楷體" w:eastAsia="標楷體" w:hint="eastAsia"/>
        </w:rPr>
        <w:t>萬餘元</w:t>
      </w:r>
      <w:r w:rsidRPr="007C51AF">
        <w:rPr>
          <w:rFonts w:ascii="標楷體" w:eastAsia="標楷體"/>
        </w:rPr>
        <w:t>，決算審核結果，審定實</w:t>
      </w:r>
      <w:r w:rsidRPr="007C51AF">
        <w:rPr>
          <w:rFonts w:ascii="標楷體" w:eastAsia="標楷體" w:hint="eastAsia"/>
        </w:rPr>
        <w:t>現</w:t>
      </w:r>
      <w:r w:rsidRPr="007C51AF">
        <w:rPr>
          <w:rFonts w:ascii="標楷體" w:eastAsia="標楷體"/>
        </w:rPr>
        <w:t>數</w:t>
      </w:r>
      <w:r w:rsidRPr="007C51AF">
        <w:rPr>
          <w:rFonts w:ascii="標楷體" w:eastAsia="標楷體" w:hint="eastAsia"/>
        </w:rPr>
        <w:t>1</w:t>
      </w:r>
      <w:r w:rsidRPr="007C51AF">
        <w:rPr>
          <w:rFonts w:ascii="標楷體" w:eastAsia="標楷體"/>
        </w:rPr>
        <w:t>3</w:t>
      </w:r>
      <w:r w:rsidRPr="007C51AF">
        <w:rPr>
          <w:rFonts w:ascii="標楷體" w:eastAsia="標楷體" w:hint="eastAsia"/>
        </w:rPr>
        <w:t>億</w:t>
      </w:r>
      <w:r w:rsidRPr="007C51AF">
        <w:rPr>
          <w:rFonts w:ascii="標楷體" w:eastAsia="標楷體"/>
        </w:rPr>
        <w:t>1</w:t>
      </w:r>
      <w:r w:rsidRPr="007C51AF">
        <w:rPr>
          <w:rFonts w:ascii="標楷體" w:eastAsia="標楷體" w:hint="eastAsia"/>
        </w:rPr>
        <w:t>,</w:t>
      </w:r>
      <w:r w:rsidRPr="007C51AF">
        <w:rPr>
          <w:rFonts w:ascii="標楷體" w:eastAsia="標楷體"/>
        </w:rPr>
        <w:t>925</w:t>
      </w:r>
      <w:r w:rsidRPr="007C51AF">
        <w:rPr>
          <w:rFonts w:ascii="標楷體" w:eastAsia="標楷體" w:hint="eastAsia"/>
        </w:rPr>
        <w:t>萬餘元（9</w:t>
      </w:r>
      <w:r w:rsidRPr="007C51AF">
        <w:rPr>
          <w:rFonts w:ascii="標楷體" w:eastAsia="標楷體"/>
        </w:rPr>
        <w:t>9.13％</w:t>
      </w:r>
      <w:r w:rsidRPr="007C51AF">
        <w:rPr>
          <w:rFonts w:ascii="標楷體" w:eastAsia="標楷體" w:hint="eastAsia"/>
        </w:rPr>
        <w:t>），應付保留數72萬餘元（0.05</w:t>
      </w:r>
      <w:r w:rsidRPr="007C51AF">
        <w:rPr>
          <w:rFonts w:ascii="標楷體" w:eastAsia="標楷體"/>
        </w:rPr>
        <w:t>％</w:t>
      </w:r>
      <w:r w:rsidRPr="007C51AF">
        <w:rPr>
          <w:rFonts w:ascii="標楷體" w:eastAsia="標楷體" w:hint="eastAsia"/>
        </w:rPr>
        <w:t>），</w:t>
      </w:r>
      <w:r>
        <w:rPr>
          <w:rFonts w:ascii="標楷體" w:eastAsia="標楷體" w:hint="eastAsia"/>
        </w:rPr>
        <w:t>保留原因詳「（一）計畫實施之查核」說明，</w:t>
      </w:r>
      <w:r w:rsidRPr="007C51AF">
        <w:rPr>
          <w:rFonts w:ascii="標楷體" w:eastAsia="標楷體" w:hint="eastAsia"/>
        </w:rPr>
        <w:t>合計決算審定數為1</w:t>
      </w:r>
      <w:r w:rsidRPr="007C51AF">
        <w:rPr>
          <w:rFonts w:ascii="標楷體" w:eastAsia="標楷體"/>
        </w:rPr>
        <w:t>3</w:t>
      </w:r>
      <w:r w:rsidRPr="007C51AF">
        <w:rPr>
          <w:rFonts w:ascii="標楷體" w:eastAsia="標楷體" w:hint="eastAsia"/>
        </w:rPr>
        <w:t>億1,99</w:t>
      </w:r>
      <w:r w:rsidRPr="007C51AF">
        <w:rPr>
          <w:rFonts w:ascii="標楷體" w:eastAsia="標楷體"/>
        </w:rPr>
        <w:t>7</w:t>
      </w:r>
      <w:r w:rsidRPr="007C51AF">
        <w:rPr>
          <w:rFonts w:ascii="標楷體" w:eastAsia="標楷體" w:hint="eastAsia"/>
        </w:rPr>
        <w:t>萬餘元，</w:t>
      </w:r>
      <w:r w:rsidRPr="007C51AF">
        <w:rPr>
          <w:rFonts w:ascii="標楷體" w:eastAsia="標楷體" w:hint="eastAsia"/>
          <w:spacing w:val="-2"/>
        </w:rPr>
        <w:t>預算賸餘1</w:t>
      </w:r>
      <w:r w:rsidRPr="007C51AF">
        <w:rPr>
          <w:rFonts w:ascii="標楷體" w:eastAsia="標楷體"/>
          <w:spacing w:val="-2"/>
        </w:rPr>
        <w:t>,0</w:t>
      </w:r>
      <w:r w:rsidRPr="007C51AF">
        <w:rPr>
          <w:rFonts w:ascii="標楷體" w:eastAsia="標楷體" w:hint="eastAsia"/>
          <w:spacing w:val="-2"/>
        </w:rPr>
        <w:t>8</w:t>
      </w:r>
      <w:r w:rsidRPr="007C51AF">
        <w:rPr>
          <w:rFonts w:ascii="標楷體" w:eastAsia="標楷體"/>
          <w:spacing w:val="-2"/>
        </w:rPr>
        <w:t>0</w:t>
      </w:r>
      <w:r w:rsidRPr="007C51AF">
        <w:rPr>
          <w:rFonts w:ascii="標楷體" w:eastAsia="標楷體" w:hint="eastAsia"/>
          <w:spacing w:val="-2"/>
        </w:rPr>
        <w:t>萬餘元（0.81％），主要係實際進用員額較少人事費結餘，及各項業務依實際需要支用之賸餘</w:t>
      </w:r>
      <w:r w:rsidRPr="00DC51C2">
        <w:rPr>
          <w:rFonts w:ascii="標楷體" w:eastAsia="標楷體" w:hint="eastAsia"/>
          <w:spacing w:val="-2"/>
        </w:rPr>
        <w:t>。</w:t>
      </w:r>
      <w:r w:rsidRPr="002E7301">
        <w:rPr>
          <w:rFonts w:ascii="標楷體" w:eastAsia="標楷體"/>
        </w:rPr>
        <w:t xml:space="preserve"> </w:t>
      </w:r>
    </w:p>
    <w:p w14:paraId="13B87013" w14:textId="77777777" w:rsidR="008B567C" w:rsidRPr="002E7301" w:rsidRDefault="008B567C" w:rsidP="00FC5E25">
      <w:pPr>
        <w:spacing w:beforeLines="50" w:before="180" w:line="460" w:lineRule="exact"/>
        <w:jc w:val="both"/>
        <w:outlineLvl w:val="2"/>
        <w:rPr>
          <w:rFonts w:ascii="標楷體" w:eastAsia="標楷體"/>
          <w:b/>
          <w:sz w:val="32"/>
          <w:szCs w:val="32"/>
        </w:rPr>
      </w:pPr>
      <w:r w:rsidRPr="002E7301">
        <w:rPr>
          <w:rFonts w:ascii="標楷體" w:eastAsia="標楷體" w:hint="eastAsia"/>
          <w:b/>
          <w:sz w:val="32"/>
          <w:szCs w:val="32"/>
        </w:rPr>
        <w:t>二、附屬單位決算非營業部分</w:t>
      </w:r>
    </w:p>
    <w:p w14:paraId="25B03842" w14:textId="77777777" w:rsidR="008B567C" w:rsidRPr="002E7301" w:rsidRDefault="008B567C" w:rsidP="00FC5E25">
      <w:pPr>
        <w:spacing w:line="474" w:lineRule="exact"/>
        <w:ind w:firstLineChars="200" w:firstLine="480"/>
        <w:jc w:val="both"/>
        <w:rPr>
          <w:rFonts w:ascii="標楷體" w:eastAsia="標楷體"/>
        </w:rPr>
      </w:pPr>
      <w:r w:rsidRPr="002E7301">
        <w:rPr>
          <w:rFonts w:ascii="標楷體" w:eastAsia="標楷體" w:hint="eastAsia"/>
        </w:rPr>
        <w:t>地政局主管包括</w:t>
      </w:r>
      <w:r w:rsidRPr="002E7301">
        <w:rPr>
          <w:rFonts w:ascii="標楷體" w:eastAsia="標楷體" w:hAnsi="標楷體" w:hint="eastAsia"/>
        </w:rPr>
        <w:t>（一）</w:t>
      </w:r>
      <w:r w:rsidRPr="002E7301">
        <w:rPr>
          <w:rFonts w:ascii="標楷體" w:eastAsia="標楷體" w:hint="eastAsia"/>
        </w:rPr>
        <w:t>作業基金</w:t>
      </w:r>
      <w:r w:rsidRPr="002E7301">
        <w:rPr>
          <w:rFonts w:ascii="標楷體" w:eastAsia="標楷體" w:hAnsi="標楷體" w:hint="eastAsia"/>
        </w:rPr>
        <w:t>：</w:t>
      </w:r>
      <w:r w:rsidRPr="002E7301">
        <w:rPr>
          <w:rFonts w:ascii="標楷體" w:eastAsia="標楷體" w:hint="eastAsia"/>
        </w:rPr>
        <w:t>臺北市實施平均地權基金</w:t>
      </w:r>
      <w:r w:rsidRPr="002E7301">
        <w:rPr>
          <w:rFonts w:ascii="標楷體" w:eastAsia="標楷體" w:hAnsi="標楷體" w:hint="eastAsia"/>
        </w:rPr>
        <w:t>；（二）特別收入基金：臺北市土地重劃抵費地出售盈餘款基金等共2</w:t>
      </w:r>
      <w:r w:rsidRPr="002E7301">
        <w:rPr>
          <w:rFonts w:ascii="標楷體" w:eastAsia="標楷體" w:hint="eastAsia"/>
        </w:rPr>
        <w:t>個單位。茲將</w:t>
      </w:r>
      <w:proofErr w:type="gramStart"/>
      <w:r w:rsidRPr="002E7301">
        <w:rPr>
          <w:rFonts w:ascii="標楷體" w:eastAsia="標楷體" w:hint="eastAsia"/>
        </w:rPr>
        <w:t>11</w:t>
      </w:r>
      <w:r>
        <w:rPr>
          <w:rFonts w:ascii="標楷體" w:eastAsia="標楷體" w:hint="eastAsia"/>
        </w:rPr>
        <w:t>3</w:t>
      </w:r>
      <w:proofErr w:type="gramEnd"/>
      <w:r w:rsidRPr="002E7301">
        <w:rPr>
          <w:rFonts w:ascii="標楷體" w:eastAsia="標楷體" w:hint="eastAsia"/>
        </w:rPr>
        <w:t>年度決算審核結果說明如次：</w:t>
      </w:r>
    </w:p>
    <w:p w14:paraId="746B0E05" w14:textId="77777777" w:rsidR="008B567C" w:rsidRPr="005209BB" w:rsidRDefault="008B567C" w:rsidP="008B567C">
      <w:pPr>
        <w:spacing w:before="60" w:after="60" w:line="480" w:lineRule="exact"/>
        <w:ind w:firstLineChars="100" w:firstLine="280"/>
        <w:jc w:val="both"/>
        <w:outlineLvl w:val="3"/>
        <w:rPr>
          <w:rFonts w:ascii="標楷體" w:eastAsia="標楷體"/>
          <w:b/>
          <w:sz w:val="28"/>
          <w:szCs w:val="28"/>
        </w:rPr>
      </w:pPr>
      <w:r w:rsidRPr="005209BB">
        <w:rPr>
          <w:rFonts w:ascii="標楷體" w:eastAsia="標楷體" w:hint="eastAsia"/>
          <w:b/>
          <w:sz w:val="28"/>
          <w:szCs w:val="28"/>
        </w:rPr>
        <w:lastRenderedPageBreak/>
        <w:t>（一）計畫實施之查核</w:t>
      </w:r>
    </w:p>
    <w:p w14:paraId="4A05D20C" w14:textId="2FC88A8C" w:rsidR="008B567C" w:rsidRPr="001B0858" w:rsidRDefault="008B567C" w:rsidP="008B567C">
      <w:pPr>
        <w:spacing w:line="440" w:lineRule="exact"/>
        <w:ind w:firstLineChars="200" w:firstLine="472"/>
        <w:jc w:val="both"/>
        <w:rPr>
          <w:rFonts w:ascii="標楷體" w:eastAsia="標楷體"/>
        </w:rPr>
      </w:pPr>
      <w:r w:rsidRPr="00CB7F03">
        <w:rPr>
          <w:rFonts w:ascii="標楷體" w:eastAsia="標楷體" w:hint="eastAsia"/>
          <w:spacing w:val="-2"/>
        </w:rPr>
        <w:t>業務（營運）計畫主要有辦理區段徵收及重劃區公共建設</w:t>
      </w:r>
      <w:r w:rsidR="00CB7F03" w:rsidRPr="00CB7F03">
        <w:rPr>
          <w:rFonts w:ascii="標楷體" w:eastAsia="標楷體" w:hint="eastAsia"/>
          <w:spacing w:val="-2"/>
        </w:rPr>
        <w:t>、</w:t>
      </w:r>
      <w:r w:rsidRPr="00CB7F03">
        <w:rPr>
          <w:rFonts w:ascii="標楷體" w:eastAsia="標楷體" w:hint="eastAsia"/>
          <w:spacing w:val="-2"/>
        </w:rPr>
        <w:t>管理維護計畫等2項，實施結果，或因北投士林科技園區部分工程尚未完成驗收，暨社子島地區區段徵收範圍及抵價地比例審議進度不如預期；或因</w:t>
      </w:r>
      <w:r w:rsidRPr="00CB7F03">
        <w:rPr>
          <w:rFonts w:ascii="標楷體" w:eastAsia="標楷體"/>
          <w:spacing w:val="-2"/>
        </w:rPr>
        <w:t>「南港一期重劃區南港國小校園地坪及廁所改善工程」及「內湖五期</w:t>
      </w:r>
      <w:proofErr w:type="gramStart"/>
      <w:r w:rsidRPr="00CB7F03">
        <w:rPr>
          <w:rFonts w:ascii="標楷體" w:eastAsia="標楷體"/>
          <w:spacing w:val="-2"/>
        </w:rPr>
        <w:t>重劃區潭美國</w:t>
      </w:r>
      <w:proofErr w:type="gramEnd"/>
      <w:r w:rsidRPr="00CB7F03">
        <w:rPr>
          <w:rFonts w:ascii="標楷體" w:eastAsia="標楷體"/>
          <w:spacing w:val="-2"/>
        </w:rPr>
        <w:t>小校園無障礙設施改善工程」</w:t>
      </w:r>
      <w:r w:rsidRPr="00CB7F03">
        <w:rPr>
          <w:rFonts w:ascii="標楷體" w:eastAsia="標楷體" w:hint="eastAsia"/>
          <w:spacing w:val="-2"/>
        </w:rPr>
        <w:t>依實際需求辦理補助金額較預計減少，</w:t>
      </w:r>
      <w:proofErr w:type="gramStart"/>
      <w:r w:rsidRPr="00CB7F03">
        <w:rPr>
          <w:rFonts w:ascii="標楷體" w:eastAsia="標楷體" w:hint="eastAsia"/>
          <w:spacing w:val="-2"/>
        </w:rPr>
        <w:t>致均未達</w:t>
      </w:r>
      <w:proofErr w:type="gramEnd"/>
      <w:r w:rsidRPr="00CB7F03">
        <w:rPr>
          <w:rFonts w:ascii="標楷體" w:eastAsia="標楷體" w:hint="eastAsia"/>
          <w:spacing w:val="-2"/>
        </w:rPr>
        <w:t>預計目標</w:t>
      </w:r>
      <w:r w:rsidRPr="00275B79">
        <w:rPr>
          <w:rFonts w:ascii="標楷體" w:eastAsia="標楷體" w:hint="eastAsia"/>
        </w:rPr>
        <w:t>。</w:t>
      </w:r>
    </w:p>
    <w:p w14:paraId="5C57F67E" w14:textId="77777777" w:rsidR="008B567C" w:rsidRPr="00620508" w:rsidRDefault="008B567C" w:rsidP="008B567C">
      <w:pPr>
        <w:spacing w:before="60" w:after="60" w:line="480" w:lineRule="exact"/>
        <w:ind w:firstLineChars="100" w:firstLine="280"/>
        <w:jc w:val="both"/>
        <w:outlineLvl w:val="3"/>
        <w:rPr>
          <w:rFonts w:ascii="標楷體" w:eastAsia="標楷體"/>
          <w:b/>
          <w:sz w:val="28"/>
          <w:szCs w:val="28"/>
        </w:rPr>
      </w:pPr>
      <w:r w:rsidRPr="00620508">
        <w:rPr>
          <w:rFonts w:ascii="標楷體" w:eastAsia="標楷體" w:hint="eastAsia"/>
          <w:b/>
          <w:sz w:val="28"/>
          <w:szCs w:val="28"/>
        </w:rPr>
        <w:t>（二）餘</w:t>
      </w:r>
      <w:proofErr w:type="gramStart"/>
      <w:r w:rsidRPr="00620508">
        <w:rPr>
          <w:rFonts w:ascii="標楷體" w:eastAsia="標楷體" w:hint="eastAsia"/>
          <w:b/>
          <w:sz w:val="28"/>
          <w:szCs w:val="28"/>
        </w:rPr>
        <w:t>絀</w:t>
      </w:r>
      <w:proofErr w:type="gramEnd"/>
      <w:r w:rsidRPr="00620508">
        <w:rPr>
          <w:rFonts w:ascii="標楷體" w:eastAsia="標楷體" w:hint="eastAsia"/>
          <w:b/>
          <w:sz w:val="28"/>
          <w:szCs w:val="28"/>
        </w:rPr>
        <w:t>之審定</w:t>
      </w:r>
    </w:p>
    <w:p w14:paraId="35981B56" w14:textId="77777777" w:rsidR="008B567C" w:rsidRPr="00620508" w:rsidRDefault="008B567C" w:rsidP="008B567C">
      <w:pPr>
        <w:spacing w:line="440" w:lineRule="exact"/>
        <w:ind w:firstLineChars="200" w:firstLine="480"/>
        <w:jc w:val="both"/>
        <w:rPr>
          <w:rFonts w:ascii="標楷體" w:eastAsia="標楷體"/>
        </w:rPr>
      </w:pPr>
      <w:r w:rsidRPr="00620508">
        <w:rPr>
          <w:rFonts w:ascii="標楷體" w:eastAsia="標楷體" w:hint="eastAsia"/>
          <w:b/>
        </w:rPr>
        <w:t>1.作業基金</w:t>
      </w:r>
      <w:r w:rsidRPr="00620508">
        <w:rPr>
          <w:rFonts w:ascii="標楷體" w:eastAsia="標楷體" w:hAnsi="標楷體" w:hint="eastAsia"/>
        </w:rPr>
        <w:t>：</w:t>
      </w:r>
      <w:r w:rsidRPr="00620508">
        <w:rPr>
          <w:rFonts w:ascii="標楷體" w:eastAsia="標楷體" w:hint="eastAsia"/>
        </w:rPr>
        <w:t>決算審核結果，審定賸餘</w:t>
      </w:r>
      <w:r w:rsidRPr="00F132AE">
        <w:rPr>
          <w:rFonts w:ascii="標楷體" w:eastAsia="標楷體"/>
        </w:rPr>
        <w:t>4億</w:t>
      </w:r>
      <w:r>
        <w:rPr>
          <w:rFonts w:ascii="標楷體" w:eastAsia="標楷體" w:hint="eastAsia"/>
        </w:rPr>
        <w:t>9</w:t>
      </w:r>
      <w:r w:rsidRPr="00F132AE">
        <w:rPr>
          <w:rFonts w:ascii="標楷體" w:eastAsia="標楷體"/>
        </w:rPr>
        <w:t>,</w:t>
      </w:r>
      <w:r>
        <w:rPr>
          <w:rFonts w:ascii="標楷體" w:eastAsia="標楷體" w:hint="eastAsia"/>
        </w:rPr>
        <w:t>947</w:t>
      </w:r>
      <w:r w:rsidRPr="00F132AE">
        <w:rPr>
          <w:rFonts w:ascii="標楷體" w:eastAsia="標楷體"/>
        </w:rPr>
        <w:t>萬餘元，較預算賸餘</w:t>
      </w:r>
      <w:r>
        <w:rPr>
          <w:rFonts w:ascii="標楷體" w:eastAsia="標楷體" w:hint="eastAsia"/>
        </w:rPr>
        <w:t>4</w:t>
      </w:r>
      <w:r w:rsidRPr="00F132AE">
        <w:rPr>
          <w:rFonts w:ascii="標楷體" w:eastAsia="標楷體"/>
        </w:rPr>
        <w:t>億</w:t>
      </w:r>
      <w:r>
        <w:rPr>
          <w:rFonts w:ascii="標楷體" w:eastAsia="標楷體" w:hint="eastAsia"/>
        </w:rPr>
        <w:t>8</w:t>
      </w:r>
      <w:r w:rsidRPr="00F132AE">
        <w:rPr>
          <w:rFonts w:ascii="標楷體" w:eastAsia="標楷體"/>
        </w:rPr>
        <w:t>,</w:t>
      </w:r>
      <w:r>
        <w:rPr>
          <w:rFonts w:ascii="標楷體" w:eastAsia="標楷體" w:hint="eastAsia"/>
        </w:rPr>
        <w:t>243</w:t>
      </w:r>
      <w:r w:rsidRPr="00F132AE">
        <w:rPr>
          <w:rFonts w:ascii="標楷體" w:eastAsia="標楷體"/>
        </w:rPr>
        <w:t>萬</w:t>
      </w:r>
      <w:r>
        <w:rPr>
          <w:rFonts w:ascii="標楷體" w:eastAsia="標楷體" w:hint="eastAsia"/>
        </w:rPr>
        <w:t>餘</w:t>
      </w:r>
      <w:r w:rsidRPr="00F132AE">
        <w:rPr>
          <w:rFonts w:ascii="標楷體" w:eastAsia="標楷體"/>
        </w:rPr>
        <w:t>元，</w:t>
      </w:r>
      <w:r>
        <w:rPr>
          <w:rFonts w:ascii="標楷體" w:eastAsia="標楷體" w:hint="eastAsia"/>
        </w:rPr>
        <w:t>增加1</w:t>
      </w:r>
      <w:r w:rsidRPr="00F132AE">
        <w:rPr>
          <w:rFonts w:ascii="標楷體" w:eastAsia="標楷體"/>
        </w:rPr>
        <w:t>,</w:t>
      </w:r>
      <w:r>
        <w:rPr>
          <w:rFonts w:ascii="標楷體" w:eastAsia="標楷體" w:hint="eastAsia"/>
        </w:rPr>
        <w:t>704</w:t>
      </w:r>
      <w:r w:rsidRPr="00F132AE">
        <w:rPr>
          <w:rFonts w:ascii="標楷體" w:eastAsia="標楷體"/>
        </w:rPr>
        <w:t>萬餘元，約</w:t>
      </w:r>
      <w:r>
        <w:rPr>
          <w:rFonts w:ascii="標楷體" w:eastAsia="標楷體" w:hint="eastAsia"/>
        </w:rPr>
        <w:t>3.53</w:t>
      </w:r>
      <w:r w:rsidRPr="00F132AE">
        <w:rPr>
          <w:rFonts w:ascii="標楷體" w:eastAsia="標楷體"/>
        </w:rPr>
        <w:t>％，</w:t>
      </w:r>
      <w:r w:rsidRPr="00D11CB6">
        <w:rPr>
          <w:rFonts w:ascii="標楷體" w:eastAsia="標楷體" w:hint="eastAsia"/>
        </w:rPr>
        <w:t>主要係</w:t>
      </w:r>
      <w:r w:rsidRPr="00D11CB6">
        <w:rPr>
          <w:rFonts w:ascii="標楷體" w:eastAsia="標楷體" w:hAnsi="標楷體" w:hint="eastAsia"/>
        </w:rPr>
        <w:t>北投士林科技園區區段徵收公共工程，因終止契約沒入廠商履約保證金所致</w:t>
      </w:r>
      <w:r w:rsidRPr="00D11CB6">
        <w:rPr>
          <w:rFonts w:ascii="標楷體" w:eastAsia="標楷體" w:hint="eastAsia"/>
        </w:rPr>
        <w:t>。</w:t>
      </w:r>
    </w:p>
    <w:p w14:paraId="275D8ABC" w14:textId="77777777" w:rsidR="008B567C" w:rsidRPr="008E2416" w:rsidRDefault="008B567C" w:rsidP="008B567C">
      <w:pPr>
        <w:spacing w:line="440" w:lineRule="exact"/>
        <w:ind w:firstLineChars="200" w:firstLine="480"/>
        <w:jc w:val="both"/>
        <w:rPr>
          <w:rFonts w:ascii="標楷體" w:eastAsia="標楷體"/>
        </w:rPr>
      </w:pPr>
      <w:r w:rsidRPr="008E2416">
        <w:rPr>
          <w:rFonts w:ascii="標楷體" w:eastAsia="標楷體" w:hint="eastAsia"/>
          <w:b/>
        </w:rPr>
        <w:t>2.特別收入基金</w:t>
      </w:r>
      <w:r w:rsidRPr="008E2416">
        <w:rPr>
          <w:rFonts w:ascii="標楷體" w:eastAsia="標楷體" w:hAnsi="標楷體" w:hint="eastAsia"/>
        </w:rPr>
        <w:t>：決算審核結果，</w:t>
      </w:r>
      <w:r w:rsidRPr="008E2416">
        <w:rPr>
          <w:rFonts w:ascii="標楷體" w:eastAsia="標楷體" w:hint="eastAsia"/>
        </w:rPr>
        <w:t>審定</w:t>
      </w:r>
      <w:r>
        <w:rPr>
          <w:rFonts w:ascii="標楷體" w:eastAsia="標楷體" w:hint="eastAsia"/>
        </w:rPr>
        <w:t>短</w:t>
      </w:r>
      <w:proofErr w:type="gramStart"/>
      <w:r>
        <w:rPr>
          <w:rFonts w:ascii="標楷體" w:eastAsia="標楷體" w:hint="eastAsia"/>
        </w:rPr>
        <w:t>絀</w:t>
      </w:r>
      <w:proofErr w:type="gramEnd"/>
      <w:r>
        <w:rPr>
          <w:rFonts w:ascii="標楷體" w:eastAsia="標楷體" w:hint="eastAsia"/>
        </w:rPr>
        <w:t>1</w:t>
      </w:r>
      <w:r w:rsidRPr="00F132AE">
        <w:rPr>
          <w:rFonts w:ascii="標楷體" w:eastAsia="標楷體" w:hint="eastAsia"/>
        </w:rPr>
        <w:t>億</w:t>
      </w:r>
      <w:r>
        <w:rPr>
          <w:rFonts w:ascii="標楷體" w:eastAsia="標楷體" w:hint="eastAsia"/>
        </w:rPr>
        <w:t>4</w:t>
      </w:r>
      <w:r w:rsidRPr="00F132AE">
        <w:rPr>
          <w:rFonts w:ascii="標楷體" w:eastAsia="標楷體" w:hint="eastAsia"/>
        </w:rPr>
        <w:t>,</w:t>
      </w:r>
      <w:r>
        <w:rPr>
          <w:rFonts w:ascii="標楷體" w:eastAsia="標楷體" w:hint="eastAsia"/>
        </w:rPr>
        <w:t>639</w:t>
      </w:r>
      <w:r w:rsidRPr="00F132AE">
        <w:rPr>
          <w:rFonts w:ascii="標楷體" w:eastAsia="標楷體" w:hint="eastAsia"/>
        </w:rPr>
        <w:t>萬餘元，較預算</w:t>
      </w:r>
      <w:r>
        <w:rPr>
          <w:rFonts w:ascii="標楷體" w:eastAsia="標楷體" w:hint="eastAsia"/>
        </w:rPr>
        <w:t>短</w:t>
      </w:r>
      <w:proofErr w:type="gramStart"/>
      <w:r>
        <w:rPr>
          <w:rFonts w:ascii="標楷體" w:eastAsia="標楷體" w:hint="eastAsia"/>
        </w:rPr>
        <w:t>絀</w:t>
      </w:r>
      <w:proofErr w:type="gramEnd"/>
      <w:r w:rsidRPr="00F132AE">
        <w:rPr>
          <w:rFonts w:ascii="標楷體" w:eastAsia="標楷體" w:hint="eastAsia"/>
        </w:rPr>
        <w:t>1億</w:t>
      </w:r>
      <w:r>
        <w:rPr>
          <w:rFonts w:ascii="標楷體" w:eastAsia="標楷體" w:hint="eastAsia"/>
        </w:rPr>
        <w:t>5</w:t>
      </w:r>
      <w:r w:rsidRPr="00F132AE">
        <w:rPr>
          <w:rFonts w:ascii="標楷體" w:eastAsia="標楷體" w:hint="eastAsia"/>
        </w:rPr>
        <w:t>,</w:t>
      </w:r>
      <w:r>
        <w:rPr>
          <w:rFonts w:ascii="標楷體" w:eastAsia="標楷體" w:hint="eastAsia"/>
        </w:rPr>
        <w:t>606</w:t>
      </w:r>
      <w:r w:rsidRPr="00F132AE">
        <w:rPr>
          <w:rFonts w:ascii="標楷體" w:eastAsia="標楷體" w:hint="eastAsia"/>
        </w:rPr>
        <w:t>萬餘元，</w:t>
      </w:r>
      <w:r>
        <w:rPr>
          <w:rFonts w:ascii="標楷體" w:eastAsia="標楷體" w:hint="eastAsia"/>
        </w:rPr>
        <w:t>減少967</w:t>
      </w:r>
      <w:r w:rsidRPr="00F132AE">
        <w:rPr>
          <w:rFonts w:ascii="標楷體" w:eastAsia="標楷體" w:hint="eastAsia"/>
        </w:rPr>
        <w:t>萬餘元，約</w:t>
      </w:r>
      <w:r>
        <w:rPr>
          <w:rFonts w:ascii="標楷體" w:eastAsia="標楷體" w:hint="eastAsia"/>
        </w:rPr>
        <w:t>6.20</w:t>
      </w:r>
      <w:r w:rsidRPr="00F132AE">
        <w:rPr>
          <w:rFonts w:ascii="標楷體" w:eastAsia="標楷體" w:hint="eastAsia"/>
        </w:rPr>
        <w:t>％，</w:t>
      </w:r>
      <w:r w:rsidRPr="00800C04">
        <w:rPr>
          <w:rFonts w:ascii="標楷體" w:eastAsia="標楷體" w:hint="eastAsia"/>
        </w:rPr>
        <w:t>主要係利率</w:t>
      </w:r>
      <w:proofErr w:type="gramStart"/>
      <w:r w:rsidRPr="00800C04">
        <w:rPr>
          <w:rFonts w:ascii="標楷體" w:eastAsia="標楷體" w:hint="eastAsia"/>
        </w:rPr>
        <w:t>調升致利息收入</w:t>
      </w:r>
      <w:proofErr w:type="gramEnd"/>
      <w:r w:rsidRPr="00800C04">
        <w:rPr>
          <w:rFonts w:ascii="標楷體" w:eastAsia="標楷體"/>
        </w:rPr>
        <w:t>增</w:t>
      </w:r>
      <w:r w:rsidRPr="00800C04">
        <w:rPr>
          <w:rFonts w:ascii="標楷體" w:eastAsia="標楷體" w:hint="eastAsia"/>
        </w:rPr>
        <w:t>加。</w:t>
      </w:r>
    </w:p>
    <w:p w14:paraId="4AA015A1" w14:textId="77777777" w:rsidR="008B567C" w:rsidRDefault="008B567C" w:rsidP="00FC5E25">
      <w:pPr>
        <w:spacing w:beforeLines="50" w:before="180" w:after="120" w:line="460" w:lineRule="exact"/>
        <w:jc w:val="both"/>
        <w:outlineLvl w:val="2"/>
        <w:rPr>
          <w:rFonts w:ascii="標楷體" w:eastAsia="標楷體"/>
          <w:b/>
          <w:sz w:val="32"/>
          <w:szCs w:val="32"/>
        </w:rPr>
      </w:pPr>
      <w:r w:rsidRPr="001C61E8">
        <w:rPr>
          <w:rFonts w:ascii="標楷體" w:eastAsia="標楷體" w:hint="eastAsia"/>
          <w:b/>
          <w:sz w:val="32"/>
          <w:szCs w:val="32"/>
        </w:rPr>
        <w:t>三、重要審核意見</w:t>
      </w:r>
    </w:p>
    <w:p w14:paraId="7A6A9854" w14:textId="77777777" w:rsidR="008B567C" w:rsidRPr="00931B6A" w:rsidRDefault="008B567C" w:rsidP="008B567C">
      <w:pPr>
        <w:spacing w:before="60" w:after="60" w:line="460" w:lineRule="exact"/>
        <w:ind w:firstLineChars="100" w:firstLine="280"/>
        <w:jc w:val="both"/>
        <w:outlineLvl w:val="3"/>
        <w:rPr>
          <w:rFonts w:ascii="標楷體" w:eastAsia="標楷體"/>
          <w:b/>
          <w:sz w:val="28"/>
          <w:szCs w:val="28"/>
        </w:rPr>
      </w:pPr>
      <w:r w:rsidRPr="00905E7D">
        <w:rPr>
          <w:rFonts w:ascii="標楷體" w:eastAsia="標楷體" w:hint="eastAsia"/>
          <w:b/>
          <w:sz w:val="28"/>
          <w:szCs w:val="28"/>
        </w:rPr>
        <w:t>（</w:t>
      </w:r>
      <w:r>
        <w:rPr>
          <w:rFonts w:ascii="標楷體" w:eastAsia="標楷體" w:hint="eastAsia"/>
          <w:b/>
          <w:sz w:val="28"/>
          <w:szCs w:val="28"/>
        </w:rPr>
        <w:t>一</w:t>
      </w:r>
      <w:r w:rsidRPr="00905E7D">
        <w:rPr>
          <w:rFonts w:ascii="標楷體" w:eastAsia="標楷體" w:hint="eastAsia"/>
          <w:b/>
          <w:sz w:val="28"/>
          <w:szCs w:val="28"/>
        </w:rPr>
        <w:t>）</w:t>
      </w:r>
      <w:bookmarkStart w:id="101" w:name="_Hlk199927124"/>
      <w:r w:rsidRPr="00260148">
        <w:rPr>
          <w:rFonts w:ascii="標楷體" w:eastAsia="標楷體" w:hint="eastAsia"/>
          <w:b/>
          <w:sz w:val="28"/>
          <w:szCs w:val="28"/>
        </w:rPr>
        <w:t>為利民眾即時掌握產權異動情形、兼顧不動產交易安全與個人資料隱私，</w:t>
      </w:r>
      <w:r w:rsidRPr="00FA53B5">
        <w:rPr>
          <w:rFonts w:ascii="標楷體" w:eastAsia="標楷體" w:hint="eastAsia"/>
          <w:b/>
          <w:sz w:val="28"/>
          <w:szCs w:val="28"/>
        </w:rPr>
        <w:t>辦理</w:t>
      </w:r>
      <w:proofErr w:type="gramStart"/>
      <w:r w:rsidRPr="00FA53B5">
        <w:rPr>
          <w:rFonts w:ascii="標楷體" w:eastAsia="標楷體" w:hint="eastAsia"/>
          <w:b/>
          <w:sz w:val="28"/>
          <w:szCs w:val="28"/>
        </w:rPr>
        <w:t>地籍異動</w:t>
      </w:r>
      <w:proofErr w:type="gramEnd"/>
      <w:r w:rsidRPr="00FA53B5">
        <w:rPr>
          <w:rFonts w:ascii="標楷體" w:eastAsia="標楷體" w:hint="eastAsia"/>
          <w:b/>
          <w:sz w:val="28"/>
          <w:szCs w:val="28"/>
        </w:rPr>
        <w:t>即時通</w:t>
      </w:r>
      <w:r w:rsidRPr="00C7165A">
        <w:rPr>
          <w:rFonts w:ascii="標楷體" w:eastAsia="標楷體" w:hint="eastAsia"/>
          <w:b/>
          <w:sz w:val="28"/>
          <w:szCs w:val="28"/>
        </w:rPr>
        <w:t>及地籍謄本申請住址隱匿服務等便民措施</w:t>
      </w:r>
      <w:r w:rsidRPr="00FA53B5">
        <w:rPr>
          <w:rFonts w:ascii="標楷體" w:eastAsia="標楷體" w:hint="eastAsia"/>
          <w:b/>
          <w:sz w:val="28"/>
          <w:szCs w:val="28"/>
        </w:rPr>
        <w:t>，</w:t>
      </w:r>
      <w:proofErr w:type="gramStart"/>
      <w:r w:rsidRPr="00FA53B5">
        <w:rPr>
          <w:rFonts w:ascii="標楷體" w:eastAsia="標楷體" w:hint="eastAsia"/>
          <w:b/>
          <w:sz w:val="28"/>
          <w:szCs w:val="28"/>
        </w:rPr>
        <w:t>惟</w:t>
      </w:r>
      <w:r>
        <w:rPr>
          <w:rFonts w:ascii="標楷體" w:eastAsia="標楷體" w:hint="eastAsia"/>
          <w:b/>
          <w:sz w:val="28"/>
          <w:szCs w:val="28"/>
        </w:rPr>
        <w:t>轄內</w:t>
      </w:r>
      <w:proofErr w:type="gramEnd"/>
      <w:r>
        <w:rPr>
          <w:rFonts w:ascii="標楷體" w:eastAsia="標楷體" w:hint="eastAsia"/>
          <w:b/>
          <w:sz w:val="28"/>
          <w:szCs w:val="28"/>
        </w:rPr>
        <w:t>民眾申辦該2項服務之</w:t>
      </w:r>
      <w:r w:rsidRPr="00FA53B5">
        <w:rPr>
          <w:rFonts w:ascii="標楷體" w:eastAsia="標楷體" w:hint="eastAsia"/>
          <w:b/>
          <w:sz w:val="28"/>
          <w:szCs w:val="28"/>
        </w:rPr>
        <w:t>比率</w:t>
      </w:r>
      <w:r>
        <w:rPr>
          <w:rFonts w:ascii="標楷體" w:eastAsia="標楷體" w:hint="eastAsia"/>
          <w:b/>
          <w:sz w:val="28"/>
          <w:szCs w:val="28"/>
        </w:rPr>
        <w:t>仍低</w:t>
      </w:r>
      <w:r w:rsidRPr="00FA53B5">
        <w:rPr>
          <w:rFonts w:ascii="標楷體" w:eastAsia="標楷體" w:hint="eastAsia"/>
          <w:b/>
          <w:sz w:val="28"/>
          <w:szCs w:val="28"/>
        </w:rPr>
        <w:t>，</w:t>
      </w:r>
      <w:r>
        <w:rPr>
          <w:rFonts w:ascii="標楷體" w:eastAsia="標楷體" w:hint="eastAsia"/>
          <w:b/>
          <w:sz w:val="28"/>
          <w:szCs w:val="28"/>
        </w:rPr>
        <w:t>亟</w:t>
      </w:r>
      <w:r w:rsidRPr="00C7165A">
        <w:rPr>
          <w:rFonts w:ascii="標楷體" w:eastAsia="標楷體" w:hint="eastAsia"/>
          <w:b/>
          <w:sz w:val="28"/>
          <w:szCs w:val="28"/>
        </w:rPr>
        <w:t>待</w:t>
      </w:r>
      <w:proofErr w:type="gramStart"/>
      <w:r w:rsidRPr="00C7165A">
        <w:rPr>
          <w:rFonts w:ascii="標楷體" w:eastAsia="標楷體" w:hint="eastAsia"/>
          <w:b/>
          <w:sz w:val="28"/>
          <w:szCs w:val="28"/>
        </w:rPr>
        <w:t>研謀</w:t>
      </w:r>
      <w:r>
        <w:rPr>
          <w:rFonts w:ascii="標楷體" w:eastAsia="標楷體" w:hint="eastAsia"/>
          <w:b/>
          <w:sz w:val="28"/>
          <w:szCs w:val="28"/>
        </w:rPr>
        <w:t>妥處</w:t>
      </w:r>
      <w:proofErr w:type="gramEnd"/>
      <w:r w:rsidRPr="00C7165A">
        <w:rPr>
          <w:rFonts w:ascii="標楷體" w:eastAsia="標楷體" w:hint="eastAsia"/>
          <w:b/>
          <w:sz w:val="28"/>
          <w:szCs w:val="28"/>
        </w:rPr>
        <w:t>，以</w:t>
      </w:r>
      <w:r w:rsidRPr="00FA53B5">
        <w:rPr>
          <w:rFonts w:ascii="標楷體" w:eastAsia="標楷體" w:hint="eastAsia"/>
          <w:b/>
          <w:sz w:val="28"/>
          <w:szCs w:val="28"/>
        </w:rPr>
        <w:t>有效防範不法異動風險，</w:t>
      </w:r>
      <w:r>
        <w:rPr>
          <w:rFonts w:ascii="標楷體" w:eastAsia="標楷體" w:hint="eastAsia"/>
          <w:b/>
          <w:sz w:val="28"/>
          <w:szCs w:val="28"/>
        </w:rPr>
        <w:t>更</w:t>
      </w:r>
      <w:r w:rsidRPr="00FA53B5">
        <w:rPr>
          <w:rFonts w:ascii="標楷體" w:eastAsia="標楷體" w:hint="eastAsia"/>
          <w:b/>
          <w:sz w:val="28"/>
          <w:szCs w:val="28"/>
        </w:rPr>
        <w:t>完善保護民眾個人資料隱私及減少不當外</w:t>
      </w:r>
      <w:proofErr w:type="gramStart"/>
      <w:r w:rsidRPr="00FA53B5">
        <w:rPr>
          <w:rFonts w:ascii="標楷體" w:eastAsia="標楷體" w:hint="eastAsia"/>
          <w:b/>
          <w:sz w:val="28"/>
          <w:szCs w:val="28"/>
        </w:rPr>
        <w:t>洩</w:t>
      </w:r>
      <w:proofErr w:type="gramEnd"/>
      <w:r w:rsidRPr="00FA53B5">
        <w:rPr>
          <w:rFonts w:ascii="標楷體" w:eastAsia="標楷體" w:hint="eastAsia"/>
          <w:b/>
          <w:sz w:val="28"/>
          <w:szCs w:val="28"/>
        </w:rPr>
        <w:t>之機會</w:t>
      </w:r>
      <w:bookmarkEnd w:id="101"/>
      <w:r>
        <w:rPr>
          <w:rFonts w:ascii="標楷體" w:eastAsia="標楷體" w:hint="eastAsia"/>
          <w:b/>
          <w:sz w:val="28"/>
          <w:szCs w:val="28"/>
        </w:rPr>
        <w:t>。</w:t>
      </w:r>
    </w:p>
    <w:p w14:paraId="05790054" w14:textId="7FA9D02E" w:rsidR="00FC5E25" w:rsidRDefault="008B567C" w:rsidP="00FC5E25">
      <w:pPr>
        <w:spacing w:line="450" w:lineRule="exact"/>
        <w:ind w:firstLineChars="200" w:firstLine="480"/>
        <w:jc w:val="both"/>
        <w:rPr>
          <w:rFonts w:ascii="標楷體" w:eastAsia="標楷體" w:hAnsi="標楷體"/>
          <w:color w:val="000000" w:themeColor="text1"/>
        </w:rPr>
      </w:pPr>
      <w:bookmarkStart w:id="102" w:name="_Toc196309688"/>
      <w:bookmarkStart w:id="103" w:name="_Toc196309838"/>
      <w:r>
        <w:rPr>
          <w:rFonts w:ascii="標楷體" w:eastAsia="標楷體" w:hAnsi="標楷體" w:hint="eastAsia"/>
          <w:color w:val="000000" w:themeColor="text1"/>
        </w:rPr>
        <w:t>地政局</w:t>
      </w:r>
      <w:r w:rsidRPr="00B806E3">
        <w:rPr>
          <w:rFonts w:ascii="標楷體" w:eastAsia="標楷體" w:hAnsi="標楷體" w:hint="eastAsia"/>
          <w:color w:val="000000" w:themeColor="text1"/>
        </w:rPr>
        <w:t>為</w:t>
      </w:r>
      <w:r w:rsidRPr="007D6177">
        <w:rPr>
          <w:rFonts w:ascii="標楷體" w:eastAsia="標楷體" w:hAnsi="標楷體" w:hint="eastAsia"/>
          <w:color w:val="000000" w:themeColor="text1"/>
        </w:rPr>
        <w:t>協助民眾防範詐騙偽冒</w:t>
      </w:r>
      <w:r w:rsidRPr="00144670">
        <w:rPr>
          <w:rFonts w:ascii="標楷體" w:eastAsia="標楷體" w:hAnsi="標楷體" w:hint="eastAsia"/>
          <w:color w:val="000000" w:themeColor="text1"/>
        </w:rPr>
        <w:t>不動產抵押貸款或移轉</w:t>
      </w:r>
      <w:r w:rsidRPr="007D6177">
        <w:rPr>
          <w:rFonts w:ascii="標楷體" w:eastAsia="標楷體" w:hAnsi="標楷體" w:hint="eastAsia"/>
          <w:color w:val="000000" w:themeColor="text1"/>
        </w:rPr>
        <w:t>，</w:t>
      </w:r>
      <w:r>
        <w:rPr>
          <w:rFonts w:ascii="標楷體" w:eastAsia="標楷體" w:hAnsi="標楷體" w:hint="eastAsia"/>
          <w:color w:val="000000" w:themeColor="text1"/>
        </w:rPr>
        <w:t>及</w:t>
      </w:r>
      <w:r w:rsidRPr="00144670">
        <w:rPr>
          <w:rFonts w:ascii="標楷體" w:eastAsia="標楷體" w:hAnsi="標楷體" w:hint="eastAsia"/>
          <w:color w:val="000000" w:themeColor="text1"/>
        </w:rPr>
        <w:t>保護個人資料安全，避免個人資料被有心人士蒐集利用，</w:t>
      </w:r>
      <w:r>
        <w:rPr>
          <w:rFonts w:ascii="標楷體" w:eastAsia="標楷體" w:hAnsi="標楷體" w:hint="eastAsia"/>
          <w:color w:val="000000" w:themeColor="text1"/>
        </w:rPr>
        <w:t>分別自105年及104年起</w:t>
      </w:r>
      <w:r w:rsidRPr="007D6177">
        <w:rPr>
          <w:rFonts w:ascii="標楷體" w:eastAsia="標楷體" w:hAnsi="標楷體" w:hint="eastAsia"/>
          <w:color w:val="000000" w:themeColor="text1"/>
        </w:rPr>
        <w:t>配合內政部推廣「</w:t>
      </w:r>
      <w:proofErr w:type="gramStart"/>
      <w:r w:rsidRPr="007D6177">
        <w:rPr>
          <w:rFonts w:ascii="標楷體" w:eastAsia="標楷體" w:hAnsi="標楷體" w:hint="eastAsia"/>
          <w:color w:val="000000" w:themeColor="text1"/>
        </w:rPr>
        <w:t>地籍異動</w:t>
      </w:r>
      <w:proofErr w:type="gramEnd"/>
      <w:r w:rsidRPr="007D6177">
        <w:rPr>
          <w:rFonts w:ascii="標楷體" w:eastAsia="標楷體" w:hAnsi="標楷體" w:hint="eastAsia"/>
          <w:color w:val="000000" w:themeColor="text1"/>
        </w:rPr>
        <w:t>即時通」</w:t>
      </w:r>
      <w:r w:rsidRPr="0053156B">
        <w:rPr>
          <w:rFonts w:ascii="標楷體" w:eastAsia="標楷體" w:hAnsi="標楷體" w:hint="eastAsia"/>
          <w:color w:val="000000" w:themeColor="text1"/>
        </w:rPr>
        <w:t>（下稱即時通）</w:t>
      </w:r>
      <w:r>
        <w:rPr>
          <w:rFonts w:ascii="標楷體" w:eastAsia="標楷體" w:hAnsi="標楷體" w:hint="eastAsia"/>
          <w:color w:val="000000" w:themeColor="text1"/>
        </w:rPr>
        <w:t>及</w:t>
      </w:r>
      <w:r w:rsidRPr="007D6177">
        <w:rPr>
          <w:rFonts w:ascii="標楷體" w:eastAsia="標楷體" w:hAnsi="標楷體" w:hint="eastAsia"/>
          <w:color w:val="000000" w:themeColor="text1"/>
        </w:rPr>
        <w:t>「地籍謄本申請住址隱匿」服務</w:t>
      </w:r>
      <w:r>
        <w:rPr>
          <w:rFonts w:ascii="標楷體" w:eastAsia="標楷體" w:hAnsi="標楷體" w:hint="eastAsia"/>
          <w:color w:val="000000" w:themeColor="text1"/>
        </w:rPr>
        <w:t>。經查執行情形，核有：1.</w:t>
      </w:r>
      <w:r w:rsidRPr="0053156B">
        <w:rPr>
          <w:rFonts w:ascii="標楷體" w:eastAsia="標楷體" w:hAnsi="標楷體" w:hint="eastAsia"/>
          <w:color w:val="000000" w:themeColor="text1"/>
        </w:rPr>
        <w:t>該局</w:t>
      </w:r>
      <w:r>
        <w:rPr>
          <w:rFonts w:ascii="標楷體" w:eastAsia="標楷體" w:hAnsi="標楷體" w:hint="eastAsia"/>
          <w:color w:val="000000" w:themeColor="text1"/>
        </w:rPr>
        <w:t>推動</w:t>
      </w:r>
      <w:r w:rsidRPr="0053156B">
        <w:rPr>
          <w:rFonts w:ascii="標楷體" w:eastAsia="標楷體" w:hAnsi="標楷體" w:hint="eastAsia"/>
          <w:color w:val="000000" w:themeColor="text1"/>
        </w:rPr>
        <w:t>即時通</w:t>
      </w:r>
      <w:r>
        <w:rPr>
          <w:rFonts w:ascii="標楷體" w:eastAsia="標楷體" w:hAnsi="標楷體" w:hint="eastAsia"/>
          <w:color w:val="000000" w:themeColor="text1"/>
        </w:rPr>
        <w:t>服務，係</w:t>
      </w:r>
      <w:r w:rsidRPr="0053156B">
        <w:rPr>
          <w:rFonts w:ascii="標楷體" w:eastAsia="標楷體" w:hAnsi="標楷體" w:hint="eastAsia"/>
          <w:color w:val="000000" w:themeColor="text1"/>
        </w:rPr>
        <w:t>以尚未申辦即時通之買賣案權利人為對象</w:t>
      </w:r>
      <w:r w:rsidRPr="00F834BF">
        <w:rPr>
          <w:rFonts w:ascii="標楷體" w:eastAsia="標楷體" w:hAnsi="標楷體" w:hint="eastAsia"/>
          <w:color w:val="000000" w:themeColor="text1"/>
          <w:spacing w:val="2"/>
        </w:rPr>
        <w:t>，於發送實價登錄申報簡訊時，告知可申請即時通服</w:t>
      </w:r>
    </w:p>
    <w:p w14:paraId="41163357" w14:textId="0839B939" w:rsidR="00F834BF" w:rsidRDefault="008B567C" w:rsidP="00FC5E25">
      <w:pPr>
        <w:spacing w:line="450" w:lineRule="exact"/>
        <w:jc w:val="both"/>
        <w:rPr>
          <w:rFonts w:ascii="標楷體" w:eastAsia="標楷體" w:hAnsi="標楷體"/>
          <w:color w:val="000000" w:themeColor="text1"/>
        </w:rPr>
      </w:pPr>
      <w:proofErr w:type="gramStart"/>
      <w:r w:rsidRPr="0053156B">
        <w:rPr>
          <w:rFonts w:ascii="標楷體" w:eastAsia="標楷體" w:hAnsi="標楷體" w:hint="eastAsia"/>
          <w:color w:val="000000" w:themeColor="text1"/>
        </w:rPr>
        <w:t>務</w:t>
      </w:r>
      <w:proofErr w:type="gramEnd"/>
      <w:r w:rsidRPr="0053156B">
        <w:rPr>
          <w:rFonts w:ascii="標楷體" w:eastAsia="標楷體" w:hAnsi="標楷體" w:hint="eastAsia"/>
          <w:color w:val="000000" w:themeColor="text1"/>
        </w:rPr>
        <w:t>，</w:t>
      </w:r>
      <w:r>
        <w:rPr>
          <w:rFonts w:ascii="標楷體" w:eastAsia="標楷體" w:hAnsi="標楷體" w:hint="eastAsia"/>
          <w:color w:val="000000" w:themeColor="text1"/>
        </w:rPr>
        <w:t>並</w:t>
      </w:r>
      <w:r w:rsidRPr="0053156B">
        <w:rPr>
          <w:rFonts w:ascii="標楷體" w:eastAsia="標楷體" w:hAnsi="標楷體" w:hint="eastAsia"/>
          <w:color w:val="000000" w:themeColor="text1"/>
        </w:rPr>
        <w:t>將申請資訊印製於地價稅、房屋稅繳款書信封上，推廣結果，</w:t>
      </w:r>
      <w:r w:rsidRPr="007D6177">
        <w:rPr>
          <w:rFonts w:ascii="標楷體" w:eastAsia="標楷體" w:hAnsi="標楷體" w:hint="eastAsia"/>
          <w:color w:val="000000" w:themeColor="text1"/>
        </w:rPr>
        <w:t>近3（</w:t>
      </w:r>
      <w:r>
        <w:rPr>
          <w:rFonts w:ascii="標楷體" w:eastAsia="標楷體" w:hAnsi="標楷體" w:hint="eastAsia"/>
          <w:color w:val="000000" w:themeColor="text1"/>
        </w:rPr>
        <w:t>111至113</w:t>
      </w:r>
      <w:r w:rsidRPr="007D6177">
        <w:rPr>
          <w:rFonts w:ascii="標楷體" w:eastAsia="標楷體" w:hAnsi="標楷體" w:hint="eastAsia"/>
          <w:color w:val="000000" w:themeColor="text1"/>
        </w:rPr>
        <w:t>）年申辦</w:t>
      </w:r>
    </w:p>
    <w:p w14:paraId="2E8A7CC0" w14:textId="2983792E" w:rsidR="00F834BF" w:rsidRDefault="00F834BF" w:rsidP="00F834BF">
      <w:pPr>
        <w:spacing w:line="440" w:lineRule="exact"/>
        <w:jc w:val="both"/>
        <w:rPr>
          <w:rFonts w:ascii="標楷體" w:eastAsia="標楷體" w:hAnsi="標楷體"/>
          <w:color w:val="000000" w:themeColor="text1"/>
        </w:rPr>
      </w:pPr>
      <w:r w:rsidRPr="007D6177">
        <w:rPr>
          <w:rFonts w:ascii="標楷體" w:eastAsia="標楷體" w:hAnsi="標楷體"/>
          <w:noProof/>
          <w:color w:val="000000" w:themeColor="text1"/>
        </w:rPr>
        <mc:AlternateContent>
          <mc:Choice Requires="wps">
            <w:drawing>
              <wp:anchor distT="45720" distB="45720" distL="114300" distR="114300" simplePos="0" relativeHeight="251676672" behindDoc="1" locked="0" layoutInCell="1" allowOverlap="1" wp14:anchorId="28C9CE2F" wp14:editId="6A393029">
                <wp:simplePos x="0" y="0"/>
                <wp:positionH relativeFrom="margin">
                  <wp:posOffset>2846705</wp:posOffset>
                </wp:positionH>
                <wp:positionV relativeFrom="page">
                  <wp:posOffset>7372350</wp:posOffset>
                </wp:positionV>
                <wp:extent cx="3552825" cy="2343150"/>
                <wp:effectExtent l="0" t="0" r="0" b="0"/>
                <wp:wrapTight wrapText="bothSides">
                  <wp:wrapPolygon edited="0">
                    <wp:start x="347" y="0"/>
                    <wp:lineTo x="347" y="21424"/>
                    <wp:lineTo x="21195" y="21424"/>
                    <wp:lineTo x="21195" y="0"/>
                    <wp:lineTo x="347" y="0"/>
                  </wp:wrapPolygon>
                </wp:wrapTight>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2825" cy="2343150"/>
                        </a:xfrm>
                        <a:prstGeom prst="rect">
                          <a:avLst/>
                        </a:prstGeom>
                        <a:noFill/>
                        <a:ln w="9525">
                          <a:noFill/>
                          <a:miter lim="800000"/>
                          <a:headEnd/>
                          <a:tailEnd/>
                        </a:ln>
                      </wps:spPr>
                      <wps:txbx>
                        <w:txbxContent>
                          <w:p w14:paraId="6E18C0EA" w14:textId="77777777" w:rsidR="008B567C" w:rsidRDefault="008B567C" w:rsidP="008B567C">
                            <w:bookmarkStart w:id="104" w:name="_Hlk199926799"/>
                            <w:bookmarkStart w:id="105" w:name="_Hlk196308245"/>
                            <w:bookmarkEnd w:id="104"/>
                            <w:bookmarkEnd w:id="105"/>
                            <w:r w:rsidRPr="00D90B42">
                              <w:rPr>
                                <w:noProof/>
                              </w:rPr>
                              <w:drawing>
                                <wp:inline distT="0" distB="0" distL="0" distR="0" wp14:anchorId="550595D9" wp14:editId="5B1DA538">
                                  <wp:extent cx="3448050" cy="2019300"/>
                                  <wp:effectExtent l="0" t="0" r="0" b="0"/>
                                  <wp:docPr id="2003185538" name="圖表 2003185538">
                                    <a:extLst xmlns:a="http://schemas.openxmlformats.org/drawingml/2006/main">
                                      <a:ext uri="{FF2B5EF4-FFF2-40B4-BE49-F238E27FC236}">
                                        <a16:creationId xmlns:a16="http://schemas.microsoft.com/office/drawing/2014/main" id="{744F34D0-C0A8-4719-9AD2-F85F107B1C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6ADCD64" w14:textId="77777777" w:rsidR="008B567C" w:rsidRPr="00F720B8" w:rsidRDefault="008B567C" w:rsidP="00FC5E25">
                            <w:pPr>
                              <w:spacing w:line="240" w:lineRule="exact"/>
                              <w:rPr>
                                <w:rFonts w:ascii="標楷體" w:eastAsia="標楷體" w:hAnsi="標楷體"/>
                                <w:sz w:val="18"/>
                                <w:szCs w:val="18"/>
                              </w:rPr>
                            </w:pPr>
                            <w:r w:rsidRPr="00F720B8">
                              <w:rPr>
                                <w:rFonts w:ascii="標楷體" w:eastAsia="標楷體" w:hAnsi="標楷體" w:hint="eastAsia"/>
                                <w:sz w:val="18"/>
                                <w:szCs w:val="18"/>
                              </w:rPr>
                              <w:t>資料來源：整理自</w:t>
                            </w:r>
                            <w:r>
                              <w:rPr>
                                <w:rFonts w:ascii="標楷體" w:eastAsia="標楷體" w:hAnsi="標楷體" w:hint="eastAsia"/>
                                <w:sz w:val="18"/>
                                <w:szCs w:val="18"/>
                              </w:rPr>
                              <w:t>地政局</w:t>
                            </w:r>
                            <w:r w:rsidRPr="00F720B8">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C9CE2F" id="_x0000_s1143" type="#_x0000_t202" style="position:absolute;left:0;text-align:left;margin-left:224.15pt;margin-top:580.5pt;width:279.75pt;height:184.5pt;z-index:-251639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" filled="f" stroked="f">
                <v:textbox>
                  <w:txbxContent>
                    <w:p w14:paraId="6E18C0EA" w14:textId="77777777" w:rsidR="008B567C" w:rsidRDefault="008B567C" w:rsidP="008B567C">
                      <w:bookmarkStart w:id="108" w:name="_Hlk199926799"/>
                      <w:bookmarkStart w:id="109" w:name="_Hlk196308245"/>
                      <w:bookmarkEnd w:id="108"/>
                      <w:bookmarkEnd w:id="109"/>
                      <w:r w:rsidRPr="00D90B42">
                        <w:rPr>
                          <w:noProof/>
                        </w:rPr>
                        <w:drawing>
                          <wp:inline distT="0" distB="0" distL="0" distR="0" wp14:anchorId="550595D9" wp14:editId="5B1DA538">
                            <wp:extent cx="3448050" cy="2019300"/>
                            <wp:effectExtent l="0" t="0" r="0" b="0"/>
                            <wp:docPr id="2003185538" name="圖表 2003185538">
                              <a:extLst xmlns:a="http://schemas.openxmlformats.org/drawingml/2006/main">
                                <a:ext uri="{FF2B5EF4-FFF2-40B4-BE49-F238E27FC236}">
                                  <a16:creationId xmlns:a16="http://schemas.microsoft.com/office/drawing/2014/main" id="{744F34D0-C0A8-4719-9AD2-F85F107B1C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46ADCD64" w14:textId="77777777" w:rsidR="008B567C" w:rsidRPr="00F720B8" w:rsidRDefault="008B567C" w:rsidP="00FC5E25">
                      <w:pPr>
                        <w:spacing w:line="240" w:lineRule="exact"/>
                        <w:rPr>
                          <w:rFonts w:ascii="標楷體" w:eastAsia="標楷體" w:hAnsi="標楷體"/>
                          <w:sz w:val="18"/>
                          <w:szCs w:val="18"/>
                        </w:rPr>
                      </w:pPr>
                      <w:r w:rsidRPr="00F720B8">
                        <w:rPr>
                          <w:rFonts w:ascii="標楷體" w:eastAsia="標楷體" w:hAnsi="標楷體" w:hint="eastAsia"/>
                          <w:sz w:val="18"/>
                          <w:szCs w:val="18"/>
                        </w:rPr>
                        <w:t>資料來源：整理自</w:t>
                      </w:r>
                      <w:r>
                        <w:rPr>
                          <w:rFonts w:ascii="標楷體" w:eastAsia="標楷體" w:hAnsi="標楷體" w:hint="eastAsia"/>
                          <w:sz w:val="18"/>
                          <w:szCs w:val="18"/>
                        </w:rPr>
                        <w:t>地政局</w:t>
                      </w:r>
                      <w:r w:rsidRPr="00F720B8">
                        <w:rPr>
                          <w:rFonts w:ascii="標楷體" w:eastAsia="標楷體" w:hAnsi="標楷體" w:hint="eastAsia"/>
                          <w:sz w:val="18"/>
                          <w:szCs w:val="18"/>
                        </w:rPr>
                        <w:t>提供資料。</w:t>
                      </w:r>
                    </w:p>
                  </w:txbxContent>
                </v:textbox>
                <w10:wrap type="tight" anchorx="margin" anchory="page"/>
              </v:shape>
            </w:pict>
          </mc:Fallback>
        </mc:AlternateContent>
      </w:r>
      <w:r w:rsidR="008B567C" w:rsidRPr="007D6177">
        <w:rPr>
          <w:rFonts w:ascii="標楷體" w:eastAsia="標楷體" w:hAnsi="標楷體" w:hint="eastAsia"/>
          <w:color w:val="000000" w:themeColor="text1"/>
        </w:rPr>
        <w:t>件數自</w:t>
      </w:r>
      <w:r w:rsidR="008B567C" w:rsidRPr="007D6177">
        <w:rPr>
          <w:rFonts w:ascii="標楷體" w:eastAsia="標楷體" w:hAnsi="標楷體"/>
          <w:color w:val="000000" w:themeColor="text1"/>
        </w:rPr>
        <w:t>111</w:t>
      </w:r>
      <w:r w:rsidR="008B567C" w:rsidRPr="007D6177">
        <w:rPr>
          <w:rFonts w:ascii="標楷體" w:eastAsia="標楷體" w:hAnsi="標楷體" w:hint="eastAsia"/>
          <w:color w:val="000000" w:themeColor="text1"/>
        </w:rPr>
        <w:t>年之3</w:t>
      </w:r>
      <w:r w:rsidR="008B567C" w:rsidRPr="007D6177">
        <w:rPr>
          <w:rFonts w:ascii="標楷體" w:eastAsia="標楷體" w:hAnsi="標楷體"/>
          <w:color w:val="000000" w:themeColor="text1"/>
        </w:rPr>
        <w:t>,385</w:t>
      </w:r>
      <w:r w:rsidR="008B567C" w:rsidRPr="007D6177">
        <w:rPr>
          <w:rFonts w:ascii="標楷體" w:eastAsia="標楷體" w:hAnsi="標楷體" w:hint="eastAsia"/>
          <w:color w:val="000000" w:themeColor="text1"/>
        </w:rPr>
        <w:t>件逐年上升至113年之26</w:t>
      </w:r>
      <w:r w:rsidR="008B567C" w:rsidRPr="007D6177">
        <w:rPr>
          <w:rFonts w:ascii="標楷體" w:eastAsia="標楷體" w:hAnsi="標楷體"/>
          <w:color w:val="000000" w:themeColor="text1"/>
        </w:rPr>
        <w:t>,166</w:t>
      </w:r>
      <w:r w:rsidR="008B567C" w:rsidRPr="007D6177">
        <w:rPr>
          <w:rFonts w:ascii="標楷體" w:eastAsia="標楷體" w:hAnsi="標楷體" w:hint="eastAsia"/>
          <w:color w:val="000000" w:themeColor="text1"/>
        </w:rPr>
        <w:t>件（圖1），</w:t>
      </w:r>
      <w:proofErr w:type="gramStart"/>
      <w:r w:rsidR="008B567C">
        <w:rPr>
          <w:rFonts w:ascii="標楷體" w:eastAsia="標楷體" w:hAnsi="標楷體" w:hint="eastAsia"/>
          <w:color w:val="000000" w:themeColor="text1"/>
        </w:rPr>
        <w:t>惟查截</w:t>
      </w:r>
      <w:r w:rsidR="008B567C" w:rsidRPr="007D6177">
        <w:rPr>
          <w:rFonts w:ascii="標楷體" w:eastAsia="標楷體" w:hAnsi="標楷體" w:hint="eastAsia"/>
          <w:color w:val="000000" w:themeColor="text1"/>
        </w:rPr>
        <w:t>至</w:t>
      </w:r>
      <w:proofErr w:type="gramEnd"/>
      <w:r w:rsidR="008B567C" w:rsidRPr="007D6177">
        <w:rPr>
          <w:rFonts w:ascii="標楷體" w:eastAsia="標楷體" w:hAnsi="標楷體" w:hint="eastAsia"/>
          <w:color w:val="000000" w:themeColor="text1"/>
        </w:rPr>
        <w:t>1</w:t>
      </w:r>
      <w:r w:rsidR="008B567C" w:rsidRPr="007D6177">
        <w:rPr>
          <w:rFonts w:ascii="標楷體" w:eastAsia="標楷體" w:hAnsi="標楷體"/>
          <w:color w:val="000000" w:themeColor="text1"/>
        </w:rPr>
        <w:t>13</w:t>
      </w:r>
      <w:r w:rsidR="008B567C" w:rsidRPr="007D6177">
        <w:rPr>
          <w:rFonts w:ascii="標楷體" w:eastAsia="標楷體" w:hAnsi="標楷體" w:hint="eastAsia"/>
          <w:color w:val="000000" w:themeColor="text1"/>
        </w:rPr>
        <w:t>年底止，轄內已申辦</w:t>
      </w:r>
      <w:r w:rsidR="008B567C">
        <w:rPr>
          <w:rFonts w:ascii="標楷體" w:eastAsia="標楷體" w:hAnsi="標楷體" w:hint="eastAsia"/>
          <w:color w:val="000000" w:themeColor="text1"/>
        </w:rPr>
        <w:t>即時通並</w:t>
      </w:r>
      <w:r w:rsidR="008B567C" w:rsidRPr="007D6177">
        <w:rPr>
          <w:rFonts w:ascii="標楷體" w:eastAsia="標楷體" w:hAnsi="標楷體" w:hint="eastAsia"/>
          <w:color w:val="000000" w:themeColor="text1"/>
        </w:rPr>
        <w:t>持續使用者計55,332人，</w:t>
      </w:r>
      <w:r w:rsidR="008B567C">
        <w:rPr>
          <w:rFonts w:ascii="標楷體" w:eastAsia="標楷體" w:hAnsi="標楷體" w:hint="eastAsia"/>
          <w:color w:val="000000" w:themeColor="text1"/>
        </w:rPr>
        <w:t>約占已完成土地</w:t>
      </w:r>
      <w:r w:rsidR="008B567C" w:rsidRPr="007D6177">
        <w:rPr>
          <w:rFonts w:ascii="標楷體" w:eastAsia="標楷體" w:hAnsi="標楷體" w:hint="eastAsia"/>
          <w:color w:val="000000" w:themeColor="text1"/>
        </w:rPr>
        <w:t>登記</w:t>
      </w:r>
      <w:r w:rsidR="008B567C">
        <w:rPr>
          <w:rFonts w:ascii="標楷體" w:eastAsia="標楷體" w:hAnsi="標楷體" w:hint="eastAsia"/>
          <w:color w:val="000000" w:themeColor="text1"/>
        </w:rPr>
        <w:t>之</w:t>
      </w:r>
      <w:r w:rsidR="008B567C" w:rsidRPr="007D6177">
        <w:rPr>
          <w:rFonts w:ascii="標楷體" w:eastAsia="標楷體" w:hAnsi="標楷體" w:hint="eastAsia"/>
          <w:color w:val="000000" w:themeColor="text1"/>
        </w:rPr>
        <w:t>私有土地所有權人（9</w:t>
      </w:r>
      <w:r w:rsidR="008B567C" w:rsidRPr="007D6177">
        <w:rPr>
          <w:rFonts w:ascii="標楷體" w:eastAsia="標楷體" w:hAnsi="標楷體"/>
          <w:color w:val="000000" w:themeColor="text1"/>
        </w:rPr>
        <w:t>69</w:t>
      </w:r>
      <w:r w:rsidR="008B567C" w:rsidRPr="007D6177">
        <w:rPr>
          <w:rFonts w:ascii="標楷體" w:eastAsia="標楷體" w:hAnsi="標楷體" w:hint="eastAsia"/>
          <w:color w:val="000000" w:themeColor="text1"/>
        </w:rPr>
        <w:t>,</w:t>
      </w:r>
      <w:r w:rsidR="008B567C" w:rsidRPr="007D6177">
        <w:rPr>
          <w:rFonts w:ascii="標楷體" w:eastAsia="標楷體" w:hAnsi="標楷體"/>
          <w:color w:val="000000" w:themeColor="text1"/>
        </w:rPr>
        <w:t>4</w:t>
      </w:r>
      <w:r w:rsidR="008B567C" w:rsidRPr="007D6177">
        <w:rPr>
          <w:rFonts w:ascii="標楷體" w:eastAsia="標楷體" w:hAnsi="標楷體" w:hint="eastAsia"/>
          <w:color w:val="000000" w:themeColor="text1"/>
        </w:rPr>
        <w:t>5</w:t>
      </w:r>
      <w:r w:rsidR="008B567C" w:rsidRPr="007D6177">
        <w:rPr>
          <w:rFonts w:ascii="標楷體" w:eastAsia="標楷體" w:hAnsi="標楷體"/>
          <w:color w:val="000000" w:themeColor="text1"/>
        </w:rPr>
        <w:t>4</w:t>
      </w:r>
      <w:r w:rsidR="008B567C" w:rsidRPr="007D6177">
        <w:rPr>
          <w:rFonts w:ascii="標楷體" w:eastAsia="標楷體" w:hAnsi="標楷體" w:hint="eastAsia"/>
          <w:color w:val="000000" w:themeColor="text1"/>
        </w:rPr>
        <w:t>人）5</w:t>
      </w:r>
      <w:r w:rsidR="008B567C" w:rsidRPr="007D6177">
        <w:rPr>
          <w:rFonts w:ascii="標楷體" w:eastAsia="標楷體" w:hAnsi="標楷體"/>
          <w:color w:val="000000" w:themeColor="text1"/>
        </w:rPr>
        <w:t>.71</w:t>
      </w:r>
      <w:r w:rsidR="008B567C" w:rsidRPr="007D6177">
        <w:rPr>
          <w:rFonts w:ascii="標楷體" w:eastAsia="標楷體" w:hAnsi="標楷體" w:hint="eastAsia"/>
          <w:color w:val="000000" w:themeColor="text1"/>
        </w:rPr>
        <w:t>％，比率仍低</w:t>
      </w:r>
      <w:r w:rsidR="008B567C">
        <w:rPr>
          <w:rFonts w:ascii="標楷體" w:eastAsia="標楷體" w:hAnsi="標楷體" w:hint="eastAsia"/>
          <w:color w:val="000000" w:themeColor="text1"/>
        </w:rPr>
        <w:t>。</w:t>
      </w:r>
      <w:proofErr w:type="gramStart"/>
      <w:r w:rsidR="008B567C">
        <w:rPr>
          <w:rFonts w:ascii="標楷體" w:eastAsia="標楷體" w:hAnsi="標楷體" w:hint="eastAsia"/>
          <w:color w:val="000000" w:themeColor="text1"/>
        </w:rPr>
        <w:t>鑑</w:t>
      </w:r>
      <w:proofErr w:type="gramEnd"/>
      <w:r w:rsidR="008B567C">
        <w:rPr>
          <w:rFonts w:ascii="標楷體" w:eastAsia="標楷體" w:hAnsi="標楷體" w:hint="eastAsia"/>
          <w:color w:val="000000" w:themeColor="text1"/>
        </w:rPr>
        <w:t>於轄內</w:t>
      </w:r>
      <w:r w:rsidR="008B567C" w:rsidRPr="00DC60EB">
        <w:rPr>
          <w:rFonts w:ascii="標楷體" w:eastAsia="標楷體" w:hAnsi="標楷體" w:hint="eastAsia"/>
        </w:rPr>
        <w:t>6</w:t>
      </w:r>
      <w:r w:rsidR="008B567C" w:rsidRPr="00DC60EB">
        <w:rPr>
          <w:rFonts w:ascii="標楷體" w:eastAsia="標楷體" w:hAnsi="標楷體"/>
        </w:rPr>
        <w:t>5</w:t>
      </w:r>
      <w:r w:rsidR="008B567C" w:rsidRPr="00DC60EB">
        <w:rPr>
          <w:rFonts w:ascii="標楷體" w:eastAsia="標楷體" w:hAnsi="標楷體" w:hint="eastAsia"/>
        </w:rPr>
        <w:t>歲以上</w:t>
      </w:r>
      <w:r w:rsidR="008B567C" w:rsidRPr="007D6177">
        <w:rPr>
          <w:rFonts w:ascii="標楷體" w:eastAsia="標楷體" w:hAnsi="標楷體" w:hint="eastAsia"/>
          <w:color w:val="000000" w:themeColor="text1"/>
        </w:rPr>
        <w:t>老年人口占總人口比率</w:t>
      </w:r>
      <w:r w:rsidR="008B567C">
        <w:rPr>
          <w:rFonts w:ascii="標楷體" w:eastAsia="標楷體" w:hAnsi="標楷體" w:hint="eastAsia"/>
          <w:color w:val="000000" w:themeColor="text1"/>
        </w:rPr>
        <w:t>已達</w:t>
      </w:r>
      <w:r w:rsidR="008B567C" w:rsidRPr="007D6177">
        <w:rPr>
          <w:rFonts w:ascii="標楷體" w:eastAsia="標楷體" w:hAnsi="標楷體" w:hint="eastAsia"/>
          <w:color w:val="000000" w:themeColor="text1"/>
        </w:rPr>
        <w:t>23.</w:t>
      </w:r>
      <w:r w:rsidR="008B567C" w:rsidRPr="007D6177">
        <w:rPr>
          <w:rFonts w:ascii="標楷體" w:eastAsia="標楷體" w:hAnsi="標楷體"/>
          <w:color w:val="000000" w:themeColor="text1"/>
        </w:rPr>
        <w:t>10</w:t>
      </w:r>
      <w:r w:rsidR="008B567C" w:rsidRPr="007D6177">
        <w:rPr>
          <w:rFonts w:ascii="標楷體" w:eastAsia="標楷體" w:hAnsi="標楷體" w:hint="eastAsia"/>
          <w:color w:val="000000" w:themeColor="text1"/>
        </w:rPr>
        <w:t>％，</w:t>
      </w:r>
      <w:proofErr w:type="gramStart"/>
      <w:r w:rsidR="008B567C">
        <w:rPr>
          <w:rFonts w:ascii="標楷體" w:eastAsia="標楷體" w:hAnsi="標楷體" w:hint="eastAsia"/>
          <w:color w:val="000000" w:themeColor="text1"/>
        </w:rPr>
        <w:t>又渠等</w:t>
      </w:r>
      <w:proofErr w:type="gramEnd"/>
      <w:r w:rsidR="008B567C">
        <w:rPr>
          <w:rFonts w:ascii="標楷體" w:eastAsia="標楷體" w:hAnsi="標楷體" w:hint="eastAsia"/>
          <w:color w:val="000000" w:themeColor="text1"/>
        </w:rPr>
        <w:t>持有不動產比率較高，為避免持有不動產比率較高之長者遭詐騙，有待積極推廣</w:t>
      </w:r>
      <w:r w:rsidR="008B567C" w:rsidRPr="00BF1F70">
        <w:rPr>
          <w:rFonts w:ascii="標楷體" w:eastAsia="標楷體" w:hAnsi="標楷體" w:hint="eastAsia"/>
          <w:color w:val="000000" w:themeColor="text1"/>
        </w:rPr>
        <w:t>長者申辦</w:t>
      </w:r>
      <w:r w:rsidR="008B567C">
        <w:rPr>
          <w:rFonts w:ascii="標楷體" w:eastAsia="標楷體" w:hAnsi="標楷體" w:hint="eastAsia"/>
          <w:color w:val="000000" w:themeColor="text1"/>
        </w:rPr>
        <w:t>；2.</w:t>
      </w:r>
      <w:r w:rsidR="008B567C" w:rsidRPr="007D6177">
        <w:rPr>
          <w:rFonts w:ascii="標楷體" w:eastAsia="標楷體" w:hAnsi="標楷體" w:hint="eastAsia"/>
          <w:color w:val="000000" w:themeColor="text1"/>
        </w:rPr>
        <w:t>近3年受</w:t>
      </w:r>
    </w:p>
    <w:p w14:paraId="6662BC5C" w14:textId="37548746" w:rsidR="008B567C" w:rsidRPr="007D6177" w:rsidRDefault="00F834BF" w:rsidP="00F834BF">
      <w:pPr>
        <w:spacing w:line="440" w:lineRule="exact"/>
        <w:jc w:val="both"/>
        <w:rPr>
          <w:rFonts w:ascii="標楷體" w:eastAsia="標楷體" w:hAnsi="標楷體"/>
          <w:color w:val="000000" w:themeColor="text1"/>
        </w:rPr>
      </w:pPr>
      <w:r w:rsidRPr="007D6177">
        <w:rPr>
          <w:rFonts w:ascii="標楷體" w:eastAsia="標楷體" w:hAnsi="標楷體"/>
          <w:noProof/>
          <w:color w:val="000000" w:themeColor="text1"/>
        </w:rPr>
        <w:lastRenderedPageBreak/>
        <mc:AlternateContent>
          <mc:Choice Requires="wps">
            <w:drawing>
              <wp:anchor distT="45720" distB="45720" distL="114300" distR="114300" simplePos="0" relativeHeight="251678720" behindDoc="0" locked="0" layoutInCell="1" allowOverlap="1" wp14:anchorId="1A65D935" wp14:editId="537E6E86">
                <wp:simplePos x="0" y="0"/>
                <wp:positionH relativeFrom="margin">
                  <wp:posOffset>2825750</wp:posOffset>
                </wp:positionH>
                <wp:positionV relativeFrom="paragraph">
                  <wp:posOffset>1312545</wp:posOffset>
                </wp:positionV>
                <wp:extent cx="3543300" cy="2422525"/>
                <wp:effectExtent l="0" t="0" r="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2422525"/>
                        </a:xfrm>
                        <a:prstGeom prst="rect">
                          <a:avLst/>
                        </a:prstGeom>
                        <a:noFill/>
                        <a:ln w="9525">
                          <a:noFill/>
                          <a:miter lim="800000"/>
                          <a:headEnd/>
                          <a:tailEnd/>
                        </a:ln>
                      </wps:spPr>
                      <wps:txbx>
                        <w:txbxContent>
                          <w:p w14:paraId="431DEDF7" w14:textId="77777777" w:rsidR="008B567C" w:rsidRDefault="008B567C" w:rsidP="008B567C">
                            <w:bookmarkStart w:id="106" w:name="_Hlk200011376"/>
                            <w:bookmarkEnd w:id="106"/>
                            <w:r w:rsidRPr="00833837">
                              <w:rPr>
                                <w:noProof/>
                              </w:rPr>
                              <w:drawing>
                                <wp:inline distT="0" distB="0" distL="0" distR="0" wp14:anchorId="16A28DE9" wp14:editId="752ADF70">
                                  <wp:extent cx="3695700" cy="2009775"/>
                                  <wp:effectExtent l="0" t="0" r="0" b="9525"/>
                                  <wp:docPr id="2003185539" name="圖表 2003185539">
                                    <a:extLst xmlns:a="http://schemas.openxmlformats.org/drawingml/2006/main">
                                      <a:ext uri="{FF2B5EF4-FFF2-40B4-BE49-F238E27FC236}">
                                        <a16:creationId xmlns:a16="http://schemas.microsoft.com/office/drawing/2014/main" id="{744F34D0-C0A8-4719-9AD2-F85F107B1C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E3EF7C4" w14:textId="77777777" w:rsidR="008B567C" w:rsidRPr="00F720B8" w:rsidRDefault="008B567C" w:rsidP="008B567C">
                            <w:pPr>
                              <w:spacing w:line="340" w:lineRule="exact"/>
                              <w:rPr>
                                <w:rFonts w:ascii="標楷體" w:eastAsia="標楷體" w:hAnsi="標楷體"/>
                                <w:sz w:val="18"/>
                                <w:szCs w:val="18"/>
                              </w:rPr>
                            </w:pPr>
                            <w:r w:rsidRPr="00F720B8">
                              <w:rPr>
                                <w:rFonts w:ascii="標楷體" w:eastAsia="標楷體" w:hAnsi="標楷體" w:hint="eastAsia"/>
                                <w:sz w:val="18"/>
                                <w:szCs w:val="18"/>
                              </w:rPr>
                              <w:t>資料來源：整理自</w:t>
                            </w:r>
                            <w:r>
                              <w:rPr>
                                <w:rFonts w:ascii="標楷體" w:eastAsia="標楷體" w:hAnsi="標楷體" w:hint="eastAsia"/>
                                <w:sz w:val="18"/>
                                <w:szCs w:val="18"/>
                              </w:rPr>
                              <w:t>地政局</w:t>
                            </w:r>
                            <w:r w:rsidRPr="00F720B8">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65D935" id="_x0000_s1144" type="#_x0000_t202" style="position:absolute;left:0;text-align:left;margin-left:222.5pt;margin-top:103.35pt;width:279pt;height:190.75pt;z-index:251678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" filled="f" stroked="f">
                <v:textbox>
                  <w:txbxContent>
                    <w:p w14:paraId="431DEDF7" w14:textId="77777777" w:rsidR="008B567C" w:rsidRDefault="008B567C" w:rsidP="008B567C">
                      <w:bookmarkStart w:id="111" w:name="_Hlk200011376"/>
                      <w:bookmarkEnd w:id="111"/>
                      <w:r w:rsidRPr="00833837">
                        <w:rPr>
                          <w:noProof/>
                        </w:rPr>
                        <w:drawing>
                          <wp:inline distT="0" distB="0" distL="0" distR="0" wp14:anchorId="16A28DE9" wp14:editId="752ADF70">
                            <wp:extent cx="3695700" cy="2009775"/>
                            <wp:effectExtent l="0" t="0" r="0" b="9525"/>
                            <wp:docPr id="2003185539" name="圖表 2003185539">
                              <a:extLst xmlns:a="http://schemas.openxmlformats.org/drawingml/2006/main">
                                <a:ext uri="{FF2B5EF4-FFF2-40B4-BE49-F238E27FC236}">
                                  <a16:creationId xmlns:a16="http://schemas.microsoft.com/office/drawing/2014/main" id="{744F34D0-C0A8-4719-9AD2-F85F107B1C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6E3EF7C4" w14:textId="77777777" w:rsidR="008B567C" w:rsidRPr="00F720B8" w:rsidRDefault="008B567C" w:rsidP="008B567C">
                      <w:pPr>
                        <w:spacing w:line="340" w:lineRule="exact"/>
                        <w:rPr>
                          <w:rFonts w:ascii="標楷體" w:eastAsia="標楷體" w:hAnsi="標楷體"/>
                          <w:sz w:val="18"/>
                          <w:szCs w:val="18"/>
                        </w:rPr>
                      </w:pPr>
                      <w:r w:rsidRPr="00F720B8">
                        <w:rPr>
                          <w:rFonts w:ascii="標楷體" w:eastAsia="標楷體" w:hAnsi="標楷體" w:hint="eastAsia"/>
                          <w:sz w:val="18"/>
                          <w:szCs w:val="18"/>
                        </w:rPr>
                        <w:t>資料來源：整理自</w:t>
                      </w:r>
                      <w:r>
                        <w:rPr>
                          <w:rFonts w:ascii="標楷體" w:eastAsia="標楷體" w:hAnsi="標楷體" w:hint="eastAsia"/>
                          <w:sz w:val="18"/>
                          <w:szCs w:val="18"/>
                        </w:rPr>
                        <w:t>地政局</w:t>
                      </w:r>
                      <w:r w:rsidRPr="00F720B8">
                        <w:rPr>
                          <w:rFonts w:ascii="標楷體" w:eastAsia="標楷體" w:hAnsi="標楷體" w:hint="eastAsia"/>
                          <w:sz w:val="18"/>
                          <w:szCs w:val="18"/>
                        </w:rPr>
                        <w:t>提供資料。</w:t>
                      </w:r>
                    </w:p>
                  </w:txbxContent>
                </v:textbox>
                <w10:wrap type="square" anchorx="margin"/>
              </v:shape>
            </w:pict>
          </mc:Fallback>
        </mc:AlternateContent>
      </w:r>
      <w:r w:rsidR="008B567C" w:rsidRPr="007D6177">
        <w:rPr>
          <w:rFonts w:ascii="標楷體" w:eastAsia="標楷體" w:hAnsi="標楷體" w:hint="eastAsia"/>
          <w:color w:val="000000" w:themeColor="text1"/>
        </w:rPr>
        <w:t>理</w:t>
      </w:r>
      <w:proofErr w:type="gramStart"/>
      <w:r w:rsidR="008B567C" w:rsidRPr="007D6177">
        <w:rPr>
          <w:rFonts w:ascii="標楷體" w:eastAsia="標楷體" w:hAnsi="標楷體" w:hint="eastAsia"/>
          <w:color w:val="000000" w:themeColor="text1"/>
        </w:rPr>
        <w:t>第二類</w:t>
      </w:r>
      <w:r w:rsidR="008B567C">
        <w:rPr>
          <w:rFonts w:ascii="標楷體" w:eastAsia="標楷體" w:hAnsi="標楷體" w:hint="eastAsia"/>
          <w:color w:val="000000" w:themeColor="text1"/>
        </w:rPr>
        <w:t>地籍</w:t>
      </w:r>
      <w:proofErr w:type="gramEnd"/>
      <w:r w:rsidR="008B567C" w:rsidRPr="007D6177">
        <w:rPr>
          <w:rFonts w:ascii="標楷體" w:eastAsia="標楷體" w:hAnsi="標楷體" w:hint="eastAsia"/>
          <w:color w:val="000000" w:themeColor="text1"/>
        </w:rPr>
        <w:t>謄本住址隱匿申辦件數，自111年之1</w:t>
      </w:r>
      <w:r w:rsidR="008B567C" w:rsidRPr="007D6177">
        <w:rPr>
          <w:rFonts w:ascii="標楷體" w:eastAsia="標楷體" w:hAnsi="標楷體"/>
          <w:color w:val="000000" w:themeColor="text1"/>
        </w:rPr>
        <w:t>2</w:t>
      </w:r>
      <w:r w:rsidR="008B567C" w:rsidRPr="007D6177">
        <w:rPr>
          <w:rFonts w:ascii="標楷體" w:eastAsia="標楷體" w:hAnsi="標楷體" w:hint="eastAsia"/>
          <w:color w:val="000000" w:themeColor="text1"/>
        </w:rPr>
        <w:t>,</w:t>
      </w:r>
      <w:r w:rsidR="008B567C" w:rsidRPr="007D6177">
        <w:rPr>
          <w:rFonts w:ascii="標楷體" w:eastAsia="標楷體" w:hAnsi="標楷體"/>
          <w:color w:val="000000" w:themeColor="text1"/>
        </w:rPr>
        <w:t>016</w:t>
      </w:r>
      <w:r w:rsidR="008B567C" w:rsidRPr="007D6177">
        <w:rPr>
          <w:rFonts w:ascii="標楷體" w:eastAsia="標楷體" w:hAnsi="標楷體" w:hint="eastAsia"/>
          <w:color w:val="000000" w:themeColor="text1"/>
        </w:rPr>
        <w:t>件上升至113年之3</w:t>
      </w:r>
      <w:r w:rsidR="008B567C" w:rsidRPr="007D6177">
        <w:rPr>
          <w:rFonts w:ascii="標楷體" w:eastAsia="標楷體" w:hAnsi="標楷體"/>
          <w:color w:val="000000" w:themeColor="text1"/>
        </w:rPr>
        <w:t>0</w:t>
      </w:r>
      <w:r w:rsidR="008B567C" w:rsidRPr="007D6177">
        <w:rPr>
          <w:rFonts w:ascii="標楷體" w:eastAsia="標楷體" w:hAnsi="標楷體" w:hint="eastAsia"/>
          <w:color w:val="000000" w:themeColor="text1"/>
        </w:rPr>
        <w:t>,</w:t>
      </w:r>
      <w:r w:rsidR="008B567C" w:rsidRPr="007D6177">
        <w:rPr>
          <w:rFonts w:ascii="標楷體" w:eastAsia="標楷體" w:hAnsi="標楷體"/>
          <w:color w:val="000000" w:themeColor="text1"/>
        </w:rPr>
        <w:t>475</w:t>
      </w:r>
      <w:r w:rsidR="008B567C" w:rsidRPr="007D6177">
        <w:rPr>
          <w:rFonts w:ascii="標楷體" w:eastAsia="標楷體" w:hAnsi="標楷體" w:hint="eastAsia"/>
          <w:color w:val="000000" w:themeColor="text1"/>
        </w:rPr>
        <w:t>件（圖2），截至113年底，計有</w:t>
      </w:r>
      <w:r w:rsidR="008B567C" w:rsidRPr="007D6177">
        <w:rPr>
          <w:rFonts w:ascii="標楷體" w:eastAsia="標楷體" w:hAnsi="標楷體"/>
          <w:color w:val="000000" w:themeColor="text1"/>
        </w:rPr>
        <w:t>95,141</w:t>
      </w:r>
      <w:r w:rsidR="008B567C" w:rsidRPr="007D6177">
        <w:rPr>
          <w:rFonts w:ascii="標楷體" w:eastAsia="標楷體" w:hAnsi="標楷體" w:hint="eastAsia"/>
          <w:color w:val="000000" w:themeColor="text1"/>
        </w:rPr>
        <w:t>筆土地及建物之所有權人已申請地籍謄本住址隱匿</w:t>
      </w:r>
      <w:r w:rsidR="008B567C">
        <w:rPr>
          <w:rFonts w:ascii="標楷體" w:eastAsia="標楷體" w:hAnsi="標楷體" w:hint="eastAsia"/>
          <w:color w:val="000000" w:themeColor="text1"/>
        </w:rPr>
        <w:t>，惟經</w:t>
      </w:r>
      <w:r w:rsidR="008B567C" w:rsidRPr="007D6177">
        <w:rPr>
          <w:rFonts w:ascii="標楷體" w:eastAsia="標楷體" w:hAnsi="標楷體" w:hint="eastAsia"/>
          <w:color w:val="000000" w:themeColor="text1"/>
        </w:rPr>
        <w:t>抽查大安及古亭</w:t>
      </w:r>
      <w:r w:rsidR="008B567C">
        <w:rPr>
          <w:rFonts w:ascii="標楷體" w:eastAsia="標楷體" w:hAnsi="標楷體" w:hint="eastAsia"/>
          <w:color w:val="000000" w:themeColor="text1"/>
        </w:rPr>
        <w:t>地政</w:t>
      </w:r>
      <w:r w:rsidR="008B567C" w:rsidRPr="007D6177">
        <w:rPr>
          <w:rFonts w:ascii="標楷體" w:eastAsia="標楷體" w:hAnsi="標楷體" w:hint="eastAsia"/>
          <w:color w:val="000000" w:themeColor="text1"/>
        </w:rPr>
        <w:t>事務所，轄區內已登記土地及建物</w:t>
      </w:r>
      <w:r w:rsidR="008B567C">
        <w:rPr>
          <w:rFonts w:ascii="標楷體" w:eastAsia="標楷體" w:hAnsi="標楷體" w:hint="eastAsia"/>
          <w:color w:val="000000" w:themeColor="text1"/>
        </w:rPr>
        <w:t>所有權</w:t>
      </w:r>
      <w:r w:rsidR="008B567C" w:rsidRPr="007D6177">
        <w:rPr>
          <w:rFonts w:ascii="標楷體" w:eastAsia="標楷體" w:hAnsi="標楷體" w:hint="eastAsia"/>
          <w:color w:val="000000" w:themeColor="text1"/>
        </w:rPr>
        <w:t>分別為1</w:t>
      </w:r>
      <w:r w:rsidR="008B567C" w:rsidRPr="007D6177">
        <w:rPr>
          <w:rFonts w:ascii="標楷體" w:eastAsia="標楷體" w:hAnsi="標楷體"/>
          <w:color w:val="000000" w:themeColor="text1"/>
        </w:rPr>
        <w:t>62</w:t>
      </w:r>
      <w:r w:rsidR="008B567C" w:rsidRPr="007D6177">
        <w:rPr>
          <w:rFonts w:ascii="標楷體" w:eastAsia="標楷體" w:hAnsi="標楷體" w:hint="eastAsia"/>
          <w:color w:val="000000" w:themeColor="text1"/>
        </w:rPr>
        <w:t>,</w:t>
      </w:r>
      <w:r w:rsidR="008B567C" w:rsidRPr="007D6177">
        <w:rPr>
          <w:rFonts w:ascii="標楷體" w:eastAsia="標楷體" w:hAnsi="標楷體"/>
          <w:color w:val="000000" w:themeColor="text1"/>
        </w:rPr>
        <w:t>605</w:t>
      </w:r>
      <w:r w:rsidR="008B567C" w:rsidRPr="007D6177">
        <w:rPr>
          <w:rFonts w:ascii="標楷體" w:eastAsia="標楷體" w:hAnsi="標楷體" w:hint="eastAsia"/>
          <w:color w:val="000000" w:themeColor="text1"/>
        </w:rPr>
        <w:t>筆、2</w:t>
      </w:r>
      <w:r w:rsidR="008B567C" w:rsidRPr="007D6177">
        <w:rPr>
          <w:rFonts w:ascii="標楷體" w:eastAsia="標楷體" w:hAnsi="標楷體"/>
          <w:color w:val="000000" w:themeColor="text1"/>
        </w:rPr>
        <w:t>1</w:t>
      </w:r>
      <w:r w:rsidR="008B567C" w:rsidRPr="007D6177">
        <w:rPr>
          <w:rFonts w:ascii="標楷體" w:eastAsia="標楷體" w:hAnsi="標楷體" w:hint="eastAsia"/>
          <w:color w:val="000000" w:themeColor="text1"/>
        </w:rPr>
        <w:t>1,5</w:t>
      </w:r>
      <w:r w:rsidR="008B567C" w:rsidRPr="007D6177">
        <w:rPr>
          <w:rFonts w:ascii="標楷體" w:eastAsia="標楷體" w:hAnsi="標楷體"/>
          <w:color w:val="000000" w:themeColor="text1"/>
        </w:rPr>
        <w:t>4</w:t>
      </w:r>
      <w:r w:rsidR="008B567C" w:rsidRPr="007D6177">
        <w:rPr>
          <w:rFonts w:ascii="標楷體" w:eastAsia="標楷體" w:hAnsi="標楷體" w:hint="eastAsia"/>
          <w:color w:val="000000" w:themeColor="text1"/>
        </w:rPr>
        <w:t>6筆，其中所有權人已申請地籍謄本住址隱匿者，各為1</w:t>
      </w:r>
      <w:r w:rsidR="008B567C" w:rsidRPr="007D6177">
        <w:rPr>
          <w:rFonts w:ascii="標楷體" w:eastAsia="標楷體" w:hAnsi="標楷體"/>
          <w:color w:val="000000" w:themeColor="text1"/>
        </w:rPr>
        <w:t>5</w:t>
      </w:r>
      <w:r w:rsidR="008B567C" w:rsidRPr="007D6177">
        <w:rPr>
          <w:rFonts w:ascii="標楷體" w:eastAsia="標楷體" w:hAnsi="標楷體" w:hint="eastAsia"/>
          <w:color w:val="000000" w:themeColor="text1"/>
        </w:rPr>
        <w:t>,</w:t>
      </w:r>
      <w:r w:rsidR="008B567C" w:rsidRPr="007D6177">
        <w:rPr>
          <w:rFonts w:ascii="標楷體" w:eastAsia="標楷體" w:hAnsi="標楷體"/>
          <w:color w:val="000000" w:themeColor="text1"/>
        </w:rPr>
        <w:t>020</w:t>
      </w:r>
      <w:r w:rsidR="008B567C" w:rsidRPr="007D6177">
        <w:rPr>
          <w:rFonts w:ascii="標楷體" w:eastAsia="標楷體" w:hAnsi="標楷體" w:hint="eastAsia"/>
          <w:color w:val="000000" w:themeColor="text1"/>
        </w:rPr>
        <w:t>筆、1</w:t>
      </w:r>
      <w:r w:rsidR="008B567C" w:rsidRPr="007D6177">
        <w:rPr>
          <w:rFonts w:ascii="標楷體" w:eastAsia="標楷體" w:hAnsi="標楷體"/>
          <w:color w:val="000000" w:themeColor="text1"/>
        </w:rPr>
        <w:t>2</w:t>
      </w:r>
      <w:r w:rsidR="008B567C" w:rsidRPr="007D6177">
        <w:rPr>
          <w:rFonts w:ascii="標楷體" w:eastAsia="標楷體" w:hAnsi="標楷體" w:hint="eastAsia"/>
          <w:color w:val="000000" w:themeColor="text1"/>
        </w:rPr>
        <w:t>,</w:t>
      </w:r>
      <w:r w:rsidR="008B567C" w:rsidRPr="007D6177">
        <w:rPr>
          <w:rFonts w:ascii="標楷體" w:eastAsia="標楷體" w:hAnsi="標楷體"/>
          <w:color w:val="000000" w:themeColor="text1"/>
        </w:rPr>
        <w:t>727</w:t>
      </w:r>
      <w:r w:rsidR="008B567C" w:rsidRPr="007D6177">
        <w:rPr>
          <w:rFonts w:ascii="標楷體" w:eastAsia="標楷體" w:hAnsi="標楷體" w:hint="eastAsia"/>
          <w:color w:val="000000" w:themeColor="text1"/>
        </w:rPr>
        <w:t>筆，占比為9.</w:t>
      </w:r>
      <w:r w:rsidR="008B567C" w:rsidRPr="007D6177">
        <w:rPr>
          <w:rFonts w:ascii="標楷體" w:eastAsia="標楷體" w:hAnsi="標楷體"/>
          <w:color w:val="000000" w:themeColor="text1"/>
        </w:rPr>
        <w:t>24</w:t>
      </w:r>
      <w:r w:rsidR="008B567C" w:rsidRPr="007D6177">
        <w:rPr>
          <w:rFonts w:ascii="標楷體" w:eastAsia="標楷體" w:hAnsi="標楷體" w:hint="eastAsia"/>
          <w:color w:val="000000" w:themeColor="text1"/>
        </w:rPr>
        <w:t>％、6.</w:t>
      </w:r>
      <w:r w:rsidR="008B567C" w:rsidRPr="007D6177">
        <w:rPr>
          <w:rFonts w:ascii="標楷體" w:eastAsia="標楷體" w:hAnsi="標楷體"/>
          <w:color w:val="000000" w:themeColor="text1"/>
        </w:rPr>
        <w:t>02</w:t>
      </w:r>
      <w:r w:rsidR="008B567C" w:rsidRPr="007D6177">
        <w:rPr>
          <w:rFonts w:ascii="標楷體" w:eastAsia="標楷體" w:hAnsi="標楷體" w:hint="eastAsia"/>
          <w:color w:val="000000" w:themeColor="text1"/>
        </w:rPr>
        <w:t>％，</w:t>
      </w:r>
      <w:proofErr w:type="gramStart"/>
      <w:r w:rsidR="008B567C" w:rsidRPr="007D6177">
        <w:rPr>
          <w:rFonts w:ascii="標楷體" w:eastAsia="標楷體" w:hAnsi="標楷體" w:hint="eastAsia"/>
          <w:color w:val="000000" w:themeColor="text1"/>
        </w:rPr>
        <w:t>均未及1成</w:t>
      </w:r>
      <w:proofErr w:type="gramEnd"/>
      <w:r w:rsidR="008B567C">
        <w:rPr>
          <w:rFonts w:ascii="標楷體" w:eastAsia="標楷體" w:hAnsi="標楷體" w:hint="eastAsia"/>
          <w:color w:val="000000" w:themeColor="text1"/>
        </w:rPr>
        <w:t>等情事</w:t>
      </w:r>
      <w:r w:rsidR="008B567C" w:rsidRPr="007D6177">
        <w:rPr>
          <w:rFonts w:ascii="標楷體" w:eastAsia="標楷體" w:hAnsi="標楷體" w:hint="eastAsia"/>
          <w:color w:val="000000" w:themeColor="text1"/>
        </w:rPr>
        <w:t>，</w:t>
      </w:r>
      <w:r w:rsidR="008B567C" w:rsidRPr="00BA1DC3">
        <w:rPr>
          <w:rFonts w:ascii="標楷體" w:eastAsia="標楷體" w:hAnsi="標楷體" w:hint="eastAsia"/>
          <w:color w:val="000000" w:themeColor="text1"/>
        </w:rPr>
        <w:t>經函請</w:t>
      </w:r>
      <w:proofErr w:type="gramStart"/>
      <w:r w:rsidR="008B567C">
        <w:rPr>
          <w:rFonts w:ascii="標楷體" w:eastAsia="標楷體" w:hAnsi="標楷體" w:hint="eastAsia"/>
          <w:color w:val="000000" w:themeColor="text1"/>
        </w:rPr>
        <w:t>研謀</w:t>
      </w:r>
      <w:r w:rsidR="008B567C" w:rsidRPr="00945029">
        <w:rPr>
          <w:rFonts w:ascii="標楷體" w:eastAsia="標楷體" w:hAnsi="標楷體" w:cs="標楷體" w:hint="eastAsia"/>
        </w:rPr>
        <w:t>妥處</w:t>
      </w:r>
      <w:proofErr w:type="gramEnd"/>
      <w:r w:rsidR="008B567C" w:rsidRPr="00CC6EC3">
        <w:rPr>
          <w:rFonts w:ascii="標楷體" w:eastAsia="標楷體" w:hAnsi="標楷體" w:hint="eastAsia"/>
          <w:color w:val="000000" w:themeColor="text1"/>
        </w:rPr>
        <w:t>。</w:t>
      </w:r>
      <w:r w:rsidR="008B567C">
        <w:rPr>
          <w:rFonts w:ascii="標楷體" w:eastAsia="標楷體" w:hAnsi="標楷體" w:hint="eastAsia"/>
          <w:color w:val="000000" w:themeColor="text1"/>
        </w:rPr>
        <w:t>據復：1.將透過</w:t>
      </w:r>
      <w:r w:rsidR="008B567C">
        <w:rPr>
          <w:rFonts w:ascii="標楷體" w:eastAsia="標楷體" w:hAnsi="標楷體" w:cs="標楷體" w:hint="eastAsia"/>
        </w:rPr>
        <w:t>公</w:t>
      </w:r>
      <w:r w:rsidR="008B567C" w:rsidRPr="00402BAE">
        <w:rPr>
          <w:rFonts w:ascii="標楷體" w:eastAsia="標楷體" w:hAnsi="標楷體" w:cs="標楷體"/>
        </w:rPr>
        <w:t>私協力</w:t>
      </w:r>
      <w:r w:rsidR="008B567C">
        <w:rPr>
          <w:rFonts w:ascii="標楷體" w:eastAsia="標楷體" w:hAnsi="標楷體" w:cs="標楷體" w:hint="eastAsia"/>
        </w:rPr>
        <w:t>、媒體</w:t>
      </w:r>
      <w:proofErr w:type="gramStart"/>
      <w:r w:rsidR="008B567C">
        <w:rPr>
          <w:rFonts w:ascii="標楷體" w:eastAsia="標楷體" w:hAnsi="標楷體" w:cs="標楷體" w:hint="eastAsia"/>
        </w:rPr>
        <w:t>推播及</w:t>
      </w:r>
      <w:r w:rsidR="008B567C" w:rsidRPr="00402BAE">
        <w:rPr>
          <w:rFonts w:ascii="標楷體" w:eastAsia="標楷體" w:hAnsi="標楷體" w:cs="標楷體"/>
        </w:rPr>
        <w:t>跨</w:t>
      </w:r>
      <w:proofErr w:type="gramEnd"/>
      <w:r w:rsidR="008B567C" w:rsidRPr="00402BAE">
        <w:rPr>
          <w:rFonts w:ascii="標楷體" w:eastAsia="標楷體" w:hAnsi="標楷體" w:cs="標楷體"/>
        </w:rPr>
        <w:t>局處合作</w:t>
      </w:r>
      <w:r w:rsidR="008B567C">
        <w:rPr>
          <w:rFonts w:ascii="標楷體" w:eastAsia="標楷體" w:hAnsi="標楷體" w:cs="標楷體" w:hint="eastAsia"/>
        </w:rPr>
        <w:t>等措施加強宣導</w:t>
      </w:r>
      <w:r w:rsidR="008B567C" w:rsidRPr="006E0FC7">
        <w:rPr>
          <w:rFonts w:ascii="標楷體" w:eastAsia="標楷體" w:hAnsi="標楷體" w:cs="標楷體" w:hint="eastAsia"/>
        </w:rPr>
        <w:t>，</w:t>
      </w:r>
      <w:r w:rsidR="008B567C">
        <w:rPr>
          <w:rFonts w:ascii="標楷體" w:eastAsia="標楷體" w:hAnsi="標楷體" w:cs="標楷體" w:hint="eastAsia"/>
        </w:rPr>
        <w:t>並利用社區大學講座等活動，深入長者生活圈進行推廣，及將長者申辦納入到府或醫療院所收件服務項目；2.推行</w:t>
      </w:r>
      <w:proofErr w:type="gramStart"/>
      <w:r w:rsidR="008B567C" w:rsidRPr="006C6F54">
        <w:rPr>
          <w:rFonts w:ascii="標楷體" w:eastAsia="標楷體" w:hAnsi="標楷體" w:cs="標楷體"/>
        </w:rPr>
        <w:t>併</w:t>
      </w:r>
      <w:proofErr w:type="gramEnd"/>
      <w:r w:rsidR="008B567C" w:rsidRPr="006C6F54">
        <w:rPr>
          <w:rFonts w:ascii="標楷體" w:eastAsia="標楷體" w:hAnsi="標楷體" w:cs="標楷體"/>
        </w:rPr>
        <w:t>同登記申請案申辦</w:t>
      </w:r>
      <w:proofErr w:type="gramStart"/>
      <w:r w:rsidR="008B567C" w:rsidRPr="006C6F54">
        <w:rPr>
          <w:rFonts w:ascii="標楷體" w:eastAsia="標楷體" w:hAnsi="標楷體" w:cs="標楷體"/>
        </w:rPr>
        <w:t>免填書</w:t>
      </w:r>
      <w:proofErr w:type="gramEnd"/>
      <w:r w:rsidR="008B567C" w:rsidRPr="006C6F54">
        <w:rPr>
          <w:rFonts w:ascii="標楷體" w:eastAsia="標楷體" w:hAnsi="標楷體" w:cs="標楷體"/>
        </w:rPr>
        <w:t>表簡化措施</w:t>
      </w:r>
      <w:r w:rsidR="008B567C">
        <w:rPr>
          <w:rFonts w:ascii="標楷體" w:eastAsia="標楷體" w:hAnsi="標楷體" w:cs="標楷體" w:hint="eastAsia"/>
        </w:rPr>
        <w:t>、</w:t>
      </w:r>
      <w:r w:rsidR="008B567C" w:rsidRPr="006C6F54">
        <w:rPr>
          <w:rFonts w:ascii="標楷體" w:eastAsia="標楷體" w:hAnsi="標楷體" w:cs="標楷體"/>
        </w:rPr>
        <w:t>擴大受理管道</w:t>
      </w:r>
      <w:r w:rsidR="008B567C">
        <w:rPr>
          <w:rFonts w:ascii="標楷體" w:eastAsia="標楷體" w:hAnsi="標楷體" w:cs="標楷體" w:hint="eastAsia"/>
        </w:rPr>
        <w:t>，並</w:t>
      </w:r>
      <w:r w:rsidR="008B567C" w:rsidRPr="006C6F54">
        <w:rPr>
          <w:rFonts w:ascii="標楷體" w:eastAsia="標楷體" w:hAnsi="標楷體" w:cs="標楷體"/>
        </w:rPr>
        <w:t>利用網站、社群互動、辦公場域</w:t>
      </w:r>
      <w:r w:rsidR="008B567C">
        <w:rPr>
          <w:rFonts w:ascii="標楷體" w:eastAsia="標楷體" w:hAnsi="標楷體" w:cs="標楷體" w:hint="eastAsia"/>
        </w:rPr>
        <w:t>、</w:t>
      </w:r>
      <w:r w:rsidR="008B567C" w:rsidRPr="006C6F54">
        <w:rPr>
          <w:rFonts w:ascii="標楷體" w:eastAsia="標楷體" w:hAnsi="標楷體" w:cs="標楷體"/>
        </w:rPr>
        <w:t>參與里鄰活動</w:t>
      </w:r>
      <w:r w:rsidR="008B567C">
        <w:rPr>
          <w:rFonts w:ascii="標楷體" w:eastAsia="標楷體" w:hAnsi="標楷體" w:cs="標楷體" w:hint="eastAsia"/>
        </w:rPr>
        <w:t>等加強</w:t>
      </w:r>
      <w:r w:rsidR="008B567C" w:rsidRPr="006C6F54">
        <w:rPr>
          <w:rFonts w:ascii="標楷體" w:eastAsia="標楷體" w:hAnsi="標楷體" w:cs="標楷體"/>
        </w:rPr>
        <w:t>宣導</w:t>
      </w:r>
      <w:r w:rsidR="008B567C">
        <w:rPr>
          <w:rFonts w:ascii="標楷體" w:eastAsia="標楷體" w:hAnsi="標楷體" w:cs="標楷體" w:hint="eastAsia"/>
        </w:rPr>
        <w:t>，及</w:t>
      </w:r>
      <w:r w:rsidR="008B567C" w:rsidRPr="008564D1">
        <w:rPr>
          <w:rFonts w:ascii="標楷體" w:eastAsia="標楷體" w:hAnsi="標楷體" w:cs="標楷體" w:hint="eastAsia"/>
        </w:rPr>
        <w:t>主動至各里民活動中心現場收件，</w:t>
      </w:r>
      <w:r w:rsidR="008B567C">
        <w:rPr>
          <w:rFonts w:ascii="標楷體" w:eastAsia="標楷體" w:hAnsi="標楷體" w:cs="標楷體" w:hint="eastAsia"/>
        </w:rPr>
        <w:t>以提高</w:t>
      </w:r>
      <w:r w:rsidR="008B567C" w:rsidRPr="008564D1">
        <w:rPr>
          <w:rFonts w:ascii="標楷體" w:eastAsia="標楷體" w:hAnsi="標楷體" w:cs="標楷體" w:hint="eastAsia"/>
        </w:rPr>
        <w:t>民眾申辦意願</w:t>
      </w:r>
      <w:r w:rsidR="008B567C" w:rsidRPr="007D6177">
        <w:rPr>
          <w:rFonts w:ascii="標楷體" w:eastAsia="標楷體" w:hAnsi="標楷體" w:hint="eastAsia"/>
          <w:color w:val="000000" w:themeColor="text1"/>
        </w:rPr>
        <w:t>。</w:t>
      </w:r>
    </w:p>
    <w:bookmarkEnd w:id="102"/>
    <w:bookmarkEnd w:id="103"/>
    <w:p w14:paraId="74E0FA59" w14:textId="77777777" w:rsidR="008B567C" w:rsidRPr="00931B6A" w:rsidRDefault="008B567C" w:rsidP="00F834BF">
      <w:pPr>
        <w:spacing w:beforeLines="30" w:before="108" w:afterLines="20" w:after="72" w:line="460" w:lineRule="exact"/>
        <w:ind w:firstLineChars="100" w:firstLine="280"/>
        <w:jc w:val="both"/>
        <w:outlineLvl w:val="3"/>
        <w:rPr>
          <w:rFonts w:ascii="標楷體" w:eastAsia="標楷體"/>
          <w:b/>
          <w:sz w:val="28"/>
          <w:szCs w:val="28"/>
        </w:rPr>
      </w:pPr>
      <w:r w:rsidRPr="00905E7D">
        <w:rPr>
          <w:rFonts w:ascii="標楷體" w:eastAsia="標楷體" w:hint="eastAsia"/>
          <w:b/>
          <w:sz w:val="28"/>
          <w:szCs w:val="28"/>
        </w:rPr>
        <w:t>（</w:t>
      </w:r>
      <w:r>
        <w:rPr>
          <w:rFonts w:ascii="標楷體" w:eastAsia="標楷體" w:hint="eastAsia"/>
          <w:b/>
          <w:sz w:val="28"/>
          <w:szCs w:val="28"/>
        </w:rPr>
        <w:t>二</w:t>
      </w:r>
      <w:r w:rsidRPr="00905E7D">
        <w:rPr>
          <w:rFonts w:ascii="標楷體" w:eastAsia="標楷體" w:hint="eastAsia"/>
          <w:b/>
          <w:sz w:val="28"/>
          <w:szCs w:val="28"/>
        </w:rPr>
        <w:t>）</w:t>
      </w:r>
      <w:r>
        <w:rPr>
          <w:rFonts w:ascii="標楷體" w:eastAsia="標楷體" w:hint="eastAsia"/>
          <w:b/>
          <w:sz w:val="28"/>
          <w:szCs w:val="28"/>
        </w:rPr>
        <w:t>運</w:t>
      </w:r>
      <w:r w:rsidRPr="00E5335A">
        <w:rPr>
          <w:rFonts w:ascii="標楷體" w:eastAsia="標楷體" w:hint="eastAsia"/>
          <w:b/>
          <w:sz w:val="28"/>
          <w:szCs w:val="28"/>
        </w:rPr>
        <w:t>用中央數位櫃</w:t>
      </w:r>
      <w:proofErr w:type="gramStart"/>
      <w:r w:rsidRPr="00E5335A">
        <w:rPr>
          <w:rFonts w:ascii="標楷體" w:eastAsia="標楷體" w:hint="eastAsia"/>
          <w:b/>
          <w:sz w:val="28"/>
          <w:szCs w:val="28"/>
        </w:rPr>
        <w:t>臺</w:t>
      </w:r>
      <w:proofErr w:type="gramEnd"/>
      <w:r w:rsidRPr="00E5335A">
        <w:rPr>
          <w:rFonts w:ascii="標楷體" w:eastAsia="標楷體" w:hint="eastAsia"/>
          <w:b/>
          <w:sz w:val="28"/>
          <w:szCs w:val="28"/>
        </w:rPr>
        <w:t>軟體資源，持續推動網路申請土地登記及測量業務，惟</w:t>
      </w:r>
      <w:proofErr w:type="gramStart"/>
      <w:r w:rsidRPr="00E5335A">
        <w:rPr>
          <w:rFonts w:ascii="標楷體" w:eastAsia="標楷體" w:hint="eastAsia"/>
          <w:b/>
          <w:sz w:val="28"/>
          <w:szCs w:val="28"/>
        </w:rPr>
        <w:t>1</w:t>
      </w:r>
      <w:r w:rsidRPr="00E5335A">
        <w:rPr>
          <w:rFonts w:ascii="標楷體" w:eastAsia="標楷體"/>
          <w:b/>
          <w:sz w:val="28"/>
          <w:szCs w:val="28"/>
        </w:rPr>
        <w:t>1</w:t>
      </w:r>
      <w:r w:rsidRPr="00E5335A">
        <w:rPr>
          <w:rFonts w:ascii="標楷體" w:eastAsia="標楷體" w:hint="eastAsia"/>
          <w:b/>
          <w:sz w:val="28"/>
          <w:szCs w:val="28"/>
        </w:rPr>
        <w:t>3年度線上申辦</w:t>
      </w:r>
      <w:proofErr w:type="gramEnd"/>
      <w:r w:rsidRPr="00E5335A">
        <w:rPr>
          <w:rFonts w:ascii="標楷體" w:eastAsia="標楷體" w:hint="eastAsia"/>
          <w:b/>
          <w:sz w:val="28"/>
          <w:szCs w:val="28"/>
        </w:rPr>
        <w:t>登記及測量案件量大幅下滑，有待檢討癥結，據以</w:t>
      </w:r>
      <w:proofErr w:type="gramStart"/>
      <w:r w:rsidRPr="00E5335A">
        <w:rPr>
          <w:rFonts w:ascii="標楷體" w:eastAsia="標楷體" w:hint="eastAsia"/>
          <w:b/>
          <w:sz w:val="28"/>
          <w:szCs w:val="28"/>
        </w:rPr>
        <w:t>研</w:t>
      </w:r>
      <w:proofErr w:type="gramEnd"/>
      <w:r w:rsidRPr="00E5335A">
        <w:rPr>
          <w:rFonts w:ascii="標楷體" w:eastAsia="標楷體" w:hint="eastAsia"/>
          <w:b/>
          <w:sz w:val="28"/>
          <w:szCs w:val="28"/>
        </w:rPr>
        <w:t>謀改善</w:t>
      </w:r>
      <w:r>
        <w:rPr>
          <w:rFonts w:ascii="標楷體" w:eastAsia="標楷體" w:hint="eastAsia"/>
          <w:b/>
          <w:sz w:val="28"/>
          <w:szCs w:val="28"/>
        </w:rPr>
        <w:t>。</w:t>
      </w:r>
    </w:p>
    <w:p w14:paraId="60B30505" w14:textId="77777777" w:rsidR="00F834BF" w:rsidRDefault="008B567C" w:rsidP="008B567C">
      <w:pPr>
        <w:spacing w:line="440" w:lineRule="exact"/>
        <w:ind w:firstLineChars="200" w:firstLine="480"/>
        <w:jc w:val="both"/>
        <w:rPr>
          <w:rFonts w:ascii="標楷體" w:eastAsia="標楷體" w:hAnsi="標楷體"/>
          <w:color w:val="000000" w:themeColor="text1"/>
        </w:rPr>
      </w:pPr>
      <w:r w:rsidRPr="003A4498">
        <w:rPr>
          <w:rFonts w:ascii="標楷體" w:eastAsia="標楷體" w:hAnsi="標楷體"/>
          <w:noProof/>
          <w:color w:val="000000" w:themeColor="text1"/>
        </w:rPr>
        <mc:AlternateContent>
          <mc:Choice Requires="wps">
            <w:drawing>
              <wp:anchor distT="45720" distB="45720" distL="114300" distR="114300" simplePos="0" relativeHeight="251677696" behindDoc="0" locked="0" layoutInCell="1" allowOverlap="1" wp14:anchorId="5879BB13" wp14:editId="2CF11E96">
                <wp:simplePos x="0" y="0"/>
                <wp:positionH relativeFrom="margin">
                  <wp:posOffset>2332990</wp:posOffset>
                </wp:positionH>
                <wp:positionV relativeFrom="paragraph">
                  <wp:posOffset>1449070</wp:posOffset>
                </wp:positionV>
                <wp:extent cx="4116705" cy="2828925"/>
                <wp:effectExtent l="0" t="0" r="0" b="0"/>
                <wp:wrapSquare wrapText="bothSides"/>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6705" cy="2828925"/>
                        </a:xfrm>
                        <a:prstGeom prst="rect">
                          <a:avLst/>
                        </a:prstGeom>
                        <a:noFill/>
                        <a:ln w="9525">
                          <a:noFill/>
                          <a:miter lim="800000"/>
                          <a:headEnd/>
                          <a:tailEnd/>
                        </a:ln>
                      </wps:spPr>
                      <wps:txbx>
                        <w:txbxContent>
                          <w:p w14:paraId="08CAAF15" w14:textId="77777777" w:rsidR="008B567C" w:rsidRPr="00AC4358" w:rsidRDefault="008B567C" w:rsidP="008B567C">
                            <w:pPr>
                              <w:rPr>
                                <w:rFonts w:ascii="標楷體" w:eastAsia="標楷體" w:hAnsi="標楷體"/>
                                <w:sz w:val="20"/>
                                <w:szCs w:val="20"/>
                              </w:rPr>
                            </w:pPr>
                            <w:r w:rsidRPr="003055DC">
                              <w:rPr>
                                <w:rFonts w:ascii="標楷體" w:eastAsia="標楷體" w:hAnsi="標楷體"/>
                                <w:noProof/>
                                <w:sz w:val="20"/>
                                <w:szCs w:val="20"/>
                              </w:rPr>
                              <w:drawing>
                                <wp:inline distT="0" distB="0" distL="0" distR="0" wp14:anchorId="1FA47FEE" wp14:editId="04CC7EC5">
                                  <wp:extent cx="3819525" cy="2295525"/>
                                  <wp:effectExtent l="0" t="0" r="9525" b="0"/>
                                  <wp:docPr id="2003185540" name="圖表 2003185540">
                                    <a:extLst xmlns:a="http://schemas.openxmlformats.org/drawingml/2006/main">
                                      <a:ext uri="{FF2B5EF4-FFF2-40B4-BE49-F238E27FC236}">
                                        <a16:creationId xmlns:a16="http://schemas.microsoft.com/office/drawing/2014/main" id="{5975D963-DC54-4731-9E7D-658CEE1859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2AB7D56" w14:textId="04C71CA0" w:rsidR="008B567C" w:rsidRPr="00585F63" w:rsidRDefault="008B567C" w:rsidP="008B567C">
                            <w:pPr>
                              <w:rPr>
                                <w:rFonts w:ascii="標楷體" w:eastAsia="標楷體" w:hAnsi="標楷體"/>
                                <w:sz w:val="18"/>
                                <w:szCs w:val="18"/>
                              </w:rPr>
                            </w:pPr>
                            <w:r w:rsidRPr="00585F63">
                              <w:rPr>
                                <w:rFonts w:ascii="標楷體" w:eastAsia="標楷體" w:hAnsi="標楷體" w:hint="eastAsia"/>
                                <w:sz w:val="18"/>
                                <w:szCs w:val="18"/>
                              </w:rPr>
                              <w:t>資料來源：整理自地政局</w:t>
                            </w:r>
                            <w:r w:rsidR="00CB7F03">
                              <w:rPr>
                                <w:rFonts w:ascii="標楷體" w:eastAsia="標楷體" w:hAnsi="標楷體" w:hint="eastAsia"/>
                                <w:sz w:val="18"/>
                                <w:szCs w:val="18"/>
                              </w:rPr>
                              <w:t>提供</w:t>
                            </w:r>
                            <w:r w:rsidRPr="00585F63">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79BB13" id="文字方塊 15" o:spid="_x0000_s1145" type="#_x0000_t202" style="position:absolute;left:0;text-align:left;margin-left:183.7pt;margin-top:114.1pt;width:324.15pt;height:222.75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" filled="f" stroked="f">
                <v:textbox>
                  <w:txbxContent>
                    <w:p w14:paraId="08CAAF15" w14:textId="77777777" w:rsidR="008B567C" w:rsidRPr="00AC4358" w:rsidRDefault="008B567C" w:rsidP="008B567C">
                      <w:pPr>
                        <w:rPr>
                          <w:rFonts w:ascii="標楷體" w:eastAsia="標楷體" w:hAnsi="標楷體"/>
                          <w:sz w:val="20"/>
                          <w:szCs w:val="20"/>
                        </w:rPr>
                      </w:pPr>
                      <w:r w:rsidRPr="003055DC">
                        <w:rPr>
                          <w:rFonts w:ascii="標楷體" w:eastAsia="標楷體" w:hAnsi="標楷體"/>
                          <w:noProof/>
                          <w:sz w:val="20"/>
                          <w:szCs w:val="20"/>
                        </w:rPr>
                        <w:drawing>
                          <wp:inline distT="0" distB="0" distL="0" distR="0" wp14:anchorId="1FA47FEE" wp14:editId="04CC7EC5">
                            <wp:extent cx="3819525" cy="2295525"/>
                            <wp:effectExtent l="0" t="0" r="9525" b="0"/>
                            <wp:docPr id="2003185540" name="圖表 2003185540">
                              <a:extLst xmlns:a="http://schemas.openxmlformats.org/drawingml/2006/main">
                                <a:ext uri="{FF2B5EF4-FFF2-40B4-BE49-F238E27FC236}">
                                  <a16:creationId xmlns:a16="http://schemas.microsoft.com/office/drawing/2014/main" id="{5975D963-DC54-4731-9E7D-658CEE1859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62AB7D56" w14:textId="04C71CA0" w:rsidR="008B567C" w:rsidRPr="00585F63" w:rsidRDefault="008B567C" w:rsidP="008B567C">
                      <w:pPr>
                        <w:rPr>
                          <w:rFonts w:ascii="標楷體" w:eastAsia="標楷體" w:hAnsi="標楷體"/>
                          <w:sz w:val="18"/>
                          <w:szCs w:val="18"/>
                        </w:rPr>
                      </w:pPr>
                      <w:r w:rsidRPr="00585F63">
                        <w:rPr>
                          <w:rFonts w:ascii="標楷體" w:eastAsia="標楷體" w:hAnsi="標楷體" w:hint="eastAsia"/>
                          <w:sz w:val="18"/>
                          <w:szCs w:val="18"/>
                        </w:rPr>
                        <w:t>資料來源：整理自地政局</w:t>
                      </w:r>
                      <w:r w:rsidR="00CB7F03">
                        <w:rPr>
                          <w:rFonts w:ascii="標楷體" w:eastAsia="標楷體" w:hAnsi="標楷體" w:hint="eastAsia"/>
                          <w:sz w:val="18"/>
                          <w:szCs w:val="18"/>
                        </w:rPr>
                        <w:t>提供</w:t>
                      </w:r>
                      <w:r w:rsidRPr="00585F63">
                        <w:rPr>
                          <w:rFonts w:ascii="標楷體" w:eastAsia="標楷體" w:hAnsi="標楷體" w:hint="eastAsia"/>
                          <w:sz w:val="18"/>
                          <w:szCs w:val="18"/>
                        </w:rPr>
                        <w:t>資料。</w:t>
                      </w:r>
                    </w:p>
                  </w:txbxContent>
                </v:textbox>
                <w10:wrap type="square" anchorx="margin"/>
              </v:shape>
            </w:pict>
          </mc:Fallback>
        </mc:AlternateContent>
      </w:r>
      <w:r>
        <w:rPr>
          <w:rFonts w:ascii="標楷體" w:eastAsia="標楷體" w:hAnsi="標楷體" w:hint="eastAsia"/>
          <w:color w:val="000000" w:themeColor="text1"/>
        </w:rPr>
        <w:t>地政</w:t>
      </w:r>
      <w:r w:rsidRPr="00CC6EC3">
        <w:rPr>
          <w:rFonts w:ascii="標楷體" w:eastAsia="標楷體" w:hAnsi="標楷體" w:hint="eastAsia"/>
          <w:color w:val="000000" w:themeColor="text1"/>
        </w:rPr>
        <w:t>局於1</w:t>
      </w:r>
      <w:r w:rsidRPr="00CC6EC3">
        <w:rPr>
          <w:rFonts w:ascii="標楷體" w:eastAsia="標楷體" w:hAnsi="標楷體"/>
          <w:color w:val="000000" w:themeColor="text1"/>
        </w:rPr>
        <w:t>07</w:t>
      </w:r>
      <w:r w:rsidRPr="00CC6EC3">
        <w:rPr>
          <w:rFonts w:ascii="標楷體" w:eastAsia="標楷體" w:hAnsi="標楷體" w:hint="eastAsia"/>
          <w:color w:val="000000" w:themeColor="text1"/>
        </w:rPr>
        <w:t>年3月建置</w:t>
      </w:r>
      <w:proofErr w:type="gramStart"/>
      <w:r w:rsidRPr="00CC6EC3">
        <w:rPr>
          <w:rFonts w:ascii="標楷體" w:eastAsia="標楷體" w:hAnsi="標楷體" w:hint="eastAsia"/>
          <w:color w:val="000000" w:themeColor="text1"/>
        </w:rPr>
        <w:t>臺</w:t>
      </w:r>
      <w:proofErr w:type="gramEnd"/>
      <w:r w:rsidRPr="00CC6EC3">
        <w:rPr>
          <w:rFonts w:ascii="標楷體" w:eastAsia="標楷體" w:hAnsi="標楷體" w:hint="eastAsia"/>
          <w:color w:val="000000" w:themeColor="text1"/>
        </w:rPr>
        <w:t>北智慧地所服務系統（下稱智慧地所），為全國首創不動產登記及測量</w:t>
      </w:r>
      <w:proofErr w:type="gramStart"/>
      <w:r w:rsidRPr="00CC6EC3">
        <w:rPr>
          <w:rFonts w:ascii="標楷體" w:eastAsia="標楷體" w:hAnsi="標楷體" w:hint="eastAsia"/>
          <w:color w:val="000000" w:themeColor="text1"/>
        </w:rPr>
        <w:t>案件線上申辦</w:t>
      </w:r>
      <w:proofErr w:type="gramEnd"/>
      <w:r w:rsidRPr="00CC6EC3">
        <w:rPr>
          <w:rFonts w:ascii="標楷體" w:eastAsia="標楷體" w:hAnsi="標楷體" w:hint="eastAsia"/>
          <w:color w:val="000000" w:themeColor="text1"/>
        </w:rPr>
        <w:t>平</w:t>
      </w:r>
      <w:proofErr w:type="gramStart"/>
      <w:r w:rsidRPr="00CC6EC3">
        <w:rPr>
          <w:rFonts w:ascii="標楷體" w:eastAsia="標楷體" w:hAnsi="標楷體" w:hint="eastAsia"/>
          <w:color w:val="000000" w:themeColor="text1"/>
        </w:rPr>
        <w:t>臺</w:t>
      </w:r>
      <w:proofErr w:type="gramEnd"/>
      <w:r w:rsidRPr="00CC6EC3">
        <w:rPr>
          <w:rFonts w:ascii="標楷體" w:eastAsia="標楷體" w:hAnsi="標楷體" w:hint="eastAsia"/>
          <w:color w:val="000000" w:themeColor="text1"/>
        </w:rPr>
        <w:t>，</w:t>
      </w:r>
      <w:proofErr w:type="gramStart"/>
      <w:r w:rsidRPr="00CC6EC3">
        <w:rPr>
          <w:rFonts w:ascii="標楷體" w:eastAsia="標楷體" w:hAnsi="標楷體" w:hint="eastAsia"/>
          <w:color w:val="000000" w:themeColor="text1"/>
        </w:rPr>
        <w:t>嗣</w:t>
      </w:r>
      <w:proofErr w:type="gramEnd"/>
      <w:r>
        <w:rPr>
          <w:rFonts w:ascii="標楷體" w:eastAsia="標楷體" w:hAnsi="標楷體" w:hint="eastAsia"/>
          <w:color w:val="000000" w:themeColor="text1"/>
        </w:rPr>
        <w:t>因</w:t>
      </w:r>
      <w:r w:rsidRPr="00CC6EC3">
        <w:rPr>
          <w:rFonts w:ascii="標楷體" w:eastAsia="標楷體" w:hAnsi="標楷體" w:hint="eastAsia"/>
          <w:color w:val="000000" w:themeColor="text1"/>
        </w:rPr>
        <w:t>內政部</w:t>
      </w:r>
      <w:r>
        <w:rPr>
          <w:rFonts w:ascii="標楷體" w:eastAsia="標楷體" w:hAnsi="標楷體" w:hint="eastAsia"/>
          <w:color w:val="000000" w:themeColor="text1"/>
        </w:rPr>
        <w:t>於</w:t>
      </w:r>
      <w:r w:rsidRPr="00CC6EC3">
        <w:rPr>
          <w:rFonts w:ascii="標楷體" w:eastAsia="標楷體" w:hAnsi="標楷體" w:hint="eastAsia"/>
          <w:color w:val="000000" w:themeColor="text1"/>
        </w:rPr>
        <w:t>109年3月建置全國版數位櫃</w:t>
      </w:r>
      <w:proofErr w:type="gramStart"/>
      <w:r w:rsidRPr="00CC6EC3">
        <w:rPr>
          <w:rFonts w:ascii="標楷體" w:eastAsia="標楷體" w:hAnsi="標楷體" w:hint="eastAsia"/>
          <w:color w:val="000000" w:themeColor="text1"/>
        </w:rPr>
        <w:t>臺</w:t>
      </w:r>
      <w:proofErr w:type="gramEnd"/>
      <w:r w:rsidRPr="00CC6EC3">
        <w:rPr>
          <w:rFonts w:ascii="標楷體" w:eastAsia="標楷體" w:hAnsi="標楷體" w:hint="eastAsia"/>
          <w:color w:val="000000" w:themeColor="text1"/>
        </w:rPr>
        <w:t>系統（下稱數位櫃</w:t>
      </w:r>
      <w:proofErr w:type="gramStart"/>
      <w:r w:rsidRPr="00CC6EC3">
        <w:rPr>
          <w:rFonts w:ascii="標楷體" w:eastAsia="標楷體" w:hAnsi="標楷體" w:hint="eastAsia"/>
          <w:color w:val="000000" w:themeColor="text1"/>
        </w:rPr>
        <w:t>臺</w:t>
      </w:r>
      <w:proofErr w:type="gramEnd"/>
      <w:r w:rsidRPr="00CC6EC3">
        <w:rPr>
          <w:rFonts w:ascii="標楷體" w:eastAsia="標楷體" w:hAnsi="標楷體" w:hint="eastAsia"/>
          <w:color w:val="000000" w:themeColor="text1"/>
        </w:rPr>
        <w:t>），為達整合政府軟體資源及有效開發利用之目標，智慧地所於113年7月12日正式下線，並運用數位櫃</w:t>
      </w:r>
      <w:proofErr w:type="gramStart"/>
      <w:r w:rsidRPr="00CC6EC3">
        <w:rPr>
          <w:rFonts w:ascii="標楷體" w:eastAsia="標楷體" w:hAnsi="標楷體" w:hint="eastAsia"/>
          <w:color w:val="000000" w:themeColor="text1"/>
        </w:rPr>
        <w:t>臺</w:t>
      </w:r>
      <w:proofErr w:type="gramEnd"/>
      <w:r w:rsidRPr="00CC6EC3">
        <w:rPr>
          <w:rFonts w:ascii="標楷體" w:eastAsia="標楷體" w:hAnsi="標楷體" w:hint="eastAsia"/>
          <w:color w:val="000000" w:themeColor="text1"/>
        </w:rPr>
        <w:t>持續推動網路申請土地登記及測量業務。經查</w:t>
      </w:r>
      <w:r>
        <w:rPr>
          <w:rFonts w:ascii="標楷體" w:eastAsia="標楷體" w:hAnsi="標楷體" w:hint="eastAsia"/>
          <w:color w:val="000000" w:themeColor="text1"/>
        </w:rPr>
        <w:t>該局</w:t>
      </w:r>
      <w:r w:rsidRPr="00CC6EC3">
        <w:rPr>
          <w:rFonts w:ascii="標楷體" w:eastAsia="標楷體" w:hAnsi="標楷體" w:hint="eastAsia"/>
          <w:color w:val="000000" w:themeColor="text1"/>
        </w:rPr>
        <w:t>受理申請土地登記案件數自1</w:t>
      </w:r>
      <w:r w:rsidRPr="00CC6EC3">
        <w:rPr>
          <w:rFonts w:ascii="標楷體" w:eastAsia="標楷體" w:hAnsi="標楷體"/>
          <w:color w:val="000000" w:themeColor="text1"/>
        </w:rPr>
        <w:t>11</w:t>
      </w:r>
      <w:r w:rsidRPr="00CC6EC3">
        <w:rPr>
          <w:rFonts w:ascii="標楷體" w:eastAsia="標楷體" w:hAnsi="標楷體" w:hint="eastAsia"/>
          <w:color w:val="000000" w:themeColor="text1"/>
        </w:rPr>
        <w:t>年之1</w:t>
      </w:r>
      <w:r w:rsidRPr="00CC6EC3">
        <w:rPr>
          <w:rFonts w:ascii="標楷體" w:eastAsia="標楷體" w:hAnsi="標楷體"/>
          <w:color w:val="000000" w:themeColor="text1"/>
        </w:rPr>
        <w:t>7</w:t>
      </w:r>
      <w:r w:rsidRPr="00CC6EC3">
        <w:rPr>
          <w:rFonts w:ascii="標楷體" w:eastAsia="標楷體" w:hAnsi="標楷體" w:hint="eastAsia"/>
          <w:color w:val="000000" w:themeColor="text1"/>
        </w:rPr>
        <w:t>8</w:t>
      </w:r>
      <w:r w:rsidRPr="00CC6EC3">
        <w:rPr>
          <w:rFonts w:ascii="標楷體" w:eastAsia="標楷體" w:hAnsi="標楷體"/>
          <w:color w:val="000000" w:themeColor="text1"/>
        </w:rPr>
        <w:t>,</w:t>
      </w:r>
      <w:r w:rsidRPr="00CC6EC3">
        <w:rPr>
          <w:rFonts w:ascii="標楷體" w:eastAsia="標楷體" w:hAnsi="標楷體" w:hint="eastAsia"/>
          <w:color w:val="000000" w:themeColor="text1"/>
        </w:rPr>
        <w:t>053件逐年成長至1</w:t>
      </w:r>
      <w:r w:rsidRPr="00CC6EC3">
        <w:rPr>
          <w:rFonts w:ascii="標楷體" w:eastAsia="標楷體" w:hAnsi="標楷體"/>
          <w:color w:val="000000" w:themeColor="text1"/>
        </w:rPr>
        <w:t>13</w:t>
      </w:r>
      <w:r w:rsidRPr="00CC6EC3">
        <w:rPr>
          <w:rFonts w:ascii="標楷體" w:eastAsia="標楷體" w:hAnsi="標楷體" w:hint="eastAsia"/>
          <w:color w:val="000000" w:themeColor="text1"/>
        </w:rPr>
        <w:t>年之2</w:t>
      </w:r>
      <w:r w:rsidRPr="00CC6EC3">
        <w:rPr>
          <w:rFonts w:ascii="標楷體" w:eastAsia="標楷體" w:hAnsi="標楷體"/>
          <w:color w:val="000000" w:themeColor="text1"/>
        </w:rPr>
        <w:t>43,387</w:t>
      </w:r>
      <w:r w:rsidRPr="00CC6EC3">
        <w:rPr>
          <w:rFonts w:ascii="標楷體" w:eastAsia="標楷體" w:hAnsi="標楷體" w:hint="eastAsia"/>
          <w:color w:val="000000" w:themeColor="text1"/>
        </w:rPr>
        <w:t>件，惟同期間</w:t>
      </w:r>
      <w:proofErr w:type="gramStart"/>
      <w:r w:rsidRPr="00CC6EC3">
        <w:rPr>
          <w:rFonts w:ascii="標楷體" w:eastAsia="標楷體" w:hAnsi="標楷體" w:hint="eastAsia"/>
          <w:color w:val="000000" w:themeColor="text1"/>
        </w:rPr>
        <w:t>採線上</w:t>
      </w:r>
      <w:proofErr w:type="gramEnd"/>
      <w:r w:rsidRPr="00CC6EC3">
        <w:rPr>
          <w:rFonts w:ascii="標楷體" w:eastAsia="標楷體" w:hAnsi="標楷體" w:hint="eastAsia"/>
          <w:color w:val="000000" w:themeColor="text1"/>
        </w:rPr>
        <w:t>申辦件數自4</w:t>
      </w:r>
      <w:r w:rsidRPr="00CC6EC3">
        <w:rPr>
          <w:rFonts w:ascii="標楷體" w:eastAsia="標楷體" w:hAnsi="標楷體"/>
          <w:color w:val="000000" w:themeColor="text1"/>
        </w:rPr>
        <w:t>,601</w:t>
      </w:r>
      <w:r w:rsidRPr="00CC6EC3">
        <w:rPr>
          <w:rFonts w:ascii="標楷體" w:eastAsia="標楷體" w:hAnsi="標楷體" w:hint="eastAsia"/>
          <w:color w:val="000000" w:themeColor="text1"/>
        </w:rPr>
        <w:t>件逐年下降</w:t>
      </w:r>
    </w:p>
    <w:p w14:paraId="3958C113" w14:textId="77777777" w:rsidR="00F834BF" w:rsidRDefault="008B567C" w:rsidP="00F834BF">
      <w:pPr>
        <w:spacing w:line="450" w:lineRule="exact"/>
        <w:jc w:val="both"/>
        <w:rPr>
          <w:rFonts w:ascii="標楷體" w:eastAsia="標楷體" w:hAnsi="標楷體"/>
          <w:color w:val="000000" w:themeColor="text1"/>
        </w:rPr>
      </w:pPr>
      <w:r w:rsidRPr="00CC6EC3">
        <w:rPr>
          <w:rFonts w:ascii="標楷體" w:eastAsia="標楷體" w:hAnsi="標楷體" w:hint="eastAsia"/>
          <w:color w:val="000000" w:themeColor="text1"/>
        </w:rPr>
        <w:t>至1</w:t>
      </w:r>
      <w:r w:rsidRPr="00CC6EC3">
        <w:rPr>
          <w:rFonts w:ascii="標楷體" w:eastAsia="標楷體" w:hAnsi="標楷體"/>
          <w:color w:val="000000" w:themeColor="text1"/>
        </w:rPr>
        <w:t>,293</w:t>
      </w:r>
      <w:r w:rsidRPr="00CC6EC3">
        <w:rPr>
          <w:rFonts w:ascii="標楷體" w:eastAsia="標楷體" w:hAnsi="標楷體" w:hint="eastAsia"/>
          <w:color w:val="000000" w:themeColor="text1"/>
        </w:rPr>
        <w:t>件（圖</w:t>
      </w:r>
      <w:r>
        <w:rPr>
          <w:rFonts w:ascii="標楷體" w:eastAsia="標楷體" w:hAnsi="標楷體" w:hint="eastAsia"/>
          <w:color w:val="000000" w:themeColor="text1"/>
        </w:rPr>
        <w:t>3）</w:t>
      </w:r>
      <w:r w:rsidRPr="00CC6EC3">
        <w:rPr>
          <w:rFonts w:ascii="標楷體" w:eastAsia="標楷體" w:hAnsi="標楷體" w:hint="eastAsia"/>
          <w:color w:val="000000" w:themeColor="text1"/>
        </w:rPr>
        <w:t>，</w:t>
      </w:r>
      <w:proofErr w:type="gramStart"/>
      <w:r w:rsidRPr="00CC6EC3">
        <w:rPr>
          <w:rFonts w:ascii="標楷體" w:eastAsia="標楷體" w:hAnsi="標楷體" w:hint="eastAsia"/>
          <w:color w:val="000000" w:themeColor="text1"/>
        </w:rPr>
        <w:t>線上申辦</w:t>
      </w:r>
      <w:proofErr w:type="gramEnd"/>
      <w:r w:rsidRPr="00CC6EC3">
        <w:rPr>
          <w:rFonts w:ascii="標楷體" w:eastAsia="標楷體" w:hAnsi="標楷體" w:hint="eastAsia"/>
          <w:color w:val="000000" w:themeColor="text1"/>
        </w:rPr>
        <w:t>占比自2</w:t>
      </w:r>
      <w:r w:rsidRPr="00CC6EC3">
        <w:rPr>
          <w:rFonts w:ascii="標楷體" w:eastAsia="標楷體" w:hAnsi="標楷體"/>
          <w:color w:val="000000" w:themeColor="text1"/>
        </w:rPr>
        <w:t>.58</w:t>
      </w:r>
      <w:r w:rsidRPr="00CC6EC3">
        <w:rPr>
          <w:rFonts w:ascii="標楷體" w:eastAsia="標楷體" w:hAnsi="標楷體" w:hint="eastAsia"/>
          <w:color w:val="000000" w:themeColor="text1"/>
        </w:rPr>
        <w:t>％下降至</w:t>
      </w:r>
      <w:r w:rsidRPr="00CC6EC3">
        <w:rPr>
          <w:rFonts w:ascii="標楷體" w:eastAsia="標楷體" w:hAnsi="標楷體"/>
          <w:color w:val="000000" w:themeColor="text1"/>
        </w:rPr>
        <w:t>0.53</w:t>
      </w:r>
      <w:r w:rsidRPr="00CC6EC3">
        <w:rPr>
          <w:rFonts w:ascii="標楷體" w:eastAsia="標楷體" w:hAnsi="標楷體" w:hint="eastAsia"/>
          <w:color w:val="000000" w:themeColor="text1"/>
        </w:rPr>
        <w:t>％；另受理申請測量案件數1</w:t>
      </w:r>
      <w:r w:rsidRPr="00CC6EC3">
        <w:rPr>
          <w:rFonts w:ascii="標楷體" w:eastAsia="標楷體" w:hAnsi="標楷體"/>
          <w:color w:val="000000" w:themeColor="text1"/>
        </w:rPr>
        <w:t>11</w:t>
      </w:r>
      <w:r w:rsidRPr="00CC6EC3">
        <w:rPr>
          <w:rFonts w:ascii="標楷體" w:eastAsia="標楷體" w:hAnsi="標楷體" w:hint="eastAsia"/>
          <w:color w:val="000000" w:themeColor="text1"/>
        </w:rPr>
        <w:t>至1</w:t>
      </w:r>
      <w:r w:rsidRPr="00CC6EC3">
        <w:rPr>
          <w:rFonts w:ascii="標楷體" w:eastAsia="標楷體" w:hAnsi="標楷體"/>
          <w:color w:val="000000" w:themeColor="text1"/>
        </w:rPr>
        <w:t>13</w:t>
      </w:r>
      <w:r w:rsidRPr="00CC6EC3">
        <w:rPr>
          <w:rFonts w:ascii="標楷體" w:eastAsia="標楷體" w:hAnsi="標楷體" w:hint="eastAsia"/>
          <w:color w:val="000000" w:themeColor="text1"/>
        </w:rPr>
        <w:t>年分別為3</w:t>
      </w:r>
      <w:r w:rsidRPr="00CC6EC3">
        <w:rPr>
          <w:rFonts w:ascii="標楷體" w:eastAsia="標楷體" w:hAnsi="標楷體"/>
          <w:color w:val="000000" w:themeColor="text1"/>
        </w:rPr>
        <w:t>1,846</w:t>
      </w:r>
      <w:r w:rsidRPr="00CC6EC3">
        <w:rPr>
          <w:rFonts w:ascii="標楷體" w:eastAsia="標楷體" w:hAnsi="標楷體" w:hint="eastAsia"/>
          <w:color w:val="000000" w:themeColor="text1"/>
        </w:rPr>
        <w:t>件、3</w:t>
      </w:r>
      <w:r w:rsidRPr="00CC6EC3">
        <w:rPr>
          <w:rFonts w:ascii="標楷體" w:eastAsia="標楷體" w:hAnsi="標楷體"/>
          <w:color w:val="000000" w:themeColor="text1"/>
        </w:rPr>
        <w:t>6,837</w:t>
      </w:r>
      <w:r w:rsidRPr="00CC6EC3">
        <w:rPr>
          <w:rFonts w:ascii="標楷體" w:eastAsia="標楷體" w:hAnsi="標楷體" w:hint="eastAsia"/>
          <w:color w:val="000000" w:themeColor="text1"/>
        </w:rPr>
        <w:t>件、2</w:t>
      </w:r>
      <w:r w:rsidRPr="00CC6EC3">
        <w:rPr>
          <w:rFonts w:ascii="標楷體" w:eastAsia="標楷體" w:hAnsi="標楷體"/>
          <w:color w:val="000000" w:themeColor="text1"/>
        </w:rPr>
        <w:t>9,125</w:t>
      </w:r>
      <w:r w:rsidRPr="00CC6EC3">
        <w:rPr>
          <w:rFonts w:ascii="標楷體" w:eastAsia="標楷體" w:hAnsi="標楷體" w:hint="eastAsia"/>
          <w:color w:val="000000" w:themeColor="text1"/>
        </w:rPr>
        <w:t>件，惟同</w:t>
      </w:r>
      <w:proofErr w:type="gramStart"/>
      <w:r w:rsidRPr="00CC6EC3">
        <w:rPr>
          <w:rFonts w:ascii="標楷體" w:eastAsia="標楷體" w:hAnsi="標楷體" w:hint="eastAsia"/>
          <w:color w:val="000000" w:themeColor="text1"/>
        </w:rPr>
        <w:t>期間線上申辦</w:t>
      </w:r>
      <w:proofErr w:type="gramEnd"/>
      <w:r w:rsidRPr="00CC6EC3">
        <w:rPr>
          <w:rFonts w:ascii="標楷體" w:eastAsia="標楷體" w:hAnsi="標楷體" w:hint="eastAsia"/>
          <w:color w:val="000000" w:themeColor="text1"/>
        </w:rPr>
        <w:t>件數分別為</w:t>
      </w:r>
      <w:r w:rsidRPr="00CC6EC3">
        <w:rPr>
          <w:rFonts w:ascii="標楷體" w:eastAsia="標楷體" w:hAnsi="標楷體"/>
          <w:color w:val="000000" w:themeColor="text1"/>
        </w:rPr>
        <w:t>5,466</w:t>
      </w:r>
      <w:r w:rsidRPr="00CC6EC3">
        <w:rPr>
          <w:rFonts w:ascii="標楷體" w:eastAsia="標楷體" w:hAnsi="標楷體" w:hint="eastAsia"/>
          <w:color w:val="000000" w:themeColor="text1"/>
        </w:rPr>
        <w:t>件、2</w:t>
      </w:r>
      <w:r w:rsidRPr="00CC6EC3">
        <w:rPr>
          <w:rFonts w:ascii="標楷體" w:eastAsia="標楷體" w:hAnsi="標楷體"/>
          <w:color w:val="000000" w:themeColor="text1"/>
        </w:rPr>
        <w:t>,811</w:t>
      </w:r>
      <w:r w:rsidRPr="00CC6EC3">
        <w:rPr>
          <w:rFonts w:ascii="標楷體" w:eastAsia="標楷體" w:hAnsi="標楷體" w:hint="eastAsia"/>
          <w:color w:val="000000" w:themeColor="text1"/>
        </w:rPr>
        <w:t>件、3</w:t>
      </w:r>
      <w:r w:rsidRPr="00CC6EC3">
        <w:rPr>
          <w:rFonts w:ascii="標楷體" w:eastAsia="標楷體" w:hAnsi="標楷體"/>
          <w:color w:val="000000" w:themeColor="text1"/>
        </w:rPr>
        <w:t>21</w:t>
      </w:r>
      <w:r w:rsidRPr="00CC6EC3">
        <w:rPr>
          <w:rFonts w:ascii="標楷體" w:eastAsia="標楷體" w:hAnsi="標楷體" w:hint="eastAsia"/>
          <w:color w:val="000000" w:themeColor="text1"/>
        </w:rPr>
        <w:t>件，呈逐年下降，</w:t>
      </w:r>
      <w:proofErr w:type="gramStart"/>
      <w:r w:rsidRPr="00CC6EC3">
        <w:rPr>
          <w:rFonts w:ascii="標楷體" w:eastAsia="標楷體" w:hAnsi="標楷體" w:hint="eastAsia"/>
          <w:color w:val="000000" w:themeColor="text1"/>
        </w:rPr>
        <w:t>線上申辦</w:t>
      </w:r>
      <w:proofErr w:type="gramEnd"/>
      <w:r w:rsidRPr="00CC6EC3">
        <w:rPr>
          <w:rFonts w:ascii="標楷體" w:eastAsia="標楷體" w:hAnsi="標楷體" w:hint="eastAsia"/>
          <w:color w:val="000000" w:themeColor="text1"/>
        </w:rPr>
        <w:t>占比自1</w:t>
      </w:r>
      <w:r w:rsidRPr="00CC6EC3">
        <w:rPr>
          <w:rFonts w:ascii="標楷體" w:eastAsia="標楷體" w:hAnsi="標楷體"/>
          <w:color w:val="000000" w:themeColor="text1"/>
        </w:rPr>
        <w:t>7</w:t>
      </w:r>
      <w:r w:rsidRPr="00CC6EC3">
        <w:rPr>
          <w:rFonts w:ascii="標楷體" w:eastAsia="標楷體" w:hAnsi="標楷體" w:hint="eastAsia"/>
          <w:color w:val="000000" w:themeColor="text1"/>
        </w:rPr>
        <w:t>.</w:t>
      </w:r>
      <w:r w:rsidRPr="00CC6EC3">
        <w:rPr>
          <w:rFonts w:ascii="標楷體" w:eastAsia="標楷體" w:hAnsi="標楷體"/>
          <w:color w:val="000000" w:themeColor="text1"/>
        </w:rPr>
        <w:t>16</w:t>
      </w:r>
      <w:r w:rsidRPr="00CC6EC3">
        <w:rPr>
          <w:rFonts w:ascii="標楷體" w:eastAsia="標楷體" w:hAnsi="標楷體" w:hint="eastAsia"/>
          <w:color w:val="000000" w:themeColor="text1"/>
        </w:rPr>
        <w:t>％下降至</w:t>
      </w:r>
      <w:r w:rsidRPr="00CC6EC3">
        <w:rPr>
          <w:rFonts w:ascii="標楷體" w:eastAsia="標楷體" w:hAnsi="標楷體"/>
          <w:color w:val="000000" w:themeColor="text1"/>
        </w:rPr>
        <w:t>1</w:t>
      </w:r>
      <w:r w:rsidRPr="00CC6EC3">
        <w:rPr>
          <w:rFonts w:ascii="標楷體" w:eastAsia="標楷體" w:hAnsi="標楷體" w:hint="eastAsia"/>
          <w:color w:val="000000" w:themeColor="text1"/>
        </w:rPr>
        <w:t>.</w:t>
      </w:r>
      <w:r w:rsidRPr="00CC6EC3">
        <w:rPr>
          <w:rFonts w:ascii="標楷體" w:eastAsia="標楷體" w:hAnsi="標楷體"/>
          <w:color w:val="000000" w:themeColor="text1"/>
        </w:rPr>
        <w:t>10</w:t>
      </w:r>
      <w:r w:rsidRPr="00CC6EC3">
        <w:rPr>
          <w:rFonts w:ascii="標楷體" w:eastAsia="標楷體" w:hAnsi="標楷體" w:hint="eastAsia"/>
          <w:color w:val="000000" w:themeColor="text1"/>
        </w:rPr>
        <w:t>％，兩項</w:t>
      </w:r>
      <w:proofErr w:type="gramStart"/>
      <w:r w:rsidRPr="00CC6EC3">
        <w:rPr>
          <w:rFonts w:ascii="標楷體" w:eastAsia="標楷體" w:hAnsi="標楷體" w:hint="eastAsia"/>
          <w:color w:val="000000" w:themeColor="text1"/>
        </w:rPr>
        <w:t>業務線上申辦</w:t>
      </w:r>
      <w:proofErr w:type="gramEnd"/>
      <w:r w:rsidRPr="00CC6EC3">
        <w:rPr>
          <w:rFonts w:ascii="標楷體" w:eastAsia="標楷體" w:hAnsi="標楷體" w:hint="eastAsia"/>
          <w:color w:val="000000" w:themeColor="text1"/>
        </w:rPr>
        <w:t>案件量於</w:t>
      </w:r>
      <w:proofErr w:type="gramStart"/>
      <w:r w:rsidRPr="00CC6EC3">
        <w:rPr>
          <w:rFonts w:ascii="標楷體" w:eastAsia="標楷體" w:hAnsi="標楷體" w:hint="eastAsia"/>
          <w:color w:val="000000" w:themeColor="text1"/>
        </w:rPr>
        <w:t>1</w:t>
      </w:r>
      <w:r w:rsidRPr="00CC6EC3">
        <w:rPr>
          <w:rFonts w:ascii="標楷體" w:eastAsia="標楷體" w:hAnsi="標楷體"/>
          <w:color w:val="000000" w:themeColor="text1"/>
        </w:rPr>
        <w:t>13</w:t>
      </w:r>
      <w:r w:rsidRPr="00CC6EC3">
        <w:rPr>
          <w:rFonts w:ascii="標楷體" w:eastAsia="標楷體" w:hAnsi="標楷體" w:hint="eastAsia"/>
          <w:color w:val="000000" w:themeColor="text1"/>
        </w:rPr>
        <w:t>年均有大幅</w:t>
      </w:r>
      <w:proofErr w:type="gramEnd"/>
      <w:r w:rsidRPr="00CC6EC3">
        <w:rPr>
          <w:rFonts w:ascii="標楷體" w:eastAsia="標楷體" w:hAnsi="標楷體" w:hint="eastAsia"/>
          <w:color w:val="000000" w:themeColor="text1"/>
        </w:rPr>
        <w:t>下滑情事，</w:t>
      </w:r>
      <w:r>
        <w:rPr>
          <w:rFonts w:ascii="標楷體" w:eastAsia="標楷體" w:hAnsi="標楷體" w:hint="eastAsia"/>
          <w:color w:val="000000" w:themeColor="text1"/>
        </w:rPr>
        <w:t>允應</w:t>
      </w:r>
      <w:r w:rsidRPr="00CC6EC3">
        <w:rPr>
          <w:rFonts w:ascii="標楷體" w:eastAsia="標楷體" w:hAnsi="標楷體" w:hint="eastAsia"/>
          <w:color w:val="000000" w:themeColor="text1"/>
        </w:rPr>
        <w:t>探究問題癥結</w:t>
      </w:r>
      <w:r>
        <w:rPr>
          <w:rFonts w:ascii="標楷體" w:eastAsia="標楷體" w:hAnsi="標楷體" w:hint="eastAsia"/>
          <w:color w:val="000000" w:themeColor="text1"/>
        </w:rPr>
        <w:t>據</w:t>
      </w:r>
    </w:p>
    <w:p w14:paraId="75F11BDE" w14:textId="61BD61AB" w:rsidR="008B567C" w:rsidRPr="006572E9" w:rsidRDefault="008B567C" w:rsidP="00F834BF">
      <w:pPr>
        <w:spacing w:line="460" w:lineRule="exact"/>
        <w:jc w:val="both"/>
        <w:rPr>
          <w:rFonts w:ascii="標楷體" w:eastAsia="標楷體" w:hAnsi="標楷體"/>
          <w:color w:val="000000" w:themeColor="text1"/>
        </w:rPr>
      </w:pPr>
      <w:proofErr w:type="gramStart"/>
      <w:r w:rsidRPr="00CC6EC3">
        <w:rPr>
          <w:rFonts w:ascii="標楷體" w:eastAsia="標楷體" w:hAnsi="標楷體" w:hint="eastAsia"/>
          <w:color w:val="000000" w:themeColor="text1"/>
        </w:rPr>
        <w:lastRenderedPageBreak/>
        <w:t>以妥謀善策</w:t>
      </w:r>
      <w:proofErr w:type="gramEnd"/>
      <w:r w:rsidRPr="00CC6EC3">
        <w:rPr>
          <w:rFonts w:ascii="標楷體" w:eastAsia="標楷體" w:hAnsi="標楷體" w:hint="eastAsia"/>
          <w:color w:val="000000" w:themeColor="text1"/>
        </w:rPr>
        <w:t>，並持續積極推廣數位櫃</w:t>
      </w:r>
      <w:proofErr w:type="gramStart"/>
      <w:r w:rsidRPr="00CC6EC3">
        <w:rPr>
          <w:rFonts w:ascii="標楷體" w:eastAsia="標楷體" w:hAnsi="標楷體" w:hint="eastAsia"/>
          <w:color w:val="000000" w:themeColor="text1"/>
        </w:rPr>
        <w:t>臺</w:t>
      </w:r>
      <w:proofErr w:type="gramEnd"/>
      <w:r w:rsidRPr="00CC6EC3">
        <w:rPr>
          <w:rFonts w:ascii="標楷體" w:eastAsia="標楷體" w:hAnsi="標楷體" w:hint="eastAsia"/>
          <w:color w:val="000000" w:themeColor="text1"/>
        </w:rPr>
        <w:t>服務，以提升網路申辦率</w:t>
      </w:r>
      <w:r>
        <w:rPr>
          <w:rFonts w:ascii="標楷體" w:eastAsia="標楷體" w:hAnsi="標楷體" w:hint="eastAsia"/>
          <w:color w:val="000000" w:themeColor="text1"/>
        </w:rPr>
        <w:t>，</w:t>
      </w:r>
      <w:r w:rsidRPr="00BA1DC3">
        <w:rPr>
          <w:rFonts w:ascii="標楷體" w:eastAsia="標楷體" w:hAnsi="標楷體" w:hint="eastAsia"/>
          <w:color w:val="000000" w:themeColor="text1"/>
        </w:rPr>
        <w:t>經函請</w:t>
      </w:r>
      <w:proofErr w:type="gramStart"/>
      <w:r>
        <w:rPr>
          <w:rFonts w:ascii="標楷體" w:eastAsia="標楷體" w:hAnsi="標楷體" w:hint="eastAsia"/>
          <w:color w:val="000000" w:themeColor="text1"/>
        </w:rPr>
        <w:t>研</w:t>
      </w:r>
      <w:proofErr w:type="gramEnd"/>
      <w:r>
        <w:rPr>
          <w:rFonts w:ascii="標楷體" w:eastAsia="標楷體" w:hAnsi="標楷體" w:hint="eastAsia"/>
          <w:color w:val="000000" w:themeColor="text1"/>
        </w:rPr>
        <w:t>謀</w:t>
      </w:r>
      <w:r w:rsidRPr="00BA1DC3">
        <w:rPr>
          <w:rFonts w:ascii="標楷體" w:eastAsia="標楷體" w:hAnsi="標楷體" w:hint="eastAsia"/>
          <w:color w:val="000000" w:themeColor="text1"/>
        </w:rPr>
        <w:t>改善</w:t>
      </w:r>
      <w:r w:rsidRPr="00CC6EC3">
        <w:rPr>
          <w:rFonts w:ascii="標楷體" w:eastAsia="標楷體" w:hAnsi="標楷體" w:hint="eastAsia"/>
          <w:color w:val="000000" w:themeColor="text1"/>
        </w:rPr>
        <w:t>。</w:t>
      </w:r>
      <w:r>
        <w:rPr>
          <w:rFonts w:ascii="標楷體" w:eastAsia="標楷體" w:hAnsi="標楷體" w:hint="eastAsia"/>
          <w:color w:val="000000" w:themeColor="text1"/>
        </w:rPr>
        <w:t>據復：</w:t>
      </w:r>
      <w:r w:rsidRPr="006572E9">
        <w:rPr>
          <w:rFonts w:ascii="標楷體" w:eastAsia="標楷體" w:hAnsi="標楷體" w:hint="eastAsia"/>
          <w:color w:val="000000" w:themeColor="text1"/>
        </w:rPr>
        <w:t>主</w:t>
      </w:r>
      <w:r>
        <w:rPr>
          <w:rFonts w:ascii="標楷體" w:eastAsia="標楷體" w:hAnsi="標楷體" w:hint="eastAsia"/>
          <w:color w:val="000000" w:themeColor="text1"/>
        </w:rPr>
        <w:t>要</w:t>
      </w:r>
      <w:r w:rsidRPr="006572E9">
        <w:rPr>
          <w:rFonts w:ascii="標楷體" w:eastAsia="標楷體" w:hAnsi="標楷體" w:hint="eastAsia"/>
          <w:color w:val="000000" w:themeColor="text1"/>
        </w:rPr>
        <w:t>係原智</w:t>
      </w:r>
      <w:r w:rsidRPr="006572E9">
        <w:rPr>
          <w:rFonts w:ascii="標楷體" w:eastAsia="標楷體" w:hAnsi="標楷體"/>
          <w:color w:val="000000" w:themeColor="text1"/>
        </w:rPr>
        <w:t>慧地所使用者尚需學習適應</w:t>
      </w:r>
      <w:r w:rsidRPr="006572E9">
        <w:rPr>
          <w:rFonts w:ascii="標楷體" w:eastAsia="標楷體" w:hAnsi="標楷體" w:hint="eastAsia"/>
          <w:color w:val="000000" w:themeColor="text1"/>
        </w:rPr>
        <w:t>，</w:t>
      </w:r>
      <w:proofErr w:type="gramStart"/>
      <w:r>
        <w:rPr>
          <w:rFonts w:ascii="標楷體" w:eastAsia="標楷體" w:hAnsi="標楷體" w:hint="eastAsia"/>
          <w:color w:val="000000" w:themeColor="text1"/>
        </w:rPr>
        <w:t>該局業</w:t>
      </w:r>
      <w:r w:rsidRPr="006572E9">
        <w:rPr>
          <w:rFonts w:ascii="標楷體" w:eastAsia="標楷體" w:hAnsi="標楷體" w:hint="eastAsia"/>
          <w:color w:val="000000" w:themeColor="text1"/>
        </w:rPr>
        <w:t>積極</w:t>
      </w:r>
      <w:proofErr w:type="gramEnd"/>
      <w:r w:rsidRPr="006572E9">
        <w:rPr>
          <w:rFonts w:ascii="標楷體" w:eastAsia="標楷體" w:hAnsi="標楷體" w:hint="eastAsia"/>
          <w:color w:val="000000" w:themeColor="text1"/>
        </w:rPr>
        <w:t>輔導使用者</w:t>
      </w:r>
      <w:r>
        <w:rPr>
          <w:rFonts w:ascii="標楷體" w:eastAsia="標楷體" w:hAnsi="標楷體" w:hint="eastAsia"/>
          <w:color w:val="000000" w:themeColor="text1"/>
        </w:rPr>
        <w:t>改</w:t>
      </w:r>
      <w:r w:rsidRPr="006572E9">
        <w:rPr>
          <w:rFonts w:ascii="標楷體" w:eastAsia="標楷體" w:hAnsi="標楷體" w:hint="eastAsia"/>
          <w:color w:val="000000" w:themeColor="text1"/>
        </w:rPr>
        <w:t>用數位櫃</w:t>
      </w:r>
      <w:proofErr w:type="gramStart"/>
      <w:r w:rsidRPr="006572E9">
        <w:rPr>
          <w:rFonts w:ascii="標楷體" w:eastAsia="標楷體" w:hAnsi="標楷體" w:hint="eastAsia"/>
          <w:color w:val="000000" w:themeColor="text1"/>
        </w:rPr>
        <w:t>臺</w:t>
      </w:r>
      <w:proofErr w:type="gramEnd"/>
      <w:r w:rsidRPr="006572E9">
        <w:rPr>
          <w:rFonts w:ascii="標楷體" w:eastAsia="標楷體" w:hAnsi="標楷體" w:hint="eastAsia"/>
          <w:color w:val="000000" w:themeColor="text1"/>
        </w:rPr>
        <w:t>，並鎖定送件量高之地政士進行操作教學與推廣，另將持續向內政部回饋過去建置與推動智慧地所經驗及使用者建議，以協助精進數位櫃</w:t>
      </w:r>
      <w:proofErr w:type="gramStart"/>
      <w:r w:rsidRPr="006572E9">
        <w:rPr>
          <w:rFonts w:ascii="標楷體" w:eastAsia="標楷體" w:hAnsi="標楷體" w:hint="eastAsia"/>
          <w:color w:val="000000" w:themeColor="text1"/>
        </w:rPr>
        <w:t>臺</w:t>
      </w:r>
      <w:proofErr w:type="gramEnd"/>
      <w:r w:rsidRPr="006572E9">
        <w:rPr>
          <w:rFonts w:ascii="標楷體" w:eastAsia="標楷體" w:hAnsi="標楷體" w:hint="eastAsia"/>
          <w:color w:val="000000" w:themeColor="text1"/>
        </w:rPr>
        <w:t>系統，提升網路申辦率。</w:t>
      </w:r>
    </w:p>
    <w:p w14:paraId="3DC71773" w14:textId="77777777" w:rsidR="008B567C" w:rsidRPr="00931B6A" w:rsidRDefault="008B567C" w:rsidP="00DF5F46">
      <w:pPr>
        <w:spacing w:beforeLines="50" w:before="180" w:line="500" w:lineRule="exact"/>
        <w:ind w:firstLineChars="100" w:firstLine="280"/>
        <w:jc w:val="both"/>
        <w:outlineLvl w:val="3"/>
        <w:rPr>
          <w:rFonts w:ascii="標楷體" w:eastAsia="標楷體"/>
          <w:b/>
          <w:sz w:val="28"/>
          <w:szCs w:val="28"/>
        </w:rPr>
      </w:pPr>
      <w:r w:rsidRPr="00905E7D">
        <w:rPr>
          <w:rFonts w:ascii="標楷體" w:eastAsia="標楷體" w:hint="eastAsia"/>
          <w:b/>
          <w:sz w:val="28"/>
          <w:szCs w:val="28"/>
        </w:rPr>
        <w:t>（</w:t>
      </w:r>
      <w:r>
        <w:rPr>
          <w:rFonts w:ascii="標楷體" w:eastAsia="標楷體" w:hint="eastAsia"/>
          <w:b/>
          <w:sz w:val="28"/>
          <w:szCs w:val="28"/>
        </w:rPr>
        <w:t>三</w:t>
      </w:r>
      <w:r w:rsidRPr="00905E7D">
        <w:rPr>
          <w:rFonts w:ascii="標楷體" w:eastAsia="標楷體" w:hint="eastAsia"/>
          <w:b/>
          <w:sz w:val="28"/>
          <w:szCs w:val="28"/>
        </w:rPr>
        <w:t>）</w:t>
      </w:r>
      <w:r w:rsidRPr="00D50D7F">
        <w:rPr>
          <w:rFonts w:ascii="標楷體" w:eastAsia="標楷體" w:hint="eastAsia"/>
          <w:b/>
          <w:sz w:val="28"/>
          <w:szCs w:val="28"/>
        </w:rPr>
        <w:t>提供多元支付方式便利民眾繳納地政規費，惟近</w:t>
      </w:r>
      <w:proofErr w:type="gramStart"/>
      <w:r w:rsidRPr="00D50D7F">
        <w:rPr>
          <w:rFonts w:ascii="標楷體" w:eastAsia="標楷體" w:hint="eastAsia"/>
          <w:b/>
          <w:sz w:val="28"/>
          <w:szCs w:val="28"/>
        </w:rPr>
        <w:t>3</w:t>
      </w:r>
      <w:proofErr w:type="gramEnd"/>
      <w:r w:rsidRPr="00D50D7F">
        <w:rPr>
          <w:rFonts w:ascii="標楷體" w:eastAsia="標楷體" w:hint="eastAsia"/>
          <w:b/>
          <w:sz w:val="28"/>
          <w:szCs w:val="28"/>
        </w:rPr>
        <w:t>年度</w:t>
      </w:r>
      <w:r>
        <w:rPr>
          <w:rFonts w:ascii="標楷體" w:eastAsia="標楷體" w:hint="eastAsia"/>
          <w:b/>
          <w:sz w:val="28"/>
          <w:szCs w:val="28"/>
        </w:rPr>
        <w:t>仍</w:t>
      </w:r>
      <w:r w:rsidRPr="00D50D7F">
        <w:rPr>
          <w:rFonts w:ascii="標楷體" w:eastAsia="標楷體" w:hint="eastAsia"/>
          <w:b/>
          <w:sz w:val="28"/>
          <w:szCs w:val="28"/>
        </w:rPr>
        <w:t>有逾七成案件以現金繳納，允宜</w:t>
      </w:r>
      <w:proofErr w:type="gramStart"/>
      <w:r w:rsidRPr="00D50D7F">
        <w:rPr>
          <w:rFonts w:ascii="標楷體" w:eastAsia="標楷體" w:hint="eastAsia"/>
          <w:b/>
          <w:sz w:val="28"/>
          <w:szCs w:val="28"/>
        </w:rPr>
        <w:t>研</w:t>
      </w:r>
      <w:proofErr w:type="gramEnd"/>
      <w:r w:rsidRPr="00D50D7F">
        <w:rPr>
          <w:rFonts w:ascii="標楷體" w:eastAsia="標楷體" w:hint="eastAsia"/>
          <w:b/>
          <w:sz w:val="28"/>
          <w:szCs w:val="28"/>
        </w:rPr>
        <w:t>析癥結據</w:t>
      </w:r>
      <w:proofErr w:type="gramStart"/>
      <w:r w:rsidRPr="00D50D7F">
        <w:rPr>
          <w:rFonts w:ascii="標楷體" w:eastAsia="標楷體" w:hint="eastAsia"/>
          <w:b/>
          <w:sz w:val="28"/>
          <w:szCs w:val="28"/>
        </w:rPr>
        <w:t>以妥謀善策，俾</w:t>
      </w:r>
      <w:proofErr w:type="gramEnd"/>
      <w:r w:rsidRPr="00D50D7F">
        <w:rPr>
          <w:rFonts w:ascii="標楷體" w:eastAsia="標楷體" w:hint="eastAsia"/>
          <w:b/>
          <w:sz w:val="28"/>
          <w:szCs w:val="28"/>
        </w:rPr>
        <w:t>有效持續推廣多元繳納服務，並營造安全、便利之支付環境</w:t>
      </w:r>
      <w:r>
        <w:rPr>
          <w:rFonts w:ascii="標楷體" w:eastAsia="標楷體" w:hint="eastAsia"/>
          <w:b/>
          <w:sz w:val="28"/>
          <w:szCs w:val="28"/>
        </w:rPr>
        <w:t>。</w:t>
      </w:r>
    </w:p>
    <w:p w14:paraId="19DB5DBD" w14:textId="2555DAB6" w:rsidR="008B567C" w:rsidRDefault="00F834BF" w:rsidP="002235B0">
      <w:pPr>
        <w:widowControl/>
        <w:overflowPunct w:val="0"/>
        <w:spacing w:beforeLines="20" w:before="72" w:line="460" w:lineRule="exact"/>
        <w:ind w:firstLineChars="150" w:firstLine="480"/>
        <w:contextualSpacing/>
        <w:jc w:val="both"/>
        <w:rPr>
          <w:rFonts w:ascii="標楷體" w:eastAsia="標楷體" w:hAnsi="標楷體" w:cs="標楷體"/>
        </w:rPr>
      </w:pPr>
      <w:r>
        <w:rPr>
          <w:rFonts w:ascii="標楷體" w:eastAsia="標楷體" w:hAnsi="標楷體" w:hint="eastAsia"/>
          <w:noProof/>
          <w:sz w:val="32"/>
          <w:szCs w:val="32"/>
        </w:rPr>
        <mc:AlternateContent>
          <mc:Choice Requires="wps">
            <w:drawing>
              <wp:anchor distT="0" distB="0" distL="114300" distR="114300" simplePos="0" relativeHeight="251675648" behindDoc="0" locked="0" layoutInCell="1" allowOverlap="1" wp14:anchorId="1F08B1EA" wp14:editId="7BD9C838">
                <wp:simplePos x="0" y="0"/>
                <wp:positionH relativeFrom="page">
                  <wp:posOffset>3782060</wp:posOffset>
                </wp:positionH>
                <wp:positionV relativeFrom="paragraph">
                  <wp:posOffset>2087245</wp:posOffset>
                </wp:positionV>
                <wp:extent cx="3727450" cy="2940050"/>
                <wp:effectExtent l="0" t="0" r="6350" b="0"/>
                <wp:wrapThrough wrapText="bothSides">
                  <wp:wrapPolygon edited="0">
                    <wp:start x="0" y="0"/>
                    <wp:lineTo x="0" y="21413"/>
                    <wp:lineTo x="21526" y="21413"/>
                    <wp:lineTo x="21526" y="0"/>
                    <wp:lineTo x="0" y="0"/>
                  </wp:wrapPolygon>
                </wp:wrapThrough>
                <wp:docPr id="16" name="文字方塊 16"/>
                <wp:cNvGraphicFramePr/>
                <a:graphic xmlns:a="http://schemas.openxmlformats.org/drawingml/2006/main">
                  <a:graphicData uri="http://schemas.microsoft.com/office/word/2010/wordprocessingShape">
                    <wps:wsp>
                      <wps:cNvSpPr txBox="1"/>
                      <wps:spPr>
                        <a:xfrm>
                          <a:off x="0" y="0"/>
                          <a:ext cx="3727450" cy="2940050"/>
                        </a:xfrm>
                        <a:prstGeom prst="rect">
                          <a:avLst/>
                        </a:prstGeom>
                        <a:solidFill>
                          <a:schemeClr val="lt1"/>
                        </a:solidFill>
                        <a:ln w="6350">
                          <a:noFill/>
                        </a:ln>
                      </wps:spPr>
                      <wps:txbx>
                        <w:txbxContent>
                          <w:p w14:paraId="3427EC9C" w14:textId="77777777" w:rsidR="008B567C" w:rsidRPr="00872259" w:rsidRDefault="008B567C" w:rsidP="008B567C">
                            <w:pPr>
                              <w:spacing w:line="340" w:lineRule="exact"/>
                              <w:ind w:rightChars="-1" w:right="-2" w:firstLineChars="450" w:firstLine="1081"/>
                              <w:rPr>
                                <w:rFonts w:ascii="標楷體" w:eastAsia="標楷體" w:hAnsi="標楷體"/>
                                <w:b/>
                              </w:rPr>
                            </w:pPr>
                            <w:r w:rsidRPr="00872259">
                              <w:rPr>
                                <w:rFonts w:ascii="標楷體" w:eastAsia="標楷體" w:hAnsi="標楷體" w:cs="新細明體" w:hint="eastAsia"/>
                                <w:b/>
                                <w:color w:val="000000"/>
                                <w:kern w:val="0"/>
                              </w:rPr>
                              <w:t xml:space="preserve">表1  </w:t>
                            </w:r>
                            <w:r>
                              <w:rPr>
                                <w:rFonts w:ascii="標楷體" w:eastAsia="標楷體" w:hAnsi="標楷體" w:cs="新細明體" w:hint="eastAsia"/>
                                <w:b/>
                                <w:color w:val="000000"/>
                                <w:kern w:val="0"/>
                              </w:rPr>
                              <w:t>地政</w:t>
                            </w:r>
                            <w:r w:rsidRPr="00E9297B">
                              <w:rPr>
                                <w:rFonts w:ascii="標楷體" w:eastAsia="標楷體" w:hAnsi="標楷體" w:hint="eastAsia"/>
                                <w:b/>
                              </w:rPr>
                              <w:t>規費繳納</w:t>
                            </w:r>
                            <w:r>
                              <w:rPr>
                                <w:rFonts w:ascii="標楷體" w:eastAsia="標楷體" w:hAnsi="標楷體" w:hint="eastAsia"/>
                                <w:b/>
                              </w:rPr>
                              <w:t>方式</w:t>
                            </w:r>
                            <w:r w:rsidRPr="00E9297B">
                              <w:rPr>
                                <w:rFonts w:ascii="標楷體" w:eastAsia="標楷體" w:hAnsi="標楷體" w:hint="eastAsia"/>
                                <w:b/>
                              </w:rPr>
                              <w:t>統計</w:t>
                            </w:r>
                          </w:p>
                          <w:p w14:paraId="7AACFA7B" w14:textId="77777777" w:rsidR="008B567C" w:rsidRDefault="008B567C" w:rsidP="008B567C">
                            <w:pPr>
                              <w:ind w:rightChars="313" w:right="751" w:firstLineChars="1772" w:firstLine="3544"/>
                              <w:rPr>
                                <w:rFonts w:ascii="標楷體" w:eastAsia="標楷體" w:hAnsi="標楷體"/>
                                <w:sz w:val="20"/>
                              </w:rPr>
                            </w:pPr>
                            <w:r w:rsidRPr="00872259">
                              <w:rPr>
                                <w:rFonts w:ascii="標楷體" w:eastAsia="標楷體" w:hAnsi="標楷體" w:hint="eastAsia"/>
                                <w:sz w:val="20"/>
                              </w:rPr>
                              <w:t>單位：</w:t>
                            </w:r>
                            <w:r>
                              <w:rPr>
                                <w:rFonts w:ascii="標楷體" w:eastAsia="標楷體" w:hAnsi="標楷體" w:hint="eastAsia"/>
                                <w:sz w:val="20"/>
                              </w:rPr>
                              <w:t>件</w:t>
                            </w:r>
                            <w:r w:rsidRPr="00872259">
                              <w:rPr>
                                <w:rFonts w:ascii="標楷體" w:eastAsia="標楷體" w:hAnsi="標楷體" w:hint="eastAsia"/>
                                <w:sz w:val="20"/>
                              </w:rPr>
                              <w:t>、％</w:t>
                            </w:r>
                          </w:p>
                          <w:tbl>
                            <w:tblPr>
                              <w:tblW w:w="4032" w:type="pct"/>
                              <w:tblInd w:w="28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982"/>
                              <w:gridCol w:w="1415"/>
                              <w:gridCol w:w="1099"/>
                              <w:gridCol w:w="1005"/>
                            </w:tblGrid>
                            <w:tr w:rsidR="008B567C" w:rsidRPr="00872259" w14:paraId="45068A87" w14:textId="77777777" w:rsidTr="00824CD6">
                              <w:trPr>
                                <w:trHeight w:val="417"/>
                              </w:trPr>
                              <w:tc>
                                <w:tcPr>
                                  <w:tcW w:w="1091" w:type="pct"/>
                                  <w:tcBorders>
                                    <w:top w:val="single" w:sz="2" w:space="0" w:color="auto"/>
                                    <w:left w:val="single" w:sz="2" w:space="0" w:color="auto"/>
                                    <w:bottom w:val="single" w:sz="2" w:space="0" w:color="auto"/>
                                    <w:right w:val="single" w:sz="2" w:space="0" w:color="auto"/>
                                  </w:tcBorders>
                                  <w:vAlign w:val="center"/>
                                  <w:hideMark/>
                                </w:tcPr>
                                <w:p w14:paraId="59122A68" w14:textId="77777777" w:rsidR="008B567C" w:rsidRPr="00565CF2" w:rsidRDefault="008B567C" w:rsidP="00824CD6">
                                  <w:pPr>
                                    <w:widowControl/>
                                    <w:spacing w:line="320" w:lineRule="exact"/>
                                    <w:jc w:val="center"/>
                                    <w:rPr>
                                      <w:rFonts w:ascii="標楷體" w:eastAsia="標楷體" w:hAnsi="標楷體" w:cs="新細明體"/>
                                      <w:color w:val="000000"/>
                                      <w:kern w:val="0"/>
                                      <w:sz w:val="20"/>
                                      <w:szCs w:val="20"/>
                                    </w:rPr>
                                  </w:pPr>
                                  <w:r w:rsidRPr="00565CF2">
                                    <w:rPr>
                                      <w:rFonts w:ascii="標楷體" w:eastAsia="標楷體" w:hAnsi="標楷體" w:cs="新細明體" w:hint="eastAsia"/>
                                      <w:color w:val="000000"/>
                                      <w:kern w:val="0"/>
                                      <w:sz w:val="20"/>
                                      <w:szCs w:val="20"/>
                                    </w:rPr>
                                    <w:t>年度</w:t>
                                  </w:r>
                                </w:p>
                              </w:tc>
                              <w:tc>
                                <w:tcPr>
                                  <w:tcW w:w="1572" w:type="pct"/>
                                  <w:tcBorders>
                                    <w:top w:val="single" w:sz="2" w:space="0" w:color="auto"/>
                                    <w:left w:val="single" w:sz="2" w:space="0" w:color="auto"/>
                                    <w:bottom w:val="single" w:sz="2" w:space="0" w:color="auto"/>
                                    <w:right w:val="single" w:sz="2" w:space="0" w:color="auto"/>
                                  </w:tcBorders>
                                  <w:vAlign w:val="center"/>
                                  <w:hideMark/>
                                </w:tcPr>
                                <w:p w14:paraId="28F1BD03" w14:textId="77777777" w:rsidR="008B567C" w:rsidRPr="00D50D7F" w:rsidRDefault="008B567C" w:rsidP="00824CD6">
                                  <w:pPr>
                                    <w:widowControl/>
                                    <w:spacing w:line="320" w:lineRule="exact"/>
                                    <w:jc w:val="center"/>
                                    <w:rPr>
                                      <w:rFonts w:ascii="標楷體" w:eastAsia="標楷體" w:hAnsi="標楷體" w:cs="新細明體"/>
                                      <w:b/>
                                      <w:color w:val="000000"/>
                                      <w:kern w:val="0"/>
                                      <w:sz w:val="20"/>
                                      <w:szCs w:val="20"/>
                                    </w:rPr>
                                  </w:pPr>
                                  <w:r w:rsidRPr="00D50D7F">
                                    <w:rPr>
                                      <w:rFonts w:ascii="標楷體" w:eastAsia="標楷體" w:hAnsi="標楷體" w:cs="新細明體" w:hint="eastAsia"/>
                                      <w:color w:val="000000"/>
                                      <w:kern w:val="0"/>
                                      <w:sz w:val="20"/>
                                      <w:szCs w:val="20"/>
                                    </w:rPr>
                                    <w:t>支付方式</w:t>
                                  </w:r>
                                </w:p>
                              </w:tc>
                              <w:tc>
                                <w:tcPr>
                                  <w:tcW w:w="1221" w:type="pct"/>
                                  <w:tcBorders>
                                    <w:top w:val="single" w:sz="2" w:space="0" w:color="auto"/>
                                    <w:left w:val="single" w:sz="2" w:space="0" w:color="auto"/>
                                    <w:bottom w:val="single" w:sz="2" w:space="0" w:color="auto"/>
                                    <w:right w:val="single" w:sz="2" w:space="0" w:color="auto"/>
                                  </w:tcBorders>
                                  <w:vAlign w:val="center"/>
                                  <w:hideMark/>
                                </w:tcPr>
                                <w:p w14:paraId="5CECDEC6" w14:textId="77777777" w:rsidR="008B567C" w:rsidRPr="00D50D7F" w:rsidRDefault="008B567C" w:rsidP="00824CD6">
                                  <w:pPr>
                                    <w:widowControl/>
                                    <w:spacing w:line="320" w:lineRule="exact"/>
                                    <w:jc w:val="center"/>
                                    <w:rPr>
                                      <w:rFonts w:ascii="標楷體" w:eastAsia="標楷體" w:hAnsi="標楷體" w:cs="新細明體"/>
                                      <w:b/>
                                      <w:color w:val="000000"/>
                                      <w:kern w:val="0"/>
                                      <w:sz w:val="20"/>
                                      <w:szCs w:val="20"/>
                                    </w:rPr>
                                  </w:pPr>
                                  <w:r w:rsidRPr="00D50D7F">
                                    <w:rPr>
                                      <w:rFonts w:ascii="標楷體" w:eastAsia="標楷體" w:hAnsi="標楷體" w:cs="新細明體" w:hint="eastAsia"/>
                                      <w:color w:val="000000"/>
                                      <w:kern w:val="0"/>
                                      <w:sz w:val="20"/>
                                      <w:szCs w:val="20"/>
                                    </w:rPr>
                                    <w:t>件數</w:t>
                                  </w:r>
                                </w:p>
                              </w:tc>
                              <w:tc>
                                <w:tcPr>
                                  <w:tcW w:w="1116" w:type="pct"/>
                                  <w:tcBorders>
                                    <w:top w:val="single" w:sz="2" w:space="0" w:color="auto"/>
                                    <w:left w:val="single" w:sz="2" w:space="0" w:color="auto"/>
                                    <w:bottom w:val="single" w:sz="2" w:space="0" w:color="auto"/>
                                    <w:right w:val="single" w:sz="2" w:space="0" w:color="auto"/>
                                  </w:tcBorders>
                                  <w:vAlign w:val="center"/>
                                  <w:hideMark/>
                                </w:tcPr>
                                <w:p w14:paraId="062B4519" w14:textId="77777777" w:rsidR="008B567C" w:rsidRPr="00D50D7F" w:rsidRDefault="008B567C" w:rsidP="00824CD6">
                                  <w:pPr>
                                    <w:widowControl/>
                                    <w:spacing w:line="320" w:lineRule="exact"/>
                                    <w:jc w:val="center"/>
                                    <w:rPr>
                                      <w:rFonts w:ascii="標楷體" w:eastAsia="標楷體" w:hAnsi="標楷體" w:cs="新細明體"/>
                                      <w:b/>
                                      <w:color w:val="000000"/>
                                      <w:kern w:val="0"/>
                                      <w:sz w:val="20"/>
                                      <w:szCs w:val="20"/>
                                    </w:rPr>
                                  </w:pPr>
                                  <w:r w:rsidRPr="00D50D7F">
                                    <w:rPr>
                                      <w:rFonts w:ascii="標楷體" w:eastAsia="標楷體" w:hAnsi="標楷體" w:cs="新細明體" w:hint="eastAsia"/>
                                      <w:color w:val="000000"/>
                                      <w:kern w:val="0"/>
                                      <w:sz w:val="20"/>
                                      <w:szCs w:val="20"/>
                                    </w:rPr>
                                    <w:t>比率</w:t>
                                  </w:r>
                                </w:p>
                              </w:tc>
                            </w:tr>
                            <w:tr w:rsidR="008B567C" w:rsidRPr="00872259" w14:paraId="145912B1" w14:textId="77777777" w:rsidTr="00824CD6">
                              <w:trPr>
                                <w:trHeight w:val="291"/>
                              </w:trPr>
                              <w:tc>
                                <w:tcPr>
                                  <w:tcW w:w="1091" w:type="pct"/>
                                  <w:vMerge w:val="restart"/>
                                  <w:tcBorders>
                                    <w:top w:val="single" w:sz="2" w:space="0" w:color="auto"/>
                                    <w:left w:val="single" w:sz="2" w:space="0" w:color="auto"/>
                                    <w:right w:val="single" w:sz="2" w:space="0" w:color="auto"/>
                                  </w:tcBorders>
                                  <w:vAlign w:val="center"/>
                                </w:tcPr>
                                <w:p w14:paraId="26FD2A98" w14:textId="77777777" w:rsidR="008B567C" w:rsidRPr="00945AA6" w:rsidRDefault="008B567C" w:rsidP="00824CD6">
                                  <w:pPr>
                                    <w:widowControl/>
                                    <w:spacing w:line="320" w:lineRule="exact"/>
                                    <w:jc w:val="center"/>
                                    <w:rPr>
                                      <w:rFonts w:ascii="標楷體" w:eastAsia="標楷體" w:hAnsi="標楷體" w:cs="新細明體"/>
                                      <w:b/>
                                      <w:bCs/>
                                      <w:color w:val="000000"/>
                                      <w:kern w:val="0"/>
                                      <w:sz w:val="20"/>
                                      <w:szCs w:val="20"/>
                                    </w:rPr>
                                  </w:pPr>
                                  <w:r w:rsidRPr="00945AA6">
                                    <w:rPr>
                                      <w:rFonts w:ascii="標楷體" w:eastAsia="標楷體" w:hAnsi="標楷體" w:cs="新細明體" w:hint="eastAsia"/>
                                      <w:b/>
                                      <w:bCs/>
                                      <w:color w:val="000000"/>
                                      <w:kern w:val="0"/>
                                      <w:sz w:val="20"/>
                                      <w:szCs w:val="20"/>
                                    </w:rPr>
                                    <w:t>合計</w:t>
                                  </w:r>
                                </w:p>
                              </w:tc>
                              <w:tc>
                                <w:tcPr>
                                  <w:tcW w:w="1572" w:type="pct"/>
                                  <w:tcBorders>
                                    <w:top w:val="single" w:sz="2" w:space="0" w:color="auto"/>
                                    <w:left w:val="single" w:sz="2" w:space="0" w:color="auto"/>
                                    <w:bottom w:val="single" w:sz="2" w:space="0" w:color="auto"/>
                                    <w:right w:val="single" w:sz="2" w:space="0" w:color="auto"/>
                                  </w:tcBorders>
                                  <w:vAlign w:val="center"/>
                                </w:tcPr>
                                <w:p w14:paraId="5957E2FB"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b/>
                                      <w:color w:val="000000"/>
                                      <w:kern w:val="0"/>
                                      <w:sz w:val="20"/>
                                      <w:szCs w:val="20"/>
                                    </w:rPr>
                                    <w:t>現金</w:t>
                                  </w:r>
                                </w:p>
                              </w:tc>
                              <w:tc>
                                <w:tcPr>
                                  <w:tcW w:w="1221" w:type="pct"/>
                                  <w:tcBorders>
                                    <w:top w:val="single" w:sz="2" w:space="0" w:color="auto"/>
                                    <w:left w:val="single" w:sz="2" w:space="0" w:color="auto"/>
                                    <w:bottom w:val="single" w:sz="2" w:space="0" w:color="auto"/>
                                    <w:right w:val="single" w:sz="2" w:space="0" w:color="auto"/>
                                  </w:tcBorders>
                                  <w:vAlign w:val="center"/>
                                </w:tcPr>
                                <w:p w14:paraId="1BABA841"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b/>
                                      <w:color w:val="000000"/>
                                      <w:kern w:val="0"/>
                                      <w:sz w:val="20"/>
                                      <w:szCs w:val="20"/>
                                    </w:rPr>
                                    <w:t>3</w:t>
                                  </w:r>
                                  <w:r w:rsidRPr="00D50D7F">
                                    <w:rPr>
                                      <w:rFonts w:ascii="標楷體" w:eastAsia="標楷體" w:hAnsi="標楷體" w:cs="新細明體"/>
                                      <w:b/>
                                      <w:color w:val="000000"/>
                                      <w:kern w:val="0"/>
                                      <w:sz w:val="20"/>
                                      <w:szCs w:val="20"/>
                                    </w:rPr>
                                    <w:t>,755</w:t>
                                  </w:r>
                                </w:p>
                              </w:tc>
                              <w:tc>
                                <w:tcPr>
                                  <w:tcW w:w="1116" w:type="pct"/>
                                  <w:tcBorders>
                                    <w:top w:val="single" w:sz="2" w:space="0" w:color="auto"/>
                                    <w:left w:val="single" w:sz="2" w:space="0" w:color="auto"/>
                                    <w:bottom w:val="single" w:sz="2" w:space="0" w:color="auto"/>
                                    <w:right w:val="single" w:sz="2" w:space="0" w:color="auto"/>
                                  </w:tcBorders>
                                  <w:vAlign w:val="center"/>
                                </w:tcPr>
                                <w:p w14:paraId="23627CC3"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b/>
                                      <w:color w:val="000000"/>
                                      <w:kern w:val="0"/>
                                      <w:sz w:val="20"/>
                                      <w:szCs w:val="20"/>
                                    </w:rPr>
                                    <w:t>8</w:t>
                                  </w:r>
                                  <w:r w:rsidRPr="00D50D7F">
                                    <w:rPr>
                                      <w:rFonts w:ascii="標楷體" w:eastAsia="標楷體" w:hAnsi="標楷體" w:cs="新細明體"/>
                                      <w:b/>
                                      <w:color w:val="000000"/>
                                      <w:kern w:val="0"/>
                                      <w:sz w:val="20"/>
                                      <w:szCs w:val="20"/>
                                    </w:rPr>
                                    <w:t>0.68</w:t>
                                  </w:r>
                                </w:p>
                              </w:tc>
                            </w:tr>
                            <w:tr w:rsidR="008B567C" w:rsidRPr="00872259" w14:paraId="6EBF530F" w14:textId="77777777" w:rsidTr="00824CD6">
                              <w:trPr>
                                <w:trHeight w:val="291"/>
                              </w:trPr>
                              <w:tc>
                                <w:tcPr>
                                  <w:tcW w:w="1091" w:type="pct"/>
                                  <w:vMerge/>
                                  <w:tcBorders>
                                    <w:left w:val="single" w:sz="2" w:space="0" w:color="auto"/>
                                    <w:bottom w:val="single" w:sz="2" w:space="0" w:color="auto"/>
                                    <w:right w:val="single" w:sz="2" w:space="0" w:color="auto"/>
                                  </w:tcBorders>
                                  <w:vAlign w:val="center"/>
                                </w:tcPr>
                                <w:p w14:paraId="382EDF93"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p>
                              </w:tc>
                              <w:tc>
                                <w:tcPr>
                                  <w:tcW w:w="1572" w:type="pct"/>
                                  <w:tcBorders>
                                    <w:top w:val="single" w:sz="2" w:space="0" w:color="auto"/>
                                    <w:left w:val="single" w:sz="2" w:space="0" w:color="auto"/>
                                    <w:bottom w:val="single" w:sz="2" w:space="0" w:color="auto"/>
                                    <w:right w:val="single" w:sz="2" w:space="0" w:color="auto"/>
                                  </w:tcBorders>
                                  <w:vAlign w:val="center"/>
                                </w:tcPr>
                                <w:p w14:paraId="7943EAFB"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b/>
                                      <w:color w:val="000000"/>
                                      <w:kern w:val="0"/>
                                      <w:sz w:val="20"/>
                                      <w:szCs w:val="20"/>
                                    </w:rPr>
                                    <w:t>非現金</w:t>
                                  </w:r>
                                </w:p>
                              </w:tc>
                              <w:tc>
                                <w:tcPr>
                                  <w:tcW w:w="1221" w:type="pct"/>
                                  <w:tcBorders>
                                    <w:top w:val="single" w:sz="2" w:space="0" w:color="auto"/>
                                    <w:left w:val="single" w:sz="2" w:space="0" w:color="auto"/>
                                    <w:bottom w:val="single" w:sz="2" w:space="0" w:color="auto"/>
                                    <w:right w:val="single" w:sz="2" w:space="0" w:color="auto"/>
                                  </w:tcBorders>
                                  <w:vAlign w:val="center"/>
                                </w:tcPr>
                                <w:p w14:paraId="3D9AA48E"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b/>
                                      <w:color w:val="000000"/>
                                      <w:kern w:val="0"/>
                                      <w:sz w:val="20"/>
                                      <w:szCs w:val="20"/>
                                    </w:rPr>
                                    <w:t>899</w:t>
                                  </w:r>
                                </w:p>
                              </w:tc>
                              <w:tc>
                                <w:tcPr>
                                  <w:tcW w:w="1116" w:type="pct"/>
                                  <w:tcBorders>
                                    <w:top w:val="single" w:sz="2" w:space="0" w:color="auto"/>
                                    <w:left w:val="single" w:sz="2" w:space="0" w:color="auto"/>
                                    <w:bottom w:val="single" w:sz="2" w:space="0" w:color="auto"/>
                                    <w:right w:val="single" w:sz="2" w:space="0" w:color="auto"/>
                                  </w:tcBorders>
                                  <w:vAlign w:val="center"/>
                                </w:tcPr>
                                <w:p w14:paraId="70A7C1B6"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b/>
                                      <w:color w:val="000000"/>
                                      <w:kern w:val="0"/>
                                      <w:sz w:val="20"/>
                                      <w:szCs w:val="20"/>
                                    </w:rPr>
                                    <w:t>19.32</w:t>
                                  </w:r>
                                </w:p>
                              </w:tc>
                            </w:tr>
                            <w:tr w:rsidR="008B567C" w:rsidRPr="00872259" w14:paraId="77166829" w14:textId="77777777" w:rsidTr="00824CD6">
                              <w:trPr>
                                <w:trHeight w:val="291"/>
                              </w:trPr>
                              <w:tc>
                                <w:tcPr>
                                  <w:tcW w:w="1091" w:type="pct"/>
                                  <w:vMerge w:val="restart"/>
                                  <w:tcBorders>
                                    <w:top w:val="single" w:sz="2" w:space="0" w:color="auto"/>
                                    <w:left w:val="single" w:sz="2" w:space="0" w:color="auto"/>
                                    <w:bottom w:val="single" w:sz="2" w:space="0" w:color="auto"/>
                                    <w:right w:val="single" w:sz="2" w:space="0" w:color="auto"/>
                                  </w:tcBorders>
                                  <w:vAlign w:val="center"/>
                                  <w:hideMark/>
                                </w:tcPr>
                                <w:p w14:paraId="3CE24EAD"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1</w:t>
                                  </w:r>
                                  <w:r w:rsidRPr="00D50D7F">
                                    <w:rPr>
                                      <w:rFonts w:ascii="標楷體" w:eastAsia="標楷體" w:hAnsi="標楷體" w:cs="新細明體"/>
                                      <w:color w:val="000000"/>
                                      <w:kern w:val="0"/>
                                      <w:sz w:val="20"/>
                                      <w:szCs w:val="20"/>
                                    </w:rPr>
                                    <w:t>11</w:t>
                                  </w:r>
                                </w:p>
                              </w:tc>
                              <w:tc>
                                <w:tcPr>
                                  <w:tcW w:w="1572" w:type="pct"/>
                                  <w:tcBorders>
                                    <w:top w:val="single" w:sz="2" w:space="0" w:color="auto"/>
                                    <w:left w:val="single" w:sz="2" w:space="0" w:color="auto"/>
                                    <w:bottom w:val="single" w:sz="2" w:space="0" w:color="auto"/>
                                    <w:right w:val="single" w:sz="2" w:space="0" w:color="auto"/>
                                  </w:tcBorders>
                                  <w:vAlign w:val="center"/>
                                  <w:hideMark/>
                                </w:tcPr>
                                <w:p w14:paraId="50F10FCC"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現金</w:t>
                                  </w:r>
                                </w:p>
                              </w:tc>
                              <w:tc>
                                <w:tcPr>
                                  <w:tcW w:w="1221" w:type="pct"/>
                                  <w:tcBorders>
                                    <w:top w:val="single" w:sz="2" w:space="0" w:color="auto"/>
                                    <w:left w:val="single" w:sz="2" w:space="0" w:color="auto"/>
                                    <w:bottom w:val="single" w:sz="2" w:space="0" w:color="auto"/>
                                    <w:right w:val="single" w:sz="2" w:space="0" w:color="auto"/>
                                  </w:tcBorders>
                                  <w:vAlign w:val="center"/>
                                  <w:hideMark/>
                                </w:tcPr>
                                <w:p w14:paraId="4AF7F3DA"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1,</w:t>
                                  </w:r>
                                  <w:r w:rsidRPr="00D50D7F">
                                    <w:rPr>
                                      <w:rFonts w:ascii="標楷體" w:eastAsia="標楷體" w:hAnsi="標楷體" w:cs="新細明體"/>
                                      <w:color w:val="000000"/>
                                      <w:kern w:val="0"/>
                                      <w:sz w:val="20"/>
                                      <w:szCs w:val="20"/>
                                    </w:rPr>
                                    <w:t>679</w:t>
                                  </w:r>
                                </w:p>
                              </w:tc>
                              <w:tc>
                                <w:tcPr>
                                  <w:tcW w:w="1116" w:type="pct"/>
                                  <w:tcBorders>
                                    <w:top w:val="single" w:sz="2" w:space="0" w:color="auto"/>
                                    <w:left w:val="single" w:sz="2" w:space="0" w:color="auto"/>
                                    <w:bottom w:val="single" w:sz="2" w:space="0" w:color="auto"/>
                                    <w:right w:val="single" w:sz="2" w:space="0" w:color="auto"/>
                                  </w:tcBorders>
                                  <w:vAlign w:val="center"/>
                                  <w:hideMark/>
                                </w:tcPr>
                                <w:p w14:paraId="2552DDDF"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8</w:t>
                                  </w:r>
                                  <w:r w:rsidRPr="00D50D7F">
                                    <w:rPr>
                                      <w:rFonts w:ascii="標楷體" w:eastAsia="標楷體" w:hAnsi="標楷體" w:cs="新細明體"/>
                                      <w:color w:val="000000"/>
                                      <w:kern w:val="0"/>
                                      <w:sz w:val="20"/>
                                      <w:szCs w:val="20"/>
                                    </w:rPr>
                                    <w:t>3.37</w:t>
                                  </w:r>
                                </w:p>
                              </w:tc>
                            </w:tr>
                            <w:tr w:rsidR="008B567C" w:rsidRPr="00872259" w14:paraId="33F43A2A" w14:textId="77777777" w:rsidTr="00824CD6">
                              <w:trPr>
                                <w:trHeight w:val="291"/>
                              </w:trPr>
                              <w:tc>
                                <w:tcPr>
                                  <w:tcW w:w="1091" w:type="pct"/>
                                  <w:vMerge/>
                                  <w:tcBorders>
                                    <w:top w:val="single" w:sz="2" w:space="0" w:color="auto"/>
                                    <w:left w:val="single" w:sz="2" w:space="0" w:color="auto"/>
                                    <w:bottom w:val="single" w:sz="2" w:space="0" w:color="auto"/>
                                    <w:right w:val="single" w:sz="2" w:space="0" w:color="auto"/>
                                  </w:tcBorders>
                                  <w:vAlign w:val="center"/>
                                  <w:hideMark/>
                                </w:tcPr>
                                <w:p w14:paraId="31A6D6EB" w14:textId="77777777" w:rsidR="008B567C" w:rsidRPr="00D50D7F" w:rsidRDefault="008B567C" w:rsidP="00824CD6">
                                  <w:pPr>
                                    <w:widowControl/>
                                    <w:spacing w:line="320" w:lineRule="exact"/>
                                    <w:rPr>
                                      <w:rFonts w:ascii="標楷體" w:eastAsia="標楷體" w:hAnsi="標楷體" w:cs="新細明體"/>
                                      <w:color w:val="000000"/>
                                      <w:kern w:val="0"/>
                                      <w:sz w:val="20"/>
                                      <w:szCs w:val="20"/>
                                    </w:rPr>
                                  </w:pPr>
                                </w:p>
                              </w:tc>
                              <w:tc>
                                <w:tcPr>
                                  <w:tcW w:w="1572" w:type="pct"/>
                                  <w:tcBorders>
                                    <w:top w:val="single" w:sz="2" w:space="0" w:color="auto"/>
                                    <w:left w:val="single" w:sz="2" w:space="0" w:color="auto"/>
                                    <w:bottom w:val="single" w:sz="2" w:space="0" w:color="auto"/>
                                    <w:right w:val="single" w:sz="2" w:space="0" w:color="auto"/>
                                  </w:tcBorders>
                                  <w:vAlign w:val="center"/>
                                </w:tcPr>
                                <w:p w14:paraId="688FD01B"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非現金</w:t>
                                  </w:r>
                                </w:p>
                              </w:tc>
                              <w:tc>
                                <w:tcPr>
                                  <w:tcW w:w="1221" w:type="pct"/>
                                  <w:tcBorders>
                                    <w:top w:val="single" w:sz="2" w:space="0" w:color="auto"/>
                                    <w:left w:val="single" w:sz="2" w:space="0" w:color="auto"/>
                                    <w:bottom w:val="single" w:sz="2" w:space="0" w:color="auto"/>
                                    <w:right w:val="single" w:sz="2" w:space="0" w:color="auto"/>
                                  </w:tcBorders>
                                  <w:vAlign w:val="center"/>
                                </w:tcPr>
                                <w:p w14:paraId="702F9ABC"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335</w:t>
                                  </w:r>
                                </w:p>
                              </w:tc>
                              <w:tc>
                                <w:tcPr>
                                  <w:tcW w:w="1116" w:type="pct"/>
                                  <w:tcBorders>
                                    <w:top w:val="single" w:sz="2" w:space="0" w:color="auto"/>
                                    <w:left w:val="single" w:sz="2" w:space="0" w:color="auto"/>
                                    <w:bottom w:val="single" w:sz="2" w:space="0" w:color="auto"/>
                                    <w:right w:val="single" w:sz="2" w:space="0" w:color="auto"/>
                                  </w:tcBorders>
                                  <w:vAlign w:val="center"/>
                                </w:tcPr>
                                <w:p w14:paraId="6D5012F5"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16.63</w:t>
                                  </w:r>
                                </w:p>
                              </w:tc>
                            </w:tr>
                            <w:tr w:rsidR="008B567C" w:rsidRPr="00872259" w14:paraId="0E79853D" w14:textId="77777777" w:rsidTr="00824CD6">
                              <w:trPr>
                                <w:trHeight w:val="291"/>
                              </w:trPr>
                              <w:tc>
                                <w:tcPr>
                                  <w:tcW w:w="1091" w:type="pct"/>
                                  <w:vMerge w:val="restart"/>
                                  <w:tcBorders>
                                    <w:top w:val="single" w:sz="2" w:space="0" w:color="auto"/>
                                    <w:left w:val="single" w:sz="2" w:space="0" w:color="auto"/>
                                    <w:bottom w:val="single" w:sz="2" w:space="0" w:color="auto"/>
                                    <w:right w:val="single" w:sz="2" w:space="0" w:color="auto"/>
                                  </w:tcBorders>
                                  <w:vAlign w:val="center"/>
                                  <w:hideMark/>
                                </w:tcPr>
                                <w:p w14:paraId="3B682C28"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1</w:t>
                                  </w:r>
                                  <w:r w:rsidRPr="00D50D7F">
                                    <w:rPr>
                                      <w:rFonts w:ascii="標楷體" w:eastAsia="標楷體" w:hAnsi="標楷體" w:cs="新細明體"/>
                                      <w:color w:val="000000"/>
                                      <w:kern w:val="0"/>
                                      <w:sz w:val="20"/>
                                      <w:szCs w:val="20"/>
                                    </w:rPr>
                                    <w:t>12</w:t>
                                  </w:r>
                                </w:p>
                              </w:tc>
                              <w:tc>
                                <w:tcPr>
                                  <w:tcW w:w="1572" w:type="pct"/>
                                  <w:tcBorders>
                                    <w:top w:val="single" w:sz="2" w:space="0" w:color="auto"/>
                                    <w:left w:val="single" w:sz="2" w:space="0" w:color="auto"/>
                                    <w:bottom w:val="single" w:sz="2" w:space="0" w:color="auto"/>
                                    <w:right w:val="single" w:sz="2" w:space="0" w:color="auto"/>
                                  </w:tcBorders>
                                  <w:vAlign w:val="center"/>
                                  <w:hideMark/>
                                </w:tcPr>
                                <w:p w14:paraId="2672DEA3"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現金</w:t>
                                  </w:r>
                                </w:p>
                              </w:tc>
                              <w:tc>
                                <w:tcPr>
                                  <w:tcW w:w="1221" w:type="pct"/>
                                  <w:tcBorders>
                                    <w:top w:val="single" w:sz="2" w:space="0" w:color="auto"/>
                                    <w:left w:val="single" w:sz="2" w:space="0" w:color="auto"/>
                                    <w:bottom w:val="single" w:sz="2" w:space="0" w:color="auto"/>
                                    <w:right w:val="single" w:sz="2" w:space="0" w:color="auto"/>
                                  </w:tcBorders>
                                  <w:vAlign w:val="center"/>
                                  <w:hideMark/>
                                </w:tcPr>
                                <w:p w14:paraId="1FD3E078"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8</w:t>
                                  </w:r>
                                  <w:r w:rsidRPr="00D50D7F">
                                    <w:rPr>
                                      <w:rFonts w:ascii="標楷體" w:eastAsia="標楷體" w:hAnsi="標楷體" w:cs="新細明體"/>
                                      <w:color w:val="000000"/>
                                      <w:kern w:val="0"/>
                                      <w:sz w:val="20"/>
                                      <w:szCs w:val="20"/>
                                    </w:rPr>
                                    <w:t>58</w:t>
                                  </w:r>
                                </w:p>
                              </w:tc>
                              <w:tc>
                                <w:tcPr>
                                  <w:tcW w:w="1116" w:type="pct"/>
                                  <w:tcBorders>
                                    <w:top w:val="single" w:sz="2" w:space="0" w:color="auto"/>
                                    <w:left w:val="single" w:sz="2" w:space="0" w:color="auto"/>
                                    <w:bottom w:val="single" w:sz="2" w:space="0" w:color="auto"/>
                                    <w:right w:val="single" w:sz="2" w:space="0" w:color="auto"/>
                                  </w:tcBorders>
                                  <w:vAlign w:val="center"/>
                                  <w:hideMark/>
                                </w:tcPr>
                                <w:p w14:paraId="1E57197D"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7</w:t>
                                  </w:r>
                                  <w:r w:rsidRPr="00D50D7F">
                                    <w:rPr>
                                      <w:rFonts w:ascii="標楷體" w:eastAsia="標楷體" w:hAnsi="標楷體" w:cs="新細明體"/>
                                      <w:color w:val="000000"/>
                                      <w:kern w:val="0"/>
                                      <w:sz w:val="20"/>
                                      <w:szCs w:val="20"/>
                                    </w:rPr>
                                    <w:t>2.16</w:t>
                                  </w:r>
                                </w:p>
                              </w:tc>
                            </w:tr>
                            <w:tr w:rsidR="008B567C" w:rsidRPr="00872259" w14:paraId="5F363636" w14:textId="77777777" w:rsidTr="00824CD6">
                              <w:trPr>
                                <w:trHeight w:val="291"/>
                              </w:trPr>
                              <w:tc>
                                <w:tcPr>
                                  <w:tcW w:w="1091" w:type="pct"/>
                                  <w:vMerge/>
                                  <w:tcBorders>
                                    <w:top w:val="single" w:sz="2" w:space="0" w:color="auto"/>
                                    <w:left w:val="single" w:sz="2" w:space="0" w:color="auto"/>
                                    <w:bottom w:val="single" w:sz="2" w:space="0" w:color="auto"/>
                                    <w:right w:val="single" w:sz="2" w:space="0" w:color="auto"/>
                                  </w:tcBorders>
                                  <w:vAlign w:val="center"/>
                                </w:tcPr>
                                <w:p w14:paraId="66F92ACF" w14:textId="77777777" w:rsidR="008B567C" w:rsidRPr="00D50D7F" w:rsidRDefault="008B567C" w:rsidP="00824CD6">
                                  <w:pPr>
                                    <w:widowControl/>
                                    <w:spacing w:line="320" w:lineRule="exact"/>
                                    <w:rPr>
                                      <w:rFonts w:ascii="標楷體" w:eastAsia="標楷體" w:hAnsi="標楷體" w:cs="新細明體"/>
                                      <w:color w:val="000000"/>
                                      <w:kern w:val="0"/>
                                      <w:sz w:val="20"/>
                                      <w:szCs w:val="20"/>
                                    </w:rPr>
                                  </w:pPr>
                                </w:p>
                              </w:tc>
                              <w:tc>
                                <w:tcPr>
                                  <w:tcW w:w="1572" w:type="pct"/>
                                  <w:tcBorders>
                                    <w:top w:val="single" w:sz="2" w:space="0" w:color="auto"/>
                                    <w:left w:val="single" w:sz="2" w:space="0" w:color="auto"/>
                                    <w:bottom w:val="single" w:sz="2" w:space="0" w:color="auto"/>
                                    <w:right w:val="single" w:sz="2" w:space="0" w:color="auto"/>
                                  </w:tcBorders>
                                  <w:vAlign w:val="center"/>
                                </w:tcPr>
                                <w:p w14:paraId="7FEC2322" w14:textId="77777777" w:rsidR="008B567C" w:rsidRPr="00D50D7F" w:rsidRDefault="008B567C" w:rsidP="00824CD6">
                                  <w:pPr>
                                    <w:widowControl/>
                                    <w:spacing w:line="320" w:lineRule="exact"/>
                                    <w:jc w:val="center"/>
                                    <w:rPr>
                                      <w:rFonts w:ascii="標楷體" w:eastAsia="標楷體" w:hAnsi="標楷體" w:cs="新細明體"/>
                                      <w:bCs/>
                                      <w:color w:val="000000"/>
                                      <w:kern w:val="0"/>
                                      <w:sz w:val="20"/>
                                      <w:szCs w:val="20"/>
                                    </w:rPr>
                                  </w:pPr>
                                  <w:r w:rsidRPr="00D50D7F">
                                    <w:rPr>
                                      <w:rFonts w:ascii="標楷體" w:eastAsia="標楷體" w:hAnsi="標楷體" w:cs="新細明體" w:hint="eastAsia"/>
                                      <w:color w:val="000000"/>
                                      <w:kern w:val="0"/>
                                      <w:sz w:val="20"/>
                                      <w:szCs w:val="20"/>
                                    </w:rPr>
                                    <w:t>非現金</w:t>
                                  </w:r>
                                </w:p>
                              </w:tc>
                              <w:tc>
                                <w:tcPr>
                                  <w:tcW w:w="1221" w:type="pct"/>
                                  <w:tcBorders>
                                    <w:top w:val="single" w:sz="2" w:space="0" w:color="auto"/>
                                    <w:left w:val="single" w:sz="2" w:space="0" w:color="auto"/>
                                    <w:bottom w:val="single" w:sz="2" w:space="0" w:color="auto"/>
                                    <w:right w:val="single" w:sz="2" w:space="0" w:color="auto"/>
                                  </w:tcBorders>
                                  <w:vAlign w:val="center"/>
                                </w:tcPr>
                                <w:p w14:paraId="210CCAB0" w14:textId="77777777" w:rsidR="008B567C" w:rsidRPr="00D50D7F" w:rsidRDefault="008B567C" w:rsidP="00824CD6">
                                  <w:pPr>
                                    <w:widowControl/>
                                    <w:spacing w:line="320" w:lineRule="exact"/>
                                    <w:jc w:val="right"/>
                                    <w:rPr>
                                      <w:rFonts w:ascii="標楷體" w:eastAsia="標楷體" w:hAnsi="標楷體" w:cs="Calibri"/>
                                      <w:bCs/>
                                      <w:color w:val="000000"/>
                                      <w:kern w:val="0"/>
                                      <w:sz w:val="20"/>
                                      <w:szCs w:val="20"/>
                                    </w:rPr>
                                  </w:pPr>
                                  <w:r w:rsidRPr="00D50D7F">
                                    <w:rPr>
                                      <w:rFonts w:ascii="標楷體" w:eastAsia="標楷體" w:hAnsi="標楷體" w:cs="新細明體" w:hint="eastAsia"/>
                                      <w:color w:val="000000"/>
                                      <w:kern w:val="0"/>
                                      <w:sz w:val="20"/>
                                      <w:szCs w:val="20"/>
                                    </w:rPr>
                                    <w:t>331</w:t>
                                  </w:r>
                                </w:p>
                              </w:tc>
                              <w:tc>
                                <w:tcPr>
                                  <w:tcW w:w="1116" w:type="pct"/>
                                  <w:tcBorders>
                                    <w:top w:val="single" w:sz="2" w:space="0" w:color="auto"/>
                                    <w:left w:val="single" w:sz="2" w:space="0" w:color="auto"/>
                                    <w:bottom w:val="single" w:sz="2" w:space="0" w:color="auto"/>
                                    <w:right w:val="single" w:sz="2" w:space="0" w:color="auto"/>
                                  </w:tcBorders>
                                  <w:vAlign w:val="center"/>
                                </w:tcPr>
                                <w:p w14:paraId="02C874D1" w14:textId="77777777" w:rsidR="008B567C" w:rsidRPr="00D50D7F" w:rsidRDefault="008B567C" w:rsidP="00824CD6">
                                  <w:pPr>
                                    <w:widowControl/>
                                    <w:spacing w:line="320" w:lineRule="exact"/>
                                    <w:jc w:val="right"/>
                                    <w:rPr>
                                      <w:rFonts w:ascii="標楷體" w:eastAsia="標楷體" w:hAnsi="標楷體" w:cs="Calibri"/>
                                      <w:bCs/>
                                      <w:color w:val="000000"/>
                                      <w:kern w:val="0"/>
                                      <w:sz w:val="20"/>
                                      <w:szCs w:val="20"/>
                                    </w:rPr>
                                  </w:pPr>
                                  <w:r w:rsidRPr="00D50D7F">
                                    <w:rPr>
                                      <w:rFonts w:ascii="標楷體" w:eastAsia="標楷體" w:hAnsi="標楷體" w:cs="新細明體" w:hint="eastAsia"/>
                                      <w:color w:val="000000"/>
                                      <w:kern w:val="0"/>
                                      <w:sz w:val="20"/>
                                      <w:szCs w:val="20"/>
                                    </w:rPr>
                                    <w:t>27.84</w:t>
                                  </w:r>
                                </w:p>
                              </w:tc>
                            </w:tr>
                            <w:tr w:rsidR="008B567C" w:rsidRPr="00872259" w14:paraId="64BCCC9C" w14:textId="77777777" w:rsidTr="00824CD6">
                              <w:trPr>
                                <w:trHeight w:val="291"/>
                              </w:trPr>
                              <w:tc>
                                <w:tcPr>
                                  <w:tcW w:w="1091" w:type="pct"/>
                                  <w:vMerge w:val="restart"/>
                                  <w:tcBorders>
                                    <w:top w:val="single" w:sz="2" w:space="0" w:color="auto"/>
                                    <w:left w:val="single" w:sz="2" w:space="0" w:color="auto"/>
                                    <w:bottom w:val="single" w:sz="2" w:space="0" w:color="auto"/>
                                    <w:right w:val="single" w:sz="2" w:space="0" w:color="auto"/>
                                  </w:tcBorders>
                                  <w:vAlign w:val="center"/>
                                  <w:hideMark/>
                                </w:tcPr>
                                <w:p w14:paraId="3DCAAFFA"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1</w:t>
                                  </w:r>
                                  <w:r w:rsidRPr="00D50D7F">
                                    <w:rPr>
                                      <w:rFonts w:ascii="標楷體" w:eastAsia="標楷體" w:hAnsi="標楷體" w:cs="新細明體"/>
                                      <w:color w:val="000000"/>
                                      <w:kern w:val="0"/>
                                      <w:sz w:val="20"/>
                                      <w:szCs w:val="20"/>
                                    </w:rPr>
                                    <w:t>13</w:t>
                                  </w:r>
                                </w:p>
                              </w:tc>
                              <w:tc>
                                <w:tcPr>
                                  <w:tcW w:w="1572" w:type="pct"/>
                                  <w:tcBorders>
                                    <w:top w:val="single" w:sz="2" w:space="0" w:color="auto"/>
                                    <w:left w:val="single" w:sz="2" w:space="0" w:color="auto"/>
                                    <w:bottom w:val="single" w:sz="2" w:space="0" w:color="auto"/>
                                    <w:right w:val="single" w:sz="2" w:space="0" w:color="auto"/>
                                  </w:tcBorders>
                                  <w:vAlign w:val="center"/>
                                  <w:hideMark/>
                                </w:tcPr>
                                <w:p w14:paraId="23CDEC0E"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現金</w:t>
                                  </w:r>
                                </w:p>
                              </w:tc>
                              <w:tc>
                                <w:tcPr>
                                  <w:tcW w:w="1221" w:type="pct"/>
                                  <w:tcBorders>
                                    <w:top w:val="single" w:sz="2" w:space="0" w:color="auto"/>
                                    <w:left w:val="single" w:sz="2" w:space="0" w:color="auto"/>
                                    <w:bottom w:val="single" w:sz="2" w:space="0" w:color="auto"/>
                                    <w:right w:val="single" w:sz="2" w:space="0" w:color="auto"/>
                                  </w:tcBorders>
                                  <w:vAlign w:val="center"/>
                                  <w:hideMark/>
                                </w:tcPr>
                                <w:p w14:paraId="2DE58D95"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1</w:t>
                                  </w:r>
                                  <w:r w:rsidRPr="00D50D7F">
                                    <w:rPr>
                                      <w:rFonts w:ascii="標楷體" w:eastAsia="標楷體" w:hAnsi="標楷體" w:cs="新細明體"/>
                                      <w:color w:val="000000"/>
                                      <w:kern w:val="0"/>
                                      <w:sz w:val="20"/>
                                      <w:szCs w:val="20"/>
                                    </w:rPr>
                                    <w:t>,218</w:t>
                                  </w:r>
                                </w:p>
                              </w:tc>
                              <w:tc>
                                <w:tcPr>
                                  <w:tcW w:w="1116" w:type="pct"/>
                                  <w:tcBorders>
                                    <w:top w:val="single" w:sz="2" w:space="0" w:color="auto"/>
                                    <w:left w:val="single" w:sz="2" w:space="0" w:color="auto"/>
                                    <w:bottom w:val="single" w:sz="2" w:space="0" w:color="auto"/>
                                    <w:right w:val="single" w:sz="2" w:space="0" w:color="auto"/>
                                  </w:tcBorders>
                                  <w:vAlign w:val="center"/>
                                  <w:hideMark/>
                                </w:tcPr>
                                <w:p w14:paraId="5A756551"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8</w:t>
                                  </w:r>
                                  <w:r w:rsidRPr="00D50D7F">
                                    <w:rPr>
                                      <w:rFonts w:ascii="標楷體" w:eastAsia="標楷體" w:hAnsi="標楷體" w:cs="新細明體"/>
                                      <w:color w:val="000000"/>
                                      <w:kern w:val="0"/>
                                      <w:sz w:val="20"/>
                                      <w:szCs w:val="20"/>
                                    </w:rPr>
                                    <w:t>3.94</w:t>
                                  </w:r>
                                </w:p>
                              </w:tc>
                            </w:tr>
                            <w:tr w:rsidR="008B567C" w:rsidRPr="00872259" w14:paraId="70031310" w14:textId="77777777" w:rsidTr="00824CD6">
                              <w:trPr>
                                <w:trHeight w:val="291"/>
                              </w:trPr>
                              <w:tc>
                                <w:tcPr>
                                  <w:tcW w:w="1091" w:type="pct"/>
                                  <w:vMerge/>
                                  <w:tcBorders>
                                    <w:top w:val="single" w:sz="2" w:space="0" w:color="auto"/>
                                    <w:left w:val="single" w:sz="2" w:space="0" w:color="auto"/>
                                    <w:bottom w:val="single" w:sz="2" w:space="0" w:color="auto"/>
                                    <w:right w:val="single" w:sz="2" w:space="0" w:color="auto"/>
                                  </w:tcBorders>
                                  <w:vAlign w:val="center"/>
                                </w:tcPr>
                                <w:p w14:paraId="3A026400"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p>
                              </w:tc>
                              <w:tc>
                                <w:tcPr>
                                  <w:tcW w:w="1572" w:type="pct"/>
                                  <w:tcBorders>
                                    <w:top w:val="single" w:sz="2" w:space="0" w:color="auto"/>
                                    <w:left w:val="single" w:sz="2" w:space="0" w:color="auto"/>
                                    <w:bottom w:val="single" w:sz="2" w:space="0" w:color="auto"/>
                                    <w:right w:val="single" w:sz="2" w:space="0" w:color="auto"/>
                                  </w:tcBorders>
                                  <w:vAlign w:val="center"/>
                                </w:tcPr>
                                <w:p w14:paraId="08C319FD"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非現金</w:t>
                                  </w:r>
                                </w:p>
                              </w:tc>
                              <w:tc>
                                <w:tcPr>
                                  <w:tcW w:w="1221" w:type="pct"/>
                                  <w:tcBorders>
                                    <w:top w:val="single" w:sz="2" w:space="0" w:color="auto"/>
                                    <w:left w:val="single" w:sz="2" w:space="0" w:color="auto"/>
                                    <w:bottom w:val="single" w:sz="2" w:space="0" w:color="auto"/>
                                    <w:right w:val="single" w:sz="2" w:space="0" w:color="auto"/>
                                  </w:tcBorders>
                                  <w:vAlign w:val="center"/>
                                </w:tcPr>
                                <w:p w14:paraId="3FC8A50D"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233</w:t>
                                  </w:r>
                                </w:p>
                              </w:tc>
                              <w:tc>
                                <w:tcPr>
                                  <w:tcW w:w="1116" w:type="pct"/>
                                  <w:tcBorders>
                                    <w:top w:val="single" w:sz="2" w:space="0" w:color="auto"/>
                                    <w:left w:val="single" w:sz="2" w:space="0" w:color="auto"/>
                                    <w:bottom w:val="single" w:sz="2" w:space="0" w:color="auto"/>
                                    <w:right w:val="single" w:sz="2" w:space="0" w:color="auto"/>
                                  </w:tcBorders>
                                  <w:vAlign w:val="center"/>
                                </w:tcPr>
                                <w:p w14:paraId="0F70A8A9"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16.06</w:t>
                                  </w:r>
                                </w:p>
                              </w:tc>
                            </w:tr>
                          </w:tbl>
                          <w:p w14:paraId="40FF4B71" w14:textId="77777777" w:rsidR="008B567C" w:rsidRPr="00D50D7F" w:rsidRDefault="008B567C" w:rsidP="008B567C">
                            <w:pPr>
                              <w:spacing w:line="240" w:lineRule="exact"/>
                              <w:ind w:firstLineChars="200" w:firstLine="360"/>
                              <w:jc w:val="both"/>
                              <w:rPr>
                                <w:rFonts w:ascii="標楷體" w:eastAsia="標楷體" w:hAnsi="標楷體"/>
                                <w:sz w:val="18"/>
                                <w:szCs w:val="18"/>
                              </w:rPr>
                            </w:pPr>
                            <w:proofErr w:type="gramStart"/>
                            <w:r w:rsidRPr="00D50D7F">
                              <w:rPr>
                                <w:rFonts w:ascii="標楷體" w:eastAsia="標楷體" w:hAnsi="標楷體" w:hint="eastAsia"/>
                                <w:sz w:val="18"/>
                                <w:szCs w:val="18"/>
                              </w:rPr>
                              <w:t>註</w:t>
                            </w:r>
                            <w:proofErr w:type="gramEnd"/>
                            <w:r w:rsidRPr="00D50D7F">
                              <w:rPr>
                                <w:rFonts w:ascii="標楷體" w:eastAsia="標楷體" w:hAnsi="標楷體" w:hint="eastAsia"/>
                                <w:sz w:val="18"/>
                                <w:szCs w:val="18"/>
                              </w:rPr>
                              <w:t>：1.非現金支付方式包含匯款、支票、匯票、悠遊卡、</w:t>
                            </w:r>
                          </w:p>
                          <w:p w14:paraId="1CFE06FE" w14:textId="77777777" w:rsidR="008B567C" w:rsidRPr="00D50D7F" w:rsidRDefault="008B567C" w:rsidP="008B567C">
                            <w:pPr>
                              <w:spacing w:line="240" w:lineRule="exact"/>
                              <w:ind w:firstLineChars="500" w:firstLine="900"/>
                              <w:jc w:val="both"/>
                              <w:rPr>
                                <w:rFonts w:ascii="標楷體" w:eastAsia="標楷體" w:hAnsi="標楷體"/>
                                <w:sz w:val="18"/>
                                <w:szCs w:val="18"/>
                              </w:rPr>
                            </w:pPr>
                            <w:r w:rsidRPr="00D50D7F">
                              <w:rPr>
                                <w:rFonts w:ascii="標楷體" w:eastAsia="標楷體" w:hAnsi="標楷體" w:hint="eastAsia"/>
                                <w:sz w:val="18"/>
                                <w:szCs w:val="18"/>
                              </w:rPr>
                              <w:t>信用卡、晶片金融卡等。</w:t>
                            </w:r>
                          </w:p>
                          <w:p w14:paraId="585F090D" w14:textId="77777777" w:rsidR="008B567C" w:rsidRPr="00D50D7F" w:rsidRDefault="008B567C" w:rsidP="008B567C">
                            <w:pPr>
                              <w:spacing w:line="240" w:lineRule="exact"/>
                              <w:ind w:firstLineChars="400" w:firstLine="720"/>
                              <w:jc w:val="both"/>
                              <w:rPr>
                                <w:rFonts w:ascii="標楷體" w:eastAsia="標楷體" w:hAnsi="標楷體"/>
                                <w:sz w:val="18"/>
                                <w:szCs w:val="18"/>
                              </w:rPr>
                            </w:pPr>
                            <w:r w:rsidRPr="00D50D7F">
                              <w:rPr>
                                <w:rFonts w:ascii="標楷體" w:eastAsia="標楷體" w:hAnsi="標楷體" w:hint="eastAsia"/>
                                <w:sz w:val="18"/>
                                <w:szCs w:val="18"/>
                              </w:rPr>
                              <w:t>2.資料來源：整理自地政局提供資料。</w:t>
                            </w:r>
                          </w:p>
                          <w:p w14:paraId="50EB1C33" w14:textId="77777777" w:rsidR="008B567C" w:rsidRPr="00872259" w:rsidRDefault="008B567C" w:rsidP="008B567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8B1EA" id="文字方塊 16" o:spid="_x0000_s1146" type="#_x0000_t202" style="position:absolute;left:0;text-align:left;margin-left:297.8pt;margin-top:164.35pt;width:293.5pt;height:231.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" fillcolor="white [3201]" stroked="f" strokeweight=".5pt">
                <v:textbox>
                  <w:txbxContent>
                    <w:p w14:paraId="3427EC9C" w14:textId="77777777" w:rsidR="008B567C" w:rsidRPr="00872259" w:rsidRDefault="008B567C" w:rsidP="008B567C">
                      <w:pPr>
                        <w:spacing w:line="340" w:lineRule="exact"/>
                        <w:ind w:rightChars="-1" w:right="-2" w:firstLineChars="450" w:firstLine="1081"/>
                        <w:rPr>
                          <w:rFonts w:ascii="標楷體" w:eastAsia="標楷體" w:hAnsi="標楷體"/>
                          <w:b/>
                        </w:rPr>
                      </w:pPr>
                      <w:r w:rsidRPr="00872259">
                        <w:rPr>
                          <w:rFonts w:ascii="標楷體" w:eastAsia="標楷體" w:hAnsi="標楷體" w:cs="新細明體" w:hint="eastAsia"/>
                          <w:b/>
                          <w:color w:val="000000"/>
                          <w:kern w:val="0"/>
                        </w:rPr>
                        <w:t xml:space="preserve">表1  </w:t>
                      </w:r>
                      <w:r>
                        <w:rPr>
                          <w:rFonts w:ascii="標楷體" w:eastAsia="標楷體" w:hAnsi="標楷體" w:cs="新細明體" w:hint="eastAsia"/>
                          <w:b/>
                          <w:color w:val="000000"/>
                          <w:kern w:val="0"/>
                        </w:rPr>
                        <w:t>地政</w:t>
                      </w:r>
                      <w:r w:rsidRPr="00E9297B">
                        <w:rPr>
                          <w:rFonts w:ascii="標楷體" w:eastAsia="標楷體" w:hAnsi="標楷體" w:hint="eastAsia"/>
                          <w:b/>
                        </w:rPr>
                        <w:t>規費繳納</w:t>
                      </w:r>
                      <w:r>
                        <w:rPr>
                          <w:rFonts w:ascii="標楷體" w:eastAsia="標楷體" w:hAnsi="標楷體" w:hint="eastAsia"/>
                          <w:b/>
                        </w:rPr>
                        <w:t>方式</w:t>
                      </w:r>
                      <w:r w:rsidRPr="00E9297B">
                        <w:rPr>
                          <w:rFonts w:ascii="標楷體" w:eastAsia="標楷體" w:hAnsi="標楷體" w:hint="eastAsia"/>
                          <w:b/>
                        </w:rPr>
                        <w:t>統計</w:t>
                      </w:r>
                    </w:p>
                    <w:p w14:paraId="7AACFA7B" w14:textId="77777777" w:rsidR="008B567C" w:rsidRDefault="008B567C" w:rsidP="008B567C">
                      <w:pPr>
                        <w:ind w:rightChars="313" w:right="751" w:firstLineChars="1772" w:firstLine="3544"/>
                        <w:rPr>
                          <w:rFonts w:ascii="標楷體" w:eastAsia="標楷體" w:hAnsi="標楷體"/>
                          <w:sz w:val="20"/>
                        </w:rPr>
                      </w:pPr>
                      <w:r w:rsidRPr="00872259">
                        <w:rPr>
                          <w:rFonts w:ascii="標楷體" w:eastAsia="標楷體" w:hAnsi="標楷體" w:hint="eastAsia"/>
                          <w:sz w:val="20"/>
                        </w:rPr>
                        <w:t>單位：</w:t>
                      </w:r>
                      <w:r>
                        <w:rPr>
                          <w:rFonts w:ascii="標楷體" w:eastAsia="標楷體" w:hAnsi="標楷體" w:hint="eastAsia"/>
                          <w:sz w:val="20"/>
                        </w:rPr>
                        <w:t>件</w:t>
                      </w:r>
                      <w:r w:rsidRPr="00872259">
                        <w:rPr>
                          <w:rFonts w:ascii="標楷體" w:eastAsia="標楷體" w:hAnsi="標楷體" w:hint="eastAsia"/>
                          <w:sz w:val="20"/>
                        </w:rPr>
                        <w:t>、％</w:t>
                      </w:r>
                    </w:p>
                    <w:tbl>
                      <w:tblPr>
                        <w:tblW w:w="4032" w:type="pct"/>
                        <w:tblInd w:w="28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982"/>
                        <w:gridCol w:w="1415"/>
                        <w:gridCol w:w="1099"/>
                        <w:gridCol w:w="1005"/>
                      </w:tblGrid>
                      <w:tr w:rsidR="008B567C" w:rsidRPr="00872259" w14:paraId="45068A87" w14:textId="77777777" w:rsidTr="00824CD6">
                        <w:trPr>
                          <w:trHeight w:val="417"/>
                        </w:trPr>
                        <w:tc>
                          <w:tcPr>
                            <w:tcW w:w="1091" w:type="pct"/>
                            <w:tcBorders>
                              <w:top w:val="single" w:sz="2" w:space="0" w:color="auto"/>
                              <w:left w:val="single" w:sz="2" w:space="0" w:color="auto"/>
                              <w:bottom w:val="single" w:sz="2" w:space="0" w:color="auto"/>
                              <w:right w:val="single" w:sz="2" w:space="0" w:color="auto"/>
                            </w:tcBorders>
                            <w:vAlign w:val="center"/>
                            <w:hideMark/>
                          </w:tcPr>
                          <w:p w14:paraId="59122A68" w14:textId="77777777" w:rsidR="008B567C" w:rsidRPr="00565CF2" w:rsidRDefault="008B567C" w:rsidP="00824CD6">
                            <w:pPr>
                              <w:widowControl/>
                              <w:spacing w:line="320" w:lineRule="exact"/>
                              <w:jc w:val="center"/>
                              <w:rPr>
                                <w:rFonts w:ascii="標楷體" w:eastAsia="標楷體" w:hAnsi="標楷體" w:cs="新細明體"/>
                                <w:color w:val="000000"/>
                                <w:kern w:val="0"/>
                                <w:sz w:val="20"/>
                                <w:szCs w:val="20"/>
                              </w:rPr>
                            </w:pPr>
                            <w:r w:rsidRPr="00565CF2">
                              <w:rPr>
                                <w:rFonts w:ascii="標楷體" w:eastAsia="標楷體" w:hAnsi="標楷體" w:cs="新細明體" w:hint="eastAsia"/>
                                <w:color w:val="000000"/>
                                <w:kern w:val="0"/>
                                <w:sz w:val="20"/>
                                <w:szCs w:val="20"/>
                              </w:rPr>
                              <w:t>年度</w:t>
                            </w:r>
                          </w:p>
                        </w:tc>
                        <w:tc>
                          <w:tcPr>
                            <w:tcW w:w="1572" w:type="pct"/>
                            <w:tcBorders>
                              <w:top w:val="single" w:sz="2" w:space="0" w:color="auto"/>
                              <w:left w:val="single" w:sz="2" w:space="0" w:color="auto"/>
                              <w:bottom w:val="single" w:sz="2" w:space="0" w:color="auto"/>
                              <w:right w:val="single" w:sz="2" w:space="0" w:color="auto"/>
                            </w:tcBorders>
                            <w:vAlign w:val="center"/>
                            <w:hideMark/>
                          </w:tcPr>
                          <w:p w14:paraId="28F1BD03" w14:textId="77777777" w:rsidR="008B567C" w:rsidRPr="00D50D7F" w:rsidRDefault="008B567C" w:rsidP="00824CD6">
                            <w:pPr>
                              <w:widowControl/>
                              <w:spacing w:line="320" w:lineRule="exact"/>
                              <w:jc w:val="center"/>
                              <w:rPr>
                                <w:rFonts w:ascii="標楷體" w:eastAsia="標楷體" w:hAnsi="標楷體" w:cs="新細明體"/>
                                <w:b/>
                                <w:color w:val="000000"/>
                                <w:kern w:val="0"/>
                                <w:sz w:val="20"/>
                                <w:szCs w:val="20"/>
                              </w:rPr>
                            </w:pPr>
                            <w:r w:rsidRPr="00D50D7F">
                              <w:rPr>
                                <w:rFonts w:ascii="標楷體" w:eastAsia="標楷體" w:hAnsi="標楷體" w:cs="新細明體" w:hint="eastAsia"/>
                                <w:color w:val="000000"/>
                                <w:kern w:val="0"/>
                                <w:sz w:val="20"/>
                                <w:szCs w:val="20"/>
                              </w:rPr>
                              <w:t>支付方式</w:t>
                            </w:r>
                          </w:p>
                        </w:tc>
                        <w:tc>
                          <w:tcPr>
                            <w:tcW w:w="1221" w:type="pct"/>
                            <w:tcBorders>
                              <w:top w:val="single" w:sz="2" w:space="0" w:color="auto"/>
                              <w:left w:val="single" w:sz="2" w:space="0" w:color="auto"/>
                              <w:bottom w:val="single" w:sz="2" w:space="0" w:color="auto"/>
                              <w:right w:val="single" w:sz="2" w:space="0" w:color="auto"/>
                            </w:tcBorders>
                            <w:vAlign w:val="center"/>
                            <w:hideMark/>
                          </w:tcPr>
                          <w:p w14:paraId="5CECDEC6" w14:textId="77777777" w:rsidR="008B567C" w:rsidRPr="00D50D7F" w:rsidRDefault="008B567C" w:rsidP="00824CD6">
                            <w:pPr>
                              <w:widowControl/>
                              <w:spacing w:line="320" w:lineRule="exact"/>
                              <w:jc w:val="center"/>
                              <w:rPr>
                                <w:rFonts w:ascii="標楷體" w:eastAsia="標楷體" w:hAnsi="標楷體" w:cs="新細明體"/>
                                <w:b/>
                                <w:color w:val="000000"/>
                                <w:kern w:val="0"/>
                                <w:sz w:val="20"/>
                                <w:szCs w:val="20"/>
                              </w:rPr>
                            </w:pPr>
                            <w:r w:rsidRPr="00D50D7F">
                              <w:rPr>
                                <w:rFonts w:ascii="標楷體" w:eastAsia="標楷體" w:hAnsi="標楷體" w:cs="新細明體" w:hint="eastAsia"/>
                                <w:color w:val="000000"/>
                                <w:kern w:val="0"/>
                                <w:sz w:val="20"/>
                                <w:szCs w:val="20"/>
                              </w:rPr>
                              <w:t>件數</w:t>
                            </w:r>
                          </w:p>
                        </w:tc>
                        <w:tc>
                          <w:tcPr>
                            <w:tcW w:w="1116" w:type="pct"/>
                            <w:tcBorders>
                              <w:top w:val="single" w:sz="2" w:space="0" w:color="auto"/>
                              <w:left w:val="single" w:sz="2" w:space="0" w:color="auto"/>
                              <w:bottom w:val="single" w:sz="2" w:space="0" w:color="auto"/>
                              <w:right w:val="single" w:sz="2" w:space="0" w:color="auto"/>
                            </w:tcBorders>
                            <w:vAlign w:val="center"/>
                            <w:hideMark/>
                          </w:tcPr>
                          <w:p w14:paraId="062B4519" w14:textId="77777777" w:rsidR="008B567C" w:rsidRPr="00D50D7F" w:rsidRDefault="008B567C" w:rsidP="00824CD6">
                            <w:pPr>
                              <w:widowControl/>
                              <w:spacing w:line="320" w:lineRule="exact"/>
                              <w:jc w:val="center"/>
                              <w:rPr>
                                <w:rFonts w:ascii="標楷體" w:eastAsia="標楷體" w:hAnsi="標楷體" w:cs="新細明體"/>
                                <w:b/>
                                <w:color w:val="000000"/>
                                <w:kern w:val="0"/>
                                <w:sz w:val="20"/>
                                <w:szCs w:val="20"/>
                              </w:rPr>
                            </w:pPr>
                            <w:r w:rsidRPr="00D50D7F">
                              <w:rPr>
                                <w:rFonts w:ascii="標楷體" w:eastAsia="標楷體" w:hAnsi="標楷體" w:cs="新細明體" w:hint="eastAsia"/>
                                <w:color w:val="000000"/>
                                <w:kern w:val="0"/>
                                <w:sz w:val="20"/>
                                <w:szCs w:val="20"/>
                              </w:rPr>
                              <w:t>比率</w:t>
                            </w:r>
                          </w:p>
                        </w:tc>
                      </w:tr>
                      <w:tr w:rsidR="008B567C" w:rsidRPr="00872259" w14:paraId="145912B1" w14:textId="77777777" w:rsidTr="00824CD6">
                        <w:trPr>
                          <w:trHeight w:val="291"/>
                        </w:trPr>
                        <w:tc>
                          <w:tcPr>
                            <w:tcW w:w="1091" w:type="pct"/>
                            <w:vMerge w:val="restart"/>
                            <w:tcBorders>
                              <w:top w:val="single" w:sz="2" w:space="0" w:color="auto"/>
                              <w:left w:val="single" w:sz="2" w:space="0" w:color="auto"/>
                              <w:right w:val="single" w:sz="2" w:space="0" w:color="auto"/>
                            </w:tcBorders>
                            <w:vAlign w:val="center"/>
                          </w:tcPr>
                          <w:p w14:paraId="26FD2A98" w14:textId="77777777" w:rsidR="008B567C" w:rsidRPr="00945AA6" w:rsidRDefault="008B567C" w:rsidP="00824CD6">
                            <w:pPr>
                              <w:widowControl/>
                              <w:spacing w:line="320" w:lineRule="exact"/>
                              <w:jc w:val="center"/>
                              <w:rPr>
                                <w:rFonts w:ascii="標楷體" w:eastAsia="標楷體" w:hAnsi="標楷體" w:cs="新細明體"/>
                                <w:b/>
                                <w:bCs/>
                                <w:color w:val="000000"/>
                                <w:kern w:val="0"/>
                                <w:sz w:val="20"/>
                                <w:szCs w:val="20"/>
                              </w:rPr>
                            </w:pPr>
                            <w:r w:rsidRPr="00945AA6">
                              <w:rPr>
                                <w:rFonts w:ascii="標楷體" w:eastAsia="標楷體" w:hAnsi="標楷體" w:cs="新細明體" w:hint="eastAsia"/>
                                <w:b/>
                                <w:bCs/>
                                <w:color w:val="000000"/>
                                <w:kern w:val="0"/>
                                <w:sz w:val="20"/>
                                <w:szCs w:val="20"/>
                              </w:rPr>
                              <w:t>合計</w:t>
                            </w:r>
                          </w:p>
                        </w:tc>
                        <w:tc>
                          <w:tcPr>
                            <w:tcW w:w="1572" w:type="pct"/>
                            <w:tcBorders>
                              <w:top w:val="single" w:sz="2" w:space="0" w:color="auto"/>
                              <w:left w:val="single" w:sz="2" w:space="0" w:color="auto"/>
                              <w:bottom w:val="single" w:sz="2" w:space="0" w:color="auto"/>
                              <w:right w:val="single" w:sz="2" w:space="0" w:color="auto"/>
                            </w:tcBorders>
                            <w:vAlign w:val="center"/>
                          </w:tcPr>
                          <w:p w14:paraId="5957E2FB"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b/>
                                <w:color w:val="000000"/>
                                <w:kern w:val="0"/>
                                <w:sz w:val="20"/>
                                <w:szCs w:val="20"/>
                              </w:rPr>
                              <w:t>現金</w:t>
                            </w:r>
                          </w:p>
                        </w:tc>
                        <w:tc>
                          <w:tcPr>
                            <w:tcW w:w="1221" w:type="pct"/>
                            <w:tcBorders>
                              <w:top w:val="single" w:sz="2" w:space="0" w:color="auto"/>
                              <w:left w:val="single" w:sz="2" w:space="0" w:color="auto"/>
                              <w:bottom w:val="single" w:sz="2" w:space="0" w:color="auto"/>
                              <w:right w:val="single" w:sz="2" w:space="0" w:color="auto"/>
                            </w:tcBorders>
                            <w:vAlign w:val="center"/>
                          </w:tcPr>
                          <w:p w14:paraId="1BABA841"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b/>
                                <w:color w:val="000000"/>
                                <w:kern w:val="0"/>
                                <w:sz w:val="20"/>
                                <w:szCs w:val="20"/>
                              </w:rPr>
                              <w:t>3</w:t>
                            </w:r>
                            <w:r w:rsidRPr="00D50D7F">
                              <w:rPr>
                                <w:rFonts w:ascii="標楷體" w:eastAsia="標楷體" w:hAnsi="標楷體" w:cs="新細明體"/>
                                <w:b/>
                                <w:color w:val="000000"/>
                                <w:kern w:val="0"/>
                                <w:sz w:val="20"/>
                                <w:szCs w:val="20"/>
                              </w:rPr>
                              <w:t>,755</w:t>
                            </w:r>
                          </w:p>
                        </w:tc>
                        <w:tc>
                          <w:tcPr>
                            <w:tcW w:w="1116" w:type="pct"/>
                            <w:tcBorders>
                              <w:top w:val="single" w:sz="2" w:space="0" w:color="auto"/>
                              <w:left w:val="single" w:sz="2" w:space="0" w:color="auto"/>
                              <w:bottom w:val="single" w:sz="2" w:space="0" w:color="auto"/>
                              <w:right w:val="single" w:sz="2" w:space="0" w:color="auto"/>
                            </w:tcBorders>
                            <w:vAlign w:val="center"/>
                          </w:tcPr>
                          <w:p w14:paraId="23627CC3"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b/>
                                <w:color w:val="000000"/>
                                <w:kern w:val="0"/>
                                <w:sz w:val="20"/>
                                <w:szCs w:val="20"/>
                              </w:rPr>
                              <w:t>8</w:t>
                            </w:r>
                            <w:r w:rsidRPr="00D50D7F">
                              <w:rPr>
                                <w:rFonts w:ascii="標楷體" w:eastAsia="標楷體" w:hAnsi="標楷體" w:cs="新細明體"/>
                                <w:b/>
                                <w:color w:val="000000"/>
                                <w:kern w:val="0"/>
                                <w:sz w:val="20"/>
                                <w:szCs w:val="20"/>
                              </w:rPr>
                              <w:t>0.68</w:t>
                            </w:r>
                          </w:p>
                        </w:tc>
                      </w:tr>
                      <w:tr w:rsidR="008B567C" w:rsidRPr="00872259" w14:paraId="6EBF530F" w14:textId="77777777" w:rsidTr="00824CD6">
                        <w:trPr>
                          <w:trHeight w:val="291"/>
                        </w:trPr>
                        <w:tc>
                          <w:tcPr>
                            <w:tcW w:w="1091" w:type="pct"/>
                            <w:vMerge/>
                            <w:tcBorders>
                              <w:left w:val="single" w:sz="2" w:space="0" w:color="auto"/>
                              <w:bottom w:val="single" w:sz="2" w:space="0" w:color="auto"/>
                              <w:right w:val="single" w:sz="2" w:space="0" w:color="auto"/>
                            </w:tcBorders>
                            <w:vAlign w:val="center"/>
                          </w:tcPr>
                          <w:p w14:paraId="382EDF93"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p>
                        </w:tc>
                        <w:tc>
                          <w:tcPr>
                            <w:tcW w:w="1572" w:type="pct"/>
                            <w:tcBorders>
                              <w:top w:val="single" w:sz="2" w:space="0" w:color="auto"/>
                              <w:left w:val="single" w:sz="2" w:space="0" w:color="auto"/>
                              <w:bottom w:val="single" w:sz="2" w:space="0" w:color="auto"/>
                              <w:right w:val="single" w:sz="2" w:space="0" w:color="auto"/>
                            </w:tcBorders>
                            <w:vAlign w:val="center"/>
                          </w:tcPr>
                          <w:p w14:paraId="7943EAFB"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b/>
                                <w:color w:val="000000"/>
                                <w:kern w:val="0"/>
                                <w:sz w:val="20"/>
                                <w:szCs w:val="20"/>
                              </w:rPr>
                              <w:t>非現金</w:t>
                            </w:r>
                          </w:p>
                        </w:tc>
                        <w:tc>
                          <w:tcPr>
                            <w:tcW w:w="1221" w:type="pct"/>
                            <w:tcBorders>
                              <w:top w:val="single" w:sz="2" w:space="0" w:color="auto"/>
                              <w:left w:val="single" w:sz="2" w:space="0" w:color="auto"/>
                              <w:bottom w:val="single" w:sz="2" w:space="0" w:color="auto"/>
                              <w:right w:val="single" w:sz="2" w:space="0" w:color="auto"/>
                            </w:tcBorders>
                            <w:vAlign w:val="center"/>
                          </w:tcPr>
                          <w:p w14:paraId="3D9AA48E"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b/>
                                <w:color w:val="000000"/>
                                <w:kern w:val="0"/>
                                <w:sz w:val="20"/>
                                <w:szCs w:val="20"/>
                              </w:rPr>
                              <w:t>899</w:t>
                            </w:r>
                          </w:p>
                        </w:tc>
                        <w:tc>
                          <w:tcPr>
                            <w:tcW w:w="1116" w:type="pct"/>
                            <w:tcBorders>
                              <w:top w:val="single" w:sz="2" w:space="0" w:color="auto"/>
                              <w:left w:val="single" w:sz="2" w:space="0" w:color="auto"/>
                              <w:bottom w:val="single" w:sz="2" w:space="0" w:color="auto"/>
                              <w:right w:val="single" w:sz="2" w:space="0" w:color="auto"/>
                            </w:tcBorders>
                            <w:vAlign w:val="center"/>
                          </w:tcPr>
                          <w:p w14:paraId="70A7C1B6"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b/>
                                <w:color w:val="000000"/>
                                <w:kern w:val="0"/>
                                <w:sz w:val="20"/>
                                <w:szCs w:val="20"/>
                              </w:rPr>
                              <w:t>19.32</w:t>
                            </w:r>
                          </w:p>
                        </w:tc>
                      </w:tr>
                      <w:tr w:rsidR="008B567C" w:rsidRPr="00872259" w14:paraId="77166829" w14:textId="77777777" w:rsidTr="00824CD6">
                        <w:trPr>
                          <w:trHeight w:val="291"/>
                        </w:trPr>
                        <w:tc>
                          <w:tcPr>
                            <w:tcW w:w="1091" w:type="pct"/>
                            <w:vMerge w:val="restart"/>
                            <w:tcBorders>
                              <w:top w:val="single" w:sz="2" w:space="0" w:color="auto"/>
                              <w:left w:val="single" w:sz="2" w:space="0" w:color="auto"/>
                              <w:bottom w:val="single" w:sz="2" w:space="0" w:color="auto"/>
                              <w:right w:val="single" w:sz="2" w:space="0" w:color="auto"/>
                            </w:tcBorders>
                            <w:vAlign w:val="center"/>
                            <w:hideMark/>
                          </w:tcPr>
                          <w:p w14:paraId="3CE24EAD"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1</w:t>
                            </w:r>
                            <w:r w:rsidRPr="00D50D7F">
                              <w:rPr>
                                <w:rFonts w:ascii="標楷體" w:eastAsia="標楷體" w:hAnsi="標楷體" w:cs="新細明體"/>
                                <w:color w:val="000000"/>
                                <w:kern w:val="0"/>
                                <w:sz w:val="20"/>
                                <w:szCs w:val="20"/>
                              </w:rPr>
                              <w:t>11</w:t>
                            </w:r>
                          </w:p>
                        </w:tc>
                        <w:tc>
                          <w:tcPr>
                            <w:tcW w:w="1572" w:type="pct"/>
                            <w:tcBorders>
                              <w:top w:val="single" w:sz="2" w:space="0" w:color="auto"/>
                              <w:left w:val="single" w:sz="2" w:space="0" w:color="auto"/>
                              <w:bottom w:val="single" w:sz="2" w:space="0" w:color="auto"/>
                              <w:right w:val="single" w:sz="2" w:space="0" w:color="auto"/>
                            </w:tcBorders>
                            <w:vAlign w:val="center"/>
                            <w:hideMark/>
                          </w:tcPr>
                          <w:p w14:paraId="50F10FCC"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現金</w:t>
                            </w:r>
                          </w:p>
                        </w:tc>
                        <w:tc>
                          <w:tcPr>
                            <w:tcW w:w="1221" w:type="pct"/>
                            <w:tcBorders>
                              <w:top w:val="single" w:sz="2" w:space="0" w:color="auto"/>
                              <w:left w:val="single" w:sz="2" w:space="0" w:color="auto"/>
                              <w:bottom w:val="single" w:sz="2" w:space="0" w:color="auto"/>
                              <w:right w:val="single" w:sz="2" w:space="0" w:color="auto"/>
                            </w:tcBorders>
                            <w:vAlign w:val="center"/>
                            <w:hideMark/>
                          </w:tcPr>
                          <w:p w14:paraId="4AF7F3DA"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1,</w:t>
                            </w:r>
                            <w:r w:rsidRPr="00D50D7F">
                              <w:rPr>
                                <w:rFonts w:ascii="標楷體" w:eastAsia="標楷體" w:hAnsi="標楷體" w:cs="新細明體"/>
                                <w:color w:val="000000"/>
                                <w:kern w:val="0"/>
                                <w:sz w:val="20"/>
                                <w:szCs w:val="20"/>
                              </w:rPr>
                              <w:t>679</w:t>
                            </w:r>
                          </w:p>
                        </w:tc>
                        <w:tc>
                          <w:tcPr>
                            <w:tcW w:w="1116" w:type="pct"/>
                            <w:tcBorders>
                              <w:top w:val="single" w:sz="2" w:space="0" w:color="auto"/>
                              <w:left w:val="single" w:sz="2" w:space="0" w:color="auto"/>
                              <w:bottom w:val="single" w:sz="2" w:space="0" w:color="auto"/>
                              <w:right w:val="single" w:sz="2" w:space="0" w:color="auto"/>
                            </w:tcBorders>
                            <w:vAlign w:val="center"/>
                            <w:hideMark/>
                          </w:tcPr>
                          <w:p w14:paraId="2552DDDF"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8</w:t>
                            </w:r>
                            <w:r w:rsidRPr="00D50D7F">
                              <w:rPr>
                                <w:rFonts w:ascii="標楷體" w:eastAsia="標楷體" w:hAnsi="標楷體" w:cs="新細明體"/>
                                <w:color w:val="000000"/>
                                <w:kern w:val="0"/>
                                <w:sz w:val="20"/>
                                <w:szCs w:val="20"/>
                              </w:rPr>
                              <w:t>3.37</w:t>
                            </w:r>
                          </w:p>
                        </w:tc>
                      </w:tr>
                      <w:tr w:rsidR="008B567C" w:rsidRPr="00872259" w14:paraId="33F43A2A" w14:textId="77777777" w:rsidTr="00824CD6">
                        <w:trPr>
                          <w:trHeight w:val="291"/>
                        </w:trPr>
                        <w:tc>
                          <w:tcPr>
                            <w:tcW w:w="1091" w:type="pct"/>
                            <w:vMerge/>
                            <w:tcBorders>
                              <w:top w:val="single" w:sz="2" w:space="0" w:color="auto"/>
                              <w:left w:val="single" w:sz="2" w:space="0" w:color="auto"/>
                              <w:bottom w:val="single" w:sz="2" w:space="0" w:color="auto"/>
                              <w:right w:val="single" w:sz="2" w:space="0" w:color="auto"/>
                            </w:tcBorders>
                            <w:vAlign w:val="center"/>
                            <w:hideMark/>
                          </w:tcPr>
                          <w:p w14:paraId="31A6D6EB" w14:textId="77777777" w:rsidR="008B567C" w:rsidRPr="00D50D7F" w:rsidRDefault="008B567C" w:rsidP="00824CD6">
                            <w:pPr>
                              <w:widowControl/>
                              <w:spacing w:line="320" w:lineRule="exact"/>
                              <w:rPr>
                                <w:rFonts w:ascii="標楷體" w:eastAsia="標楷體" w:hAnsi="標楷體" w:cs="新細明體"/>
                                <w:color w:val="000000"/>
                                <w:kern w:val="0"/>
                                <w:sz w:val="20"/>
                                <w:szCs w:val="20"/>
                              </w:rPr>
                            </w:pPr>
                          </w:p>
                        </w:tc>
                        <w:tc>
                          <w:tcPr>
                            <w:tcW w:w="1572" w:type="pct"/>
                            <w:tcBorders>
                              <w:top w:val="single" w:sz="2" w:space="0" w:color="auto"/>
                              <w:left w:val="single" w:sz="2" w:space="0" w:color="auto"/>
                              <w:bottom w:val="single" w:sz="2" w:space="0" w:color="auto"/>
                              <w:right w:val="single" w:sz="2" w:space="0" w:color="auto"/>
                            </w:tcBorders>
                            <w:vAlign w:val="center"/>
                          </w:tcPr>
                          <w:p w14:paraId="688FD01B"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非現金</w:t>
                            </w:r>
                          </w:p>
                        </w:tc>
                        <w:tc>
                          <w:tcPr>
                            <w:tcW w:w="1221" w:type="pct"/>
                            <w:tcBorders>
                              <w:top w:val="single" w:sz="2" w:space="0" w:color="auto"/>
                              <w:left w:val="single" w:sz="2" w:space="0" w:color="auto"/>
                              <w:bottom w:val="single" w:sz="2" w:space="0" w:color="auto"/>
                              <w:right w:val="single" w:sz="2" w:space="0" w:color="auto"/>
                            </w:tcBorders>
                            <w:vAlign w:val="center"/>
                          </w:tcPr>
                          <w:p w14:paraId="702F9ABC"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335</w:t>
                            </w:r>
                          </w:p>
                        </w:tc>
                        <w:tc>
                          <w:tcPr>
                            <w:tcW w:w="1116" w:type="pct"/>
                            <w:tcBorders>
                              <w:top w:val="single" w:sz="2" w:space="0" w:color="auto"/>
                              <w:left w:val="single" w:sz="2" w:space="0" w:color="auto"/>
                              <w:bottom w:val="single" w:sz="2" w:space="0" w:color="auto"/>
                              <w:right w:val="single" w:sz="2" w:space="0" w:color="auto"/>
                            </w:tcBorders>
                            <w:vAlign w:val="center"/>
                          </w:tcPr>
                          <w:p w14:paraId="6D5012F5"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16.63</w:t>
                            </w:r>
                          </w:p>
                        </w:tc>
                      </w:tr>
                      <w:tr w:rsidR="008B567C" w:rsidRPr="00872259" w14:paraId="0E79853D" w14:textId="77777777" w:rsidTr="00824CD6">
                        <w:trPr>
                          <w:trHeight w:val="291"/>
                        </w:trPr>
                        <w:tc>
                          <w:tcPr>
                            <w:tcW w:w="1091" w:type="pct"/>
                            <w:vMerge w:val="restart"/>
                            <w:tcBorders>
                              <w:top w:val="single" w:sz="2" w:space="0" w:color="auto"/>
                              <w:left w:val="single" w:sz="2" w:space="0" w:color="auto"/>
                              <w:bottom w:val="single" w:sz="2" w:space="0" w:color="auto"/>
                              <w:right w:val="single" w:sz="2" w:space="0" w:color="auto"/>
                            </w:tcBorders>
                            <w:vAlign w:val="center"/>
                            <w:hideMark/>
                          </w:tcPr>
                          <w:p w14:paraId="3B682C28"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1</w:t>
                            </w:r>
                            <w:r w:rsidRPr="00D50D7F">
                              <w:rPr>
                                <w:rFonts w:ascii="標楷體" w:eastAsia="標楷體" w:hAnsi="標楷體" w:cs="新細明體"/>
                                <w:color w:val="000000"/>
                                <w:kern w:val="0"/>
                                <w:sz w:val="20"/>
                                <w:szCs w:val="20"/>
                              </w:rPr>
                              <w:t>12</w:t>
                            </w:r>
                          </w:p>
                        </w:tc>
                        <w:tc>
                          <w:tcPr>
                            <w:tcW w:w="1572" w:type="pct"/>
                            <w:tcBorders>
                              <w:top w:val="single" w:sz="2" w:space="0" w:color="auto"/>
                              <w:left w:val="single" w:sz="2" w:space="0" w:color="auto"/>
                              <w:bottom w:val="single" w:sz="2" w:space="0" w:color="auto"/>
                              <w:right w:val="single" w:sz="2" w:space="0" w:color="auto"/>
                            </w:tcBorders>
                            <w:vAlign w:val="center"/>
                            <w:hideMark/>
                          </w:tcPr>
                          <w:p w14:paraId="2672DEA3"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現金</w:t>
                            </w:r>
                          </w:p>
                        </w:tc>
                        <w:tc>
                          <w:tcPr>
                            <w:tcW w:w="1221" w:type="pct"/>
                            <w:tcBorders>
                              <w:top w:val="single" w:sz="2" w:space="0" w:color="auto"/>
                              <w:left w:val="single" w:sz="2" w:space="0" w:color="auto"/>
                              <w:bottom w:val="single" w:sz="2" w:space="0" w:color="auto"/>
                              <w:right w:val="single" w:sz="2" w:space="0" w:color="auto"/>
                            </w:tcBorders>
                            <w:vAlign w:val="center"/>
                            <w:hideMark/>
                          </w:tcPr>
                          <w:p w14:paraId="1FD3E078"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8</w:t>
                            </w:r>
                            <w:r w:rsidRPr="00D50D7F">
                              <w:rPr>
                                <w:rFonts w:ascii="標楷體" w:eastAsia="標楷體" w:hAnsi="標楷體" w:cs="新細明體"/>
                                <w:color w:val="000000"/>
                                <w:kern w:val="0"/>
                                <w:sz w:val="20"/>
                                <w:szCs w:val="20"/>
                              </w:rPr>
                              <w:t>58</w:t>
                            </w:r>
                          </w:p>
                        </w:tc>
                        <w:tc>
                          <w:tcPr>
                            <w:tcW w:w="1116" w:type="pct"/>
                            <w:tcBorders>
                              <w:top w:val="single" w:sz="2" w:space="0" w:color="auto"/>
                              <w:left w:val="single" w:sz="2" w:space="0" w:color="auto"/>
                              <w:bottom w:val="single" w:sz="2" w:space="0" w:color="auto"/>
                              <w:right w:val="single" w:sz="2" w:space="0" w:color="auto"/>
                            </w:tcBorders>
                            <w:vAlign w:val="center"/>
                            <w:hideMark/>
                          </w:tcPr>
                          <w:p w14:paraId="1E57197D"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7</w:t>
                            </w:r>
                            <w:r w:rsidRPr="00D50D7F">
                              <w:rPr>
                                <w:rFonts w:ascii="標楷體" w:eastAsia="標楷體" w:hAnsi="標楷體" w:cs="新細明體"/>
                                <w:color w:val="000000"/>
                                <w:kern w:val="0"/>
                                <w:sz w:val="20"/>
                                <w:szCs w:val="20"/>
                              </w:rPr>
                              <w:t>2.16</w:t>
                            </w:r>
                          </w:p>
                        </w:tc>
                      </w:tr>
                      <w:tr w:rsidR="008B567C" w:rsidRPr="00872259" w14:paraId="5F363636" w14:textId="77777777" w:rsidTr="00824CD6">
                        <w:trPr>
                          <w:trHeight w:val="291"/>
                        </w:trPr>
                        <w:tc>
                          <w:tcPr>
                            <w:tcW w:w="1091" w:type="pct"/>
                            <w:vMerge/>
                            <w:tcBorders>
                              <w:top w:val="single" w:sz="2" w:space="0" w:color="auto"/>
                              <w:left w:val="single" w:sz="2" w:space="0" w:color="auto"/>
                              <w:bottom w:val="single" w:sz="2" w:space="0" w:color="auto"/>
                              <w:right w:val="single" w:sz="2" w:space="0" w:color="auto"/>
                            </w:tcBorders>
                            <w:vAlign w:val="center"/>
                          </w:tcPr>
                          <w:p w14:paraId="66F92ACF" w14:textId="77777777" w:rsidR="008B567C" w:rsidRPr="00D50D7F" w:rsidRDefault="008B567C" w:rsidP="00824CD6">
                            <w:pPr>
                              <w:widowControl/>
                              <w:spacing w:line="320" w:lineRule="exact"/>
                              <w:rPr>
                                <w:rFonts w:ascii="標楷體" w:eastAsia="標楷體" w:hAnsi="標楷體" w:cs="新細明體"/>
                                <w:color w:val="000000"/>
                                <w:kern w:val="0"/>
                                <w:sz w:val="20"/>
                                <w:szCs w:val="20"/>
                              </w:rPr>
                            </w:pPr>
                          </w:p>
                        </w:tc>
                        <w:tc>
                          <w:tcPr>
                            <w:tcW w:w="1572" w:type="pct"/>
                            <w:tcBorders>
                              <w:top w:val="single" w:sz="2" w:space="0" w:color="auto"/>
                              <w:left w:val="single" w:sz="2" w:space="0" w:color="auto"/>
                              <w:bottom w:val="single" w:sz="2" w:space="0" w:color="auto"/>
                              <w:right w:val="single" w:sz="2" w:space="0" w:color="auto"/>
                            </w:tcBorders>
                            <w:vAlign w:val="center"/>
                          </w:tcPr>
                          <w:p w14:paraId="7FEC2322" w14:textId="77777777" w:rsidR="008B567C" w:rsidRPr="00D50D7F" w:rsidRDefault="008B567C" w:rsidP="00824CD6">
                            <w:pPr>
                              <w:widowControl/>
                              <w:spacing w:line="320" w:lineRule="exact"/>
                              <w:jc w:val="center"/>
                              <w:rPr>
                                <w:rFonts w:ascii="標楷體" w:eastAsia="標楷體" w:hAnsi="標楷體" w:cs="新細明體"/>
                                <w:bCs/>
                                <w:color w:val="000000"/>
                                <w:kern w:val="0"/>
                                <w:sz w:val="20"/>
                                <w:szCs w:val="20"/>
                              </w:rPr>
                            </w:pPr>
                            <w:r w:rsidRPr="00D50D7F">
                              <w:rPr>
                                <w:rFonts w:ascii="標楷體" w:eastAsia="標楷體" w:hAnsi="標楷體" w:cs="新細明體" w:hint="eastAsia"/>
                                <w:color w:val="000000"/>
                                <w:kern w:val="0"/>
                                <w:sz w:val="20"/>
                                <w:szCs w:val="20"/>
                              </w:rPr>
                              <w:t>非現金</w:t>
                            </w:r>
                          </w:p>
                        </w:tc>
                        <w:tc>
                          <w:tcPr>
                            <w:tcW w:w="1221" w:type="pct"/>
                            <w:tcBorders>
                              <w:top w:val="single" w:sz="2" w:space="0" w:color="auto"/>
                              <w:left w:val="single" w:sz="2" w:space="0" w:color="auto"/>
                              <w:bottom w:val="single" w:sz="2" w:space="0" w:color="auto"/>
                              <w:right w:val="single" w:sz="2" w:space="0" w:color="auto"/>
                            </w:tcBorders>
                            <w:vAlign w:val="center"/>
                          </w:tcPr>
                          <w:p w14:paraId="210CCAB0" w14:textId="77777777" w:rsidR="008B567C" w:rsidRPr="00D50D7F" w:rsidRDefault="008B567C" w:rsidP="00824CD6">
                            <w:pPr>
                              <w:widowControl/>
                              <w:spacing w:line="320" w:lineRule="exact"/>
                              <w:jc w:val="right"/>
                              <w:rPr>
                                <w:rFonts w:ascii="標楷體" w:eastAsia="標楷體" w:hAnsi="標楷體" w:cs="Calibri"/>
                                <w:bCs/>
                                <w:color w:val="000000"/>
                                <w:kern w:val="0"/>
                                <w:sz w:val="20"/>
                                <w:szCs w:val="20"/>
                              </w:rPr>
                            </w:pPr>
                            <w:r w:rsidRPr="00D50D7F">
                              <w:rPr>
                                <w:rFonts w:ascii="標楷體" w:eastAsia="標楷體" w:hAnsi="標楷體" w:cs="新細明體" w:hint="eastAsia"/>
                                <w:color w:val="000000"/>
                                <w:kern w:val="0"/>
                                <w:sz w:val="20"/>
                                <w:szCs w:val="20"/>
                              </w:rPr>
                              <w:t>331</w:t>
                            </w:r>
                          </w:p>
                        </w:tc>
                        <w:tc>
                          <w:tcPr>
                            <w:tcW w:w="1116" w:type="pct"/>
                            <w:tcBorders>
                              <w:top w:val="single" w:sz="2" w:space="0" w:color="auto"/>
                              <w:left w:val="single" w:sz="2" w:space="0" w:color="auto"/>
                              <w:bottom w:val="single" w:sz="2" w:space="0" w:color="auto"/>
                              <w:right w:val="single" w:sz="2" w:space="0" w:color="auto"/>
                            </w:tcBorders>
                            <w:vAlign w:val="center"/>
                          </w:tcPr>
                          <w:p w14:paraId="02C874D1" w14:textId="77777777" w:rsidR="008B567C" w:rsidRPr="00D50D7F" w:rsidRDefault="008B567C" w:rsidP="00824CD6">
                            <w:pPr>
                              <w:widowControl/>
                              <w:spacing w:line="320" w:lineRule="exact"/>
                              <w:jc w:val="right"/>
                              <w:rPr>
                                <w:rFonts w:ascii="標楷體" w:eastAsia="標楷體" w:hAnsi="標楷體" w:cs="Calibri"/>
                                <w:bCs/>
                                <w:color w:val="000000"/>
                                <w:kern w:val="0"/>
                                <w:sz w:val="20"/>
                                <w:szCs w:val="20"/>
                              </w:rPr>
                            </w:pPr>
                            <w:r w:rsidRPr="00D50D7F">
                              <w:rPr>
                                <w:rFonts w:ascii="標楷體" w:eastAsia="標楷體" w:hAnsi="標楷體" w:cs="新細明體" w:hint="eastAsia"/>
                                <w:color w:val="000000"/>
                                <w:kern w:val="0"/>
                                <w:sz w:val="20"/>
                                <w:szCs w:val="20"/>
                              </w:rPr>
                              <w:t>27.84</w:t>
                            </w:r>
                          </w:p>
                        </w:tc>
                      </w:tr>
                      <w:tr w:rsidR="008B567C" w:rsidRPr="00872259" w14:paraId="64BCCC9C" w14:textId="77777777" w:rsidTr="00824CD6">
                        <w:trPr>
                          <w:trHeight w:val="291"/>
                        </w:trPr>
                        <w:tc>
                          <w:tcPr>
                            <w:tcW w:w="1091" w:type="pct"/>
                            <w:vMerge w:val="restart"/>
                            <w:tcBorders>
                              <w:top w:val="single" w:sz="2" w:space="0" w:color="auto"/>
                              <w:left w:val="single" w:sz="2" w:space="0" w:color="auto"/>
                              <w:bottom w:val="single" w:sz="2" w:space="0" w:color="auto"/>
                              <w:right w:val="single" w:sz="2" w:space="0" w:color="auto"/>
                            </w:tcBorders>
                            <w:vAlign w:val="center"/>
                            <w:hideMark/>
                          </w:tcPr>
                          <w:p w14:paraId="3DCAAFFA"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1</w:t>
                            </w:r>
                            <w:r w:rsidRPr="00D50D7F">
                              <w:rPr>
                                <w:rFonts w:ascii="標楷體" w:eastAsia="標楷體" w:hAnsi="標楷體" w:cs="新細明體"/>
                                <w:color w:val="000000"/>
                                <w:kern w:val="0"/>
                                <w:sz w:val="20"/>
                                <w:szCs w:val="20"/>
                              </w:rPr>
                              <w:t>13</w:t>
                            </w:r>
                          </w:p>
                        </w:tc>
                        <w:tc>
                          <w:tcPr>
                            <w:tcW w:w="1572" w:type="pct"/>
                            <w:tcBorders>
                              <w:top w:val="single" w:sz="2" w:space="0" w:color="auto"/>
                              <w:left w:val="single" w:sz="2" w:space="0" w:color="auto"/>
                              <w:bottom w:val="single" w:sz="2" w:space="0" w:color="auto"/>
                              <w:right w:val="single" w:sz="2" w:space="0" w:color="auto"/>
                            </w:tcBorders>
                            <w:vAlign w:val="center"/>
                            <w:hideMark/>
                          </w:tcPr>
                          <w:p w14:paraId="23CDEC0E"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現金</w:t>
                            </w:r>
                          </w:p>
                        </w:tc>
                        <w:tc>
                          <w:tcPr>
                            <w:tcW w:w="1221" w:type="pct"/>
                            <w:tcBorders>
                              <w:top w:val="single" w:sz="2" w:space="0" w:color="auto"/>
                              <w:left w:val="single" w:sz="2" w:space="0" w:color="auto"/>
                              <w:bottom w:val="single" w:sz="2" w:space="0" w:color="auto"/>
                              <w:right w:val="single" w:sz="2" w:space="0" w:color="auto"/>
                            </w:tcBorders>
                            <w:vAlign w:val="center"/>
                            <w:hideMark/>
                          </w:tcPr>
                          <w:p w14:paraId="2DE58D95"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1</w:t>
                            </w:r>
                            <w:r w:rsidRPr="00D50D7F">
                              <w:rPr>
                                <w:rFonts w:ascii="標楷體" w:eastAsia="標楷體" w:hAnsi="標楷體" w:cs="新細明體"/>
                                <w:color w:val="000000"/>
                                <w:kern w:val="0"/>
                                <w:sz w:val="20"/>
                                <w:szCs w:val="20"/>
                              </w:rPr>
                              <w:t>,218</w:t>
                            </w:r>
                          </w:p>
                        </w:tc>
                        <w:tc>
                          <w:tcPr>
                            <w:tcW w:w="1116" w:type="pct"/>
                            <w:tcBorders>
                              <w:top w:val="single" w:sz="2" w:space="0" w:color="auto"/>
                              <w:left w:val="single" w:sz="2" w:space="0" w:color="auto"/>
                              <w:bottom w:val="single" w:sz="2" w:space="0" w:color="auto"/>
                              <w:right w:val="single" w:sz="2" w:space="0" w:color="auto"/>
                            </w:tcBorders>
                            <w:vAlign w:val="center"/>
                            <w:hideMark/>
                          </w:tcPr>
                          <w:p w14:paraId="5A756551"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8</w:t>
                            </w:r>
                            <w:r w:rsidRPr="00D50D7F">
                              <w:rPr>
                                <w:rFonts w:ascii="標楷體" w:eastAsia="標楷體" w:hAnsi="標楷體" w:cs="新細明體"/>
                                <w:color w:val="000000"/>
                                <w:kern w:val="0"/>
                                <w:sz w:val="20"/>
                                <w:szCs w:val="20"/>
                              </w:rPr>
                              <w:t>3.94</w:t>
                            </w:r>
                          </w:p>
                        </w:tc>
                      </w:tr>
                      <w:tr w:rsidR="008B567C" w:rsidRPr="00872259" w14:paraId="70031310" w14:textId="77777777" w:rsidTr="00824CD6">
                        <w:trPr>
                          <w:trHeight w:val="291"/>
                        </w:trPr>
                        <w:tc>
                          <w:tcPr>
                            <w:tcW w:w="1091" w:type="pct"/>
                            <w:vMerge/>
                            <w:tcBorders>
                              <w:top w:val="single" w:sz="2" w:space="0" w:color="auto"/>
                              <w:left w:val="single" w:sz="2" w:space="0" w:color="auto"/>
                              <w:bottom w:val="single" w:sz="2" w:space="0" w:color="auto"/>
                              <w:right w:val="single" w:sz="2" w:space="0" w:color="auto"/>
                            </w:tcBorders>
                            <w:vAlign w:val="center"/>
                          </w:tcPr>
                          <w:p w14:paraId="3A026400"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p>
                        </w:tc>
                        <w:tc>
                          <w:tcPr>
                            <w:tcW w:w="1572" w:type="pct"/>
                            <w:tcBorders>
                              <w:top w:val="single" w:sz="2" w:space="0" w:color="auto"/>
                              <w:left w:val="single" w:sz="2" w:space="0" w:color="auto"/>
                              <w:bottom w:val="single" w:sz="2" w:space="0" w:color="auto"/>
                              <w:right w:val="single" w:sz="2" w:space="0" w:color="auto"/>
                            </w:tcBorders>
                            <w:vAlign w:val="center"/>
                          </w:tcPr>
                          <w:p w14:paraId="08C319FD" w14:textId="77777777" w:rsidR="008B567C" w:rsidRPr="00D50D7F" w:rsidRDefault="008B567C" w:rsidP="00824CD6">
                            <w:pPr>
                              <w:widowControl/>
                              <w:spacing w:line="320" w:lineRule="exact"/>
                              <w:jc w:val="center"/>
                              <w:rPr>
                                <w:rFonts w:ascii="標楷體" w:eastAsia="標楷體" w:hAnsi="標楷體" w:cs="新細明體"/>
                                <w:color w:val="000000"/>
                                <w:kern w:val="0"/>
                                <w:sz w:val="20"/>
                                <w:szCs w:val="20"/>
                              </w:rPr>
                            </w:pPr>
                            <w:r w:rsidRPr="00D50D7F">
                              <w:rPr>
                                <w:rFonts w:ascii="標楷體" w:eastAsia="標楷體" w:hAnsi="標楷體" w:cs="新細明體" w:hint="eastAsia"/>
                                <w:color w:val="000000"/>
                                <w:kern w:val="0"/>
                                <w:sz w:val="20"/>
                                <w:szCs w:val="20"/>
                              </w:rPr>
                              <w:t>非現金</w:t>
                            </w:r>
                          </w:p>
                        </w:tc>
                        <w:tc>
                          <w:tcPr>
                            <w:tcW w:w="1221" w:type="pct"/>
                            <w:tcBorders>
                              <w:top w:val="single" w:sz="2" w:space="0" w:color="auto"/>
                              <w:left w:val="single" w:sz="2" w:space="0" w:color="auto"/>
                              <w:bottom w:val="single" w:sz="2" w:space="0" w:color="auto"/>
                              <w:right w:val="single" w:sz="2" w:space="0" w:color="auto"/>
                            </w:tcBorders>
                            <w:vAlign w:val="center"/>
                          </w:tcPr>
                          <w:p w14:paraId="3FC8A50D"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233</w:t>
                            </w:r>
                          </w:p>
                        </w:tc>
                        <w:tc>
                          <w:tcPr>
                            <w:tcW w:w="1116" w:type="pct"/>
                            <w:tcBorders>
                              <w:top w:val="single" w:sz="2" w:space="0" w:color="auto"/>
                              <w:left w:val="single" w:sz="2" w:space="0" w:color="auto"/>
                              <w:bottom w:val="single" w:sz="2" w:space="0" w:color="auto"/>
                              <w:right w:val="single" w:sz="2" w:space="0" w:color="auto"/>
                            </w:tcBorders>
                            <w:vAlign w:val="center"/>
                          </w:tcPr>
                          <w:p w14:paraId="0F70A8A9" w14:textId="77777777" w:rsidR="008B567C" w:rsidRPr="00D50D7F" w:rsidRDefault="008B567C" w:rsidP="00824CD6">
                            <w:pPr>
                              <w:widowControl/>
                              <w:spacing w:line="320" w:lineRule="exact"/>
                              <w:jc w:val="right"/>
                              <w:rPr>
                                <w:rFonts w:ascii="標楷體" w:eastAsia="標楷體" w:hAnsi="標楷體" w:cs="Calibri"/>
                                <w:color w:val="000000"/>
                                <w:kern w:val="0"/>
                                <w:sz w:val="20"/>
                                <w:szCs w:val="20"/>
                              </w:rPr>
                            </w:pPr>
                            <w:r w:rsidRPr="00D50D7F">
                              <w:rPr>
                                <w:rFonts w:ascii="標楷體" w:eastAsia="標楷體" w:hAnsi="標楷體" w:cs="新細明體" w:hint="eastAsia"/>
                                <w:color w:val="000000"/>
                                <w:kern w:val="0"/>
                                <w:sz w:val="20"/>
                                <w:szCs w:val="20"/>
                              </w:rPr>
                              <w:t>16.06</w:t>
                            </w:r>
                          </w:p>
                        </w:tc>
                      </w:tr>
                    </w:tbl>
                    <w:p w14:paraId="40FF4B71" w14:textId="77777777" w:rsidR="008B567C" w:rsidRPr="00D50D7F" w:rsidRDefault="008B567C" w:rsidP="008B567C">
                      <w:pPr>
                        <w:spacing w:line="240" w:lineRule="exact"/>
                        <w:ind w:firstLineChars="200" w:firstLine="360"/>
                        <w:jc w:val="both"/>
                        <w:rPr>
                          <w:rFonts w:ascii="標楷體" w:eastAsia="標楷體" w:hAnsi="標楷體"/>
                          <w:sz w:val="18"/>
                          <w:szCs w:val="18"/>
                        </w:rPr>
                      </w:pPr>
                      <w:proofErr w:type="gramStart"/>
                      <w:r w:rsidRPr="00D50D7F">
                        <w:rPr>
                          <w:rFonts w:ascii="標楷體" w:eastAsia="標楷體" w:hAnsi="標楷體" w:hint="eastAsia"/>
                          <w:sz w:val="18"/>
                          <w:szCs w:val="18"/>
                        </w:rPr>
                        <w:t>註</w:t>
                      </w:r>
                      <w:proofErr w:type="gramEnd"/>
                      <w:r w:rsidRPr="00D50D7F">
                        <w:rPr>
                          <w:rFonts w:ascii="標楷體" w:eastAsia="標楷體" w:hAnsi="標楷體" w:hint="eastAsia"/>
                          <w:sz w:val="18"/>
                          <w:szCs w:val="18"/>
                        </w:rPr>
                        <w:t>：1.非現金支付方式包含匯款、支票、匯票、悠遊卡、</w:t>
                      </w:r>
                    </w:p>
                    <w:p w14:paraId="1CFE06FE" w14:textId="77777777" w:rsidR="008B567C" w:rsidRPr="00D50D7F" w:rsidRDefault="008B567C" w:rsidP="008B567C">
                      <w:pPr>
                        <w:spacing w:line="240" w:lineRule="exact"/>
                        <w:ind w:firstLineChars="500" w:firstLine="900"/>
                        <w:jc w:val="both"/>
                        <w:rPr>
                          <w:rFonts w:ascii="標楷體" w:eastAsia="標楷體" w:hAnsi="標楷體"/>
                          <w:sz w:val="18"/>
                          <w:szCs w:val="18"/>
                        </w:rPr>
                      </w:pPr>
                      <w:r w:rsidRPr="00D50D7F">
                        <w:rPr>
                          <w:rFonts w:ascii="標楷體" w:eastAsia="標楷體" w:hAnsi="標楷體" w:hint="eastAsia"/>
                          <w:sz w:val="18"/>
                          <w:szCs w:val="18"/>
                        </w:rPr>
                        <w:t>信用卡、晶片金融卡等。</w:t>
                      </w:r>
                    </w:p>
                    <w:p w14:paraId="585F090D" w14:textId="77777777" w:rsidR="008B567C" w:rsidRPr="00D50D7F" w:rsidRDefault="008B567C" w:rsidP="008B567C">
                      <w:pPr>
                        <w:spacing w:line="240" w:lineRule="exact"/>
                        <w:ind w:firstLineChars="400" w:firstLine="720"/>
                        <w:jc w:val="both"/>
                        <w:rPr>
                          <w:rFonts w:ascii="標楷體" w:eastAsia="標楷體" w:hAnsi="標楷體"/>
                          <w:sz w:val="18"/>
                          <w:szCs w:val="18"/>
                        </w:rPr>
                      </w:pPr>
                      <w:r w:rsidRPr="00D50D7F">
                        <w:rPr>
                          <w:rFonts w:ascii="標楷體" w:eastAsia="標楷體" w:hAnsi="標楷體" w:hint="eastAsia"/>
                          <w:sz w:val="18"/>
                          <w:szCs w:val="18"/>
                        </w:rPr>
                        <w:t>2.資料來源：整理自地政局提供資料。</w:t>
                      </w:r>
                    </w:p>
                    <w:p w14:paraId="50EB1C33" w14:textId="77777777" w:rsidR="008B567C" w:rsidRPr="00872259" w:rsidRDefault="008B567C" w:rsidP="008B567C"/>
                  </w:txbxContent>
                </v:textbox>
                <w10:wrap type="through" anchorx="page"/>
              </v:shape>
            </w:pict>
          </mc:Fallback>
        </mc:AlternateContent>
      </w:r>
      <w:r w:rsidR="008B567C">
        <w:rPr>
          <w:rFonts w:ascii="標楷體" w:eastAsia="標楷體" w:hAnsi="標楷體" w:hint="eastAsia"/>
          <w:color w:val="000000" w:themeColor="text1"/>
        </w:rPr>
        <w:t>地政</w:t>
      </w:r>
      <w:r w:rsidR="008B567C" w:rsidRPr="00D50D7F">
        <w:rPr>
          <w:rFonts w:ascii="標楷體" w:eastAsia="標楷體" w:hAnsi="標楷體" w:hint="eastAsia"/>
          <w:color w:val="000000" w:themeColor="text1"/>
        </w:rPr>
        <w:t>局為因應數位經濟時代發展趨勢，提供多元方式支付服務，民眾繳納各項地政規費，除以現金支付外，亦可選擇使用匯款、支票、匯票、悠遊卡、信用卡及晶片金融卡等非現金支付方式繳納；</w:t>
      </w:r>
      <w:r w:rsidR="008B567C">
        <w:rPr>
          <w:rFonts w:ascii="標楷體" w:eastAsia="標楷體" w:hAnsi="標楷體" w:hint="eastAsia"/>
          <w:color w:val="000000" w:themeColor="text1"/>
        </w:rPr>
        <w:t>另</w:t>
      </w:r>
      <w:r w:rsidR="008B567C" w:rsidRPr="00D50D7F">
        <w:rPr>
          <w:rFonts w:ascii="標楷體" w:eastAsia="標楷體" w:hAnsi="標楷體" w:hint="eastAsia"/>
          <w:color w:val="000000" w:themeColor="text1"/>
        </w:rPr>
        <w:t>民眾向各地政事務所申辦業務，除可運用前揭繳納方式外，亦可</w:t>
      </w:r>
      <w:proofErr w:type="gramStart"/>
      <w:r w:rsidR="008B567C" w:rsidRPr="00D50D7F">
        <w:rPr>
          <w:rFonts w:ascii="標楷體" w:eastAsia="標楷體" w:hAnsi="標楷體" w:hint="eastAsia"/>
          <w:color w:val="000000" w:themeColor="text1"/>
        </w:rPr>
        <w:t>採</w:t>
      </w:r>
      <w:proofErr w:type="gramEnd"/>
      <w:r w:rsidR="008B567C" w:rsidRPr="00D50D7F">
        <w:rPr>
          <w:rFonts w:ascii="標楷體" w:eastAsia="標楷體" w:hAnsi="標楷體"/>
          <w:color w:val="000000" w:themeColor="text1"/>
        </w:rPr>
        <w:t>Apple Pay、Samsung Pay或Android Pay</w:t>
      </w:r>
      <w:r w:rsidR="008B567C" w:rsidRPr="00D50D7F">
        <w:rPr>
          <w:rFonts w:ascii="標楷體" w:eastAsia="標楷體" w:hAnsi="標楷體" w:hint="eastAsia"/>
          <w:color w:val="000000" w:themeColor="text1"/>
        </w:rPr>
        <w:t>臨櫃繳費方式支付地政規費。</w:t>
      </w:r>
      <w:r w:rsidR="008B567C">
        <w:rPr>
          <w:rFonts w:ascii="標楷體" w:eastAsia="標楷體" w:hAnsi="標楷體" w:hint="eastAsia"/>
          <w:color w:val="000000" w:themeColor="text1"/>
        </w:rPr>
        <w:t>該</w:t>
      </w:r>
      <w:r w:rsidR="008B567C" w:rsidRPr="00D50D7F">
        <w:rPr>
          <w:rFonts w:ascii="標楷體" w:eastAsia="標楷體" w:hAnsi="標楷體" w:hint="eastAsia"/>
          <w:color w:val="000000" w:themeColor="text1"/>
        </w:rPr>
        <w:t>局</w:t>
      </w:r>
      <w:r w:rsidR="008B567C">
        <w:rPr>
          <w:rFonts w:ascii="標楷體" w:eastAsia="標楷體" w:hAnsi="標楷體" w:hint="eastAsia"/>
          <w:color w:val="000000" w:themeColor="text1"/>
        </w:rPr>
        <w:t>為</w:t>
      </w:r>
      <w:r w:rsidR="008B567C" w:rsidRPr="00D50D7F">
        <w:rPr>
          <w:rFonts w:ascii="標楷體" w:eastAsia="標楷體" w:hAnsi="標楷體" w:hint="eastAsia"/>
          <w:color w:val="000000" w:themeColor="text1"/>
        </w:rPr>
        <w:t>打造智慧城市，積極推動電子支付繳納地政規費及罰鍰</w:t>
      </w:r>
      <w:r w:rsidR="008B567C">
        <w:rPr>
          <w:rFonts w:ascii="標楷體" w:eastAsia="標楷體" w:hAnsi="標楷體" w:hint="eastAsia"/>
          <w:color w:val="000000" w:themeColor="text1"/>
        </w:rPr>
        <w:t>、</w:t>
      </w:r>
      <w:r w:rsidR="008B567C" w:rsidRPr="00D50D7F">
        <w:rPr>
          <w:rFonts w:ascii="標楷體" w:eastAsia="標楷體" w:hAnsi="標楷體" w:hint="eastAsia"/>
          <w:color w:val="000000" w:themeColor="text1"/>
        </w:rPr>
        <w:t>透過網站宣導多元繳納服務，</w:t>
      </w:r>
      <w:r w:rsidR="008B567C">
        <w:rPr>
          <w:rFonts w:ascii="標楷體" w:eastAsia="標楷體" w:hAnsi="標楷體" w:hint="eastAsia"/>
          <w:color w:val="000000" w:themeColor="text1"/>
        </w:rPr>
        <w:t>及</w:t>
      </w:r>
      <w:r w:rsidR="008B567C" w:rsidRPr="00D50D7F">
        <w:rPr>
          <w:rFonts w:ascii="標楷體" w:eastAsia="標楷體" w:hAnsi="標楷體" w:hint="eastAsia"/>
          <w:color w:val="000000" w:themeColor="text1"/>
        </w:rPr>
        <w:t>鼓勵民眾選擇以「非現金」方式支付地政規費</w:t>
      </w:r>
      <w:r w:rsidR="008B567C">
        <w:rPr>
          <w:rFonts w:ascii="標楷體" w:eastAsia="標楷體" w:hAnsi="標楷體" w:hint="eastAsia"/>
          <w:color w:val="000000" w:themeColor="text1"/>
        </w:rPr>
        <w:t>等措施。</w:t>
      </w:r>
      <w:r w:rsidR="008B567C" w:rsidRPr="00D50D7F">
        <w:rPr>
          <w:rFonts w:ascii="標楷體" w:eastAsia="標楷體" w:hAnsi="標楷體" w:hint="eastAsia"/>
          <w:color w:val="000000" w:themeColor="text1"/>
        </w:rPr>
        <w:t>惟經分析</w:t>
      </w:r>
      <w:r w:rsidR="008B567C">
        <w:rPr>
          <w:rFonts w:ascii="標楷體" w:eastAsia="標楷體" w:hAnsi="標楷體" w:hint="eastAsia"/>
          <w:color w:val="000000" w:themeColor="text1"/>
        </w:rPr>
        <w:t>該</w:t>
      </w:r>
      <w:r w:rsidR="008B567C" w:rsidRPr="00D50D7F">
        <w:rPr>
          <w:rFonts w:ascii="標楷體" w:eastAsia="標楷體" w:hAnsi="標楷體" w:hint="eastAsia"/>
          <w:color w:val="000000" w:themeColor="text1"/>
        </w:rPr>
        <w:t>局111至113年度規費收繳案件，以現金支付之件數分別為1,679件、858件及1,218件，占地政規費收繳總件數比率83.37％、72.16％及83.94％，顯示近</w:t>
      </w:r>
      <w:proofErr w:type="gramStart"/>
      <w:r w:rsidR="008B567C" w:rsidRPr="00D50D7F">
        <w:rPr>
          <w:rFonts w:ascii="標楷體" w:eastAsia="標楷體" w:hAnsi="標楷體" w:hint="eastAsia"/>
          <w:color w:val="000000" w:themeColor="text1"/>
        </w:rPr>
        <w:t>3</w:t>
      </w:r>
      <w:proofErr w:type="gramEnd"/>
      <w:r w:rsidR="008B567C" w:rsidRPr="00D50D7F">
        <w:rPr>
          <w:rFonts w:ascii="標楷體" w:eastAsia="標楷體" w:hAnsi="標楷體" w:hint="eastAsia"/>
          <w:color w:val="000000" w:themeColor="text1"/>
        </w:rPr>
        <w:t>年度所收規費案件，仍</w:t>
      </w:r>
      <w:r w:rsidR="008B567C">
        <w:rPr>
          <w:rFonts w:ascii="標楷體" w:eastAsia="標楷體" w:hAnsi="標楷體" w:hint="eastAsia"/>
          <w:color w:val="000000" w:themeColor="text1"/>
        </w:rPr>
        <w:t>有</w:t>
      </w:r>
      <w:r w:rsidR="008B567C" w:rsidRPr="00D50D7F">
        <w:rPr>
          <w:rFonts w:ascii="標楷體" w:eastAsia="標楷體" w:hAnsi="標楷體" w:hint="eastAsia"/>
          <w:color w:val="000000" w:themeColor="text1"/>
        </w:rPr>
        <w:t>逾</w:t>
      </w:r>
      <w:proofErr w:type="gramStart"/>
      <w:r w:rsidR="008B567C" w:rsidRPr="00D50D7F">
        <w:rPr>
          <w:rFonts w:ascii="標楷體" w:eastAsia="標楷體" w:hAnsi="標楷體" w:hint="eastAsia"/>
          <w:color w:val="000000" w:themeColor="text1"/>
        </w:rPr>
        <w:t>7成</w:t>
      </w:r>
      <w:proofErr w:type="gramEnd"/>
      <w:r w:rsidR="008B567C">
        <w:rPr>
          <w:rFonts w:ascii="標楷體" w:eastAsia="標楷體" w:hAnsi="標楷體" w:hint="eastAsia"/>
          <w:color w:val="000000" w:themeColor="text1"/>
        </w:rPr>
        <w:t>案件，</w:t>
      </w:r>
      <w:r w:rsidR="008B567C" w:rsidRPr="00D50D7F">
        <w:rPr>
          <w:rFonts w:ascii="標楷體" w:eastAsia="標楷體" w:hAnsi="標楷體" w:hint="eastAsia"/>
          <w:color w:val="000000" w:themeColor="text1"/>
        </w:rPr>
        <w:t>民眾</w:t>
      </w:r>
      <w:r w:rsidR="008B567C">
        <w:rPr>
          <w:rFonts w:ascii="標楷體" w:eastAsia="標楷體" w:hAnsi="標楷體" w:hint="eastAsia"/>
          <w:color w:val="000000" w:themeColor="text1"/>
        </w:rPr>
        <w:t>係</w:t>
      </w:r>
      <w:r w:rsidR="008B567C" w:rsidRPr="00D50D7F">
        <w:rPr>
          <w:rFonts w:ascii="標楷體" w:eastAsia="標楷體" w:hAnsi="標楷體" w:hint="eastAsia"/>
          <w:color w:val="000000" w:themeColor="text1"/>
        </w:rPr>
        <w:t>以現金支付</w:t>
      </w:r>
      <w:r w:rsidR="008B567C">
        <w:rPr>
          <w:rFonts w:ascii="標楷體" w:eastAsia="標楷體" w:hAnsi="標楷體" w:hint="eastAsia"/>
          <w:color w:val="000000" w:themeColor="text1"/>
        </w:rPr>
        <w:t>規費（</w:t>
      </w:r>
      <w:r w:rsidR="008B567C" w:rsidRPr="00D50D7F">
        <w:rPr>
          <w:rFonts w:ascii="標楷體" w:eastAsia="標楷體" w:hAnsi="標楷體" w:hint="eastAsia"/>
          <w:color w:val="000000" w:themeColor="text1"/>
        </w:rPr>
        <w:t>表1</w:t>
      </w:r>
      <w:r w:rsidR="008B567C">
        <w:rPr>
          <w:rFonts w:ascii="標楷體" w:eastAsia="標楷體" w:hAnsi="標楷體" w:hint="eastAsia"/>
          <w:color w:val="000000" w:themeColor="text1"/>
        </w:rPr>
        <w:t>）</w:t>
      </w:r>
      <w:r w:rsidR="008B567C" w:rsidRPr="00D50D7F">
        <w:rPr>
          <w:rFonts w:ascii="標楷體" w:eastAsia="標楷體" w:hAnsi="標楷體" w:hint="eastAsia"/>
          <w:color w:val="000000" w:themeColor="text1"/>
        </w:rPr>
        <w:t>，亟待</w:t>
      </w:r>
      <w:proofErr w:type="gramStart"/>
      <w:r w:rsidR="008B567C" w:rsidRPr="00D50D7F">
        <w:rPr>
          <w:rFonts w:ascii="標楷體" w:eastAsia="標楷體" w:hAnsi="標楷體" w:hint="eastAsia"/>
          <w:color w:val="000000" w:themeColor="text1"/>
        </w:rPr>
        <w:t>研</w:t>
      </w:r>
      <w:proofErr w:type="gramEnd"/>
      <w:r w:rsidR="008B567C" w:rsidRPr="00D50D7F">
        <w:rPr>
          <w:rFonts w:ascii="標楷體" w:eastAsia="標楷體" w:hAnsi="標楷體" w:hint="eastAsia"/>
          <w:color w:val="000000" w:themeColor="text1"/>
        </w:rPr>
        <w:t>析癥結據</w:t>
      </w:r>
      <w:proofErr w:type="gramStart"/>
      <w:r w:rsidR="008B567C" w:rsidRPr="00D50D7F">
        <w:rPr>
          <w:rFonts w:ascii="標楷體" w:eastAsia="標楷體" w:hAnsi="標楷體" w:hint="eastAsia"/>
          <w:color w:val="000000" w:themeColor="text1"/>
        </w:rPr>
        <w:t>以妥謀善策，俾</w:t>
      </w:r>
      <w:proofErr w:type="gramEnd"/>
      <w:r w:rsidR="008B567C" w:rsidRPr="00D50D7F">
        <w:rPr>
          <w:rFonts w:ascii="標楷體" w:eastAsia="標楷體" w:hAnsi="標楷體" w:hint="eastAsia"/>
          <w:color w:val="000000" w:themeColor="text1"/>
        </w:rPr>
        <w:t>有效推廣民眾運用非現金支付方式繳納地政規費，</w:t>
      </w:r>
      <w:r w:rsidR="008B567C" w:rsidRPr="00BA1DC3">
        <w:rPr>
          <w:rFonts w:ascii="標楷體" w:eastAsia="標楷體" w:hAnsi="標楷體" w:hint="eastAsia"/>
          <w:color w:val="000000" w:themeColor="text1"/>
        </w:rPr>
        <w:t>經函請檢討改善。據復：</w:t>
      </w:r>
      <w:bookmarkStart w:id="107" w:name="_Hlk199322689"/>
      <w:r w:rsidR="008B567C">
        <w:rPr>
          <w:rFonts w:ascii="標楷體" w:eastAsia="標楷體" w:hAnsi="標楷體" w:cs="標楷體" w:hint="eastAsia"/>
        </w:rPr>
        <w:t>現行申辦案件因多</w:t>
      </w:r>
      <w:proofErr w:type="gramStart"/>
      <w:r w:rsidR="008B567C">
        <w:rPr>
          <w:rFonts w:ascii="標楷體" w:eastAsia="標楷體" w:hAnsi="標楷體" w:cs="標楷體" w:hint="eastAsia"/>
        </w:rPr>
        <w:t>採</w:t>
      </w:r>
      <w:proofErr w:type="gramEnd"/>
      <w:r w:rsidR="008B567C">
        <w:rPr>
          <w:rFonts w:ascii="標楷體" w:eastAsia="標楷體" w:hAnsi="標楷體" w:cs="標楷體" w:hint="eastAsia"/>
        </w:rPr>
        <w:t>臨櫃辦理且</w:t>
      </w:r>
      <w:r w:rsidR="008B567C" w:rsidRPr="009950BF">
        <w:rPr>
          <w:rFonts w:ascii="標楷體" w:eastAsia="標楷體" w:hAnsi="標楷體" w:cs="標楷體"/>
        </w:rPr>
        <w:t>規費金額小，</w:t>
      </w:r>
      <w:r w:rsidR="008B567C">
        <w:rPr>
          <w:rFonts w:ascii="標楷體" w:eastAsia="標楷體" w:hAnsi="標楷體" w:cs="標楷體" w:hint="eastAsia"/>
        </w:rPr>
        <w:t>故民眾</w:t>
      </w:r>
      <w:r w:rsidR="008B567C" w:rsidRPr="009950BF">
        <w:rPr>
          <w:rFonts w:ascii="標楷體" w:eastAsia="標楷體" w:hAnsi="標楷體" w:cs="標楷體"/>
        </w:rPr>
        <w:t>以現金繳納為主，</w:t>
      </w:r>
      <w:r w:rsidR="008B567C">
        <w:rPr>
          <w:rFonts w:ascii="標楷體" w:eastAsia="標楷體" w:hAnsi="標楷體" w:cs="標楷體" w:hint="eastAsia"/>
        </w:rPr>
        <w:t>該局</w:t>
      </w:r>
      <w:bookmarkEnd w:id="107"/>
      <w:r w:rsidR="008B567C">
        <w:rPr>
          <w:rFonts w:ascii="標楷體" w:eastAsia="標楷體" w:hAnsi="標楷體" w:cs="標楷體" w:hint="eastAsia"/>
        </w:rPr>
        <w:t>爾後將</w:t>
      </w:r>
      <w:r w:rsidR="008B567C" w:rsidRPr="009950BF">
        <w:rPr>
          <w:rFonts w:ascii="標楷體" w:eastAsia="標楷體" w:hAnsi="標楷體" w:cs="標楷體"/>
        </w:rPr>
        <w:t>鼓勵</w:t>
      </w:r>
      <w:r w:rsidR="008B567C">
        <w:rPr>
          <w:rFonts w:ascii="標楷體" w:eastAsia="標楷體" w:hAnsi="標楷體" w:cs="標楷體" w:hint="eastAsia"/>
        </w:rPr>
        <w:t>現場申辦</w:t>
      </w:r>
      <w:proofErr w:type="gramStart"/>
      <w:r w:rsidR="008B567C" w:rsidRPr="009950BF">
        <w:rPr>
          <w:rFonts w:ascii="標楷體" w:eastAsia="標楷體" w:hAnsi="標楷體" w:cs="標楷體"/>
        </w:rPr>
        <w:t>民眾持悠遊</w:t>
      </w:r>
      <w:proofErr w:type="gramEnd"/>
      <w:r w:rsidR="008B567C" w:rsidRPr="009950BF">
        <w:rPr>
          <w:rFonts w:ascii="標楷體" w:eastAsia="標楷體" w:hAnsi="標楷體" w:cs="標楷體"/>
        </w:rPr>
        <w:t>卡繳</w:t>
      </w:r>
      <w:r w:rsidR="008B567C">
        <w:rPr>
          <w:rFonts w:ascii="標楷體" w:eastAsia="標楷體" w:hAnsi="標楷體" w:cs="標楷體" w:hint="eastAsia"/>
        </w:rPr>
        <w:t>納地政規</w:t>
      </w:r>
      <w:r w:rsidR="008B567C" w:rsidRPr="009950BF">
        <w:rPr>
          <w:rFonts w:ascii="標楷體" w:eastAsia="標楷體" w:hAnsi="標楷體" w:cs="標楷體"/>
        </w:rPr>
        <w:t>費，另為增加</w:t>
      </w:r>
      <w:proofErr w:type="gramStart"/>
      <w:r w:rsidR="008B567C" w:rsidRPr="009950BF">
        <w:rPr>
          <w:rFonts w:ascii="標楷體" w:eastAsia="標楷體" w:hAnsi="標楷體" w:cs="標楷體"/>
        </w:rPr>
        <w:t>民眾線上申辦</w:t>
      </w:r>
      <w:proofErr w:type="gramEnd"/>
      <w:r w:rsidR="008B567C" w:rsidRPr="009950BF">
        <w:rPr>
          <w:rFonts w:ascii="標楷體" w:eastAsia="標楷體" w:hAnsi="標楷體" w:cs="標楷體"/>
        </w:rPr>
        <w:t>繳費便利性</w:t>
      </w:r>
      <w:r w:rsidR="008B567C">
        <w:rPr>
          <w:rFonts w:ascii="標楷體" w:eastAsia="標楷體" w:hAnsi="標楷體" w:cs="標楷體" w:hint="eastAsia"/>
        </w:rPr>
        <w:t>，於</w:t>
      </w:r>
      <w:proofErr w:type="gramStart"/>
      <w:r w:rsidR="008B567C">
        <w:rPr>
          <w:rFonts w:ascii="標楷體" w:eastAsia="標楷體" w:hAnsi="標楷體" w:cs="標楷體" w:hint="eastAsia"/>
        </w:rPr>
        <w:t>114</w:t>
      </w:r>
      <w:proofErr w:type="gramEnd"/>
      <w:r w:rsidR="008B567C">
        <w:rPr>
          <w:rFonts w:ascii="標楷體" w:eastAsia="標楷體" w:hAnsi="標楷體" w:cs="標楷體" w:hint="eastAsia"/>
        </w:rPr>
        <w:t>年度</w:t>
      </w:r>
      <w:r w:rsidR="008B567C" w:rsidRPr="009950BF">
        <w:rPr>
          <w:rFonts w:ascii="標楷體" w:eastAsia="標楷體" w:hAnsi="標楷體" w:cs="標楷體"/>
        </w:rPr>
        <w:t>配合內政部推動不動產服務業管理作業系統改版作業及電子證書核發作業，</w:t>
      </w:r>
      <w:proofErr w:type="gramStart"/>
      <w:r w:rsidR="008B567C" w:rsidRPr="009950BF">
        <w:rPr>
          <w:rFonts w:ascii="標楷體" w:eastAsia="標楷體" w:hAnsi="標楷體" w:cs="標楷體"/>
        </w:rPr>
        <w:t>增加線上繳費</w:t>
      </w:r>
      <w:proofErr w:type="gramEnd"/>
      <w:r w:rsidR="008B567C" w:rsidRPr="009950BF">
        <w:rPr>
          <w:rFonts w:ascii="標楷體" w:eastAsia="標楷體" w:hAnsi="標楷體" w:cs="標楷體"/>
        </w:rPr>
        <w:t>方式，以</w:t>
      </w:r>
      <w:r w:rsidR="008B567C">
        <w:rPr>
          <w:rFonts w:ascii="標楷體" w:eastAsia="標楷體" w:hAnsi="標楷體" w:cs="標楷體" w:hint="eastAsia"/>
        </w:rPr>
        <w:t>利</w:t>
      </w:r>
      <w:r w:rsidR="008B567C" w:rsidRPr="009950BF">
        <w:rPr>
          <w:rFonts w:ascii="標楷體" w:eastAsia="標楷體" w:hAnsi="標楷體" w:cs="標楷體"/>
        </w:rPr>
        <w:t>民眾多元繳納</w:t>
      </w:r>
      <w:r w:rsidR="008B567C">
        <w:rPr>
          <w:rFonts w:ascii="標楷體" w:eastAsia="標楷體" w:hAnsi="標楷體" w:cs="標楷體" w:hint="eastAsia"/>
        </w:rPr>
        <w:t>。</w:t>
      </w:r>
    </w:p>
    <w:p w14:paraId="0FA7CFAA" w14:textId="77777777" w:rsidR="008B567C" w:rsidRPr="00905E7D" w:rsidRDefault="008B567C" w:rsidP="00DF5F46">
      <w:pPr>
        <w:spacing w:beforeLines="50" w:before="180" w:line="500" w:lineRule="exact"/>
        <w:ind w:firstLineChars="100" w:firstLine="280"/>
        <w:jc w:val="both"/>
        <w:outlineLvl w:val="3"/>
        <w:rPr>
          <w:rFonts w:ascii="標楷體" w:eastAsia="標楷體"/>
          <w:b/>
          <w:sz w:val="28"/>
          <w:szCs w:val="28"/>
        </w:rPr>
      </w:pPr>
      <w:r w:rsidRPr="00905E7D">
        <w:rPr>
          <w:rFonts w:ascii="標楷體" w:eastAsia="標楷體" w:hint="eastAsia"/>
          <w:b/>
          <w:sz w:val="28"/>
          <w:szCs w:val="28"/>
        </w:rPr>
        <w:t>（</w:t>
      </w:r>
      <w:r>
        <w:rPr>
          <w:rFonts w:ascii="標楷體" w:eastAsia="標楷體" w:hint="eastAsia"/>
          <w:b/>
          <w:sz w:val="28"/>
          <w:szCs w:val="28"/>
        </w:rPr>
        <w:t>四</w:t>
      </w:r>
      <w:r w:rsidRPr="00905E7D">
        <w:rPr>
          <w:rFonts w:ascii="標楷體" w:eastAsia="標楷體" w:hint="eastAsia"/>
          <w:b/>
          <w:sz w:val="28"/>
          <w:szCs w:val="28"/>
        </w:rPr>
        <w:t>）</w:t>
      </w:r>
      <w:r w:rsidRPr="00A72367">
        <w:rPr>
          <w:rFonts w:ascii="標楷體" w:eastAsia="標楷體" w:hint="eastAsia"/>
          <w:b/>
          <w:sz w:val="28"/>
          <w:szCs w:val="28"/>
        </w:rPr>
        <w:t>為維護地</w:t>
      </w:r>
      <w:proofErr w:type="gramStart"/>
      <w:r w:rsidRPr="00A72367">
        <w:rPr>
          <w:rFonts w:ascii="標楷體" w:eastAsia="標楷體" w:hint="eastAsia"/>
          <w:b/>
          <w:sz w:val="28"/>
          <w:szCs w:val="28"/>
        </w:rPr>
        <w:t>籍圖資正確性</w:t>
      </w:r>
      <w:proofErr w:type="gramEnd"/>
      <w:r w:rsidRPr="00A72367">
        <w:rPr>
          <w:rFonts w:ascii="標楷體" w:eastAsia="標楷體" w:hint="eastAsia"/>
          <w:b/>
          <w:sz w:val="28"/>
          <w:szCs w:val="28"/>
        </w:rPr>
        <w:t>，持續辦理圖解地籍圖數值化面積與登記面積疑義清理計畫，惟執行進度落後，且尚待清理之</w:t>
      </w:r>
      <w:proofErr w:type="gramStart"/>
      <w:r w:rsidRPr="00A72367">
        <w:rPr>
          <w:rFonts w:ascii="標楷體" w:eastAsia="標楷體" w:hint="eastAsia"/>
          <w:b/>
          <w:sz w:val="28"/>
          <w:szCs w:val="28"/>
        </w:rPr>
        <w:t>圖資筆</w:t>
      </w:r>
      <w:proofErr w:type="gramEnd"/>
      <w:r w:rsidRPr="00A72367">
        <w:rPr>
          <w:rFonts w:ascii="標楷體" w:eastAsia="標楷體" w:hint="eastAsia"/>
          <w:b/>
          <w:sz w:val="28"/>
          <w:szCs w:val="28"/>
        </w:rPr>
        <w:t>數</w:t>
      </w:r>
      <w:r>
        <w:rPr>
          <w:rFonts w:ascii="標楷體" w:eastAsia="標楷體" w:hint="eastAsia"/>
          <w:b/>
          <w:sz w:val="28"/>
          <w:szCs w:val="28"/>
        </w:rPr>
        <w:t>仍逾8千筆</w:t>
      </w:r>
      <w:r w:rsidRPr="00A72367">
        <w:rPr>
          <w:rFonts w:ascii="標楷體" w:eastAsia="標楷體" w:hint="eastAsia"/>
          <w:b/>
          <w:sz w:val="28"/>
          <w:szCs w:val="28"/>
        </w:rPr>
        <w:t>，</w:t>
      </w:r>
      <w:r>
        <w:rPr>
          <w:rFonts w:ascii="標楷體" w:eastAsia="標楷體" w:hint="eastAsia"/>
          <w:b/>
          <w:sz w:val="28"/>
          <w:szCs w:val="28"/>
        </w:rPr>
        <w:t>清理期程長達16年，</w:t>
      </w:r>
      <w:r w:rsidRPr="00A72367">
        <w:rPr>
          <w:rFonts w:ascii="標楷體" w:eastAsia="標楷體" w:hint="eastAsia"/>
          <w:b/>
          <w:sz w:val="28"/>
          <w:szCs w:val="28"/>
        </w:rPr>
        <w:t>允宜積極加速清理，並滾動檢討計畫執行成效，以維護民眾之權利及政府公信力</w:t>
      </w:r>
      <w:r w:rsidRPr="00905E7D">
        <w:rPr>
          <w:rFonts w:ascii="標楷體" w:eastAsia="標楷體" w:hint="eastAsia"/>
          <w:b/>
          <w:sz w:val="28"/>
          <w:szCs w:val="28"/>
        </w:rPr>
        <w:t>。</w:t>
      </w:r>
    </w:p>
    <w:p w14:paraId="33D6627C" w14:textId="77777777" w:rsidR="008B567C" w:rsidRPr="007173E3" w:rsidRDefault="008B567C" w:rsidP="008B567C">
      <w:pPr>
        <w:spacing w:line="440" w:lineRule="exact"/>
        <w:ind w:firstLineChars="200" w:firstLine="480"/>
        <w:jc w:val="both"/>
        <w:rPr>
          <w:rFonts w:ascii="標楷體" w:eastAsia="標楷體" w:hAnsi="標楷體"/>
        </w:rPr>
      </w:pPr>
      <w:r w:rsidRPr="007173E3">
        <w:rPr>
          <w:rFonts w:ascii="標楷體" w:eastAsia="標楷體" w:hAnsi="標楷體" w:hint="eastAsia"/>
        </w:rPr>
        <w:lastRenderedPageBreak/>
        <w:t>地政局為</w:t>
      </w:r>
      <w:proofErr w:type="gramStart"/>
      <w:r w:rsidRPr="007173E3">
        <w:rPr>
          <w:rFonts w:ascii="標楷體" w:eastAsia="標楷體" w:hAnsi="標楷體" w:hint="eastAsia"/>
        </w:rPr>
        <w:t>釐</w:t>
      </w:r>
      <w:proofErr w:type="gramEnd"/>
      <w:r w:rsidRPr="007173E3">
        <w:rPr>
          <w:rFonts w:ascii="標楷體" w:eastAsia="標楷體" w:hAnsi="標楷體" w:hint="eastAsia"/>
        </w:rPr>
        <w:t>清臺北市圖解地籍圖數值化後之面積與原登記面積之較差超出容許誤差疑義，並</w:t>
      </w:r>
      <w:proofErr w:type="gramStart"/>
      <w:r w:rsidRPr="007173E3">
        <w:rPr>
          <w:rFonts w:ascii="標楷體" w:eastAsia="標楷體" w:hAnsi="標楷體" w:hint="eastAsia"/>
        </w:rPr>
        <w:t>期圖簿</w:t>
      </w:r>
      <w:proofErr w:type="gramEnd"/>
      <w:r w:rsidRPr="007173E3">
        <w:rPr>
          <w:rFonts w:ascii="標楷體" w:eastAsia="標楷體" w:hAnsi="標楷體" w:hint="eastAsia"/>
        </w:rPr>
        <w:t>面積更趨一致，依地籍測量實施規則相關規定，以106年間所統計16</w:t>
      </w:r>
      <w:r w:rsidRPr="007173E3">
        <w:rPr>
          <w:rFonts w:ascii="標楷體" w:eastAsia="標楷體" w:hAnsi="標楷體"/>
        </w:rPr>
        <w:t>,381</w:t>
      </w:r>
      <w:r w:rsidRPr="007173E3">
        <w:rPr>
          <w:rFonts w:ascii="標楷體" w:eastAsia="標楷體" w:hAnsi="標楷體" w:hint="eastAsia"/>
        </w:rPr>
        <w:t>筆超出圖解地籍圖數值化面積與登記面積容許誤差（下稱公差）土地為基礎，將超出公差倍數區分為3個等級，依序為較差小於或等於2倍公差、較差大於2倍至小於或等於3倍公差</w:t>
      </w:r>
      <w:proofErr w:type="gramStart"/>
      <w:r w:rsidRPr="007173E3">
        <w:rPr>
          <w:rFonts w:ascii="標楷體" w:eastAsia="標楷體" w:hAnsi="標楷體" w:hint="eastAsia"/>
        </w:rPr>
        <w:t>之間，</w:t>
      </w:r>
      <w:proofErr w:type="gramEnd"/>
      <w:r w:rsidRPr="007173E3">
        <w:rPr>
          <w:rFonts w:ascii="標楷體" w:eastAsia="標楷體" w:hAnsi="標楷體" w:hint="eastAsia"/>
        </w:rPr>
        <w:t>及較差大於3倍公差等3類，並按階段以較差倍數較少者優先進行查處，訂定「臺北市圖解地籍圖數值化面積疑義清理計畫-第1階段」，預定自107年起至113年止，將較差小於或等於2倍公差總計5</w:t>
      </w:r>
      <w:r w:rsidRPr="007173E3">
        <w:rPr>
          <w:rFonts w:ascii="標楷體" w:eastAsia="標楷體" w:hAnsi="標楷體"/>
        </w:rPr>
        <w:t>,365</w:t>
      </w:r>
      <w:r w:rsidRPr="007173E3">
        <w:rPr>
          <w:rFonts w:ascii="標楷體" w:eastAsia="標楷體" w:hAnsi="標楷體" w:hint="eastAsia"/>
        </w:rPr>
        <w:t>筆土地清理完竣，惟計畫期程屆滿，僅清理完成3,</w:t>
      </w:r>
      <w:r w:rsidRPr="007173E3">
        <w:rPr>
          <w:rFonts w:ascii="標楷體" w:eastAsia="標楷體" w:hAnsi="標楷體"/>
        </w:rPr>
        <w:t>327</w:t>
      </w:r>
      <w:r w:rsidRPr="007173E3">
        <w:rPr>
          <w:rFonts w:ascii="標楷體" w:eastAsia="標楷體" w:hAnsi="標楷體" w:hint="eastAsia"/>
        </w:rPr>
        <w:t>筆土地（約62.01％），執行進度落後。另查該局於清理</w:t>
      </w:r>
      <w:proofErr w:type="gramStart"/>
      <w:r w:rsidRPr="007173E3">
        <w:rPr>
          <w:rFonts w:ascii="標楷體" w:eastAsia="標楷體" w:hAnsi="標楷體" w:hint="eastAsia"/>
        </w:rPr>
        <w:t>上開較差</w:t>
      </w:r>
      <w:proofErr w:type="gramEnd"/>
      <w:r w:rsidRPr="007173E3">
        <w:rPr>
          <w:rFonts w:ascii="標楷體" w:eastAsia="標楷體" w:hAnsi="標楷體" w:hint="eastAsia"/>
        </w:rPr>
        <w:t>小於或等於2倍公差疑義土地時，經</w:t>
      </w:r>
      <w:proofErr w:type="gramStart"/>
      <w:r w:rsidRPr="007173E3">
        <w:rPr>
          <w:rFonts w:ascii="標楷體" w:eastAsia="標楷體" w:hAnsi="標楷體" w:hint="eastAsia"/>
        </w:rPr>
        <w:t>併</w:t>
      </w:r>
      <w:proofErr w:type="gramEnd"/>
      <w:r w:rsidRPr="007173E3">
        <w:rPr>
          <w:rFonts w:ascii="標楷體" w:eastAsia="標楷體" w:hAnsi="標楷體" w:hint="eastAsia"/>
        </w:rPr>
        <w:t>同處理其他疑義土地案件，並於113年底重新統計，尚待清理之疑義土地有8</w:t>
      </w:r>
      <w:r w:rsidRPr="007173E3">
        <w:rPr>
          <w:rFonts w:ascii="標楷體" w:eastAsia="標楷體" w:hAnsi="標楷體"/>
        </w:rPr>
        <w:t>,</w:t>
      </w:r>
      <w:r w:rsidRPr="007173E3">
        <w:rPr>
          <w:rFonts w:ascii="標楷體" w:eastAsia="標楷體" w:hAnsi="標楷體" w:hint="eastAsia"/>
        </w:rPr>
        <w:t>566筆，</w:t>
      </w:r>
      <w:proofErr w:type="gramStart"/>
      <w:r w:rsidRPr="007173E3">
        <w:rPr>
          <w:rFonts w:ascii="標楷體" w:eastAsia="標楷體" w:hAnsi="標楷體" w:hint="eastAsia"/>
        </w:rPr>
        <w:t>爰</w:t>
      </w:r>
      <w:proofErr w:type="gramEnd"/>
      <w:r w:rsidRPr="007173E3">
        <w:rPr>
          <w:rFonts w:ascii="標楷體" w:eastAsia="標楷體" w:hAnsi="標楷體" w:hint="eastAsia"/>
        </w:rPr>
        <w:t>修訂計畫為「臺北市圖解地籍圖數值化面積疑義清理計畫」據以續行清理作業，不再以有疑義土地</w:t>
      </w:r>
      <w:r w:rsidRPr="007173E3">
        <w:rPr>
          <w:rFonts w:ascii="標楷體" w:eastAsia="標楷體" w:hAnsi="標楷體"/>
        </w:rPr>
        <w:t>超出公差之倍數</w:t>
      </w:r>
      <w:r w:rsidRPr="007173E3">
        <w:rPr>
          <w:rFonts w:ascii="標楷體" w:eastAsia="標楷體" w:hAnsi="標楷體" w:hint="eastAsia"/>
        </w:rPr>
        <w:t>分級，並訂定計畫期程自114年1月1日起至129年12月31日止，以16年內將尚餘8</w:t>
      </w:r>
      <w:r w:rsidRPr="007173E3">
        <w:rPr>
          <w:rFonts w:ascii="標楷體" w:eastAsia="標楷體" w:hAnsi="標楷體"/>
        </w:rPr>
        <w:t>,</w:t>
      </w:r>
      <w:r w:rsidRPr="007173E3">
        <w:rPr>
          <w:rFonts w:ascii="標楷體" w:eastAsia="標楷體" w:hAnsi="標楷體" w:hint="eastAsia"/>
        </w:rPr>
        <w:t>566筆有疑義之土地清理完竣為目標。</w:t>
      </w:r>
      <w:proofErr w:type="gramStart"/>
      <w:r w:rsidRPr="007173E3">
        <w:rPr>
          <w:rFonts w:ascii="標楷體" w:eastAsia="標楷體" w:hAnsi="標楷體" w:hint="eastAsia"/>
        </w:rPr>
        <w:t>鑑</w:t>
      </w:r>
      <w:proofErr w:type="gramEnd"/>
      <w:r w:rsidRPr="007173E3">
        <w:rPr>
          <w:rFonts w:ascii="標楷體" w:eastAsia="標楷體" w:hAnsi="標楷體" w:hint="eastAsia"/>
        </w:rPr>
        <w:t>於土地</w:t>
      </w:r>
      <w:proofErr w:type="gramStart"/>
      <w:r w:rsidRPr="007173E3">
        <w:rPr>
          <w:rFonts w:ascii="標楷體" w:eastAsia="標楷體" w:hAnsi="標楷體" w:hint="eastAsia"/>
        </w:rPr>
        <w:t>地籍圖簿資料</w:t>
      </w:r>
      <w:proofErr w:type="gramEnd"/>
      <w:r w:rsidRPr="007173E3">
        <w:rPr>
          <w:rFonts w:ascii="標楷體" w:eastAsia="標楷體" w:hAnsi="標楷體" w:hint="eastAsia"/>
        </w:rPr>
        <w:t>之正確性</w:t>
      </w:r>
      <w:proofErr w:type="gramStart"/>
      <w:r w:rsidRPr="007173E3">
        <w:rPr>
          <w:rFonts w:ascii="標楷體" w:eastAsia="標楷體" w:hAnsi="標楷體" w:hint="eastAsia"/>
        </w:rPr>
        <w:t>攸</w:t>
      </w:r>
      <w:proofErr w:type="gramEnd"/>
      <w:r w:rsidRPr="007173E3">
        <w:rPr>
          <w:rFonts w:ascii="標楷體" w:eastAsia="標楷體" w:hAnsi="標楷體" w:hint="eastAsia"/>
        </w:rPr>
        <w:t>關地政管理之公信力，</w:t>
      </w:r>
      <w:proofErr w:type="gramStart"/>
      <w:r w:rsidRPr="007173E3">
        <w:rPr>
          <w:rFonts w:ascii="標楷體" w:eastAsia="標楷體" w:hAnsi="標楷體" w:hint="eastAsia"/>
        </w:rPr>
        <w:t>惟待清理</w:t>
      </w:r>
      <w:proofErr w:type="gramEnd"/>
      <w:r w:rsidRPr="007173E3">
        <w:rPr>
          <w:rFonts w:ascii="標楷體" w:eastAsia="標楷體" w:hAnsi="標楷體" w:hint="eastAsia"/>
        </w:rPr>
        <w:t>之</w:t>
      </w:r>
      <w:proofErr w:type="gramStart"/>
      <w:r w:rsidRPr="007173E3">
        <w:rPr>
          <w:rFonts w:ascii="標楷體" w:eastAsia="標楷體" w:hAnsi="標楷體" w:hint="eastAsia"/>
        </w:rPr>
        <w:t>圖資筆</w:t>
      </w:r>
      <w:proofErr w:type="gramEnd"/>
      <w:r w:rsidRPr="007173E3">
        <w:rPr>
          <w:rFonts w:ascii="標楷體" w:eastAsia="標楷體" w:hAnsi="標楷體" w:hint="eastAsia"/>
        </w:rPr>
        <w:t>數仍逾8千筆，清理期程長達16年，且有疑義土地多為較差倍數較多者，允應積極加速清理，並滾動檢討計畫執行成效，經函請檢討改善。據復：為</w:t>
      </w:r>
      <w:r w:rsidRPr="007173E3">
        <w:rPr>
          <w:rFonts w:ascii="標楷體" w:eastAsia="標楷體" w:hAnsi="標楷體"/>
        </w:rPr>
        <w:t>維護民眾權利</w:t>
      </w:r>
      <w:r w:rsidRPr="007173E3">
        <w:rPr>
          <w:rFonts w:ascii="標楷體" w:eastAsia="標楷體" w:hAnsi="標楷體" w:hint="eastAsia"/>
        </w:rPr>
        <w:t>，該</w:t>
      </w:r>
      <w:r w:rsidRPr="007173E3">
        <w:rPr>
          <w:rFonts w:ascii="標楷體" w:eastAsia="標楷體" w:hAnsi="標楷體"/>
        </w:rPr>
        <w:t>局土地開發總隊已加派人力專責辦理圖解地籍圖數值化面積疑義清理計畫，</w:t>
      </w:r>
      <w:r w:rsidRPr="007173E3">
        <w:rPr>
          <w:rFonts w:ascii="標楷體" w:eastAsia="標楷體" w:hAnsi="標楷體" w:hint="eastAsia"/>
        </w:rPr>
        <w:t>除</w:t>
      </w:r>
      <w:r w:rsidRPr="007173E3">
        <w:rPr>
          <w:rFonts w:ascii="標楷體" w:eastAsia="標楷體" w:hAnsi="標楷體"/>
        </w:rPr>
        <w:t>每月追蹤進度</w:t>
      </w:r>
      <w:r w:rsidRPr="007173E3">
        <w:rPr>
          <w:rFonts w:ascii="標楷體" w:eastAsia="標楷體" w:hAnsi="標楷體" w:hint="eastAsia"/>
        </w:rPr>
        <w:t>，並</w:t>
      </w:r>
      <w:r w:rsidRPr="007173E3">
        <w:rPr>
          <w:rFonts w:ascii="標楷體" w:eastAsia="標楷體" w:hAnsi="標楷體"/>
        </w:rPr>
        <w:t>明定每隔5年重新統計登記面積與計算面積相較超出法定容許誤差之土地</w:t>
      </w:r>
      <w:proofErr w:type="gramStart"/>
      <w:r w:rsidRPr="007173E3">
        <w:rPr>
          <w:rFonts w:ascii="標楷體" w:eastAsia="標楷體" w:hAnsi="標楷體"/>
        </w:rPr>
        <w:t>實際筆</w:t>
      </w:r>
      <w:proofErr w:type="gramEnd"/>
      <w:r w:rsidRPr="007173E3">
        <w:rPr>
          <w:rFonts w:ascii="標楷體" w:eastAsia="標楷體" w:hAnsi="標楷體"/>
        </w:rPr>
        <w:t>數，視統計結果滾動檢討清理期</w:t>
      </w:r>
      <w:proofErr w:type="gramStart"/>
      <w:r w:rsidRPr="007173E3">
        <w:rPr>
          <w:rFonts w:ascii="標楷體" w:eastAsia="標楷體" w:hAnsi="標楷體"/>
        </w:rPr>
        <w:t>程</w:t>
      </w:r>
      <w:r w:rsidRPr="007173E3">
        <w:rPr>
          <w:rFonts w:ascii="標楷體" w:eastAsia="標楷體" w:hAnsi="標楷體" w:hint="eastAsia"/>
        </w:rPr>
        <w:t>外</w:t>
      </w:r>
      <w:r w:rsidRPr="007173E3">
        <w:rPr>
          <w:rFonts w:ascii="標楷體" w:eastAsia="標楷體" w:hAnsi="標楷體"/>
        </w:rPr>
        <w:t>，</w:t>
      </w:r>
      <w:r w:rsidRPr="007173E3">
        <w:rPr>
          <w:rFonts w:ascii="標楷體" w:eastAsia="標楷體" w:hAnsi="標楷體" w:hint="eastAsia"/>
        </w:rPr>
        <w:t>另</w:t>
      </w:r>
      <w:r w:rsidRPr="007173E3">
        <w:rPr>
          <w:rFonts w:ascii="標楷體" w:eastAsia="標楷體" w:hAnsi="標楷體"/>
        </w:rPr>
        <w:t>倘</w:t>
      </w:r>
      <w:proofErr w:type="gramEnd"/>
      <w:r w:rsidRPr="007173E3">
        <w:rPr>
          <w:rFonts w:ascii="標楷體" w:eastAsia="標楷體" w:hAnsi="標楷體"/>
        </w:rPr>
        <w:t>接獲地政事務所</w:t>
      </w:r>
      <w:proofErr w:type="gramStart"/>
      <w:r w:rsidRPr="007173E3">
        <w:rPr>
          <w:rFonts w:ascii="標楷體" w:eastAsia="標楷體" w:hAnsi="標楷體"/>
        </w:rPr>
        <w:t>函報地籍</w:t>
      </w:r>
      <w:proofErr w:type="gramEnd"/>
      <w:r w:rsidRPr="007173E3">
        <w:rPr>
          <w:rFonts w:ascii="標楷體" w:eastAsia="標楷體" w:hAnsi="標楷體"/>
        </w:rPr>
        <w:t>疑義案件，或民眾</w:t>
      </w:r>
      <w:proofErr w:type="gramStart"/>
      <w:r w:rsidRPr="007173E3">
        <w:rPr>
          <w:rFonts w:ascii="標楷體" w:eastAsia="標楷體" w:hAnsi="標楷體"/>
        </w:rPr>
        <w:t>逕</w:t>
      </w:r>
      <w:proofErr w:type="gramEnd"/>
      <w:r w:rsidRPr="007173E3">
        <w:rPr>
          <w:rFonts w:ascii="標楷體" w:eastAsia="標楷體" w:hAnsi="標楷體"/>
        </w:rPr>
        <w:t>為分割需求須儘速</w:t>
      </w:r>
      <w:proofErr w:type="gramStart"/>
      <w:r w:rsidRPr="007173E3">
        <w:rPr>
          <w:rFonts w:ascii="標楷體" w:eastAsia="標楷體" w:hAnsi="標楷體"/>
        </w:rPr>
        <w:t>釐</w:t>
      </w:r>
      <w:proofErr w:type="gramEnd"/>
      <w:r w:rsidRPr="007173E3">
        <w:rPr>
          <w:rFonts w:ascii="標楷體" w:eastAsia="標楷體" w:hAnsi="標楷體"/>
        </w:rPr>
        <w:t>清者，優先查處</w:t>
      </w:r>
      <w:r w:rsidRPr="007173E3">
        <w:rPr>
          <w:rFonts w:ascii="標楷體" w:eastAsia="標楷體" w:hAnsi="標楷體" w:hint="eastAsia"/>
        </w:rPr>
        <w:t>；又該</w:t>
      </w:r>
      <w:r w:rsidRPr="007173E3">
        <w:rPr>
          <w:rFonts w:ascii="標楷體" w:eastAsia="標楷體" w:hAnsi="標楷體"/>
        </w:rPr>
        <w:t>局</w:t>
      </w:r>
      <w:r w:rsidRPr="007173E3">
        <w:rPr>
          <w:rFonts w:ascii="標楷體" w:eastAsia="標楷體" w:hAnsi="標楷體" w:hint="eastAsia"/>
        </w:rPr>
        <w:t>已</w:t>
      </w:r>
      <w:r w:rsidRPr="007173E3">
        <w:rPr>
          <w:rFonts w:ascii="標楷體" w:eastAsia="標楷體" w:hAnsi="標楷體"/>
        </w:rPr>
        <w:t>訂有</w:t>
      </w:r>
      <w:proofErr w:type="gramStart"/>
      <w:r w:rsidRPr="007173E3">
        <w:rPr>
          <w:rFonts w:ascii="標楷體" w:eastAsia="標楷體" w:hAnsi="標楷體"/>
        </w:rPr>
        <w:t>地籍線及</w:t>
      </w:r>
      <w:proofErr w:type="gramEnd"/>
      <w:r w:rsidRPr="007173E3">
        <w:rPr>
          <w:rFonts w:ascii="標楷體" w:eastAsia="標楷體" w:hAnsi="標楷體"/>
        </w:rPr>
        <w:t>建築</w:t>
      </w:r>
      <w:proofErr w:type="gramStart"/>
      <w:r w:rsidRPr="007173E3">
        <w:rPr>
          <w:rFonts w:ascii="標楷體" w:eastAsia="標楷體" w:hAnsi="標楷體"/>
        </w:rPr>
        <w:t>線預檢</w:t>
      </w:r>
      <w:proofErr w:type="gramEnd"/>
      <w:r w:rsidRPr="007173E3">
        <w:rPr>
          <w:rFonts w:ascii="標楷體" w:eastAsia="標楷體" w:hAnsi="標楷體"/>
        </w:rPr>
        <w:t>相關計畫，藉</w:t>
      </w:r>
      <w:proofErr w:type="gramStart"/>
      <w:r w:rsidRPr="007173E3">
        <w:rPr>
          <w:rFonts w:ascii="標楷體" w:eastAsia="標楷體" w:hAnsi="標楷體"/>
        </w:rPr>
        <w:t>由預檢制度</w:t>
      </w:r>
      <w:proofErr w:type="gramEnd"/>
      <w:r w:rsidRPr="007173E3">
        <w:rPr>
          <w:rFonts w:ascii="標楷體" w:eastAsia="標楷體" w:hAnsi="標楷體"/>
        </w:rPr>
        <w:t>及早發現地籍疑義，</w:t>
      </w:r>
      <w:r w:rsidRPr="007173E3">
        <w:rPr>
          <w:rFonts w:ascii="標楷體" w:eastAsia="標楷體" w:hAnsi="標楷體" w:hint="eastAsia"/>
        </w:rPr>
        <w:t>以</w:t>
      </w:r>
      <w:r w:rsidRPr="007173E3">
        <w:rPr>
          <w:rFonts w:ascii="標楷體" w:eastAsia="標楷體" w:hAnsi="標楷體"/>
        </w:rPr>
        <w:t>即時查處</w:t>
      </w:r>
      <w:r w:rsidRPr="007173E3">
        <w:rPr>
          <w:rFonts w:ascii="標楷體" w:eastAsia="標楷體" w:hAnsi="標楷體" w:hint="eastAsia"/>
        </w:rPr>
        <w:t>，</w:t>
      </w:r>
      <w:r w:rsidRPr="007173E3">
        <w:rPr>
          <w:rFonts w:ascii="標楷體" w:eastAsia="標楷體" w:hAnsi="標楷體"/>
        </w:rPr>
        <w:t>加速</w:t>
      </w:r>
      <w:r w:rsidRPr="007173E3">
        <w:rPr>
          <w:rFonts w:ascii="標楷體" w:eastAsia="標楷體" w:hAnsi="標楷體" w:hint="eastAsia"/>
        </w:rPr>
        <w:t>土地</w:t>
      </w:r>
      <w:r w:rsidRPr="007173E3">
        <w:rPr>
          <w:rFonts w:ascii="標楷體" w:eastAsia="標楷體" w:hAnsi="標楷體"/>
        </w:rPr>
        <w:t>面積疑義清理</w:t>
      </w:r>
      <w:r w:rsidRPr="007173E3">
        <w:rPr>
          <w:rFonts w:ascii="標楷體" w:eastAsia="標楷體" w:hAnsi="標楷體" w:hint="eastAsia"/>
        </w:rPr>
        <w:t>作業。</w:t>
      </w:r>
    </w:p>
    <w:p w14:paraId="428CEB97" w14:textId="77777777" w:rsidR="008B567C" w:rsidRPr="00A30878" w:rsidRDefault="008B567C" w:rsidP="008B567C">
      <w:pPr>
        <w:spacing w:before="120" w:after="120" w:line="460" w:lineRule="exact"/>
        <w:jc w:val="both"/>
        <w:outlineLvl w:val="2"/>
        <w:rPr>
          <w:rFonts w:ascii="標楷體" w:eastAsia="標楷體"/>
          <w:b/>
          <w:sz w:val="32"/>
          <w:szCs w:val="32"/>
        </w:rPr>
      </w:pPr>
      <w:r w:rsidRPr="00A30878">
        <w:rPr>
          <w:rFonts w:ascii="標楷體" w:eastAsia="標楷體" w:hint="eastAsia"/>
          <w:b/>
          <w:sz w:val="32"/>
          <w:szCs w:val="32"/>
        </w:rPr>
        <w:t>四、</w:t>
      </w:r>
      <w:proofErr w:type="gramStart"/>
      <w:r w:rsidRPr="00A30878">
        <w:rPr>
          <w:rFonts w:ascii="標楷體" w:eastAsia="標楷體" w:hint="eastAsia"/>
          <w:b/>
          <w:sz w:val="32"/>
          <w:szCs w:val="32"/>
        </w:rPr>
        <w:t>11</w:t>
      </w:r>
      <w:r>
        <w:rPr>
          <w:rFonts w:ascii="標楷體" w:eastAsia="標楷體" w:hint="eastAsia"/>
          <w:b/>
          <w:sz w:val="32"/>
          <w:szCs w:val="32"/>
        </w:rPr>
        <w:t>2</w:t>
      </w:r>
      <w:proofErr w:type="gramEnd"/>
      <w:r w:rsidRPr="00A30878">
        <w:rPr>
          <w:rFonts w:ascii="標楷體" w:eastAsia="標楷體" w:hint="eastAsia"/>
          <w:b/>
          <w:sz w:val="32"/>
          <w:szCs w:val="32"/>
        </w:rPr>
        <w:t>年度重要審核意見追蹤查核情形</w:t>
      </w:r>
    </w:p>
    <w:p w14:paraId="3336D0B4" w14:textId="77777777" w:rsidR="008B567C" w:rsidRPr="00E77932" w:rsidRDefault="008B567C" w:rsidP="008B567C">
      <w:pPr>
        <w:spacing w:line="440" w:lineRule="exact"/>
        <w:ind w:firstLineChars="200" w:firstLine="480"/>
        <w:jc w:val="both"/>
        <w:rPr>
          <w:rFonts w:ascii="標楷體" w:eastAsia="標楷體" w:hAnsi="標楷體"/>
          <w:color w:val="000000" w:themeColor="text1"/>
        </w:rPr>
      </w:pPr>
      <w:r w:rsidRPr="00E77932">
        <w:rPr>
          <w:rFonts w:ascii="標楷體" w:eastAsia="標楷體" w:hAnsi="標楷體" w:hint="eastAsia"/>
          <w:color w:val="000000" w:themeColor="text1"/>
        </w:rPr>
        <w:t>本處於</w:t>
      </w:r>
      <w:proofErr w:type="gramStart"/>
      <w:r w:rsidRPr="00E77932">
        <w:rPr>
          <w:rFonts w:ascii="標楷體" w:eastAsia="標楷體" w:hAnsi="標楷體" w:hint="eastAsia"/>
          <w:color w:val="000000" w:themeColor="text1"/>
        </w:rPr>
        <w:t>112</w:t>
      </w:r>
      <w:proofErr w:type="gramEnd"/>
      <w:r w:rsidRPr="00E77932">
        <w:rPr>
          <w:rFonts w:ascii="標楷體" w:eastAsia="標楷體" w:hAnsi="標楷體" w:hint="eastAsia"/>
          <w:color w:val="000000" w:themeColor="text1"/>
        </w:rPr>
        <w:t>年度審核報告內列重要審核意見3項，經</w:t>
      </w:r>
      <w:proofErr w:type="gramStart"/>
      <w:r w:rsidRPr="00E77932">
        <w:rPr>
          <w:rFonts w:ascii="標楷體" w:eastAsia="標楷體" w:hAnsi="標楷體" w:hint="eastAsia"/>
          <w:color w:val="000000" w:themeColor="text1"/>
        </w:rPr>
        <w:t>賡</w:t>
      </w:r>
      <w:proofErr w:type="gramEnd"/>
      <w:r w:rsidRPr="00E77932">
        <w:rPr>
          <w:rFonts w:ascii="標楷體" w:eastAsia="標楷體" w:hAnsi="標楷體" w:hint="eastAsia"/>
          <w:color w:val="000000" w:themeColor="text1"/>
        </w:rPr>
        <w:t>續追蹤查核實際辦理結果，均已</w:t>
      </w:r>
      <w:proofErr w:type="gramStart"/>
      <w:r w:rsidRPr="00E77932">
        <w:rPr>
          <w:rFonts w:ascii="標楷體" w:eastAsia="標楷體" w:hAnsi="標楷體" w:hint="eastAsia"/>
          <w:color w:val="000000" w:themeColor="text1"/>
        </w:rPr>
        <w:t>研</w:t>
      </w:r>
      <w:proofErr w:type="gramEnd"/>
      <w:r w:rsidRPr="00E77932">
        <w:rPr>
          <w:rFonts w:ascii="標楷體" w:eastAsia="標楷體" w:hAnsi="標楷體" w:hint="eastAsia"/>
          <w:color w:val="000000" w:themeColor="text1"/>
        </w:rPr>
        <w:t>謀改善或依改善措施持續辦理（表</w:t>
      </w:r>
      <w:r w:rsidRPr="00E77932">
        <w:rPr>
          <w:rFonts w:ascii="標楷體" w:eastAsia="標楷體" w:hAnsi="標楷體"/>
          <w:color w:val="000000" w:themeColor="text1"/>
        </w:rPr>
        <w:t>2</w:t>
      </w:r>
      <w:r w:rsidRPr="00E77932">
        <w:rPr>
          <w:rFonts w:ascii="標楷體" w:eastAsia="標楷體" w:hAnsi="標楷體" w:hint="eastAsia"/>
          <w:color w:val="000000" w:themeColor="text1"/>
        </w:rPr>
        <w:t>）。</w:t>
      </w:r>
    </w:p>
    <w:p w14:paraId="58F162DB" w14:textId="6EADB384" w:rsidR="008B567C" w:rsidRPr="00387742" w:rsidRDefault="008B567C" w:rsidP="008B567C">
      <w:pPr>
        <w:overflowPunct w:val="0"/>
        <w:spacing w:afterLines="50" w:after="180" w:line="500" w:lineRule="exact"/>
        <w:jc w:val="center"/>
        <w:rPr>
          <w:rFonts w:ascii="標楷體" w:eastAsia="標楷體" w:hAnsi="標楷體"/>
          <w:b/>
          <w:color w:val="000000" w:themeColor="text1"/>
        </w:rPr>
      </w:pPr>
      <w:r w:rsidRPr="004F6FF3">
        <w:rPr>
          <w:rFonts w:ascii="標楷體" w:eastAsia="標楷體" w:hAnsi="標楷體" w:hint="eastAsia"/>
          <w:b/>
          <w:color w:val="000000" w:themeColor="text1"/>
        </w:rPr>
        <w:t>表</w:t>
      </w:r>
      <w:r>
        <w:rPr>
          <w:rFonts w:ascii="標楷體" w:eastAsia="標楷體" w:hAnsi="標楷體" w:hint="eastAsia"/>
          <w:b/>
          <w:color w:val="000000" w:themeColor="text1"/>
        </w:rPr>
        <w:t>2</w:t>
      </w:r>
      <w:r w:rsidRPr="004F6FF3">
        <w:rPr>
          <w:rFonts w:ascii="標楷體" w:eastAsia="標楷體" w:hAnsi="標楷體" w:hint="eastAsia"/>
          <w:b/>
          <w:color w:val="000000" w:themeColor="text1"/>
        </w:rPr>
        <w:t xml:space="preserve">　</w:t>
      </w:r>
      <w:proofErr w:type="gramStart"/>
      <w:r w:rsidRPr="004F6FF3">
        <w:rPr>
          <w:rFonts w:ascii="標楷體" w:eastAsia="標楷體" w:hAnsi="標楷體" w:hint="eastAsia"/>
          <w:b/>
          <w:color w:val="000000" w:themeColor="text1"/>
        </w:rPr>
        <w:t>11</w:t>
      </w:r>
      <w:r>
        <w:rPr>
          <w:rFonts w:ascii="標楷體" w:eastAsia="標楷體" w:hAnsi="標楷體" w:hint="eastAsia"/>
          <w:b/>
          <w:color w:val="000000" w:themeColor="text1"/>
        </w:rPr>
        <w:t>2</w:t>
      </w:r>
      <w:proofErr w:type="gramEnd"/>
      <w:r w:rsidRPr="004F6FF3">
        <w:rPr>
          <w:rFonts w:ascii="標楷體" w:eastAsia="標楷體" w:hAnsi="標楷體" w:hint="eastAsia"/>
          <w:b/>
          <w:color w:val="000000" w:themeColor="text1"/>
        </w:rPr>
        <w:t>年度審核報告所</w:t>
      </w:r>
      <w:r w:rsidRPr="00387742">
        <w:rPr>
          <w:rFonts w:ascii="標楷體" w:eastAsia="標楷體" w:hAnsi="標楷體" w:hint="eastAsia"/>
          <w:b/>
          <w:color w:val="000000" w:themeColor="text1"/>
        </w:rPr>
        <w:t>列地政局主管重要審核意見覆核辦理情形</w:t>
      </w:r>
    </w:p>
    <w:tbl>
      <w:tblPr>
        <w:tblW w:w="99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6521"/>
        <w:gridCol w:w="3402"/>
      </w:tblGrid>
      <w:tr w:rsidR="008B567C" w:rsidRPr="00E653CE" w14:paraId="258DB2BE" w14:textId="77777777" w:rsidTr="00313D92">
        <w:trPr>
          <w:trHeight w:val="379"/>
        </w:trPr>
        <w:tc>
          <w:tcPr>
            <w:tcW w:w="6521" w:type="dxa"/>
            <w:tcBorders>
              <w:bottom w:val="single" w:sz="4" w:space="0" w:color="auto"/>
            </w:tcBorders>
            <w:shd w:val="clear" w:color="auto" w:fill="auto"/>
            <w:vAlign w:val="center"/>
          </w:tcPr>
          <w:p w14:paraId="3F6A40C1" w14:textId="77777777" w:rsidR="008B567C" w:rsidRPr="00387742" w:rsidRDefault="008B567C" w:rsidP="00824CD6">
            <w:pPr>
              <w:widowControl/>
              <w:overflowPunct w:val="0"/>
              <w:spacing w:line="240" w:lineRule="exact"/>
              <w:jc w:val="center"/>
              <w:rPr>
                <w:rFonts w:ascii="標楷體" w:eastAsia="標楷體" w:hAnsi="標楷體"/>
                <w:color w:val="000000" w:themeColor="text1"/>
                <w:sz w:val="20"/>
                <w:szCs w:val="20"/>
              </w:rPr>
            </w:pPr>
            <w:r w:rsidRPr="00387742">
              <w:rPr>
                <w:rFonts w:ascii="標楷體" w:eastAsia="標楷體" w:hAnsi="標楷體" w:hint="eastAsia"/>
                <w:color w:val="000000" w:themeColor="text1"/>
                <w:sz w:val="20"/>
                <w:szCs w:val="20"/>
              </w:rPr>
              <w:t>重要審核意見標題</w:t>
            </w:r>
          </w:p>
        </w:tc>
        <w:tc>
          <w:tcPr>
            <w:tcW w:w="3402" w:type="dxa"/>
            <w:tcBorders>
              <w:bottom w:val="single" w:sz="4" w:space="0" w:color="auto"/>
            </w:tcBorders>
            <w:shd w:val="clear" w:color="auto" w:fill="auto"/>
            <w:vAlign w:val="center"/>
          </w:tcPr>
          <w:p w14:paraId="6A42F3BE" w14:textId="77777777" w:rsidR="008B567C" w:rsidRPr="00F30F16" w:rsidRDefault="008B567C" w:rsidP="00824CD6">
            <w:pPr>
              <w:widowControl/>
              <w:overflowPunct w:val="0"/>
              <w:spacing w:line="240" w:lineRule="exact"/>
              <w:jc w:val="center"/>
              <w:rPr>
                <w:rFonts w:ascii="標楷體" w:eastAsia="標楷體" w:hAnsi="標楷體"/>
                <w:color w:val="000000" w:themeColor="text1"/>
                <w:sz w:val="20"/>
                <w:szCs w:val="20"/>
              </w:rPr>
            </w:pPr>
            <w:r w:rsidRPr="00F30F16">
              <w:rPr>
                <w:rFonts w:ascii="標楷體" w:eastAsia="標楷體" w:hAnsi="標楷體"/>
                <w:color w:val="000000" w:themeColor="text1"/>
                <w:sz w:val="20"/>
                <w:szCs w:val="20"/>
              </w:rPr>
              <w:t>說明</w:t>
            </w:r>
          </w:p>
        </w:tc>
      </w:tr>
      <w:tr w:rsidR="008B567C" w:rsidRPr="00E653CE" w14:paraId="2644E83D" w14:textId="77777777" w:rsidTr="00313D92">
        <w:trPr>
          <w:trHeight w:val="358"/>
        </w:trPr>
        <w:tc>
          <w:tcPr>
            <w:tcW w:w="6521" w:type="dxa"/>
            <w:tcBorders>
              <w:right w:val="nil"/>
            </w:tcBorders>
            <w:shd w:val="clear" w:color="auto" w:fill="auto"/>
            <w:vAlign w:val="center"/>
          </w:tcPr>
          <w:p w14:paraId="480EDA05" w14:textId="77777777" w:rsidR="008B567C" w:rsidRPr="00387742" w:rsidRDefault="008B567C" w:rsidP="00824CD6">
            <w:pPr>
              <w:widowControl/>
              <w:overflowPunct w:val="0"/>
              <w:spacing w:line="240" w:lineRule="exact"/>
              <w:jc w:val="both"/>
              <w:rPr>
                <w:rFonts w:ascii="標楷體" w:eastAsia="標楷體"/>
                <w:b/>
                <w:color w:val="000000" w:themeColor="text1"/>
                <w:sz w:val="20"/>
                <w:szCs w:val="20"/>
              </w:rPr>
            </w:pPr>
            <w:r w:rsidRPr="00387742">
              <w:rPr>
                <w:rFonts w:ascii="標楷體" w:eastAsia="標楷體" w:hint="eastAsia"/>
                <w:b/>
                <w:color w:val="000000" w:themeColor="text1"/>
                <w:sz w:val="20"/>
                <w:szCs w:val="20"/>
              </w:rPr>
              <w:t>已</w:t>
            </w:r>
            <w:proofErr w:type="gramStart"/>
            <w:r w:rsidRPr="00387742">
              <w:rPr>
                <w:rFonts w:ascii="標楷體" w:eastAsia="標楷體" w:hint="eastAsia"/>
                <w:b/>
                <w:color w:val="000000" w:themeColor="text1"/>
                <w:sz w:val="20"/>
                <w:szCs w:val="20"/>
              </w:rPr>
              <w:t>研</w:t>
            </w:r>
            <w:proofErr w:type="gramEnd"/>
            <w:r w:rsidRPr="00387742">
              <w:rPr>
                <w:rFonts w:ascii="標楷體" w:eastAsia="標楷體" w:hint="eastAsia"/>
                <w:b/>
                <w:color w:val="000000" w:themeColor="text1"/>
                <w:sz w:val="20"/>
                <w:szCs w:val="20"/>
              </w:rPr>
              <w:t>謀改善或依改善措施持續辦理</w:t>
            </w:r>
          </w:p>
        </w:tc>
        <w:tc>
          <w:tcPr>
            <w:tcW w:w="3402" w:type="dxa"/>
            <w:tcBorders>
              <w:left w:val="nil"/>
              <w:bottom w:val="single" w:sz="4" w:space="0" w:color="auto"/>
            </w:tcBorders>
            <w:shd w:val="clear" w:color="auto" w:fill="auto"/>
            <w:vAlign w:val="center"/>
          </w:tcPr>
          <w:p w14:paraId="7CCED817" w14:textId="77777777" w:rsidR="008B567C" w:rsidRPr="00F30F16" w:rsidRDefault="008B567C" w:rsidP="00824CD6">
            <w:pPr>
              <w:widowControl/>
              <w:overflowPunct w:val="0"/>
              <w:spacing w:line="240" w:lineRule="exact"/>
              <w:jc w:val="both"/>
              <w:rPr>
                <w:rFonts w:ascii="標楷體" w:eastAsia="標楷體" w:hAnsi="標楷體"/>
                <w:color w:val="000000" w:themeColor="text1"/>
                <w:sz w:val="20"/>
                <w:szCs w:val="20"/>
              </w:rPr>
            </w:pPr>
          </w:p>
        </w:tc>
      </w:tr>
      <w:tr w:rsidR="008B567C" w:rsidRPr="00E653CE" w14:paraId="0E64D21C" w14:textId="77777777" w:rsidTr="00DF5F46">
        <w:trPr>
          <w:trHeight w:val="879"/>
        </w:trPr>
        <w:tc>
          <w:tcPr>
            <w:tcW w:w="6521" w:type="dxa"/>
            <w:shd w:val="clear" w:color="auto" w:fill="auto"/>
            <w:vAlign w:val="center"/>
          </w:tcPr>
          <w:p w14:paraId="3C8E25A1" w14:textId="77777777" w:rsidR="008B567C" w:rsidRPr="00387742" w:rsidRDefault="008B567C" w:rsidP="00CB7F03">
            <w:pPr>
              <w:widowControl/>
              <w:overflowPunct w:val="0"/>
              <w:spacing w:line="280" w:lineRule="exact"/>
              <w:ind w:left="600" w:hangingChars="300" w:hanging="600"/>
              <w:jc w:val="both"/>
              <w:rPr>
                <w:rFonts w:ascii="標楷體" w:eastAsia="標楷體" w:hAnsi="標楷體"/>
                <w:color w:val="000000" w:themeColor="text1"/>
                <w:sz w:val="20"/>
                <w:szCs w:val="20"/>
              </w:rPr>
            </w:pPr>
            <w:r w:rsidRPr="00387742">
              <w:rPr>
                <w:rFonts w:ascii="標楷體" w:eastAsia="標楷體" w:hAnsi="標楷體" w:hint="eastAsia"/>
                <w:color w:val="000000" w:themeColor="text1"/>
                <w:sz w:val="20"/>
                <w:szCs w:val="20"/>
              </w:rPr>
              <w:t>（</w:t>
            </w:r>
            <w:r>
              <w:rPr>
                <w:rFonts w:ascii="標楷體" w:eastAsia="標楷體" w:hAnsi="標楷體" w:hint="eastAsia"/>
                <w:color w:val="000000" w:themeColor="text1"/>
                <w:sz w:val="20"/>
                <w:szCs w:val="20"/>
              </w:rPr>
              <w:t>一）</w:t>
            </w:r>
            <w:bookmarkStart w:id="108" w:name="_Hlk170377319"/>
            <w:r w:rsidRPr="00E7367C">
              <w:rPr>
                <w:rFonts w:ascii="標楷體" w:eastAsia="標楷體" w:hAnsi="標楷體" w:hint="eastAsia"/>
                <w:color w:val="000000" w:themeColor="text1"/>
                <w:sz w:val="20"/>
                <w:szCs w:val="20"/>
              </w:rPr>
              <w:t>逾期未辦繼承登記不動產數量眾多金額龐鉅，土地公告現值近780億元，</w:t>
            </w:r>
            <w:proofErr w:type="gramStart"/>
            <w:r w:rsidRPr="00E7367C">
              <w:rPr>
                <w:rFonts w:ascii="標楷體" w:eastAsia="標楷體" w:hAnsi="標楷體" w:hint="eastAsia"/>
                <w:color w:val="000000" w:themeColor="text1"/>
                <w:sz w:val="20"/>
                <w:szCs w:val="20"/>
              </w:rPr>
              <w:t>惟</w:t>
            </w:r>
            <w:bookmarkEnd w:id="108"/>
            <w:r w:rsidRPr="00E7367C">
              <w:rPr>
                <w:rFonts w:ascii="標楷體" w:eastAsia="標楷體" w:hAnsi="標楷體" w:hint="eastAsia"/>
                <w:color w:val="000000" w:themeColor="text1"/>
                <w:sz w:val="20"/>
                <w:szCs w:val="20"/>
              </w:rPr>
              <w:t>間有現況</w:t>
            </w:r>
            <w:proofErr w:type="gramEnd"/>
            <w:r w:rsidRPr="00E7367C">
              <w:rPr>
                <w:rFonts w:ascii="標楷體" w:eastAsia="標楷體" w:hAnsi="標楷體" w:hint="eastAsia"/>
                <w:color w:val="000000" w:themeColor="text1"/>
                <w:sz w:val="20"/>
                <w:szCs w:val="20"/>
              </w:rPr>
              <w:t>與列管資料不符，在管理與揭露機制未</w:t>
            </w:r>
            <w:proofErr w:type="gramStart"/>
            <w:r w:rsidRPr="00E7367C">
              <w:rPr>
                <w:rFonts w:ascii="標楷體" w:eastAsia="標楷體" w:hAnsi="標楷體" w:hint="eastAsia"/>
                <w:color w:val="000000" w:themeColor="text1"/>
                <w:sz w:val="20"/>
                <w:szCs w:val="20"/>
              </w:rPr>
              <w:t>臻</w:t>
            </w:r>
            <w:proofErr w:type="gramEnd"/>
            <w:r w:rsidRPr="00E7367C">
              <w:rPr>
                <w:rFonts w:ascii="標楷體" w:eastAsia="標楷體" w:hAnsi="標楷體" w:hint="eastAsia"/>
                <w:color w:val="000000" w:themeColor="text1"/>
                <w:sz w:val="20"/>
                <w:szCs w:val="20"/>
              </w:rPr>
              <w:t>完善情況下，易衍生公安與治安風險，</w:t>
            </w:r>
            <w:proofErr w:type="gramStart"/>
            <w:r w:rsidRPr="00E7367C">
              <w:rPr>
                <w:rFonts w:ascii="標楷體" w:eastAsia="標楷體" w:hAnsi="標楷體" w:hint="eastAsia"/>
                <w:color w:val="000000" w:themeColor="text1"/>
                <w:sz w:val="20"/>
                <w:szCs w:val="20"/>
              </w:rPr>
              <w:t>均待通盤</w:t>
            </w:r>
            <w:proofErr w:type="gramEnd"/>
            <w:r w:rsidRPr="00E7367C">
              <w:rPr>
                <w:rFonts w:ascii="標楷體" w:eastAsia="標楷體" w:hAnsi="標楷體" w:hint="eastAsia"/>
                <w:color w:val="000000" w:themeColor="text1"/>
                <w:sz w:val="20"/>
                <w:szCs w:val="20"/>
              </w:rPr>
              <w:t>檢討</w:t>
            </w:r>
            <w:r w:rsidRPr="00265EB8">
              <w:rPr>
                <w:rFonts w:ascii="標楷體" w:eastAsia="標楷體" w:hAnsi="標楷體" w:hint="eastAsia"/>
                <w:color w:val="000000" w:themeColor="text1"/>
                <w:sz w:val="20"/>
                <w:szCs w:val="20"/>
              </w:rPr>
              <w:t>。</w:t>
            </w:r>
          </w:p>
        </w:tc>
        <w:tc>
          <w:tcPr>
            <w:tcW w:w="3402" w:type="dxa"/>
            <w:vMerge w:val="restart"/>
            <w:tcBorders>
              <w:tl2br w:val="single" w:sz="4" w:space="0" w:color="auto"/>
            </w:tcBorders>
            <w:shd w:val="clear" w:color="auto" w:fill="auto"/>
          </w:tcPr>
          <w:p w14:paraId="3446778B" w14:textId="77777777" w:rsidR="008B567C" w:rsidRPr="00F30F16" w:rsidRDefault="008B567C" w:rsidP="00824CD6">
            <w:pPr>
              <w:widowControl/>
              <w:overflowPunct w:val="0"/>
              <w:spacing w:line="320" w:lineRule="exact"/>
              <w:jc w:val="both"/>
              <w:rPr>
                <w:rFonts w:ascii="標楷體" w:eastAsia="標楷體" w:hAnsi="標楷體"/>
                <w:color w:val="000000" w:themeColor="text1"/>
                <w:sz w:val="20"/>
                <w:szCs w:val="20"/>
              </w:rPr>
            </w:pPr>
          </w:p>
        </w:tc>
      </w:tr>
      <w:tr w:rsidR="008B567C" w:rsidRPr="00930C77" w14:paraId="4FE9DB6C" w14:textId="77777777" w:rsidTr="00313D92">
        <w:trPr>
          <w:trHeight w:val="704"/>
        </w:trPr>
        <w:tc>
          <w:tcPr>
            <w:tcW w:w="6521" w:type="dxa"/>
            <w:shd w:val="clear" w:color="auto" w:fill="auto"/>
            <w:vAlign w:val="center"/>
          </w:tcPr>
          <w:p w14:paraId="4CDD4201" w14:textId="77777777" w:rsidR="008B567C" w:rsidRPr="00387742" w:rsidRDefault="008B567C" w:rsidP="00CB7F03">
            <w:pPr>
              <w:widowControl/>
              <w:overflowPunct w:val="0"/>
              <w:spacing w:line="280" w:lineRule="exact"/>
              <w:ind w:left="600" w:hangingChars="300" w:hanging="600"/>
              <w:jc w:val="both"/>
              <w:rPr>
                <w:rFonts w:ascii="標楷體" w:eastAsia="標楷體" w:hAnsi="標楷體"/>
                <w:color w:val="000000" w:themeColor="text1"/>
                <w:sz w:val="20"/>
                <w:szCs w:val="20"/>
              </w:rPr>
            </w:pPr>
            <w:r w:rsidRPr="000D73AE">
              <w:rPr>
                <w:rFonts w:ascii="標楷體" w:eastAsia="標楷體" w:hAnsi="標楷體" w:hint="eastAsia"/>
                <w:color w:val="000000" w:themeColor="text1"/>
                <w:sz w:val="20"/>
                <w:szCs w:val="20"/>
              </w:rPr>
              <w:t>（</w:t>
            </w:r>
            <w:r>
              <w:rPr>
                <w:rFonts w:ascii="標楷體" w:eastAsia="標楷體" w:hAnsi="標楷體" w:hint="eastAsia"/>
                <w:color w:val="000000" w:themeColor="text1"/>
                <w:sz w:val="20"/>
                <w:szCs w:val="20"/>
              </w:rPr>
              <w:t>二）</w:t>
            </w:r>
            <w:r w:rsidRPr="00E7367C">
              <w:rPr>
                <w:rFonts w:ascii="標楷體" w:eastAsia="標楷體" w:hAnsi="標楷體" w:hint="eastAsia"/>
                <w:color w:val="000000" w:themeColor="text1"/>
                <w:sz w:val="20"/>
                <w:szCs w:val="20"/>
              </w:rPr>
              <w:t>委外辦理社子島區段徵收範圍土地改良物查估作業，廠商自109年10月起陸續交付查估成果，惟歷時</w:t>
            </w:r>
            <w:proofErr w:type="gramStart"/>
            <w:r w:rsidRPr="00E7367C">
              <w:rPr>
                <w:rFonts w:ascii="標楷體" w:eastAsia="標楷體" w:hAnsi="標楷體" w:hint="eastAsia"/>
                <w:color w:val="000000" w:themeColor="text1"/>
                <w:sz w:val="20"/>
                <w:szCs w:val="20"/>
              </w:rPr>
              <w:t>3年餘僅完成</w:t>
            </w:r>
            <w:proofErr w:type="gramEnd"/>
            <w:r w:rsidRPr="00E7367C">
              <w:rPr>
                <w:rFonts w:ascii="標楷體" w:eastAsia="標楷體" w:hAnsi="標楷體" w:hint="eastAsia"/>
                <w:color w:val="000000" w:themeColor="text1"/>
                <w:sz w:val="20"/>
                <w:szCs w:val="20"/>
              </w:rPr>
              <w:t>189件驗收，約占第一期拆遷範圍內應查驗件數之11％，進度緩慢</w:t>
            </w:r>
            <w:r w:rsidRPr="00491D6D">
              <w:rPr>
                <w:rFonts w:ascii="標楷體" w:eastAsia="標楷體" w:hAnsi="標楷體" w:hint="eastAsia"/>
                <w:color w:val="000000" w:themeColor="text1"/>
                <w:sz w:val="20"/>
                <w:szCs w:val="20"/>
              </w:rPr>
              <w:t>。</w:t>
            </w:r>
          </w:p>
        </w:tc>
        <w:tc>
          <w:tcPr>
            <w:tcW w:w="3402" w:type="dxa"/>
            <w:vMerge/>
            <w:tcBorders>
              <w:tl2br w:val="single" w:sz="4" w:space="0" w:color="auto"/>
            </w:tcBorders>
            <w:shd w:val="clear" w:color="auto" w:fill="auto"/>
          </w:tcPr>
          <w:p w14:paraId="5F3A054A" w14:textId="77777777" w:rsidR="008B567C" w:rsidRPr="00F30F16" w:rsidRDefault="008B567C" w:rsidP="00824CD6">
            <w:pPr>
              <w:widowControl/>
              <w:overflowPunct w:val="0"/>
              <w:spacing w:line="320" w:lineRule="exact"/>
              <w:jc w:val="both"/>
              <w:rPr>
                <w:rFonts w:ascii="標楷體" w:eastAsia="標楷體" w:hAnsi="標楷體"/>
                <w:color w:val="000000" w:themeColor="text1"/>
                <w:sz w:val="20"/>
                <w:szCs w:val="20"/>
              </w:rPr>
            </w:pPr>
          </w:p>
        </w:tc>
      </w:tr>
      <w:tr w:rsidR="008B567C" w:rsidRPr="00E653CE" w14:paraId="47D101C3" w14:textId="77777777" w:rsidTr="00313D92">
        <w:trPr>
          <w:trHeight w:val="524"/>
        </w:trPr>
        <w:tc>
          <w:tcPr>
            <w:tcW w:w="6521" w:type="dxa"/>
            <w:shd w:val="clear" w:color="auto" w:fill="auto"/>
            <w:vAlign w:val="center"/>
          </w:tcPr>
          <w:p w14:paraId="59939B85" w14:textId="77777777" w:rsidR="008B567C" w:rsidRPr="00387742" w:rsidRDefault="008B567C" w:rsidP="00CB7F03">
            <w:pPr>
              <w:widowControl/>
              <w:overflowPunct w:val="0"/>
              <w:spacing w:line="280" w:lineRule="exact"/>
              <w:ind w:left="600" w:hangingChars="300" w:hanging="600"/>
              <w:jc w:val="both"/>
              <w:rPr>
                <w:rFonts w:ascii="標楷體" w:eastAsia="標楷體" w:hAnsi="標楷體"/>
                <w:color w:val="000000" w:themeColor="text1"/>
                <w:sz w:val="20"/>
                <w:szCs w:val="20"/>
              </w:rPr>
            </w:pPr>
            <w:r w:rsidRPr="000D73AE">
              <w:rPr>
                <w:rFonts w:ascii="標楷體" w:eastAsia="標楷體" w:hAnsi="標楷體" w:hint="eastAsia"/>
                <w:color w:val="000000" w:themeColor="text1"/>
                <w:sz w:val="20"/>
                <w:szCs w:val="20"/>
              </w:rPr>
              <w:t>（</w:t>
            </w:r>
            <w:r>
              <w:rPr>
                <w:rFonts w:ascii="標楷體" w:eastAsia="標楷體" w:hAnsi="標楷體" w:hint="eastAsia"/>
                <w:color w:val="000000" w:themeColor="text1"/>
                <w:sz w:val="20"/>
                <w:szCs w:val="20"/>
              </w:rPr>
              <w:t>三）</w:t>
            </w:r>
            <w:r w:rsidRPr="00E7367C">
              <w:rPr>
                <w:rFonts w:ascii="標楷體" w:eastAsia="標楷體" w:hAnsi="標楷體" w:hint="eastAsia"/>
                <w:color w:val="000000" w:themeColor="text1"/>
                <w:sz w:val="20"/>
                <w:szCs w:val="20"/>
              </w:rPr>
              <w:t>木柵路四段、五段附近區域區段徵收案，預算執行率連續</w:t>
            </w:r>
            <w:proofErr w:type="gramStart"/>
            <w:r w:rsidRPr="00E7367C">
              <w:rPr>
                <w:rFonts w:ascii="標楷體" w:eastAsia="標楷體" w:hAnsi="標楷體" w:hint="eastAsia"/>
                <w:color w:val="000000" w:themeColor="text1"/>
                <w:sz w:val="20"/>
                <w:szCs w:val="20"/>
              </w:rPr>
              <w:t>3年度均偏低</w:t>
            </w:r>
            <w:proofErr w:type="gramEnd"/>
            <w:r w:rsidRPr="00E7367C">
              <w:rPr>
                <w:rFonts w:ascii="標楷體" w:eastAsia="標楷體" w:hAnsi="標楷體" w:hint="eastAsia"/>
                <w:color w:val="000000" w:themeColor="text1"/>
                <w:sz w:val="20"/>
                <w:szCs w:val="20"/>
              </w:rPr>
              <w:t>，有待加強溝通協調，以加速完善建設</w:t>
            </w:r>
            <w:r w:rsidRPr="00491D6D">
              <w:rPr>
                <w:rFonts w:ascii="標楷體" w:eastAsia="標楷體" w:hAnsi="標楷體" w:hint="eastAsia"/>
                <w:color w:val="000000" w:themeColor="text1"/>
                <w:sz w:val="20"/>
                <w:szCs w:val="20"/>
              </w:rPr>
              <w:t>。</w:t>
            </w:r>
          </w:p>
        </w:tc>
        <w:tc>
          <w:tcPr>
            <w:tcW w:w="3402" w:type="dxa"/>
            <w:vMerge/>
            <w:tcBorders>
              <w:tl2br w:val="single" w:sz="4" w:space="0" w:color="auto"/>
            </w:tcBorders>
            <w:shd w:val="clear" w:color="auto" w:fill="auto"/>
          </w:tcPr>
          <w:p w14:paraId="0EC21CA1" w14:textId="77777777" w:rsidR="008B567C" w:rsidRPr="00F30F16" w:rsidRDefault="008B567C" w:rsidP="00824CD6">
            <w:pPr>
              <w:widowControl/>
              <w:overflowPunct w:val="0"/>
              <w:spacing w:line="320" w:lineRule="exact"/>
              <w:jc w:val="both"/>
              <w:rPr>
                <w:rFonts w:ascii="標楷體" w:eastAsia="標楷體" w:hAnsi="標楷體"/>
                <w:color w:val="000000" w:themeColor="text1"/>
                <w:sz w:val="20"/>
                <w:szCs w:val="20"/>
              </w:rPr>
            </w:pPr>
          </w:p>
        </w:tc>
      </w:tr>
    </w:tbl>
    <w:p w14:paraId="6B4DE423" w14:textId="77777777" w:rsidR="008B567C" w:rsidRPr="008B567C" w:rsidRDefault="008B567C" w:rsidP="008B567C">
      <w:pPr>
        <w:spacing w:afterLines="20" w:after="72" w:line="460" w:lineRule="exact"/>
        <w:jc w:val="both"/>
        <w:rPr>
          <w:rFonts w:ascii="標楷體" w:eastAsia="標楷體" w:hAnsi="標楷體" w:cs="Times New Roman"/>
          <w:b/>
          <w:sz w:val="36"/>
          <w:szCs w:val="36"/>
        </w:rPr>
      </w:pPr>
      <w:r w:rsidRPr="008B567C">
        <w:rPr>
          <w:rFonts w:ascii="標楷體" w:eastAsia="標楷體" w:hAnsi="標楷體" w:cs="Times New Roman" w:hint="eastAsia"/>
          <w:b/>
          <w:sz w:val="36"/>
          <w:szCs w:val="36"/>
        </w:rPr>
        <w:lastRenderedPageBreak/>
        <w:t>貳拾、兵役局主管</w:t>
      </w:r>
    </w:p>
    <w:p w14:paraId="2635F818" w14:textId="77777777" w:rsidR="008B567C" w:rsidRPr="008B567C" w:rsidRDefault="008B567C" w:rsidP="00446B55">
      <w:pPr>
        <w:overflowPunct w:val="0"/>
        <w:spacing w:line="400" w:lineRule="exact"/>
        <w:ind w:firstLineChars="200" w:firstLine="480"/>
        <w:jc w:val="both"/>
        <w:rPr>
          <w:rFonts w:ascii="標楷體" w:eastAsia="標楷體" w:hAnsi="標楷體" w:cs="Times New Roman"/>
          <w:szCs w:val="24"/>
        </w:rPr>
      </w:pPr>
      <w:r w:rsidRPr="008B567C">
        <w:rPr>
          <w:rFonts w:ascii="標楷體" w:eastAsia="標楷體" w:hAnsi="標楷體" w:cs="Times New Roman" w:hint="eastAsia"/>
          <w:szCs w:val="24"/>
        </w:rPr>
        <w:t>兵役局主管僅兵役局1個機關，掌理全市兵役行政、役政關懷</w:t>
      </w:r>
      <w:proofErr w:type="gramStart"/>
      <w:r w:rsidRPr="008B567C">
        <w:rPr>
          <w:rFonts w:ascii="標楷體" w:eastAsia="標楷體" w:hAnsi="標楷體" w:cs="Times New Roman" w:hint="eastAsia"/>
          <w:szCs w:val="24"/>
        </w:rPr>
        <w:t>及軍墓服務</w:t>
      </w:r>
      <w:proofErr w:type="gramEnd"/>
      <w:r w:rsidRPr="008B567C">
        <w:rPr>
          <w:rFonts w:ascii="標楷體" w:eastAsia="標楷體" w:hAnsi="標楷體" w:cs="Times New Roman" w:hint="eastAsia"/>
          <w:szCs w:val="24"/>
        </w:rPr>
        <w:t>等事項。茲將</w:t>
      </w:r>
      <w:proofErr w:type="gramStart"/>
      <w:r w:rsidRPr="008B567C">
        <w:rPr>
          <w:rFonts w:ascii="標楷體" w:eastAsia="標楷體" w:hAnsi="標楷體" w:cs="Times New Roman"/>
          <w:szCs w:val="24"/>
        </w:rPr>
        <w:t>11</w:t>
      </w:r>
      <w:r w:rsidRPr="008B567C">
        <w:rPr>
          <w:rFonts w:ascii="標楷體" w:eastAsia="標楷體" w:hAnsi="標楷體" w:cs="Times New Roman" w:hint="eastAsia"/>
          <w:szCs w:val="24"/>
        </w:rPr>
        <w:t>3</w:t>
      </w:r>
      <w:proofErr w:type="gramEnd"/>
      <w:r w:rsidRPr="008B567C">
        <w:rPr>
          <w:rFonts w:ascii="標楷體" w:eastAsia="標楷體" w:hAnsi="標楷體" w:cs="Times New Roman" w:hint="eastAsia"/>
          <w:szCs w:val="24"/>
        </w:rPr>
        <w:t>年度決算審核結果說明如次：</w:t>
      </w:r>
    </w:p>
    <w:p w14:paraId="7F7B816A" w14:textId="77777777" w:rsidR="008B567C" w:rsidRPr="008B567C" w:rsidRDefault="008B567C" w:rsidP="008B567C">
      <w:pPr>
        <w:spacing w:before="20" w:after="20" w:line="460" w:lineRule="exact"/>
        <w:ind w:leftChars="100" w:left="240"/>
        <w:jc w:val="both"/>
        <w:rPr>
          <w:rFonts w:ascii="標楷體" w:eastAsia="標楷體" w:hAnsi="標楷體" w:cs="Times New Roman"/>
          <w:b/>
          <w:sz w:val="28"/>
          <w:szCs w:val="28"/>
        </w:rPr>
      </w:pPr>
      <w:r w:rsidRPr="008B567C">
        <w:rPr>
          <w:rFonts w:ascii="標楷體" w:eastAsia="標楷體" w:hAnsi="標楷體" w:cs="Times New Roman" w:hint="eastAsia"/>
          <w:b/>
          <w:sz w:val="28"/>
          <w:szCs w:val="28"/>
        </w:rPr>
        <w:t>（一）</w:t>
      </w:r>
      <w:r w:rsidRPr="008B567C">
        <w:rPr>
          <w:rFonts w:ascii="標楷體" w:eastAsia="標楷體" w:hAnsi="標楷體" w:cs="Times New Roman"/>
          <w:b/>
          <w:sz w:val="28"/>
          <w:szCs w:val="28"/>
        </w:rPr>
        <w:t>計畫實施之查核</w:t>
      </w:r>
    </w:p>
    <w:p w14:paraId="4020B166" w14:textId="77777777" w:rsidR="008B567C" w:rsidRPr="005A14A4" w:rsidRDefault="008B567C" w:rsidP="00446B55">
      <w:pPr>
        <w:overflowPunct w:val="0"/>
        <w:spacing w:line="400" w:lineRule="exact"/>
        <w:ind w:firstLineChars="200" w:firstLine="472"/>
        <w:jc w:val="both"/>
        <w:rPr>
          <w:rFonts w:ascii="標楷體" w:eastAsia="標楷體" w:hAnsi="標楷體" w:cs="Times New Roman"/>
          <w:spacing w:val="-2"/>
          <w:szCs w:val="24"/>
        </w:rPr>
      </w:pPr>
      <w:r w:rsidRPr="005A14A4">
        <w:rPr>
          <w:rFonts w:ascii="標楷體" w:eastAsia="標楷體" w:hAnsi="標楷體" w:cs="Times New Roman"/>
          <w:spacing w:val="-2"/>
          <w:szCs w:val="24"/>
        </w:rPr>
        <w:t>業務計畫4項，下分工作計畫</w:t>
      </w:r>
      <w:r w:rsidRPr="005A14A4">
        <w:rPr>
          <w:rFonts w:ascii="標楷體" w:eastAsia="標楷體" w:hAnsi="標楷體" w:cs="Times New Roman" w:hint="eastAsia"/>
          <w:spacing w:val="-2"/>
          <w:szCs w:val="24"/>
        </w:rPr>
        <w:t>8</w:t>
      </w:r>
      <w:r w:rsidRPr="005A14A4">
        <w:rPr>
          <w:rFonts w:ascii="標楷體" w:eastAsia="標楷體" w:hAnsi="標楷體" w:cs="Times New Roman"/>
          <w:spacing w:val="-2"/>
          <w:szCs w:val="24"/>
        </w:rPr>
        <w:t>項，</w:t>
      </w:r>
      <w:r w:rsidRPr="005A14A4">
        <w:rPr>
          <w:rFonts w:ascii="標楷體" w:eastAsia="標楷體" w:hAnsi="標楷體" w:cs="Times New Roman" w:hint="eastAsia"/>
          <w:spacing w:val="-2"/>
          <w:szCs w:val="24"/>
        </w:rPr>
        <w:t>包括辦理兵役徵集勤務、</w:t>
      </w:r>
      <w:proofErr w:type="gramStart"/>
      <w:r w:rsidRPr="005A14A4">
        <w:rPr>
          <w:rFonts w:ascii="標楷體" w:eastAsia="標楷體" w:hAnsi="標楷體" w:cs="Times New Roman" w:hint="eastAsia"/>
          <w:spacing w:val="-2"/>
          <w:szCs w:val="24"/>
        </w:rPr>
        <w:t>權益編管</w:t>
      </w:r>
      <w:proofErr w:type="gramEnd"/>
      <w:r w:rsidRPr="005A14A4">
        <w:rPr>
          <w:rFonts w:ascii="標楷體" w:eastAsia="標楷體" w:hAnsi="標楷體" w:cs="Times New Roman" w:hint="eastAsia"/>
          <w:spacing w:val="-2"/>
          <w:szCs w:val="24"/>
        </w:rPr>
        <w:t>、替代役業務</w:t>
      </w:r>
      <w:proofErr w:type="gramStart"/>
      <w:r w:rsidRPr="005A14A4">
        <w:rPr>
          <w:rFonts w:ascii="標楷體" w:eastAsia="標楷體" w:hAnsi="標楷體" w:cs="Times New Roman" w:hint="eastAsia"/>
          <w:spacing w:val="-2"/>
          <w:szCs w:val="24"/>
        </w:rPr>
        <w:t>及軍墓管理</w:t>
      </w:r>
      <w:proofErr w:type="gramEnd"/>
      <w:r w:rsidRPr="005A14A4">
        <w:rPr>
          <w:rFonts w:ascii="標楷體" w:eastAsia="標楷體" w:hAnsi="標楷體" w:cs="Times New Roman" w:hint="eastAsia"/>
          <w:spacing w:val="-2"/>
          <w:szCs w:val="24"/>
        </w:rPr>
        <w:t>維護等重要施政項目，其中</w:t>
      </w:r>
      <w:r w:rsidRPr="005A14A4">
        <w:rPr>
          <w:rFonts w:ascii="標楷體" w:eastAsia="標楷體" w:hAnsi="標楷體" w:cs="Times New Roman"/>
          <w:spacing w:val="-2"/>
          <w:szCs w:val="24"/>
        </w:rPr>
        <w:t>已執行完成者</w:t>
      </w:r>
      <w:r w:rsidRPr="005A14A4">
        <w:rPr>
          <w:rFonts w:ascii="標楷體" w:eastAsia="標楷體" w:hAnsi="標楷體" w:cs="Times New Roman" w:hint="eastAsia"/>
          <w:spacing w:val="-2"/>
          <w:szCs w:val="24"/>
        </w:rPr>
        <w:t>7</w:t>
      </w:r>
      <w:r w:rsidRPr="005A14A4">
        <w:rPr>
          <w:rFonts w:ascii="標楷體" w:eastAsia="標楷體" w:hAnsi="標楷體" w:cs="Times New Roman"/>
          <w:spacing w:val="-2"/>
          <w:szCs w:val="24"/>
        </w:rPr>
        <w:t>項，尚</w:t>
      </w:r>
      <w:r w:rsidRPr="005A14A4">
        <w:rPr>
          <w:rFonts w:ascii="標楷體" w:eastAsia="標楷體" w:hAnsi="標楷體" w:cs="Times New Roman" w:hint="eastAsia"/>
          <w:spacing w:val="-2"/>
          <w:szCs w:val="24"/>
        </w:rPr>
        <w:t>在</w:t>
      </w:r>
      <w:r w:rsidRPr="005A14A4">
        <w:rPr>
          <w:rFonts w:ascii="標楷體" w:eastAsia="標楷體" w:hAnsi="標楷體" w:cs="Times New Roman"/>
          <w:spacing w:val="-2"/>
          <w:szCs w:val="24"/>
        </w:rPr>
        <w:t>執行者</w:t>
      </w:r>
      <w:r w:rsidRPr="005A14A4">
        <w:rPr>
          <w:rFonts w:ascii="標楷體" w:eastAsia="標楷體" w:hAnsi="標楷體" w:cs="Times New Roman" w:hint="eastAsia"/>
          <w:spacing w:val="-2"/>
          <w:szCs w:val="24"/>
        </w:rPr>
        <w:t>1</w:t>
      </w:r>
      <w:r w:rsidRPr="005A14A4">
        <w:rPr>
          <w:rFonts w:ascii="標楷體" w:eastAsia="標楷體" w:hAnsi="標楷體" w:cs="Times New Roman"/>
          <w:spacing w:val="-2"/>
          <w:szCs w:val="24"/>
        </w:rPr>
        <w:t>項，主要係</w:t>
      </w:r>
      <w:r w:rsidRPr="005A14A4">
        <w:rPr>
          <w:rFonts w:ascii="標楷體" w:eastAsia="標楷體" w:hAnsi="標楷體" w:cs="Times New Roman" w:hint="eastAsia"/>
          <w:spacing w:val="-2"/>
          <w:szCs w:val="24"/>
        </w:rPr>
        <w:t>市定古蹟永樂</w:t>
      </w:r>
      <w:proofErr w:type="gramStart"/>
      <w:r w:rsidRPr="005A14A4">
        <w:rPr>
          <w:rFonts w:ascii="標楷體" w:eastAsia="標楷體" w:hAnsi="標楷體" w:cs="Times New Roman" w:hint="eastAsia"/>
          <w:spacing w:val="-2"/>
          <w:szCs w:val="24"/>
        </w:rPr>
        <w:t>町</w:t>
      </w:r>
      <w:proofErr w:type="gramEnd"/>
      <w:r w:rsidRPr="005A14A4">
        <w:rPr>
          <w:rFonts w:ascii="標楷體" w:eastAsia="標楷體" w:hAnsi="標楷體" w:cs="Times New Roman" w:hint="eastAsia"/>
          <w:spacing w:val="-2"/>
          <w:szCs w:val="24"/>
        </w:rPr>
        <w:t>派出所修復再利用計畫費用分攤款，尚待文化資產審議委員會審查通過後支付，須保留繼續執行。</w:t>
      </w:r>
    </w:p>
    <w:p w14:paraId="4142737E" w14:textId="77777777" w:rsidR="008B567C" w:rsidRPr="008B567C" w:rsidRDefault="008B567C" w:rsidP="008B567C">
      <w:pPr>
        <w:spacing w:before="40" w:after="40" w:line="460" w:lineRule="exact"/>
        <w:ind w:leftChars="100" w:left="240"/>
        <w:jc w:val="both"/>
        <w:rPr>
          <w:rFonts w:ascii="標楷體" w:eastAsia="標楷體" w:hAnsi="標楷體" w:cs="Times New Roman"/>
          <w:b/>
          <w:sz w:val="28"/>
          <w:szCs w:val="28"/>
        </w:rPr>
      </w:pPr>
      <w:r w:rsidRPr="008B567C">
        <w:rPr>
          <w:rFonts w:ascii="標楷體" w:eastAsia="標楷體" w:hAnsi="標楷體" w:cs="Times New Roman" w:hint="eastAsia"/>
          <w:b/>
          <w:sz w:val="28"/>
          <w:szCs w:val="28"/>
        </w:rPr>
        <w:t>（二）</w:t>
      </w:r>
      <w:r w:rsidRPr="008B567C">
        <w:rPr>
          <w:rFonts w:ascii="標楷體" w:eastAsia="標楷體" w:hAnsi="標楷體" w:cs="Times New Roman"/>
          <w:b/>
          <w:sz w:val="28"/>
          <w:szCs w:val="28"/>
        </w:rPr>
        <w:t>預算執行之審核</w:t>
      </w:r>
    </w:p>
    <w:p w14:paraId="2D556FA8" w14:textId="77777777" w:rsidR="008B567C" w:rsidRPr="008B567C" w:rsidRDefault="008B567C" w:rsidP="00446B55">
      <w:pPr>
        <w:overflowPunct w:val="0"/>
        <w:spacing w:line="400" w:lineRule="exact"/>
        <w:ind w:firstLineChars="200" w:firstLine="480"/>
        <w:jc w:val="both"/>
        <w:rPr>
          <w:rFonts w:ascii="標楷體" w:eastAsia="標楷體" w:hAnsi="標楷體" w:cs="Times New Roman"/>
          <w:color w:val="000000" w:themeColor="text1"/>
          <w:szCs w:val="24"/>
        </w:rPr>
      </w:pPr>
      <w:r w:rsidRPr="008B567C">
        <w:rPr>
          <w:rFonts w:ascii="標楷體" w:eastAsia="標楷體" w:hAnsi="標楷體" w:cs="Times New Roman" w:hint="eastAsia"/>
          <w:szCs w:val="24"/>
        </w:rPr>
        <w:t>1.歲入原編列預算數353萬餘元，經追加預算2</w:t>
      </w:r>
      <w:r w:rsidRPr="008B567C">
        <w:rPr>
          <w:rFonts w:ascii="標楷體" w:eastAsia="標楷體" w:hAnsi="標楷體" w:cs="Times New Roman"/>
          <w:szCs w:val="24"/>
        </w:rPr>
        <w:t>,</w:t>
      </w:r>
      <w:r w:rsidRPr="008B567C">
        <w:rPr>
          <w:rFonts w:ascii="標楷體" w:eastAsia="標楷體" w:hAnsi="標楷體" w:cs="Times New Roman" w:hint="eastAsia"/>
          <w:szCs w:val="24"/>
        </w:rPr>
        <w:t>751萬餘元，合計</w:t>
      </w:r>
      <w:r w:rsidRPr="008B567C">
        <w:rPr>
          <w:rFonts w:ascii="標楷體" w:eastAsia="標楷體" w:hAnsi="標楷體" w:cs="Times New Roman"/>
          <w:szCs w:val="24"/>
        </w:rPr>
        <w:t>3,</w:t>
      </w:r>
      <w:r w:rsidRPr="008B567C">
        <w:rPr>
          <w:rFonts w:ascii="標楷體" w:eastAsia="標楷體" w:hAnsi="標楷體" w:cs="Times New Roman" w:hint="eastAsia"/>
          <w:szCs w:val="24"/>
        </w:rPr>
        <w:t>104萬餘元，決算審核</w:t>
      </w:r>
      <w:r w:rsidRPr="008B567C">
        <w:rPr>
          <w:rFonts w:ascii="標楷體" w:eastAsia="標楷體" w:hAnsi="標楷體" w:cs="Times New Roman" w:hint="eastAsia"/>
          <w:color w:val="000000" w:themeColor="text1"/>
          <w:szCs w:val="24"/>
        </w:rPr>
        <w:t>結果，審定實現數3</w:t>
      </w:r>
      <w:r w:rsidRPr="008B567C">
        <w:rPr>
          <w:rFonts w:ascii="標楷體" w:eastAsia="標楷體" w:hAnsi="標楷體" w:cs="Times New Roman"/>
          <w:color w:val="000000" w:themeColor="text1"/>
          <w:szCs w:val="24"/>
        </w:rPr>
        <w:t>,</w:t>
      </w:r>
      <w:r w:rsidRPr="008B567C">
        <w:rPr>
          <w:rFonts w:ascii="標楷體" w:eastAsia="標楷體" w:hAnsi="標楷體" w:cs="Times New Roman" w:hint="eastAsia"/>
          <w:color w:val="000000" w:themeColor="text1"/>
          <w:szCs w:val="24"/>
        </w:rPr>
        <w:t>004萬餘元，較</w:t>
      </w:r>
      <w:r w:rsidRPr="00446B55">
        <w:rPr>
          <w:rFonts w:ascii="標楷體" w:eastAsia="標楷體" w:hAnsi="標楷體" w:cs="Times New Roman" w:hint="eastAsia"/>
          <w:spacing w:val="-2"/>
          <w:szCs w:val="24"/>
        </w:rPr>
        <w:t>預算</w:t>
      </w:r>
      <w:r w:rsidRPr="008B567C">
        <w:rPr>
          <w:rFonts w:ascii="標楷體" w:eastAsia="標楷體" w:hAnsi="標楷體" w:cs="Times New Roman" w:hint="eastAsia"/>
          <w:color w:val="000000" w:themeColor="text1"/>
          <w:szCs w:val="24"/>
        </w:rPr>
        <w:t>減少100萬餘元（3.23％），主要係內政部役政司補助各項</w:t>
      </w:r>
      <w:proofErr w:type="gramStart"/>
      <w:r w:rsidRPr="008B567C">
        <w:rPr>
          <w:rFonts w:ascii="標楷體" w:eastAsia="標楷體" w:hAnsi="標楷體" w:cs="Times New Roman" w:hint="eastAsia"/>
          <w:color w:val="000000" w:themeColor="text1"/>
          <w:szCs w:val="24"/>
        </w:rPr>
        <w:t>慰</w:t>
      </w:r>
      <w:proofErr w:type="gramEnd"/>
      <w:r w:rsidRPr="008B567C">
        <w:rPr>
          <w:rFonts w:ascii="標楷體" w:eastAsia="標楷體" w:hAnsi="標楷體" w:cs="Times New Roman" w:hint="eastAsia"/>
          <w:color w:val="000000" w:themeColor="text1"/>
          <w:szCs w:val="24"/>
        </w:rPr>
        <w:t>（補）助及健保醫療補助案件，依實際執行情形撥款所致。</w:t>
      </w:r>
    </w:p>
    <w:p w14:paraId="41A9536D" w14:textId="77777777" w:rsidR="008B567C" w:rsidRPr="008B567C" w:rsidRDefault="008B567C" w:rsidP="00446B55">
      <w:pPr>
        <w:overflowPunct w:val="0"/>
        <w:spacing w:line="400" w:lineRule="exact"/>
        <w:ind w:firstLineChars="200" w:firstLine="480"/>
        <w:jc w:val="both"/>
        <w:rPr>
          <w:rFonts w:ascii="標楷體" w:eastAsia="標楷體" w:hAnsi="標楷體" w:cs="Times New Roman"/>
          <w:color w:val="000000" w:themeColor="text1"/>
          <w:szCs w:val="24"/>
        </w:rPr>
      </w:pPr>
      <w:r w:rsidRPr="008B567C">
        <w:rPr>
          <w:rFonts w:ascii="標楷體" w:eastAsia="標楷體" w:hAnsi="標楷體" w:cs="Times New Roman" w:hint="eastAsia"/>
          <w:color w:val="000000" w:themeColor="text1"/>
          <w:szCs w:val="24"/>
        </w:rPr>
        <w:t>2.歲出原編列預算數2億77</w:t>
      </w:r>
      <w:r w:rsidRPr="00446B55">
        <w:rPr>
          <w:rFonts w:ascii="標楷體" w:eastAsia="標楷體" w:hAnsi="標楷體" w:cs="Times New Roman" w:hint="eastAsia"/>
          <w:spacing w:val="-2"/>
          <w:szCs w:val="24"/>
        </w:rPr>
        <w:t>萬餘</w:t>
      </w:r>
      <w:r w:rsidRPr="008B567C">
        <w:rPr>
          <w:rFonts w:ascii="標楷體" w:eastAsia="標楷體" w:hAnsi="標楷體" w:cs="Times New Roman" w:hint="eastAsia"/>
          <w:color w:val="000000" w:themeColor="text1"/>
          <w:szCs w:val="24"/>
        </w:rPr>
        <w:t>元，經追加預算2,751萬餘元，合計2億2,828萬餘元，決算審核結果，審定實現數2億1,948萬餘元（96.14％），應付保留數6萬餘元（0.03％），保留原因詳「（一）計畫實施之查核」說明；合計決算審定數為2億1,954萬餘元，預算賸餘873萬餘元（3.83％），主要係各項</w:t>
      </w:r>
      <w:proofErr w:type="gramStart"/>
      <w:r w:rsidRPr="008B567C">
        <w:rPr>
          <w:rFonts w:ascii="標楷體" w:eastAsia="標楷體" w:hAnsi="標楷體" w:cs="Times New Roman" w:hint="eastAsia"/>
          <w:color w:val="000000" w:themeColor="text1"/>
          <w:szCs w:val="24"/>
        </w:rPr>
        <w:t>慰</w:t>
      </w:r>
      <w:proofErr w:type="gramEnd"/>
      <w:r w:rsidRPr="008B567C">
        <w:rPr>
          <w:rFonts w:ascii="標楷體" w:eastAsia="標楷體" w:hAnsi="標楷體" w:cs="Times New Roman" w:hint="eastAsia"/>
          <w:color w:val="000000" w:themeColor="text1"/>
          <w:szCs w:val="24"/>
        </w:rPr>
        <w:t>（補）助及健保醫療補助案件之賸餘，</w:t>
      </w:r>
      <w:proofErr w:type="gramStart"/>
      <w:r w:rsidRPr="008B567C">
        <w:rPr>
          <w:rFonts w:ascii="標楷體" w:eastAsia="標楷體" w:hAnsi="標楷體" w:cs="Times New Roman" w:hint="eastAsia"/>
          <w:color w:val="000000" w:themeColor="text1"/>
          <w:szCs w:val="24"/>
        </w:rPr>
        <w:t>暨軍墓園</w:t>
      </w:r>
      <w:proofErr w:type="gramEnd"/>
      <w:r w:rsidRPr="008B567C">
        <w:rPr>
          <w:rFonts w:ascii="標楷體" w:eastAsia="標楷體" w:hAnsi="標楷體" w:cs="Times New Roman" w:hint="eastAsia"/>
          <w:color w:val="000000" w:themeColor="text1"/>
          <w:szCs w:val="24"/>
        </w:rPr>
        <w:t>區水土保持設施工程之結餘。</w:t>
      </w:r>
    </w:p>
    <w:p w14:paraId="383D754D" w14:textId="17F25CCF" w:rsidR="008B567C" w:rsidRPr="008B567C" w:rsidRDefault="008B567C" w:rsidP="00446B55">
      <w:pPr>
        <w:overflowPunct w:val="0"/>
        <w:spacing w:line="400" w:lineRule="exact"/>
        <w:ind w:firstLineChars="200" w:firstLine="480"/>
        <w:jc w:val="both"/>
        <w:rPr>
          <w:rFonts w:ascii="標楷體" w:eastAsia="標楷體" w:hAnsi="標楷體"/>
          <w:color w:val="FF0000"/>
          <w:highlight w:val="yellow"/>
        </w:rPr>
      </w:pPr>
      <w:r w:rsidRPr="008B567C">
        <w:rPr>
          <w:rFonts w:ascii="標楷體" w:eastAsia="標楷體" w:hAnsi="標楷體" w:cs="Times New Roman" w:hint="eastAsia"/>
          <w:color w:val="000000" w:themeColor="text1"/>
          <w:szCs w:val="24"/>
        </w:rPr>
        <w:t>3.</w:t>
      </w:r>
      <w:r w:rsidRPr="00446B55">
        <w:rPr>
          <w:rFonts w:ascii="標楷體" w:eastAsia="標楷體" w:hAnsi="標楷體" w:cs="Times New Roman" w:hint="eastAsia"/>
          <w:spacing w:val="-2"/>
          <w:szCs w:val="24"/>
        </w:rPr>
        <w:t>以前年度歲出轉入</w:t>
      </w:r>
      <w:r w:rsidRPr="008B567C">
        <w:rPr>
          <w:rFonts w:ascii="標楷體" w:eastAsia="標楷體" w:hAnsi="標楷體" w:cs="Times New Roman" w:hint="eastAsia"/>
          <w:color w:val="000000" w:themeColor="text1"/>
          <w:szCs w:val="24"/>
        </w:rPr>
        <w:t>數計780萬餘元，決算審核結果，審定實現數707萬餘元（90.67％）；</w:t>
      </w:r>
      <w:r w:rsidRPr="008B567C">
        <w:rPr>
          <w:rFonts w:ascii="標楷體" w:eastAsia="標楷體" w:hAnsi="標楷體" w:cs="Times New Roman" w:hint="eastAsia"/>
          <w:color w:val="000000" w:themeColor="text1"/>
          <w:spacing w:val="-2"/>
          <w:szCs w:val="24"/>
        </w:rPr>
        <w:t>減免（註銷）數72萬餘元（9.33％）</w:t>
      </w:r>
      <w:r w:rsidRPr="008B567C">
        <w:rPr>
          <w:rFonts w:ascii="標楷體" w:eastAsia="標楷體" w:hAnsi="標楷體" w:cs="Times New Roman" w:hint="eastAsia"/>
          <w:color w:val="000000" w:themeColor="text1"/>
          <w:szCs w:val="24"/>
        </w:rPr>
        <w:t>，</w:t>
      </w:r>
      <w:proofErr w:type="gramStart"/>
      <w:r w:rsidRPr="008B567C">
        <w:rPr>
          <w:rFonts w:ascii="標楷體" w:eastAsia="標楷體" w:hAnsi="標楷體" w:cs="Times New Roman" w:hint="eastAsia"/>
          <w:color w:val="000000" w:themeColor="text1"/>
          <w:szCs w:val="24"/>
        </w:rPr>
        <w:t>係軍墓園</w:t>
      </w:r>
      <w:proofErr w:type="gramEnd"/>
      <w:r w:rsidRPr="008B567C">
        <w:rPr>
          <w:rFonts w:ascii="標楷體" w:eastAsia="標楷體" w:hAnsi="標楷體" w:cs="Times New Roman" w:hint="eastAsia"/>
          <w:color w:val="000000" w:themeColor="text1"/>
          <w:szCs w:val="24"/>
        </w:rPr>
        <w:t>區水土保持設施工程之結餘</w:t>
      </w:r>
      <w:r w:rsidRPr="008B567C">
        <w:rPr>
          <w:rFonts w:ascii="標楷體" w:eastAsia="標楷體" w:hAnsi="標楷體" w:cs="Times New Roman" w:hint="eastAsia"/>
          <w:color w:val="000000" w:themeColor="text1"/>
          <w:spacing w:val="-2"/>
          <w:szCs w:val="24"/>
        </w:rPr>
        <w:t>。</w:t>
      </w:r>
    </w:p>
    <w:p w14:paraId="37576341" w14:textId="77777777" w:rsidR="005A14A4" w:rsidRPr="000C5C56" w:rsidRDefault="005A14A4" w:rsidP="004F5C86">
      <w:pPr>
        <w:pStyle w:val="02"/>
        <w:spacing w:beforeLines="50" w:before="180" w:beforeAutospacing="0" w:afterLines="50" w:after="180" w:afterAutospacing="0" w:line="440" w:lineRule="exact"/>
        <w:rPr>
          <w:color w:val="000000" w:themeColor="text1"/>
          <w:sz w:val="36"/>
          <w:szCs w:val="36"/>
        </w:rPr>
      </w:pPr>
      <w:bookmarkStart w:id="109" w:name="_Hlk169874989"/>
      <w:bookmarkEnd w:id="109"/>
      <w:r w:rsidRPr="000C5C56">
        <w:rPr>
          <w:rFonts w:hint="eastAsia"/>
          <w:color w:val="000000" w:themeColor="text1"/>
          <w:sz w:val="36"/>
          <w:szCs w:val="36"/>
        </w:rPr>
        <w:t>貳拾壹、</w:t>
      </w:r>
      <w:proofErr w:type="gramStart"/>
      <w:r w:rsidRPr="000C5C56">
        <w:rPr>
          <w:rFonts w:hint="eastAsia"/>
          <w:color w:val="000000" w:themeColor="text1"/>
          <w:sz w:val="36"/>
          <w:szCs w:val="36"/>
        </w:rPr>
        <w:t>臺</w:t>
      </w:r>
      <w:proofErr w:type="gramEnd"/>
      <w:r w:rsidRPr="000C5C56">
        <w:rPr>
          <w:rFonts w:hint="eastAsia"/>
          <w:color w:val="000000" w:themeColor="text1"/>
          <w:sz w:val="36"/>
          <w:szCs w:val="36"/>
        </w:rPr>
        <w:t>北自來水事業處主管</w:t>
      </w:r>
    </w:p>
    <w:p w14:paraId="2E8790C7" w14:textId="77777777" w:rsidR="005A14A4" w:rsidRPr="000C5C56" w:rsidRDefault="005A14A4" w:rsidP="004F5C86">
      <w:pPr>
        <w:pStyle w:val="05"/>
        <w:snapToGrid w:val="0"/>
        <w:spacing w:before="0" w:beforeAutospacing="0" w:after="0" w:afterAutospacing="0" w:line="420" w:lineRule="exact"/>
        <w:ind w:firstLine="480"/>
        <w:rPr>
          <w:color w:val="000000" w:themeColor="text1"/>
        </w:rPr>
      </w:pPr>
      <w:proofErr w:type="gramStart"/>
      <w:r w:rsidRPr="000C5C56">
        <w:rPr>
          <w:rFonts w:hint="eastAsia"/>
          <w:color w:val="000000" w:themeColor="text1"/>
        </w:rPr>
        <w:t>臺</w:t>
      </w:r>
      <w:proofErr w:type="gramEnd"/>
      <w:r w:rsidRPr="000C5C56">
        <w:rPr>
          <w:rFonts w:hint="eastAsia"/>
          <w:color w:val="000000" w:themeColor="text1"/>
        </w:rPr>
        <w:t>北自來水事業處主管計有公務機關1個，市營事業單位1個，該單位決算及附屬單位決算營業部分之審核情形如次：</w:t>
      </w:r>
    </w:p>
    <w:p w14:paraId="21C9E5CE" w14:textId="77777777" w:rsidR="005A14A4" w:rsidRPr="000C5C56" w:rsidRDefault="005A14A4" w:rsidP="004F5C86">
      <w:pPr>
        <w:snapToGrid w:val="0"/>
        <w:spacing w:beforeLines="50" w:before="180" w:line="420" w:lineRule="exact"/>
        <w:jc w:val="both"/>
        <w:outlineLvl w:val="2"/>
        <w:rPr>
          <w:rFonts w:ascii="標楷體" w:eastAsia="標楷體"/>
          <w:b/>
          <w:color w:val="000000" w:themeColor="text1"/>
          <w:sz w:val="32"/>
          <w:szCs w:val="32"/>
        </w:rPr>
      </w:pPr>
      <w:r w:rsidRPr="000C5C56">
        <w:rPr>
          <w:rFonts w:ascii="標楷體" w:eastAsia="標楷體" w:hint="eastAsia"/>
          <w:b/>
          <w:color w:val="000000" w:themeColor="text1"/>
          <w:sz w:val="32"/>
          <w:szCs w:val="32"/>
        </w:rPr>
        <w:t>一、單位決算部分</w:t>
      </w:r>
    </w:p>
    <w:p w14:paraId="5981DC90" w14:textId="77777777" w:rsidR="005A14A4" w:rsidRPr="007D6AFB" w:rsidRDefault="005A14A4" w:rsidP="004F5C86">
      <w:pPr>
        <w:pStyle w:val="05"/>
        <w:snapToGrid w:val="0"/>
        <w:spacing w:before="0" w:beforeAutospacing="0" w:after="0" w:afterAutospacing="0" w:line="420" w:lineRule="exact"/>
        <w:ind w:firstLine="480"/>
        <w:rPr>
          <w:color w:val="000000" w:themeColor="text1"/>
        </w:rPr>
      </w:pPr>
      <w:proofErr w:type="gramStart"/>
      <w:r w:rsidRPr="007D6AFB">
        <w:rPr>
          <w:rFonts w:hint="eastAsia"/>
          <w:color w:val="000000" w:themeColor="text1"/>
        </w:rPr>
        <w:t>臺</w:t>
      </w:r>
      <w:proofErr w:type="gramEnd"/>
      <w:r w:rsidRPr="007D6AFB">
        <w:rPr>
          <w:rFonts w:hint="eastAsia"/>
          <w:color w:val="000000" w:themeColor="text1"/>
        </w:rPr>
        <w:t>北自來水事業處主管僅</w:t>
      </w:r>
      <w:proofErr w:type="gramStart"/>
      <w:r w:rsidRPr="007D6AFB">
        <w:rPr>
          <w:rFonts w:hint="eastAsia"/>
          <w:color w:val="000000" w:themeColor="text1"/>
        </w:rPr>
        <w:t>臺</w:t>
      </w:r>
      <w:proofErr w:type="gramEnd"/>
      <w:r w:rsidRPr="007D6AFB">
        <w:rPr>
          <w:rFonts w:hint="eastAsia"/>
          <w:color w:val="000000" w:themeColor="text1"/>
        </w:rPr>
        <w:t>北自來水事業處1個機關，負責地區水源維護，建設供水設施，供應公共、民生及工業用水。茲將</w:t>
      </w:r>
      <w:proofErr w:type="gramStart"/>
      <w:r w:rsidRPr="007D6AFB">
        <w:rPr>
          <w:rFonts w:hint="eastAsia"/>
          <w:color w:val="000000" w:themeColor="text1"/>
        </w:rPr>
        <w:t>11</w:t>
      </w:r>
      <w:r>
        <w:rPr>
          <w:rFonts w:hint="eastAsia"/>
          <w:color w:val="000000" w:themeColor="text1"/>
        </w:rPr>
        <w:t>3</w:t>
      </w:r>
      <w:proofErr w:type="gramEnd"/>
      <w:r w:rsidRPr="007D6AFB">
        <w:rPr>
          <w:rFonts w:hint="eastAsia"/>
          <w:color w:val="000000" w:themeColor="text1"/>
        </w:rPr>
        <w:t>年度決算審核結果說明如次：</w:t>
      </w:r>
    </w:p>
    <w:p w14:paraId="65F75A26" w14:textId="77777777" w:rsidR="005A14A4" w:rsidRPr="007D6AFB" w:rsidRDefault="005A14A4" w:rsidP="00446B55">
      <w:pPr>
        <w:snapToGrid w:val="0"/>
        <w:spacing w:line="420" w:lineRule="exact"/>
        <w:ind w:firstLineChars="100" w:firstLine="280"/>
        <w:jc w:val="both"/>
        <w:outlineLvl w:val="3"/>
        <w:rPr>
          <w:rFonts w:ascii="標楷體" w:eastAsia="標楷體"/>
          <w:b/>
          <w:color w:val="000000" w:themeColor="text1"/>
          <w:sz w:val="28"/>
          <w:szCs w:val="28"/>
        </w:rPr>
      </w:pPr>
      <w:r w:rsidRPr="007D6AFB">
        <w:rPr>
          <w:rFonts w:ascii="標楷體" w:eastAsia="標楷體" w:hint="eastAsia"/>
          <w:b/>
          <w:color w:val="000000" w:themeColor="text1"/>
          <w:sz w:val="28"/>
          <w:szCs w:val="28"/>
        </w:rPr>
        <w:t>（一）計畫實施之查核</w:t>
      </w:r>
    </w:p>
    <w:p w14:paraId="5D4A5BD7" w14:textId="77777777" w:rsidR="005A14A4" w:rsidRPr="007D6AFB" w:rsidRDefault="005A14A4" w:rsidP="00313D92">
      <w:pPr>
        <w:pStyle w:val="05"/>
        <w:snapToGrid w:val="0"/>
        <w:spacing w:before="0" w:beforeAutospacing="0" w:after="0" w:afterAutospacing="0" w:line="430" w:lineRule="exact"/>
        <w:ind w:firstLine="480"/>
        <w:rPr>
          <w:color w:val="000000" w:themeColor="text1"/>
        </w:rPr>
      </w:pPr>
      <w:r w:rsidRPr="007D6AFB">
        <w:rPr>
          <w:rFonts w:hint="eastAsia"/>
          <w:color w:val="000000" w:themeColor="text1"/>
        </w:rPr>
        <w:t>業務計畫</w:t>
      </w:r>
      <w:r>
        <w:rPr>
          <w:rFonts w:hint="eastAsia"/>
          <w:color w:val="000000" w:themeColor="text1"/>
        </w:rPr>
        <w:t>2</w:t>
      </w:r>
      <w:r w:rsidRPr="007D6AFB">
        <w:rPr>
          <w:rFonts w:hint="eastAsia"/>
          <w:color w:val="000000" w:themeColor="text1"/>
        </w:rPr>
        <w:t>項，下</w:t>
      </w:r>
      <w:r>
        <w:rPr>
          <w:rFonts w:hint="eastAsia"/>
          <w:color w:val="000000" w:themeColor="text1"/>
        </w:rPr>
        <w:t>有</w:t>
      </w:r>
      <w:r w:rsidRPr="007D6AFB">
        <w:rPr>
          <w:rFonts w:hint="eastAsia"/>
          <w:color w:val="000000" w:themeColor="text1"/>
        </w:rPr>
        <w:t>工作計畫</w:t>
      </w:r>
      <w:r>
        <w:rPr>
          <w:rFonts w:hint="eastAsia"/>
          <w:color w:val="000000" w:themeColor="text1"/>
        </w:rPr>
        <w:t>2</w:t>
      </w:r>
      <w:r w:rsidRPr="007D6AFB">
        <w:rPr>
          <w:rFonts w:hint="eastAsia"/>
          <w:color w:val="000000" w:themeColor="text1"/>
        </w:rPr>
        <w:t>項，包括減收高地社區之操作維護費</w:t>
      </w:r>
      <w:r w:rsidRPr="004A7077">
        <w:rPr>
          <w:rFonts w:hint="eastAsia"/>
          <w:color w:val="000000" w:themeColor="text1"/>
        </w:rPr>
        <w:t>、</w:t>
      </w:r>
      <w:r>
        <w:rPr>
          <w:rFonts w:hint="eastAsia"/>
          <w:color w:val="000000" w:themeColor="text1"/>
        </w:rPr>
        <w:t>防災地下水井之維護管理、辦理溫泉產業特定區公共取供設施工程</w:t>
      </w:r>
      <w:r w:rsidRPr="007D6AFB">
        <w:rPr>
          <w:rFonts w:hint="eastAsia"/>
          <w:color w:val="000000" w:themeColor="text1"/>
        </w:rPr>
        <w:t>等重要施政項目</w:t>
      </w:r>
      <w:r>
        <w:rPr>
          <w:rFonts w:hint="eastAsia"/>
          <w:color w:val="000000" w:themeColor="text1"/>
        </w:rPr>
        <w:t>，</w:t>
      </w:r>
      <w:proofErr w:type="gramStart"/>
      <w:r>
        <w:rPr>
          <w:rFonts w:hint="eastAsia"/>
          <w:color w:val="000000" w:themeColor="text1"/>
        </w:rPr>
        <w:t>均已執行</w:t>
      </w:r>
      <w:proofErr w:type="gramEnd"/>
      <w:r>
        <w:rPr>
          <w:rFonts w:hint="eastAsia"/>
          <w:color w:val="000000" w:themeColor="text1"/>
        </w:rPr>
        <w:t>完成</w:t>
      </w:r>
      <w:r w:rsidRPr="007D6AFB">
        <w:rPr>
          <w:rFonts w:hint="eastAsia"/>
          <w:color w:val="000000" w:themeColor="text1"/>
        </w:rPr>
        <w:t>。</w:t>
      </w:r>
    </w:p>
    <w:p w14:paraId="08B22080" w14:textId="77777777" w:rsidR="005A14A4" w:rsidRPr="007D6AFB" w:rsidRDefault="005A14A4" w:rsidP="00446B55">
      <w:pPr>
        <w:snapToGrid w:val="0"/>
        <w:spacing w:line="420" w:lineRule="exact"/>
        <w:ind w:firstLineChars="100" w:firstLine="280"/>
        <w:jc w:val="both"/>
        <w:outlineLvl w:val="3"/>
        <w:rPr>
          <w:rFonts w:ascii="標楷體" w:eastAsia="標楷體"/>
          <w:b/>
          <w:color w:val="000000" w:themeColor="text1"/>
          <w:sz w:val="28"/>
          <w:szCs w:val="28"/>
        </w:rPr>
      </w:pPr>
      <w:r w:rsidRPr="007D6AFB">
        <w:rPr>
          <w:rFonts w:ascii="標楷體" w:eastAsia="標楷體" w:hint="eastAsia"/>
          <w:b/>
          <w:color w:val="000000" w:themeColor="text1"/>
          <w:sz w:val="28"/>
          <w:szCs w:val="28"/>
        </w:rPr>
        <w:t>（二）預算執行之審核</w:t>
      </w:r>
    </w:p>
    <w:p w14:paraId="3495765D" w14:textId="77777777" w:rsidR="005A14A4" w:rsidRPr="00567220" w:rsidRDefault="005A14A4" w:rsidP="00313D92">
      <w:pPr>
        <w:pStyle w:val="05"/>
        <w:snapToGrid w:val="0"/>
        <w:spacing w:before="0" w:beforeAutospacing="0" w:after="0" w:afterAutospacing="0" w:line="410" w:lineRule="exact"/>
        <w:ind w:firstLine="496"/>
        <w:rPr>
          <w:color w:val="000000" w:themeColor="text1"/>
          <w:spacing w:val="4"/>
        </w:rPr>
      </w:pPr>
      <w:r w:rsidRPr="00567220">
        <w:rPr>
          <w:rFonts w:hint="eastAsia"/>
          <w:color w:val="000000" w:themeColor="text1"/>
          <w:spacing w:val="4"/>
        </w:rPr>
        <w:t>1.歲入未編列預算數，決算審核結果，審定實現數</w:t>
      </w:r>
      <w:r>
        <w:rPr>
          <w:rFonts w:hint="eastAsia"/>
          <w:color w:val="000000" w:themeColor="text1"/>
          <w:spacing w:val="4"/>
        </w:rPr>
        <w:t>1</w:t>
      </w:r>
      <w:r w:rsidRPr="00567220">
        <w:rPr>
          <w:rFonts w:hint="eastAsia"/>
          <w:color w:val="000000" w:themeColor="text1"/>
          <w:spacing w:val="4"/>
        </w:rPr>
        <w:t>萬</w:t>
      </w:r>
      <w:r>
        <w:rPr>
          <w:rFonts w:hint="eastAsia"/>
          <w:color w:val="000000" w:themeColor="text1"/>
          <w:spacing w:val="4"/>
        </w:rPr>
        <w:t>餘</w:t>
      </w:r>
      <w:r w:rsidRPr="00567220">
        <w:rPr>
          <w:rFonts w:hint="eastAsia"/>
          <w:color w:val="000000" w:themeColor="text1"/>
          <w:spacing w:val="4"/>
        </w:rPr>
        <w:t>元，應收保留數</w:t>
      </w:r>
      <w:r>
        <w:rPr>
          <w:rFonts w:hint="eastAsia"/>
          <w:color w:val="000000" w:themeColor="text1"/>
          <w:spacing w:val="4"/>
        </w:rPr>
        <w:t>2</w:t>
      </w:r>
      <w:r w:rsidRPr="00567220">
        <w:rPr>
          <w:rFonts w:hint="eastAsia"/>
          <w:color w:val="000000" w:themeColor="text1"/>
          <w:spacing w:val="4"/>
        </w:rPr>
        <w:t>億</w:t>
      </w:r>
      <w:r>
        <w:rPr>
          <w:rFonts w:hint="eastAsia"/>
          <w:color w:val="000000" w:themeColor="text1"/>
          <w:spacing w:val="4"/>
        </w:rPr>
        <w:t>4</w:t>
      </w:r>
      <w:r w:rsidRPr="00567220">
        <w:rPr>
          <w:color w:val="000000" w:themeColor="text1"/>
          <w:spacing w:val="4"/>
        </w:rPr>
        <w:t>4</w:t>
      </w:r>
      <w:r>
        <w:rPr>
          <w:rFonts w:hint="eastAsia"/>
          <w:color w:val="000000" w:themeColor="text1"/>
          <w:spacing w:val="4"/>
        </w:rPr>
        <w:t>3</w:t>
      </w:r>
      <w:r w:rsidRPr="00567220">
        <w:rPr>
          <w:rFonts w:hint="eastAsia"/>
          <w:color w:val="000000" w:themeColor="text1"/>
          <w:spacing w:val="4"/>
        </w:rPr>
        <w:t>萬餘元，係</w:t>
      </w:r>
      <w:proofErr w:type="gramStart"/>
      <w:r w:rsidRPr="00567220">
        <w:rPr>
          <w:rFonts w:hint="eastAsia"/>
          <w:color w:val="000000" w:themeColor="text1"/>
          <w:spacing w:val="4"/>
        </w:rPr>
        <w:t>臺</w:t>
      </w:r>
      <w:proofErr w:type="gramEnd"/>
      <w:r w:rsidRPr="00567220">
        <w:rPr>
          <w:rFonts w:hint="eastAsia"/>
          <w:color w:val="000000" w:themeColor="text1"/>
          <w:spacing w:val="4"/>
        </w:rPr>
        <w:t>北自來水事業處營業基金年度超額盈餘尚待</w:t>
      </w:r>
      <w:proofErr w:type="gramStart"/>
      <w:r w:rsidRPr="00567220">
        <w:rPr>
          <w:rFonts w:hint="eastAsia"/>
          <w:color w:val="000000" w:themeColor="text1"/>
          <w:spacing w:val="4"/>
        </w:rPr>
        <w:t>解繳市庫</w:t>
      </w:r>
      <w:proofErr w:type="gramEnd"/>
      <w:r w:rsidRPr="00567220">
        <w:rPr>
          <w:rFonts w:hint="eastAsia"/>
          <w:color w:val="000000" w:themeColor="text1"/>
          <w:spacing w:val="4"/>
        </w:rPr>
        <w:t>；合計決算審定數為</w:t>
      </w:r>
      <w:bookmarkStart w:id="110" w:name="_Hlk105580540"/>
      <w:bookmarkStart w:id="111" w:name="_Hlk200464640"/>
      <w:r>
        <w:rPr>
          <w:rFonts w:hint="eastAsia"/>
          <w:color w:val="000000" w:themeColor="text1"/>
          <w:spacing w:val="4"/>
        </w:rPr>
        <w:t>2</w:t>
      </w:r>
      <w:r w:rsidRPr="00567220">
        <w:rPr>
          <w:rFonts w:hint="eastAsia"/>
          <w:color w:val="000000" w:themeColor="text1"/>
          <w:spacing w:val="4"/>
        </w:rPr>
        <w:t>億</w:t>
      </w:r>
      <w:r>
        <w:rPr>
          <w:rFonts w:hint="eastAsia"/>
          <w:color w:val="000000" w:themeColor="text1"/>
          <w:spacing w:val="4"/>
        </w:rPr>
        <w:t>445</w:t>
      </w:r>
      <w:r w:rsidRPr="00567220">
        <w:rPr>
          <w:rFonts w:hint="eastAsia"/>
          <w:color w:val="000000" w:themeColor="text1"/>
          <w:spacing w:val="4"/>
        </w:rPr>
        <w:t>萬</w:t>
      </w:r>
      <w:bookmarkEnd w:id="110"/>
      <w:r w:rsidRPr="00567220">
        <w:rPr>
          <w:rFonts w:hint="eastAsia"/>
          <w:color w:val="000000" w:themeColor="text1"/>
          <w:spacing w:val="4"/>
        </w:rPr>
        <w:t>餘元</w:t>
      </w:r>
      <w:bookmarkEnd w:id="111"/>
      <w:r w:rsidRPr="00567220">
        <w:rPr>
          <w:rFonts w:hint="eastAsia"/>
          <w:color w:val="000000" w:themeColor="text1"/>
          <w:spacing w:val="4"/>
        </w:rPr>
        <w:t>，較預算超收</w:t>
      </w:r>
      <w:r w:rsidRPr="00D36C12">
        <w:rPr>
          <w:rFonts w:hint="eastAsia"/>
          <w:color w:val="000000" w:themeColor="text1"/>
          <w:spacing w:val="4"/>
        </w:rPr>
        <w:t>2億445萬餘元</w:t>
      </w:r>
      <w:r w:rsidRPr="00567220">
        <w:rPr>
          <w:rFonts w:hint="eastAsia"/>
          <w:color w:val="000000" w:themeColor="text1"/>
          <w:spacing w:val="4"/>
        </w:rPr>
        <w:t>，</w:t>
      </w:r>
      <w:r>
        <w:rPr>
          <w:rFonts w:hint="eastAsia"/>
          <w:color w:val="000000" w:themeColor="text1"/>
          <w:spacing w:val="4"/>
        </w:rPr>
        <w:t>主要</w:t>
      </w:r>
      <w:r w:rsidRPr="00567220">
        <w:rPr>
          <w:rFonts w:hint="eastAsia"/>
          <w:color w:val="000000" w:themeColor="text1"/>
          <w:spacing w:val="4"/>
        </w:rPr>
        <w:t>係</w:t>
      </w:r>
      <w:proofErr w:type="gramStart"/>
      <w:r w:rsidRPr="00567220">
        <w:rPr>
          <w:rFonts w:hint="eastAsia"/>
          <w:color w:val="000000" w:themeColor="text1"/>
          <w:spacing w:val="4"/>
        </w:rPr>
        <w:t>臺</w:t>
      </w:r>
      <w:proofErr w:type="gramEnd"/>
      <w:r w:rsidRPr="00567220">
        <w:rPr>
          <w:rFonts w:hint="eastAsia"/>
          <w:color w:val="000000" w:themeColor="text1"/>
          <w:spacing w:val="4"/>
        </w:rPr>
        <w:t>北自來水事業處營業基金盈餘繳庫數未編列預算所致。</w:t>
      </w:r>
    </w:p>
    <w:p w14:paraId="64EA9989" w14:textId="77777777" w:rsidR="005A14A4" w:rsidRPr="007D6AFB" w:rsidRDefault="005A14A4" w:rsidP="00446B55">
      <w:pPr>
        <w:pStyle w:val="05"/>
        <w:snapToGrid w:val="0"/>
        <w:spacing w:before="0" w:beforeAutospacing="0" w:after="0" w:afterAutospacing="0" w:line="400" w:lineRule="exact"/>
        <w:ind w:firstLine="480"/>
        <w:rPr>
          <w:color w:val="000000" w:themeColor="text1"/>
        </w:rPr>
      </w:pPr>
      <w:r w:rsidRPr="007D6AFB">
        <w:rPr>
          <w:rFonts w:hint="eastAsia"/>
          <w:color w:val="000000" w:themeColor="text1"/>
        </w:rPr>
        <w:lastRenderedPageBreak/>
        <w:t>2.以前年度歲入轉入數計</w:t>
      </w:r>
      <w:r>
        <w:rPr>
          <w:rFonts w:hint="eastAsia"/>
          <w:color w:val="000000" w:themeColor="text1"/>
        </w:rPr>
        <w:t>1</w:t>
      </w:r>
      <w:r w:rsidRPr="007D6AFB">
        <w:rPr>
          <w:rFonts w:hint="eastAsia"/>
          <w:color w:val="000000" w:themeColor="text1"/>
        </w:rPr>
        <w:t>億</w:t>
      </w:r>
      <w:r>
        <w:rPr>
          <w:rFonts w:hint="eastAsia"/>
          <w:color w:val="000000" w:themeColor="text1"/>
        </w:rPr>
        <w:t>8</w:t>
      </w:r>
      <w:r w:rsidRPr="007D6AFB">
        <w:rPr>
          <w:rFonts w:hint="eastAsia"/>
          <w:color w:val="000000" w:themeColor="text1"/>
        </w:rPr>
        <w:t>,</w:t>
      </w:r>
      <w:r>
        <w:rPr>
          <w:rFonts w:hint="eastAsia"/>
          <w:color w:val="000000" w:themeColor="text1"/>
        </w:rPr>
        <w:t>204</w:t>
      </w:r>
      <w:r w:rsidRPr="007D6AFB">
        <w:rPr>
          <w:rFonts w:hint="eastAsia"/>
          <w:color w:val="000000" w:themeColor="text1"/>
        </w:rPr>
        <w:t>萬餘元，決算審核結果，審定實現數</w:t>
      </w:r>
      <w:r>
        <w:rPr>
          <w:rFonts w:hint="eastAsia"/>
          <w:color w:val="000000" w:themeColor="text1"/>
        </w:rPr>
        <w:t>1</w:t>
      </w:r>
      <w:r w:rsidRPr="007D6AFB">
        <w:rPr>
          <w:rFonts w:hint="eastAsia"/>
          <w:color w:val="000000" w:themeColor="text1"/>
        </w:rPr>
        <w:t>億</w:t>
      </w:r>
      <w:r>
        <w:rPr>
          <w:rFonts w:hint="eastAsia"/>
          <w:color w:val="000000" w:themeColor="text1"/>
        </w:rPr>
        <w:t>8</w:t>
      </w:r>
      <w:r w:rsidRPr="007D6AFB">
        <w:rPr>
          <w:rFonts w:hint="eastAsia"/>
          <w:color w:val="000000" w:themeColor="text1"/>
        </w:rPr>
        <w:t>,</w:t>
      </w:r>
      <w:r>
        <w:rPr>
          <w:rFonts w:hint="eastAsia"/>
          <w:color w:val="000000" w:themeColor="text1"/>
        </w:rPr>
        <w:t>204</w:t>
      </w:r>
      <w:r w:rsidRPr="007D6AFB">
        <w:rPr>
          <w:rFonts w:hint="eastAsia"/>
          <w:color w:val="000000" w:themeColor="text1"/>
        </w:rPr>
        <w:t>萬餘元（100.00％）。</w:t>
      </w:r>
    </w:p>
    <w:p w14:paraId="17110F1D" w14:textId="77777777" w:rsidR="005A14A4" w:rsidRPr="005A14A4" w:rsidRDefault="005A14A4" w:rsidP="00446B55">
      <w:pPr>
        <w:pStyle w:val="05"/>
        <w:snapToGrid w:val="0"/>
        <w:spacing w:before="0" w:beforeAutospacing="0" w:after="0" w:afterAutospacing="0" w:line="400" w:lineRule="exact"/>
        <w:ind w:firstLine="480"/>
        <w:rPr>
          <w:color w:val="000000" w:themeColor="text1"/>
        </w:rPr>
      </w:pPr>
      <w:r w:rsidRPr="0062346F">
        <w:rPr>
          <w:rFonts w:hint="eastAsia"/>
        </w:rPr>
        <w:t>3.歲出預</w:t>
      </w:r>
      <w:r w:rsidRPr="005B313E">
        <w:rPr>
          <w:rFonts w:hint="eastAsia"/>
        </w:rPr>
        <w:t>算數2</w:t>
      </w:r>
      <w:r w:rsidRPr="005B313E">
        <w:t>,</w:t>
      </w:r>
      <w:r w:rsidRPr="005B313E">
        <w:rPr>
          <w:rFonts w:hint="eastAsia"/>
        </w:rPr>
        <w:t>47</w:t>
      </w:r>
      <w:r w:rsidRPr="005A14A4">
        <w:rPr>
          <w:rFonts w:hint="eastAsia"/>
          <w:color w:val="000000" w:themeColor="text1"/>
        </w:rPr>
        <w:t>1萬元，決算審核結果，審定實現數2</w:t>
      </w:r>
      <w:r w:rsidRPr="005A14A4">
        <w:rPr>
          <w:color w:val="000000" w:themeColor="text1"/>
        </w:rPr>
        <w:t>,</w:t>
      </w:r>
      <w:r w:rsidRPr="005A14A4">
        <w:rPr>
          <w:rFonts w:hint="eastAsia"/>
          <w:color w:val="000000" w:themeColor="text1"/>
        </w:rPr>
        <w:t>462萬餘元（99.66％），預算賸餘</w:t>
      </w:r>
      <w:r w:rsidRPr="005A14A4">
        <w:rPr>
          <w:color w:val="000000" w:themeColor="text1"/>
        </w:rPr>
        <w:t>8</w:t>
      </w:r>
      <w:r w:rsidRPr="005A14A4">
        <w:rPr>
          <w:rFonts w:hint="eastAsia"/>
          <w:color w:val="000000" w:themeColor="text1"/>
        </w:rPr>
        <w:t>萬餘元（0</w:t>
      </w:r>
      <w:r w:rsidRPr="005A14A4">
        <w:rPr>
          <w:color w:val="000000" w:themeColor="text1"/>
        </w:rPr>
        <w:t>.3</w:t>
      </w:r>
      <w:r w:rsidRPr="005A14A4">
        <w:rPr>
          <w:rFonts w:hint="eastAsia"/>
          <w:color w:val="000000" w:themeColor="text1"/>
        </w:rPr>
        <w:t>4％），主要係高地社區無送水需求，相關送水費用未執行之賸餘。</w:t>
      </w:r>
    </w:p>
    <w:p w14:paraId="047D860F" w14:textId="77777777" w:rsidR="005A14A4" w:rsidRPr="007D6AFB" w:rsidRDefault="005A14A4" w:rsidP="00446B55">
      <w:pPr>
        <w:pStyle w:val="05"/>
        <w:snapToGrid w:val="0"/>
        <w:spacing w:before="0" w:beforeAutospacing="0" w:after="0" w:afterAutospacing="0" w:line="400" w:lineRule="exact"/>
        <w:ind w:firstLine="480"/>
        <w:rPr>
          <w:color w:val="000000" w:themeColor="text1"/>
        </w:rPr>
      </w:pPr>
      <w:r w:rsidRPr="007D6AFB">
        <w:rPr>
          <w:rFonts w:hint="eastAsia"/>
          <w:color w:val="000000" w:themeColor="text1"/>
        </w:rPr>
        <w:t>4.以前年度歲出轉入數計29</w:t>
      </w:r>
      <w:r>
        <w:rPr>
          <w:rFonts w:hint="eastAsia"/>
          <w:color w:val="000000" w:themeColor="text1"/>
        </w:rPr>
        <w:t>4</w:t>
      </w:r>
      <w:r w:rsidRPr="007D6AFB">
        <w:rPr>
          <w:rFonts w:hint="eastAsia"/>
          <w:color w:val="000000" w:themeColor="text1"/>
        </w:rPr>
        <w:t>萬餘元，決算審核結果，</w:t>
      </w:r>
      <w:proofErr w:type="gramStart"/>
      <w:r>
        <w:rPr>
          <w:rFonts w:hint="eastAsia"/>
          <w:color w:val="000000" w:themeColor="text1"/>
        </w:rPr>
        <w:t>113</w:t>
      </w:r>
      <w:proofErr w:type="gramEnd"/>
      <w:r>
        <w:rPr>
          <w:rFonts w:hint="eastAsia"/>
          <w:color w:val="000000" w:themeColor="text1"/>
        </w:rPr>
        <w:t>年度無</w:t>
      </w:r>
      <w:r w:rsidRPr="007D6AFB">
        <w:rPr>
          <w:rFonts w:hint="eastAsia"/>
          <w:color w:val="000000" w:themeColor="text1"/>
        </w:rPr>
        <w:t>實現數，應付保留數294萬餘元(</w:t>
      </w:r>
      <w:r>
        <w:rPr>
          <w:rFonts w:hint="eastAsia"/>
          <w:color w:val="000000" w:themeColor="text1"/>
        </w:rPr>
        <w:t>100.00</w:t>
      </w:r>
      <w:r w:rsidRPr="007D6AFB">
        <w:rPr>
          <w:rFonts w:hint="eastAsia"/>
          <w:color w:val="000000" w:themeColor="text1"/>
        </w:rPr>
        <w:t>％)，主要係因信義414號公園維生貯水槽等案</w:t>
      </w:r>
      <w:r w:rsidRPr="007D6AFB">
        <w:rPr>
          <w:rFonts w:hAnsi="標楷體" w:hint="eastAsia"/>
          <w:color w:val="000000" w:themeColor="text1"/>
        </w:rPr>
        <w:t>，</w:t>
      </w:r>
      <w:r w:rsidRPr="007D6AFB">
        <w:rPr>
          <w:rFonts w:hint="eastAsia"/>
          <w:color w:val="000000" w:themeColor="text1"/>
        </w:rPr>
        <w:t>因承商倒閉</w:t>
      </w:r>
      <w:proofErr w:type="gramStart"/>
      <w:r w:rsidRPr="007D6AFB">
        <w:rPr>
          <w:rFonts w:hint="eastAsia"/>
          <w:color w:val="000000" w:themeColor="text1"/>
        </w:rPr>
        <w:t>無法取據核銷</w:t>
      </w:r>
      <w:proofErr w:type="gramEnd"/>
      <w:r w:rsidRPr="007D6AFB">
        <w:rPr>
          <w:rFonts w:hint="eastAsia"/>
          <w:color w:val="000000" w:themeColor="text1"/>
        </w:rPr>
        <w:t>或與承商訴訟中，須保留繼續執行。</w:t>
      </w:r>
    </w:p>
    <w:p w14:paraId="5E8C9B9A" w14:textId="77777777" w:rsidR="005A14A4" w:rsidRPr="007D6AFB" w:rsidRDefault="005A14A4" w:rsidP="005A14A4">
      <w:pPr>
        <w:snapToGrid w:val="0"/>
        <w:spacing w:beforeLines="50" w:before="180" w:line="480" w:lineRule="exact"/>
        <w:jc w:val="both"/>
        <w:outlineLvl w:val="2"/>
        <w:rPr>
          <w:rFonts w:ascii="標楷體" w:eastAsia="標楷體"/>
          <w:b/>
          <w:color w:val="000000" w:themeColor="text1"/>
          <w:sz w:val="32"/>
          <w:szCs w:val="32"/>
        </w:rPr>
      </w:pPr>
      <w:r w:rsidRPr="007D6AFB">
        <w:rPr>
          <w:rFonts w:ascii="標楷體" w:eastAsia="標楷體" w:hint="eastAsia"/>
          <w:b/>
          <w:color w:val="000000" w:themeColor="text1"/>
          <w:sz w:val="32"/>
          <w:szCs w:val="32"/>
        </w:rPr>
        <w:t>二、附屬單位決算營業部分</w:t>
      </w:r>
    </w:p>
    <w:p w14:paraId="533A5EF3" w14:textId="77777777" w:rsidR="005A14A4" w:rsidRPr="007D6AFB" w:rsidRDefault="005A14A4" w:rsidP="00446B55">
      <w:pPr>
        <w:pStyle w:val="05"/>
        <w:snapToGrid w:val="0"/>
        <w:spacing w:before="0" w:beforeAutospacing="0" w:after="0" w:afterAutospacing="0" w:line="400" w:lineRule="exact"/>
        <w:ind w:firstLine="480"/>
        <w:rPr>
          <w:color w:val="000000" w:themeColor="text1"/>
        </w:rPr>
      </w:pPr>
      <w:proofErr w:type="gramStart"/>
      <w:r w:rsidRPr="007D6AFB">
        <w:rPr>
          <w:rFonts w:hint="eastAsia"/>
          <w:color w:val="000000" w:themeColor="text1"/>
        </w:rPr>
        <w:t>臺</w:t>
      </w:r>
      <w:proofErr w:type="gramEnd"/>
      <w:r w:rsidRPr="007D6AFB">
        <w:rPr>
          <w:rFonts w:hint="eastAsia"/>
          <w:color w:val="000000" w:themeColor="text1"/>
        </w:rPr>
        <w:t>北自來水事業處主管僅</w:t>
      </w:r>
      <w:proofErr w:type="gramStart"/>
      <w:r w:rsidRPr="007D6AFB">
        <w:rPr>
          <w:rFonts w:hint="eastAsia"/>
          <w:color w:val="000000" w:themeColor="text1"/>
        </w:rPr>
        <w:t>臺</w:t>
      </w:r>
      <w:proofErr w:type="gramEnd"/>
      <w:r w:rsidRPr="007D6AFB">
        <w:rPr>
          <w:rFonts w:hint="eastAsia"/>
          <w:color w:val="000000" w:themeColor="text1"/>
        </w:rPr>
        <w:t>北自來水事業處（含</w:t>
      </w:r>
      <w:proofErr w:type="gramStart"/>
      <w:r w:rsidRPr="007D6AFB">
        <w:rPr>
          <w:rFonts w:hint="eastAsia"/>
          <w:color w:val="000000" w:themeColor="text1"/>
        </w:rPr>
        <w:t>臺</w:t>
      </w:r>
      <w:proofErr w:type="gramEnd"/>
      <w:r w:rsidRPr="007D6AFB">
        <w:rPr>
          <w:rFonts w:hint="eastAsia"/>
          <w:color w:val="000000" w:themeColor="text1"/>
        </w:rPr>
        <w:t>北自來水事業處工程總隊）1個單位，茲將</w:t>
      </w:r>
      <w:proofErr w:type="gramStart"/>
      <w:r w:rsidRPr="007D6AFB">
        <w:rPr>
          <w:rFonts w:hint="eastAsia"/>
          <w:color w:val="000000" w:themeColor="text1"/>
        </w:rPr>
        <w:t>11</w:t>
      </w:r>
      <w:r>
        <w:rPr>
          <w:rFonts w:hint="eastAsia"/>
          <w:color w:val="000000" w:themeColor="text1"/>
        </w:rPr>
        <w:t>3</w:t>
      </w:r>
      <w:proofErr w:type="gramEnd"/>
      <w:r w:rsidRPr="007D6AFB">
        <w:rPr>
          <w:rFonts w:hint="eastAsia"/>
          <w:color w:val="000000" w:themeColor="text1"/>
        </w:rPr>
        <w:t>年度決算審核結果說明如次：</w:t>
      </w:r>
    </w:p>
    <w:p w14:paraId="015981B9" w14:textId="77777777" w:rsidR="005A14A4" w:rsidRPr="007D6AFB" w:rsidRDefault="005A14A4" w:rsidP="005A14A4">
      <w:pPr>
        <w:snapToGrid w:val="0"/>
        <w:spacing w:line="520" w:lineRule="exact"/>
        <w:ind w:firstLineChars="100" w:firstLine="280"/>
        <w:jc w:val="both"/>
        <w:outlineLvl w:val="3"/>
        <w:rPr>
          <w:rFonts w:ascii="標楷體" w:eastAsia="標楷體"/>
          <w:b/>
          <w:color w:val="000000" w:themeColor="text1"/>
          <w:sz w:val="28"/>
          <w:szCs w:val="28"/>
        </w:rPr>
      </w:pPr>
      <w:r w:rsidRPr="007D6AFB">
        <w:rPr>
          <w:rFonts w:ascii="標楷體" w:eastAsia="標楷體" w:hint="eastAsia"/>
          <w:b/>
          <w:color w:val="000000" w:themeColor="text1"/>
          <w:sz w:val="28"/>
          <w:szCs w:val="28"/>
        </w:rPr>
        <w:t>（一）計畫實施之查核</w:t>
      </w:r>
    </w:p>
    <w:p w14:paraId="61D249D5" w14:textId="77777777" w:rsidR="005A14A4" w:rsidRPr="007D6AFB" w:rsidRDefault="005A14A4" w:rsidP="00446B55">
      <w:pPr>
        <w:pStyle w:val="05"/>
        <w:snapToGrid w:val="0"/>
        <w:spacing w:before="0" w:beforeAutospacing="0" w:after="0" w:afterAutospacing="0" w:line="400" w:lineRule="exact"/>
        <w:ind w:firstLine="480"/>
        <w:rPr>
          <w:color w:val="000000" w:themeColor="text1"/>
        </w:rPr>
      </w:pPr>
      <w:r w:rsidRPr="007D6AFB">
        <w:rPr>
          <w:rFonts w:hint="eastAsia"/>
          <w:color w:val="000000" w:themeColor="text1"/>
        </w:rPr>
        <w:t>營運</w:t>
      </w:r>
      <w:r w:rsidRPr="002E4D83">
        <w:rPr>
          <w:rFonts w:hint="eastAsia"/>
          <w:color w:val="000000" w:themeColor="text1"/>
        </w:rPr>
        <w:t>計畫主要有配水量及售水量</w:t>
      </w:r>
      <w:r w:rsidRPr="007D6AFB">
        <w:rPr>
          <w:rFonts w:hint="eastAsia"/>
          <w:color w:val="000000" w:themeColor="text1"/>
        </w:rPr>
        <w:t>等2項，實施結果，</w:t>
      </w:r>
      <w:proofErr w:type="gramStart"/>
      <w:r>
        <w:rPr>
          <w:rFonts w:hint="eastAsia"/>
          <w:color w:val="000000" w:themeColor="text1"/>
        </w:rPr>
        <w:t>均未達</w:t>
      </w:r>
      <w:proofErr w:type="gramEnd"/>
      <w:r>
        <w:rPr>
          <w:rFonts w:hint="eastAsia"/>
          <w:color w:val="000000" w:themeColor="text1"/>
        </w:rPr>
        <w:t>預計目標，</w:t>
      </w:r>
      <w:r w:rsidRPr="002E4D83">
        <w:rPr>
          <w:rFonts w:hint="eastAsia"/>
          <w:color w:val="000000" w:themeColor="text1"/>
        </w:rPr>
        <w:t>主要係</w:t>
      </w:r>
      <w:r>
        <w:rPr>
          <w:rFonts w:hint="eastAsia"/>
          <w:color w:val="000000" w:themeColor="text1"/>
        </w:rPr>
        <w:t>因</w:t>
      </w:r>
      <w:r w:rsidRPr="002E4D83">
        <w:rPr>
          <w:rFonts w:hint="eastAsia"/>
          <w:color w:val="000000" w:themeColor="text1"/>
        </w:rPr>
        <w:t>外界用水需求未如預期</w:t>
      </w:r>
      <w:r>
        <w:rPr>
          <w:rFonts w:hint="eastAsia"/>
          <w:color w:val="000000" w:themeColor="text1"/>
        </w:rPr>
        <w:t>而減少售水量，暨</w:t>
      </w:r>
      <w:r w:rsidRPr="00301E96">
        <w:rPr>
          <w:rFonts w:hint="eastAsia"/>
          <w:color w:val="000000" w:themeColor="text1"/>
        </w:rPr>
        <w:t>配合售水量減少</w:t>
      </w:r>
      <w:r>
        <w:rPr>
          <w:rFonts w:hint="eastAsia"/>
          <w:color w:val="000000" w:themeColor="text1"/>
        </w:rPr>
        <w:t>配水量所致</w:t>
      </w:r>
      <w:r w:rsidRPr="007D6AFB">
        <w:rPr>
          <w:rFonts w:hint="eastAsia"/>
          <w:color w:val="000000" w:themeColor="text1"/>
        </w:rPr>
        <w:t>。</w:t>
      </w:r>
    </w:p>
    <w:p w14:paraId="5B674FFD" w14:textId="77777777" w:rsidR="005A14A4" w:rsidRPr="007D6AFB" w:rsidRDefault="005A14A4" w:rsidP="005A14A4">
      <w:pPr>
        <w:snapToGrid w:val="0"/>
        <w:spacing w:line="480" w:lineRule="exact"/>
        <w:ind w:firstLineChars="100" w:firstLine="280"/>
        <w:jc w:val="both"/>
        <w:outlineLvl w:val="3"/>
        <w:rPr>
          <w:rFonts w:ascii="標楷體" w:eastAsia="標楷體"/>
          <w:b/>
          <w:color w:val="000000" w:themeColor="text1"/>
          <w:sz w:val="28"/>
          <w:szCs w:val="28"/>
        </w:rPr>
      </w:pPr>
      <w:r w:rsidRPr="007D6AFB">
        <w:rPr>
          <w:rFonts w:ascii="標楷體" w:eastAsia="標楷體" w:hint="eastAsia"/>
          <w:b/>
          <w:color w:val="000000" w:themeColor="text1"/>
          <w:sz w:val="28"/>
          <w:szCs w:val="28"/>
        </w:rPr>
        <w:t>（二）盈虧之審定</w:t>
      </w:r>
    </w:p>
    <w:p w14:paraId="25747986" w14:textId="77777777" w:rsidR="005A14A4" w:rsidRPr="000C5C56" w:rsidRDefault="005A14A4" w:rsidP="00446B55">
      <w:pPr>
        <w:pStyle w:val="05"/>
        <w:snapToGrid w:val="0"/>
        <w:spacing w:before="0" w:beforeAutospacing="0" w:after="0" w:afterAutospacing="0" w:line="400" w:lineRule="exact"/>
        <w:ind w:firstLine="480"/>
        <w:rPr>
          <w:color w:val="000000" w:themeColor="text1"/>
        </w:rPr>
      </w:pPr>
      <w:r w:rsidRPr="007D6AFB">
        <w:rPr>
          <w:rFonts w:hint="eastAsia"/>
          <w:color w:val="000000" w:themeColor="text1"/>
        </w:rPr>
        <w:t>決算審核結果，</w:t>
      </w:r>
      <w:r w:rsidRPr="00137F80">
        <w:rPr>
          <w:rFonts w:hint="eastAsia"/>
        </w:rPr>
        <w:t>審定</w:t>
      </w:r>
      <w:r>
        <w:rPr>
          <w:rFonts w:hint="eastAsia"/>
        </w:rPr>
        <w:t>本期</w:t>
      </w:r>
      <w:r w:rsidRPr="00137F80">
        <w:rPr>
          <w:rFonts w:hint="eastAsia"/>
        </w:rPr>
        <w:t>淨利為</w:t>
      </w:r>
      <w:r>
        <w:rPr>
          <w:rFonts w:hint="eastAsia"/>
        </w:rPr>
        <w:t>9</w:t>
      </w:r>
      <w:r w:rsidRPr="00137F80">
        <w:rPr>
          <w:rFonts w:hint="eastAsia"/>
        </w:rPr>
        <w:t>億</w:t>
      </w:r>
      <w:r>
        <w:rPr>
          <w:rFonts w:hint="eastAsia"/>
        </w:rPr>
        <w:t>8</w:t>
      </w:r>
      <w:r w:rsidRPr="00137F80">
        <w:rPr>
          <w:rFonts w:hint="eastAsia"/>
        </w:rPr>
        <w:t>,</w:t>
      </w:r>
      <w:r>
        <w:rPr>
          <w:rFonts w:hint="eastAsia"/>
        </w:rPr>
        <w:t>127</w:t>
      </w:r>
      <w:r w:rsidRPr="00137F80">
        <w:rPr>
          <w:rFonts w:hint="eastAsia"/>
        </w:rPr>
        <w:t>萬餘元，較預算數</w:t>
      </w:r>
      <w:r>
        <w:rPr>
          <w:rFonts w:hint="eastAsia"/>
        </w:rPr>
        <w:t>7</w:t>
      </w:r>
      <w:r w:rsidRPr="00137F80">
        <w:rPr>
          <w:rFonts w:hint="eastAsia"/>
        </w:rPr>
        <w:t>億</w:t>
      </w:r>
      <w:r>
        <w:rPr>
          <w:rFonts w:hint="eastAsia"/>
        </w:rPr>
        <w:t>7</w:t>
      </w:r>
      <w:r w:rsidRPr="00137F80">
        <w:t>,</w:t>
      </w:r>
      <w:r>
        <w:rPr>
          <w:rFonts w:hint="eastAsia"/>
        </w:rPr>
        <w:t>683</w:t>
      </w:r>
      <w:r w:rsidRPr="00137F80">
        <w:rPr>
          <w:rFonts w:hint="eastAsia"/>
        </w:rPr>
        <w:t>萬</w:t>
      </w:r>
      <w:r>
        <w:rPr>
          <w:rFonts w:hint="eastAsia"/>
        </w:rPr>
        <w:t>餘</w:t>
      </w:r>
      <w:r w:rsidRPr="00137F80">
        <w:rPr>
          <w:rFonts w:hint="eastAsia"/>
        </w:rPr>
        <w:t>元，增加</w:t>
      </w:r>
      <w:r>
        <w:rPr>
          <w:rFonts w:hint="eastAsia"/>
        </w:rPr>
        <w:t>2</w:t>
      </w:r>
      <w:r w:rsidRPr="00137F80">
        <w:rPr>
          <w:rFonts w:hint="eastAsia"/>
        </w:rPr>
        <w:t>億</w:t>
      </w:r>
      <w:r>
        <w:rPr>
          <w:rFonts w:hint="eastAsia"/>
        </w:rPr>
        <w:t>443</w:t>
      </w:r>
      <w:r w:rsidRPr="00137F80">
        <w:rPr>
          <w:rFonts w:hint="eastAsia"/>
        </w:rPr>
        <w:t>萬餘元，約2</w:t>
      </w:r>
      <w:r>
        <w:rPr>
          <w:rFonts w:hint="eastAsia"/>
        </w:rPr>
        <w:t>6</w:t>
      </w:r>
      <w:r w:rsidRPr="00137F80">
        <w:rPr>
          <w:rFonts w:hint="eastAsia"/>
        </w:rPr>
        <w:t>.</w:t>
      </w:r>
      <w:r>
        <w:rPr>
          <w:rFonts w:hint="eastAsia"/>
        </w:rPr>
        <w:t>32</w:t>
      </w:r>
      <w:r w:rsidRPr="00540962">
        <w:rPr>
          <w:rFonts w:hint="eastAsia"/>
        </w:rPr>
        <w:t>％，</w:t>
      </w:r>
      <w:r w:rsidRPr="002E4D83">
        <w:rPr>
          <w:rFonts w:hint="eastAsia"/>
          <w:color w:val="000000" w:themeColor="text1"/>
        </w:rPr>
        <w:t>主要係處分土地利益、沒入廠商</w:t>
      </w:r>
      <w:proofErr w:type="gramStart"/>
      <w:r w:rsidRPr="002E4D83">
        <w:rPr>
          <w:rFonts w:hint="eastAsia"/>
          <w:color w:val="000000" w:themeColor="text1"/>
        </w:rPr>
        <w:t>押</w:t>
      </w:r>
      <w:proofErr w:type="gramEnd"/>
      <w:r w:rsidRPr="002E4D83">
        <w:rPr>
          <w:rFonts w:hint="eastAsia"/>
          <w:color w:val="000000" w:themeColor="text1"/>
        </w:rPr>
        <w:t>標金及</w:t>
      </w:r>
      <w:proofErr w:type="gramStart"/>
      <w:r w:rsidRPr="002E4D83">
        <w:rPr>
          <w:rFonts w:hint="eastAsia"/>
          <w:color w:val="000000" w:themeColor="text1"/>
        </w:rPr>
        <w:t>變賣廢表等</w:t>
      </w:r>
      <w:proofErr w:type="gramEnd"/>
      <w:r w:rsidRPr="002E4D83">
        <w:rPr>
          <w:rFonts w:hint="eastAsia"/>
          <w:color w:val="000000" w:themeColor="text1"/>
        </w:rPr>
        <w:t>收入較預計增加所致</w:t>
      </w:r>
      <w:r>
        <w:rPr>
          <w:rFonts w:hint="eastAsia"/>
          <w:color w:val="000000" w:themeColor="text1"/>
        </w:rPr>
        <w:t>。</w:t>
      </w:r>
    </w:p>
    <w:p w14:paraId="0066D0A4" w14:textId="77777777" w:rsidR="005A14A4" w:rsidRPr="000C5C56" w:rsidRDefault="005A14A4" w:rsidP="00AC1ED7">
      <w:pPr>
        <w:snapToGrid w:val="0"/>
        <w:spacing w:beforeLines="30" w:before="108" w:line="420" w:lineRule="exact"/>
        <w:jc w:val="both"/>
        <w:outlineLvl w:val="2"/>
        <w:rPr>
          <w:rFonts w:ascii="標楷體" w:eastAsia="標楷體"/>
          <w:b/>
          <w:color w:val="000000" w:themeColor="text1"/>
          <w:sz w:val="32"/>
          <w:szCs w:val="32"/>
        </w:rPr>
      </w:pPr>
      <w:r w:rsidRPr="000C5C56">
        <w:rPr>
          <w:rFonts w:ascii="標楷體" w:eastAsia="標楷體" w:hint="eastAsia"/>
          <w:b/>
          <w:color w:val="000000" w:themeColor="text1"/>
          <w:sz w:val="32"/>
          <w:szCs w:val="32"/>
        </w:rPr>
        <w:t>三、重要審核意見</w:t>
      </w:r>
    </w:p>
    <w:p w14:paraId="035ED795" w14:textId="51B47DE0" w:rsidR="005A14A4" w:rsidRDefault="005A14A4" w:rsidP="00365895">
      <w:pPr>
        <w:spacing w:beforeLines="20" w:before="72" w:line="440" w:lineRule="exact"/>
        <w:ind w:firstLineChars="100" w:firstLine="280"/>
        <w:jc w:val="both"/>
        <w:rPr>
          <w:rFonts w:ascii="標楷體" w:eastAsia="標楷體" w:hAnsi="標楷體"/>
          <w:b/>
          <w:sz w:val="28"/>
          <w:szCs w:val="28"/>
        </w:rPr>
      </w:pPr>
      <w:r w:rsidRPr="000C5C56">
        <w:rPr>
          <w:rFonts w:ascii="標楷體" w:eastAsia="標楷體" w:hint="eastAsia"/>
          <w:b/>
          <w:color w:val="000000" w:themeColor="text1"/>
          <w:sz w:val="28"/>
          <w:szCs w:val="28"/>
        </w:rPr>
        <w:t>（一）</w:t>
      </w:r>
      <w:r w:rsidRPr="00810158">
        <w:rPr>
          <w:rFonts w:ascii="標楷體" w:eastAsia="標楷體" w:hAnsi="標楷體" w:hint="eastAsia"/>
          <w:b/>
          <w:sz w:val="28"/>
          <w:szCs w:val="28"/>
        </w:rPr>
        <w:t>為解決高地社區用水問題，持續辦理</w:t>
      </w:r>
      <w:proofErr w:type="gramStart"/>
      <w:r w:rsidRPr="00810158">
        <w:rPr>
          <w:rFonts w:ascii="標楷體" w:eastAsia="標楷體" w:hAnsi="標楷體" w:hint="eastAsia"/>
          <w:b/>
          <w:sz w:val="28"/>
          <w:szCs w:val="28"/>
        </w:rPr>
        <w:t>延管工程並佐</w:t>
      </w:r>
      <w:proofErr w:type="gramEnd"/>
      <w:r w:rsidRPr="00810158">
        <w:rPr>
          <w:rFonts w:ascii="標楷體" w:eastAsia="標楷體" w:hAnsi="標楷體" w:hint="eastAsia"/>
          <w:b/>
          <w:sz w:val="28"/>
          <w:szCs w:val="28"/>
        </w:rPr>
        <w:t>以水車送水，惟迄113</w:t>
      </w:r>
      <w:proofErr w:type="gramStart"/>
      <w:r w:rsidRPr="00810158">
        <w:rPr>
          <w:rFonts w:ascii="標楷體" w:eastAsia="標楷體" w:hAnsi="標楷體" w:hint="eastAsia"/>
          <w:b/>
          <w:sz w:val="28"/>
          <w:szCs w:val="28"/>
        </w:rPr>
        <w:t>年底止轄內</w:t>
      </w:r>
      <w:proofErr w:type="gramEnd"/>
      <w:r w:rsidRPr="00810158">
        <w:rPr>
          <w:rFonts w:ascii="標楷體" w:eastAsia="標楷體" w:hAnsi="標楷體" w:hint="eastAsia"/>
          <w:b/>
          <w:sz w:val="28"/>
          <w:szCs w:val="28"/>
        </w:rPr>
        <w:t>仍有1千餘戶高地居民無自來水可用，且水車送水方案因民眾申請不踴躍致影響執行成效，有待</w:t>
      </w:r>
      <w:proofErr w:type="gramStart"/>
      <w:r w:rsidRPr="00810158">
        <w:rPr>
          <w:rFonts w:ascii="標楷體" w:eastAsia="標楷體" w:hAnsi="標楷體" w:hint="eastAsia"/>
          <w:b/>
          <w:sz w:val="28"/>
          <w:szCs w:val="28"/>
        </w:rPr>
        <w:t>研</w:t>
      </w:r>
      <w:proofErr w:type="gramEnd"/>
      <w:r w:rsidRPr="00810158">
        <w:rPr>
          <w:rFonts w:ascii="標楷體" w:eastAsia="標楷體" w:hAnsi="標楷體" w:hint="eastAsia"/>
          <w:b/>
          <w:sz w:val="28"/>
          <w:szCs w:val="28"/>
        </w:rPr>
        <w:t>謀改善，以提升社區居民用水品質。</w:t>
      </w:r>
    </w:p>
    <w:p w14:paraId="634E69EC" w14:textId="77777777" w:rsidR="00365895" w:rsidRDefault="00AD1524" w:rsidP="00AD1524">
      <w:pPr>
        <w:spacing w:line="400" w:lineRule="exact"/>
        <w:ind w:firstLineChars="200" w:firstLine="480"/>
        <w:jc w:val="both"/>
        <w:rPr>
          <w:rFonts w:ascii="標楷體" w:eastAsia="標楷體" w:hAnsi="標楷體"/>
        </w:rPr>
      </w:pPr>
      <w:proofErr w:type="gramStart"/>
      <w:r w:rsidRPr="00AD1524">
        <w:rPr>
          <w:rFonts w:ascii="標楷體" w:eastAsia="標楷體" w:hAnsi="標楷體" w:hint="eastAsia"/>
        </w:rPr>
        <w:t>臺</w:t>
      </w:r>
      <w:proofErr w:type="gramEnd"/>
      <w:r w:rsidRPr="00AD1524">
        <w:rPr>
          <w:rFonts w:ascii="標楷體" w:eastAsia="標楷體" w:hAnsi="標楷體" w:hint="eastAsia"/>
        </w:rPr>
        <w:t>北自來水事業處目前供水區域涵蓋臺北市全部及新北市三重、中和、永和、新店4區及汐止區北山里等7個里。截至113年底止，供水普及率約99.71％，惟仍有部分高地社區無自來水可供使用，受影響人數約1萬餘人。該處為解決高地無自來水地區用水問題，訂有「本市高地區無自來水供水改善通則」（下稱改善通則），並於106年12月間修訂改善通則，將受理高地無自來水用戶申請接水條件，設定以「接水率70％以上及每戶改善經費60萬元以下」為</w:t>
      </w:r>
      <w:proofErr w:type="gramStart"/>
      <w:r w:rsidRPr="00AD1524">
        <w:rPr>
          <w:rFonts w:ascii="標楷體" w:eastAsia="標楷體" w:hAnsi="標楷體" w:hint="eastAsia"/>
        </w:rPr>
        <w:t>辦理延管改善</w:t>
      </w:r>
      <w:proofErr w:type="gramEnd"/>
      <w:r w:rsidRPr="00AD1524">
        <w:rPr>
          <w:rFonts w:ascii="標楷體" w:eastAsia="標楷體" w:hAnsi="標楷體" w:hint="eastAsia"/>
        </w:rPr>
        <w:t>原則，由區公所或該處編列預算支應；未符合該改善條件者，則新增水車送水方案以替代改善，水車送水費用由該處支應；</w:t>
      </w:r>
      <w:proofErr w:type="gramStart"/>
      <w:r w:rsidRPr="00AD1524">
        <w:rPr>
          <w:rFonts w:ascii="標楷體" w:eastAsia="標楷體" w:hAnsi="標楷體" w:hint="eastAsia"/>
        </w:rPr>
        <w:t>嗣</w:t>
      </w:r>
      <w:proofErr w:type="gramEnd"/>
      <w:r w:rsidRPr="00AD1524">
        <w:rPr>
          <w:rFonts w:ascii="標楷體" w:eastAsia="標楷體" w:hAnsi="標楷體" w:hint="eastAsia"/>
        </w:rPr>
        <w:t>考量物料及勞務費用等經費上漲，復於112年5月間修訂改善通則標準作業程序，將上開每戶改善經費60萬元基</w:t>
      </w:r>
      <w:proofErr w:type="gramStart"/>
      <w:r w:rsidRPr="00AD1524">
        <w:rPr>
          <w:rFonts w:ascii="標楷體" w:eastAsia="標楷體" w:hAnsi="標楷體" w:hint="eastAsia"/>
        </w:rPr>
        <w:t>準</w:t>
      </w:r>
      <w:proofErr w:type="gramEnd"/>
      <w:r w:rsidRPr="00AD1524">
        <w:rPr>
          <w:rFonts w:ascii="標楷體" w:eastAsia="標楷體" w:hAnsi="標楷體" w:hint="eastAsia"/>
        </w:rPr>
        <w:t>條件提高為90萬元。經查該處106至113年度間受理高地無自來水用戶申請接水改善案件，計辦理內湖區碧山里等10案（累計改善685戶），其中8案由民眾（里長）陳情或由用戶主動申請，由該處主動</w:t>
      </w:r>
      <w:proofErr w:type="gramStart"/>
      <w:r w:rsidRPr="00AD1524">
        <w:rPr>
          <w:rFonts w:ascii="標楷體" w:eastAsia="標楷體" w:hAnsi="標楷體" w:hint="eastAsia"/>
        </w:rPr>
        <w:t>研</w:t>
      </w:r>
      <w:proofErr w:type="gramEnd"/>
      <w:r w:rsidRPr="00AD1524">
        <w:rPr>
          <w:rFonts w:ascii="標楷體" w:eastAsia="標楷體" w:hAnsi="標楷體" w:hint="eastAsia"/>
        </w:rPr>
        <w:t>商辦理者僅2案；又截至113年底止，臺北市轄內高地尚有士林區溪山里等58案計1,744戶（不含新北市部分）屬無自來水地區，排除已由該處或區公所編列改善預算之7案計653戶，仍有北投區秀山里等51</w:t>
      </w:r>
    </w:p>
    <w:p w14:paraId="688124DA" w14:textId="52EF2357" w:rsidR="005A14A4" w:rsidRDefault="00AD1524" w:rsidP="00365895">
      <w:pPr>
        <w:spacing w:line="400" w:lineRule="exact"/>
        <w:jc w:val="both"/>
        <w:rPr>
          <w:rFonts w:ascii="標楷體" w:eastAsia="標楷體" w:hAnsi="標楷體"/>
        </w:rPr>
      </w:pPr>
      <w:r w:rsidRPr="00AD1524">
        <w:rPr>
          <w:rFonts w:ascii="標楷體" w:eastAsia="標楷體" w:hAnsi="標楷體" w:hint="eastAsia"/>
        </w:rPr>
        <w:lastRenderedPageBreak/>
        <w:t>案計</w:t>
      </w:r>
      <w:r w:rsidRPr="0082777F">
        <w:rPr>
          <w:rFonts w:ascii="標楷體" w:eastAsia="標楷體" w:hAnsi="標楷體" w:hint="eastAsia"/>
          <w:spacing w:val="2"/>
        </w:rPr>
        <w:t>1,091戶未接用自來水（表1）；另該處為減輕高地社區用戶水費負擔，並加強對中低收入</w:t>
      </w:r>
      <w:r w:rsidRPr="0082777F">
        <w:rPr>
          <w:rFonts w:ascii="標楷體" w:eastAsia="標楷體" w:hAnsi="標楷體"/>
          <w:noProof/>
          <w:spacing w:val="2"/>
        </w:rPr>
        <mc:AlternateContent>
          <mc:Choice Requires="wps">
            <w:drawing>
              <wp:anchor distT="0" distB="0" distL="114300" distR="114300" simplePos="0" relativeHeight="251684864" behindDoc="0" locked="0" layoutInCell="1" allowOverlap="1" wp14:anchorId="1C005610" wp14:editId="36208FF1">
                <wp:simplePos x="0" y="0"/>
                <wp:positionH relativeFrom="margin">
                  <wp:posOffset>3246755</wp:posOffset>
                </wp:positionH>
                <wp:positionV relativeFrom="page">
                  <wp:posOffset>1409700</wp:posOffset>
                </wp:positionV>
                <wp:extent cx="3078480" cy="3057525"/>
                <wp:effectExtent l="0" t="0" r="7620" b="9525"/>
                <wp:wrapSquare wrapText="bothSides"/>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8480" cy="3057525"/>
                        </a:xfrm>
                        <a:prstGeom prst="rect">
                          <a:avLst/>
                        </a:prstGeom>
                        <a:solidFill>
                          <a:srgbClr val="FFFFFF"/>
                        </a:solidFill>
                        <a:ln w="9525">
                          <a:noFill/>
                          <a:miter lim="800000"/>
                          <a:headEnd/>
                          <a:tailEnd/>
                        </a:ln>
                      </wps:spPr>
                      <wps:txbx>
                        <w:txbxContent>
                          <w:p w14:paraId="30A6B3CD" w14:textId="77777777" w:rsidR="00AD1524" w:rsidRPr="00515710" w:rsidRDefault="00AD1524" w:rsidP="00AD1524">
                            <w:pPr>
                              <w:spacing w:line="240" w:lineRule="exact"/>
                              <w:jc w:val="center"/>
                              <w:rPr>
                                <w:rFonts w:ascii="標楷體" w:eastAsia="標楷體" w:hAnsi="標楷體" w:cs="新細明體"/>
                                <w:b/>
                                <w:spacing w:val="-4"/>
                                <w:kern w:val="0"/>
                              </w:rPr>
                            </w:pPr>
                            <w:r w:rsidRPr="00515710">
                              <w:rPr>
                                <w:rFonts w:ascii="標楷體" w:eastAsia="標楷體" w:hAnsi="標楷體" w:cs="新細明體" w:hint="eastAsia"/>
                                <w:b/>
                                <w:spacing w:val="-4"/>
                                <w:kern w:val="0"/>
                              </w:rPr>
                              <w:t xml:space="preserve">表1  </w:t>
                            </w:r>
                            <w:r w:rsidRPr="00AD1524">
                              <w:rPr>
                                <w:rFonts w:ascii="標楷體" w:eastAsia="標楷體" w:hAnsi="標楷體" w:cs="新細明體" w:hint="eastAsia"/>
                                <w:b/>
                                <w:spacing w:val="-6"/>
                                <w:kern w:val="0"/>
                              </w:rPr>
                              <w:t>臺北市高地社區無自來水案件改善情形</w:t>
                            </w:r>
                          </w:p>
                          <w:p w14:paraId="064C9173" w14:textId="77777777" w:rsidR="00AD1524" w:rsidRDefault="00AD1524" w:rsidP="00AD1524">
                            <w:pPr>
                              <w:spacing w:beforeLines="10" w:before="36" w:afterLines="10" w:after="36" w:line="240" w:lineRule="exact"/>
                              <w:jc w:val="right"/>
                              <w:rPr>
                                <w:rFonts w:ascii="標楷體" w:eastAsia="標楷體" w:hAnsi="標楷體" w:cs="新細明體"/>
                                <w:kern w:val="0"/>
                                <w:sz w:val="20"/>
                              </w:rPr>
                            </w:pPr>
                            <w:r>
                              <w:rPr>
                                <w:rFonts w:ascii="標楷體" w:eastAsia="標楷體" w:hAnsi="標楷體" w:cs="新細明體" w:hint="eastAsia"/>
                                <w:kern w:val="0"/>
                                <w:sz w:val="20"/>
                              </w:rPr>
                              <w:t>單位：戶數</w:t>
                            </w:r>
                          </w:p>
                          <w:tbl>
                            <w:tblPr>
                              <w:tblStyle w:val="a6"/>
                              <w:tblW w:w="4648" w:type="dxa"/>
                              <w:tblInd w:w="-33" w:type="dxa"/>
                              <w:tblLayout w:type="fixed"/>
                              <w:tblLook w:val="04A0" w:firstRow="1" w:lastRow="0" w:firstColumn="1" w:lastColumn="0" w:noHBand="0" w:noVBand="1"/>
                            </w:tblPr>
                            <w:tblGrid>
                              <w:gridCol w:w="3710"/>
                              <w:gridCol w:w="938"/>
                            </w:tblGrid>
                            <w:tr w:rsidR="00AD1524" w14:paraId="1015D4E0" w14:textId="77777777" w:rsidTr="00824CD6">
                              <w:trPr>
                                <w:trHeight w:hRule="exact" w:val="312"/>
                              </w:trPr>
                              <w:tc>
                                <w:tcPr>
                                  <w:tcW w:w="3710" w:type="dxa"/>
                                  <w:vAlign w:val="center"/>
                                </w:tcPr>
                                <w:p w14:paraId="42749150" w14:textId="77777777" w:rsidR="00AD1524" w:rsidRPr="00BF2C92" w:rsidRDefault="00AD1524" w:rsidP="00824CD6">
                                  <w:pPr>
                                    <w:spacing w:afterLines="10" w:after="36" w:line="240" w:lineRule="exact"/>
                                    <w:jc w:val="center"/>
                                    <w:rPr>
                                      <w:rFonts w:ascii="標楷體" w:eastAsia="標楷體" w:hAnsi="標楷體" w:cs="新細明體"/>
                                      <w:spacing w:val="20"/>
                                    </w:rPr>
                                  </w:pPr>
                                  <w:r>
                                    <w:rPr>
                                      <w:rFonts w:ascii="標楷體" w:eastAsia="標楷體" w:hAnsi="標楷體" w:hint="eastAsia"/>
                                      <w:spacing w:val="20"/>
                                    </w:rPr>
                                    <w:t>案件分類</w:t>
                                  </w:r>
                                </w:p>
                              </w:tc>
                              <w:tc>
                                <w:tcPr>
                                  <w:tcW w:w="938" w:type="dxa"/>
                                  <w:vAlign w:val="center"/>
                                </w:tcPr>
                                <w:p w14:paraId="0CF78E2C" w14:textId="77777777" w:rsidR="00AD1524" w:rsidRDefault="00AD1524" w:rsidP="00824CD6">
                                  <w:pPr>
                                    <w:spacing w:afterLines="10" w:after="36" w:line="240" w:lineRule="exact"/>
                                    <w:jc w:val="center"/>
                                    <w:rPr>
                                      <w:rFonts w:ascii="標楷體" w:eastAsia="標楷體" w:hAnsi="標楷體" w:cs="新細明體"/>
                                    </w:rPr>
                                  </w:pPr>
                                  <w:r>
                                    <w:rPr>
                                      <w:rFonts w:ascii="標楷體" w:eastAsia="標楷體" w:hAnsi="標楷體" w:cs="新細明體" w:hint="eastAsia"/>
                                    </w:rPr>
                                    <w:t>戶數</w:t>
                                  </w:r>
                                </w:p>
                              </w:tc>
                            </w:tr>
                            <w:tr w:rsidR="00AD1524" w14:paraId="70EC30D6" w14:textId="77777777" w:rsidTr="00824CD6">
                              <w:trPr>
                                <w:trHeight w:hRule="exact" w:val="312"/>
                              </w:trPr>
                              <w:tc>
                                <w:tcPr>
                                  <w:tcW w:w="3710" w:type="dxa"/>
                                  <w:vAlign w:val="center"/>
                                </w:tcPr>
                                <w:p w14:paraId="30945344" w14:textId="77777777" w:rsidR="00AD1524" w:rsidRPr="00130E28" w:rsidRDefault="00AD1524" w:rsidP="00824CD6">
                                  <w:pPr>
                                    <w:spacing w:afterLines="10" w:after="36" w:line="240" w:lineRule="exact"/>
                                    <w:jc w:val="center"/>
                                    <w:rPr>
                                      <w:rFonts w:ascii="標楷體" w:eastAsia="標楷體" w:hAnsi="標楷體"/>
                                      <w:b/>
                                      <w:spacing w:val="20"/>
                                    </w:rPr>
                                  </w:pPr>
                                  <w:r w:rsidRPr="00130E28">
                                    <w:rPr>
                                      <w:rFonts w:ascii="標楷體" w:eastAsia="標楷體" w:hAnsi="標楷體" w:hint="eastAsia"/>
                                      <w:b/>
                                      <w:spacing w:val="20"/>
                                    </w:rPr>
                                    <w:t>合計</w:t>
                                  </w:r>
                                </w:p>
                              </w:tc>
                              <w:tc>
                                <w:tcPr>
                                  <w:tcW w:w="938" w:type="dxa"/>
                                  <w:vAlign w:val="center"/>
                                </w:tcPr>
                                <w:p w14:paraId="454B32E4" w14:textId="77777777" w:rsidR="00AD1524" w:rsidRPr="00F85226" w:rsidRDefault="00AD1524" w:rsidP="00824CD6">
                                  <w:pPr>
                                    <w:spacing w:afterLines="10" w:after="36" w:line="240" w:lineRule="exact"/>
                                    <w:jc w:val="right"/>
                                    <w:rPr>
                                      <w:rFonts w:ascii="標楷體" w:eastAsia="標楷體" w:hAnsi="標楷體"/>
                                      <w:b/>
                                    </w:rPr>
                                  </w:pPr>
                                  <w:r w:rsidRPr="00F85226">
                                    <w:rPr>
                                      <w:rFonts w:ascii="標楷體" w:eastAsia="標楷體" w:hAnsi="標楷體" w:hint="eastAsia"/>
                                      <w:b/>
                                    </w:rPr>
                                    <w:t>1</w:t>
                                  </w:r>
                                  <w:r w:rsidRPr="00F85226">
                                    <w:rPr>
                                      <w:rFonts w:ascii="標楷體" w:eastAsia="標楷體" w:hAnsi="標楷體"/>
                                      <w:b/>
                                    </w:rPr>
                                    <w:t>,744</w:t>
                                  </w:r>
                                </w:p>
                              </w:tc>
                            </w:tr>
                            <w:tr w:rsidR="00AD1524" w14:paraId="394C04E5" w14:textId="77777777" w:rsidTr="00824CD6">
                              <w:tc>
                                <w:tcPr>
                                  <w:tcW w:w="3710" w:type="dxa"/>
                                  <w:vAlign w:val="center"/>
                                </w:tcPr>
                                <w:p w14:paraId="301A840B" w14:textId="77777777" w:rsidR="00AD1524" w:rsidRPr="00B82DB4" w:rsidRDefault="00AD1524" w:rsidP="00824CD6">
                                  <w:pPr>
                                    <w:spacing w:line="240" w:lineRule="exact"/>
                                    <w:rPr>
                                      <w:rFonts w:ascii="標楷體" w:eastAsia="標楷體" w:hAnsi="標楷體"/>
                                    </w:rPr>
                                  </w:pPr>
                                  <w:r>
                                    <w:rPr>
                                      <w:rFonts w:ascii="標楷體" w:eastAsia="標楷體" w:hAnsi="標楷體" w:hint="eastAsia"/>
                                    </w:rPr>
                                    <w:t>一、</w:t>
                                  </w:r>
                                  <w:r w:rsidRPr="00B82DB4">
                                    <w:rPr>
                                      <w:rFonts w:ascii="標楷體" w:eastAsia="標楷體" w:hAnsi="標楷體" w:hint="eastAsia"/>
                                    </w:rPr>
                                    <w:t>編列</w:t>
                                  </w:r>
                                  <w:r>
                                    <w:rPr>
                                      <w:rFonts w:ascii="標楷體" w:eastAsia="標楷體" w:hAnsi="標楷體" w:hint="eastAsia"/>
                                    </w:rPr>
                                    <w:t>改善</w:t>
                                  </w:r>
                                  <w:r w:rsidRPr="00B82DB4">
                                    <w:rPr>
                                      <w:rFonts w:ascii="標楷體" w:eastAsia="標楷體" w:hAnsi="標楷體" w:hint="eastAsia"/>
                                    </w:rPr>
                                    <w:t>預算者</w:t>
                                  </w:r>
                                </w:p>
                                <w:p w14:paraId="04486F0B" w14:textId="77777777" w:rsidR="00AD1524" w:rsidRPr="00B82DB4" w:rsidRDefault="00AD1524" w:rsidP="00824CD6">
                                  <w:pPr>
                                    <w:pStyle w:val="a4"/>
                                    <w:spacing w:afterLines="10" w:after="36" w:line="240" w:lineRule="exact"/>
                                    <w:ind w:leftChars="201" w:left="482"/>
                                    <w:rPr>
                                      <w:rFonts w:ascii="標楷體" w:eastAsia="標楷體" w:hAnsi="標楷體"/>
                                    </w:rPr>
                                  </w:pPr>
                                  <w:r w:rsidRPr="00B82DB4">
                                    <w:rPr>
                                      <w:rFonts w:ascii="標楷體" w:eastAsia="標楷體" w:hAnsi="標楷體" w:hint="eastAsia"/>
                                    </w:rPr>
                                    <w:t>(113至1</w:t>
                                  </w:r>
                                  <w:r w:rsidRPr="00B82DB4">
                                    <w:rPr>
                                      <w:rFonts w:ascii="標楷體" w:eastAsia="標楷體" w:hAnsi="標楷體"/>
                                    </w:rPr>
                                    <w:t>15</w:t>
                                  </w:r>
                                  <w:r w:rsidRPr="00B82DB4">
                                    <w:rPr>
                                      <w:rFonts w:ascii="標楷體" w:eastAsia="標楷體" w:hAnsi="標楷體" w:hint="eastAsia"/>
                                    </w:rPr>
                                    <w:t>年度預算</w:t>
                                  </w:r>
                                  <w:r w:rsidRPr="00B82DB4">
                                    <w:rPr>
                                      <w:rFonts w:ascii="標楷體" w:eastAsia="標楷體" w:hAnsi="標楷體"/>
                                    </w:rPr>
                                    <w:t>)</w:t>
                                  </w:r>
                                </w:p>
                              </w:tc>
                              <w:tc>
                                <w:tcPr>
                                  <w:tcW w:w="938" w:type="dxa"/>
                                  <w:vAlign w:val="center"/>
                                </w:tcPr>
                                <w:p w14:paraId="69D8B2B0" w14:textId="77777777" w:rsidR="00AD1524" w:rsidRPr="00F85226" w:rsidRDefault="00AD1524" w:rsidP="00824CD6">
                                  <w:pPr>
                                    <w:spacing w:afterLines="10" w:after="36" w:line="240" w:lineRule="exact"/>
                                    <w:jc w:val="right"/>
                                    <w:rPr>
                                      <w:rFonts w:ascii="標楷體" w:eastAsia="標楷體" w:hAnsi="標楷體"/>
                                    </w:rPr>
                                  </w:pPr>
                                  <w:r w:rsidRPr="00F85226">
                                    <w:rPr>
                                      <w:rFonts w:ascii="標楷體" w:eastAsia="標楷體" w:hAnsi="標楷體" w:hint="eastAsia"/>
                                    </w:rPr>
                                    <w:t>6</w:t>
                                  </w:r>
                                  <w:r w:rsidRPr="00F85226">
                                    <w:rPr>
                                      <w:rFonts w:ascii="標楷體" w:eastAsia="標楷體" w:hAnsi="標楷體"/>
                                    </w:rPr>
                                    <w:t>53</w:t>
                                  </w:r>
                                </w:p>
                              </w:tc>
                            </w:tr>
                            <w:tr w:rsidR="00AD1524" w14:paraId="0163A01D" w14:textId="77777777" w:rsidTr="00824CD6">
                              <w:trPr>
                                <w:trHeight w:hRule="exact" w:val="312"/>
                              </w:trPr>
                              <w:tc>
                                <w:tcPr>
                                  <w:tcW w:w="3710" w:type="dxa"/>
                                  <w:vAlign w:val="center"/>
                                </w:tcPr>
                                <w:p w14:paraId="3464A1CE" w14:textId="77777777" w:rsidR="00AD1524" w:rsidRPr="00130E28" w:rsidRDefault="00AD1524" w:rsidP="00824CD6">
                                  <w:pPr>
                                    <w:spacing w:afterLines="10" w:after="36" w:line="240" w:lineRule="exact"/>
                                    <w:rPr>
                                      <w:rFonts w:ascii="標楷體" w:eastAsia="標楷體" w:hAnsi="標楷體"/>
                                    </w:rPr>
                                  </w:pPr>
                                  <w:r w:rsidRPr="00130E28">
                                    <w:rPr>
                                      <w:rFonts w:ascii="標楷體" w:eastAsia="標楷體" w:hAnsi="標楷體" w:hint="eastAsia"/>
                                    </w:rPr>
                                    <w:t>二、尚待規劃評估或</w:t>
                                  </w:r>
                                  <w:r>
                                    <w:rPr>
                                      <w:rFonts w:ascii="標楷體" w:eastAsia="標楷體" w:hAnsi="標楷體" w:hint="eastAsia"/>
                                    </w:rPr>
                                    <w:t>宣導接用自來水</w:t>
                                  </w:r>
                                  <w:r w:rsidRPr="00130E28">
                                    <w:rPr>
                                      <w:rFonts w:ascii="標楷體" w:eastAsia="標楷體" w:hAnsi="標楷體" w:hint="eastAsia"/>
                                    </w:rPr>
                                    <w:t>者</w:t>
                                  </w:r>
                                </w:p>
                              </w:tc>
                              <w:tc>
                                <w:tcPr>
                                  <w:tcW w:w="938" w:type="dxa"/>
                                  <w:vAlign w:val="center"/>
                                </w:tcPr>
                                <w:p w14:paraId="13A022CC" w14:textId="77777777" w:rsidR="00AD1524" w:rsidRPr="00F85226" w:rsidRDefault="00AD1524" w:rsidP="00824CD6">
                                  <w:pPr>
                                    <w:spacing w:afterLines="10" w:after="36" w:line="240" w:lineRule="exact"/>
                                    <w:jc w:val="right"/>
                                    <w:rPr>
                                      <w:rFonts w:ascii="標楷體" w:eastAsia="標楷體" w:hAnsi="標楷體"/>
                                    </w:rPr>
                                  </w:pPr>
                                  <w:r w:rsidRPr="00F85226">
                                    <w:rPr>
                                      <w:rFonts w:ascii="標楷體" w:eastAsia="標楷體" w:hAnsi="標楷體" w:hint="eastAsia"/>
                                    </w:rPr>
                                    <w:t>1</w:t>
                                  </w:r>
                                  <w:r w:rsidRPr="00F85226">
                                    <w:rPr>
                                      <w:rFonts w:ascii="標楷體" w:eastAsia="標楷體" w:hAnsi="標楷體"/>
                                    </w:rPr>
                                    <w:t>,091</w:t>
                                  </w:r>
                                </w:p>
                              </w:tc>
                            </w:tr>
                            <w:tr w:rsidR="00AD1524" w14:paraId="5984C669" w14:textId="77777777" w:rsidTr="00824CD6">
                              <w:trPr>
                                <w:trHeight w:hRule="exact" w:val="312"/>
                              </w:trPr>
                              <w:tc>
                                <w:tcPr>
                                  <w:tcW w:w="3710" w:type="dxa"/>
                                  <w:vAlign w:val="center"/>
                                </w:tcPr>
                                <w:p w14:paraId="66022E42" w14:textId="77777777" w:rsidR="00AD1524" w:rsidRPr="00130E28" w:rsidRDefault="00AD1524" w:rsidP="00824CD6">
                                  <w:pPr>
                                    <w:spacing w:afterLines="10" w:after="36" w:line="240" w:lineRule="exact"/>
                                    <w:ind w:leftChars="75" w:left="380" w:hangingChars="100" w:hanging="200"/>
                                    <w:rPr>
                                      <w:rFonts w:ascii="標楷體" w:eastAsia="標楷體" w:hAnsi="標楷體" w:cs="新細明體"/>
                                    </w:rPr>
                                  </w:pPr>
                                  <w:r>
                                    <w:rPr>
                                      <w:rFonts w:ascii="標楷體" w:eastAsia="標楷體" w:hAnsi="標楷體"/>
                                    </w:rPr>
                                    <w:t>(</w:t>
                                  </w:r>
                                  <w:proofErr w:type="gramStart"/>
                                  <w:r>
                                    <w:rPr>
                                      <w:rFonts w:ascii="標楷體" w:eastAsia="標楷體" w:hAnsi="標楷體" w:hint="eastAsia"/>
                                    </w:rPr>
                                    <w:t>一</w:t>
                                  </w:r>
                                  <w:proofErr w:type="gramEnd"/>
                                  <w:r>
                                    <w:rPr>
                                      <w:rFonts w:ascii="標楷體" w:eastAsia="標楷體" w:hAnsi="標楷體"/>
                                    </w:rPr>
                                    <w:t>)</w:t>
                                  </w:r>
                                  <w:r w:rsidRPr="00130E28">
                                    <w:rPr>
                                      <w:rFonts w:ascii="標楷體" w:eastAsia="標楷體" w:hAnsi="標楷體" w:hint="eastAsia"/>
                                    </w:rPr>
                                    <w:t>已</w:t>
                                  </w:r>
                                  <w:proofErr w:type="gramStart"/>
                                  <w:r w:rsidRPr="00130E28">
                                    <w:rPr>
                                      <w:rFonts w:ascii="標楷體" w:eastAsia="標楷體" w:hAnsi="標楷體" w:hint="eastAsia"/>
                                    </w:rPr>
                                    <w:t>佈</w:t>
                                  </w:r>
                                  <w:proofErr w:type="gramEnd"/>
                                  <w:r w:rsidRPr="00130E28">
                                    <w:rPr>
                                      <w:rFonts w:ascii="標楷體" w:eastAsia="標楷體" w:hAnsi="標楷體" w:hint="eastAsia"/>
                                    </w:rPr>
                                    <w:t>設管線</w:t>
                                  </w:r>
                                  <w:r w:rsidRPr="00130E28">
                                    <w:rPr>
                                      <w:rFonts w:ascii="標楷體" w:eastAsia="標楷體" w:hAnsi="標楷體" w:cs="全字庫正宋體" w:hint="eastAsia"/>
                                    </w:rPr>
                                    <w:t>，</w:t>
                                  </w:r>
                                  <w:r w:rsidRPr="00130E28">
                                    <w:rPr>
                                      <w:rFonts w:ascii="標楷體" w:eastAsia="標楷體" w:hAnsi="標楷體" w:hint="eastAsia"/>
                                    </w:rPr>
                                    <w:t>可</w:t>
                                  </w:r>
                                  <w:r>
                                    <w:rPr>
                                      <w:rFonts w:ascii="標楷體" w:eastAsia="標楷體" w:hAnsi="標楷體" w:hint="eastAsia"/>
                                    </w:rPr>
                                    <w:t>由用戶</w:t>
                                  </w:r>
                                  <w:r w:rsidRPr="00130E28">
                                    <w:rPr>
                                      <w:rFonts w:ascii="標楷體" w:eastAsia="標楷體" w:hAnsi="標楷體" w:hint="eastAsia"/>
                                    </w:rPr>
                                    <w:t>申請接水</w:t>
                                  </w:r>
                                </w:p>
                              </w:tc>
                              <w:tc>
                                <w:tcPr>
                                  <w:tcW w:w="938" w:type="dxa"/>
                                  <w:vAlign w:val="center"/>
                                </w:tcPr>
                                <w:p w14:paraId="7CB57CE1" w14:textId="77777777" w:rsidR="00AD1524" w:rsidRPr="00F85226" w:rsidRDefault="00AD1524" w:rsidP="00824CD6">
                                  <w:pPr>
                                    <w:spacing w:afterLines="10" w:after="36" w:line="240" w:lineRule="exact"/>
                                    <w:jc w:val="right"/>
                                    <w:rPr>
                                      <w:rFonts w:ascii="標楷體" w:eastAsia="標楷體" w:hAnsi="標楷體" w:cs="新細明體"/>
                                    </w:rPr>
                                  </w:pPr>
                                  <w:r w:rsidRPr="00F85226">
                                    <w:rPr>
                                      <w:rFonts w:ascii="標楷體" w:eastAsia="標楷體" w:hAnsi="標楷體" w:hint="eastAsia"/>
                                    </w:rPr>
                                    <w:t>1</w:t>
                                  </w:r>
                                  <w:r w:rsidRPr="00F85226">
                                    <w:rPr>
                                      <w:rFonts w:ascii="標楷體" w:eastAsia="標楷體" w:hAnsi="標楷體"/>
                                    </w:rPr>
                                    <w:t>55</w:t>
                                  </w:r>
                                </w:p>
                              </w:tc>
                            </w:tr>
                            <w:tr w:rsidR="00AD1524" w14:paraId="0752AE01" w14:textId="77777777" w:rsidTr="00824CD6">
                              <w:tc>
                                <w:tcPr>
                                  <w:tcW w:w="3710" w:type="dxa"/>
                                  <w:vAlign w:val="center"/>
                                </w:tcPr>
                                <w:p w14:paraId="55BCA1F4" w14:textId="77777777" w:rsidR="00AD1524" w:rsidRPr="00130E28" w:rsidRDefault="00AD1524" w:rsidP="00824CD6">
                                  <w:pPr>
                                    <w:spacing w:afterLines="10" w:after="36" w:line="240" w:lineRule="exact"/>
                                    <w:ind w:leftChars="75" w:left="580" w:hangingChars="200" w:hanging="400"/>
                                    <w:rPr>
                                      <w:rFonts w:ascii="標楷體" w:eastAsia="標楷體" w:hAnsi="標楷體" w:cs="新細明體"/>
                                    </w:rPr>
                                  </w:pPr>
                                  <w:r>
                                    <w:rPr>
                                      <w:rFonts w:ascii="標楷體" w:eastAsia="標楷體" w:hAnsi="標楷體"/>
                                    </w:rPr>
                                    <w:t>(</w:t>
                                  </w:r>
                                  <w:r>
                                    <w:rPr>
                                      <w:rFonts w:ascii="標楷體" w:eastAsia="標楷體" w:hAnsi="標楷體" w:hint="eastAsia"/>
                                    </w:rPr>
                                    <w:t>二</w:t>
                                  </w:r>
                                  <w:r>
                                    <w:rPr>
                                      <w:rFonts w:ascii="標楷體" w:eastAsia="標楷體" w:hAnsi="標楷體"/>
                                    </w:rPr>
                                    <w:t>)</w:t>
                                  </w:r>
                                  <w:r w:rsidRPr="00130E28">
                                    <w:rPr>
                                      <w:rFonts w:ascii="標楷體" w:eastAsia="標楷體" w:hAnsi="標楷體" w:hint="eastAsia"/>
                                    </w:rPr>
                                    <w:t>已</w:t>
                                  </w:r>
                                  <w:proofErr w:type="gramStart"/>
                                  <w:r w:rsidRPr="00130E28">
                                    <w:rPr>
                                      <w:rFonts w:ascii="標楷體" w:eastAsia="標楷體" w:hAnsi="標楷體" w:hint="eastAsia"/>
                                    </w:rPr>
                                    <w:t>佈</w:t>
                                  </w:r>
                                  <w:proofErr w:type="gramEnd"/>
                                  <w:r w:rsidRPr="00130E28">
                                    <w:rPr>
                                      <w:rFonts w:ascii="標楷體" w:eastAsia="標楷體" w:hAnsi="標楷體" w:hint="eastAsia"/>
                                    </w:rPr>
                                    <w:t>設管線</w:t>
                                  </w:r>
                                  <w:r w:rsidRPr="00130E28">
                                    <w:rPr>
                                      <w:rFonts w:ascii="標楷體" w:eastAsia="標楷體" w:hAnsi="標楷體" w:cs="全字庫正宋體" w:hint="eastAsia"/>
                                    </w:rPr>
                                    <w:t>，</w:t>
                                  </w:r>
                                  <w:r>
                                    <w:rPr>
                                      <w:rFonts w:ascii="標楷體" w:eastAsia="標楷體" w:hAnsi="標楷體" w:hint="eastAsia"/>
                                    </w:rPr>
                                    <w:t>視情況</w:t>
                                  </w:r>
                                  <w:proofErr w:type="gramStart"/>
                                  <w:r w:rsidRPr="00130E28">
                                    <w:rPr>
                                      <w:rFonts w:ascii="標楷體" w:eastAsia="標楷體" w:hAnsi="標楷體" w:hint="eastAsia"/>
                                    </w:rPr>
                                    <w:t>再延管改善</w:t>
                                  </w:r>
                                  <w:proofErr w:type="gramEnd"/>
                                  <w:r w:rsidRPr="00130E28">
                                    <w:rPr>
                                      <w:rFonts w:ascii="標楷體" w:eastAsia="標楷體" w:hAnsi="標楷體" w:hint="eastAsia"/>
                                    </w:rPr>
                                    <w:t>以利接水</w:t>
                                  </w:r>
                                </w:p>
                              </w:tc>
                              <w:tc>
                                <w:tcPr>
                                  <w:tcW w:w="938" w:type="dxa"/>
                                  <w:vAlign w:val="center"/>
                                </w:tcPr>
                                <w:p w14:paraId="409DF87D" w14:textId="77777777" w:rsidR="00AD1524" w:rsidRPr="00F85226" w:rsidRDefault="00AD1524" w:rsidP="00824CD6">
                                  <w:pPr>
                                    <w:spacing w:afterLines="10" w:after="36" w:line="240" w:lineRule="exact"/>
                                    <w:jc w:val="right"/>
                                    <w:rPr>
                                      <w:rFonts w:ascii="標楷體" w:eastAsia="標楷體" w:hAnsi="標楷體" w:cs="新細明體"/>
                                    </w:rPr>
                                  </w:pPr>
                                  <w:r w:rsidRPr="00F85226">
                                    <w:rPr>
                                      <w:rFonts w:ascii="標楷體" w:eastAsia="標楷體" w:hAnsi="標楷體" w:hint="eastAsia"/>
                                    </w:rPr>
                                    <w:t>2</w:t>
                                  </w:r>
                                  <w:r w:rsidRPr="00F85226">
                                    <w:rPr>
                                      <w:rFonts w:ascii="標楷體" w:eastAsia="標楷體" w:hAnsi="標楷體"/>
                                    </w:rPr>
                                    <w:t>64</w:t>
                                  </w:r>
                                </w:p>
                              </w:tc>
                            </w:tr>
                            <w:tr w:rsidR="00AD1524" w14:paraId="3AAAEF2F" w14:textId="77777777" w:rsidTr="00824CD6">
                              <w:tc>
                                <w:tcPr>
                                  <w:tcW w:w="3710" w:type="dxa"/>
                                  <w:vAlign w:val="center"/>
                                </w:tcPr>
                                <w:p w14:paraId="09EA00A2" w14:textId="77777777" w:rsidR="00AD1524" w:rsidRPr="00130E28" w:rsidRDefault="00AD1524" w:rsidP="00824CD6">
                                  <w:pPr>
                                    <w:spacing w:line="240" w:lineRule="exact"/>
                                    <w:ind w:leftChars="75" w:left="580" w:hangingChars="200" w:hanging="400"/>
                                    <w:rPr>
                                      <w:rFonts w:ascii="標楷體" w:eastAsia="標楷體" w:hAnsi="標楷體"/>
                                    </w:rPr>
                                  </w:pPr>
                                  <w:r>
                                    <w:rPr>
                                      <w:rFonts w:ascii="標楷體" w:eastAsia="標楷體" w:hAnsi="標楷體"/>
                                    </w:rPr>
                                    <w:t>(</w:t>
                                  </w:r>
                                  <w:r>
                                    <w:rPr>
                                      <w:rFonts w:ascii="標楷體" w:eastAsia="標楷體" w:hAnsi="標楷體" w:hint="eastAsia"/>
                                    </w:rPr>
                                    <w:t>三</w:t>
                                  </w:r>
                                  <w:r>
                                    <w:rPr>
                                      <w:rFonts w:ascii="標楷體" w:eastAsia="標楷體" w:hAnsi="標楷體"/>
                                    </w:rPr>
                                    <w:t>)</w:t>
                                  </w:r>
                                  <w:r w:rsidRPr="00130E28">
                                    <w:rPr>
                                      <w:rFonts w:ascii="標楷體" w:eastAsia="標楷體" w:hAnsi="標楷體" w:hint="eastAsia"/>
                                    </w:rPr>
                                    <w:t>未</w:t>
                                  </w:r>
                                  <w:proofErr w:type="gramStart"/>
                                  <w:r w:rsidRPr="00130E28">
                                    <w:rPr>
                                      <w:rFonts w:ascii="標楷體" w:eastAsia="標楷體" w:hAnsi="標楷體" w:hint="eastAsia"/>
                                    </w:rPr>
                                    <w:t>佈</w:t>
                                  </w:r>
                                  <w:proofErr w:type="gramEnd"/>
                                  <w:r w:rsidRPr="00130E28">
                                    <w:rPr>
                                      <w:rFonts w:ascii="標楷體" w:eastAsia="標楷體" w:hAnsi="標楷體" w:hint="eastAsia"/>
                                    </w:rPr>
                                    <w:t>設管線</w:t>
                                  </w:r>
                                </w:p>
                                <w:p w14:paraId="7126F707" w14:textId="77777777" w:rsidR="00AD1524" w:rsidRPr="00130E28" w:rsidRDefault="00AD1524" w:rsidP="00824CD6">
                                  <w:pPr>
                                    <w:spacing w:line="240" w:lineRule="exact"/>
                                    <w:ind w:leftChars="225" w:left="740" w:hangingChars="100" w:hanging="200"/>
                                    <w:rPr>
                                      <w:rFonts w:ascii="標楷體" w:eastAsia="標楷體" w:hAnsi="標楷體"/>
                                    </w:rPr>
                                  </w:pPr>
                                  <w:r w:rsidRPr="00130E28">
                                    <w:rPr>
                                      <w:rFonts w:ascii="標楷體" w:eastAsia="標楷體" w:hAnsi="標楷體"/>
                                    </w:rPr>
                                    <w:t>1</w:t>
                                  </w:r>
                                  <w:r>
                                    <w:rPr>
                                      <w:rFonts w:ascii="標楷體" w:eastAsia="標楷體" w:hAnsi="標楷體"/>
                                    </w:rPr>
                                    <w:t>.</w:t>
                                  </w:r>
                                  <w:r w:rsidRPr="00130E28">
                                    <w:rPr>
                                      <w:rFonts w:ascii="標楷體" w:eastAsia="標楷體" w:hAnsi="標楷體" w:hint="eastAsia"/>
                                    </w:rPr>
                                    <w:t>預計編列</w:t>
                                  </w:r>
                                  <w:r>
                                    <w:rPr>
                                      <w:rFonts w:ascii="標楷體" w:eastAsia="標楷體" w:hAnsi="標楷體" w:hint="eastAsia"/>
                                    </w:rPr>
                                    <w:t>改善</w:t>
                                  </w:r>
                                  <w:r w:rsidRPr="00130E28">
                                    <w:rPr>
                                      <w:rFonts w:ascii="標楷體" w:eastAsia="標楷體" w:hAnsi="標楷體" w:hint="eastAsia"/>
                                    </w:rPr>
                                    <w:t>預算(</w:t>
                                  </w:r>
                                  <w:r w:rsidRPr="00130E28">
                                    <w:rPr>
                                      <w:rFonts w:ascii="標楷體" w:eastAsia="標楷體" w:hAnsi="標楷體"/>
                                    </w:rPr>
                                    <w:t>203</w:t>
                                  </w:r>
                                  <w:r w:rsidRPr="00130E28">
                                    <w:rPr>
                                      <w:rFonts w:ascii="標楷體" w:eastAsia="標楷體" w:hAnsi="標楷體" w:hint="eastAsia"/>
                                    </w:rPr>
                                    <w:t>戶</w:t>
                                  </w:r>
                                  <w:r w:rsidRPr="00130E28">
                                    <w:rPr>
                                      <w:rFonts w:ascii="標楷體" w:eastAsia="標楷體" w:hAnsi="標楷體"/>
                                    </w:rPr>
                                    <w:t>)</w:t>
                                  </w:r>
                                </w:p>
                                <w:p w14:paraId="7EDFBFE0" w14:textId="77777777" w:rsidR="00AD1524" w:rsidRPr="00130E28" w:rsidRDefault="00AD1524" w:rsidP="00824CD6">
                                  <w:pPr>
                                    <w:spacing w:line="240" w:lineRule="exact"/>
                                    <w:ind w:leftChars="225" w:left="740" w:hangingChars="100" w:hanging="200"/>
                                    <w:rPr>
                                      <w:rFonts w:ascii="標楷體" w:eastAsia="標楷體" w:hAnsi="標楷體" w:cs="新細明體"/>
                                    </w:rPr>
                                  </w:pPr>
                                  <w:r w:rsidRPr="00130E28">
                                    <w:rPr>
                                      <w:rFonts w:ascii="標楷體" w:eastAsia="標楷體" w:hAnsi="標楷體"/>
                                    </w:rPr>
                                    <w:t>2</w:t>
                                  </w:r>
                                  <w:r>
                                    <w:rPr>
                                      <w:rFonts w:ascii="標楷體" w:eastAsia="標楷體" w:hAnsi="標楷體"/>
                                    </w:rPr>
                                    <w:t>.</w:t>
                                  </w:r>
                                  <w:proofErr w:type="gramStart"/>
                                  <w:r w:rsidRPr="00130E28">
                                    <w:rPr>
                                      <w:rFonts w:ascii="標楷體" w:eastAsia="標楷體" w:hAnsi="標楷體" w:hint="eastAsia"/>
                                    </w:rPr>
                                    <w:t>延管規劃</w:t>
                                  </w:r>
                                  <w:proofErr w:type="gramEnd"/>
                                  <w:r w:rsidRPr="00130E28">
                                    <w:rPr>
                                      <w:rFonts w:ascii="標楷體" w:eastAsia="標楷體" w:hAnsi="標楷體" w:hint="eastAsia"/>
                                    </w:rPr>
                                    <w:t>中(</w:t>
                                  </w:r>
                                  <w:r w:rsidRPr="00130E28">
                                    <w:rPr>
                                      <w:rFonts w:ascii="標楷體" w:eastAsia="標楷體" w:hAnsi="標楷體"/>
                                    </w:rPr>
                                    <w:t>118</w:t>
                                  </w:r>
                                  <w:r w:rsidRPr="00130E28">
                                    <w:rPr>
                                      <w:rFonts w:ascii="標楷體" w:eastAsia="標楷體" w:hAnsi="標楷體" w:hint="eastAsia"/>
                                    </w:rPr>
                                    <w:t>戶)</w:t>
                                  </w:r>
                                </w:p>
                                <w:p w14:paraId="68D0E9C9" w14:textId="77777777" w:rsidR="00AD1524" w:rsidRPr="00130E28" w:rsidRDefault="00AD1524" w:rsidP="00824CD6">
                                  <w:pPr>
                                    <w:spacing w:line="240" w:lineRule="exact"/>
                                    <w:ind w:leftChars="225" w:left="740" w:hangingChars="100" w:hanging="200"/>
                                    <w:rPr>
                                      <w:rFonts w:ascii="標楷體" w:eastAsia="標楷體" w:hAnsi="標楷體" w:cs="新細明體"/>
                                    </w:rPr>
                                  </w:pPr>
                                  <w:r w:rsidRPr="00130E28">
                                    <w:rPr>
                                      <w:rFonts w:ascii="標楷體" w:eastAsia="標楷體" w:hAnsi="標楷體"/>
                                    </w:rPr>
                                    <w:t>3</w:t>
                                  </w:r>
                                  <w:r>
                                    <w:rPr>
                                      <w:rFonts w:ascii="標楷體" w:eastAsia="標楷體" w:hAnsi="標楷體"/>
                                    </w:rPr>
                                    <w:t>.</w:t>
                                  </w:r>
                                  <w:r w:rsidRPr="00130E28">
                                    <w:rPr>
                                      <w:rFonts w:ascii="標楷體" w:eastAsia="標楷體" w:hAnsi="標楷體" w:hint="eastAsia"/>
                                    </w:rPr>
                                    <w:t>已初評(</w:t>
                                  </w:r>
                                  <w:r w:rsidRPr="00130E28">
                                    <w:rPr>
                                      <w:rFonts w:ascii="標楷體" w:eastAsia="標楷體" w:hAnsi="標楷體"/>
                                    </w:rPr>
                                    <w:t>186</w:t>
                                  </w:r>
                                  <w:r w:rsidRPr="00130E28">
                                    <w:rPr>
                                      <w:rFonts w:ascii="標楷體" w:eastAsia="標楷體" w:hAnsi="標楷體" w:hint="eastAsia"/>
                                    </w:rPr>
                                    <w:t>戶</w:t>
                                  </w:r>
                                  <w:r w:rsidRPr="00130E28">
                                    <w:rPr>
                                      <w:rFonts w:ascii="標楷體" w:eastAsia="標楷體" w:hAnsi="標楷體"/>
                                    </w:rPr>
                                    <w:t>)</w:t>
                                  </w:r>
                                </w:p>
                                <w:p w14:paraId="31A5B623" w14:textId="77777777" w:rsidR="00AD1524" w:rsidRPr="00130E28" w:rsidRDefault="00AD1524" w:rsidP="00824CD6">
                                  <w:pPr>
                                    <w:spacing w:afterLines="10" w:after="36" w:line="240" w:lineRule="exact"/>
                                    <w:ind w:leftChars="225" w:left="740" w:hangingChars="100" w:hanging="200"/>
                                    <w:rPr>
                                      <w:rFonts w:ascii="標楷體" w:eastAsia="標楷體" w:hAnsi="標楷體" w:cs="新細明體"/>
                                    </w:rPr>
                                  </w:pPr>
                                  <w:r w:rsidRPr="00130E28">
                                    <w:rPr>
                                      <w:rFonts w:ascii="標楷體" w:eastAsia="標楷體" w:hAnsi="標楷體"/>
                                    </w:rPr>
                                    <w:t>4</w:t>
                                  </w:r>
                                  <w:r>
                                    <w:rPr>
                                      <w:rFonts w:ascii="標楷體" w:eastAsia="標楷體" w:hAnsi="標楷體"/>
                                    </w:rPr>
                                    <w:t>.</w:t>
                                  </w:r>
                                  <w:proofErr w:type="gramStart"/>
                                  <w:r w:rsidRPr="00130E28">
                                    <w:rPr>
                                      <w:rFonts w:ascii="標楷體" w:eastAsia="標楷體" w:hAnsi="標楷體" w:hint="eastAsia"/>
                                    </w:rPr>
                                    <w:t>初評中</w:t>
                                  </w:r>
                                  <w:proofErr w:type="gramEnd"/>
                                  <w:r w:rsidRPr="00130E28">
                                    <w:rPr>
                                      <w:rFonts w:ascii="標楷體" w:eastAsia="標楷體" w:hAnsi="標楷體" w:hint="eastAsia"/>
                                    </w:rPr>
                                    <w:t>(</w:t>
                                  </w:r>
                                  <w:r w:rsidRPr="00130E28">
                                    <w:rPr>
                                      <w:rFonts w:ascii="標楷體" w:eastAsia="標楷體" w:hAnsi="標楷體"/>
                                    </w:rPr>
                                    <w:t>147</w:t>
                                  </w:r>
                                  <w:r w:rsidRPr="00130E28">
                                    <w:rPr>
                                      <w:rFonts w:ascii="標楷體" w:eastAsia="標楷體" w:hAnsi="標楷體" w:hint="eastAsia"/>
                                    </w:rPr>
                                    <w:t>戶</w:t>
                                  </w:r>
                                  <w:r w:rsidRPr="00130E28">
                                    <w:rPr>
                                      <w:rFonts w:ascii="標楷體" w:eastAsia="標楷體" w:hAnsi="標楷體"/>
                                    </w:rPr>
                                    <w:t>)</w:t>
                                  </w:r>
                                </w:p>
                              </w:tc>
                              <w:tc>
                                <w:tcPr>
                                  <w:tcW w:w="938" w:type="dxa"/>
                                  <w:vAlign w:val="center"/>
                                </w:tcPr>
                                <w:p w14:paraId="3D4928B1" w14:textId="77777777" w:rsidR="00AD1524" w:rsidRPr="00F85226" w:rsidRDefault="00AD1524" w:rsidP="00824CD6">
                                  <w:pPr>
                                    <w:spacing w:afterLines="10" w:after="36" w:line="240" w:lineRule="exact"/>
                                    <w:jc w:val="right"/>
                                    <w:rPr>
                                      <w:rFonts w:ascii="標楷體" w:eastAsia="標楷體" w:hAnsi="標楷體" w:cs="新細明體"/>
                                    </w:rPr>
                                  </w:pPr>
                                  <w:r w:rsidRPr="00F85226">
                                    <w:rPr>
                                      <w:rFonts w:ascii="標楷體" w:eastAsia="標楷體" w:hAnsi="標楷體" w:hint="eastAsia"/>
                                    </w:rPr>
                                    <w:t>6</w:t>
                                  </w:r>
                                  <w:r w:rsidRPr="00F85226">
                                    <w:rPr>
                                      <w:rFonts w:ascii="標楷體" w:eastAsia="標楷體" w:hAnsi="標楷體"/>
                                    </w:rPr>
                                    <w:t>54</w:t>
                                  </w:r>
                                </w:p>
                              </w:tc>
                            </w:tr>
                            <w:tr w:rsidR="00AD1524" w14:paraId="3C91575D" w14:textId="77777777" w:rsidTr="00824CD6">
                              <w:trPr>
                                <w:trHeight w:hRule="exact" w:val="312"/>
                              </w:trPr>
                              <w:tc>
                                <w:tcPr>
                                  <w:tcW w:w="3710" w:type="dxa"/>
                                  <w:vAlign w:val="center"/>
                                </w:tcPr>
                                <w:p w14:paraId="4AA6B298" w14:textId="77777777" w:rsidR="00AD1524" w:rsidRPr="00130E28" w:rsidRDefault="00AD1524" w:rsidP="005F0305">
                                  <w:pPr>
                                    <w:spacing w:line="220" w:lineRule="exact"/>
                                    <w:ind w:leftChars="75" w:left="580" w:hangingChars="200" w:hanging="400"/>
                                    <w:rPr>
                                      <w:rFonts w:ascii="標楷體" w:eastAsia="標楷體" w:hAnsi="標楷體" w:cs="新細明體"/>
                                    </w:rPr>
                                  </w:pPr>
                                  <w:r>
                                    <w:rPr>
                                      <w:rFonts w:ascii="標楷體" w:eastAsia="標楷體" w:hAnsi="標楷體"/>
                                    </w:rPr>
                                    <w:t>(</w:t>
                                  </w:r>
                                  <w:r>
                                    <w:rPr>
                                      <w:rFonts w:ascii="標楷體" w:eastAsia="標楷體" w:hAnsi="標楷體" w:hint="eastAsia"/>
                                    </w:rPr>
                                    <w:t>四</w:t>
                                  </w:r>
                                  <w:r>
                                    <w:rPr>
                                      <w:rFonts w:ascii="標楷體" w:eastAsia="標楷體" w:hAnsi="標楷體"/>
                                    </w:rPr>
                                    <w:t>)</w:t>
                                  </w:r>
                                  <w:r w:rsidRPr="00130E28">
                                    <w:rPr>
                                      <w:rFonts w:ascii="標楷體" w:eastAsia="標楷體" w:hAnsi="標楷體" w:hint="eastAsia"/>
                                    </w:rPr>
                                    <w:t>未</w:t>
                                  </w:r>
                                  <w:proofErr w:type="gramStart"/>
                                  <w:r w:rsidRPr="00130E28">
                                    <w:rPr>
                                      <w:rFonts w:ascii="標楷體" w:eastAsia="標楷體" w:hAnsi="標楷體" w:hint="eastAsia"/>
                                    </w:rPr>
                                    <w:t>佈</w:t>
                                  </w:r>
                                  <w:proofErr w:type="gramEnd"/>
                                  <w:r w:rsidRPr="00130E28">
                                    <w:rPr>
                                      <w:rFonts w:ascii="標楷體" w:eastAsia="標楷體" w:hAnsi="標楷體" w:hint="eastAsia"/>
                                    </w:rPr>
                                    <w:t>設管線</w:t>
                                  </w:r>
                                  <w:r w:rsidRPr="00130E28">
                                    <w:rPr>
                                      <w:rFonts w:ascii="標楷體" w:eastAsia="標楷體" w:hAnsi="標楷體" w:cs="全字庫正宋體" w:hint="eastAsia"/>
                                    </w:rPr>
                                    <w:t>，</w:t>
                                  </w:r>
                                  <w:proofErr w:type="gramStart"/>
                                  <w:r w:rsidRPr="00130E28">
                                    <w:rPr>
                                      <w:rFonts w:ascii="標楷體" w:eastAsia="標楷體" w:hAnsi="標楷體" w:hint="eastAsia"/>
                                    </w:rPr>
                                    <w:t>零星戶</w:t>
                                  </w:r>
                                  <w:proofErr w:type="gramEnd"/>
                                </w:p>
                              </w:tc>
                              <w:tc>
                                <w:tcPr>
                                  <w:tcW w:w="938" w:type="dxa"/>
                                  <w:vAlign w:val="center"/>
                                </w:tcPr>
                                <w:p w14:paraId="781E46DC" w14:textId="77777777" w:rsidR="00AD1524" w:rsidRPr="00F85226" w:rsidRDefault="00AD1524" w:rsidP="00824CD6">
                                  <w:pPr>
                                    <w:spacing w:afterLines="10" w:after="36" w:line="240" w:lineRule="exact"/>
                                    <w:jc w:val="right"/>
                                    <w:rPr>
                                      <w:rFonts w:ascii="標楷體" w:eastAsia="標楷體" w:hAnsi="標楷體" w:cs="新細明體"/>
                                    </w:rPr>
                                  </w:pPr>
                                  <w:r w:rsidRPr="00F85226">
                                    <w:rPr>
                                      <w:rFonts w:ascii="標楷體" w:eastAsia="標楷體" w:hAnsi="標楷體" w:hint="eastAsia"/>
                                    </w:rPr>
                                    <w:t>1</w:t>
                                  </w:r>
                                  <w:r w:rsidRPr="00F85226">
                                    <w:rPr>
                                      <w:rFonts w:ascii="標楷體" w:eastAsia="標楷體" w:hAnsi="標楷體"/>
                                    </w:rPr>
                                    <w:t>8</w:t>
                                  </w:r>
                                </w:p>
                              </w:tc>
                            </w:tr>
                          </w:tbl>
                          <w:p w14:paraId="2ED164ED" w14:textId="77777777" w:rsidR="00AD1524" w:rsidRPr="00F85226" w:rsidRDefault="00AD1524" w:rsidP="00AD1524">
                            <w:pPr>
                              <w:spacing w:beforeLines="10" w:before="36" w:line="220" w:lineRule="exact"/>
                              <w:ind w:left="540" w:hangingChars="300" w:hanging="540"/>
                              <w:rPr>
                                <w:sz w:val="18"/>
                                <w:szCs w:val="18"/>
                              </w:rPr>
                            </w:pPr>
                            <w:r w:rsidRPr="00F85226">
                              <w:rPr>
                                <w:rFonts w:ascii="標楷體" w:eastAsia="標楷體" w:hAnsi="標楷體" w:hint="eastAsia"/>
                                <w:sz w:val="18"/>
                                <w:szCs w:val="18"/>
                              </w:rPr>
                              <w:t>資料來源：整理自</w:t>
                            </w:r>
                            <w:proofErr w:type="gramStart"/>
                            <w:r w:rsidRPr="00F85226">
                              <w:rPr>
                                <w:rFonts w:ascii="標楷體" w:eastAsia="標楷體" w:hAnsi="標楷體" w:hint="eastAsia"/>
                                <w:sz w:val="18"/>
                                <w:szCs w:val="18"/>
                              </w:rPr>
                              <w:t>臺</w:t>
                            </w:r>
                            <w:proofErr w:type="gramEnd"/>
                            <w:r w:rsidRPr="00F85226">
                              <w:rPr>
                                <w:rFonts w:ascii="標楷體" w:eastAsia="標楷體" w:hAnsi="標楷體" w:hint="eastAsia"/>
                                <w:sz w:val="18"/>
                                <w:szCs w:val="18"/>
                              </w:rPr>
                              <w:t>北自來水事業處提供資料。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005610" id="文字方塊 27" o:spid="_x0000_s1147" type="#_x0000_t202" style="position:absolute;left:0;text-align:left;margin-left:255.65pt;margin-top:111pt;width:242.4pt;height:240.7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" stroked="f">
                <v:textbox>
                  <w:txbxContent>
                    <w:p w14:paraId="30A6B3CD" w14:textId="77777777" w:rsidR="00AD1524" w:rsidRPr="00515710" w:rsidRDefault="00AD1524" w:rsidP="00AD1524">
                      <w:pPr>
                        <w:spacing w:line="240" w:lineRule="exact"/>
                        <w:jc w:val="center"/>
                        <w:rPr>
                          <w:rFonts w:ascii="標楷體" w:eastAsia="標楷體" w:hAnsi="標楷體" w:cs="新細明體"/>
                          <w:b/>
                          <w:spacing w:val="-4"/>
                          <w:kern w:val="0"/>
                        </w:rPr>
                      </w:pPr>
                      <w:r w:rsidRPr="00515710">
                        <w:rPr>
                          <w:rFonts w:ascii="標楷體" w:eastAsia="標楷體" w:hAnsi="標楷體" w:cs="新細明體" w:hint="eastAsia"/>
                          <w:b/>
                          <w:spacing w:val="-4"/>
                          <w:kern w:val="0"/>
                        </w:rPr>
                        <w:t xml:space="preserve">表1  </w:t>
                      </w:r>
                      <w:r w:rsidRPr="00AD1524">
                        <w:rPr>
                          <w:rFonts w:ascii="標楷體" w:eastAsia="標楷體" w:hAnsi="標楷體" w:cs="新細明體" w:hint="eastAsia"/>
                          <w:b/>
                          <w:spacing w:val="-6"/>
                          <w:kern w:val="0"/>
                        </w:rPr>
                        <w:t>臺北市高地社區無自來水案件改善情形</w:t>
                      </w:r>
                    </w:p>
                    <w:p w14:paraId="064C9173" w14:textId="77777777" w:rsidR="00AD1524" w:rsidRDefault="00AD1524" w:rsidP="00AD1524">
                      <w:pPr>
                        <w:spacing w:beforeLines="10" w:before="36" w:afterLines="10" w:after="36" w:line="240" w:lineRule="exact"/>
                        <w:jc w:val="right"/>
                        <w:rPr>
                          <w:rFonts w:ascii="標楷體" w:eastAsia="標楷體" w:hAnsi="標楷體" w:cs="新細明體"/>
                          <w:kern w:val="0"/>
                          <w:sz w:val="20"/>
                        </w:rPr>
                      </w:pPr>
                      <w:r>
                        <w:rPr>
                          <w:rFonts w:ascii="標楷體" w:eastAsia="標楷體" w:hAnsi="標楷體" w:cs="新細明體" w:hint="eastAsia"/>
                          <w:kern w:val="0"/>
                          <w:sz w:val="20"/>
                        </w:rPr>
                        <w:t>單位：戶數</w:t>
                      </w:r>
                    </w:p>
                    <w:tbl>
                      <w:tblPr>
                        <w:tblStyle w:val="a6"/>
                        <w:tblW w:w="4648" w:type="dxa"/>
                        <w:tblInd w:w="-33" w:type="dxa"/>
                        <w:tblLayout w:type="fixed"/>
                        <w:tblLook w:val="04A0" w:firstRow="1" w:lastRow="0" w:firstColumn="1" w:lastColumn="0" w:noHBand="0" w:noVBand="1"/>
                      </w:tblPr>
                      <w:tblGrid>
                        <w:gridCol w:w="3710"/>
                        <w:gridCol w:w="938"/>
                      </w:tblGrid>
                      <w:tr w:rsidR="00AD1524" w14:paraId="1015D4E0" w14:textId="77777777" w:rsidTr="00824CD6">
                        <w:trPr>
                          <w:trHeight w:hRule="exact" w:val="312"/>
                        </w:trPr>
                        <w:tc>
                          <w:tcPr>
                            <w:tcW w:w="3710" w:type="dxa"/>
                            <w:vAlign w:val="center"/>
                          </w:tcPr>
                          <w:p w14:paraId="42749150" w14:textId="77777777" w:rsidR="00AD1524" w:rsidRPr="00BF2C92" w:rsidRDefault="00AD1524" w:rsidP="00824CD6">
                            <w:pPr>
                              <w:spacing w:afterLines="10" w:after="36" w:line="240" w:lineRule="exact"/>
                              <w:jc w:val="center"/>
                              <w:rPr>
                                <w:rFonts w:ascii="標楷體" w:eastAsia="標楷體" w:hAnsi="標楷體" w:cs="新細明體"/>
                                <w:spacing w:val="20"/>
                              </w:rPr>
                            </w:pPr>
                            <w:r>
                              <w:rPr>
                                <w:rFonts w:ascii="標楷體" w:eastAsia="標楷體" w:hAnsi="標楷體" w:hint="eastAsia"/>
                                <w:spacing w:val="20"/>
                              </w:rPr>
                              <w:t>案件分類</w:t>
                            </w:r>
                          </w:p>
                        </w:tc>
                        <w:tc>
                          <w:tcPr>
                            <w:tcW w:w="938" w:type="dxa"/>
                            <w:vAlign w:val="center"/>
                          </w:tcPr>
                          <w:p w14:paraId="0CF78E2C" w14:textId="77777777" w:rsidR="00AD1524" w:rsidRDefault="00AD1524" w:rsidP="00824CD6">
                            <w:pPr>
                              <w:spacing w:afterLines="10" w:after="36" w:line="240" w:lineRule="exact"/>
                              <w:jc w:val="center"/>
                              <w:rPr>
                                <w:rFonts w:ascii="標楷體" w:eastAsia="標楷體" w:hAnsi="標楷體" w:cs="新細明體"/>
                              </w:rPr>
                            </w:pPr>
                            <w:r>
                              <w:rPr>
                                <w:rFonts w:ascii="標楷體" w:eastAsia="標楷體" w:hAnsi="標楷體" w:cs="新細明體" w:hint="eastAsia"/>
                              </w:rPr>
                              <w:t>戶數</w:t>
                            </w:r>
                          </w:p>
                        </w:tc>
                      </w:tr>
                      <w:tr w:rsidR="00AD1524" w14:paraId="70EC30D6" w14:textId="77777777" w:rsidTr="00824CD6">
                        <w:trPr>
                          <w:trHeight w:hRule="exact" w:val="312"/>
                        </w:trPr>
                        <w:tc>
                          <w:tcPr>
                            <w:tcW w:w="3710" w:type="dxa"/>
                            <w:vAlign w:val="center"/>
                          </w:tcPr>
                          <w:p w14:paraId="30945344" w14:textId="77777777" w:rsidR="00AD1524" w:rsidRPr="00130E28" w:rsidRDefault="00AD1524" w:rsidP="00824CD6">
                            <w:pPr>
                              <w:spacing w:afterLines="10" w:after="36" w:line="240" w:lineRule="exact"/>
                              <w:jc w:val="center"/>
                              <w:rPr>
                                <w:rFonts w:ascii="標楷體" w:eastAsia="標楷體" w:hAnsi="標楷體"/>
                                <w:b/>
                                <w:spacing w:val="20"/>
                              </w:rPr>
                            </w:pPr>
                            <w:r w:rsidRPr="00130E28">
                              <w:rPr>
                                <w:rFonts w:ascii="標楷體" w:eastAsia="標楷體" w:hAnsi="標楷體" w:hint="eastAsia"/>
                                <w:b/>
                                <w:spacing w:val="20"/>
                              </w:rPr>
                              <w:t>合計</w:t>
                            </w:r>
                          </w:p>
                        </w:tc>
                        <w:tc>
                          <w:tcPr>
                            <w:tcW w:w="938" w:type="dxa"/>
                            <w:vAlign w:val="center"/>
                          </w:tcPr>
                          <w:p w14:paraId="454B32E4" w14:textId="77777777" w:rsidR="00AD1524" w:rsidRPr="00F85226" w:rsidRDefault="00AD1524" w:rsidP="00824CD6">
                            <w:pPr>
                              <w:spacing w:afterLines="10" w:after="36" w:line="240" w:lineRule="exact"/>
                              <w:jc w:val="right"/>
                              <w:rPr>
                                <w:rFonts w:ascii="標楷體" w:eastAsia="標楷體" w:hAnsi="標楷體"/>
                                <w:b/>
                              </w:rPr>
                            </w:pPr>
                            <w:r w:rsidRPr="00F85226">
                              <w:rPr>
                                <w:rFonts w:ascii="標楷體" w:eastAsia="標楷體" w:hAnsi="標楷體" w:hint="eastAsia"/>
                                <w:b/>
                              </w:rPr>
                              <w:t>1</w:t>
                            </w:r>
                            <w:r w:rsidRPr="00F85226">
                              <w:rPr>
                                <w:rFonts w:ascii="標楷體" w:eastAsia="標楷體" w:hAnsi="標楷體"/>
                                <w:b/>
                              </w:rPr>
                              <w:t>,744</w:t>
                            </w:r>
                          </w:p>
                        </w:tc>
                      </w:tr>
                      <w:tr w:rsidR="00AD1524" w14:paraId="394C04E5" w14:textId="77777777" w:rsidTr="00824CD6">
                        <w:tc>
                          <w:tcPr>
                            <w:tcW w:w="3710" w:type="dxa"/>
                            <w:vAlign w:val="center"/>
                          </w:tcPr>
                          <w:p w14:paraId="301A840B" w14:textId="77777777" w:rsidR="00AD1524" w:rsidRPr="00B82DB4" w:rsidRDefault="00AD1524" w:rsidP="00824CD6">
                            <w:pPr>
                              <w:spacing w:line="240" w:lineRule="exact"/>
                              <w:rPr>
                                <w:rFonts w:ascii="標楷體" w:eastAsia="標楷體" w:hAnsi="標楷體"/>
                              </w:rPr>
                            </w:pPr>
                            <w:r>
                              <w:rPr>
                                <w:rFonts w:ascii="標楷體" w:eastAsia="標楷體" w:hAnsi="標楷體" w:hint="eastAsia"/>
                              </w:rPr>
                              <w:t>一、</w:t>
                            </w:r>
                            <w:r w:rsidRPr="00B82DB4">
                              <w:rPr>
                                <w:rFonts w:ascii="標楷體" w:eastAsia="標楷體" w:hAnsi="標楷體" w:hint="eastAsia"/>
                              </w:rPr>
                              <w:t>編列</w:t>
                            </w:r>
                            <w:r>
                              <w:rPr>
                                <w:rFonts w:ascii="標楷體" w:eastAsia="標楷體" w:hAnsi="標楷體" w:hint="eastAsia"/>
                              </w:rPr>
                              <w:t>改善</w:t>
                            </w:r>
                            <w:r w:rsidRPr="00B82DB4">
                              <w:rPr>
                                <w:rFonts w:ascii="標楷體" w:eastAsia="標楷體" w:hAnsi="標楷體" w:hint="eastAsia"/>
                              </w:rPr>
                              <w:t>預算者</w:t>
                            </w:r>
                          </w:p>
                          <w:p w14:paraId="04486F0B" w14:textId="77777777" w:rsidR="00AD1524" w:rsidRPr="00B82DB4" w:rsidRDefault="00AD1524" w:rsidP="00824CD6">
                            <w:pPr>
                              <w:pStyle w:val="a4"/>
                              <w:spacing w:afterLines="10" w:after="36" w:line="240" w:lineRule="exact"/>
                              <w:ind w:leftChars="201" w:left="482"/>
                              <w:rPr>
                                <w:rFonts w:ascii="標楷體" w:eastAsia="標楷體" w:hAnsi="標楷體"/>
                              </w:rPr>
                            </w:pPr>
                            <w:r w:rsidRPr="00B82DB4">
                              <w:rPr>
                                <w:rFonts w:ascii="標楷體" w:eastAsia="標楷體" w:hAnsi="標楷體" w:hint="eastAsia"/>
                              </w:rPr>
                              <w:t>(113至1</w:t>
                            </w:r>
                            <w:r w:rsidRPr="00B82DB4">
                              <w:rPr>
                                <w:rFonts w:ascii="標楷體" w:eastAsia="標楷體" w:hAnsi="標楷體"/>
                              </w:rPr>
                              <w:t>15</w:t>
                            </w:r>
                            <w:r w:rsidRPr="00B82DB4">
                              <w:rPr>
                                <w:rFonts w:ascii="標楷體" w:eastAsia="標楷體" w:hAnsi="標楷體" w:hint="eastAsia"/>
                              </w:rPr>
                              <w:t>年度預算</w:t>
                            </w:r>
                            <w:r w:rsidRPr="00B82DB4">
                              <w:rPr>
                                <w:rFonts w:ascii="標楷體" w:eastAsia="標楷體" w:hAnsi="標楷體"/>
                              </w:rPr>
                              <w:t>)</w:t>
                            </w:r>
                          </w:p>
                        </w:tc>
                        <w:tc>
                          <w:tcPr>
                            <w:tcW w:w="938" w:type="dxa"/>
                            <w:vAlign w:val="center"/>
                          </w:tcPr>
                          <w:p w14:paraId="69D8B2B0" w14:textId="77777777" w:rsidR="00AD1524" w:rsidRPr="00F85226" w:rsidRDefault="00AD1524" w:rsidP="00824CD6">
                            <w:pPr>
                              <w:spacing w:afterLines="10" w:after="36" w:line="240" w:lineRule="exact"/>
                              <w:jc w:val="right"/>
                              <w:rPr>
                                <w:rFonts w:ascii="標楷體" w:eastAsia="標楷體" w:hAnsi="標楷體"/>
                              </w:rPr>
                            </w:pPr>
                            <w:r w:rsidRPr="00F85226">
                              <w:rPr>
                                <w:rFonts w:ascii="標楷體" w:eastAsia="標楷體" w:hAnsi="標楷體" w:hint="eastAsia"/>
                              </w:rPr>
                              <w:t>6</w:t>
                            </w:r>
                            <w:r w:rsidRPr="00F85226">
                              <w:rPr>
                                <w:rFonts w:ascii="標楷體" w:eastAsia="標楷體" w:hAnsi="標楷體"/>
                              </w:rPr>
                              <w:t>53</w:t>
                            </w:r>
                          </w:p>
                        </w:tc>
                      </w:tr>
                      <w:tr w:rsidR="00AD1524" w14:paraId="0163A01D" w14:textId="77777777" w:rsidTr="00824CD6">
                        <w:trPr>
                          <w:trHeight w:hRule="exact" w:val="312"/>
                        </w:trPr>
                        <w:tc>
                          <w:tcPr>
                            <w:tcW w:w="3710" w:type="dxa"/>
                            <w:vAlign w:val="center"/>
                          </w:tcPr>
                          <w:p w14:paraId="3464A1CE" w14:textId="77777777" w:rsidR="00AD1524" w:rsidRPr="00130E28" w:rsidRDefault="00AD1524" w:rsidP="00824CD6">
                            <w:pPr>
                              <w:spacing w:afterLines="10" w:after="36" w:line="240" w:lineRule="exact"/>
                              <w:rPr>
                                <w:rFonts w:ascii="標楷體" w:eastAsia="標楷體" w:hAnsi="標楷體"/>
                              </w:rPr>
                            </w:pPr>
                            <w:r w:rsidRPr="00130E28">
                              <w:rPr>
                                <w:rFonts w:ascii="標楷體" w:eastAsia="標楷體" w:hAnsi="標楷體" w:hint="eastAsia"/>
                              </w:rPr>
                              <w:t>二、尚待規劃評估或</w:t>
                            </w:r>
                            <w:r>
                              <w:rPr>
                                <w:rFonts w:ascii="標楷體" w:eastAsia="標楷體" w:hAnsi="標楷體" w:hint="eastAsia"/>
                              </w:rPr>
                              <w:t>宣導接用自來水</w:t>
                            </w:r>
                            <w:r w:rsidRPr="00130E28">
                              <w:rPr>
                                <w:rFonts w:ascii="標楷體" w:eastAsia="標楷體" w:hAnsi="標楷體" w:hint="eastAsia"/>
                              </w:rPr>
                              <w:t>者</w:t>
                            </w:r>
                          </w:p>
                        </w:tc>
                        <w:tc>
                          <w:tcPr>
                            <w:tcW w:w="938" w:type="dxa"/>
                            <w:vAlign w:val="center"/>
                          </w:tcPr>
                          <w:p w14:paraId="13A022CC" w14:textId="77777777" w:rsidR="00AD1524" w:rsidRPr="00F85226" w:rsidRDefault="00AD1524" w:rsidP="00824CD6">
                            <w:pPr>
                              <w:spacing w:afterLines="10" w:after="36" w:line="240" w:lineRule="exact"/>
                              <w:jc w:val="right"/>
                              <w:rPr>
                                <w:rFonts w:ascii="標楷體" w:eastAsia="標楷體" w:hAnsi="標楷體"/>
                              </w:rPr>
                            </w:pPr>
                            <w:r w:rsidRPr="00F85226">
                              <w:rPr>
                                <w:rFonts w:ascii="標楷體" w:eastAsia="標楷體" w:hAnsi="標楷體" w:hint="eastAsia"/>
                              </w:rPr>
                              <w:t>1</w:t>
                            </w:r>
                            <w:r w:rsidRPr="00F85226">
                              <w:rPr>
                                <w:rFonts w:ascii="標楷體" w:eastAsia="標楷體" w:hAnsi="標楷體"/>
                              </w:rPr>
                              <w:t>,091</w:t>
                            </w:r>
                          </w:p>
                        </w:tc>
                      </w:tr>
                      <w:tr w:rsidR="00AD1524" w14:paraId="5984C669" w14:textId="77777777" w:rsidTr="00824CD6">
                        <w:trPr>
                          <w:trHeight w:hRule="exact" w:val="312"/>
                        </w:trPr>
                        <w:tc>
                          <w:tcPr>
                            <w:tcW w:w="3710" w:type="dxa"/>
                            <w:vAlign w:val="center"/>
                          </w:tcPr>
                          <w:p w14:paraId="66022E42" w14:textId="77777777" w:rsidR="00AD1524" w:rsidRPr="00130E28" w:rsidRDefault="00AD1524" w:rsidP="00824CD6">
                            <w:pPr>
                              <w:spacing w:afterLines="10" w:after="36" w:line="240" w:lineRule="exact"/>
                              <w:ind w:leftChars="75" w:left="380" w:hangingChars="100" w:hanging="200"/>
                              <w:rPr>
                                <w:rFonts w:ascii="標楷體" w:eastAsia="標楷體" w:hAnsi="標楷體" w:cs="新細明體"/>
                              </w:rPr>
                            </w:pPr>
                            <w:r>
                              <w:rPr>
                                <w:rFonts w:ascii="標楷體" w:eastAsia="標楷體" w:hAnsi="標楷體"/>
                              </w:rPr>
                              <w:t>(</w:t>
                            </w:r>
                            <w:proofErr w:type="gramStart"/>
                            <w:r>
                              <w:rPr>
                                <w:rFonts w:ascii="標楷體" w:eastAsia="標楷體" w:hAnsi="標楷體" w:hint="eastAsia"/>
                              </w:rPr>
                              <w:t>一</w:t>
                            </w:r>
                            <w:proofErr w:type="gramEnd"/>
                            <w:r>
                              <w:rPr>
                                <w:rFonts w:ascii="標楷體" w:eastAsia="標楷體" w:hAnsi="標楷體"/>
                              </w:rPr>
                              <w:t>)</w:t>
                            </w:r>
                            <w:r w:rsidRPr="00130E28">
                              <w:rPr>
                                <w:rFonts w:ascii="標楷體" w:eastAsia="標楷體" w:hAnsi="標楷體" w:hint="eastAsia"/>
                              </w:rPr>
                              <w:t>已</w:t>
                            </w:r>
                            <w:proofErr w:type="gramStart"/>
                            <w:r w:rsidRPr="00130E28">
                              <w:rPr>
                                <w:rFonts w:ascii="標楷體" w:eastAsia="標楷體" w:hAnsi="標楷體" w:hint="eastAsia"/>
                              </w:rPr>
                              <w:t>佈</w:t>
                            </w:r>
                            <w:proofErr w:type="gramEnd"/>
                            <w:r w:rsidRPr="00130E28">
                              <w:rPr>
                                <w:rFonts w:ascii="標楷體" w:eastAsia="標楷體" w:hAnsi="標楷體" w:hint="eastAsia"/>
                              </w:rPr>
                              <w:t>設管線</w:t>
                            </w:r>
                            <w:r w:rsidRPr="00130E28">
                              <w:rPr>
                                <w:rFonts w:ascii="標楷體" w:eastAsia="標楷體" w:hAnsi="標楷體" w:cs="全字庫正宋體" w:hint="eastAsia"/>
                              </w:rPr>
                              <w:t>，</w:t>
                            </w:r>
                            <w:r w:rsidRPr="00130E28">
                              <w:rPr>
                                <w:rFonts w:ascii="標楷體" w:eastAsia="標楷體" w:hAnsi="標楷體" w:hint="eastAsia"/>
                              </w:rPr>
                              <w:t>可</w:t>
                            </w:r>
                            <w:r>
                              <w:rPr>
                                <w:rFonts w:ascii="標楷體" w:eastAsia="標楷體" w:hAnsi="標楷體" w:hint="eastAsia"/>
                              </w:rPr>
                              <w:t>由用戶</w:t>
                            </w:r>
                            <w:r w:rsidRPr="00130E28">
                              <w:rPr>
                                <w:rFonts w:ascii="標楷體" w:eastAsia="標楷體" w:hAnsi="標楷體" w:hint="eastAsia"/>
                              </w:rPr>
                              <w:t>申請接水</w:t>
                            </w:r>
                          </w:p>
                        </w:tc>
                        <w:tc>
                          <w:tcPr>
                            <w:tcW w:w="938" w:type="dxa"/>
                            <w:vAlign w:val="center"/>
                          </w:tcPr>
                          <w:p w14:paraId="7CB57CE1" w14:textId="77777777" w:rsidR="00AD1524" w:rsidRPr="00F85226" w:rsidRDefault="00AD1524" w:rsidP="00824CD6">
                            <w:pPr>
                              <w:spacing w:afterLines="10" w:after="36" w:line="240" w:lineRule="exact"/>
                              <w:jc w:val="right"/>
                              <w:rPr>
                                <w:rFonts w:ascii="標楷體" w:eastAsia="標楷體" w:hAnsi="標楷體" w:cs="新細明體"/>
                              </w:rPr>
                            </w:pPr>
                            <w:r w:rsidRPr="00F85226">
                              <w:rPr>
                                <w:rFonts w:ascii="標楷體" w:eastAsia="標楷體" w:hAnsi="標楷體" w:hint="eastAsia"/>
                              </w:rPr>
                              <w:t>1</w:t>
                            </w:r>
                            <w:r w:rsidRPr="00F85226">
                              <w:rPr>
                                <w:rFonts w:ascii="標楷體" w:eastAsia="標楷體" w:hAnsi="標楷體"/>
                              </w:rPr>
                              <w:t>55</w:t>
                            </w:r>
                          </w:p>
                        </w:tc>
                      </w:tr>
                      <w:tr w:rsidR="00AD1524" w14:paraId="0752AE01" w14:textId="77777777" w:rsidTr="00824CD6">
                        <w:tc>
                          <w:tcPr>
                            <w:tcW w:w="3710" w:type="dxa"/>
                            <w:vAlign w:val="center"/>
                          </w:tcPr>
                          <w:p w14:paraId="55BCA1F4" w14:textId="77777777" w:rsidR="00AD1524" w:rsidRPr="00130E28" w:rsidRDefault="00AD1524" w:rsidP="00824CD6">
                            <w:pPr>
                              <w:spacing w:afterLines="10" w:after="36" w:line="240" w:lineRule="exact"/>
                              <w:ind w:leftChars="75" w:left="580" w:hangingChars="200" w:hanging="400"/>
                              <w:rPr>
                                <w:rFonts w:ascii="標楷體" w:eastAsia="標楷體" w:hAnsi="標楷體" w:cs="新細明體"/>
                              </w:rPr>
                            </w:pPr>
                            <w:r>
                              <w:rPr>
                                <w:rFonts w:ascii="標楷體" w:eastAsia="標楷體" w:hAnsi="標楷體"/>
                              </w:rPr>
                              <w:t>(</w:t>
                            </w:r>
                            <w:r>
                              <w:rPr>
                                <w:rFonts w:ascii="標楷體" w:eastAsia="標楷體" w:hAnsi="標楷體" w:hint="eastAsia"/>
                              </w:rPr>
                              <w:t>二</w:t>
                            </w:r>
                            <w:r>
                              <w:rPr>
                                <w:rFonts w:ascii="標楷體" w:eastAsia="標楷體" w:hAnsi="標楷體"/>
                              </w:rPr>
                              <w:t>)</w:t>
                            </w:r>
                            <w:r w:rsidRPr="00130E28">
                              <w:rPr>
                                <w:rFonts w:ascii="標楷體" w:eastAsia="標楷體" w:hAnsi="標楷體" w:hint="eastAsia"/>
                              </w:rPr>
                              <w:t>已</w:t>
                            </w:r>
                            <w:proofErr w:type="gramStart"/>
                            <w:r w:rsidRPr="00130E28">
                              <w:rPr>
                                <w:rFonts w:ascii="標楷體" w:eastAsia="標楷體" w:hAnsi="標楷體" w:hint="eastAsia"/>
                              </w:rPr>
                              <w:t>佈</w:t>
                            </w:r>
                            <w:proofErr w:type="gramEnd"/>
                            <w:r w:rsidRPr="00130E28">
                              <w:rPr>
                                <w:rFonts w:ascii="標楷體" w:eastAsia="標楷體" w:hAnsi="標楷體" w:hint="eastAsia"/>
                              </w:rPr>
                              <w:t>設管線</w:t>
                            </w:r>
                            <w:r w:rsidRPr="00130E28">
                              <w:rPr>
                                <w:rFonts w:ascii="標楷體" w:eastAsia="標楷體" w:hAnsi="標楷體" w:cs="全字庫正宋體" w:hint="eastAsia"/>
                              </w:rPr>
                              <w:t>，</w:t>
                            </w:r>
                            <w:r>
                              <w:rPr>
                                <w:rFonts w:ascii="標楷體" w:eastAsia="標楷體" w:hAnsi="標楷體" w:hint="eastAsia"/>
                              </w:rPr>
                              <w:t>視情況</w:t>
                            </w:r>
                            <w:proofErr w:type="gramStart"/>
                            <w:r w:rsidRPr="00130E28">
                              <w:rPr>
                                <w:rFonts w:ascii="標楷體" w:eastAsia="標楷體" w:hAnsi="標楷體" w:hint="eastAsia"/>
                              </w:rPr>
                              <w:t>再延管改善</w:t>
                            </w:r>
                            <w:proofErr w:type="gramEnd"/>
                            <w:r w:rsidRPr="00130E28">
                              <w:rPr>
                                <w:rFonts w:ascii="標楷體" w:eastAsia="標楷體" w:hAnsi="標楷體" w:hint="eastAsia"/>
                              </w:rPr>
                              <w:t>以利接水</w:t>
                            </w:r>
                          </w:p>
                        </w:tc>
                        <w:tc>
                          <w:tcPr>
                            <w:tcW w:w="938" w:type="dxa"/>
                            <w:vAlign w:val="center"/>
                          </w:tcPr>
                          <w:p w14:paraId="409DF87D" w14:textId="77777777" w:rsidR="00AD1524" w:rsidRPr="00F85226" w:rsidRDefault="00AD1524" w:rsidP="00824CD6">
                            <w:pPr>
                              <w:spacing w:afterLines="10" w:after="36" w:line="240" w:lineRule="exact"/>
                              <w:jc w:val="right"/>
                              <w:rPr>
                                <w:rFonts w:ascii="標楷體" w:eastAsia="標楷體" w:hAnsi="標楷體" w:cs="新細明體"/>
                              </w:rPr>
                            </w:pPr>
                            <w:r w:rsidRPr="00F85226">
                              <w:rPr>
                                <w:rFonts w:ascii="標楷體" w:eastAsia="標楷體" w:hAnsi="標楷體" w:hint="eastAsia"/>
                              </w:rPr>
                              <w:t>2</w:t>
                            </w:r>
                            <w:r w:rsidRPr="00F85226">
                              <w:rPr>
                                <w:rFonts w:ascii="標楷體" w:eastAsia="標楷體" w:hAnsi="標楷體"/>
                              </w:rPr>
                              <w:t>64</w:t>
                            </w:r>
                          </w:p>
                        </w:tc>
                      </w:tr>
                      <w:tr w:rsidR="00AD1524" w14:paraId="3AAAEF2F" w14:textId="77777777" w:rsidTr="00824CD6">
                        <w:tc>
                          <w:tcPr>
                            <w:tcW w:w="3710" w:type="dxa"/>
                            <w:vAlign w:val="center"/>
                          </w:tcPr>
                          <w:p w14:paraId="09EA00A2" w14:textId="77777777" w:rsidR="00AD1524" w:rsidRPr="00130E28" w:rsidRDefault="00AD1524" w:rsidP="00824CD6">
                            <w:pPr>
                              <w:spacing w:line="240" w:lineRule="exact"/>
                              <w:ind w:leftChars="75" w:left="580" w:hangingChars="200" w:hanging="400"/>
                              <w:rPr>
                                <w:rFonts w:ascii="標楷體" w:eastAsia="標楷體" w:hAnsi="標楷體"/>
                              </w:rPr>
                            </w:pPr>
                            <w:r>
                              <w:rPr>
                                <w:rFonts w:ascii="標楷體" w:eastAsia="標楷體" w:hAnsi="標楷體"/>
                              </w:rPr>
                              <w:t>(</w:t>
                            </w:r>
                            <w:r>
                              <w:rPr>
                                <w:rFonts w:ascii="標楷體" w:eastAsia="標楷體" w:hAnsi="標楷體" w:hint="eastAsia"/>
                              </w:rPr>
                              <w:t>三</w:t>
                            </w:r>
                            <w:r>
                              <w:rPr>
                                <w:rFonts w:ascii="標楷體" w:eastAsia="標楷體" w:hAnsi="標楷體"/>
                              </w:rPr>
                              <w:t>)</w:t>
                            </w:r>
                            <w:r w:rsidRPr="00130E28">
                              <w:rPr>
                                <w:rFonts w:ascii="標楷體" w:eastAsia="標楷體" w:hAnsi="標楷體" w:hint="eastAsia"/>
                              </w:rPr>
                              <w:t>未</w:t>
                            </w:r>
                            <w:proofErr w:type="gramStart"/>
                            <w:r w:rsidRPr="00130E28">
                              <w:rPr>
                                <w:rFonts w:ascii="標楷體" w:eastAsia="標楷體" w:hAnsi="標楷體" w:hint="eastAsia"/>
                              </w:rPr>
                              <w:t>佈</w:t>
                            </w:r>
                            <w:proofErr w:type="gramEnd"/>
                            <w:r w:rsidRPr="00130E28">
                              <w:rPr>
                                <w:rFonts w:ascii="標楷體" w:eastAsia="標楷體" w:hAnsi="標楷體" w:hint="eastAsia"/>
                              </w:rPr>
                              <w:t>設管線</w:t>
                            </w:r>
                          </w:p>
                          <w:p w14:paraId="7126F707" w14:textId="77777777" w:rsidR="00AD1524" w:rsidRPr="00130E28" w:rsidRDefault="00AD1524" w:rsidP="00824CD6">
                            <w:pPr>
                              <w:spacing w:line="240" w:lineRule="exact"/>
                              <w:ind w:leftChars="225" w:left="740" w:hangingChars="100" w:hanging="200"/>
                              <w:rPr>
                                <w:rFonts w:ascii="標楷體" w:eastAsia="標楷體" w:hAnsi="標楷體"/>
                              </w:rPr>
                            </w:pPr>
                            <w:r w:rsidRPr="00130E28">
                              <w:rPr>
                                <w:rFonts w:ascii="標楷體" w:eastAsia="標楷體" w:hAnsi="標楷體"/>
                              </w:rPr>
                              <w:t>1</w:t>
                            </w:r>
                            <w:r>
                              <w:rPr>
                                <w:rFonts w:ascii="標楷體" w:eastAsia="標楷體" w:hAnsi="標楷體"/>
                              </w:rPr>
                              <w:t>.</w:t>
                            </w:r>
                            <w:r w:rsidRPr="00130E28">
                              <w:rPr>
                                <w:rFonts w:ascii="標楷體" w:eastAsia="標楷體" w:hAnsi="標楷體" w:hint="eastAsia"/>
                              </w:rPr>
                              <w:t>預計編列</w:t>
                            </w:r>
                            <w:r>
                              <w:rPr>
                                <w:rFonts w:ascii="標楷體" w:eastAsia="標楷體" w:hAnsi="標楷體" w:hint="eastAsia"/>
                              </w:rPr>
                              <w:t>改善</w:t>
                            </w:r>
                            <w:r w:rsidRPr="00130E28">
                              <w:rPr>
                                <w:rFonts w:ascii="標楷體" w:eastAsia="標楷體" w:hAnsi="標楷體" w:hint="eastAsia"/>
                              </w:rPr>
                              <w:t>預算(</w:t>
                            </w:r>
                            <w:r w:rsidRPr="00130E28">
                              <w:rPr>
                                <w:rFonts w:ascii="標楷體" w:eastAsia="標楷體" w:hAnsi="標楷體"/>
                              </w:rPr>
                              <w:t>203</w:t>
                            </w:r>
                            <w:r w:rsidRPr="00130E28">
                              <w:rPr>
                                <w:rFonts w:ascii="標楷體" w:eastAsia="標楷體" w:hAnsi="標楷體" w:hint="eastAsia"/>
                              </w:rPr>
                              <w:t>戶</w:t>
                            </w:r>
                            <w:r w:rsidRPr="00130E28">
                              <w:rPr>
                                <w:rFonts w:ascii="標楷體" w:eastAsia="標楷體" w:hAnsi="標楷體"/>
                              </w:rPr>
                              <w:t>)</w:t>
                            </w:r>
                          </w:p>
                          <w:p w14:paraId="7EDFBFE0" w14:textId="77777777" w:rsidR="00AD1524" w:rsidRPr="00130E28" w:rsidRDefault="00AD1524" w:rsidP="00824CD6">
                            <w:pPr>
                              <w:spacing w:line="240" w:lineRule="exact"/>
                              <w:ind w:leftChars="225" w:left="740" w:hangingChars="100" w:hanging="200"/>
                              <w:rPr>
                                <w:rFonts w:ascii="標楷體" w:eastAsia="標楷體" w:hAnsi="標楷體" w:cs="新細明體"/>
                              </w:rPr>
                            </w:pPr>
                            <w:r w:rsidRPr="00130E28">
                              <w:rPr>
                                <w:rFonts w:ascii="標楷體" w:eastAsia="標楷體" w:hAnsi="標楷體"/>
                              </w:rPr>
                              <w:t>2</w:t>
                            </w:r>
                            <w:r>
                              <w:rPr>
                                <w:rFonts w:ascii="標楷體" w:eastAsia="標楷體" w:hAnsi="標楷體"/>
                              </w:rPr>
                              <w:t>.</w:t>
                            </w:r>
                            <w:proofErr w:type="gramStart"/>
                            <w:r w:rsidRPr="00130E28">
                              <w:rPr>
                                <w:rFonts w:ascii="標楷體" w:eastAsia="標楷體" w:hAnsi="標楷體" w:hint="eastAsia"/>
                              </w:rPr>
                              <w:t>延管規劃</w:t>
                            </w:r>
                            <w:proofErr w:type="gramEnd"/>
                            <w:r w:rsidRPr="00130E28">
                              <w:rPr>
                                <w:rFonts w:ascii="標楷體" w:eastAsia="標楷體" w:hAnsi="標楷體" w:hint="eastAsia"/>
                              </w:rPr>
                              <w:t>中(</w:t>
                            </w:r>
                            <w:r w:rsidRPr="00130E28">
                              <w:rPr>
                                <w:rFonts w:ascii="標楷體" w:eastAsia="標楷體" w:hAnsi="標楷體"/>
                              </w:rPr>
                              <w:t>118</w:t>
                            </w:r>
                            <w:r w:rsidRPr="00130E28">
                              <w:rPr>
                                <w:rFonts w:ascii="標楷體" w:eastAsia="標楷體" w:hAnsi="標楷體" w:hint="eastAsia"/>
                              </w:rPr>
                              <w:t>戶)</w:t>
                            </w:r>
                          </w:p>
                          <w:p w14:paraId="68D0E9C9" w14:textId="77777777" w:rsidR="00AD1524" w:rsidRPr="00130E28" w:rsidRDefault="00AD1524" w:rsidP="00824CD6">
                            <w:pPr>
                              <w:spacing w:line="240" w:lineRule="exact"/>
                              <w:ind w:leftChars="225" w:left="740" w:hangingChars="100" w:hanging="200"/>
                              <w:rPr>
                                <w:rFonts w:ascii="標楷體" w:eastAsia="標楷體" w:hAnsi="標楷體" w:cs="新細明體"/>
                              </w:rPr>
                            </w:pPr>
                            <w:r w:rsidRPr="00130E28">
                              <w:rPr>
                                <w:rFonts w:ascii="標楷體" w:eastAsia="標楷體" w:hAnsi="標楷體"/>
                              </w:rPr>
                              <w:t>3</w:t>
                            </w:r>
                            <w:r>
                              <w:rPr>
                                <w:rFonts w:ascii="標楷體" w:eastAsia="標楷體" w:hAnsi="標楷體"/>
                              </w:rPr>
                              <w:t>.</w:t>
                            </w:r>
                            <w:r w:rsidRPr="00130E28">
                              <w:rPr>
                                <w:rFonts w:ascii="標楷體" w:eastAsia="標楷體" w:hAnsi="標楷體" w:hint="eastAsia"/>
                              </w:rPr>
                              <w:t>已初評(</w:t>
                            </w:r>
                            <w:r w:rsidRPr="00130E28">
                              <w:rPr>
                                <w:rFonts w:ascii="標楷體" w:eastAsia="標楷體" w:hAnsi="標楷體"/>
                              </w:rPr>
                              <w:t>186</w:t>
                            </w:r>
                            <w:r w:rsidRPr="00130E28">
                              <w:rPr>
                                <w:rFonts w:ascii="標楷體" w:eastAsia="標楷體" w:hAnsi="標楷體" w:hint="eastAsia"/>
                              </w:rPr>
                              <w:t>戶</w:t>
                            </w:r>
                            <w:r w:rsidRPr="00130E28">
                              <w:rPr>
                                <w:rFonts w:ascii="標楷體" w:eastAsia="標楷體" w:hAnsi="標楷體"/>
                              </w:rPr>
                              <w:t>)</w:t>
                            </w:r>
                          </w:p>
                          <w:p w14:paraId="31A5B623" w14:textId="77777777" w:rsidR="00AD1524" w:rsidRPr="00130E28" w:rsidRDefault="00AD1524" w:rsidP="00824CD6">
                            <w:pPr>
                              <w:spacing w:afterLines="10" w:after="36" w:line="240" w:lineRule="exact"/>
                              <w:ind w:leftChars="225" w:left="740" w:hangingChars="100" w:hanging="200"/>
                              <w:rPr>
                                <w:rFonts w:ascii="標楷體" w:eastAsia="標楷體" w:hAnsi="標楷體" w:cs="新細明體"/>
                              </w:rPr>
                            </w:pPr>
                            <w:r w:rsidRPr="00130E28">
                              <w:rPr>
                                <w:rFonts w:ascii="標楷體" w:eastAsia="標楷體" w:hAnsi="標楷體"/>
                              </w:rPr>
                              <w:t>4</w:t>
                            </w:r>
                            <w:r>
                              <w:rPr>
                                <w:rFonts w:ascii="標楷體" w:eastAsia="標楷體" w:hAnsi="標楷體"/>
                              </w:rPr>
                              <w:t>.</w:t>
                            </w:r>
                            <w:proofErr w:type="gramStart"/>
                            <w:r w:rsidRPr="00130E28">
                              <w:rPr>
                                <w:rFonts w:ascii="標楷體" w:eastAsia="標楷體" w:hAnsi="標楷體" w:hint="eastAsia"/>
                              </w:rPr>
                              <w:t>初評中</w:t>
                            </w:r>
                            <w:proofErr w:type="gramEnd"/>
                            <w:r w:rsidRPr="00130E28">
                              <w:rPr>
                                <w:rFonts w:ascii="標楷體" w:eastAsia="標楷體" w:hAnsi="標楷體" w:hint="eastAsia"/>
                              </w:rPr>
                              <w:t>(</w:t>
                            </w:r>
                            <w:r w:rsidRPr="00130E28">
                              <w:rPr>
                                <w:rFonts w:ascii="標楷體" w:eastAsia="標楷體" w:hAnsi="標楷體"/>
                              </w:rPr>
                              <w:t>147</w:t>
                            </w:r>
                            <w:r w:rsidRPr="00130E28">
                              <w:rPr>
                                <w:rFonts w:ascii="標楷體" w:eastAsia="標楷體" w:hAnsi="標楷體" w:hint="eastAsia"/>
                              </w:rPr>
                              <w:t>戶</w:t>
                            </w:r>
                            <w:r w:rsidRPr="00130E28">
                              <w:rPr>
                                <w:rFonts w:ascii="標楷體" w:eastAsia="標楷體" w:hAnsi="標楷體"/>
                              </w:rPr>
                              <w:t>)</w:t>
                            </w:r>
                          </w:p>
                        </w:tc>
                        <w:tc>
                          <w:tcPr>
                            <w:tcW w:w="938" w:type="dxa"/>
                            <w:vAlign w:val="center"/>
                          </w:tcPr>
                          <w:p w14:paraId="3D4928B1" w14:textId="77777777" w:rsidR="00AD1524" w:rsidRPr="00F85226" w:rsidRDefault="00AD1524" w:rsidP="00824CD6">
                            <w:pPr>
                              <w:spacing w:afterLines="10" w:after="36" w:line="240" w:lineRule="exact"/>
                              <w:jc w:val="right"/>
                              <w:rPr>
                                <w:rFonts w:ascii="標楷體" w:eastAsia="標楷體" w:hAnsi="標楷體" w:cs="新細明體"/>
                              </w:rPr>
                            </w:pPr>
                            <w:r w:rsidRPr="00F85226">
                              <w:rPr>
                                <w:rFonts w:ascii="標楷體" w:eastAsia="標楷體" w:hAnsi="標楷體" w:hint="eastAsia"/>
                              </w:rPr>
                              <w:t>6</w:t>
                            </w:r>
                            <w:r w:rsidRPr="00F85226">
                              <w:rPr>
                                <w:rFonts w:ascii="標楷體" w:eastAsia="標楷體" w:hAnsi="標楷體"/>
                              </w:rPr>
                              <w:t>54</w:t>
                            </w:r>
                          </w:p>
                        </w:tc>
                      </w:tr>
                      <w:tr w:rsidR="00AD1524" w14:paraId="3C91575D" w14:textId="77777777" w:rsidTr="00824CD6">
                        <w:trPr>
                          <w:trHeight w:hRule="exact" w:val="312"/>
                        </w:trPr>
                        <w:tc>
                          <w:tcPr>
                            <w:tcW w:w="3710" w:type="dxa"/>
                            <w:vAlign w:val="center"/>
                          </w:tcPr>
                          <w:p w14:paraId="4AA6B298" w14:textId="77777777" w:rsidR="00AD1524" w:rsidRPr="00130E28" w:rsidRDefault="00AD1524" w:rsidP="005F0305">
                            <w:pPr>
                              <w:spacing w:line="220" w:lineRule="exact"/>
                              <w:ind w:leftChars="75" w:left="580" w:hangingChars="200" w:hanging="400"/>
                              <w:rPr>
                                <w:rFonts w:ascii="標楷體" w:eastAsia="標楷體" w:hAnsi="標楷體" w:cs="新細明體"/>
                              </w:rPr>
                            </w:pPr>
                            <w:r>
                              <w:rPr>
                                <w:rFonts w:ascii="標楷體" w:eastAsia="標楷體" w:hAnsi="標楷體"/>
                              </w:rPr>
                              <w:t>(</w:t>
                            </w:r>
                            <w:r>
                              <w:rPr>
                                <w:rFonts w:ascii="標楷體" w:eastAsia="標楷體" w:hAnsi="標楷體" w:hint="eastAsia"/>
                              </w:rPr>
                              <w:t>四</w:t>
                            </w:r>
                            <w:r>
                              <w:rPr>
                                <w:rFonts w:ascii="標楷體" w:eastAsia="標楷體" w:hAnsi="標楷體"/>
                              </w:rPr>
                              <w:t>)</w:t>
                            </w:r>
                            <w:r w:rsidRPr="00130E28">
                              <w:rPr>
                                <w:rFonts w:ascii="標楷體" w:eastAsia="標楷體" w:hAnsi="標楷體" w:hint="eastAsia"/>
                              </w:rPr>
                              <w:t>未</w:t>
                            </w:r>
                            <w:proofErr w:type="gramStart"/>
                            <w:r w:rsidRPr="00130E28">
                              <w:rPr>
                                <w:rFonts w:ascii="標楷體" w:eastAsia="標楷體" w:hAnsi="標楷體" w:hint="eastAsia"/>
                              </w:rPr>
                              <w:t>佈</w:t>
                            </w:r>
                            <w:proofErr w:type="gramEnd"/>
                            <w:r w:rsidRPr="00130E28">
                              <w:rPr>
                                <w:rFonts w:ascii="標楷體" w:eastAsia="標楷體" w:hAnsi="標楷體" w:hint="eastAsia"/>
                              </w:rPr>
                              <w:t>設管線</w:t>
                            </w:r>
                            <w:r w:rsidRPr="00130E28">
                              <w:rPr>
                                <w:rFonts w:ascii="標楷體" w:eastAsia="標楷體" w:hAnsi="標楷體" w:cs="全字庫正宋體" w:hint="eastAsia"/>
                              </w:rPr>
                              <w:t>，</w:t>
                            </w:r>
                            <w:proofErr w:type="gramStart"/>
                            <w:r w:rsidRPr="00130E28">
                              <w:rPr>
                                <w:rFonts w:ascii="標楷體" w:eastAsia="標楷體" w:hAnsi="標楷體" w:hint="eastAsia"/>
                              </w:rPr>
                              <w:t>零星戶</w:t>
                            </w:r>
                            <w:proofErr w:type="gramEnd"/>
                          </w:p>
                        </w:tc>
                        <w:tc>
                          <w:tcPr>
                            <w:tcW w:w="938" w:type="dxa"/>
                            <w:vAlign w:val="center"/>
                          </w:tcPr>
                          <w:p w14:paraId="781E46DC" w14:textId="77777777" w:rsidR="00AD1524" w:rsidRPr="00F85226" w:rsidRDefault="00AD1524" w:rsidP="00824CD6">
                            <w:pPr>
                              <w:spacing w:afterLines="10" w:after="36" w:line="240" w:lineRule="exact"/>
                              <w:jc w:val="right"/>
                              <w:rPr>
                                <w:rFonts w:ascii="標楷體" w:eastAsia="標楷體" w:hAnsi="標楷體" w:cs="新細明體"/>
                              </w:rPr>
                            </w:pPr>
                            <w:r w:rsidRPr="00F85226">
                              <w:rPr>
                                <w:rFonts w:ascii="標楷體" w:eastAsia="標楷體" w:hAnsi="標楷體" w:hint="eastAsia"/>
                              </w:rPr>
                              <w:t>1</w:t>
                            </w:r>
                            <w:r w:rsidRPr="00F85226">
                              <w:rPr>
                                <w:rFonts w:ascii="標楷體" w:eastAsia="標楷體" w:hAnsi="標楷體"/>
                              </w:rPr>
                              <w:t>8</w:t>
                            </w:r>
                          </w:p>
                        </w:tc>
                      </w:tr>
                    </w:tbl>
                    <w:p w14:paraId="2ED164ED" w14:textId="77777777" w:rsidR="00AD1524" w:rsidRPr="00F85226" w:rsidRDefault="00AD1524" w:rsidP="00AD1524">
                      <w:pPr>
                        <w:spacing w:beforeLines="10" w:before="36" w:line="220" w:lineRule="exact"/>
                        <w:ind w:left="540" w:hangingChars="300" w:hanging="540"/>
                        <w:rPr>
                          <w:sz w:val="18"/>
                          <w:szCs w:val="18"/>
                        </w:rPr>
                      </w:pPr>
                      <w:r w:rsidRPr="00F85226">
                        <w:rPr>
                          <w:rFonts w:ascii="標楷體" w:eastAsia="標楷體" w:hAnsi="標楷體" w:hint="eastAsia"/>
                          <w:sz w:val="18"/>
                          <w:szCs w:val="18"/>
                        </w:rPr>
                        <w:t>資料來源：整理自</w:t>
                      </w:r>
                      <w:proofErr w:type="gramStart"/>
                      <w:r w:rsidRPr="00F85226">
                        <w:rPr>
                          <w:rFonts w:ascii="標楷體" w:eastAsia="標楷體" w:hAnsi="標楷體" w:hint="eastAsia"/>
                          <w:sz w:val="18"/>
                          <w:szCs w:val="18"/>
                        </w:rPr>
                        <w:t>臺</w:t>
                      </w:r>
                      <w:proofErr w:type="gramEnd"/>
                      <w:r w:rsidRPr="00F85226">
                        <w:rPr>
                          <w:rFonts w:ascii="標楷體" w:eastAsia="標楷體" w:hAnsi="標楷體" w:hint="eastAsia"/>
                          <w:sz w:val="18"/>
                          <w:szCs w:val="18"/>
                        </w:rPr>
                        <w:t>北自來水事業處提供資料。</w:t>
                      </w:r>
                    </w:p>
                  </w:txbxContent>
                </v:textbox>
                <w10:wrap type="square" anchorx="margin" anchory="page"/>
              </v:shape>
            </w:pict>
          </mc:Fallback>
        </mc:AlternateContent>
      </w:r>
      <w:r w:rsidRPr="0082777F">
        <w:rPr>
          <w:rFonts w:ascii="標楷體" w:eastAsia="標楷體" w:hAnsi="標楷體" w:hint="eastAsia"/>
          <w:spacing w:val="2"/>
        </w:rPr>
        <w:t>戶協助，於111至113年度單位預算「自來水行政</w:t>
      </w:r>
      <w:r w:rsidR="009E464C">
        <w:rPr>
          <w:rFonts w:ascii="標楷體" w:eastAsia="標楷體" w:hAnsi="標楷體" w:hint="eastAsia"/>
          <w:spacing w:val="2"/>
        </w:rPr>
        <w:t>－</w:t>
      </w:r>
      <w:r w:rsidRPr="0082777F">
        <w:rPr>
          <w:rFonts w:ascii="標楷體" w:eastAsia="標楷體" w:hAnsi="標楷體" w:hint="eastAsia"/>
          <w:spacing w:val="2"/>
        </w:rPr>
        <w:t>自來水管理」科目編列補貼營業基金減收高地社區之操作維護費計930萬元、執行高地區無自來水之水車送水費用計42萬餘元，執行結果，決算（執行）數分別為930萬元、11萬餘元，其中送水方案執行率僅26.73％，且水車送水改善高地用水方案自106年12月實施後，僅107至108年度有8戶民眾申請，申請送水期間至</w:t>
      </w:r>
      <w:proofErr w:type="gramStart"/>
      <w:r w:rsidRPr="0082777F">
        <w:rPr>
          <w:rFonts w:ascii="標楷體" w:eastAsia="標楷體" w:hAnsi="標楷體" w:hint="eastAsia"/>
          <w:spacing w:val="2"/>
        </w:rPr>
        <w:t>111</w:t>
      </w:r>
      <w:proofErr w:type="gramEnd"/>
      <w:r w:rsidRPr="0082777F">
        <w:rPr>
          <w:rFonts w:ascii="標楷體" w:eastAsia="標楷體" w:hAnsi="標楷體" w:hint="eastAsia"/>
          <w:spacing w:val="2"/>
        </w:rPr>
        <w:t>年度結束，後續112及</w:t>
      </w:r>
      <w:proofErr w:type="gramStart"/>
      <w:r w:rsidRPr="0082777F">
        <w:rPr>
          <w:rFonts w:ascii="標楷體" w:eastAsia="標楷體" w:hAnsi="標楷體" w:hint="eastAsia"/>
          <w:spacing w:val="2"/>
        </w:rPr>
        <w:t>113年度均無民眾</w:t>
      </w:r>
      <w:proofErr w:type="gramEnd"/>
      <w:r w:rsidRPr="0082777F">
        <w:rPr>
          <w:rFonts w:ascii="標楷體" w:eastAsia="標楷體" w:hAnsi="標楷體" w:hint="eastAsia"/>
          <w:spacing w:val="2"/>
        </w:rPr>
        <w:t>申請，執行成效尚待提升等情事，經函請檢討改善。據復：針對高地無自來水待改善地區，該處將持續編列公務預算辦理改善，並加強向民眾宣導申辦接水及高地水車送水方案，另亦積極拜訪相關里長，請里長代為向里民宣導接水及水車送水事宜。</w:t>
      </w:r>
    </w:p>
    <w:p w14:paraId="3D6FB079" w14:textId="0F80A9F6" w:rsidR="005A14A4" w:rsidRDefault="005A14A4" w:rsidP="005F0305">
      <w:pPr>
        <w:spacing w:beforeLines="20" w:before="72" w:line="480" w:lineRule="exact"/>
        <w:ind w:firstLineChars="100" w:firstLine="280"/>
        <w:jc w:val="both"/>
        <w:rPr>
          <w:rFonts w:ascii="標楷體" w:eastAsia="標楷體"/>
          <w:b/>
          <w:color w:val="000000" w:themeColor="text1"/>
          <w:sz w:val="28"/>
          <w:szCs w:val="28"/>
        </w:rPr>
      </w:pPr>
      <w:r w:rsidRPr="00FA6E57">
        <w:rPr>
          <w:rFonts w:ascii="標楷體" w:eastAsia="標楷體" w:hint="eastAsia"/>
          <w:b/>
          <w:color w:val="000000" w:themeColor="text1"/>
          <w:sz w:val="28"/>
          <w:szCs w:val="28"/>
        </w:rPr>
        <w:t>（</w:t>
      </w:r>
      <w:r>
        <w:rPr>
          <w:rFonts w:ascii="標楷體" w:eastAsia="標楷體" w:hint="eastAsia"/>
          <w:b/>
          <w:color w:val="000000" w:themeColor="text1"/>
          <w:sz w:val="28"/>
          <w:szCs w:val="28"/>
        </w:rPr>
        <w:t>二</w:t>
      </w:r>
      <w:r w:rsidRPr="00810158">
        <w:rPr>
          <w:rFonts w:ascii="標楷體" w:eastAsia="標楷體" w:hint="eastAsia"/>
          <w:b/>
          <w:color w:val="000000" w:themeColor="text1"/>
          <w:sz w:val="28"/>
          <w:szCs w:val="28"/>
        </w:rPr>
        <w:t>）為穩定供水並強化防災能力，近</w:t>
      </w:r>
      <w:proofErr w:type="gramStart"/>
      <w:r w:rsidRPr="00810158">
        <w:rPr>
          <w:rFonts w:ascii="標楷體" w:eastAsia="標楷體" w:hint="eastAsia"/>
          <w:b/>
          <w:color w:val="000000" w:themeColor="text1"/>
          <w:sz w:val="28"/>
          <w:szCs w:val="28"/>
        </w:rPr>
        <w:t>5</w:t>
      </w:r>
      <w:proofErr w:type="gramEnd"/>
      <w:r w:rsidRPr="00810158">
        <w:rPr>
          <w:rFonts w:ascii="標楷體" w:eastAsia="標楷體" w:hint="eastAsia"/>
          <w:b/>
          <w:color w:val="000000" w:themeColor="text1"/>
          <w:sz w:val="28"/>
          <w:szCs w:val="28"/>
        </w:rPr>
        <w:t>年度編列預算推動自來水設施整備第1階段工作，惟於先期規劃作業階段未掌握可能面臨之問題，並預為排除，部分工程未能如期完成，且工程進度較原規劃落後逾20個百分點等情，有待檢討改善。</w:t>
      </w:r>
    </w:p>
    <w:p w14:paraId="1C51224A" w14:textId="77777777" w:rsidR="00843A6D" w:rsidRDefault="00843A6D" w:rsidP="00365895">
      <w:pPr>
        <w:spacing w:beforeLines="25" w:before="90" w:line="400" w:lineRule="exact"/>
        <w:ind w:firstLineChars="200" w:firstLine="480"/>
        <w:jc w:val="both"/>
        <w:rPr>
          <w:rFonts w:ascii="標楷體" w:eastAsia="標楷體" w:hAnsi="標楷體"/>
          <w:noProof/>
        </w:rPr>
      </w:pPr>
      <w:r w:rsidRPr="00843A6D">
        <w:rPr>
          <w:rFonts w:ascii="標楷體" w:eastAsia="標楷體" w:hAnsi="標楷體" w:hint="eastAsia"/>
          <w:noProof/>
        </w:rPr>
        <w:t>臺北自來水事業處考量自來水系統自47年起建設及營運至今已逾60年，推估早期建設之自來水設施至123年止，約有50％場站設施及70％幹管逾齡，為維持穩定供水、優化管理及強化防災能力，規劃於109至123年投入180億元，分階段推動「自來水設施整備計畫」（下稱整備計畫），包含對場站設施及幹管之評價、重建、修補，及重要設施之耐震防災能力補強等，其中第1階段及第2階段辦理期程分別為109至113年、113至118年，未來將透過循環式品質管理（PDCA）之概念，進行滾動式檢討；相關經費由該處經管營業基金編列預算因應，截至113年底止，第1階段預算共編列27億3,500萬元，累計執行數計23億3,317萬餘元（85.31％）；第2階段預算於113年度編列1,800萬元，全數執行（100.00％）。據該處提供資料，整備計畫第1階段採購案件共64案，截至113年底止，尚在施工中者有13案，實際進度為11.33％至95.50％不等。惟查「新公館淨水場加壓站外管線工程」等4案（表2序號1至4），原規劃個案工程竣工日為114年1月至7月，已逾整備計畫第1階段工作須於113年度辦竣期程；其中3案（表2序號1、3、4）於執行過程中，因與他案工程作業介面重疊，或無法及時進口設備等因素，再修改工程預計竣工日為114年7月至10月間，且截至113年底止，工程進度已較原規劃落後23.87至43.53個百分點不等；另「木柵二期加壓站配水池功能改善及補強工程」及「淨水場堰壩無線放水廣播系統設備」等2案（表2序號5、6），則分別因民眾抗議施工音量而縮短工時，或設計製造開發技術待整合及測試除錯等因素，較原規劃落後38.59、30.61個百分點。</w:t>
      </w:r>
    </w:p>
    <w:p w14:paraId="00D1ED86" w14:textId="548AA46C" w:rsidR="005A14A4" w:rsidRDefault="00843A6D" w:rsidP="00843A6D">
      <w:pPr>
        <w:spacing w:line="420" w:lineRule="exact"/>
        <w:jc w:val="both"/>
        <w:rPr>
          <w:rFonts w:ascii="標楷體" w:eastAsia="標楷體" w:hAnsi="標楷體"/>
          <w:noProof/>
        </w:rPr>
      </w:pPr>
      <w:r w:rsidRPr="001C6973">
        <w:rPr>
          <w:rFonts w:ascii="標楷體" w:eastAsia="標楷體" w:hAnsi="標楷體"/>
          <w:noProof/>
          <w:spacing w:val="1"/>
          <w:sz w:val="32"/>
          <w:szCs w:val="32"/>
        </w:rPr>
        <w:lastRenderedPageBreak/>
        <mc:AlternateContent>
          <mc:Choice Requires="wps">
            <w:drawing>
              <wp:anchor distT="0" distB="0" distL="114300" distR="114300" simplePos="0" relativeHeight="251686912" behindDoc="0" locked="0" layoutInCell="1" allowOverlap="1" wp14:anchorId="2A0D1B1E" wp14:editId="748DA8EA">
                <wp:simplePos x="0" y="0"/>
                <wp:positionH relativeFrom="margin">
                  <wp:posOffset>1284605</wp:posOffset>
                </wp:positionH>
                <wp:positionV relativeFrom="page">
                  <wp:posOffset>1447800</wp:posOffset>
                </wp:positionV>
                <wp:extent cx="5039995" cy="3695700"/>
                <wp:effectExtent l="0" t="0" r="8255" b="0"/>
                <wp:wrapSquare wrapText="bothSides"/>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9995" cy="3695700"/>
                        </a:xfrm>
                        <a:prstGeom prst="rect">
                          <a:avLst/>
                        </a:prstGeom>
                        <a:solidFill>
                          <a:srgbClr val="FFFFFF"/>
                        </a:solidFill>
                        <a:ln w="9525">
                          <a:noFill/>
                          <a:miter lim="800000"/>
                          <a:headEnd/>
                          <a:tailEnd/>
                        </a:ln>
                      </wps:spPr>
                      <wps:txbx>
                        <w:txbxContent>
                          <w:tbl>
                            <w:tblPr>
                              <w:tblStyle w:val="a6"/>
                              <w:tblW w:w="7769" w:type="dxa"/>
                              <w:tblInd w:w="-42" w:type="dxa"/>
                              <w:tblLayout w:type="fixed"/>
                              <w:tblLook w:val="04A0" w:firstRow="1" w:lastRow="0" w:firstColumn="1" w:lastColumn="0" w:noHBand="0" w:noVBand="1"/>
                            </w:tblPr>
                            <w:tblGrid>
                              <w:gridCol w:w="476"/>
                              <w:gridCol w:w="1792"/>
                              <w:gridCol w:w="896"/>
                              <w:gridCol w:w="1106"/>
                              <w:gridCol w:w="1120"/>
                              <w:gridCol w:w="881"/>
                              <w:gridCol w:w="717"/>
                              <w:gridCol w:w="781"/>
                            </w:tblGrid>
                            <w:tr w:rsidR="00843A6D" w14:paraId="49D27392" w14:textId="77777777" w:rsidTr="00843A6D">
                              <w:trPr>
                                <w:trHeight w:val="227"/>
                              </w:trPr>
                              <w:tc>
                                <w:tcPr>
                                  <w:tcW w:w="7769" w:type="dxa"/>
                                  <w:gridSpan w:val="8"/>
                                  <w:tcBorders>
                                    <w:top w:val="nil"/>
                                    <w:left w:val="nil"/>
                                    <w:bottom w:val="nil"/>
                                    <w:right w:val="nil"/>
                                  </w:tcBorders>
                                  <w:vAlign w:val="center"/>
                                </w:tcPr>
                                <w:p w14:paraId="1B6D43E5" w14:textId="77777777" w:rsidR="00843A6D" w:rsidRPr="009E464C" w:rsidRDefault="00843A6D" w:rsidP="00843A6D">
                                  <w:pPr>
                                    <w:spacing w:line="260" w:lineRule="exact"/>
                                    <w:jc w:val="center"/>
                                    <w:rPr>
                                      <w:rFonts w:ascii="標楷體" w:eastAsia="標楷體" w:hAnsi="標楷體" w:cs="新細明體"/>
                                      <w:sz w:val="24"/>
                                      <w:szCs w:val="24"/>
                                    </w:rPr>
                                  </w:pPr>
                                  <w:r w:rsidRPr="009E464C">
                                    <w:rPr>
                                      <w:rFonts w:ascii="標楷體" w:eastAsia="標楷體" w:hAnsi="標楷體" w:cs="新細明體" w:hint="eastAsia"/>
                                      <w:b/>
                                      <w:sz w:val="24"/>
                                      <w:szCs w:val="24"/>
                                    </w:rPr>
                                    <w:t>表</w:t>
                                  </w:r>
                                  <w:r w:rsidRPr="009E464C">
                                    <w:rPr>
                                      <w:rFonts w:ascii="標楷體" w:eastAsia="標楷體" w:hAnsi="標楷體" w:cs="新細明體"/>
                                      <w:b/>
                                      <w:sz w:val="24"/>
                                      <w:szCs w:val="24"/>
                                    </w:rPr>
                                    <w:t>2</w:t>
                                  </w:r>
                                  <w:r w:rsidRPr="009E464C">
                                    <w:rPr>
                                      <w:rFonts w:ascii="標楷體" w:eastAsia="標楷體" w:hAnsi="標楷體" w:cs="新細明體" w:hint="eastAsia"/>
                                      <w:b/>
                                      <w:sz w:val="24"/>
                                      <w:szCs w:val="24"/>
                                    </w:rPr>
                                    <w:t xml:space="preserve">  自來水設施整備計畫第1階段尚在施工中案件工程進度情形</w:t>
                                  </w:r>
                                </w:p>
                              </w:tc>
                            </w:tr>
                            <w:tr w:rsidR="00843A6D" w14:paraId="3EFEB842" w14:textId="77777777" w:rsidTr="00824CD6">
                              <w:trPr>
                                <w:trHeight w:val="203"/>
                              </w:trPr>
                              <w:tc>
                                <w:tcPr>
                                  <w:tcW w:w="7769" w:type="dxa"/>
                                  <w:gridSpan w:val="8"/>
                                  <w:tcBorders>
                                    <w:top w:val="nil"/>
                                    <w:left w:val="nil"/>
                                    <w:right w:val="nil"/>
                                  </w:tcBorders>
                                  <w:vAlign w:val="center"/>
                                </w:tcPr>
                                <w:p w14:paraId="29A8778A" w14:textId="77777777" w:rsidR="00843A6D" w:rsidRPr="0028734C" w:rsidRDefault="00843A6D" w:rsidP="0061791B">
                                  <w:pPr>
                                    <w:spacing w:beforeLines="10" w:before="36" w:afterLines="10" w:after="36" w:line="240" w:lineRule="exact"/>
                                    <w:ind w:rightChars="-46" w:right="-110"/>
                                    <w:jc w:val="right"/>
                                    <w:rPr>
                                      <w:rFonts w:ascii="標楷體" w:eastAsia="標楷體" w:hAnsi="標楷體" w:cs="新細明體"/>
                                      <w:spacing w:val="-4"/>
                                    </w:rPr>
                                  </w:pPr>
                                  <w:r w:rsidRPr="004A7F8C">
                                    <w:rPr>
                                      <w:rFonts w:ascii="標楷體" w:eastAsia="標楷體" w:hAnsi="標楷體" w:cs="新細明體" w:hint="eastAsia"/>
                                    </w:rPr>
                                    <w:t>單位：</w:t>
                                  </w:r>
                                  <w:r>
                                    <w:rPr>
                                      <w:rFonts w:ascii="標楷體" w:eastAsia="標楷體" w:hAnsi="標楷體" w:cs="新細明體" w:hint="eastAsia"/>
                                    </w:rPr>
                                    <w:t>新臺幣千</w:t>
                                  </w:r>
                                  <w:r w:rsidRPr="004A7F8C">
                                    <w:rPr>
                                      <w:rFonts w:ascii="標楷體" w:eastAsia="標楷體" w:hAnsi="標楷體" w:cs="新細明體" w:hint="eastAsia"/>
                                    </w:rPr>
                                    <w:t>元、</w:t>
                                  </w:r>
                                  <w:r>
                                    <w:rPr>
                                      <w:rFonts w:ascii="標楷體" w:eastAsia="標楷體" w:hAnsi="標楷體" w:cs="新細明體" w:hint="eastAsia"/>
                                    </w:rPr>
                                    <w:t>年月日</w:t>
                                  </w:r>
                                  <w:r w:rsidRPr="004A7F8C">
                                    <w:rPr>
                                      <w:rFonts w:ascii="標楷體" w:eastAsia="標楷體" w:hAnsi="標楷體" w:cs="新細明體" w:hint="eastAsia"/>
                                    </w:rPr>
                                    <w:t>、％、百分點</w:t>
                                  </w:r>
                                </w:p>
                              </w:tc>
                            </w:tr>
                            <w:tr w:rsidR="00843A6D" w14:paraId="12BF6AD5" w14:textId="77777777" w:rsidTr="00824CD6">
                              <w:trPr>
                                <w:trHeight w:val="306"/>
                              </w:trPr>
                              <w:tc>
                                <w:tcPr>
                                  <w:tcW w:w="476" w:type="dxa"/>
                                  <w:vMerge w:val="restart"/>
                                  <w:vAlign w:val="center"/>
                                </w:tcPr>
                                <w:p w14:paraId="4CEF8E9F" w14:textId="77777777" w:rsidR="00843A6D" w:rsidRPr="0028734C" w:rsidRDefault="00843A6D" w:rsidP="004B0E9F">
                                  <w:pPr>
                                    <w:spacing w:line="240" w:lineRule="exact"/>
                                    <w:jc w:val="center"/>
                                    <w:rPr>
                                      <w:rFonts w:ascii="標楷體" w:eastAsia="標楷體" w:hAnsi="標楷體" w:cs="新細明體"/>
                                      <w:spacing w:val="-4"/>
                                    </w:rPr>
                                  </w:pPr>
                                  <w:r w:rsidRPr="0028734C">
                                    <w:rPr>
                                      <w:rFonts w:ascii="標楷體" w:eastAsia="標楷體" w:hAnsi="標楷體" w:cs="新細明體" w:hint="eastAsia"/>
                                      <w:spacing w:val="-4"/>
                                    </w:rPr>
                                    <w:t>序號</w:t>
                                  </w:r>
                                </w:p>
                              </w:tc>
                              <w:tc>
                                <w:tcPr>
                                  <w:tcW w:w="1792" w:type="dxa"/>
                                  <w:vMerge w:val="restart"/>
                                  <w:vAlign w:val="center"/>
                                </w:tcPr>
                                <w:p w14:paraId="1D3F5104"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工程名稱</w:t>
                                  </w:r>
                                </w:p>
                              </w:tc>
                              <w:tc>
                                <w:tcPr>
                                  <w:tcW w:w="896" w:type="dxa"/>
                                  <w:vMerge w:val="restart"/>
                                  <w:vAlign w:val="center"/>
                                </w:tcPr>
                                <w:p w14:paraId="2113C578" w14:textId="77777777" w:rsidR="00843A6D" w:rsidRDefault="00843A6D" w:rsidP="00824CD6">
                                  <w:pPr>
                                    <w:spacing w:line="240" w:lineRule="exact"/>
                                    <w:ind w:leftChars="-15" w:left="-36"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契約</w:t>
                                  </w:r>
                                </w:p>
                                <w:p w14:paraId="0E8B5D38" w14:textId="77777777" w:rsidR="00843A6D" w:rsidRPr="0028734C" w:rsidRDefault="00843A6D" w:rsidP="00824CD6">
                                  <w:pPr>
                                    <w:spacing w:line="240" w:lineRule="exact"/>
                                    <w:ind w:leftChars="-15" w:left="-36"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金額</w:t>
                                  </w:r>
                                </w:p>
                              </w:tc>
                              <w:tc>
                                <w:tcPr>
                                  <w:tcW w:w="2226" w:type="dxa"/>
                                  <w:gridSpan w:val="2"/>
                                  <w:vAlign w:val="center"/>
                                </w:tcPr>
                                <w:p w14:paraId="1383F1E8"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施工期程</w:t>
                                  </w:r>
                                </w:p>
                              </w:tc>
                              <w:tc>
                                <w:tcPr>
                                  <w:tcW w:w="2379" w:type="dxa"/>
                                  <w:gridSpan w:val="3"/>
                                  <w:vAlign w:val="center"/>
                                </w:tcPr>
                                <w:p w14:paraId="47E40C79"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截至1</w:t>
                                  </w:r>
                                  <w:r w:rsidRPr="0028734C">
                                    <w:rPr>
                                      <w:rFonts w:ascii="標楷體" w:eastAsia="標楷體" w:hAnsi="標楷體" w:cs="新細明體"/>
                                      <w:spacing w:val="-4"/>
                                    </w:rPr>
                                    <w:t>13</w:t>
                                  </w:r>
                                  <w:r w:rsidRPr="0028734C">
                                    <w:rPr>
                                      <w:rFonts w:ascii="標楷體" w:eastAsia="標楷體" w:hAnsi="標楷體" w:cs="新細明體" w:hint="eastAsia"/>
                                      <w:spacing w:val="-4"/>
                                    </w:rPr>
                                    <w:t>年底</w:t>
                                  </w:r>
                                  <w:proofErr w:type="gramStart"/>
                                  <w:r w:rsidRPr="0028734C">
                                    <w:rPr>
                                      <w:rFonts w:ascii="標楷體" w:eastAsia="標楷體" w:hAnsi="標楷體" w:cs="新細明體" w:hint="eastAsia"/>
                                      <w:spacing w:val="-4"/>
                                    </w:rPr>
                                    <w:t>止</w:t>
                                  </w:r>
                                  <w:proofErr w:type="gramEnd"/>
                                  <w:r w:rsidRPr="0028734C">
                                    <w:rPr>
                                      <w:rFonts w:ascii="標楷體" w:eastAsia="標楷體" w:hAnsi="標楷體" w:cs="新細明體" w:hint="eastAsia"/>
                                      <w:spacing w:val="-4"/>
                                    </w:rPr>
                                    <w:t>工程進度</w:t>
                                  </w:r>
                                </w:p>
                              </w:tc>
                            </w:tr>
                            <w:tr w:rsidR="00843A6D" w14:paraId="022D50D6" w14:textId="77777777" w:rsidTr="00824CD6">
                              <w:trPr>
                                <w:trHeight w:val="544"/>
                              </w:trPr>
                              <w:tc>
                                <w:tcPr>
                                  <w:tcW w:w="476" w:type="dxa"/>
                                  <w:vMerge/>
                                  <w:vAlign w:val="center"/>
                                </w:tcPr>
                                <w:p w14:paraId="54721DEE" w14:textId="77777777" w:rsidR="00843A6D" w:rsidRPr="0028734C" w:rsidRDefault="00843A6D" w:rsidP="004B0E9F">
                                  <w:pPr>
                                    <w:spacing w:line="240" w:lineRule="exact"/>
                                    <w:jc w:val="center"/>
                                    <w:rPr>
                                      <w:rFonts w:ascii="標楷體" w:eastAsia="標楷體" w:hAnsi="標楷體" w:cs="新細明體"/>
                                      <w:spacing w:val="-4"/>
                                    </w:rPr>
                                  </w:pPr>
                                </w:p>
                              </w:tc>
                              <w:tc>
                                <w:tcPr>
                                  <w:tcW w:w="1792" w:type="dxa"/>
                                  <w:vMerge/>
                                  <w:vAlign w:val="center"/>
                                </w:tcPr>
                                <w:p w14:paraId="38F32846" w14:textId="77777777" w:rsidR="00843A6D" w:rsidRPr="0028734C" w:rsidRDefault="00843A6D" w:rsidP="00824CD6">
                                  <w:pPr>
                                    <w:spacing w:line="240" w:lineRule="exact"/>
                                    <w:ind w:rightChars="10" w:right="24"/>
                                    <w:jc w:val="center"/>
                                    <w:rPr>
                                      <w:rFonts w:ascii="標楷體" w:eastAsia="標楷體" w:hAnsi="標楷體" w:cs="新細明體"/>
                                      <w:spacing w:val="-4"/>
                                    </w:rPr>
                                  </w:pPr>
                                </w:p>
                              </w:tc>
                              <w:tc>
                                <w:tcPr>
                                  <w:tcW w:w="896" w:type="dxa"/>
                                  <w:vMerge/>
                                  <w:vAlign w:val="center"/>
                                </w:tcPr>
                                <w:p w14:paraId="635CE616" w14:textId="77777777" w:rsidR="00843A6D" w:rsidRPr="0028734C" w:rsidRDefault="00843A6D" w:rsidP="00824CD6">
                                  <w:pPr>
                                    <w:spacing w:line="240" w:lineRule="exact"/>
                                    <w:ind w:leftChars="-15" w:left="-36" w:rightChars="10" w:right="24"/>
                                    <w:jc w:val="center"/>
                                    <w:rPr>
                                      <w:rFonts w:ascii="標楷體" w:eastAsia="標楷體" w:hAnsi="標楷體" w:cs="新細明體"/>
                                      <w:spacing w:val="-4"/>
                                    </w:rPr>
                                  </w:pPr>
                                </w:p>
                              </w:tc>
                              <w:tc>
                                <w:tcPr>
                                  <w:tcW w:w="1106" w:type="dxa"/>
                                  <w:vAlign w:val="center"/>
                                </w:tcPr>
                                <w:p w14:paraId="7DF3BFF7" w14:textId="77777777" w:rsidR="00843A6D"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原始</w:t>
                                  </w:r>
                                </w:p>
                                <w:p w14:paraId="0B186F1A"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規劃</w:t>
                                  </w:r>
                                </w:p>
                              </w:tc>
                              <w:tc>
                                <w:tcPr>
                                  <w:tcW w:w="1120" w:type="dxa"/>
                                  <w:vAlign w:val="center"/>
                                </w:tcPr>
                                <w:p w14:paraId="436B0266" w14:textId="77777777" w:rsidR="00843A6D"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最新</w:t>
                                  </w:r>
                                </w:p>
                                <w:p w14:paraId="7B47E79B"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版本</w:t>
                                  </w:r>
                                </w:p>
                              </w:tc>
                              <w:tc>
                                <w:tcPr>
                                  <w:tcW w:w="881" w:type="dxa"/>
                                  <w:vAlign w:val="center"/>
                                </w:tcPr>
                                <w:p w14:paraId="108D1C5F" w14:textId="77777777" w:rsidR="00843A6D" w:rsidRPr="0028734C" w:rsidRDefault="00843A6D" w:rsidP="00824CD6">
                                  <w:pPr>
                                    <w:spacing w:line="240" w:lineRule="exact"/>
                                    <w:ind w:leftChars="-50" w:left="-120" w:rightChars="-50" w:right="-120"/>
                                    <w:jc w:val="center"/>
                                    <w:rPr>
                                      <w:rFonts w:ascii="標楷體" w:eastAsia="標楷體" w:hAnsi="標楷體" w:cs="新細明體"/>
                                      <w:spacing w:val="-4"/>
                                    </w:rPr>
                                  </w:pPr>
                                  <w:r w:rsidRPr="0028734C">
                                    <w:rPr>
                                      <w:rFonts w:ascii="標楷體" w:eastAsia="標楷體" w:hAnsi="標楷體" w:cs="新細明體" w:hint="eastAsia"/>
                                      <w:spacing w:val="-4"/>
                                    </w:rPr>
                                    <w:t>原始規劃</w:t>
                                  </w:r>
                                </w:p>
                                <w:p w14:paraId="1086341E" w14:textId="77777777" w:rsidR="00843A6D" w:rsidRPr="0028734C" w:rsidRDefault="00843A6D" w:rsidP="00824CD6">
                                  <w:pPr>
                                    <w:spacing w:line="240" w:lineRule="exact"/>
                                    <w:ind w:leftChars="-50" w:left="-120" w:rightChars="-50" w:right="-120"/>
                                    <w:jc w:val="center"/>
                                    <w:rPr>
                                      <w:rFonts w:ascii="標楷體" w:eastAsia="標楷體" w:hAnsi="標楷體" w:cs="新細明體"/>
                                      <w:spacing w:val="-4"/>
                                    </w:rPr>
                                  </w:pPr>
                                  <w:r w:rsidRPr="0028734C">
                                    <w:rPr>
                                      <w:rFonts w:ascii="標楷體" w:eastAsia="標楷體" w:hAnsi="標楷體" w:cs="新細明體" w:hint="eastAsia"/>
                                      <w:spacing w:val="-4"/>
                                    </w:rPr>
                                    <w:t>預計進度</w:t>
                                  </w:r>
                                </w:p>
                              </w:tc>
                              <w:tc>
                                <w:tcPr>
                                  <w:tcW w:w="717" w:type="dxa"/>
                                  <w:vAlign w:val="center"/>
                                </w:tcPr>
                                <w:p w14:paraId="078A20F1"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實際進度</w:t>
                                  </w:r>
                                </w:p>
                              </w:tc>
                              <w:tc>
                                <w:tcPr>
                                  <w:tcW w:w="781" w:type="dxa"/>
                                  <w:vAlign w:val="center"/>
                                </w:tcPr>
                                <w:p w14:paraId="591E8050" w14:textId="77777777" w:rsidR="00843A6D" w:rsidRPr="0028734C" w:rsidRDefault="00843A6D" w:rsidP="00824CD6">
                                  <w:pPr>
                                    <w:spacing w:line="240" w:lineRule="exact"/>
                                    <w:ind w:leftChars="-41" w:left="-98" w:rightChars="10" w:right="24" w:firstLineChars="5" w:firstLine="10"/>
                                    <w:jc w:val="center"/>
                                    <w:rPr>
                                      <w:rFonts w:ascii="標楷體" w:eastAsia="標楷體" w:hAnsi="標楷體" w:cs="新細明體"/>
                                      <w:spacing w:val="-4"/>
                                    </w:rPr>
                                  </w:pPr>
                                  <w:r w:rsidRPr="0028734C">
                                    <w:rPr>
                                      <w:rFonts w:ascii="標楷體" w:eastAsia="標楷體" w:hAnsi="標楷體" w:cs="新細明體" w:hint="eastAsia"/>
                                      <w:spacing w:val="-4"/>
                                    </w:rPr>
                                    <w:t>差異</w:t>
                                  </w:r>
                                </w:p>
                              </w:tc>
                            </w:tr>
                            <w:tr w:rsidR="00843A6D" w14:paraId="542B2E31" w14:textId="77777777" w:rsidTr="00824CD6">
                              <w:tc>
                                <w:tcPr>
                                  <w:tcW w:w="476" w:type="dxa"/>
                                </w:tcPr>
                                <w:p w14:paraId="1F82D811"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hint="eastAsia"/>
                                      <w:spacing w:val="-2"/>
                                    </w:rPr>
                                    <w:t>1</w:t>
                                  </w:r>
                                </w:p>
                              </w:tc>
                              <w:tc>
                                <w:tcPr>
                                  <w:tcW w:w="1792" w:type="dxa"/>
                                </w:tcPr>
                                <w:p w14:paraId="79A7D21A" w14:textId="77777777" w:rsidR="00843A6D" w:rsidRPr="00C42C9B" w:rsidRDefault="00843A6D" w:rsidP="00824CD6">
                                  <w:pPr>
                                    <w:spacing w:line="240" w:lineRule="exact"/>
                                    <w:jc w:val="both"/>
                                    <w:rPr>
                                      <w:rFonts w:ascii="標楷體" w:eastAsia="標楷體" w:hAnsi="標楷體" w:cs="新細明體"/>
                                      <w:spacing w:val="-2"/>
                                    </w:rPr>
                                  </w:pPr>
                                  <w:r w:rsidRPr="00C42C9B">
                                    <w:rPr>
                                      <w:rFonts w:ascii="標楷體" w:eastAsia="標楷體" w:hAnsi="標楷體" w:cs="新細明體" w:hint="eastAsia"/>
                                      <w:spacing w:val="-2"/>
                                    </w:rPr>
                                    <w:t>新公館淨水場加壓站外管線工程</w:t>
                                  </w:r>
                                </w:p>
                              </w:tc>
                              <w:tc>
                                <w:tcPr>
                                  <w:tcW w:w="896" w:type="dxa"/>
                                </w:tcPr>
                                <w:p w14:paraId="36341CB1"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64,570</w:t>
                                  </w:r>
                                </w:p>
                              </w:tc>
                              <w:tc>
                                <w:tcPr>
                                  <w:tcW w:w="1106" w:type="dxa"/>
                                </w:tcPr>
                                <w:p w14:paraId="083D85D9" w14:textId="77777777" w:rsidR="00843A6D" w:rsidRPr="00230905" w:rsidRDefault="00843A6D" w:rsidP="00824CD6">
                                  <w:pPr>
                                    <w:spacing w:line="240" w:lineRule="exact"/>
                                    <w:ind w:leftChars="-10" w:left="-24"/>
                                    <w:rPr>
                                      <w:rFonts w:ascii="標楷體" w:eastAsia="標楷體" w:hAnsi="標楷體" w:cs="新細明體"/>
                                      <w:spacing w:val="-18"/>
                                    </w:rPr>
                                  </w:pPr>
                                  <w:r w:rsidRPr="00230905">
                                    <w:rPr>
                                      <w:rFonts w:ascii="標楷體" w:eastAsia="標楷體" w:hAnsi="標楷體" w:cs="新細明體" w:hint="eastAsia"/>
                                      <w:spacing w:val="-18"/>
                                    </w:rPr>
                                    <w:t>1</w:t>
                                  </w:r>
                                  <w:r w:rsidRPr="00230905">
                                    <w:rPr>
                                      <w:rFonts w:ascii="標楷體" w:eastAsia="標楷體" w:hAnsi="標楷體" w:cs="新細明體"/>
                                      <w:spacing w:val="-18"/>
                                    </w:rPr>
                                    <w:t>12.12.14</w:t>
                                  </w:r>
                                  <w:r w:rsidRPr="00230905">
                                    <w:rPr>
                                      <w:rFonts w:ascii="標楷體" w:eastAsia="標楷體" w:hAnsi="標楷體" w:cs="新細明體" w:hint="eastAsia"/>
                                      <w:spacing w:val="-18"/>
                                    </w:rPr>
                                    <w:t>－</w:t>
                                  </w:r>
                                  <w:r w:rsidRPr="00230905">
                                    <w:rPr>
                                      <w:rFonts w:ascii="標楷體" w:eastAsia="標楷體" w:hAnsi="標楷體" w:cs="新細明體"/>
                                      <w:b/>
                                      <w:spacing w:val="-12"/>
                                    </w:rPr>
                                    <w:t>114.2.22</w:t>
                                  </w:r>
                                </w:p>
                              </w:tc>
                              <w:tc>
                                <w:tcPr>
                                  <w:tcW w:w="1120" w:type="dxa"/>
                                </w:tcPr>
                                <w:p w14:paraId="3B449D9D" w14:textId="77777777" w:rsidR="00843A6D" w:rsidRPr="00230905" w:rsidRDefault="00843A6D" w:rsidP="00824CD6">
                                  <w:pPr>
                                    <w:spacing w:line="240" w:lineRule="exact"/>
                                    <w:ind w:leftChars="-10" w:left="-24"/>
                                    <w:rPr>
                                      <w:rFonts w:ascii="標楷體" w:eastAsia="標楷體" w:hAnsi="標楷體" w:cs="新細明體"/>
                                      <w:spacing w:val="-18"/>
                                    </w:rPr>
                                  </w:pPr>
                                  <w:r w:rsidRPr="00230905">
                                    <w:rPr>
                                      <w:rFonts w:ascii="標楷體" w:eastAsia="標楷體" w:hAnsi="標楷體" w:cs="新細明體" w:hint="eastAsia"/>
                                      <w:spacing w:val="-18"/>
                                    </w:rPr>
                                    <w:t>1</w:t>
                                  </w:r>
                                  <w:r w:rsidRPr="00230905">
                                    <w:rPr>
                                      <w:rFonts w:ascii="標楷體" w:eastAsia="標楷體" w:hAnsi="標楷體" w:cs="新細明體"/>
                                      <w:spacing w:val="-18"/>
                                    </w:rPr>
                                    <w:t>12.12.14</w:t>
                                  </w:r>
                                  <w:r w:rsidRPr="00230905">
                                    <w:rPr>
                                      <w:rFonts w:ascii="標楷體" w:eastAsia="標楷體" w:hAnsi="標楷體" w:cs="新細明體" w:hint="eastAsia"/>
                                      <w:spacing w:val="-18"/>
                                    </w:rPr>
                                    <w:t>－</w:t>
                                  </w:r>
                                  <w:r w:rsidRPr="00230905">
                                    <w:rPr>
                                      <w:rFonts w:ascii="標楷體" w:eastAsia="標楷體" w:hAnsi="標楷體" w:cs="新細明體"/>
                                      <w:b/>
                                      <w:spacing w:val="-12"/>
                                    </w:rPr>
                                    <w:t>114.8.19</w:t>
                                  </w:r>
                                </w:p>
                              </w:tc>
                              <w:tc>
                                <w:tcPr>
                                  <w:tcW w:w="881" w:type="dxa"/>
                                </w:tcPr>
                                <w:p w14:paraId="525F6A53"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9</w:t>
                                  </w:r>
                                  <w:r w:rsidRPr="002507DC">
                                    <w:rPr>
                                      <w:rFonts w:ascii="標楷體" w:eastAsia="標楷體" w:hAnsi="標楷體" w:cs="新細明體"/>
                                      <w:spacing w:val="-6"/>
                                    </w:rPr>
                                    <w:t>3.93</w:t>
                                  </w:r>
                                </w:p>
                              </w:tc>
                              <w:tc>
                                <w:tcPr>
                                  <w:tcW w:w="717" w:type="dxa"/>
                                </w:tcPr>
                                <w:p w14:paraId="317EC746"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6</w:t>
                                  </w:r>
                                  <w:r w:rsidRPr="002507DC">
                                    <w:rPr>
                                      <w:rFonts w:ascii="標楷體" w:eastAsia="標楷體" w:hAnsi="標楷體" w:cs="新細明體"/>
                                      <w:spacing w:val="-6"/>
                                    </w:rPr>
                                    <w:t>8.32</w:t>
                                  </w:r>
                                </w:p>
                              </w:tc>
                              <w:tc>
                                <w:tcPr>
                                  <w:tcW w:w="781" w:type="dxa"/>
                                </w:tcPr>
                                <w:p w14:paraId="67AF8917" w14:textId="77777777" w:rsidR="00843A6D" w:rsidRPr="0028734C" w:rsidRDefault="00843A6D" w:rsidP="00824CD6">
                                  <w:pPr>
                                    <w:spacing w:line="240" w:lineRule="exact"/>
                                    <w:ind w:leftChars="-30" w:left="-72" w:rightChars="-10" w:right="-24"/>
                                    <w:jc w:val="right"/>
                                    <w:rPr>
                                      <w:rFonts w:ascii="標楷體" w:eastAsia="標楷體" w:hAnsi="標楷體" w:cs="新細明體"/>
                                      <w:spacing w:val="-6"/>
                                    </w:rPr>
                                  </w:pPr>
                                  <w:r w:rsidRPr="0028734C">
                                    <w:rPr>
                                      <w:rFonts w:ascii="標楷體" w:eastAsia="標楷體" w:hAnsi="標楷體" w:cs="新細明體"/>
                                      <w:spacing w:val="-6"/>
                                    </w:rPr>
                                    <w:t xml:space="preserve">- </w:t>
                                  </w:r>
                                  <w:r w:rsidRPr="0028734C">
                                    <w:rPr>
                                      <w:rFonts w:ascii="標楷體" w:eastAsia="標楷體" w:hAnsi="標楷體" w:cs="新細明體" w:hint="eastAsia"/>
                                      <w:spacing w:val="-6"/>
                                    </w:rPr>
                                    <w:t>2</w:t>
                                  </w:r>
                                  <w:r w:rsidRPr="0028734C">
                                    <w:rPr>
                                      <w:rFonts w:ascii="標楷體" w:eastAsia="標楷體" w:hAnsi="標楷體" w:cs="新細明體"/>
                                      <w:spacing w:val="-6"/>
                                    </w:rPr>
                                    <w:t>5.61</w:t>
                                  </w:r>
                                </w:p>
                              </w:tc>
                            </w:tr>
                            <w:tr w:rsidR="00843A6D" w14:paraId="53478613" w14:textId="77777777" w:rsidTr="00824CD6">
                              <w:tc>
                                <w:tcPr>
                                  <w:tcW w:w="476" w:type="dxa"/>
                                </w:tcPr>
                                <w:p w14:paraId="1797EACA"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hint="eastAsia"/>
                                      <w:spacing w:val="-2"/>
                                    </w:rPr>
                                    <w:t>2</w:t>
                                  </w:r>
                                </w:p>
                              </w:tc>
                              <w:tc>
                                <w:tcPr>
                                  <w:tcW w:w="1792" w:type="dxa"/>
                                </w:tcPr>
                                <w:p w14:paraId="3A170AD2" w14:textId="77777777" w:rsidR="00843A6D" w:rsidRPr="00C42C9B" w:rsidRDefault="00843A6D" w:rsidP="00824CD6">
                                  <w:pPr>
                                    <w:spacing w:line="240" w:lineRule="exact"/>
                                    <w:jc w:val="both"/>
                                    <w:rPr>
                                      <w:rFonts w:ascii="標楷體" w:eastAsia="標楷體" w:hAnsi="標楷體" w:cs="新細明體"/>
                                      <w:spacing w:val="-2"/>
                                    </w:rPr>
                                  </w:pPr>
                                  <w:r w:rsidRPr="00C42C9B">
                                    <w:rPr>
                                      <w:rFonts w:ascii="標楷體" w:eastAsia="標楷體" w:hAnsi="標楷體" w:cs="新細明體" w:hint="eastAsia"/>
                                      <w:spacing w:val="-2"/>
                                    </w:rPr>
                                    <w:t>公館淨水場既有排水系統改善工程</w:t>
                                  </w:r>
                                </w:p>
                              </w:tc>
                              <w:tc>
                                <w:tcPr>
                                  <w:tcW w:w="896" w:type="dxa"/>
                                </w:tcPr>
                                <w:p w14:paraId="2106E00D"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48,749</w:t>
                                  </w:r>
                                </w:p>
                              </w:tc>
                              <w:tc>
                                <w:tcPr>
                                  <w:tcW w:w="1106" w:type="dxa"/>
                                </w:tcPr>
                                <w:p w14:paraId="1FCE0A52"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12.8.28</w:t>
                                  </w:r>
                                  <w:r w:rsidRPr="00230905">
                                    <w:rPr>
                                      <w:rFonts w:ascii="標楷體" w:eastAsia="標楷體" w:hAnsi="標楷體" w:cs="新細明體" w:hint="eastAsia"/>
                                      <w:spacing w:val="-12"/>
                                    </w:rPr>
                                    <w:t>－</w:t>
                                  </w:r>
                                  <w:r w:rsidRPr="00230905">
                                    <w:rPr>
                                      <w:rFonts w:ascii="標楷體" w:eastAsia="標楷體" w:hAnsi="標楷體" w:cs="新細明體"/>
                                      <w:b/>
                                      <w:spacing w:val="-12"/>
                                    </w:rPr>
                                    <w:t>114.3.28</w:t>
                                  </w:r>
                                </w:p>
                              </w:tc>
                              <w:tc>
                                <w:tcPr>
                                  <w:tcW w:w="1120" w:type="dxa"/>
                                </w:tcPr>
                                <w:p w14:paraId="3E6EBD16"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12.8.28</w:t>
                                  </w:r>
                                  <w:r w:rsidRPr="00230905">
                                    <w:rPr>
                                      <w:rFonts w:ascii="標楷體" w:eastAsia="標楷體" w:hAnsi="標楷體" w:cs="新細明體" w:hint="eastAsia"/>
                                      <w:spacing w:val="-12"/>
                                    </w:rPr>
                                    <w:t>－</w:t>
                                  </w:r>
                                  <w:r w:rsidRPr="00230905">
                                    <w:rPr>
                                      <w:rFonts w:ascii="標楷體" w:eastAsia="標楷體" w:hAnsi="標楷體" w:cs="新細明體" w:hint="eastAsia"/>
                                      <w:b/>
                                      <w:spacing w:val="-12"/>
                                    </w:rPr>
                                    <w:t>1</w:t>
                                  </w:r>
                                  <w:r w:rsidRPr="00230905">
                                    <w:rPr>
                                      <w:rFonts w:ascii="標楷體" w:eastAsia="標楷體" w:hAnsi="標楷體" w:cs="新細明體"/>
                                      <w:b/>
                                      <w:spacing w:val="-12"/>
                                    </w:rPr>
                                    <w:t>14.5.2</w:t>
                                  </w:r>
                                </w:p>
                              </w:tc>
                              <w:tc>
                                <w:tcPr>
                                  <w:tcW w:w="881" w:type="dxa"/>
                                </w:tcPr>
                                <w:p w14:paraId="3958D1E7"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9</w:t>
                                  </w:r>
                                  <w:r w:rsidRPr="002507DC">
                                    <w:rPr>
                                      <w:rFonts w:ascii="標楷體" w:eastAsia="標楷體" w:hAnsi="標楷體" w:cs="新細明體"/>
                                      <w:spacing w:val="-6"/>
                                    </w:rPr>
                                    <w:t>0.00</w:t>
                                  </w:r>
                                </w:p>
                              </w:tc>
                              <w:tc>
                                <w:tcPr>
                                  <w:tcW w:w="717" w:type="dxa"/>
                                </w:tcPr>
                                <w:p w14:paraId="1F796DC0"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9</w:t>
                                  </w:r>
                                  <w:r w:rsidRPr="002507DC">
                                    <w:rPr>
                                      <w:rFonts w:ascii="標楷體" w:eastAsia="標楷體" w:hAnsi="標楷體" w:cs="新細明體"/>
                                      <w:spacing w:val="-6"/>
                                    </w:rPr>
                                    <w:t>0.50</w:t>
                                  </w:r>
                                </w:p>
                              </w:tc>
                              <w:tc>
                                <w:tcPr>
                                  <w:tcW w:w="781" w:type="dxa"/>
                                </w:tcPr>
                                <w:p w14:paraId="107428A2" w14:textId="77777777" w:rsidR="00843A6D" w:rsidRPr="0028734C" w:rsidRDefault="00843A6D" w:rsidP="00824CD6">
                                  <w:pPr>
                                    <w:spacing w:line="240" w:lineRule="exact"/>
                                    <w:ind w:leftChars="-53" w:left="-127" w:rightChars="-10" w:right="-24"/>
                                    <w:jc w:val="right"/>
                                    <w:rPr>
                                      <w:rFonts w:ascii="標楷體" w:eastAsia="標楷體" w:hAnsi="標楷體" w:cs="新細明體"/>
                                      <w:spacing w:val="-6"/>
                                    </w:rPr>
                                  </w:pPr>
                                  <w:r w:rsidRPr="0028734C">
                                    <w:rPr>
                                      <w:rFonts w:ascii="標楷體" w:eastAsia="標楷體" w:hAnsi="標楷體" w:cs="新細明體" w:hint="eastAsia"/>
                                      <w:spacing w:val="-6"/>
                                    </w:rPr>
                                    <w:t>0</w:t>
                                  </w:r>
                                  <w:r w:rsidRPr="0028734C">
                                    <w:rPr>
                                      <w:rFonts w:ascii="標楷體" w:eastAsia="標楷體" w:hAnsi="標楷體" w:cs="新細明體"/>
                                      <w:spacing w:val="-6"/>
                                    </w:rPr>
                                    <w:t>.50</w:t>
                                  </w:r>
                                </w:p>
                              </w:tc>
                            </w:tr>
                            <w:tr w:rsidR="00843A6D" w14:paraId="5CE0C6F4" w14:textId="77777777" w:rsidTr="00824CD6">
                              <w:tc>
                                <w:tcPr>
                                  <w:tcW w:w="476" w:type="dxa"/>
                                </w:tcPr>
                                <w:p w14:paraId="79EF5BB8"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hint="eastAsia"/>
                                      <w:spacing w:val="-2"/>
                                    </w:rPr>
                                    <w:t>3</w:t>
                                  </w:r>
                                </w:p>
                              </w:tc>
                              <w:tc>
                                <w:tcPr>
                                  <w:tcW w:w="1792" w:type="dxa"/>
                                </w:tcPr>
                                <w:p w14:paraId="6E9E935C" w14:textId="77777777" w:rsidR="00843A6D" w:rsidRPr="00C42C9B" w:rsidRDefault="00843A6D" w:rsidP="00824CD6">
                                  <w:pPr>
                                    <w:spacing w:line="240" w:lineRule="exact"/>
                                    <w:jc w:val="both"/>
                                    <w:rPr>
                                      <w:rFonts w:ascii="標楷體" w:eastAsia="標楷體" w:hAnsi="標楷體" w:cs="新細明體"/>
                                      <w:spacing w:val="-2"/>
                                    </w:rPr>
                                  </w:pPr>
                                  <w:r w:rsidRPr="00C42C9B">
                                    <w:rPr>
                                      <w:rFonts w:ascii="標楷體" w:eastAsia="標楷體" w:hAnsi="標楷體" w:cs="新細明體" w:hint="eastAsia"/>
                                      <w:spacing w:val="-2"/>
                                    </w:rPr>
                                    <w:t>舊公館淨水場加壓站外觀整修工程</w:t>
                                  </w:r>
                                </w:p>
                              </w:tc>
                              <w:tc>
                                <w:tcPr>
                                  <w:tcW w:w="896" w:type="dxa"/>
                                </w:tcPr>
                                <w:p w14:paraId="54881174"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8</w:t>
                                  </w:r>
                                  <w:r w:rsidRPr="002507DC">
                                    <w:rPr>
                                      <w:rFonts w:ascii="標楷體" w:eastAsia="標楷體" w:hAnsi="標楷體" w:cs="新細明體"/>
                                      <w:spacing w:val="-6"/>
                                    </w:rPr>
                                    <w:t>4,869</w:t>
                                  </w:r>
                                </w:p>
                              </w:tc>
                              <w:tc>
                                <w:tcPr>
                                  <w:tcW w:w="1106" w:type="dxa"/>
                                </w:tcPr>
                                <w:p w14:paraId="031271AD"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13.1.16</w:t>
                                  </w:r>
                                  <w:r w:rsidRPr="00230905">
                                    <w:rPr>
                                      <w:rFonts w:ascii="標楷體" w:eastAsia="標楷體" w:hAnsi="標楷體" w:cs="新細明體" w:hint="eastAsia"/>
                                      <w:spacing w:val="-12"/>
                                    </w:rPr>
                                    <w:t>－</w:t>
                                  </w:r>
                                  <w:r w:rsidRPr="00230905">
                                    <w:rPr>
                                      <w:rFonts w:ascii="標楷體" w:eastAsia="標楷體" w:hAnsi="標楷體" w:cs="新細明體"/>
                                      <w:b/>
                                      <w:spacing w:val="-12"/>
                                    </w:rPr>
                                    <w:t>114.1.13</w:t>
                                  </w:r>
                                </w:p>
                              </w:tc>
                              <w:tc>
                                <w:tcPr>
                                  <w:tcW w:w="1120" w:type="dxa"/>
                                </w:tcPr>
                                <w:p w14:paraId="759FA7DA"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13.1.16</w:t>
                                  </w:r>
                                  <w:r w:rsidRPr="00230905">
                                    <w:rPr>
                                      <w:rFonts w:ascii="標楷體" w:eastAsia="標楷體" w:hAnsi="標楷體" w:cs="新細明體" w:hint="eastAsia"/>
                                      <w:spacing w:val="-12"/>
                                    </w:rPr>
                                    <w:t>－</w:t>
                                  </w:r>
                                  <w:r w:rsidRPr="00230905">
                                    <w:rPr>
                                      <w:rFonts w:ascii="標楷體" w:eastAsia="標楷體" w:hAnsi="標楷體" w:cs="新細明體"/>
                                      <w:b/>
                                      <w:spacing w:val="-12"/>
                                    </w:rPr>
                                    <w:t>114.10.14</w:t>
                                  </w:r>
                                </w:p>
                              </w:tc>
                              <w:tc>
                                <w:tcPr>
                                  <w:tcW w:w="881" w:type="dxa"/>
                                </w:tcPr>
                                <w:p w14:paraId="08F74445"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9</w:t>
                                  </w:r>
                                  <w:r w:rsidRPr="002507DC">
                                    <w:rPr>
                                      <w:rFonts w:ascii="標楷體" w:eastAsia="標楷體" w:hAnsi="標楷體" w:cs="新細明體"/>
                                      <w:spacing w:val="-6"/>
                                    </w:rPr>
                                    <w:t>7.36</w:t>
                                  </w:r>
                                </w:p>
                              </w:tc>
                              <w:tc>
                                <w:tcPr>
                                  <w:tcW w:w="717" w:type="dxa"/>
                                </w:tcPr>
                                <w:p w14:paraId="1102CF08"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5</w:t>
                                  </w:r>
                                  <w:r w:rsidRPr="002507DC">
                                    <w:rPr>
                                      <w:rFonts w:ascii="標楷體" w:eastAsia="標楷體" w:hAnsi="標楷體" w:cs="新細明體"/>
                                      <w:spacing w:val="-6"/>
                                    </w:rPr>
                                    <w:t>3.83</w:t>
                                  </w:r>
                                </w:p>
                              </w:tc>
                              <w:tc>
                                <w:tcPr>
                                  <w:tcW w:w="781" w:type="dxa"/>
                                </w:tcPr>
                                <w:p w14:paraId="33CD0FB8" w14:textId="77777777" w:rsidR="00843A6D" w:rsidRPr="0028734C" w:rsidRDefault="00843A6D" w:rsidP="00824CD6">
                                  <w:pPr>
                                    <w:spacing w:line="240" w:lineRule="exact"/>
                                    <w:ind w:leftChars="-53" w:left="-127" w:rightChars="-10" w:right="-24"/>
                                    <w:jc w:val="right"/>
                                    <w:rPr>
                                      <w:rFonts w:ascii="標楷體" w:eastAsia="標楷體" w:hAnsi="標楷體" w:cs="新細明體"/>
                                      <w:spacing w:val="-6"/>
                                    </w:rPr>
                                  </w:pPr>
                                  <w:r w:rsidRPr="0028734C">
                                    <w:rPr>
                                      <w:rFonts w:ascii="標楷體" w:eastAsia="標楷體" w:hAnsi="標楷體" w:cs="新細明體"/>
                                      <w:spacing w:val="-6"/>
                                    </w:rPr>
                                    <w:t xml:space="preserve">- </w:t>
                                  </w:r>
                                  <w:r w:rsidRPr="0028734C">
                                    <w:rPr>
                                      <w:rFonts w:ascii="標楷體" w:eastAsia="標楷體" w:hAnsi="標楷體" w:cs="新細明體" w:hint="eastAsia"/>
                                      <w:spacing w:val="-6"/>
                                    </w:rPr>
                                    <w:t>4</w:t>
                                  </w:r>
                                  <w:r w:rsidRPr="0028734C">
                                    <w:rPr>
                                      <w:rFonts w:ascii="標楷體" w:eastAsia="標楷體" w:hAnsi="標楷體" w:cs="新細明體"/>
                                      <w:spacing w:val="-6"/>
                                    </w:rPr>
                                    <w:t>3.53</w:t>
                                  </w:r>
                                </w:p>
                              </w:tc>
                            </w:tr>
                            <w:tr w:rsidR="00843A6D" w14:paraId="3AF7660E" w14:textId="77777777" w:rsidTr="00824CD6">
                              <w:tc>
                                <w:tcPr>
                                  <w:tcW w:w="476" w:type="dxa"/>
                                </w:tcPr>
                                <w:p w14:paraId="363D78ED"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hint="eastAsia"/>
                                      <w:spacing w:val="-2"/>
                                    </w:rPr>
                                    <w:t>4</w:t>
                                  </w:r>
                                </w:p>
                              </w:tc>
                              <w:tc>
                                <w:tcPr>
                                  <w:tcW w:w="1792" w:type="dxa"/>
                                </w:tcPr>
                                <w:p w14:paraId="6F54E05B" w14:textId="77777777" w:rsidR="00843A6D" w:rsidRPr="00C42C9B" w:rsidRDefault="00843A6D" w:rsidP="00824CD6">
                                  <w:pPr>
                                    <w:spacing w:line="240" w:lineRule="exact"/>
                                    <w:jc w:val="both"/>
                                    <w:rPr>
                                      <w:rFonts w:ascii="標楷體" w:eastAsia="標楷體" w:hAnsi="標楷體" w:cs="新細明體"/>
                                      <w:spacing w:val="-2"/>
                                    </w:rPr>
                                  </w:pPr>
                                  <w:r w:rsidRPr="00C42C9B">
                                    <w:rPr>
                                      <w:rFonts w:ascii="標楷體" w:eastAsia="標楷體" w:hAnsi="標楷體" w:cs="新細明體" w:hint="eastAsia"/>
                                      <w:spacing w:val="-2"/>
                                    </w:rPr>
                                    <w:t>3.3kV</w:t>
                                  </w:r>
                                  <w:proofErr w:type="gramStart"/>
                                  <w:r w:rsidRPr="00C42C9B">
                                    <w:rPr>
                                      <w:rFonts w:ascii="標楷體" w:eastAsia="標楷體" w:hAnsi="標楷體" w:cs="新細明體" w:hint="eastAsia"/>
                                      <w:spacing w:val="-2"/>
                                    </w:rPr>
                                    <w:t>沉</w:t>
                                  </w:r>
                                  <w:proofErr w:type="gramEnd"/>
                                  <w:r w:rsidRPr="00C42C9B">
                                    <w:rPr>
                                      <w:rFonts w:ascii="標楷體" w:eastAsia="標楷體" w:hAnsi="標楷體" w:cs="新細明體" w:hint="eastAsia"/>
                                      <w:spacing w:val="-2"/>
                                    </w:rPr>
                                    <w:t>水式抽水機、開關盤及</w:t>
                                  </w:r>
                                  <w:proofErr w:type="gramStart"/>
                                  <w:r w:rsidRPr="00C42C9B">
                                    <w:rPr>
                                      <w:rFonts w:ascii="標楷體" w:eastAsia="標楷體" w:hAnsi="標楷體" w:cs="新細明體" w:hint="eastAsia"/>
                                      <w:spacing w:val="-2"/>
                                    </w:rPr>
                                    <w:t>控制閥等更新</w:t>
                                  </w:r>
                                  <w:proofErr w:type="gramEnd"/>
                                  <w:r w:rsidRPr="00C42C9B">
                                    <w:rPr>
                                      <w:rFonts w:ascii="標楷體" w:eastAsia="標楷體" w:hAnsi="標楷體" w:cs="新細明體" w:hint="eastAsia"/>
                                      <w:spacing w:val="-2"/>
                                    </w:rPr>
                                    <w:t>整合工程</w:t>
                                  </w:r>
                                </w:p>
                              </w:tc>
                              <w:tc>
                                <w:tcPr>
                                  <w:tcW w:w="896" w:type="dxa"/>
                                </w:tcPr>
                                <w:p w14:paraId="262FEF1B"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76,180</w:t>
                                  </w:r>
                                </w:p>
                              </w:tc>
                              <w:tc>
                                <w:tcPr>
                                  <w:tcW w:w="1106" w:type="dxa"/>
                                </w:tcPr>
                                <w:p w14:paraId="17F4B5F4"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13.1.15</w:t>
                                  </w:r>
                                  <w:r w:rsidRPr="00230905">
                                    <w:rPr>
                                      <w:rFonts w:ascii="標楷體" w:eastAsia="標楷體" w:hAnsi="標楷體" w:cs="新細明體" w:hint="eastAsia"/>
                                      <w:spacing w:val="-12"/>
                                    </w:rPr>
                                    <w:t>－</w:t>
                                  </w:r>
                                  <w:r w:rsidRPr="00230905">
                                    <w:rPr>
                                      <w:rFonts w:ascii="標楷體" w:eastAsia="標楷體" w:hAnsi="標楷體" w:cs="新細明體"/>
                                      <w:b/>
                                      <w:spacing w:val="-12"/>
                                    </w:rPr>
                                    <w:t>114.7.5</w:t>
                                  </w:r>
                                </w:p>
                              </w:tc>
                              <w:tc>
                                <w:tcPr>
                                  <w:tcW w:w="1120" w:type="dxa"/>
                                </w:tcPr>
                                <w:p w14:paraId="21F50EA2"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13.1.15</w:t>
                                  </w:r>
                                  <w:r w:rsidRPr="00230905">
                                    <w:rPr>
                                      <w:rFonts w:ascii="標楷體" w:eastAsia="標楷體" w:hAnsi="標楷體" w:cs="新細明體" w:hint="eastAsia"/>
                                      <w:spacing w:val="-12"/>
                                    </w:rPr>
                                    <w:t>－</w:t>
                                  </w:r>
                                  <w:r w:rsidRPr="00230905">
                                    <w:rPr>
                                      <w:rFonts w:ascii="標楷體" w:eastAsia="標楷體" w:hAnsi="標楷體" w:cs="新細明體"/>
                                      <w:b/>
                                      <w:spacing w:val="-12"/>
                                    </w:rPr>
                                    <w:t>114.7.12</w:t>
                                  </w:r>
                                </w:p>
                              </w:tc>
                              <w:tc>
                                <w:tcPr>
                                  <w:tcW w:w="881" w:type="dxa"/>
                                </w:tcPr>
                                <w:p w14:paraId="513F3125"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spacing w:val="-6"/>
                                    </w:rPr>
                                    <w:t>35.20</w:t>
                                  </w:r>
                                </w:p>
                              </w:tc>
                              <w:tc>
                                <w:tcPr>
                                  <w:tcW w:w="717" w:type="dxa"/>
                                </w:tcPr>
                                <w:p w14:paraId="004D3F8C"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spacing w:val="-6"/>
                                    </w:rPr>
                                    <w:t>11.33</w:t>
                                  </w:r>
                                </w:p>
                              </w:tc>
                              <w:tc>
                                <w:tcPr>
                                  <w:tcW w:w="781" w:type="dxa"/>
                                </w:tcPr>
                                <w:p w14:paraId="2E8B8EF0" w14:textId="77777777" w:rsidR="00843A6D" w:rsidRPr="0028734C" w:rsidRDefault="00843A6D" w:rsidP="00824CD6">
                                  <w:pPr>
                                    <w:spacing w:line="240" w:lineRule="exact"/>
                                    <w:ind w:leftChars="-53" w:left="-127" w:rightChars="-10" w:right="-24"/>
                                    <w:jc w:val="right"/>
                                    <w:rPr>
                                      <w:rFonts w:ascii="標楷體" w:eastAsia="標楷體" w:hAnsi="標楷體" w:cs="新細明體"/>
                                      <w:spacing w:val="-6"/>
                                    </w:rPr>
                                  </w:pPr>
                                  <w:r w:rsidRPr="0028734C">
                                    <w:rPr>
                                      <w:rFonts w:ascii="標楷體" w:eastAsia="標楷體" w:hAnsi="標楷體" w:cs="新細明體"/>
                                      <w:spacing w:val="-6"/>
                                    </w:rPr>
                                    <w:t>- 23.87</w:t>
                                  </w:r>
                                </w:p>
                              </w:tc>
                            </w:tr>
                            <w:tr w:rsidR="00843A6D" w14:paraId="1674124D" w14:textId="77777777" w:rsidTr="00824CD6">
                              <w:tc>
                                <w:tcPr>
                                  <w:tcW w:w="476" w:type="dxa"/>
                                </w:tcPr>
                                <w:p w14:paraId="4012F948"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spacing w:val="-2"/>
                                    </w:rPr>
                                    <w:t>5</w:t>
                                  </w:r>
                                </w:p>
                              </w:tc>
                              <w:tc>
                                <w:tcPr>
                                  <w:tcW w:w="1792" w:type="dxa"/>
                                </w:tcPr>
                                <w:p w14:paraId="32F222F6" w14:textId="77777777" w:rsidR="00843A6D" w:rsidRPr="00C42C9B" w:rsidRDefault="00843A6D" w:rsidP="00824CD6">
                                  <w:pPr>
                                    <w:spacing w:line="240" w:lineRule="exact"/>
                                    <w:jc w:val="both"/>
                                    <w:rPr>
                                      <w:rFonts w:ascii="標楷體" w:eastAsia="標楷體" w:hAnsi="標楷體" w:cs="新細明體"/>
                                      <w:spacing w:val="-2"/>
                                    </w:rPr>
                                  </w:pPr>
                                  <w:r w:rsidRPr="00C42C9B">
                                    <w:rPr>
                                      <w:rFonts w:ascii="標楷體" w:eastAsia="標楷體" w:hAnsi="標楷體" w:cs="新細明體" w:hint="eastAsia"/>
                                      <w:spacing w:val="-2"/>
                                    </w:rPr>
                                    <w:t>木柵二期</w:t>
                                  </w:r>
                                  <w:proofErr w:type="gramStart"/>
                                  <w:r w:rsidRPr="00C42C9B">
                                    <w:rPr>
                                      <w:rFonts w:ascii="標楷體" w:eastAsia="標楷體" w:hAnsi="標楷體" w:cs="新細明體" w:hint="eastAsia"/>
                                      <w:spacing w:val="-2"/>
                                    </w:rPr>
                                    <w:t>加壓站配水池</w:t>
                                  </w:r>
                                  <w:proofErr w:type="gramEnd"/>
                                  <w:r w:rsidRPr="00C42C9B">
                                    <w:rPr>
                                      <w:rFonts w:ascii="標楷體" w:eastAsia="標楷體" w:hAnsi="標楷體" w:cs="新細明體" w:hint="eastAsia"/>
                                      <w:spacing w:val="-2"/>
                                    </w:rPr>
                                    <w:t>功能改善及補強工程</w:t>
                                  </w:r>
                                </w:p>
                              </w:tc>
                              <w:tc>
                                <w:tcPr>
                                  <w:tcW w:w="896" w:type="dxa"/>
                                </w:tcPr>
                                <w:p w14:paraId="0E340F1D"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4</w:t>
                                  </w:r>
                                  <w:r w:rsidRPr="002507DC">
                                    <w:rPr>
                                      <w:rFonts w:ascii="標楷體" w:eastAsia="標楷體" w:hAnsi="標楷體" w:cs="新細明體"/>
                                      <w:spacing w:val="-6"/>
                                    </w:rPr>
                                    <w:t>2,652</w:t>
                                  </w:r>
                                </w:p>
                              </w:tc>
                              <w:tc>
                                <w:tcPr>
                                  <w:tcW w:w="1106" w:type="dxa"/>
                                </w:tcPr>
                                <w:p w14:paraId="7E34738B"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12.11.7</w:t>
                                  </w:r>
                                  <w:r w:rsidRPr="00230905">
                                    <w:rPr>
                                      <w:rFonts w:ascii="標楷體" w:eastAsia="標楷體" w:hAnsi="標楷體" w:cs="新細明體" w:hint="eastAsia"/>
                                      <w:spacing w:val="-12"/>
                                    </w:rPr>
                                    <w:t>－</w:t>
                                  </w:r>
                                  <w:r w:rsidRPr="00230905">
                                    <w:rPr>
                                      <w:rFonts w:ascii="標楷體" w:eastAsia="標楷體" w:hAnsi="標楷體" w:cs="新細明體"/>
                                      <w:spacing w:val="-12"/>
                                    </w:rPr>
                                    <w:t>113.12.12</w:t>
                                  </w:r>
                                </w:p>
                              </w:tc>
                              <w:tc>
                                <w:tcPr>
                                  <w:tcW w:w="1120" w:type="dxa"/>
                                </w:tcPr>
                                <w:p w14:paraId="3D419B8D"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12.11.7</w:t>
                                  </w:r>
                                  <w:r w:rsidRPr="00230905">
                                    <w:rPr>
                                      <w:rFonts w:ascii="標楷體" w:eastAsia="標楷體" w:hAnsi="標楷體" w:cs="新細明體" w:hint="eastAsia"/>
                                      <w:spacing w:val="-12"/>
                                    </w:rPr>
                                    <w:t>－</w:t>
                                  </w:r>
                                  <w:r w:rsidRPr="00230905">
                                    <w:rPr>
                                      <w:rFonts w:ascii="標楷體" w:eastAsia="標楷體" w:hAnsi="標楷體" w:cs="新細明體"/>
                                      <w:spacing w:val="-12"/>
                                    </w:rPr>
                                    <w:t>114.6.19</w:t>
                                  </w:r>
                                </w:p>
                              </w:tc>
                              <w:tc>
                                <w:tcPr>
                                  <w:tcW w:w="881" w:type="dxa"/>
                                </w:tcPr>
                                <w:p w14:paraId="18F93409"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00.00</w:t>
                                  </w:r>
                                </w:p>
                              </w:tc>
                              <w:tc>
                                <w:tcPr>
                                  <w:tcW w:w="717" w:type="dxa"/>
                                </w:tcPr>
                                <w:p w14:paraId="2B4DFF82"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6</w:t>
                                  </w:r>
                                  <w:r w:rsidRPr="002507DC">
                                    <w:rPr>
                                      <w:rFonts w:ascii="標楷體" w:eastAsia="標楷體" w:hAnsi="標楷體" w:cs="新細明體"/>
                                      <w:spacing w:val="-6"/>
                                    </w:rPr>
                                    <w:t>1.41</w:t>
                                  </w:r>
                                </w:p>
                              </w:tc>
                              <w:tc>
                                <w:tcPr>
                                  <w:tcW w:w="781" w:type="dxa"/>
                                </w:tcPr>
                                <w:p w14:paraId="6A4FE794" w14:textId="77777777" w:rsidR="00843A6D" w:rsidRPr="0028734C" w:rsidRDefault="00843A6D" w:rsidP="00824CD6">
                                  <w:pPr>
                                    <w:spacing w:line="240" w:lineRule="exact"/>
                                    <w:ind w:leftChars="-53" w:left="-127" w:rightChars="-10" w:right="-24"/>
                                    <w:jc w:val="right"/>
                                    <w:rPr>
                                      <w:rFonts w:ascii="標楷體" w:eastAsia="標楷體" w:hAnsi="標楷體" w:cs="新細明體"/>
                                      <w:spacing w:val="-6"/>
                                    </w:rPr>
                                  </w:pPr>
                                  <w:r w:rsidRPr="0028734C">
                                    <w:rPr>
                                      <w:rFonts w:ascii="標楷體" w:eastAsia="標楷體" w:hAnsi="標楷體" w:cs="新細明體"/>
                                      <w:spacing w:val="-6"/>
                                    </w:rPr>
                                    <w:t xml:space="preserve">- </w:t>
                                  </w:r>
                                  <w:r w:rsidRPr="0028734C">
                                    <w:rPr>
                                      <w:rFonts w:ascii="標楷體" w:eastAsia="標楷體" w:hAnsi="標楷體" w:cs="新細明體" w:hint="eastAsia"/>
                                      <w:spacing w:val="-6"/>
                                    </w:rPr>
                                    <w:t>3</w:t>
                                  </w:r>
                                  <w:r w:rsidRPr="0028734C">
                                    <w:rPr>
                                      <w:rFonts w:ascii="標楷體" w:eastAsia="標楷體" w:hAnsi="標楷體" w:cs="新細明體"/>
                                      <w:spacing w:val="-6"/>
                                    </w:rPr>
                                    <w:t>8.59</w:t>
                                  </w:r>
                                </w:p>
                              </w:tc>
                            </w:tr>
                            <w:tr w:rsidR="00843A6D" w14:paraId="42662779" w14:textId="77777777" w:rsidTr="00824CD6">
                              <w:tc>
                                <w:tcPr>
                                  <w:tcW w:w="476" w:type="dxa"/>
                                </w:tcPr>
                                <w:p w14:paraId="7DEEDF46"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spacing w:val="-2"/>
                                    </w:rPr>
                                    <w:t>6</w:t>
                                  </w:r>
                                </w:p>
                              </w:tc>
                              <w:tc>
                                <w:tcPr>
                                  <w:tcW w:w="1792" w:type="dxa"/>
                                </w:tcPr>
                                <w:p w14:paraId="4FF86F53" w14:textId="77777777" w:rsidR="00843A6D" w:rsidRPr="00C42C9B" w:rsidRDefault="00843A6D" w:rsidP="00824CD6">
                                  <w:pPr>
                                    <w:spacing w:line="240" w:lineRule="exact"/>
                                    <w:ind w:rightChars="-21" w:right="-50"/>
                                    <w:jc w:val="both"/>
                                    <w:rPr>
                                      <w:rFonts w:ascii="標楷體" w:eastAsia="標楷體" w:hAnsi="標楷體" w:cs="新細明體"/>
                                      <w:spacing w:val="-2"/>
                                    </w:rPr>
                                  </w:pPr>
                                  <w:r w:rsidRPr="00C42C9B">
                                    <w:rPr>
                                      <w:rFonts w:ascii="標楷體" w:eastAsia="標楷體" w:hAnsi="標楷體" w:cs="新細明體" w:hint="eastAsia"/>
                                      <w:spacing w:val="-2"/>
                                    </w:rPr>
                                    <w:t>淨水</w:t>
                                  </w:r>
                                  <w:proofErr w:type="gramStart"/>
                                  <w:r w:rsidRPr="00C42C9B">
                                    <w:rPr>
                                      <w:rFonts w:ascii="標楷體" w:eastAsia="標楷體" w:hAnsi="標楷體" w:cs="新細明體" w:hint="eastAsia"/>
                                      <w:spacing w:val="-2"/>
                                    </w:rPr>
                                    <w:t>場堰壩無線</w:t>
                                  </w:r>
                                  <w:proofErr w:type="gramEnd"/>
                                  <w:r w:rsidRPr="00C42C9B">
                                    <w:rPr>
                                      <w:rFonts w:ascii="標楷體" w:eastAsia="標楷體" w:hAnsi="標楷體" w:cs="新細明體" w:hint="eastAsia"/>
                                      <w:spacing w:val="-2"/>
                                    </w:rPr>
                                    <w:t>放水廣播系統設備</w:t>
                                  </w:r>
                                </w:p>
                              </w:tc>
                              <w:tc>
                                <w:tcPr>
                                  <w:tcW w:w="896" w:type="dxa"/>
                                </w:tcPr>
                                <w:p w14:paraId="08D39667"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7,058</w:t>
                                  </w:r>
                                </w:p>
                              </w:tc>
                              <w:tc>
                                <w:tcPr>
                                  <w:tcW w:w="1106" w:type="dxa"/>
                                </w:tcPr>
                                <w:p w14:paraId="383D9954"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13.4.24</w:t>
                                  </w:r>
                                  <w:r w:rsidRPr="00230905">
                                    <w:rPr>
                                      <w:rFonts w:ascii="標楷體" w:eastAsia="標楷體" w:hAnsi="標楷體" w:cs="新細明體" w:hint="eastAsia"/>
                                      <w:spacing w:val="-12"/>
                                    </w:rPr>
                                    <w:t>－</w:t>
                                  </w:r>
                                  <w:r w:rsidRPr="00230905">
                                    <w:rPr>
                                      <w:rFonts w:ascii="標楷體" w:eastAsia="標楷體" w:hAnsi="標楷體" w:cs="新細明體"/>
                                      <w:spacing w:val="-12"/>
                                    </w:rPr>
                                    <w:t>113.10.24</w:t>
                                  </w:r>
                                </w:p>
                              </w:tc>
                              <w:tc>
                                <w:tcPr>
                                  <w:tcW w:w="1120" w:type="dxa"/>
                                </w:tcPr>
                                <w:p w14:paraId="2E2FEFED" w14:textId="77777777" w:rsidR="00843A6D" w:rsidRPr="00230905" w:rsidRDefault="00843A6D" w:rsidP="00824CD6">
                                  <w:pPr>
                                    <w:spacing w:afterLines="10" w:after="36" w:line="260" w:lineRule="exact"/>
                                    <w:ind w:rightChars="4" w:right="10"/>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13.4.24</w:t>
                                  </w:r>
                                  <w:r w:rsidRPr="00230905">
                                    <w:rPr>
                                      <w:rFonts w:ascii="標楷體" w:eastAsia="標楷體" w:hAnsi="標楷體" w:cs="新細明體" w:hint="eastAsia"/>
                                      <w:spacing w:val="-12"/>
                                    </w:rPr>
                                    <w:t>－</w:t>
                                  </w:r>
                                  <w:r w:rsidRPr="00230905">
                                    <w:rPr>
                                      <w:rFonts w:ascii="標楷體" w:eastAsia="標楷體" w:hAnsi="標楷體" w:cs="新細明體"/>
                                      <w:spacing w:val="-12"/>
                                    </w:rPr>
                                    <w:t>113.10.24</w:t>
                                  </w:r>
                                </w:p>
                                <w:p w14:paraId="00142AB9"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spacing w:val="-12"/>
                                    </w:rPr>
                                    <w:t>(</w:t>
                                  </w:r>
                                  <w:r w:rsidRPr="00230905">
                                    <w:rPr>
                                      <w:rFonts w:ascii="標楷體" w:eastAsia="標楷體" w:hAnsi="標楷體" w:cs="新細明體" w:hint="eastAsia"/>
                                      <w:spacing w:val="-12"/>
                                    </w:rPr>
                                    <w:t>未修正</w:t>
                                  </w:r>
                                  <w:r w:rsidRPr="00230905">
                                    <w:rPr>
                                      <w:rFonts w:ascii="標楷體" w:eastAsia="標楷體" w:hAnsi="標楷體" w:cs="新細明體"/>
                                      <w:spacing w:val="-12"/>
                                    </w:rPr>
                                    <w:t>)</w:t>
                                  </w:r>
                                </w:p>
                              </w:tc>
                              <w:tc>
                                <w:tcPr>
                                  <w:tcW w:w="881" w:type="dxa"/>
                                </w:tcPr>
                                <w:p w14:paraId="20B7A398"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00.00</w:t>
                                  </w:r>
                                </w:p>
                              </w:tc>
                              <w:tc>
                                <w:tcPr>
                                  <w:tcW w:w="717" w:type="dxa"/>
                                </w:tcPr>
                                <w:p w14:paraId="400BD463"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6</w:t>
                                  </w:r>
                                  <w:r w:rsidRPr="002507DC">
                                    <w:rPr>
                                      <w:rFonts w:ascii="標楷體" w:eastAsia="標楷體" w:hAnsi="標楷體" w:cs="新細明體"/>
                                      <w:spacing w:val="-6"/>
                                    </w:rPr>
                                    <w:t>9.39</w:t>
                                  </w:r>
                                </w:p>
                              </w:tc>
                              <w:tc>
                                <w:tcPr>
                                  <w:tcW w:w="781" w:type="dxa"/>
                                </w:tcPr>
                                <w:p w14:paraId="20DFBD19" w14:textId="77777777" w:rsidR="00843A6D" w:rsidRPr="0028734C" w:rsidRDefault="00843A6D" w:rsidP="00824CD6">
                                  <w:pPr>
                                    <w:spacing w:line="240" w:lineRule="exact"/>
                                    <w:ind w:leftChars="-53" w:left="-127" w:rightChars="-10" w:right="-24"/>
                                    <w:jc w:val="right"/>
                                    <w:rPr>
                                      <w:rFonts w:ascii="標楷體" w:eastAsia="標楷體" w:hAnsi="標楷體" w:cs="新細明體"/>
                                      <w:spacing w:val="-6"/>
                                    </w:rPr>
                                  </w:pPr>
                                  <w:r w:rsidRPr="0028734C">
                                    <w:rPr>
                                      <w:rFonts w:ascii="標楷體" w:eastAsia="標楷體" w:hAnsi="標楷體" w:cs="新細明體"/>
                                      <w:spacing w:val="-6"/>
                                    </w:rPr>
                                    <w:t xml:space="preserve">- </w:t>
                                  </w:r>
                                  <w:r w:rsidRPr="0028734C">
                                    <w:rPr>
                                      <w:rFonts w:ascii="標楷體" w:eastAsia="標楷體" w:hAnsi="標楷體" w:cs="新細明體" w:hint="eastAsia"/>
                                      <w:spacing w:val="-6"/>
                                    </w:rPr>
                                    <w:t>3</w:t>
                                  </w:r>
                                  <w:r w:rsidRPr="0028734C">
                                    <w:rPr>
                                      <w:rFonts w:ascii="標楷體" w:eastAsia="標楷體" w:hAnsi="標楷體" w:cs="新細明體"/>
                                      <w:spacing w:val="-6"/>
                                    </w:rPr>
                                    <w:t>0.61</w:t>
                                  </w:r>
                                </w:p>
                              </w:tc>
                            </w:tr>
                          </w:tbl>
                          <w:p w14:paraId="64051A0E" w14:textId="77777777" w:rsidR="00843A6D" w:rsidRPr="0028734C" w:rsidRDefault="00843A6D" w:rsidP="00843A6D">
                            <w:pPr>
                              <w:spacing w:line="240" w:lineRule="exact"/>
                              <w:ind w:left="540" w:rightChars="-65" w:right="-156" w:hangingChars="300" w:hanging="540"/>
                              <w:rPr>
                                <w:rFonts w:ascii="標楷體" w:eastAsia="標楷體" w:hAnsi="標楷體"/>
                                <w:sz w:val="18"/>
                                <w:szCs w:val="18"/>
                              </w:rPr>
                            </w:pPr>
                            <w:proofErr w:type="gramStart"/>
                            <w:r w:rsidRPr="0028734C">
                              <w:rPr>
                                <w:rFonts w:ascii="標楷體" w:eastAsia="標楷體" w:hAnsi="標楷體" w:hint="eastAsia"/>
                                <w:sz w:val="18"/>
                                <w:szCs w:val="18"/>
                              </w:rPr>
                              <w:t>註</w:t>
                            </w:r>
                            <w:proofErr w:type="gramEnd"/>
                            <w:r w:rsidRPr="0028734C">
                              <w:rPr>
                                <w:rFonts w:ascii="標楷體" w:eastAsia="標楷體" w:hAnsi="標楷體" w:hint="eastAsia"/>
                                <w:sz w:val="18"/>
                                <w:szCs w:val="18"/>
                              </w:rPr>
                              <w:t>：1</w:t>
                            </w:r>
                            <w:r w:rsidRPr="0028734C">
                              <w:rPr>
                                <w:rFonts w:ascii="標楷體" w:eastAsia="標楷體" w:hAnsi="標楷體"/>
                                <w:sz w:val="18"/>
                                <w:szCs w:val="18"/>
                              </w:rPr>
                              <w:t>.</w:t>
                            </w:r>
                            <w:r w:rsidRPr="00837BA6">
                              <w:rPr>
                                <w:rFonts w:ascii="標楷體" w:eastAsia="標楷體" w:hAnsi="標楷體" w:hint="eastAsia"/>
                                <w:spacing w:val="-6"/>
                                <w:sz w:val="18"/>
                                <w:szCs w:val="18"/>
                              </w:rPr>
                              <w:t>尚在施工中案件計1</w:t>
                            </w:r>
                            <w:r w:rsidRPr="00837BA6">
                              <w:rPr>
                                <w:rFonts w:ascii="標楷體" w:eastAsia="標楷體" w:hAnsi="標楷體"/>
                                <w:spacing w:val="-6"/>
                                <w:sz w:val="18"/>
                                <w:szCs w:val="18"/>
                              </w:rPr>
                              <w:t>3</w:t>
                            </w:r>
                            <w:r w:rsidRPr="00837BA6">
                              <w:rPr>
                                <w:rFonts w:ascii="標楷體" w:eastAsia="標楷體" w:hAnsi="標楷體" w:hint="eastAsia"/>
                                <w:spacing w:val="-6"/>
                                <w:sz w:val="18"/>
                                <w:szCs w:val="18"/>
                              </w:rPr>
                              <w:t>案</w:t>
                            </w:r>
                            <w:r w:rsidRPr="00837BA6">
                              <w:rPr>
                                <w:rFonts w:ascii="標楷體" w:eastAsia="標楷體" w:hAnsi="標楷體" w:cs="全字庫正宋體" w:hint="eastAsia"/>
                                <w:spacing w:val="-6"/>
                                <w:sz w:val="18"/>
                                <w:szCs w:val="18"/>
                              </w:rPr>
                              <w:t>，</w:t>
                            </w:r>
                            <w:r w:rsidRPr="00837BA6">
                              <w:rPr>
                                <w:rFonts w:ascii="標楷體" w:eastAsia="標楷體" w:hAnsi="標楷體" w:hint="eastAsia"/>
                                <w:spacing w:val="-6"/>
                                <w:sz w:val="18"/>
                                <w:szCs w:val="18"/>
                              </w:rPr>
                              <w:t>不包括開口契約、委託技術服務案及由工務局新建工程處代辦等7案。</w:t>
                            </w:r>
                          </w:p>
                          <w:p w14:paraId="32C587C5" w14:textId="77777777" w:rsidR="00843A6D" w:rsidRPr="0028734C" w:rsidRDefault="00843A6D" w:rsidP="00843A6D">
                            <w:pPr>
                              <w:spacing w:line="240" w:lineRule="exact"/>
                              <w:ind w:leftChars="150" w:left="688" w:hangingChars="182" w:hanging="328"/>
                              <w:rPr>
                                <w:rFonts w:ascii="標楷體" w:eastAsia="標楷體" w:hAnsi="標楷體"/>
                                <w:sz w:val="18"/>
                                <w:szCs w:val="18"/>
                              </w:rPr>
                            </w:pPr>
                            <w:r w:rsidRPr="0028734C">
                              <w:rPr>
                                <w:rFonts w:ascii="標楷體" w:eastAsia="標楷體" w:hAnsi="標楷體"/>
                                <w:sz w:val="18"/>
                                <w:szCs w:val="18"/>
                              </w:rPr>
                              <w:t>2.</w:t>
                            </w:r>
                            <w:r w:rsidRPr="0028734C">
                              <w:rPr>
                                <w:rFonts w:ascii="標楷體" w:eastAsia="標楷體" w:hAnsi="標楷體" w:hint="eastAsia"/>
                                <w:sz w:val="18"/>
                                <w:szCs w:val="18"/>
                              </w:rPr>
                              <w:t>資料來源：整理自</w:t>
                            </w:r>
                            <w:proofErr w:type="gramStart"/>
                            <w:r w:rsidRPr="0028734C">
                              <w:rPr>
                                <w:rFonts w:ascii="標楷體" w:eastAsia="標楷體" w:hAnsi="標楷體" w:hint="eastAsia"/>
                                <w:sz w:val="18"/>
                                <w:szCs w:val="18"/>
                              </w:rPr>
                              <w:t>臺</w:t>
                            </w:r>
                            <w:proofErr w:type="gramEnd"/>
                            <w:r w:rsidRPr="0028734C">
                              <w:rPr>
                                <w:rFonts w:ascii="標楷體" w:eastAsia="標楷體" w:hAnsi="標楷體" w:hint="eastAsia"/>
                                <w:sz w:val="18"/>
                                <w:szCs w:val="18"/>
                              </w:rPr>
                              <w:t>北自來水事業處提供資料。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0D1B1E" id="文字方塊 28" o:spid="_x0000_s1148" type="#_x0000_t202" style="position:absolute;left:0;text-align:left;margin-left:101.15pt;margin-top:114pt;width:396.85pt;height:291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" stroked="f">
                <v:textbox>
                  <w:txbxContent>
                    <w:tbl>
                      <w:tblPr>
                        <w:tblStyle w:val="a6"/>
                        <w:tblW w:w="7769" w:type="dxa"/>
                        <w:tblInd w:w="-42" w:type="dxa"/>
                        <w:tblLayout w:type="fixed"/>
                        <w:tblLook w:val="04A0" w:firstRow="1" w:lastRow="0" w:firstColumn="1" w:lastColumn="0" w:noHBand="0" w:noVBand="1"/>
                      </w:tblPr>
                      <w:tblGrid>
                        <w:gridCol w:w="476"/>
                        <w:gridCol w:w="1792"/>
                        <w:gridCol w:w="896"/>
                        <w:gridCol w:w="1106"/>
                        <w:gridCol w:w="1120"/>
                        <w:gridCol w:w="881"/>
                        <w:gridCol w:w="717"/>
                        <w:gridCol w:w="781"/>
                      </w:tblGrid>
                      <w:tr w:rsidR="00843A6D" w14:paraId="49D27392" w14:textId="77777777" w:rsidTr="00843A6D">
                        <w:trPr>
                          <w:trHeight w:val="227"/>
                        </w:trPr>
                        <w:tc>
                          <w:tcPr>
                            <w:tcW w:w="7769" w:type="dxa"/>
                            <w:gridSpan w:val="8"/>
                            <w:tcBorders>
                              <w:top w:val="nil"/>
                              <w:left w:val="nil"/>
                              <w:bottom w:val="nil"/>
                              <w:right w:val="nil"/>
                            </w:tcBorders>
                            <w:vAlign w:val="center"/>
                          </w:tcPr>
                          <w:p w14:paraId="1B6D43E5" w14:textId="77777777" w:rsidR="00843A6D" w:rsidRPr="009E464C" w:rsidRDefault="00843A6D" w:rsidP="00843A6D">
                            <w:pPr>
                              <w:spacing w:line="260" w:lineRule="exact"/>
                              <w:jc w:val="center"/>
                              <w:rPr>
                                <w:rFonts w:ascii="標楷體" w:eastAsia="標楷體" w:hAnsi="標楷體" w:cs="新細明體"/>
                                <w:sz w:val="24"/>
                                <w:szCs w:val="24"/>
                              </w:rPr>
                            </w:pPr>
                            <w:r w:rsidRPr="009E464C">
                              <w:rPr>
                                <w:rFonts w:ascii="標楷體" w:eastAsia="標楷體" w:hAnsi="標楷體" w:cs="新細明體" w:hint="eastAsia"/>
                                <w:b/>
                                <w:sz w:val="24"/>
                                <w:szCs w:val="24"/>
                              </w:rPr>
                              <w:t>表</w:t>
                            </w:r>
                            <w:r w:rsidRPr="009E464C">
                              <w:rPr>
                                <w:rFonts w:ascii="標楷體" w:eastAsia="標楷體" w:hAnsi="標楷體" w:cs="新細明體"/>
                                <w:b/>
                                <w:sz w:val="24"/>
                                <w:szCs w:val="24"/>
                              </w:rPr>
                              <w:t>2</w:t>
                            </w:r>
                            <w:r w:rsidRPr="009E464C">
                              <w:rPr>
                                <w:rFonts w:ascii="標楷體" w:eastAsia="標楷體" w:hAnsi="標楷體" w:cs="新細明體" w:hint="eastAsia"/>
                                <w:b/>
                                <w:sz w:val="24"/>
                                <w:szCs w:val="24"/>
                              </w:rPr>
                              <w:t xml:space="preserve">  自來水設施整備計畫第1階段尚在施工中案件工程進度情形</w:t>
                            </w:r>
                          </w:p>
                        </w:tc>
                      </w:tr>
                      <w:tr w:rsidR="00843A6D" w14:paraId="3EFEB842" w14:textId="77777777" w:rsidTr="00824CD6">
                        <w:trPr>
                          <w:trHeight w:val="203"/>
                        </w:trPr>
                        <w:tc>
                          <w:tcPr>
                            <w:tcW w:w="7769" w:type="dxa"/>
                            <w:gridSpan w:val="8"/>
                            <w:tcBorders>
                              <w:top w:val="nil"/>
                              <w:left w:val="nil"/>
                              <w:right w:val="nil"/>
                            </w:tcBorders>
                            <w:vAlign w:val="center"/>
                          </w:tcPr>
                          <w:p w14:paraId="29A8778A" w14:textId="77777777" w:rsidR="00843A6D" w:rsidRPr="0028734C" w:rsidRDefault="00843A6D" w:rsidP="0061791B">
                            <w:pPr>
                              <w:spacing w:beforeLines="10" w:before="36" w:afterLines="10" w:after="36" w:line="240" w:lineRule="exact"/>
                              <w:ind w:rightChars="-46" w:right="-110"/>
                              <w:jc w:val="right"/>
                              <w:rPr>
                                <w:rFonts w:ascii="標楷體" w:eastAsia="標楷體" w:hAnsi="標楷體" w:cs="新細明體"/>
                                <w:spacing w:val="-4"/>
                              </w:rPr>
                            </w:pPr>
                            <w:r w:rsidRPr="004A7F8C">
                              <w:rPr>
                                <w:rFonts w:ascii="標楷體" w:eastAsia="標楷體" w:hAnsi="標楷體" w:cs="新細明體" w:hint="eastAsia"/>
                              </w:rPr>
                              <w:t>單位：</w:t>
                            </w:r>
                            <w:r>
                              <w:rPr>
                                <w:rFonts w:ascii="標楷體" w:eastAsia="標楷體" w:hAnsi="標楷體" w:cs="新細明體" w:hint="eastAsia"/>
                              </w:rPr>
                              <w:t>新臺幣千</w:t>
                            </w:r>
                            <w:r w:rsidRPr="004A7F8C">
                              <w:rPr>
                                <w:rFonts w:ascii="標楷體" w:eastAsia="標楷體" w:hAnsi="標楷體" w:cs="新細明體" w:hint="eastAsia"/>
                              </w:rPr>
                              <w:t>元、</w:t>
                            </w:r>
                            <w:r>
                              <w:rPr>
                                <w:rFonts w:ascii="標楷體" w:eastAsia="標楷體" w:hAnsi="標楷體" w:cs="新細明體" w:hint="eastAsia"/>
                              </w:rPr>
                              <w:t>年月日</w:t>
                            </w:r>
                            <w:r w:rsidRPr="004A7F8C">
                              <w:rPr>
                                <w:rFonts w:ascii="標楷體" w:eastAsia="標楷體" w:hAnsi="標楷體" w:cs="新細明體" w:hint="eastAsia"/>
                              </w:rPr>
                              <w:t>、％、百分點</w:t>
                            </w:r>
                          </w:p>
                        </w:tc>
                      </w:tr>
                      <w:tr w:rsidR="00843A6D" w14:paraId="12BF6AD5" w14:textId="77777777" w:rsidTr="00824CD6">
                        <w:trPr>
                          <w:trHeight w:val="306"/>
                        </w:trPr>
                        <w:tc>
                          <w:tcPr>
                            <w:tcW w:w="476" w:type="dxa"/>
                            <w:vMerge w:val="restart"/>
                            <w:vAlign w:val="center"/>
                          </w:tcPr>
                          <w:p w14:paraId="4CEF8E9F" w14:textId="77777777" w:rsidR="00843A6D" w:rsidRPr="0028734C" w:rsidRDefault="00843A6D" w:rsidP="004B0E9F">
                            <w:pPr>
                              <w:spacing w:line="240" w:lineRule="exact"/>
                              <w:jc w:val="center"/>
                              <w:rPr>
                                <w:rFonts w:ascii="標楷體" w:eastAsia="標楷體" w:hAnsi="標楷體" w:cs="新細明體"/>
                                <w:spacing w:val="-4"/>
                              </w:rPr>
                            </w:pPr>
                            <w:r w:rsidRPr="0028734C">
                              <w:rPr>
                                <w:rFonts w:ascii="標楷體" w:eastAsia="標楷體" w:hAnsi="標楷體" w:cs="新細明體" w:hint="eastAsia"/>
                                <w:spacing w:val="-4"/>
                              </w:rPr>
                              <w:t>序號</w:t>
                            </w:r>
                          </w:p>
                        </w:tc>
                        <w:tc>
                          <w:tcPr>
                            <w:tcW w:w="1792" w:type="dxa"/>
                            <w:vMerge w:val="restart"/>
                            <w:vAlign w:val="center"/>
                          </w:tcPr>
                          <w:p w14:paraId="1D3F5104"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工程名稱</w:t>
                            </w:r>
                          </w:p>
                        </w:tc>
                        <w:tc>
                          <w:tcPr>
                            <w:tcW w:w="896" w:type="dxa"/>
                            <w:vMerge w:val="restart"/>
                            <w:vAlign w:val="center"/>
                          </w:tcPr>
                          <w:p w14:paraId="2113C578" w14:textId="77777777" w:rsidR="00843A6D" w:rsidRDefault="00843A6D" w:rsidP="00824CD6">
                            <w:pPr>
                              <w:spacing w:line="240" w:lineRule="exact"/>
                              <w:ind w:leftChars="-15" w:left="-36"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契約</w:t>
                            </w:r>
                          </w:p>
                          <w:p w14:paraId="0E8B5D38" w14:textId="77777777" w:rsidR="00843A6D" w:rsidRPr="0028734C" w:rsidRDefault="00843A6D" w:rsidP="00824CD6">
                            <w:pPr>
                              <w:spacing w:line="240" w:lineRule="exact"/>
                              <w:ind w:leftChars="-15" w:left="-36"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金額</w:t>
                            </w:r>
                          </w:p>
                        </w:tc>
                        <w:tc>
                          <w:tcPr>
                            <w:tcW w:w="2226" w:type="dxa"/>
                            <w:gridSpan w:val="2"/>
                            <w:vAlign w:val="center"/>
                          </w:tcPr>
                          <w:p w14:paraId="1383F1E8"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施工期程</w:t>
                            </w:r>
                          </w:p>
                        </w:tc>
                        <w:tc>
                          <w:tcPr>
                            <w:tcW w:w="2379" w:type="dxa"/>
                            <w:gridSpan w:val="3"/>
                            <w:vAlign w:val="center"/>
                          </w:tcPr>
                          <w:p w14:paraId="47E40C79"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截至1</w:t>
                            </w:r>
                            <w:r w:rsidRPr="0028734C">
                              <w:rPr>
                                <w:rFonts w:ascii="標楷體" w:eastAsia="標楷體" w:hAnsi="標楷體" w:cs="新細明體"/>
                                <w:spacing w:val="-4"/>
                              </w:rPr>
                              <w:t>13</w:t>
                            </w:r>
                            <w:r w:rsidRPr="0028734C">
                              <w:rPr>
                                <w:rFonts w:ascii="標楷體" w:eastAsia="標楷體" w:hAnsi="標楷體" w:cs="新細明體" w:hint="eastAsia"/>
                                <w:spacing w:val="-4"/>
                              </w:rPr>
                              <w:t>年底</w:t>
                            </w:r>
                            <w:proofErr w:type="gramStart"/>
                            <w:r w:rsidRPr="0028734C">
                              <w:rPr>
                                <w:rFonts w:ascii="標楷體" w:eastAsia="標楷體" w:hAnsi="標楷體" w:cs="新細明體" w:hint="eastAsia"/>
                                <w:spacing w:val="-4"/>
                              </w:rPr>
                              <w:t>止</w:t>
                            </w:r>
                            <w:proofErr w:type="gramEnd"/>
                            <w:r w:rsidRPr="0028734C">
                              <w:rPr>
                                <w:rFonts w:ascii="標楷體" w:eastAsia="標楷體" w:hAnsi="標楷體" w:cs="新細明體" w:hint="eastAsia"/>
                                <w:spacing w:val="-4"/>
                              </w:rPr>
                              <w:t>工程進度</w:t>
                            </w:r>
                          </w:p>
                        </w:tc>
                      </w:tr>
                      <w:tr w:rsidR="00843A6D" w14:paraId="022D50D6" w14:textId="77777777" w:rsidTr="00824CD6">
                        <w:trPr>
                          <w:trHeight w:val="544"/>
                        </w:trPr>
                        <w:tc>
                          <w:tcPr>
                            <w:tcW w:w="476" w:type="dxa"/>
                            <w:vMerge/>
                            <w:vAlign w:val="center"/>
                          </w:tcPr>
                          <w:p w14:paraId="54721DEE" w14:textId="77777777" w:rsidR="00843A6D" w:rsidRPr="0028734C" w:rsidRDefault="00843A6D" w:rsidP="004B0E9F">
                            <w:pPr>
                              <w:spacing w:line="240" w:lineRule="exact"/>
                              <w:jc w:val="center"/>
                              <w:rPr>
                                <w:rFonts w:ascii="標楷體" w:eastAsia="標楷體" w:hAnsi="標楷體" w:cs="新細明體"/>
                                <w:spacing w:val="-4"/>
                              </w:rPr>
                            </w:pPr>
                          </w:p>
                        </w:tc>
                        <w:tc>
                          <w:tcPr>
                            <w:tcW w:w="1792" w:type="dxa"/>
                            <w:vMerge/>
                            <w:vAlign w:val="center"/>
                          </w:tcPr>
                          <w:p w14:paraId="38F32846" w14:textId="77777777" w:rsidR="00843A6D" w:rsidRPr="0028734C" w:rsidRDefault="00843A6D" w:rsidP="00824CD6">
                            <w:pPr>
                              <w:spacing w:line="240" w:lineRule="exact"/>
                              <w:ind w:rightChars="10" w:right="24"/>
                              <w:jc w:val="center"/>
                              <w:rPr>
                                <w:rFonts w:ascii="標楷體" w:eastAsia="標楷體" w:hAnsi="標楷體" w:cs="新細明體"/>
                                <w:spacing w:val="-4"/>
                              </w:rPr>
                            </w:pPr>
                          </w:p>
                        </w:tc>
                        <w:tc>
                          <w:tcPr>
                            <w:tcW w:w="896" w:type="dxa"/>
                            <w:vMerge/>
                            <w:vAlign w:val="center"/>
                          </w:tcPr>
                          <w:p w14:paraId="635CE616" w14:textId="77777777" w:rsidR="00843A6D" w:rsidRPr="0028734C" w:rsidRDefault="00843A6D" w:rsidP="00824CD6">
                            <w:pPr>
                              <w:spacing w:line="240" w:lineRule="exact"/>
                              <w:ind w:leftChars="-15" w:left="-36" w:rightChars="10" w:right="24"/>
                              <w:jc w:val="center"/>
                              <w:rPr>
                                <w:rFonts w:ascii="標楷體" w:eastAsia="標楷體" w:hAnsi="標楷體" w:cs="新細明體"/>
                                <w:spacing w:val="-4"/>
                              </w:rPr>
                            </w:pPr>
                          </w:p>
                        </w:tc>
                        <w:tc>
                          <w:tcPr>
                            <w:tcW w:w="1106" w:type="dxa"/>
                            <w:vAlign w:val="center"/>
                          </w:tcPr>
                          <w:p w14:paraId="7DF3BFF7" w14:textId="77777777" w:rsidR="00843A6D"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原始</w:t>
                            </w:r>
                          </w:p>
                          <w:p w14:paraId="0B186F1A"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規劃</w:t>
                            </w:r>
                          </w:p>
                        </w:tc>
                        <w:tc>
                          <w:tcPr>
                            <w:tcW w:w="1120" w:type="dxa"/>
                            <w:vAlign w:val="center"/>
                          </w:tcPr>
                          <w:p w14:paraId="436B0266" w14:textId="77777777" w:rsidR="00843A6D"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最新</w:t>
                            </w:r>
                          </w:p>
                          <w:p w14:paraId="7B47E79B"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版本</w:t>
                            </w:r>
                          </w:p>
                        </w:tc>
                        <w:tc>
                          <w:tcPr>
                            <w:tcW w:w="881" w:type="dxa"/>
                            <w:vAlign w:val="center"/>
                          </w:tcPr>
                          <w:p w14:paraId="108D1C5F" w14:textId="77777777" w:rsidR="00843A6D" w:rsidRPr="0028734C" w:rsidRDefault="00843A6D" w:rsidP="00824CD6">
                            <w:pPr>
                              <w:spacing w:line="240" w:lineRule="exact"/>
                              <w:ind w:leftChars="-50" w:left="-120" w:rightChars="-50" w:right="-120"/>
                              <w:jc w:val="center"/>
                              <w:rPr>
                                <w:rFonts w:ascii="標楷體" w:eastAsia="標楷體" w:hAnsi="標楷體" w:cs="新細明體"/>
                                <w:spacing w:val="-4"/>
                              </w:rPr>
                            </w:pPr>
                            <w:r w:rsidRPr="0028734C">
                              <w:rPr>
                                <w:rFonts w:ascii="標楷體" w:eastAsia="標楷體" w:hAnsi="標楷體" w:cs="新細明體" w:hint="eastAsia"/>
                                <w:spacing w:val="-4"/>
                              </w:rPr>
                              <w:t>原始規劃</w:t>
                            </w:r>
                          </w:p>
                          <w:p w14:paraId="1086341E" w14:textId="77777777" w:rsidR="00843A6D" w:rsidRPr="0028734C" w:rsidRDefault="00843A6D" w:rsidP="00824CD6">
                            <w:pPr>
                              <w:spacing w:line="240" w:lineRule="exact"/>
                              <w:ind w:leftChars="-50" w:left="-120" w:rightChars="-50" w:right="-120"/>
                              <w:jc w:val="center"/>
                              <w:rPr>
                                <w:rFonts w:ascii="標楷體" w:eastAsia="標楷體" w:hAnsi="標楷體" w:cs="新細明體"/>
                                <w:spacing w:val="-4"/>
                              </w:rPr>
                            </w:pPr>
                            <w:r w:rsidRPr="0028734C">
                              <w:rPr>
                                <w:rFonts w:ascii="標楷體" w:eastAsia="標楷體" w:hAnsi="標楷體" w:cs="新細明體" w:hint="eastAsia"/>
                                <w:spacing w:val="-4"/>
                              </w:rPr>
                              <w:t>預計進度</w:t>
                            </w:r>
                          </w:p>
                        </w:tc>
                        <w:tc>
                          <w:tcPr>
                            <w:tcW w:w="717" w:type="dxa"/>
                            <w:vAlign w:val="center"/>
                          </w:tcPr>
                          <w:p w14:paraId="078A20F1" w14:textId="77777777" w:rsidR="00843A6D" w:rsidRPr="0028734C" w:rsidRDefault="00843A6D" w:rsidP="00824CD6">
                            <w:pPr>
                              <w:spacing w:line="240" w:lineRule="exact"/>
                              <w:ind w:rightChars="10" w:right="24"/>
                              <w:jc w:val="center"/>
                              <w:rPr>
                                <w:rFonts w:ascii="標楷體" w:eastAsia="標楷體" w:hAnsi="標楷體" w:cs="新細明體"/>
                                <w:spacing w:val="-4"/>
                              </w:rPr>
                            </w:pPr>
                            <w:r w:rsidRPr="0028734C">
                              <w:rPr>
                                <w:rFonts w:ascii="標楷體" w:eastAsia="標楷體" w:hAnsi="標楷體" w:cs="新細明體" w:hint="eastAsia"/>
                                <w:spacing w:val="-4"/>
                              </w:rPr>
                              <w:t>實際進度</w:t>
                            </w:r>
                          </w:p>
                        </w:tc>
                        <w:tc>
                          <w:tcPr>
                            <w:tcW w:w="781" w:type="dxa"/>
                            <w:vAlign w:val="center"/>
                          </w:tcPr>
                          <w:p w14:paraId="591E8050" w14:textId="77777777" w:rsidR="00843A6D" w:rsidRPr="0028734C" w:rsidRDefault="00843A6D" w:rsidP="00824CD6">
                            <w:pPr>
                              <w:spacing w:line="240" w:lineRule="exact"/>
                              <w:ind w:leftChars="-41" w:left="-98" w:rightChars="10" w:right="24" w:firstLineChars="5" w:firstLine="10"/>
                              <w:jc w:val="center"/>
                              <w:rPr>
                                <w:rFonts w:ascii="標楷體" w:eastAsia="標楷體" w:hAnsi="標楷體" w:cs="新細明體"/>
                                <w:spacing w:val="-4"/>
                              </w:rPr>
                            </w:pPr>
                            <w:r w:rsidRPr="0028734C">
                              <w:rPr>
                                <w:rFonts w:ascii="標楷體" w:eastAsia="標楷體" w:hAnsi="標楷體" w:cs="新細明體" w:hint="eastAsia"/>
                                <w:spacing w:val="-4"/>
                              </w:rPr>
                              <w:t>差異</w:t>
                            </w:r>
                          </w:p>
                        </w:tc>
                      </w:tr>
                      <w:tr w:rsidR="00843A6D" w14:paraId="542B2E31" w14:textId="77777777" w:rsidTr="00824CD6">
                        <w:tc>
                          <w:tcPr>
                            <w:tcW w:w="476" w:type="dxa"/>
                          </w:tcPr>
                          <w:p w14:paraId="1F82D811"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hint="eastAsia"/>
                                <w:spacing w:val="-2"/>
                              </w:rPr>
                              <w:t>1</w:t>
                            </w:r>
                          </w:p>
                        </w:tc>
                        <w:tc>
                          <w:tcPr>
                            <w:tcW w:w="1792" w:type="dxa"/>
                          </w:tcPr>
                          <w:p w14:paraId="79A7D21A" w14:textId="77777777" w:rsidR="00843A6D" w:rsidRPr="00C42C9B" w:rsidRDefault="00843A6D" w:rsidP="00824CD6">
                            <w:pPr>
                              <w:spacing w:line="240" w:lineRule="exact"/>
                              <w:jc w:val="both"/>
                              <w:rPr>
                                <w:rFonts w:ascii="標楷體" w:eastAsia="標楷體" w:hAnsi="標楷體" w:cs="新細明體"/>
                                <w:spacing w:val="-2"/>
                              </w:rPr>
                            </w:pPr>
                            <w:r w:rsidRPr="00C42C9B">
                              <w:rPr>
                                <w:rFonts w:ascii="標楷體" w:eastAsia="標楷體" w:hAnsi="標楷體" w:cs="新細明體" w:hint="eastAsia"/>
                                <w:spacing w:val="-2"/>
                              </w:rPr>
                              <w:t>新公館淨水場加壓站外管線工程</w:t>
                            </w:r>
                          </w:p>
                        </w:tc>
                        <w:tc>
                          <w:tcPr>
                            <w:tcW w:w="896" w:type="dxa"/>
                          </w:tcPr>
                          <w:p w14:paraId="36341CB1"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64,570</w:t>
                            </w:r>
                          </w:p>
                        </w:tc>
                        <w:tc>
                          <w:tcPr>
                            <w:tcW w:w="1106" w:type="dxa"/>
                          </w:tcPr>
                          <w:p w14:paraId="083D85D9" w14:textId="77777777" w:rsidR="00843A6D" w:rsidRPr="00230905" w:rsidRDefault="00843A6D" w:rsidP="00824CD6">
                            <w:pPr>
                              <w:spacing w:line="240" w:lineRule="exact"/>
                              <w:ind w:leftChars="-10" w:left="-24"/>
                              <w:rPr>
                                <w:rFonts w:ascii="標楷體" w:eastAsia="標楷體" w:hAnsi="標楷體" w:cs="新細明體"/>
                                <w:spacing w:val="-18"/>
                              </w:rPr>
                            </w:pPr>
                            <w:r w:rsidRPr="00230905">
                              <w:rPr>
                                <w:rFonts w:ascii="標楷體" w:eastAsia="標楷體" w:hAnsi="標楷體" w:cs="新細明體" w:hint="eastAsia"/>
                                <w:spacing w:val="-18"/>
                              </w:rPr>
                              <w:t>1</w:t>
                            </w:r>
                            <w:r w:rsidRPr="00230905">
                              <w:rPr>
                                <w:rFonts w:ascii="標楷體" w:eastAsia="標楷體" w:hAnsi="標楷體" w:cs="新細明體"/>
                                <w:spacing w:val="-18"/>
                              </w:rPr>
                              <w:t>12.12.14</w:t>
                            </w:r>
                            <w:r w:rsidRPr="00230905">
                              <w:rPr>
                                <w:rFonts w:ascii="標楷體" w:eastAsia="標楷體" w:hAnsi="標楷體" w:cs="新細明體" w:hint="eastAsia"/>
                                <w:spacing w:val="-18"/>
                              </w:rPr>
                              <w:t>－</w:t>
                            </w:r>
                            <w:r w:rsidRPr="00230905">
                              <w:rPr>
                                <w:rFonts w:ascii="標楷體" w:eastAsia="標楷體" w:hAnsi="標楷體" w:cs="新細明體"/>
                                <w:b/>
                                <w:spacing w:val="-12"/>
                              </w:rPr>
                              <w:t>114.2.22</w:t>
                            </w:r>
                          </w:p>
                        </w:tc>
                        <w:tc>
                          <w:tcPr>
                            <w:tcW w:w="1120" w:type="dxa"/>
                          </w:tcPr>
                          <w:p w14:paraId="3B449D9D" w14:textId="77777777" w:rsidR="00843A6D" w:rsidRPr="00230905" w:rsidRDefault="00843A6D" w:rsidP="00824CD6">
                            <w:pPr>
                              <w:spacing w:line="240" w:lineRule="exact"/>
                              <w:ind w:leftChars="-10" w:left="-24"/>
                              <w:rPr>
                                <w:rFonts w:ascii="標楷體" w:eastAsia="標楷體" w:hAnsi="標楷體" w:cs="新細明體"/>
                                <w:spacing w:val="-18"/>
                              </w:rPr>
                            </w:pPr>
                            <w:r w:rsidRPr="00230905">
                              <w:rPr>
                                <w:rFonts w:ascii="標楷體" w:eastAsia="標楷體" w:hAnsi="標楷體" w:cs="新細明體" w:hint="eastAsia"/>
                                <w:spacing w:val="-18"/>
                              </w:rPr>
                              <w:t>1</w:t>
                            </w:r>
                            <w:r w:rsidRPr="00230905">
                              <w:rPr>
                                <w:rFonts w:ascii="標楷體" w:eastAsia="標楷體" w:hAnsi="標楷體" w:cs="新細明體"/>
                                <w:spacing w:val="-18"/>
                              </w:rPr>
                              <w:t>12.12.14</w:t>
                            </w:r>
                            <w:r w:rsidRPr="00230905">
                              <w:rPr>
                                <w:rFonts w:ascii="標楷體" w:eastAsia="標楷體" w:hAnsi="標楷體" w:cs="新細明體" w:hint="eastAsia"/>
                                <w:spacing w:val="-18"/>
                              </w:rPr>
                              <w:t>－</w:t>
                            </w:r>
                            <w:r w:rsidRPr="00230905">
                              <w:rPr>
                                <w:rFonts w:ascii="標楷體" w:eastAsia="標楷體" w:hAnsi="標楷體" w:cs="新細明體"/>
                                <w:b/>
                                <w:spacing w:val="-12"/>
                              </w:rPr>
                              <w:t>114.8.19</w:t>
                            </w:r>
                          </w:p>
                        </w:tc>
                        <w:tc>
                          <w:tcPr>
                            <w:tcW w:w="881" w:type="dxa"/>
                          </w:tcPr>
                          <w:p w14:paraId="525F6A53"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9</w:t>
                            </w:r>
                            <w:r w:rsidRPr="002507DC">
                              <w:rPr>
                                <w:rFonts w:ascii="標楷體" w:eastAsia="標楷體" w:hAnsi="標楷體" w:cs="新細明體"/>
                                <w:spacing w:val="-6"/>
                              </w:rPr>
                              <w:t>3.93</w:t>
                            </w:r>
                          </w:p>
                        </w:tc>
                        <w:tc>
                          <w:tcPr>
                            <w:tcW w:w="717" w:type="dxa"/>
                          </w:tcPr>
                          <w:p w14:paraId="317EC746"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6</w:t>
                            </w:r>
                            <w:r w:rsidRPr="002507DC">
                              <w:rPr>
                                <w:rFonts w:ascii="標楷體" w:eastAsia="標楷體" w:hAnsi="標楷體" w:cs="新細明體"/>
                                <w:spacing w:val="-6"/>
                              </w:rPr>
                              <w:t>8.32</w:t>
                            </w:r>
                          </w:p>
                        </w:tc>
                        <w:tc>
                          <w:tcPr>
                            <w:tcW w:w="781" w:type="dxa"/>
                          </w:tcPr>
                          <w:p w14:paraId="67AF8917" w14:textId="77777777" w:rsidR="00843A6D" w:rsidRPr="0028734C" w:rsidRDefault="00843A6D" w:rsidP="00824CD6">
                            <w:pPr>
                              <w:spacing w:line="240" w:lineRule="exact"/>
                              <w:ind w:leftChars="-30" w:left="-72" w:rightChars="-10" w:right="-24"/>
                              <w:jc w:val="right"/>
                              <w:rPr>
                                <w:rFonts w:ascii="標楷體" w:eastAsia="標楷體" w:hAnsi="標楷體" w:cs="新細明體"/>
                                <w:spacing w:val="-6"/>
                              </w:rPr>
                            </w:pPr>
                            <w:r w:rsidRPr="0028734C">
                              <w:rPr>
                                <w:rFonts w:ascii="標楷體" w:eastAsia="標楷體" w:hAnsi="標楷體" w:cs="新細明體"/>
                                <w:spacing w:val="-6"/>
                              </w:rPr>
                              <w:t xml:space="preserve">- </w:t>
                            </w:r>
                            <w:r w:rsidRPr="0028734C">
                              <w:rPr>
                                <w:rFonts w:ascii="標楷體" w:eastAsia="標楷體" w:hAnsi="標楷體" w:cs="新細明體" w:hint="eastAsia"/>
                                <w:spacing w:val="-6"/>
                              </w:rPr>
                              <w:t>2</w:t>
                            </w:r>
                            <w:r w:rsidRPr="0028734C">
                              <w:rPr>
                                <w:rFonts w:ascii="標楷體" w:eastAsia="標楷體" w:hAnsi="標楷體" w:cs="新細明體"/>
                                <w:spacing w:val="-6"/>
                              </w:rPr>
                              <w:t>5.61</w:t>
                            </w:r>
                          </w:p>
                        </w:tc>
                      </w:tr>
                      <w:tr w:rsidR="00843A6D" w14:paraId="53478613" w14:textId="77777777" w:rsidTr="00824CD6">
                        <w:tc>
                          <w:tcPr>
                            <w:tcW w:w="476" w:type="dxa"/>
                          </w:tcPr>
                          <w:p w14:paraId="1797EACA"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hint="eastAsia"/>
                                <w:spacing w:val="-2"/>
                              </w:rPr>
                              <w:t>2</w:t>
                            </w:r>
                          </w:p>
                        </w:tc>
                        <w:tc>
                          <w:tcPr>
                            <w:tcW w:w="1792" w:type="dxa"/>
                          </w:tcPr>
                          <w:p w14:paraId="3A170AD2" w14:textId="77777777" w:rsidR="00843A6D" w:rsidRPr="00C42C9B" w:rsidRDefault="00843A6D" w:rsidP="00824CD6">
                            <w:pPr>
                              <w:spacing w:line="240" w:lineRule="exact"/>
                              <w:jc w:val="both"/>
                              <w:rPr>
                                <w:rFonts w:ascii="標楷體" w:eastAsia="標楷體" w:hAnsi="標楷體" w:cs="新細明體"/>
                                <w:spacing w:val="-2"/>
                              </w:rPr>
                            </w:pPr>
                            <w:r w:rsidRPr="00C42C9B">
                              <w:rPr>
                                <w:rFonts w:ascii="標楷體" w:eastAsia="標楷體" w:hAnsi="標楷體" w:cs="新細明體" w:hint="eastAsia"/>
                                <w:spacing w:val="-2"/>
                              </w:rPr>
                              <w:t>公館淨水場既有排水系統改善工程</w:t>
                            </w:r>
                          </w:p>
                        </w:tc>
                        <w:tc>
                          <w:tcPr>
                            <w:tcW w:w="896" w:type="dxa"/>
                          </w:tcPr>
                          <w:p w14:paraId="2106E00D"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48,749</w:t>
                            </w:r>
                          </w:p>
                        </w:tc>
                        <w:tc>
                          <w:tcPr>
                            <w:tcW w:w="1106" w:type="dxa"/>
                          </w:tcPr>
                          <w:p w14:paraId="1FCE0A52"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12.8.28</w:t>
                            </w:r>
                            <w:r w:rsidRPr="00230905">
                              <w:rPr>
                                <w:rFonts w:ascii="標楷體" w:eastAsia="標楷體" w:hAnsi="標楷體" w:cs="新細明體" w:hint="eastAsia"/>
                                <w:spacing w:val="-12"/>
                              </w:rPr>
                              <w:t>－</w:t>
                            </w:r>
                            <w:r w:rsidRPr="00230905">
                              <w:rPr>
                                <w:rFonts w:ascii="標楷體" w:eastAsia="標楷體" w:hAnsi="標楷體" w:cs="新細明體"/>
                                <w:b/>
                                <w:spacing w:val="-12"/>
                              </w:rPr>
                              <w:t>114.3.28</w:t>
                            </w:r>
                          </w:p>
                        </w:tc>
                        <w:tc>
                          <w:tcPr>
                            <w:tcW w:w="1120" w:type="dxa"/>
                          </w:tcPr>
                          <w:p w14:paraId="3E6EBD16"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12.8.28</w:t>
                            </w:r>
                            <w:r w:rsidRPr="00230905">
                              <w:rPr>
                                <w:rFonts w:ascii="標楷體" w:eastAsia="標楷體" w:hAnsi="標楷體" w:cs="新細明體" w:hint="eastAsia"/>
                                <w:spacing w:val="-12"/>
                              </w:rPr>
                              <w:t>－</w:t>
                            </w:r>
                            <w:r w:rsidRPr="00230905">
                              <w:rPr>
                                <w:rFonts w:ascii="標楷體" w:eastAsia="標楷體" w:hAnsi="標楷體" w:cs="新細明體" w:hint="eastAsia"/>
                                <w:b/>
                                <w:spacing w:val="-12"/>
                              </w:rPr>
                              <w:t>1</w:t>
                            </w:r>
                            <w:r w:rsidRPr="00230905">
                              <w:rPr>
                                <w:rFonts w:ascii="標楷體" w:eastAsia="標楷體" w:hAnsi="標楷體" w:cs="新細明體"/>
                                <w:b/>
                                <w:spacing w:val="-12"/>
                              </w:rPr>
                              <w:t>14.5.2</w:t>
                            </w:r>
                          </w:p>
                        </w:tc>
                        <w:tc>
                          <w:tcPr>
                            <w:tcW w:w="881" w:type="dxa"/>
                          </w:tcPr>
                          <w:p w14:paraId="3958D1E7"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9</w:t>
                            </w:r>
                            <w:r w:rsidRPr="002507DC">
                              <w:rPr>
                                <w:rFonts w:ascii="標楷體" w:eastAsia="標楷體" w:hAnsi="標楷體" w:cs="新細明體"/>
                                <w:spacing w:val="-6"/>
                              </w:rPr>
                              <w:t>0.00</w:t>
                            </w:r>
                          </w:p>
                        </w:tc>
                        <w:tc>
                          <w:tcPr>
                            <w:tcW w:w="717" w:type="dxa"/>
                          </w:tcPr>
                          <w:p w14:paraId="1F796DC0"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9</w:t>
                            </w:r>
                            <w:r w:rsidRPr="002507DC">
                              <w:rPr>
                                <w:rFonts w:ascii="標楷體" w:eastAsia="標楷體" w:hAnsi="標楷體" w:cs="新細明體"/>
                                <w:spacing w:val="-6"/>
                              </w:rPr>
                              <w:t>0.50</w:t>
                            </w:r>
                          </w:p>
                        </w:tc>
                        <w:tc>
                          <w:tcPr>
                            <w:tcW w:w="781" w:type="dxa"/>
                          </w:tcPr>
                          <w:p w14:paraId="107428A2" w14:textId="77777777" w:rsidR="00843A6D" w:rsidRPr="0028734C" w:rsidRDefault="00843A6D" w:rsidP="00824CD6">
                            <w:pPr>
                              <w:spacing w:line="240" w:lineRule="exact"/>
                              <w:ind w:leftChars="-53" w:left="-127" w:rightChars="-10" w:right="-24"/>
                              <w:jc w:val="right"/>
                              <w:rPr>
                                <w:rFonts w:ascii="標楷體" w:eastAsia="標楷體" w:hAnsi="標楷體" w:cs="新細明體"/>
                                <w:spacing w:val="-6"/>
                              </w:rPr>
                            </w:pPr>
                            <w:r w:rsidRPr="0028734C">
                              <w:rPr>
                                <w:rFonts w:ascii="標楷體" w:eastAsia="標楷體" w:hAnsi="標楷體" w:cs="新細明體" w:hint="eastAsia"/>
                                <w:spacing w:val="-6"/>
                              </w:rPr>
                              <w:t>0</w:t>
                            </w:r>
                            <w:r w:rsidRPr="0028734C">
                              <w:rPr>
                                <w:rFonts w:ascii="標楷體" w:eastAsia="標楷體" w:hAnsi="標楷體" w:cs="新細明體"/>
                                <w:spacing w:val="-6"/>
                              </w:rPr>
                              <w:t>.50</w:t>
                            </w:r>
                          </w:p>
                        </w:tc>
                      </w:tr>
                      <w:tr w:rsidR="00843A6D" w14:paraId="5CE0C6F4" w14:textId="77777777" w:rsidTr="00824CD6">
                        <w:tc>
                          <w:tcPr>
                            <w:tcW w:w="476" w:type="dxa"/>
                          </w:tcPr>
                          <w:p w14:paraId="79EF5BB8"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hint="eastAsia"/>
                                <w:spacing w:val="-2"/>
                              </w:rPr>
                              <w:t>3</w:t>
                            </w:r>
                          </w:p>
                        </w:tc>
                        <w:tc>
                          <w:tcPr>
                            <w:tcW w:w="1792" w:type="dxa"/>
                          </w:tcPr>
                          <w:p w14:paraId="6E9E935C" w14:textId="77777777" w:rsidR="00843A6D" w:rsidRPr="00C42C9B" w:rsidRDefault="00843A6D" w:rsidP="00824CD6">
                            <w:pPr>
                              <w:spacing w:line="240" w:lineRule="exact"/>
                              <w:jc w:val="both"/>
                              <w:rPr>
                                <w:rFonts w:ascii="標楷體" w:eastAsia="標楷體" w:hAnsi="標楷體" w:cs="新細明體"/>
                                <w:spacing w:val="-2"/>
                              </w:rPr>
                            </w:pPr>
                            <w:r w:rsidRPr="00C42C9B">
                              <w:rPr>
                                <w:rFonts w:ascii="標楷體" w:eastAsia="標楷體" w:hAnsi="標楷體" w:cs="新細明體" w:hint="eastAsia"/>
                                <w:spacing w:val="-2"/>
                              </w:rPr>
                              <w:t>舊公館淨水場加壓站外觀整修工程</w:t>
                            </w:r>
                          </w:p>
                        </w:tc>
                        <w:tc>
                          <w:tcPr>
                            <w:tcW w:w="896" w:type="dxa"/>
                          </w:tcPr>
                          <w:p w14:paraId="54881174"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8</w:t>
                            </w:r>
                            <w:r w:rsidRPr="002507DC">
                              <w:rPr>
                                <w:rFonts w:ascii="標楷體" w:eastAsia="標楷體" w:hAnsi="標楷體" w:cs="新細明體"/>
                                <w:spacing w:val="-6"/>
                              </w:rPr>
                              <w:t>4,869</w:t>
                            </w:r>
                          </w:p>
                        </w:tc>
                        <w:tc>
                          <w:tcPr>
                            <w:tcW w:w="1106" w:type="dxa"/>
                          </w:tcPr>
                          <w:p w14:paraId="031271AD"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13.1.16</w:t>
                            </w:r>
                            <w:r w:rsidRPr="00230905">
                              <w:rPr>
                                <w:rFonts w:ascii="標楷體" w:eastAsia="標楷體" w:hAnsi="標楷體" w:cs="新細明體" w:hint="eastAsia"/>
                                <w:spacing w:val="-12"/>
                              </w:rPr>
                              <w:t>－</w:t>
                            </w:r>
                            <w:r w:rsidRPr="00230905">
                              <w:rPr>
                                <w:rFonts w:ascii="標楷體" w:eastAsia="標楷體" w:hAnsi="標楷體" w:cs="新細明體"/>
                                <w:b/>
                                <w:spacing w:val="-12"/>
                              </w:rPr>
                              <w:t>114.1.13</w:t>
                            </w:r>
                          </w:p>
                        </w:tc>
                        <w:tc>
                          <w:tcPr>
                            <w:tcW w:w="1120" w:type="dxa"/>
                          </w:tcPr>
                          <w:p w14:paraId="759FA7DA"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13.1.16</w:t>
                            </w:r>
                            <w:r w:rsidRPr="00230905">
                              <w:rPr>
                                <w:rFonts w:ascii="標楷體" w:eastAsia="標楷體" w:hAnsi="標楷體" w:cs="新細明體" w:hint="eastAsia"/>
                                <w:spacing w:val="-12"/>
                              </w:rPr>
                              <w:t>－</w:t>
                            </w:r>
                            <w:r w:rsidRPr="00230905">
                              <w:rPr>
                                <w:rFonts w:ascii="標楷體" w:eastAsia="標楷體" w:hAnsi="標楷體" w:cs="新細明體"/>
                                <w:b/>
                                <w:spacing w:val="-12"/>
                              </w:rPr>
                              <w:t>114.10.14</w:t>
                            </w:r>
                          </w:p>
                        </w:tc>
                        <w:tc>
                          <w:tcPr>
                            <w:tcW w:w="881" w:type="dxa"/>
                          </w:tcPr>
                          <w:p w14:paraId="08F74445"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9</w:t>
                            </w:r>
                            <w:r w:rsidRPr="002507DC">
                              <w:rPr>
                                <w:rFonts w:ascii="標楷體" w:eastAsia="標楷體" w:hAnsi="標楷體" w:cs="新細明體"/>
                                <w:spacing w:val="-6"/>
                              </w:rPr>
                              <w:t>7.36</w:t>
                            </w:r>
                          </w:p>
                        </w:tc>
                        <w:tc>
                          <w:tcPr>
                            <w:tcW w:w="717" w:type="dxa"/>
                          </w:tcPr>
                          <w:p w14:paraId="1102CF08"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5</w:t>
                            </w:r>
                            <w:r w:rsidRPr="002507DC">
                              <w:rPr>
                                <w:rFonts w:ascii="標楷體" w:eastAsia="標楷體" w:hAnsi="標楷體" w:cs="新細明體"/>
                                <w:spacing w:val="-6"/>
                              </w:rPr>
                              <w:t>3.83</w:t>
                            </w:r>
                          </w:p>
                        </w:tc>
                        <w:tc>
                          <w:tcPr>
                            <w:tcW w:w="781" w:type="dxa"/>
                          </w:tcPr>
                          <w:p w14:paraId="33CD0FB8" w14:textId="77777777" w:rsidR="00843A6D" w:rsidRPr="0028734C" w:rsidRDefault="00843A6D" w:rsidP="00824CD6">
                            <w:pPr>
                              <w:spacing w:line="240" w:lineRule="exact"/>
                              <w:ind w:leftChars="-53" w:left="-127" w:rightChars="-10" w:right="-24"/>
                              <w:jc w:val="right"/>
                              <w:rPr>
                                <w:rFonts w:ascii="標楷體" w:eastAsia="標楷體" w:hAnsi="標楷體" w:cs="新細明體"/>
                                <w:spacing w:val="-6"/>
                              </w:rPr>
                            </w:pPr>
                            <w:r w:rsidRPr="0028734C">
                              <w:rPr>
                                <w:rFonts w:ascii="標楷體" w:eastAsia="標楷體" w:hAnsi="標楷體" w:cs="新細明體"/>
                                <w:spacing w:val="-6"/>
                              </w:rPr>
                              <w:t xml:space="preserve">- </w:t>
                            </w:r>
                            <w:r w:rsidRPr="0028734C">
                              <w:rPr>
                                <w:rFonts w:ascii="標楷體" w:eastAsia="標楷體" w:hAnsi="標楷體" w:cs="新細明體" w:hint="eastAsia"/>
                                <w:spacing w:val="-6"/>
                              </w:rPr>
                              <w:t>4</w:t>
                            </w:r>
                            <w:r w:rsidRPr="0028734C">
                              <w:rPr>
                                <w:rFonts w:ascii="標楷體" w:eastAsia="標楷體" w:hAnsi="標楷體" w:cs="新細明體"/>
                                <w:spacing w:val="-6"/>
                              </w:rPr>
                              <w:t>3.53</w:t>
                            </w:r>
                          </w:p>
                        </w:tc>
                      </w:tr>
                      <w:tr w:rsidR="00843A6D" w14:paraId="3AF7660E" w14:textId="77777777" w:rsidTr="00824CD6">
                        <w:tc>
                          <w:tcPr>
                            <w:tcW w:w="476" w:type="dxa"/>
                          </w:tcPr>
                          <w:p w14:paraId="363D78ED"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hint="eastAsia"/>
                                <w:spacing w:val="-2"/>
                              </w:rPr>
                              <w:t>4</w:t>
                            </w:r>
                          </w:p>
                        </w:tc>
                        <w:tc>
                          <w:tcPr>
                            <w:tcW w:w="1792" w:type="dxa"/>
                          </w:tcPr>
                          <w:p w14:paraId="6F54E05B" w14:textId="77777777" w:rsidR="00843A6D" w:rsidRPr="00C42C9B" w:rsidRDefault="00843A6D" w:rsidP="00824CD6">
                            <w:pPr>
                              <w:spacing w:line="240" w:lineRule="exact"/>
                              <w:jc w:val="both"/>
                              <w:rPr>
                                <w:rFonts w:ascii="標楷體" w:eastAsia="標楷體" w:hAnsi="標楷體" w:cs="新細明體"/>
                                <w:spacing w:val="-2"/>
                              </w:rPr>
                            </w:pPr>
                            <w:r w:rsidRPr="00C42C9B">
                              <w:rPr>
                                <w:rFonts w:ascii="標楷體" w:eastAsia="標楷體" w:hAnsi="標楷體" w:cs="新細明體" w:hint="eastAsia"/>
                                <w:spacing w:val="-2"/>
                              </w:rPr>
                              <w:t>3.3kV</w:t>
                            </w:r>
                            <w:proofErr w:type="gramStart"/>
                            <w:r w:rsidRPr="00C42C9B">
                              <w:rPr>
                                <w:rFonts w:ascii="標楷體" w:eastAsia="標楷體" w:hAnsi="標楷體" w:cs="新細明體" w:hint="eastAsia"/>
                                <w:spacing w:val="-2"/>
                              </w:rPr>
                              <w:t>沉</w:t>
                            </w:r>
                            <w:proofErr w:type="gramEnd"/>
                            <w:r w:rsidRPr="00C42C9B">
                              <w:rPr>
                                <w:rFonts w:ascii="標楷體" w:eastAsia="標楷體" w:hAnsi="標楷體" w:cs="新細明體" w:hint="eastAsia"/>
                                <w:spacing w:val="-2"/>
                              </w:rPr>
                              <w:t>水式抽水機、開關盤及</w:t>
                            </w:r>
                            <w:proofErr w:type="gramStart"/>
                            <w:r w:rsidRPr="00C42C9B">
                              <w:rPr>
                                <w:rFonts w:ascii="標楷體" w:eastAsia="標楷體" w:hAnsi="標楷體" w:cs="新細明體" w:hint="eastAsia"/>
                                <w:spacing w:val="-2"/>
                              </w:rPr>
                              <w:t>控制閥等更新</w:t>
                            </w:r>
                            <w:proofErr w:type="gramEnd"/>
                            <w:r w:rsidRPr="00C42C9B">
                              <w:rPr>
                                <w:rFonts w:ascii="標楷體" w:eastAsia="標楷體" w:hAnsi="標楷體" w:cs="新細明體" w:hint="eastAsia"/>
                                <w:spacing w:val="-2"/>
                              </w:rPr>
                              <w:t>整合工程</w:t>
                            </w:r>
                          </w:p>
                        </w:tc>
                        <w:tc>
                          <w:tcPr>
                            <w:tcW w:w="896" w:type="dxa"/>
                          </w:tcPr>
                          <w:p w14:paraId="262FEF1B"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76,180</w:t>
                            </w:r>
                          </w:p>
                        </w:tc>
                        <w:tc>
                          <w:tcPr>
                            <w:tcW w:w="1106" w:type="dxa"/>
                          </w:tcPr>
                          <w:p w14:paraId="17F4B5F4"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13.1.15</w:t>
                            </w:r>
                            <w:r w:rsidRPr="00230905">
                              <w:rPr>
                                <w:rFonts w:ascii="標楷體" w:eastAsia="標楷體" w:hAnsi="標楷體" w:cs="新細明體" w:hint="eastAsia"/>
                                <w:spacing w:val="-12"/>
                              </w:rPr>
                              <w:t>－</w:t>
                            </w:r>
                            <w:r w:rsidRPr="00230905">
                              <w:rPr>
                                <w:rFonts w:ascii="標楷體" w:eastAsia="標楷體" w:hAnsi="標楷體" w:cs="新細明體"/>
                                <w:b/>
                                <w:spacing w:val="-12"/>
                              </w:rPr>
                              <w:t>114.7.5</w:t>
                            </w:r>
                          </w:p>
                        </w:tc>
                        <w:tc>
                          <w:tcPr>
                            <w:tcW w:w="1120" w:type="dxa"/>
                          </w:tcPr>
                          <w:p w14:paraId="21F50EA2"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13.1.15</w:t>
                            </w:r>
                            <w:r w:rsidRPr="00230905">
                              <w:rPr>
                                <w:rFonts w:ascii="標楷體" w:eastAsia="標楷體" w:hAnsi="標楷體" w:cs="新細明體" w:hint="eastAsia"/>
                                <w:spacing w:val="-12"/>
                              </w:rPr>
                              <w:t>－</w:t>
                            </w:r>
                            <w:r w:rsidRPr="00230905">
                              <w:rPr>
                                <w:rFonts w:ascii="標楷體" w:eastAsia="標楷體" w:hAnsi="標楷體" w:cs="新細明體"/>
                                <w:b/>
                                <w:spacing w:val="-12"/>
                              </w:rPr>
                              <w:t>114.7.12</w:t>
                            </w:r>
                          </w:p>
                        </w:tc>
                        <w:tc>
                          <w:tcPr>
                            <w:tcW w:w="881" w:type="dxa"/>
                          </w:tcPr>
                          <w:p w14:paraId="513F3125"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spacing w:val="-6"/>
                              </w:rPr>
                              <w:t>35.20</w:t>
                            </w:r>
                          </w:p>
                        </w:tc>
                        <w:tc>
                          <w:tcPr>
                            <w:tcW w:w="717" w:type="dxa"/>
                          </w:tcPr>
                          <w:p w14:paraId="004D3F8C"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spacing w:val="-6"/>
                              </w:rPr>
                              <w:t>11.33</w:t>
                            </w:r>
                          </w:p>
                        </w:tc>
                        <w:tc>
                          <w:tcPr>
                            <w:tcW w:w="781" w:type="dxa"/>
                          </w:tcPr>
                          <w:p w14:paraId="2E8B8EF0" w14:textId="77777777" w:rsidR="00843A6D" w:rsidRPr="0028734C" w:rsidRDefault="00843A6D" w:rsidP="00824CD6">
                            <w:pPr>
                              <w:spacing w:line="240" w:lineRule="exact"/>
                              <w:ind w:leftChars="-53" w:left="-127" w:rightChars="-10" w:right="-24"/>
                              <w:jc w:val="right"/>
                              <w:rPr>
                                <w:rFonts w:ascii="標楷體" w:eastAsia="標楷體" w:hAnsi="標楷體" w:cs="新細明體"/>
                                <w:spacing w:val="-6"/>
                              </w:rPr>
                            </w:pPr>
                            <w:r w:rsidRPr="0028734C">
                              <w:rPr>
                                <w:rFonts w:ascii="標楷體" w:eastAsia="標楷體" w:hAnsi="標楷體" w:cs="新細明體"/>
                                <w:spacing w:val="-6"/>
                              </w:rPr>
                              <w:t>- 23.87</w:t>
                            </w:r>
                          </w:p>
                        </w:tc>
                      </w:tr>
                      <w:tr w:rsidR="00843A6D" w14:paraId="1674124D" w14:textId="77777777" w:rsidTr="00824CD6">
                        <w:tc>
                          <w:tcPr>
                            <w:tcW w:w="476" w:type="dxa"/>
                          </w:tcPr>
                          <w:p w14:paraId="4012F948"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spacing w:val="-2"/>
                              </w:rPr>
                              <w:t>5</w:t>
                            </w:r>
                          </w:p>
                        </w:tc>
                        <w:tc>
                          <w:tcPr>
                            <w:tcW w:w="1792" w:type="dxa"/>
                          </w:tcPr>
                          <w:p w14:paraId="32F222F6" w14:textId="77777777" w:rsidR="00843A6D" w:rsidRPr="00C42C9B" w:rsidRDefault="00843A6D" w:rsidP="00824CD6">
                            <w:pPr>
                              <w:spacing w:line="240" w:lineRule="exact"/>
                              <w:jc w:val="both"/>
                              <w:rPr>
                                <w:rFonts w:ascii="標楷體" w:eastAsia="標楷體" w:hAnsi="標楷體" w:cs="新細明體"/>
                                <w:spacing w:val="-2"/>
                              </w:rPr>
                            </w:pPr>
                            <w:r w:rsidRPr="00C42C9B">
                              <w:rPr>
                                <w:rFonts w:ascii="標楷體" w:eastAsia="標楷體" w:hAnsi="標楷體" w:cs="新細明體" w:hint="eastAsia"/>
                                <w:spacing w:val="-2"/>
                              </w:rPr>
                              <w:t>木柵二期</w:t>
                            </w:r>
                            <w:proofErr w:type="gramStart"/>
                            <w:r w:rsidRPr="00C42C9B">
                              <w:rPr>
                                <w:rFonts w:ascii="標楷體" w:eastAsia="標楷體" w:hAnsi="標楷體" w:cs="新細明體" w:hint="eastAsia"/>
                                <w:spacing w:val="-2"/>
                              </w:rPr>
                              <w:t>加壓站配水池</w:t>
                            </w:r>
                            <w:proofErr w:type="gramEnd"/>
                            <w:r w:rsidRPr="00C42C9B">
                              <w:rPr>
                                <w:rFonts w:ascii="標楷體" w:eastAsia="標楷體" w:hAnsi="標楷體" w:cs="新細明體" w:hint="eastAsia"/>
                                <w:spacing w:val="-2"/>
                              </w:rPr>
                              <w:t>功能改善及補強工程</w:t>
                            </w:r>
                          </w:p>
                        </w:tc>
                        <w:tc>
                          <w:tcPr>
                            <w:tcW w:w="896" w:type="dxa"/>
                          </w:tcPr>
                          <w:p w14:paraId="0E340F1D"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4</w:t>
                            </w:r>
                            <w:r w:rsidRPr="002507DC">
                              <w:rPr>
                                <w:rFonts w:ascii="標楷體" w:eastAsia="標楷體" w:hAnsi="標楷體" w:cs="新細明體"/>
                                <w:spacing w:val="-6"/>
                              </w:rPr>
                              <w:t>2,652</w:t>
                            </w:r>
                          </w:p>
                        </w:tc>
                        <w:tc>
                          <w:tcPr>
                            <w:tcW w:w="1106" w:type="dxa"/>
                          </w:tcPr>
                          <w:p w14:paraId="7E34738B"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12.11.7</w:t>
                            </w:r>
                            <w:r w:rsidRPr="00230905">
                              <w:rPr>
                                <w:rFonts w:ascii="標楷體" w:eastAsia="標楷體" w:hAnsi="標楷體" w:cs="新細明體" w:hint="eastAsia"/>
                                <w:spacing w:val="-12"/>
                              </w:rPr>
                              <w:t>－</w:t>
                            </w:r>
                            <w:r w:rsidRPr="00230905">
                              <w:rPr>
                                <w:rFonts w:ascii="標楷體" w:eastAsia="標楷體" w:hAnsi="標楷體" w:cs="新細明體"/>
                                <w:spacing w:val="-12"/>
                              </w:rPr>
                              <w:t>113.12.12</w:t>
                            </w:r>
                          </w:p>
                        </w:tc>
                        <w:tc>
                          <w:tcPr>
                            <w:tcW w:w="1120" w:type="dxa"/>
                          </w:tcPr>
                          <w:p w14:paraId="3D419B8D"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12.11.7</w:t>
                            </w:r>
                            <w:r w:rsidRPr="00230905">
                              <w:rPr>
                                <w:rFonts w:ascii="標楷體" w:eastAsia="標楷體" w:hAnsi="標楷體" w:cs="新細明體" w:hint="eastAsia"/>
                                <w:spacing w:val="-12"/>
                              </w:rPr>
                              <w:t>－</w:t>
                            </w:r>
                            <w:r w:rsidRPr="00230905">
                              <w:rPr>
                                <w:rFonts w:ascii="標楷體" w:eastAsia="標楷體" w:hAnsi="標楷體" w:cs="新細明體"/>
                                <w:spacing w:val="-12"/>
                              </w:rPr>
                              <w:t>114.6.19</w:t>
                            </w:r>
                          </w:p>
                        </w:tc>
                        <w:tc>
                          <w:tcPr>
                            <w:tcW w:w="881" w:type="dxa"/>
                          </w:tcPr>
                          <w:p w14:paraId="18F93409"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00.00</w:t>
                            </w:r>
                          </w:p>
                        </w:tc>
                        <w:tc>
                          <w:tcPr>
                            <w:tcW w:w="717" w:type="dxa"/>
                          </w:tcPr>
                          <w:p w14:paraId="2B4DFF82"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6</w:t>
                            </w:r>
                            <w:r w:rsidRPr="002507DC">
                              <w:rPr>
                                <w:rFonts w:ascii="標楷體" w:eastAsia="標楷體" w:hAnsi="標楷體" w:cs="新細明體"/>
                                <w:spacing w:val="-6"/>
                              </w:rPr>
                              <w:t>1.41</w:t>
                            </w:r>
                          </w:p>
                        </w:tc>
                        <w:tc>
                          <w:tcPr>
                            <w:tcW w:w="781" w:type="dxa"/>
                          </w:tcPr>
                          <w:p w14:paraId="6A4FE794" w14:textId="77777777" w:rsidR="00843A6D" w:rsidRPr="0028734C" w:rsidRDefault="00843A6D" w:rsidP="00824CD6">
                            <w:pPr>
                              <w:spacing w:line="240" w:lineRule="exact"/>
                              <w:ind w:leftChars="-53" w:left="-127" w:rightChars="-10" w:right="-24"/>
                              <w:jc w:val="right"/>
                              <w:rPr>
                                <w:rFonts w:ascii="標楷體" w:eastAsia="標楷體" w:hAnsi="標楷體" w:cs="新細明體"/>
                                <w:spacing w:val="-6"/>
                              </w:rPr>
                            </w:pPr>
                            <w:r w:rsidRPr="0028734C">
                              <w:rPr>
                                <w:rFonts w:ascii="標楷體" w:eastAsia="標楷體" w:hAnsi="標楷體" w:cs="新細明體"/>
                                <w:spacing w:val="-6"/>
                              </w:rPr>
                              <w:t xml:space="preserve">- </w:t>
                            </w:r>
                            <w:r w:rsidRPr="0028734C">
                              <w:rPr>
                                <w:rFonts w:ascii="標楷體" w:eastAsia="標楷體" w:hAnsi="標楷體" w:cs="新細明體" w:hint="eastAsia"/>
                                <w:spacing w:val="-6"/>
                              </w:rPr>
                              <w:t>3</w:t>
                            </w:r>
                            <w:r w:rsidRPr="0028734C">
                              <w:rPr>
                                <w:rFonts w:ascii="標楷體" w:eastAsia="標楷體" w:hAnsi="標楷體" w:cs="新細明體"/>
                                <w:spacing w:val="-6"/>
                              </w:rPr>
                              <w:t>8.59</w:t>
                            </w:r>
                          </w:p>
                        </w:tc>
                      </w:tr>
                      <w:tr w:rsidR="00843A6D" w14:paraId="42662779" w14:textId="77777777" w:rsidTr="00824CD6">
                        <w:tc>
                          <w:tcPr>
                            <w:tcW w:w="476" w:type="dxa"/>
                          </w:tcPr>
                          <w:p w14:paraId="7DEEDF46" w14:textId="77777777" w:rsidR="00843A6D" w:rsidRPr="00C42C9B" w:rsidRDefault="00843A6D" w:rsidP="004B0E9F">
                            <w:pPr>
                              <w:spacing w:line="240" w:lineRule="exact"/>
                              <w:jc w:val="center"/>
                              <w:rPr>
                                <w:rFonts w:ascii="標楷體" w:eastAsia="標楷體" w:hAnsi="標楷體" w:cs="新細明體"/>
                                <w:spacing w:val="-2"/>
                              </w:rPr>
                            </w:pPr>
                            <w:r w:rsidRPr="00C42C9B">
                              <w:rPr>
                                <w:rFonts w:ascii="標楷體" w:eastAsia="標楷體" w:hAnsi="標楷體" w:cs="新細明體"/>
                                <w:spacing w:val="-2"/>
                              </w:rPr>
                              <w:t>6</w:t>
                            </w:r>
                          </w:p>
                        </w:tc>
                        <w:tc>
                          <w:tcPr>
                            <w:tcW w:w="1792" w:type="dxa"/>
                          </w:tcPr>
                          <w:p w14:paraId="4FF86F53" w14:textId="77777777" w:rsidR="00843A6D" w:rsidRPr="00C42C9B" w:rsidRDefault="00843A6D" w:rsidP="00824CD6">
                            <w:pPr>
                              <w:spacing w:line="240" w:lineRule="exact"/>
                              <w:ind w:rightChars="-21" w:right="-50"/>
                              <w:jc w:val="both"/>
                              <w:rPr>
                                <w:rFonts w:ascii="標楷體" w:eastAsia="標楷體" w:hAnsi="標楷體" w:cs="新細明體"/>
                                <w:spacing w:val="-2"/>
                              </w:rPr>
                            </w:pPr>
                            <w:r w:rsidRPr="00C42C9B">
                              <w:rPr>
                                <w:rFonts w:ascii="標楷體" w:eastAsia="標楷體" w:hAnsi="標楷體" w:cs="新細明體" w:hint="eastAsia"/>
                                <w:spacing w:val="-2"/>
                              </w:rPr>
                              <w:t>淨水</w:t>
                            </w:r>
                            <w:proofErr w:type="gramStart"/>
                            <w:r w:rsidRPr="00C42C9B">
                              <w:rPr>
                                <w:rFonts w:ascii="標楷體" w:eastAsia="標楷體" w:hAnsi="標楷體" w:cs="新細明體" w:hint="eastAsia"/>
                                <w:spacing w:val="-2"/>
                              </w:rPr>
                              <w:t>場堰壩無線</w:t>
                            </w:r>
                            <w:proofErr w:type="gramEnd"/>
                            <w:r w:rsidRPr="00C42C9B">
                              <w:rPr>
                                <w:rFonts w:ascii="標楷體" w:eastAsia="標楷體" w:hAnsi="標楷體" w:cs="新細明體" w:hint="eastAsia"/>
                                <w:spacing w:val="-2"/>
                              </w:rPr>
                              <w:t>放水廣播系統設備</w:t>
                            </w:r>
                          </w:p>
                        </w:tc>
                        <w:tc>
                          <w:tcPr>
                            <w:tcW w:w="896" w:type="dxa"/>
                          </w:tcPr>
                          <w:p w14:paraId="08D39667"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7,058</w:t>
                            </w:r>
                          </w:p>
                        </w:tc>
                        <w:tc>
                          <w:tcPr>
                            <w:tcW w:w="1106" w:type="dxa"/>
                          </w:tcPr>
                          <w:p w14:paraId="383D9954"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13.4.24</w:t>
                            </w:r>
                            <w:r w:rsidRPr="00230905">
                              <w:rPr>
                                <w:rFonts w:ascii="標楷體" w:eastAsia="標楷體" w:hAnsi="標楷體" w:cs="新細明體" w:hint="eastAsia"/>
                                <w:spacing w:val="-12"/>
                              </w:rPr>
                              <w:t>－</w:t>
                            </w:r>
                            <w:r w:rsidRPr="00230905">
                              <w:rPr>
                                <w:rFonts w:ascii="標楷體" w:eastAsia="標楷體" w:hAnsi="標楷體" w:cs="新細明體"/>
                                <w:spacing w:val="-12"/>
                              </w:rPr>
                              <w:t>113.10.24</w:t>
                            </w:r>
                          </w:p>
                        </w:tc>
                        <w:tc>
                          <w:tcPr>
                            <w:tcW w:w="1120" w:type="dxa"/>
                          </w:tcPr>
                          <w:p w14:paraId="2E2FEFED" w14:textId="77777777" w:rsidR="00843A6D" w:rsidRPr="00230905" w:rsidRDefault="00843A6D" w:rsidP="00824CD6">
                            <w:pPr>
                              <w:spacing w:afterLines="10" w:after="36" w:line="260" w:lineRule="exact"/>
                              <w:ind w:rightChars="4" w:right="10"/>
                              <w:rPr>
                                <w:rFonts w:ascii="標楷體" w:eastAsia="標楷體" w:hAnsi="標楷體" w:cs="新細明體"/>
                                <w:spacing w:val="-12"/>
                              </w:rPr>
                            </w:pPr>
                            <w:r w:rsidRPr="00230905">
                              <w:rPr>
                                <w:rFonts w:ascii="標楷體" w:eastAsia="標楷體" w:hAnsi="標楷體" w:cs="新細明體" w:hint="eastAsia"/>
                                <w:spacing w:val="-12"/>
                              </w:rPr>
                              <w:t>1</w:t>
                            </w:r>
                            <w:r w:rsidRPr="00230905">
                              <w:rPr>
                                <w:rFonts w:ascii="標楷體" w:eastAsia="標楷體" w:hAnsi="標楷體" w:cs="新細明體"/>
                                <w:spacing w:val="-12"/>
                              </w:rPr>
                              <w:t>13.4.24</w:t>
                            </w:r>
                            <w:r w:rsidRPr="00230905">
                              <w:rPr>
                                <w:rFonts w:ascii="標楷體" w:eastAsia="標楷體" w:hAnsi="標楷體" w:cs="新細明體" w:hint="eastAsia"/>
                                <w:spacing w:val="-12"/>
                              </w:rPr>
                              <w:t>－</w:t>
                            </w:r>
                            <w:r w:rsidRPr="00230905">
                              <w:rPr>
                                <w:rFonts w:ascii="標楷體" w:eastAsia="標楷體" w:hAnsi="標楷體" w:cs="新細明體"/>
                                <w:spacing w:val="-12"/>
                              </w:rPr>
                              <w:t>113.10.24</w:t>
                            </w:r>
                          </w:p>
                          <w:p w14:paraId="00142AB9" w14:textId="77777777" w:rsidR="00843A6D" w:rsidRPr="00230905" w:rsidRDefault="00843A6D" w:rsidP="00824CD6">
                            <w:pPr>
                              <w:spacing w:line="240" w:lineRule="exact"/>
                              <w:ind w:leftChars="-10" w:left="-24"/>
                              <w:rPr>
                                <w:rFonts w:ascii="標楷體" w:eastAsia="標楷體" w:hAnsi="標楷體" w:cs="新細明體"/>
                                <w:spacing w:val="-12"/>
                              </w:rPr>
                            </w:pPr>
                            <w:r w:rsidRPr="00230905">
                              <w:rPr>
                                <w:rFonts w:ascii="標楷體" w:eastAsia="標楷體" w:hAnsi="標楷體" w:cs="新細明體"/>
                                <w:spacing w:val="-12"/>
                              </w:rPr>
                              <w:t>(</w:t>
                            </w:r>
                            <w:r w:rsidRPr="00230905">
                              <w:rPr>
                                <w:rFonts w:ascii="標楷體" w:eastAsia="標楷體" w:hAnsi="標楷體" w:cs="新細明體" w:hint="eastAsia"/>
                                <w:spacing w:val="-12"/>
                              </w:rPr>
                              <w:t>未修正</w:t>
                            </w:r>
                            <w:r w:rsidRPr="00230905">
                              <w:rPr>
                                <w:rFonts w:ascii="標楷體" w:eastAsia="標楷體" w:hAnsi="標楷體" w:cs="新細明體"/>
                                <w:spacing w:val="-12"/>
                              </w:rPr>
                              <w:t>)</w:t>
                            </w:r>
                          </w:p>
                        </w:tc>
                        <w:tc>
                          <w:tcPr>
                            <w:tcW w:w="881" w:type="dxa"/>
                          </w:tcPr>
                          <w:p w14:paraId="20B7A398"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1</w:t>
                            </w:r>
                            <w:r w:rsidRPr="002507DC">
                              <w:rPr>
                                <w:rFonts w:ascii="標楷體" w:eastAsia="標楷體" w:hAnsi="標楷體" w:cs="新細明體"/>
                                <w:spacing w:val="-6"/>
                              </w:rPr>
                              <w:t>00.00</w:t>
                            </w:r>
                          </w:p>
                        </w:tc>
                        <w:tc>
                          <w:tcPr>
                            <w:tcW w:w="717" w:type="dxa"/>
                          </w:tcPr>
                          <w:p w14:paraId="400BD463" w14:textId="77777777" w:rsidR="00843A6D" w:rsidRPr="002507DC" w:rsidRDefault="00843A6D" w:rsidP="00824CD6">
                            <w:pPr>
                              <w:spacing w:line="240" w:lineRule="exact"/>
                              <w:ind w:leftChars="-30" w:left="-72" w:rightChars="-10" w:right="-24"/>
                              <w:jc w:val="right"/>
                              <w:rPr>
                                <w:rFonts w:ascii="標楷體" w:eastAsia="標楷體" w:hAnsi="標楷體" w:cs="新細明體"/>
                                <w:spacing w:val="-6"/>
                              </w:rPr>
                            </w:pPr>
                            <w:r w:rsidRPr="002507DC">
                              <w:rPr>
                                <w:rFonts w:ascii="標楷體" w:eastAsia="標楷體" w:hAnsi="標楷體" w:cs="新細明體" w:hint="eastAsia"/>
                                <w:spacing w:val="-6"/>
                              </w:rPr>
                              <w:t>6</w:t>
                            </w:r>
                            <w:r w:rsidRPr="002507DC">
                              <w:rPr>
                                <w:rFonts w:ascii="標楷體" w:eastAsia="標楷體" w:hAnsi="標楷體" w:cs="新細明體"/>
                                <w:spacing w:val="-6"/>
                              </w:rPr>
                              <w:t>9.39</w:t>
                            </w:r>
                          </w:p>
                        </w:tc>
                        <w:tc>
                          <w:tcPr>
                            <w:tcW w:w="781" w:type="dxa"/>
                          </w:tcPr>
                          <w:p w14:paraId="20DFBD19" w14:textId="77777777" w:rsidR="00843A6D" w:rsidRPr="0028734C" w:rsidRDefault="00843A6D" w:rsidP="00824CD6">
                            <w:pPr>
                              <w:spacing w:line="240" w:lineRule="exact"/>
                              <w:ind w:leftChars="-53" w:left="-127" w:rightChars="-10" w:right="-24"/>
                              <w:jc w:val="right"/>
                              <w:rPr>
                                <w:rFonts w:ascii="標楷體" w:eastAsia="標楷體" w:hAnsi="標楷體" w:cs="新細明體"/>
                                <w:spacing w:val="-6"/>
                              </w:rPr>
                            </w:pPr>
                            <w:r w:rsidRPr="0028734C">
                              <w:rPr>
                                <w:rFonts w:ascii="標楷體" w:eastAsia="標楷體" w:hAnsi="標楷體" w:cs="新細明體"/>
                                <w:spacing w:val="-6"/>
                              </w:rPr>
                              <w:t xml:space="preserve">- </w:t>
                            </w:r>
                            <w:r w:rsidRPr="0028734C">
                              <w:rPr>
                                <w:rFonts w:ascii="標楷體" w:eastAsia="標楷體" w:hAnsi="標楷體" w:cs="新細明體" w:hint="eastAsia"/>
                                <w:spacing w:val="-6"/>
                              </w:rPr>
                              <w:t>3</w:t>
                            </w:r>
                            <w:r w:rsidRPr="0028734C">
                              <w:rPr>
                                <w:rFonts w:ascii="標楷體" w:eastAsia="標楷體" w:hAnsi="標楷體" w:cs="新細明體"/>
                                <w:spacing w:val="-6"/>
                              </w:rPr>
                              <w:t>0.61</w:t>
                            </w:r>
                          </w:p>
                        </w:tc>
                      </w:tr>
                    </w:tbl>
                    <w:p w14:paraId="64051A0E" w14:textId="77777777" w:rsidR="00843A6D" w:rsidRPr="0028734C" w:rsidRDefault="00843A6D" w:rsidP="00843A6D">
                      <w:pPr>
                        <w:spacing w:line="240" w:lineRule="exact"/>
                        <w:ind w:left="540" w:rightChars="-65" w:right="-156" w:hangingChars="300" w:hanging="540"/>
                        <w:rPr>
                          <w:rFonts w:ascii="標楷體" w:eastAsia="標楷體" w:hAnsi="標楷體"/>
                          <w:sz w:val="18"/>
                          <w:szCs w:val="18"/>
                        </w:rPr>
                      </w:pPr>
                      <w:proofErr w:type="gramStart"/>
                      <w:r w:rsidRPr="0028734C">
                        <w:rPr>
                          <w:rFonts w:ascii="標楷體" w:eastAsia="標楷體" w:hAnsi="標楷體" w:hint="eastAsia"/>
                          <w:sz w:val="18"/>
                          <w:szCs w:val="18"/>
                        </w:rPr>
                        <w:t>註</w:t>
                      </w:r>
                      <w:proofErr w:type="gramEnd"/>
                      <w:r w:rsidRPr="0028734C">
                        <w:rPr>
                          <w:rFonts w:ascii="標楷體" w:eastAsia="標楷體" w:hAnsi="標楷體" w:hint="eastAsia"/>
                          <w:sz w:val="18"/>
                          <w:szCs w:val="18"/>
                        </w:rPr>
                        <w:t>：1</w:t>
                      </w:r>
                      <w:r w:rsidRPr="0028734C">
                        <w:rPr>
                          <w:rFonts w:ascii="標楷體" w:eastAsia="標楷體" w:hAnsi="標楷體"/>
                          <w:sz w:val="18"/>
                          <w:szCs w:val="18"/>
                        </w:rPr>
                        <w:t>.</w:t>
                      </w:r>
                      <w:r w:rsidRPr="00837BA6">
                        <w:rPr>
                          <w:rFonts w:ascii="標楷體" w:eastAsia="標楷體" w:hAnsi="標楷體" w:hint="eastAsia"/>
                          <w:spacing w:val="-6"/>
                          <w:sz w:val="18"/>
                          <w:szCs w:val="18"/>
                        </w:rPr>
                        <w:t>尚在施工中案件計1</w:t>
                      </w:r>
                      <w:r w:rsidRPr="00837BA6">
                        <w:rPr>
                          <w:rFonts w:ascii="標楷體" w:eastAsia="標楷體" w:hAnsi="標楷體"/>
                          <w:spacing w:val="-6"/>
                          <w:sz w:val="18"/>
                          <w:szCs w:val="18"/>
                        </w:rPr>
                        <w:t>3</w:t>
                      </w:r>
                      <w:r w:rsidRPr="00837BA6">
                        <w:rPr>
                          <w:rFonts w:ascii="標楷體" w:eastAsia="標楷體" w:hAnsi="標楷體" w:hint="eastAsia"/>
                          <w:spacing w:val="-6"/>
                          <w:sz w:val="18"/>
                          <w:szCs w:val="18"/>
                        </w:rPr>
                        <w:t>案</w:t>
                      </w:r>
                      <w:r w:rsidRPr="00837BA6">
                        <w:rPr>
                          <w:rFonts w:ascii="標楷體" w:eastAsia="標楷體" w:hAnsi="標楷體" w:cs="全字庫正宋體" w:hint="eastAsia"/>
                          <w:spacing w:val="-6"/>
                          <w:sz w:val="18"/>
                          <w:szCs w:val="18"/>
                        </w:rPr>
                        <w:t>，</w:t>
                      </w:r>
                      <w:r w:rsidRPr="00837BA6">
                        <w:rPr>
                          <w:rFonts w:ascii="標楷體" w:eastAsia="標楷體" w:hAnsi="標楷體" w:hint="eastAsia"/>
                          <w:spacing w:val="-6"/>
                          <w:sz w:val="18"/>
                          <w:szCs w:val="18"/>
                        </w:rPr>
                        <w:t>不包括開口契約、委託技術服務案及由工務局新建工程處代辦等7案。</w:t>
                      </w:r>
                    </w:p>
                    <w:p w14:paraId="32C587C5" w14:textId="77777777" w:rsidR="00843A6D" w:rsidRPr="0028734C" w:rsidRDefault="00843A6D" w:rsidP="00843A6D">
                      <w:pPr>
                        <w:spacing w:line="240" w:lineRule="exact"/>
                        <w:ind w:leftChars="150" w:left="688" w:hangingChars="182" w:hanging="328"/>
                        <w:rPr>
                          <w:rFonts w:ascii="標楷體" w:eastAsia="標楷體" w:hAnsi="標楷體"/>
                          <w:sz w:val="18"/>
                          <w:szCs w:val="18"/>
                        </w:rPr>
                      </w:pPr>
                      <w:r w:rsidRPr="0028734C">
                        <w:rPr>
                          <w:rFonts w:ascii="標楷體" w:eastAsia="標楷體" w:hAnsi="標楷體"/>
                          <w:sz w:val="18"/>
                          <w:szCs w:val="18"/>
                        </w:rPr>
                        <w:t>2.</w:t>
                      </w:r>
                      <w:r w:rsidRPr="0028734C">
                        <w:rPr>
                          <w:rFonts w:ascii="標楷體" w:eastAsia="標楷體" w:hAnsi="標楷體" w:hint="eastAsia"/>
                          <w:sz w:val="18"/>
                          <w:szCs w:val="18"/>
                        </w:rPr>
                        <w:t>資料來源：整理自</w:t>
                      </w:r>
                      <w:proofErr w:type="gramStart"/>
                      <w:r w:rsidRPr="0028734C">
                        <w:rPr>
                          <w:rFonts w:ascii="標楷體" w:eastAsia="標楷體" w:hAnsi="標楷體" w:hint="eastAsia"/>
                          <w:sz w:val="18"/>
                          <w:szCs w:val="18"/>
                        </w:rPr>
                        <w:t>臺</w:t>
                      </w:r>
                      <w:proofErr w:type="gramEnd"/>
                      <w:r w:rsidRPr="0028734C">
                        <w:rPr>
                          <w:rFonts w:ascii="標楷體" w:eastAsia="標楷體" w:hAnsi="標楷體" w:hint="eastAsia"/>
                          <w:sz w:val="18"/>
                          <w:szCs w:val="18"/>
                        </w:rPr>
                        <w:t>北自來水事業處提供資料。</w:t>
                      </w:r>
                    </w:p>
                  </w:txbxContent>
                </v:textbox>
                <w10:wrap type="square" anchorx="margin" anchory="page"/>
              </v:shape>
            </w:pict>
          </mc:Fallback>
        </mc:AlternateContent>
      </w:r>
      <w:r w:rsidRPr="00843A6D">
        <w:rPr>
          <w:rFonts w:ascii="標楷體" w:eastAsia="標楷體" w:hAnsi="標楷體" w:hint="eastAsia"/>
          <w:noProof/>
        </w:rPr>
        <w:t>以上相關工程推動進度未如預期，且受耽延因素均係屬先期規劃作業應掌控可能面臨之問題，卻未有效掌控及預為排除，衍生工程進度落後，經函請檢討改善。據復：業經檢討相關工程推動問題癥結並研議改善，且工程進度持續推展中，嗣後將參酌整備計畫第1階段執行經驗，於先期規劃作業階段縝密研判可能面臨問題，並於執行過程中，將可能風險因素納入工期需求，預為解決排除，以早日發揮設施整備預期效能。</w:t>
      </w:r>
    </w:p>
    <w:p w14:paraId="1091DFCF" w14:textId="4FE6F286" w:rsidR="005A14A4" w:rsidRDefault="005A14A4" w:rsidP="00365895">
      <w:pPr>
        <w:spacing w:beforeLines="28" w:before="100" w:line="420" w:lineRule="exact"/>
        <w:ind w:firstLineChars="100" w:firstLine="280"/>
        <w:jc w:val="both"/>
        <w:rPr>
          <w:rFonts w:ascii="標楷體" w:eastAsia="標楷體"/>
          <w:b/>
          <w:color w:val="000000" w:themeColor="text1"/>
          <w:sz w:val="28"/>
          <w:szCs w:val="28"/>
        </w:rPr>
      </w:pPr>
      <w:r w:rsidRPr="00FA6E57">
        <w:rPr>
          <w:rFonts w:ascii="標楷體" w:eastAsia="標楷體" w:hint="eastAsia"/>
          <w:b/>
          <w:color w:val="000000" w:themeColor="text1"/>
          <w:sz w:val="28"/>
          <w:szCs w:val="28"/>
        </w:rPr>
        <w:t>（</w:t>
      </w:r>
      <w:r>
        <w:rPr>
          <w:rFonts w:ascii="標楷體" w:eastAsia="標楷體" w:hint="eastAsia"/>
          <w:b/>
          <w:color w:val="000000" w:themeColor="text1"/>
          <w:sz w:val="28"/>
          <w:szCs w:val="28"/>
        </w:rPr>
        <w:t>三</w:t>
      </w:r>
      <w:r w:rsidRPr="00FA6E57">
        <w:rPr>
          <w:rFonts w:ascii="標楷體" w:eastAsia="標楷體" w:hint="eastAsia"/>
          <w:b/>
          <w:color w:val="000000" w:themeColor="text1"/>
          <w:sz w:val="28"/>
          <w:szCs w:val="28"/>
        </w:rPr>
        <w:t>）</w:t>
      </w:r>
      <w:r w:rsidRPr="00810158">
        <w:rPr>
          <w:rFonts w:ascii="標楷體" w:eastAsia="標楷體" w:hint="eastAsia"/>
          <w:b/>
          <w:color w:val="000000" w:themeColor="text1"/>
          <w:sz w:val="28"/>
          <w:szCs w:val="28"/>
        </w:rPr>
        <w:t>於營業章程明確規範用戶應依限繳付溫泉使用費及訂有逾期違約金，並透過資訊系統進行開</w:t>
      </w:r>
      <w:proofErr w:type="gramStart"/>
      <w:r w:rsidRPr="00810158">
        <w:rPr>
          <w:rFonts w:ascii="標楷體" w:eastAsia="標楷體" w:hint="eastAsia"/>
          <w:b/>
          <w:color w:val="000000" w:themeColor="text1"/>
          <w:sz w:val="28"/>
          <w:szCs w:val="28"/>
        </w:rPr>
        <w:t>單計罰與</w:t>
      </w:r>
      <w:proofErr w:type="gramEnd"/>
      <w:r w:rsidRPr="00810158">
        <w:rPr>
          <w:rFonts w:ascii="標楷體" w:eastAsia="標楷體" w:hint="eastAsia"/>
          <w:b/>
          <w:color w:val="000000" w:themeColor="text1"/>
          <w:sz w:val="28"/>
          <w:szCs w:val="28"/>
        </w:rPr>
        <w:t>催收管理，惟</w:t>
      </w:r>
      <w:proofErr w:type="gramStart"/>
      <w:r w:rsidRPr="00810158">
        <w:rPr>
          <w:rFonts w:ascii="標楷體" w:eastAsia="標楷體" w:hint="eastAsia"/>
          <w:b/>
          <w:color w:val="000000" w:themeColor="text1"/>
          <w:sz w:val="28"/>
          <w:szCs w:val="28"/>
        </w:rPr>
        <w:t>間有短計</w:t>
      </w:r>
      <w:proofErr w:type="gramEnd"/>
      <w:r w:rsidRPr="00810158">
        <w:rPr>
          <w:rFonts w:ascii="標楷體" w:eastAsia="標楷體" w:hint="eastAsia"/>
          <w:b/>
          <w:color w:val="000000" w:themeColor="text1"/>
          <w:sz w:val="28"/>
          <w:szCs w:val="28"/>
        </w:rPr>
        <w:t>或未向</w:t>
      </w:r>
      <w:proofErr w:type="gramStart"/>
      <w:r w:rsidRPr="00810158">
        <w:rPr>
          <w:rFonts w:ascii="標楷體" w:eastAsia="標楷體" w:hint="eastAsia"/>
          <w:b/>
          <w:color w:val="000000" w:themeColor="text1"/>
          <w:sz w:val="28"/>
          <w:szCs w:val="28"/>
        </w:rPr>
        <w:t>用戶計罰逾期</w:t>
      </w:r>
      <w:proofErr w:type="gramEnd"/>
      <w:r w:rsidRPr="00810158">
        <w:rPr>
          <w:rFonts w:ascii="標楷體" w:eastAsia="標楷體" w:hint="eastAsia"/>
          <w:b/>
          <w:color w:val="000000" w:themeColor="text1"/>
          <w:sz w:val="28"/>
          <w:szCs w:val="28"/>
        </w:rPr>
        <w:t>違約金等情，相關內部控制</w:t>
      </w:r>
      <w:proofErr w:type="gramStart"/>
      <w:r w:rsidRPr="00810158">
        <w:rPr>
          <w:rFonts w:ascii="標楷體" w:eastAsia="標楷體" w:hint="eastAsia"/>
          <w:b/>
          <w:color w:val="000000" w:themeColor="text1"/>
          <w:sz w:val="28"/>
          <w:szCs w:val="28"/>
        </w:rPr>
        <w:t>作業核欠嚴謹</w:t>
      </w:r>
      <w:proofErr w:type="gramEnd"/>
      <w:r w:rsidRPr="00810158">
        <w:rPr>
          <w:rFonts w:ascii="標楷體" w:eastAsia="標楷體" w:hint="eastAsia"/>
          <w:b/>
          <w:color w:val="000000" w:themeColor="text1"/>
          <w:sz w:val="28"/>
          <w:szCs w:val="28"/>
        </w:rPr>
        <w:t>，有待</w:t>
      </w:r>
      <w:proofErr w:type="gramStart"/>
      <w:r w:rsidRPr="00810158">
        <w:rPr>
          <w:rFonts w:ascii="標楷體" w:eastAsia="標楷體" w:hint="eastAsia"/>
          <w:b/>
          <w:color w:val="000000" w:themeColor="text1"/>
          <w:sz w:val="28"/>
          <w:szCs w:val="28"/>
        </w:rPr>
        <w:t>檢討妥處</w:t>
      </w:r>
      <w:proofErr w:type="gramEnd"/>
      <w:r w:rsidRPr="00810158">
        <w:rPr>
          <w:rFonts w:ascii="標楷體" w:eastAsia="標楷體" w:hint="eastAsia"/>
          <w:b/>
          <w:color w:val="000000" w:themeColor="text1"/>
          <w:sz w:val="28"/>
          <w:szCs w:val="28"/>
        </w:rPr>
        <w:t>。</w:t>
      </w:r>
    </w:p>
    <w:p w14:paraId="48CD98DA" w14:textId="77777777" w:rsidR="00365895" w:rsidRDefault="001B661F" w:rsidP="00843A6D">
      <w:pPr>
        <w:overflowPunct w:val="0"/>
        <w:snapToGrid w:val="0"/>
        <w:spacing w:line="420" w:lineRule="exact"/>
        <w:ind w:firstLineChars="200" w:firstLine="640"/>
        <w:jc w:val="both"/>
        <w:rPr>
          <w:rFonts w:ascii="標楷體" w:eastAsia="標楷體" w:hAnsi="標楷體"/>
          <w:spacing w:val="2"/>
        </w:rPr>
      </w:pPr>
      <w:r w:rsidRPr="0084650D">
        <w:rPr>
          <w:rFonts w:ascii="標楷體" w:eastAsia="標楷體" w:hAnsi="標楷體"/>
          <w:noProof/>
          <w:sz w:val="32"/>
          <w:szCs w:val="32"/>
        </w:rPr>
        <mc:AlternateContent>
          <mc:Choice Requires="wps">
            <w:drawing>
              <wp:anchor distT="45720" distB="45720" distL="114300" distR="114300" simplePos="0" relativeHeight="251682816" behindDoc="0" locked="0" layoutInCell="1" allowOverlap="1" wp14:anchorId="5F40D5AD" wp14:editId="6CA20FA4">
                <wp:simplePos x="0" y="0"/>
                <wp:positionH relativeFrom="margin">
                  <wp:posOffset>2770505</wp:posOffset>
                </wp:positionH>
                <wp:positionV relativeFrom="page">
                  <wp:posOffset>7677150</wp:posOffset>
                </wp:positionV>
                <wp:extent cx="3554095" cy="2095500"/>
                <wp:effectExtent l="0" t="0" r="27305" b="1905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4095" cy="2095500"/>
                        </a:xfrm>
                        <a:prstGeom prst="rect">
                          <a:avLst/>
                        </a:prstGeom>
                        <a:solidFill>
                          <a:srgbClr val="FFFFFF"/>
                        </a:solidFill>
                        <a:ln w="9525">
                          <a:solidFill>
                            <a:sysClr val="window" lastClr="FFFFFF"/>
                          </a:solidFill>
                          <a:miter lim="800000"/>
                          <a:headEnd/>
                          <a:tailEnd/>
                        </a:ln>
                      </wps:spPr>
                      <wps:txbx>
                        <w:txbxContent>
                          <w:p w14:paraId="6EABC864" w14:textId="77777777" w:rsidR="005A14A4" w:rsidRDefault="005A14A4" w:rsidP="00A778C8">
                            <w:pPr>
                              <w:ind w:leftChars="-50" w:left="163" w:hangingChars="118" w:hanging="283"/>
                              <w:jc w:val="center"/>
                              <w:rPr>
                                <w:rFonts w:ascii="標楷體" w:eastAsia="標楷體" w:hAnsi="標楷體"/>
                                <w:b/>
                              </w:rPr>
                            </w:pPr>
                            <w:r>
                              <w:rPr>
                                <w:rFonts w:ascii="標楷體" w:eastAsia="標楷體" w:hAnsi="標楷體" w:hint="eastAsia"/>
                                <w:b/>
                              </w:rPr>
                              <w:t>表</w:t>
                            </w:r>
                            <w:r>
                              <w:rPr>
                                <w:rFonts w:ascii="標楷體" w:eastAsia="標楷體" w:hAnsi="標楷體"/>
                                <w:b/>
                              </w:rPr>
                              <w:t xml:space="preserve">3  </w:t>
                            </w:r>
                            <w:r w:rsidRPr="00090E48">
                              <w:rPr>
                                <w:rFonts w:ascii="標楷體" w:eastAsia="標楷體" w:hAnsi="標楷體" w:hint="eastAsia"/>
                                <w:b/>
                                <w:spacing w:val="-8"/>
                              </w:rPr>
                              <w:t>未依規定向</w:t>
                            </w:r>
                            <w:proofErr w:type="gramStart"/>
                            <w:r w:rsidRPr="00090E48">
                              <w:rPr>
                                <w:rFonts w:ascii="標楷體" w:eastAsia="標楷體" w:hAnsi="標楷體" w:hint="eastAsia"/>
                                <w:b/>
                                <w:spacing w:val="-8"/>
                              </w:rPr>
                              <w:t>用戶計罰溫泉</w:t>
                            </w:r>
                            <w:proofErr w:type="gramEnd"/>
                            <w:r w:rsidRPr="00090E48">
                              <w:rPr>
                                <w:rFonts w:ascii="標楷體" w:eastAsia="標楷體" w:hAnsi="標楷體" w:hint="eastAsia"/>
                                <w:b/>
                                <w:spacing w:val="-8"/>
                              </w:rPr>
                              <w:t>使用費逾期違約金概況</w:t>
                            </w:r>
                          </w:p>
                          <w:p w14:paraId="4F33A428" w14:textId="77777777" w:rsidR="005A14A4" w:rsidRPr="000B3266" w:rsidRDefault="005A14A4" w:rsidP="0061791B">
                            <w:pPr>
                              <w:ind w:left="142" w:rightChars="23" w:right="55" w:hangingChars="71" w:hanging="142"/>
                              <w:jc w:val="right"/>
                            </w:pPr>
                            <w:r w:rsidRPr="00D8014A">
                              <w:rPr>
                                <w:rFonts w:ascii="標楷體" w:eastAsia="標楷體" w:hAnsi="標楷體" w:hint="eastAsia"/>
                                <w:sz w:val="20"/>
                              </w:rPr>
                              <w:t>單位</w:t>
                            </w:r>
                            <w:r>
                              <w:rPr>
                                <w:rFonts w:ascii="標楷體" w:eastAsia="標楷體" w:hAnsi="標楷體" w:hint="eastAsia"/>
                                <w:sz w:val="20"/>
                              </w:rPr>
                              <w:t>：</w:t>
                            </w:r>
                            <w:r w:rsidRPr="002529D6">
                              <w:rPr>
                                <w:rFonts w:ascii="標楷體" w:eastAsia="標楷體" w:hAnsi="標楷體" w:hint="eastAsia"/>
                                <w:sz w:val="20"/>
                              </w:rPr>
                              <w:t>新臺幣</w:t>
                            </w:r>
                            <w:r w:rsidRPr="00D8014A">
                              <w:rPr>
                                <w:rFonts w:ascii="標楷體" w:eastAsia="標楷體" w:hAnsi="標楷體" w:hint="eastAsia"/>
                                <w:sz w:val="20"/>
                              </w:rPr>
                              <w:t>元</w:t>
                            </w:r>
                          </w:p>
                          <w:tbl>
                            <w:tblPr>
                              <w:tblStyle w:val="a6"/>
                              <w:tblW w:w="5245" w:type="dxa"/>
                              <w:tblInd w:w="-5" w:type="dxa"/>
                              <w:tblLook w:val="04A0" w:firstRow="1" w:lastRow="0" w:firstColumn="1" w:lastColumn="0" w:noHBand="0" w:noVBand="1"/>
                            </w:tblPr>
                            <w:tblGrid>
                              <w:gridCol w:w="1418"/>
                              <w:gridCol w:w="709"/>
                              <w:gridCol w:w="992"/>
                              <w:gridCol w:w="992"/>
                              <w:gridCol w:w="1134"/>
                            </w:tblGrid>
                            <w:tr w:rsidR="005A14A4" w:rsidRPr="003B3530" w14:paraId="48976608" w14:textId="77777777" w:rsidTr="00824CD6">
                              <w:trPr>
                                <w:trHeight w:val="260"/>
                              </w:trPr>
                              <w:tc>
                                <w:tcPr>
                                  <w:tcW w:w="1418" w:type="dxa"/>
                                  <w:vAlign w:val="center"/>
                                </w:tcPr>
                                <w:p w14:paraId="0B2D67E1" w14:textId="77777777" w:rsidR="005A14A4" w:rsidRPr="00C17762" w:rsidRDefault="005A14A4" w:rsidP="00824CD6">
                                  <w:pPr>
                                    <w:spacing w:line="240" w:lineRule="exact"/>
                                    <w:ind w:leftChars="-11" w:left="-26"/>
                                    <w:jc w:val="center"/>
                                    <w:rPr>
                                      <w:rFonts w:ascii="標楷體" w:eastAsia="標楷體" w:hAnsi="標楷體"/>
                                      <w:b/>
                                    </w:rPr>
                                  </w:pPr>
                                  <w:r w:rsidRPr="00C17762">
                                    <w:rPr>
                                      <w:rFonts w:ascii="標楷體" w:eastAsia="標楷體" w:hAnsi="標楷體" w:hint="eastAsia"/>
                                    </w:rPr>
                                    <w:t xml:space="preserve">事 </w:t>
                                  </w:r>
                                  <w:r w:rsidRPr="00C17762">
                                    <w:rPr>
                                      <w:rFonts w:ascii="標楷體" w:eastAsia="標楷體" w:hAnsi="標楷體"/>
                                    </w:rPr>
                                    <w:t xml:space="preserve">      </w:t>
                                  </w:r>
                                  <w:r>
                                    <w:rPr>
                                      <w:rFonts w:ascii="標楷體" w:eastAsia="標楷體" w:hAnsi="標楷體"/>
                                    </w:rPr>
                                    <w:t xml:space="preserve"> </w:t>
                                  </w:r>
                                  <w:r w:rsidRPr="00C17762">
                                    <w:rPr>
                                      <w:rFonts w:ascii="標楷體" w:eastAsia="標楷體" w:hAnsi="標楷體" w:hint="eastAsia"/>
                                    </w:rPr>
                                    <w:t>項</w:t>
                                  </w:r>
                                </w:p>
                              </w:tc>
                              <w:tc>
                                <w:tcPr>
                                  <w:tcW w:w="709" w:type="dxa"/>
                                  <w:vAlign w:val="center"/>
                                </w:tcPr>
                                <w:p w14:paraId="67F6D1F1" w14:textId="77777777" w:rsidR="005A14A4" w:rsidRPr="00B066CE" w:rsidRDefault="005A14A4" w:rsidP="00824CD6">
                                  <w:pPr>
                                    <w:spacing w:line="240" w:lineRule="exact"/>
                                    <w:jc w:val="center"/>
                                    <w:rPr>
                                      <w:rFonts w:ascii="標楷體" w:eastAsia="標楷體" w:hAnsi="標楷體"/>
                                    </w:rPr>
                                  </w:pPr>
                                  <w:r w:rsidRPr="00B066CE">
                                    <w:rPr>
                                      <w:rFonts w:ascii="標楷體" w:eastAsia="標楷體" w:hAnsi="標楷體" w:hint="eastAsia"/>
                                    </w:rPr>
                                    <w:t>件數</w:t>
                                  </w:r>
                                </w:p>
                              </w:tc>
                              <w:tc>
                                <w:tcPr>
                                  <w:tcW w:w="992" w:type="dxa"/>
                                  <w:vAlign w:val="center"/>
                                </w:tcPr>
                                <w:p w14:paraId="02E0F507" w14:textId="77777777" w:rsidR="005A14A4" w:rsidRDefault="005A14A4" w:rsidP="00824CD6">
                                  <w:pPr>
                                    <w:spacing w:line="240" w:lineRule="exact"/>
                                    <w:jc w:val="center"/>
                                    <w:rPr>
                                      <w:rFonts w:ascii="標楷體" w:eastAsia="標楷體" w:hAnsi="標楷體"/>
                                      <w:spacing w:val="-8"/>
                                    </w:rPr>
                                  </w:pPr>
                                  <w:r w:rsidRPr="00A72DA1">
                                    <w:rPr>
                                      <w:rFonts w:ascii="標楷體" w:eastAsia="標楷體" w:hAnsi="標楷體" w:hint="eastAsia"/>
                                      <w:spacing w:val="-8"/>
                                    </w:rPr>
                                    <w:t>規定</w:t>
                                  </w:r>
                                  <w:r w:rsidRPr="00B066CE">
                                    <w:rPr>
                                      <w:rFonts w:ascii="標楷體" w:eastAsia="標楷體" w:hAnsi="標楷體" w:hint="eastAsia"/>
                                      <w:spacing w:val="-8"/>
                                    </w:rPr>
                                    <w:t>計</w:t>
                                  </w:r>
                                </w:p>
                                <w:p w14:paraId="0B24C54B" w14:textId="77777777" w:rsidR="005A14A4" w:rsidRPr="00B066CE" w:rsidRDefault="005A14A4" w:rsidP="00824CD6">
                                  <w:pPr>
                                    <w:spacing w:line="240" w:lineRule="exact"/>
                                    <w:jc w:val="center"/>
                                    <w:rPr>
                                      <w:rFonts w:ascii="標楷體" w:eastAsia="標楷體" w:hAnsi="標楷體"/>
                                      <w:spacing w:val="-8"/>
                                    </w:rPr>
                                  </w:pPr>
                                  <w:r w:rsidRPr="00B066CE">
                                    <w:rPr>
                                      <w:rFonts w:ascii="標楷體" w:eastAsia="標楷體" w:hAnsi="標楷體" w:hint="eastAsia"/>
                                      <w:spacing w:val="-8"/>
                                    </w:rPr>
                                    <w:t>罰金額</w:t>
                                  </w:r>
                                </w:p>
                              </w:tc>
                              <w:tc>
                                <w:tcPr>
                                  <w:tcW w:w="992" w:type="dxa"/>
                                  <w:vAlign w:val="center"/>
                                </w:tcPr>
                                <w:p w14:paraId="1CB1871F" w14:textId="77777777" w:rsidR="005A14A4" w:rsidRDefault="005A14A4" w:rsidP="00824CD6">
                                  <w:pPr>
                                    <w:spacing w:line="240" w:lineRule="exact"/>
                                    <w:jc w:val="center"/>
                                    <w:rPr>
                                      <w:rFonts w:ascii="標楷體" w:eastAsia="標楷體" w:hAnsi="標楷體"/>
                                      <w:spacing w:val="-8"/>
                                    </w:rPr>
                                  </w:pPr>
                                  <w:r w:rsidRPr="00A72DA1">
                                    <w:rPr>
                                      <w:rFonts w:ascii="標楷體" w:eastAsia="標楷體" w:hAnsi="標楷體" w:hint="eastAsia"/>
                                      <w:spacing w:val="-8"/>
                                    </w:rPr>
                                    <w:t>實際計</w:t>
                                  </w:r>
                                </w:p>
                                <w:p w14:paraId="6199758F" w14:textId="77777777" w:rsidR="005A14A4" w:rsidRPr="00B066CE" w:rsidRDefault="005A14A4" w:rsidP="00824CD6">
                                  <w:pPr>
                                    <w:spacing w:line="240" w:lineRule="exact"/>
                                    <w:jc w:val="center"/>
                                    <w:rPr>
                                      <w:rFonts w:ascii="標楷體" w:eastAsia="標楷體" w:hAnsi="標楷體"/>
                                      <w:spacing w:val="-8"/>
                                    </w:rPr>
                                  </w:pPr>
                                  <w:r w:rsidRPr="00A72DA1">
                                    <w:rPr>
                                      <w:rFonts w:ascii="標楷體" w:eastAsia="標楷體" w:hAnsi="標楷體" w:hint="eastAsia"/>
                                      <w:spacing w:val="-8"/>
                                    </w:rPr>
                                    <w:t>罰金額</w:t>
                                  </w:r>
                                </w:p>
                              </w:tc>
                              <w:tc>
                                <w:tcPr>
                                  <w:tcW w:w="1134" w:type="dxa"/>
                                  <w:vAlign w:val="center"/>
                                </w:tcPr>
                                <w:p w14:paraId="573FE094" w14:textId="77777777" w:rsidR="005A14A4" w:rsidRPr="00B066CE" w:rsidRDefault="005A14A4" w:rsidP="00824CD6">
                                  <w:pPr>
                                    <w:spacing w:line="240" w:lineRule="exact"/>
                                    <w:jc w:val="center"/>
                                    <w:rPr>
                                      <w:rFonts w:ascii="標楷體" w:eastAsia="標楷體" w:hAnsi="標楷體"/>
                                    </w:rPr>
                                  </w:pPr>
                                  <w:r w:rsidRPr="00B066CE">
                                    <w:rPr>
                                      <w:rFonts w:ascii="標楷體" w:eastAsia="標楷體" w:hAnsi="標楷體" w:hint="eastAsia"/>
                                    </w:rPr>
                                    <w:t>短收金額</w:t>
                                  </w:r>
                                </w:p>
                              </w:tc>
                            </w:tr>
                            <w:tr w:rsidR="005A14A4" w:rsidRPr="003B3530" w14:paraId="05A312E2" w14:textId="77777777" w:rsidTr="001171B7">
                              <w:trPr>
                                <w:trHeight w:val="483"/>
                              </w:trPr>
                              <w:tc>
                                <w:tcPr>
                                  <w:tcW w:w="1418" w:type="dxa"/>
                                  <w:shd w:val="clear" w:color="auto" w:fill="auto"/>
                                  <w:vAlign w:val="center"/>
                                </w:tcPr>
                                <w:p w14:paraId="733219B2" w14:textId="411BC02F" w:rsidR="005A14A4" w:rsidRPr="00B066CE" w:rsidRDefault="005A14A4" w:rsidP="001171B7">
                                  <w:pPr>
                                    <w:spacing w:line="240" w:lineRule="exact"/>
                                    <w:jc w:val="center"/>
                                    <w:rPr>
                                      <w:rFonts w:ascii="標楷體" w:eastAsia="標楷體" w:hAnsi="標楷體"/>
                                      <w:b/>
                                    </w:rPr>
                                  </w:pPr>
                                  <w:r w:rsidRPr="00B066CE">
                                    <w:rPr>
                                      <w:rFonts w:ascii="標楷體" w:eastAsia="標楷體" w:hAnsi="標楷體" w:hint="eastAsia"/>
                                      <w:b/>
                                    </w:rPr>
                                    <w:t>合</w:t>
                                  </w:r>
                                  <w:r w:rsidR="001171B7">
                                    <w:rPr>
                                      <w:rFonts w:ascii="標楷體" w:eastAsia="標楷體" w:hAnsi="標楷體" w:hint="eastAsia"/>
                                      <w:b/>
                                    </w:rPr>
                                    <w:t xml:space="preserve"> </w:t>
                                  </w:r>
                                  <w:r w:rsidR="001171B7">
                                    <w:rPr>
                                      <w:rFonts w:ascii="標楷體" w:eastAsia="標楷體" w:hAnsi="標楷體"/>
                                      <w:b/>
                                    </w:rPr>
                                    <w:t xml:space="preserve">       </w:t>
                                  </w:r>
                                  <w:r w:rsidRPr="00B066CE">
                                    <w:rPr>
                                      <w:rFonts w:ascii="標楷體" w:eastAsia="標楷體" w:hAnsi="標楷體" w:hint="eastAsia"/>
                                      <w:b/>
                                    </w:rPr>
                                    <w:t>計</w:t>
                                  </w:r>
                                </w:p>
                              </w:tc>
                              <w:tc>
                                <w:tcPr>
                                  <w:tcW w:w="709" w:type="dxa"/>
                                  <w:shd w:val="clear" w:color="auto" w:fill="auto"/>
                                  <w:vAlign w:val="center"/>
                                </w:tcPr>
                                <w:p w14:paraId="6410A4DE" w14:textId="77777777" w:rsidR="005A14A4" w:rsidRPr="00B066CE" w:rsidRDefault="005A14A4" w:rsidP="007173E3">
                                  <w:pPr>
                                    <w:spacing w:line="240" w:lineRule="exact"/>
                                    <w:jc w:val="right"/>
                                    <w:rPr>
                                      <w:rFonts w:ascii="標楷體" w:eastAsia="標楷體" w:hAnsi="標楷體"/>
                                      <w:b/>
                                    </w:rPr>
                                  </w:pPr>
                                  <w:r>
                                    <w:rPr>
                                      <w:rFonts w:ascii="標楷體" w:eastAsia="標楷體" w:hAnsi="標楷體" w:hint="eastAsia"/>
                                      <w:b/>
                                    </w:rPr>
                                    <w:t>1</w:t>
                                  </w:r>
                                  <w:r>
                                    <w:rPr>
                                      <w:rFonts w:ascii="標楷體" w:eastAsia="標楷體" w:hAnsi="標楷體"/>
                                      <w:b/>
                                    </w:rPr>
                                    <w:t>8</w:t>
                                  </w:r>
                                </w:p>
                              </w:tc>
                              <w:tc>
                                <w:tcPr>
                                  <w:tcW w:w="992" w:type="dxa"/>
                                  <w:shd w:val="clear" w:color="auto" w:fill="auto"/>
                                  <w:vAlign w:val="center"/>
                                </w:tcPr>
                                <w:p w14:paraId="6D91C55E" w14:textId="77777777" w:rsidR="005A14A4" w:rsidRPr="00B066CE" w:rsidRDefault="005A14A4" w:rsidP="007173E3">
                                  <w:pPr>
                                    <w:spacing w:line="240" w:lineRule="exact"/>
                                    <w:jc w:val="right"/>
                                    <w:rPr>
                                      <w:rFonts w:ascii="標楷體" w:eastAsia="標楷體" w:hAnsi="標楷體"/>
                                      <w:b/>
                                    </w:rPr>
                                  </w:pPr>
                                  <w:r>
                                    <w:rPr>
                                      <w:rFonts w:ascii="標楷體" w:eastAsia="標楷體" w:hAnsi="標楷體"/>
                                      <w:b/>
                                    </w:rPr>
                                    <w:t>18</w:t>
                                  </w:r>
                                  <w:r w:rsidRPr="00B066CE">
                                    <w:rPr>
                                      <w:rFonts w:ascii="標楷體" w:eastAsia="標楷體" w:hAnsi="標楷體"/>
                                      <w:b/>
                                    </w:rPr>
                                    <w:t>,</w:t>
                                  </w:r>
                                  <w:r>
                                    <w:rPr>
                                      <w:rFonts w:ascii="標楷體" w:eastAsia="標楷體" w:hAnsi="標楷體"/>
                                      <w:b/>
                                    </w:rPr>
                                    <w:t>252</w:t>
                                  </w:r>
                                </w:p>
                              </w:tc>
                              <w:tc>
                                <w:tcPr>
                                  <w:tcW w:w="992" w:type="dxa"/>
                                  <w:shd w:val="clear" w:color="auto" w:fill="auto"/>
                                  <w:vAlign w:val="center"/>
                                </w:tcPr>
                                <w:p w14:paraId="0C4D967F" w14:textId="77777777" w:rsidR="005A14A4" w:rsidRPr="00B066CE" w:rsidRDefault="005A14A4" w:rsidP="007173E3">
                                  <w:pPr>
                                    <w:spacing w:line="240" w:lineRule="exact"/>
                                    <w:jc w:val="right"/>
                                    <w:rPr>
                                      <w:rFonts w:ascii="標楷體" w:eastAsia="標楷體" w:hAnsi="標楷體"/>
                                      <w:b/>
                                    </w:rPr>
                                  </w:pPr>
                                  <w:r>
                                    <w:rPr>
                                      <w:rFonts w:ascii="標楷體" w:eastAsia="標楷體" w:hAnsi="標楷體"/>
                                      <w:b/>
                                    </w:rPr>
                                    <w:t>3</w:t>
                                  </w:r>
                                  <w:r w:rsidRPr="00B066CE">
                                    <w:rPr>
                                      <w:rFonts w:ascii="標楷體" w:eastAsia="標楷體" w:hAnsi="標楷體"/>
                                      <w:b/>
                                    </w:rPr>
                                    <w:t>,</w:t>
                                  </w:r>
                                  <w:r>
                                    <w:rPr>
                                      <w:rFonts w:ascii="標楷體" w:eastAsia="標楷體" w:hAnsi="標楷體"/>
                                      <w:b/>
                                    </w:rPr>
                                    <w:t>751</w:t>
                                  </w:r>
                                </w:p>
                              </w:tc>
                              <w:tc>
                                <w:tcPr>
                                  <w:tcW w:w="1134" w:type="dxa"/>
                                  <w:shd w:val="clear" w:color="auto" w:fill="auto"/>
                                  <w:vAlign w:val="center"/>
                                </w:tcPr>
                                <w:p w14:paraId="1793369E" w14:textId="77777777" w:rsidR="005A14A4" w:rsidRPr="00B066CE" w:rsidRDefault="005A14A4" w:rsidP="007173E3">
                                  <w:pPr>
                                    <w:spacing w:line="240" w:lineRule="exact"/>
                                    <w:jc w:val="right"/>
                                    <w:rPr>
                                      <w:rFonts w:ascii="標楷體" w:eastAsia="標楷體" w:hAnsi="標楷體"/>
                                      <w:b/>
                                    </w:rPr>
                                  </w:pPr>
                                  <w:r>
                                    <w:rPr>
                                      <w:rFonts w:ascii="標楷體" w:eastAsia="標楷體" w:hAnsi="標楷體"/>
                                      <w:b/>
                                    </w:rPr>
                                    <w:t>14</w:t>
                                  </w:r>
                                  <w:r w:rsidRPr="00B066CE">
                                    <w:rPr>
                                      <w:rFonts w:ascii="標楷體" w:eastAsia="標楷體" w:hAnsi="標楷體"/>
                                      <w:b/>
                                    </w:rPr>
                                    <w:t>,</w:t>
                                  </w:r>
                                  <w:r>
                                    <w:rPr>
                                      <w:rFonts w:ascii="標楷體" w:eastAsia="標楷體" w:hAnsi="標楷體"/>
                                      <w:b/>
                                    </w:rPr>
                                    <w:t>501</w:t>
                                  </w:r>
                                </w:p>
                              </w:tc>
                            </w:tr>
                            <w:tr w:rsidR="005A14A4" w:rsidRPr="003B3530" w14:paraId="364F9040" w14:textId="77777777" w:rsidTr="00824CD6">
                              <w:trPr>
                                <w:trHeight w:val="623"/>
                              </w:trPr>
                              <w:tc>
                                <w:tcPr>
                                  <w:tcW w:w="1418" w:type="dxa"/>
                                  <w:vAlign w:val="center"/>
                                </w:tcPr>
                                <w:p w14:paraId="5C182684" w14:textId="77777777" w:rsidR="005A14A4" w:rsidRDefault="005A14A4" w:rsidP="00824CD6">
                                  <w:pPr>
                                    <w:spacing w:line="240" w:lineRule="exact"/>
                                    <w:ind w:leftChars="-22" w:left="-53"/>
                                    <w:jc w:val="distribute"/>
                                    <w:rPr>
                                      <w:rFonts w:ascii="標楷體" w:eastAsia="標楷體" w:hAnsi="標楷體"/>
                                      <w:spacing w:val="-22"/>
                                    </w:rPr>
                                  </w:pPr>
                                  <w:r w:rsidRPr="00B066CE">
                                    <w:rPr>
                                      <w:rFonts w:ascii="標楷體" w:eastAsia="標楷體" w:hAnsi="標楷體" w:hint="eastAsia"/>
                                      <w:spacing w:val="-22"/>
                                    </w:rPr>
                                    <w:t>短收用戶逾期</w:t>
                                  </w:r>
                                  <w:proofErr w:type="gramStart"/>
                                  <w:r w:rsidRPr="00B066CE">
                                    <w:rPr>
                                      <w:rFonts w:ascii="標楷體" w:eastAsia="標楷體" w:hAnsi="標楷體" w:hint="eastAsia"/>
                                      <w:spacing w:val="-22"/>
                                    </w:rPr>
                                    <w:t>繳</w:t>
                                  </w:r>
                                  <w:proofErr w:type="gramEnd"/>
                                </w:p>
                                <w:p w14:paraId="258A7B8F" w14:textId="77777777" w:rsidR="005A14A4" w:rsidRPr="00B066CE" w:rsidRDefault="005A14A4" w:rsidP="00824CD6">
                                  <w:pPr>
                                    <w:spacing w:line="240" w:lineRule="exact"/>
                                    <w:ind w:leftChars="-22" w:left="-53"/>
                                    <w:jc w:val="distribute"/>
                                    <w:rPr>
                                      <w:rFonts w:ascii="標楷體" w:eastAsia="標楷體" w:hAnsi="標楷體"/>
                                      <w:spacing w:val="-22"/>
                                    </w:rPr>
                                  </w:pPr>
                                  <w:r w:rsidRPr="00B066CE">
                                    <w:rPr>
                                      <w:rFonts w:ascii="標楷體" w:eastAsia="標楷體" w:hAnsi="標楷體" w:hint="eastAsia"/>
                                      <w:spacing w:val="-22"/>
                                    </w:rPr>
                                    <w:t>納違約金</w:t>
                                  </w:r>
                                </w:p>
                              </w:tc>
                              <w:tc>
                                <w:tcPr>
                                  <w:tcW w:w="709" w:type="dxa"/>
                                </w:tcPr>
                                <w:p w14:paraId="4CB2DC1D" w14:textId="77777777" w:rsidR="005A14A4" w:rsidRPr="00B066CE" w:rsidRDefault="005A14A4" w:rsidP="007173E3">
                                  <w:pPr>
                                    <w:spacing w:beforeLines="50" w:before="180" w:line="240" w:lineRule="exact"/>
                                    <w:jc w:val="right"/>
                                    <w:rPr>
                                      <w:rFonts w:ascii="標楷體" w:eastAsia="標楷體" w:hAnsi="標楷體"/>
                                    </w:rPr>
                                  </w:pPr>
                                  <w:r w:rsidRPr="00B066CE">
                                    <w:rPr>
                                      <w:rFonts w:ascii="標楷體" w:eastAsia="標楷體" w:hAnsi="標楷體"/>
                                    </w:rPr>
                                    <w:t>16</w:t>
                                  </w:r>
                                </w:p>
                              </w:tc>
                              <w:tc>
                                <w:tcPr>
                                  <w:tcW w:w="992" w:type="dxa"/>
                                </w:tcPr>
                                <w:p w14:paraId="04B32319" w14:textId="77777777" w:rsidR="005A14A4" w:rsidRPr="00B066CE" w:rsidRDefault="005A14A4" w:rsidP="007173E3">
                                  <w:pPr>
                                    <w:spacing w:beforeLines="50" w:before="180" w:line="240" w:lineRule="exact"/>
                                    <w:jc w:val="right"/>
                                    <w:rPr>
                                      <w:rFonts w:ascii="標楷體" w:eastAsia="標楷體" w:hAnsi="標楷體"/>
                                    </w:rPr>
                                  </w:pPr>
                                  <w:r w:rsidRPr="00B066CE">
                                    <w:rPr>
                                      <w:rFonts w:ascii="標楷體" w:eastAsia="標楷體" w:hAnsi="標楷體" w:hint="eastAsia"/>
                                    </w:rPr>
                                    <w:t>1</w:t>
                                  </w:r>
                                  <w:r w:rsidRPr="00B066CE">
                                    <w:rPr>
                                      <w:rFonts w:ascii="標楷體" w:eastAsia="標楷體" w:hAnsi="標楷體"/>
                                    </w:rPr>
                                    <w:t>7,858</w:t>
                                  </w:r>
                                </w:p>
                              </w:tc>
                              <w:tc>
                                <w:tcPr>
                                  <w:tcW w:w="992" w:type="dxa"/>
                                </w:tcPr>
                                <w:p w14:paraId="67563266" w14:textId="77777777" w:rsidR="005A14A4" w:rsidRPr="00B066CE" w:rsidRDefault="005A14A4" w:rsidP="007173E3">
                                  <w:pPr>
                                    <w:spacing w:beforeLines="50" w:before="180" w:line="240" w:lineRule="exact"/>
                                    <w:jc w:val="right"/>
                                    <w:rPr>
                                      <w:rFonts w:ascii="標楷體" w:eastAsia="標楷體" w:hAnsi="標楷體"/>
                                    </w:rPr>
                                  </w:pPr>
                                  <w:r w:rsidRPr="00B066CE">
                                    <w:rPr>
                                      <w:rFonts w:ascii="標楷體" w:eastAsia="標楷體" w:hAnsi="標楷體"/>
                                    </w:rPr>
                                    <w:t>3,751</w:t>
                                  </w:r>
                                </w:p>
                              </w:tc>
                              <w:tc>
                                <w:tcPr>
                                  <w:tcW w:w="1134" w:type="dxa"/>
                                </w:tcPr>
                                <w:p w14:paraId="70D8555C" w14:textId="77777777" w:rsidR="005A14A4" w:rsidRPr="00B066CE" w:rsidRDefault="005A14A4" w:rsidP="007173E3">
                                  <w:pPr>
                                    <w:spacing w:beforeLines="50" w:before="180" w:line="240" w:lineRule="exact"/>
                                    <w:jc w:val="right"/>
                                    <w:rPr>
                                      <w:rFonts w:ascii="標楷體" w:eastAsia="標楷體" w:hAnsi="標楷體"/>
                                    </w:rPr>
                                  </w:pPr>
                                  <w:r w:rsidRPr="00B066CE">
                                    <w:rPr>
                                      <w:rFonts w:ascii="標楷體" w:eastAsia="標楷體" w:hAnsi="標楷體" w:hint="eastAsia"/>
                                    </w:rPr>
                                    <w:t>1</w:t>
                                  </w:r>
                                  <w:r w:rsidRPr="00B066CE">
                                    <w:rPr>
                                      <w:rFonts w:ascii="標楷體" w:eastAsia="標楷體" w:hAnsi="標楷體"/>
                                    </w:rPr>
                                    <w:t>4,107</w:t>
                                  </w:r>
                                </w:p>
                              </w:tc>
                            </w:tr>
                            <w:tr w:rsidR="005A14A4" w:rsidRPr="003B3530" w14:paraId="653ABE68" w14:textId="77777777" w:rsidTr="00824CD6">
                              <w:trPr>
                                <w:trHeight w:val="561"/>
                              </w:trPr>
                              <w:tc>
                                <w:tcPr>
                                  <w:tcW w:w="1418" w:type="dxa"/>
                                  <w:vAlign w:val="center"/>
                                </w:tcPr>
                                <w:p w14:paraId="255DBB65" w14:textId="77777777" w:rsidR="005A14A4" w:rsidRPr="00B066CE" w:rsidRDefault="005A14A4" w:rsidP="00824CD6">
                                  <w:pPr>
                                    <w:spacing w:line="240" w:lineRule="exact"/>
                                    <w:ind w:leftChars="-41" w:left="-98"/>
                                    <w:jc w:val="distribute"/>
                                    <w:rPr>
                                      <w:rFonts w:ascii="標楷體" w:eastAsia="標楷體" w:hAnsi="標楷體"/>
                                      <w:spacing w:val="-20"/>
                                    </w:rPr>
                                  </w:pPr>
                                  <w:r w:rsidRPr="00B066CE">
                                    <w:rPr>
                                      <w:rFonts w:ascii="標楷體" w:eastAsia="標楷體" w:hAnsi="標楷體" w:hint="eastAsia"/>
                                      <w:spacing w:val="-20"/>
                                    </w:rPr>
                                    <w:t>未依規定向</w:t>
                                  </w:r>
                                  <w:proofErr w:type="gramStart"/>
                                  <w:r w:rsidRPr="00B066CE">
                                    <w:rPr>
                                      <w:rFonts w:ascii="標楷體" w:eastAsia="標楷體" w:hAnsi="標楷體" w:hint="eastAsia"/>
                                      <w:spacing w:val="-20"/>
                                    </w:rPr>
                                    <w:t>用戶計罰違約金</w:t>
                                  </w:r>
                                  <w:proofErr w:type="gramEnd"/>
                                </w:p>
                              </w:tc>
                              <w:tc>
                                <w:tcPr>
                                  <w:tcW w:w="709" w:type="dxa"/>
                                </w:tcPr>
                                <w:p w14:paraId="17EAEADC" w14:textId="77777777" w:rsidR="005A14A4" w:rsidRPr="00B066CE" w:rsidRDefault="005A14A4" w:rsidP="007173E3">
                                  <w:pPr>
                                    <w:spacing w:beforeLines="50" w:before="180" w:line="240" w:lineRule="exact"/>
                                    <w:jc w:val="right"/>
                                    <w:rPr>
                                      <w:rFonts w:ascii="標楷體" w:eastAsia="標楷體" w:hAnsi="標楷體"/>
                                    </w:rPr>
                                  </w:pPr>
                                  <w:r>
                                    <w:rPr>
                                      <w:rFonts w:ascii="標楷體" w:eastAsia="標楷體" w:hAnsi="標楷體" w:hint="eastAsia"/>
                                    </w:rPr>
                                    <w:t>2</w:t>
                                  </w:r>
                                </w:p>
                              </w:tc>
                              <w:tc>
                                <w:tcPr>
                                  <w:tcW w:w="992" w:type="dxa"/>
                                </w:tcPr>
                                <w:p w14:paraId="2A40B33E" w14:textId="77777777" w:rsidR="005A14A4" w:rsidRPr="00B066CE" w:rsidRDefault="005A14A4" w:rsidP="007173E3">
                                  <w:pPr>
                                    <w:spacing w:beforeLines="50" w:before="180" w:line="240" w:lineRule="exact"/>
                                    <w:jc w:val="right"/>
                                    <w:rPr>
                                      <w:rFonts w:ascii="標楷體" w:eastAsia="標楷體" w:hAnsi="標楷體"/>
                                    </w:rPr>
                                  </w:pPr>
                                  <w:r>
                                    <w:rPr>
                                      <w:rFonts w:ascii="標楷體" w:eastAsia="標楷體" w:hAnsi="標楷體"/>
                                    </w:rPr>
                                    <w:t>394</w:t>
                                  </w:r>
                                </w:p>
                              </w:tc>
                              <w:tc>
                                <w:tcPr>
                                  <w:tcW w:w="992" w:type="dxa"/>
                                </w:tcPr>
                                <w:p w14:paraId="0F2929A4" w14:textId="2EC26DB3" w:rsidR="005A14A4" w:rsidRPr="00B066CE" w:rsidRDefault="007173E3" w:rsidP="007173E3">
                                  <w:pPr>
                                    <w:spacing w:beforeLines="50" w:before="180" w:line="240" w:lineRule="exact"/>
                                    <w:jc w:val="right"/>
                                    <w:rPr>
                                      <w:rFonts w:ascii="標楷體" w:eastAsia="標楷體" w:hAnsi="標楷體"/>
                                    </w:rPr>
                                  </w:pPr>
                                  <w:r>
                                    <w:rPr>
                                      <w:rFonts w:ascii="標楷體" w:eastAsia="標楷體" w:hAnsi="標楷體" w:hint="eastAsia"/>
                                    </w:rPr>
                                    <w:t>－</w:t>
                                  </w:r>
                                </w:p>
                              </w:tc>
                              <w:tc>
                                <w:tcPr>
                                  <w:tcW w:w="1134" w:type="dxa"/>
                                </w:tcPr>
                                <w:p w14:paraId="392F436F" w14:textId="77777777" w:rsidR="005A14A4" w:rsidRPr="00B066CE" w:rsidRDefault="005A14A4" w:rsidP="007173E3">
                                  <w:pPr>
                                    <w:spacing w:beforeLines="50" w:before="180" w:line="240" w:lineRule="exact"/>
                                    <w:jc w:val="right"/>
                                    <w:rPr>
                                      <w:rFonts w:ascii="標楷體" w:eastAsia="標楷體" w:hAnsi="標楷體"/>
                                    </w:rPr>
                                  </w:pPr>
                                  <w:r>
                                    <w:rPr>
                                      <w:rFonts w:ascii="標楷體" w:eastAsia="標楷體" w:hAnsi="標楷體"/>
                                    </w:rPr>
                                    <w:t>394</w:t>
                                  </w:r>
                                </w:p>
                              </w:tc>
                            </w:tr>
                          </w:tbl>
                          <w:p w14:paraId="19A787C1" w14:textId="77777777" w:rsidR="005A14A4" w:rsidRPr="00D31201" w:rsidRDefault="005A14A4" w:rsidP="005A14A4">
                            <w:pPr>
                              <w:spacing w:line="240" w:lineRule="exact"/>
                              <w:ind w:leftChars="1" w:left="528" w:hangingChars="292" w:hanging="526"/>
                              <w:jc w:val="both"/>
                              <w:rPr>
                                <w:rFonts w:ascii="標楷體" w:eastAsia="標楷體" w:hAnsi="標楷體"/>
                                <w:sz w:val="18"/>
                                <w:szCs w:val="20"/>
                              </w:rPr>
                            </w:pPr>
                            <w:r w:rsidRPr="00B066CE">
                              <w:rPr>
                                <w:rFonts w:ascii="標楷體" w:eastAsia="標楷體" w:hAnsi="標楷體" w:hint="eastAsia"/>
                                <w:sz w:val="18"/>
                                <w:szCs w:val="20"/>
                              </w:rPr>
                              <w:t>資料來源</w:t>
                            </w:r>
                            <w:r>
                              <w:rPr>
                                <w:rFonts w:ascii="標楷體" w:eastAsia="標楷體" w:hAnsi="標楷體" w:hint="eastAsia"/>
                                <w:sz w:val="18"/>
                                <w:szCs w:val="20"/>
                              </w:rPr>
                              <w:t>：</w:t>
                            </w:r>
                            <w:r w:rsidRPr="00B066CE">
                              <w:rPr>
                                <w:rFonts w:ascii="標楷體" w:eastAsia="標楷體" w:hAnsi="標楷體" w:hint="eastAsia"/>
                                <w:sz w:val="18"/>
                                <w:szCs w:val="20"/>
                              </w:rPr>
                              <w:t>整理自</w:t>
                            </w:r>
                            <w:proofErr w:type="gramStart"/>
                            <w:r w:rsidRPr="00D74CA9">
                              <w:rPr>
                                <w:rFonts w:ascii="標楷體" w:eastAsia="標楷體" w:hAnsi="標楷體" w:hint="eastAsia"/>
                                <w:sz w:val="18"/>
                                <w:szCs w:val="20"/>
                              </w:rPr>
                              <w:t>臺</w:t>
                            </w:r>
                            <w:proofErr w:type="gramEnd"/>
                            <w:r w:rsidRPr="00D74CA9">
                              <w:rPr>
                                <w:rFonts w:ascii="標楷體" w:eastAsia="標楷體" w:hAnsi="標楷體" w:hint="eastAsia"/>
                                <w:sz w:val="18"/>
                                <w:szCs w:val="20"/>
                              </w:rPr>
                              <w:t>北自來水事業處</w:t>
                            </w:r>
                            <w:r w:rsidRPr="00B066CE">
                              <w:rPr>
                                <w:rFonts w:ascii="標楷體" w:eastAsia="標楷體" w:hAnsi="標楷體" w:hint="eastAsia"/>
                                <w:sz w:val="18"/>
                                <w:szCs w:val="20"/>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40D5AD" id="_x0000_s1149" type="#_x0000_t202" style="position:absolute;left:0;text-align:left;margin-left:218.15pt;margin-top:604.5pt;width:279.85pt;height:165pt;z-index:251682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" strokecolor="window">
                <v:textbox>
                  <w:txbxContent>
                    <w:p w14:paraId="6EABC864" w14:textId="77777777" w:rsidR="005A14A4" w:rsidRDefault="005A14A4" w:rsidP="00A778C8">
                      <w:pPr>
                        <w:ind w:leftChars="-50" w:left="163" w:hangingChars="118" w:hanging="283"/>
                        <w:jc w:val="center"/>
                        <w:rPr>
                          <w:rFonts w:ascii="標楷體" w:eastAsia="標楷體" w:hAnsi="標楷體"/>
                          <w:b/>
                        </w:rPr>
                      </w:pPr>
                      <w:r>
                        <w:rPr>
                          <w:rFonts w:ascii="標楷體" w:eastAsia="標楷體" w:hAnsi="標楷體" w:hint="eastAsia"/>
                          <w:b/>
                        </w:rPr>
                        <w:t>表</w:t>
                      </w:r>
                      <w:r>
                        <w:rPr>
                          <w:rFonts w:ascii="標楷體" w:eastAsia="標楷體" w:hAnsi="標楷體"/>
                          <w:b/>
                        </w:rPr>
                        <w:t xml:space="preserve">3  </w:t>
                      </w:r>
                      <w:r w:rsidRPr="00090E48">
                        <w:rPr>
                          <w:rFonts w:ascii="標楷體" w:eastAsia="標楷體" w:hAnsi="標楷體" w:hint="eastAsia"/>
                          <w:b/>
                          <w:spacing w:val="-8"/>
                        </w:rPr>
                        <w:t>未依規定向</w:t>
                      </w:r>
                      <w:proofErr w:type="gramStart"/>
                      <w:r w:rsidRPr="00090E48">
                        <w:rPr>
                          <w:rFonts w:ascii="標楷體" w:eastAsia="標楷體" w:hAnsi="標楷體" w:hint="eastAsia"/>
                          <w:b/>
                          <w:spacing w:val="-8"/>
                        </w:rPr>
                        <w:t>用戶計罰溫泉</w:t>
                      </w:r>
                      <w:proofErr w:type="gramEnd"/>
                      <w:r w:rsidRPr="00090E48">
                        <w:rPr>
                          <w:rFonts w:ascii="標楷體" w:eastAsia="標楷體" w:hAnsi="標楷體" w:hint="eastAsia"/>
                          <w:b/>
                          <w:spacing w:val="-8"/>
                        </w:rPr>
                        <w:t>使用費逾期違約金概況</w:t>
                      </w:r>
                    </w:p>
                    <w:p w14:paraId="4F33A428" w14:textId="77777777" w:rsidR="005A14A4" w:rsidRPr="000B3266" w:rsidRDefault="005A14A4" w:rsidP="0061791B">
                      <w:pPr>
                        <w:ind w:left="142" w:rightChars="23" w:right="55" w:hangingChars="71" w:hanging="142"/>
                        <w:jc w:val="right"/>
                      </w:pPr>
                      <w:r w:rsidRPr="00D8014A">
                        <w:rPr>
                          <w:rFonts w:ascii="標楷體" w:eastAsia="標楷體" w:hAnsi="標楷體" w:hint="eastAsia"/>
                          <w:sz w:val="20"/>
                        </w:rPr>
                        <w:t>單位</w:t>
                      </w:r>
                      <w:r>
                        <w:rPr>
                          <w:rFonts w:ascii="標楷體" w:eastAsia="標楷體" w:hAnsi="標楷體" w:hint="eastAsia"/>
                          <w:sz w:val="20"/>
                        </w:rPr>
                        <w:t>：</w:t>
                      </w:r>
                      <w:r w:rsidRPr="002529D6">
                        <w:rPr>
                          <w:rFonts w:ascii="標楷體" w:eastAsia="標楷體" w:hAnsi="標楷體" w:hint="eastAsia"/>
                          <w:sz w:val="20"/>
                        </w:rPr>
                        <w:t>新臺幣</w:t>
                      </w:r>
                      <w:r w:rsidRPr="00D8014A">
                        <w:rPr>
                          <w:rFonts w:ascii="標楷體" w:eastAsia="標楷體" w:hAnsi="標楷體" w:hint="eastAsia"/>
                          <w:sz w:val="20"/>
                        </w:rPr>
                        <w:t>元</w:t>
                      </w:r>
                    </w:p>
                    <w:tbl>
                      <w:tblPr>
                        <w:tblStyle w:val="a6"/>
                        <w:tblW w:w="5245" w:type="dxa"/>
                        <w:tblInd w:w="-5" w:type="dxa"/>
                        <w:tblLook w:val="04A0" w:firstRow="1" w:lastRow="0" w:firstColumn="1" w:lastColumn="0" w:noHBand="0" w:noVBand="1"/>
                      </w:tblPr>
                      <w:tblGrid>
                        <w:gridCol w:w="1418"/>
                        <w:gridCol w:w="709"/>
                        <w:gridCol w:w="992"/>
                        <w:gridCol w:w="992"/>
                        <w:gridCol w:w="1134"/>
                      </w:tblGrid>
                      <w:tr w:rsidR="005A14A4" w:rsidRPr="003B3530" w14:paraId="48976608" w14:textId="77777777" w:rsidTr="00824CD6">
                        <w:trPr>
                          <w:trHeight w:val="260"/>
                        </w:trPr>
                        <w:tc>
                          <w:tcPr>
                            <w:tcW w:w="1418" w:type="dxa"/>
                            <w:vAlign w:val="center"/>
                          </w:tcPr>
                          <w:p w14:paraId="0B2D67E1" w14:textId="77777777" w:rsidR="005A14A4" w:rsidRPr="00C17762" w:rsidRDefault="005A14A4" w:rsidP="00824CD6">
                            <w:pPr>
                              <w:spacing w:line="240" w:lineRule="exact"/>
                              <w:ind w:leftChars="-11" w:left="-26"/>
                              <w:jc w:val="center"/>
                              <w:rPr>
                                <w:rFonts w:ascii="標楷體" w:eastAsia="標楷體" w:hAnsi="標楷體"/>
                                <w:b/>
                              </w:rPr>
                            </w:pPr>
                            <w:r w:rsidRPr="00C17762">
                              <w:rPr>
                                <w:rFonts w:ascii="標楷體" w:eastAsia="標楷體" w:hAnsi="標楷體" w:hint="eastAsia"/>
                              </w:rPr>
                              <w:t xml:space="preserve">事 </w:t>
                            </w:r>
                            <w:r w:rsidRPr="00C17762">
                              <w:rPr>
                                <w:rFonts w:ascii="標楷體" w:eastAsia="標楷體" w:hAnsi="標楷體"/>
                              </w:rPr>
                              <w:t xml:space="preserve">      </w:t>
                            </w:r>
                            <w:r>
                              <w:rPr>
                                <w:rFonts w:ascii="標楷體" w:eastAsia="標楷體" w:hAnsi="標楷體"/>
                              </w:rPr>
                              <w:t xml:space="preserve"> </w:t>
                            </w:r>
                            <w:r w:rsidRPr="00C17762">
                              <w:rPr>
                                <w:rFonts w:ascii="標楷體" w:eastAsia="標楷體" w:hAnsi="標楷體" w:hint="eastAsia"/>
                              </w:rPr>
                              <w:t>項</w:t>
                            </w:r>
                          </w:p>
                        </w:tc>
                        <w:tc>
                          <w:tcPr>
                            <w:tcW w:w="709" w:type="dxa"/>
                            <w:vAlign w:val="center"/>
                          </w:tcPr>
                          <w:p w14:paraId="67F6D1F1" w14:textId="77777777" w:rsidR="005A14A4" w:rsidRPr="00B066CE" w:rsidRDefault="005A14A4" w:rsidP="00824CD6">
                            <w:pPr>
                              <w:spacing w:line="240" w:lineRule="exact"/>
                              <w:jc w:val="center"/>
                              <w:rPr>
                                <w:rFonts w:ascii="標楷體" w:eastAsia="標楷體" w:hAnsi="標楷體"/>
                              </w:rPr>
                            </w:pPr>
                            <w:r w:rsidRPr="00B066CE">
                              <w:rPr>
                                <w:rFonts w:ascii="標楷體" w:eastAsia="標楷體" w:hAnsi="標楷體" w:hint="eastAsia"/>
                              </w:rPr>
                              <w:t>件數</w:t>
                            </w:r>
                          </w:p>
                        </w:tc>
                        <w:tc>
                          <w:tcPr>
                            <w:tcW w:w="992" w:type="dxa"/>
                            <w:vAlign w:val="center"/>
                          </w:tcPr>
                          <w:p w14:paraId="02E0F507" w14:textId="77777777" w:rsidR="005A14A4" w:rsidRDefault="005A14A4" w:rsidP="00824CD6">
                            <w:pPr>
                              <w:spacing w:line="240" w:lineRule="exact"/>
                              <w:jc w:val="center"/>
                              <w:rPr>
                                <w:rFonts w:ascii="標楷體" w:eastAsia="標楷體" w:hAnsi="標楷體"/>
                                <w:spacing w:val="-8"/>
                              </w:rPr>
                            </w:pPr>
                            <w:r w:rsidRPr="00A72DA1">
                              <w:rPr>
                                <w:rFonts w:ascii="標楷體" w:eastAsia="標楷體" w:hAnsi="標楷體" w:hint="eastAsia"/>
                                <w:spacing w:val="-8"/>
                              </w:rPr>
                              <w:t>規定</w:t>
                            </w:r>
                            <w:r w:rsidRPr="00B066CE">
                              <w:rPr>
                                <w:rFonts w:ascii="標楷體" w:eastAsia="標楷體" w:hAnsi="標楷體" w:hint="eastAsia"/>
                                <w:spacing w:val="-8"/>
                              </w:rPr>
                              <w:t>計</w:t>
                            </w:r>
                          </w:p>
                          <w:p w14:paraId="0B24C54B" w14:textId="77777777" w:rsidR="005A14A4" w:rsidRPr="00B066CE" w:rsidRDefault="005A14A4" w:rsidP="00824CD6">
                            <w:pPr>
                              <w:spacing w:line="240" w:lineRule="exact"/>
                              <w:jc w:val="center"/>
                              <w:rPr>
                                <w:rFonts w:ascii="標楷體" w:eastAsia="標楷體" w:hAnsi="標楷體"/>
                                <w:spacing w:val="-8"/>
                              </w:rPr>
                            </w:pPr>
                            <w:r w:rsidRPr="00B066CE">
                              <w:rPr>
                                <w:rFonts w:ascii="標楷體" w:eastAsia="標楷體" w:hAnsi="標楷體" w:hint="eastAsia"/>
                                <w:spacing w:val="-8"/>
                              </w:rPr>
                              <w:t>罰金額</w:t>
                            </w:r>
                          </w:p>
                        </w:tc>
                        <w:tc>
                          <w:tcPr>
                            <w:tcW w:w="992" w:type="dxa"/>
                            <w:vAlign w:val="center"/>
                          </w:tcPr>
                          <w:p w14:paraId="1CB1871F" w14:textId="77777777" w:rsidR="005A14A4" w:rsidRDefault="005A14A4" w:rsidP="00824CD6">
                            <w:pPr>
                              <w:spacing w:line="240" w:lineRule="exact"/>
                              <w:jc w:val="center"/>
                              <w:rPr>
                                <w:rFonts w:ascii="標楷體" w:eastAsia="標楷體" w:hAnsi="標楷體"/>
                                <w:spacing w:val="-8"/>
                              </w:rPr>
                            </w:pPr>
                            <w:r w:rsidRPr="00A72DA1">
                              <w:rPr>
                                <w:rFonts w:ascii="標楷體" w:eastAsia="標楷體" w:hAnsi="標楷體" w:hint="eastAsia"/>
                                <w:spacing w:val="-8"/>
                              </w:rPr>
                              <w:t>實際計</w:t>
                            </w:r>
                          </w:p>
                          <w:p w14:paraId="6199758F" w14:textId="77777777" w:rsidR="005A14A4" w:rsidRPr="00B066CE" w:rsidRDefault="005A14A4" w:rsidP="00824CD6">
                            <w:pPr>
                              <w:spacing w:line="240" w:lineRule="exact"/>
                              <w:jc w:val="center"/>
                              <w:rPr>
                                <w:rFonts w:ascii="標楷體" w:eastAsia="標楷體" w:hAnsi="標楷體"/>
                                <w:spacing w:val="-8"/>
                              </w:rPr>
                            </w:pPr>
                            <w:r w:rsidRPr="00A72DA1">
                              <w:rPr>
                                <w:rFonts w:ascii="標楷體" w:eastAsia="標楷體" w:hAnsi="標楷體" w:hint="eastAsia"/>
                                <w:spacing w:val="-8"/>
                              </w:rPr>
                              <w:t>罰金額</w:t>
                            </w:r>
                          </w:p>
                        </w:tc>
                        <w:tc>
                          <w:tcPr>
                            <w:tcW w:w="1134" w:type="dxa"/>
                            <w:vAlign w:val="center"/>
                          </w:tcPr>
                          <w:p w14:paraId="573FE094" w14:textId="77777777" w:rsidR="005A14A4" w:rsidRPr="00B066CE" w:rsidRDefault="005A14A4" w:rsidP="00824CD6">
                            <w:pPr>
                              <w:spacing w:line="240" w:lineRule="exact"/>
                              <w:jc w:val="center"/>
                              <w:rPr>
                                <w:rFonts w:ascii="標楷體" w:eastAsia="標楷體" w:hAnsi="標楷體"/>
                              </w:rPr>
                            </w:pPr>
                            <w:r w:rsidRPr="00B066CE">
                              <w:rPr>
                                <w:rFonts w:ascii="標楷體" w:eastAsia="標楷體" w:hAnsi="標楷體" w:hint="eastAsia"/>
                              </w:rPr>
                              <w:t>短收金額</w:t>
                            </w:r>
                          </w:p>
                        </w:tc>
                      </w:tr>
                      <w:tr w:rsidR="005A14A4" w:rsidRPr="003B3530" w14:paraId="05A312E2" w14:textId="77777777" w:rsidTr="001171B7">
                        <w:trPr>
                          <w:trHeight w:val="483"/>
                        </w:trPr>
                        <w:tc>
                          <w:tcPr>
                            <w:tcW w:w="1418" w:type="dxa"/>
                            <w:shd w:val="clear" w:color="auto" w:fill="auto"/>
                            <w:vAlign w:val="center"/>
                          </w:tcPr>
                          <w:p w14:paraId="733219B2" w14:textId="411BC02F" w:rsidR="005A14A4" w:rsidRPr="00B066CE" w:rsidRDefault="005A14A4" w:rsidP="001171B7">
                            <w:pPr>
                              <w:spacing w:line="240" w:lineRule="exact"/>
                              <w:jc w:val="center"/>
                              <w:rPr>
                                <w:rFonts w:ascii="標楷體" w:eastAsia="標楷體" w:hAnsi="標楷體"/>
                                <w:b/>
                              </w:rPr>
                            </w:pPr>
                            <w:r w:rsidRPr="00B066CE">
                              <w:rPr>
                                <w:rFonts w:ascii="標楷體" w:eastAsia="標楷體" w:hAnsi="標楷體" w:hint="eastAsia"/>
                                <w:b/>
                              </w:rPr>
                              <w:t>合</w:t>
                            </w:r>
                            <w:r w:rsidR="001171B7">
                              <w:rPr>
                                <w:rFonts w:ascii="標楷體" w:eastAsia="標楷體" w:hAnsi="標楷體" w:hint="eastAsia"/>
                                <w:b/>
                              </w:rPr>
                              <w:t xml:space="preserve"> </w:t>
                            </w:r>
                            <w:r w:rsidR="001171B7">
                              <w:rPr>
                                <w:rFonts w:ascii="標楷體" w:eastAsia="標楷體" w:hAnsi="標楷體"/>
                                <w:b/>
                              </w:rPr>
                              <w:t xml:space="preserve">       </w:t>
                            </w:r>
                            <w:r w:rsidRPr="00B066CE">
                              <w:rPr>
                                <w:rFonts w:ascii="標楷體" w:eastAsia="標楷體" w:hAnsi="標楷體" w:hint="eastAsia"/>
                                <w:b/>
                              </w:rPr>
                              <w:t>計</w:t>
                            </w:r>
                          </w:p>
                        </w:tc>
                        <w:tc>
                          <w:tcPr>
                            <w:tcW w:w="709" w:type="dxa"/>
                            <w:shd w:val="clear" w:color="auto" w:fill="auto"/>
                            <w:vAlign w:val="center"/>
                          </w:tcPr>
                          <w:p w14:paraId="6410A4DE" w14:textId="77777777" w:rsidR="005A14A4" w:rsidRPr="00B066CE" w:rsidRDefault="005A14A4" w:rsidP="007173E3">
                            <w:pPr>
                              <w:spacing w:line="240" w:lineRule="exact"/>
                              <w:jc w:val="right"/>
                              <w:rPr>
                                <w:rFonts w:ascii="標楷體" w:eastAsia="標楷體" w:hAnsi="標楷體"/>
                                <w:b/>
                              </w:rPr>
                            </w:pPr>
                            <w:r>
                              <w:rPr>
                                <w:rFonts w:ascii="標楷體" w:eastAsia="標楷體" w:hAnsi="標楷體" w:hint="eastAsia"/>
                                <w:b/>
                              </w:rPr>
                              <w:t>1</w:t>
                            </w:r>
                            <w:r>
                              <w:rPr>
                                <w:rFonts w:ascii="標楷體" w:eastAsia="標楷體" w:hAnsi="標楷體"/>
                                <w:b/>
                              </w:rPr>
                              <w:t>8</w:t>
                            </w:r>
                          </w:p>
                        </w:tc>
                        <w:tc>
                          <w:tcPr>
                            <w:tcW w:w="992" w:type="dxa"/>
                            <w:shd w:val="clear" w:color="auto" w:fill="auto"/>
                            <w:vAlign w:val="center"/>
                          </w:tcPr>
                          <w:p w14:paraId="6D91C55E" w14:textId="77777777" w:rsidR="005A14A4" w:rsidRPr="00B066CE" w:rsidRDefault="005A14A4" w:rsidP="007173E3">
                            <w:pPr>
                              <w:spacing w:line="240" w:lineRule="exact"/>
                              <w:jc w:val="right"/>
                              <w:rPr>
                                <w:rFonts w:ascii="標楷體" w:eastAsia="標楷體" w:hAnsi="標楷體"/>
                                <w:b/>
                              </w:rPr>
                            </w:pPr>
                            <w:r>
                              <w:rPr>
                                <w:rFonts w:ascii="標楷體" w:eastAsia="標楷體" w:hAnsi="標楷體"/>
                                <w:b/>
                              </w:rPr>
                              <w:t>18</w:t>
                            </w:r>
                            <w:r w:rsidRPr="00B066CE">
                              <w:rPr>
                                <w:rFonts w:ascii="標楷體" w:eastAsia="標楷體" w:hAnsi="標楷體"/>
                                <w:b/>
                              </w:rPr>
                              <w:t>,</w:t>
                            </w:r>
                            <w:r>
                              <w:rPr>
                                <w:rFonts w:ascii="標楷體" w:eastAsia="標楷體" w:hAnsi="標楷體"/>
                                <w:b/>
                              </w:rPr>
                              <w:t>252</w:t>
                            </w:r>
                          </w:p>
                        </w:tc>
                        <w:tc>
                          <w:tcPr>
                            <w:tcW w:w="992" w:type="dxa"/>
                            <w:shd w:val="clear" w:color="auto" w:fill="auto"/>
                            <w:vAlign w:val="center"/>
                          </w:tcPr>
                          <w:p w14:paraId="0C4D967F" w14:textId="77777777" w:rsidR="005A14A4" w:rsidRPr="00B066CE" w:rsidRDefault="005A14A4" w:rsidP="007173E3">
                            <w:pPr>
                              <w:spacing w:line="240" w:lineRule="exact"/>
                              <w:jc w:val="right"/>
                              <w:rPr>
                                <w:rFonts w:ascii="標楷體" w:eastAsia="標楷體" w:hAnsi="標楷體"/>
                                <w:b/>
                              </w:rPr>
                            </w:pPr>
                            <w:r>
                              <w:rPr>
                                <w:rFonts w:ascii="標楷體" w:eastAsia="標楷體" w:hAnsi="標楷體"/>
                                <w:b/>
                              </w:rPr>
                              <w:t>3</w:t>
                            </w:r>
                            <w:r w:rsidRPr="00B066CE">
                              <w:rPr>
                                <w:rFonts w:ascii="標楷體" w:eastAsia="標楷體" w:hAnsi="標楷體"/>
                                <w:b/>
                              </w:rPr>
                              <w:t>,</w:t>
                            </w:r>
                            <w:r>
                              <w:rPr>
                                <w:rFonts w:ascii="標楷體" w:eastAsia="標楷體" w:hAnsi="標楷體"/>
                                <w:b/>
                              </w:rPr>
                              <w:t>751</w:t>
                            </w:r>
                          </w:p>
                        </w:tc>
                        <w:tc>
                          <w:tcPr>
                            <w:tcW w:w="1134" w:type="dxa"/>
                            <w:shd w:val="clear" w:color="auto" w:fill="auto"/>
                            <w:vAlign w:val="center"/>
                          </w:tcPr>
                          <w:p w14:paraId="1793369E" w14:textId="77777777" w:rsidR="005A14A4" w:rsidRPr="00B066CE" w:rsidRDefault="005A14A4" w:rsidP="007173E3">
                            <w:pPr>
                              <w:spacing w:line="240" w:lineRule="exact"/>
                              <w:jc w:val="right"/>
                              <w:rPr>
                                <w:rFonts w:ascii="標楷體" w:eastAsia="標楷體" w:hAnsi="標楷體"/>
                                <w:b/>
                              </w:rPr>
                            </w:pPr>
                            <w:r>
                              <w:rPr>
                                <w:rFonts w:ascii="標楷體" w:eastAsia="標楷體" w:hAnsi="標楷體"/>
                                <w:b/>
                              </w:rPr>
                              <w:t>14</w:t>
                            </w:r>
                            <w:r w:rsidRPr="00B066CE">
                              <w:rPr>
                                <w:rFonts w:ascii="標楷體" w:eastAsia="標楷體" w:hAnsi="標楷體"/>
                                <w:b/>
                              </w:rPr>
                              <w:t>,</w:t>
                            </w:r>
                            <w:r>
                              <w:rPr>
                                <w:rFonts w:ascii="標楷體" w:eastAsia="標楷體" w:hAnsi="標楷體"/>
                                <w:b/>
                              </w:rPr>
                              <w:t>501</w:t>
                            </w:r>
                          </w:p>
                        </w:tc>
                      </w:tr>
                      <w:tr w:rsidR="005A14A4" w:rsidRPr="003B3530" w14:paraId="364F9040" w14:textId="77777777" w:rsidTr="00824CD6">
                        <w:trPr>
                          <w:trHeight w:val="623"/>
                        </w:trPr>
                        <w:tc>
                          <w:tcPr>
                            <w:tcW w:w="1418" w:type="dxa"/>
                            <w:vAlign w:val="center"/>
                          </w:tcPr>
                          <w:p w14:paraId="5C182684" w14:textId="77777777" w:rsidR="005A14A4" w:rsidRDefault="005A14A4" w:rsidP="00824CD6">
                            <w:pPr>
                              <w:spacing w:line="240" w:lineRule="exact"/>
                              <w:ind w:leftChars="-22" w:left="-53"/>
                              <w:jc w:val="distribute"/>
                              <w:rPr>
                                <w:rFonts w:ascii="標楷體" w:eastAsia="標楷體" w:hAnsi="標楷體"/>
                                <w:spacing w:val="-22"/>
                              </w:rPr>
                            </w:pPr>
                            <w:r w:rsidRPr="00B066CE">
                              <w:rPr>
                                <w:rFonts w:ascii="標楷體" w:eastAsia="標楷體" w:hAnsi="標楷體" w:hint="eastAsia"/>
                                <w:spacing w:val="-22"/>
                              </w:rPr>
                              <w:t>短收用戶逾期</w:t>
                            </w:r>
                            <w:proofErr w:type="gramStart"/>
                            <w:r w:rsidRPr="00B066CE">
                              <w:rPr>
                                <w:rFonts w:ascii="標楷體" w:eastAsia="標楷體" w:hAnsi="標楷體" w:hint="eastAsia"/>
                                <w:spacing w:val="-22"/>
                              </w:rPr>
                              <w:t>繳</w:t>
                            </w:r>
                            <w:proofErr w:type="gramEnd"/>
                          </w:p>
                          <w:p w14:paraId="258A7B8F" w14:textId="77777777" w:rsidR="005A14A4" w:rsidRPr="00B066CE" w:rsidRDefault="005A14A4" w:rsidP="00824CD6">
                            <w:pPr>
                              <w:spacing w:line="240" w:lineRule="exact"/>
                              <w:ind w:leftChars="-22" w:left="-53"/>
                              <w:jc w:val="distribute"/>
                              <w:rPr>
                                <w:rFonts w:ascii="標楷體" w:eastAsia="標楷體" w:hAnsi="標楷體"/>
                                <w:spacing w:val="-22"/>
                              </w:rPr>
                            </w:pPr>
                            <w:r w:rsidRPr="00B066CE">
                              <w:rPr>
                                <w:rFonts w:ascii="標楷體" w:eastAsia="標楷體" w:hAnsi="標楷體" w:hint="eastAsia"/>
                                <w:spacing w:val="-22"/>
                              </w:rPr>
                              <w:t>納違約金</w:t>
                            </w:r>
                          </w:p>
                        </w:tc>
                        <w:tc>
                          <w:tcPr>
                            <w:tcW w:w="709" w:type="dxa"/>
                          </w:tcPr>
                          <w:p w14:paraId="4CB2DC1D" w14:textId="77777777" w:rsidR="005A14A4" w:rsidRPr="00B066CE" w:rsidRDefault="005A14A4" w:rsidP="007173E3">
                            <w:pPr>
                              <w:spacing w:beforeLines="50" w:before="180" w:line="240" w:lineRule="exact"/>
                              <w:jc w:val="right"/>
                              <w:rPr>
                                <w:rFonts w:ascii="標楷體" w:eastAsia="標楷體" w:hAnsi="標楷體"/>
                              </w:rPr>
                            </w:pPr>
                            <w:r w:rsidRPr="00B066CE">
                              <w:rPr>
                                <w:rFonts w:ascii="標楷體" w:eastAsia="標楷體" w:hAnsi="標楷體"/>
                              </w:rPr>
                              <w:t>16</w:t>
                            </w:r>
                          </w:p>
                        </w:tc>
                        <w:tc>
                          <w:tcPr>
                            <w:tcW w:w="992" w:type="dxa"/>
                          </w:tcPr>
                          <w:p w14:paraId="04B32319" w14:textId="77777777" w:rsidR="005A14A4" w:rsidRPr="00B066CE" w:rsidRDefault="005A14A4" w:rsidP="007173E3">
                            <w:pPr>
                              <w:spacing w:beforeLines="50" w:before="180" w:line="240" w:lineRule="exact"/>
                              <w:jc w:val="right"/>
                              <w:rPr>
                                <w:rFonts w:ascii="標楷體" w:eastAsia="標楷體" w:hAnsi="標楷體"/>
                              </w:rPr>
                            </w:pPr>
                            <w:r w:rsidRPr="00B066CE">
                              <w:rPr>
                                <w:rFonts w:ascii="標楷體" w:eastAsia="標楷體" w:hAnsi="標楷體" w:hint="eastAsia"/>
                              </w:rPr>
                              <w:t>1</w:t>
                            </w:r>
                            <w:r w:rsidRPr="00B066CE">
                              <w:rPr>
                                <w:rFonts w:ascii="標楷體" w:eastAsia="標楷體" w:hAnsi="標楷體"/>
                              </w:rPr>
                              <w:t>7,858</w:t>
                            </w:r>
                          </w:p>
                        </w:tc>
                        <w:tc>
                          <w:tcPr>
                            <w:tcW w:w="992" w:type="dxa"/>
                          </w:tcPr>
                          <w:p w14:paraId="67563266" w14:textId="77777777" w:rsidR="005A14A4" w:rsidRPr="00B066CE" w:rsidRDefault="005A14A4" w:rsidP="007173E3">
                            <w:pPr>
                              <w:spacing w:beforeLines="50" w:before="180" w:line="240" w:lineRule="exact"/>
                              <w:jc w:val="right"/>
                              <w:rPr>
                                <w:rFonts w:ascii="標楷體" w:eastAsia="標楷體" w:hAnsi="標楷體"/>
                              </w:rPr>
                            </w:pPr>
                            <w:r w:rsidRPr="00B066CE">
                              <w:rPr>
                                <w:rFonts w:ascii="標楷體" w:eastAsia="標楷體" w:hAnsi="標楷體"/>
                              </w:rPr>
                              <w:t>3,751</w:t>
                            </w:r>
                          </w:p>
                        </w:tc>
                        <w:tc>
                          <w:tcPr>
                            <w:tcW w:w="1134" w:type="dxa"/>
                          </w:tcPr>
                          <w:p w14:paraId="70D8555C" w14:textId="77777777" w:rsidR="005A14A4" w:rsidRPr="00B066CE" w:rsidRDefault="005A14A4" w:rsidP="007173E3">
                            <w:pPr>
                              <w:spacing w:beforeLines="50" w:before="180" w:line="240" w:lineRule="exact"/>
                              <w:jc w:val="right"/>
                              <w:rPr>
                                <w:rFonts w:ascii="標楷體" w:eastAsia="標楷體" w:hAnsi="標楷體"/>
                              </w:rPr>
                            </w:pPr>
                            <w:r w:rsidRPr="00B066CE">
                              <w:rPr>
                                <w:rFonts w:ascii="標楷體" w:eastAsia="標楷體" w:hAnsi="標楷體" w:hint="eastAsia"/>
                              </w:rPr>
                              <w:t>1</w:t>
                            </w:r>
                            <w:r w:rsidRPr="00B066CE">
                              <w:rPr>
                                <w:rFonts w:ascii="標楷體" w:eastAsia="標楷體" w:hAnsi="標楷體"/>
                              </w:rPr>
                              <w:t>4,107</w:t>
                            </w:r>
                          </w:p>
                        </w:tc>
                      </w:tr>
                      <w:tr w:rsidR="005A14A4" w:rsidRPr="003B3530" w14:paraId="653ABE68" w14:textId="77777777" w:rsidTr="00824CD6">
                        <w:trPr>
                          <w:trHeight w:val="561"/>
                        </w:trPr>
                        <w:tc>
                          <w:tcPr>
                            <w:tcW w:w="1418" w:type="dxa"/>
                            <w:vAlign w:val="center"/>
                          </w:tcPr>
                          <w:p w14:paraId="255DBB65" w14:textId="77777777" w:rsidR="005A14A4" w:rsidRPr="00B066CE" w:rsidRDefault="005A14A4" w:rsidP="00824CD6">
                            <w:pPr>
                              <w:spacing w:line="240" w:lineRule="exact"/>
                              <w:ind w:leftChars="-41" w:left="-98"/>
                              <w:jc w:val="distribute"/>
                              <w:rPr>
                                <w:rFonts w:ascii="標楷體" w:eastAsia="標楷體" w:hAnsi="標楷體"/>
                                <w:spacing w:val="-20"/>
                              </w:rPr>
                            </w:pPr>
                            <w:r w:rsidRPr="00B066CE">
                              <w:rPr>
                                <w:rFonts w:ascii="標楷體" w:eastAsia="標楷體" w:hAnsi="標楷體" w:hint="eastAsia"/>
                                <w:spacing w:val="-20"/>
                              </w:rPr>
                              <w:t>未依規定向</w:t>
                            </w:r>
                            <w:proofErr w:type="gramStart"/>
                            <w:r w:rsidRPr="00B066CE">
                              <w:rPr>
                                <w:rFonts w:ascii="標楷體" w:eastAsia="標楷體" w:hAnsi="標楷體" w:hint="eastAsia"/>
                                <w:spacing w:val="-20"/>
                              </w:rPr>
                              <w:t>用戶計罰違約金</w:t>
                            </w:r>
                            <w:proofErr w:type="gramEnd"/>
                          </w:p>
                        </w:tc>
                        <w:tc>
                          <w:tcPr>
                            <w:tcW w:w="709" w:type="dxa"/>
                          </w:tcPr>
                          <w:p w14:paraId="17EAEADC" w14:textId="77777777" w:rsidR="005A14A4" w:rsidRPr="00B066CE" w:rsidRDefault="005A14A4" w:rsidP="007173E3">
                            <w:pPr>
                              <w:spacing w:beforeLines="50" w:before="180" w:line="240" w:lineRule="exact"/>
                              <w:jc w:val="right"/>
                              <w:rPr>
                                <w:rFonts w:ascii="標楷體" w:eastAsia="標楷體" w:hAnsi="標楷體"/>
                              </w:rPr>
                            </w:pPr>
                            <w:r>
                              <w:rPr>
                                <w:rFonts w:ascii="標楷體" w:eastAsia="標楷體" w:hAnsi="標楷體" w:hint="eastAsia"/>
                              </w:rPr>
                              <w:t>2</w:t>
                            </w:r>
                          </w:p>
                        </w:tc>
                        <w:tc>
                          <w:tcPr>
                            <w:tcW w:w="992" w:type="dxa"/>
                          </w:tcPr>
                          <w:p w14:paraId="2A40B33E" w14:textId="77777777" w:rsidR="005A14A4" w:rsidRPr="00B066CE" w:rsidRDefault="005A14A4" w:rsidP="007173E3">
                            <w:pPr>
                              <w:spacing w:beforeLines="50" w:before="180" w:line="240" w:lineRule="exact"/>
                              <w:jc w:val="right"/>
                              <w:rPr>
                                <w:rFonts w:ascii="標楷體" w:eastAsia="標楷體" w:hAnsi="標楷體"/>
                              </w:rPr>
                            </w:pPr>
                            <w:r>
                              <w:rPr>
                                <w:rFonts w:ascii="標楷體" w:eastAsia="標楷體" w:hAnsi="標楷體"/>
                              </w:rPr>
                              <w:t>394</w:t>
                            </w:r>
                          </w:p>
                        </w:tc>
                        <w:tc>
                          <w:tcPr>
                            <w:tcW w:w="992" w:type="dxa"/>
                          </w:tcPr>
                          <w:p w14:paraId="0F2929A4" w14:textId="2EC26DB3" w:rsidR="005A14A4" w:rsidRPr="00B066CE" w:rsidRDefault="007173E3" w:rsidP="007173E3">
                            <w:pPr>
                              <w:spacing w:beforeLines="50" w:before="180" w:line="240" w:lineRule="exact"/>
                              <w:jc w:val="right"/>
                              <w:rPr>
                                <w:rFonts w:ascii="標楷體" w:eastAsia="標楷體" w:hAnsi="標楷體"/>
                              </w:rPr>
                            </w:pPr>
                            <w:r>
                              <w:rPr>
                                <w:rFonts w:ascii="標楷體" w:eastAsia="標楷體" w:hAnsi="標楷體" w:hint="eastAsia"/>
                              </w:rPr>
                              <w:t>－</w:t>
                            </w:r>
                          </w:p>
                        </w:tc>
                        <w:tc>
                          <w:tcPr>
                            <w:tcW w:w="1134" w:type="dxa"/>
                          </w:tcPr>
                          <w:p w14:paraId="392F436F" w14:textId="77777777" w:rsidR="005A14A4" w:rsidRPr="00B066CE" w:rsidRDefault="005A14A4" w:rsidP="007173E3">
                            <w:pPr>
                              <w:spacing w:beforeLines="50" w:before="180" w:line="240" w:lineRule="exact"/>
                              <w:jc w:val="right"/>
                              <w:rPr>
                                <w:rFonts w:ascii="標楷體" w:eastAsia="標楷體" w:hAnsi="標楷體"/>
                              </w:rPr>
                            </w:pPr>
                            <w:r>
                              <w:rPr>
                                <w:rFonts w:ascii="標楷體" w:eastAsia="標楷體" w:hAnsi="標楷體"/>
                              </w:rPr>
                              <w:t>394</w:t>
                            </w:r>
                          </w:p>
                        </w:tc>
                      </w:tr>
                    </w:tbl>
                    <w:p w14:paraId="19A787C1" w14:textId="77777777" w:rsidR="005A14A4" w:rsidRPr="00D31201" w:rsidRDefault="005A14A4" w:rsidP="005A14A4">
                      <w:pPr>
                        <w:spacing w:line="240" w:lineRule="exact"/>
                        <w:ind w:leftChars="1" w:left="528" w:hangingChars="292" w:hanging="526"/>
                        <w:jc w:val="both"/>
                        <w:rPr>
                          <w:rFonts w:ascii="標楷體" w:eastAsia="標楷體" w:hAnsi="標楷體"/>
                          <w:sz w:val="18"/>
                          <w:szCs w:val="20"/>
                        </w:rPr>
                      </w:pPr>
                      <w:r w:rsidRPr="00B066CE">
                        <w:rPr>
                          <w:rFonts w:ascii="標楷體" w:eastAsia="標楷體" w:hAnsi="標楷體" w:hint="eastAsia"/>
                          <w:sz w:val="18"/>
                          <w:szCs w:val="20"/>
                        </w:rPr>
                        <w:t>資料來源</w:t>
                      </w:r>
                      <w:r>
                        <w:rPr>
                          <w:rFonts w:ascii="標楷體" w:eastAsia="標楷體" w:hAnsi="標楷體" w:hint="eastAsia"/>
                          <w:sz w:val="18"/>
                          <w:szCs w:val="20"/>
                        </w:rPr>
                        <w:t>：</w:t>
                      </w:r>
                      <w:r w:rsidRPr="00B066CE">
                        <w:rPr>
                          <w:rFonts w:ascii="標楷體" w:eastAsia="標楷體" w:hAnsi="標楷體" w:hint="eastAsia"/>
                          <w:sz w:val="18"/>
                          <w:szCs w:val="20"/>
                        </w:rPr>
                        <w:t>整理自</w:t>
                      </w:r>
                      <w:proofErr w:type="gramStart"/>
                      <w:r w:rsidRPr="00D74CA9">
                        <w:rPr>
                          <w:rFonts w:ascii="標楷體" w:eastAsia="標楷體" w:hAnsi="標楷體" w:hint="eastAsia"/>
                          <w:sz w:val="18"/>
                          <w:szCs w:val="20"/>
                        </w:rPr>
                        <w:t>臺</w:t>
                      </w:r>
                      <w:proofErr w:type="gramEnd"/>
                      <w:r w:rsidRPr="00D74CA9">
                        <w:rPr>
                          <w:rFonts w:ascii="標楷體" w:eastAsia="標楷體" w:hAnsi="標楷體" w:hint="eastAsia"/>
                          <w:sz w:val="18"/>
                          <w:szCs w:val="20"/>
                        </w:rPr>
                        <w:t>北自來水事業處</w:t>
                      </w:r>
                      <w:r w:rsidRPr="00B066CE">
                        <w:rPr>
                          <w:rFonts w:ascii="標楷體" w:eastAsia="標楷體" w:hAnsi="標楷體" w:hint="eastAsia"/>
                          <w:sz w:val="18"/>
                          <w:szCs w:val="20"/>
                        </w:rPr>
                        <w:t>提供資料。</w:t>
                      </w:r>
                    </w:p>
                  </w:txbxContent>
                </v:textbox>
                <w10:wrap type="square" anchorx="margin" anchory="page"/>
              </v:shape>
            </w:pict>
          </mc:Fallback>
        </mc:AlternateContent>
      </w:r>
      <w:r w:rsidR="005A14A4" w:rsidRPr="00810158">
        <w:rPr>
          <w:rFonts w:ascii="標楷體" w:eastAsia="標楷體" w:hAnsi="標楷體" w:hint="eastAsia"/>
          <w:spacing w:val="2"/>
        </w:rPr>
        <w:t>截至113年底</w:t>
      </w:r>
      <w:proofErr w:type="gramStart"/>
      <w:r w:rsidR="005A14A4" w:rsidRPr="00810158">
        <w:rPr>
          <w:rFonts w:ascii="標楷體" w:eastAsia="標楷體" w:hAnsi="標楷體" w:hint="eastAsia"/>
          <w:spacing w:val="2"/>
        </w:rPr>
        <w:t>止</w:t>
      </w:r>
      <w:proofErr w:type="gramEnd"/>
      <w:r w:rsidR="005A14A4" w:rsidRPr="00810158">
        <w:rPr>
          <w:rFonts w:ascii="標楷體" w:eastAsia="標楷體" w:hAnsi="標楷體" w:hint="eastAsia"/>
          <w:spacing w:val="2"/>
        </w:rPr>
        <w:t>臺北市計有新北投等4個溫泉區，其中新北投及行義路等2個溫泉區3處溫泉取供事業，由</w:t>
      </w:r>
      <w:proofErr w:type="gramStart"/>
      <w:r w:rsidR="005A14A4" w:rsidRPr="00810158">
        <w:rPr>
          <w:rFonts w:ascii="標楷體" w:eastAsia="標楷體" w:hAnsi="標楷體" w:hint="eastAsia"/>
          <w:spacing w:val="2"/>
        </w:rPr>
        <w:t>臺</w:t>
      </w:r>
      <w:proofErr w:type="gramEnd"/>
      <w:r w:rsidR="005A14A4" w:rsidRPr="00810158">
        <w:rPr>
          <w:rFonts w:ascii="標楷體" w:eastAsia="標楷體" w:hAnsi="標楷體" w:hint="eastAsia"/>
          <w:spacing w:val="2"/>
        </w:rPr>
        <w:t>北自來水事業處興建並負責營運管理，供應溫泉用戶數265戶；又</w:t>
      </w:r>
      <w:r w:rsidR="005A14A4">
        <w:rPr>
          <w:rFonts w:ascii="標楷體" w:eastAsia="標楷體" w:hAnsi="標楷體" w:hint="eastAsia"/>
          <w:spacing w:val="2"/>
        </w:rPr>
        <w:t>該</w:t>
      </w:r>
      <w:r w:rsidR="005A14A4" w:rsidRPr="00810158">
        <w:rPr>
          <w:rFonts w:ascii="標楷體" w:eastAsia="標楷體" w:hAnsi="標楷體" w:hint="eastAsia"/>
          <w:spacing w:val="2"/>
        </w:rPr>
        <w:t>處為明確規範與用戶之供需雙方權利義務關係，訂有「附設溫泉營業章程」，按章程第20條規定，用戶應繳之溫泉使用費，經</w:t>
      </w:r>
      <w:r w:rsidR="005A14A4">
        <w:rPr>
          <w:rFonts w:ascii="標楷體" w:eastAsia="標楷體" w:hAnsi="標楷體" w:hint="eastAsia"/>
          <w:spacing w:val="2"/>
        </w:rPr>
        <w:t>該</w:t>
      </w:r>
      <w:r w:rsidR="005A14A4" w:rsidRPr="00810158">
        <w:rPr>
          <w:rFonts w:ascii="標楷體" w:eastAsia="標楷體" w:hAnsi="標楷體" w:hint="eastAsia"/>
          <w:spacing w:val="2"/>
        </w:rPr>
        <w:t>處通知後，應按時繳付；逾繳費期限者，每逾4日按應繳之溫泉使用費加收1％違約金，最高加收至5％。另相關溫泉水費之計收、開</w:t>
      </w:r>
      <w:proofErr w:type="gramStart"/>
      <w:r w:rsidR="005A14A4" w:rsidRPr="00810158">
        <w:rPr>
          <w:rFonts w:ascii="標楷體" w:eastAsia="標楷體" w:hAnsi="標楷體" w:hint="eastAsia"/>
          <w:spacing w:val="2"/>
        </w:rPr>
        <w:t>單計罰及欠費催收</w:t>
      </w:r>
      <w:proofErr w:type="gramEnd"/>
      <w:r w:rsidR="005A14A4" w:rsidRPr="00810158">
        <w:rPr>
          <w:rFonts w:ascii="標楷體" w:eastAsia="標楷體" w:hAnsi="標楷體" w:hint="eastAsia"/>
          <w:spacing w:val="2"/>
        </w:rPr>
        <w:t>等作業，業由</w:t>
      </w:r>
      <w:r w:rsidR="005A14A4">
        <w:rPr>
          <w:rFonts w:ascii="標楷體" w:eastAsia="標楷體" w:hAnsi="標楷體" w:hint="eastAsia"/>
          <w:spacing w:val="2"/>
        </w:rPr>
        <w:t>該</w:t>
      </w:r>
      <w:r w:rsidR="005A14A4" w:rsidRPr="00810158">
        <w:rPr>
          <w:rFonts w:ascii="標楷體" w:eastAsia="標楷體" w:hAnsi="標楷體" w:hint="eastAsia"/>
          <w:spacing w:val="2"/>
        </w:rPr>
        <w:t>處併入「水費水表營收資訊系統」進行管理。據</w:t>
      </w:r>
      <w:r w:rsidR="005A14A4">
        <w:rPr>
          <w:rFonts w:ascii="標楷體" w:eastAsia="標楷體" w:hAnsi="標楷體" w:hint="eastAsia"/>
          <w:spacing w:val="2"/>
        </w:rPr>
        <w:t>該</w:t>
      </w:r>
      <w:r w:rsidR="005A14A4" w:rsidRPr="00810158">
        <w:rPr>
          <w:rFonts w:ascii="標楷體" w:eastAsia="標楷體" w:hAnsi="標楷體" w:hint="eastAsia"/>
          <w:spacing w:val="2"/>
        </w:rPr>
        <w:t>處提供112年12月至114年2月之溫泉使用費欠費一期</w:t>
      </w:r>
      <w:proofErr w:type="gramStart"/>
      <w:r w:rsidR="005A14A4" w:rsidRPr="00810158">
        <w:rPr>
          <w:rFonts w:ascii="標楷體" w:eastAsia="標楷體" w:hAnsi="標楷體" w:hint="eastAsia"/>
          <w:spacing w:val="2"/>
        </w:rPr>
        <w:t>以上催</w:t>
      </w:r>
      <w:proofErr w:type="gramEnd"/>
      <w:r w:rsidR="005A14A4" w:rsidRPr="00810158">
        <w:rPr>
          <w:rFonts w:ascii="標楷體" w:eastAsia="標楷體" w:hAnsi="標楷體" w:hint="eastAsia"/>
          <w:spacing w:val="2"/>
        </w:rPr>
        <w:t>收處理情形表及溫泉用戶繳納違約金列表等資料，經抽查</w:t>
      </w:r>
      <w:proofErr w:type="gramStart"/>
      <w:r w:rsidR="005A14A4" w:rsidRPr="00810158">
        <w:rPr>
          <w:rFonts w:ascii="標楷體" w:eastAsia="標楷體" w:hAnsi="標楷體" w:hint="eastAsia"/>
          <w:spacing w:val="2"/>
        </w:rPr>
        <w:t>發現間有部分</w:t>
      </w:r>
      <w:proofErr w:type="gramEnd"/>
      <w:r w:rsidR="005A14A4" w:rsidRPr="00810158">
        <w:rPr>
          <w:rFonts w:ascii="標楷體" w:eastAsia="標楷體" w:hAnsi="標楷體" w:hint="eastAsia"/>
          <w:spacing w:val="2"/>
        </w:rPr>
        <w:t>用戶逾期繳納溫泉使用費共8至31天不等，</w:t>
      </w:r>
      <w:proofErr w:type="gramStart"/>
      <w:r w:rsidR="005A14A4" w:rsidRPr="00810158">
        <w:rPr>
          <w:rFonts w:ascii="標楷體" w:eastAsia="標楷體" w:hAnsi="標楷體" w:hint="eastAsia"/>
          <w:spacing w:val="2"/>
        </w:rPr>
        <w:t>均僅以</w:t>
      </w:r>
      <w:proofErr w:type="gramEnd"/>
      <w:r w:rsidR="005A14A4" w:rsidRPr="00810158">
        <w:rPr>
          <w:rFonts w:ascii="標楷體" w:eastAsia="標楷體" w:hAnsi="標楷體" w:hint="eastAsia"/>
          <w:spacing w:val="2"/>
        </w:rPr>
        <w:t>逾期4天計列加收1％違約金，並未依營業章程「每逾4日按應繳之溫泉使用費加收1％違約金，最高加收至5％」規定辦理，另部分用戶延遲14天繳付114年</w:t>
      </w:r>
    </w:p>
    <w:p w14:paraId="4743CF88" w14:textId="2C40B0DB" w:rsidR="005A14A4" w:rsidRPr="00B87990" w:rsidRDefault="005A14A4" w:rsidP="00365895">
      <w:pPr>
        <w:overflowPunct w:val="0"/>
        <w:snapToGrid w:val="0"/>
        <w:spacing w:line="420" w:lineRule="exact"/>
        <w:jc w:val="both"/>
        <w:rPr>
          <w:rFonts w:ascii="標楷體" w:eastAsia="標楷體"/>
          <w:b/>
          <w:sz w:val="28"/>
          <w:szCs w:val="28"/>
        </w:rPr>
      </w:pPr>
      <w:r w:rsidRPr="00810158">
        <w:rPr>
          <w:rFonts w:ascii="標楷體" w:eastAsia="標楷體" w:hAnsi="標楷體" w:hint="eastAsia"/>
          <w:spacing w:val="2"/>
        </w:rPr>
        <w:lastRenderedPageBreak/>
        <w:t>2月溫泉使用費，惟未向</w:t>
      </w:r>
      <w:proofErr w:type="gramStart"/>
      <w:r w:rsidRPr="00810158">
        <w:rPr>
          <w:rFonts w:ascii="標楷體" w:eastAsia="標楷體" w:hAnsi="標楷體" w:hint="eastAsia"/>
          <w:spacing w:val="2"/>
        </w:rPr>
        <w:t>用戶計罰違約金</w:t>
      </w:r>
      <w:proofErr w:type="gramEnd"/>
      <w:r w:rsidRPr="00810158">
        <w:rPr>
          <w:rFonts w:ascii="標楷體" w:eastAsia="標楷體" w:hAnsi="標楷體" w:hint="eastAsia"/>
          <w:spacing w:val="2"/>
        </w:rPr>
        <w:t>(表</w:t>
      </w:r>
      <w:r>
        <w:rPr>
          <w:rFonts w:ascii="標楷體" w:eastAsia="標楷體" w:hAnsi="標楷體" w:hint="eastAsia"/>
          <w:spacing w:val="2"/>
        </w:rPr>
        <w:t>3</w:t>
      </w:r>
      <w:r w:rsidRPr="00810158">
        <w:rPr>
          <w:rFonts w:ascii="標楷體" w:eastAsia="標楷體" w:hAnsi="標楷體" w:hint="eastAsia"/>
          <w:spacing w:val="2"/>
        </w:rPr>
        <w:t>)，相關內部控制</w:t>
      </w:r>
      <w:proofErr w:type="gramStart"/>
      <w:r w:rsidRPr="00810158">
        <w:rPr>
          <w:rFonts w:ascii="標楷體" w:eastAsia="標楷體" w:hAnsi="標楷體" w:hint="eastAsia"/>
          <w:spacing w:val="2"/>
        </w:rPr>
        <w:t>作業核欠嚴謹</w:t>
      </w:r>
      <w:proofErr w:type="gramEnd"/>
      <w:r w:rsidRPr="00810158">
        <w:rPr>
          <w:rFonts w:ascii="標楷體" w:eastAsia="標楷體" w:hAnsi="標楷體" w:hint="eastAsia"/>
          <w:spacing w:val="2"/>
        </w:rPr>
        <w:t>情事，經函請</w:t>
      </w:r>
      <w:proofErr w:type="gramStart"/>
      <w:r w:rsidRPr="00810158">
        <w:rPr>
          <w:rFonts w:ascii="標楷體" w:eastAsia="標楷體" w:hAnsi="標楷體" w:hint="eastAsia"/>
          <w:spacing w:val="2"/>
        </w:rPr>
        <w:t>檢討妥處</w:t>
      </w:r>
      <w:proofErr w:type="gramEnd"/>
      <w:r w:rsidRPr="00810158">
        <w:rPr>
          <w:rFonts w:ascii="標楷體" w:eastAsia="標楷體" w:hAnsi="標楷體" w:hint="eastAsia"/>
          <w:spacing w:val="2"/>
        </w:rPr>
        <w:t>。據復：</w:t>
      </w:r>
      <w:proofErr w:type="gramStart"/>
      <w:r w:rsidRPr="00810158">
        <w:rPr>
          <w:rFonts w:ascii="標楷體" w:eastAsia="標楷體" w:hAnsi="標楷體" w:hint="eastAsia"/>
          <w:spacing w:val="2"/>
        </w:rPr>
        <w:t>短計違約金</w:t>
      </w:r>
      <w:proofErr w:type="gramEnd"/>
      <w:r w:rsidRPr="00810158">
        <w:rPr>
          <w:rFonts w:ascii="標楷體" w:eastAsia="標楷體" w:hAnsi="標楷體" w:hint="eastAsia"/>
          <w:spacing w:val="2"/>
        </w:rPr>
        <w:t>，係因內部作業程序有瑕疵，或用戶未收到繳費通知單等，將著手檢討收費機制及修改系統違約金之計收程式，以完善收費作業。</w:t>
      </w:r>
    </w:p>
    <w:p w14:paraId="0F7D76C1" w14:textId="3974A574" w:rsidR="005A14A4" w:rsidRPr="000C5C56" w:rsidRDefault="005A14A4" w:rsidP="00843A6D">
      <w:pPr>
        <w:snapToGrid w:val="0"/>
        <w:spacing w:beforeLines="20" w:before="72" w:line="400" w:lineRule="exact"/>
        <w:jc w:val="both"/>
        <w:outlineLvl w:val="2"/>
        <w:rPr>
          <w:rFonts w:ascii="標楷體" w:eastAsia="標楷體"/>
          <w:b/>
          <w:color w:val="000000" w:themeColor="text1"/>
          <w:sz w:val="32"/>
          <w:szCs w:val="32"/>
        </w:rPr>
      </w:pPr>
      <w:r w:rsidRPr="000C5C56">
        <w:rPr>
          <w:rFonts w:ascii="標楷體" w:eastAsia="標楷體" w:hint="eastAsia"/>
          <w:b/>
          <w:color w:val="000000" w:themeColor="text1"/>
          <w:sz w:val="32"/>
          <w:szCs w:val="32"/>
        </w:rPr>
        <w:t>四、</w:t>
      </w:r>
      <w:proofErr w:type="gramStart"/>
      <w:r w:rsidRPr="000C5C56">
        <w:rPr>
          <w:rFonts w:ascii="標楷體" w:eastAsia="標楷體" w:hint="eastAsia"/>
          <w:b/>
          <w:color w:val="000000" w:themeColor="text1"/>
          <w:sz w:val="32"/>
          <w:szCs w:val="32"/>
        </w:rPr>
        <w:t>1</w:t>
      </w:r>
      <w:r>
        <w:rPr>
          <w:rFonts w:ascii="標楷體" w:eastAsia="標楷體" w:hint="eastAsia"/>
          <w:b/>
          <w:color w:val="000000" w:themeColor="text1"/>
          <w:sz w:val="32"/>
          <w:szCs w:val="32"/>
        </w:rPr>
        <w:t>12</w:t>
      </w:r>
      <w:proofErr w:type="gramEnd"/>
      <w:r w:rsidRPr="000C5C56">
        <w:rPr>
          <w:rFonts w:ascii="標楷體" w:eastAsia="標楷體" w:hint="eastAsia"/>
          <w:b/>
          <w:color w:val="000000" w:themeColor="text1"/>
          <w:sz w:val="32"/>
          <w:szCs w:val="32"/>
        </w:rPr>
        <w:t>年度重要審核意見追蹤查核情形</w:t>
      </w:r>
    </w:p>
    <w:p w14:paraId="5B4179EB" w14:textId="28AF07DC" w:rsidR="005A14A4" w:rsidRPr="00F97559" w:rsidRDefault="005A14A4" w:rsidP="00227BD2">
      <w:pPr>
        <w:pStyle w:val="05"/>
        <w:snapToGrid w:val="0"/>
        <w:spacing w:before="0" w:beforeAutospacing="0" w:after="0" w:afterAutospacing="0" w:line="400" w:lineRule="exact"/>
        <w:ind w:firstLine="480"/>
      </w:pPr>
      <w:r w:rsidRPr="00F97559">
        <w:rPr>
          <w:rFonts w:hint="eastAsia"/>
        </w:rPr>
        <w:t>本處於</w:t>
      </w:r>
      <w:proofErr w:type="gramStart"/>
      <w:r w:rsidRPr="00F97559">
        <w:rPr>
          <w:rFonts w:hint="eastAsia"/>
        </w:rPr>
        <w:t>11</w:t>
      </w:r>
      <w:r>
        <w:rPr>
          <w:rFonts w:hint="eastAsia"/>
        </w:rPr>
        <w:t>2</w:t>
      </w:r>
      <w:proofErr w:type="gramEnd"/>
      <w:r w:rsidRPr="00F97559">
        <w:rPr>
          <w:rFonts w:hint="eastAsia"/>
        </w:rPr>
        <w:t>年度審核報告內列重要審核意見</w:t>
      </w:r>
      <w:r>
        <w:rPr>
          <w:rFonts w:hint="eastAsia"/>
        </w:rPr>
        <w:t>5</w:t>
      </w:r>
      <w:r w:rsidRPr="00F97559">
        <w:rPr>
          <w:rFonts w:hint="eastAsia"/>
        </w:rPr>
        <w:t>項，經</w:t>
      </w:r>
      <w:proofErr w:type="gramStart"/>
      <w:r w:rsidRPr="00F97559">
        <w:rPr>
          <w:rFonts w:hint="eastAsia"/>
        </w:rPr>
        <w:t>賡</w:t>
      </w:r>
      <w:proofErr w:type="gramEnd"/>
      <w:r w:rsidRPr="00F97559">
        <w:rPr>
          <w:rFonts w:hint="eastAsia"/>
        </w:rPr>
        <w:t>續追蹤查核實際辦理結果，</w:t>
      </w:r>
      <w:r w:rsidRPr="00F97559">
        <w:t>均已</w:t>
      </w:r>
      <w:proofErr w:type="gramStart"/>
      <w:r w:rsidRPr="00F97559">
        <w:t>研</w:t>
      </w:r>
      <w:proofErr w:type="gramEnd"/>
      <w:r w:rsidRPr="00F97559">
        <w:t>謀改善或依改善措施持續辦理</w:t>
      </w:r>
      <w:r w:rsidRPr="00F97559">
        <w:rPr>
          <w:rFonts w:hint="eastAsia"/>
        </w:rPr>
        <w:t>（表</w:t>
      </w:r>
      <w:r>
        <w:rPr>
          <w:rFonts w:hint="eastAsia"/>
        </w:rPr>
        <w:t>4</w:t>
      </w:r>
      <w:r w:rsidRPr="00F97559">
        <w:rPr>
          <w:rFonts w:hint="eastAsia"/>
        </w:rPr>
        <w:t>）。</w:t>
      </w:r>
    </w:p>
    <w:p w14:paraId="79EF01DC" w14:textId="5DB7F256" w:rsidR="005A14A4" w:rsidRPr="000C5C56" w:rsidRDefault="005A14A4" w:rsidP="00843A6D">
      <w:pPr>
        <w:spacing w:beforeLines="20" w:before="72" w:line="440" w:lineRule="exact"/>
        <w:ind w:rightChars="100" w:right="240"/>
        <w:jc w:val="center"/>
        <w:rPr>
          <w:rFonts w:ascii="標楷體" w:eastAsia="標楷體" w:hAnsi="標楷體"/>
          <w:b/>
          <w:color w:val="000000" w:themeColor="text1"/>
          <w:spacing w:val="-4"/>
        </w:rPr>
      </w:pPr>
      <w:r w:rsidRPr="000C5C56">
        <w:rPr>
          <w:rFonts w:ascii="標楷體" w:eastAsia="標楷體" w:hAnsi="標楷體" w:hint="eastAsia"/>
          <w:b/>
          <w:color w:val="000000" w:themeColor="text1"/>
          <w:spacing w:val="-4"/>
        </w:rPr>
        <w:t>表</w:t>
      </w:r>
      <w:r>
        <w:rPr>
          <w:rFonts w:ascii="標楷體" w:eastAsia="標楷體" w:hAnsi="標楷體" w:hint="eastAsia"/>
          <w:b/>
          <w:color w:val="000000" w:themeColor="text1"/>
          <w:spacing w:val="-4"/>
        </w:rPr>
        <w:t>4</w:t>
      </w:r>
      <w:r w:rsidRPr="000C5C56">
        <w:rPr>
          <w:rFonts w:ascii="標楷體" w:eastAsia="標楷體" w:hAnsi="標楷體" w:hint="eastAsia"/>
          <w:b/>
          <w:color w:val="000000" w:themeColor="text1"/>
          <w:spacing w:val="-4"/>
        </w:rPr>
        <w:t xml:space="preserve">  </w:t>
      </w:r>
      <w:proofErr w:type="gramStart"/>
      <w:r w:rsidRPr="000C5C56">
        <w:rPr>
          <w:rFonts w:ascii="標楷體" w:eastAsia="標楷體" w:hAnsi="標楷體" w:hint="eastAsia"/>
          <w:b/>
          <w:color w:val="000000" w:themeColor="text1"/>
          <w:spacing w:val="-4"/>
        </w:rPr>
        <w:t>1</w:t>
      </w:r>
      <w:r>
        <w:rPr>
          <w:rFonts w:ascii="標楷體" w:eastAsia="標楷體" w:hAnsi="標楷體" w:hint="eastAsia"/>
          <w:b/>
          <w:color w:val="000000" w:themeColor="text1"/>
          <w:spacing w:val="-4"/>
        </w:rPr>
        <w:t>12</w:t>
      </w:r>
      <w:proofErr w:type="gramEnd"/>
      <w:r w:rsidRPr="000C5C56">
        <w:rPr>
          <w:rFonts w:ascii="標楷體" w:eastAsia="標楷體" w:hAnsi="標楷體" w:hint="eastAsia"/>
          <w:b/>
          <w:color w:val="000000" w:themeColor="text1"/>
          <w:spacing w:val="-4"/>
        </w:rPr>
        <w:t>年度審核報告所列</w:t>
      </w:r>
      <w:proofErr w:type="gramStart"/>
      <w:r w:rsidRPr="000C5C56">
        <w:rPr>
          <w:rFonts w:ascii="標楷體" w:eastAsia="標楷體" w:hAnsi="標楷體" w:hint="eastAsia"/>
          <w:b/>
          <w:color w:val="000000" w:themeColor="text1"/>
          <w:spacing w:val="-4"/>
        </w:rPr>
        <w:t>臺</w:t>
      </w:r>
      <w:proofErr w:type="gramEnd"/>
      <w:r w:rsidRPr="000C5C56">
        <w:rPr>
          <w:rFonts w:ascii="標楷體" w:eastAsia="標楷體" w:hAnsi="標楷體" w:hint="eastAsia"/>
          <w:b/>
          <w:color w:val="000000" w:themeColor="text1"/>
          <w:spacing w:val="-4"/>
        </w:rPr>
        <w:t>北自來水事業處主管重要審核意見覆核辦理情形</w:t>
      </w:r>
    </w:p>
    <w:tbl>
      <w:tblPr>
        <w:tblStyle w:val="a6"/>
        <w:tblW w:w="9912" w:type="dxa"/>
        <w:tblLook w:val="04A0" w:firstRow="1" w:lastRow="0" w:firstColumn="1" w:lastColumn="0" w:noHBand="0" w:noVBand="1"/>
      </w:tblPr>
      <w:tblGrid>
        <w:gridCol w:w="6799"/>
        <w:gridCol w:w="3113"/>
      </w:tblGrid>
      <w:tr w:rsidR="005A14A4" w:rsidRPr="000C5C56" w14:paraId="5BEA5EE5" w14:textId="77777777" w:rsidTr="00C83B92">
        <w:trPr>
          <w:trHeight w:val="340"/>
          <w:tblHeader/>
        </w:trPr>
        <w:tc>
          <w:tcPr>
            <w:tcW w:w="6799" w:type="dxa"/>
            <w:vAlign w:val="center"/>
          </w:tcPr>
          <w:p w14:paraId="61275ECA" w14:textId="77777777" w:rsidR="005A14A4" w:rsidRPr="000C5C56" w:rsidRDefault="005A14A4" w:rsidP="00824CD6">
            <w:pPr>
              <w:snapToGrid w:val="0"/>
              <w:jc w:val="center"/>
              <w:rPr>
                <w:rFonts w:ascii="標楷體" w:eastAsia="標楷體"/>
                <w:color w:val="000000" w:themeColor="text1"/>
                <w:spacing w:val="4"/>
              </w:rPr>
            </w:pPr>
            <w:r w:rsidRPr="000C5C56">
              <w:rPr>
                <w:rFonts w:ascii="標楷體" w:eastAsia="標楷體" w:hint="eastAsia"/>
                <w:color w:val="000000" w:themeColor="text1"/>
                <w:spacing w:val="4"/>
              </w:rPr>
              <w:t>重要審核意見標題</w:t>
            </w:r>
          </w:p>
        </w:tc>
        <w:tc>
          <w:tcPr>
            <w:tcW w:w="3113" w:type="dxa"/>
            <w:vAlign w:val="center"/>
          </w:tcPr>
          <w:p w14:paraId="3E6C4D9D" w14:textId="77777777" w:rsidR="005A14A4" w:rsidRPr="000C5C56" w:rsidRDefault="005A14A4" w:rsidP="00824CD6">
            <w:pPr>
              <w:snapToGrid w:val="0"/>
              <w:jc w:val="center"/>
              <w:rPr>
                <w:rFonts w:ascii="標楷體" w:eastAsia="標楷體"/>
                <w:color w:val="000000" w:themeColor="text1"/>
                <w:spacing w:val="4"/>
              </w:rPr>
            </w:pPr>
            <w:r w:rsidRPr="000C5C56">
              <w:rPr>
                <w:rFonts w:ascii="標楷體" w:eastAsia="標楷體" w:hint="eastAsia"/>
                <w:color w:val="000000" w:themeColor="text1"/>
                <w:spacing w:val="4"/>
              </w:rPr>
              <w:t>說明</w:t>
            </w:r>
          </w:p>
        </w:tc>
      </w:tr>
      <w:tr w:rsidR="005A14A4" w:rsidRPr="000C5C56" w14:paraId="4FBD346C" w14:textId="77777777" w:rsidTr="00C83B92">
        <w:trPr>
          <w:trHeight w:val="340"/>
          <w:tblHeader/>
        </w:trPr>
        <w:tc>
          <w:tcPr>
            <w:tcW w:w="9912" w:type="dxa"/>
            <w:gridSpan w:val="2"/>
            <w:vAlign w:val="center"/>
          </w:tcPr>
          <w:p w14:paraId="49474F62" w14:textId="6602580D" w:rsidR="005A14A4" w:rsidRPr="000C5C56" w:rsidRDefault="005A14A4" w:rsidP="00824CD6">
            <w:pPr>
              <w:snapToGrid w:val="0"/>
              <w:spacing w:line="280" w:lineRule="exact"/>
              <w:jc w:val="both"/>
              <w:rPr>
                <w:rFonts w:ascii="標楷體" w:eastAsia="標楷體"/>
                <w:color w:val="000000" w:themeColor="text1"/>
                <w:spacing w:val="4"/>
              </w:rPr>
            </w:pPr>
            <w:r w:rsidRPr="000C5C56">
              <w:rPr>
                <w:rFonts w:ascii="標楷體" w:eastAsia="標楷體" w:hAnsi="標楷體" w:hint="eastAsia"/>
                <w:b/>
                <w:color w:val="000000" w:themeColor="text1"/>
                <w:spacing w:val="4"/>
              </w:rPr>
              <w:t>已</w:t>
            </w:r>
            <w:proofErr w:type="gramStart"/>
            <w:r w:rsidRPr="000C5C56">
              <w:rPr>
                <w:rFonts w:ascii="標楷體" w:eastAsia="標楷體" w:hAnsi="標楷體" w:hint="eastAsia"/>
                <w:b/>
                <w:color w:val="000000" w:themeColor="text1"/>
                <w:spacing w:val="4"/>
              </w:rPr>
              <w:t>研</w:t>
            </w:r>
            <w:proofErr w:type="gramEnd"/>
            <w:r w:rsidRPr="000C5C56">
              <w:rPr>
                <w:rFonts w:ascii="標楷體" w:eastAsia="標楷體" w:hAnsi="標楷體" w:hint="eastAsia"/>
                <w:b/>
                <w:color w:val="000000" w:themeColor="text1"/>
                <w:spacing w:val="4"/>
              </w:rPr>
              <w:t>謀改善或依改善措施持續辦理</w:t>
            </w:r>
          </w:p>
        </w:tc>
      </w:tr>
      <w:tr w:rsidR="005A14A4" w:rsidRPr="000C5C56" w14:paraId="78552C1C" w14:textId="77777777" w:rsidTr="00C83B92">
        <w:trPr>
          <w:trHeight w:val="964"/>
          <w:tblHeader/>
        </w:trPr>
        <w:tc>
          <w:tcPr>
            <w:tcW w:w="6799" w:type="dxa"/>
            <w:tcBorders>
              <w:bottom w:val="single" w:sz="4" w:space="0" w:color="auto"/>
            </w:tcBorders>
          </w:tcPr>
          <w:p w14:paraId="2890FA90" w14:textId="7C82C6AC" w:rsidR="005A14A4" w:rsidRPr="0015313B" w:rsidRDefault="005A14A4" w:rsidP="004F5C86">
            <w:pPr>
              <w:snapToGrid w:val="0"/>
              <w:spacing w:line="240" w:lineRule="exact"/>
              <w:ind w:left="582" w:hangingChars="280" w:hanging="582"/>
              <w:jc w:val="both"/>
              <w:rPr>
                <w:rFonts w:ascii="標楷體" w:eastAsia="標楷體" w:hAnsi="標楷體"/>
                <w:color w:val="000000" w:themeColor="text1"/>
                <w:spacing w:val="4"/>
              </w:rPr>
            </w:pPr>
            <w:r w:rsidRPr="000C5C56">
              <w:rPr>
                <w:rFonts w:ascii="標楷體" w:eastAsia="標楷體" w:hAnsi="標楷體" w:hint="eastAsia"/>
                <w:color w:val="000000" w:themeColor="text1"/>
                <w:spacing w:val="4"/>
              </w:rPr>
              <w:t>（一）</w:t>
            </w:r>
            <w:r w:rsidRPr="005B313E">
              <w:rPr>
                <w:rFonts w:ascii="標楷體" w:eastAsia="標楷體" w:hAnsi="標楷體" w:hint="eastAsia"/>
                <w:color w:val="000000" w:themeColor="text1"/>
                <w:spacing w:val="4"/>
              </w:rPr>
              <w:t>為穩定供應大</w:t>
            </w:r>
            <w:proofErr w:type="gramStart"/>
            <w:r w:rsidRPr="005B313E">
              <w:rPr>
                <w:rFonts w:ascii="標楷體" w:eastAsia="標楷體" w:hAnsi="標楷體" w:hint="eastAsia"/>
                <w:color w:val="000000" w:themeColor="text1"/>
                <w:spacing w:val="4"/>
              </w:rPr>
              <w:t>臺</w:t>
            </w:r>
            <w:proofErr w:type="gramEnd"/>
            <w:r w:rsidRPr="005B313E">
              <w:rPr>
                <w:rFonts w:ascii="標楷體" w:eastAsia="標楷體" w:hAnsi="標楷體" w:hint="eastAsia"/>
                <w:color w:val="000000" w:themeColor="text1"/>
                <w:spacing w:val="4"/>
              </w:rPr>
              <w:t>北地區民生用水，</w:t>
            </w:r>
            <w:proofErr w:type="gramStart"/>
            <w:r w:rsidRPr="005B313E">
              <w:rPr>
                <w:rFonts w:ascii="標楷體" w:eastAsia="標楷體" w:hAnsi="標楷體" w:hint="eastAsia"/>
                <w:color w:val="000000" w:themeColor="text1"/>
                <w:spacing w:val="4"/>
              </w:rPr>
              <w:t>爰</w:t>
            </w:r>
            <w:proofErr w:type="gramEnd"/>
            <w:r w:rsidRPr="005B313E">
              <w:rPr>
                <w:rFonts w:ascii="標楷體" w:eastAsia="標楷體" w:hAnsi="標楷體" w:hint="eastAsia"/>
                <w:color w:val="000000" w:themeColor="text1"/>
                <w:spacing w:val="4"/>
              </w:rPr>
              <w:t>優先取用南勢溪水，次取用翡翠水庫放流之北勢溪水，</w:t>
            </w:r>
            <w:proofErr w:type="gramStart"/>
            <w:r w:rsidRPr="005B313E">
              <w:rPr>
                <w:rFonts w:ascii="標楷體" w:eastAsia="標楷體" w:hAnsi="標楷體" w:hint="eastAsia"/>
                <w:color w:val="000000" w:themeColor="text1"/>
                <w:spacing w:val="4"/>
              </w:rPr>
              <w:t>鑑</w:t>
            </w:r>
            <w:proofErr w:type="gramEnd"/>
            <w:r w:rsidRPr="005B313E">
              <w:rPr>
                <w:rFonts w:ascii="標楷體" w:eastAsia="標楷體" w:hAnsi="標楷體" w:hint="eastAsia"/>
                <w:color w:val="000000" w:themeColor="text1"/>
                <w:spacing w:val="4"/>
              </w:rPr>
              <w:t>於翡翠水庫係優質水源，</w:t>
            </w:r>
            <w:proofErr w:type="gramStart"/>
            <w:r w:rsidRPr="005B313E">
              <w:rPr>
                <w:rFonts w:ascii="標楷體" w:eastAsia="標楷體" w:hAnsi="標楷體" w:hint="eastAsia"/>
                <w:color w:val="000000" w:themeColor="text1"/>
                <w:spacing w:val="4"/>
              </w:rPr>
              <w:t>惟非供</w:t>
            </w:r>
            <w:proofErr w:type="gramEnd"/>
            <w:r w:rsidRPr="005B313E">
              <w:rPr>
                <w:rFonts w:ascii="標楷體" w:eastAsia="標楷體" w:hAnsi="標楷體" w:hint="eastAsia"/>
                <w:color w:val="000000" w:themeColor="text1"/>
                <w:spacing w:val="4"/>
              </w:rPr>
              <w:t>民生用水之放流量可觀，允宜</w:t>
            </w:r>
            <w:proofErr w:type="gramStart"/>
            <w:r w:rsidRPr="005B313E">
              <w:rPr>
                <w:rFonts w:ascii="標楷體" w:eastAsia="標楷體" w:hAnsi="標楷體" w:hint="eastAsia"/>
                <w:color w:val="000000" w:themeColor="text1"/>
                <w:spacing w:val="4"/>
              </w:rPr>
              <w:t>研謀擴</w:t>
            </w:r>
            <w:proofErr w:type="gramEnd"/>
            <w:r w:rsidRPr="005B313E">
              <w:rPr>
                <w:rFonts w:ascii="標楷體" w:eastAsia="標楷體" w:hAnsi="標楷體" w:hint="eastAsia"/>
                <w:color w:val="000000" w:themeColor="text1"/>
                <w:spacing w:val="4"/>
              </w:rPr>
              <w:t>增供水量能與區域，以提升享用民眾人數。</w:t>
            </w:r>
          </w:p>
        </w:tc>
        <w:tc>
          <w:tcPr>
            <w:tcW w:w="3113" w:type="dxa"/>
            <w:tcBorders>
              <w:bottom w:val="single" w:sz="4" w:space="0" w:color="auto"/>
              <w:tl2br w:val="single" w:sz="4" w:space="0" w:color="auto"/>
            </w:tcBorders>
          </w:tcPr>
          <w:p w14:paraId="5CE92C4B" w14:textId="5CDD7276" w:rsidR="005A14A4" w:rsidRPr="00001BA4" w:rsidRDefault="005A14A4" w:rsidP="00824CD6">
            <w:pPr>
              <w:snapToGrid w:val="0"/>
              <w:spacing w:line="520" w:lineRule="exact"/>
              <w:jc w:val="both"/>
              <w:rPr>
                <w:rFonts w:ascii="標楷體" w:eastAsia="標楷體" w:hAnsi="標楷體"/>
                <w:color w:val="000000" w:themeColor="text1"/>
                <w:spacing w:val="4"/>
              </w:rPr>
            </w:pPr>
          </w:p>
        </w:tc>
      </w:tr>
      <w:tr w:rsidR="005A14A4" w:rsidRPr="000C5C56" w14:paraId="37726ED4" w14:textId="77777777" w:rsidTr="00C83B92">
        <w:trPr>
          <w:trHeight w:val="1020"/>
          <w:tblHeader/>
        </w:trPr>
        <w:tc>
          <w:tcPr>
            <w:tcW w:w="6799" w:type="dxa"/>
          </w:tcPr>
          <w:p w14:paraId="768A1977" w14:textId="046BC9F3" w:rsidR="005A14A4" w:rsidRPr="0015313B" w:rsidRDefault="005A14A4" w:rsidP="004F5C86">
            <w:pPr>
              <w:snapToGrid w:val="0"/>
              <w:spacing w:line="240" w:lineRule="exact"/>
              <w:ind w:left="582" w:hangingChars="280" w:hanging="582"/>
              <w:jc w:val="both"/>
              <w:rPr>
                <w:rFonts w:ascii="標楷體" w:eastAsia="標楷體" w:hAnsi="標楷體"/>
                <w:color w:val="000000" w:themeColor="text1"/>
                <w:spacing w:val="4"/>
              </w:rPr>
            </w:pPr>
            <w:r w:rsidRPr="000C5C56">
              <w:rPr>
                <w:rFonts w:ascii="標楷體" w:eastAsia="標楷體" w:hAnsi="標楷體" w:hint="eastAsia"/>
                <w:color w:val="000000" w:themeColor="text1"/>
                <w:spacing w:val="4"/>
              </w:rPr>
              <w:t>（二）</w:t>
            </w:r>
            <w:r w:rsidRPr="005B313E">
              <w:rPr>
                <w:rFonts w:ascii="標楷體" w:eastAsia="標楷體" w:hAnsi="標楷體" w:hint="eastAsia"/>
                <w:color w:val="000000" w:themeColor="text1"/>
                <w:spacing w:val="4"/>
              </w:rPr>
              <w:t>為完善供水設施並充分利用土地資源，辦理公館配水池</w:t>
            </w:r>
            <w:proofErr w:type="gramStart"/>
            <w:r w:rsidRPr="005B313E">
              <w:rPr>
                <w:rFonts w:ascii="標楷體" w:eastAsia="標楷體" w:hAnsi="標楷體" w:hint="eastAsia"/>
                <w:color w:val="000000" w:themeColor="text1"/>
                <w:spacing w:val="4"/>
              </w:rPr>
              <w:t>改建暨共構</w:t>
            </w:r>
            <w:proofErr w:type="gramEnd"/>
            <w:r w:rsidRPr="005B313E">
              <w:rPr>
                <w:rFonts w:ascii="標楷體" w:eastAsia="標楷體" w:hAnsi="標楷體" w:hint="eastAsia"/>
                <w:color w:val="000000" w:themeColor="text1"/>
                <w:spacing w:val="4"/>
              </w:rPr>
              <w:t>多目標綜合大樓計畫，經核有設計階段作業延遲，且未善盡審核責任，影響計畫期程，並造成多項契約項目漏列或數量錯誤，亟待檢討改善。</w:t>
            </w:r>
          </w:p>
        </w:tc>
        <w:tc>
          <w:tcPr>
            <w:tcW w:w="3113" w:type="dxa"/>
            <w:tcBorders>
              <w:tl2br w:val="nil"/>
            </w:tcBorders>
          </w:tcPr>
          <w:p w14:paraId="2AFFEEA1" w14:textId="77777777" w:rsidR="005A14A4" w:rsidRPr="000C5C56" w:rsidRDefault="005A14A4" w:rsidP="00824CD6">
            <w:pPr>
              <w:snapToGrid w:val="0"/>
              <w:spacing w:line="280" w:lineRule="exact"/>
              <w:ind w:leftChars="-30" w:left="-72"/>
              <w:jc w:val="both"/>
              <w:rPr>
                <w:rFonts w:ascii="標楷體" w:eastAsia="標楷體"/>
                <w:color w:val="000000" w:themeColor="text1"/>
                <w:spacing w:val="4"/>
              </w:rPr>
            </w:pPr>
            <w:r w:rsidRPr="00837BA6">
              <w:rPr>
                <w:rFonts w:ascii="標楷體" w:eastAsia="標楷體" w:hAnsi="標楷體" w:hint="eastAsia"/>
                <w:color w:val="000000" w:themeColor="text1"/>
                <w:spacing w:val="4"/>
              </w:rPr>
              <w:t>前經依法陳報監察院，</w:t>
            </w:r>
            <w:proofErr w:type="gramStart"/>
            <w:r w:rsidRPr="00837BA6">
              <w:rPr>
                <w:rFonts w:ascii="標楷體" w:eastAsia="標楷體" w:hAnsi="標楷體" w:hint="eastAsia"/>
                <w:color w:val="000000" w:themeColor="text1"/>
                <w:spacing w:val="4"/>
              </w:rPr>
              <w:t>該院業同意</w:t>
            </w:r>
            <w:proofErr w:type="gramEnd"/>
            <w:r w:rsidRPr="00837BA6">
              <w:rPr>
                <w:rFonts w:ascii="標楷體" w:eastAsia="標楷體" w:hAnsi="標楷體" w:hint="eastAsia"/>
                <w:color w:val="000000" w:themeColor="text1"/>
                <w:spacing w:val="4"/>
              </w:rPr>
              <w:t>備查，詳「</w:t>
            </w:r>
            <w:r>
              <w:rPr>
                <w:rFonts w:ascii="標楷體" w:eastAsia="標楷體" w:hAnsi="標楷體" w:hint="eastAsia"/>
                <w:color w:val="000000" w:themeColor="text1"/>
                <w:spacing w:val="4"/>
              </w:rPr>
              <w:t>五</w:t>
            </w:r>
            <w:r w:rsidRPr="00837BA6">
              <w:rPr>
                <w:rFonts w:ascii="標楷體" w:eastAsia="標楷體" w:hAnsi="標楷體" w:hint="eastAsia"/>
                <w:color w:val="000000" w:themeColor="text1"/>
                <w:spacing w:val="4"/>
              </w:rPr>
              <w:t>、其他事項」。</w:t>
            </w:r>
          </w:p>
        </w:tc>
      </w:tr>
      <w:tr w:rsidR="005A14A4" w:rsidRPr="000C5C56" w14:paraId="1670C930" w14:textId="77777777" w:rsidTr="00C83B92">
        <w:trPr>
          <w:trHeight w:val="567"/>
          <w:tblHeader/>
        </w:trPr>
        <w:tc>
          <w:tcPr>
            <w:tcW w:w="6799" w:type="dxa"/>
          </w:tcPr>
          <w:p w14:paraId="3C129AC6" w14:textId="0366BF8C" w:rsidR="005A14A4" w:rsidRPr="0015313B" w:rsidRDefault="005A14A4" w:rsidP="004F5C86">
            <w:pPr>
              <w:snapToGrid w:val="0"/>
              <w:spacing w:line="240" w:lineRule="exact"/>
              <w:ind w:left="582" w:hangingChars="280" w:hanging="582"/>
              <w:jc w:val="both"/>
              <w:rPr>
                <w:rFonts w:ascii="標楷體" w:eastAsia="標楷體" w:hAnsi="標楷體"/>
                <w:color w:val="000000" w:themeColor="text1"/>
                <w:spacing w:val="4"/>
              </w:rPr>
            </w:pPr>
            <w:r w:rsidRPr="000C5C56">
              <w:rPr>
                <w:rFonts w:ascii="標楷體" w:eastAsia="標楷體" w:hAnsi="標楷體" w:hint="eastAsia"/>
                <w:color w:val="000000" w:themeColor="text1"/>
                <w:spacing w:val="4"/>
              </w:rPr>
              <w:t>（</w:t>
            </w:r>
            <w:r>
              <w:rPr>
                <w:rFonts w:ascii="標楷體" w:eastAsia="標楷體" w:hAnsi="標楷體" w:hint="eastAsia"/>
                <w:color w:val="000000" w:themeColor="text1"/>
                <w:spacing w:val="4"/>
              </w:rPr>
              <w:t>三</w:t>
            </w:r>
            <w:r w:rsidRPr="000C5C56">
              <w:rPr>
                <w:rFonts w:ascii="標楷體" w:eastAsia="標楷體" w:hAnsi="標楷體" w:hint="eastAsia"/>
                <w:color w:val="000000" w:themeColor="text1"/>
                <w:spacing w:val="4"/>
              </w:rPr>
              <w:t>）</w:t>
            </w:r>
            <w:r w:rsidRPr="005B313E">
              <w:rPr>
                <w:rFonts w:ascii="標楷體" w:eastAsia="標楷體" w:hAnsi="標楷體" w:hint="eastAsia"/>
                <w:color w:val="000000" w:themeColor="text1"/>
                <w:spacing w:val="4"/>
              </w:rPr>
              <w:t>直潭二原粗坑頭水路1號明渠改善工程承商履約文件，核有部分工項以雷同照片計價2至15次不等，有待檢討處理。</w:t>
            </w:r>
          </w:p>
        </w:tc>
        <w:tc>
          <w:tcPr>
            <w:tcW w:w="3113" w:type="dxa"/>
            <w:vMerge w:val="restart"/>
            <w:tcBorders>
              <w:tl2br w:val="single" w:sz="4" w:space="0" w:color="auto"/>
            </w:tcBorders>
          </w:tcPr>
          <w:p w14:paraId="30C87D04" w14:textId="77777777" w:rsidR="005A14A4" w:rsidRPr="000C5C56" w:rsidRDefault="005A14A4" w:rsidP="00824CD6">
            <w:pPr>
              <w:snapToGrid w:val="0"/>
              <w:spacing w:line="520" w:lineRule="exact"/>
              <w:jc w:val="both"/>
              <w:rPr>
                <w:rFonts w:ascii="標楷體" w:eastAsia="標楷體"/>
                <w:color w:val="000000" w:themeColor="text1"/>
                <w:spacing w:val="4"/>
              </w:rPr>
            </w:pPr>
          </w:p>
        </w:tc>
      </w:tr>
      <w:tr w:rsidR="005A14A4" w:rsidRPr="000C5C56" w14:paraId="3F493D83" w14:textId="77777777" w:rsidTr="00C83B92">
        <w:trPr>
          <w:trHeight w:val="794"/>
          <w:tblHeader/>
        </w:trPr>
        <w:tc>
          <w:tcPr>
            <w:tcW w:w="6799" w:type="dxa"/>
          </w:tcPr>
          <w:p w14:paraId="7FE2FBE4" w14:textId="1952F967" w:rsidR="005A14A4" w:rsidRPr="0015313B" w:rsidRDefault="005A14A4" w:rsidP="004F5C86">
            <w:pPr>
              <w:snapToGrid w:val="0"/>
              <w:spacing w:line="240" w:lineRule="exact"/>
              <w:ind w:left="582" w:hangingChars="280" w:hanging="582"/>
              <w:jc w:val="both"/>
              <w:rPr>
                <w:rFonts w:ascii="標楷體" w:eastAsia="標楷體" w:hAnsi="標楷體"/>
                <w:color w:val="000000" w:themeColor="text1"/>
                <w:spacing w:val="4"/>
              </w:rPr>
            </w:pPr>
            <w:r w:rsidRPr="000C5C56">
              <w:rPr>
                <w:rFonts w:ascii="標楷體" w:eastAsia="標楷體" w:hAnsi="標楷體" w:hint="eastAsia"/>
                <w:color w:val="000000" w:themeColor="text1"/>
                <w:spacing w:val="4"/>
              </w:rPr>
              <w:t>（</w:t>
            </w:r>
            <w:r>
              <w:rPr>
                <w:rFonts w:ascii="標楷體" w:eastAsia="標楷體" w:hAnsi="標楷體" w:hint="eastAsia"/>
                <w:color w:val="000000" w:themeColor="text1"/>
                <w:spacing w:val="4"/>
              </w:rPr>
              <w:t>四</w:t>
            </w:r>
            <w:r w:rsidRPr="000C5C56">
              <w:rPr>
                <w:rFonts w:ascii="標楷體" w:eastAsia="標楷體" w:hAnsi="標楷體" w:hint="eastAsia"/>
                <w:color w:val="000000" w:themeColor="text1"/>
                <w:spacing w:val="4"/>
              </w:rPr>
              <w:t>）</w:t>
            </w:r>
            <w:r w:rsidRPr="005B313E">
              <w:rPr>
                <w:rFonts w:ascii="標楷體" w:eastAsia="標楷體" w:hAnsi="標楷體" w:hint="eastAsia"/>
                <w:color w:val="000000" w:themeColor="text1"/>
                <w:spacing w:val="4"/>
              </w:rPr>
              <w:t>士林區凱旋路房舍改建工程計畫可行性評估有欠周詳且未與民眾充分溝通，終因公益性不足等原因而停辦，肇致設計費等不經濟支出，有待檢討改善。</w:t>
            </w:r>
          </w:p>
        </w:tc>
        <w:tc>
          <w:tcPr>
            <w:tcW w:w="3113" w:type="dxa"/>
            <w:vMerge/>
            <w:tcBorders>
              <w:tl2br w:val="single" w:sz="4" w:space="0" w:color="auto"/>
            </w:tcBorders>
          </w:tcPr>
          <w:p w14:paraId="41E668A4" w14:textId="77777777" w:rsidR="005A14A4" w:rsidRPr="000C5C56" w:rsidRDefault="005A14A4" w:rsidP="00824CD6">
            <w:pPr>
              <w:snapToGrid w:val="0"/>
              <w:spacing w:line="520" w:lineRule="exact"/>
              <w:jc w:val="both"/>
              <w:rPr>
                <w:rFonts w:ascii="標楷體" w:eastAsia="標楷體"/>
                <w:color w:val="000000" w:themeColor="text1"/>
                <w:spacing w:val="4"/>
              </w:rPr>
            </w:pPr>
          </w:p>
        </w:tc>
      </w:tr>
      <w:tr w:rsidR="005A14A4" w:rsidRPr="000C5C56" w14:paraId="33B9B4AA" w14:textId="77777777" w:rsidTr="00227BD2">
        <w:trPr>
          <w:trHeight w:val="567"/>
          <w:tblHeader/>
        </w:trPr>
        <w:tc>
          <w:tcPr>
            <w:tcW w:w="6799" w:type="dxa"/>
          </w:tcPr>
          <w:p w14:paraId="77C98D93" w14:textId="124E3740" w:rsidR="005A14A4" w:rsidRPr="005B313E" w:rsidRDefault="005A14A4" w:rsidP="004F5C86">
            <w:pPr>
              <w:snapToGrid w:val="0"/>
              <w:spacing w:line="240" w:lineRule="exact"/>
              <w:ind w:left="582" w:hangingChars="280" w:hanging="582"/>
              <w:jc w:val="both"/>
              <w:rPr>
                <w:rFonts w:ascii="標楷體" w:eastAsia="標楷體" w:hAnsi="標楷體"/>
                <w:color w:val="000000" w:themeColor="text1"/>
                <w:spacing w:val="4"/>
              </w:rPr>
            </w:pPr>
            <w:r w:rsidRPr="000C5C56">
              <w:rPr>
                <w:rFonts w:ascii="標楷體" w:eastAsia="標楷體" w:hAnsi="標楷體" w:hint="eastAsia"/>
                <w:color w:val="000000" w:themeColor="text1"/>
                <w:spacing w:val="4"/>
              </w:rPr>
              <w:t>（</w:t>
            </w:r>
            <w:r>
              <w:rPr>
                <w:rFonts w:ascii="標楷體" w:eastAsia="標楷體" w:hAnsi="標楷體" w:hint="eastAsia"/>
                <w:color w:val="000000" w:themeColor="text1"/>
                <w:spacing w:val="4"/>
              </w:rPr>
              <w:t>五</w:t>
            </w:r>
            <w:r w:rsidRPr="000C5C56">
              <w:rPr>
                <w:rFonts w:ascii="標楷體" w:eastAsia="標楷體" w:hAnsi="標楷體" w:hint="eastAsia"/>
                <w:color w:val="000000" w:themeColor="text1"/>
                <w:spacing w:val="4"/>
              </w:rPr>
              <w:t>）</w:t>
            </w:r>
            <w:r w:rsidRPr="005B313E">
              <w:rPr>
                <w:rFonts w:ascii="標楷體" w:eastAsia="標楷體" w:hAnsi="標楷體" w:hint="eastAsia"/>
                <w:color w:val="000000" w:themeColor="text1"/>
                <w:spacing w:val="4"/>
              </w:rPr>
              <w:t>經管「草山水道系統」市定古蹟，未向文化局提報古蹟修復及再利用計畫前，即增設階梯扶手，肇致相關不經濟支出，</w:t>
            </w:r>
            <w:proofErr w:type="gramStart"/>
            <w:r w:rsidRPr="005B313E">
              <w:rPr>
                <w:rFonts w:ascii="標楷體" w:eastAsia="標楷體" w:hAnsi="標楷體" w:hint="eastAsia"/>
                <w:color w:val="000000" w:themeColor="text1"/>
                <w:spacing w:val="4"/>
              </w:rPr>
              <w:t>允待檢討</w:t>
            </w:r>
            <w:proofErr w:type="gramEnd"/>
            <w:r w:rsidRPr="005B313E">
              <w:rPr>
                <w:rFonts w:ascii="標楷體" w:eastAsia="標楷體" w:hAnsi="標楷體" w:hint="eastAsia"/>
                <w:color w:val="000000" w:themeColor="text1"/>
                <w:spacing w:val="4"/>
              </w:rPr>
              <w:t>改善。</w:t>
            </w:r>
          </w:p>
        </w:tc>
        <w:tc>
          <w:tcPr>
            <w:tcW w:w="3113" w:type="dxa"/>
            <w:vMerge/>
            <w:tcBorders>
              <w:tl2br w:val="single" w:sz="4" w:space="0" w:color="auto"/>
            </w:tcBorders>
          </w:tcPr>
          <w:p w14:paraId="0A492915" w14:textId="77777777" w:rsidR="005A14A4" w:rsidRPr="005B313E" w:rsidRDefault="005A14A4" w:rsidP="00824CD6">
            <w:pPr>
              <w:snapToGrid w:val="0"/>
              <w:spacing w:line="280" w:lineRule="exact"/>
              <w:ind w:left="582" w:hangingChars="280" w:hanging="582"/>
              <w:jc w:val="both"/>
              <w:rPr>
                <w:rFonts w:ascii="標楷體" w:eastAsia="標楷體" w:hAnsi="標楷體"/>
                <w:color w:val="000000" w:themeColor="text1"/>
                <w:spacing w:val="4"/>
              </w:rPr>
            </w:pPr>
          </w:p>
        </w:tc>
      </w:tr>
    </w:tbl>
    <w:p w14:paraId="7654B3C6" w14:textId="6D846715" w:rsidR="005A14A4" w:rsidRPr="006C5CCA" w:rsidRDefault="005A14A4" w:rsidP="00A778C8">
      <w:pPr>
        <w:widowControl/>
        <w:suppressAutoHyphens/>
        <w:overflowPunct w:val="0"/>
        <w:spacing w:beforeLines="50" w:before="180" w:line="400" w:lineRule="exact"/>
        <w:jc w:val="both"/>
        <w:outlineLvl w:val="2"/>
        <w:rPr>
          <w:rFonts w:ascii="標楷體" w:eastAsia="標楷體"/>
          <w:b/>
          <w:sz w:val="32"/>
          <w:szCs w:val="32"/>
        </w:rPr>
      </w:pPr>
      <w:r>
        <w:rPr>
          <w:rFonts w:ascii="標楷體" w:eastAsia="標楷體" w:hint="eastAsia"/>
          <w:b/>
          <w:sz w:val="32"/>
          <w:szCs w:val="32"/>
        </w:rPr>
        <w:t>五</w:t>
      </w:r>
      <w:r w:rsidRPr="00AB787A">
        <w:rPr>
          <w:rFonts w:ascii="標楷體" w:eastAsia="標楷體" w:hint="eastAsia"/>
          <w:b/>
          <w:sz w:val="32"/>
          <w:szCs w:val="32"/>
        </w:rPr>
        <w:t>、其他事項</w:t>
      </w:r>
    </w:p>
    <w:p w14:paraId="10B05F04" w14:textId="5939DD31" w:rsidR="006A6E44" w:rsidRDefault="00227BD2" w:rsidP="006A6E44">
      <w:pPr>
        <w:overflowPunct w:val="0"/>
        <w:spacing w:line="380" w:lineRule="exact"/>
        <w:ind w:firstLineChars="200" w:firstLine="472"/>
        <w:jc w:val="both"/>
        <w:rPr>
          <w:rFonts w:ascii="標楷體" w:eastAsia="標楷體" w:hAnsi="標楷體" w:cs="Times New Roman"/>
          <w:spacing w:val="-2"/>
          <w:szCs w:val="24"/>
        </w:rPr>
      </w:pPr>
      <w:proofErr w:type="gramStart"/>
      <w:r w:rsidRPr="00227BD2">
        <w:rPr>
          <w:rFonts w:ascii="標楷體" w:eastAsia="標楷體" w:hAnsi="標楷體" w:cs="Times New Roman" w:hint="eastAsia"/>
          <w:spacing w:val="-2"/>
          <w:szCs w:val="24"/>
        </w:rPr>
        <w:t>臺</w:t>
      </w:r>
      <w:proofErr w:type="gramEnd"/>
      <w:r w:rsidRPr="00227BD2">
        <w:rPr>
          <w:rFonts w:ascii="標楷體" w:eastAsia="標楷體" w:hAnsi="標楷體" w:cs="Times New Roman" w:hint="eastAsia"/>
          <w:spacing w:val="-2"/>
          <w:szCs w:val="24"/>
        </w:rPr>
        <w:t>北自來水事業處辦理公館配水池</w:t>
      </w:r>
      <w:proofErr w:type="gramStart"/>
      <w:r w:rsidRPr="00227BD2">
        <w:rPr>
          <w:rFonts w:ascii="標楷體" w:eastAsia="標楷體" w:hAnsi="標楷體" w:cs="Times New Roman" w:hint="eastAsia"/>
          <w:spacing w:val="-2"/>
          <w:szCs w:val="24"/>
        </w:rPr>
        <w:t>改建暨共構</w:t>
      </w:r>
      <w:proofErr w:type="gramEnd"/>
      <w:r w:rsidRPr="00227BD2">
        <w:rPr>
          <w:rFonts w:ascii="標楷體" w:eastAsia="標楷體" w:hAnsi="標楷體" w:cs="Times New Roman" w:hint="eastAsia"/>
          <w:spacing w:val="-2"/>
          <w:szCs w:val="24"/>
        </w:rPr>
        <w:t>多目標綜合大樓計畫，核有：該處未積極辦理委託設計監造案招標作業，相關需求復未及早定案，影響基本設計、建照申辦及細部設計期程，致細部設計成果核定時點已逾原定中程計畫預定期程2年餘；未善盡細部設計作業審核責任，工程發包後始察覺設計錯漏，復因部分工項變更預算與廠商報價差異過大，已逾1年3個月始完成第3次變更設計議價程序，迄未依約檢討設計責任，且履約期間監造未</w:t>
      </w:r>
      <w:proofErr w:type="gramStart"/>
      <w:r w:rsidRPr="00227BD2">
        <w:rPr>
          <w:rFonts w:ascii="標楷體" w:eastAsia="標楷體" w:hAnsi="標楷體" w:cs="Times New Roman" w:hint="eastAsia"/>
          <w:spacing w:val="-2"/>
          <w:szCs w:val="24"/>
        </w:rPr>
        <w:t>臻</w:t>
      </w:r>
      <w:proofErr w:type="gramEnd"/>
      <w:r w:rsidRPr="00227BD2">
        <w:rPr>
          <w:rFonts w:ascii="標楷體" w:eastAsia="標楷體" w:hAnsi="標楷體" w:cs="Times New Roman" w:hint="eastAsia"/>
          <w:spacing w:val="-2"/>
          <w:szCs w:val="24"/>
        </w:rPr>
        <w:t>嚴謹，部分工項施工情形是否符合契約規範存有疑義，該處亦未督促檢討改善等情事，經依審計法第69條第1項規定，函請臺北市政府</w:t>
      </w:r>
      <w:proofErr w:type="gramStart"/>
      <w:r w:rsidRPr="00227BD2">
        <w:rPr>
          <w:rFonts w:ascii="標楷體" w:eastAsia="標楷體" w:hAnsi="標楷體" w:cs="Times New Roman" w:hint="eastAsia"/>
          <w:spacing w:val="-2"/>
          <w:szCs w:val="24"/>
        </w:rPr>
        <w:t>查明妥處</w:t>
      </w:r>
      <w:proofErr w:type="gramEnd"/>
      <w:r w:rsidRPr="00227BD2">
        <w:rPr>
          <w:rFonts w:ascii="標楷體" w:eastAsia="標楷體" w:hAnsi="標楷體" w:cs="Times New Roman" w:hint="eastAsia"/>
          <w:spacing w:val="-2"/>
          <w:szCs w:val="24"/>
        </w:rPr>
        <w:t>，並報告監察院。</w:t>
      </w:r>
      <w:proofErr w:type="gramStart"/>
      <w:r w:rsidRPr="00227BD2">
        <w:rPr>
          <w:rFonts w:ascii="標楷體" w:eastAsia="標楷體" w:hAnsi="標楷體" w:cs="Times New Roman" w:hint="eastAsia"/>
          <w:spacing w:val="-2"/>
          <w:szCs w:val="24"/>
        </w:rPr>
        <w:t>嗣</w:t>
      </w:r>
      <w:proofErr w:type="gramEnd"/>
      <w:r w:rsidRPr="00227BD2">
        <w:rPr>
          <w:rFonts w:ascii="標楷體" w:eastAsia="標楷體" w:hAnsi="標楷體" w:cs="Times New Roman" w:hint="eastAsia"/>
          <w:spacing w:val="-2"/>
          <w:szCs w:val="24"/>
        </w:rPr>
        <w:t>經該府</w:t>
      </w:r>
      <w:proofErr w:type="gramStart"/>
      <w:r w:rsidRPr="00227BD2">
        <w:rPr>
          <w:rFonts w:ascii="標楷體" w:eastAsia="標楷體" w:hAnsi="標楷體" w:cs="Times New Roman" w:hint="eastAsia"/>
          <w:spacing w:val="-2"/>
          <w:szCs w:val="24"/>
        </w:rPr>
        <w:t>研</w:t>
      </w:r>
      <w:proofErr w:type="gramEnd"/>
      <w:r w:rsidRPr="00227BD2">
        <w:rPr>
          <w:rFonts w:ascii="標楷體" w:eastAsia="標楷體" w:hAnsi="標楷體" w:cs="Times New Roman" w:hint="eastAsia"/>
          <w:spacing w:val="-2"/>
          <w:szCs w:val="24"/>
        </w:rPr>
        <w:t>提：嗣後辦理類似工程時，對於時程規劃應再保留彈性及足夠之餘</w:t>
      </w:r>
      <w:proofErr w:type="gramStart"/>
      <w:r w:rsidRPr="00227BD2">
        <w:rPr>
          <w:rFonts w:ascii="標楷體" w:eastAsia="標楷體" w:hAnsi="標楷體" w:cs="Times New Roman" w:hint="eastAsia"/>
          <w:spacing w:val="-2"/>
          <w:szCs w:val="24"/>
        </w:rPr>
        <w:t>裕</w:t>
      </w:r>
      <w:proofErr w:type="gramEnd"/>
      <w:r w:rsidRPr="00227BD2">
        <w:rPr>
          <w:rFonts w:ascii="標楷體" w:eastAsia="標楷體" w:hAnsi="標楷體" w:cs="Times New Roman" w:hint="eastAsia"/>
          <w:spacing w:val="-2"/>
          <w:szCs w:val="24"/>
        </w:rPr>
        <w:t>，並嚴格控管各階段應完成里程碑目標，避免再有相關延宕情事重複發生。另經檢討設計錯漏程度已達契約規定扣罰懲罰性違約金標準，將</w:t>
      </w:r>
      <w:proofErr w:type="gramStart"/>
      <w:r w:rsidRPr="00227BD2">
        <w:rPr>
          <w:rFonts w:ascii="標楷體" w:eastAsia="標楷體" w:hAnsi="標楷體" w:cs="Times New Roman" w:hint="eastAsia"/>
          <w:spacing w:val="-2"/>
          <w:szCs w:val="24"/>
        </w:rPr>
        <w:t>俟</w:t>
      </w:r>
      <w:proofErr w:type="gramEnd"/>
      <w:r w:rsidRPr="00227BD2">
        <w:rPr>
          <w:rFonts w:ascii="標楷體" w:eastAsia="標楷體" w:hAnsi="標楷體" w:cs="Times New Roman" w:hint="eastAsia"/>
          <w:spacing w:val="-2"/>
          <w:szCs w:val="24"/>
        </w:rPr>
        <w:t>完工</w:t>
      </w:r>
      <w:proofErr w:type="gramStart"/>
      <w:r w:rsidRPr="00227BD2">
        <w:rPr>
          <w:rFonts w:ascii="標楷體" w:eastAsia="標楷體" w:hAnsi="標楷體" w:cs="Times New Roman" w:hint="eastAsia"/>
          <w:spacing w:val="-2"/>
          <w:szCs w:val="24"/>
        </w:rPr>
        <w:t>結算時扣罰</w:t>
      </w:r>
      <w:proofErr w:type="gramEnd"/>
      <w:r w:rsidRPr="00227BD2">
        <w:rPr>
          <w:rFonts w:ascii="標楷體" w:eastAsia="標楷體" w:hAnsi="標楷體" w:cs="Times New Roman" w:hint="eastAsia"/>
          <w:spacing w:val="-2"/>
          <w:szCs w:val="24"/>
        </w:rPr>
        <w:t>委託設計監造廠商，及</w:t>
      </w:r>
      <w:proofErr w:type="gramStart"/>
      <w:r w:rsidRPr="00227BD2">
        <w:rPr>
          <w:rFonts w:ascii="標楷體" w:eastAsia="標楷體" w:hAnsi="標楷體" w:cs="Times New Roman" w:hint="eastAsia"/>
          <w:spacing w:val="-2"/>
          <w:szCs w:val="24"/>
        </w:rPr>
        <w:t>研</w:t>
      </w:r>
      <w:proofErr w:type="gramEnd"/>
      <w:r w:rsidRPr="00227BD2">
        <w:rPr>
          <w:rFonts w:ascii="標楷體" w:eastAsia="標楷體" w:hAnsi="標楷體" w:cs="Times New Roman" w:hint="eastAsia"/>
          <w:spacing w:val="-2"/>
          <w:szCs w:val="24"/>
        </w:rPr>
        <w:t>擬針對巨型建築或特性複雜之專案工程委託專案管理，避免因機關無法進行細部檢核造成缺漏之情形；為改善議價程序冗長情事，已訂定「3次議價不成案件以最後一次議價底價辦理後續作業」流程及修訂「新增項目預算編列市場訪、</w:t>
      </w:r>
      <w:proofErr w:type="gramStart"/>
      <w:r w:rsidRPr="00227BD2">
        <w:rPr>
          <w:rFonts w:ascii="標楷體" w:eastAsia="標楷體" w:hAnsi="標楷體" w:cs="Times New Roman" w:hint="eastAsia"/>
          <w:spacing w:val="-2"/>
          <w:szCs w:val="24"/>
        </w:rPr>
        <w:t>詢</w:t>
      </w:r>
      <w:proofErr w:type="gramEnd"/>
      <w:r w:rsidRPr="00227BD2">
        <w:rPr>
          <w:rFonts w:ascii="標楷體" w:eastAsia="標楷體" w:hAnsi="標楷體" w:cs="Times New Roman" w:hint="eastAsia"/>
          <w:spacing w:val="-2"/>
          <w:szCs w:val="24"/>
        </w:rPr>
        <w:t>價標準作業」流程，以提高行政效率；至相關施工品管文件繕寫錯誤，監造作業亦未</w:t>
      </w:r>
      <w:proofErr w:type="gramStart"/>
      <w:r w:rsidRPr="00227BD2">
        <w:rPr>
          <w:rFonts w:ascii="標楷體" w:eastAsia="標楷體" w:hAnsi="標楷體" w:cs="Times New Roman" w:hint="eastAsia"/>
          <w:spacing w:val="-2"/>
          <w:szCs w:val="24"/>
        </w:rPr>
        <w:t>臻</w:t>
      </w:r>
      <w:proofErr w:type="gramEnd"/>
      <w:r w:rsidRPr="00227BD2">
        <w:rPr>
          <w:rFonts w:ascii="標楷體" w:eastAsia="標楷體" w:hAnsi="標楷體" w:cs="Times New Roman" w:hint="eastAsia"/>
          <w:spacing w:val="-2"/>
          <w:szCs w:val="24"/>
        </w:rPr>
        <w:t>嚴謹，致生施工項目未符契約規範之疑義，已檢討扣罰施工廠商及監造廠商，並督促改正等改善措施。案經本處函報</w:t>
      </w:r>
      <w:proofErr w:type="gramStart"/>
      <w:r w:rsidRPr="00227BD2">
        <w:rPr>
          <w:rFonts w:ascii="標楷體" w:eastAsia="標楷體" w:hAnsi="標楷體" w:cs="Times New Roman" w:hint="eastAsia"/>
          <w:spacing w:val="-2"/>
          <w:szCs w:val="24"/>
        </w:rPr>
        <w:t>審計部陳報</w:t>
      </w:r>
      <w:proofErr w:type="gramEnd"/>
      <w:r w:rsidRPr="00227BD2">
        <w:rPr>
          <w:rFonts w:ascii="標楷體" w:eastAsia="標楷體" w:hAnsi="標楷體" w:cs="Times New Roman" w:hint="eastAsia"/>
          <w:spacing w:val="-2"/>
          <w:szCs w:val="24"/>
        </w:rPr>
        <w:t>監察院，於114年1月14日獲同意備查。</w:t>
      </w:r>
      <w:r w:rsidR="006A6E44">
        <w:rPr>
          <w:rFonts w:ascii="標楷體" w:eastAsia="標楷體" w:hAnsi="標楷體" w:cs="Times New Roman"/>
          <w:spacing w:val="-2"/>
          <w:szCs w:val="24"/>
        </w:rPr>
        <w:br w:type="page"/>
      </w:r>
    </w:p>
    <w:p w14:paraId="4D40FDE7" w14:textId="77777777" w:rsidR="00406878" w:rsidRPr="00397AEE" w:rsidRDefault="00406878" w:rsidP="00406878">
      <w:pPr>
        <w:overflowPunct w:val="0"/>
        <w:autoSpaceDE w:val="0"/>
        <w:autoSpaceDN w:val="0"/>
        <w:spacing w:after="60"/>
        <w:jc w:val="both"/>
        <w:outlineLvl w:val="1"/>
        <w:rPr>
          <w:rFonts w:ascii="標楷體" w:eastAsia="標楷體" w:hAnsi="標楷體" w:cs="Times New Roman"/>
          <w:b/>
          <w:kern w:val="0"/>
          <w:sz w:val="36"/>
          <w:szCs w:val="36"/>
        </w:rPr>
      </w:pPr>
      <w:r w:rsidRPr="00397AEE">
        <w:rPr>
          <w:rFonts w:ascii="標楷體" w:eastAsia="標楷體" w:hAnsi="標楷體" w:cs="Times New Roman" w:hint="eastAsia"/>
          <w:b/>
          <w:kern w:val="0"/>
          <w:sz w:val="36"/>
          <w:szCs w:val="36"/>
        </w:rPr>
        <w:lastRenderedPageBreak/>
        <w:t>貳拾貳、體育局主管</w:t>
      </w:r>
    </w:p>
    <w:p w14:paraId="51596AA6" w14:textId="77777777" w:rsidR="00406878" w:rsidRPr="003B3FDA" w:rsidRDefault="00406878" w:rsidP="00406878">
      <w:pPr>
        <w:widowControl/>
        <w:overflowPunct w:val="0"/>
        <w:autoSpaceDE w:val="0"/>
        <w:autoSpaceDN w:val="0"/>
        <w:spacing w:before="240" w:after="60" w:line="440" w:lineRule="exact"/>
        <w:ind w:firstLineChars="200" w:firstLine="480"/>
        <w:jc w:val="both"/>
        <w:rPr>
          <w:rFonts w:ascii="標楷體" w:eastAsia="標楷體" w:hAnsi="Times New Roman" w:cs="Times New Roman"/>
          <w:color w:val="000000"/>
          <w:szCs w:val="24"/>
        </w:rPr>
      </w:pPr>
      <w:r w:rsidRPr="003B3FDA">
        <w:rPr>
          <w:rFonts w:ascii="標楷體" w:eastAsia="標楷體" w:hAnsi="Times New Roman" w:cs="Times New Roman" w:hint="eastAsia"/>
          <w:color w:val="000000"/>
          <w:szCs w:val="24"/>
        </w:rPr>
        <w:t>體育局主管僅體育局1個機關，掌理</w:t>
      </w:r>
      <w:r>
        <w:rPr>
          <w:rFonts w:ascii="標楷體" w:eastAsia="標楷體" w:hAnsi="Times New Roman" w:cs="Times New Roman" w:hint="eastAsia"/>
          <w:color w:val="000000"/>
          <w:szCs w:val="24"/>
        </w:rPr>
        <w:t>臺北市</w:t>
      </w:r>
      <w:r w:rsidRPr="003B3FDA">
        <w:rPr>
          <w:rFonts w:ascii="標楷體" w:eastAsia="標楷體" w:hAnsi="Times New Roman" w:cs="Times New Roman" w:hint="eastAsia"/>
          <w:color w:val="000000"/>
          <w:szCs w:val="24"/>
        </w:rPr>
        <w:t>體育政策、公有運動設施與場</w:t>
      </w:r>
      <w:r>
        <w:rPr>
          <w:rFonts w:ascii="標楷體" w:eastAsia="標楷體" w:hAnsi="Times New Roman" w:cs="Times New Roman" w:hint="eastAsia"/>
          <w:color w:val="000000"/>
          <w:szCs w:val="24"/>
        </w:rPr>
        <w:t>館、全國性運動會與國際競賽項目長期發展之規劃與推動及賽會申辦等業務</w:t>
      </w:r>
      <w:r w:rsidRPr="003B3FDA">
        <w:rPr>
          <w:rFonts w:ascii="標楷體" w:eastAsia="標楷體" w:hAnsi="Times New Roman" w:cs="Times New Roman" w:hint="eastAsia"/>
          <w:color w:val="000000"/>
          <w:szCs w:val="24"/>
        </w:rPr>
        <w:t>。</w:t>
      </w:r>
      <w:r w:rsidRPr="001A5B22">
        <w:rPr>
          <w:rFonts w:ascii="標楷體" w:eastAsia="標楷體" w:hAnsi="Times New Roman" w:cs="Times New Roman" w:hint="eastAsia"/>
          <w:color w:val="000000"/>
          <w:spacing w:val="-4"/>
          <w:szCs w:val="24"/>
        </w:rPr>
        <w:t>茲將</w:t>
      </w:r>
      <w:proofErr w:type="gramStart"/>
      <w:r w:rsidRPr="001A5B22">
        <w:rPr>
          <w:rFonts w:ascii="標楷體" w:eastAsia="標楷體" w:hAnsi="Times New Roman" w:cs="Times New Roman" w:hint="eastAsia"/>
          <w:color w:val="000000"/>
          <w:spacing w:val="-4"/>
          <w:szCs w:val="24"/>
        </w:rPr>
        <w:t>1</w:t>
      </w:r>
      <w:r w:rsidRPr="001A5B22">
        <w:rPr>
          <w:rFonts w:ascii="標楷體" w:eastAsia="標楷體" w:hAnsi="Times New Roman" w:cs="Times New Roman"/>
          <w:color w:val="000000"/>
          <w:spacing w:val="-4"/>
          <w:szCs w:val="24"/>
        </w:rPr>
        <w:t>13</w:t>
      </w:r>
      <w:proofErr w:type="gramEnd"/>
      <w:r w:rsidRPr="001A5B22">
        <w:rPr>
          <w:rFonts w:ascii="標楷體" w:eastAsia="標楷體" w:hAnsi="Times New Roman" w:cs="Times New Roman" w:hint="eastAsia"/>
          <w:color w:val="000000"/>
          <w:spacing w:val="-4"/>
          <w:szCs w:val="24"/>
        </w:rPr>
        <w:t>年度決算審核結果說明如次：</w:t>
      </w:r>
    </w:p>
    <w:p w14:paraId="6E5D3313" w14:textId="77777777" w:rsidR="00406878" w:rsidRPr="00397AEE" w:rsidRDefault="00406878" w:rsidP="00406878">
      <w:pPr>
        <w:overflowPunct w:val="0"/>
        <w:autoSpaceDE w:val="0"/>
        <w:autoSpaceDN w:val="0"/>
        <w:spacing w:beforeLines="50" w:before="180" w:line="440" w:lineRule="exact"/>
        <w:ind w:firstLineChars="100" w:firstLine="280"/>
        <w:outlineLvl w:val="0"/>
        <w:rPr>
          <w:rFonts w:ascii="標楷體" w:eastAsia="標楷體" w:hAnsi="標楷體" w:cs="Times New Roman"/>
          <w:b/>
          <w:kern w:val="0"/>
          <w:sz w:val="28"/>
          <w:szCs w:val="28"/>
        </w:rPr>
      </w:pPr>
      <w:r>
        <w:rPr>
          <w:rFonts w:ascii="標楷體" w:eastAsia="標楷體" w:hAnsi="標楷體" w:cs="Times New Roman" w:hint="eastAsia"/>
          <w:b/>
          <w:kern w:val="0"/>
          <w:sz w:val="28"/>
          <w:szCs w:val="28"/>
        </w:rPr>
        <w:t>（</w:t>
      </w:r>
      <w:proofErr w:type="gramStart"/>
      <w:r>
        <w:rPr>
          <w:rFonts w:ascii="標楷體" w:eastAsia="標楷體" w:hAnsi="標楷體" w:cs="Times New Roman" w:hint="eastAsia"/>
          <w:b/>
          <w:kern w:val="0"/>
          <w:sz w:val="28"/>
          <w:szCs w:val="28"/>
        </w:rPr>
        <w:t>ㄧ</w:t>
      </w:r>
      <w:proofErr w:type="gramEnd"/>
      <w:r>
        <w:rPr>
          <w:rFonts w:ascii="標楷體" w:eastAsia="標楷體" w:hAnsi="標楷體" w:cs="Times New Roman" w:hint="eastAsia"/>
          <w:b/>
          <w:kern w:val="0"/>
          <w:sz w:val="28"/>
          <w:szCs w:val="28"/>
        </w:rPr>
        <w:t>）</w:t>
      </w:r>
      <w:r w:rsidRPr="00397AEE">
        <w:rPr>
          <w:rFonts w:ascii="標楷體" w:eastAsia="標楷體" w:hAnsi="標楷體" w:cs="Times New Roman" w:hint="eastAsia"/>
          <w:b/>
          <w:kern w:val="0"/>
          <w:sz w:val="28"/>
          <w:szCs w:val="28"/>
        </w:rPr>
        <w:t>計畫實施之查核</w:t>
      </w:r>
    </w:p>
    <w:p w14:paraId="087D58C4" w14:textId="77777777" w:rsidR="00406878" w:rsidRPr="00E3787A" w:rsidRDefault="00406878" w:rsidP="00406878">
      <w:pPr>
        <w:widowControl/>
        <w:overflowPunct w:val="0"/>
        <w:autoSpaceDE w:val="0"/>
        <w:autoSpaceDN w:val="0"/>
        <w:spacing w:before="60" w:after="40" w:line="440" w:lineRule="exact"/>
        <w:ind w:firstLineChars="200" w:firstLine="480"/>
        <w:jc w:val="both"/>
        <w:rPr>
          <w:rFonts w:ascii="標楷體" w:eastAsia="標楷體" w:hAnsi="Times New Roman" w:cs="Times New Roman"/>
          <w:color w:val="FF0000"/>
          <w:szCs w:val="24"/>
        </w:rPr>
      </w:pPr>
      <w:r w:rsidRPr="00F351D8">
        <w:rPr>
          <w:rFonts w:ascii="標楷體" w:eastAsia="標楷體" w:hAnsi="Times New Roman" w:cs="Times New Roman" w:hint="eastAsia"/>
          <w:color w:val="000000"/>
          <w:szCs w:val="24"/>
        </w:rPr>
        <w:t>業務計畫</w:t>
      </w:r>
      <w:r w:rsidRPr="00F351D8">
        <w:rPr>
          <w:rFonts w:ascii="標楷體" w:eastAsia="標楷體" w:hAnsi="Times New Roman" w:cs="Times New Roman" w:hint="eastAsia"/>
          <w:szCs w:val="24"/>
        </w:rPr>
        <w:t>5</w:t>
      </w:r>
      <w:r w:rsidRPr="00F351D8">
        <w:rPr>
          <w:rFonts w:ascii="標楷體" w:eastAsia="標楷體" w:hAnsi="Times New Roman" w:cs="Times New Roman" w:hint="eastAsia"/>
          <w:color w:val="000000"/>
          <w:szCs w:val="24"/>
        </w:rPr>
        <w:t>項，下分工作計畫</w:t>
      </w:r>
      <w:r w:rsidRPr="00F351D8">
        <w:rPr>
          <w:rFonts w:ascii="標楷體" w:eastAsia="標楷體" w:hAnsi="Times New Roman" w:cs="Times New Roman"/>
          <w:color w:val="000000"/>
          <w:szCs w:val="24"/>
        </w:rPr>
        <w:t>8</w:t>
      </w:r>
      <w:r w:rsidRPr="00F351D8">
        <w:rPr>
          <w:rFonts w:ascii="標楷體" w:eastAsia="標楷體" w:hAnsi="Times New Roman" w:cs="Times New Roman" w:hint="eastAsia"/>
          <w:color w:val="000000"/>
          <w:szCs w:val="24"/>
        </w:rPr>
        <w:t>項，</w:t>
      </w:r>
      <w:r w:rsidRPr="000513B1">
        <w:rPr>
          <w:rFonts w:ascii="標楷體" w:eastAsia="標楷體" w:hAnsi="Times New Roman" w:cs="Times New Roman" w:hint="eastAsia"/>
          <w:color w:val="000000"/>
          <w:szCs w:val="24"/>
        </w:rPr>
        <w:t>包括培育運動人才，提升運動競技實力、輔導體育團體，拓展城市體育交流、推廣國際運動賽事、推動全民運動業務、</w:t>
      </w:r>
      <w:proofErr w:type="gramStart"/>
      <w:r w:rsidRPr="000513B1">
        <w:rPr>
          <w:rFonts w:ascii="標楷體" w:eastAsia="標楷體" w:hAnsi="Times New Roman" w:cs="Times New Roman" w:hint="eastAsia"/>
          <w:color w:val="000000"/>
          <w:szCs w:val="24"/>
        </w:rPr>
        <w:t>賡</w:t>
      </w:r>
      <w:proofErr w:type="gramEnd"/>
      <w:r w:rsidRPr="000513B1">
        <w:rPr>
          <w:rFonts w:ascii="標楷體" w:eastAsia="標楷體" w:hAnsi="Times New Roman" w:cs="Times New Roman" w:hint="eastAsia"/>
          <w:color w:val="000000"/>
          <w:szCs w:val="24"/>
        </w:rPr>
        <w:t>續優化運動場館及設施等重要施政項目，</w:t>
      </w:r>
      <w:r w:rsidRPr="00F351D8">
        <w:rPr>
          <w:rFonts w:ascii="標楷體" w:eastAsia="標楷體" w:hAnsi="Times New Roman" w:cs="Times New Roman" w:hint="eastAsia"/>
          <w:color w:val="000000"/>
          <w:szCs w:val="24"/>
        </w:rPr>
        <w:t>其中已</w:t>
      </w:r>
      <w:r w:rsidRPr="00F351D8">
        <w:rPr>
          <w:rFonts w:ascii="標楷體" w:eastAsia="標楷體" w:hAnsi="Times New Roman" w:cs="Times New Roman" w:hint="eastAsia"/>
          <w:szCs w:val="24"/>
        </w:rPr>
        <w:t>執行完成者2項，尚在執行者6項，</w:t>
      </w:r>
      <w:r w:rsidRPr="0010213C">
        <w:rPr>
          <w:rFonts w:ascii="標楷體" w:eastAsia="標楷體" w:hAnsi="Times New Roman" w:cs="Times New Roman" w:hint="eastAsia"/>
          <w:szCs w:val="24"/>
        </w:rPr>
        <w:t>主要係</w:t>
      </w:r>
      <w:r w:rsidRPr="0097487F">
        <w:rPr>
          <w:rFonts w:ascii="標楷體" w:eastAsia="標楷體" w:hAnsi="Times New Roman" w:cs="Times New Roman" w:hint="eastAsia"/>
          <w:szCs w:val="24"/>
        </w:rPr>
        <w:t>辦</w:t>
      </w:r>
      <w:r>
        <w:rPr>
          <w:rFonts w:ascii="標楷體" w:eastAsia="標楷體" w:hAnsi="Times New Roman" w:cs="Times New Roman" w:hint="eastAsia"/>
          <w:szCs w:val="24"/>
        </w:rPr>
        <w:t>理</w:t>
      </w:r>
      <w:r w:rsidRPr="0097487F">
        <w:rPr>
          <w:rFonts w:ascii="標楷體" w:eastAsia="標楷體" w:hAnsi="Times New Roman" w:cs="Times New Roman" w:hint="eastAsia"/>
          <w:szCs w:val="24"/>
        </w:rPr>
        <w:t>2025世界壯年運動會部分採購案</w:t>
      </w:r>
      <w:r>
        <w:rPr>
          <w:rFonts w:ascii="標楷體" w:eastAsia="標楷體" w:hAnsi="Times New Roman" w:cs="Times New Roman" w:hint="eastAsia"/>
          <w:szCs w:val="24"/>
        </w:rPr>
        <w:t>，及</w:t>
      </w:r>
      <w:r w:rsidRPr="0097487F">
        <w:rPr>
          <w:rFonts w:ascii="標楷體" w:eastAsia="標楷體" w:hAnsi="Times New Roman" w:cs="Times New Roman" w:hint="eastAsia"/>
          <w:szCs w:val="24"/>
        </w:rPr>
        <w:t>克強公園游泳池暨新生公園網球場改建全民</w:t>
      </w:r>
      <w:proofErr w:type="gramStart"/>
      <w:r w:rsidRPr="0097487F">
        <w:rPr>
          <w:rFonts w:ascii="標楷體" w:eastAsia="標楷體" w:hAnsi="Times New Roman" w:cs="Times New Roman" w:hint="eastAsia"/>
          <w:szCs w:val="24"/>
        </w:rPr>
        <w:t>運動館統包</w:t>
      </w:r>
      <w:proofErr w:type="gramEnd"/>
      <w:r w:rsidRPr="0097487F">
        <w:rPr>
          <w:rFonts w:ascii="標楷體" w:eastAsia="標楷體" w:hAnsi="Times New Roman" w:cs="Times New Roman" w:hint="eastAsia"/>
          <w:szCs w:val="24"/>
        </w:rPr>
        <w:t>工程</w:t>
      </w:r>
      <w:r>
        <w:rPr>
          <w:rFonts w:ascii="標楷體" w:eastAsia="標楷體" w:hAnsi="Times New Roman" w:cs="Times New Roman" w:hint="eastAsia"/>
          <w:szCs w:val="24"/>
        </w:rPr>
        <w:t>等</w:t>
      </w:r>
      <w:r w:rsidRPr="0010213C">
        <w:rPr>
          <w:rFonts w:ascii="標楷體" w:eastAsia="標楷體" w:hAnsi="Times New Roman" w:cs="Times New Roman" w:hint="eastAsia"/>
          <w:szCs w:val="24"/>
        </w:rPr>
        <w:t>，</w:t>
      </w:r>
      <w:r>
        <w:rPr>
          <w:rFonts w:ascii="標楷體" w:eastAsia="標楷體" w:hAnsi="Times New Roman" w:cs="Times New Roman" w:hint="eastAsia"/>
          <w:szCs w:val="24"/>
        </w:rPr>
        <w:t>履約期程跨年度</w:t>
      </w:r>
      <w:r w:rsidRPr="0010213C">
        <w:rPr>
          <w:rFonts w:ascii="標楷體" w:eastAsia="標楷體" w:hAnsi="Times New Roman" w:cs="Times New Roman" w:hint="eastAsia"/>
          <w:szCs w:val="24"/>
        </w:rPr>
        <w:t>，</w:t>
      </w:r>
      <w:r w:rsidRPr="0010213C">
        <w:rPr>
          <w:rFonts w:ascii="標楷體" w:eastAsia="標楷體" w:hAnsi="Times New Roman" w:cs="Times New Roman" w:hint="eastAsia"/>
          <w:color w:val="000000"/>
          <w:szCs w:val="24"/>
        </w:rPr>
        <w:t>須</w:t>
      </w:r>
      <w:r>
        <w:rPr>
          <w:rFonts w:ascii="標楷體" w:eastAsia="標楷體" w:hAnsi="Times New Roman" w:cs="Times New Roman" w:hint="eastAsia"/>
          <w:color w:val="000000"/>
          <w:szCs w:val="24"/>
        </w:rPr>
        <w:t>保留</w:t>
      </w:r>
      <w:r w:rsidRPr="0010213C">
        <w:rPr>
          <w:rFonts w:ascii="標楷體" w:eastAsia="標楷體" w:hAnsi="Times New Roman" w:cs="Times New Roman" w:hint="eastAsia"/>
          <w:color w:val="000000"/>
          <w:szCs w:val="24"/>
        </w:rPr>
        <w:t>繼續執行。</w:t>
      </w:r>
    </w:p>
    <w:p w14:paraId="4BC30A3B" w14:textId="77777777" w:rsidR="00406878" w:rsidRPr="00397AEE" w:rsidRDefault="00406878" w:rsidP="00087784">
      <w:pPr>
        <w:widowControl/>
        <w:overflowPunct w:val="0"/>
        <w:autoSpaceDE w:val="0"/>
        <w:autoSpaceDN w:val="0"/>
        <w:spacing w:beforeLines="50" w:before="180" w:line="440" w:lineRule="exact"/>
        <w:ind w:firstLineChars="100" w:firstLine="280"/>
        <w:jc w:val="both"/>
        <w:rPr>
          <w:rFonts w:ascii="標楷體" w:eastAsia="標楷體" w:hAnsi="標楷體" w:cs="Times New Roman"/>
          <w:b/>
          <w:kern w:val="0"/>
          <w:sz w:val="28"/>
          <w:szCs w:val="28"/>
        </w:rPr>
      </w:pPr>
      <w:r>
        <w:rPr>
          <w:rFonts w:ascii="標楷體" w:eastAsia="標楷體" w:hAnsi="標楷體" w:cs="Times New Roman" w:hint="eastAsia"/>
          <w:b/>
          <w:kern w:val="0"/>
          <w:sz w:val="28"/>
          <w:szCs w:val="28"/>
        </w:rPr>
        <w:t>（</w:t>
      </w:r>
      <w:r w:rsidRPr="00397AEE">
        <w:rPr>
          <w:rFonts w:ascii="標楷體" w:eastAsia="標楷體" w:hAnsi="標楷體" w:cs="Times New Roman" w:hint="eastAsia"/>
          <w:b/>
          <w:kern w:val="0"/>
          <w:sz w:val="28"/>
          <w:szCs w:val="28"/>
        </w:rPr>
        <w:t>二</w:t>
      </w:r>
      <w:r>
        <w:rPr>
          <w:rFonts w:ascii="標楷體" w:eastAsia="標楷體" w:hAnsi="標楷體" w:cs="Times New Roman" w:hint="eastAsia"/>
          <w:b/>
          <w:kern w:val="0"/>
          <w:sz w:val="28"/>
          <w:szCs w:val="28"/>
        </w:rPr>
        <w:t>）</w:t>
      </w:r>
      <w:r w:rsidRPr="00397AEE">
        <w:rPr>
          <w:rFonts w:ascii="標楷體" w:eastAsia="標楷體" w:hAnsi="標楷體" w:cs="Times New Roman" w:hint="eastAsia"/>
          <w:b/>
          <w:kern w:val="0"/>
          <w:sz w:val="28"/>
          <w:szCs w:val="28"/>
        </w:rPr>
        <w:t>預算執行之審核</w:t>
      </w:r>
    </w:p>
    <w:p w14:paraId="146C47A9" w14:textId="77777777" w:rsidR="00406878" w:rsidRPr="00F351D8" w:rsidRDefault="00406878" w:rsidP="00087784">
      <w:pPr>
        <w:widowControl/>
        <w:overflowPunct w:val="0"/>
        <w:autoSpaceDE w:val="0"/>
        <w:autoSpaceDN w:val="0"/>
        <w:spacing w:before="60" w:after="40" w:line="440" w:lineRule="exact"/>
        <w:ind w:firstLineChars="200" w:firstLine="480"/>
        <w:jc w:val="both"/>
        <w:rPr>
          <w:rFonts w:ascii="標楷體" w:eastAsia="標楷體" w:hAnsi="Times New Roman" w:cs="Times New Roman"/>
          <w:szCs w:val="24"/>
        </w:rPr>
      </w:pPr>
      <w:r w:rsidRPr="0084157E">
        <w:rPr>
          <w:rFonts w:ascii="標楷體" w:eastAsia="標楷體" w:hAnsi="Times New Roman" w:cs="Times New Roman" w:hint="eastAsia"/>
          <w:color w:val="000000"/>
          <w:szCs w:val="24"/>
        </w:rPr>
        <w:t>1.</w:t>
      </w:r>
      <w:r w:rsidRPr="0084157E">
        <w:rPr>
          <w:rFonts w:ascii="標楷體" w:eastAsia="標楷體" w:hAnsi="標楷體"/>
          <w:kern w:val="0"/>
          <w:szCs w:val="24"/>
        </w:rPr>
        <w:t>歲入原編列預算數4億5,524萬餘元，經追加預算2億9,761萬餘元，合計7億5,286</w:t>
      </w:r>
      <w:r w:rsidRPr="00C7313B">
        <w:rPr>
          <w:rFonts w:ascii="標楷體" w:eastAsia="標楷體" w:hAnsi="標楷體"/>
          <w:kern w:val="0"/>
          <w:szCs w:val="24"/>
        </w:rPr>
        <w:t>萬餘元，決算審核結果，</w:t>
      </w:r>
      <w:r w:rsidRPr="0084157E">
        <w:rPr>
          <w:rFonts w:ascii="標楷體" w:eastAsia="標楷體" w:hAnsi="Times New Roman" w:cs="Times New Roman" w:hint="eastAsia"/>
          <w:szCs w:val="24"/>
        </w:rPr>
        <w:t>修正增列應</w:t>
      </w:r>
      <w:r>
        <w:rPr>
          <w:rFonts w:ascii="標楷體" w:eastAsia="標楷體" w:hAnsi="Times New Roman" w:cs="Times New Roman" w:hint="eastAsia"/>
          <w:szCs w:val="24"/>
        </w:rPr>
        <w:t>收保留數28萬餘元，係增列應收</w:t>
      </w:r>
      <w:proofErr w:type="gramStart"/>
      <w:r>
        <w:rPr>
          <w:rFonts w:ascii="標楷體" w:eastAsia="標楷體" w:hAnsi="Times New Roman" w:cs="Times New Roman" w:hint="eastAsia"/>
          <w:szCs w:val="24"/>
        </w:rPr>
        <w:t>臺</w:t>
      </w:r>
      <w:proofErr w:type="gramEnd"/>
      <w:r>
        <w:rPr>
          <w:rFonts w:ascii="標楷體" w:eastAsia="標楷體" w:hAnsi="Times New Roman" w:cs="Times New Roman" w:hint="eastAsia"/>
          <w:szCs w:val="24"/>
        </w:rPr>
        <w:t>北體育館等場地使用費收入</w:t>
      </w:r>
      <w:r>
        <w:rPr>
          <w:rFonts w:ascii="標楷體" w:eastAsia="標楷體" w:hAnsi="標楷體" w:hint="eastAsia"/>
          <w:kern w:val="0"/>
          <w:szCs w:val="24"/>
        </w:rPr>
        <w:t>；</w:t>
      </w:r>
      <w:r w:rsidRPr="00C7313B">
        <w:rPr>
          <w:rFonts w:ascii="標楷體" w:eastAsia="標楷體" w:hAnsi="標楷體"/>
          <w:kern w:val="0"/>
          <w:szCs w:val="24"/>
        </w:rPr>
        <w:t>審定實現數5億3,528萬餘元，應收保留數1億9,</w:t>
      </w:r>
      <w:r>
        <w:rPr>
          <w:rFonts w:ascii="標楷體" w:eastAsia="標楷體" w:hAnsi="標楷體"/>
          <w:kern w:val="0"/>
          <w:szCs w:val="24"/>
        </w:rPr>
        <w:t>726</w:t>
      </w:r>
      <w:r w:rsidRPr="00C7313B">
        <w:rPr>
          <w:rFonts w:ascii="標楷體" w:eastAsia="標楷體" w:hAnsi="標楷體"/>
          <w:kern w:val="0"/>
          <w:szCs w:val="24"/>
        </w:rPr>
        <w:t>萬餘元，主要係</w:t>
      </w:r>
      <w:r w:rsidRPr="0084157E">
        <w:rPr>
          <w:rFonts w:ascii="標楷體" w:eastAsia="標楷體" w:hAnsi="Times New Roman" w:cs="Times New Roman" w:hint="eastAsia"/>
          <w:szCs w:val="24"/>
        </w:rPr>
        <w:t>教育部體育署補助辦理</w:t>
      </w:r>
      <w:r w:rsidRPr="00F351D8">
        <w:rPr>
          <w:rFonts w:ascii="標楷體" w:eastAsia="標楷體" w:hAnsi="Times New Roman" w:cs="Times New Roman" w:hint="eastAsia"/>
          <w:szCs w:val="24"/>
        </w:rPr>
        <w:t>克強公園游泳池改建全民</w:t>
      </w:r>
      <w:proofErr w:type="gramStart"/>
      <w:r w:rsidRPr="00F351D8">
        <w:rPr>
          <w:rFonts w:ascii="標楷體" w:eastAsia="標楷體" w:hAnsi="Times New Roman" w:cs="Times New Roman" w:hint="eastAsia"/>
          <w:szCs w:val="24"/>
        </w:rPr>
        <w:t>運動館統包</w:t>
      </w:r>
      <w:proofErr w:type="gramEnd"/>
      <w:r w:rsidRPr="00F351D8">
        <w:rPr>
          <w:rFonts w:ascii="標楷體" w:eastAsia="標楷體" w:hAnsi="Times New Roman" w:cs="Times New Roman" w:hint="eastAsia"/>
          <w:szCs w:val="24"/>
        </w:rPr>
        <w:t>工程及「籌辦2025雙北世界壯年運動會</w:t>
      </w:r>
      <w:proofErr w:type="gramStart"/>
      <w:r w:rsidRPr="00F351D8">
        <w:rPr>
          <w:rFonts w:ascii="標楷體" w:eastAsia="標楷體" w:hAnsi="Times New Roman" w:cs="Times New Roman" w:hint="eastAsia"/>
          <w:szCs w:val="24"/>
        </w:rPr>
        <w:t>113</w:t>
      </w:r>
      <w:proofErr w:type="gramEnd"/>
      <w:r w:rsidRPr="00F351D8">
        <w:rPr>
          <w:rFonts w:ascii="標楷體" w:eastAsia="標楷體" w:hAnsi="Times New Roman" w:cs="Times New Roman" w:hint="eastAsia"/>
          <w:szCs w:val="24"/>
        </w:rPr>
        <w:t>年度軟體細部執行計畫」，依實際執行進度申撥款項</w:t>
      </w:r>
      <w:r w:rsidRPr="0084157E">
        <w:rPr>
          <w:rFonts w:ascii="標楷體" w:eastAsia="標楷體" w:hAnsi="Times New Roman" w:cs="Times New Roman" w:hint="eastAsia"/>
          <w:szCs w:val="24"/>
        </w:rPr>
        <w:t>；合計決算審定數為7億3,25</w:t>
      </w:r>
      <w:r>
        <w:rPr>
          <w:rFonts w:ascii="標楷體" w:eastAsia="標楷體" w:hAnsi="Times New Roman" w:cs="Times New Roman"/>
          <w:szCs w:val="24"/>
        </w:rPr>
        <w:t>4</w:t>
      </w:r>
      <w:r w:rsidRPr="0084157E">
        <w:rPr>
          <w:rFonts w:ascii="標楷體" w:eastAsia="標楷體" w:hAnsi="Times New Roman" w:cs="Times New Roman" w:hint="eastAsia"/>
          <w:szCs w:val="24"/>
        </w:rPr>
        <w:t>萬餘元，較預算減少2,0</w:t>
      </w:r>
      <w:r>
        <w:rPr>
          <w:rFonts w:ascii="標楷體" w:eastAsia="標楷體" w:hAnsi="Times New Roman" w:cs="Times New Roman"/>
          <w:szCs w:val="24"/>
        </w:rPr>
        <w:t>31</w:t>
      </w:r>
      <w:r w:rsidRPr="0084157E">
        <w:rPr>
          <w:rFonts w:ascii="標楷體" w:eastAsia="標楷體" w:hAnsi="Times New Roman" w:cs="Times New Roman" w:hint="eastAsia"/>
          <w:szCs w:val="24"/>
        </w:rPr>
        <w:t>萬餘元（2.7</w:t>
      </w:r>
      <w:r>
        <w:rPr>
          <w:rFonts w:ascii="標楷體" w:eastAsia="標楷體" w:hAnsi="Times New Roman" w:cs="Times New Roman"/>
          <w:szCs w:val="24"/>
        </w:rPr>
        <w:t>0</w:t>
      </w:r>
      <w:r w:rsidRPr="0084157E">
        <w:rPr>
          <w:rFonts w:ascii="標楷體" w:eastAsia="標楷體" w:hAnsi="Times New Roman" w:cs="Times New Roman" w:hint="eastAsia"/>
          <w:szCs w:val="24"/>
        </w:rPr>
        <w:t>％</w:t>
      </w:r>
      <w:r w:rsidRPr="00F351D8">
        <w:rPr>
          <w:rFonts w:ascii="標楷體" w:eastAsia="標楷體" w:hAnsi="Times New Roman" w:cs="Times New Roman" w:hint="eastAsia"/>
          <w:szCs w:val="24"/>
        </w:rPr>
        <w:t>），主要係2025世界壯年運動會報名費收入較預計減少。</w:t>
      </w:r>
    </w:p>
    <w:p w14:paraId="1905EA26" w14:textId="77777777" w:rsidR="00406878" w:rsidRPr="00F351D8" w:rsidRDefault="00406878" w:rsidP="00087784">
      <w:pPr>
        <w:widowControl/>
        <w:overflowPunct w:val="0"/>
        <w:autoSpaceDE w:val="0"/>
        <w:autoSpaceDN w:val="0"/>
        <w:spacing w:before="60" w:after="40" w:line="440" w:lineRule="exact"/>
        <w:ind w:firstLineChars="200" w:firstLine="480"/>
        <w:jc w:val="both"/>
        <w:rPr>
          <w:rFonts w:ascii="標楷體" w:eastAsia="標楷體" w:hAnsi="Times New Roman" w:cs="Times New Roman"/>
          <w:szCs w:val="24"/>
        </w:rPr>
      </w:pPr>
      <w:r w:rsidRPr="00F351D8">
        <w:rPr>
          <w:rFonts w:ascii="標楷體" w:eastAsia="標楷體" w:hAnsi="Times New Roman" w:cs="Times New Roman" w:hint="eastAsia"/>
          <w:szCs w:val="24"/>
        </w:rPr>
        <w:t>2.以前年度歲入轉入數計2,688萬餘元，決算審核結果，審定實現數2,677萬餘元（99.59％）；減免（註銷）數11萬餘元（0.41％），主要係委辦2023</w:t>
      </w:r>
      <w:proofErr w:type="gramStart"/>
      <w:r w:rsidRPr="00F351D8">
        <w:rPr>
          <w:rFonts w:ascii="標楷體" w:eastAsia="標楷體" w:hAnsi="Times New Roman" w:cs="Times New Roman" w:hint="eastAsia"/>
          <w:szCs w:val="24"/>
        </w:rPr>
        <w:t>臺</w:t>
      </w:r>
      <w:proofErr w:type="gramEnd"/>
      <w:r w:rsidRPr="00F351D8">
        <w:rPr>
          <w:rFonts w:ascii="標楷體" w:eastAsia="標楷體" w:hAnsi="Times New Roman" w:cs="Times New Roman" w:hint="eastAsia"/>
          <w:szCs w:val="24"/>
        </w:rPr>
        <w:t>北馬拉松活動，依規定減免訓練營廠商借用</w:t>
      </w:r>
      <w:proofErr w:type="gramStart"/>
      <w:r w:rsidRPr="00F351D8">
        <w:rPr>
          <w:rFonts w:ascii="標楷體" w:eastAsia="標楷體" w:hAnsi="Times New Roman" w:cs="Times New Roman" w:hint="eastAsia"/>
          <w:szCs w:val="24"/>
        </w:rPr>
        <w:t>臺</w:t>
      </w:r>
      <w:proofErr w:type="gramEnd"/>
      <w:r w:rsidRPr="00F351D8">
        <w:rPr>
          <w:rFonts w:ascii="標楷體" w:eastAsia="標楷體" w:hAnsi="Times New Roman" w:cs="Times New Roman" w:hint="eastAsia"/>
          <w:szCs w:val="24"/>
        </w:rPr>
        <w:t>北田徑場相關使用規費。</w:t>
      </w:r>
    </w:p>
    <w:p w14:paraId="12F47FC9" w14:textId="6C9DFAFB" w:rsidR="00406878" w:rsidRPr="00B52D47" w:rsidRDefault="00406878" w:rsidP="00087784">
      <w:pPr>
        <w:widowControl/>
        <w:overflowPunct w:val="0"/>
        <w:autoSpaceDE w:val="0"/>
        <w:autoSpaceDN w:val="0"/>
        <w:spacing w:before="60" w:after="40" w:line="440" w:lineRule="exact"/>
        <w:ind w:firstLineChars="200" w:firstLine="480"/>
        <w:jc w:val="both"/>
        <w:rPr>
          <w:rFonts w:ascii="標楷體" w:eastAsia="標楷體" w:hAnsi="Times New Roman" w:cs="Times New Roman"/>
          <w:szCs w:val="24"/>
        </w:rPr>
      </w:pPr>
      <w:r w:rsidRPr="000513B1">
        <w:rPr>
          <w:rFonts w:ascii="標楷體" w:eastAsia="標楷體" w:hAnsi="Times New Roman" w:cs="Times New Roman" w:hint="eastAsia"/>
          <w:szCs w:val="24"/>
        </w:rPr>
        <w:t>3.</w:t>
      </w:r>
      <w:r w:rsidRPr="0084157E">
        <w:rPr>
          <w:rFonts w:ascii="標楷體" w:eastAsia="標楷體" w:hAnsi="Times New Roman" w:cs="Times New Roman" w:hint="eastAsia"/>
          <w:szCs w:val="24"/>
        </w:rPr>
        <w:t>歲出原編列預算數25億3,800萬元，經追加預算1億9,621萬餘元，追減預算1億3,055萬餘元，並因</w:t>
      </w:r>
      <w:r w:rsidRPr="00D229D2">
        <w:rPr>
          <w:rFonts w:ascii="標楷體" w:eastAsia="標楷體" w:hAnsi="Times New Roman" w:cs="Times New Roman" w:hint="eastAsia"/>
          <w:szCs w:val="24"/>
        </w:rPr>
        <w:t>核撥</w:t>
      </w:r>
      <w:r>
        <w:rPr>
          <w:rFonts w:ascii="標楷體" w:eastAsia="標楷體" w:hAnsi="Times New Roman" w:cs="Times New Roman" w:hint="eastAsia"/>
          <w:szCs w:val="24"/>
        </w:rPr>
        <w:t>「</w:t>
      </w:r>
      <w:r w:rsidRPr="00D229D2">
        <w:rPr>
          <w:rFonts w:ascii="標楷體" w:eastAsia="標楷體" w:hAnsi="Times New Roman" w:cs="Times New Roman" w:hint="eastAsia"/>
          <w:szCs w:val="24"/>
        </w:rPr>
        <w:t>11</w:t>
      </w:r>
      <w:r w:rsidRPr="00D229D2">
        <w:rPr>
          <w:rFonts w:ascii="標楷體" w:eastAsia="標楷體" w:hAnsi="Times New Roman" w:cs="Times New Roman"/>
          <w:szCs w:val="24"/>
        </w:rPr>
        <w:t>3</w:t>
      </w:r>
      <w:r w:rsidRPr="00D229D2">
        <w:rPr>
          <w:rFonts w:ascii="標楷體" w:eastAsia="標楷體" w:hAnsi="Times New Roman" w:cs="Times New Roman" w:hint="eastAsia"/>
          <w:szCs w:val="24"/>
        </w:rPr>
        <w:t>年全民運動會</w:t>
      </w:r>
      <w:r>
        <w:rPr>
          <w:rFonts w:ascii="標楷體" w:eastAsia="標楷體" w:hAnsi="Times New Roman" w:cs="Times New Roman" w:hint="eastAsia"/>
          <w:szCs w:val="24"/>
        </w:rPr>
        <w:t>」</w:t>
      </w:r>
      <w:r w:rsidRPr="00D229D2">
        <w:rPr>
          <w:rFonts w:ascii="標楷體" w:eastAsia="標楷體" w:hAnsi="Times New Roman" w:cs="Times New Roman" w:hint="eastAsia"/>
          <w:szCs w:val="24"/>
        </w:rPr>
        <w:t>臺北市代表隊績優運動選手</w:t>
      </w:r>
      <w:r w:rsidRPr="001A5B22">
        <w:rPr>
          <w:rFonts w:ascii="標楷體" w:eastAsia="標楷體" w:hAnsi="Times New Roman" w:cs="Times New Roman" w:hint="eastAsia"/>
          <w:spacing w:val="-6"/>
          <w:szCs w:val="24"/>
        </w:rPr>
        <w:t>、有功教練及有功體育團體獎勵金所需經費不敷</w:t>
      </w:r>
      <w:r>
        <w:rPr>
          <w:rFonts w:ascii="標楷體" w:eastAsia="標楷體" w:hAnsi="Times New Roman" w:cs="Times New Roman" w:hint="eastAsia"/>
          <w:spacing w:val="-6"/>
          <w:szCs w:val="24"/>
        </w:rPr>
        <w:t>支用</w:t>
      </w:r>
      <w:r w:rsidRPr="001A5B22">
        <w:rPr>
          <w:rFonts w:ascii="標楷體" w:eastAsia="標楷體" w:hAnsi="Times New Roman" w:cs="Times New Roman" w:hint="eastAsia"/>
          <w:spacing w:val="-6"/>
          <w:szCs w:val="24"/>
        </w:rPr>
        <w:t>等</w:t>
      </w:r>
      <w:r>
        <w:rPr>
          <w:rFonts w:ascii="標楷體" w:eastAsia="標楷體" w:hAnsi="Times New Roman" w:cs="Times New Roman" w:hint="eastAsia"/>
          <w:spacing w:val="-6"/>
          <w:szCs w:val="24"/>
        </w:rPr>
        <w:t>事</w:t>
      </w:r>
      <w:r w:rsidRPr="001A5B22">
        <w:rPr>
          <w:rFonts w:ascii="標楷體" w:eastAsia="標楷體" w:hAnsi="Times New Roman" w:cs="Times New Roman" w:hint="eastAsia"/>
          <w:spacing w:val="-6"/>
          <w:szCs w:val="24"/>
        </w:rPr>
        <w:t>由，</w:t>
      </w:r>
      <w:r w:rsidRPr="0084157E">
        <w:rPr>
          <w:rFonts w:ascii="標楷體" w:eastAsia="標楷體" w:hAnsi="Times New Roman" w:cs="Times New Roman" w:hint="eastAsia"/>
          <w:szCs w:val="24"/>
        </w:rPr>
        <w:t>經動支第二預備金7,564萬餘元，</w:t>
      </w:r>
      <w:proofErr w:type="gramStart"/>
      <w:r w:rsidRPr="0084157E">
        <w:rPr>
          <w:rFonts w:ascii="標楷體" w:eastAsia="標楷體" w:hAnsi="Times New Roman" w:cs="Times New Roman" w:hint="eastAsia"/>
          <w:szCs w:val="24"/>
        </w:rPr>
        <w:t>暨因</w:t>
      </w:r>
      <w:r>
        <w:rPr>
          <w:rFonts w:ascii="標楷體" w:eastAsia="標楷體" w:hAnsi="Times New Roman" w:cs="Times New Roman" w:hint="eastAsia"/>
          <w:szCs w:val="24"/>
        </w:rPr>
        <w:t>人事</w:t>
      </w:r>
      <w:proofErr w:type="gramEnd"/>
      <w:r>
        <w:rPr>
          <w:rFonts w:ascii="標楷體" w:eastAsia="標楷體" w:hAnsi="Times New Roman" w:cs="Times New Roman" w:hint="eastAsia"/>
          <w:szCs w:val="24"/>
        </w:rPr>
        <w:t>費不足申請動支</w:t>
      </w:r>
      <w:r w:rsidRPr="0084157E">
        <w:rPr>
          <w:rFonts w:ascii="標楷體" w:eastAsia="標楷體" w:hAnsi="Times New Roman" w:cs="Times New Roman" w:hint="eastAsia"/>
          <w:szCs w:val="24"/>
        </w:rPr>
        <w:t>各類員工待遇準備102萬餘元，合計26億8,032萬餘元，決算審核結果，</w:t>
      </w:r>
      <w:r>
        <w:rPr>
          <w:rFonts w:ascii="標楷體" w:eastAsia="標楷體" w:hAnsi="Times New Roman" w:cs="Times New Roman" w:hint="eastAsia"/>
          <w:szCs w:val="24"/>
        </w:rPr>
        <w:t>修正增列應付數6</w:t>
      </w:r>
      <w:r>
        <w:rPr>
          <w:rFonts w:ascii="標楷體" w:eastAsia="標楷體" w:hAnsi="Times New Roman" w:cs="Times New Roman"/>
          <w:szCs w:val="24"/>
        </w:rPr>
        <w:t>89</w:t>
      </w:r>
      <w:r>
        <w:rPr>
          <w:rFonts w:ascii="標楷體" w:eastAsia="標楷體" w:hAnsi="Times New Roman" w:cs="Times New Roman" w:hint="eastAsia"/>
          <w:szCs w:val="24"/>
        </w:rPr>
        <w:t>萬餘元，係增列應付U－Sport樂運動計畫部分合作</w:t>
      </w:r>
      <w:proofErr w:type="gramStart"/>
      <w:r>
        <w:rPr>
          <w:rFonts w:ascii="標楷體" w:eastAsia="標楷體" w:hAnsi="Times New Roman" w:cs="Times New Roman" w:hint="eastAsia"/>
          <w:szCs w:val="24"/>
        </w:rPr>
        <w:t>場館收點</w:t>
      </w:r>
      <w:proofErr w:type="gramEnd"/>
      <w:r>
        <w:rPr>
          <w:rFonts w:ascii="標楷體" w:eastAsia="標楷體" w:hAnsi="Times New Roman" w:cs="Times New Roman" w:hint="eastAsia"/>
          <w:szCs w:val="24"/>
        </w:rPr>
        <w:t>等款項；</w:t>
      </w:r>
      <w:r w:rsidRPr="0084157E">
        <w:rPr>
          <w:rFonts w:ascii="標楷體" w:eastAsia="標楷體" w:hAnsi="Times New Roman" w:cs="Times New Roman" w:hint="eastAsia"/>
          <w:szCs w:val="24"/>
        </w:rPr>
        <w:t>審定實現數19億4,283萬餘元（7</w:t>
      </w:r>
      <w:r>
        <w:rPr>
          <w:rFonts w:ascii="標楷體" w:eastAsia="標楷體" w:hAnsi="Times New Roman" w:cs="Times New Roman"/>
          <w:szCs w:val="24"/>
        </w:rPr>
        <w:t>2</w:t>
      </w:r>
      <w:r w:rsidRPr="0084157E">
        <w:rPr>
          <w:rFonts w:ascii="標楷體" w:eastAsia="標楷體" w:hAnsi="Times New Roman" w:cs="Times New Roman" w:hint="eastAsia"/>
          <w:szCs w:val="24"/>
        </w:rPr>
        <w:t>.</w:t>
      </w:r>
      <w:r>
        <w:rPr>
          <w:rFonts w:ascii="標楷體" w:eastAsia="標楷體" w:hAnsi="Times New Roman" w:cs="Times New Roman"/>
          <w:szCs w:val="24"/>
        </w:rPr>
        <w:t>49</w:t>
      </w:r>
      <w:r w:rsidRPr="0084157E">
        <w:rPr>
          <w:rFonts w:ascii="標楷體" w:eastAsia="標楷體" w:hAnsi="Times New Roman" w:cs="Times New Roman" w:hint="eastAsia"/>
          <w:szCs w:val="24"/>
        </w:rPr>
        <w:t>％），應付保留數7億</w:t>
      </w:r>
      <w:r>
        <w:rPr>
          <w:rFonts w:ascii="標楷體" w:eastAsia="標楷體" w:hAnsi="Times New Roman" w:cs="Times New Roman" w:hint="eastAsia"/>
          <w:szCs w:val="24"/>
        </w:rPr>
        <w:t>1,</w:t>
      </w:r>
      <w:r>
        <w:rPr>
          <w:rFonts w:ascii="標楷體" w:eastAsia="標楷體" w:hAnsi="Times New Roman" w:cs="Times New Roman"/>
          <w:szCs w:val="24"/>
        </w:rPr>
        <w:t>410</w:t>
      </w:r>
      <w:r w:rsidRPr="0084157E">
        <w:rPr>
          <w:rFonts w:ascii="標楷體" w:eastAsia="標楷體" w:hAnsi="Times New Roman" w:cs="Times New Roman" w:hint="eastAsia"/>
          <w:szCs w:val="24"/>
        </w:rPr>
        <w:t>萬餘元（2</w:t>
      </w:r>
      <w:r>
        <w:rPr>
          <w:rFonts w:ascii="標楷體" w:eastAsia="標楷體" w:hAnsi="Times New Roman" w:cs="Times New Roman"/>
          <w:szCs w:val="24"/>
        </w:rPr>
        <w:t>6</w:t>
      </w:r>
      <w:r w:rsidRPr="0084157E">
        <w:rPr>
          <w:rFonts w:ascii="標楷體" w:eastAsia="標楷體" w:hAnsi="Times New Roman" w:cs="Times New Roman" w:hint="eastAsia"/>
          <w:szCs w:val="24"/>
        </w:rPr>
        <w:t>.</w:t>
      </w:r>
      <w:r>
        <w:rPr>
          <w:rFonts w:ascii="標楷體" w:eastAsia="標楷體" w:hAnsi="Times New Roman" w:cs="Times New Roman"/>
          <w:szCs w:val="24"/>
        </w:rPr>
        <w:t>64</w:t>
      </w:r>
      <w:r w:rsidRPr="0084157E">
        <w:rPr>
          <w:rFonts w:ascii="標楷體" w:eastAsia="標楷體" w:hAnsi="Times New Roman" w:cs="Times New Roman" w:hint="eastAsia"/>
          <w:szCs w:val="24"/>
        </w:rPr>
        <w:t>％），</w:t>
      </w:r>
      <w:r w:rsidRPr="0097487F">
        <w:rPr>
          <w:rFonts w:ascii="標楷體" w:eastAsia="標楷體" w:hAnsi="Times New Roman" w:cs="Times New Roman" w:hint="eastAsia"/>
          <w:szCs w:val="24"/>
        </w:rPr>
        <w:t>保留原因詳「（一）計畫實施之查核」說明；合計決算審定數為26億5,</w:t>
      </w:r>
      <w:r w:rsidRPr="0097487F">
        <w:rPr>
          <w:rFonts w:ascii="標楷體" w:eastAsia="標楷體" w:hAnsi="Times New Roman" w:cs="Times New Roman"/>
          <w:szCs w:val="24"/>
        </w:rPr>
        <w:t>694</w:t>
      </w:r>
      <w:r w:rsidRPr="0097487F">
        <w:rPr>
          <w:rFonts w:ascii="標楷體" w:eastAsia="標楷體" w:hAnsi="Times New Roman" w:cs="Times New Roman" w:hint="eastAsia"/>
          <w:szCs w:val="24"/>
        </w:rPr>
        <w:t>萬餘元，預算賸餘2,</w:t>
      </w:r>
      <w:r>
        <w:rPr>
          <w:rFonts w:ascii="標楷體" w:eastAsia="標楷體" w:hAnsi="Times New Roman" w:cs="Times New Roman"/>
          <w:szCs w:val="24"/>
        </w:rPr>
        <w:t>338</w:t>
      </w:r>
      <w:r w:rsidRPr="0084157E">
        <w:rPr>
          <w:rFonts w:ascii="標楷體" w:eastAsia="標楷體" w:hAnsi="Times New Roman" w:cs="Times New Roman" w:hint="eastAsia"/>
          <w:szCs w:val="24"/>
        </w:rPr>
        <w:t>萬餘元（</w:t>
      </w:r>
      <w:r>
        <w:rPr>
          <w:rFonts w:ascii="標楷體" w:eastAsia="標楷體" w:hAnsi="Times New Roman" w:cs="Times New Roman" w:hint="eastAsia"/>
          <w:szCs w:val="24"/>
        </w:rPr>
        <w:t>0</w:t>
      </w:r>
      <w:r w:rsidRPr="0084157E">
        <w:rPr>
          <w:rFonts w:ascii="標楷體" w:eastAsia="標楷體" w:hAnsi="Times New Roman" w:cs="Times New Roman" w:hint="eastAsia"/>
          <w:szCs w:val="24"/>
        </w:rPr>
        <w:t>.</w:t>
      </w:r>
      <w:r>
        <w:rPr>
          <w:rFonts w:ascii="標楷體" w:eastAsia="標楷體" w:hAnsi="Times New Roman" w:cs="Times New Roman"/>
          <w:szCs w:val="24"/>
        </w:rPr>
        <w:t>87</w:t>
      </w:r>
      <w:r w:rsidRPr="000513B1">
        <w:rPr>
          <w:rFonts w:ascii="標楷體" w:eastAsia="標楷體" w:hAnsi="Times New Roman" w:cs="Times New Roman" w:hint="eastAsia"/>
          <w:szCs w:val="24"/>
        </w:rPr>
        <w:t>％），</w:t>
      </w:r>
      <w:r w:rsidRPr="00B52D47">
        <w:rPr>
          <w:rFonts w:ascii="標楷體" w:eastAsia="標楷體" w:hAnsi="Times New Roman" w:cs="Times New Roman" w:hint="eastAsia"/>
          <w:szCs w:val="24"/>
        </w:rPr>
        <w:t>主要係大巨蛋提供公眾使用</w:t>
      </w:r>
      <w:r w:rsidR="00C25DC6">
        <w:rPr>
          <w:rFonts w:ascii="標楷體" w:eastAsia="標楷體" w:hAnsi="Times New Roman" w:cs="Times New Roman" w:hint="eastAsia"/>
          <w:szCs w:val="24"/>
        </w:rPr>
        <w:t>之</w:t>
      </w:r>
      <w:r w:rsidRPr="00B52D47">
        <w:rPr>
          <w:rFonts w:ascii="標楷體" w:eastAsia="標楷體" w:hAnsi="Times New Roman" w:cs="Times New Roman" w:hint="eastAsia"/>
          <w:szCs w:val="24"/>
        </w:rPr>
        <w:t>停車場</w:t>
      </w:r>
      <w:r w:rsidR="00C25DC6">
        <w:rPr>
          <w:rFonts w:ascii="標楷體" w:eastAsia="標楷體" w:hAnsi="Times New Roman" w:cs="Times New Roman" w:hint="eastAsia"/>
          <w:szCs w:val="24"/>
        </w:rPr>
        <w:t>經</w:t>
      </w:r>
      <w:r w:rsidRPr="00B52D47">
        <w:rPr>
          <w:rFonts w:ascii="標楷體" w:eastAsia="標楷體" w:hAnsi="Times New Roman" w:cs="Times New Roman" w:hint="eastAsia"/>
          <w:szCs w:val="24"/>
        </w:rPr>
        <w:t>減免地價稅</w:t>
      </w:r>
      <w:r>
        <w:rPr>
          <w:rFonts w:ascii="標楷體" w:eastAsia="標楷體" w:hAnsi="Times New Roman" w:cs="Times New Roman" w:hint="eastAsia"/>
          <w:szCs w:val="24"/>
        </w:rPr>
        <w:t>，及部分採購案未及於年度內辦理完成</w:t>
      </w:r>
      <w:r w:rsidRPr="00B52D47">
        <w:rPr>
          <w:rFonts w:ascii="標楷體" w:eastAsia="標楷體" w:hAnsi="Times New Roman" w:cs="Times New Roman" w:hint="eastAsia"/>
          <w:szCs w:val="24"/>
        </w:rPr>
        <w:t>之經費</w:t>
      </w:r>
      <w:r>
        <w:rPr>
          <w:rFonts w:ascii="標楷體" w:eastAsia="標楷體" w:hAnsi="Times New Roman" w:cs="Times New Roman" w:hint="eastAsia"/>
          <w:szCs w:val="24"/>
        </w:rPr>
        <w:t>結</w:t>
      </w:r>
      <w:r w:rsidRPr="00B52D47">
        <w:rPr>
          <w:rFonts w:ascii="標楷體" w:eastAsia="標楷體" w:hAnsi="Times New Roman" w:cs="Times New Roman" w:hint="eastAsia"/>
          <w:szCs w:val="24"/>
        </w:rPr>
        <w:t>餘。</w:t>
      </w:r>
    </w:p>
    <w:p w14:paraId="3582D45A" w14:textId="77777777" w:rsidR="00087784" w:rsidRDefault="00406878" w:rsidP="00087784">
      <w:pPr>
        <w:widowControl/>
        <w:overflowPunct w:val="0"/>
        <w:autoSpaceDE w:val="0"/>
        <w:autoSpaceDN w:val="0"/>
        <w:spacing w:before="60" w:after="40" w:line="440" w:lineRule="exact"/>
        <w:ind w:firstLineChars="200" w:firstLine="480"/>
        <w:jc w:val="both"/>
        <w:rPr>
          <w:rFonts w:ascii="標楷體" w:eastAsia="標楷體" w:hAnsi="Times New Roman" w:cs="Times New Roman"/>
          <w:szCs w:val="24"/>
        </w:rPr>
      </w:pPr>
      <w:r w:rsidRPr="00B52D47">
        <w:rPr>
          <w:rFonts w:ascii="標楷體" w:eastAsia="標楷體" w:hAnsi="Times New Roman" w:cs="Times New Roman" w:hint="eastAsia"/>
          <w:szCs w:val="24"/>
        </w:rPr>
        <w:t>4.以前年度歲出轉入數計1億1,647萬餘元，決算審核結果，審定實現數1億127萬餘元（86.95％）；減免（註銷）數217萬餘元（1.87％），主要係</w:t>
      </w:r>
      <w:r w:rsidRPr="00724408">
        <w:rPr>
          <w:rFonts w:ascii="標楷體" w:eastAsia="標楷體" w:hAnsi="Times New Roman" w:cs="Times New Roman" w:hint="eastAsia"/>
          <w:szCs w:val="24"/>
        </w:rPr>
        <w:t>2025雙北世界壯年運動會資訊系統活動宣傳</w:t>
      </w:r>
    </w:p>
    <w:p w14:paraId="48D6FC8A" w14:textId="3C12BA53" w:rsidR="00406878" w:rsidRPr="000513B1" w:rsidRDefault="00406878" w:rsidP="00087784">
      <w:pPr>
        <w:widowControl/>
        <w:overflowPunct w:val="0"/>
        <w:autoSpaceDE w:val="0"/>
        <w:autoSpaceDN w:val="0"/>
        <w:spacing w:before="60" w:after="40" w:line="440" w:lineRule="exact"/>
        <w:jc w:val="both"/>
        <w:rPr>
          <w:rFonts w:ascii="標楷體" w:eastAsia="標楷體" w:hAnsi="Times New Roman" w:cs="Times New Roman"/>
          <w:color w:val="000000" w:themeColor="text1"/>
          <w:szCs w:val="24"/>
        </w:rPr>
      </w:pPr>
      <w:r w:rsidRPr="00724408">
        <w:rPr>
          <w:rFonts w:ascii="標楷體" w:eastAsia="標楷體" w:hAnsi="Times New Roman" w:cs="Times New Roman" w:hint="eastAsia"/>
          <w:szCs w:val="24"/>
        </w:rPr>
        <w:lastRenderedPageBreak/>
        <w:t>建置服務案之結餘；應付保留數1,301萬餘元（11.18％），</w:t>
      </w:r>
      <w:proofErr w:type="gramStart"/>
      <w:r w:rsidRPr="00B671FD">
        <w:rPr>
          <w:rFonts w:ascii="標楷體" w:eastAsia="標楷體" w:hAnsi="Times New Roman" w:cs="Times New Roman" w:hint="eastAsia"/>
          <w:szCs w:val="24"/>
        </w:rPr>
        <w:t>主要係克強</w:t>
      </w:r>
      <w:proofErr w:type="gramEnd"/>
      <w:r w:rsidRPr="00B671FD">
        <w:rPr>
          <w:rFonts w:ascii="標楷體" w:eastAsia="標楷體" w:hAnsi="Times New Roman" w:cs="Times New Roman" w:hint="eastAsia"/>
          <w:szCs w:val="24"/>
        </w:rPr>
        <w:t>公園游泳池暨新生公園網球場改建複合式運動館工程委託專案管理（含監造）技術服務採購案，尚須配合主體工程進度辦理中；及七虎公園游泳池改建多功能館新建工程委託設計監造技術服務案，履約期程跨年度。</w:t>
      </w:r>
    </w:p>
    <w:p w14:paraId="7AA30EA6" w14:textId="77777777" w:rsidR="00406878" w:rsidRPr="00A02641" w:rsidRDefault="00406878" w:rsidP="00087784">
      <w:pPr>
        <w:overflowPunct w:val="0"/>
        <w:autoSpaceDE w:val="0"/>
        <w:autoSpaceDN w:val="0"/>
        <w:spacing w:beforeLines="50" w:before="180" w:line="440" w:lineRule="exact"/>
        <w:ind w:firstLineChars="100" w:firstLine="280"/>
        <w:outlineLvl w:val="0"/>
        <w:rPr>
          <w:rFonts w:ascii="標楷體" w:eastAsia="標楷體" w:hAnsi="標楷體" w:cs="Times New Roman"/>
          <w:b/>
          <w:kern w:val="0"/>
          <w:sz w:val="28"/>
          <w:szCs w:val="28"/>
        </w:rPr>
      </w:pPr>
      <w:r w:rsidRPr="00A02641">
        <w:rPr>
          <w:rFonts w:ascii="標楷體" w:eastAsia="標楷體" w:hAnsi="標楷體" w:cs="Times New Roman" w:hint="eastAsia"/>
          <w:b/>
          <w:kern w:val="0"/>
          <w:sz w:val="28"/>
          <w:szCs w:val="28"/>
        </w:rPr>
        <w:t>（三）重要審核意見</w:t>
      </w:r>
    </w:p>
    <w:p w14:paraId="5C75F24F" w14:textId="77777777" w:rsidR="00406878" w:rsidRDefault="00406878" w:rsidP="00087784">
      <w:pPr>
        <w:overflowPunct w:val="0"/>
        <w:autoSpaceDN w:val="0"/>
        <w:spacing w:beforeLines="50" w:before="180" w:line="460" w:lineRule="exact"/>
        <w:ind w:firstLineChars="200" w:firstLine="561"/>
        <w:jc w:val="both"/>
        <w:outlineLvl w:val="1"/>
        <w:rPr>
          <w:rFonts w:ascii="標楷體" w:eastAsia="標楷體" w:hAnsi="標楷體" w:cs="新細明體"/>
          <w:b/>
          <w:color w:val="000000" w:themeColor="text1"/>
          <w:kern w:val="0"/>
          <w:sz w:val="28"/>
          <w:szCs w:val="28"/>
        </w:rPr>
      </w:pPr>
      <w:r w:rsidRPr="00875E59">
        <w:rPr>
          <w:rFonts w:ascii="標楷體" w:eastAsia="標楷體" w:hAnsi="標楷體" w:cs="新細明體"/>
          <w:b/>
          <w:color w:val="000000" w:themeColor="text1"/>
          <w:kern w:val="0"/>
          <w:sz w:val="28"/>
          <w:szCs w:val="28"/>
        </w:rPr>
        <w:t>1.</w:t>
      </w:r>
      <w:r w:rsidRPr="00A64CE7">
        <w:rPr>
          <w:rFonts w:ascii="標楷體" w:eastAsia="標楷體" w:hAnsi="標楷體" w:cs="新細明體" w:hint="eastAsia"/>
          <w:b/>
          <w:color w:val="000000" w:themeColor="text1"/>
          <w:kern w:val="0"/>
          <w:sz w:val="28"/>
          <w:szCs w:val="28"/>
        </w:rPr>
        <w:t>委由民間機構興建及營運</w:t>
      </w:r>
      <w:proofErr w:type="gramStart"/>
      <w:r w:rsidRPr="00A64CE7">
        <w:rPr>
          <w:rFonts w:ascii="標楷體" w:eastAsia="標楷體" w:hAnsi="標楷體" w:cs="新細明體" w:hint="eastAsia"/>
          <w:b/>
          <w:color w:val="000000" w:themeColor="text1"/>
          <w:kern w:val="0"/>
          <w:sz w:val="28"/>
          <w:szCs w:val="28"/>
        </w:rPr>
        <w:t>臺</w:t>
      </w:r>
      <w:proofErr w:type="gramEnd"/>
      <w:r w:rsidRPr="00A64CE7">
        <w:rPr>
          <w:rFonts w:ascii="標楷體" w:eastAsia="標楷體" w:hAnsi="標楷體" w:cs="新細明體" w:hint="eastAsia"/>
          <w:b/>
          <w:color w:val="000000" w:themeColor="text1"/>
          <w:kern w:val="0"/>
          <w:sz w:val="28"/>
          <w:szCs w:val="28"/>
        </w:rPr>
        <w:t>北文化體育園區－大型室內體育館開發計畫，提供市民不受天候影響之活動場地，執行結果，核有規劃於每年9月辦理前一年度營運績效評估，易引發未及時督促民間機構完成缺失改善訾議，或對民間機構</w:t>
      </w:r>
      <w:proofErr w:type="gramStart"/>
      <w:r w:rsidRPr="00A64CE7">
        <w:rPr>
          <w:rFonts w:ascii="標楷體" w:eastAsia="標楷體" w:hAnsi="標楷體" w:cs="新細明體" w:hint="eastAsia"/>
          <w:b/>
          <w:color w:val="000000" w:themeColor="text1"/>
          <w:kern w:val="0"/>
          <w:sz w:val="28"/>
          <w:szCs w:val="28"/>
        </w:rPr>
        <w:t>怠</w:t>
      </w:r>
      <w:proofErr w:type="gramEnd"/>
      <w:r w:rsidRPr="00A64CE7">
        <w:rPr>
          <w:rFonts w:ascii="標楷體" w:eastAsia="標楷體" w:hAnsi="標楷體" w:cs="新細明體" w:hint="eastAsia"/>
          <w:b/>
          <w:color w:val="000000" w:themeColor="text1"/>
          <w:kern w:val="0"/>
          <w:sz w:val="28"/>
          <w:szCs w:val="28"/>
        </w:rPr>
        <w:t>於提供振動監測數據與未滾動檢討防災及緊急應變計畫問題，</w:t>
      </w:r>
      <w:proofErr w:type="gramStart"/>
      <w:r w:rsidRPr="00A64CE7">
        <w:rPr>
          <w:rFonts w:ascii="標楷體" w:eastAsia="標楷體" w:hAnsi="標楷體" w:cs="新細明體" w:hint="eastAsia"/>
          <w:b/>
          <w:color w:val="000000" w:themeColor="text1"/>
          <w:kern w:val="0"/>
          <w:sz w:val="28"/>
          <w:szCs w:val="28"/>
        </w:rPr>
        <w:t>迄均無積極</w:t>
      </w:r>
      <w:proofErr w:type="gramEnd"/>
      <w:r w:rsidRPr="00A64CE7">
        <w:rPr>
          <w:rFonts w:ascii="標楷體" w:eastAsia="標楷體" w:hAnsi="標楷體" w:cs="新細明體" w:hint="eastAsia"/>
          <w:b/>
          <w:color w:val="000000" w:themeColor="text1"/>
          <w:kern w:val="0"/>
          <w:sz w:val="28"/>
          <w:szCs w:val="28"/>
        </w:rPr>
        <w:t>督導作為，或對部分履約爭議遲未依約進行協調，以維市政府權益，或運用契約免費回饋天數委辦世界12強棒球錦標賽，未妥為規範履約及驗收條件等情，均有待檢討改善，以善盡監督之責並維護公共利益。</w:t>
      </w:r>
    </w:p>
    <w:p w14:paraId="6456A47F" w14:textId="77777777" w:rsidR="00087784" w:rsidRDefault="00406878" w:rsidP="00087784">
      <w:pPr>
        <w:widowControl/>
        <w:overflowPunct w:val="0"/>
        <w:autoSpaceDE w:val="0"/>
        <w:autoSpaceDN w:val="0"/>
        <w:spacing w:before="60" w:after="40" w:line="440" w:lineRule="exact"/>
        <w:ind w:firstLineChars="200" w:firstLine="480"/>
        <w:jc w:val="both"/>
        <w:rPr>
          <w:rFonts w:ascii="標楷體" w:eastAsia="標楷體" w:hAnsi="標楷體" w:cs="新細明體"/>
          <w:noProof/>
          <w:color w:val="000000" w:themeColor="text1"/>
          <w:kern w:val="0"/>
          <w:szCs w:val="24"/>
        </w:rPr>
      </w:pPr>
      <w:r w:rsidRPr="00E51232">
        <w:rPr>
          <w:rFonts w:ascii="標楷體" w:eastAsia="標楷體" w:hAnsi="標楷體" w:cs="全字庫正楷體"/>
          <w:noProof/>
          <w:spacing w:val="-2"/>
        </w:rPr>
        <mc:AlternateContent>
          <mc:Choice Requires="wps">
            <w:drawing>
              <wp:anchor distT="45720" distB="45720" distL="114300" distR="114300" simplePos="0" relativeHeight="251816960" behindDoc="0" locked="0" layoutInCell="1" allowOverlap="1" wp14:anchorId="626AFF2F" wp14:editId="3DCC9075">
                <wp:simplePos x="0" y="0"/>
                <wp:positionH relativeFrom="margin">
                  <wp:posOffset>3533140</wp:posOffset>
                </wp:positionH>
                <wp:positionV relativeFrom="paragraph">
                  <wp:posOffset>85563</wp:posOffset>
                </wp:positionV>
                <wp:extent cx="2844000" cy="3204000"/>
                <wp:effectExtent l="0" t="0" r="0" b="0"/>
                <wp:wrapSquare wrapText="bothSides"/>
                <wp:docPr id="3067652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4000" cy="3204000"/>
                        </a:xfrm>
                        <a:prstGeom prst="rect">
                          <a:avLst/>
                        </a:prstGeom>
                        <a:solidFill>
                          <a:srgbClr val="FFFFFF"/>
                        </a:solidFill>
                        <a:ln w="9525">
                          <a:noFill/>
                          <a:miter lim="800000"/>
                          <a:headEnd/>
                          <a:tailEnd/>
                        </a:ln>
                      </wps:spPr>
                      <wps:txbx>
                        <w:txbxContent>
                          <w:p w14:paraId="050F9D65" w14:textId="77777777" w:rsidR="00406878" w:rsidRPr="00FF56A0" w:rsidRDefault="00406878" w:rsidP="00406878">
                            <w:pPr>
                              <w:spacing w:line="240" w:lineRule="exact"/>
                              <w:rPr>
                                <w:rFonts w:ascii="標楷體" w:eastAsia="標楷體" w:hAnsi="標楷體"/>
                                <w:b/>
                                <w:bCs/>
                                <w:spacing w:val="-10"/>
                              </w:rPr>
                            </w:pPr>
                            <w:r w:rsidRPr="00FF56A0">
                              <w:rPr>
                                <w:rFonts w:ascii="標楷體" w:eastAsia="標楷體" w:hAnsi="標楷體" w:hint="eastAsia"/>
                                <w:b/>
                                <w:bCs/>
                                <w:spacing w:val="-10"/>
                              </w:rPr>
                              <w:t>圖</w:t>
                            </w:r>
                            <w:r w:rsidRPr="00FF56A0">
                              <w:rPr>
                                <w:rFonts w:ascii="標楷體" w:eastAsia="標楷體" w:hAnsi="標楷體"/>
                                <w:b/>
                                <w:bCs/>
                                <w:spacing w:val="-10"/>
                              </w:rPr>
                              <w:t>1</w:t>
                            </w:r>
                            <w:r w:rsidRPr="00FF56A0">
                              <w:rPr>
                                <w:rFonts w:ascii="標楷體" w:eastAsia="標楷體" w:hAnsi="標楷體" w:hint="eastAsia"/>
                                <w:b/>
                                <w:bCs/>
                                <w:spacing w:val="-10"/>
                              </w:rPr>
                              <w:t xml:space="preserve">　</w:t>
                            </w:r>
                            <w:proofErr w:type="gramStart"/>
                            <w:r w:rsidRPr="00FF56A0">
                              <w:rPr>
                                <w:rFonts w:ascii="標楷體" w:eastAsia="標楷體" w:hAnsi="標楷體" w:hint="eastAsia"/>
                                <w:b/>
                                <w:bCs/>
                                <w:spacing w:val="-10"/>
                              </w:rPr>
                              <w:t>臺</w:t>
                            </w:r>
                            <w:proofErr w:type="gramEnd"/>
                            <w:r w:rsidRPr="00FF56A0">
                              <w:rPr>
                                <w:rFonts w:ascii="標楷體" w:eastAsia="標楷體" w:hAnsi="標楷體" w:hint="eastAsia"/>
                                <w:b/>
                                <w:bCs/>
                                <w:spacing w:val="-10"/>
                              </w:rPr>
                              <w:t>北文化體育園區各項設施配置情形</w:t>
                            </w:r>
                          </w:p>
                          <w:p w14:paraId="4315D67A" w14:textId="77777777" w:rsidR="00406878" w:rsidRDefault="00406878" w:rsidP="00406878">
                            <w:pPr>
                              <w:spacing w:line="240" w:lineRule="exact"/>
                              <w:rPr>
                                <w:rFonts w:ascii="標楷體" w:eastAsia="標楷體" w:hAnsi="標楷體"/>
                                <w:sz w:val="18"/>
                                <w:szCs w:val="18"/>
                              </w:rPr>
                            </w:pPr>
                          </w:p>
                          <w:p w14:paraId="37D1D54C" w14:textId="77777777" w:rsidR="00406878" w:rsidRDefault="00406878" w:rsidP="00406878">
                            <w:pPr>
                              <w:spacing w:line="240" w:lineRule="exact"/>
                              <w:rPr>
                                <w:rFonts w:ascii="標楷體" w:eastAsia="標楷體" w:hAnsi="標楷體"/>
                                <w:sz w:val="18"/>
                                <w:szCs w:val="18"/>
                              </w:rPr>
                            </w:pPr>
                          </w:p>
                          <w:p w14:paraId="07F08953" w14:textId="77777777" w:rsidR="00406878" w:rsidRDefault="00406878" w:rsidP="00406878">
                            <w:pPr>
                              <w:spacing w:line="240" w:lineRule="exact"/>
                              <w:rPr>
                                <w:rFonts w:ascii="標楷體" w:eastAsia="標楷體" w:hAnsi="標楷體"/>
                                <w:sz w:val="18"/>
                                <w:szCs w:val="18"/>
                              </w:rPr>
                            </w:pPr>
                          </w:p>
                          <w:p w14:paraId="31D0D7EC" w14:textId="77777777" w:rsidR="00406878" w:rsidRDefault="00406878" w:rsidP="00406878">
                            <w:pPr>
                              <w:spacing w:line="240" w:lineRule="exact"/>
                              <w:rPr>
                                <w:rFonts w:ascii="標楷體" w:eastAsia="標楷體" w:hAnsi="標楷體"/>
                                <w:sz w:val="18"/>
                                <w:szCs w:val="18"/>
                              </w:rPr>
                            </w:pPr>
                          </w:p>
                          <w:p w14:paraId="33F83700" w14:textId="77777777" w:rsidR="00406878" w:rsidRDefault="00406878" w:rsidP="00406878">
                            <w:pPr>
                              <w:spacing w:line="240" w:lineRule="exact"/>
                              <w:rPr>
                                <w:rFonts w:ascii="標楷體" w:eastAsia="標楷體" w:hAnsi="標楷體"/>
                                <w:sz w:val="18"/>
                                <w:szCs w:val="18"/>
                              </w:rPr>
                            </w:pPr>
                          </w:p>
                          <w:p w14:paraId="5462D2AA" w14:textId="77777777" w:rsidR="00406878" w:rsidRDefault="00406878" w:rsidP="00406878">
                            <w:pPr>
                              <w:spacing w:line="240" w:lineRule="exact"/>
                              <w:rPr>
                                <w:rFonts w:ascii="標楷體" w:eastAsia="標楷體" w:hAnsi="標楷體"/>
                                <w:sz w:val="18"/>
                                <w:szCs w:val="18"/>
                              </w:rPr>
                            </w:pPr>
                          </w:p>
                          <w:p w14:paraId="6E38B186" w14:textId="77777777" w:rsidR="00406878" w:rsidRDefault="00406878" w:rsidP="00406878">
                            <w:pPr>
                              <w:spacing w:line="240" w:lineRule="exact"/>
                              <w:rPr>
                                <w:rFonts w:ascii="標楷體" w:eastAsia="標楷體" w:hAnsi="標楷體"/>
                                <w:sz w:val="18"/>
                                <w:szCs w:val="18"/>
                              </w:rPr>
                            </w:pPr>
                          </w:p>
                          <w:p w14:paraId="0FFF65DB" w14:textId="77777777" w:rsidR="00406878" w:rsidRDefault="00406878" w:rsidP="00406878">
                            <w:pPr>
                              <w:spacing w:line="240" w:lineRule="exact"/>
                              <w:rPr>
                                <w:rFonts w:ascii="標楷體" w:eastAsia="標楷體" w:hAnsi="標楷體"/>
                                <w:sz w:val="18"/>
                                <w:szCs w:val="18"/>
                              </w:rPr>
                            </w:pPr>
                          </w:p>
                          <w:p w14:paraId="53F345EB" w14:textId="77777777" w:rsidR="00406878" w:rsidRDefault="00406878" w:rsidP="00406878">
                            <w:pPr>
                              <w:spacing w:line="240" w:lineRule="exact"/>
                              <w:rPr>
                                <w:rFonts w:ascii="標楷體" w:eastAsia="標楷體" w:hAnsi="標楷體"/>
                                <w:sz w:val="18"/>
                                <w:szCs w:val="18"/>
                              </w:rPr>
                            </w:pPr>
                          </w:p>
                          <w:p w14:paraId="36CE2D86" w14:textId="77777777" w:rsidR="00406878" w:rsidRDefault="00406878" w:rsidP="00406878">
                            <w:pPr>
                              <w:spacing w:line="240" w:lineRule="exact"/>
                              <w:rPr>
                                <w:rFonts w:ascii="標楷體" w:eastAsia="標楷體" w:hAnsi="標楷體"/>
                                <w:sz w:val="18"/>
                                <w:szCs w:val="18"/>
                              </w:rPr>
                            </w:pPr>
                          </w:p>
                          <w:p w14:paraId="1EB54FC3" w14:textId="77777777" w:rsidR="00406878" w:rsidRDefault="00406878" w:rsidP="00406878">
                            <w:pPr>
                              <w:spacing w:line="240" w:lineRule="exact"/>
                              <w:rPr>
                                <w:rFonts w:ascii="標楷體" w:eastAsia="標楷體" w:hAnsi="標楷體"/>
                                <w:sz w:val="18"/>
                                <w:szCs w:val="18"/>
                              </w:rPr>
                            </w:pPr>
                          </w:p>
                          <w:p w14:paraId="2CC1BCC4" w14:textId="77777777" w:rsidR="00406878" w:rsidRDefault="00406878" w:rsidP="00406878">
                            <w:pPr>
                              <w:spacing w:line="240" w:lineRule="exact"/>
                              <w:rPr>
                                <w:rFonts w:ascii="標楷體" w:eastAsia="標楷體" w:hAnsi="標楷體"/>
                                <w:sz w:val="18"/>
                                <w:szCs w:val="18"/>
                              </w:rPr>
                            </w:pPr>
                          </w:p>
                          <w:p w14:paraId="1F736546" w14:textId="77777777" w:rsidR="00406878" w:rsidRDefault="00406878" w:rsidP="00406878">
                            <w:pPr>
                              <w:spacing w:line="240" w:lineRule="exact"/>
                              <w:rPr>
                                <w:rFonts w:ascii="標楷體" w:eastAsia="標楷體" w:hAnsi="標楷體"/>
                                <w:sz w:val="18"/>
                                <w:szCs w:val="18"/>
                              </w:rPr>
                            </w:pPr>
                          </w:p>
                          <w:p w14:paraId="2900FF81" w14:textId="77777777" w:rsidR="00406878" w:rsidRDefault="00406878" w:rsidP="00406878">
                            <w:pPr>
                              <w:spacing w:line="240" w:lineRule="exact"/>
                              <w:rPr>
                                <w:rFonts w:ascii="標楷體" w:eastAsia="標楷體" w:hAnsi="標楷體"/>
                                <w:sz w:val="18"/>
                                <w:szCs w:val="18"/>
                              </w:rPr>
                            </w:pPr>
                          </w:p>
                          <w:p w14:paraId="2656BFDF" w14:textId="77777777" w:rsidR="00406878" w:rsidRDefault="00406878" w:rsidP="00406878">
                            <w:pPr>
                              <w:spacing w:line="240" w:lineRule="exact"/>
                              <w:rPr>
                                <w:rFonts w:ascii="標楷體" w:eastAsia="標楷體" w:hAnsi="標楷體"/>
                                <w:sz w:val="18"/>
                                <w:szCs w:val="18"/>
                              </w:rPr>
                            </w:pPr>
                          </w:p>
                          <w:p w14:paraId="690B96D7" w14:textId="77777777" w:rsidR="00406878" w:rsidRDefault="00406878" w:rsidP="00406878">
                            <w:pPr>
                              <w:spacing w:line="240" w:lineRule="exact"/>
                              <w:rPr>
                                <w:rFonts w:ascii="標楷體" w:eastAsia="標楷體" w:hAnsi="標楷體"/>
                                <w:sz w:val="18"/>
                                <w:szCs w:val="18"/>
                              </w:rPr>
                            </w:pPr>
                          </w:p>
                          <w:p w14:paraId="7CA6A539" w14:textId="77777777" w:rsidR="00406878" w:rsidRDefault="00406878" w:rsidP="00406878">
                            <w:pPr>
                              <w:spacing w:line="240" w:lineRule="exact"/>
                              <w:jc w:val="both"/>
                              <w:rPr>
                                <w:rFonts w:ascii="標楷體" w:eastAsia="標楷體" w:hAnsi="標楷體"/>
                                <w:sz w:val="18"/>
                                <w:szCs w:val="18"/>
                              </w:rPr>
                            </w:pPr>
                            <w:r>
                              <w:rPr>
                                <w:noProof/>
                              </w:rPr>
                              <w:drawing>
                                <wp:inline distT="0" distB="0" distL="0" distR="0" wp14:anchorId="228CB4FB" wp14:editId="0B07D4A8">
                                  <wp:extent cx="2664814" cy="2528886"/>
                                  <wp:effectExtent l="0" t="0" r="2540" b="5080"/>
                                  <wp:docPr id="2003185541" name="圖片 2003185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螢幕擷取畫面 (11)-Photoroom (1).png"/>
                                          <pic:cNvPicPr/>
                                        </pic:nvPicPr>
                                        <pic:blipFill>
                                          <a:blip r:embed="rId77">
                                            <a:extLst>
                                              <a:ext uri="{28A0092B-C50C-407E-A947-70E740481C1C}">
                                                <a14:useLocalDpi xmlns:a14="http://schemas.microsoft.com/office/drawing/2010/main" val="0"/>
                                              </a:ext>
                                            </a:extLst>
                                          </a:blip>
                                          <a:stretch>
                                            <a:fillRect/>
                                          </a:stretch>
                                        </pic:blipFill>
                                        <pic:spPr>
                                          <a:xfrm>
                                            <a:off x="0" y="0"/>
                                            <a:ext cx="2689527" cy="2552339"/>
                                          </a:xfrm>
                                          <a:prstGeom prst="rect">
                                            <a:avLst/>
                                          </a:prstGeom>
                                        </pic:spPr>
                                      </pic:pic>
                                    </a:graphicData>
                                  </a:graphic>
                                </wp:inline>
                              </w:drawing>
                            </w:r>
                          </w:p>
                          <w:p w14:paraId="201D63DC" w14:textId="77777777" w:rsidR="00406878" w:rsidRPr="00FF56A0" w:rsidRDefault="00406878" w:rsidP="00406878">
                            <w:pPr>
                              <w:autoSpaceDN w:val="0"/>
                              <w:spacing w:line="180" w:lineRule="exact"/>
                              <w:ind w:left="900" w:hangingChars="500" w:hanging="900"/>
                              <w:jc w:val="both"/>
                            </w:pPr>
                            <w:r>
                              <w:rPr>
                                <w:rFonts w:ascii="標楷體" w:eastAsia="標楷體" w:hAnsi="標楷體" w:hint="eastAsia"/>
                                <w:sz w:val="18"/>
                                <w:szCs w:val="18"/>
                              </w:rPr>
                              <w:t>資料</w:t>
                            </w:r>
                            <w:r w:rsidRPr="00D54D39">
                              <w:rPr>
                                <w:rFonts w:ascii="標楷體" w:eastAsia="標楷體" w:hAnsi="標楷體" w:hint="eastAsia"/>
                                <w:sz w:val="18"/>
                                <w:szCs w:val="18"/>
                              </w:rPr>
                              <w:t>來源：</w:t>
                            </w:r>
                            <w:r w:rsidRPr="00B671FD">
                              <w:rPr>
                                <w:rFonts w:ascii="標楷體" w:eastAsia="標楷體" w:hAnsi="標楷體" w:hint="eastAsia"/>
                                <w:sz w:val="18"/>
                                <w:szCs w:val="18"/>
                              </w:rPr>
                              <w:t>擷取自民間參與興建暨營運</w:t>
                            </w:r>
                            <w:proofErr w:type="gramStart"/>
                            <w:r w:rsidRPr="00B671FD">
                              <w:rPr>
                                <w:rFonts w:ascii="標楷體" w:eastAsia="標楷體" w:hAnsi="標楷體" w:hint="eastAsia"/>
                                <w:sz w:val="18"/>
                                <w:szCs w:val="18"/>
                              </w:rPr>
                              <w:t>臺</w:t>
                            </w:r>
                            <w:proofErr w:type="gramEnd"/>
                            <w:r w:rsidRPr="00B671FD">
                              <w:rPr>
                                <w:rFonts w:ascii="標楷體" w:eastAsia="標楷體" w:hAnsi="標楷體" w:hint="eastAsia"/>
                                <w:sz w:val="18"/>
                                <w:szCs w:val="18"/>
                              </w:rPr>
                              <w:t>北文化體育園區大型室內體育館投資執行</w:t>
                            </w:r>
                            <w:proofErr w:type="gramStart"/>
                            <w:r w:rsidRPr="00B671FD">
                              <w:rPr>
                                <w:rFonts w:ascii="標楷體" w:eastAsia="標楷體" w:hAnsi="標楷體" w:hint="eastAsia"/>
                                <w:sz w:val="18"/>
                                <w:szCs w:val="18"/>
                              </w:rPr>
                              <w:t>計畫書變</w:t>
                            </w:r>
                            <w:proofErr w:type="gramEnd"/>
                            <w:r w:rsidRPr="00B671FD">
                              <w:rPr>
                                <w:rFonts w:ascii="標楷體" w:eastAsia="標楷體" w:hAnsi="標楷體" w:hint="eastAsia"/>
                                <w:sz w:val="18"/>
                                <w:szCs w:val="18"/>
                              </w:rPr>
                              <w:t>1定稿版內容。</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6AFF2F" id="_x0000_s1150" type="#_x0000_t202" style="position:absolute;left:0;text-align:left;margin-left:278.2pt;margin-top:6.75pt;width:223.95pt;height:252.3pt;z-index:251816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" stroked="f">
                <v:textbox>
                  <w:txbxContent>
                    <w:p w14:paraId="050F9D65" w14:textId="77777777" w:rsidR="00406878" w:rsidRPr="00FF56A0" w:rsidRDefault="00406878" w:rsidP="00406878">
                      <w:pPr>
                        <w:spacing w:line="240" w:lineRule="exact"/>
                        <w:rPr>
                          <w:rFonts w:ascii="標楷體" w:eastAsia="標楷體" w:hAnsi="標楷體"/>
                          <w:b/>
                          <w:bCs/>
                          <w:spacing w:val="-10"/>
                        </w:rPr>
                      </w:pPr>
                      <w:r w:rsidRPr="00FF56A0">
                        <w:rPr>
                          <w:rFonts w:ascii="標楷體" w:eastAsia="標楷體" w:hAnsi="標楷體" w:hint="eastAsia"/>
                          <w:b/>
                          <w:bCs/>
                          <w:spacing w:val="-10"/>
                        </w:rPr>
                        <w:t>圖</w:t>
                      </w:r>
                      <w:r w:rsidRPr="00FF56A0">
                        <w:rPr>
                          <w:rFonts w:ascii="標楷體" w:eastAsia="標楷體" w:hAnsi="標楷體"/>
                          <w:b/>
                          <w:bCs/>
                          <w:spacing w:val="-10"/>
                        </w:rPr>
                        <w:t>1</w:t>
                      </w:r>
                      <w:r w:rsidRPr="00FF56A0">
                        <w:rPr>
                          <w:rFonts w:ascii="標楷體" w:eastAsia="標楷體" w:hAnsi="標楷體" w:hint="eastAsia"/>
                          <w:b/>
                          <w:bCs/>
                          <w:spacing w:val="-10"/>
                        </w:rPr>
                        <w:t xml:space="preserve">　</w:t>
                      </w:r>
                      <w:proofErr w:type="gramStart"/>
                      <w:r w:rsidRPr="00FF56A0">
                        <w:rPr>
                          <w:rFonts w:ascii="標楷體" w:eastAsia="標楷體" w:hAnsi="標楷體" w:hint="eastAsia"/>
                          <w:b/>
                          <w:bCs/>
                          <w:spacing w:val="-10"/>
                        </w:rPr>
                        <w:t>臺</w:t>
                      </w:r>
                      <w:proofErr w:type="gramEnd"/>
                      <w:r w:rsidRPr="00FF56A0">
                        <w:rPr>
                          <w:rFonts w:ascii="標楷體" w:eastAsia="標楷體" w:hAnsi="標楷體" w:hint="eastAsia"/>
                          <w:b/>
                          <w:bCs/>
                          <w:spacing w:val="-10"/>
                        </w:rPr>
                        <w:t>北文化體育園區各項設施配置情形</w:t>
                      </w:r>
                    </w:p>
                    <w:p w14:paraId="4315D67A" w14:textId="77777777" w:rsidR="00406878" w:rsidRDefault="00406878" w:rsidP="00406878">
                      <w:pPr>
                        <w:spacing w:line="240" w:lineRule="exact"/>
                        <w:rPr>
                          <w:rFonts w:ascii="標楷體" w:eastAsia="標楷體" w:hAnsi="標楷體"/>
                          <w:sz w:val="18"/>
                          <w:szCs w:val="18"/>
                        </w:rPr>
                      </w:pPr>
                    </w:p>
                    <w:p w14:paraId="37D1D54C" w14:textId="77777777" w:rsidR="00406878" w:rsidRDefault="00406878" w:rsidP="00406878">
                      <w:pPr>
                        <w:spacing w:line="240" w:lineRule="exact"/>
                        <w:rPr>
                          <w:rFonts w:ascii="標楷體" w:eastAsia="標楷體" w:hAnsi="標楷體"/>
                          <w:sz w:val="18"/>
                          <w:szCs w:val="18"/>
                        </w:rPr>
                      </w:pPr>
                    </w:p>
                    <w:p w14:paraId="07F08953" w14:textId="77777777" w:rsidR="00406878" w:rsidRDefault="00406878" w:rsidP="00406878">
                      <w:pPr>
                        <w:spacing w:line="240" w:lineRule="exact"/>
                        <w:rPr>
                          <w:rFonts w:ascii="標楷體" w:eastAsia="標楷體" w:hAnsi="標楷體"/>
                          <w:sz w:val="18"/>
                          <w:szCs w:val="18"/>
                        </w:rPr>
                      </w:pPr>
                    </w:p>
                    <w:p w14:paraId="31D0D7EC" w14:textId="77777777" w:rsidR="00406878" w:rsidRDefault="00406878" w:rsidP="00406878">
                      <w:pPr>
                        <w:spacing w:line="240" w:lineRule="exact"/>
                        <w:rPr>
                          <w:rFonts w:ascii="標楷體" w:eastAsia="標楷體" w:hAnsi="標楷體"/>
                          <w:sz w:val="18"/>
                          <w:szCs w:val="18"/>
                        </w:rPr>
                      </w:pPr>
                    </w:p>
                    <w:p w14:paraId="33F83700" w14:textId="77777777" w:rsidR="00406878" w:rsidRDefault="00406878" w:rsidP="00406878">
                      <w:pPr>
                        <w:spacing w:line="240" w:lineRule="exact"/>
                        <w:rPr>
                          <w:rFonts w:ascii="標楷體" w:eastAsia="標楷體" w:hAnsi="標楷體"/>
                          <w:sz w:val="18"/>
                          <w:szCs w:val="18"/>
                        </w:rPr>
                      </w:pPr>
                    </w:p>
                    <w:p w14:paraId="5462D2AA" w14:textId="77777777" w:rsidR="00406878" w:rsidRDefault="00406878" w:rsidP="00406878">
                      <w:pPr>
                        <w:spacing w:line="240" w:lineRule="exact"/>
                        <w:rPr>
                          <w:rFonts w:ascii="標楷體" w:eastAsia="標楷體" w:hAnsi="標楷體"/>
                          <w:sz w:val="18"/>
                          <w:szCs w:val="18"/>
                        </w:rPr>
                      </w:pPr>
                    </w:p>
                    <w:p w14:paraId="6E38B186" w14:textId="77777777" w:rsidR="00406878" w:rsidRDefault="00406878" w:rsidP="00406878">
                      <w:pPr>
                        <w:spacing w:line="240" w:lineRule="exact"/>
                        <w:rPr>
                          <w:rFonts w:ascii="標楷體" w:eastAsia="標楷體" w:hAnsi="標楷體"/>
                          <w:sz w:val="18"/>
                          <w:szCs w:val="18"/>
                        </w:rPr>
                      </w:pPr>
                    </w:p>
                    <w:p w14:paraId="0FFF65DB" w14:textId="77777777" w:rsidR="00406878" w:rsidRDefault="00406878" w:rsidP="00406878">
                      <w:pPr>
                        <w:spacing w:line="240" w:lineRule="exact"/>
                        <w:rPr>
                          <w:rFonts w:ascii="標楷體" w:eastAsia="標楷體" w:hAnsi="標楷體"/>
                          <w:sz w:val="18"/>
                          <w:szCs w:val="18"/>
                        </w:rPr>
                      </w:pPr>
                    </w:p>
                    <w:p w14:paraId="53F345EB" w14:textId="77777777" w:rsidR="00406878" w:rsidRDefault="00406878" w:rsidP="00406878">
                      <w:pPr>
                        <w:spacing w:line="240" w:lineRule="exact"/>
                        <w:rPr>
                          <w:rFonts w:ascii="標楷體" w:eastAsia="標楷體" w:hAnsi="標楷體"/>
                          <w:sz w:val="18"/>
                          <w:szCs w:val="18"/>
                        </w:rPr>
                      </w:pPr>
                    </w:p>
                    <w:p w14:paraId="36CE2D86" w14:textId="77777777" w:rsidR="00406878" w:rsidRDefault="00406878" w:rsidP="00406878">
                      <w:pPr>
                        <w:spacing w:line="240" w:lineRule="exact"/>
                        <w:rPr>
                          <w:rFonts w:ascii="標楷體" w:eastAsia="標楷體" w:hAnsi="標楷體"/>
                          <w:sz w:val="18"/>
                          <w:szCs w:val="18"/>
                        </w:rPr>
                      </w:pPr>
                    </w:p>
                    <w:p w14:paraId="1EB54FC3" w14:textId="77777777" w:rsidR="00406878" w:rsidRDefault="00406878" w:rsidP="00406878">
                      <w:pPr>
                        <w:spacing w:line="240" w:lineRule="exact"/>
                        <w:rPr>
                          <w:rFonts w:ascii="標楷體" w:eastAsia="標楷體" w:hAnsi="標楷體"/>
                          <w:sz w:val="18"/>
                          <w:szCs w:val="18"/>
                        </w:rPr>
                      </w:pPr>
                    </w:p>
                    <w:p w14:paraId="2CC1BCC4" w14:textId="77777777" w:rsidR="00406878" w:rsidRDefault="00406878" w:rsidP="00406878">
                      <w:pPr>
                        <w:spacing w:line="240" w:lineRule="exact"/>
                        <w:rPr>
                          <w:rFonts w:ascii="標楷體" w:eastAsia="標楷體" w:hAnsi="標楷體"/>
                          <w:sz w:val="18"/>
                          <w:szCs w:val="18"/>
                        </w:rPr>
                      </w:pPr>
                    </w:p>
                    <w:p w14:paraId="1F736546" w14:textId="77777777" w:rsidR="00406878" w:rsidRDefault="00406878" w:rsidP="00406878">
                      <w:pPr>
                        <w:spacing w:line="240" w:lineRule="exact"/>
                        <w:rPr>
                          <w:rFonts w:ascii="標楷體" w:eastAsia="標楷體" w:hAnsi="標楷體"/>
                          <w:sz w:val="18"/>
                          <w:szCs w:val="18"/>
                        </w:rPr>
                      </w:pPr>
                    </w:p>
                    <w:p w14:paraId="2900FF81" w14:textId="77777777" w:rsidR="00406878" w:rsidRDefault="00406878" w:rsidP="00406878">
                      <w:pPr>
                        <w:spacing w:line="240" w:lineRule="exact"/>
                        <w:rPr>
                          <w:rFonts w:ascii="標楷體" w:eastAsia="標楷體" w:hAnsi="標楷體"/>
                          <w:sz w:val="18"/>
                          <w:szCs w:val="18"/>
                        </w:rPr>
                      </w:pPr>
                    </w:p>
                    <w:p w14:paraId="2656BFDF" w14:textId="77777777" w:rsidR="00406878" w:rsidRDefault="00406878" w:rsidP="00406878">
                      <w:pPr>
                        <w:spacing w:line="240" w:lineRule="exact"/>
                        <w:rPr>
                          <w:rFonts w:ascii="標楷體" w:eastAsia="標楷體" w:hAnsi="標楷體"/>
                          <w:sz w:val="18"/>
                          <w:szCs w:val="18"/>
                        </w:rPr>
                      </w:pPr>
                    </w:p>
                    <w:p w14:paraId="690B96D7" w14:textId="77777777" w:rsidR="00406878" w:rsidRDefault="00406878" w:rsidP="00406878">
                      <w:pPr>
                        <w:spacing w:line="240" w:lineRule="exact"/>
                        <w:rPr>
                          <w:rFonts w:ascii="標楷體" w:eastAsia="標楷體" w:hAnsi="標楷體"/>
                          <w:sz w:val="18"/>
                          <w:szCs w:val="18"/>
                        </w:rPr>
                      </w:pPr>
                    </w:p>
                    <w:p w14:paraId="7CA6A539" w14:textId="77777777" w:rsidR="00406878" w:rsidRDefault="00406878" w:rsidP="00406878">
                      <w:pPr>
                        <w:spacing w:line="240" w:lineRule="exact"/>
                        <w:jc w:val="both"/>
                        <w:rPr>
                          <w:rFonts w:ascii="標楷體" w:eastAsia="標楷體" w:hAnsi="標楷體"/>
                          <w:sz w:val="18"/>
                          <w:szCs w:val="18"/>
                        </w:rPr>
                      </w:pPr>
                      <w:r>
                        <w:rPr>
                          <w:noProof/>
                        </w:rPr>
                        <w:drawing>
                          <wp:inline distT="0" distB="0" distL="0" distR="0" wp14:anchorId="228CB4FB" wp14:editId="0B07D4A8">
                            <wp:extent cx="2664814" cy="2528886"/>
                            <wp:effectExtent l="0" t="0" r="2540" b="5080"/>
                            <wp:docPr id="2003185541" name="圖片 2003185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螢幕擷取畫面 (11)-Photoroom (1).png"/>
                                    <pic:cNvPicPr/>
                                  </pic:nvPicPr>
                                  <pic:blipFill>
                                    <a:blip r:embed="rId78">
                                      <a:extLst>
                                        <a:ext uri="{28A0092B-C50C-407E-A947-70E740481C1C}">
                                          <a14:useLocalDpi xmlns:a14="http://schemas.microsoft.com/office/drawing/2010/main" val="0"/>
                                        </a:ext>
                                      </a:extLst>
                                    </a:blip>
                                    <a:stretch>
                                      <a:fillRect/>
                                    </a:stretch>
                                  </pic:blipFill>
                                  <pic:spPr>
                                    <a:xfrm>
                                      <a:off x="0" y="0"/>
                                      <a:ext cx="2689527" cy="2552339"/>
                                    </a:xfrm>
                                    <a:prstGeom prst="rect">
                                      <a:avLst/>
                                    </a:prstGeom>
                                  </pic:spPr>
                                </pic:pic>
                              </a:graphicData>
                            </a:graphic>
                          </wp:inline>
                        </w:drawing>
                      </w:r>
                    </w:p>
                    <w:p w14:paraId="201D63DC" w14:textId="77777777" w:rsidR="00406878" w:rsidRPr="00FF56A0" w:rsidRDefault="00406878" w:rsidP="00406878">
                      <w:pPr>
                        <w:autoSpaceDN w:val="0"/>
                        <w:spacing w:line="180" w:lineRule="exact"/>
                        <w:ind w:left="900" w:hangingChars="500" w:hanging="900"/>
                        <w:jc w:val="both"/>
                      </w:pPr>
                      <w:r>
                        <w:rPr>
                          <w:rFonts w:ascii="標楷體" w:eastAsia="標楷體" w:hAnsi="標楷體" w:hint="eastAsia"/>
                          <w:sz w:val="18"/>
                          <w:szCs w:val="18"/>
                        </w:rPr>
                        <w:t>資料</w:t>
                      </w:r>
                      <w:r w:rsidRPr="00D54D39">
                        <w:rPr>
                          <w:rFonts w:ascii="標楷體" w:eastAsia="標楷體" w:hAnsi="標楷體" w:hint="eastAsia"/>
                          <w:sz w:val="18"/>
                          <w:szCs w:val="18"/>
                        </w:rPr>
                        <w:t>來源：</w:t>
                      </w:r>
                      <w:r w:rsidRPr="00B671FD">
                        <w:rPr>
                          <w:rFonts w:ascii="標楷體" w:eastAsia="標楷體" w:hAnsi="標楷體" w:hint="eastAsia"/>
                          <w:sz w:val="18"/>
                          <w:szCs w:val="18"/>
                        </w:rPr>
                        <w:t>擷取自民間參與興建暨營運</w:t>
                      </w:r>
                      <w:proofErr w:type="gramStart"/>
                      <w:r w:rsidRPr="00B671FD">
                        <w:rPr>
                          <w:rFonts w:ascii="標楷體" w:eastAsia="標楷體" w:hAnsi="標楷體" w:hint="eastAsia"/>
                          <w:sz w:val="18"/>
                          <w:szCs w:val="18"/>
                        </w:rPr>
                        <w:t>臺</w:t>
                      </w:r>
                      <w:proofErr w:type="gramEnd"/>
                      <w:r w:rsidRPr="00B671FD">
                        <w:rPr>
                          <w:rFonts w:ascii="標楷體" w:eastAsia="標楷體" w:hAnsi="標楷體" w:hint="eastAsia"/>
                          <w:sz w:val="18"/>
                          <w:szCs w:val="18"/>
                        </w:rPr>
                        <w:t>北文化體育園區大型室內體育館投資執行</w:t>
                      </w:r>
                      <w:proofErr w:type="gramStart"/>
                      <w:r w:rsidRPr="00B671FD">
                        <w:rPr>
                          <w:rFonts w:ascii="標楷體" w:eastAsia="標楷體" w:hAnsi="標楷體" w:hint="eastAsia"/>
                          <w:sz w:val="18"/>
                          <w:szCs w:val="18"/>
                        </w:rPr>
                        <w:t>計畫書變</w:t>
                      </w:r>
                      <w:proofErr w:type="gramEnd"/>
                      <w:r w:rsidRPr="00B671FD">
                        <w:rPr>
                          <w:rFonts w:ascii="標楷體" w:eastAsia="標楷體" w:hAnsi="標楷體" w:hint="eastAsia"/>
                          <w:sz w:val="18"/>
                          <w:szCs w:val="18"/>
                        </w:rPr>
                        <w:t>1定稿版內容。</w:t>
                      </w:r>
                    </w:p>
                  </w:txbxContent>
                </v:textbox>
                <w10:wrap type="square" anchorx="margin"/>
              </v:shape>
            </w:pict>
          </mc:Fallback>
        </mc:AlternateContent>
      </w:r>
      <w:r w:rsidRPr="00A64CE7">
        <w:rPr>
          <w:rFonts w:ascii="標楷體" w:eastAsia="標楷體" w:hAnsi="標楷體" w:cs="新細明體" w:hint="eastAsia"/>
          <w:noProof/>
          <w:color w:val="000000" w:themeColor="text1"/>
          <w:kern w:val="0"/>
          <w:szCs w:val="24"/>
        </w:rPr>
        <w:t>臺北市政府（下稱市政府）為提供臺北市市民一座不受天氣影響之室內多功能大型體育館，採民間</w:t>
      </w:r>
      <w:r>
        <w:rPr>
          <w:rFonts w:ascii="標楷體" w:eastAsia="標楷體" w:hAnsi="標楷體" w:cs="新細明體" w:hint="eastAsia"/>
          <w:noProof/>
          <w:color w:val="000000" w:themeColor="text1"/>
          <w:kern w:val="0"/>
          <w:szCs w:val="24"/>
        </w:rPr>
        <w:t>新</w:t>
      </w:r>
      <w:r w:rsidRPr="00A64CE7">
        <w:rPr>
          <w:rFonts w:ascii="標楷體" w:eastAsia="標楷體" w:hAnsi="標楷體" w:cs="新細明體" w:hint="eastAsia"/>
          <w:noProof/>
          <w:color w:val="000000" w:themeColor="text1"/>
          <w:kern w:val="0"/>
          <w:szCs w:val="24"/>
        </w:rPr>
        <w:t>建營運後移轉（Build–Operate–Transfer，BOT）方式，於95年10月3日與民間機構遠雄巨蛋事業股份有限公司（下稱遠雄巨蛋公司）簽訂「臺北文化體育園區－大型室內體育館開發計畫案興建營運契約」（下稱契約），營運許可年限為50年（前經展期至151年3月7日）。預計興建一座可容納4萬觀眾席位之國際大型室內體育館（下稱大巨蛋），及涵蓋「文化城」、「商場」、「旅館」、「辦公大樓」及「地下停車場」等附屬事業（圖1），遠雄巨蛋公司業於112年11月2日至113年3月26日間分4次取得全區使用執照，其中</w:t>
      </w:r>
    </w:p>
    <w:p w14:paraId="5343991B" w14:textId="77777777" w:rsidR="00C25DC6" w:rsidRDefault="00406878" w:rsidP="00C25DC6">
      <w:pPr>
        <w:widowControl/>
        <w:overflowPunct w:val="0"/>
        <w:autoSpaceDE w:val="0"/>
        <w:autoSpaceDN w:val="0"/>
        <w:spacing w:line="460" w:lineRule="exact"/>
        <w:jc w:val="both"/>
        <w:rPr>
          <w:rFonts w:ascii="標楷體" w:eastAsia="標楷體" w:hAnsi="標楷體" w:cs="新細明體"/>
          <w:noProof/>
          <w:color w:val="000000" w:themeColor="text1"/>
          <w:kern w:val="0"/>
          <w:szCs w:val="24"/>
        </w:rPr>
      </w:pPr>
      <w:r w:rsidRPr="00A64CE7">
        <w:rPr>
          <w:rFonts w:ascii="標楷體" w:eastAsia="標楷體" w:hAnsi="標楷體" w:cs="新細明體" w:hint="eastAsia"/>
          <w:noProof/>
          <w:color w:val="000000" w:themeColor="text1"/>
          <w:kern w:val="0"/>
          <w:szCs w:val="24"/>
        </w:rPr>
        <w:t>大巨蛋已自113年2月2日正式開始營運。經查體育局113年度辦理本案營運階段之履約管理情形，核有：（1）該局為依契約第8.4.1條規定，落實考核遠雄巨蛋公司經營該開發案設施成效情形，經於113年8月召開本案營運績效評估委員會議決議，規劃於每年9月辦理本案前一年度營運績效評估，惟查大巨蛋係於113年2月2日正式營運，其首年營運計畫執行結果，易因民間機構對經營環境不熟悉，而發生未盡完善，及與民眾預期產生落差等情，該局卻遲至114年9月始規劃辦理第1次營運績效評估，距113年度終了已有9個月，恐遭外界認為該局未及時督促民間機構精進營運</w:t>
      </w:r>
      <w:r w:rsidRPr="00C25DC6">
        <w:rPr>
          <w:rFonts w:ascii="標楷體" w:eastAsia="標楷體" w:hAnsi="標楷體" w:cs="新細明體" w:hint="eastAsia"/>
          <w:noProof/>
          <w:color w:val="000000" w:themeColor="text1"/>
          <w:spacing w:val="2"/>
          <w:kern w:val="0"/>
          <w:szCs w:val="24"/>
        </w:rPr>
        <w:t>策略之非議，且俟該局將相關評估缺失通知民間機構並研擬改善措施，恐已近年底而須至下一</w:t>
      </w:r>
    </w:p>
    <w:p w14:paraId="19301F4B" w14:textId="4C82DC20" w:rsidR="00496E74" w:rsidRDefault="00406878" w:rsidP="00C25DC6">
      <w:pPr>
        <w:widowControl/>
        <w:overflowPunct w:val="0"/>
        <w:autoSpaceDE w:val="0"/>
        <w:autoSpaceDN w:val="0"/>
        <w:spacing w:line="450" w:lineRule="exact"/>
        <w:jc w:val="both"/>
        <w:rPr>
          <w:rFonts w:ascii="標楷體" w:eastAsia="標楷體" w:hAnsi="標楷體" w:cs="新細明體"/>
          <w:noProof/>
          <w:color w:val="000000" w:themeColor="text1"/>
          <w:kern w:val="0"/>
          <w:szCs w:val="24"/>
        </w:rPr>
      </w:pPr>
      <w:r w:rsidRPr="00C25DC6">
        <w:rPr>
          <w:rFonts w:ascii="標楷體" w:eastAsia="標楷體" w:hAnsi="標楷體" w:cs="新細明體" w:hint="eastAsia"/>
          <w:noProof/>
          <w:color w:val="000000" w:themeColor="text1"/>
          <w:spacing w:val="4"/>
          <w:kern w:val="0"/>
          <w:szCs w:val="24"/>
        </w:rPr>
        <w:lastRenderedPageBreak/>
        <w:t>年度方可改善完成，亦因未能及時回應各界改善訴求，而遭各界質疑市政府監督不周之不良觀感，亟待與遠雄巨蛋公司協商研議提前辦理營運績效評估之可行性，俾據各年度營運績效評估結果及早檢視及修正次一年度營運計畫或公共安全缺漏之處，以提升整體營運安全及效率，並使臺北文化體育園區大型室內體育館及周邊附屬設施、附屬事業能夠長期穩健運作，符合市民與各界期待；（2）該局為加強掌握大巨蛋辦理體育賽事與演唱會期間，因跳躍可能造成震動情形，及對周遭環境產生影響，於113年12月採限制性招標方式辦理臺北市大型室內體育館樓房振動監測服務案，並於114年3月依據「臺北市大型群聚活動安全管理自治條例」規定審查業者申請於同年3月16日及4月4日假大巨蛋舉辦2場演唱會之資料時，要求遠雄巨蛋公司應於演唱會期間針對場館周邊外部振動及影響，進行監測計畫，惟截至114年4月11日止，該公司仍未將前開2場演場會之振動監測數據檢送該局，該局後續亦無相關積極作為，恐難落實持續辦理振動影響之監測作業；（3）遠雄巨蛋公司鑑於臺北文化體育園區係大型公共集會場所，為完善防災及緊急應變機制，已針對該園區大巨蛋（含地下室停車場）提報防災及緊急應變計畫</w:t>
      </w:r>
      <w:r w:rsidR="00C25DC6" w:rsidRPr="00C25DC6">
        <w:rPr>
          <w:rFonts w:ascii="標楷體" w:eastAsia="標楷體" w:hAnsi="標楷體" w:cs="新細明體" w:hint="eastAsia"/>
          <w:noProof/>
          <w:color w:val="000000" w:themeColor="text1"/>
          <w:spacing w:val="4"/>
          <w:kern w:val="0"/>
          <w:szCs w:val="24"/>
        </w:rPr>
        <w:t>（</w:t>
      </w:r>
      <w:r w:rsidRPr="00C25DC6">
        <w:rPr>
          <w:rFonts w:ascii="標楷體" w:eastAsia="標楷體" w:hAnsi="標楷體" w:cs="新細明體" w:hint="eastAsia"/>
          <w:noProof/>
          <w:color w:val="000000" w:themeColor="text1"/>
          <w:spacing w:val="4"/>
          <w:kern w:val="0"/>
          <w:szCs w:val="24"/>
        </w:rPr>
        <w:t>內含消防防護等8項計畫</w:t>
      </w:r>
      <w:r w:rsidR="00C25DC6" w:rsidRPr="00C25DC6">
        <w:rPr>
          <w:rFonts w:ascii="標楷體" w:eastAsia="標楷體" w:hAnsi="標楷體" w:cs="新細明體" w:hint="eastAsia"/>
          <w:noProof/>
          <w:color w:val="000000" w:themeColor="text1"/>
          <w:spacing w:val="4"/>
          <w:kern w:val="0"/>
          <w:szCs w:val="24"/>
        </w:rPr>
        <w:t>）</w:t>
      </w:r>
      <w:r w:rsidRPr="00C25DC6">
        <w:rPr>
          <w:rFonts w:ascii="標楷體" w:eastAsia="標楷體" w:hAnsi="標楷體" w:cs="新細明體" w:hint="eastAsia"/>
          <w:noProof/>
          <w:color w:val="000000" w:themeColor="text1"/>
          <w:spacing w:val="4"/>
          <w:kern w:val="0"/>
          <w:szCs w:val="24"/>
        </w:rPr>
        <w:t>，以確保公共安全，並經市政府於113年6月13日備查在案，惟查該開發計畫附屬事業辦公大樓已於113年7月1日開始進駐使用，且文化城亦預計於114年第2季開始營運，截至114年4月11日止，該公司僅於113年9月修正前開防災及緊急應變計畫書中之消防防護計畫，其餘有關地震應變等7項子計畫仍未配合滾動檢討修正，致現有部分災害應變措施已不符合實際運作或無法預為因應未來營運需求等情，恐難確保該園區於具完善防災及緊急應變計畫之原則下營運；（4）大巨蛋設有34間貴賓包廂，供舉辦活動時出租收費，惟市政府對於包廂是否屬於契約第8.5.2條約定每年10日場地免費使用權之範圍，與民間機構存有爭議，雙方雖曾多次進行協商，並於114年1月決議後續將依契約第20條規定透過協調解決爭議，惟截至114年4月11日止，市政府仍未成立「協調委員會」，或依促進民間參與公共建設法第48條之1第2項規定向主管機關組成之履約爭議調解會申請調解，以儘速解決爭議；（5）該局運用大巨蛋113年度免費回饋天數中之6天，舉行第3屆世界12強棒球錦標賽，藉以城市行銷及帶領棒球運動風氣，並採零元標案方式，委由中華民國棒球協會負責賽事活動規劃與執行、整體宣傳及媒體露出暨相關賽事售票等事宜。經查該局辦理本案履約管理及驗收作業情形，間有要求廠商應履行相關城市行銷事項金額高達2.85億元，惟未具體規範廠商辦理各項宣傳及媒體露出數量或次數，或要求廠商於其執行方案中載明辦理方式，俾作為</w:t>
      </w:r>
      <w:r w:rsidRPr="00C25DC6">
        <w:rPr>
          <w:rFonts w:ascii="標楷體" w:eastAsia="標楷體" w:hAnsi="標楷體" w:cs="新細明體" w:hint="eastAsia"/>
          <w:noProof/>
          <w:color w:val="000000" w:themeColor="text1"/>
          <w:spacing w:val="6"/>
          <w:kern w:val="0"/>
          <w:szCs w:val="24"/>
        </w:rPr>
        <w:t>驗收依據；或雖已於採購需求規範書柒規定廠商執行城市行銷方案價值倘未達回饋檔期總價值（2.85億元）之90％，將以扣除大巨蛋場地回饋檔期方式驗收，惟12強錦標賽已於113年11月18日比賽完竣，後續廠商履約結果，倘有須依該條文扣除大巨蛋回饋檔期情況，實際亦無法扣除，而形同具文；或迄114年4月底止，該賽事已結束逾5個月，仍未辦理驗收等情</w:t>
      </w:r>
    </w:p>
    <w:p w14:paraId="33DDB237" w14:textId="01F117F1" w:rsidR="00406878" w:rsidRDefault="00406878" w:rsidP="00496E74">
      <w:pPr>
        <w:widowControl/>
        <w:overflowPunct w:val="0"/>
        <w:autoSpaceDE w:val="0"/>
        <w:autoSpaceDN w:val="0"/>
        <w:spacing w:beforeLines="20" w:before="72" w:line="460" w:lineRule="exact"/>
        <w:jc w:val="both"/>
        <w:rPr>
          <w:rFonts w:ascii="標楷體" w:eastAsia="標楷體" w:hAnsi="標楷體" w:cs="新細明體"/>
          <w:noProof/>
          <w:color w:val="000000" w:themeColor="text1"/>
          <w:kern w:val="0"/>
          <w:szCs w:val="24"/>
        </w:rPr>
      </w:pPr>
      <w:r w:rsidRPr="00A64CE7">
        <w:rPr>
          <w:rFonts w:ascii="標楷體" w:eastAsia="標楷體" w:hAnsi="標楷體" w:cs="新細明體" w:hint="eastAsia"/>
          <w:noProof/>
          <w:color w:val="000000" w:themeColor="text1"/>
          <w:kern w:val="0"/>
          <w:szCs w:val="24"/>
        </w:rPr>
        <w:lastRenderedPageBreak/>
        <w:t>事，經函請研謀改善。據復：（1）依契約民間機構須於每年7月31日前提送經會計師查核簽證之年度財務報表，以確保評估資料之完整性與準確性，爰規劃於114年9月辦理「113年度營運績效評估」，惟該府後續仍會就115年度辦理「114年度營運績效評估」之期程再行與民間機構協商調整之可能；（2）因前開2場演唱會為抒情曲目，無振動疑慮，該局後續已函請民間機構於舉辦演唱會活動期間，針對場館周邊外部振動及影響，進行監測計畫，且在不影響社區之情況下評估增設監測點位，並將相關辦理情形納入營運績效評估審查，該府亦審查主辦單位送交之大型群聚計畫；（3）該局將持續會同市政府消防局依附屬事業營運進度，督導民間機構遠雄巨蛋公司滾動修正及補充計畫內容，確保計畫與實際營運範圍相符，以落實公共安全；（4）有關包廂營運管理爭議，該府已納入年度營運績效評估會，後續將聽取專家學者委員意見持續與遠雄巨蛋公司協商，並依契約相關程序辦理；（5）未來辦理類似採購案時，將要求廠商於執行方案中載明各項行銷手段之預估效益與數量，另本案確實存有扣減檔期天數之困難，未來如涉及場地回饋換算價值者，將預設具體可執行之違約處理替代方案；至有關本案久未完成書面驗收1節，係因本案屬國際大型賽事，涉及國內外多方單位，執行內容繁複及耗時，且結案資料須經會計師查核簽證，致須展延履約期限至114年6月30日，該局後續將督促廠商依契約規定儘速辦理驗收事宜，未來亦將精進檢討類似案件之執行與控管流程，提升整體履約效率，避免類似情形再次發生。</w:t>
      </w:r>
    </w:p>
    <w:p w14:paraId="5B0AC8F0" w14:textId="77777777" w:rsidR="00406878" w:rsidRPr="002131A4" w:rsidRDefault="00406878" w:rsidP="00087784">
      <w:pPr>
        <w:overflowPunct w:val="0"/>
        <w:autoSpaceDN w:val="0"/>
        <w:spacing w:beforeLines="50" w:before="180" w:line="460" w:lineRule="exact"/>
        <w:ind w:firstLineChars="200" w:firstLine="561"/>
        <w:jc w:val="both"/>
        <w:outlineLvl w:val="1"/>
        <w:rPr>
          <w:rFonts w:ascii="標楷體" w:eastAsia="標楷體" w:hAnsi="標楷體" w:cs="新細明體"/>
          <w:b/>
          <w:kern w:val="0"/>
          <w:sz w:val="28"/>
          <w:szCs w:val="28"/>
        </w:rPr>
      </w:pPr>
      <w:r w:rsidRPr="002131A4">
        <w:rPr>
          <w:rFonts w:ascii="標楷體" w:eastAsia="標楷體" w:hAnsi="標楷體" w:cs="新細明體"/>
          <w:b/>
          <w:kern w:val="0"/>
          <w:sz w:val="28"/>
          <w:szCs w:val="28"/>
        </w:rPr>
        <w:t>2.</w:t>
      </w:r>
      <w:r w:rsidRPr="002131A4">
        <w:rPr>
          <w:rFonts w:ascii="標楷體" w:eastAsia="標楷體" w:hAnsi="標楷體" w:cs="新細明體" w:hint="eastAsia"/>
          <w:b/>
          <w:kern w:val="0"/>
          <w:sz w:val="28"/>
          <w:szCs w:val="28"/>
        </w:rPr>
        <w:t>爭取主辦2025雙北世界壯年運動會，倡議終身運動精神及促進城市觀光旅遊發展，</w:t>
      </w:r>
      <w:proofErr w:type="gramStart"/>
      <w:r w:rsidRPr="002131A4">
        <w:rPr>
          <w:rFonts w:ascii="標楷體" w:eastAsia="標楷體" w:hAnsi="標楷體" w:cs="新細明體" w:hint="eastAsia"/>
          <w:b/>
          <w:kern w:val="0"/>
          <w:sz w:val="28"/>
          <w:szCs w:val="28"/>
        </w:rPr>
        <w:t>惟核有</w:t>
      </w:r>
      <w:proofErr w:type="gramEnd"/>
      <w:r w:rsidRPr="002131A4">
        <w:rPr>
          <w:rFonts w:ascii="標楷體" w:eastAsia="標楷體" w:hAnsi="標楷體" w:cs="新細明體" w:hint="eastAsia"/>
          <w:b/>
          <w:kern w:val="0"/>
          <w:sz w:val="28"/>
          <w:szCs w:val="28"/>
        </w:rPr>
        <w:t>外國選手報名率未達預計目標</w:t>
      </w:r>
      <w:proofErr w:type="gramStart"/>
      <w:r w:rsidRPr="002131A4">
        <w:rPr>
          <w:rFonts w:ascii="標楷體" w:eastAsia="標楷體" w:hAnsi="標楷體" w:cs="新細明體" w:hint="eastAsia"/>
          <w:b/>
          <w:kern w:val="0"/>
          <w:sz w:val="28"/>
          <w:szCs w:val="28"/>
        </w:rPr>
        <w:t>5成</w:t>
      </w:r>
      <w:proofErr w:type="gramEnd"/>
      <w:r w:rsidRPr="002131A4">
        <w:rPr>
          <w:rFonts w:ascii="標楷體" w:eastAsia="標楷體" w:hAnsi="標楷體" w:cs="新細明體" w:hint="eastAsia"/>
          <w:b/>
          <w:kern w:val="0"/>
          <w:sz w:val="28"/>
          <w:szCs w:val="28"/>
        </w:rPr>
        <w:t>，或競賽</w:t>
      </w:r>
      <w:proofErr w:type="gramStart"/>
      <w:r w:rsidRPr="002131A4">
        <w:rPr>
          <w:rFonts w:ascii="標楷體" w:eastAsia="標楷體" w:hAnsi="標楷體" w:cs="新細明體" w:hint="eastAsia"/>
          <w:b/>
          <w:kern w:val="0"/>
          <w:sz w:val="28"/>
          <w:szCs w:val="28"/>
        </w:rPr>
        <w:t>場館志工</w:t>
      </w:r>
      <w:proofErr w:type="gramEnd"/>
      <w:r w:rsidRPr="002131A4">
        <w:rPr>
          <w:rFonts w:ascii="標楷體" w:eastAsia="標楷體" w:hAnsi="標楷體" w:cs="新細明體" w:hint="eastAsia"/>
          <w:b/>
          <w:kern w:val="0"/>
          <w:sz w:val="28"/>
          <w:szCs w:val="28"/>
        </w:rPr>
        <w:t>服務量能不足，或官方旅遊行程推廣</w:t>
      </w:r>
      <w:proofErr w:type="gramStart"/>
      <w:r w:rsidRPr="002131A4">
        <w:rPr>
          <w:rFonts w:ascii="標楷體" w:eastAsia="標楷體" w:hAnsi="標楷體" w:cs="新細明體" w:hint="eastAsia"/>
          <w:b/>
          <w:kern w:val="0"/>
          <w:sz w:val="28"/>
          <w:szCs w:val="28"/>
        </w:rPr>
        <w:t>成效欠彰</w:t>
      </w:r>
      <w:proofErr w:type="gramEnd"/>
      <w:r w:rsidRPr="002131A4">
        <w:rPr>
          <w:rFonts w:ascii="標楷體" w:eastAsia="標楷體" w:hAnsi="標楷體" w:cs="新細明體" w:hint="eastAsia"/>
          <w:b/>
          <w:kern w:val="0"/>
          <w:sz w:val="28"/>
          <w:szCs w:val="28"/>
        </w:rPr>
        <w:t>，或特約店家優惠消費資訊宣傳不足等情，均有待檢討改善，以提升計畫執行成效。</w:t>
      </w:r>
    </w:p>
    <w:p w14:paraId="47CB7AAD" w14:textId="60E02D79" w:rsidR="00406878" w:rsidRDefault="00406878" w:rsidP="00496E74">
      <w:pPr>
        <w:overflowPunct w:val="0"/>
        <w:autoSpaceDE w:val="0"/>
        <w:autoSpaceDN w:val="0"/>
        <w:spacing w:beforeLines="30" w:before="108" w:line="460" w:lineRule="exact"/>
        <w:ind w:firstLineChars="200" w:firstLine="480"/>
        <w:jc w:val="both"/>
        <w:outlineLvl w:val="0"/>
        <w:rPr>
          <w:rFonts w:ascii="標楷體" w:eastAsia="標楷體" w:hAnsi="標楷體" w:cs="新細明體"/>
          <w:color w:val="000000" w:themeColor="text1"/>
          <w:kern w:val="0"/>
          <w:szCs w:val="24"/>
        </w:rPr>
      </w:pPr>
      <w:r w:rsidRPr="002131A4">
        <w:rPr>
          <w:rFonts w:ascii="標楷體" w:eastAsia="標楷體" w:hAnsi="標楷體" w:cs="新細明體" w:hint="eastAsia"/>
          <w:color w:val="000000" w:themeColor="text1"/>
          <w:kern w:val="0"/>
          <w:szCs w:val="24"/>
        </w:rPr>
        <w:t>臺北市政府及新北市政府（下稱雙北市政府）為倡議終身運動及全民運動之價值理念與促進城市觀光旅遊發展，於109年10月23日共同合作，取得「2025年世界壯年運動會」（下稱2025</w:t>
      </w:r>
      <w:proofErr w:type="gramStart"/>
      <w:r w:rsidRPr="002131A4">
        <w:rPr>
          <w:rFonts w:ascii="標楷體" w:eastAsia="標楷體" w:hAnsi="標楷體" w:cs="新細明體" w:hint="eastAsia"/>
          <w:color w:val="000000" w:themeColor="text1"/>
          <w:kern w:val="0"/>
          <w:szCs w:val="24"/>
        </w:rPr>
        <w:t>世壯運</w:t>
      </w:r>
      <w:proofErr w:type="gramEnd"/>
      <w:r w:rsidRPr="002131A4">
        <w:rPr>
          <w:rFonts w:ascii="標楷體" w:eastAsia="標楷體" w:hAnsi="標楷體" w:cs="新細明體" w:hint="eastAsia"/>
          <w:color w:val="000000" w:themeColor="text1"/>
          <w:kern w:val="0"/>
          <w:szCs w:val="24"/>
        </w:rPr>
        <w:t>）主辦權，並於114年5月17日至30日假臺北市、新北市、桃園市、新竹縣、宜蘭縣及</w:t>
      </w:r>
      <w:proofErr w:type="gramStart"/>
      <w:r w:rsidRPr="002131A4">
        <w:rPr>
          <w:rFonts w:ascii="標楷體" w:eastAsia="標楷體" w:hAnsi="標楷體" w:cs="新細明體" w:hint="eastAsia"/>
          <w:color w:val="000000" w:themeColor="text1"/>
          <w:kern w:val="0"/>
          <w:szCs w:val="24"/>
        </w:rPr>
        <w:t>臺</w:t>
      </w:r>
      <w:proofErr w:type="gramEnd"/>
      <w:r w:rsidRPr="002131A4">
        <w:rPr>
          <w:rFonts w:ascii="標楷體" w:eastAsia="標楷體" w:hAnsi="標楷體" w:cs="新細明體" w:hint="eastAsia"/>
          <w:color w:val="000000" w:themeColor="text1"/>
          <w:kern w:val="0"/>
          <w:szCs w:val="24"/>
        </w:rPr>
        <w:t>中市所轄61處運動場館，舉辦35種類運動賽事。臺北市政府業責成體育局於112及</w:t>
      </w:r>
      <w:proofErr w:type="gramStart"/>
      <w:r w:rsidRPr="002131A4">
        <w:rPr>
          <w:rFonts w:ascii="標楷體" w:eastAsia="標楷體" w:hAnsi="標楷體" w:cs="新細明體" w:hint="eastAsia"/>
          <w:color w:val="000000" w:themeColor="text1"/>
          <w:kern w:val="0"/>
          <w:szCs w:val="24"/>
        </w:rPr>
        <w:t>113</w:t>
      </w:r>
      <w:proofErr w:type="gramEnd"/>
      <w:r w:rsidRPr="002131A4">
        <w:rPr>
          <w:rFonts w:ascii="標楷體" w:eastAsia="標楷體" w:hAnsi="標楷體" w:cs="新細明體" w:hint="eastAsia"/>
          <w:color w:val="000000" w:themeColor="text1"/>
          <w:kern w:val="0"/>
          <w:szCs w:val="24"/>
        </w:rPr>
        <w:t>年度累計編列預算5億3,370萬餘元（含中央補助款1億7,534萬餘元），籌辦該賽會相關工作。經查執行情形，核有下列事項：</w:t>
      </w:r>
    </w:p>
    <w:p w14:paraId="133D570C" w14:textId="1D8690B6" w:rsidR="00087784" w:rsidRPr="002131A4" w:rsidRDefault="00087784" w:rsidP="00087784">
      <w:pPr>
        <w:overflowPunct w:val="0"/>
        <w:autoSpaceDE w:val="0"/>
        <w:autoSpaceDN w:val="0"/>
        <w:spacing w:line="440" w:lineRule="exact"/>
        <w:ind w:firstLineChars="200" w:firstLine="480"/>
        <w:jc w:val="both"/>
        <w:outlineLvl w:val="0"/>
        <w:rPr>
          <w:rFonts w:ascii="標楷體" w:eastAsia="標楷體" w:hAnsi="標楷體" w:cs="新細明體"/>
          <w:color w:val="000000" w:themeColor="text1"/>
          <w:kern w:val="0"/>
          <w:szCs w:val="24"/>
        </w:rPr>
      </w:pPr>
      <w:r w:rsidRPr="002131A4">
        <w:rPr>
          <w:rFonts w:ascii="標楷體" w:eastAsia="標楷體" w:hAnsi="標楷體" w:cs="新細明體" w:hint="eastAsia"/>
          <w:b/>
          <w:color w:val="000000"/>
          <w:kern w:val="0"/>
          <w:szCs w:val="24"/>
        </w:rPr>
        <w:t>（1）</w:t>
      </w:r>
      <w:proofErr w:type="gramStart"/>
      <w:r w:rsidRPr="002131A4">
        <w:rPr>
          <w:rFonts w:ascii="標楷體" w:eastAsia="標楷體" w:hAnsi="標楷體" w:cs="新細明體" w:hint="eastAsia"/>
          <w:b/>
          <w:color w:val="000000"/>
          <w:kern w:val="0"/>
          <w:szCs w:val="24"/>
        </w:rPr>
        <w:t>賡</w:t>
      </w:r>
      <w:proofErr w:type="gramEnd"/>
      <w:r w:rsidRPr="002131A4">
        <w:rPr>
          <w:rFonts w:ascii="標楷體" w:eastAsia="標楷體" w:hAnsi="標楷體" w:cs="新細明體" w:hint="eastAsia"/>
          <w:b/>
          <w:color w:val="000000"/>
          <w:kern w:val="0"/>
          <w:szCs w:val="24"/>
        </w:rPr>
        <w:t>續辦理2025</w:t>
      </w:r>
      <w:proofErr w:type="gramStart"/>
      <w:r w:rsidRPr="002131A4">
        <w:rPr>
          <w:rFonts w:ascii="標楷體" w:eastAsia="標楷體" w:hAnsi="標楷體" w:cs="新細明體" w:hint="eastAsia"/>
          <w:b/>
          <w:color w:val="000000"/>
          <w:kern w:val="0"/>
          <w:szCs w:val="24"/>
        </w:rPr>
        <w:t>世壯運</w:t>
      </w:r>
      <w:proofErr w:type="gramEnd"/>
      <w:r w:rsidRPr="002131A4">
        <w:rPr>
          <w:rFonts w:ascii="標楷體" w:eastAsia="標楷體" w:hAnsi="標楷體" w:cs="新細明體" w:hint="eastAsia"/>
          <w:b/>
          <w:color w:val="000000"/>
          <w:kern w:val="0"/>
          <w:szCs w:val="24"/>
        </w:rPr>
        <w:t>國際宣傳及</w:t>
      </w:r>
      <w:proofErr w:type="gramStart"/>
      <w:r w:rsidRPr="002131A4">
        <w:rPr>
          <w:rFonts w:ascii="標楷體" w:eastAsia="標楷體" w:hAnsi="標楷體" w:cs="新細明體" w:hint="eastAsia"/>
          <w:b/>
          <w:color w:val="000000"/>
          <w:kern w:val="0"/>
          <w:szCs w:val="24"/>
        </w:rPr>
        <w:t>誘</w:t>
      </w:r>
      <w:proofErr w:type="gramEnd"/>
      <w:r w:rsidRPr="002131A4">
        <w:rPr>
          <w:rFonts w:ascii="標楷體" w:eastAsia="標楷體" w:hAnsi="標楷體" w:cs="新細明體" w:hint="eastAsia"/>
          <w:b/>
          <w:color w:val="000000"/>
          <w:kern w:val="0"/>
          <w:szCs w:val="24"/>
        </w:rPr>
        <w:t>客計畫相關事宜，惟報名參賽者仍以雙北市民為主，且外國選手來</w:t>
      </w:r>
      <w:proofErr w:type="gramStart"/>
      <w:r w:rsidRPr="002131A4">
        <w:rPr>
          <w:rFonts w:ascii="標楷體" w:eastAsia="標楷體" w:hAnsi="標楷體" w:cs="新細明體" w:hint="eastAsia"/>
          <w:b/>
          <w:color w:val="000000"/>
          <w:kern w:val="0"/>
          <w:szCs w:val="24"/>
        </w:rPr>
        <w:t>臺</w:t>
      </w:r>
      <w:proofErr w:type="gramEnd"/>
      <w:r w:rsidRPr="002131A4">
        <w:rPr>
          <w:rFonts w:ascii="標楷體" w:eastAsia="標楷體" w:hAnsi="標楷體" w:cs="新細明體" w:hint="eastAsia"/>
          <w:b/>
          <w:color w:val="000000"/>
          <w:kern w:val="0"/>
          <w:szCs w:val="24"/>
        </w:rPr>
        <w:t>參賽人數僅占整體之</w:t>
      </w:r>
      <w:proofErr w:type="gramStart"/>
      <w:r w:rsidRPr="002131A4">
        <w:rPr>
          <w:rFonts w:ascii="標楷體" w:eastAsia="標楷體" w:hAnsi="標楷體" w:cs="新細明體" w:hint="eastAsia"/>
          <w:b/>
          <w:color w:val="000000"/>
          <w:kern w:val="0"/>
          <w:szCs w:val="24"/>
        </w:rPr>
        <w:t>2成</w:t>
      </w:r>
      <w:proofErr w:type="gramEnd"/>
      <w:r w:rsidRPr="002131A4">
        <w:rPr>
          <w:rFonts w:ascii="標楷體" w:eastAsia="標楷體" w:hAnsi="標楷體" w:cs="新細明體" w:hint="eastAsia"/>
          <w:b/>
          <w:color w:val="000000"/>
          <w:kern w:val="0"/>
          <w:szCs w:val="24"/>
        </w:rPr>
        <w:t>5，遠低於預期目標，影響賽會舉辦經濟效益：</w:t>
      </w:r>
      <w:r w:rsidRPr="002131A4">
        <w:rPr>
          <w:rFonts w:ascii="標楷體" w:eastAsia="標楷體" w:hAnsi="標楷體" w:hint="eastAsia"/>
          <w:szCs w:val="24"/>
        </w:rPr>
        <w:t>本處前抽查體育局</w:t>
      </w:r>
      <w:proofErr w:type="gramStart"/>
      <w:r w:rsidRPr="002131A4">
        <w:rPr>
          <w:rFonts w:ascii="標楷體" w:eastAsia="標楷體" w:hAnsi="標楷體" w:hint="eastAsia"/>
          <w:szCs w:val="24"/>
        </w:rPr>
        <w:t>112</w:t>
      </w:r>
      <w:proofErr w:type="gramEnd"/>
      <w:r w:rsidRPr="002131A4">
        <w:rPr>
          <w:rFonts w:ascii="標楷體" w:eastAsia="標楷體" w:hAnsi="標楷體" w:hint="eastAsia"/>
          <w:szCs w:val="24"/>
        </w:rPr>
        <w:t>年度財務收支及決算時，曾就2025</w:t>
      </w:r>
      <w:proofErr w:type="gramStart"/>
      <w:r w:rsidRPr="002131A4">
        <w:rPr>
          <w:rFonts w:ascii="標楷體" w:eastAsia="標楷體" w:hAnsi="標楷體" w:hint="eastAsia"/>
          <w:szCs w:val="24"/>
        </w:rPr>
        <w:t>世壯運</w:t>
      </w:r>
      <w:proofErr w:type="gramEnd"/>
      <w:r w:rsidRPr="002131A4">
        <w:rPr>
          <w:rFonts w:ascii="標楷體" w:eastAsia="標楷體" w:hAnsi="標楷體" w:hint="eastAsia"/>
          <w:szCs w:val="24"/>
        </w:rPr>
        <w:t>自113年2月17日起開放報名後至同年5月15日止，國外選手報名人數僅有2,276人，遠低於預期，恐影響該賽會舉辦之經濟效益1節，函請注意</w:t>
      </w:r>
      <w:proofErr w:type="gramStart"/>
      <w:r w:rsidRPr="002131A4">
        <w:rPr>
          <w:rFonts w:ascii="標楷體" w:eastAsia="標楷體" w:hAnsi="標楷體" w:hint="eastAsia"/>
          <w:szCs w:val="24"/>
        </w:rPr>
        <w:t>研</w:t>
      </w:r>
      <w:proofErr w:type="gramEnd"/>
      <w:r w:rsidRPr="002131A4">
        <w:rPr>
          <w:rFonts w:ascii="標楷體" w:eastAsia="標楷體" w:hAnsi="標楷體" w:hint="eastAsia"/>
          <w:szCs w:val="24"/>
        </w:rPr>
        <w:t>謀改善。據復：因國外選手到</w:t>
      </w:r>
      <w:proofErr w:type="gramStart"/>
      <w:r w:rsidRPr="002131A4">
        <w:rPr>
          <w:rFonts w:ascii="標楷體" w:eastAsia="標楷體" w:hAnsi="標楷體" w:hint="eastAsia"/>
          <w:szCs w:val="24"/>
        </w:rPr>
        <w:t>臺</w:t>
      </w:r>
      <w:proofErr w:type="gramEnd"/>
      <w:r w:rsidRPr="002131A4">
        <w:rPr>
          <w:rFonts w:ascii="標楷體" w:eastAsia="標楷體" w:hAnsi="標楷體" w:hint="eastAsia"/>
          <w:szCs w:val="24"/>
        </w:rPr>
        <w:t>參賽，尚須考量住宿及交通事宜，故報名時點較晚；後續</w:t>
      </w:r>
    </w:p>
    <w:p w14:paraId="642E105E" w14:textId="4D5CF70C" w:rsidR="00406878" w:rsidRDefault="00496E74" w:rsidP="00496E74">
      <w:pPr>
        <w:overflowPunct w:val="0"/>
        <w:autoSpaceDE w:val="0"/>
        <w:autoSpaceDN w:val="0"/>
        <w:spacing w:before="60" w:after="40" w:line="420" w:lineRule="exact"/>
        <w:jc w:val="both"/>
        <w:outlineLvl w:val="1"/>
        <w:rPr>
          <w:rFonts w:ascii="標楷體" w:eastAsia="標楷體" w:hAnsi="標楷體"/>
          <w:szCs w:val="24"/>
        </w:rPr>
      </w:pPr>
      <w:r w:rsidRPr="002131A4">
        <w:rPr>
          <w:rFonts w:ascii="標楷體" w:eastAsia="標楷體" w:hAnsi="標楷體"/>
          <w:noProof/>
          <w:sz w:val="32"/>
          <w:szCs w:val="32"/>
        </w:rPr>
        <w:lastRenderedPageBreak/>
        <mc:AlternateContent>
          <mc:Choice Requires="wps">
            <w:drawing>
              <wp:anchor distT="45720" distB="45720" distL="114300" distR="114300" simplePos="0" relativeHeight="251815936" behindDoc="1" locked="0" layoutInCell="1" allowOverlap="1" wp14:anchorId="6BCE9EEF" wp14:editId="34236817">
                <wp:simplePos x="0" y="0"/>
                <wp:positionH relativeFrom="margin">
                  <wp:posOffset>4731649</wp:posOffset>
                </wp:positionH>
                <wp:positionV relativeFrom="page">
                  <wp:posOffset>2035810</wp:posOffset>
                </wp:positionV>
                <wp:extent cx="1619885" cy="3347720"/>
                <wp:effectExtent l="0" t="0" r="0" b="5080"/>
                <wp:wrapTight wrapText="bothSides">
                  <wp:wrapPolygon edited="0">
                    <wp:start x="0" y="0"/>
                    <wp:lineTo x="0" y="21510"/>
                    <wp:lineTo x="21338" y="21510"/>
                    <wp:lineTo x="21338" y="0"/>
                    <wp:lineTo x="0" y="0"/>
                  </wp:wrapPolygon>
                </wp:wrapTight>
                <wp:docPr id="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3347720"/>
                        </a:xfrm>
                        <a:prstGeom prst="rect">
                          <a:avLst/>
                        </a:prstGeom>
                        <a:solidFill>
                          <a:srgbClr val="FFFFFF"/>
                        </a:solidFill>
                        <a:ln w="9525">
                          <a:noFill/>
                          <a:miter lim="800000"/>
                          <a:headEnd/>
                          <a:tailEnd/>
                        </a:ln>
                      </wps:spPr>
                      <wps:txbx>
                        <w:txbxContent>
                          <w:tbl>
                            <w:tblPr>
                              <w:tblW w:w="3970" w:type="dxa"/>
                              <w:tblInd w:w="-142" w:type="dxa"/>
                              <w:tblLayout w:type="fixed"/>
                              <w:tblCellMar>
                                <w:left w:w="28" w:type="dxa"/>
                                <w:right w:w="28" w:type="dxa"/>
                              </w:tblCellMar>
                              <w:tblLook w:val="04A0" w:firstRow="1" w:lastRow="0" w:firstColumn="1" w:lastColumn="0" w:noHBand="0" w:noVBand="1"/>
                            </w:tblPr>
                            <w:tblGrid>
                              <w:gridCol w:w="993"/>
                              <w:gridCol w:w="709"/>
                              <w:gridCol w:w="708"/>
                              <w:gridCol w:w="851"/>
                              <w:gridCol w:w="709"/>
                            </w:tblGrid>
                            <w:tr w:rsidR="00406878" w:rsidRPr="00A86351" w14:paraId="35CBC9E1" w14:textId="77777777" w:rsidTr="00C808E3">
                              <w:trPr>
                                <w:gridAfter w:val="2"/>
                                <w:wAfter w:w="1560" w:type="dxa"/>
                                <w:trHeight w:val="80"/>
                              </w:trPr>
                              <w:tc>
                                <w:tcPr>
                                  <w:tcW w:w="2410" w:type="dxa"/>
                                  <w:gridSpan w:val="3"/>
                                  <w:tcBorders>
                                    <w:top w:val="nil"/>
                                    <w:left w:val="nil"/>
                                    <w:bottom w:val="nil"/>
                                    <w:right w:val="nil"/>
                                  </w:tcBorders>
                                  <w:shd w:val="clear" w:color="auto" w:fill="auto"/>
                                  <w:noWrap/>
                                  <w:hideMark/>
                                </w:tcPr>
                                <w:p w14:paraId="4675F1D8" w14:textId="77777777" w:rsidR="00406878" w:rsidRPr="00A86351" w:rsidRDefault="00406878" w:rsidP="00017DC3">
                                  <w:pPr>
                                    <w:widowControl/>
                                    <w:autoSpaceDN w:val="0"/>
                                    <w:spacing w:line="240" w:lineRule="exact"/>
                                    <w:jc w:val="center"/>
                                    <w:rPr>
                                      <w:rFonts w:ascii="標楷體" w:eastAsia="標楷體" w:hAnsi="標楷體" w:cs="新細明體"/>
                                      <w:b/>
                                      <w:bCs/>
                                      <w:color w:val="000000"/>
                                      <w:spacing w:val="-22"/>
                                      <w:kern w:val="0"/>
                                    </w:rPr>
                                  </w:pPr>
                                  <w:r w:rsidRPr="00A86351">
                                    <w:rPr>
                                      <w:rFonts w:ascii="標楷體" w:eastAsia="標楷體" w:hAnsi="標楷體" w:cs="新細明體" w:hint="eastAsia"/>
                                      <w:b/>
                                      <w:bCs/>
                                      <w:color w:val="000000"/>
                                      <w:spacing w:val="-22"/>
                                      <w:kern w:val="0"/>
                                    </w:rPr>
                                    <w:t>表</w:t>
                                  </w:r>
                                  <w:r>
                                    <w:rPr>
                                      <w:rFonts w:ascii="標楷體" w:eastAsia="標楷體" w:hAnsi="標楷體" w:cs="新細明體" w:hint="eastAsia"/>
                                      <w:b/>
                                      <w:bCs/>
                                      <w:color w:val="000000"/>
                                      <w:spacing w:val="-22"/>
                                      <w:kern w:val="0"/>
                                    </w:rPr>
                                    <w:t xml:space="preserve">1　</w:t>
                                  </w:r>
                                  <w:r w:rsidRPr="00A86351">
                                    <w:rPr>
                                      <w:rFonts w:ascii="標楷體" w:eastAsia="標楷體" w:hAnsi="標楷體" w:cs="新細明體" w:hint="eastAsia"/>
                                      <w:b/>
                                      <w:bCs/>
                                      <w:color w:val="000000"/>
                                      <w:spacing w:val="-22"/>
                                      <w:kern w:val="0"/>
                                    </w:rPr>
                                    <w:t>2025</w:t>
                                  </w:r>
                                  <w:proofErr w:type="gramStart"/>
                                  <w:r w:rsidRPr="00A86351">
                                    <w:rPr>
                                      <w:rFonts w:ascii="標楷體" w:eastAsia="標楷體" w:hAnsi="標楷體" w:cs="新細明體" w:hint="eastAsia"/>
                                      <w:b/>
                                      <w:bCs/>
                                      <w:color w:val="000000"/>
                                      <w:spacing w:val="-22"/>
                                      <w:kern w:val="0"/>
                                    </w:rPr>
                                    <w:t>世壯運</w:t>
                                  </w:r>
                                  <w:proofErr w:type="gramEnd"/>
                                  <w:r w:rsidRPr="00A86351">
                                    <w:rPr>
                                      <w:rFonts w:ascii="標楷體" w:eastAsia="標楷體" w:hAnsi="標楷體" w:cs="新細明體" w:hint="eastAsia"/>
                                      <w:b/>
                                      <w:bCs/>
                                      <w:color w:val="000000"/>
                                      <w:spacing w:val="-22"/>
                                      <w:kern w:val="0"/>
                                    </w:rPr>
                                    <w:t>報名情形</w:t>
                                  </w:r>
                                </w:p>
                              </w:tc>
                            </w:tr>
                            <w:tr w:rsidR="00406878" w:rsidRPr="004D7790" w14:paraId="0B36063C" w14:textId="77777777" w:rsidTr="00C808E3">
                              <w:trPr>
                                <w:gridAfter w:val="2"/>
                                <w:wAfter w:w="1560" w:type="dxa"/>
                                <w:trHeight w:val="80"/>
                              </w:trPr>
                              <w:tc>
                                <w:tcPr>
                                  <w:tcW w:w="2410" w:type="dxa"/>
                                  <w:gridSpan w:val="3"/>
                                  <w:tcBorders>
                                    <w:top w:val="nil"/>
                                    <w:left w:val="nil"/>
                                    <w:bottom w:val="single" w:sz="4" w:space="0" w:color="auto"/>
                                    <w:right w:val="nil"/>
                                  </w:tcBorders>
                                  <w:shd w:val="clear" w:color="auto" w:fill="auto"/>
                                  <w:noWrap/>
                                  <w:vAlign w:val="bottom"/>
                                  <w:hideMark/>
                                </w:tcPr>
                                <w:p w14:paraId="660C917B" w14:textId="77777777" w:rsidR="00406878" w:rsidRPr="004D7790" w:rsidRDefault="00406878" w:rsidP="00C808E3">
                                  <w:pPr>
                                    <w:widowControl/>
                                    <w:spacing w:line="24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單位：人、％</w:t>
                                  </w:r>
                                </w:p>
                              </w:tc>
                            </w:tr>
                            <w:tr w:rsidR="00406878" w:rsidRPr="004D7790" w14:paraId="47064662" w14:textId="77777777" w:rsidTr="00C808E3">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9EA83" w14:textId="77777777" w:rsidR="00406878" w:rsidRPr="004D7790" w:rsidRDefault="00406878" w:rsidP="00184F7A">
                                  <w:pPr>
                                    <w:widowControl/>
                                    <w:spacing w:line="200" w:lineRule="exact"/>
                                    <w:jc w:val="center"/>
                                    <w:rPr>
                                      <w:rFonts w:ascii="標楷體" w:eastAsia="標楷體" w:hAnsi="標楷體" w:cs="新細明體"/>
                                      <w:color w:val="000000"/>
                                      <w:kern w:val="0"/>
                                      <w:sz w:val="20"/>
                                      <w:szCs w:val="20"/>
                                    </w:rPr>
                                  </w:pPr>
                                  <w:r w:rsidRPr="00344B26">
                                    <w:rPr>
                                      <w:rFonts w:ascii="標楷體" w:eastAsia="標楷體" w:hAnsi="標楷體" w:hint="eastAsia"/>
                                      <w:sz w:val="20"/>
                                      <w:szCs w:val="20"/>
                                    </w:rPr>
                                    <w:t>身分別</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5C67EB4" w14:textId="77777777" w:rsidR="00406878" w:rsidRPr="004D7790" w:rsidRDefault="00406878" w:rsidP="00184F7A">
                                  <w:pPr>
                                    <w:widowControl/>
                                    <w:spacing w:line="200" w:lineRule="exact"/>
                                    <w:jc w:val="center"/>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人數</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F7946F" w14:textId="77777777" w:rsidR="00406878" w:rsidRPr="004D7790" w:rsidRDefault="00406878" w:rsidP="00184F7A">
                                  <w:pPr>
                                    <w:widowControl/>
                                    <w:spacing w:line="200" w:lineRule="exact"/>
                                    <w:jc w:val="center"/>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占比</w:t>
                                  </w:r>
                                </w:p>
                              </w:tc>
                            </w:tr>
                            <w:tr w:rsidR="00406878" w:rsidRPr="004D7790" w14:paraId="50A56A9D"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C6F232" w14:textId="77777777" w:rsidR="00406878" w:rsidRPr="004D7790" w:rsidRDefault="00406878" w:rsidP="00184F7A">
                                  <w:pPr>
                                    <w:widowControl/>
                                    <w:spacing w:line="200" w:lineRule="exact"/>
                                    <w:jc w:val="center"/>
                                    <w:rPr>
                                      <w:rFonts w:ascii="標楷體" w:eastAsia="標楷體" w:hAnsi="標楷體" w:cs="新細明體"/>
                                      <w:b/>
                                      <w:bCs/>
                                      <w:color w:val="000000"/>
                                      <w:kern w:val="0"/>
                                      <w:sz w:val="20"/>
                                      <w:szCs w:val="20"/>
                                    </w:rPr>
                                  </w:pPr>
                                  <w:r w:rsidRPr="004D7790">
                                    <w:rPr>
                                      <w:rFonts w:ascii="標楷體" w:eastAsia="標楷體" w:hAnsi="標楷體" w:cs="新細明體" w:hint="eastAsia"/>
                                      <w:b/>
                                      <w:bCs/>
                                      <w:color w:val="000000"/>
                                      <w:kern w:val="0"/>
                                      <w:sz w:val="20"/>
                                      <w:szCs w:val="20"/>
                                    </w:rPr>
                                    <w:t>合計</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4644C7" w14:textId="77777777" w:rsidR="00406878" w:rsidRPr="004D7790" w:rsidRDefault="00406878" w:rsidP="00184F7A">
                                  <w:pPr>
                                    <w:widowControl/>
                                    <w:spacing w:line="200" w:lineRule="exact"/>
                                    <w:jc w:val="right"/>
                                    <w:rPr>
                                      <w:rFonts w:ascii="標楷體" w:eastAsia="標楷體" w:hAnsi="標楷體" w:cs="新細明體"/>
                                      <w:b/>
                                      <w:color w:val="000000"/>
                                      <w:kern w:val="0"/>
                                      <w:sz w:val="20"/>
                                      <w:szCs w:val="20"/>
                                    </w:rPr>
                                  </w:pPr>
                                  <w:r w:rsidRPr="004D7790">
                                    <w:rPr>
                                      <w:rFonts w:ascii="標楷體" w:eastAsia="標楷體" w:hAnsi="標楷體" w:cs="新細明體" w:hint="eastAsia"/>
                                      <w:b/>
                                      <w:color w:val="000000"/>
                                      <w:kern w:val="0"/>
                                      <w:sz w:val="20"/>
                                      <w:szCs w:val="20"/>
                                    </w:rPr>
                                    <w:t>25,938</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7C94D41" w14:textId="77777777" w:rsidR="00406878" w:rsidRPr="004D7790" w:rsidRDefault="00406878" w:rsidP="0003214C">
                                  <w:pPr>
                                    <w:widowControl/>
                                    <w:spacing w:line="200" w:lineRule="exact"/>
                                    <w:jc w:val="right"/>
                                    <w:rPr>
                                      <w:rFonts w:ascii="標楷體" w:eastAsia="標楷體" w:hAnsi="標楷體" w:cs="新細明體"/>
                                      <w:b/>
                                      <w:bCs/>
                                      <w:color w:val="000000"/>
                                      <w:kern w:val="0"/>
                                      <w:sz w:val="20"/>
                                      <w:szCs w:val="20"/>
                                    </w:rPr>
                                  </w:pPr>
                                  <w:r w:rsidRPr="004D7790">
                                    <w:rPr>
                                      <w:rFonts w:ascii="標楷體" w:eastAsia="標楷體" w:hAnsi="標楷體" w:cs="新細明體" w:hint="eastAsia"/>
                                      <w:b/>
                                      <w:bCs/>
                                      <w:color w:val="000000"/>
                                      <w:kern w:val="0"/>
                                      <w:sz w:val="20"/>
                                      <w:szCs w:val="20"/>
                                    </w:rPr>
                                    <w:t>100.00</w:t>
                                  </w:r>
                                </w:p>
                              </w:tc>
                            </w:tr>
                            <w:tr w:rsidR="00406878" w:rsidRPr="004D7790" w14:paraId="29D5100F" w14:textId="77777777" w:rsidTr="0003214C">
                              <w:trPr>
                                <w:gridAfter w:val="2"/>
                                <w:wAfter w:w="1560" w:type="dxa"/>
                                <w:trHeight w:val="20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7E51E" w14:textId="77777777" w:rsidR="00406878" w:rsidRPr="002512D4" w:rsidRDefault="00406878" w:rsidP="00184F7A">
                                  <w:pPr>
                                    <w:widowControl/>
                                    <w:spacing w:line="200" w:lineRule="exact"/>
                                    <w:jc w:val="both"/>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國內</w:t>
                                  </w:r>
                                  <w:r>
                                    <w:rPr>
                                      <w:rFonts w:ascii="標楷體" w:eastAsia="標楷體" w:hAnsi="標楷體" w:cs="新細明體" w:hint="eastAsia"/>
                                      <w:b/>
                                      <w:bCs/>
                                      <w:color w:val="000000"/>
                                      <w:kern w:val="0"/>
                                      <w:sz w:val="20"/>
                                      <w:szCs w:val="20"/>
                                    </w:rPr>
                                    <w:t>小計</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51DB92A" w14:textId="77777777" w:rsidR="00406878" w:rsidRPr="002512D4" w:rsidRDefault="00406878" w:rsidP="00184F7A">
                                  <w:pPr>
                                    <w:widowControl/>
                                    <w:spacing w:line="200" w:lineRule="exact"/>
                                    <w:jc w:val="right"/>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19,391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0557778" w14:textId="77777777" w:rsidR="00406878" w:rsidRPr="002512D4" w:rsidRDefault="00406878" w:rsidP="0003214C">
                                  <w:pPr>
                                    <w:widowControl/>
                                    <w:spacing w:line="200" w:lineRule="exact"/>
                                    <w:jc w:val="right"/>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74.76</w:t>
                                  </w:r>
                                </w:p>
                              </w:tc>
                            </w:tr>
                            <w:tr w:rsidR="00406878" w:rsidRPr="004D7790" w14:paraId="0D1F2D7A"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D5E4A4" w14:textId="77777777" w:rsidR="00406878" w:rsidRPr="004D7790" w:rsidRDefault="00406878" w:rsidP="00184F7A">
                                  <w:pPr>
                                    <w:widowControl/>
                                    <w:spacing w:line="200" w:lineRule="exact"/>
                                    <w:ind w:leftChars="70" w:left="168"/>
                                    <w:jc w:val="both"/>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臺北市</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B15593"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5,808</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B2CB4C1"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22.39</w:t>
                                  </w:r>
                                </w:p>
                              </w:tc>
                            </w:tr>
                            <w:tr w:rsidR="00406878" w:rsidRPr="004D7790" w14:paraId="30AE53B5"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0613D" w14:textId="77777777" w:rsidR="00406878" w:rsidRPr="004D7790" w:rsidRDefault="00406878" w:rsidP="0003214C">
                                  <w:pPr>
                                    <w:widowControl/>
                                    <w:spacing w:line="200" w:lineRule="exact"/>
                                    <w:ind w:leftChars="70" w:left="168"/>
                                    <w:jc w:val="both"/>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新北市</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53F124F"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5,543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FAE66E7"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21.37</w:t>
                                  </w:r>
                                </w:p>
                              </w:tc>
                            </w:tr>
                            <w:tr w:rsidR="00406878" w:rsidRPr="004D7790" w14:paraId="142E9598"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E0B8A" w14:textId="77777777" w:rsidR="00406878" w:rsidRPr="004D7790" w:rsidRDefault="00406878" w:rsidP="0003214C">
                                  <w:pPr>
                                    <w:widowControl/>
                                    <w:spacing w:line="200" w:lineRule="exact"/>
                                    <w:ind w:leftChars="70" w:left="168"/>
                                    <w:jc w:val="both"/>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桃園市</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D9D7D3B"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1,647</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DDA20F1"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6.35</w:t>
                                  </w:r>
                                </w:p>
                              </w:tc>
                            </w:tr>
                            <w:tr w:rsidR="00406878" w:rsidRPr="004D7790" w14:paraId="38B2F27C"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DAC1A" w14:textId="77777777" w:rsidR="00406878" w:rsidRPr="004D7790" w:rsidRDefault="00406878" w:rsidP="0003214C">
                                  <w:pPr>
                                    <w:widowControl/>
                                    <w:spacing w:line="200" w:lineRule="exact"/>
                                    <w:ind w:leftChars="70" w:left="168"/>
                                    <w:jc w:val="both"/>
                                    <w:rPr>
                                      <w:rFonts w:ascii="標楷體" w:eastAsia="標楷體" w:hAnsi="標楷體" w:cs="新細明體"/>
                                      <w:color w:val="000000"/>
                                      <w:kern w:val="0"/>
                                      <w:sz w:val="20"/>
                                      <w:szCs w:val="20"/>
                                    </w:rPr>
                                  </w:pPr>
                                  <w:proofErr w:type="gramStart"/>
                                  <w:r w:rsidRPr="004D7790">
                                    <w:rPr>
                                      <w:rFonts w:ascii="標楷體" w:eastAsia="標楷體" w:hAnsi="標楷體" w:cs="新細明體" w:hint="eastAsia"/>
                                      <w:color w:val="000000"/>
                                      <w:kern w:val="0"/>
                                      <w:sz w:val="20"/>
                                      <w:szCs w:val="20"/>
                                    </w:rPr>
                                    <w:t>臺</w:t>
                                  </w:r>
                                  <w:proofErr w:type="gramEnd"/>
                                  <w:r w:rsidRPr="004D7790">
                                    <w:rPr>
                                      <w:rFonts w:ascii="標楷體" w:eastAsia="標楷體" w:hAnsi="標楷體" w:cs="新細明體" w:hint="eastAsia"/>
                                      <w:color w:val="000000"/>
                                      <w:kern w:val="0"/>
                                      <w:sz w:val="20"/>
                                      <w:szCs w:val="20"/>
                                    </w:rPr>
                                    <w:t>中市</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5305104"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1,247</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9A0CBB0"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4.81</w:t>
                                  </w:r>
                                </w:p>
                              </w:tc>
                            </w:tr>
                            <w:tr w:rsidR="00406878" w:rsidRPr="004D7790" w14:paraId="6422CF2A"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D46D4" w14:textId="77777777" w:rsidR="00406878" w:rsidRPr="004D7790" w:rsidRDefault="00406878" w:rsidP="0003214C">
                                  <w:pPr>
                                    <w:widowControl/>
                                    <w:spacing w:line="200" w:lineRule="exact"/>
                                    <w:ind w:leftChars="70" w:left="168"/>
                                    <w:jc w:val="both"/>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高雄市</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C630D4E"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943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F023E75"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3.64</w:t>
                                  </w:r>
                                </w:p>
                              </w:tc>
                            </w:tr>
                            <w:tr w:rsidR="00406878" w:rsidRPr="004D7790" w14:paraId="3034BA8F"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27519" w14:textId="77777777" w:rsidR="00406878" w:rsidRPr="004D7790" w:rsidRDefault="00406878" w:rsidP="0003214C">
                                  <w:pPr>
                                    <w:widowControl/>
                                    <w:spacing w:line="200" w:lineRule="exact"/>
                                    <w:ind w:leftChars="70" w:left="168"/>
                                    <w:jc w:val="both"/>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其他</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002F6B5"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4,203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CBF4130"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16.20</w:t>
                                  </w:r>
                                </w:p>
                              </w:tc>
                            </w:tr>
                            <w:tr w:rsidR="00406878" w:rsidRPr="004D7790" w14:paraId="50B66791"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5DDE8" w14:textId="77777777" w:rsidR="00406878" w:rsidRPr="002512D4" w:rsidRDefault="00406878" w:rsidP="00184F7A">
                                  <w:pPr>
                                    <w:widowControl/>
                                    <w:spacing w:before="100" w:beforeAutospacing="1" w:line="200" w:lineRule="exact"/>
                                    <w:jc w:val="both"/>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國外小計</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A7F04F2" w14:textId="77777777" w:rsidR="00406878" w:rsidRPr="002512D4" w:rsidRDefault="00406878" w:rsidP="00184F7A">
                                  <w:pPr>
                                    <w:widowControl/>
                                    <w:spacing w:before="100" w:beforeAutospacing="1" w:line="200" w:lineRule="exact"/>
                                    <w:jc w:val="right"/>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6,547</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5ED6E8A" w14:textId="77777777" w:rsidR="00406878" w:rsidRPr="002512D4" w:rsidRDefault="00406878" w:rsidP="0003214C">
                                  <w:pPr>
                                    <w:widowControl/>
                                    <w:spacing w:before="100" w:beforeAutospacing="1" w:line="200" w:lineRule="exact"/>
                                    <w:jc w:val="right"/>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25.24</w:t>
                                  </w:r>
                                </w:p>
                              </w:tc>
                            </w:tr>
                            <w:tr w:rsidR="00406878" w:rsidRPr="004D7790" w14:paraId="47C4D644"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0B011CD"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E56F12">
                                    <w:rPr>
                                      <w:rFonts w:ascii="標楷體" w:eastAsia="標楷體" w:hAnsi="標楷體" w:hint="eastAsia"/>
                                      <w:color w:val="000000"/>
                                      <w:sz w:val="20"/>
                                    </w:rPr>
                                    <w:t>香港</w:t>
                                  </w:r>
                                </w:p>
                              </w:tc>
                              <w:tc>
                                <w:tcPr>
                                  <w:tcW w:w="709" w:type="dxa"/>
                                  <w:tcBorders>
                                    <w:top w:val="single" w:sz="4" w:space="0" w:color="auto"/>
                                    <w:left w:val="nil"/>
                                    <w:bottom w:val="single" w:sz="4" w:space="0" w:color="auto"/>
                                    <w:right w:val="single" w:sz="4" w:space="0" w:color="auto"/>
                                  </w:tcBorders>
                                  <w:shd w:val="clear" w:color="auto" w:fill="auto"/>
                                  <w:vAlign w:val="center"/>
                                </w:tcPr>
                                <w:p w14:paraId="7DA79D11"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812</w:t>
                                  </w:r>
                                </w:p>
                              </w:tc>
                              <w:tc>
                                <w:tcPr>
                                  <w:tcW w:w="708" w:type="dxa"/>
                                  <w:tcBorders>
                                    <w:top w:val="single" w:sz="4" w:space="0" w:color="auto"/>
                                    <w:left w:val="nil"/>
                                    <w:bottom w:val="single" w:sz="4" w:space="0" w:color="auto"/>
                                    <w:right w:val="single" w:sz="4" w:space="0" w:color="auto"/>
                                  </w:tcBorders>
                                  <w:shd w:val="clear" w:color="auto" w:fill="auto"/>
                                  <w:vAlign w:val="center"/>
                                </w:tcPr>
                                <w:p w14:paraId="22418CD7"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3.13</w:t>
                                  </w:r>
                                </w:p>
                              </w:tc>
                            </w:tr>
                            <w:tr w:rsidR="00406878" w:rsidRPr="004D7790" w14:paraId="2C8D16AB"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55CD773"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E56F12">
                                    <w:rPr>
                                      <w:rFonts w:ascii="標楷體" w:eastAsia="標楷體" w:hAnsi="標楷體" w:hint="eastAsia"/>
                                      <w:color w:val="000000"/>
                                      <w:sz w:val="20"/>
                                    </w:rPr>
                                    <w:t>日本</w:t>
                                  </w:r>
                                </w:p>
                              </w:tc>
                              <w:tc>
                                <w:tcPr>
                                  <w:tcW w:w="709" w:type="dxa"/>
                                  <w:tcBorders>
                                    <w:top w:val="single" w:sz="4" w:space="0" w:color="auto"/>
                                    <w:left w:val="nil"/>
                                    <w:bottom w:val="single" w:sz="4" w:space="0" w:color="auto"/>
                                    <w:right w:val="single" w:sz="4" w:space="0" w:color="auto"/>
                                  </w:tcBorders>
                                  <w:shd w:val="clear" w:color="auto" w:fill="auto"/>
                                  <w:vAlign w:val="center"/>
                                </w:tcPr>
                                <w:p w14:paraId="35C2546F"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748</w:t>
                                  </w:r>
                                </w:p>
                              </w:tc>
                              <w:tc>
                                <w:tcPr>
                                  <w:tcW w:w="708" w:type="dxa"/>
                                  <w:tcBorders>
                                    <w:top w:val="single" w:sz="4" w:space="0" w:color="auto"/>
                                    <w:left w:val="nil"/>
                                    <w:bottom w:val="single" w:sz="4" w:space="0" w:color="auto"/>
                                    <w:right w:val="single" w:sz="4" w:space="0" w:color="auto"/>
                                  </w:tcBorders>
                                  <w:shd w:val="clear" w:color="auto" w:fill="auto"/>
                                  <w:vAlign w:val="center"/>
                                </w:tcPr>
                                <w:p w14:paraId="7B2DF140"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2.88</w:t>
                                  </w:r>
                                </w:p>
                              </w:tc>
                            </w:tr>
                            <w:tr w:rsidR="00406878" w:rsidRPr="004D7790" w14:paraId="316B41B6"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BAB5FAF"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2512D4">
                                    <w:rPr>
                                      <w:rFonts w:ascii="標楷體" w:eastAsia="標楷體" w:hAnsi="標楷體" w:cs="新細明體" w:hint="eastAsia"/>
                                      <w:color w:val="000000"/>
                                      <w:kern w:val="0"/>
                                      <w:sz w:val="20"/>
                                      <w:szCs w:val="20"/>
                                    </w:rPr>
                                    <w:t>澳洲</w:t>
                                  </w:r>
                                </w:p>
                              </w:tc>
                              <w:tc>
                                <w:tcPr>
                                  <w:tcW w:w="709" w:type="dxa"/>
                                  <w:tcBorders>
                                    <w:top w:val="single" w:sz="4" w:space="0" w:color="auto"/>
                                    <w:left w:val="nil"/>
                                    <w:bottom w:val="single" w:sz="4" w:space="0" w:color="auto"/>
                                    <w:right w:val="single" w:sz="4" w:space="0" w:color="auto"/>
                                  </w:tcBorders>
                                  <w:shd w:val="clear" w:color="auto" w:fill="auto"/>
                                  <w:vAlign w:val="center"/>
                                </w:tcPr>
                                <w:p w14:paraId="388293F1"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559</w:t>
                                  </w:r>
                                </w:p>
                              </w:tc>
                              <w:tc>
                                <w:tcPr>
                                  <w:tcW w:w="708" w:type="dxa"/>
                                  <w:tcBorders>
                                    <w:top w:val="single" w:sz="4" w:space="0" w:color="auto"/>
                                    <w:left w:val="nil"/>
                                    <w:bottom w:val="single" w:sz="4" w:space="0" w:color="auto"/>
                                    <w:right w:val="single" w:sz="4" w:space="0" w:color="auto"/>
                                  </w:tcBorders>
                                  <w:shd w:val="clear" w:color="auto" w:fill="auto"/>
                                  <w:vAlign w:val="center"/>
                                </w:tcPr>
                                <w:p w14:paraId="04725674"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2.16</w:t>
                                  </w:r>
                                </w:p>
                              </w:tc>
                            </w:tr>
                            <w:tr w:rsidR="00406878" w:rsidRPr="004D7790" w14:paraId="0A34D33F"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AC4A4FA"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2512D4">
                                    <w:rPr>
                                      <w:rFonts w:ascii="標楷體" w:eastAsia="標楷體" w:hAnsi="標楷體" w:cs="新細明體" w:hint="eastAsia"/>
                                      <w:color w:val="000000"/>
                                      <w:kern w:val="0"/>
                                      <w:sz w:val="20"/>
                                      <w:szCs w:val="20"/>
                                    </w:rPr>
                                    <w:t>中國</w:t>
                                  </w:r>
                                </w:p>
                              </w:tc>
                              <w:tc>
                                <w:tcPr>
                                  <w:tcW w:w="709" w:type="dxa"/>
                                  <w:tcBorders>
                                    <w:top w:val="single" w:sz="4" w:space="0" w:color="auto"/>
                                    <w:left w:val="nil"/>
                                    <w:bottom w:val="single" w:sz="4" w:space="0" w:color="auto"/>
                                    <w:right w:val="single" w:sz="4" w:space="0" w:color="auto"/>
                                  </w:tcBorders>
                                  <w:shd w:val="clear" w:color="auto" w:fill="auto"/>
                                  <w:vAlign w:val="center"/>
                                </w:tcPr>
                                <w:p w14:paraId="64F9FE0F"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554</w:t>
                                  </w:r>
                                </w:p>
                              </w:tc>
                              <w:tc>
                                <w:tcPr>
                                  <w:tcW w:w="708" w:type="dxa"/>
                                  <w:tcBorders>
                                    <w:top w:val="single" w:sz="4" w:space="0" w:color="auto"/>
                                    <w:left w:val="nil"/>
                                    <w:bottom w:val="single" w:sz="4" w:space="0" w:color="auto"/>
                                    <w:right w:val="single" w:sz="4" w:space="0" w:color="auto"/>
                                  </w:tcBorders>
                                  <w:shd w:val="clear" w:color="auto" w:fill="auto"/>
                                  <w:vAlign w:val="center"/>
                                </w:tcPr>
                                <w:p w14:paraId="65946D5F"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2.14</w:t>
                                  </w:r>
                                </w:p>
                              </w:tc>
                            </w:tr>
                            <w:tr w:rsidR="00406878" w:rsidRPr="004D7790" w14:paraId="1717A6ED"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798C36C"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2512D4">
                                    <w:rPr>
                                      <w:rFonts w:ascii="標楷體" w:eastAsia="標楷體" w:hAnsi="標楷體" w:cs="新細明體" w:hint="eastAsia"/>
                                      <w:color w:val="000000"/>
                                      <w:kern w:val="0"/>
                                      <w:sz w:val="20"/>
                                      <w:szCs w:val="20"/>
                                    </w:rPr>
                                    <w:t>蒙古</w:t>
                                  </w:r>
                                </w:p>
                              </w:tc>
                              <w:tc>
                                <w:tcPr>
                                  <w:tcW w:w="709" w:type="dxa"/>
                                  <w:tcBorders>
                                    <w:top w:val="single" w:sz="4" w:space="0" w:color="auto"/>
                                    <w:left w:val="nil"/>
                                    <w:bottom w:val="single" w:sz="4" w:space="0" w:color="auto"/>
                                    <w:right w:val="single" w:sz="4" w:space="0" w:color="auto"/>
                                  </w:tcBorders>
                                  <w:shd w:val="clear" w:color="auto" w:fill="auto"/>
                                  <w:vAlign w:val="center"/>
                                </w:tcPr>
                                <w:p w14:paraId="2A8DCE2B"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440</w:t>
                                  </w:r>
                                </w:p>
                              </w:tc>
                              <w:tc>
                                <w:tcPr>
                                  <w:tcW w:w="708" w:type="dxa"/>
                                  <w:tcBorders>
                                    <w:top w:val="single" w:sz="4" w:space="0" w:color="auto"/>
                                    <w:left w:val="nil"/>
                                    <w:bottom w:val="single" w:sz="4" w:space="0" w:color="auto"/>
                                    <w:right w:val="single" w:sz="4" w:space="0" w:color="auto"/>
                                  </w:tcBorders>
                                  <w:shd w:val="clear" w:color="auto" w:fill="auto"/>
                                  <w:vAlign w:val="center"/>
                                </w:tcPr>
                                <w:p w14:paraId="1D2B097C"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1.70</w:t>
                                  </w:r>
                                </w:p>
                              </w:tc>
                            </w:tr>
                            <w:tr w:rsidR="00406878" w:rsidRPr="004D7790" w14:paraId="3F3D00B0"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16B9384"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2512D4">
                                    <w:rPr>
                                      <w:rFonts w:ascii="標楷體" w:eastAsia="標楷體" w:hAnsi="標楷體" w:cs="新細明體" w:hint="eastAsia"/>
                                      <w:color w:val="000000"/>
                                      <w:kern w:val="0"/>
                                      <w:sz w:val="20"/>
                                      <w:szCs w:val="20"/>
                                    </w:rPr>
                                    <w:t>其他</w:t>
                                  </w:r>
                                </w:p>
                              </w:tc>
                              <w:tc>
                                <w:tcPr>
                                  <w:tcW w:w="709" w:type="dxa"/>
                                  <w:tcBorders>
                                    <w:top w:val="single" w:sz="4" w:space="0" w:color="auto"/>
                                    <w:left w:val="nil"/>
                                    <w:bottom w:val="single" w:sz="4" w:space="0" w:color="auto"/>
                                    <w:right w:val="single" w:sz="4" w:space="0" w:color="auto"/>
                                  </w:tcBorders>
                                  <w:shd w:val="clear" w:color="auto" w:fill="auto"/>
                                  <w:vAlign w:val="center"/>
                                </w:tcPr>
                                <w:p w14:paraId="1706D206"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3,434</w:t>
                                  </w:r>
                                </w:p>
                              </w:tc>
                              <w:tc>
                                <w:tcPr>
                                  <w:tcW w:w="708" w:type="dxa"/>
                                  <w:tcBorders>
                                    <w:top w:val="single" w:sz="4" w:space="0" w:color="auto"/>
                                    <w:left w:val="nil"/>
                                    <w:bottom w:val="single" w:sz="4" w:space="0" w:color="auto"/>
                                    <w:right w:val="single" w:sz="4" w:space="0" w:color="auto"/>
                                  </w:tcBorders>
                                  <w:shd w:val="clear" w:color="auto" w:fill="auto"/>
                                  <w:vAlign w:val="center"/>
                                </w:tcPr>
                                <w:p w14:paraId="7BB3E3F4"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13.24</w:t>
                                  </w:r>
                                </w:p>
                              </w:tc>
                            </w:tr>
                            <w:tr w:rsidR="00406878" w:rsidRPr="004D7790" w14:paraId="3EF56E7B" w14:textId="77777777" w:rsidTr="00C808E3">
                              <w:trPr>
                                <w:gridAfter w:val="2"/>
                                <w:wAfter w:w="1560" w:type="dxa"/>
                                <w:trHeight w:val="227"/>
                              </w:trPr>
                              <w:tc>
                                <w:tcPr>
                                  <w:tcW w:w="2410" w:type="dxa"/>
                                  <w:gridSpan w:val="3"/>
                                  <w:tcBorders>
                                    <w:top w:val="single" w:sz="4" w:space="0" w:color="auto"/>
                                  </w:tcBorders>
                                  <w:shd w:val="clear" w:color="auto" w:fill="auto"/>
                                  <w:vAlign w:val="center"/>
                                </w:tcPr>
                                <w:p w14:paraId="22503788" w14:textId="77777777" w:rsidR="00406878" w:rsidRPr="00E56F12" w:rsidRDefault="00406878" w:rsidP="000253B0">
                                  <w:pPr>
                                    <w:spacing w:line="196" w:lineRule="exact"/>
                                    <w:ind w:leftChars="-11" w:left="568" w:hangingChars="330" w:hanging="594"/>
                                    <w:jc w:val="both"/>
                                    <w:rPr>
                                      <w:rFonts w:ascii="標楷體" w:eastAsia="標楷體" w:hAnsi="標楷體"/>
                                      <w:szCs w:val="24"/>
                                    </w:rPr>
                                  </w:pPr>
                                  <w:proofErr w:type="gramStart"/>
                                  <w:r w:rsidRPr="00E56F12">
                                    <w:rPr>
                                      <w:rFonts w:ascii="標楷體" w:eastAsia="標楷體" w:hAnsi="標楷體" w:hint="eastAsia"/>
                                      <w:color w:val="000000"/>
                                      <w:sz w:val="18"/>
                                    </w:rPr>
                                    <w:t>註</w:t>
                                  </w:r>
                                  <w:proofErr w:type="gramEnd"/>
                                  <w:r w:rsidRPr="00E56F12">
                                    <w:rPr>
                                      <w:rFonts w:ascii="標楷體" w:eastAsia="標楷體" w:hAnsi="標楷體" w:hint="eastAsia"/>
                                      <w:color w:val="000000"/>
                                      <w:sz w:val="18"/>
                                    </w:rPr>
                                    <w:t>：1.資料統計時間至114年3月18日止。</w:t>
                                  </w:r>
                                </w:p>
                                <w:p w14:paraId="7A6F1CD7" w14:textId="77777777" w:rsidR="00406878" w:rsidRPr="00E56F12" w:rsidRDefault="00406878" w:rsidP="000253B0">
                                  <w:pPr>
                                    <w:spacing w:line="196" w:lineRule="exact"/>
                                    <w:ind w:leftChars="140" w:left="516" w:hangingChars="100" w:hanging="180"/>
                                    <w:jc w:val="both"/>
                                    <w:rPr>
                                      <w:rFonts w:ascii="標楷體" w:eastAsia="標楷體" w:hAnsi="標楷體"/>
                                      <w:sz w:val="18"/>
                                      <w:szCs w:val="18"/>
                                    </w:rPr>
                                  </w:pPr>
                                  <w:r w:rsidRPr="00E56F12">
                                    <w:rPr>
                                      <w:rFonts w:ascii="標楷體" w:eastAsia="標楷體" w:hAnsi="標楷體" w:hint="eastAsia"/>
                                      <w:color w:val="000000"/>
                                      <w:sz w:val="18"/>
                                    </w:rPr>
                                    <w:t>2.資料來源：整理自</w:t>
                                  </w:r>
                                  <w:r>
                                    <w:rPr>
                                      <w:rFonts w:ascii="標楷體" w:eastAsia="標楷體" w:hAnsi="標楷體" w:hint="eastAsia"/>
                                      <w:color w:val="000000"/>
                                      <w:sz w:val="18"/>
                                    </w:rPr>
                                    <w:t>體育</w:t>
                                  </w:r>
                                  <w:r w:rsidRPr="00E56F12">
                                    <w:rPr>
                                      <w:rFonts w:ascii="標楷體" w:eastAsia="標楷體" w:hAnsi="標楷體" w:hint="eastAsia"/>
                                      <w:color w:val="000000"/>
                                      <w:sz w:val="18"/>
                                    </w:rPr>
                                    <w:t>局提供資料。</w:t>
                                  </w:r>
                                </w:p>
                                <w:p w14:paraId="13B26C67" w14:textId="77777777" w:rsidR="00406878" w:rsidRPr="002512D4"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p>
                              </w:tc>
                            </w:tr>
                            <w:tr w:rsidR="00406878" w:rsidRPr="004D7790" w14:paraId="69A3E767" w14:textId="77777777" w:rsidTr="00C808E3">
                              <w:trPr>
                                <w:trHeight w:val="1325"/>
                              </w:trPr>
                              <w:tc>
                                <w:tcPr>
                                  <w:tcW w:w="2410" w:type="dxa"/>
                                  <w:gridSpan w:val="3"/>
                                  <w:tcBorders>
                                    <w:left w:val="nil"/>
                                    <w:bottom w:val="nil"/>
                                    <w:right w:val="nil"/>
                                  </w:tcBorders>
                                  <w:shd w:val="clear" w:color="auto" w:fill="auto"/>
                                  <w:vAlign w:val="center"/>
                                  <w:hideMark/>
                                </w:tcPr>
                                <w:p w14:paraId="689C2DF6" w14:textId="77777777" w:rsidR="00406878" w:rsidRPr="002512D4" w:rsidRDefault="00406878" w:rsidP="00C808E3">
                                  <w:pPr>
                                    <w:spacing w:line="180" w:lineRule="exact"/>
                                    <w:ind w:leftChars="-40" w:left="-96" w:firstLineChars="200" w:firstLine="360"/>
                                    <w:rPr>
                                      <w:rFonts w:ascii="標楷體" w:eastAsia="標楷體" w:hAnsi="標楷體" w:cs="新細明體"/>
                                      <w:color w:val="000000"/>
                                      <w:kern w:val="0"/>
                                      <w:sz w:val="18"/>
                                      <w:szCs w:val="20"/>
                                    </w:rPr>
                                  </w:pPr>
                                </w:p>
                              </w:tc>
                              <w:tc>
                                <w:tcPr>
                                  <w:tcW w:w="851" w:type="dxa"/>
                                  <w:vAlign w:val="center"/>
                                </w:tcPr>
                                <w:p w14:paraId="4A9C28EF" w14:textId="77777777" w:rsidR="00406878" w:rsidRPr="004D7790" w:rsidRDefault="00406878" w:rsidP="00C808E3">
                                  <w:pPr>
                                    <w:widowControl/>
                                  </w:pPr>
                                </w:p>
                              </w:tc>
                              <w:tc>
                                <w:tcPr>
                                  <w:tcW w:w="709" w:type="dxa"/>
                                  <w:vAlign w:val="center"/>
                                </w:tcPr>
                                <w:p w14:paraId="63DB283F" w14:textId="77777777" w:rsidR="00406878" w:rsidRPr="004D7790" w:rsidRDefault="00406878" w:rsidP="00C808E3">
                                  <w:pPr>
                                    <w:widowControl/>
                                  </w:pPr>
                                </w:p>
                              </w:tc>
                            </w:tr>
                          </w:tbl>
                          <w:p w14:paraId="4FF1578C" w14:textId="77777777" w:rsidR="00406878" w:rsidRPr="004D7790" w:rsidRDefault="00406878" w:rsidP="00406878">
                            <w:pPr>
                              <w:spacing w:line="220" w:lineRule="exact"/>
                              <w:rPr>
                                <w:rFonts w:ascii="標楷體" w:eastAsia="標楷體" w:hAnsi="標楷體"/>
                                <w:sz w:val="18"/>
                                <w:szCs w:val="18"/>
                              </w:rPr>
                            </w:pPr>
                          </w:p>
                          <w:p w14:paraId="78B87CBC" w14:textId="77777777" w:rsidR="00406878" w:rsidRPr="004D7790" w:rsidRDefault="00406878" w:rsidP="00406878">
                            <w:pPr>
                              <w:spacing w:line="220" w:lineRule="exact"/>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CE9EEF" id="_x0000_s1151" type="#_x0000_t202" style="position:absolute;left:0;text-align:left;margin-left:372.55pt;margin-top:160.3pt;width:127.55pt;height:263.6pt;z-index:-251500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" stroked="f">
                <v:textbox>
                  <w:txbxContent>
                    <w:tbl>
                      <w:tblPr>
                        <w:tblW w:w="3970" w:type="dxa"/>
                        <w:tblInd w:w="-142" w:type="dxa"/>
                        <w:tblLayout w:type="fixed"/>
                        <w:tblCellMar>
                          <w:left w:w="28" w:type="dxa"/>
                          <w:right w:w="28" w:type="dxa"/>
                        </w:tblCellMar>
                        <w:tblLook w:val="04A0" w:firstRow="1" w:lastRow="0" w:firstColumn="1" w:lastColumn="0" w:noHBand="0" w:noVBand="1"/>
                      </w:tblPr>
                      <w:tblGrid>
                        <w:gridCol w:w="993"/>
                        <w:gridCol w:w="709"/>
                        <w:gridCol w:w="708"/>
                        <w:gridCol w:w="851"/>
                        <w:gridCol w:w="709"/>
                      </w:tblGrid>
                      <w:tr w:rsidR="00406878" w:rsidRPr="00A86351" w14:paraId="35CBC9E1" w14:textId="77777777" w:rsidTr="00C808E3">
                        <w:trPr>
                          <w:gridAfter w:val="2"/>
                          <w:wAfter w:w="1560" w:type="dxa"/>
                          <w:trHeight w:val="80"/>
                        </w:trPr>
                        <w:tc>
                          <w:tcPr>
                            <w:tcW w:w="2410" w:type="dxa"/>
                            <w:gridSpan w:val="3"/>
                            <w:tcBorders>
                              <w:top w:val="nil"/>
                              <w:left w:val="nil"/>
                              <w:bottom w:val="nil"/>
                              <w:right w:val="nil"/>
                            </w:tcBorders>
                            <w:shd w:val="clear" w:color="auto" w:fill="auto"/>
                            <w:noWrap/>
                            <w:hideMark/>
                          </w:tcPr>
                          <w:p w14:paraId="4675F1D8" w14:textId="77777777" w:rsidR="00406878" w:rsidRPr="00A86351" w:rsidRDefault="00406878" w:rsidP="00017DC3">
                            <w:pPr>
                              <w:widowControl/>
                              <w:autoSpaceDN w:val="0"/>
                              <w:spacing w:line="240" w:lineRule="exact"/>
                              <w:jc w:val="center"/>
                              <w:rPr>
                                <w:rFonts w:ascii="標楷體" w:eastAsia="標楷體" w:hAnsi="標楷體" w:cs="新細明體"/>
                                <w:b/>
                                <w:bCs/>
                                <w:color w:val="000000"/>
                                <w:spacing w:val="-22"/>
                                <w:kern w:val="0"/>
                              </w:rPr>
                            </w:pPr>
                            <w:r w:rsidRPr="00A86351">
                              <w:rPr>
                                <w:rFonts w:ascii="標楷體" w:eastAsia="標楷體" w:hAnsi="標楷體" w:cs="新細明體" w:hint="eastAsia"/>
                                <w:b/>
                                <w:bCs/>
                                <w:color w:val="000000"/>
                                <w:spacing w:val="-22"/>
                                <w:kern w:val="0"/>
                              </w:rPr>
                              <w:t>表</w:t>
                            </w:r>
                            <w:r>
                              <w:rPr>
                                <w:rFonts w:ascii="標楷體" w:eastAsia="標楷體" w:hAnsi="標楷體" w:cs="新細明體" w:hint="eastAsia"/>
                                <w:b/>
                                <w:bCs/>
                                <w:color w:val="000000"/>
                                <w:spacing w:val="-22"/>
                                <w:kern w:val="0"/>
                              </w:rPr>
                              <w:t xml:space="preserve">1　</w:t>
                            </w:r>
                            <w:r w:rsidRPr="00A86351">
                              <w:rPr>
                                <w:rFonts w:ascii="標楷體" w:eastAsia="標楷體" w:hAnsi="標楷體" w:cs="新細明體" w:hint="eastAsia"/>
                                <w:b/>
                                <w:bCs/>
                                <w:color w:val="000000"/>
                                <w:spacing w:val="-22"/>
                                <w:kern w:val="0"/>
                              </w:rPr>
                              <w:t>2025</w:t>
                            </w:r>
                            <w:proofErr w:type="gramStart"/>
                            <w:r w:rsidRPr="00A86351">
                              <w:rPr>
                                <w:rFonts w:ascii="標楷體" w:eastAsia="標楷體" w:hAnsi="標楷體" w:cs="新細明體" w:hint="eastAsia"/>
                                <w:b/>
                                <w:bCs/>
                                <w:color w:val="000000"/>
                                <w:spacing w:val="-22"/>
                                <w:kern w:val="0"/>
                              </w:rPr>
                              <w:t>世壯運</w:t>
                            </w:r>
                            <w:proofErr w:type="gramEnd"/>
                            <w:r w:rsidRPr="00A86351">
                              <w:rPr>
                                <w:rFonts w:ascii="標楷體" w:eastAsia="標楷體" w:hAnsi="標楷體" w:cs="新細明體" w:hint="eastAsia"/>
                                <w:b/>
                                <w:bCs/>
                                <w:color w:val="000000"/>
                                <w:spacing w:val="-22"/>
                                <w:kern w:val="0"/>
                              </w:rPr>
                              <w:t>報名情形</w:t>
                            </w:r>
                          </w:p>
                        </w:tc>
                      </w:tr>
                      <w:tr w:rsidR="00406878" w:rsidRPr="004D7790" w14:paraId="0B36063C" w14:textId="77777777" w:rsidTr="00C808E3">
                        <w:trPr>
                          <w:gridAfter w:val="2"/>
                          <w:wAfter w:w="1560" w:type="dxa"/>
                          <w:trHeight w:val="80"/>
                        </w:trPr>
                        <w:tc>
                          <w:tcPr>
                            <w:tcW w:w="2410" w:type="dxa"/>
                            <w:gridSpan w:val="3"/>
                            <w:tcBorders>
                              <w:top w:val="nil"/>
                              <w:left w:val="nil"/>
                              <w:bottom w:val="single" w:sz="4" w:space="0" w:color="auto"/>
                              <w:right w:val="nil"/>
                            </w:tcBorders>
                            <w:shd w:val="clear" w:color="auto" w:fill="auto"/>
                            <w:noWrap/>
                            <w:vAlign w:val="bottom"/>
                            <w:hideMark/>
                          </w:tcPr>
                          <w:p w14:paraId="660C917B" w14:textId="77777777" w:rsidR="00406878" w:rsidRPr="004D7790" w:rsidRDefault="00406878" w:rsidP="00C808E3">
                            <w:pPr>
                              <w:widowControl/>
                              <w:spacing w:line="24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單位：人、％</w:t>
                            </w:r>
                          </w:p>
                        </w:tc>
                      </w:tr>
                      <w:tr w:rsidR="00406878" w:rsidRPr="004D7790" w14:paraId="47064662" w14:textId="77777777" w:rsidTr="00C808E3">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9EA83" w14:textId="77777777" w:rsidR="00406878" w:rsidRPr="004D7790" w:rsidRDefault="00406878" w:rsidP="00184F7A">
                            <w:pPr>
                              <w:widowControl/>
                              <w:spacing w:line="200" w:lineRule="exact"/>
                              <w:jc w:val="center"/>
                              <w:rPr>
                                <w:rFonts w:ascii="標楷體" w:eastAsia="標楷體" w:hAnsi="標楷體" w:cs="新細明體"/>
                                <w:color w:val="000000"/>
                                <w:kern w:val="0"/>
                                <w:sz w:val="20"/>
                                <w:szCs w:val="20"/>
                              </w:rPr>
                            </w:pPr>
                            <w:r w:rsidRPr="00344B26">
                              <w:rPr>
                                <w:rFonts w:ascii="標楷體" w:eastAsia="標楷體" w:hAnsi="標楷體" w:hint="eastAsia"/>
                                <w:sz w:val="20"/>
                                <w:szCs w:val="20"/>
                              </w:rPr>
                              <w:t>身分別</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5C67EB4" w14:textId="77777777" w:rsidR="00406878" w:rsidRPr="004D7790" w:rsidRDefault="00406878" w:rsidP="00184F7A">
                            <w:pPr>
                              <w:widowControl/>
                              <w:spacing w:line="200" w:lineRule="exact"/>
                              <w:jc w:val="center"/>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人數</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3AF7946F" w14:textId="77777777" w:rsidR="00406878" w:rsidRPr="004D7790" w:rsidRDefault="00406878" w:rsidP="00184F7A">
                            <w:pPr>
                              <w:widowControl/>
                              <w:spacing w:line="200" w:lineRule="exact"/>
                              <w:jc w:val="center"/>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占比</w:t>
                            </w:r>
                          </w:p>
                        </w:tc>
                      </w:tr>
                      <w:tr w:rsidR="00406878" w:rsidRPr="004D7790" w14:paraId="50A56A9D"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C6F232" w14:textId="77777777" w:rsidR="00406878" w:rsidRPr="004D7790" w:rsidRDefault="00406878" w:rsidP="00184F7A">
                            <w:pPr>
                              <w:widowControl/>
                              <w:spacing w:line="200" w:lineRule="exact"/>
                              <w:jc w:val="center"/>
                              <w:rPr>
                                <w:rFonts w:ascii="標楷體" w:eastAsia="標楷體" w:hAnsi="標楷體" w:cs="新細明體"/>
                                <w:b/>
                                <w:bCs/>
                                <w:color w:val="000000"/>
                                <w:kern w:val="0"/>
                                <w:sz w:val="20"/>
                                <w:szCs w:val="20"/>
                              </w:rPr>
                            </w:pPr>
                            <w:r w:rsidRPr="004D7790">
                              <w:rPr>
                                <w:rFonts w:ascii="標楷體" w:eastAsia="標楷體" w:hAnsi="標楷體" w:cs="新細明體" w:hint="eastAsia"/>
                                <w:b/>
                                <w:bCs/>
                                <w:color w:val="000000"/>
                                <w:kern w:val="0"/>
                                <w:sz w:val="20"/>
                                <w:szCs w:val="20"/>
                              </w:rPr>
                              <w:t>合計</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94644C7" w14:textId="77777777" w:rsidR="00406878" w:rsidRPr="004D7790" w:rsidRDefault="00406878" w:rsidP="00184F7A">
                            <w:pPr>
                              <w:widowControl/>
                              <w:spacing w:line="200" w:lineRule="exact"/>
                              <w:jc w:val="right"/>
                              <w:rPr>
                                <w:rFonts w:ascii="標楷體" w:eastAsia="標楷體" w:hAnsi="標楷體" w:cs="新細明體"/>
                                <w:b/>
                                <w:color w:val="000000"/>
                                <w:kern w:val="0"/>
                                <w:sz w:val="20"/>
                                <w:szCs w:val="20"/>
                              </w:rPr>
                            </w:pPr>
                            <w:r w:rsidRPr="004D7790">
                              <w:rPr>
                                <w:rFonts w:ascii="標楷體" w:eastAsia="標楷體" w:hAnsi="標楷體" w:cs="新細明體" w:hint="eastAsia"/>
                                <w:b/>
                                <w:color w:val="000000"/>
                                <w:kern w:val="0"/>
                                <w:sz w:val="20"/>
                                <w:szCs w:val="20"/>
                              </w:rPr>
                              <w:t>25,938</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7C94D41" w14:textId="77777777" w:rsidR="00406878" w:rsidRPr="004D7790" w:rsidRDefault="00406878" w:rsidP="0003214C">
                            <w:pPr>
                              <w:widowControl/>
                              <w:spacing w:line="200" w:lineRule="exact"/>
                              <w:jc w:val="right"/>
                              <w:rPr>
                                <w:rFonts w:ascii="標楷體" w:eastAsia="標楷體" w:hAnsi="標楷體" w:cs="新細明體"/>
                                <w:b/>
                                <w:bCs/>
                                <w:color w:val="000000"/>
                                <w:kern w:val="0"/>
                                <w:sz w:val="20"/>
                                <w:szCs w:val="20"/>
                              </w:rPr>
                            </w:pPr>
                            <w:r w:rsidRPr="004D7790">
                              <w:rPr>
                                <w:rFonts w:ascii="標楷體" w:eastAsia="標楷體" w:hAnsi="標楷體" w:cs="新細明體" w:hint="eastAsia"/>
                                <w:b/>
                                <w:bCs/>
                                <w:color w:val="000000"/>
                                <w:kern w:val="0"/>
                                <w:sz w:val="20"/>
                                <w:szCs w:val="20"/>
                              </w:rPr>
                              <w:t>100.00</w:t>
                            </w:r>
                          </w:p>
                        </w:tc>
                      </w:tr>
                      <w:tr w:rsidR="00406878" w:rsidRPr="004D7790" w14:paraId="29D5100F" w14:textId="77777777" w:rsidTr="0003214C">
                        <w:trPr>
                          <w:gridAfter w:val="2"/>
                          <w:wAfter w:w="1560" w:type="dxa"/>
                          <w:trHeight w:val="206"/>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7E51E" w14:textId="77777777" w:rsidR="00406878" w:rsidRPr="002512D4" w:rsidRDefault="00406878" w:rsidP="00184F7A">
                            <w:pPr>
                              <w:widowControl/>
                              <w:spacing w:line="200" w:lineRule="exact"/>
                              <w:jc w:val="both"/>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國內</w:t>
                            </w:r>
                            <w:r>
                              <w:rPr>
                                <w:rFonts w:ascii="標楷體" w:eastAsia="標楷體" w:hAnsi="標楷體" w:cs="新細明體" w:hint="eastAsia"/>
                                <w:b/>
                                <w:bCs/>
                                <w:color w:val="000000"/>
                                <w:kern w:val="0"/>
                                <w:sz w:val="20"/>
                                <w:szCs w:val="20"/>
                              </w:rPr>
                              <w:t>小計</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651DB92A" w14:textId="77777777" w:rsidR="00406878" w:rsidRPr="002512D4" w:rsidRDefault="00406878" w:rsidP="00184F7A">
                            <w:pPr>
                              <w:widowControl/>
                              <w:spacing w:line="200" w:lineRule="exact"/>
                              <w:jc w:val="right"/>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19,391</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0557778" w14:textId="77777777" w:rsidR="00406878" w:rsidRPr="002512D4" w:rsidRDefault="00406878" w:rsidP="0003214C">
                            <w:pPr>
                              <w:widowControl/>
                              <w:spacing w:line="200" w:lineRule="exact"/>
                              <w:jc w:val="right"/>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74.76</w:t>
                            </w:r>
                          </w:p>
                        </w:tc>
                      </w:tr>
                      <w:tr w:rsidR="00406878" w:rsidRPr="004D7790" w14:paraId="0D1F2D7A"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D5E4A4" w14:textId="77777777" w:rsidR="00406878" w:rsidRPr="004D7790" w:rsidRDefault="00406878" w:rsidP="00184F7A">
                            <w:pPr>
                              <w:widowControl/>
                              <w:spacing w:line="200" w:lineRule="exact"/>
                              <w:ind w:leftChars="70" w:left="168"/>
                              <w:jc w:val="both"/>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臺北市</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1B15593"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5,808</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B2CB4C1"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22.39</w:t>
                            </w:r>
                          </w:p>
                        </w:tc>
                      </w:tr>
                      <w:tr w:rsidR="00406878" w:rsidRPr="004D7790" w14:paraId="30AE53B5"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0613D" w14:textId="77777777" w:rsidR="00406878" w:rsidRPr="004D7790" w:rsidRDefault="00406878" w:rsidP="0003214C">
                            <w:pPr>
                              <w:widowControl/>
                              <w:spacing w:line="200" w:lineRule="exact"/>
                              <w:ind w:leftChars="70" w:left="168"/>
                              <w:jc w:val="both"/>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新北市</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753F124F"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5,543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FAE66E7"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21.37</w:t>
                            </w:r>
                          </w:p>
                        </w:tc>
                      </w:tr>
                      <w:tr w:rsidR="00406878" w:rsidRPr="004D7790" w14:paraId="142E9598"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E0B8A" w14:textId="77777777" w:rsidR="00406878" w:rsidRPr="004D7790" w:rsidRDefault="00406878" w:rsidP="0003214C">
                            <w:pPr>
                              <w:widowControl/>
                              <w:spacing w:line="200" w:lineRule="exact"/>
                              <w:ind w:leftChars="70" w:left="168"/>
                              <w:jc w:val="both"/>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桃園市</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3D9D7D3B"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1,647</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DDA20F1"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6.35</w:t>
                            </w:r>
                          </w:p>
                        </w:tc>
                      </w:tr>
                      <w:tr w:rsidR="00406878" w:rsidRPr="004D7790" w14:paraId="38B2F27C"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DAC1A" w14:textId="77777777" w:rsidR="00406878" w:rsidRPr="004D7790" w:rsidRDefault="00406878" w:rsidP="0003214C">
                            <w:pPr>
                              <w:widowControl/>
                              <w:spacing w:line="200" w:lineRule="exact"/>
                              <w:ind w:leftChars="70" w:left="168"/>
                              <w:jc w:val="both"/>
                              <w:rPr>
                                <w:rFonts w:ascii="標楷體" w:eastAsia="標楷體" w:hAnsi="標楷體" w:cs="新細明體"/>
                                <w:color w:val="000000"/>
                                <w:kern w:val="0"/>
                                <w:sz w:val="20"/>
                                <w:szCs w:val="20"/>
                              </w:rPr>
                            </w:pPr>
                            <w:proofErr w:type="gramStart"/>
                            <w:r w:rsidRPr="004D7790">
                              <w:rPr>
                                <w:rFonts w:ascii="標楷體" w:eastAsia="標楷體" w:hAnsi="標楷體" w:cs="新細明體" w:hint="eastAsia"/>
                                <w:color w:val="000000"/>
                                <w:kern w:val="0"/>
                                <w:sz w:val="20"/>
                                <w:szCs w:val="20"/>
                              </w:rPr>
                              <w:t>臺</w:t>
                            </w:r>
                            <w:proofErr w:type="gramEnd"/>
                            <w:r w:rsidRPr="004D7790">
                              <w:rPr>
                                <w:rFonts w:ascii="標楷體" w:eastAsia="標楷體" w:hAnsi="標楷體" w:cs="新細明體" w:hint="eastAsia"/>
                                <w:color w:val="000000"/>
                                <w:kern w:val="0"/>
                                <w:sz w:val="20"/>
                                <w:szCs w:val="20"/>
                              </w:rPr>
                              <w:t>中市</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25305104"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1,247</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49A0CBB0"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4.81</w:t>
                            </w:r>
                          </w:p>
                        </w:tc>
                      </w:tr>
                      <w:tr w:rsidR="00406878" w:rsidRPr="004D7790" w14:paraId="6422CF2A"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D46D4" w14:textId="77777777" w:rsidR="00406878" w:rsidRPr="004D7790" w:rsidRDefault="00406878" w:rsidP="0003214C">
                            <w:pPr>
                              <w:widowControl/>
                              <w:spacing w:line="200" w:lineRule="exact"/>
                              <w:ind w:leftChars="70" w:left="168"/>
                              <w:jc w:val="both"/>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高雄市</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4C630D4E"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943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0F023E75"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3.64</w:t>
                            </w:r>
                          </w:p>
                        </w:tc>
                      </w:tr>
                      <w:tr w:rsidR="00406878" w:rsidRPr="004D7790" w14:paraId="3034BA8F"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27519" w14:textId="77777777" w:rsidR="00406878" w:rsidRPr="004D7790" w:rsidRDefault="00406878" w:rsidP="0003214C">
                            <w:pPr>
                              <w:widowControl/>
                              <w:spacing w:line="200" w:lineRule="exact"/>
                              <w:ind w:leftChars="70" w:left="168"/>
                              <w:jc w:val="both"/>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其他</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002F6B5" w14:textId="77777777" w:rsidR="00406878" w:rsidRPr="004D7790" w:rsidRDefault="00406878" w:rsidP="00184F7A">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4,203</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5CBF4130" w14:textId="77777777" w:rsidR="00406878" w:rsidRPr="004D7790" w:rsidRDefault="00406878" w:rsidP="0003214C">
                            <w:pPr>
                              <w:widowControl/>
                              <w:spacing w:line="200" w:lineRule="exact"/>
                              <w:jc w:val="right"/>
                              <w:rPr>
                                <w:rFonts w:ascii="標楷體" w:eastAsia="標楷體" w:hAnsi="標楷體" w:cs="新細明體"/>
                                <w:color w:val="000000"/>
                                <w:kern w:val="0"/>
                                <w:sz w:val="20"/>
                                <w:szCs w:val="20"/>
                              </w:rPr>
                            </w:pPr>
                            <w:r w:rsidRPr="004D7790">
                              <w:rPr>
                                <w:rFonts w:ascii="標楷體" w:eastAsia="標楷體" w:hAnsi="標楷體" w:cs="新細明體" w:hint="eastAsia"/>
                                <w:color w:val="000000"/>
                                <w:kern w:val="0"/>
                                <w:sz w:val="20"/>
                                <w:szCs w:val="20"/>
                              </w:rPr>
                              <w:t>16.20</w:t>
                            </w:r>
                          </w:p>
                        </w:tc>
                      </w:tr>
                      <w:tr w:rsidR="00406878" w:rsidRPr="004D7790" w14:paraId="50B66791" w14:textId="77777777" w:rsidTr="0003214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5DDE8" w14:textId="77777777" w:rsidR="00406878" w:rsidRPr="002512D4" w:rsidRDefault="00406878" w:rsidP="00184F7A">
                            <w:pPr>
                              <w:widowControl/>
                              <w:spacing w:before="100" w:beforeAutospacing="1" w:line="200" w:lineRule="exact"/>
                              <w:jc w:val="both"/>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國外小計</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A7F04F2" w14:textId="77777777" w:rsidR="00406878" w:rsidRPr="002512D4" w:rsidRDefault="00406878" w:rsidP="00184F7A">
                            <w:pPr>
                              <w:widowControl/>
                              <w:spacing w:before="100" w:beforeAutospacing="1" w:line="200" w:lineRule="exact"/>
                              <w:jc w:val="right"/>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6,547</w:t>
                            </w:r>
                          </w:p>
                        </w:tc>
                        <w:tc>
                          <w:tcPr>
                            <w:tcW w:w="708" w:type="dxa"/>
                            <w:tcBorders>
                              <w:top w:val="single" w:sz="4" w:space="0" w:color="auto"/>
                              <w:left w:val="nil"/>
                              <w:bottom w:val="single" w:sz="4" w:space="0" w:color="auto"/>
                              <w:right w:val="single" w:sz="4" w:space="0" w:color="auto"/>
                            </w:tcBorders>
                            <w:shd w:val="clear" w:color="auto" w:fill="auto"/>
                            <w:vAlign w:val="center"/>
                            <w:hideMark/>
                          </w:tcPr>
                          <w:p w14:paraId="15ED6E8A" w14:textId="77777777" w:rsidR="00406878" w:rsidRPr="002512D4" w:rsidRDefault="00406878" w:rsidP="0003214C">
                            <w:pPr>
                              <w:widowControl/>
                              <w:spacing w:before="100" w:beforeAutospacing="1" w:line="200" w:lineRule="exact"/>
                              <w:jc w:val="right"/>
                              <w:rPr>
                                <w:rFonts w:ascii="標楷體" w:eastAsia="標楷體" w:hAnsi="標楷體" w:cs="新細明體"/>
                                <w:b/>
                                <w:bCs/>
                                <w:color w:val="000000"/>
                                <w:kern w:val="0"/>
                                <w:sz w:val="20"/>
                                <w:szCs w:val="20"/>
                              </w:rPr>
                            </w:pPr>
                            <w:r w:rsidRPr="002512D4">
                              <w:rPr>
                                <w:rFonts w:ascii="標楷體" w:eastAsia="標楷體" w:hAnsi="標楷體" w:cs="新細明體" w:hint="eastAsia"/>
                                <w:b/>
                                <w:bCs/>
                                <w:color w:val="000000"/>
                                <w:kern w:val="0"/>
                                <w:sz w:val="20"/>
                                <w:szCs w:val="20"/>
                              </w:rPr>
                              <w:t>25.24</w:t>
                            </w:r>
                          </w:p>
                        </w:tc>
                      </w:tr>
                      <w:tr w:rsidR="00406878" w:rsidRPr="004D7790" w14:paraId="47C4D644"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0B011CD"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E56F12">
                              <w:rPr>
                                <w:rFonts w:ascii="標楷體" w:eastAsia="標楷體" w:hAnsi="標楷體" w:hint="eastAsia"/>
                                <w:color w:val="000000"/>
                                <w:sz w:val="20"/>
                              </w:rPr>
                              <w:t>香港</w:t>
                            </w:r>
                          </w:p>
                        </w:tc>
                        <w:tc>
                          <w:tcPr>
                            <w:tcW w:w="709" w:type="dxa"/>
                            <w:tcBorders>
                              <w:top w:val="single" w:sz="4" w:space="0" w:color="auto"/>
                              <w:left w:val="nil"/>
                              <w:bottom w:val="single" w:sz="4" w:space="0" w:color="auto"/>
                              <w:right w:val="single" w:sz="4" w:space="0" w:color="auto"/>
                            </w:tcBorders>
                            <w:shd w:val="clear" w:color="auto" w:fill="auto"/>
                            <w:vAlign w:val="center"/>
                          </w:tcPr>
                          <w:p w14:paraId="7DA79D11"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812</w:t>
                            </w:r>
                          </w:p>
                        </w:tc>
                        <w:tc>
                          <w:tcPr>
                            <w:tcW w:w="708" w:type="dxa"/>
                            <w:tcBorders>
                              <w:top w:val="single" w:sz="4" w:space="0" w:color="auto"/>
                              <w:left w:val="nil"/>
                              <w:bottom w:val="single" w:sz="4" w:space="0" w:color="auto"/>
                              <w:right w:val="single" w:sz="4" w:space="0" w:color="auto"/>
                            </w:tcBorders>
                            <w:shd w:val="clear" w:color="auto" w:fill="auto"/>
                            <w:vAlign w:val="center"/>
                          </w:tcPr>
                          <w:p w14:paraId="22418CD7"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3.13</w:t>
                            </w:r>
                          </w:p>
                        </w:tc>
                      </w:tr>
                      <w:tr w:rsidR="00406878" w:rsidRPr="004D7790" w14:paraId="2C8D16AB"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55CD773"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E56F12">
                              <w:rPr>
                                <w:rFonts w:ascii="標楷體" w:eastAsia="標楷體" w:hAnsi="標楷體" w:hint="eastAsia"/>
                                <w:color w:val="000000"/>
                                <w:sz w:val="20"/>
                              </w:rPr>
                              <w:t>日本</w:t>
                            </w:r>
                          </w:p>
                        </w:tc>
                        <w:tc>
                          <w:tcPr>
                            <w:tcW w:w="709" w:type="dxa"/>
                            <w:tcBorders>
                              <w:top w:val="single" w:sz="4" w:space="0" w:color="auto"/>
                              <w:left w:val="nil"/>
                              <w:bottom w:val="single" w:sz="4" w:space="0" w:color="auto"/>
                              <w:right w:val="single" w:sz="4" w:space="0" w:color="auto"/>
                            </w:tcBorders>
                            <w:shd w:val="clear" w:color="auto" w:fill="auto"/>
                            <w:vAlign w:val="center"/>
                          </w:tcPr>
                          <w:p w14:paraId="35C2546F"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748</w:t>
                            </w:r>
                          </w:p>
                        </w:tc>
                        <w:tc>
                          <w:tcPr>
                            <w:tcW w:w="708" w:type="dxa"/>
                            <w:tcBorders>
                              <w:top w:val="single" w:sz="4" w:space="0" w:color="auto"/>
                              <w:left w:val="nil"/>
                              <w:bottom w:val="single" w:sz="4" w:space="0" w:color="auto"/>
                              <w:right w:val="single" w:sz="4" w:space="0" w:color="auto"/>
                            </w:tcBorders>
                            <w:shd w:val="clear" w:color="auto" w:fill="auto"/>
                            <w:vAlign w:val="center"/>
                          </w:tcPr>
                          <w:p w14:paraId="7B2DF140"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2.88</w:t>
                            </w:r>
                          </w:p>
                        </w:tc>
                      </w:tr>
                      <w:tr w:rsidR="00406878" w:rsidRPr="004D7790" w14:paraId="316B41B6"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BAB5FAF"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2512D4">
                              <w:rPr>
                                <w:rFonts w:ascii="標楷體" w:eastAsia="標楷體" w:hAnsi="標楷體" w:cs="新細明體" w:hint="eastAsia"/>
                                <w:color w:val="000000"/>
                                <w:kern w:val="0"/>
                                <w:sz w:val="20"/>
                                <w:szCs w:val="20"/>
                              </w:rPr>
                              <w:t>澳洲</w:t>
                            </w:r>
                          </w:p>
                        </w:tc>
                        <w:tc>
                          <w:tcPr>
                            <w:tcW w:w="709" w:type="dxa"/>
                            <w:tcBorders>
                              <w:top w:val="single" w:sz="4" w:space="0" w:color="auto"/>
                              <w:left w:val="nil"/>
                              <w:bottom w:val="single" w:sz="4" w:space="0" w:color="auto"/>
                              <w:right w:val="single" w:sz="4" w:space="0" w:color="auto"/>
                            </w:tcBorders>
                            <w:shd w:val="clear" w:color="auto" w:fill="auto"/>
                            <w:vAlign w:val="center"/>
                          </w:tcPr>
                          <w:p w14:paraId="388293F1"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559</w:t>
                            </w:r>
                          </w:p>
                        </w:tc>
                        <w:tc>
                          <w:tcPr>
                            <w:tcW w:w="708" w:type="dxa"/>
                            <w:tcBorders>
                              <w:top w:val="single" w:sz="4" w:space="0" w:color="auto"/>
                              <w:left w:val="nil"/>
                              <w:bottom w:val="single" w:sz="4" w:space="0" w:color="auto"/>
                              <w:right w:val="single" w:sz="4" w:space="0" w:color="auto"/>
                            </w:tcBorders>
                            <w:shd w:val="clear" w:color="auto" w:fill="auto"/>
                            <w:vAlign w:val="center"/>
                          </w:tcPr>
                          <w:p w14:paraId="04725674"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2.16</w:t>
                            </w:r>
                          </w:p>
                        </w:tc>
                      </w:tr>
                      <w:tr w:rsidR="00406878" w:rsidRPr="004D7790" w14:paraId="0A34D33F"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AC4A4FA"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2512D4">
                              <w:rPr>
                                <w:rFonts w:ascii="標楷體" w:eastAsia="標楷體" w:hAnsi="標楷體" w:cs="新細明體" w:hint="eastAsia"/>
                                <w:color w:val="000000"/>
                                <w:kern w:val="0"/>
                                <w:sz w:val="20"/>
                                <w:szCs w:val="20"/>
                              </w:rPr>
                              <w:t>中國</w:t>
                            </w:r>
                          </w:p>
                        </w:tc>
                        <w:tc>
                          <w:tcPr>
                            <w:tcW w:w="709" w:type="dxa"/>
                            <w:tcBorders>
                              <w:top w:val="single" w:sz="4" w:space="0" w:color="auto"/>
                              <w:left w:val="nil"/>
                              <w:bottom w:val="single" w:sz="4" w:space="0" w:color="auto"/>
                              <w:right w:val="single" w:sz="4" w:space="0" w:color="auto"/>
                            </w:tcBorders>
                            <w:shd w:val="clear" w:color="auto" w:fill="auto"/>
                            <w:vAlign w:val="center"/>
                          </w:tcPr>
                          <w:p w14:paraId="64F9FE0F"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554</w:t>
                            </w:r>
                          </w:p>
                        </w:tc>
                        <w:tc>
                          <w:tcPr>
                            <w:tcW w:w="708" w:type="dxa"/>
                            <w:tcBorders>
                              <w:top w:val="single" w:sz="4" w:space="0" w:color="auto"/>
                              <w:left w:val="nil"/>
                              <w:bottom w:val="single" w:sz="4" w:space="0" w:color="auto"/>
                              <w:right w:val="single" w:sz="4" w:space="0" w:color="auto"/>
                            </w:tcBorders>
                            <w:shd w:val="clear" w:color="auto" w:fill="auto"/>
                            <w:vAlign w:val="center"/>
                          </w:tcPr>
                          <w:p w14:paraId="65946D5F"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2.14</w:t>
                            </w:r>
                          </w:p>
                        </w:tc>
                      </w:tr>
                      <w:tr w:rsidR="00406878" w:rsidRPr="004D7790" w14:paraId="1717A6ED"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798C36C"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2512D4">
                              <w:rPr>
                                <w:rFonts w:ascii="標楷體" w:eastAsia="標楷體" w:hAnsi="標楷體" w:cs="新細明體" w:hint="eastAsia"/>
                                <w:color w:val="000000"/>
                                <w:kern w:val="0"/>
                                <w:sz w:val="20"/>
                                <w:szCs w:val="20"/>
                              </w:rPr>
                              <w:t>蒙古</w:t>
                            </w:r>
                          </w:p>
                        </w:tc>
                        <w:tc>
                          <w:tcPr>
                            <w:tcW w:w="709" w:type="dxa"/>
                            <w:tcBorders>
                              <w:top w:val="single" w:sz="4" w:space="0" w:color="auto"/>
                              <w:left w:val="nil"/>
                              <w:bottom w:val="single" w:sz="4" w:space="0" w:color="auto"/>
                              <w:right w:val="single" w:sz="4" w:space="0" w:color="auto"/>
                            </w:tcBorders>
                            <w:shd w:val="clear" w:color="auto" w:fill="auto"/>
                            <w:vAlign w:val="center"/>
                          </w:tcPr>
                          <w:p w14:paraId="2A8DCE2B"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440</w:t>
                            </w:r>
                          </w:p>
                        </w:tc>
                        <w:tc>
                          <w:tcPr>
                            <w:tcW w:w="708" w:type="dxa"/>
                            <w:tcBorders>
                              <w:top w:val="single" w:sz="4" w:space="0" w:color="auto"/>
                              <w:left w:val="nil"/>
                              <w:bottom w:val="single" w:sz="4" w:space="0" w:color="auto"/>
                              <w:right w:val="single" w:sz="4" w:space="0" w:color="auto"/>
                            </w:tcBorders>
                            <w:shd w:val="clear" w:color="auto" w:fill="auto"/>
                            <w:vAlign w:val="center"/>
                          </w:tcPr>
                          <w:p w14:paraId="1D2B097C"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1.70</w:t>
                            </w:r>
                          </w:p>
                        </w:tc>
                      </w:tr>
                      <w:tr w:rsidR="00406878" w:rsidRPr="004D7790" w14:paraId="3F3D00B0" w14:textId="77777777" w:rsidTr="00911FFC">
                        <w:trPr>
                          <w:gridAfter w:val="2"/>
                          <w:wAfter w:w="1560" w:type="dxa"/>
                          <w:trHeight w:val="227"/>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16B9384" w14:textId="77777777" w:rsidR="00406878" w:rsidRPr="004D7790" w:rsidRDefault="00406878" w:rsidP="00911FFC">
                            <w:pPr>
                              <w:widowControl/>
                              <w:spacing w:line="200" w:lineRule="exact"/>
                              <w:ind w:leftChars="70" w:left="168"/>
                              <w:jc w:val="both"/>
                              <w:rPr>
                                <w:rFonts w:ascii="標楷體" w:eastAsia="標楷體" w:hAnsi="標楷體" w:cs="新細明體"/>
                                <w:color w:val="000000"/>
                                <w:kern w:val="0"/>
                                <w:sz w:val="20"/>
                                <w:szCs w:val="20"/>
                              </w:rPr>
                            </w:pPr>
                            <w:r w:rsidRPr="002512D4">
                              <w:rPr>
                                <w:rFonts w:ascii="標楷體" w:eastAsia="標楷體" w:hAnsi="標楷體" w:cs="新細明體" w:hint="eastAsia"/>
                                <w:color w:val="000000"/>
                                <w:kern w:val="0"/>
                                <w:sz w:val="20"/>
                                <w:szCs w:val="20"/>
                              </w:rPr>
                              <w:t>其他</w:t>
                            </w:r>
                          </w:p>
                        </w:tc>
                        <w:tc>
                          <w:tcPr>
                            <w:tcW w:w="709" w:type="dxa"/>
                            <w:tcBorders>
                              <w:top w:val="single" w:sz="4" w:space="0" w:color="auto"/>
                              <w:left w:val="nil"/>
                              <w:bottom w:val="single" w:sz="4" w:space="0" w:color="auto"/>
                              <w:right w:val="single" w:sz="4" w:space="0" w:color="auto"/>
                            </w:tcBorders>
                            <w:shd w:val="clear" w:color="auto" w:fill="auto"/>
                            <w:vAlign w:val="center"/>
                          </w:tcPr>
                          <w:p w14:paraId="1706D206" w14:textId="77777777" w:rsidR="00406878" w:rsidRPr="004D7790"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r w:rsidRPr="00E56F12">
                              <w:rPr>
                                <w:rFonts w:ascii="標楷體" w:eastAsia="標楷體" w:hAnsi="標楷體" w:hint="eastAsia"/>
                                <w:color w:val="000000"/>
                                <w:sz w:val="20"/>
                              </w:rPr>
                              <w:t>3,434</w:t>
                            </w:r>
                          </w:p>
                        </w:tc>
                        <w:tc>
                          <w:tcPr>
                            <w:tcW w:w="708" w:type="dxa"/>
                            <w:tcBorders>
                              <w:top w:val="single" w:sz="4" w:space="0" w:color="auto"/>
                              <w:left w:val="nil"/>
                              <w:bottom w:val="single" w:sz="4" w:space="0" w:color="auto"/>
                              <w:right w:val="single" w:sz="4" w:space="0" w:color="auto"/>
                            </w:tcBorders>
                            <w:shd w:val="clear" w:color="auto" w:fill="auto"/>
                            <w:vAlign w:val="center"/>
                          </w:tcPr>
                          <w:p w14:paraId="7BB3E3F4" w14:textId="77777777" w:rsidR="00406878" w:rsidRPr="004D7790" w:rsidRDefault="00406878" w:rsidP="0003214C">
                            <w:pPr>
                              <w:widowControl/>
                              <w:spacing w:before="100" w:beforeAutospacing="1" w:line="200" w:lineRule="exact"/>
                              <w:jc w:val="right"/>
                              <w:rPr>
                                <w:rFonts w:ascii="標楷體" w:eastAsia="標楷體" w:hAnsi="標楷體" w:cs="新細明體"/>
                                <w:color w:val="000000"/>
                                <w:kern w:val="0"/>
                                <w:sz w:val="20"/>
                                <w:szCs w:val="20"/>
                              </w:rPr>
                            </w:pPr>
                            <w:r w:rsidRPr="002512D4">
                              <w:rPr>
                                <w:rFonts w:ascii="標楷體" w:eastAsia="標楷體" w:hAnsi="標楷體" w:cs="新細明體"/>
                                <w:color w:val="000000"/>
                                <w:kern w:val="0"/>
                                <w:sz w:val="20"/>
                                <w:szCs w:val="20"/>
                              </w:rPr>
                              <w:t>13.24</w:t>
                            </w:r>
                          </w:p>
                        </w:tc>
                      </w:tr>
                      <w:tr w:rsidR="00406878" w:rsidRPr="004D7790" w14:paraId="3EF56E7B" w14:textId="77777777" w:rsidTr="00C808E3">
                        <w:trPr>
                          <w:gridAfter w:val="2"/>
                          <w:wAfter w:w="1560" w:type="dxa"/>
                          <w:trHeight w:val="227"/>
                        </w:trPr>
                        <w:tc>
                          <w:tcPr>
                            <w:tcW w:w="2410" w:type="dxa"/>
                            <w:gridSpan w:val="3"/>
                            <w:tcBorders>
                              <w:top w:val="single" w:sz="4" w:space="0" w:color="auto"/>
                            </w:tcBorders>
                            <w:shd w:val="clear" w:color="auto" w:fill="auto"/>
                            <w:vAlign w:val="center"/>
                          </w:tcPr>
                          <w:p w14:paraId="22503788" w14:textId="77777777" w:rsidR="00406878" w:rsidRPr="00E56F12" w:rsidRDefault="00406878" w:rsidP="000253B0">
                            <w:pPr>
                              <w:spacing w:line="196" w:lineRule="exact"/>
                              <w:ind w:leftChars="-11" w:left="568" w:hangingChars="330" w:hanging="594"/>
                              <w:jc w:val="both"/>
                              <w:rPr>
                                <w:rFonts w:ascii="標楷體" w:eastAsia="標楷體" w:hAnsi="標楷體"/>
                                <w:szCs w:val="24"/>
                              </w:rPr>
                            </w:pPr>
                            <w:proofErr w:type="gramStart"/>
                            <w:r w:rsidRPr="00E56F12">
                              <w:rPr>
                                <w:rFonts w:ascii="標楷體" w:eastAsia="標楷體" w:hAnsi="標楷體" w:hint="eastAsia"/>
                                <w:color w:val="000000"/>
                                <w:sz w:val="18"/>
                              </w:rPr>
                              <w:t>註</w:t>
                            </w:r>
                            <w:proofErr w:type="gramEnd"/>
                            <w:r w:rsidRPr="00E56F12">
                              <w:rPr>
                                <w:rFonts w:ascii="標楷體" w:eastAsia="標楷體" w:hAnsi="標楷體" w:hint="eastAsia"/>
                                <w:color w:val="000000"/>
                                <w:sz w:val="18"/>
                              </w:rPr>
                              <w:t>：1.資料統計時間至114年3月18日止。</w:t>
                            </w:r>
                          </w:p>
                          <w:p w14:paraId="7A6F1CD7" w14:textId="77777777" w:rsidR="00406878" w:rsidRPr="00E56F12" w:rsidRDefault="00406878" w:rsidP="000253B0">
                            <w:pPr>
                              <w:spacing w:line="196" w:lineRule="exact"/>
                              <w:ind w:leftChars="140" w:left="516" w:hangingChars="100" w:hanging="180"/>
                              <w:jc w:val="both"/>
                              <w:rPr>
                                <w:rFonts w:ascii="標楷體" w:eastAsia="標楷體" w:hAnsi="標楷體"/>
                                <w:sz w:val="18"/>
                                <w:szCs w:val="18"/>
                              </w:rPr>
                            </w:pPr>
                            <w:r w:rsidRPr="00E56F12">
                              <w:rPr>
                                <w:rFonts w:ascii="標楷體" w:eastAsia="標楷體" w:hAnsi="標楷體" w:hint="eastAsia"/>
                                <w:color w:val="000000"/>
                                <w:sz w:val="18"/>
                              </w:rPr>
                              <w:t>2.資料來源：整理自</w:t>
                            </w:r>
                            <w:r>
                              <w:rPr>
                                <w:rFonts w:ascii="標楷體" w:eastAsia="標楷體" w:hAnsi="標楷體" w:hint="eastAsia"/>
                                <w:color w:val="000000"/>
                                <w:sz w:val="18"/>
                              </w:rPr>
                              <w:t>體育</w:t>
                            </w:r>
                            <w:r w:rsidRPr="00E56F12">
                              <w:rPr>
                                <w:rFonts w:ascii="標楷體" w:eastAsia="標楷體" w:hAnsi="標楷體" w:hint="eastAsia"/>
                                <w:color w:val="000000"/>
                                <w:sz w:val="18"/>
                              </w:rPr>
                              <w:t>局提供資料。</w:t>
                            </w:r>
                          </w:p>
                          <w:p w14:paraId="13B26C67" w14:textId="77777777" w:rsidR="00406878" w:rsidRPr="002512D4" w:rsidRDefault="00406878" w:rsidP="00184F7A">
                            <w:pPr>
                              <w:widowControl/>
                              <w:spacing w:before="100" w:beforeAutospacing="1" w:line="200" w:lineRule="exact"/>
                              <w:jc w:val="right"/>
                              <w:rPr>
                                <w:rFonts w:ascii="標楷體" w:eastAsia="標楷體" w:hAnsi="標楷體" w:cs="新細明體"/>
                                <w:color w:val="000000"/>
                                <w:kern w:val="0"/>
                                <w:sz w:val="20"/>
                                <w:szCs w:val="20"/>
                              </w:rPr>
                            </w:pPr>
                          </w:p>
                        </w:tc>
                      </w:tr>
                      <w:tr w:rsidR="00406878" w:rsidRPr="004D7790" w14:paraId="69A3E767" w14:textId="77777777" w:rsidTr="00C808E3">
                        <w:trPr>
                          <w:trHeight w:val="1325"/>
                        </w:trPr>
                        <w:tc>
                          <w:tcPr>
                            <w:tcW w:w="2410" w:type="dxa"/>
                            <w:gridSpan w:val="3"/>
                            <w:tcBorders>
                              <w:left w:val="nil"/>
                              <w:bottom w:val="nil"/>
                              <w:right w:val="nil"/>
                            </w:tcBorders>
                            <w:shd w:val="clear" w:color="auto" w:fill="auto"/>
                            <w:vAlign w:val="center"/>
                            <w:hideMark/>
                          </w:tcPr>
                          <w:p w14:paraId="689C2DF6" w14:textId="77777777" w:rsidR="00406878" w:rsidRPr="002512D4" w:rsidRDefault="00406878" w:rsidP="00C808E3">
                            <w:pPr>
                              <w:spacing w:line="180" w:lineRule="exact"/>
                              <w:ind w:leftChars="-40" w:left="-96" w:firstLineChars="200" w:firstLine="360"/>
                              <w:rPr>
                                <w:rFonts w:ascii="標楷體" w:eastAsia="標楷體" w:hAnsi="標楷體" w:cs="新細明體"/>
                                <w:color w:val="000000"/>
                                <w:kern w:val="0"/>
                                <w:sz w:val="18"/>
                                <w:szCs w:val="20"/>
                              </w:rPr>
                            </w:pPr>
                          </w:p>
                        </w:tc>
                        <w:tc>
                          <w:tcPr>
                            <w:tcW w:w="851" w:type="dxa"/>
                            <w:vAlign w:val="center"/>
                          </w:tcPr>
                          <w:p w14:paraId="4A9C28EF" w14:textId="77777777" w:rsidR="00406878" w:rsidRPr="004D7790" w:rsidRDefault="00406878" w:rsidP="00C808E3">
                            <w:pPr>
                              <w:widowControl/>
                            </w:pPr>
                          </w:p>
                        </w:tc>
                        <w:tc>
                          <w:tcPr>
                            <w:tcW w:w="709" w:type="dxa"/>
                            <w:vAlign w:val="center"/>
                          </w:tcPr>
                          <w:p w14:paraId="63DB283F" w14:textId="77777777" w:rsidR="00406878" w:rsidRPr="004D7790" w:rsidRDefault="00406878" w:rsidP="00C808E3">
                            <w:pPr>
                              <w:widowControl/>
                            </w:pPr>
                          </w:p>
                        </w:tc>
                      </w:tr>
                    </w:tbl>
                    <w:p w14:paraId="4FF1578C" w14:textId="77777777" w:rsidR="00406878" w:rsidRPr="004D7790" w:rsidRDefault="00406878" w:rsidP="00406878">
                      <w:pPr>
                        <w:spacing w:line="220" w:lineRule="exact"/>
                        <w:rPr>
                          <w:rFonts w:ascii="標楷體" w:eastAsia="標楷體" w:hAnsi="標楷體"/>
                          <w:sz w:val="18"/>
                          <w:szCs w:val="18"/>
                        </w:rPr>
                      </w:pPr>
                    </w:p>
                    <w:p w14:paraId="78B87CBC" w14:textId="77777777" w:rsidR="00406878" w:rsidRPr="004D7790" w:rsidRDefault="00406878" w:rsidP="00406878">
                      <w:pPr>
                        <w:spacing w:line="220" w:lineRule="exact"/>
                        <w:rPr>
                          <w:rFonts w:ascii="標楷體" w:eastAsia="標楷體" w:hAnsi="標楷體"/>
                          <w:sz w:val="18"/>
                          <w:szCs w:val="18"/>
                        </w:rPr>
                      </w:pPr>
                    </w:p>
                  </w:txbxContent>
                </v:textbox>
                <w10:wrap type="tight" anchorx="margin" anchory="page"/>
              </v:shape>
            </w:pict>
          </mc:Fallback>
        </mc:AlternateContent>
      </w:r>
      <w:r w:rsidRPr="002131A4">
        <w:rPr>
          <w:rFonts w:ascii="標楷體" w:eastAsia="標楷體" w:hAnsi="標楷體" w:hint="eastAsia"/>
          <w:noProof/>
          <w:szCs w:val="24"/>
        </w:rPr>
        <mc:AlternateContent>
          <mc:Choice Requires="wps">
            <w:drawing>
              <wp:anchor distT="45720" distB="45720" distL="114300" distR="114300" simplePos="0" relativeHeight="251819008" behindDoc="1" locked="0" layoutInCell="1" allowOverlap="1" wp14:anchorId="4B346A5C" wp14:editId="48DA3448">
                <wp:simplePos x="0" y="0"/>
                <wp:positionH relativeFrom="margin">
                  <wp:posOffset>3069219</wp:posOffset>
                </wp:positionH>
                <wp:positionV relativeFrom="page">
                  <wp:posOffset>5313680</wp:posOffset>
                </wp:positionV>
                <wp:extent cx="3239770" cy="1943735"/>
                <wp:effectExtent l="0" t="0" r="0" b="0"/>
                <wp:wrapTight wrapText="bothSides">
                  <wp:wrapPolygon edited="0">
                    <wp:start x="0" y="0"/>
                    <wp:lineTo x="0" y="21381"/>
                    <wp:lineTo x="21465" y="21381"/>
                    <wp:lineTo x="21465" y="0"/>
                    <wp:lineTo x="0" y="0"/>
                  </wp:wrapPolygon>
                </wp:wrapTight>
                <wp:docPr id="75" name="文字方塊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1943735"/>
                        </a:xfrm>
                        <a:prstGeom prst="rect">
                          <a:avLst/>
                        </a:prstGeom>
                        <a:solidFill>
                          <a:srgbClr val="FFFFFF"/>
                        </a:solidFill>
                        <a:ln w="9525">
                          <a:noFill/>
                          <a:miter lim="800000"/>
                          <a:headEnd/>
                          <a:tailEnd/>
                        </a:ln>
                      </wps:spPr>
                      <wps:txbx>
                        <w:txbxContent>
                          <w:tbl>
                            <w:tblPr>
                              <w:tblW w:w="5046" w:type="dxa"/>
                              <w:tblInd w:w="-142" w:type="dxa"/>
                              <w:tblCellMar>
                                <w:left w:w="28" w:type="dxa"/>
                                <w:right w:w="28" w:type="dxa"/>
                              </w:tblCellMar>
                              <w:tblLook w:val="04A0" w:firstRow="1" w:lastRow="0" w:firstColumn="1" w:lastColumn="0" w:noHBand="0" w:noVBand="1"/>
                            </w:tblPr>
                            <w:tblGrid>
                              <w:gridCol w:w="737"/>
                              <w:gridCol w:w="680"/>
                              <w:gridCol w:w="794"/>
                              <w:gridCol w:w="709"/>
                              <w:gridCol w:w="709"/>
                              <w:gridCol w:w="709"/>
                              <w:gridCol w:w="708"/>
                            </w:tblGrid>
                            <w:tr w:rsidR="00406878" w:rsidRPr="00E56F12" w14:paraId="7B72C560" w14:textId="77777777" w:rsidTr="0027621D">
                              <w:trPr>
                                <w:trHeight w:val="323"/>
                              </w:trPr>
                              <w:tc>
                                <w:tcPr>
                                  <w:tcW w:w="5046" w:type="dxa"/>
                                  <w:gridSpan w:val="7"/>
                                  <w:tcBorders>
                                    <w:top w:val="nil"/>
                                    <w:left w:val="nil"/>
                                    <w:bottom w:val="single" w:sz="4" w:space="0" w:color="auto"/>
                                    <w:right w:val="nil"/>
                                  </w:tcBorders>
                                  <w:noWrap/>
                                  <w:vAlign w:val="center"/>
                                  <w:hideMark/>
                                </w:tcPr>
                                <w:p w14:paraId="58962132" w14:textId="77777777" w:rsidR="00406878" w:rsidRPr="00E56F12" w:rsidRDefault="00406878" w:rsidP="00381E04">
                                  <w:pPr>
                                    <w:spacing w:line="240" w:lineRule="exact"/>
                                    <w:ind w:leftChars="-30" w:left="-72" w:rightChars="-30" w:right="-72"/>
                                    <w:jc w:val="center"/>
                                    <w:rPr>
                                      <w:rFonts w:ascii="標楷體" w:eastAsia="標楷體" w:hAnsi="標楷體" w:cs="新細明體"/>
                                      <w:b/>
                                      <w:color w:val="000000"/>
                                      <w:spacing w:val="-6"/>
                                      <w:szCs w:val="24"/>
                                    </w:rPr>
                                  </w:pPr>
                                  <w:r w:rsidRPr="00E56F12">
                                    <w:rPr>
                                      <w:rFonts w:ascii="標楷體" w:eastAsia="標楷體" w:hAnsi="標楷體" w:hint="eastAsia"/>
                                      <w:b/>
                                      <w:color w:val="000000"/>
                                      <w:spacing w:val="-6"/>
                                      <w:szCs w:val="24"/>
                                    </w:rPr>
                                    <w:t>表</w:t>
                                  </w:r>
                                  <w:r>
                                    <w:rPr>
                                      <w:rFonts w:ascii="標楷體" w:eastAsia="標楷體" w:hAnsi="標楷體" w:hint="eastAsia"/>
                                      <w:b/>
                                      <w:color w:val="000000"/>
                                      <w:spacing w:val="-6"/>
                                      <w:szCs w:val="24"/>
                                    </w:rPr>
                                    <w:t>2</w:t>
                                  </w:r>
                                  <w:r w:rsidRPr="00E56F12">
                                    <w:rPr>
                                      <w:rFonts w:ascii="標楷體" w:eastAsia="標楷體" w:hAnsi="標楷體" w:hint="eastAsia"/>
                                      <w:b/>
                                      <w:color w:val="000000"/>
                                      <w:spacing w:val="-6"/>
                                      <w:szCs w:val="24"/>
                                    </w:rPr>
                                    <w:t xml:space="preserve">  2025</w:t>
                                  </w:r>
                                  <w:proofErr w:type="gramStart"/>
                                  <w:r w:rsidRPr="00E56F12">
                                    <w:rPr>
                                      <w:rFonts w:ascii="標楷體" w:eastAsia="標楷體" w:hAnsi="標楷體" w:hint="eastAsia"/>
                                      <w:b/>
                                      <w:color w:val="000000"/>
                                      <w:spacing w:val="-6"/>
                                      <w:szCs w:val="24"/>
                                    </w:rPr>
                                    <w:t>世壯運</w:t>
                                  </w:r>
                                  <w:proofErr w:type="gramEnd"/>
                                  <w:r w:rsidRPr="00E56F12">
                                    <w:rPr>
                                      <w:rFonts w:ascii="標楷體" w:eastAsia="標楷體" w:hAnsi="標楷體" w:hint="eastAsia"/>
                                      <w:b/>
                                      <w:color w:val="000000"/>
                                      <w:spacing w:val="-6"/>
                                      <w:szCs w:val="24"/>
                                    </w:rPr>
                                    <w:t>各市縣場館國內外選手參賽情形</w:t>
                                  </w:r>
                                </w:p>
                                <w:p w14:paraId="12846065" w14:textId="77777777" w:rsidR="00406878" w:rsidRPr="00E56F12" w:rsidRDefault="00406878" w:rsidP="00232C3B">
                                  <w:pPr>
                                    <w:spacing w:line="220" w:lineRule="exact"/>
                                    <w:jc w:val="right"/>
                                    <w:rPr>
                                      <w:rFonts w:ascii="標楷體" w:eastAsia="標楷體" w:hAnsi="標楷體"/>
                                      <w:color w:val="000000"/>
                                    </w:rPr>
                                  </w:pPr>
                                  <w:r w:rsidRPr="00E56F12">
                                    <w:rPr>
                                      <w:rFonts w:ascii="標楷體" w:eastAsia="標楷體" w:hAnsi="標楷體" w:hint="eastAsia"/>
                                      <w:color w:val="000000"/>
                                      <w:sz w:val="20"/>
                                    </w:rPr>
                                    <w:t>單位：處、</w:t>
                                  </w:r>
                                  <w:proofErr w:type="gramStart"/>
                                  <w:r w:rsidRPr="00E56F12">
                                    <w:rPr>
                                      <w:rFonts w:ascii="標楷體" w:eastAsia="標楷體" w:hAnsi="標楷體" w:hint="eastAsia"/>
                                      <w:color w:val="000000"/>
                                      <w:sz w:val="20"/>
                                    </w:rPr>
                                    <w:t>人次、</w:t>
                                  </w:r>
                                  <w:proofErr w:type="gramEnd"/>
                                  <w:r w:rsidRPr="00E56F12">
                                    <w:rPr>
                                      <w:rFonts w:ascii="標楷體" w:eastAsia="標楷體" w:hAnsi="標楷體" w:hint="eastAsia"/>
                                      <w:color w:val="000000"/>
                                      <w:sz w:val="20"/>
                                    </w:rPr>
                                    <w:t>％</w:t>
                                  </w:r>
                                </w:p>
                              </w:tc>
                            </w:tr>
                            <w:tr w:rsidR="00406878" w:rsidRPr="00E56F12" w14:paraId="79C2495E" w14:textId="77777777" w:rsidTr="0003214C">
                              <w:trPr>
                                <w:trHeight w:val="77"/>
                              </w:trPr>
                              <w:tc>
                                <w:tcPr>
                                  <w:tcW w:w="737" w:type="dxa"/>
                                  <w:vMerge w:val="restart"/>
                                  <w:tcBorders>
                                    <w:top w:val="nil"/>
                                    <w:left w:val="single" w:sz="4" w:space="0" w:color="auto"/>
                                    <w:bottom w:val="single" w:sz="4" w:space="0" w:color="auto"/>
                                    <w:right w:val="single" w:sz="4" w:space="0" w:color="auto"/>
                                  </w:tcBorders>
                                  <w:noWrap/>
                                  <w:vAlign w:val="center"/>
                                  <w:hideMark/>
                                </w:tcPr>
                                <w:p w14:paraId="7D0AE709" w14:textId="77777777" w:rsidR="00406878" w:rsidRPr="00E56F12" w:rsidRDefault="00406878" w:rsidP="0003214C">
                                  <w:pPr>
                                    <w:spacing w:line="200" w:lineRule="exact"/>
                                    <w:jc w:val="center"/>
                                    <w:rPr>
                                      <w:rFonts w:ascii="標楷體" w:eastAsia="標楷體" w:hAnsi="標楷體"/>
                                      <w:color w:val="000000"/>
                                      <w:sz w:val="20"/>
                                    </w:rPr>
                                  </w:pPr>
                                  <w:proofErr w:type="gramStart"/>
                                  <w:r w:rsidRPr="00E56F12">
                                    <w:rPr>
                                      <w:rFonts w:ascii="標楷體" w:eastAsia="標楷體" w:hAnsi="標楷體" w:hint="eastAsia"/>
                                      <w:color w:val="000000"/>
                                      <w:sz w:val="20"/>
                                    </w:rPr>
                                    <w:t>市縣別</w:t>
                                  </w:r>
                                  <w:proofErr w:type="gramEnd"/>
                                </w:p>
                              </w:tc>
                              <w:tc>
                                <w:tcPr>
                                  <w:tcW w:w="680" w:type="dxa"/>
                                  <w:vMerge w:val="restart"/>
                                  <w:tcBorders>
                                    <w:top w:val="nil"/>
                                    <w:left w:val="single" w:sz="4" w:space="0" w:color="auto"/>
                                    <w:bottom w:val="single" w:sz="4" w:space="0" w:color="auto"/>
                                    <w:right w:val="single" w:sz="4" w:space="0" w:color="auto"/>
                                  </w:tcBorders>
                                  <w:noWrap/>
                                  <w:vAlign w:val="center"/>
                                  <w:hideMark/>
                                </w:tcPr>
                                <w:p w14:paraId="264E4B84" w14:textId="77777777" w:rsidR="00406878" w:rsidRPr="00E56F12" w:rsidRDefault="00406878" w:rsidP="0003214C">
                                  <w:pPr>
                                    <w:spacing w:line="200" w:lineRule="exact"/>
                                    <w:jc w:val="center"/>
                                    <w:rPr>
                                      <w:rFonts w:ascii="標楷體" w:eastAsia="標楷體" w:hAnsi="標楷體"/>
                                      <w:color w:val="000000"/>
                                      <w:sz w:val="20"/>
                                    </w:rPr>
                                  </w:pPr>
                                  <w:proofErr w:type="gramStart"/>
                                  <w:r w:rsidRPr="00E56F12">
                                    <w:rPr>
                                      <w:rFonts w:ascii="標楷體" w:eastAsia="標楷體" w:hAnsi="標楷體" w:hint="eastAsia"/>
                                      <w:color w:val="000000"/>
                                      <w:sz w:val="20"/>
                                    </w:rPr>
                                    <w:t>場館數</w:t>
                                  </w:r>
                                  <w:proofErr w:type="gramEnd"/>
                                </w:p>
                              </w:tc>
                              <w:tc>
                                <w:tcPr>
                                  <w:tcW w:w="794" w:type="dxa"/>
                                  <w:vMerge w:val="restart"/>
                                  <w:tcBorders>
                                    <w:top w:val="nil"/>
                                    <w:left w:val="single" w:sz="4" w:space="0" w:color="auto"/>
                                    <w:bottom w:val="single" w:sz="4" w:space="0" w:color="auto"/>
                                    <w:right w:val="single" w:sz="4" w:space="0" w:color="auto"/>
                                  </w:tcBorders>
                                  <w:noWrap/>
                                  <w:vAlign w:val="center"/>
                                  <w:hideMark/>
                                </w:tcPr>
                                <w:p w14:paraId="24B3DB8D" w14:textId="77777777" w:rsidR="00406878" w:rsidRPr="00104310" w:rsidRDefault="00406878" w:rsidP="0003214C">
                                  <w:pPr>
                                    <w:spacing w:line="200" w:lineRule="exact"/>
                                    <w:jc w:val="center"/>
                                    <w:rPr>
                                      <w:rFonts w:ascii="標楷體" w:eastAsia="標楷體" w:hAnsi="標楷體"/>
                                      <w:color w:val="000000"/>
                                      <w:sz w:val="20"/>
                                    </w:rPr>
                                  </w:pPr>
                                  <w:r w:rsidRPr="00104310">
                                    <w:rPr>
                                      <w:rFonts w:ascii="標楷體" w:eastAsia="標楷體" w:hAnsi="標楷體" w:hint="eastAsia"/>
                                      <w:color w:val="000000"/>
                                      <w:sz w:val="20"/>
                                    </w:rPr>
                                    <w:t>合計</w:t>
                                  </w:r>
                                </w:p>
                              </w:tc>
                              <w:tc>
                                <w:tcPr>
                                  <w:tcW w:w="1418" w:type="dxa"/>
                                  <w:gridSpan w:val="2"/>
                                  <w:tcBorders>
                                    <w:top w:val="single" w:sz="4" w:space="0" w:color="auto"/>
                                    <w:left w:val="nil"/>
                                    <w:bottom w:val="single" w:sz="4" w:space="0" w:color="auto"/>
                                    <w:right w:val="single" w:sz="4" w:space="0" w:color="auto"/>
                                  </w:tcBorders>
                                  <w:noWrap/>
                                  <w:vAlign w:val="center"/>
                                  <w:hideMark/>
                                </w:tcPr>
                                <w:p w14:paraId="22FA6679" w14:textId="77777777" w:rsidR="00406878" w:rsidRPr="00E56F12" w:rsidRDefault="00406878" w:rsidP="0003214C">
                                  <w:pPr>
                                    <w:spacing w:line="200" w:lineRule="exact"/>
                                    <w:jc w:val="center"/>
                                    <w:rPr>
                                      <w:rFonts w:ascii="標楷體" w:eastAsia="標楷體" w:hAnsi="標楷體"/>
                                      <w:sz w:val="20"/>
                                    </w:rPr>
                                  </w:pPr>
                                  <w:r w:rsidRPr="00E56F12">
                                    <w:rPr>
                                      <w:rFonts w:ascii="標楷體" w:eastAsia="標楷體" w:hAnsi="標楷體" w:hint="eastAsia"/>
                                      <w:sz w:val="20"/>
                                    </w:rPr>
                                    <w:t>本國選手</w:t>
                                  </w:r>
                                </w:p>
                              </w:tc>
                              <w:tc>
                                <w:tcPr>
                                  <w:tcW w:w="1417" w:type="dxa"/>
                                  <w:gridSpan w:val="2"/>
                                  <w:tcBorders>
                                    <w:top w:val="single" w:sz="4" w:space="0" w:color="auto"/>
                                    <w:left w:val="nil"/>
                                    <w:bottom w:val="single" w:sz="4" w:space="0" w:color="auto"/>
                                    <w:right w:val="single" w:sz="4" w:space="0" w:color="auto"/>
                                  </w:tcBorders>
                                  <w:noWrap/>
                                  <w:vAlign w:val="center"/>
                                  <w:hideMark/>
                                </w:tcPr>
                                <w:p w14:paraId="7B39F6E9" w14:textId="77777777" w:rsidR="00406878" w:rsidRPr="00E56F12" w:rsidRDefault="00406878" w:rsidP="0003214C">
                                  <w:pPr>
                                    <w:spacing w:line="200" w:lineRule="exact"/>
                                    <w:jc w:val="center"/>
                                    <w:rPr>
                                      <w:rFonts w:ascii="標楷體" w:eastAsia="標楷體" w:hAnsi="標楷體"/>
                                      <w:sz w:val="20"/>
                                    </w:rPr>
                                  </w:pPr>
                                  <w:r w:rsidRPr="00E56F12">
                                    <w:rPr>
                                      <w:rFonts w:ascii="標楷體" w:eastAsia="標楷體" w:hAnsi="標楷體" w:hint="eastAsia"/>
                                      <w:sz w:val="20"/>
                                    </w:rPr>
                                    <w:t>國外選手</w:t>
                                  </w:r>
                                </w:p>
                              </w:tc>
                            </w:tr>
                            <w:tr w:rsidR="00406878" w:rsidRPr="00E56F12" w14:paraId="52259E17" w14:textId="77777777" w:rsidTr="0003214C">
                              <w:trPr>
                                <w:trHeight w:val="20"/>
                              </w:trPr>
                              <w:tc>
                                <w:tcPr>
                                  <w:tcW w:w="737" w:type="dxa"/>
                                  <w:vMerge/>
                                  <w:tcBorders>
                                    <w:top w:val="nil"/>
                                    <w:left w:val="single" w:sz="4" w:space="0" w:color="auto"/>
                                    <w:bottom w:val="single" w:sz="4" w:space="0" w:color="auto"/>
                                    <w:right w:val="single" w:sz="4" w:space="0" w:color="auto"/>
                                  </w:tcBorders>
                                  <w:vAlign w:val="center"/>
                                  <w:hideMark/>
                                </w:tcPr>
                                <w:p w14:paraId="2D859DC0" w14:textId="77777777" w:rsidR="00406878" w:rsidRPr="00E56F12" w:rsidRDefault="00406878" w:rsidP="0003214C">
                                  <w:pPr>
                                    <w:spacing w:line="200" w:lineRule="exact"/>
                                    <w:jc w:val="center"/>
                                    <w:rPr>
                                      <w:rFonts w:ascii="標楷體" w:eastAsia="標楷體" w:hAnsi="標楷體" w:cs="新細明體"/>
                                      <w:color w:val="000000"/>
                                      <w:sz w:val="20"/>
                                      <w:szCs w:val="24"/>
                                    </w:rPr>
                                  </w:pPr>
                                </w:p>
                              </w:tc>
                              <w:tc>
                                <w:tcPr>
                                  <w:tcW w:w="680" w:type="dxa"/>
                                  <w:vMerge/>
                                  <w:tcBorders>
                                    <w:top w:val="nil"/>
                                    <w:left w:val="single" w:sz="4" w:space="0" w:color="auto"/>
                                    <w:bottom w:val="single" w:sz="4" w:space="0" w:color="auto"/>
                                    <w:right w:val="single" w:sz="4" w:space="0" w:color="auto"/>
                                  </w:tcBorders>
                                  <w:vAlign w:val="center"/>
                                  <w:hideMark/>
                                </w:tcPr>
                                <w:p w14:paraId="7A01994D" w14:textId="77777777" w:rsidR="00406878" w:rsidRPr="00E56F12" w:rsidRDefault="00406878" w:rsidP="0003214C">
                                  <w:pPr>
                                    <w:spacing w:line="200" w:lineRule="exact"/>
                                    <w:jc w:val="center"/>
                                    <w:rPr>
                                      <w:rFonts w:ascii="標楷體" w:eastAsia="標楷體" w:hAnsi="標楷體" w:cs="新細明體"/>
                                      <w:color w:val="000000"/>
                                      <w:sz w:val="20"/>
                                      <w:szCs w:val="24"/>
                                    </w:rPr>
                                  </w:pPr>
                                </w:p>
                              </w:tc>
                              <w:tc>
                                <w:tcPr>
                                  <w:tcW w:w="794" w:type="dxa"/>
                                  <w:vMerge/>
                                  <w:tcBorders>
                                    <w:top w:val="nil"/>
                                    <w:left w:val="single" w:sz="4" w:space="0" w:color="auto"/>
                                    <w:bottom w:val="single" w:sz="4" w:space="0" w:color="auto"/>
                                    <w:right w:val="single" w:sz="4" w:space="0" w:color="auto"/>
                                  </w:tcBorders>
                                  <w:vAlign w:val="center"/>
                                  <w:hideMark/>
                                </w:tcPr>
                                <w:p w14:paraId="2A6314E9" w14:textId="77777777" w:rsidR="00406878" w:rsidRPr="00E56F12" w:rsidRDefault="00406878" w:rsidP="0003214C">
                                  <w:pPr>
                                    <w:spacing w:line="200" w:lineRule="exact"/>
                                    <w:jc w:val="center"/>
                                    <w:rPr>
                                      <w:rFonts w:ascii="標楷體" w:eastAsia="標楷體" w:hAnsi="標楷體" w:cs="新細明體"/>
                                      <w:b/>
                                      <w:bCs/>
                                      <w:color w:val="000000"/>
                                      <w:sz w:val="20"/>
                                      <w:szCs w:val="24"/>
                                    </w:rPr>
                                  </w:pPr>
                                </w:p>
                              </w:tc>
                              <w:tc>
                                <w:tcPr>
                                  <w:tcW w:w="709" w:type="dxa"/>
                                  <w:tcBorders>
                                    <w:top w:val="nil"/>
                                    <w:left w:val="nil"/>
                                    <w:bottom w:val="single" w:sz="4" w:space="0" w:color="auto"/>
                                    <w:right w:val="single" w:sz="4" w:space="0" w:color="auto"/>
                                  </w:tcBorders>
                                  <w:noWrap/>
                                  <w:vAlign w:val="center"/>
                                  <w:hideMark/>
                                </w:tcPr>
                                <w:p w14:paraId="362604E3" w14:textId="77777777" w:rsidR="00406878" w:rsidRPr="00E56F12" w:rsidRDefault="00406878" w:rsidP="0003214C">
                                  <w:pPr>
                                    <w:spacing w:line="200" w:lineRule="exact"/>
                                    <w:jc w:val="center"/>
                                    <w:rPr>
                                      <w:rFonts w:ascii="標楷體" w:eastAsia="標楷體" w:hAnsi="標楷體"/>
                                      <w:spacing w:val="-22"/>
                                      <w:sz w:val="20"/>
                                    </w:rPr>
                                  </w:pPr>
                                  <w:r w:rsidRPr="00E56F12">
                                    <w:rPr>
                                      <w:rFonts w:ascii="標楷體" w:eastAsia="標楷體" w:hAnsi="標楷體" w:hint="eastAsia"/>
                                      <w:spacing w:val="-22"/>
                                      <w:sz w:val="20"/>
                                    </w:rPr>
                                    <w:t>參賽人次</w:t>
                                  </w:r>
                                </w:p>
                              </w:tc>
                              <w:tc>
                                <w:tcPr>
                                  <w:tcW w:w="709" w:type="dxa"/>
                                  <w:tcBorders>
                                    <w:top w:val="nil"/>
                                    <w:left w:val="nil"/>
                                    <w:bottom w:val="single" w:sz="4" w:space="0" w:color="auto"/>
                                    <w:right w:val="single" w:sz="4" w:space="0" w:color="auto"/>
                                  </w:tcBorders>
                                  <w:noWrap/>
                                  <w:vAlign w:val="center"/>
                                  <w:hideMark/>
                                </w:tcPr>
                                <w:p w14:paraId="6B9654ED" w14:textId="77777777" w:rsidR="00406878" w:rsidRPr="00E56F12" w:rsidRDefault="00406878" w:rsidP="0003214C">
                                  <w:pPr>
                                    <w:spacing w:line="200" w:lineRule="exact"/>
                                    <w:jc w:val="center"/>
                                    <w:rPr>
                                      <w:rFonts w:ascii="標楷體" w:eastAsia="標楷體" w:hAnsi="標楷體"/>
                                      <w:sz w:val="20"/>
                                    </w:rPr>
                                  </w:pPr>
                                  <w:r w:rsidRPr="00E56F12">
                                    <w:rPr>
                                      <w:rFonts w:ascii="標楷體" w:eastAsia="標楷體" w:hAnsi="標楷體" w:hint="eastAsia"/>
                                      <w:sz w:val="20"/>
                                    </w:rPr>
                                    <w:t>比率</w:t>
                                  </w:r>
                                </w:p>
                              </w:tc>
                              <w:tc>
                                <w:tcPr>
                                  <w:tcW w:w="709" w:type="dxa"/>
                                  <w:tcBorders>
                                    <w:top w:val="nil"/>
                                    <w:left w:val="nil"/>
                                    <w:bottom w:val="single" w:sz="4" w:space="0" w:color="auto"/>
                                    <w:right w:val="single" w:sz="4" w:space="0" w:color="auto"/>
                                  </w:tcBorders>
                                  <w:noWrap/>
                                  <w:vAlign w:val="center"/>
                                  <w:hideMark/>
                                </w:tcPr>
                                <w:p w14:paraId="0144E77C" w14:textId="77777777" w:rsidR="00406878" w:rsidRPr="00E56F12" w:rsidRDefault="00406878" w:rsidP="0003214C">
                                  <w:pPr>
                                    <w:spacing w:line="200" w:lineRule="exact"/>
                                    <w:jc w:val="center"/>
                                    <w:rPr>
                                      <w:rFonts w:ascii="標楷體" w:eastAsia="標楷體" w:hAnsi="標楷體"/>
                                      <w:spacing w:val="-22"/>
                                      <w:sz w:val="20"/>
                                    </w:rPr>
                                  </w:pPr>
                                  <w:r w:rsidRPr="00E56F12">
                                    <w:rPr>
                                      <w:rFonts w:ascii="標楷體" w:eastAsia="標楷體" w:hAnsi="標楷體" w:hint="eastAsia"/>
                                      <w:spacing w:val="-22"/>
                                      <w:sz w:val="20"/>
                                    </w:rPr>
                                    <w:t>參賽人次</w:t>
                                  </w:r>
                                </w:p>
                              </w:tc>
                              <w:tc>
                                <w:tcPr>
                                  <w:tcW w:w="708" w:type="dxa"/>
                                  <w:tcBorders>
                                    <w:top w:val="nil"/>
                                    <w:left w:val="nil"/>
                                    <w:bottom w:val="single" w:sz="4" w:space="0" w:color="auto"/>
                                    <w:right w:val="single" w:sz="4" w:space="0" w:color="auto"/>
                                  </w:tcBorders>
                                  <w:noWrap/>
                                  <w:vAlign w:val="center"/>
                                  <w:hideMark/>
                                </w:tcPr>
                                <w:p w14:paraId="4B713C5D" w14:textId="77777777" w:rsidR="00406878" w:rsidRPr="00E56F12" w:rsidRDefault="00406878" w:rsidP="0003214C">
                                  <w:pPr>
                                    <w:spacing w:line="200" w:lineRule="exact"/>
                                    <w:jc w:val="center"/>
                                    <w:rPr>
                                      <w:rFonts w:ascii="標楷體" w:eastAsia="標楷體" w:hAnsi="標楷體"/>
                                      <w:sz w:val="20"/>
                                    </w:rPr>
                                  </w:pPr>
                                  <w:r w:rsidRPr="00E56F12">
                                    <w:rPr>
                                      <w:rFonts w:ascii="標楷體" w:eastAsia="標楷體" w:hAnsi="標楷體" w:hint="eastAsia"/>
                                      <w:sz w:val="20"/>
                                    </w:rPr>
                                    <w:t>比率</w:t>
                                  </w:r>
                                </w:p>
                              </w:tc>
                            </w:tr>
                            <w:tr w:rsidR="00406878" w:rsidRPr="00E56F12" w14:paraId="5338F6A4"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082EC9A7" w14:textId="77777777" w:rsidR="00406878" w:rsidRPr="00E56F12" w:rsidRDefault="00406878" w:rsidP="0003214C">
                                  <w:pPr>
                                    <w:spacing w:line="200" w:lineRule="exact"/>
                                    <w:jc w:val="center"/>
                                    <w:rPr>
                                      <w:rFonts w:ascii="標楷體" w:eastAsia="標楷體" w:hAnsi="標楷體"/>
                                      <w:b/>
                                      <w:bCs/>
                                      <w:color w:val="000000"/>
                                      <w:sz w:val="20"/>
                                    </w:rPr>
                                  </w:pPr>
                                  <w:r w:rsidRPr="00E56F12">
                                    <w:rPr>
                                      <w:rFonts w:ascii="標楷體" w:eastAsia="標楷體" w:hAnsi="標楷體" w:hint="eastAsia"/>
                                      <w:b/>
                                      <w:bCs/>
                                      <w:color w:val="000000"/>
                                      <w:sz w:val="20"/>
                                    </w:rPr>
                                    <w:t>合計</w:t>
                                  </w:r>
                                </w:p>
                              </w:tc>
                              <w:tc>
                                <w:tcPr>
                                  <w:tcW w:w="680" w:type="dxa"/>
                                  <w:tcBorders>
                                    <w:top w:val="nil"/>
                                    <w:left w:val="nil"/>
                                    <w:bottom w:val="single" w:sz="4" w:space="0" w:color="auto"/>
                                    <w:right w:val="single" w:sz="4" w:space="0" w:color="auto"/>
                                  </w:tcBorders>
                                  <w:noWrap/>
                                  <w:vAlign w:val="center"/>
                                  <w:hideMark/>
                                </w:tcPr>
                                <w:p w14:paraId="05FAB15C" w14:textId="77777777" w:rsidR="00406878" w:rsidRPr="00E56F12" w:rsidRDefault="00406878" w:rsidP="00381E04">
                                  <w:pPr>
                                    <w:spacing w:line="200" w:lineRule="exact"/>
                                    <w:jc w:val="right"/>
                                    <w:rPr>
                                      <w:rFonts w:ascii="標楷體" w:eastAsia="標楷體" w:hAnsi="標楷體"/>
                                      <w:b/>
                                      <w:bCs/>
                                      <w:color w:val="000000"/>
                                      <w:sz w:val="20"/>
                                    </w:rPr>
                                  </w:pPr>
                                  <w:r w:rsidRPr="00E56F12">
                                    <w:rPr>
                                      <w:rFonts w:ascii="標楷體" w:eastAsia="標楷體" w:hAnsi="標楷體" w:hint="eastAsia"/>
                                      <w:b/>
                                      <w:bCs/>
                                      <w:color w:val="000000"/>
                                      <w:sz w:val="20"/>
                                    </w:rPr>
                                    <w:t>61</w:t>
                                  </w:r>
                                </w:p>
                              </w:tc>
                              <w:tc>
                                <w:tcPr>
                                  <w:tcW w:w="794" w:type="dxa"/>
                                  <w:tcBorders>
                                    <w:top w:val="nil"/>
                                    <w:left w:val="nil"/>
                                    <w:bottom w:val="single" w:sz="4" w:space="0" w:color="auto"/>
                                    <w:right w:val="single" w:sz="4" w:space="0" w:color="auto"/>
                                  </w:tcBorders>
                                  <w:noWrap/>
                                  <w:vAlign w:val="center"/>
                                  <w:hideMark/>
                                </w:tcPr>
                                <w:p w14:paraId="7D72D7E8" w14:textId="77777777" w:rsidR="00406878" w:rsidRPr="00E56F12" w:rsidRDefault="00406878" w:rsidP="00381E04">
                                  <w:pPr>
                                    <w:spacing w:line="200" w:lineRule="exact"/>
                                    <w:jc w:val="right"/>
                                    <w:rPr>
                                      <w:rFonts w:ascii="標楷體" w:eastAsia="標楷體" w:hAnsi="標楷體"/>
                                      <w:b/>
                                      <w:bCs/>
                                      <w:color w:val="000000"/>
                                      <w:sz w:val="20"/>
                                    </w:rPr>
                                  </w:pPr>
                                  <w:r w:rsidRPr="00E56F12">
                                    <w:rPr>
                                      <w:rFonts w:ascii="標楷體" w:eastAsia="標楷體" w:hAnsi="標楷體" w:hint="eastAsia"/>
                                      <w:b/>
                                      <w:bCs/>
                                      <w:color w:val="000000"/>
                                      <w:sz w:val="20"/>
                                    </w:rPr>
                                    <w:t>34,494</w:t>
                                  </w:r>
                                </w:p>
                              </w:tc>
                              <w:tc>
                                <w:tcPr>
                                  <w:tcW w:w="709" w:type="dxa"/>
                                  <w:tcBorders>
                                    <w:top w:val="nil"/>
                                    <w:left w:val="nil"/>
                                    <w:bottom w:val="single" w:sz="4" w:space="0" w:color="auto"/>
                                    <w:right w:val="single" w:sz="4" w:space="0" w:color="auto"/>
                                  </w:tcBorders>
                                  <w:noWrap/>
                                  <w:vAlign w:val="center"/>
                                  <w:hideMark/>
                                </w:tcPr>
                                <w:p w14:paraId="39D1D60B" w14:textId="77777777" w:rsidR="00406878" w:rsidRPr="00E56F12" w:rsidRDefault="00406878" w:rsidP="00381E04">
                                  <w:pPr>
                                    <w:spacing w:line="200" w:lineRule="exact"/>
                                    <w:jc w:val="right"/>
                                    <w:rPr>
                                      <w:rFonts w:ascii="標楷體" w:eastAsia="標楷體" w:hAnsi="標楷體"/>
                                      <w:b/>
                                      <w:bCs/>
                                      <w:sz w:val="20"/>
                                    </w:rPr>
                                  </w:pPr>
                                  <w:r w:rsidRPr="00E56F12">
                                    <w:rPr>
                                      <w:rFonts w:ascii="標楷體" w:eastAsia="標楷體" w:hAnsi="標楷體" w:hint="eastAsia"/>
                                      <w:b/>
                                      <w:bCs/>
                                      <w:sz w:val="20"/>
                                    </w:rPr>
                                    <w:t>26,506</w:t>
                                  </w:r>
                                </w:p>
                              </w:tc>
                              <w:tc>
                                <w:tcPr>
                                  <w:tcW w:w="709" w:type="dxa"/>
                                  <w:tcBorders>
                                    <w:top w:val="nil"/>
                                    <w:left w:val="nil"/>
                                    <w:bottom w:val="single" w:sz="4" w:space="0" w:color="auto"/>
                                    <w:right w:val="single" w:sz="4" w:space="0" w:color="auto"/>
                                  </w:tcBorders>
                                  <w:noWrap/>
                                  <w:vAlign w:val="center"/>
                                  <w:hideMark/>
                                </w:tcPr>
                                <w:p w14:paraId="420D3A17" w14:textId="77777777" w:rsidR="00406878" w:rsidRPr="00E56F12" w:rsidRDefault="00406878" w:rsidP="00381E04">
                                  <w:pPr>
                                    <w:spacing w:line="200" w:lineRule="exact"/>
                                    <w:jc w:val="right"/>
                                    <w:rPr>
                                      <w:rFonts w:ascii="標楷體" w:eastAsia="標楷體" w:hAnsi="標楷體"/>
                                      <w:b/>
                                      <w:bCs/>
                                      <w:sz w:val="20"/>
                                    </w:rPr>
                                  </w:pPr>
                                  <w:r w:rsidRPr="00E56F12">
                                    <w:rPr>
                                      <w:rFonts w:ascii="標楷體" w:eastAsia="標楷體" w:hAnsi="標楷體" w:hint="eastAsia"/>
                                      <w:b/>
                                      <w:bCs/>
                                      <w:sz w:val="20"/>
                                    </w:rPr>
                                    <w:t>76.84</w:t>
                                  </w:r>
                                </w:p>
                              </w:tc>
                              <w:tc>
                                <w:tcPr>
                                  <w:tcW w:w="709" w:type="dxa"/>
                                  <w:tcBorders>
                                    <w:top w:val="nil"/>
                                    <w:left w:val="nil"/>
                                    <w:bottom w:val="single" w:sz="4" w:space="0" w:color="auto"/>
                                    <w:right w:val="single" w:sz="4" w:space="0" w:color="auto"/>
                                  </w:tcBorders>
                                  <w:noWrap/>
                                  <w:vAlign w:val="center"/>
                                  <w:hideMark/>
                                </w:tcPr>
                                <w:p w14:paraId="107A52E2" w14:textId="77777777" w:rsidR="00406878" w:rsidRPr="00E56F12" w:rsidRDefault="00406878" w:rsidP="00381E04">
                                  <w:pPr>
                                    <w:spacing w:line="200" w:lineRule="exact"/>
                                    <w:jc w:val="right"/>
                                    <w:rPr>
                                      <w:rFonts w:ascii="標楷體" w:eastAsia="標楷體" w:hAnsi="標楷體"/>
                                      <w:b/>
                                      <w:bCs/>
                                      <w:color w:val="000000"/>
                                      <w:sz w:val="20"/>
                                    </w:rPr>
                                  </w:pPr>
                                  <w:r w:rsidRPr="00E56F12">
                                    <w:rPr>
                                      <w:rFonts w:ascii="標楷體" w:eastAsia="標楷體" w:hAnsi="標楷體" w:hint="eastAsia"/>
                                      <w:b/>
                                      <w:bCs/>
                                      <w:color w:val="000000"/>
                                      <w:sz w:val="20"/>
                                    </w:rPr>
                                    <w:t>7,988</w:t>
                                  </w:r>
                                </w:p>
                              </w:tc>
                              <w:tc>
                                <w:tcPr>
                                  <w:tcW w:w="708" w:type="dxa"/>
                                  <w:tcBorders>
                                    <w:top w:val="nil"/>
                                    <w:left w:val="nil"/>
                                    <w:bottom w:val="single" w:sz="4" w:space="0" w:color="auto"/>
                                    <w:right w:val="single" w:sz="4" w:space="0" w:color="auto"/>
                                  </w:tcBorders>
                                  <w:noWrap/>
                                  <w:vAlign w:val="center"/>
                                  <w:hideMark/>
                                </w:tcPr>
                                <w:p w14:paraId="3FCA695D" w14:textId="77777777" w:rsidR="00406878" w:rsidRPr="00E56F12" w:rsidRDefault="00406878" w:rsidP="00381E04">
                                  <w:pPr>
                                    <w:spacing w:line="200" w:lineRule="exact"/>
                                    <w:jc w:val="right"/>
                                    <w:rPr>
                                      <w:rFonts w:ascii="標楷體" w:eastAsia="標楷體" w:hAnsi="標楷體"/>
                                      <w:b/>
                                      <w:bCs/>
                                      <w:sz w:val="20"/>
                                    </w:rPr>
                                  </w:pPr>
                                  <w:r w:rsidRPr="00E56F12">
                                    <w:rPr>
                                      <w:rFonts w:ascii="標楷體" w:eastAsia="標楷體" w:hAnsi="標楷體" w:hint="eastAsia"/>
                                      <w:b/>
                                      <w:bCs/>
                                      <w:sz w:val="20"/>
                                    </w:rPr>
                                    <w:t>23.16</w:t>
                                  </w:r>
                                </w:p>
                              </w:tc>
                            </w:tr>
                            <w:tr w:rsidR="00406878" w:rsidRPr="00E56F12" w14:paraId="5C910AFD"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4B5AD3F5" w14:textId="77777777" w:rsidR="00406878" w:rsidRPr="00E56F12" w:rsidRDefault="00406878" w:rsidP="0003214C">
                                  <w:pPr>
                                    <w:spacing w:line="200" w:lineRule="exact"/>
                                    <w:jc w:val="center"/>
                                    <w:rPr>
                                      <w:rFonts w:ascii="標楷體" w:eastAsia="標楷體" w:hAnsi="標楷體"/>
                                      <w:color w:val="000000"/>
                                      <w:sz w:val="20"/>
                                    </w:rPr>
                                  </w:pPr>
                                  <w:r w:rsidRPr="00E56F12">
                                    <w:rPr>
                                      <w:rFonts w:ascii="標楷體" w:eastAsia="標楷體" w:hAnsi="標楷體" w:hint="eastAsia"/>
                                      <w:color w:val="000000"/>
                                      <w:sz w:val="20"/>
                                    </w:rPr>
                                    <w:t>臺北市</w:t>
                                  </w:r>
                                </w:p>
                              </w:tc>
                              <w:tc>
                                <w:tcPr>
                                  <w:tcW w:w="680" w:type="dxa"/>
                                  <w:tcBorders>
                                    <w:top w:val="nil"/>
                                    <w:left w:val="nil"/>
                                    <w:bottom w:val="single" w:sz="4" w:space="0" w:color="auto"/>
                                    <w:right w:val="single" w:sz="4" w:space="0" w:color="auto"/>
                                  </w:tcBorders>
                                  <w:noWrap/>
                                  <w:vAlign w:val="center"/>
                                  <w:hideMark/>
                                </w:tcPr>
                                <w:p w14:paraId="76824ACC"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27</w:t>
                                  </w:r>
                                </w:p>
                              </w:tc>
                              <w:tc>
                                <w:tcPr>
                                  <w:tcW w:w="794" w:type="dxa"/>
                                  <w:tcBorders>
                                    <w:top w:val="nil"/>
                                    <w:left w:val="nil"/>
                                    <w:bottom w:val="single" w:sz="4" w:space="0" w:color="auto"/>
                                    <w:right w:val="single" w:sz="4" w:space="0" w:color="auto"/>
                                  </w:tcBorders>
                                  <w:noWrap/>
                                  <w:vAlign w:val="center"/>
                                  <w:hideMark/>
                                </w:tcPr>
                                <w:p w14:paraId="7F7C6A6B"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20,984</w:t>
                                  </w:r>
                                </w:p>
                              </w:tc>
                              <w:tc>
                                <w:tcPr>
                                  <w:tcW w:w="709" w:type="dxa"/>
                                  <w:tcBorders>
                                    <w:top w:val="nil"/>
                                    <w:left w:val="nil"/>
                                    <w:bottom w:val="single" w:sz="4" w:space="0" w:color="auto"/>
                                    <w:right w:val="single" w:sz="4" w:space="0" w:color="auto"/>
                                  </w:tcBorders>
                                  <w:noWrap/>
                                  <w:vAlign w:val="center"/>
                                  <w:hideMark/>
                                </w:tcPr>
                                <w:p w14:paraId="630B83E1"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16,710</w:t>
                                  </w:r>
                                </w:p>
                              </w:tc>
                              <w:tc>
                                <w:tcPr>
                                  <w:tcW w:w="709" w:type="dxa"/>
                                  <w:tcBorders>
                                    <w:top w:val="nil"/>
                                    <w:left w:val="nil"/>
                                    <w:bottom w:val="single" w:sz="4" w:space="0" w:color="auto"/>
                                    <w:right w:val="single" w:sz="4" w:space="0" w:color="auto"/>
                                  </w:tcBorders>
                                  <w:noWrap/>
                                  <w:vAlign w:val="center"/>
                                  <w:hideMark/>
                                </w:tcPr>
                                <w:p w14:paraId="4BCF3610"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79.63</w:t>
                                  </w:r>
                                </w:p>
                              </w:tc>
                              <w:tc>
                                <w:tcPr>
                                  <w:tcW w:w="709" w:type="dxa"/>
                                  <w:tcBorders>
                                    <w:top w:val="nil"/>
                                    <w:left w:val="nil"/>
                                    <w:bottom w:val="single" w:sz="4" w:space="0" w:color="auto"/>
                                    <w:right w:val="single" w:sz="4" w:space="0" w:color="auto"/>
                                  </w:tcBorders>
                                  <w:noWrap/>
                                  <w:vAlign w:val="center"/>
                                  <w:hideMark/>
                                </w:tcPr>
                                <w:p w14:paraId="6759F028"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4,274</w:t>
                                  </w:r>
                                </w:p>
                              </w:tc>
                              <w:tc>
                                <w:tcPr>
                                  <w:tcW w:w="708" w:type="dxa"/>
                                  <w:tcBorders>
                                    <w:top w:val="nil"/>
                                    <w:left w:val="nil"/>
                                    <w:bottom w:val="single" w:sz="4" w:space="0" w:color="auto"/>
                                    <w:right w:val="single" w:sz="4" w:space="0" w:color="auto"/>
                                  </w:tcBorders>
                                  <w:noWrap/>
                                  <w:vAlign w:val="center"/>
                                  <w:hideMark/>
                                </w:tcPr>
                                <w:p w14:paraId="005F2167"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20.37</w:t>
                                  </w:r>
                                </w:p>
                              </w:tc>
                            </w:tr>
                            <w:tr w:rsidR="00406878" w:rsidRPr="00E56F12" w14:paraId="1A6E2167"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435F69F2" w14:textId="77777777" w:rsidR="00406878" w:rsidRPr="00E56F12" w:rsidRDefault="00406878" w:rsidP="0003214C">
                                  <w:pPr>
                                    <w:spacing w:line="200" w:lineRule="exact"/>
                                    <w:jc w:val="center"/>
                                    <w:rPr>
                                      <w:rFonts w:ascii="標楷體" w:eastAsia="標楷體" w:hAnsi="標楷體"/>
                                      <w:color w:val="000000"/>
                                      <w:sz w:val="20"/>
                                    </w:rPr>
                                  </w:pPr>
                                  <w:r w:rsidRPr="00E56F12">
                                    <w:rPr>
                                      <w:rFonts w:ascii="標楷體" w:eastAsia="標楷體" w:hAnsi="標楷體" w:hint="eastAsia"/>
                                      <w:color w:val="000000"/>
                                      <w:sz w:val="20"/>
                                    </w:rPr>
                                    <w:t>新北市</w:t>
                                  </w:r>
                                </w:p>
                              </w:tc>
                              <w:tc>
                                <w:tcPr>
                                  <w:tcW w:w="680" w:type="dxa"/>
                                  <w:tcBorders>
                                    <w:top w:val="nil"/>
                                    <w:left w:val="nil"/>
                                    <w:bottom w:val="single" w:sz="4" w:space="0" w:color="auto"/>
                                    <w:right w:val="single" w:sz="4" w:space="0" w:color="auto"/>
                                  </w:tcBorders>
                                  <w:noWrap/>
                                  <w:vAlign w:val="center"/>
                                  <w:hideMark/>
                                </w:tcPr>
                                <w:p w14:paraId="3E704F91"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21</w:t>
                                  </w:r>
                                </w:p>
                              </w:tc>
                              <w:tc>
                                <w:tcPr>
                                  <w:tcW w:w="794" w:type="dxa"/>
                                  <w:tcBorders>
                                    <w:top w:val="nil"/>
                                    <w:left w:val="nil"/>
                                    <w:bottom w:val="single" w:sz="4" w:space="0" w:color="auto"/>
                                    <w:right w:val="single" w:sz="4" w:space="0" w:color="auto"/>
                                  </w:tcBorders>
                                  <w:noWrap/>
                                  <w:vAlign w:val="center"/>
                                  <w:hideMark/>
                                </w:tcPr>
                                <w:p w14:paraId="75A941AB"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9,943</w:t>
                                  </w:r>
                                </w:p>
                              </w:tc>
                              <w:tc>
                                <w:tcPr>
                                  <w:tcW w:w="709" w:type="dxa"/>
                                  <w:tcBorders>
                                    <w:top w:val="nil"/>
                                    <w:left w:val="nil"/>
                                    <w:bottom w:val="single" w:sz="4" w:space="0" w:color="auto"/>
                                    <w:right w:val="single" w:sz="4" w:space="0" w:color="auto"/>
                                  </w:tcBorders>
                                  <w:noWrap/>
                                  <w:vAlign w:val="center"/>
                                  <w:hideMark/>
                                </w:tcPr>
                                <w:p w14:paraId="79492EB6"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7,073</w:t>
                                  </w:r>
                                </w:p>
                              </w:tc>
                              <w:tc>
                                <w:tcPr>
                                  <w:tcW w:w="709" w:type="dxa"/>
                                  <w:tcBorders>
                                    <w:top w:val="nil"/>
                                    <w:left w:val="nil"/>
                                    <w:bottom w:val="single" w:sz="4" w:space="0" w:color="auto"/>
                                    <w:right w:val="single" w:sz="4" w:space="0" w:color="auto"/>
                                  </w:tcBorders>
                                  <w:noWrap/>
                                  <w:vAlign w:val="center"/>
                                  <w:hideMark/>
                                </w:tcPr>
                                <w:p w14:paraId="0791E40C"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71.14</w:t>
                                  </w:r>
                                </w:p>
                              </w:tc>
                              <w:tc>
                                <w:tcPr>
                                  <w:tcW w:w="709" w:type="dxa"/>
                                  <w:tcBorders>
                                    <w:top w:val="nil"/>
                                    <w:left w:val="nil"/>
                                    <w:bottom w:val="single" w:sz="4" w:space="0" w:color="auto"/>
                                    <w:right w:val="single" w:sz="4" w:space="0" w:color="auto"/>
                                  </w:tcBorders>
                                  <w:noWrap/>
                                  <w:vAlign w:val="center"/>
                                  <w:hideMark/>
                                </w:tcPr>
                                <w:p w14:paraId="02E65171"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2,870</w:t>
                                  </w:r>
                                </w:p>
                              </w:tc>
                              <w:tc>
                                <w:tcPr>
                                  <w:tcW w:w="708" w:type="dxa"/>
                                  <w:tcBorders>
                                    <w:top w:val="nil"/>
                                    <w:left w:val="nil"/>
                                    <w:bottom w:val="single" w:sz="4" w:space="0" w:color="auto"/>
                                    <w:right w:val="single" w:sz="4" w:space="0" w:color="auto"/>
                                  </w:tcBorders>
                                  <w:noWrap/>
                                  <w:vAlign w:val="center"/>
                                  <w:hideMark/>
                                </w:tcPr>
                                <w:p w14:paraId="58CF0E8D"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28.86</w:t>
                                  </w:r>
                                </w:p>
                              </w:tc>
                            </w:tr>
                            <w:tr w:rsidR="00406878" w:rsidRPr="00E56F12" w14:paraId="0D26CEA0"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0E041F4C" w14:textId="77777777" w:rsidR="00406878" w:rsidRPr="00E56F12" w:rsidRDefault="00406878" w:rsidP="0003214C">
                                  <w:pPr>
                                    <w:spacing w:line="200" w:lineRule="exact"/>
                                    <w:jc w:val="center"/>
                                    <w:rPr>
                                      <w:rFonts w:ascii="標楷體" w:eastAsia="標楷體" w:hAnsi="標楷體"/>
                                      <w:color w:val="000000"/>
                                      <w:sz w:val="20"/>
                                    </w:rPr>
                                  </w:pPr>
                                  <w:r w:rsidRPr="00E56F12">
                                    <w:rPr>
                                      <w:rFonts w:ascii="標楷體" w:eastAsia="標楷體" w:hAnsi="標楷體" w:hint="eastAsia"/>
                                      <w:color w:val="000000"/>
                                      <w:sz w:val="20"/>
                                    </w:rPr>
                                    <w:t>桃園市</w:t>
                                  </w:r>
                                </w:p>
                              </w:tc>
                              <w:tc>
                                <w:tcPr>
                                  <w:tcW w:w="680" w:type="dxa"/>
                                  <w:tcBorders>
                                    <w:top w:val="nil"/>
                                    <w:left w:val="nil"/>
                                    <w:bottom w:val="single" w:sz="4" w:space="0" w:color="auto"/>
                                    <w:right w:val="single" w:sz="4" w:space="0" w:color="auto"/>
                                  </w:tcBorders>
                                  <w:noWrap/>
                                  <w:vAlign w:val="center"/>
                                  <w:hideMark/>
                                </w:tcPr>
                                <w:p w14:paraId="4F3166E6"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6</w:t>
                                  </w:r>
                                </w:p>
                              </w:tc>
                              <w:tc>
                                <w:tcPr>
                                  <w:tcW w:w="794" w:type="dxa"/>
                                  <w:tcBorders>
                                    <w:top w:val="nil"/>
                                    <w:left w:val="nil"/>
                                    <w:bottom w:val="single" w:sz="4" w:space="0" w:color="auto"/>
                                    <w:right w:val="single" w:sz="4" w:space="0" w:color="auto"/>
                                  </w:tcBorders>
                                  <w:noWrap/>
                                  <w:vAlign w:val="center"/>
                                  <w:hideMark/>
                                </w:tcPr>
                                <w:p w14:paraId="3545598D"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1,172</w:t>
                                  </w:r>
                                </w:p>
                              </w:tc>
                              <w:tc>
                                <w:tcPr>
                                  <w:tcW w:w="709" w:type="dxa"/>
                                  <w:tcBorders>
                                    <w:top w:val="nil"/>
                                    <w:left w:val="nil"/>
                                    <w:bottom w:val="single" w:sz="4" w:space="0" w:color="auto"/>
                                    <w:right w:val="single" w:sz="4" w:space="0" w:color="auto"/>
                                  </w:tcBorders>
                                  <w:noWrap/>
                                  <w:vAlign w:val="center"/>
                                  <w:hideMark/>
                                </w:tcPr>
                                <w:p w14:paraId="40894173"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819</w:t>
                                  </w:r>
                                </w:p>
                              </w:tc>
                              <w:tc>
                                <w:tcPr>
                                  <w:tcW w:w="709" w:type="dxa"/>
                                  <w:tcBorders>
                                    <w:top w:val="nil"/>
                                    <w:left w:val="nil"/>
                                    <w:bottom w:val="single" w:sz="4" w:space="0" w:color="auto"/>
                                    <w:right w:val="single" w:sz="4" w:space="0" w:color="auto"/>
                                  </w:tcBorders>
                                  <w:noWrap/>
                                  <w:vAlign w:val="center"/>
                                  <w:hideMark/>
                                </w:tcPr>
                                <w:p w14:paraId="6CA0C0B3"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69.88</w:t>
                                  </w:r>
                                </w:p>
                              </w:tc>
                              <w:tc>
                                <w:tcPr>
                                  <w:tcW w:w="709" w:type="dxa"/>
                                  <w:tcBorders>
                                    <w:top w:val="nil"/>
                                    <w:left w:val="nil"/>
                                    <w:bottom w:val="single" w:sz="4" w:space="0" w:color="auto"/>
                                    <w:right w:val="single" w:sz="4" w:space="0" w:color="auto"/>
                                  </w:tcBorders>
                                  <w:noWrap/>
                                  <w:vAlign w:val="center"/>
                                  <w:hideMark/>
                                </w:tcPr>
                                <w:p w14:paraId="6E0D90C1"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353</w:t>
                                  </w:r>
                                </w:p>
                              </w:tc>
                              <w:tc>
                                <w:tcPr>
                                  <w:tcW w:w="708" w:type="dxa"/>
                                  <w:tcBorders>
                                    <w:top w:val="nil"/>
                                    <w:left w:val="nil"/>
                                    <w:bottom w:val="single" w:sz="4" w:space="0" w:color="auto"/>
                                    <w:right w:val="single" w:sz="4" w:space="0" w:color="auto"/>
                                  </w:tcBorders>
                                  <w:noWrap/>
                                  <w:vAlign w:val="center"/>
                                  <w:hideMark/>
                                </w:tcPr>
                                <w:p w14:paraId="19773487"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30.12</w:t>
                                  </w:r>
                                </w:p>
                              </w:tc>
                            </w:tr>
                            <w:tr w:rsidR="00406878" w:rsidRPr="00E56F12" w14:paraId="6CAC32C2"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24D190B7" w14:textId="77777777" w:rsidR="00406878" w:rsidRPr="00E56F12" w:rsidRDefault="00406878" w:rsidP="0003214C">
                                  <w:pPr>
                                    <w:spacing w:line="200" w:lineRule="exact"/>
                                    <w:jc w:val="center"/>
                                    <w:rPr>
                                      <w:rFonts w:ascii="標楷體" w:eastAsia="標楷體" w:hAnsi="標楷體"/>
                                      <w:color w:val="000000"/>
                                      <w:sz w:val="20"/>
                                    </w:rPr>
                                  </w:pPr>
                                  <w:r w:rsidRPr="00E56F12">
                                    <w:rPr>
                                      <w:rFonts w:ascii="標楷體" w:eastAsia="標楷體" w:hAnsi="標楷體" w:hint="eastAsia"/>
                                      <w:color w:val="000000"/>
                                      <w:sz w:val="20"/>
                                    </w:rPr>
                                    <w:t>新竹縣</w:t>
                                  </w:r>
                                </w:p>
                              </w:tc>
                              <w:tc>
                                <w:tcPr>
                                  <w:tcW w:w="680" w:type="dxa"/>
                                  <w:tcBorders>
                                    <w:top w:val="nil"/>
                                    <w:left w:val="nil"/>
                                    <w:bottom w:val="single" w:sz="4" w:space="0" w:color="auto"/>
                                    <w:right w:val="single" w:sz="4" w:space="0" w:color="auto"/>
                                  </w:tcBorders>
                                  <w:noWrap/>
                                  <w:vAlign w:val="center"/>
                                  <w:hideMark/>
                                </w:tcPr>
                                <w:p w14:paraId="16A985FD"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2</w:t>
                                  </w:r>
                                </w:p>
                              </w:tc>
                              <w:tc>
                                <w:tcPr>
                                  <w:tcW w:w="794" w:type="dxa"/>
                                  <w:tcBorders>
                                    <w:top w:val="nil"/>
                                    <w:left w:val="nil"/>
                                    <w:bottom w:val="single" w:sz="4" w:space="0" w:color="auto"/>
                                    <w:right w:val="single" w:sz="4" w:space="0" w:color="auto"/>
                                  </w:tcBorders>
                                  <w:noWrap/>
                                  <w:vAlign w:val="center"/>
                                  <w:hideMark/>
                                </w:tcPr>
                                <w:p w14:paraId="0085F5A8"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426</w:t>
                                  </w:r>
                                </w:p>
                              </w:tc>
                              <w:tc>
                                <w:tcPr>
                                  <w:tcW w:w="709" w:type="dxa"/>
                                  <w:tcBorders>
                                    <w:top w:val="nil"/>
                                    <w:left w:val="nil"/>
                                    <w:bottom w:val="single" w:sz="4" w:space="0" w:color="auto"/>
                                    <w:right w:val="single" w:sz="4" w:space="0" w:color="auto"/>
                                  </w:tcBorders>
                                  <w:noWrap/>
                                  <w:vAlign w:val="center"/>
                                  <w:hideMark/>
                                </w:tcPr>
                                <w:p w14:paraId="2E2DF118"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334</w:t>
                                  </w:r>
                                </w:p>
                              </w:tc>
                              <w:tc>
                                <w:tcPr>
                                  <w:tcW w:w="709" w:type="dxa"/>
                                  <w:tcBorders>
                                    <w:top w:val="nil"/>
                                    <w:left w:val="nil"/>
                                    <w:bottom w:val="single" w:sz="4" w:space="0" w:color="auto"/>
                                    <w:right w:val="single" w:sz="4" w:space="0" w:color="auto"/>
                                  </w:tcBorders>
                                  <w:noWrap/>
                                  <w:vAlign w:val="center"/>
                                  <w:hideMark/>
                                </w:tcPr>
                                <w:p w14:paraId="3386EF00"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78.40</w:t>
                                  </w:r>
                                </w:p>
                              </w:tc>
                              <w:tc>
                                <w:tcPr>
                                  <w:tcW w:w="709" w:type="dxa"/>
                                  <w:tcBorders>
                                    <w:top w:val="nil"/>
                                    <w:left w:val="nil"/>
                                    <w:bottom w:val="single" w:sz="4" w:space="0" w:color="auto"/>
                                    <w:right w:val="single" w:sz="4" w:space="0" w:color="auto"/>
                                  </w:tcBorders>
                                  <w:noWrap/>
                                  <w:vAlign w:val="center"/>
                                  <w:hideMark/>
                                </w:tcPr>
                                <w:p w14:paraId="5A8BAAB4"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92</w:t>
                                  </w:r>
                                </w:p>
                              </w:tc>
                              <w:tc>
                                <w:tcPr>
                                  <w:tcW w:w="708" w:type="dxa"/>
                                  <w:tcBorders>
                                    <w:top w:val="nil"/>
                                    <w:left w:val="nil"/>
                                    <w:bottom w:val="single" w:sz="4" w:space="0" w:color="auto"/>
                                    <w:right w:val="single" w:sz="4" w:space="0" w:color="auto"/>
                                  </w:tcBorders>
                                  <w:noWrap/>
                                  <w:vAlign w:val="center"/>
                                  <w:hideMark/>
                                </w:tcPr>
                                <w:p w14:paraId="3B209977"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21.60</w:t>
                                  </w:r>
                                </w:p>
                              </w:tc>
                            </w:tr>
                            <w:tr w:rsidR="00406878" w:rsidRPr="00E56F12" w14:paraId="0495E5BB"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25243616" w14:textId="77777777" w:rsidR="00406878" w:rsidRPr="00E56F12" w:rsidRDefault="00406878" w:rsidP="0003214C">
                                  <w:pPr>
                                    <w:spacing w:line="200" w:lineRule="exact"/>
                                    <w:jc w:val="center"/>
                                    <w:rPr>
                                      <w:rFonts w:ascii="標楷體" w:eastAsia="標楷體" w:hAnsi="標楷體"/>
                                      <w:color w:val="000000"/>
                                      <w:sz w:val="20"/>
                                    </w:rPr>
                                  </w:pPr>
                                  <w:r w:rsidRPr="00E56F12">
                                    <w:rPr>
                                      <w:rFonts w:ascii="標楷體" w:eastAsia="標楷體" w:hAnsi="標楷體" w:hint="eastAsia"/>
                                      <w:color w:val="000000"/>
                                      <w:sz w:val="20"/>
                                    </w:rPr>
                                    <w:t>宜蘭縣</w:t>
                                  </w:r>
                                </w:p>
                              </w:tc>
                              <w:tc>
                                <w:tcPr>
                                  <w:tcW w:w="680" w:type="dxa"/>
                                  <w:tcBorders>
                                    <w:top w:val="nil"/>
                                    <w:left w:val="nil"/>
                                    <w:bottom w:val="single" w:sz="4" w:space="0" w:color="auto"/>
                                    <w:right w:val="single" w:sz="4" w:space="0" w:color="auto"/>
                                  </w:tcBorders>
                                  <w:noWrap/>
                                  <w:vAlign w:val="center"/>
                                  <w:hideMark/>
                                </w:tcPr>
                                <w:p w14:paraId="793BBC56"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4</w:t>
                                  </w:r>
                                </w:p>
                              </w:tc>
                              <w:tc>
                                <w:tcPr>
                                  <w:tcW w:w="794" w:type="dxa"/>
                                  <w:tcBorders>
                                    <w:top w:val="nil"/>
                                    <w:left w:val="nil"/>
                                    <w:bottom w:val="single" w:sz="4" w:space="0" w:color="auto"/>
                                    <w:right w:val="single" w:sz="4" w:space="0" w:color="auto"/>
                                  </w:tcBorders>
                                  <w:noWrap/>
                                  <w:vAlign w:val="center"/>
                                  <w:hideMark/>
                                </w:tcPr>
                                <w:p w14:paraId="03B520FD"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1,688</w:t>
                                  </w:r>
                                </w:p>
                              </w:tc>
                              <w:tc>
                                <w:tcPr>
                                  <w:tcW w:w="709" w:type="dxa"/>
                                  <w:tcBorders>
                                    <w:top w:val="nil"/>
                                    <w:left w:val="nil"/>
                                    <w:bottom w:val="single" w:sz="4" w:space="0" w:color="auto"/>
                                    <w:right w:val="single" w:sz="4" w:space="0" w:color="auto"/>
                                  </w:tcBorders>
                                  <w:noWrap/>
                                  <w:vAlign w:val="center"/>
                                  <w:hideMark/>
                                </w:tcPr>
                                <w:p w14:paraId="56BF3332"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1,359</w:t>
                                  </w:r>
                                </w:p>
                              </w:tc>
                              <w:tc>
                                <w:tcPr>
                                  <w:tcW w:w="709" w:type="dxa"/>
                                  <w:tcBorders>
                                    <w:top w:val="nil"/>
                                    <w:left w:val="nil"/>
                                    <w:bottom w:val="single" w:sz="4" w:space="0" w:color="auto"/>
                                    <w:right w:val="single" w:sz="4" w:space="0" w:color="auto"/>
                                  </w:tcBorders>
                                  <w:noWrap/>
                                  <w:vAlign w:val="center"/>
                                  <w:hideMark/>
                                </w:tcPr>
                                <w:p w14:paraId="001BE23B"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80.51</w:t>
                                  </w:r>
                                </w:p>
                              </w:tc>
                              <w:tc>
                                <w:tcPr>
                                  <w:tcW w:w="709" w:type="dxa"/>
                                  <w:tcBorders>
                                    <w:top w:val="nil"/>
                                    <w:left w:val="nil"/>
                                    <w:bottom w:val="single" w:sz="4" w:space="0" w:color="auto"/>
                                    <w:right w:val="single" w:sz="4" w:space="0" w:color="auto"/>
                                  </w:tcBorders>
                                  <w:noWrap/>
                                  <w:vAlign w:val="center"/>
                                  <w:hideMark/>
                                </w:tcPr>
                                <w:p w14:paraId="48C29579"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329</w:t>
                                  </w:r>
                                </w:p>
                              </w:tc>
                              <w:tc>
                                <w:tcPr>
                                  <w:tcW w:w="708" w:type="dxa"/>
                                  <w:tcBorders>
                                    <w:top w:val="nil"/>
                                    <w:left w:val="nil"/>
                                    <w:bottom w:val="single" w:sz="4" w:space="0" w:color="auto"/>
                                    <w:right w:val="single" w:sz="4" w:space="0" w:color="auto"/>
                                  </w:tcBorders>
                                  <w:noWrap/>
                                  <w:vAlign w:val="center"/>
                                  <w:hideMark/>
                                </w:tcPr>
                                <w:p w14:paraId="6BED2AF5"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19.49</w:t>
                                  </w:r>
                                </w:p>
                              </w:tc>
                            </w:tr>
                            <w:tr w:rsidR="00406878" w:rsidRPr="00E56F12" w14:paraId="75C48051"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059AD9A1" w14:textId="77777777" w:rsidR="00406878" w:rsidRPr="00E56F12" w:rsidRDefault="00406878" w:rsidP="0003214C">
                                  <w:pPr>
                                    <w:spacing w:line="200" w:lineRule="exact"/>
                                    <w:jc w:val="center"/>
                                    <w:rPr>
                                      <w:rFonts w:ascii="標楷體" w:eastAsia="標楷體" w:hAnsi="標楷體"/>
                                      <w:color w:val="000000"/>
                                      <w:sz w:val="20"/>
                                    </w:rPr>
                                  </w:pPr>
                                  <w:proofErr w:type="gramStart"/>
                                  <w:r w:rsidRPr="00E56F12">
                                    <w:rPr>
                                      <w:rFonts w:ascii="標楷體" w:eastAsia="標楷體" w:hAnsi="標楷體" w:hint="eastAsia"/>
                                      <w:color w:val="000000"/>
                                      <w:sz w:val="20"/>
                                    </w:rPr>
                                    <w:t>臺</w:t>
                                  </w:r>
                                  <w:proofErr w:type="gramEnd"/>
                                  <w:r w:rsidRPr="00E56F12">
                                    <w:rPr>
                                      <w:rFonts w:ascii="標楷體" w:eastAsia="標楷體" w:hAnsi="標楷體" w:hint="eastAsia"/>
                                      <w:color w:val="000000"/>
                                      <w:sz w:val="20"/>
                                    </w:rPr>
                                    <w:t>中市</w:t>
                                  </w:r>
                                </w:p>
                              </w:tc>
                              <w:tc>
                                <w:tcPr>
                                  <w:tcW w:w="680" w:type="dxa"/>
                                  <w:tcBorders>
                                    <w:top w:val="nil"/>
                                    <w:left w:val="nil"/>
                                    <w:bottom w:val="single" w:sz="4" w:space="0" w:color="auto"/>
                                    <w:right w:val="single" w:sz="4" w:space="0" w:color="auto"/>
                                  </w:tcBorders>
                                  <w:noWrap/>
                                  <w:vAlign w:val="center"/>
                                  <w:hideMark/>
                                </w:tcPr>
                                <w:p w14:paraId="209BACCA"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1</w:t>
                                  </w:r>
                                </w:p>
                              </w:tc>
                              <w:tc>
                                <w:tcPr>
                                  <w:tcW w:w="794" w:type="dxa"/>
                                  <w:tcBorders>
                                    <w:top w:val="nil"/>
                                    <w:left w:val="nil"/>
                                    <w:bottom w:val="single" w:sz="4" w:space="0" w:color="auto"/>
                                    <w:right w:val="single" w:sz="4" w:space="0" w:color="auto"/>
                                  </w:tcBorders>
                                  <w:noWrap/>
                                  <w:vAlign w:val="center"/>
                                  <w:hideMark/>
                                </w:tcPr>
                                <w:p w14:paraId="0F4076CF"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281</w:t>
                                  </w:r>
                                </w:p>
                              </w:tc>
                              <w:tc>
                                <w:tcPr>
                                  <w:tcW w:w="709" w:type="dxa"/>
                                  <w:tcBorders>
                                    <w:top w:val="nil"/>
                                    <w:left w:val="nil"/>
                                    <w:bottom w:val="single" w:sz="4" w:space="0" w:color="auto"/>
                                    <w:right w:val="single" w:sz="4" w:space="0" w:color="auto"/>
                                  </w:tcBorders>
                                  <w:shd w:val="clear" w:color="auto" w:fill="FFFFFF"/>
                                  <w:vAlign w:val="center"/>
                                  <w:hideMark/>
                                </w:tcPr>
                                <w:p w14:paraId="371AAA3B"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211</w:t>
                                  </w:r>
                                </w:p>
                              </w:tc>
                              <w:tc>
                                <w:tcPr>
                                  <w:tcW w:w="709" w:type="dxa"/>
                                  <w:tcBorders>
                                    <w:top w:val="nil"/>
                                    <w:left w:val="nil"/>
                                    <w:bottom w:val="single" w:sz="4" w:space="0" w:color="auto"/>
                                    <w:right w:val="single" w:sz="4" w:space="0" w:color="auto"/>
                                  </w:tcBorders>
                                  <w:noWrap/>
                                  <w:vAlign w:val="center"/>
                                  <w:hideMark/>
                                </w:tcPr>
                                <w:p w14:paraId="15017AC5"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75.09</w:t>
                                  </w:r>
                                </w:p>
                              </w:tc>
                              <w:tc>
                                <w:tcPr>
                                  <w:tcW w:w="709" w:type="dxa"/>
                                  <w:tcBorders>
                                    <w:top w:val="nil"/>
                                    <w:left w:val="nil"/>
                                    <w:bottom w:val="single" w:sz="4" w:space="0" w:color="auto"/>
                                    <w:right w:val="single" w:sz="4" w:space="0" w:color="auto"/>
                                  </w:tcBorders>
                                  <w:noWrap/>
                                  <w:vAlign w:val="center"/>
                                  <w:hideMark/>
                                </w:tcPr>
                                <w:p w14:paraId="74CF892B"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70</w:t>
                                  </w:r>
                                </w:p>
                              </w:tc>
                              <w:tc>
                                <w:tcPr>
                                  <w:tcW w:w="708" w:type="dxa"/>
                                  <w:tcBorders>
                                    <w:top w:val="nil"/>
                                    <w:left w:val="nil"/>
                                    <w:bottom w:val="single" w:sz="4" w:space="0" w:color="auto"/>
                                    <w:right w:val="single" w:sz="4" w:space="0" w:color="auto"/>
                                  </w:tcBorders>
                                  <w:noWrap/>
                                  <w:vAlign w:val="center"/>
                                  <w:hideMark/>
                                </w:tcPr>
                                <w:p w14:paraId="58CE19E6"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24.91</w:t>
                                  </w:r>
                                </w:p>
                              </w:tc>
                            </w:tr>
                            <w:tr w:rsidR="00406878" w:rsidRPr="00E56F12" w14:paraId="296589BB" w14:textId="77777777" w:rsidTr="00390F13">
                              <w:trPr>
                                <w:trHeight w:val="20"/>
                              </w:trPr>
                              <w:tc>
                                <w:tcPr>
                                  <w:tcW w:w="5046" w:type="dxa"/>
                                  <w:gridSpan w:val="7"/>
                                  <w:tcBorders>
                                    <w:top w:val="single" w:sz="4" w:space="0" w:color="auto"/>
                                    <w:left w:val="nil"/>
                                    <w:bottom w:val="nil"/>
                                    <w:right w:val="nil"/>
                                  </w:tcBorders>
                                  <w:noWrap/>
                                  <w:vAlign w:val="center"/>
                                  <w:hideMark/>
                                </w:tcPr>
                                <w:p w14:paraId="0E7B959F" w14:textId="77777777" w:rsidR="00406878" w:rsidRPr="00E56F12" w:rsidRDefault="00406878" w:rsidP="00381E04">
                                  <w:pPr>
                                    <w:autoSpaceDN w:val="0"/>
                                    <w:spacing w:line="180" w:lineRule="exact"/>
                                    <w:ind w:left="522" w:hangingChars="290" w:hanging="522"/>
                                    <w:jc w:val="both"/>
                                    <w:rPr>
                                      <w:rFonts w:ascii="標楷體" w:eastAsia="標楷體" w:hAnsi="標楷體"/>
                                      <w:color w:val="000000"/>
                                      <w:sz w:val="18"/>
                                    </w:rPr>
                                  </w:pPr>
                                  <w:proofErr w:type="gramStart"/>
                                  <w:r w:rsidRPr="00E56F12">
                                    <w:rPr>
                                      <w:rFonts w:ascii="標楷體" w:eastAsia="標楷體" w:hAnsi="標楷體" w:hint="eastAsia"/>
                                      <w:color w:val="000000"/>
                                      <w:sz w:val="18"/>
                                    </w:rPr>
                                    <w:t>註</w:t>
                                  </w:r>
                                  <w:proofErr w:type="gramEnd"/>
                                  <w:r w:rsidRPr="00E56F12">
                                    <w:rPr>
                                      <w:rFonts w:ascii="標楷體" w:eastAsia="標楷體" w:hAnsi="標楷體" w:hint="eastAsia"/>
                                      <w:color w:val="000000"/>
                                      <w:sz w:val="18"/>
                                    </w:rPr>
                                    <w:t>：1.因每位參賽選手最多可選擇於3個運動種類內，報名7個運動項目，故本表參賽人次有大於報名人數25,938人情事。</w:t>
                                  </w:r>
                                </w:p>
                                <w:p w14:paraId="3627A158" w14:textId="77777777" w:rsidR="00406878" w:rsidRPr="00E56F12" w:rsidRDefault="00406878" w:rsidP="00381E04">
                                  <w:pPr>
                                    <w:spacing w:line="180" w:lineRule="exact"/>
                                    <w:ind w:leftChars="135" w:left="324"/>
                                    <w:rPr>
                                      <w:rFonts w:ascii="標楷體" w:eastAsia="標楷體" w:hAnsi="標楷體"/>
                                      <w:color w:val="000000"/>
                                    </w:rPr>
                                  </w:pPr>
                                  <w:r w:rsidRPr="00E56F12">
                                    <w:rPr>
                                      <w:rFonts w:ascii="標楷體" w:eastAsia="標楷體" w:hAnsi="標楷體" w:hint="eastAsia"/>
                                      <w:color w:val="000000"/>
                                      <w:sz w:val="18"/>
                                    </w:rPr>
                                    <w:t>2.資料來源：整理自</w:t>
                                  </w:r>
                                  <w:r>
                                    <w:rPr>
                                      <w:rFonts w:ascii="標楷體" w:eastAsia="標楷體" w:hAnsi="標楷體" w:hint="eastAsia"/>
                                      <w:color w:val="000000"/>
                                      <w:sz w:val="18"/>
                                    </w:rPr>
                                    <w:t>體育</w:t>
                                  </w:r>
                                  <w:r w:rsidRPr="00E56F12">
                                    <w:rPr>
                                      <w:rFonts w:ascii="標楷體" w:eastAsia="標楷體" w:hAnsi="標楷體" w:hint="eastAsia"/>
                                      <w:color w:val="000000"/>
                                      <w:sz w:val="18"/>
                                    </w:rPr>
                                    <w:t>局提供資料。</w:t>
                                  </w:r>
                                </w:p>
                              </w:tc>
                            </w:tr>
                          </w:tbl>
                          <w:p w14:paraId="37619FD4" w14:textId="77777777" w:rsidR="00406878" w:rsidRPr="00E56F12" w:rsidRDefault="00406878" w:rsidP="00406878">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46A5C" id="文字方塊 75" o:spid="_x0000_s1152" type="#_x0000_t202" style="position:absolute;left:0;text-align:left;margin-left:241.65pt;margin-top:418.4pt;width:255.1pt;height:153.05pt;z-index:-251497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" stroked="f">
                <v:textbox>
                  <w:txbxContent>
                    <w:tbl>
                      <w:tblPr>
                        <w:tblW w:w="5046" w:type="dxa"/>
                        <w:tblInd w:w="-142" w:type="dxa"/>
                        <w:tblCellMar>
                          <w:left w:w="28" w:type="dxa"/>
                          <w:right w:w="28" w:type="dxa"/>
                        </w:tblCellMar>
                        <w:tblLook w:val="04A0" w:firstRow="1" w:lastRow="0" w:firstColumn="1" w:lastColumn="0" w:noHBand="0" w:noVBand="1"/>
                      </w:tblPr>
                      <w:tblGrid>
                        <w:gridCol w:w="737"/>
                        <w:gridCol w:w="680"/>
                        <w:gridCol w:w="794"/>
                        <w:gridCol w:w="709"/>
                        <w:gridCol w:w="709"/>
                        <w:gridCol w:w="709"/>
                        <w:gridCol w:w="708"/>
                      </w:tblGrid>
                      <w:tr w:rsidR="00406878" w:rsidRPr="00E56F12" w14:paraId="7B72C560" w14:textId="77777777" w:rsidTr="0027621D">
                        <w:trPr>
                          <w:trHeight w:val="323"/>
                        </w:trPr>
                        <w:tc>
                          <w:tcPr>
                            <w:tcW w:w="5046" w:type="dxa"/>
                            <w:gridSpan w:val="7"/>
                            <w:tcBorders>
                              <w:top w:val="nil"/>
                              <w:left w:val="nil"/>
                              <w:bottom w:val="single" w:sz="4" w:space="0" w:color="auto"/>
                              <w:right w:val="nil"/>
                            </w:tcBorders>
                            <w:noWrap/>
                            <w:vAlign w:val="center"/>
                            <w:hideMark/>
                          </w:tcPr>
                          <w:p w14:paraId="58962132" w14:textId="77777777" w:rsidR="00406878" w:rsidRPr="00E56F12" w:rsidRDefault="00406878" w:rsidP="00381E04">
                            <w:pPr>
                              <w:spacing w:line="240" w:lineRule="exact"/>
                              <w:ind w:leftChars="-30" w:left="-72" w:rightChars="-30" w:right="-72"/>
                              <w:jc w:val="center"/>
                              <w:rPr>
                                <w:rFonts w:ascii="標楷體" w:eastAsia="標楷體" w:hAnsi="標楷體" w:cs="新細明體"/>
                                <w:b/>
                                <w:color w:val="000000"/>
                                <w:spacing w:val="-6"/>
                                <w:szCs w:val="24"/>
                              </w:rPr>
                            </w:pPr>
                            <w:r w:rsidRPr="00E56F12">
                              <w:rPr>
                                <w:rFonts w:ascii="標楷體" w:eastAsia="標楷體" w:hAnsi="標楷體" w:hint="eastAsia"/>
                                <w:b/>
                                <w:color w:val="000000"/>
                                <w:spacing w:val="-6"/>
                                <w:szCs w:val="24"/>
                              </w:rPr>
                              <w:t>表</w:t>
                            </w:r>
                            <w:r>
                              <w:rPr>
                                <w:rFonts w:ascii="標楷體" w:eastAsia="標楷體" w:hAnsi="標楷體" w:hint="eastAsia"/>
                                <w:b/>
                                <w:color w:val="000000"/>
                                <w:spacing w:val="-6"/>
                                <w:szCs w:val="24"/>
                              </w:rPr>
                              <w:t>2</w:t>
                            </w:r>
                            <w:r w:rsidRPr="00E56F12">
                              <w:rPr>
                                <w:rFonts w:ascii="標楷體" w:eastAsia="標楷體" w:hAnsi="標楷體" w:hint="eastAsia"/>
                                <w:b/>
                                <w:color w:val="000000"/>
                                <w:spacing w:val="-6"/>
                                <w:szCs w:val="24"/>
                              </w:rPr>
                              <w:t xml:space="preserve">  2025</w:t>
                            </w:r>
                            <w:proofErr w:type="gramStart"/>
                            <w:r w:rsidRPr="00E56F12">
                              <w:rPr>
                                <w:rFonts w:ascii="標楷體" w:eastAsia="標楷體" w:hAnsi="標楷體" w:hint="eastAsia"/>
                                <w:b/>
                                <w:color w:val="000000"/>
                                <w:spacing w:val="-6"/>
                                <w:szCs w:val="24"/>
                              </w:rPr>
                              <w:t>世壯運</w:t>
                            </w:r>
                            <w:proofErr w:type="gramEnd"/>
                            <w:r w:rsidRPr="00E56F12">
                              <w:rPr>
                                <w:rFonts w:ascii="標楷體" w:eastAsia="標楷體" w:hAnsi="標楷體" w:hint="eastAsia"/>
                                <w:b/>
                                <w:color w:val="000000"/>
                                <w:spacing w:val="-6"/>
                                <w:szCs w:val="24"/>
                              </w:rPr>
                              <w:t>各市縣場館國內外選手參賽情形</w:t>
                            </w:r>
                          </w:p>
                          <w:p w14:paraId="12846065" w14:textId="77777777" w:rsidR="00406878" w:rsidRPr="00E56F12" w:rsidRDefault="00406878" w:rsidP="00232C3B">
                            <w:pPr>
                              <w:spacing w:line="220" w:lineRule="exact"/>
                              <w:jc w:val="right"/>
                              <w:rPr>
                                <w:rFonts w:ascii="標楷體" w:eastAsia="標楷體" w:hAnsi="標楷體"/>
                                <w:color w:val="000000"/>
                              </w:rPr>
                            </w:pPr>
                            <w:r w:rsidRPr="00E56F12">
                              <w:rPr>
                                <w:rFonts w:ascii="標楷體" w:eastAsia="標楷體" w:hAnsi="標楷體" w:hint="eastAsia"/>
                                <w:color w:val="000000"/>
                                <w:sz w:val="20"/>
                              </w:rPr>
                              <w:t>單位：處、</w:t>
                            </w:r>
                            <w:proofErr w:type="gramStart"/>
                            <w:r w:rsidRPr="00E56F12">
                              <w:rPr>
                                <w:rFonts w:ascii="標楷體" w:eastAsia="標楷體" w:hAnsi="標楷體" w:hint="eastAsia"/>
                                <w:color w:val="000000"/>
                                <w:sz w:val="20"/>
                              </w:rPr>
                              <w:t>人次、</w:t>
                            </w:r>
                            <w:proofErr w:type="gramEnd"/>
                            <w:r w:rsidRPr="00E56F12">
                              <w:rPr>
                                <w:rFonts w:ascii="標楷體" w:eastAsia="標楷體" w:hAnsi="標楷體" w:hint="eastAsia"/>
                                <w:color w:val="000000"/>
                                <w:sz w:val="20"/>
                              </w:rPr>
                              <w:t>％</w:t>
                            </w:r>
                          </w:p>
                        </w:tc>
                      </w:tr>
                      <w:tr w:rsidR="00406878" w:rsidRPr="00E56F12" w14:paraId="79C2495E" w14:textId="77777777" w:rsidTr="0003214C">
                        <w:trPr>
                          <w:trHeight w:val="77"/>
                        </w:trPr>
                        <w:tc>
                          <w:tcPr>
                            <w:tcW w:w="737" w:type="dxa"/>
                            <w:vMerge w:val="restart"/>
                            <w:tcBorders>
                              <w:top w:val="nil"/>
                              <w:left w:val="single" w:sz="4" w:space="0" w:color="auto"/>
                              <w:bottom w:val="single" w:sz="4" w:space="0" w:color="auto"/>
                              <w:right w:val="single" w:sz="4" w:space="0" w:color="auto"/>
                            </w:tcBorders>
                            <w:noWrap/>
                            <w:vAlign w:val="center"/>
                            <w:hideMark/>
                          </w:tcPr>
                          <w:p w14:paraId="7D0AE709" w14:textId="77777777" w:rsidR="00406878" w:rsidRPr="00E56F12" w:rsidRDefault="00406878" w:rsidP="0003214C">
                            <w:pPr>
                              <w:spacing w:line="200" w:lineRule="exact"/>
                              <w:jc w:val="center"/>
                              <w:rPr>
                                <w:rFonts w:ascii="標楷體" w:eastAsia="標楷體" w:hAnsi="標楷體"/>
                                <w:color w:val="000000"/>
                                <w:sz w:val="20"/>
                              </w:rPr>
                            </w:pPr>
                            <w:proofErr w:type="gramStart"/>
                            <w:r w:rsidRPr="00E56F12">
                              <w:rPr>
                                <w:rFonts w:ascii="標楷體" w:eastAsia="標楷體" w:hAnsi="標楷體" w:hint="eastAsia"/>
                                <w:color w:val="000000"/>
                                <w:sz w:val="20"/>
                              </w:rPr>
                              <w:t>市縣別</w:t>
                            </w:r>
                            <w:proofErr w:type="gramEnd"/>
                          </w:p>
                        </w:tc>
                        <w:tc>
                          <w:tcPr>
                            <w:tcW w:w="680" w:type="dxa"/>
                            <w:vMerge w:val="restart"/>
                            <w:tcBorders>
                              <w:top w:val="nil"/>
                              <w:left w:val="single" w:sz="4" w:space="0" w:color="auto"/>
                              <w:bottom w:val="single" w:sz="4" w:space="0" w:color="auto"/>
                              <w:right w:val="single" w:sz="4" w:space="0" w:color="auto"/>
                            </w:tcBorders>
                            <w:noWrap/>
                            <w:vAlign w:val="center"/>
                            <w:hideMark/>
                          </w:tcPr>
                          <w:p w14:paraId="264E4B84" w14:textId="77777777" w:rsidR="00406878" w:rsidRPr="00E56F12" w:rsidRDefault="00406878" w:rsidP="0003214C">
                            <w:pPr>
                              <w:spacing w:line="200" w:lineRule="exact"/>
                              <w:jc w:val="center"/>
                              <w:rPr>
                                <w:rFonts w:ascii="標楷體" w:eastAsia="標楷體" w:hAnsi="標楷體"/>
                                <w:color w:val="000000"/>
                                <w:sz w:val="20"/>
                              </w:rPr>
                            </w:pPr>
                            <w:proofErr w:type="gramStart"/>
                            <w:r w:rsidRPr="00E56F12">
                              <w:rPr>
                                <w:rFonts w:ascii="標楷體" w:eastAsia="標楷體" w:hAnsi="標楷體" w:hint="eastAsia"/>
                                <w:color w:val="000000"/>
                                <w:sz w:val="20"/>
                              </w:rPr>
                              <w:t>場館數</w:t>
                            </w:r>
                            <w:proofErr w:type="gramEnd"/>
                          </w:p>
                        </w:tc>
                        <w:tc>
                          <w:tcPr>
                            <w:tcW w:w="794" w:type="dxa"/>
                            <w:vMerge w:val="restart"/>
                            <w:tcBorders>
                              <w:top w:val="nil"/>
                              <w:left w:val="single" w:sz="4" w:space="0" w:color="auto"/>
                              <w:bottom w:val="single" w:sz="4" w:space="0" w:color="auto"/>
                              <w:right w:val="single" w:sz="4" w:space="0" w:color="auto"/>
                            </w:tcBorders>
                            <w:noWrap/>
                            <w:vAlign w:val="center"/>
                            <w:hideMark/>
                          </w:tcPr>
                          <w:p w14:paraId="24B3DB8D" w14:textId="77777777" w:rsidR="00406878" w:rsidRPr="00104310" w:rsidRDefault="00406878" w:rsidP="0003214C">
                            <w:pPr>
                              <w:spacing w:line="200" w:lineRule="exact"/>
                              <w:jc w:val="center"/>
                              <w:rPr>
                                <w:rFonts w:ascii="標楷體" w:eastAsia="標楷體" w:hAnsi="標楷體"/>
                                <w:color w:val="000000"/>
                                <w:sz w:val="20"/>
                              </w:rPr>
                            </w:pPr>
                            <w:r w:rsidRPr="00104310">
                              <w:rPr>
                                <w:rFonts w:ascii="標楷體" w:eastAsia="標楷體" w:hAnsi="標楷體" w:hint="eastAsia"/>
                                <w:color w:val="000000"/>
                                <w:sz w:val="20"/>
                              </w:rPr>
                              <w:t>合計</w:t>
                            </w:r>
                          </w:p>
                        </w:tc>
                        <w:tc>
                          <w:tcPr>
                            <w:tcW w:w="1418" w:type="dxa"/>
                            <w:gridSpan w:val="2"/>
                            <w:tcBorders>
                              <w:top w:val="single" w:sz="4" w:space="0" w:color="auto"/>
                              <w:left w:val="nil"/>
                              <w:bottom w:val="single" w:sz="4" w:space="0" w:color="auto"/>
                              <w:right w:val="single" w:sz="4" w:space="0" w:color="auto"/>
                            </w:tcBorders>
                            <w:noWrap/>
                            <w:vAlign w:val="center"/>
                            <w:hideMark/>
                          </w:tcPr>
                          <w:p w14:paraId="22FA6679" w14:textId="77777777" w:rsidR="00406878" w:rsidRPr="00E56F12" w:rsidRDefault="00406878" w:rsidP="0003214C">
                            <w:pPr>
                              <w:spacing w:line="200" w:lineRule="exact"/>
                              <w:jc w:val="center"/>
                              <w:rPr>
                                <w:rFonts w:ascii="標楷體" w:eastAsia="標楷體" w:hAnsi="標楷體"/>
                                <w:sz w:val="20"/>
                              </w:rPr>
                            </w:pPr>
                            <w:r w:rsidRPr="00E56F12">
                              <w:rPr>
                                <w:rFonts w:ascii="標楷體" w:eastAsia="標楷體" w:hAnsi="標楷體" w:hint="eastAsia"/>
                                <w:sz w:val="20"/>
                              </w:rPr>
                              <w:t>本國選手</w:t>
                            </w:r>
                          </w:p>
                        </w:tc>
                        <w:tc>
                          <w:tcPr>
                            <w:tcW w:w="1417" w:type="dxa"/>
                            <w:gridSpan w:val="2"/>
                            <w:tcBorders>
                              <w:top w:val="single" w:sz="4" w:space="0" w:color="auto"/>
                              <w:left w:val="nil"/>
                              <w:bottom w:val="single" w:sz="4" w:space="0" w:color="auto"/>
                              <w:right w:val="single" w:sz="4" w:space="0" w:color="auto"/>
                            </w:tcBorders>
                            <w:noWrap/>
                            <w:vAlign w:val="center"/>
                            <w:hideMark/>
                          </w:tcPr>
                          <w:p w14:paraId="7B39F6E9" w14:textId="77777777" w:rsidR="00406878" w:rsidRPr="00E56F12" w:rsidRDefault="00406878" w:rsidP="0003214C">
                            <w:pPr>
                              <w:spacing w:line="200" w:lineRule="exact"/>
                              <w:jc w:val="center"/>
                              <w:rPr>
                                <w:rFonts w:ascii="標楷體" w:eastAsia="標楷體" w:hAnsi="標楷體"/>
                                <w:sz w:val="20"/>
                              </w:rPr>
                            </w:pPr>
                            <w:r w:rsidRPr="00E56F12">
                              <w:rPr>
                                <w:rFonts w:ascii="標楷體" w:eastAsia="標楷體" w:hAnsi="標楷體" w:hint="eastAsia"/>
                                <w:sz w:val="20"/>
                              </w:rPr>
                              <w:t>國外選手</w:t>
                            </w:r>
                          </w:p>
                        </w:tc>
                      </w:tr>
                      <w:tr w:rsidR="00406878" w:rsidRPr="00E56F12" w14:paraId="52259E17" w14:textId="77777777" w:rsidTr="0003214C">
                        <w:trPr>
                          <w:trHeight w:val="20"/>
                        </w:trPr>
                        <w:tc>
                          <w:tcPr>
                            <w:tcW w:w="737" w:type="dxa"/>
                            <w:vMerge/>
                            <w:tcBorders>
                              <w:top w:val="nil"/>
                              <w:left w:val="single" w:sz="4" w:space="0" w:color="auto"/>
                              <w:bottom w:val="single" w:sz="4" w:space="0" w:color="auto"/>
                              <w:right w:val="single" w:sz="4" w:space="0" w:color="auto"/>
                            </w:tcBorders>
                            <w:vAlign w:val="center"/>
                            <w:hideMark/>
                          </w:tcPr>
                          <w:p w14:paraId="2D859DC0" w14:textId="77777777" w:rsidR="00406878" w:rsidRPr="00E56F12" w:rsidRDefault="00406878" w:rsidP="0003214C">
                            <w:pPr>
                              <w:spacing w:line="200" w:lineRule="exact"/>
                              <w:jc w:val="center"/>
                              <w:rPr>
                                <w:rFonts w:ascii="標楷體" w:eastAsia="標楷體" w:hAnsi="標楷體" w:cs="新細明體"/>
                                <w:color w:val="000000"/>
                                <w:sz w:val="20"/>
                                <w:szCs w:val="24"/>
                              </w:rPr>
                            </w:pPr>
                          </w:p>
                        </w:tc>
                        <w:tc>
                          <w:tcPr>
                            <w:tcW w:w="680" w:type="dxa"/>
                            <w:vMerge/>
                            <w:tcBorders>
                              <w:top w:val="nil"/>
                              <w:left w:val="single" w:sz="4" w:space="0" w:color="auto"/>
                              <w:bottom w:val="single" w:sz="4" w:space="0" w:color="auto"/>
                              <w:right w:val="single" w:sz="4" w:space="0" w:color="auto"/>
                            </w:tcBorders>
                            <w:vAlign w:val="center"/>
                            <w:hideMark/>
                          </w:tcPr>
                          <w:p w14:paraId="7A01994D" w14:textId="77777777" w:rsidR="00406878" w:rsidRPr="00E56F12" w:rsidRDefault="00406878" w:rsidP="0003214C">
                            <w:pPr>
                              <w:spacing w:line="200" w:lineRule="exact"/>
                              <w:jc w:val="center"/>
                              <w:rPr>
                                <w:rFonts w:ascii="標楷體" w:eastAsia="標楷體" w:hAnsi="標楷體" w:cs="新細明體"/>
                                <w:color w:val="000000"/>
                                <w:sz w:val="20"/>
                                <w:szCs w:val="24"/>
                              </w:rPr>
                            </w:pPr>
                          </w:p>
                        </w:tc>
                        <w:tc>
                          <w:tcPr>
                            <w:tcW w:w="794" w:type="dxa"/>
                            <w:vMerge/>
                            <w:tcBorders>
                              <w:top w:val="nil"/>
                              <w:left w:val="single" w:sz="4" w:space="0" w:color="auto"/>
                              <w:bottom w:val="single" w:sz="4" w:space="0" w:color="auto"/>
                              <w:right w:val="single" w:sz="4" w:space="0" w:color="auto"/>
                            </w:tcBorders>
                            <w:vAlign w:val="center"/>
                            <w:hideMark/>
                          </w:tcPr>
                          <w:p w14:paraId="2A6314E9" w14:textId="77777777" w:rsidR="00406878" w:rsidRPr="00E56F12" w:rsidRDefault="00406878" w:rsidP="0003214C">
                            <w:pPr>
                              <w:spacing w:line="200" w:lineRule="exact"/>
                              <w:jc w:val="center"/>
                              <w:rPr>
                                <w:rFonts w:ascii="標楷體" w:eastAsia="標楷體" w:hAnsi="標楷體" w:cs="新細明體"/>
                                <w:b/>
                                <w:bCs/>
                                <w:color w:val="000000"/>
                                <w:sz w:val="20"/>
                                <w:szCs w:val="24"/>
                              </w:rPr>
                            </w:pPr>
                          </w:p>
                        </w:tc>
                        <w:tc>
                          <w:tcPr>
                            <w:tcW w:w="709" w:type="dxa"/>
                            <w:tcBorders>
                              <w:top w:val="nil"/>
                              <w:left w:val="nil"/>
                              <w:bottom w:val="single" w:sz="4" w:space="0" w:color="auto"/>
                              <w:right w:val="single" w:sz="4" w:space="0" w:color="auto"/>
                            </w:tcBorders>
                            <w:noWrap/>
                            <w:vAlign w:val="center"/>
                            <w:hideMark/>
                          </w:tcPr>
                          <w:p w14:paraId="362604E3" w14:textId="77777777" w:rsidR="00406878" w:rsidRPr="00E56F12" w:rsidRDefault="00406878" w:rsidP="0003214C">
                            <w:pPr>
                              <w:spacing w:line="200" w:lineRule="exact"/>
                              <w:jc w:val="center"/>
                              <w:rPr>
                                <w:rFonts w:ascii="標楷體" w:eastAsia="標楷體" w:hAnsi="標楷體"/>
                                <w:spacing w:val="-22"/>
                                <w:sz w:val="20"/>
                              </w:rPr>
                            </w:pPr>
                            <w:r w:rsidRPr="00E56F12">
                              <w:rPr>
                                <w:rFonts w:ascii="標楷體" w:eastAsia="標楷體" w:hAnsi="標楷體" w:hint="eastAsia"/>
                                <w:spacing w:val="-22"/>
                                <w:sz w:val="20"/>
                              </w:rPr>
                              <w:t>參賽人次</w:t>
                            </w:r>
                          </w:p>
                        </w:tc>
                        <w:tc>
                          <w:tcPr>
                            <w:tcW w:w="709" w:type="dxa"/>
                            <w:tcBorders>
                              <w:top w:val="nil"/>
                              <w:left w:val="nil"/>
                              <w:bottom w:val="single" w:sz="4" w:space="0" w:color="auto"/>
                              <w:right w:val="single" w:sz="4" w:space="0" w:color="auto"/>
                            </w:tcBorders>
                            <w:noWrap/>
                            <w:vAlign w:val="center"/>
                            <w:hideMark/>
                          </w:tcPr>
                          <w:p w14:paraId="6B9654ED" w14:textId="77777777" w:rsidR="00406878" w:rsidRPr="00E56F12" w:rsidRDefault="00406878" w:rsidP="0003214C">
                            <w:pPr>
                              <w:spacing w:line="200" w:lineRule="exact"/>
                              <w:jc w:val="center"/>
                              <w:rPr>
                                <w:rFonts w:ascii="標楷體" w:eastAsia="標楷體" w:hAnsi="標楷體"/>
                                <w:sz w:val="20"/>
                              </w:rPr>
                            </w:pPr>
                            <w:r w:rsidRPr="00E56F12">
                              <w:rPr>
                                <w:rFonts w:ascii="標楷體" w:eastAsia="標楷體" w:hAnsi="標楷體" w:hint="eastAsia"/>
                                <w:sz w:val="20"/>
                              </w:rPr>
                              <w:t>比率</w:t>
                            </w:r>
                          </w:p>
                        </w:tc>
                        <w:tc>
                          <w:tcPr>
                            <w:tcW w:w="709" w:type="dxa"/>
                            <w:tcBorders>
                              <w:top w:val="nil"/>
                              <w:left w:val="nil"/>
                              <w:bottom w:val="single" w:sz="4" w:space="0" w:color="auto"/>
                              <w:right w:val="single" w:sz="4" w:space="0" w:color="auto"/>
                            </w:tcBorders>
                            <w:noWrap/>
                            <w:vAlign w:val="center"/>
                            <w:hideMark/>
                          </w:tcPr>
                          <w:p w14:paraId="0144E77C" w14:textId="77777777" w:rsidR="00406878" w:rsidRPr="00E56F12" w:rsidRDefault="00406878" w:rsidP="0003214C">
                            <w:pPr>
                              <w:spacing w:line="200" w:lineRule="exact"/>
                              <w:jc w:val="center"/>
                              <w:rPr>
                                <w:rFonts w:ascii="標楷體" w:eastAsia="標楷體" w:hAnsi="標楷體"/>
                                <w:spacing w:val="-22"/>
                                <w:sz w:val="20"/>
                              </w:rPr>
                            </w:pPr>
                            <w:r w:rsidRPr="00E56F12">
                              <w:rPr>
                                <w:rFonts w:ascii="標楷體" w:eastAsia="標楷體" w:hAnsi="標楷體" w:hint="eastAsia"/>
                                <w:spacing w:val="-22"/>
                                <w:sz w:val="20"/>
                              </w:rPr>
                              <w:t>參賽人次</w:t>
                            </w:r>
                          </w:p>
                        </w:tc>
                        <w:tc>
                          <w:tcPr>
                            <w:tcW w:w="708" w:type="dxa"/>
                            <w:tcBorders>
                              <w:top w:val="nil"/>
                              <w:left w:val="nil"/>
                              <w:bottom w:val="single" w:sz="4" w:space="0" w:color="auto"/>
                              <w:right w:val="single" w:sz="4" w:space="0" w:color="auto"/>
                            </w:tcBorders>
                            <w:noWrap/>
                            <w:vAlign w:val="center"/>
                            <w:hideMark/>
                          </w:tcPr>
                          <w:p w14:paraId="4B713C5D" w14:textId="77777777" w:rsidR="00406878" w:rsidRPr="00E56F12" w:rsidRDefault="00406878" w:rsidP="0003214C">
                            <w:pPr>
                              <w:spacing w:line="200" w:lineRule="exact"/>
                              <w:jc w:val="center"/>
                              <w:rPr>
                                <w:rFonts w:ascii="標楷體" w:eastAsia="標楷體" w:hAnsi="標楷體"/>
                                <w:sz w:val="20"/>
                              </w:rPr>
                            </w:pPr>
                            <w:r w:rsidRPr="00E56F12">
                              <w:rPr>
                                <w:rFonts w:ascii="標楷體" w:eastAsia="標楷體" w:hAnsi="標楷體" w:hint="eastAsia"/>
                                <w:sz w:val="20"/>
                              </w:rPr>
                              <w:t>比率</w:t>
                            </w:r>
                          </w:p>
                        </w:tc>
                      </w:tr>
                      <w:tr w:rsidR="00406878" w:rsidRPr="00E56F12" w14:paraId="5338F6A4"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082EC9A7" w14:textId="77777777" w:rsidR="00406878" w:rsidRPr="00E56F12" w:rsidRDefault="00406878" w:rsidP="0003214C">
                            <w:pPr>
                              <w:spacing w:line="200" w:lineRule="exact"/>
                              <w:jc w:val="center"/>
                              <w:rPr>
                                <w:rFonts w:ascii="標楷體" w:eastAsia="標楷體" w:hAnsi="標楷體"/>
                                <w:b/>
                                <w:bCs/>
                                <w:color w:val="000000"/>
                                <w:sz w:val="20"/>
                              </w:rPr>
                            </w:pPr>
                            <w:r w:rsidRPr="00E56F12">
                              <w:rPr>
                                <w:rFonts w:ascii="標楷體" w:eastAsia="標楷體" w:hAnsi="標楷體" w:hint="eastAsia"/>
                                <w:b/>
                                <w:bCs/>
                                <w:color w:val="000000"/>
                                <w:sz w:val="20"/>
                              </w:rPr>
                              <w:t>合計</w:t>
                            </w:r>
                          </w:p>
                        </w:tc>
                        <w:tc>
                          <w:tcPr>
                            <w:tcW w:w="680" w:type="dxa"/>
                            <w:tcBorders>
                              <w:top w:val="nil"/>
                              <w:left w:val="nil"/>
                              <w:bottom w:val="single" w:sz="4" w:space="0" w:color="auto"/>
                              <w:right w:val="single" w:sz="4" w:space="0" w:color="auto"/>
                            </w:tcBorders>
                            <w:noWrap/>
                            <w:vAlign w:val="center"/>
                            <w:hideMark/>
                          </w:tcPr>
                          <w:p w14:paraId="05FAB15C" w14:textId="77777777" w:rsidR="00406878" w:rsidRPr="00E56F12" w:rsidRDefault="00406878" w:rsidP="00381E04">
                            <w:pPr>
                              <w:spacing w:line="200" w:lineRule="exact"/>
                              <w:jc w:val="right"/>
                              <w:rPr>
                                <w:rFonts w:ascii="標楷體" w:eastAsia="標楷體" w:hAnsi="標楷體"/>
                                <w:b/>
                                <w:bCs/>
                                <w:color w:val="000000"/>
                                <w:sz w:val="20"/>
                              </w:rPr>
                            </w:pPr>
                            <w:r w:rsidRPr="00E56F12">
                              <w:rPr>
                                <w:rFonts w:ascii="標楷體" w:eastAsia="標楷體" w:hAnsi="標楷體" w:hint="eastAsia"/>
                                <w:b/>
                                <w:bCs/>
                                <w:color w:val="000000"/>
                                <w:sz w:val="20"/>
                              </w:rPr>
                              <w:t>61</w:t>
                            </w:r>
                          </w:p>
                        </w:tc>
                        <w:tc>
                          <w:tcPr>
                            <w:tcW w:w="794" w:type="dxa"/>
                            <w:tcBorders>
                              <w:top w:val="nil"/>
                              <w:left w:val="nil"/>
                              <w:bottom w:val="single" w:sz="4" w:space="0" w:color="auto"/>
                              <w:right w:val="single" w:sz="4" w:space="0" w:color="auto"/>
                            </w:tcBorders>
                            <w:noWrap/>
                            <w:vAlign w:val="center"/>
                            <w:hideMark/>
                          </w:tcPr>
                          <w:p w14:paraId="7D72D7E8" w14:textId="77777777" w:rsidR="00406878" w:rsidRPr="00E56F12" w:rsidRDefault="00406878" w:rsidP="00381E04">
                            <w:pPr>
                              <w:spacing w:line="200" w:lineRule="exact"/>
                              <w:jc w:val="right"/>
                              <w:rPr>
                                <w:rFonts w:ascii="標楷體" w:eastAsia="標楷體" w:hAnsi="標楷體"/>
                                <w:b/>
                                <w:bCs/>
                                <w:color w:val="000000"/>
                                <w:sz w:val="20"/>
                              </w:rPr>
                            </w:pPr>
                            <w:r w:rsidRPr="00E56F12">
                              <w:rPr>
                                <w:rFonts w:ascii="標楷體" w:eastAsia="標楷體" w:hAnsi="標楷體" w:hint="eastAsia"/>
                                <w:b/>
                                <w:bCs/>
                                <w:color w:val="000000"/>
                                <w:sz w:val="20"/>
                              </w:rPr>
                              <w:t>34,494</w:t>
                            </w:r>
                          </w:p>
                        </w:tc>
                        <w:tc>
                          <w:tcPr>
                            <w:tcW w:w="709" w:type="dxa"/>
                            <w:tcBorders>
                              <w:top w:val="nil"/>
                              <w:left w:val="nil"/>
                              <w:bottom w:val="single" w:sz="4" w:space="0" w:color="auto"/>
                              <w:right w:val="single" w:sz="4" w:space="0" w:color="auto"/>
                            </w:tcBorders>
                            <w:noWrap/>
                            <w:vAlign w:val="center"/>
                            <w:hideMark/>
                          </w:tcPr>
                          <w:p w14:paraId="39D1D60B" w14:textId="77777777" w:rsidR="00406878" w:rsidRPr="00E56F12" w:rsidRDefault="00406878" w:rsidP="00381E04">
                            <w:pPr>
                              <w:spacing w:line="200" w:lineRule="exact"/>
                              <w:jc w:val="right"/>
                              <w:rPr>
                                <w:rFonts w:ascii="標楷體" w:eastAsia="標楷體" w:hAnsi="標楷體"/>
                                <w:b/>
                                <w:bCs/>
                                <w:sz w:val="20"/>
                              </w:rPr>
                            </w:pPr>
                            <w:r w:rsidRPr="00E56F12">
                              <w:rPr>
                                <w:rFonts w:ascii="標楷體" w:eastAsia="標楷體" w:hAnsi="標楷體" w:hint="eastAsia"/>
                                <w:b/>
                                <w:bCs/>
                                <w:sz w:val="20"/>
                              </w:rPr>
                              <w:t>26,506</w:t>
                            </w:r>
                          </w:p>
                        </w:tc>
                        <w:tc>
                          <w:tcPr>
                            <w:tcW w:w="709" w:type="dxa"/>
                            <w:tcBorders>
                              <w:top w:val="nil"/>
                              <w:left w:val="nil"/>
                              <w:bottom w:val="single" w:sz="4" w:space="0" w:color="auto"/>
                              <w:right w:val="single" w:sz="4" w:space="0" w:color="auto"/>
                            </w:tcBorders>
                            <w:noWrap/>
                            <w:vAlign w:val="center"/>
                            <w:hideMark/>
                          </w:tcPr>
                          <w:p w14:paraId="420D3A17" w14:textId="77777777" w:rsidR="00406878" w:rsidRPr="00E56F12" w:rsidRDefault="00406878" w:rsidP="00381E04">
                            <w:pPr>
                              <w:spacing w:line="200" w:lineRule="exact"/>
                              <w:jc w:val="right"/>
                              <w:rPr>
                                <w:rFonts w:ascii="標楷體" w:eastAsia="標楷體" w:hAnsi="標楷體"/>
                                <w:b/>
                                <w:bCs/>
                                <w:sz w:val="20"/>
                              </w:rPr>
                            </w:pPr>
                            <w:r w:rsidRPr="00E56F12">
                              <w:rPr>
                                <w:rFonts w:ascii="標楷體" w:eastAsia="標楷體" w:hAnsi="標楷體" w:hint="eastAsia"/>
                                <w:b/>
                                <w:bCs/>
                                <w:sz w:val="20"/>
                              </w:rPr>
                              <w:t>76.84</w:t>
                            </w:r>
                          </w:p>
                        </w:tc>
                        <w:tc>
                          <w:tcPr>
                            <w:tcW w:w="709" w:type="dxa"/>
                            <w:tcBorders>
                              <w:top w:val="nil"/>
                              <w:left w:val="nil"/>
                              <w:bottom w:val="single" w:sz="4" w:space="0" w:color="auto"/>
                              <w:right w:val="single" w:sz="4" w:space="0" w:color="auto"/>
                            </w:tcBorders>
                            <w:noWrap/>
                            <w:vAlign w:val="center"/>
                            <w:hideMark/>
                          </w:tcPr>
                          <w:p w14:paraId="107A52E2" w14:textId="77777777" w:rsidR="00406878" w:rsidRPr="00E56F12" w:rsidRDefault="00406878" w:rsidP="00381E04">
                            <w:pPr>
                              <w:spacing w:line="200" w:lineRule="exact"/>
                              <w:jc w:val="right"/>
                              <w:rPr>
                                <w:rFonts w:ascii="標楷體" w:eastAsia="標楷體" w:hAnsi="標楷體"/>
                                <w:b/>
                                <w:bCs/>
                                <w:color w:val="000000"/>
                                <w:sz w:val="20"/>
                              </w:rPr>
                            </w:pPr>
                            <w:r w:rsidRPr="00E56F12">
                              <w:rPr>
                                <w:rFonts w:ascii="標楷體" w:eastAsia="標楷體" w:hAnsi="標楷體" w:hint="eastAsia"/>
                                <w:b/>
                                <w:bCs/>
                                <w:color w:val="000000"/>
                                <w:sz w:val="20"/>
                              </w:rPr>
                              <w:t>7,988</w:t>
                            </w:r>
                          </w:p>
                        </w:tc>
                        <w:tc>
                          <w:tcPr>
                            <w:tcW w:w="708" w:type="dxa"/>
                            <w:tcBorders>
                              <w:top w:val="nil"/>
                              <w:left w:val="nil"/>
                              <w:bottom w:val="single" w:sz="4" w:space="0" w:color="auto"/>
                              <w:right w:val="single" w:sz="4" w:space="0" w:color="auto"/>
                            </w:tcBorders>
                            <w:noWrap/>
                            <w:vAlign w:val="center"/>
                            <w:hideMark/>
                          </w:tcPr>
                          <w:p w14:paraId="3FCA695D" w14:textId="77777777" w:rsidR="00406878" w:rsidRPr="00E56F12" w:rsidRDefault="00406878" w:rsidP="00381E04">
                            <w:pPr>
                              <w:spacing w:line="200" w:lineRule="exact"/>
                              <w:jc w:val="right"/>
                              <w:rPr>
                                <w:rFonts w:ascii="標楷體" w:eastAsia="標楷體" w:hAnsi="標楷體"/>
                                <w:b/>
                                <w:bCs/>
                                <w:sz w:val="20"/>
                              </w:rPr>
                            </w:pPr>
                            <w:r w:rsidRPr="00E56F12">
                              <w:rPr>
                                <w:rFonts w:ascii="標楷體" w:eastAsia="標楷體" w:hAnsi="標楷體" w:hint="eastAsia"/>
                                <w:b/>
                                <w:bCs/>
                                <w:sz w:val="20"/>
                              </w:rPr>
                              <w:t>23.16</w:t>
                            </w:r>
                          </w:p>
                        </w:tc>
                      </w:tr>
                      <w:tr w:rsidR="00406878" w:rsidRPr="00E56F12" w14:paraId="5C910AFD"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4B5AD3F5" w14:textId="77777777" w:rsidR="00406878" w:rsidRPr="00E56F12" w:rsidRDefault="00406878" w:rsidP="0003214C">
                            <w:pPr>
                              <w:spacing w:line="200" w:lineRule="exact"/>
                              <w:jc w:val="center"/>
                              <w:rPr>
                                <w:rFonts w:ascii="標楷體" w:eastAsia="標楷體" w:hAnsi="標楷體"/>
                                <w:color w:val="000000"/>
                                <w:sz w:val="20"/>
                              </w:rPr>
                            </w:pPr>
                            <w:r w:rsidRPr="00E56F12">
                              <w:rPr>
                                <w:rFonts w:ascii="標楷體" w:eastAsia="標楷體" w:hAnsi="標楷體" w:hint="eastAsia"/>
                                <w:color w:val="000000"/>
                                <w:sz w:val="20"/>
                              </w:rPr>
                              <w:t>臺北市</w:t>
                            </w:r>
                          </w:p>
                        </w:tc>
                        <w:tc>
                          <w:tcPr>
                            <w:tcW w:w="680" w:type="dxa"/>
                            <w:tcBorders>
                              <w:top w:val="nil"/>
                              <w:left w:val="nil"/>
                              <w:bottom w:val="single" w:sz="4" w:space="0" w:color="auto"/>
                              <w:right w:val="single" w:sz="4" w:space="0" w:color="auto"/>
                            </w:tcBorders>
                            <w:noWrap/>
                            <w:vAlign w:val="center"/>
                            <w:hideMark/>
                          </w:tcPr>
                          <w:p w14:paraId="76824ACC"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27</w:t>
                            </w:r>
                          </w:p>
                        </w:tc>
                        <w:tc>
                          <w:tcPr>
                            <w:tcW w:w="794" w:type="dxa"/>
                            <w:tcBorders>
                              <w:top w:val="nil"/>
                              <w:left w:val="nil"/>
                              <w:bottom w:val="single" w:sz="4" w:space="0" w:color="auto"/>
                              <w:right w:val="single" w:sz="4" w:space="0" w:color="auto"/>
                            </w:tcBorders>
                            <w:noWrap/>
                            <w:vAlign w:val="center"/>
                            <w:hideMark/>
                          </w:tcPr>
                          <w:p w14:paraId="7F7C6A6B"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20,984</w:t>
                            </w:r>
                          </w:p>
                        </w:tc>
                        <w:tc>
                          <w:tcPr>
                            <w:tcW w:w="709" w:type="dxa"/>
                            <w:tcBorders>
                              <w:top w:val="nil"/>
                              <w:left w:val="nil"/>
                              <w:bottom w:val="single" w:sz="4" w:space="0" w:color="auto"/>
                              <w:right w:val="single" w:sz="4" w:space="0" w:color="auto"/>
                            </w:tcBorders>
                            <w:noWrap/>
                            <w:vAlign w:val="center"/>
                            <w:hideMark/>
                          </w:tcPr>
                          <w:p w14:paraId="630B83E1"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16,710</w:t>
                            </w:r>
                          </w:p>
                        </w:tc>
                        <w:tc>
                          <w:tcPr>
                            <w:tcW w:w="709" w:type="dxa"/>
                            <w:tcBorders>
                              <w:top w:val="nil"/>
                              <w:left w:val="nil"/>
                              <w:bottom w:val="single" w:sz="4" w:space="0" w:color="auto"/>
                              <w:right w:val="single" w:sz="4" w:space="0" w:color="auto"/>
                            </w:tcBorders>
                            <w:noWrap/>
                            <w:vAlign w:val="center"/>
                            <w:hideMark/>
                          </w:tcPr>
                          <w:p w14:paraId="4BCF3610"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79.63</w:t>
                            </w:r>
                          </w:p>
                        </w:tc>
                        <w:tc>
                          <w:tcPr>
                            <w:tcW w:w="709" w:type="dxa"/>
                            <w:tcBorders>
                              <w:top w:val="nil"/>
                              <w:left w:val="nil"/>
                              <w:bottom w:val="single" w:sz="4" w:space="0" w:color="auto"/>
                              <w:right w:val="single" w:sz="4" w:space="0" w:color="auto"/>
                            </w:tcBorders>
                            <w:noWrap/>
                            <w:vAlign w:val="center"/>
                            <w:hideMark/>
                          </w:tcPr>
                          <w:p w14:paraId="6759F028"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4,274</w:t>
                            </w:r>
                          </w:p>
                        </w:tc>
                        <w:tc>
                          <w:tcPr>
                            <w:tcW w:w="708" w:type="dxa"/>
                            <w:tcBorders>
                              <w:top w:val="nil"/>
                              <w:left w:val="nil"/>
                              <w:bottom w:val="single" w:sz="4" w:space="0" w:color="auto"/>
                              <w:right w:val="single" w:sz="4" w:space="0" w:color="auto"/>
                            </w:tcBorders>
                            <w:noWrap/>
                            <w:vAlign w:val="center"/>
                            <w:hideMark/>
                          </w:tcPr>
                          <w:p w14:paraId="005F2167"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20.37</w:t>
                            </w:r>
                          </w:p>
                        </w:tc>
                      </w:tr>
                      <w:tr w:rsidR="00406878" w:rsidRPr="00E56F12" w14:paraId="1A6E2167"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435F69F2" w14:textId="77777777" w:rsidR="00406878" w:rsidRPr="00E56F12" w:rsidRDefault="00406878" w:rsidP="0003214C">
                            <w:pPr>
                              <w:spacing w:line="200" w:lineRule="exact"/>
                              <w:jc w:val="center"/>
                              <w:rPr>
                                <w:rFonts w:ascii="標楷體" w:eastAsia="標楷體" w:hAnsi="標楷體"/>
                                <w:color w:val="000000"/>
                                <w:sz w:val="20"/>
                              </w:rPr>
                            </w:pPr>
                            <w:r w:rsidRPr="00E56F12">
                              <w:rPr>
                                <w:rFonts w:ascii="標楷體" w:eastAsia="標楷體" w:hAnsi="標楷體" w:hint="eastAsia"/>
                                <w:color w:val="000000"/>
                                <w:sz w:val="20"/>
                              </w:rPr>
                              <w:t>新北市</w:t>
                            </w:r>
                          </w:p>
                        </w:tc>
                        <w:tc>
                          <w:tcPr>
                            <w:tcW w:w="680" w:type="dxa"/>
                            <w:tcBorders>
                              <w:top w:val="nil"/>
                              <w:left w:val="nil"/>
                              <w:bottom w:val="single" w:sz="4" w:space="0" w:color="auto"/>
                              <w:right w:val="single" w:sz="4" w:space="0" w:color="auto"/>
                            </w:tcBorders>
                            <w:noWrap/>
                            <w:vAlign w:val="center"/>
                            <w:hideMark/>
                          </w:tcPr>
                          <w:p w14:paraId="3E704F91"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21</w:t>
                            </w:r>
                          </w:p>
                        </w:tc>
                        <w:tc>
                          <w:tcPr>
                            <w:tcW w:w="794" w:type="dxa"/>
                            <w:tcBorders>
                              <w:top w:val="nil"/>
                              <w:left w:val="nil"/>
                              <w:bottom w:val="single" w:sz="4" w:space="0" w:color="auto"/>
                              <w:right w:val="single" w:sz="4" w:space="0" w:color="auto"/>
                            </w:tcBorders>
                            <w:noWrap/>
                            <w:vAlign w:val="center"/>
                            <w:hideMark/>
                          </w:tcPr>
                          <w:p w14:paraId="75A941AB"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9,943</w:t>
                            </w:r>
                          </w:p>
                        </w:tc>
                        <w:tc>
                          <w:tcPr>
                            <w:tcW w:w="709" w:type="dxa"/>
                            <w:tcBorders>
                              <w:top w:val="nil"/>
                              <w:left w:val="nil"/>
                              <w:bottom w:val="single" w:sz="4" w:space="0" w:color="auto"/>
                              <w:right w:val="single" w:sz="4" w:space="0" w:color="auto"/>
                            </w:tcBorders>
                            <w:noWrap/>
                            <w:vAlign w:val="center"/>
                            <w:hideMark/>
                          </w:tcPr>
                          <w:p w14:paraId="79492EB6"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7,073</w:t>
                            </w:r>
                          </w:p>
                        </w:tc>
                        <w:tc>
                          <w:tcPr>
                            <w:tcW w:w="709" w:type="dxa"/>
                            <w:tcBorders>
                              <w:top w:val="nil"/>
                              <w:left w:val="nil"/>
                              <w:bottom w:val="single" w:sz="4" w:space="0" w:color="auto"/>
                              <w:right w:val="single" w:sz="4" w:space="0" w:color="auto"/>
                            </w:tcBorders>
                            <w:noWrap/>
                            <w:vAlign w:val="center"/>
                            <w:hideMark/>
                          </w:tcPr>
                          <w:p w14:paraId="0791E40C"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71.14</w:t>
                            </w:r>
                          </w:p>
                        </w:tc>
                        <w:tc>
                          <w:tcPr>
                            <w:tcW w:w="709" w:type="dxa"/>
                            <w:tcBorders>
                              <w:top w:val="nil"/>
                              <w:left w:val="nil"/>
                              <w:bottom w:val="single" w:sz="4" w:space="0" w:color="auto"/>
                              <w:right w:val="single" w:sz="4" w:space="0" w:color="auto"/>
                            </w:tcBorders>
                            <w:noWrap/>
                            <w:vAlign w:val="center"/>
                            <w:hideMark/>
                          </w:tcPr>
                          <w:p w14:paraId="02E65171"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2,870</w:t>
                            </w:r>
                          </w:p>
                        </w:tc>
                        <w:tc>
                          <w:tcPr>
                            <w:tcW w:w="708" w:type="dxa"/>
                            <w:tcBorders>
                              <w:top w:val="nil"/>
                              <w:left w:val="nil"/>
                              <w:bottom w:val="single" w:sz="4" w:space="0" w:color="auto"/>
                              <w:right w:val="single" w:sz="4" w:space="0" w:color="auto"/>
                            </w:tcBorders>
                            <w:noWrap/>
                            <w:vAlign w:val="center"/>
                            <w:hideMark/>
                          </w:tcPr>
                          <w:p w14:paraId="58CF0E8D"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28.86</w:t>
                            </w:r>
                          </w:p>
                        </w:tc>
                      </w:tr>
                      <w:tr w:rsidR="00406878" w:rsidRPr="00E56F12" w14:paraId="0D26CEA0"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0E041F4C" w14:textId="77777777" w:rsidR="00406878" w:rsidRPr="00E56F12" w:rsidRDefault="00406878" w:rsidP="0003214C">
                            <w:pPr>
                              <w:spacing w:line="200" w:lineRule="exact"/>
                              <w:jc w:val="center"/>
                              <w:rPr>
                                <w:rFonts w:ascii="標楷體" w:eastAsia="標楷體" w:hAnsi="標楷體"/>
                                <w:color w:val="000000"/>
                                <w:sz w:val="20"/>
                              </w:rPr>
                            </w:pPr>
                            <w:r w:rsidRPr="00E56F12">
                              <w:rPr>
                                <w:rFonts w:ascii="標楷體" w:eastAsia="標楷體" w:hAnsi="標楷體" w:hint="eastAsia"/>
                                <w:color w:val="000000"/>
                                <w:sz w:val="20"/>
                              </w:rPr>
                              <w:t>桃園市</w:t>
                            </w:r>
                          </w:p>
                        </w:tc>
                        <w:tc>
                          <w:tcPr>
                            <w:tcW w:w="680" w:type="dxa"/>
                            <w:tcBorders>
                              <w:top w:val="nil"/>
                              <w:left w:val="nil"/>
                              <w:bottom w:val="single" w:sz="4" w:space="0" w:color="auto"/>
                              <w:right w:val="single" w:sz="4" w:space="0" w:color="auto"/>
                            </w:tcBorders>
                            <w:noWrap/>
                            <w:vAlign w:val="center"/>
                            <w:hideMark/>
                          </w:tcPr>
                          <w:p w14:paraId="4F3166E6"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6</w:t>
                            </w:r>
                          </w:p>
                        </w:tc>
                        <w:tc>
                          <w:tcPr>
                            <w:tcW w:w="794" w:type="dxa"/>
                            <w:tcBorders>
                              <w:top w:val="nil"/>
                              <w:left w:val="nil"/>
                              <w:bottom w:val="single" w:sz="4" w:space="0" w:color="auto"/>
                              <w:right w:val="single" w:sz="4" w:space="0" w:color="auto"/>
                            </w:tcBorders>
                            <w:noWrap/>
                            <w:vAlign w:val="center"/>
                            <w:hideMark/>
                          </w:tcPr>
                          <w:p w14:paraId="3545598D"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1,172</w:t>
                            </w:r>
                          </w:p>
                        </w:tc>
                        <w:tc>
                          <w:tcPr>
                            <w:tcW w:w="709" w:type="dxa"/>
                            <w:tcBorders>
                              <w:top w:val="nil"/>
                              <w:left w:val="nil"/>
                              <w:bottom w:val="single" w:sz="4" w:space="0" w:color="auto"/>
                              <w:right w:val="single" w:sz="4" w:space="0" w:color="auto"/>
                            </w:tcBorders>
                            <w:noWrap/>
                            <w:vAlign w:val="center"/>
                            <w:hideMark/>
                          </w:tcPr>
                          <w:p w14:paraId="40894173"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819</w:t>
                            </w:r>
                          </w:p>
                        </w:tc>
                        <w:tc>
                          <w:tcPr>
                            <w:tcW w:w="709" w:type="dxa"/>
                            <w:tcBorders>
                              <w:top w:val="nil"/>
                              <w:left w:val="nil"/>
                              <w:bottom w:val="single" w:sz="4" w:space="0" w:color="auto"/>
                              <w:right w:val="single" w:sz="4" w:space="0" w:color="auto"/>
                            </w:tcBorders>
                            <w:noWrap/>
                            <w:vAlign w:val="center"/>
                            <w:hideMark/>
                          </w:tcPr>
                          <w:p w14:paraId="6CA0C0B3"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69.88</w:t>
                            </w:r>
                          </w:p>
                        </w:tc>
                        <w:tc>
                          <w:tcPr>
                            <w:tcW w:w="709" w:type="dxa"/>
                            <w:tcBorders>
                              <w:top w:val="nil"/>
                              <w:left w:val="nil"/>
                              <w:bottom w:val="single" w:sz="4" w:space="0" w:color="auto"/>
                              <w:right w:val="single" w:sz="4" w:space="0" w:color="auto"/>
                            </w:tcBorders>
                            <w:noWrap/>
                            <w:vAlign w:val="center"/>
                            <w:hideMark/>
                          </w:tcPr>
                          <w:p w14:paraId="6E0D90C1"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353</w:t>
                            </w:r>
                          </w:p>
                        </w:tc>
                        <w:tc>
                          <w:tcPr>
                            <w:tcW w:w="708" w:type="dxa"/>
                            <w:tcBorders>
                              <w:top w:val="nil"/>
                              <w:left w:val="nil"/>
                              <w:bottom w:val="single" w:sz="4" w:space="0" w:color="auto"/>
                              <w:right w:val="single" w:sz="4" w:space="0" w:color="auto"/>
                            </w:tcBorders>
                            <w:noWrap/>
                            <w:vAlign w:val="center"/>
                            <w:hideMark/>
                          </w:tcPr>
                          <w:p w14:paraId="19773487"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30.12</w:t>
                            </w:r>
                          </w:p>
                        </w:tc>
                      </w:tr>
                      <w:tr w:rsidR="00406878" w:rsidRPr="00E56F12" w14:paraId="6CAC32C2"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24D190B7" w14:textId="77777777" w:rsidR="00406878" w:rsidRPr="00E56F12" w:rsidRDefault="00406878" w:rsidP="0003214C">
                            <w:pPr>
                              <w:spacing w:line="200" w:lineRule="exact"/>
                              <w:jc w:val="center"/>
                              <w:rPr>
                                <w:rFonts w:ascii="標楷體" w:eastAsia="標楷體" w:hAnsi="標楷體"/>
                                <w:color w:val="000000"/>
                                <w:sz w:val="20"/>
                              </w:rPr>
                            </w:pPr>
                            <w:r w:rsidRPr="00E56F12">
                              <w:rPr>
                                <w:rFonts w:ascii="標楷體" w:eastAsia="標楷體" w:hAnsi="標楷體" w:hint="eastAsia"/>
                                <w:color w:val="000000"/>
                                <w:sz w:val="20"/>
                              </w:rPr>
                              <w:t>新竹縣</w:t>
                            </w:r>
                          </w:p>
                        </w:tc>
                        <w:tc>
                          <w:tcPr>
                            <w:tcW w:w="680" w:type="dxa"/>
                            <w:tcBorders>
                              <w:top w:val="nil"/>
                              <w:left w:val="nil"/>
                              <w:bottom w:val="single" w:sz="4" w:space="0" w:color="auto"/>
                              <w:right w:val="single" w:sz="4" w:space="0" w:color="auto"/>
                            </w:tcBorders>
                            <w:noWrap/>
                            <w:vAlign w:val="center"/>
                            <w:hideMark/>
                          </w:tcPr>
                          <w:p w14:paraId="16A985FD"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2</w:t>
                            </w:r>
                          </w:p>
                        </w:tc>
                        <w:tc>
                          <w:tcPr>
                            <w:tcW w:w="794" w:type="dxa"/>
                            <w:tcBorders>
                              <w:top w:val="nil"/>
                              <w:left w:val="nil"/>
                              <w:bottom w:val="single" w:sz="4" w:space="0" w:color="auto"/>
                              <w:right w:val="single" w:sz="4" w:space="0" w:color="auto"/>
                            </w:tcBorders>
                            <w:noWrap/>
                            <w:vAlign w:val="center"/>
                            <w:hideMark/>
                          </w:tcPr>
                          <w:p w14:paraId="0085F5A8"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426</w:t>
                            </w:r>
                          </w:p>
                        </w:tc>
                        <w:tc>
                          <w:tcPr>
                            <w:tcW w:w="709" w:type="dxa"/>
                            <w:tcBorders>
                              <w:top w:val="nil"/>
                              <w:left w:val="nil"/>
                              <w:bottom w:val="single" w:sz="4" w:space="0" w:color="auto"/>
                              <w:right w:val="single" w:sz="4" w:space="0" w:color="auto"/>
                            </w:tcBorders>
                            <w:noWrap/>
                            <w:vAlign w:val="center"/>
                            <w:hideMark/>
                          </w:tcPr>
                          <w:p w14:paraId="2E2DF118"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334</w:t>
                            </w:r>
                          </w:p>
                        </w:tc>
                        <w:tc>
                          <w:tcPr>
                            <w:tcW w:w="709" w:type="dxa"/>
                            <w:tcBorders>
                              <w:top w:val="nil"/>
                              <w:left w:val="nil"/>
                              <w:bottom w:val="single" w:sz="4" w:space="0" w:color="auto"/>
                              <w:right w:val="single" w:sz="4" w:space="0" w:color="auto"/>
                            </w:tcBorders>
                            <w:noWrap/>
                            <w:vAlign w:val="center"/>
                            <w:hideMark/>
                          </w:tcPr>
                          <w:p w14:paraId="3386EF00"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78.40</w:t>
                            </w:r>
                          </w:p>
                        </w:tc>
                        <w:tc>
                          <w:tcPr>
                            <w:tcW w:w="709" w:type="dxa"/>
                            <w:tcBorders>
                              <w:top w:val="nil"/>
                              <w:left w:val="nil"/>
                              <w:bottom w:val="single" w:sz="4" w:space="0" w:color="auto"/>
                              <w:right w:val="single" w:sz="4" w:space="0" w:color="auto"/>
                            </w:tcBorders>
                            <w:noWrap/>
                            <w:vAlign w:val="center"/>
                            <w:hideMark/>
                          </w:tcPr>
                          <w:p w14:paraId="5A8BAAB4"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92</w:t>
                            </w:r>
                          </w:p>
                        </w:tc>
                        <w:tc>
                          <w:tcPr>
                            <w:tcW w:w="708" w:type="dxa"/>
                            <w:tcBorders>
                              <w:top w:val="nil"/>
                              <w:left w:val="nil"/>
                              <w:bottom w:val="single" w:sz="4" w:space="0" w:color="auto"/>
                              <w:right w:val="single" w:sz="4" w:space="0" w:color="auto"/>
                            </w:tcBorders>
                            <w:noWrap/>
                            <w:vAlign w:val="center"/>
                            <w:hideMark/>
                          </w:tcPr>
                          <w:p w14:paraId="3B209977"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21.60</w:t>
                            </w:r>
                          </w:p>
                        </w:tc>
                      </w:tr>
                      <w:tr w:rsidR="00406878" w:rsidRPr="00E56F12" w14:paraId="0495E5BB"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25243616" w14:textId="77777777" w:rsidR="00406878" w:rsidRPr="00E56F12" w:rsidRDefault="00406878" w:rsidP="0003214C">
                            <w:pPr>
                              <w:spacing w:line="200" w:lineRule="exact"/>
                              <w:jc w:val="center"/>
                              <w:rPr>
                                <w:rFonts w:ascii="標楷體" w:eastAsia="標楷體" w:hAnsi="標楷體"/>
                                <w:color w:val="000000"/>
                                <w:sz w:val="20"/>
                              </w:rPr>
                            </w:pPr>
                            <w:r w:rsidRPr="00E56F12">
                              <w:rPr>
                                <w:rFonts w:ascii="標楷體" w:eastAsia="標楷體" w:hAnsi="標楷體" w:hint="eastAsia"/>
                                <w:color w:val="000000"/>
                                <w:sz w:val="20"/>
                              </w:rPr>
                              <w:t>宜蘭縣</w:t>
                            </w:r>
                          </w:p>
                        </w:tc>
                        <w:tc>
                          <w:tcPr>
                            <w:tcW w:w="680" w:type="dxa"/>
                            <w:tcBorders>
                              <w:top w:val="nil"/>
                              <w:left w:val="nil"/>
                              <w:bottom w:val="single" w:sz="4" w:space="0" w:color="auto"/>
                              <w:right w:val="single" w:sz="4" w:space="0" w:color="auto"/>
                            </w:tcBorders>
                            <w:noWrap/>
                            <w:vAlign w:val="center"/>
                            <w:hideMark/>
                          </w:tcPr>
                          <w:p w14:paraId="793BBC56"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4</w:t>
                            </w:r>
                          </w:p>
                        </w:tc>
                        <w:tc>
                          <w:tcPr>
                            <w:tcW w:w="794" w:type="dxa"/>
                            <w:tcBorders>
                              <w:top w:val="nil"/>
                              <w:left w:val="nil"/>
                              <w:bottom w:val="single" w:sz="4" w:space="0" w:color="auto"/>
                              <w:right w:val="single" w:sz="4" w:space="0" w:color="auto"/>
                            </w:tcBorders>
                            <w:noWrap/>
                            <w:vAlign w:val="center"/>
                            <w:hideMark/>
                          </w:tcPr>
                          <w:p w14:paraId="03B520FD"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1,688</w:t>
                            </w:r>
                          </w:p>
                        </w:tc>
                        <w:tc>
                          <w:tcPr>
                            <w:tcW w:w="709" w:type="dxa"/>
                            <w:tcBorders>
                              <w:top w:val="nil"/>
                              <w:left w:val="nil"/>
                              <w:bottom w:val="single" w:sz="4" w:space="0" w:color="auto"/>
                              <w:right w:val="single" w:sz="4" w:space="0" w:color="auto"/>
                            </w:tcBorders>
                            <w:noWrap/>
                            <w:vAlign w:val="center"/>
                            <w:hideMark/>
                          </w:tcPr>
                          <w:p w14:paraId="56BF3332"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1,359</w:t>
                            </w:r>
                          </w:p>
                        </w:tc>
                        <w:tc>
                          <w:tcPr>
                            <w:tcW w:w="709" w:type="dxa"/>
                            <w:tcBorders>
                              <w:top w:val="nil"/>
                              <w:left w:val="nil"/>
                              <w:bottom w:val="single" w:sz="4" w:space="0" w:color="auto"/>
                              <w:right w:val="single" w:sz="4" w:space="0" w:color="auto"/>
                            </w:tcBorders>
                            <w:noWrap/>
                            <w:vAlign w:val="center"/>
                            <w:hideMark/>
                          </w:tcPr>
                          <w:p w14:paraId="001BE23B"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80.51</w:t>
                            </w:r>
                          </w:p>
                        </w:tc>
                        <w:tc>
                          <w:tcPr>
                            <w:tcW w:w="709" w:type="dxa"/>
                            <w:tcBorders>
                              <w:top w:val="nil"/>
                              <w:left w:val="nil"/>
                              <w:bottom w:val="single" w:sz="4" w:space="0" w:color="auto"/>
                              <w:right w:val="single" w:sz="4" w:space="0" w:color="auto"/>
                            </w:tcBorders>
                            <w:noWrap/>
                            <w:vAlign w:val="center"/>
                            <w:hideMark/>
                          </w:tcPr>
                          <w:p w14:paraId="48C29579"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329</w:t>
                            </w:r>
                          </w:p>
                        </w:tc>
                        <w:tc>
                          <w:tcPr>
                            <w:tcW w:w="708" w:type="dxa"/>
                            <w:tcBorders>
                              <w:top w:val="nil"/>
                              <w:left w:val="nil"/>
                              <w:bottom w:val="single" w:sz="4" w:space="0" w:color="auto"/>
                              <w:right w:val="single" w:sz="4" w:space="0" w:color="auto"/>
                            </w:tcBorders>
                            <w:noWrap/>
                            <w:vAlign w:val="center"/>
                            <w:hideMark/>
                          </w:tcPr>
                          <w:p w14:paraId="6BED2AF5"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19.49</w:t>
                            </w:r>
                          </w:p>
                        </w:tc>
                      </w:tr>
                      <w:tr w:rsidR="00406878" w:rsidRPr="00E56F12" w14:paraId="75C48051" w14:textId="77777777" w:rsidTr="0003214C">
                        <w:trPr>
                          <w:trHeight w:val="20"/>
                        </w:trPr>
                        <w:tc>
                          <w:tcPr>
                            <w:tcW w:w="737" w:type="dxa"/>
                            <w:tcBorders>
                              <w:top w:val="nil"/>
                              <w:left w:val="single" w:sz="4" w:space="0" w:color="auto"/>
                              <w:bottom w:val="single" w:sz="4" w:space="0" w:color="auto"/>
                              <w:right w:val="single" w:sz="4" w:space="0" w:color="auto"/>
                            </w:tcBorders>
                            <w:noWrap/>
                            <w:vAlign w:val="center"/>
                            <w:hideMark/>
                          </w:tcPr>
                          <w:p w14:paraId="059AD9A1" w14:textId="77777777" w:rsidR="00406878" w:rsidRPr="00E56F12" w:rsidRDefault="00406878" w:rsidP="0003214C">
                            <w:pPr>
                              <w:spacing w:line="200" w:lineRule="exact"/>
                              <w:jc w:val="center"/>
                              <w:rPr>
                                <w:rFonts w:ascii="標楷體" w:eastAsia="標楷體" w:hAnsi="標楷體"/>
                                <w:color w:val="000000"/>
                                <w:sz w:val="20"/>
                              </w:rPr>
                            </w:pPr>
                            <w:proofErr w:type="gramStart"/>
                            <w:r w:rsidRPr="00E56F12">
                              <w:rPr>
                                <w:rFonts w:ascii="標楷體" w:eastAsia="標楷體" w:hAnsi="標楷體" w:hint="eastAsia"/>
                                <w:color w:val="000000"/>
                                <w:sz w:val="20"/>
                              </w:rPr>
                              <w:t>臺</w:t>
                            </w:r>
                            <w:proofErr w:type="gramEnd"/>
                            <w:r w:rsidRPr="00E56F12">
                              <w:rPr>
                                <w:rFonts w:ascii="標楷體" w:eastAsia="標楷體" w:hAnsi="標楷體" w:hint="eastAsia"/>
                                <w:color w:val="000000"/>
                                <w:sz w:val="20"/>
                              </w:rPr>
                              <w:t>中市</w:t>
                            </w:r>
                          </w:p>
                        </w:tc>
                        <w:tc>
                          <w:tcPr>
                            <w:tcW w:w="680" w:type="dxa"/>
                            <w:tcBorders>
                              <w:top w:val="nil"/>
                              <w:left w:val="nil"/>
                              <w:bottom w:val="single" w:sz="4" w:space="0" w:color="auto"/>
                              <w:right w:val="single" w:sz="4" w:space="0" w:color="auto"/>
                            </w:tcBorders>
                            <w:noWrap/>
                            <w:vAlign w:val="center"/>
                            <w:hideMark/>
                          </w:tcPr>
                          <w:p w14:paraId="209BACCA"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1</w:t>
                            </w:r>
                          </w:p>
                        </w:tc>
                        <w:tc>
                          <w:tcPr>
                            <w:tcW w:w="794" w:type="dxa"/>
                            <w:tcBorders>
                              <w:top w:val="nil"/>
                              <w:left w:val="nil"/>
                              <w:bottom w:val="single" w:sz="4" w:space="0" w:color="auto"/>
                              <w:right w:val="single" w:sz="4" w:space="0" w:color="auto"/>
                            </w:tcBorders>
                            <w:noWrap/>
                            <w:vAlign w:val="center"/>
                            <w:hideMark/>
                          </w:tcPr>
                          <w:p w14:paraId="0F4076CF" w14:textId="77777777" w:rsidR="00406878" w:rsidRPr="00E56F12" w:rsidRDefault="00406878" w:rsidP="00381E04">
                            <w:pPr>
                              <w:spacing w:line="200" w:lineRule="exact"/>
                              <w:jc w:val="right"/>
                              <w:rPr>
                                <w:rFonts w:ascii="標楷體" w:eastAsia="標楷體" w:hAnsi="標楷體"/>
                                <w:bCs/>
                                <w:color w:val="000000"/>
                                <w:sz w:val="20"/>
                              </w:rPr>
                            </w:pPr>
                            <w:r w:rsidRPr="00E56F12">
                              <w:rPr>
                                <w:rFonts w:ascii="標楷體" w:eastAsia="標楷體" w:hAnsi="標楷體" w:hint="eastAsia"/>
                                <w:bCs/>
                                <w:color w:val="000000"/>
                                <w:sz w:val="20"/>
                              </w:rPr>
                              <w:t>281</w:t>
                            </w:r>
                          </w:p>
                        </w:tc>
                        <w:tc>
                          <w:tcPr>
                            <w:tcW w:w="709" w:type="dxa"/>
                            <w:tcBorders>
                              <w:top w:val="nil"/>
                              <w:left w:val="nil"/>
                              <w:bottom w:val="single" w:sz="4" w:space="0" w:color="auto"/>
                              <w:right w:val="single" w:sz="4" w:space="0" w:color="auto"/>
                            </w:tcBorders>
                            <w:shd w:val="clear" w:color="auto" w:fill="FFFFFF"/>
                            <w:vAlign w:val="center"/>
                            <w:hideMark/>
                          </w:tcPr>
                          <w:p w14:paraId="371AAA3B"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211</w:t>
                            </w:r>
                          </w:p>
                        </w:tc>
                        <w:tc>
                          <w:tcPr>
                            <w:tcW w:w="709" w:type="dxa"/>
                            <w:tcBorders>
                              <w:top w:val="nil"/>
                              <w:left w:val="nil"/>
                              <w:bottom w:val="single" w:sz="4" w:space="0" w:color="auto"/>
                              <w:right w:val="single" w:sz="4" w:space="0" w:color="auto"/>
                            </w:tcBorders>
                            <w:noWrap/>
                            <w:vAlign w:val="center"/>
                            <w:hideMark/>
                          </w:tcPr>
                          <w:p w14:paraId="15017AC5"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75.09</w:t>
                            </w:r>
                          </w:p>
                        </w:tc>
                        <w:tc>
                          <w:tcPr>
                            <w:tcW w:w="709" w:type="dxa"/>
                            <w:tcBorders>
                              <w:top w:val="nil"/>
                              <w:left w:val="nil"/>
                              <w:bottom w:val="single" w:sz="4" w:space="0" w:color="auto"/>
                              <w:right w:val="single" w:sz="4" w:space="0" w:color="auto"/>
                            </w:tcBorders>
                            <w:noWrap/>
                            <w:vAlign w:val="center"/>
                            <w:hideMark/>
                          </w:tcPr>
                          <w:p w14:paraId="74CF892B" w14:textId="77777777" w:rsidR="00406878" w:rsidRPr="00E56F12" w:rsidRDefault="00406878" w:rsidP="00381E04">
                            <w:pPr>
                              <w:spacing w:line="200" w:lineRule="exact"/>
                              <w:jc w:val="right"/>
                              <w:rPr>
                                <w:rFonts w:ascii="標楷體" w:eastAsia="標楷體" w:hAnsi="標楷體"/>
                                <w:color w:val="000000"/>
                                <w:sz w:val="20"/>
                              </w:rPr>
                            </w:pPr>
                            <w:r w:rsidRPr="00E56F12">
                              <w:rPr>
                                <w:rFonts w:ascii="標楷體" w:eastAsia="標楷體" w:hAnsi="標楷體" w:hint="eastAsia"/>
                                <w:color w:val="000000"/>
                                <w:sz w:val="20"/>
                              </w:rPr>
                              <w:t>70</w:t>
                            </w:r>
                          </w:p>
                        </w:tc>
                        <w:tc>
                          <w:tcPr>
                            <w:tcW w:w="708" w:type="dxa"/>
                            <w:tcBorders>
                              <w:top w:val="nil"/>
                              <w:left w:val="nil"/>
                              <w:bottom w:val="single" w:sz="4" w:space="0" w:color="auto"/>
                              <w:right w:val="single" w:sz="4" w:space="0" w:color="auto"/>
                            </w:tcBorders>
                            <w:noWrap/>
                            <w:vAlign w:val="center"/>
                            <w:hideMark/>
                          </w:tcPr>
                          <w:p w14:paraId="58CE19E6" w14:textId="77777777" w:rsidR="00406878" w:rsidRPr="00E56F12" w:rsidRDefault="00406878" w:rsidP="00381E04">
                            <w:pPr>
                              <w:spacing w:line="200" w:lineRule="exact"/>
                              <w:jc w:val="right"/>
                              <w:rPr>
                                <w:rFonts w:ascii="標楷體" w:eastAsia="標楷體" w:hAnsi="標楷體"/>
                                <w:sz w:val="20"/>
                              </w:rPr>
                            </w:pPr>
                            <w:r w:rsidRPr="00E56F12">
                              <w:rPr>
                                <w:rFonts w:ascii="標楷體" w:eastAsia="標楷體" w:hAnsi="標楷體" w:hint="eastAsia"/>
                                <w:sz w:val="20"/>
                              </w:rPr>
                              <w:t>24.91</w:t>
                            </w:r>
                          </w:p>
                        </w:tc>
                      </w:tr>
                      <w:tr w:rsidR="00406878" w:rsidRPr="00E56F12" w14:paraId="296589BB" w14:textId="77777777" w:rsidTr="00390F13">
                        <w:trPr>
                          <w:trHeight w:val="20"/>
                        </w:trPr>
                        <w:tc>
                          <w:tcPr>
                            <w:tcW w:w="5046" w:type="dxa"/>
                            <w:gridSpan w:val="7"/>
                            <w:tcBorders>
                              <w:top w:val="single" w:sz="4" w:space="0" w:color="auto"/>
                              <w:left w:val="nil"/>
                              <w:bottom w:val="nil"/>
                              <w:right w:val="nil"/>
                            </w:tcBorders>
                            <w:noWrap/>
                            <w:vAlign w:val="center"/>
                            <w:hideMark/>
                          </w:tcPr>
                          <w:p w14:paraId="0E7B959F" w14:textId="77777777" w:rsidR="00406878" w:rsidRPr="00E56F12" w:rsidRDefault="00406878" w:rsidP="00381E04">
                            <w:pPr>
                              <w:autoSpaceDN w:val="0"/>
                              <w:spacing w:line="180" w:lineRule="exact"/>
                              <w:ind w:left="522" w:hangingChars="290" w:hanging="522"/>
                              <w:jc w:val="both"/>
                              <w:rPr>
                                <w:rFonts w:ascii="標楷體" w:eastAsia="標楷體" w:hAnsi="標楷體"/>
                                <w:color w:val="000000"/>
                                <w:sz w:val="18"/>
                              </w:rPr>
                            </w:pPr>
                            <w:proofErr w:type="gramStart"/>
                            <w:r w:rsidRPr="00E56F12">
                              <w:rPr>
                                <w:rFonts w:ascii="標楷體" w:eastAsia="標楷體" w:hAnsi="標楷體" w:hint="eastAsia"/>
                                <w:color w:val="000000"/>
                                <w:sz w:val="18"/>
                              </w:rPr>
                              <w:t>註</w:t>
                            </w:r>
                            <w:proofErr w:type="gramEnd"/>
                            <w:r w:rsidRPr="00E56F12">
                              <w:rPr>
                                <w:rFonts w:ascii="標楷體" w:eastAsia="標楷體" w:hAnsi="標楷體" w:hint="eastAsia"/>
                                <w:color w:val="000000"/>
                                <w:sz w:val="18"/>
                              </w:rPr>
                              <w:t>：1.因每位參賽選手最多可選擇於3個運動種類內，報名7個運動項目，故本表參賽人次有大於報名人數25,938人情事。</w:t>
                            </w:r>
                          </w:p>
                          <w:p w14:paraId="3627A158" w14:textId="77777777" w:rsidR="00406878" w:rsidRPr="00E56F12" w:rsidRDefault="00406878" w:rsidP="00381E04">
                            <w:pPr>
                              <w:spacing w:line="180" w:lineRule="exact"/>
                              <w:ind w:leftChars="135" w:left="324"/>
                              <w:rPr>
                                <w:rFonts w:ascii="標楷體" w:eastAsia="標楷體" w:hAnsi="標楷體"/>
                                <w:color w:val="000000"/>
                              </w:rPr>
                            </w:pPr>
                            <w:r w:rsidRPr="00E56F12">
                              <w:rPr>
                                <w:rFonts w:ascii="標楷體" w:eastAsia="標楷體" w:hAnsi="標楷體" w:hint="eastAsia"/>
                                <w:color w:val="000000"/>
                                <w:sz w:val="18"/>
                              </w:rPr>
                              <w:t>2.資料來源：整理自</w:t>
                            </w:r>
                            <w:r>
                              <w:rPr>
                                <w:rFonts w:ascii="標楷體" w:eastAsia="標楷體" w:hAnsi="標楷體" w:hint="eastAsia"/>
                                <w:color w:val="000000"/>
                                <w:sz w:val="18"/>
                              </w:rPr>
                              <w:t>體育</w:t>
                            </w:r>
                            <w:r w:rsidRPr="00E56F12">
                              <w:rPr>
                                <w:rFonts w:ascii="標楷體" w:eastAsia="標楷體" w:hAnsi="標楷體" w:hint="eastAsia"/>
                                <w:color w:val="000000"/>
                                <w:sz w:val="18"/>
                              </w:rPr>
                              <w:t>局提供資料。</w:t>
                            </w:r>
                          </w:p>
                        </w:tc>
                      </w:tr>
                    </w:tbl>
                    <w:p w14:paraId="37619FD4" w14:textId="77777777" w:rsidR="00406878" w:rsidRPr="00E56F12" w:rsidRDefault="00406878" w:rsidP="00406878">
                      <w:pPr>
                        <w:rPr>
                          <w:rFonts w:ascii="標楷體" w:eastAsia="標楷體" w:hAnsi="標楷體"/>
                        </w:rPr>
                      </w:pPr>
                    </w:p>
                  </w:txbxContent>
                </v:textbox>
                <w10:wrap type="tight" anchorx="margin" anchory="page"/>
              </v:shape>
            </w:pict>
          </mc:Fallback>
        </mc:AlternateContent>
      </w:r>
      <w:r w:rsidR="00406878" w:rsidRPr="002131A4">
        <w:rPr>
          <w:rFonts w:ascii="標楷體" w:eastAsia="標楷體" w:hAnsi="標楷體" w:hint="eastAsia"/>
          <w:szCs w:val="24"/>
        </w:rPr>
        <w:t>執行單位已針對選手所需資訊規劃公告期程，另</w:t>
      </w:r>
      <w:proofErr w:type="gramStart"/>
      <w:r w:rsidR="00406878" w:rsidRPr="002131A4">
        <w:rPr>
          <w:rFonts w:ascii="標楷體" w:eastAsia="標楷體" w:hAnsi="標楷體" w:hint="eastAsia"/>
          <w:szCs w:val="24"/>
        </w:rPr>
        <w:t>113</w:t>
      </w:r>
      <w:proofErr w:type="gramEnd"/>
      <w:r w:rsidR="00406878" w:rsidRPr="002131A4">
        <w:rPr>
          <w:rFonts w:ascii="標楷體" w:eastAsia="標楷體" w:hAnsi="標楷體" w:hint="eastAsia"/>
          <w:szCs w:val="24"/>
        </w:rPr>
        <w:t>年度該局及臺北市政府觀光傳播局</w:t>
      </w:r>
      <w:r w:rsidR="00406878" w:rsidRPr="002131A4">
        <w:rPr>
          <w:rFonts w:ascii="標楷體" w:eastAsia="標楷體" w:hAnsi="標楷體" w:hint="eastAsia"/>
        </w:rPr>
        <w:t>（下稱觀光傳播局）</w:t>
      </w:r>
      <w:r w:rsidR="00406878" w:rsidRPr="002131A4">
        <w:rPr>
          <w:rFonts w:ascii="標楷體" w:eastAsia="標楷體" w:hAnsi="標楷體" w:hint="eastAsia"/>
          <w:szCs w:val="24"/>
        </w:rPr>
        <w:t>已分別規劃出訪推廣賽會國際行銷計畫或國際網路行銷案，</w:t>
      </w:r>
      <w:proofErr w:type="gramStart"/>
      <w:r w:rsidR="00406878" w:rsidRPr="002131A4">
        <w:rPr>
          <w:rFonts w:ascii="標楷體" w:eastAsia="標楷體" w:hAnsi="標楷體" w:hint="eastAsia"/>
          <w:szCs w:val="24"/>
        </w:rPr>
        <w:t>期催使</w:t>
      </w:r>
      <w:proofErr w:type="gramEnd"/>
      <w:r w:rsidR="00406878" w:rsidRPr="002131A4">
        <w:rPr>
          <w:rFonts w:ascii="標楷體" w:eastAsia="標楷體" w:hAnsi="標楷體" w:hint="eastAsia"/>
          <w:szCs w:val="24"/>
        </w:rPr>
        <w:t>國外選手儘速報名。案經追蹤覆核結果，該局</w:t>
      </w:r>
      <w:proofErr w:type="gramStart"/>
      <w:r w:rsidR="00406878" w:rsidRPr="002131A4">
        <w:rPr>
          <w:rFonts w:ascii="標楷體" w:eastAsia="標楷體" w:hAnsi="標楷體" w:hint="eastAsia"/>
          <w:szCs w:val="24"/>
        </w:rPr>
        <w:t>113</w:t>
      </w:r>
      <w:proofErr w:type="gramEnd"/>
      <w:r w:rsidR="00406878" w:rsidRPr="002131A4">
        <w:rPr>
          <w:rFonts w:ascii="標楷體" w:eastAsia="標楷體" w:hAnsi="標楷體" w:hint="eastAsia"/>
          <w:szCs w:val="24"/>
        </w:rPr>
        <w:t>年度運用社群媒體加強行銷</w:t>
      </w:r>
      <w:proofErr w:type="gramStart"/>
      <w:r w:rsidR="00406878" w:rsidRPr="002131A4">
        <w:rPr>
          <w:rFonts w:ascii="標楷體" w:eastAsia="標楷體" w:hAnsi="標楷體" w:hint="eastAsia"/>
          <w:szCs w:val="24"/>
        </w:rPr>
        <w:t>世壯運</w:t>
      </w:r>
      <w:proofErr w:type="gramEnd"/>
      <w:r w:rsidR="00406878" w:rsidRPr="002131A4">
        <w:rPr>
          <w:rFonts w:ascii="標楷體" w:eastAsia="標楷體" w:hAnsi="標楷體" w:hint="eastAsia"/>
          <w:szCs w:val="24"/>
        </w:rPr>
        <w:t>相關資訊，並率團出訪三大洲五個國家（包括日本、新加坡、紐西蘭、澳洲、英國等）辦理國際宣傳及</w:t>
      </w:r>
      <w:proofErr w:type="gramStart"/>
      <w:r w:rsidR="00406878" w:rsidRPr="002131A4">
        <w:rPr>
          <w:rFonts w:ascii="標楷體" w:eastAsia="標楷體" w:hAnsi="標楷體" w:hint="eastAsia"/>
          <w:szCs w:val="24"/>
        </w:rPr>
        <w:t>誘</w:t>
      </w:r>
      <w:proofErr w:type="gramEnd"/>
      <w:r w:rsidR="00406878" w:rsidRPr="002131A4">
        <w:rPr>
          <w:rFonts w:ascii="標楷體" w:eastAsia="標楷體" w:hAnsi="標楷體" w:hint="eastAsia"/>
          <w:szCs w:val="24"/>
        </w:rPr>
        <w:t>客計畫，惟2025</w:t>
      </w:r>
      <w:proofErr w:type="gramStart"/>
      <w:r w:rsidR="00406878" w:rsidRPr="002131A4">
        <w:rPr>
          <w:rFonts w:ascii="標楷體" w:eastAsia="標楷體" w:hAnsi="標楷體" w:hint="eastAsia"/>
          <w:szCs w:val="24"/>
        </w:rPr>
        <w:t>世壯運</w:t>
      </w:r>
      <w:proofErr w:type="gramEnd"/>
      <w:r w:rsidR="00406878" w:rsidRPr="002131A4">
        <w:rPr>
          <w:rFonts w:ascii="標楷體" w:eastAsia="標楷體" w:hAnsi="標楷體" w:hint="eastAsia"/>
          <w:szCs w:val="24"/>
        </w:rPr>
        <w:t>報名結束後，實際報名參賽者為25,938人，</w:t>
      </w:r>
      <w:proofErr w:type="gramStart"/>
      <w:r w:rsidR="00406878" w:rsidRPr="002131A4">
        <w:rPr>
          <w:rFonts w:ascii="標楷體" w:eastAsia="標楷體" w:hAnsi="標楷體" w:hint="eastAsia"/>
          <w:szCs w:val="24"/>
        </w:rPr>
        <w:t>僅占原預估</w:t>
      </w:r>
      <w:proofErr w:type="gramEnd"/>
      <w:r w:rsidR="00406878" w:rsidRPr="002131A4">
        <w:rPr>
          <w:rFonts w:ascii="標楷體" w:eastAsia="標楷體" w:hAnsi="標楷體" w:hint="eastAsia"/>
          <w:szCs w:val="24"/>
        </w:rPr>
        <w:t>總參賽人數3萬人之86.46％，且報名人數以國內選手為主，計19,391人（占總報名人數之74.76％），並以雙北市民報名最為踴躍（占43.76％），而國外報名人數為6,547人，僅占整體之</w:t>
      </w:r>
      <w:proofErr w:type="gramStart"/>
      <w:r w:rsidR="00406878" w:rsidRPr="002131A4">
        <w:rPr>
          <w:rFonts w:ascii="標楷體" w:eastAsia="標楷體" w:hAnsi="標楷體" w:hint="eastAsia"/>
          <w:szCs w:val="24"/>
        </w:rPr>
        <w:t>2成</w:t>
      </w:r>
      <w:proofErr w:type="gramEnd"/>
      <w:r w:rsidR="00406878" w:rsidRPr="002131A4">
        <w:rPr>
          <w:rFonts w:ascii="標楷體" w:eastAsia="標楷體" w:hAnsi="標楷體" w:hint="eastAsia"/>
          <w:szCs w:val="24"/>
        </w:rPr>
        <w:t>5（表</w:t>
      </w:r>
      <w:r w:rsidR="00406878">
        <w:rPr>
          <w:rFonts w:ascii="標楷體" w:eastAsia="標楷體" w:hAnsi="標楷體" w:hint="eastAsia"/>
          <w:szCs w:val="24"/>
        </w:rPr>
        <w:t>1</w:t>
      </w:r>
      <w:r w:rsidR="00406878" w:rsidRPr="002131A4">
        <w:rPr>
          <w:rFonts w:ascii="標楷體" w:eastAsia="標楷體" w:hAnsi="標楷體" w:hint="eastAsia"/>
          <w:szCs w:val="24"/>
        </w:rPr>
        <w:t>），亦有較預計目標15,000人，減少8,453人，約56.35％情事。該賽會國際行銷宣傳及</w:t>
      </w:r>
      <w:proofErr w:type="gramStart"/>
      <w:r w:rsidR="00406878" w:rsidRPr="002131A4">
        <w:rPr>
          <w:rFonts w:ascii="標楷體" w:eastAsia="標楷體" w:hAnsi="標楷體" w:hint="eastAsia"/>
          <w:szCs w:val="24"/>
        </w:rPr>
        <w:t>誘</w:t>
      </w:r>
      <w:proofErr w:type="gramEnd"/>
      <w:r w:rsidR="00406878" w:rsidRPr="002131A4">
        <w:rPr>
          <w:rFonts w:ascii="標楷體" w:eastAsia="標楷體" w:hAnsi="標楷體" w:hint="eastAsia"/>
          <w:szCs w:val="24"/>
        </w:rPr>
        <w:t>客計畫成效仍欠理想，致原預定舉辦之35種類運動賽事，有15種類賽事（占42.86％）報名率低於</w:t>
      </w:r>
      <w:proofErr w:type="gramStart"/>
      <w:r w:rsidR="00406878" w:rsidRPr="002131A4">
        <w:rPr>
          <w:rFonts w:ascii="標楷體" w:eastAsia="標楷體" w:hAnsi="標楷體" w:hint="eastAsia"/>
          <w:szCs w:val="24"/>
        </w:rPr>
        <w:t>6成</w:t>
      </w:r>
      <w:proofErr w:type="gramEnd"/>
      <w:r w:rsidR="00406878" w:rsidRPr="002131A4">
        <w:rPr>
          <w:rFonts w:ascii="標楷體" w:eastAsia="標楷體" w:hAnsi="標楷體" w:hint="eastAsia"/>
          <w:szCs w:val="24"/>
        </w:rPr>
        <w:t>，恐有降低比賽競爭性，影響民眾觀賽及廠商投放相關廣告或贊助意願之虞；且因各市縣競賽場館之本國選手占整體參賽人次多逾</w:t>
      </w:r>
      <w:proofErr w:type="gramStart"/>
      <w:r w:rsidR="00406878" w:rsidRPr="002131A4">
        <w:rPr>
          <w:rFonts w:ascii="標楷體" w:eastAsia="標楷體" w:hAnsi="標楷體" w:hint="eastAsia"/>
          <w:szCs w:val="24"/>
        </w:rPr>
        <w:t>7成</w:t>
      </w:r>
      <w:proofErr w:type="gramEnd"/>
      <w:r w:rsidR="00406878" w:rsidRPr="002131A4">
        <w:rPr>
          <w:rFonts w:ascii="標楷體" w:eastAsia="標楷體" w:hAnsi="標楷體" w:hint="eastAsia"/>
          <w:szCs w:val="24"/>
        </w:rPr>
        <w:t>，並以雙北市民為主，外國選手僅介於19.49％至30.12％</w:t>
      </w:r>
      <w:proofErr w:type="gramStart"/>
      <w:r w:rsidR="00406878" w:rsidRPr="002131A4">
        <w:rPr>
          <w:rFonts w:ascii="標楷體" w:eastAsia="標楷體" w:hAnsi="標楷體" w:hint="eastAsia"/>
          <w:szCs w:val="24"/>
        </w:rPr>
        <w:t>之間，</w:t>
      </w:r>
      <w:proofErr w:type="gramEnd"/>
      <w:r w:rsidR="00406878" w:rsidRPr="002131A4">
        <w:rPr>
          <w:rFonts w:ascii="標楷體" w:eastAsia="標楷體" w:hAnsi="標楷體" w:hint="eastAsia"/>
          <w:szCs w:val="24"/>
        </w:rPr>
        <w:t>比率偏低（表</w:t>
      </w:r>
      <w:r w:rsidR="00406878">
        <w:rPr>
          <w:rFonts w:ascii="標楷體" w:eastAsia="標楷體" w:hAnsi="標楷體" w:hint="eastAsia"/>
          <w:szCs w:val="24"/>
        </w:rPr>
        <w:t>2</w:t>
      </w:r>
      <w:r w:rsidR="00406878" w:rsidRPr="002131A4">
        <w:rPr>
          <w:rFonts w:ascii="標楷體" w:eastAsia="標楷體" w:hAnsi="標楷體" w:hint="eastAsia"/>
          <w:szCs w:val="24"/>
        </w:rPr>
        <w:t>），致能為舉辦賽事城市帶來觀光、住宿、餐飲等產業經濟效益大打折扣，復經以雙北市政府原預估每位國內、國外參賽者於主協辦城市花費可為當地創造新臺幣34,500元及3,500歐元（約新臺幣115,000元）之經濟效益計算，概估該計畫執行結果，經濟效益至少減少8億2,060萬餘元，約36.59％，顯未如預期等情事</w:t>
      </w:r>
      <w:r w:rsidR="00406878" w:rsidRPr="002131A4">
        <w:rPr>
          <w:rFonts w:ascii="標楷體" w:eastAsia="標楷體" w:hAnsi="標楷體" w:hint="eastAsia"/>
          <w:szCs w:val="24"/>
          <w:lang w:eastAsia="zh-HK"/>
        </w:rPr>
        <w:t>，經函請深入檢討癥結，並</w:t>
      </w:r>
      <w:proofErr w:type="gramStart"/>
      <w:r w:rsidR="00406878" w:rsidRPr="002131A4">
        <w:rPr>
          <w:rFonts w:ascii="標楷體" w:eastAsia="標楷體" w:hAnsi="標楷體" w:hint="eastAsia"/>
          <w:szCs w:val="24"/>
        </w:rPr>
        <w:t>研</w:t>
      </w:r>
      <w:proofErr w:type="gramEnd"/>
      <w:r w:rsidR="00406878" w:rsidRPr="002131A4">
        <w:rPr>
          <w:rFonts w:ascii="標楷體" w:eastAsia="標楷體" w:hAnsi="標楷體" w:hint="eastAsia"/>
          <w:szCs w:val="24"/>
        </w:rPr>
        <w:t>謀改善，以提升未來籌辦類此大型國際運動賽會執行成效。據復：</w:t>
      </w:r>
      <w:proofErr w:type="gramStart"/>
      <w:r w:rsidR="00406878" w:rsidRPr="002131A4">
        <w:rPr>
          <w:rFonts w:ascii="標楷體" w:eastAsia="標楷體" w:hAnsi="標楷體" w:hint="eastAsia"/>
          <w:szCs w:val="24"/>
        </w:rPr>
        <w:t>鑑</w:t>
      </w:r>
      <w:proofErr w:type="gramEnd"/>
      <w:r w:rsidR="00406878" w:rsidRPr="002131A4">
        <w:rPr>
          <w:rFonts w:ascii="標楷體" w:eastAsia="標楷體" w:hAnsi="標楷體" w:hint="eastAsia"/>
          <w:szCs w:val="24"/>
        </w:rPr>
        <w:t>於</w:t>
      </w:r>
      <w:proofErr w:type="gramStart"/>
      <w:r w:rsidR="00406878" w:rsidRPr="002131A4">
        <w:rPr>
          <w:rFonts w:ascii="標楷體" w:eastAsia="標楷體" w:hAnsi="標楷體" w:hint="eastAsia"/>
          <w:szCs w:val="24"/>
        </w:rPr>
        <w:t>世壯運</w:t>
      </w:r>
      <w:proofErr w:type="gramEnd"/>
      <w:r w:rsidR="00406878" w:rsidRPr="002131A4">
        <w:rPr>
          <w:rFonts w:ascii="標楷體" w:eastAsia="標楷體" w:hAnsi="標楷體" w:hint="eastAsia"/>
          <w:szCs w:val="24"/>
        </w:rPr>
        <w:t>第一次在亞洲舉辦，亞洲各國較不熟悉壯年運動文化，致外國運動員報名數量並非理想，惟經本屆賽會後應可大幅提升壯年運動在亞洲之推廣情形；另因</w:t>
      </w:r>
      <w:proofErr w:type="gramStart"/>
      <w:r w:rsidR="00406878" w:rsidRPr="002131A4">
        <w:rPr>
          <w:rFonts w:ascii="標楷體" w:eastAsia="標楷體" w:hAnsi="標楷體" w:hint="eastAsia"/>
          <w:szCs w:val="24"/>
        </w:rPr>
        <w:t>世壯運</w:t>
      </w:r>
      <w:proofErr w:type="gramEnd"/>
      <w:r w:rsidR="00406878" w:rsidRPr="002131A4">
        <w:rPr>
          <w:rFonts w:ascii="標楷體" w:eastAsia="標楷體" w:hAnsi="標楷體" w:hint="eastAsia"/>
          <w:szCs w:val="24"/>
        </w:rPr>
        <w:t>參加者只需有參加意願即可報名，故有報名對象不確定之疑慮，未來若再度舉辦類此賽事，則可針對各國參與人口較多之運動種類進行特定對象宣傳，以提升報名率。</w:t>
      </w:r>
    </w:p>
    <w:p w14:paraId="027E6626" w14:textId="1C598005" w:rsidR="00496E74" w:rsidRPr="002131A4" w:rsidRDefault="00496E74" w:rsidP="0022023A">
      <w:pPr>
        <w:overflowPunct w:val="0"/>
        <w:autoSpaceDE w:val="0"/>
        <w:autoSpaceDN w:val="0"/>
        <w:spacing w:beforeLines="20" w:before="72" w:line="426" w:lineRule="exact"/>
        <w:ind w:firstLineChars="200" w:firstLine="480"/>
        <w:jc w:val="both"/>
        <w:outlineLvl w:val="1"/>
        <w:rPr>
          <w:rFonts w:ascii="標楷體" w:eastAsia="標楷體" w:hAnsi="標楷體"/>
          <w:szCs w:val="24"/>
        </w:rPr>
      </w:pPr>
      <w:r w:rsidRPr="002131A4">
        <w:rPr>
          <w:rFonts w:ascii="標楷體" w:eastAsia="標楷體" w:hAnsi="標楷體" w:cs="新細明體" w:hint="eastAsia"/>
          <w:b/>
          <w:color w:val="000000"/>
          <w:kern w:val="0"/>
          <w:szCs w:val="24"/>
        </w:rPr>
        <w:t>（2）</w:t>
      </w:r>
      <w:r w:rsidRPr="00496E74">
        <w:rPr>
          <w:rFonts w:ascii="標楷體" w:eastAsia="標楷體" w:hAnsi="標楷體" w:cs="新細明體" w:hint="eastAsia"/>
          <w:b/>
          <w:color w:val="000000"/>
          <w:spacing w:val="2"/>
          <w:kern w:val="0"/>
          <w:szCs w:val="24"/>
        </w:rPr>
        <w:t>為鼓勵全民參與2025</w:t>
      </w:r>
      <w:proofErr w:type="gramStart"/>
      <w:r w:rsidRPr="00496E74">
        <w:rPr>
          <w:rFonts w:ascii="標楷體" w:eastAsia="標楷體" w:hAnsi="標楷體" w:cs="新細明體" w:hint="eastAsia"/>
          <w:b/>
          <w:color w:val="000000"/>
          <w:spacing w:val="2"/>
          <w:kern w:val="0"/>
          <w:szCs w:val="24"/>
        </w:rPr>
        <w:t>世壯運</w:t>
      </w:r>
      <w:proofErr w:type="gramEnd"/>
      <w:r w:rsidRPr="00496E74">
        <w:rPr>
          <w:rFonts w:ascii="標楷體" w:eastAsia="標楷體" w:hAnsi="標楷體" w:cs="新細明體" w:hint="eastAsia"/>
          <w:b/>
          <w:color w:val="000000"/>
          <w:spacing w:val="2"/>
          <w:kern w:val="0"/>
          <w:szCs w:val="24"/>
        </w:rPr>
        <w:t>賽會志願服務工作，辦理志工招募計畫，惟仍有部分協辦市縣及逾</w:t>
      </w:r>
      <w:proofErr w:type="gramStart"/>
      <w:r w:rsidRPr="00496E74">
        <w:rPr>
          <w:rFonts w:ascii="標楷體" w:eastAsia="標楷體" w:hAnsi="標楷體" w:cs="新細明體" w:hint="eastAsia"/>
          <w:b/>
          <w:color w:val="000000"/>
          <w:spacing w:val="2"/>
          <w:kern w:val="0"/>
          <w:szCs w:val="24"/>
        </w:rPr>
        <w:t>3成</w:t>
      </w:r>
      <w:proofErr w:type="gramEnd"/>
      <w:r w:rsidRPr="00496E74">
        <w:rPr>
          <w:rFonts w:ascii="標楷體" w:eastAsia="標楷體" w:hAnsi="標楷體" w:cs="新細明體" w:hint="eastAsia"/>
          <w:b/>
          <w:color w:val="000000"/>
          <w:spacing w:val="2"/>
          <w:kern w:val="0"/>
          <w:szCs w:val="24"/>
        </w:rPr>
        <w:t>競賽場館之語言志工嚴重不足，亟待積極檢討改善，以確保賽會整體服務品質：</w:t>
      </w:r>
      <w:r w:rsidRPr="00496E74">
        <w:rPr>
          <w:rFonts w:ascii="標楷體" w:eastAsia="標楷體" w:hAnsi="標楷體" w:hint="eastAsia"/>
          <w:spacing w:val="2"/>
          <w:szCs w:val="24"/>
        </w:rPr>
        <w:t>體育局為提供2025</w:t>
      </w:r>
      <w:proofErr w:type="gramStart"/>
      <w:r w:rsidRPr="00496E74">
        <w:rPr>
          <w:rFonts w:ascii="標楷體" w:eastAsia="標楷體" w:hAnsi="標楷體" w:hint="eastAsia"/>
          <w:spacing w:val="2"/>
          <w:szCs w:val="24"/>
        </w:rPr>
        <w:t>世壯運</w:t>
      </w:r>
      <w:proofErr w:type="gramEnd"/>
      <w:r w:rsidRPr="00496E74">
        <w:rPr>
          <w:rFonts w:ascii="標楷體" w:eastAsia="標楷體" w:hAnsi="標楷體" w:hint="eastAsia"/>
          <w:spacing w:val="2"/>
          <w:szCs w:val="24"/>
        </w:rPr>
        <w:t>賽會優質志願服務，強化臺灣為友善國家之形象，委託臺北市政府社會局代辦「委託辦理『2025雙北世界壯年運動會』志工服務中心」勞務採購案，契約價金989萬餘元，於113年2月21日至114年8月31日</w:t>
      </w:r>
      <w:proofErr w:type="gramStart"/>
      <w:r w:rsidRPr="00496E74">
        <w:rPr>
          <w:rFonts w:ascii="標楷體" w:eastAsia="標楷體" w:hAnsi="標楷體" w:hint="eastAsia"/>
          <w:spacing w:val="2"/>
          <w:szCs w:val="24"/>
        </w:rPr>
        <w:t>期間，</w:t>
      </w:r>
      <w:proofErr w:type="gramEnd"/>
      <w:r w:rsidRPr="00496E74">
        <w:rPr>
          <w:rFonts w:ascii="標楷體" w:eastAsia="標楷體" w:hAnsi="標楷體" w:hint="eastAsia"/>
          <w:spacing w:val="2"/>
          <w:szCs w:val="24"/>
        </w:rPr>
        <w:t>委外設置志工服務中心，統整該賽會志工招募、培訓、排班及運用與獎勵等措施。據統計，截至114年3月11日止，2025</w:t>
      </w:r>
      <w:proofErr w:type="gramStart"/>
      <w:r w:rsidRPr="00496E74">
        <w:rPr>
          <w:rFonts w:ascii="標楷體" w:eastAsia="標楷體" w:hAnsi="標楷體" w:hint="eastAsia"/>
          <w:spacing w:val="2"/>
          <w:szCs w:val="24"/>
        </w:rPr>
        <w:t>世壯運</w:t>
      </w:r>
      <w:proofErr w:type="gramEnd"/>
      <w:r w:rsidRPr="00496E74">
        <w:rPr>
          <w:rFonts w:ascii="標楷體" w:eastAsia="標楷體" w:hAnsi="標楷體" w:hint="eastAsia"/>
          <w:spacing w:val="2"/>
          <w:szCs w:val="24"/>
        </w:rPr>
        <w:t>已招募一般志工</w:t>
      </w:r>
    </w:p>
    <w:p w14:paraId="5636D7F7" w14:textId="3D916178" w:rsidR="00406878" w:rsidRPr="002131A4" w:rsidRDefault="00406878" w:rsidP="00496E74">
      <w:pPr>
        <w:overflowPunct w:val="0"/>
        <w:autoSpaceDE w:val="0"/>
        <w:autoSpaceDN w:val="0"/>
        <w:spacing w:line="440" w:lineRule="exact"/>
        <w:jc w:val="both"/>
        <w:outlineLvl w:val="1"/>
        <w:rPr>
          <w:rFonts w:ascii="標楷體" w:eastAsia="標楷體" w:hAnsi="標楷體" w:cs="新細明體"/>
          <w:b/>
          <w:color w:val="000000"/>
          <w:kern w:val="0"/>
          <w:szCs w:val="24"/>
        </w:rPr>
      </w:pPr>
      <w:r w:rsidRPr="002131A4">
        <w:rPr>
          <w:rFonts w:ascii="標楷體" w:eastAsia="標楷體" w:hAnsi="標楷體" w:hint="eastAsia"/>
          <w:noProof/>
        </w:rPr>
        <w:lastRenderedPageBreak/>
        <mc:AlternateContent>
          <mc:Choice Requires="wps">
            <w:drawing>
              <wp:anchor distT="45720" distB="45720" distL="114300" distR="114300" simplePos="0" relativeHeight="251817984" behindDoc="1" locked="0" layoutInCell="1" allowOverlap="1" wp14:anchorId="3E64B5BC" wp14:editId="6BFD02EC">
                <wp:simplePos x="0" y="0"/>
                <wp:positionH relativeFrom="margin">
                  <wp:posOffset>2603764</wp:posOffset>
                </wp:positionH>
                <wp:positionV relativeFrom="page">
                  <wp:posOffset>1802130</wp:posOffset>
                </wp:positionV>
                <wp:extent cx="3707765" cy="4572000"/>
                <wp:effectExtent l="0" t="0" r="0" b="0"/>
                <wp:wrapTight wrapText="bothSides">
                  <wp:wrapPolygon edited="0">
                    <wp:start x="333" y="0"/>
                    <wp:lineTo x="333" y="21510"/>
                    <wp:lineTo x="21197" y="21510"/>
                    <wp:lineTo x="21197" y="0"/>
                    <wp:lineTo x="333" y="0"/>
                  </wp:wrapPolygon>
                </wp:wrapTight>
                <wp:docPr id="76" name="文字方塊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765" cy="4572000"/>
                        </a:xfrm>
                        <a:prstGeom prst="rect">
                          <a:avLst/>
                        </a:prstGeom>
                        <a:noFill/>
                        <a:ln w="9525">
                          <a:noFill/>
                          <a:miter lim="800000"/>
                          <a:headEnd/>
                          <a:tailEnd/>
                        </a:ln>
                      </wps:spPr>
                      <wps:txbx>
                        <w:txbxContent>
                          <w:tbl>
                            <w:tblPr>
                              <w:tblW w:w="5784" w:type="dxa"/>
                              <w:jc w:val="center"/>
                              <w:tblCellMar>
                                <w:left w:w="28" w:type="dxa"/>
                                <w:right w:w="28" w:type="dxa"/>
                              </w:tblCellMar>
                              <w:tblLook w:val="04A0" w:firstRow="1" w:lastRow="0" w:firstColumn="1" w:lastColumn="0" w:noHBand="0" w:noVBand="1"/>
                            </w:tblPr>
                            <w:tblGrid>
                              <w:gridCol w:w="426"/>
                              <w:gridCol w:w="624"/>
                              <w:gridCol w:w="2126"/>
                              <w:gridCol w:w="1134"/>
                              <w:gridCol w:w="737"/>
                              <w:gridCol w:w="737"/>
                            </w:tblGrid>
                            <w:tr w:rsidR="00406878" w:rsidRPr="007F45CD" w14:paraId="47B7CD8D" w14:textId="77777777" w:rsidTr="00704862">
                              <w:trPr>
                                <w:trHeight w:val="20"/>
                                <w:jc w:val="center"/>
                              </w:trPr>
                              <w:tc>
                                <w:tcPr>
                                  <w:tcW w:w="5784" w:type="dxa"/>
                                  <w:gridSpan w:val="6"/>
                                  <w:noWrap/>
                                  <w:vAlign w:val="center"/>
                                  <w:hideMark/>
                                </w:tcPr>
                                <w:p w14:paraId="373D5A23" w14:textId="77777777" w:rsidR="00406878" w:rsidRPr="007F45CD" w:rsidRDefault="00406878" w:rsidP="00017DC3">
                                  <w:pPr>
                                    <w:spacing w:line="240" w:lineRule="exact"/>
                                    <w:jc w:val="center"/>
                                    <w:rPr>
                                      <w:rFonts w:ascii="標楷體" w:eastAsia="標楷體" w:hAnsi="標楷體" w:cs="Calibri"/>
                                      <w:b/>
                                      <w:color w:val="000000"/>
                                      <w:szCs w:val="24"/>
                                    </w:rPr>
                                  </w:pPr>
                                  <w:r w:rsidRPr="007F45CD">
                                    <w:rPr>
                                      <w:rFonts w:ascii="標楷體" w:eastAsia="標楷體" w:hAnsi="標楷體" w:cs="Calibri" w:hint="eastAsia"/>
                                      <w:b/>
                                      <w:color w:val="000000"/>
                                      <w:szCs w:val="24"/>
                                    </w:rPr>
                                    <w:t>表</w:t>
                                  </w:r>
                                  <w:r>
                                    <w:rPr>
                                      <w:rFonts w:ascii="標楷體" w:eastAsia="標楷體" w:hAnsi="標楷體" w:cs="Calibri" w:hint="eastAsia"/>
                                      <w:b/>
                                      <w:color w:val="000000"/>
                                      <w:szCs w:val="24"/>
                                    </w:rPr>
                                    <w:t>3</w:t>
                                  </w:r>
                                  <w:r w:rsidRPr="007F45CD">
                                    <w:rPr>
                                      <w:rFonts w:ascii="標楷體" w:eastAsia="標楷體" w:hAnsi="標楷體" w:cs="Calibri" w:hint="eastAsia"/>
                                      <w:b/>
                                      <w:color w:val="000000"/>
                                      <w:szCs w:val="24"/>
                                    </w:rPr>
                                    <w:t xml:space="preserve">  2025</w:t>
                                  </w:r>
                                  <w:proofErr w:type="gramStart"/>
                                  <w:r w:rsidRPr="007F45CD">
                                    <w:rPr>
                                      <w:rFonts w:ascii="標楷體" w:eastAsia="標楷體" w:hAnsi="標楷體" w:cs="Calibri" w:hint="eastAsia"/>
                                      <w:b/>
                                      <w:color w:val="000000"/>
                                      <w:szCs w:val="24"/>
                                    </w:rPr>
                                    <w:t>世壯運場館志</w:t>
                                  </w:r>
                                  <w:proofErr w:type="gramEnd"/>
                                  <w:r w:rsidRPr="007F45CD">
                                    <w:rPr>
                                      <w:rFonts w:ascii="標楷體" w:eastAsia="標楷體" w:hAnsi="標楷體" w:cs="Calibri" w:hint="eastAsia"/>
                                      <w:b/>
                                      <w:color w:val="000000"/>
                                      <w:szCs w:val="24"/>
                                    </w:rPr>
                                    <w:t>工排班率情形</w:t>
                                  </w:r>
                                </w:p>
                              </w:tc>
                            </w:tr>
                            <w:tr w:rsidR="00406878" w:rsidRPr="007F45CD" w14:paraId="769FF7FD" w14:textId="77777777" w:rsidTr="00704862">
                              <w:trPr>
                                <w:trHeight w:val="20"/>
                                <w:jc w:val="center"/>
                              </w:trPr>
                              <w:tc>
                                <w:tcPr>
                                  <w:tcW w:w="5784" w:type="dxa"/>
                                  <w:gridSpan w:val="6"/>
                                  <w:tcBorders>
                                    <w:top w:val="nil"/>
                                    <w:left w:val="nil"/>
                                    <w:bottom w:val="single" w:sz="4" w:space="0" w:color="auto"/>
                                    <w:right w:val="nil"/>
                                  </w:tcBorders>
                                  <w:noWrap/>
                                  <w:vAlign w:val="center"/>
                                  <w:hideMark/>
                                </w:tcPr>
                                <w:p w14:paraId="71557615" w14:textId="77777777" w:rsidR="00406878" w:rsidRPr="007F45CD" w:rsidRDefault="00406878" w:rsidP="00381E04">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單位：％</w:t>
                                  </w:r>
                                </w:p>
                              </w:tc>
                            </w:tr>
                            <w:tr w:rsidR="00406878" w:rsidRPr="007F45CD" w14:paraId="59BE4A1E" w14:textId="77777777" w:rsidTr="00955612">
                              <w:trPr>
                                <w:trHeight w:val="46"/>
                                <w:jc w:val="center"/>
                              </w:trPr>
                              <w:tc>
                                <w:tcPr>
                                  <w:tcW w:w="426" w:type="dxa"/>
                                  <w:vMerge w:val="restart"/>
                                  <w:tcBorders>
                                    <w:top w:val="single" w:sz="4" w:space="0" w:color="auto"/>
                                    <w:left w:val="single" w:sz="4" w:space="0" w:color="auto"/>
                                    <w:bottom w:val="single" w:sz="4" w:space="0" w:color="auto"/>
                                    <w:right w:val="single" w:sz="4" w:space="0" w:color="auto"/>
                                  </w:tcBorders>
                                  <w:noWrap/>
                                  <w:vAlign w:val="center"/>
                                  <w:hideMark/>
                                </w:tcPr>
                                <w:p w14:paraId="71F9A88E" w14:textId="77777777" w:rsidR="00406878" w:rsidRPr="007F45CD" w:rsidRDefault="00406878" w:rsidP="00955612">
                                  <w:pPr>
                                    <w:spacing w:line="200" w:lineRule="exact"/>
                                    <w:jc w:val="center"/>
                                    <w:rPr>
                                      <w:rFonts w:ascii="標楷體" w:eastAsia="標楷體" w:hAnsi="標楷體" w:cs="Calibri"/>
                                      <w:color w:val="000000"/>
                                      <w:spacing w:val="-8"/>
                                      <w:sz w:val="20"/>
                                      <w:szCs w:val="20"/>
                                    </w:rPr>
                                  </w:pPr>
                                  <w:r w:rsidRPr="007F45CD">
                                    <w:rPr>
                                      <w:rFonts w:ascii="標楷體" w:eastAsia="標楷體" w:hAnsi="標楷體" w:cs="Calibri" w:hint="eastAsia"/>
                                      <w:color w:val="000000"/>
                                      <w:spacing w:val="-8"/>
                                      <w:sz w:val="20"/>
                                      <w:szCs w:val="20"/>
                                    </w:rPr>
                                    <w:t>序號</w:t>
                                  </w:r>
                                </w:p>
                              </w:tc>
                              <w:tc>
                                <w:tcPr>
                                  <w:tcW w:w="624" w:type="dxa"/>
                                  <w:vMerge w:val="restart"/>
                                  <w:tcBorders>
                                    <w:top w:val="single" w:sz="4" w:space="0" w:color="auto"/>
                                    <w:left w:val="single" w:sz="4" w:space="0" w:color="auto"/>
                                    <w:bottom w:val="single" w:sz="4" w:space="0" w:color="auto"/>
                                    <w:right w:val="single" w:sz="4" w:space="0" w:color="auto"/>
                                  </w:tcBorders>
                                  <w:noWrap/>
                                  <w:vAlign w:val="center"/>
                                  <w:hideMark/>
                                </w:tcPr>
                                <w:p w14:paraId="11C45556"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roofErr w:type="gramStart"/>
                                  <w:r w:rsidRPr="00704862">
                                    <w:rPr>
                                      <w:rFonts w:ascii="標楷體" w:eastAsia="標楷體" w:hAnsi="標楷體" w:cs="Calibri" w:hint="eastAsia"/>
                                      <w:color w:val="000000"/>
                                      <w:spacing w:val="-16"/>
                                      <w:sz w:val="20"/>
                                      <w:szCs w:val="20"/>
                                    </w:rPr>
                                    <w:t>市縣別</w:t>
                                  </w:r>
                                  <w:proofErr w:type="gramEnd"/>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340A808F" w14:textId="77777777" w:rsidR="00406878" w:rsidRPr="007F45CD" w:rsidRDefault="00406878" w:rsidP="00017DC3">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場館</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1F2D042" w14:textId="77777777" w:rsidR="00406878" w:rsidRPr="007F45CD" w:rsidRDefault="00406878" w:rsidP="00017DC3">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運動科目</w:t>
                                  </w:r>
                                </w:p>
                              </w:tc>
                              <w:tc>
                                <w:tcPr>
                                  <w:tcW w:w="1474" w:type="dxa"/>
                                  <w:gridSpan w:val="2"/>
                                  <w:tcBorders>
                                    <w:top w:val="single" w:sz="4" w:space="0" w:color="auto"/>
                                    <w:left w:val="single" w:sz="4" w:space="0" w:color="auto"/>
                                    <w:bottom w:val="single" w:sz="4" w:space="0" w:color="auto"/>
                                    <w:right w:val="single" w:sz="4" w:space="0" w:color="auto"/>
                                  </w:tcBorders>
                                  <w:noWrap/>
                                  <w:vAlign w:val="center"/>
                                  <w:hideMark/>
                                </w:tcPr>
                                <w:p w14:paraId="2B2C3371" w14:textId="77777777" w:rsidR="00406878" w:rsidRPr="007F45CD" w:rsidRDefault="00406878" w:rsidP="00017DC3">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排班率</w:t>
                                  </w:r>
                                </w:p>
                              </w:tc>
                            </w:tr>
                            <w:tr w:rsidR="00406878" w:rsidRPr="007F45CD" w14:paraId="537D1407" w14:textId="77777777" w:rsidTr="00955612">
                              <w:trPr>
                                <w:trHeight w:val="20"/>
                                <w:jc w:val="center"/>
                              </w:trPr>
                              <w:tc>
                                <w:tcPr>
                                  <w:tcW w:w="426" w:type="dxa"/>
                                  <w:vMerge/>
                                  <w:tcBorders>
                                    <w:top w:val="single" w:sz="4" w:space="0" w:color="auto"/>
                                    <w:left w:val="single" w:sz="4" w:space="0" w:color="auto"/>
                                    <w:bottom w:val="single" w:sz="4" w:space="0" w:color="auto"/>
                                    <w:right w:val="single" w:sz="4" w:space="0" w:color="auto"/>
                                  </w:tcBorders>
                                  <w:vAlign w:val="center"/>
                                  <w:hideMark/>
                                </w:tcPr>
                                <w:p w14:paraId="742E5975" w14:textId="77777777" w:rsidR="00406878" w:rsidRPr="007F45CD" w:rsidRDefault="00406878" w:rsidP="00955612">
                                  <w:pPr>
                                    <w:spacing w:line="200" w:lineRule="exact"/>
                                    <w:jc w:val="center"/>
                                    <w:rPr>
                                      <w:rFonts w:ascii="標楷體" w:eastAsia="標楷體" w:hAnsi="標楷體" w:cs="Calibri"/>
                                      <w:color w:val="000000"/>
                                      <w:spacing w:val="-8"/>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12AC14F"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5046CB71" w14:textId="77777777" w:rsidR="00406878" w:rsidRPr="007F45CD" w:rsidRDefault="00406878" w:rsidP="00017DC3">
                                  <w:pPr>
                                    <w:spacing w:line="200" w:lineRule="exact"/>
                                    <w:rPr>
                                      <w:rFonts w:ascii="標楷體" w:eastAsia="標楷體" w:hAnsi="標楷體" w:cs="Calibri"/>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6F77C6D" w14:textId="77777777" w:rsidR="00406878" w:rsidRPr="007F45CD" w:rsidRDefault="00406878" w:rsidP="00017DC3">
                                  <w:pPr>
                                    <w:spacing w:line="200" w:lineRule="exact"/>
                                    <w:rPr>
                                      <w:rFonts w:ascii="標楷體" w:eastAsia="標楷體" w:hAnsi="標楷體" w:cs="Calibri"/>
                                      <w:color w:val="000000"/>
                                      <w:sz w:val="20"/>
                                      <w:szCs w:val="20"/>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F6D3B4A" w14:textId="77777777" w:rsidR="00406878" w:rsidRPr="007F45CD" w:rsidRDefault="00406878" w:rsidP="00017DC3">
                                  <w:pPr>
                                    <w:spacing w:line="200" w:lineRule="exact"/>
                                    <w:jc w:val="center"/>
                                    <w:rPr>
                                      <w:rFonts w:ascii="標楷體" w:eastAsia="標楷體" w:hAnsi="標楷體" w:cs="Calibri"/>
                                      <w:color w:val="000000"/>
                                      <w:spacing w:val="-22"/>
                                      <w:sz w:val="20"/>
                                      <w:szCs w:val="20"/>
                                    </w:rPr>
                                  </w:pPr>
                                  <w:r w:rsidRPr="007F45CD">
                                    <w:rPr>
                                      <w:rFonts w:ascii="標楷體" w:eastAsia="標楷體" w:hAnsi="標楷體" w:cs="Calibri" w:hint="eastAsia"/>
                                      <w:color w:val="000000"/>
                                      <w:spacing w:val="-22"/>
                                      <w:sz w:val="20"/>
                                      <w:szCs w:val="20"/>
                                    </w:rPr>
                                    <w:t>一般志工</w:t>
                                  </w:r>
                                </w:p>
                              </w:tc>
                              <w:tc>
                                <w:tcPr>
                                  <w:tcW w:w="737" w:type="dxa"/>
                                  <w:tcBorders>
                                    <w:top w:val="single" w:sz="4" w:space="0" w:color="auto"/>
                                    <w:left w:val="single" w:sz="4" w:space="0" w:color="auto"/>
                                    <w:bottom w:val="single" w:sz="4" w:space="0" w:color="auto"/>
                                    <w:right w:val="single" w:sz="4" w:space="0" w:color="auto"/>
                                  </w:tcBorders>
                                  <w:vAlign w:val="center"/>
                                  <w:hideMark/>
                                </w:tcPr>
                                <w:p w14:paraId="3C88499E" w14:textId="77777777" w:rsidR="00406878" w:rsidRPr="007F45CD" w:rsidRDefault="00406878" w:rsidP="00017DC3">
                                  <w:pPr>
                                    <w:spacing w:line="200" w:lineRule="exact"/>
                                    <w:jc w:val="center"/>
                                    <w:rPr>
                                      <w:rFonts w:ascii="標楷體" w:eastAsia="標楷體" w:hAnsi="標楷體" w:cs="Calibri"/>
                                      <w:color w:val="000000"/>
                                      <w:spacing w:val="-22"/>
                                      <w:sz w:val="20"/>
                                      <w:szCs w:val="20"/>
                                    </w:rPr>
                                  </w:pPr>
                                  <w:r w:rsidRPr="007F45CD">
                                    <w:rPr>
                                      <w:rFonts w:ascii="標楷體" w:eastAsia="標楷體" w:hAnsi="標楷體" w:cs="Calibri" w:hint="eastAsia"/>
                                      <w:color w:val="000000"/>
                                      <w:spacing w:val="-22"/>
                                      <w:sz w:val="20"/>
                                      <w:szCs w:val="20"/>
                                    </w:rPr>
                                    <w:t>語言志工</w:t>
                                  </w:r>
                                </w:p>
                              </w:tc>
                            </w:tr>
                            <w:tr w:rsidR="00406878" w:rsidRPr="007F45CD" w14:paraId="24733070" w14:textId="77777777" w:rsidTr="00955612">
                              <w:trPr>
                                <w:trHeight w:val="20"/>
                                <w:jc w:val="center"/>
                              </w:trPr>
                              <w:tc>
                                <w:tcPr>
                                  <w:tcW w:w="426" w:type="dxa"/>
                                  <w:tcBorders>
                                    <w:top w:val="single" w:sz="4" w:space="0" w:color="auto"/>
                                    <w:left w:val="single" w:sz="4" w:space="0" w:color="000000"/>
                                    <w:bottom w:val="nil"/>
                                    <w:right w:val="single" w:sz="4" w:space="0" w:color="000000"/>
                                  </w:tcBorders>
                                  <w:noWrap/>
                                  <w:vAlign w:val="center"/>
                                  <w:hideMark/>
                                </w:tcPr>
                                <w:p w14:paraId="00764463"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w:t>
                                  </w:r>
                                </w:p>
                              </w:tc>
                              <w:tc>
                                <w:tcPr>
                                  <w:tcW w:w="624" w:type="dxa"/>
                                  <w:vMerge w:val="restart"/>
                                  <w:tcBorders>
                                    <w:top w:val="single" w:sz="4" w:space="0" w:color="auto"/>
                                    <w:left w:val="nil"/>
                                    <w:bottom w:val="single" w:sz="4" w:space="0" w:color="000000"/>
                                    <w:right w:val="single" w:sz="4" w:space="0" w:color="000000"/>
                                  </w:tcBorders>
                                  <w:noWrap/>
                                  <w:vAlign w:val="center"/>
                                  <w:hideMark/>
                                </w:tcPr>
                                <w:p w14:paraId="542A3665"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r w:rsidRPr="00704862">
                                    <w:rPr>
                                      <w:rFonts w:ascii="標楷體" w:eastAsia="標楷體" w:hAnsi="標楷體" w:cs="Calibri" w:hint="eastAsia"/>
                                      <w:color w:val="000000"/>
                                      <w:spacing w:val="-16"/>
                                      <w:sz w:val="20"/>
                                      <w:szCs w:val="20"/>
                                    </w:rPr>
                                    <w:t>臺北市</w:t>
                                  </w:r>
                                </w:p>
                              </w:tc>
                              <w:tc>
                                <w:tcPr>
                                  <w:tcW w:w="2126" w:type="dxa"/>
                                  <w:tcBorders>
                                    <w:top w:val="single" w:sz="4" w:space="0" w:color="auto"/>
                                    <w:left w:val="nil"/>
                                    <w:bottom w:val="nil"/>
                                    <w:right w:val="single" w:sz="4" w:space="0" w:color="000000"/>
                                  </w:tcBorders>
                                  <w:vAlign w:val="center"/>
                                  <w:hideMark/>
                                </w:tcPr>
                                <w:p w14:paraId="7275B5E1"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臺北市立大學（天母校區）</w:t>
                                  </w:r>
                                  <w:proofErr w:type="gramStart"/>
                                  <w:r w:rsidRPr="007F45CD">
                                    <w:rPr>
                                      <w:rFonts w:ascii="標楷體" w:eastAsia="標楷體" w:hAnsi="標楷體" w:cs="Calibri" w:hint="eastAsia"/>
                                      <w:color w:val="000000"/>
                                      <w:sz w:val="20"/>
                                      <w:szCs w:val="20"/>
                                    </w:rPr>
                                    <w:t>詩欣館</w:t>
                                  </w:r>
                                  <w:proofErr w:type="gramEnd"/>
                                </w:p>
                              </w:tc>
                              <w:tc>
                                <w:tcPr>
                                  <w:tcW w:w="1134" w:type="dxa"/>
                                  <w:tcBorders>
                                    <w:top w:val="single" w:sz="4" w:space="0" w:color="auto"/>
                                    <w:left w:val="nil"/>
                                    <w:bottom w:val="nil"/>
                                    <w:right w:val="nil"/>
                                  </w:tcBorders>
                                  <w:vAlign w:val="center"/>
                                  <w:hideMark/>
                                </w:tcPr>
                                <w:p w14:paraId="28CF6157" w14:textId="77777777" w:rsidR="00406878" w:rsidRPr="007F45CD" w:rsidRDefault="00406878" w:rsidP="0003214C">
                                  <w:pPr>
                                    <w:spacing w:line="200" w:lineRule="exact"/>
                                    <w:jc w:val="both"/>
                                    <w:rPr>
                                      <w:rFonts w:ascii="標楷體" w:eastAsia="標楷體" w:hAnsi="標楷體" w:cs="Calibri"/>
                                      <w:color w:val="000000"/>
                                      <w:spacing w:val="-10"/>
                                      <w:sz w:val="20"/>
                                      <w:szCs w:val="20"/>
                                    </w:rPr>
                                  </w:pPr>
                                  <w:r w:rsidRPr="007F45CD">
                                    <w:rPr>
                                      <w:rFonts w:ascii="標楷體" w:eastAsia="標楷體" w:hAnsi="標楷體" w:cs="Calibri" w:hint="eastAsia"/>
                                      <w:color w:val="000000"/>
                                      <w:spacing w:val="-10"/>
                                      <w:sz w:val="20"/>
                                      <w:szCs w:val="20"/>
                                    </w:rPr>
                                    <w:t>游泳、跳水</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36D60FF6"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120.00</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4D2F238A"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61.54</w:t>
                                  </w:r>
                                </w:p>
                              </w:tc>
                            </w:tr>
                            <w:tr w:rsidR="00406878" w:rsidRPr="007F45CD" w14:paraId="6A15DAFD"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72160137"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w:t>
                                  </w:r>
                                </w:p>
                              </w:tc>
                              <w:tc>
                                <w:tcPr>
                                  <w:tcW w:w="624" w:type="dxa"/>
                                  <w:vMerge/>
                                  <w:tcBorders>
                                    <w:top w:val="single" w:sz="4" w:space="0" w:color="auto"/>
                                    <w:left w:val="nil"/>
                                    <w:bottom w:val="single" w:sz="4" w:space="0" w:color="000000"/>
                                    <w:right w:val="single" w:sz="4" w:space="0" w:color="000000"/>
                                  </w:tcBorders>
                                  <w:vAlign w:val="center"/>
                                  <w:hideMark/>
                                </w:tcPr>
                                <w:p w14:paraId="51399497"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nil"/>
                                    <w:bottom w:val="single" w:sz="4" w:space="0" w:color="000000"/>
                                    <w:right w:val="single" w:sz="4" w:space="0" w:color="000000"/>
                                  </w:tcBorders>
                                  <w:vAlign w:val="center"/>
                                  <w:hideMark/>
                                </w:tcPr>
                                <w:p w14:paraId="29063734"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中國文化大學體育館</w:t>
                                  </w:r>
                                </w:p>
                              </w:tc>
                              <w:tc>
                                <w:tcPr>
                                  <w:tcW w:w="1134" w:type="dxa"/>
                                  <w:tcBorders>
                                    <w:top w:val="single" w:sz="4" w:space="0" w:color="000000"/>
                                    <w:left w:val="nil"/>
                                    <w:bottom w:val="single" w:sz="4" w:space="0" w:color="000000"/>
                                    <w:right w:val="nil"/>
                                  </w:tcBorders>
                                  <w:vAlign w:val="center"/>
                                  <w:hideMark/>
                                </w:tcPr>
                                <w:p w14:paraId="6E809144"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室內排球</w:t>
                                  </w:r>
                                </w:p>
                              </w:tc>
                              <w:tc>
                                <w:tcPr>
                                  <w:tcW w:w="737" w:type="dxa"/>
                                  <w:tcBorders>
                                    <w:top w:val="nil"/>
                                    <w:left w:val="single" w:sz="4" w:space="0" w:color="auto"/>
                                    <w:bottom w:val="single" w:sz="4" w:space="0" w:color="auto"/>
                                    <w:right w:val="single" w:sz="4" w:space="0" w:color="auto"/>
                                  </w:tcBorders>
                                  <w:noWrap/>
                                  <w:vAlign w:val="center"/>
                                  <w:hideMark/>
                                </w:tcPr>
                                <w:p w14:paraId="5551D390"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89.29</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3F2E30E0"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32.50</w:t>
                                  </w:r>
                                </w:p>
                              </w:tc>
                            </w:tr>
                            <w:tr w:rsidR="00406878" w:rsidRPr="007F45CD" w14:paraId="55B21B26" w14:textId="77777777" w:rsidTr="00955612">
                              <w:trPr>
                                <w:trHeight w:val="20"/>
                                <w:jc w:val="center"/>
                              </w:trPr>
                              <w:tc>
                                <w:tcPr>
                                  <w:tcW w:w="426" w:type="dxa"/>
                                  <w:tcBorders>
                                    <w:top w:val="nil"/>
                                    <w:left w:val="single" w:sz="4" w:space="0" w:color="000000"/>
                                    <w:bottom w:val="nil"/>
                                    <w:right w:val="single" w:sz="4" w:space="0" w:color="000000"/>
                                  </w:tcBorders>
                                  <w:noWrap/>
                                  <w:vAlign w:val="center"/>
                                  <w:hideMark/>
                                </w:tcPr>
                                <w:p w14:paraId="637EFF0A"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3</w:t>
                                  </w:r>
                                </w:p>
                              </w:tc>
                              <w:tc>
                                <w:tcPr>
                                  <w:tcW w:w="624" w:type="dxa"/>
                                  <w:vMerge/>
                                  <w:tcBorders>
                                    <w:top w:val="single" w:sz="4" w:space="0" w:color="auto"/>
                                    <w:left w:val="nil"/>
                                    <w:bottom w:val="single" w:sz="4" w:space="0" w:color="000000"/>
                                    <w:right w:val="single" w:sz="4" w:space="0" w:color="000000"/>
                                  </w:tcBorders>
                                  <w:vAlign w:val="center"/>
                                  <w:hideMark/>
                                </w:tcPr>
                                <w:p w14:paraId="1A0B0863"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nil"/>
                                    <w:left w:val="nil"/>
                                    <w:bottom w:val="nil"/>
                                    <w:right w:val="single" w:sz="4" w:space="0" w:color="000000"/>
                                  </w:tcBorders>
                                  <w:noWrap/>
                                  <w:vAlign w:val="center"/>
                                  <w:hideMark/>
                                </w:tcPr>
                                <w:p w14:paraId="344D8B11"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百齡河濱公園橄欖球場</w:t>
                                  </w:r>
                                </w:p>
                              </w:tc>
                              <w:tc>
                                <w:tcPr>
                                  <w:tcW w:w="1134" w:type="dxa"/>
                                  <w:vAlign w:val="center"/>
                                  <w:hideMark/>
                                </w:tcPr>
                                <w:p w14:paraId="1DDCE17F" w14:textId="77777777" w:rsidR="00406878" w:rsidRPr="007F45CD" w:rsidRDefault="00406878" w:rsidP="0003214C">
                                  <w:pPr>
                                    <w:spacing w:line="200" w:lineRule="exact"/>
                                    <w:jc w:val="both"/>
                                    <w:rPr>
                                      <w:rFonts w:ascii="標楷體" w:eastAsia="標楷體" w:hAnsi="標楷體" w:cs="Calibri"/>
                                      <w:color w:val="000000"/>
                                      <w:spacing w:val="-20"/>
                                      <w:sz w:val="20"/>
                                      <w:szCs w:val="20"/>
                                    </w:rPr>
                                  </w:pPr>
                                  <w:r w:rsidRPr="007F45CD">
                                    <w:rPr>
                                      <w:rFonts w:ascii="標楷體" w:eastAsia="標楷體" w:hAnsi="標楷體" w:cs="Calibri" w:hint="eastAsia"/>
                                      <w:color w:val="000000"/>
                                      <w:spacing w:val="-20"/>
                                      <w:sz w:val="20"/>
                                      <w:szCs w:val="20"/>
                                    </w:rPr>
                                    <w:t>15</w:t>
                                  </w:r>
                                  <w:proofErr w:type="gramStart"/>
                                  <w:r w:rsidRPr="007F45CD">
                                    <w:rPr>
                                      <w:rFonts w:ascii="標楷體" w:eastAsia="標楷體" w:hAnsi="標楷體" w:cs="Calibri" w:hint="eastAsia"/>
                                      <w:color w:val="000000"/>
                                      <w:spacing w:val="-20"/>
                                      <w:sz w:val="20"/>
                                      <w:szCs w:val="20"/>
                                    </w:rPr>
                                    <w:t>人制</w:t>
                                  </w:r>
                                  <w:proofErr w:type="gramEnd"/>
                                  <w:r w:rsidRPr="007F45CD">
                                    <w:rPr>
                                      <w:rFonts w:ascii="標楷體" w:eastAsia="標楷體" w:hAnsi="標楷體" w:cs="Calibri" w:hint="eastAsia"/>
                                      <w:color w:val="000000"/>
                                      <w:spacing w:val="-20"/>
                                      <w:sz w:val="20"/>
                                      <w:szCs w:val="20"/>
                                    </w:rPr>
                                    <w:t>橄欖球</w:t>
                                  </w:r>
                                </w:p>
                              </w:tc>
                              <w:tc>
                                <w:tcPr>
                                  <w:tcW w:w="737" w:type="dxa"/>
                                  <w:tcBorders>
                                    <w:top w:val="nil"/>
                                    <w:left w:val="single" w:sz="4" w:space="0" w:color="auto"/>
                                    <w:bottom w:val="single" w:sz="4" w:space="0" w:color="auto"/>
                                    <w:right w:val="single" w:sz="4" w:space="0" w:color="auto"/>
                                  </w:tcBorders>
                                  <w:noWrap/>
                                  <w:vAlign w:val="center"/>
                                  <w:hideMark/>
                                </w:tcPr>
                                <w:p w14:paraId="3DC38234"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207.44</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1066E028"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70.59</w:t>
                                  </w:r>
                                </w:p>
                              </w:tc>
                            </w:tr>
                            <w:tr w:rsidR="00406878" w:rsidRPr="007F45CD" w14:paraId="6D92AE30" w14:textId="77777777" w:rsidTr="00955612">
                              <w:trPr>
                                <w:trHeight w:val="20"/>
                                <w:jc w:val="center"/>
                              </w:trPr>
                              <w:tc>
                                <w:tcPr>
                                  <w:tcW w:w="426" w:type="dxa"/>
                                  <w:tcBorders>
                                    <w:top w:val="single" w:sz="4" w:space="0" w:color="000000"/>
                                    <w:left w:val="single" w:sz="4" w:space="0" w:color="000000"/>
                                    <w:bottom w:val="nil"/>
                                    <w:right w:val="single" w:sz="4" w:space="0" w:color="000000"/>
                                  </w:tcBorders>
                                  <w:noWrap/>
                                  <w:vAlign w:val="center"/>
                                  <w:hideMark/>
                                </w:tcPr>
                                <w:p w14:paraId="2CC8589F"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4</w:t>
                                  </w:r>
                                </w:p>
                              </w:tc>
                              <w:tc>
                                <w:tcPr>
                                  <w:tcW w:w="624" w:type="dxa"/>
                                  <w:vMerge/>
                                  <w:tcBorders>
                                    <w:top w:val="single" w:sz="4" w:space="0" w:color="auto"/>
                                    <w:left w:val="nil"/>
                                    <w:bottom w:val="single" w:sz="4" w:space="0" w:color="000000"/>
                                    <w:right w:val="single" w:sz="4" w:space="0" w:color="000000"/>
                                  </w:tcBorders>
                                  <w:vAlign w:val="center"/>
                                  <w:hideMark/>
                                </w:tcPr>
                                <w:p w14:paraId="1CFCA11C"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nil"/>
                                    <w:bottom w:val="nil"/>
                                    <w:right w:val="single" w:sz="4" w:space="0" w:color="000000"/>
                                  </w:tcBorders>
                                  <w:noWrap/>
                                  <w:vAlign w:val="center"/>
                                  <w:hideMark/>
                                </w:tcPr>
                                <w:p w14:paraId="22BD5E61"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迎風河濱公園足球場</w:t>
                                  </w:r>
                                </w:p>
                              </w:tc>
                              <w:tc>
                                <w:tcPr>
                                  <w:tcW w:w="1134" w:type="dxa"/>
                                  <w:tcBorders>
                                    <w:top w:val="single" w:sz="4" w:space="0" w:color="000000"/>
                                    <w:left w:val="nil"/>
                                    <w:bottom w:val="nil"/>
                                    <w:right w:val="nil"/>
                                  </w:tcBorders>
                                  <w:vAlign w:val="center"/>
                                  <w:hideMark/>
                                </w:tcPr>
                                <w:p w14:paraId="55DA7359" w14:textId="77777777" w:rsidR="00406878" w:rsidRPr="007F45CD" w:rsidRDefault="00406878" w:rsidP="0003214C">
                                  <w:pPr>
                                    <w:spacing w:line="200" w:lineRule="exact"/>
                                    <w:jc w:val="both"/>
                                    <w:rPr>
                                      <w:rFonts w:ascii="標楷體" w:eastAsia="標楷體" w:hAnsi="標楷體" w:cs="Calibri"/>
                                      <w:color w:val="000000"/>
                                      <w:spacing w:val="-20"/>
                                      <w:sz w:val="20"/>
                                      <w:szCs w:val="20"/>
                                    </w:rPr>
                                  </w:pPr>
                                  <w:r w:rsidRPr="007F45CD">
                                    <w:rPr>
                                      <w:rFonts w:ascii="標楷體" w:eastAsia="標楷體" w:hAnsi="標楷體" w:cs="Calibri" w:hint="eastAsia"/>
                                      <w:color w:val="000000"/>
                                      <w:spacing w:val="-20"/>
                                      <w:sz w:val="20"/>
                                      <w:szCs w:val="20"/>
                                    </w:rPr>
                                    <w:t>11</w:t>
                                  </w:r>
                                  <w:proofErr w:type="gramStart"/>
                                  <w:r w:rsidRPr="007F45CD">
                                    <w:rPr>
                                      <w:rFonts w:ascii="標楷體" w:eastAsia="標楷體" w:hAnsi="標楷體" w:cs="Calibri" w:hint="eastAsia"/>
                                      <w:color w:val="000000"/>
                                      <w:spacing w:val="-20"/>
                                      <w:sz w:val="20"/>
                                      <w:szCs w:val="20"/>
                                    </w:rPr>
                                    <w:t>人制</w:t>
                                  </w:r>
                                  <w:proofErr w:type="gramEnd"/>
                                  <w:r w:rsidRPr="007F45CD">
                                    <w:rPr>
                                      <w:rFonts w:ascii="標楷體" w:eastAsia="標楷體" w:hAnsi="標楷體" w:cs="Calibri" w:hint="eastAsia"/>
                                      <w:color w:val="000000"/>
                                      <w:spacing w:val="-20"/>
                                      <w:sz w:val="20"/>
                                      <w:szCs w:val="20"/>
                                    </w:rPr>
                                    <w:t>足球</w:t>
                                  </w:r>
                                </w:p>
                              </w:tc>
                              <w:tc>
                                <w:tcPr>
                                  <w:tcW w:w="737" w:type="dxa"/>
                                  <w:tcBorders>
                                    <w:top w:val="nil"/>
                                    <w:left w:val="single" w:sz="4" w:space="0" w:color="auto"/>
                                    <w:bottom w:val="single" w:sz="4" w:space="0" w:color="auto"/>
                                    <w:right w:val="single" w:sz="4" w:space="0" w:color="auto"/>
                                  </w:tcBorders>
                                  <w:noWrap/>
                                  <w:vAlign w:val="center"/>
                                  <w:hideMark/>
                                </w:tcPr>
                                <w:p w14:paraId="3887FB71"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96.43</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53C5FD49"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29.79</w:t>
                                  </w:r>
                                </w:p>
                              </w:tc>
                            </w:tr>
                            <w:tr w:rsidR="00406878" w:rsidRPr="007F45CD" w14:paraId="1384AEE9"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2F314B05"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5</w:t>
                                  </w:r>
                                </w:p>
                              </w:tc>
                              <w:tc>
                                <w:tcPr>
                                  <w:tcW w:w="624" w:type="dxa"/>
                                  <w:vMerge/>
                                  <w:tcBorders>
                                    <w:top w:val="single" w:sz="4" w:space="0" w:color="auto"/>
                                    <w:left w:val="nil"/>
                                    <w:bottom w:val="single" w:sz="4" w:space="0" w:color="000000"/>
                                    <w:right w:val="single" w:sz="4" w:space="0" w:color="000000"/>
                                  </w:tcBorders>
                                  <w:vAlign w:val="center"/>
                                  <w:hideMark/>
                                </w:tcPr>
                                <w:p w14:paraId="1117C1BB"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nil"/>
                                    <w:bottom w:val="single" w:sz="4" w:space="0" w:color="000000"/>
                                    <w:right w:val="single" w:sz="4" w:space="0" w:color="000000"/>
                                  </w:tcBorders>
                                  <w:noWrap/>
                                  <w:vAlign w:val="center"/>
                                  <w:hideMark/>
                                </w:tcPr>
                                <w:p w14:paraId="576FDE47"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觀山河濱公園木球場</w:t>
                                  </w:r>
                                </w:p>
                              </w:tc>
                              <w:tc>
                                <w:tcPr>
                                  <w:tcW w:w="1134" w:type="dxa"/>
                                  <w:tcBorders>
                                    <w:top w:val="single" w:sz="4" w:space="0" w:color="000000"/>
                                    <w:left w:val="nil"/>
                                    <w:bottom w:val="single" w:sz="4" w:space="0" w:color="000000"/>
                                    <w:right w:val="nil"/>
                                  </w:tcBorders>
                                  <w:vAlign w:val="center"/>
                                  <w:hideMark/>
                                </w:tcPr>
                                <w:p w14:paraId="79AF1E3C"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木球</w:t>
                                  </w:r>
                                </w:p>
                              </w:tc>
                              <w:tc>
                                <w:tcPr>
                                  <w:tcW w:w="737" w:type="dxa"/>
                                  <w:tcBorders>
                                    <w:top w:val="nil"/>
                                    <w:left w:val="single" w:sz="4" w:space="0" w:color="auto"/>
                                    <w:bottom w:val="single" w:sz="4" w:space="0" w:color="000000"/>
                                    <w:right w:val="single" w:sz="4" w:space="0" w:color="auto"/>
                                  </w:tcBorders>
                                  <w:noWrap/>
                                  <w:vAlign w:val="center"/>
                                  <w:hideMark/>
                                </w:tcPr>
                                <w:p w14:paraId="4E27D8D6"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125.29</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69B65917"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63.64</w:t>
                                  </w:r>
                                </w:p>
                              </w:tc>
                            </w:tr>
                            <w:tr w:rsidR="00406878" w:rsidRPr="007F45CD" w14:paraId="24C47170"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6436D52B"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w:t>
                                  </w:r>
                                </w:p>
                              </w:tc>
                              <w:tc>
                                <w:tcPr>
                                  <w:tcW w:w="624" w:type="dxa"/>
                                  <w:vMerge/>
                                  <w:tcBorders>
                                    <w:top w:val="single" w:sz="4" w:space="0" w:color="auto"/>
                                    <w:left w:val="nil"/>
                                    <w:bottom w:val="single" w:sz="4" w:space="0" w:color="000000"/>
                                    <w:right w:val="single" w:sz="4" w:space="0" w:color="000000"/>
                                  </w:tcBorders>
                                  <w:vAlign w:val="center"/>
                                  <w:hideMark/>
                                </w:tcPr>
                                <w:p w14:paraId="269CB920"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6576C6AE" w14:textId="77777777" w:rsidR="00406878" w:rsidRPr="007F45CD" w:rsidRDefault="00406878" w:rsidP="00955612">
                                  <w:pPr>
                                    <w:spacing w:line="200" w:lineRule="exact"/>
                                    <w:jc w:val="both"/>
                                    <w:rPr>
                                      <w:rFonts w:ascii="標楷體" w:eastAsia="標楷體" w:hAnsi="標楷體" w:cs="Calibri"/>
                                      <w:color w:val="000000"/>
                                      <w:spacing w:val="-8"/>
                                      <w:sz w:val="20"/>
                                      <w:szCs w:val="20"/>
                                    </w:rPr>
                                  </w:pPr>
                                  <w:r w:rsidRPr="007F45CD">
                                    <w:rPr>
                                      <w:rFonts w:ascii="標楷體" w:eastAsia="標楷體" w:hAnsi="標楷體" w:cs="Calibri" w:hint="eastAsia"/>
                                      <w:color w:val="000000"/>
                                      <w:spacing w:val="-8"/>
                                      <w:sz w:val="20"/>
                                      <w:szCs w:val="20"/>
                                    </w:rPr>
                                    <w:t>觀山河濱公園法式滾球場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8B0FB0C"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法式滾球</w:t>
                                  </w:r>
                                </w:p>
                              </w:tc>
                              <w:tc>
                                <w:tcPr>
                                  <w:tcW w:w="737" w:type="dxa"/>
                                  <w:tcBorders>
                                    <w:top w:val="single" w:sz="4" w:space="0" w:color="000000"/>
                                    <w:left w:val="single" w:sz="4" w:space="0" w:color="000000"/>
                                    <w:bottom w:val="single" w:sz="4" w:space="0" w:color="000000"/>
                                    <w:right w:val="single" w:sz="4" w:space="0" w:color="auto"/>
                                  </w:tcBorders>
                                  <w:noWrap/>
                                  <w:vAlign w:val="center"/>
                                  <w:hideMark/>
                                </w:tcPr>
                                <w:p w14:paraId="589BBC2C"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103.13</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698EC264"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65.00</w:t>
                                  </w:r>
                                </w:p>
                              </w:tc>
                            </w:tr>
                            <w:tr w:rsidR="00406878" w:rsidRPr="007F45CD" w14:paraId="1A77EFCB"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1F4099E0"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7</w:t>
                                  </w:r>
                                </w:p>
                              </w:tc>
                              <w:tc>
                                <w:tcPr>
                                  <w:tcW w:w="624"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0C5BE518"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r w:rsidRPr="00704862">
                                    <w:rPr>
                                      <w:rFonts w:ascii="標楷體" w:eastAsia="標楷體" w:hAnsi="標楷體" w:cs="Calibri" w:hint="eastAsia"/>
                                      <w:color w:val="000000"/>
                                      <w:spacing w:val="-16"/>
                                      <w:sz w:val="20"/>
                                      <w:szCs w:val="20"/>
                                    </w:rPr>
                                    <w:t>新北市</w:t>
                                  </w:r>
                                </w:p>
                              </w:tc>
                              <w:tc>
                                <w:tcPr>
                                  <w:tcW w:w="2126" w:type="dxa"/>
                                  <w:tcBorders>
                                    <w:top w:val="single" w:sz="4" w:space="0" w:color="000000"/>
                                    <w:left w:val="single" w:sz="4" w:space="0" w:color="000000"/>
                                    <w:bottom w:val="single" w:sz="4" w:space="0" w:color="000000"/>
                                    <w:right w:val="single" w:sz="4" w:space="0" w:color="000000"/>
                                  </w:tcBorders>
                                  <w:noWrap/>
                                  <w:vAlign w:val="center"/>
                                  <w:hideMark/>
                                </w:tcPr>
                                <w:p w14:paraId="3C707E78"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天主教輔仁大學田徑場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2B096A3" w14:textId="77777777" w:rsidR="00406878" w:rsidRPr="007F45CD" w:rsidRDefault="00406878" w:rsidP="0003214C">
                                  <w:pPr>
                                    <w:spacing w:line="200" w:lineRule="exact"/>
                                    <w:jc w:val="both"/>
                                    <w:rPr>
                                      <w:rFonts w:ascii="標楷體" w:eastAsia="標楷體" w:hAnsi="標楷體" w:cs="Calibri"/>
                                      <w:color w:val="000000"/>
                                      <w:spacing w:val="-14"/>
                                      <w:sz w:val="20"/>
                                      <w:szCs w:val="20"/>
                                    </w:rPr>
                                  </w:pPr>
                                  <w:r w:rsidRPr="007F45CD">
                                    <w:rPr>
                                      <w:rFonts w:ascii="標楷體" w:eastAsia="標楷體" w:hAnsi="標楷體" w:cs="Calibri" w:hint="eastAsia"/>
                                      <w:color w:val="000000"/>
                                      <w:spacing w:val="-14"/>
                                      <w:sz w:val="20"/>
                                      <w:szCs w:val="20"/>
                                    </w:rPr>
                                    <w:t>11</w:t>
                                  </w:r>
                                  <w:proofErr w:type="gramStart"/>
                                  <w:r w:rsidRPr="007F45CD">
                                    <w:rPr>
                                      <w:rFonts w:ascii="標楷體" w:eastAsia="標楷體" w:hAnsi="標楷體" w:cs="Calibri" w:hint="eastAsia"/>
                                      <w:color w:val="000000"/>
                                      <w:spacing w:val="-14"/>
                                      <w:sz w:val="20"/>
                                      <w:szCs w:val="20"/>
                                    </w:rPr>
                                    <w:t>人制</w:t>
                                  </w:r>
                                  <w:proofErr w:type="gramEnd"/>
                                  <w:r w:rsidRPr="007F45CD">
                                    <w:rPr>
                                      <w:rFonts w:ascii="標楷體" w:eastAsia="標楷體" w:hAnsi="標楷體" w:cs="Calibri" w:hint="eastAsia"/>
                                      <w:color w:val="000000"/>
                                      <w:spacing w:val="-14"/>
                                      <w:sz w:val="20"/>
                                      <w:szCs w:val="20"/>
                                    </w:rPr>
                                    <w:t>足球</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0B8FCB47"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158.04</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26761107"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75.00</w:t>
                                  </w:r>
                                </w:p>
                              </w:tc>
                            </w:tr>
                            <w:tr w:rsidR="00406878" w:rsidRPr="007F45CD" w14:paraId="30AF27F9"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063705B5"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8</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07E2A4C2"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noWrap/>
                                  <w:vAlign w:val="center"/>
                                  <w:hideMark/>
                                </w:tcPr>
                                <w:p w14:paraId="1CD75C34"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大都會棒球場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0CF8F370"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壘球</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459FBA2C"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125.81</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1BB60374"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11.11</w:t>
                                  </w:r>
                                </w:p>
                              </w:tc>
                            </w:tr>
                            <w:tr w:rsidR="00406878" w:rsidRPr="007F45CD" w14:paraId="5647B735"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4A9D4317"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9</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0E2395B6"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noWrap/>
                                  <w:vAlign w:val="center"/>
                                  <w:hideMark/>
                                </w:tcPr>
                                <w:p w14:paraId="06331E1E"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新北市三重棒球場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21724CF"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棒球</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7CEC1713"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100.80</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083E3A1A"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76.47</w:t>
                                  </w:r>
                                </w:p>
                              </w:tc>
                            </w:tr>
                            <w:tr w:rsidR="00406878" w:rsidRPr="007F45CD" w14:paraId="639ACE27"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184C5C33"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4479D23D"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835377"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藍灣海濱休憩園區</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925C5E3"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沙灘排球</w:t>
                                  </w:r>
                                </w:p>
                              </w:tc>
                              <w:tc>
                                <w:tcPr>
                                  <w:tcW w:w="737" w:type="dxa"/>
                                  <w:tcBorders>
                                    <w:top w:val="single" w:sz="4" w:space="0" w:color="000000"/>
                                    <w:left w:val="single" w:sz="4" w:space="0" w:color="000000"/>
                                    <w:bottom w:val="single" w:sz="4" w:space="0" w:color="000000"/>
                                    <w:right w:val="single" w:sz="4" w:space="0" w:color="auto"/>
                                  </w:tcBorders>
                                  <w:shd w:val="pct12" w:color="auto" w:fill="auto"/>
                                  <w:vAlign w:val="center"/>
                                  <w:hideMark/>
                                </w:tcPr>
                                <w:p w14:paraId="59255E25"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shd w:val="pct10" w:color="auto" w:fill="auto"/>
                                    </w:rPr>
                                    <w:t>4.8</w:t>
                                  </w:r>
                                  <w:r w:rsidRPr="007F45CD">
                                    <w:rPr>
                                      <w:rFonts w:ascii="標楷體" w:eastAsia="標楷體" w:hAnsi="標楷體" w:cs="Calibri" w:hint="eastAsia"/>
                                      <w:color w:val="000000"/>
                                      <w:sz w:val="20"/>
                                      <w:szCs w:val="20"/>
                                    </w:rPr>
                                    <w:t>1</w:t>
                                  </w:r>
                                </w:p>
                              </w:tc>
                              <w:tc>
                                <w:tcPr>
                                  <w:tcW w:w="737" w:type="dxa"/>
                                  <w:tcBorders>
                                    <w:top w:val="single" w:sz="4" w:space="0" w:color="auto"/>
                                    <w:left w:val="nil"/>
                                    <w:bottom w:val="single" w:sz="4" w:space="0" w:color="auto"/>
                                    <w:right w:val="single" w:sz="4" w:space="0" w:color="auto"/>
                                  </w:tcBorders>
                                  <w:shd w:val="pct12" w:color="auto" w:fill="auto"/>
                                  <w:noWrap/>
                                  <w:vAlign w:val="center"/>
                                  <w:hideMark/>
                                </w:tcPr>
                                <w:p w14:paraId="099992A1" w14:textId="77777777" w:rsidR="00406878" w:rsidRPr="007F45CD" w:rsidRDefault="00406878" w:rsidP="00017DC3">
                                  <w:pPr>
                                    <w:spacing w:line="200" w:lineRule="exact"/>
                                    <w:jc w:val="right"/>
                                    <w:rPr>
                                      <w:rFonts w:ascii="標楷體" w:eastAsia="標楷體" w:hAnsi="標楷體" w:cs="Calibri"/>
                                      <w:color w:val="000000"/>
                                      <w:sz w:val="20"/>
                                      <w:szCs w:val="20"/>
                                    </w:rPr>
                                  </w:pPr>
                                  <w:proofErr w:type="gramStart"/>
                                  <w:r w:rsidRPr="007F45CD">
                                    <w:rPr>
                                      <w:rFonts w:ascii="標楷體" w:eastAsia="標楷體" w:hAnsi="標楷體" w:cs="Calibri" w:hint="eastAsia"/>
                                      <w:color w:val="000000"/>
                                      <w:sz w:val="20"/>
                                      <w:szCs w:val="20"/>
                                    </w:rPr>
                                    <w:t>—</w:t>
                                  </w:r>
                                  <w:proofErr w:type="gramEnd"/>
                                </w:p>
                              </w:tc>
                            </w:tr>
                            <w:tr w:rsidR="00406878" w:rsidRPr="007F45CD" w14:paraId="7CB814E4"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44E399B1"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11</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6A8BE7E0"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4B6EA5"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福隆海水浴場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2CE0637E" w14:textId="77777777" w:rsidR="00406878" w:rsidRPr="007F45CD" w:rsidRDefault="00406878" w:rsidP="0003214C">
                                  <w:pPr>
                                    <w:spacing w:line="200" w:lineRule="exact"/>
                                    <w:jc w:val="both"/>
                                    <w:rPr>
                                      <w:rFonts w:ascii="標楷體" w:eastAsia="標楷體" w:hAnsi="標楷體" w:cs="Calibri"/>
                                      <w:color w:val="000000"/>
                                      <w:spacing w:val="-10"/>
                                      <w:sz w:val="20"/>
                                      <w:szCs w:val="20"/>
                                    </w:rPr>
                                  </w:pPr>
                                  <w:r w:rsidRPr="007F45CD">
                                    <w:rPr>
                                      <w:rFonts w:ascii="標楷體" w:eastAsia="標楷體" w:hAnsi="標楷體" w:cs="Calibri" w:hint="eastAsia"/>
                                      <w:color w:val="000000"/>
                                      <w:spacing w:val="-10"/>
                                      <w:sz w:val="20"/>
                                      <w:szCs w:val="20"/>
                                    </w:rPr>
                                    <w:t>海浪救生、帆船</w:t>
                                  </w:r>
                                  <w:r>
                                    <w:rPr>
                                      <w:rFonts w:ascii="標楷體" w:eastAsia="標楷體" w:hAnsi="標楷體" w:cs="Calibri" w:hint="eastAsia"/>
                                      <w:color w:val="000000"/>
                                      <w:spacing w:val="-10"/>
                                      <w:sz w:val="20"/>
                                      <w:szCs w:val="20"/>
                                    </w:rPr>
                                    <w:t>／</w:t>
                                  </w:r>
                                  <w:r w:rsidRPr="007F45CD">
                                    <w:rPr>
                                      <w:rFonts w:ascii="標楷體" w:eastAsia="標楷體" w:hAnsi="標楷體" w:cs="Calibri" w:hint="eastAsia"/>
                                      <w:color w:val="000000"/>
                                      <w:spacing w:val="-10"/>
                                      <w:sz w:val="20"/>
                                      <w:szCs w:val="20"/>
                                    </w:rPr>
                                    <w:t>風浪板</w:t>
                                  </w:r>
                                </w:p>
                              </w:tc>
                              <w:tc>
                                <w:tcPr>
                                  <w:tcW w:w="737" w:type="dxa"/>
                                  <w:tcBorders>
                                    <w:top w:val="single" w:sz="4" w:space="0" w:color="000000"/>
                                    <w:left w:val="single" w:sz="4" w:space="0" w:color="000000"/>
                                    <w:bottom w:val="single" w:sz="4" w:space="0" w:color="000000"/>
                                    <w:right w:val="single" w:sz="4" w:space="0" w:color="auto"/>
                                  </w:tcBorders>
                                  <w:shd w:val="pct12" w:color="auto" w:fill="auto"/>
                                  <w:vAlign w:val="center"/>
                                  <w:hideMark/>
                                </w:tcPr>
                                <w:p w14:paraId="3755B16A"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shd w:val="pct10" w:color="auto" w:fill="auto"/>
                                    </w:rPr>
                                    <w:t>21.0</w:t>
                                  </w:r>
                                  <w:r w:rsidRPr="007F45CD">
                                    <w:rPr>
                                      <w:rFonts w:ascii="標楷體" w:eastAsia="標楷體" w:hAnsi="標楷體" w:cs="Calibri" w:hint="eastAsia"/>
                                      <w:color w:val="000000"/>
                                      <w:sz w:val="20"/>
                                      <w:szCs w:val="20"/>
                                    </w:rPr>
                                    <w:t>5</w:t>
                                  </w:r>
                                </w:p>
                              </w:tc>
                              <w:tc>
                                <w:tcPr>
                                  <w:tcW w:w="737" w:type="dxa"/>
                                  <w:tcBorders>
                                    <w:top w:val="single" w:sz="4" w:space="0" w:color="auto"/>
                                    <w:left w:val="nil"/>
                                    <w:bottom w:val="single" w:sz="4" w:space="0" w:color="auto"/>
                                    <w:right w:val="single" w:sz="4" w:space="0" w:color="auto"/>
                                  </w:tcBorders>
                                  <w:shd w:val="pct12" w:color="auto" w:fill="auto"/>
                                  <w:noWrap/>
                                  <w:vAlign w:val="center"/>
                                  <w:hideMark/>
                                </w:tcPr>
                                <w:p w14:paraId="6D8404C6"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23.53</w:t>
                                  </w:r>
                                </w:p>
                              </w:tc>
                            </w:tr>
                            <w:tr w:rsidR="00406878" w:rsidRPr="007F45CD" w14:paraId="3240FECB"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3D065D7F"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12</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383DB5EB"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78B79D"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微風運河</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C28C133"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pacing w:val="-14"/>
                                      <w:sz w:val="20"/>
                                      <w:szCs w:val="20"/>
                                    </w:rPr>
                                    <w:t>公開水域、競速、輕艇水球、龍舟</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2288A017"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127.52</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6E724EAC"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26.09</w:t>
                                  </w:r>
                                </w:p>
                              </w:tc>
                            </w:tr>
                            <w:tr w:rsidR="00406878" w:rsidRPr="007F45CD" w14:paraId="7E80CB88"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027B7137"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13</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54B2F8B0"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4A22"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樹林體育園區－紅土網球中心</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357F528"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網球</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1064F4A6"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110.98</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0C0A3430"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11.76</w:t>
                                  </w:r>
                                </w:p>
                              </w:tc>
                            </w:tr>
                            <w:tr w:rsidR="00406878" w:rsidRPr="007F45CD" w14:paraId="61522FDB"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2E0D2628"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14</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497D88D9"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F7CF23"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金山</w:t>
                                  </w:r>
                                  <w:proofErr w:type="gramStart"/>
                                  <w:r w:rsidRPr="007F45CD">
                                    <w:rPr>
                                      <w:rFonts w:ascii="標楷體" w:eastAsia="標楷體" w:hAnsi="標楷體" w:cs="Calibri" w:hint="eastAsia"/>
                                      <w:color w:val="000000"/>
                                      <w:sz w:val="20"/>
                                      <w:szCs w:val="20"/>
                                    </w:rPr>
                                    <w:t>磺</w:t>
                                  </w:r>
                                  <w:proofErr w:type="gramEnd"/>
                                  <w:r w:rsidRPr="007F45CD">
                                    <w:rPr>
                                      <w:rFonts w:ascii="標楷體" w:eastAsia="標楷體" w:hAnsi="標楷體" w:cs="Calibri" w:hint="eastAsia"/>
                                      <w:color w:val="000000"/>
                                      <w:sz w:val="20"/>
                                      <w:szCs w:val="20"/>
                                    </w:rPr>
                                    <w:t>清大橋</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0D2578C" w14:textId="77777777" w:rsidR="00406878" w:rsidRPr="007F45CD" w:rsidRDefault="00406878" w:rsidP="0003214C">
                                  <w:pPr>
                                    <w:spacing w:line="200" w:lineRule="exact"/>
                                    <w:jc w:val="both"/>
                                    <w:rPr>
                                      <w:rFonts w:ascii="標楷體" w:eastAsia="標楷體" w:hAnsi="標楷體" w:cs="Calibri"/>
                                      <w:color w:val="000000"/>
                                      <w:spacing w:val="-12"/>
                                      <w:sz w:val="20"/>
                                      <w:szCs w:val="20"/>
                                    </w:rPr>
                                  </w:pPr>
                                  <w:r w:rsidRPr="007F45CD">
                                    <w:rPr>
                                      <w:rFonts w:ascii="標楷體" w:eastAsia="標楷體" w:hAnsi="標楷體" w:cs="Calibri" w:hint="eastAsia"/>
                                      <w:color w:val="000000"/>
                                      <w:spacing w:val="-12"/>
                                      <w:sz w:val="20"/>
                                      <w:szCs w:val="20"/>
                                    </w:rPr>
                                    <w:t>自由車公路賽</w:t>
                                  </w:r>
                                </w:p>
                              </w:tc>
                              <w:tc>
                                <w:tcPr>
                                  <w:tcW w:w="737" w:type="dxa"/>
                                  <w:tcBorders>
                                    <w:top w:val="single" w:sz="4" w:space="0" w:color="000000"/>
                                    <w:left w:val="single" w:sz="4" w:space="0" w:color="000000"/>
                                    <w:bottom w:val="single" w:sz="4" w:space="0" w:color="000000"/>
                                    <w:right w:val="single" w:sz="4" w:space="0" w:color="auto"/>
                                  </w:tcBorders>
                                  <w:shd w:val="pct12" w:color="auto" w:fill="auto"/>
                                  <w:vAlign w:val="center"/>
                                  <w:hideMark/>
                                </w:tcPr>
                                <w:p w14:paraId="707543A3"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shd w:val="pct10" w:color="auto" w:fill="auto"/>
                                    </w:rPr>
                                    <w:t>69.79</w:t>
                                  </w:r>
                                </w:p>
                              </w:tc>
                              <w:tc>
                                <w:tcPr>
                                  <w:tcW w:w="737" w:type="dxa"/>
                                  <w:tcBorders>
                                    <w:top w:val="single" w:sz="4" w:space="0" w:color="auto"/>
                                    <w:left w:val="nil"/>
                                    <w:bottom w:val="single" w:sz="4" w:space="0" w:color="auto"/>
                                    <w:right w:val="single" w:sz="4" w:space="0" w:color="auto"/>
                                  </w:tcBorders>
                                  <w:shd w:val="pct12" w:color="auto" w:fill="auto"/>
                                  <w:noWrap/>
                                  <w:vAlign w:val="center"/>
                                  <w:hideMark/>
                                </w:tcPr>
                                <w:p w14:paraId="5DB0C3BE"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10.00</w:t>
                                  </w:r>
                                </w:p>
                              </w:tc>
                            </w:tr>
                            <w:tr w:rsidR="00406878" w:rsidRPr="007F45CD" w14:paraId="78FED974"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2902CA9D"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15</w:t>
                                  </w:r>
                                </w:p>
                              </w:tc>
                              <w:tc>
                                <w:tcPr>
                                  <w:tcW w:w="624"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6B23ABA5"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r w:rsidRPr="00704862">
                                    <w:rPr>
                                      <w:rFonts w:ascii="標楷體" w:eastAsia="標楷體" w:hAnsi="標楷體" w:cs="Calibri" w:hint="eastAsia"/>
                                      <w:color w:val="000000"/>
                                      <w:spacing w:val="-16"/>
                                      <w:sz w:val="20"/>
                                      <w:szCs w:val="20"/>
                                    </w:rPr>
                                    <w:t>宜蘭縣</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7CC523"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冬山河親水公園</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7A3B4A5"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划船</w:t>
                                  </w:r>
                                </w:p>
                              </w:tc>
                              <w:tc>
                                <w:tcPr>
                                  <w:tcW w:w="737" w:type="dxa"/>
                                  <w:tcBorders>
                                    <w:top w:val="single" w:sz="4" w:space="0" w:color="000000"/>
                                    <w:left w:val="single" w:sz="4" w:space="0" w:color="000000"/>
                                    <w:bottom w:val="single" w:sz="4" w:space="0" w:color="000000"/>
                                    <w:right w:val="single" w:sz="4" w:space="0" w:color="auto"/>
                                  </w:tcBorders>
                                  <w:noWrap/>
                                  <w:vAlign w:val="center"/>
                                  <w:hideMark/>
                                </w:tcPr>
                                <w:p w14:paraId="7E55EB1D"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93.06</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4129BB2F"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38.89</w:t>
                                  </w:r>
                                </w:p>
                              </w:tc>
                            </w:tr>
                            <w:tr w:rsidR="00406878" w:rsidRPr="007F45CD" w14:paraId="0BC4C1EA"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63E9401C"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16</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064D4D83"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A35E2C"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烏石</w:t>
                                  </w:r>
                                  <w:proofErr w:type="gramStart"/>
                                  <w:r w:rsidRPr="007F45CD">
                                    <w:rPr>
                                      <w:rFonts w:ascii="標楷體" w:eastAsia="標楷體" w:hAnsi="標楷體" w:cs="Calibri" w:hint="eastAsia"/>
                                      <w:color w:val="000000"/>
                                      <w:sz w:val="20"/>
                                      <w:szCs w:val="20"/>
                                    </w:rPr>
                                    <w:t>港外澳海灘</w:t>
                                  </w:r>
                                  <w:proofErr w:type="gramEnd"/>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C60B80B"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衝浪</w:t>
                                  </w:r>
                                </w:p>
                              </w:tc>
                              <w:tc>
                                <w:tcPr>
                                  <w:tcW w:w="737" w:type="dxa"/>
                                  <w:tcBorders>
                                    <w:top w:val="single" w:sz="4" w:space="0" w:color="000000"/>
                                    <w:left w:val="single" w:sz="4" w:space="0" w:color="000000"/>
                                    <w:bottom w:val="single" w:sz="4" w:space="0" w:color="000000"/>
                                    <w:right w:val="single" w:sz="4" w:space="0" w:color="auto"/>
                                  </w:tcBorders>
                                  <w:shd w:val="pct12" w:color="auto" w:fill="auto"/>
                                  <w:noWrap/>
                                  <w:vAlign w:val="center"/>
                                  <w:hideMark/>
                                </w:tcPr>
                                <w:p w14:paraId="658153B6"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shd w:val="pct10" w:color="auto" w:fill="auto"/>
                                    </w:rPr>
                                    <w:t>33.71</w:t>
                                  </w:r>
                                </w:p>
                              </w:tc>
                              <w:tc>
                                <w:tcPr>
                                  <w:tcW w:w="737" w:type="dxa"/>
                                  <w:tcBorders>
                                    <w:top w:val="single" w:sz="4" w:space="0" w:color="auto"/>
                                    <w:left w:val="nil"/>
                                    <w:bottom w:val="single" w:sz="4" w:space="0" w:color="auto"/>
                                    <w:right w:val="single" w:sz="4" w:space="0" w:color="auto"/>
                                  </w:tcBorders>
                                  <w:shd w:val="pct12" w:color="auto" w:fill="auto"/>
                                  <w:noWrap/>
                                  <w:vAlign w:val="center"/>
                                  <w:hideMark/>
                                </w:tcPr>
                                <w:p w14:paraId="2D756587"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61.54</w:t>
                                  </w:r>
                                </w:p>
                              </w:tc>
                            </w:tr>
                            <w:tr w:rsidR="00406878" w:rsidRPr="007F45CD" w14:paraId="22E65A06"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164FE7A1"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17</w:t>
                                  </w:r>
                                </w:p>
                              </w:tc>
                              <w:tc>
                                <w:tcPr>
                                  <w:tcW w:w="624" w:type="dxa"/>
                                  <w:vMerge w:val="restart"/>
                                  <w:tcBorders>
                                    <w:top w:val="single" w:sz="4" w:space="0" w:color="000000"/>
                                    <w:left w:val="single" w:sz="4" w:space="0" w:color="000000"/>
                                    <w:bottom w:val="nil"/>
                                    <w:right w:val="single" w:sz="4" w:space="0" w:color="000000"/>
                                  </w:tcBorders>
                                  <w:noWrap/>
                                  <w:vAlign w:val="center"/>
                                  <w:hideMark/>
                                </w:tcPr>
                                <w:p w14:paraId="1275D91E"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r w:rsidRPr="00704862">
                                    <w:rPr>
                                      <w:rFonts w:ascii="標楷體" w:eastAsia="標楷體" w:hAnsi="標楷體" w:cs="Calibri" w:hint="eastAsia"/>
                                      <w:color w:val="000000"/>
                                      <w:spacing w:val="-16"/>
                                      <w:sz w:val="20"/>
                                      <w:szCs w:val="20"/>
                                    </w:rPr>
                                    <w:t>桃園市</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170E44"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龍潭體育園區曲棍球場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58B33A6" w14:textId="77777777" w:rsidR="00406878" w:rsidRPr="007F45CD" w:rsidRDefault="00406878" w:rsidP="0003214C">
                                  <w:pPr>
                                    <w:spacing w:line="200" w:lineRule="exact"/>
                                    <w:jc w:val="both"/>
                                    <w:rPr>
                                      <w:rFonts w:ascii="標楷體" w:eastAsia="標楷體" w:hAnsi="標楷體" w:cs="Calibri"/>
                                      <w:color w:val="000000"/>
                                      <w:spacing w:val="-20"/>
                                      <w:sz w:val="20"/>
                                      <w:szCs w:val="20"/>
                                    </w:rPr>
                                  </w:pPr>
                                  <w:r w:rsidRPr="007F45CD">
                                    <w:rPr>
                                      <w:rFonts w:ascii="標楷體" w:eastAsia="標楷體" w:hAnsi="標楷體" w:cs="Calibri" w:hint="eastAsia"/>
                                      <w:color w:val="000000"/>
                                      <w:spacing w:val="-20"/>
                                      <w:sz w:val="20"/>
                                      <w:szCs w:val="20"/>
                                    </w:rPr>
                                    <w:t>11</w:t>
                                  </w:r>
                                  <w:proofErr w:type="gramStart"/>
                                  <w:r w:rsidRPr="007F45CD">
                                    <w:rPr>
                                      <w:rFonts w:ascii="標楷體" w:eastAsia="標楷體" w:hAnsi="標楷體" w:cs="Calibri" w:hint="eastAsia"/>
                                      <w:color w:val="000000"/>
                                      <w:spacing w:val="-20"/>
                                      <w:sz w:val="20"/>
                                      <w:szCs w:val="20"/>
                                    </w:rPr>
                                    <w:t>人制</w:t>
                                  </w:r>
                                  <w:proofErr w:type="gramEnd"/>
                                  <w:r w:rsidRPr="007F45CD">
                                    <w:rPr>
                                      <w:rFonts w:ascii="標楷體" w:eastAsia="標楷體" w:hAnsi="標楷體" w:cs="Calibri" w:hint="eastAsia"/>
                                      <w:color w:val="000000"/>
                                      <w:spacing w:val="-20"/>
                                      <w:sz w:val="20"/>
                                      <w:szCs w:val="20"/>
                                    </w:rPr>
                                    <w:t>曲棍球</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28494531"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208.14</w:t>
                                  </w:r>
                                </w:p>
                              </w:tc>
                              <w:tc>
                                <w:tcPr>
                                  <w:tcW w:w="737" w:type="dxa"/>
                                  <w:tcBorders>
                                    <w:top w:val="single" w:sz="4" w:space="0" w:color="auto"/>
                                    <w:left w:val="nil"/>
                                    <w:bottom w:val="single" w:sz="4" w:space="0" w:color="auto"/>
                                    <w:right w:val="single" w:sz="4" w:space="0" w:color="auto"/>
                                  </w:tcBorders>
                                  <w:shd w:val="pct10" w:color="auto" w:fill="auto"/>
                                  <w:vAlign w:val="center"/>
                                  <w:hideMark/>
                                </w:tcPr>
                                <w:p w14:paraId="1DF03322"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11.76</w:t>
                                  </w:r>
                                </w:p>
                              </w:tc>
                            </w:tr>
                            <w:tr w:rsidR="00406878" w:rsidRPr="007F45CD" w14:paraId="54E614C8"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7A185445"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18</w:t>
                                  </w:r>
                                </w:p>
                              </w:tc>
                              <w:tc>
                                <w:tcPr>
                                  <w:tcW w:w="624" w:type="dxa"/>
                                  <w:vMerge/>
                                  <w:tcBorders>
                                    <w:top w:val="single" w:sz="4" w:space="0" w:color="000000"/>
                                    <w:left w:val="single" w:sz="4" w:space="0" w:color="000000"/>
                                    <w:bottom w:val="nil"/>
                                    <w:right w:val="single" w:sz="4" w:space="0" w:color="000000"/>
                                  </w:tcBorders>
                                  <w:vAlign w:val="center"/>
                                  <w:hideMark/>
                                </w:tcPr>
                                <w:p w14:paraId="1265CED5"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BC8D47" w14:textId="77777777" w:rsidR="00406878" w:rsidRPr="007F45CD" w:rsidRDefault="00406878" w:rsidP="00955612">
                                  <w:pPr>
                                    <w:spacing w:line="200" w:lineRule="exact"/>
                                    <w:jc w:val="both"/>
                                    <w:rPr>
                                      <w:rFonts w:ascii="標楷體" w:eastAsia="標楷體" w:hAnsi="標楷體" w:cs="Calibri"/>
                                      <w:color w:val="000000"/>
                                      <w:spacing w:val="-14"/>
                                      <w:sz w:val="20"/>
                                      <w:szCs w:val="20"/>
                                    </w:rPr>
                                  </w:pPr>
                                  <w:r w:rsidRPr="007F45CD">
                                    <w:rPr>
                                      <w:rFonts w:ascii="標楷體" w:eastAsia="標楷體" w:hAnsi="標楷體" w:cs="Calibri" w:hint="eastAsia"/>
                                      <w:color w:val="000000"/>
                                      <w:spacing w:val="-14"/>
                                      <w:sz w:val="20"/>
                                      <w:szCs w:val="20"/>
                                    </w:rPr>
                                    <w:t>國家射擊訓練基地公西靶場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A84DD11" w14:textId="77777777" w:rsidR="00406878" w:rsidRPr="007F45CD" w:rsidRDefault="00406878" w:rsidP="0003214C">
                                  <w:pPr>
                                    <w:spacing w:line="200" w:lineRule="exact"/>
                                    <w:jc w:val="both"/>
                                    <w:rPr>
                                      <w:rFonts w:ascii="標楷體" w:eastAsia="標楷體" w:hAnsi="標楷體" w:cs="Calibri"/>
                                      <w:color w:val="000000"/>
                                      <w:spacing w:val="-14"/>
                                      <w:sz w:val="20"/>
                                      <w:szCs w:val="20"/>
                                    </w:rPr>
                                  </w:pPr>
                                  <w:r w:rsidRPr="007F45CD">
                                    <w:rPr>
                                      <w:rFonts w:ascii="標楷體" w:eastAsia="標楷體" w:hAnsi="標楷體" w:cs="Calibri" w:hint="eastAsia"/>
                                      <w:color w:val="000000"/>
                                      <w:spacing w:val="-20"/>
                                      <w:sz w:val="20"/>
                                      <w:szCs w:val="20"/>
                                    </w:rPr>
                                    <w:t>飛靶、手</w:t>
                                  </w:r>
                                  <w:r>
                                    <w:rPr>
                                      <w:rFonts w:ascii="標楷體" w:eastAsia="標楷體" w:hAnsi="標楷體" w:cs="Calibri" w:hint="eastAsia"/>
                                      <w:color w:val="000000"/>
                                      <w:spacing w:val="-20"/>
                                      <w:sz w:val="20"/>
                                      <w:szCs w:val="20"/>
                                    </w:rPr>
                                    <w:t>／</w:t>
                                  </w:r>
                                  <w:r w:rsidRPr="007F45CD">
                                    <w:rPr>
                                      <w:rFonts w:ascii="標楷體" w:eastAsia="標楷體" w:hAnsi="標楷體" w:cs="Calibri" w:hint="eastAsia"/>
                                      <w:color w:val="000000"/>
                                      <w:spacing w:val="-20"/>
                                      <w:sz w:val="20"/>
                                      <w:szCs w:val="20"/>
                                    </w:rPr>
                                    <w:t>步槍</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0621D42F"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89.52</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5AD5BDFA"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21.21</w:t>
                                  </w:r>
                                </w:p>
                              </w:tc>
                            </w:tr>
                            <w:tr w:rsidR="00406878" w:rsidRPr="007F45CD" w14:paraId="5283556F"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19B82B41"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19</w:t>
                                  </w:r>
                                </w:p>
                              </w:tc>
                              <w:tc>
                                <w:tcPr>
                                  <w:tcW w:w="624" w:type="dxa"/>
                                  <w:vMerge/>
                                  <w:tcBorders>
                                    <w:top w:val="single" w:sz="4" w:space="0" w:color="000000"/>
                                    <w:left w:val="single" w:sz="4" w:space="0" w:color="000000"/>
                                    <w:bottom w:val="nil"/>
                                    <w:right w:val="single" w:sz="4" w:space="0" w:color="000000"/>
                                  </w:tcBorders>
                                  <w:vAlign w:val="center"/>
                                  <w:hideMark/>
                                </w:tcPr>
                                <w:p w14:paraId="496013FC"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5EB8D4E"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台北高爾夫俱樂部</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898AC3F"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高爾夫</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5414CE98"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102.86</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3D4671AA"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66.67</w:t>
                                  </w:r>
                                </w:p>
                              </w:tc>
                            </w:tr>
                            <w:tr w:rsidR="00406878" w:rsidRPr="007F45CD" w14:paraId="38796582" w14:textId="77777777" w:rsidTr="00955612">
                              <w:trPr>
                                <w:trHeight w:val="64"/>
                                <w:jc w:val="center"/>
                              </w:trPr>
                              <w:tc>
                                <w:tcPr>
                                  <w:tcW w:w="426" w:type="dxa"/>
                                  <w:tcBorders>
                                    <w:top w:val="single" w:sz="4" w:space="0" w:color="000000"/>
                                    <w:left w:val="single" w:sz="4" w:space="0" w:color="000000"/>
                                    <w:bottom w:val="nil"/>
                                    <w:right w:val="single" w:sz="4" w:space="0" w:color="000000"/>
                                  </w:tcBorders>
                                  <w:noWrap/>
                                  <w:vAlign w:val="center"/>
                                  <w:hideMark/>
                                </w:tcPr>
                                <w:p w14:paraId="13715287"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20</w:t>
                                  </w:r>
                                </w:p>
                              </w:tc>
                              <w:tc>
                                <w:tcPr>
                                  <w:tcW w:w="624" w:type="dxa"/>
                                  <w:vMerge/>
                                  <w:tcBorders>
                                    <w:top w:val="single" w:sz="4" w:space="0" w:color="000000"/>
                                    <w:left w:val="single" w:sz="4" w:space="0" w:color="000000"/>
                                    <w:bottom w:val="nil"/>
                                    <w:right w:val="single" w:sz="4" w:space="0" w:color="000000"/>
                                  </w:tcBorders>
                                  <w:vAlign w:val="center"/>
                                  <w:hideMark/>
                                </w:tcPr>
                                <w:p w14:paraId="7D77B84A"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nil"/>
                                    <w:bottom w:val="single" w:sz="4" w:space="0" w:color="000000"/>
                                    <w:right w:val="single" w:sz="4" w:space="0" w:color="000000"/>
                                  </w:tcBorders>
                                  <w:shd w:val="clear" w:color="auto" w:fill="auto"/>
                                  <w:noWrap/>
                                  <w:vAlign w:val="center"/>
                                  <w:hideMark/>
                                </w:tcPr>
                                <w:p w14:paraId="74E5F860"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蘆竹國民運動中心</w:t>
                                  </w:r>
                                </w:p>
                              </w:tc>
                              <w:tc>
                                <w:tcPr>
                                  <w:tcW w:w="1134" w:type="dxa"/>
                                  <w:tcBorders>
                                    <w:top w:val="single" w:sz="4" w:space="0" w:color="000000"/>
                                    <w:left w:val="nil"/>
                                    <w:bottom w:val="nil"/>
                                    <w:right w:val="nil"/>
                                  </w:tcBorders>
                                  <w:vAlign w:val="center"/>
                                  <w:hideMark/>
                                </w:tcPr>
                                <w:p w14:paraId="357660B4"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壁球</w:t>
                                  </w:r>
                                </w:p>
                              </w:tc>
                              <w:tc>
                                <w:tcPr>
                                  <w:tcW w:w="737" w:type="dxa"/>
                                  <w:tcBorders>
                                    <w:top w:val="single" w:sz="4" w:space="0" w:color="000000"/>
                                    <w:left w:val="single" w:sz="4" w:space="0" w:color="auto"/>
                                    <w:bottom w:val="single" w:sz="4" w:space="0" w:color="auto"/>
                                    <w:right w:val="single" w:sz="4" w:space="0" w:color="auto"/>
                                  </w:tcBorders>
                                  <w:shd w:val="pct10" w:color="auto" w:fill="auto"/>
                                  <w:noWrap/>
                                  <w:vAlign w:val="center"/>
                                  <w:hideMark/>
                                </w:tcPr>
                                <w:p w14:paraId="1968AD8A" w14:textId="77777777" w:rsidR="00406878" w:rsidRPr="007F45CD" w:rsidRDefault="00406878" w:rsidP="00017DC3">
                                  <w:pPr>
                                    <w:spacing w:line="200" w:lineRule="exact"/>
                                    <w:jc w:val="right"/>
                                    <w:rPr>
                                      <w:rFonts w:ascii="標楷體" w:eastAsia="標楷體" w:hAnsi="標楷體" w:cs="Calibri"/>
                                      <w:color w:val="000000"/>
                                      <w:sz w:val="20"/>
                                      <w:szCs w:val="20"/>
                                      <w:shd w:val="pct10" w:color="auto" w:fill="auto"/>
                                    </w:rPr>
                                  </w:pPr>
                                  <w:r w:rsidRPr="007F45CD">
                                    <w:rPr>
                                      <w:rFonts w:ascii="標楷體" w:eastAsia="標楷體" w:hAnsi="標楷體" w:cs="Calibri" w:hint="eastAsia"/>
                                      <w:color w:val="000000"/>
                                      <w:sz w:val="20"/>
                                      <w:szCs w:val="20"/>
                                      <w:shd w:val="pct10" w:color="auto" w:fill="auto"/>
                                    </w:rPr>
                                    <w:t>58.40</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5FD639EF"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29.17</w:t>
                                  </w:r>
                                </w:p>
                              </w:tc>
                            </w:tr>
                            <w:tr w:rsidR="00406878" w:rsidRPr="007F45CD" w14:paraId="5E312C5A" w14:textId="77777777" w:rsidTr="00955612">
                              <w:trPr>
                                <w:trHeight w:val="20"/>
                                <w:jc w:val="center"/>
                              </w:trPr>
                              <w:tc>
                                <w:tcPr>
                                  <w:tcW w:w="426" w:type="dxa"/>
                                  <w:tcBorders>
                                    <w:top w:val="single" w:sz="4" w:space="0" w:color="000000"/>
                                    <w:left w:val="single" w:sz="4" w:space="0" w:color="000000"/>
                                    <w:bottom w:val="single" w:sz="4" w:space="0" w:color="000000"/>
                                    <w:right w:val="nil"/>
                                  </w:tcBorders>
                                  <w:noWrap/>
                                  <w:vAlign w:val="center"/>
                                  <w:hideMark/>
                                </w:tcPr>
                                <w:p w14:paraId="24380458"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21</w:t>
                                  </w:r>
                                </w:p>
                              </w:tc>
                              <w:tc>
                                <w:tcPr>
                                  <w:tcW w:w="624" w:type="dxa"/>
                                  <w:tcBorders>
                                    <w:top w:val="single" w:sz="4" w:space="0" w:color="000000"/>
                                    <w:left w:val="single" w:sz="4" w:space="0" w:color="000000"/>
                                    <w:bottom w:val="single" w:sz="4" w:space="0" w:color="000000"/>
                                    <w:right w:val="nil"/>
                                  </w:tcBorders>
                                  <w:noWrap/>
                                  <w:vAlign w:val="center"/>
                                  <w:hideMark/>
                                </w:tcPr>
                                <w:p w14:paraId="140B6ED3"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roofErr w:type="gramStart"/>
                                  <w:r w:rsidRPr="00704862">
                                    <w:rPr>
                                      <w:rFonts w:ascii="標楷體" w:eastAsia="標楷體" w:hAnsi="標楷體" w:cs="Calibri" w:hint="eastAsia"/>
                                      <w:color w:val="000000"/>
                                      <w:spacing w:val="-16"/>
                                      <w:sz w:val="20"/>
                                      <w:szCs w:val="20"/>
                                    </w:rPr>
                                    <w:t>臺</w:t>
                                  </w:r>
                                  <w:proofErr w:type="gramEnd"/>
                                  <w:r w:rsidRPr="00704862">
                                    <w:rPr>
                                      <w:rFonts w:ascii="標楷體" w:eastAsia="標楷體" w:hAnsi="標楷體" w:cs="Calibri" w:hint="eastAsia"/>
                                      <w:color w:val="000000"/>
                                      <w:spacing w:val="-16"/>
                                      <w:sz w:val="20"/>
                                      <w:szCs w:val="20"/>
                                    </w:rPr>
                                    <w:t>中市</w:t>
                                  </w:r>
                                </w:p>
                              </w:tc>
                              <w:tc>
                                <w:tcPr>
                                  <w:tcW w:w="2126" w:type="dxa"/>
                                  <w:tcBorders>
                                    <w:top w:val="single" w:sz="4" w:space="0" w:color="000000"/>
                                    <w:left w:val="single" w:sz="4" w:space="0" w:color="000000"/>
                                    <w:bottom w:val="single" w:sz="4" w:space="0" w:color="000000"/>
                                    <w:right w:val="nil"/>
                                  </w:tcBorders>
                                  <w:shd w:val="clear" w:color="auto" w:fill="auto"/>
                                  <w:noWrap/>
                                  <w:vAlign w:val="center"/>
                                  <w:hideMark/>
                                </w:tcPr>
                                <w:p w14:paraId="15A759BD" w14:textId="77777777" w:rsidR="00406878" w:rsidRPr="007F45CD" w:rsidRDefault="00406878" w:rsidP="00955612">
                                  <w:pPr>
                                    <w:spacing w:line="200" w:lineRule="exact"/>
                                    <w:jc w:val="both"/>
                                    <w:rPr>
                                      <w:rFonts w:ascii="標楷體" w:eastAsia="標楷體" w:hAnsi="標楷體" w:cs="Calibri"/>
                                      <w:color w:val="000000"/>
                                      <w:sz w:val="20"/>
                                      <w:szCs w:val="20"/>
                                    </w:rPr>
                                  </w:pPr>
                                  <w:proofErr w:type="gramStart"/>
                                  <w:r w:rsidRPr="007F45CD">
                                    <w:rPr>
                                      <w:rFonts w:ascii="標楷體" w:eastAsia="標楷體" w:hAnsi="標楷體" w:cs="Calibri" w:hint="eastAsia"/>
                                      <w:color w:val="000000"/>
                                      <w:sz w:val="20"/>
                                      <w:szCs w:val="20"/>
                                    </w:rPr>
                                    <w:t>臺</w:t>
                                  </w:r>
                                  <w:proofErr w:type="gramEnd"/>
                                  <w:r w:rsidRPr="007F45CD">
                                    <w:rPr>
                                      <w:rFonts w:ascii="標楷體" w:eastAsia="標楷體" w:hAnsi="標楷體" w:cs="Calibri" w:hint="eastAsia"/>
                                      <w:color w:val="000000"/>
                                      <w:sz w:val="20"/>
                                      <w:szCs w:val="20"/>
                                    </w:rPr>
                                    <w:t>中市立自由車場</w:t>
                                  </w:r>
                                </w:p>
                              </w:tc>
                              <w:tc>
                                <w:tcPr>
                                  <w:tcW w:w="1134" w:type="dxa"/>
                                  <w:tcBorders>
                                    <w:top w:val="single" w:sz="4" w:space="0" w:color="000000"/>
                                    <w:left w:val="single" w:sz="4" w:space="0" w:color="000000"/>
                                    <w:bottom w:val="single" w:sz="4" w:space="0" w:color="000000"/>
                                    <w:right w:val="nil"/>
                                  </w:tcBorders>
                                  <w:vAlign w:val="center"/>
                                  <w:hideMark/>
                                </w:tcPr>
                                <w:p w14:paraId="502A6D45" w14:textId="77777777" w:rsidR="00406878" w:rsidRPr="007F45CD" w:rsidRDefault="00406878" w:rsidP="0003214C">
                                  <w:pPr>
                                    <w:spacing w:line="200" w:lineRule="exact"/>
                                    <w:jc w:val="both"/>
                                    <w:rPr>
                                      <w:rFonts w:ascii="標楷體" w:eastAsia="標楷體" w:hAnsi="標楷體" w:cs="Calibri"/>
                                      <w:color w:val="000000"/>
                                      <w:spacing w:val="-22"/>
                                      <w:sz w:val="20"/>
                                      <w:szCs w:val="20"/>
                                    </w:rPr>
                                  </w:pPr>
                                  <w:r w:rsidRPr="007F45CD">
                                    <w:rPr>
                                      <w:rFonts w:ascii="標楷體" w:eastAsia="標楷體" w:hAnsi="標楷體" w:cs="Calibri" w:hint="eastAsia"/>
                                      <w:color w:val="000000"/>
                                      <w:spacing w:val="-22"/>
                                      <w:sz w:val="20"/>
                                      <w:szCs w:val="20"/>
                                    </w:rPr>
                                    <w:t>自由車場地賽</w:t>
                                  </w:r>
                                </w:p>
                              </w:tc>
                              <w:tc>
                                <w:tcPr>
                                  <w:tcW w:w="737"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06AEC018" w14:textId="77777777" w:rsidR="00406878" w:rsidRPr="007F45CD" w:rsidRDefault="00406878" w:rsidP="00017DC3">
                                  <w:pPr>
                                    <w:spacing w:line="200" w:lineRule="exact"/>
                                    <w:jc w:val="right"/>
                                    <w:rPr>
                                      <w:rFonts w:ascii="標楷體" w:eastAsia="標楷體" w:hAnsi="標楷體" w:cs="Calibri"/>
                                      <w:color w:val="000000"/>
                                      <w:sz w:val="20"/>
                                      <w:szCs w:val="20"/>
                                      <w:shd w:val="pct10" w:color="auto" w:fill="auto"/>
                                    </w:rPr>
                                  </w:pPr>
                                  <w:r w:rsidRPr="007F45CD">
                                    <w:rPr>
                                      <w:rFonts w:ascii="標楷體" w:eastAsia="標楷體" w:hAnsi="標楷體" w:cs="Calibri" w:hint="eastAsia"/>
                                      <w:color w:val="000000"/>
                                      <w:sz w:val="20"/>
                                      <w:szCs w:val="20"/>
                                      <w:shd w:val="pct10" w:color="auto" w:fill="auto"/>
                                    </w:rPr>
                                    <w:t>10.00</w:t>
                                  </w:r>
                                </w:p>
                              </w:tc>
                              <w:tc>
                                <w:tcPr>
                                  <w:tcW w:w="737" w:type="dxa"/>
                                  <w:tcBorders>
                                    <w:top w:val="nil"/>
                                    <w:left w:val="nil"/>
                                    <w:bottom w:val="single" w:sz="4" w:space="0" w:color="auto"/>
                                    <w:right w:val="single" w:sz="4" w:space="0" w:color="auto"/>
                                  </w:tcBorders>
                                  <w:noWrap/>
                                  <w:vAlign w:val="center"/>
                                  <w:hideMark/>
                                </w:tcPr>
                                <w:p w14:paraId="790C0BE4"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100.00</w:t>
                                  </w:r>
                                </w:p>
                              </w:tc>
                            </w:tr>
                          </w:tbl>
                          <w:p w14:paraId="1F7F62B9" w14:textId="77777777" w:rsidR="00406878" w:rsidRPr="007F45CD" w:rsidRDefault="00406878" w:rsidP="00406878">
                            <w:pPr>
                              <w:autoSpaceDN w:val="0"/>
                              <w:spacing w:line="180" w:lineRule="exact"/>
                              <w:ind w:leftChars="-25" w:left="444" w:rightChars="-30" w:right="-72" w:hangingChars="280" w:hanging="504"/>
                              <w:jc w:val="both"/>
                              <w:rPr>
                                <w:rFonts w:ascii="標楷體" w:eastAsia="標楷體" w:hAnsi="標楷體"/>
                                <w:color w:val="000000"/>
                                <w:spacing w:val="-2"/>
                                <w:sz w:val="18"/>
                              </w:rPr>
                            </w:pPr>
                            <w:proofErr w:type="gramStart"/>
                            <w:r w:rsidRPr="007F45CD">
                              <w:rPr>
                                <w:rFonts w:ascii="標楷體" w:eastAsia="標楷體" w:hAnsi="標楷體" w:hint="eastAsia"/>
                                <w:color w:val="000000"/>
                                <w:sz w:val="18"/>
                              </w:rPr>
                              <w:t>註</w:t>
                            </w:r>
                            <w:proofErr w:type="gramEnd"/>
                            <w:r w:rsidRPr="007F45CD">
                              <w:rPr>
                                <w:rFonts w:ascii="標楷體" w:eastAsia="標楷體" w:hAnsi="標楷體" w:hint="eastAsia"/>
                                <w:color w:val="000000"/>
                                <w:sz w:val="18"/>
                              </w:rPr>
                              <w:t>：1.</w:t>
                            </w:r>
                            <w:r w:rsidRPr="007F45CD">
                              <w:rPr>
                                <w:rFonts w:ascii="標楷體" w:eastAsia="標楷體" w:hAnsi="標楷體" w:hint="eastAsia"/>
                                <w:color w:val="000000"/>
                                <w:spacing w:val="-2"/>
                                <w:sz w:val="18"/>
                              </w:rPr>
                              <w:t>本表</w:t>
                            </w:r>
                            <w:r>
                              <w:rPr>
                                <w:rFonts w:ascii="標楷體" w:eastAsia="標楷體" w:hAnsi="標楷體" w:hint="eastAsia"/>
                                <w:color w:val="000000"/>
                                <w:spacing w:val="-2"/>
                                <w:sz w:val="18"/>
                              </w:rPr>
                              <w:t>資料</w:t>
                            </w:r>
                            <w:r w:rsidRPr="007F45CD">
                              <w:rPr>
                                <w:rFonts w:ascii="標楷體" w:eastAsia="標楷體" w:hAnsi="標楷體" w:hint="eastAsia"/>
                                <w:color w:val="000000"/>
                                <w:spacing w:val="-2"/>
                                <w:sz w:val="18"/>
                              </w:rPr>
                              <w:t>除</w:t>
                            </w:r>
                            <w:proofErr w:type="gramStart"/>
                            <w:r w:rsidRPr="007F45CD">
                              <w:rPr>
                                <w:rFonts w:ascii="標楷體" w:eastAsia="標楷體" w:hAnsi="標楷體" w:hint="eastAsia"/>
                                <w:color w:val="000000"/>
                                <w:spacing w:val="-2"/>
                                <w:sz w:val="18"/>
                              </w:rPr>
                              <w:t>臺</w:t>
                            </w:r>
                            <w:proofErr w:type="gramEnd"/>
                            <w:r w:rsidRPr="007F45CD">
                              <w:rPr>
                                <w:rFonts w:ascii="標楷體" w:eastAsia="標楷體" w:hAnsi="標楷體" w:hint="eastAsia"/>
                                <w:color w:val="000000"/>
                                <w:spacing w:val="-2"/>
                                <w:sz w:val="18"/>
                              </w:rPr>
                              <w:t>中市統計至114年4月11日止，其餘場館統計至同年3月11日止。</w:t>
                            </w:r>
                          </w:p>
                          <w:p w14:paraId="74FB0781" w14:textId="77777777" w:rsidR="00406878" w:rsidRPr="007F45CD" w:rsidRDefault="00406878" w:rsidP="00406878">
                            <w:pPr>
                              <w:autoSpaceDN w:val="0"/>
                              <w:spacing w:line="180" w:lineRule="exact"/>
                              <w:ind w:rightChars="-30" w:right="-72" w:firstLineChars="145" w:firstLine="261"/>
                              <w:rPr>
                                <w:rFonts w:ascii="標楷體" w:eastAsia="標楷體" w:hAnsi="標楷體" w:cs="新細明體"/>
                                <w:color w:val="000000"/>
                                <w:sz w:val="18"/>
                                <w:szCs w:val="24"/>
                              </w:rPr>
                            </w:pPr>
                            <w:r w:rsidRPr="007F45CD">
                              <w:rPr>
                                <w:rFonts w:ascii="標楷體" w:eastAsia="標楷體" w:hAnsi="標楷體" w:cs="新細明體" w:hint="eastAsia"/>
                                <w:color w:val="000000"/>
                                <w:kern w:val="0"/>
                                <w:sz w:val="18"/>
                                <w:szCs w:val="18"/>
                              </w:rPr>
                              <w:t>2</w:t>
                            </w:r>
                            <w:r w:rsidRPr="007F45CD">
                              <w:rPr>
                                <w:rFonts w:ascii="標楷體" w:eastAsia="標楷體" w:hAnsi="標楷體" w:cs="新細明體"/>
                                <w:color w:val="000000"/>
                                <w:kern w:val="0"/>
                                <w:sz w:val="18"/>
                                <w:szCs w:val="18"/>
                              </w:rPr>
                              <w:t>.</w:t>
                            </w:r>
                            <w:r w:rsidRPr="007F45CD">
                              <w:rPr>
                                <w:rFonts w:ascii="標楷體" w:eastAsia="標楷體" w:hAnsi="標楷體" w:cs="新細明體" w:hint="eastAsia"/>
                                <w:color w:val="000000"/>
                                <w:kern w:val="0"/>
                                <w:sz w:val="18"/>
                                <w:szCs w:val="18"/>
                              </w:rPr>
                              <w:t>數值標示底色者為排班率小於</w:t>
                            </w:r>
                            <w:r w:rsidRPr="007F45CD">
                              <w:rPr>
                                <w:rFonts w:ascii="標楷體" w:eastAsia="標楷體" w:hAnsi="標楷體" w:cs="新細明體"/>
                                <w:color w:val="000000"/>
                                <w:kern w:val="0"/>
                                <w:sz w:val="18"/>
                                <w:szCs w:val="18"/>
                              </w:rPr>
                              <w:t>80</w:t>
                            </w:r>
                            <w:r w:rsidRPr="007F45CD">
                              <w:rPr>
                                <w:rFonts w:ascii="標楷體" w:eastAsia="標楷體" w:hAnsi="標楷體" w:cs="新細明體" w:hint="eastAsia"/>
                                <w:color w:val="000000"/>
                                <w:kern w:val="0"/>
                                <w:sz w:val="18"/>
                                <w:szCs w:val="18"/>
                              </w:rPr>
                              <w:t>％者。</w:t>
                            </w:r>
                          </w:p>
                          <w:p w14:paraId="5D5BD7D2" w14:textId="77777777" w:rsidR="00406878" w:rsidRPr="007F45CD" w:rsidRDefault="00406878" w:rsidP="00406878">
                            <w:pPr>
                              <w:autoSpaceDN w:val="0"/>
                              <w:spacing w:line="180" w:lineRule="exact"/>
                              <w:ind w:rightChars="-30" w:right="-72" w:firstLineChars="145" w:firstLine="261"/>
                              <w:rPr>
                                <w:rFonts w:ascii="標楷體" w:eastAsia="標楷體" w:hAnsi="標楷體"/>
                                <w:color w:val="000000"/>
                                <w:sz w:val="18"/>
                              </w:rPr>
                            </w:pPr>
                            <w:r w:rsidRPr="007F45CD">
                              <w:rPr>
                                <w:rFonts w:ascii="標楷體" w:eastAsia="標楷體" w:hAnsi="標楷體"/>
                                <w:color w:val="000000"/>
                                <w:sz w:val="18"/>
                              </w:rPr>
                              <w:t>3</w:t>
                            </w:r>
                            <w:r w:rsidRPr="007F45CD">
                              <w:rPr>
                                <w:rFonts w:ascii="標楷體" w:eastAsia="標楷體" w:hAnsi="標楷體" w:hint="eastAsia"/>
                                <w:color w:val="000000"/>
                                <w:sz w:val="18"/>
                              </w:rPr>
                              <w:t>.資料來源：整理自體育局提供資料。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64B5BC" id="文字方塊 76" o:spid="_x0000_s1153" type="#_x0000_t202" style="position:absolute;left:0;text-align:left;margin-left:205pt;margin-top:141.9pt;width:291.95pt;height:5in;z-index:-2514984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" filled="f" stroked="f">
                <v:textbox>
                  <w:txbxContent>
                    <w:tbl>
                      <w:tblPr>
                        <w:tblW w:w="5784" w:type="dxa"/>
                        <w:jc w:val="center"/>
                        <w:tblCellMar>
                          <w:left w:w="28" w:type="dxa"/>
                          <w:right w:w="28" w:type="dxa"/>
                        </w:tblCellMar>
                        <w:tblLook w:val="04A0" w:firstRow="1" w:lastRow="0" w:firstColumn="1" w:lastColumn="0" w:noHBand="0" w:noVBand="1"/>
                      </w:tblPr>
                      <w:tblGrid>
                        <w:gridCol w:w="426"/>
                        <w:gridCol w:w="624"/>
                        <w:gridCol w:w="2126"/>
                        <w:gridCol w:w="1134"/>
                        <w:gridCol w:w="737"/>
                        <w:gridCol w:w="737"/>
                      </w:tblGrid>
                      <w:tr w:rsidR="00406878" w:rsidRPr="007F45CD" w14:paraId="47B7CD8D" w14:textId="77777777" w:rsidTr="00704862">
                        <w:trPr>
                          <w:trHeight w:val="20"/>
                          <w:jc w:val="center"/>
                        </w:trPr>
                        <w:tc>
                          <w:tcPr>
                            <w:tcW w:w="5784" w:type="dxa"/>
                            <w:gridSpan w:val="6"/>
                            <w:noWrap/>
                            <w:vAlign w:val="center"/>
                            <w:hideMark/>
                          </w:tcPr>
                          <w:p w14:paraId="373D5A23" w14:textId="77777777" w:rsidR="00406878" w:rsidRPr="007F45CD" w:rsidRDefault="00406878" w:rsidP="00017DC3">
                            <w:pPr>
                              <w:spacing w:line="240" w:lineRule="exact"/>
                              <w:jc w:val="center"/>
                              <w:rPr>
                                <w:rFonts w:ascii="標楷體" w:eastAsia="標楷體" w:hAnsi="標楷體" w:cs="Calibri"/>
                                <w:b/>
                                <w:color w:val="000000"/>
                                <w:szCs w:val="24"/>
                              </w:rPr>
                            </w:pPr>
                            <w:r w:rsidRPr="007F45CD">
                              <w:rPr>
                                <w:rFonts w:ascii="標楷體" w:eastAsia="標楷體" w:hAnsi="標楷體" w:cs="Calibri" w:hint="eastAsia"/>
                                <w:b/>
                                <w:color w:val="000000"/>
                                <w:szCs w:val="24"/>
                              </w:rPr>
                              <w:t>表</w:t>
                            </w:r>
                            <w:r>
                              <w:rPr>
                                <w:rFonts w:ascii="標楷體" w:eastAsia="標楷體" w:hAnsi="標楷體" w:cs="Calibri" w:hint="eastAsia"/>
                                <w:b/>
                                <w:color w:val="000000"/>
                                <w:szCs w:val="24"/>
                              </w:rPr>
                              <w:t>3</w:t>
                            </w:r>
                            <w:r w:rsidRPr="007F45CD">
                              <w:rPr>
                                <w:rFonts w:ascii="標楷體" w:eastAsia="標楷體" w:hAnsi="標楷體" w:cs="Calibri" w:hint="eastAsia"/>
                                <w:b/>
                                <w:color w:val="000000"/>
                                <w:szCs w:val="24"/>
                              </w:rPr>
                              <w:t xml:space="preserve">  2025</w:t>
                            </w:r>
                            <w:proofErr w:type="gramStart"/>
                            <w:r w:rsidRPr="007F45CD">
                              <w:rPr>
                                <w:rFonts w:ascii="標楷體" w:eastAsia="標楷體" w:hAnsi="標楷體" w:cs="Calibri" w:hint="eastAsia"/>
                                <w:b/>
                                <w:color w:val="000000"/>
                                <w:szCs w:val="24"/>
                              </w:rPr>
                              <w:t>世壯運場館志</w:t>
                            </w:r>
                            <w:proofErr w:type="gramEnd"/>
                            <w:r w:rsidRPr="007F45CD">
                              <w:rPr>
                                <w:rFonts w:ascii="標楷體" w:eastAsia="標楷體" w:hAnsi="標楷體" w:cs="Calibri" w:hint="eastAsia"/>
                                <w:b/>
                                <w:color w:val="000000"/>
                                <w:szCs w:val="24"/>
                              </w:rPr>
                              <w:t>工排班率情形</w:t>
                            </w:r>
                          </w:p>
                        </w:tc>
                      </w:tr>
                      <w:tr w:rsidR="00406878" w:rsidRPr="007F45CD" w14:paraId="769FF7FD" w14:textId="77777777" w:rsidTr="00704862">
                        <w:trPr>
                          <w:trHeight w:val="20"/>
                          <w:jc w:val="center"/>
                        </w:trPr>
                        <w:tc>
                          <w:tcPr>
                            <w:tcW w:w="5784" w:type="dxa"/>
                            <w:gridSpan w:val="6"/>
                            <w:tcBorders>
                              <w:top w:val="nil"/>
                              <w:left w:val="nil"/>
                              <w:bottom w:val="single" w:sz="4" w:space="0" w:color="auto"/>
                              <w:right w:val="nil"/>
                            </w:tcBorders>
                            <w:noWrap/>
                            <w:vAlign w:val="center"/>
                            <w:hideMark/>
                          </w:tcPr>
                          <w:p w14:paraId="71557615" w14:textId="77777777" w:rsidR="00406878" w:rsidRPr="007F45CD" w:rsidRDefault="00406878" w:rsidP="00381E04">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單位：％</w:t>
                            </w:r>
                          </w:p>
                        </w:tc>
                      </w:tr>
                      <w:tr w:rsidR="00406878" w:rsidRPr="007F45CD" w14:paraId="59BE4A1E" w14:textId="77777777" w:rsidTr="00955612">
                        <w:trPr>
                          <w:trHeight w:val="46"/>
                          <w:jc w:val="center"/>
                        </w:trPr>
                        <w:tc>
                          <w:tcPr>
                            <w:tcW w:w="426" w:type="dxa"/>
                            <w:vMerge w:val="restart"/>
                            <w:tcBorders>
                              <w:top w:val="single" w:sz="4" w:space="0" w:color="auto"/>
                              <w:left w:val="single" w:sz="4" w:space="0" w:color="auto"/>
                              <w:bottom w:val="single" w:sz="4" w:space="0" w:color="auto"/>
                              <w:right w:val="single" w:sz="4" w:space="0" w:color="auto"/>
                            </w:tcBorders>
                            <w:noWrap/>
                            <w:vAlign w:val="center"/>
                            <w:hideMark/>
                          </w:tcPr>
                          <w:p w14:paraId="71F9A88E" w14:textId="77777777" w:rsidR="00406878" w:rsidRPr="007F45CD" w:rsidRDefault="00406878" w:rsidP="00955612">
                            <w:pPr>
                              <w:spacing w:line="200" w:lineRule="exact"/>
                              <w:jc w:val="center"/>
                              <w:rPr>
                                <w:rFonts w:ascii="標楷體" w:eastAsia="標楷體" w:hAnsi="標楷體" w:cs="Calibri"/>
                                <w:color w:val="000000"/>
                                <w:spacing w:val="-8"/>
                                <w:sz w:val="20"/>
                                <w:szCs w:val="20"/>
                              </w:rPr>
                            </w:pPr>
                            <w:r w:rsidRPr="007F45CD">
                              <w:rPr>
                                <w:rFonts w:ascii="標楷體" w:eastAsia="標楷體" w:hAnsi="標楷體" w:cs="Calibri" w:hint="eastAsia"/>
                                <w:color w:val="000000"/>
                                <w:spacing w:val="-8"/>
                                <w:sz w:val="20"/>
                                <w:szCs w:val="20"/>
                              </w:rPr>
                              <w:t>序號</w:t>
                            </w:r>
                          </w:p>
                        </w:tc>
                        <w:tc>
                          <w:tcPr>
                            <w:tcW w:w="624" w:type="dxa"/>
                            <w:vMerge w:val="restart"/>
                            <w:tcBorders>
                              <w:top w:val="single" w:sz="4" w:space="0" w:color="auto"/>
                              <w:left w:val="single" w:sz="4" w:space="0" w:color="auto"/>
                              <w:bottom w:val="single" w:sz="4" w:space="0" w:color="auto"/>
                              <w:right w:val="single" w:sz="4" w:space="0" w:color="auto"/>
                            </w:tcBorders>
                            <w:noWrap/>
                            <w:vAlign w:val="center"/>
                            <w:hideMark/>
                          </w:tcPr>
                          <w:p w14:paraId="11C45556"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roofErr w:type="gramStart"/>
                            <w:r w:rsidRPr="00704862">
                              <w:rPr>
                                <w:rFonts w:ascii="標楷體" w:eastAsia="標楷體" w:hAnsi="標楷體" w:cs="Calibri" w:hint="eastAsia"/>
                                <w:color w:val="000000"/>
                                <w:spacing w:val="-16"/>
                                <w:sz w:val="20"/>
                                <w:szCs w:val="20"/>
                              </w:rPr>
                              <w:t>市縣別</w:t>
                            </w:r>
                            <w:proofErr w:type="gramEnd"/>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340A808F" w14:textId="77777777" w:rsidR="00406878" w:rsidRPr="007F45CD" w:rsidRDefault="00406878" w:rsidP="00017DC3">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場館</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1F2D042" w14:textId="77777777" w:rsidR="00406878" w:rsidRPr="007F45CD" w:rsidRDefault="00406878" w:rsidP="00017DC3">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運動科目</w:t>
                            </w:r>
                          </w:p>
                        </w:tc>
                        <w:tc>
                          <w:tcPr>
                            <w:tcW w:w="1474" w:type="dxa"/>
                            <w:gridSpan w:val="2"/>
                            <w:tcBorders>
                              <w:top w:val="single" w:sz="4" w:space="0" w:color="auto"/>
                              <w:left w:val="single" w:sz="4" w:space="0" w:color="auto"/>
                              <w:bottom w:val="single" w:sz="4" w:space="0" w:color="auto"/>
                              <w:right w:val="single" w:sz="4" w:space="0" w:color="auto"/>
                            </w:tcBorders>
                            <w:noWrap/>
                            <w:vAlign w:val="center"/>
                            <w:hideMark/>
                          </w:tcPr>
                          <w:p w14:paraId="2B2C3371" w14:textId="77777777" w:rsidR="00406878" w:rsidRPr="007F45CD" w:rsidRDefault="00406878" w:rsidP="00017DC3">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排班率</w:t>
                            </w:r>
                          </w:p>
                        </w:tc>
                      </w:tr>
                      <w:tr w:rsidR="00406878" w:rsidRPr="007F45CD" w14:paraId="537D1407" w14:textId="77777777" w:rsidTr="00955612">
                        <w:trPr>
                          <w:trHeight w:val="20"/>
                          <w:jc w:val="center"/>
                        </w:trPr>
                        <w:tc>
                          <w:tcPr>
                            <w:tcW w:w="426" w:type="dxa"/>
                            <w:vMerge/>
                            <w:tcBorders>
                              <w:top w:val="single" w:sz="4" w:space="0" w:color="auto"/>
                              <w:left w:val="single" w:sz="4" w:space="0" w:color="auto"/>
                              <w:bottom w:val="single" w:sz="4" w:space="0" w:color="auto"/>
                              <w:right w:val="single" w:sz="4" w:space="0" w:color="auto"/>
                            </w:tcBorders>
                            <w:vAlign w:val="center"/>
                            <w:hideMark/>
                          </w:tcPr>
                          <w:p w14:paraId="742E5975" w14:textId="77777777" w:rsidR="00406878" w:rsidRPr="007F45CD" w:rsidRDefault="00406878" w:rsidP="00955612">
                            <w:pPr>
                              <w:spacing w:line="200" w:lineRule="exact"/>
                              <w:jc w:val="center"/>
                              <w:rPr>
                                <w:rFonts w:ascii="標楷體" w:eastAsia="標楷體" w:hAnsi="標楷體" w:cs="Calibri"/>
                                <w:color w:val="000000"/>
                                <w:spacing w:val="-8"/>
                                <w:sz w:val="20"/>
                                <w:szCs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12AC14F"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vMerge/>
                            <w:tcBorders>
                              <w:top w:val="single" w:sz="4" w:space="0" w:color="auto"/>
                              <w:left w:val="single" w:sz="4" w:space="0" w:color="auto"/>
                              <w:bottom w:val="single" w:sz="4" w:space="0" w:color="auto"/>
                              <w:right w:val="single" w:sz="4" w:space="0" w:color="auto"/>
                            </w:tcBorders>
                            <w:vAlign w:val="center"/>
                            <w:hideMark/>
                          </w:tcPr>
                          <w:p w14:paraId="5046CB71" w14:textId="77777777" w:rsidR="00406878" w:rsidRPr="007F45CD" w:rsidRDefault="00406878" w:rsidP="00017DC3">
                            <w:pPr>
                              <w:spacing w:line="200" w:lineRule="exact"/>
                              <w:rPr>
                                <w:rFonts w:ascii="標楷體" w:eastAsia="標楷體" w:hAnsi="標楷體" w:cs="Calibri"/>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6F77C6D" w14:textId="77777777" w:rsidR="00406878" w:rsidRPr="007F45CD" w:rsidRDefault="00406878" w:rsidP="00017DC3">
                            <w:pPr>
                              <w:spacing w:line="200" w:lineRule="exact"/>
                              <w:rPr>
                                <w:rFonts w:ascii="標楷體" w:eastAsia="標楷體" w:hAnsi="標楷體" w:cs="Calibri"/>
                                <w:color w:val="000000"/>
                                <w:sz w:val="20"/>
                                <w:szCs w:val="20"/>
                              </w:rPr>
                            </w:pPr>
                          </w:p>
                        </w:tc>
                        <w:tc>
                          <w:tcPr>
                            <w:tcW w:w="737" w:type="dxa"/>
                            <w:tcBorders>
                              <w:top w:val="single" w:sz="4" w:space="0" w:color="auto"/>
                              <w:left w:val="single" w:sz="4" w:space="0" w:color="auto"/>
                              <w:bottom w:val="single" w:sz="4" w:space="0" w:color="auto"/>
                              <w:right w:val="single" w:sz="4" w:space="0" w:color="auto"/>
                            </w:tcBorders>
                            <w:vAlign w:val="center"/>
                            <w:hideMark/>
                          </w:tcPr>
                          <w:p w14:paraId="1F6D3B4A" w14:textId="77777777" w:rsidR="00406878" w:rsidRPr="007F45CD" w:rsidRDefault="00406878" w:rsidP="00017DC3">
                            <w:pPr>
                              <w:spacing w:line="200" w:lineRule="exact"/>
                              <w:jc w:val="center"/>
                              <w:rPr>
                                <w:rFonts w:ascii="標楷體" w:eastAsia="標楷體" w:hAnsi="標楷體" w:cs="Calibri"/>
                                <w:color w:val="000000"/>
                                <w:spacing w:val="-22"/>
                                <w:sz w:val="20"/>
                                <w:szCs w:val="20"/>
                              </w:rPr>
                            </w:pPr>
                            <w:r w:rsidRPr="007F45CD">
                              <w:rPr>
                                <w:rFonts w:ascii="標楷體" w:eastAsia="標楷體" w:hAnsi="標楷體" w:cs="Calibri" w:hint="eastAsia"/>
                                <w:color w:val="000000"/>
                                <w:spacing w:val="-22"/>
                                <w:sz w:val="20"/>
                                <w:szCs w:val="20"/>
                              </w:rPr>
                              <w:t>一般志工</w:t>
                            </w:r>
                          </w:p>
                        </w:tc>
                        <w:tc>
                          <w:tcPr>
                            <w:tcW w:w="737" w:type="dxa"/>
                            <w:tcBorders>
                              <w:top w:val="single" w:sz="4" w:space="0" w:color="auto"/>
                              <w:left w:val="single" w:sz="4" w:space="0" w:color="auto"/>
                              <w:bottom w:val="single" w:sz="4" w:space="0" w:color="auto"/>
                              <w:right w:val="single" w:sz="4" w:space="0" w:color="auto"/>
                            </w:tcBorders>
                            <w:vAlign w:val="center"/>
                            <w:hideMark/>
                          </w:tcPr>
                          <w:p w14:paraId="3C88499E" w14:textId="77777777" w:rsidR="00406878" w:rsidRPr="007F45CD" w:rsidRDefault="00406878" w:rsidP="00017DC3">
                            <w:pPr>
                              <w:spacing w:line="200" w:lineRule="exact"/>
                              <w:jc w:val="center"/>
                              <w:rPr>
                                <w:rFonts w:ascii="標楷體" w:eastAsia="標楷體" w:hAnsi="標楷體" w:cs="Calibri"/>
                                <w:color w:val="000000"/>
                                <w:spacing w:val="-22"/>
                                <w:sz w:val="20"/>
                                <w:szCs w:val="20"/>
                              </w:rPr>
                            </w:pPr>
                            <w:r w:rsidRPr="007F45CD">
                              <w:rPr>
                                <w:rFonts w:ascii="標楷體" w:eastAsia="標楷體" w:hAnsi="標楷體" w:cs="Calibri" w:hint="eastAsia"/>
                                <w:color w:val="000000"/>
                                <w:spacing w:val="-22"/>
                                <w:sz w:val="20"/>
                                <w:szCs w:val="20"/>
                              </w:rPr>
                              <w:t>語言志工</w:t>
                            </w:r>
                          </w:p>
                        </w:tc>
                      </w:tr>
                      <w:tr w:rsidR="00406878" w:rsidRPr="007F45CD" w14:paraId="24733070" w14:textId="77777777" w:rsidTr="00955612">
                        <w:trPr>
                          <w:trHeight w:val="20"/>
                          <w:jc w:val="center"/>
                        </w:trPr>
                        <w:tc>
                          <w:tcPr>
                            <w:tcW w:w="426" w:type="dxa"/>
                            <w:tcBorders>
                              <w:top w:val="single" w:sz="4" w:space="0" w:color="auto"/>
                              <w:left w:val="single" w:sz="4" w:space="0" w:color="000000"/>
                              <w:bottom w:val="nil"/>
                              <w:right w:val="single" w:sz="4" w:space="0" w:color="000000"/>
                            </w:tcBorders>
                            <w:noWrap/>
                            <w:vAlign w:val="center"/>
                            <w:hideMark/>
                          </w:tcPr>
                          <w:p w14:paraId="00764463"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w:t>
                            </w:r>
                          </w:p>
                        </w:tc>
                        <w:tc>
                          <w:tcPr>
                            <w:tcW w:w="624" w:type="dxa"/>
                            <w:vMerge w:val="restart"/>
                            <w:tcBorders>
                              <w:top w:val="single" w:sz="4" w:space="0" w:color="auto"/>
                              <w:left w:val="nil"/>
                              <w:bottom w:val="single" w:sz="4" w:space="0" w:color="000000"/>
                              <w:right w:val="single" w:sz="4" w:space="0" w:color="000000"/>
                            </w:tcBorders>
                            <w:noWrap/>
                            <w:vAlign w:val="center"/>
                            <w:hideMark/>
                          </w:tcPr>
                          <w:p w14:paraId="542A3665"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r w:rsidRPr="00704862">
                              <w:rPr>
                                <w:rFonts w:ascii="標楷體" w:eastAsia="標楷體" w:hAnsi="標楷體" w:cs="Calibri" w:hint="eastAsia"/>
                                <w:color w:val="000000"/>
                                <w:spacing w:val="-16"/>
                                <w:sz w:val="20"/>
                                <w:szCs w:val="20"/>
                              </w:rPr>
                              <w:t>臺北市</w:t>
                            </w:r>
                          </w:p>
                        </w:tc>
                        <w:tc>
                          <w:tcPr>
                            <w:tcW w:w="2126" w:type="dxa"/>
                            <w:tcBorders>
                              <w:top w:val="single" w:sz="4" w:space="0" w:color="auto"/>
                              <w:left w:val="nil"/>
                              <w:bottom w:val="nil"/>
                              <w:right w:val="single" w:sz="4" w:space="0" w:color="000000"/>
                            </w:tcBorders>
                            <w:vAlign w:val="center"/>
                            <w:hideMark/>
                          </w:tcPr>
                          <w:p w14:paraId="7275B5E1"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臺北市立大學（天母校區）</w:t>
                            </w:r>
                            <w:proofErr w:type="gramStart"/>
                            <w:r w:rsidRPr="007F45CD">
                              <w:rPr>
                                <w:rFonts w:ascii="標楷體" w:eastAsia="標楷體" w:hAnsi="標楷體" w:cs="Calibri" w:hint="eastAsia"/>
                                <w:color w:val="000000"/>
                                <w:sz w:val="20"/>
                                <w:szCs w:val="20"/>
                              </w:rPr>
                              <w:t>詩欣館</w:t>
                            </w:r>
                            <w:proofErr w:type="gramEnd"/>
                          </w:p>
                        </w:tc>
                        <w:tc>
                          <w:tcPr>
                            <w:tcW w:w="1134" w:type="dxa"/>
                            <w:tcBorders>
                              <w:top w:val="single" w:sz="4" w:space="0" w:color="auto"/>
                              <w:left w:val="nil"/>
                              <w:bottom w:val="nil"/>
                              <w:right w:val="nil"/>
                            </w:tcBorders>
                            <w:vAlign w:val="center"/>
                            <w:hideMark/>
                          </w:tcPr>
                          <w:p w14:paraId="28CF6157" w14:textId="77777777" w:rsidR="00406878" w:rsidRPr="007F45CD" w:rsidRDefault="00406878" w:rsidP="0003214C">
                            <w:pPr>
                              <w:spacing w:line="200" w:lineRule="exact"/>
                              <w:jc w:val="both"/>
                              <w:rPr>
                                <w:rFonts w:ascii="標楷體" w:eastAsia="標楷體" w:hAnsi="標楷體" w:cs="Calibri"/>
                                <w:color w:val="000000"/>
                                <w:spacing w:val="-10"/>
                                <w:sz w:val="20"/>
                                <w:szCs w:val="20"/>
                              </w:rPr>
                            </w:pPr>
                            <w:r w:rsidRPr="007F45CD">
                              <w:rPr>
                                <w:rFonts w:ascii="標楷體" w:eastAsia="標楷體" w:hAnsi="標楷體" w:cs="Calibri" w:hint="eastAsia"/>
                                <w:color w:val="000000"/>
                                <w:spacing w:val="-10"/>
                                <w:sz w:val="20"/>
                                <w:szCs w:val="20"/>
                              </w:rPr>
                              <w:t>游泳、跳水</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36D60FF6"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120.00</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4D2F238A"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61.54</w:t>
                            </w:r>
                          </w:p>
                        </w:tc>
                      </w:tr>
                      <w:tr w:rsidR="00406878" w:rsidRPr="007F45CD" w14:paraId="6A15DAFD"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72160137"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w:t>
                            </w:r>
                          </w:p>
                        </w:tc>
                        <w:tc>
                          <w:tcPr>
                            <w:tcW w:w="624" w:type="dxa"/>
                            <w:vMerge/>
                            <w:tcBorders>
                              <w:top w:val="single" w:sz="4" w:space="0" w:color="auto"/>
                              <w:left w:val="nil"/>
                              <w:bottom w:val="single" w:sz="4" w:space="0" w:color="000000"/>
                              <w:right w:val="single" w:sz="4" w:space="0" w:color="000000"/>
                            </w:tcBorders>
                            <w:vAlign w:val="center"/>
                            <w:hideMark/>
                          </w:tcPr>
                          <w:p w14:paraId="51399497"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nil"/>
                              <w:bottom w:val="single" w:sz="4" w:space="0" w:color="000000"/>
                              <w:right w:val="single" w:sz="4" w:space="0" w:color="000000"/>
                            </w:tcBorders>
                            <w:vAlign w:val="center"/>
                            <w:hideMark/>
                          </w:tcPr>
                          <w:p w14:paraId="29063734"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中國文化大學體育館</w:t>
                            </w:r>
                          </w:p>
                        </w:tc>
                        <w:tc>
                          <w:tcPr>
                            <w:tcW w:w="1134" w:type="dxa"/>
                            <w:tcBorders>
                              <w:top w:val="single" w:sz="4" w:space="0" w:color="000000"/>
                              <w:left w:val="nil"/>
                              <w:bottom w:val="single" w:sz="4" w:space="0" w:color="000000"/>
                              <w:right w:val="nil"/>
                            </w:tcBorders>
                            <w:vAlign w:val="center"/>
                            <w:hideMark/>
                          </w:tcPr>
                          <w:p w14:paraId="6E809144"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室內排球</w:t>
                            </w:r>
                          </w:p>
                        </w:tc>
                        <w:tc>
                          <w:tcPr>
                            <w:tcW w:w="737" w:type="dxa"/>
                            <w:tcBorders>
                              <w:top w:val="nil"/>
                              <w:left w:val="single" w:sz="4" w:space="0" w:color="auto"/>
                              <w:bottom w:val="single" w:sz="4" w:space="0" w:color="auto"/>
                              <w:right w:val="single" w:sz="4" w:space="0" w:color="auto"/>
                            </w:tcBorders>
                            <w:noWrap/>
                            <w:vAlign w:val="center"/>
                            <w:hideMark/>
                          </w:tcPr>
                          <w:p w14:paraId="5551D390"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89.29</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3F2E30E0"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32.50</w:t>
                            </w:r>
                          </w:p>
                        </w:tc>
                      </w:tr>
                      <w:tr w:rsidR="00406878" w:rsidRPr="007F45CD" w14:paraId="55B21B26" w14:textId="77777777" w:rsidTr="00955612">
                        <w:trPr>
                          <w:trHeight w:val="20"/>
                          <w:jc w:val="center"/>
                        </w:trPr>
                        <w:tc>
                          <w:tcPr>
                            <w:tcW w:w="426" w:type="dxa"/>
                            <w:tcBorders>
                              <w:top w:val="nil"/>
                              <w:left w:val="single" w:sz="4" w:space="0" w:color="000000"/>
                              <w:bottom w:val="nil"/>
                              <w:right w:val="single" w:sz="4" w:space="0" w:color="000000"/>
                            </w:tcBorders>
                            <w:noWrap/>
                            <w:vAlign w:val="center"/>
                            <w:hideMark/>
                          </w:tcPr>
                          <w:p w14:paraId="637EFF0A"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3</w:t>
                            </w:r>
                          </w:p>
                        </w:tc>
                        <w:tc>
                          <w:tcPr>
                            <w:tcW w:w="624" w:type="dxa"/>
                            <w:vMerge/>
                            <w:tcBorders>
                              <w:top w:val="single" w:sz="4" w:space="0" w:color="auto"/>
                              <w:left w:val="nil"/>
                              <w:bottom w:val="single" w:sz="4" w:space="0" w:color="000000"/>
                              <w:right w:val="single" w:sz="4" w:space="0" w:color="000000"/>
                            </w:tcBorders>
                            <w:vAlign w:val="center"/>
                            <w:hideMark/>
                          </w:tcPr>
                          <w:p w14:paraId="1A0B0863"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nil"/>
                              <w:left w:val="nil"/>
                              <w:bottom w:val="nil"/>
                              <w:right w:val="single" w:sz="4" w:space="0" w:color="000000"/>
                            </w:tcBorders>
                            <w:noWrap/>
                            <w:vAlign w:val="center"/>
                            <w:hideMark/>
                          </w:tcPr>
                          <w:p w14:paraId="344D8B11"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百齡河濱公園橄欖球場</w:t>
                            </w:r>
                          </w:p>
                        </w:tc>
                        <w:tc>
                          <w:tcPr>
                            <w:tcW w:w="1134" w:type="dxa"/>
                            <w:vAlign w:val="center"/>
                            <w:hideMark/>
                          </w:tcPr>
                          <w:p w14:paraId="1DDCE17F" w14:textId="77777777" w:rsidR="00406878" w:rsidRPr="007F45CD" w:rsidRDefault="00406878" w:rsidP="0003214C">
                            <w:pPr>
                              <w:spacing w:line="200" w:lineRule="exact"/>
                              <w:jc w:val="both"/>
                              <w:rPr>
                                <w:rFonts w:ascii="標楷體" w:eastAsia="標楷體" w:hAnsi="標楷體" w:cs="Calibri"/>
                                <w:color w:val="000000"/>
                                <w:spacing w:val="-20"/>
                                <w:sz w:val="20"/>
                                <w:szCs w:val="20"/>
                              </w:rPr>
                            </w:pPr>
                            <w:r w:rsidRPr="007F45CD">
                              <w:rPr>
                                <w:rFonts w:ascii="標楷體" w:eastAsia="標楷體" w:hAnsi="標楷體" w:cs="Calibri" w:hint="eastAsia"/>
                                <w:color w:val="000000"/>
                                <w:spacing w:val="-20"/>
                                <w:sz w:val="20"/>
                                <w:szCs w:val="20"/>
                              </w:rPr>
                              <w:t>15</w:t>
                            </w:r>
                            <w:proofErr w:type="gramStart"/>
                            <w:r w:rsidRPr="007F45CD">
                              <w:rPr>
                                <w:rFonts w:ascii="標楷體" w:eastAsia="標楷體" w:hAnsi="標楷體" w:cs="Calibri" w:hint="eastAsia"/>
                                <w:color w:val="000000"/>
                                <w:spacing w:val="-20"/>
                                <w:sz w:val="20"/>
                                <w:szCs w:val="20"/>
                              </w:rPr>
                              <w:t>人制</w:t>
                            </w:r>
                            <w:proofErr w:type="gramEnd"/>
                            <w:r w:rsidRPr="007F45CD">
                              <w:rPr>
                                <w:rFonts w:ascii="標楷體" w:eastAsia="標楷體" w:hAnsi="標楷體" w:cs="Calibri" w:hint="eastAsia"/>
                                <w:color w:val="000000"/>
                                <w:spacing w:val="-20"/>
                                <w:sz w:val="20"/>
                                <w:szCs w:val="20"/>
                              </w:rPr>
                              <w:t>橄欖球</w:t>
                            </w:r>
                          </w:p>
                        </w:tc>
                        <w:tc>
                          <w:tcPr>
                            <w:tcW w:w="737" w:type="dxa"/>
                            <w:tcBorders>
                              <w:top w:val="nil"/>
                              <w:left w:val="single" w:sz="4" w:space="0" w:color="auto"/>
                              <w:bottom w:val="single" w:sz="4" w:space="0" w:color="auto"/>
                              <w:right w:val="single" w:sz="4" w:space="0" w:color="auto"/>
                            </w:tcBorders>
                            <w:noWrap/>
                            <w:vAlign w:val="center"/>
                            <w:hideMark/>
                          </w:tcPr>
                          <w:p w14:paraId="3DC38234"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207.44</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1066E028"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70.59</w:t>
                            </w:r>
                          </w:p>
                        </w:tc>
                      </w:tr>
                      <w:tr w:rsidR="00406878" w:rsidRPr="007F45CD" w14:paraId="6D92AE30" w14:textId="77777777" w:rsidTr="00955612">
                        <w:trPr>
                          <w:trHeight w:val="20"/>
                          <w:jc w:val="center"/>
                        </w:trPr>
                        <w:tc>
                          <w:tcPr>
                            <w:tcW w:w="426" w:type="dxa"/>
                            <w:tcBorders>
                              <w:top w:val="single" w:sz="4" w:space="0" w:color="000000"/>
                              <w:left w:val="single" w:sz="4" w:space="0" w:color="000000"/>
                              <w:bottom w:val="nil"/>
                              <w:right w:val="single" w:sz="4" w:space="0" w:color="000000"/>
                            </w:tcBorders>
                            <w:noWrap/>
                            <w:vAlign w:val="center"/>
                            <w:hideMark/>
                          </w:tcPr>
                          <w:p w14:paraId="2CC8589F"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4</w:t>
                            </w:r>
                          </w:p>
                        </w:tc>
                        <w:tc>
                          <w:tcPr>
                            <w:tcW w:w="624" w:type="dxa"/>
                            <w:vMerge/>
                            <w:tcBorders>
                              <w:top w:val="single" w:sz="4" w:space="0" w:color="auto"/>
                              <w:left w:val="nil"/>
                              <w:bottom w:val="single" w:sz="4" w:space="0" w:color="000000"/>
                              <w:right w:val="single" w:sz="4" w:space="0" w:color="000000"/>
                            </w:tcBorders>
                            <w:vAlign w:val="center"/>
                            <w:hideMark/>
                          </w:tcPr>
                          <w:p w14:paraId="1CFCA11C"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nil"/>
                              <w:bottom w:val="nil"/>
                              <w:right w:val="single" w:sz="4" w:space="0" w:color="000000"/>
                            </w:tcBorders>
                            <w:noWrap/>
                            <w:vAlign w:val="center"/>
                            <w:hideMark/>
                          </w:tcPr>
                          <w:p w14:paraId="22BD5E61"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迎風河濱公園足球場</w:t>
                            </w:r>
                          </w:p>
                        </w:tc>
                        <w:tc>
                          <w:tcPr>
                            <w:tcW w:w="1134" w:type="dxa"/>
                            <w:tcBorders>
                              <w:top w:val="single" w:sz="4" w:space="0" w:color="000000"/>
                              <w:left w:val="nil"/>
                              <w:bottom w:val="nil"/>
                              <w:right w:val="nil"/>
                            </w:tcBorders>
                            <w:vAlign w:val="center"/>
                            <w:hideMark/>
                          </w:tcPr>
                          <w:p w14:paraId="55DA7359" w14:textId="77777777" w:rsidR="00406878" w:rsidRPr="007F45CD" w:rsidRDefault="00406878" w:rsidP="0003214C">
                            <w:pPr>
                              <w:spacing w:line="200" w:lineRule="exact"/>
                              <w:jc w:val="both"/>
                              <w:rPr>
                                <w:rFonts w:ascii="標楷體" w:eastAsia="標楷體" w:hAnsi="標楷體" w:cs="Calibri"/>
                                <w:color w:val="000000"/>
                                <w:spacing w:val="-20"/>
                                <w:sz w:val="20"/>
                                <w:szCs w:val="20"/>
                              </w:rPr>
                            </w:pPr>
                            <w:r w:rsidRPr="007F45CD">
                              <w:rPr>
                                <w:rFonts w:ascii="標楷體" w:eastAsia="標楷體" w:hAnsi="標楷體" w:cs="Calibri" w:hint="eastAsia"/>
                                <w:color w:val="000000"/>
                                <w:spacing w:val="-20"/>
                                <w:sz w:val="20"/>
                                <w:szCs w:val="20"/>
                              </w:rPr>
                              <w:t>11</w:t>
                            </w:r>
                            <w:proofErr w:type="gramStart"/>
                            <w:r w:rsidRPr="007F45CD">
                              <w:rPr>
                                <w:rFonts w:ascii="標楷體" w:eastAsia="標楷體" w:hAnsi="標楷體" w:cs="Calibri" w:hint="eastAsia"/>
                                <w:color w:val="000000"/>
                                <w:spacing w:val="-20"/>
                                <w:sz w:val="20"/>
                                <w:szCs w:val="20"/>
                              </w:rPr>
                              <w:t>人制</w:t>
                            </w:r>
                            <w:proofErr w:type="gramEnd"/>
                            <w:r w:rsidRPr="007F45CD">
                              <w:rPr>
                                <w:rFonts w:ascii="標楷體" w:eastAsia="標楷體" w:hAnsi="標楷體" w:cs="Calibri" w:hint="eastAsia"/>
                                <w:color w:val="000000"/>
                                <w:spacing w:val="-20"/>
                                <w:sz w:val="20"/>
                                <w:szCs w:val="20"/>
                              </w:rPr>
                              <w:t>足球</w:t>
                            </w:r>
                          </w:p>
                        </w:tc>
                        <w:tc>
                          <w:tcPr>
                            <w:tcW w:w="737" w:type="dxa"/>
                            <w:tcBorders>
                              <w:top w:val="nil"/>
                              <w:left w:val="single" w:sz="4" w:space="0" w:color="auto"/>
                              <w:bottom w:val="single" w:sz="4" w:space="0" w:color="auto"/>
                              <w:right w:val="single" w:sz="4" w:space="0" w:color="auto"/>
                            </w:tcBorders>
                            <w:noWrap/>
                            <w:vAlign w:val="center"/>
                            <w:hideMark/>
                          </w:tcPr>
                          <w:p w14:paraId="3887FB71"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96.43</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53C5FD49"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29.79</w:t>
                            </w:r>
                          </w:p>
                        </w:tc>
                      </w:tr>
                      <w:tr w:rsidR="00406878" w:rsidRPr="007F45CD" w14:paraId="1384AEE9"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2F314B05"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5</w:t>
                            </w:r>
                          </w:p>
                        </w:tc>
                        <w:tc>
                          <w:tcPr>
                            <w:tcW w:w="624" w:type="dxa"/>
                            <w:vMerge/>
                            <w:tcBorders>
                              <w:top w:val="single" w:sz="4" w:space="0" w:color="auto"/>
                              <w:left w:val="nil"/>
                              <w:bottom w:val="single" w:sz="4" w:space="0" w:color="000000"/>
                              <w:right w:val="single" w:sz="4" w:space="0" w:color="000000"/>
                            </w:tcBorders>
                            <w:vAlign w:val="center"/>
                            <w:hideMark/>
                          </w:tcPr>
                          <w:p w14:paraId="1117C1BB"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nil"/>
                              <w:bottom w:val="single" w:sz="4" w:space="0" w:color="000000"/>
                              <w:right w:val="single" w:sz="4" w:space="0" w:color="000000"/>
                            </w:tcBorders>
                            <w:noWrap/>
                            <w:vAlign w:val="center"/>
                            <w:hideMark/>
                          </w:tcPr>
                          <w:p w14:paraId="576FDE47"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觀山河濱公園木球場</w:t>
                            </w:r>
                          </w:p>
                        </w:tc>
                        <w:tc>
                          <w:tcPr>
                            <w:tcW w:w="1134" w:type="dxa"/>
                            <w:tcBorders>
                              <w:top w:val="single" w:sz="4" w:space="0" w:color="000000"/>
                              <w:left w:val="nil"/>
                              <w:bottom w:val="single" w:sz="4" w:space="0" w:color="000000"/>
                              <w:right w:val="nil"/>
                            </w:tcBorders>
                            <w:vAlign w:val="center"/>
                            <w:hideMark/>
                          </w:tcPr>
                          <w:p w14:paraId="79AF1E3C"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木球</w:t>
                            </w:r>
                          </w:p>
                        </w:tc>
                        <w:tc>
                          <w:tcPr>
                            <w:tcW w:w="737" w:type="dxa"/>
                            <w:tcBorders>
                              <w:top w:val="nil"/>
                              <w:left w:val="single" w:sz="4" w:space="0" w:color="auto"/>
                              <w:bottom w:val="single" w:sz="4" w:space="0" w:color="000000"/>
                              <w:right w:val="single" w:sz="4" w:space="0" w:color="auto"/>
                            </w:tcBorders>
                            <w:noWrap/>
                            <w:vAlign w:val="center"/>
                            <w:hideMark/>
                          </w:tcPr>
                          <w:p w14:paraId="4E27D8D6"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125.29</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69B65917"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63.64</w:t>
                            </w:r>
                          </w:p>
                        </w:tc>
                      </w:tr>
                      <w:tr w:rsidR="00406878" w:rsidRPr="007F45CD" w14:paraId="24C47170"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6436D52B"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w:t>
                            </w:r>
                          </w:p>
                        </w:tc>
                        <w:tc>
                          <w:tcPr>
                            <w:tcW w:w="624" w:type="dxa"/>
                            <w:vMerge/>
                            <w:tcBorders>
                              <w:top w:val="single" w:sz="4" w:space="0" w:color="auto"/>
                              <w:left w:val="nil"/>
                              <w:bottom w:val="single" w:sz="4" w:space="0" w:color="000000"/>
                              <w:right w:val="single" w:sz="4" w:space="0" w:color="000000"/>
                            </w:tcBorders>
                            <w:vAlign w:val="center"/>
                            <w:hideMark/>
                          </w:tcPr>
                          <w:p w14:paraId="269CB920"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6576C6AE" w14:textId="77777777" w:rsidR="00406878" w:rsidRPr="007F45CD" w:rsidRDefault="00406878" w:rsidP="00955612">
                            <w:pPr>
                              <w:spacing w:line="200" w:lineRule="exact"/>
                              <w:jc w:val="both"/>
                              <w:rPr>
                                <w:rFonts w:ascii="標楷體" w:eastAsia="標楷體" w:hAnsi="標楷體" w:cs="Calibri"/>
                                <w:color w:val="000000"/>
                                <w:spacing w:val="-8"/>
                                <w:sz w:val="20"/>
                                <w:szCs w:val="20"/>
                              </w:rPr>
                            </w:pPr>
                            <w:r w:rsidRPr="007F45CD">
                              <w:rPr>
                                <w:rFonts w:ascii="標楷體" w:eastAsia="標楷體" w:hAnsi="標楷體" w:cs="Calibri" w:hint="eastAsia"/>
                                <w:color w:val="000000"/>
                                <w:spacing w:val="-8"/>
                                <w:sz w:val="20"/>
                                <w:szCs w:val="20"/>
                              </w:rPr>
                              <w:t>觀山河濱公園法式滾球場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8B0FB0C"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法式滾球</w:t>
                            </w:r>
                          </w:p>
                        </w:tc>
                        <w:tc>
                          <w:tcPr>
                            <w:tcW w:w="737" w:type="dxa"/>
                            <w:tcBorders>
                              <w:top w:val="single" w:sz="4" w:space="0" w:color="000000"/>
                              <w:left w:val="single" w:sz="4" w:space="0" w:color="000000"/>
                              <w:bottom w:val="single" w:sz="4" w:space="0" w:color="000000"/>
                              <w:right w:val="single" w:sz="4" w:space="0" w:color="auto"/>
                            </w:tcBorders>
                            <w:noWrap/>
                            <w:vAlign w:val="center"/>
                            <w:hideMark/>
                          </w:tcPr>
                          <w:p w14:paraId="589BBC2C"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103.13</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698EC264"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65.00</w:t>
                            </w:r>
                          </w:p>
                        </w:tc>
                      </w:tr>
                      <w:tr w:rsidR="00406878" w:rsidRPr="007F45CD" w14:paraId="1A77EFCB"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1F4099E0"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7</w:t>
                            </w:r>
                          </w:p>
                        </w:tc>
                        <w:tc>
                          <w:tcPr>
                            <w:tcW w:w="624"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0C5BE518"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r w:rsidRPr="00704862">
                              <w:rPr>
                                <w:rFonts w:ascii="標楷體" w:eastAsia="標楷體" w:hAnsi="標楷體" w:cs="Calibri" w:hint="eastAsia"/>
                                <w:color w:val="000000"/>
                                <w:spacing w:val="-16"/>
                                <w:sz w:val="20"/>
                                <w:szCs w:val="20"/>
                              </w:rPr>
                              <w:t>新北市</w:t>
                            </w:r>
                          </w:p>
                        </w:tc>
                        <w:tc>
                          <w:tcPr>
                            <w:tcW w:w="2126" w:type="dxa"/>
                            <w:tcBorders>
                              <w:top w:val="single" w:sz="4" w:space="0" w:color="000000"/>
                              <w:left w:val="single" w:sz="4" w:space="0" w:color="000000"/>
                              <w:bottom w:val="single" w:sz="4" w:space="0" w:color="000000"/>
                              <w:right w:val="single" w:sz="4" w:space="0" w:color="000000"/>
                            </w:tcBorders>
                            <w:noWrap/>
                            <w:vAlign w:val="center"/>
                            <w:hideMark/>
                          </w:tcPr>
                          <w:p w14:paraId="3C707E78"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天主教輔仁大學田徑場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42B096A3" w14:textId="77777777" w:rsidR="00406878" w:rsidRPr="007F45CD" w:rsidRDefault="00406878" w:rsidP="0003214C">
                            <w:pPr>
                              <w:spacing w:line="200" w:lineRule="exact"/>
                              <w:jc w:val="both"/>
                              <w:rPr>
                                <w:rFonts w:ascii="標楷體" w:eastAsia="標楷體" w:hAnsi="標楷體" w:cs="Calibri"/>
                                <w:color w:val="000000"/>
                                <w:spacing w:val="-14"/>
                                <w:sz w:val="20"/>
                                <w:szCs w:val="20"/>
                              </w:rPr>
                            </w:pPr>
                            <w:r w:rsidRPr="007F45CD">
                              <w:rPr>
                                <w:rFonts w:ascii="標楷體" w:eastAsia="標楷體" w:hAnsi="標楷體" w:cs="Calibri" w:hint="eastAsia"/>
                                <w:color w:val="000000"/>
                                <w:spacing w:val="-14"/>
                                <w:sz w:val="20"/>
                                <w:szCs w:val="20"/>
                              </w:rPr>
                              <w:t>11</w:t>
                            </w:r>
                            <w:proofErr w:type="gramStart"/>
                            <w:r w:rsidRPr="007F45CD">
                              <w:rPr>
                                <w:rFonts w:ascii="標楷體" w:eastAsia="標楷體" w:hAnsi="標楷體" w:cs="Calibri" w:hint="eastAsia"/>
                                <w:color w:val="000000"/>
                                <w:spacing w:val="-14"/>
                                <w:sz w:val="20"/>
                                <w:szCs w:val="20"/>
                              </w:rPr>
                              <w:t>人制</w:t>
                            </w:r>
                            <w:proofErr w:type="gramEnd"/>
                            <w:r w:rsidRPr="007F45CD">
                              <w:rPr>
                                <w:rFonts w:ascii="標楷體" w:eastAsia="標楷體" w:hAnsi="標楷體" w:cs="Calibri" w:hint="eastAsia"/>
                                <w:color w:val="000000"/>
                                <w:spacing w:val="-14"/>
                                <w:sz w:val="20"/>
                                <w:szCs w:val="20"/>
                              </w:rPr>
                              <w:t>足球</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0B8FCB47"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158.04</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26761107"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75.00</w:t>
                            </w:r>
                          </w:p>
                        </w:tc>
                      </w:tr>
                      <w:tr w:rsidR="00406878" w:rsidRPr="007F45CD" w14:paraId="30AF27F9"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063705B5"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8</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07E2A4C2"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noWrap/>
                            <w:vAlign w:val="center"/>
                            <w:hideMark/>
                          </w:tcPr>
                          <w:p w14:paraId="1CD75C34"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大都會棒球場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0CF8F370"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壘球</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459FBA2C"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125.81</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1BB60374"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11.11</w:t>
                            </w:r>
                          </w:p>
                        </w:tc>
                      </w:tr>
                      <w:tr w:rsidR="00406878" w:rsidRPr="007F45CD" w14:paraId="5647B735"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4A9D4317"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9</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0E2395B6"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noWrap/>
                            <w:vAlign w:val="center"/>
                            <w:hideMark/>
                          </w:tcPr>
                          <w:p w14:paraId="06331E1E"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新北市三重棒球場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21724CF"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棒球</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7CEC1713"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100.80</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083E3A1A"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76.47</w:t>
                            </w:r>
                          </w:p>
                        </w:tc>
                      </w:tr>
                      <w:tr w:rsidR="00406878" w:rsidRPr="007F45CD" w14:paraId="639ACE27"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184C5C33"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4479D23D"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835377"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藍灣海濱休憩園區</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925C5E3"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沙灘排球</w:t>
                            </w:r>
                          </w:p>
                        </w:tc>
                        <w:tc>
                          <w:tcPr>
                            <w:tcW w:w="737" w:type="dxa"/>
                            <w:tcBorders>
                              <w:top w:val="single" w:sz="4" w:space="0" w:color="000000"/>
                              <w:left w:val="single" w:sz="4" w:space="0" w:color="000000"/>
                              <w:bottom w:val="single" w:sz="4" w:space="0" w:color="000000"/>
                              <w:right w:val="single" w:sz="4" w:space="0" w:color="auto"/>
                            </w:tcBorders>
                            <w:shd w:val="pct12" w:color="auto" w:fill="auto"/>
                            <w:vAlign w:val="center"/>
                            <w:hideMark/>
                          </w:tcPr>
                          <w:p w14:paraId="59255E25"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shd w:val="pct10" w:color="auto" w:fill="auto"/>
                              </w:rPr>
                              <w:t>4.8</w:t>
                            </w:r>
                            <w:r w:rsidRPr="007F45CD">
                              <w:rPr>
                                <w:rFonts w:ascii="標楷體" w:eastAsia="標楷體" w:hAnsi="標楷體" w:cs="Calibri" w:hint="eastAsia"/>
                                <w:color w:val="000000"/>
                                <w:sz w:val="20"/>
                                <w:szCs w:val="20"/>
                              </w:rPr>
                              <w:t>1</w:t>
                            </w:r>
                          </w:p>
                        </w:tc>
                        <w:tc>
                          <w:tcPr>
                            <w:tcW w:w="737" w:type="dxa"/>
                            <w:tcBorders>
                              <w:top w:val="single" w:sz="4" w:space="0" w:color="auto"/>
                              <w:left w:val="nil"/>
                              <w:bottom w:val="single" w:sz="4" w:space="0" w:color="auto"/>
                              <w:right w:val="single" w:sz="4" w:space="0" w:color="auto"/>
                            </w:tcBorders>
                            <w:shd w:val="pct12" w:color="auto" w:fill="auto"/>
                            <w:noWrap/>
                            <w:vAlign w:val="center"/>
                            <w:hideMark/>
                          </w:tcPr>
                          <w:p w14:paraId="099992A1" w14:textId="77777777" w:rsidR="00406878" w:rsidRPr="007F45CD" w:rsidRDefault="00406878" w:rsidP="00017DC3">
                            <w:pPr>
                              <w:spacing w:line="200" w:lineRule="exact"/>
                              <w:jc w:val="right"/>
                              <w:rPr>
                                <w:rFonts w:ascii="標楷體" w:eastAsia="標楷體" w:hAnsi="標楷體" w:cs="Calibri"/>
                                <w:color w:val="000000"/>
                                <w:sz w:val="20"/>
                                <w:szCs w:val="20"/>
                              </w:rPr>
                            </w:pPr>
                            <w:proofErr w:type="gramStart"/>
                            <w:r w:rsidRPr="007F45CD">
                              <w:rPr>
                                <w:rFonts w:ascii="標楷體" w:eastAsia="標楷體" w:hAnsi="標楷體" w:cs="Calibri" w:hint="eastAsia"/>
                                <w:color w:val="000000"/>
                                <w:sz w:val="20"/>
                                <w:szCs w:val="20"/>
                              </w:rPr>
                              <w:t>—</w:t>
                            </w:r>
                            <w:proofErr w:type="gramEnd"/>
                          </w:p>
                        </w:tc>
                      </w:tr>
                      <w:tr w:rsidR="00406878" w:rsidRPr="007F45CD" w14:paraId="7CB814E4"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44E399B1"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11</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6A8BE7E0"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4B6EA5"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福隆海水浴場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2CE0637E" w14:textId="77777777" w:rsidR="00406878" w:rsidRPr="007F45CD" w:rsidRDefault="00406878" w:rsidP="0003214C">
                            <w:pPr>
                              <w:spacing w:line="200" w:lineRule="exact"/>
                              <w:jc w:val="both"/>
                              <w:rPr>
                                <w:rFonts w:ascii="標楷體" w:eastAsia="標楷體" w:hAnsi="標楷體" w:cs="Calibri"/>
                                <w:color w:val="000000"/>
                                <w:spacing w:val="-10"/>
                                <w:sz w:val="20"/>
                                <w:szCs w:val="20"/>
                              </w:rPr>
                            </w:pPr>
                            <w:r w:rsidRPr="007F45CD">
                              <w:rPr>
                                <w:rFonts w:ascii="標楷體" w:eastAsia="標楷體" w:hAnsi="標楷體" w:cs="Calibri" w:hint="eastAsia"/>
                                <w:color w:val="000000"/>
                                <w:spacing w:val="-10"/>
                                <w:sz w:val="20"/>
                                <w:szCs w:val="20"/>
                              </w:rPr>
                              <w:t>海浪救生、帆船</w:t>
                            </w:r>
                            <w:r>
                              <w:rPr>
                                <w:rFonts w:ascii="標楷體" w:eastAsia="標楷體" w:hAnsi="標楷體" w:cs="Calibri" w:hint="eastAsia"/>
                                <w:color w:val="000000"/>
                                <w:spacing w:val="-10"/>
                                <w:sz w:val="20"/>
                                <w:szCs w:val="20"/>
                              </w:rPr>
                              <w:t>／</w:t>
                            </w:r>
                            <w:r w:rsidRPr="007F45CD">
                              <w:rPr>
                                <w:rFonts w:ascii="標楷體" w:eastAsia="標楷體" w:hAnsi="標楷體" w:cs="Calibri" w:hint="eastAsia"/>
                                <w:color w:val="000000"/>
                                <w:spacing w:val="-10"/>
                                <w:sz w:val="20"/>
                                <w:szCs w:val="20"/>
                              </w:rPr>
                              <w:t>風浪板</w:t>
                            </w:r>
                          </w:p>
                        </w:tc>
                        <w:tc>
                          <w:tcPr>
                            <w:tcW w:w="737" w:type="dxa"/>
                            <w:tcBorders>
                              <w:top w:val="single" w:sz="4" w:space="0" w:color="000000"/>
                              <w:left w:val="single" w:sz="4" w:space="0" w:color="000000"/>
                              <w:bottom w:val="single" w:sz="4" w:space="0" w:color="000000"/>
                              <w:right w:val="single" w:sz="4" w:space="0" w:color="auto"/>
                            </w:tcBorders>
                            <w:shd w:val="pct12" w:color="auto" w:fill="auto"/>
                            <w:vAlign w:val="center"/>
                            <w:hideMark/>
                          </w:tcPr>
                          <w:p w14:paraId="3755B16A"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shd w:val="pct10" w:color="auto" w:fill="auto"/>
                              </w:rPr>
                              <w:t>21.0</w:t>
                            </w:r>
                            <w:r w:rsidRPr="007F45CD">
                              <w:rPr>
                                <w:rFonts w:ascii="標楷體" w:eastAsia="標楷體" w:hAnsi="標楷體" w:cs="Calibri" w:hint="eastAsia"/>
                                <w:color w:val="000000"/>
                                <w:sz w:val="20"/>
                                <w:szCs w:val="20"/>
                              </w:rPr>
                              <w:t>5</w:t>
                            </w:r>
                          </w:p>
                        </w:tc>
                        <w:tc>
                          <w:tcPr>
                            <w:tcW w:w="737" w:type="dxa"/>
                            <w:tcBorders>
                              <w:top w:val="single" w:sz="4" w:space="0" w:color="auto"/>
                              <w:left w:val="nil"/>
                              <w:bottom w:val="single" w:sz="4" w:space="0" w:color="auto"/>
                              <w:right w:val="single" w:sz="4" w:space="0" w:color="auto"/>
                            </w:tcBorders>
                            <w:shd w:val="pct12" w:color="auto" w:fill="auto"/>
                            <w:noWrap/>
                            <w:vAlign w:val="center"/>
                            <w:hideMark/>
                          </w:tcPr>
                          <w:p w14:paraId="6D8404C6"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23.53</w:t>
                            </w:r>
                          </w:p>
                        </w:tc>
                      </w:tr>
                      <w:tr w:rsidR="00406878" w:rsidRPr="007F45CD" w14:paraId="3240FECB"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3D065D7F"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12</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383DB5EB"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78B79D"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微風運河</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5C28C133"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pacing w:val="-14"/>
                                <w:sz w:val="20"/>
                                <w:szCs w:val="20"/>
                              </w:rPr>
                              <w:t>公開水域、競速、輕艇水球、龍舟</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2288A017"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127.52</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6E724EAC"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26.09</w:t>
                            </w:r>
                          </w:p>
                        </w:tc>
                      </w:tr>
                      <w:tr w:rsidR="00406878" w:rsidRPr="007F45CD" w14:paraId="7E80CB88"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027B7137"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13</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54B2F8B0"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4A22"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樹林體育園區－紅土網球中心</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7357F528"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網球</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1064F4A6"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110.98</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0C0A3430"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11.76</w:t>
                            </w:r>
                          </w:p>
                        </w:tc>
                      </w:tr>
                      <w:tr w:rsidR="00406878" w:rsidRPr="007F45CD" w14:paraId="61522FDB"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2E0D2628"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14</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497D88D9"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F7CF23"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金山</w:t>
                            </w:r>
                            <w:proofErr w:type="gramStart"/>
                            <w:r w:rsidRPr="007F45CD">
                              <w:rPr>
                                <w:rFonts w:ascii="標楷體" w:eastAsia="標楷體" w:hAnsi="標楷體" w:cs="Calibri" w:hint="eastAsia"/>
                                <w:color w:val="000000"/>
                                <w:sz w:val="20"/>
                                <w:szCs w:val="20"/>
                              </w:rPr>
                              <w:t>磺</w:t>
                            </w:r>
                            <w:proofErr w:type="gramEnd"/>
                            <w:r w:rsidRPr="007F45CD">
                              <w:rPr>
                                <w:rFonts w:ascii="標楷體" w:eastAsia="標楷體" w:hAnsi="標楷體" w:cs="Calibri" w:hint="eastAsia"/>
                                <w:color w:val="000000"/>
                                <w:sz w:val="20"/>
                                <w:szCs w:val="20"/>
                              </w:rPr>
                              <w:t>清大橋</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0D2578C" w14:textId="77777777" w:rsidR="00406878" w:rsidRPr="007F45CD" w:rsidRDefault="00406878" w:rsidP="0003214C">
                            <w:pPr>
                              <w:spacing w:line="200" w:lineRule="exact"/>
                              <w:jc w:val="both"/>
                              <w:rPr>
                                <w:rFonts w:ascii="標楷體" w:eastAsia="標楷體" w:hAnsi="標楷體" w:cs="Calibri"/>
                                <w:color w:val="000000"/>
                                <w:spacing w:val="-12"/>
                                <w:sz w:val="20"/>
                                <w:szCs w:val="20"/>
                              </w:rPr>
                            </w:pPr>
                            <w:r w:rsidRPr="007F45CD">
                              <w:rPr>
                                <w:rFonts w:ascii="標楷體" w:eastAsia="標楷體" w:hAnsi="標楷體" w:cs="Calibri" w:hint="eastAsia"/>
                                <w:color w:val="000000"/>
                                <w:spacing w:val="-12"/>
                                <w:sz w:val="20"/>
                                <w:szCs w:val="20"/>
                              </w:rPr>
                              <w:t>自由車公路賽</w:t>
                            </w:r>
                          </w:p>
                        </w:tc>
                        <w:tc>
                          <w:tcPr>
                            <w:tcW w:w="737" w:type="dxa"/>
                            <w:tcBorders>
                              <w:top w:val="single" w:sz="4" w:space="0" w:color="000000"/>
                              <w:left w:val="single" w:sz="4" w:space="0" w:color="000000"/>
                              <w:bottom w:val="single" w:sz="4" w:space="0" w:color="000000"/>
                              <w:right w:val="single" w:sz="4" w:space="0" w:color="auto"/>
                            </w:tcBorders>
                            <w:shd w:val="pct12" w:color="auto" w:fill="auto"/>
                            <w:vAlign w:val="center"/>
                            <w:hideMark/>
                          </w:tcPr>
                          <w:p w14:paraId="707543A3"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shd w:val="pct10" w:color="auto" w:fill="auto"/>
                              </w:rPr>
                              <w:t>69.79</w:t>
                            </w:r>
                          </w:p>
                        </w:tc>
                        <w:tc>
                          <w:tcPr>
                            <w:tcW w:w="737" w:type="dxa"/>
                            <w:tcBorders>
                              <w:top w:val="single" w:sz="4" w:space="0" w:color="auto"/>
                              <w:left w:val="nil"/>
                              <w:bottom w:val="single" w:sz="4" w:space="0" w:color="auto"/>
                              <w:right w:val="single" w:sz="4" w:space="0" w:color="auto"/>
                            </w:tcBorders>
                            <w:shd w:val="pct12" w:color="auto" w:fill="auto"/>
                            <w:noWrap/>
                            <w:vAlign w:val="center"/>
                            <w:hideMark/>
                          </w:tcPr>
                          <w:p w14:paraId="5DB0C3BE"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10.00</w:t>
                            </w:r>
                          </w:p>
                        </w:tc>
                      </w:tr>
                      <w:tr w:rsidR="00406878" w:rsidRPr="007F45CD" w14:paraId="78FED974"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2902CA9D"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15</w:t>
                            </w:r>
                          </w:p>
                        </w:tc>
                        <w:tc>
                          <w:tcPr>
                            <w:tcW w:w="624" w:type="dxa"/>
                            <w:vMerge w:val="restart"/>
                            <w:tcBorders>
                              <w:top w:val="single" w:sz="4" w:space="0" w:color="000000"/>
                              <w:left w:val="single" w:sz="4" w:space="0" w:color="000000"/>
                              <w:bottom w:val="single" w:sz="4" w:space="0" w:color="000000"/>
                              <w:right w:val="single" w:sz="4" w:space="0" w:color="000000"/>
                            </w:tcBorders>
                            <w:noWrap/>
                            <w:vAlign w:val="center"/>
                            <w:hideMark/>
                          </w:tcPr>
                          <w:p w14:paraId="6B23ABA5"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r w:rsidRPr="00704862">
                              <w:rPr>
                                <w:rFonts w:ascii="標楷體" w:eastAsia="標楷體" w:hAnsi="標楷體" w:cs="Calibri" w:hint="eastAsia"/>
                                <w:color w:val="000000"/>
                                <w:spacing w:val="-16"/>
                                <w:sz w:val="20"/>
                                <w:szCs w:val="20"/>
                              </w:rPr>
                              <w:t>宜蘭縣</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7CC523"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冬山河親水公園</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17A3B4A5"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划船</w:t>
                            </w:r>
                          </w:p>
                        </w:tc>
                        <w:tc>
                          <w:tcPr>
                            <w:tcW w:w="737" w:type="dxa"/>
                            <w:tcBorders>
                              <w:top w:val="single" w:sz="4" w:space="0" w:color="000000"/>
                              <w:left w:val="single" w:sz="4" w:space="0" w:color="000000"/>
                              <w:bottom w:val="single" w:sz="4" w:space="0" w:color="000000"/>
                              <w:right w:val="single" w:sz="4" w:space="0" w:color="auto"/>
                            </w:tcBorders>
                            <w:noWrap/>
                            <w:vAlign w:val="center"/>
                            <w:hideMark/>
                          </w:tcPr>
                          <w:p w14:paraId="7E55EB1D"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93.06</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4129BB2F"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38.89</w:t>
                            </w:r>
                          </w:p>
                        </w:tc>
                      </w:tr>
                      <w:tr w:rsidR="00406878" w:rsidRPr="007F45CD" w14:paraId="0BC4C1EA"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63E9401C"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16</w:t>
                            </w:r>
                          </w:p>
                        </w:tc>
                        <w:tc>
                          <w:tcPr>
                            <w:tcW w:w="624" w:type="dxa"/>
                            <w:vMerge/>
                            <w:tcBorders>
                              <w:top w:val="single" w:sz="4" w:space="0" w:color="000000"/>
                              <w:left w:val="single" w:sz="4" w:space="0" w:color="000000"/>
                              <w:bottom w:val="single" w:sz="4" w:space="0" w:color="000000"/>
                              <w:right w:val="single" w:sz="4" w:space="0" w:color="000000"/>
                            </w:tcBorders>
                            <w:vAlign w:val="center"/>
                            <w:hideMark/>
                          </w:tcPr>
                          <w:p w14:paraId="064D4D83"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A35E2C"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烏石</w:t>
                            </w:r>
                            <w:proofErr w:type="gramStart"/>
                            <w:r w:rsidRPr="007F45CD">
                              <w:rPr>
                                <w:rFonts w:ascii="標楷體" w:eastAsia="標楷體" w:hAnsi="標楷體" w:cs="Calibri" w:hint="eastAsia"/>
                                <w:color w:val="000000"/>
                                <w:sz w:val="20"/>
                                <w:szCs w:val="20"/>
                              </w:rPr>
                              <w:t>港外澳海灘</w:t>
                            </w:r>
                            <w:proofErr w:type="gramEnd"/>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C60B80B"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衝浪</w:t>
                            </w:r>
                          </w:p>
                        </w:tc>
                        <w:tc>
                          <w:tcPr>
                            <w:tcW w:w="737" w:type="dxa"/>
                            <w:tcBorders>
                              <w:top w:val="single" w:sz="4" w:space="0" w:color="000000"/>
                              <w:left w:val="single" w:sz="4" w:space="0" w:color="000000"/>
                              <w:bottom w:val="single" w:sz="4" w:space="0" w:color="000000"/>
                              <w:right w:val="single" w:sz="4" w:space="0" w:color="auto"/>
                            </w:tcBorders>
                            <w:shd w:val="pct12" w:color="auto" w:fill="auto"/>
                            <w:noWrap/>
                            <w:vAlign w:val="center"/>
                            <w:hideMark/>
                          </w:tcPr>
                          <w:p w14:paraId="658153B6"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shd w:val="pct10" w:color="auto" w:fill="auto"/>
                              </w:rPr>
                              <w:t>33.71</w:t>
                            </w:r>
                          </w:p>
                        </w:tc>
                        <w:tc>
                          <w:tcPr>
                            <w:tcW w:w="737" w:type="dxa"/>
                            <w:tcBorders>
                              <w:top w:val="single" w:sz="4" w:space="0" w:color="auto"/>
                              <w:left w:val="nil"/>
                              <w:bottom w:val="single" w:sz="4" w:space="0" w:color="auto"/>
                              <w:right w:val="single" w:sz="4" w:space="0" w:color="auto"/>
                            </w:tcBorders>
                            <w:shd w:val="pct12" w:color="auto" w:fill="auto"/>
                            <w:noWrap/>
                            <w:vAlign w:val="center"/>
                            <w:hideMark/>
                          </w:tcPr>
                          <w:p w14:paraId="2D756587"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61.54</w:t>
                            </w:r>
                          </w:p>
                        </w:tc>
                      </w:tr>
                      <w:tr w:rsidR="00406878" w:rsidRPr="007F45CD" w14:paraId="22E65A06"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164FE7A1"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17</w:t>
                            </w:r>
                          </w:p>
                        </w:tc>
                        <w:tc>
                          <w:tcPr>
                            <w:tcW w:w="624" w:type="dxa"/>
                            <w:vMerge w:val="restart"/>
                            <w:tcBorders>
                              <w:top w:val="single" w:sz="4" w:space="0" w:color="000000"/>
                              <w:left w:val="single" w:sz="4" w:space="0" w:color="000000"/>
                              <w:bottom w:val="nil"/>
                              <w:right w:val="single" w:sz="4" w:space="0" w:color="000000"/>
                            </w:tcBorders>
                            <w:noWrap/>
                            <w:vAlign w:val="center"/>
                            <w:hideMark/>
                          </w:tcPr>
                          <w:p w14:paraId="1275D91E"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r w:rsidRPr="00704862">
                              <w:rPr>
                                <w:rFonts w:ascii="標楷體" w:eastAsia="標楷體" w:hAnsi="標楷體" w:cs="Calibri" w:hint="eastAsia"/>
                                <w:color w:val="000000"/>
                                <w:spacing w:val="-16"/>
                                <w:sz w:val="20"/>
                                <w:szCs w:val="20"/>
                              </w:rPr>
                              <w:t>桃園市</w:t>
                            </w: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170E44"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龍潭體育園區曲棍球場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58B33A6" w14:textId="77777777" w:rsidR="00406878" w:rsidRPr="007F45CD" w:rsidRDefault="00406878" w:rsidP="0003214C">
                            <w:pPr>
                              <w:spacing w:line="200" w:lineRule="exact"/>
                              <w:jc w:val="both"/>
                              <w:rPr>
                                <w:rFonts w:ascii="標楷體" w:eastAsia="標楷體" w:hAnsi="標楷體" w:cs="Calibri"/>
                                <w:color w:val="000000"/>
                                <w:spacing w:val="-20"/>
                                <w:sz w:val="20"/>
                                <w:szCs w:val="20"/>
                              </w:rPr>
                            </w:pPr>
                            <w:r w:rsidRPr="007F45CD">
                              <w:rPr>
                                <w:rFonts w:ascii="標楷體" w:eastAsia="標楷體" w:hAnsi="標楷體" w:cs="Calibri" w:hint="eastAsia"/>
                                <w:color w:val="000000"/>
                                <w:spacing w:val="-20"/>
                                <w:sz w:val="20"/>
                                <w:szCs w:val="20"/>
                              </w:rPr>
                              <w:t>11</w:t>
                            </w:r>
                            <w:proofErr w:type="gramStart"/>
                            <w:r w:rsidRPr="007F45CD">
                              <w:rPr>
                                <w:rFonts w:ascii="標楷體" w:eastAsia="標楷體" w:hAnsi="標楷體" w:cs="Calibri" w:hint="eastAsia"/>
                                <w:color w:val="000000"/>
                                <w:spacing w:val="-20"/>
                                <w:sz w:val="20"/>
                                <w:szCs w:val="20"/>
                              </w:rPr>
                              <w:t>人制</w:t>
                            </w:r>
                            <w:proofErr w:type="gramEnd"/>
                            <w:r w:rsidRPr="007F45CD">
                              <w:rPr>
                                <w:rFonts w:ascii="標楷體" w:eastAsia="標楷體" w:hAnsi="標楷體" w:cs="Calibri" w:hint="eastAsia"/>
                                <w:color w:val="000000"/>
                                <w:spacing w:val="-20"/>
                                <w:sz w:val="20"/>
                                <w:szCs w:val="20"/>
                              </w:rPr>
                              <w:t>曲棍球</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28494531"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208.14</w:t>
                            </w:r>
                          </w:p>
                        </w:tc>
                        <w:tc>
                          <w:tcPr>
                            <w:tcW w:w="737" w:type="dxa"/>
                            <w:tcBorders>
                              <w:top w:val="single" w:sz="4" w:space="0" w:color="auto"/>
                              <w:left w:val="nil"/>
                              <w:bottom w:val="single" w:sz="4" w:space="0" w:color="auto"/>
                              <w:right w:val="single" w:sz="4" w:space="0" w:color="auto"/>
                            </w:tcBorders>
                            <w:shd w:val="pct10" w:color="auto" w:fill="auto"/>
                            <w:vAlign w:val="center"/>
                            <w:hideMark/>
                          </w:tcPr>
                          <w:p w14:paraId="1DF03322"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11.76</w:t>
                            </w:r>
                          </w:p>
                        </w:tc>
                      </w:tr>
                      <w:tr w:rsidR="00406878" w:rsidRPr="007F45CD" w14:paraId="54E614C8"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7A185445"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18</w:t>
                            </w:r>
                          </w:p>
                        </w:tc>
                        <w:tc>
                          <w:tcPr>
                            <w:tcW w:w="624" w:type="dxa"/>
                            <w:vMerge/>
                            <w:tcBorders>
                              <w:top w:val="single" w:sz="4" w:space="0" w:color="000000"/>
                              <w:left w:val="single" w:sz="4" w:space="0" w:color="000000"/>
                              <w:bottom w:val="nil"/>
                              <w:right w:val="single" w:sz="4" w:space="0" w:color="000000"/>
                            </w:tcBorders>
                            <w:vAlign w:val="center"/>
                            <w:hideMark/>
                          </w:tcPr>
                          <w:p w14:paraId="1265CED5"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BC8D47" w14:textId="77777777" w:rsidR="00406878" w:rsidRPr="007F45CD" w:rsidRDefault="00406878" w:rsidP="00955612">
                            <w:pPr>
                              <w:spacing w:line="200" w:lineRule="exact"/>
                              <w:jc w:val="both"/>
                              <w:rPr>
                                <w:rFonts w:ascii="標楷體" w:eastAsia="標楷體" w:hAnsi="標楷體" w:cs="Calibri"/>
                                <w:color w:val="000000"/>
                                <w:spacing w:val="-14"/>
                                <w:sz w:val="20"/>
                                <w:szCs w:val="20"/>
                              </w:rPr>
                            </w:pPr>
                            <w:r w:rsidRPr="007F45CD">
                              <w:rPr>
                                <w:rFonts w:ascii="標楷體" w:eastAsia="標楷體" w:hAnsi="標楷體" w:cs="Calibri" w:hint="eastAsia"/>
                                <w:color w:val="000000"/>
                                <w:spacing w:val="-14"/>
                                <w:sz w:val="20"/>
                                <w:szCs w:val="20"/>
                              </w:rPr>
                              <w:t>國家射擊訓練基地公西靶場</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6A84DD11" w14:textId="77777777" w:rsidR="00406878" w:rsidRPr="007F45CD" w:rsidRDefault="00406878" w:rsidP="0003214C">
                            <w:pPr>
                              <w:spacing w:line="200" w:lineRule="exact"/>
                              <w:jc w:val="both"/>
                              <w:rPr>
                                <w:rFonts w:ascii="標楷體" w:eastAsia="標楷體" w:hAnsi="標楷體" w:cs="Calibri"/>
                                <w:color w:val="000000"/>
                                <w:spacing w:val="-14"/>
                                <w:sz w:val="20"/>
                                <w:szCs w:val="20"/>
                              </w:rPr>
                            </w:pPr>
                            <w:r w:rsidRPr="007F45CD">
                              <w:rPr>
                                <w:rFonts w:ascii="標楷體" w:eastAsia="標楷體" w:hAnsi="標楷體" w:cs="Calibri" w:hint="eastAsia"/>
                                <w:color w:val="000000"/>
                                <w:spacing w:val="-20"/>
                                <w:sz w:val="20"/>
                                <w:szCs w:val="20"/>
                              </w:rPr>
                              <w:t>飛靶、手</w:t>
                            </w:r>
                            <w:r>
                              <w:rPr>
                                <w:rFonts w:ascii="標楷體" w:eastAsia="標楷體" w:hAnsi="標楷體" w:cs="Calibri" w:hint="eastAsia"/>
                                <w:color w:val="000000"/>
                                <w:spacing w:val="-20"/>
                                <w:sz w:val="20"/>
                                <w:szCs w:val="20"/>
                              </w:rPr>
                              <w:t>／</w:t>
                            </w:r>
                            <w:r w:rsidRPr="007F45CD">
                              <w:rPr>
                                <w:rFonts w:ascii="標楷體" w:eastAsia="標楷體" w:hAnsi="標楷體" w:cs="Calibri" w:hint="eastAsia"/>
                                <w:color w:val="000000"/>
                                <w:spacing w:val="-20"/>
                                <w:sz w:val="20"/>
                                <w:szCs w:val="20"/>
                              </w:rPr>
                              <w:t>步槍</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0621D42F"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89.52</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5AD5BDFA"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21.21</w:t>
                            </w:r>
                          </w:p>
                        </w:tc>
                      </w:tr>
                      <w:tr w:rsidR="00406878" w:rsidRPr="007F45CD" w14:paraId="5283556F" w14:textId="77777777" w:rsidTr="00955612">
                        <w:trPr>
                          <w:trHeight w:val="20"/>
                          <w:jc w:val="center"/>
                        </w:trPr>
                        <w:tc>
                          <w:tcPr>
                            <w:tcW w:w="426" w:type="dxa"/>
                            <w:tcBorders>
                              <w:top w:val="single" w:sz="4" w:space="0" w:color="000000"/>
                              <w:left w:val="single" w:sz="4" w:space="0" w:color="000000"/>
                              <w:bottom w:val="single" w:sz="4" w:space="0" w:color="000000"/>
                              <w:right w:val="single" w:sz="4" w:space="0" w:color="000000"/>
                            </w:tcBorders>
                            <w:noWrap/>
                            <w:vAlign w:val="center"/>
                            <w:hideMark/>
                          </w:tcPr>
                          <w:p w14:paraId="19B82B41"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19</w:t>
                            </w:r>
                          </w:p>
                        </w:tc>
                        <w:tc>
                          <w:tcPr>
                            <w:tcW w:w="624" w:type="dxa"/>
                            <w:vMerge/>
                            <w:tcBorders>
                              <w:top w:val="single" w:sz="4" w:space="0" w:color="000000"/>
                              <w:left w:val="single" w:sz="4" w:space="0" w:color="000000"/>
                              <w:bottom w:val="nil"/>
                              <w:right w:val="single" w:sz="4" w:space="0" w:color="000000"/>
                            </w:tcBorders>
                            <w:vAlign w:val="center"/>
                            <w:hideMark/>
                          </w:tcPr>
                          <w:p w14:paraId="496013FC"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5EB8D4E"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台北高爾夫俱樂部</w:t>
                            </w:r>
                          </w:p>
                        </w:tc>
                        <w:tc>
                          <w:tcPr>
                            <w:tcW w:w="1134" w:type="dxa"/>
                            <w:tcBorders>
                              <w:top w:val="single" w:sz="4" w:space="0" w:color="000000"/>
                              <w:left w:val="single" w:sz="4" w:space="0" w:color="000000"/>
                              <w:bottom w:val="single" w:sz="4" w:space="0" w:color="000000"/>
                              <w:right w:val="single" w:sz="4" w:space="0" w:color="000000"/>
                            </w:tcBorders>
                            <w:vAlign w:val="center"/>
                            <w:hideMark/>
                          </w:tcPr>
                          <w:p w14:paraId="3898AC3F"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高爾夫</w:t>
                            </w:r>
                          </w:p>
                        </w:tc>
                        <w:tc>
                          <w:tcPr>
                            <w:tcW w:w="737" w:type="dxa"/>
                            <w:tcBorders>
                              <w:top w:val="single" w:sz="4" w:space="0" w:color="000000"/>
                              <w:left w:val="single" w:sz="4" w:space="0" w:color="000000"/>
                              <w:bottom w:val="single" w:sz="4" w:space="0" w:color="000000"/>
                              <w:right w:val="single" w:sz="4" w:space="0" w:color="auto"/>
                            </w:tcBorders>
                            <w:vAlign w:val="center"/>
                            <w:hideMark/>
                          </w:tcPr>
                          <w:p w14:paraId="5414CE98"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102.86</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3D4671AA"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66.67</w:t>
                            </w:r>
                          </w:p>
                        </w:tc>
                      </w:tr>
                      <w:tr w:rsidR="00406878" w:rsidRPr="007F45CD" w14:paraId="38796582" w14:textId="77777777" w:rsidTr="00955612">
                        <w:trPr>
                          <w:trHeight w:val="64"/>
                          <w:jc w:val="center"/>
                        </w:trPr>
                        <w:tc>
                          <w:tcPr>
                            <w:tcW w:w="426" w:type="dxa"/>
                            <w:tcBorders>
                              <w:top w:val="single" w:sz="4" w:space="0" w:color="000000"/>
                              <w:left w:val="single" w:sz="4" w:space="0" w:color="000000"/>
                              <w:bottom w:val="nil"/>
                              <w:right w:val="single" w:sz="4" w:space="0" w:color="000000"/>
                            </w:tcBorders>
                            <w:noWrap/>
                            <w:vAlign w:val="center"/>
                            <w:hideMark/>
                          </w:tcPr>
                          <w:p w14:paraId="13715287"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20</w:t>
                            </w:r>
                          </w:p>
                        </w:tc>
                        <w:tc>
                          <w:tcPr>
                            <w:tcW w:w="624" w:type="dxa"/>
                            <w:vMerge/>
                            <w:tcBorders>
                              <w:top w:val="single" w:sz="4" w:space="0" w:color="000000"/>
                              <w:left w:val="single" w:sz="4" w:space="0" w:color="000000"/>
                              <w:bottom w:val="nil"/>
                              <w:right w:val="single" w:sz="4" w:space="0" w:color="000000"/>
                            </w:tcBorders>
                            <w:vAlign w:val="center"/>
                            <w:hideMark/>
                          </w:tcPr>
                          <w:p w14:paraId="7D77B84A"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
                        </w:tc>
                        <w:tc>
                          <w:tcPr>
                            <w:tcW w:w="2126" w:type="dxa"/>
                            <w:tcBorders>
                              <w:top w:val="single" w:sz="4" w:space="0" w:color="000000"/>
                              <w:left w:val="nil"/>
                              <w:bottom w:val="single" w:sz="4" w:space="0" w:color="000000"/>
                              <w:right w:val="single" w:sz="4" w:space="0" w:color="000000"/>
                            </w:tcBorders>
                            <w:shd w:val="clear" w:color="auto" w:fill="auto"/>
                            <w:noWrap/>
                            <w:vAlign w:val="center"/>
                            <w:hideMark/>
                          </w:tcPr>
                          <w:p w14:paraId="74E5F860" w14:textId="77777777" w:rsidR="00406878" w:rsidRPr="007F45CD" w:rsidRDefault="00406878" w:rsidP="00955612">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蘆竹國民運動中心</w:t>
                            </w:r>
                          </w:p>
                        </w:tc>
                        <w:tc>
                          <w:tcPr>
                            <w:tcW w:w="1134" w:type="dxa"/>
                            <w:tcBorders>
                              <w:top w:val="single" w:sz="4" w:space="0" w:color="000000"/>
                              <w:left w:val="nil"/>
                              <w:bottom w:val="nil"/>
                              <w:right w:val="nil"/>
                            </w:tcBorders>
                            <w:vAlign w:val="center"/>
                            <w:hideMark/>
                          </w:tcPr>
                          <w:p w14:paraId="357660B4" w14:textId="77777777" w:rsidR="00406878" w:rsidRPr="007F45CD" w:rsidRDefault="00406878" w:rsidP="0003214C">
                            <w:pPr>
                              <w:spacing w:line="200" w:lineRule="exact"/>
                              <w:jc w:val="both"/>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壁球</w:t>
                            </w:r>
                          </w:p>
                        </w:tc>
                        <w:tc>
                          <w:tcPr>
                            <w:tcW w:w="737" w:type="dxa"/>
                            <w:tcBorders>
                              <w:top w:val="single" w:sz="4" w:space="0" w:color="000000"/>
                              <w:left w:val="single" w:sz="4" w:space="0" w:color="auto"/>
                              <w:bottom w:val="single" w:sz="4" w:space="0" w:color="auto"/>
                              <w:right w:val="single" w:sz="4" w:space="0" w:color="auto"/>
                            </w:tcBorders>
                            <w:shd w:val="pct10" w:color="auto" w:fill="auto"/>
                            <w:noWrap/>
                            <w:vAlign w:val="center"/>
                            <w:hideMark/>
                          </w:tcPr>
                          <w:p w14:paraId="1968AD8A" w14:textId="77777777" w:rsidR="00406878" w:rsidRPr="007F45CD" w:rsidRDefault="00406878" w:rsidP="00017DC3">
                            <w:pPr>
                              <w:spacing w:line="200" w:lineRule="exact"/>
                              <w:jc w:val="right"/>
                              <w:rPr>
                                <w:rFonts w:ascii="標楷體" w:eastAsia="標楷體" w:hAnsi="標楷體" w:cs="Calibri"/>
                                <w:color w:val="000000"/>
                                <w:sz w:val="20"/>
                                <w:szCs w:val="20"/>
                                <w:shd w:val="pct10" w:color="auto" w:fill="auto"/>
                              </w:rPr>
                            </w:pPr>
                            <w:r w:rsidRPr="007F45CD">
                              <w:rPr>
                                <w:rFonts w:ascii="標楷體" w:eastAsia="標楷體" w:hAnsi="標楷體" w:cs="Calibri" w:hint="eastAsia"/>
                                <w:color w:val="000000"/>
                                <w:sz w:val="20"/>
                                <w:szCs w:val="20"/>
                                <w:shd w:val="pct10" w:color="auto" w:fill="auto"/>
                              </w:rPr>
                              <w:t>58.40</w:t>
                            </w:r>
                          </w:p>
                        </w:tc>
                        <w:tc>
                          <w:tcPr>
                            <w:tcW w:w="737" w:type="dxa"/>
                            <w:tcBorders>
                              <w:top w:val="single" w:sz="4" w:space="0" w:color="auto"/>
                              <w:left w:val="nil"/>
                              <w:bottom w:val="single" w:sz="4" w:space="0" w:color="auto"/>
                              <w:right w:val="single" w:sz="4" w:space="0" w:color="auto"/>
                            </w:tcBorders>
                            <w:shd w:val="pct10" w:color="auto" w:fill="auto"/>
                            <w:noWrap/>
                            <w:vAlign w:val="center"/>
                            <w:hideMark/>
                          </w:tcPr>
                          <w:p w14:paraId="5FD639EF"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29.17</w:t>
                            </w:r>
                          </w:p>
                        </w:tc>
                      </w:tr>
                      <w:tr w:rsidR="00406878" w:rsidRPr="007F45CD" w14:paraId="5E312C5A" w14:textId="77777777" w:rsidTr="00955612">
                        <w:trPr>
                          <w:trHeight w:val="20"/>
                          <w:jc w:val="center"/>
                        </w:trPr>
                        <w:tc>
                          <w:tcPr>
                            <w:tcW w:w="426" w:type="dxa"/>
                            <w:tcBorders>
                              <w:top w:val="single" w:sz="4" w:space="0" w:color="000000"/>
                              <w:left w:val="single" w:sz="4" w:space="0" w:color="000000"/>
                              <w:bottom w:val="single" w:sz="4" w:space="0" w:color="000000"/>
                              <w:right w:val="nil"/>
                            </w:tcBorders>
                            <w:noWrap/>
                            <w:vAlign w:val="center"/>
                            <w:hideMark/>
                          </w:tcPr>
                          <w:p w14:paraId="24380458" w14:textId="77777777" w:rsidR="00406878" w:rsidRPr="007F45CD" w:rsidRDefault="00406878" w:rsidP="00955612">
                            <w:pPr>
                              <w:spacing w:line="200" w:lineRule="exact"/>
                              <w:jc w:val="center"/>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21</w:t>
                            </w:r>
                          </w:p>
                        </w:tc>
                        <w:tc>
                          <w:tcPr>
                            <w:tcW w:w="624" w:type="dxa"/>
                            <w:tcBorders>
                              <w:top w:val="single" w:sz="4" w:space="0" w:color="000000"/>
                              <w:left w:val="single" w:sz="4" w:space="0" w:color="000000"/>
                              <w:bottom w:val="single" w:sz="4" w:space="0" w:color="000000"/>
                              <w:right w:val="nil"/>
                            </w:tcBorders>
                            <w:noWrap/>
                            <w:vAlign w:val="center"/>
                            <w:hideMark/>
                          </w:tcPr>
                          <w:p w14:paraId="140B6ED3" w14:textId="77777777" w:rsidR="00406878" w:rsidRPr="00704862" w:rsidRDefault="00406878" w:rsidP="00017DC3">
                            <w:pPr>
                              <w:spacing w:line="200" w:lineRule="exact"/>
                              <w:ind w:leftChars="-20" w:left="-48"/>
                              <w:jc w:val="center"/>
                              <w:rPr>
                                <w:rFonts w:ascii="標楷體" w:eastAsia="標楷體" w:hAnsi="標楷體" w:cs="Calibri"/>
                                <w:color w:val="000000"/>
                                <w:spacing w:val="-16"/>
                                <w:sz w:val="20"/>
                                <w:szCs w:val="20"/>
                              </w:rPr>
                            </w:pPr>
                            <w:proofErr w:type="gramStart"/>
                            <w:r w:rsidRPr="00704862">
                              <w:rPr>
                                <w:rFonts w:ascii="標楷體" w:eastAsia="標楷體" w:hAnsi="標楷體" w:cs="Calibri" w:hint="eastAsia"/>
                                <w:color w:val="000000"/>
                                <w:spacing w:val="-16"/>
                                <w:sz w:val="20"/>
                                <w:szCs w:val="20"/>
                              </w:rPr>
                              <w:t>臺</w:t>
                            </w:r>
                            <w:proofErr w:type="gramEnd"/>
                            <w:r w:rsidRPr="00704862">
                              <w:rPr>
                                <w:rFonts w:ascii="標楷體" w:eastAsia="標楷體" w:hAnsi="標楷體" w:cs="Calibri" w:hint="eastAsia"/>
                                <w:color w:val="000000"/>
                                <w:spacing w:val="-16"/>
                                <w:sz w:val="20"/>
                                <w:szCs w:val="20"/>
                              </w:rPr>
                              <w:t>中市</w:t>
                            </w:r>
                          </w:p>
                        </w:tc>
                        <w:tc>
                          <w:tcPr>
                            <w:tcW w:w="2126" w:type="dxa"/>
                            <w:tcBorders>
                              <w:top w:val="single" w:sz="4" w:space="0" w:color="000000"/>
                              <w:left w:val="single" w:sz="4" w:space="0" w:color="000000"/>
                              <w:bottom w:val="single" w:sz="4" w:space="0" w:color="000000"/>
                              <w:right w:val="nil"/>
                            </w:tcBorders>
                            <w:shd w:val="clear" w:color="auto" w:fill="auto"/>
                            <w:noWrap/>
                            <w:vAlign w:val="center"/>
                            <w:hideMark/>
                          </w:tcPr>
                          <w:p w14:paraId="15A759BD" w14:textId="77777777" w:rsidR="00406878" w:rsidRPr="007F45CD" w:rsidRDefault="00406878" w:rsidP="00955612">
                            <w:pPr>
                              <w:spacing w:line="200" w:lineRule="exact"/>
                              <w:jc w:val="both"/>
                              <w:rPr>
                                <w:rFonts w:ascii="標楷體" w:eastAsia="標楷體" w:hAnsi="標楷體" w:cs="Calibri"/>
                                <w:color w:val="000000"/>
                                <w:sz w:val="20"/>
                                <w:szCs w:val="20"/>
                              </w:rPr>
                            </w:pPr>
                            <w:proofErr w:type="gramStart"/>
                            <w:r w:rsidRPr="007F45CD">
                              <w:rPr>
                                <w:rFonts w:ascii="標楷體" w:eastAsia="標楷體" w:hAnsi="標楷體" w:cs="Calibri" w:hint="eastAsia"/>
                                <w:color w:val="000000"/>
                                <w:sz w:val="20"/>
                                <w:szCs w:val="20"/>
                              </w:rPr>
                              <w:t>臺</w:t>
                            </w:r>
                            <w:proofErr w:type="gramEnd"/>
                            <w:r w:rsidRPr="007F45CD">
                              <w:rPr>
                                <w:rFonts w:ascii="標楷體" w:eastAsia="標楷體" w:hAnsi="標楷體" w:cs="Calibri" w:hint="eastAsia"/>
                                <w:color w:val="000000"/>
                                <w:sz w:val="20"/>
                                <w:szCs w:val="20"/>
                              </w:rPr>
                              <w:t>中市立自由車場</w:t>
                            </w:r>
                          </w:p>
                        </w:tc>
                        <w:tc>
                          <w:tcPr>
                            <w:tcW w:w="1134" w:type="dxa"/>
                            <w:tcBorders>
                              <w:top w:val="single" w:sz="4" w:space="0" w:color="000000"/>
                              <w:left w:val="single" w:sz="4" w:space="0" w:color="000000"/>
                              <w:bottom w:val="single" w:sz="4" w:space="0" w:color="000000"/>
                              <w:right w:val="nil"/>
                            </w:tcBorders>
                            <w:vAlign w:val="center"/>
                            <w:hideMark/>
                          </w:tcPr>
                          <w:p w14:paraId="502A6D45" w14:textId="77777777" w:rsidR="00406878" w:rsidRPr="007F45CD" w:rsidRDefault="00406878" w:rsidP="0003214C">
                            <w:pPr>
                              <w:spacing w:line="200" w:lineRule="exact"/>
                              <w:jc w:val="both"/>
                              <w:rPr>
                                <w:rFonts w:ascii="標楷體" w:eastAsia="標楷體" w:hAnsi="標楷體" w:cs="Calibri"/>
                                <w:color w:val="000000"/>
                                <w:spacing w:val="-22"/>
                                <w:sz w:val="20"/>
                                <w:szCs w:val="20"/>
                              </w:rPr>
                            </w:pPr>
                            <w:r w:rsidRPr="007F45CD">
                              <w:rPr>
                                <w:rFonts w:ascii="標楷體" w:eastAsia="標楷體" w:hAnsi="標楷體" w:cs="Calibri" w:hint="eastAsia"/>
                                <w:color w:val="000000"/>
                                <w:spacing w:val="-22"/>
                                <w:sz w:val="20"/>
                                <w:szCs w:val="20"/>
                              </w:rPr>
                              <w:t>自由車場地賽</w:t>
                            </w:r>
                          </w:p>
                        </w:tc>
                        <w:tc>
                          <w:tcPr>
                            <w:tcW w:w="737"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06AEC018" w14:textId="77777777" w:rsidR="00406878" w:rsidRPr="007F45CD" w:rsidRDefault="00406878" w:rsidP="00017DC3">
                            <w:pPr>
                              <w:spacing w:line="200" w:lineRule="exact"/>
                              <w:jc w:val="right"/>
                              <w:rPr>
                                <w:rFonts w:ascii="標楷體" w:eastAsia="標楷體" w:hAnsi="標楷體" w:cs="Calibri"/>
                                <w:color w:val="000000"/>
                                <w:sz w:val="20"/>
                                <w:szCs w:val="20"/>
                                <w:shd w:val="pct10" w:color="auto" w:fill="auto"/>
                              </w:rPr>
                            </w:pPr>
                            <w:r w:rsidRPr="007F45CD">
                              <w:rPr>
                                <w:rFonts w:ascii="標楷體" w:eastAsia="標楷體" w:hAnsi="標楷體" w:cs="Calibri" w:hint="eastAsia"/>
                                <w:color w:val="000000"/>
                                <w:sz w:val="20"/>
                                <w:szCs w:val="20"/>
                                <w:shd w:val="pct10" w:color="auto" w:fill="auto"/>
                              </w:rPr>
                              <w:t>10.00</w:t>
                            </w:r>
                          </w:p>
                        </w:tc>
                        <w:tc>
                          <w:tcPr>
                            <w:tcW w:w="737" w:type="dxa"/>
                            <w:tcBorders>
                              <w:top w:val="nil"/>
                              <w:left w:val="nil"/>
                              <w:bottom w:val="single" w:sz="4" w:space="0" w:color="auto"/>
                              <w:right w:val="single" w:sz="4" w:space="0" w:color="auto"/>
                            </w:tcBorders>
                            <w:noWrap/>
                            <w:vAlign w:val="center"/>
                            <w:hideMark/>
                          </w:tcPr>
                          <w:p w14:paraId="790C0BE4" w14:textId="77777777" w:rsidR="00406878" w:rsidRPr="007F45CD" w:rsidRDefault="00406878" w:rsidP="00017DC3">
                            <w:pPr>
                              <w:spacing w:line="200" w:lineRule="exact"/>
                              <w:jc w:val="right"/>
                              <w:rPr>
                                <w:rFonts w:ascii="標楷體" w:eastAsia="標楷體" w:hAnsi="標楷體" w:cs="Calibri"/>
                                <w:color w:val="000000"/>
                                <w:sz w:val="20"/>
                                <w:szCs w:val="20"/>
                              </w:rPr>
                            </w:pPr>
                            <w:r w:rsidRPr="007F45CD">
                              <w:rPr>
                                <w:rFonts w:ascii="標楷體" w:eastAsia="標楷體" w:hAnsi="標楷體" w:cs="Calibri" w:hint="eastAsia"/>
                                <w:color w:val="000000"/>
                                <w:sz w:val="20"/>
                                <w:szCs w:val="20"/>
                              </w:rPr>
                              <w:t>100.00</w:t>
                            </w:r>
                          </w:p>
                        </w:tc>
                      </w:tr>
                    </w:tbl>
                    <w:p w14:paraId="1F7F62B9" w14:textId="77777777" w:rsidR="00406878" w:rsidRPr="007F45CD" w:rsidRDefault="00406878" w:rsidP="00406878">
                      <w:pPr>
                        <w:autoSpaceDN w:val="0"/>
                        <w:spacing w:line="180" w:lineRule="exact"/>
                        <w:ind w:leftChars="-25" w:left="444" w:rightChars="-30" w:right="-72" w:hangingChars="280" w:hanging="504"/>
                        <w:jc w:val="both"/>
                        <w:rPr>
                          <w:rFonts w:ascii="標楷體" w:eastAsia="標楷體" w:hAnsi="標楷體"/>
                          <w:color w:val="000000"/>
                          <w:spacing w:val="-2"/>
                          <w:sz w:val="18"/>
                        </w:rPr>
                      </w:pPr>
                      <w:proofErr w:type="gramStart"/>
                      <w:r w:rsidRPr="007F45CD">
                        <w:rPr>
                          <w:rFonts w:ascii="標楷體" w:eastAsia="標楷體" w:hAnsi="標楷體" w:hint="eastAsia"/>
                          <w:color w:val="000000"/>
                          <w:sz w:val="18"/>
                        </w:rPr>
                        <w:t>註</w:t>
                      </w:r>
                      <w:proofErr w:type="gramEnd"/>
                      <w:r w:rsidRPr="007F45CD">
                        <w:rPr>
                          <w:rFonts w:ascii="標楷體" w:eastAsia="標楷體" w:hAnsi="標楷體" w:hint="eastAsia"/>
                          <w:color w:val="000000"/>
                          <w:sz w:val="18"/>
                        </w:rPr>
                        <w:t>：1.</w:t>
                      </w:r>
                      <w:r w:rsidRPr="007F45CD">
                        <w:rPr>
                          <w:rFonts w:ascii="標楷體" w:eastAsia="標楷體" w:hAnsi="標楷體" w:hint="eastAsia"/>
                          <w:color w:val="000000"/>
                          <w:spacing w:val="-2"/>
                          <w:sz w:val="18"/>
                        </w:rPr>
                        <w:t>本表</w:t>
                      </w:r>
                      <w:r>
                        <w:rPr>
                          <w:rFonts w:ascii="標楷體" w:eastAsia="標楷體" w:hAnsi="標楷體" w:hint="eastAsia"/>
                          <w:color w:val="000000"/>
                          <w:spacing w:val="-2"/>
                          <w:sz w:val="18"/>
                        </w:rPr>
                        <w:t>資料</w:t>
                      </w:r>
                      <w:r w:rsidRPr="007F45CD">
                        <w:rPr>
                          <w:rFonts w:ascii="標楷體" w:eastAsia="標楷體" w:hAnsi="標楷體" w:hint="eastAsia"/>
                          <w:color w:val="000000"/>
                          <w:spacing w:val="-2"/>
                          <w:sz w:val="18"/>
                        </w:rPr>
                        <w:t>除</w:t>
                      </w:r>
                      <w:proofErr w:type="gramStart"/>
                      <w:r w:rsidRPr="007F45CD">
                        <w:rPr>
                          <w:rFonts w:ascii="標楷體" w:eastAsia="標楷體" w:hAnsi="標楷體" w:hint="eastAsia"/>
                          <w:color w:val="000000"/>
                          <w:spacing w:val="-2"/>
                          <w:sz w:val="18"/>
                        </w:rPr>
                        <w:t>臺</w:t>
                      </w:r>
                      <w:proofErr w:type="gramEnd"/>
                      <w:r w:rsidRPr="007F45CD">
                        <w:rPr>
                          <w:rFonts w:ascii="標楷體" w:eastAsia="標楷體" w:hAnsi="標楷體" w:hint="eastAsia"/>
                          <w:color w:val="000000"/>
                          <w:spacing w:val="-2"/>
                          <w:sz w:val="18"/>
                        </w:rPr>
                        <w:t>中市統計至114年4月11日止，其餘場館統計至同年3月11日止。</w:t>
                      </w:r>
                    </w:p>
                    <w:p w14:paraId="74FB0781" w14:textId="77777777" w:rsidR="00406878" w:rsidRPr="007F45CD" w:rsidRDefault="00406878" w:rsidP="00406878">
                      <w:pPr>
                        <w:autoSpaceDN w:val="0"/>
                        <w:spacing w:line="180" w:lineRule="exact"/>
                        <w:ind w:rightChars="-30" w:right="-72" w:firstLineChars="145" w:firstLine="261"/>
                        <w:rPr>
                          <w:rFonts w:ascii="標楷體" w:eastAsia="標楷體" w:hAnsi="標楷體" w:cs="新細明體"/>
                          <w:color w:val="000000"/>
                          <w:sz w:val="18"/>
                          <w:szCs w:val="24"/>
                        </w:rPr>
                      </w:pPr>
                      <w:r w:rsidRPr="007F45CD">
                        <w:rPr>
                          <w:rFonts w:ascii="標楷體" w:eastAsia="標楷體" w:hAnsi="標楷體" w:cs="新細明體" w:hint="eastAsia"/>
                          <w:color w:val="000000"/>
                          <w:kern w:val="0"/>
                          <w:sz w:val="18"/>
                          <w:szCs w:val="18"/>
                        </w:rPr>
                        <w:t>2</w:t>
                      </w:r>
                      <w:r w:rsidRPr="007F45CD">
                        <w:rPr>
                          <w:rFonts w:ascii="標楷體" w:eastAsia="標楷體" w:hAnsi="標楷體" w:cs="新細明體"/>
                          <w:color w:val="000000"/>
                          <w:kern w:val="0"/>
                          <w:sz w:val="18"/>
                          <w:szCs w:val="18"/>
                        </w:rPr>
                        <w:t>.</w:t>
                      </w:r>
                      <w:r w:rsidRPr="007F45CD">
                        <w:rPr>
                          <w:rFonts w:ascii="標楷體" w:eastAsia="標楷體" w:hAnsi="標楷體" w:cs="新細明體" w:hint="eastAsia"/>
                          <w:color w:val="000000"/>
                          <w:kern w:val="0"/>
                          <w:sz w:val="18"/>
                          <w:szCs w:val="18"/>
                        </w:rPr>
                        <w:t>數值標示底色者為排班率小於</w:t>
                      </w:r>
                      <w:r w:rsidRPr="007F45CD">
                        <w:rPr>
                          <w:rFonts w:ascii="標楷體" w:eastAsia="標楷體" w:hAnsi="標楷體" w:cs="新細明體"/>
                          <w:color w:val="000000"/>
                          <w:kern w:val="0"/>
                          <w:sz w:val="18"/>
                          <w:szCs w:val="18"/>
                        </w:rPr>
                        <w:t>80</w:t>
                      </w:r>
                      <w:r w:rsidRPr="007F45CD">
                        <w:rPr>
                          <w:rFonts w:ascii="標楷體" w:eastAsia="標楷體" w:hAnsi="標楷體" w:cs="新細明體" w:hint="eastAsia"/>
                          <w:color w:val="000000"/>
                          <w:kern w:val="0"/>
                          <w:sz w:val="18"/>
                          <w:szCs w:val="18"/>
                        </w:rPr>
                        <w:t>％者。</w:t>
                      </w:r>
                    </w:p>
                    <w:p w14:paraId="5D5BD7D2" w14:textId="77777777" w:rsidR="00406878" w:rsidRPr="007F45CD" w:rsidRDefault="00406878" w:rsidP="00406878">
                      <w:pPr>
                        <w:autoSpaceDN w:val="0"/>
                        <w:spacing w:line="180" w:lineRule="exact"/>
                        <w:ind w:rightChars="-30" w:right="-72" w:firstLineChars="145" w:firstLine="261"/>
                        <w:rPr>
                          <w:rFonts w:ascii="標楷體" w:eastAsia="標楷體" w:hAnsi="標楷體"/>
                          <w:color w:val="000000"/>
                          <w:sz w:val="18"/>
                        </w:rPr>
                      </w:pPr>
                      <w:r w:rsidRPr="007F45CD">
                        <w:rPr>
                          <w:rFonts w:ascii="標楷體" w:eastAsia="標楷體" w:hAnsi="標楷體"/>
                          <w:color w:val="000000"/>
                          <w:sz w:val="18"/>
                        </w:rPr>
                        <w:t>3</w:t>
                      </w:r>
                      <w:r w:rsidRPr="007F45CD">
                        <w:rPr>
                          <w:rFonts w:ascii="標楷體" w:eastAsia="標楷體" w:hAnsi="標楷體" w:hint="eastAsia"/>
                          <w:color w:val="000000"/>
                          <w:sz w:val="18"/>
                        </w:rPr>
                        <w:t>.資料來源：整理自體育局提供資料。</w:t>
                      </w:r>
                    </w:p>
                  </w:txbxContent>
                </v:textbox>
                <w10:wrap type="tight" anchorx="margin" anchory="page"/>
              </v:shape>
            </w:pict>
          </mc:Fallback>
        </mc:AlternateContent>
      </w:r>
      <w:r w:rsidRPr="002131A4">
        <w:rPr>
          <w:rFonts w:ascii="標楷體" w:eastAsia="標楷體" w:hAnsi="標楷體" w:hint="eastAsia"/>
          <w:szCs w:val="24"/>
        </w:rPr>
        <w:t>8,333人及語言志工1,444人，共計9,777人，其中已依規定取得該賽會志工資格者，計有8</w:t>
      </w:r>
      <w:r w:rsidRPr="002131A4">
        <w:rPr>
          <w:rFonts w:ascii="標楷體" w:eastAsia="標楷體" w:hAnsi="標楷體"/>
          <w:szCs w:val="24"/>
        </w:rPr>
        <w:t>,100</w:t>
      </w:r>
      <w:r w:rsidRPr="002131A4">
        <w:rPr>
          <w:rFonts w:ascii="標楷體" w:eastAsia="標楷體" w:hAnsi="標楷體" w:hint="eastAsia"/>
          <w:szCs w:val="24"/>
        </w:rPr>
        <w:t>人。經查該賽會各場館一般志工及語言志工之平均排班率，雖已分別達到需求數之126.60％及100.45％，惟其中</w:t>
      </w:r>
      <w:proofErr w:type="gramStart"/>
      <w:r w:rsidRPr="002131A4">
        <w:rPr>
          <w:rFonts w:ascii="標楷體" w:eastAsia="標楷體" w:hAnsi="標楷體" w:hint="eastAsia"/>
          <w:szCs w:val="24"/>
        </w:rPr>
        <w:t>臺</w:t>
      </w:r>
      <w:proofErr w:type="gramEnd"/>
      <w:r w:rsidRPr="002131A4">
        <w:rPr>
          <w:rFonts w:ascii="標楷體" w:eastAsia="標楷體" w:hAnsi="標楷體" w:hint="eastAsia"/>
          <w:szCs w:val="24"/>
        </w:rPr>
        <w:t>中市、新北市、桃園市及宜蘭縣之一般志工或語言志工之可排班比率僅介於10.00％至87.32％</w:t>
      </w:r>
      <w:proofErr w:type="gramStart"/>
      <w:r w:rsidRPr="002131A4">
        <w:rPr>
          <w:rFonts w:ascii="標楷體" w:eastAsia="標楷體" w:hAnsi="標楷體" w:hint="eastAsia"/>
          <w:szCs w:val="24"/>
        </w:rPr>
        <w:t>之間，</w:t>
      </w:r>
      <w:proofErr w:type="gramEnd"/>
      <w:r w:rsidRPr="002131A4">
        <w:rPr>
          <w:rFonts w:ascii="標楷體" w:eastAsia="標楷體" w:hAnsi="標楷體" w:hint="eastAsia"/>
          <w:szCs w:val="24"/>
        </w:rPr>
        <w:t>且61處場館中尚有藍灣海濱休憩園區等20處場館（占32.79％），尚無語言志工或語言志工之可排班率低於80％，</w:t>
      </w:r>
      <w:proofErr w:type="gramStart"/>
      <w:r w:rsidRPr="002131A4">
        <w:rPr>
          <w:rFonts w:ascii="標楷體" w:eastAsia="標楷體" w:hAnsi="標楷體" w:hint="eastAsia"/>
          <w:szCs w:val="24"/>
        </w:rPr>
        <w:t>另藍灣</w:t>
      </w:r>
      <w:proofErr w:type="gramEnd"/>
      <w:r w:rsidRPr="002131A4">
        <w:rPr>
          <w:rFonts w:ascii="標楷體" w:eastAsia="標楷體" w:hAnsi="標楷體" w:hint="eastAsia"/>
          <w:szCs w:val="24"/>
        </w:rPr>
        <w:t>海濱休憩園區等6處場館一般志工之可排班比率，亦僅有4.81％至69.79％不等情事（表</w:t>
      </w:r>
      <w:r>
        <w:rPr>
          <w:rFonts w:ascii="標楷體" w:eastAsia="標楷體" w:hAnsi="標楷體" w:hint="eastAsia"/>
          <w:szCs w:val="24"/>
        </w:rPr>
        <w:t>3</w:t>
      </w:r>
      <w:r w:rsidRPr="002131A4">
        <w:rPr>
          <w:rFonts w:ascii="標楷體" w:eastAsia="標楷體" w:hAnsi="標楷體" w:hint="eastAsia"/>
          <w:szCs w:val="24"/>
        </w:rPr>
        <w:t>），經函請檢討改善，以確保賽會期間服務品質。據復：已於開賽前再次針對部分有志工需求之競賽場館，開放系統排班，鼓勵志工踴躍排班，亦加強媒合團體志工排班；另針對偏遠場館，由場館派駐官評估調配適當正式公務人力支援各項賽事任務，且皆已成立各</w:t>
      </w:r>
      <w:proofErr w:type="gramStart"/>
      <w:r w:rsidRPr="002131A4">
        <w:rPr>
          <w:rFonts w:ascii="標楷體" w:eastAsia="標楷體" w:hAnsi="標楷體" w:hint="eastAsia"/>
          <w:szCs w:val="24"/>
        </w:rPr>
        <w:t>場館志工</w:t>
      </w:r>
      <w:proofErr w:type="gramEnd"/>
      <w:r w:rsidRPr="002131A4">
        <w:rPr>
          <w:rFonts w:ascii="標楷體" w:eastAsia="標楷體" w:hAnsi="標楷體" w:hint="eastAsia"/>
          <w:szCs w:val="24"/>
        </w:rPr>
        <w:t>組之官方LINE群組並與</w:t>
      </w:r>
      <w:proofErr w:type="gramStart"/>
      <w:r w:rsidRPr="002131A4">
        <w:rPr>
          <w:rFonts w:ascii="標楷體" w:eastAsia="標楷體" w:hAnsi="標楷體" w:hint="eastAsia"/>
          <w:szCs w:val="24"/>
        </w:rPr>
        <w:t>服勤志工</w:t>
      </w:r>
      <w:proofErr w:type="gramEnd"/>
      <w:r w:rsidRPr="002131A4">
        <w:rPr>
          <w:rFonts w:ascii="標楷體" w:eastAsia="標楷體" w:hAnsi="標楷體" w:hint="eastAsia"/>
          <w:szCs w:val="24"/>
        </w:rPr>
        <w:t>建立聯繫管道，可即時因應賽會變動及實際需求，媒合及調派有意願之志工。</w:t>
      </w:r>
    </w:p>
    <w:p w14:paraId="747A8B0D" w14:textId="77777777" w:rsidR="0022023A" w:rsidRDefault="00406878" w:rsidP="0022023A">
      <w:pPr>
        <w:overflowPunct w:val="0"/>
        <w:autoSpaceDE w:val="0"/>
        <w:autoSpaceDN w:val="0"/>
        <w:spacing w:beforeLines="10" w:before="36" w:line="430" w:lineRule="exact"/>
        <w:ind w:firstLineChars="200" w:firstLine="480"/>
        <w:jc w:val="both"/>
        <w:outlineLvl w:val="1"/>
        <w:rPr>
          <w:rFonts w:ascii="標楷體" w:eastAsia="標楷體" w:hAnsi="標楷體"/>
        </w:rPr>
      </w:pPr>
      <w:r w:rsidRPr="002131A4">
        <w:rPr>
          <w:rFonts w:ascii="標楷體" w:eastAsia="標楷體" w:hAnsi="標楷體" w:cs="新細明體" w:hint="eastAsia"/>
          <w:b/>
          <w:color w:val="000000"/>
          <w:kern w:val="0"/>
        </w:rPr>
        <w:t>（3）為</w:t>
      </w:r>
      <w:r w:rsidRPr="002131A4">
        <w:rPr>
          <w:rFonts w:ascii="標楷體" w:eastAsia="標楷體" w:hAnsi="標楷體" w:hint="eastAsia"/>
          <w:b/>
          <w:bCs/>
        </w:rPr>
        <w:t>促進2025</w:t>
      </w:r>
      <w:proofErr w:type="gramStart"/>
      <w:r w:rsidRPr="002131A4">
        <w:rPr>
          <w:rFonts w:ascii="標楷體" w:eastAsia="標楷體" w:hAnsi="標楷體" w:hint="eastAsia"/>
          <w:b/>
          <w:bCs/>
        </w:rPr>
        <w:t>世壯運</w:t>
      </w:r>
      <w:proofErr w:type="gramEnd"/>
      <w:r w:rsidRPr="002131A4">
        <w:rPr>
          <w:rFonts w:ascii="標楷體" w:eastAsia="標楷體" w:hAnsi="標楷體" w:hint="eastAsia"/>
          <w:b/>
          <w:bCs/>
        </w:rPr>
        <w:t>城市觀光效益，</w:t>
      </w:r>
      <w:r w:rsidRPr="002131A4">
        <w:rPr>
          <w:rFonts w:ascii="標楷體" w:eastAsia="標楷體" w:hAnsi="標楷體" w:cs="新細明體" w:hint="eastAsia"/>
          <w:b/>
          <w:bCs/>
          <w:color w:val="000000"/>
          <w:kern w:val="0"/>
        </w:rPr>
        <w:t>與旅行</w:t>
      </w:r>
      <w:r w:rsidRPr="002131A4">
        <w:rPr>
          <w:rFonts w:ascii="標楷體" w:eastAsia="標楷體" w:hAnsi="標楷體" w:cs="新細明體" w:hint="eastAsia"/>
          <w:b/>
          <w:color w:val="000000"/>
          <w:kern w:val="0"/>
        </w:rPr>
        <w:t>業者合作推出特色旅遊行程，並</w:t>
      </w:r>
      <w:proofErr w:type="gramStart"/>
      <w:r w:rsidRPr="002131A4">
        <w:rPr>
          <w:rFonts w:ascii="標楷體" w:eastAsia="標楷體" w:hAnsi="標楷體" w:cs="新細明體" w:hint="eastAsia"/>
          <w:b/>
          <w:color w:val="000000"/>
          <w:kern w:val="0"/>
        </w:rPr>
        <w:t>於官網公告</w:t>
      </w:r>
      <w:proofErr w:type="gramEnd"/>
      <w:r w:rsidRPr="002131A4">
        <w:rPr>
          <w:rFonts w:ascii="標楷體" w:eastAsia="標楷體" w:hAnsi="標楷體" w:cs="新細明體" w:hint="eastAsia"/>
          <w:b/>
          <w:color w:val="000000"/>
          <w:kern w:val="0"/>
        </w:rPr>
        <w:t>特約店家資訊，及推出相關行銷優惠活動，</w:t>
      </w:r>
      <w:proofErr w:type="gramStart"/>
      <w:r w:rsidRPr="002131A4">
        <w:rPr>
          <w:rFonts w:ascii="標楷體" w:eastAsia="標楷體" w:hAnsi="標楷體" w:cs="新細明體" w:hint="eastAsia"/>
          <w:b/>
          <w:color w:val="000000"/>
          <w:kern w:val="0"/>
        </w:rPr>
        <w:t>惟核有</w:t>
      </w:r>
      <w:proofErr w:type="gramEnd"/>
      <w:r w:rsidRPr="002131A4">
        <w:rPr>
          <w:rFonts w:ascii="標楷體" w:eastAsia="標楷體" w:hAnsi="標楷體" w:cs="新細明體" w:hint="eastAsia"/>
          <w:b/>
          <w:color w:val="000000"/>
          <w:kern w:val="0"/>
        </w:rPr>
        <w:t>民眾參與官方旅遊行程熱度低，或未同步建置特約店家外語網頁，或未及早公告相關活動資訊，不利外界查詢利用等情事：</w:t>
      </w:r>
      <w:r w:rsidRPr="002131A4">
        <w:rPr>
          <w:rFonts w:ascii="標楷體" w:eastAsia="標楷體" w:hAnsi="標楷體" w:hint="eastAsia"/>
        </w:rPr>
        <w:t>本處前抽查體育局</w:t>
      </w:r>
      <w:proofErr w:type="gramStart"/>
      <w:r w:rsidRPr="002131A4">
        <w:rPr>
          <w:rFonts w:ascii="標楷體" w:eastAsia="標楷體" w:hAnsi="標楷體" w:hint="eastAsia"/>
        </w:rPr>
        <w:t>112</w:t>
      </w:r>
      <w:proofErr w:type="gramEnd"/>
      <w:r w:rsidRPr="002131A4">
        <w:rPr>
          <w:rFonts w:ascii="標楷體" w:eastAsia="標楷體" w:hAnsi="標楷體" w:hint="eastAsia"/>
        </w:rPr>
        <w:t>年度財務收支及決算時，曾就該局為促進2025</w:t>
      </w:r>
      <w:proofErr w:type="gramStart"/>
      <w:r w:rsidRPr="002131A4">
        <w:rPr>
          <w:rFonts w:ascii="標楷體" w:eastAsia="標楷體" w:hAnsi="標楷體" w:hint="eastAsia"/>
        </w:rPr>
        <w:t>世壯運</w:t>
      </w:r>
      <w:proofErr w:type="gramEnd"/>
      <w:r w:rsidRPr="002131A4">
        <w:rPr>
          <w:rFonts w:ascii="標楷體" w:eastAsia="標楷體" w:hAnsi="標楷體" w:hint="eastAsia"/>
        </w:rPr>
        <w:t>城市觀光效益，已</w:t>
      </w:r>
      <w:proofErr w:type="gramStart"/>
      <w:r w:rsidRPr="002131A4">
        <w:rPr>
          <w:rFonts w:ascii="標楷體" w:eastAsia="標楷體" w:hAnsi="標楷體" w:hint="eastAsia"/>
        </w:rPr>
        <w:t>於官網建置</w:t>
      </w:r>
      <w:proofErr w:type="gramEnd"/>
      <w:r w:rsidRPr="002131A4">
        <w:rPr>
          <w:rFonts w:ascii="標楷體" w:eastAsia="標楷體" w:hAnsi="標楷體" w:hint="eastAsia"/>
        </w:rPr>
        <w:t>旅遊專區，惟截至該賽會開放報名首日，網站仍無法提供競賽場館周邊旅遊行程等資訊，供外界查詢利用，</w:t>
      </w:r>
      <w:proofErr w:type="gramStart"/>
      <w:r w:rsidRPr="002131A4">
        <w:rPr>
          <w:rFonts w:ascii="標楷體" w:eastAsia="標楷體" w:hAnsi="標楷體" w:hint="eastAsia"/>
        </w:rPr>
        <w:t>不</w:t>
      </w:r>
      <w:proofErr w:type="gramEnd"/>
      <w:r w:rsidRPr="002131A4">
        <w:rPr>
          <w:rFonts w:ascii="標楷體" w:eastAsia="標楷體" w:hAnsi="標楷體" w:hint="eastAsia"/>
        </w:rPr>
        <w:t>利誘客計畫之推動1節，函請注意</w:t>
      </w:r>
      <w:proofErr w:type="gramStart"/>
      <w:r w:rsidRPr="002131A4">
        <w:rPr>
          <w:rFonts w:ascii="標楷體" w:eastAsia="標楷體" w:hAnsi="標楷體" w:hint="eastAsia"/>
        </w:rPr>
        <w:t>研</w:t>
      </w:r>
      <w:proofErr w:type="gramEnd"/>
      <w:r w:rsidRPr="002131A4">
        <w:rPr>
          <w:rFonts w:ascii="標楷體" w:eastAsia="標楷體" w:hAnsi="標楷體" w:hint="eastAsia"/>
        </w:rPr>
        <w:t>謀改善，以建構完善之賽會服務環境。據復：為吸引國際參賽者體驗臺灣各地旅遊特色，業於</w:t>
      </w:r>
      <w:proofErr w:type="gramStart"/>
      <w:r w:rsidRPr="002131A4">
        <w:rPr>
          <w:rFonts w:ascii="標楷體" w:eastAsia="標楷體" w:hAnsi="標楷體" w:hint="eastAsia"/>
        </w:rPr>
        <w:t>世壯運官網</w:t>
      </w:r>
      <w:proofErr w:type="gramEnd"/>
      <w:r w:rsidRPr="002131A4">
        <w:rPr>
          <w:rFonts w:ascii="標楷體" w:eastAsia="標楷體" w:hAnsi="標楷體" w:hint="eastAsia"/>
        </w:rPr>
        <w:t>內設置旅遊專區，並規劃「團體旅遊」、「自由行程」兩大類別供選手選擇報名。案經追蹤覆核結果，發現該局於112年委託觀光傳播局辦理「2025雙北世界壯年運動會旅遊行程合作推廣案」勞務採購案，截至114年3月底止，得標廠商已邀集國內12家旅遊業者推出30條優質團體旅遊行程，並上</w:t>
      </w:r>
      <w:proofErr w:type="gramStart"/>
      <w:r w:rsidRPr="002131A4">
        <w:rPr>
          <w:rFonts w:ascii="標楷體" w:eastAsia="標楷體" w:hAnsi="標楷體" w:hint="eastAsia"/>
        </w:rPr>
        <w:t>架至2025世壯運官網</w:t>
      </w:r>
      <w:proofErr w:type="gramEnd"/>
      <w:r w:rsidRPr="002131A4">
        <w:rPr>
          <w:rFonts w:ascii="標楷體" w:eastAsia="標楷體" w:hAnsi="標楷體" w:hint="eastAsia"/>
        </w:rPr>
        <w:t>「旅遊推薦」專區供民眾上網報名參加，及提供32條自由行路線供民眾規劃旅遊行程參考，</w:t>
      </w:r>
      <w:proofErr w:type="gramStart"/>
      <w:r w:rsidRPr="002131A4">
        <w:rPr>
          <w:rFonts w:ascii="標楷體" w:eastAsia="標楷體" w:hAnsi="標楷體" w:hint="eastAsia"/>
        </w:rPr>
        <w:t>惟查其中</w:t>
      </w:r>
      <w:proofErr w:type="gramEnd"/>
      <w:r w:rsidRPr="002131A4">
        <w:rPr>
          <w:rFonts w:ascii="標楷體" w:eastAsia="標楷體" w:hAnsi="標楷體" w:hint="eastAsia"/>
        </w:rPr>
        <w:t>團體旅遊行程自113年2月17日推出並提供選手</w:t>
      </w:r>
      <w:proofErr w:type="gramStart"/>
      <w:r w:rsidRPr="002131A4">
        <w:rPr>
          <w:rFonts w:ascii="標楷體" w:eastAsia="標楷體" w:hAnsi="標楷體" w:hint="eastAsia"/>
        </w:rPr>
        <w:t>限定早鳥優惠</w:t>
      </w:r>
      <w:proofErr w:type="gramEnd"/>
      <w:r w:rsidRPr="002131A4">
        <w:rPr>
          <w:rFonts w:ascii="標楷體" w:eastAsia="標楷體" w:hAnsi="標楷體" w:hint="eastAsia"/>
        </w:rPr>
        <w:t>折扣，迄114年3月底止已逾1年，僅有5位民眾報名參加，</w:t>
      </w:r>
    </w:p>
    <w:p w14:paraId="1107F533" w14:textId="2FEEBAA1" w:rsidR="00406878" w:rsidRPr="002131A4" w:rsidRDefault="00406878" w:rsidP="00B8091B">
      <w:pPr>
        <w:overflowPunct w:val="0"/>
        <w:autoSpaceDE w:val="0"/>
        <w:autoSpaceDN w:val="0"/>
        <w:spacing w:line="480" w:lineRule="exact"/>
        <w:jc w:val="both"/>
        <w:outlineLvl w:val="1"/>
        <w:rPr>
          <w:rFonts w:ascii="標楷體" w:eastAsia="標楷體" w:hAnsi="標楷體"/>
          <w:szCs w:val="24"/>
        </w:rPr>
      </w:pPr>
      <w:r w:rsidRPr="002131A4">
        <w:rPr>
          <w:rFonts w:ascii="標楷體" w:eastAsia="標楷體" w:hAnsi="標楷體" w:hint="eastAsia"/>
        </w:rPr>
        <w:lastRenderedPageBreak/>
        <w:t>參與熱度低；復查該局為強化2025</w:t>
      </w:r>
      <w:proofErr w:type="gramStart"/>
      <w:r w:rsidRPr="002131A4">
        <w:rPr>
          <w:rFonts w:ascii="標楷體" w:eastAsia="標楷體" w:hAnsi="標楷體" w:hint="eastAsia"/>
        </w:rPr>
        <w:t>世壯運場</w:t>
      </w:r>
      <w:proofErr w:type="gramEnd"/>
      <w:r w:rsidRPr="002131A4">
        <w:rPr>
          <w:rFonts w:ascii="標楷體" w:eastAsia="標楷體" w:hAnsi="標楷體" w:hint="eastAsia"/>
        </w:rPr>
        <w:t>館周邊店家經濟，於</w:t>
      </w:r>
      <w:proofErr w:type="gramStart"/>
      <w:r w:rsidRPr="002131A4">
        <w:rPr>
          <w:rFonts w:ascii="標楷體" w:eastAsia="標楷體" w:hAnsi="標楷體" w:hint="eastAsia"/>
        </w:rPr>
        <w:t>113</w:t>
      </w:r>
      <w:proofErr w:type="gramEnd"/>
      <w:r w:rsidRPr="002131A4">
        <w:rPr>
          <w:rFonts w:ascii="標楷體" w:eastAsia="標楷體" w:hAnsi="標楷體" w:hint="eastAsia"/>
        </w:rPr>
        <w:t>年度委託臺北市商業處（下稱商業處）辦理「2025雙北世界壯年運動會店家串聯行銷活動」委託專業執行服務案勞務採購，由得標廠商負責盤點及整合賽會場館周邊商圈及市集遊逛消費資訊，並上</w:t>
      </w:r>
      <w:proofErr w:type="gramStart"/>
      <w:r w:rsidRPr="002131A4">
        <w:rPr>
          <w:rFonts w:ascii="標楷體" w:eastAsia="標楷體" w:hAnsi="標楷體" w:hint="eastAsia"/>
        </w:rPr>
        <w:t>架至2025世壯運官網</w:t>
      </w:r>
      <w:proofErr w:type="gramEnd"/>
      <w:r w:rsidRPr="002131A4">
        <w:rPr>
          <w:rFonts w:ascii="標楷體" w:eastAsia="標楷體" w:hAnsi="標楷體" w:hint="eastAsia"/>
        </w:rPr>
        <w:t>外，另應規劃行銷活動，並募集至少1千間之特約店家，執行結果，截至114年4月10日止，廠商已招募特約店家共2,222家，雖已達契約規定最低招募店家數標準，惟距離該賽會正式舉辦日期（114年5月17日）僅剩36日，該</w:t>
      </w:r>
      <w:proofErr w:type="gramStart"/>
      <w:r w:rsidRPr="002131A4">
        <w:rPr>
          <w:rFonts w:ascii="標楷體" w:eastAsia="標楷體" w:hAnsi="標楷體" w:hint="eastAsia"/>
        </w:rPr>
        <w:t>賽會官網</w:t>
      </w:r>
      <w:proofErr w:type="gramEnd"/>
      <w:r w:rsidRPr="002131A4">
        <w:rPr>
          <w:rFonts w:ascii="標楷體" w:eastAsia="標楷體" w:hAnsi="標楷體" w:hint="eastAsia"/>
        </w:rPr>
        <w:t>「</w:t>
      </w:r>
      <w:proofErr w:type="gramStart"/>
      <w:r w:rsidRPr="002131A4">
        <w:rPr>
          <w:rFonts w:ascii="標楷體" w:eastAsia="標楷體" w:hAnsi="標楷體" w:hint="eastAsia"/>
        </w:rPr>
        <w:t>特</w:t>
      </w:r>
      <w:proofErr w:type="gramEnd"/>
      <w:r w:rsidRPr="002131A4">
        <w:rPr>
          <w:rFonts w:ascii="標楷體" w:eastAsia="標楷體" w:hAnsi="標楷體" w:hint="eastAsia"/>
        </w:rPr>
        <w:t>店優惠」專區仍未提供外語</w:t>
      </w:r>
      <w:proofErr w:type="gramStart"/>
      <w:r w:rsidRPr="002131A4">
        <w:rPr>
          <w:rFonts w:ascii="標楷體" w:eastAsia="標楷體" w:hAnsi="標楷體" w:hint="eastAsia"/>
        </w:rPr>
        <w:t>頁面供外界</w:t>
      </w:r>
      <w:proofErr w:type="gramEnd"/>
      <w:r w:rsidRPr="002131A4">
        <w:rPr>
          <w:rFonts w:ascii="標楷體" w:eastAsia="標楷體" w:hAnsi="標楷體" w:hint="eastAsia"/>
        </w:rPr>
        <w:t>查詢運用，不利於該賽會主協辦城市觀光業務之推展；另查該局為帶動參賽及觀賽民眾之實質消費，活絡地方經濟發展，已籌募465萬元經費（含新北市政府及民間提供），規劃於賽會</w:t>
      </w:r>
      <w:proofErr w:type="gramStart"/>
      <w:r w:rsidRPr="002131A4">
        <w:rPr>
          <w:rFonts w:ascii="標楷體" w:eastAsia="標楷體" w:hAnsi="標楷體" w:hint="eastAsia"/>
        </w:rPr>
        <w:t>期間（</w:t>
      </w:r>
      <w:proofErr w:type="gramEnd"/>
      <w:r w:rsidRPr="002131A4">
        <w:rPr>
          <w:rFonts w:ascii="標楷體" w:eastAsia="標楷體" w:hAnsi="標楷體" w:hint="eastAsia"/>
        </w:rPr>
        <w:t>114年5月8日至同年6月10日）每週</w:t>
      </w:r>
      <w:proofErr w:type="gramStart"/>
      <w:r w:rsidRPr="002131A4">
        <w:rPr>
          <w:rFonts w:ascii="標楷體" w:eastAsia="標楷體" w:hAnsi="標楷體" w:hint="eastAsia"/>
        </w:rPr>
        <w:t>推出線上限量</w:t>
      </w:r>
      <w:proofErr w:type="gramEnd"/>
      <w:r w:rsidRPr="002131A4">
        <w:rPr>
          <w:rFonts w:ascii="標楷體" w:eastAsia="標楷體" w:hAnsi="標楷體" w:hint="eastAsia"/>
        </w:rPr>
        <w:t>贈送選手電子現金</w:t>
      </w:r>
      <w:proofErr w:type="gramStart"/>
      <w:r w:rsidRPr="002131A4">
        <w:rPr>
          <w:rFonts w:ascii="標楷體" w:eastAsia="標楷體" w:hAnsi="標楷體" w:hint="eastAsia"/>
        </w:rPr>
        <w:t>券</w:t>
      </w:r>
      <w:proofErr w:type="gramEnd"/>
      <w:r w:rsidRPr="002131A4">
        <w:rPr>
          <w:rFonts w:ascii="標楷體" w:eastAsia="標楷體" w:hAnsi="標楷體" w:hint="eastAsia"/>
        </w:rPr>
        <w:t>活動，惟迄114年4月底止，距離該活動日僅剩8日，該</w:t>
      </w:r>
      <w:proofErr w:type="gramStart"/>
      <w:r w:rsidRPr="002131A4">
        <w:rPr>
          <w:rFonts w:ascii="標楷體" w:eastAsia="標楷體" w:hAnsi="標楷體" w:hint="eastAsia"/>
        </w:rPr>
        <w:t>賽會官網</w:t>
      </w:r>
      <w:proofErr w:type="gramEnd"/>
      <w:r w:rsidRPr="002131A4">
        <w:rPr>
          <w:rFonts w:ascii="標楷體" w:eastAsia="標楷體" w:hAnsi="標楷體" w:hint="eastAsia"/>
        </w:rPr>
        <w:t>「</w:t>
      </w:r>
      <w:proofErr w:type="gramStart"/>
      <w:r w:rsidRPr="002131A4">
        <w:rPr>
          <w:rFonts w:ascii="標楷體" w:eastAsia="標楷體" w:hAnsi="標楷體" w:hint="eastAsia"/>
        </w:rPr>
        <w:t>特</w:t>
      </w:r>
      <w:proofErr w:type="gramEnd"/>
      <w:r w:rsidRPr="002131A4">
        <w:rPr>
          <w:rFonts w:ascii="標楷體" w:eastAsia="標楷體" w:hAnsi="標楷體" w:hint="eastAsia"/>
        </w:rPr>
        <w:t>店優惠」專區仍未公告該活動內容及領</w:t>
      </w:r>
      <w:proofErr w:type="gramStart"/>
      <w:r w:rsidRPr="002131A4">
        <w:rPr>
          <w:rFonts w:ascii="標楷體" w:eastAsia="標楷體" w:hAnsi="標楷體" w:hint="eastAsia"/>
        </w:rPr>
        <w:t>券</w:t>
      </w:r>
      <w:proofErr w:type="gramEnd"/>
      <w:r w:rsidRPr="002131A4">
        <w:rPr>
          <w:rFonts w:ascii="標楷體" w:eastAsia="標楷體" w:hAnsi="標楷體" w:hint="eastAsia"/>
        </w:rPr>
        <w:t>機制等資訊，以提供參賽選手參考等情事，經函請檢討改善，以提升該賽會整體觀光經濟效益。據復：觀光傳播局已將</w:t>
      </w:r>
      <w:proofErr w:type="gramStart"/>
      <w:r w:rsidRPr="002131A4">
        <w:rPr>
          <w:rFonts w:ascii="標楷體" w:eastAsia="標楷體" w:hAnsi="標楷體" w:hint="eastAsia"/>
        </w:rPr>
        <w:t>世壯運</w:t>
      </w:r>
      <w:proofErr w:type="gramEnd"/>
      <w:r w:rsidRPr="002131A4">
        <w:rPr>
          <w:rFonts w:ascii="標楷體" w:eastAsia="標楷體" w:hAnsi="標楷體" w:hint="eastAsia"/>
        </w:rPr>
        <w:t>遊程納入各海外市場之觀光推廣規劃，並透過多元管道持續宣傳，截至114年6月8日止，累計報名人數19人；商業處已於114年4月16日完成首批特約店家之英、日、韓語版翻譯上架作業，另為擴大活動效益，已將特約店家之報名延長至114年4月底止，並將滾動上架新增相關資訊至活動結束；商業處已透過</w:t>
      </w:r>
      <w:proofErr w:type="gramStart"/>
      <w:r w:rsidRPr="002131A4">
        <w:rPr>
          <w:rFonts w:ascii="標楷體" w:eastAsia="標楷體" w:hAnsi="標楷體" w:hint="eastAsia"/>
        </w:rPr>
        <w:t>世壯運</w:t>
      </w:r>
      <w:proofErr w:type="gramEnd"/>
      <w:r w:rsidRPr="002131A4">
        <w:rPr>
          <w:rFonts w:ascii="標楷體" w:eastAsia="標楷體" w:hAnsi="標楷體" w:hint="eastAsia"/>
        </w:rPr>
        <w:t>選手信、電子報及記者會等多元管道宣傳電子現金</w:t>
      </w:r>
      <w:proofErr w:type="gramStart"/>
      <w:r w:rsidRPr="002131A4">
        <w:rPr>
          <w:rFonts w:ascii="標楷體" w:eastAsia="標楷體" w:hAnsi="標楷體" w:hint="eastAsia"/>
        </w:rPr>
        <w:t>券</w:t>
      </w:r>
      <w:proofErr w:type="gramEnd"/>
      <w:r w:rsidRPr="002131A4">
        <w:rPr>
          <w:rFonts w:ascii="標楷體" w:eastAsia="標楷體" w:hAnsi="標楷體" w:hint="eastAsia"/>
        </w:rPr>
        <w:t>活動內容及領</w:t>
      </w:r>
      <w:proofErr w:type="gramStart"/>
      <w:r w:rsidRPr="002131A4">
        <w:rPr>
          <w:rFonts w:ascii="標楷體" w:eastAsia="標楷體" w:hAnsi="標楷體" w:hint="eastAsia"/>
        </w:rPr>
        <w:t>券</w:t>
      </w:r>
      <w:proofErr w:type="gramEnd"/>
      <w:r w:rsidRPr="002131A4">
        <w:rPr>
          <w:rFonts w:ascii="標楷體" w:eastAsia="標楷體" w:hAnsi="標楷體" w:hint="eastAsia"/>
        </w:rPr>
        <w:t>機制，未來將針對整體公告宣傳期程進行通盤檢討與策進，以提升計畫執行成效。</w:t>
      </w:r>
    </w:p>
    <w:p w14:paraId="79567087" w14:textId="77777777" w:rsidR="00406878" w:rsidRPr="00857652" w:rsidRDefault="00406878" w:rsidP="00B8091B">
      <w:pPr>
        <w:overflowPunct w:val="0"/>
        <w:autoSpaceDN w:val="0"/>
        <w:spacing w:beforeLines="50" w:before="180" w:line="460" w:lineRule="exact"/>
        <w:ind w:firstLineChars="200" w:firstLine="561"/>
        <w:jc w:val="both"/>
        <w:outlineLvl w:val="1"/>
        <w:rPr>
          <w:rFonts w:ascii="標楷體" w:eastAsia="標楷體" w:hAnsi="標楷體"/>
          <w:b/>
          <w:sz w:val="28"/>
          <w:szCs w:val="28"/>
        </w:rPr>
      </w:pPr>
      <w:r w:rsidRPr="00474EFC">
        <w:rPr>
          <w:rFonts w:ascii="標楷體" w:eastAsia="標楷體" w:hAnsi="標楷體" w:cs="新細明體"/>
          <w:b/>
          <w:color w:val="000000" w:themeColor="text1"/>
          <w:kern w:val="0"/>
          <w:sz w:val="28"/>
          <w:szCs w:val="28"/>
        </w:rPr>
        <w:t>3.</w:t>
      </w:r>
      <w:r w:rsidRPr="00474EFC">
        <w:rPr>
          <w:rFonts w:ascii="標楷體" w:eastAsia="標楷體" w:hAnsi="標楷體" w:hint="eastAsia"/>
          <w:b/>
          <w:sz w:val="28"/>
          <w:szCs w:val="28"/>
        </w:rPr>
        <w:t>續辦U－Sport</w:t>
      </w:r>
      <w:proofErr w:type="gramStart"/>
      <w:r w:rsidRPr="00474EFC">
        <w:rPr>
          <w:rFonts w:ascii="標楷體" w:eastAsia="標楷體" w:hAnsi="標楷體" w:hint="eastAsia"/>
          <w:b/>
          <w:sz w:val="28"/>
          <w:szCs w:val="28"/>
        </w:rPr>
        <w:t>臺北樂</w:t>
      </w:r>
      <w:proofErr w:type="gramEnd"/>
      <w:r w:rsidRPr="00474EFC">
        <w:rPr>
          <w:rFonts w:ascii="標楷體" w:eastAsia="標楷體" w:hAnsi="標楷體" w:hint="eastAsia"/>
          <w:b/>
          <w:sz w:val="28"/>
          <w:szCs w:val="28"/>
        </w:rPr>
        <w:t>運動計畫，促進市民運動參與及運動產業發展，</w:t>
      </w:r>
      <w:proofErr w:type="gramStart"/>
      <w:r w:rsidRPr="00474EFC">
        <w:rPr>
          <w:rFonts w:ascii="標楷體" w:eastAsia="標楷體" w:hAnsi="標楷體" w:hint="eastAsia"/>
          <w:b/>
          <w:sz w:val="28"/>
          <w:szCs w:val="28"/>
        </w:rPr>
        <w:t>惟核有4成</w:t>
      </w:r>
      <w:proofErr w:type="gramEnd"/>
      <w:r w:rsidRPr="00474EFC">
        <w:rPr>
          <w:rFonts w:ascii="標楷體" w:eastAsia="標楷體" w:hAnsi="標楷體" w:hint="eastAsia"/>
          <w:b/>
          <w:sz w:val="28"/>
          <w:szCs w:val="28"/>
        </w:rPr>
        <w:t>6註冊會員未曾入館運動，或收點排行獎勵機制仍欠嚴謹，或建置該計畫資通系統之安全維護及申請連結使用戶役政資料之應用管理作業未</w:t>
      </w:r>
      <w:proofErr w:type="gramStart"/>
      <w:r w:rsidRPr="00474EFC">
        <w:rPr>
          <w:rFonts w:ascii="標楷體" w:eastAsia="標楷體" w:hAnsi="標楷體" w:hint="eastAsia"/>
          <w:b/>
          <w:sz w:val="28"/>
          <w:szCs w:val="28"/>
        </w:rPr>
        <w:t>臻</w:t>
      </w:r>
      <w:proofErr w:type="gramEnd"/>
      <w:r w:rsidRPr="00474EFC">
        <w:rPr>
          <w:rFonts w:ascii="標楷體" w:eastAsia="標楷體" w:hAnsi="標楷體" w:hint="eastAsia"/>
          <w:b/>
          <w:sz w:val="28"/>
          <w:szCs w:val="28"/>
        </w:rPr>
        <w:t>周妥等情，均有待檢討改善。</w:t>
      </w:r>
    </w:p>
    <w:p w14:paraId="56543337" w14:textId="77777777" w:rsidR="00B8091B" w:rsidRDefault="00406878" w:rsidP="00B8091B">
      <w:pPr>
        <w:widowControl/>
        <w:overflowPunct w:val="0"/>
        <w:autoSpaceDE w:val="0"/>
        <w:autoSpaceDN w:val="0"/>
        <w:spacing w:beforeLines="20" w:before="72" w:line="470" w:lineRule="exact"/>
        <w:ind w:firstLineChars="200" w:firstLine="480"/>
        <w:jc w:val="both"/>
        <w:rPr>
          <w:rFonts w:ascii="標楷體" w:eastAsia="標楷體" w:hAnsi="標楷體"/>
        </w:rPr>
      </w:pPr>
      <w:r w:rsidRPr="00E90DB5">
        <w:rPr>
          <w:rFonts w:ascii="標楷體" w:eastAsia="標楷體" w:hAnsi="標楷體" w:hint="eastAsia"/>
        </w:rPr>
        <w:t>體育局為鼓勵市民養成規律運動習慣，促進身心健康，</w:t>
      </w:r>
      <w:proofErr w:type="gramStart"/>
      <w:r w:rsidRPr="00E90DB5">
        <w:rPr>
          <w:rFonts w:ascii="標楷體" w:eastAsia="標楷體" w:hAnsi="標楷體" w:hint="eastAsia"/>
        </w:rPr>
        <w:t>113年度匡列預算</w:t>
      </w:r>
      <w:proofErr w:type="gramEnd"/>
      <w:r w:rsidRPr="00E90DB5">
        <w:rPr>
          <w:rFonts w:ascii="標楷體" w:eastAsia="標楷體" w:hAnsi="標楷體" w:hint="eastAsia"/>
        </w:rPr>
        <w:t>1億1,685萬餘元，持續推動U－Sport</w:t>
      </w:r>
      <w:proofErr w:type="gramStart"/>
      <w:r w:rsidRPr="00E90DB5">
        <w:rPr>
          <w:rFonts w:ascii="標楷體" w:eastAsia="標楷體" w:hAnsi="標楷體" w:hint="eastAsia"/>
        </w:rPr>
        <w:t>臺北樂</w:t>
      </w:r>
      <w:proofErr w:type="gramEnd"/>
      <w:r w:rsidRPr="00E90DB5">
        <w:rPr>
          <w:rFonts w:ascii="標楷體" w:eastAsia="標楷體" w:hAnsi="標楷體" w:hint="eastAsia"/>
        </w:rPr>
        <w:t>運動計畫（下稱U－Sport計畫），規劃於113年4月17日至12月31日</w:t>
      </w:r>
      <w:proofErr w:type="gramStart"/>
      <w:r w:rsidRPr="00E90DB5">
        <w:rPr>
          <w:rFonts w:ascii="標楷體" w:eastAsia="標楷體" w:hAnsi="標楷體" w:hint="eastAsia"/>
        </w:rPr>
        <w:t>期間，</w:t>
      </w:r>
      <w:proofErr w:type="gramEnd"/>
      <w:r w:rsidRPr="00E90DB5">
        <w:rPr>
          <w:rFonts w:ascii="標楷體" w:eastAsia="標楷體" w:hAnsi="標楷體" w:hint="eastAsia"/>
        </w:rPr>
        <w:t>透過</w:t>
      </w:r>
      <w:r>
        <w:rPr>
          <w:rFonts w:ascii="標楷體" w:eastAsia="標楷體" w:hAnsi="標楷體" w:hint="eastAsia"/>
        </w:rPr>
        <w:t>建置</w:t>
      </w:r>
      <w:r w:rsidRPr="00E90DB5">
        <w:rPr>
          <w:rFonts w:ascii="標楷體" w:eastAsia="標楷體" w:hAnsi="標楷體" w:hint="eastAsia"/>
        </w:rPr>
        <w:t>專屬U－Sport APP發放運動抵用金及運動集點（下稱U幣，</w:t>
      </w:r>
      <w:r w:rsidRPr="00EA3715">
        <w:rPr>
          <w:rFonts w:ascii="標楷體" w:eastAsia="標楷體" w:hAnsi="標楷體" w:hint="eastAsia"/>
          <w:spacing w:val="30"/>
        </w:rPr>
        <w:t>每1U</w:t>
      </w:r>
      <w:r w:rsidRPr="00EA3715">
        <w:rPr>
          <w:rFonts w:ascii="標楷體" w:eastAsia="標楷體" w:hAnsi="標楷體" w:hint="eastAsia"/>
        </w:rPr>
        <w:t>幣</w:t>
      </w:r>
      <w:r w:rsidRPr="00E90DB5">
        <w:rPr>
          <w:rFonts w:ascii="標楷體" w:eastAsia="標楷體" w:hAnsi="標楷體" w:hint="eastAsia"/>
        </w:rPr>
        <w:t>可兌換新臺幣1元），提供市民至合作</w:t>
      </w:r>
      <w:proofErr w:type="gramStart"/>
      <w:r w:rsidRPr="00E90DB5">
        <w:rPr>
          <w:rFonts w:ascii="標楷體" w:eastAsia="標楷體" w:hAnsi="標楷體" w:hint="eastAsia"/>
        </w:rPr>
        <w:t>場館抵用</w:t>
      </w:r>
      <w:proofErr w:type="gramEnd"/>
      <w:r w:rsidRPr="00E90DB5">
        <w:rPr>
          <w:rFonts w:ascii="標楷體" w:eastAsia="標楷體" w:hAnsi="標楷體" w:hint="eastAsia"/>
        </w:rPr>
        <w:t>單次入場、場地租借及課程費用外，U幣亦可轉換</w:t>
      </w:r>
      <w:proofErr w:type="gramStart"/>
      <w:r w:rsidRPr="00E90DB5">
        <w:rPr>
          <w:rFonts w:ascii="標楷體" w:eastAsia="標楷體" w:hAnsi="標楷體" w:hint="eastAsia"/>
        </w:rPr>
        <w:t>為悠遊卡儲值金</w:t>
      </w:r>
      <w:proofErr w:type="gramEnd"/>
      <w:r w:rsidRPr="00E90DB5">
        <w:rPr>
          <w:rFonts w:ascii="標楷體" w:eastAsia="標楷體" w:hAnsi="標楷體" w:hint="eastAsia"/>
        </w:rPr>
        <w:t>或第三方平臺電子票</w:t>
      </w:r>
      <w:proofErr w:type="gramStart"/>
      <w:r w:rsidRPr="00E90DB5">
        <w:rPr>
          <w:rFonts w:ascii="標楷體" w:eastAsia="標楷體" w:hAnsi="標楷體" w:hint="eastAsia"/>
        </w:rPr>
        <w:t>券</w:t>
      </w:r>
      <w:proofErr w:type="gramEnd"/>
      <w:r w:rsidRPr="00E90DB5">
        <w:rPr>
          <w:rFonts w:ascii="標楷體" w:eastAsia="標楷體" w:hAnsi="標楷體" w:hint="eastAsia"/>
        </w:rPr>
        <w:t>等，</w:t>
      </w:r>
      <w:r>
        <w:rPr>
          <w:rFonts w:ascii="標楷體" w:eastAsia="標楷體" w:hAnsi="標楷體" w:hint="eastAsia"/>
        </w:rPr>
        <w:t>另</w:t>
      </w:r>
      <w:r w:rsidRPr="00E90DB5">
        <w:rPr>
          <w:rFonts w:ascii="標楷體" w:eastAsia="標楷體" w:hAnsi="標楷體" w:hint="eastAsia"/>
        </w:rPr>
        <w:t>結合各公民營場館及相關賽事、活動執行，期逐年提升臺北市規律運動人口比率，</w:t>
      </w:r>
      <w:r>
        <w:rPr>
          <w:rFonts w:ascii="標楷體" w:eastAsia="標楷體" w:hAnsi="標楷體" w:hint="eastAsia"/>
        </w:rPr>
        <w:t>並</w:t>
      </w:r>
      <w:r w:rsidRPr="00E90DB5">
        <w:rPr>
          <w:rFonts w:ascii="標楷體" w:eastAsia="標楷體" w:hAnsi="標楷體" w:hint="eastAsia"/>
        </w:rPr>
        <w:t>振興臺北市運動產業。經查執行情形，核有：（1）本處前抽查該局</w:t>
      </w:r>
      <w:proofErr w:type="gramStart"/>
      <w:r w:rsidRPr="00E90DB5">
        <w:rPr>
          <w:rFonts w:ascii="標楷體" w:eastAsia="標楷體" w:hAnsi="標楷體" w:hint="eastAsia"/>
        </w:rPr>
        <w:t>112</w:t>
      </w:r>
      <w:proofErr w:type="gramEnd"/>
      <w:r w:rsidRPr="00E90DB5">
        <w:rPr>
          <w:rFonts w:ascii="標楷體" w:eastAsia="標楷體" w:hAnsi="標楷體" w:hint="eastAsia"/>
        </w:rPr>
        <w:t>年度財務收支及決算時，曾就該局創新辦理U－Sport計畫，推展提升市民運動風氣，惟實際參與運動</w:t>
      </w:r>
      <w:proofErr w:type="gramStart"/>
      <w:r w:rsidRPr="00E90DB5">
        <w:rPr>
          <w:rFonts w:ascii="標楷體" w:eastAsia="標楷體" w:hAnsi="標楷體" w:hint="eastAsia"/>
        </w:rPr>
        <w:t>集兌點</w:t>
      </w:r>
      <w:proofErr w:type="gramEnd"/>
      <w:r w:rsidRPr="00E90DB5">
        <w:rPr>
          <w:rFonts w:ascii="標楷體" w:eastAsia="標楷體" w:hAnsi="標楷體" w:hint="eastAsia"/>
        </w:rPr>
        <w:t>人數偏低，預算執行率僅</w:t>
      </w:r>
      <w:proofErr w:type="gramStart"/>
      <w:r w:rsidRPr="00E90DB5">
        <w:rPr>
          <w:rFonts w:ascii="標楷體" w:eastAsia="標楷體" w:hAnsi="標楷體" w:hint="eastAsia"/>
        </w:rPr>
        <w:t>5成</w:t>
      </w:r>
      <w:proofErr w:type="gramEnd"/>
      <w:r w:rsidRPr="00E90DB5">
        <w:rPr>
          <w:rFonts w:ascii="標楷體" w:eastAsia="標楷體" w:hAnsi="標楷體" w:hint="eastAsia"/>
        </w:rPr>
        <w:t>餘，未達預期目標1節，函請注意</w:t>
      </w:r>
      <w:proofErr w:type="gramStart"/>
      <w:r w:rsidRPr="00E90DB5">
        <w:rPr>
          <w:rFonts w:ascii="標楷體" w:eastAsia="標楷體" w:hAnsi="標楷體" w:hint="eastAsia"/>
        </w:rPr>
        <w:t>研</w:t>
      </w:r>
      <w:proofErr w:type="gramEnd"/>
      <w:r w:rsidRPr="00E90DB5">
        <w:rPr>
          <w:rFonts w:ascii="標楷體" w:eastAsia="標楷體" w:hAnsi="標楷體" w:hint="eastAsia"/>
        </w:rPr>
        <w:t>謀改善。據復：</w:t>
      </w:r>
      <w:proofErr w:type="gramStart"/>
      <w:r w:rsidRPr="00E90DB5">
        <w:rPr>
          <w:rFonts w:ascii="標楷體" w:eastAsia="標楷體" w:hAnsi="標楷體" w:hint="eastAsia"/>
        </w:rPr>
        <w:t>113</w:t>
      </w:r>
      <w:proofErr w:type="gramEnd"/>
      <w:r w:rsidRPr="00E90DB5">
        <w:rPr>
          <w:rFonts w:ascii="標楷體" w:eastAsia="標楷體" w:hAnsi="標楷體" w:hint="eastAsia"/>
        </w:rPr>
        <w:t>年度將調整為長期申辦、新增納入民營業者為合作場館，並預計於6月起規劃多項任務挑戰、增加U</w:t>
      </w:r>
      <w:proofErr w:type="gramStart"/>
      <w:r w:rsidRPr="00E90DB5">
        <w:rPr>
          <w:rFonts w:ascii="標楷體" w:eastAsia="標楷體" w:hAnsi="標楷體" w:hint="eastAsia"/>
        </w:rPr>
        <w:t>幣可應用</w:t>
      </w:r>
      <w:proofErr w:type="gramEnd"/>
    </w:p>
    <w:p w14:paraId="57CA36CB" w14:textId="0A4D6624" w:rsidR="00B8091B" w:rsidRDefault="00406878" w:rsidP="0021733C">
      <w:pPr>
        <w:widowControl/>
        <w:overflowPunct w:val="0"/>
        <w:autoSpaceDE w:val="0"/>
        <w:autoSpaceDN w:val="0"/>
        <w:spacing w:beforeLines="20" w:before="72" w:line="480" w:lineRule="exact"/>
        <w:jc w:val="both"/>
        <w:rPr>
          <w:rFonts w:ascii="標楷體" w:eastAsia="標楷體" w:hAnsi="標楷體"/>
        </w:rPr>
      </w:pPr>
      <w:r w:rsidRPr="00E90DB5">
        <w:rPr>
          <w:rFonts w:ascii="標楷體" w:eastAsia="標楷體" w:hAnsi="標楷體" w:hint="eastAsia"/>
        </w:rPr>
        <w:lastRenderedPageBreak/>
        <w:t>範圍，及透過多元管道加強宣傳，</w:t>
      </w:r>
      <w:proofErr w:type="gramStart"/>
      <w:r w:rsidRPr="00E90DB5">
        <w:rPr>
          <w:rFonts w:ascii="標楷體" w:eastAsia="標楷體" w:hAnsi="標楷體" w:hint="eastAsia"/>
        </w:rPr>
        <w:t>俾</w:t>
      </w:r>
      <w:proofErr w:type="gramEnd"/>
      <w:r w:rsidRPr="00E90DB5">
        <w:rPr>
          <w:rFonts w:ascii="標楷體" w:eastAsia="標楷體" w:hAnsi="標楷體" w:hint="eastAsia"/>
        </w:rPr>
        <w:t>提升市民活動參與率及使用意願。案經追蹤覆核結果，</w:t>
      </w:r>
      <w:proofErr w:type="gramStart"/>
      <w:r w:rsidRPr="00E90DB5">
        <w:rPr>
          <w:rFonts w:ascii="標楷體" w:eastAsia="標楷體" w:hAnsi="標楷體" w:hint="eastAsia"/>
        </w:rPr>
        <w:t>113</w:t>
      </w:r>
      <w:proofErr w:type="gramEnd"/>
      <w:r w:rsidRPr="00E90DB5">
        <w:rPr>
          <w:rFonts w:ascii="標楷體" w:eastAsia="標楷體" w:hAnsi="標楷體" w:hint="eastAsia"/>
        </w:rPr>
        <w:t>年度U－Sport計畫已吸引94,008名</w:t>
      </w:r>
      <w:proofErr w:type="gramStart"/>
      <w:r w:rsidRPr="004E6C66">
        <w:rPr>
          <w:rFonts w:ascii="標楷體" w:eastAsia="標楷體" w:hAnsi="標楷體" w:hint="eastAsia"/>
        </w:rPr>
        <w:t>臺北市民至專屬</w:t>
      </w:r>
      <w:proofErr w:type="gramEnd"/>
      <w:r w:rsidRPr="004E6C66">
        <w:rPr>
          <w:rFonts w:ascii="標楷體" w:eastAsia="標楷體" w:hAnsi="標楷體" w:hint="eastAsia"/>
        </w:rPr>
        <w:t>APP註冊成為會員，惟其中曾於活動期間內前往合作場館入場運動，並領取首次運動</w:t>
      </w:r>
      <w:r w:rsidRPr="00746D50">
        <w:rPr>
          <w:rFonts w:ascii="標楷體" w:eastAsia="標楷體" w:hAnsi="標楷體" w:hint="eastAsia"/>
          <w:spacing w:val="20"/>
        </w:rPr>
        <w:t>30U</w:t>
      </w:r>
      <w:r w:rsidRPr="004E6C66">
        <w:rPr>
          <w:rFonts w:ascii="標楷體" w:eastAsia="標楷體" w:hAnsi="標楷體" w:hint="eastAsia"/>
        </w:rPr>
        <w:t>幣獎勵者，僅有50,256人，占會員總數之53.46％，</w:t>
      </w:r>
    </w:p>
    <w:p w14:paraId="0427E46E" w14:textId="48E5DA78" w:rsidR="00406878" w:rsidRPr="00474EFC" w:rsidRDefault="00406878" w:rsidP="00C25DC6">
      <w:pPr>
        <w:widowControl/>
        <w:overflowPunct w:val="0"/>
        <w:autoSpaceDE w:val="0"/>
        <w:autoSpaceDN w:val="0"/>
        <w:spacing w:line="464" w:lineRule="exact"/>
        <w:jc w:val="both"/>
        <w:rPr>
          <w:rFonts w:ascii="標楷體" w:eastAsia="標楷體" w:hAnsi="標楷體" w:cs="新細明體"/>
          <w:color w:val="000000" w:themeColor="text1"/>
          <w:kern w:val="0"/>
          <w:szCs w:val="24"/>
          <w:highlight w:val="yellow"/>
        </w:rPr>
      </w:pPr>
      <w:r w:rsidRPr="004E6C66">
        <w:rPr>
          <w:rFonts w:ascii="標楷體" w:eastAsia="標楷體" w:hAnsi="標楷體" w:hint="eastAsia"/>
        </w:rPr>
        <w:t>仍有</w:t>
      </w:r>
      <w:proofErr w:type="gramStart"/>
      <w:r w:rsidRPr="004E6C66">
        <w:rPr>
          <w:rFonts w:ascii="標楷體" w:eastAsia="標楷體" w:hAnsi="標楷體" w:hint="eastAsia"/>
        </w:rPr>
        <w:t>4成</w:t>
      </w:r>
      <w:proofErr w:type="gramEnd"/>
      <w:r w:rsidRPr="004E6C66">
        <w:rPr>
          <w:rFonts w:ascii="標楷體" w:eastAsia="標楷體" w:hAnsi="標楷體" w:hint="eastAsia"/>
        </w:rPr>
        <w:t>6以上市民會員未曾入館運動，亟待激勵建立運動習慣；另查該計畫針對目標族群23至64歲市民限量發放1,500元運動抵用金及加碼贈送1,000元運動抵用金共7</w:t>
      </w:r>
      <w:r w:rsidRPr="004E6C66">
        <w:rPr>
          <w:rFonts w:ascii="標楷體" w:eastAsia="標楷體" w:hAnsi="標楷體"/>
        </w:rPr>
        <w:t>5,939</w:t>
      </w:r>
      <w:r w:rsidRPr="004E6C66">
        <w:rPr>
          <w:rFonts w:ascii="標楷體" w:eastAsia="標楷體" w:hAnsi="標楷體" w:hint="eastAsia"/>
        </w:rPr>
        <w:t>份，</w:t>
      </w:r>
      <w:r w:rsidRPr="00E90DB5">
        <w:rPr>
          <w:rFonts w:ascii="標楷體" w:eastAsia="標楷體" w:hAnsi="標楷體" w:hint="eastAsia"/>
        </w:rPr>
        <w:t>其中</w:t>
      </w:r>
      <w:r>
        <w:rPr>
          <w:rFonts w:ascii="標楷體" w:eastAsia="標楷體" w:hAnsi="標楷體" w:hint="eastAsia"/>
        </w:rPr>
        <w:t>領取人</w:t>
      </w:r>
      <w:r w:rsidRPr="00E90DB5">
        <w:rPr>
          <w:rFonts w:ascii="標楷體" w:eastAsia="標楷體" w:hAnsi="標楷體" w:hint="eastAsia"/>
        </w:rPr>
        <w:t>於</w:t>
      </w:r>
      <w:proofErr w:type="gramStart"/>
      <w:r w:rsidRPr="00E90DB5">
        <w:rPr>
          <w:rFonts w:ascii="標楷體" w:eastAsia="標楷體" w:hAnsi="標楷體" w:hint="eastAsia"/>
        </w:rPr>
        <w:t>活動期間均未抵</w:t>
      </w:r>
      <w:proofErr w:type="gramEnd"/>
      <w:r w:rsidRPr="00E90DB5">
        <w:rPr>
          <w:rFonts w:ascii="標楷體" w:eastAsia="標楷體" w:hAnsi="標楷體" w:hint="eastAsia"/>
        </w:rPr>
        <w:t>用者，分別計有17,941人及1,664人，占全部領用者（60,193人）之29.81％及全部加碼者（15,746人）之10.57％，未抵用人數比率雖較</w:t>
      </w:r>
      <w:proofErr w:type="gramStart"/>
      <w:r w:rsidRPr="00E90DB5">
        <w:rPr>
          <w:rFonts w:ascii="標楷體" w:eastAsia="標楷體" w:hAnsi="標楷體" w:hint="eastAsia"/>
        </w:rPr>
        <w:t>112</w:t>
      </w:r>
      <w:proofErr w:type="gramEnd"/>
      <w:r w:rsidRPr="00E90DB5">
        <w:rPr>
          <w:rFonts w:ascii="標楷體" w:eastAsia="標楷體" w:hAnsi="標楷體" w:hint="eastAsia"/>
        </w:rPr>
        <w:t>年度（48.79％及16.48％）降低，惟實際抵用金額7,103萬餘元，僅占發放金額1億603萬餘元之66.99％，抵用率仍低，</w:t>
      </w:r>
      <w:r>
        <w:rPr>
          <w:rFonts w:ascii="標楷體" w:eastAsia="標楷體" w:hAnsi="標楷體" w:hint="eastAsia"/>
        </w:rPr>
        <w:t>尚</w:t>
      </w:r>
      <w:r w:rsidRPr="00E90DB5">
        <w:rPr>
          <w:rFonts w:ascii="標楷體" w:eastAsia="標楷體" w:hAnsi="標楷體" w:hint="eastAsia"/>
        </w:rPr>
        <w:t>未能有效</w:t>
      </w:r>
      <w:proofErr w:type="gramStart"/>
      <w:r w:rsidRPr="00E90DB5">
        <w:rPr>
          <w:rFonts w:ascii="標楷體" w:eastAsia="標楷體" w:hAnsi="標楷體" w:hint="eastAsia"/>
        </w:rPr>
        <w:t>誘</w:t>
      </w:r>
      <w:proofErr w:type="gramEnd"/>
      <w:r w:rsidRPr="00E90DB5">
        <w:rPr>
          <w:rFonts w:ascii="標楷體" w:eastAsia="標楷體" w:hAnsi="標楷體" w:hint="eastAsia"/>
        </w:rPr>
        <w:t>使目標族群充分運用抵用金；（2）</w:t>
      </w:r>
      <w:r w:rsidRPr="002922DE">
        <w:rPr>
          <w:rFonts w:ascii="標楷體" w:eastAsia="標楷體" w:hAnsi="標楷體" w:hint="eastAsia"/>
        </w:rPr>
        <w:t>該局為促使合作場館積極參與該計畫，除提供合作場館收款5％</w:t>
      </w:r>
      <w:proofErr w:type="gramStart"/>
      <w:r w:rsidRPr="002922DE">
        <w:rPr>
          <w:rFonts w:ascii="標楷體" w:eastAsia="標楷體" w:hAnsi="標楷體" w:hint="eastAsia"/>
        </w:rPr>
        <w:t>回饋金外</w:t>
      </w:r>
      <w:proofErr w:type="gramEnd"/>
      <w:r w:rsidRPr="002922DE">
        <w:rPr>
          <w:rFonts w:ascii="標楷體" w:eastAsia="標楷體" w:hAnsi="標楷體" w:hint="eastAsia"/>
        </w:rPr>
        <w:t>，另就公、民營合作場館累積收受點數前3名及前5名，額外頒發1萬元至6萬元不等之收點王獎金，惟</w:t>
      </w:r>
      <w:r>
        <w:rPr>
          <w:rFonts w:ascii="標楷體" w:eastAsia="標楷體" w:hAnsi="標楷體" w:hint="eastAsia"/>
        </w:rPr>
        <w:t>因</w:t>
      </w:r>
      <w:r w:rsidRPr="002922DE">
        <w:rPr>
          <w:rFonts w:ascii="標楷體" w:eastAsia="標楷體" w:hAnsi="標楷體" w:hint="eastAsia"/>
        </w:rPr>
        <w:t>該局未</w:t>
      </w:r>
      <w:r>
        <w:rPr>
          <w:rFonts w:ascii="標楷體" w:eastAsia="標楷體" w:hAnsi="標楷體" w:hint="eastAsia"/>
        </w:rPr>
        <w:t>周詳</w:t>
      </w:r>
      <w:r w:rsidRPr="002922DE">
        <w:rPr>
          <w:rFonts w:ascii="標楷體" w:eastAsia="標楷體" w:hAnsi="標楷體" w:hint="eastAsia"/>
        </w:rPr>
        <w:t>考量民營業者經營規模間之差異性，並妥為訂定獎勵規則，肇致該獎金制度實施結果，民營組前</w:t>
      </w:r>
      <w:proofErr w:type="gramStart"/>
      <w:r w:rsidRPr="002922DE">
        <w:rPr>
          <w:rFonts w:ascii="標楷體" w:eastAsia="標楷體" w:hAnsi="標楷體" w:hint="eastAsia"/>
        </w:rPr>
        <w:t>5名均由連鎖</w:t>
      </w:r>
      <w:proofErr w:type="gramEnd"/>
      <w:r w:rsidRPr="002922DE">
        <w:rPr>
          <w:rFonts w:ascii="標楷體" w:eastAsia="標楷體" w:hAnsi="標楷體" w:hint="eastAsia"/>
        </w:rPr>
        <w:t>業者包辦，且第5名收受點數80萬餘元，</w:t>
      </w:r>
      <w:proofErr w:type="gramStart"/>
      <w:r w:rsidRPr="002922DE">
        <w:rPr>
          <w:rFonts w:ascii="標楷體" w:eastAsia="標楷體" w:hAnsi="標楷體" w:hint="eastAsia"/>
        </w:rPr>
        <w:t>較非連鎖</w:t>
      </w:r>
      <w:proofErr w:type="gramEnd"/>
      <w:r w:rsidRPr="002922DE">
        <w:rPr>
          <w:rFonts w:ascii="標楷體" w:eastAsia="標楷體" w:hAnsi="標楷體" w:hint="eastAsia"/>
        </w:rPr>
        <w:t>業者收受點數最高者57萬餘點，大幅領先22萬餘點，非連鎖業者實難以</w:t>
      </w:r>
      <w:r>
        <w:rPr>
          <w:rFonts w:ascii="標楷體" w:eastAsia="標楷體" w:hAnsi="標楷體" w:hint="eastAsia"/>
        </w:rPr>
        <w:t>獲得</w:t>
      </w:r>
      <w:r w:rsidRPr="002922DE">
        <w:rPr>
          <w:rFonts w:ascii="標楷體" w:eastAsia="標楷體" w:hAnsi="標楷體" w:hint="eastAsia"/>
        </w:rPr>
        <w:t>該獎勵</w:t>
      </w:r>
      <w:r>
        <w:rPr>
          <w:rFonts w:ascii="標楷體" w:eastAsia="標楷體" w:hAnsi="標楷體" w:hint="eastAsia"/>
        </w:rPr>
        <w:t>金</w:t>
      </w:r>
      <w:r w:rsidRPr="002922DE">
        <w:rPr>
          <w:rFonts w:ascii="標楷體" w:eastAsia="標楷體" w:hAnsi="標楷體" w:hint="eastAsia"/>
        </w:rPr>
        <w:t>；</w:t>
      </w:r>
      <w:r w:rsidRPr="00E90DB5">
        <w:rPr>
          <w:rFonts w:ascii="標楷體" w:eastAsia="標楷體" w:hAnsi="標楷體" w:hint="eastAsia"/>
        </w:rPr>
        <w:t>（3）該局為簡化並整合</w:t>
      </w:r>
      <w:proofErr w:type="gramStart"/>
      <w:r w:rsidRPr="00E90DB5">
        <w:rPr>
          <w:rFonts w:ascii="標楷體" w:eastAsia="標楷體" w:hAnsi="標楷體" w:hint="eastAsia"/>
        </w:rPr>
        <w:t>113</w:t>
      </w:r>
      <w:proofErr w:type="gramEnd"/>
      <w:r w:rsidRPr="00E90DB5">
        <w:rPr>
          <w:rFonts w:ascii="標楷體" w:eastAsia="標楷體" w:hAnsi="標楷體" w:hint="eastAsia"/>
        </w:rPr>
        <w:t>年度U－Sport計畫之單一入口，提供市民、合作場館及市府相關局處利用跨平</w:t>
      </w:r>
      <w:proofErr w:type="gramStart"/>
      <w:r w:rsidRPr="00E90DB5">
        <w:rPr>
          <w:rFonts w:ascii="標楷體" w:eastAsia="標楷體" w:hAnsi="標楷體" w:hint="eastAsia"/>
        </w:rPr>
        <w:t>臺</w:t>
      </w:r>
      <w:proofErr w:type="gramEnd"/>
      <w:r w:rsidRPr="00E90DB5">
        <w:rPr>
          <w:rFonts w:ascii="標楷體" w:eastAsia="標楷體" w:hAnsi="標楷體" w:hint="eastAsia"/>
        </w:rPr>
        <w:t>網頁瀏覽器及行動載具等，獲取各面向服務及良好之使用者體驗，並透過數據分析提供專案檢討及政策建議，</w:t>
      </w:r>
      <w:r>
        <w:rPr>
          <w:rFonts w:ascii="標楷體" w:eastAsia="標楷體" w:hAnsi="標楷體" w:hint="eastAsia"/>
        </w:rPr>
        <w:t>於112年12月</w:t>
      </w:r>
      <w:proofErr w:type="gramStart"/>
      <w:r>
        <w:rPr>
          <w:rFonts w:ascii="標楷體" w:eastAsia="標楷體" w:hAnsi="標楷體" w:hint="eastAsia"/>
        </w:rPr>
        <w:t>採</w:t>
      </w:r>
      <w:proofErr w:type="gramEnd"/>
      <w:r>
        <w:rPr>
          <w:rFonts w:ascii="標楷體" w:eastAsia="標楷體" w:hAnsi="標楷體" w:hint="eastAsia"/>
        </w:rPr>
        <w:t>限制性招標方式，</w:t>
      </w:r>
      <w:r w:rsidRPr="00E90DB5">
        <w:rPr>
          <w:rFonts w:ascii="標楷體" w:eastAsia="標楷體" w:hAnsi="標楷體" w:hint="eastAsia"/>
        </w:rPr>
        <w:t>委外開發建置</w:t>
      </w:r>
      <w:r>
        <w:rPr>
          <w:rFonts w:ascii="標楷體" w:eastAsia="標楷體" w:hAnsi="標楷體" w:hint="eastAsia"/>
        </w:rPr>
        <w:t>及維護</w:t>
      </w:r>
      <w:r w:rsidRPr="00E90DB5">
        <w:rPr>
          <w:rFonts w:ascii="標楷體" w:eastAsia="標楷體" w:hAnsi="標楷體" w:hint="eastAsia"/>
        </w:rPr>
        <w:t>U－Sport</w:t>
      </w:r>
      <w:proofErr w:type="gramStart"/>
      <w:r w:rsidRPr="00E90DB5">
        <w:rPr>
          <w:rFonts w:ascii="標楷體" w:eastAsia="標楷體" w:hAnsi="標楷體" w:hint="eastAsia"/>
        </w:rPr>
        <w:t>臺北樂</w:t>
      </w:r>
      <w:proofErr w:type="gramEnd"/>
      <w:r w:rsidRPr="00E90DB5">
        <w:rPr>
          <w:rFonts w:ascii="標楷體" w:eastAsia="標楷體" w:hAnsi="標楷體" w:hint="eastAsia"/>
        </w:rPr>
        <w:t>運動系統（含相關資訊平</w:t>
      </w:r>
      <w:proofErr w:type="gramStart"/>
      <w:r w:rsidRPr="00E90DB5">
        <w:rPr>
          <w:rFonts w:ascii="標楷體" w:eastAsia="標楷體" w:hAnsi="標楷體" w:hint="eastAsia"/>
        </w:rPr>
        <w:t>臺</w:t>
      </w:r>
      <w:proofErr w:type="gramEnd"/>
      <w:r w:rsidRPr="00E90DB5">
        <w:rPr>
          <w:rFonts w:ascii="標楷體" w:eastAsia="標楷體" w:hAnsi="標楷體" w:hint="eastAsia"/>
        </w:rPr>
        <w:t>前後</w:t>
      </w:r>
      <w:proofErr w:type="gramStart"/>
      <w:r w:rsidRPr="00E90DB5">
        <w:rPr>
          <w:rFonts w:ascii="標楷體" w:eastAsia="標楷體" w:hAnsi="標楷體" w:hint="eastAsia"/>
        </w:rPr>
        <w:t>臺</w:t>
      </w:r>
      <w:proofErr w:type="gramEnd"/>
      <w:r w:rsidRPr="00E90DB5">
        <w:rPr>
          <w:rFonts w:ascii="標楷體" w:eastAsia="標楷體" w:hAnsi="標楷體" w:hint="eastAsia"/>
        </w:rPr>
        <w:t>及行動載具APP），</w:t>
      </w:r>
      <w:r>
        <w:rPr>
          <w:rFonts w:ascii="標楷體" w:eastAsia="標楷體" w:hAnsi="標楷體" w:hint="eastAsia"/>
        </w:rPr>
        <w:t>決標金額870萬元，</w:t>
      </w:r>
      <w:proofErr w:type="gramStart"/>
      <w:r>
        <w:rPr>
          <w:rFonts w:ascii="標楷體" w:eastAsia="標楷體" w:hAnsi="標楷體" w:hint="eastAsia"/>
        </w:rPr>
        <w:t>嗣</w:t>
      </w:r>
      <w:proofErr w:type="gramEnd"/>
      <w:r>
        <w:rPr>
          <w:rFonts w:ascii="標楷體" w:eastAsia="標楷體" w:hAnsi="標楷體" w:hint="eastAsia"/>
        </w:rPr>
        <w:t>於113年4月17日完成該系統建置並正式上線開放業者及民眾使用，惟</w:t>
      </w:r>
      <w:proofErr w:type="gramStart"/>
      <w:r>
        <w:rPr>
          <w:rFonts w:ascii="標楷體" w:eastAsia="標楷體" w:hAnsi="標楷體" w:hint="eastAsia"/>
        </w:rPr>
        <w:t>未依資通</w:t>
      </w:r>
      <w:proofErr w:type="gramEnd"/>
      <w:r>
        <w:rPr>
          <w:rFonts w:ascii="標楷體" w:eastAsia="標楷體" w:hAnsi="標楷體" w:hint="eastAsia"/>
        </w:rPr>
        <w:t>安全管理法及其施行細則相關規定將該系統</w:t>
      </w:r>
      <w:r w:rsidRPr="00E90DB5">
        <w:rPr>
          <w:rFonts w:ascii="標楷體" w:eastAsia="標楷體" w:hAnsi="標楷體" w:hint="eastAsia"/>
        </w:rPr>
        <w:t>盤點</w:t>
      </w:r>
      <w:r>
        <w:rPr>
          <w:rFonts w:ascii="標楷體" w:eastAsia="標楷體" w:hAnsi="標楷體" w:hint="eastAsia"/>
        </w:rPr>
        <w:t>列</w:t>
      </w:r>
      <w:r w:rsidRPr="00E90DB5">
        <w:rPr>
          <w:rFonts w:ascii="標楷體" w:eastAsia="標楷體" w:hAnsi="標楷體" w:hint="eastAsia"/>
        </w:rPr>
        <w:t>入核心資通系統，</w:t>
      </w:r>
      <w:r>
        <w:rPr>
          <w:rFonts w:ascii="標楷體" w:eastAsia="標楷體" w:hAnsi="標楷體" w:hint="eastAsia"/>
        </w:rPr>
        <w:t>並據以</w:t>
      </w:r>
      <w:r w:rsidRPr="00E90DB5">
        <w:rPr>
          <w:rFonts w:ascii="標楷體" w:eastAsia="標楷體" w:hAnsi="標楷體" w:hint="eastAsia"/>
        </w:rPr>
        <w:t>導入適當系統防護及控制措施</w:t>
      </w:r>
      <w:r>
        <w:rPr>
          <w:rFonts w:ascii="標楷體" w:eastAsia="標楷體" w:hAnsi="標楷體" w:hint="eastAsia"/>
        </w:rPr>
        <w:t>，未能確保資訊安全管理品質，且該局</w:t>
      </w:r>
      <w:r w:rsidRPr="00E90DB5">
        <w:rPr>
          <w:rFonts w:ascii="標楷體" w:eastAsia="標楷體" w:hAnsi="標楷體" w:hint="eastAsia"/>
        </w:rPr>
        <w:t>為審查參與</w:t>
      </w:r>
      <w:r>
        <w:rPr>
          <w:rFonts w:ascii="標楷體" w:eastAsia="標楷體" w:hAnsi="標楷體" w:hint="eastAsia"/>
        </w:rPr>
        <w:t>該</w:t>
      </w:r>
      <w:r w:rsidRPr="00E90DB5">
        <w:rPr>
          <w:rFonts w:ascii="標楷體" w:eastAsia="標楷體" w:hAnsi="標楷體" w:hint="eastAsia"/>
        </w:rPr>
        <w:t>計畫</w:t>
      </w:r>
      <w:r>
        <w:rPr>
          <w:rFonts w:ascii="標楷體" w:eastAsia="標楷體" w:hAnsi="標楷體" w:hint="eastAsia"/>
        </w:rPr>
        <w:t>之</w:t>
      </w:r>
      <w:r w:rsidRPr="00E90DB5">
        <w:rPr>
          <w:rFonts w:ascii="標楷體" w:eastAsia="標楷體" w:hAnsi="標楷體" w:hint="eastAsia"/>
        </w:rPr>
        <w:t>民眾是否符合市民</w:t>
      </w:r>
      <w:r>
        <w:rPr>
          <w:rFonts w:ascii="標楷體" w:eastAsia="標楷體" w:hAnsi="標楷體" w:hint="eastAsia"/>
        </w:rPr>
        <w:t>及</w:t>
      </w:r>
      <w:r w:rsidRPr="00E90DB5">
        <w:rPr>
          <w:rFonts w:ascii="標楷體" w:eastAsia="標楷體" w:hAnsi="標楷體" w:hint="eastAsia"/>
        </w:rPr>
        <w:t>領取運動抵用金之年齡資格等事項，</w:t>
      </w:r>
      <w:r>
        <w:rPr>
          <w:rFonts w:ascii="標楷體" w:eastAsia="標楷體" w:hAnsi="標楷體" w:hint="eastAsia"/>
        </w:rPr>
        <w:t>連結使用戶役政資料情形，</w:t>
      </w:r>
      <w:proofErr w:type="gramStart"/>
      <w:r>
        <w:rPr>
          <w:rFonts w:ascii="標楷體" w:eastAsia="標楷體" w:hAnsi="標楷體" w:hint="eastAsia"/>
        </w:rPr>
        <w:t>亦間有部分</w:t>
      </w:r>
      <w:proofErr w:type="gramEnd"/>
      <w:r>
        <w:rPr>
          <w:rFonts w:ascii="標楷體" w:eastAsia="標楷體" w:hAnsi="標楷體" w:hint="eastAsia"/>
        </w:rPr>
        <w:t>案件已結案</w:t>
      </w:r>
      <w:proofErr w:type="gramStart"/>
      <w:r>
        <w:rPr>
          <w:rFonts w:ascii="標楷體" w:eastAsia="標楷體" w:hAnsi="標楷體" w:hint="eastAsia"/>
        </w:rPr>
        <w:t>多時，</w:t>
      </w:r>
      <w:proofErr w:type="gramEnd"/>
      <w:r>
        <w:rPr>
          <w:rFonts w:ascii="標楷體" w:eastAsia="標楷體" w:hAnsi="標楷體" w:hint="eastAsia"/>
        </w:rPr>
        <w:t>卻未依規定檢討辦理銷毀事宜，或內部稽核</w:t>
      </w:r>
      <w:r w:rsidRPr="00E90DB5">
        <w:rPr>
          <w:rFonts w:ascii="標楷體" w:eastAsia="標楷體" w:hAnsi="標楷體" w:hint="eastAsia"/>
        </w:rPr>
        <w:t>頻率不符規定等情</w:t>
      </w:r>
      <w:r>
        <w:rPr>
          <w:rFonts w:ascii="標楷體" w:eastAsia="標楷體" w:hAnsi="標楷體" w:hint="eastAsia"/>
        </w:rPr>
        <w:t>事</w:t>
      </w:r>
      <w:r w:rsidRPr="00E90DB5">
        <w:rPr>
          <w:rFonts w:ascii="標楷體" w:eastAsia="標楷體" w:hAnsi="標楷體" w:hint="eastAsia"/>
        </w:rPr>
        <w:t>，經函請檢討改善。據復</w:t>
      </w:r>
      <w:r w:rsidRPr="00C00086">
        <w:rPr>
          <w:rFonts w:ascii="標楷體" w:eastAsia="標楷體" w:hAnsi="標楷體" w:hint="eastAsia"/>
        </w:rPr>
        <w:t>：（1）</w:t>
      </w:r>
      <w:r w:rsidRPr="00EA2AFB">
        <w:rPr>
          <w:rFonts w:ascii="標楷體" w:eastAsia="標楷體" w:hAnsi="標楷體" w:hint="eastAsia"/>
        </w:rPr>
        <w:t>為提升點數流通率，</w:t>
      </w:r>
      <w:proofErr w:type="gramStart"/>
      <w:r w:rsidRPr="00EA2AFB">
        <w:rPr>
          <w:rFonts w:ascii="標楷體" w:eastAsia="標楷體" w:hAnsi="標楷體" w:hint="eastAsia"/>
        </w:rPr>
        <w:t>114</w:t>
      </w:r>
      <w:proofErr w:type="gramEnd"/>
      <w:r w:rsidRPr="00EA2AFB">
        <w:rPr>
          <w:rFonts w:ascii="標楷體" w:eastAsia="標楷體" w:hAnsi="標楷體" w:hint="eastAsia"/>
        </w:rPr>
        <w:t>年度已新增運動抵用金收回功能，若領</w:t>
      </w:r>
      <w:r>
        <w:rPr>
          <w:rFonts w:ascii="標楷體" w:eastAsia="標楷體" w:hAnsi="標楷體" w:hint="eastAsia"/>
        </w:rPr>
        <w:t>取人至</w:t>
      </w:r>
      <w:proofErr w:type="gramStart"/>
      <w:r w:rsidRPr="00EA2AFB">
        <w:rPr>
          <w:rFonts w:ascii="標楷體" w:eastAsia="標楷體" w:hAnsi="標楷體" w:hint="eastAsia"/>
        </w:rPr>
        <w:t>6月底前均未進行</w:t>
      </w:r>
      <w:proofErr w:type="gramEnd"/>
      <w:r w:rsidRPr="00EA2AFB">
        <w:rPr>
          <w:rFonts w:ascii="標楷體" w:eastAsia="標楷體" w:hAnsi="標楷體" w:hint="eastAsia"/>
        </w:rPr>
        <w:t>使用，7月1日將由後</w:t>
      </w:r>
      <w:proofErr w:type="gramStart"/>
      <w:r w:rsidRPr="00EA2AFB">
        <w:rPr>
          <w:rFonts w:ascii="標楷體" w:eastAsia="標楷體" w:hAnsi="標楷體" w:hint="eastAsia"/>
        </w:rPr>
        <w:t>臺</w:t>
      </w:r>
      <w:proofErr w:type="gramEnd"/>
      <w:r w:rsidRPr="00EA2AFB">
        <w:rPr>
          <w:rFonts w:ascii="標楷體" w:eastAsia="標楷體" w:hAnsi="標楷體" w:hint="eastAsia"/>
        </w:rPr>
        <w:t>全數收回，以有效控制支出並分配資源</w:t>
      </w:r>
      <w:r>
        <w:rPr>
          <w:rFonts w:ascii="標楷體" w:eastAsia="標楷體" w:hAnsi="標楷體" w:hint="eastAsia"/>
        </w:rPr>
        <w:t>；</w:t>
      </w:r>
      <w:r w:rsidRPr="0030582E">
        <w:rPr>
          <w:rFonts w:ascii="標楷體" w:eastAsia="標楷體" w:hAnsi="標楷體" w:hint="eastAsia"/>
        </w:rPr>
        <w:t>另將</w:t>
      </w:r>
      <w:proofErr w:type="gramStart"/>
      <w:r w:rsidRPr="0030582E">
        <w:rPr>
          <w:rFonts w:ascii="標楷體" w:eastAsia="標楷體" w:hAnsi="標楷體" w:hint="eastAsia"/>
        </w:rPr>
        <w:t>加強線上</w:t>
      </w:r>
      <w:proofErr w:type="gramEnd"/>
      <w:r w:rsidRPr="0030582E">
        <w:rPr>
          <w:rFonts w:ascii="標楷體" w:eastAsia="標楷體" w:hAnsi="標楷體" w:hint="eastAsia"/>
        </w:rPr>
        <w:t>、線下宣傳力度，除透過社群軟體平</w:t>
      </w:r>
      <w:proofErr w:type="gramStart"/>
      <w:r w:rsidRPr="0030582E">
        <w:rPr>
          <w:rFonts w:ascii="標楷體" w:eastAsia="標楷體" w:hAnsi="標楷體" w:hint="eastAsia"/>
        </w:rPr>
        <w:t>臺</w:t>
      </w:r>
      <w:proofErr w:type="gramEnd"/>
      <w:r w:rsidRPr="0030582E">
        <w:rPr>
          <w:rFonts w:ascii="標楷體" w:eastAsia="標楷體" w:hAnsi="標楷體" w:hint="eastAsia"/>
        </w:rPr>
        <w:t>加強行銷，亦與企業、學校、社區組織洽談並建立合作關係，以提升多元族群參與度及口碑擴散</w:t>
      </w:r>
      <w:r w:rsidRPr="00C00086">
        <w:rPr>
          <w:rFonts w:ascii="標楷體" w:eastAsia="標楷體" w:hAnsi="標楷體" w:hint="eastAsia"/>
        </w:rPr>
        <w:t>；（2）已修正</w:t>
      </w:r>
      <w:proofErr w:type="gramStart"/>
      <w:r w:rsidRPr="00C00086">
        <w:rPr>
          <w:rFonts w:ascii="標楷體" w:eastAsia="標楷體" w:hAnsi="標楷體" w:hint="eastAsia"/>
        </w:rPr>
        <w:t>114</w:t>
      </w:r>
      <w:proofErr w:type="gramEnd"/>
      <w:r w:rsidRPr="00C00086">
        <w:rPr>
          <w:rFonts w:ascii="標楷體" w:eastAsia="標楷體" w:hAnsi="標楷體" w:hint="eastAsia"/>
        </w:rPr>
        <w:t>年度獎勵規則，將民營組分為3家（含）以上分館之連鎖業者及未滿3家分館之小型工作室，以</w:t>
      </w:r>
      <w:r w:rsidRPr="00A75075">
        <w:rPr>
          <w:rFonts w:ascii="標楷體" w:eastAsia="標楷體" w:hAnsi="標楷體" w:hint="eastAsia"/>
        </w:rPr>
        <w:t>確保</w:t>
      </w:r>
      <w:r w:rsidRPr="00C00086">
        <w:rPr>
          <w:rFonts w:ascii="標楷體" w:eastAsia="標楷體" w:hAnsi="標楷體" w:hint="eastAsia"/>
        </w:rPr>
        <w:t>不同規模場</w:t>
      </w:r>
      <w:proofErr w:type="gramStart"/>
      <w:r w:rsidRPr="00C00086">
        <w:rPr>
          <w:rFonts w:ascii="標楷體" w:eastAsia="標楷體" w:hAnsi="標楷體" w:hint="eastAsia"/>
        </w:rPr>
        <w:t>館均有參與</w:t>
      </w:r>
      <w:proofErr w:type="gramEnd"/>
      <w:r w:rsidRPr="00C00086">
        <w:rPr>
          <w:rFonts w:ascii="標楷體" w:eastAsia="標楷體" w:hAnsi="標楷體" w:hint="eastAsia"/>
        </w:rPr>
        <w:t>誘因與公平競爭機會；（3）</w:t>
      </w:r>
      <w:r w:rsidRPr="0030582E">
        <w:rPr>
          <w:rFonts w:ascii="標楷體" w:eastAsia="標楷體" w:hAnsi="標楷體" w:hint="eastAsia"/>
        </w:rPr>
        <w:t>預計於</w:t>
      </w:r>
      <w:proofErr w:type="gramStart"/>
      <w:r w:rsidRPr="0030582E">
        <w:rPr>
          <w:rFonts w:ascii="標楷體" w:eastAsia="標楷體" w:hAnsi="標楷體" w:hint="eastAsia"/>
        </w:rPr>
        <w:t>114</w:t>
      </w:r>
      <w:proofErr w:type="gramEnd"/>
      <w:r w:rsidRPr="0030582E">
        <w:rPr>
          <w:rFonts w:ascii="標楷體" w:eastAsia="標楷體" w:hAnsi="標楷體" w:hint="eastAsia"/>
        </w:rPr>
        <w:t>年度將該系統納入</w:t>
      </w:r>
      <w:r>
        <w:rPr>
          <w:rFonts w:ascii="標楷體" w:eastAsia="標楷體" w:hAnsi="標楷體" w:hint="eastAsia"/>
        </w:rPr>
        <w:t>該局</w:t>
      </w:r>
      <w:r w:rsidRPr="0030582E">
        <w:rPr>
          <w:rFonts w:ascii="標楷體" w:eastAsia="標楷體" w:hAnsi="標楷體" w:hint="eastAsia"/>
        </w:rPr>
        <w:t>核心資通系統，並</w:t>
      </w:r>
      <w:r>
        <w:rPr>
          <w:rFonts w:ascii="標楷體" w:eastAsia="標楷體" w:hAnsi="標楷體" w:hint="eastAsia"/>
        </w:rPr>
        <w:t>規劃</w:t>
      </w:r>
      <w:r w:rsidRPr="0030582E">
        <w:rPr>
          <w:rFonts w:ascii="標楷體" w:eastAsia="標楷體" w:hAnsi="標楷體" w:hint="eastAsia"/>
        </w:rPr>
        <w:t>於2年內</w:t>
      </w:r>
      <w:r>
        <w:rPr>
          <w:rFonts w:ascii="標楷體" w:eastAsia="標楷體" w:hAnsi="標楷體" w:hint="eastAsia"/>
        </w:rPr>
        <w:t>（至</w:t>
      </w:r>
      <w:proofErr w:type="gramStart"/>
      <w:r>
        <w:rPr>
          <w:rFonts w:ascii="標楷體" w:eastAsia="標楷體" w:hAnsi="標楷體" w:hint="eastAsia"/>
        </w:rPr>
        <w:t>116</w:t>
      </w:r>
      <w:proofErr w:type="gramEnd"/>
      <w:r>
        <w:rPr>
          <w:rFonts w:ascii="標楷體" w:eastAsia="標楷體" w:hAnsi="標楷體" w:hint="eastAsia"/>
        </w:rPr>
        <w:t>年度）</w:t>
      </w:r>
      <w:r w:rsidRPr="0030582E">
        <w:rPr>
          <w:rFonts w:ascii="標楷體" w:eastAsia="標楷體" w:hAnsi="標楷體" w:hint="eastAsia"/>
        </w:rPr>
        <w:t>完成CNS／ISO 27001系統導入與</w:t>
      </w:r>
      <w:proofErr w:type="gramStart"/>
      <w:r w:rsidRPr="0030582E">
        <w:rPr>
          <w:rFonts w:ascii="標楷體" w:eastAsia="標楷體" w:hAnsi="標楷體" w:hint="eastAsia"/>
        </w:rPr>
        <w:t>相關資安控</w:t>
      </w:r>
      <w:proofErr w:type="gramEnd"/>
      <w:r w:rsidRPr="0030582E">
        <w:rPr>
          <w:rFonts w:ascii="標楷體" w:eastAsia="標楷體" w:hAnsi="標楷體" w:hint="eastAsia"/>
        </w:rPr>
        <w:t>管作業，強化系統防護及控制措施</w:t>
      </w:r>
      <w:r>
        <w:rPr>
          <w:rFonts w:ascii="標楷體" w:eastAsia="標楷體" w:hAnsi="標楷體" w:hint="eastAsia"/>
        </w:rPr>
        <w:t>，</w:t>
      </w:r>
      <w:r w:rsidRPr="003F46FC">
        <w:rPr>
          <w:rFonts w:ascii="標楷體" w:eastAsia="標楷體" w:hAnsi="標楷體" w:hint="eastAsia"/>
        </w:rPr>
        <w:t>另將</w:t>
      </w:r>
      <w:r>
        <w:rPr>
          <w:rFonts w:ascii="標楷體" w:eastAsia="標楷體" w:hAnsi="標楷體" w:hint="eastAsia"/>
        </w:rPr>
        <w:t>依規定</w:t>
      </w:r>
      <w:r w:rsidRPr="003F46FC">
        <w:rPr>
          <w:rFonts w:ascii="標楷體" w:eastAsia="標楷體" w:hAnsi="標楷體" w:hint="eastAsia"/>
        </w:rPr>
        <w:t>落實內部稽核頻率</w:t>
      </w:r>
      <w:r>
        <w:rPr>
          <w:rFonts w:ascii="標楷體" w:eastAsia="標楷體" w:hAnsi="標楷體" w:hint="eastAsia"/>
        </w:rPr>
        <w:t>及於</w:t>
      </w:r>
      <w:r w:rsidRPr="003F46FC">
        <w:rPr>
          <w:rFonts w:ascii="標楷體" w:eastAsia="標楷體" w:hAnsi="標楷體" w:hint="eastAsia"/>
        </w:rPr>
        <w:t>114年9月前</w:t>
      </w:r>
      <w:r>
        <w:rPr>
          <w:rFonts w:ascii="標楷體" w:eastAsia="標楷體" w:hAnsi="標楷體" w:hint="eastAsia"/>
        </w:rPr>
        <w:t>完</w:t>
      </w:r>
      <w:r w:rsidRPr="003F46FC">
        <w:rPr>
          <w:rFonts w:ascii="標楷體" w:eastAsia="標楷體" w:hAnsi="標楷體" w:hint="eastAsia"/>
        </w:rPr>
        <w:t>成</w:t>
      </w:r>
      <w:r>
        <w:rPr>
          <w:rFonts w:ascii="標楷體" w:eastAsia="標楷體" w:hAnsi="標楷體" w:hint="eastAsia"/>
        </w:rPr>
        <w:t>案內</w:t>
      </w:r>
      <w:r w:rsidRPr="003F46FC">
        <w:rPr>
          <w:rFonts w:ascii="標楷體" w:eastAsia="標楷體" w:hAnsi="標楷體" w:hint="eastAsia"/>
        </w:rPr>
        <w:t>戶役政資料銷毀</w:t>
      </w:r>
      <w:r>
        <w:rPr>
          <w:rFonts w:ascii="標楷體" w:eastAsia="標楷體" w:hAnsi="標楷體" w:hint="eastAsia"/>
        </w:rPr>
        <w:t>作業</w:t>
      </w:r>
      <w:r w:rsidRPr="003F46FC">
        <w:rPr>
          <w:rFonts w:ascii="標楷體" w:eastAsia="標楷體" w:hAnsi="標楷體" w:hint="eastAsia"/>
        </w:rPr>
        <w:t>，以確保</w:t>
      </w:r>
      <w:r>
        <w:rPr>
          <w:rFonts w:ascii="標楷體" w:eastAsia="標楷體" w:hAnsi="標楷體" w:hint="eastAsia"/>
        </w:rPr>
        <w:t>使用者</w:t>
      </w:r>
      <w:proofErr w:type="gramStart"/>
      <w:r>
        <w:rPr>
          <w:rFonts w:ascii="標楷體" w:eastAsia="標楷體" w:hAnsi="標楷體" w:hint="eastAsia"/>
        </w:rPr>
        <w:t>個</w:t>
      </w:r>
      <w:proofErr w:type="gramEnd"/>
      <w:r>
        <w:rPr>
          <w:rFonts w:ascii="標楷體" w:eastAsia="標楷體" w:hAnsi="標楷體" w:hint="eastAsia"/>
        </w:rPr>
        <w:t>資與服務營運之安全，並符合相關法規要求</w:t>
      </w:r>
      <w:r w:rsidRPr="003F46FC">
        <w:rPr>
          <w:rFonts w:ascii="標楷體" w:eastAsia="標楷體" w:hAnsi="標楷體" w:hint="eastAsia"/>
        </w:rPr>
        <w:t>。</w:t>
      </w:r>
    </w:p>
    <w:p w14:paraId="09730D55" w14:textId="77777777" w:rsidR="00406878" w:rsidRDefault="00406878" w:rsidP="00B8091B">
      <w:pPr>
        <w:overflowPunct w:val="0"/>
        <w:autoSpaceDN w:val="0"/>
        <w:spacing w:beforeLines="50" w:before="180" w:line="460" w:lineRule="exact"/>
        <w:ind w:firstLineChars="200" w:firstLine="561"/>
        <w:jc w:val="both"/>
        <w:outlineLvl w:val="1"/>
        <w:rPr>
          <w:rFonts w:ascii="標楷體" w:eastAsia="標楷體" w:hAnsi="標楷體"/>
          <w:b/>
          <w:kern w:val="0"/>
          <w:sz w:val="28"/>
          <w:szCs w:val="28"/>
        </w:rPr>
      </w:pPr>
      <w:r w:rsidRPr="00980D57">
        <w:rPr>
          <w:rFonts w:ascii="標楷體" w:eastAsia="標楷體" w:hAnsi="標楷體" w:cs="新細明體" w:hint="eastAsia"/>
          <w:b/>
          <w:color w:val="000000" w:themeColor="text1"/>
          <w:kern w:val="0"/>
          <w:sz w:val="28"/>
          <w:szCs w:val="28"/>
        </w:rPr>
        <w:lastRenderedPageBreak/>
        <w:t>4.</w:t>
      </w:r>
      <w:r w:rsidRPr="00980D57">
        <w:rPr>
          <w:rFonts w:ascii="標楷體" w:eastAsia="標楷體" w:hAnsi="標楷體" w:cs="新細明體" w:hint="eastAsia"/>
          <w:b/>
          <w:color w:val="000000" w:themeColor="text1"/>
          <w:spacing w:val="-4"/>
          <w:kern w:val="0"/>
          <w:sz w:val="28"/>
          <w:szCs w:val="28"/>
        </w:rPr>
        <w:t>為提供多樣化之運動設施及滿足全年齡層運動休閒需求，辦理臺北市</w:t>
      </w:r>
      <w:r w:rsidRPr="00980D57">
        <w:rPr>
          <w:rFonts w:ascii="標楷體" w:eastAsia="標楷體" w:hAnsi="標楷體" w:cs="新細明體" w:hint="eastAsia"/>
          <w:b/>
          <w:color w:val="000000" w:themeColor="text1"/>
          <w:kern w:val="0"/>
          <w:sz w:val="28"/>
          <w:szCs w:val="28"/>
        </w:rPr>
        <w:t>克強公</w:t>
      </w:r>
      <w:r>
        <w:rPr>
          <w:rFonts w:ascii="標楷體" w:eastAsia="標楷體" w:hAnsi="標楷體" w:hint="eastAsia"/>
          <w:b/>
          <w:kern w:val="0"/>
          <w:sz w:val="28"/>
          <w:szCs w:val="28"/>
        </w:rPr>
        <w:t>園游泳池暨新生公園網球場改建全民</w:t>
      </w:r>
      <w:proofErr w:type="gramStart"/>
      <w:r>
        <w:rPr>
          <w:rFonts w:ascii="標楷體" w:eastAsia="標楷體" w:hAnsi="標楷體" w:hint="eastAsia"/>
          <w:b/>
          <w:kern w:val="0"/>
          <w:sz w:val="28"/>
          <w:szCs w:val="28"/>
        </w:rPr>
        <w:t>運動館統包</w:t>
      </w:r>
      <w:proofErr w:type="gramEnd"/>
      <w:r>
        <w:rPr>
          <w:rFonts w:ascii="標楷體" w:eastAsia="標楷體" w:hAnsi="標楷體" w:hint="eastAsia"/>
          <w:b/>
          <w:kern w:val="0"/>
          <w:sz w:val="28"/>
          <w:szCs w:val="28"/>
        </w:rPr>
        <w:t>工程，惟部分工項未依實際施作情形辦理估驗計價，</w:t>
      </w:r>
      <w:r w:rsidRPr="00980D57">
        <w:rPr>
          <w:rFonts w:ascii="標楷體" w:eastAsia="標楷體" w:hAnsi="標楷體" w:hint="eastAsia"/>
          <w:b/>
          <w:spacing w:val="-4"/>
          <w:kern w:val="0"/>
          <w:sz w:val="28"/>
          <w:szCs w:val="28"/>
        </w:rPr>
        <w:t>且分項施工計畫及材料管制作業未</w:t>
      </w:r>
      <w:proofErr w:type="gramStart"/>
      <w:r w:rsidRPr="00980D57">
        <w:rPr>
          <w:rFonts w:ascii="標楷體" w:eastAsia="標楷體" w:hAnsi="標楷體" w:hint="eastAsia"/>
          <w:b/>
          <w:spacing w:val="-4"/>
          <w:kern w:val="0"/>
          <w:sz w:val="28"/>
          <w:szCs w:val="28"/>
        </w:rPr>
        <w:t>臻</w:t>
      </w:r>
      <w:proofErr w:type="gramEnd"/>
      <w:r w:rsidRPr="00980D57">
        <w:rPr>
          <w:rFonts w:ascii="標楷體" w:eastAsia="標楷體" w:hAnsi="標楷體" w:hint="eastAsia"/>
          <w:b/>
          <w:spacing w:val="-4"/>
          <w:kern w:val="0"/>
          <w:sz w:val="28"/>
          <w:szCs w:val="28"/>
        </w:rPr>
        <w:t>完善等情，</w:t>
      </w:r>
      <w:proofErr w:type="gramStart"/>
      <w:r w:rsidRPr="00980D57">
        <w:rPr>
          <w:rFonts w:ascii="標楷體" w:eastAsia="標楷體" w:hAnsi="標楷體" w:hint="eastAsia"/>
          <w:b/>
          <w:spacing w:val="-4"/>
          <w:kern w:val="0"/>
          <w:sz w:val="28"/>
          <w:szCs w:val="28"/>
        </w:rPr>
        <w:t>允待檢討</w:t>
      </w:r>
      <w:proofErr w:type="gramEnd"/>
      <w:r w:rsidRPr="00980D57">
        <w:rPr>
          <w:rFonts w:ascii="標楷體" w:eastAsia="標楷體" w:hAnsi="標楷體" w:hint="eastAsia"/>
          <w:b/>
          <w:spacing w:val="-4"/>
          <w:kern w:val="0"/>
          <w:sz w:val="28"/>
          <w:szCs w:val="28"/>
        </w:rPr>
        <w:t>改善。</w:t>
      </w:r>
    </w:p>
    <w:p w14:paraId="38D02F9E" w14:textId="77777777" w:rsidR="00654CAD" w:rsidRDefault="00406878" w:rsidP="00654CAD">
      <w:pPr>
        <w:overflowPunct w:val="0"/>
        <w:autoSpaceDE w:val="0"/>
        <w:autoSpaceDN w:val="0"/>
        <w:spacing w:before="60" w:line="480" w:lineRule="exact"/>
        <w:ind w:firstLineChars="200" w:firstLine="480"/>
        <w:jc w:val="both"/>
        <w:outlineLvl w:val="1"/>
        <w:rPr>
          <w:rFonts w:ascii="標楷體" w:eastAsia="標楷體" w:hAnsi="標楷體" w:cs="標楷體"/>
          <w:bCs/>
          <w:szCs w:val="32"/>
        </w:rPr>
      </w:pPr>
      <w:r w:rsidRPr="001A5B22">
        <w:rPr>
          <w:rFonts w:hAnsi="標楷體"/>
          <w:noProof/>
          <w:color w:val="FF0000"/>
        </w:rPr>
        <mc:AlternateContent>
          <mc:Choice Requires="wps">
            <w:drawing>
              <wp:anchor distT="0" distB="0" distL="114300" distR="114300" simplePos="0" relativeHeight="251813888" behindDoc="1" locked="0" layoutInCell="1" allowOverlap="1" wp14:anchorId="6F90B267" wp14:editId="4D848D6B">
                <wp:simplePos x="0" y="0"/>
                <wp:positionH relativeFrom="margin">
                  <wp:posOffset>3246755</wp:posOffset>
                </wp:positionH>
                <wp:positionV relativeFrom="paragraph">
                  <wp:posOffset>80274</wp:posOffset>
                </wp:positionV>
                <wp:extent cx="3131820" cy="2195830"/>
                <wp:effectExtent l="0" t="0" r="0" b="0"/>
                <wp:wrapTight wrapText="bothSides">
                  <wp:wrapPolygon edited="0">
                    <wp:start x="394" y="0"/>
                    <wp:lineTo x="394" y="21363"/>
                    <wp:lineTo x="21153" y="21363"/>
                    <wp:lineTo x="21153" y="0"/>
                    <wp:lineTo x="394" y="0"/>
                  </wp:wrapPolygon>
                </wp:wrapTight>
                <wp:docPr id="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1820" cy="2195830"/>
                        </a:xfrm>
                        <a:prstGeom prst="rect">
                          <a:avLst/>
                        </a:prstGeom>
                        <a:noFill/>
                        <a:ln w="9525">
                          <a:noFill/>
                          <a:miter lim="800000"/>
                          <a:headEnd/>
                          <a:tailEnd/>
                        </a:ln>
                      </wps:spPr>
                      <wps:txbx>
                        <w:txbxContent>
                          <w:p w14:paraId="27738C26" w14:textId="77777777" w:rsidR="00406878" w:rsidRDefault="00406878" w:rsidP="00406878">
                            <w:pPr>
                              <w:spacing w:line="20" w:lineRule="exact"/>
                              <w:rPr>
                                <w:rFonts w:ascii="標楷體" w:hAnsi="標楷體"/>
                                <w:b/>
                                <w:szCs w:val="24"/>
                              </w:rPr>
                            </w:pPr>
                          </w:p>
                          <w:p w14:paraId="16D4671F" w14:textId="77777777" w:rsidR="00406878" w:rsidRDefault="00406878" w:rsidP="00406878">
                            <w:pPr>
                              <w:spacing w:line="20" w:lineRule="exact"/>
                              <w:rPr>
                                <w:rFonts w:ascii="標楷體" w:hAnsi="標楷體"/>
                                <w:b/>
                                <w:szCs w:val="24"/>
                              </w:rPr>
                            </w:pPr>
                          </w:p>
                          <w:p w14:paraId="6D84D784" w14:textId="77777777" w:rsidR="00406878" w:rsidRDefault="00406878" w:rsidP="00406878">
                            <w:pPr>
                              <w:spacing w:line="20" w:lineRule="exact"/>
                              <w:rPr>
                                <w:rFonts w:ascii="標楷體" w:hAnsi="標楷體"/>
                                <w:b/>
                                <w:szCs w:val="24"/>
                              </w:rPr>
                            </w:pPr>
                          </w:p>
                          <w:p w14:paraId="1C4CD931" w14:textId="77777777" w:rsidR="00406878" w:rsidRPr="004721F7" w:rsidRDefault="00406878" w:rsidP="00406878">
                            <w:pPr>
                              <w:spacing w:line="240" w:lineRule="exact"/>
                              <w:jc w:val="center"/>
                              <w:rPr>
                                <w:rFonts w:ascii="標楷體" w:eastAsia="標楷體" w:hAnsi="標楷體"/>
                                <w:b/>
                                <w:spacing w:val="-14"/>
                                <w:szCs w:val="24"/>
                              </w:rPr>
                            </w:pPr>
                            <w:r w:rsidRPr="004721F7">
                              <w:rPr>
                                <w:rFonts w:ascii="標楷體" w:eastAsia="標楷體" w:hAnsi="標楷體" w:cs="標楷體" w:hint="eastAsia"/>
                                <w:b/>
                                <w:spacing w:val="-14"/>
                                <w:szCs w:val="32"/>
                              </w:rPr>
                              <w:t xml:space="preserve">圖2　</w:t>
                            </w:r>
                            <w:r w:rsidRPr="004721F7">
                              <w:rPr>
                                <w:rFonts w:ascii="標楷體" w:eastAsia="標楷體" w:hAnsi="標楷體" w:cs="標楷體"/>
                                <w:b/>
                                <w:spacing w:val="-14"/>
                                <w:szCs w:val="32"/>
                              </w:rPr>
                              <w:t>克強公園游泳池</w:t>
                            </w:r>
                            <w:r w:rsidRPr="004721F7">
                              <w:rPr>
                                <w:rFonts w:ascii="標楷體" w:eastAsia="標楷體" w:hAnsi="標楷體" w:cs="標楷體" w:hint="eastAsia"/>
                                <w:b/>
                                <w:spacing w:val="-14"/>
                                <w:szCs w:val="32"/>
                              </w:rPr>
                              <w:t>改建全民運動館</w:t>
                            </w:r>
                            <w:r w:rsidRPr="004721F7">
                              <w:rPr>
                                <w:rFonts w:ascii="標楷體" w:eastAsia="標楷體" w:hAnsi="標楷體" w:hint="eastAsia"/>
                                <w:b/>
                                <w:spacing w:val="-14"/>
                              </w:rPr>
                              <w:t>完工示意圖</w:t>
                            </w:r>
                          </w:p>
                          <w:p w14:paraId="4B34F88E" w14:textId="77777777" w:rsidR="00406878" w:rsidRPr="004721F7" w:rsidRDefault="00406878" w:rsidP="00406878">
                            <w:pPr>
                              <w:spacing w:line="20" w:lineRule="exact"/>
                              <w:rPr>
                                <w:rFonts w:ascii="標楷體" w:hAnsi="標楷體"/>
                                <w:b/>
                                <w:szCs w:val="24"/>
                              </w:rPr>
                            </w:pPr>
                          </w:p>
                          <w:p w14:paraId="4A302B90" w14:textId="77777777" w:rsidR="00406878" w:rsidRDefault="00406878" w:rsidP="00406878">
                            <w:pPr>
                              <w:spacing w:line="20" w:lineRule="exact"/>
                              <w:rPr>
                                <w:rFonts w:ascii="標楷體" w:hAnsi="標楷體"/>
                                <w:b/>
                                <w:szCs w:val="24"/>
                              </w:rPr>
                            </w:pPr>
                          </w:p>
                          <w:p w14:paraId="35041432" w14:textId="77777777" w:rsidR="00406878" w:rsidRDefault="00406878" w:rsidP="00406878">
                            <w:pPr>
                              <w:spacing w:line="20" w:lineRule="exact"/>
                              <w:rPr>
                                <w:rFonts w:ascii="標楷體" w:hAnsi="標楷體"/>
                                <w:b/>
                                <w:szCs w:val="24"/>
                              </w:rPr>
                            </w:pPr>
                          </w:p>
                          <w:p w14:paraId="788796AE" w14:textId="77777777" w:rsidR="00406878" w:rsidRDefault="00406878" w:rsidP="00406878">
                            <w:pPr>
                              <w:spacing w:line="20" w:lineRule="exact"/>
                              <w:rPr>
                                <w:rFonts w:ascii="標楷體" w:hAnsi="標楷體"/>
                                <w:b/>
                                <w:szCs w:val="24"/>
                              </w:rPr>
                            </w:pPr>
                          </w:p>
                          <w:p w14:paraId="04AC8D39" w14:textId="77777777" w:rsidR="00406878" w:rsidRDefault="00406878" w:rsidP="00406878">
                            <w:pPr>
                              <w:spacing w:line="20" w:lineRule="exact"/>
                              <w:rPr>
                                <w:rFonts w:ascii="標楷體" w:hAnsi="標楷體"/>
                                <w:b/>
                                <w:szCs w:val="24"/>
                              </w:rPr>
                            </w:pPr>
                          </w:p>
                          <w:p w14:paraId="6AB2687F" w14:textId="77777777" w:rsidR="00406878" w:rsidRDefault="00406878" w:rsidP="00406878">
                            <w:pPr>
                              <w:spacing w:line="20" w:lineRule="exact"/>
                              <w:rPr>
                                <w:rFonts w:ascii="標楷體" w:hAnsi="標楷體"/>
                                <w:b/>
                                <w:szCs w:val="24"/>
                              </w:rPr>
                            </w:pPr>
                          </w:p>
                          <w:p w14:paraId="595FB118" w14:textId="77777777" w:rsidR="00406878" w:rsidRDefault="00406878" w:rsidP="00406878">
                            <w:pPr>
                              <w:spacing w:line="20" w:lineRule="exact"/>
                              <w:rPr>
                                <w:rFonts w:ascii="標楷體" w:hAnsi="標楷體"/>
                                <w:b/>
                                <w:szCs w:val="24"/>
                              </w:rPr>
                            </w:pPr>
                          </w:p>
                          <w:p w14:paraId="4719C135" w14:textId="77777777" w:rsidR="00406878" w:rsidRDefault="00406878" w:rsidP="00406878">
                            <w:pPr>
                              <w:spacing w:line="20" w:lineRule="exact"/>
                              <w:rPr>
                                <w:rFonts w:ascii="標楷體" w:hAnsi="標楷體"/>
                                <w:b/>
                                <w:szCs w:val="24"/>
                              </w:rPr>
                            </w:pPr>
                          </w:p>
                          <w:p w14:paraId="4215DFC7" w14:textId="77777777" w:rsidR="00406878" w:rsidRDefault="00406878" w:rsidP="00406878">
                            <w:pPr>
                              <w:spacing w:line="20" w:lineRule="exact"/>
                              <w:rPr>
                                <w:rFonts w:ascii="標楷體" w:hAnsi="標楷體"/>
                                <w:b/>
                                <w:szCs w:val="24"/>
                              </w:rPr>
                            </w:pPr>
                          </w:p>
                          <w:p w14:paraId="5C36A0BF" w14:textId="77777777" w:rsidR="00406878" w:rsidRDefault="00406878" w:rsidP="00406878">
                            <w:pPr>
                              <w:spacing w:line="20" w:lineRule="exact"/>
                              <w:rPr>
                                <w:rFonts w:ascii="標楷體" w:hAnsi="標楷體"/>
                                <w:b/>
                                <w:szCs w:val="24"/>
                              </w:rPr>
                            </w:pPr>
                          </w:p>
                          <w:p w14:paraId="36C195DB" w14:textId="77777777" w:rsidR="00406878" w:rsidRDefault="00406878" w:rsidP="00406878">
                            <w:pPr>
                              <w:spacing w:line="20" w:lineRule="exact"/>
                              <w:rPr>
                                <w:rFonts w:ascii="標楷體" w:hAnsi="標楷體"/>
                                <w:b/>
                                <w:szCs w:val="24"/>
                              </w:rPr>
                            </w:pPr>
                          </w:p>
                          <w:p w14:paraId="3B9EBD90" w14:textId="77777777" w:rsidR="00406878" w:rsidRDefault="00406878" w:rsidP="00406878">
                            <w:pPr>
                              <w:spacing w:line="20" w:lineRule="exact"/>
                              <w:rPr>
                                <w:rFonts w:ascii="標楷體" w:hAnsi="標楷體"/>
                                <w:b/>
                                <w:szCs w:val="24"/>
                              </w:rPr>
                            </w:pPr>
                          </w:p>
                          <w:p w14:paraId="53DB1055" w14:textId="77777777" w:rsidR="00406878" w:rsidRDefault="00406878" w:rsidP="00406878">
                            <w:pPr>
                              <w:spacing w:line="20" w:lineRule="exact"/>
                              <w:rPr>
                                <w:rFonts w:ascii="標楷體" w:hAnsi="標楷體"/>
                                <w:b/>
                                <w:szCs w:val="24"/>
                              </w:rPr>
                            </w:pPr>
                          </w:p>
                          <w:p w14:paraId="160E709D" w14:textId="77777777" w:rsidR="00406878" w:rsidRDefault="00406878" w:rsidP="00406878">
                            <w:pPr>
                              <w:spacing w:line="20" w:lineRule="exact"/>
                              <w:rPr>
                                <w:rFonts w:ascii="標楷體" w:hAnsi="標楷體"/>
                                <w:b/>
                                <w:szCs w:val="24"/>
                              </w:rPr>
                            </w:pPr>
                          </w:p>
                          <w:p w14:paraId="4302E172" w14:textId="77777777" w:rsidR="00406878" w:rsidRDefault="00406878" w:rsidP="00406878">
                            <w:pPr>
                              <w:spacing w:line="20" w:lineRule="exact"/>
                              <w:rPr>
                                <w:rFonts w:ascii="標楷體" w:hAnsi="標楷體"/>
                                <w:b/>
                                <w:szCs w:val="24"/>
                              </w:rPr>
                            </w:pPr>
                          </w:p>
                          <w:p w14:paraId="608FA4E9" w14:textId="77777777" w:rsidR="00406878" w:rsidRDefault="00406878" w:rsidP="00406878">
                            <w:pPr>
                              <w:spacing w:line="20" w:lineRule="exact"/>
                              <w:rPr>
                                <w:rFonts w:ascii="標楷體" w:hAnsi="標楷體"/>
                                <w:b/>
                                <w:szCs w:val="24"/>
                              </w:rPr>
                            </w:pPr>
                          </w:p>
                          <w:p w14:paraId="01B657F7" w14:textId="77777777" w:rsidR="00406878" w:rsidRDefault="00406878" w:rsidP="00406878">
                            <w:pPr>
                              <w:spacing w:line="20" w:lineRule="exact"/>
                              <w:rPr>
                                <w:rFonts w:ascii="標楷體" w:hAnsi="標楷體"/>
                                <w:b/>
                                <w:szCs w:val="24"/>
                              </w:rPr>
                            </w:pPr>
                          </w:p>
                          <w:p w14:paraId="4B593FA0" w14:textId="77777777" w:rsidR="00406878" w:rsidRDefault="00406878" w:rsidP="00406878">
                            <w:pPr>
                              <w:spacing w:line="20" w:lineRule="exact"/>
                              <w:rPr>
                                <w:rFonts w:ascii="標楷體" w:hAnsi="標楷體"/>
                                <w:b/>
                                <w:szCs w:val="24"/>
                              </w:rPr>
                            </w:pPr>
                          </w:p>
                          <w:p w14:paraId="39EAAD00" w14:textId="77777777" w:rsidR="00406878" w:rsidRDefault="00406878" w:rsidP="00406878">
                            <w:pPr>
                              <w:spacing w:line="20" w:lineRule="exact"/>
                              <w:rPr>
                                <w:rFonts w:ascii="標楷體" w:hAnsi="標楷體"/>
                                <w:b/>
                                <w:szCs w:val="24"/>
                              </w:rPr>
                            </w:pPr>
                          </w:p>
                          <w:p w14:paraId="7AFBBB9A" w14:textId="77777777" w:rsidR="00406878" w:rsidRDefault="00406878" w:rsidP="00406878">
                            <w:pPr>
                              <w:spacing w:line="20" w:lineRule="exact"/>
                              <w:rPr>
                                <w:rFonts w:ascii="標楷體" w:hAnsi="標楷體"/>
                                <w:b/>
                                <w:szCs w:val="24"/>
                              </w:rPr>
                            </w:pPr>
                          </w:p>
                          <w:p w14:paraId="265904A6" w14:textId="77777777" w:rsidR="00406878" w:rsidRDefault="00406878" w:rsidP="00406878">
                            <w:pPr>
                              <w:spacing w:line="20" w:lineRule="exact"/>
                              <w:rPr>
                                <w:rFonts w:ascii="標楷體" w:hAnsi="標楷體"/>
                                <w:b/>
                                <w:szCs w:val="24"/>
                              </w:rPr>
                            </w:pPr>
                          </w:p>
                          <w:p w14:paraId="401417F7" w14:textId="77777777" w:rsidR="00406878" w:rsidRDefault="00406878" w:rsidP="00406878">
                            <w:pPr>
                              <w:spacing w:line="20" w:lineRule="exact"/>
                              <w:rPr>
                                <w:rFonts w:ascii="標楷體" w:hAnsi="標楷體"/>
                                <w:b/>
                                <w:szCs w:val="24"/>
                              </w:rPr>
                            </w:pPr>
                          </w:p>
                          <w:p w14:paraId="5DE83964" w14:textId="77777777" w:rsidR="00406878" w:rsidRDefault="00406878" w:rsidP="00406878">
                            <w:pPr>
                              <w:spacing w:line="20" w:lineRule="exact"/>
                              <w:rPr>
                                <w:rFonts w:ascii="標楷體" w:hAnsi="標楷體"/>
                                <w:b/>
                                <w:szCs w:val="24"/>
                              </w:rPr>
                            </w:pPr>
                          </w:p>
                          <w:p w14:paraId="30EEA94A" w14:textId="77777777" w:rsidR="00406878" w:rsidRDefault="00406878" w:rsidP="00406878">
                            <w:pPr>
                              <w:spacing w:line="20" w:lineRule="exact"/>
                              <w:rPr>
                                <w:rFonts w:ascii="標楷體" w:hAnsi="標楷體"/>
                                <w:b/>
                                <w:szCs w:val="24"/>
                              </w:rPr>
                            </w:pPr>
                          </w:p>
                          <w:p w14:paraId="4EE14E4E" w14:textId="77777777" w:rsidR="00406878" w:rsidRDefault="00406878" w:rsidP="00406878">
                            <w:pPr>
                              <w:spacing w:line="20" w:lineRule="exact"/>
                              <w:rPr>
                                <w:rFonts w:ascii="標楷體" w:hAnsi="標楷體"/>
                                <w:b/>
                                <w:szCs w:val="24"/>
                              </w:rPr>
                            </w:pPr>
                          </w:p>
                          <w:p w14:paraId="3485D8AF" w14:textId="77777777" w:rsidR="00406878" w:rsidRDefault="00406878" w:rsidP="00406878">
                            <w:pPr>
                              <w:spacing w:line="20" w:lineRule="exact"/>
                              <w:rPr>
                                <w:rFonts w:ascii="標楷體" w:hAnsi="標楷體"/>
                                <w:b/>
                                <w:szCs w:val="24"/>
                              </w:rPr>
                            </w:pPr>
                          </w:p>
                          <w:p w14:paraId="0DD67CF5" w14:textId="77777777" w:rsidR="00406878" w:rsidRDefault="00406878" w:rsidP="00406878">
                            <w:pPr>
                              <w:spacing w:line="20" w:lineRule="exact"/>
                              <w:rPr>
                                <w:rFonts w:ascii="標楷體" w:hAnsi="標楷體"/>
                                <w:b/>
                                <w:szCs w:val="24"/>
                              </w:rPr>
                            </w:pPr>
                          </w:p>
                          <w:p w14:paraId="78846C23" w14:textId="77777777" w:rsidR="00406878" w:rsidRDefault="00406878" w:rsidP="00406878">
                            <w:pPr>
                              <w:spacing w:line="20" w:lineRule="exact"/>
                              <w:rPr>
                                <w:rFonts w:ascii="標楷體" w:hAnsi="標楷體"/>
                                <w:b/>
                                <w:szCs w:val="24"/>
                              </w:rPr>
                            </w:pPr>
                          </w:p>
                          <w:p w14:paraId="0B357035" w14:textId="77777777" w:rsidR="00406878" w:rsidRDefault="00406878" w:rsidP="00406878">
                            <w:pPr>
                              <w:spacing w:line="20" w:lineRule="exact"/>
                              <w:rPr>
                                <w:rFonts w:ascii="標楷體" w:hAnsi="標楷體"/>
                                <w:b/>
                                <w:szCs w:val="24"/>
                              </w:rPr>
                            </w:pPr>
                          </w:p>
                          <w:p w14:paraId="1C1E4D8A" w14:textId="77777777" w:rsidR="00406878" w:rsidRDefault="00406878" w:rsidP="00406878">
                            <w:pPr>
                              <w:spacing w:line="20" w:lineRule="exact"/>
                              <w:rPr>
                                <w:rFonts w:ascii="標楷體" w:hAnsi="標楷體"/>
                                <w:b/>
                                <w:szCs w:val="24"/>
                              </w:rPr>
                            </w:pPr>
                          </w:p>
                          <w:p w14:paraId="51916805" w14:textId="77777777" w:rsidR="00406878" w:rsidRDefault="00406878" w:rsidP="00406878">
                            <w:pPr>
                              <w:spacing w:line="20" w:lineRule="exact"/>
                              <w:rPr>
                                <w:rFonts w:ascii="標楷體" w:hAnsi="標楷體"/>
                                <w:b/>
                                <w:szCs w:val="24"/>
                              </w:rPr>
                            </w:pPr>
                          </w:p>
                          <w:p w14:paraId="52506D32" w14:textId="77777777" w:rsidR="00406878" w:rsidRDefault="00406878" w:rsidP="00406878">
                            <w:pPr>
                              <w:spacing w:line="20" w:lineRule="exact"/>
                              <w:rPr>
                                <w:rFonts w:ascii="標楷體" w:hAnsi="標楷體"/>
                                <w:b/>
                                <w:szCs w:val="24"/>
                              </w:rPr>
                            </w:pPr>
                          </w:p>
                          <w:p w14:paraId="7279E7C9" w14:textId="77777777" w:rsidR="00406878" w:rsidRDefault="00406878" w:rsidP="00406878">
                            <w:pPr>
                              <w:spacing w:line="20" w:lineRule="exact"/>
                              <w:rPr>
                                <w:rFonts w:ascii="標楷體" w:hAnsi="標楷體"/>
                                <w:b/>
                                <w:szCs w:val="24"/>
                              </w:rPr>
                            </w:pPr>
                          </w:p>
                          <w:p w14:paraId="49BDF4F1" w14:textId="77777777" w:rsidR="00406878" w:rsidRDefault="00406878" w:rsidP="00406878">
                            <w:pPr>
                              <w:spacing w:line="20" w:lineRule="exact"/>
                              <w:rPr>
                                <w:rFonts w:ascii="標楷體" w:hAnsi="標楷體"/>
                                <w:b/>
                                <w:szCs w:val="24"/>
                              </w:rPr>
                            </w:pPr>
                          </w:p>
                          <w:p w14:paraId="176AA32F" w14:textId="77777777" w:rsidR="00406878" w:rsidRDefault="00406878" w:rsidP="00406878">
                            <w:pPr>
                              <w:spacing w:line="20" w:lineRule="exact"/>
                              <w:rPr>
                                <w:rFonts w:ascii="標楷體" w:hAnsi="標楷體"/>
                                <w:b/>
                                <w:szCs w:val="24"/>
                              </w:rPr>
                            </w:pPr>
                          </w:p>
                          <w:p w14:paraId="71030F8C" w14:textId="77777777" w:rsidR="00406878" w:rsidRDefault="00406878" w:rsidP="00406878">
                            <w:pPr>
                              <w:spacing w:line="20" w:lineRule="exact"/>
                              <w:rPr>
                                <w:rFonts w:ascii="標楷體" w:hAnsi="標楷體"/>
                                <w:b/>
                                <w:szCs w:val="24"/>
                              </w:rPr>
                            </w:pPr>
                          </w:p>
                          <w:p w14:paraId="1D786705" w14:textId="77777777" w:rsidR="00406878" w:rsidRDefault="00406878" w:rsidP="00406878">
                            <w:pPr>
                              <w:spacing w:line="20" w:lineRule="exact"/>
                              <w:rPr>
                                <w:rFonts w:ascii="標楷體" w:hAnsi="標楷體"/>
                                <w:b/>
                                <w:szCs w:val="24"/>
                              </w:rPr>
                            </w:pPr>
                          </w:p>
                          <w:p w14:paraId="2F14F9B8" w14:textId="77777777" w:rsidR="00406878" w:rsidRDefault="00406878" w:rsidP="00406878">
                            <w:pPr>
                              <w:spacing w:line="20" w:lineRule="exact"/>
                              <w:rPr>
                                <w:rFonts w:ascii="標楷體" w:hAnsi="標楷體"/>
                                <w:b/>
                                <w:szCs w:val="24"/>
                              </w:rPr>
                            </w:pPr>
                          </w:p>
                          <w:p w14:paraId="52BCC595" w14:textId="77777777" w:rsidR="00406878" w:rsidRDefault="00406878" w:rsidP="00406878">
                            <w:pPr>
                              <w:spacing w:line="20" w:lineRule="exact"/>
                              <w:rPr>
                                <w:rFonts w:ascii="標楷體" w:hAnsi="標楷體"/>
                                <w:b/>
                                <w:szCs w:val="24"/>
                              </w:rPr>
                            </w:pPr>
                          </w:p>
                          <w:p w14:paraId="2EF4D8BF" w14:textId="77777777" w:rsidR="00406878" w:rsidRDefault="00406878" w:rsidP="00406878">
                            <w:pPr>
                              <w:spacing w:line="20" w:lineRule="exact"/>
                              <w:rPr>
                                <w:rFonts w:ascii="標楷體" w:hAnsi="標楷體"/>
                                <w:b/>
                                <w:szCs w:val="24"/>
                              </w:rPr>
                            </w:pPr>
                          </w:p>
                          <w:p w14:paraId="022BD548" w14:textId="77777777" w:rsidR="00406878" w:rsidRDefault="00406878" w:rsidP="00406878">
                            <w:pPr>
                              <w:spacing w:line="20" w:lineRule="exact"/>
                              <w:rPr>
                                <w:rFonts w:ascii="標楷體" w:hAnsi="標楷體"/>
                                <w:b/>
                                <w:szCs w:val="24"/>
                              </w:rPr>
                            </w:pPr>
                          </w:p>
                          <w:p w14:paraId="66A1DFFB" w14:textId="77777777" w:rsidR="00406878" w:rsidRDefault="00406878" w:rsidP="00406878">
                            <w:pPr>
                              <w:spacing w:line="20" w:lineRule="exact"/>
                              <w:rPr>
                                <w:rFonts w:ascii="標楷體" w:hAnsi="標楷體"/>
                                <w:b/>
                                <w:szCs w:val="24"/>
                              </w:rPr>
                            </w:pPr>
                          </w:p>
                          <w:p w14:paraId="6B1A7C32" w14:textId="77777777" w:rsidR="00406878" w:rsidRDefault="00406878" w:rsidP="00406878">
                            <w:pPr>
                              <w:spacing w:line="20" w:lineRule="exact"/>
                              <w:rPr>
                                <w:rFonts w:ascii="標楷體" w:hAnsi="標楷體"/>
                                <w:b/>
                                <w:szCs w:val="24"/>
                              </w:rPr>
                            </w:pPr>
                          </w:p>
                          <w:p w14:paraId="721B7D1A" w14:textId="77777777" w:rsidR="00406878" w:rsidRDefault="00406878" w:rsidP="00406878">
                            <w:pPr>
                              <w:spacing w:line="20" w:lineRule="exact"/>
                              <w:rPr>
                                <w:rFonts w:ascii="標楷體" w:hAnsi="標楷體"/>
                                <w:b/>
                                <w:szCs w:val="24"/>
                              </w:rPr>
                            </w:pPr>
                          </w:p>
                          <w:p w14:paraId="239B40DD" w14:textId="77777777" w:rsidR="00406878" w:rsidRDefault="00406878" w:rsidP="00406878">
                            <w:pPr>
                              <w:spacing w:line="20" w:lineRule="exact"/>
                              <w:rPr>
                                <w:rFonts w:ascii="標楷體" w:hAnsi="標楷體"/>
                                <w:b/>
                                <w:szCs w:val="24"/>
                              </w:rPr>
                            </w:pPr>
                          </w:p>
                          <w:p w14:paraId="16141FDA" w14:textId="77777777" w:rsidR="00406878" w:rsidRDefault="00406878" w:rsidP="00406878">
                            <w:pPr>
                              <w:spacing w:line="20" w:lineRule="exact"/>
                              <w:rPr>
                                <w:rFonts w:ascii="標楷體" w:hAnsi="標楷體"/>
                                <w:b/>
                                <w:szCs w:val="24"/>
                              </w:rPr>
                            </w:pPr>
                          </w:p>
                          <w:p w14:paraId="1D169F33" w14:textId="77777777" w:rsidR="00406878" w:rsidRDefault="00406878" w:rsidP="00406878">
                            <w:pPr>
                              <w:spacing w:line="20" w:lineRule="exact"/>
                              <w:rPr>
                                <w:rFonts w:ascii="標楷體" w:hAnsi="標楷體"/>
                                <w:b/>
                                <w:szCs w:val="24"/>
                              </w:rPr>
                            </w:pPr>
                          </w:p>
                          <w:p w14:paraId="07E6396D" w14:textId="77777777" w:rsidR="00406878" w:rsidRDefault="00406878" w:rsidP="00406878">
                            <w:pPr>
                              <w:spacing w:line="20" w:lineRule="exact"/>
                              <w:rPr>
                                <w:rFonts w:ascii="標楷體" w:hAnsi="標楷體"/>
                                <w:b/>
                                <w:szCs w:val="24"/>
                              </w:rPr>
                            </w:pPr>
                          </w:p>
                          <w:p w14:paraId="2635D288" w14:textId="77777777" w:rsidR="00406878" w:rsidRDefault="00406878" w:rsidP="00406878">
                            <w:pPr>
                              <w:spacing w:line="20" w:lineRule="exact"/>
                              <w:rPr>
                                <w:rFonts w:ascii="標楷體" w:hAnsi="標楷體"/>
                                <w:b/>
                                <w:szCs w:val="24"/>
                              </w:rPr>
                            </w:pPr>
                          </w:p>
                          <w:p w14:paraId="79DA6D44" w14:textId="77777777" w:rsidR="00406878" w:rsidRDefault="00406878" w:rsidP="00406878">
                            <w:pPr>
                              <w:spacing w:line="20" w:lineRule="exact"/>
                              <w:rPr>
                                <w:rFonts w:ascii="標楷體" w:hAnsi="標楷體"/>
                                <w:b/>
                                <w:szCs w:val="24"/>
                              </w:rPr>
                            </w:pPr>
                          </w:p>
                          <w:p w14:paraId="4B9EBCF1" w14:textId="77777777" w:rsidR="00406878" w:rsidRDefault="00406878" w:rsidP="00406878">
                            <w:pPr>
                              <w:spacing w:line="20" w:lineRule="exact"/>
                              <w:rPr>
                                <w:rFonts w:ascii="標楷體" w:hAnsi="標楷體"/>
                                <w:b/>
                                <w:szCs w:val="24"/>
                              </w:rPr>
                            </w:pPr>
                          </w:p>
                          <w:p w14:paraId="23C3517A" w14:textId="77777777" w:rsidR="00406878" w:rsidRDefault="00406878" w:rsidP="00406878">
                            <w:pPr>
                              <w:spacing w:line="20" w:lineRule="exact"/>
                              <w:rPr>
                                <w:rFonts w:ascii="標楷體" w:hAnsi="標楷體"/>
                                <w:b/>
                                <w:szCs w:val="24"/>
                              </w:rPr>
                            </w:pPr>
                          </w:p>
                          <w:p w14:paraId="17198CB1" w14:textId="77777777" w:rsidR="00406878" w:rsidRDefault="00406878" w:rsidP="00406878">
                            <w:pPr>
                              <w:spacing w:line="20" w:lineRule="exact"/>
                              <w:rPr>
                                <w:rFonts w:ascii="標楷體" w:hAnsi="標楷體"/>
                                <w:b/>
                                <w:szCs w:val="24"/>
                              </w:rPr>
                            </w:pPr>
                          </w:p>
                          <w:p w14:paraId="4A370DD5" w14:textId="77777777" w:rsidR="00406878" w:rsidRDefault="00406878" w:rsidP="00406878">
                            <w:pPr>
                              <w:spacing w:line="20" w:lineRule="exact"/>
                              <w:rPr>
                                <w:rFonts w:ascii="標楷體" w:hAnsi="標楷體"/>
                                <w:b/>
                                <w:szCs w:val="24"/>
                              </w:rPr>
                            </w:pPr>
                          </w:p>
                          <w:p w14:paraId="3D1A92AD" w14:textId="77777777" w:rsidR="00406878" w:rsidRDefault="00406878" w:rsidP="00406878">
                            <w:pPr>
                              <w:spacing w:line="20" w:lineRule="exact"/>
                              <w:rPr>
                                <w:rFonts w:ascii="標楷體" w:hAnsi="標楷體"/>
                                <w:b/>
                                <w:szCs w:val="24"/>
                              </w:rPr>
                            </w:pPr>
                          </w:p>
                          <w:p w14:paraId="3F79B8B6" w14:textId="77777777" w:rsidR="00406878" w:rsidRDefault="00406878" w:rsidP="00406878">
                            <w:pPr>
                              <w:spacing w:line="20" w:lineRule="exact"/>
                              <w:rPr>
                                <w:rFonts w:ascii="標楷體" w:hAnsi="標楷體"/>
                                <w:b/>
                                <w:szCs w:val="24"/>
                              </w:rPr>
                            </w:pPr>
                          </w:p>
                          <w:p w14:paraId="3BAFEAFF" w14:textId="77777777" w:rsidR="00406878" w:rsidRDefault="00406878" w:rsidP="00406878">
                            <w:pPr>
                              <w:spacing w:line="20" w:lineRule="exact"/>
                              <w:rPr>
                                <w:rFonts w:ascii="標楷體" w:hAnsi="標楷體"/>
                                <w:b/>
                                <w:szCs w:val="24"/>
                              </w:rPr>
                            </w:pPr>
                          </w:p>
                          <w:p w14:paraId="66D6FA0C" w14:textId="77777777" w:rsidR="00406878" w:rsidRDefault="00406878" w:rsidP="00406878">
                            <w:pPr>
                              <w:spacing w:line="20" w:lineRule="exact"/>
                              <w:rPr>
                                <w:rFonts w:ascii="標楷體" w:hAnsi="標楷體"/>
                                <w:b/>
                                <w:szCs w:val="24"/>
                              </w:rPr>
                            </w:pPr>
                          </w:p>
                          <w:p w14:paraId="60438E27" w14:textId="77777777" w:rsidR="00406878" w:rsidRDefault="00406878" w:rsidP="00406878">
                            <w:pPr>
                              <w:spacing w:line="20" w:lineRule="exact"/>
                              <w:rPr>
                                <w:rFonts w:ascii="標楷體" w:hAnsi="標楷體"/>
                                <w:b/>
                                <w:szCs w:val="24"/>
                              </w:rPr>
                            </w:pPr>
                          </w:p>
                          <w:p w14:paraId="1AB1484F" w14:textId="77777777" w:rsidR="00406878" w:rsidRDefault="00406878" w:rsidP="00406878">
                            <w:pPr>
                              <w:spacing w:line="20" w:lineRule="exact"/>
                              <w:rPr>
                                <w:rFonts w:ascii="標楷體" w:hAnsi="標楷體"/>
                                <w:b/>
                                <w:szCs w:val="24"/>
                              </w:rPr>
                            </w:pPr>
                          </w:p>
                          <w:p w14:paraId="1E2FC5E2" w14:textId="77777777" w:rsidR="00406878" w:rsidRDefault="00406878" w:rsidP="00406878">
                            <w:pPr>
                              <w:spacing w:line="20" w:lineRule="exact"/>
                              <w:rPr>
                                <w:rFonts w:ascii="標楷體" w:hAnsi="標楷體"/>
                                <w:b/>
                                <w:szCs w:val="24"/>
                              </w:rPr>
                            </w:pPr>
                          </w:p>
                          <w:p w14:paraId="29C73802" w14:textId="77777777" w:rsidR="00406878" w:rsidRDefault="00406878" w:rsidP="00406878">
                            <w:pPr>
                              <w:spacing w:line="20" w:lineRule="exact"/>
                              <w:rPr>
                                <w:rFonts w:ascii="標楷體" w:hAnsi="標楷體"/>
                                <w:b/>
                                <w:szCs w:val="24"/>
                              </w:rPr>
                            </w:pPr>
                          </w:p>
                          <w:p w14:paraId="5ABC7473" w14:textId="77777777" w:rsidR="00406878" w:rsidRDefault="00406878" w:rsidP="00406878">
                            <w:pPr>
                              <w:spacing w:line="20" w:lineRule="exact"/>
                              <w:rPr>
                                <w:rFonts w:ascii="標楷體" w:hAnsi="標楷體"/>
                                <w:b/>
                                <w:szCs w:val="24"/>
                              </w:rPr>
                            </w:pPr>
                          </w:p>
                          <w:p w14:paraId="0ACC43CF" w14:textId="77777777" w:rsidR="00406878" w:rsidRDefault="00406878" w:rsidP="00406878">
                            <w:pPr>
                              <w:spacing w:line="20" w:lineRule="exact"/>
                              <w:rPr>
                                <w:rFonts w:ascii="標楷體" w:hAnsi="標楷體"/>
                                <w:b/>
                                <w:szCs w:val="24"/>
                              </w:rPr>
                            </w:pPr>
                          </w:p>
                          <w:p w14:paraId="5952227B" w14:textId="77777777" w:rsidR="00406878" w:rsidRDefault="00406878" w:rsidP="00406878">
                            <w:pPr>
                              <w:spacing w:line="20" w:lineRule="exact"/>
                              <w:rPr>
                                <w:rFonts w:ascii="標楷體" w:hAnsi="標楷體"/>
                                <w:b/>
                                <w:szCs w:val="24"/>
                              </w:rPr>
                            </w:pPr>
                          </w:p>
                          <w:p w14:paraId="3F01B10F" w14:textId="77777777" w:rsidR="00406878" w:rsidRDefault="00406878" w:rsidP="00406878">
                            <w:pPr>
                              <w:spacing w:line="20" w:lineRule="exact"/>
                              <w:rPr>
                                <w:rFonts w:ascii="標楷體" w:hAnsi="標楷體"/>
                                <w:b/>
                                <w:szCs w:val="24"/>
                              </w:rPr>
                            </w:pPr>
                          </w:p>
                          <w:p w14:paraId="3EF26743" w14:textId="77777777" w:rsidR="00406878" w:rsidRDefault="00406878" w:rsidP="00406878">
                            <w:pPr>
                              <w:spacing w:line="20" w:lineRule="exact"/>
                              <w:rPr>
                                <w:rFonts w:ascii="標楷體" w:hAnsi="標楷體"/>
                                <w:b/>
                                <w:szCs w:val="24"/>
                              </w:rPr>
                            </w:pPr>
                          </w:p>
                          <w:p w14:paraId="747054DF" w14:textId="77777777" w:rsidR="00406878" w:rsidRDefault="00406878" w:rsidP="00406878">
                            <w:pPr>
                              <w:spacing w:line="20" w:lineRule="exact"/>
                              <w:rPr>
                                <w:rFonts w:ascii="標楷體" w:hAnsi="標楷體"/>
                                <w:b/>
                                <w:szCs w:val="24"/>
                              </w:rPr>
                            </w:pPr>
                          </w:p>
                          <w:p w14:paraId="1474DF8F" w14:textId="77777777" w:rsidR="00406878" w:rsidRDefault="00406878" w:rsidP="00406878">
                            <w:pPr>
                              <w:spacing w:line="20" w:lineRule="exact"/>
                              <w:rPr>
                                <w:rFonts w:ascii="標楷體" w:hAnsi="標楷體"/>
                                <w:b/>
                                <w:szCs w:val="24"/>
                              </w:rPr>
                            </w:pPr>
                          </w:p>
                          <w:p w14:paraId="62B11DD4" w14:textId="77777777" w:rsidR="00406878" w:rsidRDefault="00406878" w:rsidP="00406878">
                            <w:pPr>
                              <w:spacing w:line="20" w:lineRule="exact"/>
                              <w:rPr>
                                <w:rFonts w:ascii="標楷體" w:hAnsi="標楷體"/>
                                <w:b/>
                                <w:szCs w:val="24"/>
                              </w:rPr>
                            </w:pPr>
                          </w:p>
                          <w:p w14:paraId="3FD246A7" w14:textId="77777777" w:rsidR="00406878" w:rsidRDefault="00406878" w:rsidP="00406878">
                            <w:pPr>
                              <w:spacing w:line="20" w:lineRule="exact"/>
                              <w:rPr>
                                <w:rFonts w:ascii="標楷體" w:hAnsi="標楷體"/>
                                <w:b/>
                                <w:szCs w:val="24"/>
                              </w:rPr>
                            </w:pPr>
                          </w:p>
                          <w:p w14:paraId="00ED3915" w14:textId="77777777" w:rsidR="00406878" w:rsidRDefault="00406878" w:rsidP="00406878">
                            <w:pPr>
                              <w:spacing w:line="20" w:lineRule="exact"/>
                              <w:rPr>
                                <w:rFonts w:ascii="標楷體" w:hAnsi="標楷體"/>
                                <w:b/>
                                <w:szCs w:val="24"/>
                              </w:rPr>
                            </w:pPr>
                          </w:p>
                          <w:p w14:paraId="27B387E3" w14:textId="77777777" w:rsidR="00406878" w:rsidRDefault="00406878" w:rsidP="00406878">
                            <w:pPr>
                              <w:spacing w:line="20" w:lineRule="exact"/>
                              <w:rPr>
                                <w:rFonts w:ascii="標楷體" w:hAnsi="標楷體"/>
                                <w:b/>
                                <w:szCs w:val="24"/>
                              </w:rPr>
                            </w:pPr>
                          </w:p>
                          <w:p w14:paraId="2D70DE38" w14:textId="77777777" w:rsidR="00406878" w:rsidRDefault="00406878" w:rsidP="00406878">
                            <w:pPr>
                              <w:spacing w:line="20" w:lineRule="exact"/>
                              <w:rPr>
                                <w:rFonts w:ascii="標楷體" w:hAnsi="標楷體"/>
                                <w:b/>
                                <w:szCs w:val="24"/>
                              </w:rPr>
                            </w:pPr>
                          </w:p>
                          <w:p w14:paraId="5E09C5A6" w14:textId="77777777" w:rsidR="00406878" w:rsidRDefault="00406878" w:rsidP="00406878">
                            <w:pPr>
                              <w:spacing w:line="20" w:lineRule="exact"/>
                              <w:rPr>
                                <w:rFonts w:ascii="標楷體" w:hAnsi="標楷體"/>
                                <w:b/>
                                <w:szCs w:val="24"/>
                              </w:rPr>
                            </w:pPr>
                          </w:p>
                          <w:p w14:paraId="37F05572" w14:textId="77777777" w:rsidR="00406878" w:rsidRDefault="00406878" w:rsidP="00406878">
                            <w:pPr>
                              <w:spacing w:line="20" w:lineRule="exact"/>
                              <w:rPr>
                                <w:rFonts w:ascii="標楷體" w:hAnsi="標楷體"/>
                                <w:b/>
                                <w:szCs w:val="24"/>
                              </w:rPr>
                            </w:pPr>
                          </w:p>
                          <w:p w14:paraId="1A0ADA5F" w14:textId="77777777" w:rsidR="00406878" w:rsidRDefault="00406878" w:rsidP="00406878">
                            <w:pPr>
                              <w:spacing w:line="20" w:lineRule="exact"/>
                              <w:rPr>
                                <w:rFonts w:ascii="標楷體" w:hAnsi="標楷體"/>
                                <w:b/>
                                <w:szCs w:val="24"/>
                              </w:rPr>
                            </w:pPr>
                          </w:p>
                          <w:p w14:paraId="2D682DD4" w14:textId="77777777" w:rsidR="00406878" w:rsidRDefault="00406878" w:rsidP="00406878">
                            <w:pPr>
                              <w:spacing w:line="20" w:lineRule="exact"/>
                              <w:rPr>
                                <w:rFonts w:ascii="標楷體" w:hAnsi="標楷體"/>
                                <w:b/>
                                <w:szCs w:val="24"/>
                              </w:rPr>
                            </w:pPr>
                          </w:p>
                          <w:p w14:paraId="10B2E427" w14:textId="77777777" w:rsidR="00406878" w:rsidRDefault="00406878" w:rsidP="00406878">
                            <w:pPr>
                              <w:spacing w:line="20" w:lineRule="exact"/>
                              <w:rPr>
                                <w:rFonts w:ascii="標楷體" w:hAnsi="標楷體"/>
                                <w:b/>
                                <w:szCs w:val="24"/>
                              </w:rPr>
                            </w:pPr>
                          </w:p>
                          <w:p w14:paraId="39E7603E" w14:textId="77777777" w:rsidR="00406878" w:rsidRDefault="00406878" w:rsidP="00406878">
                            <w:pPr>
                              <w:spacing w:line="20" w:lineRule="exact"/>
                              <w:rPr>
                                <w:rFonts w:ascii="標楷體" w:hAnsi="標楷體"/>
                                <w:b/>
                                <w:szCs w:val="24"/>
                              </w:rPr>
                            </w:pPr>
                          </w:p>
                          <w:p w14:paraId="7C640D93" w14:textId="77777777" w:rsidR="00406878" w:rsidRDefault="00406878" w:rsidP="00406878">
                            <w:pPr>
                              <w:spacing w:line="20" w:lineRule="exact"/>
                              <w:rPr>
                                <w:rFonts w:ascii="標楷體" w:hAnsi="標楷體"/>
                                <w:b/>
                                <w:szCs w:val="24"/>
                              </w:rPr>
                            </w:pPr>
                          </w:p>
                          <w:p w14:paraId="2569C58D" w14:textId="77777777" w:rsidR="00406878" w:rsidRDefault="00406878" w:rsidP="00406878">
                            <w:pPr>
                              <w:spacing w:line="20" w:lineRule="exact"/>
                              <w:rPr>
                                <w:rFonts w:ascii="標楷體" w:hAnsi="標楷體"/>
                                <w:b/>
                                <w:szCs w:val="24"/>
                              </w:rPr>
                            </w:pPr>
                          </w:p>
                          <w:p w14:paraId="65CC8385" w14:textId="77777777" w:rsidR="00406878" w:rsidRDefault="00406878" w:rsidP="00406878">
                            <w:pPr>
                              <w:spacing w:line="20" w:lineRule="exact"/>
                              <w:rPr>
                                <w:rFonts w:ascii="標楷體" w:hAnsi="標楷體"/>
                                <w:b/>
                                <w:szCs w:val="24"/>
                              </w:rPr>
                            </w:pPr>
                          </w:p>
                          <w:p w14:paraId="71DE623A" w14:textId="77777777" w:rsidR="00406878" w:rsidRDefault="00406878" w:rsidP="00406878">
                            <w:pPr>
                              <w:spacing w:line="20" w:lineRule="exact"/>
                              <w:rPr>
                                <w:rFonts w:ascii="標楷體" w:hAnsi="標楷體"/>
                                <w:b/>
                                <w:szCs w:val="24"/>
                              </w:rPr>
                            </w:pPr>
                          </w:p>
                          <w:p w14:paraId="7B6B2DE6" w14:textId="77777777" w:rsidR="00406878" w:rsidRDefault="00406878" w:rsidP="00406878">
                            <w:pPr>
                              <w:spacing w:line="20" w:lineRule="exact"/>
                              <w:rPr>
                                <w:rFonts w:ascii="標楷體" w:hAnsi="標楷體"/>
                                <w:b/>
                                <w:szCs w:val="24"/>
                              </w:rPr>
                            </w:pPr>
                          </w:p>
                          <w:p w14:paraId="59CCC0DF" w14:textId="77777777" w:rsidR="00406878" w:rsidRDefault="00406878" w:rsidP="00406878">
                            <w:pPr>
                              <w:spacing w:line="20" w:lineRule="exact"/>
                              <w:rPr>
                                <w:rFonts w:ascii="標楷體" w:hAnsi="標楷體"/>
                                <w:b/>
                                <w:szCs w:val="24"/>
                              </w:rPr>
                            </w:pPr>
                          </w:p>
                          <w:p w14:paraId="1F100FA5" w14:textId="77777777" w:rsidR="00406878" w:rsidRDefault="00406878" w:rsidP="00406878">
                            <w:pPr>
                              <w:spacing w:line="20" w:lineRule="exact"/>
                              <w:rPr>
                                <w:rFonts w:ascii="標楷體" w:hAnsi="標楷體"/>
                                <w:b/>
                                <w:szCs w:val="24"/>
                              </w:rPr>
                            </w:pPr>
                          </w:p>
                          <w:p w14:paraId="4634DE3F" w14:textId="77777777" w:rsidR="00406878" w:rsidRDefault="00406878" w:rsidP="00406878">
                            <w:pPr>
                              <w:spacing w:line="20" w:lineRule="exact"/>
                              <w:rPr>
                                <w:rFonts w:ascii="標楷體" w:hAnsi="標楷體"/>
                                <w:b/>
                                <w:szCs w:val="24"/>
                              </w:rPr>
                            </w:pPr>
                          </w:p>
                          <w:p w14:paraId="753EDE4A" w14:textId="77777777" w:rsidR="00406878" w:rsidRDefault="00406878" w:rsidP="00406878">
                            <w:pPr>
                              <w:spacing w:line="20" w:lineRule="exact"/>
                              <w:rPr>
                                <w:rFonts w:ascii="標楷體" w:hAnsi="標楷體"/>
                                <w:b/>
                                <w:szCs w:val="24"/>
                              </w:rPr>
                            </w:pPr>
                          </w:p>
                          <w:p w14:paraId="07E2C10F" w14:textId="77777777" w:rsidR="00406878" w:rsidRDefault="00406878" w:rsidP="00406878">
                            <w:pPr>
                              <w:spacing w:line="20" w:lineRule="exact"/>
                              <w:rPr>
                                <w:rFonts w:ascii="標楷體" w:hAnsi="標楷體"/>
                                <w:b/>
                                <w:szCs w:val="24"/>
                              </w:rPr>
                            </w:pPr>
                          </w:p>
                          <w:p w14:paraId="21151FD0" w14:textId="77777777" w:rsidR="00406878" w:rsidRDefault="00406878" w:rsidP="00406878">
                            <w:pPr>
                              <w:spacing w:line="20" w:lineRule="exact"/>
                              <w:rPr>
                                <w:rFonts w:ascii="標楷體" w:hAnsi="標楷體"/>
                                <w:b/>
                                <w:szCs w:val="24"/>
                              </w:rPr>
                            </w:pPr>
                          </w:p>
                          <w:p w14:paraId="42722D5A" w14:textId="77777777" w:rsidR="00406878" w:rsidRDefault="00406878" w:rsidP="00406878">
                            <w:pPr>
                              <w:spacing w:line="20" w:lineRule="exact"/>
                              <w:rPr>
                                <w:rFonts w:ascii="標楷體" w:hAnsi="標楷體"/>
                                <w:b/>
                                <w:szCs w:val="24"/>
                              </w:rPr>
                            </w:pPr>
                          </w:p>
                          <w:p w14:paraId="3142B7C7" w14:textId="77777777" w:rsidR="00406878" w:rsidRDefault="00406878" w:rsidP="00406878">
                            <w:pPr>
                              <w:spacing w:line="20" w:lineRule="exact"/>
                              <w:rPr>
                                <w:rFonts w:ascii="標楷體" w:hAnsi="標楷體"/>
                                <w:b/>
                                <w:szCs w:val="24"/>
                              </w:rPr>
                            </w:pPr>
                          </w:p>
                          <w:p w14:paraId="67911E37" w14:textId="77777777" w:rsidR="00406878" w:rsidRDefault="00406878" w:rsidP="00406878">
                            <w:pPr>
                              <w:spacing w:line="20" w:lineRule="exact"/>
                              <w:rPr>
                                <w:rFonts w:ascii="標楷體" w:hAnsi="標楷體"/>
                                <w:b/>
                                <w:szCs w:val="24"/>
                              </w:rPr>
                            </w:pPr>
                          </w:p>
                          <w:p w14:paraId="4541046A" w14:textId="77777777" w:rsidR="00406878" w:rsidRDefault="00406878" w:rsidP="00406878">
                            <w:pPr>
                              <w:spacing w:line="20" w:lineRule="exact"/>
                              <w:rPr>
                                <w:rFonts w:ascii="標楷體" w:hAnsi="標楷體"/>
                                <w:b/>
                                <w:szCs w:val="24"/>
                              </w:rPr>
                            </w:pPr>
                          </w:p>
                          <w:p w14:paraId="6A532794" w14:textId="77777777" w:rsidR="00406878" w:rsidRDefault="00406878" w:rsidP="00406878">
                            <w:pPr>
                              <w:spacing w:line="20" w:lineRule="exact"/>
                              <w:rPr>
                                <w:rFonts w:ascii="標楷體" w:hAnsi="標楷體"/>
                                <w:b/>
                                <w:szCs w:val="24"/>
                              </w:rPr>
                            </w:pPr>
                          </w:p>
                          <w:p w14:paraId="13224723" w14:textId="77777777" w:rsidR="00406878" w:rsidRDefault="00406878" w:rsidP="00406878">
                            <w:pPr>
                              <w:spacing w:line="20" w:lineRule="exact"/>
                              <w:rPr>
                                <w:rFonts w:ascii="標楷體" w:hAnsi="標楷體"/>
                                <w:b/>
                                <w:szCs w:val="24"/>
                              </w:rPr>
                            </w:pPr>
                          </w:p>
                          <w:p w14:paraId="250FD28C" w14:textId="77777777" w:rsidR="00406878" w:rsidRDefault="00406878" w:rsidP="00406878">
                            <w:pPr>
                              <w:spacing w:line="20" w:lineRule="exact"/>
                              <w:rPr>
                                <w:rFonts w:ascii="標楷體" w:hAnsi="標楷體"/>
                                <w:b/>
                                <w:szCs w:val="24"/>
                              </w:rPr>
                            </w:pPr>
                          </w:p>
                          <w:p w14:paraId="6B0D0D9D" w14:textId="77777777" w:rsidR="00406878" w:rsidRDefault="00406878" w:rsidP="00406878">
                            <w:pPr>
                              <w:spacing w:line="20" w:lineRule="exact"/>
                              <w:rPr>
                                <w:rFonts w:ascii="標楷體" w:hAnsi="標楷體"/>
                                <w:b/>
                                <w:szCs w:val="24"/>
                              </w:rPr>
                            </w:pPr>
                          </w:p>
                          <w:p w14:paraId="6ED0282F" w14:textId="77777777" w:rsidR="00406878" w:rsidRDefault="00406878" w:rsidP="00406878">
                            <w:pPr>
                              <w:spacing w:line="20" w:lineRule="exact"/>
                              <w:rPr>
                                <w:rFonts w:ascii="標楷體" w:hAnsi="標楷體"/>
                                <w:b/>
                                <w:szCs w:val="24"/>
                              </w:rPr>
                            </w:pPr>
                          </w:p>
                          <w:p w14:paraId="42A27F7F" w14:textId="77777777" w:rsidR="00406878" w:rsidRDefault="00406878" w:rsidP="00406878">
                            <w:pPr>
                              <w:spacing w:line="20" w:lineRule="exact"/>
                              <w:rPr>
                                <w:rFonts w:ascii="標楷體" w:hAnsi="標楷體"/>
                                <w:b/>
                                <w:szCs w:val="24"/>
                              </w:rPr>
                            </w:pPr>
                          </w:p>
                          <w:p w14:paraId="6F01FEAE" w14:textId="77777777" w:rsidR="00406878" w:rsidRDefault="00406878" w:rsidP="00406878">
                            <w:pPr>
                              <w:spacing w:line="20" w:lineRule="exact"/>
                              <w:rPr>
                                <w:rFonts w:ascii="標楷體" w:hAnsi="標楷體"/>
                                <w:b/>
                                <w:szCs w:val="24"/>
                              </w:rPr>
                            </w:pPr>
                          </w:p>
                          <w:p w14:paraId="3A94475B" w14:textId="77777777" w:rsidR="00406878" w:rsidRDefault="00406878" w:rsidP="00406878">
                            <w:pPr>
                              <w:spacing w:line="20" w:lineRule="exact"/>
                              <w:rPr>
                                <w:rFonts w:ascii="標楷體" w:hAnsi="標楷體"/>
                                <w:b/>
                                <w:szCs w:val="24"/>
                              </w:rPr>
                            </w:pPr>
                          </w:p>
                          <w:p w14:paraId="6582487F" w14:textId="77777777" w:rsidR="00406878" w:rsidRDefault="00406878" w:rsidP="00406878">
                            <w:pPr>
                              <w:spacing w:line="20" w:lineRule="exact"/>
                              <w:rPr>
                                <w:rFonts w:ascii="標楷體" w:hAnsi="標楷體"/>
                                <w:b/>
                                <w:szCs w:val="24"/>
                              </w:rPr>
                            </w:pPr>
                          </w:p>
                          <w:p w14:paraId="52241331" w14:textId="77777777" w:rsidR="00406878" w:rsidRDefault="00406878" w:rsidP="00406878">
                            <w:pPr>
                              <w:spacing w:line="20" w:lineRule="exact"/>
                              <w:rPr>
                                <w:rFonts w:ascii="標楷體" w:hAnsi="標楷體"/>
                                <w:b/>
                                <w:szCs w:val="24"/>
                              </w:rPr>
                            </w:pPr>
                          </w:p>
                          <w:p w14:paraId="4D011D96" w14:textId="77777777" w:rsidR="00406878" w:rsidRDefault="00406878" w:rsidP="00406878">
                            <w:pPr>
                              <w:spacing w:line="20" w:lineRule="exact"/>
                              <w:rPr>
                                <w:rFonts w:ascii="標楷體" w:hAnsi="標楷體"/>
                                <w:b/>
                                <w:szCs w:val="24"/>
                              </w:rPr>
                            </w:pPr>
                          </w:p>
                          <w:p w14:paraId="3ED8D4B7" w14:textId="77777777" w:rsidR="00406878" w:rsidRDefault="00406878" w:rsidP="00406878">
                            <w:pPr>
                              <w:spacing w:line="20" w:lineRule="exact"/>
                              <w:rPr>
                                <w:rFonts w:ascii="標楷體" w:hAnsi="標楷體"/>
                                <w:b/>
                                <w:szCs w:val="24"/>
                              </w:rPr>
                            </w:pPr>
                          </w:p>
                          <w:p w14:paraId="1F65466D" w14:textId="77777777" w:rsidR="00406878" w:rsidRDefault="00406878" w:rsidP="00406878">
                            <w:pPr>
                              <w:spacing w:line="20" w:lineRule="exact"/>
                              <w:rPr>
                                <w:rFonts w:ascii="標楷體" w:hAnsi="標楷體"/>
                                <w:b/>
                                <w:szCs w:val="24"/>
                              </w:rPr>
                            </w:pPr>
                          </w:p>
                          <w:p w14:paraId="0B4B8430" w14:textId="77777777" w:rsidR="00406878" w:rsidRDefault="00406878" w:rsidP="00406878">
                            <w:pPr>
                              <w:spacing w:line="20" w:lineRule="exact"/>
                              <w:rPr>
                                <w:rFonts w:ascii="標楷體" w:hAnsi="標楷體"/>
                                <w:b/>
                                <w:szCs w:val="24"/>
                              </w:rPr>
                            </w:pPr>
                          </w:p>
                          <w:p w14:paraId="6B1AEEF1" w14:textId="77777777" w:rsidR="00406878" w:rsidRDefault="00406878" w:rsidP="00406878">
                            <w:pPr>
                              <w:spacing w:line="20" w:lineRule="exact"/>
                              <w:rPr>
                                <w:rFonts w:ascii="標楷體" w:hAnsi="標楷體"/>
                                <w:b/>
                                <w:szCs w:val="24"/>
                              </w:rPr>
                            </w:pPr>
                          </w:p>
                          <w:p w14:paraId="034D74A9" w14:textId="77777777" w:rsidR="00406878" w:rsidRDefault="00406878" w:rsidP="00406878">
                            <w:pPr>
                              <w:spacing w:line="20" w:lineRule="exact"/>
                              <w:rPr>
                                <w:rFonts w:ascii="標楷體" w:hAnsi="標楷體"/>
                                <w:b/>
                                <w:szCs w:val="24"/>
                              </w:rPr>
                            </w:pPr>
                          </w:p>
                          <w:p w14:paraId="4D813A74" w14:textId="77777777" w:rsidR="00406878" w:rsidRDefault="00406878" w:rsidP="00406878">
                            <w:pPr>
                              <w:spacing w:line="20" w:lineRule="exact"/>
                              <w:rPr>
                                <w:rFonts w:ascii="標楷體" w:hAnsi="標楷體"/>
                                <w:b/>
                                <w:szCs w:val="24"/>
                              </w:rPr>
                            </w:pPr>
                          </w:p>
                          <w:p w14:paraId="71AC63C9" w14:textId="77777777" w:rsidR="00406878" w:rsidRDefault="00406878" w:rsidP="00406878">
                            <w:pPr>
                              <w:spacing w:line="20" w:lineRule="exact"/>
                              <w:rPr>
                                <w:rFonts w:ascii="標楷體" w:hAnsi="標楷體"/>
                                <w:b/>
                                <w:szCs w:val="24"/>
                              </w:rPr>
                            </w:pPr>
                          </w:p>
                          <w:p w14:paraId="7D7CF939" w14:textId="77777777" w:rsidR="00406878" w:rsidRDefault="00406878" w:rsidP="00406878">
                            <w:pPr>
                              <w:spacing w:line="20" w:lineRule="exact"/>
                              <w:rPr>
                                <w:rFonts w:ascii="標楷體" w:hAnsi="標楷體"/>
                                <w:b/>
                                <w:szCs w:val="24"/>
                              </w:rPr>
                            </w:pPr>
                          </w:p>
                          <w:p w14:paraId="3E71EC6E" w14:textId="77777777" w:rsidR="00406878" w:rsidRDefault="00406878" w:rsidP="00406878">
                            <w:pPr>
                              <w:spacing w:line="20" w:lineRule="exact"/>
                              <w:rPr>
                                <w:rFonts w:ascii="標楷體" w:hAnsi="標楷體"/>
                                <w:b/>
                                <w:szCs w:val="24"/>
                              </w:rPr>
                            </w:pPr>
                          </w:p>
                          <w:p w14:paraId="33880104" w14:textId="77777777" w:rsidR="00406878" w:rsidRDefault="00406878" w:rsidP="00406878">
                            <w:pPr>
                              <w:spacing w:line="20" w:lineRule="exact"/>
                              <w:rPr>
                                <w:rFonts w:ascii="標楷體" w:hAnsi="標楷體"/>
                                <w:b/>
                                <w:szCs w:val="24"/>
                              </w:rPr>
                            </w:pPr>
                          </w:p>
                          <w:p w14:paraId="039BD41E" w14:textId="77777777" w:rsidR="00406878" w:rsidRDefault="00406878" w:rsidP="00406878">
                            <w:pPr>
                              <w:spacing w:line="20" w:lineRule="exact"/>
                              <w:rPr>
                                <w:rFonts w:ascii="標楷體" w:hAnsi="標楷體"/>
                                <w:b/>
                                <w:szCs w:val="24"/>
                              </w:rPr>
                            </w:pPr>
                          </w:p>
                          <w:p w14:paraId="0C253853" w14:textId="77777777" w:rsidR="00406878" w:rsidRDefault="00406878" w:rsidP="00406878">
                            <w:pPr>
                              <w:spacing w:line="20" w:lineRule="exact"/>
                              <w:rPr>
                                <w:rFonts w:ascii="標楷體" w:hAnsi="標楷體"/>
                                <w:b/>
                                <w:szCs w:val="24"/>
                              </w:rPr>
                            </w:pPr>
                          </w:p>
                          <w:p w14:paraId="0AEE8F30" w14:textId="77777777" w:rsidR="00406878" w:rsidRDefault="00406878" w:rsidP="00406878">
                            <w:pPr>
                              <w:spacing w:line="20" w:lineRule="exact"/>
                              <w:rPr>
                                <w:rFonts w:ascii="標楷體" w:hAnsi="標楷體"/>
                                <w:b/>
                                <w:szCs w:val="24"/>
                              </w:rPr>
                            </w:pPr>
                          </w:p>
                          <w:p w14:paraId="7CF7DF67" w14:textId="77777777" w:rsidR="00406878" w:rsidRDefault="00406878" w:rsidP="00406878">
                            <w:pPr>
                              <w:spacing w:line="20" w:lineRule="exact"/>
                              <w:rPr>
                                <w:rFonts w:ascii="標楷體" w:hAnsi="標楷體"/>
                                <w:b/>
                                <w:szCs w:val="24"/>
                              </w:rPr>
                            </w:pPr>
                          </w:p>
                          <w:p w14:paraId="4C4270BF" w14:textId="77777777" w:rsidR="00406878" w:rsidRDefault="00406878" w:rsidP="00406878">
                            <w:pPr>
                              <w:spacing w:line="20" w:lineRule="exact"/>
                              <w:rPr>
                                <w:rFonts w:ascii="標楷體" w:hAnsi="標楷體"/>
                                <w:b/>
                                <w:szCs w:val="24"/>
                              </w:rPr>
                            </w:pPr>
                          </w:p>
                          <w:p w14:paraId="2BEC32D1" w14:textId="77777777" w:rsidR="00406878" w:rsidRDefault="00406878" w:rsidP="00406878">
                            <w:pPr>
                              <w:spacing w:line="20" w:lineRule="exact"/>
                              <w:rPr>
                                <w:rFonts w:ascii="標楷體" w:hAnsi="標楷體"/>
                                <w:b/>
                                <w:szCs w:val="24"/>
                              </w:rPr>
                            </w:pPr>
                          </w:p>
                          <w:p w14:paraId="1F665731" w14:textId="77777777" w:rsidR="00406878" w:rsidRDefault="00406878" w:rsidP="00406878">
                            <w:pPr>
                              <w:spacing w:line="20" w:lineRule="exact"/>
                              <w:rPr>
                                <w:rFonts w:ascii="標楷體" w:hAnsi="標楷體"/>
                                <w:b/>
                                <w:szCs w:val="24"/>
                              </w:rPr>
                            </w:pPr>
                          </w:p>
                          <w:p w14:paraId="342BAF6B" w14:textId="77777777" w:rsidR="00406878" w:rsidRDefault="00406878" w:rsidP="00406878">
                            <w:pPr>
                              <w:spacing w:line="20" w:lineRule="exact"/>
                              <w:rPr>
                                <w:rFonts w:ascii="標楷體" w:hAnsi="標楷體"/>
                                <w:b/>
                                <w:szCs w:val="24"/>
                              </w:rPr>
                            </w:pPr>
                          </w:p>
                          <w:p w14:paraId="0AF573B1" w14:textId="77777777" w:rsidR="00406878" w:rsidRDefault="00406878" w:rsidP="00406878">
                            <w:pPr>
                              <w:spacing w:line="20" w:lineRule="exact"/>
                              <w:rPr>
                                <w:rFonts w:ascii="標楷體" w:hAnsi="標楷體"/>
                                <w:b/>
                                <w:szCs w:val="24"/>
                              </w:rPr>
                            </w:pPr>
                          </w:p>
                          <w:p w14:paraId="0563FC49" w14:textId="77777777" w:rsidR="00406878" w:rsidRDefault="00406878" w:rsidP="00406878">
                            <w:pPr>
                              <w:spacing w:line="20" w:lineRule="exact"/>
                              <w:rPr>
                                <w:rFonts w:ascii="標楷體" w:hAnsi="標楷體"/>
                                <w:b/>
                                <w:szCs w:val="24"/>
                              </w:rPr>
                            </w:pPr>
                          </w:p>
                          <w:p w14:paraId="67D22BB9" w14:textId="77777777" w:rsidR="00406878" w:rsidRDefault="00406878" w:rsidP="00406878">
                            <w:pPr>
                              <w:spacing w:line="20" w:lineRule="exact"/>
                              <w:rPr>
                                <w:rFonts w:ascii="標楷體" w:hAnsi="標楷體"/>
                                <w:b/>
                                <w:szCs w:val="24"/>
                              </w:rPr>
                            </w:pPr>
                          </w:p>
                          <w:p w14:paraId="04E442AF" w14:textId="77777777" w:rsidR="00406878" w:rsidRDefault="00406878" w:rsidP="00406878">
                            <w:pPr>
                              <w:spacing w:line="20" w:lineRule="exact"/>
                              <w:rPr>
                                <w:rFonts w:ascii="標楷體" w:hAnsi="標楷體"/>
                                <w:b/>
                                <w:szCs w:val="24"/>
                              </w:rPr>
                            </w:pPr>
                          </w:p>
                          <w:p w14:paraId="43DEEB52" w14:textId="77777777" w:rsidR="00406878" w:rsidRDefault="00406878" w:rsidP="00406878">
                            <w:pPr>
                              <w:spacing w:line="20" w:lineRule="exact"/>
                              <w:rPr>
                                <w:rFonts w:ascii="標楷體" w:hAnsi="標楷體"/>
                                <w:b/>
                                <w:szCs w:val="24"/>
                              </w:rPr>
                            </w:pPr>
                          </w:p>
                          <w:p w14:paraId="59F68806" w14:textId="77777777" w:rsidR="00406878" w:rsidRDefault="00406878" w:rsidP="00406878">
                            <w:pPr>
                              <w:spacing w:line="20" w:lineRule="exact"/>
                              <w:rPr>
                                <w:rFonts w:ascii="標楷體" w:hAnsi="標楷體"/>
                                <w:b/>
                                <w:szCs w:val="24"/>
                              </w:rPr>
                            </w:pPr>
                          </w:p>
                          <w:p w14:paraId="61CD22D9" w14:textId="77777777" w:rsidR="00406878" w:rsidRDefault="00406878" w:rsidP="00406878">
                            <w:pPr>
                              <w:spacing w:line="20" w:lineRule="exact"/>
                              <w:rPr>
                                <w:rFonts w:ascii="標楷體" w:hAnsi="標楷體"/>
                                <w:b/>
                                <w:szCs w:val="24"/>
                              </w:rPr>
                            </w:pPr>
                          </w:p>
                          <w:p w14:paraId="15BEC26A" w14:textId="77777777" w:rsidR="00406878" w:rsidRDefault="00406878" w:rsidP="00406878">
                            <w:pPr>
                              <w:spacing w:line="20" w:lineRule="exact"/>
                              <w:rPr>
                                <w:rFonts w:ascii="標楷體" w:hAnsi="標楷體"/>
                                <w:b/>
                                <w:szCs w:val="24"/>
                              </w:rPr>
                            </w:pPr>
                          </w:p>
                          <w:p w14:paraId="52351F58" w14:textId="77777777" w:rsidR="00406878" w:rsidRDefault="00406878" w:rsidP="00406878">
                            <w:pPr>
                              <w:spacing w:line="20" w:lineRule="exact"/>
                              <w:rPr>
                                <w:rFonts w:ascii="標楷體" w:hAnsi="標楷體"/>
                                <w:b/>
                                <w:szCs w:val="24"/>
                              </w:rPr>
                            </w:pPr>
                          </w:p>
                          <w:p w14:paraId="5B004DB5" w14:textId="77777777" w:rsidR="00406878" w:rsidRDefault="00406878" w:rsidP="00406878">
                            <w:pPr>
                              <w:spacing w:line="20" w:lineRule="exact"/>
                              <w:rPr>
                                <w:rFonts w:ascii="標楷體" w:hAnsi="標楷體"/>
                                <w:b/>
                                <w:szCs w:val="24"/>
                              </w:rPr>
                            </w:pPr>
                          </w:p>
                          <w:p w14:paraId="35B1F152" w14:textId="77777777" w:rsidR="00406878" w:rsidRDefault="00406878" w:rsidP="00406878">
                            <w:pPr>
                              <w:spacing w:line="20" w:lineRule="exact"/>
                              <w:jc w:val="center"/>
                              <w:rPr>
                                <w:rFonts w:ascii="標楷體" w:hAnsi="標楷體"/>
                                <w:b/>
                                <w:szCs w:val="24"/>
                              </w:rPr>
                            </w:pPr>
                            <w:r>
                              <w:rPr>
                                <w:noProof/>
                              </w:rPr>
                              <w:drawing>
                                <wp:inline distT="0" distB="0" distL="0" distR="0" wp14:anchorId="03613615" wp14:editId="4364651F">
                                  <wp:extent cx="2952000" cy="1681200"/>
                                  <wp:effectExtent l="0" t="0" r="1270" b="0"/>
                                  <wp:docPr id="2003185542" name="圖片 20031855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79"/>
                                          <a:srcRect l="9459" t="24730" r="24369"/>
                                          <a:stretch/>
                                        </pic:blipFill>
                                        <pic:spPr bwMode="auto">
                                          <a:xfrm>
                                            <a:off x="0" y="0"/>
                                            <a:ext cx="2952000" cy="1681200"/>
                                          </a:xfrm>
                                          <a:prstGeom prst="rect">
                                            <a:avLst/>
                                          </a:prstGeom>
                                          <a:ln>
                                            <a:noFill/>
                                          </a:ln>
                                          <a:extLst>
                                            <a:ext uri="{53640926-AAD7-44D8-BBD7-CCE9431645EC}">
                                              <a14:shadowObscured xmlns:a14="http://schemas.microsoft.com/office/drawing/2010/main"/>
                                            </a:ext>
                                          </a:extLst>
                                        </pic:spPr>
                                      </pic:pic>
                                    </a:graphicData>
                                  </a:graphic>
                                </wp:inline>
                              </w:drawing>
                            </w:r>
                          </w:p>
                          <w:p w14:paraId="0683A518" w14:textId="77777777" w:rsidR="00406878" w:rsidRPr="00C5185A" w:rsidRDefault="00406878" w:rsidP="00406878">
                            <w:pPr>
                              <w:spacing w:line="0" w:lineRule="atLeast"/>
                              <w:rPr>
                                <w:rFonts w:ascii="標楷體" w:eastAsia="標楷體" w:hAnsi="標楷體"/>
                                <w:sz w:val="18"/>
                                <w:szCs w:val="18"/>
                              </w:rPr>
                            </w:pPr>
                            <w:r>
                              <w:rPr>
                                <w:rFonts w:ascii="標楷體" w:eastAsia="標楷體" w:hAnsi="標楷體" w:hint="eastAsia"/>
                                <w:sz w:val="18"/>
                                <w:szCs w:val="18"/>
                              </w:rPr>
                              <w:t>資料</w:t>
                            </w:r>
                            <w:r w:rsidRPr="00C5185A">
                              <w:rPr>
                                <w:rFonts w:ascii="標楷體" w:eastAsia="標楷體" w:hAnsi="標楷體"/>
                                <w:sz w:val="18"/>
                                <w:szCs w:val="18"/>
                              </w:rPr>
                              <w:t>來</w:t>
                            </w:r>
                            <w:r w:rsidRPr="00C5185A">
                              <w:rPr>
                                <w:rFonts w:ascii="標楷體" w:eastAsia="標楷體" w:hAnsi="標楷體" w:hint="eastAsia"/>
                                <w:sz w:val="18"/>
                                <w:szCs w:val="18"/>
                              </w:rPr>
                              <w:t>源：</w:t>
                            </w:r>
                            <w:r>
                              <w:rPr>
                                <w:rFonts w:ascii="標楷體" w:eastAsia="標楷體" w:hAnsi="標楷體" w:hint="eastAsia"/>
                                <w:sz w:val="18"/>
                                <w:szCs w:val="18"/>
                              </w:rPr>
                              <w:t>整理自</w:t>
                            </w:r>
                            <w:r w:rsidRPr="00C5185A">
                              <w:rPr>
                                <w:rFonts w:ascii="標楷體" w:eastAsia="標楷體" w:hAnsi="標楷體" w:hint="eastAsia"/>
                                <w:sz w:val="18"/>
                                <w:szCs w:val="18"/>
                              </w:rPr>
                              <w:t>體育局提供</w:t>
                            </w:r>
                            <w:r>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0B267" id="_x0000_s1154" type="#_x0000_t202" style="position:absolute;left:0;text-align:left;margin-left:255.65pt;margin-top:6.3pt;width:246.6pt;height:172.9pt;z-index:-251502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" filled="f" stroked="f">
                <v:textbox>
                  <w:txbxContent>
                    <w:p w14:paraId="27738C26" w14:textId="77777777" w:rsidR="00406878" w:rsidRDefault="00406878" w:rsidP="00406878">
                      <w:pPr>
                        <w:spacing w:line="20" w:lineRule="exact"/>
                        <w:rPr>
                          <w:rFonts w:ascii="標楷體" w:hAnsi="標楷體"/>
                          <w:b/>
                          <w:szCs w:val="24"/>
                        </w:rPr>
                      </w:pPr>
                    </w:p>
                    <w:p w14:paraId="16D4671F" w14:textId="77777777" w:rsidR="00406878" w:rsidRDefault="00406878" w:rsidP="00406878">
                      <w:pPr>
                        <w:spacing w:line="20" w:lineRule="exact"/>
                        <w:rPr>
                          <w:rFonts w:ascii="標楷體" w:hAnsi="標楷體"/>
                          <w:b/>
                          <w:szCs w:val="24"/>
                        </w:rPr>
                      </w:pPr>
                    </w:p>
                    <w:p w14:paraId="6D84D784" w14:textId="77777777" w:rsidR="00406878" w:rsidRDefault="00406878" w:rsidP="00406878">
                      <w:pPr>
                        <w:spacing w:line="20" w:lineRule="exact"/>
                        <w:rPr>
                          <w:rFonts w:ascii="標楷體" w:hAnsi="標楷體"/>
                          <w:b/>
                          <w:szCs w:val="24"/>
                        </w:rPr>
                      </w:pPr>
                    </w:p>
                    <w:p w14:paraId="1C4CD931" w14:textId="77777777" w:rsidR="00406878" w:rsidRPr="004721F7" w:rsidRDefault="00406878" w:rsidP="00406878">
                      <w:pPr>
                        <w:spacing w:line="240" w:lineRule="exact"/>
                        <w:jc w:val="center"/>
                        <w:rPr>
                          <w:rFonts w:ascii="標楷體" w:eastAsia="標楷體" w:hAnsi="標楷體"/>
                          <w:b/>
                          <w:spacing w:val="-14"/>
                          <w:szCs w:val="24"/>
                        </w:rPr>
                      </w:pPr>
                      <w:r w:rsidRPr="004721F7">
                        <w:rPr>
                          <w:rFonts w:ascii="標楷體" w:eastAsia="標楷體" w:hAnsi="標楷體" w:cs="標楷體" w:hint="eastAsia"/>
                          <w:b/>
                          <w:spacing w:val="-14"/>
                          <w:szCs w:val="32"/>
                        </w:rPr>
                        <w:t xml:space="preserve">圖2　</w:t>
                      </w:r>
                      <w:r w:rsidRPr="004721F7">
                        <w:rPr>
                          <w:rFonts w:ascii="標楷體" w:eastAsia="標楷體" w:hAnsi="標楷體" w:cs="標楷體"/>
                          <w:b/>
                          <w:spacing w:val="-14"/>
                          <w:szCs w:val="32"/>
                        </w:rPr>
                        <w:t>克強公園游泳池</w:t>
                      </w:r>
                      <w:r w:rsidRPr="004721F7">
                        <w:rPr>
                          <w:rFonts w:ascii="標楷體" w:eastAsia="標楷體" w:hAnsi="標楷體" w:cs="標楷體" w:hint="eastAsia"/>
                          <w:b/>
                          <w:spacing w:val="-14"/>
                          <w:szCs w:val="32"/>
                        </w:rPr>
                        <w:t>改建全民運動館</w:t>
                      </w:r>
                      <w:r w:rsidRPr="004721F7">
                        <w:rPr>
                          <w:rFonts w:ascii="標楷體" w:eastAsia="標楷體" w:hAnsi="標楷體" w:hint="eastAsia"/>
                          <w:b/>
                          <w:spacing w:val="-14"/>
                        </w:rPr>
                        <w:t>完工示意圖</w:t>
                      </w:r>
                    </w:p>
                    <w:p w14:paraId="4B34F88E" w14:textId="77777777" w:rsidR="00406878" w:rsidRPr="004721F7" w:rsidRDefault="00406878" w:rsidP="00406878">
                      <w:pPr>
                        <w:spacing w:line="20" w:lineRule="exact"/>
                        <w:rPr>
                          <w:rFonts w:ascii="標楷體" w:hAnsi="標楷體"/>
                          <w:b/>
                          <w:szCs w:val="24"/>
                        </w:rPr>
                      </w:pPr>
                    </w:p>
                    <w:p w14:paraId="4A302B90" w14:textId="77777777" w:rsidR="00406878" w:rsidRDefault="00406878" w:rsidP="00406878">
                      <w:pPr>
                        <w:spacing w:line="20" w:lineRule="exact"/>
                        <w:rPr>
                          <w:rFonts w:ascii="標楷體" w:hAnsi="標楷體"/>
                          <w:b/>
                          <w:szCs w:val="24"/>
                        </w:rPr>
                      </w:pPr>
                    </w:p>
                    <w:p w14:paraId="35041432" w14:textId="77777777" w:rsidR="00406878" w:rsidRDefault="00406878" w:rsidP="00406878">
                      <w:pPr>
                        <w:spacing w:line="20" w:lineRule="exact"/>
                        <w:rPr>
                          <w:rFonts w:ascii="標楷體" w:hAnsi="標楷體"/>
                          <w:b/>
                          <w:szCs w:val="24"/>
                        </w:rPr>
                      </w:pPr>
                    </w:p>
                    <w:p w14:paraId="788796AE" w14:textId="77777777" w:rsidR="00406878" w:rsidRDefault="00406878" w:rsidP="00406878">
                      <w:pPr>
                        <w:spacing w:line="20" w:lineRule="exact"/>
                        <w:rPr>
                          <w:rFonts w:ascii="標楷體" w:hAnsi="標楷體"/>
                          <w:b/>
                          <w:szCs w:val="24"/>
                        </w:rPr>
                      </w:pPr>
                    </w:p>
                    <w:p w14:paraId="04AC8D39" w14:textId="77777777" w:rsidR="00406878" w:rsidRDefault="00406878" w:rsidP="00406878">
                      <w:pPr>
                        <w:spacing w:line="20" w:lineRule="exact"/>
                        <w:rPr>
                          <w:rFonts w:ascii="標楷體" w:hAnsi="標楷體"/>
                          <w:b/>
                          <w:szCs w:val="24"/>
                        </w:rPr>
                      </w:pPr>
                    </w:p>
                    <w:p w14:paraId="6AB2687F" w14:textId="77777777" w:rsidR="00406878" w:rsidRDefault="00406878" w:rsidP="00406878">
                      <w:pPr>
                        <w:spacing w:line="20" w:lineRule="exact"/>
                        <w:rPr>
                          <w:rFonts w:ascii="標楷體" w:hAnsi="標楷體"/>
                          <w:b/>
                          <w:szCs w:val="24"/>
                        </w:rPr>
                      </w:pPr>
                    </w:p>
                    <w:p w14:paraId="595FB118" w14:textId="77777777" w:rsidR="00406878" w:rsidRDefault="00406878" w:rsidP="00406878">
                      <w:pPr>
                        <w:spacing w:line="20" w:lineRule="exact"/>
                        <w:rPr>
                          <w:rFonts w:ascii="標楷體" w:hAnsi="標楷體"/>
                          <w:b/>
                          <w:szCs w:val="24"/>
                        </w:rPr>
                      </w:pPr>
                    </w:p>
                    <w:p w14:paraId="4719C135" w14:textId="77777777" w:rsidR="00406878" w:rsidRDefault="00406878" w:rsidP="00406878">
                      <w:pPr>
                        <w:spacing w:line="20" w:lineRule="exact"/>
                        <w:rPr>
                          <w:rFonts w:ascii="標楷體" w:hAnsi="標楷體"/>
                          <w:b/>
                          <w:szCs w:val="24"/>
                        </w:rPr>
                      </w:pPr>
                    </w:p>
                    <w:p w14:paraId="4215DFC7" w14:textId="77777777" w:rsidR="00406878" w:rsidRDefault="00406878" w:rsidP="00406878">
                      <w:pPr>
                        <w:spacing w:line="20" w:lineRule="exact"/>
                        <w:rPr>
                          <w:rFonts w:ascii="標楷體" w:hAnsi="標楷體"/>
                          <w:b/>
                          <w:szCs w:val="24"/>
                        </w:rPr>
                      </w:pPr>
                    </w:p>
                    <w:p w14:paraId="5C36A0BF" w14:textId="77777777" w:rsidR="00406878" w:rsidRDefault="00406878" w:rsidP="00406878">
                      <w:pPr>
                        <w:spacing w:line="20" w:lineRule="exact"/>
                        <w:rPr>
                          <w:rFonts w:ascii="標楷體" w:hAnsi="標楷體"/>
                          <w:b/>
                          <w:szCs w:val="24"/>
                        </w:rPr>
                      </w:pPr>
                    </w:p>
                    <w:p w14:paraId="36C195DB" w14:textId="77777777" w:rsidR="00406878" w:rsidRDefault="00406878" w:rsidP="00406878">
                      <w:pPr>
                        <w:spacing w:line="20" w:lineRule="exact"/>
                        <w:rPr>
                          <w:rFonts w:ascii="標楷體" w:hAnsi="標楷體"/>
                          <w:b/>
                          <w:szCs w:val="24"/>
                        </w:rPr>
                      </w:pPr>
                    </w:p>
                    <w:p w14:paraId="3B9EBD90" w14:textId="77777777" w:rsidR="00406878" w:rsidRDefault="00406878" w:rsidP="00406878">
                      <w:pPr>
                        <w:spacing w:line="20" w:lineRule="exact"/>
                        <w:rPr>
                          <w:rFonts w:ascii="標楷體" w:hAnsi="標楷體"/>
                          <w:b/>
                          <w:szCs w:val="24"/>
                        </w:rPr>
                      </w:pPr>
                    </w:p>
                    <w:p w14:paraId="53DB1055" w14:textId="77777777" w:rsidR="00406878" w:rsidRDefault="00406878" w:rsidP="00406878">
                      <w:pPr>
                        <w:spacing w:line="20" w:lineRule="exact"/>
                        <w:rPr>
                          <w:rFonts w:ascii="標楷體" w:hAnsi="標楷體"/>
                          <w:b/>
                          <w:szCs w:val="24"/>
                        </w:rPr>
                      </w:pPr>
                    </w:p>
                    <w:p w14:paraId="160E709D" w14:textId="77777777" w:rsidR="00406878" w:rsidRDefault="00406878" w:rsidP="00406878">
                      <w:pPr>
                        <w:spacing w:line="20" w:lineRule="exact"/>
                        <w:rPr>
                          <w:rFonts w:ascii="標楷體" w:hAnsi="標楷體"/>
                          <w:b/>
                          <w:szCs w:val="24"/>
                        </w:rPr>
                      </w:pPr>
                    </w:p>
                    <w:p w14:paraId="4302E172" w14:textId="77777777" w:rsidR="00406878" w:rsidRDefault="00406878" w:rsidP="00406878">
                      <w:pPr>
                        <w:spacing w:line="20" w:lineRule="exact"/>
                        <w:rPr>
                          <w:rFonts w:ascii="標楷體" w:hAnsi="標楷體"/>
                          <w:b/>
                          <w:szCs w:val="24"/>
                        </w:rPr>
                      </w:pPr>
                    </w:p>
                    <w:p w14:paraId="608FA4E9" w14:textId="77777777" w:rsidR="00406878" w:rsidRDefault="00406878" w:rsidP="00406878">
                      <w:pPr>
                        <w:spacing w:line="20" w:lineRule="exact"/>
                        <w:rPr>
                          <w:rFonts w:ascii="標楷體" w:hAnsi="標楷體"/>
                          <w:b/>
                          <w:szCs w:val="24"/>
                        </w:rPr>
                      </w:pPr>
                    </w:p>
                    <w:p w14:paraId="01B657F7" w14:textId="77777777" w:rsidR="00406878" w:rsidRDefault="00406878" w:rsidP="00406878">
                      <w:pPr>
                        <w:spacing w:line="20" w:lineRule="exact"/>
                        <w:rPr>
                          <w:rFonts w:ascii="標楷體" w:hAnsi="標楷體"/>
                          <w:b/>
                          <w:szCs w:val="24"/>
                        </w:rPr>
                      </w:pPr>
                    </w:p>
                    <w:p w14:paraId="4B593FA0" w14:textId="77777777" w:rsidR="00406878" w:rsidRDefault="00406878" w:rsidP="00406878">
                      <w:pPr>
                        <w:spacing w:line="20" w:lineRule="exact"/>
                        <w:rPr>
                          <w:rFonts w:ascii="標楷體" w:hAnsi="標楷體"/>
                          <w:b/>
                          <w:szCs w:val="24"/>
                        </w:rPr>
                      </w:pPr>
                    </w:p>
                    <w:p w14:paraId="39EAAD00" w14:textId="77777777" w:rsidR="00406878" w:rsidRDefault="00406878" w:rsidP="00406878">
                      <w:pPr>
                        <w:spacing w:line="20" w:lineRule="exact"/>
                        <w:rPr>
                          <w:rFonts w:ascii="標楷體" w:hAnsi="標楷體"/>
                          <w:b/>
                          <w:szCs w:val="24"/>
                        </w:rPr>
                      </w:pPr>
                    </w:p>
                    <w:p w14:paraId="7AFBBB9A" w14:textId="77777777" w:rsidR="00406878" w:rsidRDefault="00406878" w:rsidP="00406878">
                      <w:pPr>
                        <w:spacing w:line="20" w:lineRule="exact"/>
                        <w:rPr>
                          <w:rFonts w:ascii="標楷體" w:hAnsi="標楷體"/>
                          <w:b/>
                          <w:szCs w:val="24"/>
                        </w:rPr>
                      </w:pPr>
                    </w:p>
                    <w:p w14:paraId="265904A6" w14:textId="77777777" w:rsidR="00406878" w:rsidRDefault="00406878" w:rsidP="00406878">
                      <w:pPr>
                        <w:spacing w:line="20" w:lineRule="exact"/>
                        <w:rPr>
                          <w:rFonts w:ascii="標楷體" w:hAnsi="標楷體"/>
                          <w:b/>
                          <w:szCs w:val="24"/>
                        </w:rPr>
                      </w:pPr>
                    </w:p>
                    <w:p w14:paraId="401417F7" w14:textId="77777777" w:rsidR="00406878" w:rsidRDefault="00406878" w:rsidP="00406878">
                      <w:pPr>
                        <w:spacing w:line="20" w:lineRule="exact"/>
                        <w:rPr>
                          <w:rFonts w:ascii="標楷體" w:hAnsi="標楷體"/>
                          <w:b/>
                          <w:szCs w:val="24"/>
                        </w:rPr>
                      </w:pPr>
                    </w:p>
                    <w:p w14:paraId="5DE83964" w14:textId="77777777" w:rsidR="00406878" w:rsidRDefault="00406878" w:rsidP="00406878">
                      <w:pPr>
                        <w:spacing w:line="20" w:lineRule="exact"/>
                        <w:rPr>
                          <w:rFonts w:ascii="標楷體" w:hAnsi="標楷體"/>
                          <w:b/>
                          <w:szCs w:val="24"/>
                        </w:rPr>
                      </w:pPr>
                    </w:p>
                    <w:p w14:paraId="30EEA94A" w14:textId="77777777" w:rsidR="00406878" w:rsidRDefault="00406878" w:rsidP="00406878">
                      <w:pPr>
                        <w:spacing w:line="20" w:lineRule="exact"/>
                        <w:rPr>
                          <w:rFonts w:ascii="標楷體" w:hAnsi="標楷體"/>
                          <w:b/>
                          <w:szCs w:val="24"/>
                        </w:rPr>
                      </w:pPr>
                    </w:p>
                    <w:p w14:paraId="4EE14E4E" w14:textId="77777777" w:rsidR="00406878" w:rsidRDefault="00406878" w:rsidP="00406878">
                      <w:pPr>
                        <w:spacing w:line="20" w:lineRule="exact"/>
                        <w:rPr>
                          <w:rFonts w:ascii="標楷體" w:hAnsi="標楷體"/>
                          <w:b/>
                          <w:szCs w:val="24"/>
                        </w:rPr>
                      </w:pPr>
                    </w:p>
                    <w:p w14:paraId="3485D8AF" w14:textId="77777777" w:rsidR="00406878" w:rsidRDefault="00406878" w:rsidP="00406878">
                      <w:pPr>
                        <w:spacing w:line="20" w:lineRule="exact"/>
                        <w:rPr>
                          <w:rFonts w:ascii="標楷體" w:hAnsi="標楷體"/>
                          <w:b/>
                          <w:szCs w:val="24"/>
                        </w:rPr>
                      </w:pPr>
                    </w:p>
                    <w:p w14:paraId="0DD67CF5" w14:textId="77777777" w:rsidR="00406878" w:rsidRDefault="00406878" w:rsidP="00406878">
                      <w:pPr>
                        <w:spacing w:line="20" w:lineRule="exact"/>
                        <w:rPr>
                          <w:rFonts w:ascii="標楷體" w:hAnsi="標楷體"/>
                          <w:b/>
                          <w:szCs w:val="24"/>
                        </w:rPr>
                      </w:pPr>
                    </w:p>
                    <w:p w14:paraId="78846C23" w14:textId="77777777" w:rsidR="00406878" w:rsidRDefault="00406878" w:rsidP="00406878">
                      <w:pPr>
                        <w:spacing w:line="20" w:lineRule="exact"/>
                        <w:rPr>
                          <w:rFonts w:ascii="標楷體" w:hAnsi="標楷體"/>
                          <w:b/>
                          <w:szCs w:val="24"/>
                        </w:rPr>
                      </w:pPr>
                    </w:p>
                    <w:p w14:paraId="0B357035" w14:textId="77777777" w:rsidR="00406878" w:rsidRDefault="00406878" w:rsidP="00406878">
                      <w:pPr>
                        <w:spacing w:line="20" w:lineRule="exact"/>
                        <w:rPr>
                          <w:rFonts w:ascii="標楷體" w:hAnsi="標楷體"/>
                          <w:b/>
                          <w:szCs w:val="24"/>
                        </w:rPr>
                      </w:pPr>
                    </w:p>
                    <w:p w14:paraId="1C1E4D8A" w14:textId="77777777" w:rsidR="00406878" w:rsidRDefault="00406878" w:rsidP="00406878">
                      <w:pPr>
                        <w:spacing w:line="20" w:lineRule="exact"/>
                        <w:rPr>
                          <w:rFonts w:ascii="標楷體" w:hAnsi="標楷體"/>
                          <w:b/>
                          <w:szCs w:val="24"/>
                        </w:rPr>
                      </w:pPr>
                    </w:p>
                    <w:p w14:paraId="51916805" w14:textId="77777777" w:rsidR="00406878" w:rsidRDefault="00406878" w:rsidP="00406878">
                      <w:pPr>
                        <w:spacing w:line="20" w:lineRule="exact"/>
                        <w:rPr>
                          <w:rFonts w:ascii="標楷體" w:hAnsi="標楷體"/>
                          <w:b/>
                          <w:szCs w:val="24"/>
                        </w:rPr>
                      </w:pPr>
                    </w:p>
                    <w:p w14:paraId="52506D32" w14:textId="77777777" w:rsidR="00406878" w:rsidRDefault="00406878" w:rsidP="00406878">
                      <w:pPr>
                        <w:spacing w:line="20" w:lineRule="exact"/>
                        <w:rPr>
                          <w:rFonts w:ascii="標楷體" w:hAnsi="標楷體"/>
                          <w:b/>
                          <w:szCs w:val="24"/>
                        </w:rPr>
                      </w:pPr>
                    </w:p>
                    <w:p w14:paraId="7279E7C9" w14:textId="77777777" w:rsidR="00406878" w:rsidRDefault="00406878" w:rsidP="00406878">
                      <w:pPr>
                        <w:spacing w:line="20" w:lineRule="exact"/>
                        <w:rPr>
                          <w:rFonts w:ascii="標楷體" w:hAnsi="標楷體"/>
                          <w:b/>
                          <w:szCs w:val="24"/>
                        </w:rPr>
                      </w:pPr>
                    </w:p>
                    <w:p w14:paraId="49BDF4F1" w14:textId="77777777" w:rsidR="00406878" w:rsidRDefault="00406878" w:rsidP="00406878">
                      <w:pPr>
                        <w:spacing w:line="20" w:lineRule="exact"/>
                        <w:rPr>
                          <w:rFonts w:ascii="標楷體" w:hAnsi="標楷體"/>
                          <w:b/>
                          <w:szCs w:val="24"/>
                        </w:rPr>
                      </w:pPr>
                    </w:p>
                    <w:p w14:paraId="176AA32F" w14:textId="77777777" w:rsidR="00406878" w:rsidRDefault="00406878" w:rsidP="00406878">
                      <w:pPr>
                        <w:spacing w:line="20" w:lineRule="exact"/>
                        <w:rPr>
                          <w:rFonts w:ascii="標楷體" w:hAnsi="標楷體"/>
                          <w:b/>
                          <w:szCs w:val="24"/>
                        </w:rPr>
                      </w:pPr>
                    </w:p>
                    <w:p w14:paraId="71030F8C" w14:textId="77777777" w:rsidR="00406878" w:rsidRDefault="00406878" w:rsidP="00406878">
                      <w:pPr>
                        <w:spacing w:line="20" w:lineRule="exact"/>
                        <w:rPr>
                          <w:rFonts w:ascii="標楷體" w:hAnsi="標楷體"/>
                          <w:b/>
                          <w:szCs w:val="24"/>
                        </w:rPr>
                      </w:pPr>
                    </w:p>
                    <w:p w14:paraId="1D786705" w14:textId="77777777" w:rsidR="00406878" w:rsidRDefault="00406878" w:rsidP="00406878">
                      <w:pPr>
                        <w:spacing w:line="20" w:lineRule="exact"/>
                        <w:rPr>
                          <w:rFonts w:ascii="標楷體" w:hAnsi="標楷體"/>
                          <w:b/>
                          <w:szCs w:val="24"/>
                        </w:rPr>
                      </w:pPr>
                    </w:p>
                    <w:p w14:paraId="2F14F9B8" w14:textId="77777777" w:rsidR="00406878" w:rsidRDefault="00406878" w:rsidP="00406878">
                      <w:pPr>
                        <w:spacing w:line="20" w:lineRule="exact"/>
                        <w:rPr>
                          <w:rFonts w:ascii="標楷體" w:hAnsi="標楷體"/>
                          <w:b/>
                          <w:szCs w:val="24"/>
                        </w:rPr>
                      </w:pPr>
                    </w:p>
                    <w:p w14:paraId="52BCC595" w14:textId="77777777" w:rsidR="00406878" w:rsidRDefault="00406878" w:rsidP="00406878">
                      <w:pPr>
                        <w:spacing w:line="20" w:lineRule="exact"/>
                        <w:rPr>
                          <w:rFonts w:ascii="標楷體" w:hAnsi="標楷體"/>
                          <w:b/>
                          <w:szCs w:val="24"/>
                        </w:rPr>
                      </w:pPr>
                    </w:p>
                    <w:p w14:paraId="2EF4D8BF" w14:textId="77777777" w:rsidR="00406878" w:rsidRDefault="00406878" w:rsidP="00406878">
                      <w:pPr>
                        <w:spacing w:line="20" w:lineRule="exact"/>
                        <w:rPr>
                          <w:rFonts w:ascii="標楷體" w:hAnsi="標楷體"/>
                          <w:b/>
                          <w:szCs w:val="24"/>
                        </w:rPr>
                      </w:pPr>
                    </w:p>
                    <w:p w14:paraId="022BD548" w14:textId="77777777" w:rsidR="00406878" w:rsidRDefault="00406878" w:rsidP="00406878">
                      <w:pPr>
                        <w:spacing w:line="20" w:lineRule="exact"/>
                        <w:rPr>
                          <w:rFonts w:ascii="標楷體" w:hAnsi="標楷體"/>
                          <w:b/>
                          <w:szCs w:val="24"/>
                        </w:rPr>
                      </w:pPr>
                    </w:p>
                    <w:p w14:paraId="66A1DFFB" w14:textId="77777777" w:rsidR="00406878" w:rsidRDefault="00406878" w:rsidP="00406878">
                      <w:pPr>
                        <w:spacing w:line="20" w:lineRule="exact"/>
                        <w:rPr>
                          <w:rFonts w:ascii="標楷體" w:hAnsi="標楷體"/>
                          <w:b/>
                          <w:szCs w:val="24"/>
                        </w:rPr>
                      </w:pPr>
                    </w:p>
                    <w:p w14:paraId="6B1A7C32" w14:textId="77777777" w:rsidR="00406878" w:rsidRDefault="00406878" w:rsidP="00406878">
                      <w:pPr>
                        <w:spacing w:line="20" w:lineRule="exact"/>
                        <w:rPr>
                          <w:rFonts w:ascii="標楷體" w:hAnsi="標楷體"/>
                          <w:b/>
                          <w:szCs w:val="24"/>
                        </w:rPr>
                      </w:pPr>
                    </w:p>
                    <w:p w14:paraId="721B7D1A" w14:textId="77777777" w:rsidR="00406878" w:rsidRDefault="00406878" w:rsidP="00406878">
                      <w:pPr>
                        <w:spacing w:line="20" w:lineRule="exact"/>
                        <w:rPr>
                          <w:rFonts w:ascii="標楷體" w:hAnsi="標楷體"/>
                          <w:b/>
                          <w:szCs w:val="24"/>
                        </w:rPr>
                      </w:pPr>
                    </w:p>
                    <w:p w14:paraId="239B40DD" w14:textId="77777777" w:rsidR="00406878" w:rsidRDefault="00406878" w:rsidP="00406878">
                      <w:pPr>
                        <w:spacing w:line="20" w:lineRule="exact"/>
                        <w:rPr>
                          <w:rFonts w:ascii="標楷體" w:hAnsi="標楷體"/>
                          <w:b/>
                          <w:szCs w:val="24"/>
                        </w:rPr>
                      </w:pPr>
                    </w:p>
                    <w:p w14:paraId="16141FDA" w14:textId="77777777" w:rsidR="00406878" w:rsidRDefault="00406878" w:rsidP="00406878">
                      <w:pPr>
                        <w:spacing w:line="20" w:lineRule="exact"/>
                        <w:rPr>
                          <w:rFonts w:ascii="標楷體" w:hAnsi="標楷體"/>
                          <w:b/>
                          <w:szCs w:val="24"/>
                        </w:rPr>
                      </w:pPr>
                    </w:p>
                    <w:p w14:paraId="1D169F33" w14:textId="77777777" w:rsidR="00406878" w:rsidRDefault="00406878" w:rsidP="00406878">
                      <w:pPr>
                        <w:spacing w:line="20" w:lineRule="exact"/>
                        <w:rPr>
                          <w:rFonts w:ascii="標楷體" w:hAnsi="標楷體"/>
                          <w:b/>
                          <w:szCs w:val="24"/>
                        </w:rPr>
                      </w:pPr>
                    </w:p>
                    <w:p w14:paraId="07E6396D" w14:textId="77777777" w:rsidR="00406878" w:rsidRDefault="00406878" w:rsidP="00406878">
                      <w:pPr>
                        <w:spacing w:line="20" w:lineRule="exact"/>
                        <w:rPr>
                          <w:rFonts w:ascii="標楷體" w:hAnsi="標楷體"/>
                          <w:b/>
                          <w:szCs w:val="24"/>
                        </w:rPr>
                      </w:pPr>
                    </w:p>
                    <w:p w14:paraId="2635D288" w14:textId="77777777" w:rsidR="00406878" w:rsidRDefault="00406878" w:rsidP="00406878">
                      <w:pPr>
                        <w:spacing w:line="20" w:lineRule="exact"/>
                        <w:rPr>
                          <w:rFonts w:ascii="標楷體" w:hAnsi="標楷體"/>
                          <w:b/>
                          <w:szCs w:val="24"/>
                        </w:rPr>
                      </w:pPr>
                    </w:p>
                    <w:p w14:paraId="79DA6D44" w14:textId="77777777" w:rsidR="00406878" w:rsidRDefault="00406878" w:rsidP="00406878">
                      <w:pPr>
                        <w:spacing w:line="20" w:lineRule="exact"/>
                        <w:rPr>
                          <w:rFonts w:ascii="標楷體" w:hAnsi="標楷體"/>
                          <w:b/>
                          <w:szCs w:val="24"/>
                        </w:rPr>
                      </w:pPr>
                    </w:p>
                    <w:p w14:paraId="4B9EBCF1" w14:textId="77777777" w:rsidR="00406878" w:rsidRDefault="00406878" w:rsidP="00406878">
                      <w:pPr>
                        <w:spacing w:line="20" w:lineRule="exact"/>
                        <w:rPr>
                          <w:rFonts w:ascii="標楷體" w:hAnsi="標楷體"/>
                          <w:b/>
                          <w:szCs w:val="24"/>
                        </w:rPr>
                      </w:pPr>
                    </w:p>
                    <w:p w14:paraId="23C3517A" w14:textId="77777777" w:rsidR="00406878" w:rsidRDefault="00406878" w:rsidP="00406878">
                      <w:pPr>
                        <w:spacing w:line="20" w:lineRule="exact"/>
                        <w:rPr>
                          <w:rFonts w:ascii="標楷體" w:hAnsi="標楷體"/>
                          <w:b/>
                          <w:szCs w:val="24"/>
                        </w:rPr>
                      </w:pPr>
                    </w:p>
                    <w:p w14:paraId="17198CB1" w14:textId="77777777" w:rsidR="00406878" w:rsidRDefault="00406878" w:rsidP="00406878">
                      <w:pPr>
                        <w:spacing w:line="20" w:lineRule="exact"/>
                        <w:rPr>
                          <w:rFonts w:ascii="標楷體" w:hAnsi="標楷體"/>
                          <w:b/>
                          <w:szCs w:val="24"/>
                        </w:rPr>
                      </w:pPr>
                    </w:p>
                    <w:p w14:paraId="4A370DD5" w14:textId="77777777" w:rsidR="00406878" w:rsidRDefault="00406878" w:rsidP="00406878">
                      <w:pPr>
                        <w:spacing w:line="20" w:lineRule="exact"/>
                        <w:rPr>
                          <w:rFonts w:ascii="標楷體" w:hAnsi="標楷體"/>
                          <w:b/>
                          <w:szCs w:val="24"/>
                        </w:rPr>
                      </w:pPr>
                    </w:p>
                    <w:p w14:paraId="3D1A92AD" w14:textId="77777777" w:rsidR="00406878" w:rsidRDefault="00406878" w:rsidP="00406878">
                      <w:pPr>
                        <w:spacing w:line="20" w:lineRule="exact"/>
                        <w:rPr>
                          <w:rFonts w:ascii="標楷體" w:hAnsi="標楷體"/>
                          <w:b/>
                          <w:szCs w:val="24"/>
                        </w:rPr>
                      </w:pPr>
                    </w:p>
                    <w:p w14:paraId="3F79B8B6" w14:textId="77777777" w:rsidR="00406878" w:rsidRDefault="00406878" w:rsidP="00406878">
                      <w:pPr>
                        <w:spacing w:line="20" w:lineRule="exact"/>
                        <w:rPr>
                          <w:rFonts w:ascii="標楷體" w:hAnsi="標楷體"/>
                          <w:b/>
                          <w:szCs w:val="24"/>
                        </w:rPr>
                      </w:pPr>
                    </w:p>
                    <w:p w14:paraId="3BAFEAFF" w14:textId="77777777" w:rsidR="00406878" w:rsidRDefault="00406878" w:rsidP="00406878">
                      <w:pPr>
                        <w:spacing w:line="20" w:lineRule="exact"/>
                        <w:rPr>
                          <w:rFonts w:ascii="標楷體" w:hAnsi="標楷體"/>
                          <w:b/>
                          <w:szCs w:val="24"/>
                        </w:rPr>
                      </w:pPr>
                    </w:p>
                    <w:p w14:paraId="66D6FA0C" w14:textId="77777777" w:rsidR="00406878" w:rsidRDefault="00406878" w:rsidP="00406878">
                      <w:pPr>
                        <w:spacing w:line="20" w:lineRule="exact"/>
                        <w:rPr>
                          <w:rFonts w:ascii="標楷體" w:hAnsi="標楷體"/>
                          <w:b/>
                          <w:szCs w:val="24"/>
                        </w:rPr>
                      </w:pPr>
                    </w:p>
                    <w:p w14:paraId="60438E27" w14:textId="77777777" w:rsidR="00406878" w:rsidRDefault="00406878" w:rsidP="00406878">
                      <w:pPr>
                        <w:spacing w:line="20" w:lineRule="exact"/>
                        <w:rPr>
                          <w:rFonts w:ascii="標楷體" w:hAnsi="標楷體"/>
                          <w:b/>
                          <w:szCs w:val="24"/>
                        </w:rPr>
                      </w:pPr>
                    </w:p>
                    <w:p w14:paraId="1AB1484F" w14:textId="77777777" w:rsidR="00406878" w:rsidRDefault="00406878" w:rsidP="00406878">
                      <w:pPr>
                        <w:spacing w:line="20" w:lineRule="exact"/>
                        <w:rPr>
                          <w:rFonts w:ascii="標楷體" w:hAnsi="標楷體"/>
                          <w:b/>
                          <w:szCs w:val="24"/>
                        </w:rPr>
                      </w:pPr>
                    </w:p>
                    <w:p w14:paraId="1E2FC5E2" w14:textId="77777777" w:rsidR="00406878" w:rsidRDefault="00406878" w:rsidP="00406878">
                      <w:pPr>
                        <w:spacing w:line="20" w:lineRule="exact"/>
                        <w:rPr>
                          <w:rFonts w:ascii="標楷體" w:hAnsi="標楷體"/>
                          <w:b/>
                          <w:szCs w:val="24"/>
                        </w:rPr>
                      </w:pPr>
                    </w:p>
                    <w:p w14:paraId="29C73802" w14:textId="77777777" w:rsidR="00406878" w:rsidRDefault="00406878" w:rsidP="00406878">
                      <w:pPr>
                        <w:spacing w:line="20" w:lineRule="exact"/>
                        <w:rPr>
                          <w:rFonts w:ascii="標楷體" w:hAnsi="標楷體"/>
                          <w:b/>
                          <w:szCs w:val="24"/>
                        </w:rPr>
                      </w:pPr>
                    </w:p>
                    <w:p w14:paraId="5ABC7473" w14:textId="77777777" w:rsidR="00406878" w:rsidRDefault="00406878" w:rsidP="00406878">
                      <w:pPr>
                        <w:spacing w:line="20" w:lineRule="exact"/>
                        <w:rPr>
                          <w:rFonts w:ascii="標楷體" w:hAnsi="標楷體"/>
                          <w:b/>
                          <w:szCs w:val="24"/>
                        </w:rPr>
                      </w:pPr>
                    </w:p>
                    <w:p w14:paraId="0ACC43CF" w14:textId="77777777" w:rsidR="00406878" w:rsidRDefault="00406878" w:rsidP="00406878">
                      <w:pPr>
                        <w:spacing w:line="20" w:lineRule="exact"/>
                        <w:rPr>
                          <w:rFonts w:ascii="標楷體" w:hAnsi="標楷體"/>
                          <w:b/>
                          <w:szCs w:val="24"/>
                        </w:rPr>
                      </w:pPr>
                    </w:p>
                    <w:p w14:paraId="5952227B" w14:textId="77777777" w:rsidR="00406878" w:rsidRDefault="00406878" w:rsidP="00406878">
                      <w:pPr>
                        <w:spacing w:line="20" w:lineRule="exact"/>
                        <w:rPr>
                          <w:rFonts w:ascii="標楷體" w:hAnsi="標楷體"/>
                          <w:b/>
                          <w:szCs w:val="24"/>
                        </w:rPr>
                      </w:pPr>
                    </w:p>
                    <w:p w14:paraId="3F01B10F" w14:textId="77777777" w:rsidR="00406878" w:rsidRDefault="00406878" w:rsidP="00406878">
                      <w:pPr>
                        <w:spacing w:line="20" w:lineRule="exact"/>
                        <w:rPr>
                          <w:rFonts w:ascii="標楷體" w:hAnsi="標楷體"/>
                          <w:b/>
                          <w:szCs w:val="24"/>
                        </w:rPr>
                      </w:pPr>
                    </w:p>
                    <w:p w14:paraId="3EF26743" w14:textId="77777777" w:rsidR="00406878" w:rsidRDefault="00406878" w:rsidP="00406878">
                      <w:pPr>
                        <w:spacing w:line="20" w:lineRule="exact"/>
                        <w:rPr>
                          <w:rFonts w:ascii="標楷體" w:hAnsi="標楷體"/>
                          <w:b/>
                          <w:szCs w:val="24"/>
                        </w:rPr>
                      </w:pPr>
                    </w:p>
                    <w:p w14:paraId="747054DF" w14:textId="77777777" w:rsidR="00406878" w:rsidRDefault="00406878" w:rsidP="00406878">
                      <w:pPr>
                        <w:spacing w:line="20" w:lineRule="exact"/>
                        <w:rPr>
                          <w:rFonts w:ascii="標楷體" w:hAnsi="標楷體"/>
                          <w:b/>
                          <w:szCs w:val="24"/>
                        </w:rPr>
                      </w:pPr>
                    </w:p>
                    <w:p w14:paraId="1474DF8F" w14:textId="77777777" w:rsidR="00406878" w:rsidRDefault="00406878" w:rsidP="00406878">
                      <w:pPr>
                        <w:spacing w:line="20" w:lineRule="exact"/>
                        <w:rPr>
                          <w:rFonts w:ascii="標楷體" w:hAnsi="標楷體"/>
                          <w:b/>
                          <w:szCs w:val="24"/>
                        </w:rPr>
                      </w:pPr>
                    </w:p>
                    <w:p w14:paraId="62B11DD4" w14:textId="77777777" w:rsidR="00406878" w:rsidRDefault="00406878" w:rsidP="00406878">
                      <w:pPr>
                        <w:spacing w:line="20" w:lineRule="exact"/>
                        <w:rPr>
                          <w:rFonts w:ascii="標楷體" w:hAnsi="標楷體"/>
                          <w:b/>
                          <w:szCs w:val="24"/>
                        </w:rPr>
                      </w:pPr>
                    </w:p>
                    <w:p w14:paraId="3FD246A7" w14:textId="77777777" w:rsidR="00406878" w:rsidRDefault="00406878" w:rsidP="00406878">
                      <w:pPr>
                        <w:spacing w:line="20" w:lineRule="exact"/>
                        <w:rPr>
                          <w:rFonts w:ascii="標楷體" w:hAnsi="標楷體"/>
                          <w:b/>
                          <w:szCs w:val="24"/>
                        </w:rPr>
                      </w:pPr>
                    </w:p>
                    <w:p w14:paraId="00ED3915" w14:textId="77777777" w:rsidR="00406878" w:rsidRDefault="00406878" w:rsidP="00406878">
                      <w:pPr>
                        <w:spacing w:line="20" w:lineRule="exact"/>
                        <w:rPr>
                          <w:rFonts w:ascii="標楷體" w:hAnsi="標楷體"/>
                          <w:b/>
                          <w:szCs w:val="24"/>
                        </w:rPr>
                      </w:pPr>
                    </w:p>
                    <w:p w14:paraId="27B387E3" w14:textId="77777777" w:rsidR="00406878" w:rsidRDefault="00406878" w:rsidP="00406878">
                      <w:pPr>
                        <w:spacing w:line="20" w:lineRule="exact"/>
                        <w:rPr>
                          <w:rFonts w:ascii="標楷體" w:hAnsi="標楷體"/>
                          <w:b/>
                          <w:szCs w:val="24"/>
                        </w:rPr>
                      </w:pPr>
                    </w:p>
                    <w:p w14:paraId="2D70DE38" w14:textId="77777777" w:rsidR="00406878" w:rsidRDefault="00406878" w:rsidP="00406878">
                      <w:pPr>
                        <w:spacing w:line="20" w:lineRule="exact"/>
                        <w:rPr>
                          <w:rFonts w:ascii="標楷體" w:hAnsi="標楷體"/>
                          <w:b/>
                          <w:szCs w:val="24"/>
                        </w:rPr>
                      </w:pPr>
                    </w:p>
                    <w:p w14:paraId="5E09C5A6" w14:textId="77777777" w:rsidR="00406878" w:rsidRDefault="00406878" w:rsidP="00406878">
                      <w:pPr>
                        <w:spacing w:line="20" w:lineRule="exact"/>
                        <w:rPr>
                          <w:rFonts w:ascii="標楷體" w:hAnsi="標楷體"/>
                          <w:b/>
                          <w:szCs w:val="24"/>
                        </w:rPr>
                      </w:pPr>
                    </w:p>
                    <w:p w14:paraId="37F05572" w14:textId="77777777" w:rsidR="00406878" w:rsidRDefault="00406878" w:rsidP="00406878">
                      <w:pPr>
                        <w:spacing w:line="20" w:lineRule="exact"/>
                        <w:rPr>
                          <w:rFonts w:ascii="標楷體" w:hAnsi="標楷體"/>
                          <w:b/>
                          <w:szCs w:val="24"/>
                        </w:rPr>
                      </w:pPr>
                    </w:p>
                    <w:p w14:paraId="1A0ADA5F" w14:textId="77777777" w:rsidR="00406878" w:rsidRDefault="00406878" w:rsidP="00406878">
                      <w:pPr>
                        <w:spacing w:line="20" w:lineRule="exact"/>
                        <w:rPr>
                          <w:rFonts w:ascii="標楷體" w:hAnsi="標楷體"/>
                          <w:b/>
                          <w:szCs w:val="24"/>
                        </w:rPr>
                      </w:pPr>
                    </w:p>
                    <w:p w14:paraId="2D682DD4" w14:textId="77777777" w:rsidR="00406878" w:rsidRDefault="00406878" w:rsidP="00406878">
                      <w:pPr>
                        <w:spacing w:line="20" w:lineRule="exact"/>
                        <w:rPr>
                          <w:rFonts w:ascii="標楷體" w:hAnsi="標楷體"/>
                          <w:b/>
                          <w:szCs w:val="24"/>
                        </w:rPr>
                      </w:pPr>
                    </w:p>
                    <w:p w14:paraId="10B2E427" w14:textId="77777777" w:rsidR="00406878" w:rsidRDefault="00406878" w:rsidP="00406878">
                      <w:pPr>
                        <w:spacing w:line="20" w:lineRule="exact"/>
                        <w:rPr>
                          <w:rFonts w:ascii="標楷體" w:hAnsi="標楷體"/>
                          <w:b/>
                          <w:szCs w:val="24"/>
                        </w:rPr>
                      </w:pPr>
                    </w:p>
                    <w:p w14:paraId="39E7603E" w14:textId="77777777" w:rsidR="00406878" w:rsidRDefault="00406878" w:rsidP="00406878">
                      <w:pPr>
                        <w:spacing w:line="20" w:lineRule="exact"/>
                        <w:rPr>
                          <w:rFonts w:ascii="標楷體" w:hAnsi="標楷體"/>
                          <w:b/>
                          <w:szCs w:val="24"/>
                        </w:rPr>
                      </w:pPr>
                    </w:p>
                    <w:p w14:paraId="7C640D93" w14:textId="77777777" w:rsidR="00406878" w:rsidRDefault="00406878" w:rsidP="00406878">
                      <w:pPr>
                        <w:spacing w:line="20" w:lineRule="exact"/>
                        <w:rPr>
                          <w:rFonts w:ascii="標楷體" w:hAnsi="標楷體"/>
                          <w:b/>
                          <w:szCs w:val="24"/>
                        </w:rPr>
                      </w:pPr>
                    </w:p>
                    <w:p w14:paraId="2569C58D" w14:textId="77777777" w:rsidR="00406878" w:rsidRDefault="00406878" w:rsidP="00406878">
                      <w:pPr>
                        <w:spacing w:line="20" w:lineRule="exact"/>
                        <w:rPr>
                          <w:rFonts w:ascii="標楷體" w:hAnsi="標楷體"/>
                          <w:b/>
                          <w:szCs w:val="24"/>
                        </w:rPr>
                      </w:pPr>
                    </w:p>
                    <w:p w14:paraId="65CC8385" w14:textId="77777777" w:rsidR="00406878" w:rsidRDefault="00406878" w:rsidP="00406878">
                      <w:pPr>
                        <w:spacing w:line="20" w:lineRule="exact"/>
                        <w:rPr>
                          <w:rFonts w:ascii="標楷體" w:hAnsi="標楷體"/>
                          <w:b/>
                          <w:szCs w:val="24"/>
                        </w:rPr>
                      </w:pPr>
                    </w:p>
                    <w:p w14:paraId="71DE623A" w14:textId="77777777" w:rsidR="00406878" w:rsidRDefault="00406878" w:rsidP="00406878">
                      <w:pPr>
                        <w:spacing w:line="20" w:lineRule="exact"/>
                        <w:rPr>
                          <w:rFonts w:ascii="標楷體" w:hAnsi="標楷體"/>
                          <w:b/>
                          <w:szCs w:val="24"/>
                        </w:rPr>
                      </w:pPr>
                    </w:p>
                    <w:p w14:paraId="7B6B2DE6" w14:textId="77777777" w:rsidR="00406878" w:rsidRDefault="00406878" w:rsidP="00406878">
                      <w:pPr>
                        <w:spacing w:line="20" w:lineRule="exact"/>
                        <w:rPr>
                          <w:rFonts w:ascii="標楷體" w:hAnsi="標楷體"/>
                          <w:b/>
                          <w:szCs w:val="24"/>
                        </w:rPr>
                      </w:pPr>
                    </w:p>
                    <w:p w14:paraId="59CCC0DF" w14:textId="77777777" w:rsidR="00406878" w:rsidRDefault="00406878" w:rsidP="00406878">
                      <w:pPr>
                        <w:spacing w:line="20" w:lineRule="exact"/>
                        <w:rPr>
                          <w:rFonts w:ascii="標楷體" w:hAnsi="標楷體"/>
                          <w:b/>
                          <w:szCs w:val="24"/>
                        </w:rPr>
                      </w:pPr>
                    </w:p>
                    <w:p w14:paraId="1F100FA5" w14:textId="77777777" w:rsidR="00406878" w:rsidRDefault="00406878" w:rsidP="00406878">
                      <w:pPr>
                        <w:spacing w:line="20" w:lineRule="exact"/>
                        <w:rPr>
                          <w:rFonts w:ascii="標楷體" w:hAnsi="標楷體"/>
                          <w:b/>
                          <w:szCs w:val="24"/>
                        </w:rPr>
                      </w:pPr>
                    </w:p>
                    <w:p w14:paraId="4634DE3F" w14:textId="77777777" w:rsidR="00406878" w:rsidRDefault="00406878" w:rsidP="00406878">
                      <w:pPr>
                        <w:spacing w:line="20" w:lineRule="exact"/>
                        <w:rPr>
                          <w:rFonts w:ascii="標楷體" w:hAnsi="標楷體"/>
                          <w:b/>
                          <w:szCs w:val="24"/>
                        </w:rPr>
                      </w:pPr>
                    </w:p>
                    <w:p w14:paraId="753EDE4A" w14:textId="77777777" w:rsidR="00406878" w:rsidRDefault="00406878" w:rsidP="00406878">
                      <w:pPr>
                        <w:spacing w:line="20" w:lineRule="exact"/>
                        <w:rPr>
                          <w:rFonts w:ascii="標楷體" w:hAnsi="標楷體"/>
                          <w:b/>
                          <w:szCs w:val="24"/>
                        </w:rPr>
                      </w:pPr>
                    </w:p>
                    <w:p w14:paraId="07E2C10F" w14:textId="77777777" w:rsidR="00406878" w:rsidRDefault="00406878" w:rsidP="00406878">
                      <w:pPr>
                        <w:spacing w:line="20" w:lineRule="exact"/>
                        <w:rPr>
                          <w:rFonts w:ascii="標楷體" w:hAnsi="標楷體"/>
                          <w:b/>
                          <w:szCs w:val="24"/>
                        </w:rPr>
                      </w:pPr>
                    </w:p>
                    <w:p w14:paraId="21151FD0" w14:textId="77777777" w:rsidR="00406878" w:rsidRDefault="00406878" w:rsidP="00406878">
                      <w:pPr>
                        <w:spacing w:line="20" w:lineRule="exact"/>
                        <w:rPr>
                          <w:rFonts w:ascii="標楷體" w:hAnsi="標楷體"/>
                          <w:b/>
                          <w:szCs w:val="24"/>
                        </w:rPr>
                      </w:pPr>
                    </w:p>
                    <w:p w14:paraId="42722D5A" w14:textId="77777777" w:rsidR="00406878" w:rsidRDefault="00406878" w:rsidP="00406878">
                      <w:pPr>
                        <w:spacing w:line="20" w:lineRule="exact"/>
                        <w:rPr>
                          <w:rFonts w:ascii="標楷體" w:hAnsi="標楷體"/>
                          <w:b/>
                          <w:szCs w:val="24"/>
                        </w:rPr>
                      </w:pPr>
                    </w:p>
                    <w:p w14:paraId="3142B7C7" w14:textId="77777777" w:rsidR="00406878" w:rsidRDefault="00406878" w:rsidP="00406878">
                      <w:pPr>
                        <w:spacing w:line="20" w:lineRule="exact"/>
                        <w:rPr>
                          <w:rFonts w:ascii="標楷體" w:hAnsi="標楷體"/>
                          <w:b/>
                          <w:szCs w:val="24"/>
                        </w:rPr>
                      </w:pPr>
                    </w:p>
                    <w:p w14:paraId="67911E37" w14:textId="77777777" w:rsidR="00406878" w:rsidRDefault="00406878" w:rsidP="00406878">
                      <w:pPr>
                        <w:spacing w:line="20" w:lineRule="exact"/>
                        <w:rPr>
                          <w:rFonts w:ascii="標楷體" w:hAnsi="標楷體"/>
                          <w:b/>
                          <w:szCs w:val="24"/>
                        </w:rPr>
                      </w:pPr>
                    </w:p>
                    <w:p w14:paraId="4541046A" w14:textId="77777777" w:rsidR="00406878" w:rsidRDefault="00406878" w:rsidP="00406878">
                      <w:pPr>
                        <w:spacing w:line="20" w:lineRule="exact"/>
                        <w:rPr>
                          <w:rFonts w:ascii="標楷體" w:hAnsi="標楷體"/>
                          <w:b/>
                          <w:szCs w:val="24"/>
                        </w:rPr>
                      </w:pPr>
                    </w:p>
                    <w:p w14:paraId="6A532794" w14:textId="77777777" w:rsidR="00406878" w:rsidRDefault="00406878" w:rsidP="00406878">
                      <w:pPr>
                        <w:spacing w:line="20" w:lineRule="exact"/>
                        <w:rPr>
                          <w:rFonts w:ascii="標楷體" w:hAnsi="標楷體"/>
                          <w:b/>
                          <w:szCs w:val="24"/>
                        </w:rPr>
                      </w:pPr>
                    </w:p>
                    <w:p w14:paraId="13224723" w14:textId="77777777" w:rsidR="00406878" w:rsidRDefault="00406878" w:rsidP="00406878">
                      <w:pPr>
                        <w:spacing w:line="20" w:lineRule="exact"/>
                        <w:rPr>
                          <w:rFonts w:ascii="標楷體" w:hAnsi="標楷體"/>
                          <w:b/>
                          <w:szCs w:val="24"/>
                        </w:rPr>
                      </w:pPr>
                    </w:p>
                    <w:p w14:paraId="250FD28C" w14:textId="77777777" w:rsidR="00406878" w:rsidRDefault="00406878" w:rsidP="00406878">
                      <w:pPr>
                        <w:spacing w:line="20" w:lineRule="exact"/>
                        <w:rPr>
                          <w:rFonts w:ascii="標楷體" w:hAnsi="標楷體"/>
                          <w:b/>
                          <w:szCs w:val="24"/>
                        </w:rPr>
                      </w:pPr>
                    </w:p>
                    <w:p w14:paraId="6B0D0D9D" w14:textId="77777777" w:rsidR="00406878" w:rsidRDefault="00406878" w:rsidP="00406878">
                      <w:pPr>
                        <w:spacing w:line="20" w:lineRule="exact"/>
                        <w:rPr>
                          <w:rFonts w:ascii="標楷體" w:hAnsi="標楷體"/>
                          <w:b/>
                          <w:szCs w:val="24"/>
                        </w:rPr>
                      </w:pPr>
                    </w:p>
                    <w:p w14:paraId="6ED0282F" w14:textId="77777777" w:rsidR="00406878" w:rsidRDefault="00406878" w:rsidP="00406878">
                      <w:pPr>
                        <w:spacing w:line="20" w:lineRule="exact"/>
                        <w:rPr>
                          <w:rFonts w:ascii="標楷體" w:hAnsi="標楷體"/>
                          <w:b/>
                          <w:szCs w:val="24"/>
                        </w:rPr>
                      </w:pPr>
                    </w:p>
                    <w:p w14:paraId="42A27F7F" w14:textId="77777777" w:rsidR="00406878" w:rsidRDefault="00406878" w:rsidP="00406878">
                      <w:pPr>
                        <w:spacing w:line="20" w:lineRule="exact"/>
                        <w:rPr>
                          <w:rFonts w:ascii="標楷體" w:hAnsi="標楷體"/>
                          <w:b/>
                          <w:szCs w:val="24"/>
                        </w:rPr>
                      </w:pPr>
                    </w:p>
                    <w:p w14:paraId="6F01FEAE" w14:textId="77777777" w:rsidR="00406878" w:rsidRDefault="00406878" w:rsidP="00406878">
                      <w:pPr>
                        <w:spacing w:line="20" w:lineRule="exact"/>
                        <w:rPr>
                          <w:rFonts w:ascii="標楷體" w:hAnsi="標楷體"/>
                          <w:b/>
                          <w:szCs w:val="24"/>
                        </w:rPr>
                      </w:pPr>
                    </w:p>
                    <w:p w14:paraId="3A94475B" w14:textId="77777777" w:rsidR="00406878" w:rsidRDefault="00406878" w:rsidP="00406878">
                      <w:pPr>
                        <w:spacing w:line="20" w:lineRule="exact"/>
                        <w:rPr>
                          <w:rFonts w:ascii="標楷體" w:hAnsi="標楷體"/>
                          <w:b/>
                          <w:szCs w:val="24"/>
                        </w:rPr>
                      </w:pPr>
                    </w:p>
                    <w:p w14:paraId="6582487F" w14:textId="77777777" w:rsidR="00406878" w:rsidRDefault="00406878" w:rsidP="00406878">
                      <w:pPr>
                        <w:spacing w:line="20" w:lineRule="exact"/>
                        <w:rPr>
                          <w:rFonts w:ascii="標楷體" w:hAnsi="標楷體"/>
                          <w:b/>
                          <w:szCs w:val="24"/>
                        </w:rPr>
                      </w:pPr>
                    </w:p>
                    <w:p w14:paraId="52241331" w14:textId="77777777" w:rsidR="00406878" w:rsidRDefault="00406878" w:rsidP="00406878">
                      <w:pPr>
                        <w:spacing w:line="20" w:lineRule="exact"/>
                        <w:rPr>
                          <w:rFonts w:ascii="標楷體" w:hAnsi="標楷體"/>
                          <w:b/>
                          <w:szCs w:val="24"/>
                        </w:rPr>
                      </w:pPr>
                    </w:p>
                    <w:p w14:paraId="4D011D96" w14:textId="77777777" w:rsidR="00406878" w:rsidRDefault="00406878" w:rsidP="00406878">
                      <w:pPr>
                        <w:spacing w:line="20" w:lineRule="exact"/>
                        <w:rPr>
                          <w:rFonts w:ascii="標楷體" w:hAnsi="標楷體"/>
                          <w:b/>
                          <w:szCs w:val="24"/>
                        </w:rPr>
                      </w:pPr>
                    </w:p>
                    <w:p w14:paraId="3ED8D4B7" w14:textId="77777777" w:rsidR="00406878" w:rsidRDefault="00406878" w:rsidP="00406878">
                      <w:pPr>
                        <w:spacing w:line="20" w:lineRule="exact"/>
                        <w:rPr>
                          <w:rFonts w:ascii="標楷體" w:hAnsi="標楷體"/>
                          <w:b/>
                          <w:szCs w:val="24"/>
                        </w:rPr>
                      </w:pPr>
                    </w:p>
                    <w:p w14:paraId="1F65466D" w14:textId="77777777" w:rsidR="00406878" w:rsidRDefault="00406878" w:rsidP="00406878">
                      <w:pPr>
                        <w:spacing w:line="20" w:lineRule="exact"/>
                        <w:rPr>
                          <w:rFonts w:ascii="標楷體" w:hAnsi="標楷體"/>
                          <w:b/>
                          <w:szCs w:val="24"/>
                        </w:rPr>
                      </w:pPr>
                    </w:p>
                    <w:p w14:paraId="0B4B8430" w14:textId="77777777" w:rsidR="00406878" w:rsidRDefault="00406878" w:rsidP="00406878">
                      <w:pPr>
                        <w:spacing w:line="20" w:lineRule="exact"/>
                        <w:rPr>
                          <w:rFonts w:ascii="標楷體" w:hAnsi="標楷體"/>
                          <w:b/>
                          <w:szCs w:val="24"/>
                        </w:rPr>
                      </w:pPr>
                    </w:p>
                    <w:p w14:paraId="6B1AEEF1" w14:textId="77777777" w:rsidR="00406878" w:rsidRDefault="00406878" w:rsidP="00406878">
                      <w:pPr>
                        <w:spacing w:line="20" w:lineRule="exact"/>
                        <w:rPr>
                          <w:rFonts w:ascii="標楷體" w:hAnsi="標楷體"/>
                          <w:b/>
                          <w:szCs w:val="24"/>
                        </w:rPr>
                      </w:pPr>
                    </w:p>
                    <w:p w14:paraId="034D74A9" w14:textId="77777777" w:rsidR="00406878" w:rsidRDefault="00406878" w:rsidP="00406878">
                      <w:pPr>
                        <w:spacing w:line="20" w:lineRule="exact"/>
                        <w:rPr>
                          <w:rFonts w:ascii="標楷體" w:hAnsi="標楷體"/>
                          <w:b/>
                          <w:szCs w:val="24"/>
                        </w:rPr>
                      </w:pPr>
                    </w:p>
                    <w:p w14:paraId="4D813A74" w14:textId="77777777" w:rsidR="00406878" w:rsidRDefault="00406878" w:rsidP="00406878">
                      <w:pPr>
                        <w:spacing w:line="20" w:lineRule="exact"/>
                        <w:rPr>
                          <w:rFonts w:ascii="標楷體" w:hAnsi="標楷體"/>
                          <w:b/>
                          <w:szCs w:val="24"/>
                        </w:rPr>
                      </w:pPr>
                    </w:p>
                    <w:p w14:paraId="71AC63C9" w14:textId="77777777" w:rsidR="00406878" w:rsidRDefault="00406878" w:rsidP="00406878">
                      <w:pPr>
                        <w:spacing w:line="20" w:lineRule="exact"/>
                        <w:rPr>
                          <w:rFonts w:ascii="標楷體" w:hAnsi="標楷體"/>
                          <w:b/>
                          <w:szCs w:val="24"/>
                        </w:rPr>
                      </w:pPr>
                    </w:p>
                    <w:p w14:paraId="7D7CF939" w14:textId="77777777" w:rsidR="00406878" w:rsidRDefault="00406878" w:rsidP="00406878">
                      <w:pPr>
                        <w:spacing w:line="20" w:lineRule="exact"/>
                        <w:rPr>
                          <w:rFonts w:ascii="標楷體" w:hAnsi="標楷體"/>
                          <w:b/>
                          <w:szCs w:val="24"/>
                        </w:rPr>
                      </w:pPr>
                    </w:p>
                    <w:p w14:paraId="3E71EC6E" w14:textId="77777777" w:rsidR="00406878" w:rsidRDefault="00406878" w:rsidP="00406878">
                      <w:pPr>
                        <w:spacing w:line="20" w:lineRule="exact"/>
                        <w:rPr>
                          <w:rFonts w:ascii="標楷體" w:hAnsi="標楷體"/>
                          <w:b/>
                          <w:szCs w:val="24"/>
                        </w:rPr>
                      </w:pPr>
                    </w:p>
                    <w:p w14:paraId="33880104" w14:textId="77777777" w:rsidR="00406878" w:rsidRDefault="00406878" w:rsidP="00406878">
                      <w:pPr>
                        <w:spacing w:line="20" w:lineRule="exact"/>
                        <w:rPr>
                          <w:rFonts w:ascii="標楷體" w:hAnsi="標楷體"/>
                          <w:b/>
                          <w:szCs w:val="24"/>
                        </w:rPr>
                      </w:pPr>
                    </w:p>
                    <w:p w14:paraId="039BD41E" w14:textId="77777777" w:rsidR="00406878" w:rsidRDefault="00406878" w:rsidP="00406878">
                      <w:pPr>
                        <w:spacing w:line="20" w:lineRule="exact"/>
                        <w:rPr>
                          <w:rFonts w:ascii="標楷體" w:hAnsi="標楷體"/>
                          <w:b/>
                          <w:szCs w:val="24"/>
                        </w:rPr>
                      </w:pPr>
                    </w:p>
                    <w:p w14:paraId="0C253853" w14:textId="77777777" w:rsidR="00406878" w:rsidRDefault="00406878" w:rsidP="00406878">
                      <w:pPr>
                        <w:spacing w:line="20" w:lineRule="exact"/>
                        <w:rPr>
                          <w:rFonts w:ascii="標楷體" w:hAnsi="標楷體"/>
                          <w:b/>
                          <w:szCs w:val="24"/>
                        </w:rPr>
                      </w:pPr>
                    </w:p>
                    <w:p w14:paraId="0AEE8F30" w14:textId="77777777" w:rsidR="00406878" w:rsidRDefault="00406878" w:rsidP="00406878">
                      <w:pPr>
                        <w:spacing w:line="20" w:lineRule="exact"/>
                        <w:rPr>
                          <w:rFonts w:ascii="標楷體" w:hAnsi="標楷體"/>
                          <w:b/>
                          <w:szCs w:val="24"/>
                        </w:rPr>
                      </w:pPr>
                    </w:p>
                    <w:p w14:paraId="7CF7DF67" w14:textId="77777777" w:rsidR="00406878" w:rsidRDefault="00406878" w:rsidP="00406878">
                      <w:pPr>
                        <w:spacing w:line="20" w:lineRule="exact"/>
                        <w:rPr>
                          <w:rFonts w:ascii="標楷體" w:hAnsi="標楷體"/>
                          <w:b/>
                          <w:szCs w:val="24"/>
                        </w:rPr>
                      </w:pPr>
                    </w:p>
                    <w:p w14:paraId="4C4270BF" w14:textId="77777777" w:rsidR="00406878" w:rsidRDefault="00406878" w:rsidP="00406878">
                      <w:pPr>
                        <w:spacing w:line="20" w:lineRule="exact"/>
                        <w:rPr>
                          <w:rFonts w:ascii="標楷體" w:hAnsi="標楷體"/>
                          <w:b/>
                          <w:szCs w:val="24"/>
                        </w:rPr>
                      </w:pPr>
                    </w:p>
                    <w:p w14:paraId="2BEC32D1" w14:textId="77777777" w:rsidR="00406878" w:rsidRDefault="00406878" w:rsidP="00406878">
                      <w:pPr>
                        <w:spacing w:line="20" w:lineRule="exact"/>
                        <w:rPr>
                          <w:rFonts w:ascii="標楷體" w:hAnsi="標楷體"/>
                          <w:b/>
                          <w:szCs w:val="24"/>
                        </w:rPr>
                      </w:pPr>
                    </w:p>
                    <w:p w14:paraId="1F665731" w14:textId="77777777" w:rsidR="00406878" w:rsidRDefault="00406878" w:rsidP="00406878">
                      <w:pPr>
                        <w:spacing w:line="20" w:lineRule="exact"/>
                        <w:rPr>
                          <w:rFonts w:ascii="標楷體" w:hAnsi="標楷體"/>
                          <w:b/>
                          <w:szCs w:val="24"/>
                        </w:rPr>
                      </w:pPr>
                    </w:p>
                    <w:p w14:paraId="342BAF6B" w14:textId="77777777" w:rsidR="00406878" w:rsidRDefault="00406878" w:rsidP="00406878">
                      <w:pPr>
                        <w:spacing w:line="20" w:lineRule="exact"/>
                        <w:rPr>
                          <w:rFonts w:ascii="標楷體" w:hAnsi="標楷體"/>
                          <w:b/>
                          <w:szCs w:val="24"/>
                        </w:rPr>
                      </w:pPr>
                    </w:p>
                    <w:p w14:paraId="0AF573B1" w14:textId="77777777" w:rsidR="00406878" w:rsidRDefault="00406878" w:rsidP="00406878">
                      <w:pPr>
                        <w:spacing w:line="20" w:lineRule="exact"/>
                        <w:rPr>
                          <w:rFonts w:ascii="標楷體" w:hAnsi="標楷體"/>
                          <w:b/>
                          <w:szCs w:val="24"/>
                        </w:rPr>
                      </w:pPr>
                    </w:p>
                    <w:p w14:paraId="0563FC49" w14:textId="77777777" w:rsidR="00406878" w:rsidRDefault="00406878" w:rsidP="00406878">
                      <w:pPr>
                        <w:spacing w:line="20" w:lineRule="exact"/>
                        <w:rPr>
                          <w:rFonts w:ascii="標楷體" w:hAnsi="標楷體"/>
                          <w:b/>
                          <w:szCs w:val="24"/>
                        </w:rPr>
                      </w:pPr>
                    </w:p>
                    <w:p w14:paraId="67D22BB9" w14:textId="77777777" w:rsidR="00406878" w:rsidRDefault="00406878" w:rsidP="00406878">
                      <w:pPr>
                        <w:spacing w:line="20" w:lineRule="exact"/>
                        <w:rPr>
                          <w:rFonts w:ascii="標楷體" w:hAnsi="標楷體"/>
                          <w:b/>
                          <w:szCs w:val="24"/>
                        </w:rPr>
                      </w:pPr>
                    </w:p>
                    <w:p w14:paraId="04E442AF" w14:textId="77777777" w:rsidR="00406878" w:rsidRDefault="00406878" w:rsidP="00406878">
                      <w:pPr>
                        <w:spacing w:line="20" w:lineRule="exact"/>
                        <w:rPr>
                          <w:rFonts w:ascii="標楷體" w:hAnsi="標楷體"/>
                          <w:b/>
                          <w:szCs w:val="24"/>
                        </w:rPr>
                      </w:pPr>
                    </w:p>
                    <w:p w14:paraId="43DEEB52" w14:textId="77777777" w:rsidR="00406878" w:rsidRDefault="00406878" w:rsidP="00406878">
                      <w:pPr>
                        <w:spacing w:line="20" w:lineRule="exact"/>
                        <w:rPr>
                          <w:rFonts w:ascii="標楷體" w:hAnsi="標楷體"/>
                          <w:b/>
                          <w:szCs w:val="24"/>
                        </w:rPr>
                      </w:pPr>
                    </w:p>
                    <w:p w14:paraId="59F68806" w14:textId="77777777" w:rsidR="00406878" w:rsidRDefault="00406878" w:rsidP="00406878">
                      <w:pPr>
                        <w:spacing w:line="20" w:lineRule="exact"/>
                        <w:rPr>
                          <w:rFonts w:ascii="標楷體" w:hAnsi="標楷體"/>
                          <w:b/>
                          <w:szCs w:val="24"/>
                        </w:rPr>
                      </w:pPr>
                    </w:p>
                    <w:p w14:paraId="61CD22D9" w14:textId="77777777" w:rsidR="00406878" w:rsidRDefault="00406878" w:rsidP="00406878">
                      <w:pPr>
                        <w:spacing w:line="20" w:lineRule="exact"/>
                        <w:rPr>
                          <w:rFonts w:ascii="標楷體" w:hAnsi="標楷體"/>
                          <w:b/>
                          <w:szCs w:val="24"/>
                        </w:rPr>
                      </w:pPr>
                    </w:p>
                    <w:p w14:paraId="15BEC26A" w14:textId="77777777" w:rsidR="00406878" w:rsidRDefault="00406878" w:rsidP="00406878">
                      <w:pPr>
                        <w:spacing w:line="20" w:lineRule="exact"/>
                        <w:rPr>
                          <w:rFonts w:ascii="標楷體" w:hAnsi="標楷體"/>
                          <w:b/>
                          <w:szCs w:val="24"/>
                        </w:rPr>
                      </w:pPr>
                    </w:p>
                    <w:p w14:paraId="52351F58" w14:textId="77777777" w:rsidR="00406878" w:rsidRDefault="00406878" w:rsidP="00406878">
                      <w:pPr>
                        <w:spacing w:line="20" w:lineRule="exact"/>
                        <w:rPr>
                          <w:rFonts w:ascii="標楷體" w:hAnsi="標楷體"/>
                          <w:b/>
                          <w:szCs w:val="24"/>
                        </w:rPr>
                      </w:pPr>
                    </w:p>
                    <w:p w14:paraId="5B004DB5" w14:textId="77777777" w:rsidR="00406878" w:rsidRDefault="00406878" w:rsidP="00406878">
                      <w:pPr>
                        <w:spacing w:line="20" w:lineRule="exact"/>
                        <w:rPr>
                          <w:rFonts w:ascii="標楷體" w:hAnsi="標楷體"/>
                          <w:b/>
                          <w:szCs w:val="24"/>
                        </w:rPr>
                      </w:pPr>
                    </w:p>
                    <w:p w14:paraId="35B1F152" w14:textId="77777777" w:rsidR="00406878" w:rsidRDefault="00406878" w:rsidP="00406878">
                      <w:pPr>
                        <w:spacing w:line="20" w:lineRule="exact"/>
                        <w:jc w:val="center"/>
                        <w:rPr>
                          <w:rFonts w:ascii="標楷體" w:hAnsi="標楷體"/>
                          <w:b/>
                          <w:szCs w:val="24"/>
                        </w:rPr>
                      </w:pPr>
                      <w:r>
                        <w:rPr>
                          <w:noProof/>
                        </w:rPr>
                        <w:drawing>
                          <wp:inline distT="0" distB="0" distL="0" distR="0" wp14:anchorId="03613615" wp14:editId="4364651F">
                            <wp:extent cx="2952000" cy="1681200"/>
                            <wp:effectExtent l="0" t="0" r="1270" b="0"/>
                            <wp:docPr id="2003185542" name="圖片 20031855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referRelativeResize="0"/>
                                  </pic:nvPicPr>
                                  <pic:blipFill rotWithShape="1">
                                    <a:blip r:embed="rId80"/>
                                    <a:srcRect l="9459" t="24730" r="24369"/>
                                    <a:stretch/>
                                  </pic:blipFill>
                                  <pic:spPr bwMode="auto">
                                    <a:xfrm>
                                      <a:off x="0" y="0"/>
                                      <a:ext cx="2952000" cy="1681200"/>
                                    </a:xfrm>
                                    <a:prstGeom prst="rect">
                                      <a:avLst/>
                                    </a:prstGeom>
                                    <a:ln>
                                      <a:noFill/>
                                    </a:ln>
                                    <a:extLst>
                                      <a:ext uri="{53640926-AAD7-44D8-BBD7-CCE9431645EC}">
                                        <a14:shadowObscured xmlns:a14="http://schemas.microsoft.com/office/drawing/2010/main"/>
                                      </a:ext>
                                    </a:extLst>
                                  </pic:spPr>
                                </pic:pic>
                              </a:graphicData>
                            </a:graphic>
                          </wp:inline>
                        </w:drawing>
                      </w:r>
                    </w:p>
                    <w:p w14:paraId="0683A518" w14:textId="77777777" w:rsidR="00406878" w:rsidRPr="00C5185A" w:rsidRDefault="00406878" w:rsidP="00406878">
                      <w:pPr>
                        <w:spacing w:line="0" w:lineRule="atLeast"/>
                        <w:rPr>
                          <w:rFonts w:ascii="標楷體" w:eastAsia="標楷體" w:hAnsi="標楷體"/>
                          <w:sz w:val="18"/>
                          <w:szCs w:val="18"/>
                        </w:rPr>
                      </w:pPr>
                      <w:r>
                        <w:rPr>
                          <w:rFonts w:ascii="標楷體" w:eastAsia="標楷體" w:hAnsi="標楷體" w:hint="eastAsia"/>
                          <w:sz w:val="18"/>
                          <w:szCs w:val="18"/>
                        </w:rPr>
                        <w:t>資料</w:t>
                      </w:r>
                      <w:r w:rsidRPr="00C5185A">
                        <w:rPr>
                          <w:rFonts w:ascii="標楷體" w:eastAsia="標楷體" w:hAnsi="標楷體"/>
                          <w:sz w:val="18"/>
                          <w:szCs w:val="18"/>
                        </w:rPr>
                        <w:t>來</w:t>
                      </w:r>
                      <w:r w:rsidRPr="00C5185A">
                        <w:rPr>
                          <w:rFonts w:ascii="標楷體" w:eastAsia="標楷體" w:hAnsi="標楷體" w:hint="eastAsia"/>
                          <w:sz w:val="18"/>
                          <w:szCs w:val="18"/>
                        </w:rPr>
                        <w:t>源：</w:t>
                      </w:r>
                      <w:r>
                        <w:rPr>
                          <w:rFonts w:ascii="標楷體" w:eastAsia="標楷體" w:hAnsi="標楷體" w:hint="eastAsia"/>
                          <w:sz w:val="18"/>
                          <w:szCs w:val="18"/>
                        </w:rPr>
                        <w:t>整理自</w:t>
                      </w:r>
                      <w:r w:rsidRPr="00C5185A">
                        <w:rPr>
                          <w:rFonts w:ascii="標楷體" w:eastAsia="標楷體" w:hAnsi="標楷體" w:hint="eastAsia"/>
                          <w:sz w:val="18"/>
                          <w:szCs w:val="18"/>
                        </w:rPr>
                        <w:t>體育局提供</w:t>
                      </w:r>
                      <w:r>
                        <w:rPr>
                          <w:rFonts w:ascii="標楷體" w:eastAsia="標楷體" w:hAnsi="標楷體" w:hint="eastAsia"/>
                          <w:sz w:val="18"/>
                          <w:szCs w:val="18"/>
                        </w:rPr>
                        <w:t>資料。</w:t>
                      </w:r>
                    </w:p>
                  </w:txbxContent>
                </v:textbox>
                <w10:wrap type="tight" anchorx="margin"/>
              </v:shape>
            </w:pict>
          </mc:Fallback>
        </mc:AlternateContent>
      </w:r>
      <w:r w:rsidRPr="001A5B22">
        <w:rPr>
          <w:rFonts w:hAnsi="標楷體"/>
          <w:noProof/>
          <w:color w:val="FF0000"/>
        </w:rPr>
        <mc:AlternateContent>
          <mc:Choice Requires="wps">
            <w:drawing>
              <wp:anchor distT="0" distB="0" distL="114300" distR="114300" simplePos="0" relativeHeight="251814912" behindDoc="1" locked="0" layoutInCell="1" allowOverlap="1" wp14:anchorId="6799B344" wp14:editId="0E7F1777">
                <wp:simplePos x="0" y="0"/>
                <wp:positionH relativeFrom="margin">
                  <wp:posOffset>3218180</wp:posOffset>
                </wp:positionH>
                <wp:positionV relativeFrom="paragraph">
                  <wp:posOffset>2223770</wp:posOffset>
                </wp:positionV>
                <wp:extent cx="3200400" cy="2105660"/>
                <wp:effectExtent l="0" t="0" r="0" b="0"/>
                <wp:wrapTight wrapText="bothSides">
                  <wp:wrapPolygon edited="0">
                    <wp:start x="386" y="0"/>
                    <wp:lineTo x="386" y="21300"/>
                    <wp:lineTo x="21086" y="21300"/>
                    <wp:lineTo x="21086" y="0"/>
                    <wp:lineTo x="386" y="0"/>
                  </wp:wrapPolygon>
                </wp:wrapTight>
                <wp:docPr id="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105660"/>
                        </a:xfrm>
                        <a:prstGeom prst="rect">
                          <a:avLst/>
                        </a:prstGeom>
                        <a:noFill/>
                        <a:ln w="9525">
                          <a:noFill/>
                          <a:miter lim="800000"/>
                          <a:headEnd/>
                          <a:tailEnd/>
                        </a:ln>
                      </wps:spPr>
                      <wps:txbx>
                        <w:txbxContent>
                          <w:p w14:paraId="7D883784" w14:textId="77777777" w:rsidR="00406878" w:rsidRPr="004721F7" w:rsidRDefault="00406878" w:rsidP="00406878">
                            <w:pPr>
                              <w:spacing w:line="240" w:lineRule="exact"/>
                              <w:jc w:val="center"/>
                              <w:rPr>
                                <w:rFonts w:ascii="標楷體" w:eastAsia="標楷體" w:hAnsi="標楷體"/>
                                <w:b/>
                                <w:spacing w:val="-14"/>
                                <w:szCs w:val="24"/>
                              </w:rPr>
                            </w:pPr>
                            <w:r w:rsidRPr="004721F7">
                              <w:rPr>
                                <w:rFonts w:ascii="標楷體" w:eastAsia="標楷體" w:hAnsi="標楷體" w:cs="標楷體" w:hint="eastAsia"/>
                                <w:b/>
                                <w:spacing w:val="-14"/>
                                <w:szCs w:val="32"/>
                              </w:rPr>
                              <w:t>圖</w:t>
                            </w:r>
                            <w:r>
                              <w:rPr>
                                <w:rFonts w:ascii="標楷體" w:eastAsia="標楷體" w:hAnsi="標楷體" w:cs="標楷體" w:hint="eastAsia"/>
                                <w:b/>
                                <w:spacing w:val="-14"/>
                                <w:szCs w:val="32"/>
                              </w:rPr>
                              <w:t>3</w:t>
                            </w:r>
                            <w:r w:rsidRPr="004721F7">
                              <w:rPr>
                                <w:rFonts w:ascii="標楷體" w:eastAsia="標楷體" w:hAnsi="標楷體" w:cs="標楷體" w:hint="eastAsia"/>
                                <w:b/>
                                <w:spacing w:val="-14"/>
                                <w:szCs w:val="32"/>
                              </w:rPr>
                              <w:t xml:space="preserve">　新生公園網球場改建全民運動館</w:t>
                            </w:r>
                            <w:r w:rsidRPr="004721F7">
                              <w:rPr>
                                <w:rFonts w:ascii="標楷體" w:eastAsia="標楷體" w:hAnsi="標楷體" w:hint="eastAsia"/>
                                <w:b/>
                                <w:spacing w:val="-14"/>
                              </w:rPr>
                              <w:t>完工示意圖</w:t>
                            </w:r>
                          </w:p>
                          <w:p w14:paraId="6DC6BA50" w14:textId="77777777" w:rsidR="00406878" w:rsidRPr="004721F7" w:rsidRDefault="00406878" w:rsidP="00406878">
                            <w:pPr>
                              <w:spacing w:line="20" w:lineRule="exact"/>
                              <w:rPr>
                                <w:rFonts w:ascii="標楷體" w:eastAsia="標楷體" w:hAnsi="標楷體"/>
                                <w:b/>
                                <w:szCs w:val="24"/>
                              </w:rPr>
                            </w:pPr>
                          </w:p>
                          <w:p w14:paraId="7BE67689" w14:textId="77777777" w:rsidR="00406878" w:rsidRDefault="00406878" w:rsidP="00406878">
                            <w:pPr>
                              <w:spacing w:line="20" w:lineRule="exact"/>
                              <w:rPr>
                                <w:rFonts w:ascii="標楷體" w:eastAsia="標楷體" w:hAnsi="標楷體"/>
                                <w:b/>
                                <w:szCs w:val="24"/>
                              </w:rPr>
                            </w:pPr>
                          </w:p>
                          <w:p w14:paraId="535E6020" w14:textId="77777777" w:rsidR="00406878" w:rsidRDefault="00406878" w:rsidP="00406878">
                            <w:pPr>
                              <w:spacing w:line="20" w:lineRule="exact"/>
                              <w:rPr>
                                <w:rFonts w:ascii="標楷體" w:eastAsia="標楷體" w:hAnsi="標楷體"/>
                                <w:b/>
                                <w:szCs w:val="24"/>
                              </w:rPr>
                            </w:pPr>
                          </w:p>
                          <w:p w14:paraId="669A9D4A" w14:textId="77777777" w:rsidR="00406878" w:rsidRDefault="00406878" w:rsidP="00406878">
                            <w:pPr>
                              <w:spacing w:line="20" w:lineRule="exact"/>
                              <w:rPr>
                                <w:rFonts w:ascii="標楷體" w:eastAsia="標楷體" w:hAnsi="標楷體"/>
                                <w:b/>
                                <w:szCs w:val="24"/>
                              </w:rPr>
                            </w:pPr>
                          </w:p>
                          <w:p w14:paraId="54910EC7" w14:textId="77777777" w:rsidR="00406878" w:rsidRDefault="00406878" w:rsidP="00406878">
                            <w:pPr>
                              <w:spacing w:line="20" w:lineRule="exact"/>
                              <w:rPr>
                                <w:rFonts w:ascii="標楷體" w:eastAsia="標楷體" w:hAnsi="標楷體"/>
                                <w:b/>
                                <w:szCs w:val="24"/>
                              </w:rPr>
                            </w:pPr>
                          </w:p>
                          <w:p w14:paraId="5BF0BB89" w14:textId="77777777" w:rsidR="00406878" w:rsidRDefault="00406878" w:rsidP="00406878">
                            <w:pPr>
                              <w:spacing w:line="20" w:lineRule="exact"/>
                              <w:rPr>
                                <w:rFonts w:ascii="標楷體" w:eastAsia="標楷體" w:hAnsi="標楷體"/>
                                <w:b/>
                                <w:szCs w:val="24"/>
                              </w:rPr>
                            </w:pPr>
                          </w:p>
                          <w:p w14:paraId="3D576F68" w14:textId="77777777" w:rsidR="00406878" w:rsidRDefault="00406878" w:rsidP="00406878">
                            <w:pPr>
                              <w:spacing w:line="20" w:lineRule="exact"/>
                              <w:rPr>
                                <w:rFonts w:ascii="標楷體" w:eastAsia="標楷體" w:hAnsi="標楷體"/>
                                <w:b/>
                                <w:szCs w:val="24"/>
                              </w:rPr>
                            </w:pPr>
                          </w:p>
                          <w:p w14:paraId="5E59AD30" w14:textId="77777777" w:rsidR="00406878" w:rsidRDefault="00406878" w:rsidP="00406878">
                            <w:pPr>
                              <w:spacing w:line="20" w:lineRule="exact"/>
                              <w:rPr>
                                <w:rFonts w:ascii="標楷體" w:eastAsia="標楷體" w:hAnsi="標楷體"/>
                                <w:b/>
                                <w:szCs w:val="24"/>
                              </w:rPr>
                            </w:pPr>
                          </w:p>
                          <w:p w14:paraId="3156046C" w14:textId="77777777" w:rsidR="00406878" w:rsidRDefault="00406878" w:rsidP="00406878">
                            <w:pPr>
                              <w:spacing w:line="20" w:lineRule="exact"/>
                              <w:rPr>
                                <w:rFonts w:ascii="標楷體" w:eastAsia="標楷體" w:hAnsi="標楷體"/>
                                <w:b/>
                                <w:szCs w:val="24"/>
                              </w:rPr>
                            </w:pPr>
                          </w:p>
                          <w:p w14:paraId="4BF471FC" w14:textId="77777777" w:rsidR="00406878" w:rsidRDefault="00406878" w:rsidP="00406878">
                            <w:pPr>
                              <w:spacing w:line="20" w:lineRule="exact"/>
                              <w:rPr>
                                <w:rFonts w:ascii="標楷體" w:eastAsia="標楷體" w:hAnsi="標楷體"/>
                                <w:b/>
                                <w:szCs w:val="24"/>
                              </w:rPr>
                            </w:pPr>
                          </w:p>
                          <w:p w14:paraId="7BC5A6B6" w14:textId="77777777" w:rsidR="00406878" w:rsidRDefault="00406878" w:rsidP="00406878">
                            <w:pPr>
                              <w:spacing w:line="20" w:lineRule="exact"/>
                              <w:rPr>
                                <w:rFonts w:ascii="標楷體" w:eastAsia="標楷體" w:hAnsi="標楷體"/>
                                <w:b/>
                                <w:szCs w:val="24"/>
                              </w:rPr>
                            </w:pPr>
                          </w:p>
                          <w:p w14:paraId="68998FF9" w14:textId="77777777" w:rsidR="00406878" w:rsidRDefault="00406878" w:rsidP="00406878">
                            <w:pPr>
                              <w:spacing w:line="20" w:lineRule="exact"/>
                              <w:rPr>
                                <w:rFonts w:ascii="標楷體" w:eastAsia="標楷體" w:hAnsi="標楷體"/>
                                <w:b/>
                                <w:szCs w:val="24"/>
                              </w:rPr>
                            </w:pPr>
                          </w:p>
                          <w:p w14:paraId="66352709" w14:textId="77777777" w:rsidR="00406878" w:rsidRDefault="00406878" w:rsidP="00406878">
                            <w:pPr>
                              <w:spacing w:line="20" w:lineRule="exact"/>
                              <w:rPr>
                                <w:rFonts w:ascii="標楷體" w:eastAsia="標楷體" w:hAnsi="標楷體"/>
                                <w:b/>
                                <w:szCs w:val="24"/>
                              </w:rPr>
                            </w:pPr>
                          </w:p>
                          <w:p w14:paraId="20276D79" w14:textId="77777777" w:rsidR="00406878" w:rsidRDefault="00406878" w:rsidP="00406878">
                            <w:pPr>
                              <w:spacing w:line="20" w:lineRule="exact"/>
                              <w:rPr>
                                <w:rFonts w:ascii="標楷體" w:eastAsia="標楷體" w:hAnsi="標楷體"/>
                                <w:b/>
                                <w:szCs w:val="24"/>
                              </w:rPr>
                            </w:pPr>
                          </w:p>
                          <w:p w14:paraId="239F6F55" w14:textId="77777777" w:rsidR="00406878" w:rsidRDefault="00406878" w:rsidP="00406878">
                            <w:pPr>
                              <w:spacing w:line="20" w:lineRule="exact"/>
                              <w:rPr>
                                <w:rFonts w:ascii="標楷體" w:eastAsia="標楷體" w:hAnsi="標楷體"/>
                                <w:b/>
                                <w:szCs w:val="24"/>
                              </w:rPr>
                            </w:pPr>
                          </w:p>
                          <w:p w14:paraId="367EE872" w14:textId="77777777" w:rsidR="00406878" w:rsidRDefault="00406878" w:rsidP="00406878">
                            <w:pPr>
                              <w:spacing w:line="20" w:lineRule="exact"/>
                              <w:rPr>
                                <w:rFonts w:ascii="標楷體" w:eastAsia="標楷體" w:hAnsi="標楷體"/>
                                <w:b/>
                                <w:szCs w:val="24"/>
                              </w:rPr>
                            </w:pPr>
                          </w:p>
                          <w:p w14:paraId="3DA82BB7" w14:textId="77777777" w:rsidR="00406878" w:rsidRDefault="00406878" w:rsidP="00406878">
                            <w:pPr>
                              <w:spacing w:line="20" w:lineRule="exact"/>
                              <w:rPr>
                                <w:rFonts w:ascii="標楷體" w:eastAsia="標楷體" w:hAnsi="標楷體"/>
                                <w:b/>
                                <w:szCs w:val="24"/>
                              </w:rPr>
                            </w:pPr>
                          </w:p>
                          <w:p w14:paraId="77A1DE33" w14:textId="77777777" w:rsidR="00406878" w:rsidRDefault="00406878" w:rsidP="00406878">
                            <w:pPr>
                              <w:spacing w:line="20" w:lineRule="exact"/>
                              <w:rPr>
                                <w:rFonts w:ascii="標楷體" w:eastAsia="標楷體" w:hAnsi="標楷體"/>
                                <w:b/>
                                <w:szCs w:val="24"/>
                              </w:rPr>
                            </w:pPr>
                          </w:p>
                          <w:p w14:paraId="17D638C0" w14:textId="77777777" w:rsidR="00406878" w:rsidRDefault="00406878" w:rsidP="00406878">
                            <w:pPr>
                              <w:spacing w:line="20" w:lineRule="exact"/>
                              <w:rPr>
                                <w:rFonts w:ascii="標楷體" w:eastAsia="標楷體" w:hAnsi="標楷體"/>
                                <w:b/>
                                <w:szCs w:val="24"/>
                              </w:rPr>
                            </w:pPr>
                          </w:p>
                          <w:p w14:paraId="104BD8B9" w14:textId="77777777" w:rsidR="00406878" w:rsidRDefault="00406878" w:rsidP="00406878">
                            <w:pPr>
                              <w:spacing w:line="20" w:lineRule="exact"/>
                              <w:rPr>
                                <w:rFonts w:ascii="標楷體" w:eastAsia="標楷體" w:hAnsi="標楷體"/>
                                <w:b/>
                                <w:szCs w:val="24"/>
                              </w:rPr>
                            </w:pPr>
                          </w:p>
                          <w:p w14:paraId="48C5E2CF" w14:textId="77777777" w:rsidR="00406878" w:rsidRDefault="00406878" w:rsidP="00406878">
                            <w:pPr>
                              <w:spacing w:line="20" w:lineRule="exact"/>
                              <w:rPr>
                                <w:rFonts w:ascii="標楷體" w:eastAsia="標楷體" w:hAnsi="標楷體"/>
                                <w:b/>
                                <w:szCs w:val="24"/>
                              </w:rPr>
                            </w:pPr>
                          </w:p>
                          <w:p w14:paraId="6A9B027A" w14:textId="77777777" w:rsidR="00406878" w:rsidRDefault="00406878" w:rsidP="00406878">
                            <w:pPr>
                              <w:spacing w:line="20" w:lineRule="exact"/>
                              <w:rPr>
                                <w:rFonts w:ascii="標楷體" w:eastAsia="標楷體" w:hAnsi="標楷體"/>
                                <w:b/>
                                <w:szCs w:val="24"/>
                              </w:rPr>
                            </w:pPr>
                          </w:p>
                          <w:p w14:paraId="57BAF602" w14:textId="77777777" w:rsidR="00406878" w:rsidRDefault="00406878" w:rsidP="00406878">
                            <w:pPr>
                              <w:spacing w:line="20" w:lineRule="exact"/>
                              <w:rPr>
                                <w:rFonts w:ascii="標楷體" w:eastAsia="標楷體" w:hAnsi="標楷體"/>
                                <w:b/>
                                <w:szCs w:val="24"/>
                              </w:rPr>
                            </w:pPr>
                          </w:p>
                          <w:p w14:paraId="3A7C95F3" w14:textId="77777777" w:rsidR="00406878" w:rsidRDefault="00406878" w:rsidP="00406878">
                            <w:pPr>
                              <w:spacing w:line="20" w:lineRule="exact"/>
                              <w:rPr>
                                <w:rFonts w:ascii="標楷體" w:eastAsia="標楷體" w:hAnsi="標楷體"/>
                                <w:b/>
                                <w:szCs w:val="24"/>
                              </w:rPr>
                            </w:pPr>
                          </w:p>
                          <w:p w14:paraId="58916258" w14:textId="77777777" w:rsidR="00406878" w:rsidRDefault="00406878" w:rsidP="00406878">
                            <w:pPr>
                              <w:spacing w:line="20" w:lineRule="exact"/>
                              <w:rPr>
                                <w:rFonts w:ascii="標楷體" w:eastAsia="標楷體" w:hAnsi="標楷體"/>
                                <w:b/>
                                <w:szCs w:val="24"/>
                              </w:rPr>
                            </w:pPr>
                          </w:p>
                          <w:p w14:paraId="5C76A65B" w14:textId="77777777" w:rsidR="00406878" w:rsidRDefault="00406878" w:rsidP="00406878">
                            <w:pPr>
                              <w:spacing w:line="20" w:lineRule="exact"/>
                              <w:rPr>
                                <w:rFonts w:ascii="標楷體" w:eastAsia="標楷體" w:hAnsi="標楷體"/>
                                <w:b/>
                                <w:szCs w:val="24"/>
                              </w:rPr>
                            </w:pPr>
                          </w:p>
                          <w:p w14:paraId="4ED8C979" w14:textId="77777777" w:rsidR="00406878" w:rsidRDefault="00406878" w:rsidP="00406878">
                            <w:pPr>
                              <w:spacing w:line="20" w:lineRule="exact"/>
                              <w:rPr>
                                <w:rFonts w:ascii="標楷體" w:eastAsia="標楷體" w:hAnsi="標楷體"/>
                                <w:b/>
                                <w:szCs w:val="24"/>
                              </w:rPr>
                            </w:pPr>
                          </w:p>
                          <w:p w14:paraId="6DB60DAE" w14:textId="77777777" w:rsidR="00406878" w:rsidRDefault="00406878" w:rsidP="00406878">
                            <w:pPr>
                              <w:spacing w:line="20" w:lineRule="exact"/>
                              <w:rPr>
                                <w:rFonts w:ascii="標楷體" w:eastAsia="標楷體" w:hAnsi="標楷體"/>
                                <w:b/>
                                <w:szCs w:val="24"/>
                              </w:rPr>
                            </w:pPr>
                          </w:p>
                          <w:p w14:paraId="7C37CD89" w14:textId="77777777" w:rsidR="00406878" w:rsidRDefault="00406878" w:rsidP="00406878">
                            <w:pPr>
                              <w:spacing w:line="20" w:lineRule="exact"/>
                              <w:rPr>
                                <w:rFonts w:ascii="標楷體" w:eastAsia="標楷體" w:hAnsi="標楷體"/>
                                <w:b/>
                                <w:szCs w:val="24"/>
                              </w:rPr>
                            </w:pPr>
                          </w:p>
                          <w:p w14:paraId="03D4EE65" w14:textId="77777777" w:rsidR="00406878" w:rsidRDefault="00406878" w:rsidP="00406878">
                            <w:pPr>
                              <w:spacing w:line="20" w:lineRule="exact"/>
                              <w:rPr>
                                <w:rFonts w:ascii="標楷體" w:eastAsia="標楷體" w:hAnsi="標楷體"/>
                                <w:b/>
                                <w:szCs w:val="24"/>
                              </w:rPr>
                            </w:pPr>
                          </w:p>
                          <w:p w14:paraId="1ACA4247" w14:textId="77777777" w:rsidR="00406878" w:rsidRDefault="00406878" w:rsidP="00406878">
                            <w:pPr>
                              <w:spacing w:line="20" w:lineRule="exact"/>
                              <w:rPr>
                                <w:rFonts w:ascii="標楷體" w:eastAsia="標楷體" w:hAnsi="標楷體"/>
                                <w:b/>
                                <w:szCs w:val="24"/>
                              </w:rPr>
                            </w:pPr>
                          </w:p>
                          <w:p w14:paraId="5C5D705D" w14:textId="77777777" w:rsidR="00406878" w:rsidRDefault="00406878" w:rsidP="00406878">
                            <w:pPr>
                              <w:spacing w:line="20" w:lineRule="exact"/>
                              <w:rPr>
                                <w:rFonts w:ascii="標楷體" w:eastAsia="標楷體" w:hAnsi="標楷體"/>
                                <w:b/>
                                <w:szCs w:val="24"/>
                              </w:rPr>
                            </w:pPr>
                          </w:p>
                          <w:p w14:paraId="07AC8012" w14:textId="77777777" w:rsidR="00406878" w:rsidRDefault="00406878" w:rsidP="00406878">
                            <w:pPr>
                              <w:spacing w:line="20" w:lineRule="exact"/>
                              <w:rPr>
                                <w:rFonts w:ascii="標楷體" w:eastAsia="標楷體" w:hAnsi="標楷體"/>
                                <w:b/>
                                <w:szCs w:val="24"/>
                              </w:rPr>
                            </w:pPr>
                          </w:p>
                          <w:p w14:paraId="7FB9F5AC" w14:textId="77777777" w:rsidR="00406878" w:rsidRDefault="00406878" w:rsidP="00406878">
                            <w:pPr>
                              <w:spacing w:line="20" w:lineRule="exact"/>
                              <w:rPr>
                                <w:rFonts w:ascii="標楷體" w:eastAsia="標楷體" w:hAnsi="標楷體"/>
                                <w:b/>
                                <w:szCs w:val="24"/>
                              </w:rPr>
                            </w:pPr>
                          </w:p>
                          <w:p w14:paraId="1C12BE19" w14:textId="77777777" w:rsidR="00406878" w:rsidRDefault="00406878" w:rsidP="00406878">
                            <w:pPr>
                              <w:spacing w:line="20" w:lineRule="exact"/>
                              <w:rPr>
                                <w:rFonts w:ascii="標楷體" w:eastAsia="標楷體" w:hAnsi="標楷體"/>
                                <w:b/>
                                <w:szCs w:val="24"/>
                              </w:rPr>
                            </w:pPr>
                          </w:p>
                          <w:p w14:paraId="16138D3E" w14:textId="77777777" w:rsidR="00406878" w:rsidRDefault="00406878" w:rsidP="00406878">
                            <w:pPr>
                              <w:spacing w:line="20" w:lineRule="exact"/>
                              <w:rPr>
                                <w:rFonts w:ascii="標楷體" w:eastAsia="標楷體" w:hAnsi="標楷體"/>
                                <w:b/>
                                <w:szCs w:val="24"/>
                              </w:rPr>
                            </w:pPr>
                          </w:p>
                          <w:p w14:paraId="071E33EE" w14:textId="77777777" w:rsidR="00406878" w:rsidRDefault="00406878" w:rsidP="00406878">
                            <w:pPr>
                              <w:spacing w:line="20" w:lineRule="exact"/>
                              <w:rPr>
                                <w:rFonts w:ascii="標楷體" w:eastAsia="標楷體" w:hAnsi="標楷體"/>
                                <w:b/>
                                <w:szCs w:val="24"/>
                              </w:rPr>
                            </w:pPr>
                          </w:p>
                          <w:p w14:paraId="2CBAF1FA" w14:textId="77777777" w:rsidR="00406878" w:rsidRDefault="00406878" w:rsidP="00406878">
                            <w:pPr>
                              <w:spacing w:line="20" w:lineRule="exact"/>
                              <w:rPr>
                                <w:rFonts w:ascii="標楷體" w:eastAsia="標楷體" w:hAnsi="標楷體"/>
                                <w:b/>
                                <w:szCs w:val="24"/>
                              </w:rPr>
                            </w:pPr>
                          </w:p>
                          <w:p w14:paraId="1AE1C65C" w14:textId="77777777" w:rsidR="00406878" w:rsidRDefault="00406878" w:rsidP="00406878">
                            <w:pPr>
                              <w:spacing w:line="20" w:lineRule="exact"/>
                              <w:rPr>
                                <w:rFonts w:ascii="標楷體" w:eastAsia="標楷體" w:hAnsi="標楷體"/>
                                <w:b/>
                                <w:szCs w:val="24"/>
                              </w:rPr>
                            </w:pPr>
                          </w:p>
                          <w:p w14:paraId="62837649" w14:textId="77777777" w:rsidR="00406878" w:rsidRDefault="00406878" w:rsidP="00406878">
                            <w:pPr>
                              <w:spacing w:line="20" w:lineRule="exact"/>
                              <w:rPr>
                                <w:rFonts w:ascii="標楷體" w:eastAsia="標楷體" w:hAnsi="標楷體"/>
                                <w:b/>
                                <w:szCs w:val="24"/>
                              </w:rPr>
                            </w:pPr>
                          </w:p>
                          <w:p w14:paraId="685DB791" w14:textId="77777777" w:rsidR="00406878" w:rsidRDefault="00406878" w:rsidP="00406878">
                            <w:pPr>
                              <w:spacing w:line="20" w:lineRule="exact"/>
                              <w:rPr>
                                <w:rFonts w:ascii="標楷體" w:eastAsia="標楷體" w:hAnsi="標楷體"/>
                                <w:b/>
                                <w:szCs w:val="24"/>
                              </w:rPr>
                            </w:pPr>
                          </w:p>
                          <w:p w14:paraId="6E5828D7" w14:textId="77777777" w:rsidR="00406878" w:rsidRDefault="00406878" w:rsidP="00406878">
                            <w:pPr>
                              <w:spacing w:line="20" w:lineRule="exact"/>
                              <w:rPr>
                                <w:rFonts w:ascii="標楷體" w:eastAsia="標楷體" w:hAnsi="標楷體"/>
                                <w:b/>
                                <w:szCs w:val="24"/>
                              </w:rPr>
                            </w:pPr>
                          </w:p>
                          <w:p w14:paraId="4723A0EA" w14:textId="77777777" w:rsidR="00406878" w:rsidRDefault="00406878" w:rsidP="00406878">
                            <w:pPr>
                              <w:spacing w:line="20" w:lineRule="exact"/>
                              <w:rPr>
                                <w:rFonts w:ascii="標楷體" w:eastAsia="標楷體" w:hAnsi="標楷體"/>
                                <w:b/>
                                <w:szCs w:val="24"/>
                              </w:rPr>
                            </w:pPr>
                          </w:p>
                          <w:p w14:paraId="3CE0FE8F" w14:textId="77777777" w:rsidR="00406878" w:rsidRDefault="00406878" w:rsidP="00406878">
                            <w:pPr>
                              <w:spacing w:line="20" w:lineRule="exact"/>
                              <w:rPr>
                                <w:rFonts w:ascii="標楷體" w:eastAsia="標楷體" w:hAnsi="標楷體"/>
                                <w:b/>
                                <w:szCs w:val="24"/>
                              </w:rPr>
                            </w:pPr>
                          </w:p>
                          <w:p w14:paraId="1E928DB7" w14:textId="77777777" w:rsidR="00406878" w:rsidRDefault="00406878" w:rsidP="00406878">
                            <w:pPr>
                              <w:spacing w:line="20" w:lineRule="exact"/>
                              <w:rPr>
                                <w:rFonts w:ascii="標楷體" w:eastAsia="標楷體" w:hAnsi="標楷體"/>
                                <w:b/>
                                <w:szCs w:val="24"/>
                              </w:rPr>
                            </w:pPr>
                          </w:p>
                          <w:p w14:paraId="7753702E" w14:textId="77777777" w:rsidR="00406878" w:rsidRDefault="00406878" w:rsidP="00406878">
                            <w:pPr>
                              <w:spacing w:line="20" w:lineRule="exact"/>
                              <w:rPr>
                                <w:rFonts w:ascii="標楷體" w:eastAsia="標楷體" w:hAnsi="標楷體"/>
                                <w:b/>
                                <w:szCs w:val="24"/>
                              </w:rPr>
                            </w:pPr>
                          </w:p>
                          <w:p w14:paraId="57039895" w14:textId="77777777" w:rsidR="00406878" w:rsidRDefault="00406878" w:rsidP="00406878">
                            <w:pPr>
                              <w:spacing w:line="20" w:lineRule="exact"/>
                              <w:rPr>
                                <w:rFonts w:ascii="標楷體" w:eastAsia="標楷體" w:hAnsi="標楷體"/>
                                <w:b/>
                                <w:szCs w:val="24"/>
                              </w:rPr>
                            </w:pPr>
                          </w:p>
                          <w:p w14:paraId="40018058" w14:textId="77777777" w:rsidR="00406878" w:rsidRDefault="00406878" w:rsidP="00406878">
                            <w:pPr>
                              <w:spacing w:line="20" w:lineRule="exact"/>
                              <w:rPr>
                                <w:rFonts w:ascii="標楷體" w:eastAsia="標楷體" w:hAnsi="標楷體"/>
                                <w:b/>
                                <w:szCs w:val="24"/>
                              </w:rPr>
                            </w:pPr>
                          </w:p>
                          <w:p w14:paraId="14A57F3F" w14:textId="77777777" w:rsidR="00406878" w:rsidRDefault="00406878" w:rsidP="00406878">
                            <w:pPr>
                              <w:spacing w:line="20" w:lineRule="exact"/>
                              <w:rPr>
                                <w:rFonts w:ascii="標楷體" w:eastAsia="標楷體" w:hAnsi="標楷體"/>
                                <w:b/>
                                <w:szCs w:val="24"/>
                              </w:rPr>
                            </w:pPr>
                          </w:p>
                          <w:p w14:paraId="2C0F4E1C" w14:textId="77777777" w:rsidR="00406878" w:rsidRDefault="00406878" w:rsidP="00406878">
                            <w:pPr>
                              <w:spacing w:line="20" w:lineRule="exact"/>
                              <w:rPr>
                                <w:rFonts w:ascii="標楷體" w:eastAsia="標楷體" w:hAnsi="標楷體"/>
                                <w:b/>
                                <w:szCs w:val="24"/>
                              </w:rPr>
                            </w:pPr>
                          </w:p>
                          <w:p w14:paraId="623440D1" w14:textId="77777777" w:rsidR="00406878" w:rsidRDefault="00406878" w:rsidP="00406878">
                            <w:pPr>
                              <w:spacing w:line="20" w:lineRule="exact"/>
                              <w:rPr>
                                <w:rFonts w:ascii="標楷體" w:eastAsia="標楷體" w:hAnsi="標楷體"/>
                                <w:b/>
                                <w:szCs w:val="24"/>
                              </w:rPr>
                            </w:pPr>
                          </w:p>
                          <w:p w14:paraId="09A7780F" w14:textId="77777777" w:rsidR="00406878" w:rsidRDefault="00406878" w:rsidP="00406878">
                            <w:pPr>
                              <w:spacing w:line="20" w:lineRule="exact"/>
                              <w:rPr>
                                <w:rFonts w:ascii="標楷體" w:eastAsia="標楷體" w:hAnsi="標楷體"/>
                                <w:b/>
                                <w:szCs w:val="24"/>
                              </w:rPr>
                            </w:pPr>
                          </w:p>
                          <w:p w14:paraId="78B57AAA" w14:textId="77777777" w:rsidR="00406878" w:rsidRDefault="00406878" w:rsidP="00406878">
                            <w:pPr>
                              <w:spacing w:line="20" w:lineRule="exact"/>
                              <w:rPr>
                                <w:rFonts w:ascii="標楷體" w:eastAsia="標楷體" w:hAnsi="標楷體"/>
                                <w:b/>
                                <w:szCs w:val="24"/>
                              </w:rPr>
                            </w:pPr>
                          </w:p>
                          <w:p w14:paraId="652FB3D5" w14:textId="77777777" w:rsidR="00406878" w:rsidRDefault="00406878" w:rsidP="00406878">
                            <w:pPr>
                              <w:spacing w:line="20" w:lineRule="exact"/>
                              <w:rPr>
                                <w:rFonts w:ascii="標楷體" w:eastAsia="標楷體" w:hAnsi="標楷體"/>
                                <w:b/>
                                <w:szCs w:val="24"/>
                              </w:rPr>
                            </w:pPr>
                          </w:p>
                          <w:p w14:paraId="7212D7C1" w14:textId="77777777" w:rsidR="00406878" w:rsidRDefault="00406878" w:rsidP="00406878">
                            <w:pPr>
                              <w:spacing w:line="20" w:lineRule="exact"/>
                              <w:rPr>
                                <w:rFonts w:ascii="標楷體" w:eastAsia="標楷體" w:hAnsi="標楷體"/>
                                <w:b/>
                                <w:szCs w:val="24"/>
                              </w:rPr>
                            </w:pPr>
                          </w:p>
                          <w:p w14:paraId="57EBFE19" w14:textId="77777777" w:rsidR="00406878" w:rsidRDefault="00406878" w:rsidP="00406878">
                            <w:pPr>
                              <w:spacing w:line="20" w:lineRule="exact"/>
                              <w:rPr>
                                <w:rFonts w:ascii="標楷體" w:eastAsia="標楷體" w:hAnsi="標楷體"/>
                                <w:b/>
                                <w:szCs w:val="24"/>
                              </w:rPr>
                            </w:pPr>
                          </w:p>
                          <w:p w14:paraId="137FF002" w14:textId="77777777" w:rsidR="00406878" w:rsidRDefault="00406878" w:rsidP="00406878">
                            <w:pPr>
                              <w:spacing w:line="20" w:lineRule="exact"/>
                              <w:rPr>
                                <w:rFonts w:ascii="標楷體" w:eastAsia="標楷體" w:hAnsi="標楷體"/>
                                <w:b/>
                                <w:szCs w:val="24"/>
                              </w:rPr>
                            </w:pPr>
                          </w:p>
                          <w:p w14:paraId="2E2737EC" w14:textId="77777777" w:rsidR="00406878" w:rsidRDefault="00406878" w:rsidP="00406878">
                            <w:pPr>
                              <w:spacing w:line="20" w:lineRule="exact"/>
                              <w:rPr>
                                <w:rFonts w:ascii="標楷體" w:eastAsia="標楷體" w:hAnsi="標楷體"/>
                                <w:b/>
                                <w:szCs w:val="24"/>
                              </w:rPr>
                            </w:pPr>
                          </w:p>
                          <w:p w14:paraId="31991F3E" w14:textId="77777777" w:rsidR="00406878" w:rsidRDefault="00406878" w:rsidP="00406878">
                            <w:pPr>
                              <w:spacing w:line="20" w:lineRule="exact"/>
                              <w:rPr>
                                <w:rFonts w:ascii="標楷體" w:eastAsia="標楷體" w:hAnsi="標楷體"/>
                                <w:b/>
                                <w:szCs w:val="24"/>
                              </w:rPr>
                            </w:pPr>
                          </w:p>
                          <w:p w14:paraId="5A506470" w14:textId="77777777" w:rsidR="00406878" w:rsidRDefault="00406878" w:rsidP="00406878">
                            <w:pPr>
                              <w:spacing w:line="20" w:lineRule="exact"/>
                              <w:rPr>
                                <w:rFonts w:ascii="標楷體" w:eastAsia="標楷體" w:hAnsi="標楷體"/>
                                <w:b/>
                                <w:szCs w:val="24"/>
                              </w:rPr>
                            </w:pPr>
                          </w:p>
                          <w:p w14:paraId="592A1180" w14:textId="77777777" w:rsidR="00406878" w:rsidRDefault="00406878" w:rsidP="00406878">
                            <w:pPr>
                              <w:spacing w:line="20" w:lineRule="exact"/>
                              <w:rPr>
                                <w:rFonts w:ascii="標楷體" w:eastAsia="標楷體" w:hAnsi="標楷體"/>
                                <w:b/>
                                <w:szCs w:val="24"/>
                              </w:rPr>
                            </w:pPr>
                          </w:p>
                          <w:p w14:paraId="3DEE3C28" w14:textId="77777777" w:rsidR="00406878" w:rsidRDefault="00406878" w:rsidP="00406878">
                            <w:pPr>
                              <w:spacing w:line="20" w:lineRule="exact"/>
                              <w:rPr>
                                <w:rFonts w:ascii="標楷體" w:eastAsia="標楷體" w:hAnsi="標楷體"/>
                                <w:b/>
                                <w:szCs w:val="24"/>
                              </w:rPr>
                            </w:pPr>
                          </w:p>
                          <w:p w14:paraId="7786B081" w14:textId="77777777" w:rsidR="00406878" w:rsidRDefault="00406878" w:rsidP="00406878">
                            <w:pPr>
                              <w:spacing w:line="20" w:lineRule="exact"/>
                              <w:rPr>
                                <w:rFonts w:ascii="標楷體" w:eastAsia="標楷體" w:hAnsi="標楷體"/>
                                <w:b/>
                                <w:szCs w:val="24"/>
                              </w:rPr>
                            </w:pPr>
                          </w:p>
                          <w:p w14:paraId="052E4D3D" w14:textId="77777777" w:rsidR="00406878" w:rsidRDefault="00406878" w:rsidP="00406878">
                            <w:pPr>
                              <w:spacing w:line="20" w:lineRule="exact"/>
                              <w:rPr>
                                <w:rFonts w:ascii="標楷體" w:eastAsia="標楷體" w:hAnsi="標楷體"/>
                                <w:b/>
                                <w:szCs w:val="24"/>
                              </w:rPr>
                            </w:pPr>
                          </w:p>
                          <w:p w14:paraId="5C55C0C0" w14:textId="77777777" w:rsidR="00406878" w:rsidRDefault="00406878" w:rsidP="00406878">
                            <w:pPr>
                              <w:spacing w:line="20" w:lineRule="exact"/>
                              <w:rPr>
                                <w:rFonts w:ascii="標楷體" w:eastAsia="標楷體" w:hAnsi="標楷體"/>
                                <w:b/>
                                <w:szCs w:val="24"/>
                              </w:rPr>
                            </w:pPr>
                          </w:p>
                          <w:p w14:paraId="60D06A4D" w14:textId="77777777" w:rsidR="00406878" w:rsidRDefault="00406878" w:rsidP="00406878">
                            <w:pPr>
                              <w:spacing w:line="20" w:lineRule="exact"/>
                              <w:rPr>
                                <w:rFonts w:ascii="標楷體" w:eastAsia="標楷體" w:hAnsi="標楷體"/>
                                <w:b/>
                                <w:szCs w:val="24"/>
                              </w:rPr>
                            </w:pPr>
                          </w:p>
                          <w:p w14:paraId="368B0309" w14:textId="77777777" w:rsidR="00406878" w:rsidRDefault="00406878" w:rsidP="00406878">
                            <w:pPr>
                              <w:spacing w:line="20" w:lineRule="exact"/>
                              <w:rPr>
                                <w:rFonts w:ascii="標楷體" w:eastAsia="標楷體" w:hAnsi="標楷體"/>
                                <w:b/>
                                <w:szCs w:val="24"/>
                              </w:rPr>
                            </w:pPr>
                          </w:p>
                          <w:p w14:paraId="0E003BCD" w14:textId="77777777" w:rsidR="00406878" w:rsidRDefault="00406878" w:rsidP="00406878">
                            <w:pPr>
                              <w:spacing w:line="20" w:lineRule="exact"/>
                              <w:rPr>
                                <w:rFonts w:ascii="標楷體" w:eastAsia="標楷體" w:hAnsi="標楷體"/>
                                <w:b/>
                                <w:szCs w:val="24"/>
                              </w:rPr>
                            </w:pPr>
                          </w:p>
                          <w:p w14:paraId="3A02DE8C" w14:textId="77777777" w:rsidR="00406878" w:rsidRDefault="00406878" w:rsidP="00406878">
                            <w:pPr>
                              <w:spacing w:line="20" w:lineRule="exact"/>
                              <w:rPr>
                                <w:rFonts w:ascii="標楷體" w:eastAsia="標楷體" w:hAnsi="標楷體"/>
                                <w:b/>
                                <w:szCs w:val="24"/>
                              </w:rPr>
                            </w:pPr>
                          </w:p>
                          <w:p w14:paraId="1B2067BE" w14:textId="77777777" w:rsidR="00406878" w:rsidRDefault="00406878" w:rsidP="00406878">
                            <w:pPr>
                              <w:spacing w:line="20" w:lineRule="exact"/>
                              <w:rPr>
                                <w:rFonts w:ascii="標楷體" w:eastAsia="標楷體" w:hAnsi="標楷體"/>
                                <w:b/>
                                <w:szCs w:val="24"/>
                              </w:rPr>
                            </w:pPr>
                          </w:p>
                          <w:p w14:paraId="4538B76B" w14:textId="77777777" w:rsidR="00406878" w:rsidRDefault="00406878" w:rsidP="00406878">
                            <w:pPr>
                              <w:spacing w:line="20" w:lineRule="exact"/>
                              <w:rPr>
                                <w:rFonts w:ascii="標楷體" w:eastAsia="標楷體" w:hAnsi="標楷體"/>
                                <w:b/>
                                <w:szCs w:val="24"/>
                              </w:rPr>
                            </w:pPr>
                          </w:p>
                          <w:p w14:paraId="2BE16415" w14:textId="77777777" w:rsidR="00406878" w:rsidRDefault="00406878" w:rsidP="00406878">
                            <w:pPr>
                              <w:spacing w:line="20" w:lineRule="exact"/>
                              <w:rPr>
                                <w:rFonts w:ascii="標楷體" w:eastAsia="標楷體" w:hAnsi="標楷體"/>
                                <w:b/>
                                <w:szCs w:val="24"/>
                              </w:rPr>
                            </w:pPr>
                          </w:p>
                          <w:p w14:paraId="00C935CD" w14:textId="77777777" w:rsidR="00406878" w:rsidRDefault="00406878" w:rsidP="00406878">
                            <w:pPr>
                              <w:spacing w:line="20" w:lineRule="exact"/>
                              <w:rPr>
                                <w:rFonts w:ascii="標楷體" w:eastAsia="標楷體" w:hAnsi="標楷體"/>
                                <w:b/>
                                <w:szCs w:val="24"/>
                              </w:rPr>
                            </w:pPr>
                          </w:p>
                          <w:p w14:paraId="4221A77B" w14:textId="77777777" w:rsidR="00406878" w:rsidRDefault="00406878" w:rsidP="00406878">
                            <w:pPr>
                              <w:spacing w:line="20" w:lineRule="exact"/>
                              <w:rPr>
                                <w:rFonts w:ascii="標楷體" w:eastAsia="標楷體" w:hAnsi="標楷體"/>
                                <w:b/>
                                <w:szCs w:val="24"/>
                              </w:rPr>
                            </w:pPr>
                          </w:p>
                          <w:p w14:paraId="2022E165" w14:textId="77777777" w:rsidR="00406878" w:rsidRDefault="00406878" w:rsidP="00406878">
                            <w:pPr>
                              <w:spacing w:line="20" w:lineRule="exact"/>
                              <w:rPr>
                                <w:rFonts w:ascii="標楷體" w:eastAsia="標楷體" w:hAnsi="標楷體"/>
                                <w:b/>
                                <w:szCs w:val="24"/>
                              </w:rPr>
                            </w:pPr>
                          </w:p>
                          <w:p w14:paraId="752D981C" w14:textId="77777777" w:rsidR="00406878" w:rsidRDefault="00406878" w:rsidP="00406878">
                            <w:pPr>
                              <w:spacing w:line="20" w:lineRule="exact"/>
                              <w:rPr>
                                <w:rFonts w:ascii="標楷體" w:eastAsia="標楷體" w:hAnsi="標楷體"/>
                                <w:b/>
                                <w:szCs w:val="24"/>
                              </w:rPr>
                            </w:pPr>
                          </w:p>
                          <w:p w14:paraId="713161C1" w14:textId="77777777" w:rsidR="00406878" w:rsidRDefault="00406878" w:rsidP="00406878">
                            <w:pPr>
                              <w:spacing w:line="20" w:lineRule="exact"/>
                              <w:rPr>
                                <w:rFonts w:ascii="標楷體" w:eastAsia="標楷體" w:hAnsi="標楷體"/>
                                <w:b/>
                                <w:szCs w:val="24"/>
                              </w:rPr>
                            </w:pPr>
                          </w:p>
                          <w:p w14:paraId="0E80256C" w14:textId="77777777" w:rsidR="00406878" w:rsidRDefault="00406878" w:rsidP="00406878">
                            <w:pPr>
                              <w:spacing w:line="20" w:lineRule="exact"/>
                              <w:rPr>
                                <w:rFonts w:ascii="標楷體" w:eastAsia="標楷體" w:hAnsi="標楷體"/>
                                <w:b/>
                                <w:szCs w:val="24"/>
                              </w:rPr>
                            </w:pPr>
                          </w:p>
                          <w:p w14:paraId="652860E5" w14:textId="77777777" w:rsidR="00406878" w:rsidRDefault="00406878" w:rsidP="00406878">
                            <w:pPr>
                              <w:spacing w:line="20" w:lineRule="exact"/>
                              <w:rPr>
                                <w:rFonts w:ascii="標楷體" w:eastAsia="標楷體" w:hAnsi="標楷體"/>
                                <w:b/>
                                <w:szCs w:val="24"/>
                              </w:rPr>
                            </w:pPr>
                          </w:p>
                          <w:p w14:paraId="591A2807" w14:textId="77777777" w:rsidR="00406878" w:rsidRDefault="00406878" w:rsidP="00406878">
                            <w:pPr>
                              <w:spacing w:line="20" w:lineRule="exact"/>
                              <w:rPr>
                                <w:rFonts w:ascii="標楷體" w:eastAsia="標楷體" w:hAnsi="標楷體"/>
                                <w:b/>
                                <w:szCs w:val="24"/>
                              </w:rPr>
                            </w:pPr>
                          </w:p>
                          <w:p w14:paraId="5B7E7187" w14:textId="77777777" w:rsidR="00406878" w:rsidRDefault="00406878" w:rsidP="00406878">
                            <w:pPr>
                              <w:spacing w:line="20" w:lineRule="exact"/>
                              <w:rPr>
                                <w:rFonts w:ascii="標楷體" w:eastAsia="標楷體" w:hAnsi="標楷體"/>
                                <w:b/>
                                <w:szCs w:val="24"/>
                              </w:rPr>
                            </w:pPr>
                          </w:p>
                          <w:p w14:paraId="1CD631D8" w14:textId="77777777" w:rsidR="00406878" w:rsidRDefault="00406878" w:rsidP="00406878">
                            <w:pPr>
                              <w:spacing w:line="20" w:lineRule="exact"/>
                              <w:rPr>
                                <w:rFonts w:ascii="標楷體" w:eastAsia="標楷體" w:hAnsi="標楷體"/>
                                <w:b/>
                                <w:szCs w:val="24"/>
                              </w:rPr>
                            </w:pPr>
                          </w:p>
                          <w:p w14:paraId="6042F13A" w14:textId="77777777" w:rsidR="00406878" w:rsidRDefault="00406878" w:rsidP="00406878">
                            <w:pPr>
                              <w:spacing w:line="20" w:lineRule="exact"/>
                              <w:rPr>
                                <w:rFonts w:ascii="標楷體" w:eastAsia="標楷體" w:hAnsi="標楷體"/>
                                <w:b/>
                                <w:szCs w:val="24"/>
                              </w:rPr>
                            </w:pPr>
                          </w:p>
                          <w:p w14:paraId="032D1C09" w14:textId="77777777" w:rsidR="00406878" w:rsidRDefault="00406878" w:rsidP="00406878">
                            <w:pPr>
                              <w:spacing w:line="20" w:lineRule="exact"/>
                              <w:rPr>
                                <w:rFonts w:ascii="標楷體" w:eastAsia="標楷體" w:hAnsi="標楷體"/>
                                <w:b/>
                                <w:szCs w:val="24"/>
                              </w:rPr>
                            </w:pPr>
                          </w:p>
                          <w:p w14:paraId="74993033" w14:textId="77777777" w:rsidR="00406878" w:rsidRDefault="00406878" w:rsidP="00406878">
                            <w:pPr>
                              <w:spacing w:line="20" w:lineRule="exact"/>
                              <w:rPr>
                                <w:rFonts w:ascii="標楷體" w:eastAsia="標楷體" w:hAnsi="標楷體"/>
                                <w:b/>
                                <w:szCs w:val="24"/>
                              </w:rPr>
                            </w:pPr>
                          </w:p>
                          <w:p w14:paraId="33DB17CE" w14:textId="77777777" w:rsidR="00406878" w:rsidRDefault="00406878" w:rsidP="00406878">
                            <w:pPr>
                              <w:spacing w:line="20" w:lineRule="exact"/>
                              <w:rPr>
                                <w:rFonts w:ascii="標楷體" w:eastAsia="標楷體" w:hAnsi="標楷體"/>
                                <w:b/>
                                <w:szCs w:val="24"/>
                              </w:rPr>
                            </w:pPr>
                          </w:p>
                          <w:p w14:paraId="772D0D61" w14:textId="77777777" w:rsidR="00406878" w:rsidRDefault="00406878" w:rsidP="00406878">
                            <w:pPr>
                              <w:spacing w:line="20" w:lineRule="exact"/>
                              <w:rPr>
                                <w:rFonts w:ascii="標楷體" w:eastAsia="標楷體" w:hAnsi="標楷體"/>
                                <w:b/>
                                <w:szCs w:val="24"/>
                              </w:rPr>
                            </w:pPr>
                          </w:p>
                          <w:p w14:paraId="16673063" w14:textId="77777777" w:rsidR="00406878" w:rsidRDefault="00406878" w:rsidP="00406878">
                            <w:pPr>
                              <w:spacing w:line="20" w:lineRule="exact"/>
                              <w:rPr>
                                <w:rFonts w:ascii="標楷體" w:eastAsia="標楷體" w:hAnsi="標楷體"/>
                                <w:b/>
                                <w:szCs w:val="24"/>
                              </w:rPr>
                            </w:pPr>
                          </w:p>
                          <w:p w14:paraId="0FB7FA0B" w14:textId="77777777" w:rsidR="00406878" w:rsidRDefault="00406878" w:rsidP="00406878">
                            <w:pPr>
                              <w:spacing w:line="20" w:lineRule="exact"/>
                              <w:rPr>
                                <w:rFonts w:ascii="標楷體" w:eastAsia="標楷體" w:hAnsi="標楷體"/>
                                <w:b/>
                                <w:szCs w:val="24"/>
                              </w:rPr>
                            </w:pPr>
                          </w:p>
                          <w:p w14:paraId="200034B1" w14:textId="77777777" w:rsidR="00406878" w:rsidRDefault="00406878" w:rsidP="00406878">
                            <w:pPr>
                              <w:spacing w:line="20" w:lineRule="exact"/>
                              <w:rPr>
                                <w:rFonts w:ascii="標楷體" w:eastAsia="標楷體" w:hAnsi="標楷體"/>
                                <w:b/>
                                <w:szCs w:val="24"/>
                              </w:rPr>
                            </w:pPr>
                          </w:p>
                          <w:p w14:paraId="42F222B9" w14:textId="77777777" w:rsidR="00406878" w:rsidRDefault="00406878" w:rsidP="00406878">
                            <w:pPr>
                              <w:spacing w:line="20" w:lineRule="exact"/>
                              <w:rPr>
                                <w:rFonts w:ascii="標楷體" w:eastAsia="標楷體" w:hAnsi="標楷體"/>
                                <w:b/>
                                <w:szCs w:val="24"/>
                              </w:rPr>
                            </w:pPr>
                          </w:p>
                          <w:p w14:paraId="5E2AE46E" w14:textId="77777777" w:rsidR="00406878" w:rsidRDefault="00406878" w:rsidP="00406878">
                            <w:pPr>
                              <w:spacing w:line="20" w:lineRule="exact"/>
                              <w:rPr>
                                <w:rFonts w:ascii="標楷體" w:eastAsia="標楷體" w:hAnsi="標楷體"/>
                                <w:b/>
                                <w:szCs w:val="24"/>
                              </w:rPr>
                            </w:pPr>
                          </w:p>
                          <w:p w14:paraId="2E8A25E8" w14:textId="77777777" w:rsidR="00406878" w:rsidRDefault="00406878" w:rsidP="00406878">
                            <w:pPr>
                              <w:spacing w:line="20" w:lineRule="exact"/>
                              <w:rPr>
                                <w:rFonts w:ascii="標楷體" w:eastAsia="標楷體" w:hAnsi="標楷體"/>
                                <w:b/>
                                <w:szCs w:val="24"/>
                              </w:rPr>
                            </w:pPr>
                          </w:p>
                          <w:p w14:paraId="04DCF5E0" w14:textId="77777777" w:rsidR="00406878" w:rsidRDefault="00406878" w:rsidP="00406878">
                            <w:pPr>
                              <w:spacing w:line="20" w:lineRule="exact"/>
                              <w:rPr>
                                <w:rFonts w:ascii="標楷體" w:eastAsia="標楷體" w:hAnsi="標楷體"/>
                                <w:b/>
                                <w:szCs w:val="24"/>
                              </w:rPr>
                            </w:pPr>
                          </w:p>
                          <w:p w14:paraId="2BD13585" w14:textId="77777777" w:rsidR="00406878" w:rsidRDefault="00406878" w:rsidP="00406878">
                            <w:pPr>
                              <w:spacing w:line="20" w:lineRule="exact"/>
                              <w:rPr>
                                <w:rFonts w:ascii="標楷體" w:eastAsia="標楷體" w:hAnsi="標楷體"/>
                                <w:b/>
                                <w:szCs w:val="24"/>
                              </w:rPr>
                            </w:pPr>
                          </w:p>
                          <w:p w14:paraId="13FEEA10" w14:textId="77777777" w:rsidR="00406878" w:rsidRDefault="00406878" w:rsidP="00406878">
                            <w:pPr>
                              <w:spacing w:line="20" w:lineRule="exact"/>
                              <w:rPr>
                                <w:rFonts w:ascii="標楷體" w:eastAsia="標楷體" w:hAnsi="標楷體"/>
                                <w:b/>
                                <w:szCs w:val="24"/>
                              </w:rPr>
                            </w:pPr>
                          </w:p>
                          <w:p w14:paraId="35662AE0" w14:textId="77777777" w:rsidR="00406878" w:rsidRDefault="00406878" w:rsidP="00406878">
                            <w:pPr>
                              <w:spacing w:line="20" w:lineRule="exact"/>
                              <w:rPr>
                                <w:rFonts w:ascii="標楷體" w:eastAsia="標楷體" w:hAnsi="標楷體"/>
                                <w:b/>
                                <w:szCs w:val="24"/>
                              </w:rPr>
                            </w:pPr>
                          </w:p>
                          <w:p w14:paraId="2B879CA8" w14:textId="77777777" w:rsidR="00406878" w:rsidRDefault="00406878" w:rsidP="00406878">
                            <w:pPr>
                              <w:spacing w:line="20" w:lineRule="exact"/>
                              <w:rPr>
                                <w:rFonts w:ascii="標楷體" w:eastAsia="標楷體" w:hAnsi="標楷體"/>
                                <w:b/>
                                <w:szCs w:val="24"/>
                              </w:rPr>
                            </w:pPr>
                          </w:p>
                          <w:p w14:paraId="0C91A53D" w14:textId="77777777" w:rsidR="00406878" w:rsidRDefault="00406878" w:rsidP="00406878">
                            <w:pPr>
                              <w:spacing w:line="20" w:lineRule="exact"/>
                              <w:rPr>
                                <w:rFonts w:ascii="標楷體" w:eastAsia="標楷體" w:hAnsi="標楷體"/>
                                <w:b/>
                                <w:szCs w:val="24"/>
                              </w:rPr>
                            </w:pPr>
                          </w:p>
                          <w:p w14:paraId="4A7CBE38" w14:textId="77777777" w:rsidR="00406878" w:rsidRDefault="00406878" w:rsidP="00406878">
                            <w:pPr>
                              <w:spacing w:line="20" w:lineRule="exact"/>
                              <w:rPr>
                                <w:rFonts w:ascii="標楷體" w:eastAsia="標楷體" w:hAnsi="標楷體"/>
                                <w:b/>
                                <w:szCs w:val="24"/>
                              </w:rPr>
                            </w:pPr>
                          </w:p>
                          <w:p w14:paraId="2E9A58DD" w14:textId="77777777" w:rsidR="00406878" w:rsidRDefault="00406878" w:rsidP="00406878">
                            <w:pPr>
                              <w:spacing w:line="20" w:lineRule="exact"/>
                              <w:rPr>
                                <w:rFonts w:ascii="標楷體" w:eastAsia="標楷體" w:hAnsi="標楷體"/>
                                <w:b/>
                                <w:szCs w:val="24"/>
                              </w:rPr>
                            </w:pPr>
                          </w:p>
                          <w:p w14:paraId="724FED0D" w14:textId="77777777" w:rsidR="00406878" w:rsidRDefault="00406878" w:rsidP="00406878">
                            <w:pPr>
                              <w:spacing w:line="20" w:lineRule="exact"/>
                              <w:rPr>
                                <w:rFonts w:ascii="標楷體" w:eastAsia="標楷體" w:hAnsi="標楷體"/>
                                <w:b/>
                                <w:szCs w:val="24"/>
                              </w:rPr>
                            </w:pPr>
                          </w:p>
                          <w:p w14:paraId="7F45F298" w14:textId="77777777" w:rsidR="00406878" w:rsidRDefault="00406878" w:rsidP="00406878">
                            <w:pPr>
                              <w:spacing w:line="20" w:lineRule="exact"/>
                              <w:rPr>
                                <w:rFonts w:ascii="標楷體" w:eastAsia="標楷體" w:hAnsi="標楷體"/>
                                <w:b/>
                                <w:szCs w:val="24"/>
                              </w:rPr>
                            </w:pPr>
                          </w:p>
                          <w:p w14:paraId="3978C08F" w14:textId="77777777" w:rsidR="00406878" w:rsidRDefault="00406878" w:rsidP="00406878">
                            <w:pPr>
                              <w:spacing w:line="20" w:lineRule="exact"/>
                              <w:rPr>
                                <w:rFonts w:ascii="標楷體" w:eastAsia="標楷體" w:hAnsi="標楷體"/>
                                <w:b/>
                                <w:szCs w:val="24"/>
                              </w:rPr>
                            </w:pPr>
                          </w:p>
                          <w:p w14:paraId="687FF3DB" w14:textId="77777777" w:rsidR="00406878" w:rsidRDefault="00406878" w:rsidP="00406878">
                            <w:pPr>
                              <w:spacing w:line="20" w:lineRule="exact"/>
                              <w:rPr>
                                <w:rFonts w:ascii="標楷體" w:eastAsia="標楷體" w:hAnsi="標楷體"/>
                                <w:b/>
                                <w:szCs w:val="24"/>
                              </w:rPr>
                            </w:pPr>
                          </w:p>
                          <w:p w14:paraId="0FBB0475" w14:textId="77777777" w:rsidR="00406878" w:rsidRDefault="00406878" w:rsidP="00406878">
                            <w:pPr>
                              <w:spacing w:line="20" w:lineRule="exact"/>
                              <w:rPr>
                                <w:rFonts w:ascii="標楷體" w:eastAsia="標楷體" w:hAnsi="標楷體"/>
                                <w:b/>
                                <w:szCs w:val="24"/>
                              </w:rPr>
                            </w:pPr>
                          </w:p>
                          <w:p w14:paraId="14A6C590" w14:textId="77777777" w:rsidR="00406878" w:rsidRDefault="00406878" w:rsidP="00406878">
                            <w:pPr>
                              <w:spacing w:line="20" w:lineRule="exact"/>
                              <w:rPr>
                                <w:rFonts w:ascii="標楷體" w:eastAsia="標楷體" w:hAnsi="標楷體"/>
                                <w:b/>
                                <w:szCs w:val="24"/>
                              </w:rPr>
                            </w:pPr>
                          </w:p>
                          <w:p w14:paraId="5CF5DC9C" w14:textId="77777777" w:rsidR="00406878" w:rsidRDefault="00406878" w:rsidP="00406878">
                            <w:pPr>
                              <w:spacing w:line="20" w:lineRule="exact"/>
                              <w:rPr>
                                <w:rFonts w:ascii="標楷體" w:eastAsia="標楷體" w:hAnsi="標楷體"/>
                                <w:b/>
                                <w:szCs w:val="24"/>
                              </w:rPr>
                            </w:pPr>
                          </w:p>
                          <w:p w14:paraId="5F1D2875" w14:textId="77777777" w:rsidR="00406878" w:rsidRDefault="00406878" w:rsidP="00406878">
                            <w:pPr>
                              <w:spacing w:line="20" w:lineRule="exact"/>
                              <w:rPr>
                                <w:rFonts w:ascii="標楷體" w:eastAsia="標楷體" w:hAnsi="標楷體"/>
                                <w:b/>
                                <w:szCs w:val="24"/>
                              </w:rPr>
                            </w:pPr>
                          </w:p>
                          <w:p w14:paraId="7CA5FDE5" w14:textId="77777777" w:rsidR="00406878" w:rsidRDefault="00406878" w:rsidP="00406878">
                            <w:pPr>
                              <w:spacing w:line="20" w:lineRule="exact"/>
                              <w:rPr>
                                <w:rFonts w:ascii="標楷體" w:eastAsia="標楷體" w:hAnsi="標楷體"/>
                                <w:b/>
                                <w:szCs w:val="24"/>
                              </w:rPr>
                            </w:pPr>
                          </w:p>
                          <w:p w14:paraId="070A41E4" w14:textId="77777777" w:rsidR="00406878" w:rsidRDefault="00406878" w:rsidP="00406878">
                            <w:pPr>
                              <w:spacing w:line="20" w:lineRule="exact"/>
                              <w:rPr>
                                <w:rFonts w:ascii="標楷體" w:eastAsia="標楷體" w:hAnsi="標楷體"/>
                                <w:b/>
                                <w:szCs w:val="24"/>
                              </w:rPr>
                            </w:pPr>
                          </w:p>
                          <w:p w14:paraId="2F8E7982" w14:textId="77777777" w:rsidR="00406878" w:rsidRDefault="00406878" w:rsidP="00406878">
                            <w:pPr>
                              <w:spacing w:line="20" w:lineRule="exact"/>
                              <w:rPr>
                                <w:rFonts w:ascii="標楷體" w:eastAsia="標楷體" w:hAnsi="標楷體"/>
                                <w:b/>
                                <w:szCs w:val="24"/>
                              </w:rPr>
                            </w:pPr>
                          </w:p>
                          <w:p w14:paraId="07D8341E" w14:textId="77777777" w:rsidR="00406878" w:rsidRDefault="00406878" w:rsidP="00406878">
                            <w:pPr>
                              <w:spacing w:line="20" w:lineRule="exact"/>
                              <w:rPr>
                                <w:rFonts w:ascii="標楷體" w:eastAsia="標楷體" w:hAnsi="標楷體"/>
                                <w:b/>
                                <w:szCs w:val="24"/>
                              </w:rPr>
                            </w:pPr>
                          </w:p>
                          <w:p w14:paraId="0C5405BE" w14:textId="77777777" w:rsidR="00406878" w:rsidRDefault="00406878" w:rsidP="00406878">
                            <w:pPr>
                              <w:spacing w:line="20" w:lineRule="exact"/>
                              <w:rPr>
                                <w:rFonts w:ascii="標楷體" w:eastAsia="標楷體" w:hAnsi="標楷體"/>
                                <w:b/>
                                <w:szCs w:val="24"/>
                              </w:rPr>
                            </w:pPr>
                          </w:p>
                          <w:p w14:paraId="0E6D0F43" w14:textId="77777777" w:rsidR="00406878" w:rsidRDefault="00406878" w:rsidP="00406878">
                            <w:pPr>
                              <w:spacing w:line="20" w:lineRule="exact"/>
                              <w:rPr>
                                <w:rFonts w:ascii="標楷體" w:eastAsia="標楷體" w:hAnsi="標楷體"/>
                                <w:b/>
                                <w:szCs w:val="24"/>
                              </w:rPr>
                            </w:pPr>
                          </w:p>
                          <w:p w14:paraId="08EF2A86" w14:textId="77777777" w:rsidR="00406878" w:rsidRDefault="00406878" w:rsidP="00406878">
                            <w:pPr>
                              <w:spacing w:line="20" w:lineRule="exact"/>
                              <w:rPr>
                                <w:rFonts w:ascii="標楷體" w:eastAsia="標楷體" w:hAnsi="標楷體"/>
                                <w:b/>
                                <w:szCs w:val="24"/>
                              </w:rPr>
                            </w:pPr>
                          </w:p>
                          <w:p w14:paraId="5A3F1E76" w14:textId="77777777" w:rsidR="00406878" w:rsidRDefault="00406878" w:rsidP="00406878">
                            <w:pPr>
                              <w:spacing w:line="20" w:lineRule="exact"/>
                              <w:rPr>
                                <w:rFonts w:ascii="標楷體" w:eastAsia="標楷體" w:hAnsi="標楷體"/>
                                <w:b/>
                                <w:szCs w:val="24"/>
                              </w:rPr>
                            </w:pPr>
                          </w:p>
                          <w:p w14:paraId="42806F28" w14:textId="77777777" w:rsidR="00406878" w:rsidRDefault="00406878" w:rsidP="00406878">
                            <w:pPr>
                              <w:spacing w:line="20" w:lineRule="exact"/>
                              <w:rPr>
                                <w:rFonts w:ascii="標楷體" w:eastAsia="標楷體" w:hAnsi="標楷體"/>
                                <w:b/>
                                <w:szCs w:val="24"/>
                              </w:rPr>
                            </w:pPr>
                          </w:p>
                          <w:p w14:paraId="543526A6" w14:textId="77777777" w:rsidR="00406878" w:rsidRDefault="00406878" w:rsidP="00406878">
                            <w:pPr>
                              <w:spacing w:line="20" w:lineRule="exact"/>
                              <w:rPr>
                                <w:rFonts w:ascii="標楷體" w:eastAsia="標楷體" w:hAnsi="標楷體"/>
                                <w:b/>
                                <w:szCs w:val="24"/>
                              </w:rPr>
                            </w:pPr>
                          </w:p>
                          <w:p w14:paraId="16189555" w14:textId="77777777" w:rsidR="00406878" w:rsidRDefault="00406878" w:rsidP="00406878">
                            <w:pPr>
                              <w:spacing w:line="20" w:lineRule="exact"/>
                              <w:rPr>
                                <w:rFonts w:ascii="標楷體" w:eastAsia="標楷體" w:hAnsi="標楷體"/>
                                <w:b/>
                                <w:szCs w:val="24"/>
                              </w:rPr>
                            </w:pPr>
                          </w:p>
                          <w:p w14:paraId="4825AE5A" w14:textId="77777777" w:rsidR="00406878" w:rsidRDefault="00406878" w:rsidP="00406878">
                            <w:pPr>
                              <w:spacing w:line="20" w:lineRule="exact"/>
                              <w:rPr>
                                <w:rFonts w:ascii="標楷體" w:eastAsia="標楷體" w:hAnsi="標楷體"/>
                                <w:b/>
                                <w:szCs w:val="24"/>
                              </w:rPr>
                            </w:pPr>
                          </w:p>
                          <w:p w14:paraId="689E8FAE" w14:textId="77777777" w:rsidR="00406878" w:rsidRDefault="00406878" w:rsidP="00406878">
                            <w:pPr>
                              <w:spacing w:line="20" w:lineRule="exact"/>
                              <w:rPr>
                                <w:rFonts w:ascii="標楷體" w:eastAsia="標楷體" w:hAnsi="標楷體"/>
                                <w:b/>
                                <w:szCs w:val="24"/>
                              </w:rPr>
                            </w:pPr>
                          </w:p>
                          <w:p w14:paraId="25FAF003" w14:textId="77777777" w:rsidR="00406878" w:rsidRDefault="00406878" w:rsidP="00406878">
                            <w:pPr>
                              <w:spacing w:line="20" w:lineRule="exact"/>
                              <w:rPr>
                                <w:rFonts w:ascii="標楷體" w:eastAsia="標楷體" w:hAnsi="標楷體"/>
                                <w:b/>
                                <w:szCs w:val="24"/>
                              </w:rPr>
                            </w:pPr>
                          </w:p>
                          <w:p w14:paraId="26D668DA" w14:textId="77777777" w:rsidR="00406878" w:rsidRDefault="00406878" w:rsidP="00406878">
                            <w:pPr>
                              <w:spacing w:line="20" w:lineRule="exact"/>
                              <w:rPr>
                                <w:rFonts w:ascii="標楷體" w:eastAsia="標楷體" w:hAnsi="標楷體"/>
                                <w:b/>
                                <w:szCs w:val="24"/>
                              </w:rPr>
                            </w:pPr>
                          </w:p>
                          <w:p w14:paraId="0A812ACC" w14:textId="77777777" w:rsidR="00406878" w:rsidRDefault="00406878" w:rsidP="00406878">
                            <w:pPr>
                              <w:spacing w:line="20" w:lineRule="exact"/>
                              <w:rPr>
                                <w:rFonts w:ascii="標楷體" w:eastAsia="標楷體" w:hAnsi="標楷體"/>
                                <w:b/>
                                <w:szCs w:val="24"/>
                              </w:rPr>
                            </w:pPr>
                          </w:p>
                          <w:p w14:paraId="18537F0C" w14:textId="77777777" w:rsidR="00406878" w:rsidRDefault="00406878" w:rsidP="00406878">
                            <w:pPr>
                              <w:spacing w:line="20" w:lineRule="exact"/>
                              <w:rPr>
                                <w:rFonts w:ascii="標楷體" w:eastAsia="標楷體" w:hAnsi="標楷體"/>
                                <w:b/>
                                <w:szCs w:val="24"/>
                              </w:rPr>
                            </w:pPr>
                          </w:p>
                          <w:p w14:paraId="563DA5E8" w14:textId="77777777" w:rsidR="00406878" w:rsidRDefault="00406878" w:rsidP="00406878">
                            <w:pPr>
                              <w:spacing w:line="20" w:lineRule="exact"/>
                              <w:rPr>
                                <w:rFonts w:ascii="標楷體" w:eastAsia="標楷體" w:hAnsi="標楷體"/>
                                <w:b/>
                                <w:szCs w:val="24"/>
                              </w:rPr>
                            </w:pPr>
                          </w:p>
                          <w:p w14:paraId="1612981D" w14:textId="77777777" w:rsidR="00406878" w:rsidRDefault="00406878" w:rsidP="00406878">
                            <w:pPr>
                              <w:spacing w:line="20" w:lineRule="exact"/>
                              <w:rPr>
                                <w:rFonts w:ascii="標楷體" w:eastAsia="標楷體" w:hAnsi="標楷體"/>
                                <w:b/>
                                <w:szCs w:val="24"/>
                              </w:rPr>
                            </w:pPr>
                          </w:p>
                          <w:p w14:paraId="62625A6A" w14:textId="77777777" w:rsidR="00406878" w:rsidRDefault="00406878" w:rsidP="00406878">
                            <w:pPr>
                              <w:spacing w:line="20" w:lineRule="exact"/>
                              <w:rPr>
                                <w:rFonts w:ascii="標楷體" w:eastAsia="標楷體" w:hAnsi="標楷體"/>
                                <w:b/>
                                <w:szCs w:val="24"/>
                              </w:rPr>
                            </w:pPr>
                          </w:p>
                          <w:p w14:paraId="72337217" w14:textId="77777777" w:rsidR="00406878" w:rsidRDefault="00406878" w:rsidP="00406878">
                            <w:pPr>
                              <w:spacing w:line="20" w:lineRule="exact"/>
                              <w:rPr>
                                <w:rFonts w:ascii="標楷體" w:eastAsia="標楷體" w:hAnsi="標楷體"/>
                                <w:b/>
                                <w:szCs w:val="24"/>
                              </w:rPr>
                            </w:pPr>
                          </w:p>
                          <w:p w14:paraId="3AACD78A" w14:textId="77777777" w:rsidR="00406878" w:rsidRDefault="00406878" w:rsidP="00406878">
                            <w:pPr>
                              <w:spacing w:line="20" w:lineRule="exact"/>
                              <w:rPr>
                                <w:rFonts w:ascii="標楷體" w:eastAsia="標楷體" w:hAnsi="標楷體"/>
                                <w:b/>
                                <w:szCs w:val="24"/>
                              </w:rPr>
                            </w:pPr>
                          </w:p>
                          <w:p w14:paraId="13D5944A" w14:textId="77777777" w:rsidR="00406878" w:rsidRDefault="00406878" w:rsidP="00406878">
                            <w:pPr>
                              <w:spacing w:line="20" w:lineRule="exact"/>
                              <w:rPr>
                                <w:rFonts w:ascii="標楷體" w:eastAsia="標楷體" w:hAnsi="標楷體"/>
                                <w:b/>
                                <w:szCs w:val="24"/>
                              </w:rPr>
                            </w:pPr>
                          </w:p>
                          <w:p w14:paraId="03A6957B" w14:textId="77777777" w:rsidR="00406878" w:rsidRDefault="00406878" w:rsidP="00406878">
                            <w:pPr>
                              <w:spacing w:line="20" w:lineRule="exact"/>
                              <w:rPr>
                                <w:rFonts w:ascii="標楷體" w:eastAsia="標楷體" w:hAnsi="標楷體"/>
                                <w:b/>
                                <w:szCs w:val="24"/>
                              </w:rPr>
                            </w:pPr>
                          </w:p>
                          <w:p w14:paraId="28C144CF" w14:textId="77777777" w:rsidR="00406878" w:rsidRDefault="00406878" w:rsidP="00406878">
                            <w:pPr>
                              <w:spacing w:line="20" w:lineRule="exact"/>
                              <w:rPr>
                                <w:rFonts w:ascii="標楷體" w:eastAsia="標楷體" w:hAnsi="標楷體"/>
                                <w:b/>
                                <w:szCs w:val="24"/>
                              </w:rPr>
                            </w:pPr>
                          </w:p>
                          <w:p w14:paraId="19798AB9" w14:textId="77777777" w:rsidR="00406878" w:rsidRPr="00C5185A" w:rsidRDefault="00406878" w:rsidP="00406878">
                            <w:pPr>
                              <w:spacing w:line="20" w:lineRule="exact"/>
                              <w:jc w:val="center"/>
                              <w:rPr>
                                <w:rFonts w:ascii="標楷體" w:eastAsia="標楷體" w:hAnsi="標楷體"/>
                                <w:b/>
                                <w:szCs w:val="24"/>
                              </w:rPr>
                            </w:pPr>
                            <w:r w:rsidRPr="00C5185A">
                              <w:rPr>
                                <w:rFonts w:ascii="標楷體" w:eastAsia="標楷體" w:hAnsi="標楷體"/>
                                <w:b/>
                                <w:noProof/>
                                <w:szCs w:val="24"/>
                              </w:rPr>
                              <w:drawing>
                                <wp:inline distT="0" distB="0" distL="0" distR="0" wp14:anchorId="2DC577DD" wp14:editId="0B94244B">
                                  <wp:extent cx="2952000" cy="1681200"/>
                                  <wp:effectExtent l="0" t="0" r="1270" b="0"/>
                                  <wp:docPr id="2003185543" name="圖片 20031855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圖片 13"/>
                                          <pic:cNvPicPr preferRelativeResize="0"/>
                                        </pic:nvPicPr>
                                        <pic:blipFill>
                                          <a:blip r:embed="rId81">
                                            <a:extLst>
                                              <a:ext uri="{28A0092B-C50C-407E-A947-70E740481C1C}">
                                                <a14:useLocalDpi xmlns:a14="http://schemas.microsoft.com/office/drawing/2010/main" val="0"/>
                                              </a:ext>
                                            </a:extLst>
                                          </a:blip>
                                          <a:stretch>
                                            <a:fillRect/>
                                          </a:stretch>
                                        </pic:blipFill>
                                        <pic:spPr>
                                          <a:xfrm>
                                            <a:off x="0" y="0"/>
                                            <a:ext cx="2952000" cy="1681200"/>
                                          </a:xfrm>
                                          <a:prstGeom prst="rect">
                                            <a:avLst/>
                                          </a:prstGeom>
                                          <a:ln>
                                            <a:noFill/>
                                          </a:ln>
                                        </pic:spPr>
                                      </pic:pic>
                                    </a:graphicData>
                                  </a:graphic>
                                </wp:inline>
                              </w:drawing>
                            </w:r>
                          </w:p>
                          <w:p w14:paraId="66CBA6A8" w14:textId="77777777" w:rsidR="00406878" w:rsidRPr="00C5185A" w:rsidRDefault="00406878" w:rsidP="00406878">
                            <w:pPr>
                              <w:spacing w:line="0" w:lineRule="atLeast"/>
                              <w:rPr>
                                <w:rFonts w:ascii="標楷體" w:eastAsia="標楷體" w:hAnsi="標楷體"/>
                                <w:sz w:val="18"/>
                                <w:szCs w:val="18"/>
                              </w:rPr>
                            </w:pPr>
                            <w:r>
                              <w:rPr>
                                <w:rFonts w:ascii="標楷體" w:eastAsia="標楷體" w:hAnsi="標楷體" w:hint="eastAsia"/>
                                <w:sz w:val="18"/>
                                <w:szCs w:val="18"/>
                              </w:rPr>
                              <w:t>資料</w:t>
                            </w:r>
                            <w:r w:rsidRPr="00C5185A">
                              <w:rPr>
                                <w:rFonts w:ascii="標楷體" w:eastAsia="標楷體" w:hAnsi="標楷體"/>
                                <w:sz w:val="18"/>
                                <w:szCs w:val="18"/>
                              </w:rPr>
                              <w:t>來</w:t>
                            </w:r>
                            <w:r w:rsidRPr="00C5185A">
                              <w:rPr>
                                <w:rFonts w:ascii="標楷體" w:eastAsia="標楷體" w:hAnsi="標楷體" w:hint="eastAsia"/>
                                <w:sz w:val="18"/>
                                <w:szCs w:val="18"/>
                              </w:rPr>
                              <w:t>源：</w:t>
                            </w:r>
                            <w:r>
                              <w:rPr>
                                <w:rFonts w:ascii="標楷體" w:eastAsia="標楷體" w:hAnsi="標楷體" w:hint="eastAsia"/>
                                <w:sz w:val="18"/>
                                <w:szCs w:val="18"/>
                              </w:rPr>
                              <w:t>整理自</w:t>
                            </w:r>
                            <w:r w:rsidRPr="00C5185A">
                              <w:rPr>
                                <w:rFonts w:ascii="標楷體" w:eastAsia="標楷體" w:hAnsi="標楷體" w:hint="eastAsia"/>
                                <w:sz w:val="18"/>
                                <w:szCs w:val="18"/>
                              </w:rPr>
                              <w:t>體育局提供</w:t>
                            </w:r>
                            <w:r>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99B344" id="_x0000_s1155" type="#_x0000_t202" style="position:absolute;left:0;text-align:left;margin-left:253.4pt;margin-top:175.1pt;width:252pt;height:165.8pt;z-index:-251501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" filled="f" stroked="f">
                <v:textbox>
                  <w:txbxContent>
                    <w:p w14:paraId="7D883784" w14:textId="77777777" w:rsidR="00406878" w:rsidRPr="004721F7" w:rsidRDefault="00406878" w:rsidP="00406878">
                      <w:pPr>
                        <w:spacing w:line="240" w:lineRule="exact"/>
                        <w:jc w:val="center"/>
                        <w:rPr>
                          <w:rFonts w:ascii="標楷體" w:eastAsia="標楷體" w:hAnsi="標楷體"/>
                          <w:b/>
                          <w:spacing w:val="-14"/>
                          <w:szCs w:val="24"/>
                        </w:rPr>
                      </w:pPr>
                      <w:r w:rsidRPr="004721F7">
                        <w:rPr>
                          <w:rFonts w:ascii="標楷體" w:eastAsia="標楷體" w:hAnsi="標楷體" w:cs="標楷體" w:hint="eastAsia"/>
                          <w:b/>
                          <w:spacing w:val="-14"/>
                          <w:szCs w:val="32"/>
                        </w:rPr>
                        <w:t>圖</w:t>
                      </w:r>
                      <w:r>
                        <w:rPr>
                          <w:rFonts w:ascii="標楷體" w:eastAsia="標楷體" w:hAnsi="標楷體" w:cs="標楷體" w:hint="eastAsia"/>
                          <w:b/>
                          <w:spacing w:val="-14"/>
                          <w:szCs w:val="32"/>
                        </w:rPr>
                        <w:t>3</w:t>
                      </w:r>
                      <w:r w:rsidRPr="004721F7">
                        <w:rPr>
                          <w:rFonts w:ascii="標楷體" w:eastAsia="標楷體" w:hAnsi="標楷體" w:cs="標楷體" w:hint="eastAsia"/>
                          <w:b/>
                          <w:spacing w:val="-14"/>
                          <w:szCs w:val="32"/>
                        </w:rPr>
                        <w:t xml:space="preserve">　新生公園網球場改建全民運動館</w:t>
                      </w:r>
                      <w:r w:rsidRPr="004721F7">
                        <w:rPr>
                          <w:rFonts w:ascii="標楷體" w:eastAsia="標楷體" w:hAnsi="標楷體" w:hint="eastAsia"/>
                          <w:b/>
                          <w:spacing w:val="-14"/>
                        </w:rPr>
                        <w:t>完工示意圖</w:t>
                      </w:r>
                    </w:p>
                    <w:p w14:paraId="6DC6BA50" w14:textId="77777777" w:rsidR="00406878" w:rsidRPr="004721F7" w:rsidRDefault="00406878" w:rsidP="00406878">
                      <w:pPr>
                        <w:spacing w:line="20" w:lineRule="exact"/>
                        <w:rPr>
                          <w:rFonts w:ascii="標楷體" w:eastAsia="標楷體" w:hAnsi="標楷體"/>
                          <w:b/>
                          <w:szCs w:val="24"/>
                        </w:rPr>
                      </w:pPr>
                    </w:p>
                    <w:p w14:paraId="7BE67689" w14:textId="77777777" w:rsidR="00406878" w:rsidRDefault="00406878" w:rsidP="00406878">
                      <w:pPr>
                        <w:spacing w:line="20" w:lineRule="exact"/>
                        <w:rPr>
                          <w:rFonts w:ascii="標楷體" w:eastAsia="標楷體" w:hAnsi="標楷體"/>
                          <w:b/>
                          <w:szCs w:val="24"/>
                        </w:rPr>
                      </w:pPr>
                    </w:p>
                    <w:p w14:paraId="535E6020" w14:textId="77777777" w:rsidR="00406878" w:rsidRDefault="00406878" w:rsidP="00406878">
                      <w:pPr>
                        <w:spacing w:line="20" w:lineRule="exact"/>
                        <w:rPr>
                          <w:rFonts w:ascii="標楷體" w:eastAsia="標楷體" w:hAnsi="標楷體"/>
                          <w:b/>
                          <w:szCs w:val="24"/>
                        </w:rPr>
                      </w:pPr>
                    </w:p>
                    <w:p w14:paraId="669A9D4A" w14:textId="77777777" w:rsidR="00406878" w:rsidRDefault="00406878" w:rsidP="00406878">
                      <w:pPr>
                        <w:spacing w:line="20" w:lineRule="exact"/>
                        <w:rPr>
                          <w:rFonts w:ascii="標楷體" w:eastAsia="標楷體" w:hAnsi="標楷體"/>
                          <w:b/>
                          <w:szCs w:val="24"/>
                        </w:rPr>
                      </w:pPr>
                    </w:p>
                    <w:p w14:paraId="54910EC7" w14:textId="77777777" w:rsidR="00406878" w:rsidRDefault="00406878" w:rsidP="00406878">
                      <w:pPr>
                        <w:spacing w:line="20" w:lineRule="exact"/>
                        <w:rPr>
                          <w:rFonts w:ascii="標楷體" w:eastAsia="標楷體" w:hAnsi="標楷體"/>
                          <w:b/>
                          <w:szCs w:val="24"/>
                        </w:rPr>
                      </w:pPr>
                    </w:p>
                    <w:p w14:paraId="5BF0BB89" w14:textId="77777777" w:rsidR="00406878" w:rsidRDefault="00406878" w:rsidP="00406878">
                      <w:pPr>
                        <w:spacing w:line="20" w:lineRule="exact"/>
                        <w:rPr>
                          <w:rFonts w:ascii="標楷體" w:eastAsia="標楷體" w:hAnsi="標楷體"/>
                          <w:b/>
                          <w:szCs w:val="24"/>
                        </w:rPr>
                      </w:pPr>
                    </w:p>
                    <w:p w14:paraId="3D576F68" w14:textId="77777777" w:rsidR="00406878" w:rsidRDefault="00406878" w:rsidP="00406878">
                      <w:pPr>
                        <w:spacing w:line="20" w:lineRule="exact"/>
                        <w:rPr>
                          <w:rFonts w:ascii="標楷體" w:eastAsia="標楷體" w:hAnsi="標楷體"/>
                          <w:b/>
                          <w:szCs w:val="24"/>
                        </w:rPr>
                      </w:pPr>
                    </w:p>
                    <w:p w14:paraId="5E59AD30" w14:textId="77777777" w:rsidR="00406878" w:rsidRDefault="00406878" w:rsidP="00406878">
                      <w:pPr>
                        <w:spacing w:line="20" w:lineRule="exact"/>
                        <w:rPr>
                          <w:rFonts w:ascii="標楷體" w:eastAsia="標楷體" w:hAnsi="標楷體"/>
                          <w:b/>
                          <w:szCs w:val="24"/>
                        </w:rPr>
                      </w:pPr>
                    </w:p>
                    <w:p w14:paraId="3156046C" w14:textId="77777777" w:rsidR="00406878" w:rsidRDefault="00406878" w:rsidP="00406878">
                      <w:pPr>
                        <w:spacing w:line="20" w:lineRule="exact"/>
                        <w:rPr>
                          <w:rFonts w:ascii="標楷體" w:eastAsia="標楷體" w:hAnsi="標楷體"/>
                          <w:b/>
                          <w:szCs w:val="24"/>
                        </w:rPr>
                      </w:pPr>
                    </w:p>
                    <w:p w14:paraId="4BF471FC" w14:textId="77777777" w:rsidR="00406878" w:rsidRDefault="00406878" w:rsidP="00406878">
                      <w:pPr>
                        <w:spacing w:line="20" w:lineRule="exact"/>
                        <w:rPr>
                          <w:rFonts w:ascii="標楷體" w:eastAsia="標楷體" w:hAnsi="標楷體"/>
                          <w:b/>
                          <w:szCs w:val="24"/>
                        </w:rPr>
                      </w:pPr>
                    </w:p>
                    <w:p w14:paraId="7BC5A6B6" w14:textId="77777777" w:rsidR="00406878" w:rsidRDefault="00406878" w:rsidP="00406878">
                      <w:pPr>
                        <w:spacing w:line="20" w:lineRule="exact"/>
                        <w:rPr>
                          <w:rFonts w:ascii="標楷體" w:eastAsia="標楷體" w:hAnsi="標楷體"/>
                          <w:b/>
                          <w:szCs w:val="24"/>
                        </w:rPr>
                      </w:pPr>
                    </w:p>
                    <w:p w14:paraId="68998FF9" w14:textId="77777777" w:rsidR="00406878" w:rsidRDefault="00406878" w:rsidP="00406878">
                      <w:pPr>
                        <w:spacing w:line="20" w:lineRule="exact"/>
                        <w:rPr>
                          <w:rFonts w:ascii="標楷體" w:eastAsia="標楷體" w:hAnsi="標楷體"/>
                          <w:b/>
                          <w:szCs w:val="24"/>
                        </w:rPr>
                      </w:pPr>
                    </w:p>
                    <w:p w14:paraId="66352709" w14:textId="77777777" w:rsidR="00406878" w:rsidRDefault="00406878" w:rsidP="00406878">
                      <w:pPr>
                        <w:spacing w:line="20" w:lineRule="exact"/>
                        <w:rPr>
                          <w:rFonts w:ascii="標楷體" w:eastAsia="標楷體" w:hAnsi="標楷體"/>
                          <w:b/>
                          <w:szCs w:val="24"/>
                        </w:rPr>
                      </w:pPr>
                    </w:p>
                    <w:p w14:paraId="20276D79" w14:textId="77777777" w:rsidR="00406878" w:rsidRDefault="00406878" w:rsidP="00406878">
                      <w:pPr>
                        <w:spacing w:line="20" w:lineRule="exact"/>
                        <w:rPr>
                          <w:rFonts w:ascii="標楷體" w:eastAsia="標楷體" w:hAnsi="標楷體"/>
                          <w:b/>
                          <w:szCs w:val="24"/>
                        </w:rPr>
                      </w:pPr>
                    </w:p>
                    <w:p w14:paraId="239F6F55" w14:textId="77777777" w:rsidR="00406878" w:rsidRDefault="00406878" w:rsidP="00406878">
                      <w:pPr>
                        <w:spacing w:line="20" w:lineRule="exact"/>
                        <w:rPr>
                          <w:rFonts w:ascii="標楷體" w:eastAsia="標楷體" w:hAnsi="標楷體"/>
                          <w:b/>
                          <w:szCs w:val="24"/>
                        </w:rPr>
                      </w:pPr>
                    </w:p>
                    <w:p w14:paraId="367EE872" w14:textId="77777777" w:rsidR="00406878" w:rsidRDefault="00406878" w:rsidP="00406878">
                      <w:pPr>
                        <w:spacing w:line="20" w:lineRule="exact"/>
                        <w:rPr>
                          <w:rFonts w:ascii="標楷體" w:eastAsia="標楷體" w:hAnsi="標楷體"/>
                          <w:b/>
                          <w:szCs w:val="24"/>
                        </w:rPr>
                      </w:pPr>
                    </w:p>
                    <w:p w14:paraId="3DA82BB7" w14:textId="77777777" w:rsidR="00406878" w:rsidRDefault="00406878" w:rsidP="00406878">
                      <w:pPr>
                        <w:spacing w:line="20" w:lineRule="exact"/>
                        <w:rPr>
                          <w:rFonts w:ascii="標楷體" w:eastAsia="標楷體" w:hAnsi="標楷體"/>
                          <w:b/>
                          <w:szCs w:val="24"/>
                        </w:rPr>
                      </w:pPr>
                    </w:p>
                    <w:p w14:paraId="77A1DE33" w14:textId="77777777" w:rsidR="00406878" w:rsidRDefault="00406878" w:rsidP="00406878">
                      <w:pPr>
                        <w:spacing w:line="20" w:lineRule="exact"/>
                        <w:rPr>
                          <w:rFonts w:ascii="標楷體" w:eastAsia="標楷體" w:hAnsi="標楷體"/>
                          <w:b/>
                          <w:szCs w:val="24"/>
                        </w:rPr>
                      </w:pPr>
                    </w:p>
                    <w:p w14:paraId="17D638C0" w14:textId="77777777" w:rsidR="00406878" w:rsidRDefault="00406878" w:rsidP="00406878">
                      <w:pPr>
                        <w:spacing w:line="20" w:lineRule="exact"/>
                        <w:rPr>
                          <w:rFonts w:ascii="標楷體" w:eastAsia="標楷體" w:hAnsi="標楷體"/>
                          <w:b/>
                          <w:szCs w:val="24"/>
                        </w:rPr>
                      </w:pPr>
                    </w:p>
                    <w:p w14:paraId="104BD8B9" w14:textId="77777777" w:rsidR="00406878" w:rsidRDefault="00406878" w:rsidP="00406878">
                      <w:pPr>
                        <w:spacing w:line="20" w:lineRule="exact"/>
                        <w:rPr>
                          <w:rFonts w:ascii="標楷體" w:eastAsia="標楷體" w:hAnsi="標楷體"/>
                          <w:b/>
                          <w:szCs w:val="24"/>
                        </w:rPr>
                      </w:pPr>
                    </w:p>
                    <w:p w14:paraId="48C5E2CF" w14:textId="77777777" w:rsidR="00406878" w:rsidRDefault="00406878" w:rsidP="00406878">
                      <w:pPr>
                        <w:spacing w:line="20" w:lineRule="exact"/>
                        <w:rPr>
                          <w:rFonts w:ascii="標楷體" w:eastAsia="標楷體" w:hAnsi="標楷體"/>
                          <w:b/>
                          <w:szCs w:val="24"/>
                        </w:rPr>
                      </w:pPr>
                    </w:p>
                    <w:p w14:paraId="6A9B027A" w14:textId="77777777" w:rsidR="00406878" w:rsidRDefault="00406878" w:rsidP="00406878">
                      <w:pPr>
                        <w:spacing w:line="20" w:lineRule="exact"/>
                        <w:rPr>
                          <w:rFonts w:ascii="標楷體" w:eastAsia="標楷體" w:hAnsi="標楷體"/>
                          <w:b/>
                          <w:szCs w:val="24"/>
                        </w:rPr>
                      </w:pPr>
                    </w:p>
                    <w:p w14:paraId="57BAF602" w14:textId="77777777" w:rsidR="00406878" w:rsidRDefault="00406878" w:rsidP="00406878">
                      <w:pPr>
                        <w:spacing w:line="20" w:lineRule="exact"/>
                        <w:rPr>
                          <w:rFonts w:ascii="標楷體" w:eastAsia="標楷體" w:hAnsi="標楷體"/>
                          <w:b/>
                          <w:szCs w:val="24"/>
                        </w:rPr>
                      </w:pPr>
                    </w:p>
                    <w:p w14:paraId="3A7C95F3" w14:textId="77777777" w:rsidR="00406878" w:rsidRDefault="00406878" w:rsidP="00406878">
                      <w:pPr>
                        <w:spacing w:line="20" w:lineRule="exact"/>
                        <w:rPr>
                          <w:rFonts w:ascii="標楷體" w:eastAsia="標楷體" w:hAnsi="標楷體"/>
                          <w:b/>
                          <w:szCs w:val="24"/>
                        </w:rPr>
                      </w:pPr>
                    </w:p>
                    <w:p w14:paraId="58916258" w14:textId="77777777" w:rsidR="00406878" w:rsidRDefault="00406878" w:rsidP="00406878">
                      <w:pPr>
                        <w:spacing w:line="20" w:lineRule="exact"/>
                        <w:rPr>
                          <w:rFonts w:ascii="標楷體" w:eastAsia="標楷體" w:hAnsi="標楷體"/>
                          <w:b/>
                          <w:szCs w:val="24"/>
                        </w:rPr>
                      </w:pPr>
                    </w:p>
                    <w:p w14:paraId="5C76A65B" w14:textId="77777777" w:rsidR="00406878" w:rsidRDefault="00406878" w:rsidP="00406878">
                      <w:pPr>
                        <w:spacing w:line="20" w:lineRule="exact"/>
                        <w:rPr>
                          <w:rFonts w:ascii="標楷體" w:eastAsia="標楷體" w:hAnsi="標楷體"/>
                          <w:b/>
                          <w:szCs w:val="24"/>
                        </w:rPr>
                      </w:pPr>
                    </w:p>
                    <w:p w14:paraId="4ED8C979" w14:textId="77777777" w:rsidR="00406878" w:rsidRDefault="00406878" w:rsidP="00406878">
                      <w:pPr>
                        <w:spacing w:line="20" w:lineRule="exact"/>
                        <w:rPr>
                          <w:rFonts w:ascii="標楷體" w:eastAsia="標楷體" w:hAnsi="標楷體"/>
                          <w:b/>
                          <w:szCs w:val="24"/>
                        </w:rPr>
                      </w:pPr>
                    </w:p>
                    <w:p w14:paraId="6DB60DAE" w14:textId="77777777" w:rsidR="00406878" w:rsidRDefault="00406878" w:rsidP="00406878">
                      <w:pPr>
                        <w:spacing w:line="20" w:lineRule="exact"/>
                        <w:rPr>
                          <w:rFonts w:ascii="標楷體" w:eastAsia="標楷體" w:hAnsi="標楷體"/>
                          <w:b/>
                          <w:szCs w:val="24"/>
                        </w:rPr>
                      </w:pPr>
                    </w:p>
                    <w:p w14:paraId="7C37CD89" w14:textId="77777777" w:rsidR="00406878" w:rsidRDefault="00406878" w:rsidP="00406878">
                      <w:pPr>
                        <w:spacing w:line="20" w:lineRule="exact"/>
                        <w:rPr>
                          <w:rFonts w:ascii="標楷體" w:eastAsia="標楷體" w:hAnsi="標楷體"/>
                          <w:b/>
                          <w:szCs w:val="24"/>
                        </w:rPr>
                      </w:pPr>
                    </w:p>
                    <w:p w14:paraId="03D4EE65" w14:textId="77777777" w:rsidR="00406878" w:rsidRDefault="00406878" w:rsidP="00406878">
                      <w:pPr>
                        <w:spacing w:line="20" w:lineRule="exact"/>
                        <w:rPr>
                          <w:rFonts w:ascii="標楷體" w:eastAsia="標楷體" w:hAnsi="標楷體"/>
                          <w:b/>
                          <w:szCs w:val="24"/>
                        </w:rPr>
                      </w:pPr>
                    </w:p>
                    <w:p w14:paraId="1ACA4247" w14:textId="77777777" w:rsidR="00406878" w:rsidRDefault="00406878" w:rsidP="00406878">
                      <w:pPr>
                        <w:spacing w:line="20" w:lineRule="exact"/>
                        <w:rPr>
                          <w:rFonts w:ascii="標楷體" w:eastAsia="標楷體" w:hAnsi="標楷體"/>
                          <w:b/>
                          <w:szCs w:val="24"/>
                        </w:rPr>
                      </w:pPr>
                    </w:p>
                    <w:p w14:paraId="5C5D705D" w14:textId="77777777" w:rsidR="00406878" w:rsidRDefault="00406878" w:rsidP="00406878">
                      <w:pPr>
                        <w:spacing w:line="20" w:lineRule="exact"/>
                        <w:rPr>
                          <w:rFonts w:ascii="標楷體" w:eastAsia="標楷體" w:hAnsi="標楷體"/>
                          <w:b/>
                          <w:szCs w:val="24"/>
                        </w:rPr>
                      </w:pPr>
                    </w:p>
                    <w:p w14:paraId="07AC8012" w14:textId="77777777" w:rsidR="00406878" w:rsidRDefault="00406878" w:rsidP="00406878">
                      <w:pPr>
                        <w:spacing w:line="20" w:lineRule="exact"/>
                        <w:rPr>
                          <w:rFonts w:ascii="標楷體" w:eastAsia="標楷體" w:hAnsi="標楷體"/>
                          <w:b/>
                          <w:szCs w:val="24"/>
                        </w:rPr>
                      </w:pPr>
                    </w:p>
                    <w:p w14:paraId="7FB9F5AC" w14:textId="77777777" w:rsidR="00406878" w:rsidRDefault="00406878" w:rsidP="00406878">
                      <w:pPr>
                        <w:spacing w:line="20" w:lineRule="exact"/>
                        <w:rPr>
                          <w:rFonts w:ascii="標楷體" w:eastAsia="標楷體" w:hAnsi="標楷體"/>
                          <w:b/>
                          <w:szCs w:val="24"/>
                        </w:rPr>
                      </w:pPr>
                    </w:p>
                    <w:p w14:paraId="1C12BE19" w14:textId="77777777" w:rsidR="00406878" w:rsidRDefault="00406878" w:rsidP="00406878">
                      <w:pPr>
                        <w:spacing w:line="20" w:lineRule="exact"/>
                        <w:rPr>
                          <w:rFonts w:ascii="標楷體" w:eastAsia="標楷體" w:hAnsi="標楷體"/>
                          <w:b/>
                          <w:szCs w:val="24"/>
                        </w:rPr>
                      </w:pPr>
                    </w:p>
                    <w:p w14:paraId="16138D3E" w14:textId="77777777" w:rsidR="00406878" w:rsidRDefault="00406878" w:rsidP="00406878">
                      <w:pPr>
                        <w:spacing w:line="20" w:lineRule="exact"/>
                        <w:rPr>
                          <w:rFonts w:ascii="標楷體" w:eastAsia="標楷體" w:hAnsi="標楷體"/>
                          <w:b/>
                          <w:szCs w:val="24"/>
                        </w:rPr>
                      </w:pPr>
                    </w:p>
                    <w:p w14:paraId="071E33EE" w14:textId="77777777" w:rsidR="00406878" w:rsidRDefault="00406878" w:rsidP="00406878">
                      <w:pPr>
                        <w:spacing w:line="20" w:lineRule="exact"/>
                        <w:rPr>
                          <w:rFonts w:ascii="標楷體" w:eastAsia="標楷體" w:hAnsi="標楷體"/>
                          <w:b/>
                          <w:szCs w:val="24"/>
                        </w:rPr>
                      </w:pPr>
                    </w:p>
                    <w:p w14:paraId="2CBAF1FA" w14:textId="77777777" w:rsidR="00406878" w:rsidRDefault="00406878" w:rsidP="00406878">
                      <w:pPr>
                        <w:spacing w:line="20" w:lineRule="exact"/>
                        <w:rPr>
                          <w:rFonts w:ascii="標楷體" w:eastAsia="標楷體" w:hAnsi="標楷體"/>
                          <w:b/>
                          <w:szCs w:val="24"/>
                        </w:rPr>
                      </w:pPr>
                    </w:p>
                    <w:p w14:paraId="1AE1C65C" w14:textId="77777777" w:rsidR="00406878" w:rsidRDefault="00406878" w:rsidP="00406878">
                      <w:pPr>
                        <w:spacing w:line="20" w:lineRule="exact"/>
                        <w:rPr>
                          <w:rFonts w:ascii="標楷體" w:eastAsia="標楷體" w:hAnsi="標楷體"/>
                          <w:b/>
                          <w:szCs w:val="24"/>
                        </w:rPr>
                      </w:pPr>
                    </w:p>
                    <w:p w14:paraId="62837649" w14:textId="77777777" w:rsidR="00406878" w:rsidRDefault="00406878" w:rsidP="00406878">
                      <w:pPr>
                        <w:spacing w:line="20" w:lineRule="exact"/>
                        <w:rPr>
                          <w:rFonts w:ascii="標楷體" w:eastAsia="標楷體" w:hAnsi="標楷體"/>
                          <w:b/>
                          <w:szCs w:val="24"/>
                        </w:rPr>
                      </w:pPr>
                    </w:p>
                    <w:p w14:paraId="685DB791" w14:textId="77777777" w:rsidR="00406878" w:rsidRDefault="00406878" w:rsidP="00406878">
                      <w:pPr>
                        <w:spacing w:line="20" w:lineRule="exact"/>
                        <w:rPr>
                          <w:rFonts w:ascii="標楷體" w:eastAsia="標楷體" w:hAnsi="標楷體"/>
                          <w:b/>
                          <w:szCs w:val="24"/>
                        </w:rPr>
                      </w:pPr>
                    </w:p>
                    <w:p w14:paraId="6E5828D7" w14:textId="77777777" w:rsidR="00406878" w:rsidRDefault="00406878" w:rsidP="00406878">
                      <w:pPr>
                        <w:spacing w:line="20" w:lineRule="exact"/>
                        <w:rPr>
                          <w:rFonts w:ascii="標楷體" w:eastAsia="標楷體" w:hAnsi="標楷體"/>
                          <w:b/>
                          <w:szCs w:val="24"/>
                        </w:rPr>
                      </w:pPr>
                    </w:p>
                    <w:p w14:paraId="4723A0EA" w14:textId="77777777" w:rsidR="00406878" w:rsidRDefault="00406878" w:rsidP="00406878">
                      <w:pPr>
                        <w:spacing w:line="20" w:lineRule="exact"/>
                        <w:rPr>
                          <w:rFonts w:ascii="標楷體" w:eastAsia="標楷體" w:hAnsi="標楷體"/>
                          <w:b/>
                          <w:szCs w:val="24"/>
                        </w:rPr>
                      </w:pPr>
                    </w:p>
                    <w:p w14:paraId="3CE0FE8F" w14:textId="77777777" w:rsidR="00406878" w:rsidRDefault="00406878" w:rsidP="00406878">
                      <w:pPr>
                        <w:spacing w:line="20" w:lineRule="exact"/>
                        <w:rPr>
                          <w:rFonts w:ascii="標楷體" w:eastAsia="標楷體" w:hAnsi="標楷體"/>
                          <w:b/>
                          <w:szCs w:val="24"/>
                        </w:rPr>
                      </w:pPr>
                    </w:p>
                    <w:p w14:paraId="1E928DB7" w14:textId="77777777" w:rsidR="00406878" w:rsidRDefault="00406878" w:rsidP="00406878">
                      <w:pPr>
                        <w:spacing w:line="20" w:lineRule="exact"/>
                        <w:rPr>
                          <w:rFonts w:ascii="標楷體" w:eastAsia="標楷體" w:hAnsi="標楷體"/>
                          <w:b/>
                          <w:szCs w:val="24"/>
                        </w:rPr>
                      </w:pPr>
                    </w:p>
                    <w:p w14:paraId="7753702E" w14:textId="77777777" w:rsidR="00406878" w:rsidRDefault="00406878" w:rsidP="00406878">
                      <w:pPr>
                        <w:spacing w:line="20" w:lineRule="exact"/>
                        <w:rPr>
                          <w:rFonts w:ascii="標楷體" w:eastAsia="標楷體" w:hAnsi="標楷體"/>
                          <w:b/>
                          <w:szCs w:val="24"/>
                        </w:rPr>
                      </w:pPr>
                    </w:p>
                    <w:p w14:paraId="57039895" w14:textId="77777777" w:rsidR="00406878" w:rsidRDefault="00406878" w:rsidP="00406878">
                      <w:pPr>
                        <w:spacing w:line="20" w:lineRule="exact"/>
                        <w:rPr>
                          <w:rFonts w:ascii="標楷體" w:eastAsia="標楷體" w:hAnsi="標楷體"/>
                          <w:b/>
                          <w:szCs w:val="24"/>
                        </w:rPr>
                      </w:pPr>
                    </w:p>
                    <w:p w14:paraId="40018058" w14:textId="77777777" w:rsidR="00406878" w:rsidRDefault="00406878" w:rsidP="00406878">
                      <w:pPr>
                        <w:spacing w:line="20" w:lineRule="exact"/>
                        <w:rPr>
                          <w:rFonts w:ascii="標楷體" w:eastAsia="標楷體" w:hAnsi="標楷體"/>
                          <w:b/>
                          <w:szCs w:val="24"/>
                        </w:rPr>
                      </w:pPr>
                    </w:p>
                    <w:p w14:paraId="14A57F3F" w14:textId="77777777" w:rsidR="00406878" w:rsidRDefault="00406878" w:rsidP="00406878">
                      <w:pPr>
                        <w:spacing w:line="20" w:lineRule="exact"/>
                        <w:rPr>
                          <w:rFonts w:ascii="標楷體" w:eastAsia="標楷體" w:hAnsi="標楷體"/>
                          <w:b/>
                          <w:szCs w:val="24"/>
                        </w:rPr>
                      </w:pPr>
                    </w:p>
                    <w:p w14:paraId="2C0F4E1C" w14:textId="77777777" w:rsidR="00406878" w:rsidRDefault="00406878" w:rsidP="00406878">
                      <w:pPr>
                        <w:spacing w:line="20" w:lineRule="exact"/>
                        <w:rPr>
                          <w:rFonts w:ascii="標楷體" w:eastAsia="標楷體" w:hAnsi="標楷體"/>
                          <w:b/>
                          <w:szCs w:val="24"/>
                        </w:rPr>
                      </w:pPr>
                    </w:p>
                    <w:p w14:paraId="623440D1" w14:textId="77777777" w:rsidR="00406878" w:rsidRDefault="00406878" w:rsidP="00406878">
                      <w:pPr>
                        <w:spacing w:line="20" w:lineRule="exact"/>
                        <w:rPr>
                          <w:rFonts w:ascii="標楷體" w:eastAsia="標楷體" w:hAnsi="標楷體"/>
                          <w:b/>
                          <w:szCs w:val="24"/>
                        </w:rPr>
                      </w:pPr>
                    </w:p>
                    <w:p w14:paraId="09A7780F" w14:textId="77777777" w:rsidR="00406878" w:rsidRDefault="00406878" w:rsidP="00406878">
                      <w:pPr>
                        <w:spacing w:line="20" w:lineRule="exact"/>
                        <w:rPr>
                          <w:rFonts w:ascii="標楷體" w:eastAsia="標楷體" w:hAnsi="標楷體"/>
                          <w:b/>
                          <w:szCs w:val="24"/>
                        </w:rPr>
                      </w:pPr>
                    </w:p>
                    <w:p w14:paraId="78B57AAA" w14:textId="77777777" w:rsidR="00406878" w:rsidRDefault="00406878" w:rsidP="00406878">
                      <w:pPr>
                        <w:spacing w:line="20" w:lineRule="exact"/>
                        <w:rPr>
                          <w:rFonts w:ascii="標楷體" w:eastAsia="標楷體" w:hAnsi="標楷體"/>
                          <w:b/>
                          <w:szCs w:val="24"/>
                        </w:rPr>
                      </w:pPr>
                    </w:p>
                    <w:p w14:paraId="652FB3D5" w14:textId="77777777" w:rsidR="00406878" w:rsidRDefault="00406878" w:rsidP="00406878">
                      <w:pPr>
                        <w:spacing w:line="20" w:lineRule="exact"/>
                        <w:rPr>
                          <w:rFonts w:ascii="標楷體" w:eastAsia="標楷體" w:hAnsi="標楷體"/>
                          <w:b/>
                          <w:szCs w:val="24"/>
                        </w:rPr>
                      </w:pPr>
                    </w:p>
                    <w:p w14:paraId="7212D7C1" w14:textId="77777777" w:rsidR="00406878" w:rsidRDefault="00406878" w:rsidP="00406878">
                      <w:pPr>
                        <w:spacing w:line="20" w:lineRule="exact"/>
                        <w:rPr>
                          <w:rFonts w:ascii="標楷體" w:eastAsia="標楷體" w:hAnsi="標楷體"/>
                          <w:b/>
                          <w:szCs w:val="24"/>
                        </w:rPr>
                      </w:pPr>
                    </w:p>
                    <w:p w14:paraId="57EBFE19" w14:textId="77777777" w:rsidR="00406878" w:rsidRDefault="00406878" w:rsidP="00406878">
                      <w:pPr>
                        <w:spacing w:line="20" w:lineRule="exact"/>
                        <w:rPr>
                          <w:rFonts w:ascii="標楷體" w:eastAsia="標楷體" w:hAnsi="標楷體"/>
                          <w:b/>
                          <w:szCs w:val="24"/>
                        </w:rPr>
                      </w:pPr>
                    </w:p>
                    <w:p w14:paraId="137FF002" w14:textId="77777777" w:rsidR="00406878" w:rsidRDefault="00406878" w:rsidP="00406878">
                      <w:pPr>
                        <w:spacing w:line="20" w:lineRule="exact"/>
                        <w:rPr>
                          <w:rFonts w:ascii="標楷體" w:eastAsia="標楷體" w:hAnsi="標楷體"/>
                          <w:b/>
                          <w:szCs w:val="24"/>
                        </w:rPr>
                      </w:pPr>
                    </w:p>
                    <w:p w14:paraId="2E2737EC" w14:textId="77777777" w:rsidR="00406878" w:rsidRDefault="00406878" w:rsidP="00406878">
                      <w:pPr>
                        <w:spacing w:line="20" w:lineRule="exact"/>
                        <w:rPr>
                          <w:rFonts w:ascii="標楷體" w:eastAsia="標楷體" w:hAnsi="標楷體"/>
                          <w:b/>
                          <w:szCs w:val="24"/>
                        </w:rPr>
                      </w:pPr>
                    </w:p>
                    <w:p w14:paraId="31991F3E" w14:textId="77777777" w:rsidR="00406878" w:rsidRDefault="00406878" w:rsidP="00406878">
                      <w:pPr>
                        <w:spacing w:line="20" w:lineRule="exact"/>
                        <w:rPr>
                          <w:rFonts w:ascii="標楷體" w:eastAsia="標楷體" w:hAnsi="標楷體"/>
                          <w:b/>
                          <w:szCs w:val="24"/>
                        </w:rPr>
                      </w:pPr>
                    </w:p>
                    <w:p w14:paraId="5A506470" w14:textId="77777777" w:rsidR="00406878" w:rsidRDefault="00406878" w:rsidP="00406878">
                      <w:pPr>
                        <w:spacing w:line="20" w:lineRule="exact"/>
                        <w:rPr>
                          <w:rFonts w:ascii="標楷體" w:eastAsia="標楷體" w:hAnsi="標楷體"/>
                          <w:b/>
                          <w:szCs w:val="24"/>
                        </w:rPr>
                      </w:pPr>
                    </w:p>
                    <w:p w14:paraId="592A1180" w14:textId="77777777" w:rsidR="00406878" w:rsidRDefault="00406878" w:rsidP="00406878">
                      <w:pPr>
                        <w:spacing w:line="20" w:lineRule="exact"/>
                        <w:rPr>
                          <w:rFonts w:ascii="標楷體" w:eastAsia="標楷體" w:hAnsi="標楷體"/>
                          <w:b/>
                          <w:szCs w:val="24"/>
                        </w:rPr>
                      </w:pPr>
                    </w:p>
                    <w:p w14:paraId="3DEE3C28" w14:textId="77777777" w:rsidR="00406878" w:rsidRDefault="00406878" w:rsidP="00406878">
                      <w:pPr>
                        <w:spacing w:line="20" w:lineRule="exact"/>
                        <w:rPr>
                          <w:rFonts w:ascii="標楷體" w:eastAsia="標楷體" w:hAnsi="標楷體"/>
                          <w:b/>
                          <w:szCs w:val="24"/>
                        </w:rPr>
                      </w:pPr>
                    </w:p>
                    <w:p w14:paraId="7786B081" w14:textId="77777777" w:rsidR="00406878" w:rsidRDefault="00406878" w:rsidP="00406878">
                      <w:pPr>
                        <w:spacing w:line="20" w:lineRule="exact"/>
                        <w:rPr>
                          <w:rFonts w:ascii="標楷體" w:eastAsia="標楷體" w:hAnsi="標楷體"/>
                          <w:b/>
                          <w:szCs w:val="24"/>
                        </w:rPr>
                      </w:pPr>
                    </w:p>
                    <w:p w14:paraId="052E4D3D" w14:textId="77777777" w:rsidR="00406878" w:rsidRDefault="00406878" w:rsidP="00406878">
                      <w:pPr>
                        <w:spacing w:line="20" w:lineRule="exact"/>
                        <w:rPr>
                          <w:rFonts w:ascii="標楷體" w:eastAsia="標楷體" w:hAnsi="標楷體"/>
                          <w:b/>
                          <w:szCs w:val="24"/>
                        </w:rPr>
                      </w:pPr>
                    </w:p>
                    <w:p w14:paraId="5C55C0C0" w14:textId="77777777" w:rsidR="00406878" w:rsidRDefault="00406878" w:rsidP="00406878">
                      <w:pPr>
                        <w:spacing w:line="20" w:lineRule="exact"/>
                        <w:rPr>
                          <w:rFonts w:ascii="標楷體" w:eastAsia="標楷體" w:hAnsi="標楷體"/>
                          <w:b/>
                          <w:szCs w:val="24"/>
                        </w:rPr>
                      </w:pPr>
                    </w:p>
                    <w:p w14:paraId="60D06A4D" w14:textId="77777777" w:rsidR="00406878" w:rsidRDefault="00406878" w:rsidP="00406878">
                      <w:pPr>
                        <w:spacing w:line="20" w:lineRule="exact"/>
                        <w:rPr>
                          <w:rFonts w:ascii="標楷體" w:eastAsia="標楷體" w:hAnsi="標楷體"/>
                          <w:b/>
                          <w:szCs w:val="24"/>
                        </w:rPr>
                      </w:pPr>
                    </w:p>
                    <w:p w14:paraId="368B0309" w14:textId="77777777" w:rsidR="00406878" w:rsidRDefault="00406878" w:rsidP="00406878">
                      <w:pPr>
                        <w:spacing w:line="20" w:lineRule="exact"/>
                        <w:rPr>
                          <w:rFonts w:ascii="標楷體" w:eastAsia="標楷體" w:hAnsi="標楷體"/>
                          <w:b/>
                          <w:szCs w:val="24"/>
                        </w:rPr>
                      </w:pPr>
                    </w:p>
                    <w:p w14:paraId="0E003BCD" w14:textId="77777777" w:rsidR="00406878" w:rsidRDefault="00406878" w:rsidP="00406878">
                      <w:pPr>
                        <w:spacing w:line="20" w:lineRule="exact"/>
                        <w:rPr>
                          <w:rFonts w:ascii="標楷體" w:eastAsia="標楷體" w:hAnsi="標楷體"/>
                          <w:b/>
                          <w:szCs w:val="24"/>
                        </w:rPr>
                      </w:pPr>
                    </w:p>
                    <w:p w14:paraId="3A02DE8C" w14:textId="77777777" w:rsidR="00406878" w:rsidRDefault="00406878" w:rsidP="00406878">
                      <w:pPr>
                        <w:spacing w:line="20" w:lineRule="exact"/>
                        <w:rPr>
                          <w:rFonts w:ascii="標楷體" w:eastAsia="標楷體" w:hAnsi="標楷體"/>
                          <w:b/>
                          <w:szCs w:val="24"/>
                        </w:rPr>
                      </w:pPr>
                    </w:p>
                    <w:p w14:paraId="1B2067BE" w14:textId="77777777" w:rsidR="00406878" w:rsidRDefault="00406878" w:rsidP="00406878">
                      <w:pPr>
                        <w:spacing w:line="20" w:lineRule="exact"/>
                        <w:rPr>
                          <w:rFonts w:ascii="標楷體" w:eastAsia="標楷體" w:hAnsi="標楷體"/>
                          <w:b/>
                          <w:szCs w:val="24"/>
                        </w:rPr>
                      </w:pPr>
                    </w:p>
                    <w:p w14:paraId="4538B76B" w14:textId="77777777" w:rsidR="00406878" w:rsidRDefault="00406878" w:rsidP="00406878">
                      <w:pPr>
                        <w:spacing w:line="20" w:lineRule="exact"/>
                        <w:rPr>
                          <w:rFonts w:ascii="標楷體" w:eastAsia="標楷體" w:hAnsi="標楷體"/>
                          <w:b/>
                          <w:szCs w:val="24"/>
                        </w:rPr>
                      </w:pPr>
                    </w:p>
                    <w:p w14:paraId="2BE16415" w14:textId="77777777" w:rsidR="00406878" w:rsidRDefault="00406878" w:rsidP="00406878">
                      <w:pPr>
                        <w:spacing w:line="20" w:lineRule="exact"/>
                        <w:rPr>
                          <w:rFonts w:ascii="標楷體" w:eastAsia="標楷體" w:hAnsi="標楷體"/>
                          <w:b/>
                          <w:szCs w:val="24"/>
                        </w:rPr>
                      </w:pPr>
                    </w:p>
                    <w:p w14:paraId="00C935CD" w14:textId="77777777" w:rsidR="00406878" w:rsidRDefault="00406878" w:rsidP="00406878">
                      <w:pPr>
                        <w:spacing w:line="20" w:lineRule="exact"/>
                        <w:rPr>
                          <w:rFonts w:ascii="標楷體" w:eastAsia="標楷體" w:hAnsi="標楷體"/>
                          <w:b/>
                          <w:szCs w:val="24"/>
                        </w:rPr>
                      </w:pPr>
                    </w:p>
                    <w:p w14:paraId="4221A77B" w14:textId="77777777" w:rsidR="00406878" w:rsidRDefault="00406878" w:rsidP="00406878">
                      <w:pPr>
                        <w:spacing w:line="20" w:lineRule="exact"/>
                        <w:rPr>
                          <w:rFonts w:ascii="標楷體" w:eastAsia="標楷體" w:hAnsi="標楷體"/>
                          <w:b/>
                          <w:szCs w:val="24"/>
                        </w:rPr>
                      </w:pPr>
                    </w:p>
                    <w:p w14:paraId="2022E165" w14:textId="77777777" w:rsidR="00406878" w:rsidRDefault="00406878" w:rsidP="00406878">
                      <w:pPr>
                        <w:spacing w:line="20" w:lineRule="exact"/>
                        <w:rPr>
                          <w:rFonts w:ascii="標楷體" w:eastAsia="標楷體" w:hAnsi="標楷體"/>
                          <w:b/>
                          <w:szCs w:val="24"/>
                        </w:rPr>
                      </w:pPr>
                    </w:p>
                    <w:p w14:paraId="752D981C" w14:textId="77777777" w:rsidR="00406878" w:rsidRDefault="00406878" w:rsidP="00406878">
                      <w:pPr>
                        <w:spacing w:line="20" w:lineRule="exact"/>
                        <w:rPr>
                          <w:rFonts w:ascii="標楷體" w:eastAsia="標楷體" w:hAnsi="標楷體"/>
                          <w:b/>
                          <w:szCs w:val="24"/>
                        </w:rPr>
                      </w:pPr>
                    </w:p>
                    <w:p w14:paraId="713161C1" w14:textId="77777777" w:rsidR="00406878" w:rsidRDefault="00406878" w:rsidP="00406878">
                      <w:pPr>
                        <w:spacing w:line="20" w:lineRule="exact"/>
                        <w:rPr>
                          <w:rFonts w:ascii="標楷體" w:eastAsia="標楷體" w:hAnsi="標楷體"/>
                          <w:b/>
                          <w:szCs w:val="24"/>
                        </w:rPr>
                      </w:pPr>
                    </w:p>
                    <w:p w14:paraId="0E80256C" w14:textId="77777777" w:rsidR="00406878" w:rsidRDefault="00406878" w:rsidP="00406878">
                      <w:pPr>
                        <w:spacing w:line="20" w:lineRule="exact"/>
                        <w:rPr>
                          <w:rFonts w:ascii="標楷體" w:eastAsia="標楷體" w:hAnsi="標楷體"/>
                          <w:b/>
                          <w:szCs w:val="24"/>
                        </w:rPr>
                      </w:pPr>
                    </w:p>
                    <w:p w14:paraId="652860E5" w14:textId="77777777" w:rsidR="00406878" w:rsidRDefault="00406878" w:rsidP="00406878">
                      <w:pPr>
                        <w:spacing w:line="20" w:lineRule="exact"/>
                        <w:rPr>
                          <w:rFonts w:ascii="標楷體" w:eastAsia="標楷體" w:hAnsi="標楷體"/>
                          <w:b/>
                          <w:szCs w:val="24"/>
                        </w:rPr>
                      </w:pPr>
                    </w:p>
                    <w:p w14:paraId="591A2807" w14:textId="77777777" w:rsidR="00406878" w:rsidRDefault="00406878" w:rsidP="00406878">
                      <w:pPr>
                        <w:spacing w:line="20" w:lineRule="exact"/>
                        <w:rPr>
                          <w:rFonts w:ascii="標楷體" w:eastAsia="標楷體" w:hAnsi="標楷體"/>
                          <w:b/>
                          <w:szCs w:val="24"/>
                        </w:rPr>
                      </w:pPr>
                    </w:p>
                    <w:p w14:paraId="5B7E7187" w14:textId="77777777" w:rsidR="00406878" w:rsidRDefault="00406878" w:rsidP="00406878">
                      <w:pPr>
                        <w:spacing w:line="20" w:lineRule="exact"/>
                        <w:rPr>
                          <w:rFonts w:ascii="標楷體" w:eastAsia="標楷體" w:hAnsi="標楷體"/>
                          <w:b/>
                          <w:szCs w:val="24"/>
                        </w:rPr>
                      </w:pPr>
                    </w:p>
                    <w:p w14:paraId="1CD631D8" w14:textId="77777777" w:rsidR="00406878" w:rsidRDefault="00406878" w:rsidP="00406878">
                      <w:pPr>
                        <w:spacing w:line="20" w:lineRule="exact"/>
                        <w:rPr>
                          <w:rFonts w:ascii="標楷體" w:eastAsia="標楷體" w:hAnsi="標楷體"/>
                          <w:b/>
                          <w:szCs w:val="24"/>
                        </w:rPr>
                      </w:pPr>
                    </w:p>
                    <w:p w14:paraId="6042F13A" w14:textId="77777777" w:rsidR="00406878" w:rsidRDefault="00406878" w:rsidP="00406878">
                      <w:pPr>
                        <w:spacing w:line="20" w:lineRule="exact"/>
                        <w:rPr>
                          <w:rFonts w:ascii="標楷體" w:eastAsia="標楷體" w:hAnsi="標楷體"/>
                          <w:b/>
                          <w:szCs w:val="24"/>
                        </w:rPr>
                      </w:pPr>
                    </w:p>
                    <w:p w14:paraId="032D1C09" w14:textId="77777777" w:rsidR="00406878" w:rsidRDefault="00406878" w:rsidP="00406878">
                      <w:pPr>
                        <w:spacing w:line="20" w:lineRule="exact"/>
                        <w:rPr>
                          <w:rFonts w:ascii="標楷體" w:eastAsia="標楷體" w:hAnsi="標楷體"/>
                          <w:b/>
                          <w:szCs w:val="24"/>
                        </w:rPr>
                      </w:pPr>
                    </w:p>
                    <w:p w14:paraId="74993033" w14:textId="77777777" w:rsidR="00406878" w:rsidRDefault="00406878" w:rsidP="00406878">
                      <w:pPr>
                        <w:spacing w:line="20" w:lineRule="exact"/>
                        <w:rPr>
                          <w:rFonts w:ascii="標楷體" w:eastAsia="標楷體" w:hAnsi="標楷體"/>
                          <w:b/>
                          <w:szCs w:val="24"/>
                        </w:rPr>
                      </w:pPr>
                    </w:p>
                    <w:p w14:paraId="33DB17CE" w14:textId="77777777" w:rsidR="00406878" w:rsidRDefault="00406878" w:rsidP="00406878">
                      <w:pPr>
                        <w:spacing w:line="20" w:lineRule="exact"/>
                        <w:rPr>
                          <w:rFonts w:ascii="標楷體" w:eastAsia="標楷體" w:hAnsi="標楷體"/>
                          <w:b/>
                          <w:szCs w:val="24"/>
                        </w:rPr>
                      </w:pPr>
                    </w:p>
                    <w:p w14:paraId="772D0D61" w14:textId="77777777" w:rsidR="00406878" w:rsidRDefault="00406878" w:rsidP="00406878">
                      <w:pPr>
                        <w:spacing w:line="20" w:lineRule="exact"/>
                        <w:rPr>
                          <w:rFonts w:ascii="標楷體" w:eastAsia="標楷體" w:hAnsi="標楷體"/>
                          <w:b/>
                          <w:szCs w:val="24"/>
                        </w:rPr>
                      </w:pPr>
                    </w:p>
                    <w:p w14:paraId="16673063" w14:textId="77777777" w:rsidR="00406878" w:rsidRDefault="00406878" w:rsidP="00406878">
                      <w:pPr>
                        <w:spacing w:line="20" w:lineRule="exact"/>
                        <w:rPr>
                          <w:rFonts w:ascii="標楷體" w:eastAsia="標楷體" w:hAnsi="標楷體"/>
                          <w:b/>
                          <w:szCs w:val="24"/>
                        </w:rPr>
                      </w:pPr>
                    </w:p>
                    <w:p w14:paraId="0FB7FA0B" w14:textId="77777777" w:rsidR="00406878" w:rsidRDefault="00406878" w:rsidP="00406878">
                      <w:pPr>
                        <w:spacing w:line="20" w:lineRule="exact"/>
                        <w:rPr>
                          <w:rFonts w:ascii="標楷體" w:eastAsia="標楷體" w:hAnsi="標楷體"/>
                          <w:b/>
                          <w:szCs w:val="24"/>
                        </w:rPr>
                      </w:pPr>
                    </w:p>
                    <w:p w14:paraId="200034B1" w14:textId="77777777" w:rsidR="00406878" w:rsidRDefault="00406878" w:rsidP="00406878">
                      <w:pPr>
                        <w:spacing w:line="20" w:lineRule="exact"/>
                        <w:rPr>
                          <w:rFonts w:ascii="標楷體" w:eastAsia="標楷體" w:hAnsi="標楷體"/>
                          <w:b/>
                          <w:szCs w:val="24"/>
                        </w:rPr>
                      </w:pPr>
                    </w:p>
                    <w:p w14:paraId="42F222B9" w14:textId="77777777" w:rsidR="00406878" w:rsidRDefault="00406878" w:rsidP="00406878">
                      <w:pPr>
                        <w:spacing w:line="20" w:lineRule="exact"/>
                        <w:rPr>
                          <w:rFonts w:ascii="標楷體" w:eastAsia="標楷體" w:hAnsi="標楷體"/>
                          <w:b/>
                          <w:szCs w:val="24"/>
                        </w:rPr>
                      </w:pPr>
                    </w:p>
                    <w:p w14:paraId="5E2AE46E" w14:textId="77777777" w:rsidR="00406878" w:rsidRDefault="00406878" w:rsidP="00406878">
                      <w:pPr>
                        <w:spacing w:line="20" w:lineRule="exact"/>
                        <w:rPr>
                          <w:rFonts w:ascii="標楷體" w:eastAsia="標楷體" w:hAnsi="標楷體"/>
                          <w:b/>
                          <w:szCs w:val="24"/>
                        </w:rPr>
                      </w:pPr>
                    </w:p>
                    <w:p w14:paraId="2E8A25E8" w14:textId="77777777" w:rsidR="00406878" w:rsidRDefault="00406878" w:rsidP="00406878">
                      <w:pPr>
                        <w:spacing w:line="20" w:lineRule="exact"/>
                        <w:rPr>
                          <w:rFonts w:ascii="標楷體" w:eastAsia="標楷體" w:hAnsi="標楷體"/>
                          <w:b/>
                          <w:szCs w:val="24"/>
                        </w:rPr>
                      </w:pPr>
                    </w:p>
                    <w:p w14:paraId="04DCF5E0" w14:textId="77777777" w:rsidR="00406878" w:rsidRDefault="00406878" w:rsidP="00406878">
                      <w:pPr>
                        <w:spacing w:line="20" w:lineRule="exact"/>
                        <w:rPr>
                          <w:rFonts w:ascii="標楷體" w:eastAsia="標楷體" w:hAnsi="標楷體"/>
                          <w:b/>
                          <w:szCs w:val="24"/>
                        </w:rPr>
                      </w:pPr>
                    </w:p>
                    <w:p w14:paraId="2BD13585" w14:textId="77777777" w:rsidR="00406878" w:rsidRDefault="00406878" w:rsidP="00406878">
                      <w:pPr>
                        <w:spacing w:line="20" w:lineRule="exact"/>
                        <w:rPr>
                          <w:rFonts w:ascii="標楷體" w:eastAsia="標楷體" w:hAnsi="標楷體"/>
                          <w:b/>
                          <w:szCs w:val="24"/>
                        </w:rPr>
                      </w:pPr>
                    </w:p>
                    <w:p w14:paraId="13FEEA10" w14:textId="77777777" w:rsidR="00406878" w:rsidRDefault="00406878" w:rsidP="00406878">
                      <w:pPr>
                        <w:spacing w:line="20" w:lineRule="exact"/>
                        <w:rPr>
                          <w:rFonts w:ascii="標楷體" w:eastAsia="標楷體" w:hAnsi="標楷體"/>
                          <w:b/>
                          <w:szCs w:val="24"/>
                        </w:rPr>
                      </w:pPr>
                    </w:p>
                    <w:p w14:paraId="35662AE0" w14:textId="77777777" w:rsidR="00406878" w:rsidRDefault="00406878" w:rsidP="00406878">
                      <w:pPr>
                        <w:spacing w:line="20" w:lineRule="exact"/>
                        <w:rPr>
                          <w:rFonts w:ascii="標楷體" w:eastAsia="標楷體" w:hAnsi="標楷體"/>
                          <w:b/>
                          <w:szCs w:val="24"/>
                        </w:rPr>
                      </w:pPr>
                    </w:p>
                    <w:p w14:paraId="2B879CA8" w14:textId="77777777" w:rsidR="00406878" w:rsidRDefault="00406878" w:rsidP="00406878">
                      <w:pPr>
                        <w:spacing w:line="20" w:lineRule="exact"/>
                        <w:rPr>
                          <w:rFonts w:ascii="標楷體" w:eastAsia="標楷體" w:hAnsi="標楷體"/>
                          <w:b/>
                          <w:szCs w:val="24"/>
                        </w:rPr>
                      </w:pPr>
                    </w:p>
                    <w:p w14:paraId="0C91A53D" w14:textId="77777777" w:rsidR="00406878" w:rsidRDefault="00406878" w:rsidP="00406878">
                      <w:pPr>
                        <w:spacing w:line="20" w:lineRule="exact"/>
                        <w:rPr>
                          <w:rFonts w:ascii="標楷體" w:eastAsia="標楷體" w:hAnsi="標楷體"/>
                          <w:b/>
                          <w:szCs w:val="24"/>
                        </w:rPr>
                      </w:pPr>
                    </w:p>
                    <w:p w14:paraId="4A7CBE38" w14:textId="77777777" w:rsidR="00406878" w:rsidRDefault="00406878" w:rsidP="00406878">
                      <w:pPr>
                        <w:spacing w:line="20" w:lineRule="exact"/>
                        <w:rPr>
                          <w:rFonts w:ascii="標楷體" w:eastAsia="標楷體" w:hAnsi="標楷體"/>
                          <w:b/>
                          <w:szCs w:val="24"/>
                        </w:rPr>
                      </w:pPr>
                    </w:p>
                    <w:p w14:paraId="2E9A58DD" w14:textId="77777777" w:rsidR="00406878" w:rsidRDefault="00406878" w:rsidP="00406878">
                      <w:pPr>
                        <w:spacing w:line="20" w:lineRule="exact"/>
                        <w:rPr>
                          <w:rFonts w:ascii="標楷體" w:eastAsia="標楷體" w:hAnsi="標楷體"/>
                          <w:b/>
                          <w:szCs w:val="24"/>
                        </w:rPr>
                      </w:pPr>
                    </w:p>
                    <w:p w14:paraId="724FED0D" w14:textId="77777777" w:rsidR="00406878" w:rsidRDefault="00406878" w:rsidP="00406878">
                      <w:pPr>
                        <w:spacing w:line="20" w:lineRule="exact"/>
                        <w:rPr>
                          <w:rFonts w:ascii="標楷體" w:eastAsia="標楷體" w:hAnsi="標楷體"/>
                          <w:b/>
                          <w:szCs w:val="24"/>
                        </w:rPr>
                      </w:pPr>
                    </w:p>
                    <w:p w14:paraId="7F45F298" w14:textId="77777777" w:rsidR="00406878" w:rsidRDefault="00406878" w:rsidP="00406878">
                      <w:pPr>
                        <w:spacing w:line="20" w:lineRule="exact"/>
                        <w:rPr>
                          <w:rFonts w:ascii="標楷體" w:eastAsia="標楷體" w:hAnsi="標楷體"/>
                          <w:b/>
                          <w:szCs w:val="24"/>
                        </w:rPr>
                      </w:pPr>
                    </w:p>
                    <w:p w14:paraId="3978C08F" w14:textId="77777777" w:rsidR="00406878" w:rsidRDefault="00406878" w:rsidP="00406878">
                      <w:pPr>
                        <w:spacing w:line="20" w:lineRule="exact"/>
                        <w:rPr>
                          <w:rFonts w:ascii="標楷體" w:eastAsia="標楷體" w:hAnsi="標楷體"/>
                          <w:b/>
                          <w:szCs w:val="24"/>
                        </w:rPr>
                      </w:pPr>
                    </w:p>
                    <w:p w14:paraId="687FF3DB" w14:textId="77777777" w:rsidR="00406878" w:rsidRDefault="00406878" w:rsidP="00406878">
                      <w:pPr>
                        <w:spacing w:line="20" w:lineRule="exact"/>
                        <w:rPr>
                          <w:rFonts w:ascii="標楷體" w:eastAsia="標楷體" w:hAnsi="標楷體"/>
                          <w:b/>
                          <w:szCs w:val="24"/>
                        </w:rPr>
                      </w:pPr>
                    </w:p>
                    <w:p w14:paraId="0FBB0475" w14:textId="77777777" w:rsidR="00406878" w:rsidRDefault="00406878" w:rsidP="00406878">
                      <w:pPr>
                        <w:spacing w:line="20" w:lineRule="exact"/>
                        <w:rPr>
                          <w:rFonts w:ascii="標楷體" w:eastAsia="標楷體" w:hAnsi="標楷體"/>
                          <w:b/>
                          <w:szCs w:val="24"/>
                        </w:rPr>
                      </w:pPr>
                    </w:p>
                    <w:p w14:paraId="14A6C590" w14:textId="77777777" w:rsidR="00406878" w:rsidRDefault="00406878" w:rsidP="00406878">
                      <w:pPr>
                        <w:spacing w:line="20" w:lineRule="exact"/>
                        <w:rPr>
                          <w:rFonts w:ascii="標楷體" w:eastAsia="標楷體" w:hAnsi="標楷體"/>
                          <w:b/>
                          <w:szCs w:val="24"/>
                        </w:rPr>
                      </w:pPr>
                    </w:p>
                    <w:p w14:paraId="5CF5DC9C" w14:textId="77777777" w:rsidR="00406878" w:rsidRDefault="00406878" w:rsidP="00406878">
                      <w:pPr>
                        <w:spacing w:line="20" w:lineRule="exact"/>
                        <w:rPr>
                          <w:rFonts w:ascii="標楷體" w:eastAsia="標楷體" w:hAnsi="標楷體"/>
                          <w:b/>
                          <w:szCs w:val="24"/>
                        </w:rPr>
                      </w:pPr>
                    </w:p>
                    <w:p w14:paraId="5F1D2875" w14:textId="77777777" w:rsidR="00406878" w:rsidRDefault="00406878" w:rsidP="00406878">
                      <w:pPr>
                        <w:spacing w:line="20" w:lineRule="exact"/>
                        <w:rPr>
                          <w:rFonts w:ascii="標楷體" w:eastAsia="標楷體" w:hAnsi="標楷體"/>
                          <w:b/>
                          <w:szCs w:val="24"/>
                        </w:rPr>
                      </w:pPr>
                    </w:p>
                    <w:p w14:paraId="7CA5FDE5" w14:textId="77777777" w:rsidR="00406878" w:rsidRDefault="00406878" w:rsidP="00406878">
                      <w:pPr>
                        <w:spacing w:line="20" w:lineRule="exact"/>
                        <w:rPr>
                          <w:rFonts w:ascii="標楷體" w:eastAsia="標楷體" w:hAnsi="標楷體"/>
                          <w:b/>
                          <w:szCs w:val="24"/>
                        </w:rPr>
                      </w:pPr>
                    </w:p>
                    <w:p w14:paraId="070A41E4" w14:textId="77777777" w:rsidR="00406878" w:rsidRDefault="00406878" w:rsidP="00406878">
                      <w:pPr>
                        <w:spacing w:line="20" w:lineRule="exact"/>
                        <w:rPr>
                          <w:rFonts w:ascii="標楷體" w:eastAsia="標楷體" w:hAnsi="標楷體"/>
                          <w:b/>
                          <w:szCs w:val="24"/>
                        </w:rPr>
                      </w:pPr>
                    </w:p>
                    <w:p w14:paraId="2F8E7982" w14:textId="77777777" w:rsidR="00406878" w:rsidRDefault="00406878" w:rsidP="00406878">
                      <w:pPr>
                        <w:spacing w:line="20" w:lineRule="exact"/>
                        <w:rPr>
                          <w:rFonts w:ascii="標楷體" w:eastAsia="標楷體" w:hAnsi="標楷體"/>
                          <w:b/>
                          <w:szCs w:val="24"/>
                        </w:rPr>
                      </w:pPr>
                    </w:p>
                    <w:p w14:paraId="07D8341E" w14:textId="77777777" w:rsidR="00406878" w:rsidRDefault="00406878" w:rsidP="00406878">
                      <w:pPr>
                        <w:spacing w:line="20" w:lineRule="exact"/>
                        <w:rPr>
                          <w:rFonts w:ascii="標楷體" w:eastAsia="標楷體" w:hAnsi="標楷體"/>
                          <w:b/>
                          <w:szCs w:val="24"/>
                        </w:rPr>
                      </w:pPr>
                    </w:p>
                    <w:p w14:paraId="0C5405BE" w14:textId="77777777" w:rsidR="00406878" w:rsidRDefault="00406878" w:rsidP="00406878">
                      <w:pPr>
                        <w:spacing w:line="20" w:lineRule="exact"/>
                        <w:rPr>
                          <w:rFonts w:ascii="標楷體" w:eastAsia="標楷體" w:hAnsi="標楷體"/>
                          <w:b/>
                          <w:szCs w:val="24"/>
                        </w:rPr>
                      </w:pPr>
                    </w:p>
                    <w:p w14:paraId="0E6D0F43" w14:textId="77777777" w:rsidR="00406878" w:rsidRDefault="00406878" w:rsidP="00406878">
                      <w:pPr>
                        <w:spacing w:line="20" w:lineRule="exact"/>
                        <w:rPr>
                          <w:rFonts w:ascii="標楷體" w:eastAsia="標楷體" w:hAnsi="標楷體"/>
                          <w:b/>
                          <w:szCs w:val="24"/>
                        </w:rPr>
                      </w:pPr>
                    </w:p>
                    <w:p w14:paraId="08EF2A86" w14:textId="77777777" w:rsidR="00406878" w:rsidRDefault="00406878" w:rsidP="00406878">
                      <w:pPr>
                        <w:spacing w:line="20" w:lineRule="exact"/>
                        <w:rPr>
                          <w:rFonts w:ascii="標楷體" w:eastAsia="標楷體" w:hAnsi="標楷體"/>
                          <w:b/>
                          <w:szCs w:val="24"/>
                        </w:rPr>
                      </w:pPr>
                    </w:p>
                    <w:p w14:paraId="5A3F1E76" w14:textId="77777777" w:rsidR="00406878" w:rsidRDefault="00406878" w:rsidP="00406878">
                      <w:pPr>
                        <w:spacing w:line="20" w:lineRule="exact"/>
                        <w:rPr>
                          <w:rFonts w:ascii="標楷體" w:eastAsia="標楷體" w:hAnsi="標楷體"/>
                          <w:b/>
                          <w:szCs w:val="24"/>
                        </w:rPr>
                      </w:pPr>
                    </w:p>
                    <w:p w14:paraId="42806F28" w14:textId="77777777" w:rsidR="00406878" w:rsidRDefault="00406878" w:rsidP="00406878">
                      <w:pPr>
                        <w:spacing w:line="20" w:lineRule="exact"/>
                        <w:rPr>
                          <w:rFonts w:ascii="標楷體" w:eastAsia="標楷體" w:hAnsi="標楷體"/>
                          <w:b/>
                          <w:szCs w:val="24"/>
                        </w:rPr>
                      </w:pPr>
                    </w:p>
                    <w:p w14:paraId="543526A6" w14:textId="77777777" w:rsidR="00406878" w:rsidRDefault="00406878" w:rsidP="00406878">
                      <w:pPr>
                        <w:spacing w:line="20" w:lineRule="exact"/>
                        <w:rPr>
                          <w:rFonts w:ascii="標楷體" w:eastAsia="標楷體" w:hAnsi="標楷體"/>
                          <w:b/>
                          <w:szCs w:val="24"/>
                        </w:rPr>
                      </w:pPr>
                    </w:p>
                    <w:p w14:paraId="16189555" w14:textId="77777777" w:rsidR="00406878" w:rsidRDefault="00406878" w:rsidP="00406878">
                      <w:pPr>
                        <w:spacing w:line="20" w:lineRule="exact"/>
                        <w:rPr>
                          <w:rFonts w:ascii="標楷體" w:eastAsia="標楷體" w:hAnsi="標楷體"/>
                          <w:b/>
                          <w:szCs w:val="24"/>
                        </w:rPr>
                      </w:pPr>
                    </w:p>
                    <w:p w14:paraId="4825AE5A" w14:textId="77777777" w:rsidR="00406878" w:rsidRDefault="00406878" w:rsidP="00406878">
                      <w:pPr>
                        <w:spacing w:line="20" w:lineRule="exact"/>
                        <w:rPr>
                          <w:rFonts w:ascii="標楷體" w:eastAsia="標楷體" w:hAnsi="標楷體"/>
                          <w:b/>
                          <w:szCs w:val="24"/>
                        </w:rPr>
                      </w:pPr>
                    </w:p>
                    <w:p w14:paraId="689E8FAE" w14:textId="77777777" w:rsidR="00406878" w:rsidRDefault="00406878" w:rsidP="00406878">
                      <w:pPr>
                        <w:spacing w:line="20" w:lineRule="exact"/>
                        <w:rPr>
                          <w:rFonts w:ascii="標楷體" w:eastAsia="標楷體" w:hAnsi="標楷體"/>
                          <w:b/>
                          <w:szCs w:val="24"/>
                        </w:rPr>
                      </w:pPr>
                    </w:p>
                    <w:p w14:paraId="25FAF003" w14:textId="77777777" w:rsidR="00406878" w:rsidRDefault="00406878" w:rsidP="00406878">
                      <w:pPr>
                        <w:spacing w:line="20" w:lineRule="exact"/>
                        <w:rPr>
                          <w:rFonts w:ascii="標楷體" w:eastAsia="標楷體" w:hAnsi="標楷體"/>
                          <w:b/>
                          <w:szCs w:val="24"/>
                        </w:rPr>
                      </w:pPr>
                    </w:p>
                    <w:p w14:paraId="26D668DA" w14:textId="77777777" w:rsidR="00406878" w:rsidRDefault="00406878" w:rsidP="00406878">
                      <w:pPr>
                        <w:spacing w:line="20" w:lineRule="exact"/>
                        <w:rPr>
                          <w:rFonts w:ascii="標楷體" w:eastAsia="標楷體" w:hAnsi="標楷體"/>
                          <w:b/>
                          <w:szCs w:val="24"/>
                        </w:rPr>
                      </w:pPr>
                    </w:p>
                    <w:p w14:paraId="0A812ACC" w14:textId="77777777" w:rsidR="00406878" w:rsidRDefault="00406878" w:rsidP="00406878">
                      <w:pPr>
                        <w:spacing w:line="20" w:lineRule="exact"/>
                        <w:rPr>
                          <w:rFonts w:ascii="標楷體" w:eastAsia="標楷體" w:hAnsi="標楷體"/>
                          <w:b/>
                          <w:szCs w:val="24"/>
                        </w:rPr>
                      </w:pPr>
                    </w:p>
                    <w:p w14:paraId="18537F0C" w14:textId="77777777" w:rsidR="00406878" w:rsidRDefault="00406878" w:rsidP="00406878">
                      <w:pPr>
                        <w:spacing w:line="20" w:lineRule="exact"/>
                        <w:rPr>
                          <w:rFonts w:ascii="標楷體" w:eastAsia="標楷體" w:hAnsi="標楷體"/>
                          <w:b/>
                          <w:szCs w:val="24"/>
                        </w:rPr>
                      </w:pPr>
                    </w:p>
                    <w:p w14:paraId="563DA5E8" w14:textId="77777777" w:rsidR="00406878" w:rsidRDefault="00406878" w:rsidP="00406878">
                      <w:pPr>
                        <w:spacing w:line="20" w:lineRule="exact"/>
                        <w:rPr>
                          <w:rFonts w:ascii="標楷體" w:eastAsia="標楷體" w:hAnsi="標楷體"/>
                          <w:b/>
                          <w:szCs w:val="24"/>
                        </w:rPr>
                      </w:pPr>
                    </w:p>
                    <w:p w14:paraId="1612981D" w14:textId="77777777" w:rsidR="00406878" w:rsidRDefault="00406878" w:rsidP="00406878">
                      <w:pPr>
                        <w:spacing w:line="20" w:lineRule="exact"/>
                        <w:rPr>
                          <w:rFonts w:ascii="標楷體" w:eastAsia="標楷體" w:hAnsi="標楷體"/>
                          <w:b/>
                          <w:szCs w:val="24"/>
                        </w:rPr>
                      </w:pPr>
                    </w:p>
                    <w:p w14:paraId="62625A6A" w14:textId="77777777" w:rsidR="00406878" w:rsidRDefault="00406878" w:rsidP="00406878">
                      <w:pPr>
                        <w:spacing w:line="20" w:lineRule="exact"/>
                        <w:rPr>
                          <w:rFonts w:ascii="標楷體" w:eastAsia="標楷體" w:hAnsi="標楷體"/>
                          <w:b/>
                          <w:szCs w:val="24"/>
                        </w:rPr>
                      </w:pPr>
                    </w:p>
                    <w:p w14:paraId="72337217" w14:textId="77777777" w:rsidR="00406878" w:rsidRDefault="00406878" w:rsidP="00406878">
                      <w:pPr>
                        <w:spacing w:line="20" w:lineRule="exact"/>
                        <w:rPr>
                          <w:rFonts w:ascii="標楷體" w:eastAsia="標楷體" w:hAnsi="標楷體"/>
                          <w:b/>
                          <w:szCs w:val="24"/>
                        </w:rPr>
                      </w:pPr>
                    </w:p>
                    <w:p w14:paraId="3AACD78A" w14:textId="77777777" w:rsidR="00406878" w:rsidRDefault="00406878" w:rsidP="00406878">
                      <w:pPr>
                        <w:spacing w:line="20" w:lineRule="exact"/>
                        <w:rPr>
                          <w:rFonts w:ascii="標楷體" w:eastAsia="標楷體" w:hAnsi="標楷體"/>
                          <w:b/>
                          <w:szCs w:val="24"/>
                        </w:rPr>
                      </w:pPr>
                    </w:p>
                    <w:p w14:paraId="13D5944A" w14:textId="77777777" w:rsidR="00406878" w:rsidRDefault="00406878" w:rsidP="00406878">
                      <w:pPr>
                        <w:spacing w:line="20" w:lineRule="exact"/>
                        <w:rPr>
                          <w:rFonts w:ascii="標楷體" w:eastAsia="標楷體" w:hAnsi="標楷體"/>
                          <w:b/>
                          <w:szCs w:val="24"/>
                        </w:rPr>
                      </w:pPr>
                    </w:p>
                    <w:p w14:paraId="03A6957B" w14:textId="77777777" w:rsidR="00406878" w:rsidRDefault="00406878" w:rsidP="00406878">
                      <w:pPr>
                        <w:spacing w:line="20" w:lineRule="exact"/>
                        <w:rPr>
                          <w:rFonts w:ascii="標楷體" w:eastAsia="標楷體" w:hAnsi="標楷體"/>
                          <w:b/>
                          <w:szCs w:val="24"/>
                        </w:rPr>
                      </w:pPr>
                    </w:p>
                    <w:p w14:paraId="28C144CF" w14:textId="77777777" w:rsidR="00406878" w:rsidRDefault="00406878" w:rsidP="00406878">
                      <w:pPr>
                        <w:spacing w:line="20" w:lineRule="exact"/>
                        <w:rPr>
                          <w:rFonts w:ascii="標楷體" w:eastAsia="標楷體" w:hAnsi="標楷體"/>
                          <w:b/>
                          <w:szCs w:val="24"/>
                        </w:rPr>
                      </w:pPr>
                    </w:p>
                    <w:p w14:paraId="19798AB9" w14:textId="77777777" w:rsidR="00406878" w:rsidRPr="00C5185A" w:rsidRDefault="00406878" w:rsidP="00406878">
                      <w:pPr>
                        <w:spacing w:line="20" w:lineRule="exact"/>
                        <w:jc w:val="center"/>
                        <w:rPr>
                          <w:rFonts w:ascii="標楷體" w:eastAsia="標楷體" w:hAnsi="標楷體"/>
                          <w:b/>
                          <w:szCs w:val="24"/>
                        </w:rPr>
                      </w:pPr>
                      <w:r w:rsidRPr="00C5185A">
                        <w:rPr>
                          <w:rFonts w:ascii="標楷體" w:eastAsia="標楷體" w:hAnsi="標楷體"/>
                          <w:b/>
                          <w:noProof/>
                          <w:szCs w:val="24"/>
                        </w:rPr>
                        <w:drawing>
                          <wp:inline distT="0" distB="0" distL="0" distR="0" wp14:anchorId="2DC577DD" wp14:editId="0B94244B">
                            <wp:extent cx="2952000" cy="1681200"/>
                            <wp:effectExtent l="0" t="0" r="1270" b="0"/>
                            <wp:docPr id="2003185543" name="圖片 20031855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圖片 13"/>
                                    <pic:cNvPicPr preferRelativeResize="0"/>
                                  </pic:nvPicPr>
                                  <pic:blipFill>
                                    <a:blip r:embed="rId82">
                                      <a:extLst>
                                        <a:ext uri="{28A0092B-C50C-407E-A947-70E740481C1C}">
                                          <a14:useLocalDpi xmlns:a14="http://schemas.microsoft.com/office/drawing/2010/main" val="0"/>
                                        </a:ext>
                                      </a:extLst>
                                    </a:blip>
                                    <a:stretch>
                                      <a:fillRect/>
                                    </a:stretch>
                                  </pic:blipFill>
                                  <pic:spPr>
                                    <a:xfrm>
                                      <a:off x="0" y="0"/>
                                      <a:ext cx="2952000" cy="1681200"/>
                                    </a:xfrm>
                                    <a:prstGeom prst="rect">
                                      <a:avLst/>
                                    </a:prstGeom>
                                    <a:ln>
                                      <a:noFill/>
                                    </a:ln>
                                  </pic:spPr>
                                </pic:pic>
                              </a:graphicData>
                            </a:graphic>
                          </wp:inline>
                        </w:drawing>
                      </w:r>
                    </w:p>
                    <w:p w14:paraId="66CBA6A8" w14:textId="77777777" w:rsidR="00406878" w:rsidRPr="00C5185A" w:rsidRDefault="00406878" w:rsidP="00406878">
                      <w:pPr>
                        <w:spacing w:line="0" w:lineRule="atLeast"/>
                        <w:rPr>
                          <w:rFonts w:ascii="標楷體" w:eastAsia="標楷體" w:hAnsi="標楷體"/>
                          <w:sz w:val="18"/>
                          <w:szCs w:val="18"/>
                        </w:rPr>
                      </w:pPr>
                      <w:r>
                        <w:rPr>
                          <w:rFonts w:ascii="標楷體" w:eastAsia="標楷體" w:hAnsi="標楷體" w:hint="eastAsia"/>
                          <w:sz w:val="18"/>
                          <w:szCs w:val="18"/>
                        </w:rPr>
                        <w:t>資料</w:t>
                      </w:r>
                      <w:r w:rsidRPr="00C5185A">
                        <w:rPr>
                          <w:rFonts w:ascii="標楷體" w:eastAsia="標楷體" w:hAnsi="標楷體"/>
                          <w:sz w:val="18"/>
                          <w:szCs w:val="18"/>
                        </w:rPr>
                        <w:t>來</w:t>
                      </w:r>
                      <w:r w:rsidRPr="00C5185A">
                        <w:rPr>
                          <w:rFonts w:ascii="標楷體" w:eastAsia="標楷體" w:hAnsi="標楷體" w:hint="eastAsia"/>
                          <w:sz w:val="18"/>
                          <w:szCs w:val="18"/>
                        </w:rPr>
                        <w:t>源：</w:t>
                      </w:r>
                      <w:r>
                        <w:rPr>
                          <w:rFonts w:ascii="標楷體" w:eastAsia="標楷體" w:hAnsi="標楷體" w:hint="eastAsia"/>
                          <w:sz w:val="18"/>
                          <w:szCs w:val="18"/>
                        </w:rPr>
                        <w:t>整理自</w:t>
                      </w:r>
                      <w:r w:rsidRPr="00C5185A">
                        <w:rPr>
                          <w:rFonts w:ascii="標楷體" w:eastAsia="標楷體" w:hAnsi="標楷體" w:hint="eastAsia"/>
                          <w:sz w:val="18"/>
                          <w:szCs w:val="18"/>
                        </w:rPr>
                        <w:t>體育局提供</w:t>
                      </w:r>
                      <w:r>
                        <w:rPr>
                          <w:rFonts w:ascii="標楷體" w:eastAsia="標楷體" w:hAnsi="標楷體" w:hint="eastAsia"/>
                          <w:sz w:val="18"/>
                          <w:szCs w:val="18"/>
                        </w:rPr>
                        <w:t>資料。</w:t>
                      </w:r>
                    </w:p>
                  </w:txbxContent>
                </v:textbox>
                <w10:wrap type="tight" anchorx="margin"/>
              </v:shape>
            </w:pict>
          </mc:Fallback>
        </mc:AlternateContent>
      </w:r>
      <w:r w:rsidRPr="001A5B22">
        <w:rPr>
          <w:rFonts w:ascii="標楷體" w:eastAsia="標楷體" w:hAnsi="標楷體" w:cs="新細明體" w:hint="eastAsia"/>
          <w:color w:val="000000" w:themeColor="text1"/>
          <w:kern w:val="0"/>
          <w:szCs w:val="24"/>
        </w:rPr>
        <w:t>體育</w:t>
      </w:r>
      <w:r w:rsidRPr="001A5B22">
        <w:rPr>
          <w:rFonts w:ascii="標楷體" w:eastAsia="標楷體" w:hAnsi="標楷體" w:cs="標楷體" w:hint="eastAsia"/>
          <w:bCs/>
          <w:szCs w:val="32"/>
        </w:rPr>
        <w:t>局為充分照顧各年齡層、不同運動需求的民眾，讓市民享受及擁有優質運動資源，</w:t>
      </w:r>
      <w:r w:rsidRPr="001A5B22">
        <w:rPr>
          <w:rFonts w:ascii="標楷體" w:eastAsia="標楷體" w:hAnsi="標楷體" w:cs="標楷體"/>
          <w:bCs/>
          <w:szCs w:val="32"/>
        </w:rPr>
        <w:t>規劃</w:t>
      </w:r>
      <w:r w:rsidRPr="001A5B22">
        <w:rPr>
          <w:rFonts w:ascii="標楷體" w:eastAsia="標楷體" w:hAnsi="標楷體" w:cs="標楷體" w:hint="eastAsia"/>
          <w:bCs/>
          <w:szCs w:val="32"/>
        </w:rPr>
        <w:t>將已使用多年及設施有限之克強公園游泳池，</w:t>
      </w:r>
      <w:r w:rsidRPr="001A5B22">
        <w:rPr>
          <w:rFonts w:ascii="標楷體" w:eastAsia="標楷體" w:hAnsi="標楷體" w:cs="標楷體"/>
          <w:bCs/>
          <w:szCs w:val="32"/>
        </w:rPr>
        <w:t>改</w:t>
      </w:r>
      <w:r w:rsidRPr="001A5B22">
        <w:rPr>
          <w:rFonts w:ascii="標楷體" w:eastAsia="標楷體" w:hAnsi="標楷體" w:cs="標楷體" w:hint="eastAsia"/>
          <w:bCs/>
          <w:szCs w:val="32"/>
        </w:rPr>
        <w:t>建</w:t>
      </w:r>
      <w:r w:rsidRPr="001A5B22">
        <w:rPr>
          <w:rFonts w:ascii="標楷體" w:eastAsia="標楷體" w:hAnsi="標楷體" w:cs="標楷體"/>
          <w:bCs/>
          <w:szCs w:val="32"/>
        </w:rPr>
        <w:t>為地上</w:t>
      </w:r>
      <w:r w:rsidRPr="001A5B22">
        <w:rPr>
          <w:rFonts w:ascii="標楷體" w:eastAsia="標楷體" w:hAnsi="標楷體" w:cs="標楷體" w:hint="eastAsia"/>
          <w:bCs/>
          <w:szCs w:val="32"/>
        </w:rPr>
        <w:t>5</w:t>
      </w:r>
      <w:r w:rsidRPr="001A5B22">
        <w:rPr>
          <w:rFonts w:ascii="標楷體" w:eastAsia="標楷體" w:hAnsi="標楷體" w:cs="標楷體"/>
          <w:bCs/>
          <w:szCs w:val="32"/>
        </w:rPr>
        <w:t>層、地下</w:t>
      </w:r>
      <w:r w:rsidRPr="001A5B22">
        <w:rPr>
          <w:rFonts w:ascii="標楷體" w:eastAsia="標楷體" w:hAnsi="標楷體" w:cs="標楷體" w:hint="eastAsia"/>
          <w:bCs/>
          <w:szCs w:val="32"/>
        </w:rPr>
        <w:t>2</w:t>
      </w:r>
      <w:r w:rsidRPr="001A5B22">
        <w:rPr>
          <w:rFonts w:ascii="標楷體" w:eastAsia="標楷體" w:hAnsi="標楷體" w:cs="標楷體"/>
          <w:bCs/>
          <w:szCs w:val="32"/>
        </w:rPr>
        <w:t>層建築</w:t>
      </w:r>
      <w:r w:rsidRPr="001A5B22">
        <w:rPr>
          <w:rFonts w:ascii="標楷體" w:eastAsia="標楷體" w:hAnsi="標楷體" w:cs="標楷體" w:hint="eastAsia"/>
          <w:bCs/>
          <w:szCs w:val="32"/>
        </w:rPr>
        <w:t>物</w:t>
      </w:r>
      <w:r w:rsidRPr="001A5B22">
        <w:rPr>
          <w:rFonts w:ascii="標楷體" w:eastAsia="標楷體" w:hAnsi="標楷體" w:cs="標楷體"/>
          <w:bCs/>
          <w:szCs w:val="32"/>
        </w:rPr>
        <w:t>，包含室內及戶外游泳池、各式綜合球場及教室、兒童體適能中心、停車場等空間</w:t>
      </w:r>
      <w:r w:rsidRPr="00A64CE7">
        <w:rPr>
          <w:rFonts w:ascii="標楷體" w:eastAsia="標楷體" w:hAnsi="標楷體" w:cs="新細明體" w:hint="eastAsia"/>
          <w:noProof/>
          <w:color w:val="000000" w:themeColor="text1"/>
          <w:kern w:val="0"/>
          <w:szCs w:val="24"/>
        </w:rPr>
        <w:t>（圖</w:t>
      </w:r>
      <w:r>
        <w:rPr>
          <w:rFonts w:ascii="標楷體" w:eastAsia="標楷體" w:hAnsi="標楷體" w:cs="新細明體" w:hint="eastAsia"/>
          <w:noProof/>
          <w:color w:val="000000" w:themeColor="text1"/>
          <w:kern w:val="0"/>
          <w:szCs w:val="24"/>
        </w:rPr>
        <w:t>2</w:t>
      </w:r>
      <w:r w:rsidRPr="00A64CE7">
        <w:rPr>
          <w:rFonts w:ascii="標楷體" w:eastAsia="標楷體" w:hAnsi="標楷體" w:cs="新細明體" w:hint="eastAsia"/>
          <w:noProof/>
          <w:color w:val="000000" w:themeColor="text1"/>
          <w:kern w:val="0"/>
          <w:szCs w:val="24"/>
        </w:rPr>
        <w:t>）</w:t>
      </w:r>
      <w:r w:rsidRPr="001A5B22">
        <w:rPr>
          <w:rFonts w:ascii="標楷體" w:eastAsia="標楷體" w:hAnsi="標楷體" w:cs="標楷體" w:hint="eastAsia"/>
          <w:bCs/>
          <w:szCs w:val="32"/>
        </w:rPr>
        <w:t>；並</w:t>
      </w:r>
      <w:r w:rsidRPr="001A5B22">
        <w:rPr>
          <w:rFonts w:ascii="標楷體" w:eastAsia="標楷體" w:hAnsi="標楷體" w:cs="標楷體"/>
          <w:bCs/>
          <w:szCs w:val="32"/>
        </w:rPr>
        <w:t>規劃將原新生公園網球場及游泳池拆除，改建為地上3層、地下1層建築</w:t>
      </w:r>
      <w:r w:rsidRPr="001A5B22">
        <w:rPr>
          <w:rFonts w:ascii="標楷體" w:eastAsia="標楷體" w:hAnsi="標楷體" w:cs="標楷體" w:hint="eastAsia"/>
          <w:bCs/>
          <w:szCs w:val="32"/>
        </w:rPr>
        <w:t>物</w:t>
      </w:r>
      <w:r w:rsidRPr="001A5B22">
        <w:rPr>
          <w:rFonts w:ascii="標楷體" w:eastAsia="標楷體" w:hAnsi="標楷體" w:cs="標楷體"/>
          <w:bCs/>
          <w:szCs w:val="32"/>
        </w:rPr>
        <w:t>，</w:t>
      </w:r>
      <w:r w:rsidRPr="001A5B22">
        <w:rPr>
          <w:rFonts w:ascii="標楷體" w:eastAsia="標楷體" w:hAnsi="標楷體" w:cs="標楷體" w:hint="eastAsia"/>
          <w:bCs/>
          <w:szCs w:val="32"/>
        </w:rPr>
        <w:t>包含</w:t>
      </w:r>
      <w:r w:rsidRPr="001A5B22">
        <w:rPr>
          <w:rFonts w:ascii="標楷體" w:eastAsia="標楷體" w:hAnsi="標楷體" w:cs="標楷體"/>
          <w:bCs/>
          <w:szCs w:val="32"/>
        </w:rPr>
        <w:t>體適能中心、運動教室、多功能教室、親子休憩空間及綜合球場，並設置室內射擊靶場作為場館主軸特色，而戶外仍保有游泳池、網球場、籃球場等複合式運動場</w:t>
      </w:r>
      <w:r w:rsidRPr="00A64CE7">
        <w:rPr>
          <w:rFonts w:ascii="標楷體" w:eastAsia="標楷體" w:hAnsi="標楷體" w:cs="新細明體" w:hint="eastAsia"/>
          <w:noProof/>
          <w:color w:val="000000" w:themeColor="text1"/>
          <w:kern w:val="0"/>
          <w:szCs w:val="24"/>
        </w:rPr>
        <w:t>（圖</w:t>
      </w:r>
      <w:r>
        <w:rPr>
          <w:rFonts w:ascii="標楷體" w:eastAsia="標楷體" w:hAnsi="標楷體" w:cs="新細明體"/>
          <w:noProof/>
          <w:color w:val="000000" w:themeColor="text1"/>
          <w:kern w:val="0"/>
          <w:szCs w:val="24"/>
        </w:rPr>
        <w:t>3</w:t>
      </w:r>
      <w:r w:rsidRPr="00A64CE7">
        <w:rPr>
          <w:rFonts w:ascii="標楷體" w:eastAsia="標楷體" w:hAnsi="標楷體" w:cs="新細明體" w:hint="eastAsia"/>
          <w:noProof/>
          <w:color w:val="000000" w:themeColor="text1"/>
          <w:kern w:val="0"/>
          <w:szCs w:val="24"/>
        </w:rPr>
        <w:t>）</w:t>
      </w:r>
      <w:r w:rsidRPr="001A5B22">
        <w:rPr>
          <w:rFonts w:ascii="標楷體" w:eastAsia="標楷體" w:hAnsi="標楷體" w:cs="標楷體" w:hint="eastAsia"/>
          <w:bCs/>
          <w:szCs w:val="32"/>
        </w:rPr>
        <w:t>，經辦理「</w:t>
      </w:r>
      <w:r w:rsidRPr="001A5B22">
        <w:rPr>
          <w:rFonts w:ascii="標楷體" w:eastAsia="標楷體" w:hAnsi="標楷體" w:cs="標楷體"/>
          <w:bCs/>
          <w:szCs w:val="32"/>
        </w:rPr>
        <w:t>克強公園游泳池暨新</w:t>
      </w:r>
      <w:r w:rsidRPr="001A5B22">
        <w:rPr>
          <w:rFonts w:ascii="標楷體" w:eastAsia="標楷體" w:hAnsi="標楷體" w:cs="標楷體" w:hint="eastAsia"/>
          <w:bCs/>
          <w:szCs w:val="32"/>
        </w:rPr>
        <w:t>生公園網球場改建全民</w:t>
      </w:r>
      <w:proofErr w:type="gramStart"/>
      <w:r w:rsidRPr="001A5B22">
        <w:rPr>
          <w:rFonts w:ascii="標楷體" w:eastAsia="標楷體" w:hAnsi="標楷體" w:cs="標楷體" w:hint="eastAsia"/>
          <w:bCs/>
          <w:szCs w:val="32"/>
        </w:rPr>
        <w:t>運動館統包</w:t>
      </w:r>
      <w:proofErr w:type="gramEnd"/>
      <w:r w:rsidRPr="001A5B22">
        <w:rPr>
          <w:rFonts w:ascii="標楷體" w:eastAsia="標楷體" w:hAnsi="標楷體" w:cs="標楷體" w:hint="eastAsia"/>
          <w:bCs/>
          <w:szCs w:val="32"/>
        </w:rPr>
        <w:t>工程」，於</w:t>
      </w:r>
      <w:r w:rsidRPr="001A5B22">
        <w:rPr>
          <w:rFonts w:ascii="標楷體" w:eastAsia="標楷體" w:hAnsi="標楷體" w:cs="標楷體"/>
          <w:bCs/>
          <w:szCs w:val="32"/>
        </w:rPr>
        <w:t>111</w:t>
      </w:r>
      <w:r w:rsidRPr="001A5B22">
        <w:rPr>
          <w:rFonts w:ascii="標楷體" w:eastAsia="標楷體" w:hAnsi="標楷體" w:cs="標楷體" w:hint="eastAsia"/>
          <w:bCs/>
          <w:szCs w:val="32"/>
        </w:rPr>
        <w:t>年</w:t>
      </w:r>
      <w:r w:rsidRPr="001A5B22">
        <w:rPr>
          <w:rFonts w:ascii="標楷體" w:eastAsia="標楷體" w:hAnsi="標楷體" w:cs="標楷體"/>
          <w:bCs/>
          <w:szCs w:val="32"/>
        </w:rPr>
        <w:t>8</w:t>
      </w:r>
      <w:r w:rsidRPr="001A5B22">
        <w:rPr>
          <w:rFonts w:ascii="標楷體" w:eastAsia="標楷體" w:hAnsi="標楷體" w:cs="標楷體" w:hint="eastAsia"/>
          <w:bCs/>
          <w:szCs w:val="32"/>
        </w:rPr>
        <w:t>月</w:t>
      </w:r>
      <w:r w:rsidRPr="001A5B22">
        <w:rPr>
          <w:rFonts w:ascii="標楷體" w:eastAsia="標楷體" w:hAnsi="標楷體" w:cs="標楷體"/>
          <w:bCs/>
          <w:szCs w:val="32"/>
        </w:rPr>
        <w:t>23</w:t>
      </w:r>
      <w:r w:rsidRPr="001A5B22">
        <w:rPr>
          <w:rFonts w:ascii="標楷體" w:eastAsia="標楷體" w:hAnsi="標楷體" w:cs="標楷體" w:hint="eastAsia"/>
          <w:bCs/>
          <w:szCs w:val="32"/>
        </w:rPr>
        <w:t>日決標，契約金額</w:t>
      </w:r>
      <w:r w:rsidRPr="001A5B22">
        <w:rPr>
          <w:rFonts w:ascii="標楷體" w:eastAsia="標楷體" w:hAnsi="標楷體" w:cs="標楷體"/>
          <w:bCs/>
          <w:szCs w:val="32"/>
        </w:rPr>
        <w:t>10</w:t>
      </w:r>
      <w:r w:rsidRPr="001A5B22">
        <w:rPr>
          <w:rFonts w:ascii="標楷體" w:eastAsia="標楷體" w:hAnsi="標楷體" w:cs="標楷體" w:hint="eastAsia"/>
          <w:bCs/>
          <w:szCs w:val="32"/>
        </w:rPr>
        <w:t>億</w:t>
      </w:r>
      <w:r w:rsidRPr="001A5B22">
        <w:rPr>
          <w:rFonts w:ascii="標楷體" w:eastAsia="標楷體" w:hAnsi="標楷體" w:cs="標楷體"/>
          <w:bCs/>
          <w:szCs w:val="32"/>
        </w:rPr>
        <w:t>5,182</w:t>
      </w:r>
      <w:r w:rsidRPr="001A5B22">
        <w:rPr>
          <w:rFonts w:ascii="標楷體" w:eastAsia="標楷體" w:hAnsi="標楷體" w:cs="標楷體" w:hint="eastAsia"/>
          <w:bCs/>
          <w:szCs w:val="32"/>
        </w:rPr>
        <w:t>萬餘元，並於</w:t>
      </w:r>
      <w:r w:rsidRPr="001A5B22">
        <w:rPr>
          <w:rFonts w:ascii="標楷體" w:eastAsia="標楷體" w:hAnsi="標楷體" w:cs="標楷體"/>
          <w:bCs/>
          <w:szCs w:val="32"/>
        </w:rPr>
        <w:t>111</w:t>
      </w:r>
      <w:r w:rsidRPr="001A5B22">
        <w:rPr>
          <w:rFonts w:ascii="標楷體" w:eastAsia="標楷體" w:hAnsi="標楷體" w:cs="標楷體" w:hint="eastAsia"/>
          <w:bCs/>
          <w:szCs w:val="32"/>
        </w:rPr>
        <w:t>年</w:t>
      </w:r>
      <w:r w:rsidRPr="001A5B22">
        <w:rPr>
          <w:rFonts w:ascii="標楷體" w:eastAsia="標楷體" w:hAnsi="標楷體" w:cs="標楷體"/>
          <w:bCs/>
          <w:szCs w:val="32"/>
        </w:rPr>
        <w:t>9月</w:t>
      </w:r>
      <w:r w:rsidRPr="001A5B22">
        <w:rPr>
          <w:rFonts w:ascii="標楷體" w:eastAsia="標楷體" w:hAnsi="標楷體" w:cs="標楷體" w:hint="eastAsia"/>
          <w:bCs/>
          <w:szCs w:val="32"/>
        </w:rPr>
        <w:t>2</w:t>
      </w:r>
      <w:r w:rsidRPr="001A5B22">
        <w:rPr>
          <w:rFonts w:ascii="標楷體" w:eastAsia="標楷體" w:hAnsi="標楷體" w:cs="標楷體"/>
          <w:bCs/>
          <w:szCs w:val="32"/>
        </w:rPr>
        <w:t>日開</w:t>
      </w:r>
      <w:r w:rsidRPr="001A5B22">
        <w:rPr>
          <w:rFonts w:ascii="標楷體" w:eastAsia="標楷體" w:hAnsi="標楷體" w:cs="標楷體" w:hint="eastAsia"/>
          <w:bCs/>
          <w:szCs w:val="32"/>
        </w:rPr>
        <w:t>工</w:t>
      </w:r>
      <w:r w:rsidRPr="001A5B22">
        <w:rPr>
          <w:rFonts w:ascii="標楷體" w:eastAsia="標楷體" w:hAnsi="標楷體" w:cs="標楷體"/>
          <w:bCs/>
          <w:szCs w:val="32"/>
        </w:rPr>
        <w:t>，截至113</w:t>
      </w:r>
    </w:p>
    <w:p w14:paraId="1DD3204A" w14:textId="3176E231" w:rsidR="00406878" w:rsidRPr="001A5B22" w:rsidRDefault="00406878" w:rsidP="00654CAD">
      <w:pPr>
        <w:overflowPunct w:val="0"/>
        <w:autoSpaceDE w:val="0"/>
        <w:autoSpaceDN w:val="0"/>
        <w:spacing w:before="60" w:line="480" w:lineRule="exact"/>
        <w:jc w:val="both"/>
        <w:outlineLvl w:val="1"/>
        <w:rPr>
          <w:rFonts w:ascii="標楷體" w:eastAsia="標楷體" w:hAnsi="標楷體" w:cs="新細明體"/>
          <w:color w:val="000000" w:themeColor="text1"/>
          <w:kern w:val="0"/>
          <w:szCs w:val="24"/>
          <w:highlight w:val="yellow"/>
        </w:rPr>
      </w:pPr>
      <w:r w:rsidRPr="001A5B22">
        <w:rPr>
          <w:rFonts w:ascii="標楷體" w:eastAsia="標楷體" w:hAnsi="標楷體" w:cs="標楷體"/>
          <w:bCs/>
          <w:szCs w:val="32"/>
        </w:rPr>
        <w:t>年底</w:t>
      </w:r>
      <w:proofErr w:type="gramStart"/>
      <w:r w:rsidRPr="001A5B22">
        <w:rPr>
          <w:rFonts w:ascii="標楷體" w:eastAsia="標楷體" w:hAnsi="標楷體" w:cs="標楷體"/>
          <w:bCs/>
          <w:szCs w:val="32"/>
        </w:rPr>
        <w:t>止</w:t>
      </w:r>
      <w:proofErr w:type="gramEnd"/>
      <w:r w:rsidRPr="001A5B22">
        <w:rPr>
          <w:rFonts w:ascii="標楷體" w:eastAsia="標楷體" w:hAnsi="標楷體" w:cs="標楷體"/>
          <w:bCs/>
          <w:szCs w:val="32"/>
        </w:rPr>
        <w:t>尚在施工中</w:t>
      </w:r>
      <w:r w:rsidRPr="001A5B22">
        <w:rPr>
          <w:rFonts w:ascii="標楷體" w:eastAsia="標楷體" w:hAnsi="標楷體" w:cs="標楷體" w:hint="eastAsia"/>
          <w:bCs/>
          <w:szCs w:val="32"/>
        </w:rPr>
        <w:t>。</w:t>
      </w:r>
      <w:proofErr w:type="gramStart"/>
      <w:r w:rsidRPr="001A5B22">
        <w:rPr>
          <w:rFonts w:ascii="標楷體" w:eastAsia="標楷體" w:hAnsi="標楷體" w:cs="標楷體" w:hint="eastAsia"/>
          <w:bCs/>
          <w:szCs w:val="32"/>
        </w:rPr>
        <w:t>經查統包</w:t>
      </w:r>
      <w:proofErr w:type="gramEnd"/>
      <w:r w:rsidRPr="001A5B22">
        <w:rPr>
          <w:rFonts w:ascii="標楷體" w:eastAsia="標楷體" w:hAnsi="標楷體" w:cs="標楷體" w:hint="eastAsia"/>
          <w:bCs/>
          <w:szCs w:val="32"/>
        </w:rPr>
        <w:t>工程執行情形，核有：</w:t>
      </w:r>
      <w:r>
        <w:rPr>
          <w:rFonts w:ascii="標楷體" w:eastAsia="標楷體" w:hAnsi="標楷體" w:cs="標楷體" w:hint="eastAsia"/>
          <w:bCs/>
          <w:szCs w:val="32"/>
        </w:rPr>
        <w:t>（</w:t>
      </w:r>
      <w:r w:rsidRPr="001A5B22">
        <w:rPr>
          <w:rFonts w:ascii="標楷體" w:eastAsia="標楷體" w:hAnsi="標楷體" w:cs="標楷體" w:hint="eastAsia"/>
          <w:bCs/>
          <w:szCs w:val="32"/>
        </w:rPr>
        <w:t>1</w:t>
      </w:r>
      <w:r>
        <w:rPr>
          <w:rFonts w:ascii="標楷體" w:eastAsia="標楷體" w:hAnsi="標楷體" w:cs="標楷體" w:hint="eastAsia"/>
          <w:bCs/>
          <w:szCs w:val="32"/>
        </w:rPr>
        <w:t>）</w:t>
      </w:r>
      <w:r w:rsidRPr="001A5B22">
        <w:rPr>
          <w:rFonts w:ascii="標楷體" w:eastAsia="標楷體" w:hAnsi="標楷體" w:cs="標楷體" w:hint="eastAsia"/>
          <w:bCs/>
          <w:szCs w:val="32"/>
        </w:rPr>
        <w:t>統包廠商辦理</w:t>
      </w:r>
      <w:r w:rsidRPr="001A5B22">
        <w:rPr>
          <w:rFonts w:ascii="標楷體" w:eastAsia="標楷體" w:hAnsi="標楷體" w:cs="標楷體"/>
          <w:bCs/>
          <w:szCs w:val="32"/>
        </w:rPr>
        <w:t>新</w:t>
      </w:r>
      <w:r w:rsidRPr="001A5B22">
        <w:rPr>
          <w:rFonts w:ascii="標楷體" w:eastAsia="標楷體" w:hAnsi="標楷體" w:cs="標楷體" w:hint="eastAsia"/>
          <w:bCs/>
          <w:szCs w:val="32"/>
        </w:rPr>
        <w:t>生公園網球場改建全民運動館</w:t>
      </w:r>
      <w:r>
        <w:rPr>
          <w:rFonts w:ascii="標楷體" w:eastAsia="標楷體" w:hAnsi="標楷體" w:cs="標楷體" w:hint="eastAsia"/>
          <w:bCs/>
          <w:szCs w:val="32"/>
        </w:rPr>
        <w:t>（</w:t>
      </w:r>
      <w:r w:rsidRPr="001A5B22">
        <w:rPr>
          <w:rFonts w:ascii="標楷體" w:eastAsia="標楷體" w:hAnsi="標楷體" w:cs="標楷體" w:hint="eastAsia"/>
          <w:bCs/>
          <w:szCs w:val="32"/>
        </w:rPr>
        <w:t>下稱新生工區</w:t>
      </w:r>
      <w:r>
        <w:rPr>
          <w:rFonts w:ascii="標楷體" w:eastAsia="標楷體" w:hAnsi="標楷體" w:cs="標楷體" w:hint="eastAsia"/>
          <w:bCs/>
          <w:szCs w:val="32"/>
        </w:rPr>
        <w:t>）</w:t>
      </w:r>
      <w:r w:rsidRPr="001A5B22">
        <w:rPr>
          <w:rFonts w:ascii="標楷體" w:eastAsia="標楷體" w:hAnsi="標楷體" w:cs="標楷體" w:hint="eastAsia"/>
          <w:bCs/>
          <w:szCs w:val="32"/>
        </w:rPr>
        <w:t>設計作業，於詳細價目表編列</w:t>
      </w:r>
      <w:proofErr w:type="gramStart"/>
      <w:r w:rsidRPr="001A5B22">
        <w:rPr>
          <w:rFonts w:ascii="標楷體" w:eastAsia="標楷體" w:hAnsi="標楷體" w:cs="標楷體" w:hint="eastAsia"/>
          <w:bCs/>
          <w:szCs w:val="32"/>
        </w:rPr>
        <w:t>3</w:t>
      </w:r>
      <w:r w:rsidRPr="001A5B22">
        <w:rPr>
          <w:rFonts w:ascii="標楷體" w:eastAsia="標楷體" w:hAnsi="標楷體" w:cs="標楷體"/>
          <w:bCs/>
          <w:szCs w:val="32"/>
        </w:rPr>
        <w:t>55</w:t>
      </w:r>
      <w:r w:rsidRPr="001A5B22">
        <w:rPr>
          <w:rFonts w:ascii="標楷體" w:eastAsia="標楷體" w:hAnsi="標楷體" w:cs="標楷體" w:hint="eastAsia"/>
          <w:bCs/>
          <w:szCs w:val="32"/>
        </w:rPr>
        <w:t>支擋土樁</w:t>
      </w:r>
      <w:proofErr w:type="gramEnd"/>
      <w:r w:rsidRPr="001A5B22">
        <w:rPr>
          <w:rFonts w:ascii="標楷體" w:eastAsia="標楷體" w:hAnsi="標楷體" w:cs="標楷體" w:hint="eastAsia"/>
          <w:bCs/>
          <w:szCs w:val="32"/>
        </w:rPr>
        <w:t>，且其單價分析表編列每</w:t>
      </w:r>
      <w:proofErr w:type="gramStart"/>
      <w:r w:rsidRPr="001A5B22">
        <w:rPr>
          <w:rFonts w:ascii="標楷體" w:eastAsia="標楷體" w:hAnsi="標楷體" w:cs="標楷體" w:hint="eastAsia"/>
          <w:bCs/>
          <w:szCs w:val="32"/>
        </w:rPr>
        <w:t>支擋土樁所</w:t>
      </w:r>
      <w:proofErr w:type="gramEnd"/>
      <w:r w:rsidRPr="001A5B22">
        <w:rPr>
          <w:rFonts w:ascii="標楷體" w:eastAsia="標楷體" w:hAnsi="標楷體" w:cs="標楷體" w:hint="eastAsia"/>
          <w:bCs/>
          <w:szCs w:val="32"/>
        </w:rPr>
        <w:t>含之鋼筋數量為0</w:t>
      </w:r>
      <w:r w:rsidRPr="001A5B22">
        <w:rPr>
          <w:rFonts w:ascii="標楷體" w:eastAsia="標楷體" w:hAnsi="標楷體" w:cs="標楷體"/>
          <w:bCs/>
          <w:szCs w:val="32"/>
        </w:rPr>
        <w:t>.6</w:t>
      </w:r>
      <w:r w:rsidRPr="001A5B22">
        <w:rPr>
          <w:rFonts w:ascii="標楷體" w:eastAsia="標楷體" w:hAnsi="標楷體" w:cs="標楷體" w:hint="eastAsia"/>
          <w:bCs/>
          <w:szCs w:val="32"/>
        </w:rPr>
        <w:t>噸，惟按設計圖說計算，每</w:t>
      </w:r>
      <w:proofErr w:type="gramStart"/>
      <w:r w:rsidRPr="001A5B22">
        <w:rPr>
          <w:rFonts w:ascii="標楷體" w:eastAsia="標楷體" w:hAnsi="標楷體" w:cs="標楷體" w:hint="eastAsia"/>
          <w:bCs/>
          <w:szCs w:val="32"/>
        </w:rPr>
        <w:t>支擋土樁所</w:t>
      </w:r>
      <w:proofErr w:type="gramEnd"/>
      <w:r w:rsidRPr="001A5B22">
        <w:rPr>
          <w:rFonts w:ascii="標楷體" w:eastAsia="標楷體" w:hAnsi="標楷體" w:cs="標楷體" w:hint="eastAsia"/>
          <w:bCs/>
          <w:szCs w:val="32"/>
        </w:rPr>
        <w:t>含之鋼筋數量僅約0</w:t>
      </w:r>
      <w:r w:rsidRPr="001A5B22">
        <w:rPr>
          <w:rFonts w:ascii="標楷體" w:eastAsia="標楷體" w:hAnsi="標楷體" w:cs="標楷體"/>
          <w:bCs/>
          <w:szCs w:val="32"/>
        </w:rPr>
        <w:t>.49</w:t>
      </w:r>
      <w:r w:rsidRPr="001A5B22">
        <w:rPr>
          <w:rFonts w:ascii="標楷體" w:eastAsia="標楷體" w:hAnsi="標楷體" w:cs="標楷體" w:hint="eastAsia"/>
          <w:bCs/>
          <w:szCs w:val="32"/>
        </w:rPr>
        <w:t>噸，且該</w:t>
      </w:r>
      <w:proofErr w:type="gramStart"/>
      <w:r w:rsidRPr="001A5B22">
        <w:rPr>
          <w:rFonts w:ascii="標楷體" w:eastAsia="標楷體" w:hAnsi="標楷體" w:cs="標楷體" w:hint="eastAsia"/>
          <w:bCs/>
          <w:szCs w:val="32"/>
        </w:rPr>
        <w:t>局於統包</w:t>
      </w:r>
      <w:proofErr w:type="gramEnd"/>
      <w:r w:rsidRPr="001A5B22">
        <w:rPr>
          <w:rFonts w:ascii="標楷體" w:eastAsia="標楷體" w:hAnsi="標楷體" w:cs="標楷體" w:hint="eastAsia"/>
          <w:bCs/>
          <w:szCs w:val="32"/>
        </w:rPr>
        <w:t>廠商施工後，未查察鋼筋實際使用數量即於估驗時按單價分析表如數計價</w:t>
      </w:r>
      <w:r w:rsidRPr="001A5B22">
        <w:rPr>
          <w:rFonts w:ascii="標楷體" w:eastAsia="標楷體" w:hAnsi="標楷體" w:cs="標楷體"/>
          <w:bCs/>
          <w:szCs w:val="32"/>
        </w:rPr>
        <w:t>，</w:t>
      </w:r>
      <w:proofErr w:type="gramStart"/>
      <w:r w:rsidRPr="001A5B22">
        <w:rPr>
          <w:rFonts w:ascii="標楷體" w:eastAsia="標楷體" w:hAnsi="標楷體" w:cs="標楷體" w:hint="eastAsia"/>
          <w:bCs/>
          <w:szCs w:val="32"/>
        </w:rPr>
        <w:t>致溢編及溢估擋土樁</w:t>
      </w:r>
      <w:proofErr w:type="gramEnd"/>
      <w:r w:rsidRPr="001A5B22">
        <w:rPr>
          <w:rFonts w:ascii="標楷體" w:eastAsia="標楷體" w:hAnsi="標楷體" w:cs="標楷體" w:hint="eastAsia"/>
          <w:bCs/>
          <w:szCs w:val="32"/>
        </w:rPr>
        <w:t>鋼筋數量3</w:t>
      </w:r>
      <w:r w:rsidRPr="001A5B22">
        <w:rPr>
          <w:rFonts w:ascii="標楷體" w:eastAsia="標楷體" w:hAnsi="標楷體" w:cs="標楷體"/>
          <w:bCs/>
          <w:szCs w:val="32"/>
        </w:rPr>
        <w:t>9.05</w:t>
      </w:r>
      <w:r w:rsidRPr="001A5B22">
        <w:rPr>
          <w:rFonts w:ascii="標楷體" w:eastAsia="標楷體" w:hAnsi="標楷體" w:cs="標楷體" w:hint="eastAsia"/>
          <w:bCs/>
          <w:szCs w:val="32"/>
        </w:rPr>
        <w:t>噸；（2）新生工區詳細價目表編列「管理中心－地上結構物拆除－</w:t>
      </w:r>
      <w:r w:rsidRPr="001A5B22">
        <w:rPr>
          <w:rFonts w:ascii="標楷體" w:eastAsia="標楷體" w:hAnsi="標楷體" w:cs="標楷體"/>
          <w:bCs/>
          <w:szCs w:val="32"/>
        </w:rPr>
        <w:t>B8</w:t>
      </w:r>
      <w:r w:rsidRPr="001A5B22">
        <w:rPr>
          <w:rFonts w:ascii="標楷體" w:eastAsia="標楷體" w:hAnsi="標楷體" w:cs="標楷體" w:hint="eastAsia"/>
          <w:bCs/>
          <w:szCs w:val="32"/>
        </w:rPr>
        <w:t>（含證明）」項目，契約數量1</w:t>
      </w:r>
      <w:r w:rsidRPr="001A5B22">
        <w:rPr>
          <w:rFonts w:ascii="標楷體" w:eastAsia="標楷體" w:hAnsi="標楷體" w:cs="標楷體"/>
          <w:bCs/>
          <w:szCs w:val="32"/>
        </w:rPr>
        <w:t>22.27M</w:t>
      </w:r>
      <w:r w:rsidRPr="001A5B22">
        <w:rPr>
          <w:rFonts w:ascii="標楷體" w:eastAsia="標楷體" w:hAnsi="標楷體" w:cs="標楷體"/>
          <w:bCs/>
          <w:szCs w:val="32"/>
          <w:vertAlign w:val="superscript"/>
        </w:rPr>
        <w:t>3</w:t>
      </w:r>
      <w:r w:rsidRPr="001A5B22">
        <w:rPr>
          <w:rFonts w:ascii="標楷體" w:eastAsia="標楷體" w:hAnsi="標楷體" w:cs="標楷體" w:hint="eastAsia"/>
          <w:bCs/>
          <w:szCs w:val="32"/>
        </w:rPr>
        <w:t>，統包廠商執行拆除</w:t>
      </w:r>
      <w:proofErr w:type="gramStart"/>
      <w:r w:rsidRPr="001A5B22">
        <w:rPr>
          <w:rFonts w:ascii="標楷體" w:eastAsia="標楷體" w:hAnsi="標楷體" w:cs="標楷體" w:hint="eastAsia"/>
          <w:bCs/>
          <w:szCs w:val="32"/>
        </w:rPr>
        <w:t>運棄後</w:t>
      </w:r>
      <w:proofErr w:type="gramEnd"/>
      <w:r w:rsidRPr="001A5B22">
        <w:rPr>
          <w:rFonts w:ascii="標楷體" w:eastAsia="標楷體" w:hAnsi="標楷體" w:cs="標楷體" w:hint="eastAsia"/>
          <w:bCs/>
          <w:szCs w:val="32"/>
        </w:rPr>
        <w:t>已全數估驗計價，惟據事業廢棄物再利用管制運送三聯單等相關資料所列，該工區所</w:t>
      </w:r>
      <w:proofErr w:type="gramStart"/>
      <w:r w:rsidRPr="001A5B22">
        <w:rPr>
          <w:rFonts w:ascii="標楷體" w:eastAsia="標楷體" w:hAnsi="標楷體" w:cs="標楷體" w:hint="eastAsia"/>
          <w:bCs/>
          <w:szCs w:val="32"/>
        </w:rPr>
        <w:t>拆除運棄廢棄物</w:t>
      </w:r>
      <w:proofErr w:type="gramEnd"/>
      <w:r w:rsidRPr="001A5B22">
        <w:rPr>
          <w:rFonts w:ascii="標楷體" w:eastAsia="標楷體" w:hAnsi="標楷體" w:cs="標楷體" w:hint="eastAsia"/>
          <w:bCs/>
          <w:szCs w:val="32"/>
        </w:rPr>
        <w:t>，係以2</w:t>
      </w:r>
      <w:r w:rsidRPr="001A5B22">
        <w:rPr>
          <w:rFonts w:ascii="標楷體" w:eastAsia="標楷體" w:hAnsi="標楷體" w:cs="標楷體"/>
          <w:bCs/>
          <w:szCs w:val="32"/>
        </w:rPr>
        <w:t>0</w:t>
      </w:r>
      <w:r w:rsidRPr="001A5B22">
        <w:rPr>
          <w:rFonts w:ascii="標楷體" w:eastAsia="標楷體" w:hAnsi="標楷體" w:cs="標楷體" w:hint="eastAsia"/>
          <w:bCs/>
          <w:szCs w:val="32"/>
        </w:rPr>
        <w:t>噸抓斗車載運，共計2車次，按該等車種及車次予以計算，其實際</w:t>
      </w:r>
      <w:proofErr w:type="gramStart"/>
      <w:r w:rsidRPr="001A5B22">
        <w:rPr>
          <w:rFonts w:ascii="標楷體" w:eastAsia="標楷體" w:hAnsi="標楷體" w:cs="標楷體" w:hint="eastAsia"/>
          <w:bCs/>
          <w:szCs w:val="32"/>
        </w:rPr>
        <w:t>拆除運棄之</w:t>
      </w:r>
      <w:proofErr w:type="gramEnd"/>
      <w:r w:rsidRPr="001A5B22">
        <w:rPr>
          <w:rFonts w:ascii="標楷體" w:eastAsia="標楷體" w:hAnsi="標楷體" w:cs="標楷體" w:hint="eastAsia"/>
          <w:bCs/>
          <w:szCs w:val="32"/>
        </w:rPr>
        <w:t>數量並未達契約數量，核</w:t>
      </w:r>
      <w:proofErr w:type="gramStart"/>
      <w:r w:rsidRPr="001A5B22">
        <w:rPr>
          <w:rFonts w:ascii="標楷體" w:eastAsia="標楷體" w:hAnsi="標楷體" w:cs="標楷體" w:hint="eastAsia"/>
          <w:bCs/>
          <w:szCs w:val="32"/>
        </w:rPr>
        <w:t>有溢估</w:t>
      </w:r>
      <w:proofErr w:type="gramEnd"/>
      <w:r w:rsidRPr="001A5B22">
        <w:rPr>
          <w:rFonts w:ascii="標楷體" w:eastAsia="標楷體" w:hAnsi="標楷體" w:cs="標楷體" w:hint="eastAsia"/>
          <w:bCs/>
          <w:szCs w:val="32"/>
        </w:rPr>
        <w:t>；（3）</w:t>
      </w:r>
      <w:r w:rsidRPr="001A5B22">
        <w:rPr>
          <w:rFonts w:ascii="標楷體" w:eastAsia="標楷體" w:hAnsi="標楷體" w:cs="標楷體"/>
          <w:bCs/>
          <w:szCs w:val="32"/>
        </w:rPr>
        <w:t>克強公園游泳池</w:t>
      </w:r>
      <w:r w:rsidRPr="001A5B22">
        <w:rPr>
          <w:rFonts w:ascii="標楷體" w:eastAsia="標楷體" w:hAnsi="標楷體" w:cs="標楷體" w:hint="eastAsia"/>
          <w:bCs/>
          <w:szCs w:val="32"/>
        </w:rPr>
        <w:t>改建全民運動館（下稱克強工區</w:t>
      </w:r>
      <w:r w:rsidRPr="001A5B22">
        <w:rPr>
          <w:rFonts w:ascii="標楷體" w:eastAsia="標楷體" w:hAnsi="標楷體" w:cs="標楷體"/>
          <w:bCs/>
          <w:szCs w:val="32"/>
        </w:rPr>
        <w:t>）</w:t>
      </w:r>
      <w:r w:rsidRPr="001A5B22">
        <w:rPr>
          <w:rFonts w:ascii="標楷體" w:eastAsia="標楷體" w:hAnsi="標楷體" w:cs="標楷體" w:hint="eastAsia"/>
          <w:bCs/>
          <w:szCs w:val="32"/>
        </w:rPr>
        <w:t>及新生工區契約詳細價目表之施工圍籬、工區大門等2工項，其單價分析表均內含日常之維護保養及完工後之拆除工資，</w:t>
      </w:r>
      <w:proofErr w:type="gramStart"/>
      <w:r w:rsidRPr="001A5B22">
        <w:rPr>
          <w:rFonts w:ascii="標楷體" w:eastAsia="標楷體" w:hAnsi="標楷體" w:cs="標楷體" w:hint="eastAsia"/>
          <w:bCs/>
          <w:szCs w:val="32"/>
        </w:rPr>
        <w:t>而本統包</w:t>
      </w:r>
      <w:proofErr w:type="gramEnd"/>
      <w:r w:rsidRPr="001A5B22">
        <w:rPr>
          <w:rFonts w:ascii="標楷體" w:eastAsia="標楷體" w:hAnsi="標楷體" w:cs="標楷體" w:hint="eastAsia"/>
          <w:bCs/>
          <w:szCs w:val="32"/>
        </w:rPr>
        <w:t>工程尚在施工中，該等施工圍籬及工區大門仍作為工區阻隔用並未拆除，且尚需持續維護保養，惟</w:t>
      </w:r>
      <w:proofErr w:type="gramStart"/>
      <w:r w:rsidRPr="001A5B22">
        <w:rPr>
          <w:rFonts w:ascii="標楷體" w:eastAsia="標楷體" w:hAnsi="標楷體" w:cs="標楷體" w:hint="eastAsia"/>
          <w:bCs/>
          <w:szCs w:val="32"/>
        </w:rPr>
        <w:t>該局估驗</w:t>
      </w:r>
      <w:proofErr w:type="gramEnd"/>
      <w:r w:rsidRPr="001A5B22">
        <w:rPr>
          <w:rFonts w:ascii="標楷體" w:eastAsia="標楷體" w:hAnsi="標楷體" w:cs="標楷體" w:hint="eastAsia"/>
          <w:bCs/>
          <w:szCs w:val="32"/>
        </w:rPr>
        <w:t>時卻將施工圍籬及工區大門工項費用如數全額計價；（4）統包廠商</w:t>
      </w:r>
      <w:r w:rsidRPr="001A5B22">
        <w:rPr>
          <w:rFonts w:ascii="標楷體" w:eastAsia="標楷體" w:hAnsi="標楷體" w:hint="eastAsia"/>
        </w:rPr>
        <w:t>提送之新生工區</w:t>
      </w:r>
      <w:r w:rsidRPr="001A5B22">
        <w:rPr>
          <w:rFonts w:ascii="標楷體" w:eastAsia="標楷體" w:hAnsi="標楷體" w:hint="eastAsia"/>
        </w:rPr>
        <w:lastRenderedPageBreak/>
        <w:t>及克強工區拆除工程分項施工暨品質計畫書、新生工區</w:t>
      </w:r>
      <w:proofErr w:type="gramStart"/>
      <w:r w:rsidRPr="001A5B22">
        <w:rPr>
          <w:rFonts w:ascii="標楷體" w:eastAsia="標楷體" w:hAnsi="標楷體" w:hint="eastAsia"/>
        </w:rPr>
        <w:t>預壘樁</w:t>
      </w:r>
      <w:proofErr w:type="gramEnd"/>
      <w:r w:rsidRPr="001A5B22">
        <w:rPr>
          <w:rFonts w:ascii="標楷體" w:eastAsia="標楷體" w:hAnsi="標楷體" w:hint="eastAsia"/>
        </w:rPr>
        <w:t>施工計畫書，未於各該分項工程開始施工前30日提送，卻未依約計罰</w:t>
      </w:r>
      <w:r w:rsidRPr="001A5B22">
        <w:rPr>
          <w:rFonts w:ascii="標楷體" w:eastAsia="標楷體" w:hAnsi="標楷體" w:cs="標楷體" w:hint="eastAsia"/>
          <w:bCs/>
          <w:szCs w:val="32"/>
        </w:rPr>
        <w:t>；（</w:t>
      </w:r>
      <w:r w:rsidRPr="001A5B22">
        <w:rPr>
          <w:rFonts w:ascii="標楷體" w:eastAsia="標楷體" w:hAnsi="標楷體" w:cs="標楷體"/>
          <w:bCs/>
          <w:szCs w:val="32"/>
        </w:rPr>
        <w:t>5</w:t>
      </w:r>
      <w:r w:rsidRPr="001A5B22">
        <w:rPr>
          <w:rFonts w:ascii="標楷體" w:eastAsia="標楷體" w:hAnsi="標楷體" w:cs="標楷體" w:hint="eastAsia"/>
          <w:bCs/>
          <w:szCs w:val="32"/>
        </w:rPr>
        <w:t>）監造單位未依核定之監造計畫，將新生工區擋</w:t>
      </w:r>
      <w:proofErr w:type="gramStart"/>
      <w:r w:rsidRPr="001A5B22">
        <w:rPr>
          <w:rFonts w:ascii="標楷體" w:eastAsia="標楷體" w:hAnsi="標楷體" w:cs="標楷體" w:hint="eastAsia"/>
          <w:bCs/>
          <w:szCs w:val="32"/>
        </w:rPr>
        <w:t>土樁及壓梁用</w:t>
      </w:r>
      <w:proofErr w:type="gramEnd"/>
      <w:r w:rsidRPr="001A5B22">
        <w:rPr>
          <w:rFonts w:ascii="標楷體" w:eastAsia="標楷體" w:hAnsi="標楷體" w:cs="標楷體" w:hint="eastAsia"/>
          <w:bCs/>
          <w:szCs w:val="32"/>
        </w:rPr>
        <w:t>之鋼筋、水泥砂漿及混凝土等材料之取樣、送驗、代表數量及試驗結果等資訊填報於材料試驗管制表，不利於材料品質管控等情事，經函請檢討改善。據復：（</w:t>
      </w:r>
      <w:r w:rsidRPr="001A5B22">
        <w:rPr>
          <w:rFonts w:ascii="標楷體" w:eastAsia="標楷體" w:hAnsi="標楷體" w:cs="標楷體"/>
          <w:bCs/>
          <w:szCs w:val="32"/>
        </w:rPr>
        <w:t>1</w:t>
      </w:r>
      <w:r w:rsidRPr="001A5B22">
        <w:rPr>
          <w:rFonts w:ascii="標楷體" w:eastAsia="標楷體" w:hAnsi="標楷體" w:cs="標楷體" w:hint="eastAsia"/>
          <w:bCs/>
          <w:szCs w:val="32"/>
        </w:rPr>
        <w:t>）經檢討數量確有不符，</w:t>
      </w:r>
      <w:proofErr w:type="gramStart"/>
      <w:r w:rsidRPr="001A5B22">
        <w:rPr>
          <w:rFonts w:ascii="標楷體" w:eastAsia="標楷體" w:hAnsi="標楷體" w:cs="標楷體" w:hint="eastAsia"/>
          <w:bCs/>
          <w:szCs w:val="32"/>
        </w:rPr>
        <w:t>溢估金額</w:t>
      </w:r>
      <w:proofErr w:type="gramEnd"/>
      <w:r w:rsidRPr="001A5B22">
        <w:rPr>
          <w:rFonts w:ascii="標楷體" w:eastAsia="標楷體" w:hAnsi="標楷體" w:cs="標楷體" w:hint="eastAsia"/>
          <w:bCs/>
          <w:szCs w:val="32"/>
        </w:rPr>
        <w:t>計107萬餘元，已於估驗</w:t>
      </w:r>
      <w:proofErr w:type="gramStart"/>
      <w:r w:rsidRPr="001A5B22">
        <w:rPr>
          <w:rFonts w:ascii="標楷體" w:eastAsia="標楷體" w:hAnsi="標楷體" w:cs="標楷體" w:hint="eastAsia"/>
          <w:bCs/>
          <w:szCs w:val="32"/>
        </w:rPr>
        <w:t>中扣回</w:t>
      </w:r>
      <w:proofErr w:type="gramEnd"/>
      <w:r w:rsidRPr="001A5B22">
        <w:rPr>
          <w:rFonts w:ascii="標楷體" w:eastAsia="標楷體" w:hAnsi="標楷體" w:cs="標楷體" w:hint="eastAsia"/>
          <w:bCs/>
          <w:szCs w:val="32"/>
        </w:rPr>
        <w:t>；又統包廠商之設計單位計算數量錯誤且金額差異逾5％部分，已依約裁罰1萬餘元；另專案</w:t>
      </w:r>
      <w:proofErr w:type="gramStart"/>
      <w:r w:rsidRPr="001A5B22">
        <w:rPr>
          <w:rFonts w:ascii="標楷體" w:eastAsia="標楷體" w:hAnsi="標楷體" w:cs="標楷體" w:hint="eastAsia"/>
          <w:bCs/>
          <w:szCs w:val="32"/>
        </w:rPr>
        <w:t>管理暨監造</w:t>
      </w:r>
      <w:proofErr w:type="gramEnd"/>
      <w:r w:rsidRPr="001A5B22">
        <w:rPr>
          <w:rFonts w:ascii="標楷體" w:eastAsia="標楷體" w:hAnsi="標楷體" w:cs="標楷體" w:hint="eastAsia"/>
          <w:bCs/>
          <w:szCs w:val="32"/>
        </w:rPr>
        <w:t>廠商審查未確實部分，已依「臺北市政府委託技術服務履約績效管理要點」規定予以扣分記點；（</w:t>
      </w:r>
      <w:r w:rsidRPr="001A5B22">
        <w:rPr>
          <w:rFonts w:ascii="標楷體" w:eastAsia="標楷體" w:hAnsi="標楷體" w:cs="標楷體"/>
          <w:bCs/>
          <w:szCs w:val="32"/>
        </w:rPr>
        <w:t>2</w:t>
      </w:r>
      <w:r w:rsidRPr="001A5B22">
        <w:rPr>
          <w:rFonts w:ascii="標楷體" w:eastAsia="標楷體" w:hAnsi="標楷體" w:cs="標楷體" w:hint="eastAsia"/>
          <w:bCs/>
          <w:szCs w:val="32"/>
        </w:rPr>
        <w:t>）</w:t>
      </w:r>
      <w:proofErr w:type="gramStart"/>
      <w:r w:rsidRPr="001A5B22">
        <w:rPr>
          <w:rFonts w:ascii="標楷體" w:eastAsia="標楷體" w:hAnsi="標楷體" w:cs="標楷體" w:hint="eastAsia"/>
          <w:bCs/>
          <w:szCs w:val="32"/>
        </w:rPr>
        <w:t>溢估金額</w:t>
      </w:r>
      <w:proofErr w:type="gramEnd"/>
      <w:r w:rsidRPr="001A5B22">
        <w:rPr>
          <w:rFonts w:ascii="標楷體" w:eastAsia="標楷體" w:hAnsi="標楷體" w:cs="標楷體" w:hint="eastAsia"/>
          <w:bCs/>
          <w:szCs w:val="32"/>
        </w:rPr>
        <w:t>計</w:t>
      </w:r>
      <w:r w:rsidRPr="001A5B22">
        <w:rPr>
          <w:rFonts w:ascii="標楷體" w:eastAsia="標楷體" w:hAnsi="標楷體" w:cs="標楷體"/>
          <w:bCs/>
          <w:szCs w:val="32"/>
        </w:rPr>
        <w:t>15</w:t>
      </w:r>
      <w:r w:rsidRPr="001A5B22">
        <w:rPr>
          <w:rFonts w:ascii="標楷體" w:eastAsia="標楷體" w:hAnsi="標楷體" w:cs="標楷體" w:hint="eastAsia"/>
          <w:bCs/>
          <w:szCs w:val="32"/>
        </w:rPr>
        <w:t>萬餘元，已於估驗</w:t>
      </w:r>
      <w:proofErr w:type="gramStart"/>
      <w:r w:rsidRPr="001A5B22">
        <w:rPr>
          <w:rFonts w:ascii="標楷體" w:eastAsia="標楷體" w:hAnsi="標楷體" w:cs="標楷體" w:hint="eastAsia"/>
          <w:bCs/>
          <w:szCs w:val="32"/>
        </w:rPr>
        <w:t>中扣回</w:t>
      </w:r>
      <w:proofErr w:type="gramEnd"/>
      <w:r w:rsidRPr="001A5B22">
        <w:rPr>
          <w:rFonts w:ascii="標楷體" w:eastAsia="標楷體" w:hAnsi="標楷體" w:cs="標楷體" w:hint="eastAsia"/>
          <w:bCs/>
          <w:szCs w:val="32"/>
        </w:rPr>
        <w:t>；又統包廠商之設計單位計算數量錯誤且金額差異逾5％部分，已依約裁罰</w:t>
      </w:r>
      <w:r w:rsidRPr="001A5B22">
        <w:rPr>
          <w:rFonts w:ascii="標楷體" w:eastAsia="標楷體" w:hAnsi="標楷體" w:cs="標楷體"/>
          <w:bCs/>
          <w:szCs w:val="32"/>
        </w:rPr>
        <w:t>1,013</w:t>
      </w:r>
      <w:r w:rsidRPr="001A5B22">
        <w:rPr>
          <w:rFonts w:ascii="標楷體" w:eastAsia="標楷體" w:hAnsi="標楷體" w:cs="標楷體" w:hint="eastAsia"/>
          <w:bCs/>
          <w:szCs w:val="32"/>
        </w:rPr>
        <w:t>元；另專案</w:t>
      </w:r>
      <w:proofErr w:type="gramStart"/>
      <w:r w:rsidRPr="001A5B22">
        <w:rPr>
          <w:rFonts w:ascii="標楷體" w:eastAsia="標楷體" w:hAnsi="標楷體" w:cs="標楷體" w:hint="eastAsia"/>
          <w:bCs/>
          <w:szCs w:val="32"/>
        </w:rPr>
        <w:t>管理暨監造</w:t>
      </w:r>
      <w:proofErr w:type="gramEnd"/>
      <w:r w:rsidRPr="001A5B22">
        <w:rPr>
          <w:rFonts w:ascii="標楷體" w:eastAsia="標楷體" w:hAnsi="標楷體" w:cs="標楷體" w:hint="eastAsia"/>
          <w:bCs/>
          <w:szCs w:val="32"/>
        </w:rPr>
        <w:t>廠商審查未確實部分，已依「臺北市政府委託技術服務履約績效管理要點」規定予以扣分記點；（3）</w:t>
      </w:r>
      <w:proofErr w:type="gramStart"/>
      <w:r w:rsidRPr="001A5B22">
        <w:rPr>
          <w:rFonts w:ascii="標楷體" w:eastAsia="標楷體" w:hAnsi="標楷體" w:cs="標楷體" w:hint="eastAsia"/>
          <w:bCs/>
          <w:szCs w:val="32"/>
        </w:rPr>
        <w:t>溢估金額</w:t>
      </w:r>
      <w:proofErr w:type="gramEnd"/>
      <w:r w:rsidRPr="001A5B22">
        <w:rPr>
          <w:rFonts w:ascii="標楷體" w:eastAsia="標楷體" w:hAnsi="標楷體" w:cs="標楷體" w:hint="eastAsia"/>
          <w:bCs/>
          <w:szCs w:val="32"/>
        </w:rPr>
        <w:t>計8萬餘元，已於估驗</w:t>
      </w:r>
      <w:proofErr w:type="gramStart"/>
      <w:r w:rsidRPr="001A5B22">
        <w:rPr>
          <w:rFonts w:ascii="標楷體" w:eastAsia="標楷體" w:hAnsi="標楷體" w:cs="標楷體" w:hint="eastAsia"/>
          <w:bCs/>
          <w:szCs w:val="32"/>
        </w:rPr>
        <w:t>時扣回</w:t>
      </w:r>
      <w:proofErr w:type="gramEnd"/>
      <w:r w:rsidRPr="001A5B22">
        <w:rPr>
          <w:rFonts w:ascii="標楷體" w:eastAsia="標楷體" w:hAnsi="標楷體" w:cs="標楷體" w:hint="eastAsia"/>
          <w:bCs/>
          <w:szCs w:val="32"/>
        </w:rPr>
        <w:t>；（4）已依約</w:t>
      </w:r>
      <w:proofErr w:type="gramStart"/>
      <w:r w:rsidRPr="001A5B22">
        <w:rPr>
          <w:rFonts w:ascii="標楷體" w:eastAsia="標楷體" w:hAnsi="標楷體" w:cs="標楷體" w:hint="eastAsia"/>
          <w:bCs/>
          <w:szCs w:val="32"/>
        </w:rPr>
        <w:t>裁罰統包</w:t>
      </w:r>
      <w:proofErr w:type="gramEnd"/>
      <w:r w:rsidRPr="001A5B22">
        <w:rPr>
          <w:rFonts w:ascii="標楷體" w:eastAsia="標楷體" w:hAnsi="標楷體" w:cs="標楷體" w:hint="eastAsia"/>
          <w:bCs/>
          <w:szCs w:val="32"/>
        </w:rPr>
        <w:t>廠商懲罰性違約金3萬餘元；（</w:t>
      </w:r>
      <w:r w:rsidRPr="001A5B22">
        <w:rPr>
          <w:rFonts w:ascii="標楷體" w:eastAsia="標楷體" w:hAnsi="標楷體" w:cs="標楷體"/>
          <w:bCs/>
          <w:szCs w:val="32"/>
        </w:rPr>
        <w:t>5</w:t>
      </w:r>
      <w:r w:rsidRPr="001A5B22">
        <w:rPr>
          <w:rFonts w:ascii="標楷體" w:eastAsia="標楷體" w:hAnsi="標楷體" w:cs="標楷體" w:hint="eastAsia"/>
          <w:bCs/>
          <w:szCs w:val="32"/>
        </w:rPr>
        <w:t>）配合施工所辦理之鋼筋、水泥砂漿及混凝土等材料檢（試</w:t>
      </w:r>
      <w:r w:rsidRPr="001A5B22">
        <w:rPr>
          <w:rFonts w:ascii="標楷體" w:eastAsia="標楷體" w:hAnsi="標楷體" w:cs="標楷體"/>
          <w:bCs/>
          <w:szCs w:val="32"/>
        </w:rPr>
        <w:t>）</w:t>
      </w:r>
      <w:r w:rsidRPr="001A5B22">
        <w:rPr>
          <w:rFonts w:ascii="標楷體" w:eastAsia="標楷體" w:hAnsi="標楷體" w:cs="標楷體" w:hint="eastAsia"/>
          <w:bCs/>
          <w:szCs w:val="32"/>
        </w:rPr>
        <w:t>驗，業將其進場資料、取樣數量及試驗結果等資料補填報至試驗管制總表，後續配合各</w:t>
      </w:r>
      <w:proofErr w:type="gramStart"/>
      <w:r w:rsidRPr="001A5B22">
        <w:rPr>
          <w:rFonts w:ascii="標楷體" w:eastAsia="標楷體" w:hAnsi="標楷體" w:cs="標楷體" w:hint="eastAsia"/>
          <w:bCs/>
          <w:szCs w:val="32"/>
        </w:rPr>
        <w:t>工項施作</w:t>
      </w:r>
      <w:proofErr w:type="gramEnd"/>
      <w:r w:rsidRPr="001A5B22">
        <w:rPr>
          <w:rFonts w:ascii="標楷體" w:eastAsia="標楷體" w:hAnsi="標楷體" w:cs="標楷體" w:hint="eastAsia"/>
          <w:bCs/>
          <w:szCs w:val="32"/>
        </w:rPr>
        <w:t>時，督導監造單位依規定製作填報各項材料試驗管制表。</w:t>
      </w:r>
    </w:p>
    <w:p w14:paraId="478A8961" w14:textId="77777777" w:rsidR="00406878" w:rsidRPr="00170ADD" w:rsidRDefault="00406878" w:rsidP="00406878">
      <w:pPr>
        <w:suppressAutoHyphens/>
        <w:overflowPunct w:val="0"/>
        <w:autoSpaceDE w:val="0"/>
        <w:autoSpaceDN w:val="0"/>
        <w:spacing w:beforeLines="20" w:before="72" w:afterLines="10" w:after="36"/>
        <w:ind w:firstLineChars="100" w:firstLine="280"/>
        <w:jc w:val="both"/>
        <w:rPr>
          <w:rFonts w:ascii="標楷體" w:eastAsia="標楷體" w:hAnsi="標楷體" w:cs="Times New Roman"/>
          <w:b/>
          <w:kern w:val="0"/>
          <w:sz w:val="28"/>
          <w:szCs w:val="28"/>
        </w:rPr>
      </w:pPr>
      <w:r>
        <w:rPr>
          <w:rFonts w:ascii="標楷體" w:eastAsia="標楷體" w:hAnsi="標楷體" w:cs="Times New Roman" w:hint="eastAsia"/>
          <w:b/>
          <w:kern w:val="0"/>
          <w:sz w:val="28"/>
          <w:szCs w:val="28"/>
        </w:rPr>
        <w:t>（四）</w:t>
      </w:r>
      <w:proofErr w:type="gramStart"/>
      <w:r>
        <w:rPr>
          <w:rFonts w:ascii="標楷體" w:eastAsia="標楷體" w:hAnsi="標楷體" w:cs="Times New Roman" w:hint="eastAsia"/>
          <w:b/>
          <w:kern w:val="0"/>
          <w:sz w:val="28"/>
          <w:szCs w:val="28"/>
        </w:rPr>
        <w:t>1</w:t>
      </w:r>
      <w:r>
        <w:rPr>
          <w:rFonts w:ascii="標楷體" w:eastAsia="標楷體" w:hAnsi="標楷體" w:cs="Times New Roman"/>
          <w:b/>
          <w:kern w:val="0"/>
          <w:sz w:val="28"/>
          <w:szCs w:val="28"/>
        </w:rPr>
        <w:t>12</w:t>
      </w:r>
      <w:proofErr w:type="gramEnd"/>
      <w:r w:rsidRPr="00397AEE">
        <w:rPr>
          <w:rFonts w:ascii="標楷體" w:eastAsia="標楷體" w:hAnsi="標楷體" w:cs="Times New Roman" w:hint="eastAsia"/>
          <w:b/>
          <w:kern w:val="0"/>
          <w:sz w:val="28"/>
          <w:szCs w:val="28"/>
        </w:rPr>
        <w:t>年度重要審核意見追蹤</w:t>
      </w:r>
      <w:r w:rsidRPr="00A51F1E">
        <w:rPr>
          <w:rFonts w:ascii="標楷體" w:eastAsia="標楷體" w:hAnsi="標楷體" w:cs="Times New Roman" w:hint="eastAsia"/>
          <w:b/>
          <w:color w:val="000000" w:themeColor="text1"/>
          <w:sz w:val="28"/>
          <w:szCs w:val="28"/>
        </w:rPr>
        <w:t>查核</w:t>
      </w:r>
      <w:r w:rsidRPr="00397AEE">
        <w:rPr>
          <w:rFonts w:ascii="標楷體" w:eastAsia="標楷體" w:hAnsi="標楷體" w:cs="Times New Roman" w:hint="eastAsia"/>
          <w:b/>
          <w:kern w:val="0"/>
          <w:sz w:val="28"/>
          <w:szCs w:val="28"/>
        </w:rPr>
        <w:t>情形</w:t>
      </w:r>
    </w:p>
    <w:p w14:paraId="28C5278E" w14:textId="14BB6503" w:rsidR="00406878" w:rsidRPr="009E100A" w:rsidRDefault="00406878" w:rsidP="00654CAD">
      <w:pPr>
        <w:overflowPunct w:val="0"/>
        <w:autoSpaceDE w:val="0"/>
        <w:autoSpaceDN w:val="0"/>
        <w:spacing w:before="60" w:line="460" w:lineRule="exact"/>
        <w:ind w:firstLineChars="200" w:firstLine="480"/>
        <w:jc w:val="both"/>
        <w:outlineLvl w:val="1"/>
        <w:rPr>
          <w:rFonts w:ascii="標楷體" w:eastAsia="標楷體" w:hAnsi="Times New Roman" w:cs="Times New Roman"/>
          <w:szCs w:val="24"/>
        </w:rPr>
      </w:pPr>
      <w:r w:rsidRPr="00580CC9">
        <w:rPr>
          <w:rFonts w:ascii="標楷體" w:eastAsia="標楷體" w:hAnsi="Times New Roman" w:cs="Times New Roman" w:hint="eastAsia"/>
          <w:szCs w:val="24"/>
        </w:rPr>
        <w:t>本處</w:t>
      </w:r>
      <w:r>
        <w:rPr>
          <w:rFonts w:ascii="標楷體" w:eastAsia="標楷體" w:hAnsi="Times New Roman" w:cs="Times New Roman" w:hint="eastAsia"/>
          <w:szCs w:val="24"/>
        </w:rPr>
        <w:t>於</w:t>
      </w:r>
      <w:proofErr w:type="gramStart"/>
      <w:r>
        <w:rPr>
          <w:rFonts w:ascii="標楷體" w:eastAsia="標楷體" w:hAnsi="Times New Roman" w:cs="Times New Roman" w:hint="eastAsia"/>
          <w:szCs w:val="24"/>
        </w:rPr>
        <w:t>1</w:t>
      </w:r>
      <w:r>
        <w:rPr>
          <w:rFonts w:ascii="標楷體" w:eastAsia="標楷體" w:hAnsi="Times New Roman" w:cs="Times New Roman"/>
          <w:szCs w:val="24"/>
        </w:rPr>
        <w:t>12</w:t>
      </w:r>
      <w:proofErr w:type="gramEnd"/>
      <w:r w:rsidRPr="00580CC9">
        <w:rPr>
          <w:rFonts w:ascii="標楷體" w:eastAsia="標楷體" w:hAnsi="Times New Roman" w:cs="Times New Roman" w:hint="eastAsia"/>
          <w:szCs w:val="24"/>
        </w:rPr>
        <w:t>年度審核報告內列重要審核意見</w:t>
      </w:r>
      <w:r>
        <w:rPr>
          <w:rFonts w:ascii="標楷體" w:eastAsia="標楷體" w:hAnsi="Times New Roman" w:cs="Times New Roman" w:hint="eastAsia"/>
          <w:szCs w:val="24"/>
        </w:rPr>
        <w:t>4</w:t>
      </w:r>
      <w:r w:rsidRPr="00580CC9">
        <w:rPr>
          <w:rFonts w:ascii="標楷體" w:eastAsia="標楷體" w:hAnsi="Times New Roman" w:cs="Times New Roman" w:hint="eastAsia"/>
          <w:szCs w:val="24"/>
        </w:rPr>
        <w:t>項，經</w:t>
      </w:r>
      <w:proofErr w:type="gramStart"/>
      <w:r w:rsidRPr="00580CC9">
        <w:rPr>
          <w:rFonts w:ascii="標楷體" w:eastAsia="標楷體" w:hAnsi="Times New Roman" w:cs="Times New Roman" w:hint="eastAsia"/>
          <w:szCs w:val="24"/>
        </w:rPr>
        <w:t>賡</w:t>
      </w:r>
      <w:proofErr w:type="gramEnd"/>
      <w:r w:rsidRPr="00580CC9">
        <w:rPr>
          <w:rFonts w:ascii="標楷體" w:eastAsia="標楷體" w:hAnsi="Times New Roman" w:cs="Times New Roman" w:hint="eastAsia"/>
          <w:szCs w:val="24"/>
        </w:rPr>
        <w:t>續追蹤查核實際辦理結果，</w:t>
      </w:r>
      <w:r>
        <w:rPr>
          <w:rFonts w:ascii="標楷體" w:eastAsia="標楷體" w:hAnsi="Times New Roman" w:cs="Times New Roman" w:hint="eastAsia"/>
          <w:szCs w:val="24"/>
        </w:rPr>
        <w:t>仍待繼續改善者2項、</w:t>
      </w:r>
      <w:r w:rsidRPr="00580CC9">
        <w:rPr>
          <w:rFonts w:ascii="標楷體" w:eastAsia="標楷體" w:hAnsi="Times New Roman" w:cs="Times New Roman" w:hint="eastAsia"/>
          <w:szCs w:val="24"/>
        </w:rPr>
        <w:t>已</w:t>
      </w:r>
      <w:proofErr w:type="gramStart"/>
      <w:r w:rsidRPr="00580CC9">
        <w:rPr>
          <w:rFonts w:ascii="標楷體" w:eastAsia="標楷體" w:hAnsi="Times New Roman" w:cs="Times New Roman" w:hint="eastAsia"/>
          <w:szCs w:val="24"/>
        </w:rPr>
        <w:t>研</w:t>
      </w:r>
      <w:proofErr w:type="gramEnd"/>
      <w:r w:rsidRPr="00580CC9">
        <w:rPr>
          <w:rFonts w:ascii="標楷體" w:eastAsia="標楷體" w:hAnsi="Times New Roman" w:cs="Times New Roman" w:hint="eastAsia"/>
          <w:szCs w:val="24"/>
        </w:rPr>
        <w:t>謀改善或依改善措施持續辦理</w:t>
      </w:r>
      <w:r>
        <w:rPr>
          <w:rFonts w:ascii="標楷體" w:eastAsia="標楷體" w:hAnsi="Times New Roman" w:cs="Times New Roman" w:hint="eastAsia"/>
          <w:szCs w:val="24"/>
        </w:rPr>
        <w:t>者2項</w:t>
      </w:r>
      <w:r w:rsidRPr="00580CC9">
        <w:rPr>
          <w:rFonts w:ascii="標楷體" w:eastAsia="標楷體" w:hAnsi="Times New Roman" w:cs="Times New Roman" w:hint="eastAsia"/>
          <w:color w:val="000000"/>
          <w:szCs w:val="24"/>
        </w:rPr>
        <w:t>（</w:t>
      </w:r>
      <w:r w:rsidRPr="00156B78">
        <w:rPr>
          <w:rFonts w:ascii="標楷體" w:eastAsia="標楷體" w:hAnsi="Times New Roman" w:cs="Times New Roman" w:hint="eastAsia"/>
          <w:color w:val="000000" w:themeColor="text1"/>
          <w:szCs w:val="24"/>
        </w:rPr>
        <w:t>表</w:t>
      </w:r>
      <w:r>
        <w:rPr>
          <w:rFonts w:ascii="標楷體" w:eastAsia="標楷體" w:hAnsi="標楷體" w:cs="Times New Roman" w:hint="eastAsia"/>
          <w:szCs w:val="24"/>
        </w:rPr>
        <w:t>4</w:t>
      </w:r>
      <w:r w:rsidRPr="00580CC9">
        <w:rPr>
          <w:rFonts w:ascii="標楷體" w:eastAsia="標楷體" w:hAnsi="Times New Roman" w:cs="Times New Roman" w:hint="eastAsia"/>
          <w:color w:val="000000"/>
          <w:szCs w:val="24"/>
        </w:rPr>
        <w:t>）</w:t>
      </w:r>
      <w:r>
        <w:rPr>
          <w:rFonts w:ascii="標楷體" w:eastAsia="標楷體" w:hAnsi="Times New Roman" w:cs="Times New Roman" w:hint="eastAsia"/>
          <w:szCs w:val="24"/>
        </w:rPr>
        <w:t>，其中仍待繼續改善者，經再</w:t>
      </w:r>
      <w:proofErr w:type="gramStart"/>
      <w:r>
        <w:rPr>
          <w:rFonts w:ascii="標楷體" w:eastAsia="標楷體" w:hAnsi="Times New Roman" w:cs="Times New Roman" w:hint="eastAsia"/>
          <w:szCs w:val="24"/>
        </w:rPr>
        <w:t>研</w:t>
      </w:r>
      <w:proofErr w:type="gramEnd"/>
      <w:r>
        <w:rPr>
          <w:rFonts w:ascii="標楷體" w:eastAsia="標楷體" w:hAnsi="Times New Roman" w:cs="Times New Roman" w:hint="eastAsia"/>
          <w:szCs w:val="24"/>
        </w:rPr>
        <w:t>提審核意見2項通知檢討改善。</w:t>
      </w:r>
    </w:p>
    <w:p w14:paraId="2E8B39D8" w14:textId="77777777" w:rsidR="00406878" w:rsidRPr="008F07C6" w:rsidRDefault="00406878" w:rsidP="00654CAD">
      <w:pPr>
        <w:widowControl/>
        <w:overflowPunct w:val="0"/>
        <w:autoSpaceDE w:val="0"/>
        <w:autoSpaceDN w:val="0"/>
        <w:spacing w:before="120" w:after="100" w:line="300" w:lineRule="exact"/>
        <w:jc w:val="center"/>
        <w:rPr>
          <w:rFonts w:ascii="標楷體" w:eastAsia="標楷體" w:hAnsi="標楷體" w:cs="新細明體"/>
          <w:b/>
          <w:color w:val="000000"/>
          <w:kern w:val="0"/>
          <w:szCs w:val="24"/>
        </w:rPr>
      </w:pPr>
      <w:r w:rsidRPr="00156B78">
        <w:rPr>
          <w:rFonts w:ascii="標楷體" w:eastAsia="標楷體" w:hAnsi="標楷體" w:cs="新細明體" w:hint="eastAsia"/>
          <w:b/>
          <w:color w:val="000000" w:themeColor="text1"/>
          <w:kern w:val="0"/>
          <w:szCs w:val="24"/>
        </w:rPr>
        <w:t>表</w:t>
      </w:r>
      <w:r>
        <w:rPr>
          <w:rFonts w:ascii="標楷體" w:eastAsia="標楷體" w:hAnsi="標楷體" w:cs="新細明體" w:hint="eastAsia"/>
          <w:b/>
          <w:color w:val="000000" w:themeColor="text1"/>
          <w:kern w:val="0"/>
          <w:szCs w:val="24"/>
        </w:rPr>
        <w:t>4</w:t>
      </w:r>
      <w:r w:rsidRPr="008F07C6">
        <w:rPr>
          <w:rFonts w:ascii="標楷體" w:eastAsia="標楷體" w:hAnsi="標楷體" w:cs="新細明體" w:hint="eastAsia"/>
          <w:b/>
          <w:color w:val="000000"/>
          <w:kern w:val="0"/>
          <w:szCs w:val="24"/>
        </w:rPr>
        <w:t xml:space="preserve">　</w:t>
      </w:r>
      <w:proofErr w:type="gramStart"/>
      <w:r>
        <w:rPr>
          <w:rFonts w:ascii="標楷體" w:eastAsia="標楷體" w:hAnsi="標楷體" w:cs="新細明體" w:hint="eastAsia"/>
          <w:b/>
          <w:color w:val="000000"/>
          <w:kern w:val="0"/>
          <w:szCs w:val="24"/>
        </w:rPr>
        <w:t>1</w:t>
      </w:r>
      <w:r>
        <w:rPr>
          <w:rFonts w:ascii="標楷體" w:eastAsia="標楷體" w:hAnsi="標楷體" w:cs="新細明體"/>
          <w:b/>
          <w:color w:val="000000"/>
          <w:kern w:val="0"/>
          <w:szCs w:val="24"/>
        </w:rPr>
        <w:t>1</w:t>
      </w:r>
      <w:r>
        <w:rPr>
          <w:rFonts w:ascii="標楷體" w:eastAsia="標楷體" w:hAnsi="標楷體" w:cs="新細明體" w:hint="eastAsia"/>
          <w:b/>
          <w:color w:val="000000"/>
          <w:kern w:val="0"/>
          <w:szCs w:val="24"/>
        </w:rPr>
        <w:t>2</w:t>
      </w:r>
      <w:proofErr w:type="gramEnd"/>
      <w:r>
        <w:rPr>
          <w:rFonts w:ascii="標楷體" w:eastAsia="標楷體" w:hAnsi="標楷體" w:cs="新細明體" w:hint="eastAsia"/>
          <w:b/>
          <w:color w:val="000000"/>
          <w:kern w:val="0"/>
          <w:szCs w:val="24"/>
        </w:rPr>
        <w:t>年度審核報告所列體育局主管重要審核意見覆核辦理情形</w:t>
      </w:r>
    </w:p>
    <w:tbl>
      <w:tblPr>
        <w:tblStyle w:val="27"/>
        <w:tblW w:w="4985" w:type="pct"/>
        <w:tblLook w:val="04A0" w:firstRow="1" w:lastRow="0" w:firstColumn="1" w:lastColumn="0" w:noHBand="0" w:noVBand="1"/>
      </w:tblPr>
      <w:tblGrid>
        <w:gridCol w:w="6800"/>
        <w:gridCol w:w="3083"/>
      </w:tblGrid>
      <w:tr w:rsidR="00406878" w:rsidRPr="009E100A" w14:paraId="7A842F71" w14:textId="77777777" w:rsidTr="00654CAD">
        <w:trPr>
          <w:trHeight w:val="397"/>
        </w:trPr>
        <w:tc>
          <w:tcPr>
            <w:tcW w:w="3440" w:type="pct"/>
            <w:vAlign w:val="center"/>
          </w:tcPr>
          <w:p w14:paraId="2E36E358" w14:textId="77777777" w:rsidR="00406878" w:rsidRPr="009E100A" w:rsidRDefault="00406878" w:rsidP="003178C0">
            <w:pPr>
              <w:overflowPunct w:val="0"/>
              <w:autoSpaceDE w:val="0"/>
              <w:autoSpaceDN w:val="0"/>
              <w:spacing w:beforeLines="10" w:before="36" w:afterLines="10" w:after="36" w:line="240" w:lineRule="exact"/>
              <w:jc w:val="center"/>
            </w:pPr>
            <w:r w:rsidRPr="009E100A">
              <w:rPr>
                <w:rFonts w:ascii="標楷體" w:eastAsia="標楷體" w:hAnsi="標楷體" w:cs="Times New Roman"/>
                <w:sz w:val="20"/>
                <w:szCs w:val="24"/>
              </w:rPr>
              <w:t>重要審核意見標題</w:t>
            </w:r>
          </w:p>
        </w:tc>
        <w:tc>
          <w:tcPr>
            <w:tcW w:w="1560" w:type="pct"/>
            <w:vAlign w:val="center"/>
          </w:tcPr>
          <w:p w14:paraId="0ABC7293" w14:textId="77777777" w:rsidR="00406878" w:rsidRPr="009E100A" w:rsidRDefault="00406878" w:rsidP="003178C0">
            <w:pPr>
              <w:overflowPunct w:val="0"/>
              <w:autoSpaceDE w:val="0"/>
              <w:autoSpaceDN w:val="0"/>
              <w:spacing w:beforeLines="10" w:before="36" w:afterLines="10" w:after="36" w:line="240" w:lineRule="exact"/>
              <w:jc w:val="center"/>
            </w:pPr>
            <w:r w:rsidRPr="009E100A">
              <w:rPr>
                <w:rFonts w:ascii="標楷體" w:eastAsia="標楷體" w:hAnsi="標楷體" w:cs="Times New Roman"/>
                <w:sz w:val="20"/>
                <w:szCs w:val="24"/>
              </w:rPr>
              <w:t>說明</w:t>
            </w:r>
          </w:p>
        </w:tc>
      </w:tr>
      <w:tr w:rsidR="00406878" w:rsidRPr="009E100A" w14:paraId="3C76F131" w14:textId="77777777" w:rsidTr="003178C0">
        <w:trPr>
          <w:trHeight w:val="397"/>
        </w:trPr>
        <w:tc>
          <w:tcPr>
            <w:tcW w:w="5000" w:type="pct"/>
            <w:gridSpan w:val="2"/>
            <w:vAlign w:val="center"/>
          </w:tcPr>
          <w:p w14:paraId="3C1CEB2D" w14:textId="77777777" w:rsidR="00406878" w:rsidRPr="0007286C" w:rsidRDefault="00406878" w:rsidP="003178C0">
            <w:pPr>
              <w:overflowPunct w:val="0"/>
              <w:autoSpaceDE w:val="0"/>
              <w:autoSpaceDN w:val="0"/>
              <w:spacing w:beforeLines="10" w:before="36" w:afterLines="10" w:after="36" w:line="240" w:lineRule="exact"/>
              <w:rPr>
                <w:rFonts w:ascii="標楷體" w:eastAsia="標楷體" w:hAnsi="標楷體" w:cs="Times New Roman"/>
                <w:b/>
                <w:sz w:val="20"/>
                <w:szCs w:val="24"/>
              </w:rPr>
            </w:pPr>
            <w:r w:rsidRPr="0008501D">
              <w:rPr>
                <w:rFonts w:ascii="標楷體" w:eastAsia="標楷體" w:hAnsi="標楷體" w:cs="Times New Roman" w:hint="eastAsia"/>
                <w:b/>
                <w:sz w:val="20"/>
                <w:szCs w:val="24"/>
              </w:rPr>
              <w:t>仍待繼續改善</w:t>
            </w:r>
          </w:p>
        </w:tc>
      </w:tr>
      <w:tr w:rsidR="00406878" w:rsidRPr="009E100A" w14:paraId="6A547F50" w14:textId="77777777" w:rsidTr="00654CAD">
        <w:trPr>
          <w:trHeight w:val="60"/>
        </w:trPr>
        <w:tc>
          <w:tcPr>
            <w:tcW w:w="3440" w:type="pct"/>
          </w:tcPr>
          <w:p w14:paraId="3A0FC875" w14:textId="77777777" w:rsidR="00406878" w:rsidRPr="00BF7772" w:rsidRDefault="00406878" w:rsidP="003178C0">
            <w:pPr>
              <w:overflowPunct w:val="0"/>
              <w:autoSpaceDE w:val="0"/>
              <w:autoSpaceDN w:val="0"/>
              <w:spacing w:line="280" w:lineRule="exact"/>
              <w:ind w:left="200" w:hangingChars="100" w:hanging="200"/>
              <w:jc w:val="both"/>
              <w:rPr>
                <w:rFonts w:ascii="標楷體" w:eastAsia="標楷體" w:hAnsi="標楷體" w:cs="Times New Roman"/>
                <w:position w:val="2"/>
                <w:sz w:val="20"/>
                <w:szCs w:val="24"/>
              </w:rPr>
            </w:pPr>
            <w:r>
              <w:rPr>
                <w:rFonts w:ascii="標楷體" w:eastAsia="標楷體" w:hAnsi="標楷體" w:cs="Times New Roman"/>
                <w:position w:val="2"/>
                <w:sz w:val="20"/>
                <w:szCs w:val="24"/>
              </w:rPr>
              <w:t>1</w:t>
            </w:r>
            <w:r w:rsidRPr="00BF7772">
              <w:rPr>
                <w:rFonts w:ascii="標楷體" w:eastAsia="標楷體" w:hAnsi="標楷體" w:cs="Times New Roman" w:hint="eastAsia"/>
                <w:position w:val="2"/>
                <w:sz w:val="20"/>
                <w:szCs w:val="24"/>
              </w:rPr>
              <w:t>.</w:t>
            </w:r>
            <w:proofErr w:type="gramStart"/>
            <w:r w:rsidRPr="0008501D">
              <w:rPr>
                <w:rFonts w:ascii="標楷體" w:eastAsia="標楷體" w:hAnsi="標楷體" w:cs="Times New Roman" w:hint="eastAsia"/>
                <w:position w:val="2"/>
                <w:sz w:val="20"/>
                <w:szCs w:val="24"/>
              </w:rPr>
              <w:t>雙北籌辦</w:t>
            </w:r>
            <w:proofErr w:type="gramEnd"/>
            <w:r w:rsidRPr="0008501D">
              <w:rPr>
                <w:rFonts w:ascii="標楷體" w:eastAsia="標楷體" w:hAnsi="標楷體" w:cs="Times New Roman" w:hint="eastAsia"/>
                <w:position w:val="2"/>
                <w:sz w:val="20"/>
                <w:szCs w:val="24"/>
              </w:rPr>
              <w:t>2025世界壯年運動會，倡議終身運動精神及促進城市觀光旅遊發展，惟執行結果，核有國外選手報名人數低於預期、報名費收入未納編預算、建置觀光旅遊資訊專區功能未</w:t>
            </w:r>
            <w:proofErr w:type="gramStart"/>
            <w:r w:rsidRPr="0008501D">
              <w:rPr>
                <w:rFonts w:ascii="標楷體" w:eastAsia="標楷體" w:hAnsi="標楷體" w:cs="Times New Roman" w:hint="eastAsia"/>
                <w:position w:val="2"/>
                <w:sz w:val="20"/>
                <w:szCs w:val="24"/>
              </w:rPr>
              <w:t>臻</w:t>
            </w:r>
            <w:proofErr w:type="gramEnd"/>
            <w:r w:rsidRPr="0008501D">
              <w:rPr>
                <w:rFonts w:ascii="標楷體" w:eastAsia="標楷體" w:hAnsi="標楷體" w:cs="Times New Roman" w:hint="eastAsia"/>
                <w:position w:val="2"/>
                <w:sz w:val="20"/>
                <w:szCs w:val="24"/>
              </w:rPr>
              <w:t>完備等情，均有待檢討改善，以提升計畫執行成效。</w:t>
            </w:r>
          </w:p>
        </w:tc>
        <w:tc>
          <w:tcPr>
            <w:tcW w:w="1560" w:type="pct"/>
            <w:tcBorders>
              <w:tl2br w:val="nil"/>
            </w:tcBorders>
          </w:tcPr>
          <w:p w14:paraId="0A89FA50" w14:textId="77777777" w:rsidR="00406878" w:rsidRPr="00481E28" w:rsidRDefault="00406878" w:rsidP="003178C0">
            <w:pPr>
              <w:overflowPunct w:val="0"/>
              <w:autoSpaceDE w:val="0"/>
              <w:autoSpaceDN w:val="0"/>
              <w:spacing w:line="280" w:lineRule="exact"/>
              <w:ind w:leftChars="-10" w:left="-24" w:rightChars="-10" w:right="-24"/>
              <w:jc w:val="both"/>
              <w:rPr>
                <w:rFonts w:ascii="標楷體" w:eastAsia="標楷體" w:hAnsi="Times New Roman" w:cs="Times New Roman"/>
                <w:szCs w:val="24"/>
              </w:rPr>
            </w:pPr>
            <w:r w:rsidRPr="00481E28">
              <w:rPr>
                <w:rFonts w:ascii="標楷體" w:eastAsia="標楷體" w:hAnsi="標楷體" w:cs="Times New Roman" w:hint="eastAsia"/>
                <w:position w:val="2"/>
                <w:sz w:val="20"/>
                <w:szCs w:val="24"/>
              </w:rPr>
              <w:t>因外國選手報名率</w:t>
            </w:r>
            <w:r>
              <w:rPr>
                <w:rFonts w:ascii="標楷體" w:eastAsia="標楷體" w:hAnsi="標楷體" w:cs="Times New Roman" w:hint="eastAsia"/>
                <w:position w:val="2"/>
                <w:sz w:val="20"/>
                <w:szCs w:val="24"/>
              </w:rPr>
              <w:t>仍未盡理想</w:t>
            </w:r>
            <w:r w:rsidRPr="00481E28">
              <w:rPr>
                <w:rFonts w:ascii="標楷體" w:eastAsia="標楷體" w:hAnsi="標楷體" w:cs="Times New Roman" w:hint="eastAsia"/>
                <w:position w:val="2"/>
                <w:sz w:val="20"/>
                <w:szCs w:val="24"/>
              </w:rPr>
              <w:t>，</w:t>
            </w:r>
            <w:r>
              <w:rPr>
                <w:rFonts w:ascii="標楷體" w:eastAsia="標楷體" w:hAnsi="標楷體" w:cs="Times New Roman" w:hint="eastAsia"/>
                <w:position w:val="2"/>
                <w:sz w:val="20"/>
                <w:szCs w:val="24"/>
              </w:rPr>
              <w:t>影響賽會舉辦經濟效益，</w:t>
            </w:r>
            <w:r w:rsidRPr="00481E28">
              <w:rPr>
                <w:rFonts w:ascii="標楷體" w:eastAsia="標楷體" w:hAnsi="標楷體" w:cs="Times New Roman" w:hint="eastAsia"/>
                <w:position w:val="2"/>
                <w:sz w:val="20"/>
                <w:szCs w:val="24"/>
              </w:rPr>
              <w:t>業再</w:t>
            </w:r>
            <w:proofErr w:type="gramStart"/>
            <w:r w:rsidRPr="00481E28">
              <w:rPr>
                <w:rFonts w:ascii="標楷體" w:eastAsia="標楷體" w:hAnsi="標楷體" w:cs="Times New Roman" w:hint="eastAsia"/>
                <w:position w:val="2"/>
                <w:sz w:val="20"/>
                <w:szCs w:val="24"/>
              </w:rPr>
              <w:t>研</w:t>
            </w:r>
            <w:proofErr w:type="gramEnd"/>
            <w:r w:rsidRPr="00481E28">
              <w:rPr>
                <w:rFonts w:ascii="標楷體" w:eastAsia="標楷體" w:hAnsi="標楷體" w:cs="Times New Roman" w:hint="eastAsia"/>
                <w:position w:val="2"/>
                <w:sz w:val="20"/>
                <w:szCs w:val="24"/>
              </w:rPr>
              <w:t>提審核意見詳「（三）重要審核意見2</w:t>
            </w:r>
            <w:r w:rsidRPr="00481E28">
              <w:rPr>
                <w:rFonts w:ascii="標楷體" w:eastAsia="標楷體" w:hAnsi="標楷體" w:cs="Times New Roman"/>
                <w:position w:val="2"/>
                <w:sz w:val="20"/>
                <w:szCs w:val="24"/>
              </w:rPr>
              <w:t>.</w:t>
            </w:r>
            <w:r w:rsidRPr="001A5B22">
              <w:rPr>
                <w:rFonts w:ascii="標楷體" w:eastAsia="標楷體" w:hAnsi="標楷體" w:cs="Times New Roman" w:hint="eastAsia"/>
                <w:position w:val="2"/>
                <w:sz w:val="20"/>
                <w:szCs w:val="24"/>
              </w:rPr>
              <w:t>（</w:t>
            </w:r>
            <w:r>
              <w:rPr>
                <w:rFonts w:ascii="標楷體" w:eastAsia="標楷體" w:hAnsi="標楷體" w:cs="Times New Roman" w:hint="eastAsia"/>
                <w:position w:val="2"/>
                <w:sz w:val="20"/>
                <w:szCs w:val="24"/>
              </w:rPr>
              <w:t>1</w:t>
            </w:r>
            <w:r w:rsidRPr="00481E28">
              <w:rPr>
                <w:rFonts w:ascii="標楷體" w:eastAsia="標楷體" w:hAnsi="標楷體" w:cs="Times New Roman" w:hint="eastAsia"/>
                <w:position w:val="2"/>
                <w:sz w:val="20"/>
                <w:szCs w:val="24"/>
              </w:rPr>
              <w:t>）」</w:t>
            </w:r>
          </w:p>
        </w:tc>
      </w:tr>
      <w:tr w:rsidR="00406878" w:rsidRPr="009E100A" w14:paraId="71BC1F93" w14:textId="77777777" w:rsidTr="00654CAD">
        <w:trPr>
          <w:trHeight w:val="454"/>
        </w:trPr>
        <w:tc>
          <w:tcPr>
            <w:tcW w:w="3440" w:type="pct"/>
          </w:tcPr>
          <w:p w14:paraId="46A51F5E" w14:textId="77777777" w:rsidR="00406878" w:rsidRPr="001A5B22" w:rsidRDefault="00406878" w:rsidP="003178C0">
            <w:pPr>
              <w:overflowPunct w:val="0"/>
              <w:autoSpaceDE w:val="0"/>
              <w:autoSpaceDN w:val="0"/>
              <w:spacing w:line="280" w:lineRule="exact"/>
              <w:ind w:left="200" w:hangingChars="100" w:hanging="200"/>
              <w:jc w:val="both"/>
              <w:rPr>
                <w:rFonts w:ascii="標楷體" w:eastAsia="標楷體" w:hAnsi="標楷體" w:cs="Times New Roman"/>
                <w:position w:val="2"/>
                <w:sz w:val="20"/>
                <w:szCs w:val="24"/>
              </w:rPr>
            </w:pPr>
            <w:r w:rsidRPr="001A5B22">
              <w:rPr>
                <w:rFonts w:ascii="標楷體" w:eastAsia="標楷體" w:hAnsi="標楷體" w:cs="Times New Roman"/>
                <w:position w:val="2"/>
                <w:sz w:val="20"/>
                <w:szCs w:val="24"/>
              </w:rPr>
              <w:t>2</w:t>
            </w:r>
            <w:r w:rsidRPr="001A5B22">
              <w:rPr>
                <w:rFonts w:ascii="標楷體" w:eastAsia="標楷體" w:hAnsi="標楷體" w:cs="Times New Roman" w:hint="eastAsia"/>
                <w:position w:val="2"/>
                <w:sz w:val="20"/>
                <w:szCs w:val="24"/>
              </w:rPr>
              <w:t>.創新辦理</w:t>
            </w:r>
            <w:proofErr w:type="gramStart"/>
            <w:r w:rsidRPr="001A5B22">
              <w:rPr>
                <w:rFonts w:ascii="標楷體" w:eastAsia="標楷體" w:hAnsi="標楷體" w:cs="Times New Roman" w:hint="eastAsia"/>
                <w:position w:val="2"/>
                <w:sz w:val="20"/>
                <w:szCs w:val="24"/>
              </w:rPr>
              <w:t>臺北樂</w:t>
            </w:r>
            <w:proofErr w:type="gramEnd"/>
            <w:r w:rsidRPr="001A5B22">
              <w:rPr>
                <w:rFonts w:ascii="標楷體" w:eastAsia="標楷體" w:hAnsi="標楷體" w:cs="Times New Roman" w:hint="eastAsia"/>
                <w:position w:val="2"/>
                <w:sz w:val="20"/>
                <w:szCs w:val="24"/>
              </w:rPr>
              <w:t>運動計畫，推展提升市民運動風氣，惟實際參與運動</w:t>
            </w:r>
            <w:proofErr w:type="gramStart"/>
            <w:r w:rsidRPr="001A5B22">
              <w:rPr>
                <w:rFonts w:ascii="標楷體" w:eastAsia="標楷體" w:hAnsi="標楷體" w:cs="Times New Roman" w:hint="eastAsia"/>
                <w:position w:val="2"/>
                <w:sz w:val="20"/>
                <w:szCs w:val="24"/>
              </w:rPr>
              <w:t>集兌點</w:t>
            </w:r>
            <w:proofErr w:type="gramEnd"/>
            <w:r w:rsidRPr="001A5B22">
              <w:rPr>
                <w:rFonts w:ascii="標楷體" w:eastAsia="標楷體" w:hAnsi="標楷體" w:cs="Times New Roman" w:hint="eastAsia"/>
                <w:position w:val="2"/>
                <w:sz w:val="20"/>
                <w:szCs w:val="24"/>
              </w:rPr>
              <w:t>人數偏低，結報之執行率僅約五成餘，未達預期目標，有待</w:t>
            </w:r>
            <w:proofErr w:type="gramStart"/>
            <w:r w:rsidRPr="001A5B22">
              <w:rPr>
                <w:rFonts w:ascii="標楷體" w:eastAsia="標楷體" w:hAnsi="標楷體" w:cs="Times New Roman" w:hint="eastAsia"/>
                <w:position w:val="2"/>
                <w:sz w:val="20"/>
                <w:szCs w:val="24"/>
              </w:rPr>
              <w:t>研</w:t>
            </w:r>
            <w:proofErr w:type="gramEnd"/>
            <w:r w:rsidRPr="001A5B22">
              <w:rPr>
                <w:rFonts w:ascii="標楷體" w:eastAsia="標楷體" w:hAnsi="標楷體" w:cs="Times New Roman" w:hint="eastAsia"/>
                <w:position w:val="2"/>
                <w:sz w:val="20"/>
                <w:szCs w:val="24"/>
              </w:rPr>
              <w:t>謀改善。</w:t>
            </w:r>
          </w:p>
        </w:tc>
        <w:tc>
          <w:tcPr>
            <w:tcW w:w="1560" w:type="pct"/>
            <w:tcBorders>
              <w:tl2br w:val="nil"/>
            </w:tcBorders>
          </w:tcPr>
          <w:p w14:paraId="47B123ED" w14:textId="77777777" w:rsidR="00406878" w:rsidRPr="009E100A" w:rsidRDefault="00406878" w:rsidP="003178C0">
            <w:pPr>
              <w:overflowPunct w:val="0"/>
              <w:autoSpaceDE w:val="0"/>
              <w:autoSpaceDN w:val="0"/>
              <w:spacing w:line="280" w:lineRule="exact"/>
              <w:ind w:leftChars="-10" w:left="-24" w:rightChars="-10" w:right="-24"/>
              <w:jc w:val="both"/>
              <w:rPr>
                <w:rFonts w:ascii="標楷體" w:eastAsia="標楷體" w:hAnsi="Times New Roman" w:cs="Times New Roman"/>
                <w:szCs w:val="24"/>
              </w:rPr>
            </w:pPr>
            <w:r w:rsidRPr="001A5B22">
              <w:rPr>
                <w:rFonts w:ascii="標楷體" w:eastAsia="標楷體" w:hAnsi="標楷體" w:cs="Times New Roman" w:hint="eastAsia"/>
                <w:position w:val="2"/>
                <w:sz w:val="20"/>
                <w:szCs w:val="24"/>
              </w:rPr>
              <w:t>因</w:t>
            </w:r>
            <w:r>
              <w:rPr>
                <w:rFonts w:ascii="標楷體" w:eastAsia="標楷體" w:hAnsi="標楷體" w:cs="Times New Roman" w:hint="eastAsia"/>
                <w:position w:val="2"/>
                <w:sz w:val="20"/>
                <w:szCs w:val="24"/>
              </w:rPr>
              <w:t>核發</w:t>
            </w:r>
            <w:r w:rsidRPr="001A5B22">
              <w:rPr>
                <w:rFonts w:ascii="標楷體" w:eastAsia="標楷體" w:hAnsi="標楷體" w:cs="Times New Roman" w:hint="eastAsia"/>
                <w:position w:val="2"/>
                <w:sz w:val="20"/>
                <w:szCs w:val="24"/>
              </w:rPr>
              <w:t>運動抵用金</w:t>
            </w:r>
            <w:r>
              <w:rPr>
                <w:rFonts w:ascii="標楷體" w:eastAsia="標楷體" w:hAnsi="標楷體" w:cs="Times New Roman" w:hint="eastAsia"/>
                <w:position w:val="2"/>
                <w:sz w:val="20"/>
                <w:szCs w:val="24"/>
              </w:rPr>
              <w:t>之實際</w:t>
            </w:r>
            <w:r w:rsidRPr="001A5B22">
              <w:rPr>
                <w:rFonts w:ascii="標楷體" w:eastAsia="標楷體" w:hAnsi="標楷體" w:cs="Times New Roman" w:hint="eastAsia"/>
                <w:position w:val="2"/>
                <w:sz w:val="20"/>
                <w:szCs w:val="24"/>
              </w:rPr>
              <w:t>抵用率</w:t>
            </w:r>
            <w:r>
              <w:rPr>
                <w:rFonts w:ascii="標楷體" w:eastAsia="標楷體" w:hAnsi="標楷體" w:cs="Times New Roman" w:hint="eastAsia"/>
                <w:position w:val="2"/>
                <w:sz w:val="20"/>
                <w:szCs w:val="24"/>
              </w:rPr>
              <w:t>仍</w:t>
            </w:r>
            <w:r w:rsidRPr="001A5B22">
              <w:rPr>
                <w:rFonts w:ascii="標楷體" w:eastAsia="標楷體" w:hAnsi="標楷體" w:cs="Times New Roman" w:hint="eastAsia"/>
                <w:position w:val="2"/>
                <w:sz w:val="20"/>
                <w:szCs w:val="24"/>
              </w:rPr>
              <w:t>低，業再</w:t>
            </w:r>
            <w:proofErr w:type="gramStart"/>
            <w:r w:rsidRPr="001A5B22">
              <w:rPr>
                <w:rFonts w:ascii="標楷體" w:eastAsia="標楷體" w:hAnsi="標楷體" w:cs="Times New Roman" w:hint="eastAsia"/>
                <w:position w:val="2"/>
                <w:sz w:val="20"/>
                <w:szCs w:val="24"/>
              </w:rPr>
              <w:t>研</w:t>
            </w:r>
            <w:proofErr w:type="gramEnd"/>
            <w:r w:rsidRPr="001A5B22">
              <w:rPr>
                <w:rFonts w:ascii="標楷體" w:eastAsia="標楷體" w:hAnsi="標楷體" w:cs="Times New Roman" w:hint="eastAsia"/>
                <w:position w:val="2"/>
                <w:sz w:val="20"/>
                <w:szCs w:val="24"/>
              </w:rPr>
              <w:t>提審核意見詳「（三）重要審核意見3</w:t>
            </w:r>
            <w:r w:rsidRPr="001A5B22">
              <w:rPr>
                <w:rFonts w:ascii="標楷體" w:eastAsia="標楷體" w:hAnsi="標楷體" w:cs="Times New Roman"/>
                <w:position w:val="2"/>
                <w:sz w:val="20"/>
                <w:szCs w:val="24"/>
              </w:rPr>
              <w:t>.</w:t>
            </w:r>
            <w:r w:rsidRPr="001A5B22">
              <w:rPr>
                <w:rFonts w:ascii="標楷體" w:eastAsia="標楷體" w:hAnsi="標楷體" w:cs="Times New Roman" w:hint="eastAsia"/>
                <w:position w:val="2"/>
                <w:sz w:val="20"/>
                <w:szCs w:val="24"/>
              </w:rPr>
              <w:t>」</w:t>
            </w:r>
          </w:p>
        </w:tc>
      </w:tr>
      <w:tr w:rsidR="00406878" w:rsidRPr="0008501D" w14:paraId="7814E9C8" w14:textId="77777777" w:rsidTr="003178C0">
        <w:trPr>
          <w:trHeight w:val="397"/>
        </w:trPr>
        <w:tc>
          <w:tcPr>
            <w:tcW w:w="5000" w:type="pct"/>
            <w:gridSpan w:val="2"/>
            <w:vAlign w:val="center"/>
          </w:tcPr>
          <w:p w14:paraId="59143A7E" w14:textId="77777777" w:rsidR="00406878" w:rsidRPr="009E100A" w:rsidRDefault="00406878" w:rsidP="003178C0">
            <w:pPr>
              <w:overflowPunct w:val="0"/>
              <w:autoSpaceDE w:val="0"/>
              <w:autoSpaceDN w:val="0"/>
              <w:spacing w:beforeLines="10" w:before="36" w:afterLines="10" w:after="36" w:line="240" w:lineRule="exact"/>
              <w:rPr>
                <w:rFonts w:ascii="標楷體" w:eastAsia="標楷體" w:hAnsi="Times New Roman" w:cs="Times New Roman"/>
                <w:szCs w:val="24"/>
              </w:rPr>
            </w:pPr>
            <w:r w:rsidRPr="0007286C">
              <w:rPr>
                <w:rFonts w:ascii="標楷體" w:eastAsia="標楷體" w:hAnsi="標楷體" w:cs="Times New Roman" w:hint="eastAsia"/>
                <w:b/>
                <w:sz w:val="20"/>
                <w:szCs w:val="24"/>
              </w:rPr>
              <w:t>已</w:t>
            </w:r>
            <w:proofErr w:type="gramStart"/>
            <w:r w:rsidRPr="0007286C">
              <w:rPr>
                <w:rFonts w:ascii="標楷體" w:eastAsia="標楷體" w:hAnsi="標楷體" w:cs="Times New Roman" w:hint="eastAsia"/>
                <w:b/>
                <w:sz w:val="20"/>
                <w:szCs w:val="24"/>
              </w:rPr>
              <w:t>研</w:t>
            </w:r>
            <w:proofErr w:type="gramEnd"/>
            <w:r w:rsidRPr="0007286C">
              <w:rPr>
                <w:rFonts w:ascii="標楷體" w:eastAsia="標楷體" w:hAnsi="標楷體" w:cs="Times New Roman" w:hint="eastAsia"/>
                <w:b/>
                <w:sz w:val="20"/>
                <w:szCs w:val="24"/>
              </w:rPr>
              <w:t>謀改善或依改善措施持續辦理</w:t>
            </w:r>
          </w:p>
        </w:tc>
      </w:tr>
      <w:tr w:rsidR="00406878" w:rsidRPr="0008501D" w14:paraId="1BBA73A7" w14:textId="77777777" w:rsidTr="00654CAD">
        <w:trPr>
          <w:trHeight w:val="907"/>
        </w:trPr>
        <w:tc>
          <w:tcPr>
            <w:tcW w:w="3440" w:type="pct"/>
            <w:tcBorders>
              <w:right w:val="single" w:sz="4" w:space="0" w:color="auto"/>
            </w:tcBorders>
          </w:tcPr>
          <w:p w14:paraId="5559A114" w14:textId="77777777" w:rsidR="00406878" w:rsidRDefault="00406878" w:rsidP="003178C0">
            <w:pPr>
              <w:overflowPunct w:val="0"/>
              <w:autoSpaceDE w:val="0"/>
              <w:autoSpaceDN w:val="0"/>
              <w:spacing w:line="280" w:lineRule="exact"/>
              <w:ind w:left="200" w:hangingChars="100" w:hanging="200"/>
              <w:jc w:val="both"/>
              <w:rPr>
                <w:rFonts w:ascii="標楷體" w:eastAsia="標楷體" w:hAnsi="標楷體" w:cs="Times New Roman"/>
                <w:position w:val="2"/>
                <w:sz w:val="20"/>
                <w:szCs w:val="24"/>
              </w:rPr>
            </w:pPr>
            <w:r>
              <w:rPr>
                <w:rFonts w:ascii="標楷體" w:eastAsia="標楷體" w:hAnsi="標楷體" w:cs="Times New Roman" w:hint="eastAsia"/>
                <w:position w:val="2"/>
                <w:sz w:val="20"/>
                <w:szCs w:val="24"/>
              </w:rPr>
              <w:t>1</w:t>
            </w:r>
            <w:r w:rsidRPr="00BB7C94">
              <w:rPr>
                <w:rFonts w:ascii="標楷體" w:eastAsia="標楷體" w:hAnsi="標楷體" w:cs="Times New Roman" w:hint="eastAsia"/>
                <w:position w:val="2"/>
                <w:sz w:val="20"/>
                <w:szCs w:val="24"/>
              </w:rPr>
              <w:t>.</w:t>
            </w:r>
            <w:r w:rsidRPr="0008501D">
              <w:rPr>
                <w:rFonts w:ascii="標楷體" w:eastAsia="標楷體" w:hAnsi="標楷體" w:cs="Times New Roman" w:hint="eastAsia"/>
                <w:position w:val="2"/>
                <w:sz w:val="20"/>
                <w:szCs w:val="24"/>
              </w:rPr>
              <w:t>體育局為提升競技水平，辦理競技運動訓練暨科學中心及運動防護人力支援基</w:t>
            </w:r>
            <w:r>
              <w:rPr>
                <w:rFonts w:ascii="標楷體" w:eastAsia="標楷體" w:hAnsi="標楷體" w:cs="Times New Roman" w:hint="eastAsia"/>
                <w:position w:val="2"/>
                <w:sz w:val="20"/>
                <w:szCs w:val="24"/>
              </w:rPr>
              <w:t>層運動</w:t>
            </w:r>
            <w:r w:rsidRPr="0008501D">
              <w:rPr>
                <w:rFonts w:ascii="標楷體" w:eastAsia="標楷體" w:hAnsi="標楷體" w:cs="Times New Roman" w:hint="eastAsia"/>
                <w:position w:val="2"/>
                <w:sz w:val="20"/>
                <w:szCs w:val="24"/>
              </w:rPr>
              <w:t>選手訓練</w:t>
            </w:r>
            <w:r>
              <w:rPr>
                <w:rFonts w:ascii="標楷體" w:eastAsia="標楷體" w:hAnsi="標楷體" w:cs="Times New Roman" w:hint="eastAsia"/>
                <w:position w:val="2"/>
                <w:sz w:val="20"/>
                <w:szCs w:val="24"/>
              </w:rPr>
              <w:t>站</w:t>
            </w:r>
            <w:r w:rsidRPr="0008501D">
              <w:rPr>
                <w:rFonts w:ascii="標楷體" w:eastAsia="標楷體" w:hAnsi="標楷體" w:cs="Times New Roman" w:hint="eastAsia"/>
                <w:position w:val="2"/>
                <w:sz w:val="20"/>
                <w:szCs w:val="24"/>
              </w:rPr>
              <w:t>等計畫多年，</w:t>
            </w:r>
            <w:proofErr w:type="gramStart"/>
            <w:r w:rsidRPr="0008501D">
              <w:rPr>
                <w:rFonts w:ascii="標楷體" w:eastAsia="標楷體" w:hAnsi="標楷體" w:cs="Times New Roman" w:hint="eastAsia"/>
                <w:position w:val="2"/>
                <w:sz w:val="20"/>
                <w:szCs w:val="24"/>
              </w:rPr>
              <w:t>惟間有服務</w:t>
            </w:r>
            <w:proofErr w:type="gramEnd"/>
            <w:r w:rsidRPr="0008501D">
              <w:rPr>
                <w:rFonts w:ascii="標楷體" w:eastAsia="標楷體" w:hAnsi="標楷體" w:cs="Times New Roman" w:hint="eastAsia"/>
                <w:position w:val="2"/>
                <w:sz w:val="20"/>
                <w:szCs w:val="24"/>
              </w:rPr>
              <w:t>人次逐年遞減，或辦理相關採購履約管理及驗收作業未</w:t>
            </w:r>
            <w:proofErr w:type="gramStart"/>
            <w:r w:rsidRPr="0008501D">
              <w:rPr>
                <w:rFonts w:ascii="標楷體" w:eastAsia="標楷體" w:hAnsi="標楷體" w:cs="Times New Roman" w:hint="eastAsia"/>
                <w:position w:val="2"/>
                <w:sz w:val="20"/>
                <w:szCs w:val="24"/>
              </w:rPr>
              <w:t>臻</w:t>
            </w:r>
            <w:proofErr w:type="gramEnd"/>
            <w:r w:rsidRPr="0008501D">
              <w:rPr>
                <w:rFonts w:ascii="標楷體" w:eastAsia="標楷體" w:hAnsi="標楷體" w:cs="Times New Roman" w:hint="eastAsia"/>
                <w:position w:val="2"/>
                <w:sz w:val="20"/>
                <w:szCs w:val="24"/>
              </w:rPr>
              <w:t>周妥等情事，均有待檢討改善。</w:t>
            </w:r>
          </w:p>
        </w:tc>
        <w:tc>
          <w:tcPr>
            <w:tcW w:w="1560" w:type="pct"/>
            <w:vMerge w:val="restart"/>
            <w:tcBorders>
              <w:top w:val="single" w:sz="4" w:space="0" w:color="auto"/>
              <w:left w:val="single" w:sz="4" w:space="0" w:color="auto"/>
              <w:right w:val="single" w:sz="4" w:space="0" w:color="auto"/>
              <w:tl2br w:val="single" w:sz="4" w:space="0" w:color="auto"/>
            </w:tcBorders>
          </w:tcPr>
          <w:p w14:paraId="6A856D2E" w14:textId="77777777" w:rsidR="00406878" w:rsidRPr="009E100A" w:rsidRDefault="00406878" w:rsidP="003178C0">
            <w:pPr>
              <w:overflowPunct w:val="0"/>
              <w:autoSpaceDE w:val="0"/>
              <w:autoSpaceDN w:val="0"/>
              <w:spacing w:before="40" w:after="40" w:line="440" w:lineRule="exact"/>
              <w:jc w:val="both"/>
              <w:rPr>
                <w:rFonts w:ascii="標楷體" w:eastAsia="標楷體" w:hAnsi="Times New Roman" w:cs="Times New Roman"/>
                <w:szCs w:val="24"/>
              </w:rPr>
            </w:pPr>
          </w:p>
        </w:tc>
      </w:tr>
      <w:tr w:rsidR="00406878" w:rsidRPr="0008501D" w14:paraId="0F379565" w14:textId="77777777" w:rsidTr="00654CAD">
        <w:trPr>
          <w:trHeight w:val="850"/>
        </w:trPr>
        <w:tc>
          <w:tcPr>
            <w:tcW w:w="3440" w:type="pct"/>
            <w:tcBorders>
              <w:right w:val="single" w:sz="4" w:space="0" w:color="auto"/>
            </w:tcBorders>
          </w:tcPr>
          <w:p w14:paraId="5AF37D65" w14:textId="77777777" w:rsidR="00406878" w:rsidRDefault="00406878" w:rsidP="003178C0">
            <w:pPr>
              <w:overflowPunct w:val="0"/>
              <w:autoSpaceDE w:val="0"/>
              <w:autoSpaceDN w:val="0"/>
              <w:spacing w:line="280" w:lineRule="exact"/>
              <w:ind w:left="200" w:hangingChars="100" w:hanging="200"/>
              <w:jc w:val="both"/>
              <w:rPr>
                <w:rFonts w:ascii="標楷體" w:eastAsia="標楷體" w:hAnsi="標楷體" w:cs="Times New Roman"/>
                <w:position w:val="2"/>
                <w:sz w:val="20"/>
                <w:szCs w:val="24"/>
              </w:rPr>
            </w:pPr>
            <w:r>
              <w:rPr>
                <w:rFonts w:ascii="標楷體" w:eastAsia="標楷體" w:hAnsi="標楷體" w:cs="Times New Roman" w:hint="eastAsia"/>
                <w:position w:val="2"/>
                <w:sz w:val="20"/>
                <w:szCs w:val="24"/>
              </w:rPr>
              <w:t>2</w:t>
            </w:r>
            <w:r w:rsidRPr="00BB7C94">
              <w:rPr>
                <w:rFonts w:ascii="標楷體" w:eastAsia="標楷體" w:hAnsi="標楷體" w:cs="Times New Roman" w:hint="eastAsia"/>
                <w:position w:val="2"/>
                <w:sz w:val="20"/>
                <w:szCs w:val="24"/>
              </w:rPr>
              <w:t>.</w:t>
            </w:r>
            <w:r w:rsidRPr="0008501D">
              <w:rPr>
                <w:rFonts w:ascii="標楷體" w:eastAsia="標楷體" w:hAnsi="標楷體" w:cs="Times New Roman" w:hint="eastAsia"/>
                <w:position w:val="2"/>
                <w:sz w:val="20"/>
                <w:szCs w:val="24"/>
              </w:rPr>
              <w:t>體育局補助設立</w:t>
            </w:r>
            <w:r>
              <w:rPr>
                <w:rFonts w:ascii="標楷體" w:eastAsia="標楷體" w:hAnsi="標楷體" w:cs="Times New Roman" w:hint="eastAsia"/>
                <w:position w:val="2"/>
                <w:sz w:val="20"/>
                <w:szCs w:val="24"/>
              </w:rPr>
              <w:t>基層訓練</w:t>
            </w:r>
            <w:r w:rsidRPr="0008501D">
              <w:rPr>
                <w:rFonts w:ascii="標楷體" w:eastAsia="標楷體" w:hAnsi="標楷體" w:cs="Times New Roman" w:hint="eastAsia"/>
                <w:position w:val="2"/>
                <w:sz w:val="20"/>
                <w:szCs w:val="24"/>
              </w:rPr>
              <w:t>站及提供選手訓練補助金，積極培育各級選手，惟</w:t>
            </w:r>
            <w:proofErr w:type="gramStart"/>
            <w:r w:rsidRPr="0008501D">
              <w:rPr>
                <w:rFonts w:ascii="標楷體" w:eastAsia="標楷體" w:hAnsi="標楷體" w:cs="Times New Roman" w:hint="eastAsia"/>
                <w:position w:val="2"/>
                <w:sz w:val="20"/>
                <w:szCs w:val="24"/>
              </w:rPr>
              <w:t>尚未對補</w:t>
            </w:r>
            <w:proofErr w:type="gramEnd"/>
            <w:r w:rsidRPr="0008501D">
              <w:rPr>
                <w:rFonts w:ascii="標楷體" w:eastAsia="標楷體" w:hAnsi="標楷體" w:cs="Times New Roman" w:hint="eastAsia"/>
                <w:position w:val="2"/>
                <w:sz w:val="20"/>
                <w:szCs w:val="24"/>
              </w:rPr>
              <w:t>（捐）助民間團體案件進行考核，或未依規定辦理補（捐）助資訊公開等情事，均有待檢討改善。</w:t>
            </w:r>
          </w:p>
        </w:tc>
        <w:tc>
          <w:tcPr>
            <w:tcW w:w="1560" w:type="pct"/>
            <w:vMerge/>
            <w:tcBorders>
              <w:left w:val="single" w:sz="4" w:space="0" w:color="auto"/>
              <w:bottom w:val="single" w:sz="4" w:space="0" w:color="auto"/>
              <w:right w:val="single" w:sz="4" w:space="0" w:color="auto"/>
              <w:tl2br w:val="single" w:sz="4" w:space="0" w:color="auto"/>
            </w:tcBorders>
          </w:tcPr>
          <w:p w14:paraId="4A1E8094" w14:textId="77777777" w:rsidR="00406878" w:rsidRPr="009E100A" w:rsidRDefault="00406878" w:rsidP="003178C0">
            <w:pPr>
              <w:overflowPunct w:val="0"/>
              <w:autoSpaceDE w:val="0"/>
              <w:autoSpaceDN w:val="0"/>
              <w:spacing w:before="40" w:after="40" w:line="440" w:lineRule="exact"/>
              <w:jc w:val="both"/>
              <w:rPr>
                <w:rFonts w:ascii="標楷體" w:eastAsia="標楷體" w:hAnsi="Times New Roman" w:cs="Times New Roman"/>
                <w:szCs w:val="24"/>
              </w:rPr>
            </w:pPr>
          </w:p>
        </w:tc>
      </w:tr>
    </w:tbl>
    <w:p w14:paraId="70AFC0B3" w14:textId="35D0ACD3" w:rsidR="00ED0425" w:rsidRPr="00ED0425" w:rsidRDefault="00ED0425" w:rsidP="00654CAD">
      <w:pPr>
        <w:widowControl/>
        <w:rPr>
          <w:rFonts w:ascii="標楷體" w:eastAsia="標楷體" w:hAnsi="標楷體"/>
          <w:b/>
          <w:color w:val="000000" w:themeColor="text1"/>
          <w:sz w:val="36"/>
          <w:szCs w:val="36"/>
        </w:rPr>
      </w:pPr>
      <w:r>
        <w:rPr>
          <w:rFonts w:ascii="標楷體" w:eastAsia="標楷體" w:hAnsi="標楷體" w:cs="Times New Roman"/>
          <w:spacing w:val="-2"/>
          <w:szCs w:val="24"/>
        </w:rPr>
        <w:br w:type="page"/>
      </w:r>
      <w:r w:rsidRPr="00ED0425">
        <w:rPr>
          <w:rFonts w:ascii="標楷體" w:eastAsia="標楷體" w:hAnsi="標楷體" w:hint="eastAsia"/>
          <w:b/>
          <w:color w:val="000000" w:themeColor="text1"/>
          <w:sz w:val="36"/>
          <w:szCs w:val="36"/>
        </w:rPr>
        <w:lastRenderedPageBreak/>
        <w:t>貳拾參、資訊局主管</w:t>
      </w:r>
    </w:p>
    <w:p w14:paraId="218097A7" w14:textId="77777777" w:rsidR="00ED0425" w:rsidRPr="006945A8" w:rsidRDefault="00ED0425" w:rsidP="006945A8">
      <w:pPr>
        <w:overflowPunct w:val="0"/>
        <w:spacing w:line="380" w:lineRule="exact"/>
        <w:ind w:firstLineChars="200" w:firstLine="464"/>
        <w:jc w:val="both"/>
        <w:rPr>
          <w:rFonts w:ascii="標楷體" w:eastAsia="標楷體" w:hAnsi="標楷體"/>
          <w:color w:val="000000" w:themeColor="text1"/>
          <w:spacing w:val="-4"/>
          <w:szCs w:val="24"/>
        </w:rPr>
      </w:pPr>
      <w:r w:rsidRPr="006945A8">
        <w:rPr>
          <w:rFonts w:ascii="標楷體" w:eastAsia="標楷體" w:hAnsi="標楷體" w:hint="eastAsia"/>
          <w:color w:val="000000" w:themeColor="text1"/>
          <w:spacing w:val="-4"/>
          <w:szCs w:val="24"/>
        </w:rPr>
        <w:t>資訊局主管僅資訊局1個機關，掌理市政府</w:t>
      </w:r>
      <w:r w:rsidRPr="006945A8">
        <w:rPr>
          <w:rFonts w:ascii="標楷體" w:eastAsia="標楷體" w:hAnsi="標楷體" w:hint="eastAsia"/>
          <w:spacing w:val="-4"/>
          <w:szCs w:val="24"/>
        </w:rPr>
        <w:t>數位人力資源、數位服務流程、資通訊安全管理、共同服務資訊系統、共通系統發展平</w:t>
      </w:r>
      <w:proofErr w:type="gramStart"/>
      <w:r w:rsidRPr="006945A8">
        <w:rPr>
          <w:rFonts w:ascii="標楷體" w:eastAsia="標楷體" w:hAnsi="標楷體" w:hint="eastAsia"/>
          <w:spacing w:val="-4"/>
          <w:szCs w:val="24"/>
        </w:rPr>
        <w:t>臺</w:t>
      </w:r>
      <w:proofErr w:type="gramEnd"/>
      <w:r w:rsidRPr="006945A8">
        <w:rPr>
          <w:rFonts w:ascii="標楷體" w:eastAsia="標楷體" w:hAnsi="標楷體" w:hint="eastAsia"/>
          <w:spacing w:val="-4"/>
          <w:szCs w:val="24"/>
        </w:rPr>
        <w:t>、資料流通整合開放、數據分析、公共服務創新、市民數位平權、城市數位轉型等事項之規劃、推動及管理</w:t>
      </w:r>
      <w:r w:rsidRPr="006945A8">
        <w:rPr>
          <w:rFonts w:ascii="標楷體" w:eastAsia="標楷體" w:hAnsi="標楷體" w:hint="eastAsia"/>
          <w:color w:val="000000" w:themeColor="text1"/>
          <w:spacing w:val="-4"/>
          <w:szCs w:val="24"/>
        </w:rPr>
        <w:t>等業務。茲將</w:t>
      </w:r>
      <w:proofErr w:type="gramStart"/>
      <w:r w:rsidRPr="006945A8">
        <w:rPr>
          <w:rFonts w:ascii="標楷體" w:eastAsia="標楷體" w:hAnsi="標楷體" w:hint="eastAsia"/>
          <w:color w:val="000000" w:themeColor="text1"/>
          <w:spacing w:val="-4"/>
          <w:szCs w:val="24"/>
        </w:rPr>
        <w:t>1</w:t>
      </w:r>
      <w:r w:rsidRPr="006945A8">
        <w:rPr>
          <w:rFonts w:ascii="標楷體" w:eastAsia="標楷體" w:hAnsi="標楷體"/>
          <w:color w:val="000000" w:themeColor="text1"/>
          <w:spacing w:val="-4"/>
          <w:szCs w:val="24"/>
        </w:rPr>
        <w:t>1</w:t>
      </w:r>
      <w:r w:rsidRPr="006945A8">
        <w:rPr>
          <w:rFonts w:ascii="標楷體" w:eastAsia="標楷體" w:hAnsi="標楷體" w:hint="eastAsia"/>
          <w:color w:val="000000" w:themeColor="text1"/>
          <w:spacing w:val="-4"/>
          <w:szCs w:val="24"/>
        </w:rPr>
        <w:t>3</w:t>
      </w:r>
      <w:proofErr w:type="gramEnd"/>
      <w:r w:rsidRPr="006945A8">
        <w:rPr>
          <w:rFonts w:ascii="標楷體" w:eastAsia="標楷體" w:hAnsi="標楷體" w:hint="eastAsia"/>
          <w:color w:val="000000" w:themeColor="text1"/>
          <w:spacing w:val="-4"/>
          <w:szCs w:val="24"/>
        </w:rPr>
        <w:t>年度決算審核結果說明如次：</w:t>
      </w:r>
    </w:p>
    <w:p w14:paraId="5D46A8A0" w14:textId="77777777" w:rsidR="00ED0425" w:rsidRPr="00ED0425" w:rsidRDefault="00ED0425" w:rsidP="000422E0">
      <w:pPr>
        <w:spacing w:line="400" w:lineRule="exact"/>
        <w:ind w:firstLineChars="100" w:firstLine="280"/>
        <w:rPr>
          <w:rFonts w:ascii="標楷體" w:eastAsia="標楷體" w:hAnsi="標楷體"/>
          <w:b/>
          <w:color w:val="000000" w:themeColor="text1"/>
          <w:sz w:val="28"/>
          <w:szCs w:val="28"/>
        </w:rPr>
      </w:pPr>
      <w:r w:rsidRPr="00ED0425">
        <w:rPr>
          <w:rFonts w:ascii="標楷體" w:eastAsia="標楷體" w:hAnsi="標楷體" w:hint="eastAsia"/>
          <w:b/>
          <w:color w:val="000000" w:themeColor="text1"/>
          <w:sz w:val="28"/>
          <w:szCs w:val="28"/>
        </w:rPr>
        <w:t>（一）計畫實施之查核</w:t>
      </w:r>
    </w:p>
    <w:p w14:paraId="7ABFDC7C" w14:textId="77777777" w:rsidR="00ED0425" w:rsidRPr="006945A8" w:rsidRDefault="00ED0425" w:rsidP="006945A8">
      <w:pPr>
        <w:overflowPunct w:val="0"/>
        <w:spacing w:line="380" w:lineRule="exact"/>
        <w:ind w:firstLineChars="200" w:firstLine="456"/>
        <w:jc w:val="both"/>
        <w:rPr>
          <w:rFonts w:ascii="標楷體" w:eastAsia="標楷體" w:hAnsi="標楷體"/>
          <w:color w:val="000000" w:themeColor="text1"/>
          <w:spacing w:val="-6"/>
          <w:szCs w:val="24"/>
        </w:rPr>
      </w:pPr>
      <w:r w:rsidRPr="006945A8">
        <w:rPr>
          <w:rFonts w:ascii="標楷體" w:eastAsia="標楷體" w:hAnsi="標楷體" w:hint="eastAsia"/>
          <w:color w:val="000000" w:themeColor="text1"/>
          <w:spacing w:val="-6"/>
          <w:szCs w:val="24"/>
        </w:rPr>
        <w:t>業務計畫5項，下分工作計畫5項，</w:t>
      </w:r>
      <w:r w:rsidRPr="006945A8">
        <w:rPr>
          <w:rFonts w:ascii="標楷體" w:eastAsia="標楷體" w:hAnsi="標楷體" w:hint="eastAsia"/>
          <w:spacing w:val="-6"/>
          <w:szCs w:val="24"/>
        </w:rPr>
        <w:t>包括</w:t>
      </w:r>
      <w:r w:rsidRPr="006945A8">
        <w:rPr>
          <w:rFonts w:ascii="標楷體" w:eastAsia="標楷體" w:hAnsi="標楷體"/>
          <w:spacing w:val="-6"/>
          <w:szCs w:val="24"/>
        </w:rPr>
        <w:t>推動智慧城市</w:t>
      </w:r>
      <w:r w:rsidRPr="006945A8">
        <w:rPr>
          <w:rFonts w:ascii="標楷體" w:eastAsia="標楷體" w:hAnsi="標楷體" w:hint="eastAsia"/>
          <w:spacing w:val="-6"/>
          <w:szCs w:val="24"/>
        </w:rPr>
        <w:t>建設</w:t>
      </w:r>
      <w:r w:rsidRPr="006945A8">
        <w:rPr>
          <w:rFonts w:ascii="標楷體" w:eastAsia="標楷體" w:hAnsi="標楷體"/>
          <w:spacing w:val="-6"/>
          <w:szCs w:val="24"/>
        </w:rPr>
        <w:t>及</w:t>
      </w:r>
      <w:r w:rsidRPr="006945A8">
        <w:rPr>
          <w:rFonts w:ascii="標楷體" w:eastAsia="標楷體" w:hAnsi="標楷體" w:hint="eastAsia"/>
          <w:spacing w:val="-6"/>
          <w:szCs w:val="24"/>
        </w:rPr>
        <w:t>數位轉型、</w:t>
      </w:r>
      <w:r w:rsidRPr="006945A8">
        <w:rPr>
          <w:rFonts w:ascii="標楷體" w:eastAsia="標楷體" w:hAnsi="標楷體"/>
          <w:spacing w:val="-6"/>
          <w:szCs w:val="24"/>
        </w:rPr>
        <w:t>智慧支付整合平</w:t>
      </w:r>
      <w:proofErr w:type="gramStart"/>
      <w:r w:rsidRPr="006945A8">
        <w:rPr>
          <w:rFonts w:ascii="標楷體" w:eastAsia="標楷體" w:hAnsi="標楷體"/>
          <w:spacing w:val="-6"/>
          <w:szCs w:val="24"/>
        </w:rPr>
        <w:t>臺（</w:t>
      </w:r>
      <w:proofErr w:type="spellStart"/>
      <w:proofErr w:type="gramEnd"/>
      <w:r w:rsidRPr="006945A8">
        <w:rPr>
          <w:rFonts w:ascii="標楷體" w:eastAsia="標楷體" w:hAnsi="標楷體"/>
          <w:spacing w:val="-6"/>
          <w:szCs w:val="24"/>
        </w:rPr>
        <w:t>pay.taipei</w:t>
      </w:r>
      <w:proofErr w:type="spellEnd"/>
      <w:proofErr w:type="gramStart"/>
      <w:r w:rsidRPr="006945A8">
        <w:rPr>
          <w:rFonts w:ascii="標楷體" w:eastAsia="標楷體" w:hAnsi="標楷體"/>
          <w:spacing w:val="-6"/>
          <w:szCs w:val="24"/>
        </w:rPr>
        <w:t>）</w:t>
      </w:r>
      <w:proofErr w:type="gramEnd"/>
      <w:r w:rsidRPr="006945A8">
        <w:rPr>
          <w:rFonts w:ascii="標楷體" w:eastAsia="標楷體" w:hAnsi="標楷體"/>
          <w:spacing w:val="-6"/>
          <w:szCs w:val="24"/>
        </w:rPr>
        <w:t>、資料開放平</w:t>
      </w:r>
      <w:proofErr w:type="gramStart"/>
      <w:r w:rsidRPr="006945A8">
        <w:rPr>
          <w:rFonts w:ascii="標楷體" w:eastAsia="標楷體" w:hAnsi="標楷體"/>
          <w:spacing w:val="-6"/>
          <w:szCs w:val="24"/>
        </w:rPr>
        <w:t>臺</w:t>
      </w:r>
      <w:proofErr w:type="gramEnd"/>
      <w:r w:rsidRPr="006945A8">
        <w:rPr>
          <w:rFonts w:ascii="標楷體" w:eastAsia="標楷體" w:hAnsi="標楷體" w:hint="eastAsia"/>
          <w:spacing w:val="-6"/>
          <w:szCs w:val="24"/>
        </w:rPr>
        <w:t>、</w:t>
      </w:r>
      <w:r w:rsidRPr="006945A8">
        <w:rPr>
          <w:rFonts w:ascii="標楷體" w:eastAsia="標楷體" w:hAnsi="標楷體"/>
          <w:spacing w:val="-6"/>
          <w:szCs w:val="24"/>
        </w:rPr>
        <w:t>台北通</w:t>
      </w:r>
      <w:r w:rsidRPr="006945A8">
        <w:rPr>
          <w:rFonts w:ascii="標楷體" w:eastAsia="標楷體" w:hAnsi="標楷體" w:hint="eastAsia"/>
          <w:spacing w:val="-6"/>
          <w:szCs w:val="24"/>
        </w:rPr>
        <w:t>服務，</w:t>
      </w:r>
      <w:r w:rsidRPr="006945A8">
        <w:rPr>
          <w:rFonts w:ascii="標楷體" w:eastAsia="標楷體" w:hAnsi="標楷體"/>
          <w:spacing w:val="-6"/>
          <w:szCs w:val="24"/>
        </w:rPr>
        <w:t>提供地理資訊共用性基礎建設資源</w:t>
      </w:r>
      <w:r w:rsidRPr="006945A8">
        <w:rPr>
          <w:rFonts w:ascii="標楷體" w:eastAsia="標楷體" w:hAnsi="標楷體" w:hint="eastAsia"/>
          <w:color w:val="000000" w:themeColor="text1"/>
          <w:spacing w:val="-6"/>
          <w:szCs w:val="24"/>
        </w:rPr>
        <w:t>等項目，其中已執行完成者4項，尚在執行者1項，主要係</w:t>
      </w:r>
      <w:r w:rsidRPr="006945A8">
        <w:rPr>
          <w:rFonts w:ascii="標楷體" w:eastAsia="標楷體" w:hAnsi="標楷體" w:hint="eastAsia"/>
          <w:spacing w:val="-6"/>
          <w:szCs w:val="24"/>
        </w:rPr>
        <w:t>雲端機房運算資源池服務案、採購評選（審）數位化作業系統建置委託資訊服務採購案及場館租借系統委託資訊服務採購案等契約期程跨年度</w:t>
      </w:r>
      <w:r w:rsidRPr="006945A8">
        <w:rPr>
          <w:rFonts w:ascii="標楷體" w:eastAsia="標楷體" w:hAnsi="標楷體" w:hint="eastAsia"/>
          <w:color w:val="000000" w:themeColor="text1"/>
          <w:spacing w:val="-6"/>
          <w:szCs w:val="24"/>
        </w:rPr>
        <w:t>，仍須繼續執行。</w:t>
      </w:r>
    </w:p>
    <w:p w14:paraId="2D7A8380" w14:textId="77777777" w:rsidR="00ED0425" w:rsidRPr="00ED0425" w:rsidRDefault="00ED0425" w:rsidP="000422E0">
      <w:pPr>
        <w:spacing w:line="400" w:lineRule="exact"/>
        <w:ind w:firstLineChars="100" w:firstLine="280"/>
        <w:rPr>
          <w:rFonts w:ascii="標楷體" w:eastAsia="標楷體" w:hAnsi="標楷體"/>
          <w:b/>
          <w:color w:val="000000" w:themeColor="text1"/>
          <w:sz w:val="28"/>
          <w:szCs w:val="28"/>
        </w:rPr>
      </w:pPr>
      <w:r w:rsidRPr="00ED0425">
        <w:rPr>
          <w:rFonts w:ascii="標楷體" w:eastAsia="標楷體" w:hAnsi="標楷體" w:hint="eastAsia"/>
          <w:b/>
          <w:color w:val="000000" w:themeColor="text1"/>
          <w:sz w:val="28"/>
          <w:szCs w:val="28"/>
        </w:rPr>
        <w:t>（二）預算執行之審核</w:t>
      </w:r>
    </w:p>
    <w:p w14:paraId="5013821E" w14:textId="77777777" w:rsidR="00ED0425" w:rsidRPr="002E0562" w:rsidRDefault="00ED0425" w:rsidP="006945A8">
      <w:pPr>
        <w:overflowPunct w:val="0"/>
        <w:spacing w:line="380" w:lineRule="exact"/>
        <w:ind w:firstLineChars="200" w:firstLine="464"/>
        <w:jc w:val="both"/>
        <w:rPr>
          <w:rFonts w:ascii="標楷體" w:eastAsia="標楷體" w:hAnsi="標楷體"/>
          <w:color w:val="000000" w:themeColor="text1"/>
          <w:spacing w:val="-4"/>
          <w:szCs w:val="24"/>
        </w:rPr>
      </w:pPr>
      <w:r w:rsidRPr="002E0562">
        <w:rPr>
          <w:rFonts w:ascii="標楷體" w:eastAsia="標楷體" w:hAnsi="標楷體" w:hint="eastAsia"/>
          <w:color w:val="000000" w:themeColor="text1"/>
          <w:spacing w:val="-4"/>
          <w:szCs w:val="24"/>
        </w:rPr>
        <w:t>1.歲入預算數1,607萬餘元，決算審核結果，審定實現數</w:t>
      </w:r>
      <w:r w:rsidRPr="002E0562">
        <w:rPr>
          <w:rFonts w:ascii="標楷體" w:eastAsia="標楷體" w:hAnsi="標楷體"/>
          <w:color w:val="000000" w:themeColor="text1"/>
          <w:spacing w:val="-4"/>
          <w:szCs w:val="24"/>
        </w:rPr>
        <w:t>1,6</w:t>
      </w:r>
      <w:r w:rsidRPr="002E0562">
        <w:rPr>
          <w:rFonts w:ascii="標楷體" w:eastAsia="標楷體" w:hAnsi="標楷體" w:hint="eastAsia"/>
          <w:color w:val="000000" w:themeColor="text1"/>
          <w:spacing w:val="-4"/>
          <w:szCs w:val="24"/>
        </w:rPr>
        <w:t>81萬餘元，較預算增加73萬餘元（4.59％），</w:t>
      </w:r>
      <w:r w:rsidRPr="002E0562">
        <w:rPr>
          <w:rFonts w:ascii="標楷體" w:eastAsia="標楷體" w:hAnsi="標楷體" w:hint="eastAsia"/>
          <w:spacing w:val="-4"/>
          <w:szCs w:val="24"/>
        </w:rPr>
        <w:t>主要</w:t>
      </w:r>
      <w:r w:rsidRPr="002E0562">
        <w:rPr>
          <w:rFonts w:ascii="標楷體" w:eastAsia="標楷體" w:hAnsi="標楷體" w:hint="eastAsia"/>
          <w:color w:val="000000" w:themeColor="text1"/>
          <w:spacing w:val="-4"/>
          <w:szCs w:val="24"/>
        </w:rPr>
        <w:t>係</w:t>
      </w:r>
      <w:r w:rsidRPr="002E0562">
        <w:rPr>
          <w:rFonts w:ascii="標楷體" w:eastAsia="標楷體" w:hAnsi="標楷體" w:hint="eastAsia"/>
          <w:spacing w:val="-4"/>
          <w:szCs w:val="24"/>
        </w:rPr>
        <w:t>臺北市</w:t>
      </w:r>
      <w:r w:rsidRPr="002E0562">
        <w:rPr>
          <w:rFonts w:ascii="標楷體" w:eastAsia="標楷體" w:hAnsi="標楷體" w:hint="eastAsia"/>
          <w:color w:val="000000" w:themeColor="text1"/>
          <w:spacing w:val="-4"/>
          <w:szCs w:val="24"/>
        </w:rPr>
        <w:t>民眾免費無線</w:t>
      </w:r>
      <w:r w:rsidRPr="002945D4">
        <w:rPr>
          <w:rFonts w:ascii="標楷體" w:eastAsia="標楷體" w:hAnsi="標楷體" w:hint="eastAsia"/>
          <w:color w:val="000000" w:themeColor="text1"/>
          <w:szCs w:val="24"/>
        </w:rPr>
        <w:t>上網</w:t>
      </w:r>
      <w:r w:rsidRPr="002E0562">
        <w:rPr>
          <w:rFonts w:ascii="標楷體" w:eastAsia="標楷體" w:hAnsi="標楷體" w:hint="eastAsia"/>
          <w:color w:val="000000" w:themeColor="text1"/>
          <w:spacing w:val="-4"/>
          <w:szCs w:val="24"/>
        </w:rPr>
        <w:t>委託服務案安裝無線接取設備電費收入較預計增加。</w:t>
      </w:r>
    </w:p>
    <w:p w14:paraId="177390B8" w14:textId="77777777" w:rsidR="00ED0425" w:rsidRPr="00ED0425" w:rsidRDefault="00ED0425" w:rsidP="006945A8">
      <w:pPr>
        <w:overflowPunct w:val="0"/>
        <w:spacing w:line="380" w:lineRule="exact"/>
        <w:ind w:firstLineChars="200" w:firstLine="480"/>
        <w:jc w:val="both"/>
        <w:rPr>
          <w:rFonts w:ascii="標楷體" w:eastAsia="標楷體" w:hAnsi="標楷體"/>
          <w:color w:val="000000" w:themeColor="text1"/>
          <w:szCs w:val="24"/>
        </w:rPr>
      </w:pPr>
      <w:r w:rsidRPr="00ED0425">
        <w:rPr>
          <w:rFonts w:ascii="標楷體" w:eastAsia="標楷體" w:hAnsi="標楷體" w:hint="eastAsia"/>
          <w:color w:val="000000" w:themeColor="text1"/>
          <w:szCs w:val="24"/>
        </w:rPr>
        <w:t>2.歲出預算數9億6,217萬元，決算審核結果，審定實現數8億9</w:t>
      </w:r>
      <w:r w:rsidRPr="00ED0425">
        <w:rPr>
          <w:rFonts w:ascii="標楷體" w:eastAsia="標楷體" w:hAnsi="標楷體"/>
          <w:color w:val="000000" w:themeColor="text1"/>
          <w:szCs w:val="24"/>
        </w:rPr>
        <w:t>,</w:t>
      </w:r>
      <w:r w:rsidRPr="00ED0425">
        <w:rPr>
          <w:rFonts w:ascii="標楷體" w:eastAsia="標楷體" w:hAnsi="標楷體" w:hint="eastAsia"/>
          <w:color w:val="000000" w:themeColor="text1"/>
          <w:szCs w:val="24"/>
        </w:rPr>
        <w:t>941萬餘元（93.48％），應付保留數2,358萬餘元（2.45％），保留原因詳「（一）計畫實施之查核」說明；合計決算審定數為9億2</w:t>
      </w:r>
      <w:r w:rsidRPr="00ED0425">
        <w:rPr>
          <w:rFonts w:ascii="標楷體" w:eastAsia="標楷體" w:hAnsi="標楷體"/>
          <w:color w:val="000000" w:themeColor="text1"/>
          <w:szCs w:val="24"/>
        </w:rPr>
        <w:t>,</w:t>
      </w:r>
      <w:r w:rsidRPr="00ED0425">
        <w:rPr>
          <w:rFonts w:ascii="標楷體" w:eastAsia="標楷體" w:hAnsi="標楷體" w:hint="eastAsia"/>
          <w:color w:val="000000" w:themeColor="text1"/>
          <w:szCs w:val="24"/>
        </w:rPr>
        <w:t>300萬餘元，預算賸餘3,916萬餘元（4.07％），主要</w:t>
      </w:r>
      <w:r w:rsidRPr="00ED0425">
        <w:rPr>
          <w:rFonts w:ascii="標楷體" w:eastAsia="標楷體" w:hAnsi="標楷體" w:hint="eastAsia"/>
          <w:szCs w:val="24"/>
        </w:rPr>
        <w:t>係智慧城市專案管理案、數位創新便民服務</w:t>
      </w:r>
      <w:proofErr w:type="gramStart"/>
      <w:r w:rsidRPr="00ED0425">
        <w:rPr>
          <w:rFonts w:ascii="標楷體" w:eastAsia="標楷體" w:hAnsi="標楷體" w:hint="eastAsia"/>
          <w:szCs w:val="24"/>
        </w:rPr>
        <w:t>推動及維運</w:t>
      </w:r>
      <w:proofErr w:type="gramEnd"/>
      <w:r w:rsidRPr="00ED0425">
        <w:rPr>
          <w:rFonts w:ascii="標楷體" w:eastAsia="標楷體" w:hAnsi="標楷體" w:hint="eastAsia"/>
          <w:szCs w:val="24"/>
        </w:rPr>
        <w:t>相關費用等</w:t>
      </w:r>
      <w:r w:rsidRPr="00ED0425">
        <w:rPr>
          <w:rFonts w:ascii="標楷體" w:eastAsia="標楷體" w:hAnsi="標楷體" w:hint="eastAsia"/>
          <w:color w:val="000000" w:themeColor="text1"/>
          <w:szCs w:val="24"/>
        </w:rPr>
        <w:t>之結餘</w:t>
      </w:r>
      <w:r w:rsidRPr="00ED0425">
        <w:rPr>
          <w:rFonts w:ascii="標楷體" w:eastAsia="標楷體" w:hAnsi="標楷體" w:hint="eastAsia"/>
          <w:szCs w:val="24"/>
        </w:rPr>
        <w:t>，及實際進用員額較少之人事費結餘</w:t>
      </w:r>
      <w:r w:rsidRPr="00ED0425">
        <w:rPr>
          <w:rFonts w:ascii="標楷體" w:eastAsia="標楷體" w:hAnsi="標楷體" w:hint="eastAsia"/>
          <w:color w:val="000000" w:themeColor="text1"/>
          <w:szCs w:val="24"/>
        </w:rPr>
        <w:t>。</w:t>
      </w:r>
    </w:p>
    <w:p w14:paraId="478391D3" w14:textId="77777777" w:rsidR="00ED0425" w:rsidRPr="00ED0425" w:rsidRDefault="00ED0425" w:rsidP="006945A8">
      <w:pPr>
        <w:overflowPunct w:val="0"/>
        <w:spacing w:line="380" w:lineRule="exact"/>
        <w:ind w:firstLineChars="200" w:firstLine="480"/>
        <w:jc w:val="both"/>
        <w:rPr>
          <w:rFonts w:ascii="標楷體" w:eastAsia="標楷體" w:hAnsi="標楷體"/>
          <w:szCs w:val="24"/>
        </w:rPr>
      </w:pPr>
      <w:r w:rsidRPr="00ED0425">
        <w:rPr>
          <w:rFonts w:ascii="標楷體" w:eastAsia="標楷體" w:hAnsi="標楷體" w:hint="eastAsia"/>
          <w:color w:val="000000" w:themeColor="text1"/>
          <w:szCs w:val="24"/>
        </w:rPr>
        <w:t>3.</w:t>
      </w:r>
      <w:r w:rsidRPr="00ED0425">
        <w:rPr>
          <w:rFonts w:ascii="標楷體" w:eastAsia="標楷體" w:hAnsi="標楷體" w:hint="eastAsia"/>
          <w:color w:val="000000" w:themeColor="text1"/>
          <w:spacing w:val="2"/>
          <w:szCs w:val="24"/>
        </w:rPr>
        <w:t>以前年度歲出轉入數計550萬元，決算審核結果，審定實現數539萬餘元（98.09％），減免（註銷）數</w:t>
      </w:r>
      <w:r w:rsidRPr="002E0562">
        <w:rPr>
          <w:rFonts w:ascii="標楷體" w:eastAsia="標楷體" w:hAnsi="標楷體" w:hint="eastAsia"/>
          <w:color w:val="000000" w:themeColor="text1"/>
          <w:szCs w:val="24"/>
        </w:rPr>
        <w:t>10</w:t>
      </w:r>
      <w:r w:rsidRPr="00ED0425">
        <w:rPr>
          <w:rFonts w:ascii="標楷體" w:eastAsia="標楷體" w:hAnsi="標楷體" w:hint="eastAsia"/>
          <w:color w:val="000000" w:themeColor="text1"/>
          <w:spacing w:val="2"/>
          <w:szCs w:val="24"/>
        </w:rPr>
        <w:t>萬餘元（1.91％），</w:t>
      </w:r>
      <w:r w:rsidRPr="00ED0425">
        <w:rPr>
          <w:rFonts w:ascii="標楷體" w:eastAsia="標楷體" w:hAnsi="標楷體"/>
          <w:color w:val="000000" w:themeColor="text1"/>
          <w:spacing w:val="2"/>
          <w:szCs w:val="24"/>
        </w:rPr>
        <w:t>主要</w:t>
      </w:r>
      <w:r w:rsidRPr="00ED0425">
        <w:rPr>
          <w:rFonts w:ascii="標楷體" w:eastAsia="標楷體" w:hAnsi="標楷體"/>
          <w:spacing w:val="2"/>
          <w:szCs w:val="24"/>
        </w:rPr>
        <w:t>係</w:t>
      </w:r>
      <w:r w:rsidRPr="00ED0425">
        <w:rPr>
          <w:rFonts w:ascii="標楷體" w:eastAsia="標楷體" w:hAnsi="標楷體" w:hint="eastAsia"/>
          <w:spacing w:val="2"/>
          <w:szCs w:val="24"/>
        </w:rPr>
        <w:t>數位申辦系統整合委託資訊服務採購案</w:t>
      </w:r>
      <w:r w:rsidRPr="00ED0425">
        <w:rPr>
          <w:rFonts w:ascii="標楷體" w:eastAsia="標楷體" w:hAnsi="標楷體" w:hint="eastAsia"/>
          <w:color w:val="000000" w:themeColor="text1"/>
          <w:spacing w:val="2"/>
          <w:szCs w:val="24"/>
        </w:rPr>
        <w:t>之結餘。</w:t>
      </w:r>
    </w:p>
    <w:p w14:paraId="1D7E2139" w14:textId="77777777" w:rsidR="00ED0425" w:rsidRPr="00ED0425" w:rsidRDefault="00ED0425" w:rsidP="00D74D81">
      <w:pPr>
        <w:spacing w:beforeLines="10" w:before="36" w:line="400" w:lineRule="exact"/>
        <w:ind w:firstLineChars="100" w:firstLine="280"/>
        <w:rPr>
          <w:rFonts w:ascii="標楷體" w:eastAsia="標楷體" w:hAnsi="標楷體"/>
          <w:b/>
          <w:sz w:val="28"/>
          <w:szCs w:val="28"/>
        </w:rPr>
      </w:pPr>
      <w:r w:rsidRPr="00ED0425">
        <w:rPr>
          <w:rFonts w:ascii="標楷體" w:eastAsia="標楷體" w:hAnsi="標楷體" w:hint="eastAsia"/>
          <w:b/>
          <w:sz w:val="28"/>
          <w:szCs w:val="28"/>
        </w:rPr>
        <w:t>（三）</w:t>
      </w:r>
      <w:r w:rsidRPr="00696D0C">
        <w:rPr>
          <w:rFonts w:ascii="標楷體" w:eastAsia="標楷體" w:hAnsi="標楷體" w:hint="eastAsia"/>
          <w:b/>
          <w:color w:val="000000" w:themeColor="text1"/>
          <w:sz w:val="28"/>
          <w:szCs w:val="28"/>
        </w:rPr>
        <w:t>重要審核意見</w:t>
      </w:r>
    </w:p>
    <w:p w14:paraId="0ACD4BD2" w14:textId="77777777" w:rsidR="00ED0425" w:rsidRPr="00ED0425" w:rsidRDefault="00ED0425" w:rsidP="00764701">
      <w:pPr>
        <w:widowControl/>
        <w:suppressAutoHyphens/>
        <w:overflowPunct w:val="0"/>
        <w:spacing w:line="400" w:lineRule="exact"/>
        <w:ind w:firstLineChars="200" w:firstLine="561"/>
        <w:jc w:val="both"/>
        <w:rPr>
          <w:rFonts w:ascii="標楷體" w:eastAsia="標楷體" w:hAnsi="標楷體"/>
          <w:b/>
          <w:sz w:val="28"/>
          <w:szCs w:val="32"/>
        </w:rPr>
      </w:pPr>
      <w:r w:rsidRPr="00ED0425">
        <w:rPr>
          <w:rFonts w:ascii="標楷體" w:eastAsia="標楷體" w:hAnsi="標楷體" w:hint="eastAsia"/>
          <w:b/>
          <w:sz w:val="28"/>
          <w:szCs w:val="32"/>
        </w:rPr>
        <w:t>1.為行銷</w:t>
      </w:r>
      <w:proofErr w:type="gramStart"/>
      <w:r w:rsidRPr="00ED0425">
        <w:rPr>
          <w:rFonts w:ascii="標楷體" w:eastAsia="標楷體" w:hAnsi="標楷體" w:hint="eastAsia"/>
          <w:b/>
          <w:sz w:val="28"/>
          <w:szCs w:val="32"/>
        </w:rPr>
        <w:t>臺</w:t>
      </w:r>
      <w:proofErr w:type="gramEnd"/>
      <w:r w:rsidRPr="00ED0425">
        <w:rPr>
          <w:rFonts w:ascii="標楷體" w:eastAsia="標楷體" w:hAnsi="標楷體" w:hint="eastAsia"/>
          <w:b/>
          <w:sz w:val="28"/>
          <w:szCs w:val="32"/>
        </w:rPr>
        <w:t>北及彰顯臺北市數位城市與數位版圖，持續推動「.</w:t>
      </w:r>
      <w:proofErr w:type="spellStart"/>
      <w:r w:rsidRPr="00ED0425">
        <w:rPr>
          <w:rFonts w:ascii="標楷體" w:eastAsia="標楷體" w:hAnsi="標楷體" w:hint="eastAsia"/>
          <w:b/>
          <w:sz w:val="28"/>
          <w:szCs w:val="32"/>
        </w:rPr>
        <w:t>taipei</w:t>
      </w:r>
      <w:proofErr w:type="spellEnd"/>
      <w:r w:rsidRPr="00ED0425">
        <w:rPr>
          <w:rFonts w:ascii="標楷體" w:eastAsia="標楷體" w:hAnsi="標楷體" w:hint="eastAsia"/>
          <w:b/>
          <w:sz w:val="28"/>
          <w:szCs w:val="32"/>
        </w:rPr>
        <w:t>」網域，惟網域繳費註冊數呈減少趨勢，又部分註冊網域</w:t>
      </w:r>
      <w:proofErr w:type="gramStart"/>
      <w:r w:rsidRPr="00ED0425">
        <w:rPr>
          <w:rFonts w:ascii="標楷體" w:eastAsia="標楷體" w:hAnsi="標楷體" w:hint="eastAsia"/>
          <w:b/>
          <w:sz w:val="28"/>
          <w:szCs w:val="32"/>
        </w:rPr>
        <w:t>疑</w:t>
      </w:r>
      <w:proofErr w:type="gramEnd"/>
      <w:r w:rsidRPr="00ED0425">
        <w:rPr>
          <w:rFonts w:ascii="標楷體" w:eastAsia="標楷體" w:hAnsi="標楷體" w:hint="eastAsia"/>
          <w:b/>
          <w:sz w:val="28"/>
          <w:szCs w:val="32"/>
        </w:rPr>
        <w:t>涉</w:t>
      </w:r>
      <w:proofErr w:type="gramStart"/>
      <w:r w:rsidRPr="00ED0425">
        <w:rPr>
          <w:rFonts w:ascii="標楷體" w:eastAsia="標楷體" w:hAnsi="標楷體" w:hint="eastAsia"/>
          <w:b/>
          <w:sz w:val="28"/>
          <w:szCs w:val="32"/>
        </w:rPr>
        <w:t>經營線上博弈</w:t>
      </w:r>
      <w:proofErr w:type="gramEnd"/>
      <w:r w:rsidRPr="00ED0425">
        <w:rPr>
          <w:rFonts w:ascii="標楷體" w:eastAsia="標楷體" w:hAnsi="標楷體" w:hint="eastAsia"/>
          <w:b/>
          <w:sz w:val="28"/>
          <w:szCs w:val="32"/>
        </w:rPr>
        <w:t>或散</w:t>
      </w:r>
      <w:proofErr w:type="gramStart"/>
      <w:r w:rsidRPr="00ED0425">
        <w:rPr>
          <w:rFonts w:ascii="標楷體" w:eastAsia="標楷體" w:hAnsi="標楷體" w:hint="eastAsia"/>
          <w:b/>
          <w:sz w:val="28"/>
          <w:szCs w:val="32"/>
        </w:rPr>
        <w:t>布情色文字</w:t>
      </w:r>
      <w:proofErr w:type="gramEnd"/>
      <w:r w:rsidRPr="00ED0425">
        <w:rPr>
          <w:rFonts w:ascii="標楷體" w:eastAsia="標楷體" w:hAnsi="標楷體" w:hint="eastAsia"/>
          <w:b/>
          <w:sz w:val="28"/>
          <w:szCs w:val="32"/>
        </w:rPr>
        <w:t>等違規行為，另市府部分機關網站未依計畫辦理網域轉移至「.</w:t>
      </w:r>
      <w:proofErr w:type="spellStart"/>
      <w:r w:rsidRPr="00ED0425">
        <w:rPr>
          <w:rFonts w:ascii="標楷體" w:eastAsia="標楷體" w:hAnsi="標楷體" w:hint="eastAsia"/>
          <w:b/>
          <w:sz w:val="28"/>
          <w:szCs w:val="32"/>
        </w:rPr>
        <w:t>taipei</w:t>
      </w:r>
      <w:proofErr w:type="spellEnd"/>
      <w:r w:rsidRPr="00ED0425">
        <w:rPr>
          <w:rFonts w:ascii="標楷體" w:eastAsia="標楷體" w:hAnsi="標楷體" w:hint="eastAsia"/>
          <w:b/>
          <w:sz w:val="28"/>
          <w:szCs w:val="32"/>
        </w:rPr>
        <w:t>」網域等情，有待</w:t>
      </w:r>
      <w:proofErr w:type="gramStart"/>
      <w:r w:rsidRPr="00ED0425">
        <w:rPr>
          <w:rFonts w:ascii="標楷體" w:eastAsia="標楷體" w:hAnsi="標楷體" w:hint="eastAsia"/>
          <w:b/>
          <w:sz w:val="28"/>
          <w:szCs w:val="32"/>
        </w:rPr>
        <w:t>研謀妥處</w:t>
      </w:r>
      <w:proofErr w:type="gramEnd"/>
      <w:r w:rsidRPr="00ED0425">
        <w:rPr>
          <w:rFonts w:ascii="標楷體" w:eastAsia="標楷體" w:hAnsi="標楷體" w:hint="eastAsia"/>
          <w:b/>
          <w:sz w:val="28"/>
          <w:szCs w:val="32"/>
        </w:rPr>
        <w:t>。</w:t>
      </w:r>
    </w:p>
    <w:p w14:paraId="00E26F0A" w14:textId="75C6DF10" w:rsidR="00ED0425" w:rsidRDefault="00ED0425" w:rsidP="006945A8">
      <w:pPr>
        <w:overflowPunct w:val="0"/>
        <w:spacing w:line="380" w:lineRule="exact"/>
        <w:ind w:firstLineChars="200" w:firstLine="472"/>
        <w:jc w:val="both"/>
        <w:rPr>
          <w:rFonts w:ascii="標楷體" w:eastAsia="標楷體" w:hAnsi="標楷體"/>
          <w:spacing w:val="-2"/>
        </w:rPr>
      </w:pPr>
      <w:r w:rsidRPr="002E0562">
        <w:rPr>
          <w:rFonts w:ascii="標楷體" w:eastAsia="標楷體" w:hAnsi="標楷體" w:hint="eastAsia"/>
          <w:color w:val="000000" w:themeColor="text1"/>
          <w:spacing w:val="-2"/>
        </w:rPr>
        <w:t xml:space="preserve">臺北市政府於103年9月25日通過網際網路名稱與數字位址分配機構（Internet Corporation for </w:t>
      </w:r>
      <w:r w:rsidRPr="00764701">
        <w:rPr>
          <w:rFonts w:ascii="標楷體" w:eastAsia="標楷體" w:hAnsi="標楷體" w:hint="eastAsia"/>
          <w:color w:val="000000" w:themeColor="text1"/>
          <w:spacing w:val="2"/>
          <w:szCs w:val="24"/>
        </w:rPr>
        <w:t>Assigned</w:t>
      </w:r>
      <w:r w:rsidRPr="002E0562">
        <w:rPr>
          <w:rFonts w:ascii="標楷體" w:eastAsia="標楷體" w:hAnsi="標楷體" w:hint="eastAsia"/>
          <w:color w:val="000000" w:themeColor="text1"/>
          <w:spacing w:val="-2"/>
        </w:rPr>
        <w:t xml:space="preserve"> </w:t>
      </w:r>
      <w:r w:rsidRPr="002E0562">
        <w:rPr>
          <w:rFonts w:ascii="標楷體" w:eastAsia="標楷體" w:hAnsi="標楷體" w:hint="eastAsia"/>
          <w:color w:val="000000" w:themeColor="text1"/>
          <w:spacing w:val="-2"/>
          <w:szCs w:val="24"/>
        </w:rPr>
        <w:t>Names</w:t>
      </w:r>
      <w:r w:rsidRPr="002E0562">
        <w:rPr>
          <w:rFonts w:ascii="標楷體" w:eastAsia="標楷體" w:hAnsi="標楷體" w:hint="eastAsia"/>
          <w:color w:val="000000" w:themeColor="text1"/>
          <w:spacing w:val="-2"/>
        </w:rPr>
        <w:t xml:space="preserve"> and </w:t>
      </w:r>
      <w:proofErr w:type="spellStart"/>
      <w:r w:rsidRPr="002E0562">
        <w:rPr>
          <w:rFonts w:ascii="標楷體" w:eastAsia="標楷體" w:hAnsi="標楷體" w:hint="eastAsia"/>
          <w:color w:val="000000" w:themeColor="text1"/>
          <w:spacing w:val="-2"/>
        </w:rPr>
        <w:t>Numbers,ICANN</w:t>
      </w:r>
      <w:proofErr w:type="spellEnd"/>
      <w:r w:rsidRPr="002E0562">
        <w:rPr>
          <w:rFonts w:ascii="標楷體" w:eastAsia="標楷體" w:hAnsi="標楷體" w:hint="eastAsia"/>
          <w:color w:val="000000" w:themeColor="text1"/>
          <w:spacing w:val="-2"/>
        </w:rPr>
        <w:t>，下稱ICANN）授予「.</w:t>
      </w:r>
      <w:proofErr w:type="spellStart"/>
      <w:r w:rsidRPr="002E0562">
        <w:rPr>
          <w:rFonts w:ascii="標楷體" w:eastAsia="標楷體" w:hAnsi="標楷體" w:hint="eastAsia"/>
          <w:color w:val="000000" w:themeColor="text1"/>
          <w:spacing w:val="-2"/>
        </w:rPr>
        <w:t>taipei</w:t>
      </w:r>
      <w:proofErr w:type="spellEnd"/>
      <w:r w:rsidRPr="002E0562">
        <w:rPr>
          <w:rFonts w:ascii="標楷體" w:eastAsia="標楷體" w:hAnsi="標楷體" w:hint="eastAsia"/>
          <w:color w:val="000000" w:themeColor="text1"/>
          <w:spacing w:val="-2"/>
        </w:rPr>
        <w:t>」網域註冊管理權，由該府擔任「.</w:t>
      </w:r>
      <w:proofErr w:type="spellStart"/>
      <w:r w:rsidRPr="002E0562">
        <w:rPr>
          <w:rFonts w:ascii="標楷體" w:eastAsia="標楷體" w:hAnsi="標楷體" w:hint="eastAsia"/>
          <w:color w:val="000000" w:themeColor="text1"/>
          <w:spacing w:val="-2"/>
        </w:rPr>
        <w:t>taipei</w:t>
      </w:r>
      <w:proofErr w:type="spellEnd"/>
      <w:r w:rsidRPr="002E0562">
        <w:rPr>
          <w:rFonts w:ascii="標楷體" w:eastAsia="標楷體" w:hAnsi="標楷體" w:hint="eastAsia"/>
          <w:color w:val="000000" w:themeColor="text1"/>
          <w:spacing w:val="-2"/>
        </w:rPr>
        <w:t>」網域之註冊管理局，並自104年9月9日起全面開放註冊服務，由資訊局執行網域營運管理業務。經查該局辦理「.</w:t>
      </w:r>
      <w:proofErr w:type="spellStart"/>
      <w:r w:rsidRPr="002E0562">
        <w:rPr>
          <w:rFonts w:ascii="標楷體" w:eastAsia="標楷體" w:hAnsi="標楷體" w:hint="eastAsia"/>
          <w:color w:val="000000" w:themeColor="text1"/>
          <w:spacing w:val="-2"/>
        </w:rPr>
        <w:t>taipei</w:t>
      </w:r>
      <w:proofErr w:type="spellEnd"/>
      <w:r w:rsidRPr="002E0562">
        <w:rPr>
          <w:rFonts w:ascii="標楷體" w:eastAsia="標楷體" w:hAnsi="標楷體" w:hint="eastAsia"/>
          <w:color w:val="000000" w:themeColor="text1"/>
          <w:spacing w:val="-2"/>
        </w:rPr>
        <w:t>」網域營運管理情形，核有下列事項</w:t>
      </w:r>
      <w:r w:rsidRPr="002E0562">
        <w:rPr>
          <w:rFonts w:ascii="標楷體" w:eastAsia="標楷體" w:hAnsi="標楷體" w:hint="eastAsia"/>
          <w:spacing w:val="-2"/>
        </w:rPr>
        <w:t>：</w:t>
      </w:r>
    </w:p>
    <w:p w14:paraId="6D1A2B66" w14:textId="02D19C78" w:rsidR="006945A8" w:rsidRDefault="000422E0" w:rsidP="00385965">
      <w:pPr>
        <w:overflowPunct w:val="0"/>
        <w:spacing w:line="400" w:lineRule="exact"/>
        <w:ind w:firstLineChars="200" w:firstLine="488"/>
        <w:jc w:val="both"/>
        <w:rPr>
          <w:rFonts w:ascii="標楷體" w:eastAsia="標楷體" w:hAnsi="標楷體"/>
          <w:bCs/>
          <w:color w:val="000000" w:themeColor="text1"/>
          <w:spacing w:val="-4"/>
        </w:rPr>
      </w:pPr>
      <w:r w:rsidRPr="00ED0425">
        <w:rPr>
          <w:rFonts w:ascii="標楷體" w:eastAsia="標楷體" w:hAnsi="標楷體" w:hint="eastAsia"/>
          <w:b/>
          <w:color w:val="000000" w:themeColor="text1"/>
          <w:spacing w:val="2"/>
        </w:rPr>
        <w:t>（</w:t>
      </w:r>
      <w:r w:rsidRPr="00ED0425">
        <w:rPr>
          <w:rFonts w:ascii="標楷體" w:eastAsia="標楷體" w:hAnsi="標楷體" w:hint="eastAsia"/>
          <w:b/>
          <w:color w:val="000000" w:themeColor="text1"/>
        </w:rPr>
        <w:t>1）推動「.</w:t>
      </w:r>
      <w:proofErr w:type="spellStart"/>
      <w:r w:rsidRPr="00ED0425">
        <w:rPr>
          <w:rFonts w:ascii="標楷體" w:eastAsia="標楷體" w:hAnsi="標楷體" w:hint="eastAsia"/>
          <w:b/>
          <w:color w:val="000000" w:themeColor="text1"/>
        </w:rPr>
        <w:t>taipei</w:t>
      </w:r>
      <w:proofErr w:type="spellEnd"/>
      <w:r w:rsidRPr="00ED0425">
        <w:rPr>
          <w:rFonts w:ascii="標楷體" w:eastAsia="標楷體" w:hAnsi="標楷體" w:hint="eastAsia"/>
          <w:b/>
          <w:color w:val="000000" w:themeColor="text1"/>
        </w:rPr>
        <w:t>」網域至今已歷9年餘，惟網域繳費註冊數呈減少趨勢且迄未達權利金收入門檻：</w:t>
      </w:r>
      <w:r w:rsidRPr="00ED0425">
        <w:rPr>
          <w:rFonts w:ascii="標楷體" w:eastAsia="標楷體" w:hAnsi="標楷體" w:hint="eastAsia"/>
          <w:bCs/>
          <w:color w:val="000000" w:themeColor="text1"/>
        </w:rPr>
        <w:t>資訊局為行銷</w:t>
      </w:r>
      <w:proofErr w:type="gramStart"/>
      <w:r w:rsidRPr="00ED0425">
        <w:rPr>
          <w:rFonts w:ascii="標楷體" w:eastAsia="標楷體" w:hAnsi="標楷體" w:hint="eastAsia"/>
          <w:bCs/>
          <w:color w:val="000000" w:themeColor="text1"/>
        </w:rPr>
        <w:t>臺</w:t>
      </w:r>
      <w:proofErr w:type="gramEnd"/>
      <w:r w:rsidRPr="00ED0425">
        <w:rPr>
          <w:rFonts w:ascii="標楷體" w:eastAsia="標楷體" w:hAnsi="標楷體" w:hint="eastAsia"/>
          <w:bCs/>
          <w:color w:val="000000" w:themeColor="text1"/>
        </w:rPr>
        <w:t>北及彰顯</w:t>
      </w:r>
      <w:r w:rsidRPr="00764701">
        <w:rPr>
          <w:rFonts w:ascii="標楷體" w:eastAsia="標楷體" w:hAnsi="標楷體" w:hint="eastAsia"/>
          <w:color w:val="000000" w:themeColor="text1"/>
          <w:spacing w:val="2"/>
          <w:szCs w:val="24"/>
        </w:rPr>
        <w:t>臺北市</w:t>
      </w:r>
      <w:r w:rsidRPr="00ED0425">
        <w:rPr>
          <w:rFonts w:ascii="標楷體" w:eastAsia="標楷體" w:hAnsi="標楷體" w:hint="eastAsia"/>
          <w:bCs/>
          <w:color w:val="000000" w:themeColor="text1"/>
        </w:rPr>
        <w:t>數位城市與數位版圖，自</w:t>
      </w:r>
      <w:proofErr w:type="gramStart"/>
      <w:r w:rsidRPr="00ED0425">
        <w:rPr>
          <w:rFonts w:ascii="標楷體" w:eastAsia="標楷體" w:hAnsi="標楷體" w:hint="eastAsia"/>
          <w:bCs/>
          <w:color w:val="000000" w:themeColor="text1"/>
        </w:rPr>
        <w:t>103</w:t>
      </w:r>
      <w:proofErr w:type="gramEnd"/>
      <w:r w:rsidRPr="00ED0425">
        <w:rPr>
          <w:rFonts w:ascii="標楷體" w:eastAsia="標楷體" w:hAnsi="標楷體" w:hint="eastAsia"/>
          <w:bCs/>
          <w:color w:val="000000" w:themeColor="text1"/>
        </w:rPr>
        <w:t>年度起將「.</w:t>
      </w:r>
      <w:proofErr w:type="spellStart"/>
      <w:r w:rsidRPr="00ED0425">
        <w:rPr>
          <w:rFonts w:ascii="標楷體" w:eastAsia="標楷體" w:hAnsi="標楷體" w:hint="eastAsia"/>
          <w:bCs/>
          <w:color w:val="000000" w:themeColor="text1"/>
        </w:rPr>
        <w:t>taipei</w:t>
      </w:r>
      <w:proofErr w:type="spellEnd"/>
      <w:r w:rsidRPr="00ED0425">
        <w:rPr>
          <w:rFonts w:ascii="標楷體" w:eastAsia="標楷體" w:hAnsi="標楷體" w:hint="eastAsia"/>
          <w:bCs/>
          <w:color w:val="000000" w:themeColor="text1"/>
        </w:rPr>
        <w:t>」</w:t>
      </w:r>
      <w:r w:rsidRPr="00F811A0">
        <w:rPr>
          <w:rFonts w:ascii="標楷體" w:eastAsia="標楷體" w:hAnsi="標楷體" w:hint="eastAsia"/>
          <w:bCs/>
          <w:color w:val="000000" w:themeColor="text1"/>
        </w:rPr>
        <w:t>網域委外營運管理，原</w:t>
      </w:r>
      <w:proofErr w:type="gramStart"/>
      <w:r w:rsidRPr="00F811A0">
        <w:rPr>
          <w:rFonts w:ascii="標楷體" w:eastAsia="標楷體" w:hAnsi="標楷體" w:hint="eastAsia"/>
          <w:bCs/>
          <w:color w:val="000000" w:themeColor="text1"/>
        </w:rPr>
        <w:t>採</w:t>
      </w:r>
      <w:proofErr w:type="gramEnd"/>
      <w:r w:rsidRPr="00F811A0">
        <w:rPr>
          <w:rFonts w:ascii="標楷體" w:eastAsia="標楷體" w:hAnsi="標楷體" w:hint="eastAsia"/>
          <w:bCs/>
          <w:color w:val="000000" w:themeColor="text1"/>
        </w:rPr>
        <w:t>廠商自負盈虧，權利金於註冊營運收入大於1,000萬元</w:t>
      </w:r>
      <w:proofErr w:type="gramStart"/>
      <w:r w:rsidRPr="00F811A0">
        <w:rPr>
          <w:rFonts w:ascii="標楷體" w:eastAsia="標楷體" w:hAnsi="標楷體" w:hint="eastAsia"/>
          <w:bCs/>
          <w:color w:val="000000" w:themeColor="text1"/>
        </w:rPr>
        <w:t>按級距計</w:t>
      </w:r>
      <w:proofErr w:type="gramEnd"/>
      <w:r w:rsidRPr="00F811A0">
        <w:rPr>
          <w:rFonts w:ascii="標楷體" w:eastAsia="標楷體" w:hAnsi="標楷體" w:hint="eastAsia"/>
          <w:bCs/>
          <w:color w:val="000000" w:themeColor="text1"/>
        </w:rPr>
        <w:t>收，</w:t>
      </w:r>
      <w:proofErr w:type="gramStart"/>
      <w:r w:rsidRPr="00ED0425">
        <w:rPr>
          <w:rFonts w:ascii="標楷體" w:eastAsia="標楷體" w:hAnsi="標楷體" w:hint="eastAsia"/>
          <w:bCs/>
          <w:color w:val="000000" w:themeColor="text1"/>
        </w:rPr>
        <w:t>嗣</w:t>
      </w:r>
      <w:proofErr w:type="gramEnd"/>
      <w:r w:rsidRPr="00ED0425">
        <w:rPr>
          <w:rFonts w:ascii="標楷體" w:eastAsia="標楷體" w:hAnsi="標楷體" w:hint="eastAsia"/>
          <w:bCs/>
          <w:color w:val="000000" w:themeColor="text1"/>
        </w:rPr>
        <w:t>自110年6月起，改將ICANN固定費用、後端系統服務費用及資料託管服務費用等屬「.</w:t>
      </w:r>
      <w:proofErr w:type="spellStart"/>
      <w:r w:rsidRPr="00ED0425">
        <w:rPr>
          <w:rFonts w:ascii="標楷體" w:eastAsia="標楷體" w:hAnsi="標楷體" w:hint="eastAsia"/>
          <w:bCs/>
          <w:color w:val="000000" w:themeColor="text1"/>
        </w:rPr>
        <w:t>taipei</w:t>
      </w:r>
      <w:proofErr w:type="spellEnd"/>
      <w:r w:rsidRPr="00ED0425">
        <w:rPr>
          <w:rFonts w:ascii="標楷體" w:eastAsia="標楷體" w:hAnsi="標楷體" w:hint="eastAsia"/>
          <w:bCs/>
          <w:color w:val="000000" w:themeColor="text1"/>
        </w:rPr>
        <w:t>」</w:t>
      </w:r>
      <w:r w:rsidRPr="000422E0">
        <w:rPr>
          <w:rFonts w:ascii="標楷體" w:eastAsia="標楷體" w:hAnsi="標楷體" w:hint="eastAsia"/>
          <w:bCs/>
          <w:color w:val="000000" w:themeColor="text1"/>
          <w:spacing w:val="2"/>
        </w:rPr>
        <w:t>網域營運管理費用由該局負擔，權利金為註冊營運收入大於100萬元</w:t>
      </w:r>
      <w:proofErr w:type="gramStart"/>
      <w:r w:rsidRPr="000422E0">
        <w:rPr>
          <w:rFonts w:ascii="標楷體" w:eastAsia="標楷體" w:hAnsi="標楷體" w:hint="eastAsia"/>
          <w:bCs/>
          <w:color w:val="000000" w:themeColor="text1"/>
          <w:spacing w:val="2"/>
        </w:rPr>
        <w:t>按級距計</w:t>
      </w:r>
      <w:proofErr w:type="gramEnd"/>
      <w:r w:rsidRPr="000422E0">
        <w:rPr>
          <w:rFonts w:ascii="標楷體" w:eastAsia="標楷體" w:hAnsi="標楷體" w:hint="eastAsia"/>
          <w:bCs/>
          <w:color w:val="000000" w:themeColor="text1"/>
          <w:spacing w:val="2"/>
        </w:rPr>
        <w:t>收。該局為推廣</w:t>
      </w:r>
      <w:r w:rsidR="006945A8" w:rsidRPr="000422E0">
        <w:rPr>
          <w:rFonts w:ascii="標楷體" w:eastAsia="標楷體" w:hAnsi="標楷體" w:hint="eastAsia"/>
          <w:bCs/>
          <w:color w:val="000000" w:themeColor="text1"/>
          <w:spacing w:val="-4"/>
        </w:rPr>
        <w:t>「.</w:t>
      </w:r>
      <w:proofErr w:type="spellStart"/>
      <w:r w:rsidR="006945A8" w:rsidRPr="000422E0">
        <w:rPr>
          <w:rFonts w:ascii="標楷體" w:eastAsia="標楷體" w:hAnsi="標楷體" w:hint="eastAsia"/>
          <w:bCs/>
          <w:color w:val="000000" w:themeColor="text1"/>
          <w:spacing w:val="-4"/>
        </w:rPr>
        <w:t>taipei</w:t>
      </w:r>
      <w:proofErr w:type="spellEnd"/>
      <w:r w:rsidR="006945A8" w:rsidRPr="000422E0">
        <w:rPr>
          <w:rFonts w:ascii="標楷體" w:eastAsia="標楷體" w:hAnsi="標楷體" w:hint="eastAsia"/>
          <w:bCs/>
          <w:color w:val="000000" w:themeColor="text1"/>
          <w:spacing w:val="-4"/>
        </w:rPr>
        <w:t>」網域，自</w:t>
      </w:r>
      <w:proofErr w:type="gramStart"/>
      <w:r w:rsidR="006945A8" w:rsidRPr="000422E0">
        <w:rPr>
          <w:rFonts w:ascii="標楷體" w:eastAsia="標楷體" w:hAnsi="標楷體" w:hint="eastAsia"/>
          <w:bCs/>
          <w:color w:val="000000" w:themeColor="text1"/>
          <w:spacing w:val="-4"/>
        </w:rPr>
        <w:t>111</w:t>
      </w:r>
      <w:proofErr w:type="gramEnd"/>
      <w:r w:rsidR="006945A8" w:rsidRPr="000422E0">
        <w:rPr>
          <w:rFonts w:ascii="標楷體" w:eastAsia="標楷體" w:hAnsi="標楷體" w:hint="eastAsia"/>
          <w:bCs/>
          <w:color w:val="000000" w:themeColor="text1"/>
          <w:spacing w:val="-4"/>
        </w:rPr>
        <w:t>年度起，每年12月份推出新用戶免費註冊體驗「.</w:t>
      </w:r>
      <w:proofErr w:type="spellStart"/>
      <w:r w:rsidR="006945A8" w:rsidRPr="000422E0">
        <w:rPr>
          <w:rFonts w:ascii="標楷體" w:eastAsia="標楷體" w:hAnsi="標楷體" w:hint="eastAsia"/>
          <w:bCs/>
          <w:color w:val="000000" w:themeColor="text1"/>
          <w:spacing w:val="-4"/>
        </w:rPr>
        <w:t>taipei</w:t>
      </w:r>
      <w:proofErr w:type="spellEnd"/>
      <w:r w:rsidR="006945A8" w:rsidRPr="000422E0">
        <w:rPr>
          <w:rFonts w:ascii="標楷體" w:eastAsia="標楷體" w:hAnsi="標楷體" w:hint="eastAsia"/>
          <w:bCs/>
          <w:color w:val="000000" w:themeColor="text1"/>
          <w:spacing w:val="-4"/>
        </w:rPr>
        <w:t>」網域15個月（免費註冊1年加上3個月續用寬限期）之行銷方案，111至113年度各年度新增註冊數分別為2,547個、2,186個及2,302個，惟111及</w:t>
      </w:r>
      <w:proofErr w:type="gramStart"/>
      <w:r w:rsidR="006945A8" w:rsidRPr="000422E0">
        <w:rPr>
          <w:rFonts w:ascii="標楷體" w:eastAsia="標楷體" w:hAnsi="標楷體" w:hint="eastAsia"/>
          <w:bCs/>
          <w:color w:val="000000" w:themeColor="text1"/>
          <w:spacing w:val="-4"/>
        </w:rPr>
        <w:t>112</w:t>
      </w:r>
      <w:proofErr w:type="gramEnd"/>
      <w:r w:rsidR="006945A8" w:rsidRPr="000422E0">
        <w:rPr>
          <w:rFonts w:ascii="標楷體" w:eastAsia="標楷體" w:hAnsi="標楷體" w:hint="eastAsia"/>
          <w:bCs/>
          <w:color w:val="000000" w:themeColor="text1"/>
          <w:spacing w:val="-4"/>
        </w:rPr>
        <w:t>年度行銷方案之註冊數各有133個及61個續用，續</w:t>
      </w:r>
    </w:p>
    <w:p w14:paraId="09CA8B82" w14:textId="69C0F907" w:rsidR="00ED0425" w:rsidRPr="000422E0" w:rsidRDefault="000422E0" w:rsidP="00385965">
      <w:pPr>
        <w:overflowPunct w:val="0"/>
        <w:spacing w:line="380" w:lineRule="exact"/>
        <w:jc w:val="both"/>
        <w:rPr>
          <w:rFonts w:ascii="標楷體" w:eastAsia="標楷體" w:hAnsi="標楷體"/>
          <w:b/>
          <w:color w:val="000000" w:themeColor="text1"/>
          <w:spacing w:val="-4"/>
        </w:rPr>
      </w:pPr>
      <w:r w:rsidRPr="000422E0">
        <w:rPr>
          <w:noProof/>
          <w:spacing w:val="-4"/>
        </w:rPr>
        <w:lastRenderedPageBreak/>
        <mc:AlternateContent>
          <mc:Choice Requires="wps">
            <w:drawing>
              <wp:anchor distT="45720" distB="45720" distL="114300" distR="114300" simplePos="0" relativeHeight="251830272" behindDoc="1" locked="0" layoutInCell="1" allowOverlap="1" wp14:anchorId="74139937" wp14:editId="47035438">
                <wp:simplePos x="0" y="0"/>
                <wp:positionH relativeFrom="column">
                  <wp:posOffset>1771015</wp:posOffset>
                </wp:positionH>
                <wp:positionV relativeFrom="page">
                  <wp:posOffset>869315</wp:posOffset>
                </wp:positionV>
                <wp:extent cx="4623435" cy="2860675"/>
                <wp:effectExtent l="0" t="0" r="5715" b="0"/>
                <wp:wrapTight wrapText="bothSides">
                  <wp:wrapPolygon edited="0">
                    <wp:start x="0" y="0"/>
                    <wp:lineTo x="0" y="21432"/>
                    <wp:lineTo x="21538" y="21432"/>
                    <wp:lineTo x="21538" y="0"/>
                    <wp:lineTo x="0" y="0"/>
                  </wp:wrapPolygon>
                </wp:wrapTight>
                <wp:docPr id="9274196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3435" cy="2860675"/>
                        </a:xfrm>
                        <a:prstGeom prst="rect">
                          <a:avLst/>
                        </a:prstGeom>
                        <a:solidFill>
                          <a:srgbClr val="FFFFFF"/>
                        </a:solidFill>
                        <a:ln w="9525">
                          <a:noFill/>
                          <a:miter lim="800000"/>
                          <a:headEnd/>
                          <a:tailEnd/>
                        </a:ln>
                      </wps:spPr>
                      <wps:txbx>
                        <w:txbxContent>
                          <w:tbl>
                            <w:tblPr>
                              <w:tblStyle w:val="a6"/>
                              <w:tblW w:w="0" w:type="auto"/>
                              <w:tblLook w:val="04A0" w:firstRow="1" w:lastRow="0" w:firstColumn="1" w:lastColumn="0" w:noHBand="0" w:noVBand="1"/>
                            </w:tblPr>
                            <w:tblGrid>
                              <w:gridCol w:w="850"/>
                              <w:gridCol w:w="964"/>
                              <w:gridCol w:w="1191"/>
                              <w:gridCol w:w="1247"/>
                              <w:gridCol w:w="964"/>
                              <w:gridCol w:w="1725"/>
                            </w:tblGrid>
                            <w:tr w:rsidR="000422E0" w14:paraId="6F001462" w14:textId="77777777" w:rsidTr="00D334D8">
                              <w:tc>
                                <w:tcPr>
                                  <w:tcW w:w="6941" w:type="dxa"/>
                                  <w:gridSpan w:val="6"/>
                                  <w:tcBorders>
                                    <w:top w:val="nil"/>
                                    <w:left w:val="nil"/>
                                    <w:bottom w:val="nil"/>
                                    <w:right w:val="nil"/>
                                  </w:tcBorders>
                                </w:tcPr>
                                <w:p w14:paraId="1AE8C5FC" w14:textId="77777777" w:rsidR="000422E0" w:rsidRPr="00D334D8" w:rsidRDefault="000422E0" w:rsidP="00D334D8">
                                  <w:pPr>
                                    <w:jc w:val="center"/>
                                    <w:rPr>
                                      <w:sz w:val="24"/>
                                      <w:szCs w:val="24"/>
                                    </w:rPr>
                                  </w:pPr>
                                  <w:r w:rsidRPr="00D334D8">
                                    <w:rPr>
                                      <w:rFonts w:ascii="標楷體" w:eastAsia="標楷體" w:hAnsi="標楷體" w:hint="eastAsia"/>
                                      <w:b/>
                                      <w:sz w:val="24"/>
                                      <w:szCs w:val="24"/>
                                    </w:rPr>
                                    <w:t>表1　網域註冊情形分析</w:t>
                                  </w:r>
                                </w:p>
                              </w:tc>
                            </w:tr>
                            <w:tr w:rsidR="000422E0" w14:paraId="30A3879F" w14:textId="77777777" w:rsidTr="00385965">
                              <w:trPr>
                                <w:trHeight w:val="170"/>
                              </w:trPr>
                              <w:tc>
                                <w:tcPr>
                                  <w:tcW w:w="6941" w:type="dxa"/>
                                  <w:gridSpan w:val="6"/>
                                  <w:tcBorders>
                                    <w:top w:val="nil"/>
                                    <w:left w:val="nil"/>
                                    <w:bottom w:val="single" w:sz="4" w:space="0" w:color="auto"/>
                                    <w:right w:val="nil"/>
                                  </w:tcBorders>
                                </w:tcPr>
                                <w:p w14:paraId="711AEA83" w14:textId="77777777" w:rsidR="000422E0" w:rsidRPr="00550659" w:rsidRDefault="000422E0" w:rsidP="00385965">
                                  <w:pPr>
                                    <w:spacing w:line="220" w:lineRule="exact"/>
                                    <w:jc w:val="right"/>
                                    <w:rPr>
                                      <w:rFonts w:ascii="標楷體" w:eastAsia="標楷體" w:hAnsi="標楷體"/>
                                    </w:rPr>
                                  </w:pPr>
                                  <w:r w:rsidRPr="00550659">
                                    <w:rPr>
                                      <w:rFonts w:ascii="標楷體" w:eastAsia="標楷體" w:hAnsi="標楷體" w:hint="eastAsia"/>
                                    </w:rPr>
                                    <w:t>單位：</w:t>
                                  </w:r>
                                  <w:proofErr w:type="gramStart"/>
                                  <w:r w:rsidRPr="00550659">
                                    <w:rPr>
                                      <w:rFonts w:ascii="標楷體" w:eastAsia="標楷體" w:hAnsi="標楷體" w:hint="eastAsia"/>
                                    </w:rPr>
                                    <w:t>個</w:t>
                                  </w:r>
                                  <w:proofErr w:type="gramEnd"/>
                                </w:p>
                              </w:tc>
                            </w:tr>
                            <w:tr w:rsidR="000422E0" w14:paraId="7B79B91E" w14:textId="77777777" w:rsidTr="00796D46">
                              <w:tc>
                                <w:tcPr>
                                  <w:tcW w:w="850" w:type="dxa"/>
                                  <w:tcBorders>
                                    <w:top w:val="single" w:sz="4" w:space="0" w:color="auto"/>
                                  </w:tcBorders>
                                  <w:vAlign w:val="center"/>
                                </w:tcPr>
                                <w:p w14:paraId="0C96A51F"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年度</w:t>
                                  </w:r>
                                </w:p>
                              </w:tc>
                              <w:tc>
                                <w:tcPr>
                                  <w:tcW w:w="964" w:type="dxa"/>
                                  <w:tcBorders>
                                    <w:top w:val="single" w:sz="4" w:space="0" w:color="auto"/>
                                  </w:tcBorders>
                                  <w:vAlign w:val="center"/>
                                </w:tcPr>
                                <w:p w14:paraId="0A495F3F" w14:textId="77777777" w:rsidR="000422E0" w:rsidRPr="00385965" w:rsidRDefault="000422E0" w:rsidP="00796D46">
                                  <w:pPr>
                                    <w:spacing w:line="240" w:lineRule="exact"/>
                                    <w:jc w:val="center"/>
                                    <w:rPr>
                                      <w:rFonts w:ascii="標楷體" w:eastAsia="標楷體" w:hAnsi="標楷體"/>
                                      <w:kern w:val="2"/>
                                    </w:rPr>
                                  </w:pPr>
                                  <w:r w:rsidRPr="00385965">
                                    <w:rPr>
                                      <w:rFonts w:ascii="標楷體" w:eastAsia="標楷體" w:hAnsi="標楷體" w:hint="eastAsia"/>
                                      <w:kern w:val="2"/>
                                    </w:rPr>
                                    <w:t>各年底</w:t>
                                  </w:r>
                                </w:p>
                                <w:p w14:paraId="3BD7A437"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註冊數</w:t>
                                  </w:r>
                                </w:p>
                              </w:tc>
                              <w:tc>
                                <w:tcPr>
                                  <w:tcW w:w="1191" w:type="dxa"/>
                                  <w:tcBorders>
                                    <w:top w:val="single" w:sz="4" w:space="0" w:color="auto"/>
                                  </w:tcBorders>
                                  <w:vAlign w:val="center"/>
                                </w:tcPr>
                                <w:p w14:paraId="5AC3B1E3" w14:textId="77777777" w:rsidR="000422E0" w:rsidRPr="00385965" w:rsidRDefault="000422E0" w:rsidP="00796D46">
                                  <w:pPr>
                                    <w:spacing w:line="240" w:lineRule="exact"/>
                                    <w:jc w:val="center"/>
                                    <w:rPr>
                                      <w:rFonts w:ascii="標楷體" w:eastAsia="標楷體" w:hAnsi="標楷體"/>
                                      <w:kern w:val="2"/>
                                    </w:rPr>
                                  </w:pPr>
                                  <w:r w:rsidRPr="00385965">
                                    <w:rPr>
                                      <w:rFonts w:ascii="標楷體" w:eastAsia="標楷體" w:hAnsi="標楷體" w:hint="eastAsia"/>
                                      <w:kern w:val="2"/>
                                    </w:rPr>
                                    <w:t>市府機關</w:t>
                                  </w:r>
                                </w:p>
                                <w:p w14:paraId="208C3E7D"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單位網站</w:t>
                                  </w:r>
                                </w:p>
                              </w:tc>
                              <w:tc>
                                <w:tcPr>
                                  <w:tcW w:w="1247" w:type="dxa"/>
                                  <w:tcBorders>
                                    <w:top w:val="single" w:sz="4" w:space="0" w:color="auto"/>
                                  </w:tcBorders>
                                  <w:vAlign w:val="center"/>
                                </w:tcPr>
                                <w:p w14:paraId="3F45FFE7" w14:textId="77777777" w:rsidR="000422E0" w:rsidRPr="00385965" w:rsidRDefault="000422E0" w:rsidP="00796D46">
                                  <w:pPr>
                                    <w:spacing w:line="240" w:lineRule="exact"/>
                                    <w:jc w:val="center"/>
                                    <w:rPr>
                                      <w:rFonts w:ascii="標楷體" w:eastAsia="標楷體" w:hAnsi="標楷體"/>
                                      <w:kern w:val="2"/>
                                    </w:rPr>
                                  </w:pPr>
                                  <w:r w:rsidRPr="00385965">
                                    <w:rPr>
                                      <w:rFonts w:ascii="標楷體" w:eastAsia="標楷體" w:hAnsi="標楷體" w:hint="eastAsia"/>
                                      <w:kern w:val="2"/>
                                    </w:rPr>
                                    <w:t>一般民眾</w:t>
                                  </w:r>
                                </w:p>
                                <w:p w14:paraId="7B77071F"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註冊數（A）</w:t>
                                  </w:r>
                                </w:p>
                              </w:tc>
                              <w:tc>
                                <w:tcPr>
                                  <w:tcW w:w="964" w:type="dxa"/>
                                  <w:tcBorders>
                                    <w:top w:val="single" w:sz="4" w:space="0" w:color="auto"/>
                                    <w:bottom w:val="single" w:sz="4" w:space="0" w:color="auto"/>
                                  </w:tcBorders>
                                  <w:vAlign w:val="center"/>
                                </w:tcPr>
                                <w:p w14:paraId="20593809" w14:textId="77777777" w:rsidR="000422E0" w:rsidRPr="00385965" w:rsidRDefault="000422E0" w:rsidP="00796D46">
                                  <w:pPr>
                                    <w:spacing w:line="240" w:lineRule="exact"/>
                                    <w:jc w:val="center"/>
                                    <w:rPr>
                                      <w:rFonts w:ascii="標楷體" w:eastAsia="標楷體" w:hAnsi="標楷體"/>
                                      <w:kern w:val="2"/>
                                    </w:rPr>
                                  </w:pPr>
                                  <w:r w:rsidRPr="00385965">
                                    <w:rPr>
                                      <w:rFonts w:ascii="標楷體" w:eastAsia="標楷體" w:hAnsi="標楷體" w:hint="eastAsia"/>
                                      <w:kern w:val="2"/>
                                    </w:rPr>
                                    <w:t>免費行銷方案</w:t>
                                  </w:r>
                                </w:p>
                                <w:p w14:paraId="19C769D8"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註冊數（B）</w:t>
                                  </w:r>
                                </w:p>
                              </w:tc>
                              <w:tc>
                                <w:tcPr>
                                  <w:tcW w:w="1725" w:type="dxa"/>
                                  <w:tcBorders>
                                    <w:top w:val="single" w:sz="4" w:space="0" w:color="auto"/>
                                  </w:tcBorders>
                                  <w:vAlign w:val="center"/>
                                </w:tcPr>
                                <w:p w14:paraId="12343C44" w14:textId="77777777" w:rsidR="000422E0" w:rsidRPr="00385965" w:rsidRDefault="000422E0" w:rsidP="00796D46">
                                  <w:pPr>
                                    <w:spacing w:line="240" w:lineRule="exact"/>
                                    <w:jc w:val="center"/>
                                    <w:rPr>
                                      <w:rFonts w:ascii="標楷體" w:eastAsia="標楷體" w:hAnsi="標楷體"/>
                                      <w:kern w:val="2"/>
                                    </w:rPr>
                                  </w:pPr>
                                  <w:r w:rsidRPr="00385965">
                                    <w:rPr>
                                      <w:rFonts w:ascii="標楷體" w:eastAsia="標楷體" w:hAnsi="標楷體" w:hint="eastAsia"/>
                                      <w:kern w:val="2"/>
                                    </w:rPr>
                                    <w:t>繳費註冊數</w:t>
                                  </w:r>
                                </w:p>
                                <w:p w14:paraId="78F8CA67"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（C=A-B）</w:t>
                                  </w:r>
                                </w:p>
                              </w:tc>
                            </w:tr>
                            <w:tr w:rsidR="000422E0" w14:paraId="2EC53B64" w14:textId="77777777" w:rsidTr="00385965">
                              <w:trPr>
                                <w:trHeight w:val="113"/>
                              </w:trPr>
                              <w:tc>
                                <w:tcPr>
                                  <w:tcW w:w="850" w:type="dxa"/>
                                  <w:vAlign w:val="center"/>
                                </w:tcPr>
                                <w:p w14:paraId="07BF9CBA"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106</w:t>
                                  </w:r>
                                </w:p>
                              </w:tc>
                              <w:tc>
                                <w:tcPr>
                                  <w:tcW w:w="964" w:type="dxa"/>
                                  <w:vAlign w:val="center"/>
                                </w:tcPr>
                                <w:p w14:paraId="5CEC438A"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6,365</w:t>
                                  </w:r>
                                </w:p>
                              </w:tc>
                              <w:tc>
                                <w:tcPr>
                                  <w:tcW w:w="1191" w:type="dxa"/>
                                  <w:vAlign w:val="center"/>
                                </w:tcPr>
                                <w:p w14:paraId="6EE7F945"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252</w:t>
                                  </w:r>
                                </w:p>
                              </w:tc>
                              <w:tc>
                                <w:tcPr>
                                  <w:tcW w:w="1247" w:type="dxa"/>
                                  <w:vAlign w:val="center"/>
                                </w:tcPr>
                                <w:p w14:paraId="5452BABC"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6,113</w:t>
                                  </w:r>
                                </w:p>
                              </w:tc>
                              <w:tc>
                                <w:tcPr>
                                  <w:tcW w:w="964" w:type="dxa"/>
                                  <w:vMerge w:val="restart"/>
                                  <w:tcBorders>
                                    <w:tl2br w:val="single" w:sz="4" w:space="0" w:color="auto"/>
                                  </w:tcBorders>
                                </w:tcPr>
                                <w:p w14:paraId="04D2A314" w14:textId="77777777" w:rsidR="000422E0" w:rsidRPr="00385965" w:rsidRDefault="000422E0" w:rsidP="00385965">
                                  <w:pPr>
                                    <w:spacing w:line="220" w:lineRule="exact"/>
                                    <w:rPr>
                                      <w:rFonts w:ascii="標楷體" w:eastAsia="標楷體" w:hAnsi="標楷體"/>
                                    </w:rPr>
                                  </w:pPr>
                                </w:p>
                              </w:tc>
                              <w:tc>
                                <w:tcPr>
                                  <w:tcW w:w="1725" w:type="dxa"/>
                                  <w:vAlign w:val="center"/>
                                </w:tcPr>
                                <w:p w14:paraId="1FC6F582"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6,113</w:t>
                                  </w:r>
                                </w:p>
                              </w:tc>
                            </w:tr>
                            <w:tr w:rsidR="000422E0" w14:paraId="7563032C" w14:textId="77777777" w:rsidTr="00385965">
                              <w:trPr>
                                <w:trHeight w:val="113"/>
                              </w:trPr>
                              <w:tc>
                                <w:tcPr>
                                  <w:tcW w:w="850" w:type="dxa"/>
                                  <w:vAlign w:val="center"/>
                                </w:tcPr>
                                <w:p w14:paraId="5F8449E3"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107</w:t>
                                  </w:r>
                                </w:p>
                              </w:tc>
                              <w:tc>
                                <w:tcPr>
                                  <w:tcW w:w="964" w:type="dxa"/>
                                  <w:vAlign w:val="center"/>
                                </w:tcPr>
                                <w:p w14:paraId="71136C25"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3,021</w:t>
                                  </w:r>
                                </w:p>
                              </w:tc>
                              <w:tc>
                                <w:tcPr>
                                  <w:tcW w:w="1191" w:type="dxa"/>
                                  <w:vAlign w:val="center"/>
                                </w:tcPr>
                                <w:p w14:paraId="1128A9C0"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293</w:t>
                                  </w:r>
                                </w:p>
                              </w:tc>
                              <w:tc>
                                <w:tcPr>
                                  <w:tcW w:w="1247" w:type="dxa"/>
                                  <w:vAlign w:val="center"/>
                                </w:tcPr>
                                <w:p w14:paraId="6004EA36"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2,728</w:t>
                                  </w:r>
                                </w:p>
                              </w:tc>
                              <w:tc>
                                <w:tcPr>
                                  <w:tcW w:w="964" w:type="dxa"/>
                                  <w:vMerge/>
                                  <w:tcBorders>
                                    <w:tl2br w:val="single" w:sz="4" w:space="0" w:color="auto"/>
                                  </w:tcBorders>
                                </w:tcPr>
                                <w:p w14:paraId="379A140D" w14:textId="77777777" w:rsidR="000422E0" w:rsidRPr="00385965" w:rsidRDefault="000422E0" w:rsidP="00385965">
                                  <w:pPr>
                                    <w:spacing w:line="220" w:lineRule="exact"/>
                                    <w:rPr>
                                      <w:rFonts w:ascii="標楷體" w:eastAsia="標楷體" w:hAnsi="標楷體"/>
                                    </w:rPr>
                                  </w:pPr>
                                </w:p>
                              </w:tc>
                              <w:tc>
                                <w:tcPr>
                                  <w:tcW w:w="1725" w:type="dxa"/>
                                  <w:vAlign w:val="center"/>
                                </w:tcPr>
                                <w:p w14:paraId="2D0008EC"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2,728</w:t>
                                  </w:r>
                                </w:p>
                              </w:tc>
                            </w:tr>
                            <w:tr w:rsidR="000422E0" w14:paraId="152519C2" w14:textId="77777777" w:rsidTr="00385965">
                              <w:trPr>
                                <w:trHeight w:val="113"/>
                              </w:trPr>
                              <w:tc>
                                <w:tcPr>
                                  <w:tcW w:w="850" w:type="dxa"/>
                                  <w:vAlign w:val="center"/>
                                </w:tcPr>
                                <w:p w14:paraId="727DAD16"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108</w:t>
                                  </w:r>
                                </w:p>
                              </w:tc>
                              <w:tc>
                                <w:tcPr>
                                  <w:tcW w:w="964" w:type="dxa"/>
                                  <w:vAlign w:val="center"/>
                                </w:tcPr>
                                <w:p w14:paraId="5A6619CE"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1,959</w:t>
                                  </w:r>
                                </w:p>
                              </w:tc>
                              <w:tc>
                                <w:tcPr>
                                  <w:tcW w:w="1191" w:type="dxa"/>
                                  <w:vAlign w:val="center"/>
                                </w:tcPr>
                                <w:p w14:paraId="19F8D492"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300</w:t>
                                  </w:r>
                                </w:p>
                              </w:tc>
                              <w:tc>
                                <w:tcPr>
                                  <w:tcW w:w="1247" w:type="dxa"/>
                                  <w:vAlign w:val="center"/>
                                </w:tcPr>
                                <w:p w14:paraId="79FFAB9E"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1,659</w:t>
                                  </w:r>
                                </w:p>
                              </w:tc>
                              <w:tc>
                                <w:tcPr>
                                  <w:tcW w:w="964" w:type="dxa"/>
                                  <w:vMerge/>
                                  <w:tcBorders>
                                    <w:tl2br w:val="single" w:sz="4" w:space="0" w:color="auto"/>
                                  </w:tcBorders>
                                </w:tcPr>
                                <w:p w14:paraId="6067D0A5" w14:textId="77777777" w:rsidR="000422E0" w:rsidRPr="00385965" w:rsidRDefault="000422E0" w:rsidP="00385965">
                                  <w:pPr>
                                    <w:spacing w:line="220" w:lineRule="exact"/>
                                    <w:rPr>
                                      <w:rFonts w:ascii="標楷體" w:eastAsia="標楷體" w:hAnsi="標楷體"/>
                                    </w:rPr>
                                  </w:pPr>
                                </w:p>
                              </w:tc>
                              <w:tc>
                                <w:tcPr>
                                  <w:tcW w:w="1725" w:type="dxa"/>
                                  <w:vAlign w:val="center"/>
                                </w:tcPr>
                                <w:p w14:paraId="09BC3AB6"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1,659</w:t>
                                  </w:r>
                                </w:p>
                              </w:tc>
                            </w:tr>
                            <w:tr w:rsidR="000422E0" w14:paraId="1320B358" w14:textId="77777777" w:rsidTr="00385965">
                              <w:trPr>
                                <w:trHeight w:val="113"/>
                              </w:trPr>
                              <w:tc>
                                <w:tcPr>
                                  <w:tcW w:w="850" w:type="dxa"/>
                                  <w:vAlign w:val="center"/>
                                </w:tcPr>
                                <w:p w14:paraId="4B59DF73"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109</w:t>
                                  </w:r>
                                </w:p>
                              </w:tc>
                              <w:tc>
                                <w:tcPr>
                                  <w:tcW w:w="964" w:type="dxa"/>
                                  <w:vAlign w:val="center"/>
                                </w:tcPr>
                                <w:p w14:paraId="51DE0C8D"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2,047</w:t>
                                  </w:r>
                                </w:p>
                              </w:tc>
                              <w:tc>
                                <w:tcPr>
                                  <w:tcW w:w="1191" w:type="dxa"/>
                                  <w:vAlign w:val="center"/>
                                </w:tcPr>
                                <w:p w14:paraId="4E946BE4"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316</w:t>
                                  </w:r>
                                </w:p>
                              </w:tc>
                              <w:tc>
                                <w:tcPr>
                                  <w:tcW w:w="1247" w:type="dxa"/>
                                  <w:vAlign w:val="center"/>
                                </w:tcPr>
                                <w:p w14:paraId="2EFBEE88"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1,733</w:t>
                                  </w:r>
                                </w:p>
                              </w:tc>
                              <w:tc>
                                <w:tcPr>
                                  <w:tcW w:w="964" w:type="dxa"/>
                                  <w:vMerge/>
                                  <w:tcBorders>
                                    <w:tl2br w:val="single" w:sz="4" w:space="0" w:color="auto"/>
                                  </w:tcBorders>
                                </w:tcPr>
                                <w:p w14:paraId="11FAB60B" w14:textId="77777777" w:rsidR="000422E0" w:rsidRPr="00385965" w:rsidRDefault="000422E0" w:rsidP="00385965">
                                  <w:pPr>
                                    <w:spacing w:line="220" w:lineRule="exact"/>
                                    <w:rPr>
                                      <w:rFonts w:ascii="標楷體" w:eastAsia="標楷體" w:hAnsi="標楷體"/>
                                    </w:rPr>
                                  </w:pPr>
                                </w:p>
                              </w:tc>
                              <w:tc>
                                <w:tcPr>
                                  <w:tcW w:w="1725" w:type="dxa"/>
                                  <w:vAlign w:val="center"/>
                                </w:tcPr>
                                <w:p w14:paraId="5A268748"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1,733</w:t>
                                  </w:r>
                                </w:p>
                              </w:tc>
                            </w:tr>
                            <w:tr w:rsidR="000422E0" w14:paraId="181D634D" w14:textId="77777777" w:rsidTr="00385965">
                              <w:trPr>
                                <w:trHeight w:val="113"/>
                              </w:trPr>
                              <w:tc>
                                <w:tcPr>
                                  <w:tcW w:w="850" w:type="dxa"/>
                                  <w:vAlign w:val="center"/>
                                </w:tcPr>
                                <w:p w14:paraId="688CF6CE"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110</w:t>
                                  </w:r>
                                </w:p>
                              </w:tc>
                              <w:tc>
                                <w:tcPr>
                                  <w:tcW w:w="964" w:type="dxa"/>
                                  <w:vAlign w:val="center"/>
                                </w:tcPr>
                                <w:p w14:paraId="02E533C0"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2,233</w:t>
                                  </w:r>
                                </w:p>
                              </w:tc>
                              <w:tc>
                                <w:tcPr>
                                  <w:tcW w:w="1191" w:type="dxa"/>
                                  <w:vAlign w:val="center"/>
                                </w:tcPr>
                                <w:p w14:paraId="2DFF0A58"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336</w:t>
                                  </w:r>
                                </w:p>
                              </w:tc>
                              <w:tc>
                                <w:tcPr>
                                  <w:tcW w:w="1247" w:type="dxa"/>
                                  <w:vAlign w:val="center"/>
                                </w:tcPr>
                                <w:p w14:paraId="2C3C9149"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1,897</w:t>
                                  </w:r>
                                </w:p>
                              </w:tc>
                              <w:tc>
                                <w:tcPr>
                                  <w:tcW w:w="964" w:type="dxa"/>
                                  <w:vMerge/>
                                  <w:tcBorders>
                                    <w:tl2br w:val="single" w:sz="4" w:space="0" w:color="auto"/>
                                  </w:tcBorders>
                                </w:tcPr>
                                <w:p w14:paraId="2A9E7AA8" w14:textId="77777777" w:rsidR="000422E0" w:rsidRPr="00385965" w:rsidRDefault="000422E0" w:rsidP="00385965">
                                  <w:pPr>
                                    <w:spacing w:line="220" w:lineRule="exact"/>
                                    <w:rPr>
                                      <w:rFonts w:ascii="標楷體" w:eastAsia="標楷體" w:hAnsi="標楷體"/>
                                    </w:rPr>
                                  </w:pPr>
                                </w:p>
                              </w:tc>
                              <w:tc>
                                <w:tcPr>
                                  <w:tcW w:w="1725" w:type="dxa"/>
                                  <w:vAlign w:val="center"/>
                                </w:tcPr>
                                <w:p w14:paraId="1CD45068"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1,897</w:t>
                                  </w:r>
                                </w:p>
                              </w:tc>
                            </w:tr>
                            <w:tr w:rsidR="000422E0" w14:paraId="60186184" w14:textId="77777777" w:rsidTr="00385965">
                              <w:trPr>
                                <w:trHeight w:val="113"/>
                              </w:trPr>
                              <w:tc>
                                <w:tcPr>
                                  <w:tcW w:w="850" w:type="dxa"/>
                                  <w:vAlign w:val="center"/>
                                </w:tcPr>
                                <w:p w14:paraId="3A773952"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111</w:t>
                                  </w:r>
                                </w:p>
                              </w:tc>
                              <w:tc>
                                <w:tcPr>
                                  <w:tcW w:w="964" w:type="dxa"/>
                                  <w:vAlign w:val="center"/>
                                </w:tcPr>
                                <w:p w14:paraId="0ADEC90C"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4,747</w:t>
                                  </w:r>
                                </w:p>
                              </w:tc>
                              <w:tc>
                                <w:tcPr>
                                  <w:tcW w:w="1191" w:type="dxa"/>
                                  <w:vAlign w:val="center"/>
                                </w:tcPr>
                                <w:p w14:paraId="1FD38510"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367</w:t>
                                  </w:r>
                                </w:p>
                              </w:tc>
                              <w:tc>
                                <w:tcPr>
                                  <w:tcW w:w="1247" w:type="dxa"/>
                                  <w:vAlign w:val="center"/>
                                </w:tcPr>
                                <w:p w14:paraId="10A47707"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4,380</w:t>
                                  </w:r>
                                </w:p>
                              </w:tc>
                              <w:tc>
                                <w:tcPr>
                                  <w:tcW w:w="964" w:type="dxa"/>
                                  <w:vAlign w:val="center"/>
                                </w:tcPr>
                                <w:p w14:paraId="10771493"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2,547</w:t>
                                  </w:r>
                                </w:p>
                              </w:tc>
                              <w:tc>
                                <w:tcPr>
                                  <w:tcW w:w="1725" w:type="dxa"/>
                                  <w:vAlign w:val="center"/>
                                </w:tcPr>
                                <w:p w14:paraId="435CF463"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1,833（</w:t>
                                  </w:r>
                                  <w:proofErr w:type="gramStart"/>
                                  <w:r w:rsidRPr="00385965">
                                    <w:rPr>
                                      <w:rFonts w:ascii="標楷體" w:eastAsia="標楷體" w:hAnsi="標楷體" w:hint="eastAsia"/>
                                      <w:kern w:val="2"/>
                                    </w:rPr>
                                    <w:t>註</w:t>
                                  </w:r>
                                  <w:proofErr w:type="gramEnd"/>
                                  <w:r w:rsidRPr="00385965">
                                    <w:rPr>
                                      <w:rFonts w:ascii="標楷體" w:eastAsia="標楷體" w:hAnsi="標楷體" w:hint="eastAsia"/>
                                      <w:kern w:val="2"/>
                                    </w:rPr>
                                    <w:t>1）</w:t>
                                  </w:r>
                                </w:p>
                              </w:tc>
                            </w:tr>
                            <w:tr w:rsidR="000422E0" w14:paraId="4B003C3B" w14:textId="77777777" w:rsidTr="00385965">
                              <w:trPr>
                                <w:trHeight w:val="113"/>
                              </w:trPr>
                              <w:tc>
                                <w:tcPr>
                                  <w:tcW w:w="850" w:type="dxa"/>
                                  <w:vAlign w:val="center"/>
                                </w:tcPr>
                                <w:p w14:paraId="2261DFD8"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112</w:t>
                                  </w:r>
                                </w:p>
                              </w:tc>
                              <w:tc>
                                <w:tcPr>
                                  <w:tcW w:w="964" w:type="dxa"/>
                                  <w:vAlign w:val="center"/>
                                </w:tcPr>
                                <w:p w14:paraId="1FD5219C"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6,571</w:t>
                                  </w:r>
                                </w:p>
                              </w:tc>
                              <w:tc>
                                <w:tcPr>
                                  <w:tcW w:w="1191" w:type="dxa"/>
                                  <w:vAlign w:val="center"/>
                                </w:tcPr>
                                <w:p w14:paraId="4E7723BB"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375</w:t>
                                  </w:r>
                                </w:p>
                              </w:tc>
                              <w:tc>
                                <w:tcPr>
                                  <w:tcW w:w="1247" w:type="dxa"/>
                                  <w:vAlign w:val="center"/>
                                </w:tcPr>
                                <w:p w14:paraId="4BA29067"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6,196</w:t>
                                  </w:r>
                                </w:p>
                              </w:tc>
                              <w:tc>
                                <w:tcPr>
                                  <w:tcW w:w="964" w:type="dxa"/>
                                  <w:vAlign w:val="center"/>
                                </w:tcPr>
                                <w:p w14:paraId="368AA698"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2,186</w:t>
                                  </w:r>
                                </w:p>
                              </w:tc>
                              <w:tc>
                                <w:tcPr>
                                  <w:tcW w:w="1725" w:type="dxa"/>
                                  <w:vAlign w:val="center"/>
                                </w:tcPr>
                                <w:p w14:paraId="0025F3A2"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1,463（</w:t>
                                  </w:r>
                                  <w:proofErr w:type="gramStart"/>
                                  <w:r w:rsidRPr="00385965">
                                    <w:rPr>
                                      <w:rFonts w:ascii="標楷體" w:eastAsia="標楷體" w:hAnsi="標楷體" w:hint="eastAsia"/>
                                      <w:kern w:val="2"/>
                                    </w:rPr>
                                    <w:t>註</w:t>
                                  </w:r>
                                  <w:proofErr w:type="gramEnd"/>
                                  <w:r w:rsidRPr="00385965">
                                    <w:rPr>
                                      <w:rFonts w:ascii="標楷體" w:eastAsia="標楷體" w:hAnsi="標楷體" w:hint="eastAsia"/>
                                      <w:kern w:val="2"/>
                                    </w:rPr>
                                    <w:t>2）</w:t>
                                  </w:r>
                                </w:p>
                              </w:tc>
                            </w:tr>
                            <w:tr w:rsidR="000422E0" w14:paraId="44761FA5" w14:textId="77777777" w:rsidTr="00385965">
                              <w:trPr>
                                <w:trHeight w:val="113"/>
                              </w:trPr>
                              <w:tc>
                                <w:tcPr>
                                  <w:tcW w:w="850" w:type="dxa"/>
                                  <w:tcBorders>
                                    <w:bottom w:val="single" w:sz="4" w:space="0" w:color="auto"/>
                                  </w:tcBorders>
                                  <w:vAlign w:val="center"/>
                                </w:tcPr>
                                <w:p w14:paraId="63138DFB"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113</w:t>
                                  </w:r>
                                </w:p>
                              </w:tc>
                              <w:tc>
                                <w:tcPr>
                                  <w:tcW w:w="964" w:type="dxa"/>
                                  <w:tcBorders>
                                    <w:bottom w:val="single" w:sz="4" w:space="0" w:color="auto"/>
                                  </w:tcBorders>
                                  <w:vAlign w:val="center"/>
                                </w:tcPr>
                                <w:p w14:paraId="003AC9A7"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6,473</w:t>
                                  </w:r>
                                </w:p>
                              </w:tc>
                              <w:tc>
                                <w:tcPr>
                                  <w:tcW w:w="1191" w:type="dxa"/>
                                  <w:tcBorders>
                                    <w:bottom w:val="single" w:sz="4" w:space="0" w:color="auto"/>
                                  </w:tcBorders>
                                  <w:vAlign w:val="center"/>
                                </w:tcPr>
                                <w:p w14:paraId="6A56BB9F"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394</w:t>
                                  </w:r>
                                </w:p>
                              </w:tc>
                              <w:tc>
                                <w:tcPr>
                                  <w:tcW w:w="1247" w:type="dxa"/>
                                  <w:tcBorders>
                                    <w:bottom w:val="single" w:sz="4" w:space="0" w:color="auto"/>
                                  </w:tcBorders>
                                  <w:vAlign w:val="center"/>
                                </w:tcPr>
                                <w:p w14:paraId="1C68A632"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6,079</w:t>
                                  </w:r>
                                </w:p>
                              </w:tc>
                              <w:tc>
                                <w:tcPr>
                                  <w:tcW w:w="964" w:type="dxa"/>
                                  <w:tcBorders>
                                    <w:bottom w:val="single" w:sz="4" w:space="0" w:color="auto"/>
                                  </w:tcBorders>
                                  <w:vAlign w:val="center"/>
                                </w:tcPr>
                                <w:p w14:paraId="75BC8F72"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2,302</w:t>
                                  </w:r>
                                </w:p>
                              </w:tc>
                              <w:tc>
                                <w:tcPr>
                                  <w:tcW w:w="1725" w:type="dxa"/>
                                  <w:tcBorders>
                                    <w:bottom w:val="single" w:sz="4" w:space="0" w:color="auto"/>
                                  </w:tcBorders>
                                  <w:vAlign w:val="center"/>
                                </w:tcPr>
                                <w:p w14:paraId="5DD80CF6"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1,591（</w:t>
                                  </w:r>
                                  <w:proofErr w:type="gramStart"/>
                                  <w:r w:rsidRPr="00385965">
                                    <w:rPr>
                                      <w:rFonts w:ascii="標楷體" w:eastAsia="標楷體" w:hAnsi="標楷體" w:hint="eastAsia"/>
                                      <w:kern w:val="2"/>
                                    </w:rPr>
                                    <w:t>註</w:t>
                                  </w:r>
                                  <w:proofErr w:type="gramEnd"/>
                                  <w:r w:rsidRPr="00385965">
                                    <w:rPr>
                                      <w:rFonts w:ascii="標楷體" w:eastAsia="標楷體" w:hAnsi="標楷體" w:hint="eastAsia"/>
                                      <w:kern w:val="2"/>
                                    </w:rPr>
                                    <w:t>3）</w:t>
                                  </w:r>
                                </w:p>
                              </w:tc>
                            </w:tr>
                            <w:tr w:rsidR="000422E0" w14:paraId="6D8E83D6" w14:textId="77777777" w:rsidTr="00D334D8">
                              <w:tc>
                                <w:tcPr>
                                  <w:tcW w:w="6941" w:type="dxa"/>
                                  <w:gridSpan w:val="6"/>
                                  <w:tcBorders>
                                    <w:top w:val="single" w:sz="4" w:space="0" w:color="auto"/>
                                    <w:left w:val="nil"/>
                                    <w:bottom w:val="nil"/>
                                    <w:right w:val="nil"/>
                                  </w:tcBorders>
                                </w:tcPr>
                                <w:p w14:paraId="02A8D476" w14:textId="77777777" w:rsidR="000422E0" w:rsidRPr="005B6040" w:rsidRDefault="000422E0" w:rsidP="006945A8">
                                  <w:pPr>
                                    <w:spacing w:line="240" w:lineRule="exact"/>
                                    <w:jc w:val="both"/>
                                    <w:rPr>
                                      <w:rFonts w:ascii="標楷體" w:eastAsia="標楷體" w:hAnsi="標楷體"/>
                                      <w:sz w:val="18"/>
                                      <w:szCs w:val="18"/>
                                    </w:rPr>
                                  </w:pPr>
                                  <w:proofErr w:type="gramStart"/>
                                  <w:r w:rsidRPr="005B6040">
                                    <w:rPr>
                                      <w:rFonts w:ascii="標楷體" w:eastAsia="標楷體" w:hAnsi="標楷體" w:hint="eastAsia"/>
                                      <w:sz w:val="18"/>
                                      <w:szCs w:val="18"/>
                                    </w:rPr>
                                    <w:t>註</w:t>
                                  </w:r>
                                  <w:proofErr w:type="gramEnd"/>
                                  <w:r w:rsidRPr="005B6040">
                                    <w:rPr>
                                      <w:rFonts w:ascii="標楷體" w:eastAsia="標楷體" w:hAnsi="標楷體" w:hint="eastAsia"/>
                                      <w:sz w:val="18"/>
                                      <w:szCs w:val="18"/>
                                    </w:rPr>
                                    <w:t>：1.1,833=4,747-367-2,547。</w:t>
                                  </w:r>
                                </w:p>
                                <w:p w14:paraId="21EB6C57" w14:textId="77777777" w:rsidR="000422E0" w:rsidRPr="005B6040" w:rsidRDefault="000422E0" w:rsidP="006945A8">
                                  <w:pPr>
                                    <w:spacing w:line="240" w:lineRule="exact"/>
                                    <w:ind w:leftChars="150" w:left="540" w:hangingChars="100" w:hanging="180"/>
                                    <w:jc w:val="both"/>
                                    <w:rPr>
                                      <w:rFonts w:ascii="標楷體" w:eastAsia="標楷體" w:hAnsi="標楷體"/>
                                      <w:sz w:val="18"/>
                                      <w:szCs w:val="18"/>
                                    </w:rPr>
                                  </w:pPr>
                                  <w:r w:rsidRPr="005B6040">
                                    <w:rPr>
                                      <w:rFonts w:ascii="標楷體" w:eastAsia="標楷體" w:hAnsi="標楷體" w:hint="eastAsia"/>
                                      <w:sz w:val="18"/>
                                      <w:szCs w:val="18"/>
                                    </w:rPr>
                                    <w:t>2.</w:t>
                                  </w:r>
                                  <w:r w:rsidRPr="00385965">
                                    <w:rPr>
                                      <w:rFonts w:ascii="標楷體" w:eastAsia="標楷體" w:hAnsi="標楷體" w:hint="eastAsia"/>
                                      <w:spacing w:val="-8"/>
                                      <w:sz w:val="18"/>
                                      <w:szCs w:val="18"/>
                                    </w:rPr>
                                    <w:t>1,463=6,571-375-2,186（</w:t>
                                  </w:r>
                                  <w:proofErr w:type="gramStart"/>
                                  <w:r w:rsidRPr="00385965">
                                    <w:rPr>
                                      <w:rFonts w:ascii="標楷體" w:eastAsia="標楷體" w:hAnsi="標楷體" w:hint="eastAsia"/>
                                      <w:spacing w:val="-8"/>
                                      <w:sz w:val="18"/>
                                      <w:szCs w:val="18"/>
                                    </w:rPr>
                                    <w:t>112</w:t>
                                  </w:r>
                                  <w:proofErr w:type="gramEnd"/>
                                  <w:r w:rsidRPr="00385965">
                                    <w:rPr>
                                      <w:rFonts w:ascii="標楷體" w:eastAsia="標楷體" w:hAnsi="標楷體" w:hint="eastAsia"/>
                                      <w:spacing w:val="-8"/>
                                      <w:sz w:val="18"/>
                                      <w:szCs w:val="18"/>
                                    </w:rPr>
                                    <w:t>年度行銷方案註冊數）-2,547（</w:t>
                                  </w:r>
                                  <w:proofErr w:type="gramStart"/>
                                  <w:r w:rsidRPr="00385965">
                                    <w:rPr>
                                      <w:rFonts w:ascii="標楷體" w:eastAsia="標楷體" w:hAnsi="標楷體" w:hint="eastAsia"/>
                                      <w:spacing w:val="-8"/>
                                      <w:sz w:val="18"/>
                                      <w:szCs w:val="18"/>
                                    </w:rPr>
                                    <w:t>111</w:t>
                                  </w:r>
                                  <w:proofErr w:type="gramEnd"/>
                                  <w:r w:rsidRPr="00385965">
                                    <w:rPr>
                                      <w:rFonts w:ascii="標楷體" w:eastAsia="標楷體" w:hAnsi="標楷體" w:hint="eastAsia"/>
                                      <w:spacing w:val="-8"/>
                                      <w:sz w:val="18"/>
                                      <w:szCs w:val="18"/>
                                    </w:rPr>
                                    <w:t>年度行銷方案註冊數）。</w:t>
                                  </w:r>
                                </w:p>
                                <w:p w14:paraId="5FA8054C" w14:textId="77777777" w:rsidR="000422E0" w:rsidRPr="005B6040" w:rsidRDefault="000422E0" w:rsidP="006945A8">
                                  <w:pPr>
                                    <w:spacing w:line="240" w:lineRule="exact"/>
                                    <w:ind w:leftChars="150" w:left="540" w:hangingChars="100" w:hanging="180"/>
                                    <w:jc w:val="both"/>
                                    <w:rPr>
                                      <w:rFonts w:ascii="標楷體" w:eastAsia="標楷體" w:hAnsi="標楷體"/>
                                      <w:sz w:val="18"/>
                                      <w:szCs w:val="18"/>
                                    </w:rPr>
                                  </w:pPr>
                                  <w:r w:rsidRPr="005B6040">
                                    <w:rPr>
                                      <w:rFonts w:ascii="標楷體" w:eastAsia="標楷體" w:hAnsi="標楷體" w:hint="eastAsia"/>
                                      <w:sz w:val="18"/>
                                      <w:szCs w:val="18"/>
                                    </w:rPr>
                                    <w:t>3.</w:t>
                                  </w:r>
                                  <w:r w:rsidRPr="00385965">
                                    <w:rPr>
                                      <w:rFonts w:ascii="標楷體" w:eastAsia="標楷體" w:hAnsi="標楷體" w:hint="eastAsia"/>
                                      <w:spacing w:val="-8"/>
                                      <w:sz w:val="18"/>
                                      <w:szCs w:val="18"/>
                                    </w:rPr>
                                    <w:t>1,591=6,473-394-2,302（</w:t>
                                  </w:r>
                                  <w:proofErr w:type="gramStart"/>
                                  <w:r w:rsidRPr="00385965">
                                    <w:rPr>
                                      <w:rFonts w:ascii="標楷體" w:eastAsia="標楷體" w:hAnsi="標楷體" w:hint="eastAsia"/>
                                      <w:spacing w:val="-8"/>
                                      <w:sz w:val="18"/>
                                      <w:szCs w:val="18"/>
                                    </w:rPr>
                                    <w:t>113</w:t>
                                  </w:r>
                                  <w:proofErr w:type="gramEnd"/>
                                  <w:r w:rsidRPr="00385965">
                                    <w:rPr>
                                      <w:rFonts w:ascii="標楷體" w:eastAsia="標楷體" w:hAnsi="標楷體" w:hint="eastAsia"/>
                                      <w:spacing w:val="-8"/>
                                      <w:sz w:val="18"/>
                                      <w:szCs w:val="18"/>
                                    </w:rPr>
                                    <w:t>年度行銷方案註冊數）-2,186</w:t>
                                  </w:r>
                                  <w:proofErr w:type="gramStart"/>
                                  <w:r w:rsidRPr="00385965">
                                    <w:rPr>
                                      <w:rFonts w:ascii="標楷體" w:eastAsia="標楷體" w:hAnsi="標楷體" w:hint="eastAsia"/>
                                      <w:spacing w:val="-8"/>
                                      <w:sz w:val="18"/>
                                      <w:szCs w:val="18"/>
                                    </w:rPr>
                                    <w:t>（112</w:t>
                                  </w:r>
                                  <w:proofErr w:type="gramEnd"/>
                                  <w:r w:rsidRPr="00385965">
                                    <w:rPr>
                                      <w:rFonts w:ascii="標楷體" w:eastAsia="標楷體" w:hAnsi="標楷體" w:hint="eastAsia"/>
                                      <w:spacing w:val="-8"/>
                                      <w:sz w:val="18"/>
                                      <w:szCs w:val="18"/>
                                    </w:rPr>
                                    <w:t>年度行銷方案註冊數)。</w:t>
                                  </w:r>
                                </w:p>
                                <w:p w14:paraId="4BE00E39" w14:textId="77777777" w:rsidR="000422E0" w:rsidRPr="00D334D8" w:rsidRDefault="000422E0" w:rsidP="006945A8">
                                  <w:pPr>
                                    <w:spacing w:line="240" w:lineRule="exact"/>
                                    <w:ind w:leftChars="150" w:left="360"/>
                                    <w:jc w:val="both"/>
                                    <w:rPr>
                                      <w:rFonts w:ascii="標楷體" w:eastAsia="標楷體" w:hAnsi="標楷體"/>
                                      <w:sz w:val="18"/>
                                      <w:szCs w:val="18"/>
                                    </w:rPr>
                                  </w:pPr>
                                  <w:r w:rsidRPr="005B6040">
                                    <w:rPr>
                                      <w:rFonts w:ascii="標楷體" w:eastAsia="標楷體" w:hAnsi="標楷體" w:hint="eastAsia"/>
                                      <w:sz w:val="18"/>
                                      <w:szCs w:val="18"/>
                                    </w:rPr>
                                    <w:t>4.資料來源：整理自資訊局提供資料。</w:t>
                                  </w:r>
                                </w:p>
                              </w:tc>
                            </w:tr>
                          </w:tbl>
                          <w:p w14:paraId="0F648E80" w14:textId="77777777" w:rsidR="000422E0" w:rsidRDefault="000422E0" w:rsidP="000422E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139937" id="_x0000_s1156" type="#_x0000_t202" style="position:absolute;left:0;text-align:left;margin-left:139.45pt;margin-top:68.45pt;width:364.05pt;height:225.25pt;z-index:-25148620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" stroked="f">
                <v:textbox>
                  <w:txbxContent>
                    <w:tbl>
                      <w:tblPr>
                        <w:tblStyle w:val="a6"/>
                        <w:tblW w:w="0" w:type="auto"/>
                        <w:tblLook w:val="04A0" w:firstRow="1" w:lastRow="0" w:firstColumn="1" w:lastColumn="0" w:noHBand="0" w:noVBand="1"/>
                      </w:tblPr>
                      <w:tblGrid>
                        <w:gridCol w:w="850"/>
                        <w:gridCol w:w="964"/>
                        <w:gridCol w:w="1191"/>
                        <w:gridCol w:w="1247"/>
                        <w:gridCol w:w="964"/>
                        <w:gridCol w:w="1725"/>
                      </w:tblGrid>
                      <w:tr w:rsidR="000422E0" w14:paraId="6F001462" w14:textId="77777777" w:rsidTr="00D334D8">
                        <w:tc>
                          <w:tcPr>
                            <w:tcW w:w="6941" w:type="dxa"/>
                            <w:gridSpan w:val="6"/>
                            <w:tcBorders>
                              <w:top w:val="nil"/>
                              <w:left w:val="nil"/>
                              <w:bottom w:val="nil"/>
                              <w:right w:val="nil"/>
                            </w:tcBorders>
                          </w:tcPr>
                          <w:p w14:paraId="1AE8C5FC" w14:textId="77777777" w:rsidR="000422E0" w:rsidRPr="00D334D8" w:rsidRDefault="000422E0" w:rsidP="00D334D8">
                            <w:pPr>
                              <w:jc w:val="center"/>
                              <w:rPr>
                                <w:sz w:val="24"/>
                                <w:szCs w:val="24"/>
                              </w:rPr>
                            </w:pPr>
                            <w:r w:rsidRPr="00D334D8">
                              <w:rPr>
                                <w:rFonts w:ascii="標楷體" w:eastAsia="標楷體" w:hAnsi="標楷體" w:hint="eastAsia"/>
                                <w:b/>
                                <w:sz w:val="24"/>
                                <w:szCs w:val="24"/>
                              </w:rPr>
                              <w:t>表1　網域註冊情形分析</w:t>
                            </w:r>
                          </w:p>
                        </w:tc>
                      </w:tr>
                      <w:tr w:rsidR="000422E0" w14:paraId="30A3879F" w14:textId="77777777" w:rsidTr="00385965">
                        <w:trPr>
                          <w:trHeight w:val="170"/>
                        </w:trPr>
                        <w:tc>
                          <w:tcPr>
                            <w:tcW w:w="6941" w:type="dxa"/>
                            <w:gridSpan w:val="6"/>
                            <w:tcBorders>
                              <w:top w:val="nil"/>
                              <w:left w:val="nil"/>
                              <w:bottom w:val="single" w:sz="4" w:space="0" w:color="auto"/>
                              <w:right w:val="nil"/>
                            </w:tcBorders>
                          </w:tcPr>
                          <w:p w14:paraId="711AEA83" w14:textId="77777777" w:rsidR="000422E0" w:rsidRPr="00550659" w:rsidRDefault="000422E0" w:rsidP="00385965">
                            <w:pPr>
                              <w:spacing w:line="220" w:lineRule="exact"/>
                              <w:jc w:val="right"/>
                              <w:rPr>
                                <w:rFonts w:ascii="標楷體" w:eastAsia="標楷體" w:hAnsi="標楷體"/>
                              </w:rPr>
                            </w:pPr>
                            <w:r w:rsidRPr="00550659">
                              <w:rPr>
                                <w:rFonts w:ascii="標楷體" w:eastAsia="標楷體" w:hAnsi="標楷體" w:hint="eastAsia"/>
                              </w:rPr>
                              <w:t>單位：</w:t>
                            </w:r>
                            <w:proofErr w:type="gramStart"/>
                            <w:r w:rsidRPr="00550659">
                              <w:rPr>
                                <w:rFonts w:ascii="標楷體" w:eastAsia="標楷體" w:hAnsi="標楷體" w:hint="eastAsia"/>
                              </w:rPr>
                              <w:t>個</w:t>
                            </w:r>
                            <w:proofErr w:type="gramEnd"/>
                          </w:p>
                        </w:tc>
                      </w:tr>
                      <w:tr w:rsidR="000422E0" w14:paraId="7B79B91E" w14:textId="77777777" w:rsidTr="00796D46">
                        <w:tc>
                          <w:tcPr>
                            <w:tcW w:w="850" w:type="dxa"/>
                            <w:tcBorders>
                              <w:top w:val="single" w:sz="4" w:space="0" w:color="auto"/>
                            </w:tcBorders>
                            <w:vAlign w:val="center"/>
                          </w:tcPr>
                          <w:p w14:paraId="0C96A51F"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年度</w:t>
                            </w:r>
                          </w:p>
                        </w:tc>
                        <w:tc>
                          <w:tcPr>
                            <w:tcW w:w="964" w:type="dxa"/>
                            <w:tcBorders>
                              <w:top w:val="single" w:sz="4" w:space="0" w:color="auto"/>
                            </w:tcBorders>
                            <w:vAlign w:val="center"/>
                          </w:tcPr>
                          <w:p w14:paraId="0A495F3F" w14:textId="77777777" w:rsidR="000422E0" w:rsidRPr="00385965" w:rsidRDefault="000422E0" w:rsidP="00796D46">
                            <w:pPr>
                              <w:spacing w:line="240" w:lineRule="exact"/>
                              <w:jc w:val="center"/>
                              <w:rPr>
                                <w:rFonts w:ascii="標楷體" w:eastAsia="標楷體" w:hAnsi="標楷體"/>
                                <w:kern w:val="2"/>
                              </w:rPr>
                            </w:pPr>
                            <w:r w:rsidRPr="00385965">
                              <w:rPr>
                                <w:rFonts w:ascii="標楷體" w:eastAsia="標楷體" w:hAnsi="標楷體" w:hint="eastAsia"/>
                                <w:kern w:val="2"/>
                              </w:rPr>
                              <w:t>各年底</w:t>
                            </w:r>
                          </w:p>
                          <w:p w14:paraId="3BD7A437"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註冊數</w:t>
                            </w:r>
                          </w:p>
                        </w:tc>
                        <w:tc>
                          <w:tcPr>
                            <w:tcW w:w="1191" w:type="dxa"/>
                            <w:tcBorders>
                              <w:top w:val="single" w:sz="4" w:space="0" w:color="auto"/>
                            </w:tcBorders>
                            <w:vAlign w:val="center"/>
                          </w:tcPr>
                          <w:p w14:paraId="5AC3B1E3" w14:textId="77777777" w:rsidR="000422E0" w:rsidRPr="00385965" w:rsidRDefault="000422E0" w:rsidP="00796D46">
                            <w:pPr>
                              <w:spacing w:line="240" w:lineRule="exact"/>
                              <w:jc w:val="center"/>
                              <w:rPr>
                                <w:rFonts w:ascii="標楷體" w:eastAsia="標楷體" w:hAnsi="標楷體"/>
                                <w:kern w:val="2"/>
                              </w:rPr>
                            </w:pPr>
                            <w:r w:rsidRPr="00385965">
                              <w:rPr>
                                <w:rFonts w:ascii="標楷體" w:eastAsia="標楷體" w:hAnsi="標楷體" w:hint="eastAsia"/>
                                <w:kern w:val="2"/>
                              </w:rPr>
                              <w:t>市府機關</w:t>
                            </w:r>
                          </w:p>
                          <w:p w14:paraId="208C3E7D"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單位網站</w:t>
                            </w:r>
                          </w:p>
                        </w:tc>
                        <w:tc>
                          <w:tcPr>
                            <w:tcW w:w="1247" w:type="dxa"/>
                            <w:tcBorders>
                              <w:top w:val="single" w:sz="4" w:space="0" w:color="auto"/>
                            </w:tcBorders>
                            <w:vAlign w:val="center"/>
                          </w:tcPr>
                          <w:p w14:paraId="3F45FFE7" w14:textId="77777777" w:rsidR="000422E0" w:rsidRPr="00385965" w:rsidRDefault="000422E0" w:rsidP="00796D46">
                            <w:pPr>
                              <w:spacing w:line="240" w:lineRule="exact"/>
                              <w:jc w:val="center"/>
                              <w:rPr>
                                <w:rFonts w:ascii="標楷體" w:eastAsia="標楷體" w:hAnsi="標楷體"/>
                                <w:kern w:val="2"/>
                              </w:rPr>
                            </w:pPr>
                            <w:r w:rsidRPr="00385965">
                              <w:rPr>
                                <w:rFonts w:ascii="標楷體" w:eastAsia="標楷體" w:hAnsi="標楷體" w:hint="eastAsia"/>
                                <w:kern w:val="2"/>
                              </w:rPr>
                              <w:t>一般民眾</w:t>
                            </w:r>
                          </w:p>
                          <w:p w14:paraId="7B77071F"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註冊數（A）</w:t>
                            </w:r>
                          </w:p>
                        </w:tc>
                        <w:tc>
                          <w:tcPr>
                            <w:tcW w:w="964" w:type="dxa"/>
                            <w:tcBorders>
                              <w:top w:val="single" w:sz="4" w:space="0" w:color="auto"/>
                              <w:bottom w:val="single" w:sz="4" w:space="0" w:color="auto"/>
                            </w:tcBorders>
                            <w:vAlign w:val="center"/>
                          </w:tcPr>
                          <w:p w14:paraId="20593809" w14:textId="77777777" w:rsidR="000422E0" w:rsidRPr="00385965" w:rsidRDefault="000422E0" w:rsidP="00796D46">
                            <w:pPr>
                              <w:spacing w:line="240" w:lineRule="exact"/>
                              <w:jc w:val="center"/>
                              <w:rPr>
                                <w:rFonts w:ascii="標楷體" w:eastAsia="標楷體" w:hAnsi="標楷體"/>
                                <w:kern w:val="2"/>
                              </w:rPr>
                            </w:pPr>
                            <w:r w:rsidRPr="00385965">
                              <w:rPr>
                                <w:rFonts w:ascii="標楷體" w:eastAsia="標楷體" w:hAnsi="標楷體" w:hint="eastAsia"/>
                                <w:kern w:val="2"/>
                              </w:rPr>
                              <w:t>免費行銷方案</w:t>
                            </w:r>
                          </w:p>
                          <w:p w14:paraId="19C769D8"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註冊數（B）</w:t>
                            </w:r>
                          </w:p>
                        </w:tc>
                        <w:tc>
                          <w:tcPr>
                            <w:tcW w:w="1725" w:type="dxa"/>
                            <w:tcBorders>
                              <w:top w:val="single" w:sz="4" w:space="0" w:color="auto"/>
                            </w:tcBorders>
                            <w:vAlign w:val="center"/>
                          </w:tcPr>
                          <w:p w14:paraId="12343C44" w14:textId="77777777" w:rsidR="000422E0" w:rsidRPr="00385965" w:rsidRDefault="000422E0" w:rsidP="00796D46">
                            <w:pPr>
                              <w:spacing w:line="240" w:lineRule="exact"/>
                              <w:jc w:val="center"/>
                              <w:rPr>
                                <w:rFonts w:ascii="標楷體" w:eastAsia="標楷體" w:hAnsi="標楷體"/>
                                <w:kern w:val="2"/>
                              </w:rPr>
                            </w:pPr>
                            <w:r w:rsidRPr="00385965">
                              <w:rPr>
                                <w:rFonts w:ascii="標楷體" w:eastAsia="標楷體" w:hAnsi="標楷體" w:hint="eastAsia"/>
                                <w:kern w:val="2"/>
                              </w:rPr>
                              <w:t>繳費註冊數</w:t>
                            </w:r>
                          </w:p>
                          <w:p w14:paraId="78F8CA67" w14:textId="77777777" w:rsidR="000422E0" w:rsidRPr="00385965" w:rsidRDefault="000422E0" w:rsidP="00796D46">
                            <w:pPr>
                              <w:spacing w:line="240" w:lineRule="exact"/>
                              <w:jc w:val="center"/>
                              <w:rPr>
                                <w:rFonts w:ascii="標楷體" w:eastAsia="標楷體" w:hAnsi="標楷體"/>
                              </w:rPr>
                            </w:pPr>
                            <w:r w:rsidRPr="00385965">
                              <w:rPr>
                                <w:rFonts w:ascii="標楷體" w:eastAsia="標楷體" w:hAnsi="標楷體" w:hint="eastAsia"/>
                                <w:kern w:val="2"/>
                              </w:rPr>
                              <w:t>（C=A-B）</w:t>
                            </w:r>
                          </w:p>
                        </w:tc>
                      </w:tr>
                      <w:tr w:rsidR="000422E0" w14:paraId="2EC53B64" w14:textId="77777777" w:rsidTr="00385965">
                        <w:trPr>
                          <w:trHeight w:val="113"/>
                        </w:trPr>
                        <w:tc>
                          <w:tcPr>
                            <w:tcW w:w="850" w:type="dxa"/>
                            <w:vAlign w:val="center"/>
                          </w:tcPr>
                          <w:p w14:paraId="07BF9CBA"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106</w:t>
                            </w:r>
                          </w:p>
                        </w:tc>
                        <w:tc>
                          <w:tcPr>
                            <w:tcW w:w="964" w:type="dxa"/>
                            <w:vAlign w:val="center"/>
                          </w:tcPr>
                          <w:p w14:paraId="5CEC438A"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6,365</w:t>
                            </w:r>
                          </w:p>
                        </w:tc>
                        <w:tc>
                          <w:tcPr>
                            <w:tcW w:w="1191" w:type="dxa"/>
                            <w:vAlign w:val="center"/>
                          </w:tcPr>
                          <w:p w14:paraId="6EE7F945"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252</w:t>
                            </w:r>
                          </w:p>
                        </w:tc>
                        <w:tc>
                          <w:tcPr>
                            <w:tcW w:w="1247" w:type="dxa"/>
                            <w:vAlign w:val="center"/>
                          </w:tcPr>
                          <w:p w14:paraId="5452BABC"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6,113</w:t>
                            </w:r>
                          </w:p>
                        </w:tc>
                        <w:tc>
                          <w:tcPr>
                            <w:tcW w:w="964" w:type="dxa"/>
                            <w:vMerge w:val="restart"/>
                            <w:tcBorders>
                              <w:tl2br w:val="single" w:sz="4" w:space="0" w:color="auto"/>
                            </w:tcBorders>
                          </w:tcPr>
                          <w:p w14:paraId="04D2A314" w14:textId="77777777" w:rsidR="000422E0" w:rsidRPr="00385965" w:rsidRDefault="000422E0" w:rsidP="00385965">
                            <w:pPr>
                              <w:spacing w:line="220" w:lineRule="exact"/>
                              <w:rPr>
                                <w:rFonts w:ascii="標楷體" w:eastAsia="標楷體" w:hAnsi="標楷體"/>
                              </w:rPr>
                            </w:pPr>
                          </w:p>
                        </w:tc>
                        <w:tc>
                          <w:tcPr>
                            <w:tcW w:w="1725" w:type="dxa"/>
                            <w:vAlign w:val="center"/>
                          </w:tcPr>
                          <w:p w14:paraId="1FC6F582"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6,113</w:t>
                            </w:r>
                          </w:p>
                        </w:tc>
                      </w:tr>
                      <w:tr w:rsidR="000422E0" w14:paraId="7563032C" w14:textId="77777777" w:rsidTr="00385965">
                        <w:trPr>
                          <w:trHeight w:val="113"/>
                        </w:trPr>
                        <w:tc>
                          <w:tcPr>
                            <w:tcW w:w="850" w:type="dxa"/>
                            <w:vAlign w:val="center"/>
                          </w:tcPr>
                          <w:p w14:paraId="5F8449E3"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107</w:t>
                            </w:r>
                          </w:p>
                        </w:tc>
                        <w:tc>
                          <w:tcPr>
                            <w:tcW w:w="964" w:type="dxa"/>
                            <w:vAlign w:val="center"/>
                          </w:tcPr>
                          <w:p w14:paraId="71136C25"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3,021</w:t>
                            </w:r>
                          </w:p>
                        </w:tc>
                        <w:tc>
                          <w:tcPr>
                            <w:tcW w:w="1191" w:type="dxa"/>
                            <w:vAlign w:val="center"/>
                          </w:tcPr>
                          <w:p w14:paraId="1128A9C0"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293</w:t>
                            </w:r>
                          </w:p>
                        </w:tc>
                        <w:tc>
                          <w:tcPr>
                            <w:tcW w:w="1247" w:type="dxa"/>
                            <w:vAlign w:val="center"/>
                          </w:tcPr>
                          <w:p w14:paraId="6004EA36"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2,728</w:t>
                            </w:r>
                          </w:p>
                        </w:tc>
                        <w:tc>
                          <w:tcPr>
                            <w:tcW w:w="964" w:type="dxa"/>
                            <w:vMerge/>
                            <w:tcBorders>
                              <w:tl2br w:val="single" w:sz="4" w:space="0" w:color="auto"/>
                            </w:tcBorders>
                          </w:tcPr>
                          <w:p w14:paraId="379A140D" w14:textId="77777777" w:rsidR="000422E0" w:rsidRPr="00385965" w:rsidRDefault="000422E0" w:rsidP="00385965">
                            <w:pPr>
                              <w:spacing w:line="220" w:lineRule="exact"/>
                              <w:rPr>
                                <w:rFonts w:ascii="標楷體" w:eastAsia="標楷體" w:hAnsi="標楷體"/>
                              </w:rPr>
                            </w:pPr>
                          </w:p>
                        </w:tc>
                        <w:tc>
                          <w:tcPr>
                            <w:tcW w:w="1725" w:type="dxa"/>
                            <w:vAlign w:val="center"/>
                          </w:tcPr>
                          <w:p w14:paraId="2D0008EC"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2,728</w:t>
                            </w:r>
                          </w:p>
                        </w:tc>
                      </w:tr>
                      <w:tr w:rsidR="000422E0" w14:paraId="152519C2" w14:textId="77777777" w:rsidTr="00385965">
                        <w:trPr>
                          <w:trHeight w:val="113"/>
                        </w:trPr>
                        <w:tc>
                          <w:tcPr>
                            <w:tcW w:w="850" w:type="dxa"/>
                            <w:vAlign w:val="center"/>
                          </w:tcPr>
                          <w:p w14:paraId="727DAD16"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108</w:t>
                            </w:r>
                          </w:p>
                        </w:tc>
                        <w:tc>
                          <w:tcPr>
                            <w:tcW w:w="964" w:type="dxa"/>
                            <w:vAlign w:val="center"/>
                          </w:tcPr>
                          <w:p w14:paraId="5A6619CE"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1,959</w:t>
                            </w:r>
                          </w:p>
                        </w:tc>
                        <w:tc>
                          <w:tcPr>
                            <w:tcW w:w="1191" w:type="dxa"/>
                            <w:vAlign w:val="center"/>
                          </w:tcPr>
                          <w:p w14:paraId="19F8D492"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300</w:t>
                            </w:r>
                          </w:p>
                        </w:tc>
                        <w:tc>
                          <w:tcPr>
                            <w:tcW w:w="1247" w:type="dxa"/>
                            <w:vAlign w:val="center"/>
                          </w:tcPr>
                          <w:p w14:paraId="79FFAB9E"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1,659</w:t>
                            </w:r>
                          </w:p>
                        </w:tc>
                        <w:tc>
                          <w:tcPr>
                            <w:tcW w:w="964" w:type="dxa"/>
                            <w:vMerge/>
                            <w:tcBorders>
                              <w:tl2br w:val="single" w:sz="4" w:space="0" w:color="auto"/>
                            </w:tcBorders>
                          </w:tcPr>
                          <w:p w14:paraId="6067D0A5" w14:textId="77777777" w:rsidR="000422E0" w:rsidRPr="00385965" w:rsidRDefault="000422E0" w:rsidP="00385965">
                            <w:pPr>
                              <w:spacing w:line="220" w:lineRule="exact"/>
                              <w:rPr>
                                <w:rFonts w:ascii="標楷體" w:eastAsia="標楷體" w:hAnsi="標楷體"/>
                              </w:rPr>
                            </w:pPr>
                          </w:p>
                        </w:tc>
                        <w:tc>
                          <w:tcPr>
                            <w:tcW w:w="1725" w:type="dxa"/>
                            <w:vAlign w:val="center"/>
                          </w:tcPr>
                          <w:p w14:paraId="09BC3AB6"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1,659</w:t>
                            </w:r>
                          </w:p>
                        </w:tc>
                      </w:tr>
                      <w:tr w:rsidR="000422E0" w14:paraId="1320B358" w14:textId="77777777" w:rsidTr="00385965">
                        <w:trPr>
                          <w:trHeight w:val="113"/>
                        </w:trPr>
                        <w:tc>
                          <w:tcPr>
                            <w:tcW w:w="850" w:type="dxa"/>
                            <w:vAlign w:val="center"/>
                          </w:tcPr>
                          <w:p w14:paraId="4B59DF73"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109</w:t>
                            </w:r>
                          </w:p>
                        </w:tc>
                        <w:tc>
                          <w:tcPr>
                            <w:tcW w:w="964" w:type="dxa"/>
                            <w:vAlign w:val="center"/>
                          </w:tcPr>
                          <w:p w14:paraId="51DE0C8D"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2,047</w:t>
                            </w:r>
                          </w:p>
                        </w:tc>
                        <w:tc>
                          <w:tcPr>
                            <w:tcW w:w="1191" w:type="dxa"/>
                            <w:vAlign w:val="center"/>
                          </w:tcPr>
                          <w:p w14:paraId="4E946BE4"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316</w:t>
                            </w:r>
                          </w:p>
                        </w:tc>
                        <w:tc>
                          <w:tcPr>
                            <w:tcW w:w="1247" w:type="dxa"/>
                            <w:vAlign w:val="center"/>
                          </w:tcPr>
                          <w:p w14:paraId="2EFBEE88"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1,733</w:t>
                            </w:r>
                          </w:p>
                        </w:tc>
                        <w:tc>
                          <w:tcPr>
                            <w:tcW w:w="964" w:type="dxa"/>
                            <w:vMerge/>
                            <w:tcBorders>
                              <w:tl2br w:val="single" w:sz="4" w:space="0" w:color="auto"/>
                            </w:tcBorders>
                          </w:tcPr>
                          <w:p w14:paraId="11FAB60B" w14:textId="77777777" w:rsidR="000422E0" w:rsidRPr="00385965" w:rsidRDefault="000422E0" w:rsidP="00385965">
                            <w:pPr>
                              <w:spacing w:line="220" w:lineRule="exact"/>
                              <w:rPr>
                                <w:rFonts w:ascii="標楷體" w:eastAsia="標楷體" w:hAnsi="標楷體"/>
                              </w:rPr>
                            </w:pPr>
                          </w:p>
                        </w:tc>
                        <w:tc>
                          <w:tcPr>
                            <w:tcW w:w="1725" w:type="dxa"/>
                            <w:vAlign w:val="center"/>
                          </w:tcPr>
                          <w:p w14:paraId="5A268748"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1,733</w:t>
                            </w:r>
                          </w:p>
                        </w:tc>
                      </w:tr>
                      <w:tr w:rsidR="000422E0" w14:paraId="181D634D" w14:textId="77777777" w:rsidTr="00385965">
                        <w:trPr>
                          <w:trHeight w:val="113"/>
                        </w:trPr>
                        <w:tc>
                          <w:tcPr>
                            <w:tcW w:w="850" w:type="dxa"/>
                            <w:vAlign w:val="center"/>
                          </w:tcPr>
                          <w:p w14:paraId="688CF6CE"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110</w:t>
                            </w:r>
                          </w:p>
                        </w:tc>
                        <w:tc>
                          <w:tcPr>
                            <w:tcW w:w="964" w:type="dxa"/>
                            <w:vAlign w:val="center"/>
                          </w:tcPr>
                          <w:p w14:paraId="02E533C0"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2,233</w:t>
                            </w:r>
                          </w:p>
                        </w:tc>
                        <w:tc>
                          <w:tcPr>
                            <w:tcW w:w="1191" w:type="dxa"/>
                            <w:vAlign w:val="center"/>
                          </w:tcPr>
                          <w:p w14:paraId="2DFF0A58"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336</w:t>
                            </w:r>
                          </w:p>
                        </w:tc>
                        <w:tc>
                          <w:tcPr>
                            <w:tcW w:w="1247" w:type="dxa"/>
                            <w:vAlign w:val="center"/>
                          </w:tcPr>
                          <w:p w14:paraId="2C3C9149"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1,897</w:t>
                            </w:r>
                          </w:p>
                        </w:tc>
                        <w:tc>
                          <w:tcPr>
                            <w:tcW w:w="964" w:type="dxa"/>
                            <w:vMerge/>
                            <w:tcBorders>
                              <w:tl2br w:val="single" w:sz="4" w:space="0" w:color="auto"/>
                            </w:tcBorders>
                          </w:tcPr>
                          <w:p w14:paraId="2A9E7AA8" w14:textId="77777777" w:rsidR="000422E0" w:rsidRPr="00385965" w:rsidRDefault="000422E0" w:rsidP="00385965">
                            <w:pPr>
                              <w:spacing w:line="220" w:lineRule="exact"/>
                              <w:rPr>
                                <w:rFonts w:ascii="標楷體" w:eastAsia="標楷體" w:hAnsi="標楷體"/>
                              </w:rPr>
                            </w:pPr>
                          </w:p>
                        </w:tc>
                        <w:tc>
                          <w:tcPr>
                            <w:tcW w:w="1725" w:type="dxa"/>
                            <w:vAlign w:val="center"/>
                          </w:tcPr>
                          <w:p w14:paraId="1CD45068"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1,897</w:t>
                            </w:r>
                          </w:p>
                        </w:tc>
                      </w:tr>
                      <w:tr w:rsidR="000422E0" w14:paraId="60186184" w14:textId="77777777" w:rsidTr="00385965">
                        <w:trPr>
                          <w:trHeight w:val="113"/>
                        </w:trPr>
                        <w:tc>
                          <w:tcPr>
                            <w:tcW w:w="850" w:type="dxa"/>
                            <w:vAlign w:val="center"/>
                          </w:tcPr>
                          <w:p w14:paraId="3A773952"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111</w:t>
                            </w:r>
                          </w:p>
                        </w:tc>
                        <w:tc>
                          <w:tcPr>
                            <w:tcW w:w="964" w:type="dxa"/>
                            <w:vAlign w:val="center"/>
                          </w:tcPr>
                          <w:p w14:paraId="0ADEC90C"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4,747</w:t>
                            </w:r>
                          </w:p>
                        </w:tc>
                        <w:tc>
                          <w:tcPr>
                            <w:tcW w:w="1191" w:type="dxa"/>
                            <w:vAlign w:val="center"/>
                          </w:tcPr>
                          <w:p w14:paraId="1FD38510"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367</w:t>
                            </w:r>
                          </w:p>
                        </w:tc>
                        <w:tc>
                          <w:tcPr>
                            <w:tcW w:w="1247" w:type="dxa"/>
                            <w:vAlign w:val="center"/>
                          </w:tcPr>
                          <w:p w14:paraId="10A47707"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4,380</w:t>
                            </w:r>
                          </w:p>
                        </w:tc>
                        <w:tc>
                          <w:tcPr>
                            <w:tcW w:w="964" w:type="dxa"/>
                            <w:vAlign w:val="center"/>
                          </w:tcPr>
                          <w:p w14:paraId="10771493"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2,547</w:t>
                            </w:r>
                          </w:p>
                        </w:tc>
                        <w:tc>
                          <w:tcPr>
                            <w:tcW w:w="1725" w:type="dxa"/>
                            <w:vAlign w:val="center"/>
                          </w:tcPr>
                          <w:p w14:paraId="435CF463"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1,833（</w:t>
                            </w:r>
                            <w:proofErr w:type="gramStart"/>
                            <w:r w:rsidRPr="00385965">
                              <w:rPr>
                                <w:rFonts w:ascii="標楷體" w:eastAsia="標楷體" w:hAnsi="標楷體" w:hint="eastAsia"/>
                                <w:kern w:val="2"/>
                              </w:rPr>
                              <w:t>註</w:t>
                            </w:r>
                            <w:proofErr w:type="gramEnd"/>
                            <w:r w:rsidRPr="00385965">
                              <w:rPr>
                                <w:rFonts w:ascii="標楷體" w:eastAsia="標楷體" w:hAnsi="標楷體" w:hint="eastAsia"/>
                                <w:kern w:val="2"/>
                              </w:rPr>
                              <w:t>1）</w:t>
                            </w:r>
                          </w:p>
                        </w:tc>
                      </w:tr>
                      <w:tr w:rsidR="000422E0" w14:paraId="4B003C3B" w14:textId="77777777" w:rsidTr="00385965">
                        <w:trPr>
                          <w:trHeight w:val="113"/>
                        </w:trPr>
                        <w:tc>
                          <w:tcPr>
                            <w:tcW w:w="850" w:type="dxa"/>
                            <w:vAlign w:val="center"/>
                          </w:tcPr>
                          <w:p w14:paraId="2261DFD8"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112</w:t>
                            </w:r>
                          </w:p>
                        </w:tc>
                        <w:tc>
                          <w:tcPr>
                            <w:tcW w:w="964" w:type="dxa"/>
                            <w:vAlign w:val="center"/>
                          </w:tcPr>
                          <w:p w14:paraId="1FD5219C"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6,571</w:t>
                            </w:r>
                          </w:p>
                        </w:tc>
                        <w:tc>
                          <w:tcPr>
                            <w:tcW w:w="1191" w:type="dxa"/>
                            <w:vAlign w:val="center"/>
                          </w:tcPr>
                          <w:p w14:paraId="4E7723BB"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375</w:t>
                            </w:r>
                          </w:p>
                        </w:tc>
                        <w:tc>
                          <w:tcPr>
                            <w:tcW w:w="1247" w:type="dxa"/>
                            <w:vAlign w:val="center"/>
                          </w:tcPr>
                          <w:p w14:paraId="4BA29067"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6,196</w:t>
                            </w:r>
                          </w:p>
                        </w:tc>
                        <w:tc>
                          <w:tcPr>
                            <w:tcW w:w="964" w:type="dxa"/>
                            <w:vAlign w:val="center"/>
                          </w:tcPr>
                          <w:p w14:paraId="368AA698"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2,186</w:t>
                            </w:r>
                          </w:p>
                        </w:tc>
                        <w:tc>
                          <w:tcPr>
                            <w:tcW w:w="1725" w:type="dxa"/>
                            <w:vAlign w:val="center"/>
                          </w:tcPr>
                          <w:p w14:paraId="0025F3A2"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1,463（</w:t>
                            </w:r>
                            <w:proofErr w:type="gramStart"/>
                            <w:r w:rsidRPr="00385965">
                              <w:rPr>
                                <w:rFonts w:ascii="標楷體" w:eastAsia="標楷體" w:hAnsi="標楷體" w:hint="eastAsia"/>
                                <w:kern w:val="2"/>
                              </w:rPr>
                              <w:t>註</w:t>
                            </w:r>
                            <w:proofErr w:type="gramEnd"/>
                            <w:r w:rsidRPr="00385965">
                              <w:rPr>
                                <w:rFonts w:ascii="標楷體" w:eastAsia="標楷體" w:hAnsi="標楷體" w:hint="eastAsia"/>
                                <w:kern w:val="2"/>
                              </w:rPr>
                              <w:t>2）</w:t>
                            </w:r>
                          </w:p>
                        </w:tc>
                      </w:tr>
                      <w:tr w:rsidR="000422E0" w14:paraId="44761FA5" w14:textId="77777777" w:rsidTr="00385965">
                        <w:trPr>
                          <w:trHeight w:val="113"/>
                        </w:trPr>
                        <w:tc>
                          <w:tcPr>
                            <w:tcW w:w="850" w:type="dxa"/>
                            <w:tcBorders>
                              <w:bottom w:val="single" w:sz="4" w:space="0" w:color="auto"/>
                            </w:tcBorders>
                            <w:vAlign w:val="center"/>
                          </w:tcPr>
                          <w:p w14:paraId="63138DFB" w14:textId="77777777" w:rsidR="000422E0" w:rsidRPr="00385965" w:rsidRDefault="000422E0" w:rsidP="00385965">
                            <w:pPr>
                              <w:spacing w:line="220" w:lineRule="exact"/>
                              <w:jc w:val="center"/>
                              <w:rPr>
                                <w:rFonts w:ascii="標楷體" w:eastAsia="標楷體" w:hAnsi="標楷體"/>
                              </w:rPr>
                            </w:pPr>
                            <w:r w:rsidRPr="00385965">
                              <w:rPr>
                                <w:rFonts w:ascii="標楷體" w:eastAsia="標楷體" w:hAnsi="標楷體" w:hint="eastAsia"/>
                                <w:kern w:val="2"/>
                              </w:rPr>
                              <w:t>113</w:t>
                            </w:r>
                          </w:p>
                        </w:tc>
                        <w:tc>
                          <w:tcPr>
                            <w:tcW w:w="964" w:type="dxa"/>
                            <w:tcBorders>
                              <w:bottom w:val="single" w:sz="4" w:space="0" w:color="auto"/>
                            </w:tcBorders>
                            <w:vAlign w:val="center"/>
                          </w:tcPr>
                          <w:p w14:paraId="003AC9A7"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6,473</w:t>
                            </w:r>
                          </w:p>
                        </w:tc>
                        <w:tc>
                          <w:tcPr>
                            <w:tcW w:w="1191" w:type="dxa"/>
                            <w:tcBorders>
                              <w:bottom w:val="single" w:sz="4" w:space="0" w:color="auto"/>
                            </w:tcBorders>
                            <w:vAlign w:val="center"/>
                          </w:tcPr>
                          <w:p w14:paraId="6A56BB9F"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394</w:t>
                            </w:r>
                          </w:p>
                        </w:tc>
                        <w:tc>
                          <w:tcPr>
                            <w:tcW w:w="1247" w:type="dxa"/>
                            <w:tcBorders>
                              <w:bottom w:val="single" w:sz="4" w:space="0" w:color="auto"/>
                            </w:tcBorders>
                            <w:vAlign w:val="center"/>
                          </w:tcPr>
                          <w:p w14:paraId="1C68A632"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6,079</w:t>
                            </w:r>
                          </w:p>
                        </w:tc>
                        <w:tc>
                          <w:tcPr>
                            <w:tcW w:w="964" w:type="dxa"/>
                            <w:tcBorders>
                              <w:bottom w:val="single" w:sz="4" w:space="0" w:color="auto"/>
                            </w:tcBorders>
                            <w:vAlign w:val="center"/>
                          </w:tcPr>
                          <w:p w14:paraId="75BC8F72"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2,302</w:t>
                            </w:r>
                          </w:p>
                        </w:tc>
                        <w:tc>
                          <w:tcPr>
                            <w:tcW w:w="1725" w:type="dxa"/>
                            <w:tcBorders>
                              <w:bottom w:val="single" w:sz="4" w:space="0" w:color="auto"/>
                            </w:tcBorders>
                            <w:vAlign w:val="center"/>
                          </w:tcPr>
                          <w:p w14:paraId="5DD80CF6" w14:textId="77777777" w:rsidR="000422E0" w:rsidRPr="00385965" w:rsidRDefault="000422E0" w:rsidP="00385965">
                            <w:pPr>
                              <w:spacing w:line="220" w:lineRule="exact"/>
                              <w:jc w:val="right"/>
                              <w:rPr>
                                <w:rFonts w:ascii="標楷體" w:eastAsia="標楷體" w:hAnsi="標楷體"/>
                              </w:rPr>
                            </w:pPr>
                            <w:r w:rsidRPr="00385965">
                              <w:rPr>
                                <w:rFonts w:ascii="標楷體" w:eastAsia="標楷體" w:hAnsi="標楷體" w:hint="eastAsia"/>
                                <w:kern w:val="2"/>
                              </w:rPr>
                              <w:t>1,591（</w:t>
                            </w:r>
                            <w:proofErr w:type="gramStart"/>
                            <w:r w:rsidRPr="00385965">
                              <w:rPr>
                                <w:rFonts w:ascii="標楷體" w:eastAsia="標楷體" w:hAnsi="標楷體" w:hint="eastAsia"/>
                                <w:kern w:val="2"/>
                              </w:rPr>
                              <w:t>註</w:t>
                            </w:r>
                            <w:proofErr w:type="gramEnd"/>
                            <w:r w:rsidRPr="00385965">
                              <w:rPr>
                                <w:rFonts w:ascii="標楷體" w:eastAsia="標楷體" w:hAnsi="標楷體" w:hint="eastAsia"/>
                                <w:kern w:val="2"/>
                              </w:rPr>
                              <w:t>3）</w:t>
                            </w:r>
                          </w:p>
                        </w:tc>
                      </w:tr>
                      <w:tr w:rsidR="000422E0" w14:paraId="6D8E83D6" w14:textId="77777777" w:rsidTr="00D334D8">
                        <w:tc>
                          <w:tcPr>
                            <w:tcW w:w="6941" w:type="dxa"/>
                            <w:gridSpan w:val="6"/>
                            <w:tcBorders>
                              <w:top w:val="single" w:sz="4" w:space="0" w:color="auto"/>
                              <w:left w:val="nil"/>
                              <w:bottom w:val="nil"/>
                              <w:right w:val="nil"/>
                            </w:tcBorders>
                          </w:tcPr>
                          <w:p w14:paraId="02A8D476" w14:textId="77777777" w:rsidR="000422E0" w:rsidRPr="005B6040" w:rsidRDefault="000422E0" w:rsidP="006945A8">
                            <w:pPr>
                              <w:spacing w:line="240" w:lineRule="exact"/>
                              <w:jc w:val="both"/>
                              <w:rPr>
                                <w:rFonts w:ascii="標楷體" w:eastAsia="標楷體" w:hAnsi="標楷體"/>
                                <w:sz w:val="18"/>
                                <w:szCs w:val="18"/>
                              </w:rPr>
                            </w:pPr>
                            <w:proofErr w:type="gramStart"/>
                            <w:r w:rsidRPr="005B6040">
                              <w:rPr>
                                <w:rFonts w:ascii="標楷體" w:eastAsia="標楷體" w:hAnsi="標楷體" w:hint="eastAsia"/>
                                <w:sz w:val="18"/>
                                <w:szCs w:val="18"/>
                              </w:rPr>
                              <w:t>註</w:t>
                            </w:r>
                            <w:proofErr w:type="gramEnd"/>
                            <w:r w:rsidRPr="005B6040">
                              <w:rPr>
                                <w:rFonts w:ascii="標楷體" w:eastAsia="標楷體" w:hAnsi="標楷體" w:hint="eastAsia"/>
                                <w:sz w:val="18"/>
                                <w:szCs w:val="18"/>
                              </w:rPr>
                              <w:t>：1.1,833=4,747-367-2,547。</w:t>
                            </w:r>
                          </w:p>
                          <w:p w14:paraId="21EB6C57" w14:textId="77777777" w:rsidR="000422E0" w:rsidRPr="005B6040" w:rsidRDefault="000422E0" w:rsidP="006945A8">
                            <w:pPr>
                              <w:spacing w:line="240" w:lineRule="exact"/>
                              <w:ind w:leftChars="150" w:left="540" w:hangingChars="100" w:hanging="180"/>
                              <w:jc w:val="both"/>
                              <w:rPr>
                                <w:rFonts w:ascii="標楷體" w:eastAsia="標楷體" w:hAnsi="標楷體"/>
                                <w:sz w:val="18"/>
                                <w:szCs w:val="18"/>
                              </w:rPr>
                            </w:pPr>
                            <w:r w:rsidRPr="005B6040">
                              <w:rPr>
                                <w:rFonts w:ascii="標楷體" w:eastAsia="標楷體" w:hAnsi="標楷體" w:hint="eastAsia"/>
                                <w:sz w:val="18"/>
                                <w:szCs w:val="18"/>
                              </w:rPr>
                              <w:t>2.</w:t>
                            </w:r>
                            <w:r w:rsidRPr="00385965">
                              <w:rPr>
                                <w:rFonts w:ascii="標楷體" w:eastAsia="標楷體" w:hAnsi="標楷體" w:hint="eastAsia"/>
                                <w:spacing w:val="-8"/>
                                <w:sz w:val="18"/>
                                <w:szCs w:val="18"/>
                              </w:rPr>
                              <w:t>1,463=6,571-375-2,186（</w:t>
                            </w:r>
                            <w:proofErr w:type="gramStart"/>
                            <w:r w:rsidRPr="00385965">
                              <w:rPr>
                                <w:rFonts w:ascii="標楷體" w:eastAsia="標楷體" w:hAnsi="標楷體" w:hint="eastAsia"/>
                                <w:spacing w:val="-8"/>
                                <w:sz w:val="18"/>
                                <w:szCs w:val="18"/>
                              </w:rPr>
                              <w:t>112</w:t>
                            </w:r>
                            <w:proofErr w:type="gramEnd"/>
                            <w:r w:rsidRPr="00385965">
                              <w:rPr>
                                <w:rFonts w:ascii="標楷體" w:eastAsia="標楷體" w:hAnsi="標楷體" w:hint="eastAsia"/>
                                <w:spacing w:val="-8"/>
                                <w:sz w:val="18"/>
                                <w:szCs w:val="18"/>
                              </w:rPr>
                              <w:t>年度行銷方案註冊數）-2,547（</w:t>
                            </w:r>
                            <w:proofErr w:type="gramStart"/>
                            <w:r w:rsidRPr="00385965">
                              <w:rPr>
                                <w:rFonts w:ascii="標楷體" w:eastAsia="標楷體" w:hAnsi="標楷體" w:hint="eastAsia"/>
                                <w:spacing w:val="-8"/>
                                <w:sz w:val="18"/>
                                <w:szCs w:val="18"/>
                              </w:rPr>
                              <w:t>111</w:t>
                            </w:r>
                            <w:proofErr w:type="gramEnd"/>
                            <w:r w:rsidRPr="00385965">
                              <w:rPr>
                                <w:rFonts w:ascii="標楷體" w:eastAsia="標楷體" w:hAnsi="標楷體" w:hint="eastAsia"/>
                                <w:spacing w:val="-8"/>
                                <w:sz w:val="18"/>
                                <w:szCs w:val="18"/>
                              </w:rPr>
                              <w:t>年度行銷方案註冊數）。</w:t>
                            </w:r>
                          </w:p>
                          <w:p w14:paraId="5FA8054C" w14:textId="77777777" w:rsidR="000422E0" w:rsidRPr="005B6040" w:rsidRDefault="000422E0" w:rsidP="006945A8">
                            <w:pPr>
                              <w:spacing w:line="240" w:lineRule="exact"/>
                              <w:ind w:leftChars="150" w:left="540" w:hangingChars="100" w:hanging="180"/>
                              <w:jc w:val="both"/>
                              <w:rPr>
                                <w:rFonts w:ascii="標楷體" w:eastAsia="標楷體" w:hAnsi="標楷體"/>
                                <w:sz w:val="18"/>
                                <w:szCs w:val="18"/>
                              </w:rPr>
                            </w:pPr>
                            <w:r w:rsidRPr="005B6040">
                              <w:rPr>
                                <w:rFonts w:ascii="標楷體" w:eastAsia="標楷體" w:hAnsi="標楷體" w:hint="eastAsia"/>
                                <w:sz w:val="18"/>
                                <w:szCs w:val="18"/>
                              </w:rPr>
                              <w:t>3.</w:t>
                            </w:r>
                            <w:r w:rsidRPr="00385965">
                              <w:rPr>
                                <w:rFonts w:ascii="標楷體" w:eastAsia="標楷體" w:hAnsi="標楷體" w:hint="eastAsia"/>
                                <w:spacing w:val="-8"/>
                                <w:sz w:val="18"/>
                                <w:szCs w:val="18"/>
                              </w:rPr>
                              <w:t>1,591=6,473-394-2,302（</w:t>
                            </w:r>
                            <w:proofErr w:type="gramStart"/>
                            <w:r w:rsidRPr="00385965">
                              <w:rPr>
                                <w:rFonts w:ascii="標楷體" w:eastAsia="標楷體" w:hAnsi="標楷體" w:hint="eastAsia"/>
                                <w:spacing w:val="-8"/>
                                <w:sz w:val="18"/>
                                <w:szCs w:val="18"/>
                              </w:rPr>
                              <w:t>113</w:t>
                            </w:r>
                            <w:proofErr w:type="gramEnd"/>
                            <w:r w:rsidRPr="00385965">
                              <w:rPr>
                                <w:rFonts w:ascii="標楷體" w:eastAsia="標楷體" w:hAnsi="標楷體" w:hint="eastAsia"/>
                                <w:spacing w:val="-8"/>
                                <w:sz w:val="18"/>
                                <w:szCs w:val="18"/>
                              </w:rPr>
                              <w:t>年度行銷方案註冊數）-2,186</w:t>
                            </w:r>
                            <w:proofErr w:type="gramStart"/>
                            <w:r w:rsidRPr="00385965">
                              <w:rPr>
                                <w:rFonts w:ascii="標楷體" w:eastAsia="標楷體" w:hAnsi="標楷體" w:hint="eastAsia"/>
                                <w:spacing w:val="-8"/>
                                <w:sz w:val="18"/>
                                <w:szCs w:val="18"/>
                              </w:rPr>
                              <w:t>（112</w:t>
                            </w:r>
                            <w:proofErr w:type="gramEnd"/>
                            <w:r w:rsidRPr="00385965">
                              <w:rPr>
                                <w:rFonts w:ascii="標楷體" w:eastAsia="標楷體" w:hAnsi="標楷體" w:hint="eastAsia"/>
                                <w:spacing w:val="-8"/>
                                <w:sz w:val="18"/>
                                <w:szCs w:val="18"/>
                              </w:rPr>
                              <w:t>年度行銷方案註冊數)。</w:t>
                            </w:r>
                          </w:p>
                          <w:p w14:paraId="4BE00E39" w14:textId="77777777" w:rsidR="000422E0" w:rsidRPr="00D334D8" w:rsidRDefault="000422E0" w:rsidP="006945A8">
                            <w:pPr>
                              <w:spacing w:line="240" w:lineRule="exact"/>
                              <w:ind w:leftChars="150" w:left="360"/>
                              <w:jc w:val="both"/>
                              <w:rPr>
                                <w:rFonts w:ascii="標楷體" w:eastAsia="標楷體" w:hAnsi="標楷體"/>
                                <w:sz w:val="18"/>
                                <w:szCs w:val="18"/>
                              </w:rPr>
                            </w:pPr>
                            <w:r w:rsidRPr="005B6040">
                              <w:rPr>
                                <w:rFonts w:ascii="標楷體" w:eastAsia="標楷體" w:hAnsi="標楷體" w:hint="eastAsia"/>
                                <w:sz w:val="18"/>
                                <w:szCs w:val="18"/>
                              </w:rPr>
                              <w:t>4.資料來源：整理自資訊局提供資料。</w:t>
                            </w:r>
                          </w:p>
                        </w:tc>
                      </w:tr>
                    </w:tbl>
                    <w:p w14:paraId="0F648E80" w14:textId="77777777" w:rsidR="000422E0" w:rsidRDefault="000422E0" w:rsidP="000422E0"/>
                  </w:txbxContent>
                </v:textbox>
                <w10:wrap type="tight" anchory="page"/>
              </v:shape>
            </w:pict>
          </mc:Fallback>
        </mc:AlternateContent>
      </w:r>
      <w:r w:rsidR="00ED0425" w:rsidRPr="000422E0">
        <w:rPr>
          <w:rFonts w:ascii="標楷體" w:eastAsia="標楷體" w:hAnsi="標楷體" w:hint="eastAsia"/>
          <w:bCs/>
          <w:color w:val="000000" w:themeColor="text1"/>
          <w:spacing w:val="-4"/>
        </w:rPr>
        <w:t>用率分別僅5.22％及2.79％，</w:t>
      </w:r>
      <w:proofErr w:type="gramStart"/>
      <w:r w:rsidR="00ED0425" w:rsidRPr="000422E0">
        <w:rPr>
          <w:rFonts w:ascii="標楷體" w:eastAsia="標楷體" w:hAnsi="標楷體" w:hint="eastAsia"/>
          <w:bCs/>
          <w:color w:val="000000" w:themeColor="text1"/>
          <w:spacing w:val="-4"/>
        </w:rPr>
        <w:t>均未及1成</w:t>
      </w:r>
      <w:proofErr w:type="gramEnd"/>
      <w:r w:rsidR="00ED0425" w:rsidRPr="000422E0">
        <w:rPr>
          <w:rFonts w:ascii="標楷體" w:eastAsia="標楷體" w:hAnsi="標楷體" w:hint="eastAsia"/>
          <w:bCs/>
          <w:color w:val="000000" w:themeColor="text1"/>
          <w:spacing w:val="-4"/>
        </w:rPr>
        <w:t>，難以有效擴展提升註冊數。復據該局統計「.</w:t>
      </w:r>
      <w:proofErr w:type="spellStart"/>
      <w:r w:rsidR="00ED0425" w:rsidRPr="000422E0">
        <w:rPr>
          <w:rFonts w:ascii="標楷體" w:eastAsia="標楷體" w:hAnsi="標楷體" w:hint="eastAsia"/>
          <w:bCs/>
          <w:color w:val="000000" w:themeColor="text1"/>
          <w:spacing w:val="-4"/>
        </w:rPr>
        <w:t>taipei</w:t>
      </w:r>
      <w:proofErr w:type="spellEnd"/>
      <w:r w:rsidR="00ED0425" w:rsidRPr="000422E0">
        <w:rPr>
          <w:rFonts w:ascii="標楷體" w:eastAsia="標楷體" w:hAnsi="標楷體" w:hint="eastAsia"/>
          <w:bCs/>
          <w:color w:val="000000" w:themeColor="text1"/>
          <w:spacing w:val="-4"/>
        </w:rPr>
        <w:t>」網域註冊數，111至113年底分別有4,747個、6,571個、6,473個，惟扣除市府機關單位之網站及行銷方案提供民眾免費註冊體驗，各年度網域繳費註冊數，分別為1,833個、1,463個、1,591個，繳費註冊數與106年底相較大幅滑落（表1），已有減少趨勢，且截至113年底因負擔ICANN固定費用、後端系統服務費用及資料託管服務費用等網域營運管理及財務審核服務費用，累計已支付625萬餘元，惟廠商營運結果迄未達到收取權利金收入之門檻，經函請</w:t>
      </w:r>
      <w:proofErr w:type="gramStart"/>
      <w:r w:rsidR="00ED0425" w:rsidRPr="000422E0">
        <w:rPr>
          <w:rFonts w:ascii="標楷體" w:eastAsia="標楷體" w:hAnsi="標楷體" w:hint="eastAsia"/>
          <w:bCs/>
          <w:color w:val="000000" w:themeColor="text1"/>
          <w:spacing w:val="-4"/>
        </w:rPr>
        <w:t>研</w:t>
      </w:r>
      <w:proofErr w:type="gramEnd"/>
      <w:r w:rsidR="00ED0425" w:rsidRPr="000422E0">
        <w:rPr>
          <w:rFonts w:ascii="標楷體" w:eastAsia="標楷體" w:hAnsi="標楷體" w:hint="eastAsia"/>
          <w:bCs/>
          <w:color w:val="000000" w:themeColor="text1"/>
          <w:spacing w:val="-4"/>
        </w:rPr>
        <w:t>謀改善。據復：將於社群媒體提高宣傳頻率，及針對網域註冊使用週期，規劃對應不同階段客戶之行銷作法，拓展新客源之加入，並持續黏著使用舊客戶，以改進續用率及繳費註冊數。</w:t>
      </w:r>
    </w:p>
    <w:p w14:paraId="3A56A889" w14:textId="40027D50" w:rsidR="00ED0425" w:rsidRPr="00ED0425" w:rsidRDefault="00ED0425" w:rsidP="00385965">
      <w:pPr>
        <w:overflowPunct w:val="0"/>
        <w:spacing w:line="370" w:lineRule="exact"/>
        <w:ind w:firstLineChars="200" w:firstLine="480"/>
        <w:jc w:val="both"/>
        <w:rPr>
          <w:rFonts w:ascii="標楷體" w:eastAsia="標楷體" w:hAnsi="標楷體"/>
          <w:bCs/>
          <w:color w:val="000000" w:themeColor="text1"/>
        </w:rPr>
      </w:pPr>
      <w:r w:rsidRPr="00ED0425">
        <w:rPr>
          <w:rFonts w:ascii="標楷體" w:eastAsia="標楷體" w:hAnsi="標楷體" w:hint="eastAsia"/>
          <w:b/>
          <w:color w:val="000000" w:themeColor="text1"/>
        </w:rPr>
        <w:t>（2）部分新註冊網域涉</w:t>
      </w:r>
      <w:proofErr w:type="gramStart"/>
      <w:r w:rsidRPr="00ED0425">
        <w:rPr>
          <w:rFonts w:ascii="標楷體" w:eastAsia="標楷體" w:hAnsi="標楷體" w:hint="eastAsia"/>
          <w:b/>
          <w:color w:val="000000" w:themeColor="text1"/>
        </w:rPr>
        <w:t>經營線上博弈</w:t>
      </w:r>
      <w:proofErr w:type="gramEnd"/>
      <w:r w:rsidRPr="00ED0425">
        <w:rPr>
          <w:rFonts w:ascii="標楷體" w:eastAsia="標楷體" w:hAnsi="標楷體" w:hint="eastAsia"/>
          <w:b/>
          <w:color w:val="000000" w:themeColor="text1"/>
        </w:rPr>
        <w:t>或散</w:t>
      </w:r>
      <w:proofErr w:type="gramStart"/>
      <w:r w:rsidRPr="00ED0425">
        <w:rPr>
          <w:rFonts w:ascii="標楷體" w:eastAsia="標楷體" w:hAnsi="標楷體" w:hint="eastAsia"/>
          <w:b/>
          <w:color w:val="000000" w:themeColor="text1"/>
        </w:rPr>
        <w:t>布情色文字</w:t>
      </w:r>
      <w:proofErr w:type="gramEnd"/>
      <w:r w:rsidRPr="00ED0425">
        <w:rPr>
          <w:rFonts w:ascii="標楷體" w:eastAsia="標楷體" w:hAnsi="標楷體" w:hint="eastAsia"/>
          <w:b/>
          <w:color w:val="000000" w:themeColor="text1"/>
        </w:rPr>
        <w:t>等違規行為，監督管理機制有待</w:t>
      </w:r>
      <w:proofErr w:type="gramStart"/>
      <w:r w:rsidRPr="00ED0425">
        <w:rPr>
          <w:rFonts w:ascii="標楷體" w:eastAsia="標楷體" w:hAnsi="標楷體" w:hint="eastAsia"/>
          <w:b/>
          <w:color w:val="000000" w:themeColor="text1"/>
        </w:rPr>
        <w:t>研</w:t>
      </w:r>
      <w:proofErr w:type="gramEnd"/>
      <w:r w:rsidRPr="00ED0425">
        <w:rPr>
          <w:rFonts w:ascii="標楷體" w:eastAsia="標楷體" w:hAnsi="標楷體" w:hint="eastAsia"/>
          <w:b/>
          <w:color w:val="000000" w:themeColor="text1"/>
        </w:rPr>
        <w:t>謀強化：</w:t>
      </w:r>
      <w:r w:rsidRPr="00ED0425">
        <w:rPr>
          <w:rFonts w:ascii="標楷體" w:eastAsia="標楷體" w:hAnsi="標楷體" w:hint="eastAsia"/>
          <w:bCs/>
          <w:color w:val="000000" w:themeColor="text1"/>
        </w:rPr>
        <w:t>截至113年底，「.</w:t>
      </w:r>
      <w:proofErr w:type="spellStart"/>
      <w:r w:rsidRPr="00ED0425">
        <w:rPr>
          <w:rFonts w:ascii="標楷體" w:eastAsia="標楷體" w:hAnsi="標楷體" w:hint="eastAsia"/>
          <w:bCs/>
          <w:color w:val="000000" w:themeColor="text1"/>
        </w:rPr>
        <w:t>taipei</w:t>
      </w:r>
      <w:proofErr w:type="spellEnd"/>
      <w:r w:rsidRPr="00ED0425">
        <w:rPr>
          <w:rFonts w:ascii="標楷體" w:eastAsia="標楷體" w:hAnsi="標楷體" w:hint="eastAsia"/>
          <w:bCs/>
          <w:color w:val="000000" w:themeColor="text1"/>
        </w:rPr>
        <w:t>」網域註冊數計6,473個，扣除市府各機關單位網站數394個，一般民眾註冊數計6,079個，經將113年12月新註冊之2,397個網域名稱轉換為網址格式，逐一搜尋檢視各網址之使用情形，其中5個網站刊登有足球投注、</w:t>
      </w:r>
      <w:proofErr w:type="gramStart"/>
      <w:r w:rsidRPr="00ED0425">
        <w:rPr>
          <w:rFonts w:ascii="標楷體" w:eastAsia="標楷體" w:hAnsi="標楷體" w:hint="eastAsia"/>
          <w:bCs/>
          <w:color w:val="000000" w:themeColor="text1"/>
        </w:rPr>
        <w:t>線上博弈</w:t>
      </w:r>
      <w:proofErr w:type="gramEnd"/>
      <w:r w:rsidRPr="00ED0425">
        <w:rPr>
          <w:rFonts w:ascii="標楷體" w:eastAsia="標楷體" w:hAnsi="標楷體" w:hint="eastAsia"/>
          <w:bCs/>
          <w:color w:val="000000" w:themeColor="text1"/>
        </w:rPr>
        <w:t>、</w:t>
      </w:r>
      <w:proofErr w:type="gramStart"/>
      <w:r w:rsidRPr="00ED0425">
        <w:rPr>
          <w:rFonts w:ascii="標楷體" w:eastAsia="標楷體" w:hAnsi="標楷體" w:hint="eastAsia"/>
          <w:bCs/>
          <w:color w:val="000000" w:themeColor="text1"/>
        </w:rPr>
        <w:t>線上博</w:t>
      </w:r>
      <w:proofErr w:type="gramEnd"/>
      <w:r w:rsidRPr="00ED0425">
        <w:rPr>
          <w:rFonts w:ascii="標楷體" w:eastAsia="標楷體" w:hAnsi="標楷體" w:hint="eastAsia"/>
          <w:bCs/>
          <w:color w:val="000000" w:themeColor="text1"/>
        </w:rPr>
        <w:t>彩</w:t>
      </w:r>
      <w:proofErr w:type="gramStart"/>
      <w:r w:rsidRPr="00ED0425">
        <w:rPr>
          <w:rFonts w:ascii="標楷體" w:eastAsia="標楷體" w:hAnsi="標楷體" w:hint="eastAsia"/>
          <w:bCs/>
          <w:color w:val="000000" w:themeColor="text1"/>
        </w:rPr>
        <w:t>及情色小說</w:t>
      </w:r>
      <w:proofErr w:type="gramEnd"/>
      <w:r w:rsidRPr="00ED0425">
        <w:rPr>
          <w:rFonts w:ascii="標楷體" w:eastAsia="標楷體" w:hAnsi="標楷體" w:hint="eastAsia"/>
          <w:bCs/>
          <w:color w:val="000000" w:themeColor="text1"/>
        </w:rPr>
        <w:t>等相關訊息，</w:t>
      </w:r>
      <w:proofErr w:type="gramStart"/>
      <w:r w:rsidRPr="00ED0425">
        <w:rPr>
          <w:rFonts w:ascii="標楷體" w:eastAsia="標楷體" w:hAnsi="標楷體" w:hint="eastAsia"/>
          <w:bCs/>
          <w:color w:val="000000" w:themeColor="text1"/>
        </w:rPr>
        <w:t>疑</w:t>
      </w:r>
      <w:proofErr w:type="gramEnd"/>
      <w:r w:rsidRPr="00ED0425">
        <w:rPr>
          <w:rFonts w:ascii="標楷體" w:eastAsia="標楷體" w:hAnsi="標楷體" w:hint="eastAsia"/>
          <w:bCs/>
          <w:color w:val="000000" w:themeColor="text1"/>
        </w:rPr>
        <w:t>涉</w:t>
      </w:r>
      <w:proofErr w:type="gramStart"/>
      <w:r w:rsidRPr="00ED0425">
        <w:rPr>
          <w:rFonts w:ascii="標楷體" w:eastAsia="標楷體" w:hAnsi="標楷體" w:hint="eastAsia"/>
          <w:bCs/>
          <w:color w:val="000000" w:themeColor="text1"/>
        </w:rPr>
        <w:t>經營線上博弈</w:t>
      </w:r>
      <w:proofErr w:type="gramEnd"/>
      <w:r w:rsidRPr="00ED0425">
        <w:rPr>
          <w:rFonts w:ascii="標楷體" w:eastAsia="標楷體" w:hAnsi="標楷體" w:hint="eastAsia"/>
          <w:bCs/>
          <w:color w:val="000000" w:themeColor="text1"/>
        </w:rPr>
        <w:t>或散</w:t>
      </w:r>
      <w:proofErr w:type="gramStart"/>
      <w:r w:rsidRPr="00ED0425">
        <w:rPr>
          <w:rFonts w:ascii="標楷體" w:eastAsia="標楷體" w:hAnsi="標楷體" w:hint="eastAsia"/>
          <w:bCs/>
          <w:color w:val="000000" w:themeColor="text1"/>
        </w:rPr>
        <w:t>布情色文字</w:t>
      </w:r>
      <w:proofErr w:type="gramEnd"/>
      <w:r w:rsidRPr="00ED0425">
        <w:rPr>
          <w:rFonts w:ascii="標楷體" w:eastAsia="標楷體" w:hAnsi="標楷體" w:hint="eastAsia"/>
          <w:bCs/>
          <w:color w:val="000000" w:themeColor="text1"/>
        </w:rPr>
        <w:t>等違反法律規定情事，監督管理機制有待</w:t>
      </w:r>
      <w:proofErr w:type="gramStart"/>
      <w:r w:rsidRPr="00ED0425">
        <w:rPr>
          <w:rFonts w:ascii="標楷體" w:eastAsia="標楷體" w:hAnsi="標楷體" w:hint="eastAsia"/>
          <w:bCs/>
          <w:color w:val="000000" w:themeColor="text1"/>
        </w:rPr>
        <w:t>研</w:t>
      </w:r>
      <w:proofErr w:type="gramEnd"/>
      <w:r w:rsidRPr="00ED0425">
        <w:rPr>
          <w:rFonts w:ascii="標楷體" w:eastAsia="標楷體" w:hAnsi="標楷體" w:hint="eastAsia"/>
          <w:bCs/>
          <w:color w:val="000000" w:themeColor="text1"/>
        </w:rPr>
        <w:t>謀強化，經函請</w:t>
      </w:r>
      <w:proofErr w:type="gramStart"/>
      <w:r w:rsidRPr="00ED0425">
        <w:rPr>
          <w:rFonts w:ascii="標楷體" w:eastAsia="標楷體" w:hAnsi="標楷體" w:hint="eastAsia"/>
          <w:bCs/>
          <w:color w:val="000000" w:themeColor="text1"/>
        </w:rPr>
        <w:t>研</w:t>
      </w:r>
      <w:proofErr w:type="gramEnd"/>
      <w:r w:rsidRPr="00ED0425">
        <w:rPr>
          <w:rFonts w:ascii="標楷體" w:eastAsia="標楷體" w:hAnsi="標楷體" w:hint="eastAsia"/>
          <w:bCs/>
          <w:color w:val="000000" w:themeColor="text1"/>
        </w:rPr>
        <w:t>謀改善。據復：</w:t>
      </w:r>
      <w:proofErr w:type="gramStart"/>
      <w:r w:rsidRPr="00ED0425">
        <w:rPr>
          <w:rFonts w:ascii="標楷體" w:eastAsia="標楷體" w:hAnsi="標楷體" w:hint="eastAsia"/>
          <w:bCs/>
          <w:color w:val="000000" w:themeColor="text1"/>
        </w:rPr>
        <w:t>疑</w:t>
      </w:r>
      <w:proofErr w:type="gramEnd"/>
      <w:r w:rsidRPr="00ED0425">
        <w:rPr>
          <w:rFonts w:ascii="標楷體" w:eastAsia="標楷體" w:hAnsi="標楷體" w:hint="eastAsia"/>
          <w:bCs/>
          <w:color w:val="000000" w:themeColor="text1"/>
        </w:rPr>
        <w:t>涉</w:t>
      </w:r>
      <w:proofErr w:type="gramStart"/>
      <w:r w:rsidRPr="00ED0425">
        <w:rPr>
          <w:rFonts w:ascii="標楷體" w:eastAsia="標楷體" w:hAnsi="標楷體" w:hint="eastAsia"/>
          <w:bCs/>
          <w:color w:val="000000" w:themeColor="text1"/>
        </w:rPr>
        <w:t>經營線上博弈</w:t>
      </w:r>
      <w:proofErr w:type="gramEnd"/>
      <w:r w:rsidRPr="00ED0425">
        <w:rPr>
          <w:rFonts w:ascii="標楷體" w:eastAsia="標楷體" w:hAnsi="標楷體" w:hint="eastAsia"/>
          <w:bCs/>
          <w:color w:val="000000" w:themeColor="text1"/>
        </w:rPr>
        <w:t>或散</w:t>
      </w:r>
      <w:proofErr w:type="gramStart"/>
      <w:r w:rsidRPr="00ED0425">
        <w:rPr>
          <w:rFonts w:ascii="標楷體" w:eastAsia="標楷體" w:hAnsi="標楷體" w:hint="eastAsia"/>
          <w:bCs/>
          <w:color w:val="000000" w:themeColor="text1"/>
        </w:rPr>
        <w:t>布情色文字</w:t>
      </w:r>
      <w:proofErr w:type="gramEnd"/>
      <w:r w:rsidRPr="00ED0425">
        <w:rPr>
          <w:rFonts w:ascii="標楷體" w:eastAsia="標楷體" w:hAnsi="標楷體" w:hint="eastAsia"/>
          <w:bCs/>
          <w:color w:val="000000" w:themeColor="text1"/>
        </w:rPr>
        <w:t>等違規行為之5個網域，刻正辦理停止解析作業，並將網域用途相關檢核機制之執行方式納入評估規劃。</w:t>
      </w:r>
    </w:p>
    <w:p w14:paraId="298C587D" w14:textId="6F14C841" w:rsidR="00ED0425" w:rsidRPr="00385965" w:rsidRDefault="00ED0425" w:rsidP="00385965">
      <w:pPr>
        <w:overflowPunct w:val="0"/>
        <w:spacing w:line="370" w:lineRule="exact"/>
        <w:ind w:firstLineChars="200" w:firstLine="472"/>
        <w:jc w:val="both"/>
        <w:rPr>
          <w:rFonts w:ascii="標楷體" w:eastAsia="標楷體" w:hAnsi="標楷體"/>
          <w:color w:val="000000" w:themeColor="text1"/>
          <w:spacing w:val="-2"/>
        </w:rPr>
      </w:pPr>
      <w:r w:rsidRPr="00385965">
        <w:rPr>
          <w:rFonts w:ascii="標楷體" w:eastAsia="標楷體" w:hAnsi="標楷體" w:hint="eastAsia"/>
          <w:b/>
          <w:bCs/>
          <w:color w:val="000000" w:themeColor="text1"/>
          <w:spacing w:val="-2"/>
        </w:rPr>
        <w:t>（3）訂定市府各機關及</w:t>
      </w:r>
      <w:proofErr w:type="gramStart"/>
      <w:r w:rsidRPr="00385965">
        <w:rPr>
          <w:rFonts w:ascii="標楷體" w:eastAsia="標楷體" w:hAnsi="標楷體" w:hint="eastAsia"/>
          <w:b/>
          <w:bCs/>
          <w:color w:val="000000" w:themeColor="text1"/>
          <w:spacing w:val="-2"/>
        </w:rPr>
        <w:t>事業單位官網</w:t>
      </w:r>
      <w:proofErr w:type="gramEnd"/>
      <w:r w:rsidRPr="00385965">
        <w:rPr>
          <w:rFonts w:ascii="標楷體" w:eastAsia="標楷體" w:hAnsi="標楷體" w:hint="eastAsia"/>
          <w:b/>
          <w:bCs/>
          <w:color w:val="000000" w:themeColor="text1"/>
          <w:spacing w:val="-2"/>
        </w:rPr>
        <w:t>、活動網站轉移至「.</w:t>
      </w:r>
      <w:proofErr w:type="spellStart"/>
      <w:r w:rsidRPr="00385965">
        <w:rPr>
          <w:rFonts w:ascii="標楷體" w:eastAsia="標楷體" w:hAnsi="標楷體" w:hint="eastAsia"/>
          <w:b/>
          <w:bCs/>
          <w:color w:val="000000" w:themeColor="text1"/>
          <w:spacing w:val="-2"/>
        </w:rPr>
        <w:t>taipei</w:t>
      </w:r>
      <w:proofErr w:type="spellEnd"/>
      <w:r w:rsidRPr="00385965">
        <w:rPr>
          <w:rFonts w:ascii="標楷體" w:eastAsia="標楷體" w:hAnsi="標楷體" w:hint="eastAsia"/>
          <w:b/>
          <w:bCs/>
          <w:color w:val="000000" w:themeColor="text1"/>
          <w:spacing w:val="-2"/>
        </w:rPr>
        <w:t>」網域計畫，惟部分機關未依計畫辦理網域轉移：</w:t>
      </w:r>
      <w:r w:rsidRPr="00385965">
        <w:rPr>
          <w:rFonts w:ascii="標楷體" w:eastAsia="標楷體" w:hAnsi="標楷體" w:hint="eastAsia"/>
          <w:color w:val="000000" w:themeColor="text1"/>
          <w:spacing w:val="-2"/>
        </w:rPr>
        <w:t>依資訊局於103年8月29日</w:t>
      </w:r>
      <w:proofErr w:type="gramStart"/>
      <w:r w:rsidRPr="00385965">
        <w:rPr>
          <w:rFonts w:ascii="標楷體" w:eastAsia="標楷體" w:hAnsi="標楷體" w:hint="eastAsia"/>
          <w:color w:val="000000" w:themeColor="text1"/>
          <w:spacing w:val="-2"/>
        </w:rPr>
        <w:t>函頒「</w:t>
      </w:r>
      <w:proofErr w:type="gramEnd"/>
      <w:r w:rsidRPr="00385965">
        <w:rPr>
          <w:rFonts w:ascii="標楷體" w:eastAsia="標楷體" w:hAnsi="標楷體" w:hint="eastAsia"/>
          <w:color w:val="000000" w:themeColor="text1"/>
          <w:spacing w:val="-2"/>
        </w:rPr>
        <w:t>臺北市政府各機關及</w:t>
      </w:r>
      <w:proofErr w:type="gramStart"/>
      <w:r w:rsidRPr="00385965">
        <w:rPr>
          <w:rFonts w:ascii="標楷體" w:eastAsia="標楷體" w:hAnsi="標楷體" w:hint="eastAsia"/>
          <w:color w:val="000000" w:themeColor="text1"/>
          <w:spacing w:val="-2"/>
        </w:rPr>
        <w:t>事業單位官網</w:t>
      </w:r>
      <w:proofErr w:type="gramEnd"/>
      <w:r w:rsidRPr="00385965">
        <w:rPr>
          <w:rFonts w:ascii="標楷體" w:eastAsia="標楷體" w:hAnsi="標楷體" w:hint="eastAsia"/>
          <w:color w:val="000000" w:themeColor="text1"/>
          <w:spacing w:val="-2"/>
        </w:rPr>
        <w:t>、活動網站轉移至『.</w:t>
      </w:r>
      <w:proofErr w:type="spellStart"/>
      <w:r w:rsidRPr="00385965">
        <w:rPr>
          <w:rFonts w:ascii="標楷體" w:eastAsia="標楷體" w:hAnsi="標楷體" w:hint="eastAsia"/>
          <w:color w:val="000000" w:themeColor="text1"/>
          <w:spacing w:val="-2"/>
        </w:rPr>
        <w:t>taipei</w:t>
      </w:r>
      <w:proofErr w:type="spellEnd"/>
      <w:r w:rsidRPr="00385965">
        <w:rPr>
          <w:rFonts w:ascii="標楷體" w:eastAsia="標楷體" w:hAnsi="標楷體" w:hint="eastAsia"/>
          <w:color w:val="000000" w:themeColor="text1"/>
          <w:spacing w:val="-2"/>
        </w:rPr>
        <w:t>』頂級網域計畫」略</w:t>
      </w:r>
      <w:proofErr w:type="gramStart"/>
      <w:r w:rsidRPr="00385965">
        <w:rPr>
          <w:rFonts w:ascii="標楷體" w:eastAsia="標楷體" w:hAnsi="標楷體" w:hint="eastAsia"/>
          <w:color w:val="000000" w:themeColor="text1"/>
          <w:spacing w:val="-2"/>
        </w:rPr>
        <w:t>以</w:t>
      </w:r>
      <w:proofErr w:type="gramEnd"/>
      <w:r w:rsidRPr="00385965">
        <w:rPr>
          <w:rFonts w:ascii="標楷體" w:eastAsia="標楷體" w:hAnsi="標楷體" w:hint="eastAsia"/>
          <w:color w:val="000000" w:themeColor="text1"/>
          <w:spacing w:val="-2"/>
        </w:rPr>
        <w:t>，市府各機關及</w:t>
      </w:r>
      <w:proofErr w:type="gramStart"/>
      <w:r w:rsidRPr="00385965">
        <w:rPr>
          <w:rFonts w:ascii="標楷體" w:eastAsia="標楷體" w:hAnsi="標楷體" w:hint="eastAsia"/>
          <w:color w:val="000000" w:themeColor="text1"/>
          <w:spacing w:val="-2"/>
        </w:rPr>
        <w:t>事業單位官網</w:t>
      </w:r>
      <w:proofErr w:type="gramEnd"/>
      <w:r w:rsidRPr="00385965">
        <w:rPr>
          <w:rFonts w:ascii="標楷體" w:eastAsia="標楷體" w:hAnsi="標楷體" w:hint="eastAsia"/>
          <w:color w:val="000000" w:themeColor="text1"/>
          <w:spacing w:val="-2"/>
        </w:rPr>
        <w:t>、活動網及網路服務系統，除教育局之教育體系網域</w:t>
      </w:r>
      <w:proofErr w:type="gramStart"/>
      <w:r w:rsidRPr="00385965">
        <w:rPr>
          <w:rFonts w:ascii="標楷體" w:eastAsia="標楷體" w:hAnsi="標楷體" w:hint="eastAsia"/>
          <w:color w:val="000000" w:themeColor="text1"/>
          <w:spacing w:val="-2"/>
        </w:rPr>
        <w:t>（</w:t>
      </w:r>
      <w:proofErr w:type="gramEnd"/>
      <w:r w:rsidRPr="00385965">
        <w:rPr>
          <w:rFonts w:ascii="標楷體" w:eastAsia="標楷體" w:hAnsi="標楷體" w:hint="eastAsia"/>
          <w:color w:val="000000" w:themeColor="text1"/>
          <w:spacing w:val="-2"/>
        </w:rPr>
        <w:t>即.edu.</w:t>
      </w:r>
      <w:r w:rsidRPr="00385965">
        <w:rPr>
          <w:rFonts w:ascii="標楷體" w:eastAsia="標楷體" w:hAnsi="標楷體" w:hint="eastAsia"/>
          <w:bCs/>
          <w:color w:val="000000" w:themeColor="text1"/>
          <w:spacing w:val="-2"/>
        </w:rPr>
        <w:t>tw</w:t>
      </w:r>
      <w:r w:rsidRPr="00385965">
        <w:rPr>
          <w:rFonts w:ascii="標楷體" w:eastAsia="標楷體" w:hAnsi="標楷體" w:hint="eastAsia"/>
          <w:color w:val="000000" w:themeColor="text1"/>
          <w:spacing w:val="-2"/>
        </w:rPr>
        <w:t>網域</w:t>
      </w:r>
      <w:proofErr w:type="gramStart"/>
      <w:r w:rsidRPr="00385965">
        <w:rPr>
          <w:rFonts w:ascii="標楷體" w:eastAsia="標楷體" w:hAnsi="標楷體" w:hint="eastAsia"/>
          <w:color w:val="000000" w:themeColor="text1"/>
          <w:spacing w:val="-2"/>
        </w:rPr>
        <w:t>）</w:t>
      </w:r>
      <w:proofErr w:type="gramEnd"/>
      <w:r w:rsidRPr="00385965">
        <w:rPr>
          <w:rFonts w:ascii="標楷體" w:eastAsia="標楷體" w:hAnsi="標楷體" w:hint="eastAsia"/>
          <w:color w:val="000000" w:themeColor="text1"/>
          <w:spacing w:val="-2"/>
        </w:rPr>
        <w:t>遵循教育部規範暫不轉移外，所有網路服務</w:t>
      </w:r>
      <w:proofErr w:type="gramStart"/>
      <w:r w:rsidRPr="00385965">
        <w:rPr>
          <w:rFonts w:ascii="標楷體" w:eastAsia="標楷體" w:hAnsi="標楷體" w:hint="eastAsia"/>
          <w:color w:val="000000" w:themeColor="text1"/>
          <w:spacing w:val="-2"/>
        </w:rPr>
        <w:t>系統均須轉移</w:t>
      </w:r>
      <w:proofErr w:type="gramEnd"/>
      <w:r w:rsidRPr="00385965">
        <w:rPr>
          <w:rFonts w:ascii="標楷體" w:eastAsia="標楷體" w:hAnsi="標楷體" w:hint="eastAsia"/>
          <w:color w:val="000000" w:themeColor="text1"/>
          <w:spacing w:val="-2"/>
        </w:rPr>
        <w:t>至「.</w:t>
      </w:r>
      <w:proofErr w:type="spellStart"/>
      <w:r w:rsidRPr="00385965">
        <w:rPr>
          <w:rFonts w:ascii="標楷體" w:eastAsia="標楷體" w:hAnsi="標楷體" w:hint="eastAsia"/>
          <w:color w:val="000000" w:themeColor="text1"/>
          <w:spacing w:val="-2"/>
        </w:rPr>
        <w:t>taipei</w:t>
      </w:r>
      <w:proofErr w:type="spellEnd"/>
      <w:r w:rsidRPr="00385965">
        <w:rPr>
          <w:rFonts w:ascii="標楷體" w:eastAsia="標楷體" w:hAnsi="標楷體" w:hint="eastAsia"/>
          <w:color w:val="000000" w:themeColor="text1"/>
          <w:spacing w:val="-2"/>
        </w:rPr>
        <w:t>」網域。截至114年3月17日止，臺北市各機關單位網站，屬應依上開計畫辦理轉移至「.</w:t>
      </w:r>
      <w:proofErr w:type="spellStart"/>
      <w:r w:rsidRPr="00385965">
        <w:rPr>
          <w:rFonts w:ascii="標楷體" w:eastAsia="標楷體" w:hAnsi="標楷體" w:hint="eastAsia"/>
          <w:color w:val="000000" w:themeColor="text1"/>
          <w:spacing w:val="-2"/>
        </w:rPr>
        <w:t>taipei</w:t>
      </w:r>
      <w:proofErr w:type="spellEnd"/>
      <w:r w:rsidRPr="00385965">
        <w:rPr>
          <w:rFonts w:ascii="標楷體" w:eastAsia="標楷體" w:hAnsi="標楷體" w:hint="eastAsia"/>
          <w:color w:val="000000" w:themeColor="text1"/>
          <w:spacing w:val="-2"/>
        </w:rPr>
        <w:t>」網域者計有421個，惟臺北市</w:t>
      </w:r>
      <w:r w:rsidRPr="00385965">
        <w:rPr>
          <w:rFonts w:ascii="標楷體" w:eastAsia="標楷體" w:hAnsi="標楷體" w:hint="eastAsia"/>
          <w:bCs/>
          <w:color w:val="000000" w:themeColor="text1"/>
          <w:spacing w:val="-2"/>
        </w:rPr>
        <w:t>政府</w:t>
      </w:r>
      <w:r w:rsidRPr="00385965">
        <w:rPr>
          <w:rFonts w:ascii="標楷體" w:eastAsia="標楷體" w:hAnsi="標楷體" w:hint="eastAsia"/>
          <w:color w:val="000000" w:themeColor="text1"/>
          <w:spacing w:val="-2"/>
        </w:rPr>
        <w:t>衛生局之長期照顧資訊網、食藥</w:t>
      </w:r>
      <w:proofErr w:type="gramStart"/>
      <w:r w:rsidRPr="00385965">
        <w:rPr>
          <w:rFonts w:ascii="標楷體" w:eastAsia="標楷體" w:hAnsi="標楷體" w:hint="eastAsia"/>
          <w:color w:val="000000" w:themeColor="text1"/>
          <w:spacing w:val="-2"/>
        </w:rPr>
        <w:t>粧</w:t>
      </w:r>
      <w:proofErr w:type="gramEnd"/>
      <w:r w:rsidRPr="00385965">
        <w:rPr>
          <w:rFonts w:ascii="標楷體" w:eastAsia="標楷體" w:hAnsi="標楷體" w:hint="eastAsia"/>
          <w:color w:val="000000" w:themeColor="text1"/>
          <w:spacing w:val="-2"/>
        </w:rPr>
        <w:t>網路地圖、臺北市立美術館之臺北市立美術館</w:t>
      </w:r>
      <w:proofErr w:type="gramStart"/>
      <w:r w:rsidRPr="00385965">
        <w:rPr>
          <w:rFonts w:ascii="標楷體" w:eastAsia="標楷體" w:hAnsi="標楷體" w:hint="eastAsia"/>
          <w:color w:val="000000" w:themeColor="text1"/>
          <w:spacing w:val="-2"/>
        </w:rPr>
        <w:t>官網、臺北雙</w:t>
      </w:r>
      <w:proofErr w:type="gramEnd"/>
      <w:r w:rsidRPr="00385965">
        <w:rPr>
          <w:rFonts w:ascii="標楷體" w:eastAsia="標楷體" w:hAnsi="標楷體" w:hint="eastAsia"/>
          <w:color w:val="000000" w:themeColor="text1"/>
          <w:spacing w:val="-2"/>
        </w:rPr>
        <w:t>年展（Taipei Biennial）、臺北市政府法務局之臺北市法規查詢系統、臺北市法規提案流程查詢系統等6個網站未依上開計畫內容辦理網域轉移，經函請檢討改善。據復：已於114年5月29日以函文通知要求轉移。</w:t>
      </w:r>
    </w:p>
    <w:p w14:paraId="082B84F0" w14:textId="48ABCBD5" w:rsidR="00ED0425" w:rsidRDefault="00ED0425" w:rsidP="00385965">
      <w:pPr>
        <w:widowControl/>
        <w:overflowPunct w:val="0"/>
        <w:spacing w:line="400" w:lineRule="exact"/>
        <w:ind w:firstLineChars="300" w:firstLine="853"/>
        <w:jc w:val="both"/>
        <w:rPr>
          <w:rFonts w:ascii="標楷體" w:eastAsia="標楷體" w:hAnsi="標楷體"/>
          <w:b/>
          <w:bCs/>
          <w:color w:val="000000" w:themeColor="text1"/>
          <w:spacing w:val="2"/>
          <w:sz w:val="28"/>
          <w:szCs w:val="28"/>
        </w:rPr>
      </w:pPr>
      <w:r w:rsidRPr="00ED0425">
        <w:rPr>
          <w:rFonts w:ascii="標楷體" w:eastAsia="標楷體" w:hAnsi="標楷體" w:hint="eastAsia"/>
          <w:b/>
          <w:bCs/>
          <w:color w:val="000000" w:themeColor="text1"/>
          <w:spacing w:val="2"/>
          <w:sz w:val="28"/>
          <w:szCs w:val="28"/>
        </w:rPr>
        <w:t>2.為提供民眾數位市政資訊服務，建置並持續維護台北通及智慧支付平</w:t>
      </w:r>
      <w:proofErr w:type="gramStart"/>
      <w:r w:rsidRPr="00ED0425">
        <w:rPr>
          <w:rFonts w:ascii="標楷體" w:eastAsia="標楷體" w:hAnsi="標楷體" w:hint="eastAsia"/>
          <w:b/>
          <w:bCs/>
          <w:color w:val="000000" w:themeColor="text1"/>
          <w:spacing w:val="2"/>
          <w:sz w:val="28"/>
          <w:szCs w:val="28"/>
        </w:rPr>
        <w:t>臺</w:t>
      </w:r>
      <w:proofErr w:type="gramEnd"/>
      <w:r w:rsidRPr="00ED0425">
        <w:rPr>
          <w:rFonts w:ascii="標楷體" w:eastAsia="標楷體" w:hAnsi="標楷體" w:hint="eastAsia"/>
          <w:b/>
          <w:bCs/>
          <w:color w:val="000000" w:themeColor="text1"/>
          <w:spacing w:val="2"/>
          <w:sz w:val="28"/>
          <w:szCs w:val="28"/>
        </w:rPr>
        <w:t>等便民服務資訊系統，惟台北通APP使用次數逐年遞減，且智慧支付平</w:t>
      </w:r>
      <w:proofErr w:type="gramStart"/>
      <w:r w:rsidRPr="00ED0425">
        <w:rPr>
          <w:rFonts w:ascii="標楷體" w:eastAsia="標楷體" w:hAnsi="標楷體" w:hint="eastAsia"/>
          <w:b/>
          <w:bCs/>
          <w:color w:val="000000" w:themeColor="text1"/>
          <w:spacing w:val="2"/>
          <w:sz w:val="28"/>
          <w:szCs w:val="28"/>
        </w:rPr>
        <w:t>臺</w:t>
      </w:r>
      <w:proofErr w:type="gramEnd"/>
      <w:r w:rsidRPr="00ED0425">
        <w:rPr>
          <w:rFonts w:ascii="標楷體" w:eastAsia="標楷體" w:hAnsi="標楷體" w:hint="eastAsia"/>
          <w:b/>
          <w:bCs/>
          <w:color w:val="000000" w:themeColor="text1"/>
          <w:spacing w:val="2"/>
          <w:sz w:val="28"/>
          <w:szCs w:val="28"/>
        </w:rPr>
        <w:t>部分公共服務費用項目自上架後迄無交易紀錄或近3年交易筆數逐年下降等情，有待</w:t>
      </w:r>
      <w:proofErr w:type="gramStart"/>
      <w:r w:rsidRPr="00ED0425">
        <w:rPr>
          <w:rFonts w:ascii="標楷體" w:eastAsia="標楷體" w:hAnsi="標楷體" w:hint="eastAsia"/>
          <w:b/>
          <w:bCs/>
          <w:color w:val="000000" w:themeColor="text1"/>
          <w:spacing w:val="2"/>
          <w:sz w:val="28"/>
          <w:szCs w:val="28"/>
        </w:rPr>
        <w:t>研</w:t>
      </w:r>
      <w:proofErr w:type="gramEnd"/>
      <w:r w:rsidRPr="00ED0425">
        <w:rPr>
          <w:rFonts w:ascii="標楷體" w:eastAsia="標楷體" w:hAnsi="標楷體" w:hint="eastAsia"/>
          <w:b/>
          <w:bCs/>
          <w:color w:val="000000" w:themeColor="text1"/>
          <w:spacing w:val="2"/>
          <w:sz w:val="28"/>
          <w:szCs w:val="28"/>
        </w:rPr>
        <w:t>謀改善。</w:t>
      </w:r>
    </w:p>
    <w:p w14:paraId="650A6201" w14:textId="77777777" w:rsidR="00D74D81" w:rsidRDefault="000422E0" w:rsidP="00D74D81">
      <w:pPr>
        <w:overflowPunct w:val="0"/>
        <w:spacing w:line="388" w:lineRule="exact"/>
        <w:ind w:firstLineChars="200" w:firstLine="480"/>
        <w:jc w:val="both"/>
        <w:rPr>
          <w:rFonts w:ascii="標楷體" w:eastAsia="標楷體" w:hAnsi="標楷體"/>
          <w:color w:val="000000" w:themeColor="text1"/>
          <w:spacing w:val="-6"/>
        </w:rPr>
      </w:pPr>
      <w:r w:rsidRPr="00385965">
        <w:rPr>
          <w:rFonts w:ascii="標楷體" w:eastAsia="標楷體" w:hAnsi="標楷體"/>
          <w:noProof/>
          <w:color w:val="000000" w:themeColor="text1"/>
          <w:spacing w:val="-6"/>
        </w:rPr>
        <w:lastRenderedPageBreak/>
        <mc:AlternateContent>
          <mc:Choice Requires="wps">
            <w:drawing>
              <wp:anchor distT="45720" distB="45720" distL="114300" distR="114300" simplePos="0" relativeHeight="251689984" behindDoc="0" locked="0" layoutInCell="1" allowOverlap="1" wp14:anchorId="5F18995A" wp14:editId="7ABD823E">
                <wp:simplePos x="0" y="0"/>
                <wp:positionH relativeFrom="column">
                  <wp:posOffset>999490</wp:posOffset>
                </wp:positionH>
                <wp:positionV relativeFrom="paragraph">
                  <wp:posOffset>4253242</wp:posOffset>
                </wp:positionV>
                <wp:extent cx="5381625" cy="1906905"/>
                <wp:effectExtent l="0" t="0" r="9525" b="0"/>
                <wp:wrapSquare wrapText="bothSides"/>
                <wp:docPr id="20031855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1625" cy="1906905"/>
                        </a:xfrm>
                        <a:prstGeom prst="rect">
                          <a:avLst/>
                        </a:prstGeom>
                        <a:solidFill>
                          <a:srgbClr val="FFFFFF"/>
                        </a:solidFill>
                        <a:ln w="9525">
                          <a:noFill/>
                          <a:miter lim="800000"/>
                          <a:headEnd/>
                          <a:tailEnd/>
                        </a:ln>
                      </wps:spPr>
                      <wps:txbx>
                        <w:txbxContent>
                          <w:p w14:paraId="66877DA9" w14:textId="77777777" w:rsidR="00ED0425" w:rsidRPr="00ED0425" w:rsidRDefault="00ED0425" w:rsidP="00BC0FCE">
                            <w:pPr>
                              <w:snapToGrid w:val="0"/>
                              <w:spacing w:line="240" w:lineRule="exact"/>
                              <w:jc w:val="center"/>
                              <w:rPr>
                                <w:rFonts w:ascii="標楷體" w:eastAsia="標楷體" w:hAnsi="標楷體"/>
                                <w:b/>
                                <w:bCs/>
                                <w:szCs w:val="24"/>
                              </w:rPr>
                            </w:pPr>
                            <w:r w:rsidRPr="00ED0425">
                              <w:rPr>
                                <w:rFonts w:ascii="標楷體" w:eastAsia="標楷體" w:hAnsi="標楷體" w:hint="eastAsia"/>
                                <w:b/>
                                <w:bCs/>
                                <w:szCs w:val="24"/>
                              </w:rPr>
                              <w:t>表2　於智慧支付平</w:t>
                            </w:r>
                            <w:proofErr w:type="gramStart"/>
                            <w:r w:rsidRPr="00ED0425">
                              <w:rPr>
                                <w:rFonts w:ascii="標楷體" w:eastAsia="標楷體" w:hAnsi="標楷體" w:hint="eastAsia"/>
                                <w:b/>
                                <w:bCs/>
                                <w:szCs w:val="24"/>
                              </w:rPr>
                              <w:t>臺</w:t>
                            </w:r>
                            <w:proofErr w:type="gramEnd"/>
                            <w:r w:rsidRPr="00ED0425">
                              <w:rPr>
                                <w:rFonts w:ascii="標楷體" w:eastAsia="標楷體" w:hAnsi="標楷體" w:hint="eastAsia"/>
                                <w:b/>
                                <w:bCs/>
                                <w:szCs w:val="24"/>
                              </w:rPr>
                              <w:t>上架後迄無交易之公共服務費用項目明細</w:t>
                            </w:r>
                          </w:p>
                          <w:tbl>
                            <w:tblPr>
                              <w:tblStyle w:val="a6"/>
                              <w:tblW w:w="8217" w:type="dxa"/>
                              <w:tblLook w:val="04A0" w:firstRow="1" w:lastRow="0" w:firstColumn="1" w:lastColumn="0" w:noHBand="0" w:noVBand="1"/>
                            </w:tblPr>
                            <w:tblGrid>
                              <w:gridCol w:w="639"/>
                              <w:gridCol w:w="1022"/>
                              <w:gridCol w:w="2786"/>
                              <w:gridCol w:w="3770"/>
                            </w:tblGrid>
                            <w:tr w:rsidR="00ED0425" w:rsidRPr="00ED0425" w14:paraId="18B0580C" w14:textId="77777777" w:rsidTr="00BC0FCE">
                              <w:trPr>
                                <w:trHeight w:val="227"/>
                              </w:trPr>
                              <w:tc>
                                <w:tcPr>
                                  <w:tcW w:w="639" w:type="dxa"/>
                                  <w:vAlign w:val="center"/>
                                </w:tcPr>
                                <w:p w14:paraId="76ECA3F1"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序號</w:t>
                                  </w:r>
                                </w:p>
                              </w:tc>
                              <w:tc>
                                <w:tcPr>
                                  <w:tcW w:w="1022" w:type="dxa"/>
                                  <w:vAlign w:val="center"/>
                                </w:tcPr>
                                <w:p w14:paraId="6F5A55CD"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上架年度</w:t>
                                  </w:r>
                                </w:p>
                              </w:tc>
                              <w:tc>
                                <w:tcPr>
                                  <w:tcW w:w="2786" w:type="dxa"/>
                                  <w:vAlign w:val="center"/>
                                </w:tcPr>
                                <w:p w14:paraId="779A800C"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管理單位</w:t>
                                  </w:r>
                                </w:p>
                              </w:tc>
                              <w:tc>
                                <w:tcPr>
                                  <w:tcW w:w="3770" w:type="dxa"/>
                                  <w:vAlign w:val="center"/>
                                </w:tcPr>
                                <w:p w14:paraId="7D2F3FD2"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服務費用項目</w:t>
                                  </w:r>
                                </w:p>
                              </w:tc>
                            </w:tr>
                            <w:tr w:rsidR="00ED0425" w:rsidRPr="00ED0425" w14:paraId="6DB60253" w14:textId="77777777" w:rsidTr="00824CD6">
                              <w:tc>
                                <w:tcPr>
                                  <w:tcW w:w="639" w:type="dxa"/>
                                </w:tcPr>
                                <w:p w14:paraId="402E8878"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w:t>
                                  </w:r>
                                </w:p>
                              </w:tc>
                              <w:tc>
                                <w:tcPr>
                                  <w:tcW w:w="1022" w:type="dxa"/>
                                </w:tcPr>
                                <w:p w14:paraId="543641B4"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106</w:t>
                                  </w:r>
                                </w:p>
                              </w:tc>
                              <w:tc>
                                <w:tcPr>
                                  <w:tcW w:w="2786" w:type="dxa"/>
                                </w:tcPr>
                                <w:p w14:paraId="408375A0"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臺北市政府都市發展局</w:t>
                                  </w:r>
                                </w:p>
                              </w:tc>
                              <w:tc>
                                <w:tcPr>
                                  <w:tcW w:w="3770" w:type="dxa"/>
                                </w:tcPr>
                                <w:p w14:paraId="0E444FCC" w14:textId="77777777" w:rsidR="00ED0425" w:rsidRPr="00ED0425" w:rsidRDefault="00ED0425" w:rsidP="00824CD6">
                                  <w:pPr>
                                    <w:snapToGrid w:val="0"/>
                                    <w:spacing w:line="200" w:lineRule="atLeast"/>
                                    <w:ind w:leftChars="-29" w:hangingChars="35" w:hanging="70"/>
                                    <w:rPr>
                                      <w:rFonts w:ascii="標楷體" w:eastAsia="標楷體" w:hAnsi="標楷體"/>
                                      <w:highlight w:val="green"/>
                                    </w:rPr>
                                  </w:pPr>
                                  <w:proofErr w:type="gramStart"/>
                                  <w:r w:rsidRPr="00ED0425">
                                    <w:rPr>
                                      <w:rFonts w:ascii="標楷體" w:eastAsia="標楷體" w:hAnsi="標楷體" w:hint="eastAsia"/>
                                    </w:rPr>
                                    <w:t>社宅或</w:t>
                                  </w:r>
                                  <w:proofErr w:type="gramEnd"/>
                                  <w:r w:rsidRPr="00ED0425">
                                    <w:rPr>
                                      <w:rFonts w:ascii="標楷體" w:eastAsia="標楷體" w:hAnsi="標楷體" w:hint="eastAsia"/>
                                    </w:rPr>
                                    <w:t>國宅租用停車場租金</w:t>
                                  </w:r>
                                </w:p>
                              </w:tc>
                            </w:tr>
                            <w:tr w:rsidR="00ED0425" w:rsidRPr="00ED0425" w14:paraId="4F89A399" w14:textId="77777777" w:rsidTr="00824CD6">
                              <w:tc>
                                <w:tcPr>
                                  <w:tcW w:w="639" w:type="dxa"/>
                                </w:tcPr>
                                <w:p w14:paraId="7A841359"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2</w:t>
                                  </w:r>
                                </w:p>
                              </w:tc>
                              <w:tc>
                                <w:tcPr>
                                  <w:tcW w:w="1022" w:type="dxa"/>
                                </w:tcPr>
                                <w:p w14:paraId="37E73E6F"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106</w:t>
                                  </w:r>
                                </w:p>
                              </w:tc>
                              <w:tc>
                                <w:tcPr>
                                  <w:tcW w:w="2786" w:type="dxa"/>
                                </w:tcPr>
                                <w:p w14:paraId="3D5300F7"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臺北市市場處</w:t>
                                  </w:r>
                                </w:p>
                              </w:tc>
                              <w:tc>
                                <w:tcPr>
                                  <w:tcW w:w="3770" w:type="dxa"/>
                                </w:tcPr>
                                <w:p w14:paraId="3458D900"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規費（農產品販運商許可證等1</w:t>
                                  </w:r>
                                  <w:r w:rsidRPr="00ED0425">
                                    <w:rPr>
                                      <w:rFonts w:ascii="標楷體" w:eastAsia="標楷體" w:hAnsi="標楷體"/>
                                    </w:rPr>
                                    <w:t>0</w:t>
                                  </w:r>
                                  <w:r w:rsidRPr="00ED0425">
                                    <w:rPr>
                                      <w:rFonts w:ascii="標楷體" w:eastAsia="標楷體" w:hAnsi="標楷體" w:hint="eastAsia"/>
                                    </w:rPr>
                                    <w:t>項）</w:t>
                                  </w:r>
                                </w:p>
                              </w:tc>
                            </w:tr>
                            <w:tr w:rsidR="00ED0425" w:rsidRPr="00ED0425" w14:paraId="0BB8CBD9" w14:textId="77777777" w:rsidTr="00824CD6">
                              <w:tc>
                                <w:tcPr>
                                  <w:tcW w:w="639" w:type="dxa"/>
                                </w:tcPr>
                                <w:p w14:paraId="6E56132C"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3</w:t>
                                  </w:r>
                                </w:p>
                              </w:tc>
                              <w:tc>
                                <w:tcPr>
                                  <w:tcW w:w="1022" w:type="dxa"/>
                                </w:tcPr>
                                <w:p w14:paraId="772A8314"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106</w:t>
                                  </w:r>
                                </w:p>
                              </w:tc>
                              <w:tc>
                                <w:tcPr>
                                  <w:tcW w:w="2786" w:type="dxa"/>
                                </w:tcPr>
                                <w:p w14:paraId="34F39F76"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臺北市政府產業發展局</w:t>
                                  </w:r>
                                </w:p>
                              </w:tc>
                              <w:tc>
                                <w:tcPr>
                                  <w:tcW w:w="3770" w:type="dxa"/>
                                </w:tcPr>
                                <w:p w14:paraId="01393BD3"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租金（建國及新生假日花市場地租金）</w:t>
                                  </w:r>
                                </w:p>
                              </w:tc>
                            </w:tr>
                            <w:tr w:rsidR="00ED0425" w:rsidRPr="00ED0425" w14:paraId="7EE73E6D" w14:textId="77777777" w:rsidTr="00824CD6">
                              <w:tc>
                                <w:tcPr>
                                  <w:tcW w:w="639" w:type="dxa"/>
                                </w:tcPr>
                                <w:p w14:paraId="4B70EE2B"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4</w:t>
                                  </w:r>
                                </w:p>
                              </w:tc>
                              <w:tc>
                                <w:tcPr>
                                  <w:tcW w:w="1022" w:type="dxa"/>
                                </w:tcPr>
                                <w:p w14:paraId="466DBEA6"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106</w:t>
                                  </w:r>
                                </w:p>
                              </w:tc>
                              <w:tc>
                                <w:tcPr>
                                  <w:tcW w:w="2786" w:type="dxa"/>
                                </w:tcPr>
                                <w:p w14:paraId="7B37D259" w14:textId="77777777" w:rsidR="00ED0425" w:rsidRPr="00ED0425" w:rsidRDefault="00ED0425" w:rsidP="00824CD6">
                                  <w:pPr>
                                    <w:snapToGrid w:val="0"/>
                                    <w:spacing w:line="200" w:lineRule="atLeast"/>
                                    <w:ind w:leftChars="-31" w:left="-60" w:hangingChars="7" w:hanging="14"/>
                                    <w:rPr>
                                      <w:rFonts w:ascii="標楷體" w:eastAsia="標楷體" w:hAnsi="標楷體"/>
                                    </w:rPr>
                                  </w:pPr>
                                  <w:bookmarkStart w:id="112" w:name="_Hlk197017877"/>
                                  <w:r w:rsidRPr="00ED0425">
                                    <w:rPr>
                                      <w:rFonts w:ascii="標楷體" w:eastAsia="標楷體" w:hAnsi="標楷體" w:hint="eastAsia"/>
                                    </w:rPr>
                                    <w:t>臺北市政府工務局水利工程處</w:t>
                                  </w:r>
                                  <w:bookmarkEnd w:id="112"/>
                                </w:p>
                              </w:tc>
                              <w:tc>
                                <w:tcPr>
                                  <w:tcW w:w="3770" w:type="dxa"/>
                                </w:tcPr>
                                <w:p w14:paraId="278D9DB0"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公有地無權占用國有補償金</w:t>
                                  </w:r>
                                </w:p>
                              </w:tc>
                            </w:tr>
                            <w:tr w:rsidR="00ED0425" w:rsidRPr="00ED0425" w14:paraId="319B8267" w14:textId="77777777" w:rsidTr="00824CD6">
                              <w:tc>
                                <w:tcPr>
                                  <w:tcW w:w="639" w:type="dxa"/>
                                </w:tcPr>
                                <w:p w14:paraId="0852E578"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5</w:t>
                                  </w:r>
                                </w:p>
                              </w:tc>
                              <w:tc>
                                <w:tcPr>
                                  <w:tcW w:w="1022" w:type="dxa"/>
                                </w:tcPr>
                                <w:p w14:paraId="6F39E875"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106</w:t>
                                  </w:r>
                                </w:p>
                              </w:tc>
                              <w:tc>
                                <w:tcPr>
                                  <w:tcW w:w="2786" w:type="dxa"/>
                                </w:tcPr>
                                <w:p w14:paraId="1B97D5BB"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臺北市政府工務局水利工程處</w:t>
                                  </w:r>
                                </w:p>
                              </w:tc>
                              <w:tc>
                                <w:tcPr>
                                  <w:tcW w:w="3770" w:type="dxa"/>
                                </w:tcPr>
                                <w:p w14:paraId="2AEF18EA"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纜線暫掛下水道罰鍰</w:t>
                                  </w:r>
                                </w:p>
                              </w:tc>
                            </w:tr>
                            <w:tr w:rsidR="00ED0425" w:rsidRPr="00ED0425" w14:paraId="698FE968" w14:textId="77777777" w:rsidTr="00824CD6">
                              <w:tc>
                                <w:tcPr>
                                  <w:tcW w:w="639" w:type="dxa"/>
                                </w:tcPr>
                                <w:p w14:paraId="35E68881"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6</w:t>
                                  </w:r>
                                </w:p>
                              </w:tc>
                              <w:tc>
                                <w:tcPr>
                                  <w:tcW w:w="1022" w:type="dxa"/>
                                </w:tcPr>
                                <w:p w14:paraId="680F8398"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110</w:t>
                                  </w:r>
                                </w:p>
                              </w:tc>
                              <w:tc>
                                <w:tcPr>
                                  <w:tcW w:w="2786" w:type="dxa"/>
                                </w:tcPr>
                                <w:p w14:paraId="36384A0B"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臺北市萬華區公所</w:t>
                                  </w:r>
                                </w:p>
                              </w:tc>
                              <w:tc>
                                <w:tcPr>
                                  <w:tcW w:w="3770" w:type="dxa"/>
                                </w:tcPr>
                                <w:p w14:paraId="287D4A16"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行政中心停車場繳費</w:t>
                                  </w:r>
                                </w:p>
                              </w:tc>
                            </w:tr>
                            <w:tr w:rsidR="00ED0425" w:rsidRPr="00ED0425" w14:paraId="730B852E" w14:textId="77777777" w:rsidTr="00824CD6">
                              <w:tc>
                                <w:tcPr>
                                  <w:tcW w:w="639" w:type="dxa"/>
                                </w:tcPr>
                                <w:p w14:paraId="50FA3C8E"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7</w:t>
                                  </w:r>
                                </w:p>
                              </w:tc>
                              <w:tc>
                                <w:tcPr>
                                  <w:tcW w:w="1022" w:type="dxa"/>
                                </w:tcPr>
                                <w:p w14:paraId="2AF20481"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110</w:t>
                                  </w:r>
                                </w:p>
                              </w:tc>
                              <w:tc>
                                <w:tcPr>
                                  <w:tcW w:w="2786" w:type="dxa"/>
                                </w:tcPr>
                                <w:p w14:paraId="21A39870"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臺北市建築管理工程處</w:t>
                                  </w:r>
                                </w:p>
                              </w:tc>
                              <w:tc>
                                <w:tcPr>
                                  <w:tcW w:w="3770" w:type="dxa"/>
                                </w:tcPr>
                                <w:p w14:paraId="1C1BD6C8"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罰金罰鍰及</w:t>
                                  </w:r>
                                  <w:proofErr w:type="gramStart"/>
                                  <w:r w:rsidRPr="00ED0425">
                                    <w:rPr>
                                      <w:rFonts w:ascii="標楷體" w:eastAsia="標楷體" w:hAnsi="標楷體" w:hint="eastAsia"/>
                                    </w:rPr>
                                    <w:t>怠</w:t>
                                  </w:r>
                                  <w:proofErr w:type="gramEnd"/>
                                  <w:r w:rsidRPr="00ED0425">
                                    <w:rPr>
                                      <w:rFonts w:ascii="標楷體" w:eastAsia="標楷體" w:hAnsi="標楷體" w:hint="eastAsia"/>
                                    </w:rPr>
                                    <w:t>金</w:t>
                                  </w:r>
                                </w:p>
                              </w:tc>
                            </w:tr>
                          </w:tbl>
                          <w:p w14:paraId="1C011D57" w14:textId="77777777" w:rsidR="00ED0425" w:rsidRPr="00ED0425" w:rsidRDefault="00ED0425" w:rsidP="00ED0425">
                            <w:pPr>
                              <w:snapToGrid w:val="0"/>
                              <w:spacing w:line="200" w:lineRule="atLeast"/>
                              <w:rPr>
                                <w:rFonts w:ascii="標楷體" w:eastAsia="標楷體" w:hAnsi="標楷體"/>
                                <w:sz w:val="18"/>
                                <w:szCs w:val="18"/>
                              </w:rPr>
                            </w:pPr>
                            <w:proofErr w:type="gramStart"/>
                            <w:r w:rsidRPr="00ED0425">
                              <w:rPr>
                                <w:rFonts w:ascii="標楷體" w:eastAsia="標楷體" w:hAnsi="標楷體" w:hint="eastAsia"/>
                                <w:sz w:val="18"/>
                                <w:szCs w:val="18"/>
                              </w:rPr>
                              <w:t>註</w:t>
                            </w:r>
                            <w:proofErr w:type="gramEnd"/>
                            <w:r w:rsidRPr="00ED0425">
                              <w:rPr>
                                <w:rFonts w:ascii="標楷體" w:eastAsia="標楷體" w:hAnsi="標楷體" w:hint="eastAsia"/>
                                <w:sz w:val="18"/>
                                <w:szCs w:val="18"/>
                              </w:rPr>
                              <w:t>：1</w:t>
                            </w:r>
                            <w:r w:rsidRPr="00ED0425">
                              <w:rPr>
                                <w:rFonts w:ascii="標楷體" w:eastAsia="標楷體" w:hAnsi="標楷體"/>
                                <w:sz w:val="18"/>
                                <w:szCs w:val="18"/>
                              </w:rPr>
                              <w:t>.</w:t>
                            </w:r>
                            <w:r w:rsidRPr="00ED0425">
                              <w:rPr>
                                <w:rFonts w:ascii="標楷體" w:eastAsia="標楷體" w:hAnsi="標楷體" w:hint="eastAsia"/>
                                <w:sz w:val="18"/>
                                <w:szCs w:val="18"/>
                              </w:rPr>
                              <w:t>統計截止時間：1</w:t>
                            </w:r>
                            <w:r w:rsidRPr="00ED0425">
                              <w:rPr>
                                <w:rFonts w:ascii="標楷體" w:eastAsia="標楷體" w:hAnsi="標楷體"/>
                                <w:sz w:val="18"/>
                                <w:szCs w:val="18"/>
                              </w:rPr>
                              <w:t>14</w:t>
                            </w:r>
                            <w:r w:rsidRPr="00ED0425">
                              <w:rPr>
                                <w:rFonts w:ascii="標楷體" w:eastAsia="標楷體" w:hAnsi="標楷體" w:hint="eastAsia"/>
                                <w:sz w:val="18"/>
                                <w:szCs w:val="18"/>
                              </w:rPr>
                              <w:t>年3月1</w:t>
                            </w:r>
                            <w:r w:rsidRPr="00ED0425">
                              <w:rPr>
                                <w:rFonts w:ascii="標楷體" w:eastAsia="標楷體" w:hAnsi="標楷體"/>
                                <w:sz w:val="18"/>
                                <w:szCs w:val="18"/>
                              </w:rPr>
                              <w:t>7</w:t>
                            </w:r>
                            <w:r w:rsidRPr="00ED0425">
                              <w:rPr>
                                <w:rFonts w:ascii="標楷體" w:eastAsia="標楷體" w:hAnsi="標楷體" w:hint="eastAsia"/>
                                <w:sz w:val="18"/>
                                <w:szCs w:val="18"/>
                              </w:rPr>
                              <w:t>日。</w:t>
                            </w:r>
                          </w:p>
                          <w:p w14:paraId="71CF4E2C" w14:textId="77777777" w:rsidR="00ED0425" w:rsidRPr="00ED0425" w:rsidRDefault="00ED0425" w:rsidP="00ED0425">
                            <w:pPr>
                              <w:snapToGrid w:val="0"/>
                              <w:spacing w:line="200" w:lineRule="atLeast"/>
                              <w:ind w:firstLineChars="200" w:firstLine="360"/>
                              <w:rPr>
                                <w:rFonts w:ascii="標楷體" w:eastAsia="標楷體" w:hAnsi="標楷體"/>
                                <w:sz w:val="18"/>
                                <w:szCs w:val="18"/>
                              </w:rPr>
                            </w:pPr>
                            <w:r w:rsidRPr="00ED0425">
                              <w:rPr>
                                <w:rFonts w:ascii="標楷體" w:eastAsia="標楷體" w:hAnsi="標楷體" w:hint="eastAsia"/>
                                <w:sz w:val="18"/>
                                <w:szCs w:val="18"/>
                              </w:rPr>
                              <w:t>2</w:t>
                            </w:r>
                            <w:r w:rsidRPr="00ED0425">
                              <w:rPr>
                                <w:rFonts w:ascii="標楷體" w:eastAsia="標楷體" w:hAnsi="標楷體"/>
                                <w:sz w:val="18"/>
                                <w:szCs w:val="18"/>
                              </w:rPr>
                              <w:t>.</w:t>
                            </w:r>
                            <w:r w:rsidRPr="00ED0425">
                              <w:rPr>
                                <w:rFonts w:ascii="標楷體" w:eastAsia="標楷體" w:hAnsi="標楷體" w:hint="eastAsia"/>
                                <w:sz w:val="18"/>
                                <w:szCs w:val="18"/>
                              </w:rPr>
                              <w:t>資料來源：整理自資訊局提供資料。</w:t>
                            </w:r>
                          </w:p>
                          <w:p w14:paraId="38F6D756" w14:textId="77777777" w:rsidR="00ED0425" w:rsidRDefault="00ED0425" w:rsidP="00ED042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18995A" id="_x0000_s1157" type="#_x0000_t202" style="position:absolute;left:0;text-align:left;margin-left:78.7pt;margin-top:334.9pt;width:423.75pt;height:150.1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" stroked="f">
                <v:textbox>
                  <w:txbxContent>
                    <w:p w14:paraId="66877DA9" w14:textId="77777777" w:rsidR="00ED0425" w:rsidRPr="00ED0425" w:rsidRDefault="00ED0425" w:rsidP="00BC0FCE">
                      <w:pPr>
                        <w:snapToGrid w:val="0"/>
                        <w:spacing w:line="240" w:lineRule="exact"/>
                        <w:jc w:val="center"/>
                        <w:rPr>
                          <w:rFonts w:ascii="標楷體" w:eastAsia="標楷體" w:hAnsi="標楷體"/>
                          <w:b/>
                          <w:bCs/>
                          <w:szCs w:val="24"/>
                        </w:rPr>
                      </w:pPr>
                      <w:r w:rsidRPr="00ED0425">
                        <w:rPr>
                          <w:rFonts w:ascii="標楷體" w:eastAsia="標楷體" w:hAnsi="標楷體" w:hint="eastAsia"/>
                          <w:b/>
                          <w:bCs/>
                          <w:szCs w:val="24"/>
                        </w:rPr>
                        <w:t>表2　於智慧支付平</w:t>
                      </w:r>
                      <w:proofErr w:type="gramStart"/>
                      <w:r w:rsidRPr="00ED0425">
                        <w:rPr>
                          <w:rFonts w:ascii="標楷體" w:eastAsia="標楷體" w:hAnsi="標楷體" w:hint="eastAsia"/>
                          <w:b/>
                          <w:bCs/>
                          <w:szCs w:val="24"/>
                        </w:rPr>
                        <w:t>臺</w:t>
                      </w:r>
                      <w:proofErr w:type="gramEnd"/>
                      <w:r w:rsidRPr="00ED0425">
                        <w:rPr>
                          <w:rFonts w:ascii="標楷體" w:eastAsia="標楷體" w:hAnsi="標楷體" w:hint="eastAsia"/>
                          <w:b/>
                          <w:bCs/>
                          <w:szCs w:val="24"/>
                        </w:rPr>
                        <w:t>上架後迄無交易之公共服務費用項目明細</w:t>
                      </w:r>
                    </w:p>
                    <w:tbl>
                      <w:tblPr>
                        <w:tblStyle w:val="a6"/>
                        <w:tblW w:w="8217" w:type="dxa"/>
                        <w:tblLook w:val="04A0" w:firstRow="1" w:lastRow="0" w:firstColumn="1" w:lastColumn="0" w:noHBand="0" w:noVBand="1"/>
                      </w:tblPr>
                      <w:tblGrid>
                        <w:gridCol w:w="639"/>
                        <w:gridCol w:w="1022"/>
                        <w:gridCol w:w="2786"/>
                        <w:gridCol w:w="3770"/>
                      </w:tblGrid>
                      <w:tr w:rsidR="00ED0425" w:rsidRPr="00ED0425" w14:paraId="18B0580C" w14:textId="77777777" w:rsidTr="00BC0FCE">
                        <w:trPr>
                          <w:trHeight w:val="227"/>
                        </w:trPr>
                        <w:tc>
                          <w:tcPr>
                            <w:tcW w:w="639" w:type="dxa"/>
                            <w:vAlign w:val="center"/>
                          </w:tcPr>
                          <w:p w14:paraId="76ECA3F1"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序號</w:t>
                            </w:r>
                          </w:p>
                        </w:tc>
                        <w:tc>
                          <w:tcPr>
                            <w:tcW w:w="1022" w:type="dxa"/>
                            <w:vAlign w:val="center"/>
                          </w:tcPr>
                          <w:p w14:paraId="6F5A55CD"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上架年度</w:t>
                            </w:r>
                          </w:p>
                        </w:tc>
                        <w:tc>
                          <w:tcPr>
                            <w:tcW w:w="2786" w:type="dxa"/>
                            <w:vAlign w:val="center"/>
                          </w:tcPr>
                          <w:p w14:paraId="779A800C"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管理單位</w:t>
                            </w:r>
                          </w:p>
                        </w:tc>
                        <w:tc>
                          <w:tcPr>
                            <w:tcW w:w="3770" w:type="dxa"/>
                            <w:vAlign w:val="center"/>
                          </w:tcPr>
                          <w:p w14:paraId="7D2F3FD2"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服務費用項目</w:t>
                            </w:r>
                          </w:p>
                        </w:tc>
                      </w:tr>
                      <w:tr w:rsidR="00ED0425" w:rsidRPr="00ED0425" w14:paraId="6DB60253" w14:textId="77777777" w:rsidTr="00824CD6">
                        <w:tc>
                          <w:tcPr>
                            <w:tcW w:w="639" w:type="dxa"/>
                          </w:tcPr>
                          <w:p w14:paraId="402E8878"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w:t>
                            </w:r>
                          </w:p>
                        </w:tc>
                        <w:tc>
                          <w:tcPr>
                            <w:tcW w:w="1022" w:type="dxa"/>
                          </w:tcPr>
                          <w:p w14:paraId="543641B4"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106</w:t>
                            </w:r>
                          </w:p>
                        </w:tc>
                        <w:tc>
                          <w:tcPr>
                            <w:tcW w:w="2786" w:type="dxa"/>
                          </w:tcPr>
                          <w:p w14:paraId="408375A0"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臺北市政府都市發展局</w:t>
                            </w:r>
                          </w:p>
                        </w:tc>
                        <w:tc>
                          <w:tcPr>
                            <w:tcW w:w="3770" w:type="dxa"/>
                          </w:tcPr>
                          <w:p w14:paraId="0E444FCC" w14:textId="77777777" w:rsidR="00ED0425" w:rsidRPr="00ED0425" w:rsidRDefault="00ED0425" w:rsidP="00824CD6">
                            <w:pPr>
                              <w:snapToGrid w:val="0"/>
                              <w:spacing w:line="200" w:lineRule="atLeast"/>
                              <w:ind w:leftChars="-29" w:hangingChars="35" w:hanging="70"/>
                              <w:rPr>
                                <w:rFonts w:ascii="標楷體" w:eastAsia="標楷體" w:hAnsi="標楷體"/>
                                <w:highlight w:val="green"/>
                              </w:rPr>
                            </w:pPr>
                            <w:proofErr w:type="gramStart"/>
                            <w:r w:rsidRPr="00ED0425">
                              <w:rPr>
                                <w:rFonts w:ascii="標楷體" w:eastAsia="標楷體" w:hAnsi="標楷體" w:hint="eastAsia"/>
                              </w:rPr>
                              <w:t>社宅或</w:t>
                            </w:r>
                            <w:proofErr w:type="gramEnd"/>
                            <w:r w:rsidRPr="00ED0425">
                              <w:rPr>
                                <w:rFonts w:ascii="標楷體" w:eastAsia="標楷體" w:hAnsi="標楷體" w:hint="eastAsia"/>
                              </w:rPr>
                              <w:t>國宅租用停車場租金</w:t>
                            </w:r>
                          </w:p>
                        </w:tc>
                      </w:tr>
                      <w:tr w:rsidR="00ED0425" w:rsidRPr="00ED0425" w14:paraId="4F89A399" w14:textId="77777777" w:rsidTr="00824CD6">
                        <w:tc>
                          <w:tcPr>
                            <w:tcW w:w="639" w:type="dxa"/>
                          </w:tcPr>
                          <w:p w14:paraId="7A841359"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2</w:t>
                            </w:r>
                          </w:p>
                        </w:tc>
                        <w:tc>
                          <w:tcPr>
                            <w:tcW w:w="1022" w:type="dxa"/>
                          </w:tcPr>
                          <w:p w14:paraId="37E73E6F"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106</w:t>
                            </w:r>
                          </w:p>
                        </w:tc>
                        <w:tc>
                          <w:tcPr>
                            <w:tcW w:w="2786" w:type="dxa"/>
                          </w:tcPr>
                          <w:p w14:paraId="3D5300F7"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臺北市市場處</w:t>
                            </w:r>
                          </w:p>
                        </w:tc>
                        <w:tc>
                          <w:tcPr>
                            <w:tcW w:w="3770" w:type="dxa"/>
                          </w:tcPr>
                          <w:p w14:paraId="3458D900"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規費（農產品販運商許可證等1</w:t>
                            </w:r>
                            <w:r w:rsidRPr="00ED0425">
                              <w:rPr>
                                <w:rFonts w:ascii="標楷體" w:eastAsia="標楷體" w:hAnsi="標楷體"/>
                              </w:rPr>
                              <w:t>0</w:t>
                            </w:r>
                            <w:r w:rsidRPr="00ED0425">
                              <w:rPr>
                                <w:rFonts w:ascii="標楷體" w:eastAsia="標楷體" w:hAnsi="標楷體" w:hint="eastAsia"/>
                              </w:rPr>
                              <w:t>項）</w:t>
                            </w:r>
                          </w:p>
                        </w:tc>
                      </w:tr>
                      <w:tr w:rsidR="00ED0425" w:rsidRPr="00ED0425" w14:paraId="0BB8CBD9" w14:textId="77777777" w:rsidTr="00824CD6">
                        <w:tc>
                          <w:tcPr>
                            <w:tcW w:w="639" w:type="dxa"/>
                          </w:tcPr>
                          <w:p w14:paraId="6E56132C"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3</w:t>
                            </w:r>
                          </w:p>
                        </w:tc>
                        <w:tc>
                          <w:tcPr>
                            <w:tcW w:w="1022" w:type="dxa"/>
                          </w:tcPr>
                          <w:p w14:paraId="772A8314"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106</w:t>
                            </w:r>
                          </w:p>
                        </w:tc>
                        <w:tc>
                          <w:tcPr>
                            <w:tcW w:w="2786" w:type="dxa"/>
                          </w:tcPr>
                          <w:p w14:paraId="34F39F76"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臺北市政府產業發展局</w:t>
                            </w:r>
                          </w:p>
                        </w:tc>
                        <w:tc>
                          <w:tcPr>
                            <w:tcW w:w="3770" w:type="dxa"/>
                          </w:tcPr>
                          <w:p w14:paraId="01393BD3"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租金（建國及新生假日花市場地租金）</w:t>
                            </w:r>
                          </w:p>
                        </w:tc>
                      </w:tr>
                      <w:tr w:rsidR="00ED0425" w:rsidRPr="00ED0425" w14:paraId="7EE73E6D" w14:textId="77777777" w:rsidTr="00824CD6">
                        <w:tc>
                          <w:tcPr>
                            <w:tcW w:w="639" w:type="dxa"/>
                          </w:tcPr>
                          <w:p w14:paraId="4B70EE2B"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4</w:t>
                            </w:r>
                          </w:p>
                        </w:tc>
                        <w:tc>
                          <w:tcPr>
                            <w:tcW w:w="1022" w:type="dxa"/>
                          </w:tcPr>
                          <w:p w14:paraId="466DBEA6"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106</w:t>
                            </w:r>
                          </w:p>
                        </w:tc>
                        <w:tc>
                          <w:tcPr>
                            <w:tcW w:w="2786" w:type="dxa"/>
                          </w:tcPr>
                          <w:p w14:paraId="7B37D259" w14:textId="77777777" w:rsidR="00ED0425" w:rsidRPr="00ED0425" w:rsidRDefault="00ED0425" w:rsidP="00824CD6">
                            <w:pPr>
                              <w:snapToGrid w:val="0"/>
                              <w:spacing w:line="200" w:lineRule="atLeast"/>
                              <w:ind w:leftChars="-31" w:left="-60" w:hangingChars="7" w:hanging="14"/>
                              <w:rPr>
                                <w:rFonts w:ascii="標楷體" w:eastAsia="標楷體" w:hAnsi="標楷體"/>
                              </w:rPr>
                            </w:pPr>
                            <w:bookmarkStart w:id="113" w:name="_Hlk197017877"/>
                            <w:r w:rsidRPr="00ED0425">
                              <w:rPr>
                                <w:rFonts w:ascii="標楷體" w:eastAsia="標楷體" w:hAnsi="標楷體" w:hint="eastAsia"/>
                              </w:rPr>
                              <w:t>臺北市政府工務局水利工程處</w:t>
                            </w:r>
                            <w:bookmarkEnd w:id="113"/>
                          </w:p>
                        </w:tc>
                        <w:tc>
                          <w:tcPr>
                            <w:tcW w:w="3770" w:type="dxa"/>
                          </w:tcPr>
                          <w:p w14:paraId="278D9DB0"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公有地無權占用國有補償金</w:t>
                            </w:r>
                          </w:p>
                        </w:tc>
                      </w:tr>
                      <w:tr w:rsidR="00ED0425" w:rsidRPr="00ED0425" w14:paraId="319B8267" w14:textId="77777777" w:rsidTr="00824CD6">
                        <w:tc>
                          <w:tcPr>
                            <w:tcW w:w="639" w:type="dxa"/>
                          </w:tcPr>
                          <w:p w14:paraId="0852E578"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5</w:t>
                            </w:r>
                          </w:p>
                        </w:tc>
                        <w:tc>
                          <w:tcPr>
                            <w:tcW w:w="1022" w:type="dxa"/>
                          </w:tcPr>
                          <w:p w14:paraId="6F39E875"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106</w:t>
                            </w:r>
                          </w:p>
                        </w:tc>
                        <w:tc>
                          <w:tcPr>
                            <w:tcW w:w="2786" w:type="dxa"/>
                          </w:tcPr>
                          <w:p w14:paraId="1B97D5BB"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臺北市政府工務局水利工程處</w:t>
                            </w:r>
                          </w:p>
                        </w:tc>
                        <w:tc>
                          <w:tcPr>
                            <w:tcW w:w="3770" w:type="dxa"/>
                          </w:tcPr>
                          <w:p w14:paraId="2AEF18EA"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纜線暫掛下水道罰鍰</w:t>
                            </w:r>
                          </w:p>
                        </w:tc>
                      </w:tr>
                      <w:tr w:rsidR="00ED0425" w:rsidRPr="00ED0425" w14:paraId="698FE968" w14:textId="77777777" w:rsidTr="00824CD6">
                        <w:tc>
                          <w:tcPr>
                            <w:tcW w:w="639" w:type="dxa"/>
                          </w:tcPr>
                          <w:p w14:paraId="35E68881"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6</w:t>
                            </w:r>
                          </w:p>
                        </w:tc>
                        <w:tc>
                          <w:tcPr>
                            <w:tcW w:w="1022" w:type="dxa"/>
                          </w:tcPr>
                          <w:p w14:paraId="680F8398"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110</w:t>
                            </w:r>
                          </w:p>
                        </w:tc>
                        <w:tc>
                          <w:tcPr>
                            <w:tcW w:w="2786" w:type="dxa"/>
                          </w:tcPr>
                          <w:p w14:paraId="36384A0B"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臺北市萬華區公所</w:t>
                            </w:r>
                          </w:p>
                        </w:tc>
                        <w:tc>
                          <w:tcPr>
                            <w:tcW w:w="3770" w:type="dxa"/>
                          </w:tcPr>
                          <w:p w14:paraId="287D4A16"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行政中心停車場繳費</w:t>
                            </w:r>
                          </w:p>
                        </w:tc>
                      </w:tr>
                      <w:tr w:rsidR="00ED0425" w:rsidRPr="00ED0425" w14:paraId="730B852E" w14:textId="77777777" w:rsidTr="00824CD6">
                        <w:tc>
                          <w:tcPr>
                            <w:tcW w:w="639" w:type="dxa"/>
                          </w:tcPr>
                          <w:p w14:paraId="50FA3C8E"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7</w:t>
                            </w:r>
                          </w:p>
                        </w:tc>
                        <w:tc>
                          <w:tcPr>
                            <w:tcW w:w="1022" w:type="dxa"/>
                          </w:tcPr>
                          <w:p w14:paraId="2AF20481" w14:textId="77777777" w:rsidR="00ED0425" w:rsidRPr="00ED0425" w:rsidRDefault="00ED0425" w:rsidP="00824CD6">
                            <w:pPr>
                              <w:snapToGrid w:val="0"/>
                              <w:spacing w:line="200" w:lineRule="atLeast"/>
                              <w:jc w:val="center"/>
                              <w:rPr>
                                <w:rFonts w:ascii="標楷體" w:eastAsia="標楷體" w:hAnsi="標楷體"/>
                              </w:rPr>
                            </w:pPr>
                            <w:r w:rsidRPr="00ED0425">
                              <w:rPr>
                                <w:rFonts w:ascii="標楷體" w:eastAsia="標楷體" w:hAnsi="標楷體" w:hint="eastAsia"/>
                              </w:rPr>
                              <w:t>110</w:t>
                            </w:r>
                          </w:p>
                        </w:tc>
                        <w:tc>
                          <w:tcPr>
                            <w:tcW w:w="2786" w:type="dxa"/>
                          </w:tcPr>
                          <w:p w14:paraId="21A39870" w14:textId="77777777" w:rsidR="00ED0425" w:rsidRPr="00ED0425" w:rsidRDefault="00ED0425" w:rsidP="00824CD6">
                            <w:pPr>
                              <w:snapToGrid w:val="0"/>
                              <w:spacing w:line="200" w:lineRule="atLeast"/>
                              <w:ind w:leftChars="-31" w:left="-60" w:hangingChars="7" w:hanging="14"/>
                              <w:rPr>
                                <w:rFonts w:ascii="標楷體" w:eastAsia="標楷體" w:hAnsi="標楷體"/>
                              </w:rPr>
                            </w:pPr>
                            <w:r w:rsidRPr="00ED0425">
                              <w:rPr>
                                <w:rFonts w:ascii="標楷體" w:eastAsia="標楷體" w:hAnsi="標楷體" w:hint="eastAsia"/>
                              </w:rPr>
                              <w:t>臺北市建築管理工程處</w:t>
                            </w:r>
                          </w:p>
                        </w:tc>
                        <w:tc>
                          <w:tcPr>
                            <w:tcW w:w="3770" w:type="dxa"/>
                          </w:tcPr>
                          <w:p w14:paraId="1C1BD6C8" w14:textId="77777777" w:rsidR="00ED0425" w:rsidRPr="00ED0425" w:rsidRDefault="00ED0425" w:rsidP="00824CD6">
                            <w:pPr>
                              <w:snapToGrid w:val="0"/>
                              <w:spacing w:line="200" w:lineRule="atLeast"/>
                              <w:ind w:leftChars="-29" w:hangingChars="35" w:hanging="70"/>
                              <w:rPr>
                                <w:rFonts w:ascii="標楷體" w:eastAsia="標楷體" w:hAnsi="標楷體"/>
                              </w:rPr>
                            </w:pPr>
                            <w:r w:rsidRPr="00ED0425">
                              <w:rPr>
                                <w:rFonts w:ascii="標楷體" w:eastAsia="標楷體" w:hAnsi="標楷體" w:hint="eastAsia"/>
                              </w:rPr>
                              <w:t>罰金罰鍰及</w:t>
                            </w:r>
                            <w:proofErr w:type="gramStart"/>
                            <w:r w:rsidRPr="00ED0425">
                              <w:rPr>
                                <w:rFonts w:ascii="標楷體" w:eastAsia="標楷體" w:hAnsi="標楷體" w:hint="eastAsia"/>
                              </w:rPr>
                              <w:t>怠</w:t>
                            </w:r>
                            <w:proofErr w:type="gramEnd"/>
                            <w:r w:rsidRPr="00ED0425">
                              <w:rPr>
                                <w:rFonts w:ascii="標楷體" w:eastAsia="標楷體" w:hAnsi="標楷體" w:hint="eastAsia"/>
                              </w:rPr>
                              <w:t>金</w:t>
                            </w:r>
                          </w:p>
                        </w:tc>
                      </w:tr>
                    </w:tbl>
                    <w:p w14:paraId="1C011D57" w14:textId="77777777" w:rsidR="00ED0425" w:rsidRPr="00ED0425" w:rsidRDefault="00ED0425" w:rsidP="00ED0425">
                      <w:pPr>
                        <w:snapToGrid w:val="0"/>
                        <w:spacing w:line="200" w:lineRule="atLeast"/>
                        <w:rPr>
                          <w:rFonts w:ascii="標楷體" w:eastAsia="標楷體" w:hAnsi="標楷體"/>
                          <w:sz w:val="18"/>
                          <w:szCs w:val="18"/>
                        </w:rPr>
                      </w:pPr>
                      <w:proofErr w:type="gramStart"/>
                      <w:r w:rsidRPr="00ED0425">
                        <w:rPr>
                          <w:rFonts w:ascii="標楷體" w:eastAsia="標楷體" w:hAnsi="標楷體" w:hint="eastAsia"/>
                          <w:sz w:val="18"/>
                          <w:szCs w:val="18"/>
                        </w:rPr>
                        <w:t>註</w:t>
                      </w:r>
                      <w:proofErr w:type="gramEnd"/>
                      <w:r w:rsidRPr="00ED0425">
                        <w:rPr>
                          <w:rFonts w:ascii="標楷體" w:eastAsia="標楷體" w:hAnsi="標楷體" w:hint="eastAsia"/>
                          <w:sz w:val="18"/>
                          <w:szCs w:val="18"/>
                        </w:rPr>
                        <w:t>：1</w:t>
                      </w:r>
                      <w:r w:rsidRPr="00ED0425">
                        <w:rPr>
                          <w:rFonts w:ascii="標楷體" w:eastAsia="標楷體" w:hAnsi="標楷體"/>
                          <w:sz w:val="18"/>
                          <w:szCs w:val="18"/>
                        </w:rPr>
                        <w:t>.</w:t>
                      </w:r>
                      <w:r w:rsidRPr="00ED0425">
                        <w:rPr>
                          <w:rFonts w:ascii="標楷體" w:eastAsia="標楷體" w:hAnsi="標楷體" w:hint="eastAsia"/>
                          <w:sz w:val="18"/>
                          <w:szCs w:val="18"/>
                        </w:rPr>
                        <w:t>統計截止時間：1</w:t>
                      </w:r>
                      <w:r w:rsidRPr="00ED0425">
                        <w:rPr>
                          <w:rFonts w:ascii="標楷體" w:eastAsia="標楷體" w:hAnsi="標楷體"/>
                          <w:sz w:val="18"/>
                          <w:szCs w:val="18"/>
                        </w:rPr>
                        <w:t>14</w:t>
                      </w:r>
                      <w:r w:rsidRPr="00ED0425">
                        <w:rPr>
                          <w:rFonts w:ascii="標楷體" w:eastAsia="標楷體" w:hAnsi="標楷體" w:hint="eastAsia"/>
                          <w:sz w:val="18"/>
                          <w:szCs w:val="18"/>
                        </w:rPr>
                        <w:t>年3月1</w:t>
                      </w:r>
                      <w:r w:rsidRPr="00ED0425">
                        <w:rPr>
                          <w:rFonts w:ascii="標楷體" w:eastAsia="標楷體" w:hAnsi="標楷體"/>
                          <w:sz w:val="18"/>
                          <w:szCs w:val="18"/>
                        </w:rPr>
                        <w:t>7</w:t>
                      </w:r>
                      <w:r w:rsidRPr="00ED0425">
                        <w:rPr>
                          <w:rFonts w:ascii="標楷體" w:eastAsia="標楷體" w:hAnsi="標楷體" w:hint="eastAsia"/>
                          <w:sz w:val="18"/>
                          <w:szCs w:val="18"/>
                        </w:rPr>
                        <w:t>日。</w:t>
                      </w:r>
                    </w:p>
                    <w:p w14:paraId="71CF4E2C" w14:textId="77777777" w:rsidR="00ED0425" w:rsidRPr="00ED0425" w:rsidRDefault="00ED0425" w:rsidP="00ED0425">
                      <w:pPr>
                        <w:snapToGrid w:val="0"/>
                        <w:spacing w:line="200" w:lineRule="atLeast"/>
                        <w:ind w:firstLineChars="200" w:firstLine="360"/>
                        <w:rPr>
                          <w:rFonts w:ascii="標楷體" w:eastAsia="標楷體" w:hAnsi="標楷體"/>
                          <w:sz w:val="18"/>
                          <w:szCs w:val="18"/>
                        </w:rPr>
                      </w:pPr>
                      <w:r w:rsidRPr="00ED0425">
                        <w:rPr>
                          <w:rFonts w:ascii="標楷體" w:eastAsia="標楷體" w:hAnsi="標楷體" w:hint="eastAsia"/>
                          <w:sz w:val="18"/>
                          <w:szCs w:val="18"/>
                        </w:rPr>
                        <w:t>2</w:t>
                      </w:r>
                      <w:r w:rsidRPr="00ED0425">
                        <w:rPr>
                          <w:rFonts w:ascii="標楷體" w:eastAsia="標楷體" w:hAnsi="標楷體"/>
                          <w:sz w:val="18"/>
                          <w:szCs w:val="18"/>
                        </w:rPr>
                        <w:t>.</w:t>
                      </w:r>
                      <w:r w:rsidRPr="00ED0425">
                        <w:rPr>
                          <w:rFonts w:ascii="標楷體" w:eastAsia="標楷體" w:hAnsi="標楷體" w:hint="eastAsia"/>
                          <w:sz w:val="18"/>
                          <w:szCs w:val="18"/>
                        </w:rPr>
                        <w:t>資料來源：整理自資訊局提供資料。</w:t>
                      </w:r>
                    </w:p>
                    <w:p w14:paraId="38F6D756" w14:textId="77777777" w:rsidR="00ED0425" w:rsidRDefault="00ED0425" w:rsidP="00ED0425"/>
                  </w:txbxContent>
                </v:textbox>
                <w10:wrap type="square"/>
              </v:shape>
            </w:pict>
          </mc:Fallback>
        </mc:AlternateContent>
      </w:r>
      <w:r w:rsidR="00696D0C" w:rsidRPr="00385965">
        <w:rPr>
          <w:rFonts w:ascii="標楷體" w:eastAsia="標楷體" w:hAnsi="標楷體" w:hint="eastAsia"/>
          <w:color w:val="000000" w:themeColor="text1"/>
          <w:spacing w:val="-6"/>
        </w:rPr>
        <w:t>資訊局為因應行動化智慧支付技術之蓬勃發展，於105及108年間建置「臺北市政府智慧支付平</w:t>
      </w:r>
      <w:proofErr w:type="gramStart"/>
      <w:r w:rsidR="00696D0C" w:rsidRPr="00385965">
        <w:rPr>
          <w:rFonts w:ascii="標楷體" w:eastAsia="標楷體" w:hAnsi="標楷體" w:hint="eastAsia"/>
          <w:color w:val="000000" w:themeColor="text1"/>
          <w:spacing w:val="-6"/>
        </w:rPr>
        <w:t>臺</w:t>
      </w:r>
      <w:proofErr w:type="gramEnd"/>
      <w:r w:rsidR="00696D0C" w:rsidRPr="00385965">
        <w:rPr>
          <w:rFonts w:ascii="標楷體" w:eastAsia="標楷體" w:hAnsi="標楷體" w:hint="eastAsia"/>
          <w:color w:val="000000" w:themeColor="text1"/>
          <w:spacing w:val="-6"/>
        </w:rPr>
        <w:t>」資訊系統</w:t>
      </w:r>
      <w:proofErr w:type="gramStart"/>
      <w:r w:rsidR="00696D0C" w:rsidRPr="00385965">
        <w:rPr>
          <w:rFonts w:ascii="標楷體" w:eastAsia="標楷體" w:hAnsi="標楷體" w:hint="eastAsia"/>
          <w:color w:val="000000" w:themeColor="text1"/>
          <w:spacing w:val="-6"/>
        </w:rPr>
        <w:t>（</w:t>
      </w:r>
      <w:proofErr w:type="spellStart"/>
      <w:proofErr w:type="gramEnd"/>
      <w:r w:rsidR="00696D0C" w:rsidRPr="00385965">
        <w:rPr>
          <w:rFonts w:ascii="標楷體" w:eastAsia="標楷體" w:hAnsi="標楷體" w:hint="eastAsia"/>
          <w:color w:val="000000" w:themeColor="text1"/>
          <w:spacing w:val="-6"/>
        </w:rPr>
        <w:t>pay.taipei</w:t>
      </w:r>
      <w:proofErr w:type="spellEnd"/>
      <w:r w:rsidR="00696D0C" w:rsidRPr="00385965">
        <w:rPr>
          <w:rFonts w:ascii="標楷體" w:eastAsia="標楷體" w:hAnsi="標楷體" w:hint="eastAsia"/>
          <w:color w:val="000000" w:themeColor="text1"/>
          <w:spacing w:val="-6"/>
        </w:rPr>
        <w:t>，下稱智慧支付平</w:t>
      </w:r>
      <w:proofErr w:type="gramStart"/>
      <w:r w:rsidR="00696D0C" w:rsidRPr="00385965">
        <w:rPr>
          <w:rFonts w:ascii="標楷體" w:eastAsia="標楷體" w:hAnsi="標楷體" w:hint="eastAsia"/>
          <w:color w:val="000000" w:themeColor="text1"/>
          <w:spacing w:val="-6"/>
        </w:rPr>
        <w:t>臺）</w:t>
      </w:r>
      <w:proofErr w:type="gramEnd"/>
      <w:r w:rsidR="00696D0C" w:rsidRPr="00385965">
        <w:rPr>
          <w:rFonts w:ascii="標楷體" w:eastAsia="標楷體" w:hAnsi="標楷體" w:hint="eastAsia"/>
          <w:color w:val="000000" w:themeColor="text1"/>
          <w:spacing w:val="-6"/>
        </w:rPr>
        <w:t>及「台北通服務整合平</w:t>
      </w:r>
      <w:proofErr w:type="gramStart"/>
      <w:r w:rsidR="00696D0C" w:rsidRPr="00385965">
        <w:rPr>
          <w:rFonts w:ascii="標楷體" w:eastAsia="標楷體" w:hAnsi="標楷體" w:hint="eastAsia"/>
          <w:color w:val="000000" w:themeColor="text1"/>
          <w:spacing w:val="-6"/>
        </w:rPr>
        <w:t>臺</w:t>
      </w:r>
      <w:proofErr w:type="gramEnd"/>
      <w:r w:rsidR="00696D0C" w:rsidRPr="00385965">
        <w:rPr>
          <w:rFonts w:ascii="標楷體" w:eastAsia="標楷體" w:hAnsi="標楷體" w:hint="eastAsia"/>
          <w:color w:val="000000" w:themeColor="text1"/>
          <w:spacing w:val="-6"/>
        </w:rPr>
        <w:t>」資訊系統</w:t>
      </w:r>
      <w:r w:rsidR="00ED0425" w:rsidRPr="00385965">
        <w:rPr>
          <w:rFonts w:ascii="標楷體" w:eastAsia="標楷體" w:hAnsi="標楷體" w:hint="eastAsia"/>
          <w:color w:val="000000" w:themeColor="text1"/>
          <w:spacing w:val="-6"/>
        </w:rPr>
        <w:t>（</w:t>
      </w:r>
      <w:proofErr w:type="spellStart"/>
      <w:r w:rsidR="00ED0425" w:rsidRPr="00385965">
        <w:rPr>
          <w:rFonts w:ascii="標楷體" w:eastAsia="標楷體" w:hAnsi="標楷體" w:hint="eastAsia"/>
          <w:color w:val="000000" w:themeColor="text1"/>
          <w:spacing w:val="-6"/>
        </w:rPr>
        <w:t>TaipeiPASS</w:t>
      </w:r>
      <w:proofErr w:type="spellEnd"/>
      <w:r w:rsidR="00ED0425" w:rsidRPr="00385965">
        <w:rPr>
          <w:rFonts w:ascii="標楷體" w:eastAsia="標楷體" w:hAnsi="標楷體" w:hint="eastAsia"/>
          <w:color w:val="000000" w:themeColor="text1"/>
          <w:spacing w:val="-6"/>
        </w:rPr>
        <w:t>，下稱台北通），並同步開發網站及App，</w:t>
      </w:r>
      <w:proofErr w:type="gramStart"/>
      <w:r w:rsidR="00ED0425" w:rsidRPr="00385965">
        <w:rPr>
          <w:rFonts w:ascii="標楷體" w:eastAsia="標楷體" w:hAnsi="標楷體" w:hint="eastAsia"/>
          <w:color w:val="000000" w:themeColor="text1"/>
          <w:spacing w:val="-6"/>
        </w:rPr>
        <w:t>嗣</w:t>
      </w:r>
      <w:proofErr w:type="gramEnd"/>
      <w:r w:rsidR="00ED0425" w:rsidRPr="00385965">
        <w:rPr>
          <w:rFonts w:ascii="標楷體" w:eastAsia="標楷體" w:hAnsi="標楷體" w:hint="eastAsia"/>
          <w:color w:val="000000" w:themeColor="text1"/>
          <w:spacing w:val="-6"/>
        </w:rPr>
        <w:t>111年間將智慧支付平</w:t>
      </w:r>
      <w:proofErr w:type="gramStart"/>
      <w:r w:rsidR="00ED0425" w:rsidRPr="00385965">
        <w:rPr>
          <w:rFonts w:ascii="標楷體" w:eastAsia="標楷體" w:hAnsi="標楷體" w:hint="eastAsia"/>
          <w:color w:val="000000" w:themeColor="text1"/>
          <w:spacing w:val="-6"/>
        </w:rPr>
        <w:t>臺</w:t>
      </w:r>
      <w:proofErr w:type="gramEnd"/>
      <w:r w:rsidR="00ED0425" w:rsidRPr="00385965">
        <w:rPr>
          <w:rFonts w:ascii="標楷體" w:eastAsia="標楷體" w:hAnsi="標楷體" w:hint="eastAsia"/>
          <w:color w:val="000000" w:themeColor="text1"/>
          <w:spacing w:val="-6"/>
        </w:rPr>
        <w:t>App整</w:t>
      </w:r>
      <w:proofErr w:type="gramStart"/>
      <w:r w:rsidR="00ED0425" w:rsidRPr="00385965">
        <w:rPr>
          <w:rFonts w:ascii="標楷體" w:eastAsia="標楷體" w:hAnsi="標楷體" w:hint="eastAsia"/>
          <w:color w:val="000000" w:themeColor="text1"/>
          <w:spacing w:val="-6"/>
        </w:rPr>
        <w:t>併</w:t>
      </w:r>
      <w:proofErr w:type="gramEnd"/>
      <w:r w:rsidR="00ED0425" w:rsidRPr="00385965">
        <w:rPr>
          <w:rFonts w:ascii="標楷體" w:eastAsia="標楷體" w:hAnsi="標楷體" w:hint="eastAsia"/>
          <w:color w:val="000000" w:themeColor="text1"/>
          <w:spacing w:val="-6"/>
        </w:rPr>
        <w:t>至台北通App，截至113年底，智慧支付平</w:t>
      </w:r>
      <w:proofErr w:type="gramStart"/>
      <w:r w:rsidR="00ED0425" w:rsidRPr="00385965">
        <w:rPr>
          <w:rFonts w:ascii="標楷體" w:eastAsia="標楷體" w:hAnsi="標楷體" w:hint="eastAsia"/>
          <w:color w:val="000000" w:themeColor="text1"/>
          <w:spacing w:val="-6"/>
        </w:rPr>
        <w:t>臺</w:t>
      </w:r>
      <w:proofErr w:type="gramEnd"/>
      <w:r w:rsidR="00ED0425" w:rsidRPr="00385965">
        <w:rPr>
          <w:rFonts w:ascii="標楷體" w:eastAsia="標楷體" w:hAnsi="標楷體" w:hint="eastAsia"/>
          <w:color w:val="000000" w:themeColor="text1"/>
          <w:spacing w:val="-6"/>
        </w:rPr>
        <w:t>及台北通之建置暨功能擴充與系統維護成本分別計6,044萬餘元及4,530萬餘元。經查資訊局辦理台北通及智慧支付平</w:t>
      </w:r>
      <w:proofErr w:type="gramStart"/>
      <w:r w:rsidR="00ED0425" w:rsidRPr="00385965">
        <w:rPr>
          <w:rFonts w:ascii="標楷體" w:eastAsia="標楷體" w:hAnsi="標楷體" w:hint="eastAsia"/>
          <w:color w:val="000000" w:themeColor="text1"/>
          <w:spacing w:val="-6"/>
        </w:rPr>
        <w:t>臺</w:t>
      </w:r>
      <w:proofErr w:type="gramEnd"/>
      <w:r w:rsidR="00ED0425" w:rsidRPr="00385965">
        <w:rPr>
          <w:rFonts w:ascii="標楷體" w:eastAsia="標楷體" w:hAnsi="標楷體" w:hint="eastAsia"/>
          <w:color w:val="000000" w:themeColor="text1"/>
          <w:spacing w:val="-6"/>
        </w:rPr>
        <w:t>等資訊系統維護管理情形，核有：（1）所建置之台北通App，功能包括</w:t>
      </w:r>
      <w:proofErr w:type="gramStart"/>
      <w:r w:rsidR="00ED0425" w:rsidRPr="00385965">
        <w:rPr>
          <w:rFonts w:ascii="標楷體" w:eastAsia="標楷體" w:hAnsi="標楷體" w:hint="eastAsia"/>
          <w:color w:val="000000" w:themeColor="text1"/>
          <w:spacing w:val="-6"/>
        </w:rPr>
        <w:t>各式卡證</w:t>
      </w:r>
      <w:proofErr w:type="gramEnd"/>
      <w:r w:rsidR="00ED0425" w:rsidRPr="00385965">
        <w:rPr>
          <w:rFonts w:ascii="標楷體" w:eastAsia="標楷體" w:hAnsi="標楷體" w:hint="eastAsia"/>
          <w:color w:val="000000" w:themeColor="text1"/>
          <w:spacing w:val="-6"/>
        </w:rPr>
        <w:t>、市政服務、市府活動訊息揭露等，為</w:t>
      </w:r>
      <w:proofErr w:type="gramStart"/>
      <w:r w:rsidR="00ED0425" w:rsidRPr="00385965">
        <w:rPr>
          <w:rFonts w:ascii="標楷體" w:eastAsia="標楷體" w:hAnsi="標楷體" w:hint="eastAsia"/>
          <w:color w:val="000000" w:themeColor="text1"/>
          <w:spacing w:val="-6"/>
        </w:rPr>
        <w:t>介</w:t>
      </w:r>
      <w:proofErr w:type="gramEnd"/>
      <w:r w:rsidR="00ED0425" w:rsidRPr="00385965">
        <w:rPr>
          <w:rFonts w:ascii="標楷體" w:eastAsia="標楷體" w:hAnsi="標楷體" w:hint="eastAsia"/>
          <w:color w:val="000000" w:themeColor="text1"/>
          <w:spacing w:val="-6"/>
        </w:rPr>
        <w:t>接市府各機關App之窗口，111至113年度配合市府各機關提出新服務需求進行擴充開發，並新增服務項目，截至114年3月17日止，服務項目共計113項，惟111至113年度台北通App</w:t>
      </w:r>
      <w:r w:rsidR="001103D3" w:rsidRPr="00385965">
        <w:rPr>
          <w:rFonts w:ascii="標楷體" w:eastAsia="標楷體" w:hAnsi="標楷體" w:hint="eastAsia"/>
          <w:color w:val="000000" w:themeColor="text1"/>
          <w:spacing w:val="-6"/>
        </w:rPr>
        <w:t>使</w:t>
      </w:r>
      <w:r w:rsidR="00ED0425" w:rsidRPr="00385965">
        <w:rPr>
          <w:rFonts w:ascii="標楷體" w:eastAsia="標楷體" w:hAnsi="標楷體" w:hint="eastAsia"/>
          <w:color w:val="000000" w:themeColor="text1"/>
          <w:spacing w:val="-6"/>
        </w:rPr>
        <w:t>用量分別為346萬餘次、236萬餘次、154萬餘次，未隨服務項目增加及系統功能強化而提升，反呈逐年遞減趨勢；（2）智慧支付平</w:t>
      </w:r>
      <w:proofErr w:type="gramStart"/>
      <w:r w:rsidR="00ED0425" w:rsidRPr="00385965">
        <w:rPr>
          <w:rFonts w:ascii="標楷體" w:eastAsia="標楷體" w:hAnsi="標楷體" w:hint="eastAsia"/>
          <w:color w:val="000000" w:themeColor="text1"/>
          <w:spacing w:val="-6"/>
        </w:rPr>
        <w:t>臺</w:t>
      </w:r>
      <w:proofErr w:type="gramEnd"/>
      <w:r w:rsidR="00ED0425" w:rsidRPr="00385965">
        <w:rPr>
          <w:rFonts w:ascii="標楷體" w:eastAsia="標楷體" w:hAnsi="標楷體" w:hint="eastAsia"/>
          <w:color w:val="000000" w:themeColor="text1"/>
          <w:spacing w:val="-6"/>
        </w:rPr>
        <w:t>於106年6月25日上線後，截至113年底，上架公共服務費用項目共計89項，經扣除114年1及2月下架之9項，截至114年3月17日止，仍</w:t>
      </w:r>
      <w:proofErr w:type="gramStart"/>
      <w:r w:rsidR="00ED0425" w:rsidRPr="00385965">
        <w:rPr>
          <w:rFonts w:ascii="標楷體" w:eastAsia="標楷體" w:hAnsi="標楷體" w:hint="eastAsia"/>
          <w:color w:val="000000" w:themeColor="text1"/>
          <w:spacing w:val="-6"/>
        </w:rPr>
        <w:t>上架者計有</w:t>
      </w:r>
      <w:proofErr w:type="gramEnd"/>
      <w:r w:rsidR="00ED0425" w:rsidRPr="00385965">
        <w:rPr>
          <w:rFonts w:ascii="標楷體" w:eastAsia="標楷體" w:hAnsi="標楷體" w:hint="eastAsia"/>
          <w:color w:val="000000" w:themeColor="text1"/>
          <w:spacing w:val="-6"/>
        </w:rPr>
        <w:t>80項，分屬臺北市停車管理工程處等50個機關收費服務項目，民眾於111至113年度透過該平</w:t>
      </w:r>
      <w:proofErr w:type="gramStart"/>
      <w:r w:rsidR="00ED0425" w:rsidRPr="00385965">
        <w:rPr>
          <w:rFonts w:ascii="標楷體" w:eastAsia="標楷體" w:hAnsi="標楷體" w:hint="eastAsia"/>
          <w:color w:val="000000" w:themeColor="text1"/>
          <w:spacing w:val="-6"/>
        </w:rPr>
        <w:t>臺</w:t>
      </w:r>
      <w:proofErr w:type="gramEnd"/>
      <w:r w:rsidR="00ED0425" w:rsidRPr="00385965">
        <w:rPr>
          <w:rFonts w:ascii="標楷體" w:eastAsia="標楷體" w:hAnsi="標楷體" w:hint="eastAsia"/>
          <w:color w:val="000000" w:themeColor="text1"/>
          <w:spacing w:val="-6"/>
        </w:rPr>
        <w:t>繳費之筆數，分別為5,452萬餘筆、7,601萬餘筆及9,887萬餘筆，收費金額分別為36億6,588萬餘元、41億3,999萬餘元及47億8,262萬餘元，呈逐年上升趨勢，惟上開80項公共服務費用項目，其中臺北市政府都市發展局</w:t>
      </w:r>
      <w:proofErr w:type="gramStart"/>
      <w:r w:rsidR="00ED0425" w:rsidRPr="00385965">
        <w:rPr>
          <w:rFonts w:ascii="標楷體" w:eastAsia="標楷體" w:hAnsi="標楷體" w:hint="eastAsia"/>
          <w:color w:val="000000" w:themeColor="text1"/>
          <w:spacing w:val="-6"/>
        </w:rPr>
        <w:t>之社宅或</w:t>
      </w:r>
      <w:proofErr w:type="gramEnd"/>
      <w:r w:rsidR="00ED0425" w:rsidRPr="00385965">
        <w:rPr>
          <w:rFonts w:ascii="標楷體" w:eastAsia="標楷體" w:hAnsi="標楷體" w:hint="eastAsia"/>
          <w:color w:val="000000" w:themeColor="text1"/>
          <w:spacing w:val="-6"/>
        </w:rPr>
        <w:t>國宅租用停車場租金、臺北市市場處之規費（農產品販運商許可證等10項）、臺北市政府產業發展局之建國及新生假日花市場地租金等7項於106及110年間上架後，迄114年3月17日止，仍無繳費紀錄（表2）；臺北市政府環境保護局木柵垃圾焚化廠及內湖垃圾焚化廠之臨櫃場地設施使用費、臺北市動物保護處之規費</w:t>
      </w:r>
    </w:p>
    <w:p w14:paraId="18F2D1AF" w14:textId="4D58DC5B" w:rsidR="00D74D81" w:rsidRDefault="00ED0425" w:rsidP="00D74D81">
      <w:pPr>
        <w:overflowPunct w:val="0"/>
        <w:spacing w:line="380" w:lineRule="exact"/>
        <w:jc w:val="both"/>
        <w:rPr>
          <w:rFonts w:ascii="標楷體" w:eastAsia="標楷體" w:hAnsi="標楷體"/>
          <w:color w:val="000000" w:themeColor="text1"/>
          <w:spacing w:val="-6"/>
        </w:rPr>
      </w:pPr>
      <w:r w:rsidRPr="00385965">
        <w:rPr>
          <w:rFonts w:ascii="標楷體" w:eastAsia="標楷體" w:hAnsi="標楷體" w:hint="eastAsia"/>
          <w:color w:val="000000" w:themeColor="text1"/>
          <w:spacing w:val="-6"/>
        </w:rPr>
        <w:t>（動物認領等16項）、臺北市政府消防局之罰鍰等4項，於106及108年間上架，自</w:t>
      </w:r>
      <w:proofErr w:type="gramStart"/>
      <w:r w:rsidRPr="00385965">
        <w:rPr>
          <w:rFonts w:ascii="標楷體" w:eastAsia="標楷體" w:hAnsi="標楷體" w:hint="eastAsia"/>
          <w:color w:val="000000" w:themeColor="text1"/>
          <w:spacing w:val="-6"/>
        </w:rPr>
        <w:t>112</w:t>
      </w:r>
      <w:proofErr w:type="gramEnd"/>
      <w:r w:rsidRPr="00385965">
        <w:rPr>
          <w:rFonts w:ascii="標楷體" w:eastAsia="標楷體" w:hAnsi="標楷體" w:hint="eastAsia"/>
          <w:color w:val="000000" w:themeColor="text1"/>
          <w:spacing w:val="-6"/>
        </w:rPr>
        <w:t>年度起即無繳費紀錄；臺北市</w:t>
      </w:r>
    </w:p>
    <w:p w14:paraId="08979048" w14:textId="3FA0DAB3" w:rsidR="00ED0425" w:rsidRPr="00385965" w:rsidRDefault="00ED0425" w:rsidP="00D74D81">
      <w:pPr>
        <w:overflowPunct w:val="0"/>
        <w:spacing w:line="400" w:lineRule="exact"/>
        <w:jc w:val="both"/>
        <w:rPr>
          <w:rFonts w:ascii="標楷體" w:eastAsia="標楷體" w:hAnsi="標楷體"/>
          <w:color w:val="000000" w:themeColor="text1"/>
          <w:spacing w:val="-6"/>
        </w:rPr>
      </w:pPr>
      <w:r w:rsidRPr="00385965">
        <w:rPr>
          <w:rFonts w:ascii="標楷體" w:eastAsia="標楷體" w:hAnsi="標楷體" w:hint="eastAsia"/>
          <w:color w:val="000000" w:themeColor="text1"/>
          <w:spacing w:val="-6"/>
        </w:rPr>
        <w:t>政府產業發展局之雜項收入（臨時工廠登記回饋金）、臺北市各區戶政事務所之臨櫃戶政規費、臺北市動產</w:t>
      </w:r>
      <w:proofErr w:type="gramStart"/>
      <w:r w:rsidRPr="00385965">
        <w:rPr>
          <w:rFonts w:ascii="標楷體" w:eastAsia="標楷體" w:hAnsi="標楷體" w:hint="eastAsia"/>
          <w:color w:val="000000" w:themeColor="text1"/>
          <w:spacing w:val="-6"/>
        </w:rPr>
        <w:t>質借處之快閃購繳款</w:t>
      </w:r>
      <w:proofErr w:type="gramEnd"/>
      <w:r w:rsidRPr="00385965">
        <w:rPr>
          <w:rFonts w:ascii="標楷體" w:eastAsia="標楷體" w:hAnsi="標楷體" w:hint="eastAsia"/>
          <w:color w:val="000000" w:themeColor="text1"/>
          <w:spacing w:val="-6"/>
        </w:rPr>
        <w:t>等3項，111至113年度交易筆數呈逐年下降等情事，經函請</w:t>
      </w:r>
      <w:proofErr w:type="gramStart"/>
      <w:r w:rsidRPr="00385965">
        <w:rPr>
          <w:rFonts w:ascii="標楷體" w:eastAsia="標楷體" w:hAnsi="標楷體" w:hint="eastAsia"/>
          <w:color w:val="000000" w:themeColor="text1"/>
          <w:spacing w:val="-6"/>
        </w:rPr>
        <w:t>研</w:t>
      </w:r>
      <w:proofErr w:type="gramEnd"/>
      <w:r w:rsidRPr="00385965">
        <w:rPr>
          <w:rFonts w:ascii="標楷體" w:eastAsia="標楷體" w:hAnsi="標楷體" w:hint="eastAsia"/>
          <w:color w:val="000000" w:themeColor="text1"/>
          <w:spacing w:val="-6"/>
        </w:rPr>
        <w:t>謀改善。據復：（1）將透過跨局處合作，積極以台北通App推動各項市政活動，開發更符合民眾需求之服務項目，提升使用次數；（2）將持續每年定期辦理盤點作業，針對繳費筆數較低之項目，評估辦理下架作業，並</w:t>
      </w:r>
      <w:proofErr w:type="gramStart"/>
      <w:r w:rsidRPr="00385965">
        <w:rPr>
          <w:rFonts w:ascii="標楷體" w:eastAsia="標楷體" w:hAnsi="標楷體" w:hint="eastAsia"/>
          <w:color w:val="000000" w:themeColor="text1"/>
          <w:spacing w:val="-6"/>
        </w:rPr>
        <w:t>研</w:t>
      </w:r>
      <w:proofErr w:type="gramEnd"/>
      <w:r w:rsidRPr="00385965">
        <w:rPr>
          <w:rFonts w:ascii="標楷體" w:eastAsia="標楷體" w:hAnsi="標楷體" w:hint="eastAsia"/>
          <w:color w:val="000000" w:themeColor="text1"/>
          <w:spacing w:val="-6"/>
        </w:rPr>
        <w:t>議智慧支付平</w:t>
      </w:r>
      <w:proofErr w:type="gramStart"/>
      <w:r w:rsidRPr="00385965">
        <w:rPr>
          <w:rFonts w:ascii="標楷體" w:eastAsia="標楷體" w:hAnsi="標楷體" w:hint="eastAsia"/>
          <w:color w:val="000000" w:themeColor="text1"/>
          <w:spacing w:val="-6"/>
        </w:rPr>
        <w:t>臺</w:t>
      </w:r>
      <w:proofErr w:type="gramEnd"/>
      <w:r w:rsidRPr="00385965">
        <w:rPr>
          <w:rFonts w:ascii="標楷體" w:eastAsia="標楷體" w:hAnsi="標楷體" w:hint="eastAsia"/>
          <w:color w:val="000000" w:themeColor="text1"/>
          <w:spacing w:val="-6"/>
        </w:rPr>
        <w:t>轉型計畫，期降低營運成本，提供更多元之繳費方式，以增加民眾使用誘因。</w:t>
      </w:r>
    </w:p>
    <w:p w14:paraId="3986CA43" w14:textId="7692BFF7" w:rsidR="00ED0425" w:rsidRPr="00ED0425" w:rsidRDefault="00ED0425" w:rsidP="00D74D81">
      <w:pPr>
        <w:spacing w:beforeLines="50" w:before="180" w:afterLines="20" w:after="72" w:line="400" w:lineRule="exact"/>
        <w:ind w:firstLineChars="100" w:firstLine="280"/>
        <w:rPr>
          <w:rFonts w:ascii="標楷體" w:eastAsia="標楷體" w:hAnsi="標楷體"/>
          <w:b/>
          <w:color w:val="000000" w:themeColor="text1"/>
          <w:sz w:val="28"/>
          <w:szCs w:val="28"/>
        </w:rPr>
      </w:pPr>
      <w:r w:rsidRPr="00ED0425">
        <w:rPr>
          <w:rFonts w:ascii="標楷體" w:eastAsia="標楷體" w:hAnsi="標楷體" w:hint="eastAsia"/>
          <w:b/>
          <w:color w:val="000000" w:themeColor="text1"/>
          <w:sz w:val="28"/>
          <w:szCs w:val="28"/>
        </w:rPr>
        <w:t>（四）</w:t>
      </w:r>
      <w:proofErr w:type="gramStart"/>
      <w:r w:rsidRPr="00ED0425">
        <w:rPr>
          <w:rFonts w:ascii="標楷體" w:eastAsia="標楷體" w:hAnsi="標楷體" w:hint="eastAsia"/>
          <w:b/>
          <w:color w:val="000000" w:themeColor="text1"/>
          <w:sz w:val="28"/>
          <w:szCs w:val="28"/>
        </w:rPr>
        <w:t>112</w:t>
      </w:r>
      <w:proofErr w:type="gramEnd"/>
      <w:r w:rsidRPr="00ED0425">
        <w:rPr>
          <w:rFonts w:ascii="標楷體" w:eastAsia="標楷體" w:hAnsi="標楷體" w:hint="eastAsia"/>
          <w:b/>
          <w:color w:val="000000" w:themeColor="text1"/>
          <w:sz w:val="28"/>
          <w:szCs w:val="28"/>
        </w:rPr>
        <w:t>年度重要審核意見追蹤查核情形</w:t>
      </w:r>
    </w:p>
    <w:p w14:paraId="3C657EB8" w14:textId="71A070E4" w:rsidR="00ED0425" w:rsidRPr="00BC0FCE" w:rsidRDefault="00ED0425" w:rsidP="00D74D81">
      <w:pPr>
        <w:overflowPunct w:val="0"/>
        <w:spacing w:line="430" w:lineRule="exact"/>
        <w:ind w:firstLineChars="200" w:firstLine="472"/>
        <w:jc w:val="both"/>
        <w:rPr>
          <w:rFonts w:ascii="標楷體" w:eastAsia="標楷體" w:hAnsi="標楷體"/>
          <w:color w:val="000000" w:themeColor="text1"/>
          <w:spacing w:val="-2"/>
          <w:kern w:val="0"/>
          <w:szCs w:val="24"/>
        </w:rPr>
      </w:pPr>
      <w:r w:rsidRPr="00BC0FCE">
        <w:rPr>
          <w:rFonts w:ascii="標楷體" w:eastAsia="標楷體" w:hAnsi="標楷體" w:hint="eastAsia"/>
          <w:color w:val="000000" w:themeColor="text1"/>
          <w:spacing w:val="-2"/>
          <w:kern w:val="0"/>
          <w:szCs w:val="24"/>
        </w:rPr>
        <w:t>本處於</w:t>
      </w:r>
      <w:proofErr w:type="gramStart"/>
      <w:r w:rsidRPr="00BC0FCE">
        <w:rPr>
          <w:rFonts w:ascii="標楷體" w:eastAsia="標楷體" w:hAnsi="標楷體" w:hint="eastAsia"/>
          <w:color w:val="000000" w:themeColor="text1"/>
          <w:spacing w:val="-2"/>
          <w:kern w:val="0"/>
          <w:szCs w:val="24"/>
        </w:rPr>
        <w:t>112</w:t>
      </w:r>
      <w:proofErr w:type="gramEnd"/>
      <w:r w:rsidRPr="00BC0FCE">
        <w:rPr>
          <w:rFonts w:ascii="標楷體" w:eastAsia="標楷體" w:hAnsi="標楷體" w:hint="eastAsia"/>
          <w:color w:val="000000" w:themeColor="text1"/>
          <w:spacing w:val="-2"/>
          <w:kern w:val="0"/>
          <w:szCs w:val="24"/>
        </w:rPr>
        <w:t>年度審核報告內列重要審核意見，計有為推動資料治理，並應市府相關局</w:t>
      </w:r>
      <w:proofErr w:type="gramStart"/>
      <w:r w:rsidRPr="00BC0FCE">
        <w:rPr>
          <w:rFonts w:ascii="標楷體" w:eastAsia="標楷體" w:hAnsi="標楷體" w:hint="eastAsia"/>
          <w:color w:val="000000" w:themeColor="text1"/>
          <w:spacing w:val="-2"/>
          <w:kern w:val="0"/>
          <w:szCs w:val="24"/>
        </w:rPr>
        <w:t>處跨域</w:t>
      </w:r>
      <w:proofErr w:type="gramEnd"/>
      <w:r w:rsidRPr="00BC0FCE">
        <w:rPr>
          <w:rFonts w:ascii="標楷體" w:eastAsia="標楷體" w:hAnsi="標楷體" w:hint="eastAsia"/>
          <w:color w:val="000000" w:themeColor="text1"/>
          <w:spacing w:val="-2"/>
          <w:kern w:val="0"/>
          <w:szCs w:val="24"/>
        </w:rPr>
        <w:t>資料分析需求，成立</w:t>
      </w:r>
      <w:proofErr w:type="gramStart"/>
      <w:r w:rsidRPr="00BC0FCE">
        <w:rPr>
          <w:rFonts w:ascii="標楷體" w:eastAsia="標楷體" w:hAnsi="標楷體" w:hint="eastAsia"/>
          <w:color w:val="000000" w:themeColor="text1"/>
          <w:spacing w:val="-2"/>
          <w:kern w:val="0"/>
          <w:szCs w:val="24"/>
        </w:rPr>
        <w:t>臺</w:t>
      </w:r>
      <w:proofErr w:type="gramEnd"/>
      <w:r w:rsidRPr="00BC0FCE">
        <w:rPr>
          <w:rFonts w:ascii="標楷體" w:eastAsia="標楷體" w:hAnsi="標楷體" w:hint="eastAsia"/>
          <w:color w:val="000000" w:themeColor="text1"/>
          <w:spacing w:val="-2"/>
          <w:kern w:val="0"/>
          <w:szCs w:val="24"/>
        </w:rPr>
        <w:t>北大數據中心，惟提案者有集中於部分機關現象，且執行專案約</w:t>
      </w:r>
      <w:proofErr w:type="gramStart"/>
      <w:r w:rsidRPr="00BC0FCE">
        <w:rPr>
          <w:rFonts w:ascii="標楷體" w:eastAsia="標楷體" w:hAnsi="標楷體" w:hint="eastAsia"/>
          <w:color w:val="000000" w:themeColor="text1"/>
          <w:spacing w:val="-2"/>
          <w:kern w:val="0"/>
          <w:szCs w:val="24"/>
        </w:rPr>
        <w:t>4成</w:t>
      </w:r>
      <w:proofErr w:type="gramEnd"/>
      <w:r w:rsidRPr="00BC0FCE">
        <w:rPr>
          <w:rFonts w:ascii="標楷體" w:eastAsia="標楷體" w:hAnsi="標楷體" w:hint="eastAsia"/>
          <w:color w:val="000000" w:themeColor="text1"/>
          <w:spacing w:val="-2"/>
          <w:kern w:val="0"/>
          <w:szCs w:val="24"/>
        </w:rPr>
        <w:t>屬一次性活動等情事，有待</w:t>
      </w:r>
      <w:proofErr w:type="gramStart"/>
      <w:r w:rsidRPr="00BC0FCE">
        <w:rPr>
          <w:rFonts w:ascii="標楷體" w:eastAsia="標楷體" w:hAnsi="標楷體" w:hint="eastAsia"/>
          <w:color w:val="000000" w:themeColor="text1"/>
          <w:spacing w:val="-2"/>
          <w:kern w:val="0"/>
          <w:szCs w:val="24"/>
        </w:rPr>
        <w:t>研</w:t>
      </w:r>
      <w:proofErr w:type="gramEnd"/>
      <w:r w:rsidRPr="00BC0FCE">
        <w:rPr>
          <w:rFonts w:ascii="標楷體" w:eastAsia="標楷體" w:hAnsi="標楷體" w:hint="eastAsia"/>
          <w:color w:val="000000" w:themeColor="text1"/>
          <w:spacing w:val="-2"/>
          <w:kern w:val="0"/>
          <w:szCs w:val="24"/>
        </w:rPr>
        <w:t>謀改善1項，經</w:t>
      </w:r>
      <w:proofErr w:type="gramStart"/>
      <w:r w:rsidRPr="00BC0FCE">
        <w:rPr>
          <w:rFonts w:ascii="標楷體" w:eastAsia="標楷體" w:hAnsi="標楷體" w:hint="eastAsia"/>
          <w:color w:val="000000" w:themeColor="text1"/>
          <w:spacing w:val="-2"/>
          <w:kern w:val="0"/>
          <w:szCs w:val="24"/>
        </w:rPr>
        <w:t>賡</w:t>
      </w:r>
      <w:proofErr w:type="gramEnd"/>
      <w:r w:rsidRPr="00BC0FCE">
        <w:rPr>
          <w:rFonts w:ascii="標楷體" w:eastAsia="標楷體" w:hAnsi="標楷體" w:hint="eastAsia"/>
          <w:color w:val="000000" w:themeColor="text1"/>
          <w:spacing w:val="-2"/>
          <w:kern w:val="0"/>
          <w:szCs w:val="24"/>
        </w:rPr>
        <w:t>續追蹤查核實際辦理結果，已依改善措施持續辦理。</w:t>
      </w:r>
      <w:r w:rsidRPr="00BC0FCE">
        <w:rPr>
          <w:rFonts w:ascii="標楷體" w:eastAsia="標楷體" w:hAnsi="標楷體"/>
          <w:color w:val="000000" w:themeColor="text1"/>
          <w:spacing w:val="-2"/>
          <w:kern w:val="0"/>
          <w:szCs w:val="24"/>
        </w:rPr>
        <w:br w:type="page"/>
      </w:r>
    </w:p>
    <w:p w14:paraId="7DB9325B" w14:textId="1F652518" w:rsidR="002A2BD6" w:rsidRPr="00E81DE0" w:rsidRDefault="002A2BD6" w:rsidP="002A2BD6">
      <w:pPr>
        <w:spacing w:after="120" w:line="460" w:lineRule="exact"/>
        <w:jc w:val="both"/>
        <w:outlineLvl w:val="1"/>
        <w:rPr>
          <w:rFonts w:ascii="標楷體" w:eastAsia="標楷體" w:hAnsi="標楷體" w:cs="Times New Roman"/>
          <w:b/>
          <w:kern w:val="0"/>
          <w:sz w:val="36"/>
          <w:szCs w:val="36"/>
        </w:rPr>
      </w:pPr>
      <w:r w:rsidRPr="00E81DE0">
        <w:rPr>
          <w:rFonts w:ascii="標楷體" w:eastAsia="標楷體" w:hAnsi="標楷體" w:cs="Times New Roman" w:hint="eastAsia"/>
          <w:b/>
          <w:kern w:val="0"/>
          <w:sz w:val="36"/>
          <w:szCs w:val="36"/>
        </w:rPr>
        <w:lastRenderedPageBreak/>
        <w:t>貳拾肆、法務局主管</w:t>
      </w:r>
    </w:p>
    <w:p w14:paraId="44CDB9EE" w14:textId="77777777" w:rsidR="002A2BD6" w:rsidRPr="00E81DE0" w:rsidRDefault="002A2BD6" w:rsidP="00AD7A4F">
      <w:pPr>
        <w:spacing w:beforeLines="50" w:before="180" w:line="520" w:lineRule="exact"/>
        <w:ind w:firstLineChars="200" w:firstLine="480"/>
        <w:jc w:val="both"/>
        <w:rPr>
          <w:rFonts w:ascii="標楷體" w:eastAsia="標楷體" w:hAnsi="標楷體" w:cs="Times New Roman"/>
          <w:kern w:val="0"/>
          <w:szCs w:val="24"/>
        </w:rPr>
      </w:pPr>
      <w:r w:rsidRPr="00E81DE0">
        <w:rPr>
          <w:rFonts w:ascii="標楷體" w:eastAsia="標楷體" w:hAnsi="標楷體" w:cs="Times New Roman" w:hint="eastAsia"/>
          <w:kern w:val="0"/>
          <w:szCs w:val="24"/>
        </w:rPr>
        <w:t>法務局主管僅法務局</w:t>
      </w:r>
      <w:r w:rsidRPr="00E81DE0">
        <w:rPr>
          <w:rFonts w:ascii="標楷體" w:eastAsia="標楷體" w:hAnsi="標楷體" w:cs="Times New Roman"/>
          <w:kern w:val="0"/>
          <w:szCs w:val="24"/>
        </w:rPr>
        <w:t>1</w:t>
      </w:r>
      <w:r w:rsidRPr="00E81DE0">
        <w:rPr>
          <w:rFonts w:ascii="標楷體" w:eastAsia="標楷體" w:hAnsi="標楷體" w:cs="Times New Roman" w:hint="eastAsia"/>
          <w:kern w:val="0"/>
          <w:szCs w:val="24"/>
        </w:rPr>
        <w:t>個機關，</w:t>
      </w:r>
      <w:r w:rsidRPr="00D0458D">
        <w:rPr>
          <w:rFonts w:ascii="標楷體" w:eastAsia="標楷體" w:hAnsi="標楷體" w:cs="Times New Roman" w:hint="eastAsia"/>
          <w:kern w:val="0"/>
          <w:szCs w:val="24"/>
        </w:rPr>
        <w:t>掌理臺北市法規之綜合審議、發布、編印、統一解釋及法律諮詢、訴願案件審議及輔導、消費者保護、消費爭議之調解及處理、市政府各機關訴訟協助及人員有關法制業務在職進修訓練</w:t>
      </w:r>
      <w:r w:rsidRPr="00E81DE0">
        <w:rPr>
          <w:rFonts w:ascii="標楷體" w:eastAsia="標楷體" w:hAnsi="標楷體" w:cs="Times New Roman" w:hint="eastAsia"/>
          <w:kern w:val="0"/>
          <w:szCs w:val="24"/>
        </w:rPr>
        <w:t>等業務。茲將</w:t>
      </w:r>
      <w:proofErr w:type="gramStart"/>
      <w:r>
        <w:rPr>
          <w:rFonts w:ascii="標楷體" w:eastAsia="標楷體" w:hAnsi="標楷體" w:cs="Times New Roman" w:hint="eastAsia"/>
          <w:kern w:val="0"/>
          <w:szCs w:val="24"/>
        </w:rPr>
        <w:t>113</w:t>
      </w:r>
      <w:proofErr w:type="gramEnd"/>
      <w:r w:rsidRPr="00E81DE0">
        <w:rPr>
          <w:rFonts w:ascii="標楷體" w:eastAsia="標楷體" w:hAnsi="標楷體" w:cs="Times New Roman" w:hint="eastAsia"/>
          <w:kern w:val="0"/>
          <w:szCs w:val="24"/>
        </w:rPr>
        <w:t>年度決算審核結果說明如次：</w:t>
      </w:r>
    </w:p>
    <w:p w14:paraId="2362B674" w14:textId="1960AF39" w:rsidR="002A2BD6" w:rsidRPr="00E81DE0" w:rsidRDefault="002A2BD6" w:rsidP="00AD7A4F">
      <w:pPr>
        <w:spacing w:beforeLines="50" w:before="180" w:afterLines="20" w:after="72" w:line="500" w:lineRule="exact"/>
        <w:ind w:leftChars="100" w:left="240"/>
        <w:jc w:val="both"/>
        <w:rPr>
          <w:rFonts w:ascii="標楷體" w:eastAsia="標楷體" w:hAnsi="標楷體" w:cs="Times New Roman"/>
          <w:b/>
          <w:kern w:val="0"/>
          <w:sz w:val="28"/>
          <w:szCs w:val="28"/>
        </w:rPr>
      </w:pPr>
      <w:r>
        <w:rPr>
          <w:rFonts w:ascii="標楷體" w:eastAsia="標楷體" w:hAnsi="標楷體" w:cs="Times New Roman"/>
          <w:b/>
          <w:kern w:val="0"/>
          <w:sz w:val="28"/>
          <w:szCs w:val="28"/>
        </w:rPr>
        <w:t>（</w:t>
      </w:r>
      <w:r w:rsidRPr="00E81DE0">
        <w:rPr>
          <w:rFonts w:ascii="標楷體" w:eastAsia="標楷體" w:hAnsi="標楷體" w:cs="Times New Roman" w:hint="eastAsia"/>
          <w:b/>
          <w:kern w:val="0"/>
          <w:sz w:val="28"/>
          <w:szCs w:val="28"/>
        </w:rPr>
        <w:t>一</w:t>
      </w:r>
      <w:r>
        <w:rPr>
          <w:rFonts w:ascii="標楷體" w:eastAsia="標楷體" w:hAnsi="標楷體" w:cs="Times New Roman"/>
          <w:b/>
          <w:kern w:val="0"/>
          <w:sz w:val="28"/>
          <w:szCs w:val="28"/>
        </w:rPr>
        <w:t>）</w:t>
      </w:r>
      <w:r w:rsidRPr="00E81DE0">
        <w:rPr>
          <w:rFonts w:ascii="標楷體" w:eastAsia="標楷體" w:hAnsi="標楷體" w:cs="Times New Roman" w:hint="eastAsia"/>
          <w:b/>
          <w:kern w:val="0"/>
          <w:sz w:val="28"/>
          <w:szCs w:val="28"/>
        </w:rPr>
        <w:t>計畫實施之查核</w:t>
      </w:r>
    </w:p>
    <w:p w14:paraId="1CFE5590" w14:textId="3BCC6577" w:rsidR="002A2BD6" w:rsidRPr="00D1776C" w:rsidRDefault="002A2BD6" w:rsidP="00AD7A4F">
      <w:pPr>
        <w:spacing w:beforeLines="50" w:before="180" w:line="520" w:lineRule="exact"/>
        <w:ind w:firstLineChars="200" w:firstLine="480"/>
        <w:jc w:val="both"/>
        <w:rPr>
          <w:rFonts w:ascii="標楷體" w:eastAsia="標楷體" w:hAnsi="標楷體" w:cs="Times New Roman"/>
          <w:kern w:val="0"/>
          <w:szCs w:val="24"/>
        </w:rPr>
      </w:pPr>
      <w:r w:rsidRPr="00D1776C">
        <w:rPr>
          <w:rFonts w:ascii="標楷體" w:eastAsia="標楷體" w:hAnsi="標楷體" w:cs="Times New Roman" w:hint="eastAsia"/>
          <w:kern w:val="0"/>
          <w:szCs w:val="24"/>
        </w:rPr>
        <w:t>業務計畫9項，下分工作計畫</w:t>
      </w:r>
      <w:r>
        <w:rPr>
          <w:rFonts w:ascii="標楷體" w:eastAsia="標楷體" w:hAnsi="標楷體" w:cs="Times New Roman" w:hint="eastAsia"/>
          <w:kern w:val="0"/>
          <w:szCs w:val="24"/>
        </w:rPr>
        <w:t>10</w:t>
      </w:r>
      <w:r w:rsidRPr="00D1776C">
        <w:rPr>
          <w:rFonts w:ascii="標楷體" w:eastAsia="標楷體" w:hAnsi="標楷體" w:cs="Times New Roman" w:hint="eastAsia"/>
          <w:kern w:val="0"/>
          <w:szCs w:val="24"/>
        </w:rPr>
        <w:t>項，包括</w:t>
      </w:r>
      <w:r w:rsidRPr="00CA3F83">
        <w:rPr>
          <w:rFonts w:ascii="標楷體" w:eastAsia="標楷體" w:hAnsi="標楷體" w:cs="Times New Roman" w:hint="eastAsia"/>
          <w:kern w:val="0"/>
          <w:szCs w:val="24"/>
        </w:rPr>
        <w:t>強化臺北市政府國家賠償事件處理委員會組織功能，處理國家賠償事件；辦理消費爭議申訴、協商及調解案件；辦理廠商對於市政府採購案件之各項申訴業務，及履約爭議調解；協助各機關定期通盤檢討自治法規；辦理訴願案件之審議，維護人民權益目標</w:t>
      </w:r>
      <w:r w:rsidRPr="00D1776C">
        <w:rPr>
          <w:rFonts w:ascii="標楷體" w:eastAsia="標楷體" w:hAnsi="標楷體" w:cs="Times New Roman" w:hint="eastAsia"/>
          <w:kern w:val="0"/>
          <w:szCs w:val="24"/>
        </w:rPr>
        <w:t>等重要施政項目，</w:t>
      </w:r>
      <w:proofErr w:type="gramStart"/>
      <w:r w:rsidRPr="00D1776C">
        <w:rPr>
          <w:rFonts w:ascii="標楷體" w:eastAsia="標楷體" w:hAnsi="標楷體" w:cs="Times New Roman" w:hint="eastAsia"/>
          <w:kern w:val="0"/>
          <w:szCs w:val="24"/>
        </w:rPr>
        <w:t>均已執行</w:t>
      </w:r>
      <w:proofErr w:type="gramEnd"/>
      <w:r w:rsidRPr="00D1776C">
        <w:rPr>
          <w:rFonts w:ascii="標楷體" w:eastAsia="標楷體" w:hAnsi="標楷體" w:cs="Times New Roman" w:hint="eastAsia"/>
          <w:kern w:val="0"/>
          <w:szCs w:val="24"/>
        </w:rPr>
        <w:t>完成。</w:t>
      </w:r>
    </w:p>
    <w:p w14:paraId="64252B7C" w14:textId="77777777" w:rsidR="002A2BD6" w:rsidRPr="00E81DE0" w:rsidRDefault="002A2BD6" w:rsidP="00AD7A4F">
      <w:pPr>
        <w:spacing w:beforeLines="50" w:before="180" w:afterLines="20" w:after="72" w:line="500" w:lineRule="exact"/>
        <w:ind w:leftChars="100" w:left="240"/>
        <w:jc w:val="both"/>
        <w:rPr>
          <w:rFonts w:ascii="標楷體" w:eastAsia="標楷體" w:hAnsi="標楷體" w:cs="Times New Roman"/>
          <w:b/>
          <w:kern w:val="0"/>
          <w:sz w:val="28"/>
          <w:szCs w:val="28"/>
        </w:rPr>
      </w:pPr>
      <w:r>
        <w:rPr>
          <w:rFonts w:ascii="標楷體" w:eastAsia="標楷體" w:hAnsi="標楷體" w:cs="Times New Roman"/>
          <w:b/>
          <w:kern w:val="0"/>
          <w:sz w:val="28"/>
          <w:szCs w:val="28"/>
        </w:rPr>
        <w:t>（</w:t>
      </w:r>
      <w:r w:rsidRPr="00E81DE0">
        <w:rPr>
          <w:rFonts w:ascii="標楷體" w:eastAsia="標楷體" w:hAnsi="標楷體" w:cs="Times New Roman" w:hint="eastAsia"/>
          <w:b/>
          <w:kern w:val="0"/>
          <w:sz w:val="28"/>
          <w:szCs w:val="28"/>
        </w:rPr>
        <w:t>二</w:t>
      </w:r>
      <w:r>
        <w:rPr>
          <w:rFonts w:ascii="標楷體" w:eastAsia="標楷體" w:hAnsi="標楷體" w:cs="Times New Roman"/>
          <w:b/>
          <w:kern w:val="0"/>
          <w:sz w:val="28"/>
          <w:szCs w:val="28"/>
        </w:rPr>
        <w:t>）</w:t>
      </w:r>
      <w:r w:rsidRPr="00E81DE0">
        <w:rPr>
          <w:rFonts w:ascii="標楷體" w:eastAsia="標楷體" w:hAnsi="標楷體" w:cs="Times New Roman" w:hint="eastAsia"/>
          <w:b/>
          <w:kern w:val="0"/>
          <w:sz w:val="28"/>
          <w:szCs w:val="28"/>
        </w:rPr>
        <w:t>預算執行之審核</w:t>
      </w:r>
    </w:p>
    <w:p w14:paraId="01021A67" w14:textId="77777777" w:rsidR="002A2BD6" w:rsidRPr="00E81DE0" w:rsidRDefault="002A2BD6" w:rsidP="00AD7A4F">
      <w:pPr>
        <w:spacing w:beforeLines="50" w:before="180" w:line="520" w:lineRule="exact"/>
        <w:ind w:firstLineChars="200" w:firstLine="480"/>
        <w:jc w:val="both"/>
        <w:rPr>
          <w:rFonts w:ascii="標楷體" w:eastAsia="標楷體" w:hAnsi="標楷體" w:cs="Times New Roman"/>
          <w:kern w:val="0"/>
          <w:szCs w:val="24"/>
        </w:rPr>
      </w:pPr>
      <w:r w:rsidRPr="00E81DE0">
        <w:rPr>
          <w:rFonts w:ascii="標楷體" w:eastAsia="標楷體" w:hAnsi="標楷體" w:cs="Times New Roman"/>
          <w:kern w:val="0"/>
          <w:szCs w:val="24"/>
        </w:rPr>
        <w:t>1.</w:t>
      </w:r>
      <w:r w:rsidRPr="00E81DE0">
        <w:rPr>
          <w:rFonts w:ascii="標楷體" w:eastAsia="標楷體" w:hAnsi="標楷體" w:cs="Times New Roman" w:hint="eastAsia"/>
          <w:kern w:val="0"/>
          <w:szCs w:val="24"/>
        </w:rPr>
        <w:t>歲入預算數</w:t>
      </w:r>
      <w:r>
        <w:rPr>
          <w:rFonts w:ascii="標楷體" w:eastAsia="標楷體" w:hAnsi="標楷體" w:cs="Times New Roman" w:hint="eastAsia"/>
          <w:kern w:val="0"/>
          <w:szCs w:val="24"/>
        </w:rPr>
        <w:t>392</w:t>
      </w:r>
      <w:r w:rsidRPr="00E81DE0">
        <w:rPr>
          <w:rFonts w:ascii="標楷體" w:eastAsia="標楷體" w:hAnsi="標楷體" w:cs="Times New Roman" w:hint="eastAsia"/>
          <w:kern w:val="0"/>
          <w:szCs w:val="24"/>
        </w:rPr>
        <w:t>萬餘元，決算審核結果，審定實現數</w:t>
      </w:r>
      <w:r>
        <w:rPr>
          <w:rFonts w:ascii="標楷體" w:eastAsia="標楷體" w:hAnsi="標楷體" w:cs="Times New Roman" w:hint="eastAsia"/>
          <w:kern w:val="0"/>
          <w:szCs w:val="24"/>
        </w:rPr>
        <w:t>630</w:t>
      </w:r>
      <w:r w:rsidRPr="00E81DE0">
        <w:rPr>
          <w:rFonts w:ascii="標楷體" w:eastAsia="標楷體" w:hAnsi="標楷體" w:cs="Times New Roman" w:hint="eastAsia"/>
          <w:kern w:val="0"/>
          <w:szCs w:val="24"/>
        </w:rPr>
        <w:t>萬餘元</w:t>
      </w:r>
      <w:r>
        <w:rPr>
          <w:rFonts w:ascii="標楷體" w:eastAsia="標楷體" w:hAnsi="標楷體" w:cs="Times New Roman" w:hint="eastAsia"/>
          <w:kern w:val="0"/>
          <w:szCs w:val="24"/>
        </w:rPr>
        <w:t>，</w:t>
      </w:r>
      <w:r w:rsidRPr="00E81DE0">
        <w:rPr>
          <w:rFonts w:ascii="標楷體" w:eastAsia="標楷體" w:hAnsi="標楷體" w:cs="Times New Roman" w:hint="eastAsia"/>
          <w:kern w:val="0"/>
          <w:szCs w:val="24"/>
        </w:rPr>
        <w:t>較預算</w:t>
      </w:r>
      <w:r>
        <w:rPr>
          <w:rFonts w:ascii="標楷體" w:eastAsia="標楷體" w:hAnsi="標楷體" w:cs="Times New Roman" w:hint="eastAsia"/>
          <w:kern w:val="0"/>
          <w:szCs w:val="24"/>
        </w:rPr>
        <w:t>增加237</w:t>
      </w:r>
      <w:r w:rsidRPr="00E81DE0">
        <w:rPr>
          <w:rFonts w:ascii="標楷體" w:eastAsia="標楷體" w:hAnsi="標楷體" w:cs="Times New Roman" w:hint="eastAsia"/>
          <w:kern w:val="0"/>
          <w:szCs w:val="24"/>
        </w:rPr>
        <w:t>萬餘元</w:t>
      </w:r>
      <w:r>
        <w:rPr>
          <w:rFonts w:ascii="標楷體" w:eastAsia="標楷體" w:hAnsi="標楷體" w:cs="Times New Roman" w:hint="eastAsia"/>
          <w:kern w:val="0"/>
          <w:szCs w:val="24"/>
        </w:rPr>
        <w:t>（60</w:t>
      </w:r>
      <w:r>
        <w:rPr>
          <w:rFonts w:ascii="標楷體" w:eastAsia="標楷體" w:hAnsi="標楷體" w:cs="Times New Roman"/>
          <w:kern w:val="0"/>
          <w:szCs w:val="24"/>
        </w:rPr>
        <w:t>.</w:t>
      </w:r>
      <w:r>
        <w:rPr>
          <w:rFonts w:ascii="標楷體" w:eastAsia="標楷體" w:hAnsi="標楷體" w:cs="Times New Roman" w:hint="eastAsia"/>
          <w:kern w:val="0"/>
          <w:szCs w:val="24"/>
        </w:rPr>
        <w:t>54</w:t>
      </w:r>
      <w:r w:rsidRPr="00E81DE0">
        <w:rPr>
          <w:rFonts w:ascii="標楷體" w:eastAsia="標楷體" w:hAnsi="標楷體" w:cs="Times New Roman" w:hint="eastAsia"/>
          <w:kern w:val="0"/>
          <w:szCs w:val="24"/>
        </w:rPr>
        <w:t>％</w:t>
      </w:r>
      <w:r>
        <w:rPr>
          <w:rFonts w:ascii="標楷體" w:eastAsia="標楷體" w:hAnsi="標楷體" w:cs="Times New Roman" w:hint="eastAsia"/>
          <w:kern w:val="0"/>
          <w:szCs w:val="24"/>
        </w:rPr>
        <w:t>）</w:t>
      </w:r>
      <w:r w:rsidRPr="00E81DE0">
        <w:rPr>
          <w:rFonts w:ascii="標楷體" w:eastAsia="標楷體" w:hAnsi="標楷體" w:cs="Times New Roman" w:hint="eastAsia"/>
          <w:kern w:val="0"/>
          <w:szCs w:val="24"/>
        </w:rPr>
        <w:t>，</w:t>
      </w:r>
      <w:r w:rsidRPr="00766FFC">
        <w:rPr>
          <w:rFonts w:ascii="標楷體" w:eastAsia="標楷體" w:hAnsi="標楷體" w:cs="Times New Roman" w:hint="eastAsia"/>
          <w:kern w:val="0"/>
          <w:szCs w:val="24"/>
        </w:rPr>
        <w:t>主要係</w:t>
      </w:r>
      <w:r>
        <w:rPr>
          <w:rFonts w:ascii="標楷體" w:eastAsia="標楷體" w:hAnsi="標楷體" w:cs="Times New Roman" w:hint="eastAsia"/>
          <w:kern w:val="0"/>
          <w:szCs w:val="24"/>
        </w:rPr>
        <w:t>採購申訴審議及履約調解審查費</w:t>
      </w:r>
      <w:r w:rsidRPr="003B5792">
        <w:rPr>
          <w:rFonts w:ascii="標楷體" w:eastAsia="標楷體" w:hAnsi="標楷體" w:cs="Times New Roman" w:hint="eastAsia"/>
          <w:kern w:val="0"/>
          <w:szCs w:val="24"/>
        </w:rPr>
        <w:t>較預計增加</w:t>
      </w:r>
      <w:r w:rsidRPr="001F323E">
        <w:rPr>
          <w:rFonts w:ascii="標楷體" w:eastAsia="標楷體" w:hAnsi="標楷體" w:cs="Times New Roman" w:hint="eastAsia"/>
          <w:kern w:val="0"/>
          <w:szCs w:val="24"/>
        </w:rPr>
        <w:t>。</w:t>
      </w:r>
    </w:p>
    <w:p w14:paraId="48BB998A" w14:textId="77777777" w:rsidR="002A2BD6" w:rsidRPr="00E81DE0" w:rsidRDefault="002A2BD6" w:rsidP="00AD7A4F">
      <w:pPr>
        <w:spacing w:beforeLines="50" w:before="180" w:line="520" w:lineRule="exact"/>
        <w:ind w:firstLineChars="200" w:firstLine="480"/>
        <w:jc w:val="both"/>
        <w:rPr>
          <w:rFonts w:ascii="標楷體" w:eastAsia="標楷體" w:hAnsi="標楷體" w:cs="Times New Roman"/>
          <w:kern w:val="0"/>
          <w:szCs w:val="24"/>
        </w:rPr>
      </w:pPr>
      <w:r w:rsidRPr="00E81DE0">
        <w:rPr>
          <w:rFonts w:ascii="標楷體" w:eastAsia="標楷體" w:hAnsi="標楷體" w:cs="Times New Roman"/>
          <w:kern w:val="0"/>
          <w:szCs w:val="24"/>
        </w:rPr>
        <w:t>2.</w:t>
      </w:r>
      <w:r w:rsidRPr="00AD7A4F">
        <w:rPr>
          <w:rFonts w:ascii="標楷體" w:eastAsia="標楷體" w:hAnsi="標楷體" w:cs="Times New Roman" w:hint="eastAsia"/>
          <w:spacing w:val="8"/>
          <w:kern w:val="0"/>
          <w:szCs w:val="24"/>
        </w:rPr>
        <w:t>以前年度歲入轉入數計209萬餘元，決算審核結果，審定實現數102萬餘元（48</w:t>
      </w:r>
      <w:r w:rsidRPr="00AD7A4F">
        <w:rPr>
          <w:rFonts w:ascii="標楷體" w:eastAsia="標楷體" w:hAnsi="標楷體" w:cs="Times New Roman"/>
          <w:spacing w:val="8"/>
          <w:kern w:val="0"/>
          <w:szCs w:val="24"/>
        </w:rPr>
        <w:t>.</w:t>
      </w:r>
      <w:r w:rsidRPr="00AD7A4F">
        <w:rPr>
          <w:rFonts w:ascii="標楷體" w:eastAsia="標楷體" w:hAnsi="標楷體" w:cs="Times New Roman" w:hint="eastAsia"/>
          <w:spacing w:val="8"/>
          <w:kern w:val="0"/>
          <w:szCs w:val="24"/>
        </w:rPr>
        <w:t>80％）；減免（註銷）數41萬餘元（19</w:t>
      </w:r>
      <w:r w:rsidRPr="00AD7A4F">
        <w:rPr>
          <w:rFonts w:ascii="標楷體" w:eastAsia="標楷體" w:hAnsi="標楷體" w:cs="Times New Roman"/>
          <w:spacing w:val="8"/>
          <w:kern w:val="0"/>
          <w:szCs w:val="24"/>
        </w:rPr>
        <w:t>.</w:t>
      </w:r>
      <w:r w:rsidRPr="00AD7A4F">
        <w:rPr>
          <w:rFonts w:ascii="標楷體" w:eastAsia="標楷體" w:hAnsi="標楷體" w:cs="Times New Roman" w:hint="eastAsia"/>
          <w:spacing w:val="8"/>
          <w:kern w:val="0"/>
          <w:szCs w:val="24"/>
        </w:rPr>
        <w:t>84％），係違反消費者保護法之罰鍰，已取得執行憑證後辦理註銷；應收保留數65萬餘元（31.36％），係辦理國家賠償案件之求償收入尚待收繳。</w:t>
      </w:r>
    </w:p>
    <w:p w14:paraId="5FFE1ED8" w14:textId="77777777" w:rsidR="002A2BD6" w:rsidRDefault="002A2BD6" w:rsidP="00AD7A4F">
      <w:pPr>
        <w:spacing w:beforeLines="50" w:before="180" w:line="520" w:lineRule="exact"/>
        <w:ind w:firstLineChars="200" w:firstLine="480"/>
        <w:jc w:val="both"/>
        <w:rPr>
          <w:rFonts w:ascii="標楷體" w:eastAsia="標楷體" w:hAnsi="標楷體" w:cs="Times New Roman"/>
          <w:kern w:val="0"/>
          <w:szCs w:val="24"/>
        </w:rPr>
      </w:pPr>
      <w:r w:rsidRPr="00E81DE0">
        <w:rPr>
          <w:rFonts w:ascii="標楷體" w:eastAsia="標楷體" w:hAnsi="標楷體" w:cs="Times New Roman"/>
          <w:kern w:val="0"/>
          <w:szCs w:val="24"/>
        </w:rPr>
        <w:t>3.</w:t>
      </w:r>
      <w:r w:rsidRPr="00AD7A4F">
        <w:rPr>
          <w:rFonts w:ascii="標楷體" w:eastAsia="標楷體" w:hAnsi="標楷體" w:cs="Times New Roman" w:hint="eastAsia"/>
          <w:spacing w:val="4"/>
          <w:kern w:val="0"/>
          <w:szCs w:val="24"/>
        </w:rPr>
        <w:t>歲出原編列預算數</w:t>
      </w:r>
      <w:r w:rsidRPr="00AD7A4F">
        <w:rPr>
          <w:rFonts w:ascii="標楷體" w:eastAsia="標楷體" w:hAnsi="標楷體" w:cs="Times New Roman"/>
          <w:spacing w:val="4"/>
          <w:kern w:val="0"/>
          <w:szCs w:val="24"/>
        </w:rPr>
        <w:t>1</w:t>
      </w:r>
      <w:r w:rsidRPr="00AD7A4F">
        <w:rPr>
          <w:rFonts w:ascii="標楷體" w:eastAsia="標楷體" w:hAnsi="標楷體" w:cs="Times New Roman" w:hint="eastAsia"/>
          <w:spacing w:val="4"/>
          <w:kern w:val="0"/>
          <w:szCs w:val="24"/>
        </w:rPr>
        <w:t>億9</w:t>
      </w:r>
      <w:r w:rsidRPr="00AD7A4F">
        <w:rPr>
          <w:rFonts w:ascii="標楷體" w:eastAsia="標楷體" w:hAnsi="標楷體" w:cs="Times New Roman"/>
          <w:spacing w:val="4"/>
          <w:kern w:val="0"/>
          <w:szCs w:val="24"/>
        </w:rPr>
        <w:t>,</w:t>
      </w:r>
      <w:r w:rsidRPr="00AD7A4F">
        <w:rPr>
          <w:rFonts w:ascii="標楷體" w:eastAsia="標楷體" w:hAnsi="標楷體" w:cs="Times New Roman" w:hint="eastAsia"/>
          <w:spacing w:val="4"/>
          <w:kern w:val="0"/>
          <w:szCs w:val="24"/>
        </w:rPr>
        <w:t>007萬元，經追加預算48萬餘元，並因人事費不足申請動支各類員工待遇準備60萬餘元，合計</w:t>
      </w:r>
      <w:r w:rsidRPr="00AD7A4F">
        <w:rPr>
          <w:rFonts w:ascii="標楷體" w:eastAsia="標楷體" w:hAnsi="標楷體" w:cs="Times New Roman"/>
          <w:spacing w:val="4"/>
          <w:kern w:val="0"/>
          <w:szCs w:val="24"/>
        </w:rPr>
        <w:t>1</w:t>
      </w:r>
      <w:r w:rsidRPr="00AD7A4F">
        <w:rPr>
          <w:rFonts w:ascii="標楷體" w:eastAsia="標楷體" w:hAnsi="標楷體" w:cs="Times New Roman" w:hint="eastAsia"/>
          <w:spacing w:val="4"/>
          <w:kern w:val="0"/>
          <w:szCs w:val="24"/>
        </w:rPr>
        <w:t>億9</w:t>
      </w:r>
      <w:r w:rsidRPr="00AD7A4F">
        <w:rPr>
          <w:rFonts w:ascii="標楷體" w:eastAsia="標楷體" w:hAnsi="標楷體" w:cs="Times New Roman"/>
          <w:spacing w:val="4"/>
          <w:kern w:val="0"/>
          <w:szCs w:val="24"/>
        </w:rPr>
        <w:t>,</w:t>
      </w:r>
      <w:r w:rsidRPr="00AD7A4F">
        <w:rPr>
          <w:rFonts w:ascii="標楷體" w:eastAsia="標楷體" w:hAnsi="標楷體" w:cs="Times New Roman" w:hint="eastAsia"/>
          <w:spacing w:val="4"/>
          <w:kern w:val="0"/>
          <w:szCs w:val="24"/>
        </w:rPr>
        <w:t>115萬餘元，決算審核結果，審定實現數1億6,601萬餘元（86.85％），預算賸餘2</w:t>
      </w:r>
      <w:r w:rsidRPr="00AD7A4F">
        <w:rPr>
          <w:rFonts w:ascii="標楷體" w:eastAsia="標楷體" w:hAnsi="標楷體" w:cs="Times New Roman"/>
          <w:spacing w:val="4"/>
          <w:kern w:val="0"/>
          <w:szCs w:val="24"/>
        </w:rPr>
        <w:t>,513</w:t>
      </w:r>
      <w:r w:rsidRPr="00AD7A4F">
        <w:rPr>
          <w:rFonts w:ascii="標楷體" w:eastAsia="標楷體" w:hAnsi="標楷體" w:cs="Times New Roman" w:hint="eastAsia"/>
          <w:spacing w:val="4"/>
          <w:kern w:val="0"/>
          <w:szCs w:val="24"/>
        </w:rPr>
        <w:t>萬餘元（13.</w:t>
      </w:r>
      <w:r w:rsidRPr="00AD7A4F">
        <w:rPr>
          <w:rFonts w:ascii="標楷體" w:eastAsia="標楷體" w:hAnsi="標楷體" w:cs="Times New Roman"/>
          <w:spacing w:val="4"/>
          <w:kern w:val="0"/>
          <w:szCs w:val="24"/>
        </w:rPr>
        <w:t>15</w:t>
      </w:r>
      <w:r w:rsidRPr="00AD7A4F">
        <w:rPr>
          <w:rFonts w:ascii="標楷體" w:eastAsia="標楷體" w:hAnsi="標楷體" w:cs="Times New Roman" w:hint="eastAsia"/>
          <w:spacing w:val="4"/>
          <w:kern w:val="0"/>
          <w:szCs w:val="24"/>
        </w:rPr>
        <w:t>％），主要係按業務實際需要減少支付之賸餘。</w:t>
      </w:r>
    </w:p>
    <w:p w14:paraId="32F2365C" w14:textId="77777777" w:rsidR="002A2BD6" w:rsidRDefault="002A2BD6" w:rsidP="005F25C7">
      <w:pPr>
        <w:spacing w:beforeLines="55" w:before="198" w:afterLines="50" w:after="180" w:line="500" w:lineRule="exact"/>
        <w:ind w:leftChars="100" w:left="240"/>
        <w:jc w:val="both"/>
        <w:rPr>
          <w:rFonts w:ascii="標楷體" w:eastAsia="標楷體" w:hAnsi="標楷體" w:cs="Times New Roman"/>
          <w:b/>
          <w:kern w:val="0"/>
          <w:sz w:val="28"/>
          <w:szCs w:val="28"/>
        </w:rPr>
      </w:pPr>
      <w:r w:rsidRPr="00695CC2">
        <w:rPr>
          <w:rFonts w:ascii="標楷體" w:eastAsia="標楷體" w:hAnsi="標楷體" w:cs="Times New Roman" w:hint="eastAsia"/>
          <w:b/>
          <w:kern w:val="0"/>
          <w:sz w:val="28"/>
          <w:szCs w:val="28"/>
        </w:rPr>
        <w:t>（三）</w:t>
      </w:r>
      <w:proofErr w:type="gramStart"/>
      <w:r w:rsidRPr="00695CC2">
        <w:rPr>
          <w:rFonts w:ascii="標楷體" w:eastAsia="標楷體" w:hAnsi="標楷體" w:cs="Times New Roman" w:hint="eastAsia"/>
          <w:b/>
          <w:kern w:val="0"/>
          <w:sz w:val="28"/>
          <w:szCs w:val="28"/>
        </w:rPr>
        <w:t>11</w:t>
      </w:r>
      <w:r>
        <w:rPr>
          <w:rFonts w:ascii="標楷體" w:eastAsia="標楷體" w:hAnsi="標楷體" w:cs="Times New Roman" w:hint="eastAsia"/>
          <w:b/>
          <w:kern w:val="0"/>
          <w:sz w:val="28"/>
          <w:szCs w:val="28"/>
        </w:rPr>
        <w:t>2</w:t>
      </w:r>
      <w:proofErr w:type="gramEnd"/>
      <w:r w:rsidRPr="00695CC2">
        <w:rPr>
          <w:rFonts w:ascii="標楷體" w:eastAsia="標楷體" w:hAnsi="標楷體" w:cs="Times New Roman" w:hint="eastAsia"/>
          <w:b/>
          <w:kern w:val="0"/>
          <w:sz w:val="28"/>
          <w:szCs w:val="28"/>
        </w:rPr>
        <w:t>年度重要審核意見追蹤查核情形</w:t>
      </w:r>
    </w:p>
    <w:p w14:paraId="0B81CD1B" w14:textId="2DAFD0FF" w:rsidR="002A2BD6" w:rsidRDefault="002A2BD6" w:rsidP="005F25C7">
      <w:pPr>
        <w:spacing w:beforeLines="50" w:before="180" w:line="520" w:lineRule="exact"/>
        <w:ind w:firstLineChars="200" w:firstLine="480"/>
        <w:jc w:val="both"/>
        <w:rPr>
          <w:rFonts w:ascii="標楷體" w:eastAsia="標楷體" w:hAnsi="標楷體"/>
          <w:b/>
          <w:color w:val="000000" w:themeColor="text1"/>
          <w:sz w:val="28"/>
          <w:szCs w:val="28"/>
        </w:rPr>
      </w:pPr>
      <w:r w:rsidRPr="00695CC2">
        <w:rPr>
          <w:rFonts w:ascii="標楷體" w:eastAsia="標楷體" w:hAnsi="標楷體" w:cs="Times New Roman" w:hint="eastAsia"/>
          <w:kern w:val="0"/>
          <w:szCs w:val="24"/>
        </w:rPr>
        <w:t>本處於</w:t>
      </w:r>
      <w:proofErr w:type="gramStart"/>
      <w:r w:rsidRPr="00695CC2">
        <w:rPr>
          <w:rFonts w:ascii="標楷體" w:eastAsia="標楷體" w:hAnsi="標楷體" w:cs="Times New Roman" w:hint="eastAsia"/>
          <w:kern w:val="0"/>
          <w:szCs w:val="24"/>
        </w:rPr>
        <w:t>11</w:t>
      </w:r>
      <w:r>
        <w:rPr>
          <w:rFonts w:ascii="標楷體" w:eastAsia="標楷體" w:hAnsi="標楷體" w:cs="Times New Roman" w:hint="eastAsia"/>
          <w:kern w:val="0"/>
          <w:szCs w:val="24"/>
        </w:rPr>
        <w:t>2</w:t>
      </w:r>
      <w:proofErr w:type="gramEnd"/>
      <w:r w:rsidRPr="00695CC2">
        <w:rPr>
          <w:rFonts w:ascii="標楷體" w:eastAsia="標楷體" w:hAnsi="標楷體" w:cs="Times New Roman" w:hint="eastAsia"/>
          <w:kern w:val="0"/>
          <w:szCs w:val="24"/>
        </w:rPr>
        <w:t>年度審核報告內列</w:t>
      </w:r>
      <w:r>
        <w:rPr>
          <w:rFonts w:ascii="標楷體" w:eastAsia="標楷體" w:hAnsi="標楷體" w:cs="Times New Roman" w:hint="eastAsia"/>
          <w:kern w:val="0"/>
          <w:szCs w:val="24"/>
        </w:rPr>
        <w:t>相關</w:t>
      </w:r>
      <w:r w:rsidRPr="00695CC2">
        <w:rPr>
          <w:rFonts w:ascii="標楷體" w:eastAsia="標楷體" w:hAnsi="標楷體" w:cs="Times New Roman" w:hint="eastAsia"/>
          <w:kern w:val="0"/>
          <w:szCs w:val="24"/>
        </w:rPr>
        <w:t>重要審核意見，</w:t>
      </w:r>
      <w:r>
        <w:rPr>
          <w:rFonts w:ascii="標楷體" w:eastAsia="標楷體" w:hAnsi="標楷體" w:cs="Times New Roman" w:hint="eastAsia"/>
          <w:kern w:val="0"/>
          <w:szCs w:val="24"/>
        </w:rPr>
        <w:t>計有</w:t>
      </w:r>
      <w:r w:rsidRPr="003D3A53">
        <w:rPr>
          <w:rFonts w:ascii="標楷體" w:eastAsia="標楷體" w:hAnsi="標楷體" w:cs="Times New Roman" w:hint="eastAsia"/>
          <w:kern w:val="0"/>
          <w:szCs w:val="24"/>
        </w:rPr>
        <w:t>國家賠償</w:t>
      </w:r>
      <w:proofErr w:type="gramStart"/>
      <w:r w:rsidRPr="003D3A53">
        <w:rPr>
          <w:rFonts w:ascii="標楷體" w:eastAsia="標楷體" w:hAnsi="標楷體" w:cs="Times New Roman" w:hint="eastAsia"/>
          <w:kern w:val="0"/>
          <w:szCs w:val="24"/>
        </w:rPr>
        <w:t>案件多肇因</w:t>
      </w:r>
      <w:proofErr w:type="gramEnd"/>
      <w:r w:rsidRPr="003D3A53">
        <w:rPr>
          <w:rFonts w:ascii="標楷體" w:eastAsia="標楷體" w:hAnsi="標楷體" w:cs="Times New Roman" w:hint="eastAsia"/>
          <w:kern w:val="0"/>
          <w:szCs w:val="24"/>
        </w:rPr>
        <w:t>於樹木傾倒、號</w:t>
      </w:r>
      <w:proofErr w:type="gramStart"/>
      <w:r w:rsidRPr="003D3A53">
        <w:rPr>
          <w:rFonts w:ascii="標楷體" w:eastAsia="標楷體" w:hAnsi="標楷體" w:cs="Times New Roman" w:hint="eastAsia"/>
          <w:kern w:val="0"/>
          <w:szCs w:val="24"/>
        </w:rPr>
        <w:t>誌</w:t>
      </w:r>
      <w:proofErr w:type="gramEnd"/>
      <w:r w:rsidRPr="003D3A53">
        <w:rPr>
          <w:rFonts w:ascii="標楷體" w:eastAsia="標楷體" w:hAnsi="標楷體" w:cs="Times New Roman" w:hint="eastAsia"/>
          <w:kern w:val="0"/>
          <w:szCs w:val="24"/>
        </w:rPr>
        <w:t>或照明</w:t>
      </w:r>
      <w:r w:rsidRPr="00AD7A4F">
        <w:rPr>
          <w:rFonts w:ascii="標楷體" w:eastAsia="標楷體" w:hAnsi="標楷體" w:cs="Times New Roman" w:hint="eastAsia"/>
          <w:spacing w:val="-1"/>
          <w:kern w:val="0"/>
          <w:szCs w:val="24"/>
        </w:rPr>
        <w:t>設施</w:t>
      </w:r>
      <w:r w:rsidRPr="003D3A53">
        <w:rPr>
          <w:rFonts w:ascii="標楷體" w:eastAsia="標楷體" w:hAnsi="標楷體" w:cs="Times New Roman" w:hint="eastAsia"/>
          <w:kern w:val="0"/>
          <w:szCs w:val="24"/>
        </w:rPr>
        <w:t>不良等所致，且未定期清查追蹤各</w:t>
      </w:r>
      <w:proofErr w:type="gramStart"/>
      <w:r w:rsidRPr="003D3A53">
        <w:rPr>
          <w:rFonts w:ascii="標楷體" w:eastAsia="標楷體" w:hAnsi="標楷體" w:cs="Times New Roman" w:hint="eastAsia"/>
          <w:kern w:val="0"/>
          <w:szCs w:val="24"/>
        </w:rPr>
        <w:t>機關向應負責任</w:t>
      </w:r>
      <w:proofErr w:type="gramEnd"/>
      <w:r w:rsidRPr="003D3A53">
        <w:rPr>
          <w:rFonts w:ascii="標楷體" w:eastAsia="標楷體" w:hAnsi="標楷體" w:cs="Times New Roman" w:hint="eastAsia"/>
          <w:kern w:val="0"/>
          <w:szCs w:val="24"/>
        </w:rPr>
        <w:t>者求償情形，有待檢討改善</w:t>
      </w:r>
      <w:r>
        <w:rPr>
          <w:rFonts w:ascii="標楷體" w:eastAsia="標楷體" w:hAnsi="標楷體" w:cs="Times New Roman" w:hint="eastAsia"/>
          <w:kern w:val="0"/>
          <w:szCs w:val="24"/>
        </w:rPr>
        <w:t>1項，</w:t>
      </w:r>
      <w:r w:rsidRPr="00695CC2">
        <w:rPr>
          <w:rFonts w:ascii="標楷體" w:eastAsia="標楷體" w:hAnsi="標楷體" w:cs="Times New Roman" w:hint="eastAsia"/>
          <w:kern w:val="0"/>
          <w:szCs w:val="24"/>
        </w:rPr>
        <w:t>經</w:t>
      </w:r>
      <w:r>
        <w:rPr>
          <w:rFonts w:ascii="標楷體" w:eastAsia="標楷體" w:hAnsi="標楷體" w:cs="Times New Roman" w:hint="eastAsia"/>
          <w:kern w:val="0"/>
          <w:szCs w:val="24"/>
        </w:rPr>
        <w:t>核</w:t>
      </w:r>
      <w:r w:rsidRPr="00695CC2">
        <w:rPr>
          <w:rFonts w:ascii="標楷體" w:eastAsia="標楷體" w:hAnsi="標楷體" w:cs="Times New Roman" w:hint="eastAsia"/>
          <w:kern w:val="0"/>
          <w:szCs w:val="24"/>
        </w:rPr>
        <w:t>已依改善措施持續辦理</w:t>
      </w:r>
      <w:r w:rsidRPr="00695CC2">
        <w:rPr>
          <w:rFonts w:ascii="標楷體" w:eastAsia="標楷體" w:hAnsi="標楷體" w:hint="eastAsia"/>
          <w:color w:val="000000" w:themeColor="text1"/>
          <w:kern w:val="0"/>
          <w:szCs w:val="24"/>
        </w:rPr>
        <w:t>。</w:t>
      </w:r>
      <w:r>
        <w:rPr>
          <w:rFonts w:ascii="標楷體" w:eastAsia="標楷體" w:hAnsi="標楷體"/>
          <w:b/>
          <w:color w:val="000000" w:themeColor="text1"/>
          <w:sz w:val="28"/>
          <w:szCs w:val="28"/>
        </w:rPr>
        <w:br w:type="page"/>
      </w:r>
    </w:p>
    <w:p w14:paraId="5DA70B71" w14:textId="77777777" w:rsidR="0050059F" w:rsidRPr="00177770" w:rsidRDefault="0050059F" w:rsidP="0050059F">
      <w:pPr>
        <w:widowControl/>
        <w:overflowPunct w:val="0"/>
        <w:spacing w:line="460" w:lineRule="exact"/>
        <w:rPr>
          <w:rFonts w:ascii="標楷體" w:eastAsia="標楷體" w:hAnsi="標楷體"/>
          <w:b/>
          <w:sz w:val="36"/>
          <w:szCs w:val="36"/>
        </w:rPr>
      </w:pPr>
      <w:r w:rsidRPr="00177770">
        <w:rPr>
          <w:rFonts w:ascii="標楷體" w:eastAsia="標楷體" w:hAnsi="標楷體" w:hint="eastAsia"/>
          <w:b/>
          <w:sz w:val="36"/>
          <w:szCs w:val="36"/>
        </w:rPr>
        <w:lastRenderedPageBreak/>
        <w:t>貳拾伍、捷運工程局主管</w:t>
      </w:r>
    </w:p>
    <w:p w14:paraId="6C6ED1B4" w14:textId="77777777" w:rsidR="0050059F" w:rsidRPr="00177770" w:rsidRDefault="0050059F" w:rsidP="0050059F">
      <w:pPr>
        <w:widowControl/>
        <w:overflowPunct w:val="0"/>
        <w:spacing w:beforeLines="20" w:before="72" w:line="460" w:lineRule="exact"/>
        <w:ind w:firstLineChars="200" w:firstLine="480"/>
        <w:jc w:val="both"/>
        <w:rPr>
          <w:rFonts w:ascii="標楷體" w:eastAsia="標楷體" w:hAnsi="標楷體"/>
          <w:szCs w:val="24"/>
        </w:rPr>
      </w:pPr>
      <w:r w:rsidRPr="00177770">
        <w:rPr>
          <w:rFonts w:ascii="標楷體" w:eastAsia="標楷體" w:hAnsi="標楷體" w:hint="eastAsia"/>
          <w:szCs w:val="24"/>
        </w:rPr>
        <w:t>捷運工程局主管計有公務機關4個，市營事業單位1個，非營業特種基金單位2個，各該單位決算、附屬單位決算營業及非營業部分之審核情形如次：</w:t>
      </w:r>
    </w:p>
    <w:p w14:paraId="726FD68E" w14:textId="77777777" w:rsidR="0050059F" w:rsidRPr="00177770" w:rsidRDefault="0050059F" w:rsidP="0050059F">
      <w:pPr>
        <w:overflowPunct w:val="0"/>
        <w:spacing w:beforeLines="30" w:before="108" w:line="460" w:lineRule="exact"/>
        <w:jc w:val="both"/>
        <w:outlineLvl w:val="2"/>
        <w:rPr>
          <w:rFonts w:ascii="標楷體" w:eastAsia="標楷體" w:hAnsi="標楷體"/>
          <w:b/>
          <w:sz w:val="32"/>
          <w:szCs w:val="32"/>
        </w:rPr>
      </w:pPr>
      <w:r w:rsidRPr="00177770">
        <w:rPr>
          <w:rFonts w:ascii="標楷體" w:eastAsia="標楷體" w:hAnsi="標楷體" w:hint="eastAsia"/>
          <w:b/>
          <w:sz w:val="32"/>
          <w:szCs w:val="32"/>
        </w:rPr>
        <w:t>一、單位決算部分</w:t>
      </w:r>
    </w:p>
    <w:p w14:paraId="478702A4" w14:textId="77777777" w:rsidR="0050059F" w:rsidRPr="00177770" w:rsidRDefault="0050059F" w:rsidP="0050059F">
      <w:pPr>
        <w:widowControl/>
        <w:overflowPunct w:val="0"/>
        <w:spacing w:line="460" w:lineRule="exact"/>
        <w:ind w:firstLineChars="200" w:firstLine="480"/>
        <w:jc w:val="both"/>
        <w:rPr>
          <w:rFonts w:ascii="標楷體" w:eastAsia="標楷體" w:hAnsi="標楷體"/>
          <w:szCs w:val="24"/>
        </w:rPr>
      </w:pPr>
      <w:r w:rsidRPr="00177770">
        <w:rPr>
          <w:rFonts w:ascii="標楷體" w:eastAsia="標楷體" w:hAnsi="標楷體" w:hint="eastAsia"/>
          <w:szCs w:val="24"/>
        </w:rPr>
        <w:t>捷運工程局主管包括捷運工程局、機電系統工程處、第一區工程處、第二區工程處等4個機關，綜理</w:t>
      </w:r>
      <w:proofErr w:type="gramStart"/>
      <w:r w:rsidRPr="00177770">
        <w:rPr>
          <w:rFonts w:ascii="標楷體" w:eastAsia="標楷體" w:hAnsi="標楷體" w:hint="eastAsia"/>
          <w:szCs w:val="24"/>
        </w:rPr>
        <w:t>臺</w:t>
      </w:r>
      <w:proofErr w:type="gramEnd"/>
      <w:r w:rsidRPr="00177770">
        <w:rPr>
          <w:rFonts w:ascii="標楷體" w:eastAsia="標楷體" w:hAnsi="標楷體" w:hint="eastAsia"/>
          <w:szCs w:val="24"/>
        </w:rPr>
        <w:t>北都會區大眾捷運系統工程各項事務。茲將</w:t>
      </w:r>
      <w:proofErr w:type="gramStart"/>
      <w:r w:rsidRPr="00177770">
        <w:rPr>
          <w:rFonts w:ascii="標楷體" w:eastAsia="標楷體" w:hAnsi="標楷體" w:hint="eastAsia"/>
          <w:szCs w:val="24"/>
        </w:rPr>
        <w:t>1</w:t>
      </w:r>
      <w:r w:rsidRPr="00177770">
        <w:rPr>
          <w:rFonts w:ascii="標楷體" w:eastAsia="標楷體" w:hAnsi="標楷體"/>
          <w:szCs w:val="24"/>
        </w:rPr>
        <w:t>1</w:t>
      </w:r>
      <w:r w:rsidRPr="00177770">
        <w:rPr>
          <w:rFonts w:ascii="標楷體" w:eastAsia="標楷體" w:hAnsi="標楷體" w:hint="eastAsia"/>
          <w:szCs w:val="24"/>
        </w:rPr>
        <w:t>3</w:t>
      </w:r>
      <w:proofErr w:type="gramEnd"/>
      <w:r w:rsidRPr="00177770">
        <w:rPr>
          <w:rFonts w:ascii="標楷體" w:eastAsia="標楷體" w:hAnsi="標楷體" w:hint="eastAsia"/>
          <w:szCs w:val="24"/>
        </w:rPr>
        <w:t>年度決算審核結果說明如次：</w:t>
      </w:r>
    </w:p>
    <w:p w14:paraId="217D2D90" w14:textId="77777777" w:rsidR="0050059F" w:rsidRPr="00177770" w:rsidRDefault="0050059F" w:rsidP="0050059F">
      <w:pPr>
        <w:overflowPunct w:val="0"/>
        <w:spacing w:before="60" w:after="60" w:line="480" w:lineRule="exact"/>
        <w:ind w:firstLineChars="100" w:firstLine="280"/>
        <w:jc w:val="both"/>
        <w:outlineLvl w:val="3"/>
        <w:rPr>
          <w:rFonts w:ascii="標楷體" w:eastAsia="標楷體" w:hAnsi="標楷體"/>
          <w:b/>
          <w:sz w:val="28"/>
          <w:szCs w:val="28"/>
        </w:rPr>
      </w:pPr>
      <w:r w:rsidRPr="00177770">
        <w:rPr>
          <w:rFonts w:ascii="標楷體" w:eastAsia="標楷體" w:hAnsi="標楷體" w:hint="eastAsia"/>
          <w:b/>
          <w:sz w:val="28"/>
          <w:szCs w:val="28"/>
        </w:rPr>
        <w:t>（一）計畫實施之查核</w:t>
      </w:r>
    </w:p>
    <w:p w14:paraId="5A49BAF0" w14:textId="77777777" w:rsidR="0050059F" w:rsidRPr="00177770" w:rsidRDefault="0050059F" w:rsidP="0050059F">
      <w:pPr>
        <w:widowControl/>
        <w:overflowPunct w:val="0"/>
        <w:spacing w:line="460" w:lineRule="exact"/>
        <w:ind w:firstLineChars="200" w:firstLine="480"/>
        <w:jc w:val="both"/>
        <w:rPr>
          <w:rFonts w:ascii="標楷體" w:eastAsia="標楷體" w:hAnsi="標楷體"/>
          <w:szCs w:val="24"/>
        </w:rPr>
      </w:pPr>
      <w:r w:rsidRPr="00177770">
        <w:rPr>
          <w:rFonts w:ascii="標楷體" w:eastAsia="標楷體" w:hAnsi="標楷體" w:hint="eastAsia"/>
          <w:szCs w:val="24"/>
        </w:rPr>
        <w:t>業務計畫6項，下分工作計畫6項，包括辦理捷運民生汐止線臺北市段路線綜合規劃暨周邊土地開發及都市計畫變更作業、</w:t>
      </w:r>
      <w:proofErr w:type="gramStart"/>
      <w:r w:rsidRPr="00177770">
        <w:rPr>
          <w:rFonts w:ascii="標楷體" w:eastAsia="標楷體" w:hAnsi="標楷體" w:hint="eastAsia"/>
          <w:szCs w:val="24"/>
        </w:rPr>
        <w:t>臺</w:t>
      </w:r>
      <w:proofErr w:type="gramEnd"/>
      <w:r w:rsidRPr="00177770">
        <w:rPr>
          <w:rFonts w:ascii="標楷體" w:eastAsia="標楷體" w:hAnsi="標楷體" w:hint="eastAsia"/>
          <w:szCs w:val="24"/>
        </w:rPr>
        <w:t>北工場修復工程等重要施政項目，其中已執行完成者5項，尚在執行者1項，係捷運工程局辦理捷運民生汐止線臺北市段路線綜合規劃暨周邊土地開發及都市計畫變更作業，執行期程跨年度，</w:t>
      </w:r>
      <w:r>
        <w:rPr>
          <w:rFonts w:ascii="標楷體" w:eastAsia="標楷體" w:hAnsi="標楷體" w:hint="eastAsia"/>
          <w:szCs w:val="24"/>
        </w:rPr>
        <w:t>仍</w:t>
      </w:r>
      <w:r w:rsidRPr="00177770">
        <w:rPr>
          <w:rFonts w:ascii="標楷體" w:eastAsia="標楷體" w:hAnsi="標楷體" w:hint="eastAsia"/>
          <w:szCs w:val="24"/>
        </w:rPr>
        <w:t>須繼續執行。</w:t>
      </w:r>
    </w:p>
    <w:p w14:paraId="599569EB" w14:textId="77777777" w:rsidR="0050059F" w:rsidRPr="00177770" w:rsidRDefault="0050059F" w:rsidP="0050059F">
      <w:pPr>
        <w:overflowPunct w:val="0"/>
        <w:spacing w:before="60" w:after="60" w:line="480" w:lineRule="exact"/>
        <w:ind w:firstLineChars="100" w:firstLine="280"/>
        <w:jc w:val="both"/>
        <w:outlineLvl w:val="3"/>
        <w:rPr>
          <w:rFonts w:ascii="標楷體" w:eastAsia="標楷體" w:hAnsi="標楷體"/>
          <w:b/>
          <w:sz w:val="28"/>
          <w:szCs w:val="28"/>
        </w:rPr>
      </w:pPr>
      <w:r w:rsidRPr="00177770">
        <w:rPr>
          <w:rFonts w:ascii="標楷體" w:eastAsia="標楷體" w:hAnsi="標楷體" w:hint="eastAsia"/>
          <w:b/>
          <w:sz w:val="28"/>
          <w:szCs w:val="28"/>
        </w:rPr>
        <w:t>（二）預算執行之審核</w:t>
      </w:r>
    </w:p>
    <w:p w14:paraId="540D4951" w14:textId="77777777" w:rsidR="0050059F" w:rsidRPr="00177770" w:rsidRDefault="0050059F" w:rsidP="0050059F">
      <w:pPr>
        <w:widowControl/>
        <w:overflowPunct w:val="0"/>
        <w:spacing w:line="460" w:lineRule="exact"/>
        <w:ind w:firstLineChars="200" w:firstLine="480"/>
        <w:jc w:val="both"/>
        <w:rPr>
          <w:rFonts w:ascii="標楷體" w:eastAsia="標楷體" w:hAnsi="標楷體"/>
          <w:szCs w:val="24"/>
        </w:rPr>
      </w:pPr>
      <w:r w:rsidRPr="00177770">
        <w:rPr>
          <w:rFonts w:ascii="標楷體" w:eastAsia="標楷體" w:hAnsi="標楷體" w:hint="eastAsia"/>
          <w:szCs w:val="24"/>
        </w:rPr>
        <w:t>1.歲入編列預算數6億3</w:t>
      </w:r>
      <w:r w:rsidRPr="00177770">
        <w:rPr>
          <w:rFonts w:ascii="標楷體" w:eastAsia="標楷體" w:hAnsi="標楷體"/>
          <w:szCs w:val="24"/>
        </w:rPr>
        <w:t>,</w:t>
      </w:r>
      <w:r w:rsidRPr="00177770">
        <w:rPr>
          <w:rFonts w:ascii="標楷體" w:eastAsia="標楷體" w:hAnsi="標楷體" w:hint="eastAsia"/>
          <w:szCs w:val="24"/>
        </w:rPr>
        <w:t>745萬餘元，決算審核結果，審定實現數6億3</w:t>
      </w:r>
      <w:r w:rsidRPr="00177770">
        <w:rPr>
          <w:rFonts w:ascii="標楷體" w:eastAsia="標楷體" w:hAnsi="標楷體"/>
          <w:szCs w:val="24"/>
        </w:rPr>
        <w:t>,</w:t>
      </w:r>
      <w:r w:rsidRPr="00177770">
        <w:rPr>
          <w:rFonts w:ascii="標楷體" w:eastAsia="標楷體" w:hAnsi="標楷體" w:hint="eastAsia"/>
          <w:szCs w:val="24"/>
        </w:rPr>
        <w:t>709萬餘元，應收保留數62萬餘元，主要係捷運工程局</w:t>
      </w:r>
      <w:r>
        <w:rPr>
          <w:rFonts w:ascii="標楷體" w:eastAsia="標楷體" w:hAnsi="標楷體" w:hint="eastAsia"/>
          <w:szCs w:val="24"/>
        </w:rPr>
        <w:t>應</w:t>
      </w:r>
      <w:r w:rsidRPr="00177770">
        <w:rPr>
          <w:rFonts w:ascii="標楷體" w:eastAsia="標楷體" w:hAnsi="標楷體" w:hint="eastAsia"/>
          <w:szCs w:val="24"/>
        </w:rPr>
        <w:t>收前員工</w:t>
      </w:r>
      <w:r>
        <w:rPr>
          <w:rFonts w:ascii="標楷體" w:eastAsia="標楷體" w:hAnsi="標楷體" w:hint="eastAsia"/>
          <w:szCs w:val="24"/>
        </w:rPr>
        <w:t>溢領</w:t>
      </w:r>
      <w:r w:rsidRPr="00177770">
        <w:rPr>
          <w:rFonts w:ascii="標楷體" w:eastAsia="標楷體" w:hAnsi="標楷體" w:hint="eastAsia"/>
          <w:szCs w:val="24"/>
        </w:rPr>
        <w:t>之勞保補償金</w:t>
      </w:r>
      <w:r>
        <w:rPr>
          <w:rFonts w:ascii="標楷體" w:eastAsia="標楷體" w:hAnsi="標楷體" w:hint="eastAsia"/>
          <w:szCs w:val="24"/>
        </w:rPr>
        <w:t>尚待收取</w:t>
      </w:r>
      <w:r w:rsidRPr="00177770">
        <w:rPr>
          <w:rFonts w:ascii="標楷體" w:eastAsia="標楷體" w:hAnsi="標楷體" w:hint="eastAsia"/>
          <w:szCs w:val="24"/>
        </w:rPr>
        <w:t>，合計決算審定數為6億3</w:t>
      </w:r>
      <w:r w:rsidRPr="00177770">
        <w:rPr>
          <w:rFonts w:ascii="標楷體" w:eastAsia="標楷體" w:hAnsi="標楷體"/>
          <w:szCs w:val="24"/>
        </w:rPr>
        <w:t>,</w:t>
      </w:r>
      <w:r w:rsidRPr="00177770">
        <w:rPr>
          <w:rFonts w:ascii="標楷體" w:eastAsia="標楷體" w:hAnsi="標楷體" w:hint="eastAsia"/>
          <w:szCs w:val="24"/>
        </w:rPr>
        <w:t>771萬餘元，較預算增加26萬餘元（0</w:t>
      </w:r>
      <w:r w:rsidRPr="00177770">
        <w:rPr>
          <w:rFonts w:ascii="標楷體" w:eastAsia="標楷體" w:hAnsi="標楷體"/>
          <w:szCs w:val="24"/>
        </w:rPr>
        <w:t>.</w:t>
      </w:r>
      <w:r w:rsidRPr="00177770">
        <w:rPr>
          <w:rFonts w:ascii="標楷體" w:eastAsia="標楷體" w:hAnsi="標楷體" w:hint="eastAsia"/>
          <w:szCs w:val="24"/>
        </w:rPr>
        <w:t>04％），主要係捷運工程局收回以前年度員工之勞保補償金</w:t>
      </w:r>
      <w:r w:rsidRPr="00177770">
        <w:rPr>
          <w:rFonts w:ascii="標楷體" w:eastAsia="標楷體" w:hAnsi="標楷體" w:cs="全字庫正宋體" w:hint="eastAsia"/>
          <w:szCs w:val="24"/>
        </w:rPr>
        <w:t>，</w:t>
      </w:r>
      <w:r w:rsidRPr="00177770">
        <w:rPr>
          <w:rFonts w:ascii="標楷體" w:eastAsia="標楷體" w:hAnsi="標楷體" w:hint="eastAsia"/>
          <w:szCs w:val="24"/>
        </w:rPr>
        <w:t>其他收入較預計增加。</w:t>
      </w:r>
    </w:p>
    <w:p w14:paraId="1CC28650" w14:textId="77777777" w:rsidR="0050059F" w:rsidRPr="00177770" w:rsidRDefault="0050059F" w:rsidP="0050059F">
      <w:pPr>
        <w:widowControl/>
        <w:overflowPunct w:val="0"/>
        <w:spacing w:line="460" w:lineRule="exact"/>
        <w:ind w:firstLineChars="200" w:firstLine="480"/>
        <w:jc w:val="both"/>
        <w:rPr>
          <w:rFonts w:ascii="標楷體" w:eastAsia="標楷體" w:hAnsi="標楷體"/>
          <w:szCs w:val="24"/>
        </w:rPr>
      </w:pPr>
      <w:r w:rsidRPr="00177770">
        <w:rPr>
          <w:rFonts w:ascii="標楷體" w:eastAsia="標楷體" w:hAnsi="標楷體" w:hint="eastAsia"/>
          <w:szCs w:val="24"/>
        </w:rPr>
        <w:t>2</w:t>
      </w:r>
      <w:r w:rsidRPr="00177770">
        <w:rPr>
          <w:rFonts w:ascii="標楷體" w:eastAsia="標楷體" w:hAnsi="標楷體"/>
          <w:szCs w:val="24"/>
        </w:rPr>
        <w:t>.</w:t>
      </w:r>
      <w:r w:rsidRPr="00177770">
        <w:rPr>
          <w:rFonts w:ascii="標楷體" w:eastAsia="標楷體" w:hAnsi="標楷體" w:hint="eastAsia"/>
          <w:szCs w:val="24"/>
        </w:rPr>
        <w:t>以前年度歲入轉入數計1億</w:t>
      </w:r>
      <w:r w:rsidRPr="00177770">
        <w:rPr>
          <w:rFonts w:ascii="標楷體" w:eastAsia="標楷體" w:hAnsi="標楷體"/>
          <w:szCs w:val="24"/>
        </w:rPr>
        <w:t>5,4</w:t>
      </w:r>
      <w:r w:rsidRPr="00177770">
        <w:rPr>
          <w:rFonts w:ascii="標楷體" w:eastAsia="標楷體" w:hAnsi="標楷體" w:hint="eastAsia"/>
          <w:szCs w:val="24"/>
        </w:rPr>
        <w:t>90萬餘元，決算審核結果，審定實現數1</w:t>
      </w:r>
      <w:r w:rsidRPr="00177770">
        <w:rPr>
          <w:rFonts w:ascii="標楷體" w:eastAsia="標楷體" w:hAnsi="標楷體"/>
          <w:szCs w:val="24"/>
        </w:rPr>
        <w:t>,111</w:t>
      </w:r>
      <w:r w:rsidRPr="00177770">
        <w:rPr>
          <w:rFonts w:ascii="標楷體" w:eastAsia="標楷體" w:hAnsi="標楷體" w:hint="eastAsia"/>
          <w:szCs w:val="24"/>
        </w:rPr>
        <w:t>萬餘元（7</w:t>
      </w:r>
      <w:r w:rsidRPr="00177770">
        <w:rPr>
          <w:rFonts w:ascii="標楷體" w:eastAsia="標楷體" w:hAnsi="標楷體"/>
          <w:szCs w:val="24"/>
        </w:rPr>
        <w:t>.18</w:t>
      </w:r>
      <w:r w:rsidRPr="00177770">
        <w:rPr>
          <w:rFonts w:ascii="標楷體" w:eastAsia="標楷體" w:hAnsi="標楷體" w:hint="eastAsia"/>
          <w:szCs w:val="24"/>
        </w:rPr>
        <w:t>％），應收保留數1億4</w:t>
      </w:r>
      <w:r w:rsidRPr="00177770">
        <w:rPr>
          <w:rFonts w:ascii="標楷體" w:eastAsia="標楷體" w:hAnsi="標楷體"/>
          <w:szCs w:val="24"/>
        </w:rPr>
        <w:t>,378</w:t>
      </w:r>
      <w:r w:rsidRPr="00177770">
        <w:rPr>
          <w:rFonts w:ascii="標楷體" w:eastAsia="標楷體" w:hAnsi="標楷體" w:hint="eastAsia"/>
          <w:szCs w:val="24"/>
        </w:rPr>
        <w:t>萬餘元（9</w:t>
      </w:r>
      <w:r w:rsidRPr="00177770">
        <w:rPr>
          <w:rFonts w:ascii="標楷體" w:eastAsia="標楷體" w:hAnsi="標楷體"/>
          <w:szCs w:val="24"/>
        </w:rPr>
        <w:t>2.82</w:t>
      </w:r>
      <w:r w:rsidRPr="00177770">
        <w:rPr>
          <w:rFonts w:ascii="標楷體" w:eastAsia="標楷體" w:hAnsi="標楷體" w:hint="eastAsia"/>
          <w:szCs w:val="24"/>
        </w:rPr>
        <w:t>％），主要係捷運</w:t>
      </w:r>
      <w:proofErr w:type="gramStart"/>
      <w:r w:rsidRPr="00177770">
        <w:rPr>
          <w:rFonts w:ascii="標楷體" w:eastAsia="標楷體" w:hAnsi="標楷體" w:hint="eastAsia"/>
          <w:szCs w:val="24"/>
        </w:rPr>
        <w:t>工程局溢付</w:t>
      </w:r>
      <w:proofErr w:type="gramEnd"/>
      <w:r w:rsidRPr="00177770">
        <w:rPr>
          <w:rFonts w:ascii="標楷體" w:eastAsia="標楷體" w:hAnsi="標楷體" w:hint="eastAsia"/>
          <w:szCs w:val="24"/>
        </w:rPr>
        <w:t>之捷運建設地下穿越註記</w:t>
      </w:r>
      <w:proofErr w:type="gramStart"/>
      <w:r w:rsidRPr="00177770">
        <w:rPr>
          <w:rFonts w:ascii="標楷體" w:eastAsia="標楷體" w:hAnsi="標楷體" w:hint="eastAsia"/>
          <w:szCs w:val="24"/>
        </w:rPr>
        <w:t>補償金待收回</w:t>
      </w:r>
      <w:proofErr w:type="gramEnd"/>
      <w:r w:rsidRPr="00177770">
        <w:rPr>
          <w:rFonts w:ascii="標楷體" w:eastAsia="標楷體" w:hAnsi="標楷體" w:hint="eastAsia"/>
          <w:szCs w:val="24"/>
        </w:rPr>
        <w:t>。</w:t>
      </w:r>
    </w:p>
    <w:p w14:paraId="6DA77564" w14:textId="77777777" w:rsidR="0050059F" w:rsidRPr="00177770" w:rsidRDefault="0050059F" w:rsidP="0050059F">
      <w:pPr>
        <w:widowControl/>
        <w:overflowPunct w:val="0"/>
        <w:spacing w:line="460" w:lineRule="exact"/>
        <w:ind w:firstLineChars="200" w:firstLine="480"/>
        <w:jc w:val="both"/>
        <w:rPr>
          <w:rFonts w:ascii="標楷體" w:eastAsia="標楷體" w:hAnsi="標楷體"/>
          <w:szCs w:val="24"/>
        </w:rPr>
      </w:pPr>
      <w:r w:rsidRPr="00177770">
        <w:rPr>
          <w:rFonts w:ascii="標楷體" w:eastAsia="標楷體" w:hAnsi="標楷體"/>
          <w:szCs w:val="24"/>
        </w:rPr>
        <w:t>3</w:t>
      </w:r>
      <w:r w:rsidRPr="00177770">
        <w:rPr>
          <w:rFonts w:ascii="標楷體" w:eastAsia="標楷體" w:hAnsi="標楷體" w:hint="eastAsia"/>
          <w:szCs w:val="24"/>
        </w:rPr>
        <w:t>.歲出預算數2</w:t>
      </w:r>
      <w:r w:rsidRPr="00177770">
        <w:rPr>
          <w:rFonts w:ascii="標楷體" w:eastAsia="標楷體" w:hAnsi="標楷體"/>
          <w:szCs w:val="24"/>
        </w:rPr>
        <w:t>9</w:t>
      </w:r>
      <w:r w:rsidRPr="00177770">
        <w:rPr>
          <w:rFonts w:ascii="標楷體" w:eastAsia="標楷體" w:hAnsi="標楷體" w:hint="eastAsia"/>
          <w:szCs w:val="24"/>
        </w:rPr>
        <w:t>億2</w:t>
      </w:r>
      <w:r w:rsidRPr="00177770">
        <w:rPr>
          <w:rFonts w:ascii="標楷體" w:eastAsia="標楷體" w:hAnsi="標楷體"/>
          <w:szCs w:val="24"/>
        </w:rPr>
        <w:t>,443</w:t>
      </w:r>
      <w:r w:rsidRPr="00177770">
        <w:rPr>
          <w:rFonts w:ascii="標楷體" w:eastAsia="標楷體" w:hAnsi="標楷體" w:hint="eastAsia"/>
          <w:szCs w:val="24"/>
        </w:rPr>
        <w:t>萬餘元，決算審核結果，審定實現數2</w:t>
      </w:r>
      <w:r w:rsidRPr="00177770">
        <w:rPr>
          <w:rFonts w:ascii="標楷體" w:eastAsia="標楷體" w:hAnsi="標楷體"/>
          <w:szCs w:val="24"/>
        </w:rPr>
        <w:t>8</w:t>
      </w:r>
      <w:r w:rsidRPr="00177770">
        <w:rPr>
          <w:rFonts w:ascii="標楷體" w:eastAsia="標楷體" w:hAnsi="標楷體" w:hint="eastAsia"/>
          <w:szCs w:val="24"/>
        </w:rPr>
        <w:t>億2</w:t>
      </w:r>
      <w:r w:rsidRPr="00177770">
        <w:rPr>
          <w:rFonts w:ascii="標楷體" w:eastAsia="標楷體" w:hAnsi="標楷體"/>
          <w:szCs w:val="24"/>
        </w:rPr>
        <w:t>,421</w:t>
      </w:r>
      <w:r w:rsidRPr="00177770">
        <w:rPr>
          <w:rFonts w:ascii="標楷體" w:eastAsia="標楷體" w:hAnsi="標楷體" w:hint="eastAsia"/>
          <w:szCs w:val="24"/>
        </w:rPr>
        <w:t>萬餘元（</w:t>
      </w:r>
      <w:r w:rsidRPr="00177770">
        <w:rPr>
          <w:rFonts w:ascii="標楷體" w:eastAsia="標楷體" w:hAnsi="標楷體"/>
          <w:szCs w:val="24"/>
        </w:rPr>
        <w:t>96.57</w:t>
      </w:r>
      <w:r w:rsidRPr="00177770">
        <w:rPr>
          <w:rFonts w:ascii="標楷體" w:eastAsia="標楷體" w:hAnsi="標楷體" w:hint="eastAsia"/>
          <w:szCs w:val="24"/>
        </w:rPr>
        <w:t>％），應付保留數2</w:t>
      </w:r>
      <w:r w:rsidRPr="00177770">
        <w:rPr>
          <w:rFonts w:ascii="標楷體" w:eastAsia="標楷體" w:hAnsi="標楷體"/>
          <w:szCs w:val="24"/>
        </w:rPr>
        <w:t>93</w:t>
      </w:r>
      <w:r w:rsidRPr="00177770">
        <w:rPr>
          <w:rFonts w:ascii="標楷體" w:eastAsia="標楷體" w:hAnsi="標楷體" w:hint="eastAsia"/>
          <w:szCs w:val="24"/>
        </w:rPr>
        <w:t>萬餘元（0</w:t>
      </w:r>
      <w:r w:rsidRPr="00177770">
        <w:rPr>
          <w:rFonts w:ascii="標楷體" w:eastAsia="標楷體" w:hAnsi="標楷體"/>
          <w:szCs w:val="24"/>
        </w:rPr>
        <w:t>.10</w:t>
      </w:r>
      <w:r w:rsidRPr="00177770">
        <w:rPr>
          <w:rFonts w:ascii="標楷體" w:eastAsia="標楷體" w:hAnsi="標楷體" w:hint="eastAsia"/>
          <w:szCs w:val="24"/>
        </w:rPr>
        <w:t>％），保留原因詳「（一）計畫實施之查核」說明；合計決算審定數為2</w:t>
      </w:r>
      <w:r w:rsidRPr="00177770">
        <w:rPr>
          <w:rFonts w:ascii="標楷體" w:eastAsia="標楷體" w:hAnsi="標楷體"/>
          <w:szCs w:val="24"/>
        </w:rPr>
        <w:t>8</w:t>
      </w:r>
      <w:r w:rsidRPr="00177770">
        <w:rPr>
          <w:rFonts w:ascii="標楷體" w:eastAsia="標楷體" w:hAnsi="標楷體" w:hint="eastAsia"/>
          <w:szCs w:val="24"/>
        </w:rPr>
        <w:t>億2</w:t>
      </w:r>
      <w:r w:rsidRPr="00177770">
        <w:rPr>
          <w:rFonts w:ascii="標楷體" w:eastAsia="標楷體" w:hAnsi="標楷體"/>
          <w:szCs w:val="24"/>
        </w:rPr>
        <w:t>,715</w:t>
      </w:r>
      <w:r w:rsidRPr="00177770">
        <w:rPr>
          <w:rFonts w:ascii="標楷體" w:eastAsia="標楷體" w:hAnsi="標楷體" w:hint="eastAsia"/>
          <w:szCs w:val="24"/>
        </w:rPr>
        <w:t>萬餘元，預算賸餘9</w:t>
      </w:r>
      <w:r w:rsidRPr="00177770">
        <w:rPr>
          <w:rFonts w:ascii="標楷體" w:eastAsia="標楷體" w:hAnsi="標楷體"/>
          <w:szCs w:val="24"/>
        </w:rPr>
        <w:t>,727</w:t>
      </w:r>
      <w:r w:rsidRPr="00177770">
        <w:rPr>
          <w:rFonts w:ascii="標楷體" w:eastAsia="標楷體" w:hAnsi="標楷體" w:hint="eastAsia"/>
          <w:szCs w:val="24"/>
        </w:rPr>
        <w:t>萬餘元（3</w:t>
      </w:r>
      <w:r w:rsidRPr="00177770">
        <w:rPr>
          <w:rFonts w:ascii="標楷體" w:eastAsia="標楷體" w:hAnsi="標楷體"/>
          <w:szCs w:val="24"/>
        </w:rPr>
        <w:t>.33</w:t>
      </w:r>
      <w:r w:rsidRPr="00177770">
        <w:rPr>
          <w:rFonts w:ascii="標楷體" w:eastAsia="標楷體" w:hAnsi="標楷體" w:hint="eastAsia"/>
          <w:szCs w:val="24"/>
        </w:rPr>
        <w:t>％），主要係發行永續發展債券利率較原預估利率低及由市庫調度墊還，減少利息支出。</w:t>
      </w:r>
    </w:p>
    <w:p w14:paraId="4C4F5E5C" w14:textId="77777777" w:rsidR="0050059F" w:rsidRPr="00177770" w:rsidRDefault="0050059F" w:rsidP="0050059F">
      <w:pPr>
        <w:widowControl/>
        <w:overflowPunct w:val="0"/>
        <w:spacing w:line="460" w:lineRule="exact"/>
        <w:ind w:firstLineChars="200" w:firstLine="480"/>
        <w:jc w:val="both"/>
        <w:rPr>
          <w:rFonts w:ascii="標楷體" w:eastAsia="標楷體" w:hAnsi="標楷體"/>
          <w:szCs w:val="24"/>
        </w:rPr>
      </w:pPr>
      <w:r w:rsidRPr="00177770">
        <w:rPr>
          <w:rFonts w:ascii="標楷體" w:eastAsia="標楷體" w:hAnsi="標楷體"/>
          <w:szCs w:val="24"/>
        </w:rPr>
        <w:t>4</w:t>
      </w:r>
      <w:r w:rsidRPr="00177770">
        <w:rPr>
          <w:rFonts w:ascii="標楷體" w:eastAsia="標楷體" w:hAnsi="標楷體" w:hint="eastAsia"/>
          <w:szCs w:val="24"/>
        </w:rPr>
        <w:t>.以前年度歲出轉入數計611萬餘元，決算審核結果，審定實現數176萬餘元（</w:t>
      </w:r>
      <w:r w:rsidRPr="00177770">
        <w:rPr>
          <w:rFonts w:ascii="標楷體" w:eastAsia="標楷體" w:hAnsi="標楷體"/>
          <w:szCs w:val="24"/>
        </w:rPr>
        <w:t>2</w:t>
      </w:r>
      <w:r w:rsidRPr="00177770">
        <w:rPr>
          <w:rFonts w:ascii="標楷體" w:eastAsia="標楷體" w:hAnsi="標楷體" w:hint="eastAsia"/>
          <w:szCs w:val="24"/>
        </w:rPr>
        <w:t>8</w:t>
      </w:r>
      <w:r w:rsidRPr="00177770">
        <w:rPr>
          <w:rFonts w:ascii="標楷體" w:eastAsia="標楷體" w:hAnsi="標楷體"/>
          <w:szCs w:val="24"/>
        </w:rPr>
        <w:t>.</w:t>
      </w:r>
      <w:r w:rsidRPr="00177770">
        <w:rPr>
          <w:rFonts w:ascii="標楷體" w:eastAsia="標楷體" w:hAnsi="標楷體" w:hint="eastAsia"/>
          <w:szCs w:val="24"/>
        </w:rPr>
        <w:t>96％）；應付保留</w:t>
      </w:r>
      <w:r w:rsidRPr="00177770">
        <w:rPr>
          <w:rFonts w:ascii="標楷體" w:eastAsia="標楷體" w:hAnsi="標楷體" w:hint="eastAsia"/>
          <w:spacing w:val="-2"/>
          <w:szCs w:val="24"/>
        </w:rPr>
        <w:t>數434萬餘元（71</w:t>
      </w:r>
      <w:r w:rsidRPr="00177770">
        <w:rPr>
          <w:rFonts w:ascii="標楷體" w:eastAsia="標楷體" w:hAnsi="標楷體"/>
          <w:spacing w:val="-2"/>
          <w:szCs w:val="24"/>
        </w:rPr>
        <w:t>.</w:t>
      </w:r>
      <w:r w:rsidRPr="00177770">
        <w:rPr>
          <w:rFonts w:ascii="標楷體" w:eastAsia="標楷體" w:hAnsi="標楷體" w:hint="eastAsia"/>
          <w:spacing w:val="-2"/>
          <w:szCs w:val="24"/>
        </w:rPr>
        <w:t>04％），係第二區工程處辦理市定古蹟</w:t>
      </w:r>
      <w:proofErr w:type="gramStart"/>
      <w:r w:rsidRPr="00177770">
        <w:rPr>
          <w:rFonts w:ascii="標楷體" w:eastAsia="標楷體" w:hAnsi="標楷體" w:hint="eastAsia"/>
          <w:spacing w:val="-2"/>
          <w:szCs w:val="24"/>
        </w:rPr>
        <w:t>臺</w:t>
      </w:r>
      <w:proofErr w:type="gramEnd"/>
      <w:r w:rsidRPr="00177770">
        <w:rPr>
          <w:rFonts w:ascii="標楷體" w:eastAsia="標楷體" w:hAnsi="標楷體" w:hint="eastAsia"/>
          <w:spacing w:val="-2"/>
          <w:szCs w:val="24"/>
        </w:rPr>
        <w:t>北工場修復工程，尚未完成驗收，須保留繼續執行。</w:t>
      </w:r>
    </w:p>
    <w:p w14:paraId="1BE3D1F5" w14:textId="77777777" w:rsidR="0050059F" w:rsidRPr="00177770" w:rsidRDefault="0050059F" w:rsidP="0050059F">
      <w:pPr>
        <w:overflowPunct w:val="0"/>
        <w:spacing w:beforeLines="40" w:before="144" w:line="460" w:lineRule="exact"/>
        <w:jc w:val="both"/>
        <w:outlineLvl w:val="2"/>
        <w:rPr>
          <w:rFonts w:ascii="標楷體" w:eastAsia="標楷體" w:hAnsi="標楷體"/>
          <w:b/>
          <w:sz w:val="32"/>
          <w:szCs w:val="32"/>
        </w:rPr>
      </w:pPr>
      <w:r w:rsidRPr="00177770">
        <w:rPr>
          <w:rFonts w:ascii="標楷體" w:eastAsia="標楷體" w:hAnsi="標楷體" w:hint="eastAsia"/>
          <w:b/>
          <w:sz w:val="32"/>
          <w:szCs w:val="32"/>
        </w:rPr>
        <w:t>二、附屬單位決算營業部分</w:t>
      </w:r>
    </w:p>
    <w:p w14:paraId="0DFA5203" w14:textId="77777777" w:rsidR="0050059F" w:rsidRPr="00177770" w:rsidRDefault="0050059F" w:rsidP="0050059F">
      <w:pPr>
        <w:widowControl/>
        <w:overflowPunct w:val="0"/>
        <w:spacing w:beforeLines="10" w:before="36" w:line="460" w:lineRule="exact"/>
        <w:ind w:firstLineChars="200" w:firstLine="480"/>
        <w:jc w:val="both"/>
        <w:rPr>
          <w:rFonts w:ascii="標楷體" w:eastAsia="標楷體" w:hAnsi="標楷體"/>
          <w:szCs w:val="24"/>
        </w:rPr>
      </w:pPr>
      <w:r w:rsidRPr="00177770">
        <w:rPr>
          <w:rFonts w:ascii="標楷體" w:eastAsia="標楷體" w:hAnsi="標楷體" w:hint="eastAsia"/>
          <w:szCs w:val="24"/>
        </w:rPr>
        <w:t>捷運工程局主管僅</w:t>
      </w:r>
      <w:proofErr w:type="gramStart"/>
      <w:r w:rsidRPr="00177770">
        <w:rPr>
          <w:rFonts w:ascii="標楷體" w:eastAsia="標楷體" w:hAnsi="標楷體" w:hint="eastAsia"/>
          <w:szCs w:val="24"/>
        </w:rPr>
        <w:t>臺</w:t>
      </w:r>
      <w:proofErr w:type="gramEnd"/>
      <w:r w:rsidRPr="00177770">
        <w:rPr>
          <w:rFonts w:ascii="標楷體" w:eastAsia="標楷體" w:hAnsi="標楷體" w:hint="eastAsia"/>
          <w:szCs w:val="24"/>
        </w:rPr>
        <w:t>北都會區大眾捷運系統土地開發基金1個單位，茲將</w:t>
      </w:r>
      <w:proofErr w:type="gramStart"/>
      <w:r w:rsidRPr="00177770">
        <w:rPr>
          <w:rFonts w:ascii="標楷體" w:eastAsia="標楷體" w:hAnsi="標楷體" w:hint="eastAsia"/>
          <w:szCs w:val="24"/>
        </w:rPr>
        <w:t>1</w:t>
      </w:r>
      <w:r w:rsidRPr="00177770">
        <w:rPr>
          <w:rFonts w:ascii="標楷體" w:eastAsia="標楷體" w:hAnsi="標楷體"/>
          <w:szCs w:val="24"/>
        </w:rPr>
        <w:t>1</w:t>
      </w:r>
      <w:r w:rsidRPr="00177770">
        <w:rPr>
          <w:rFonts w:ascii="標楷體" w:eastAsia="標楷體" w:hAnsi="標楷體" w:hint="eastAsia"/>
          <w:szCs w:val="24"/>
        </w:rPr>
        <w:t>3</w:t>
      </w:r>
      <w:proofErr w:type="gramEnd"/>
      <w:r w:rsidRPr="00177770">
        <w:rPr>
          <w:rFonts w:ascii="標楷體" w:eastAsia="標楷體" w:hAnsi="標楷體" w:hint="eastAsia"/>
          <w:szCs w:val="24"/>
        </w:rPr>
        <w:t>年度決算審核結果說明如次：</w:t>
      </w:r>
    </w:p>
    <w:p w14:paraId="572904CC" w14:textId="77777777" w:rsidR="0050059F" w:rsidRPr="00177770" w:rsidRDefault="0050059F" w:rsidP="0050059F">
      <w:pPr>
        <w:overflowPunct w:val="0"/>
        <w:spacing w:before="60" w:after="60" w:line="480" w:lineRule="exact"/>
        <w:ind w:firstLineChars="100" w:firstLine="280"/>
        <w:jc w:val="both"/>
        <w:outlineLvl w:val="3"/>
        <w:rPr>
          <w:rFonts w:ascii="標楷體" w:eastAsia="標楷體" w:hAnsi="標楷體"/>
          <w:b/>
          <w:sz w:val="28"/>
          <w:szCs w:val="28"/>
        </w:rPr>
      </w:pPr>
      <w:r w:rsidRPr="00177770">
        <w:rPr>
          <w:rFonts w:ascii="標楷體" w:eastAsia="標楷體" w:hAnsi="標楷體" w:hint="eastAsia"/>
          <w:b/>
          <w:sz w:val="28"/>
          <w:szCs w:val="28"/>
        </w:rPr>
        <w:lastRenderedPageBreak/>
        <w:t>（一）計畫實施之查核</w:t>
      </w:r>
    </w:p>
    <w:p w14:paraId="5BA9D96E" w14:textId="77777777" w:rsidR="0050059F" w:rsidRPr="00177770" w:rsidRDefault="0050059F" w:rsidP="0050059F">
      <w:pPr>
        <w:widowControl/>
        <w:overflowPunct w:val="0"/>
        <w:spacing w:line="400" w:lineRule="exact"/>
        <w:ind w:firstLineChars="200" w:firstLine="488"/>
        <w:jc w:val="both"/>
        <w:rPr>
          <w:rFonts w:ascii="標楷體" w:eastAsia="標楷體" w:hAnsi="標楷體"/>
          <w:spacing w:val="2"/>
          <w:szCs w:val="24"/>
        </w:rPr>
      </w:pPr>
      <w:r w:rsidRPr="00177770">
        <w:rPr>
          <w:rFonts w:ascii="標楷體" w:eastAsia="標楷體" w:hAnsi="標楷體" w:hint="eastAsia"/>
          <w:spacing w:val="2"/>
          <w:szCs w:val="24"/>
        </w:rPr>
        <w:t>營運計畫</w:t>
      </w:r>
      <w:proofErr w:type="gramStart"/>
      <w:r w:rsidRPr="00177770">
        <w:rPr>
          <w:rFonts w:ascii="標楷體" w:eastAsia="標楷體" w:hAnsi="標楷體" w:hint="eastAsia"/>
          <w:spacing w:val="2"/>
          <w:szCs w:val="24"/>
        </w:rPr>
        <w:t>主要有銷貨</w:t>
      </w:r>
      <w:proofErr w:type="gramEnd"/>
      <w:r w:rsidRPr="00177770">
        <w:rPr>
          <w:rFonts w:ascii="標楷體" w:eastAsia="標楷體" w:hAnsi="標楷體" w:hint="eastAsia"/>
          <w:spacing w:val="2"/>
          <w:szCs w:val="24"/>
        </w:rPr>
        <w:t>收入、投資性不動產收入等2項，</w:t>
      </w:r>
      <w:r w:rsidRPr="000F5841">
        <w:rPr>
          <w:rFonts w:ascii="標楷體" w:eastAsia="標楷體" w:hAnsi="標楷體" w:hint="eastAsia"/>
          <w:spacing w:val="2"/>
          <w:szCs w:val="24"/>
        </w:rPr>
        <w:t>實施</w:t>
      </w:r>
      <w:r w:rsidRPr="00177770">
        <w:rPr>
          <w:rFonts w:ascii="標楷體" w:eastAsia="標楷體" w:hAnsi="標楷體" w:hint="eastAsia"/>
          <w:spacing w:val="2"/>
          <w:szCs w:val="24"/>
        </w:rPr>
        <w:t>結果，投資性不動產收入1項未達預計目標</w:t>
      </w:r>
      <w:r w:rsidRPr="000F5841">
        <w:rPr>
          <w:rFonts w:ascii="標楷體" w:eastAsia="標楷體" w:hAnsi="標楷體" w:hint="eastAsia"/>
          <w:spacing w:val="2"/>
          <w:szCs w:val="24"/>
        </w:rPr>
        <w:t>，</w:t>
      </w:r>
      <w:r w:rsidRPr="00177770">
        <w:rPr>
          <w:rFonts w:ascii="標楷體" w:eastAsia="標楷體" w:hAnsi="標楷體" w:hint="eastAsia"/>
          <w:spacing w:val="2"/>
          <w:szCs w:val="24"/>
        </w:rPr>
        <w:t>主要係承租戶符合規定期間租金優惠情形增加，或部分公有不動產出租期程未如預期</w:t>
      </w:r>
      <w:r w:rsidRPr="000F5841">
        <w:rPr>
          <w:rFonts w:ascii="標楷體" w:eastAsia="標楷體" w:hAnsi="標楷體" w:hint="eastAsia"/>
          <w:spacing w:val="2"/>
          <w:szCs w:val="24"/>
        </w:rPr>
        <w:t>所致。</w:t>
      </w:r>
    </w:p>
    <w:p w14:paraId="1E072A34" w14:textId="77777777" w:rsidR="0050059F" w:rsidRPr="00177770" w:rsidRDefault="0050059F" w:rsidP="0050059F">
      <w:pPr>
        <w:overflowPunct w:val="0"/>
        <w:spacing w:before="60" w:after="60" w:line="480" w:lineRule="exact"/>
        <w:ind w:firstLineChars="100" w:firstLine="280"/>
        <w:jc w:val="both"/>
        <w:outlineLvl w:val="3"/>
        <w:rPr>
          <w:rFonts w:ascii="標楷體" w:eastAsia="標楷體" w:hAnsi="標楷體"/>
          <w:b/>
          <w:sz w:val="28"/>
          <w:szCs w:val="28"/>
        </w:rPr>
      </w:pPr>
      <w:r w:rsidRPr="00177770">
        <w:rPr>
          <w:rFonts w:ascii="標楷體" w:eastAsia="標楷體" w:hAnsi="標楷體" w:hint="eastAsia"/>
          <w:b/>
          <w:sz w:val="28"/>
          <w:szCs w:val="28"/>
        </w:rPr>
        <w:t>（二）盈虧之審定</w:t>
      </w:r>
    </w:p>
    <w:p w14:paraId="13EACD2F" w14:textId="77777777" w:rsidR="0050059F" w:rsidRPr="000F5841" w:rsidRDefault="0050059F" w:rsidP="0050059F">
      <w:pPr>
        <w:widowControl/>
        <w:overflowPunct w:val="0"/>
        <w:spacing w:line="400" w:lineRule="exact"/>
        <w:ind w:firstLineChars="200" w:firstLine="488"/>
        <w:jc w:val="both"/>
        <w:rPr>
          <w:rFonts w:ascii="標楷體" w:eastAsia="標楷體" w:hAnsi="標楷體"/>
          <w:spacing w:val="2"/>
          <w:szCs w:val="24"/>
        </w:rPr>
      </w:pPr>
      <w:r w:rsidRPr="000F5841">
        <w:rPr>
          <w:rFonts w:ascii="標楷體" w:eastAsia="標楷體" w:hAnsi="標楷體" w:hint="eastAsia"/>
          <w:spacing w:val="2"/>
          <w:szCs w:val="24"/>
        </w:rPr>
        <w:t>決算審核結果，審定本期</w:t>
      </w:r>
      <w:r w:rsidRPr="00177770">
        <w:rPr>
          <w:rFonts w:ascii="標楷體" w:eastAsia="標楷體" w:hAnsi="標楷體" w:hint="eastAsia"/>
          <w:spacing w:val="2"/>
          <w:szCs w:val="24"/>
        </w:rPr>
        <w:t>淨利</w:t>
      </w:r>
      <w:r w:rsidRPr="000F5841">
        <w:rPr>
          <w:rFonts w:ascii="標楷體" w:eastAsia="標楷體" w:hAnsi="標楷體" w:hint="eastAsia"/>
          <w:spacing w:val="2"/>
          <w:szCs w:val="24"/>
        </w:rPr>
        <w:t>為9億3</w:t>
      </w:r>
      <w:r w:rsidRPr="000F5841">
        <w:rPr>
          <w:rFonts w:ascii="標楷體" w:eastAsia="標楷體" w:hAnsi="標楷體"/>
          <w:spacing w:val="2"/>
          <w:szCs w:val="24"/>
        </w:rPr>
        <w:t>,033</w:t>
      </w:r>
      <w:r w:rsidRPr="000F5841">
        <w:rPr>
          <w:rFonts w:ascii="標楷體" w:eastAsia="標楷體" w:hAnsi="標楷體" w:hint="eastAsia"/>
          <w:spacing w:val="2"/>
          <w:szCs w:val="24"/>
        </w:rPr>
        <w:t>萬餘元，較預算數1</w:t>
      </w:r>
      <w:r w:rsidRPr="000F5841">
        <w:rPr>
          <w:rFonts w:ascii="標楷體" w:eastAsia="標楷體" w:hAnsi="標楷體"/>
          <w:spacing w:val="2"/>
          <w:szCs w:val="24"/>
        </w:rPr>
        <w:t>1</w:t>
      </w:r>
      <w:r w:rsidRPr="000F5841">
        <w:rPr>
          <w:rFonts w:ascii="標楷體" w:eastAsia="標楷體" w:hAnsi="標楷體" w:hint="eastAsia"/>
          <w:spacing w:val="2"/>
          <w:szCs w:val="24"/>
        </w:rPr>
        <w:t>億4</w:t>
      </w:r>
      <w:r w:rsidRPr="000F5841">
        <w:rPr>
          <w:rFonts w:ascii="標楷體" w:eastAsia="標楷體" w:hAnsi="標楷體"/>
          <w:spacing w:val="2"/>
          <w:szCs w:val="24"/>
        </w:rPr>
        <w:t>,663</w:t>
      </w:r>
      <w:r w:rsidRPr="000F5841">
        <w:rPr>
          <w:rFonts w:ascii="標楷體" w:eastAsia="標楷體" w:hAnsi="標楷體" w:hint="eastAsia"/>
          <w:spacing w:val="2"/>
          <w:szCs w:val="24"/>
        </w:rPr>
        <w:t>萬餘元，減少2億1</w:t>
      </w:r>
      <w:r w:rsidRPr="000F5841">
        <w:rPr>
          <w:rFonts w:ascii="標楷體" w:eastAsia="標楷體" w:hAnsi="標楷體"/>
          <w:spacing w:val="2"/>
          <w:szCs w:val="24"/>
        </w:rPr>
        <w:t>,630</w:t>
      </w:r>
      <w:r w:rsidRPr="000F5841">
        <w:rPr>
          <w:rFonts w:ascii="標楷體" w:eastAsia="標楷體" w:hAnsi="標楷體" w:hint="eastAsia"/>
          <w:spacing w:val="2"/>
          <w:szCs w:val="24"/>
        </w:rPr>
        <w:t>萬餘元，約1</w:t>
      </w:r>
      <w:r w:rsidRPr="000F5841">
        <w:rPr>
          <w:rFonts w:ascii="標楷體" w:eastAsia="標楷體" w:hAnsi="標楷體"/>
          <w:spacing w:val="2"/>
          <w:szCs w:val="24"/>
        </w:rPr>
        <w:t>8.86</w:t>
      </w:r>
      <w:r w:rsidRPr="000F5841">
        <w:rPr>
          <w:rFonts w:ascii="標楷體" w:eastAsia="標楷體" w:hAnsi="標楷體" w:hint="eastAsia"/>
          <w:spacing w:val="2"/>
          <w:szCs w:val="24"/>
        </w:rPr>
        <w:t>％，主要係部分捷運聯合開發</w:t>
      </w:r>
      <w:proofErr w:type="gramStart"/>
      <w:r w:rsidRPr="000F5841">
        <w:rPr>
          <w:rFonts w:ascii="標楷體" w:eastAsia="標楷體" w:hAnsi="標楷體" w:hint="eastAsia"/>
          <w:spacing w:val="2"/>
          <w:szCs w:val="24"/>
        </w:rPr>
        <w:t>大樓由售轉租</w:t>
      </w:r>
      <w:proofErr w:type="gramEnd"/>
      <w:r w:rsidRPr="000F5841">
        <w:rPr>
          <w:rFonts w:ascii="標楷體" w:eastAsia="標楷體" w:hAnsi="標楷體" w:hint="eastAsia"/>
          <w:spacing w:val="2"/>
          <w:szCs w:val="24"/>
        </w:rPr>
        <w:t>，補提折舊費用，及依仲裁判斷結果結算返還部分開發基地投資人逾期違約金、公寓大廈管理基金、規費等款項，什項費用較預計增加所致。</w:t>
      </w:r>
    </w:p>
    <w:p w14:paraId="31CE31B5" w14:textId="77777777" w:rsidR="0050059F" w:rsidRPr="00177770" w:rsidRDefault="0050059F" w:rsidP="0050059F">
      <w:pPr>
        <w:overflowPunct w:val="0"/>
        <w:spacing w:beforeLines="30" w:before="108" w:line="460" w:lineRule="exact"/>
        <w:jc w:val="both"/>
        <w:outlineLvl w:val="2"/>
        <w:rPr>
          <w:rFonts w:ascii="標楷體" w:eastAsia="標楷體" w:hAnsi="標楷體"/>
          <w:b/>
          <w:sz w:val="32"/>
          <w:szCs w:val="32"/>
        </w:rPr>
      </w:pPr>
      <w:r w:rsidRPr="00177770">
        <w:rPr>
          <w:rFonts w:ascii="標楷體" w:eastAsia="標楷體" w:hAnsi="標楷體" w:hint="eastAsia"/>
          <w:b/>
          <w:sz w:val="32"/>
          <w:szCs w:val="32"/>
        </w:rPr>
        <w:t>三、附屬單位決算非營業部分</w:t>
      </w:r>
    </w:p>
    <w:p w14:paraId="4E55B7FB" w14:textId="77777777" w:rsidR="0050059F" w:rsidRPr="000F5841" w:rsidRDefault="0050059F" w:rsidP="0050059F">
      <w:pPr>
        <w:widowControl/>
        <w:overflowPunct w:val="0"/>
        <w:spacing w:line="400" w:lineRule="exact"/>
        <w:ind w:firstLineChars="200" w:firstLine="488"/>
        <w:jc w:val="both"/>
        <w:rPr>
          <w:rFonts w:ascii="標楷體" w:eastAsia="標楷體" w:hAnsi="標楷體"/>
          <w:spacing w:val="2"/>
          <w:szCs w:val="24"/>
        </w:rPr>
      </w:pPr>
      <w:r w:rsidRPr="000F5841">
        <w:rPr>
          <w:rFonts w:ascii="標楷體" w:eastAsia="標楷體" w:hAnsi="標楷體" w:hint="eastAsia"/>
          <w:spacing w:val="2"/>
          <w:szCs w:val="24"/>
        </w:rPr>
        <w:t>捷運工程局主管包括臺北市</w:t>
      </w:r>
      <w:proofErr w:type="gramStart"/>
      <w:r w:rsidRPr="000F5841">
        <w:rPr>
          <w:rFonts w:ascii="標楷體" w:eastAsia="標楷體" w:hAnsi="標楷體" w:hint="eastAsia"/>
          <w:spacing w:val="2"/>
          <w:szCs w:val="24"/>
        </w:rPr>
        <w:t>臺</w:t>
      </w:r>
      <w:proofErr w:type="gramEnd"/>
      <w:r w:rsidRPr="000F5841">
        <w:rPr>
          <w:rFonts w:ascii="標楷體" w:eastAsia="標楷體" w:hAnsi="標楷體" w:hint="eastAsia"/>
          <w:spacing w:val="2"/>
          <w:szCs w:val="24"/>
        </w:rPr>
        <w:t>北</w:t>
      </w:r>
      <w:r w:rsidRPr="00177770">
        <w:rPr>
          <w:rFonts w:ascii="標楷體" w:eastAsia="標楷體" w:hAnsi="標楷體" w:hint="eastAsia"/>
          <w:spacing w:val="2"/>
          <w:szCs w:val="24"/>
        </w:rPr>
        <w:t>都會</w:t>
      </w:r>
      <w:r w:rsidRPr="000F5841">
        <w:rPr>
          <w:rFonts w:ascii="標楷體" w:eastAsia="標楷體" w:hAnsi="標楷體" w:hint="eastAsia"/>
          <w:spacing w:val="2"/>
          <w:szCs w:val="24"/>
        </w:rPr>
        <w:t>區捷運固定資產重置基金、臺北市大眾捷運系統建設基金等共2個特別收入基金單位，茲將</w:t>
      </w:r>
      <w:proofErr w:type="gramStart"/>
      <w:r w:rsidRPr="000F5841">
        <w:rPr>
          <w:rFonts w:ascii="標楷體" w:eastAsia="標楷體" w:hAnsi="標楷體" w:hint="eastAsia"/>
          <w:spacing w:val="2"/>
          <w:szCs w:val="24"/>
        </w:rPr>
        <w:t>1</w:t>
      </w:r>
      <w:r w:rsidRPr="000F5841">
        <w:rPr>
          <w:rFonts w:ascii="標楷體" w:eastAsia="標楷體" w:hAnsi="標楷體"/>
          <w:spacing w:val="2"/>
          <w:szCs w:val="24"/>
        </w:rPr>
        <w:t>13</w:t>
      </w:r>
      <w:proofErr w:type="gramEnd"/>
      <w:r w:rsidRPr="000F5841">
        <w:rPr>
          <w:rFonts w:ascii="標楷體" w:eastAsia="標楷體" w:hAnsi="標楷體" w:hint="eastAsia"/>
          <w:spacing w:val="2"/>
          <w:szCs w:val="24"/>
        </w:rPr>
        <w:t>年度決算審核結果說明如次：</w:t>
      </w:r>
    </w:p>
    <w:p w14:paraId="4980001C" w14:textId="77777777" w:rsidR="0050059F" w:rsidRPr="00177770" w:rsidRDefault="0050059F" w:rsidP="0050059F">
      <w:pPr>
        <w:overflowPunct w:val="0"/>
        <w:spacing w:before="60" w:after="60" w:line="480" w:lineRule="exact"/>
        <w:ind w:firstLineChars="100" w:firstLine="280"/>
        <w:jc w:val="both"/>
        <w:outlineLvl w:val="3"/>
        <w:rPr>
          <w:rFonts w:ascii="標楷體" w:eastAsia="標楷體" w:hAnsi="標楷體"/>
          <w:b/>
          <w:sz w:val="28"/>
          <w:szCs w:val="28"/>
        </w:rPr>
      </w:pPr>
      <w:r w:rsidRPr="00177770">
        <w:rPr>
          <w:rFonts w:ascii="標楷體" w:eastAsia="標楷體" w:hAnsi="標楷體" w:hint="eastAsia"/>
          <w:b/>
          <w:sz w:val="28"/>
          <w:szCs w:val="28"/>
        </w:rPr>
        <w:t>（一）計畫實施之查核</w:t>
      </w:r>
    </w:p>
    <w:p w14:paraId="4E91098A" w14:textId="77777777" w:rsidR="0050059F" w:rsidRPr="006866A4" w:rsidRDefault="0050059F" w:rsidP="0050059F">
      <w:pPr>
        <w:widowControl/>
        <w:overflowPunct w:val="0"/>
        <w:spacing w:line="400" w:lineRule="exact"/>
        <w:ind w:firstLineChars="200" w:firstLine="488"/>
        <w:jc w:val="both"/>
        <w:rPr>
          <w:rFonts w:ascii="標楷體" w:eastAsia="標楷體" w:hAnsi="標楷體"/>
          <w:spacing w:val="2"/>
          <w:szCs w:val="24"/>
        </w:rPr>
      </w:pPr>
      <w:r w:rsidRPr="006866A4">
        <w:rPr>
          <w:rFonts w:ascii="標楷體" w:eastAsia="標楷體" w:hAnsi="標楷體" w:hint="eastAsia"/>
          <w:spacing w:val="2"/>
          <w:szCs w:val="24"/>
        </w:rPr>
        <w:t>業務計畫主要有捷運設備重置計畫、辦理捷運系統設施、設備重置、環狀線</w:t>
      </w:r>
      <w:proofErr w:type="gramStart"/>
      <w:r w:rsidRPr="006866A4">
        <w:rPr>
          <w:rFonts w:ascii="標楷體" w:eastAsia="標楷體" w:hAnsi="標楷體" w:hint="eastAsia"/>
          <w:spacing w:val="2"/>
          <w:szCs w:val="24"/>
        </w:rPr>
        <w:t>北環段及</w:t>
      </w:r>
      <w:proofErr w:type="gramEnd"/>
      <w:r w:rsidRPr="006866A4">
        <w:rPr>
          <w:rFonts w:ascii="標楷體" w:eastAsia="標楷體" w:hAnsi="標楷體" w:hint="eastAsia"/>
          <w:spacing w:val="2"/>
          <w:szCs w:val="24"/>
        </w:rPr>
        <w:t>南環段路網建設計畫、環狀線</w:t>
      </w:r>
      <w:proofErr w:type="gramStart"/>
      <w:r w:rsidRPr="006866A4">
        <w:rPr>
          <w:rFonts w:ascii="標楷體" w:eastAsia="標楷體" w:hAnsi="標楷體" w:hint="eastAsia"/>
          <w:spacing w:val="2"/>
          <w:szCs w:val="24"/>
        </w:rPr>
        <w:t>東環段</w:t>
      </w:r>
      <w:proofErr w:type="gramEnd"/>
      <w:r w:rsidRPr="006866A4">
        <w:rPr>
          <w:rFonts w:ascii="標楷體" w:eastAsia="標楷體" w:hAnsi="標楷體" w:hint="eastAsia"/>
          <w:spacing w:val="2"/>
          <w:szCs w:val="24"/>
        </w:rPr>
        <w:t>路網建設計畫、民生汐止線臺北市段路網建設計畫等5項，實施結果，或因使用材料依實際需求領用；或因部分工程圖說經多次審查</w:t>
      </w:r>
      <w:proofErr w:type="gramStart"/>
      <w:r w:rsidRPr="006866A4">
        <w:rPr>
          <w:rFonts w:ascii="標楷體" w:eastAsia="標楷體" w:hAnsi="標楷體" w:hint="eastAsia"/>
          <w:spacing w:val="2"/>
          <w:szCs w:val="24"/>
        </w:rPr>
        <w:t>釐</w:t>
      </w:r>
      <w:proofErr w:type="gramEnd"/>
      <w:r w:rsidRPr="006866A4">
        <w:rPr>
          <w:rFonts w:ascii="標楷體" w:eastAsia="標楷體" w:hAnsi="標楷體" w:hint="eastAsia"/>
          <w:spacing w:val="2"/>
          <w:szCs w:val="24"/>
        </w:rPr>
        <w:t>清，</w:t>
      </w:r>
      <w:proofErr w:type="gramStart"/>
      <w:r w:rsidRPr="006866A4">
        <w:rPr>
          <w:rFonts w:ascii="標楷體" w:eastAsia="標楷體" w:hAnsi="標楷體" w:hint="eastAsia"/>
          <w:spacing w:val="2"/>
          <w:szCs w:val="24"/>
        </w:rPr>
        <w:t>暨電聯</w:t>
      </w:r>
      <w:proofErr w:type="gramEnd"/>
      <w:r w:rsidRPr="006866A4">
        <w:rPr>
          <w:rFonts w:ascii="標楷體" w:eastAsia="標楷體" w:hAnsi="標楷體" w:hint="eastAsia"/>
          <w:spacing w:val="2"/>
          <w:szCs w:val="24"/>
        </w:rPr>
        <w:t>車錄影系統重置案因施作團隊出走及廠商資金困難，影響履約進度；或因部分區段標決標時程較晚，及土地所有權人尚未領取建築物補償費；或因部分</w:t>
      </w:r>
      <w:proofErr w:type="gramStart"/>
      <w:r w:rsidRPr="006866A4">
        <w:rPr>
          <w:rFonts w:ascii="標楷體" w:eastAsia="標楷體" w:hAnsi="標楷體" w:hint="eastAsia"/>
          <w:spacing w:val="2"/>
          <w:szCs w:val="24"/>
        </w:rPr>
        <w:t>區段標招</w:t>
      </w:r>
      <w:proofErr w:type="gramEnd"/>
      <w:r w:rsidRPr="006866A4">
        <w:rPr>
          <w:rFonts w:ascii="標楷體" w:eastAsia="標楷體" w:hAnsi="標楷體" w:hint="eastAsia"/>
          <w:spacing w:val="2"/>
          <w:szCs w:val="24"/>
        </w:rPr>
        <w:t>（決）標時程未如預期；或因新北捷運汐止</w:t>
      </w:r>
      <w:proofErr w:type="gramStart"/>
      <w:r w:rsidRPr="006866A4">
        <w:rPr>
          <w:rFonts w:ascii="標楷體" w:eastAsia="標楷體" w:hAnsi="標楷體" w:hint="eastAsia"/>
          <w:spacing w:val="2"/>
          <w:szCs w:val="24"/>
        </w:rPr>
        <w:t>東湖線統包</w:t>
      </w:r>
      <w:proofErr w:type="gramEnd"/>
      <w:r w:rsidRPr="006866A4">
        <w:rPr>
          <w:rFonts w:ascii="標楷體" w:eastAsia="標楷體" w:hAnsi="標楷體" w:hint="eastAsia"/>
          <w:spacing w:val="2"/>
          <w:szCs w:val="24"/>
        </w:rPr>
        <w:t>工程決標時程較晚，影響機電系統基本設計進度等，</w:t>
      </w:r>
      <w:proofErr w:type="gramStart"/>
      <w:r w:rsidRPr="006866A4">
        <w:rPr>
          <w:rFonts w:ascii="標楷體" w:eastAsia="標楷體" w:hAnsi="標楷體" w:hint="eastAsia"/>
          <w:spacing w:val="2"/>
          <w:szCs w:val="24"/>
        </w:rPr>
        <w:t>致均未達</w:t>
      </w:r>
      <w:proofErr w:type="gramEnd"/>
      <w:r w:rsidRPr="006866A4">
        <w:rPr>
          <w:rFonts w:ascii="標楷體" w:eastAsia="標楷體" w:hAnsi="標楷體" w:hint="eastAsia"/>
          <w:spacing w:val="2"/>
          <w:szCs w:val="24"/>
        </w:rPr>
        <w:t>預計目標。</w:t>
      </w:r>
    </w:p>
    <w:p w14:paraId="2D27C508" w14:textId="77777777" w:rsidR="0050059F" w:rsidRPr="00177770" w:rsidRDefault="0050059F" w:rsidP="0050059F">
      <w:pPr>
        <w:overflowPunct w:val="0"/>
        <w:spacing w:before="60" w:after="60" w:line="480" w:lineRule="exact"/>
        <w:ind w:firstLineChars="100" w:firstLine="280"/>
        <w:jc w:val="both"/>
        <w:outlineLvl w:val="3"/>
        <w:rPr>
          <w:rFonts w:ascii="標楷體" w:eastAsia="標楷體" w:hAnsi="標楷體"/>
          <w:b/>
          <w:sz w:val="28"/>
          <w:szCs w:val="28"/>
        </w:rPr>
      </w:pPr>
      <w:r w:rsidRPr="00177770">
        <w:rPr>
          <w:rFonts w:ascii="標楷體" w:eastAsia="標楷體" w:hAnsi="標楷體" w:hint="eastAsia"/>
          <w:b/>
          <w:sz w:val="28"/>
          <w:szCs w:val="28"/>
        </w:rPr>
        <w:t>（二）餘</w:t>
      </w:r>
      <w:proofErr w:type="gramStart"/>
      <w:r w:rsidRPr="00177770">
        <w:rPr>
          <w:rFonts w:ascii="標楷體" w:eastAsia="標楷體" w:hAnsi="標楷體" w:hint="eastAsia"/>
          <w:b/>
          <w:sz w:val="28"/>
          <w:szCs w:val="28"/>
        </w:rPr>
        <w:t>絀</w:t>
      </w:r>
      <w:proofErr w:type="gramEnd"/>
      <w:r w:rsidRPr="00177770">
        <w:rPr>
          <w:rFonts w:ascii="標楷體" w:eastAsia="標楷體" w:hAnsi="標楷體" w:hint="eastAsia"/>
          <w:b/>
          <w:sz w:val="28"/>
          <w:szCs w:val="28"/>
        </w:rPr>
        <w:t>之審定</w:t>
      </w:r>
    </w:p>
    <w:p w14:paraId="69BE8BD6" w14:textId="77777777" w:rsidR="0050059F" w:rsidRPr="00177770" w:rsidRDefault="0050059F" w:rsidP="0050059F">
      <w:pPr>
        <w:widowControl/>
        <w:overflowPunct w:val="0"/>
        <w:spacing w:line="400" w:lineRule="exact"/>
        <w:ind w:firstLineChars="200" w:firstLine="488"/>
        <w:jc w:val="both"/>
        <w:rPr>
          <w:rFonts w:ascii="標楷體" w:eastAsia="標楷體" w:hAnsi="標楷體"/>
          <w:spacing w:val="2"/>
          <w:szCs w:val="24"/>
        </w:rPr>
      </w:pPr>
      <w:r w:rsidRPr="00177770">
        <w:rPr>
          <w:rFonts w:ascii="標楷體" w:eastAsia="標楷體" w:hAnsi="標楷體" w:hint="eastAsia"/>
          <w:spacing w:val="2"/>
          <w:szCs w:val="24"/>
        </w:rPr>
        <w:t>決算審核結果，審定賸餘28億8</w:t>
      </w:r>
      <w:r w:rsidRPr="00177770">
        <w:rPr>
          <w:rFonts w:ascii="標楷體" w:eastAsia="標楷體" w:hAnsi="標楷體"/>
          <w:spacing w:val="2"/>
          <w:szCs w:val="24"/>
        </w:rPr>
        <w:t>,</w:t>
      </w:r>
      <w:r w:rsidRPr="00177770">
        <w:rPr>
          <w:rFonts w:ascii="標楷體" w:eastAsia="標楷體" w:hAnsi="標楷體" w:hint="eastAsia"/>
          <w:spacing w:val="2"/>
          <w:szCs w:val="24"/>
        </w:rPr>
        <w:t>264萬餘元，較預算賸餘20億2</w:t>
      </w:r>
      <w:r w:rsidRPr="00177770">
        <w:rPr>
          <w:rFonts w:ascii="標楷體" w:eastAsia="標楷體" w:hAnsi="標楷體"/>
          <w:spacing w:val="2"/>
          <w:szCs w:val="24"/>
        </w:rPr>
        <w:t>,</w:t>
      </w:r>
      <w:r w:rsidRPr="00177770">
        <w:rPr>
          <w:rFonts w:ascii="標楷體" w:eastAsia="標楷體" w:hAnsi="標楷體" w:hint="eastAsia"/>
          <w:spacing w:val="2"/>
          <w:szCs w:val="24"/>
        </w:rPr>
        <w:t>987萬餘元，增加8億5</w:t>
      </w:r>
      <w:r w:rsidRPr="00177770">
        <w:rPr>
          <w:rFonts w:ascii="標楷體" w:eastAsia="標楷體" w:hAnsi="標楷體"/>
          <w:spacing w:val="2"/>
          <w:szCs w:val="24"/>
        </w:rPr>
        <w:t>,</w:t>
      </w:r>
      <w:r w:rsidRPr="00177770">
        <w:rPr>
          <w:rFonts w:ascii="標楷體" w:eastAsia="標楷體" w:hAnsi="標楷體" w:hint="eastAsia"/>
          <w:spacing w:val="2"/>
          <w:szCs w:val="24"/>
        </w:rPr>
        <w:t>277萬餘元</w:t>
      </w:r>
      <w:r w:rsidRPr="00177770">
        <w:rPr>
          <w:rFonts w:ascii="標楷體" w:eastAsia="標楷體" w:hAnsi="標楷體" w:hint="eastAsia"/>
          <w:szCs w:val="24"/>
        </w:rPr>
        <w:t>，約42</w:t>
      </w:r>
      <w:r w:rsidRPr="00177770">
        <w:rPr>
          <w:rFonts w:ascii="標楷體" w:eastAsia="標楷體" w:hAnsi="標楷體"/>
          <w:szCs w:val="24"/>
        </w:rPr>
        <w:t>.</w:t>
      </w:r>
      <w:r w:rsidRPr="00177770">
        <w:rPr>
          <w:rFonts w:ascii="標楷體" w:eastAsia="標楷體" w:hAnsi="標楷體" w:hint="eastAsia"/>
          <w:szCs w:val="24"/>
        </w:rPr>
        <w:t>01％</w:t>
      </w:r>
      <w:r w:rsidRPr="00177770">
        <w:rPr>
          <w:rFonts w:ascii="標楷體" w:eastAsia="標楷體" w:hAnsi="標楷體" w:hint="eastAsia"/>
          <w:spacing w:val="2"/>
          <w:szCs w:val="24"/>
        </w:rPr>
        <w:t>，主要係</w:t>
      </w:r>
      <w:r w:rsidRPr="000F5841">
        <w:rPr>
          <w:rFonts w:ascii="標楷體" w:eastAsia="標楷體" w:hAnsi="標楷體" w:hint="eastAsia"/>
          <w:spacing w:val="2"/>
          <w:szCs w:val="24"/>
        </w:rPr>
        <w:t>臺北市</w:t>
      </w:r>
      <w:proofErr w:type="gramStart"/>
      <w:r w:rsidRPr="000F5841">
        <w:rPr>
          <w:rFonts w:ascii="標楷體" w:eastAsia="標楷體" w:hAnsi="標楷體" w:hint="eastAsia"/>
          <w:spacing w:val="2"/>
          <w:szCs w:val="24"/>
        </w:rPr>
        <w:t>臺</w:t>
      </w:r>
      <w:proofErr w:type="gramEnd"/>
      <w:r w:rsidRPr="000F5841">
        <w:rPr>
          <w:rFonts w:ascii="標楷體" w:eastAsia="標楷體" w:hAnsi="標楷體" w:hint="eastAsia"/>
          <w:spacing w:val="2"/>
          <w:szCs w:val="24"/>
        </w:rPr>
        <w:t>北</w:t>
      </w:r>
      <w:r w:rsidRPr="00177770">
        <w:rPr>
          <w:rFonts w:ascii="標楷體" w:eastAsia="標楷體" w:hAnsi="標楷體" w:hint="eastAsia"/>
          <w:spacing w:val="2"/>
          <w:szCs w:val="24"/>
        </w:rPr>
        <w:t>都會</w:t>
      </w:r>
      <w:r w:rsidRPr="000F5841">
        <w:rPr>
          <w:rFonts w:ascii="標楷體" w:eastAsia="標楷體" w:hAnsi="標楷體" w:hint="eastAsia"/>
          <w:spacing w:val="2"/>
          <w:szCs w:val="24"/>
        </w:rPr>
        <w:t>區捷運固定資產重置基金</w:t>
      </w:r>
      <w:r w:rsidRPr="00177770">
        <w:rPr>
          <w:rFonts w:ascii="標楷體" w:eastAsia="標楷體" w:hAnsi="標楷體" w:hint="eastAsia"/>
          <w:spacing w:val="2"/>
          <w:szCs w:val="24"/>
        </w:rPr>
        <w:t>收取</w:t>
      </w:r>
      <w:proofErr w:type="gramStart"/>
      <w:r w:rsidRPr="00177770">
        <w:rPr>
          <w:rFonts w:ascii="標楷體" w:eastAsia="標楷體" w:hAnsi="標楷體" w:hint="eastAsia"/>
          <w:spacing w:val="2"/>
          <w:szCs w:val="24"/>
        </w:rPr>
        <w:t>臺</w:t>
      </w:r>
      <w:proofErr w:type="gramEnd"/>
      <w:r w:rsidRPr="00177770">
        <w:rPr>
          <w:rFonts w:ascii="標楷體" w:eastAsia="標楷體" w:hAnsi="標楷體" w:hint="eastAsia"/>
          <w:spacing w:val="2"/>
          <w:szCs w:val="24"/>
        </w:rPr>
        <w:t>北大眾捷運股份有限公司使用捷運系統財產租金收入較預計增加所致。</w:t>
      </w:r>
    </w:p>
    <w:p w14:paraId="4E0778F8" w14:textId="77777777" w:rsidR="0050059F" w:rsidRPr="00177770" w:rsidRDefault="0050059F" w:rsidP="0050059F">
      <w:pPr>
        <w:overflowPunct w:val="0"/>
        <w:spacing w:beforeLines="25" w:before="90" w:afterLines="25" w:after="90" w:line="460" w:lineRule="exact"/>
        <w:jc w:val="both"/>
        <w:outlineLvl w:val="2"/>
        <w:rPr>
          <w:rFonts w:ascii="標楷體" w:eastAsia="標楷體" w:hAnsi="標楷體"/>
          <w:b/>
          <w:bCs/>
          <w:sz w:val="28"/>
          <w:szCs w:val="32"/>
        </w:rPr>
      </w:pPr>
      <w:r w:rsidRPr="00177770">
        <w:rPr>
          <w:rFonts w:ascii="標楷體" w:eastAsia="標楷體" w:hAnsi="標楷體" w:hint="eastAsia"/>
          <w:b/>
          <w:sz w:val="32"/>
          <w:szCs w:val="32"/>
        </w:rPr>
        <w:t>四、重要審核意見</w:t>
      </w:r>
    </w:p>
    <w:p w14:paraId="0FB88EF9" w14:textId="77777777" w:rsidR="0050059F" w:rsidRPr="00177770" w:rsidRDefault="0050059F" w:rsidP="0050059F">
      <w:pPr>
        <w:overflowPunct w:val="0"/>
        <w:spacing w:before="120" w:after="60" w:line="460" w:lineRule="exact"/>
        <w:ind w:firstLineChars="100" w:firstLine="280"/>
        <w:jc w:val="both"/>
        <w:outlineLvl w:val="3"/>
        <w:rPr>
          <w:rFonts w:ascii="標楷體" w:eastAsia="標楷體" w:hAnsi="標楷體"/>
          <w:b/>
          <w:sz w:val="28"/>
          <w:szCs w:val="28"/>
        </w:rPr>
      </w:pPr>
      <w:r w:rsidRPr="00177770">
        <w:rPr>
          <w:rFonts w:ascii="標楷體" w:eastAsia="標楷體" w:hAnsi="標楷體" w:hint="eastAsia"/>
          <w:b/>
          <w:sz w:val="28"/>
          <w:szCs w:val="28"/>
        </w:rPr>
        <w:t>（一）持續辦理租約屆期之公有不動產出租業務，惟間有所提報之基地不動產總值尚未依規定提經市府審議及據以訂定租金年租率前，即自訂租金費率與承租人續約，滋生依契約所收租金較依</w:t>
      </w:r>
      <w:r w:rsidRPr="00177770">
        <w:rPr>
          <w:rFonts w:ascii="標楷體" w:eastAsia="標楷體" w:hAnsi="標楷體" w:hint="eastAsia"/>
          <w:b/>
          <w:sz w:val="28"/>
          <w:szCs w:val="32"/>
        </w:rPr>
        <w:t>規定</w:t>
      </w:r>
      <w:r w:rsidRPr="00177770">
        <w:rPr>
          <w:rFonts w:ascii="標楷體" w:eastAsia="標楷體" w:hAnsi="標楷體" w:hint="eastAsia"/>
          <w:b/>
          <w:sz w:val="28"/>
          <w:szCs w:val="28"/>
        </w:rPr>
        <w:t>作業核定之租金有減（增）收租金等情事，有待檢討改善。</w:t>
      </w:r>
    </w:p>
    <w:p w14:paraId="3651A7DF" w14:textId="77777777" w:rsidR="0050059F" w:rsidRPr="00177770" w:rsidRDefault="0050059F" w:rsidP="0050059F">
      <w:pPr>
        <w:overflowPunct w:val="0"/>
        <w:spacing w:line="440" w:lineRule="exact"/>
        <w:ind w:firstLineChars="200" w:firstLine="480"/>
        <w:jc w:val="both"/>
        <w:outlineLvl w:val="3"/>
        <w:rPr>
          <w:rFonts w:ascii="標楷體" w:eastAsia="標楷體" w:hAnsi="標楷體"/>
        </w:rPr>
      </w:pPr>
      <w:r w:rsidRPr="00177770">
        <w:rPr>
          <w:rFonts w:ascii="標楷體" w:eastAsia="標楷體" w:hAnsi="標楷體" w:hint="eastAsia"/>
        </w:rPr>
        <w:t>按臺北市大眾捷運系統土地開發公有不動產租售自治條例（下稱公有不動產租售自治條例）第7條規定：「聯合開發公有不動產年租金底價，為出租當年評定不動產總值與年租率之乘積。前項不動產總值由執行機關參照鄰近地區類似不動產市價及物價指數擬訂，提經市政府市有財</w:t>
      </w:r>
      <w:r w:rsidRPr="00177770">
        <w:rPr>
          <w:rFonts w:ascii="標楷體" w:eastAsia="標楷體" w:hAnsi="標楷體" w:hint="eastAsia"/>
        </w:rPr>
        <w:lastRenderedPageBreak/>
        <w:t>產審議委員會審議後，報請主管機關核定之；年租率由執行機關依使用用途參照出租時鄰近地區類似不動產之市場租金擬訂，報請主管機關核定之。」又臺北市政府為有效推動</w:t>
      </w:r>
      <w:proofErr w:type="gramStart"/>
      <w:r w:rsidRPr="00177770">
        <w:rPr>
          <w:rFonts w:ascii="標楷體" w:eastAsia="標楷體" w:hAnsi="標楷體" w:hint="eastAsia"/>
        </w:rPr>
        <w:t>臺</w:t>
      </w:r>
      <w:proofErr w:type="gramEnd"/>
      <w:r w:rsidRPr="00177770">
        <w:rPr>
          <w:rFonts w:ascii="標楷體" w:eastAsia="標楷體" w:hAnsi="標楷體" w:hint="eastAsia"/>
        </w:rPr>
        <w:t>北都會區捷運系統場站聯合開發大樓公有不動產租售等業務，設有</w:t>
      </w:r>
      <w:proofErr w:type="gramStart"/>
      <w:r w:rsidRPr="00177770">
        <w:rPr>
          <w:rFonts w:ascii="標楷體" w:eastAsia="標楷體" w:hAnsi="標楷體" w:hint="eastAsia"/>
        </w:rPr>
        <w:t>臺</w:t>
      </w:r>
      <w:proofErr w:type="gramEnd"/>
      <w:r w:rsidRPr="00177770">
        <w:rPr>
          <w:rFonts w:ascii="標楷體" w:eastAsia="標楷體" w:hAnsi="標楷體" w:hint="eastAsia"/>
        </w:rPr>
        <w:t>北都會區大眾捷運系統土地開發基金，並責成捷運工程局為管理機關，該基金</w:t>
      </w:r>
      <w:proofErr w:type="gramStart"/>
      <w:r w:rsidRPr="00177770">
        <w:rPr>
          <w:rFonts w:ascii="標楷體" w:eastAsia="標楷體" w:hAnsi="標楷體" w:hint="eastAsia"/>
        </w:rPr>
        <w:t>11</w:t>
      </w:r>
      <w:r w:rsidRPr="00177770">
        <w:rPr>
          <w:rFonts w:ascii="標楷體" w:eastAsia="標楷體" w:hAnsi="標楷體"/>
        </w:rPr>
        <w:t>3</w:t>
      </w:r>
      <w:proofErr w:type="gramEnd"/>
      <w:r w:rsidRPr="00177770">
        <w:rPr>
          <w:rFonts w:ascii="標楷體" w:eastAsia="標楷體" w:hAnsi="標楷體" w:hint="eastAsia"/>
        </w:rPr>
        <w:t>年度編列聯合開發大樓公有不動產租金收入預算計13億7,027萬餘元。據捷運工程局於112年8月統計公有不動產租賃契約將於113年上半年到期計15處基地68戶，其不動產總值（含停車位）經捷運工程局於112年11月16日提報市政府（財政局）市有財產審議委員會（下稱財審會），經該會於112年11月30日第25次及第26次會議決議各通過7處、8處，其中新店區公所（捷22）等5處基地共9戶，其租賃契約到期日分別為113年1月2日至18日不等，經承租人於112年10月至11月以書面通知有續租意願，惟捷運工程局於所提報不動產總值（含停車位）尚未經財審會112年11月30日審議定案，即自訂定續約租金費率（2萬4</w:t>
      </w:r>
      <w:r w:rsidRPr="00177770">
        <w:rPr>
          <w:rFonts w:ascii="標楷體" w:eastAsia="標楷體" w:hAnsi="標楷體"/>
        </w:rPr>
        <w:t>,503</w:t>
      </w:r>
      <w:r w:rsidRPr="00177770">
        <w:rPr>
          <w:rFonts w:ascii="標楷體" w:eastAsia="標楷體" w:hAnsi="標楷體" w:hint="eastAsia"/>
        </w:rPr>
        <w:t>元/月至1</w:t>
      </w:r>
      <w:r w:rsidRPr="00177770">
        <w:rPr>
          <w:rFonts w:ascii="標楷體" w:eastAsia="標楷體" w:hAnsi="標楷體"/>
        </w:rPr>
        <w:t>4</w:t>
      </w:r>
      <w:r w:rsidRPr="00177770">
        <w:rPr>
          <w:rFonts w:ascii="標楷體" w:eastAsia="標楷體" w:hAnsi="標楷體" w:hint="eastAsia"/>
        </w:rPr>
        <w:t>萬9</w:t>
      </w:r>
      <w:r w:rsidRPr="00177770">
        <w:rPr>
          <w:rFonts w:ascii="標楷體" w:eastAsia="標楷體" w:hAnsi="標楷體"/>
        </w:rPr>
        <w:t>65</w:t>
      </w:r>
      <w:r w:rsidRPr="00177770">
        <w:rPr>
          <w:rFonts w:ascii="標楷體" w:eastAsia="標楷體" w:hAnsi="標楷體" w:hint="eastAsia"/>
        </w:rPr>
        <w:t>元/月不等），並陸續與承租人於112年</w:t>
      </w:r>
      <w:r w:rsidRPr="00177770">
        <w:rPr>
          <w:rFonts w:ascii="標楷體" w:eastAsia="標楷體" w:hAnsi="標楷體"/>
          <w:noProof/>
          <w:spacing w:val="-1"/>
          <w:sz w:val="32"/>
          <w:szCs w:val="32"/>
        </w:rPr>
        <mc:AlternateContent>
          <mc:Choice Requires="wps">
            <w:drawing>
              <wp:anchor distT="45720" distB="45720" distL="114300" distR="114300" simplePos="0" relativeHeight="251777024" behindDoc="0" locked="0" layoutInCell="1" allowOverlap="1" wp14:anchorId="6DAE4368" wp14:editId="515CE1E5">
                <wp:simplePos x="0" y="0"/>
                <wp:positionH relativeFrom="margin">
                  <wp:posOffset>2428240</wp:posOffset>
                </wp:positionH>
                <wp:positionV relativeFrom="paragraph">
                  <wp:posOffset>3133090</wp:posOffset>
                </wp:positionV>
                <wp:extent cx="3886200" cy="4363720"/>
                <wp:effectExtent l="0" t="0" r="0" b="0"/>
                <wp:wrapSquare wrapText="bothSides"/>
                <wp:docPr id="96" name="文字方塊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200" cy="4363720"/>
                        </a:xfrm>
                        <a:prstGeom prst="rect">
                          <a:avLst/>
                        </a:prstGeom>
                        <a:solidFill>
                          <a:srgbClr val="FFFFFF"/>
                        </a:solidFill>
                        <a:ln w="9525">
                          <a:noFill/>
                          <a:miter lim="800000"/>
                          <a:headEnd/>
                          <a:tailEnd/>
                        </a:ln>
                      </wps:spPr>
                      <wps:txbx>
                        <w:txbxContent>
                          <w:p w14:paraId="56E00895" w14:textId="77777777" w:rsidR="0050059F" w:rsidRPr="007B608E" w:rsidRDefault="0050059F" w:rsidP="0050059F">
                            <w:pPr>
                              <w:tabs>
                                <w:tab w:val="left" w:pos="917"/>
                              </w:tabs>
                              <w:spacing w:line="260" w:lineRule="exact"/>
                              <w:ind w:left="661" w:rightChars="-50" w:right="-120" w:hangingChars="275" w:hanging="661"/>
                              <w:rPr>
                                <w:rFonts w:ascii="標楷體" w:eastAsia="標楷體" w:hAnsi="標楷體"/>
                                <w:b/>
                                <w:szCs w:val="24"/>
                              </w:rPr>
                            </w:pPr>
                            <w:r w:rsidRPr="008B65A2">
                              <w:rPr>
                                <w:rFonts w:ascii="標楷體" w:eastAsia="標楷體" w:hAnsi="標楷體" w:hint="eastAsia"/>
                                <w:b/>
                                <w:szCs w:val="24"/>
                              </w:rPr>
                              <w:t>表1</w:t>
                            </w:r>
                            <w:r>
                              <w:rPr>
                                <w:rFonts w:ascii="標楷體" w:eastAsia="標楷體" w:hAnsi="標楷體"/>
                                <w:b/>
                                <w:szCs w:val="24"/>
                              </w:rPr>
                              <w:t xml:space="preserve">  </w:t>
                            </w:r>
                            <w:r w:rsidRPr="007B608E">
                              <w:rPr>
                                <w:rFonts w:ascii="標楷體" w:eastAsia="標楷體" w:hAnsi="標楷體"/>
                                <w:b/>
                                <w:szCs w:val="24"/>
                              </w:rPr>
                              <w:t>113</w:t>
                            </w:r>
                            <w:r w:rsidRPr="007B608E">
                              <w:rPr>
                                <w:rFonts w:ascii="標楷體" w:eastAsia="標楷體" w:hAnsi="標楷體" w:hint="eastAsia"/>
                                <w:b/>
                                <w:szCs w:val="24"/>
                              </w:rPr>
                              <w:t>年公有不動產續租案件</w:t>
                            </w:r>
                            <w:r>
                              <w:rPr>
                                <w:rFonts w:ascii="標楷體" w:eastAsia="標楷體" w:hAnsi="標楷體" w:hint="eastAsia"/>
                                <w:b/>
                                <w:szCs w:val="24"/>
                              </w:rPr>
                              <w:t>租金費率</w:t>
                            </w:r>
                            <w:r w:rsidRPr="007B608E">
                              <w:rPr>
                                <w:rFonts w:ascii="標楷體" w:eastAsia="標楷體" w:hAnsi="標楷體" w:hint="eastAsia"/>
                                <w:b/>
                                <w:szCs w:val="24"/>
                              </w:rPr>
                              <w:t>未依規定</w:t>
                            </w:r>
                            <w:r>
                              <w:rPr>
                                <w:rFonts w:ascii="標楷體" w:eastAsia="標楷體" w:hAnsi="標楷體" w:hint="eastAsia"/>
                                <w:b/>
                                <w:szCs w:val="24"/>
                              </w:rPr>
                              <w:t>核定衍生之租金差額</w:t>
                            </w:r>
                          </w:p>
                          <w:p w14:paraId="6BB6197D" w14:textId="77777777" w:rsidR="0050059F" w:rsidRPr="007B608E" w:rsidRDefault="0050059F" w:rsidP="0050059F">
                            <w:pPr>
                              <w:spacing w:afterLines="10" w:after="36" w:line="240" w:lineRule="exact"/>
                              <w:ind w:leftChars="118" w:left="283" w:rightChars="-25" w:right="-60" w:firstLineChars="142" w:firstLine="284"/>
                              <w:jc w:val="right"/>
                              <w:rPr>
                                <w:rFonts w:ascii="標楷體" w:eastAsia="標楷體" w:hAnsi="標楷體"/>
                                <w:sz w:val="20"/>
                                <w:szCs w:val="20"/>
                              </w:rPr>
                            </w:pPr>
                            <w:r w:rsidRPr="007B608E">
                              <w:rPr>
                                <w:rFonts w:ascii="標楷體" w:eastAsia="標楷體" w:hAnsi="標楷體" w:hint="eastAsia"/>
                                <w:sz w:val="20"/>
                                <w:szCs w:val="20"/>
                              </w:rPr>
                              <w:t>單位</w:t>
                            </w:r>
                            <w:r>
                              <w:rPr>
                                <w:rFonts w:ascii="標楷體" w:eastAsia="標楷體" w:hAnsi="標楷體" w:hint="eastAsia"/>
                                <w:sz w:val="20"/>
                                <w:szCs w:val="20"/>
                              </w:rPr>
                              <w:t>：</w:t>
                            </w:r>
                            <w:r w:rsidRPr="006F588C">
                              <w:rPr>
                                <w:rFonts w:ascii="標楷體" w:eastAsia="標楷體" w:hAnsi="標楷體" w:hint="eastAsia"/>
                                <w:sz w:val="20"/>
                                <w:szCs w:val="20"/>
                              </w:rPr>
                              <w:t>新臺幣</w:t>
                            </w:r>
                            <w:r w:rsidRPr="007B608E">
                              <w:rPr>
                                <w:rFonts w:ascii="標楷體" w:eastAsia="標楷體" w:hAnsi="標楷體" w:hint="eastAsia"/>
                                <w:sz w:val="20"/>
                                <w:szCs w:val="20"/>
                              </w:rPr>
                              <w:t>元</w:t>
                            </w:r>
                          </w:p>
                          <w:tbl>
                            <w:tblPr>
                              <w:tblStyle w:val="a6"/>
                              <w:tblW w:w="5907" w:type="dxa"/>
                              <w:tblInd w:w="-5" w:type="dxa"/>
                              <w:tblLayout w:type="fixed"/>
                              <w:tblLook w:val="04A0" w:firstRow="1" w:lastRow="0" w:firstColumn="1" w:lastColumn="0" w:noHBand="0" w:noVBand="1"/>
                            </w:tblPr>
                            <w:tblGrid>
                              <w:gridCol w:w="1134"/>
                              <w:gridCol w:w="868"/>
                              <w:gridCol w:w="1372"/>
                              <w:gridCol w:w="1302"/>
                              <w:gridCol w:w="1231"/>
                            </w:tblGrid>
                            <w:tr w:rsidR="0050059F" w:rsidRPr="007B608E" w14:paraId="24F444CA" w14:textId="77777777" w:rsidTr="00824CD6">
                              <w:trPr>
                                <w:trHeight w:val="634"/>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CB6B0" w14:textId="77777777" w:rsidR="0050059F" w:rsidRPr="00917F50" w:rsidRDefault="0050059F" w:rsidP="00824CD6">
                                  <w:pPr>
                                    <w:spacing w:line="220" w:lineRule="exact"/>
                                    <w:jc w:val="center"/>
                                    <w:rPr>
                                      <w:rFonts w:ascii="標楷體" w:eastAsia="標楷體" w:hAnsi="標楷體"/>
                                    </w:rPr>
                                  </w:pPr>
                                  <w:r w:rsidRPr="00917F50">
                                    <w:rPr>
                                      <w:rFonts w:ascii="標楷體" w:eastAsia="標楷體" w:hAnsi="標楷體" w:hint="eastAsia"/>
                                    </w:rPr>
                                    <w:t>基地名稱</w:t>
                                  </w:r>
                                </w:p>
                                <w:p w14:paraId="50F95587" w14:textId="77777777" w:rsidR="0050059F" w:rsidRPr="00917F50" w:rsidRDefault="0050059F" w:rsidP="00824CD6">
                                  <w:pPr>
                                    <w:spacing w:line="220" w:lineRule="exact"/>
                                    <w:jc w:val="center"/>
                                    <w:rPr>
                                      <w:rFonts w:ascii="標楷體" w:eastAsia="標楷體" w:hAnsi="標楷體"/>
                                    </w:rPr>
                                  </w:pPr>
                                  <w:r w:rsidRPr="00917F50">
                                    <w:rPr>
                                      <w:rFonts w:ascii="標楷體" w:eastAsia="標楷體" w:hAnsi="標楷體" w:hint="eastAsia"/>
                                    </w:rPr>
                                    <w:t>（站名）</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085302D9" w14:textId="77777777" w:rsidR="0050059F" w:rsidRPr="00917F50" w:rsidRDefault="0050059F" w:rsidP="00824CD6">
                                  <w:pPr>
                                    <w:spacing w:line="220" w:lineRule="exact"/>
                                    <w:jc w:val="center"/>
                                    <w:rPr>
                                      <w:rFonts w:ascii="標楷體" w:eastAsia="標楷體" w:hAnsi="標楷體"/>
                                    </w:rPr>
                                  </w:pPr>
                                  <w:r w:rsidRPr="00917F50">
                                    <w:rPr>
                                      <w:rFonts w:ascii="標楷體" w:eastAsia="標楷體" w:hAnsi="標楷體" w:hint="eastAsia"/>
                                    </w:rPr>
                                    <w:t>路段</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A0FA66" w14:textId="77777777" w:rsidR="0050059F" w:rsidRPr="00917F50" w:rsidRDefault="0050059F" w:rsidP="00824CD6">
                                  <w:pPr>
                                    <w:spacing w:line="220" w:lineRule="exact"/>
                                    <w:rPr>
                                      <w:rFonts w:ascii="標楷體" w:eastAsia="標楷體" w:hAnsi="標楷體"/>
                                    </w:rPr>
                                  </w:pPr>
                                  <w:r w:rsidRPr="00917F50">
                                    <w:rPr>
                                      <w:rFonts w:ascii="標楷體" w:eastAsia="標楷體" w:hAnsi="標楷體" w:hint="eastAsia"/>
                                    </w:rPr>
                                    <w:t>原租約起</w:t>
                                  </w:r>
                                  <w:r>
                                    <w:rPr>
                                      <w:rFonts w:ascii="標楷體" w:eastAsia="標楷體" w:hAnsi="標楷體" w:hint="eastAsia"/>
                                    </w:rPr>
                                    <w:t>訖</w:t>
                                  </w:r>
                                  <w:r w:rsidRPr="00917F50">
                                    <w:rPr>
                                      <w:rFonts w:ascii="標楷體" w:eastAsia="標楷體" w:hAnsi="標楷體" w:hint="eastAsia"/>
                                    </w:rPr>
                                    <w:t>期間</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30468" w14:textId="77777777" w:rsidR="0050059F" w:rsidRPr="00917F50" w:rsidRDefault="0050059F" w:rsidP="00824CD6">
                                  <w:pPr>
                                    <w:spacing w:line="220" w:lineRule="exact"/>
                                    <w:rPr>
                                      <w:rFonts w:ascii="標楷體" w:eastAsia="標楷體" w:hAnsi="標楷體"/>
                                      <w:spacing w:val="-10"/>
                                    </w:rPr>
                                  </w:pPr>
                                  <w:r w:rsidRPr="00917F50">
                                    <w:rPr>
                                      <w:rFonts w:ascii="標楷體" w:eastAsia="標楷體" w:hAnsi="標楷體" w:hint="eastAsia"/>
                                      <w:spacing w:val="-10"/>
                                    </w:rPr>
                                    <w:t>通知租戶續約租金費率時間</w:t>
                                  </w:r>
                                </w:p>
                              </w:tc>
                              <w:tc>
                                <w:tcPr>
                                  <w:tcW w:w="12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CCC3E" w14:textId="77777777" w:rsidR="0050059F" w:rsidRPr="00917F50" w:rsidRDefault="0050059F" w:rsidP="00824CD6">
                                  <w:pPr>
                                    <w:spacing w:line="220" w:lineRule="exact"/>
                                    <w:rPr>
                                      <w:rFonts w:ascii="標楷體" w:eastAsia="標楷體" w:hAnsi="標楷體"/>
                                    </w:rPr>
                                  </w:pPr>
                                  <w:r w:rsidRPr="00917F50">
                                    <w:rPr>
                                      <w:rFonts w:ascii="標楷體" w:eastAsia="標楷體" w:hAnsi="標楷體" w:hint="eastAsia"/>
                                    </w:rPr>
                                    <w:t>續約期間租金差異金額(</w:t>
                                  </w:r>
                                  <w:proofErr w:type="gramStart"/>
                                  <w:r w:rsidRPr="00917F50">
                                    <w:rPr>
                                      <w:rFonts w:ascii="標楷體" w:eastAsia="標楷體" w:hAnsi="標楷體" w:hint="eastAsia"/>
                                    </w:rPr>
                                    <w:t>註</w:t>
                                  </w:r>
                                  <w:proofErr w:type="gramEnd"/>
                                  <w:r w:rsidRPr="00917F50">
                                    <w:rPr>
                                      <w:rFonts w:ascii="標楷體" w:eastAsia="標楷體" w:hAnsi="標楷體" w:hint="eastAsia"/>
                                    </w:rPr>
                                    <w:t>1</w:t>
                                  </w:r>
                                  <w:r w:rsidRPr="00917F50">
                                    <w:rPr>
                                      <w:rFonts w:ascii="標楷體" w:eastAsia="標楷體" w:hAnsi="標楷體"/>
                                    </w:rPr>
                                    <w:t>)</w:t>
                                  </w:r>
                                </w:p>
                              </w:tc>
                            </w:tr>
                            <w:tr w:rsidR="0050059F" w:rsidRPr="007B608E" w14:paraId="55413AA6" w14:textId="77777777" w:rsidTr="00824CD6">
                              <w:trPr>
                                <w:trHeight w:val="284"/>
                              </w:trPr>
                              <w:tc>
                                <w:tcPr>
                                  <w:tcW w:w="1134" w:type="dxa"/>
                                  <w:tcBorders>
                                    <w:top w:val="single" w:sz="4" w:space="0" w:color="auto"/>
                                    <w:left w:val="single" w:sz="4" w:space="0" w:color="auto"/>
                                    <w:right w:val="single" w:sz="4" w:space="0" w:color="auto"/>
                                  </w:tcBorders>
                                  <w:vAlign w:val="center"/>
                                  <w:hideMark/>
                                </w:tcPr>
                                <w:p w14:paraId="49FFB0D4" w14:textId="77777777" w:rsidR="0050059F" w:rsidRPr="00917F50" w:rsidRDefault="0050059F" w:rsidP="00824CD6">
                                  <w:pPr>
                                    <w:spacing w:line="230" w:lineRule="exact"/>
                                    <w:rPr>
                                      <w:rFonts w:ascii="標楷體" w:eastAsia="標楷體" w:hAnsi="標楷體"/>
                                      <w:spacing w:val="-10"/>
                                    </w:rPr>
                                  </w:pPr>
                                  <w:r w:rsidRPr="00917F50">
                                    <w:rPr>
                                      <w:rFonts w:ascii="標楷體" w:eastAsia="標楷體" w:hAnsi="標楷體" w:hint="eastAsia"/>
                                      <w:spacing w:val="-10"/>
                                    </w:rPr>
                                    <w:t>新店區公所</w:t>
                                  </w:r>
                                </w:p>
                              </w:tc>
                              <w:tc>
                                <w:tcPr>
                                  <w:tcW w:w="868" w:type="dxa"/>
                                  <w:tcBorders>
                                    <w:top w:val="single" w:sz="4" w:space="0" w:color="auto"/>
                                    <w:left w:val="single" w:sz="4" w:space="0" w:color="auto"/>
                                    <w:right w:val="single" w:sz="4" w:space="0" w:color="auto"/>
                                  </w:tcBorders>
                                  <w:vAlign w:val="center"/>
                                </w:tcPr>
                                <w:p w14:paraId="712F9EBD"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北新路1段</w:t>
                                  </w:r>
                                </w:p>
                              </w:tc>
                              <w:tc>
                                <w:tcPr>
                                  <w:tcW w:w="1372" w:type="dxa"/>
                                  <w:tcBorders>
                                    <w:top w:val="single" w:sz="4" w:space="0" w:color="auto"/>
                                    <w:left w:val="single" w:sz="4" w:space="0" w:color="auto"/>
                                    <w:bottom w:val="single" w:sz="4" w:space="0" w:color="auto"/>
                                    <w:right w:val="single" w:sz="4" w:space="0" w:color="auto"/>
                                  </w:tcBorders>
                                  <w:vAlign w:val="center"/>
                                </w:tcPr>
                                <w:p w14:paraId="4AE99DD0"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109.12.4至113.1.2</w:t>
                                  </w:r>
                                </w:p>
                              </w:tc>
                              <w:tc>
                                <w:tcPr>
                                  <w:tcW w:w="1302" w:type="dxa"/>
                                  <w:tcBorders>
                                    <w:top w:val="single" w:sz="4" w:space="0" w:color="auto"/>
                                    <w:left w:val="single" w:sz="4" w:space="0" w:color="auto"/>
                                    <w:bottom w:val="single" w:sz="4" w:space="0" w:color="auto"/>
                                    <w:right w:val="single" w:sz="4" w:space="0" w:color="auto"/>
                                  </w:tcBorders>
                                  <w:vAlign w:val="center"/>
                                </w:tcPr>
                                <w:p w14:paraId="7F5816CA" w14:textId="77777777" w:rsidR="0050059F" w:rsidRPr="00917F50" w:rsidRDefault="0050059F" w:rsidP="00C254C1">
                                  <w:pPr>
                                    <w:spacing w:line="230" w:lineRule="exact"/>
                                    <w:jc w:val="center"/>
                                    <w:rPr>
                                      <w:rFonts w:ascii="標楷體" w:eastAsia="標楷體" w:hAnsi="標楷體"/>
                                    </w:rPr>
                                  </w:pPr>
                                  <w:r w:rsidRPr="00917F50">
                                    <w:rPr>
                                      <w:rFonts w:ascii="標楷體" w:eastAsia="標楷體" w:hAnsi="標楷體" w:hint="eastAsia"/>
                                    </w:rPr>
                                    <w:t>1</w:t>
                                  </w:r>
                                  <w:r w:rsidRPr="00917F50">
                                    <w:rPr>
                                      <w:rFonts w:ascii="標楷體" w:eastAsia="標楷體" w:hAnsi="標楷體"/>
                                    </w:rPr>
                                    <w:t>12.10.11</w:t>
                                  </w:r>
                                </w:p>
                              </w:tc>
                              <w:tc>
                                <w:tcPr>
                                  <w:tcW w:w="1231" w:type="dxa"/>
                                  <w:tcBorders>
                                    <w:top w:val="single" w:sz="4" w:space="0" w:color="auto"/>
                                    <w:left w:val="single" w:sz="4" w:space="0" w:color="auto"/>
                                    <w:bottom w:val="single" w:sz="4" w:space="0" w:color="auto"/>
                                    <w:right w:val="single" w:sz="4" w:space="0" w:color="auto"/>
                                  </w:tcBorders>
                                  <w:vAlign w:val="center"/>
                                </w:tcPr>
                                <w:p w14:paraId="716F489A"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rPr>
                                    <w:t>-</w:t>
                                  </w:r>
                                  <w:r>
                                    <w:rPr>
                                      <w:rFonts w:ascii="標楷體" w:eastAsia="標楷體" w:hAnsi="標楷體"/>
                                    </w:rPr>
                                    <w:t xml:space="preserve"> </w:t>
                                  </w:r>
                                  <w:r w:rsidRPr="00917F50">
                                    <w:rPr>
                                      <w:rFonts w:ascii="標楷體" w:eastAsia="標楷體" w:hAnsi="標楷體" w:hint="eastAsia"/>
                                    </w:rPr>
                                    <w:t>608</w:t>
                                  </w:r>
                                  <w:r w:rsidRPr="00917F50">
                                    <w:rPr>
                                      <w:rFonts w:ascii="標楷體" w:eastAsia="標楷體" w:hAnsi="標楷體"/>
                                    </w:rPr>
                                    <w:t>,</w:t>
                                  </w:r>
                                  <w:r w:rsidRPr="00917F50">
                                    <w:rPr>
                                      <w:rFonts w:ascii="標楷體" w:eastAsia="標楷體" w:hAnsi="標楷體" w:hint="eastAsia"/>
                                    </w:rPr>
                                    <w:t>9</w:t>
                                  </w:r>
                                  <w:r w:rsidRPr="00917F50">
                                    <w:rPr>
                                      <w:rFonts w:ascii="標楷體" w:eastAsia="標楷體" w:hAnsi="標楷體"/>
                                    </w:rPr>
                                    <w:t>63</w:t>
                                  </w:r>
                                </w:p>
                              </w:tc>
                            </w:tr>
                            <w:tr w:rsidR="0050059F" w:rsidRPr="007B608E" w14:paraId="20DF518A" w14:textId="77777777" w:rsidTr="00824CD6">
                              <w:trPr>
                                <w:trHeight w:val="284"/>
                              </w:trPr>
                              <w:tc>
                                <w:tcPr>
                                  <w:tcW w:w="1134" w:type="dxa"/>
                                  <w:tcBorders>
                                    <w:left w:val="single" w:sz="4" w:space="0" w:color="auto"/>
                                    <w:right w:val="single" w:sz="4" w:space="0" w:color="auto"/>
                                  </w:tcBorders>
                                  <w:vAlign w:val="center"/>
                                </w:tcPr>
                                <w:p w14:paraId="4273D223" w14:textId="77777777" w:rsidR="0050059F" w:rsidRPr="00917F50" w:rsidRDefault="0050059F" w:rsidP="00824CD6">
                                  <w:pPr>
                                    <w:spacing w:line="230" w:lineRule="exact"/>
                                    <w:rPr>
                                      <w:rFonts w:ascii="標楷體" w:eastAsia="標楷體" w:hAnsi="標楷體"/>
                                      <w:spacing w:val="-10"/>
                                    </w:rPr>
                                  </w:pPr>
                                  <w:r w:rsidRPr="00917F50">
                                    <w:rPr>
                                      <w:rFonts w:ascii="標楷體" w:eastAsia="標楷體" w:hAnsi="標楷體" w:hint="eastAsia"/>
                                      <w:spacing w:val="-10"/>
                                    </w:rPr>
                                    <w:t>忠孝新生</w:t>
                                  </w:r>
                                </w:p>
                              </w:tc>
                              <w:tc>
                                <w:tcPr>
                                  <w:tcW w:w="868" w:type="dxa"/>
                                  <w:tcBorders>
                                    <w:left w:val="single" w:sz="4" w:space="0" w:color="auto"/>
                                    <w:right w:val="single" w:sz="4" w:space="0" w:color="auto"/>
                                  </w:tcBorders>
                                  <w:vAlign w:val="center"/>
                                </w:tcPr>
                                <w:p w14:paraId="70516EC4"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新生南路1段</w:t>
                                  </w:r>
                                </w:p>
                              </w:tc>
                              <w:tc>
                                <w:tcPr>
                                  <w:tcW w:w="1372" w:type="dxa"/>
                                  <w:tcBorders>
                                    <w:top w:val="single" w:sz="4" w:space="0" w:color="auto"/>
                                    <w:left w:val="single" w:sz="4" w:space="0" w:color="auto"/>
                                    <w:bottom w:val="single" w:sz="4" w:space="0" w:color="auto"/>
                                    <w:right w:val="single" w:sz="4" w:space="0" w:color="auto"/>
                                  </w:tcBorders>
                                  <w:vAlign w:val="center"/>
                                </w:tcPr>
                                <w:p w14:paraId="7F133E2D"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109.12.8至113.1.</w:t>
                                  </w:r>
                                  <w:r w:rsidRPr="00917F50">
                                    <w:rPr>
                                      <w:rFonts w:ascii="標楷體" w:eastAsia="標楷體" w:hAnsi="標楷體"/>
                                    </w:rPr>
                                    <w:t>6</w:t>
                                  </w:r>
                                </w:p>
                              </w:tc>
                              <w:tc>
                                <w:tcPr>
                                  <w:tcW w:w="1302" w:type="dxa"/>
                                  <w:tcBorders>
                                    <w:top w:val="single" w:sz="4" w:space="0" w:color="auto"/>
                                    <w:left w:val="single" w:sz="4" w:space="0" w:color="auto"/>
                                    <w:bottom w:val="single" w:sz="4" w:space="0" w:color="auto"/>
                                    <w:right w:val="single" w:sz="4" w:space="0" w:color="auto"/>
                                  </w:tcBorders>
                                  <w:vAlign w:val="center"/>
                                </w:tcPr>
                                <w:p w14:paraId="2045309F" w14:textId="77777777" w:rsidR="0050059F" w:rsidRPr="00917F50" w:rsidRDefault="0050059F" w:rsidP="00C254C1">
                                  <w:pPr>
                                    <w:spacing w:line="230" w:lineRule="exact"/>
                                    <w:jc w:val="center"/>
                                    <w:rPr>
                                      <w:rFonts w:ascii="標楷體" w:eastAsia="標楷體" w:hAnsi="標楷體"/>
                                    </w:rPr>
                                  </w:pPr>
                                  <w:r w:rsidRPr="00917F50">
                                    <w:rPr>
                                      <w:rFonts w:ascii="標楷體" w:eastAsia="標楷體" w:hAnsi="標楷體" w:hint="eastAsia"/>
                                    </w:rPr>
                                    <w:t>1</w:t>
                                  </w:r>
                                  <w:r w:rsidRPr="00917F50">
                                    <w:rPr>
                                      <w:rFonts w:ascii="標楷體" w:eastAsia="標楷體" w:hAnsi="標楷體"/>
                                    </w:rPr>
                                    <w:t>12.10.18</w:t>
                                  </w:r>
                                </w:p>
                              </w:tc>
                              <w:tc>
                                <w:tcPr>
                                  <w:tcW w:w="1231" w:type="dxa"/>
                                  <w:tcBorders>
                                    <w:top w:val="single" w:sz="4" w:space="0" w:color="auto"/>
                                    <w:left w:val="single" w:sz="4" w:space="0" w:color="auto"/>
                                    <w:bottom w:val="single" w:sz="4" w:space="0" w:color="auto"/>
                                    <w:right w:val="single" w:sz="4" w:space="0" w:color="auto"/>
                                  </w:tcBorders>
                                  <w:vAlign w:val="center"/>
                                </w:tcPr>
                                <w:p w14:paraId="1967095F"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w:t>
                                  </w:r>
                                  <w:r>
                                    <w:rPr>
                                      <w:rFonts w:ascii="標楷體" w:eastAsia="標楷體" w:hAnsi="標楷體"/>
                                    </w:rPr>
                                    <w:t xml:space="preserve"> </w:t>
                                  </w:r>
                                  <w:r w:rsidRPr="00917F50">
                                    <w:rPr>
                                      <w:rFonts w:ascii="標楷體" w:eastAsia="標楷體" w:hAnsi="標楷體" w:hint="eastAsia"/>
                                    </w:rPr>
                                    <w:t>31</w:t>
                                  </w:r>
                                  <w:r w:rsidRPr="00917F50">
                                    <w:rPr>
                                      <w:rFonts w:ascii="標楷體" w:eastAsia="標楷體" w:hAnsi="標楷體"/>
                                    </w:rPr>
                                    <w:t>,</w:t>
                                  </w:r>
                                  <w:r w:rsidRPr="00917F50">
                                    <w:rPr>
                                      <w:rFonts w:ascii="標楷體" w:eastAsia="標楷體" w:hAnsi="標楷體" w:hint="eastAsia"/>
                                    </w:rPr>
                                    <w:t>825</w:t>
                                  </w:r>
                                </w:p>
                              </w:tc>
                            </w:tr>
                            <w:tr w:rsidR="0050059F" w:rsidRPr="007B608E" w14:paraId="0DFFBFE1" w14:textId="77777777" w:rsidTr="00824CD6">
                              <w:trPr>
                                <w:trHeight w:val="284"/>
                              </w:trPr>
                              <w:tc>
                                <w:tcPr>
                                  <w:tcW w:w="1134" w:type="dxa"/>
                                  <w:tcBorders>
                                    <w:left w:val="single" w:sz="4" w:space="0" w:color="auto"/>
                                    <w:right w:val="single" w:sz="4" w:space="0" w:color="auto"/>
                                  </w:tcBorders>
                                  <w:vAlign w:val="center"/>
                                </w:tcPr>
                                <w:p w14:paraId="3247CE4F" w14:textId="77777777" w:rsidR="0050059F" w:rsidRPr="00917F50" w:rsidRDefault="0050059F" w:rsidP="00824CD6">
                                  <w:pPr>
                                    <w:spacing w:line="230" w:lineRule="exact"/>
                                    <w:rPr>
                                      <w:rFonts w:ascii="標楷體" w:eastAsia="標楷體" w:hAnsi="標楷體"/>
                                      <w:spacing w:val="-10"/>
                                    </w:rPr>
                                  </w:pPr>
                                  <w:r w:rsidRPr="00917F50">
                                    <w:rPr>
                                      <w:rFonts w:ascii="標楷體" w:eastAsia="標楷體" w:hAnsi="標楷體" w:hint="eastAsia"/>
                                      <w:spacing w:val="-10"/>
                                    </w:rPr>
                                    <w:t>景美</w:t>
                                  </w:r>
                                </w:p>
                              </w:tc>
                              <w:tc>
                                <w:tcPr>
                                  <w:tcW w:w="868" w:type="dxa"/>
                                  <w:tcBorders>
                                    <w:left w:val="single" w:sz="4" w:space="0" w:color="auto"/>
                                    <w:right w:val="single" w:sz="4" w:space="0" w:color="auto"/>
                                  </w:tcBorders>
                                  <w:vAlign w:val="center"/>
                                </w:tcPr>
                                <w:p w14:paraId="07C288DD"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景中街1號</w:t>
                                  </w:r>
                                </w:p>
                              </w:tc>
                              <w:tc>
                                <w:tcPr>
                                  <w:tcW w:w="1372" w:type="dxa"/>
                                  <w:tcBorders>
                                    <w:top w:val="single" w:sz="4" w:space="0" w:color="auto"/>
                                    <w:left w:val="single" w:sz="4" w:space="0" w:color="auto"/>
                                    <w:bottom w:val="single" w:sz="4" w:space="0" w:color="auto"/>
                                    <w:right w:val="single" w:sz="4" w:space="0" w:color="auto"/>
                                  </w:tcBorders>
                                  <w:vAlign w:val="center"/>
                                </w:tcPr>
                                <w:p w14:paraId="4D0949CC"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112.1.11至113.1.</w:t>
                                  </w:r>
                                  <w:r w:rsidRPr="00917F50">
                                    <w:rPr>
                                      <w:rFonts w:ascii="標楷體" w:eastAsia="標楷體" w:hAnsi="標楷體"/>
                                    </w:rPr>
                                    <w:t>10</w:t>
                                  </w:r>
                                </w:p>
                              </w:tc>
                              <w:tc>
                                <w:tcPr>
                                  <w:tcW w:w="1302" w:type="dxa"/>
                                  <w:tcBorders>
                                    <w:top w:val="single" w:sz="4" w:space="0" w:color="auto"/>
                                    <w:left w:val="single" w:sz="4" w:space="0" w:color="auto"/>
                                    <w:bottom w:val="single" w:sz="4" w:space="0" w:color="auto"/>
                                    <w:right w:val="single" w:sz="4" w:space="0" w:color="auto"/>
                                  </w:tcBorders>
                                  <w:vAlign w:val="center"/>
                                </w:tcPr>
                                <w:p w14:paraId="7860E3D5" w14:textId="77777777" w:rsidR="0050059F" w:rsidRPr="00917F50" w:rsidRDefault="0050059F" w:rsidP="00C254C1">
                                  <w:pPr>
                                    <w:spacing w:line="230" w:lineRule="exact"/>
                                    <w:jc w:val="center"/>
                                    <w:rPr>
                                      <w:rFonts w:ascii="標楷體" w:eastAsia="標楷體" w:hAnsi="標楷體"/>
                                    </w:rPr>
                                  </w:pPr>
                                  <w:r w:rsidRPr="00917F50">
                                    <w:rPr>
                                      <w:rFonts w:ascii="標楷體" w:eastAsia="標楷體" w:hAnsi="標楷體" w:hint="eastAsia"/>
                                    </w:rPr>
                                    <w:t>1</w:t>
                                  </w:r>
                                  <w:r w:rsidRPr="00917F50">
                                    <w:rPr>
                                      <w:rFonts w:ascii="標楷體" w:eastAsia="標楷體" w:hAnsi="標楷體"/>
                                    </w:rPr>
                                    <w:t>12.10.16</w:t>
                                  </w:r>
                                </w:p>
                              </w:tc>
                              <w:tc>
                                <w:tcPr>
                                  <w:tcW w:w="1231" w:type="dxa"/>
                                  <w:tcBorders>
                                    <w:top w:val="single" w:sz="4" w:space="0" w:color="auto"/>
                                    <w:left w:val="single" w:sz="4" w:space="0" w:color="auto"/>
                                    <w:bottom w:val="single" w:sz="4" w:space="0" w:color="auto"/>
                                    <w:right w:val="single" w:sz="4" w:space="0" w:color="auto"/>
                                  </w:tcBorders>
                                  <w:vAlign w:val="center"/>
                                </w:tcPr>
                                <w:p w14:paraId="38116295"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w:t>
                                  </w:r>
                                  <w:r>
                                    <w:rPr>
                                      <w:rFonts w:ascii="標楷體" w:eastAsia="標楷體" w:hAnsi="標楷體"/>
                                    </w:rPr>
                                    <w:t xml:space="preserve"> </w:t>
                                  </w:r>
                                  <w:r w:rsidRPr="00917F50">
                                    <w:rPr>
                                      <w:rFonts w:ascii="標楷體" w:eastAsia="標楷體" w:hAnsi="標楷體" w:hint="eastAsia"/>
                                    </w:rPr>
                                    <w:t>4</w:t>
                                  </w:r>
                                  <w:r w:rsidRPr="00917F50">
                                    <w:rPr>
                                      <w:rFonts w:ascii="標楷體" w:eastAsia="標楷體" w:hAnsi="標楷體"/>
                                    </w:rPr>
                                    <w:t>50,792</w:t>
                                  </w:r>
                                </w:p>
                              </w:tc>
                            </w:tr>
                            <w:tr w:rsidR="0050059F" w:rsidRPr="007B608E" w14:paraId="7360DEA7" w14:textId="77777777" w:rsidTr="00824CD6">
                              <w:trPr>
                                <w:trHeight w:val="284"/>
                              </w:trPr>
                              <w:tc>
                                <w:tcPr>
                                  <w:tcW w:w="1134" w:type="dxa"/>
                                  <w:tcBorders>
                                    <w:left w:val="single" w:sz="4" w:space="0" w:color="auto"/>
                                    <w:right w:val="single" w:sz="4" w:space="0" w:color="auto"/>
                                  </w:tcBorders>
                                  <w:vAlign w:val="center"/>
                                </w:tcPr>
                                <w:p w14:paraId="2770D4BC" w14:textId="77777777" w:rsidR="0050059F" w:rsidRPr="00917F50" w:rsidRDefault="0050059F" w:rsidP="00824CD6">
                                  <w:pPr>
                                    <w:spacing w:line="230" w:lineRule="exact"/>
                                    <w:rPr>
                                      <w:rFonts w:ascii="標楷體" w:eastAsia="標楷體" w:hAnsi="標楷體"/>
                                      <w:spacing w:val="-10"/>
                                    </w:rPr>
                                  </w:pPr>
                                  <w:r w:rsidRPr="00917F50">
                                    <w:rPr>
                                      <w:rFonts w:ascii="標楷體" w:eastAsia="標楷體" w:hAnsi="標楷體" w:hint="eastAsia"/>
                                      <w:spacing w:val="-10"/>
                                    </w:rPr>
                                    <w:t>辛亥</w:t>
                                  </w:r>
                                </w:p>
                              </w:tc>
                              <w:tc>
                                <w:tcPr>
                                  <w:tcW w:w="868" w:type="dxa"/>
                                  <w:tcBorders>
                                    <w:left w:val="single" w:sz="4" w:space="0" w:color="auto"/>
                                    <w:right w:val="single" w:sz="4" w:space="0" w:color="auto"/>
                                  </w:tcBorders>
                                  <w:vAlign w:val="center"/>
                                </w:tcPr>
                                <w:p w14:paraId="2E9DFA67"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辛亥路4段</w:t>
                                  </w:r>
                                </w:p>
                              </w:tc>
                              <w:tc>
                                <w:tcPr>
                                  <w:tcW w:w="1372" w:type="dxa"/>
                                  <w:tcBorders>
                                    <w:top w:val="single" w:sz="4" w:space="0" w:color="auto"/>
                                    <w:left w:val="single" w:sz="4" w:space="0" w:color="auto"/>
                                    <w:bottom w:val="single" w:sz="4" w:space="0" w:color="auto"/>
                                    <w:right w:val="single" w:sz="4" w:space="0" w:color="auto"/>
                                  </w:tcBorders>
                                  <w:vAlign w:val="center"/>
                                </w:tcPr>
                                <w:p w14:paraId="7D9C0D8B"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111年5月至113.1.</w:t>
                                  </w:r>
                                  <w:r w:rsidRPr="00917F50">
                                    <w:rPr>
                                      <w:rFonts w:ascii="標楷體" w:eastAsia="標楷體" w:hAnsi="標楷體"/>
                                    </w:rPr>
                                    <w:t>1</w:t>
                                  </w:r>
                                  <w:r w:rsidRPr="00917F50">
                                    <w:rPr>
                                      <w:rFonts w:ascii="標楷體" w:eastAsia="標楷體" w:hAnsi="標楷體" w:hint="eastAsia"/>
                                    </w:rPr>
                                    <w:t>6</w:t>
                                  </w:r>
                                </w:p>
                              </w:tc>
                              <w:tc>
                                <w:tcPr>
                                  <w:tcW w:w="1302" w:type="dxa"/>
                                  <w:tcBorders>
                                    <w:top w:val="single" w:sz="4" w:space="0" w:color="auto"/>
                                    <w:left w:val="single" w:sz="4" w:space="0" w:color="auto"/>
                                    <w:bottom w:val="single" w:sz="4" w:space="0" w:color="auto"/>
                                    <w:right w:val="single" w:sz="4" w:space="0" w:color="auto"/>
                                  </w:tcBorders>
                                  <w:vAlign w:val="center"/>
                                </w:tcPr>
                                <w:p w14:paraId="66C07C50" w14:textId="77777777" w:rsidR="0050059F" w:rsidRPr="00917F50" w:rsidRDefault="0050059F" w:rsidP="00C254C1">
                                  <w:pPr>
                                    <w:spacing w:line="230" w:lineRule="exact"/>
                                    <w:jc w:val="center"/>
                                    <w:rPr>
                                      <w:rFonts w:ascii="標楷體" w:eastAsia="標楷體" w:hAnsi="標楷體"/>
                                    </w:rPr>
                                  </w:pPr>
                                  <w:r w:rsidRPr="00917F50">
                                    <w:rPr>
                                      <w:rFonts w:ascii="標楷體" w:eastAsia="標楷體" w:hAnsi="標楷體" w:hint="eastAsia"/>
                                    </w:rPr>
                                    <w:t>1</w:t>
                                  </w:r>
                                  <w:r w:rsidRPr="00917F50">
                                    <w:rPr>
                                      <w:rFonts w:ascii="標楷體" w:eastAsia="標楷體" w:hAnsi="標楷體"/>
                                    </w:rPr>
                                    <w:t>12.11.20</w:t>
                                  </w:r>
                                </w:p>
                              </w:tc>
                              <w:tc>
                                <w:tcPr>
                                  <w:tcW w:w="1231" w:type="dxa"/>
                                  <w:tcBorders>
                                    <w:top w:val="single" w:sz="4" w:space="0" w:color="auto"/>
                                    <w:left w:val="single" w:sz="4" w:space="0" w:color="auto"/>
                                    <w:bottom w:val="single" w:sz="4" w:space="0" w:color="auto"/>
                                    <w:right w:val="single" w:sz="4" w:space="0" w:color="auto"/>
                                  </w:tcBorders>
                                  <w:vAlign w:val="center"/>
                                </w:tcPr>
                                <w:p w14:paraId="016DFBC8"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w:t>
                                  </w:r>
                                  <w:r>
                                    <w:rPr>
                                      <w:rFonts w:ascii="標楷體" w:eastAsia="標楷體" w:hAnsi="標楷體"/>
                                    </w:rPr>
                                    <w:t xml:space="preserve"> </w:t>
                                  </w:r>
                                  <w:r w:rsidRPr="00917F50">
                                    <w:rPr>
                                      <w:rFonts w:ascii="標楷體" w:eastAsia="標楷體" w:hAnsi="標楷體" w:hint="eastAsia"/>
                                    </w:rPr>
                                    <w:t>2</w:t>
                                  </w:r>
                                  <w:r w:rsidRPr="00917F50">
                                    <w:rPr>
                                      <w:rFonts w:ascii="標楷體" w:eastAsia="標楷體" w:hAnsi="標楷體"/>
                                    </w:rPr>
                                    <w:t>0,880</w:t>
                                  </w:r>
                                </w:p>
                              </w:tc>
                            </w:tr>
                            <w:tr w:rsidR="0050059F" w:rsidRPr="007B608E" w14:paraId="2F2FBC05" w14:textId="77777777" w:rsidTr="00824CD6">
                              <w:trPr>
                                <w:trHeight w:val="284"/>
                              </w:trPr>
                              <w:tc>
                                <w:tcPr>
                                  <w:tcW w:w="1134" w:type="dxa"/>
                                  <w:vMerge w:val="restart"/>
                                  <w:tcBorders>
                                    <w:left w:val="single" w:sz="4" w:space="0" w:color="auto"/>
                                    <w:right w:val="single" w:sz="4" w:space="0" w:color="auto"/>
                                  </w:tcBorders>
                                  <w:vAlign w:val="center"/>
                                </w:tcPr>
                                <w:p w14:paraId="664A92F2" w14:textId="77777777" w:rsidR="0050059F" w:rsidRPr="00917F50" w:rsidRDefault="0050059F" w:rsidP="00824CD6">
                                  <w:pPr>
                                    <w:spacing w:line="230" w:lineRule="exact"/>
                                    <w:rPr>
                                      <w:rFonts w:ascii="標楷體" w:eastAsia="標楷體" w:hAnsi="標楷體"/>
                                      <w:spacing w:val="-10"/>
                                    </w:rPr>
                                  </w:pPr>
                                  <w:r w:rsidRPr="00917F50">
                                    <w:rPr>
                                      <w:rFonts w:ascii="標楷體" w:eastAsia="標楷體" w:hAnsi="標楷體" w:hint="eastAsia"/>
                                      <w:spacing w:val="-10"/>
                                    </w:rPr>
                                    <w:t>蘆洲</w:t>
                                  </w:r>
                                </w:p>
                              </w:tc>
                              <w:tc>
                                <w:tcPr>
                                  <w:tcW w:w="868" w:type="dxa"/>
                                  <w:tcBorders>
                                    <w:left w:val="single" w:sz="4" w:space="0" w:color="auto"/>
                                    <w:right w:val="single" w:sz="4" w:space="0" w:color="auto"/>
                                  </w:tcBorders>
                                  <w:vAlign w:val="center"/>
                                </w:tcPr>
                                <w:p w14:paraId="55F4310B"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三民路376號</w:t>
                                  </w:r>
                                </w:p>
                              </w:tc>
                              <w:tc>
                                <w:tcPr>
                                  <w:tcW w:w="1372" w:type="dxa"/>
                                  <w:tcBorders>
                                    <w:top w:val="single" w:sz="4" w:space="0" w:color="auto"/>
                                    <w:left w:val="single" w:sz="4" w:space="0" w:color="auto"/>
                                    <w:bottom w:val="single" w:sz="4" w:space="0" w:color="auto"/>
                                    <w:right w:val="single" w:sz="4" w:space="0" w:color="auto"/>
                                  </w:tcBorders>
                                  <w:vAlign w:val="center"/>
                                </w:tcPr>
                                <w:p w14:paraId="140A58C0"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108年1月至113.1.</w:t>
                                  </w:r>
                                  <w:r w:rsidRPr="00917F50">
                                    <w:rPr>
                                      <w:rFonts w:ascii="標楷體" w:eastAsia="標楷體" w:hAnsi="標楷體"/>
                                    </w:rPr>
                                    <w:t>1</w:t>
                                  </w:r>
                                  <w:r w:rsidRPr="00917F50">
                                    <w:rPr>
                                      <w:rFonts w:ascii="標楷體" w:eastAsia="標楷體" w:hAnsi="標楷體" w:hint="eastAsia"/>
                                    </w:rPr>
                                    <w:t>8</w:t>
                                  </w:r>
                                </w:p>
                              </w:tc>
                              <w:tc>
                                <w:tcPr>
                                  <w:tcW w:w="1302" w:type="dxa"/>
                                  <w:vMerge w:val="restart"/>
                                  <w:tcBorders>
                                    <w:top w:val="single" w:sz="4" w:space="0" w:color="auto"/>
                                    <w:left w:val="single" w:sz="4" w:space="0" w:color="auto"/>
                                    <w:right w:val="single" w:sz="4" w:space="0" w:color="auto"/>
                                  </w:tcBorders>
                                  <w:vAlign w:val="center"/>
                                </w:tcPr>
                                <w:p w14:paraId="6BFB8AD9" w14:textId="77777777" w:rsidR="0050059F" w:rsidRPr="00917F50" w:rsidRDefault="0050059F" w:rsidP="00C254C1">
                                  <w:pPr>
                                    <w:spacing w:line="230" w:lineRule="exact"/>
                                    <w:jc w:val="center"/>
                                    <w:rPr>
                                      <w:rFonts w:ascii="標楷體" w:eastAsia="標楷體" w:hAnsi="標楷體"/>
                                    </w:rPr>
                                  </w:pPr>
                                  <w:r w:rsidRPr="00917F50">
                                    <w:rPr>
                                      <w:rFonts w:ascii="標楷體" w:eastAsia="標楷體" w:hAnsi="標楷體" w:hint="eastAsia"/>
                                    </w:rPr>
                                    <w:t>1</w:t>
                                  </w:r>
                                  <w:r w:rsidRPr="00917F50">
                                    <w:rPr>
                                      <w:rFonts w:ascii="標楷體" w:eastAsia="標楷體" w:hAnsi="標楷體"/>
                                    </w:rPr>
                                    <w:t>12.11.21</w:t>
                                  </w:r>
                                </w:p>
                              </w:tc>
                              <w:tc>
                                <w:tcPr>
                                  <w:tcW w:w="1231" w:type="dxa"/>
                                  <w:tcBorders>
                                    <w:top w:val="single" w:sz="4" w:space="0" w:color="auto"/>
                                    <w:left w:val="single" w:sz="4" w:space="0" w:color="auto"/>
                                    <w:bottom w:val="single" w:sz="4" w:space="0" w:color="auto"/>
                                    <w:right w:val="single" w:sz="4" w:space="0" w:color="auto"/>
                                  </w:tcBorders>
                                  <w:vAlign w:val="center"/>
                                </w:tcPr>
                                <w:p w14:paraId="2C0AA384"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1</w:t>
                                  </w:r>
                                  <w:r w:rsidRPr="00917F50">
                                    <w:rPr>
                                      <w:rFonts w:ascii="標楷體" w:eastAsia="標楷體" w:hAnsi="標楷體"/>
                                    </w:rPr>
                                    <w:t>6</w:t>
                                  </w:r>
                                  <w:r w:rsidRPr="00917F50">
                                    <w:rPr>
                                      <w:rFonts w:ascii="標楷體" w:eastAsia="標楷體" w:hAnsi="標楷體" w:hint="eastAsia"/>
                                    </w:rPr>
                                    <w:t>6</w:t>
                                  </w:r>
                                  <w:r w:rsidRPr="00917F50">
                                    <w:rPr>
                                      <w:rFonts w:ascii="標楷體" w:eastAsia="標楷體" w:hAnsi="標楷體"/>
                                    </w:rPr>
                                    <w:t>,589</w:t>
                                  </w:r>
                                </w:p>
                              </w:tc>
                            </w:tr>
                            <w:tr w:rsidR="0050059F" w:rsidRPr="007B608E" w14:paraId="0C3414F8" w14:textId="77777777" w:rsidTr="00824CD6">
                              <w:trPr>
                                <w:trHeight w:val="284"/>
                              </w:trPr>
                              <w:tc>
                                <w:tcPr>
                                  <w:tcW w:w="1134" w:type="dxa"/>
                                  <w:vMerge/>
                                  <w:tcBorders>
                                    <w:left w:val="single" w:sz="4" w:space="0" w:color="auto"/>
                                    <w:right w:val="single" w:sz="4" w:space="0" w:color="auto"/>
                                  </w:tcBorders>
                                  <w:vAlign w:val="center"/>
                                </w:tcPr>
                                <w:p w14:paraId="554CE714" w14:textId="77777777" w:rsidR="0050059F" w:rsidRPr="00917F50" w:rsidRDefault="0050059F" w:rsidP="00824CD6">
                                  <w:pPr>
                                    <w:spacing w:line="230" w:lineRule="exact"/>
                                    <w:rPr>
                                      <w:rFonts w:ascii="標楷體" w:eastAsia="標楷體" w:hAnsi="標楷體"/>
                                    </w:rPr>
                                  </w:pPr>
                                </w:p>
                              </w:tc>
                              <w:tc>
                                <w:tcPr>
                                  <w:tcW w:w="868" w:type="dxa"/>
                                  <w:tcBorders>
                                    <w:left w:val="single" w:sz="4" w:space="0" w:color="auto"/>
                                    <w:right w:val="single" w:sz="4" w:space="0" w:color="auto"/>
                                  </w:tcBorders>
                                  <w:vAlign w:val="center"/>
                                </w:tcPr>
                                <w:p w14:paraId="0249CD40"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三民路368號</w:t>
                                  </w:r>
                                </w:p>
                              </w:tc>
                              <w:tc>
                                <w:tcPr>
                                  <w:tcW w:w="1372" w:type="dxa"/>
                                  <w:tcBorders>
                                    <w:top w:val="single" w:sz="4" w:space="0" w:color="auto"/>
                                    <w:left w:val="single" w:sz="4" w:space="0" w:color="auto"/>
                                    <w:bottom w:val="single" w:sz="4" w:space="0" w:color="auto"/>
                                    <w:right w:val="single" w:sz="4" w:space="0" w:color="auto"/>
                                  </w:tcBorders>
                                  <w:vAlign w:val="center"/>
                                </w:tcPr>
                                <w:p w14:paraId="6453C1B3"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108年1月至</w:t>
                                  </w:r>
                                </w:p>
                                <w:p w14:paraId="7C3AEBBC"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113.1.</w:t>
                                  </w:r>
                                  <w:r w:rsidRPr="00917F50">
                                    <w:rPr>
                                      <w:rFonts w:ascii="標楷體" w:eastAsia="標楷體" w:hAnsi="標楷體"/>
                                    </w:rPr>
                                    <w:t>1</w:t>
                                  </w:r>
                                  <w:r w:rsidRPr="00917F50">
                                    <w:rPr>
                                      <w:rFonts w:ascii="標楷體" w:eastAsia="標楷體" w:hAnsi="標楷體" w:hint="eastAsia"/>
                                    </w:rPr>
                                    <w:t>8</w:t>
                                  </w:r>
                                </w:p>
                              </w:tc>
                              <w:tc>
                                <w:tcPr>
                                  <w:tcW w:w="1302" w:type="dxa"/>
                                  <w:vMerge/>
                                  <w:tcBorders>
                                    <w:left w:val="single" w:sz="4" w:space="0" w:color="auto"/>
                                    <w:right w:val="single" w:sz="4" w:space="0" w:color="auto"/>
                                  </w:tcBorders>
                                  <w:vAlign w:val="center"/>
                                </w:tcPr>
                                <w:p w14:paraId="7B7277DD" w14:textId="77777777" w:rsidR="0050059F" w:rsidRPr="00917F50" w:rsidRDefault="0050059F" w:rsidP="00824CD6">
                                  <w:pPr>
                                    <w:spacing w:line="230" w:lineRule="exact"/>
                                    <w:rPr>
                                      <w:rFonts w:ascii="標楷體" w:eastAsia="標楷體" w:hAnsi="標楷體"/>
                                    </w:rPr>
                                  </w:pPr>
                                </w:p>
                              </w:tc>
                              <w:tc>
                                <w:tcPr>
                                  <w:tcW w:w="1231" w:type="dxa"/>
                                  <w:tcBorders>
                                    <w:top w:val="single" w:sz="4" w:space="0" w:color="auto"/>
                                    <w:left w:val="single" w:sz="4" w:space="0" w:color="auto"/>
                                    <w:bottom w:val="single" w:sz="4" w:space="0" w:color="auto"/>
                                    <w:right w:val="single" w:sz="4" w:space="0" w:color="auto"/>
                                  </w:tcBorders>
                                  <w:vAlign w:val="center"/>
                                </w:tcPr>
                                <w:p w14:paraId="716D6121"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1</w:t>
                                  </w:r>
                                  <w:r w:rsidRPr="00917F50">
                                    <w:rPr>
                                      <w:rFonts w:ascii="標楷體" w:eastAsia="標楷體" w:hAnsi="標楷體"/>
                                    </w:rPr>
                                    <w:t>93,051</w:t>
                                  </w:r>
                                </w:p>
                              </w:tc>
                            </w:tr>
                            <w:tr w:rsidR="0050059F" w:rsidRPr="007B608E" w14:paraId="55C5C09E" w14:textId="77777777" w:rsidTr="00824CD6">
                              <w:trPr>
                                <w:trHeight w:val="284"/>
                              </w:trPr>
                              <w:tc>
                                <w:tcPr>
                                  <w:tcW w:w="1134" w:type="dxa"/>
                                  <w:vMerge/>
                                  <w:tcBorders>
                                    <w:left w:val="single" w:sz="4" w:space="0" w:color="auto"/>
                                    <w:right w:val="single" w:sz="4" w:space="0" w:color="auto"/>
                                  </w:tcBorders>
                                  <w:vAlign w:val="center"/>
                                </w:tcPr>
                                <w:p w14:paraId="451529D0" w14:textId="77777777" w:rsidR="0050059F" w:rsidRPr="00917F50" w:rsidRDefault="0050059F" w:rsidP="00824CD6">
                                  <w:pPr>
                                    <w:spacing w:line="230" w:lineRule="exact"/>
                                    <w:rPr>
                                      <w:rFonts w:ascii="標楷體" w:eastAsia="標楷體" w:hAnsi="標楷體"/>
                                    </w:rPr>
                                  </w:pPr>
                                </w:p>
                              </w:tc>
                              <w:tc>
                                <w:tcPr>
                                  <w:tcW w:w="868" w:type="dxa"/>
                                  <w:tcBorders>
                                    <w:left w:val="single" w:sz="4" w:space="0" w:color="auto"/>
                                    <w:right w:val="single" w:sz="4" w:space="0" w:color="auto"/>
                                  </w:tcBorders>
                                  <w:vAlign w:val="center"/>
                                </w:tcPr>
                                <w:p w14:paraId="57F1E17C"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三民路368號</w:t>
                                  </w:r>
                                </w:p>
                              </w:tc>
                              <w:tc>
                                <w:tcPr>
                                  <w:tcW w:w="1372" w:type="dxa"/>
                                  <w:tcBorders>
                                    <w:top w:val="single" w:sz="4" w:space="0" w:color="auto"/>
                                    <w:left w:val="single" w:sz="4" w:space="0" w:color="auto"/>
                                    <w:bottom w:val="single" w:sz="4" w:space="0" w:color="auto"/>
                                    <w:right w:val="single" w:sz="4" w:space="0" w:color="auto"/>
                                  </w:tcBorders>
                                  <w:vAlign w:val="center"/>
                                </w:tcPr>
                                <w:p w14:paraId="7564327A"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108年1月至113.1.</w:t>
                                  </w:r>
                                  <w:r w:rsidRPr="00917F50">
                                    <w:rPr>
                                      <w:rFonts w:ascii="標楷體" w:eastAsia="標楷體" w:hAnsi="標楷體"/>
                                    </w:rPr>
                                    <w:t>1</w:t>
                                  </w:r>
                                  <w:r w:rsidRPr="00917F50">
                                    <w:rPr>
                                      <w:rFonts w:ascii="標楷體" w:eastAsia="標楷體" w:hAnsi="標楷體" w:hint="eastAsia"/>
                                    </w:rPr>
                                    <w:t>8</w:t>
                                  </w:r>
                                </w:p>
                              </w:tc>
                              <w:tc>
                                <w:tcPr>
                                  <w:tcW w:w="1302" w:type="dxa"/>
                                  <w:vMerge/>
                                  <w:tcBorders>
                                    <w:left w:val="single" w:sz="4" w:space="0" w:color="auto"/>
                                    <w:right w:val="single" w:sz="4" w:space="0" w:color="auto"/>
                                  </w:tcBorders>
                                  <w:vAlign w:val="center"/>
                                </w:tcPr>
                                <w:p w14:paraId="1FF169C2" w14:textId="77777777" w:rsidR="0050059F" w:rsidRPr="00917F50" w:rsidRDefault="0050059F" w:rsidP="00824CD6">
                                  <w:pPr>
                                    <w:spacing w:line="230" w:lineRule="exact"/>
                                    <w:rPr>
                                      <w:rFonts w:ascii="標楷體" w:eastAsia="標楷體" w:hAnsi="標楷體"/>
                                    </w:rPr>
                                  </w:pPr>
                                </w:p>
                              </w:tc>
                              <w:tc>
                                <w:tcPr>
                                  <w:tcW w:w="1231" w:type="dxa"/>
                                  <w:tcBorders>
                                    <w:top w:val="single" w:sz="4" w:space="0" w:color="auto"/>
                                    <w:left w:val="single" w:sz="4" w:space="0" w:color="auto"/>
                                    <w:bottom w:val="single" w:sz="4" w:space="0" w:color="auto"/>
                                    <w:right w:val="single" w:sz="4" w:space="0" w:color="auto"/>
                                  </w:tcBorders>
                                  <w:vAlign w:val="center"/>
                                </w:tcPr>
                                <w:p w14:paraId="0B72FFA3"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7</w:t>
                                  </w:r>
                                  <w:r w:rsidRPr="00917F50">
                                    <w:rPr>
                                      <w:rFonts w:ascii="標楷體" w:eastAsia="標楷體" w:hAnsi="標楷體"/>
                                    </w:rPr>
                                    <w:t>9,968</w:t>
                                  </w:r>
                                </w:p>
                              </w:tc>
                            </w:tr>
                            <w:tr w:rsidR="0050059F" w:rsidRPr="007B608E" w14:paraId="2A0B9817" w14:textId="77777777" w:rsidTr="00824CD6">
                              <w:trPr>
                                <w:trHeight w:val="284"/>
                              </w:trPr>
                              <w:tc>
                                <w:tcPr>
                                  <w:tcW w:w="1134" w:type="dxa"/>
                                  <w:vMerge/>
                                  <w:tcBorders>
                                    <w:left w:val="single" w:sz="4" w:space="0" w:color="auto"/>
                                    <w:right w:val="single" w:sz="4" w:space="0" w:color="auto"/>
                                  </w:tcBorders>
                                  <w:vAlign w:val="center"/>
                                </w:tcPr>
                                <w:p w14:paraId="1E7B5447" w14:textId="77777777" w:rsidR="0050059F" w:rsidRPr="00917F50" w:rsidRDefault="0050059F" w:rsidP="00824CD6">
                                  <w:pPr>
                                    <w:spacing w:line="230" w:lineRule="exact"/>
                                    <w:rPr>
                                      <w:rFonts w:ascii="標楷體" w:eastAsia="標楷體" w:hAnsi="標楷體"/>
                                    </w:rPr>
                                  </w:pPr>
                                </w:p>
                              </w:tc>
                              <w:tc>
                                <w:tcPr>
                                  <w:tcW w:w="868" w:type="dxa"/>
                                  <w:tcBorders>
                                    <w:left w:val="single" w:sz="4" w:space="0" w:color="auto"/>
                                    <w:right w:val="single" w:sz="4" w:space="0" w:color="auto"/>
                                  </w:tcBorders>
                                  <w:vAlign w:val="center"/>
                                </w:tcPr>
                                <w:p w14:paraId="7C5CEA53"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三民路368號</w:t>
                                  </w:r>
                                </w:p>
                              </w:tc>
                              <w:tc>
                                <w:tcPr>
                                  <w:tcW w:w="1372" w:type="dxa"/>
                                  <w:tcBorders>
                                    <w:top w:val="single" w:sz="4" w:space="0" w:color="auto"/>
                                    <w:left w:val="single" w:sz="4" w:space="0" w:color="auto"/>
                                    <w:bottom w:val="single" w:sz="4" w:space="0" w:color="auto"/>
                                    <w:right w:val="single" w:sz="4" w:space="0" w:color="auto"/>
                                  </w:tcBorders>
                                  <w:vAlign w:val="center"/>
                                </w:tcPr>
                                <w:p w14:paraId="13967DBF"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108年1月至113.1.</w:t>
                                  </w:r>
                                  <w:r w:rsidRPr="00917F50">
                                    <w:rPr>
                                      <w:rFonts w:ascii="標楷體" w:eastAsia="標楷體" w:hAnsi="標楷體"/>
                                    </w:rPr>
                                    <w:t>1</w:t>
                                  </w:r>
                                  <w:r w:rsidRPr="00917F50">
                                    <w:rPr>
                                      <w:rFonts w:ascii="標楷體" w:eastAsia="標楷體" w:hAnsi="標楷體" w:hint="eastAsia"/>
                                    </w:rPr>
                                    <w:t>8</w:t>
                                  </w:r>
                                </w:p>
                              </w:tc>
                              <w:tc>
                                <w:tcPr>
                                  <w:tcW w:w="1302" w:type="dxa"/>
                                  <w:vMerge/>
                                  <w:tcBorders>
                                    <w:left w:val="single" w:sz="4" w:space="0" w:color="auto"/>
                                    <w:right w:val="single" w:sz="4" w:space="0" w:color="auto"/>
                                  </w:tcBorders>
                                  <w:vAlign w:val="center"/>
                                </w:tcPr>
                                <w:p w14:paraId="0F62CB27" w14:textId="77777777" w:rsidR="0050059F" w:rsidRPr="00917F50" w:rsidRDefault="0050059F" w:rsidP="00824CD6">
                                  <w:pPr>
                                    <w:spacing w:line="230" w:lineRule="exact"/>
                                    <w:rPr>
                                      <w:rFonts w:ascii="標楷體" w:eastAsia="標楷體" w:hAnsi="標楷體"/>
                                    </w:rPr>
                                  </w:pPr>
                                </w:p>
                              </w:tc>
                              <w:tc>
                                <w:tcPr>
                                  <w:tcW w:w="1231" w:type="dxa"/>
                                  <w:tcBorders>
                                    <w:top w:val="single" w:sz="4" w:space="0" w:color="auto"/>
                                    <w:left w:val="single" w:sz="4" w:space="0" w:color="auto"/>
                                    <w:bottom w:val="single" w:sz="4" w:space="0" w:color="auto"/>
                                    <w:right w:val="single" w:sz="4" w:space="0" w:color="auto"/>
                                  </w:tcBorders>
                                  <w:vAlign w:val="center"/>
                                </w:tcPr>
                                <w:p w14:paraId="5C184493"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2</w:t>
                                  </w:r>
                                  <w:r w:rsidRPr="00917F50">
                                    <w:rPr>
                                      <w:rFonts w:ascii="標楷體" w:eastAsia="標楷體" w:hAnsi="標楷體"/>
                                    </w:rPr>
                                    <w:t>00,156</w:t>
                                  </w:r>
                                </w:p>
                              </w:tc>
                            </w:tr>
                            <w:tr w:rsidR="0050059F" w:rsidRPr="007B608E" w14:paraId="6681812B" w14:textId="77777777" w:rsidTr="00824CD6">
                              <w:trPr>
                                <w:trHeight w:val="284"/>
                              </w:trPr>
                              <w:tc>
                                <w:tcPr>
                                  <w:tcW w:w="1134" w:type="dxa"/>
                                  <w:vMerge/>
                                  <w:tcBorders>
                                    <w:left w:val="single" w:sz="4" w:space="0" w:color="auto"/>
                                    <w:bottom w:val="single" w:sz="4" w:space="0" w:color="auto"/>
                                    <w:right w:val="single" w:sz="4" w:space="0" w:color="auto"/>
                                  </w:tcBorders>
                                  <w:vAlign w:val="center"/>
                                </w:tcPr>
                                <w:p w14:paraId="19D67849" w14:textId="77777777" w:rsidR="0050059F" w:rsidRPr="00917F50" w:rsidRDefault="0050059F" w:rsidP="00824CD6">
                                  <w:pPr>
                                    <w:spacing w:line="230" w:lineRule="exact"/>
                                    <w:ind w:leftChars="-22" w:left="-53" w:firstLine="400"/>
                                    <w:jc w:val="center"/>
                                    <w:rPr>
                                      <w:rFonts w:ascii="標楷體" w:eastAsia="標楷體" w:hAnsi="標楷體"/>
                                    </w:rPr>
                                  </w:pPr>
                                </w:p>
                              </w:tc>
                              <w:tc>
                                <w:tcPr>
                                  <w:tcW w:w="868" w:type="dxa"/>
                                  <w:tcBorders>
                                    <w:left w:val="single" w:sz="4" w:space="0" w:color="auto"/>
                                    <w:bottom w:val="single" w:sz="4" w:space="0" w:color="auto"/>
                                    <w:right w:val="single" w:sz="4" w:space="0" w:color="auto"/>
                                  </w:tcBorders>
                                  <w:vAlign w:val="center"/>
                                </w:tcPr>
                                <w:p w14:paraId="53D13866"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三民路3</w:t>
                                  </w:r>
                                  <w:r w:rsidRPr="00917F50">
                                    <w:rPr>
                                      <w:rFonts w:ascii="標楷體" w:eastAsia="標楷體" w:hAnsi="標楷體"/>
                                    </w:rPr>
                                    <w:t>7</w:t>
                                  </w:r>
                                  <w:r w:rsidRPr="00917F50">
                                    <w:rPr>
                                      <w:rFonts w:ascii="標楷體" w:eastAsia="標楷體" w:hAnsi="標楷體" w:hint="eastAsia"/>
                                    </w:rPr>
                                    <w:t>8號</w:t>
                                  </w:r>
                                </w:p>
                              </w:tc>
                              <w:tc>
                                <w:tcPr>
                                  <w:tcW w:w="1372" w:type="dxa"/>
                                  <w:tcBorders>
                                    <w:top w:val="single" w:sz="4" w:space="0" w:color="auto"/>
                                    <w:left w:val="single" w:sz="4" w:space="0" w:color="auto"/>
                                    <w:bottom w:val="single" w:sz="4" w:space="0" w:color="auto"/>
                                    <w:right w:val="single" w:sz="4" w:space="0" w:color="auto"/>
                                  </w:tcBorders>
                                  <w:vAlign w:val="center"/>
                                </w:tcPr>
                                <w:p w14:paraId="1C6D7D85" w14:textId="77777777" w:rsidR="0050059F" w:rsidRPr="00917F50" w:rsidRDefault="0050059F" w:rsidP="00824CD6">
                                  <w:pPr>
                                    <w:spacing w:line="230" w:lineRule="exact"/>
                                    <w:ind w:leftChars="-22" w:left="-53"/>
                                    <w:rPr>
                                      <w:rFonts w:ascii="標楷體" w:eastAsia="標楷體" w:hAnsi="標楷體"/>
                                    </w:rPr>
                                  </w:pPr>
                                  <w:r w:rsidRPr="00917F50">
                                    <w:rPr>
                                      <w:rFonts w:ascii="標楷體" w:eastAsia="標楷體" w:hAnsi="標楷體" w:hint="eastAsia"/>
                                    </w:rPr>
                                    <w:t>108年1月至113.1.</w:t>
                                  </w:r>
                                  <w:r w:rsidRPr="00917F50">
                                    <w:rPr>
                                      <w:rFonts w:ascii="標楷體" w:eastAsia="標楷體" w:hAnsi="標楷體"/>
                                    </w:rPr>
                                    <w:t>1</w:t>
                                  </w:r>
                                  <w:r w:rsidRPr="00917F50">
                                    <w:rPr>
                                      <w:rFonts w:ascii="標楷體" w:eastAsia="標楷體" w:hAnsi="標楷體" w:hint="eastAsia"/>
                                    </w:rPr>
                                    <w:t>8</w:t>
                                  </w:r>
                                </w:p>
                              </w:tc>
                              <w:tc>
                                <w:tcPr>
                                  <w:tcW w:w="1302" w:type="dxa"/>
                                  <w:vMerge/>
                                  <w:tcBorders>
                                    <w:left w:val="single" w:sz="4" w:space="0" w:color="auto"/>
                                    <w:bottom w:val="single" w:sz="4" w:space="0" w:color="auto"/>
                                    <w:right w:val="single" w:sz="4" w:space="0" w:color="auto"/>
                                  </w:tcBorders>
                                  <w:vAlign w:val="center"/>
                                </w:tcPr>
                                <w:p w14:paraId="2F751057" w14:textId="77777777" w:rsidR="0050059F" w:rsidRPr="00917F50" w:rsidRDefault="0050059F" w:rsidP="00824CD6">
                                  <w:pPr>
                                    <w:spacing w:line="230" w:lineRule="exact"/>
                                    <w:ind w:firstLine="400"/>
                                    <w:jc w:val="center"/>
                                    <w:rPr>
                                      <w:rFonts w:ascii="標楷體" w:eastAsia="標楷體" w:hAnsi="標楷體"/>
                                    </w:rPr>
                                  </w:pPr>
                                </w:p>
                              </w:tc>
                              <w:tc>
                                <w:tcPr>
                                  <w:tcW w:w="1231" w:type="dxa"/>
                                  <w:tcBorders>
                                    <w:top w:val="single" w:sz="4" w:space="0" w:color="auto"/>
                                    <w:left w:val="single" w:sz="4" w:space="0" w:color="auto"/>
                                    <w:bottom w:val="single" w:sz="4" w:space="0" w:color="auto"/>
                                    <w:right w:val="single" w:sz="4" w:space="0" w:color="auto"/>
                                  </w:tcBorders>
                                  <w:vAlign w:val="center"/>
                                </w:tcPr>
                                <w:p w14:paraId="390095D9"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1</w:t>
                                  </w:r>
                                  <w:r w:rsidRPr="00917F50">
                                    <w:rPr>
                                      <w:rFonts w:ascii="標楷體" w:eastAsia="標楷體" w:hAnsi="標楷體"/>
                                    </w:rPr>
                                    <w:t>50,161</w:t>
                                  </w:r>
                                </w:p>
                              </w:tc>
                            </w:tr>
                          </w:tbl>
                          <w:p w14:paraId="11453893" w14:textId="77777777" w:rsidR="0050059F" w:rsidRPr="007B608E" w:rsidRDefault="0050059F" w:rsidP="0050059F">
                            <w:pPr>
                              <w:spacing w:beforeLines="10" w:before="36" w:line="240" w:lineRule="exact"/>
                              <w:ind w:left="540" w:hangingChars="300" w:hanging="540"/>
                              <w:jc w:val="both"/>
                              <w:rPr>
                                <w:rFonts w:ascii="標楷體" w:eastAsia="標楷體" w:hAnsi="標楷體"/>
                                <w:sz w:val="18"/>
                                <w:szCs w:val="18"/>
                              </w:rPr>
                            </w:pPr>
                            <w:proofErr w:type="gramStart"/>
                            <w:r w:rsidRPr="007B608E">
                              <w:rPr>
                                <w:rFonts w:ascii="標楷體" w:eastAsia="標楷體" w:hAnsi="標楷體" w:hint="eastAsia"/>
                                <w:sz w:val="18"/>
                                <w:szCs w:val="18"/>
                              </w:rPr>
                              <w:t>註</w:t>
                            </w:r>
                            <w:proofErr w:type="gramEnd"/>
                            <w:r>
                              <w:rPr>
                                <w:rFonts w:ascii="標楷體" w:eastAsia="標楷體" w:hAnsi="標楷體" w:hint="eastAsia"/>
                                <w:sz w:val="18"/>
                                <w:szCs w:val="18"/>
                              </w:rPr>
                              <w:t>：</w:t>
                            </w:r>
                            <w:r w:rsidRPr="007B608E">
                              <w:rPr>
                                <w:rFonts w:ascii="標楷體" w:eastAsia="標楷體" w:hAnsi="標楷體" w:hint="eastAsia"/>
                                <w:sz w:val="18"/>
                                <w:szCs w:val="18"/>
                              </w:rPr>
                              <w:t>1.</w:t>
                            </w:r>
                            <w:r>
                              <w:rPr>
                                <w:rFonts w:ascii="標楷體" w:eastAsia="標楷體" w:hAnsi="標楷體" w:hint="eastAsia"/>
                                <w:sz w:val="18"/>
                                <w:szCs w:val="18"/>
                              </w:rPr>
                              <w:t>每月租金差異=（</w:t>
                            </w:r>
                            <w:r w:rsidRPr="00F856B4">
                              <w:rPr>
                                <w:rFonts w:ascii="標楷體" w:eastAsia="標楷體" w:hAnsi="標楷體" w:hint="eastAsia"/>
                                <w:sz w:val="18"/>
                                <w:szCs w:val="18"/>
                              </w:rPr>
                              <w:t>財審會通過</w:t>
                            </w:r>
                            <w:r>
                              <w:rPr>
                                <w:rFonts w:ascii="標楷體" w:eastAsia="標楷體" w:hAnsi="標楷體" w:hint="eastAsia"/>
                                <w:sz w:val="18"/>
                                <w:szCs w:val="18"/>
                              </w:rPr>
                              <w:t>「</w:t>
                            </w:r>
                            <w:r w:rsidRPr="00F856B4">
                              <w:rPr>
                                <w:rFonts w:ascii="標楷體" w:eastAsia="標楷體" w:hAnsi="標楷體" w:hint="eastAsia"/>
                                <w:sz w:val="18"/>
                                <w:szCs w:val="18"/>
                              </w:rPr>
                              <w:t>不動產總值(含停車位)</w:t>
                            </w:r>
                            <w:r>
                              <w:rPr>
                                <w:rFonts w:ascii="標楷體" w:eastAsia="標楷體" w:hAnsi="標楷體" w:hint="eastAsia"/>
                                <w:sz w:val="18"/>
                                <w:szCs w:val="18"/>
                              </w:rPr>
                              <w:t>」</w:t>
                            </w:r>
                            <w:r w:rsidRPr="009064AD">
                              <w:rPr>
                                <w:rFonts w:ascii="標楷體" w:eastAsia="標楷體" w:hAnsi="標楷體" w:hint="eastAsia"/>
                                <w:sz w:val="18"/>
                                <w:szCs w:val="18"/>
                              </w:rPr>
                              <w:t>×</w:t>
                            </w:r>
                            <w:r>
                              <w:rPr>
                                <w:rFonts w:ascii="標楷體" w:eastAsia="標楷體" w:hAnsi="標楷體" w:hint="eastAsia"/>
                                <w:sz w:val="18"/>
                                <w:szCs w:val="18"/>
                              </w:rPr>
                              <w:t>「</w:t>
                            </w:r>
                            <w:r w:rsidRPr="00F856B4">
                              <w:rPr>
                                <w:rFonts w:ascii="標楷體" w:eastAsia="標楷體" w:hAnsi="標楷體" w:hint="eastAsia"/>
                                <w:sz w:val="18"/>
                                <w:szCs w:val="18"/>
                              </w:rPr>
                              <w:t>估價師</w:t>
                            </w:r>
                            <w:proofErr w:type="gramStart"/>
                            <w:r w:rsidRPr="00F856B4">
                              <w:rPr>
                                <w:rFonts w:ascii="標楷體" w:eastAsia="標楷體" w:hAnsi="標楷體" w:hint="eastAsia"/>
                                <w:sz w:val="18"/>
                                <w:szCs w:val="18"/>
                              </w:rPr>
                              <w:t>鑑價</w:t>
                            </w:r>
                            <w:r>
                              <w:rPr>
                                <w:rFonts w:ascii="標楷體" w:eastAsia="標楷體" w:hAnsi="標楷體" w:hint="eastAsia"/>
                                <w:sz w:val="18"/>
                                <w:szCs w:val="18"/>
                              </w:rPr>
                              <w:t>年</w:t>
                            </w:r>
                            <w:proofErr w:type="gramEnd"/>
                            <w:r w:rsidRPr="00F856B4">
                              <w:rPr>
                                <w:rFonts w:ascii="標楷體" w:eastAsia="標楷體" w:hAnsi="標楷體" w:hint="eastAsia"/>
                                <w:sz w:val="18"/>
                                <w:szCs w:val="18"/>
                              </w:rPr>
                              <w:t>租率</w:t>
                            </w:r>
                            <w:r>
                              <w:rPr>
                                <w:rFonts w:ascii="標楷體" w:eastAsia="標楷體" w:hAnsi="標楷體" w:hint="eastAsia"/>
                                <w:sz w:val="18"/>
                                <w:szCs w:val="18"/>
                              </w:rPr>
                              <w:t>」）/</w:t>
                            </w:r>
                            <w:r>
                              <w:rPr>
                                <w:rFonts w:ascii="標楷體" w:eastAsia="標楷體" w:hAnsi="標楷體"/>
                                <w:sz w:val="18"/>
                                <w:szCs w:val="18"/>
                              </w:rPr>
                              <w:t>12</w:t>
                            </w:r>
                            <w:r>
                              <w:rPr>
                                <w:rFonts w:ascii="標楷體" w:eastAsia="標楷體" w:hAnsi="標楷體" w:hint="eastAsia"/>
                                <w:sz w:val="18"/>
                                <w:szCs w:val="18"/>
                              </w:rPr>
                              <w:t>-捷運工程局自訂</w:t>
                            </w:r>
                            <w:r w:rsidRPr="00F856B4">
                              <w:rPr>
                                <w:rFonts w:ascii="標楷體" w:eastAsia="標楷體" w:hAnsi="標楷體" w:hint="eastAsia"/>
                                <w:sz w:val="18"/>
                                <w:szCs w:val="18"/>
                              </w:rPr>
                              <w:t>續約</w:t>
                            </w:r>
                            <w:r>
                              <w:rPr>
                                <w:rFonts w:ascii="標楷體" w:eastAsia="標楷體" w:hAnsi="標楷體" w:hint="eastAsia"/>
                                <w:sz w:val="18"/>
                                <w:szCs w:val="18"/>
                              </w:rPr>
                              <w:t>月租金費率；</w:t>
                            </w:r>
                            <w:r w:rsidRPr="00F856B4">
                              <w:rPr>
                                <w:rFonts w:ascii="標楷體" w:eastAsia="標楷體" w:hAnsi="標楷體" w:hint="eastAsia"/>
                                <w:sz w:val="18"/>
                                <w:szCs w:val="18"/>
                              </w:rPr>
                              <w:t>續約期間差異金額</w:t>
                            </w:r>
                            <w:r>
                              <w:rPr>
                                <w:rFonts w:ascii="標楷體" w:eastAsia="標楷體" w:hAnsi="標楷體" w:hint="eastAsia"/>
                                <w:sz w:val="18"/>
                                <w:szCs w:val="18"/>
                              </w:rPr>
                              <w:t>＝契約月數</w:t>
                            </w:r>
                            <w:r w:rsidRPr="009064AD">
                              <w:rPr>
                                <w:rFonts w:ascii="標楷體" w:eastAsia="標楷體" w:hAnsi="標楷體" w:hint="eastAsia"/>
                                <w:sz w:val="18"/>
                                <w:szCs w:val="18"/>
                              </w:rPr>
                              <w:t>×</w:t>
                            </w:r>
                            <w:r>
                              <w:rPr>
                                <w:rFonts w:ascii="標楷體" w:eastAsia="標楷體" w:hAnsi="標楷體" w:hint="eastAsia"/>
                                <w:sz w:val="18"/>
                                <w:szCs w:val="18"/>
                              </w:rPr>
                              <w:t>每</w:t>
                            </w:r>
                            <w:r w:rsidRPr="005A0C8F">
                              <w:rPr>
                                <w:rFonts w:ascii="標楷體" w:eastAsia="標楷體" w:hAnsi="標楷體" w:hint="eastAsia"/>
                                <w:sz w:val="18"/>
                                <w:szCs w:val="18"/>
                              </w:rPr>
                              <w:t>月租金差異</w:t>
                            </w:r>
                            <w:r w:rsidRPr="007B608E">
                              <w:rPr>
                                <w:rFonts w:ascii="標楷體" w:eastAsia="標楷體" w:hAnsi="標楷體" w:hint="eastAsia"/>
                                <w:sz w:val="18"/>
                                <w:szCs w:val="18"/>
                              </w:rPr>
                              <w:t>。</w:t>
                            </w:r>
                          </w:p>
                          <w:p w14:paraId="27980CBC" w14:textId="77777777" w:rsidR="0050059F" w:rsidRPr="007B608E" w:rsidRDefault="0050059F" w:rsidP="0050059F">
                            <w:pPr>
                              <w:spacing w:line="240" w:lineRule="exact"/>
                              <w:ind w:leftChars="150" w:left="499" w:hangingChars="77" w:hanging="139"/>
                              <w:rPr>
                                <w:rFonts w:ascii="標楷體" w:eastAsia="標楷體" w:hAnsi="標楷體"/>
                                <w:sz w:val="18"/>
                                <w:szCs w:val="18"/>
                              </w:rPr>
                            </w:pPr>
                            <w:r w:rsidRPr="007B608E">
                              <w:rPr>
                                <w:rFonts w:ascii="標楷體" w:eastAsia="標楷體" w:hAnsi="標楷體" w:hint="eastAsia"/>
                                <w:sz w:val="18"/>
                                <w:szCs w:val="18"/>
                              </w:rPr>
                              <w:t>2.資料來源</w:t>
                            </w:r>
                            <w:r>
                              <w:rPr>
                                <w:rFonts w:ascii="標楷體" w:eastAsia="標楷體" w:hAnsi="標楷體" w:hint="eastAsia"/>
                                <w:sz w:val="18"/>
                                <w:szCs w:val="18"/>
                              </w:rPr>
                              <w:t>：</w:t>
                            </w:r>
                            <w:r w:rsidRPr="007B608E">
                              <w:rPr>
                                <w:rFonts w:ascii="標楷體" w:eastAsia="標楷體" w:hAnsi="標楷體" w:hint="eastAsia"/>
                                <w:sz w:val="18"/>
                                <w:szCs w:val="18"/>
                              </w:rPr>
                              <w:t>整理自</w:t>
                            </w:r>
                            <w:r w:rsidRPr="006F588C">
                              <w:rPr>
                                <w:rFonts w:ascii="標楷體" w:eastAsia="標楷體" w:hAnsi="標楷體" w:hint="eastAsia"/>
                                <w:sz w:val="18"/>
                                <w:szCs w:val="18"/>
                              </w:rPr>
                              <w:t>捷運工程局</w:t>
                            </w:r>
                            <w:r w:rsidRPr="007B608E">
                              <w:rPr>
                                <w:rFonts w:ascii="標楷體" w:eastAsia="標楷體" w:hAnsi="標楷體" w:hint="eastAsia"/>
                                <w:sz w:val="18"/>
                                <w:szCs w:val="18"/>
                              </w:rPr>
                              <w:t>提供資料。</w:t>
                            </w:r>
                          </w:p>
                          <w:p w14:paraId="0F2D5E05" w14:textId="77777777" w:rsidR="0050059F" w:rsidRPr="00D8014A" w:rsidRDefault="0050059F" w:rsidP="0050059F">
                            <w:pPr>
                              <w:jc w:val="right"/>
                              <w:rPr>
                                <w:rFonts w:ascii="標楷體" w:eastAsia="標楷體" w:hAnsi="標楷體"/>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AE4368" id="文字方塊 96" o:spid="_x0000_s1158" type="#_x0000_t202" style="position:absolute;left:0;text-align:left;margin-left:191.2pt;margin-top:246.7pt;width:306pt;height:343.6pt;z-index:251777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" stroked="f">
                <v:textbox>
                  <w:txbxContent>
                    <w:p w14:paraId="56E00895" w14:textId="77777777" w:rsidR="0050059F" w:rsidRPr="007B608E" w:rsidRDefault="0050059F" w:rsidP="0050059F">
                      <w:pPr>
                        <w:tabs>
                          <w:tab w:val="left" w:pos="917"/>
                        </w:tabs>
                        <w:spacing w:line="260" w:lineRule="exact"/>
                        <w:ind w:left="661" w:rightChars="-50" w:right="-120" w:hangingChars="275" w:hanging="661"/>
                        <w:rPr>
                          <w:rFonts w:ascii="標楷體" w:eastAsia="標楷體" w:hAnsi="標楷體"/>
                          <w:b/>
                          <w:szCs w:val="24"/>
                        </w:rPr>
                      </w:pPr>
                      <w:r w:rsidRPr="008B65A2">
                        <w:rPr>
                          <w:rFonts w:ascii="標楷體" w:eastAsia="標楷體" w:hAnsi="標楷體" w:hint="eastAsia"/>
                          <w:b/>
                          <w:szCs w:val="24"/>
                        </w:rPr>
                        <w:t>表1</w:t>
                      </w:r>
                      <w:r>
                        <w:rPr>
                          <w:rFonts w:ascii="標楷體" w:eastAsia="標楷體" w:hAnsi="標楷體"/>
                          <w:b/>
                          <w:szCs w:val="24"/>
                        </w:rPr>
                        <w:t xml:space="preserve">  </w:t>
                      </w:r>
                      <w:r w:rsidRPr="007B608E">
                        <w:rPr>
                          <w:rFonts w:ascii="標楷體" w:eastAsia="標楷體" w:hAnsi="標楷體"/>
                          <w:b/>
                          <w:szCs w:val="24"/>
                        </w:rPr>
                        <w:t>113</w:t>
                      </w:r>
                      <w:r w:rsidRPr="007B608E">
                        <w:rPr>
                          <w:rFonts w:ascii="標楷體" w:eastAsia="標楷體" w:hAnsi="標楷體" w:hint="eastAsia"/>
                          <w:b/>
                          <w:szCs w:val="24"/>
                        </w:rPr>
                        <w:t>年公有不動產續租案件</w:t>
                      </w:r>
                      <w:r>
                        <w:rPr>
                          <w:rFonts w:ascii="標楷體" w:eastAsia="標楷體" w:hAnsi="標楷體" w:hint="eastAsia"/>
                          <w:b/>
                          <w:szCs w:val="24"/>
                        </w:rPr>
                        <w:t>租金費率</w:t>
                      </w:r>
                      <w:r w:rsidRPr="007B608E">
                        <w:rPr>
                          <w:rFonts w:ascii="標楷體" w:eastAsia="標楷體" w:hAnsi="標楷體" w:hint="eastAsia"/>
                          <w:b/>
                          <w:szCs w:val="24"/>
                        </w:rPr>
                        <w:t>未依規定</w:t>
                      </w:r>
                      <w:r>
                        <w:rPr>
                          <w:rFonts w:ascii="標楷體" w:eastAsia="標楷體" w:hAnsi="標楷體" w:hint="eastAsia"/>
                          <w:b/>
                          <w:szCs w:val="24"/>
                        </w:rPr>
                        <w:t>核定衍生之租金差額</w:t>
                      </w:r>
                    </w:p>
                    <w:p w14:paraId="6BB6197D" w14:textId="77777777" w:rsidR="0050059F" w:rsidRPr="007B608E" w:rsidRDefault="0050059F" w:rsidP="0050059F">
                      <w:pPr>
                        <w:spacing w:afterLines="10" w:after="36" w:line="240" w:lineRule="exact"/>
                        <w:ind w:leftChars="118" w:left="283" w:rightChars="-25" w:right="-60" w:firstLineChars="142" w:firstLine="284"/>
                        <w:jc w:val="right"/>
                        <w:rPr>
                          <w:rFonts w:ascii="標楷體" w:eastAsia="標楷體" w:hAnsi="標楷體"/>
                          <w:sz w:val="20"/>
                          <w:szCs w:val="20"/>
                        </w:rPr>
                      </w:pPr>
                      <w:r w:rsidRPr="007B608E">
                        <w:rPr>
                          <w:rFonts w:ascii="標楷體" w:eastAsia="標楷體" w:hAnsi="標楷體" w:hint="eastAsia"/>
                          <w:sz w:val="20"/>
                          <w:szCs w:val="20"/>
                        </w:rPr>
                        <w:t>單位</w:t>
                      </w:r>
                      <w:r>
                        <w:rPr>
                          <w:rFonts w:ascii="標楷體" w:eastAsia="標楷體" w:hAnsi="標楷體" w:hint="eastAsia"/>
                          <w:sz w:val="20"/>
                          <w:szCs w:val="20"/>
                        </w:rPr>
                        <w:t>：</w:t>
                      </w:r>
                      <w:r w:rsidRPr="006F588C">
                        <w:rPr>
                          <w:rFonts w:ascii="標楷體" w:eastAsia="標楷體" w:hAnsi="標楷體" w:hint="eastAsia"/>
                          <w:sz w:val="20"/>
                          <w:szCs w:val="20"/>
                        </w:rPr>
                        <w:t>新臺幣</w:t>
                      </w:r>
                      <w:r w:rsidRPr="007B608E">
                        <w:rPr>
                          <w:rFonts w:ascii="標楷體" w:eastAsia="標楷體" w:hAnsi="標楷體" w:hint="eastAsia"/>
                          <w:sz w:val="20"/>
                          <w:szCs w:val="20"/>
                        </w:rPr>
                        <w:t>元</w:t>
                      </w:r>
                    </w:p>
                    <w:tbl>
                      <w:tblPr>
                        <w:tblStyle w:val="a6"/>
                        <w:tblW w:w="5907" w:type="dxa"/>
                        <w:tblInd w:w="-5" w:type="dxa"/>
                        <w:tblLayout w:type="fixed"/>
                        <w:tblLook w:val="04A0" w:firstRow="1" w:lastRow="0" w:firstColumn="1" w:lastColumn="0" w:noHBand="0" w:noVBand="1"/>
                      </w:tblPr>
                      <w:tblGrid>
                        <w:gridCol w:w="1134"/>
                        <w:gridCol w:w="868"/>
                        <w:gridCol w:w="1372"/>
                        <w:gridCol w:w="1302"/>
                        <w:gridCol w:w="1231"/>
                      </w:tblGrid>
                      <w:tr w:rsidR="0050059F" w:rsidRPr="007B608E" w14:paraId="24F444CA" w14:textId="77777777" w:rsidTr="00824CD6">
                        <w:trPr>
                          <w:trHeight w:val="634"/>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CB6B0" w14:textId="77777777" w:rsidR="0050059F" w:rsidRPr="00917F50" w:rsidRDefault="0050059F" w:rsidP="00824CD6">
                            <w:pPr>
                              <w:spacing w:line="220" w:lineRule="exact"/>
                              <w:jc w:val="center"/>
                              <w:rPr>
                                <w:rFonts w:ascii="標楷體" w:eastAsia="標楷體" w:hAnsi="標楷體"/>
                              </w:rPr>
                            </w:pPr>
                            <w:r w:rsidRPr="00917F50">
                              <w:rPr>
                                <w:rFonts w:ascii="標楷體" w:eastAsia="標楷體" w:hAnsi="標楷體" w:hint="eastAsia"/>
                              </w:rPr>
                              <w:t>基地名稱</w:t>
                            </w:r>
                          </w:p>
                          <w:p w14:paraId="50F95587" w14:textId="77777777" w:rsidR="0050059F" w:rsidRPr="00917F50" w:rsidRDefault="0050059F" w:rsidP="00824CD6">
                            <w:pPr>
                              <w:spacing w:line="220" w:lineRule="exact"/>
                              <w:jc w:val="center"/>
                              <w:rPr>
                                <w:rFonts w:ascii="標楷體" w:eastAsia="標楷體" w:hAnsi="標楷體"/>
                              </w:rPr>
                            </w:pPr>
                            <w:r w:rsidRPr="00917F50">
                              <w:rPr>
                                <w:rFonts w:ascii="標楷體" w:eastAsia="標楷體" w:hAnsi="標楷體" w:hint="eastAsia"/>
                              </w:rPr>
                              <w:t>（站名）</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085302D9" w14:textId="77777777" w:rsidR="0050059F" w:rsidRPr="00917F50" w:rsidRDefault="0050059F" w:rsidP="00824CD6">
                            <w:pPr>
                              <w:spacing w:line="220" w:lineRule="exact"/>
                              <w:jc w:val="center"/>
                              <w:rPr>
                                <w:rFonts w:ascii="標楷體" w:eastAsia="標楷體" w:hAnsi="標楷體"/>
                              </w:rPr>
                            </w:pPr>
                            <w:r w:rsidRPr="00917F50">
                              <w:rPr>
                                <w:rFonts w:ascii="標楷體" w:eastAsia="標楷體" w:hAnsi="標楷體" w:hint="eastAsia"/>
                              </w:rPr>
                              <w:t>路段</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A0FA66" w14:textId="77777777" w:rsidR="0050059F" w:rsidRPr="00917F50" w:rsidRDefault="0050059F" w:rsidP="00824CD6">
                            <w:pPr>
                              <w:spacing w:line="220" w:lineRule="exact"/>
                              <w:rPr>
                                <w:rFonts w:ascii="標楷體" w:eastAsia="標楷體" w:hAnsi="標楷體"/>
                              </w:rPr>
                            </w:pPr>
                            <w:r w:rsidRPr="00917F50">
                              <w:rPr>
                                <w:rFonts w:ascii="標楷體" w:eastAsia="標楷體" w:hAnsi="標楷體" w:hint="eastAsia"/>
                              </w:rPr>
                              <w:t>原租約起</w:t>
                            </w:r>
                            <w:r>
                              <w:rPr>
                                <w:rFonts w:ascii="標楷體" w:eastAsia="標楷體" w:hAnsi="標楷體" w:hint="eastAsia"/>
                              </w:rPr>
                              <w:t>訖</w:t>
                            </w:r>
                            <w:r w:rsidRPr="00917F50">
                              <w:rPr>
                                <w:rFonts w:ascii="標楷體" w:eastAsia="標楷體" w:hAnsi="標楷體" w:hint="eastAsia"/>
                              </w:rPr>
                              <w:t>期間</w:t>
                            </w:r>
                          </w:p>
                        </w:tc>
                        <w:tc>
                          <w:tcPr>
                            <w:tcW w:w="13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30468" w14:textId="77777777" w:rsidR="0050059F" w:rsidRPr="00917F50" w:rsidRDefault="0050059F" w:rsidP="00824CD6">
                            <w:pPr>
                              <w:spacing w:line="220" w:lineRule="exact"/>
                              <w:rPr>
                                <w:rFonts w:ascii="標楷體" w:eastAsia="標楷體" w:hAnsi="標楷體"/>
                                <w:spacing w:val="-10"/>
                              </w:rPr>
                            </w:pPr>
                            <w:r w:rsidRPr="00917F50">
                              <w:rPr>
                                <w:rFonts w:ascii="標楷體" w:eastAsia="標楷體" w:hAnsi="標楷體" w:hint="eastAsia"/>
                                <w:spacing w:val="-10"/>
                              </w:rPr>
                              <w:t>通知租戶續約租金費率時間</w:t>
                            </w:r>
                          </w:p>
                        </w:tc>
                        <w:tc>
                          <w:tcPr>
                            <w:tcW w:w="12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CCC3E" w14:textId="77777777" w:rsidR="0050059F" w:rsidRPr="00917F50" w:rsidRDefault="0050059F" w:rsidP="00824CD6">
                            <w:pPr>
                              <w:spacing w:line="220" w:lineRule="exact"/>
                              <w:rPr>
                                <w:rFonts w:ascii="標楷體" w:eastAsia="標楷體" w:hAnsi="標楷體"/>
                              </w:rPr>
                            </w:pPr>
                            <w:r w:rsidRPr="00917F50">
                              <w:rPr>
                                <w:rFonts w:ascii="標楷體" w:eastAsia="標楷體" w:hAnsi="標楷體" w:hint="eastAsia"/>
                              </w:rPr>
                              <w:t>續約期間租金差異金額(</w:t>
                            </w:r>
                            <w:proofErr w:type="gramStart"/>
                            <w:r w:rsidRPr="00917F50">
                              <w:rPr>
                                <w:rFonts w:ascii="標楷體" w:eastAsia="標楷體" w:hAnsi="標楷體" w:hint="eastAsia"/>
                              </w:rPr>
                              <w:t>註</w:t>
                            </w:r>
                            <w:proofErr w:type="gramEnd"/>
                            <w:r w:rsidRPr="00917F50">
                              <w:rPr>
                                <w:rFonts w:ascii="標楷體" w:eastAsia="標楷體" w:hAnsi="標楷體" w:hint="eastAsia"/>
                              </w:rPr>
                              <w:t>1</w:t>
                            </w:r>
                            <w:r w:rsidRPr="00917F50">
                              <w:rPr>
                                <w:rFonts w:ascii="標楷體" w:eastAsia="標楷體" w:hAnsi="標楷體"/>
                              </w:rPr>
                              <w:t>)</w:t>
                            </w:r>
                          </w:p>
                        </w:tc>
                      </w:tr>
                      <w:tr w:rsidR="0050059F" w:rsidRPr="007B608E" w14:paraId="55413AA6" w14:textId="77777777" w:rsidTr="00824CD6">
                        <w:trPr>
                          <w:trHeight w:val="284"/>
                        </w:trPr>
                        <w:tc>
                          <w:tcPr>
                            <w:tcW w:w="1134" w:type="dxa"/>
                            <w:tcBorders>
                              <w:top w:val="single" w:sz="4" w:space="0" w:color="auto"/>
                              <w:left w:val="single" w:sz="4" w:space="0" w:color="auto"/>
                              <w:right w:val="single" w:sz="4" w:space="0" w:color="auto"/>
                            </w:tcBorders>
                            <w:vAlign w:val="center"/>
                            <w:hideMark/>
                          </w:tcPr>
                          <w:p w14:paraId="49FFB0D4" w14:textId="77777777" w:rsidR="0050059F" w:rsidRPr="00917F50" w:rsidRDefault="0050059F" w:rsidP="00824CD6">
                            <w:pPr>
                              <w:spacing w:line="230" w:lineRule="exact"/>
                              <w:rPr>
                                <w:rFonts w:ascii="標楷體" w:eastAsia="標楷體" w:hAnsi="標楷體"/>
                                <w:spacing w:val="-10"/>
                              </w:rPr>
                            </w:pPr>
                            <w:r w:rsidRPr="00917F50">
                              <w:rPr>
                                <w:rFonts w:ascii="標楷體" w:eastAsia="標楷體" w:hAnsi="標楷體" w:hint="eastAsia"/>
                                <w:spacing w:val="-10"/>
                              </w:rPr>
                              <w:t>新店區公所</w:t>
                            </w:r>
                          </w:p>
                        </w:tc>
                        <w:tc>
                          <w:tcPr>
                            <w:tcW w:w="868" w:type="dxa"/>
                            <w:tcBorders>
                              <w:top w:val="single" w:sz="4" w:space="0" w:color="auto"/>
                              <w:left w:val="single" w:sz="4" w:space="0" w:color="auto"/>
                              <w:right w:val="single" w:sz="4" w:space="0" w:color="auto"/>
                            </w:tcBorders>
                            <w:vAlign w:val="center"/>
                          </w:tcPr>
                          <w:p w14:paraId="712F9EBD"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北新路1段</w:t>
                            </w:r>
                          </w:p>
                        </w:tc>
                        <w:tc>
                          <w:tcPr>
                            <w:tcW w:w="1372" w:type="dxa"/>
                            <w:tcBorders>
                              <w:top w:val="single" w:sz="4" w:space="0" w:color="auto"/>
                              <w:left w:val="single" w:sz="4" w:space="0" w:color="auto"/>
                              <w:bottom w:val="single" w:sz="4" w:space="0" w:color="auto"/>
                              <w:right w:val="single" w:sz="4" w:space="0" w:color="auto"/>
                            </w:tcBorders>
                            <w:vAlign w:val="center"/>
                          </w:tcPr>
                          <w:p w14:paraId="4AE99DD0"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109.12.4至113.1.2</w:t>
                            </w:r>
                          </w:p>
                        </w:tc>
                        <w:tc>
                          <w:tcPr>
                            <w:tcW w:w="1302" w:type="dxa"/>
                            <w:tcBorders>
                              <w:top w:val="single" w:sz="4" w:space="0" w:color="auto"/>
                              <w:left w:val="single" w:sz="4" w:space="0" w:color="auto"/>
                              <w:bottom w:val="single" w:sz="4" w:space="0" w:color="auto"/>
                              <w:right w:val="single" w:sz="4" w:space="0" w:color="auto"/>
                            </w:tcBorders>
                            <w:vAlign w:val="center"/>
                          </w:tcPr>
                          <w:p w14:paraId="7F5816CA" w14:textId="77777777" w:rsidR="0050059F" w:rsidRPr="00917F50" w:rsidRDefault="0050059F" w:rsidP="00C254C1">
                            <w:pPr>
                              <w:spacing w:line="230" w:lineRule="exact"/>
                              <w:jc w:val="center"/>
                              <w:rPr>
                                <w:rFonts w:ascii="標楷體" w:eastAsia="標楷體" w:hAnsi="標楷體"/>
                              </w:rPr>
                            </w:pPr>
                            <w:r w:rsidRPr="00917F50">
                              <w:rPr>
                                <w:rFonts w:ascii="標楷體" w:eastAsia="標楷體" w:hAnsi="標楷體" w:hint="eastAsia"/>
                              </w:rPr>
                              <w:t>1</w:t>
                            </w:r>
                            <w:r w:rsidRPr="00917F50">
                              <w:rPr>
                                <w:rFonts w:ascii="標楷體" w:eastAsia="標楷體" w:hAnsi="標楷體"/>
                              </w:rPr>
                              <w:t>12.10.11</w:t>
                            </w:r>
                          </w:p>
                        </w:tc>
                        <w:tc>
                          <w:tcPr>
                            <w:tcW w:w="1231" w:type="dxa"/>
                            <w:tcBorders>
                              <w:top w:val="single" w:sz="4" w:space="0" w:color="auto"/>
                              <w:left w:val="single" w:sz="4" w:space="0" w:color="auto"/>
                              <w:bottom w:val="single" w:sz="4" w:space="0" w:color="auto"/>
                              <w:right w:val="single" w:sz="4" w:space="0" w:color="auto"/>
                            </w:tcBorders>
                            <w:vAlign w:val="center"/>
                          </w:tcPr>
                          <w:p w14:paraId="716F489A"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rPr>
                              <w:t>-</w:t>
                            </w:r>
                            <w:r>
                              <w:rPr>
                                <w:rFonts w:ascii="標楷體" w:eastAsia="標楷體" w:hAnsi="標楷體"/>
                              </w:rPr>
                              <w:t xml:space="preserve"> </w:t>
                            </w:r>
                            <w:r w:rsidRPr="00917F50">
                              <w:rPr>
                                <w:rFonts w:ascii="標楷體" w:eastAsia="標楷體" w:hAnsi="標楷體" w:hint="eastAsia"/>
                              </w:rPr>
                              <w:t>608</w:t>
                            </w:r>
                            <w:r w:rsidRPr="00917F50">
                              <w:rPr>
                                <w:rFonts w:ascii="標楷體" w:eastAsia="標楷體" w:hAnsi="標楷體"/>
                              </w:rPr>
                              <w:t>,</w:t>
                            </w:r>
                            <w:r w:rsidRPr="00917F50">
                              <w:rPr>
                                <w:rFonts w:ascii="標楷體" w:eastAsia="標楷體" w:hAnsi="標楷體" w:hint="eastAsia"/>
                              </w:rPr>
                              <w:t>9</w:t>
                            </w:r>
                            <w:r w:rsidRPr="00917F50">
                              <w:rPr>
                                <w:rFonts w:ascii="標楷體" w:eastAsia="標楷體" w:hAnsi="標楷體"/>
                              </w:rPr>
                              <w:t>63</w:t>
                            </w:r>
                          </w:p>
                        </w:tc>
                      </w:tr>
                      <w:tr w:rsidR="0050059F" w:rsidRPr="007B608E" w14:paraId="20DF518A" w14:textId="77777777" w:rsidTr="00824CD6">
                        <w:trPr>
                          <w:trHeight w:val="284"/>
                        </w:trPr>
                        <w:tc>
                          <w:tcPr>
                            <w:tcW w:w="1134" w:type="dxa"/>
                            <w:tcBorders>
                              <w:left w:val="single" w:sz="4" w:space="0" w:color="auto"/>
                              <w:right w:val="single" w:sz="4" w:space="0" w:color="auto"/>
                            </w:tcBorders>
                            <w:vAlign w:val="center"/>
                          </w:tcPr>
                          <w:p w14:paraId="4273D223" w14:textId="77777777" w:rsidR="0050059F" w:rsidRPr="00917F50" w:rsidRDefault="0050059F" w:rsidP="00824CD6">
                            <w:pPr>
                              <w:spacing w:line="230" w:lineRule="exact"/>
                              <w:rPr>
                                <w:rFonts w:ascii="標楷體" w:eastAsia="標楷體" w:hAnsi="標楷體"/>
                                <w:spacing w:val="-10"/>
                              </w:rPr>
                            </w:pPr>
                            <w:r w:rsidRPr="00917F50">
                              <w:rPr>
                                <w:rFonts w:ascii="標楷體" w:eastAsia="標楷體" w:hAnsi="標楷體" w:hint="eastAsia"/>
                                <w:spacing w:val="-10"/>
                              </w:rPr>
                              <w:t>忠孝新生</w:t>
                            </w:r>
                          </w:p>
                        </w:tc>
                        <w:tc>
                          <w:tcPr>
                            <w:tcW w:w="868" w:type="dxa"/>
                            <w:tcBorders>
                              <w:left w:val="single" w:sz="4" w:space="0" w:color="auto"/>
                              <w:right w:val="single" w:sz="4" w:space="0" w:color="auto"/>
                            </w:tcBorders>
                            <w:vAlign w:val="center"/>
                          </w:tcPr>
                          <w:p w14:paraId="70516EC4"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新生南路1段</w:t>
                            </w:r>
                          </w:p>
                        </w:tc>
                        <w:tc>
                          <w:tcPr>
                            <w:tcW w:w="1372" w:type="dxa"/>
                            <w:tcBorders>
                              <w:top w:val="single" w:sz="4" w:space="0" w:color="auto"/>
                              <w:left w:val="single" w:sz="4" w:space="0" w:color="auto"/>
                              <w:bottom w:val="single" w:sz="4" w:space="0" w:color="auto"/>
                              <w:right w:val="single" w:sz="4" w:space="0" w:color="auto"/>
                            </w:tcBorders>
                            <w:vAlign w:val="center"/>
                          </w:tcPr>
                          <w:p w14:paraId="7F133E2D"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109.12.8至113.1.</w:t>
                            </w:r>
                            <w:r w:rsidRPr="00917F50">
                              <w:rPr>
                                <w:rFonts w:ascii="標楷體" w:eastAsia="標楷體" w:hAnsi="標楷體"/>
                              </w:rPr>
                              <w:t>6</w:t>
                            </w:r>
                          </w:p>
                        </w:tc>
                        <w:tc>
                          <w:tcPr>
                            <w:tcW w:w="1302" w:type="dxa"/>
                            <w:tcBorders>
                              <w:top w:val="single" w:sz="4" w:space="0" w:color="auto"/>
                              <w:left w:val="single" w:sz="4" w:space="0" w:color="auto"/>
                              <w:bottom w:val="single" w:sz="4" w:space="0" w:color="auto"/>
                              <w:right w:val="single" w:sz="4" w:space="0" w:color="auto"/>
                            </w:tcBorders>
                            <w:vAlign w:val="center"/>
                          </w:tcPr>
                          <w:p w14:paraId="2045309F" w14:textId="77777777" w:rsidR="0050059F" w:rsidRPr="00917F50" w:rsidRDefault="0050059F" w:rsidP="00C254C1">
                            <w:pPr>
                              <w:spacing w:line="230" w:lineRule="exact"/>
                              <w:jc w:val="center"/>
                              <w:rPr>
                                <w:rFonts w:ascii="標楷體" w:eastAsia="標楷體" w:hAnsi="標楷體"/>
                              </w:rPr>
                            </w:pPr>
                            <w:r w:rsidRPr="00917F50">
                              <w:rPr>
                                <w:rFonts w:ascii="標楷體" w:eastAsia="標楷體" w:hAnsi="標楷體" w:hint="eastAsia"/>
                              </w:rPr>
                              <w:t>1</w:t>
                            </w:r>
                            <w:r w:rsidRPr="00917F50">
                              <w:rPr>
                                <w:rFonts w:ascii="標楷體" w:eastAsia="標楷體" w:hAnsi="標楷體"/>
                              </w:rPr>
                              <w:t>12.10.18</w:t>
                            </w:r>
                          </w:p>
                        </w:tc>
                        <w:tc>
                          <w:tcPr>
                            <w:tcW w:w="1231" w:type="dxa"/>
                            <w:tcBorders>
                              <w:top w:val="single" w:sz="4" w:space="0" w:color="auto"/>
                              <w:left w:val="single" w:sz="4" w:space="0" w:color="auto"/>
                              <w:bottom w:val="single" w:sz="4" w:space="0" w:color="auto"/>
                              <w:right w:val="single" w:sz="4" w:space="0" w:color="auto"/>
                            </w:tcBorders>
                            <w:vAlign w:val="center"/>
                          </w:tcPr>
                          <w:p w14:paraId="1967095F"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w:t>
                            </w:r>
                            <w:r>
                              <w:rPr>
                                <w:rFonts w:ascii="標楷體" w:eastAsia="標楷體" w:hAnsi="標楷體"/>
                              </w:rPr>
                              <w:t xml:space="preserve"> </w:t>
                            </w:r>
                            <w:r w:rsidRPr="00917F50">
                              <w:rPr>
                                <w:rFonts w:ascii="標楷體" w:eastAsia="標楷體" w:hAnsi="標楷體" w:hint="eastAsia"/>
                              </w:rPr>
                              <w:t>31</w:t>
                            </w:r>
                            <w:r w:rsidRPr="00917F50">
                              <w:rPr>
                                <w:rFonts w:ascii="標楷體" w:eastAsia="標楷體" w:hAnsi="標楷體"/>
                              </w:rPr>
                              <w:t>,</w:t>
                            </w:r>
                            <w:r w:rsidRPr="00917F50">
                              <w:rPr>
                                <w:rFonts w:ascii="標楷體" w:eastAsia="標楷體" w:hAnsi="標楷體" w:hint="eastAsia"/>
                              </w:rPr>
                              <w:t>825</w:t>
                            </w:r>
                          </w:p>
                        </w:tc>
                      </w:tr>
                      <w:tr w:rsidR="0050059F" w:rsidRPr="007B608E" w14:paraId="0DFFBFE1" w14:textId="77777777" w:rsidTr="00824CD6">
                        <w:trPr>
                          <w:trHeight w:val="284"/>
                        </w:trPr>
                        <w:tc>
                          <w:tcPr>
                            <w:tcW w:w="1134" w:type="dxa"/>
                            <w:tcBorders>
                              <w:left w:val="single" w:sz="4" w:space="0" w:color="auto"/>
                              <w:right w:val="single" w:sz="4" w:space="0" w:color="auto"/>
                            </w:tcBorders>
                            <w:vAlign w:val="center"/>
                          </w:tcPr>
                          <w:p w14:paraId="3247CE4F" w14:textId="77777777" w:rsidR="0050059F" w:rsidRPr="00917F50" w:rsidRDefault="0050059F" w:rsidP="00824CD6">
                            <w:pPr>
                              <w:spacing w:line="230" w:lineRule="exact"/>
                              <w:rPr>
                                <w:rFonts w:ascii="標楷體" w:eastAsia="標楷體" w:hAnsi="標楷體"/>
                                <w:spacing w:val="-10"/>
                              </w:rPr>
                            </w:pPr>
                            <w:r w:rsidRPr="00917F50">
                              <w:rPr>
                                <w:rFonts w:ascii="標楷體" w:eastAsia="標楷體" w:hAnsi="標楷體" w:hint="eastAsia"/>
                                <w:spacing w:val="-10"/>
                              </w:rPr>
                              <w:t>景美</w:t>
                            </w:r>
                          </w:p>
                        </w:tc>
                        <w:tc>
                          <w:tcPr>
                            <w:tcW w:w="868" w:type="dxa"/>
                            <w:tcBorders>
                              <w:left w:val="single" w:sz="4" w:space="0" w:color="auto"/>
                              <w:right w:val="single" w:sz="4" w:space="0" w:color="auto"/>
                            </w:tcBorders>
                            <w:vAlign w:val="center"/>
                          </w:tcPr>
                          <w:p w14:paraId="07C288DD"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景中街1號</w:t>
                            </w:r>
                          </w:p>
                        </w:tc>
                        <w:tc>
                          <w:tcPr>
                            <w:tcW w:w="1372" w:type="dxa"/>
                            <w:tcBorders>
                              <w:top w:val="single" w:sz="4" w:space="0" w:color="auto"/>
                              <w:left w:val="single" w:sz="4" w:space="0" w:color="auto"/>
                              <w:bottom w:val="single" w:sz="4" w:space="0" w:color="auto"/>
                              <w:right w:val="single" w:sz="4" w:space="0" w:color="auto"/>
                            </w:tcBorders>
                            <w:vAlign w:val="center"/>
                          </w:tcPr>
                          <w:p w14:paraId="4D0949CC"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112.1.11至113.1.</w:t>
                            </w:r>
                            <w:r w:rsidRPr="00917F50">
                              <w:rPr>
                                <w:rFonts w:ascii="標楷體" w:eastAsia="標楷體" w:hAnsi="標楷體"/>
                              </w:rPr>
                              <w:t>10</w:t>
                            </w:r>
                          </w:p>
                        </w:tc>
                        <w:tc>
                          <w:tcPr>
                            <w:tcW w:w="1302" w:type="dxa"/>
                            <w:tcBorders>
                              <w:top w:val="single" w:sz="4" w:space="0" w:color="auto"/>
                              <w:left w:val="single" w:sz="4" w:space="0" w:color="auto"/>
                              <w:bottom w:val="single" w:sz="4" w:space="0" w:color="auto"/>
                              <w:right w:val="single" w:sz="4" w:space="0" w:color="auto"/>
                            </w:tcBorders>
                            <w:vAlign w:val="center"/>
                          </w:tcPr>
                          <w:p w14:paraId="7860E3D5" w14:textId="77777777" w:rsidR="0050059F" w:rsidRPr="00917F50" w:rsidRDefault="0050059F" w:rsidP="00C254C1">
                            <w:pPr>
                              <w:spacing w:line="230" w:lineRule="exact"/>
                              <w:jc w:val="center"/>
                              <w:rPr>
                                <w:rFonts w:ascii="標楷體" w:eastAsia="標楷體" w:hAnsi="標楷體"/>
                              </w:rPr>
                            </w:pPr>
                            <w:r w:rsidRPr="00917F50">
                              <w:rPr>
                                <w:rFonts w:ascii="標楷體" w:eastAsia="標楷體" w:hAnsi="標楷體" w:hint="eastAsia"/>
                              </w:rPr>
                              <w:t>1</w:t>
                            </w:r>
                            <w:r w:rsidRPr="00917F50">
                              <w:rPr>
                                <w:rFonts w:ascii="標楷體" w:eastAsia="標楷體" w:hAnsi="標楷體"/>
                              </w:rPr>
                              <w:t>12.10.16</w:t>
                            </w:r>
                          </w:p>
                        </w:tc>
                        <w:tc>
                          <w:tcPr>
                            <w:tcW w:w="1231" w:type="dxa"/>
                            <w:tcBorders>
                              <w:top w:val="single" w:sz="4" w:space="0" w:color="auto"/>
                              <w:left w:val="single" w:sz="4" w:space="0" w:color="auto"/>
                              <w:bottom w:val="single" w:sz="4" w:space="0" w:color="auto"/>
                              <w:right w:val="single" w:sz="4" w:space="0" w:color="auto"/>
                            </w:tcBorders>
                            <w:vAlign w:val="center"/>
                          </w:tcPr>
                          <w:p w14:paraId="38116295"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w:t>
                            </w:r>
                            <w:r>
                              <w:rPr>
                                <w:rFonts w:ascii="標楷體" w:eastAsia="標楷體" w:hAnsi="標楷體"/>
                              </w:rPr>
                              <w:t xml:space="preserve"> </w:t>
                            </w:r>
                            <w:r w:rsidRPr="00917F50">
                              <w:rPr>
                                <w:rFonts w:ascii="標楷體" w:eastAsia="標楷體" w:hAnsi="標楷體" w:hint="eastAsia"/>
                              </w:rPr>
                              <w:t>4</w:t>
                            </w:r>
                            <w:r w:rsidRPr="00917F50">
                              <w:rPr>
                                <w:rFonts w:ascii="標楷體" w:eastAsia="標楷體" w:hAnsi="標楷體"/>
                              </w:rPr>
                              <w:t>50,792</w:t>
                            </w:r>
                          </w:p>
                        </w:tc>
                      </w:tr>
                      <w:tr w:rsidR="0050059F" w:rsidRPr="007B608E" w14:paraId="7360DEA7" w14:textId="77777777" w:rsidTr="00824CD6">
                        <w:trPr>
                          <w:trHeight w:val="284"/>
                        </w:trPr>
                        <w:tc>
                          <w:tcPr>
                            <w:tcW w:w="1134" w:type="dxa"/>
                            <w:tcBorders>
                              <w:left w:val="single" w:sz="4" w:space="0" w:color="auto"/>
                              <w:right w:val="single" w:sz="4" w:space="0" w:color="auto"/>
                            </w:tcBorders>
                            <w:vAlign w:val="center"/>
                          </w:tcPr>
                          <w:p w14:paraId="2770D4BC" w14:textId="77777777" w:rsidR="0050059F" w:rsidRPr="00917F50" w:rsidRDefault="0050059F" w:rsidP="00824CD6">
                            <w:pPr>
                              <w:spacing w:line="230" w:lineRule="exact"/>
                              <w:rPr>
                                <w:rFonts w:ascii="標楷體" w:eastAsia="標楷體" w:hAnsi="標楷體"/>
                                <w:spacing w:val="-10"/>
                              </w:rPr>
                            </w:pPr>
                            <w:r w:rsidRPr="00917F50">
                              <w:rPr>
                                <w:rFonts w:ascii="標楷體" w:eastAsia="標楷體" w:hAnsi="標楷體" w:hint="eastAsia"/>
                                <w:spacing w:val="-10"/>
                              </w:rPr>
                              <w:t>辛亥</w:t>
                            </w:r>
                          </w:p>
                        </w:tc>
                        <w:tc>
                          <w:tcPr>
                            <w:tcW w:w="868" w:type="dxa"/>
                            <w:tcBorders>
                              <w:left w:val="single" w:sz="4" w:space="0" w:color="auto"/>
                              <w:right w:val="single" w:sz="4" w:space="0" w:color="auto"/>
                            </w:tcBorders>
                            <w:vAlign w:val="center"/>
                          </w:tcPr>
                          <w:p w14:paraId="2E9DFA67"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辛亥路4段</w:t>
                            </w:r>
                          </w:p>
                        </w:tc>
                        <w:tc>
                          <w:tcPr>
                            <w:tcW w:w="1372" w:type="dxa"/>
                            <w:tcBorders>
                              <w:top w:val="single" w:sz="4" w:space="0" w:color="auto"/>
                              <w:left w:val="single" w:sz="4" w:space="0" w:color="auto"/>
                              <w:bottom w:val="single" w:sz="4" w:space="0" w:color="auto"/>
                              <w:right w:val="single" w:sz="4" w:space="0" w:color="auto"/>
                            </w:tcBorders>
                            <w:vAlign w:val="center"/>
                          </w:tcPr>
                          <w:p w14:paraId="7D9C0D8B"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111年5月至113.1.</w:t>
                            </w:r>
                            <w:r w:rsidRPr="00917F50">
                              <w:rPr>
                                <w:rFonts w:ascii="標楷體" w:eastAsia="標楷體" w:hAnsi="標楷體"/>
                              </w:rPr>
                              <w:t>1</w:t>
                            </w:r>
                            <w:r w:rsidRPr="00917F50">
                              <w:rPr>
                                <w:rFonts w:ascii="標楷體" w:eastAsia="標楷體" w:hAnsi="標楷體" w:hint="eastAsia"/>
                              </w:rPr>
                              <w:t>6</w:t>
                            </w:r>
                          </w:p>
                        </w:tc>
                        <w:tc>
                          <w:tcPr>
                            <w:tcW w:w="1302" w:type="dxa"/>
                            <w:tcBorders>
                              <w:top w:val="single" w:sz="4" w:space="0" w:color="auto"/>
                              <w:left w:val="single" w:sz="4" w:space="0" w:color="auto"/>
                              <w:bottom w:val="single" w:sz="4" w:space="0" w:color="auto"/>
                              <w:right w:val="single" w:sz="4" w:space="0" w:color="auto"/>
                            </w:tcBorders>
                            <w:vAlign w:val="center"/>
                          </w:tcPr>
                          <w:p w14:paraId="66C07C50" w14:textId="77777777" w:rsidR="0050059F" w:rsidRPr="00917F50" w:rsidRDefault="0050059F" w:rsidP="00C254C1">
                            <w:pPr>
                              <w:spacing w:line="230" w:lineRule="exact"/>
                              <w:jc w:val="center"/>
                              <w:rPr>
                                <w:rFonts w:ascii="標楷體" w:eastAsia="標楷體" w:hAnsi="標楷體"/>
                              </w:rPr>
                            </w:pPr>
                            <w:r w:rsidRPr="00917F50">
                              <w:rPr>
                                <w:rFonts w:ascii="標楷體" w:eastAsia="標楷體" w:hAnsi="標楷體" w:hint="eastAsia"/>
                              </w:rPr>
                              <w:t>1</w:t>
                            </w:r>
                            <w:r w:rsidRPr="00917F50">
                              <w:rPr>
                                <w:rFonts w:ascii="標楷體" w:eastAsia="標楷體" w:hAnsi="標楷體"/>
                              </w:rPr>
                              <w:t>12.11.20</w:t>
                            </w:r>
                          </w:p>
                        </w:tc>
                        <w:tc>
                          <w:tcPr>
                            <w:tcW w:w="1231" w:type="dxa"/>
                            <w:tcBorders>
                              <w:top w:val="single" w:sz="4" w:space="0" w:color="auto"/>
                              <w:left w:val="single" w:sz="4" w:space="0" w:color="auto"/>
                              <w:bottom w:val="single" w:sz="4" w:space="0" w:color="auto"/>
                              <w:right w:val="single" w:sz="4" w:space="0" w:color="auto"/>
                            </w:tcBorders>
                            <w:vAlign w:val="center"/>
                          </w:tcPr>
                          <w:p w14:paraId="016DFBC8"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w:t>
                            </w:r>
                            <w:r>
                              <w:rPr>
                                <w:rFonts w:ascii="標楷體" w:eastAsia="標楷體" w:hAnsi="標楷體"/>
                              </w:rPr>
                              <w:t xml:space="preserve"> </w:t>
                            </w:r>
                            <w:r w:rsidRPr="00917F50">
                              <w:rPr>
                                <w:rFonts w:ascii="標楷體" w:eastAsia="標楷體" w:hAnsi="標楷體" w:hint="eastAsia"/>
                              </w:rPr>
                              <w:t>2</w:t>
                            </w:r>
                            <w:r w:rsidRPr="00917F50">
                              <w:rPr>
                                <w:rFonts w:ascii="標楷體" w:eastAsia="標楷體" w:hAnsi="標楷體"/>
                              </w:rPr>
                              <w:t>0,880</w:t>
                            </w:r>
                          </w:p>
                        </w:tc>
                      </w:tr>
                      <w:tr w:rsidR="0050059F" w:rsidRPr="007B608E" w14:paraId="2F2FBC05" w14:textId="77777777" w:rsidTr="00824CD6">
                        <w:trPr>
                          <w:trHeight w:val="284"/>
                        </w:trPr>
                        <w:tc>
                          <w:tcPr>
                            <w:tcW w:w="1134" w:type="dxa"/>
                            <w:vMerge w:val="restart"/>
                            <w:tcBorders>
                              <w:left w:val="single" w:sz="4" w:space="0" w:color="auto"/>
                              <w:right w:val="single" w:sz="4" w:space="0" w:color="auto"/>
                            </w:tcBorders>
                            <w:vAlign w:val="center"/>
                          </w:tcPr>
                          <w:p w14:paraId="664A92F2" w14:textId="77777777" w:rsidR="0050059F" w:rsidRPr="00917F50" w:rsidRDefault="0050059F" w:rsidP="00824CD6">
                            <w:pPr>
                              <w:spacing w:line="230" w:lineRule="exact"/>
                              <w:rPr>
                                <w:rFonts w:ascii="標楷體" w:eastAsia="標楷體" w:hAnsi="標楷體"/>
                                <w:spacing w:val="-10"/>
                              </w:rPr>
                            </w:pPr>
                            <w:r w:rsidRPr="00917F50">
                              <w:rPr>
                                <w:rFonts w:ascii="標楷體" w:eastAsia="標楷體" w:hAnsi="標楷體" w:hint="eastAsia"/>
                                <w:spacing w:val="-10"/>
                              </w:rPr>
                              <w:t>蘆洲</w:t>
                            </w:r>
                          </w:p>
                        </w:tc>
                        <w:tc>
                          <w:tcPr>
                            <w:tcW w:w="868" w:type="dxa"/>
                            <w:tcBorders>
                              <w:left w:val="single" w:sz="4" w:space="0" w:color="auto"/>
                              <w:right w:val="single" w:sz="4" w:space="0" w:color="auto"/>
                            </w:tcBorders>
                            <w:vAlign w:val="center"/>
                          </w:tcPr>
                          <w:p w14:paraId="55F4310B"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三民路376號</w:t>
                            </w:r>
                          </w:p>
                        </w:tc>
                        <w:tc>
                          <w:tcPr>
                            <w:tcW w:w="1372" w:type="dxa"/>
                            <w:tcBorders>
                              <w:top w:val="single" w:sz="4" w:space="0" w:color="auto"/>
                              <w:left w:val="single" w:sz="4" w:space="0" w:color="auto"/>
                              <w:bottom w:val="single" w:sz="4" w:space="0" w:color="auto"/>
                              <w:right w:val="single" w:sz="4" w:space="0" w:color="auto"/>
                            </w:tcBorders>
                            <w:vAlign w:val="center"/>
                          </w:tcPr>
                          <w:p w14:paraId="140A58C0"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108年1月至113.1.</w:t>
                            </w:r>
                            <w:r w:rsidRPr="00917F50">
                              <w:rPr>
                                <w:rFonts w:ascii="標楷體" w:eastAsia="標楷體" w:hAnsi="標楷體"/>
                              </w:rPr>
                              <w:t>1</w:t>
                            </w:r>
                            <w:r w:rsidRPr="00917F50">
                              <w:rPr>
                                <w:rFonts w:ascii="標楷體" w:eastAsia="標楷體" w:hAnsi="標楷體" w:hint="eastAsia"/>
                              </w:rPr>
                              <w:t>8</w:t>
                            </w:r>
                          </w:p>
                        </w:tc>
                        <w:tc>
                          <w:tcPr>
                            <w:tcW w:w="1302" w:type="dxa"/>
                            <w:vMerge w:val="restart"/>
                            <w:tcBorders>
                              <w:top w:val="single" w:sz="4" w:space="0" w:color="auto"/>
                              <w:left w:val="single" w:sz="4" w:space="0" w:color="auto"/>
                              <w:right w:val="single" w:sz="4" w:space="0" w:color="auto"/>
                            </w:tcBorders>
                            <w:vAlign w:val="center"/>
                          </w:tcPr>
                          <w:p w14:paraId="6BFB8AD9" w14:textId="77777777" w:rsidR="0050059F" w:rsidRPr="00917F50" w:rsidRDefault="0050059F" w:rsidP="00C254C1">
                            <w:pPr>
                              <w:spacing w:line="230" w:lineRule="exact"/>
                              <w:jc w:val="center"/>
                              <w:rPr>
                                <w:rFonts w:ascii="標楷體" w:eastAsia="標楷體" w:hAnsi="標楷體"/>
                              </w:rPr>
                            </w:pPr>
                            <w:r w:rsidRPr="00917F50">
                              <w:rPr>
                                <w:rFonts w:ascii="標楷體" w:eastAsia="標楷體" w:hAnsi="標楷體" w:hint="eastAsia"/>
                              </w:rPr>
                              <w:t>1</w:t>
                            </w:r>
                            <w:r w:rsidRPr="00917F50">
                              <w:rPr>
                                <w:rFonts w:ascii="標楷體" w:eastAsia="標楷體" w:hAnsi="標楷體"/>
                              </w:rPr>
                              <w:t>12.11.21</w:t>
                            </w:r>
                          </w:p>
                        </w:tc>
                        <w:tc>
                          <w:tcPr>
                            <w:tcW w:w="1231" w:type="dxa"/>
                            <w:tcBorders>
                              <w:top w:val="single" w:sz="4" w:space="0" w:color="auto"/>
                              <w:left w:val="single" w:sz="4" w:space="0" w:color="auto"/>
                              <w:bottom w:val="single" w:sz="4" w:space="0" w:color="auto"/>
                              <w:right w:val="single" w:sz="4" w:space="0" w:color="auto"/>
                            </w:tcBorders>
                            <w:vAlign w:val="center"/>
                          </w:tcPr>
                          <w:p w14:paraId="2C0AA384"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1</w:t>
                            </w:r>
                            <w:r w:rsidRPr="00917F50">
                              <w:rPr>
                                <w:rFonts w:ascii="標楷體" w:eastAsia="標楷體" w:hAnsi="標楷體"/>
                              </w:rPr>
                              <w:t>6</w:t>
                            </w:r>
                            <w:r w:rsidRPr="00917F50">
                              <w:rPr>
                                <w:rFonts w:ascii="標楷體" w:eastAsia="標楷體" w:hAnsi="標楷體" w:hint="eastAsia"/>
                              </w:rPr>
                              <w:t>6</w:t>
                            </w:r>
                            <w:r w:rsidRPr="00917F50">
                              <w:rPr>
                                <w:rFonts w:ascii="標楷體" w:eastAsia="標楷體" w:hAnsi="標楷體"/>
                              </w:rPr>
                              <w:t>,589</w:t>
                            </w:r>
                          </w:p>
                        </w:tc>
                      </w:tr>
                      <w:tr w:rsidR="0050059F" w:rsidRPr="007B608E" w14:paraId="0C3414F8" w14:textId="77777777" w:rsidTr="00824CD6">
                        <w:trPr>
                          <w:trHeight w:val="284"/>
                        </w:trPr>
                        <w:tc>
                          <w:tcPr>
                            <w:tcW w:w="1134" w:type="dxa"/>
                            <w:vMerge/>
                            <w:tcBorders>
                              <w:left w:val="single" w:sz="4" w:space="0" w:color="auto"/>
                              <w:right w:val="single" w:sz="4" w:space="0" w:color="auto"/>
                            </w:tcBorders>
                            <w:vAlign w:val="center"/>
                          </w:tcPr>
                          <w:p w14:paraId="554CE714" w14:textId="77777777" w:rsidR="0050059F" w:rsidRPr="00917F50" w:rsidRDefault="0050059F" w:rsidP="00824CD6">
                            <w:pPr>
                              <w:spacing w:line="230" w:lineRule="exact"/>
                              <w:rPr>
                                <w:rFonts w:ascii="標楷體" w:eastAsia="標楷體" w:hAnsi="標楷體"/>
                              </w:rPr>
                            </w:pPr>
                          </w:p>
                        </w:tc>
                        <w:tc>
                          <w:tcPr>
                            <w:tcW w:w="868" w:type="dxa"/>
                            <w:tcBorders>
                              <w:left w:val="single" w:sz="4" w:space="0" w:color="auto"/>
                              <w:right w:val="single" w:sz="4" w:space="0" w:color="auto"/>
                            </w:tcBorders>
                            <w:vAlign w:val="center"/>
                          </w:tcPr>
                          <w:p w14:paraId="0249CD40"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三民路368號</w:t>
                            </w:r>
                          </w:p>
                        </w:tc>
                        <w:tc>
                          <w:tcPr>
                            <w:tcW w:w="1372" w:type="dxa"/>
                            <w:tcBorders>
                              <w:top w:val="single" w:sz="4" w:space="0" w:color="auto"/>
                              <w:left w:val="single" w:sz="4" w:space="0" w:color="auto"/>
                              <w:bottom w:val="single" w:sz="4" w:space="0" w:color="auto"/>
                              <w:right w:val="single" w:sz="4" w:space="0" w:color="auto"/>
                            </w:tcBorders>
                            <w:vAlign w:val="center"/>
                          </w:tcPr>
                          <w:p w14:paraId="6453C1B3"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108年1月至</w:t>
                            </w:r>
                          </w:p>
                          <w:p w14:paraId="7C3AEBBC"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113.1.</w:t>
                            </w:r>
                            <w:r w:rsidRPr="00917F50">
                              <w:rPr>
                                <w:rFonts w:ascii="標楷體" w:eastAsia="標楷體" w:hAnsi="標楷體"/>
                              </w:rPr>
                              <w:t>1</w:t>
                            </w:r>
                            <w:r w:rsidRPr="00917F50">
                              <w:rPr>
                                <w:rFonts w:ascii="標楷體" w:eastAsia="標楷體" w:hAnsi="標楷體" w:hint="eastAsia"/>
                              </w:rPr>
                              <w:t>8</w:t>
                            </w:r>
                          </w:p>
                        </w:tc>
                        <w:tc>
                          <w:tcPr>
                            <w:tcW w:w="1302" w:type="dxa"/>
                            <w:vMerge/>
                            <w:tcBorders>
                              <w:left w:val="single" w:sz="4" w:space="0" w:color="auto"/>
                              <w:right w:val="single" w:sz="4" w:space="0" w:color="auto"/>
                            </w:tcBorders>
                            <w:vAlign w:val="center"/>
                          </w:tcPr>
                          <w:p w14:paraId="7B7277DD" w14:textId="77777777" w:rsidR="0050059F" w:rsidRPr="00917F50" w:rsidRDefault="0050059F" w:rsidP="00824CD6">
                            <w:pPr>
                              <w:spacing w:line="230" w:lineRule="exact"/>
                              <w:rPr>
                                <w:rFonts w:ascii="標楷體" w:eastAsia="標楷體" w:hAnsi="標楷體"/>
                              </w:rPr>
                            </w:pPr>
                          </w:p>
                        </w:tc>
                        <w:tc>
                          <w:tcPr>
                            <w:tcW w:w="1231" w:type="dxa"/>
                            <w:tcBorders>
                              <w:top w:val="single" w:sz="4" w:space="0" w:color="auto"/>
                              <w:left w:val="single" w:sz="4" w:space="0" w:color="auto"/>
                              <w:bottom w:val="single" w:sz="4" w:space="0" w:color="auto"/>
                              <w:right w:val="single" w:sz="4" w:space="0" w:color="auto"/>
                            </w:tcBorders>
                            <w:vAlign w:val="center"/>
                          </w:tcPr>
                          <w:p w14:paraId="716D6121"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1</w:t>
                            </w:r>
                            <w:r w:rsidRPr="00917F50">
                              <w:rPr>
                                <w:rFonts w:ascii="標楷體" w:eastAsia="標楷體" w:hAnsi="標楷體"/>
                              </w:rPr>
                              <w:t>93,051</w:t>
                            </w:r>
                          </w:p>
                        </w:tc>
                      </w:tr>
                      <w:tr w:rsidR="0050059F" w:rsidRPr="007B608E" w14:paraId="55C5C09E" w14:textId="77777777" w:rsidTr="00824CD6">
                        <w:trPr>
                          <w:trHeight w:val="284"/>
                        </w:trPr>
                        <w:tc>
                          <w:tcPr>
                            <w:tcW w:w="1134" w:type="dxa"/>
                            <w:vMerge/>
                            <w:tcBorders>
                              <w:left w:val="single" w:sz="4" w:space="0" w:color="auto"/>
                              <w:right w:val="single" w:sz="4" w:space="0" w:color="auto"/>
                            </w:tcBorders>
                            <w:vAlign w:val="center"/>
                          </w:tcPr>
                          <w:p w14:paraId="451529D0" w14:textId="77777777" w:rsidR="0050059F" w:rsidRPr="00917F50" w:rsidRDefault="0050059F" w:rsidP="00824CD6">
                            <w:pPr>
                              <w:spacing w:line="230" w:lineRule="exact"/>
                              <w:rPr>
                                <w:rFonts w:ascii="標楷體" w:eastAsia="標楷體" w:hAnsi="標楷體"/>
                              </w:rPr>
                            </w:pPr>
                          </w:p>
                        </w:tc>
                        <w:tc>
                          <w:tcPr>
                            <w:tcW w:w="868" w:type="dxa"/>
                            <w:tcBorders>
                              <w:left w:val="single" w:sz="4" w:space="0" w:color="auto"/>
                              <w:right w:val="single" w:sz="4" w:space="0" w:color="auto"/>
                            </w:tcBorders>
                            <w:vAlign w:val="center"/>
                          </w:tcPr>
                          <w:p w14:paraId="57F1E17C"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三民路368號</w:t>
                            </w:r>
                          </w:p>
                        </w:tc>
                        <w:tc>
                          <w:tcPr>
                            <w:tcW w:w="1372" w:type="dxa"/>
                            <w:tcBorders>
                              <w:top w:val="single" w:sz="4" w:space="0" w:color="auto"/>
                              <w:left w:val="single" w:sz="4" w:space="0" w:color="auto"/>
                              <w:bottom w:val="single" w:sz="4" w:space="0" w:color="auto"/>
                              <w:right w:val="single" w:sz="4" w:space="0" w:color="auto"/>
                            </w:tcBorders>
                            <w:vAlign w:val="center"/>
                          </w:tcPr>
                          <w:p w14:paraId="7564327A"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108年1月至113.1.</w:t>
                            </w:r>
                            <w:r w:rsidRPr="00917F50">
                              <w:rPr>
                                <w:rFonts w:ascii="標楷體" w:eastAsia="標楷體" w:hAnsi="標楷體"/>
                              </w:rPr>
                              <w:t>1</w:t>
                            </w:r>
                            <w:r w:rsidRPr="00917F50">
                              <w:rPr>
                                <w:rFonts w:ascii="標楷體" w:eastAsia="標楷體" w:hAnsi="標楷體" w:hint="eastAsia"/>
                              </w:rPr>
                              <w:t>8</w:t>
                            </w:r>
                          </w:p>
                        </w:tc>
                        <w:tc>
                          <w:tcPr>
                            <w:tcW w:w="1302" w:type="dxa"/>
                            <w:vMerge/>
                            <w:tcBorders>
                              <w:left w:val="single" w:sz="4" w:space="0" w:color="auto"/>
                              <w:right w:val="single" w:sz="4" w:space="0" w:color="auto"/>
                            </w:tcBorders>
                            <w:vAlign w:val="center"/>
                          </w:tcPr>
                          <w:p w14:paraId="1FF169C2" w14:textId="77777777" w:rsidR="0050059F" w:rsidRPr="00917F50" w:rsidRDefault="0050059F" w:rsidP="00824CD6">
                            <w:pPr>
                              <w:spacing w:line="230" w:lineRule="exact"/>
                              <w:rPr>
                                <w:rFonts w:ascii="標楷體" w:eastAsia="標楷體" w:hAnsi="標楷體"/>
                              </w:rPr>
                            </w:pPr>
                          </w:p>
                        </w:tc>
                        <w:tc>
                          <w:tcPr>
                            <w:tcW w:w="1231" w:type="dxa"/>
                            <w:tcBorders>
                              <w:top w:val="single" w:sz="4" w:space="0" w:color="auto"/>
                              <w:left w:val="single" w:sz="4" w:space="0" w:color="auto"/>
                              <w:bottom w:val="single" w:sz="4" w:space="0" w:color="auto"/>
                              <w:right w:val="single" w:sz="4" w:space="0" w:color="auto"/>
                            </w:tcBorders>
                            <w:vAlign w:val="center"/>
                          </w:tcPr>
                          <w:p w14:paraId="0B72FFA3"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7</w:t>
                            </w:r>
                            <w:r w:rsidRPr="00917F50">
                              <w:rPr>
                                <w:rFonts w:ascii="標楷體" w:eastAsia="標楷體" w:hAnsi="標楷體"/>
                              </w:rPr>
                              <w:t>9,968</w:t>
                            </w:r>
                          </w:p>
                        </w:tc>
                      </w:tr>
                      <w:tr w:rsidR="0050059F" w:rsidRPr="007B608E" w14:paraId="2A0B9817" w14:textId="77777777" w:rsidTr="00824CD6">
                        <w:trPr>
                          <w:trHeight w:val="284"/>
                        </w:trPr>
                        <w:tc>
                          <w:tcPr>
                            <w:tcW w:w="1134" w:type="dxa"/>
                            <w:vMerge/>
                            <w:tcBorders>
                              <w:left w:val="single" w:sz="4" w:space="0" w:color="auto"/>
                              <w:right w:val="single" w:sz="4" w:space="0" w:color="auto"/>
                            </w:tcBorders>
                            <w:vAlign w:val="center"/>
                          </w:tcPr>
                          <w:p w14:paraId="1E7B5447" w14:textId="77777777" w:rsidR="0050059F" w:rsidRPr="00917F50" w:rsidRDefault="0050059F" w:rsidP="00824CD6">
                            <w:pPr>
                              <w:spacing w:line="230" w:lineRule="exact"/>
                              <w:rPr>
                                <w:rFonts w:ascii="標楷體" w:eastAsia="標楷體" w:hAnsi="標楷體"/>
                              </w:rPr>
                            </w:pPr>
                          </w:p>
                        </w:tc>
                        <w:tc>
                          <w:tcPr>
                            <w:tcW w:w="868" w:type="dxa"/>
                            <w:tcBorders>
                              <w:left w:val="single" w:sz="4" w:space="0" w:color="auto"/>
                              <w:right w:val="single" w:sz="4" w:space="0" w:color="auto"/>
                            </w:tcBorders>
                            <w:vAlign w:val="center"/>
                          </w:tcPr>
                          <w:p w14:paraId="7C5CEA53"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三民路368號</w:t>
                            </w:r>
                          </w:p>
                        </w:tc>
                        <w:tc>
                          <w:tcPr>
                            <w:tcW w:w="1372" w:type="dxa"/>
                            <w:tcBorders>
                              <w:top w:val="single" w:sz="4" w:space="0" w:color="auto"/>
                              <w:left w:val="single" w:sz="4" w:space="0" w:color="auto"/>
                              <w:bottom w:val="single" w:sz="4" w:space="0" w:color="auto"/>
                              <w:right w:val="single" w:sz="4" w:space="0" w:color="auto"/>
                            </w:tcBorders>
                            <w:vAlign w:val="center"/>
                          </w:tcPr>
                          <w:p w14:paraId="13967DBF"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108年1月至113.1.</w:t>
                            </w:r>
                            <w:r w:rsidRPr="00917F50">
                              <w:rPr>
                                <w:rFonts w:ascii="標楷體" w:eastAsia="標楷體" w:hAnsi="標楷體"/>
                              </w:rPr>
                              <w:t>1</w:t>
                            </w:r>
                            <w:r w:rsidRPr="00917F50">
                              <w:rPr>
                                <w:rFonts w:ascii="標楷體" w:eastAsia="標楷體" w:hAnsi="標楷體" w:hint="eastAsia"/>
                              </w:rPr>
                              <w:t>8</w:t>
                            </w:r>
                          </w:p>
                        </w:tc>
                        <w:tc>
                          <w:tcPr>
                            <w:tcW w:w="1302" w:type="dxa"/>
                            <w:vMerge/>
                            <w:tcBorders>
                              <w:left w:val="single" w:sz="4" w:space="0" w:color="auto"/>
                              <w:right w:val="single" w:sz="4" w:space="0" w:color="auto"/>
                            </w:tcBorders>
                            <w:vAlign w:val="center"/>
                          </w:tcPr>
                          <w:p w14:paraId="0F62CB27" w14:textId="77777777" w:rsidR="0050059F" w:rsidRPr="00917F50" w:rsidRDefault="0050059F" w:rsidP="00824CD6">
                            <w:pPr>
                              <w:spacing w:line="230" w:lineRule="exact"/>
                              <w:rPr>
                                <w:rFonts w:ascii="標楷體" w:eastAsia="標楷體" w:hAnsi="標楷體"/>
                              </w:rPr>
                            </w:pPr>
                          </w:p>
                        </w:tc>
                        <w:tc>
                          <w:tcPr>
                            <w:tcW w:w="1231" w:type="dxa"/>
                            <w:tcBorders>
                              <w:top w:val="single" w:sz="4" w:space="0" w:color="auto"/>
                              <w:left w:val="single" w:sz="4" w:space="0" w:color="auto"/>
                              <w:bottom w:val="single" w:sz="4" w:space="0" w:color="auto"/>
                              <w:right w:val="single" w:sz="4" w:space="0" w:color="auto"/>
                            </w:tcBorders>
                            <w:vAlign w:val="center"/>
                          </w:tcPr>
                          <w:p w14:paraId="5C184493"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2</w:t>
                            </w:r>
                            <w:r w:rsidRPr="00917F50">
                              <w:rPr>
                                <w:rFonts w:ascii="標楷體" w:eastAsia="標楷體" w:hAnsi="標楷體"/>
                              </w:rPr>
                              <w:t>00,156</w:t>
                            </w:r>
                          </w:p>
                        </w:tc>
                      </w:tr>
                      <w:tr w:rsidR="0050059F" w:rsidRPr="007B608E" w14:paraId="6681812B" w14:textId="77777777" w:rsidTr="00824CD6">
                        <w:trPr>
                          <w:trHeight w:val="284"/>
                        </w:trPr>
                        <w:tc>
                          <w:tcPr>
                            <w:tcW w:w="1134" w:type="dxa"/>
                            <w:vMerge/>
                            <w:tcBorders>
                              <w:left w:val="single" w:sz="4" w:space="0" w:color="auto"/>
                              <w:bottom w:val="single" w:sz="4" w:space="0" w:color="auto"/>
                              <w:right w:val="single" w:sz="4" w:space="0" w:color="auto"/>
                            </w:tcBorders>
                            <w:vAlign w:val="center"/>
                          </w:tcPr>
                          <w:p w14:paraId="19D67849" w14:textId="77777777" w:rsidR="0050059F" w:rsidRPr="00917F50" w:rsidRDefault="0050059F" w:rsidP="00824CD6">
                            <w:pPr>
                              <w:spacing w:line="230" w:lineRule="exact"/>
                              <w:ind w:leftChars="-22" w:left="-53" w:firstLine="400"/>
                              <w:jc w:val="center"/>
                              <w:rPr>
                                <w:rFonts w:ascii="標楷體" w:eastAsia="標楷體" w:hAnsi="標楷體"/>
                              </w:rPr>
                            </w:pPr>
                          </w:p>
                        </w:tc>
                        <w:tc>
                          <w:tcPr>
                            <w:tcW w:w="868" w:type="dxa"/>
                            <w:tcBorders>
                              <w:left w:val="single" w:sz="4" w:space="0" w:color="auto"/>
                              <w:bottom w:val="single" w:sz="4" w:space="0" w:color="auto"/>
                              <w:right w:val="single" w:sz="4" w:space="0" w:color="auto"/>
                            </w:tcBorders>
                            <w:vAlign w:val="center"/>
                          </w:tcPr>
                          <w:p w14:paraId="53D13866" w14:textId="77777777" w:rsidR="0050059F" w:rsidRPr="00917F50" w:rsidRDefault="0050059F" w:rsidP="00824CD6">
                            <w:pPr>
                              <w:spacing w:line="230" w:lineRule="exact"/>
                              <w:rPr>
                                <w:rFonts w:ascii="標楷體" w:eastAsia="標楷體" w:hAnsi="標楷體"/>
                              </w:rPr>
                            </w:pPr>
                            <w:r w:rsidRPr="00917F50">
                              <w:rPr>
                                <w:rFonts w:ascii="標楷體" w:eastAsia="標楷體" w:hAnsi="標楷體" w:hint="eastAsia"/>
                              </w:rPr>
                              <w:t>三民路3</w:t>
                            </w:r>
                            <w:r w:rsidRPr="00917F50">
                              <w:rPr>
                                <w:rFonts w:ascii="標楷體" w:eastAsia="標楷體" w:hAnsi="標楷體"/>
                              </w:rPr>
                              <w:t>7</w:t>
                            </w:r>
                            <w:r w:rsidRPr="00917F50">
                              <w:rPr>
                                <w:rFonts w:ascii="標楷體" w:eastAsia="標楷體" w:hAnsi="標楷體" w:hint="eastAsia"/>
                              </w:rPr>
                              <w:t>8號</w:t>
                            </w:r>
                          </w:p>
                        </w:tc>
                        <w:tc>
                          <w:tcPr>
                            <w:tcW w:w="1372" w:type="dxa"/>
                            <w:tcBorders>
                              <w:top w:val="single" w:sz="4" w:space="0" w:color="auto"/>
                              <w:left w:val="single" w:sz="4" w:space="0" w:color="auto"/>
                              <w:bottom w:val="single" w:sz="4" w:space="0" w:color="auto"/>
                              <w:right w:val="single" w:sz="4" w:space="0" w:color="auto"/>
                            </w:tcBorders>
                            <w:vAlign w:val="center"/>
                          </w:tcPr>
                          <w:p w14:paraId="1C6D7D85" w14:textId="77777777" w:rsidR="0050059F" w:rsidRPr="00917F50" w:rsidRDefault="0050059F" w:rsidP="00824CD6">
                            <w:pPr>
                              <w:spacing w:line="230" w:lineRule="exact"/>
                              <w:ind w:leftChars="-22" w:left="-53"/>
                              <w:rPr>
                                <w:rFonts w:ascii="標楷體" w:eastAsia="標楷體" w:hAnsi="標楷體"/>
                              </w:rPr>
                            </w:pPr>
                            <w:r w:rsidRPr="00917F50">
                              <w:rPr>
                                <w:rFonts w:ascii="標楷體" w:eastAsia="標楷體" w:hAnsi="標楷體" w:hint="eastAsia"/>
                              </w:rPr>
                              <w:t>108年1月至113.1.</w:t>
                            </w:r>
                            <w:r w:rsidRPr="00917F50">
                              <w:rPr>
                                <w:rFonts w:ascii="標楷體" w:eastAsia="標楷體" w:hAnsi="標楷體"/>
                              </w:rPr>
                              <w:t>1</w:t>
                            </w:r>
                            <w:r w:rsidRPr="00917F50">
                              <w:rPr>
                                <w:rFonts w:ascii="標楷體" w:eastAsia="標楷體" w:hAnsi="標楷體" w:hint="eastAsia"/>
                              </w:rPr>
                              <w:t>8</w:t>
                            </w:r>
                          </w:p>
                        </w:tc>
                        <w:tc>
                          <w:tcPr>
                            <w:tcW w:w="1302" w:type="dxa"/>
                            <w:vMerge/>
                            <w:tcBorders>
                              <w:left w:val="single" w:sz="4" w:space="0" w:color="auto"/>
                              <w:bottom w:val="single" w:sz="4" w:space="0" w:color="auto"/>
                              <w:right w:val="single" w:sz="4" w:space="0" w:color="auto"/>
                            </w:tcBorders>
                            <w:vAlign w:val="center"/>
                          </w:tcPr>
                          <w:p w14:paraId="2F751057" w14:textId="77777777" w:rsidR="0050059F" w:rsidRPr="00917F50" w:rsidRDefault="0050059F" w:rsidP="00824CD6">
                            <w:pPr>
                              <w:spacing w:line="230" w:lineRule="exact"/>
                              <w:ind w:firstLine="400"/>
                              <w:jc w:val="center"/>
                              <w:rPr>
                                <w:rFonts w:ascii="標楷體" w:eastAsia="標楷體" w:hAnsi="標楷體"/>
                              </w:rPr>
                            </w:pPr>
                          </w:p>
                        </w:tc>
                        <w:tc>
                          <w:tcPr>
                            <w:tcW w:w="1231" w:type="dxa"/>
                            <w:tcBorders>
                              <w:top w:val="single" w:sz="4" w:space="0" w:color="auto"/>
                              <w:left w:val="single" w:sz="4" w:space="0" w:color="auto"/>
                              <w:bottom w:val="single" w:sz="4" w:space="0" w:color="auto"/>
                              <w:right w:val="single" w:sz="4" w:space="0" w:color="auto"/>
                            </w:tcBorders>
                            <w:vAlign w:val="center"/>
                          </w:tcPr>
                          <w:p w14:paraId="390095D9" w14:textId="77777777" w:rsidR="0050059F" w:rsidRPr="00917F50" w:rsidRDefault="0050059F" w:rsidP="00824CD6">
                            <w:pPr>
                              <w:spacing w:line="230" w:lineRule="exact"/>
                              <w:jc w:val="right"/>
                              <w:rPr>
                                <w:rFonts w:ascii="標楷體" w:eastAsia="標楷體" w:hAnsi="標楷體"/>
                              </w:rPr>
                            </w:pPr>
                            <w:r w:rsidRPr="00917F50">
                              <w:rPr>
                                <w:rFonts w:ascii="標楷體" w:eastAsia="標楷體" w:hAnsi="標楷體" w:hint="eastAsia"/>
                              </w:rPr>
                              <w:t>1</w:t>
                            </w:r>
                            <w:r w:rsidRPr="00917F50">
                              <w:rPr>
                                <w:rFonts w:ascii="標楷體" w:eastAsia="標楷體" w:hAnsi="標楷體"/>
                              </w:rPr>
                              <w:t>50,161</w:t>
                            </w:r>
                          </w:p>
                        </w:tc>
                      </w:tr>
                    </w:tbl>
                    <w:p w14:paraId="11453893" w14:textId="77777777" w:rsidR="0050059F" w:rsidRPr="007B608E" w:rsidRDefault="0050059F" w:rsidP="0050059F">
                      <w:pPr>
                        <w:spacing w:beforeLines="10" w:before="36" w:line="240" w:lineRule="exact"/>
                        <w:ind w:left="540" w:hangingChars="300" w:hanging="540"/>
                        <w:jc w:val="both"/>
                        <w:rPr>
                          <w:rFonts w:ascii="標楷體" w:eastAsia="標楷體" w:hAnsi="標楷體"/>
                          <w:sz w:val="18"/>
                          <w:szCs w:val="18"/>
                        </w:rPr>
                      </w:pPr>
                      <w:proofErr w:type="gramStart"/>
                      <w:r w:rsidRPr="007B608E">
                        <w:rPr>
                          <w:rFonts w:ascii="標楷體" w:eastAsia="標楷體" w:hAnsi="標楷體" w:hint="eastAsia"/>
                          <w:sz w:val="18"/>
                          <w:szCs w:val="18"/>
                        </w:rPr>
                        <w:t>註</w:t>
                      </w:r>
                      <w:proofErr w:type="gramEnd"/>
                      <w:r>
                        <w:rPr>
                          <w:rFonts w:ascii="標楷體" w:eastAsia="標楷體" w:hAnsi="標楷體" w:hint="eastAsia"/>
                          <w:sz w:val="18"/>
                          <w:szCs w:val="18"/>
                        </w:rPr>
                        <w:t>：</w:t>
                      </w:r>
                      <w:r w:rsidRPr="007B608E">
                        <w:rPr>
                          <w:rFonts w:ascii="標楷體" w:eastAsia="標楷體" w:hAnsi="標楷體" w:hint="eastAsia"/>
                          <w:sz w:val="18"/>
                          <w:szCs w:val="18"/>
                        </w:rPr>
                        <w:t>1.</w:t>
                      </w:r>
                      <w:r>
                        <w:rPr>
                          <w:rFonts w:ascii="標楷體" w:eastAsia="標楷體" w:hAnsi="標楷體" w:hint="eastAsia"/>
                          <w:sz w:val="18"/>
                          <w:szCs w:val="18"/>
                        </w:rPr>
                        <w:t>每月租金差異=（</w:t>
                      </w:r>
                      <w:r w:rsidRPr="00F856B4">
                        <w:rPr>
                          <w:rFonts w:ascii="標楷體" w:eastAsia="標楷體" w:hAnsi="標楷體" w:hint="eastAsia"/>
                          <w:sz w:val="18"/>
                          <w:szCs w:val="18"/>
                        </w:rPr>
                        <w:t>財審會通過</w:t>
                      </w:r>
                      <w:r>
                        <w:rPr>
                          <w:rFonts w:ascii="標楷體" w:eastAsia="標楷體" w:hAnsi="標楷體" w:hint="eastAsia"/>
                          <w:sz w:val="18"/>
                          <w:szCs w:val="18"/>
                        </w:rPr>
                        <w:t>「</w:t>
                      </w:r>
                      <w:r w:rsidRPr="00F856B4">
                        <w:rPr>
                          <w:rFonts w:ascii="標楷體" w:eastAsia="標楷體" w:hAnsi="標楷體" w:hint="eastAsia"/>
                          <w:sz w:val="18"/>
                          <w:szCs w:val="18"/>
                        </w:rPr>
                        <w:t>不動產總值(含停車位)</w:t>
                      </w:r>
                      <w:r>
                        <w:rPr>
                          <w:rFonts w:ascii="標楷體" w:eastAsia="標楷體" w:hAnsi="標楷體" w:hint="eastAsia"/>
                          <w:sz w:val="18"/>
                          <w:szCs w:val="18"/>
                        </w:rPr>
                        <w:t>」</w:t>
                      </w:r>
                      <w:r w:rsidRPr="009064AD">
                        <w:rPr>
                          <w:rFonts w:ascii="標楷體" w:eastAsia="標楷體" w:hAnsi="標楷體" w:hint="eastAsia"/>
                          <w:sz w:val="18"/>
                          <w:szCs w:val="18"/>
                        </w:rPr>
                        <w:t>×</w:t>
                      </w:r>
                      <w:r>
                        <w:rPr>
                          <w:rFonts w:ascii="標楷體" w:eastAsia="標楷體" w:hAnsi="標楷體" w:hint="eastAsia"/>
                          <w:sz w:val="18"/>
                          <w:szCs w:val="18"/>
                        </w:rPr>
                        <w:t>「</w:t>
                      </w:r>
                      <w:r w:rsidRPr="00F856B4">
                        <w:rPr>
                          <w:rFonts w:ascii="標楷體" w:eastAsia="標楷體" w:hAnsi="標楷體" w:hint="eastAsia"/>
                          <w:sz w:val="18"/>
                          <w:szCs w:val="18"/>
                        </w:rPr>
                        <w:t>估價師</w:t>
                      </w:r>
                      <w:proofErr w:type="gramStart"/>
                      <w:r w:rsidRPr="00F856B4">
                        <w:rPr>
                          <w:rFonts w:ascii="標楷體" w:eastAsia="標楷體" w:hAnsi="標楷體" w:hint="eastAsia"/>
                          <w:sz w:val="18"/>
                          <w:szCs w:val="18"/>
                        </w:rPr>
                        <w:t>鑑價</w:t>
                      </w:r>
                      <w:r>
                        <w:rPr>
                          <w:rFonts w:ascii="標楷體" w:eastAsia="標楷體" w:hAnsi="標楷體" w:hint="eastAsia"/>
                          <w:sz w:val="18"/>
                          <w:szCs w:val="18"/>
                        </w:rPr>
                        <w:t>年</w:t>
                      </w:r>
                      <w:proofErr w:type="gramEnd"/>
                      <w:r w:rsidRPr="00F856B4">
                        <w:rPr>
                          <w:rFonts w:ascii="標楷體" w:eastAsia="標楷體" w:hAnsi="標楷體" w:hint="eastAsia"/>
                          <w:sz w:val="18"/>
                          <w:szCs w:val="18"/>
                        </w:rPr>
                        <w:t>租率</w:t>
                      </w:r>
                      <w:r>
                        <w:rPr>
                          <w:rFonts w:ascii="標楷體" w:eastAsia="標楷體" w:hAnsi="標楷體" w:hint="eastAsia"/>
                          <w:sz w:val="18"/>
                          <w:szCs w:val="18"/>
                        </w:rPr>
                        <w:t>」）/</w:t>
                      </w:r>
                      <w:r>
                        <w:rPr>
                          <w:rFonts w:ascii="標楷體" w:eastAsia="標楷體" w:hAnsi="標楷體"/>
                          <w:sz w:val="18"/>
                          <w:szCs w:val="18"/>
                        </w:rPr>
                        <w:t>12</w:t>
                      </w:r>
                      <w:r>
                        <w:rPr>
                          <w:rFonts w:ascii="標楷體" w:eastAsia="標楷體" w:hAnsi="標楷體" w:hint="eastAsia"/>
                          <w:sz w:val="18"/>
                          <w:szCs w:val="18"/>
                        </w:rPr>
                        <w:t>-捷運工程局自訂</w:t>
                      </w:r>
                      <w:r w:rsidRPr="00F856B4">
                        <w:rPr>
                          <w:rFonts w:ascii="標楷體" w:eastAsia="標楷體" w:hAnsi="標楷體" w:hint="eastAsia"/>
                          <w:sz w:val="18"/>
                          <w:szCs w:val="18"/>
                        </w:rPr>
                        <w:t>續約</w:t>
                      </w:r>
                      <w:r>
                        <w:rPr>
                          <w:rFonts w:ascii="標楷體" w:eastAsia="標楷體" w:hAnsi="標楷體" w:hint="eastAsia"/>
                          <w:sz w:val="18"/>
                          <w:szCs w:val="18"/>
                        </w:rPr>
                        <w:t>月租金費率；</w:t>
                      </w:r>
                      <w:r w:rsidRPr="00F856B4">
                        <w:rPr>
                          <w:rFonts w:ascii="標楷體" w:eastAsia="標楷體" w:hAnsi="標楷體" w:hint="eastAsia"/>
                          <w:sz w:val="18"/>
                          <w:szCs w:val="18"/>
                        </w:rPr>
                        <w:t>續約期間差異金額</w:t>
                      </w:r>
                      <w:r>
                        <w:rPr>
                          <w:rFonts w:ascii="標楷體" w:eastAsia="標楷體" w:hAnsi="標楷體" w:hint="eastAsia"/>
                          <w:sz w:val="18"/>
                          <w:szCs w:val="18"/>
                        </w:rPr>
                        <w:t>＝契約月數</w:t>
                      </w:r>
                      <w:r w:rsidRPr="009064AD">
                        <w:rPr>
                          <w:rFonts w:ascii="標楷體" w:eastAsia="標楷體" w:hAnsi="標楷體" w:hint="eastAsia"/>
                          <w:sz w:val="18"/>
                          <w:szCs w:val="18"/>
                        </w:rPr>
                        <w:t>×</w:t>
                      </w:r>
                      <w:r>
                        <w:rPr>
                          <w:rFonts w:ascii="標楷體" w:eastAsia="標楷體" w:hAnsi="標楷體" w:hint="eastAsia"/>
                          <w:sz w:val="18"/>
                          <w:szCs w:val="18"/>
                        </w:rPr>
                        <w:t>每</w:t>
                      </w:r>
                      <w:r w:rsidRPr="005A0C8F">
                        <w:rPr>
                          <w:rFonts w:ascii="標楷體" w:eastAsia="標楷體" w:hAnsi="標楷體" w:hint="eastAsia"/>
                          <w:sz w:val="18"/>
                          <w:szCs w:val="18"/>
                        </w:rPr>
                        <w:t>月租金差異</w:t>
                      </w:r>
                      <w:r w:rsidRPr="007B608E">
                        <w:rPr>
                          <w:rFonts w:ascii="標楷體" w:eastAsia="標楷體" w:hAnsi="標楷體" w:hint="eastAsia"/>
                          <w:sz w:val="18"/>
                          <w:szCs w:val="18"/>
                        </w:rPr>
                        <w:t>。</w:t>
                      </w:r>
                    </w:p>
                    <w:p w14:paraId="27980CBC" w14:textId="77777777" w:rsidR="0050059F" w:rsidRPr="007B608E" w:rsidRDefault="0050059F" w:rsidP="0050059F">
                      <w:pPr>
                        <w:spacing w:line="240" w:lineRule="exact"/>
                        <w:ind w:leftChars="150" w:left="499" w:hangingChars="77" w:hanging="139"/>
                        <w:rPr>
                          <w:rFonts w:ascii="標楷體" w:eastAsia="標楷體" w:hAnsi="標楷體"/>
                          <w:sz w:val="18"/>
                          <w:szCs w:val="18"/>
                        </w:rPr>
                      </w:pPr>
                      <w:r w:rsidRPr="007B608E">
                        <w:rPr>
                          <w:rFonts w:ascii="標楷體" w:eastAsia="標楷體" w:hAnsi="標楷體" w:hint="eastAsia"/>
                          <w:sz w:val="18"/>
                          <w:szCs w:val="18"/>
                        </w:rPr>
                        <w:t>2.資料來源</w:t>
                      </w:r>
                      <w:r>
                        <w:rPr>
                          <w:rFonts w:ascii="標楷體" w:eastAsia="標楷體" w:hAnsi="標楷體" w:hint="eastAsia"/>
                          <w:sz w:val="18"/>
                          <w:szCs w:val="18"/>
                        </w:rPr>
                        <w:t>：</w:t>
                      </w:r>
                      <w:r w:rsidRPr="007B608E">
                        <w:rPr>
                          <w:rFonts w:ascii="標楷體" w:eastAsia="標楷體" w:hAnsi="標楷體" w:hint="eastAsia"/>
                          <w:sz w:val="18"/>
                          <w:szCs w:val="18"/>
                        </w:rPr>
                        <w:t>整理自</w:t>
                      </w:r>
                      <w:r w:rsidRPr="006F588C">
                        <w:rPr>
                          <w:rFonts w:ascii="標楷體" w:eastAsia="標楷體" w:hAnsi="標楷體" w:hint="eastAsia"/>
                          <w:sz w:val="18"/>
                          <w:szCs w:val="18"/>
                        </w:rPr>
                        <w:t>捷運工程局</w:t>
                      </w:r>
                      <w:r w:rsidRPr="007B608E">
                        <w:rPr>
                          <w:rFonts w:ascii="標楷體" w:eastAsia="標楷體" w:hAnsi="標楷體" w:hint="eastAsia"/>
                          <w:sz w:val="18"/>
                          <w:szCs w:val="18"/>
                        </w:rPr>
                        <w:t>提供資料。</w:t>
                      </w:r>
                    </w:p>
                    <w:p w14:paraId="0F2D5E05" w14:textId="77777777" w:rsidR="0050059F" w:rsidRPr="00D8014A" w:rsidRDefault="0050059F" w:rsidP="0050059F">
                      <w:pPr>
                        <w:jc w:val="right"/>
                        <w:rPr>
                          <w:rFonts w:ascii="標楷體" w:eastAsia="標楷體" w:hAnsi="標楷體"/>
                          <w:sz w:val="20"/>
                        </w:rPr>
                      </w:pPr>
                    </w:p>
                  </w:txbxContent>
                </v:textbox>
                <w10:wrap type="square" anchorx="margin"/>
              </v:shape>
            </w:pict>
          </mc:Fallback>
        </mc:AlternateContent>
      </w:r>
      <w:r w:rsidRPr="00177770">
        <w:rPr>
          <w:rFonts w:ascii="標楷體" w:eastAsia="標楷體" w:hAnsi="標楷體" w:hint="eastAsia"/>
        </w:rPr>
        <w:t>12月8日至113年1月12日續訂契約，相關作為與上開公有不動產租售自治條例之規定有間，且依財審會嗣後通過基地不動產總值及估價師後續</w:t>
      </w:r>
      <w:proofErr w:type="gramStart"/>
      <w:r w:rsidRPr="00177770">
        <w:rPr>
          <w:rFonts w:ascii="標楷體" w:eastAsia="標楷體" w:hAnsi="標楷體" w:hint="eastAsia"/>
        </w:rPr>
        <w:t>鑑價年</w:t>
      </w:r>
      <w:proofErr w:type="gramEnd"/>
      <w:r w:rsidRPr="00177770">
        <w:rPr>
          <w:rFonts w:ascii="標楷體" w:eastAsia="標楷體" w:hAnsi="標楷體" w:hint="eastAsia"/>
        </w:rPr>
        <w:t>租率，換算上開5處9戶月租金，與捷運工程局自訂租金費率續約金額相較，亦存有減收租金或增收租金（表1）等情事，經函請</w:t>
      </w:r>
      <w:proofErr w:type="gramStart"/>
      <w:r w:rsidRPr="00177770">
        <w:rPr>
          <w:rFonts w:ascii="標楷體" w:eastAsia="標楷體" w:hAnsi="標楷體" w:hint="eastAsia"/>
        </w:rPr>
        <w:t>檢討妥處</w:t>
      </w:r>
      <w:proofErr w:type="gramEnd"/>
      <w:r w:rsidRPr="00177770">
        <w:rPr>
          <w:rFonts w:ascii="標楷體" w:eastAsia="標楷體" w:hAnsi="標楷體" w:hint="eastAsia"/>
        </w:rPr>
        <w:t>。據復：爾後租賃標的估價作業，將於前一年年中啟動下年度估價作業，並請估價師就下一年之整年度續租案件進行估價，以避免每年年初續租案件之不動產總值、年租率訂定，因未及於前一年12月底前</w:t>
      </w:r>
      <w:r w:rsidRPr="00177770">
        <w:rPr>
          <w:rFonts w:ascii="標楷體" w:eastAsia="標楷體" w:hAnsi="標楷體" w:hint="eastAsia"/>
          <w:szCs w:val="24"/>
        </w:rPr>
        <w:t>完成</w:t>
      </w:r>
      <w:r w:rsidRPr="00177770">
        <w:rPr>
          <w:rFonts w:ascii="標楷體" w:eastAsia="標楷體" w:hAnsi="標楷體" w:hint="eastAsia"/>
        </w:rPr>
        <w:t>提報財審會審議，而滋生年初續租案件未及適用情形。</w:t>
      </w:r>
    </w:p>
    <w:p w14:paraId="75A1DF70" w14:textId="77777777" w:rsidR="0050059F" w:rsidRPr="00EB5275" w:rsidRDefault="0050059F" w:rsidP="0050059F">
      <w:pPr>
        <w:overflowPunct w:val="0"/>
        <w:spacing w:before="160" w:after="60" w:line="480" w:lineRule="exact"/>
        <w:ind w:firstLineChars="100" w:firstLine="280"/>
        <w:jc w:val="both"/>
        <w:outlineLvl w:val="3"/>
        <w:rPr>
          <w:rFonts w:ascii="標楷體" w:eastAsia="標楷體" w:hAnsi="標楷體"/>
          <w:b/>
          <w:sz w:val="28"/>
          <w:szCs w:val="28"/>
        </w:rPr>
      </w:pPr>
      <w:r w:rsidRPr="00EB5275">
        <w:rPr>
          <w:rFonts w:ascii="標楷體" w:eastAsia="標楷體" w:hAnsi="標楷體" w:hint="eastAsia"/>
          <w:b/>
          <w:sz w:val="28"/>
          <w:szCs w:val="28"/>
        </w:rPr>
        <w:t>（二）持續推動聯合開發大樓公有不動產住宅之出租作業，</w:t>
      </w:r>
      <w:proofErr w:type="gramStart"/>
      <w:r w:rsidRPr="00EB5275">
        <w:rPr>
          <w:rFonts w:ascii="標楷體" w:eastAsia="標楷體" w:hAnsi="標楷體" w:hint="eastAsia"/>
          <w:b/>
          <w:sz w:val="28"/>
          <w:szCs w:val="28"/>
        </w:rPr>
        <w:t>惟間有未</w:t>
      </w:r>
      <w:proofErr w:type="gramEnd"/>
      <w:r w:rsidRPr="00EB5275">
        <w:rPr>
          <w:rFonts w:ascii="標楷體" w:eastAsia="標楷體" w:hAnsi="標楷體" w:hint="eastAsia"/>
          <w:b/>
          <w:sz w:val="28"/>
          <w:szCs w:val="28"/>
        </w:rPr>
        <w:t>依契約規定即時檢討租金費率，致事後須</w:t>
      </w:r>
      <w:proofErr w:type="gramStart"/>
      <w:r w:rsidRPr="00EB5275">
        <w:rPr>
          <w:rFonts w:ascii="標楷體" w:eastAsia="標楷體" w:hAnsi="標楷體" w:hint="eastAsia"/>
          <w:b/>
          <w:sz w:val="28"/>
          <w:szCs w:val="28"/>
        </w:rPr>
        <w:t>採</w:t>
      </w:r>
      <w:proofErr w:type="gramEnd"/>
      <w:r w:rsidRPr="00EB5275">
        <w:rPr>
          <w:rFonts w:ascii="標楷體" w:eastAsia="標楷體" w:hAnsi="標楷體" w:hint="eastAsia"/>
          <w:b/>
          <w:sz w:val="28"/>
          <w:szCs w:val="28"/>
        </w:rPr>
        <w:t>追溯方式催請租戶補繳差額，衍生辦理追繳之行政作業；另於JDM系統設有租金調整之提醒機制，惟系統可設定之提醒年限尚欠完整，或未落實辦理功能設定等情，均有待檢討改善。</w:t>
      </w:r>
    </w:p>
    <w:p w14:paraId="5E05CC30" w14:textId="77777777" w:rsidR="0050059F" w:rsidRPr="00177770" w:rsidRDefault="0050059F" w:rsidP="0050059F">
      <w:pPr>
        <w:overflowPunct w:val="0"/>
        <w:spacing w:line="430" w:lineRule="exact"/>
        <w:ind w:firstLineChars="150" w:firstLine="480"/>
        <w:jc w:val="both"/>
        <w:outlineLvl w:val="3"/>
        <w:rPr>
          <w:rFonts w:ascii="標楷體" w:eastAsia="標楷體" w:hAnsi="標楷體"/>
          <w:szCs w:val="24"/>
        </w:rPr>
      </w:pPr>
      <w:r w:rsidRPr="00177770">
        <w:rPr>
          <w:rFonts w:ascii="標楷體" w:eastAsia="標楷體" w:hAnsi="標楷體"/>
          <w:noProof/>
          <w:spacing w:val="-1"/>
          <w:sz w:val="32"/>
          <w:szCs w:val="32"/>
        </w:rPr>
        <w:lastRenderedPageBreak/>
        <mc:AlternateContent>
          <mc:Choice Requires="wps">
            <w:drawing>
              <wp:anchor distT="0" distB="0" distL="114300" distR="114300" simplePos="0" relativeHeight="251778048" behindDoc="0" locked="0" layoutInCell="1" allowOverlap="1" wp14:anchorId="7352E46E" wp14:editId="4E1252C9">
                <wp:simplePos x="0" y="0"/>
                <wp:positionH relativeFrom="margin">
                  <wp:posOffset>2509520</wp:posOffset>
                </wp:positionH>
                <wp:positionV relativeFrom="paragraph">
                  <wp:posOffset>2259965</wp:posOffset>
                </wp:positionV>
                <wp:extent cx="3850640" cy="2565400"/>
                <wp:effectExtent l="0" t="0" r="0" b="6350"/>
                <wp:wrapSquare wrapText="bothSides"/>
                <wp:docPr id="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0640" cy="2565400"/>
                        </a:xfrm>
                        <a:prstGeom prst="rect">
                          <a:avLst/>
                        </a:prstGeom>
                        <a:solidFill>
                          <a:srgbClr val="FFFFFF"/>
                        </a:solidFill>
                        <a:ln w="9525">
                          <a:noFill/>
                          <a:miter lim="800000"/>
                          <a:headEnd/>
                          <a:tailEnd/>
                        </a:ln>
                      </wps:spPr>
                      <wps:txbx>
                        <w:txbxContent>
                          <w:p w14:paraId="77E6B15D" w14:textId="77777777" w:rsidR="0050059F" w:rsidRPr="00773D26" w:rsidRDefault="0050059F" w:rsidP="0050059F">
                            <w:pPr>
                              <w:spacing w:afterLines="10" w:after="36" w:line="260" w:lineRule="exact"/>
                              <w:jc w:val="center"/>
                              <w:rPr>
                                <w:rFonts w:ascii="標楷體" w:eastAsia="標楷體" w:hAnsi="標楷體" w:cs="新細明體"/>
                                <w:b/>
                                <w:kern w:val="0"/>
                              </w:rPr>
                            </w:pPr>
                            <w:r w:rsidRPr="00773D26">
                              <w:rPr>
                                <w:rFonts w:ascii="標楷體" w:eastAsia="標楷體" w:hAnsi="標楷體" w:cs="新細明體" w:hint="eastAsia"/>
                                <w:b/>
                                <w:kern w:val="0"/>
                              </w:rPr>
                              <w:t>表2</w:t>
                            </w:r>
                            <w:r w:rsidRPr="00773D26">
                              <w:rPr>
                                <w:rFonts w:ascii="標楷體" w:eastAsia="標楷體" w:hAnsi="標楷體" w:cs="新細明體"/>
                                <w:b/>
                                <w:kern w:val="0"/>
                              </w:rPr>
                              <w:t xml:space="preserve">  </w:t>
                            </w:r>
                            <w:proofErr w:type="gramStart"/>
                            <w:r w:rsidRPr="00773D26">
                              <w:rPr>
                                <w:rFonts w:ascii="標楷體" w:eastAsia="標楷體" w:hAnsi="標楷體" w:cs="新細明體"/>
                                <w:b/>
                                <w:kern w:val="0"/>
                              </w:rPr>
                              <w:t>113</w:t>
                            </w:r>
                            <w:proofErr w:type="gramEnd"/>
                            <w:r w:rsidRPr="00773D26">
                              <w:rPr>
                                <w:rFonts w:ascii="標楷體" w:eastAsia="標楷體" w:hAnsi="標楷體" w:cs="新細明體" w:hint="eastAsia"/>
                                <w:b/>
                                <w:kern w:val="0"/>
                              </w:rPr>
                              <w:t>年度辦理逾期調整租金及追溯補繳差額情形</w:t>
                            </w:r>
                          </w:p>
                          <w:p w14:paraId="682F4321" w14:textId="77777777" w:rsidR="0050059F" w:rsidRPr="00FC0181" w:rsidRDefault="0050059F" w:rsidP="0050059F">
                            <w:pPr>
                              <w:spacing w:afterLines="10" w:after="36"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單位：戶、月數、新臺幣千元</w:t>
                            </w:r>
                          </w:p>
                          <w:tbl>
                            <w:tblPr>
                              <w:tblStyle w:val="a6"/>
                              <w:tblW w:w="5790" w:type="dxa"/>
                              <w:tblLayout w:type="fixed"/>
                              <w:tblLook w:val="04A0" w:firstRow="1" w:lastRow="0" w:firstColumn="1" w:lastColumn="0" w:noHBand="0" w:noVBand="1"/>
                            </w:tblPr>
                            <w:tblGrid>
                              <w:gridCol w:w="611"/>
                              <w:gridCol w:w="1022"/>
                              <w:gridCol w:w="616"/>
                              <w:gridCol w:w="1358"/>
                              <w:gridCol w:w="1400"/>
                              <w:gridCol w:w="783"/>
                            </w:tblGrid>
                            <w:tr w:rsidR="0050059F" w:rsidRPr="00865C09" w14:paraId="5FC8B8FE" w14:textId="77777777" w:rsidTr="00824CD6">
                              <w:trPr>
                                <w:trHeight w:val="510"/>
                              </w:trPr>
                              <w:tc>
                                <w:tcPr>
                                  <w:tcW w:w="611" w:type="dxa"/>
                                  <w:vAlign w:val="center"/>
                                </w:tcPr>
                                <w:p w14:paraId="782F3D0D" w14:textId="77777777" w:rsidR="0050059F" w:rsidRPr="00C33026" w:rsidRDefault="0050059F" w:rsidP="00824CD6">
                                  <w:pPr>
                                    <w:spacing w:line="240" w:lineRule="exact"/>
                                    <w:jc w:val="center"/>
                                    <w:rPr>
                                      <w:rFonts w:ascii="標楷體" w:eastAsia="標楷體" w:hAnsi="標楷體"/>
                                      <w:spacing w:val="-4"/>
                                    </w:rPr>
                                  </w:pPr>
                                  <w:r w:rsidRPr="00C33026">
                                    <w:rPr>
                                      <w:rFonts w:ascii="標楷體" w:eastAsia="標楷體" w:hAnsi="標楷體" w:hint="eastAsia"/>
                                      <w:spacing w:val="-4"/>
                                    </w:rPr>
                                    <w:t>序號</w:t>
                                  </w:r>
                                </w:p>
                              </w:tc>
                              <w:tc>
                                <w:tcPr>
                                  <w:tcW w:w="1022" w:type="dxa"/>
                                  <w:vAlign w:val="center"/>
                                </w:tcPr>
                                <w:p w14:paraId="4746036C" w14:textId="77777777" w:rsidR="0050059F" w:rsidRPr="00C33026" w:rsidRDefault="0050059F" w:rsidP="00824CD6">
                                  <w:pPr>
                                    <w:spacing w:line="240" w:lineRule="exact"/>
                                    <w:jc w:val="center"/>
                                    <w:rPr>
                                      <w:rFonts w:ascii="標楷體" w:eastAsia="標楷體" w:hAnsi="標楷體"/>
                                      <w:spacing w:val="-4"/>
                                    </w:rPr>
                                  </w:pPr>
                                  <w:proofErr w:type="gramStart"/>
                                  <w:r w:rsidRPr="00C33026">
                                    <w:rPr>
                                      <w:rFonts w:ascii="標楷體" w:eastAsia="標楷體" w:hAnsi="標楷體" w:hint="eastAsia"/>
                                      <w:spacing w:val="-4"/>
                                    </w:rPr>
                                    <w:t>案別名稱</w:t>
                                  </w:r>
                                  <w:proofErr w:type="gramEnd"/>
                                </w:p>
                              </w:tc>
                              <w:tc>
                                <w:tcPr>
                                  <w:tcW w:w="616" w:type="dxa"/>
                                  <w:vAlign w:val="center"/>
                                </w:tcPr>
                                <w:p w14:paraId="63FE2F0F" w14:textId="77777777" w:rsidR="0050059F" w:rsidRPr="00C33026" w:rsidRDefault="0050059F" w:rsidP="00824CD6">
                                  <w:pPr>
                                    <w:spacing w:line="240" w:lineRule="exact"/>
                                    <w:rPr>
                                      <w:rFonts w:ascii="標楷體" w:eastAsia="標楷體" w:hAnsi="標楷體"/>
                                      <w:spacing w:val="-4"/>
                                    </w:rPr>
                                  </w:pPr>
                                  <w:r w:rsidRPr="00C33026">
                                    <w:rPr>
                                      <w:rFonts w:ascii="標楷體" w:eastAsia="標楷體" w:hAnsi="標楷體" w:hint="eastAsia"/>
                                      <w:spacing w:val="-4"/>
                                    </w:rPr>
                                    <w:t>戶數</w:t>
                                  </w:r>
                                </w:p>
                              </w:tc>
                              <w:tc>
                                <w:tcPr>
                                  <w:tcW w:w="1358" w:type="dxa"/>
                                  <w:vAlign w:val="center"/>
                                </w:tcPr>
                                <w:p w14:paraId="296030B6" w14:textId="77777777" w:rsidR="0050059F" w:rsidRPr="00C33026" w:rsidRDefault="0050059F" w:rsidP="00824CD6">
                                  <w:pPr>
                                    <w:spacing w:line="240" w:lineRule="exact"/>
                                    <w:ind w:leftChars="50" w:left="120"/>
                                    <w:rPr>
                                      <w:rFonts w:ascii="標楷體" w:eastAsia="標楷體" w:hAnsi="標楷體"/>
                                      <w:spacing w:val="-4"/>
                                    </w:rPr>
                                  </w:pPr>
                                  <w:r w:rsidRPr="00C33026">
                                    <w:rPr>
                                      <w:rFonts w:ascii="標楷體" w:eastAsia="標楷體" w:hAnsi="標楷體" w:hint="eastAsia"/>
                                      <w:spacing w:val="-4"/>
                                    </w:rPr>
                                    <w:t>應補繳</w:t>
                                  </w:r>
                                  <w:r>
                                    <w:rPr>
                                      <w:rFonts w:ascii="標楷體" w:eastAsia="標楷體" w:hAnsi="標楷體" w:hint="eastAsia"/>
                                      <w:spacing w:val="-4"/>
                                    </w:rPr>
                                    <w:t>差額</w:t>
                                  </w:r>
                                  <w:proofErr w:type="gramStart"/>
                                  <w:r w:rsidRPr="00C33026">
                                    <w:rPr>
                                      <w:rFonts w:ascii="標楷體" w:eastAsia="標楷體" w:hAnsi="標楷體" w:hint="eastAsia"/>
                                      <w:spacing w:val="-4"/>
                                    </w:rPr>
                                    <w:t>期間</w:t>
                                  </w:r>
                                  <w:r>
                                    <w:rPr>
                                      <w:rFonts w:ascii="標楷體" w:eastAsia="標楷體" w:hAnsi="標楷體" w:hint="eastAsia"/>
                                      <w:spacing w:val="-4"/>
                                    </w:rPr>
                                    <w:t>(</w:t>
                                  </w:r>
                                  <w:proofErr w:type="gramEnd"/>
                                  <w:r>
                                    <w:rPr>
                                      <w:rFonts w:ascii="標楷體" w:eastAsia="標楷體" w:hAnsi="標楷體" w:hint="eastAsia"/>
                                      <w:spacing w:val="-4"/>
                                    </w:rPr>
                                    <w:t>年月</w:t>
                                  </w:r>
                                  <w:r>
                                    <w:rPr>
                                      <w:rFonts w:ascii="標楷體" w:eastAsia="標楷體" w:hAnsi="標楷體"/>
                                      <w:spacing w:val="-4"/>
                                    </w:rPr>
                                    <w:t>)</w:t>
                                  </w:r>
                                </w:p>
                              </w:tc>
                              <w:tc>
                                <w:tcPr>
                                  <w:tcW w:w="1400" w:type="dxa"/>
                                  <w:vAlign w:val="center"/>
                                </w:tcPr>
                                <w:p w14:paraId="6A397CEC" w14:textId="77777777" w:rsidR="0050059F" w:rsidRDefault="0050059F" w:rsidP="00C254C1">
                                  <w:pPr>
                                    <w:spacing w:line="240" w:lineRule="exact"/>
                                    <w:jc w:val="center"/>
                                    <w:rPr>
                                      <w:rFonts w:ascii="標楷體" w:eastAsia="標楷體" w:hAnsi="標楷體"/>
                                      <w:spacing w:val="-4"/>
                                    </w:rPr>
                                  </w:pPr>
                                  <w:r w:rsidRPr="00C33026">
                                    <w:rPr>
                                      <w:rFonts w:ascii="標楷體" w:eastAsia="標楷體" w:hAnsi="標楷體" w:hint="eastAsia"/>
                                      <w:spacing w:val="-4"/>
                                    </w:rPr>
                                    <w:t>追溯調整</w:t>
                                  </w:r>
                                </w:p>
                                <w:p w14:paraId="3A7A5C86" w14:textId="77777777" w:rsidR="0050059F" w:rsidRPr="00C33026" w:rsidRDefault="0050059F" w:rsidP="00C254C1">
                                  <w:pPr>
                                    <w:spacing w:line="240" w:lineRule="exact"/>
                                    <w:jc w:val="center"/>
                                    <w:rPr>
                                      <w:rFonts w:ascii="標楷體" w:eastAsia="標楷體" w:hAnsi="標楷體"/>
                                      <w:spacing w:val="-4"/>
                                    </w:rPr>
                                  </w:pPr>
                                  <w:r w:rsidRPr="00C33026">
                                    <w:rPr>
                                      <w:rFonts w:ascii="標楷體" w:eastAsia="標楷體" w:hAnsi="標楷體" w:hint="eastAsia"/>
                                      <w:spacing w:val="-4"/>
                                    </w:rPr>
                                    <w:t>落後月數</w:t>
                                  </w:r>
                                </w:p>
                              </w:tc>
                              <w:tc>
                                <w:tcPr>
                                  <w:tcW w:w="783" w:type="dxa"/>
                                  <w:vAlign w:val="center"/>
                                </w:tcPr>
                                <w:p w14:paraId="033C6503" w14:textId="77777777" w:rsidR="0050059F" w:rsidRPr="005B7200" w:rsidRDefault="0050059F" w:rsidP="00824CD6">
                                  <w:pPr>
                                    <w:spacing w:line="240" w:lineRule="exact"/>
                                    <w:jc w:val="center"/>
                                    <w:rPr>
                                      <w:rFonts w:ascii="標楷體" w:eastAsia="標楷體" w:hAnsi="標楷體"/>
                                      <w:spacing w:val="-6"/>
                                    </w:rPr>
                                  </w:pPr>
                                  <w:r w:rsidRPr="005B7200">
                                    <w:rPr>
                                      <w:rFonts w:ascii="標楷體" w:eastAsia="標楷體" w:hAnsi="標楷體" w:hint="eastAsia"/>
                                      <w:spacing w:val="-6"/>
                                    </w:rPr>
                                    <w:t>應補繳</w:t>
                                  </w:r>
                                </w:p>
                                <w:p w14:paraId="3EFBDFE2" w14:textId="77777777" w:rsidR="0050059F" w:rsidRPr="00C33026" w:rsidRDefault="0050059F" w:rsidP="00824CD6">
                                  <w:pPr>
                                    <w:spacing w:line="240" w:lineRule="exact"/>
                                    <w:jc w:val="center"/>
                                    <w:rPr>
                                      <w:rFonts w:ascii="標楷體" w:eastAsia="標楷體" w:hAnsi="標楷體"/>
                                      <w:spacing w:val="-4"/>
                                    </w:rPr>
                                  </w:pPr>
                                  <w:r w:rsidRPr="005B7200">
                                    <w:rPr>
                                      <w:rFonts w:ascii="標楷體" w:eastAsia="標楷體" w:hAnsi="標楷體" w:hint="eastAsia"/>
                                      <w:spacing w:val="-6"/>
                                    </w:rPr>
                                    <w:t>金額</w:t>
                                  </w:r>
                                </w:p>
                              </w:tc>
                            </w:tr>
                            <w:tr w:rsidR="0050059F" w:rsidRPr="00865C09" w14:paraId="32E2C198" w14:textId="77777777" w:rsidTr="00824CD6">
                              <w:trPr>
                                <w:trHeight w:hRule="exact" w:val="312"/>
                              </w:trPr>
                              <w:tc>
                                <w:tcPr>
                                  <w:tcW w:w="611" w:type="dxa"/>
                                  <w:vAlign w:val="center"/>
                                </w:tcPr>
                                <w:p w14:paraId="326DDB97" w14:textId="77777777" w:rsidR="0050059F" w:rsidRPr="00077C26" w:rsidRDefault="0050059F" w:rsidP="00824CD6">
                                  <w:pPr>
                                    <w:spacing w:line="240" w:lineRule="exact"/>
                                    <w:jc w:val="center"/>
                                    <w:rPr>
                                      <w:rFonts w:ascii="標楷體" w:eastAsia="標楷體" w:hAnsi="標楷體"/>
                                      <w:b/>
                                      <w:spacing w:val="-4"/>
                                    </w:rPr>
                                  </w:pPr>
                                  <w:r w:rsidRPr="00077C26">
                                    <w:rPr>
                                      <w:rFonts w:ascii="標楷體" w:eastAsia="標楷體" w:hAnsi="標楷體" w:hint="eastAsia"/>
                                      <w:b/>
                                      <w:spacing w:val="-4"/>
                                    </w:rPr>
                                    <w:t>合計</w:t>
                                  </w:r>
                                </w:p>
                              </w:tc>
                              <w:tc>
                                <w:tcPr>
                                  <w:tcW w:w="1022" w:type="dxa"/>
                                  <w:vAlign w:val="center"/>
                                </w:tcPr>
                                <w:p w14:paraId="3B8DF83D" w14:textId="77777777" w:rsidR="0050059F" w:rsidRPr="00077C26" w:rsidRDefault="0050059F" w:rsidP="00824CD6">
                                  <w:pPr>
                                    <w:spacing w:line="240" w:lineRule="exact"/>
                                    <w:jc w:val="center"/>
                                    <w:rPr>
                                      <w:rFonts w:ascii="標楷體" w:eastAsia="標楷體" w:hAnsi="標楷體"/>
                                      <w:b/>
                                    </w:rPr>
                                  </w:pPr>
                                  <w:r w:rsidRPr="00077C26">
                                    <w:rPr>
                                      <w:rFonts w:ascii="標楷體" w:eastAsia="標楷體" w:hAnsi="標楷體"/>
                                      <w:b/>
                                    </w:rPr>
                                    <w:t>7</w:t>
                                  </w:r>
                                  <w:r w:rsidRPr="00077C26">
                                    <w:rPr>
                                      <w:rFonts w:ascii="標楷體" w:eastAsia="標楷體" w:hAnsi="標楷體" w:hint="eastAsia"/>
                                      <w:b/>
                                    </w:rPr>
                                    <w:t>案</w:t>
                                  </w:r>
                                </w:p>
                              </w:tc>
                              <w:tc>
                                <w:tcPr>
                                  <w:tcW w:w="616" w:type="dxa"/>
                                  <w:vAlign w:val="center"/>
                                </w:tcPr>
                                <w:p w14:paraId="50790178" w14:textId="77777777" w:rsidR="0050059F" w:rsidRPr="00077C26" w:rsidRDefault="0050059F" w:rsidP="00824CD6">
                                  <w:pPr>
                                    <w:spacing w:line="240" w:lineRule="exact"/>
                                    <w:ind w:leftChars="5" w:left="12"/>
                                    <w:jc w:val="right"/>
                                    <w:rPr>
                                      <w:rFonts w:ascii="標楷體" w:eastAsia="標楷體" w:hAnsi="標楷體"/>
                                      <w:b/>
                                    </w:rPr>
                                  </w:pPr>
                                  <w:r w:rsidRPr="00077C26">
                                    <w:rPr>
                                      <w:rFonts w:ascii="標楷體" w:eastAsia="標楷體" w:hAnsi="標楷體" w:hint="eastAsia"/>
                                      <w:b/>
                                    </w:rPr>
                                    <w:t>2</w:t>
                                  </w:r>
                                  <w:r w:rsidRPr="00077C26">
                                    <w:rPr>
                                      <w:rFonts w:ascii="標楷體" w:eastAsia="標楷體" w:hAnsi="標楷體"/>
                                      <w:b/>
                                    </w:rPr>
                                    <w:t>86</w:t>
                                  </w:r>
                                </w:p>
                              </w:tc>
                              <w:tc>
                                <w:tcPr>
                                  <w:tcW w:w="1358" w:type="dxa"/>
                                  <w:vAlign w:val="center"/>
                                </w:tcPr>
                                <w:p w14:paraId="4D3A331B" w14:textId="77777777" w:rsidR="0050059F" w:rsidRPr="00C33026" w:rsidRDefault="0050059F" w:rsidP="00824CD6">
                                  <w:pPr>
                                    <w:spacing w:line="240" w:lineRule="exact"/>
                                    <w:jc w:val="right"/>
                                    <w:rPr>
                                      <w:rFonts w:ascii="標楷體" w:eastAsia="標楷體" w:hAnsi="標楷體"/>
                                      <w:b/>
                                      <w:spacing w:val="-4"/>
                                    </w:rPr>
                                  </w:pPr>
                                  <w:r w:rsidRPr="00C33026">
                                    <w:rPr>
                                      <w:rFonts w:ascii="標楷體" w:eastAsia="標楷體" w:hAnsi="標楷體" w:hint="eastAsia"/>
                                      <w:b/>
                                      <w:spacing w:val="-4"/>
                                    </w:rPr>
                                    <w:t>－</w:t>
                                  </w:r>
                                </w:p>
                              </w:tc>
                              <w:tc>
                                <w:tcPr>
                                  <w:tcW w:w="1400" w:type="dxa"/>
                                  <w:vAlign w:val="center"/>
                                </w:tcPr>
                                <w:p w14:paraId="4CC77CD5" w14:textId="77777777" w:rsidR="0050059F" w:rsidRPr="005B7200" w:rsidRDefault="0050059F" w:rsidP="00824CD6">
                                  <w:pPr>
                                    <w:spacing w:line="240" w:lineRule="exact"/>
                                    <w:jc w:val="right"/>
                                    <w:rPr>
                                      <w:rFonts w:ascii="標楷體" w:eastAsia="標楷體" w:hAnsi="標楷體"/>
                                      <w:b/>
                                      <w:spacing w:val="-6"/>
                                    </w:rPr>
                                  </w:pPr>
                                  <w:r w:rsidRPr="005B7200">
                                    <w:rPr>
                                      <w:rFonts w:ascii="標楷體" w:eastAsia="標楷體" w:hAnsi="標楷體" w:hint="eastAsia"/>
                                      <w:b/>
                                      <w:spacing w:val="-6"/>
                                    </w:rPr>
                                    <w:t>－</w:t>
                                  </w:r>
                                </w:p>
                              </w:tc>
                              <w:tc>
                                <w:tcPr>
                                  <w:tcW w:w="783" w:type="dxa"/>
                                  <w:vAlign w:val="center"/>
                                </w:tcPr>
                                <w:p w14:paraId="1C0CD20B" w14:textId="77777777" w:rsidR="0050059F" w:rsidRPr="00077C26" w:rsidRDefault="0050059F" w:rsidP="00824CD6">
                                  <w:pPr>
                                    <w:spacing w:line="240" w:lineRule="exact"/>
                                    <w:jc w:val="right"/>
                                    <w:rPr>
                                      <w:rFonts w:ascii="標楷體" w:eastAsia="標楷體" w:hAnsi="標楷體"/>
                                      <w:b/>
                                    </w:rPr>
                                  </w:pPr>
                                  <w:r w:rsidRPr="00077C26">
                                    <w:rPr>
                                      <w:rFonts w:ascii="標楷體" w:eastAsia="標楷體" w:hAnsi="標楷體" w:hint="eastAsia"/>
                                      <w:b/>
                                    </w:rPr>
                                    <w:t>5</w:t>
                                  </w:r>
                                  <w:r w:rsidRPr="00077C26">
                                    <w:rPr>
                                      <w:rFonts w:ascii="標楷體" w:eastAsia="標楷體" w:hAnsi="標楷體"/>
                                      <w:b/>
                                    </w:rPr>
                                    <w:t>,956</w:t>
                                  </w:r>
                                </w:p>
                              </w:tc>
                            </w:tr>
                            <w:tr w:rsidR="0050059F" w:rsidRPr="00865C09" w14:paraId="615DE24F" w14:textId="77777777" w:rsidTr="00824CD6">
                              <w:trPr>
                                <w:trHeight w:hRule="exact" w:val="312"/>
                              </w:trPr>
                              <w:tc>
                                <w:tcPr>
                                  <w:tcW w:w="611" w:type="dxa"/>
                                  <w:vAlign w:val="center"/>
                                </w:tcPr>
                                <w:p w14:paraId="4029B6A4"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1</w:t>
                                  </w:r>
                                </w:p>
                              </w:tc>
                              <w:tc>
                                <w:tcPr>
                                  <w:tcW w:w="1022" w:type="dxa"/>
                                  <w:vAlign w:val="center"/>
                                </w:tcPr>
                                <w:p w14:paraId="1B5083ED" w14:textId="77777777" w:rsidR="0050059F" w:rsidRPr="00077C26" w:rsidRDefault="0050059F" w:rsidP="00824CD6">
                                  <w:pPr>
                                    <w:spacing w:line="240" w:lineRule="exact"/>
                                    <w:ind w:left="144" w:hangingChars="72" w:hanging="144"/>
                                    <w:rPr>
                                      <w:rFonts w:ascii="標楷體" w:eastAsia="標楷體" w:hAnsi="標楷體"/>
                                    </w:rPr>
                                  </w:pPr>
                                  <w:r w:rsidRPr="00077C26">
                                    <w:rPr>
                                      <w:rFonts w:ascii="標楷體" w:eastAsia="標楷體" w:hAnsi="標楷體" w:hint="eastAsia"/>
                                    </w:rPr>
                                    <w:t>新店機廠</w:t>
                                  </w:r>
                                </w:p>
                              </w:tc>
                              <w:tc>
                                <w:tcPr>
                                  <w:tcW w:w="616" w:type="dxa"/>
                                  <w:vAlign w:val="center"/>
                                </w:tcPr>
                                <w:p w14:paraId="7AE1E679"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hint="eastAsia"/>
                                    </w:rPr>
                                    <w:t>1</w:t>
                                  </w:r>
                                </w:p>
                              </w:tc>
                              <w:tc>
                                <w:tcPr>
                                  <w:tcW w:w="1358" w:type="dxa"/>
                                  <w:vAlign w:val="center"/>
                                </w:tcPr>
                                <w:p w14:paraId="4753A5D2"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11.9-113.2</w:t>
                                  </w:r>
                                </w:p>
                              </w:tc>
                              <w:tc>
                                <w:tcPr>
                                  <w:tcW w:w="1400" w:type="dxa"/>
                                  <w:vAlign w:val="center"/>
                                </w:tcPr>
                                <w:p w14:paraId="6F0D387C"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hint="eastAsia"/>
                                      <w:spacing w:val="-12"/>
                                    </w:rPr>
                                    <w:t>1</w:t>
                                  </w:r>
                                  <w:r w:rsidRPr="005B7200">
                                    <w:rPr>
                                      <w:rFonts w:ascii="標楷體" w:eastAsia="標楷體" w:hAnsi="標楷體"/>
                                      <w:spacing w:val="-12"/>
                                    </w:rPr>
                                    <w:t>7</w:t>
                                  </w:r>
                                </w:p>
                              </w:tc>
                              <w:tc>
                                <w:tcPr>
                                  <w:tcW w:w="783" w:type="dxa"/>
                                  <w:vAlign w:val="center"/>
                                </w:tcPr>
                                <w:p w14:paraId="693CED06"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9</w:t>
                                  </w:r>
                                </w:p>
                              </w:tc>
                            </w:tr>
                            <w:tr w:rsidR="0050059F" w:rsidRPr="00865C09" w14:paraId="77B34847" w14:textId="77777777" w:rsidTr="00824CD6">
                              <w:trPr>
                                <w:trHeight w:hRule="exact" w:val="312"/>
                              </w:trPr>
                              <w:tc>
                                <w:tcPr>
                                  <w:tcW w:w="611" w:type="dxa"/>
                                  <w:vAlign w:val="center"/>
                                </w:tcPr>
                                <w:p w14:paraId="69BFD673"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2</w:t>
                                  </w:r>
                                </w:p>
                              </w:tc>
                              <w:tc>
                                <w:tcPr>
                                  <w:tcW w:w="1022" w:type="dxa"/>
                                  <w:vAlign w:val="center"/>
                                </w:tcPr>
                                <w:p w14:paraId="7F92ED3D" w14:textId="77777777" w:rsidR="0050059F" w:rsidRPr="00077C26" w:rsidRDefault="0050059F" w:rsidP="00824CD6">
                                  <w:pPr>
                                    <w:spacing w:line="240" w:lineRule="exact"/>
                                    <w:ind w:left="144" w:hangingChars="72" w:hanging="144"/>
                                    <w:rPr>
                                      <w:rFonts w:ascii="標楷體" w:eastAsia="標楷體" w:hAnsi="標楷體"/>
                                    </w:rPr>
                                  </w:pPr>
                                  <w:r w:rsidRPr="00077C26">
                                    <w:rPr>
                                      <w:rFonts w:ascii="標楷體" w:eastAsia="標楷體" w:hAnsi="標楷體" w:hint="eastAsia"/>
                                    </w:rPr>
                                    <w:t>新店機廠</w:t>
                                  </w:r>
                                </w:p>
                              </w:tc>
                              <w:tc>
                                <w:tcPr>
                                  <w:tcW w:w="616" w:type="dxa"/>
                                  <w:vAlign w:val="center"/>
                                </w:tcPr>
                                <w:p w14:paraId="42A439D7"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8</w:t>
                                  </w:r>
                                </w:p>
                              </w:tc>
                              <w:tc>
                                <w:tcPr>
                                  <w:tcW w:w="1358" w:type="dxa"/>
                                  <w:vAlign w:val="center"/>
                                </w:tcPr>
                                <w:p w14:paraId="314BD089"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12.1-113.2</w:t>
                                  </w:r>
                                </w:p>
                              </w:tc>
                              <w:tc>
                                <w:tcPr>
                                  <w:tcW w:w="1400" w:type="dxa"/>
                                  <w:vAlign w:val="center"/>
                                </w:tcPr>
                                <w:p w14:paraId="448BF308"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spacing w:val="-12"/>
                                    </w:rPr>
                                    <w:t>9</w:t>
                                  </w:r>
                                  <w:r w:rsidRPr="005B7200">
                                    <w:rPr>
                                      <w:rFonts w:ascii="標楷體" w:eastAsia="標楷體" w:hAnsi="標楷體" w:hint="eastAsia"/>
                                      <w:spacing w:val="-12"/>
                                    </w:rPr>
                                    <w:t>、</w:t>
                                  </w:r>
                                  <w:r w:rsidRPr="005B7200">
                                    <w:rPr>
                                      <w:rFonts w:ascii="標楷體" w:eastAsia="標楷體" w:hAnsi="標楷體"/>
                                      <w:spacing w:val="-12"/>
                                    </w:rPr>
                                    <w:t>11</w:t>
                                  </w:r>
                                  <w:r w:rsidRPr="005B7200">
                                    <w:rPr>
                                      <w:rFonts w:ascii="標楷體" w:eastAsia="標楷體" w:hAnsi="標楷體" w:hint="eastAsia"/>
                                      <w:spacing w:val="-12"/>
                                    </w:rPr>
                                    <w:t>、</w:t>
                                  </w:r>
                                  <w:r w:rsidRPr="005B7200">
                                    <w:rPr>
                                      <w:rFonts w:ascii="標楷體" w:eastAsia="標楷體" w:hAnsi="標楷體"/>
                                      <w:spacing w:val="-12"/>
                                    </w:rPr>
                                    <w:t>12</w:t>
                                  </w:r>
                                  <w:r w:rsidRPr="005B7200">
                                    <w:rPr>
                                      <w:rFonts w:ascii="標楷體" w:eastAsia="標楷體" w:hAnsi="標楷體" w:hint="eastAsia"/>
                                      <w:spacing w:val="-12"/>
                                    </w:rPr>
                                    <w:t>、1</w:t>
                                  </w:r>
                                  <w:r w:rsidRPr="005B7200">
                                    <w:rPr>
                                      <w:rFonts w:ascii="標楷體" w:eastAsia="標楷體" w:hAnsi="標楷體"/>
                                      <w:spacing w:val="-12"/>
                                    </w:rPr>
                                    <w:t>3</w:t>
                                  </w:r>
                                </w:p>
                              </w:tc>
                              <w:tc>
                                <w:tcPr>
                                  <w:tcW w:w="783" w:type="dxa"/>
                                  <w:vAlign w:val="center"/>
                                </w:tcPr>
                                <w:p w14:paraId="47F75CE3"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2</w:t>
                                  </w:r>
                                  <w:r w:rsidRPr="00077C26">
                                    <w:rPr>
                                      <w:rFonts w:ascii="標楷體" w:eastAsia="標楷體" w:hAnsi="標楷體"/>
                                    </w:rPr>
                                    <w:t>33</w:t>
                                  </w:r>
                                </w:p>
                              </w:tc>
                            </w:tr>
                            <w:tr w:rsidR="0050059F" w:rsidRPr="00865C09" w14:paraId="02525DCA" w14:textId="77777777" w:rsidTr="00824CD6">
                              <w:trPr>
                                <w:trHeight w:hRule="exact" w:val="312"/>
                              </w:trPr>
                              <w:tc>
                                <w:tcPr>
                                  <w:tcW w:w="611" w:type="dxa"/>
                                  <w:vAlign w:val="center"/>
                                </w:tcPr>
                                <w:p w14:paraId="33E8C780"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3</w:t>
                                  </w:r>
                                </w:p>
                              </w:tc>
                              <w:tc>
                                <w:tcPr>
                                  <w:tcW w:w="1022" w:type="dxa"/>
                                  <w:vAlign w:val="center"/>
                                </w:tcPr>
                                <w:p w14:paraId="043A4F26" w14:textId="77777777" w:rsidR="0050059F" w:rsidRPr="00077C26" w:rsidRDefault="0050059F" w:rsidP="00824CD6">
                                  <w:pPr>
                                    <w:spacing w:line="240" w:lineRule="exact"/>
                                    <w:rPr>
                                      <w:rFonts w:ascii="標楷體" w:eastAsia="標楷體" w:hAnsi="標楷體"/>
                                    </w:rPr>
                                  </w:pPr>
                                  <w:r w:rsidRPr="00077C26">
                                    <w:rPr>
                                      <w:rFonts w:ascii="標楷體" w:eastAsia="標楷體" w:hAnsi="標楷體" w:hint="eastAsia"/>
                                    </w:rPr>
                                    <w:t>南勢角站</w:t>
                                  </w:r>
                                </w:p>
                              </w:tc>
                              <w:tc>
                                <w:tcPr>
                                  <w:tcW w:w="616" w:type="dxa"/>
                                  <w:vAlign w:val="center"/>
                                </w:tcPr>
                                <w:p w14:paraId="4BFB0985"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rPr>
                                    <w:t>1</w:t>
                                  </w:r>
                                </w:p>
                              </w:tc>
                              <w:tc>
                                <w:tcPr>
                                  <w:tcW w:w="1358" w:type="dxa"/>
                                  <w:vAlign w:val="center"/>
                                </w:tcPr>
                                <w:p w14:paraId="78A90D4D"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12.1-113.3</w:t>
                                  </w:r>
                                </w:p>
                              </w:tc>
                              <w:tc>
                                <w:tcPr>
                                  <w:tcW w:w="1400" w:type="dxa"/>
                                  <w:vAlign w:val="center"/>
                                </w:tcPr>
                                <w:p w14:paraId="087048F3"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hint="eastAsia"/>
                                      <w:spacing w:val="-12"/>
                                    </w:rPr>
                                    <w:t>1</w:t>
                                  </w:r>
                                  <w:r w:rsidRPr="005B7200">
                                    <w:rPr>
                                      <w:rFonts w:ascii="標楷體" w:eastAsia="標楷體" w:hAnsi="標楷體"/>
                                      <w:spacing w:val="-12"/>
                                    </w:rPr>
                                    <w:t>3</w:t>
                                  </w:r>
                                </w:p>
                              </w:tc>
                              <w:tc>
                                <w:tcPr>
                                  <w:tcW w:w="783" w:type="dxa"/>
                                  <w:vAlign w:val="center"/>
                                </w:tcPr>
                                <w:p w14:paraId="56AB3D0F"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rPr>
                                    <w:t>15</w:t>
                                  </w:r>
                                </w:p>
                              </w:tc>
                            </w:tr>
                            <w:tr w:rsidR="0050059F" w:rsidRPr="00865C09" w14:paraId="68C615E4" w14:textId="77777777" w:rsidTr="00824CD6">
                              <w:trPr>
                                <w:trHeight w:hRule="exact" w:val="312"/>
                              </w:trPr>
                              <w:tc>
                                <w:tcPr>
                                  <w:tcW w:w="611" w:type="dxa"/>
                                  <w:vAlign w:val="center"/>
                                </w:tcPr>
                                <w:p w14:paraId="2CE4D318"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4</w:t>
                                  </w:r>
                                </w:p>
                              </w:tc>
                              <w:tc>
                                <w:tcPr>
                                  <w:tcW w:w="1022" w:type="dxa"/>
                                  <w:vAlign w:val="center"/>
                                </w:tcPr>
                                <w:p w14:paraId="618308D9" w14:textId="77777777" w:rsidR="0050059F" w:rsidRPr="00077C26" w:rsidRDefault="0050059F" w:rsidP="00824CD6">
                                  <w:pPr>
                                    <w:spacing w:line="240" w:lineRule="exact"/>
                                    <w:rPr>
                                      <w:rFonts w:ascii="標楷體" w:eastAsia="標楷體" w:hAnsi="標楷體"/>
                                    </w:rPr>
                                  </w:pPr>
                                  <w:r w:rsidRPr="00077C26">
                                    <w:rPr>
                                      <w:rFonts w:ascii="標楷體" w:eastAsia="標楷體" w:hAnsi="標楷體" w:hint="eastAsia"/>
                                    </w:rPr>
                                    <w:t>南勢角站</w:t>
                                  </w:r>
                                </w:p>
                              </w:tc>
                              <w:tc>
                                <w:tcPr>
                                  <w:tcW w:w="616" w:type="dxa"/>
                                  <w:vAlign w:val="center"/>
                                </w:tcPr>
                                <w:p w14:paraId="7AF76876"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hint="eastAsia"/>
                                    </w:rPr>
                                    <w:t>1</w:t>
                                  </w:r>
                                </w:p>
                              </w:tc>
                              <w:tc>
                                <w:tcPr>
                                  <w:tcW w:w="1358" w:type="dxa"/>
                                  <w:vAlign w:val="center"/>
                                </w:tcPr>
                                <w:p w14:paraId="006F6BD6"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12.4-113.4</w:t>
                                  </w:r>
                                </w:p>
                              </w:tc>
                              <w:tc>
                                <w:tcPr>
                                  <w:tcW w:w="1400" w:type="dxa"/>
                                  <w:vAlign w:val="center"/>
                                </w:tcPr>
                                <w:p w14:paraId="4D8892AF"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hint="eastAsia"/>
                                      <w:spacing w:val="-12"/>
                                    </w:rPr>
                                    <w:t>1</w:t>
                                  </w:r>
                                  <w:r w:rsidRPr="005B7200">
                                    <w:rPr>
                                      <w:rFonts w:ascii="標楷體" w:eastAsia="標楷體" w:hAnsi="標楷體"/>
                                      <w:spacing w:val="-12"/>
                                    </w:rPr>
                                    <w:t>1</w:t>
                                  </w:r>
                                </w:p>
                              </w:tc>
                              <w:tc>
                                <w:tcPr>
                                  <w:tcW w:w="783" w:type="dxa"/>
                                  <w:vAlign w:val="center"/>
                                </w:tcPr>
                                <w:p w14:paraId="0B702848"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4</w:t>
                                  </w:r>
                                </w:p>
                              </w:tc>
                            </w:tr>
                            <w:tr w:rsidR="0050059F" w:rsidRPr="00865C09" w14:paraId="71353601" w14:textId="77777777" w:rsidTr="00824CD6">
                              <w:trPr>
                                <w:trHeight w:hRule="exact" w:val="312"/>
                              </w:trPr>
                              <w:tc>
                                <w:tcPr>
                                  <w:tcW w:w="611" w:type="dxa"/>
                                  <w:vAlign w:val="center"/>
                                </w:tcPr>
                                <w:p w14:paraId="1242AD76"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5</w:t>
                                  </w:r>
                                </w:p>
                              </w:tc>
                              <w:tc>
                                <w:tcPr>
                                  <w:tcW w:w="1022" w:type="dxa"/>
                                  <w:vAlign w:val="center"/>
                                </w:tcPr>
                                <w:p w14:paraId="23055558" w14:textId="77777777" w:rsidR="0050059F" w:rsidRPr="00077C26" w:rsidRDefault="0050059F" w:rsidP="00824CD6">
                                  <w:pPr>
                                    <w:spacing w:line="240" w:lineRule="exact"/>
                                    <w:rPr>
                                      <w:rFonts w:ascii="標楷體" w:eastAsia="標楷體" w:hAnsi="標楷體"/>
                                    </w:rPr>
                                  </w:pPr>
                                  <w:r w:rsidRPr="00077C26">
                                    <w:rPr>
                                      <w:rFonts w:ascii="標楷體" w:eastAsia="標楷體" w:hAnsi="標楷體" w:hint="eastAsia"/>
                                    </w:rPr>
                                    <w:t>南勢角站</w:t>
                                  </w:r>
                                </w:p>
                              </w:tc>
                              <w:tc>
                                <w:tcPr>
                                  <w:tcW w:w="616" w:type="dxa"/>
                                  <w:vAlign w:val="center"/>
                                </w:tcPr>
                                <w:p w14:paraId="1EA7E3C4"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hint="eastAsia"/>
                                    </w:rPr>
                                    <w:t>1</w:t>
                                  </w:r>
                                </w:p>
                              </w:tc>
                              <w:tc>
                                <w:tcPr>
                                  <w:tcW w:w="1358" w:type="dxa"/>
                                  <w:vAlign w:val="center"/>
                                </w:tcPr>
                                <w:p w14:paraId="29D9A508"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12.3-113.4</w:t>
                                  </w:r>
                                </w:p>
                              </w:tc>
                              <w:tc>
                                <w:tcPr>
                                  <w:tcW w:w="1400" w:type="dxa"/>
                                  <w:vAlign w:val="center"/>
                                </w:tcPr>
                                <w:p w14:paraId="1D9CDAAE"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hint="eastAsia"/>
                                      <w:spacing w:val="-12"/>
                                    </w:rPr>
                                    <w:t>1</w:t>
                                  </w:r>
                                  <w:r w:rsidRPr="005B7200">
                                    <w:rPr>
                                      <w:rFonts w:ascii="標楷體" w:eastAsia="標楷體" w:hAnsi="標楷體"/>
                                      <w:spacing w:val="-12"/>
                                    </w:rPr>
                                    <w:t>2</w:t>
                                  </w:r>
                                </w:p>
                              </w:tc>
                              <w:tc>
                                <w:tcPr>
                                  <w:tcW w:w="783" w:type="dxa"/>
                                  <w:vAlign w:val="center"/>
                                </w:tcPr>
                                <w:p w14:paraId="257E1696"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7</w:t>
                                  </w:r>
                                </w:p>
                              </w:tc>
                            </w:tr>
                            <w:tr w:rsidR="0050059F" w:rsidRPr="00865C09" w14:paraId="0A12D486" w14:textId="77777777" w:rsidTr="00824CD6">
                              <w:trPr>
                                <w:trHeight w:hRule="exact" w:val="312"/>
                              </w:trPr>
                              <w:tc>
                                <w:tcPr>
                                  <w:tcW w:w="611" w:type="dxa"/>
                                  <w:vAlign w:val="center"/>
                                </w:tcPr>
                                <w:p w14:paraId="2165C970"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6</w:t>
                                  </w:r>
                                </w:p>
                              </w:tc>
                              <w:tc>
                                <w:tcPr>
                                  <w:tcW w:w="1022" w:type="dxa"/>
                                  <w:vAlign w:val="center"/>
                                </w:tcPr>
                                <w:p w14:paraId="58ED97F1" w14:textId="77777777" w:rsidR="0050059F" w:rsidRPr="00077C26" w:rsidRDefault="0050059F" w:rsidP="00824CD6">
                                  <w:pPr>
                                    <w:spacing w:line="240" w:lineRule="exact"/>
                                    <w:rPr>
                                      <w:rFonts w:ascii="標楷體" w:eastAsia="標楷體" w:hAnsi="標楷體"/>
                                    </w:rPr>
                                  </w:pPr>
                                  <w:r w:rsidRPr="00077C26">
                                    <w:rPr>
                                      <w:rFonts w:ascii="標楷體" w:eastAsia="標楷體" w:hAnsi="標楷體" w:hint="eastAsia"/>
                                    </w:rPr>
                                    <w:t>中山站</w:t>
                                  </w:r>
                                </w:p>
                              </w:tc>
                              <w:tc>
                                <w:tcPr>
                                  <w:tcW w:w="616" w:type="dxa"/>
                                  <w:vAlign w:val="center"/>
                                </w:tcPr>
                                <w:p w14:paraId="2DEAD29E"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hint="eastAsia"/>
                                    </w:rPr>
                                    <w:t>8</w:t>
                                  </w:r>
                                  <w:r w:rsidRPr="00077C26">
                                    <w:rPr>
                                      <w:rFonts w:ascii="標楷體" w:eastAsia="標楷體" w:hAnsi="標楷體"/>
                                    </w:rPr>
                                    <w:t>8</w:t>
                                  </w:r>
                                </w:p>
                              </w:tc>
                              <w:tc>
                                <w:tcPr>
                                  <w:tcW w:w="1358" w:type="dxa"/>
                                  <w:vAlign w:val="center"/>
                                </w:tcPr>
                                <w:p w14:paraId="249EB79D"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12.2-113.10</w:t>
                                  </w:r>
                                </w:p>
                              </w:tc>
                              <w:tc>
                                <w:tcPr>
                                  <w:tcW w:w="1400" w:type="dxa"/>
                                  <w:vAlign w:val="center"/>
                                </w:tcPr>
                                <w:p w14:paraId="77F6CF0F"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spacing w:val="-12"/>
                                    </w:rPr>
                                    <w:t>15</w:t>
                                  </w:r>
                                  <w:r w:rsidRPr="005B7200">
                                    <w:rPr>
                                      <w:rFonts w:ascii="標楷體" w:eastAsia="標楷體" w:hAnsi="標楷體" w:hint="eastAsia"/>
                                      <w:spacing w:val="-12"/>
                                    </w:rPr>
                                    <w:t>、1</w:t>
                                  </w:r>
                                  <w:r w:rsidRPr="005B7200">
                                    <w:rPr>
                                      <w:rFonts w:ascii="標楷體" w:eastAsia="標楷體" w:hAnsi="標楷體"/>
                                      <w:spacing w:val="-12"/>
                                    </w:rPr>
                                    <w:t>9</w:t>
                                  </w:r>
                                </w:p>
                              </w:tc>
                              <w:tc>
                                <w:tcPr>
                                  <w:tcW w:w="783" w:type="dxa"/>
                                  <w:vAlign w:val="center"/>
                                </w:tcPr>
                                <w:p w14:paraId="52726829"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,862</w:t>
                                  </w:r>
                                </w:p>
                              </w:tc>
                            </w:tr>
                            <w:tr w:rsidR="0050059F" w:rsidRPr="00865C09" w14:paraId="6612D424" w14:textId="77777777" w:rsidTr="00824CD6">
                              <w:trPr>
                                <w:trHeight w:hRule="exact" w:val="312"/>
                              </w:trPr>
                              <w:tc>
                                <w:tcPr>
                                  <w:tcW w:w="611" w:type="dxa"/>
                                  <w:vAlign w:val="center"/>
                                </w:tcPr>
                                <w:p w14:paraId="0F6FD42D"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7</w:t>
                                  </w:r>
                                </w:p>
                              </w:tc>
                              <w:tc>
                                <w:tcPr>
                                  <w:tcW w:w="1022" w:type="dxa"/>
                                  <w:vAlign w:val="center"/>
                                </w:tcPr>
                                <w:p w14:paraId="502B7E5D" w14:textId="77777777" w:rsidR="0050059F" w:rsidRPr="00077C26" w:rsidRDefault="0050059F" w:rsidP="00824CD6">
                                  <w:pPr>
                                    <w:spacing w:line="240" w:lineRule="exact"/>
                                    <w:rPr>
                                      <w:rFonts w:ascii="標楷體" w:eastAsia="標楷體" w:hAnsi="標楷體"/>
                                    </w:rPr>
                                  </w:pPr>
                                  <w:r w:rsidRPr="00077C26">
                                    <w:rPr>
                                      <w:rFonts w:ascii="標楷體" w:eastAsia="標楷體" w:hAnsi="標楷體" w:hint="eastAsia"/>
                                    </w:rPr>
                                    <w:t>蘆洲站</w:t>
                                  </w:r>
                                </w:p>
                              </w:tc>
                              <w:tc>
                                <w:tcPr>
                                  <w:tcW w:w="616" w:type="dxa"/>
                                  <w:vAlign w:val="center"/>
                                </w:tcPr>
                                <w:p w14:paraId="2F9BA295"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76</w:t>
                                  </w:r>
                                </w:p>
                              </w:tc>
                              <w:tc>
                                <w:tcPr>
                                  <w:tcW w:w="1358" w:type="dxa"/>
                                  <w:vAlign w:val="center"/>
                                </w:tcPr>
                                <w:p w14:paraId="00B8FE15"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12.1-113.11</w:t>
                                  </w:r>
                                </w:p>
                              </w:tc>
                              <w:tc>
                                <w:tcPr>
                                  <w:tcW w:w="1400" w:type="dxa"/>
                                  <w:vAlign w:val="center"/>
                                </w:tcPr>
                                <w:p w14:paraId="53F817D6"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spacing w:val="-12"/>
                                    </w:rPr>
                                    <w:t>10</w:t>
                                  </w:r>
                                  <w:r w:rsidRPr="005B7200">
                                    <w:rPr>
                                      <w:rFonts w:ascii="標楷體" w:eastAsia="標楷體" w:hAnsi="標楷體" w:hint="eastAsia"/>
                                      <w:spacing w:val="-12"/>
                                    </w:rPr>
                                    <w:t>、2</w:t>
                                  </w:r>
                                  <w:r w:rsidRPr="005B7200">
                                    <w:rPr>
                                      <w:rFonts w:ascii="標楷體" w:eastAsia="標楷體" w:hAnsi="標楷體"/>
                                      <w:spacing w:val="-12"/>
                                    </w:rPr>
                                    <w:t>2</w:t>
                                  </w:r>
                                </w:p>
                              </w:tc>
                              <w:tc>
                                <w:tcPr>
                                  <w:tcW w:w="783" w:type="dxa"/>
                                  <w:vAlign w:val="center"/>
                                </w:tcPr>
                                <w:p w14:paraId="6FB74D06"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3</w:t>
                                  </w:r>
                                  <w:r w:rsidRPr="00077C26">
                                    <w:rPr>
                                      <w:rFonts w:ascii="標楷體" w:eastAsia="標楷體" w:hAnsi="標楷體"/>
                                    </w:rPr>
                                    <w:t>,792</w:t>
                                  </w:r>
                                </w:p>
                              </w:tc>
                            </w:tr>
                          </w:tbl>
                          <w:p w14:paraId="7B6157BE" w14:textId="77777777" w:rsidR="0050059F" w:rsidRPr="00521977" w:rsidRDefault="0050059F" w:rsidP="0050059F">
                            <w:pPr>
                              <w:spacing w:beforeLines="10" w:before="36" w:line="240" w:lineRule="exact"/>
                              <w:ind w:left="540" w:hangingChars="300" w:hanging="540"/>
                              <w:rPr>
                                <w:sz w:val="18"/>
                                <w:szCs w:val="18"/>
                              </w:rPr>
                            </w:pPr>
                            <w:r w:rsidRPr="00521977">
                              <w:rPr>
                                <w:rFonts w:ascii="標楷體" w:eastAsia="標楷體" w:hAnsi="標楷體" w:hint="eastAsia"/>
                                <w:sz w:val="18"/>
                                <w:szCs w:val="18"/>
                              </w:rPr>
                              <w:t>資料來源：整理自捷運工程局提供資料。</w:t>
                            </w:r>
                          </w:p>
                          <w:p w14:paraId="60701F17" w14:textId="77777777" w:rsidR="0050059F" w:rsidRPr="00E90B1F" w:rsidRDefault="0050059F" w:rsidP="0050059F">
                            <w:pPr>
                              <w:spacing w:beforeLines="10" w:before="36" w:line="220" w:lineRule="exact"/>
                              <w:ind w:left="720" w:hangingChars="300" w:hanging="72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52E46E" id="_x0000_s1159" type="#_x0000_t202" style="position:absolute;left:0;text-align:left;margin-left:197.6pt;margin-top:177.95pt;width:303.2pt;height:202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" stroked="f">
                <v:textbox>
                  <w:txbxContent>
                    <w:p w14:paraId="77E6B15D" w14:textId="77777777" w:rsidR="0050059F" w:rsidRPr="00773D26" w:rsidRDefault="0050059F" w:rsidP="0050059F">
                      <w:pPr>
                        <w:spacing w:afterLines="10" w:after="36" w:line="260" w:lineRule="exact"/>
                        <w:jc w:val="center"/>
                        <w:rPr>
                          <w:rFonts w:ascii="標楷體" w:eastAsia="標楷體" w:hAnsi="標楷體" w:cs="新細明體"/>
                          <w:b/>
                          <w:kern w:val="0"/>
                        </w:rPr>
                      </w:pPr>
                      <w:r w:rsidRPr="00773D26">
                        <w:rPr>
                          <w:rFonts w:ascii="標楷體" w:eastAsia="標楷體" w:hAnsi="標楷體" w:cs="新細明體" w:hint="eastAsia"/>
                          <w:b/>
                          <w:kern w:val="0"/>
                        </w:rPr>
                        <w:t>表2</w:t>
                      </w:r>
                      <w:r w:rsidRPr="00773D26">
                        <w:rPr>
                          <w:rFonts w:ascii="標楷體" w:eastAsia="標楷體" w:hAnsi="標楷體" w:cs="新細明體"/>
                          <w:b/>
                          <w:kern w:val="0"/>
                        </w:rPr>
                        <w:t xml:space="preserve">  </w:t>
                      </w:r>
                      <w:proofErr w:type="gramStart"/>
                      <w:r w:rsidRPr="00773D26">
                        <w:rPr>
                          <w:rFonts w:ascii="標楷體" w:eastAsia="標楷體" w:hAnsi="標楷體" w:cs="新細明體"/>
                          <w:b/>
                          <w:kern w:val="0"/>
                        </w:rPr>
                        <w:t>113</w:t>
                      </w:r>
                      <w:proofErr w:type="gramEnd"/>
                      <w:r w:rsidRPr="00773D26">
                        <w:rPr>
                          <w:rFonts w:ascii="標楷體" w:eastAsia="標楷體" w:hAnsi="標楷體" w:cs="新細明體" w:hint="eastAsia"/>
                          <w:b/>
                          <w:kern w:val="0"/>
                        </w:rPr>
                        <w:t>年度辦理逾期調整租金及追溯補繳差額情形</w:t>
                      </w:r>
                    </w:p>
                    <w:p w14:paraId="682F4321" w14:textId="77777777" w:rsidR="0050059F" w:rsidRPr="00FC0181" w:rsidRDefault="0050059F" w:rsidP="0050059F">
                      <w:pPr>
                        <w:spacing w:afterLines="10" w:after="36" w:line="240" w:lineRule="exact"/>
                        <w:ind w:rightChars="-10" w:right="-24"/>
                        <w:jc w:val="right"/>
                        <w:rPr>
                          <w:rFonts w:ascii="標楷體" w:eastAsia="標楷體" w:hAnsi="標楷體" w:cs="新細明體"/>
                          <w:kern w:val="0"/>
                          <w:sz w:val="20"/>
                        </w:rPr>
                      </w:pPr>
                      <w:r>
                        <w:rPr>
                          <w:rFonts w:ascii="標楷體" w:eastAsia="標楷體" w:hAnsi="標楷體" w:cs="新細明體" w:hint="eastAsia"/>
                          <w:kern w:val="0"/>
                          <w:sz w:val="20"/>
                        </w:rPr>
                        <w:t>單位：戶、月數、新臺幣千元</w:t>
                      </w:r>
                    </w:p>
                    <w:tbl>
                      <w:tblPr>
                        <w:tblStyle w:val="a6"/>
                        <w:tblW w:w="5790" w:type="dxa"/>
                        <w:tblLayout w:type="fixed"/>
                        <w:tblLook w:val="04A0" w:firstRow="1" w:lastRow="0" w:firstColumn="1" w:lastColumn="0" w:noHBand="0" w:noVBand="1"/>
                      </w:tblPr>
                      <w:tblGrid>
                        <w:gridCol w:w="611"/>
                        <w:gridCol w:w="1022"/>
                        <w:gridCol w:w="616"/>
                        <w:gridCol w:w="1358"/>
                        <w:gridCol w:w="1400"/>
                        <w:gridCol w:w="783"/>
                      </w:tblGrid>
                      <w:tr w:rsidR="0050059F" w:rsidRPr="00865C09" w14:paraId="5FC8B8FE" w14:textId="77777777" w:rsidTr="00824CD6">
                        <w:trPr>
                          <w:trHeight w:val="510"/>
                        </w:trPr>
                        <w:tc>
                          <w:tcPr>
                            <w:tcW w:w="611" w:type="dxa"/>
                            <w:vAlign w:val="center"/>
                          </w:tcPr>
                          <w:p w14:paraId="782F3D0D" w14:textId="77777777" w:rsidR="0050059F" w:rsidRPr="00C33026" w:rsidRDefault="0050059F" w:rsidP="00824CD6">
                            <w:pPr>
                              <w:spacing w:line="240" w:lineRule="exact"/>
                              <w:jc w:val="center"/>
                              <w:rPr>
                                <w:rFonts w:ascii="標楷體" w:eastAsia="標楷體" w:hAnsi="標楷體"/>
                                <w:spacing w:val="-4"/>
                              </w:rPr>
                            </w:pPr>
                            <w:r w:rsidRPr="00C33026">
                              <w:rPr>
                                <w:rFonts w:ascii="標楷體" w:eastAsia="標楷體" w:hAnsi="標楷體" w:hint="eastAsia"/>
                                <w:spacing w:val="-4"/>
                              </w:rPr>
                              <w:t>序號</w:t>
                            </w:r>
                          </w:p>
                        </w:tc>
                        <w:tc>
                          <w:tcPr>
                            <w:tcW w:w="1022" w:type="dxa"/>
                            <w:vAlign w:val="center"/>
                          </w:tcPr>
                          <w:p w14:paraId="4746036C" w14:textId="77777777" w:rsidR="0050059F" w:rsidRPr="00C33026" w:rsidRDefault="0050059F" w:rsidP="00824CD6">
                            <w:pPr>
                              <w:spacing w:line="240" w:lineRule="exact"/>
                              <w:jc w:val="center"/>
                              <w:rPr>
                                <w:rFonts w:ascii="標楷體" w:eastAsia="標楷體" w:hAnsi="標楷體"/>
                                <w:spacing w:val="-4"/>
                              </w:rPr>
                            </w:pPr>
                            <w:proofErr w:type="gramStart"/>
                            <w:r w:rsidRPr="00C33026">
                              <w:rPr>
                                <w:rFonts w:ascii="標楷體" w:eastAsia="標楷體" w:hAnsi="標楷體" w:hint="eastAsia"/>
                                <w:spacing w:val="-4"/>
                              </w:rPr>
                              <w:t>案別名稱</w:t>
                            </w:r>
                            <w:proofErr w:type="gramEnd"/>
                          </w:p>
                        </w:tc>
                        <w:tc>
                          <w:tcPr>
                            <w:tcW w:w="616" w:type="dxa"/>
                            <w:vAlign w:val="center"/>
                          </w:tcPr>
                          <w:p w14:paraId="63FE2F0F" w14:textId="77777777" w:rsidR="0050059F" w:rsidRPr="00C33026" w:rsidRDefault="0050059F" w:rsidP="00824CD6">
                            <w:pPr>
                              <w:spacing w:line="240" w:lineRule="exact"/>
                              <w:rPr>
                                <w:rFonts w:ascii="標楷體" w:eastAsia="標楷體" w:hAnsi="標楷體"/>
                                <w:spacing w:val="-4"/>
                              </w:rPr>
                            </w:pPr>
                            <w:r w:rsidRPr="00C33026">
                              <w:rPr>
                                <w:rFonts w:ascii="標楷體" w:eastAsia="標楷體" w:hAnsi="標楷體" w:hint="eastAsia"/>
                                <w:spacing w:val="-4"/>
                              </w:rPr>
                              <w:t>戶數</w:t>
                            </w:r>
                          </w:p>
                        </w:tc>
                        <w:tc>
                          <w:tcPr>
                            <w:tcW w:w="1358" w:type="dxa"/>
                            <w:vAlign w:val="center"/>
                          </w:tcPr>
                          <w:p w14:paraId="296030B6" w14:textId="77777777" w:rsidR="0050059F" w:rsidRPr="00C33026" w:rsidRDefault="0050059F" w:rsidP="00824CD6">
                            <w:pPr>
                              <w:spacing w:line="240" w:lineRule="exact"/>
                              <w:ind w:leftChars="50" w:left="120"/>
                              <w:rPr>
                                <w:rFonts w:ascii="標楷體" w:eastAsia="標楷體" w:hAnsi="標楷體"/>
                                <w:spacing w:val="-4"/>
                              </w:rPr>
                            </w:pPr>
                            <w:r w:rsidRPr="00C33026">
                              <w:rPr>
                                <w:rFonts w:ascii="標楷體" w:eastAsia="標楷體" w:hAnsi="標楷體" w:hint="eastAsia"/>
                                <w:spacing w:val="-4"/>
                              </w:rPr>
                              <w:t>應補繳</w:t>
                            </w:r>
                            <w:r>
                              <w:rPr>
                                <w:rFonts w:ascii="標楷體" w:eastAsia="標楷體" w:hAnsi="標楷體" w:hint="eastAsia"/>
                                <w:spacing w:val="-4"/>
                              </w:rPr>
                              <w:t>差額</w:t>
                            </w:r>
                            <w:proofErr w:type="gramStart"/>
                            <w:r w:rsidRPr="00C33026">
                              <w:rPr>
                                <w:rFonts w:ascii="標楷體" w:eastAsia="標楷體" w:hAnsi="標楷體" w:hint="eastAsia"/>
                                <w:spacing w:val="-4"/>
                              </w:rPr>
                              <w:t>期間</w:t>
                            </w:r>
                            <w:r>
                              <w:rPr>
                                <w:rFonts w:ascii="標楷體" w:eastAsia="標楷體" w:hAnsi="標楷體" w:hint="eastAsia"/>
                                <w:spacing w:val="-4"/>
                              </w:rPr>
                              <w:t>(</w:t>
                            </w:r>
                            <w:proofErr w:type="gramEnd"/>
                            <w:r>
                              <w:rPr>
                                <w:rFonts w:ascii="標楷體" w:eastAsia="標楷體" w:hAnsi="標楷體" w:hint="eastAsia"/>
                                <w:spacing w:val="-4"/>
                              </w:rPr>
                              <w:t>年月</w:t>
                            </w:r>
                            <w:r>
                              <w:rPr>
                                <w:rFonts w:ascii="標楷體" w:eastAsia="標楷體" w:hAnsi="標楷體"/>
                                <w:spacing w:val="-4"/>
                              </w:rPr>
                              <w:t>)</w:t>
                            </w:r>
                          </w:p>
                        </w:tc>
                        <w:tc>
                          <w:tcPr>
                            <w:tcW w:w="1400" w:type="dxa"/>
                            <w:vAlign w:val="center"/>
                          </w:tcPr>
                          <w:p w14:paraId="6A397CEC" w14:textId="77777777" w:rsidR="0050059F" w:rsidRDefault="0050059F" w:rsidP="00C254C1">
                            <w:pPr>
                              <w:spacing w:line="240" w:lineRule="exact"/>
                              <w:jc w:val="center"/>
                              <w:rPr>
                                <w:rFonts w:ascii="標楷體" w:eastAsia="標楷體" w:hAnsi="標楷體"/>
                                <w:spacing w:val="-4"/>
                              </w:rPr>
                            </w:pPr>
                            <w:r w:rsidRPr="00C33026">
                              <w:rPr>
                                <w:rFonts w:ascii="標楷體" w:eastAsia="標楷體" w:hAnsi="標楷體" w:hint="eastAsia"/>
                                <w:spacing w:val="-4"/>
                              </w:rPr>
                              <w:t>追溯調整</w:t>
                            </w:r>
                          </w:p>
                          <w:p w14:paraId="3A7A5C86" w14:textId="77777777" w:rsidR="0050059F" w:rsidRPr="00C33026" w:rsidRDefault="0050059F" w:rsidP="00C254C1">
                            <w:pPr>
                              <w:spacing w:line="240" w:lineRule="exact"/>
                              <w:jc w:val="center"/>
                              <w:rPr>
                                <w:rFonts w:ascii="標楷體" w:eastAsia="標楷體" w:hAnsi="標楷體"/>
                                <w:spacing w:val="-4"/>
                              </w:rPr>
                            </w:pPr>
                            <w:r w:rsidRPr="00C33026">
                              <w:rPr>
                                <w:rFonts w:ascii="標楷體" w:eastAsia="標楷體" w:hAnsi="標楷體" w:hint="eastAsia"/>
                                <w:spacing w:val="-4"/>
                              </w:rPr>
                              <w:t>落後月數</w:t>
                            </w:r>
                          </w:p>
                        </w:tc>
                        <w:tc>
                          <w:tcPr>
                            <w:tcW w:w="783" w:type="dxa"/>
                            <w:vAlign w:val="center"/>
                          </w:tcPr>
                          <w:p w14:paraId="033C6503" w14:textId="77777777" w:rsidR="0050059F" w:rsidRPr="005B7200" w:rsidRDefault="0050059F" w:rsidP="00824CD6">
                            <w:pPr>
                              <w:spacing w:line="240" w:lineRule="exact"/>
                              <w:jc w:val="center"/>
                              <w:rPr>
                                <w:rFonts w:ascii="標楷體" w:eastAsia="標楷體" w:hAnsi="標楷體"/>
                                <w:spacing w:val="-6"/>
                              </w:rPr>
                            </w:pPr>
                            <w:r w:rsidRPr="005B7200">
                              <w:rPr>
                                <w:rFonts w:ascii="標楷體" w:eastAsia="標楷體" w:hAnsi="標楷體" w:hint="eastAsia"/>
                                <w:spacing w:val="-6"/>
                              </w:rPr>
                              <w:t>應補繳</w:t>
                            </w:r>
                          </w:p>
                          <w:p w14:paraId="3EFBDFE2" w14:textId="77777777" w:rsidR="0050059F" w:rsidRPr="00C33026" w:rsidRDefault="0050059F" w:rsidP="00824CD6">
                            <w:pPr>
                              <w:spacing w:line="240" w:lineRule="exact"/>
                              <w:jc w:val="center"/>
                              <w:rPr>
                                <w:rFonts w:ascii="標楷體" w:eastAsia="標楷體" w:hAnsi="標楷體"/>
                                <w:spacing w:val="-4"/>
                              </w:rPr>
                            </w:pPr>
                            <w:r w:rsidRPr="005B7200">
                              <w:rPr>
                                <w:rFonts w:ascii="標楷體" w:eastAsia="標楷體" w:hAnsi="標楷體" w:hint="eastAsia"/>
                                <w:spacing w:val="-6"/>
                              </w:rPr>
                              <w:t>金額</w:t>
                            </w:r>
                          </w:p>
                        </w:tc>
                      </w:tr>
                      <w:tr w:rsidR="0050059F" w:rsidRPr="00865C09" w14:paraId="32E2C198" w14:textId="77777777" w:rsidTr="00824CD6">
                        <w:trPr>
                          <w:trHeight w:hRule="exact" w:val="312"/>
                        </w:trPr>
                        <w:tc>
                          <w:tcPr>
                            <w:tcW w:w="611" w:type="dxa"/>
                            <w:vAlign w:val="center"/>
                          </w:tcPr>
                          <w:p w14:paraId="326DDB97" w14:textId="77777777" w:rsidR="0050059F" w:rsidRPr="00077C26" w:rsidRDefault="0050059F" w:rsidP="00824CD6">
                            <w:pPr>
                              <w:spacing w:line="240" w:lineRule="exact"/>
                              <w:jc w:val="center"/>
                              <w:rPr>
                                <w:rFonts w:ascii="標楷體" w:eastAsia="標楷體" w:hAnsi="標楷體"/>
                                <w:b/>
                                <w:spacing w:val="-4"/>
                              </w:rPr>
                            </w:pPr>
                            <w:r w:rsidRPr="00077C26">
                              <w:rPr>
                                <w:rFonts w:ascii="標楷體" w:eastAsia="標楷體" w:hAnsi="標楷體" w:hint="eastAsia"/>
                                <w:b/>
                                <w:spacing w:val="-4"/>
                              </w:rPr>
                              <w:t>合計</w:t>
                            </w:r>
                          </w:p>
                        </w:tc>
                        <w:tc>
                          <w:tcPr>
                            <w:tcW w:w="1022" w:type="dxa"/>
                            <w:vAlign w:val="center"/>
                          </w:tcPr>
                          <w:p w14:paraId="3B8DF83D" w14:textId="77777777" w:rsidR="0050059F" w:rsidRPr="00077C26" w:rsidRDefault="0050059F" w:rsidP="00824CD6">
                            <w:pPr>
                              <w:spacing w:line="240" w:lineRule="exact"/>
                              <w:jc w:val="center"/>
                              <w:rPr>
                                <w:rFonts w:ascii="標楷體" w:eastAsia="標楷體" w:hAnsi="標楷體"/>
                                <w:b/>
                              </w:rPr>
                            </w:pPr>
                            <w:r w:rsidRPr="00077C26">
                              <w:rPr>
                                <w:rFonts w:ascii="標楷體" w:eastAsia="標楷體" w:hAnsi="標楷體"/>
                                <w:b/>
                              </w:rPr>
                              <w:t>7</w:t>
                            </w:r>
                            <w:r w:rsidRPr="00077C26">
                              <w:rPr>
                                <w:rFonts w:ascii="標楷體" w:eastAsia="標楷體" w:hAnsi="標楷體" w:hint="eastAsia"/>
                                <w:b/>
                              </w:rPr>
                              <w:t>案</w:t>
                            </w:r>
                          </w:p>
                        </w:tc>
                        <w:tc>
                          <w:tcPr>
                            <w:tcW w:w="616" w:type="dxa"/>
                            <w:vAlign w:val="center"/>
                          </w:tcPr>
                          <w:p w14:paraId="50790178" w14:textId="77777777" w:rsidR="0050059F" w:rsidRPr="00077C26" w:rsidRDefault="0050059F" w:rsidP="00824CD6">
                            <w:pPr>
                              <w:spacing w:line="240" w:lineRule="exact"/>
                              <w:ind w:leftChars="5" w:left="12"/>
                              <w:jc w:val="right"/>
                              <w:rPr>
                                <w:rFonts w:ascii="標楷體" w:eastAsia="標楷體" w:hAnsi="標楷體"/>
                                <w:b/>
                              </w:rPr>
                            </w:pPr>
                            <w:r w:rsidRPr="00077C26">
                              <w:rPr>
                                <w:rFonts w:ascii="標楷體" w:eastAsia="標楷體" w:hAnsi="標楷體" w:hint="eastAsia"/>
                                <w:b/>
                              </w:rPr>
                              <w:t>2</w:t>
                            </w:r>
                            <w:r w:rsidRPr="00077C26">
                              <w:rPr>
                                <w:rFonts w:ascii="標楷體" w:eastAsia="標楷體" w:hAnsi="標楷體"/>
                                <w:b/>
                              </w:rPr>
                              <w:t>86</w:t>
                            </w:r>
                          </w:p>
                        </w:tc>
                        <w:tc>
                          <w:tcPr>
                            <w:tcW w:w="1358" w:type="dxa"/>
                            <w:vAlign w:val="center"/>
                          </w:tcPr>
                          <w:p w14:paraId="4D3A331B" w14:textId="77777777" w:rsidR="0050059F" w:rsidRPr="00C33026" w:rsidRDefault="0050059F" w:rsidP="00824CD6">
                            <w:pPr>
                              <w:spacing w:line="240" w:lineRule="exact"/>
                              <w:jc w:val="right"/>
                              <w:rPr>
                                <w:rFonts w:ascii="標楷體" w:eastAsia="標楷體" w:hAnsi="標楷體"/>
                                <w:b/>
                                <w:spacing w:val="-4"/>
                              </w:rPr>
                            </w:pPr>
                            <w:r w:rsidRPr="00C33026">
                              <w:rPr>
                                <w:rFonts w:ascii="標楷體" w:eastAsia="標楷體" w:hAnsi="標楷體" w:hint="eastAsia"/>
                                <w:b/>
                                <w:spacing w:val="-4"/>
                              </w:rPr>
                              <w:t>－</w:t>
                            </w:r>
                          </w:p>
                        </w:tc>
                        <w:tc>
                          <w:tcPr>
                            <w:tcW w:w="1400" w:type="dxa"/>
                            <w:vAlign w:val="center"/>
                          </w:tcPr>
                          <w:p w14:paraId="4CC77CD5" w14:textId="77777777" w:rsidR="0050059F" w:rsidRPr="005B7200" w:rsidRDefault="0050059F" w:rsidP="00824CD6">
                            <w:pPr>
                              <w:spacing w:line="240" w:lineRule="exact"/>
                              <w:jc w:val="right"/>
                              <w:rPr>
                                <w:rFonts w:ascii="標楷體" w:eastAsia="標楷體" w:hAnsi="標楷體"/>
                                <w:b/>
                                <w:spacing w:val="-6"/>
                              </w:rPr>
                            </w:pPr>
                            <w:r w:rsidRPr="005B7200">
                              <w:rPr>
                                <w:rFonts w:ascii="標楷體" w:eastAsia="標楷體" w:hAnsi="標楷體" w:hint="eastAsia"/>
                                <w:b/>
                                <w:spacing w:val="-6"/>
                              </w:rPr>
                              <w:t>－</w:t>
                            </w:r>
                          </w:p>
                        </w:tc>
                        <w:tc>
                          <w:tcPr>
                            <w:tcW w:w="783" w:type="dxa"/>
                            <w:vAlign w:val="center"/>
                          </w:tcPr>
                          <w:p w14:paraId="1C0CD20B" w14:textId="77777777" w:rsidR="0050059F" w:rsidRPr="00077C26" w:rsidRDefault="0050059F" w:rsidP="00824CD6">
                            <w:pPr>
                              <w:spacing w:line="240" w:lineRule="exact"/>
                              <w:jc w:val="right"/>
                              <w:rPr>
                                <w:rFonts w:ascii="標楷體" w:eastAsia="標楷體" w:hAnsi="標楷體"/>
                                <w:b/>
                              </w:rPr>
                            </w:pPr>
                            <w:r w:rsidRPr="00077C26">
                              <w:rPr>
                                <w:rFonts w:ascii="標楷體" w:eastAsia="標楷體" w:hAnsi="標楷體" w:hint="eastAsia"/>
                                <w:b/>
                              </w:rPr>
                              <w:t>5</w:t>
                            </w:r>
                            <w:r w:rsidRPr="00077C26">
                              <w:rPr>
                                <w:rFonts w:ascii="標楷體" w:eastAsia="標楷體" w:hAnsi="標楷體"/>
                                <w:b/>
                              </w:rPr>
                              <w:t>,956</w:t>
                            </w:r>
                          </w:p>
                        </w:tc>
                      </w:tr>
                      <w:tr w:rsidR="0050059F" w:rsidRPr="00865C09" w14:paraId="615DE24F" w14:textId="77777777" w:rsidTr="00824CD6">
                        <w:trPr>
                          <w:trHeight w:hRule="exact" w:val="312"/>
                        </w:trPr>
                        <w:tc>
                          <w:tcPr>
                            <w:tcW w:w="611" w:type="dxa"/>
                            <w:vAlign w:val="center"/>
                          </w:tcPr>
                          <w:p w14:paraId="4029B6A4"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1</w:t>
                            </w:r>
                          </w:p>
                        </w:tc>
                        <w:tc>
                          <w:tcPr>
                            <w:tcW w:w="1022" w:type="dxa"/>
                            <w:vAlign w:val="center"/>
                          </w:tcPr>
                          <w:p w14:paraId="1B5083ED" w14:textId="77777777" w:rsidR="0050059F" w:rsidRPr="00077C26" w:rsidRDefault="0050059F" w:rsidP="00824CD6">
                            <w:pPr>
                              <w:spacing w:line="240" w:lineRule="exact"/>
                              <w:ind w:left="144" w:hangingChars="72" w:hanging="144"/>
                              <w:rPr>
                                <w:rFonts w:ascii="標楷體" w:eastAsia="標楷體" w:hAnsi="標楷體"/>
                              </w:rPr>
                            </w:pPr>
                            <w:r w:rsidRPr="00077C26">
                              <w:rPr>
                                <w:rFonts w:ascii="標楷體" w:eastAsia="標楷體" w:hAnsi="標楷體" w:hint="eastAsia"/>
                              </w:rPr>
                              <w:t>新店機廠</w:t>
                            </w:r>
                          </w:p>
                        </w:tc>
                        <w:tc>
                          <w:tcPr>
                            <w:tcW w:w="616" w:type="dxa"/>
                            <w:vAlign w:val="center"/>
                          </w:tcPr>
                          <w:p w14:paraId="7AE1E679"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hint="eastAsia"/>
                              </w:rPr>
                              <w:t>1</w:t>
                            </w:r>
                          </w:p>
                        </w:tc>
                        <w:tc>
                          <w:tcPr>
                            <w:tcW w:w="1358" w:type="dxa"/>
                            <w:vAlign w:val="center"/>
                          </w:tcPr>
                          <w:p w14:paraId="4753A5D2"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11.9-113.2</w:t>
                            </w:r>
                          </w:p>
                        </w:tc>
                        <w:tc>
                          <w:tcPr>
                            <w:tcW w:w="1400" w:type="dxa"/>
                            <w:vAlign w:val="center"/>
                          </w:tcPr>
                          <w:p w14:paraId="6F0D387C"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hint="eastAsia"/>
                                <w:spacing w:val="-12"/>
                              </w:rPr>
                              <w:t>1</w:t>
                            </w:r>
                            <w:r w:rsidRPr="005B7200">
                              <w:rPr>
                                <w:rFonts w:ascii="標楷體" w:eastAsia="標楷體" w:hAnsi="標楷體"/>
                                <w:spacing w:val="-12"/>
                              </w:rPr>
                              <w:t>7</w:t>
                            </w:r>
                          </w:p>
                        </w:tc>
                        <w:tc>
                          <w:tcPr>
                            <w:tcW w:w="783" w:type="dxa"/>
                            <w:vAlign w:val="center"/>
                          </w:tcPr>
                          <w:p w14:paraId="693CED06"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9</w:t>
                            </w:r>
                          </w:p>
                        </w:tc>
                      </w:tr>
                      <w:tr w:rsidR="0050059F" w:rsidRPr="00865C09" w14:paraId="77B34847" w14:textId="77777777" w:rsidTr="00824CD6">
                        <w:trPr>
                          <w:trHeight w:hRule="exact" w:val="312"/>
                        </w:trPr>
                        <w:tc>
                          <w:tcPr>
                            <w:tcW w:w="611" w:type="dxa"/>
                            <w:vAlign w:val="center"/>
                          </w:tcPr>
                          <w:p w14:paraId="69BFD673"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2</w:t>
                            </w:r>
                          </w:p>
                        </w:tc>
                        <w:tc>
                          <w:tcPr>
                            <w:tcW w:w="1022" w:type="dxa"/>
                            <w:vAlign w:val="center"/>
                          </w:tcPr>
                          <w:p w14:paraId="7F92ED3D" w14:textId="77777777" w:rsidR="0050059F" w:rsidRPr="00077C26" w:rsidRDefault="0050059F" w:rsidP="00824CD6">
                            <w:pPr>
                              <w:spacing w:line="240" w:lineRule="exact"/>
                              <w:ind w:left="144" w:hangingChars="72" w:hanging="144"/>
                              <w:rPr>
                                <w:rFonts w:ascii="標楷體" w:eastAsia="標楷體" w:hAnsi="標楷體"/>
                              </w:rPr>
                            </w:pPr>
                            <w:r w:rsidRPr="00077C26">
                              <w:rPr>
                                <w:rFonts w:ascii="標楷體" w:eastAsia="標楷體" w:hAnsi="標楷體" w:hint="eastAsia"/>
                              </w:rPr>
                              <w:t>新店機廠</w:t>
                            </w:r>
                          </w:p>
                        </w:tc>
                        <w:tc>
                          <w:tcPr>
                            <w:tcW w:w="616" w:type="dxa"/>
                            <w:vAlign w:val="center"/>
                          </w:tcPr>
                          <w:p w14:paraId="42A439D7"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8</w:t>
                            </w:r>
                          </w:p>
                        </w:tc>
                        <w:tc>
                          <w:tcPr>
                            <w:tcW w:w="1358" w:type="dxa"/>
                            <w:vAlign w:val="center"/>
                          </w:tcPr>
                          <w:p w14:paraId="314BD089"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12.1-113.2</w:t>
                            </w:r>
                          </w:p>
                        </w:tc>
                        <w:tc>
                          <w:tcPr>
                            <w:tcW w:w="1400" w:type="dxa"/>
                            <w:vAlign w:val="center"/>
                          </w:tcPr>
                          <w:p w14:paraId="448BF308"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spacing w:val="-12"/>
                              </w:rPr>
                              <w:t>9</w:t>
                            </w:r>
                            <w:r w:rsidRPr="005B7200">
                              <w:rPr>
                                <w:rFonts w:ascii="標楷體" w:eastAsia="標楷體" w:hAnsi="標楷體" w:hint="eastAsia"/>
                                <w:spacing w:val="-12"/>
                              </w:rPr>
                              <w:t>、</w:t>
                            </w:r>
                            <w:r w:rsidRPr="005B7200">
                              <w:rPr>
                                <w:rFonts w:ascii="標楷體" w:eastAsia="標楷體" w:hAnsi="標楷體"/>
                                <w:spacing w:val="-12"/>
                              </w:rPr>
                              <w:t>11</w:t>
                            </w:r>
                            <w:r w:rsidRPr="005B7200">
                              <w:rPr>
                                <w:rFonts w:ascii="標楷體" w:eastAsia="標楷體" w:hAnsi="標楷體" w:hint="eastAsia"/>
                                <w:spacing w:val="-12"/>
                              </w:rPr>
                              <w:t>、</w:t>
                            </w:r>
                            <w:r w:rsidRPr="005B7200">
                              <w:rPr>
                                <w:rFonts w:ascii="標楷體" w:eastAsia="標楷體" w:hAnsi="標楷體"/>
                                <w:spacing w:val="-12"/>
                              </w:rPr>
                              <w:t>12</w:t>
                            </w:r>
                            <w:r w:rsidRPr="005B7200">
                              <w:rPr>
                                <w:rFonts w:ascii="標楷體" w:eastAsia="標楷體" w:hAnsi="標楷體" w:hint="eastAsia"/>
                                <w:spacing w:val="-12"/>
                              </w:rPr>
                              <w:t>、1</w:t>
                            </w:r>
                            <w:r w:rsidRPr="005B7200">
                              <w:rPr>
                                <w:rFonts w:ascii="標楷體" w:eastAsia="標楷體" w:hAnsi="標楷體"/>
                                <w:spacing w:val="-12"/>
                              </w:rPr>
                              <w:t>3</w:t>
                            </w:r>
                          </w:p>
                        </w:tc>
                        <w:tc>
                          <w:tcPr>
                            <w:tcW w:w="783" w:type="dxa"/>
                            <w:vAlign w:val="center"/>
                          </w:tcPr>
                          <w:p w14:paraId="47F75CE3"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2</w:t>
                            </w:r>
                            <w:r w:rsidRPr="00077C26">
                              <w:rPr>
                                <w:rFonts w:ascii="標楷體" w:eastAsia="標楷體" w:hAnsi="標楷體"/>
                              </w:rPr>
                              <w:t>33</w:t>
                            </w:r>
                          </w:p>
                        </w:tc>
                      </w:tr>
                      <w:tr w:rsidR="0050059F" w:rsidRPr="00865C09" w14:paraId="02525DCA" w14:textId="77777777" w:rsidTr="00824CD6">
                        <w:trPr>
                          <w:trHeight w:hRule="exact" w:val="312"/>
                        </w:trPr>
                        <w:tc>
                          <w:tcPr>
                            <w:tcW w:w="611" w:type="dxa"/>
                            <w:vAlign w:val="center"/>
                          </w:tcPr>
                          <w:p w14:paraId="33E8C780"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3</w:t>
                            </w:r>
                          </w:p>
                        </w:tc>
                        <w:tc>
                          <w:tcPr>
                            <w:tcW w:w="1022" w:type="dxa"/>
                            <w:vAlign w:val="center"/>
                          </w:tcPr>
                          <w:p w14:paraId="043A4F26" w14:textId="77777777" w:rsidR="0050059F" w:rsidRPr="00077C26" w:rsidRDefault="0050059F" w:rsidP="00824CD6">
                            <w:pPr>
                              <w:spacing w:line="240" w:lineRule="exact"/>
                              <w:rPr>
                                <w:rFonts w:ascii="標楷體" w:eastAsia="標楷體" w:hAnsi="標楷體"/>
                              </w:rPr>
                            </w:pPr>
                            <w:r w:rsidRPr="00077C26">
                              <w:rPr>
                                <w:rFonts w:ascii="標楷體" w:eastAsia="標楷體" w:hAnsi="標楷體" w:hint="eastAsia"/>
                              </w:rPr>
                              <w:t>南勢角站</w:t>
                            </w:r>
                          </w:p>
                        </w:tc>
                        <w:tc>
                          <w:tcPr>
                            <w:tcW w:w="616" w:type="dxa"/>
                            <w:vAlign w:val="center"/>
                          </w:tcPr>
                          <w:p w14:paraId="4BFB0985"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rPr>
                              <w:t>1</w:t>
                            </w:r>
                          </w:p>
                        </w:tc>
                        <w:tc>
                          <w:tcPr>
                            <w:tcW w:w="1358" w:type="dxa"/>
                            <w:vAlign w:val="center"/>
                          </w:tcPr>
                          <w:p w14:paraId="78A90D4D"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12.1-113.3</w:t>
                            </w:r>
                          </w:p>
                        </w:tc>
                        <w:tc>
                          <w:tcPr>
                            <w:tcW w:w="1400" w:type="dxa"/>
                            <w:vAlign w:val="center"/>
                          </w:tcPr>
                          <w:p w14:paraId="087048F3"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hint="eastAsia"/>
                                <w:spacing w:val="-12"/>
                              </w:rPr>
                              <w:t>1</w:t>
                            </w:r>
                            <w:r w:rsidRPr="005B7200">
                              <w:rPr>
                                <w:rFonts w:ascii="標楷體" w:eastAsia="標楷體" w:hAnsi="標楷體"/>
                                <w:spacing w:val="-12"/>
                              </w:rPr>
                              <w:t>3</w:t>
                            </w:r>
                          </w:p>
                        </w:tc>
                        <w:tc>
                          <w:tcPr>
                            <w:tcW w:w="783" w:type="dxa"/>
                            <w:vAlign w:val="center"/>
                          </w:tcPr>
                          <w:p w14:paraId="56AB3D0F"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rPr>
                              <w:t>15</w:t>
                            </w:r>
                          </w:p>
                        </w:tc>
                      </w:tr>
                      <w:tr w:rsidR="0050059F" w:rsidRPr="00865C09" w14:paraId="68C615E4" w14:textId="77777777" w:rsidTr="00824CD6">
                        <w:trPr>
                          <w:trHeight w:hRule="exact" w:val="312"/>
                        </w:trPr>
                        <w:tc>
                          <w:tcPr>
                            <w:tcW w:w="611" w:type="dxa"/>
                            <w:vAlign w:val="center"/>
                          </w:tcPr>
                          <w:p w14:paraId="2CE4D318"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4</w:t>
                            </w:r>
                          </w:p>
                        </w:tc>
                        <w:tc>
                          <w:tcPr>
                            <w:tcW w:w="1022" w:type="dxa"/>
                            <w:vAlign w:val="center"/>
                          </w:tcPr>
                          <w:p w14:paraId="618308D9" w14:textId="77777777" w:rsidR="0050059F" w:rsidRPr="00077C26" w:rsidRDefault="0050059F" w:rsidP="00824CD6">
                            <w:pPr>
                              <w:spacing w:line="240" w:lineRule="exact"/>
                              <w:rPr>
                                <w:rFonts w:ascii="標楷體" w:eastAsia="標楷體" w:hAnsi="標楷體"/>
                              </w:rPr>
                            </w:pPr>
                            <w:r w:rsidRPr="00077C26">
                              <w:rPr>
                                <w:rFonts w:ascii="標楷體" w:eastAsia="標楷體" w:hAnsi="標楷體" w:hint="eastAsia"/>
                              </w:rPr>
                              <w:t>南勢角站</w:t>
                            </w:r>
                          </w:p>
                        </w:tc>
                        <w:tc>
                          <w:tcPr>
                            <w:tcW w:w="616" w:type="dxa"/>
                            <w:vAlign w:val="center"/>
                          </w:tcPr>
                          <w:p w14:paraId="7AF76876"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hint="eastAsia"/>
                              </w:rPr>
                              <w:t>1</w:t>
                            </w:r>
                          </w:p>
                        </w:tc>
                        <w:tc>
                          <w:tcPr>
                            <w:tcW w:w="1358" w:type="dxa"/>
                            <w:vAlign w:val="center"/>
                          </w:tcPr>
                          <w:p w14:paraId="006F6BD6"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12.4-113.4</w:t>
                            </w:r>
                          </w:p>
                        </w:tc>
                        <w:tc>
                          <w:tcPr>
                            <w:tcW w:w="1400" w:type="dxa"/>
                            <w:vAlign w:val="center"/>
                          </w:tcPr>
                          <w:p w14:paraId="4D8892AF"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hint="eastAsia"/>
                                <w:spacing w:val="-12"/>
                              </w:rPr>
                              <w:t>1</w:t>
                            </w:r>
                            <w:r w:rsidRPr="005B7200">
                              <w:rPr>
                                <w:rFonts w:ascii="標楷體" w:eastAsia="標楷體" w:hAnsi="標楷體"/>
                                <w:spacing w:val="-12"/>
                              </w:rPr>
                              <w:t>1</w:t>
                            </w:r>
                          </w:p>
                        </w:tc>
                        <w:tc>
                          <w:tcPr>
                            <w:tcW w:w="783" w:type="dxa"/>
                            <w:vAlign w:val="center"/>
                          </w:tcPr>
                          <w:p w14:paraId="0B702848"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4</w:t>
                            </w:r>
                          </w:p>
                        </w:tc>
                      </w:tr>
                      <w:tr w:rsidR="0050059F" w:rsidRPr="00865C09" w14:paraId="71353601" w14:textId="77777777" w:rsidTr="00824CD6">
                        <w:trPr>
                          <w:trHeight w:hRule="exact" w:val="312"/>
                        </w:trPr>
                        <w:tc>
                          <w:tcPr>
                            <w:tcW w:w="611" w:type="dxa"/>
                            <w:vAlign w:val="center"/>
                          </w:tcPr>
                          <w:p w14:paraId="1242AD76"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5</w:t>
                            </w:r>
                          </w:p>
                        </w:tc>
                        <w:tc>
                          <w:tcPr>
                            <w:tcW w:w="1022" w:type="dxa"/>
                            <w:vAlign w:val="center"/>
                          </w:tcPr>
                          <w:p w14:paraId="23055558" w14:textId="77777777" w:rsidR="0050059F" w:rsidRPr="00077C26" w:rsidRDefault="0050059F" w:rsidP="00824CD6">
                            <w:pPr>
                              <w:spacing w:line="240" w:lineRule="exact"/>
                              <w:rPr>
                                <w:rFonts w:ascii="標楷體" w:eastAsia="標楷體" w:hAnsi="標楷體"/>
                              </w:rPr>
                            </w:pPr>
                            <w:r w:rsidRPr="00077C26">
                              <w:rPr>
                                <w:rFonts w:ascii="標楷體" w:eastAsia="標楷體" w:hAnsi="標楷體" w:hint="eastAsia"/>
                              </w:rPr>
                              <w:t>南勢角站</w:t>
                            </w:r>
                          </w:p>
                        </w:tc>
                        <w:tc>
                          <w:tcPr>
                            <w:tcW w:w="616" w:type="dxa"/>
                            <w:vAlign w:val="center"/>
                          </w:tcPr>
                          <w:p w14:paraId="1EA7E3C4"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hint="eastAsia"/>
                              </w:rPr>
                              <w:t>1</w:t>
                            </w:r>
                          </w:p>
                        </w:tc>
                        <w:tc>
                          <w:tcPr>
                            <w:tcW w:w="1358" w:type="dxa"/>
                            <w:vAlign w:val="center"/>
                          </w:tcPr>
                          <w:p w14:paraId="29D9A508"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12.3-113.4</w:t>
                            </w:r>
                          </w:p>
                        </w:tc>
                        <w:tc>
                          <w:tcPr>
                            <w:tcW w:w="1400" w:type="dxa"/>
                            <w:vAlign w:val="center"/>
                          </w:tcPr>
                          <w:p w14:paraId="1D9CDAAE"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hint="eastAsia"/>
                                <w:spacing w:val="-12"/>
                              </w:rPr>
                              <w:t>1</w:t>
                            </w:r>
                            <w:r w:rsidRPr="005B7200">
                              <w:rPr>
                                <w:rFonts w:ascii="標楷體" w:eastAsia="標楷體" w:hAnsi="標楷體"/>
                                <w:spacing w:val="-12"/>
                              </w:rPr>
                              <w:t>2</w:t>
                            </w:r>
                          </w:p>
                        </w:tc>
                        <w:tc>
                          <w:tcPr>
                            <w:tcW w:w="783" w:type="dxa"/>
                            <w:vAlign w:val="center"/>
                          </w:tcPr>
                          <w:p w14:paraId="257E1696"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7</w:t>
                            </w:r>
                          </w:p>
                        </w:tc>
                      </w:tr>
                      <w:tr w:rsidR="0050059F" w:rsidRPr="00865C09" w14:paraId="0A12D486" w14:textId="77777777" w:rsidTr="00824CD6">
                        <w:trPr>
                          <w:trHeight w:hRule="exact" w:val="312"/>
                        </w:trPr>
                        <w:tc>
                          <w:tcPr>
                            <w:tcW w:w="611" w:type="dxa"/>
                            <w:vAlign w:val="center"/>
                          </w:tcPr>
                          <w:p w14:paraId="2165C970"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6</w:t>
                            </w:r>
                          </w:p>
                        </w:tc>
                        <w:tc>
                          <w:tcPr>
                            <w:tcW w:w="1022" w:type="dxa"/>
                            <w:vAlign w:val="center"/>
                          </w:tcPr>
                          <w:p w14:paraId="58ED97F1" w14:textId="77777777" w:rsidR="0050059F" w:rsidRPr="00077C26" w:rsidRDefault="0050059F" w:rsidP="00824CD6">
                            <w:pPr>
                              <w:spacing w:line="240" w:lineRule="exact"/>
                              <w:rPr>
                                <w:rFonts w:ascii="標楷體" w:eastAsia="標楷體" w:hAnsi="標楷體"/>
                              </w:rPr>
                            </w:pPr>
                            <w:r w:rsidRPr="00077C26">
                              <w:rPr>
                                <w:rFonts w:ascii="標楷體" w:eastAsia="標楷體" w:hAnsi="標楷體" w:hint="eastAsia"/>
                              </w:rPr>
                              <w:t>中山站</w:t>
                            </w:r>
                          </w:p>
                        </w:tc>
                        <w:tc>
                          <w:tcPr>
                            <w:tcW w:w="616" w:type="dxa"/>
                            <w:vAlign w:val="center"/>
                          </w:tcPr>
                          <w:p w14:paraId="2DEAD29E" w14:textId="77777777" w:rsidR="0050059F" w:rsidRPr="00077C26" w:rsidRDefault="0050059F" w:rsidP="00824CD6">
                            <w:pPr>
                              <w:spacing w:line="240" w:lineRule="exact"/>
                              <w:ind w:leftChars="5" w:left="12"/>
                              <w:jc w:val="right"/>
                              <w:rPr>
                                <w:rFonts w:ascii="標楷體" w:eastAsia="標楷體" w:hAnsi="標楷體"/>
                              </w:rPr>
                            </w:pPr>
                            <w:r w:rsidRPr="00077C26">
                              <w:rPr>
                                <w:rFonts w:ascii="標楷體" w:eastAsia="標楷體" w:hAnsi="標楷體" w:hint="eastAsia"/>
                              </w:rPr>
                              <w:t>8</w:t>
                            </w:r>
                            <w:r w:rsidRPr="00077C26">
                              <w:rPr>
                                <w:rFonts w:ascii="標楷體" w:eastAsia="標楷體" w:hAnsi="標楷體"/>
                              </w:rPr>
                              <w:t>8</w:t>
                            </w:r>
                          </w:p>
                        </w:tc>
                        <w:tc>
                          <w:tcPr>
                            <w:tcW w:w="1358" w:type="dxa"/>
                            <w:vAlign w:val="center"/>
                          </w:tcPr>
                          <w:p w14:paraId="249EB79D"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12.2-113.10</w:t>
                            </w:r>
                          </w:p>
                        </w:tc>
                        <w:tc>
                          <w:tcPr>
                            <w:tcW w:w="1400" w:type="dxa"/>
                            <w:vAlign w:val="center"/>
                          </w:tcPr>
                          <w:p w14:paraId="77F6CF0F"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spacing w:val="-12"/>
                              </w:rPr>
                              <w:t>15</w:t>
                            </w:r>
                            <w:r w:rsidRPr="005B7200">
                              <w:rPr>
                                <w:rFonts w:ascii="標楷體" w:eastAsia="標楷體" w:hAnsi="標楷體" w:hint="eastAsia"/>
                                <w:spacing w:val="-12"/>
                              </w:rPr>
                              <w:t>、1</w:t>
                            </w:r>
                            <w:r w:rsidRPr="005B7200">
                              <w:rPr>
                                <w:rFonts w:ascii="標楷體" w:eastAsia="標楷體" w:hAnsi="標楷體"/>
                                <w:spacing w:val="-12"/>
                              </w:rPr>
                              <w:t>9</w:t>
                            </w:r>
                          </w:p>
                        </w:tc>
                        <w:tc>
                          <w:tcPr>
                            <w:tcW w:w="783" w:type="dxa"/>
                            <w:vAlign w:val="center"/>
                          </w:tcPr>
                          <w:p w14:paraId="52726829"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,862</w:t>
                            </w:r>
                          </w:p>
                        </w:tc>
                      </w:tr>
                      <w:tr w:rsidR="0050059F" w:rsidRPr="00865C09" w14:paraId="6612D424" w14:textId="77777777" w:rsidTr="00824CD6">
                        <w:trPr>
                          <w:trHeight w:hRule="exact" w:val="312"/>
                        </w:trPr>
                        <w:tc>
                          <w:tcPr>
                            <w:tcW w:w="611" w:type="dxa"/>
                            <w:vAlign w:val="center"/>
                          </w:tcPr>
                          <w:p w14:paraId="0F6FD42D" w14:textId="77777777" w:rsidR="0050059F" w:rsidRPr="00077C26" w:rsidRDefault="0050059F" w:rsidP="00824CD6">
                            <w:pPr>
                              <w:spacing w:line="240" w:lineRule="exact"/>
                              <w:jc w:val="center"/>
                              <w:rPr>
                                <w:rFonts w:ascii="標楷體" w:eastAsia="標楷體" w:hAnsi="標楷體"/>
                              </w:rPr>
                            </w:pPr>
                            <w:r w:rsidRPr="00077C26">
                              <w:rPr>
                                <w:rFonts w:ascii="標楷體" w:eastAsia="標楷體" w:hAnsi="標楷體" w:hint="eastAsia"/>
                              </w:rPr>
                              <w:t>7</w:t>
                            </w:r>
                          </w:p>
                        </w:tc>
                        <w:tc>
                          <w:tcPr>
                            <w:tcW w:w="1022" w:type="dxa"/>
                            <w:vAlign w:val="center"/>
                          </w:tcPr>
                          <w:p w14:paraId="502B7E5D" w14:textId="77777777" w:rsidR="0050059F" w:rsidRPr="00077C26" w:rsidRDefault="0050059F" w:rsidP="00824CD6">
                            <w:pPr>
                              <w:spacing w:line="240" w:lineRule="exact"/>
                              <w:rPr>
                                <w:rFonts w:ascii="標楷體" w:eastAsia="標楷體" w:hAnsi="標楷體"/>
                              </w:rPr>
                            </w:pPr>
                            <w:r w:rsidRPr="00077C26">
                              <w:rPr>
                                <w:rFonts w:ascii="標楷體" w:eastAsia="標楷體" w:hAnsi="標楷體" w:hint="eastAsia"/>
                              </w:rPr>
                              <w:t>蘆洲站</w:t>
                            </w:r>
                          </w:p>
                        </w:tc>
                        <w:tc>
                          <w:tcPr>
                            <w:tcW w:w="616" w:type="dxa"/>
                            <w:vAlign w:val="center"/>
                          </w:tcPr>
                          <w:p w14:paraId="2F9BA295"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1</w:t>
                            </w:r>
                            <w:r w:rsidRPr="00077C26">
                              <w:rPr>
                                <w:rFonts w:ascii="標楷體" w:eastAsia="標楷體" w:hAnsi="標楷體"/>
                              </w:rPr>
                              <w:t>76</w:t>
                            </w:r>
                          </w:p>
                        </w:tc>
                        <w:tc>
                          <w:tcPr>
                            <w:tcW w:w="1358" w:type="dxa"/>
                            <w:vAlign w:val="center"/>
                          </w:tcPr>
                          <w:p w14:paraId="00B8FE15" w14:textId="77777777" w:rsidR="0050059F" w:rsidRPr="005B7200" w:rsidRDefault="0050059F" w:rsidP="00824CD6">
                            <w:pPr>
                              <w:spacing w:line="240" w:lineRule="exact"/>
                              <w:rPr>
                                <w:rFonts w:ascii="標楷體" w:eastAsia="標楷體" w:hAnsi="標楷體"/>
                                <w:spacing w:val="-6"/>
                              </w:rPr>
                            </w:pPr>
                            <w:r w:rsidRPr="005B7200">
                              <w:rPr>
                                <w:rFonts w:ascii="標楷體" w:eastAsia="標楷體" w:hAnsi="標楷體" w:hint="eastAsia"/>
                                <w:spacing w:val="-6"/>
                              </w:rPr>
                              <w:t>1</w:t>
                            </w:r>
                            <w:r w:rsidRPr="005B7200">
                              <w:rPr>
                                <w:rFonts w:ascii="標楷體" w:eastAsia="標楷體" w:hAnsi="標楷體"/>
                                <w:spacing w:val="-6"/>
                              </w:rPr>
                              <w:t>12.1-113.11</w:t>
                            </w:r>
                          </w:p>
                        </w:tc>
                        <w:tc>
                          <w:tcPr>
                            <w:tcW w:w="1400" w:type="dxa"/>
                            <w:vAlign w:val="center"/>
                          </w:tcPr>
                          <w:p w14:paraId="53F817D6" w14:textId="77777777" w:rsidR="0050059F" w:rsidRPr="005B7200" w:rsidRDefault="0050059F" w:rsidP="00824CD6">
                            <w:pPr>
                              <w:spacing w:line="240" w:lineRule="exact"/>
                              <w:jc w:val="right"/>
                              <w:rPr>
                                <w:rFonts w:ascii="標楷體" w:eastAsia="標楷體" w:hAnsi="標楷體"/>
                                <w:spacing w:val="-12"/>
                              </w:rPr>
                            </w:pPr>
                            <w:r w:rsidRPr="005B7200">
                              <w:rPr>
                                <w:rFonts w:ascii="標楷體" w:eastAsia="標楷體" w:hAnsi="標楷體"/>
                                <w:spacing w:val="-12"/>
                              </w:rPr>
                              <w:t>10</w:t>
                            </w:r>
                            <w:r w:rsidRPr="005B7200">
                              <w:rPr>
                                <w:rFonts w:ascii="標楷體" w:eastAsia="標楷體" w:hAnsi="標楷體" w:hint="eastAsia"/>
                                <w:spacing w:val="-12"/>
                              </w:rPr>
                              <w:t>、2</w:t>
                            </w:r>
                            <w:r w:rsidRPr="005B7200">
                              <w:rPr>
                                <w:rFonts w:ascii="標楷體" w:eastAsia="標楷體" w:hAnsi="標楷體"/>
                                <w:spacing w:val="-12"/>
                              </w:rPr>
                              <w:t>2</w:t>
                            </w:r>
                          </w:p>
                        </w:tc>
                        <w:tc>
                          <w:tcPr>
                            <w:tcW w:w="783" w:type="dxa"/>
                            <w:vAlign w:val="center"/>
                          </w:tcPr>
                          <w:p w14:paraId="6FB74D06" w14:textId="77777777" w:rsidR="0050059F" w:rsidRPr="00077C26" w:rsidRDefault="0050059F" w:rsidP="00824CD6">
                            <w:pPr>
                              <w:spacing w:line="240" w:lineRule="exact"/>
                              <w:jc w:val="right"/>
                              <w:rPr>
                                <w:rFonts w:ascii="標楷體" w:eastAsia="標楷體" w:hAnsi="標楷體"/>
                              </w:rPr>
                            </w:pPr>
                            <w:r w:rsidRPr="00077C26">
                              <w:rPr>
                                <w:rFonts w:ascii="標楷體" w:eastAsia="標楷體" w:hAnsi="標楷體" w:hint="eastAsia"/>
                              </w:rPr>
                              <w:t>3</w:t>
                            </w:r>
                            <w:r w:rsidRPr="00077C26">
                              <w:rPr>
                                <w:rFonts w:ascii="標楷體" w:eastAsia="標楷體" w:hAnsi="標楷體"/>
                              </w:rPr>
                              <w:t>,792</w:t>
                            </w:r>
                          </w:p>
                        </w:tc>
                      </w:tr>
                    </w:tbl>
                    <w:p w14:paraId="7B6157BE" w14:textId="77777777" w:rsidR="0050059F" w:rsidRPr="00521977" w:rsidRDefault="0050059F" w:rsidP="0050059F">
                      <w:pPr>
                        <w:spacing w:beforeLines="10" w:before="36" w:line="240" w:lineRule="exact"/>
                        <w:ind w:left="540" w:hangingChars="300" w:hanging="540"/>
                        <w:rPr>
                          <w:sz w:val="18"/>
                          <w:szCs w:val="18"/>
                        </w:rPr>
                      </w:pPr>
                      <w:r w:rsidRPr="00521977">
                        <w:rPr>
                          <w:rFonts w:ascii="標楷體" w:eastAsia="標楷體" w:hAnsi="標楷體" w:hint="eastAsia"/>
                          <w:sz w:val="18"/>
                          <w:szCs w:val="18"/>
                        </w:rPr>
                        <w:t>資料來源：整理自捷運工程局提供資料。</w:t>
                      </w:r>
                    </w:p>
                    <w:p w14:paraId="60701F17" w14:textId="77777777" w:rsidR="0050059F" w:rsidRPr="00E90B1F" w:rsidRDefault="0050059F" w:rsidP="0050059F">
                      <w:pPr>
                        <w:spacing w:beforeLines="10" w:before="36" w:line="220" w:lineRule="exact"/>
                        <w:ind w:left="720" w:hangingChars="300" w:hanging="720"/>
                      </w:pPr>
                    </w:p>
                  </w:txbxContent>
                </v:textbox>
                <w10:wrap type="square" anchorx="margin"/>
              </v:shape>
            </w:pict>
          </mc:Fallback>
        </mc:AlternateContent>
      </w:r>
      <w:r w:rsidRPr="00177770">
        <w:rPr>
          <w:rFonts w:ascii="標楷體" w:eastAsia="標楷體" w:hAnsi="標楷體" w:hint="eastAsia"/>
          <w:szCs w:val="24"/>
        </w:rPr>
        <w:t>捷運工程局為推動</w:t>
      </w:r>
      <w:proofErr w:type="gramStart"/>
      <w:r w:rsidRPr="00177770">
        <w:rPr>
          <w:rFonts w:ascii="標楷體" w:eastAsia="標楷體" w:hAnsi="標楷體" w:hint="eastAsia"/>
          <w:szCs w:val="24"/>
        </w:rPr>
        <w:t>臺</w:t>
      </w:r>
      <w:proofErr w:type="gramEnd"/>
      <w:r w:rsidRPr="00177770">
        <w:rPr>
          <w:rFonts w:ascii="標楷體" w:eastAsia="標楷體" w:hAnsi="標楷體" w:hint="eastAsia"/>
          <w:szCs w:val="24"/>
        </w:rPr>
        <w:t>北都會區捷運系統場站聯合開發業務，設立</w:t>
      </w:r>
      <w:proofErr w:type="gramStart"/>
      <w:r w:rsidRPr="00177770">
        <w:rPr>
          <w:rFonts w:ascii="標楷體" w:eastAsia="標楷體" w:hAnsi="標楷體" w:hint="eastAsia"/>
          <w:szCs w:val="24"/>
        </w:rPr>
        <w:t>臺</w:t>
      </w:r>
      <w:proofErr w:type="gramEnd"/>
      <w:r w:rsidRPr="00177770">
        <w:rPr>
          <w:rFonts w:ascii="標楷體" w:eastAsia="標楷體" w:hAnsi="標楷體" w:hint="eastAsia"/>
          <w:szCs w:val="24"/>
        </w:rPr>
        <w:t>北都會區大眾捷運系統土地開發基金，並依臺北市大眾捷運系統土地開發公有不動產租售自治條例第6條規定，以公開招標方式推動聯合開發公有不動產住宅出租業務；另為管理租賃契約及協助租金帳</w:t>
      </w:r>
      <w:proofErr w:type="gramStart"/>
      <w:r w:rsidRPr="00177770">
        <w:rPr>
          <w:rFonts w:ascii="標楷體" w:eastAsia="標楷體" w:hAnsi="標楷體" w:hint="eastAsia"/>
          <w:szCs w:val="24"/>
        </w:rPr>
        <w:t>務</w:t>
      </w:r>
      <w:proofErr w:type="gramEnd"/>
      <w:r w:rsidRPr="00177770">
        <w:rPr>
          <w:rFonts w:ascii="標楷體" w:eastAsia="標楷體" w:hAnsi="標楷體" w:hint="eastAsia"/>
          <w:szCs w:val="24"/>
        </w:rPr>
        <w:t>等事宜，經該局於109年間將原「捷運聯合開發公有不動產租賃契約管理系統」改版為「開發大樓不動產管理系統」</w:t>
      </w:r>
      <w:r w:rsidRPr="00177770">
        <w:rPr>
          <w:rFonts w:ascii="標楷體" w:eastAsia="標楷體" w:hAnsi="標楷體" w:hint="eastAsia"/>
        </w:rPr>
        <w:t>（下稱</w:t>
      </w:r>
      <w:r w:rsidRPr="00177770">
        <w:rPr>
          <w:rFonts w:ascii="標楷體" w:eastAsia="標楷體" w:hAnsi="標楷體" w:hint="eastAsia"/>
          <w:szCs w:val="24"/>
        </w:rPr>
        <w:t>JDM系統</w:t>
      </w:r>
      <w:r w:rsidRPr="00177770">
        <w:rPr>
          <w:rFonts w:ascii="標楷體" w:eastAsia="標楷體" w:hAnsi="標楷體" w:hint="eastAsia"/>
        </w:rPr>
        <w:t>）</w:t>
      </w:r>
      <w:r w:rsidRPr="00177770">
        <w:rPr>
          <w:rFonts w:ascii="標楷體" w:eastAsia="標楷體" w:hAnsi="標楷體" w:hint="eastAsia"/>
          <w:szCs w:val="24"/>
        </w:rPr>
        <w:t>，截至</w:t>
      </w:r>
      <w:proofErr w:type="gramStart"/>
      <w:r w:rsidRPr="00177770">
        <w:rPr>
          <w:rFonts w:ascii="標楷體" w:eastAsia="標楷體" w:hAnsi="標楷體" w:hint="eastAsia"/>
          <w:szCs w:val="24"/>
        </w:rPr>
        <w:t>113</w:t>
      </w:r>
      <w:proofErr w:type="gramEnd"/>
      <w:r w:rsidRPr="00177770">
        <w:rPr>
          <w:rFonts w:ascii="標楷體" w:eastAsia="標楷體" w:hAnsi="標楷體" w:hint="eastAsia"/>
          <w:szCs w:val="24"/>
        </w:rPr>
        <w:t>年度止JDM系統改版及維護經費共938萬餘元。經查租賃作業管理情形，核有：1.截至本處查核日（1</w:t>
      </w:r>
      <w:r w:rsidRPr="00177770">
        <w:rPr>
          <w:rFonts w:ascii="標楷體" w:eastAsia="標楷體" w:hAnsi="標楷體"/>
          <w:szCs w:val="24"/>
        </w:rPr>
        <w:t>13</w:t>
      </w:r>
      <w:r w:rsidRPr="00177770">
        <w:rPr>
          <w:rFonts w:ascii="標楷體" w:eastAsia="標楷體" w:hAnsi="標楷體" w:hint="eastAsia"/>
          <w:szCs w:val="24"/>
        </w:rPr>
        <w:t>年1</w:t>
      </w:r>
      <w:r w:rsidRPr="00177770">
        <w:rPr>
          <w:rFonts w:ascii="標楷體" w:eastAsia="標楷體" w:hAnsi="標楷體"/>
          <w:szCs w:val="24"/>
        </w:rPr>
        <w:t>1</w:t>
      </w:r>
      <w:r w:rsidRPr="00177770">
        <w:rPr>
          <w:rFonts w:ascii="標楷體" w:eastAsia="標楷體" w:hAnsi="標楷體" w:hint="eastAsia"/>
          <w:szCs w:val="24"/>
        </w:rPr>
        <w:t>月1</w:t>
      </w:r>
      <w:r w:rsidRPr="00177770">
        <w:rPr>
          <w:rFonts w:ascii="標楷體" w:eastAsia="標楷體" w:hAnsi="標楷體"/>
          <w:szCs w:val="24"/>
        </w:rPr>
        <w:t>2</w:t>
      </w:r>
      <w:r w:rsidRPr="00177770">
        <w:rPr>
          <w:rFonts w:ascii="標楷體" w:eastAsia="標楷體" w:hAnsi="標楷體" w:hint="eastAsia"/>
          <w:szCs w:val="24"/>
        </w:rPr>
        <w:t>日）止</w:t>
      </w:r>
      <w:r w:rsidRPr="00177770">
        <w:rPr>
          <w:rFonts w:ascii="標楷體" w:eastAsia="標楷體" w:hAnsi="標楷體" w:cs="全字庫正宋體" w:hint="eastAsia"/>
          <w:szCs w:val="24"/>
        </w:rPr>
        <w:t>，</w:t>
      </w:r>
      <w:r w:rsidRPr="00177770">
        <w:rPr>
          <w:rFonts w:ascii="標楷體" w:eastAsia="標楷體" w:hAnsi="標楷體" w:hint="eastAsia"/>
          <w:szCs w:val="24"/>
        </w:rPr>
        <w:t>據該局提供1</w:t>
      </w:r>
      <w:r w:rsidRPr="00177770">
        <w:rPr>
          <w:rFonts w:ascii="標楷體" w:eastAsia="標楷體" w:hAnsi="標楷體"/>
          <w:szCs w:val="24"/>
        </w:rPr>
        <w:t>13</w:t>
      </w:r>
      <w:r w:rsidRPr="00177770">
        <w:rPr>
          <w:rFonts w:ascii="標楷體" w:eastAsia="標楷體" w:hAnsi="標楷體" w:hint="eastAsia"/>
          <w:szCs w:val="24"/>
        </w:rPr>
        <w:t>年所簽辦租金調漲案件資料，發現共7案286戶因未依契約規定按時檢討租金調漲，事後始通知承租人應追溯1</w:t>
      </w:r>
      <w:r w:rsidRPr="00177770">
        <w:rPr>
          <w:rFonts w:ascii="標楷體" w:eastAsia="標楷體" w:hAnsi="標楷體"/>
          <w:szCs w:val="24"/>
        </w:rPr>
        <w:t>11</w:t>
      </w:r>
      <w:r w:rsidRPr="00177770">
        <w:rPr>
          <w:rFonts w:ascii="標楷體" w:eastAsia="標楷體" w:hAnsi="標楷體" w:hint="eastAsia"/>
          <w:szCs w:val="24"/>
        </w:rPr>
        <w:t>年9月至1</w:t>
      </w:r>
      <w:r w:rsidRPr="00177770">
        <w:rPr>
          <w:rFonts w:ascii="標楷體" w:eastAsia="標楷體" w:hAnsi="標楷體"/>
          <w:szCs w:val="24"/>
        </w:rPr>
        <w:t>13</w:t>
      </w:r>
      <w:r w:rsidRPr="00177770">
        <w:rPr>
          <w:rFonts w:ascii="標楷體" w:eastAsia="標楷體" w:hAnsi="標楷體" w:hint="eastAsia"/>
          <w:szCs w:val="24"/>
        </w:rPr>
        <w:t>年1</w:t>
      </w:r>
      <w:r w:rsidRPr="00177770">
        <w:rPr>
          <w:rFonts w:ascii="標楷體" w:eastAsia="標楷體" w:hAnsi="標楷體"/>
          <w:szCs w:val="24"/>
        </w:rPr>
        <w:t>1</w:t>
      </w:r>
      <w:r w:rsidRPr="00177770">
        <w:rPr>
          <w:rFonts w:ascii="標楷體" w:eastAsia="標楷體" w:hAnsi="標楷體" w:hint="eastAsia"/>
          <w:szCs w:val="24"/>
        </w:rPr>
        <w:t>月租金差額（表2），衍生辦理追繳之行政作業；2</w:t>
      </w:r>
      <w:r w:rsidRPr="00177770">
        <w:rPr>
          <w:rFonts w:ascii="標楷體" w:eastAsia="標楷體" w:hAnsi="標楷體"/>
          <w:szCs w:val="24"/>
        </w:rPr>
        <w:t>.</w:t>
      </w:r>
      <w:r w:rsidRPr="00177770">
        <w:rPr>
          <w:rFonts w:ascii="標楷體" w:eastAsia="標楷體" w:hAnsi="標楷體" w:hint="eastAsia"/>
          <w:szCs w:val="24"/>
        </w:rPr>
        <w:t>該局為利管理聯合開發公有不動產住宅租賃契約，於</w:t>
      </w:r>
      <w:r w:rsidRPr="00177770">
        <w:rPr>
          <w:rFonts w:ascii="標楷體" w:eastAsia="標楷體" w:hAnsi="標楷體"/>
          <w:szCs w:val="24"/>
        </w:rPr>
        <w:t>JDM</w:t>
      </w:r>
      <w:r w:rsidRPr="00177770">
        <w:rPr>
          <w:rFonts w:ascii="標楷體" w:eastAsia="標楷體" w:hAnsi="標楷體" w:hint="eastAsia"/>
          <w:szCs w:val="24"/>
        </w:rPr>
        <w:t>系統設有滿3年、5年、9.5年「租金調整前通知」提醒功能，由各租賃契約承辦人於</w:t>
      </w:r>
      <w:proofErr w:type="gramStart"/>
      <w:r w:rsidRPr="00177770">
        <w:rPr>
          <w:rFonts w:ascii="標楷體" w:eastAsia="標楷體" w:hAnsi="標楷體" w:hint="eastAsia"/>
          <w:szCs w:val="24"/>
        </w:rPr>
        <w:t>系統內勾選</w:t>
      </w:r>
      <w:proofErr w:type="gramEnd"/>
      <w:r w:rsidRPr="00177770">
        <w:rPr>
          <w:rFonts w:ascii="標楷體" w:eastAsia="標楷體" w:hAnsi="標楷體" w:hint="eastAsia"/>
          <w:szCs w:val="24"/>
        </w:rPr>
        <w:t>提醒年限</w:t>
      </w:r>
      <w:r w:rsidRPr="00177770">
        <w:rPr>
          <w:rFonts w:ascii="標楷體" w:eastAsia="標楷體" w:hAnsi="標楷體" w:cs="全字庫正宋體" w:hint="eastAsia"/>
          <w:szCs w:val="24"/>
        </w:rPr>
        <w:t>，</w:t>
      </w:r>
      <w:r w:rsidRPr="00177770">
        <w:rPr>
          <w:rFonts w:ascii="標楷體" w:eastAsia="標楷體" w:hAnsi="標楷體" w:hint="eastAsia"/>
          <w:szCs w:val="24"/>
        </w:rPr>
        <w:t>並設定以電子郵件或由該局E</w:t>
      </w:r>
      <w:r w:rsidRPr="00177770">
        <w:rPr>
          <w:rFonts w:ascii="標楷體" w:eastAsia="標楷體" w:hAnsi="標楷體"/>
          <w:szCs w:val="24"/>
        </w:rPr>
        <w:t>IP</w:t>
      </w:r>
      <w:r w:rsidRPr="00177770">
        <w:rPr>
          <w:rFonts w:ascii="標楷體" w:eastAsia="標楷體" w:hAnsi="標楷體" w:hint="eastAsia"/>
          <w:szCs w:val="24"/>
        </w:rPr>
        <w:t>整體資訊入口網通知承辦人、直屬課長該項訊息，</w:t>
      </w:r>
      <w:proofErr w:type="gramStart"/>
      <w:r w:rsidRPr="00177770">
        <w:rPr>
          <w:rFonts w:ascii="標楷體" w:eastAsia="標楷體" w:hAnsi="標楷體" w:hint="eastAsia"/>
          <w:szCs w:val="24"/>
        </w:rPr>
        <w:t>俾</w:t>
      </w:r>
      <w:proofErr w:type="gramEnd"/>
      <w:r w:rsidRPr="00177770">
        <w:rPr>
          <w:rFonts w:ascii="標楷體" w:eastAsia="標楷體" w:hAnsi="標楷體" w:hint="eastAsia"/>
          <w:szCs w:val="24"/>
        </w:rPr>
        <w:t>利系統於各契約應調漲租金前發揮提醒功能，惟</w:t>
      </w:r>
      <w:r w:rsidRPr="00177770">
        <w:rPr>
          <w:rFonts w:ascii="標楷體" w:eastAsia="標楷體" w:hAnsi="標楷體"/>
          <w:szCs w:val="24"/>
        </w:rPr>
        <w:t>JDM</w:t>
      </w:r>
      <w:r w:rsidRPr="00177770">
        <w:rPr>
          <w:rFonts w:ascii="標楷體" w:eastAsia="標楷體" w:hAnsi="標楷體" w:hint="eastAsia"/>
          <w:szCs w:val="24"/>
        </w:rPr>
        <w:t>系統中「租金調整前通知」功能可設定之提醒年限尚欠完整，影響租金調整提醒功能之發揮；復就該局113年11月15日提供之契約資料，核有部分租約已達應調漲租金之年限</w:t>
      </w:r>
      <w:r>
        <w:rPr>
          <w:rFonts w:ascii="標楷體" w:eastAsia="標楷體" w:hAnsi="標楷體" w:hint="eastAsia"/>
          <w:szCs w:val="24"/>
        </w:rPr>
        <w:t>（</w:t>
      </w:r>
      <w:r w:rsidRPr="00177770">
        <w:rPr>
          <w:rFonts w:ascii="標楷體" w:eastAsia="標楷體" w:hAnsi="標楷體" w:hint="eastAsia"/>
          <w:szCs w:val="24"/>
        </w:rPr>
        <w:t>5年</w:t>
      </w:r>
      <w:r>
        <w:rPr>
          <w:rFonts w:ascii="標楷體" w:eastAsia="標楷體" w:hAnsi="標楷體" w:hint="eastAsia"/>
          <w:szCs w:val="24"/>
        </w:rPr>
        <w:t>）</w:t>
      </w:r>
      <w:r w:rsidRPr="00177770">
        <w:rPr>
          <w:rFonts w:ascii="標楷體" w:eastAsia="標楷體" w:hAnsi="標楷體" w:cs="全字庫正宋體" w:hint="eastAsia"/>
          <w:szCs w:val="24"/>
        </w:rPr>
        <w:t>，</w:t>
      </w:r>
      <w:r w:rsidRPr="00177770">
        <w:rPr>
          <w:rFonts w:ascii="標楷體" w:eastAsia="標楷體" w:hAnsi="標楷體" w:hint="eastAsia"/>
          <w:szCs w:val="24"/>
        </w:rPr>
        <w:t>惟因未於系統設定「租金調整前通知」，迄113年底止</w:t>
      </w:r>
      <w:proofErr w:type="gramStart"/>
      <w:r w:rsidRPr="00177770">
        <w:rPr>
          <w:rFonts w:ascii="標楷體" w:eastAsia="標楷體" w:hAnsi="標楷體" w:hint="eastAsia"/>
          <w:szCs w:val="24"/>
        </w:rPr>
        <w:t>已逾渠等</w:t>
      </w:r>
      <w:proofErr w:type="gramEnd"/>
      <w:r w:rsidRPr="00177770">
        <w:rPr>
          <w:rFonts w:ascii="標楷體" w:eastAsia="標楷體" w:hAnsi="標楷體" w:hint="eastAsia"/>
          <w:szCs w:val="24"/>
        </w:rPr>
        <w:t>契約應調漲租金月份達15至19個月不等，尚未辦理租金調漲作業，另核有未於JDM系統輸入「契約承辦人」，致無法通報承辦人該項提醒功能等情事，經函請檢討改善。據復：經檢討未即時辦理租金調整之執行缺漏，已全面檢核及完成JDM系統租金調整作業之提醒設定；又為強化系統功能，刻</w:t>
      </w:r>
      <w:proofErr w:type="gramStart"/>
      <w:r w:rsidRPr="00177770">
        <w:rPr>
          <w:rFonts w:ascii="標楷體" w:eastAsia="標楷體" w:hAnsi="標楷體" w:hint="eastAsia"/>
          <w:szCs w:val="24"/>
        </w:rPr>
        <w:t>研</w:t>
      </w:r>
      <w:proofErr w:type="gramEnd"/>
      <w:r w:rsidRPr="00177770">
        <w:rPr>
          <w:rFonts w:ascii="標楷體" w:eastAsia="標楷體" w:hAnsi="標楷體" w:hint="eastAsia"/>
          <w:szCs w:val="24"/>
        </w:rPr>
        <w:t>議新增「異常契約承辦人」、「未設定訊息通知」、「即將調整租金契約清單」等JDM報表；另就未能適用JDM系統提醒機制之個案契約，</w:t>
      </w:r>
      <w:proofErr w:type="gramStart"/>
      <w:r w:rsidRPr="00177770">
        <w:rPr>
          <w:rFonts w:ascii="標楷體" w:eastAsia="標楷體" w:hAnsi="標楷體" w:hint="eastAsia"/>
          <w:szCs w:val="24"/>
        </w:rPr>
        <w:t>採</w:t>
      </w:r>
      <w:proofErr w:type="gramEnd"/>
      <w:r w:rsidRPr="00177770">
        <w:rPr>
          <w:rFonts w:ascii="標楷體" w:eastAsia="標楷體" w:hAnsi="標楷體" w:hint="eastAsia"/>
          <w:szCs w:val="24"/>
        </w:rPr>
        <w:t>各住宅基地以表列清單加強人工列管，並列入人員異動移交等，以強化租金調整之管控機制。</w:t>
      </w:r>
    </w:p>
    <w:p w14:paraId="1F773B0F" w14:textId="77777777" w:rsidR="0050059F" w:rsidRPr="00177770" w:rsidRDefault="0050059F" w:rsidP="0050059F">
      <w:pPr>
        <w:overflowPunct w:val="0"/>
        <w:spacing w:before="60" w:after="60" w:line="440" w:lineRule="exact"/>
        <w:ind w:firstLineChars="100" w:firstLine="280"/>
        <w:jc w:val="both"/>
        <w:outlineLvl w:val="3"/>
        <w:rPr>
          <w:rFonts w:ascii="標楷體" w:eastAsia="標楷體" w:hAnsi="標楷體" w:cs="Times New Roman"/>
          <w:b/>
          <w:sz w:val="28"/>
          <w:szCs w:val="32"/>
        </w:rPr>
      </w:pPr>
      <w:r w:rsidRPr="00177770">
        <w:rPr>
          <w:rFonts w:ascii="標楷體" w:eastAsia="標楷體" w:hAnsi="標楷體" w:cs="Times New Roman" w:hint="eastAsia"/>
          <w:b/>
          <w:sz w:val="28"/>
          <w:szCs w:val="32"/>
        </w:rPr>
        <w:t>（</w:t>
      </w:r>
      <w:r>
        <w:rPr>
          <w:rFonts w:ascii="標楷體" w:eastAsia="標楷體" w:hAnsi="標楷體" w:cs="Times New Roman" w:hint="eastAsia"/>
          <w:b/>
          <w:sz w:val="28"/>
          <w:szCs w:val="32"/>
        </w:rPr>
        <w:t>三</w:t>
      </w:r>
      <w:r w:rsidRPr="00177770">
        <w:rPr>
          <w:rFonts w:ascii="標楷體" w:eastAsia="標楷體" w:hAnsi="標楷體" w:cs="Times New Roman" w:hint="eastAsia"/>
          <w:b/>
          <w:sz w:val="28"/>
          <w:szCs w:val="32"/>
        </w:rPr>
        <w:t>）</w:t>
      </w:r>
      <w:r w:rsidRPr="00177770">
        <w:rPr>
          <w:rFonts w:ascii="標楷體" w:eastAsia="標楷體" w:hAnsi="標楷體" w:hint="eastAsia"/>
          <w:b/>
          <w:sz w:val="28"/>
          <w:szCs w:val="32"/>
        </w:rPr>
        <w:t>持續委外</w:t>
      </w:r>
      <w:r w:rsidRPr="00177770">
        <w:rPr>
          <w:rFonts w:ascii="標楷體" w:eastAsia="標楷體" w:hAnsi="標楷體" w:cs="Times New Roman" w:hint="eastAsia"/>
          <w:b/>
          <w:sz w:val="28"/>
          <w:szCs w:val="32"/>
        </w:rPr>
        <w:t>辦理</w:t>
      </w:r>
      <w:r w:rsidRPr="00177770">
        <w:rPr>
          <w:rFonts w:ascii="標楷體" w:eastAsia="標楷體" w:hAnsi="標楷體" w:hint="eastAsia"/>
          <w:b/>
          <w:sz w:val="28"/>
          <w:szCs w:val="32"/>
        </w:rPr>
        <w:t>捷運開發大樓公有不動產出租前之巡檢及維護管理服務，惟承商履約計價應檢附資料，</w:t>
      </w:r>
      <w:proofErr w:type="gramStart"/>
      <w:r w:rsidRPr="00177770">
        <w:rPr>
          <w:rFonts w:ascii="標楷體" w:eastAsia="標楷體" w:hAnsi="標楷體" w:hint="eastAsia"/>
          <w:b/>
          <w:sz w:val="28"/>
          <w:szCs w:val="32"/>
        </w:rPr>
        <w:t>間有部分</w:t>
      </w:r>
      <w:proofErr w:type="gramEnd"/>
      <w:r w:rsidRPr="00177770">
        <w:rPr>
          <w:rFonts w:ascii="標楷體" w:eastAsia="標楷體" w:hAnsi="標楷體" w:hint="eastAsia"/>
          <w:b/>
          <w:sz w:val="28"/>
          <w:szCs w:val="32"/>
        </w:rPr>
        <w:t>空車位巡檢事項，以雷同照片申請計價2至3次不等，或未</w:t>
      </w:r>
      <w:proofErr w:type="gramStart"/>
      <w:r w:rsidRPr="00177770">
        <w:rPr>
          <w:rFonts w:ascii="標楷體" w:eastAsia="標楷體" w:hAnsi="標楷體" w:hint="eastAsia"/>
          <w:b/>
          <w:sz w:val="28"/>
          <w:szCs w:val="32"/>
        </w:rPr>
        <w:t>檢附巡檢</w:t>
      </w:r>
      <w:proofErr w:type="gramEnd"/>
      <w:r w:rsidRPr="00177770">
        <w:rPr>
          <w:rFonts w:ascii="標楷體" w:eastAsia="標楷體" w:hAnsi="標楷體" w:hint="eastAsia"/>
          <w:b/>
          <w:sz w:val="28"/>
          <w:szCs w:val="32"/>
        </w:rPr>
        <w:t>紀錄（含照片），</w:t>
      </w:r>
      <w:proofErr w:type="gramStart"/>
      <w:r w:rsidRPr="00177770">
        <w:rPr>
          <w:rFonts w:ascii="標楷體" w:eastAsia="標楷體" w:hAnsi="標楷體" w:hint="eastAsia"/>
          <w:b/>
          <w:sz w:val="28"/>
          <w:szCs w:val="32"/>
        </w:rPr>
        <w:t>仍核付估</w:t>
      </w:r>
      <w:proofErr w:type="gramEnd"/>
      <w:r w:rsidRPr="00177770">
        <w:rPr>
          <w:rFonts w:ascii="標楷體" w:eastAsia="標楷體" w:hAnsi="標楷體" w:hint="eastAsia"/>
          <w:b/>
          <w:sz w:val="28"/>
          <w:szCs w:val="32"/>
        </w:rPr>
        <w:t>驗計價款等情，有待</w:t>
      </w:r>
      <w:proofErr w:type="gramStart"/>
      <w:r w:rsidRPr="00177770">
        <w:rPr>
          <w:rFonts w:ascii="標楷體" w:eastAsia="標楷體" w:hAnsi="標楷體" w:hint="eastAsia"/>
          <w:b/>
          <w:sz w:val="28"/>
          <w:szCs w:val="32"/>
        </w:rPr>
        <w:t>檢討妥處</w:t>
      </w:r>
      <w:proofErr w:type="gramEnd"/>
      <w:r w:rsidRPr="00177770">
        <w:rPr>
          <w:rFonts w:ascii="標楷體" w:eastAsia="標楷體" w:hAnsi="標楷體" w:hint="eastAsia"/>
          <w:b/>
          <w:sz w:val="28"/>
          <w:szCs w:val="32"/>
        </w:rPr>
        <w:t>。</w:t>
      </w:r>
    </w:p>
    <w:p w14:paraId="4C81574B" w14:textId="77777777" w:rsidR="00DB69CF" w:rsidRDefault="0050059F" w:rsidP="00DB69CF">
      <w:pPr>
        <w:overflowPunct w:val="0"/>
        <w:spacing w:beforeLines="20" w:before="72" w:line="440" w:lineRule="exact"/>
        <w:ind w:firstLineChars="200" w:firstLine="480"/>
        <w:jc w:val="both"/>
        <w:outlineLvl w:val="3"/>
        <w:rPr>
          <w:rFonts w:ascii="標楷體" w:eastAsia="標楷體" w:hAnsi="標楷體"/>
        </w:rPr>
      </w:pPr>
      <w:r w:rsidRPr="00177770">
        <w:rPr>
          <w:rFonts w:ascii="標楷體" w:eastAsia="標楷體" w:hAnsi="標楷體" w:hint="eastAsia"/>
        </w:rPr>
        <w:t>捷運工程局經管捷運開發大樓公有不動產基地截至113年9月止共46處2,083戶，其中委託廠商辦理出租前</w:t>
      </w:r>
      <w:proofErr w:type="gramStart"/>
      <w:r w:rsidRPr="00177770">
        <w:rPr>
          <w:rFonts w:ascii="標楷體" w:eastAsia="標楷體" w:hAnsi="標楷體" w:hint="eastAsia"/>
        </w:rPr>
        <w:t>空屋巡檢</w:t>
      </w:r>
      <w:proofErr w:type="gramEnd"/>
      <w:r w:rsidRPr="00177770">
        <w:rPr>
          <w:rFonts w:ascii="標楷體" w:eastAsia="標楷體" w:hAnsi="標楷體" w:hint="eastAsia"/>
        </w:rPr>
        <w:t>屋</w:t>
      </w:r>
      <w:proofErr w:type="gramStart"/>
      <w:r w:rsidRPr="00177770">
        <w:rPr>
          <w:rFonts w:ascii="標楷體" w:eastAsia="標楷體" w:hAnsi="標楷體" w:hint="eastAsia"/>
        </w:rPr>
        <w:t>況</w:t>
      </w:r>
      <w:proofErr w:type="gramEnd"/>
      <w:r w:rsidRPr="00177770">
        <w:rPr>
          <w:rFonts w:ascii="標楷體" w:eastAsia="標楷體" w:hAnsi="標楷體" w:hint="eastAsia"/>
        </w:rPr>
        <w:t>及維護管理等服務計43處之住宅758戶、商辦526戶及1,111席車位，該局於112及</w:t>
      </w:r>
      <w:proofErr w:type="gramStart"/>
      <w:r w:rsidRPr="00177770">
        <w:rPr>
          <w:rFonts w:ascii="標楷體" w:eastAsia="標楷體" w:hAnsi="標楷體" w:hint="eastAsia"/>
        </w:rPr>
        <w:t>113</w:t>
      </w:r>
      <w:proofErr w:type="gramEnd"/>
      <w:r w:rsidRPr="00177770">
        <w:rPr>
          <w:rFonts w:ascii="標楷體" w:eastAsia="標楷體" w:hAnsi="標楷體" w:hint="eastAsia"/>
        </w:rPr>
        <w:t>年度各將其區分「A項」與「B項」2個區塊、</w:t>
      </w:r>
      <w:proofErr w:type="gramStart"/>
      <w:r w:rsidRPr="00177770">
        <w:rPr>
          <w:rFonts w:ascii="標楷體" w:eastAsia="標楷體" w:hAnsi="標楷體" w:hint="eastAsia"/>
        </w:rPr>
        <w:t>採</w:t>
      </w:r>
      <w:proofErr w:type="gramEnd"/>
      <w:r w:rsidRPr="00177770">
        <w:rPr>
          <w:rFonts w:ascii="標楷體" w:eastAsia="標楷體" w:hAnsi="標楷體" w:hint="eastAsia"/>
        </w:rPr>
        <w:t>複數決標方式委託</w:t>
      </w:r>
    </w:p>
    <w:p w14:paraId="3C217E53" w14:textId="7FD94036" w:rsidR="0050059F" w:rsidRDefault="0050059F" w:rsidP="00DB69CF">
      <w:pPr>
        <w:overflowPunct w:val="0"/>
        <w:spacing w:line="440" w:lineRule="exact"/>
        <w:jc w:val="both"/>
        <w:outlineLvl w:val="3"/>
        <w:rPr>
          <w:rFonts w:ascii="標楷體" w:eastAsia="標楷體" w:hAnsi="標楷體"/>
        </w:rPr>
      </w:pPr>
      <w:r w:rsidRPr="00177770">
        <w:rPr>
          <w:rFonts w:ascii="標楷體" w:eastAsia="標楷體" w:hAnsi="標楷體" w:hint="eastAsia"/>
        </w:rPr>
        <w:lastRenderedPageBreak/>
        <w:t>廠商提供代管服務，其中</w:t>
      </w:r>
      <w:proofErr w:type="gramStart"/>
      <w:r w:rsidRPr="00177770">
        <w:rPr>
          <w:rFonts w:ascii="標楷體" w:eastAsia="標楷體" w:hAnsi="標楷體" w:hint="eastAsia"/>
        </w:rPr>
        <w:t>112</w:t>
      </w:r>
      <w:proofErr w:type="gramEnd"/>
      <w:r w:rsidRPr="00177770">
        <w:rPr>
          <w:rFonts w:ascii="標楷體" w:eastAsia="標楷體" w:hAnsi="標楷體" w:hint="eastAsia"/>
        </w:rPr>
        <w:t>年度部分於112年4月決標，均後續擴充契約至113年3月止（契約金額「A項」1,133萬餘元、「B項」607萬餘元），</w:t>
      </w:r>
      <w:proofErr w:type="gramStart"/>
      <w:r w:rsidRPr="00177770">
        <w:rPr>
          <w:rFonts w:ascii="標楷體" w:eastAsia="標楷體" w:hAnsi="標楷體" w:hint="eastAsia"/>
        </w:rPr>
        <w:t>113</w:t>
      </w:r>
      <w:proofErr w:type="gramEnd"/>
      <w:r w:rsidRPr="00177770">
        <w:rPr>
          <w:rFonts w:ascii="標楷體" w:eastAsia="標楷體" w:hAnsi="標楷體" w:hint="eastAsia"/>
        </w:rPr>
        <w:t>年度部分則於113年3月決標，契約</w:t>
      </w:r>
      <w:proofErr w:type="gramStart"/>
      <w:r w:rsidRPr="00177770">
        <w:rPr>
          <w:rFonts w:ascii="標楷體" w:eastAsia="標楷體" w:hAnsi="標楷體" w:hint="eastAsia"/>
        </w:rPr>
        <w:t>期間均至</w:t>
      </w:r>
      <w:proofErr w:type="gramEnd"/>
      <w:r w:rsidRPr="00177770">
        <w:rPr>
          <w:rFonts w:ascii="標楷體" w:eastAsia="標楷體" w:hAnsi="標楷體" w:hint="eastAsia"/>
        </w:rPr>
        <w:t>113年底（契約金額「A項」969萬餘元、「B項」533萬餘元）（表</w:t>
      </w:r>
      <w:r>
        <w:rPr>
          <w:rFonts w:ascii="標楷體" w:eastAsia="標楷體" w:hAnsi="標楷體" w:hint="eastAsia"/>
        </w:rPr>
        <w:t>3</w:t>
      </w:r>
      <w:r w:rsidRPr="00177770">
        <w:rPr>
          <w:rFonts w:ascii="標楷體" w:eastAsia="標楷體" w:hAnsi="標楷體" w:hint="eastAsia"/>
        </w:rPr>
        <w:t>）。經查其履約計價</w:t>
      </w:r>
      <w:r w:rsidRPr="00177770">
        <w:rPr>
          <w:rFonts w:ascii="標楷體" w:eastAsia="標楷體" w:hAnsi="標楷體" w:cs="新細明體"/>
          <w:noProof/>
          <w:kern w:val="0"/>
          <w:szCs w:val="24"/>
        </w:rPr>
        <mc:AlternateContent>
          <mc:Choice Requires="wps">
            <w:drawing>
              <wp:anchor distT="45720" distB="45720" distL="114300" distR="114300" simplePos="0" relativeHeight="251782144" behindDoc="0" locked="0" layoutInCell="1" allowOverlap="1" wp14:anchorId="2FFEC88E" wp14:editId="63125D7D">
                <wp:simplePos x="0" y="0"/>
                <wp:positionH relativeFrom="margin">
                  <wp:posOffset>2122805</wp:posOffset>
                </wp:positionH>
                <wp:positionV relativeFrom="page">
                  <wp:posOffset>1809750</wp:posOffset>
                </wp:positionV>
                <wp:extent cx="4201160" cy="2448560"/>
                <wp:effectExtent l="0" t="0" r="8890" b="8890"/>
                <wp:wrapSquare wrapText="bothSides"/>
                <wp:docPr id="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1160" cy="2448560"/>
                        </a:xfrm>
                        <a:prstGeom prst="rect">
                          <a:avLst/>
                        </a:prstGeom>
                        <a:solidFill>
                          <a:srgbClr val="FFFFFF"/>
                        </a:solidFill>
                        <a:ln w="9525">
                          <a:noFill/>
                          <a:miter lim="800000"/>
                          <a:headEnd/>
                          <a:tailEnd/>
                        </a:ln>
                      </wps:spPr>
                      <wps:txbx>
                        <w:txbxContent>
                          <w:p w14:paraId="7BEB3A8E" w14:textId="77777777" w:rsidR="0050059F" w:rsidRDefault="0050059F" w:rsidP="0050059F">
                            <w:pPr>
                              <w:spacing w:afterLines="25" w:after="90" w:line="260" w:lineRule="exact"/>
                              <w:jc w:val="center"/>
                              <w:rPr>
                                <w:rFonts w:ascii="標楷體" w:eastAsia="標楷體" w:hAnsi="標楷體"/>
                                <w:b/>
                                <w:sz w:val="26"/>
                                <w:szCs w:val="26"/>
                              </w:rPr>
                            </w:pPr>
                            <w:r>
                              <w:rPr>
                                <w:rFonts w:ascii="標楷體" w:eastAsia="標楷體" w:hAnsi="標楷體" w:hint="eastAsia"/>
                                <w:b/>
                                <w:szCs w:val="24"/>
                              </w:rPr>
                              <w:t xml:space="preserve">表3 </w:t>
                            </w:r>
                            <w:r>
                              <w:rPr>
                                <w:rFonts w:ascii="標楷體" w:eastAsia="標楷體" w:hAnsi="標楷體"/>
                                <w:b/>
                                <w:szCs w:val="24"/>
                              </w:rPr>
                              <w:t xml:space="preserve"> </w:t>
                            </w:r>
                            <w:r w:rsidRPr="00FF0FFE">
                              <w:rPr>
                                <w:rFonts w:ascii="標楷體" w:eastAsia="標楷體" w:hAnsi="標楷體" w:hint="eastAsia"/>
                                <w:b/>
                                <w:szCs w:val="24"/>
                              </w:rPr>
                              <w:t>捷運開發大樓公有不動產</w:t>
                            </w:r>
                            <w:r>
                              <w:rPr>
                                <w:rFonts w:ascii="標楷體" w:eastAsia="標楷體" w:hAnsi="標楷體" w:hint="eastAsia"/>
                                <w:b/>
                                <w:szCs w:val="24"/>
                              </w:rPr>
                              <w:t>委託代管服務情形</w:t>
                            </w:r>
                          </w:p>
                          <w:p w14:paraId="0A325E23" w14:textId="77777777" w:rsidR="0050059F" w:rsidRDefault="0050059F" w:rsidP="0050059F">
                            <w:pPr>
                              <w:spacing w:beforeLines="10" w:before="36" w:afterLines="10" w:after="36" w:line="240" w:lineRule="exact"/>
                              <w:ind w:leftChars="118" w:left="283" w:rightChars="-20" w:right="-48" w:firstLineChars="142" w:firstLine="284"/>
                              <w:jc w:val="right"/>
                              <w:rPr>
                                <w:rFonts w:ascii="標楷體" w:eastAsia="標楷體" w:hAnsi="標楷體"/>
                                <w:sz w:val="20"/>
                                <w:szCs w:val="20"/>
                              </w:rPr>
                            </w:pPr>
                            <w:r>
                              <w:rPr>
                                <w:rFonts w:ascii="標楷體" w:eastAsia="標楷體" w:hAnsi="標楷體" w:hint="eastAsia"/>
                                <w:sz w:val="20"/>
                                <w:szCs w:val="20"/>
                              </w:rPr>
                              <w:t>單位：</w:t>
                            </w:r>
                            <w:r w:rsidRPr="00C47AE7">
                              <w:rPr>
                                <w:rFonts w:ascii="標楷體" w:eastAsia="標楷體" w:hAnsi="標楷體" w:hint="eastAsia"/>
                                <w:sz w:val="20"/>
                                <w:szCs w:val="20"/>
                              </w:rPr>
                              <w:t>新</w:t>
                            </w:r>
                            <w:r>
                              <w:rPr>
                                <w:rFonts w:ascii="標楷體" w:eastAsia="標楷體" w:hAnsi="標楷體" w:hint="eastAsia"/>
                                <w:sz w:val="20"/>
                                <w:szCs w:val="20"/>
                              </w:rPr>
                              <w:t>臺</w:t>
                            </w:r>
                            <w:r w:rsidRPr="00C47AE7">
                              <w:rPr>
                                <w:rFonts w:ascii="標楷體" w:eastAsia="標楷體" w:hAnsi="標楷體" w:hint="eastAsia"/>
                                <w:sz w:val="20"/>
                                <w:szCs w:val="20"/>
                              </w:rPr>
                              <w:t>幣</w:t>
                            </w:r>
                            <w:r>
                              <w:rPr>
                                <w:rFonts w:ascii="標楷體" w:eastAsia="標楷體" w:hAnsi="標楷體" w:hint="eastAsia"/>
                                <w:sz w:val="20"/>
                                <w:szCs w:val="20"/>
                              </w:rPr>
                              <w:t>千元</w:t>
                            </w:r>
                          </w:p>
                          <w:tbl>
                            <w:tblPr>
                              <w:tblStyle w:val="370"/>
                              <w:tblW w:w="6420" w:type="dxa"/>
                              <w:tblLook w:val="04A0" w:firstRow="1" w:lastRow="0" w:firstColumn="1" w:lastColumn="0" w:noHBand="0" w:noVBand="1"/>
                            </w:tblPr>
                            <w:tblGrid>
                              <w:gridCol w:w="1647"/>
                              <w:gridCol w:w="1512"/>
                              <w:gridCol w:w="1064"/>
                              <w:gridCol w:w="1218"/>
                              <w:gridCol w:w="979"/>
                            </w:tblGrid>
                            <w:tr w:rsidR="0050059F" w14:paraId="3BC198AA" w14:textId="77777777" w:rsidTr="00824CD6">
                              <w:trPr>
                                <w:trHeight w:val="340"/>
                              </w:trPr>
                              <w:tc>
                                <w:tcPr>
                                  <w:tcW w:w="16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5224A1"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履約標的</w:t>
                                  </w:r>
                                </w:p>
                                <w:p w14:paraId="6F540C01"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(承攬廠商)</w:t>
                                  </w:r>
                                </w:p>
                              </w:tc>
                              <w:tc>
                                <w:tcPr>
                                  <w:tcW w:w="1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D6233"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 xml:space="preserve">合 </w:t>
                                  </w:r>
                                  <w:r w:rsidRPr="00D24BC4">
                                    <w:rPr>
                                      <w:rFonts w:ascii="標楷體" w:eastAsia="標楷體" w:hAnsi="標楷體"/>
                                    </w:rPr>
                                    <w:t xml:space="preserve"> </w:t>
                                  </w:r>
                                  <w:r w:rsidRPr="00D24BC4">
                                    <w:rPr>
                                      <w:rFonts w:ascii="標楷體" w:eastAsia="標楷體" w:hAnsi="標楷體" w:hint="eastAsia"/>
                                    </w:rPr>
                                    <w:t>約</w:t>
                                  </w:r>
                                </w:p>
                                <w:p w14:paraId="478CFE4B" w14:textId="77777777" w:rsidR="0050059F" w:rsidRPr="00D24BC4" w:rsidRDefault="0050059F" w:rsidP="00824CD6">
                                  <w:pPr>
                                    <w:spacing w:afterLines="10" w:after="36" w:line="240" w:lineRule="exact"/>
                                    <w:jc w:val="center"/>
                                    <w:rPr>
                                      <w:rFonts w:ascii="標楷體" w:eastAsia="標楷體" w:hAnsi="標楷體"/>
                                    </w:rPr>
                                  </w:pPr>
                                  <w:r w:rsidRPr="00D24BC4">
                                    <w:rPr>
                                      <w:rFonts w:ascii="標楷體" w:eastAsia="標楷體" w:hAnsi="標楷體" w:hint="eastAsia"/>
                                    </w:rPr>
                                    <w:t>(原規劃年度)</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44CD4"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決標日</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422BA"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履約期間</w:t>
                                  </w: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51EDF"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契約價</w:t>
                                  </w:r>
                                </w:p>
                                <w:p w14:paraId="576E4107"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(含稅)</w:t>
                                  </w:r>
                                </w:p>
                              </w:tc>
                            </w:tr>
                            <w:tr w:rsidR="0050059F" w14:paraId="10C322F4" w14:textId="77777777" w:rsidTr="00824CD6">
                              <w:trPr>
                                <w:trHeight w:val="227"/>
                              </w:trPr>
                              <w:tc>
                                <w:tcPr>
                                  <w:tcW w:w="1647" w:type="dxa"/>
                                  <w:vMerge w:val="restart"/>
                                  <w:tcBorders>
                                    <w:top w:val="single" w:sz="4" w:space="0" w:color="auto"/>
                                    <w:left w:val="single" w:sz="4" w:space="0" w:color="auto"/>
                                    <w:bottom w:val="single" w:sz="4" w:space="0" w:color="auto"/>
                                    <w:right w:val="single" w:sz="4" w:space="0" w:color="auto"/>
                                  </w:tcBorders>
                                  <w:vAlign w:val="center"/>
                                  <w:hideMark/>
                                </w:tcPr>
                                <w:p w14:paraId="0D0A738C" w14:textId="77777777" w:rsidR="0050059F" w:rsidRPr="00C24BAF" w:rsidRDefault="0050059F" w:rsidP="00824CD6">
                                  <w:pPr>
                                    <w:spacing w:line="240" w:lineRule="exact"/>
                                    <w:jc w:val="center"/>
                                    <w:rPr>
                                      <w:rFonts w:ascii="標楷體" w:eastAsia="標楷體" w:hAnsi="標楷體"/>
                                      <w:spacing w:val="-4"/>
                                    </w:rPr>
                                  </w:pPr>
                                  <w:r w:rsidRPr="00C24BAF">
                                    <w:rPr>
                                      <w:rFonts w:ascii="標楷體" w:eastAsia="標楷體" w:hAnsi="標楷體" w:hint="eastAsia"/>
                                      <w:spacing w:val="-4"/>
                                    </w:rPr>
                                    <w:t>A項</w:t>
                                  </w:r>
                                </w:p>
                                <w:p w14:paraId="64FF87C4" w14:textId="77777777" w:rsidR="0050059F" w:rsidRPr="00C24BAF" w:rsidRDefault="0050059F" w:rsidP="00824CD6">
                                  <w:pPr>
                                    <w:spacing w:line="240" w:lineRule="exact"/>
                                    <w:jc w:val="both"/>
                                    <w:rPr>
                                      <w:rFonts w:ascii="標楷體" w:eastAsia="標楷體" w:hAnsi="標楷體"/>
                                      <w:spacing w:val="-4"/>
                                    </w:rPr>
                                  </w:pPr>
                                  <w:r w:rsidRPr="00C24BAF">
                                    <w:rPr>
                                      <w:rFonts w:ascii="標楷體" w:eastAsia="標楷體" w:hAnsi="標楷體" w:hint="eastAsia"/>
                                      <w:spacing w:val="-4"/>
                                    </w:rPr>
                                    <w:t>(兆基管理顧問股份有限公司)</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A08561A" w14:textId="77777777" w:rsidR="0050059F" w:rsidRDefault="0050059F" w:rsidP="00824CD6">
                                  <w:pPr>
                                    <w:spacing w:line="240" w:lineRule="exact"/>
                                    <w:jc w:val="center"/>
                                    <w:rPr>
                                      <w:rFonts w:ascii="標楷體" w:eastAsia="標楷體" w:hAnsi="標楷體"/>
                                      <w:spacing w:val="-10"/>
                                    </w:rPr>
                                  </w:pPr>
                                  <w:r>
                                    <w:rPr>
                                      <w:rFonts w:ascii="標楷體" w:eastAsia="標楷體" w:hAnsi="標楷體" w:hint="eastAsia"/>
                                      <w:spacing w:val="-10"/>
                                    </w:rPr>
                                    <w:t>合約1</w:t>
                                  </w:r>
                                </w:p>
                                <w:p w14:paraId="6CDBEC7F" w14:textId="77777777" w:rsidR="0050059F" w:rsidRDefault="0050059F" w:rsidP="00824CD6">
                                  <w:pPr>
                                    <w:spacing w:afterLines="5" w:after="18" w:line="240" w:lineRule="exact"/>
                                    <w:jc w:val="center"/>
                                    <w:rPr>
                                      <w:rFonts w:ascii="標楷體" w:eastAsia="標楷體" w:hAnsi="標楷體"/>
                                      <w:spacing w:val="-10"/>
                                    </w:rPr>
                                  </w:pPr>
                                  <w:r>
                                    <w:rPr>
                                      <w:rFonts w:ascii="標楷體" w:eastAsia="標楷體" w:hAnsi="標楷體" w:hint="eastAsia"/>
                                      <w:spacing w:val="-10"/>
                                    </w:rPr>
                                    <w:t>(</w:t>
                                  </w:r>
                                  <w:proofErr w:type="gramStart"/>
                                  <w:r>
                                    <w:rPr>
                                      <w:rFonts w:ascii="標楷體" w:eastAsia="標楷體" w:hAnsi="標楷體" w:hint="eastAsia"/>
                                      <w:spacing w:val="-10"/>
                                    </w:rPr>
                                    <w:t>112</w:t>
                                  </w:r>
                                  <w:proofErr w:type="gramEnd"/>
                                  <w:r>
                                    <w:rPr>
                                      <w:rFonts w:ascii="標楷體" w:eastAsia="標楷體" w:hAnsi="標楷體" w:hint="eastAsia"/>
                                      <w:spacing w:val="-10"/>
                                    </w:rPr>
                                    <w:t>年度)</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0CC829" w14:textId="77777777" w:rsidR="0050059F" w:rsidRDefault="0050059F" w:rsidP="00824CD6">
                                  <w:pPr>
                                    <w:spacing w:line="240" w:lineRule="exact"/>
                                    <w:jc w:val="center"/>
                                    <w:rPr>
                                      <w:rFonts w:ascii="標楷體" w:eastAsia="標楷體" w:hAnsi="標楷體"/>
                                    </w:rPr>
                                  </w:pPr>
                                  <w:r>
                                    <w:rPr>
                                      <w:rFonts w:ascii="標楷體" w:eastAsia="標楷體" w:hAnsi="標楷體" w:hint="eastAsia"/>
                                    </w:rPr>
                                    <w:t>112.4.6</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167A8D5" w14:textId="77777777" w:rsidR="0050059F" w:rsidRPr="00C24BAF" w:rsidRDefault="0050059F" w:rsidP="00824CD6">
                                  <w:pPr>
                                    <w:spacing w:line="240" w:lineRule="exact"/>
                                    <w:rPr>
                                      <w:rFonts w:ascii="標楷體" w:eastAsia="標楷體" w:hAnsi="標楷體"/>
                                      <w:spacing w:val="-6"/>
                                    </w:rPr>
                                  </w:pPr>
                                  <w:r w:rsidRPr="00C24BAF">
                                    <w:rPr>
                                      <w:rFonts w:ascii="標楷體" w:eastAsia="標楷體" w:hAnsi="標楷體" w:hint="eastAsia"/>
                                      <w:spacing w:val="-6"/>
                                    </w:rPr>
                                    <w:t>112.5.1至113.3.31</w:t>
                                  </w:r>
                                </w:p>
                              </w:tc>
                              <w:tc>
                                <w:tcPr>
                                  <w:tcW w:w="979" w:type="dxa"/>
                                  <w:tcBorders>
                                    <w:top w:val="single" w:sz="4" w:space="0" w:color="auto"/>
                                    <w:left w:val="single" w:sz="4" w:space="0" w:color="auto"/>
                                    <w:bottom w:val="single" w:sz="4" w:space="0" w:color="auto"/>
                                    <w:right w:val="single" w:sz="4" w:space="0" w:color="auto"/>
                                  </w:tcBorders>
                                  <w:vAlign w:val="center"/>
                                  <w:hideMark/>
                                </w:tcPr>
                                <w:p w14:paraId="20C4C85A"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11,331</w:t>
                                  </w:r>
                                </w:p>
                                <w:p w14:paraId="3846D76C"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w:t>
                                  </w:r>
                                  <w:proofErr w:type="gramStart"/>
                                  <w:r>
                                    <w:rPr>
                                      <w:rFonts w:ascii="標楷體" w:eastAsia="標楷體" w:hAnsi="標楷體" w:hint="eastAsia"/>
                                    </w:rPr>
                                    <w:t>註</w:t>
                                  </w:r>
                                  <w:proofErr w:type="gramEnd"/>
                                  <w:r>
                                    <w:rPr>
                                      <w:rFonts w:ascii="標楷體" w:eastAsia="標楷體" w:hAnsi="標楷體" w:hint="eastAsia"/>
                                    </w:rPr>
                                    <w:t>1)</w:t>
                                  </w:r>
                                </w:p>
                              </w:tc>
                            </w:tr>
                            <w:tr w:rsidR="0050059F" w14:paraId="20A8DE1F" w14:textId="77777777" w:rsidTr="00824CD6">
                              <w:trPr>
                                <w:trHeight w:val="227"/>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2920A084" w14:textId="77777777" w:rsidR="0050059F" w:rsidRPr="00C24BAF" w:rsidRDefault="0050059F" w:rsidP="00824CD6">
                                  <w:pPr>
                                    <w:spacing w:line="240" w:lineRule="exact"/>
                                    <w:rPr>
                                      <w:rFonts w:ascii="標楷體" w:eastAsia="標楷體" w:hAnsi="標楷體"/>
                                      <w:spacing w:val="-4"/>
                                    </w:rPr>
                                  </w:pPr>
                                </w:p>
                              </w:tc>
                              <w:tc>
                                <w:tcPr>
                                  <w:tcW w:w="1512" w:type="dxa"/>
                                  <w:tcBorders>
                                    <w:top w:val="single" w:sz="4" w:space="0" w:color="auto"/>
                                    <w:left w:val="single" w:sz="4" w:space="0" w:color="auto"/>
                                    <w:bottom w:val="single" w:sz="4" w:space="0" w:color="auto"/>
                                    <w:right w:val="single" w:sz="4" w:space="0" w:color="auto"/>
                                  </w:tcBorders>
                                  <w:vAlign w:val="center"/>
                                  <w:hideMark/>
                                </w:tcPr>
                                <w:p w14:paraId="63BAB26E" w14:textId="77777777" w:rsidR="0050059F" w:rsidRDefault="0050059F" w:rsidP="00824CD6">
                                  <w:pPr>
                                    <w:spacing w:line="240" w:lineRule="exact"/>
                                    <w:jc w:val="center"/>
                                    <w:rPr>
                                      <w:rFonts w:ascii="標楷體" w:eastAsia="標楷體" w:hAnsi="標楷體"/>
                                      <w:spacing w:val="-10"/>
                                    </w:rPr>
                                  </w:pPr>
                                  <w:r>
                                    <w:rPr>
                                      <w:rFonts w:ascii="標楷體" w:eastAsia="標楷體" w:hAnsi="標楷體" w:hint="eastAsia"/>
                                      <w:spacing w:val="-10"/>
                                    </w:rPr>
                                    <w:t>合約2</w:t>
                                  </w:r>
                                </w:p>
                                <w:p w14:paraId="0C5C14EF" w14:textId="77777777" w:rsidR="0050059F" w:rsidRDefault="0050059F" w:rsidP="00824CD6">
                                  <w:pPr>
                                    <w:spacing w:afterLines="5" w:after="18" w:line="240" w:lineRule="exact"/>
                                    <w:jc w:val="center"/>
                                    <w:rPr>
                                      <w:rFonts w:ascii="標楷體" w:eastAsia="標楷體" w:hAnsi="標楷體"/>
                                    </w:rPr>
                                  </w:pPr>
                                  <w:r>
                                    <w:rPr>
                                      <w:rFonts w:ascii="標楷體" w:eastAsia="標楷體" w:hAnsi="標楷體" w:hint="eastAsia"/>
                                      <w:spacing w:val="-10"/>
                                    </w:rPr>
                                    <w:t>(</w:t>
                                  </w:r>
                                  <w:proofErr w:type="gramStart"/>
                                  <w:r>
                                    <w:rPr>
                                      <w:rFonts w:ascii="標楷體" w:eastAsia="標楷體" w:hAnsi="標楷體" w:hint="eastAsia"/>
                                      <w:spacing w:val="-10"/>
                                    </w:rPr>
                                    <w:t>113</w:t>
                                  </w:r>
                                  <w:proofErr w:type="gramEnd"/>
                                  <w:r>
                                    <w:rPr>
                                      <w:rFonts w:ascii="標楷體" w:eastAsia="標楷體" w:hAnsi="標楷體" w:hint="eastAsia"/>
                                      <w:spacing w:val="-10"/>
                                    </w:rPr>
                                    <w:t>年度)</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9BC8AD" w14:textId="77777777" w:rsidR="0050059F" w:rsidRDefault="0050059F" w:rsidP="00824CD6">
                                  <w:pPr>
                                    <w:spacing w:line="240" w:lineRule="exact"/>
                                    <w:jc w:val="center"/>
                                    <w:rPr>
                                      <w:rFonts w:ascii="標楷體" w:eastAsia="標楷體" w:hAnsi="標楷體"/>
                                    </w:rPr>
                                  </w:pPr>
                                  <w:r>
                                    <w:rPr>
                                      <w:rFonts w:ascii="標楷體" w:eastAsia="標楷體" w:hAnsi="標楷體" w:hint="eastAsia"/>
                                    </w:rPr>
                                    <w:t>113.3.6</w:t>
                                  </w:r>
                                  <w:r>
                                    <w:rPr>
                                      <w:rFonts w:ascii="標楷體" w:eastAsia="標楷體" w:hAnsi="標楷體" w:hint="eastAsia"/>
                                      <w:spacing w:val="-4"/>
                                    </w:rPr>
                                    <w:t xml:space="preserve"> </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A6E62FF" w14:textId="77777777" w:rsidR="0050059F" w:rsidRPr="00C24BAF" w:rsidRDefault="0050059F" w:rsidP="00824CD6">
                                  <w:pPr>
                                    <w:spacing w:line="240" w:lineRule="exact"/>
                                    <w:rPr>
                                      <w:rFonts w:ascii="標楷體" w:eastAsia="標楷體" w:hAnsi="標楷體"/>
                                      <w:spacing w:val="-6"/>
                                    </w:rPr>
                                  </w:pPr>
                                  <w:r w:rsidRPr="00C24BAF">
                                    <w:rPr>
                                      <w:rFonts w:ascii="標楷體" w:eastAsia="標楷體" w:hAnsi="標楷體" w:hint="eastAsia"/>
                                      <w:spacing w:val="-6"/>
                                    </w:rPr>
                                    <w:t>113.4.1至113.12.31</w:t>
                                  </w:r>
                                </w:p>
                              </w:tc>
                              <w:tc>
                                <w:tcPr>
                                  <w:tcW w:w="979" w:type="dxa"/>
                                  <w:tcBorders>
                                    <w:top w:val="single" w:sz="4" w:space="0" w:color="auto"/>
                                    <w:left w:val="single" w:sz="4" w:space="0" w:color="auto"/>
                                    <w:bottom w:val="single" w:sz="4" w:space="0" w:color="auto"/>
                                    <w:right w:val="single" w:sz="4" w:space="0" w:color="auto"/>
                                  </w:tcBorders>
                                  <w:vAlign w:val="center"/>
                                  <w:hideMark/>
                                </w:tcPr>
                                <w:p w14:paraId="07D8BBCA"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9,695</w:t>
                                  </w:r>
                                </w:p>
                              </w:tc>
                            </w:tr>
                            <w:tr w:rsidR="0050059F" w14:paraId="237D7B84" w14:textId="77777777" w:rsidTr="00824CD6">
                              <w:trPr>
                                <w:trHeight w:val="227"/>
                              </w:trPr>
                              <w:tc>
                                <w:tcPr>
                                  <w:tcW w:w="1647" w:type="dxa"/>
                                  <w:vMerge w:val="restart"/>
                                  <w:tcBorders>
                                    <w:top w:val="single" w:sz="4" w:space="0" w:color="auto"/>
                                    <w:left w:val="single" w:sz="4" w:space="0" w:color="auto"/>
                                    <w:bottom w:val="single" w:sz="4" w:space="0" w:color="auto"/>
                                    <w:right w:val="single" w:sz="4" w:space="0" w:color="auto"/>
                                  </w:tcBorders>
                                  <w:vAlign w:val="center"/>
                                  <w:hideMark/>
                                </w:tcPr>
                                <w:p w14:paraId="095E0569" w14:textId="77777777" w:rsidR="0050059F" w:rsidRPr="00C24BAF" w:rsidRDefault="0050059F" w:rsidP="00824CD6">
                                  <w:pPr>
                                    <w:spacing w:line="240" w:lineRule="exact"/>
                                    <w:jc w:val="center"/>
                                    <w:rPr>
                                      <w:rFonts w:ascii="標楷體" w:eastAsia="標楷體" w:hAnsi="標楷體"/>
                                      <w:spacing w:val="-4"/>
                                    </w:rPr>
                                  </w:pPr>
                                  <w:r w:rsidRPr="00C24BAF">
                                    <w:rPr>
                                      <w:rFonts w:ascii="標楷體" w:eastAsia="標楷體" w:hAnsi="標楷體" w:hint="eastAsia"/>
                                      <w:spacing w:val="-4"/>
                                    </w:rPr>
                                    <w:t>B項</w:t>
                                  </w:r>
                                </w:p>
                                <w:p w14:paraId="77023ED2" w14:textId="77777777" w:rsidR="0050059F" w:rsidRPr="00C24BAF" w:rsidRDefault="0050059F" w:rsidP="00824CD6">
                                  <w:pPr>
                                    <w:spacing w:line="240" w:lineRule="exact"/>
                                    <w:jc w:val="both"/>
                                    <w:rPr>
                                      <w:rFonts w:ascii="標楷體" w:eastAsia="標楷體" w:hAnsi="標楷體"/>
                                      <w:spacing w:val="-6"/>
                                    </w:rPr>
                                  </w:pPr>
                                  <w:r w:rsidRPr="00C24BAF">
                                    <w:rPr>
                                      <w:rFonts w:ascii="標楷體" w:eastAsia="標楷體" w:hAnsi="標楷體" w:hint="eastAsia"/>
                                      <w:spacing w:val="-6"/>
                                    </w:rPr>
                                    <w:t>(</w:t>
                                  </w:r>
                                  <w:proofErr w:type="gramStart"/>
                                  <w:r w:rsidRPr="00C24BAF">
                                    <w:rPr>
                                      <w:rFonts w:ascii="標楷體" w:eastAsia="標楷體" w:hAnsi="標楷體" w:hint="eastAsia"/>
                                      <w:spacing w:val="-6"/>
                                    </w:rPr>
                                    <w:t>晟晁</w:t>
                                  </w:r>
                                  <w:proofErr w:type="gramEnd"/>
                                  <w:r w:rsidRPr="00C24BAF">
                                    <w:rPr>
                                      <w:rFonts w:ascii="標楷體" w:eastAsia="標楷體" w:hAnsi="標楷體" w:hint="eastAsia"/>
                                      <w:spacing w:val="-6"/>
                                    </w:rPr>
                                    <w:t>物業管理顧問股份有限公司)</w:t>
                                  </w:r>
                                </w:p>
                              </w:tc>
                              <w:tc>
                                <w:tcPr>
                                  <w:tcW w:w="1512" w:type="dxa"/>
                                  <w:tcBorders>
                                    <w:top w:val="single" w:sz="4" w:space="0" w:color="auto"/>
                                    <w:left w:val="single" w:sz="4" w:space="0" w:color="auto"/>
                                    <w:bottom w:val="single" w:sz="4" w:space="0" w:color="auto"/>
                                    <w:right w:val="single" w:sz="4" w:space="0" w:color="auto"/>
                                  </w:tcBorders>
                                  <w:vAlign w:val="center"/>
                                  <w:hideMark/>
                                </w:tcPr>
                                <w:p w14:paraId="2C30E88A" w14:textId="77777777" w:rsidR="0050059F" w:rsidRDefault="0050059F" w:rsidP="00824CD6">
                                  <w:pPr>
                                    <w:spacing w:line="240" w:lineRule="exact"/>
                                    <w:jc w:val="center"/>
                                    <w:rPr>
                                      <w:rFonts w:ascii="標楷體" w:eastAsia="標楷體" w:hAnsi="標楷體"/>
                                      <w:spacing w:val="-10"/>
                                    </w:rPr>
                                  </w:pPr>
                                  <w:r>
                                    <w:rPr>
                                      <w:rFonts w:ascii="標楷體" w:eastAsia="標楷體" w:hAnsi="標楷體" w:hint="eastAsia"/>
                                      <w:spacing w:val="-10"/>
                                    </w:rPr>
                                    <w:t>合約3</w:t>
                                  </w:r>
                                </w:p>
                                <w:p w14:paraId="6B55BF7C" w14:textId="77777777" w:rsidR="0050059F" w:rsidRDefault="0050059F" w:rsidP="00824CD6">
                                  <w:pPr>
                                    <w:spacing w:afterLines="5" w:after="18" w:line="240" w:lineRule="exact"/>
                                    <w:jc w:val="center"/>
                                    <w:rPr>
                                      <w:rFonts w:ascii="標楷體" w:eastAsia="標楷體" w:hAnsi="標楷體"/>
                                    </w:rPr>
                                  </w:pPr>
                                  <w:r>
                                    <w:rPr>
                                      <w:rFonts w:ascii="標楷體" w:eastAsia="標楷體" w:hAnsi="標楷體" w:hint="eastAsia"/>
                                      <w:spacing w:val="-10"/>
                                    </w:rPr>
                                    <w:t>(</w:t>
                                  </w:r>
                                  <w:proofErr w:type="gramStart"/>
                                  <w:r>
                                    <w:rPr>
                                      <w:rFonts w:ascii="標楷體" w:eastAsia="標楷體" w:hAnsi="標楷體" w:hint="eastAsia"/>
                                      <w:spacing w:val="-10"/>
                                    </w:rPr>
                                    <w:t>112</w:t>
                                  </w:r>
                                  <w:proofErr w:type="gramEnd"/>
                                  <w:r>
                                    <w:rPr>
                                      <w:rFonts w:ascii="標楷體" w:eastAsia="標楷體" w:hAnsi="標楷體" w:hint="eastAsia"/>
                                      <w:spacing w:val="-10"/>
                                    </w:rPr>
                                    <w:t>年度)</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39FF194" w14:textId="77777777" w:rsidR="0050059F" w:rsidRDefault="0050059F" w:rsidP="00824CD6">
                                  <w:pPr>
                                    <w:spacing w:line="240" w:lineRule="exact"/>
                                    <w:jc w:val="center"/>
                                    <w:rPr>
                                      <w:rFonts w:ascii="標楷體" w:eastAsia="標楷體" w:hAnsi="標楷體"/>
                                    </w:rPr>
                                  </w:pPr>
                                  <w:r>
                                    <w:rPr>
                                      <w:rFonts w:ascii="標楷體" w:eastAsia="標楷體" w:hAnsi="標楷體" w:hint="eastAsia"/>
                                    </w:rPr>
                                    <w:t xml:space="preserve">112.4.6 </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A03AC95" w14:textId="77777777" w:rsidR="0050059F" w:rsidRPr="00C24BAF" w:rsidRDefault="0050059F" w:rsidP="00824CD6">
                                  <w:pPr>
                                    <w:spacing w:line="240" w:lineRule="exact"/>
                                    <w:rPr>
                                      <w:rFonts w:ascii="標楷體" w:eastAsia="標楷體" w:hAnsi="標楷體"/>
                                      <w:spacing w:val="-6"/>
                                    </w:rPr>
                                  </w:pPr>
                                  <w:r w:rsidRPr="00C24BAF">
                                    <w:rPr>
                                      <w:rFonts w:ascii="標楷體" w:eastAsia="標楷體" w:hAnsi="標楷體" w:hint="eastAsia"/>
                                      <w:spacing w:val="-6"/>
                                    </w:rPr>
                                    <w:t>112.5.1至113.3.31</w:t>
                                  </w:r>
                                </w:p>
                              </w:tc>
                              <w:tc>
                                <w:tcPr>
                                  <w:tcW w:w="979" w:type="dxa"/>
                                  <w:tcBorders>
                                    <w:top w:val="single" w:sz="4" w:space="0" w:color="auto"/>
                                    <w:left w:val="single" w:sz="4" w:space="0" w:color="auto"/>
                                    <w:bottom w:val="single" w:sz="4" w:space="0" w:color="auto"/>
                                    <w:right w:val="single" w:sz="4" w:space="0" w:color="auto"/>
                                  </w:tcBorders>
                                  <w:vAlign w:val="center"/>
                                  <w:hideMark/>
                                </w:tcPr>
                                <w:p w14:paraId="3A00A699"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6,072</w:t>
                                  </w:r>
                                </w:p>
                                <w:p w14:paraId="46040696"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w:t>
                                  </w:r>
                                  <w:proofErr w:type="gramStart"/>
                                  <w:r>
                                    <w:rPr>
                                      <w:rFonts w:ascii="標楷體" w:eastAsia="標楷體" w:hAnsi="標楷體" w:hint="eastAsia"/>
                                    </w:rPr>
                                    <w:t>註</w:t>
                                  </w:r>
                                  <w:proofErr w:type="gramEnd"/>
                                  <w:r>
                                    <w:rPr>
                                      <w:rFonts w:ascii="標楷體" w:eastAsia="標楷體" w:hAnsi="標楷體" w:hint="eastAsia"/>
                                    </w:rPr>
                                    <w:t>1)</w:t>
                                  </w:r>
                                </w:p>
                              </w:tc>
                            </w:tr>
                            <w:tr w:rsidR="0050059F" w14:paraId="1761A161" w14:textId="77777777" w:rsidTr="00824CD6">
                              <w:trPr>
                                <w:trHeight w:val="227"/>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1FF83452" w14:textId="77777777" w:rsidR="0050059F" w:rsidRDefault="0050059F" w:rsidP="00824CD6">
                                  <w:pPr>
                                    <w:spacing w:line="240" w:lineRule="exact"/>
                                    <w:rPr>
                                      <w:rFonts w:ascii="標楷體" w:eastAsia="標楷體" w:hAnsi="標楷體"/>
                                    </w:rPr>
                                  </w:pPr>
                                </w:p>
                              </w:tc>
                              <w:tc>
                                <w:tcPr>
                                  <w:tcW w:w="1512" w:type="dxa"/>
                                  <w:tcBorders>
                                    <w:top w:val="single" w:sz="4" w:space="0" w:color="auto"/>
                                    <w:left w:val="single" w:sz="4" w:space="0" w:color="auto"/>
                                    <w:bottom w:val="single" w:sz="4" w:space="0" w:color="auto"/>
                                    <w:right w:val="single" w:sz="4" w:space="0" w:color="auto"/>
                                  </w:tcBorders>
                                  <w:vAlign w:val="center"/>
                                  <w:hideMark/>
                                </w:tcPr>
                                <w:p w14:paraId="0FFBFE91" w14:textId="77777777" w:rsidR="0050059F" w:rsidRDefault="0050059F" w:rsidP="00824CD6">
                                  <w:pPr>
                                    <w:spacing w:line="240" w:lineRule="exact"/>
                                    <w:jc w:val="center"/>
                                    <w:rPr>
                                      <w:rFonts w:ascii="標楷體" w:eastAsia="標楷體" w:hAnsi="標楷體"/>
                                      <w:spacing w:val="-10"/>
                                    </w:rPr>
                                  </w:pPr>
                                  <w:r>
                                    <w:rPr>
                                      <w:rFonts w:ascii="標楷體" w:eastAsia="標楷體" w:hAnsi="標楷體" w:hint="eastAsia"/>
                                      <w:spacing w:val="-10"/>
                                    </w:rPr>
                                    <w:t>合約4</w:t>
                                  </w:r>
                                </w:p>
                                <w:p w14:paraId="5161ACCF" w14:textId="77777777" w:rsidR="0050059F" w:rsidRDefault="0050059F" w:rsidP="00824CD6">
                                  <w:pPr>
                                    <w:spacing w:afterLines="5" w:after="18" w:line="240" w:lineRule="exact"/>
                                    <w:jc w:val="center"/>
                                    <w:rPr>
                                      <w:rFonts w:ascii="標楷體" w:eastAsia="標楷體" w:hAnsi="標楷體"/>
                                    </w:rPr>
                                  </w:pPr>
                                  <w:r>
                                    <w:rPr>
                                      <w:rFonts w:ascii="標楷體" w:eastAsia="標楷體" w:hAnsi="標楷體" w:hint="eastAsia"/>
                                      <w:spacing w:val="-10"/>
                                    </w:rPr>
                                    <w:t>(</w:t>
                                  </w:r>
                                  <w:proofErr w:type="gramStart"/>
                                  <w:r>
                                    <w:rPr>
                                      <w:rFonts w:ascii="標楷體" w:eastAsia="標楷體" w:hAnsi="標楷體" w:hint="eastAsia"/>
                                      <w:spacing w:val="-10"/>
                                    </w:rPr>
                                    <w:t>113</w:t>
                                  </w:r>
                                  <w:proofErr w:type="gramEnd"/>
                                  <w:r>
                                    <w:rPr>
                                      <w:rFonts w:ascii="標楷體" w:eastAsia="標楷體" w:hAnsi="標楷體" w:hint="eastAsia"/>
                                      <w:spacing w:val="-10"/>
                                    </w:rPr>
                                    <w:t>年度)</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2F5A84" w14:textId="77777777" w:rsidR="0050059F" w:rsidRDefault="0050059F" w:rsidP="00824CD6">
                                  <w:pPr>
                                    <w:spacing w:line="240" w:lineRule="exact"/>
                                    <w:jc w:val="center"/>
                                    <w:rPr>
                                      <w:rFonts w:ascii="標楷體" w:eastAsia="標楷體" w:hAnsi="標楷體"/>
                                    </w:rPr>
                                  </w:pPr>
                                  <w:r>
                                    <w:rPr>
                                      <w:rFonts w:ascii="標楷體" w:eastAsia="標楷體" w:hAnsi="標楷體" w:hint="eastAsia"/>
                                    </w:rPr>
                                    <w:t>113.3.6</w:t>
                                  </w:r>
                                  <w:r w:rsidRPr="00E850A2">
                                    <w:rPr>
                                      <w:rFonts w:ascii="標楷體" w:eastAsia="標楷體" w:hAnsi="標楷體" w:hint="eastAsia"/>
                                    </w:rPr>
                                    <w:t xml:space="preserve"> </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2B04136" w14:textId="77777777" w:rsidR="0050059F" w:rsidRPr="00C24BAF" w:rsidRDefault="0050059F" w:rsidP="00824CD6">
                                  <w:pPr>
                                    <w:spacing w:line="240" w:lineRule="exact"/>
                                    <w:rPr>
                                      <w:rFonts w:ascii="標楷體" w:eastAsia="標楷體" w:hAnsi="標楷體"/>
                                      <w:spacing w:val="-6"/>
                                    </w:rPr>
                                  </w:pPr>
                                  <w:r w:rsidRPr="00C24BAF">
                                    <w:rPr>
                                      <w:rFonts w:ascii="標楷體" w:eastAsia="標楷體" w:hAnsi="標楷體" w:hint="eastAsia"/>
                                      <w:spacing w:val="-6"/>
                                    </w:rPr>
                                    <w:t>113.4.1至113.12.31</w:t>
                                  </w:r>
                                </w:p>
                              </w:tc>
                              <w:tc>
                                <w:tcPr>
                                  <w:tcW w:w="979" w:type="dxa"/>
                                  <w:tcBorders>
                                    <w:top w:val="single" w:sz="4" w:space="0" w:color="auto"/>
                                    <w:left w:val="single" w:sz="4" w:space="0" w:color="auto"/>
                                    <w:bottom w:val="single" w:sz="4" w:space="0" w:color="auto"/>
                                    <w:right w:val="single" w:sz="4" w:space="0" w:color="auto"/>
                                  </w:tcBorders>
                                  <w:vAlign w:val="center"/>
                                  <w:hideMark/>
                                </w:tcPr>
                                <w:p w14:paraId="4EC2847D"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5,336</w:t>
                                  </w:r>
                                </w:p>
                              </w:tc>
                            </w:tr>
                          </w:tbl>
                          <w:p w14:paraId="1778C448" w14:textId="77777777" w:rsidR="0050059F" w:rsidRDefault="0050059F" w:rsidP="0050059F">
                            <w:pPr>
                              <w:spacing w:beforeLines="10" w:before="36" w:line="240" w:lineRule="exact"/>
                              <w:ind w:leftChars="10" w:left="384" w:hangingChars="200" w:hanging="360"/>
                              <w:rPr>
                                <w:rFonts w:ascii="標楷體" w:eastAsia="標楷體" w:hAnsi="標楷體" w:cs="Times New Roman"/>
                                <w:sz w:val="18"/>
                                <w:szCs w:val="20"/>
                              </w:rPr>
                            </w:pPr>
                            <w:proofErr w:type="gramStart"/>
                            <w:r>
                              <w:rPr>
                                <w:rFonts w:ascii="標楷體" w:eastAsia="標楷體" w:hAnsi="標楷體" w:hint="eastAsia"/>
                                <w:sz w:val="18"/>
                                <w:szCs w:val="20"/>
                              </w:rPr>
                              <w:t>註</w:t>
                            </w:r>
                            <w:proofErr w:type="gramEnd"/>
                            <w:r>
                              <w:rPr>
                                <w:rFonts w:ascii="標楷體" w:eastAsia="標楷體" w:hAnsi="標楷體" w:hint="eastAsia"/>
                                <w:sz w:val="18"/>
                                <w:szCs w:val="20"/>
                              </w:rPr>
                              <w:t>：1.112年度契約金額含擴充後增加金額。</w:t>
                            </w:r>
                          </w:p>
                          <w:p w14:paraId="0F0EC0EC" w14:textId="77777777" w:rsidR="0050059F" w:rsidRPr="000958EA" w:rsidRDefault="0050059F" w:rsidP="0050059F">
                            <w:pPr>
                              <w:spacing w:line="240" w:lineRule="exact"/>
                              <w:ind w:leftChars="160" w:left="384"/>
                              <w:rPr>
                                <w:rFonts w:ascii="標楷體" w:eastAsia="標楷體" w:hAnsi="標楷體"/>
                                <w:sz w:val="18"/>
                                <w:szCs w:val="20"/>
                                <w:shd w:val="clear" w:color="auto" w:fill="FFFF00"/>
                              </w:rPr>
                            </w:pPr>
                            <w:r>
                              <w:rPr>
                                <w:rFonts w:ascii="標楷體" w:eastAsia="標楷體" w:hAnsi="標楷體" w:hint="eastAsia"/>
                                <w:sz w:val="18"/>
                                <w:szCs w:val="20"/>
                              </w:rPr>
                              <w:t>2.資料來源：整理自捷運工程局提供資料。</w:t>
                            </w:r>
                          </w:p>
                          <w:p w14:paraId="440BCB24" w14:textId="77777777" w:rsidR="0050059F" w:rsidRDefault="0050059F" w:rsidP="0050059F">
                            <w:pPr>
                              <w:jc w:val="right"/>
                              <w:rPr>
                                <w:rFonts w:ascii="標楷體" w:eastAsia="標楷體" w:hAnsi="標楷體"/>
                                <w:sz w:val="20"/>
                                <w:szCs w:val="20"/>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FEC88E" id="_x0000_s1160" type="#_x0000_t202" style="position:absolute;left:0;text-align:left;margin-left:167.15pt;margin-top:142.5pt;width:330.8pt;height:192.8pt;z-index:251782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" stroked="f">
                <v:textbox>
                  <w:txbxContent>
                    <w:p w14:paraId="7BEB3A8E" w14:textId="77777777" w:rsidR="0050059F" w:rsidRDefault="0050059F" w:rsidP="0050059F">
                      <w:pPr>
                        <w:spacing w:afterLines="25" w:after="90" w:line="260" w:lineRule="exact"/>
                        <w:jc w:val="center"/>
                        <w:rPr>
                          <w:rFonts w:ascii="標楷體" w:eastAsia="標楷體" w:hAnsi="標楷體"/>
                          <w:b/>
                          <w:sz w:val="26"/>
                          <w:szCs w:val="26"/>
                        </w:rPr>
                      </w:pPr>
                      <w:r>
                        <w:rPr>
                          <w:rFonts w:ascii="標楷體" w:eastAsia="標楷體" w:hAnsi="標楷體" w:hint="eastAsia"/>
                          <w:b/>
                          <w:szCs w:val="24"/>
                        </w:rPr>
                        <w:t xml:space="preserve">表3 </w:t>
                      </w:r>
                      <w:r>
                        <w:rPr>
                          <w:rFonts w:ascii="標楷體" w:eastAsia="標楷體" w:hAnsi="標楷體"/>
                          <w:b/>
                          <w:szCs w:val="24"/>
                        </w:rPr>
                        <w:t xml:space="preserve"> </w:t>
                      </w:r>
                      <w:r w:rsidRPr="00FF0FFE">
                        <w:rPr>
                          <w:rFonts w:ascii="標楷體" w:eastAsia="標楷體" w:hAnsi="標楷體" w:hint="eastAsia"/>
                          <w:b/>
                          <w:szCs w:val="24"/>
                        </w:rPr>
                        <w:t>捷運開發大樓公有不動產</w:t>
                      </w:r>
                      <w:r>
                        <w:rPr>
                          <w:rFonts w:ascii="標楷體" w:eastAsia="標楷體" w:hAnsi="標楷體" w:hint="eastAsia"/>
                          <w:b/>
                          <w:szCs w:val="24"/>
                        </w:rPr>
                        <w:t>委託代管服務情形</w:t>
                      </w:r>
                    </w:p>
                    <w:p w14:paraId="0A325E23" w14:textId="77777777" w:rsidR="0050059F" w:rsidRDefault="0050059F" w:rsidP="0050059F">
                      <w:pPr>
                        <w:spacing w:beforeLines="10" w:before="36" w:afterLines="10" w:after="36" w:line="240" w:lineRule="exact"/>
                        <w:ind w:leftChars="118" w:left="283" w:rightChars="-20" w:right="-48" w:firstLineChars="142" w:firstLine="284"/>
                        <w:jc w:val="right"/>
                        <w:rPr>
                          <w:rFonts w:ascii="標楷體" w:eastAsia="標楷體" w:hAnsi="標楷體"/>
                          <w:sz w:val="20"/>
                          <w:szCs w:val="20"/>
                        </w:rPr>
                      </w:pPr>
                      <w:r>
                        <w:rPr>
                          <w:rFonts w:ascii="標楷體" w:eastAsia="標楷體" w:hAnsi="標楷體" w:hint="eastAsia"/>
                          <w:sz w:val="20"/>
                          <w:szCs w:val="20"/>
                        </w:rPr>
                        <w:t>單位：</w:t>
                      </w:r>
                      <w:r w:rsidRPr="00C47AE7">
                        <w:rPr>
                          <w:rFonts w:ascii="標楷體" w:eastAsia="標楷體" w:hAnsi="標楷體" w:hint="eastAsia"/>
                          <w:sz w:val="20"/>
                          <w:szCs w:val="20"/>
                        </w:rPr>
                        <w:t>新</w:t>
                      </w:r>
                      <w:r>
                        <w:rPr>
                          <w:rFonts w:ascii="標楷體" w:eastAsia="標楷體" w:hAnsi="標楷體" w:hint="eastAsia"/>
                          <w:sz w:val="20"/>
                          <w:szCs w:val="20"/>
                        </w:rPr>
                        <w:t>臺</w:t>
                      </w:r>
                      <w:r w:rsidRPr="00C47AE7">
                        <w:rPr>
                          <w:rFonts w:ascii="標楷體" w:eastAsia="標楷體" w:hAnsi="標楷體" w:hint="eastAsia"/>
                          <w:sz w:val="20"/>
                          <w:szCs w:val="20"/>
                        </w:rPr>
                        <w:t>幣</w:t>
                      </w:r>
                      <w:r>
                        <w:rPr>
                          <w:rFonts w:ascii="標楷體" w:eastAsia="標楷體" w:hAnsi="標楷體" w:hint="eastAsia"/>
                          <w:sz w:val="20"/>
                          <w:szCs w:val="20"/>
                        </w:rPr>
                        <w:t>千元</w:t>
                      </w:r>
                    </w:p>
                    <w:tbl>
                      <w:tblPr>
                        <w:tblStyle w:val="370"/>
                        <w:tblW w:w="6420" w:type="dxa"/>
                        <w:tblLook w:val="04A0" w:firstRow="1" w:lastRow="0" w:firstColumn="1" w:lastColumn="0" w:noHBand="0" w:noVBand="1"/>
                      </w:tblPr>
                      <w:tblGrid>
                        <w:gridCol w:w="1647"/>
                        <w:gridCol w:w="1512"/>
                        <w:gridCol w:w="1064"/>
                        <w:gridCol w:w="1218"/>
                        <w:gridCol w:w="979"/>
                      </w:tblGrid>
                      <w:tr w:rsidR="0050059F" w14:paraId="3BC198AA" w14:textId="77777777" w:rsidTr="00824CD6">
                        <w:trPr>
                          <w:trHeight w:val="340"/>
                        </w:trPr>
                        <w:tc>
                          <w:tcPr>
                            <w:tcW w:w="16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5224A1"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履約標的</w:t>
                            </w:r>
                          </w:p>
                          <w:p w14:paraId="6F540C01"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(承攬廠商)</w:t>
                            </w:r>
                          </w:p>
                        </w:tc>
                        <w:tc>
                          <w:tcPr>
                            <w:tcW w:w="15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D6233"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 xml:space="preserve">合 </w:t>
                            </w:r>
                            <w:r w:rsidRPr="00D24BC4">
                              <w:rPr>
                                <w:rFonts w:ascii="標楷體" w:eastAsia="標楷體" w:hAnsi="標楷體"/>
                              </w:rPr>
                              <w:t xml:space="preserve"> </w:t>
                            </w:r>
                            <w:r w:rsidRPr="00D24BC4">
                              <w:rPr>
                                <w:rFonts w:ascii="標楷體" w:eastAsia="標楷體" w:hAnsi="標楷體" w:hint="eastAsia"/>
                              </w:rPr>
                              <w:t>約</w:t>
                            </w:r>
                          </w:p>
                          <w:p w14:paraId="478CFE4B" w14:textId="77777777" w:rsidR="0050059F" w:rsidRPr="00D24BC4" w:rsidRDefault="0050059F" w:rsidP="00824CD6">
                            <w:pPr>
                              <w:spacing w:afterLines="10" w:after="36" w:line="240" w:lineRule="exact"/>
                              <w:jc w:val="center"/>
                              <w:rPr>
                                <w:rFonts w:ascii="標楷體" w:eastAsia="標楷體" w:hAnsi="標楷體"/>
                              </w:rPr>
                            </w:pPr>
                            <w:r w:rsidRPr="00D24BC4">
                              <w:rPr>
                                <w:rFonts w:ascii="標楷體" w:eastAsia="標楷體" w:hAnsi="標楷體" w:hint="eastAsia"/>
                              </w:rPr>
                              <w:t>(原規劃年度)</w:t>
                            </w:r>
                          </w:p>
                        </w:tc>
                        <w:tc>
                          <w:tcPr>
                            <w:tcW w:w="10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44CD4"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決標日</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422BA"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履約期間</w:t>
                            </w:r>
                          </w:p>
                        </w:tc>
                        <w:tc>
                          <w:tcPr>
                            <w:tcW w:w="9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51EDF"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契約價</w:t>
                            </w:r>
                          </w:p>
                          <w:p w14:paraId="576E4107" w14:textId="77777777" w:rsidR="0050059F" w:rsidRPr="00D24BC4" w:rsidRDefault="0050059F" w:rsidP="00824CD6">
                            <w:pPr>
                              <w:spacing w:line="240" w:lineRule="exact"/>
                              <w:jc w:val="center"/>
                              <w:rPr>
                                <w:rFonts w:ascii="標楷體" w:eastAsia="標楷體" w:hAnsi="標楷體"/>
                              </w:rPr>
                            </w:pPr>
                            <w:r w:rsidRPr="00D24BC4">
                              <w:rPr>
                                <w:rFonts w:ascii="標楷體" w:eastAsia="標楷體" w:hAnsi="標楷體" w:hint="eastAsia"/>
                              </w:rPr>
                              <w:t>(含稅)</w:t>
                            </w:r>
                          </w:p>
                        </w:tc>
                      </w:tr>
                      <w:tr w:rsidR="0050059F" w14:paraId="10C322F4" w14:textId="77777777" w:rsidTr="00824CD6">
                        <w:trPr>
                          <w:trHeight w:val="227"/>
                        </w:trPr>
                        <w:tc>
                          <w:tcPr>
                            <w:tcW w:w="1647" w:type="dxa"/>
                            <w:vMerge w:val="restart"/>
                            <w:tcBorders>
                              <w:top w:val="single" w:sz="4" w:space="0" w:color="auto"/>
                              <w:left w:val="single" w:sz="4" w:space="0" w:color="auto"/>
                              <w:bottom w:val="single" w:sz="4" w:space="0" w:color="auto"/>
                              <w:right w:val="single" w:sz="4" w:space="0" w:color="auto"/>
                            </w:tcBorders>
                            <w:vAlign w:val="center"/>
                            <w:hideMark/>
                          </w:tcPr>
                          <w:p w14:paraId="0D0A738C" w14:textId="77777777" w:rsidR="0050059F" w:rsidRPr="00C24BAF" w:rsidRDefault="0050059F" w:rsidP="00824CD6">
                            <w:pPr>
                              <w:spacing w:line="240" w:lineRule="exact"/>
                              <w:jc w:val="center"/>
                              <w:rPr>
                                <w:rFonts w:ascii="標楷體" w:eastAsia="標楷體" w:hAnsi="標楷體"/>
                                <w:spacing w:val="-4"/>
                              </w:rPr>
                            </w:pPr>
                            <w:r w:rsidRPr="00C24BAF">
                              <w:rPr>
                                <w:rFonts w:ascii="標楷體" w:eastAsia="標楷體" w:hAnsi="標楷體" w:hint="eastAsia"/>
                                <w:spacing w:val="-4"/>
                              </w:rPr>
                              <w:t>A項</w:t>
                            </w:r>
                          </w:p>
                          <w:p w14:paraId="64FF87C4" w14:textId="77777777" w:rsidR="0050059F" w:rsidRPr="00C24BAF" w:rsidRDefault="0050059F" w:rsidP="00824CD6">
                            <w:pPr>
                              <w:spacing w:line="240" w:lineRule="exact"/>
                              <w:jc w:val="both"/>
                              <w:rPr>
                                <w:rFonts w:ascii="標楷體" w:eastAsia="標楷體" w:hAnsi="標楷體"/>
                                <w:spacing w:val="-4"/>
                              </w:rPr>
                            </w:pPr>
                            <w:r w:rsidRPr="00C24BAF">
                              <w:rPr>
                                <w:rFonts w:ascii="標楷體" w:eastAsia="標楷體" w:hAnsi="標楷體" w:hint="eastAsia"/>
                                <w:spacing w:val="-4"/>
                              </w:rPr>
                              <w:t>(兆基管理顧問股份有限公司)</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A08561A" w14:textId="77777777" w:rsidR="0050059F" w:rsidRDefault="0050059F" w:rsidP="00824CD6">
                            <w:pPr>
                              <w:spacing w:line="240" w:lineRule="exact"/>
                              <w:jc w:val="center"/>
                              <w:rPr>
                                <w:rFonts w:ascii="標楷體" w:eastAsia="標楷體" w:hAnsi="標楷體"/>
                                <w:spacing w:val="-10"/>
                              </w:rPr>
                            </w:pPr>
                            <w:r>
                              <w:rPr>
                                <w:rFonts w:ascii="標楷體" w:eastAsia="標楷體" w:hAnsi="標楷體" w:hint="eastAsia"/>
                                <w:spacing w:val="-10"/>
                              </w:rPr>
                              <w:t>合約1</w:t>
                            </w:r>
                          </w:p>
                          <w:p w14:paraId="6CDBEC7F" w14:textId="77777777" w:rsidR="0050059F" w:rsidRDefault="0050059F" w:rsidP="00824CD6">
                            <w:pPr>
                              <w:spacing w:afterLines="5" w:after="18" w:line="240" w:lineRule="exact"/>
                              <w:jc w:val="center"/>
                              <w:rPr>
                                <w:rFonts w:ascii="標楷體" w:eastAsia="標楷體" w:hAnsi="標楷體"/>
                                <w:spacing w:val="-10"/>
                              </w:rPr>
                            </w:pPr>
                            <w:r>
                              <w:rPr>
                                <w:rFonts w:ascii="標楷體" w:eastAsia="標楷體" w:hAnsi="標楷體" w:hint="eastAsia"/>
                                <w:spacing w:val="-10"/>
                              </w:rPr>
                              <w:t>(</w:t>
                            </w:r>
                            <w:proofErr w:type="gramStart"/>
                            <w:r>
                              <w:rPr>
                                <w:rFonts w:ascii="標楷體" w:eastAsia="標楷體" w:hAnsi="標楷體" w:hint="eastAsia"/>
                                <w:spacing w:val="-10"/>
                              </w:rPr>
                              <w:t>112</w:t>
                            </w:r>
                            <w:proofErr w:type="gramEnd"/>
                            <w:r>
                              <w:rPr>
                                <w:rFonts w:ascii="標楷體" w:eastAsia="標楷體" w:hAnsi="標楷體" w:hint="eastAsia"/>
                                <w:spacing w:val="-10"/>
                              </w:rPr>
                              <w:t>年度)</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C0CC829" w14:textId="77777777" w:rsidR="0050059F" w:rsidRDefault="0050059F" w:rsidP="00824CD6">
                            <w:pPr>
                              <w:spacing w:line="240" w:lineRule="exact"/>
                              <w:jc w:val="center"/>
                              <w:rPr>
                                <w:rFonts w:ascii="標楷體" w:eastAsia="標楷體" w:hAnsi="標楷體"/>
                              </w:rPr>
                            </w:pPr>
                            <w:r>
                              <w:rPr>
                                <w:rFonts w:ascii="標楷體" w:eastAsia="標楷體" w:hAnsi="標楷體" w:hint="eastAsia"/>
                              </w:rPr>
                              <w:t>112.4.6</w:t>
                            </w:r>
                          </w:p>
                        </w:tc>
                        <w:tc>
                          <w:tcPr>
                            <w:tcW w:w="1218" w:type="dxa"/>
                            <w:tcBorders>
                              <w:top w:val="single" w:sz="4" w:space="0" w:color="auto"/>
                              <w:left w:val="single" w:sz="4" w:space="0" w:color="auto"/>
                              <w:bottom w:val="single" w:sz="4" w:space="0" w:color="auto"/>
                              <w:right w:val="single" w:sz="4" w:space="0" w:color="auto"/>
                            </w:tcBorders>
                            <w:vAlign w:val="center"/>
                            <w:hideMark/>
                          </w:tcPr>
                          <w:p w14:paraId="2167A8D5" w14:textId="77777777" w:rsidR="0050059F" w:rsidRPr="00C24BAF" w:rsidRDefault="0050059F" w:rsidP="00824CD6">
                            <w:pPr>
                              <w:spacing w:line="240" w:lineRule="exact"/>
                              <w:rPr>
                                <w:rFonts w:ascii="標楷體" w:eastAsia="標楷體" w:hAnsi="標楷體"/>
                                <w:spacing w:val="-6"/>
                              </w:rPr>
                            </w:pPr>
                            <w:r w:rsidRPr="00C24BAF">
                              <w:rPr>
                                <w:rFonts w:ascii="標楷體" w:eastAsia="標楷體" w:hAnsi="標楷體" w:hint="eastAsia"/>
                                <w:spacing w:val="-6"/>
                              </w:rPr>
                              <w:t>112.5.1至113.3.31</w:t>
                            </w:r>
                          </w:p>
                        </w:tc>
                        <w:tc>
                          <w:tcPr>
                            <w:tcW w:w="979" w:type="dxa"/>
                            <w:tcBorders>
                              <w:top w:val="single" w:sz="4" w:space="0" w:color="auto"/>
                              <w:left w:val="single" w:sz="4" w:space="0" w:color="auto"/>
                              <w:bottom w:val="single" w:sz="4" w:space="0" w:color="auto"/>
                              <w:right w:val="single" w:sz="4" w:space="0" w:color="auto"/>
                            </w:tcBorders>
                            <w:vAlign w:val="center"/>
                            <w:hideMark/>
                          </w:tcPr>
                          <w:p w14:paraId="20C4C85A"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11,331</w:t>
                            </w:r>
                          </w:p>
                          <w:p w14:paraId="3846D76C"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w:t>
                            </w:r>
                            <w:proofErr w:type="gramStart"/>
                            <w:r>
                              <w:rPr>
                                <w:rFonts w:ascii="標楷體" w:eastAsia="標楷體" w:hAnsi="標楷體" w:hint="eastAsia"/>
                              </w:rPr>
                              <w:t>註</w:t>
                            </w:r>
                            <w:proofErr w:type="gramEnd"/>
                            <w:r>
                              <w:rPr>
                                <w:rFonts w:ascii="標楷體" w:eastAsia="標楷體" w:hAnsi="標楷體" w:hint="eastAsia"/>
                              </w:rPr>
                              <w:t>1)</w:t>
                            </w:r>
                          </w:p>
                        </w:tc>
                      </w:tr>
                      <w:tr w:rsidR="0050059F" w14:paraId="20A8DE1F" w14:textId="77777777" w:rsidTr="00824CD6">
                        <w:trPr>
                          <w:trHeight w:val="227"/>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2920A084" w14:textId="77777777" w:rsidR="0050059F" w:rsidRPr="00C24BAF" w:rsidRDefault="0050059F" w:rsidP="00824CD6">
                            <w:pPr>
                              <w:spacing w:line="240" w:lineRule="exact"/>
                              <w:rPr>
                                <w:rFonts w:ascii="標楷體" w:eastAsia="標楷體" w:hAnsi="標楷體"/>
                                <w:spacing w:val="-4"/>
                              </w:rPr>
                            </w:pPr>
                          </w:p>
                        </w:tc>
                        <w:tc>
                          <w:tcPr>
                            <w:tcW w:w="1512" w:type="dxa"/>
                            <w:tcBorders>
                              <w:top w:val="single" w:sz="4" w:space="0" w:color="auto"/>
                              <w:left w:val="single" w:sz="4" w:space="0" w:color="auto"/>
                              <w:bottom w:val="single" w:sz="4" w:space="0" w:color="auto"/>
                              <w:right w:val="single" w:sz="4" w:space="0" w:color="auto"/>
                            </w:tcBorders>
                            <w:vAlign w:val="center"/>
                            <w:hideMark/>
                          </w:tcPr>
                          <w:p w14:paraId="63BAB26E" w14:textId="77777777" w:rsidR="0050059F" w:rsidRDefault="0050059F" w:rsidP="00824CD6">
                            <w:pPr>
                              <w:spacing w:line="240" w:lineRule="exact"/>
                              <w:jc w:val="center"/>
                              <w:rPr>
                                <w:rFonts w:ascii="標楷體" w:eastAsia="標楷體" w:hAnsi="標楷體"/>
                                <w:spacing w:val="-10"/>
                              </w:rPr>
                            </w:pPr>
                            <w:r>
                              <w:rPr>
                                <w:rFonts w:ascii="標楷體" w:eastAsia="標楷體" w:hAnsi="標楷體" w:hint="eastAsia"/>
                                <w:spacing w:val="-10"/>
                              </w:rPr>
                              <w:t>合約2</w:t>
                            </w:r>
                          </w:p>
                          <w:p w14:paraId="0C5C14EF" w14:textId="77777777" w:rsidR="0050059F" w:rsidRDefault="0050059F" w:rsidP="00824CD6">
                            <w:pPr>
                              <w:spacing w:afterLines="5" w:after="18" w:line="240" w:lineRule="exact"/>
                              <w:jc w:val="center"/>
                              <w:rPr>
                                <w:rFonts w:ascii="標楷體" w:eastAsia="標楷體" w:hAnsi="標楷體"/>
                              </w:rPr>
                            </w:pPr>
                            <w:r>
                              <w:rPr>
                                <w:rFonts w:ascii="標楷體" w:eastAsia="標楷體" w:hAnsi="標楷體" w:hint="eastAsia"/>
                                <w:spacing w:val="-10"/>
                              </w:rPr>
                              <w:t>(</w:t>
                            </w:r>
                            <w:proofErr w:type="gramStart"/>
                            <w:r>
                              <w:rPr>
                                <w:rFonts w:ascii="標楷體" w:eastAsia="標楷體" w:hAnsi="標楷體" w:hint="eastAsia"/>
                                <w:spacing w:val="-10"/>
                              </w:rPr>
                              <w:t>113</w:t>
                            </w:r>
                            <w:proofErr w:type="gramEnd"/>
                            <w:r>
                              <w:rPr>
                                <w:rFonts w:ascii="標楷體" w:eastAsia="標楷體" w:hAnsi="標楷體" w:hint="eastAsia"/>
                                <w:spacing w:val="-10"/>
                              </w:rPr>
                              <w:t>年度)</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39BC8AD" w14:textId="77777777" w:rsidR="0050059F" w:rsidRDefault="0050059F" w:rsidP="00824CD6">
                            <w:pPr>
                              <w:spacing w:line="240" w:lineRule="exact"/>
                              <w:jc w:val="center"/>
                              <w:rPr>
                                <w:rFonts w:ascii="標楷體" w:eastAsia="標楷體" w:hAnsi="標楷體"/>
                              </w:rPr>
                            </w:pPr>
                            <w:r>
                              <w:rPr>
                                <w:rFonts w:ascii="標楷體" w:eastAsia="標楷體" w:hAnsi="標楷體" w:hint="eastAsia"/>
                              </w:rPr>
                              <w:t>113.3.6</w:t>
                            </w:r>
                            <w:r>
                              <w:rPr>
                                <w:rFonts w:ascii="標楷體" w:eastAsia="標楷體" w:hAnsi="標楷體" w:hint="eastAsia"/>
                                <w:spacing w:val="-4"/>
                              </w:rPr>
                              <w:t xml:space="preserve"> </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A6E62FF" w14:textId="77777777" w:rsidR="0050059F" w:rsidRPr="00C24BAF" w:rsidRDefault="0050059F" w:rsidP="00824CD6">
                            <w:pPr>
                              <w:spacing w:line="240" w:lineRule="exact"/>
                              <w:rPr>
                                <w:rFonts w:ascii="標楷體" w:eastAsia="標楷體" w:hAnsi="標楷體"/>
                                <w:spacing w:val="-6"/>
                              </w:rPr>
                            </w:pPr>
                            <w:r w:rsidRPr="00C24BAF">
                              <w:rPr>
                                <w:rFonts w:ascii="標楷體" w:eastAsia="標楷體" w:hAnsi="標楷體" w:hint="eastAsia"/>
                                <w:spacing w:val="-6"/>
                              </w:rPr>
                              <w:t>113.4.1至113.12.31</w:t>
                            </w:r>
                          </w:p>
                        </w:tc>
                        <w:tc>
                          <w:tcPr>
                            <w:tcW w:w="979" w:type="dxa"/>
                            <w:tcBorders>
                              <w:top w:val="single" w:sz="4" w:space="0" w:color="auto"/>
                              <w:left w:val="single" w:sz="4" w:space="0" w:color="auto"/>
                              <w:bottom w:val="single" w:sz="4" w:space="0" w:color="auto"/>
                              <w:right w:val="single" w:sz="4" w:space="0" w:color="auto"/>
                            </w:tcBorders>
                            <w:vAlign w:val="center"/>
                            <w:hideMark/>
                          </w:tcPr>
                          <w:p w14:paraId="07D8BBCA"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9,695</w:t>
                            </w:r>
                          </w:p>
                        </w:tc>
                      </w:tr>
                      <w:tr w:rsidR="0050059F" w14:paraId="237D7B84" w14:textId="77777777" w:rsidTr="00824CD6">
                        <w:trPr>
                          <w:trHeight w:val="227"/>
                        </w:trPr>
                        <w:tc>
                          <w:tcPr>
                            <w:tcW w:w="1647" w:type="dxa"/>
                            <w:vMerge w:val="restart"/>
                            <w:tcBorders>
                              <w:top w:val="single" w:sz="4" w:space="0" w:color="auto"/>
                              <w:left w:val="single" w:sz="4" w:space="0" w:color="auto"/>
                              <w:bottom w:val="single" w:sz="4" w:space="0" w:color="auto"/>
                              <w:right w:val="single" w:sz="4" w:space="0" w:color="auto"/>
                            </w:tcBorders>
                            <w:vAlign w:val="center"/>
                            <w:hideMark/>
                          </w:tcPr>
                          <w:p w14:paraId="095E0569" w14:textId="77777777" w:rsidR="0050059F" w:rsidRPr="00C24BAF" w:rsidRDefault="0050059F" w:rsidP="00824CD6">
                            <w:pPr>
                              <w:spacing w:line="240" w:lineRule="exact"/>
                              <w:jc w:val="center"/>
                              <w:rPr>
                                <w:rFonts w:ascii="標楷體" w:eastAsia="標楷體" w:hAnsi="標楷體"/>
                                <w:spacing w:val="-4"/>
                              </w:rPr>
                            </w:pPr>
                            <w:r w:rsidRPr="00C24BAF">
                              <w:rPr>
                                <w:rFonts w:ascii="標楷體" w:eastAsia="標楷體" w:hAnsi="標楷體" w:hint="eastAsia"/>
                                <w:spacing w:val="-4"/>
                              </w:rPr>
                              <w:t>B項</w:t>
                            </w:r>
                          </w:p>
                          <w:p w14:paraId="77023ED2" w14:textId="77777777" w:rsidR="0050059F" w:rsidRPr="00C24BAF" w:rsidRDefault="0050059F" w:rsidP="00824CD6">
                            <w:pPr>
                              <w:spacing w:line="240" w:lineRule="exact"/>
                              <w:jc w:val="both"/>
                              <w:rPr>
                                <w:rFonts w:ascii="標楷體" w:eastAsia="標楷體" w:hAnsi="標楷體"/>
                                <w:spacing w:val="-6"/>
                              </w:rPr>
                            </w:pPr>
                            <w:r w:rsidRPr="00C24BAF">
                              <w:rPr>
                                <w:rFonts w:ascii="標楷體" w:eastAsia="標楷體" w:hAnsi="標楷體" w:hint="eastAsia"/>
                                <w:spacing w:val="-6"/>
                              </w:rPr>
                              <w:t>(</w:t>
                            </w:r>
                            <w:proofErr w:type="gramStart"/>
                            <w:r w:rsidRPr="00C24BAF">
                              <w:rPr>
                                <w:rFonts w:ascii="標楷體" w:eastAsia="標楷體" w:hAnsi="標楷體" w:hint="eastAsia"/>
                                <w:spacing w:val="-6"/>
                              </w:rPr>
                              <w:t>晟晁</w:t>
                            </w:r>
                            <w:proofErr w:type="gramEnd"/>
                            <w:r w:rsidRPr="00C24BAF">
                              <w:rPr>
                                <w:rFonts w:ascii="標楷體" w:eastAsia="標楷體" w:hAnsi="標楷體" w:hint="eastAsia"/>
                                <w:spacing w:val="-6"/>
                              </w:rPr>
                              <w:t>物業管理顧問股份有限公司)</w:t>
                            </w:r>
                          </w:p>
                        </w:tc>
                        <w:tc>
                          <w:tcPr>
                            <w:tcW w:w="1512" w:type="dxa"/>
                            <w:tcBorders>
                              <w:top w:val="single" w:sz="4" w:space="0" w:color="auto"/>
                              <w:left w:val="single" w:sz="4" w:space="0" w:color="auto"/>
                              <w:bottom w:val="single" w:sz="4" w:space="0" w:color="auto"/>
                              <w:right w:val="single" w:sz="4" w:space="0" w:color="auto"/>
                            </w:tcBorders>
                            <w:vAlign w:val="center"/>
                            <w:hideMark/>
                          </w:tcPr>
                          <w:p w14:paraId="2C30E88A" w14:textId="77777777" w:rsidR="0050059F" w:rsidRDefault="0050059F" w:rsidP="00824CD6">
                            <w:pPr>
                              <w:spacing w:line="240" w:lineRule="exact"/>
                              <w:jc w:val="center"/>
                              <w:rPr>
                                <w:rFonts w:ascii="標楷體" w:eastAsia="標楷體" w:hAnsi="標楷體"/>
                                <w:spacing w:val="-10"/>
                              </w:rPr>
                            </w:pPr>
                            <w:r>
                              <w:rPr>
                                <w:rFonts w:ascii="標楷體" w:eastAsia="標楷體" w:hAnsi="標楷體" w:hint="eastAsia"/>
                                <w:spacing w:val="-10"/>
                              </w:rPr>
                              <w:t>合約3</w:t>
                            </w:r>
                          </w:p>
                          <w:p w14:paraId="6B55BF7C" w14:textId="77777777" w:rsidR="0050059F" w:rsidRDefault="0050059F" w:rsidP="00824CD6">
                            <w:pPr>
                              <w:spacing w:afterLines="5" w:after="18" w:line="240" w:lineRule="exact"/>
                              <w:jc w:val="center"/>
                              <w:rPr>
                                <w:rFonts w:ascii="標楷體" w:eastAsia="標楷體" w:hAnsi="標楷體"/>
                              </w:rPr>
                            </w:pPr>
                            <w:r>
                              <w:rPr>
                                <w:rFonts w:ascii="標楷體" w:eastAsia="標楷體" w:hAnsi="標楷體" w:hint="eastAsia"/>
                                <w:spacing w:val="-10"/>
                              </w:rPr>
                              <w:t>(</w:t>
                            </w:r>
                            <w:proofErr w:type="gramStart"/>
                            <w:r>
                              <w:rPr>
                                <w:rFonts w:ascii="標楷體" w:eastAsia="標楷體" w:hAnsi="標楷體" w:hint="eastAsia"/>
                                <w:spacing w:val="-10"/>
                              </w:rPr>
                              <w:t>112</w:t>
                            </w:r>
                            <w:proofErr w:type="gramEnd"/>
                            <w:r>
                              <w:rPr>
                                <w:rFonts w:ascii="標楷體" w:eastAsia="標楷體" w:hAnsi="標楷體" w:hint="eastAsia"/>
                                <w:spacing w:val="-10"/>
                              </w:rPr>
                              <w:t>年度)</w:t>
                            </w:r>
                          </w:p>
                        </w:tc>
                        <w:tc>
                          <w:tcPr>
                            <w:tcW w:w="1064" w:type="dxa"/>
                            <w:tcBorders>
                              <w:top w:val="single" w:sz="4" w:space="0" w:color="auto"/>
                              <w:left w:val="single" w:sz="4" w:space="0" w:color="auto"/>
                              <w:bottom w:val="single" w:sz="4" w:space="0" w:color="auto"/>
                              <w:right w:val="single" w:sz="4" w:space="0" w:color="auto"/>
                            </w:tcBorders>
                            <w:vAlign w:val="center"/>
                            <w:hideMark/>
                          </w:tcPr>
                          <w:p w14:paraId="539FF194" w14:textId="77777777" w:rsidR="0050059F" w:rsidRDefault="0050059F" w:rsidP="00824CD6">
                            <w:pPr>
                              <w:spacing w:line="240" w:lineRule="exact"/>
                              <w:jc w:val="center"/>
                              <w:rPr>
                                <w:rFonts w:ascii="標楷體" w:eastAsia="標楷體" w:hAnsi="標楷體"/>
                              </w:rPr>
                            </w:pPr>
                            <w:r>
                              <w:rPr>
                                <w:rFonts w:ascii="標楷體" w:eastAsia="標楷體" w:hAnsi="標楷體" w:hint="eastAsia"/>
                              </w:rPr>
                              <w:t xml:space="preserve">112.4.6 </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A03AC95" w14:textId="77777777" w:rsidR="0050059F" w:rsidRPr="00C24BAF" w:rsidRDefault="0050059F" w:rsidP="00824CD6">
                            <w:pPr>
                              <w:spacing w:line="240" w:lineRule="exact"/>
                              <w:rPr>
                                <w:rFonts w:ascii="標楷體" w:eastAsia="標楷體" w:hAnsi="標楷體"/>
                                <w:spacing w:val="-6"/>
                              </w:rPr>
                            </w:pPr>
                            <w:r w:rsidRPr="00C24BAF">
                              <w:rPr>
                                <w:rFonts w:ascii="標楷體" w:eastAsia="標楷體" w:hAnsi="標楷體" w:hint="eastAsia"/>
                                <w:spacing w:val="-6"/>
                              </w:rPr>
                              <w:t>112.5.1至113.3.31</w:t>
                            </w:r>
                          </w:p>
                        </w:tc>
                        <w:tc>
                          <w:tcPr>
                            <w:tcW w:w="979" w:type="dxa"/>
                            <w:tcBorders>
                              <w:top w:val="single" w:sz="4" w:space="0" w:color="auto"/>
                              <w:left w:val="single" w:sz="4" w:space="0" w:color="auto"/>
                              <w:bottom w:val="single" w:sz="4" w:space="0" w:color="auto"/>
                              <w:right w:val="single" w:sz="4" w:space="0" w:color="auto"/>
                            </w:tcBorders>
                            <w:vAlign w:val="center"/>
                            <w:hideMark/>
                          </w:tcPr>
                          <w:p w14:paraId="3A00A699"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6,072</w:t>
                            </w:r>
                          </w:p>
                          <w:p w14:paraId="46040696"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w:t>
                            </w:r>
                            <w:proofErr w:type="gramStart"/>
                            <w:r>
                              <w:rPr>
                                <w:rFonts w:ascii="標楷體" w:eastAsia="標楷體" w:hAnsi="標楷體" w:hint="eastAsia"/>
                              </w:rPr>
                              <w:t>註</w:t>
                            </w:r>
                            <w:proofErr w:type="gramEnd"/>
                            <w:r>
                              <w:rPr>
                                <w:rFonts w:ascii="標楷體" w:eastAsia="標楷體" w:hAnsi="標楷體" w:hint="eastAsia"/>
                              </w:rPr>
                              <w:t>1)</w:t>
                            </w:r>
                          </w:p>
                        </w:tc>
                      </w:tr>
                      <w:tr w:rsidR="0050059F" w14:paraId="1761A161" w14:textId="77777777" w:rsidTr="00824CD6">
                        <w:trPr>
                          <w:trHeight w:val="227"/>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1FF83452" w14:textId="77777777" w:rsidR="0050059F" w:rsidRDefault="0050059F" w:rsidP="00824CD6">
                            <w:pPr>
                              <w:spacing w:line="240" w:lineRule="exact"/>
                              <w:rPr>
                                <w:rFonts w:ascii="標楷體" w:eastAsia="標楷體" w:hAnsi="標楷體"/>
                              </w:rPr>
                            </w:pPr>
                          </w:p>
                        </w:tc>
                        <w:tc>
                          <w:tcPr>
                            <w:tcW w:w="1512" w:type="dxa"/>
                            <w:tcBorders>
                              <w:top w:val="single" w:sz="4" w:space="0" w:color="auto"/>
                              <w:left w:val="single" w:sz="4" w:space="0" w:color="auto"/>
                              <w:bottom w:val="single" w:sz="4" w:space="0" w:color="auto"/>
                              <w:right w:val="single" w:sz="4" w:space="0" w:color="auto"/>
                            </w:tcBorders>
                            <w:vAlign w:val="center"/>
                            <w:hideMark/>
                          </w:tcPr>
                          <w:p w14:paraId="0FFBFE91" w14:textId="77777777" w:rsidR="0050059F" w:rsidRDefault="0050059F" w:rsidP="00824CD6">
                            <w:pPr>
                              <w:spacing w:line="240" w:lineRule="exact"/>
                              <w:jc w:val="center"/>
                              <w:rPr>
                                <w:rFonts w:ascii="標楷體" w:eastAsia="標楷體" w:hAnsi="標楷體"/>
                                <w:spacing w:val="-10"/>
                              </w:rPr>
                            </w:pPr>
                            <w:r>
                              <w:rPr>
                                <w:rFonts w:ascii="標楷體" w:eastAsia="標楷體" w:hAnsi="標楷體" w:hint="eastAsia"/>
                                <w:spacing w:val="-10"/>
                              </w:rPr>
                              <w:t>合約4</w:t>
                            </w:r>
                          </w:p>
                          <w:p w14:paraId="5161ACCF" w14:textId="77777777" w:rsidR="0050059F" w:rsidRDefault="0050059F" w:rsidP="00824CD6">
                            <w:pPr>
                              <w:spacing w:afterLines="5" w:after="18" w:line="240" w:lineRule="exact"/>
                              <w:jc w:val="center"/>
                              <w:rPr>
                                <w:rFonts w:ascii="標楷體" w:eastAsia="標楷體" w:hAnsi="標楷體"/>
                              </w:rPr>
                            </w:pPr>
                            <w:r>
                              <w:rPr>
                                <w:rFonts w:ascii="標楷體" w:eastAsia="標楷體" w:hAnsi="標楷體" w:hint="eastAsia"/>
                                <w:spacing w:val="-10"/>
                              </w:rPr>
                              <w:t>(</w:t>
                            </w:r>
                            <w:proofErr w:type="gramStart"/>
                            <w:r>
                              <w:rPr>
                                <w:rFonts w:ascii="標楷體" w:eastAsia="標楷體" w:hAnsi="標楷體" w:hint="eastAsia"/>
                                <w:spacing w:val="-10"/>
                              </w:rPr>
                              <w:t>113</w:t>
                            </w:r>
                            <w:proofErr w:type="gramEnd"/>
                            <w:r>
                              <w:rPr>
                                <w:rFonts w:ascii="標楷體" w:eastAsia="標楷體" w:hAnsi="標楷體" w:hint="eastAsia"/>
                                <w:spacing w:val="-10"/>
                              </w:rPr>
                              <w:t>年度)</w:t>
                            </w:r>
                          </w:p>
                        </w:tc>
                        <w:tc>
                          <w:tcPr>
                            <w:tcW w:w="1064" w:type="dxa"/>
                            <w:tcBorders>
                              <w:top w:val="single" w:sz="4" w:space="0" w:color="auto"/>
                              <w:left w:val="single" w:sz="4" w:space="0" w:color="auto"/>
                              <w:bottom w:val="single" w:sz="4" w:space="0" w:color="auto"/>
                              <w:right w:val="single" w:sz="4" w:space="0" w:color="auto"/>
                            </w:tcBorders>
                            <w:vAlign w:val="center"/>
                            <w:hideMark/>
                          </w:tcPr>
                          <w:p w14:paraId="2B2F5A84" w14:textId="77777777" w:rsidR="0050059F" w:rsidRDefault="0050059F" w:rsidP="00824CD6">
                            <w:pPr>
                              <w:spacing w:line="240" w:lineRule="exact"/>
                              <w:jc w:val="center"/>
                              <w:rPr>
                                <w:rFonts w:ascii="標楷體" w:eastAsia="標楷體" w:hAnsi="標楷體"/>
                              </w:rPr>
                            </w:pPr>
                            <w:r>
                              <w:rPr>
                                <w:rFonts w:ascii="標楷體" w:eastAsia="標楷體" w:hAnsi="標楷體" w:hint="eastAsia"/>
                              </w:rPr>
                              <w:t>113.3.6</w:t>
                            </w:r>
                            <w:r w:rsidRPr="00E850A2">
                              <w:rPr>
                                <w:rFonts w:ascii="標楷體" w:eastAsia="標楷體" w:hAnsi="標楷體" w:hint="eastAsia"/>
                              </w:rPr>
                              <w:t xml:space="preserve"> </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2B04136" w14:textId="77777777" w:rsidR="0050059F" w:rsidRPr="00C24BAF" w:rsidRDefault="0050059F" w:rsidP="00824CD6">
                            <w:pPr>
                              <w:spacing w:line="240" w:lineRule="exact"/>
                              <w:rPr>
                                <w:rFonts w:ascii="標楷體" w:eastAsia="標楷體" w:hAnsi="標楷體"/>
                                <w:spacing w:val="-6"/>
                              </w:rPr>
                            </w:pPr>
                            <w:r w:rsidRPr="00C24BAF">
                              <w:rPr>
                                <w:rFonts w:ascii="標楷體" w:eastAsia="標楷體" w:hAnsi="標楷體" w:hint="eastAsia"/>
                                <w:spacing w:val="-6"/>
                              </w:rPr>
                              <w:t>113.4.1至113.12.31</w:t>
                            </w:r>
                          </w:p>
                        </w:tc>
                        <w:tc>
                          <w:tcPr>
                            <w:tcW w:w="979" w:type="dxa"/>
                            <w:tcBorders>
                              <w:top w:val="single" w:sz="4" w:space="0" w:color="auto"/>
                              <w:left w:val="single" w:sz="4" w:space="0" w:color="auto"/>
                              <w:bottom w:val="single" w:sz="4" w:space="0" w:color="auto"/>
                              <w:right w:val="single" w:sz="4" w:space="0" w:color="auto"/>
                            </w:tcBorders>
                            <w:vAlign w:val="center"/>
                            <w:hideMark/>
                          </w:tcPr>
                          <w:p w14:paraId="4EC2847D" w14:textId="77777777" w:rsidR="0050059F" w:rsidRDefault="0050059F" w:rsidP="00824CD6">
                            <w:pPr>
                              <w:spacing w:line="240" w:lineRule="exact"/>
                              <w:jc w:val="right"/>
                              <w:rPr>
                                <w:rFonts w:ascii="標楷體" w:eastAsia="標楷體" w:hAnsi="標楷體"/>
                              </w:rPr>
                            </w:pPr>
                            <w:r>
                              <w:rPr>
                                <w:rFonts w:ascii="標楷體" w:eastAsia="標楷體" w:hAnsi="標楷體" w:hint="eastAsia"/>
                              </w:rPr>
                              <w:t>5,336</w:t>
                            </w:r>
                          </w:p>
                        </w:tc>
                      </w:tr>
                    </w:tbl>
                    <w:p w14:paraId="1778C448" w14:textId="77777777" w:rsidR="0050059F" w:rsidRDefault="0050059F" w:rsidP="0050059F">
                      <w:pPr>
                        <w:spacing w:beforeLines="10" w:before="36" w:line="240" w:lineRule="exact"/>
                        <w:ind w:leftChars="10" w:left="384" w:hangingChars="200" w:hanging="360"/>
                        <w:rPr>
                          <w:rFonts w:ascii="標楷體" w:eastAsia="標楷體" w:hAnsi="標楷體" w:cs="Times New Roman"/>
                          <w:sz w:val="18"/>
                          <w:szCs w:val="20"/>
                        </w:rPr>
                      </w:pPr>
                      <w:proofErr w:type="gramStart"/>
                      <w:r>
                        <w:rPr>
                          <w:rFonts w:ascii="標楷體" w:eastAsia="標楷體" w:hAnsi="標楷體" w:hint="eastAsia"/>
                          <w:sz w:val="18"/>
                          <w:szCs w:val="20"/>
                        </w:rPr>
                        <w:t>註</w:t>
                      </w:r>
                      <w:proofErr w:type="gramEnd"/>
                      <w:r>
                        <w:rPr>
                          <w:rFonts w:ascii="標楷體" w:eastAsia="標楷體" w:hAnsi="標楷體" w:hint="eastAsia"/>
                          <w:sz w:val="18"/>
                          <w:szCs w:val="20"/>
                        </w:rPr>
                        <w:t>：1.112年度契約金額含擴充後增加金額。</w:t>
                      </w:r>
                    </w:p>
                    <w:p w14:paraId="0F0EC0EC" w14:textId="77777777" w:rsidR="0050059F" w:rsidRPr="000958EA" w:rsidRDefault="0050059F" w:rsidP="0050059F">
                      <w:pPr>
                        <w:spacing w:line="240" w:lineRule="exact"/>
                        <w:ind w:leftChars="160" w:left="384"/>
                        <w:rPr>
                          <w:rFonts w:ascii="標楷體" w:eastAsia="標楷體" w:hAnsi="標楷體"/>
                          <w:sz w:val="18"/>
                          <w:szCs w:val="20"/>
                          <w:shd w:val="clear" w:color="auto" w:fill="FFFF00"/>
                        </w:rPr>
                      </w:pPr>
                      <w:r>
                        <w:rPr>
                          <w:rFonts w:ascii="標楷體" w:eastAsia="標楷體" w:hAnsi="標楷體" w:hint="eastAsia"/>
                          <w:sz w:val="18"/>
                          <w:szCs w:val="20"/>
                        </w:rPr>
                        <w:t>2.資料來源：整理自捷運工程局提供資料。</w:t>
                      </w:r>
                    </w:p>
                    <w:p w14:paraId="440BCB24" w14:textId="77777777" w:rsidR="0050059F" w:rsidRDefault="0050059F" w:rsidP="0050059F">
                      <w:pPr>
                        <w:jc w:val="right"/>
                        <w:rPr>
                          <w:rFonts w:ascii="標楷體" w:eastAsia="標楷體" w:hAnsi="標楷體"/>
                          <w:sz w:val="20"/>
                          <w:szCs w:val="20"/>
                        </w:rPr>
                      </w:pPr>
                    </w:p>
                  </w:txbxContent>
                </v:textbox>
                <w10:wrap type="square" anchorx="margin" anchory="page"/>
              </v:shape>
            </w:pict>
          </mc:Fallback>
        </mc:AlternateContent>
      </w:r>
      <w:r w:rsidRPr="00177770">
        <w:rPr>
          <w:rFonts w:ascii="標楷體" w:eastAsia="標楷體" w:hAnsi="標楷體" w:hint="eastAsia"/>
        </w:rPr>
        <w:t>情形，核有：1.113年度截至10月止「A項」承攬廠商估驗勞務服務價款計590萬餘元，</w:t>
      </w:r>
      <w:proofErr w:type="gramStart"/>
      <w:r w:rsidRPr="00177770">
        <w:rPr>
          <w:rFonts w:ascii="標楷體" w:eastAsia="標楷體" w:hAnsi="標楷體" w:hint="eastAsia"/>
        </w:rPr>
        <w:t>113</w:t>
      </w:r>
      <w:proofErr w:type="gramEnd"/>
      <w:r w:rsidRPr="00177770">
        <w:rPr>
          <w:rFonts w:ascii="標楷體" w:eastAsia="標楷體" w:hAnsi="標楷體" w:hint="eastAsia"/>
        </w:rPr>
        <w:t>年度截至9月止「B項」</w:t>
      </w:r>
      <w:proofErr w:type="gramStart"/>
      <w:r w:rsidRPr="00177770">
        <w:rPr>
          <w:rFonts w:ascii="標楷體" w:eastAsia="標楷體" w:hAnsi="標楷體" w:hint="eastAsia"/>
        </w:rPr>
        <w:t>承商估驗</w:t>
      </w:r>
      <w:proofErr w:type="gramEnd"/>
      <w:r w:rsidRPr="00177770">
        <w:rPr>
          <w:rFonts w:ascii="標楷體" w:eastAsia="標楷體" w:hAnsi="標楷體" w:hint="eastAsia"/>
        </w:rPr>
        <w:t>價款計276萬餘元，其中「A項」</w:t>
      </w:r>
      <w:proofErr w:type="gramStart"/>
      <w:r w:rsidRPr="00177770">
        <w:rPr>
          <w:rFonts w:ascii="標楷體" w:eastAsia="標楷體" w:hAnsi="標楷體" w:hint="eastAsia"/>
        </w:rPr>
        <w:t>113</w:t>
      </w:r>
      <w:proofErr w:type="gramEnd"/>
      <w:r w:rsidRPr="00177770">
        <w:rPr>
          <w:rFonts w:ascii="標楷體" w:eastAsia="標楷體" w:hAnsi="標楷體" w:hint="eastAsia"/>
        </w:rPr>
        <w:t>年度（1月至10月）之空車位巡檢照片共625張及「B項」</w:t>
      </w:r>
      <w:proofErr w:type="gramStart"/>
      <w:r w:rsidRPr="00177770">
        <w:rPr>
          <w:rFonts w:ascii="標楷體" w:eastAsia="標楷體" w:hAnsi="標楷體" w:hint="eastAsia"/>
        </w:rPr>
        <w:t>113</w:t>
      </w:r>
      <w:proofErr w:type="gramEnd"/>
      <w:r w:rsidRPr="00177770">
        <w:rPr>
          <w:rFonts w:ascii="標楷體" w:eastAsia="標楷體" w:hAnsi="標楷體" w:hint="eastAsia"/>
        </w:rPr>
        <w:t>年度（1至9月）</w:t>
      </w:r>
      <w:r w:rsidRPr="00177770">
        <w:rPr>
          <w:rFonts w:ascii="標楷體" w:eastAsia="標楷體" w:hAnsi="標楷體" w:cs="標楷體" w:hint="eastAsia"/>
          <w:bCs/>
          <w:szCs w:val="32"/>
        </w:rPr>
        <w:t>之空車位巡</w:t>
      </w:r>
      <w:r w:rsidRPr="00177770">
        <w:rPr>
          <w:rFonts w:ascii="標楷體" w:eastAsia="標楷體" w:hAnsi="標楷體" w:hint="eastAsia"/>
        </w:rPr>
        <w:t>檢照片共205張中，發</w:t>
      </w:r>
      <w:r w:rsidR="00DB69CF" w:rsidRPr="00177770">
        <w:rPr>
          <w:rFonts w:ascii="標楷體" w:eastAsia="標楷體" w:hAnsi="標楷體"/>
          <w:noProof/>
          <w:spacing w:val="-6"/>
          <w:sz w:val="32"/>
          <w:szCs w:val="32"/>
        </w:rPr>
        <mc:AlternateContent>
          <mc:Choice Requires="wps">
            <w:drawing>
              <wp:anchor distT="45720" distB="45720" distL="114300" distR="114300" simplePos="0" relativeHeight="251783168" behindDoc="0" locked="0" layoutInCell="1" allowOverlap="1" wp14:anchorId="05C3674D" wp14:editId="0914D919">
                <wp:simplePos x="0" y="0"/>
                <wp:positionH relativeFrom="margin">
                  <wp:posOffset>2227580</wp:posOffset>
                </wp:positionH>
                <wp:positionV relativeFrom="page">
                  <wp:posOffset>4324350</wp:posOffset>
                </wp:positionV>
                <wp:extent cx="4095750" cy="2641600"/>
                <wp:effectExtent l="0" t="0" r="0" b="6350"/>
                <wp:wrapSquare wrapText="bothSides"/>
                <wp:docPr id="99" name="文字方塊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0" cy="2641600"/>
                        </a:xfrm>
                        <a:prstGeom prst="rect">
                          <a:avLst/>
                        </a:prstGeom>
                        <a:solidFill>
                          <a:srgbClr val="FFFFFF"/>
                        </a:solidFill>
                        <a:ln w="9525">
                          <a:noFill/>
                          <a:miter lim="800000"/>
                          <a:headEnd/>
                          <a:tailEnd/>
                        </a:ln>
                      </wps:spPr>
                      <wps:txbx>
                        <w:txbxContent>
                          <w:p w14:paraId="3D932D21" w14:textId="77777777" w:rsidR="0050059F" w:rsidRPr="00D20E22" w:rsidRDefault="0050059F" w:rsidP="0050059F">
                            <w:pPr>
                              <w:spacing w:line="280" w:lineRule="exact"/>
                              <w:ind w:leftChars="-34" w:left="396" w:hangingChars="199" w:hanging="478"/>
                              <w:jc w:val="center"/>
                              <w:rPr>
                                <w:rFonts w:ascii="標楷體" w:eastAsia="標楷體" w:hAnsi="標楷體"/>
                                <w:b/>
                                <w:spacing w:val="-14"/>
                                <w:szCs w:val="24"/>
                              </w:rPr>
                            </w:pPr>
                            <w:r w:rsidRPr="00D20E22">
                              <w:rPr>
                                <w:rFonts w:ascii="標楷體" w:eastAsia="標楷體" w:hAnsi="標楷體" w:hint="eastAsia"/>
                                <w:b/>
                                <w:szCs w:val="24"/>
                              </w:rPr>
                              <w:t>表</w:t>
                            </w:r>
                            <w:r>
                              <w:rPr>
                                <w:rFonts w:ascii="標楷體" w:eastAsia="標楷體" w:hAnsi="標楷體"/>
                                <w:b/>
                                <w:szCs w:val="24"/>
                              </w:rPr>
                              <w:t xml:space="preserve">4 </w:t>
                            </w:r>
                            <w:r w:rsidRPr="00D20E22">
                              <w:rPr>
                                <w:rFonts w:ascii="標楷體" w:eastAsia="標楷體" w:hAnsi="標楷體" w:hint="eastAsia"/>
                                <w:b/>
                                <w:szCs w:val="24"/>
                              </w:rPr>
                              <w:t>廠商估</w:t>
                            </w:r>
                            <w:r w:rsidRPr="00D20E22">
                              <w:rPr>
                                <w:rFonts w:ascii="標楷體" w:eastAsia="標楷體" w:hAnsi="標楷體" w:hint="eastAsia"/>
                                <w:b/>
                                <w:spacing w:val="-14"/>
                                <w:szCs w:val="24"/>
                              </w:rPr>
                              <w:t>驗計價照片存有雷同或未</w:t>
                            </w:r>
                            <w:proofErr w:type="gramStart"/>
                            <w:r w:rsidRPr="00D20E22">
                              <w:rPr>
                                <w:rFonts w:ascii="標楷體" w:eastAsia="標楷體" w:hAnsi="標楷體" w:hint="eastAsia"/>
                                <w:b/>
                                <w:spacing w:val="-14"/>
                                <w:szCs w:val="24"/>
                              </w:rPr>
                              <w:t>檢附巡檢</w:t>
                            </w:r>
                            <w:proofErr w:type="gramEnd"/>
                            <w:r w:rsidRPr="00D20E22">
                              <w:rPr>
                                <w:rFonts w:ascii="標楷體" w:eastAsia="標楷體" w:hAnsi="標楷體" w:hint="eastAsia"/>
                                <w:b/>
                                <w:spacing w:val="-14"/>
                                <w:szCs w:val="24"/>
                              </w:rPr>
                              <w:t>紀錄</w:t>
                            </w:r>
                            <w:r>
                              <w:rPr>
                                <w:rFonts w:ascii="標楷體" w:eastAsia="標楷體" w:hAnsi="標楷體" w:hint="eastAsia"/>
                                <w:b/>
                                <w:spacing w:val="-14"/>
                                <w:szCs w:val="24"/>
                              </w:rPr>
                              <w:t>(</w:t>
                            </w:r>
                            <w:r w:rsidRPr="00D20E22">
                              <w:rPr>
                                <w:rFonts w:ascii="標楷體" w:eastAsia="標楷體" w:hAnsi="標楷體" w:hint="eastAsia"/>
                                <w:b/>
                                <w:spacing w:val="-14"/>
                                <w:szCs w:val="24"/>
                              </w:rPr>
                              <w:t>含照片</w:t>
                            </w:r>
                            <w:r w:rsidRPr="00D20E22">
                              <w:rPr>
                                <w:rFonts w:ascii="標楷體" w:eastAsia="標楷體" w:hAnsi="標楷體"/>
                                <w:b/>
                                <w:spacing w:val="-14"/>
                                <w:szCs w:val="24"/>
                              </w:rPr>
                              <w:t>)</w:t>
                            </w:r>
                            <w:r w:rsidRPr="00D20E22">
                              <w:rPr>
                                <w:rFonts w:ascii="標楷體" w:eastAsia="標楷體" w:hAnsi="標楷體" w:hint="eastAsia"/>
                                <w:b/>
                                <w:spacing w:val="-14"/>
                                <w:szCs w:val="24"/>
                              </w:rPr>
                              <w:t>情形</w:t>
                            </w:r>
                          </w:p>
                          <w:p w14:paraId="5237213B" w14:textId="77777777" w:rsidR="0050059F" w:rsidRPr="00D20E22" w:rsidRDefault="0050059F" w:rsidP="0050059F">
                            <w:pPr>
                              <w:spacing w:afterLines="10" w:after="36" w:line="280" w:lineRule="exact"/>
                              <w:ind w:rightChars="-50" w:right="-120"/>
                              <w:jc w:val="right"/>
                              <w:rPr>
                                <w:rFonts w:ascii="標楷體" w:eastAsia="標楷體" w:hAnsi="標楷體"/>
                                <w:sz w:val="20"/>
                                <w:szCs w:val="24"/>
                              </w:rPr>
                            </w:pPr>
                            <w:r w:rsidRPr="00D20E22">
                              <w:rPr>
                                <w:rFonts w:ascii="標楷體" w:eastAsia="標楷體" w:hAnsi="標楷體" w:hint="eastAsia"/>
                                <w:sz w:val="20"/>
                                <w:szCs w:val="24"/>
                              </w:rPr>
                              <w:t>單位</w:t>
                            </w:r>
                            <w:r>
                              <w:rPr>
                                <w:rFonts w:ascii="標楷體" w:eastAsia="標楷體" w:hAnsi="標楷體" w:hint="eastAsia"/>
                                <w:sz w:val="20"/>
                                <w:szCs w:val="24"/>
                              </w:rPr>
                              <w:t>：</w:t>
                            </w:r>
                            <w:r w:rsidRPr="000958EA">
                              <w:rPr>
                                <w:rFonts w:ascii="標楷體" w:eastAsia="標楷體" w:hAnsi="標楷體" w:hint="eastAsia"/>
                                <w:sz w:val="20"/>
                                <w:szCs w:val="20"/>
                              </w:rPr>
                              <w:t>新臺幣</w:t>
                            </w:r>
                            <w:r w:rsidRPr="00D20E22">
                              <w:rPr>
                                <w:rFonts w:ascii="標楷體" w:eastAsia="標楷體" w:hAnsi="標楷體" w:hint="eastAsia"/>
                                <w:sz w:val="20"/>
                                <w:szCs w:val="24"/>
                              </w:rPr>
                              <w:t>千元</w:t>
                            </w:r>
                            <w:r>
                              <w:rPr>
                                <w:rFonts w:ascii="標楷體" w:eastAsia="標楷體" w:hAnsi="標楷體" w:hint="eastAsia"/>
                                <w:sz w:val="20"/>
                                <w:szCs w:val="24"/>
                              </w:rPr>
                              <w:t>、張</w:t>
                            </w:r>
                          </w:p>
                          <w:tbl>
                            <w:tblPr>
                              <w:tblStyle w:val="a6"/>
                              <w:tblW w:w="6391" w:type="dxa"/>
                              <w:jc w:val="center"/>
                              <w:tblLook w:val="04A0" w:firstRow="1" w:lastRow="0" w:firstColumn="1" w:lastColumn="0" w:noHBand="0" w:noVBand="1"/>
                            </w:tblPr>
                            <w:tblGrid>
                              <w:gridCol w:w="457"/>
                              <w:gridCol w:w="2380"/>
                              <w:gridCol w:w="1003"/>
                              <w:gridCol w:w="782"/>
                              <w:gridCol w:w="762"/>
                              <w:gridCol w:w="1007"/>
                            </w:tblGrid>
                            <w:tr w:rsidR="0050059F" w:rsidRPr="00A9085E" w14:paraId="1214B776" w14:textId="77777777" w:rsidTr="00824CD6">
                              <w:trPr>
                                <w:trHeight w:val="284"/>
                                <w:jc w:val="center"/>
                              </w:trPr>
                              <w:tc>
                                <w:tcPr>
                                  <w:tcW w:w="466" w:type="dxa"/>
                                  <w:vMerge w:val="restart"/>
                                  <w:shd w:val="clear" w:color="auto" w:fill="auto"/>
                                  <w:vAlign w:val="center"/>
                                </w:tcPr>
                                <w:p w14:paraId="2802B0E6"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合約</w:t>
                                  </w:r>
                                </w:p>
                              </w:tc>
                              <w:tc>
                                <w:tcPr>
                                  <w:tcW w:w="2835" w:type="dxa"/>
                                  <w:vMerge w:val="restart"/>
                                  <w:shd w:val="clear" w:color="auto" w:fill="auto"/>
                                  <w:vAlign w:val="center"/>
                                </w:tcPr>
                                <w:p w14:paraId="0A492094" w14:textId="77777777" w:rsidR="0050059F" w:rsidRPr="00361BA5" w:rsidRDefault="0050059F" w:rsidP="00824CD6">
                                  <w:pPr>
                                    <w:spacing w:line="220" w:lineRule="exact"/>
                                    <w:jc w:val="center"/>
                                    <w:rPr>
                                      <w:rFonts w:ascii="標楷體" w:eastAsia="標楷體" w:hAnsi="標楷體"/>
                                    </w:rPr>
                                  </w:pPr>
                                  <w:r w:rsidRPr="00361BA5">
                                    <w:rPr>
                                      <w:rFonts w:ascii="標楷體" w:eastAsia="標楷體" w:hAnsi="標楷體" w:hint="eastAsia"/>
                                    </w:rPr>
                                    <w:t>抽核</w:t>
                                  </w:r>
                                  <w:proofErr w:type="gramStart"/>
                                  <w:r w:rsidRPr="00361BA5">
                                    <w:rPr>
                                      <w:rFonts w:ascii="標楷體" w:eastAsia="標楷體" w:hAnsi="標楷體" w:hint="eastAsia"/>
                                    </w:rPr>
                                    <w:t>1</w:t>
                                  </w:r>
                                  <w:r w:rsidRPr="00361BA5">
                                    <w:rPr>
                                      <w:rFonts w:ascii="標楷體" w:eastAsia="標楷體" w:hAnsi="標楷體"/>
                                    </w:rPr>
                                    <w:t>13</w:t>
                                  </w:r>
                                  <w:proofErr w:type="gramEnd"/>
                                  <w:r w:rsidRPr="00361BA5">
                                    <w:rPr>
                                      <w:rFonts w:ascii="標楷體" w:eastAsia="標楷體" w:hAnsi="標楷體" w:hint="eastAsia"/>
                                    </w:rPr>
                                    <w:t>年度</w:t>
                                  </w:r>
                                </w:p>
                                <w:p w14:paraId="32738A02" w14:textId="77777777" w:rsidR="0050059F" w:rsidRPr="00361BA5" w:rsidRDefault="0050059F" w:rsidP="00824CD6">
                                  <w:pPr>
                                    <w:spacing w:line="220" w:lineRule="exact"/>
                                    <w:jc w:val="center"/>
                                    <w:rPr>
                                      <w:rFonts w:ascii="標楷體" w:eastAsia="標楷體" w:hAnsi="標楷體"/>
                                    </w:rPr>
                                  </w:pPr>
                                  <w:r w:rsidRPr="00361BA5">
                                    <w:rPr>
                                      <w:rFonts w:ascii="標楷體" w:eastAsia="標楷體" w:hAnsi="標楷體" w:hint="eastAsia"/>
                                    </w:rPr>
                                    <w:t>估驗期間</w:t>
                                  </w:r>
                                </w:p>
                              </w:tc>
                              <w:tc>
                                <w:tcPr>
                                  <w:tcW w:w="1077" w:type="dxa"/>
                                  <w:vMerge w:val="restart"/>
                                  <w:shd w:val="clear" w:color="auto" w:fill="auto"/>
                                  <w:vAlign w:val="center"/>
                                </w:tcPr>
                                <w:p w14:paraId="15824A11" w14:textId="77777777" w:rsidR="0050059F" w:rsidRPr="00361BA5" w:rsidRDefault="0050059F" w:rsidP="00824CD6">
                                  <w:pPr>
                                    <w:spacing w:line="220" w:lineRule="exact"/>
                                    <w:jc w:val="center"/>
                                    <w:rPr>
                                      <w:rFonts w:ascii="標楷體" w:eastAsia="標楷體" w:hAnsi="標楷體"/>
                                      <w:spacing w:val="-4"/>
                                    </w:rPr>
                                  </w:pPr>
                                  <w:r w:rsidRPr="00361BA5">
                                    <w:rPr>
                                      <w:rFonts w:ascii="標楷體" w:eastAsia="標楷體" w:hAnsi="標楷體" w:hint="eastAsia"/>
                                      <w:spacing w:val="-4"/>
                                    </w:rPr>
                                    <w:t>估驗金額</w:t>
                                  </w:r>
                                </w:p>
                                <w:p w14:paraId="426031C3"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w:t>
                                  </w:r>
                                  <w:proofErr w:type="gramStart"/>
                                  <w:r w:rsidRPr="00030362">
                                    <w:rPr>
                                      <w:rFonts w:ascii="標楷體" w:eastAsia="標楷體" w:hAnsi="標楷體" w:hint="eastAsia"/>
                                    </w:rPr>
                                    <w:t>註</w:t>
                                  </w:r>
                                  <w:proofErr w:type="gramEnd"/>
                                  <w:r w:rsidRPr="00030362">
                                    <w:rPr>
                                      <w:rFonts w:ascii="標楷體" w:eastAsia="標楷體" w:hAnsi="標楷體" w:hint="eastAsia"/>
                                    </w:rPr>
                                    <w:t>1)</w:t>
                                  </w:r>
                                </w:p>
                              </w:tc>
                              <w:tc>
                                <w:tcPr>
                                  <w:tcW w:w="851" w:type="dxa"/>
                                  <w:gridSpan w:val="2"/>
                                  <w:shd w:val="clear" w:color="auto" w:fill="auto"/>
                                  <w:vAlign w:val="center"/>
                                </w:tcPr>
                                <w:p w14:paraId="7F61D988" w14:textId="77777777" w:rsidR="0050059F" w:rsidRPr="00030362" w:rsidRDefault="0050059F" w:rsidP="00824CD6">
                                  <w:pPr>
                                    <w:spacing w:line="220" w:lineRule="exact"/>
                                    <w:jc w:val="center"/>
                                    <w:rPr>
                                      <w:rFonts w:ascii="標楷體" w:eastAsia="標楷體" w:hAnsi="標楷體"/>
                                    </w:rPr>
                                  </w:pPr>
                                  <w:proofErr w:type="gramStart"/>
                                  <w:r w:rsidRPr="00030362">
                                    <w:rPr>
                                      <w:rFonts w:ascii="標楷體" w:eastAsia="標楷體" w:hAnsi="標楷體" w:hint="eastAsia"/>
                                    </w:rPr>
                                    <w:t>1</w:t>
                                  </w:r>
                                  <w:r w:rsidRPr="00030362">
                                    <w:rPr>
                                      <w:rFonts w:ascii="標楷體" w:eastAsia="標楷體" w:hAnsi="標楷體"/>
                                    </w:rPr>
                                    <w:t>13</w:t>
                                  </w:r>
                                  <w:proofErr w:type="gramEnd"/>
                                  <w:r w:rsidRPr="00030362">
                                    <w:rPr>
                                      <w:rFonts w:ascii="標楷體" w:eastAsia="標楷體" w:hAnsi="標楷體" w:hint="eastAsia"/>
                                    </w:rPr>
                                    <w:t>年度</w:t>
                                  </w:r>
                                </w:p>
                              </w:tc>
                              <w:tc>
                                <w:tcPr>
                                  <w:tcW w:w="1134" w:type="dxa"/>
                                  <w:shd w:val="clear" w:color="auto" w:fill="auto"/>
                                  <w:vAlign w:val="center"/>
                                </w:tcPr>
                                <w:p w14:paraId="67E3327C" w14:textId="77777777" w:rsidR="0050059F" w:rsidRPr="00030362" w:rsidRDefault="0050059F" w:rsidP="00824CD6">
                                  <w:pPr>
                                    <w:spacing w:line="220" w:lineRule="exact"/>
                                    <w:jc w:val="center"/>
                                    <w:rPr>
                                      <w:rFonts w:ascii="標楷體" w:eastAsia="標楷體" w:hAnsi="標楷體"/>
                                    </w:rPr>
                                  </w:pPr>
                                  <w:proofErr w:type="gramStart"/>
                                  <w:r w:rsidRPr="00030362">
                                    <w:rPr>
                                      <w:rFonts w:ascii="標楷體" w:eastAsia="標楷體" w:hAnsi="標楷體" w:hint="eastAsia"/>
                                    </w:rPr>
                                    <w:t>1</w:t>
                                  </w:r>
                                  <w:r w:rsidRPr="00030362">
                                    <w:rPr>
                                      <w:rFonts w:ascii="標楷體" w:eastAsia="標楷體" w:hAnsi="標楷體"/>
                                    </w:rPr>
                                    <w:t>12</w:t>
                                  </w:r>
                                  <w:proofErr w:type="gramEnd"/>
                                  <w:r w:rsidRPr="00030362">
                                    <w:rPr>
                                      <w:rFonts w:ascii="標楷體" w:eastAsia="標楷體" w:hAnsi="標楷體" w:hint="eastAsia"/>
                                    </w:rPr>
                                    <w:t>年度</w:t>
                                  </w:r>
                                </w:p>
                              </w:tc>
                            </w:tr>
                            <w:tr w:rsidR="0050059F" w:rsidRPr="00A9085E" w14:paraId="2A42A57C" w14:textId="77777777" w:rsidTr="00824CD6">
                              <w:trPr>
                                <w:trHeight w:val="284"/>
                                <w:jc w:val="center"/>
                              </w:trPr>
                              <w:tc>
                                <w:tcPr>
                                  <w:tcW w:w="466" w:type="dxa"/>
                                  <w:vMerge/>
                                  <w:shd w:val="clear" w:color="auto" w:fill="auto"/>
                                  <w:vAlign w:val="center"/>
                                </w:tcPr>
                                <w:p w14:paraId="3FCED95F" w14:textId="77777777" w:rsidR="0050059F" w:rsidRPr="00030362" w:rsidRDefault="0050059F" w:rsidP="00824CD6">
                                  <w:pPr>
                                    <w:spacing w:line="220" w:lineRule="exact"/>
                                    <w:jc w:val="center"/>
                                    <w:rPr>
                                      <w:rFonts w:ascii="標楷體" w:eastAsia="標楷體" w:hAnsi="標楷體"/>
                                    </w:rPr>
                                  </w:pPr>
                                </w:p>
                              </w:tc>
                              <w:tc>
                                <w:tcPr>
                                  <w:tcW w:w="2835" w:type="dxa"/>
                                  <w:vMerge/>
                                  <w:shd w:val="clear" w:color="auto" w:fill="auto"/>
                                  <w:vAlign w:val="center"/>
                                </w:tcPr>
                                <w:p w14:paraId="7D75F17E" w14:textId="77777777" w:rsidR="0050059F" w:rsidRPr="00361BA5" w:rsidRDefault="0050059F" w:rsidP="00824CD6">
                                  <w:pPr>
                                    <w:spacing w:line="220" w:lineRule="exact"/>
                                    <w:jc w:val="both"/>
                                    <w:rPr>
                                      <w:rFonts w:ascii="標楷體" w:eastAsia="標楷體" w:hAnsi="標楷體"/>
                                    </w:rPr>
                                  </w:pPr>
                                </w:p>
                              </w:tc>
                              <w:tc>
                                <w:tcPr>
                                  <w:tcW w:w="1077" w:type="dxa"/>
                                  <w:vMerge/>
                                  <w:shd w:val="clear" w:color="auto" w:fill="auto"/>
                                  <w:vAlign w:val="center"/>
                                </w:tcPr>
                                <w:p w14:paraId="30BE62C4" w14:textId="77777777" w:rsidR="0050059F" w:rsidRPr="00030362" w:rsidRDefault="0050059F" w:rsidP="00824CD6">
                                  <w:pPr>
                                    <w:spacing w:line="220" w:lineRule="exact"/>
                                    <w:jc w:val="center"/>
                                    <w:rPr>
                                      <w:rFonts w:ascii="標楷體" w:eastAsia="標楷體" w:hAnsi="標楷體"/>
                                    </w:rPr>
                                  </w:pPr>
                                </w:p>
                              </w:tc>
                              <w:tc>
                                <w:tcPr>
                                  <w:tcW w:w="851" w:type="dxa"/>
                                  <w:shd w:val="clear" w:color="auto" w:fill="auto"/>
                                  <w:vAlign w:val="center"/>
                                </w:tcPr>
                                <w:p w14:paraId="12DFB393"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照片</w:t>
                                  </w:r>
                                </w:p>
                                <w:p w14:paraId="2AF8D4FD"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張數</w:t>
                                  </w:r>
                                </w:p>
                              </w:tc>
                              <w:tc>
                                <w:tcPr>
                                  <w:tcW w:w="851" w:type="dxa"/>
                                  <w:tcBorders>
                                    <w:bottom w:val="single" w:sz="4" w:space="0" w:color="auto"/>
                                  </w:tcBorders>
                                  <w:shd w:val="clear" w:color="auto" w:fill="auto"/>
                                </w:tcPr>
                                <w:p w14:paraId="270FA56F"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雷同</w:t>
                                  </w:r>
                                </w:p>
                                <w:p w14:paraId="1E4A5DA8"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張數</w:t>
                                  </w:r>
                                </w:p>
                              </w:tc>
                              <w:tc>
                                <w:tcPr>
                                  <w:tcW w:w="1134" w:type="dxa"/>
                                  <w:shd w:val="clear" w:color="auto" w:fill="auto"/>
                                  <w:vAlign w:val="center"/>
                                </w:tcPr>
                                <w:p w14:paraId="25F7B0B4" w14:textId="77777777" w:rsidR="0050059F" w:rsidRPr="00030362" w:rsidRDefault="0050059F" w:rsidP="00824CD6">
                                  <w:pPr>
                                    <w:spacing w:line="220" w:lineRule="exact"/>
                                    <w:ind w:leftChars="-25" w:left="-60" w:rightChars="-25" w:right="-60"/>
                                    <w:jc w:val="center"/>
                                    <w:rPr>
                                      <w:rFonts w:ascii="標楷體" w:eastAsia="標楷體" w:hAnsi="標楷體"/>
                                    </w:rPr>
                                  </w:pPr>
                                  <w:r w:rsidRPr="00030362">
                                    <w:rPr>
                                      <w:rFonts w:ascii="標楷體" w:eastAsia="標楷體" w:hAnsi="標楷體" w:hint="eastAsia"/>
                                    </w:rPr>
                                    <w:t>對應雷同張數</w:t>
                                  </w:r>
                                </w:p>
                              </w:tc>
                            </w:tr>
                            <w:tr w:rsidR="0050059F" w:rsidRPr="007F5795" w14:paraId="1D710BB1" w14:textId="77777777" w:rsidTr="00824CD6">
                              <w:trPr>
                                <w:trHeight w:val="284"/>
                                <w:jc w:val="center"/>
                              </w:trPr>
                              <w:tc>
                                <w:tcPr>
                                  <w:tcW w:w="466" w:type="dxa"/>
                                  <w:vMerge w:val="restart"/>
                                  <w:vAlign w:val="center"/>
                                </w:tcPr>
                                <w:p w14:paraId="59D35372" w14:textId="77777777" w:rsidR="0050059F" w:rsidRPr="000B20C3" w:rsidRDefault="0050059F" w:rsidP="00824CD6">
                                  <w:pPr>
                                    <w:spacing w:line="240" w:lineRule="exact"/>
                                    <w:jc w:val="center"/>
                                    <w:rPr>
                                      <w:rFonts w:ascii="標楷體" w:eastAsia="標楷體" w:hAnsi="標楷體"/>
                                    </w:rPr>
                                  </w:pPr>
                                  <w:r w:rsidRPr="000B20C3">
                                    <w:rPr>
                                      <w:rFonts w:ascii="標楷體" w:eastAsia="標楷體" w:hAnsi="標楷體" w:hint="eastAsia"/>
                                    </w:rPr>
                                    <w:t>A</w:t>
                                  </w:r>
                                  <w:r w:rsidRPr="000B20C3">
                                    <w:rPr>
                                      <w:rFonts w:ascii="標楷體" w:eastAsia="標楷體" w:hAnsi="標楷體"/>
                                    </w:rPr>
                                    <w:t>項</w:t>
                                  </w:r>
                                </w:p>
                              </w:tc>
                              <w:tc>
                                <w:tcPr>
                                  <w:tcW w:w="2835" w:type="dxa"/>
                                  <w:vMerge w:val="restart"/>
                                  <w:vAlign w:val="center"/>
                                </w:tcPr>
                                <w:p w14:paraId="1B352E9B" w14:textId="77777777" w:rsidR="0050059F" w:rsidRPr="00361BA5" w:rsidRDefault="0050059F" w:rsidP="00824CD6">
                                  <w:pPr>
                                    <w:spacing w:line="240" w:lineRule="exact"/>
                                    <w:jc w:val="both"/>
                                    <w:rPr>
                                      <w:rFonts w:ascii="標楷體" w:eastAsia="標楷體" w:hAnsi="標楷體"/>
                                    </w:rPr>
                                  </w:pPr>
                                  <w:r w:rsidRPr="00361BA5">
                                    <w:rPr>
                                      <w:rFonts w:ascii="標楷體" w:eastAsia="標楷體" w:hAnsi="標楷體" w:hint="eastAsia"/>
                                    </w:rPr>
                                    <w:t>1</w:t>
                                  </w:r>
                                  <w:r w:rsidRPr="00361BA5">
                                    <w:rPr>
                                      <w:rFonts w:ascii="標楷體" w:eastAsia="標楷體" w:hAnsi="標楷體"/>
                                    </w:rPr>
                                    <w:t>13</w:t>
                                  </w:r>
                                  <w:r w:rsidRPr="00361BA5">
                                    <w:rPr>
                                      <w:rFonts w:ascii="標楷體" w:eastAsia="標楷體" w:hAnsi="標楷體" w:hint="eastAsia"/>
                                    </w:rPr>
                                    <w:t>年</w:t>
                                  </w:r>
                                  <w:r>
                                    <w:rPr>
                                      <w:rFonts w:ascii="標楷體" w:eastAsia="標楷體" w:hAnsi="標楷體" w:hint="eastAsia"/>
                                    </w:rPr>
                                    <w:t>1</w:t>
                                  </w:r>
                                  <w:r w:rsidRPr="00361BA5">
                                    <w:rPr>
                                      <w:rFonts w:ascii="標楷體" w:eastAsia="標楷體" w:hAnsi="標楷體" w:hint="eastAsia"/>
                                    </w:rPr>
                                    <w:t>至1</w:t>
                                  </w:r>
                                  <w:r w:rsidRPr="00361BA5">
                                    <w:rPr>
                                      <w:rFonts w:ascii="標楷體" w:eastAsia="標楷體" w:hAnsi="標楷體"/>
                                    </w:rPr>
                                    <w:t>0</w:t>
                                  </w:r>
                                  <w:r w:rsidRPr="00361BA5">
                                    <w:rPr>
                                      <w:rFonts w:ascii="標楷體" w:eastAsia="標楷體" w:hAnsi="標楷體" w:hint="eastAsia"/>
                                    </w:rPr>
                                    <w:t>月</w:t>
                                  </w:r>
                                </w:p>
                              </w:tc>
                              <w:tc>
                                <w:tcPr>
                                  <w:tcW w:w="1077" w:type="dxa"/>
                                  <w:vMerge w:val="restart"/>
                                  <w:vAlign w:val="center"/>
                                </w:tcPr>
                                <w:p w14:paraId="6249C341" w14:textId="77777777" w:rsidR="0050059F" w:rsidRPr="000B20C3" w:rsidRDefault="0050059F" w:rsidP="00824CD6">
                                  <w:pPr>
                                    <w:spacing w:line="240" w:lineRule="exact"/>
                                    <w:jc w:val="right"/>
                                    <w:rPr>
                                      <w:rFonts w:ascii="標楷體" w:eastAsia="標楷體" w:hAnsi="標楷體"/>
                                    </w:rPr>
                                  </w:pPr>
                                  <w:r w:rsidRPr="000B20C3">
                                    <w:rPr>
                                      <w:rFonts w:ascii="標楷體" w:eastAsia="標楷體" w:hAnsi="標楷體"/>
                                    </w:rPr>
                                    <w:t>5,902</w:t>
                                  </w:r>
                                </w:p>
                              </w:tc>
                              <w:tc>
                                <w:tcPr>
                                  <w:tcW w:w="851" w:type="dxa"/>
                                  <w:vMerge w:val="restart"/>
                                  <w:vAlign w:val="center"/>
                                </w:tcPr>
                                <w:p w14:paraId="42D47160" w14:textId="77777777" w:rsidR="0050059F" w:rsidRPr="000B20C3" w:rsidRDefault="0050059F" w:rsidP="00824CD6">
                                  <w:pPr>
                                    <w:spacing w:line="240" w:lineRule="exact"/>
                                    <w:jc w:val="right"/>
                                    <w:rPr>
                                      <w:rFonts w:ascii="標楷體" w:eastAsia="標楷體" w:hAnsi="標楷體"/>
                                    </w:rPr>
                                  </w:pPr>
                                  <w:r w:rsidRPr="000B20C3">
                                    <w:rPr>
                                      <w:rFonts w:ascii="標楷體" w:eastAsia="標楷體" w:hAnsi="標楷體"/>
                                    </w:rPr>
                                    <w:t>625</w:t>
                                  </w:r>
                                </w:p>
                              </w:tc>
                              <w:tc>
                                <w:tcPr>
                                  <w:tcW w:w="851" w:type="dxa"/>
                                  <w:gridSpan w:val="2"/>
                                  <w:tcBorders>
                                    <w:bottom w:val="single" w:sz="4" w:space="0" w:color="auto"/>
                                  </w:tcBorders>
                                  <w:vAlign w:val="center"/>
                                </w:tcPr>
                                <w:p w14:paraId="6B0E44C4" w14:textId="77777777" w:rsidR="0050059F" w:rsidRPr="00C73569" w:rsidRDefault="0050059F" w:rsidP="00824CD6">
                                  <w:pPr>
                                    <w:spacing w:line="240" w:lineRule="exact"/>
                                    <w:jc w:val="center"/>
                                    <w:rPr>
                                      <w:rFonts w:ascii="標楷體" w:eastAsia="標楷體" w:hAnsi="標楷體"/>
                                      <w:b/>
                                      <w:bCs/>
                                    </w:rPr>
                                  </w:pPr>
                                  <w:r w:rsidRPr="00C73569">
                                    <w:rPr>
                                      <w:rFonts w:ascii="標楷體" w:eastAsia="標楷體" w:hAnsi="標楷體" w:hint="eastAsia"/>
                                      <w:b/>
                                      <w:bCs/>
                                    </w:rPr>
                                    <w:t>小計</w:t>
                                  </w:r>
                                  <w:r w:rsidRPr="00C73569">
                                    <w:rPr>
                                      <w:rFonts w:ascii="標楷體" w:eastAsia="標楷體" w:hAnsi="標楷體"/>
                                      <w:b/>
                                      <w:bCs/>
                                    </w:rPr>
                                    <w:t>119</w:t>
                                  </w:r>
                                </w:p>
                              </w:tc>
                            </w:tr>
                            <w:tr w:rsidR="0050059F" w:rsidRPr="007F5795" w14:paraId="51E549DB" w14:textId="77777777" w:rsidTr="00824CD6">
                              <w:trPr>
                                <w:trHeight w:val="284"/>
                                <w:jc w:val="center"/>
                              </w:trPr>
                              <w:tc>
                                <w:tcPr>
                                  <w:tcW w:w="466" w:type="dxa"/>
                                  <w:vMerge/>
                                  <w:tcBorders>
                                    <w:bottom w:val="double" w:sz="4" w:space="0" w:color="auto"/>
                                  </w:tcBorders>
                                  <w:vAlign w:val="center"/>
                                </w:tcPr>
                                <w:p w14:paraId="14DA3BC7" w14:textId="77777777" w:rsidR="0050059F" w:rsidRPr="000B20C3" w:rsidRDefault="0050059F" w:rsidP="00824CD6">
                                  <w:pPr>
                                    <w:spacing w:line="240" w:lineRule="exact"/>
                                    <w:jc w:val="center"/>
                                    <w:rPr>
                                      <w:rFonts w:ascii="標楷體" w:eastAsia="標楷體" w:hAnsi="標楷體"/>
                                    </w:rPr>
                                  </w:pPr>
                                </w:p>
                              </w:tc>
                              <w:tc>
                                <w:tcPr>
                                  <w:tcW w:w="2835" w:type="dxa"/>
                                  <w:vMerge/>
                                  <w:tcBorders>
                                    <w:bottom w:val="double" w:sz="4" w:space="0" w:color="auto"/>
                                  </w:tcBorders>
                                  <w:vAlign w:val="center"/>
                                </w:tcPr>
                                <w:p w14:paraId="1333F6CB" w14:textId="77777777" w:rsidR="0050059F" w:rsidRPr="00361BA5" w:rsidRDefault="0050059F" w:rsidP="00824CD6">
                                  <w:pPr>
                                    <w:spacing w:line="240" w:lineRule="exact"/>
                                    <w:jc w:val="both"/>
                                    <w:rPr>
                                      <w:rFonts w:ascii="標楷體" w:eastAsia="標楷體" w:hAnsi="標楷體"/>
                                    </w:rPr>
                                  </w:pPr>
                                </w:p>
                              </w:tc>
                              <w:tc>
                                <w:tcPr>
                                  <w:tcW w:w="1077" w:type="dxa"/>
                                  <w:vMerge/>
                                  <w:tcBorders>
                                    <w:bottom w:val="double" w:sz="4" w:space="0" w:color="auto"/>
                                  </w:tcBorders>
                                  <w:vAlign w:val="center"/>
                                </w:tcPr>
                                <w:p w14:paraId="4B8F97BF" w14:textId="77777777" w:rsidR="0050059F" w:rsidRPr="000B20C3" w:rsidRDefault="0050059F" w:rsidP="00824CD6">
                                  <w:pPr>
                                    <w:spacing w:line="240" w:lineRule="exact"/>
                                    <w:jc w:val="right"/>
                                    <w:rPr>
                                      <w:rFonts w:ascii="標楷體" w:eastAsia="標楷體" w:hAnsi="標楷體"/>
                                    </w:rPr>
                                  </w:pPr>
                                </w:p>
                              </w:tc>
                              <w:tc>
                                <w:tcPr>
                                  <w:tcW w:w="851" w:type="dxa"/>
                                  <w:vMerge/>
                                  <w:tcBorders>
                                    <w:bottom w:val="double" w:sz="4" w:space="0" w:color="auto"/>
                                  </w:tcBorders>
                                  <w:vAlign w:val="center"/>
                                </w:tcPr>
                                <w:p w14:paraId="5EBD5799" w14:textId="77777777" w:rsidR="0050059F" w:rsidRPr="000B20C3" w:rsidRDefault="0050059F" w:rsidP="00824CD6">
                                  <w:pPr>
                                    <w:spacing w:line="240" w:lineRule="exact"/>
                                    <w:jc w:val="right"/>
                                    <w:rPr>
                                      <w:rFonts w:ascii="標楷體" w:eastAsia="標楷體" w:hAnsi="標楷體"/>
                                    </w:rPr>
                                  </w:pPr>
                                </w:p>
                              </w:tc>
                              <w:tc>
                                <w:tcPr>
                                  <w:tcW w:w="851" w:type="dxa"/>
                                  <w:tcBorders>
                                    <w:top w:val="single" w:sz="4" w:space="0" w:color="auto"/>
                                    <w:bottom w:val="double" w:sz="4" w:space="0" w:color="auto"/>
                                  </w:tcBorders>
                                  <w:vAlign w:val="center"/>
                                </w:tcPr>
                                <w:p w14:paraId="20D660ED" w14:textId="77777777" w:rsidR="0050059F" w:rsidRPr="0089608D" w:rsidRDefault="0050059F" w:rsidP="00824CD6">
                                  <w:pPr>
                                    <w:spacing w:line="240" w:lineRule="exact"/>
                                    <w:jc w:val="right"/>
                                    <w:rPr>
                                      <w:rFonts w:ascii="標楷體" w:eastAsia="標楷體" w:hAnsi="標楷體"/>
                                    </w:rPr>
                                  </w:pPr>
                                  <w:r w:rsidRPr="0089608D">
                                    <w:rPr>
                                      <w:rFonts w:ascii="標楷體" w:eastAsia="標楷體" w:hAnsi="標楷體"/>
                                    </w:rPr>
                                    <w:t>78</w:t>
                                  </w:r>
                                </w:p>
                              </w:tc>
                              <w:tc>
                                <w:tcPr>
                                  <w:tcW w:w="1134" w:type="dxa"/>
                                  <w:tcBorders>
                                    <w:bottom w:val="double" w:sz="4" w:space="0" w:color="auto"/>
                                  </w:tcBorders>
                                  <w:vAlign w:val="center"/>
                                </w:tcPr>
                                <w:p w14:paraId="5B511D7E" w14:textId="77777777" w:rsidR="0050059F" w:rsidRPr="0089608D" w:rsidRDefault="0050059F" w:rsidP="00824CD6">
                                  <w:pPr>
                                    <w:spacing w:line="240" w:lineRule="exact"/>
                                    <w:jc w:val="right"/>
                                    <w:rPr>
                                      <w:rFonts w:ascii="標楷體" w:eastAsia="標楷體" w:hAnsi="標楷體"/>
                                    </w:rPr>
                                  </w:pPr>
                                  <w:r w:rsidRPr="0089608D">
                                    <w:rPr>
                                      <w:rFonts w:ascii="標楷體" w:eastAsia="標楷體" w:hAnsi="標楷體"/>
                                    </w:rPr>
                                    <w:t>41</w:t>
                                  </w:r>
                                </w:p>
                              </w:tc>
                            </w:tr>
                            <w:tr w:rsidR="0050059F" w:rsidRPr="007F5795" w14:paraId="4BB489E7" w14:textId="77777777" w:rsidTr="00824CD6">
                              <w:trPr>
                                <w:trHeight w:val="284"/>
                                <w:jc w:val="center"/>
                              </w:trPr>
                              <w:tc>
                                <w:tcPr>
                                  <w:tcW w:w="466" w:type="dxa"/>
                                  <w:vMerge w:val="restart"/>
                                  <w:tcBorders>
                                    <w:top w:val="double" w:sz="4" w:space="0" w:color="auto"/>
                                  </w:tcBorders>
                                  <w:vAlign w:val="center"/>
                                </w:tcPr>
                                <w:p w14:paraId="644F43A7" w14:textId="77777777" w:rsidR="0050059F" w:rsidRPr="000B20C3" w:rsidRDefault="0050059F" w:rsidP="00824CD6">
                                  <w:pPr>
                                    <w:spacing w:line="240" w:lineRule="exact"/>
                                    <w:jc w:val="center"/>
                                    <w:rPr>
                                      <w:rFonts w:ascii="標楷體" w:eastAsia="標楷體" w:hAnsi="標楷體"/>
                                    </w:rPr>
                                  </w:pPr>
                                  <w:r w:rsidRPr="000B20C3">
                                    <w:rPr>
                                      <w:rFonts w:ascii="標楷體" w:eastAsia="標楷體" w:hAnsi="標楷體" w:hint="eastAsia"/>
                                    </w:rPr>
                                    <w:t>B</w:t>
                                  </w:r>
                                  <w:r w:rsidRPr="000B20C3">
                                    <w:rPr>
                                      <w:rFonts w:ascii="標楷體" w:eastAsia="標楷體" w:hAnsi="標楷體"/>
                                    </w:rPr>
                                    <w:t>項</w:t>
                                  </w:r>
                                </w:p>
                              </w:tc>
                              <w:tc>
                                <w:tcPr>
                                  <w:tcW w:w="2835" w:type="dxa"/>
                                  <w:tcBorders>
                                    <w:top w:val="double" w:sz="4" w:space="0" w:color="auto"/>
                                  </w:tcBorders>
                                  <w:vAlign w:val="center"/>
                                </w:tcPr>
                                <w:p w14:paraId="4FE3497D" w14:textId="77777777" w:rsidR="0050059F" w:rsidRPr="00361BA5" w:rsidRDefault="0050059F" w:rsidP="00824CD6">
                                  <w:pPr>
                                    <w:spacing w:line="240" w:lineRule="exact"/>
                                    <w:jc w:val="both"/>
                                    <w:rPr>
                                      <w:rFonts w:ascii="標楷體" w:eastAsia="標楷體" w:hAnsi="標楷體"/>
                                      <w:spacing w:val="-4"/>
                                    </w:rPr>
                                  </w:pPr>
                                  <w:r w:rsidRPr="00361BA5">
                                    <w:rPr>
                                      <w:rFonts w:ascii="標楷體" w:eastAsia="標楷體" w:hAnsi="標楷體"/>
                                      <w:spacing w:val="-4"/>
                                    </w:rPr>
                                    <w:t>113</w:t>
                                  </w:r>
                                  <w:r w:rsidRPr="00361BA5">
                                    <w:rPr>
                                      <w:rFonts w:ascii="標楷體" w:eastAsia="標楷體" w:hAnsi="標楷體" w:hint="eastAsia"/>
                                      <w:spacing w:val="-4"/>
                                    </w:rPr>
                                    <w:t>年3月及4月未</w:t>
                                  </w:r>
                                  <w:proofErr w:type="gramStart"/>
                                  <w:r w:rsidRPr="00361BA5">
                                    <w:rPr>
                                      <w:rFonts w:ascii="標楷體" w:eastAsia="標楷體" w:hAnsi="標楷體" w:hint="eastAsia"/>
                                      <w:spacing w:val="-4"/>
                                    </w:rPr>
                                    <w:t>檢附空車</w:t>
                                  </w:r>
                                  <w:proofErr w:type="gramEnd"/>
                                  <w:r w:rsidRPr="00361BA5">
                                    <w:rPr>
                                      <w:rFonts w:ascii="標楷體" w:eastAsia="標楷體" w:hAnsi="標楷體" w:hint="eastAsia"/>
                                      <w:spacing w:val="-4"/>
                                    </w:rPr>
                                    <w:t>位巡檢紀錄(含照片)</w:t>
                                  </w:r>
                                </w:p>
                              </w:tc>
                              <w:tc>
                                <w:tcPr>
                                  <w:tcW w:w="1077" w:type="dxa"/>
                                  <w:tcBorders>
                                    <w:top w:val="double" w:sz="4" w:space="0" w:color="auto"/>
                                  </w:tcBorders>
                                  <w:vAlign w:val="center"/>
                                </w:tcPr>
                                <w:p w14:paraId="5D8728DC" w14:textId="77777777" w:rsidR="0050059F" w:rsidRPr="000B20C3" w:rsidRDefault="0050059F" w:rsidP="00824CD6">
                                  <w:pPr>
                                    <w:spacing w:line="240" w:lineRule="exact"/>
                                    <w:jc w:val="right"/>
                                    <w:rPr>
                                      <w:rFonts w:ascii="標楷體" w:eastAsia="標楷體" w:hAnsi="標楷體"/>
                                    </w:rPr>
                                  </w:pPr>
                                  <w:r w:rsidRPr="000B20C3">
                                    <w:rPr>
                                      <w:rFonts w:ascii="標楷體" w:eastAsia="標楷體" w:hAnsi="標楷體"/>
                                    </w:rPr>
                                    <w:t>610</w:t>
                                  </w:r>
                                </w:p>
                              </w:tc>
                              <w:tc>
                                <w:tcPr>
                                  <w:tcW w:w="851" w:type="dxa"/>
                                  <w:tcBorders>
                                    <w:top w:val="double" w:sz="4" w:space="0" w:color="auto"/>
                                  </w:tcBorders>
                                  <w:vAlign w:val="center"/>
                                </w:tcPr>
                                <w:p w14:paraId="253761B5" w14:textId="77777777" w:rsidR="0050059F" w:rsidRPr="000B20C3" w:rsidRDefault="0050059F" w:rsidP="00824CD6">
                                  <w:pPr>
                                    <w:spacing w:line="240" w:lineRule="exact"/>
                                    <w:jc w:val="right"/>
                                    <w:rPr>
                                      <w:rFonts w:ascii="標楷體" w:eastAsia="標楷體" w:hAnsi="標楷體"/>
                                    </w:rPr>
                                  </w:pPr>
                                  <w:r w:rsidRPr="00773D26">
                                    <w:rPr>
                                      <w:rFonts w:ascii="標楷體" w:eastAsia="標楷體" w:hAnsi="標楷體" w:hint="eastAsia"/>
                                    </w:rPr>
                                    <w:t>－</w:t>
                                  </w:r>
                                </w:p>
                              </w:tc>
                              <w:tc>
                                <w:tcPr>
                                  <w:tcW w:w="851" w:type="dxa"/>
                                  <w:tcBorders>
                                    <w:top w:val="double" w:sz="4" w:space="0" w:color="auto"/>
                                  </w:tcBorders>
                                  <w:vAlign w:val="center"/>
                                </w:tcPr>
                                <w:p w14:paraId="58AC11CD" w14:textId="77777777" w:rsidR="0050059F" w:rsidRPr="0089608D" w:rsidRDefault="0050059F" w:rsidP="00824CD6">
                                  <w:pPr>
                                    <w:spacing w:line="240" w:lineRule="exact"/>
                                    <w:jc w:val="right"/>
                                    <w:rPr>
                                      <w:rFonts w:ascii="標楷體" w:eastAsia="標楷體" w:hAnsi="標楷體"/>
                                    </w:rPr>
                                  </w:pPr>
                                  <w:r w:rsidRPr="00773D26">
                                    <w:rPr>
                                      <w:rFonts w:ascii="標楷體" w:eastAsia="標楷體" w:hAnsi="標楷體" w:hint="eastAsia"/>
                                    </w:rPr>
                                    <w:t>－</w:t>
                                  </w:r>
                                </w:p>
                              </w:tc>
                              <w:tc>
                                <w:tcPr>
                                  <w:tcW w:w="1134" w:type="dxa"/>
                                  <w:tcBorders>
                                    <w:top w:val="double" w:sz="4" w:space="0" w:color="auto"/>
                                  </w:tcBorders>
                                  <w:vAlign w:val="center"/>
                                </w:tcPr>
                                <w:p w14:paraId="5C33D663" w14:textId="77777777" w:rsidR="0050059F" w:rsidRPr="0089608D" w:rsidRDefault="0050059F" w:rsidP="00824CD6">
                                  <w:pPr>
                                    <w:spacing w:line="240" w:lineRule="exact"/>
                                    <w:jc w:val="right"/>
                                    <w:rPr>
                                      <w:rFonts w:ascii="標楷體" w:eastAsia="標楷體" w:hAnsi="標楷體"/>
                                    </w:rPr>
                                  </w:pPr>
                                  <w:r w:rsidRPr="00773D26">
                                    <w:rPr>
                                      <w:rFonts w:ascii="標楷體" w:eastAsia="標楷體" w:hAnsi="標楷體" w:hint="eastAsia"/>
                                    </w:rPr>
                                    <w:t>－</w:t>
                                  </w:r>
                                </w:p>
                              </w:tc>
                            </w:tr>
                            <w:tr w:rsidR="0050059F" w:rsidRPr="007F5795" w14:paraId="175B052D" w14:textId="77777777" w:rsidTr="00824CD6">
                              <w:trPr>
                                <w:trHeight w:val="284"/>
                                <w:jc w:val="center"/>
                              </w:trPr>
                              <w:tc>
                                <w:tcPr>
                                  <w:tcW w:w="466" w:type="dxa"/>
                                  <w:vMerge/>
                                  <w:vAlign w:val="center"/>
                                </w:tcPr>
                                <w:p w14:paraId="681B3902" w14:textId="77777777" w:rsidR="0050059F" w:rsidRPr="000B20C3" w:rsidRDefault="0050059F" w:rsidP="00824CD6">
                                  <w:pPr>
                                    <w:spacing w:line="240" w:lineRule="exact"/>
                                    <w:jc w:val="center"/>
                                    <w:rPr>
                                      <w:rFonts w:ascii="標楷體" w:eastAsia="標楷體" w:hAnsi="標楷體"/>
                                    </w:rPr>
                                  </w:pPr>
                                </w:p>
                              </w:tc>
                              <w:tc>
                                <w:tcPr>
                                  <w:tcW w:w="2835" w:type="dxa"/>
                                  <w:vMerge w:val="restart"/>
                                  <w:vAlign w:val="center"/>
                                </w:tcPr>
                                <w:p w14:paraId="7766F69D" w14:textId="77777777" w:rsidR="0050059F" w:rsidRPr="00361BA5" w:rsidRDefault="0050059F" w:rsidP="00824CD6">
                                  <w:pPr>
                                    <w:spacing w:line="240" w:lineRule="exact"/>
                                    <w:jc w:val="both"/>
                                    <w:rPr>
                                      <w:rFonts w:ascii="標楷體" w:eastAsia="標楷體" w:hAnsi="標楷體"/>
                                    </w:rPr>
                                  </w:pPr>
                                  <w:r w:rsidRPr="00361BA5">
                                    <w:rPr>
                                      <w:rFonts w:ascii="標楷體" w:eastAsia="標楷體" w:hAnsi="標楷體"/>
                                    </w:rPr>
                                    <w:t>113</w:t>
                                  </w:r>
                                  <w:r w:rsidRPr="00361BA5">
                                    <w:rPr>
                                      <w:rFonts w:ascii="標楷體" w:eastAsia="標楷體" w:hAnsi="標楷體" w:hint="eastAsia"/>
                                    </w:rPr>
                                    <w:t>年1月、2月及5至</w:t>
                                  </w:r>
                                  <w:r w:rsidRPr="00361BA5">
                                    <w:rPr>
                                      <w:rFonts w:ascii="標楷體" w:eastAsia="標楷體" w:hAnsi="標楷體"/>
                                    </w:rPr>
                                    <w:t>9</w:t>
                                  </w:r>
                                  <w:r w:rsidRPr="00361BA5">
                                    <w:rPr>
                                      <w:rFonts w:ascii="標楷體" w:eastAsia="標楷體" w:hAnsi="標楷體" w:hint="eastAsia"/>
                                    </w:rPr>
                                    <w:t>月</w:t>
                                  </w:r>
                                </w:p>
                              </w:tc>
                              <w:tc>
                                <w:tcPr>
                                  <w:tcW w:w="1077" w:type="dxa"/>
                                  <w:vMerge w:val="restart"/>
                                  <w:vAlign w:val="center"/>
                                </w:tcPr>
                                <w:p w14:paraId="440FCCA9" w14:textId="77777777" w:rsidR="0050059F" w:rsidRPr="000B20C3" w:rsidRDefault="0050059F" w:rsidP="00824CD6">
                                  <w:pPr>
                                    <w:spacing w:line="240" w:lineRule="exact"/>
                                    <w:jc w:val="right"/>
                                    <w:rPr>
                                      <w:rFonts w:ascii="標楷體" w:eastAsia="標楷體" w:hAnsi="標楷體"/>
                                    </w:rPr>
                                  </w:pPr>
                                  <w:r w:rsidRPr="000B20C3">
                                    <w:rPr>
                                      <w:rFonts w:ascii="標楷體" w:eastAsia="標楷體" w:hAnsi="標楷體"/>
                                    </w:rPr>
                                    <w:t>2,154</w:t>
                                  </w:r>
                                </w:p>
                              </w:tc>
                              <w:tc>
                                <w:tcPr>
                                  <w:tcW w:w="851" w:type="dxa"/>
                                  <w:vMerge w:val="restart"/>
                                  <w:vAlign w:val="center"/>
                                </w:tcPr>
                                <w:p w14:paraId="2D2B5154" w14:textId="77777777" w:rsidR="0050059F" w:rsidRPr="000B20C3" w:rsidRDefault="0050059F" w:rsidP="00824CD6">
                                  <w:pPr>
                                    <w:spacing w:line="240" w:lineRule="exact"/>
                                    <w:jc w:val="right"/>
                                    <w:rPr>
                                      <w:rFonts w:ascii="標楷體" w:eastAsia="標楷體" w:hAnsi="標楷體"/>
                                    </w:rPr>
                                  </w:pPr>
                                  <w:r w:rsidRPr="000B20C3">
                                    <w:rPr>
                                      <w:rFonts w:ascii="標楷體" w:eastAsia="標楷體" w:hAnsi="標楷體"/>
                                    </w:rPr>
                                    <w:t>205</w:t>
                                  </w:r>
                                </w:p>
                              </w:tc>
                              <w:tc>
                                <w:tcPr>
                                  <w:tcW w:w="851" w:type="dxa"/>
                                  <w:gridSpan w:val="2"/>
                                  <w:vAlign w:val="center"/>
                                </w:tcPr>
                                <w:p w14:paraId="71DBC680" w14:textId="77777777" w:rsidR="0050059F" w:rsidRPr="00C73569" w:rsidRDefault="0050059F" w:rsidP="00824CD6">
                                  <w:pPr>
                                    <w:spacing w:line="240" w:lineRule="exact"/>
                                    <w:jc w:val="center"/>
                                    <w:rPr>
                                      <w:rFonts w:ascii="標楷體" w:eastAsia="標楷體" w:hAnsi="標楷體"/>
                                      <w:b/>
                                      <w:bCs/>
                                    </w:rPr>
                                  </w:pPr>
                                  <w:r w:rsidRPr="00C73569">
                                    <w:rPr>
                                      <w:rFonts w:ascii="標楷體" w:eastAsia="標楷體" w:hAnsi="標楷體" w:hint="eastAsia"/>
                                      <w:b/>
                                      <w:bCs/>
                                    </w:rPr>
                                    <w:t>小計</w:t>
                                  </w:r>
                                  <w:r>
                                    <w:rPr>
                                      <w:rFonts w:ascii="標楷體" w:eastAsia="標楷體" w:hAnsi="標楷體"/>
                                      <w:b/>
                                      <w:bCs/>
                                    </w:rPr>
                                    <w:t xml:space="preserve"> </w:t>
                                  </w:r>
                                  <w:r w:rsidRPr="00C73569">
                                    <w:rPr>
                                      <w:rFonts w:ascii="標楷體" w:eastAsia="標楷體" w:hAnsi="標楷體"/>
                                      <w:b/>
                                      <w:bCs/>
                                    </w:rPr>
                                    <w:t>29</w:t>
                                  </w:r>
                                </w:p>
                              </w:tc>
                            </w:tr>
                            <w:tr w:rsidR="0050059F" w:rsidRPr="007F5795" w14:paraId="56AC8E40" w14:textId="77777777" w:rsidTr="00824CD6">
                              <w:trPr>
                                <w:trHeight w:val="284"/>
                                <w:jc w:val="center"/>
                              </w:trPr>
                              <w:tc>
                                <w:tcPr>
                                  <w:tcW w:w="466" w:type="dxa"/>
                                  <w:vMerge/>
                                  <w:vAlign w:val="center"/>
                                </w:tcPr>
                                <w:p w14:paraId="19E25FC0" w14:textId="77777777" w:rsidR="0050059F" w:rsidRPr="000B20C3" w:rsidRDefault="0050059F" w:rsidP="00824CD6">
                                  <w:pPr>
                                    <w:spacing w:line="240" w:lineRule="exact"/>
                                    <w:jc w:val="center"/>
                                    <w:rPr>
                                      <w:rFonts w:ascii="標楷體" w:eastAsia="標楷體" w:hAnsi="標楷體"/>
                                    </w:rPr>
                                  </w:pPr>
                                </w:p>
                              </w:tc>
                              <w:tc>
                                <w:tcPr>
                                  <w:tcW w:w="2835" w:type="dxa"/>
                                  <w:vMerge/>
                                  <w:vAlign w:val="center"/>
                                </w:tcPr>
                                <w:p w14:paraId="1C7FF868" w14:textId="77777777" w:rsidR="0050059F" w:rsidRPr="000B20C3" w:rsidRDefault="0050059F" w:rsidP="00824CD6">
                                  <w:pPr>
                                    <w:spacing w:line="240" w:lineRule="exact"/>
                                    <w:jc w:val="both"/>
                                    <w:rPr>
                                      <w:rFonts w:ascii="標楷體" w:eastAsia="標楷體" w:hAnsi="標楷體"/>
                                      <w:spacing w:val="-12"/>
                                    </w:rPr>
                                  </w:pPr>
                                </w:p>
                              </w:tc>
                              <w:tc>
                                <w:tcPr>
                                  <w:tcW w:w="1077" w:type="dxa"/>
                                  <w:vMerge/>
                                  <w:vAlign w:val="center"/>
                                </w:tcPr>
                                <w:p w14:paraId="74697556" w14:textId="77777777" w:rsidR="0050059F" w:rsidRPr="000B20C3" w:rsidRDefault="0050059F" w:rsidP="00824CD6">
                                  <w:pPr>
                                    <w:spacing w:line="240" w:lineRule="exact"/>
                                    <w:jc w:val="center"/>
                                    <w:rPr>
                                      <w:rFonts w:ascii="標楷體" w:eastAsia="標楷體" w:hAnsi="標楷體"/>
                                    </w:rPr>
                                  </w:pPr>
                                </w:p>
                              </w:tc>
                              <w:tc>
                                <w:tcPr>
                                  <w:tcW w:w="851" w:type="dxa"/>
                                  <w:vMerge/>
                                  <w:vAlign w:val="center"/>
                                </w:tcPr>
                                <w:p w14:paraId="0CC74FFE" w14:textId="77777777" w:rsidR="0050059F" w:rsidRPr="000B20C3" w:rsidRDefault="0050059F" w:rsidP="00824CD6">
                                  <w:pPr>
                                    <w:spacing w:line="240" w:lineRule="exact"/>
                                    <w:jc w:val="center"/>
                                    <w:rPr>
                                      <w:rFonts w:ascii="標楷體" w:eastAsia="標楷體" w:hAnsi="標楷體"/>
                                    </w:rPr>
                                  </w:pPr>
                                </w:p>
                              </w:tc>
                              <w:tc>
                                <w:tcPr>
                                  <w:tcW w:w="851" w:type="dxa"/>
                                  <w:vAlign w:val="center"/>
                                </w:tcPr>
                                <w:p w14:paraId="55547E8A" w14:textId="77777777" w:rsidR="0050059F" w:rsidRPr="0089608D" w:rsidRDefault="0050059F" w:rsidP="00824CD6">
                                  <w:pPr>
                                    <w:spacing w:line="240" w:lineRule="exact"/>
                                    <w:jc w:val="right"/>
                                    <w:rPr>
                                      <w:rFonts w:ascii="標楷體" w:eastAsia="標楷體" w:hAnsi="標楷體"/>
                                    </w:rPr>
                                  </w:pPr>
                                  <w:r w:rsidRPr="0089608D">
                                    <w:rPr>
                                      <w:rFonts w:ascii="標楷體" w:eastAsia="標楷體" w:hAnsi="標楷體"/>
                                    </w:rPr>
                                    <w:t>18</w:t>
                                  </w:r>
                                </w:p>
                              </w:tc>
                              <w:tc>
                                <w:tcPr>
                                  <w:tcW w:w="1134" w:type="dxa"/>
                                  <w:vAlign w:val="center"/>
                                </w:tcPr>
                                <w:p w14:paraId="258767F9" w14:textId="77777777" w:rsidR="0050059F" w:rsidRPr="0089608D" w:rsidRDefault="0050059F" w:rsidP="00824CD6">
                                  <w:pPr>
                                    <w:spacing w:line="240" w:lineRule="exact"/>
                                    <w:jc w:val="right"/>
                                    <w:rPr>
                                      <w:rFonts w:ascii="標楷體" w:eastAsia="標楷體" w:hAnsi="標楷體"/>
                                    </w:rPr>
                                  </w:pPr>
                                  <w:r w:rsidRPr="0089608D">
                                    <w:rPr>
                                      <w:rFonts w:ascii="標楷體" w:eastAsia="標楷體" w:hAnsi="標楷體"/>
                                    </w:rPr>
                                    <w:t>11</w:t>
                                  </w:r>
                                </w:p>
                              </w:tc>
                            </w:tr>
                          </w:tbl>
                          <w:p w14:paraId="34DA2270" w14:textId="77777777" w:rsidR="0050059F" w:rsidRPr="00361BA5" w:rsidRDefault="0050059F" w:rsidP="0050059F">
                            <w:pPr>
                              <w:spacing w:beforeLines="10" w:before="36" w:line="220" w:lineRule="exact"/>
                              <w:ind w:leftChars="-30" w:left="423" w:rightChars="-45" w:right="-108" w:hangingChars="275" w:hanging="495"/>
                              <w:jc w:val="both"/>
                              <w:rPr>
                                <w:rFonts w:ascii="標楷體" w:eastAsia="標楷體" w:hAnsi="標楷體"/>
                                <w:sz w:val="18"/>
                                <w:szCs w:val="20"/>
                              </w:rPr>
                            </w:pPr>
                            <w:proofErr w:type="gramStart"/>
                            <w:r w:rsidRPr="00361BA5">
                              <w:rPr>
                                <w:rFonts w:ascii="標楷體" w:eastAsia="標楷體" w:hAnsi="標楷體" w:hint="eastAsia"/>
                                <w:sz w:val="18"/>
                                <w:szCs w:val="20"/>
                              </w:rPr>
                              <w:t>註</w:t>
                            </w:r>
                            <w:proofErr w:type="gramEnd"/>
                            <w:r w:rsidRPr="00361BA5">
                              <w:rPr>
                                <w:rFonts w:ascii="標楷體" w:eastAsia="標楷體" w:hAnsi="標楷體" w:hint="eastAsia"/>
                                <w:sz w:val="18"/>
                                <w:szCs w:val="20"/>
                              </w:rPr>
                              <w:t>：</w:t>
                            </w:r>
                            <w:r w:rsidRPr="00361BA5">
                              <w:rPr>
                                <w:rFonts w:ascii="標楷體" w:eastAsia="標楷體" w:hAnsi="標楷體"/>
                                <w:sz w:val="18"/>
                                <w:szCs w:val="20"/>
                              </w:rPr>
                              <w:t>1.A</w:t>
                            </w:r>
                            <w:r w:rsidRPr="00361BA5">
                              <w:rPr>
                                <w:rFonts w:ascii="標楷體" w:eastAsia="標楷體" w:hAnsi="標楷體" w:hint="eastAsia"/>
                                <w:sz w:val="18"/>
                                <w:szCs w:val="20"/>
                              </w:rPr>
                              <w:t>項及B項契約金額，包含「勞動服務項目」及「建物一般設備暨機電零星檢測維護項目」等2項；廠商</w:t>
                            </w:r>
                            <w:proofErr w:type="gramStart"/>
                            <w:r w:rsidRPr="00361BA5">
                              <w:rPr>
                                <w:rFonts w:ascii="標楷體" w:eastAsia="標楷體" w:hAnsi="標楷體" w:hint="eastAsia"/>
                                <w:sz w:val="18"/>
                                <w:szCs w:val="20"/>
                              </w:rPr>
                              <w:t>巡檢空車</w:t>
                            </w:r>
                            <w:proofErr w:type="gramEnd"/>
                            <w:r w:rsidRPr="00361BA5">
                              <w:rPr>
                                <w:rFonts w:ascii="標楷體" w:eastAsia="標楷體" w:hAnsi="標楷體" w:hint="eastAsia"/>
                                <w:sz w:val="18"/>
                                <w:szCs w:val="20"/>
                              </w:rPr>
                              <w:t>位服務事項，內含於「勞動服務項目」中，</w:t>
                            </w:r>
                            <w:proofErr w:type="gramStart"/>
                            <w:r w:rsidRPr="00361BA5">
                              <w:rPr>
                                <w:rFonts w:ascii="標楷體" w:eastAsia="標楷體" w:hAnsi="標楷體" w:hint="eastAsia"/>
                                <w:sz w:val="18"/>
                                <w:szCs w:val="20"/>
                              </w:rPr>
                              <w:t>本表估驗</w:t>
                            </w:r>
                            <w:proofErr w:type="gramEnd"/>
                            <w:r w:rsidRPr="00361BA5">
                              <w:rPr>
                                <w:rFonts w:ascii="標楷體" w:eastAsia="標楷體" w:hAnsi="標楷體" w:hint="eastAsia"/>
                                <w:sz w:val="18"/>
                                <w:szCs w:val="20"/>
                              </w:rPr>
                              <w:t>金額為「勞動服務項目」（含稅）金額。</w:t>
                            </w:r>
                          </w:p>
                          <w:p w14:paraId="2F67FFD3" w14:textId="77777777" w:rsidR="0050059F" w:rsidRPr="00361BA5" w:rsidRDefault="0050059F" w:rsidP="0050059F">
                            <w:pPr>
                              <w:spacing w:line="220" w:lineRule="exact"/>
                              <w:ind w:leftChars="-118" w:left="-283" w:firstLineChars="300" w:firstLine="540"/>
                              <w:rPr>
                                <w:rFonts w:ascii="標楷體" w:eastAsia="標楷體" w:hAnsi="標楷體"/>
                                <w:sz w:val="18"/>
                                <w:szCs w:val="20"/>
                              </w:rPr>
                            </w:pPr>
                            <w:r w:rsidRPr="00361BA5">
                              <w:rPr>
                                <w:rFonts w:ascii="標楷體" w:eastAsia="標楷體" w:hAnsi="標楷體" w:hint="eastAsia"/>
                                <w:sz w:val="18"/>
                                <w:szCs w:val="20"/>
                              </w:rPr>
                              <w:t>2</w:t>
                            </w:r>
                            <w:r w:rsidRPr="00361BA5">
                              <w:rPr>
                                <w:rFonts w:ascii="標楷體" w:eastAsia="標楷體" w:hAnsi="標楷體"/>
                                <w:sz w:val="18"/>
                                <w:szCs w:val="20"/>
                              </w:rPr>
                              <w:t>.</w:t>
                            </w:r>
                            <w:r w:rsidRPr="00361BA5">
                              <w:rPr>
                                <w:rFonts w:ascii="標楷體" w:eastAsia="標楷體" w:hAnsi="標楷體" w:hint="eastAsia"/>
                                <w:sz w:val="18"/>
                                <w:szCs w:val="20"/>
                              </w:rPr>
                              <w:t>資料來源：整理自捷運工程局提供資料。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C3674D" id="文字方塊 99" o:spid="_x0000_s1161" type="#_x0000_t202" style="position:absolute;left:0;text-align:left;margin-left:175.4pt;margin-top:340.5pt;width:322.5pt;height:208pt;z-index:251783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" stroked="f">
                <v:textbox>
                  <w:txbxContent>
                    <w:p w14:paraId="3D932D21" w14:textId="77777777" w:rsidR="0050059F" w:rsidRPr="00D20E22" w:rsidRDefault="0050059F" w:rsidP="0050059F">
                      <w:pPr>
                        <w:spacing w:line="280" w:lineRule="exact"/>
                        <w:ind w:leftChars="-34" w:left="396" w:hangingChars="199" w:hanging="478"/>
                        <w:jc w:val="center"/>
                        <w:rPr>
                          <w:rFonts w:ascii="標楷體" w:eastAsia="標楷體" w:hAnsi="標楷體"/>
                          <w:b/>
                          <w:spacing w:val="-14"/>
                          <w:szCs w:val="24"/>
                        </w:rPr>
                      </w:pPr>
                      <w:r w:rsidRPr="00D20E22">
                        <w:rPr>
                          <w:rFonts w:ascii="標楷體" w:eastAsia="標楷體" w:hAnsi="標楷體" w:hint="eastAsia"/>
                          <w:b/>
                          <w:szCs w:val="24"/>
                        </w:rPr>
                        <w:t>表</w:t>
                      </w:r>
                      <w:r>
                        <w:rPr>
                          <w:rFonts w:ascii="標楷體" w:eastAsia="標楷體" w:hAnsi="標楷體"/>
                          <w:b/>
                          <w:szCs w:val="24"/>
                        </w:rPr>
                        <w:t xml:space="preserve">4 </w:t>
                      </w:r>
                      <w:r w:rsidRPr="00D20E22">
                        <w:rPr>
                          <w:rFonts w:ascii="標楷體" w:eastAsia="標楷體" w:hAnsi="標楷體" w:hint="eastAsia"/>
                          <w:b/>
                          <w:szCs w:val="24"/>
                        </w:rPr>
                        <w:t>廠商估</w:t>
                      </w:r>
                      <w:r w:rsidRPr="00D20E22">
                        <w:rPr>
                          <w:rFonts w:ascii="標楷體" w:eastAsia="標楷體" w:hAnsi="標楷體" w:hint="eastAsia"/>
                          <w:b/>
                          <w:spacing w:val="-14"/>
                          <w:szCs w:val="24"/>
                        </w:rPr>
                        <w:t>驗計價照片存有雷同或未</w:t>
                      </w:r>
                      <w:proofErr w:type="gramStart"/>
                      <w:r w:rsidRPr="00D20E22">
                        <w:rPr>
                          <w:rFonts w:ascii="標楷體" w:eastAsia="標楷體" w:hAnsi="標楷體" w:hint="eastAsia"/>
                          <w:b/>
                          <w:spacing w:val="-14"/>
                          <w:szCs w:val="24"/>
                        </w:rPr>
                        <w:t>檢附巡檢</w:t>
                      </w:r>
                      <w:proofErr w:type="gramEnd"/>
                      <w:r w:rsidRPr="00D20E22">
                        <w:rPr>
                          <w:rFonts w:ascii="標楷體" w:eastAsia="標楷體" w:hAnsi="標楷體" w:hint="eastAsia"/>
                          <w:b/>
                          <w:spacing w:val="-14"/>
                          <w:szCs w:val="24"/>
                        </w:rPr>
                        <w:t>紀錄</w:t>
                      </w:r>
                      <w:r>
                        <w:rPr>
                          <w:rFonts w:ascii="標楷體" w:eastAsia="標楷體" w:hAnsi="標楷體" w:hint="eastAsia"/>
                          <w:b/>
                          <w:spacing w:val="-14"/>
                          <w:szCs w:val="24"/>
                        </w:rPr>
                        <w:t>(</w:t>
                      </w:r>
                      <w:r w:rsidRPr="00D20E22">
                        <w:rPr>
                          <w:rFonts w:ascii="標楷體" w:eastAsia="標楷體" w:hAnsi="標楷體" w:hint="eastAsia"/>
                          <w:b/>
                          <w:spacing w:val="-14"/>
                          <w:szCs w:val="24"/>
                        </w:rPr>
                        <w:t>含照片</w:t>
                      </w:r>
                      <w:r w:rsidRPr="00D20E22">
                        <w:rPr>
                          <w:rFonts w:ascii="標楷體" w:eastAsia="標楷體" w:hAnsi="標楷體"/>
                          <w:b/>
                          <w:spacing w:val="-14"/>
                          <w:szCs w:val="24"/>
                        </w:rPr>
                        <w:t>)</w:t>
                      </w:r>
                      <w:r w:rsidRPr="00D20E22">
                        <w:rPr>
                          <w:rFonts w:ascii="標楷體" w:eastAsia="標楷體" w:hAnsi="標楷體" w:hint="eastAsia"/>
                          <w:b/>
                          <w:spacing w:val="-14"/>
                          <w:szCs w:val="24"/>
                        </w:rPr>
                        <w:t>情形</w:t>
                      </w:r>
                    </w:p>
                    <w:p w14:paraId="5237213B" w14:textId="77777777" w:rsidR="0050059F" w:rsidRPr="00D20E22" w:rsidRDefault="0050059F" w:rsidP="0050059F">
                      <w:pPr>
                        <w:spacing w:afterLines="10" w:after="36" w:line="280" w:lineRule="exact"/>
                        <w:ind w:rightChars="-50" w:right="-120"/>
                        <w:jc w:val="right"/>
                        <w:rPr>
                          <w:rFonts w:ascii="標楷體" w:eastAsia="標楷體" w:hAnsi="標楷體"/>
                          <w:sz w:val="20"/>
                          <w:szCs w:val="24"/>
                        </w:rPr>
                      </w:pPr>
                      <w:r w:rsidRPr="00D20E22">
                        <w:rPr>
                          <w:rFonts w:ascii="標楷體" w:eastAsia="標楷體" w:hAnsi="標楷體" w:hint="eastAsia"/>
                          <w:sz w:val="20"/>
                          <w:szCs w:val="24"/>
                        </w:rPr>
                        <w:t>單位</w:t>
                      </w:r>
                      <w:r>
                        <w:rPr>
                          <w:rFonts w:ascii="標楷體" w:eastAsia="標楷體" w:hAnsi="標楷體" w:hint="eastAsia"/>
                          <w:sz w:val="20"/>
                          <w:szCs w:val="24"/>
                        </w:rPr>
                        <w:t>：</w:t>
                      </w:r>
                      <w:r w:rsidRPr="000958EA">
                        <w:rPr>
                          <w:rFonts w:ascii="標楷體" w:eastAsia="標楷體" w:hAnsi="標楷體" w:hint="eastAsia"/>
                          <w:sz w:val="20"/>
                          <w:szCs w:val="20"/>
                        </w:rPr>
                        <w:t>新臺幣</w:t>
                      </w:r>
                      <w:r w:rsidRPr="00D20E22">
                        <w:rPr>
                          <w:rFonts w:ascii="標楷體" w:eastAsia="標楷體" w:hAnsi="標楷體" w:hint="eastAsia"/>
                          <w:sz w:val="20"/>
                          <w:szCs w:val="24"/>
                        </w:rPr>
                        <w:t>千元</w:t>
                      </w:r>
                      <w:r>
                        <w:rPr>
                          <w:rFonts w:ascii="標楷體" w:eastAsia="標楷體" w:hAnsi="標楷體" w:hint="eastAsia"/>
                          <w:sz w:val="20"/>
                          <w:szCs w:val="24"/>
                        </w:rPr>
                        <w:t>、張</w:t>
                      </w:r>
                    </w:p>
                    <w:tbl>
                      <w:tblPr>
                        <w:tblStyle w:val="a6"/>
                        <w:tblW w:w="6391" w:type="dxa"/>
                        <w:jc w:val="center"/>
                        <w:tblLook w:val="04A0" w:firstRow="1" w:lastRow="0" w:firstColumn="1" w:lastColumn="0" w:noHBand="0" w:noVBand="1"/>
                      </w:tblPr>
                      <w:tblGrid>
                        <w:gridCol w:w="457"/>
                        <w:gridCol w:w="2380"/>
                        <w:gridCol w:w="1003"/>
                        <w:gridCol w:w="782"/>
                        <w:gridCol w:w="762"/>
                        <w:gridCol w:w="1007"/>
                      </w:tblGrid>
                      <w:tr w:rsidR="0050059F" w:rsidRPr="00A9085E" w14:paraId="1214B776" w14:textId="77777777" w:rsidTr="00824CD6">
                        <w:trPr>
                          <w:trHeight w:val="284"/>
                          <w:jc w:val="center"/>
                        </w:trPr>
                        <w:tc>
                          <w:tcPr>
                            <w:tcW w:w="466" w:type="dxa"/>
                            <w:vMerge w:val="restart"/>
                            <w:shd w:val="clear" w:color="auto" w:fill="auto"/>
                            <w:vAlign w:val="center"/>
                          </w:tcPr>
                          <w:p w14:paraId="2802B0E6"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合約</w:t>
                            </w:r>
                          </w:p>
                        </w:tc>
                        <w:tc>
                          <w:tcPr>
                            <w:tcW w:w="2835" w:type="dxa"/>
                            <w:vMerge w:val="restart"/>
                            <w:shd w:val="clear" w:color="auto" w:fill="auto"/>
                            <w:vAlign w:val="center"/>
                          </w:tcPr>
                          <w:p w14:paraId="0A492094" w14:textId="77777777" w:rsidR="0050059F" w:rsidRPr="00361BA5" w:rsidRDefault="0050059F" w:rsidP="00824CD6">
                            <w:pPr>
                              <w:spacing w:line="220" w:lineRule="exact"/>
                              <w:jc w:val="center"/>
                              <w:rPr>
                                <w:rFonts w:ascii="標楷體" w:eastAsia="標楷體" w:hAnsi="標楷體"/>
                              </w:rPr>
                            </w:pPr>
                            <w:r w:rsidRPr="00361BA5">
                              <w:rPr>
                                <w:rFonts w:ascii="標楷體" w:eastAsia="標楷體" w:hAnsi="標楷體" w:hint="eastAsia"/>
                              </w:rPr>
                              <w:t>抽核</w:t>
                            </w:r>
                            <w:proofErr w:type="gramStart"/>
                            <w:r w:rsidRPr="00361BA5">
                              <w:rPr>
                                <w:rFonts w:ascii="標楷體" w:eastAsia="標楷體" w:hAnsi="標楷體" w:hint="eastAsia"/>
                              </w:rPr>
                              <w:t>1</w:t>
                            </w:r>
                            <w:r w:rsidRPr="00361BA5">
                              <w:rPr>
                                <w:rFonts w:ascii="標楷體" w:eastAsia="標楷體" w:hAnsi="標楷體"/>
                              </w:rPr>
                              <w:t>13</w:t>
                            </w:r>
                            <w:proofErr w:type="gramEnd"/>
                            <w:r w:rsidRPr="00361BA5">
                              <w:rPr>
                                <w:rFonts w:ascii="標楷體" w:eastAsia="標楷體" w:hAnsi="標楷體" w:hint="eastAsia"/>
                              </w:rPr>
                              <w:t>年度</w:t>
                            </w:r>
                          </w:p>
                          <w:p w14:paraId="32738A02" w14:textId="77777777" w:rsidR="0050059F" w:rsidRPr="00361BA5" w:rsidRDefault="0050059F" w:rsidP="00824CD6">
                            <w:pPr>
                              <w:spacing w:line="220" w:lineRule="exact"/>
                              <w:jc w:val="center"/>
                              <w:rPr>
                                <w:rFonts w:ascii="標楷體" w:eastAsia="標楷體" w:hAnsi="標楷體"/>
                              </w:rPr>
                            </w:pPr>
                            <w:r w:rsidRPr="00361BA5">
                              <w:rPr>
                                <w:rFonts w:ascii="標楷體" w:eastAsia="標楷體" w:hAnsi="標楷體" w:hint="eastAsia"/>
                              </w:rPr>
                              <w:t>估驗期間</w:t>
                            </w:r>
                          </w:p>
                        </w:tc>
                        <w:tc>
                          <w:tcPr>
                            <w:tcW w:w="1077" w:type="dxa"/>
                            <w:vMerge w:val="restart"/>
                            <w:shd w:val="clear" w:color="auto" w:fill="auto"/>
                            <w:vAlign w:val="center"/>
                          </w:tcPr>
                          <w:p w14:paraId="15824A11" w14:textId="77777777" w:rsidR="0050059F" w:rsidRPr="00361BA5" w:rsidRDefault="0050059F" w:rsidP="00824CD6">
                            <w:pPr>
                              <w:spacing w:line="220" w:lineRule="exact"/>
                              <w:jc w:val="center"/>
                              <w:rPr>
                                <w:rFonts w:ascii="標楷體" w:eastAsia="標楷體" w:hAnsi="標楷體"/>
                                <w:spacing w:val="-4"/>
                              </w:rPr>
                            </w:pPr>
                            <w:r w:rsidRPr="00361BA5">
                              <w:rPr>
                                <w:rFonts w:ascii="標楷體" w:eastAsia="標楷體" w:hAnsi="標楷體" w:hint="eastAsia"/>
                                <w:spacing w:val="-4"/>
                              </w:rPr>
                              <w:t>估驗金額</w:t>
                            </w:r>
                          </w:p>
                          <w:p w14:paraId="426031C3"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w:t>
                            </w:r>
                            <w:proofErr w:type="gramStart"/>
                            <w:r w:rsidRPr="00030362">
                              <w:rPr>
                                <w:rFonts w:ascii="標楷體" w:eastAsia="標楷體" w:hAnsi="標楷體" w:hint="eastAsia"/>
                              </w:rPr>
                              <w:t>註</w:t>
                            </w:r>
                            <w:proofErr w:type="gramEnd"/>
                            <w:r w:rsidRPr="00030362">
                              <w:rPr>
                                <w:rFonts w:ascii="標楷體" w:eastAsia="標楷體" w:hAnsi="標楷體" w:hint="eastAsia"/>
                              </w:rPr>
                              <w:t>1)</w:t>
                            </w:r>
                          </w:p>
                        </w:tc>
                        <w:tc>
                          <w:tcPr>
                            <w:tcW w:w="851" w:type="dxa"/>
                            <w:gridSpan w:val="2"/>
                            <w:shd w:val="clear" w:color="auto" w:fill="auto"/>
                            <w:vAlign w:val="center"/>
                          </w:tcPr>
                          <w:p w14:paraId="7F61D988" w14:textId="77777777" w:rsidR="0050059F" w:rsidRPr="00030362" w:rsidRDefault="0050059F" w:rsidP="00824CD6">
                            <w:pPr>
                              <w:spacing w:line="220" w:lineRule="exact"/>
                              <w:jc w:val="center"/>
                              <w:rPr>
                                <w:rFonts w:ascii="標楷體" w:eastAsia="標楷體" w:hAnsi="標楷體"/>
                              </w:rPr>
                            </w:pPr>
                            <w:proofErr w:type="gramStart"/>
                            <w:r w:rsidRPr="00030362">
                              <w:rPr>
                                <w:rFonts w:ascii="標楷體" w:eastAsia="標楷體" w:hAnsi="標楷體" w:hint="eastAsia"/>
                              </w:rPr>
                              <w:t>1</w:t>
                            </w:r>
                            <w:r w:rsidRPr="00030362">
                              <w:rPr>
                                <w:rFonts w:ascii="標楷體" w:eastAsia="標楷體" w:hAnsi="標楷體"/>
                              </w:rPr>
                              <w:t>13</w:t>
                            </w:r>
                            <w:proofErr w:type="gramEnd"/>
                            <w:r w:rsidRPr="00030362">
                              <w:rPr>
                                <w:rFonts w:ascii="標楷體" w:eastAsia="標楷體" w:hAnsi="標楷體" w:hint="eastAsia"/>
                              </w:rPr>
                              <w:t>年度</w:t>
                            </w:r>
                          </w:p>
                        </w:tc>
                        <w:tc>
                          <w:tcPr>
                            <w:tcW w:w="1134" w:type="dxa"/>
                            <w:shd w:val="clear" w:color="auto" w:fill="auto"/>
                            <w:vAlign w:val="center"/>
                          </w:tcPr>
                          <w:p w14:paraId="67E3327C" w14:textId="77777777" w:rsidR="0050059F" w:rsidRPr="00030362" w:rsidRDefault="0050059F" w:rsidP="00824CD6">
                            <w:pPr>
                              <w:spacing w:line="220" w:lineRule="exact"/>
                              <w:jc w:val="center"/>
                              <w:rPr>
                                <w:rFonts w:ascii="標楷體" w:eastAsia="標楷體" w:hAnsi="標楷體"/>
                              </w:rPr>
                            </w:pPr>
                            <w:proofErr w:type="gramStart"/>
                            <w:r w:rsidRPr="00030362">
                              <w:rPr>
                                <w:rFonts w:ascii="標楷體" w:eastAsia="標楷體" w:hAnsi="標楷體" w:hint="eastAsia"/>
                              </w:rPr>
                              <w:t>1</w:t>
                            </w:r>
                            <w:r w:rsidRPr="00030362">
                              <w:rPr>
                                <w:rFonts w:ascii="標楷體" w:eastAsia="標楷體" w:hAnsi="標楷體"/>
                              </w:rPr>
                              <w:t>12</w:t>
                            </w:r>
                            <w:proofErr w:type="gramEnd"/>
                            <w:r w:rsidRPr="00030362">
                              <w:rPr>
                                <w:rFonts w:ascii="標楷體" w:eastAsia="標楷體" w:hAnsi="標楷體" w:hint="eastAsia"/>
                              </w:rPr>
                              <w:t>年度</w:t>
                            </w:r>
                          </w:p>
                        </w:tc>
                      </w:tr>
                      <w:tr w:rsidR="0050059F" w:rsidRPr="00A9085E" w14:paraId="2A42A57C" w14:textId="77777777" w:rsidTr="00824CD6">
                        <w:trPr>
                          <w:trHeight w:val="284"/>
                          <w:jc w:val="center"/>
                        </w:trPr>
                        <w:tc>
                          <w:tcPr>
                            <w:tcW w:w="466" w:type="dxa"/>
                            <w:vMerge/>
                            <w:shd w:val="clear" w:color="auto" w:fill="auto"/>
                            <w:vAlign w:val="center"/>
                          </w:tcPr>
                          <w:p w14:paraId="3FCED95F" w14:textId="77777777" w:rsidR="0050059F" w:rsidRPr="00030362" w:rsidRDefault="0050059F" w:rsidP="00824CD6">
                            <w:pPr>
                              <w:spacing w:line="220" w:lineRule="exact"/>
                              <w:jc w:val="center"/>
                              <w:rPr>
                                <w:rFonts w:ascii="標楷體" w:eastAsia="標楷體" w:hAnsi="標楷體"/>
                              </w:rPr>
                            </w:pPr>
                          </w:p>
                        </w:tc>
                        <w:tc>
                          <w:tcPr>
                            <w:tcW w:w="2835" w:type="dxa"/>
                            <w:vMerge/>
                            <w:shd w:val="clear" w:color="auto" w:fill="auto"/>
                            <w:vAlign w:val="center"/>
                          </w:tcPr>
                          <w:p w14:paraId="7D75F17E" w14:textId="77777777" w:rsidR="0050059F" w:rsidRPr="00361BA5" w:rsidRDefault="0050059F" w:rsidP="00824CD6">
                            <w:pPr>
                              <w:spacing w:line="220" w:lineRule="exact"/>
                              <w:jc w:val="both"/>
                              <w:rPr>
                                <w:rFonts w:ascii="標楷體" w:eastAsia="標楷體" w:hAnsi="標楷體"/>
                              </w:rPr>
                            </w:pPr>
                          </w:p>
                        </w:tc>
                        <w:tc>
                          <w:tcPr>
                            <w:tcW w:w="1077" w:type="dxa"/>
                            <w:vMerge/>
                            <w:shd w:val="clear" w:color="auto" w:fill="auto"/>
                            <w:vAlign w:val="center"/>
                          </w:tcPr>
                          <w:p w14:paraId="30BE62C4" w14:textId="77777777" w:rsidR="0050059F" w:rsidRPr="00030362" w:rsidRDefault="0050059F" w:rsidP="00824CD6">
                            <w:pPr>
                              <w:spacing w:line="220" w:lineRule="exact"/>
                              <w:jc w:val="center"/>
                              <w:rPr>
                                <w:rFonts w:ascii="標楷體" w:eastAsia="標楷體" w:hAnsi="標楷體"/>
                              </w:rPr>
                            </w:pPr>
                          </w:p>
                        </w:tc>
                        <w:tc>
                          <w:tcPr>
                            <w:tcW w:w="851" w:type="dxa"/>
                            <w:shd w:val="clear" w:color="auto" w:fill="auto"/>
                            <w:vAlign w:val="center"/>
                          </w:tcPr>
                          <w:p w14:paraId="12DFB393"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照片</w:t>
                            </w:r>
                          </w:p>
                          <w:p w14:paraId="2AF8D4FD"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張數</w:t>
                            </w:r>
                          </w:p>
                        </w:tc>
                        <w:tc>
                          <w:tcPr>
                            <w:tcW w:w="851" w:type="dxa"/>
                            <w:tcBorders>
                              <w:bottom w:val="single" w:sz="4" w:space="0" w:color="auto"/>
                            </w:tcBorders>
                            <w:shd w:val="clear" w:color="auto" w:fill="auto"/>
                          </w:tcPr>
                          <w:p w14:paraId="270FA56F"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雷同</w:t>
                            </w:r>
                          </w:p>
                          <w:p w14:paraId="1E4A5DA8" w14:textId="77777777" w:rsidR="0050059F" w:rsidRPr="00030362" w:rsidRDefault="0050059F" w:rsidP="00824CD6">
                            <w:pPr>
                              <w:spacing w:line="220" w:lineRule="exact"/>
                              <w:jc w:val="center"/>
                              <w:rPr>
                                <w:rFonts w:ascii="標楷體" w:eastAsia="標楷體" w:hAnsi="標楷體"/>
                              </w:rPr>
                            </w:pPr>
                            <w:r w:rsidRPr="00030362">
                              <w:rPr>
                                <w:rFonts w:ascii="標楷體" w:eastAsia="標楷體" w:hAnsi="標楷體" w:hint="eastAsia"/>
                              </w:rPr>
                              <w:t>張數</w:t>
                            </w:r>
                          </w:p>
                        </w:tc>
                        <w:tc>
                          <w:tcPr>
                            <w:tcW w:w="1134" w:type="dxa"/>
                            <w:shd w:val="clear" w:color="auto" w:fill="auto"/>
                            <w:vAlign w:val="center"/>
                          </w:tcPr>
                          <w:p w14:paraId="25F7B0B4" w14:textId="77777777" w:rsidR="0050059F" w:rsidRPr="00030362" w:rsidRDefault="0050059F" w:rsidP="00824CD6">
                            <w:pPr>
                              <w:spacing w:line="220" w:lineRule="exact"/>
                              <w:ind w:leftChars="-25" w:left="-60" w:rightChars="-25" w:right="-60"/>
                              <w:jc w:val="center"/>
                              <w:rPr>
                                <w:rFonts w:ascii="標楷體" w:eastAsia="標楷體" w:hAnsi="標楷體"/>
                              </w:rPr>
                            </w:pPr>
                            <w:r w:rsidRPr="00030362">
                              <w:rPr>
                                <w:rFonts w:ascii="標楷體" w:eastAsia="標楷體" w:hAnsi="標楷體" w:hint="eastAsia"/>
                              </w:rPr>
                              <w:t>對應雷同張數</w:t>
                            </w:r>
                          </w:p>
                        </w:tc>
                      </w:tr>
                      <w:tr w:rsidR="0050059F" w:rsidRPr="007F5795" w14:paraId="1D710BB1" w14:textId="77777777" w:rsidTr="00824CD6">
                        <w:trPr>
                          <w:trHeight w:val="284"/>
                          <w:jc w:val="center"/>
                        </w:trPr>
                        <w:tc>
                          <w:tcPr>
                            <w:tcW w:w="466" w:type="dxa"/>
                            <w:vMerge w:val="restart"/>
                            <w:vAlign w:val="center"/>
                          </w:tcPr>
                          <w:p w14:paraId="59D35372" w14:textId="77777777" w:rsidR="0050059F" w:rsidRPr="000B20C3" w:rsidRDefault="0050059F" w:rsidP="00824CD6">
                            <w:pPr>
                              <w:spacing w:line="240" w:lineRule="exact"/>
                              <w:jc w:val="center"/>
                              <w:rPr>
                                <w:rFonts w:ascii="標楷體" w:eastAsia="標楷體" w:hAnsi="標楷體"/>
                              </w:rPr>
                            </w:pPr>
                            <w:r w:rsidRPr="000B20C3">
                              <w:rPr>
                                <w:rFonts w:ascii="標楷體" w:eastAsia="標楷體" w:hAnsi="標楷體" w:hint="eastAsia"/>
                              </w:rPr>
                              <w:t>A</w:t>
                            </w:r>
                            <w:r w:rsidRPr="000B20C3">
                              <w:rPr>
                                <w:rFonts w:ascii="標楷體" w:eastAsia="標楷體" w:hAnsi="標楷體"/>
                              </w:rPr>
                              <w:t>項</w:t>
                            </w:r>
                          </w:p>
                        </w:tc>
                        <w:tc>
                          <w:tcPr>
                            <w:tcW w:w="2835" w:type="dxa"/>
                            <w:vMerge w:val="restart"/>
                            <w:vAlign w:val="center"/>
                          </w:tcPr>
                          <w:p w14:paraId="1B352E9B" w14:textId="77777777" w:rsidR="0050059F" w:rsidRPr="00361BA5" w:rsidRDefault="0050059F" w:rsidP="00824CD6">
                            <w:pPr>
                              <w:spacing w:line="240" w:lineRule="exact"/>
                              <w:jc w:val="both"/>
                              <w:rPr>
                                <w:rFonts w:ascii="標楷體" w:eastAsia="標楷體" w:hAnsi="標楷體"/>
                              </w:rPr>
                            </w:pPr>
                            <w:r w:rsidRPr="00361BA5">
                              <w:rPr>
                                <w:rFonts w:ascii="標楷體" w:eastAsia="標楷體" w:hAnsi="標楷體" w:hint="eastAsia"/>
                              </w:rPr>
                              <w:t>1</w:t>
                            </w:r>
                            <w:r w:rsidRPr="00361BA5">
                              <w:rPr>
                                <w:rFonts w:ascii="標楷體" w:eastAsia="標楷體" w:hAnsi="標楷體"/>
                              </w:rPr>
                              <w:t>13</w:t>
                            </w:r>
                            <w:r w:rsidRPr="00361BA5">
                              <w:rPr>
                                <w:rFonts w:ascii="標楷體" w:eastAsia="標楷體" w:hAnsi="標楷體" w:hint="eastAsia"/>
                              </w:rPr>
                              <w:t>年</w:t>
                            </w:r>
                            <w:r>
                              <w:rPr>
                                <w:rFonts w:ascii="標楷體" w:eastAsia="標楷體" w:hAnsi="標楷體" w:hint="eastAsia"/>
                              </w:rPr>
                              <w:t>1</w:t>
                            </w:r>
                            <w:r w:rsidRPr="00361BA5">
                              <w:rPr>
                                <w:rFonts w:ascii="標楷體" w:eastAsia="標楷體" w:hAnsi="標楷體" w:hint="eastAsia"/>
                              </w:rPr>
                              <w:t>至1</w:t>
                            </w:r>
                            <w:r w:rsidRPr="00361BA5">
                              <w:rPr>
                                <w:rFonts w:ascii="標楷體" w:eastAsia="標楷體" w:hAnsi="標楷體"/>
                              </w:rPr>
                              <w:t>0</w:t>
                            </w:r>
                            <w:r w:rsidRPr="00361BA5">
                              <w:rPr>
                                <w:rFonts w:ascii="標楷體" w:eastAsia="標楷體" w:hAnsi="標楷體" w:hint="eastAsia"/>
                              </w:rPr>
                              <w:t>月</w:t>
                            </w:r>
                          </w:p>
                        </w:tc>
                        <w:tc>
                          <w:tcPr>
                            <w:tcW w:w="1077" w:type="dxa"/>
                            <w:vMerge w:val="restart"/>
                            <w:vAlign w:val="center"/>
                          </w:tcPr>
                          <w:p w14:paraId="6249C341" w14:textId="77777777" w:rsidR="0050059F" w:rsidRPr="000B20C3" w:rsidRDefault="0050059F" w:rsidP="00824CD6">
                            <w:pPr>
                              <w:spacing w:line="240" w:lineRule="exact"/>
                              <w:jc w:val="right"/>
                              <w:rPr>
                                <w:rFonts w:ascii="標楷體" w:eastAsia="標楷體" w:hAnsi="標楷體"/>
                              </w:rPr>
                            </w:pPr>
                            <w:r w:rsidRPr="000B20C3">
                              <w:rPr>
                                <w:rFonts w:ascii="標楷體" w:eastAsia="標楷體" w:hAnsi="標楷體"/>
                              </w:rPr>
                              <w:t>5,902</w:t>
                            </w:r>
                          </w:p>
                        </w:tc>
                        <w:tc>
                          <w:tcPr>
                            <w:tcW w:w="851" w:type="dxa"/>
                            <w:vMerge w:val="restart"/>
                            <w:vAlign w:val="center"/>
                          </w:tcPr>
                          <w:p w14:paraId="42D47160" w14:textId="77777777" w:rsidR="0050059F" w:rsidRPr="000B20C3" w:rsidRDefault="0050059F" w:rsidP="00824CD6">
                            <w:pPr>
                              <w:spacing w:line="240" w:lineRule="exact"/>
                              <w:jc w:val="right"/>
                              <w:rPr>
                                <w:rFonts w:ascii="標楷體" w:eastAsia="標楷體" w:hAnsi="標楷體"/>
                              </w:rPr>
                            </w:pPr>
                            <w:r w:rsidRPr="000B20C3">
                              <w:rPr>
                                <w:rFonts w:ascii="標楷體" w:eastAsia="標楷體" w:hAnsi="標楷體"/>
                              </w:rPr>
                              <w:t>625</w:t>
                            </w:r>
                          </w:p>
                        </w:tc>
                        <w:tc>
                          <w:tcPr>
                            <w:tcW w:w="851" w:type="dxa"/>
                            <w:gridSpan w:val="2"/>
                            <w:tcBorders>
                              <w:bottom w:val="single" w:sz="4" w:space="0" w:color="auto"/>
                            </w:tcBorders>
                            <w:vAlign w:val="center"/>
                          </w:tcPr>
                          <w:p w14:paraId="6B0E44C4" w14:textId="77777777" w:rsidR="0050059F" w:rsidRPr="00C73569" w:rsidRDefault="0050059F" w:rsidP="00824CD6">
                            <w:pPr>
                              <w:spacing w:line="240" w:lineRule="exact"/>
                              <w:jc w:val="center"/>
                              <w:rPr>
                                <w:rFonts w:ascii="標楷體" w:eastAsia="標楷體" w:hAnsi="標楷體"/>
                                <w:b/>
                                <w:bCs/>
                              </w:rPr>
                            </w:pPr>
                            <w:r w:rsidRPr="00C73569">
                              <w:rPr>
                                <w:rFonts w:ascii="標楷體" w:eastAsia="標楷體" w:hAnsi="標楷體" w:hint="eastAsia"/>
                                <w:b/>
                                <w:bCs/>
                              </w:rPr>
                              <w:t>小計</w:t>
                            </w:r>
                            <w:r w:rsidRPr="00C73569">
                              <w:rPr>
                                <w:rFonts w:ascii="標楷體" w:eastAsia="標楷體" w:hAnsi="標楷體"/>
                                <w:b/>
                                <w:bCs/>
                              </w:rPr>
                              <w:t>119</w:t>
                            </w:r>
                          </w:p>
                        </w:tc>
                      </w:tr>
                      <w:tr w:rsidR="0050059F" w:rsidRPr="007F5795" w14:paraId="51E549DB" w14:textId="77777777" w:rsidTr="00824CD6">
                        <w:trPr>
                          <w:trHeight w:val="284"/>
                          <w:jc w:val="center"/>
                        </w:trPr>
                        <w:tc>
                          <w:tcPr>
                            <w:tcW w:w="466" w:type="dxa"/>
                            <w:vMerge/>
                            <w:tcBorders>
                              <w:bottom w:val="double" w:sz="4" w:space="0" w:color="auto"/>
                            </w:tcBorders>
                            <w:vAlign w:val="center"/>
                          </w:tcPr>
                          <w:p w14:paraId="14DA3BC7" w14:textId="77777777" w:rsidR="0050059F" w:rsidRPr="000B20C3" w:rsidRDefault="0050059F" w:rsidP="00824CD6">
                            <w:pPr>
                              <w:spacing w:line="240" w:lineRule="exact"/>
                              <w:jc w:val="center"/>
                              <w:rPr>
                                <w:rFonts w:ascii="標楷體" w:eastAsia="標楷體" w:hAnsi="標楷體"/>
                              </w:rPr>
                            </w:pPr>
                          </w:p>
                        </w:tc>
                        <w:tc>
                          <w:tcPr>
                            <w:tcW w:w="2835" w:type="dxa"/>
                            <w:vMerge/>
                            <w:tcBorders>
                              <w:bottom w:val="double" w:sz="4" w:space="0" w:color="auto"/>
                            </w:tcBorders>
                            <w:vAlign w:val="center"/>
                          </w:tcPr>
                          <w:p w14:paraId="1333F6CB" w14:textId="77777777" w:rsidR="0050059F" w:rsidRPr="00361BA5" w:rsidRDefault="0050059F" w:rsidP="00824CD6">
                            <w:pPr>
                              <w:spacing w:line="240" w:lineRule="exact"/>
                              <w:jc w:val="both"/>
                              <w:rPr>
                                <w:rFonts w:ascii="標楷體" w:eastAsia="標楷體" w:hAnsi="標楷體"/>
                              </w:rPr>
                            </w:pPr>
                          </w:p>
                        </w:tc>
                        <w:tc>
                          <w:tcPr>
                            <w:tcW w:w="1077" w:type="dxa"/>
                            <w:vMerge/>
                            <w:tcBorders>
                              <w:bottom w:val="double" w:sz="4" w:space="0" w:color="auto"/>
                            </w:tcBorders>
                            <w:vAlign w:val="center"/>
                          </w:tcPr>
                          <w:p w14:paraId="4B8F97BF" w14:textId="77777777" w:rsidR="0050059F" w:rsidRPr="000B20C3" w:rsidRDefault="0050059F" w:rsidP="00824CD6">
                            <w:pPr>
                              <w:spacing w:line="240" w:lineRule="exact"/>
                              <w:jc w:val="right"/>
                              <w:rPr>
                                <w:rFonts w:ascii="標楷體" w:eastAsia="標楷體" w:hAnsi="標楷體"/>
                              </w:rPr>
                            </w:pPr>
                          </w:p>
                        </w:tc>
                        <w:tc>
                          <w:tcPr>
                            <w:tcW w:w="851" w:type="dxa"/>
                            <w:vMerge/>
                            <w:tcBorders>
                              <w:bottom w:val="double" w:sz="4" w:space="0" w:color="auto"/>
                            </w:tcBorders>
                            <w:vAlign w:val="center"/>
                          </w:tcPr>
                          <w:p w14:paraId="5EBD5799" w14:textId="77777777" w:rsidR="0050059F" w:rsidRPr="000B20C3" w:rsidRDefault="0050059F" w:rsidP="00824CD6">
                            <w:pPr>
                              <w:spacing w:line="240" w:lineRule="exact"/>
                              <w:jc w:val="right"/>
                              <w:rPr>
                                <w:rFonts w:ascii="標楷體" w:eastAsia="標楷體" w:hAnsi="標楷體"/>
                              </w:rPr>
                            </w:pPr>
                          </w:p>
                        </w:tc>
                        <w:tc>
                          <w:tcPr>
                            <w:tcW w:w="851" w:type="dxa"/>
                            <w:tcBorders>
                              <w:top w:val="single" w:sz="4" w:space="0" w:color="auto"/>
                              <w:bottom w:val="double" w:sz="4" w:space="0" w:color="auto"/>
                            </w:tcBorders>
                            <w:vAlign w:val="center"/>
                          </w:tcPr>
                          <w:p w14:paraId="20D660ED" w14:textId="77777777" w:rsidR="0050059F" w:rsidRPr="0089608D" w:rsidRDefault="0050059F" w:rsidP="00824CD6">
                            <w:pPr>
                              <w:spacing w:line="240" w:lineRule="exact"/>
                              <w:jc w:val="right"/>
                              <w:rPr>
                                <w:rFonts w:ascii="標楷體" w:eastAsia="標楷體" w:hAnsi="標楷體"/>
                              </w:rPr>
                            </w:pPr>
                            <w:r w:rsidRPr="0089608D">
                              <w:rPr>
                                <w:rFonts w:ascii="標楷體" w:eastAsia="標楷體" w:hAnsi="標楷體"/>
                              </w:rPr>
                              <w:t>78</w:t>
                            </w:r>
                          </w:p>
                        </w:tc>
                        <w:tc>
                          <w:tcPr>
                            <w:tcW w:w="1134" w:type="dxa"/>
                            <w:tcBorders>
                              <w:bottom w:val="double" w:sz="4" w:space="0" w:color="auto"/>
                            </w:tcBorders>
                            <w:vAlign w:val="center"/>
                          </w:tcPr>
                          <w:p w14:paraId="5B511D7E" w14:textId="77777777" w:rsidR="0050059F" w:rsidRPr="0089608D" w:rsidRDefault="0050059F" w:rsidP="00824CD6">
                            <w:pPr>
                              <w:spacing w:line="240" w:lineRule="exact"/>
                              <w:jc w:val="right"/>
                              <w:rPr>
                                <w:rFonts w:ascii="標楷體" w:eastAsia="標楷體" w:hAnsi="標楷體"/>
                              </w:rPr>
                            </w:pPr>
                            <w:r w:rsidRPr="0089608D">
                              <w:rPr>
                                <w:rFonts w:ascii="標楷體" w:eastAsia="標楷體" w:hAnsi="標楷體"/>
                              </w:rPr>
                              <w:t>41</w:t>
                            </w:r>
                          </w:p>
                        </w:tc>
                      </w:tr>
                      <w:tr w:rsidR="0050059F" w:rsidRPr="007F5795" w14:paraId="4BB489E7" w14:textId="77777777" w:rsidTr="00824CD6">
                        <w:trPr>
                          <w:trHeight w:val="284"/>
                          <w:jc w:val="center"/>
                        </w:trPr>
                        <w:tc>
                          <w:tcPr>
                            <w:tcW w:w="466" w:type="dxa"/>
                            <w:vMerge w:val="restart"/>
                            <w:tcBorders>
                              <w:top w:val="double" w:sz="4" w:space="0" w:color="auto"/>
                            </w:tcBorders>
                            <w:vAlign w:val="center"/>
                          </w:tcPr>
                          <w:p w14:paraId="644F43A7" w14:textId="77777777" w:rsidR="0050059F" w:rsidRPr="000B20C3" w:rsidRDefault="0050059F" w:rsidP="00824CD6">
                            <w:pPr>
                              <w:spacing w:line="240" w:lineRule="exact"/>
                              <w:jc w:val="center"/>
                              <w:rPr>
                                <w:rFonts w:ascii="標楷體" w:eastAsia="標楷體" w:hAnsi="標楷體"/>
                              </w:rPr>
                            </w:pPr>
                            <w:r w:rsidRPr="000B20C3">
                              <w:rPr>
                                <w:rFonts w:ascii="標楷體" w:eastAsia="標楷體" w:hAnsi="標楷體" w:hint="eastAsia"/>
                              </w:rPr>
                              <w:t>B</w:t>
                            </w:r>
                            <w:r w:rsidRPr="000B20C3">
                              <w:rPr>
                                <w:rFonts w:ascii="標楷體" w:eastAsia="標楷體" w:hAnsi="標楷體"/>
                              </w:rPr>
                              <w:t>項</w:t>
                            </w:r>
                          </w:p>
                        </w:tc>
                        <w:tc>
                          <w:tcPr>
                            <w:tcW w:w="2835" w:type="dxa"/>
                            <w:tcBorders>
                              <w:top w:val="double" w:sz="4" w:space="0" w:color="auto"/>
                            </w:tcBorders>
                            <w:vAlign w:val="center"/>
                          </w:tcPr>
                          <w:p w14:paraId="4FE3497D" w14:textId="77777777" w:rsidR="0050059F" w:rsidRPr="00361BA5" w:rsidRDefault="0050059F" w:rsidP="00824CD6">
                            <w:pPr>
                              <w:spacing w:line="240" w:lineRule="exact"/>
                              <w:jc w:val="both"/>
                              <w:rPr>
                                <w:rFonts w:ascii="標楷體" w:eastAsia="標楷體" w:hAnsi="標楷體"/>
                                <w:spacing w:val="-4"/>
                              </w:rPr>
                            </w:pPr>
                            <w:r w:rsidRPr="00361BA5">
                              <w:rPr>
                                <w:rFonts w:ascii="標楷體" w:eastAsia="標楷體" w:hAnsi="標楷體"/>
                                <w:spacing w:val="-4"/>
                              </w:rPr>
                              <w:t>113</w:t>
                            </w:r>
                            <w:r w:rsidRPr="00361BA5">
                              <w:rPr>
                                <w:rFonts w:ascii="標楷體" w:eastAsia="標楷體" w:hAnsi="標楷體" w:hint="eastAsia"/>
                                <w:spacing w:val="-4"/>
                              </w:rPr>
                              <w:t>年3月及4月未</w:t>
                            </w:r>
                            <w:proofErr w:type="gramStart"/>
                            <w:r w:rsidRPr="00361BA5">
                              <w:rPr>
                                <w:rFonts w:ascii="標楷體" w:eastAsia="標楷體" w:hAnsi="標楷體" w:hint="eastAsia"/>
                                <w:spacing w:val="-4"/>
                              </w:rPr>
                              <w:t>檢附空車</w:t>
                            </w:r>
                            <w:proofErr w:type="gramEnd"/>
                            <w:r w:rsidRPr="00361BA5">
                              <w:rPr>
                                <w:rFonts w:ascii="標楷體" w:eastAsia="標楷體" w:hAnsi="標楷體" w:hint="eastAsia"/>
                                <w:spacing w:val="-4"/>
                              </w:rPr>
                              <w:t>位巡檢紀錄(含照片)</w:t>
                            </w:r>
                          </w:p>
                        </w:tc>
                        <w:tc>
                          <w:tcPr>
                            <w:tcW w:w="1077" w:type="dxa"/>
                            <w:tcBorders>
                              <w:top w:val="double" w:sz="4" w:space="0" w:color="auto"/>
                            </w:tcBorders>
                            <w:vAlign w:val="center"/>
                          </w:tcPr>
                          <w:p w14:paraId="5D8728DC" w14:textId="77777777" w:rsidR="0050059F" w:rsidRPr="000B20C3" w:rsidRDefault="0050059F" w:rsidP="00824CD6">
                            <w:pPr>
                              <w:spacing w:line="240" w:lineRule="exact"/>
                              <w:jc w:val="right"/>
                              <w:rPr>
                                <w:rFonts w:ascii="標楷體" w:eastAsia="標楷體" w:hAnsi="標楷體"/>
                              </w:rPr>
                            </w:pPr>
                            <w:r w:rsidRPr="000B20C3">
                              <w:rPr>
                                <w:rFonts w:ascii="標楷體" w:eastAsia="標楷體" w:hAnsi="標楷體"/>
                              </w:rPr>
                              <w:t>610</w:t>
                            </w:r>
                          </w:p>
                        </w:tc>
                        <w:tc>
                          <w:tcPr>
                            <w:tcW w:w="851" w:type="dxa"/>
                            <w:tcBorders>
                              <w:top w:val="double" w:sz="4" w:space="0" w:color="auto"/>
                            </w:tcBorders>
                            <w:vAlign w:val="center"/>
                          </w:tcPr>
                          <w:p w14:paraId="253761B5" w14:textId="77777777" w:rsidR="0050059F" w:rsidRPr="000B20C3" w:rsidRDefault="0050059F" w:rsidP="00824CD6">
                            <w:pPr>
                              <w:spacing w:line="240" w:lineRule="exact"/>
                              <w:jc w:val="right"/>
                              <w:rPr>
                                <w:rFonts w:ascii="標楷體" w:eastAsia="標楷體" w:hAnsi="標楷體"/>
                              </w:rPr>
                            </w:pPr>
                            <w:r w:rsidRPr="00773D26">
                              <w:rPr>
                                <w:rFonts w:ascii="標楷體" w:eastAsia="標楷體" w:hAnsi="標楷體" w:hint="eastAsia"/>
                              </w:rPr>
                              <w:t>－</w:t>
                            </w:r>
                          </w:p>
                        </w:tc>
                        <w:tc>
                          <w:tcPr>
                            <w:tcW w:w="851" w:type="dxa"/>
                            <w:tcBorders>
                              <w:top w:val="double" w:sz="4" w:space="0" w:color="auto"/>
                            </w:tcBorders>
                            <w:vAlign w:val="center"/>
                          </w:tcPr>
                          <w:p w14:paraId="58AC11CD" w14:textId="77777777" w:rsidR="0050059F" w:rsidRPr="0089608D" w:rsidRDefault="0050059F" w:rsidP="00824CD6">
                            <w:pPr>
                              <w:spacing w:line="240" w:lineRule="exact"/>
                              <w:jc w:val="right"/>
                              <w:rPr>
                                <w:rFonts w:ascii="標楷體" w:eastAsia="標楷體" w:hAnsi="標楷體"/>
                              </w:rPr>
                            </w:pPr>
                            <w:r w:rsidRPr="00773D26">
                              <w:rPr>
                                <w:rFonts w:ascii="標楷體" w:eastAsia="標楷體" w:hAnsi="標楷體" w:hint="eastAsia"/>
                              </w:rPr>
                              <w:t>－</w:t>
                            </w:r>
                          </w:p>
                        </w:tc>
                        <w:tc>
                          <w:tcPr>
                            <w:tcW w:w="1134" w:type="dxa"/>
                            <w:tcBorders>
                              <w:top w:val="double" w:sz="4" w:space="0" w:color="auto"/>
                            </w:tcBorders>
                            <w:vAlign w:val="center"/>
                          </w:tcPr>
                          <w:p w14:paraId="5C33D663" w14:textId="77777777" w:rsidR="0050059F" w:rsidRPr="0089608D" w:rsidRDefault="0050059F" w:rsidP="00824CD6">
                            <w:pPr>
                              <w:spacing w:line="240" w:lineRule="exact"/>
                              <w:jc w:val="right"/>
                              <w:rPr>
                                <w:rFonts w:ascii="標楷體" w:eastAsia="標楷體" w:hAnsi="標楷體"/>
                              </w:rPr>
                            </w:pPr>
                            <w:r w:rsidRPr="00773D26">
                              <w:rPr>
                                <w:rFonts w:ascii="標楷體" w:eastAsia="標楷體" w:hAnsi="標楷體" w:hint="eastAsia"/>
                              </w:rPr>
                              <w:t>－</w:t>
                            </w:r>
                          </w:p>
                        </w:tc>
                      </w:tr>
                      <w:tr w:rsidR="0050059F" w:rsidRPr="007F5795" w14:paraId="175B052D" w14:textId="77777777" w:rsidTr="00824CD6">
                        <w:trPr>
                          <w:trHeight w:val="284"/>
                          <w:jc w:val="center"/>
                        </w:trPr>
                        <w:tc>
                          <w:tcPr>
                            <w:tcW w:w="466" w:type="dxa"/>
                            <w:vMerge/>
                            <w:vAlign w:val="center"/>
                          </w:tcPr>
                          <w:p w14:paraId="681B3902" w14:textId="77777777" w:rsidR="0050059F" w:rsidRPr="000B20C3" w:rsidRDefault="0050059F" w:rsidP="00824CD6">
                            <w:pPr>
                              <w:spacing w:line="240" w:lineRule="exact"/>
                              <w:jc w:val="center"/>
                              <w:rPr>
                                <w:rFonts w:ascii="標楷體" w:eastAsia="標楷體" w:hAnsi="標楷體"/>
                              </w:rPr>
                            </w:pPr>
                          </w:p>
                        </w:tc>
                        <w:tc>
                          <w:tcPr>
                            <w:tcW w:w="2835" w:type="dxa"/>
                            <w:vMerge w:val="restart"/>
                            <w:vAlign w:val="center"/>
                          </w:tcPr>
                          <w:p w14:paraId="7766F69D" w14:textId="77777777" w:rsidR="0050059F" w:rsidRPr="00361BA5" w:rsidRDefault="0050059F" w:rsidP="00824CD6">
                            <w:pPr>
                              <w:spacing w:line="240" w:lineRule="exact"/>
                              <w:jc w:val="both"/>
                              <w:rPr>
                                <w:rFonts w:ascii="標楷體" w:eastAsia="標楷體" w:hAnsi="標楷體"/>
                              </w:rPr>
                            </w:pPr>
                            <w:r w:rsidRPr="00361BA5">
                              <w:rPr>
                                <w:rFonts w:ascii="標楷體" w:eastAsia="標楷體" w:hAnsi="標楷體"/>
                              </w:rPr>
                              <w:t>113</w:t>
                            </w:r>
                            <w:r w:rsidRPr="00361BA5">
                              <w:rPr>
                                <w:rFonts w:ascii="標楷體" w:eastAsia="標楷體" w:hAnsi="標楷體" w:hint="eastAsia"/>
                              </w:rPr>
                              <w:t>年1月、2月及5至</w:t>
                            </w:r>
                            <w:r w:rsidRPr="00361BA5">
                              <w:rPr>
                                <w:rFonts w:ascii="標楷體" w:eastAsia="標楷體" w:hAnsi="標楷體"/>
                              </w:rPr>
                              <w:t>9</w:t>
                            </w:r>
                            <w:r w:rsidRPr="00361BA5">
                              <w:rPr>
                                <w:rFonts w:ascii="標楷體" w:eastAsia="標楷體" w:hAnsi="標楷體" w:hint="eastAsia"/>
                              </w:rPr>
                              <w:t>月</w:t>
                            </w:r>
                          </w:p>
                        </w:tc>
                        <w:tc>
                          <w:tcPr>
                            <w:tcW w:w="1077" w:type="dxa"/>
                            <w:vMerge w:val="restart"/>
                            <w:vAlign w:val="center"/>
                          </w:tcPr>
                          <w:p w14:paraId="440FCCA9" w14:textId="77777777" w:rsidR="0050059F" w:rsidRPr="000B20C3" w:rsidRDefault="0050059F" w:rsidP="00824CD6">
                            <w:pPr>
                              <w:spacing w:line="240" w:lineRule="exact"/>
                              <w:jc w:val="right"/>
                              <w:rPr>
                                <w:rFonts w:ascii="標楷體" w:eastAsia="標楷體" w:hAnsi="標楷體"/>
                              </w:rPr>
                            </w:pPr>
                            <w:r w:rsidRPr="000B20C3">
                              <w:rPr>
                                <w:rFonts w:ascii="標楷體" w:eastAsia="標楷體" w:hAnsi="標楷體"/>
                              </w:rPr>
                              <w:t>2,154</w:t>
                            </w:r>
                          </w:p>
                        </w:tc>
                        <w:tc>
                          <w:tcPr>
                            <w:tcW w:w="851" w:type="dxa"/>
                            <w:vMerge w:val="restart"/>
                            <w:vAlign w:val="center"/>
                          </w:tcPr>
                          <w:p w14:paraId="2D2B5154" w14:textId="77777777" w:rsidR="0050059F" w:rsidRPr="000B20C3" w:rsidRDefault="0050059F" w:rsidP="00824CD6">
                            <w:pPr>
                              <w:spacing w:line="240" w:lineRule="exact"/>
                              <w:jc w:val="right"/>
                              <w:rPr>
                                <w:rFonts w:ascii="標楷體" w:eastAsia="標楷體" w:hAnsi="標楷體"/>
                              </w:rPr>
                            </w:pPr>
                            <w:r w:rsidRPr="000B20C3">
                              <w:rPr>
                                <w:rFonts w:ascii="標楷體" w:eastAsia="標楷體" w:hAnsi="標楷體"/>
                              </w:rPr>
                              <w:t>205</w:t>
                            </w:r>
                          </w:p>
                        </w:tc>
                        <w:tc>
                          <w:tcPr>
                            <w:tcW w:w="851" w:type="dxa"/>
                            <w:gridSpan w:val="2"/>
                            <w:vAlign w:val="center"/>
                          </w:tcPr>
                          <w:p w14:paraId="71DBC680" w14:textId="77777777" w:rsidR="0050059F" w:rsidRPr="00C73569" w:rsidRDefault="0050059F" w:rsidP="00824CD6">
                            <w:pPr>
                              <w:spacing w:line="240" w:lineRule="exact"/>
                              <w:jc w:val="center"/>
                              <w:rPr>
                                <w:rFonts w:ascii="標楷體" w:eastAsia="標楷體" w:hAnsi="標楷體"/>
                                <w:b/>
                                <w:bCs/>
                              </w:rPr>
                            </w:pPr>
                            <w:r w:rsidRPr="00C73569">
                              <w:rPr>
                                <w:rFonts w:ascii="標楷體" w:eastAsia="標楷體" w:hAnsi="標楷體" w:hint="eastAsia"/>
                                <w:b/>
                                <w:bCs/>
                              </w:rPr>
                              <w:t>小計</w:t>
                            </w:r>
                            <w:r>
                              <w:rPr>
                                <w:rFonts w:ascii="標楷體" w:eastAsia="標楷體" w:hAnsi="標楷體"/>
                                <w:b/>
                                <w:bCs/>
                              </w:rPr>
                              <w:t xml:space="preserve"> </w:t>
                            </w:r>
                            <w:r w:rsidRPr="00C73569">
                              <w:rPr>
                                <w:rFonts w:ascii="標楷體" w:eastAsia="標楷體" w:hAnsi="標楷體"/>
                                <w:b/>
                                <w:bCs/>
                              </w:rPr>
                              <w:t>29</w:t>
                            </w:r>
                          </w:p>
                        </w:tc>
                      </w:tr>
                      <w:tr w:rsidR="0050059F" w:rsidRPr="007F5795" w14:paraId="56AC8E40" w14:textId="77777777" w:rsidTr="00824CD6">
                        <w:trPr>
                          <w:trHeight w:val="284"/>
                          <w:jc w:val="center"/>
                        </w:trPr>
                        <w:tc>
                          <w:tcPr>
                            <w:tcW w:w="466" w:type="dxa"/>
                            <w:vMerge/>
                            <w:vAlign w:val="center"/>
                          </w:tcPr>
                          <w:p w14:paraId="19E25FC0" w14:textId="77777777" w:rsidR="0050059F" w:rsidRPr="000B20C3" w:rsidRDefault="0050059F" w:rsidP="00824CD6">
                            <w:pPr>
                              <w:spacing w:line="240" w:lineRule="exact"/>
                              <w:jc w:val="center"/>
                              <w:rPr>
                                <w:rFonts w:ascii="標楷體" w:eastAsia="標楷體" w:hAnsi="標楷體"/>
                              </w:rPr>
                            </w:pPr>
                          </w:p>
                        </w:tc>
                        <w:tc>
                          <w:tcPr>
                            <w:tcW w:w="2835" w:type="dxa"/>
                            <w:vMerge/>
                            <w:vAlign w:val="center"/>
                          </w:tcPr>
                          <w:p w14:paraId="1C7FF868" w14:textId="77777777" w:rsidR="0050059F" w:rsidRPr="000B20C3" w:rsidRDefault="0050059F" w:rsidP="00824CD6">
                            <w:pPr>
                              <w:spacing w:line="240" w:lineRule="exact"/>
                              <w:jc w:val="both"/>
                              <w:rPr>
                                <w:rFonts w:ascii="標楷體" w:eastAsia="標楷體" w:hAnsi="標楷體"/>
                                <w:spacing w:val="-12"/>
                              </w:rPr>
                            </w:pPr>
                          </w:p>
                        </w:tc>
                        <w:tc>
                          <w:tcPr>
                            <w:tcW w:w="1077" w:type="dxa"/>
                            <w:vMerge/>
                            <w:vAlign w:val="center"/>
                          </w:tcPr>
                          <w:p w14:paraId="74697556" w14:textId="77777777" w:rsidR="0050059F" w:rsidRPr="000B20C3" w:rsidRDefault="0050059F" w:rsidP="00824CD6">
                            <w:pPr>
                              <w:spacing w:line="240" w:lineRule="exact"/>
                              <w:jc w:val="center"/>
                              <w:rPr>
                                <w:rFonts w:ascii="標楷體" w:eastAsia="標楷體" w:hAnsi="標楷體"/>
                              </w:rPr>
                            </w:pPr>
                          </w:p>
                        </w:tc>
                        <w:tc>
                          <w:tcPr>
                            <w:tcW w:w="851" w:type="dxa"/>
                            <w:vMerge/>
                            <w:vAlign w:val="center"/>
                          </w:tcPr>
                          <w:p w14:paraId="0CC74FFE" w14:textId="77777777" w:rsidR="0050059F" w:rsidRPr="000B20C3" w:rsidRDefault="0050059F" w:rsidP="00824CD6">
                            <w:pPr>
                              <w:spacing w:line="240" w:lineRule="exact"/>
                              <w:jc w:val="center"/>
                              <w:rPr>
                                <w:rFonts w:ascii="標楷體" w:eastAsia="標楷體" w:hAnsi="標楷體"/>
                              </w:rPr>
                            </w:pPr>
                          </w:p>
                        </w:tc>
                        <w:tc>
                          <w:tcPr>
                            <w:tcW w:w="851" w:type="dxa"/>
                            <w:vAlign w:val="center"/>
                          </w:tcPr>
                          <w:p w14:paraId="55547E8A" w14:textId="77777777" w:rsidR="0050059F" w:rsidRPr="0089608D" w:rsidRDefault="0050059F" w:rsidP="00824CD6">
                            <w:pPr>
                              <w:spacing w:line="240" w:lineRule="exact"/>
                              <w:jc w:val="right"/>
                              <w:rPr>
                                <w:rFonts w:ascii="標楷體" w:eastAsia="標楷體" w:hAnsi="標楷體"/>
                              </w:rPr>
                            </w:pPr>
                            <w:r w:rsidRPr="0089608D">
                              <w:rPr>
                                <w:rFonts w:ascii="標楷體" w:eastAsia="標楷體" w:hAnsi="標楷體"/>
                              </w:rPr>
                              <w:t>18</w:t>
                            </w:r>
                          </w:p>
                        </w:tc>
                        <w:tc>
                          <w:tcPr>
                            <w:tcW w:w="1134" w:type="dxa"/>
                            <w:vAlign w:val="center"/>
                          </w:tcPr>
                          <w:p w14:paraId="258767F9" w14:textId="77777777" w:rsidR="0050059F" w:rsidRPr="0089608D" w:rsidRDefault="0050059F" w:rsidP="00824CD6">
                            <w:pPr>
                              <w:spacing w:line="240" w:lineRule="exact"/>
                              <w:jc w:val="right"/>
                              <w:rPr>
                                <w:rFonts w:ascii="標楷體" w:eastAsia="標楷體" w:hAnsi="標楷體"/>
                              </w:rPr>
                            </w:pPr>
                            <w:r w:rsidRPr="0089608D">
                              <w:rPr>
                                <w:rFonts w:ascii="標楷體" w:eastAsia="標楷體" w:hAnsi="標楷體"/>
                              </w:rPr>
                              <w:t>11</w:t>
                            </w:r>
                          </w:p>
                        </w:tc>
                      </w:tr>
                    </w:tbl>
                    <w:p w14:paraId="34DA2270" w14:textId="77777777" w:rsidR="0050059F" w:rsidRPr="00361BA5" w:rsidRDefault="0050059F" w:rsidP="0050059F">
                      <w:pPr>
                        <w:spacing w:beforeLines="10" w:before="36" w:line="220" w:lineRule="exact"/>
                        <w:ind w:leftChars="-30" w:left="423" w:rightChars="-45" w:right="-108" w:hangingChars="275" w:hanging="495"/>
                        <w:jc w:val="both"/>
                        <w:rPr>
                          <w:rFonts w:ascii="標楷體" w:eastAsia="標楷體" w:hAnsi="標楷體"/>
                          <w:sz w:val="18"/>
                          <w:szCs w:val="20"/>
                        </w:rPr>
                      </w:pPr>
                      <w:proofErr w:type="gramStart"/>
                      <w:r w:rsidRPr="00361BA5">
                        <w:rPr>
                          <w:rFonts w:ascii="標楷體" w:eastAsia="標楷體" w:hAnsi="標楷體" w:hint="eastAsia"/>
                          <w:sz w:val="18"/>
                          <w:szCs w:val="20"/>
                        </w:rPr>
                        <w:t>註</w:t>
                      </w:r>
                      <w:proofErr w:type="gramEnd"/>
                      <w:r w:rsidRPr="00361BA5">
                        <w:rPr>
                          <w:rFonts w:ascii="標楷體" w:eastAsia="標楷體" w:hAnsi="標楷體" w:hint="eastAsia"/>
                          <w:sz w:val="18"/>
                          <w:szCs w:val="20"/>
                        </w:rPr>
                        <w:t>：</w:t>
                      </w:r>
                      <w:r w:rsidRPr="00361BA5">
                        <w:rPr>
                          <w:rFonts w:ascii="標楷體" w:eastAsia="標楷體" w:hAnsi="標楷體"/>
                          <w:sz w:val="18"/>
                          <w:szCs w:val="20"/>
                        </w:rPr>
                        <w:t>1.A</w:t>
                      </w:r>
                      <w:r w:rsidRPr="00361BA5">
                        <w:rPr>
                          <w:rFonts w:ascii="標楷體" w:eastAsia="標楷體" w:hAnsi="標楷體" w:hint="eastAsia"/>
                          <w:sz w:val="18"/>
                          <w:szCs w:val="20"/>
                        </w:rPr>
                        <w:t>項及B項契約金額，包含「勞動服務項目」及「建物一般設備暨機電零星檢測維護項目」等2項；廠商</w:t>
                      </w:r>
                      <w:proofErr w:type="gramStart"/>
                      <w:r w:rsidRPr="00361BA5">
                        <w:rPr>
                          <w:rFonts w:ascii="標楷體" w:eastAsia="標楷體" w:hAnsi="標楷體" w:hint="eastAsia"/>
                          <w:sz w:val="18"/>
                          <w:szCs w:val="20"/>
                        </w:rPr>
                        <w:t>巡檢空車</w:t>
                      </w:r>
                      <w:proofErr w:type="gramEnd"/>
                      <w:r w:rsidRPr="00361BA5">
                        <w:rPr>
                          <w:rFonts w:ascii="標楷體" w:eastAsia="標楷體" w:hAnsi="標楷體" w:hint="eastAsia"/>
                          <w:sz w:val="18"/>
                          <w:szCs w:val="20"/>
                        </w:rPr>
                        <w:t>位服務事項，內含於「勞動服務項目」中，</w:t>
                      </w:r>
                      <w:proofErr w:type="gramStart"/>
                      <w:r w:rsidRPr="00361BA5">
                        <w:rPr>
                          <w:rFonts w:ascii="標楷體" w:eastAsia="標楷體" w:hAnsi="標楷體" w:hint="eastAsia"/>
                          <w:sz w:val="18"/>
                          <w:szCs w:val="20"/>
                        </w:rPr>
                        <w:t>本表估驗</w:t>
                      </w:r>
                      <w:proofErr w:type="gramEnd"/>
                      <w:r w:rsidRPr="00361BA5">
                        <w:rPr>
                          <w:rFonts w:ascii="標楷體" w:eastAsia="標楷體" w:hAnsi="標楷體" w:hint="eastAsia"/>
                          <w:sz w:val="18"/>
                          <w:szCs w:val="20"/>
                        </w:rPr>
                        <w:t>金額為「勞動服務項目」（含稅）金額。</w:t>
                      </w:r>
                    </w:p>
                    <w:p w14:paraId="2F67FFD3" w14:textId="77777777" w:rsidR="0050059F" w:rsidRPr="00361BA5" w:rsidRDefault="0050059F" w:rsidP="0050059F">
                      <w:pPr>
                        <w:spacing w:line="220" w:lineRule="exact"/>
                        <w:ind w:leftChars="-118" w:left="-283" w:firstLineChars="300" w:firstLine="540"/>
                        <w:rPr>
                          <w:rFonts w:ascii="標楷體" w:eastAsia="標楷體" w:hAnsi="標楷體"/>
                          <w:sz w:val="18"/>
                          <w:szCs w:val="20"/>
                        </w:rPr>
                      </w:pPr>
                      <w:r w:rsidRPr="00361BA5">
                        <w:rPr>
                          <w:rFonts w:ascii="標楷體" w:eastAsia="標楷體" w:hAnsi="標楷體" w:hint="eastAsia"/>
                          <w:sz w:val="18"/>
                          <w:szCs w:val="20"/>
                        </w:rPr>
                        <w:t>2</w:t>
                      </w:r>
                      <w:r w:rsidRPr="00361BA5">
                        <w:rPr>
                          <w:rFonts w:ascii="標楷體" w:eastAsia="標楷體" w:hAnsi="標楷體"/>
                          <w:sz w:val="18"/>
                          <w:szCs w:val="20"/>
                        </w:rPr>
                        <w:t>.</w:t>
                      </w:r>
                      <w:r w:rsidRPr="00361BA5">
                        <w:rPr>
                          <w:rFonts w:ascii="標楷體" w:eastAsia="標楷體" w:hAnsi="標楷體" w:hint="eastAsia"/>
                          <w:sz w:val="18"/>
                          <w:szCs w:val="20"/>
                        </w:rPr>
                        <w:t>資料來源：整理自捷運工程局提供資料。</w:t>
                      </w:r>
                    </w:p>
                  </w:txbxContent>
                </v:textbox>
                <w10:wrap type="square" anchorx="margin" anchory="page"/>
              </v:shape>
            </w:pict>
          </mc:Fallback>
        </mc:AlternateContent>
      </w:r>
      <w:r w:rsidRPr="00177770">
        <w:rPr>
          <w:rFonts w:ascii="標楷體" w:eastAsia="標楷體" w:hAnsi="標楷體" w:hint="eastAsia"/>
        </w:rPr>
        <w:t>現「A項」有78張照片連同</w:t>
      </w:r>
      <w:proofErr w:type="gramStart"/>
      <w:r w:rsidRPr="00177770">
        <w:rPr>
          <w:rFonts w:ascii="標楷體" w:eastAsia="標楷體" w:hAnsi="標楷體" w:hint="eastAsia"/>
        </w:rPr>
        <w:t>112</w:t>
      </w:r>
      <w:proofErr w:type="gramEnd"/>
      <w:r w:rsidRPr="00177770">
        <w:rPr>
          <w:rFonts w:ascii="標楷體" w:eastAsia="標楷體" w:hAnsi="標楷體" w:hint="eastAsia"/>
        </w:rPr>
        <w:t>年度「A項」41張照片共119張照片（表</w:t>
      </w:r>
      <w:r>
        <w:rPr>
          <w:rFonts w:ascii="標楷體" w:eastAsia="標楷體" w:hAnsi="標楷體"/>
        </w:rPr>
        <w:t>4</w:t>
      </w:r>
      <w:r w:rsidRPr="00177770">
        <w:rPr>
          <w:rFonts w:ascii="標楷體" w:eastAsia="標楷體" w:hAnsi="標楷體" w:hint="eastAsia"/>
        </w:rPr>
        <w:t>），遭廠商以54組雷同照片於不同月份重複計價2至3次不等；「B項」有18張照片連同</w:t>
      </w:r>
      <w:proofErr w:type="gramStart"/>
      <w:r w:rsidRPr="00177770">
        <w:rPr>
          <w:rFonts w:ascii="標楷體" w:eastAsia="標楷體" w:hAnsi="標楷體" w:hint="eastAsia"/>
        </w:rPr>
        <w:t>112</w:t>
      </w:r>
      <w:proofErr w:type="gramEnd"/>
      <w:r w:rsidRPr="00177770">
        <w:rPr>
          <w:rFonts w:ascii="標楷體" w:eastAsia="標楷體" w:hAnsi="標楷體" w:hint="eastAsia"/>
        </w:rPr>
        <w:t>年度「B項」11張照片共29張照片（表</w:t>
      </w:r>
      <w:r>
        <w:rPr>
          <w:rFonts w:ascii="標楷體" w:eastAsia="標楷體" w:hAnsi="標楷體"/>
        </w:rPr>
        <w:t>4</w:t>
      </w:r>
      <w:r w:rsidRPr="00177770">
        <w:rPr>
          <w:rFonts w:ascii="標楷體" w:eastAsia="標楷體" w:hAnsi="標楷體" w:hint="eastAsia"/>
        </w:rPr>
        <w:t>），遭廠商以14組雷同照片，於不同月份重複計價2至3次不等；2.據「B項」承攬廠商提報之113年3月及4月代管</w:t>
      </w:r>
      <w:proofErr w:type="gramStart"/>
      <w:r w:rsidRPr="00177770">
        <w:rPr>
          <w:rFonts w:ascii="標楷體" w:eastAsia="標楷體" w:hAnsi="標楷體" w:hint="eastAsia"/>
        </w:rPr>
        <w:t>案站點巡</w:t>
      </w:r>
      <w:proofErr w:type="gramEnd"/>
      <w:r w:rsidRPr="00177770">
        <w:rPr>
          <w:rFonts w:ascii="標楷體" w:eastAsia="標楷體" w:hAnsi="標楷體" w:hint="eastAsia"/>
        </w:rPr>
        <w:t>檢後總體說明資料載述，113年3月及4月空車位各有25席、29席，惟廠商未提報相關車位清潔及占用</w:t>
      </w:r>
      <w:proofErr w:type="gramStart"/>
      <w:r w:rsidRPr="00177770">
        <w:rPr>
          <w:rFonts w:ascii="標楷體" w:eastAsia="標楷體" w:hAnsi="標楷體" w:hint="eastAsia"/>
        </w:rPr>
        <w:t>情形等巡檢</w:t>
      </w:r>
      <w:proofErr w:type="gramEnd"/>
      <w:r w:rsidRPr="00177770">
        <w:rPr>
          <w:rFonts w:ascii="標楷體" w:eastAsia="標楷體" w:hAnsi="標楷體" w:hint="eastAsia"/>
        </w:rPr>
        <w:t>紀錄（含照片），捷運工程局即於113年5月核付各該月勞務服務估驗價款29萬餘元、31萬餘元，相關審核機制有待強化等情事，經函請</w:t>
      </w:r>
      <w:proofErr w:type="gramStart"/>
      <w:r w:rsidRPr="00177770">
        <w:rPr>
          <w:rFonts w:ascii="標楷體" w:eastAsia="標楷體" w:hAnsi="標楷體" w:hint="eastAsia"/>
        </w:rPr>
        <w:t>檢討妥處</w:t>
      </w:r>
      <w:proofErr w:type="gramEnd"/>
      <w:r w:rsidRPr="00177770">
        <w:rPr>
          <w:rFonts w:ascii="標楷體" w:eastAsia="標楷體" w:hAnsi="標楷體" w:hint="eastAsia"/>
        </w:rPr>
        <w:t>。據復：已</w:t>
      </w:r>
      <w:proofErr w:type="gramStart"/>
      <w:r w:rsidRPr="00177770">
        <w:rPr>
          <w:rFonts w:ascii="標楷體" w:eastAsia="標楷體" w:hAnsi="標楷體" w:hint="eastAsia"/>
        </w:rPr>
        <w:t>釐</w:t>
      </w:r>
      <w:proofErr w:type="gramEnd"/>
      <w:r w:rsidRPr="00177770">
        <w:rPr>
          <w:rFonts w:ascii="標楷體" w:eastAsia="標楷體" w:hAnsi="標楷體" w:hint="eastAsia"/>
        </w:rPr>
        <w:t>清廠商履約情形，並就照片重複被引用部分扣減廠商違約金</w:t>
      </w:r>
      <w:r w:rsidRPr="00177770">
        <w:rPr>
          <w:rFonts w:ascii="標楷體" w:eastAsia="標楷體" w:hAnsi="標楷體" w:cs="標楷體" w:hint="eastAsia"/>
          <w:bCs/>
          <w:szCs w:val="32"/>
        </w:rPr>
        <w:t>11</w:t>
      </w:r>
      <w:r w:rsidRPr="00177770">
        <w:rPr>
          <w:rFonts w:ascii="標楷體" w:eastAsia="標楷體" w:hAnsi="標楷體" w:hint="eastAsia"/>
        </w:rPr>
        <w:t>萬餘元；另針對B項</w:t>
      </w:r>
      <w:proofErr w:type="gramStart"/>
      <w:r w:rsidRPr="00177770">
        <w:rPr>
          <w:rFonts w:ascii="標楷體" w:eastAsia="標楷體" w:hAnsi="標楷體" w:hint="eastAsia"/>
        </w:rPr>
        <w:t>廠商漏檢附</w:t>
      </w:r>
      <w:proofErr w:type="gramEnd"/>
      <w:r w:rsidRPr="00177770">
        <w:rPr>
          <w:rFonts w:ascii="標楷體" w:eastAsia="標楷體" w:hAnsi="標楷體" w:hint="eastAsia"/>
        </w:rPr>
        <w:t>113年3月及4月空車位巡檢文件，除洽請補正外，並扣罰廠商2千元。又為</w:t>
      </w:r>
      <w:proofErr w:type="gramStart"/>
      <w:r w:rsidRPr="00177770">
        <w:rPr>
          <w:rFonts w:ascii="標楷體" w:eastAsia="標楷體" w:hAnsi="標楷體" w:hint="eastAsia"/>
        </w:rPr>
        <w:t>避免類案再</w:t>
      </w:r>
      <w:proofErr w:type="gramEnd"/>
      <w:r w:rsidRPr="00177770">
        <w:rPr>
          <w:rFonts w:ascii="標楷體" w:eastAsia="標楷體" w:hAnsi="標楷體" w:hint="eastAsia"/>
        </w:rPr>
        <w:t>發生，捷運工程局自114年1月起已將巡檢文件由廠商製表後分送各管轄基地承辦人員審查確認後納入工作報告書，除可確認轄管</w:t>
      </w:r>
      <w:proofErr w:type="gramStart"/>
      <w:r w:rsidRPr="00177770">
        <w:rPr>
          <w:rFonts w:ascii="標楷體" w:eastAsia="標楷體" w:hAnsi="標楷體" w:hint="eastAsia"/>
        </w:rPr>
        <w:t>基地應巡檢</w:t>
      </w:r>
      <w:proofErr w:type="gramEnd"/>
      <w:r w:rsidRPr="00177770">
        <w:rPr>
          <w:rFonts w:ascii="標楷體" w:eastAsia="標楷體" w:hAnsi="標楷體" w:hint="eastAsia"/>
        </w:rPr>
        <w:t>數量，亦能更精確掌握巡檢照片內容。</w:t>
      </w:r>
    </w:p>
    <w:p w14:paraId="6BF801C1" w14:textId="77777777" w:rsidR="0050059F" w:rsidRPr="00177770" w:rsidRDefault="0050059F" w:rsidP="00DB69CF">
      <w:pPr>
        <w:overflowPunct w:val="0"/>
        <w:spacing w:beforeLines="50" w:before="180" w:line="480" w:lineRule="exact"/>
        <w:ind w:firstLineChars="100" w:firstLine="280"/>
        <w:jc w:val="both"/>
        <w:outlineLvl w:val="3"/>
        <w:rPr>
          <w:rFonts w:ascii="標楷體" w:eastAsia="標楷體" w:hAnsi="標楷體" w:cs="Times New Roman"/>
          <w:b/>
          <w:sz w:val="28"/>
          <w:szCs w:val="32"/>
        </w:rPr>
      </w:pPr>
      <w:r w:rsidRPr="00177770">
        <w:rPr>
          <w:rFonts w:ascii="標楷體" w:eastAsia="標楷體" w:hAnsi="標楷體" w:cs="Times New Roman" w:hint="eastAsia"/>
          <w:b/>
          <w:sz w:val="28"/>
          <w:szCs w:val="32"/>
        </w:rPr>
        <w:t>（</w:t>
      </w:r>
      <w:r>
        <w:rPr>
          <w:rFonts w:ascii="標楷體" w:eastAsia="標楷體" w:hAnsi="標楷體" w:cs="Times New Roman" w:hint="eastAsia"/>
          <w:b/>
          <w:sz w:val="28"/>
          <w:szCs w:val="32"/>
        </w:rPr>
        <w:t>四</w:t>
      </w:r>
      <w:r w:rsidRPr="00177770">
        <w:rPr>
          <w:rFonts w:ascii="標楷體" w:eastAsia="標楷體" w:hAnsi="標楷體" w:cs="Times New Roman" w:hint="eastAsia"/>
          <w:b/>
          <w:sz w:val="28"/>
          <w:szCs w:val="32"/>
        </w:rPr>
        <w:t>）</w:t>
      </w:r>
      <w:proofErr w:type="gramStart"/>
      <w:r w:rsidRPr="00177770">
        <w:rPr>
          <w:rFonts w:ascii="標楷體" w:eastAsia="標楷體" w:hAnsi="標楷體" w:cs="Times New Roman" w:hint="eastAsia"/>
          <w:b/>
          <w:sz w:val="28"/>
          <w:szCs w:val="32"/>
        </w:rPr>
        <w:t>臺</w:t>
      </w:r>
      <w:proofErr w:type="gramEnd"/>
      <w:r w:rsidRPr="00177770">
        <w:rPr>
          <w:rFonts w:ascii="標楷體" w:eastAsia="標楷體" w:hAnsi="標楷體" w:cs="Times New Roman" w:hint="eastAsia"/>
          <w:b/>
          <w:sz w:val="28"/>
          <w:szCs w:val="32"/>
        </w:rPr>
        <w:t>北捷運設有火警系統監視火災徵兆，惟部分場站火警</w:t>
      </w:r>
      <w:proofErr w:type="gramStart"/>
      <w:r w:rsidRPr="00177770">
        <w:rPr>
          <w:rFonts w:ascii="標楷體" w:eastAsia="標楷體" w:hAnsi="標楷體" w:cs="Times New Roman" w:hint="eastAsia"/>
          <w:b/>
          <w:sz w:val="28"/>
          <w:szCs w:val="32"/>
        </w:rPr>
        <w:t>系統間有故障</w:t>
      </w:r>
      <w:proofErr w:type="gramEnd"/>
      <w:r w:rsidRPr="00177770">
        <w:rPr>
          <w:rFonts w:ascii="標楷體" w:eastAsia="標楷體" w:hAnsi="標楷體" w:cs="Times New Roman" w:hint="eastAsia"/>
          <w:b/>
          <w:sz w:val="28"/>
          <w:szCs w:val="32"/>
        </w:rPr>
        <w:t>頻仍，或系統</w:t>
      </w:r>
      <w:proofErr w:type="gramStart"/>
      <w:r w:rsidRPr="00177770">
        <w:rPr>
          <w:rFonts w:ascii="標楷體" w:eastAsia="標楷體" w:hAnsi="標楷體" w:cs="Times New Roman" w:hint="eastAsia"/>
          <w:b/>
          <w:sz w:val="28"/>
          <w:szCs w:val="32"/>
        </w:rPr>
        <w:t>重置後仍</w:t>
      </w:r>
      <w:proofErr w:type="gramEnd"/>
      <w:r w:rsidRPr="00177770">
        <w:rPr>
          <w:rFonts w:ascii="標楷體" w:eastAsia="標楷體" w:hAnsi="標楷體" w:hint="eastAsia"/>
          <w:b/>
          <w:sz w:val="28"/>
          <w:szCs w:val="28"/>
        </w:rPr>
        <w:t>運作</w:t>
      </w:r>
      <w:r w:rsidRPr="00177770">
        <w:rPr>
          <w:rFonts w:ascii="標楷體" w:eastAsia="標楷體" w:hAnsi="標楷體" w:cs="Times New Roman" w:hint="eastAsia"/>
          <w:b/>
          <w:sz w:val="28"/>
          <w:szCs w:val="32"/>
        </w:rPr>
        <w:t>異常情事，有待檢討改善，以發揮火警預警功能。</w:t>
      </w:r>
    </w:p>
    <w:p w14:paraId="24682D85" w14:textId="77777777" w:rsidR="0050059F" w:rsidRPr="00177770" w:rsidRDefault="0050059F" w:rsidP="0050059F">
      <w:pPr>
        <w:overflowPunct w:val="0"/>
        <w:spacing w:line="450" w:lineRule="exact"/>
        <w:ind w:firstLineChars="200" w:firstLine="476"/>
        <w:jc w:val="both"/>
        <w:outlineLvl w:val="3"/>
        <w:rPr>
          <w:rFonts w:ascii="標楷體" w:eastAsia="標楷體" w:hAnsi="標楷體" w:cs="Times New Roman"/>
          <w:spacing w:val="-1"/>
        </w:rPr>
      </w:pPr>
      <w:r w:rsidRPr="00177770">
        <w:rPr>
          <w:rFonts w:ascii="標楷體" w:eastAsia="標楷體" w:hAnsi="標楷體" w:hint="eastAsia"/>
          <w:spacing w:val="-1"/>
          <w:szCs w:val="24"/>
        </w:rPr>
        <w:lastRenderedPageBreak/>
        <w:t>捷運</w:t>
      </w:r>
      <w:r w:rsidRPr="00177770">
        <w:rPr>
          <w:rFonts w:ascii="標楷體" w:eastAsia="標楷體" w:hAnsi="標楷體" w:cs="Times New Roman" w:hint="eastAsia"/>
          <w:spacing w:val="-1"/>
        </w:rPr>
        <w:t>工程局為即時</w:t>
      </w:r>
      <w:proofErr w:type="gramStart"/>
      <w:r w:rsidRPr="00177770">
        <w:rPr>
          <w:rFonts w:ascii="標楷體" w:eastAsia="標楷體" w:hAnsi="標楷體" w:cs="Times New Roman" w:hint="eastAsia"/>
          <w:spacing w:val="-1"/>
        </w:rPr>
        <w:t>偵</w:t>
      </w:r>
      <w:proofErr w:type="gramEnd"/>
      <w:r w:rsidRPr="00177770">
        <w:rPr>
          <w:rFonts w:ascii="標楷體" w:eastAsia="標楷體" w:hAnsi="標楷體" w:cs="Times New Roman" w:hint="eastAsia"/>
          <w:spacing w:val="-1"/>
        </w:rPr>
        <w:t>知</w:t>
      </w:r>
      <w:proofErr w:type="gramStart"/>
      <w:r w:rsidRPr="00177770">
        <w:rPr>
          <w:rFonts w:ascii="標楷體" w:eastAsia="標楷體" w:hAnsi="標楷體" w:cs="Times New Roman" w:hint="eastAsia"/>
          <w:spacing w:val="-1"/>
        </w:rPr>
        <w:t>臺</w:t>
      </w:r>
      <w:proofErr w:type="gramEnd"/>
      <w:r w:rsidRPr="00177770">
        <w:rPr>
          <w:rFonts w:ascii="標楷體" w:eastAsia="標楷體" w:hAnsi="標楷體" w:cs="Times New Roman" w:hint="eastAsia"/>
          <w:spacing w:val="-1"/>
        </w:rPr>
        <w:t>北捷運系統內火災發生地點及狀況，</w:t>
      </w:r>
      <w:r w:rsidRPr="00177770">
        <w:rPr>
          <w:rFonts w:ascii="標楷體" w:eastAsia="標楷體" w:hAnsi="標楷體" w:cs="Times New Roman" w:hint="eastAsia"/>
          <w:spacing w:val="-1"/>
          <w:kern w:val="0"/>
        </w:rPr>
        <w:t>自85年起陸續於</w:t>
      </w:r>
      <w:proofErr w:type="gramStart"/>
      <w:r w:rsidRPr="00177770">
        <w:rPr>
          <w:rFonts w:ascii="標楷體" w:eastAsia="標楷體" w:hAnsi="標楷體" w:cs="Times New Roman" w:hint="eastAsia"/>
          <w:spacing w:val="-1"/>
          <w:kern w:val="0"/>
        </w:rPr>
        <w:t>臺</w:t>
      </w:r>
      <w:proofErr w:type="gramEnd"/>
      <w:r w:rsidRPr="00177770">
        <w:rPr>
          <w:rFonts w:ascii="標楷體" w:eastAsia="標楷體" w:hAnsi="標楷體" w:cs="Times New Roman" w:hint="eastAsia"/>
          <w:spacing w:val="-1"/>
          <w:kern w:val="0"/>
        </w:rPr>
        <w:t>北捷運各場站建置火警系統及滅火系統，並於臺北市</w:t>
      </w:r>
      <w:proofErr w:type="gramStart"/>
      <w:r w:rsidRPr="00177770">
        <w:rPr>
          <w:rFonts w:ascii="標楷體" w:eastAsia="標楷體" w:hAnsi="標楷體" w:cs="Times New Roman" w:hint="eastAsia"/>
          <w:spacing w:val="-1"/>
          <w:kern w:val="0"/>
        </w:rPr>
        <w:t>臺</w:t>
      </w:r>
      <w:proofErr w:type="gramEnd"/>
      <w:r w:rsidRPr="00177770">
        <w:rPr>
          <w:rFonts w:ascii="標楷體" w:eastAsia="標楷體" w:hAnsi="標楷體" w:cs="Times New Roman" w:hint="eastAsia"/>
          <w:spacing w:val="-1"/>
          <w:kern w:val="0"/>
        </w:rPr>
        <w:t>北都會區捷運固定資產重置基金編列預算支應辦理火警系統</w:t>
      </w:r>
      <w:proofErr w:type="gramStart"/>
      <w:r w:rsidRPr="00177770">
        <w:rPr>
          <w:rFonts w:ascii="標楷體" w:eastAsia="標楷體" w:hAnsi="標楷體" w:cs="Times New Roman" w:hint="eastAsia"/>
          <w:spacing w:val="-1"/>
          <w:kern w:val="0"/>
        </w:rPr>
        <w:t>汰</w:t>
      </w:r>
      <w:proofErr w:type="gramEnd"/>
      <w:r w:rsidRPr="00177770">
        <w:rPr>
          <w:rFonts w:ascii="標楷體" w:eastAsia="標楷體" w:hAnsi="標楷體" w:cs="Times New Roman" w:hint="eastAsia"/>
          <w:spacing w:val="-1"/>
          <w:kern w:val="0"/>
        </w:rPr>
        <w:t>換重置經費</w:t>
      </w:r>
      <w:r w:rsidRPr="00177770">
        <w:rPr>
          <w:rFonts w:ascii="標楷體" w:eastAsia="標楷體" w:hAnsi="標楷體" w:cs="Times New Roman" w:hint="eastAsia"/>
          <w:spacing w:val="-1"/>
        </w:rPr>
        <w:t>，其中111至113年度計編列預算2億6,333萬餘元，並交由</w:t>
      </w:r>
      <w:proofErr w:type="gramStart"/>
      <w:r w:rsidRPr="00177770">
        <w:rPr>
          <w:rFonts w:ascii="標楷體" w:eastAsia="標楷體" w:hAnsi="標楷體" w:cs="Times New Roman" w:hint="eastAsia"/>
          <w:spacing w:val="-1"/>
        </w:rPr>
        <w:t>臺</w:t>
      </w:r>
      <w:proofErr w:type="gramEnd"/>
      <w:r w:rsidRPr="00177770">
        <w:rPr>
          <w:rFonts w:ascii="標楷體" w:eastAsia="標楷體" w:hAnsi="標楷體" w:cs="Times New Roman" w:hint="eastAsia"/>
          <w:spacing w:val="-1"/>
        </w:rPr>
        <w:t>北大眾捷運股份有限公司（下稱捷運公司）執行相關採購及維護作業。經查其執行情形</w:t>
      </w:r>
      <w:r w:rsidRPr="00177770">
        <w:rPr>
          <w:rFonts w:ascii="標楷體" w:eastAsia="標楷體" w:hAnsi="標楷體" w:cs="全字庫正宋體" w:hint="eastAsia"/>
          <w:spacing w:val="-1"/>
        </w:rPr>
        <w:t>，</w:t>
      </w:r>
      <w:r w:rsidRPr="00177770">
        <w:rPr>
          <w:rFonts w:ascii="標楷體" w:eastAsia="標楷體" w:hAnsi="標楷體" w:cs="Times New Roman" w:hint="eastAsia"/>
          <w:spacing w:val="-1"/>
        </w:rPr>
        <w:t>核有下列事項：</w:t>
      </w:r>
    </w:p>
    <w:p w14:paraId="4BA70A14" w14:textId="77777777" w:rsidR="0050059F" w:rsidRPr="00C73569" w:rsidRDefault="0050059F" w:rsidP="0050059F">
      <w:pPr>
        <w:overflowPunct w:val="0"/>
        <w:spacing w:line="445" w:lineRule="exact"/>
        <w:ind w:firstLineChars="200" w:firstLine="480"/>
        <w:jc w:val="both"/>
        <w:outlineLvl w:val="3"/>
        <w:rPr>
          <w:rFonts w:ascii="標楷體" w:eastAsia="標楷體" w:hAnsi="標楷體" w:cs="Times New Roman"/>
          <w:spacing w:val="1"/>
        </w:rPr>
      </w:pPr>
      <w:r w:rsidRPr="00C73569">
        <w:rPr>
          <w:rFonts w:ascii="標楷體" w:eastAsia="標楷體" w:hAnsi="標楷體"/>
          <w:noProof/>
          <w:spacing w:val="1"/>
          <w:szCs w:val="32"/>
        </w:rPr>
        <mc:AlternateContent>
          <mc:Choice Requires="wps">
            <w:drawing>
              <wp:anchor distT="45720" distB="45720" distL="114300" distR="114300" simplePos="0" relativeHeight="251781120" behindDoc="0" locked="0" layoutInCell="1" allowOverlap="1" wp14:anchorId="30F7D85A" wp14:editId="2F33C791">
                <wp:simplePos x="0" y="0"/>
                <wp:positionH relativeFrom="margin">
                  <wp:posOffset>2358390</wp:posOffset>
                </wp:positionH>
                <wp:positionV relativeFrom="paragraph">
                  <wp:posOffset>1285603</wp:posOffset>
                </wp:positionV>
                <wp:extent cx="3992880" cy="2536190"/>
                <wp:effectExtent l="0" t="0" r="7620" b="0"/>
                <wp:wrapSquare wrapText="bothSides"/>
                <wp:docPr id="1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2880" cy="2536190"/>
                        </a:xfrm>
                        <a:prstGeom prst="rect">
                          <a:avLst/>
                        </a:prstGeom>
                        <a:solidFill>
                          <a:srgbClr val="FFFFFF"/>
                        </a:solidFill>
                        <a:ln w="9525">
                          <a:noFill/>
                          <a:miter lim="800000"/>
                          <a:headEnd/>
                          <a:tailEnd/>
                        </a:ln>
                      </wps:spPr>
                      <wps:txbx>
                        <w:txbxContent>
                          <w:tbl>
                            <w:tblPr>
                              <w:tblStyle w:val="a6"/>
                              <w:tblW w:w="6133" w:type="dxa"/>
                              <w:jc w:val="center"/>
                              <w:tblLook w:val="04A0" w:firstRow="1" w:lastRow="0" w:firstColumn="1" w:lastColumn="0" w:noHBand="0" w:noVBand="1"/>
                            </w:tblPr>
                            <w:tblGrid>
                              <w:gridCol w:w="439"/>
                              <w:gridCol w:w="2102"/>
                              <w:gridCol w:w="1518"/>
                              <w:gridCol w:w="630"/>
                              <w:gridCol w:w="630"/>
                              <w:gridCol w:w="787"/>
                              <w:gridCol w:w="17"/>
                              <w:gridCol w:w="10"/>
                            </w:tblGrid>
                            <w:tr w:rsidR="0050059F" w14:paraId="08E16B2A" w14:textId="77777777" w:rsidTr="00463899">
                              <w:trPr>
                                <w:gridAfter w:val="1"/>
                                <w:wAfter w:w="10" w:type="dxa"/>
                                <w:trHeight w:val="275"/>
                                <w:jc w:val="center"/>
                              </w:trPr>
                              <w:tc>
                                <w:tcPr>
                                  <w:tcW w:w="6123" w:type="dxa"/>
                                  <w:gridSpan w:val="7"/>
                                  <w:tcBorders>
                                    <w:top w:val="nil"/>
                                    <w:left w:val="nil"/>
                                    <w:bottom w:val="nil"/>
                                    <w:right w:val="nil"/>
                                  </w:tcBorders>
                                  <w:shd w:val="clear" w:color="auto" w:fill="auto"/>
                                </w:tcPr>
                                <w:p w14:paraId="53BCB10F" w14:textId="2FE1F7A6" w:rsidR="0050059F" w:rsidRPr="004509BD" w:rsidRDefault="0050059F" w:rsidP="00463899">
                                  <w:pPr>
                                    <w:spacing w:line="240" w:lineRule="exact"/>
                                    <w:jc w:val="center"/>
                                    <w:rPr>
                                      <w:rFonts w:ascii="標楷體" w:eastAsia="標楷體" w:hAnsi="標楷體"/>
                                      <w:spacing w:val="-2"/>
                                      <w:sz w:val="24"/>
                                      <w:szCs w:val="24"/>
                                    </w:rPr>
                                  </w:pPr>
                                  <w:r w:rsidRPr="004509BD">
                                    <w:rPr>
                                      <w:rFonts w:ascii="標楷體" w:eastAsia="標楷體" w:hAnsi="標楷體" w:hint="eastAsia"/>
                                      <w:b/>
                                      <w:spacing w:val="-2"/>
                                      <w:sz w:val="24"/>
                                      <w:szCs w:val="24"/>
                                    </w:rPr>
                                    <w:t>表5</w:t>
                                  </w:r>
                                  <w:r w:rsidR="00463899" w:rsidRPr="004509BD">
                                    <w:rPr>
                                      <w:rFonts w:ascii="標楷體" w:eastAsia="標楷體" w:hAnsi="標楷體" w:hint="eastAsia"/>
                                      <w:b/>
                                      <w:spacing w:val="-2"/>
                                      <w:sz w:val="24"/>
                                      <w:szCs w:val="24"/>
                                    </w:rPr>
                                    <w:t xml:space="preserve">　</w:t>
                                  </w:r>
                                  <w:r w:rsidRPr="004509BD">
                                    <w:rPr>
                                      <w:rFonts w:ascii="標楷體" w:eastAsia="標楷體" w:hAnsi="標楷體"/>
                                      <w:b/>
                                      <w:spacing w:val="-6"/>
                                      <w:sz w:val="24"/>
                                      <w:szCs w:val="24"/>
                                    </w:rPr>
                                    <w:t>111</w:t>
                                  </w:r>
                                  <w:r w:rsidRPr="004509BD">
                                    <w:rPr>
                                      <w:rFonts w:ascii="標楷體" w:eastAsia="標楷體" w:hAnsi="標楷體" w:hint="eastAsia"/>
                                      <w:b/>
                                      <w:spacing w:val="-6"/>
                                      <w:sz w:val="24"/>
                                      <w:szCs w:val="24"/>
                                    </w:rPr>
                                    <w:t>年1月至1</w:t>
                                  </w:r>
                                  <w:r w:rsidRPr="004509BD">
                                    <w:rPr>
                                      <w:rFonts w:ascii="標楷體" w:eastAsia="標楷體" w:hAnsi="標楷體"/>
                                      <w:b/>
                                      <w:spacing w:val="-6"/>
                                      <w:sz w:val="24"/>
                                      <w:szCs w:val="24"/>
                                    </w:rPr>
                                    <w:t>13</w:t>
                                  </w:r>
                                  <w:r w:rsidRPr="004509BD">
                                    <w:rPr>
                                      <w:rFonts w:ascii="標楷體" w:eastAsia="標楷體" w:hAnsi="標楷體" w:hint="eastAsia"/>
                                      <w:b/>
                                      <w:spacing w:val="-6"/>
                                      <w:sz w:val="24"/>
                                      <w:szCs w:val="24"/>
                                    </w:rPr>
                                    <w:t>年8月臺北捷運火警系統故障原因</w:t>
                                  </w:r>
                                </w:p>
                              </w:tc>
                            </w:tr>
                            <w:tr w:rsidR="0050059F" w14:paraId="7A6961DE" w14:textId="77777777" w:rsidTr="00463899">
                              <w:trPr>
                                <w:trHeight w:val="275"/>
                                <w:jc w:val="center"/>
                              </w:trPr>
                              <w:tc>
                                <w:tcPr>
                                  <w:tcW w:w="6133" w:type="dxa"/>
                                  <w:gridSpan w:val="8"/>
                                  <w:tcBorders>
                                    <w:top w:val="nil"/>
                                    <w:left w:val="nil"/>
                                    <w:bottom w:val="single" w:sz="4" w:space="0" w:color="auto"/>
                                    <w:right w:val="nil"/>
                                  </w:tcBorders>
                                  <w:shd w:val="clear" w:color="auto" w:fill="auto"/>
                                  <w:vAlign w:val="center"/>
                                </w:tcPr>
                                <w:p w14:paraId="4AD8CE26" w14:textId="77777777" w:rsidR="0050059F" w:rsidRPr="000D0355" w:rsidRDefault="0050059F" w:rsidP="00824CD6">
                                  <w:pPr>
                                    <w:spacing w:afterLines="10" w:after="36" w:line="220" w:lineRule="exact"/>
                                    <w:ind w:rightChars="-20" w:right="-48"/>
                                    <w:jc w:val="right"/>
                                    <w:rPr>
                                      <w:rFonts w:ascii="標楷體" w:eastAsia="標楷體" w:hAnsi="標楷體"/>
                                    </w:rPr>
                                  </w:pPr>
                                  <w:r w:rsidRPr="000D0355">
                                    <w:rPr>
                                      <w:rFonts w:ascii="標楷體" w:eastAsia="標楷體" w:hAnsi="標楷體" w:hint="eastAsia"/>
                                    </w:rPr>
                                    <w:t>單位：件、％</w:t>
                                  </w:r>
                                </w:p>
                              </w:tc>
                            </w:tr>
                            <w:tr w:rsidR="0050059F" w14:paraId="7E4969D8" w14:textId="77777777" w:rsidTr="00463899">
                              <w:trPr>
                                <w:gridAfter w:val="2"/>
                                <w:wAfter w:w="27" w:type="dxa"/>
                                <w:trHeight w:val="275"/>
                                <w:jc w:val="center"/>
                              </w:trPr>
                              <w:tc>
                                <w:tcPr>
                                  <w:tcW w:w="439" w:type="dxa"/>
                                  <w:tcBorders>
                                    <w:top w:val="single" w:sz="4" w:space="0" w:color="auto"/>
                                  </w:tcBorders>
                                  <w:shd w:val="clear" w:color="auto" w:fill="auto"/>
                                  <w:vAlign w:val="center"/>
                                </w:tcPr>
                                <w:p w14:paraId="37DC683A" w14:textId="77777777" w:rsidR="0050059F" w:rsidRPr="000D0355" w:rsidRDefault="0050059F" w:rsidP="00824CD6">
                                  <w:pPr>
                                    <w:spacing w:line="220" w:lineRule="exact"/>
                                    <w:jc w:val="center"/>
                                    <w:rPr>
                                      <w:rFonts w:ascii="標楷體" w:eastAsia="標楷體" w:hAnsi="標楷體"/>
                                      <w:spacing w:val="-4"/>
                                    </w:rPr>
                                  </w:pPr>
                                  <w:r w:rsidRPr="000D0355">
                                    <w:rPr>
                                      <w:rFonts w:ascii="標楷體" w:eastAsia="標楷體" w:hAnsi="標楷體" w:hint="eastAsia"/>
                                      <w:spacing w:val="-4"/>
                                    </w:rPr>
                                    <w:t>項目</w:t>
                                  </w:r>
                                </w:p>
                              </w:tc>
                              <w:tc>
                                <w:tcPr>
                                  <w:tcW w:w="2102" w:type="dxa"/>
                                  <w:tcBorders>
                                    <w:top w:val="single" w:sz="4" w:space="0" w:color="auto"/>
                                  </w:tcBorders>
                                  <w:shd w:val="clear" w:color="auto" w:fill="auto"/>
                                  <w:vAlign w:val="center"/>
                                </w:tcPr>
                                <w:p w14:paraId="1D97462D" w14:textId="77777777" w:rsidR="0050059F" w:rsidRPr="000D0355" w:rsidRDefault="0050059F" w:rsidP="00824CD6">
                                  <w:pPr>
                                    <w:spacing w:line="220" w:lineRule="exact"/>
                                    <w:jc w:val="center"/>
                                    <w:rPr>
                                      <w:rFonts w:ascii="標楷體" w:eastAsia="標楷體" w:hAnsi="標楷體"/>
                                      <w:spacing w:val="20"/>
                                    </w:rPr>
                                  </w:pPr>
                                  <w:r w:rsidRPr="000D0355">
                                    <w:rPr>
                                      <w:rFonts w:ascii="標楷體" w:eastAsia="標楷體" w:hAnsi="標楷體" w:hint="eastAsia"/>
                                      <w:spacing w:val="20"/>
                                    </w:rPr>
                                    <w:t>故障原因</w:t>
                                  </w:r>
                                </w:p>
                              </w:tc>
                              <w:tc>
                                <w:tcPr>
                                  <w:tcW w:w="1518" w:type="dxa"/>
                                  <w:tcBorders>
                                    <w:top w:val="single" w:sz="4" w:space="0" w:color="auto"/>
                                  </w:tcBorders>
                                  <w:shd w:val="clear" w:color="auto" w:fill="auto"/>
                                  <w:vAlign w:val="center"/>
                                </w:tcPr>
                                <w:p w14:paraId="4F6BDC4D" w14:textId="77777777" w:rsidR="0050059F" w:rsidRPr="000D0355" w:rsidRDefault="0050059F" w:rsidP="00824CD6">
                                  <w:pPr>
                                    <w:spacing w:line="220" w:lineRule="exact"/>
                                    <w:ind w:rightChars="-50" w:right="-120"/>
                                    <w:jc w:val="center"/>
                                    <w:rPr>
                                      <w:rFonts w:ascii="標楷體" w:eastAsia="標楷體" w:hAnsi="標楷體"/>
                                    </w:rPr>
                                  </w:pPr>
                                  <w:r w:rsidRPr="000D0355">
                                    <w:rPr>
                                      <w:rFonts w:ascii="標楷體" w:eastAsia="標楷體" w:hAnsi="標楷體" w:hint="eastAsia"/>
                                    </w:rPr>
                                    <w:t>件數</w:t>
                                  </w:r>
                                  <w:proofErr w:type="gramStart"/>
                                  <w:r w:rsidRPr="000D0355">
                                    <w:rPr>
                                      <w:rFonts w:ascii="標楷體" w:eastAsia="標楷體" w:hAnsi="標楷體" w:hint="eastAsia"/>
                                    </w:rPr>
                                    <w:t>（</w:t>
                                  </w:r>
                                  <w:proofErr w:type="gramEnd"/>
                                  <w:r w:rsidRPr="000D0355">
                                    <w:rPr>
                                      <w:rFonts w:ascii="標楷體" w:eastAsia="標楷體" w:hAnsi="標楷體" w:hint="eastAsia"/>
                                    </w:rPr>
                                    <w:t>占比</w:t>
                                  </w:r>
                                  <w:r w:rsidRPr="000D0355">
                                    <w:rPr>
                                      <w:rFonts w:ascii="標楷體" w:eastAsia="標楷體" w:hAnsi="標楷體"/>
                                    </w:rPr>
                                    <w:t>)</w:t>
                                  </w:r>
                                </w:p>
                              </w:tc>
                              <w:tc>
                                <w:tcPr>
                                  <w:tcW w:w="630" w:type="dxa"/>
                                  <w:tcBorders>
                                    <w:top w:val="single" w:sz="4" w:space="0" w:color="auto"/>
                                  </w:tcBorders>
                                  <w:shd w:val="clear" w:color="auto" w:fill="auto"/>
                                  <w:vAlign w:val="center"/>
                                </w:tcPr>
                                <w:p w14:paraId="77EF5966" w14:textId="77777777" w:rsidR="0050059F" w:rsidRPr="000D0355" w:rsidRDefault="0050059F" w:rsidP="00824CD6">
                                  <w:pPr>
                                    <w:spacing w:line="220" w:lineRule="exact"/>
                                    <w:jc w:val="center"/>
                                    <w:rPr>
                                      <w:rFonts w:ascii="標楷體" w:eastAsia="標楷體" w:hAnsi="標楷體"/>
                                      <w:spacing w:val="-4"/>
                                    </w:rPr>
                                  </w:pPr>
                                  <w:r w:rsidRPr="000D0355">
                                    <w:rPr>
                                      <w:rFonts w:ascii="標楷體" w:eastAsia="標楷體" w:hAnsi="標楷體" w:hint="eastAsia"/>
                                      <w:spacing w:val="-4"/>
                                    </w:rPr>
                                    <w:t>1</w:t>
                                  </w:r>
                                  <w:r w:rsidRPr="000D0355">
                                    <w:rPr>
                                      <w:rFonts w:ascii="標楷體" w:eastAsia="標楷體" w:hAnsi="標楷體"/>
                                      <w:spacing w:val="-4"/>
                                    </w:rPr>
                                    <w:t>11</w:t>
                                  </w:r>
                                </w:p>
                                <w:p w14:paraId="34459FAF" w14:textId="77777777" w:rsidR="0050059F" w:rsidRPr="000D0355" w:rsidRDefault="0050059F" w:rsidP="00824CD6">
                                  <w:pPr>
                                    <w:spacing w:line="220" w:lineRule="exact"/>
                                    <w:jc w:val="center"/>
                                    <w:rPr>
                                      <w:rFonts w:ascii="標楷體" w:eastAsia="標楷體" w:hAnsi="標楷體"/>
                                      <w:spacing w:val="-4"/>
                                    </w:rPr>
                                  </w:pPr>
                                  <w:r w:rsidRPr="000D0355">
                                    <w:rPr>
                                      <w:rFonts w:ascii="標楷體" w:eastAsia="標楷體" w:hAnsi="標楷體" w:hint="eastAsia"/>
                                      <w:spacing w:val="-4"/>
                                    </w:rPr>
                                    <w:t>年度</w:t>
                                  </w:r>
                                </w:p>
                              </w:tc>
                              <w:tc>
                                <w:tcPr>
                                  <w:tcW w:w="630" w:type="dxa"/>
                                  <w:tcBorders>
                                    <w:top w:val="single" w:sz="4" w:space="0" w:color="auto"/>
                                  </w:tcBorders>
                                  <w:shd w:val="clear" w:color="auto" w:fill="auto"/>
                                  <w:vAlign w:val="center"/>
                                </w:tcPr>
                                <w:p w14:paraId="6E0BB957" w14:textId="77777777" w:rsidR="0050059F" w:rsidRPr="000D0355" w:rsidRDefault="0050059F" w:rsidP="00824CD6">
                                  <w:pPr>
                                    <w:spacing w:line="220" w:lineRule="exact"/>
                                    <w:jc w:val="center"/>
                                    <w:rPr>
                                      <w:rFonts w:ascii="標楷體" w:eastAsia="標楷體" w:hAnsi="標楷體"/>
                                      <w:spacing w:val="-4"/>
                                    </w:rPr>
                                  </w:pPr>
                                  <w:r w:rsidRPr="000D0355">
                                    <w:rPr>
                                      <w:rFonts w:ascii="標楷體" w:eastAsia="標楷體" w:hAnsi="標楷體" w:hint="eastAsia"/>
                                      <w:spacing w:val="-4"/>
                                    </w:rPr>
                                    <w:t>1</w:t>
                                  </w:r>
                                  <w:r w:rsidRPr="000D0355">
                                    <w:rPr>
                                      <w:rFonts w:ascii="標楷體" w:eastAsia="標楷體" w:hAnsi="標楷體"/>
                                      <w:spacing w:val="-4"/>
                                    </w:rPr>
                                    <w:t>12</w:t>
                                  </w:r>
                                </w:p>
                                <w:p w14:paraId="52D2245B" w14:textId="77777777" w:rsidR="0050059F" w:rsidRPr="000D0355" w:rsidRDefault="0050059F" w:rsidP="00824CD6">
                                  <w:pPr>
                                    <w:spacing w:line="220" w:lineRule="exact"/>
                                    <w:jc w:val="center"/>
                                    <w:rPr>
                                      <w:rFonts w:ascii="標楷體" w:eastAsia="標楷體" w:hAnsi="標楷體"/>
                                      <w:spacing w:val="-4"/>
                                    </w:rPr>
                                  </w:pPr>
                                  <w:r w:rsidRPr="000D0355">
                                    <w:rPr>
                                      <w:rFonts w:ascii="標楷體" w:eastAsia="標楷體" w:hAnsi="標楷體" w:hint="eastAsia"/>
                                      <w:spacing w:val="-4"/>
                                    </w:rPr>
                                    <w:t>年度</w:t>
                                  </w:r>
                                </w:p>
                              </w:tc>
                              <w:tc>
                                <w:tcPr>
                                  <w:tcW w:w="787" w:type="dxa"/>
                                  <w:tcBorders>
                                    <w:top w:val="single" w:sz="4" w:space="0" w:color="auto"/>
                                  </w:tcBorders>
                                  <w:shd w:val="clear" w:color="auto" w:fill="auto"/>
                                  <w:vAlign w:val="center"/>
                                </w:tcPr>
                                <w:p w14:paraId="62C9AAAC" w14:textId="77777777" w:rsidR="0050059F" w:rsidRPr="000D0355" w:rsidRDefault="0050059F" w:rsidP="00824CD6">
                                  <w:pPr>
                                    <w:spacing w:line="220" w:lineRule="exact"/>
                                    <w:jc w:val="center"/>
                                    <w:rPr>
                                      <w:rFonts w:ascii="標楷體" w:eastAsia="標楷體" w:hAnsi="標楷體"/>
                                      <w:spacing w:val="-12"/>
                                    </w:rPr>
                                  </w:pPr>
                                  <w:r w:rsidRPr="000D0355">
                                    <w:rPr>
                                      <w:rFonts w:ascii="標楷體" w:eastAsia="標楷體" w:hAnsi="標楷體" w:hint="eastAsia"/>
                                      <w:spacing w:val="-12"/>
                                    </w:rPr>
                                    <w:t>1</w:t>
                                  </w:r>
                                  <w:r w:rsidRPr="000D0355">
                                    <w:rPr>
                                      <w:rFonts w:ascii="標楷體" w:eastAsia="標楷體" w:hAnsi="標楷體"/>
                                      <w:spacing w:val="-12"/>
                                    </w:rPr>
                                    <w:t>13</w:t>
                                  </w:r>
                                  <w:r w:rsidRPr="000D0355">
                                    <w:rPr>
                                      <w:rFonts w:ascii="標楷體" w:eastAsia="標楷體" w:hAnsi="標楷體" w:hint="eastAsia"/>
                                      <w:spacing w:val="-12"/>
                                    </w:rPr>
                                    <w:t>年</w:t>
                                  </w:r>
                                </w:p>
                                <w:p w14:paraId="6DA56CBC" w14:textId="77777777" w:rsidR="0050059F" w:rsidRPr="000D0355" w:rsidRDefault="0050059F" w:rsidP="00824CD6">
                                  <w:pPr>
                                    <w:spacing w:line="220" w:lineRule="exact"/>
                                    <w:jc w:val="center"/>
                                    <w:rPr>
                                      <w:rFonts w:ascii="標楷體" w:eastAsia="標楷體" w:hAnsi="標楷體"/>
                                      <w:spacing w:val="-30"/>
                                    </w:rPr>
                                  </w:pPr>
                                  <w:r w:rsidRPr="000D0355">
                                    <w:rPr>
                                      <w:rFonts w:ascii="標楷體" w:eastAsia="標楷體" w:hAnsi="標楷體" w:hint="eastAsia"/>
                                      <w:spacing w:val="-30"/>
                                    </w:rPr>
                                    <w:t>1至8月</w:t>
                                  </w:r>
                                </w:p>
                              </w:tc>
                            </w:tr>
                            <w:tr w:rsidR="0050059F" w:rsidRPr="006D6EB3" w14:paraId="66E5B9BF" w14:textId="77777777" w:rsidTr="00463899">
                              <w:trPr>
                                <w:gridAfter w:val="2"/>
                                <w:wAfter w:w="27" w:type="dxa"/>
                                <w:trHeight w:hRule="exact" w:val="312"/>
                                <w:jc w:val="center"/>
                              </w:trPr>
                              <w:tc>
                                <w:tcPr>
                                  <w:tcW w:w="2541" w:type="dxa"/>
                                  <w:gridSpan w:val="2"/>
                                  <w:vAlign w:val="center"/>
                                </w:tcPr>
                                <w:p w14:paraId="616E85EB" w14:textId="77777777" w:rsidR="0050059F" w:rsidRPr="000D0355" w:rsidRDefault="0050059F" w:rsidP="00824CD6">
                                  <w:pPr>
                                    <w:spacing w:line="240" w:lineRule="exact"/>
                                    <w:jc w:val="center"/>
                                    <w:rPr>
                                      <w:rFonts w:ascii="標楷體" w:eastAsia="標楷體" w:hAnsi="標楷體"/>
                                      <w:b/>
                                      <w:spacing w:val="-4"/>
                                    </w:rPr>
                                  </w:pPr>
                                  <w:r w:rsidRPr="000D0355">
                                    <w:rPr>
                                      <w:rFonts w:ascii="標楷體" w:eastAsia="標楷體" w:hAnsi="標楷體" w:hint="eastAsia"/>
                                      <w:b/>
                                      <w:spacing w:val="-4"/>
                                    </w:rPr>
                                    <w:t xml:space="preserve">合 </w:t>
                                  </w:r>
                                  <w:r w:rsidRPr="000D0355">
                                    <w:rPr>
                                      <w:rFonts w:ascii="標楷體" w:eastAsia="標楷體" w:hAnsi="標楷體"/>
                                      <w:b/>
                                      <w:spacing w:val="-4"/>
                                    </w:rPr>
                                    <w:t xml:space="preserve"> </w:t>
                                  </w:r>
                                  <w:r w:rsidRPr="000D0355">
                                    <w:rPr>
                                      <w:rFonts w:ascii="標楷體" w:eastAsia="標楷體" w:hAnsi="標楷體" w:hint="eastAsia"/>
                                      <w:b/>
                                      <w:spacing w:val="-4"/>
                                    </w:rPr>
                                    <w:t>計</w:t>
                                  </w:r>
                                </w:p>
                              </w:tc>
                              <w:tc>
                                <w:tcPr>
                                  <w:tcW w:w="1518" w:type="dxa"/>
                                  <w:vAlign w:val="center"/>
                                </w:tcPr>
                                <w:p w14:paraId="68146B59" w14:textId="77777777" w:rsidR="0050059F" w:rsidRPr="000D0355" w:rsidRDefault="0050059F" w:rsidP="00824CD6">
                                  <w:pPr>
                                    <w:spacing w:line="240" w:lineRule="exact"/>
                                    <w:ind w:rightChars="-50" w:right="-120"/>
                                    <w:jc w:val="center"/>
                                    <w:rPr>
                                      <w:rFonts w:ascii="標楷體" w:eastAsia="標楷體" w:hAnsi="標楷體"/>
                                      <w:b/>
                                      <w:spacing w:val="-6"/>
                                    </w:rPr>
                                  </w:pPr>
                                  <w:r w:rsidRPr="000D0355">
                                    <w:rPr>
                                      <w:rFonts w:ascii="標楷體" w:eastAsia="標楷體" w:hAnsi="標楷體" w:hint="eastAsia"/>
                                      <w:b/>
                                      <w:spacing w:val="-6"/>
                                    </w:rPr>
                                    <w:t>2</w:t>
                                  </w:r>
                                  <w:r w:rsidRPr="000D0355">
                                    <w:rPr>
                                      <w:rFonts w:ascii="標楷體" w:eastAsia="標楷體" w:hAnsi="標楷體"/>
                                      <w:b/>
                                      <w:spacing w:val="-6"/>
                                    </w:rPr>
                                    <w:t>,077（</w:t>
                                  </w:r>
                                  <w:r w:rsidRPr="000D0355">
                                    <w:rPr>
                                      <w:rFonts w:ascii="標楷體" w:eastAsia="標楷體" w:hAnsi="標楷體" w:hint="eastAsia"/>
                                      <w:b/>
                                      <w:spacing w:val="-6"/>
                                    </w:rPr>
                                    <w:t>1</w:t>
                                  </w:r>
                                  <w:r w:rsidRPr="000D0355">
                                    <w:rPr>
                                      <w:rFonts w:ascii="標楷體" w:eastAsia="標楷體" w:hAnsi="標楷體"/>
                                      <w:b/>
                                      <w:spacing w:val="-6"/>
                                    </w:rPr>
                                    <w:t>00.00</w:t>
                                  </w:r>
                                  <w:r w:rsidRPr="000D0355">
                                    <w:rPr>
                                      <w:rFonts w:ascii="標楷體" w:eastAsia="標楷體" w:hAnsi="標楷體" w:hint="eastAsia"/>
                                      <w:b/>
                                      <w:spacing w:val="-6"/>
                                    </w:rPr>
                                    <w:t>）</w:t>
                                  </w:r>
                                </w:p>
                              </w:tc>
                              <w:tc>
                                <w:tcPr>
                                  <w:tcW w:w="630" w:type="dxa"/>
                                  <w:vAlign w:val="center"/>
                                </w:tcPr>
                                <w:p w14:paraId="72673382" w14:textId="77777777" w:rsidR="0050059F" w:rsidRPr="000D0355" w:rsidRDefault="0050059F" w:rsidP="00824CD6">
                                  <w:pPr>
                                    <w:spacing w:line="240" w:lineRule="exact"/>
                                    <w:jc w:val="right"/>
                                    <w:rPr>
                                      <w:rFonts w:ascii="標楷體" w:eastAsia="標楷體" w:hAnsi="標楷體"/>
                                      <w:b/>
                                      <w:spacing w:val="-8"/>
                                    </w:rPr>
                                  </w:pPr>
                                  <w:r w:rsidRPr="000D0355">
                                    <w:rPr>
                                      <w:rFonts w:ascii="標楷體" w:eastAsia="標楷體" w:hAnsi="標楷體" w:hint="eastAsia"/>
                                      <w:b/>
                                      <w:spacing w:val="-8"/>
                                    </w:rPr>
                                    <w:t>8</w:t>
                                  </w:r>
                                  <w:r w:rsidRPr="000D0355">
                                    <w:rPr>
                                      <w:rFonts w:ascii="標楷體" w:eastAsia="標楷體" w:hAnsi="標楷體"/>
                                      <w:b/>
                                      <w:spacing w:val="-8"/>
                                    </w:rPr>
                                    <w:t>51</w:t>
                                  </w:r>
                                </w:p>
                              </w:tc>
                              <w:tc>
                                <w:tcPr>
                                  <w:tcW w:w="630" w:type="dxa"/>
                                  <w:vAlign w:val="center"/>
                                </w:tcPr>
                                <w:p w14:paraId="7C2FFDEE" w14:textId="77777777" w:rsidR="0050059F" w:rsidRPr="000D0355" w:rsidRDefault="0050059F" w:rsidP="00824CD6">
                                  <w:pPr>
                                    <w:spacing w:line="240" w:lineRule="exact"/>
                                    <w:jc w:val="right"/>
                                    <w:rPr>
                                      <w:rFonts w:ascii="標楷體" w:eastAsia="標楷體" w:hAnsi="標楷體"/>
                                      <w:b/>
                                      <w:spacing w:val="-8"/>
                                    </w:rPr>
                                  </w:pPr>
                                  <w:r w:rsidRPr="000D0355">
                                    <w:rPr>
                                      <w:rFonts w:ascii="標楷體" w:eastAsia="標楷體" w:hAnsi="標楷體" w:hint="eastAsia"/>
                                      <w:b/>
                                      <w:spacing w:val="-8"/>
                                    </w:rPr>
                                    <w:t>8</w:t>
                                  </w:r>
                                  <w:r w:rsidRPr="000D0355">
                                    <w:rPr>
                                      <w:rFonts w:ascii="標楷體" w:eastAsia="標楷體" w:hAnsi="標楷體"/>
                                      <w:b/>
                                      <w:spacing w:val="-8"/>
                                    </w:rPr>
                                    <w:t>09</w:t>
                                  </w:r>
                                </w:p>
                              </w:tc>
                              <w:tc>
                                <w:tcPr>
                                  <w:tcW w:w="787" w:type="dxa"/>
                                  <w:vAlign w:val="center"/>
                                </w:tcPr>
                                <w:p w14:paraId="582D8F77" w14:textId="77777777" w:rsidR="0050059F" w:rsidRPr="000D0355" w:rsidRDefault="0050059F" w:rsidP="00824CD6">
                                  <w:pPr>
                                    <w:spacing w:line="240" w:lineRule="exact"/>
                                    <w:jc w:val="right"/>
                                    <w:rPr>
                                      <w:rFonts w:ascii="標楷體" w:eastAsia="標楷體" w:hAnsi="標楷體"/>
                                      <w:b/>
                                      <w:spacing w:val="-8"/>
                                    </w:rPr>
                                  </w:pPr>
                                  <w:r w:rsidRPr="000D0355">
                                    <w:rPr>
                                      <w:rFonts w:ascii="標楷體" w:eastAsia="標楷體" w:hAnsi="標楷體" w:hint="eastAsia"/>
                                      <w:b/>
                                      <w:spacing w:val="-8"/>
                                    </w:rPr>
                                    <w:t>4</w:t>
                                  </w:r>
                                  <w:r w:rsidRPr="000D0355">
                                    <w:rPr>
                                      <w:rFonts w:ascii="標楷體" w:eastAsia="標楷體" w:hAnsi="標楷體"/>
                                      <w:b/>
                                      <w:spacing w:val="-8"/>
                                    </w:rPr>
                                    <w:t>17</w:t>
                                  </w:r>
                                </w:p>
                              </w:tc>
                            </w:tr>
                            <w:tr w:rsidR="0050059F" w14:paraId="3A237A95" w14:textId="77777777" w:rsidTr="00463899">
                              <w:trPr>
                                <w:gridAfter w:val="2"/>
                                <w:wAfter w:w="27" w:type="dxa"/>
                                <w:trHeight w:hRule="exact" w:val="312"/>
                                <w:jc w:val="center"/>
                              </w:trPr>
                              <w:tc>
                                <w:tcPr>
                                  <w:tcW w:w="439" w:type="dxa"/>
                                  <w:vAlign w:val="center"/>
                                </w:tcPr>
                                <w:p w14:paraId="1613B559"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1</w:t>
                                  </w:r>
                                </w:p>
                              </w:tc>
                              <w:tc>
                                <w:tcPr>
                                  <w:tcW w:w="2102" w:type="dxa"/>
                                  <w:vAlign w:val="center"/>
                                </w:tcPr>
                                <w:p w14:paraId="0D20CC76"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火警受信總機異常</w:t>
                                  </w:r>
                                </w:p>
                              </w:tc>
                              <w:tc>
                                <w:tcPr>
                                  <w:tcW w:w="1518" w:type="dxa"/>
                                  <w:vAlign w:val="center"/>
                                </w:tcPr>
                                <w:p w14:paraId="3E507607"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7</w:t>
                                  </w:r>
                                  <w:r w:rsidRPr="000D0355">
                                    <w:rPr>
                                      <w:rFonts w:ascii="標楷體" w:eastAsia="標楷體" w:hAnsi="標楷體"/>
                                      <w:bCs/>
                                      <w:spacing w:val="-6"/>
                                    </w:rPr>
                                    <w:t>70（37.07</w:t>
                                  </w:r>
                                  <w:r w:rsidRPr="000D0355">
                                    <w:rPr>
                                      <w:rFonts w:ascii="標楷體" w:eastAsia="標楷體" w:hAnsi="標楷體" w:hint="eastAsia"/>
                                      <w:bCs/>
                                      <w:spacing w:val="-6"/>
                                    </w:rPr>
                                    <w:t>）</w:t>
                                  </w:r>
                                </w:p>
                              </w:tc>
                              <w:tc>
                                <w:tcPr>
                                  <w:tcW w:w="630" w:type="dxa"/>
                                  <w:vAlign w:val="center"/>
                                </w:tcPr>
                                <w:p w14:paraId="2FCCB5FF"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3</w:t>
                                  </w:r>
                                  <w:r w:rsidRPr="000D0355">
                                    <w:rPr>
                                      <w:rFonts w:ascii="標楷體" w:eastAsia="標楷體" w:hAnsi="標楷體"/>
                                      <w:spacing w:val="-8"/>
                                    </w:rPr>
                                    <w:t>04</w:t>
                                  </w:r>
                                </w:p>
                              </w:tc>
                              <w:tc>
                                <w:tcPr>
                                  <w:tcW w:w="630" w:type="dxa"/>
                                  <w:vAlign w:val="center"/>
                                </w:tcPr>
                                <w:p w14:paraId="5B6ECE1A"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2</w:t>
                                  </w:r>
                                  <w:r w:rsidRPr="000D0355">
                                    <w:rPr>
                                      <w:rFonts w:ascii="標楷體" w:eastAsia="標楷體" w:hAnsi="標楷體"/>
                                      <w:spacing w:val="-8"/>
                                    </w:rPr>
                                    <w:t>99</w:t>
                                  </w:r>
                                </w:p>
                              </w:tc>
                              <w:tc>
                                <w:tcPr>
                                  <w:tcW w:w="787" w:type="dxa"/>
                                  <w:vAlign w:val="center"/>
                                </w:tcPr>
                                <w:p w14:paraId="44E5ACD0"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67</w:t>
                                  </w:r>
                                </w:p>
                              </w:tc>
                            </w:tr>
                            <w:tr w:rsidR="0050059F" w14:paraId="24F7CA98" w14:textId="77777777" w:rsidTr="00463899">
                              <w:trPr>
                                <w:gridAfter w:val="2"/>
                                <w:wAfter w:w="27" w:type="dxa"/>
                                <w:trHeight w:hRule="exact" w:val="312"/>
                                <w:jc w:val="center"/>
                              </w:trPr>
                              <w:tc>
                                <w:tcPr>
                                  <w:tcW w:w="439" w:type="dxa"/>
                                  <w:vAlign w:val="center"/>
                                </w:tcPr>
                                <w:p w14:paraId="7E2289DB"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2</w:t>
                                  </w:r>
                                </w:p>
                              </w:tc>
                              <w:tc>
                                <w:tcPr>
                                  <w:tcW w:w="2102" w:type="dxa"/>
                                  <w:vAlign w:val="center"/>
                                </w:tcPr>
                                <w:p w14:paraId="0E0F8DB3"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探測器異常</w:t>
                                  </w:r>
                                </w:p>
                              </w:tc>
                              <w:tc>
                                <w:tcPr>
                                  <w:tcW w:w="1518" w:type="dxa"/>
                                  <w:vAlign w:val="center"/>
                                </w:tcPr>
                                <w:p w14:paraId="05BBB850"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4</w:t>
                                  </w:r>
                                  <w:r w:rsidRPr="000D0355">
                                    <w:rPr>
                                      <w:rFonts w:ascii="標楷體" w:eastAsia="標楷體" w:hAnsi="標楷體"/>
                                      <w:bCs/>
                                      <w:spacing w:val="-6"/>
                                    </w:rPr>
                                    <w:t>82（23.21</w:t>
                                  </w:r>
                                  <w:r w:rsidRPr="000D0355">
                                    <w:rPr>
                                      <w:rFonts w:ascii="標楷體" w:eastAsia="標楷體" w:hAnsi="標楷體" w:hint="eastAsia"/>
                                      <w:bCs/>
                                      <w:spacing w:val="-6"/>
                                    </w:rPr>
                                    <w:t>）</w:t>
                                  </w:r>
                                </w:p>
                              </w:tc>
                              <w:tc>
                                <w:tcPr>
                                  <w:tcW w:w="630" w:type="dxa"/>
                                  <w:vAlign w:val="center"/>
                                </w:tcPr>
                                <w:p w14:paraId="0D9A95F4"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2</w:t>
                                  </w:r>
                                  <w:r w:rsidRPr="000D0355">
                                    <w:rPr>
                                      <w:rFonts w:ascii="標楷體" w:eastAsia="標楷體" w:hAnsi="標楷體"/>
                                      <w:spacing w:val="-8"/>
                                    </w:rPr>
                                    <w:t>28</w:t>
                                  </w:r>
                                </w:p>
                              </w:tc>
                              <w:tc>
                                <w:tcPr>
                                  <w:tcW w:w="630" w:type="dxa"/>
                                  <w:vAlign w:val="center"/>
                                </w:tcPr>
                                <w:p w14:paraId="7E7770A7"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62</w:t>
                                  </w:r>
                                </w:p>
                              </w:tc>
                              <w:tc>
                                <w:tcPr>
                                  <w:tcW w:w="787" w:type="dxa"/>
                                  <w:vAlign w:val="center"/>
                                </w:tcPr>
                                <w:p w14:paraId="4729ADA7"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9</w:t>
                                  </w:r>
                                  <w:r w:rsidRPr="000D0355">
                                    <w:rPr>
                                      <w:rFonts w:ascii="標楷體" w:eastAsia="標楷體" w:hAnsi="標楷體"/>
                                      <w:spacing w:val="-8"/>
                                    </w:rPr>
                                    <w:t>2</w:t>
                                  </w:r>
                                </w:p>
                              </w:tc>
                            </w:tr>
                            <w:tr w:rsidR="0050059F" w14:paraId="41779C8A" w14:textId="77777777" w:rsidTr="00463899">
                              <w:trPr>
                                <w:gridAfter w:val="2"/>
                                <w:wAfter w:w="27" w:type="dxa"/>
                                <w:trHeight w:hRule="exact" w:val="312"/>
                                <w:jc w:val="center"/>
                              </w:trPr>
                              <w:tc>
                                <w:tcPr>
                                  <w:tcW w:w="439" w:type="dxa"/>
                                  <w:vAlign w:val="center"/>
                                </w:tcPr>
                                <w:p w14:paraId="5123E469"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3</w:t>
                                  </w:r>
                                </w:p>
                              </w:tc>
                              <w:tc>
                                <w:tcPr>
                                  <w:tcW w:w="2102" w:type="dxa"/>
                                  <w:vAlign w:val="center"/>
                                </w:tcPr>
                                <w:p w14:paraId="68FE7D03"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排煙受信總機異常</w:t>
                                  </w:r>
                                </w:p>
                              </w:tc>
                              <w:tc>
                                <w:tcPr>
                                  <w:tcW w:w="1518" w:type="dxa"/>
                                  <w:vAlign w:val="center"/>
                                </w:tcPr>
                                <w:p w14:paraId="060ED960"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3</w:t>
                                  </w:r>
                                  <w:r w:rsidRPr="000D0355">
                                    <w:rPr>
                                      <w:rFonts w:ascii="標楷體" w:eastAsia="標楷體" w:hAnsi="標楷體"/>
                                      <w:bCs/>
                                      <w:spacing w:val="-6"/>
                                    </w:rPr>
                                    <w:t>35（16.13</w:t>
                                  </w:r>
                                  <w:r w:rsidRPr="000D0355">
                                    <w:rPr>
                                      <w:rFonts w:ascii="標楷體" w:eastAsia="標楷體" w:hAnsi="標楷體" w:hint="eastAsia"/>
                                      <w:bCs/>
                                      <w:spacing w:val="-6"/>
                                    </w:rPr>
                                    <w:t>）</w:t>
                                  </w:r>
                                </w:p>
                              </w:tc>
                              <w:tc>
                                <w:tcPr>
                                  <w:tcW w:w="630" w:type="dxa"/>
                                  <w:vAlign w:val="center"/>
                                </w:tcPr>
                                <w:p w14:paraId="02B5DFF7"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38</w:t>
                                  </w:r>
                                </w:p>
                              </w:tc>
                              <w:tc>
                                <w:tcPr>
                                  <w:tcW w:w="630" w:type="dxa"/>
                                  <w:vAlign w:val="center"/>
                                </w:tcPr>
                                <w:p w14:paraId="165DC107"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47</w:t>
                                  </w:r>
                                </w:p>
                              </w:tc>
                              <w:tc>
                                <w:tcPr>
                                  <w:tcW w:w="787" w:type="dxa"/>
                                  <w:vAlign w:val="center"/>
                                </w:tcPr>
                                <w:p w14:paraId="25C2E929"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5</w:t>
                                  </w:r>
                                  <w:r w:rsidRPr="000D0355">
                                    <w:rPr>
                                      <w:rFonts w:ascii="標楷體" w:eastAsia="標楷體" w:hAnsi="標楷體"/>
                                      <w:spacing w:val="-8"/>
                                    </w:rPr>
                                    <w:t>0</w:t>
                                  </w:r>
                                </w:p>
                              </w:tc>
                            </w:tr>
                            <w:tr w:rsidR="0050059F" w14:paraId="7866C735" w14:textId="77777777" w:rsidTr="00463899">
                              <w:trPr>
                                <w:gridAfter w:val="2"/>
                                <w:wAfter w:w="27" w:type="dxa"/>
                                <w:trHeight w:hRule="exact" w:val="312"/>
                                <w:jc w:val="center"/>
                              </w:trPr>
                              <w:tc>
                                <w:tcPr>
                                  <w:tcW w:w="439" w:type="dxa"/>
                                  <w:vAlign w:val="center"/>
                                </w:tcPr>
                                <w:p w14:paraId="24BD4163"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4</w:t>
                                  </w:r>
                                </w:p>
                              </w:tc>
                              <w:tc>
                                <w:tcPr>
                                  <w:tcW w:w="2102" w:type="dxa"/>
                                  <w:vAlign w:val="center"/>
                                </w:tcPr>
                                <w:p w14:paraId="0B8231FC"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火警圖控電腦異常</w:t>
                                  </w:r>
                                </w:p>
                              </w:tc>
                              <w:tc>
                                <w:tcPr>
                                  <w:tcW w:w="1518" w:type="dxa"/>
                                  <w:vAlign w:val="center"/>
                                </w:tcPr>
                                <w:p w14:paraId="1CC43ACF"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2</w:t>
                                  </w:r>
                                  <w:r w:rsidRPr="000D0355">
                                    <w:rPr>
                                      <w:rFonts w:ascii="標楷體" w:eastAsia="標楷體" w:hAnsi="標楷體"/>
                                      <w:bCs/>
                                      <w:spacing w:val="-6"/>
                                    </w:rPr>
                                    <w:t>32（11.17</w:t>
                                  </w:r>
                                  <w:r w:rsidRPr="000D0355">
                                    <w:rPr>
                                      <w:rFonts w:ascii="標楷體" w:eastAsia="標楷體" w:hAnsi="標楷體" w:hint="eastAsia"/>
                                      <w:bCs/>
                                      <w:spacing w:val="-6"/>
                                    </w:rPr>
                                    <w:t>）</w:t>
                                  </w:r>
                                </w:p>
                              </w:tc>
                              <w:tc>
                                <w:tcPr>
                                  <w:tcW w:w="630" w:type="dxa"/>
                                  <w:vAlign w:val="center"/>
                                </w:tcPr>
                                <w:p w14:paraId="2F10DBC3"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02</w:t>
                                  </w:r>
                                </w:p>
                              </w:tc>
                              <w:tc>
                                <w:tcPr>
                                  <w:tcW w:w="630" w:type="dxa"/>
                                  <w:vAlign w:val="center"/>
                                </w:tcPr>
                                <w:p w14:paraId="34CB8309"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8</w:t>
                                  </w:r>
                                  <w:r w:rsidRPr="000D0355">
                                    <w:rPr>
                                      <w:rFonts w:ascii="標楷體" w:eastAsia="標楷體" w:hAnsi="標楷體"/>
                                      <w:spacing w:val="-8"/>
                                    </w:rPr>
                                    <w:t>5</w:t>
                                  </w:r>
                                </w:p>
                              </w:tc>
                              <w:tc>
                                <w:tcPr>
                                  <w:tcW w:w="787" w:type="dxa"/>
                                  <w:vAlign w:val="center"/>
                                </w:tcPr>
                                <w:p w14:paraId="7E6EB6C6"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4</w:t>
                                  </w:r>
                                  <w:r w:rsidRPr="000D0355">
                                    <w:rPr>
                                      <w:rFonts w:ascii="標楷體" w:eastAsia="標楷體" w:hAnsi="標楷體"/>
                                      <w:spacing w:val="-8"/>
                                    </w:rPr>
                                    <w:t>5</w:t>
                                  </w:r>
                                </w:p>
                              </w:tc>
                            </w:tr>
                            <w:tr w:rsidR="0050059F" w14:paraId="555ACB81" w14:textId="77777777" w:rsidTr="00463899">
                              <w:trPr>
                                <w:gridAfter w:val="2"/>
                                <w:wAfter w:w="27" w:type="dxa"/>
                                <w:trHeight w:hRule="exact" w:val="312"/>
                                <w:jc w:val="center"/>
                              </w:trPr>
                              <w:tc>
                                <w:tcPr>
                                  <w:tcW w:w="439" w:type="dxa"/>
                                  <w:vAlign w:val="center"/>
                                </w:tcPr>
                                <w:p w14:paraId="19F53112"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5</w:t>
                                  </w:r>
                                </w:p>
                              </w:tc>
                              <w:tc>
                                <w:tcPr>
                                  <w:tcW w:w="2102" w:type="dxa"/>
                                  <w:vAlign w:val="center"/>
                                </w:tcPr>
                                <w:p w14:paraId="6E6839E8"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排煙手動啟動開關異常</w:t>
                                  </w:r>
                                </w:p>
                              </w:tc>
                              <w:tc>
                                <w:tcPr>
                                  <w:tcW w:w="1518" w:type="dxa"/>
                                  <w:vAlign w:val="center"/>
                                </w:tcPr>
                                <w:p w14:paraId="2F82663A"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1</w:t>
                                  </w:r>
                                  <w:r w:rsidRPr="000D0355">
                                    <w:rPr>
                                      <w:rFonts w:ascii="標楷體" w:eastAsia="標楷體" w:hAnsi="標楷體"/>
                                      <w:bCs/>
                                      <w:spacing w:val="-6"/>
                                    </w:rPr>
                                    <w:t>40（</w:t>
                                  </w:r>
                                  <w:r w:rsidRPr="000D0355">
                                    <w:rPr>
                                      <w:rFonts w:ascii="標楷體" w:eastAsia="標楷體" w:hAnsi="標楷體" w:hint="eastAsia"/>
                                      <w:bCs/>
                                      <w:spacing w:val="-6"/>
                                    </w:rPr>
                                    <w:t>6</w:t>
                                  </w:r>
                                  <w:r w:rsidRPr="000D0355">
                                    <w:rPr>
                                      <w:rFonts w:ascii="標楷體" w:eastAsia="標楷體" w:hAnsi="標楷體"/>
                                      <w:bCs/>
                                      <w:spacing w:val="-6"/>
                                    </w:rPr>
                                    <w:t>.74</w:t>
                                  </w:r>
                                  <w:r w:rsidRPr="000D0355">
                                    <w:rPr>
                                      <w:rFonts w:ascii="標楷體" w:eastAsia="標楷體" w:hAnsi="標楷體" w:hint="eastAsia"/>
                                      <w:bCs/>
                                      <w:spacing w:val="-6"/>
                                    </w:rPr>
                                    <w:t>）</w:t>
                                  </w:r>
                                </w:p>
                              </w:tc>
                              <w:tc>
                                <w:tcPr>
                                  <w:tcW w:w="630" w:type="dxa"/>
                                  <w:vAlign w:val="center"/>
                                </w:tcPr>
                                <w:p w14:paraId="38989D1B"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3</w:t>
                                  </w:r>
                                  <w:r w:rsidRPr="000D0355">
                                    <w:rPr>
                                      <w:rFonts w:ascii="標楷體" w:eastAsia="標楷體" w:hAnsi="標楷體"/>
                                      <w:spacing w:val="-8"/>
                                    </w:rPr>
                                    <w:t>8</w:t>
                                  </w:r>
                                </w:p>
                              </w:tc>
                              <w:tc>
                                <w:tcPr>
                                  <w:tcW w:w="630" w:type="dxa"/>
                                  <w:vAlign w:val="center"/>
                                </w:tcPr>
                                <w:p w14:paraId="51CFED13"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6</w:t>
                                  </w:r>
                                  <w:r w:rsidRPr="000D0355">
                                    <w:rPr>
                                      <w:rFonts w:ascii="標楷體" w:eastAsia="標楷體" w:hAnsi="標楷體"/>
                                      <w:spacing w:val="-8"/>
                                    </w:rPr>
                                    <w:t>6</w:t>
                                  </w:r>
                                </w:p>
                              </w:tc>
                              <w:tc>
                                <w:tcPr>
                                  <w:tcW w:w="787" w:type="dxa"/>
                                  <w:vAlign w:val="center"/>
                                </w:tcPr>
                                <w:p w14:paraId="30C6CAB2"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3</w:t>
                                  </w:r>
                                  <w:r w:rsidRPr="000D0355">
                                    <w:rPr>
                                      <w:rFonts w:ascii="標楷體" w:eastAsia="標楷體" w:hAnsi="標楷體"/>
                                      <w:spacing w:val="-8"/>
                                    </w:rPr>
                                    <w:t>6</w:t>
                                  </w:r>
                                </w:p>
                              </w:tc>
                            </w:tr>
                            <w:tr w:rsidR="0050059F" w14:paraId="58F2A5E5" w14:textId="77777777" w:rsidTr="00463899">
                              <w:trPr>
                                <w:gridAfter w:val="2"/>
                                <w:wAfter w:w="27" w:type="dxa"/>
                                <w:trHeight w:hRule="exact" w:val="312"/>
                                <w:jc w:val="center"/>
                              </w:trPr>
                              <w:tc>
                                <w:tcPr>
                                  <w:tcW w:w="439" w:type="dxa"/>
                                  <w:vAlign w:val="center"/>
                                </w:tcPr>
                                <w:p w14:paraId="173E0096"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6</w:t>
                                  </w:r>
                                </w:p>
                              </w:tc>
                              <w:tc>
                                <w:tcPr>
                                  <w:tcW w:w="2102" w:type="dxa"/>
                                  <w:vAlign w:val="center"/>
                                </w:tcPr>
                                <w:p w14:paraId="40A94379"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排煙閘門異常</w:t>
                                  </w:r>
                                </w:p>
                              </w:tc>
                              <w:tc>
                                <w:tcPr>
                                  <w:tcW w:w="1518" w:type="dxa"/>
                                  <w:vAlign w:val="center"/>
                                </w:tcPr>
                                <w:p w14:paraId="388E4FA6"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6</w:t>
                                  </w:r>
                                  <w:r w:rsidRPr="000D0355">
                                    <w:rPr>
                                      <w:rFonts w:ascii="標楷體" w:eastAsia="標楷體" w:hAnsi="標楷體"/>
                                      <w:bCs/>
                                      <w:spacing w:val="-6"/>
                                    </w:rPr>
                                    <w:t>6（3.18</w:t>
                                  </w:r>
                                  <w:r w:rsidRPr="000D0355">
                                    <w:rPr>
                                      <w:rFonts w:ascii="標楷體" w:eastAsia="標楷體" w:hAnsi="標楷體" w:hint="eastAsia"/>
                                      <w:bCs/>
                                      <w:spacing w:val="-6"/>
                                    </w:rPr>
                                    <w:t>）</w:t>
                                  </w:r>
                                </w:p>
                              </w:tc>
                              <w:tc>
                                <w:tcPr>
                                  <w:tcW w:w="630" w:type="dxa"/>
                                  <w:vAlign w:val="center"/>
                                </w:tcPr>
                                <w:p w14:paraId="46927336"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7</w:t>
                                  </w:r>
                                </w:p>
                              </w:tc>
                              <w:tc>
                                <w:tcPr>
                                  <w:tcW w:w="630" w:type="dxa"/>
                                  <w:vAlign w:val="center"/>
                                </w:tcPr>
                                <w:p w14:paraId="7B5ACBA2"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3</w:t>
                                  </w:r>
                                  <w:r w:rsidRPr="000D0355">
                                    <w:rPr>
                                      <w:rFonts w:ascii="標楷體" w:eastAsia="標楷體" w:hAnsi="標楷體"/>
                                      <w:spacing w:val="-8"/>
                                    </w:rPr>
                                    <w:t>5</w:t>
                                  </w:r>
                                </w:p>
                              </w:tc>
                              <w:tc>
                                <w:tcPr>
                                  <w:tcW w:w="787" w:type="dxa"/>
                                  <w:vAlign w:val="center"/>
                                </w:tcPr>
                                <w:p w14:paraId="65431111"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4</w:t>
                                  </w:r>
                                </w:p>
                              </w:tc>
                            </w:tr>
                            <w:tr w:rsidR="0050059F" w14:paraId="114388E1" w14:textId="77777777" w:rsidTr="00463899">
                              <w:trPr>
                                <w:gridAfter w:val="2"/>
                                <w:wAfter w:w="27" w:type="dxa"/>
                                <w:trHeight w:hRule="exact" w:val="312"/>
                                <w:jc w:val="center"/>
                              </w:trPr>
                              <w:tc>
                                <w:tcPr>
                                  <w:tcW w:w="439" w:type="dxa"/>
                                  <w:vAlign w:val="center"/>
                                </w:tcPr>
                                <w:p w14:paraId="6FD33188"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7</w:t>
                                  </w:r>
                                </w:p>
                              </w:tc>
                              <w:tc>
                                <w:tcPr>
                                  <w:tcW w:w="2102" w:type="dxa"/>
                                  <w:vAlign w:val="center"/>
                                </w:tcPr>
                                <w:p w14:paraId="14202B77"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其他</w:t>
                                  </w:r>
                                </w:p>
                              </w:tc>
                              <w:tc>
                                <w:tcPr>
                                  <w:tcW w:w="1518" w:type="dxa"/>
                                  <w:vAlign w:val="center"/>
                                </w:tcPr>
                                <w:p w14:paraId="31302DDA"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5</w:t>
                                  </w:r>
                                  <w:r w:rsidRPr="000D0355">
                                    <w:rPr>
                                      <w:rFonts w:ascii="標楷體" w:eastAsia="標楷體" w:hAnsi="標楷體"/>
                                      <w:bCs/>
                                      <w:spacing w:val="-6"/>
                                    </w:rPr>
                                    <w:t>2（2.50</w:t>
                                  </w:r>
                                  <w:r w:rsidRPr="000D0355">
                                    <w:rPr>
                                      <w:rFonts w:ascii="標楷體" w:eastAsia="標楷體" w:hAnsi="標楷體" w:hint="eastAsia"/>
                                      <w:bCs/>
                                      <w:spacing w:val="-6"/>
                                    </w:rPr>
                                    <w:t>）</w:t>
                                  </w:r>
                                </w:p>
                              </w:tc>
                              <w:tc>
                                <w:tcPr>
                                  <w:tcW w:w="630" w:type="dxa"/>
                                  <w:vAlign w:val="center"/>
                                </w:tcPr>
                                <w:p w14:paraId="205BD1D3"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2</w:t>
                                  </w:r>
                                  <w:r w:rsidRPr="000D0355">
                                    <w:rPr>
                                      <w:rFonts w:ascii="標楷體" w:eastAsia="標楷體" w:hAnsi="標楷體"/>
                                      <w:spacing w:val="-8"/>
                                    </w:rPr>
                                    <w:t>4</w:t>
                                  </w:r>
                                </w:p>
                              </w:tc>
                              <w:tc>
                                <w:tcPr>
                                  <w:tcW w:w="630" w:type="dxa"/>
                                  <w:vAlign w:val="center"/>
                                </w:tcPr>
                                <w:p w14:paraId="7D8D4605"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5</w:t>
                                  </w:r>
                                </w:p>
                              </w:tc>
                              <w:tc>
                                <w:tcPr>
                                  <w:tcW w:w="787" w:type="dxa"/>
                                  <w:vAlign w:val="center"/>
                                </w:tcPr>
                                <w:p w14:paraId="2FC41AC3"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3</w:t>
                                  </w:r>
                                </w:p>
                              </w:tc>
                            </w:tr>
                            <w:tr w:rsidR="0050059F" w14:paraId="4005595E" w14:textId="77777777" w:rsidTr="00463899">
                              <w:trPr>
                                <w:trHeight w:val="58"/>
                                <w:jc w:val="center"/>
                              </w:trPr>
                              <w:tc>
                                <w:tcPr>
                                  <w:tcW w:w="6133" w:type="dxa"/>
                                  <w:gridSpan w:val="8"/>
                                  <w:tcBorders>
                                    <w:top w:val="single" w:sz="4" w:space="0" w:color="auto"/>
                                    <w:left w:val="nil"/>
                                    <w:bottom w:val="nil"/>
                                    <w:right w:val="nil"/>
                                  </w:tcBorders>
                                  <w:vAlign w:val="center"/>
                                </w:tcPr>
                                <w:p w14:paraId="66E6D1A3" w14:textId="77777777" w:rsidR="0050059F" w:rsidRPr="00933221" w:rsidRDefault="0050059F" w:rsidP="00824CD6">
                                  <w:pPr>
                                    <w:spacing w:beforeLines="10" w:before="36" w:line="240" w:lineRule="exact"/>
                                    <w:ind w:leftChars="-50" w:left="-120"/>
                                    <w:jc w:val="both"/>
                                    <w:rPr>
                                      <w:rFonts w:ascii="標楷體" w:eastAsia="標楷體" w:hAnsi="標楷體"/>
                                      <w:spacing w:val="-4"/>
                                      <w:sz w:val="22"/>
                                    </w:rPr>
                                  </w:pPr>
                                  <w:r w:rsidRPr="00AD7128">
                                    <w:rPr>
                                      <w:rFonts w:ascii="標楷體" w:eastAsia="標楷體" w:hAnsi="標楷體" w:hint="eastAsia"/>
                                      <w:sz w:val="18"/>
                                      <w:szCs w:val="18"/>
                                    </w:rPr>
                                    <w:t>資料來源</w:t>
                                  </w:r>
                                  <w:r>
                                    <w:rPr>
                                      <w:rFonts w:ascii="標楷體" w:eastAsia="標楷體" w:hAnsi="標楷體" w:hint="eastAsia"/>
                                      <w:sz w:val="18"/>
                                      <w:szCs w:val="18"/>
                                    </w:rPr>
                                    <w:t>：</w:t>
                                  </w:r>
                                  <w:r w:rsidRPr="00AD7128">
                                    <w:rPr>
                                      <w:rFonts w:ascii="標楷體" w:eastAsia="標楷體" w:hAnsi="標楷體" w:hint="eastAsia"/>
                                      <w:sz w:val="18"/>
                                      <w:szCs w:val="18"/>
                                    </w:rPr>
                                    <w:t>整理自</w:t>
                                  </w:r>
                                  <w:r>
                                    <w:rPr>
                                      <w:rFonts w:ascii="標楷體" w:eastAsia="標楷體" w:hAnsi="標楷體" w:hint="eastAsia"/>
                                      <w:sz w:val="18"/>
                                      <w:szCs w:val="18"/>
                                    </w:rPr>
                                    <w:t>捷運公司提供資料</w:t>
                                  </w:r>
                                  <w:r w:rsidRPr="00AD7128">
                                    <w:rPr>
                                      <w:rFonts w:ascii="標楷體" w:eastAsia="標楷體" w:hAnsi="標楷體" w:hint="eastAsia"/>
                                      <w:sz w:val="18"/>
                                      <w:szCs w:val="18"/>
                                    </w:rPr>
                                    <w:t>。</w:t>
                                  </w:r>
                                </w:p>
                              </w:tc>
                            </w:tr>
                          </w:tbl>
                          <w:p w14:paraId="28424E5B" w14:textId="77777777" w:rsidR="0050059F" w:rsidRPr="0033673C" w:rsidRDefault="0050059F" w:rsidP="0050059F">
                            <w:pPr>
                              <w:spacing w:line="40" w:lineRule="exact"/>
                              <w:ind w:rightChars="-40" w:right="-96"/>
                              <w:jc w:val="both"/>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F7D85A" id="_x0000_s1162" type="#_x0000_t202" style="position:absolute;left:0;text-align:left;margin-left:185.7pt;margin-top:101.25pt;width:314.4pt;height:199.7pt;z-index:2517811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" stroked="f">
                <v:textbox>
                  <w:txbxContent>
                    <w:tbl>
                      <w:tblPr>
                        <w:tblStyle w:val="a6"/>
                        <w:tblW w:w="6133" w:type="dxa"/>
                        <w:jc w:val="center"/>
                        <w:tblLook w:val="04A0" w:firstRow="1" w:lastRow="0" w:firstColumn="1" w:lastColumn="0" w:noHBand="0" w:noVBand="1"/>
                      </w:tblPr>
                      <w:tblGrid>
                        <w:gridCol w:w="439"/>
                        <w:gridCol w:w="2102"/>
                        <w:gridCol w:w="1518"/>
                        <w:gridCol w:w="630"/>
                        <w:gridCol w:w="630"/>
                        <w:gridCol w:w="787"/>
                        <w:gridCol w:w="17"/>
                        <w:gridCol w:w="10"/>
                      </w:tblGrid>
                      <w:tr w:rsidR="0050059F" w14:paraId="08E16B2A" w14:textId="77777777" w:rsidTr="00463899">
                        <w:trPr>
                          <w:gridAfter w:val="1"/>
                          <w:wAfter w:w="10" w:type="dxa"/>
                          <w:trHeight w:val="275"/>
                          <w:jc w:val="center"/>
                        </w:trPr>
                        <w:tc>
                          <w:tcPr>
                            <w:tcW w:w="6123" w:type="dxa"/>
                            <w:gridSpan w:val="7"/>
                            <w:tcBorders>
                              <w:top w:val="nil"/>
                              <w:left w:val="nil"/>
                              <w:bottom w:val="nil"/>
                              <w:right w:val="nil"/>
                            </w:tcBorders>
                            <w:shd w:val="clear" w:color="auto" w:fill="auto"/>
                          </w:tcPr>
                          <w:p w14:paraId="53BCB10F" w14:textId="2FE1F7A6" w:rsidR="0050059F" w:rsidRPr="004509BD" w:rsidRDefault="0050059F" w:rsidP="00463899">
                            <w:pPr>
                              <w:spacing w:line="240" w:lineRule="exact"/>
                              <w:jc w:val="center"/>
                              <w:rPr>
                                <w:rFonts w:ascii="標楷體" w:eastAsia="標楷體" w:hAnsi="標楷體"/>
                                <w:spacing w:val="-2"/>
                                <w:sz w:val="24"/>
                                <w:szCs w:val="24"/>
                              </w:rPr>
                            </w:pPr>
                            <w:r w:rsidRPr="004509BD">
                              <w:rPr>
                                <w:rFonts w:ascii="標楷體" w:eastAsia="標楷體" w:hAnsi="標楷體" w:hint="eastAsia"/>
                                <w:b/>
                                <w:spacing w:val="-2"/>
                                <w:sz w:val="24"/>
                                <w:szCs w:val="24"/>
                              </w:rPr>
                              <w:t>表5</w:t>
                            </w:r>
                            <w:r w:rsidR="00463899" w:rsidRPr="004509BD">
                              <w:rPr>
                                <w:rFonts w:ascii="標楷體" w:eastAsia="標楷體" w:hAnsi="標楷體" w:hint="eastAsia"/>
                                <w:b/>
                                <w:spacing w:val="-2"/>
                                <w:sz w:val="24"/>
                                <w:szCs w:val="24"/>
                              </w:rPr>
                              <w:t xml:space="preserve">　</w:t>
                            </w:r>
                            <w:r w:rsidRPr="004509BD">
                              <w:rPr>
                                <w:rFonts w:ascii="標楷體" w:eastAsia="標楷體" w:hAnsi="標楷體"/>
                                <w:b/>
                                <w:spacing w:val="-6"/>
                                <w:sz w:val="24"/>
                                <w:szCs w:val="24"/>
                              </w:rPr>
                              <w:t>111</w:t>
                            </w:r>
                            <w:r w:rsidRPr="004509BD">
                              <w:rPr>
                                <w:rFonts w:ascii="標楷體" w:eastAsia="標楷體" w:hAnsi="標楷體" w:hint="eastAsia"/>
                                <w:b/>
                                <w:spacing w:val="-6"/>
                                <w:sz w:val="24"/>
                                <w:szCs w:val="24"/>
                              </w:rPr>
                              <w:t>年1月至1</w:t>
                            </w:r>
                            <w:r w:rsidRPr="004509BD">
                              <w:rPr>
                                <w:rFonts w:ascii="標楷體" w:eastAsia="標楷體" w:hAnsi="標楷體"/>
                                <w:b/>
                                <w:spacing w:val="-6"/>
                                <w:sz w:val="24"/>
                                <w:szCs w:val="24"/>
                              </w:rPr>
                              <w:t>13</w:t>
                            </w:r>
                            <w:r w:rsidRPr="004509BD">
                              <w:rPr>
                                <w:rFonts w:ascii="標楷體" w:eastAsia="標楷體" w:hAnsi="標楷體" w:hint="eastAsia"/>
                                <w:b/>
                                <w:spacing w:val="-6"/>
                                <w:sz w:val="24"/>
                                <w:szCs w:val="24"/>
                              </w:rPr>
                              <w:t>年8月臺北捷運火警系統故障原因</w:t>
                            </w:r>
                          </w:p>
                        </w:tc>
                      </w:tr>
                      <w:tr w:rsidR="0050059F" w14:paraId="7A6961DE" w14:textId="77777777" w:rsidTr="00463899">
                        <w:trPr>
                          <w:trHeight w:val="275"/>
                          <w:jc w:val="center"/>
                        </w:trPr>
                        <w:tc>
                          <w:tcPr>
                            <w:tcW w:w="6133" w:type="dxa"/>
                            <w:gridSpan w:val="8"/>
                            <w:tcBorders>
                              <w:top w:val="nil"/>
                              <w:left w:val="nil"/>
                              <w:bottom w:val="single" w:sz="4" w:space="0" w:color="auto"/>
                              <w:right w:val="nil"/>
                            </w:tcBorders>
                            <w:shd w:val="clear" w:color="auto" w:fill="auto"/>
                            <w:vAlign w:val="center"/>
                          </w:tcPr>
                          <w:p w14:paraId="4AD8CE26" w14:textId="77777777" w:rsidR="0050059F" w:rsidRPr="000D0355" w:rsidRDefault="0050059F" w:rsidP="00824CD6">
                            <w:pPr>
                              <w:spacing w:afterLines="10" w:after="36" w:line="220" w:lineRule="exact"/>
                              <w:ind w:rightChars="-20" w:right="-48"/>
                              <w:jc w:val="right"/>
                              <w:rPr>
                                <w:rFonts w:ascii="標楷體" w:eastAsia="標楷體" w:hAnsi="標楷體"/>
                              </w:rPr>
                            </w:pPr>
                            <w:r w:rsidRPr="000D0355">
                              <w:rPr>
                                <w:rFonts w:ascii="標楷體" w:eastAsia="標楷體" w:hAnsi="標楷體" w:hint="eastAsia"/>
                              </w:rPr>
                              <w:t>單位：件、％</w:t>
                            </w:r>
                          </w:p>
                        </w:tc>
                      </w:tr>
                      <w:tr w:rsidR="0050059F" w14:paraId="7E4969D8" w14:textId="77777777" w:rsidTr="00463899">
                        <w:trPr>
                          <w:gridAfter w:val="2"/>
                          <w:wAfter w:w="27" w:type="dxa"/>
                          <w:trHeight w:val="275"/>
                          <w:jc w:val="center"/>
                        </w:trPr>
                        <w:tc>
                          <w:tcPr>
                            <w:tcW w:w="439" w:type="dxa"/>
                            <w:tcBorders>
                              <w:top w:val="single" w:sz="4" w:space="0" w:color="auto"/>
                            </w:tcBorders>
                            <w:shd w:val="clear" w:color="auto" w:fill="auto"/>
                            <w:vAlign w:val="center"/>
                          </w:tcPr>
                          <w:p w14:paraId="37DC683A" w14:textId="77777777" w:rsidR="0050059F" w:rsidRPr="000D0355" w:rsidRDefault="0050059F" w:rsidP="00824CD6">
                            <w:pPr>
                              <w:spacing w:line="220" w:lineRule="exact"/>
                              <w:jc w:val="center"/>
                              <w:rPr>
                                <w:rFonts w:ascii="標楷體" w:eastAsia="標楷體" w:hAnsi="標楷體"/>
                                <w:spacing w:val="-4"/>
                              </w:rPr>
                            </w:pPr>
                            <w:r w:rsidRPr="000D0355">
                              <w:rPr>
                                <w:rFonts w:ascii="標楷體" w:eastAsia="標楷體" w:hAnsi="標楷體" w:hint="eastAsia"/>
                                <w:spacing w:val="-4"/>
                              </w:rPr>
                              <w:t>項目</w:t>
                            </w:r>
                          </w:p>
                        </w:tc>
                        <w:tc>
                          <w:tcPr>
                            <w:tcW w:w="2102" w:type="dxa"/>
                            <w:tcBorders>
                              <w:top w:val="single" w:sz="4" w:space="0" w:color="auto"/>
                            </w:tcBorders>
                            <w:shd w:val="clear" w:color="auto" w:fill="auto"/>
                            <w:vAlign w:val="center"/>
                          </w:tcPr>
                          <w:p w14:paraId="1D97462D" w14:textId="77777777" w:rsidR="0050059F" w:rsidRPr="000D0355" w:rsidRDefault="0050059F" w:rsidP="00824CD6">
                            <w:pPr>
                              <w:spacing w:line="220" w:lineRule="exact"/>
                              <w:jc w:val="center"/>
                              <w:rPr>
                                <w:rFonts w:ascii="標楷體" w:eastAsia="標楷體" w:hAnsi="標楷體"/>
                                <w:spacing w:val="20"/>
                              </w:rPr>
                            </w:pPr>
                            <w:r w:rsidRPr="000D0355">
                              <w:rPr>
                                <w:rFonts w:ascii="標楷體" w:eastAsia="標楷體" w:hAnsi="標楷體" w:hint="eastAsia"/>
                                <w:spacing w:val="20"/>
                              </w:rPr>
                              <w:t>故障原因</w:t>
                            </w:r>
                          </w:p>
                        </w:tc>
                        <w:tc>
                          <w:tcPr>
                            <w:tcW w:w="1518" w:type="dxa"/>
                            <w:tcBorders>
                              <w:top w:val="single" w:sz="4" w:space="0" w:color="auto"/>
                            </w:tcBorders>
                            <w:shd w:val="clear" w:color="auto" w:fill="auto"/>
                            <w:vAlign w:val="center"/>
                          </w:tcPr>
                          <w:p w14:paraId="4F6BDC4D" w14:textId="77777777" w:rsidR="0050059F" w:rsidRPr="000D0355" w:rsidRDefault="0050059F" w:rsidP="00824CD6">
                            <w:pPr>
                              <w:spacing w:line="220" w:lineRule="exact"/>
                              <w:ind w:rightChars="-50" w:right="-120"/>
                              <w:jc w:val="center"/>
                              <w:rPr>
                                <w:rFonts w:ascii="標楷體" w:eastAsia="標楷體" w:hAnsi="標楷體"/>
                              </w:rPr>
                            </w:pPr>
                            <w:r w:rsidRPr="000D0355">
                              <w:rPr>
                                <w:rFonts w:ascii="標楷體" w:eastAsia="標楷體" w:hAnsi="標楷體" w:hint="eastAsia"/>
                              </w:rPr>
                              <w:t>件數</w:t>
                            </w:r>
                            <w:proofErr w:type="gramStart"/>
                            <w:r w:rsidRPr="000D0355">
                              <w:rPr>
                                <w:rFonts w:ascii="標楷體" w:eastAsia="標楷體" w:hAnsi="標楷體" w:hint="eastAsia"/>
                              </w:rPr>
                              <w:t>（</w:t>
                            </w:r>
                            <w:proofErr w:type="gramEnd"/>
                            <w:r w:rsidRPr="000D0355">
                              <w:rPr>
                                <w:rFonts w:ascii="標楷體" w:eastAsia="標楷體" w:hAnsi="標楷體" w:hint="eastAsia"/>
                              </w:rPr>
                              <w:t>占比</w:t>
                            </w:r>
                            <w:r w:rsidRPr="000D0355">
                              <w:rPr>
                                <w:rFonts w:ascii="標楷體" w:eastAsia="標楷體" w:hAnsi="標楷體"/>
                              </w:rPr>
                              <w:t>)</w:t>
                            </w:r>
                          </w:p>
                        </w:tc>
                        <w:tc>
                          <w:tcPr>
                            <w:tcW w:w="630" w:type="dxa"/>
                            <w:tcBorders>
                              <w:top w:val="single" w:sz="4" w:space="0" w:color="auto"/>
                            </w:tcBorders>
                            <w:shd w:val="clear" w:color="auto" w:fill="auto"/>
                            <w:vAlign w:val="center"/>
                          </w:tcPr>
                          <w:p w14:paraId="77EF5966" w14:textId="77777777" w:rsidR="0050059F" w:rsidRPr="000D0355" w:rsidRDefault="0050059F" w:rsidP="00824CD6">
                            <w:pPr>
                              <w:spacing w:line="220" w:lineRule="exact"/>
                              <w:jc w:val="center"/>
                              <w:rPr>
                                <w:rFonts w:ascii="標楷體" w:eastAsia="標楷體" w:hAnsi="標楷體"/>
                                <w:spacing w:val="-4"/>
                              </w:rPr>
                            </w:pPr>
                            <w:r w:rsidRPr="000D0355">
                              <w:rPr>
                                <w:rFonts w:ascii="標楷體" w:eastAsia="標楷體" w:hAnsi="標楷體" w:hint="eastAsia"/>
                                <w:spacing w:val="-4"/>
                              </w:rPr>
                              <w:t>1</w:t>
                            </w:r>
                            <w:r w:rsidRPr="000D0355">
                              <w:rPr>
                                <w:rFonts w:ascii="標楷體" w:eastAsia="標楷體" w:hAnsi="標楷體"/>
                                <w:spacing w:val="-4"/>
                              </w:rPr>
                              <w:t>11</w:t>
                            </w:r>
                          </w:p>
                          <w:p w14:paraId="34459FAF" w14:textId="77777777" w:rsidR="0050059F" w:rsidRPr="000D0355" w:rsidRDefault="0050059F" w:rsidP="00824CD6">
                            <w:pPr>
                              <w:spacing w:line="220" w:lineRule="exact"/>
                              <w:jc w:val="center"/>
                              <w:rPr>
                                <w:rFonts w:ascii="標楷體" w:eastAsia="標楷體" w:hAnsi="標楷體"/>
                                <w:spacing w:val="-4"/>
                              </w:rPr>
                            </w:pPr>
                            <w:r w:rsidRPr="000D0355">
                              <w:rPr>
                                <w:rFonts w:ascii="標楷體" w:eastAsia="標楷體" w:hAnsi="標楷體" w:hint="eastAsia"/>
                                <w:spacing w:val="-4"/>
                              </w:rPr>
                              <w:t>年度</w:t>
                            </w:r>
                          </w:p>
                        </w:tc>
                        <w:tc>
                          <w:tcPr>
                            <w:tcW w:w="630" w:type="dxa"/>
                            <w:tcBorders>
                              <w:top w:val="single" w:sz="4" w:space="0" w:color="auto"/>
                            </w:tcBorders>
                            <w:shd w:val="clear" w:color="auto" w:fill="auto"/>
                            <w:vAlign w:val="center"/>
                          </w:tcPr>
                          <w:p w14:paraId="6E0BB957" w14:textId="77777777" w:rsidR="0050059F" w:rsidRPr="000D0355" w:rsidRDefault="0050059F" w:rsidP="00824CD6">
                            <w:pPr>
                              <w:spacing w:line="220" w:lineRule="exact"/>
                              <w:jc w:val="center"/>
                              <w:rPr>
                                <w:rFonts w:ascii="標楷體" w:eastAsia="標楷體" w:hAnsi="標楷體"/>
                                <w:spacing w:val="-4"/>
                              </w:rPr>
                            </w:pPr>
                            <w:r w:rsidRPr="000D0355">
                              <w:rPr>
                                <w:rFonts w:ascii="標楷體" w:eastAsia="標楷體" w:hAnsi="標楷體" w:hint="eastAsia"/>
                                <w:spacing w:val="-4"/>
                              </w:rPr>
                              <w:t>1</w:t>
                            </w:r>
                            <w:r w:rsidRPr="000D0355">
                              <w:rPr>
                                <w:rFonts w:ascii="標楷體" w:eastAsia="標楷體" w:hAnsi="標楷體"/>
                                <w:spacing w:val="-4"/>
                              </w:rPr>
                              <w:t>12</w:t>
                            </w:r>
                          </w:p>
                          <w:p w14:paraId="52D2245B" w14:textId="77777777" w:rsidR="0050059F" w:rsidRPr="000D0355" w:rsidRDefault="0050059F" w:rsidP="00824CD6">
                            <w:pPr>
                              <w:spacing w:line="220" w:lineRule="exact"/>
                              <w:jc w:val="center"/>
                              <w:rPr>
                                <w:rFonts w:ascii="標楷體" w:eastAsia="標楷體" w:hAnsi="標楷體"/>
                                <w:spacing w:val="-4"/>
                              </w:rPr>
                            </w:pPr>
                            <w:r w:rsidRPr="000D0355">
                              <w:rPr>
                                <w:rFonts w:ascii="標楷體" w:eastAsia="標楷體" w:hAnsi="標楷體" w:hint="eastAsia"/>
                                <w:spacing w:val="-4"/>
                              </w:rPr>
                              <w:t>年度</w:t>
                            </w:r>
                          </w:p>
                        </w:tc>
                        <w:tc>
                          <w:tcPr>
                            <w:tcW w:w="787" w:type="dxa"/>
                            <w:tcBorders>
                              <w:top w:val="single" w:sz="4" w:space="0" w:color="auto"/>
                            </w:tcBorders>
                            <w:shd w:val="clear" w:color="auto" w:fill="auto"/>
                            <w:vAlign w:val="center"/>
                          </w:tcPr>
                          <w:p w14:paraId="62C9AAAC" w14:textId="77777777" w:rsidR="0050059F" w:rsidRPr="000D0355" w:rsidRDefault="0050059F" w:rsidP="00824CD6">
                            <w:pPr>
                              <w:spacing w:line="220" w:lineRule="exact"/>
                              <w:jc w:val="center"/>
                              <w:rPr>
                                <w:rFonts w:ascii="標楷體" w:eastAsia="標楷體" w:hAnsi="標楷體"/>
                                <w:spacing w:val="-12"/>
                              </w:rPr>
                            </w:pPr>
                            <w:r w:rsidRPr="000D0355">
                              <w:rPr>
                                <w:rFonts w:ascii="標楷體" w:eastAsia="標楷體" w:hAnsi="標楷體" w:hint="eastAsia"/>
                                <w:spacing w:val="-12"/>
                              </w:rPr>
                              <w:t>1</w:t>
                            </w:r>
                            <w:r w:rsidRPr="000D0355">
                              <w:rPr>
                                <w:rFonts w:ascii="標楷體" w:eastAsia="標楷體" w:hAnsi="標楷體"/>
                                <w:spacing w:val="-12"/>
                              </w:rPr>
                              <w:t>13</w:t>
                            </w:r>
                            <w:r w:rsidRPr="000D0355">
                              <w:rPr>
                                <w:rFonts w:ascii="標楷體" w:eastAsia="標楷體" w:hAnsi="標楷體" w:hint="eastAsia"/>
                                <w:spacing w:val="-12"/>
                              </w:rPr>
                              <w:t>年</w:t>
                            </w:r>
                          </w:p>
                          <w:p w14:paraId="6DA56CBC" w14:textId="77777777" w:rsidR="0050059F" w:rsidRPr="000D0355" w:rsidRDefault="0050059F" w:rsidP="00824CD6">
                            <w:pPr>
                              <w:spacing w:line="220" w:lineRule="exact"/>
                              <w:jc w:val="center"/>
                              <w:rPr>
                                <w:rFonts w:ascii="標楷體" w:eastAsia="標楷體" w:hAnsi="標楷體"/>
                                <w:spacing w:val="-30"/>
                              </w:rPr>
                            </w:pPr>
                            <w:r w:rsidRPr="000D0355">
                              <w:rPr>
                                <w:rFonts w:ascii="標楷體" w:eastAsia="標楷體" w:hAnsi="標楷體" w:hint="eastAsia"/>
                                <w:spacing w:val="-30"/>
                              </w:rPr>
                              <w:t>1至8月</w:t>
                            </w:r>
                          </w:p>
                        </w:tc>
                      </w:tr>
                      <w:tr w:rsidR="0050059F" w:rsidRPr="006D6EB3" w14:paraId="66E5B9BF" w14:textId="77777777" w:rsidTr="00463899">
                        <w:trPr>
                          <w:gridAfter w:val="2"/>
                          <w:wAfter w:w="27" w:type="dxa"/>
                          <w:trHeight w:hRule="exact" w:val="312"/>
                          <w:jc w:val="center"/>
                        </w:trPr>
                        <w:tc>
                          <w:tcPr>
                            <w:tcW w:w="2541" w:type="dxa"/>
                            <w:gridSpan w:val="2"/>
                            <w:vAlign w:val="center"/>
                          </w:tcPr>
                          <w:p w14:paraId="616E85EB" w14:textId="77777777" w:rsidR="0050059F" w:rsidRPr="000D0355" w:rsidRDefault="0050059F" w:rsidP="00824CD6">
                            <w:pPr>
                              <w:spacing w:line="240" w:lineRule="exact"/>
                              <w:jc w:val="center"/>
                              <w:rPr>
                                <w:rFonts w:ascii="標楷體" w:eastAsia="標楷體" w:hAnsi="標楷體"/>
                                <w:b/>
                                <w:spacing w:val="-4"/>
                              </w:rPr>
                            </w:pPr>
                            <w:r w:rsidRPr="000D0355">
                              <w:rPr>
                                <w:rFonts w:ascii="標楷體" w:eastAsia="標楷體" w:hAnsi="標楷體" w:hint="eastAsia"/>
                                <w:b/>
                                <w:spacing w:val="-4"/>
                              </w:rPr>
                              <w:t xml:space="preserve">合 </w:t>
                            </w:r>
                            <w:r w:rsidRPr="000D0355">
                              <w:rPr>
                                <w:rFonts w:ascii="標楷體" w:eastAsia="標楷體" w:hAnsi="標楷體"/>
                                <w:b/>
                                <w:spacing w:val="-4"/>
                              </w:rPr>
                              <w:t xml:space="preserve"> </w:t>
                            </w:r>
                            <w:r w:rsidRPr="000D0355">
                              <w:rPr>
                                <w:rFonts w:ascii="標楷體" w:eastAsia="標楷體" w:hAnsi="標楷體" w:hint="eastAsia"/>
                                <w:b/>
                                <w:spacing w:val="-4"/>
                              </w:rPr>
                              <w:t>計</w:t>
                            </w:r>
                          </w:p>
                        </w:tc>
                        <w:tc>
                          <w:tcPr>
                            <w:tcW w:w="1518" w:type="dxa"/>
                            <w:vAlign w:val="center"/>
                          </w:tcPr>
                          <w:p w14:paraId="68146B59" w14:textId="77777777" w:rsidR="0050059F" w:rsidRPr="000D0355" w:rsidRDefault="0050059F" w:rsidP="00824CD6">
                            <w:pPr>
                              <w:spacing w:line="240" w:lineRule="exact"/>
                              <w:ind w:rightChars="-50" w:right="-120"/>
                              <w:jc w:val="center"/>
                              <w:rPr>
                                <w:rFonts w:ascii="標楷體" w:eastAsia="標楷體" w:hAnsi="標楷體"/>
                                <w:b/>
                                <w:spacing w:val="-6"/>
                              </w:rPr>
                            </w:pPr>
                            <w:r w:rsidRPr="000D0355">
                              <w:rPr>
                                <w:rFonts w:ascii="標楷體" w:eastAsia="標楷體" w:hAnsi="標楷體" w:hint="eastAsia"/>
                                <w:b/>
                                <w:spacing w:val="-6"/>
                              </w:rPr>
                              <w:t>2</w:t>
                            </w:r>
                            <w:r w:rsidRPr="000D0355">
                              <w:rPr>
                                <w:rFonts w:ascii="標楷體" w:eastAsia="標楷體" w:hAnsi="標楷體"/>
                                <w:b/>
                                <w:spacing w:val="-6"/>
                              </w:rPr>
                              <w:t>,077（</w:t>
                            </w:r>
                            <w:r w:rsidRPr="000D0355">
                              <w:rPr>
                                <w:rFonts w:ascii="標楷體" w:eastAsia="標楷體" w:hAnsi="標楷體" w:hint="eastAsia"/>
                                <w:b/>
                                <w:spacing w:val="-6"/>
                              </w:rPr>
                              <w:t>1</w:t>
                            </w:r>
                            <w:r w:rsidRPr="000D0355">
                              <w:rPr>
                                <w:rFonts w:ascii="標楷體" w:eastAsia="標楷體" w:hAnsi="標楷體"/>
                                <w:b/>
                                <w:spacing w:val="-6"/>
                              </w:rPr>
                              <w:t>00.00</w:t>
                            </w:r>
                            <w:r w:rsidRPr="000D0355">
                              <w:rPr>
                                <w:rFonts w:ascii="標楷體" w:eastAsia="標楷體" w:hAnsi="標楷體" w:hint="eastAsia"/>
                                <w:b/>
                                <w:spacing w:val="-6"/>
                              </w:rPr>
                              <w:t>）</w:t>
                            </w:r>
                          </w:p>
                        </w:tc>
                        <w:tc>
                          <w:tcPr>
                            <w:tcW w:w="630" w:type="dxa"/>
                            <w:vAlign w:val="center"/>
                          </w:tcPr>
                          <w:p w14:paraId="72673382" w14:textId="77777777" w:rsidR="0050059F" w:rsidRPr="000D0355" w:rsidRDefault="0050059F" w:rsidP="00824CD6">
                            <w:pPr>
                              <w:spacing w:line="240" w:lineRule="exact"/>
                              <w:jc w:val="right"/>
                              <w:rPr>
                                <w:rFonts w:ascii="標楷體" w:eastAsia="標楷體" w:hAnsi="標楷體"/>
                                <w:b/>
                                <w:spacing w:val="-8"/>
                              </w:rPr>
                            </w:pPr>
                            <w:r w:rsidRPr="000D0355">
                              <w:rPr>
                                <w:rFonts w:ascii="標楷體" w:eastAsia="標楷體" w:hAnsi="標楷體" w:hint="eastAsia"/>
                                <w:b/>
                                <w:spacing w:val="-8"/>
                              </w:rPr>
                              <w:t>8</w:t>
                            </w:r>
                            <w:r w:rsidRPr="000D0355">
                              <w:rPr>
                                <w:rFonts w:ascii="標楷體" w:eastAsia="標楷體" w:hAnsi="標楷體"/>
                                <w:b/>
                                <w:spacing w:val="-8"/>
                              </w:rPr>
                              <w:t>51</w:t>
                            </w:r>
                          </w:p>
                        </w:tc>
                        <w:tc>
                          <w:tcPr>
                            <w:tcW w:w="630" w:type="dxa"/>
                            <w:vAlign w:val="center"/>
                          </w:tcPr>
                          <w:p w14:paraId="7C2FFDEE" w14:textId="77777777" w:rsidR="0050059F" w:rsidRPr="000D0355" w:rsidRDefault="0050059F" w:rsidP="00824CD6">
                            <w:pPr>
                              <w:spacing w:line="240" w:lineRule="exact"/>
                              <w:jc w:val="right"/>
                              <w:rPr>
                                <w:rFonts w:ascii="標楷體" w:eastAsia="標楷體" w:hAnsi="標楷體"/>
                                <w:b/>
                                <w:spacing w:val="-8"/>
                              </w:rPr>
                            </w:pPr>
                            <w:r w:rsidRPr="000D0355">
                              <w:rPr>
                                <w:rFonts w:ascii="標楷體" w:eastAsia="標楷體" w:hAnsi="標楷體" w:hint="eastAsia"/>
                                <w:b/>
                                <w:spacing w:val="-8"/>
                              </w:rPr>
                              <w:t>8</w:t>
                            </w:r>
                            <w:r w:rsidRPr="000D0355">
                              <w:rPr>
                                <w:rFonts w:ascii="標楷體" w:eastAsia="標楷體" w:hAnsi="標楷體"/>
                                <w:b/>
                                <w:spacing w:val="-8"/>
                              </w:rPr>
                              <w:t>09</w:t>
                            </w:r>
                          </w:p>
                        </w:tc>
                        <w:tc>
                          <w:tcPr>
                            <w:tcW w:w="787" w:type="dxa"/>
                            <w:vAlign w:val="center"/>
                          </w:tcPr>
                          <w:p w14:paraId="582D8F77" w14:textId="77777777" w:rsidR="0050059F" w:rsidRPr="000D0355" w:rsidRDefault="0050059F" w:rsidP="00824CD6">
                            <w:pPr>
                              <w:spacing w:line="240" w:lineRule="exact"/>
                              <w:jc w:val="right"/>
                              <w:rPr>
                                <w:rFonts w:ascii="標楷體" w:eastAsia="標楷體" w:hAnsi="標楷體"/>
                                <w:b/>
                                <w:spacing w:val="-8"/>
                              </w:rPr>
                            </w:pPr>
                            <w:r w:rsidRPr="000D0355">
                              <w:rPr>
                                <w:rFonts w:ascii="標楷體" w:eastAsia="標楷體" w:hAnsi="標楷體" w:hint="eastAsia"/>
                                <w:b/>
                                <w:spacing w:val="-8"/>
                              </w:rPr>
                              <w:t>4</w:t>
                            </w:r>
                            <w:r w:rsidRPr="000D0355">
                              <w:rPr>
                                <w:rFonts w:ascii="標楷體" w:eastAsia="標楷體" w:hAnsi="標楷體"/>
                                <w:b/>
                                <w:spacing w:val="-8"/>
                              </w:rPr>
                              <w:t>17</w:t>
                            </w:r>
                          </w:p>
                        </w:tc>
                      </w:tr>
                      <w:tr w:rsidR="0050059F" w14:paraId="3A237A95" w14:textId="77777777" w:rsidTr="00463899">
                        <w:trPr>
                          <w:gridAfter w:val="2"/>
                          <w:wAfter w:w="27" w:type="dxa"/>
                          <w:trHeight w:hRule="exact" w:val="312"/>
                          <w:jc w:val="center"/>
                        </w:trPr>
                        <w:tc>
                          <w:tcPr>
                            <w:tcW w:w="439" w:type="dxa"/>
                            <w:vAlign w:val="center"/>
                          </w:tcPr>
                          <w:p w14:paraId="1613B559"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1</w:t>
                            </w:r>
                          </w:p>
                        </w:tc>
                        <w:tc>
                          <w:tcPr>
                            <w:tcW w:w="2102" w:type="dxa"/>
                            <w:vAlign w:val="center"/>
                          </w:tcPr>
                          <w:p w14:paraId="0D20CC76"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火警受信總機異常</w:t>
                            </w:r>
                          </w:p>
                        </w:tc>
                        <w:tc>
                          <w:tcPr>
                            <w:tcW w:w="1518" w:type="dxa"/>
                            <w:vAlign w:val="center"/>
                          </w:tcPr>
                          <w:p w14:paraId="3E507607"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7</w:t>
                            </w:r>
                            <w:r w:rsidRPr="000D0355">
                              <w:rPr>
                                <w:rFonts w:ascii="標楷體" w:eastAsia="標楷體" w:hAnsi="標楷體"/>
                                <w:bCs/>
                                <w:spacing w:val="-6"/>
                              </w:rPr>
                              <w:t>70（37.07</w:t>
                            </w:r>
                            <w:r w:rsidRPr="000D0355">
                              <w:rPr>
                                <w:rFonts w:ascii="標楷體" w:eastAsia="標楷體" w:hAnsi="標楷體" w:hint="eastAsia"/>
                                <w:bCs/>
                                <w:spacing w:val="-6"/>
                              </w:rPr>
                              <w:t>）</w:t>
                            </w:r>
                          </w:p>
                        </w:tc>
                        <w:tc>
                          <w:tcPr>
                            <w:tcW w:w="630" w:type="dxa"/>
                            <w:vAlign w:val="center"/>
                          </w:tcPr>
                          <w:p w14:paraId="2FCCB5FF"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3</w:t>
                            </w:r>
                            <w:r w:rsidRPr="000D0355">
                              <w:rPr>
                                <w:rFonts w:ascii="標楷體" w:eastAsia="標楷體" w:hAnsi="標楷體"/>
                                <w:spacing w:val="-8"/>
                              </w:rPr>
                              <w:t>04</w:t>
                            </w:r>
                          </w:p>
                        </w:tc>
                        <w:tc>
                          <w:tcPr>
                            <w:tcW w:w="630" w:type="dxa"/>
                            <w:vAlign w:val="center"/>
                          </w:tcPr>
                          <w:p w14:paraId="5B6ECE1A"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2</w:t>
                            </w:r>
                            <w:r w:rsidRPr="000D0355">
                              <w:rPr>
                                <w:rFonts w:ascii="標楷體" w:eastAsia="標楷體" w:hAnsi="標楷體"/>
                                <w:spacing w:val="-8"/>
                              </w:rPr>
                              <w:t>99</w:t>
                            </w:r>
                          </w:p>
                        </w:tc>
                        <w:tc>
                          <w:tcPr>
                            <w:tcW w:w="787" w:type="dxa"/>
                            <w:vAlign w:val="center"/>
                          </w:tcPr>
                          <w:p w14:paraId="44E5ACD0"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67</w:t>
                            </w:r>
                          </w:p>
                        </w:tc>
                      </w:tr>
                      <w:tr w:rsidR="0050059F" w14:paraId="24F7CA98" w14:textId="77777777" w:rsidTr="00463899">
                        <w:trPr>
                          <w:gridAfter w:val="2"/>
                          <w:wAfter w:w="27" w:type="dxa"/>
                          <w:trHeight w:hRule="exact" w:val="312"/>
                          <w:jc w:val="center"/>
                        </w:trPr>
                        <w:tc>
                          <w:tcPr>
                            <w:tcW w:w="439" w:type="dxa"/>
                            <w:vAlign w:val="center"/>
                          </w:tcPr>
                          <w:p w14:paraId="7E2289DB"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2</w:t>
                            </w:r>
                          </w:p>
                        </w:tc>
                        <w:tc>
                          <w:tcPr>
                            <w:tcW w:w="2102" w:type="dxa"/>
                            <w:vAlign w:val="center"/>
                          </w:tcPr>
                          <w:p w14:paraId="0E0F8DB3"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探測器異常</w:t>
                            </w:r>
                          </w:p>
                        </w:tc>
                        <w:tc>
                          <w:tcPr>
                            <w:tcW w:w="1518" w:type="dxa"/>
                            <w:vAlign w:val="center"/>
                          </w:tcPr>
                          <w:p w14:paraId="05BBB850"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4</w:t>
                            </w:r>
                            <w:r w:rsidRPr="000D0355">
                              <w:rPr>
                                <w:rFonts w:ascii="標楷體" w:eastAsia="標楷體" w:hAnsi="標楷體"/>
                                <w:bCs/>
                                <w:spacing w:val="-6"/>
                              </w:rPr>
                              <w:t>82（23.21</w:t>
                            </w:r>
                            <w:r w:rsidRPr="000D0355">
                              <w:rPr>
                                <w:rFonts w:ascii="標楷體" w:eastAsia="標楷體" w:hAnsi="標楷體" w:hint="eastAsia"/>
                                <w:bCs/>
                                <w:spacing w:val="-6"/>
                              </w:rPr>
                              <w:t>）</w:t>
                            </w:r>
                          </w:p>
                        </w:tc>
                        <w:tc>
                          <w:tcPr>
                            <w:tcW w:w="630" w:type="dxa"/>
                            <w:vAlign w:val="center"/>
                          </w:tcPr>
                          <w:p w14:paraId="0D9A95F4"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2</w:t>
                            </w:r>
                            <w:r w:rsidRPr="000D0355">
                              <w:rPr>
                                <w:rFonts w:ascii="標楷體" w:eastAsia="標楷體" w:hAnsi="標楷體"/>
                                <w:spacing w:val="-8"/>
                              </w:rPr>
                              <w:t>28</w:t>
                            </w:r>
                          </w:p>
                        </w:tc>
                        <w:tc>
                          <w:tcPr>
                            <w:tcW w:w="630" w:type="dxa"/>
                            <w:vAlign w:val="center"/>
                          </w:tcPr>
                          <w:p w14:paraId="7E7770A7"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62</w:t>
                            </w:r>
                          </w:p>
                        </w:tc>
                        <w:tc>
                          <w:tcPr>
                            <w:tcW w:w="787" w:type="dxa"/>
                            <w:vAlign w:val="center"/>
                          </w:tcPr>
                          <w:p w14:paraId="4729ADA7"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9</w:t>
                            </w:r>
                            <w:r w:rsidRPr="000D0355">
                              <w:rPr>
                                <w:rFonts w:ascii="標楷體" w:eastAsia="標楷體" w:hAnsi="標楷體"/>
                                <w:spacing w:val="-8"/>
                              </w:rPr>
                              <w:t>2</w:t>
                            </w:r>
                          </w:p>
                        </w:tc>
                      </w:tr>
                      <w:tr w:rsidR="0050059F" w14:paraId="41779C8A" w14:textId="77777777" w:rsidTr="00463899">
                        <w:trPr>
                          <w:gridAfter w:val="2"/>
                          <w:wAfter w:w="27" w:type="dxa"/>
                          <w:trHeight w:hRule="exact" w:val="312"/>
                          <w:jc w:val="center"/>
                        </w:trPr>
                        <w:tc>
                          <w:tcPr>
                            <w:tcW w:w="439" w:type="dxa"/>
                            <w:vAlign w:val="center"/>
                          </w:tcPr>
                          <w:p w14:paraId="5123E469"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3</w:t>
                            </w:r>
                          </w:p>
                        </w:tc>
                        <w:tc>
                          <w:tcPr>
                            <w:tcW w:w="2102" w:type="dxa"/>
                            <w:vAlign w:val="center"/>
                          </w:tcPr>
                          <w:p w14:paraId="68FE7D03"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排煙受信總機異常</w:t>
                            </w:r>
                          </w:p>
                        </w:tc>
                        <w:tc>
                          <w:tcPr>
                            <w:tcW w:w="1518" w:type="dxa"/>
                            <w:vAlign w:val="center"/>
                          </w:tcPr>
                          <w:p w14:paraId="060ED960"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3</w:t>
                            </w:r>
                            <w:r w:rsidRPr="000D0355">
                              <w:rPr>
                                <w:rFonts w:ascii="標楷體" w:eastAsia="標楷體" w:hAnsi="標楷體"/>
                                <w:bCs/>
                                <w:spacing w:val="-6"/>
                              </w:rPr>
                              <w:t>35（16.13</w:t>
                            </w:r>
                            <w:r w:rsidRPr="000D0355">
                              <w:rPr>
                                <w:rFonts w:ascii="標楷體" w:eastAsia="標楷體" w:hAnsi="標楷體" w:hint="eastAsia"/>
                                <w:bCs/>
                                <w:spacing w:val="-6"/>
                              </w:rPr>
                              <w:t>）</w:t>
                            </w:r>
                          </w:p>
                        </w:tc>
                        <w:tc>
                          <w:tcPr>
                            <w:tcW w:w="630" w:type="dxa"/>
                            <w:vAlign w:val="center"/>
                          </w:tcPr>
                          <w:p w14:paraId="02B5DFF7"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38</w:t>
                            </w:r>
                          </w:p>
                        </w:tc>
                        <w:tc>
                          <w:tcPr>
                            <w:tcW w:w="630" w:type="dxa"/>
                            <w:vAlign w:val="center"/>
                          </w:tcPr>
                          <w:p w14:paraId="165DC107"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47</w:t>
                            </w:r>
                          </w:p>
                        </w:tc>
                        <w:tc>
                          <w:tcPr>
                            <w:tcW w:w="787" w:type="dxa"/>
                            <w:vAlign w:val="center"/>
                          </w:tcPr>
                          <w:p w14:paraId="25C2E929"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5</w:t>
                            </w:r>
                            <w:r w:rsidRPr="000D0355">
                              <w:rPr>
                                <w:rFonts w:ascii="標楷體" w:eastAsia="標楷體" w:hAnsi="標楷體"/>
                                <w:spacing w:val="-8"/>
                              </w:rPr>
                              <w:t>0</w:t>
                            </w:r>
                          </w:p>
                        </w:tc>
                      </w:tr>
                      <w:tr w:rsidR="0050059F" w14:paraId="7866C735" w14:textId="77777777" w:rsidTr="00463899">
                        <w:trPr>
                          <w:gridAfter w:val="2"/>
                          <w:wAfter w:w="27" w:type="dxa"/>
                          <w:trHeight w:hRule="exact" w:val="312"/>
                          <w:jc w:val="center"/>
                        </w:trPr>
                        <w:tc>
                          <w:tcPr>
                            <w:tcW w:w="439" w:type="dxa"/>
                            <w:vAlign w:val="center"/>
                          </w:tcPr>
                          <w:p w14:paraId="24BD4163"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4</w:t>
                            </w:r>
                          </w:p>
                        </w:tc>
                        <w:tc>
                          <w:tcPr>
                            <w:tcW w:w="2102" w:type="dxa"/>
                            <w:vAlign w:val="center"/>
                          </w:tcPr>
                          <w:p w14:paraId="0B8231FC"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火警圖控電腦異常</w:t>
                            </w:r>
                          </w:p>
                        </w:tc>
                        <w:tc>
                          <w:tcPr>
                            <w:tcW w:w="1518" w:type="dxa"/>
                            <w:vAlign w:val="center"/>
                          </w:tcPr>
                          <w:p w14:paraId="1CC43ACF"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2</w:t>
                            </w:r>
                            <w:r w:rsidRPr="000D0355">
                              <w:rPr>
                                <w:rFonts w:ascii="標楷體" w:eastAsia="標楷體" w:hAnsi="標楷體"/>
                                <w:bCs/>
                                <w:spacing w:val="-6"/>
                              </w:rPr>
                              <w:t>32（11.17</w:t>
                            </w:r>
                            <w:r w:rsidRPr="000D0355">
                              <w:rPr>
                                <w:rFonts w:ascii="標楷體" w:eastAsia="標楷體" w:hAnsi="標楷體" w:hint="eastAsia"/>
                                <w:bCs/>
                                <w:spacing w:val="-6"/>
                              </w:rPr>
                              <w:t>）</w:t>
                            </w:r>
                          </w:p>
                        </w:tc>
                        <w:tc>
                          <w:tcPr>
                            <w:tcW w:w="630" w:type="dxa"/>
                            <w:vAlign w:val="center"/>
                          </w:tcPr>
                          <w:p w14:paraId="2F10DBC3"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02</w:t>
                            </w:r>
                          </w:p>
                        </w:tc>
                        <w:tc>
                          <w:tcPr>
                            <w:tcW w:w="630" w:type="dxa"/>
                            <w:vAlign w:val="center"/>
                          </w:tcPr>
                          <w:p w14:paraId="34CB8309"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8</w:t>
                            </w:r>
                            <w:r w:rsidRPr="000D0355">
                              <w:rPr>
                                <w:rFonts w:ascii="標楷體" w:eastAsia="標楷體" w:hAnsi="標楷體"/>
                                <w:spacing w:val="-8"/>
                              </w:rPr>
                              <w:t>5</w:t>
                            </w:r>
                          </w:p>
                        </w:tc>
                        <w:tc>
                          <w:tcPr>
                            <w:tcW w:w="787" w:type="dxa"/>
                            <w:vAlign w:val="center"/>
                          </w:tcPr>
                          <w:p w14:paraId="7E6EB6C6"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4</w:t>
                            </w:r>
                            <w:r w:rsidRPr="000D0355">
                              <w:rPr>
                                <w:rFonts w:ascii="標楷體" w:eastAsia="標楷體" w:hAnsi="標楷體"/>
                                <w:spacing w:val="-8"/>
                              </w:rPr>
                              <w:t>5</w:t>
                            </w:r>
                          </w:p>
                        </w:tc>
                      </w:tr>
                      <w:tr w:rsidR="0050059F" w14:paraId="555ACB81" w14:textId="77777777" w:rsidTr="00463899">
                        <w:trPr>
                          <w:gridAfter w:val="2"/>
                          <w:wAfter w:w="27" w:type="dxa"/>
                          <w:trHeight w:hRule="exact" w:val="312"/>
                          <w:jc w:val="center"/>
                        </w:trPr>
                        <w:tc>
                          <w:tcPr>
                            <w:tcW w:w="439" w:type="dxa"/>
                            <w:vAlign w:val="center"/>
                          </w:tcPr>
                          <w:p w14:paraId="19F53112"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5</w:t>
                            </w:r>
                          </w:p>
                        </w:tc>
                        <w:tc>
                          <w:tcPr>
                            <w:tcW w:w="2102" w:type="dxa"/>
                            <w:vAlign w:val="center"/>
                          </w:tcPr>
                          <w:p w14:paraId="6E6839E8"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排煙手動啟動開關異常</w:t>
                            </w:r>
                          </w:p>
                        </w:tc>
                        <w:tc>
                          <w:tcPr>
                            <w:tcW w:w="1518" w:type="dxa"/>
                            <w:vAlign w:val="center"/>
                          </w:tcPr>
                          <w:p w14:paraId="2F82663A"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1</w:t>
                            </w:r>
                            <w:r w:rsidRPr="000D0355">
                              <w:rPr>
                                <w:rFonts w:ascii="標楷體" w:eastAsia="標楷體" w:hAnsi="標楷體"/>
                                <w:bCs/>
                                <w:spacing w:val="-6"/>
                              </w:rPr>
                              <w:t>40（</w:t>
                            </w:r>
                            <w:r w:rsidRPr="000D0355">
                              <w:rPr>
                                <w:rFonts w:ascii="標楷體" w:eastAsia="標楷體" w:hAnsi="標楷體" w:hint="eastAsia"/>
                                <w:bCs/>
                                <w:spacing w:val="-6"/>
                              </w:rPr>
                              <w:t>6</w:t>
                            </w:r>
                            <w:r w:rsidRPr="000D0355">
                              <w:rPr>
                                <w:rFonts w:ascii="標楷體" w:eastAsia="標楷體" w:hAnsi="標楷體"/>
                                <w:bCs/>
                                <w:spacing w:val="-6"/>
                              </w:rPr>
                              <w:t>.74</w:t>
                            </w:r>
                            <w:r w:rsidRPr="000D0355">
                              <w:rPr>
                                <w:rFonts w:ascii="標楷體" w:eastAsia="標楷體" w:hAnsi="標楷體" w:hint="eastAsia"/>
                                <w:bCs/>
                                <w:spacing w:val="-6"/>
                              </w:rPr>
                              <w:t>）</w:t>
                            </w:r>
                          </w:p>
                        </w:tc>
                        <w:tc>
                          <w:tcPr>
                            <w:tcW w:w="630" w:type="dxa"/>
                            <w:vAlign w:val="center"/>
                          </w:tcPr>
                          <w:p w14:paraId="38989D1B"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3</w:t>
                            </w:r>
                            <w:r w:rsidRPr="000D0355">
                              <w:rPr>
                                <w:rFonts w:ascii="標楷體" w:eastAsia="標楷體" w:hAnsi="標楷體"/>
                                <w:spacing w:val="-8"/>
                              </w:rPr>
                              <w:t>8</w:t>
                            </w:r>
                          </w:p>
                        </w:tc>
                        <w:tc>
                          <w:tcPr>
                            <w:tcW w:w="630" w:type="dxa"/>
                            <w:vAlign w:val="center"/>
                          </w:tcPr>
                          <w:p w14:paraId="51CFED13"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6</w:t>
                            </w:r>
                            <w:r w:rsidRPr="000D0355">
                              <w:rPr>
                                <w:rFonts w:ascii="標楷體" w:eastAsia="標楷體" w:hAnsi="標楷體"/>
                                <w:spacing w:val="-8"/>
                              </w:rPr>
                              <w:t>6</w:t>
                            </w:r>
                          </w:p>
                        </w:tc>
                        <w:tc>
                          <w:tcPr>
                            <w:tcW w:w="787" w:type="dxa"/>
                            <w:vAlign w:val="center"/>
                          </w:tcPr>
                          <w:p w14:paraId="30C6CAB2"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3</w:t>
                            </w:r>
                            <w:r w:rsidRPr="000D0355">
                              <w:rPr>
                                <w:rFonts w:ascii="標楷體" w:eastAsia="標楷體" w:hAnsi="標楷體"/>
                                <w:spacing w:val="-8"/>
                              </w:rPr>
                              <w:t>6</w:t>
                            </w:r>
                          </w:p>
                        </w:tc>
                      </w:tr>
                      <w:tr w:rsidR="0050059F" w14:paraId="58F2A5E5" w14:textId="77777777" w:rsidTr="00463899">
                        <w:trPr>
                          <w:gridAfter w:val="2"/>
                          <w:wAfter w:w="27" w:type="dxa"/>
                          <w:trHeight w:hRule="exact" w:val="312"/>
                          <w:jc w:val="center"/>
                        </w:trPr>
                        <w:tc>
                          <w:tcPr>
                            <w:tcW w:w="439" w:type="dxa"/>
                            <w:vAlign w:val="center"/>
                          </w:tcPr>
                          <w:p w14:paraId="173E0096"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6</w:t>
                            </w:r>
                          </w:p>
                        </w:tc>
                        <w:tc>
                          <w:tcPr>
                            <w:tcW w:w="2102" w:type="dxa"/>
                            <w:vAlign w:val="center"/>
                          </w:tcPr>
                          <w:p w14:paraId="40A94379"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排煙閘門異常</w:t>
                            </w:r>
                          </w:p>
                        </w:tc>
                        <w:tc>
                          <w:tcPr>
                            <w:tcW w:w="1518" w:type="dxa"/>
                            <w:vAlign w:val="center"/>
                          </w:tcPr>
                          <w:p w14:paraId="388E4FA6"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6</w:t>
                            </w:r>
                            <w:r w:rsidRPr="000D0355">
                              <w:rPr>
                                <w:rFonts w:ascii="標楷體" w:eastAsia="標楷體" w:hAnsi="標楷體"/>
                                <w:bCs/>
                                <w:spacing w:val="-6"/>
                              </w:rPr>
                              <w:t>6（3.18</w:t>
                            </w:r>
                            <w:r w:rsidRPr="000D0355">
                              <w:rPr>
                                <w:rFonts w:ascii="標楷體" w:eastAsia="標楷體" w:hAnsi="標楷體" w:hint="eastAsia"/>
                                <w:bCs/>
                                <w:spacing w:val="-6"/>
                              </w:rPr>
                              <w:t>）</w:t>
                            </w:r>
                          </w:p>
                        </w:tc>
                        <w:tc>
                          <w:tcPr>
                            <w:tcW w:w="630" w:type="dxa"/>
                            <w:vAlign w:val="center"/>
                          </w:tcPr>
                          <w:p w14:paraId="46927336"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7</w:t>
                            </w:r>
                          </w:p>
                        </w:tc>
                        <w:tc>
                          <w:tcPr>
                            <w:tcW w:w="630" w:type="dxa"/>
                            <w:vAlign w:val="center"/>
                          </w:tcPr>
                          <w:p w14:paraId="7B5ACBA2"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3</w:t>
                            </w:r>
                            <w:r w:rsidRPr="000D0355">
                              <w:rPr>
                                <w:rFonts w:ascii="標楷體" w:eastAsia="標楷體" w:hAnsi="標楷體"/>
                                <w:spacing w:val="-8"/>
                              </w:rPr>
                              <w:t>5</w:t>
                            </w:r>
                          </w:p>
                        </w:tc>
                        <w:tc>
                          <w:tcPr>
                            <w:tcW w:w="787" w:type="dxa"/>
                            <w:vAlign w:val="center"/>
                          </w:tcPr>
                          <w:p w14:paraId="65431111"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4</w:t>
                            </w:r>
                          </w:p>
                        </w:tc>
                      </w:tr>
                      <w:tr w:rsidR="0050059F" w14:paraId="114388E1" w14:textId="77777777" w:rsidTr="00463899">
                        <w:trPr>
                          <w:gridAfter w:val="2"/>
                          <w:wAfter w:w="27" w:type="dxa"/>
                          <w:trHeight w:hRule="exact" w:val="312"/>
                          <w:jc w:val="center"/>
                        </w:trPr>
                        <w:tc>
                          <w:tcPr>
                            <w:tcW w:w="439" w:type="dxa"/>
                            <w:vAlign w:val="center"/>
                          </w:tcPr>
                          <w:p w14:paraId="6FD33188" w14:textId="77777777" w:rsidR="0050059F" w:rsidRPr="000D0355" w:rsidRDefault="0050059F" w:rsidP="00824CD6">
                            <w:pPr>
                              <w:spacing w:line="240" w:lineRule="exact"/>
                              <w:jc w:val="center"/>
                              <w:rPr>
                                <w:rFonts w:ascii="標楷體" w:eastAsia="標楷體" w:hAnsi="標楷體"/>
                                <w:spacing w:val="-4"/>
                              </w:rPr>
                            </w:pPr>
                            <w:r w:rsidRPr="000D0355">
                              <w:rPr>
                                <w:rFonts w:ascii="標楷體" w:eastAsia="標楷體" w:hAnsi="標楷體" w:hint="eastAsia"/>
                                <w:spacing w:val="-4"/>
                              </w:rPr>
                              <w:t>7</w:t>
                            </w:r>
                          </w:p>
                        </w:tc>
                        <w:tc>
                          <w:tcPr>
                            <w:tcW w:w="2102" w:type="dxa"/>
                            <w:vAlign w:val="center"/>
                          </w:tcPr>
                          <w:p w14:paraId="14202B77" w14:textId="77777777" w:rsidR="0050059F" w:rsidRPr="000D0355" w:rsidRDefault="0050059F" w:rsidP="00824CD6">
                            <w:pPr>
                              <w:spacing w:line="240" w:lineRule="exact"/>
                              <w:jc w:val="both"/>
                              <w:rPr>
                                <w:rFonts w:ascii="標楷體" w:eastAsia="標楷體" w:hAnsi="標楷體"/>
                                <w:spacing w:val="-6"/>
                              </w:rPr>
                            </w:pPr>
                            <w:r w:rsidRPr="000D0355">
                              <w:rPr>
                                <w:rFonts w:ascii="標楷體" w:eastAsia="標楷體" w:hAnsi="標楷體" w:hint="eastAsia"/>
                                <w:spacing w:val="-6"/>
                              </w:rPr>
                              <w:t>其他</w:t>
                            </w:r>
                          </w:p>
                        </w:tc>
                        <w:tc>
                          <w:tcPr>
                            <w:tcW w:w="1518" w:type="dxa"/>
                            <w:vAlign w:val="center"/>
                          </w:tcPr>
                          <w:p w14:paraId="31302DDA" w14:textId="77777777" w:rsidR="0050059F" w:rsidRPr="000D0355" w:rsidRDefault="0050059F" w:rsidP="00824CD6">
                            <w:pPr>
                              <w:spacing w:line="240" w:lineRule="exact"/>
                              <w:ind w:rightChars="-50" w:right="-120"/>
                              <w:jc w:val="right"/>
                              <w:rPr>
                                <w:rFonts w:ascii="標楷體" w:eastAsia="標楷體" w:hAnsi="標楷體"/>
                                <w:bCs/>
                                <w:spacing w:val="-6"/>
                              </w:rPr>
                            </w:pPr>
                            <w:r w:rsidRPr="000D0355">
                              <w:rPr>
                                <w:rFonts w:ascii="標楷體" w:eastAsia="標楷體" w:hAnsi="標楷體" w:hint="eastAsia"/>
                                <w:bCs/>
                                <w:spacing w:val="-6"/>
                              </w:rPr>
                              <w:t>5</w:t>
                            </w:r>
                            <w:r w:rsidRPr="000D0355">
                              <w:rPr>
                                <w:rFonts w:ascii="標楷體" w:eastAsia="標楷體" w:hAnsi="標楷體"/>
                                <w:bCs/>
                                <w:spacing w:val="-6"/>
                              </w:rPr>
                              <w:t>2（2.50</w:t>
                            </w:r>
                            <w:r w:rsidRPr="000D0355">
                              <w:rPr>
                                <w:rFonts w:ascii="標楷體" w:eastAsia="標楷體" w:hAnsi="標楷體" w:hint="eastAsia"/>
                                <w:bCs/>
                                <w:spacing w:val="-6"/>
                              </w:rPr>
                              <w:t>）</w:t>
                            </w:r>
                          </w:p>
                        </w:tc>
                        <w:tc>
                          <w:tcPr>
                            <w:tcW w:w="630" w:type="dxa"/>
                            <w:vAlign w:val="center"/>
                          </w:tcPr>
                          <w:p w14:paraId="205BD1D3"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2</w:t>
                            </w:r>
                            <w:r w:rsidRPr="000D0355">
                              <w:rPr>
                                <w:rFonts w:ascii="標楷體" w:eastAsia="標楷體" w:hAnsi="標楷體"/>
                                <w:spacing w:val="-8"/>
                              </w:rPr>
                              <w:t>4</w:t>
                            </w:r>
                          </w:p>
                        </w:tc>
                        <w:tc>
                          <w:tcPr>
                            <w:tcW w:w="630" w:type="dxa"/>
                            <w:vAlign w:val="center"/>
                          </w:tcPr>
                          <w:p w14:paraId="7D8D4605"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5</w:t>
                            </w:r>
                          </w:p>
                        </w:tc>
                        <w:tc>
                          <w:tcPr>
                            <w:tcW w:w="787" w:type="dxa"/>
                            <w:vAlign w:val="center"/>
                          </w:tcPr>
                          <w:p w14:paraId="2FC41AC3" w14:textId="77777777" w:rsidR="0050059F" w:rsidRPr="000D0355" w:rsidRDefault="0050059F" w:rsidP="00824CD6">
                            <w:pPr>
                              <w:spacing w:line="240" w:lineRule="exact"/>
                              <w:jc w:val="right"/>
                              <w:rPr>
                                <w:rFonts w:ascii="標楷體" w:eastAsia="標楷體" w:hAnsi="標楷體"/>
                                <w:spacing w:val="-8"/>
                              </w:rPr>
                            </w:pPr>
                            <w:r w:rsidRPr="000D0355">
                              <w:rPr>
                                <w:rFonts w:ascii="標楷體" w:eastAsia="標楷體" w:hAnsi="標楷體" w:hint="eastAsia"/>
                                <w:spacing w:val="-8"/>
                              </w:rPr>
                              <w:t>1</w:t>
                            </w:r>
                            <w:r w:rsidRPr="000D0355">
                              <w:rPr>
                                <w:rFonts w:ascii="標楷體" w:eastAsia="標楷體" w:hAnsi="標楷體"/>
                                <w:spacing w:val="-8"/>
                              </w:rPr>
                              <w:t>3</w:t>
                            </w:r>
                          </w:p>
                        </w:tc>
                      </w:tr>
                      <w:tr w:rsidR="0050059F" w14:paraId="4005595E" w14:textId="77777777" w:rsidTr="00463899">
                        <w:trPr>
                          <w:trHeight w:val="58"/>
                          <w:jc w:val="center"/>
                        </w:trPr>
                        <w:tc>
                          <w:tcPr>
                            <w:tcW w:w="6133" w:type="dxa"/>
                            <w:gridSpan w:val="8"/>
                            <w:tcBorders>
                              <w:top w:val="single" w:sz="4" w:space="0" w:color="auto"/>
                              <w:left w:val="nil"/>
                              <w:bottom w:val="nil"/>
                              <w:right w:val="nil"/>
                            </w:tcBorders>
                            <w:vAlign w:val="center"/>
                          </w:tcPr>
                          <w:p w14:paraId="66E6D1A3" w14:textId="77777777" w:rsidR="0050059F" w:rsidRPr="00933221" w:rsidRDefault="0050059F" w:rsidP="00824CD6">
                            <w:pPr>
                              <w:spacing w:beforeLines="10" w:before="36" w:line="240" w:lineRule="exact"/>
                              <w:ind w:leftChars="-50" w:left="-120"/>
                              <w:jc w:val="both"/>
                              <w:rPr>
                                <w:rFonts w:ascii="標楷體" w:eastAsia="標楷體" w:hAnsi="標楷體"/>
                                <w:spacing w:val="-4"/>
                                <w:sz w:val="22"/>
                              </w:rPr>
                            </w:pPr>
                            <w:r w:rsidRPr="00AD7128">
                              <w:rPr>
                                <w:rFonts w:ascii="標楷體" w:eastAsia="標楷體" w:hAnsi="標楷體" w:hint="eastAsia"/>
                                <w:sz w:val="18"/>
                                <w:szCs w:val="18"/>
                              </w:rPr>
                              <w:t>資料來源</w:t>
                            </w:r>
                            <w:r>
                              <w:rPr>
                                <w:rFonts w:ascii="標楷體" w:eastAsia="標楷體" w:hAnsi="標楷體" w:hint="eastAsia"/>
                                <w:sz w:val="18"/>
                                <w:szCs w:val="18"/>
                              </w:rPr>
                              <w:t>：</w:t>
                            </w:r>
                            <w:r w:rsidRPr="00AD7128">
                              <w:rPr>
                                <w:rFonts w:ascii="標楷體" w:eastAsia="標楷體" w:hAnsi="標楷體" w:hint="eastAsia"/>
                                <w:sz w:val="18"/>
                                <w:szCs w:val="18"/>
                              </w:rPr>
                              <w:t>整理自</w:t>
                            </w:r>
                            <w:r>
                              <w:rPr>
                                <w:rFonts w:ascii="標楷體" w:eastAsia="標楷體" w:hAnsi="標楷體" w:hint="eastAsia"/>
                                <w:sz w:val="18"/>
                                <w:szCs w:val="18"/>
                              </w:rPr>
                              <w:t>捷運公司提供資料</w:t>
                            </w:r>
                            <w:r w:rsidRPr="00AD7128">
                              <w:rPr>
                                <w:rFonts w:ascii="標楷體" w:eastAsia="標楷體" w:hAnsi="標楷體" w:hint="eastAsia"/>
                                <w:sz w:val="18"/>
                                <w:szCs w:val="18"/>
                              </w:rPr>
                              <w:t>。</w:t>
                            </w:r>
                          </w:p>
                        </w:tc>
                      </w:tr>
                    </w:tbl>
                    <w:p w14:paraId="28424E5B" w14:textId="77777777" w:rsidR="0050059F" w:rsidRPr="0033673C" w:rsidRDefault="0050059F" w:rsidP="0050059F">
                      <w:pPr>
                        <w:spacing w:line="40" w:lineRule="exact"/>
                        <w:ind w:rightChars="-40" w:right="-96"/>
                        <w:jc w:val="both"/>
                        <w:rPr>
                          <w:rFonts w:ascii="標楷體" w:eastAsia="標楷體" w:hAnsi="標楷體"/>
                          <w:sz w:val="18"/>
                          <w:szCs w:val="18"/>
                        </w:rPr>
                      </w:pPr>
                    </w:p>
                  </w:txbxContent>
                </v:textbox>
                <w10:wrap type="square" anchorx="margin"/>
              </v:shape>
            </w:pict>
          </mc:Fallback>
        </mc:AlternateContent>
      </w:r>
      <w:r w:rsidRPr="00C73569">
        <w:rPr>
          <w:rFonts w:ascii="標楷體" w:eastAsia="標楷體" w:hAnsi="標楷體" w:cs="Times New Roman" w:hint="eastAsia"/>
          <w:b/>
          <w:spacing w:val="1"/>
        </w:rPr>
        <w:t>1.部分捷運場站火警</w:t>
      </w:r>
      <w:proofErr w:type="gramStart"/>
      <w:r w:rsidRPr="00C73569">
        <w:rPr>
          <w:rFonts w:ascii="標楷體" w:eastAsia="標楷體" w:hAnsi="標楷體" w:cs="Times New Roman" w:hint="eastAsia"/>
          <w:b/>
          <w:spacing w:val="1"/>
        </w:rPr>
        <w:t>系統間有故障</w:t>
      </w:r>
      <w:proofErr w:type="gramEnd"/>
      <w:r w:rsidRPr="00C73569">
        <w:rPr>
          <w:rFonts w:ascii="標楷體" w:eastAsia="標楷體" w:hAnsi="標楷體" w:cs="Times New Roman" w:hint="eastAsia"/>
          <w:b/>
          <w:spacing w:val="1"/>
        </w:rPr>
        <w:t>案件頻繁</w:t>
      </w:r>
      <w:r w:rsidRPr="00C73569">
        <w:rPr>
          <w:rFonts w:ascii="標楷體" w:eastAsia="標楷體" w:hAnsi="標楷體" w:cs="全字庫正宋體" w:hint="eastAsia"/>
          <w:b/>
          <w:spacing w:val="1"/>
        </w:rPr>
        <w:t>、火警探測器響鈴誤報</w:t>
      </w:r>
      <w:r w:rsidRPr="00C73569">
        <w:rPr>
          <w:rFonts w:ascii="標楷體" w:eastAsia="標楷體" w:hAnsi="標楷體" w:cs="Times New Roman" w:hint="eastAsia"/>
          <w:b/>
          <w:spacing w:val="1"/>
        </w:rPr>
        <w:t>比率近</w:t>
      </w:r>
      <w:proofErr w:type="gramStart"/>
      <w:r w:rsidRPr="00C73569">
        <w:rPr>
          <w:rFonts w:ascii="標楷體" w:eastAsia="標楷體" w:hAnsi="標楷體" w:cs="Times New Roman" w:hint="eastAsia"/>
          <w:b/>
          <w:spacing w:val="1"/>
        </w:rPr>
        <w:t>5成</w:t>
      </w:r>
      <w:proofErr w:type="gramEnd"/>
      <w:r w:rsidRPr="00C73569">
        <w:rPr>
          <w:rFonts w:ascii="標楷體" w:eastAsia="標楷體" w:hAnsi="標楷體" w:cs="Times New Roman" w:hint="eastAsia"/>
          <w:b/>
          <w:spacing w:val="1"/>
        </w:rPr>
        <w:t>等情事：</w:t>
      </w:r>
      <w:r w:rsidRPr="00C73569">
        <w:rPr>
          <w:rFonts w:ascii="標楷體" w:eastAsia="標楷體" w:hAnsi="標楷體" w:cs="Times New Roman" w:hint="eastAsia"/>
          <w:bCs/>
          <w:spacing w:val="1"/>
        </w:rPr>
        <w:t>據</w:t>
      </w:r>
      <w:r w:rsidRPr="00C73569">
        <w:rPr>
          <w:rFonts w:ascii="標楷體" w:eastAsia="標楷體" w:hAnsi="標楷體" w:cs="Times New Roman" w:hint="eastAsia"/>
          <w:spacing w:val="1"/>
        </w:rPr>
        <w:t>捷運公司提供</w:t>
      </w:r>
      <w:r w:rsidRPr="00C73569">
        <w:rPr>
          <w:rFonts w:ascii="標楷體" w:eastAsia="標楷體" w:hAnsi="標楷體" w:cs="標楷體" w:hint="eastAsia"/>
          <w:bCs/>
          <w:spacing w:val="1"/>
          <w:szCs w:val="32"/>
        </w:rPr>
        <w:t>統計</w:t>
      </w:r>
      <w:r w:rsidRPr="00C73569">
        <w:rPr>
          <w:rFonts w:ascii="標楷體" w:eastAsia="標楷體" w:hAnsi="標楷體" w:cs="Times New Roman" w:hint="eastAsia"/>
          <w:spacing w:val="1"/>
        </w:rPr>
        <w:t>資料，</w:t>
      </w:r>
      <w:proofErr w:type="gramStart"/>
      <w:r w:rsidRPr="00C73569">
        <w:rPr>
          <w:rFonts w:ascii="標楷體" w:eastAsia="標楷體" w:hAnsi="標楷體" w:cs="Times New Roman" w:hint="eastAsia"/>
          <w:spacing w:val="1"/>
        </w:rPr>
        <w:t>臺</w:t>
      </w:r>
      <w:proofErr w:type="gramEnd"/>
      <w:r w:rsidRPr="00C73569">
        <w:rPr>
          <w:rFonts w:ascii="標楷體" w:eastAsia="標楷體" w:hAnsi="標楷體" w:cs="Times New Roman" w:hint="eastAsia"/>
          <w:spacing w:val="1"/>
        </w:rPr>
        <w:t>北捷運場站火警系統於111至113年度（截至8月底），發生故障件數各為851件、809件及417件，共2,077件，其中以火警受信總機異常770件（37.07％）為</w:t>
      </w:r>
      <w:proofErr w:type="gramStart"/>
      <w:r w:rsidRPr="00C73569">
        <w:rPr>
          <w:rFonts w:ascii="標楷體" w:eastAsia="標楷體" w:hAnsi="標楷體" w:cs="Times New Roman" w:hint="eastAsia"/>
          <w:spacing w:val="1"/>
        </w:rPr>
        <w:t>大宗、</w:t>
      </w:r>
      <w:proofErr w:type="gramEnd"/>
      <w:r w:rsidRPr="00C73569">
        <w:rPr>
          <w:rFonts w:ascii="標楷體" w:eastAsia="標楷體" w:hAnsi="標楷體" w:cs="Times New Roman" w:hint="eastAsia"/>
          <w:spacing w:val="1"/>
        </w:rPr>
        <w:t>探測器異常482件（23.21％）次之（表5）；另以火警系統故障地點分析，核有：（1）</w:t>
      </w:r>
      <w:proofErr w:type="gramStart"/>
      <w:r w:rsidRPr="00C73569">
        <w:rPr>
          <w:rFonts w:ascii="標楷體" w:eastAsia="標楷體" w:hAnsi="標楷體" w:cs="Times New Roman" w:hint="eastAsia"/>
          <w:spacing w:val="1"/>
        </w:rPr>
        <w:t>臺</w:t>
      </w:r>
      <w:proofErr w:type="gramEnd"/>
      <w:r w:rsidRPr="00C73569">
        <w:rPr>
          <w:rFonts w:ascii="標楷體" w:eastAsia="標楷體" w:hAnsi="標楷體" w:cs="Times New Roman" w:hint="eastAsia"/>
          <w:spacing w:val="1"/>
        </w:rPr>
        <w:t>北車站、忠孝復興及市政府等3站，因排煙受信總機、探測器故障等情，平均每月故障件數逾3件；（2）大橋頭、東門等2站，火警系統平均每月故障件數已自</w:t>
      </w:r>
      <w:proofErr w:type="gramStart"/>
      <w:r w:rsidRPr="00C73569">
        <w:rPr>
          <w:rFonts w:ascii="標楷體" w:eastAsia="標楷體" w:hAnsi="標楷體" w:cs="Times New Roman" w:hint="eastAsia"/>
          <w:spacing w:val="1"/>
        </w:rPr>
        <w:t>111</w:t>
      </w:r>
      <w:proofErr w:type="gramEnd"/>
      <w:r w:rsidRPr="00C73569">
        <w:rPr>
          <w:rFonts w:ascii="標楷體" w:eastAsia="標楷體" w:hAnsi="標楷體" w:cs="Times New Roman" w:hint="eastAsia"/>
          <w:spacing w:val="1"/>
        </w:rPr>
        <w:t>年度之1.17件、0.33件，逐年增至</w:t>
      </w:r>
      <w:proofErr w:type="gramStart"/>
      <w:r w:rsidRPr="00C73569">
        <w:rPr>
          <w:rFonts w:ascii="標楷體" w:eastAsia="標楷體" w:hAnsi="標楷體" w:cs="Times New Roman" w:hint="eastAsia"/>
          <w:spacing w:val="1"/>
        </w:rPr>
        <w:t>113</w:t>
      </w:r>
      <w:proofErr w:type="gramEnd"/>
      <w:r w:rsidRPr="00C73569">
        <w:rPr>
          <w:rFonts w:ascii="標楷體" w:eastAsia="標楷體" w:hAnsi="標楷體" w:cs="Times New Roman" w:hint="eastAsia"/>
          <w:spacing w:val="1"/>
        </w:rPr>
        <w:t>年度（截至8月底）之2.13件、1.00件；（3）111至113年度（截至8月底），計有102站之火警探測器響鈴共發生248次，其中屬設備異常導致之誤報計123次，比率達49.60％。顯示火警系統設備已有故障或誤報頻傳現象，不利相關人員於火災徵兆發生時進行緊急應變處置等情事，經函請檢討改善。據復：為確保火警系統設備維持正常運作，捷運工程局已請捷運公司持續進行改善，並請捷運公司每月檢視</w:t>
      </w:r>
      <w:proofErr w:type="gramStart"/>
      <w:r w:rsidRPr="00C73569">
        <w:rPr>
          <w:rFonts w:ascii="標楷體" w:eastAsia="標楷體" w:hAnsi="標楷體" w:cs="Times New Roman" w:hint="eastAsia"/>
          <w:spacing w:val="1"/>
        </w:rPr>
        <w:t>偵</w:t>
      </w:r>
      <w:proofErr w:type="gramEnd"/>
      <w:r w:rsidRPr="00C73569">
        <w:rPr>
          <w:rFonts w:ascii="標楷體" w:eastAsia="標楷體" w:hAnsi="標楷體" w:cs="Times New Roman" w:hint="eastAsia"/>
          <w:spacing w:val="1"/>
        </w:rPr>
        <w:t>熱式探測器偵測值，如超過設定管理值，可於誤動作發報前進行預防性更換，且相關預防性更換管理機制，已納入該公司內部作業規範，以利改善措施之延續性。</w:t>
      </w:r>
    </w:p>
    <w:p w14:paraId="0753C359" w14:textId="77777777" w:rsidR="00DB69CF" w:rsidRDefault="0050059F" w:rsidP="0050059F">
      <w:pPr>
        <w:overflowPunct w:val="0"/>
        <w:spacing w:line="460" w:lineRule="exact"/>
        <w:ind w:firstLineChars="200" w:firstLine="480"/>
        <w:jc w:val="both"/>
        <w:outlineLvl w:val="3"/>
        <w:rPr>
          <w:rFonts w:ascii="標楷體" w:eastAsia="標楷體" w:hAnsi="標楷體" w:cs="Times New Roman"/>
        </w:rPr>
      </w:pPr>
      <w:r w:rsidRPr="00177770">
        <w:rPr>
          <w:rFonts w:ascii="標楷體" w:eastAsia="標楷體" w:hAnsi="標楷體" w:cs="Times New Roman" w:hint="eastAsia"/>
          <w:b/>
        </w:rPr>
        <w:t>2.辦理場站火警系統重置作業，惟部分場站火警設備</w:t>
      </w:r>
      <w:proofErr w:type="gramStart"/>
      <w:r w:rsidRPr="00177770">
        <w:rPr>
          <w:rFonts w:ascii="標楷體" w:eastAsia="標楷體" w:hAnsi="標楷體" w:cs="Times New Roman" w:hint="eastAsia"/>
          <w:b/>
        </w:rPr>
        <w:t>重置後短期</w:t>
      </w:r>
      <w:proofErr w:type="gramEnd"/>
      <w:r w:rsidRPr="00177770">
        <w:rPr>
          <w:rFonts w:ascii="標楷體" w:eastAsia="標楷體" w:hAnsi="標楷體" w:cs="Times New Roman" w:hint="eastAsia"/>
          <w:b/>
        </w:rPr>
        <w:t>內即發生運作異常情事：</w:t>
      </w:r>
      <w:r w:rsidRPr="00177770">
        <w:rPr>
          <w:rFonts w:ascii="標楷體" w:eastAsia="標楷體" w:hAnsi="標楷體" w:cs="Times New Roman" w:hint="eastAsia"/>
        </w:rPr>
        <w:t>捷運工程局考量部分捷運場站火警系統使用已逾10年，為避免消防系統失效風險，交由捷運公司於111年6月及同年9月分別決標辦理「文</w:t>
      </w:r>
      <w:proofErr w:type="gramStart"/>
      <w:r w:rsidRPr="00177770">
        <w:rPr>
          <w:rFonts w:ascii="標楷體" w:eastAsia="標楷體" w:hAnsi="標楷體" w:cs="Times New Roman" w:hint="eastAsia"/>
        </w:rPr>
        <w:t>湖線內湖段場</w:t>
      </w:r>
      <w:proofErr w:type="gramEnd"/>
      <w:r w:rsidRPr="00177770">
        <w:rPr>
          <w:rFonts w:ascii="標楷體" w:eastAsia="標楷體" w:hAnsi="標楷體" w:cs="Times New Roman" w:hint="eastAsia"/>
        </w:rPr>
        <w:t>站火警系統及木柵機廠自動滅火系統重置工程」（案號A11B00030）、「板南線部分廠站火警系統重置工程」（案號A11B03884）等2案，決標價各為8,907萬元、7,599萬餘元，重置內容包括</w:t>
      </w:r>
      <w:r w:rsidRPr="00177770">
        <w:rPr>
          <w:rFonts w:ascii="標楷體" w:eastAsia="標楷體" w:hAnsi="標楷體" w:cs="標楷體" w:hint="eastAsia"/>
          <w:bCs/>
          <w:szCs w:val="32"/>
        </w:rPr>
        <w:t>火警</w:t>
      </w:r>
      <w:r w:rsidRPr="00177770">
        <w:rPr>
          <w:rFonts w:ascii="標楷體" w:eastAsia="標楷體" w:hAnsi="標楷體" w:cs="Times New Roman" w:hint="eastAsia"/>
        </w:rPr>
        <w:t>排煙總機、探測器等設備更新，及檢討調整探測器安裝位置等，履約地點計</w:t>
      </w:r>
      <w:proofErr w:type="gramStart"/>
      <w:r w:rsidRPr="00177770">
        <w:rPr>
          <w:rFonts w:ascii="標楷體" w:eastAsia="標楷體" w:hAnsi="標楷體" w:cs="Times New Roman" w:hint="eastAsia"/>
        </w:rPr>
        <w:t>臺</w:t>
      </w:r>
      <w:proofErr w:type="gramEnd"/>
      <w:r w:rsidRPr="00177770">
        <w:rPr>
          <w:rFonts w:ascii="標楷體" w:eastAsia="標楷體" w:hAnsi="標楷體" w:cs="Times New Roman" w:hint="eastAsia"/>
        </w:rPr>
        <w:t>北車站等30處。</w:t>
      </w:r>
      <w:proofErr w:type="gramStart"/>
      <w:r w:rsidRPr="00177770">
        <w:rPr>
          <w:rFonts w:ascii="標楷體" w:eastAsia="標楷體" w:hAnsi="標楷體" w:cs="Times New Roman" w:hint="eastAsia"/>
        </w:rPr>
        <w:t>查上開</w:t>
      </w:r>
      <w:proofErr w:type="gramEnd"/>
      <w:r w:rsidRPr="00177770">
        <w:rPr>
          <w:rFonts w:ascii="標楷體" w:eastAsia="標楷體" w:hAnsi="標楷體" w:cs="Times New Roman" w:hint="eastAsia"/>
        </w:rPr>
        <w:t>2案所重置火警系統設備有驗收後未及1個月或1至6個月不等，即陸續於113年1至8月發生故障情事，共計51件（表</w:t>
      </w:r>
      <w:r>
        <w:rPr>
          <w:rFonts w:ascii="標楷體" w:eastAsia="標楷體" w:hAnsi="標楷體" w:cs="Times New Roman" w:hint="eastAsia"/>
        </w:rPr>
        <w:t>6</w:t>
      </w:r>
      <w:r w:rsidRPr="00177770">
        <w:rPr>
          <w:rFonts w:ascii="標楷體" w:eastAsia="標楷體" w:hAnsi="標楷體" w:cs="Times New Roman" w:hint="eastAsia"/>
        </w:rPr>
        <w:t>），其中修復後30日內發生故障者共31件，顯示部分場站火警系統設備雖完成重置作業</w:t>
      </w:r>
    </w:p>
    <w:p w14:paraId="623A7509" w14:textId="18E43F0E" w:rsidR="0050059F" w:rsidRDefault="0050059F" w:rsidP="00DB69CF">
      <w:pPr>
        <w:overflowPunct w:val="0"/>
        <w:spacing w:line="460" w:lineRule="exact"/>
        <w:jc w:val="both"/>
        <w:outlineLvl w:val="3"/>
        <w:rPr>
          <w:rFonts w:ascii="標楷體" w:eastAsia="標楷體" w:hAnsi="標楷體" w:cs="Times New Roman"/>
        </w:rPr>
      </w:pPr>
      <w:r w:rsidRPr="00177770">
        <w:rPr>
          <w:rFonts w:ascii="標楷體" w:eastAsia="標楷體" w:hAnsi="標楷體"/>
          <w:noProof/>
          <w:spacing w:val="-2"/>
          <w:szCs w:val="32"/>
        </w:rPr>
        <w:lastRenderedPageBreak/>
        <mc:AlternateContent>
          <mc:Choice Requires="wps">
            <w:drawing>
              <wp:anchor distT="45720" distB="45720" distL="114300" distR="114300" simplePos="0" relativeHeight="251784192" behindDoc="0" locked="0" layoutInCell="1" allowOverlap="1" wp14:anchorId="707BDB77" wp14:editId="5A9F639B">
                <wp:simplePos x="0" y="0"/>
                <wp:positionH relativeFrom="margin">
                  <wp:posOffset>2592070</wp:posOffset>
                </wp:positionH>
                <wp:positionV relativeFrom="paragraph">
                  <wp:posOffset>25037</wp:posOffset>
                </wp:positionV>
                <wp:extent cx="3743960" cy="3434080"/>
                <wp:effectExtent l="0" t="0" r="8890" b="0"/>
                <wp:wrapSquare wrapText="bothSides"/>
                <wp:docPr id="10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960" cy="3434080"/>
                        </a:xfrm>
                        <a:prstGeom prst="rect">
                          <a:avLst/>
                        </a:prstGeom>
                        <a:solidFill>
                          <a:srgbClr val="FFFFFF"/>
                        </a:solidFill>
                        <a:ln w="9525">
                          <a:noFill/>
                          <a:miter lim="800000"/>
                          <a:headEnd/>
                          <a:tailEnd/>
                        </a:ln>
                      </wps:spPr>
                      <wps:txbx>
                        <w:txbxContent>
                          <w:tbl>
                            <w:tblPr>
                              <w:tblStyle w:val="a6"/>
                              <w:tblW w:w="5670" w:type="dxa"/>
                              <w:jc w:val="center"/>
                              <w:tblLook w:val="04A0" w:firstRow="1" w:lastRow="0" w:firstColumn="1" w:lastColumn="0" w:noHBand="0" w:noVBand="1"/>
                            </w:tblPr>
                            <w:tblGrid>
                              <w:gridCol w:w="430"/>
                              <w:gridCol w:w="1613"/>
                              <w:gridCol w:w="934"/>
                              <w:gridCol w:w="934"/>
                              <w:gridCol w:w="633"/>
                              <w:gridCol w:w="1126"/>
                            </w:tblGrid>
                            <w:tr w:rsidR="0050059F" w14:paraId="3A2865E3" w14:textId="77777777" w:rsidTr="00824CD6">
                              <w:trPr>
                                <w:trHeight w:val="275"/>
                                <w:jc w:val="center"/>
                              </w:trPr>
                              <w:tc>
                                <w:tcPr>
                                  <w:tcW w:w="5670" w:type="dxa"/>
                                  <w:gridSpan w:val="6"/>
                                  <w:tcBorders>
                                    <w:top w:val="nil"/>
                                    <w:left w:val="nil"/>
                                    <w:bottom w:val="nil"/>
                                    <w:right w:val="nil"/>
                                  </w:tcBorders>
                                </w:tcPr>
                                <w:p w14:paraId="20F034DA" w14:textId="77777777" w:rsidR="0050059F" w:rsidRPr="00773D26" w:rsidRDefault="0050059F" w:rsidP="004509BD">
                                  <w:pPr>
                                    <w:spacing w:line="260" w:lineRule="exact"/>
                                    <w:ind w:leftChars="-43" w:left="558" w:hangingChars="275" w:hanging="661"/>
                                    <w:jc w:val="both"/>
                                    <w:rPr>
                                      <w:rFonts w:ascii="標楷體" w:eastAsia="標楷體" w:hAnsi="標楷體"/>
                                      <w:szCs w:val="24"/>
                                    </w:rPr>
                                  </w:pPr>
                                  <w:r w:rsidRPr="0016229C">
                                    <w:rPr>
                                      <w:rFonts w:ascii="標楷體" w:eastAsia="標楷體" w:hAnsi="標楷體" w:hint="eastAsia"/>
                                      <w:b/>
                                      <w:sz w:val="24"/>
                                      <w:szCs w:val="24"/>
                                    </w:rPr>
                                    <w:t>表6</w:t>
                                  </w:r>
                                  <w:r w:rsidRPr="00773D26">
                                    <w:rPr>
                                      <w:rFonts w:ascii="標楷體" w:eastAsia="標楷體" w:hAnsi="標楷體"/>
                                      <w:b/>
                                      <w:szCs w:val="24"/>
                                    </w:rPr>
                                    <w:t xml:space="preserve">  </w:t>
                                  </w:r>
                                  <w:r w:rsidRPr="004509BD">
                                    <w:rPr>
                                      <w:rFonts w:ascii="標楷體" w:eastAsia="標楷體" w:hAnsi="標楷體" w:hint="eastAsia"/>
                                      <w:b/>
                                      <w:sz w:val="24"/>
                                      <w:szCs w:val="24"/>
                                    </w:rPr>
                                    <w:t>113年1月至8月</w:t>
                                  </w:r>
                                  <w:proofErr w:type="gramStart"/>
                                  <w:r w:rsidRPr="004509BD">
                                    <w:rPr>
                                      <w:rFonts w:ascii="標楷體" w:eastAsia="標楷體" w:hAnsi="標楷體" w:hint="eastAsia"/>
                                      <w:b/>
                                      <w:sz w:val="24"/>
                                      <w:szCs w:val="24"/>
                                    </w:rPr>
                                    <w:t>文湖線及</w:t>
                                  </w:r>
                                  <w:proofErr w:type="gramEnd"/>
                                  <w:r w:rsidRPr="004509BD">
                                    <w:rPr>
                                      <w:rFonts w:ascii="標楷體" w:eastAsia="標楷體" w:hAnsi="標楷體" w:hint="eastAsia"/>
                                      <w:b/>
                                      <w:sz w:val="24"/>
                                      <w:szCs w:val="24"/>
                                    </w:rPr>
                                    <w:t>板南線等部分捷運場站火警系統</w:t>
                                  </w:r>
                                  <w:proofErr w:type="gramStart"/>
                                  <w:r w:rsidRPr="004509BD">
                                    <w:rPr>
                                      <w:rFonts w:ascii="標楷體" w:eastAsia="標楷體" w:hAnsi="標楷體" w:hint="eastAsia"/>
                                      <w:b/>
                                      <w:sz w:val="24"/>
                                      <w:szCs w:val="24"/>
                                    </w:rPr>
                                    <w:t>重置後發生</w:t>
                                  </w:r>
                                  <w:proofErr w:type="gramEnd"/>
                                  <w:r w:rsidRPr="004509BD">
                                    <w:rPr>
                                      <w:rFonts w:ascii="標楷體" w:eastAsia="標楷體" w:hAnsi="標楷體" w:hint="eastAsia"/>
                                      <w:b/>
                                      <w:sz w:val="24"/>
                                      <w:szCs w:val="24"/>
                                    </w:rPr>
                                    <w:t>故障統計</w:t>
                                  </w:r>
                                </w:p>
                              </w:tc>
                            </w:tr>
                            <w:tr w:rsidR="0050059F" w14:paraId="48444A88" w14:textId="77777777" w:rsidTr="00824CD6">
                              <w:trPr>
                                <w:trHeight w:val="275"/>
                                <w:jc w:val="center"/>
                              </w:trPr>
                              <w:tc>
                                <w:tcPr>
                                  <w:tcW w:w="5670" w:type="dxa"/>
                                  <w:gridSpan w:val="6"/>
                                  <w:tcBorders>
                                    <w:top w:val="nil"/>
                                    <w:left w:val="nil"/>
                                    <w:bottom w:val="nil"/>
                                    <w:right w:val="nil"/>
                                  </w:tcBorders>
                                </w:tcPr>
                                <w:p w14:paraId="3AD99560" w14:textId="77777777" w:rsidR="0050059F" w:rsidRPr="002D2CFA" w:rsidRDefault="0050059F" w:rsidP="00824CD6">
                                  <w:pPr>
                                    <w:spacing w:afterLines="10" w:after="36" w:line="240" w:lineRule="exact"/>
                                    <w:ind w:rightChars="-25" w:right="-60" w:firstLine="346"/>
                                    <w:jc w:val="right"/>
                                    <w:rPr>
                                      <w:rFonts w:ascii="標楷體" w:eastAsia="標楷體" w:hAnsi="標楷體"/>
                                    </w:rPr>
                                  </w:pPr>
                                  <w:r w:rsidRPr="002D2CFA">
                                    <w:rPr>
                                      <w:rFonts w:ascii="標楷體" w:eastAsia="標楷體" w:hAnsi="標楷體" w:hint="eastAsia"/>
                                    </w:rPr>
                                    <w:t>單位：件</w:t>
                                  </w:r>
                                </w:p>
                              </w:tc>
                            </w:tr>
                            <w:tr w:rsidR="0050059F" w14:paraId="01EB417A" w14:textId="77777777" w:rsidTr="00824CD6">
                              <w:trPr>
                                <w:trHeight w:val="255"/>
                                <w:jc w:val="center"/>
                              </w:trPr>
                              <w:tc>
                                <w:tcPr>
                                  <w:tcW w:w="430" w:type="dxa"/>
                                  <w:vMerge w:val="restart"/>
                                  <w:tcBorders>
                                    <w:top w:val="single" w:sz="4" w:space="0" w:color="auto"/>
                                  </w:tcBorders>
                                  <w:shd w:val="clear" w:color="auto" w:fill="auto"/>
                                  <w:vAlign w:val="center"/>
                                </w:tcPr>
                                <w:p w14:paraId="7EEC2842"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項目</w:t>
                                  </w:r>
                                </w:p>
                              </w:tc>
                              <w:tc>
                                <w:tcPr>
                                  <w:tcW w:w="1613" w:type="dxa"/>
                                  <w:vMerge w:val="restart"/>
                                  <w:tcBorders>
                                    <w:top w:val="single" w:sz="4" w:space="0" w:color="auto"/>
                                  </w:tcBorders>
                                  <w:shd w:val="clear" w:color="auto" w:fill="auto"/>
                                  <w:vAlign w:val="center"/>
                                </w:tcPr>
                                <w:p w14:paraId="44D1588C"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 xml:space="preserve">站 </w:t>
                                  </w:r>
                                  <w:r w:rsidRPr="00C071C2">
                                    <w:rPr>
                                      <w:rFonts w:ascii="標楷體" w:eastAsia="標楷體" w:hAnsi="標楷體"/>
                                      <w:spacing w:val="-4"/>
                                    </w:rPr>
                                    <w:t xml:space="preserve"> </w:t>
                                  </w:r>
                                  <w:r w:rsidRPr="00C071C2">
                                    <w:rPr>
                                      <w:rFonts w:ascii="標楷體" w:eastAsia="標楷體" w:hAnsi="標楷體" w:hint="eastAsia"/>
                                      <w:spacing w:val="-4"/>
                                    </w:rPr>
                                    <w:t>別</w:t>
                                  </w:r>
                                </w:p>
                              </w:tc>
                              <w:tc>
                                <w:tcPr>
                                  <w:tcW w:w="1868" w:type="dxa"/>
                                  <w:gridSpan w:val="2"/>
                                  <w:tcBorders>
                                    <w:top w:val="single" w:sz="4" w:space="0" w:color="auto"/>
                                    <w:bottom w:val="single" w:sz="4" w:space="0" w:color="auto"/>
                                  </w:tcBorders>
                                  <w:shd w:val="clear" w:color="auto" w:fill="auto"/>
                                  <w:vAlign w:val="center"/>
                                </w:tcPr>
                                <w:p w14:paraId="2E3ED458"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hint="eastAsia"/>
                                      <w:spacing w:val="-4"/>
                                    </w:rPr>
                                    <w:t>火警系統重置</w:t>
                                  </w:r>
                                </w:p>
                              </w:tc>
                              <w:tc>
                                <w:tcPr>
                                  <w:tcW w:w="633" w:type="dxa"/>
                                  <w:vMerge w:val="restart"/>
                                  <w:tcBorders>
                                    <w:top w:val="single" w:sz="4" w:space="0" w:color="auto"/>
                                  </w:tcBorders>
                                  <w:shd w:val="clear" w:color="auto" w:fill="auto"/>
                                  <w:vAlign w:val="center"/>
                                </w:tcPr>
                                <w:p w14:paraId="3B64F382" w14:textId="77777777" w:rsidR="0050059F"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故障</w:t>
                                  </w:r>
                                </w:p>
                                <w:p w14:paraId="2ADE9D44"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件</w:t>
                                  </w:r>
                                  <w:r w:rsidRPr="00C071C2">
                                    <w:rPr>
                                      <w:rFonts w:ascii="標楷體" w:eastAsia="標楷體" w:hAnsi="標楷體" w:hint="eastAsia"/>
                                      <w:spacing w:val="-4"/>
                                    </w:rPr>
                                    <w:t>數</w:t>
                                  </w:r>
                                </w:p>
                              </w:tc>
                              <w:tc>
                                <w:tcPr>
                                  <w:tcW w:w="1126" w:type="dxa"/>
                                  <w:vMerge w:val="restart"/>
                                  <w:tcBorders>
                                    <w:top w:val="single" w:sz="4" w:space="0" w:color="auto"/>
                                  </w:tcBorders>
                                  <w:shd w:val="clear" w:color="auto" w:fill="auto"/>
                                  <w:vAlign w:val="center"/>
                                </w:tcPr>
                                <w:p w14:paraId="394407C7" w14:textId="77777777" w:rsidR="0050059F" w:rsidRPr="00773D26" w:rsidRDefault="0050059F" w:rsidP="00824CD6">
                                  <w:pPr>
                                    <w:spacing w:line="240" w:lineRule="exact"/>
                                    <w:jc w:val="both"/>
                                    <w:rPr>
                                      <w:rFonts w:ascii="標楷體" w:eastAsia="標楷體" w:hAnsi="標楷體"/>
                                      <w:spacing w:val="-10"/>
                                    </w:rPr>
                                  </w:pPr>
                                  <w:r w:rsidRPr="00773D26">
                                    <w:rPr>
                                      <w:rFonts w:ascii="標楷體" w:eastAsia="標楷體" w:hAnsi="標楷體" w:hint="eastAsia"/>
                                      <w:spacing w:val="-10"/>
                                    </w:rPr>
                                    <w:t>修復後3</w:t>
                                  </w:r>
                                  <w:r w:rsidRPr="00773D26">
                                    <w:rPr>
                                      <w:rFonts w:ascii="標楷體" w:eastAsia="標楷體" w:hAnsi="標楷體"/>
                                      <w:spacing w:val="-10"/>
                                    </w:rPr>
                                    <w:t>0</w:t>
                                  </w:r>
                                  <w:r w:rsidRPr="00773D26">
                                    <w:rPr>
                                      <w:rFonts w:ascii="標楷體" w:eastAsia="標楷體" w:hAnsi="標楷體" w:hint="eastAsia"/>
                                      <w:spacing w:val="-10"/>
                                    </w:rPr>
                                    <w:t>日內仍發生故障件數</w:t>
                                  </w:r>
                                </w:p>
                              </w:tc>
                            </w:tr>
                            <w:tr w:rsidR="0050059F" w14:paraId="7F09304B" w14:textId="77777777" w:rsidTr="00824CD6">
                              <w:trPr>
                                <w:trHeight w:val="255"/>
                                <w:jc w:val="center"/>
                              </w:trPr>
                              <w:tc>
                                <w:tcPr>
                                  <w:tcW w:w="430" w:type="dxa"/>
                                  <w:vMerge/>
                                  <w:shd w:val="clear" w:color="auto" w:fill="auto"/>
                                  <w:vAlign w:val="center"/>
                                </w:tcPr>
                                <w:p w14:paraId="393B932D" w14:textId="77777777" w:rsidR="0050059F" w:rsidRPr="00C071C2" w:rsidRDefault="0050059F" w:rsidP="00824CD6">
                                  <w:pPr>
                                    <w:spacing w:line="240" w:lineRule="exact"/>
                                    <w:jc w:val="center"/>
                                    <w:rPr>
                                      <w:rFonts w:ascii="標楷體" w:eastAsia="標楷體" w:hAnsi="標楷體"/>
                                      <w:spacing w:val="-4"/>
                                    </w:rPr>
                                  </w:pPr>
                                </w:p>
                              </w:tc>
                              <w:tc>
                                <w:tcPr>
                                  <w:tcW w:w="1613" w:type="dxa"/>
                                  <w:vMerge/>
                                  <w:shd w:val="clear" w:color="auto" w:fill="auto"/>
                                  <w:vAlign w:val="center"/>
                                </w:tcPr>
                                <w:p w14:paraId="3D8A057C" w14:textId="77777777" w:rsidR="0050059F" w:rsidRPr="00C071C2" w:rsidRDefault="0050059F" w:rsidP="00824CD6">
                                  <w:pPr>
                                    <w:spacing w:line="240" w:lineRule="exact"/>
                                    <w:jc w:val="center"/>
                                    <w:rPr>
                                      <w:rFonts w:ascii="標楷體" w:eastAsia="標楷體" w:hAnsi="標楷體"/>
                                      <w:spacing w:val="-4"/>
                                    </w:rPr>
                                  </w:pPr>
                                </w:p>
                              </w:tc>
                              <w:tc>
                                <w:tcPr>
                                  <w:tcW w:w="934" w:type="dxa"/>
                                  <w:tcBorders>
                                    <w:top w:val="single" w:sz="4" w:space="0" w:color="auto"/>
                                    <w:bottom w:val="single" w:sz="4" w:space="0" w:color="auto"/>
                                  </w:tcBorders>
                                  <w:shd w:val="clear" w:color="auto" w:fill="auto"/>
                                  <w:vAlign w:val="center"/>
                                </w:tcPr>
                                <w:p w14:paraId="7301323F" w14:textId="77777777" w:rsidR="0050059F" w:rsidRDefault="0050059F" w:rsidP="00824CD6">
                                  <w:pPr>
                                    <w:spacing w:line="240" w:lineRule="exact"/>
                                    <w:jc w:val="center"/>
                                    <w:rPr>
                                      <w:rFonts w:ascii="標楷體" w:eastAsia="標楷體" w:hAnsi="標楷體"/>
                                      <w:spacing w:val="-4"/>
                                    </w:rPr>
                                  </w:pPr>
                                  <w:r>
                                    <w:rPr>
                                      <w:rFonts w:ascii="標楷體" w:eastAsia="標楷體" w:hAnsi="標楷體" w:hint="eastAsia"/>
                                      <w:spacing w:val="-4"/>
                                    </w:rPr>
                                    <w:t>驗收</w:t>
                                  </w:r>
                                </w:p>
                                <w:p w14:paraId="0FF190AD" w14:textId="77777777" w:rsidR="0050059F" w:rsidRDefault="0050059F" w:rsidP="00824CD6">
                                  <w:pPr>
                                    <w:spacing w:line="240" w:lineRule="exact"/>
                                    <w:jc w:val="center"/>
                                    <w:rPr>
                                      <w:rFonts w:ascii="標楷體" w:eastAsia="標楷體" w:hAnsi="標楷體"/>
                                      <w:spacing w:val="-4"/>
                                    </w:rPr>
                                  </w:pPr>
                                  <w:r>
                                    <w:rPr>
                                      <w:rFonts w:ascii="標楷體" w:eastAsia="標楷體" w:hAnsi="標楷體" w:hint="eastAsia"/>
                                      <w:spacing w:val="-4"/>
                                    </w:rPr>
                                    <w:t>合格日</w:t>
                                  </w:r>
                                </w:p>
                              </w:tc>
                              <w:tc>
                                <w:tcPr>
                                  <w:tcW w:w="934" w:type="dxa"/>
                                  <w:tcBorders>
                                    <w:top w:val="single" w:sz="4" w:space="0" w:color="auto"/>
                                    <w:bottom w:val="single" w:sz="4" w:space="0" w:color="auto"/>
                                  </w:tcBorders>
                                  <w:vAlign w:val="center"/>
                                </w:tcPr>
                                <w:p w14:paraId="41480501" w14:textId="77777777" w:rsidR="0050059F" w:rsidRDefault="0050059F" w:rsidP="00824CD6">
                                  <w:pPr>
                                    <w:spacing w:line="240" w:lineRule="exact"/>
                                    <w:jc w:val="center"/>
                                    <w:rPr>
                                      <w:rFonts w:ascii="標楷體" w:eastAsia="標楷體" w:hAnsi="標楷體"/>
                                      <w:spacing w:val="-4"/>
                                    </w:rPr>
                                  </w:pPr>
                                  <w:r>
                                    <w:rPr>
                                      <w:rFonts w:ascii="標楷體" w:eastAsia="標楷體" w:hAnsi="標楷體" w:hint="eastAsia"/>
                                      <w:spacing w:val="-4"/>
                                    </w:rPr>
                                    <w:t>故障</w:t>
                                  </w:r>
                                </w:p>
                                <w:p w14:paraId="02F4CE22" w14:textId="77777777" w:rsidR="0050059F" w:rsidRDefault="0050059F" w:rsidP="00824CD6">
                                  <w:pPr>
                                    <w:spacing w:line="240" w:lineRule="exact"/>
                                    <w:jc w:val="center"/>
                                    <w:rPr>
                                      <w:rFonts w:ascii="標楷體" w:eastAsia="標楷體" w:hAnsi="標楷體"/>
                                      <w:spacing w:val="-4"/>
                                    </w:rPr>
                                  </w:pPr>
                                  <w:r>
                                    <w:rPr>
                                      <w:rFonts w:ascii="標楷體" w:eastAsia="標楷體" w:hAnsi="標楷體" w:hint="eastAsia"/>
                                      <w:spacing w:val="-4"/>
                                    </w:rPr>
                                    <w:t>時間</w:t>
                                  </w:r>
                                </w:p>
                              </w:tc>
                              <w:tc>
                                <w:tcPr>
                                  <w:tcW w:w="633" w:type="dxa"/>
                                  <w:vMerge/>
                                  <w:shd w:val="clear" w:color="auto" w:fill="auto"/>
                                  <w:vAlign w:val="center"/>
                                </w:tcPr>
                                <w:p w14:paraId="0494AEDE" w14:textId="77777777" w:rsidR="0050059F" w:rsidRPr="00C071C2" w:rsidRDefault="0050059F" w:rsidP="00824CD6">
                                  <w:pPr>
                                    <w:spacing w:line="240" w:lineRule="exact"/>
                                    <w:jc w:val="center"/>
                                    <w:rPr>
                                      <w:rFonts w:ascii="標楷體" w:eastAsia="標楷體" w:hAnsi="標楷體"/>
                                      <w:spacing w:val="-4"/>
                                    </w:rPr>
                                  </w:pPr>
                                </w:p>
                              </w:tc>
                              <w:tc>
                                <w:tcPr>
                                  <w:tcW w:w="1126" w:type="dxa"/>
                                  <w:vMerge/>
                                  <w:shd w:val="clear" w:color="auto" w:fill="auto"/>
                                  <w:vAlign w:val="center"/>
                                </w:tcPr>
                                <w:p w14:paraId="57053D30" w14:textId="77777777" w:rsidR="0050059F" w:rsidRPr="000B2277" w:rsidRDefault="0050059F" w:rsidP="00824CD6">
                                  <w:pPr>
                                    <w:spacing w:line="240" w:lineRule="exact"/>
                                    <w:jc w:val="both"/>
                                    <w:rPr>
                                      <w:rFonts w:ascii="標楷體" w:eastAsia="標楷體" w:hAnsi="標楷體"/>
                                      <w:spacing w:val="-10"/>
                                    </w:rPr>
                                  </w:pPr>
                                </w:p>
                              </w:tc>
                            </w:tr>
                            <w:tr w:rsidR="0050059F" w:rsidRPr="006D6EB3" w14:paraId="051EDBC6" w14:textId="77777777" w:rsidTr="00824CD6">
                              <w:trPr>
                                <w:trHeight w:val="255"/>
                                <w:jc w:val="center"/>
                              </w:trPr>
                              <w:tc>
                                <w:tcPr>
                                  <w:tcW w:w="2043" w:type="dxa"/>
                                  <w:gridSpan w:val="2"/>
                                  <w:vAlign w:val="center"/>
                                </w:tcPr>
                                <w:p w14:paraId="1E8EA44F" w14:textId="77777777" w:rsidR="0050059F" w:rsidRPr="00C071C2" w:rsidRDefault="0050059F" w:rsidP="00824CD6">
                                  <w:pPr>
                                    <w:spacing w:line="240" w:lineRule="exact"/>
                                    <w:jc w:val="center"/>
                                    <w:rPr>
                                      <w:rFonts w:ascii="標楷體" w:eastAsia="標楷體" w:hAnsi="標楷體"/>
                                      <w:b/>
                                      <w:spacing w:val="-4"/>
                                    </w:rPr>
                                  </w:pPr>
                                  <w:r w:rsidRPr="00C071C2">
                                    <w:rPr>
                                      <w:rFonts w:ascii="標楷體" w:eastAsia="標楷體" w:hAnsi="標楷體" w:hint="eastAsia"/>
                                      <w:b/>
                                      <w:spacing w:val="-4"/>
                                    </w:rPr>
                                    <w:t xml:space="preserve">合 </w:t>
                                  </w:r>
                                  <w:r w:rsidRPr="00C071C2">
                                    <w:rPr>
                                      <w:rFonts w:ascii="標楷體" w:eastAsia="標楷體" w:hAnsi="標楷體"/>
                                      <w:b/>
                                      <w:spacing w:val="-4"/>
                                    </w:rPr>
                                    <w:t xml:space="preserve">  </w:t>
                                  </w:r>
                                  <w:r w:rsidRPr="00C071C2">
                                    <w:rPr>
                                      <w:rFonts w:ascii="標楷體" w:eastAsia="標楷體" w:hAnsi="標楷體" w:hint="eastAsia"/>
                                      <w:b/>
                                      <w:spacing w:val="-4"/>
                                    </w:rPr>
                                    <w:t>計</w:t>
                                  </w:r>
                                </w:p>
                              </w:tc>
                              <w:tc>
                                <w:tcPr>
                                  <w:tcW w:w="1868" w:type="dxa"/>
                                  <w:gridSpan w:val="2"/>
                                  <w:tcBorders>
                                    <w:bottom w:val="single" w:sz="4" w:space="0" w:color="auto"/>
                                    <w:tl2br w:val="single" w:sz="4" w:space="0" w:color="auto"/>
                                  </w:tcBorders>
                                  <w:vAlign w:val="center"/>
                                </w:tcPr>
                                <w:p w14:paraId="6142364D" w14:textId="77777777" w:rsidR="0050059F" w:rsidRDefault="0050059F" w:rsidP="00824CD6">
                                  <w:pPr>
                                    <w:spacing w:line="240" w:lineRule="exact"/>
                                    <w:jc w:val="right"/>
                                    <w:rPr>
                                      <w:rFonts w:ascii="標楷體" w:eastAsia="標楷體" w:hAnsi="標楷體"/>
                                      <w:b/>
                                      <w:spacing w:val="-12"/>
                                    </w:rPr>
                                  </w:pPr>
                                </w:p>
                              </w:tc>
                              <w:tc>
                                <w:tcPr>
                                  <w:tcW w:w="633" w:type="dxa"/>
                                  <w:vAlign w:val="center"/>
                                </w:tcPr>
                                <w:p w14:paraId="442A0C60" w14:textId="77777777" w:rsidR="0050059F" w:rsidRPr="00773D26" w:rsidRDefault="0050059F" w:rsidP="00824CD6">
                                  <w:pPr>
                                    <w:spacing w:line="240" w:lineRule="exact"/>
                                    <w:jc w:val="right"/>
                                    <w:rPr>
                                      <w:rFonts w:ascii="標楷體" w:eastAsia="標楷體" w:hAnsi="標楷體"/>
                                      <w:b/>
                                    </w:rPr>
                                  </w:pPr>
                                  <w:r w:rsidRPr="00773D26">
                                    <w:rPr>
                                      <w:rFonts w:ascii="標楷體" w:eastAsia="標楷體" w:hAnsi="標楷體"/>
                                      <w:b/>
                                    </w:rPr>
                                    <w:t>51</w:t>
                                  </w:r>
                                </w:p>
                              </w:tc>
                              <w:tc>
                                <w:tcPr>
                                  <w:tcW w:w="1126" w:type="dxa"/>
                                  <w:vAlign w:val="center"/>
                                </w:tcPr>
                                <w:p w14:paraId="1C29A800" w14:textId="77777777" w:rsidR="0050059F" w:rsidRPr="00773D26" w:rsidRDefault="0050059F" w:rsidP="00824CD6">
                                  <w:pPr>
                                    <w:spacing w:line="240" w:lineRule="exact"/>
                                    <w:jc w:val="right"/>
                                    <w:rPr>
                                      <w:rFonts w:ascii="標楷體" w:eastAsia="標楷體" w:hAnsi="標楷體"/>
                                      <w:b/>
                                    </w:rPr>
                                  </w:pPr>
                                  <w:r w:rsidRPr="00773D26">
                                    <w:rPr>
                                      <w:rFonts w:ascii="標楷體" w:eastAsia="標楷體" w:hAnsi="標楷體"/>
                                      <w:b/>
                                    </w:rPr>
                                    <w:t>31</w:t>
                                  </w:r>
                                </w:p>
                              </w:tc>
                            </w:tr>
                            <w:tr w:rsidR="0050059F" w14:paraId="7796A17E" w14:textId="77777777" w:rsidTr="00824CD6">
                              <w:trPr>
                                <w:trHeight w:val="255"/>
                                <w:jc w:val="center"/>
                              </w:trPr>
                              <w:tc>
                                <w:tcPr>
                                  <w:tcW w:w="2043" w:type="dxa"/>
                                  <w:gridSpan w:val="2"/>
                                  <w:vAlign w:val="center"/>
                                </w:tcPr>
                                <w:p w14:paraId="0BE1F142" w14:textId="77777777" w:rsidR="0050059F" w:rsidRPr="00C071C2" w:rsidRDefault="0050059F" w:rsidP="00824CD6">
                                  <w:pPr>
                                    <w:spacing w:line="240" w:lineRule="exact"/>
                                    <w:ind w:firstLineChars="200" w:firstLine="400"/>
                                    <w:rPr>
                                      <w:rFonts w:ascii="標楷體" w:eastAsia="標楷體" w:hAnsi="標楷體"/>
                                    </w:rPr>
                                  </w:pPr>
                                  <w:proofErr w:type="gramStart"/>
                                  <w:r>
                                    <w:rPr>
                                      <w:rFonts w:ascii="標楷體" w:eastAsia="標楷體" w:hAnsi="標楷體" w:hint="eastAsia"/>
                                    </w:rPr>
                                    <w:t>文湖線小計</w:t>
                                  </w:r>
                                  <w:proofErr w:type="gramEnd"/>
                                </w:p>
                              </w:tc>
                              <w:tc>
                                <w:tcPr>
                                  <w:tcW w:w="1868" w:type="dxa"/>
                                  <w:gridSpan w:val="2"/>
                                  <w:tcBorders>
                                    <w:tl2br w:val="single" w:sz="4" w:space="0" w:color="auto"/>
                                  </w:tcBorders>
                                  <w:vAlign w:val="center"/>
                                </w:tcPr>
                                <w:p w14:paraId="75F11889"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3D473C60"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hint="eastAsia"/>
                                      <w:bCs/>
                                    </w:rPr>
                                    <w:t>2</w:t>
                                  </w:r>
                                  <w:r w:rsidRPr="00773D26">
                                    <w:rPr>
                                      <w:rFonts w:ascii="標楷體" w:eastAsia="標楷體" w:hAnsi="標楷體"/>
                                      <w:bCs/>
                                    </w:rPr>
                                    <w:t>8</w:t>
                                  </w:r>
                                </w:p>
                              </w:tc>
                              <w:tc>
                                <w:tcPr>
                                  <w:tcW w:w="1126" w:type="dxa"/>
                                  <w:vAlign w:val="center"/>
                                </w:tcPr>
                                <w:p w14:paraId="70E40B69"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hint="eastAsia"/>
                                    </w:rPr>
                                    <w:t>1</w:t>
                                  </w:r>
                                  <w:r w:rsidRPr="00773D26">
                                    <w:rPr>
                                      <w:rFonts w:ascii="標楷體" w:eastAsia="標楷體" w:hAnsi="標楷體"/>
                                    </w:rPr>
                                    <w:t>6</w:t>
                                  </w:r>
                                </w:p>
                              </w:tc>
                            </w:tr>
                            <w:tr w:rsidR="0050059F" w14:paraId="3287ECD1" w14:textId="77777777" w:rsidTr="00824CD6">
                              <w:trPr>
                                <w:trHeight w:val="255"/>
                                <w:jc w:val="center"/>
                              </w:trPr>
                              <w:tc>
                                <w:tcPr>
                                  <w:tcW w:w="430" w:type="dxa"/>
                                  <w:vAlign w:val="center"/>
                                </w:tcPr>
                                <w:p w14:paraId="68BE63C5"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1</w:t>
                                  </w:r>
                                </w:p>
                              </w:tc>
                              <w:tc>
                                <w:tcPr>
                                  <w:tcW w:w="1613" w:type="dxa"/>
                                  <w:vAlign w:val="center"/>
                                </w:tcPr>
                                <w:p w14:paraId="6B06664A"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東湖站</w:t>
                                  </w:r>
                                </w:p>
                              </w:tc>
                              <w:tc>
                                <w:tcPr>
                                  <w:tcW w:w="934" w:type="dxa"/>
                                  <w:vMerge w:val="restart"/>
                                  <w:vAlign w:val="center"/>
                                </w:tcPr>
                                <w:p w14:paraId="6F8F0A09" w14:textId="77777777" w:rsidR="0050059F" w:rsidRPr="00773D26" w:rsidRDefault="0050059F" w:rsidP="00824CD6">
                                  <w:pPr>
                                    <w:spacing w:line="240" w:lineRule="exact"/>
                                    <w:jc w:val="center"/>
                                    <w:rPr>
                                      <w:rFonts w:ascii="標楷體" w:eastAsia="標楷體" w:hAnsi="標楷體"/>
                                      <w:spacing w:val="-10"/>
                                    </w:rPr>
                                  </w:pPr>
                                  <w:r w:rsidRPr="00773D26">
                                    <w:rPr>
                                      <w:rFonts w:ascii="標楷體" w:eastAsia="標楷體" w:hAnsi="標楷體"/>
                                      <w:spacing w:val="-10"/>
                                    </w:rPr>
                                    <w:t>112</w:t>
                                  </w:r>
                                  <w:r w:rsidRPr="00773D26">
                                    <w:rPr>
                                      <w:rFonts w:ascii="標楷體" w:eastAsia="標楷體" w:hAnsi="標楷體" w:hint="eastAsia"/>
                                      <w:spacing w:val="-10"/>
                                    </w:rPr>
                                    <w:t>年</w:t>
                                  </w:r>
                                </w:p>
                                <w:p w14:paraId="5D80DD80" w14:textId="77777777" w:rsidR="0050059F" w:rsidRPr="00A6693B" w:rsidRDefault="0050059F" w:rsidP="00824CD6">
                                  <w:pPr>
                                    <w:spacing w:line="240" w:lineRule="exact"/>
                                    <w:jc w:val="center"/>
                                    <w:rPr>
                                      <w:rFonts w:ascii="標楷體" w:eastAsia="標楷體" w:hAnsi="標楷體"/>
                                      <w:spacing w:val="-26"/>
                                    </w:rPr>
                                  </w:pPr>
                                  <w:r w:rsidRPr="00A6693B">
                                    <w:rPr>
                                      <w:rFonts w:ascii="標楷體" w:eastAsia="標楷體" w:hAnsi="標楷體"/>
                                      <w:spacing w:val="-26"/>
                                    </w:rPr>
                                    <w:t>12</w:t>
                                  </w:r>
                                  <w:r w:rsidRPr="00A6693B">
                                    <w:rPr>
                                      <w:rFonts w:ascii="標楷體" w:eastAsia="標楷體" w:hAnsi="標楷體" w:hint="eastAsia"/>
                                      <w:spacing w:val="-26"/>
                                    </w:rPr>
                                    <w:t>月</w:t>
                                  </w:r>
                                  <w:r w:rsidRPr="00A6693B">
                                    <w:rPr>
                                      <w:rFonts w:ascii="標楷體" w:eastAsia="標楷體" w:hAnsi="標楷體"/>
                                      <w:spacing w:val="-26"/>
                                    </w:rPr>
                                    <w:t>12</w:t>
                                  </w:r>
                                  <w:r w:rsidRPr="00A6693B">
                                    <w:rPr>
                                      <w:rFonts w:ascii="標楷體" w:eastAsia="標楷體" w:hAnsi="標楷體" w:hint="eastAsia"/>
                                      <w:spacing w:val="-26"/>
                                    </w:rPr>
                                    <w:t>日</w:t>
                                  </w:r>
                                </w:p>
                              </w:tc>
                              <w:tc>
                                <w:tcPr>
                                  <w:tcW w:w="934" w:type="dxa"/>
                                  <w:vMerge w:val="restart"/>
                                  <w:vAlign w:val="center"/>
                                </w:tcPr>
                                <w:p w14:paraId="33BE566F" w14:textId="77777777" w:rsidR="0050059F" w:rsidRPr="00773D26" w:rsidRDefault="0050059F" w:rsidP="00824CD6">
                                  <w:pPr>
                                    <w:spacing w:line="240" w:lineRule="exact"/>
                                    <w:jc w:val="center"/>
                                    <w:rPr>
                                      <w:rFonts w:ascii="標楷體" w:eastAsia="標楷體" w:hAnsi="標楷體"/>
                                      <w:spacing w:val="-10"/>
                                    </w:rPr>
                                  </w:pPr>
                                  <w:r w:rsidRPr="00773D26">
                                    <w:rPr>
                                      <w:rFonts w:ascii="標楷體" w:eastAsia="標楷體" w:hAnsi="標楷體"/>
                                      <w:spacing w:val="-10"/>
                                    </w:rPr>
                                    <w:t>113</w:t>
                                  </w:r>
                                  <w:r w:rsidRPr="00773D26">
                                    <w:rPr>
                                      <w:rFonts w:ascii="標楷體" w:eastAsia="標楷體" w:hAnsi="標楷體" w:hint="eastAsia"/>
                                      <w:spacing w:val="-10"/>
                                    </w:rPr>
                                    <w:t>年</w:t>
                                  </w:r>
                                </w:p>
                                <w:p w14:paraId="2806BF7C" w14:textId="77777777" w:rsidR="0050059F" w:rsidRDefault="0050059F" w:rsidP="00824CD6">
                                  <w:pPr>
                                    <w:spacing w:line="240" w:lineRule="exact"/>
                                    <w:jc w:val="center"/>
                                    <w:rPr>
                                      <w:rFonts w:ascii="標楷體" w:eastAsia="標楷體" w:hAnsi="標楷體"/>
                                      <w:bCs/>
                                      <w:spacing w:val="-12"/>
                                    </w:rPr>
                                  </w:pPr>
                                  <w:r w:rsidRPr="00A6693B">
                                    <w:rPr>
                                      <w:rFonts w:ascii="標楷體" w:eastAsia="標楷體" w:hAnsi="標楷體"/>
                                      <w:spacing w:val="-26"/>
                                    </w:rPr>
                                    <w:t>1</w:t>
                                  </w:r>
                                  <w:r w:rsidRPr="00A6693B">
                                    <w:rPr>
                                      <w:rFonts w:ascii="標楷體" w:eastAsia="標楷體" w:hAnsi="標楷體" w:hint="eastAsia"/>
                                      <w:spacing w:val="-26"/>
                                    </w:rPr>
                                    <w:t>月</w:t>
                                  </w:r>
                                  <w:r>
                                    <w:rPr>
                                      <w:rFonts w:ascii="標楷體" w:eastAsia="標楷體" w:hAnsi="標楷體" w:hint="eastAsia"/>
                                      <w:spacing w:val="-26"/>
                                    </w:rPr>
                                    <w:t>至8月</w:t>
                                  </w:r>
                                </w:p>
                              </w:tc>
                              <w:tc>
                                <w:tcPr>
                                  <w:tcW w:w="633" w:type="dxa"/>
                                  <w:vAlign w:val="center"/>
                                </w:tcPr>
                                <w:p w14:paraId="25ECC5C0"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9</w:t>
                                  </w:r>
                                </w:p>
                              </w:tc>
                              <w:tc>
                                <w:tcPr>
                                  <w:tcW w:w="1126" w:type="dxa"/>
                                  <w:vAlign w:val="center"/>
                                </w:tcPr>
                                <w:p w14:paraId="076B1817"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4</w:t>
                                  </w:r>
                                </w:p>
                              </w:tc>
                            </w:tr>
                            <w:tr w:rsidR="0050059F" w14:paraId="18493380" w14:textId="77777777" w:rsidTr="00824CD6">
                              <w:trPr>
                                <w:trHeight w:val="255"/>
                                <w:jc w:val="center"/>
                              </w:trPr>
                              <w:tc>
                                <w:tcPr>
                                  <w:tcW w:w="430" w:type="dxa"/>
                                  <w:vAlign w:val="center"/>
                                </w:tcPr>
                                <w:p w14:paraId="2394EC30"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2</w:t>
                                  </w:r>
                                </w:p>
                              </w:tc>
                              <w:tc>
                                <w:tcPr>
                                  <w:tcW w:w="1613" w:type="dxa"/>
                                  <w:vAlign w:val="center"/>
                                </w:tcPr>
                                <w:p w14:paraId="2335B43F"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港墘站</w:t>
                                  </w:r>
                                </w:p>
                              </w:tc>
                              <w:tc>
                                <w:tcPr>
                                  <w:tcW w:w="934" w:type="dxa"/>
                                  <w:vMerge/>
                                  <w:vAlign w:val="center"/>
                                </w:tcPr>
                                <w:p w14:paraId="5E50A150" w14:textId="77777777" w:rsidR="0050059F" w:rsidRPr="00C071C2" w:rsidRDefault="0050059F" w:rsidP="00824CD6">
                                  <w:pPr>
                                    <w:spacing w:line="240" w:lineRule="exact"/>
                                    <w:jc w:val="center"/>
                                    <w:rPr>
                                      <w:rFonts w:ascii="標楷體" w:eastAsia="標楷體" w:hAnsi="標楷體"/>
                                    </w:rPr>
                                  </w:pPr>
                                </w:p>
                              </w:tc>
                              <w:tc>
                                <w:tcPr>
                                  <w:tcW w:w="934" w:type="dxa"/>
                                  <w:vMerge/>
                                </w:tcPr>
                                <w:p w14:paraId="56495E64"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57B7047C"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7</w:t>
                                  </w:r>
                                </w:p>
                              </w:tc>
                              <w:tc>
                                <w:tcPr>
                                  <w:tcW w:w="1126" w:type="dxa"/>
                                  <w:vAlign w:val="center"/>
                                </w:tcPr>
                                <w:p w14:paraId="2333E0F1"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4</w:t>
                                  </w:r>
                                </w:p>
                              </w:tc>
                            </w:tr>
                            <w:tr w:rsidR="0050059F" w14:paraId="3D97A671" w14:textId="77777777" w:rsidTr="00824CD6">
                              <w:trPr>
                                <w:trHeight w:val="255"/>
                                <w:jc w:val="center"/>
                              </w:trPr>
                              <w:tc>
                                <w:tcPr>
                                  <w:tcW w:w="430" w:type="dxa"/>
                                  <w:vAlign w:val="center"/>
                                </w:tcPr>
                                <w:p w14:paraId="4B4986F2"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3</w:t>
                                  </w:r>
                                </w:p>
                              </w:tc>
                              <w:tc>
                                <w:tcPr>
                                  <w:tcW w:w="1613" w:type="dxa"/>
                                  <w:vAlign w:val="center"/>
                                </w:tcPr>
                                <w:p w14:paraId="5ECADCC3" w14:textId="77777777" w:rsidR="0050059F" w:rsidRPr="00C071C2" w:rsidRDefault="0050059F" w:rsidP="00824CD6">
                                  <w:pPr>
                                    <w:spacing w:line="240" w:lineRule="exact"/>
                                    <w:rPr>
                                      <w:rFonts w:ascii="標楷體" w:eastAsia="標楷體" w:hAnsi="標楷體"/>
                                    </w:rPr>
                                  </w:pPr>
                                  <w:proofErr w:type="gramStart"/>
                                  <w:r w:rsidRPr="00C071C2">
                                    <w:rPr>
                                      <w:rFonts w:ascii="標楷體" w:eastAsia="標楷體" w:hAnsi="標楷體" w:hint="eastAsia"/>
                                    </w:rPr>
                                    <w:t>葫洲站</w:t>
                                  </w:r>
                                  <w:proofErr w:type="gramEnd"/>
                                </w:p>
                              </w:tc>
                              <w:tc>
                                <w:tcPr>
                                  <w:tcW w:w="934" w:type="dxa"/>
                                  <w:vMerge/>
                                  <w:vAlign w:val="center"/>
                                </w:tcPr>
                                <w:p w14:paraId="2783FF6E" w14:textId="77777777" w:rsidR="0050059F" w:rsidRPr="00C071C2" w:rsidRDefault="0050059F" w:rsidP="00824CD6">
                                  <w:pPr>
                                    <w:spacing w:line="240" w:lineRule="exact"/>
                                    <w:jc w:val="center"/>
                                    <w:rPr>
                                      <w:rFonts w:ascii="標楷體" w:eastAsia="標楷體" w:hAnsi="標楷體"/>
                                    </w:rPr>
                                  </w:pPr>
                                </w:p>
                              </w:tc>
                              <w:tc>
                                <w:tcPr>
                                  <w:tcW w:w="934" w:type="dxa"/>
                                  <w:vMerge/>
                                </w:tcPr>
                                <w:p w14:paraId="0DEAE998"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08101C67"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5</w:t>
                                  </w:r>
                                </w:p>
                              </w:tc>
                              <w:tc>
                                <w:tcPr>
                                  <w:tcW w:w="1126" w:type="dxa"/>
                                  <w:vAlign w:val="center"/>
                                </w:tcPr>
                                <w:p w14:paraId="6D1E4706"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4</w:t>
                                  </w:r>
                                </w:p>
                              </w:tc>
                            </w:tr>
                            <w:tr w:rsidR="0050059F" w14:paraId="464319D4" w14:textId="77777777" w:rsidTr="00824CD6">
                              <w:trPr>
                                <w:trHeight w:val="255"/>
                                <w:jc w:val="center"/>
                              </w:trPr>
                              <w:tc>
                                <w:tcPr>
                                  <w:tcW w:w="430" w:type="dxa"/>
                                  <w:vAlign w:val="center"/>
                                </w:tcPr>
                                <w:p w14:paraId="7DD9213A"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4</w:t>
                                  </w:r>
                                </w:p>
                              </w:tc>
                              <w:tc>
                                <w:tcPr>
                                  <w:tcW w:w="1613" w:type="dxa"/>
                                  <w:vAlign w:val="center"/>
                                </w:tcPr>
                                <w:p w14:paraId="0DDCA8A8"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文德站</w:t>
                                  </w:r>
                                </w:p>
                              </w:tc>
                              <w:tc>
                                <w:tcPr>
                                  <w:tcW w:w="934" w:type="dxa"/>
                                  <w:vMerge/>
                                  <w:vAlign w:val="center"/>
                                </w:tcPr>
                                <w:p w14:paraId="653EEECD" w14:textId="77777777" w:rsidR="0050059F" w:rsidRPr="00C071C2" w:rsidRDefault="0050059F" w:rsidP="00824CD6">
                                  <w:pPr>
                                    <w:spacing w:line="240" w:lineRule="exact"/>
                                    <w:jc w:val="center"/>
                                    <w:rPr>
                                      <w:rFonts w:ascii="標楷體" w:eastAsia="標楷體" w:hAnsi="標楷體"/>
                                    </w:rPr>
                                  </w:pPr>
                                </w:p>
                              </w:tc>
                              <w:tc>
                                <w:tcPr>
                                  <w:tcW w:w="934" w:type="dxa"/>
                                  <w:vMerge/>
                                </w:tcPr>
                                <w:p w14:paraId="3A5C0A09"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77F9D3C2"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5</w:t>
                                  </w:r>
                                </w:p>
                              </w:tc>
                              <w:tc>
                                <w:tcPr>
                                  <w:tcW w:w="1126" w:type="dxa"/>
                                  <w:vAlign w:val="center"/>
                                </w:tcPr>
                                <w:p w14:paraId="463DA72C"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2</w:t>
                                  </w:r>
                                </w:p>
                              </w:tc>
                            </w:tr>
                            <w:tr w:rsidR="0050059F" w14:paraId="4D63A2CA" w14:textId="77777777" w:rsidTr="00824CD6">
                              <w:trPr>
                                <w:trHeight w:val="255"/>
                                <w:jc w:val="center"/>
                              </w:trPr>
                              <w:tc>
                                <w:tcPr>
                                  <w:tcW w:w="430" w:type="dxa"/>
                                  <w:vAlign w:val="center"/>
                                </w:tcPr>
                                <w:p w14:paraId="1742A180"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5</w:t>
                                  </w:r>
                                </w:p>
                              </w:tc>
                              <w:tc>
                                <w:tcPr>
                                  <w:tcW w:w="1613" w:type="dxa"/>
                                  <w:vAlign w:val="center"/>
                                </w:tcPr>
                                <w:p w14:paraId="723A69EA" w14:textId="77777777" w:rsidR="0050059F" w:rsidRPr="00773D26" w:rsidRDefault="0050059F" w:rsidP="00824CD6">
                                  <w:pPr>
                                    <w:spacing w:line="240" w:lineRule="exact"/>
                                    <w:rPr>
                                      <w:rFonts w:ascii="標楷體" w:eastAsia="標楷體" w:hAnsi="標楷體"/>
                                      <w:spacing w:val="-2"/>
                                    </w:rPr>
                                  </w:pPr>
                                  <w:r w:rsidRPr="00773D26">
                                    <w:rPr>
                                      <w:rFonts w:ascii="標楷體" w:eastAsia="標楷體" w:hAnsi="標楷體" w:hint="eastAsia"/>
                                      <w:spacing w:val="-2"/>
                                    </w:rPr>
                                    <w:t>南港軟體園區站</w:t>
                                  </w:r>
                                </w:p>
                              </w:tc>
                              <w:tc>
                                <w:tcPr>
                                  <w:tcW w:w="934" w:type="dxa"/>
                                  <w:vMerge/>
                                  <w:tcBorders>
                                    <w:bottom w:val="single" w:sz="4" w:space="0" w:color="auto"/>
                                  </w:tcBorders>
                                  <w:vAlign w:val="center"/>
                                </w:tcPr>
                                <w:p w14:paraId="45FE1B9C" w14:textId="77777777" w:rsidR="0050059F" w:rsidRPr="00C071C2" w:rsidRDefault="0050059F" w:rsidP="00824CD6">
                                  <w:pPr>
                                    <w:spacing w:line="240" w:lineRule="exact"/>
                                    <w:jc w:val="center"/>
                                    <w:rPr>
                                      <w:rFonts w:ascii="標楷體" w:eastAsia="標楷體" w:hAnsi="標楷體"/>
                                    </w:rPr>
                                  </w:pPr>
                                </w:p>
                              </w:tc>
                              <w:tc>
                                <w:tcPr>
                                  <w:tcW w:w="934" w:type="dxa"/>
                                  <w:vMerge/>
                                  <w:tcBorders>
                                    <w:bottom w:val="single" w:sz="4" w:space="0" w:color="auto"/>
                                  </w:tcBorders>
                                </w:tcPr>
                                <w:p w14:paraId="40761533"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0D182417"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2</w:t>
                                  </w:r>
                                </w:p>
                              </w:tc>
                              <w:tc>
                                <w:tcPr>
                                  <w:tcW w:w="1126" w:type="dxa"/>
                                  <w:vAlign w:val="center"/>
                                </w:tcPr>
                                <w:p w14:paraId="722D42AC"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2</w:t>
                                  </w:r>
                                </w:p>
                              </w:tc>
                            </w:tr>
                            <w:tr w:rsidR="0050059F" w14:paraId="17E6C892" w14:textId="77777777" w:rsidTr="00824CD6">
                              <w:trPr>
                                <w:trHeight w:val="255"/>
                                <w:jc w:val="center"/>
                              </w:trPr>
                              <w:tc>
                                <w:tcPr>
                                  <w:tcW w:w="2043" w:type="dxa"/>
                                  <w:gridSpan w:val="2"/>
                                  <w:vAlign w:val="center"/>
                                </w:tcPr>
                                <w:p w14:paraId="02690537" w14:textId="77777777" w:rsidR="0050059F" w:rsidRPr="00C071C2" w:rsidRDefault="0050059F" w:rsidP="00824CD6">
                                  <w:pPr>
                                    <w:spacing w:line="240" w:lineRule="exact"/>
                                    <w:ind w:firstLineChars="200" w:firstLine="400"/>
                                    <w:rPr>
                                      <w:rFonts w:ascii="標楷體" w:eastAsia="標楷體" w:hAnsi="標楷體"/>
                                    </w:rPr>
                                  </w:pPr>
                                  <w:r>
                                    <w:rPr>
                                      <w:rFonts w:ascii="標楷體" w:eastAsia="標楷體" w:hAnsi="標楷體" w:hint="eastAsia"/>
                                    </w:rPr>
                                    <w:t>板南線小計</w:t>
                                  </w:r>
                                </w:p>
                              </w:tc>
                              <w:tc>
                                <w:tcPr>
                                  <w:tcW w:w="1868" w:type="dxa"/>
                                  <w:gridSpan w:val="2"/>
                                  <w:tcBorders>
                                    <w:tl2br w:val="single" w:sz="4" w:space="0" w:color="auto"/>
                                  </w:tcBorders>
                                  <w:vAlign w:val="center"/>
                                </w:tcPr>
                                <w:p w14:paraId="11F9BCB1"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34C87E23"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hint="eastAsia"/>
                                      <w:bCs/>
                                    </w:rPr>
                                    <w:t>2</w:t>
                                  </w:r>
                                  <w:r w:rsidRPr="00773D26">
                                    <w:rPr>
                                      <w:rFonts w:ascii="標楷體" w:eastAsia="標楷體" w:hAnsi="標楷體"/>
                                      <w:bCs/>
                                    </w:rPr>
                                    <w:t>3</w:t>
                                  </w:r>
                                </w:p>
                              </w:tc>
                              <w:tc>
                                <w:tcPr>
                                  <w:tcW w:w="1126" w:type="dxa"/>
                                  <w:vAlign w:val="center"/>
                                </w:tcPr>
                                <w:p w14:paraId="0A9BD92A"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hint="eastAsia"/>
                                    </w:rPr>
                                    <w:t>1</w:t>
                                  </w:r>
                                  <w:r w:rsidRPr="00773D26">
                                    <w:rPr>
                                      <w:rFonts w:ascii="標楷體" w:eastAsia="標楷體" w:hAnsi="標楷體"/>
                                    </w:rPr>
                                    <w:t>5</w:t>
                                  </w:r>
                                </w:p>
                              </w:tc>
                            </w:tr>
                            <w:tr w:rsidR="0050059F" w14:paraId="1317978C" w14:textId="77777777" w:rsidTr="00824CD6">
                              <w:trPr>
                                <w:trHeight w:val="255"/>
                                <w:jc w:val="center"/>
                              </w:trPr>
                              <w:tc>
                                <w:tcPr>
                                  <w:tcW w:w="430" w:type="dxa"/>
                                  <w:vAlign w:val="center"/>
                                </w:tcPr>
                                <w:p w14:paraId="0BA9583E"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6</w:t>
                                  </w:r>
                                </w:p>
                              </w:tc>
                              <w:tc>
                                <w:tcPr>
                                  <w:tcW w:w="1613" w:type="dxa"/>
                                  <w:vAlign w:val="center"/>
                                </w:tcPr>
                                <w:p w14:paraId="7AAAF5C5"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國父紀念館站</w:t>
                                  </w:r>
                                </w:p>
                              </w:tc>
                              <w:tc>
                                <w:tcPr>
                                  <w:tcW w:w="934" w:type="dxa"/>
                                  <w:vMerge w:val="restart"/>
                                  <w:vAlign w:val="center"/>
                                </w:tcPr>
                                <w:p w14:paraId="0BA39010" w14:textId="77777777" w:rsidR="0050059F" w:rsidRPr="00773D26" w:rsidRDefault="0050059F" w:rsidP="00824CD6">
                                  <w:pPr>
                                    <w:spacing w:line="240" w:lineRule="exact"/>
                                    <w:jc w:val="center"/>
                                    <w:rPr>
                                      <w:rFonts w:ascii="標楷體" w:eastAsia="標楷體" w:hAnsi="標楷體"/>
                                      <w:spacing w:val="-10"/>
                                    </w:rPr>
                                  </w:pPr>
                                  <w:r w:rsidRPr="00773D26">
                                    <w:rPr>
                                      <w:rFonts w:ascii="標楷體" w:eastAsia="標楷體" w:hAnsi="標楷體"/>
                                      <w:spacing w:val="-10"/>
                                    </w:rPr>
                                    <w:t>113</w:t>
                                  </w:r>
                                  <w:r w:rsidRPr="00773D26">
                                    <w:rPr>
                                      <w:rFonts w:ascii="標楷體" w:eastAsia="標楷體" w:hAnsi="標楷體" w:hint="eastAsia"/>
                                      <w:spacing w:val="-10"/>
                                    </w:rPr>
                                    <w:t>年</w:t>
                                  </w:r>
                                </w:p>
                                <w:p w14:paraId="1CDA7547" w14:textId="77777777" w:rsidR="0050059F" w:rsidRPr="00C071C2" w:rsidRDefault="0050059F" w:rsidP="00824CD6">
                                  <w:pPr>
                                    <w:spacing w:line="240" w:lineRule="exact"/>
                                    <w:jc w:val="center"/>
                                    <w:rPr>
                                      <w:rFonts w:ascii="標楷體" w:eastAsia="標楷體" w:hAnsi="標楷體"/>
                                    </w:rPr>
                                  </w:pPr>
                                  <w:r>
                                    <w:rPr>
                                      <w:rFonts w:ascii="標楷體" w:eastAsia="標楷體" w:hAnsi="標楷體" w:hint="eastAsia"/>
                                      <w:spacing w:val="-26"/>
                                    </w:rPr>
                                    <w:t>6</w:t>
                                  </w:r>
                                  <w:r w:rsidRPr="00A6693B">
                                    <w:rPr>
                                      <w:rFonts w:ascii="標楷體" w:eastAsia="標楷體" w:hAnsi="標楷體" w:hint="eastAsia"/>
                                      <w:spacing w:val="-26"/>
                                    </w:rPr>
                                    <w:t>月</w:t>
                                  </w:r>
                                  <w:r w:rsidRPr="00A6693B">
                                    <w:rPr>
                                      <w:rFonts w:ascii="標楷體" w:eastAsia="標楷體" w:hAnsi="標楷體"/>
                                      <w:spacing w:val="-26"/>
                                    </w:rPr>
                                    <w:t>1</w:t>
                                  </w:r>
                                  <w:r>
                                    <w:rPr>
                                      <w:rFonts w:ascii="標楷體" w:eastAsia="標楷體" w:hAnsi="標楷體"/>
                                      <w:spacing w:val="-26"/>
                                    </w:rPr>
                                    <w:t>1</w:t>
                                  </w:r>
                                  <w:r w:rsidRPr="00A6693B">
                                    <w:rPr>
                                      <w:rFonts w:ascii="標楷體" w:eastAsia="標楷體" w:hAnsi="標楷體" w:hint="eastAsia"/>
                                      <w:spacing w:val="-26"/>
                                    </w:rPr>
                                    <w:t>日</w:t>
                                  </w:r>
                                </w:p>
                              </w:tc>
                              <w:tc>
                                <w:tcPr>
                                  <w:tcW w:w="934" w:type="dxa"/>
                                  <w:vMerge w:val="restart"/>
                                  <w:vAlign w:val="center"/>
                                </w:tcPr>
                                <w:p w14:paraId="03D1F8DE" w14:textId="77777777" w:rsidR="0050059F" w:rsidRPr="00773D26" w:rsidRDefault="0050059F" w:rsidP="00824CD6">
                                  <w:pPr>
                                    <w:spacing w:line="240" w:lineRule="exact"/>
                                    <w:jc w:val="center"/>
                                    <w:rPr>
                                      <w:rFonts w:ascii="標楷體" w:eastAsia="標楷體" w:hAnsi="標楷體"/>
                                      <w:spacing w:val="-10"/>
                                    </w:rPr>
                                  </w:pPr>
                                  <w:r w:rsidRPr="00773D26">
                                    <w:rPr>
                                      <w:rFonts w:ascii="標楷體" w:eastAsia="標楷體" w:hAnsi="標楷體"/>
                                      <w:spacing w:val="-10"/>
                                    </w:rPr>
                                    <w:t>113</w:t>
                                  </w:r>
                                  <w:r w:rsidRPr="00773D26">
                                    <w:rPr>
                                      <w:rFonts w:ascii="標楷體" w:eastAsia="標楷體" w:hAnsi="標楷體" w:hint="eastAsia"/>
                                      <w:spacing w:val="-10"/>
                                    </w:rPr>
                                    <w:t>年</w:t>
                                  </w:r>
                                </w:p>
                                <w:p w14:paraId="2945087C" w14:textId="77777777" w:rsidR="0050059F" w:rsidRDefault="0050059F" w:rsidP="00824CD6">
                                  <w:pPr>
                                    <w:spacing w:line="240" w:lineRule="exact"/>
                                    <w:jc w:val="center"/>
                                    <w:rPr>
                                      <w:rFonts w:ascii="標楷體" w:eastAsia="標楷體" w:hAnsi="標楷體"/>
                                      <w:bCs/>
                                      <w:spacing w:val="-12"/>
                                    </w:rPr>
                                  </w:pPr>
                                  <w:r>
                                    <w:rPr>
                                      <w:rFonts w:ascii="標楷體" w:eastAsia="標楷體" w:hAnsi="標楷體" w:hint="eastAsia"/>
                                      <w:spacing w:val="-26"/>
                                    </w:rPr>
                                    <w:t>6</w:t>
                                  </w:r>
                                  <w:r w:rsidRPr="00A6693B">
                                    <w:rPr>
                                      <w:rFonts w:ascii="標楷體" w:eastAsia="標楷體" w:hAnsi="標楷體" w:hint="eastAsia"/>
                                      <w:spacing w:val="-26"/>
                                    </w:rPr>
                                    <w:t>月</w:t>
                                  </w:r>
                                  <w:r>
                                    <w:rPr>
                                      <w:rFonts w:ascii="標楷體" w:eastAsia="標楷體" w:hAnsi="標楷體" w:hint="eastAsia"/>
                                      <w:spacing w:val="-26"/>
                                    </w:rPr>
                                    <w:t>至8月</w:t>
                                  </w:r>
                                </w:p>
                              </w:tc>
                              <w:tc>
                                <w:tcPr>
                                  <w:tcW w:w="633" w:type="dxa"/>
                                  <w:vAlign w:val="center"/>
                                </w:tcPr>
                                <w:p w14:paraId="58633A7D"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2</w:t>
                                  </w:r>
                                </w:p>
                              </w:tc>
                              <w:tc>
                                <w:tcPr>
                                  <w:tcW w:w="1126" w:type="dxa"/>
                                  <w:vAlign w:val="center"/>
                                </w:tcPr>
                                <w:p w14:paraId="71C7A526"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hint="eastAsia"/>
                                    </w:rPr>
                                    <w:t>－</w:t>
                                  </w:r>
                                </w:p>
                              </w:tc>
                            </w:tr>
                            <w:tr w:rsidR="0050059F" w14:paraId="22F951CC" w14:textId="77777777" w:rsidTr="00824CD6">
                              <w:trPr>
                                <w:trHeight w:val="255"/>
                                <w:jc w:val="center"/>
                              </w:trPr>
                              <w:tc>
                                <w:tcPr>
                                  <w:tcW w:w="430" w:type="dxa"/>
                                  <w:vAlign w:val="center"/>
                                </w:tcPr>
                                <w:p w14:paraId="0B1D8957"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7</w:t>
                                  </w:r>
                                </w:p>
                              </w:tc>
                              <w:tc>
                                <w:tcPr>
                                  <w:tcW w:w="1613" w:type="dxa"/>
                                  <w:vAlign w:val="center"/>
                                </w:tcPr>
                                <w:p w14:paraId="072A79EB"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昆陽站</w:t>
                                  </w:r>
                                </w:p>
                              </w:tc>
                              <w:tc>
                                <w:tcPr>
                                  <w:tcW w:w="934" w:type="dxa"/>
                                  <w:vMerge/>
                                  <w:vAlign w:val="center"/>
                                </w:tcPr>
                                <w:p w14:paraId="0393DF67" w14:textId="77777777" w:rsidR="0050059F" w:rsidRPr="00C071C2" w:rsidRDefault="0050059F" w:rsidP="00824CD6">
                                  <w:pPr>
                                    <w:spacing w:line="240" w:lineRule="exact"/>
                                    <w:jc w:val="center"/>
                                    <w:rPr>
                                      <w:rFonts w:ascii="標楷體" w:eastAsia="標楷體" w:hAnsi="標楷體"/>
                                    </w:rPr>
                                  </w:pPr>
                                </w:p>
                              </w:tc>
                              <w:tc>
                                <w:tcPr>
                                  <w:tcW w:w="934" w:type="dxa"/>
                                  <w:vMerge/>
                                </w:tcPr>
                                <w:p w14:paraId="5AEE1A47"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7B7307E8"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4</w:t>
                                  </w:r>
                                </w:p>
                              </w:tc>
                              <w:tc>
                                <w:tcPr>
                                  <w:tcW w:w="1126" w:type="dxa"/>
                                  <w:vAlign w:val="center"/>
                                </w:tcPr>
                                <w:p w14:paraId="070341A0"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3</w:t>
                                  </w:r>
                                </w:p>
                              </w:tc>
                            </w:tr>
                            <w:tr w:rsidR="0050059F" w14:paraId="4349AAA8" w14:textId="77777777" w:rsidTr="00824CD6">
                              <w:trPr>
                                <w:trHeight w:val="255"/>
                                <w:jc w:val="center"/>
                              </w:trPr>
                              <w:tc>
                                <w:tcPr>
                                  <w:tcW w:w="430" w:type="dxa"/>
                                  <w:vAlign w:val="center"/>
                                </w:tcPr>
                                <w:p w14:paraId="51C3BB33"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8</w:t>
                                  </w:r>
                                </w:p>
                              </w:tc>
                              <w:tc>
                                <w:tcPr>
                                  <w:tcW w:w="1613" w:type="dxa"/>
                                  <w:vAlign w:val="center"/>
                                </w:tcPr>
                                <w:p w14:paraId="5CF1874A" w14:textId="77777777" w:rsidR="0050059F" w:rsidRPr="00C071C2" w:rsidRDefault="0050059F" w:rsidP="00824CD6">
                                  <w:pPr>
                                    <w:spacing w:line="240" w:lineRule="exact"/>
                                    <w:rPr>
                                      <w:rFonts w:ascii="標楷體" w:eastAsia="標楷體" w:hAnsi="標楷體"/>
                                    </w:rPr>
                                  </w:pPr>
                                  <w:proofErr w:type="gramStart"/>
                                  <w:r w:rsidRPr="00C071C2">
                                    <w:rPr>
                                      <w:rFonts w:ascii="標楷體" w:eastAsia="標楷體" w:hAnsi="標楷體" w:hint="eastAsia"/>
                                    </w:rPr>
                                    <w:t>永春站</w:t>
                                  </w:r>
                                  <w:proofErr w:type="gramEnd"/>
                                </w:p>
                              </w:tc>
                              <w:tc>
                                <w:tcPr>
                                  <w:tcW w:w="934" w:type="dxa"/>
                                  <w:vMerge/>
                                  <w:vAlign w:val="center"/>
                                </w:tcPr>
                                <w:p w14:paraId="38E01413" w14:textId="77777777" w:rsidR="0050059F" w:rsidRPr="00C071C2" w:rsidRDefault="0050059F" w:rsidP="00824CD6">
                                  <w:pPr>
                                    <w:spacing w:line="240" w:lineRule="exact"/>
                                    <w:jc w:val="center"/>
                                    <w:rPr>
                                      <w:rFonts w:ascii="標楷體" w:eastAsia="標楷體" w:hAnsi="標楷體"/>
                                    </w:rPr>
                                  </w:pPr>
                                </w:p>
                              </w:tc>
                              <w:tc>
                                <w:tcPr>
                                  <w:tcW w:w="934" w:type="dxa"/>
                                  <w:vMerge/>
                                </w:tcPr>
                                <w:p w14:paraId="076EEFDA"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45F43498"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9</w:t>
                                  </w:r>
                                </w:p>
                              </w:tc>
                              <w:tc>
                                <w:tcPr>
                                  <w:tcW w:w="1126" w:type="dxa"/>
                                  <w:vAlign w:val="center"/>
                                </w:tcPr>
                                <w:p w14:paraId="4492801D"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7</w:t>
                                  </w:r>
                                </w:p>
                              </w:tc>
                            </w:tr>
                            <w:tr w:rsidR="0050059F" w14:paraId="63875EB8" w14:textId="77777777" w:rsidTr="00824CD6">
                              <w:trPr>
                                <w:trHeight w:val="255"/>
                                <w:jc w:val="center"/>
                              </w:trPr>
                              <w:tc>
                                <w:tcPr>
                                  <w:tcW w:w="430" w:type="dxa"/>
                                  <w:vAlign w:val="center"/>
                                </w:tcPr>
                                <w:p w14:paraId="7C24CBDD"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9</w:t>
                                  </w:r>
                                </w:p>
                              </w:tc>
                              <w:tc>
                                <w:tcPr>
                                  <w:tcW w:w="1613" w:type="dxa"/>
                                  <w:vAlign w:val="center"/>
                                </w:tcPr>
                                <w:p w14:paraId="2AADDF83"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後山</w:t>
                                  </w:r>
                                  <w:proofErr w:type="gramStart"/>
                                  <w:r w:rsidRPr="00C071C2">
                                    <w:rPr>
                                      <w:rFonts w:ascii="標楷體" w:eastAsia="標楷體" w:hAnsi="標楷體" w:hint="eastAsia"/>
                                    </w:rPr>
                                    <w:t>埤</w:t>
                                  </w:r>
                                  <w:proofErr w:type="gramEnd"/>
                                  <w:r w:rsidRPr="00C071C2">
                                    <w:rPr>
                                      <w:rFonts w:ascii="標楷體" w:eastAsia="標楷體" w:hAnsi="標楷體" w:hint="eastAsia"/>
                                    </w:rPr>
                                    <w:t>站</w:t>
                                  </w:r>
                                </w:p>
                              </w:tc>
                              <w:tc>
                                <w:tcPr>
                                  <w:tcW w:w="934" w:type="dxa"/>
                                  <w:vMerge/>
                                  <w:vAlign w:val="center"/>
                                </w:tcPr>
                                <w:p w14:paraId="6B6472BD" w14:textId="77777777" w:rsidR="0050059F" w:rsidRPr="00C071C2" w:rsidRDefault="0050059F" w:rsidP="00824CD6">
                                  <w:pPr>
                                    <w:spacing w:line="240" w:lineRule="exact"/>
                                    <w:jc w:val="center"/>
                                    <w:rPr>
                                      <w:rFonts w:ascii="標楷體" w:eastAsia="標楷體" w:hAnsi="標楷體"/>
                                    </w:rPr>
                                  </w:pPr>
                                </w:p>
                              </w:tc>
                              <w:tc>
                                <w:tcPr>
                                  <w:tcW w:w="934" w:type="dxa"/>
                                  <w:vMerge/>
                                </w:tcPr>
                                <w:p w14:paraId="0792A7D0"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203C8073"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hint="eastAsia"/>
                                      <w:bCs/>
                                    </w:rPr>
                                    <w:t>5</w:t>
                                  </w:r>
                                </w:p>
                              </w:tc>
                              <w:tc>
                                <w:tcPr>
                                  <w:tcW w:w="1126" w:type="dxa"/>
                                  <w:tcBorders>
                                    <w:bottom w:val="single" w:sz="4" w:space="0" w:color="auto"/>
                                  </w:tcBorders>
                                  <w:vAlign w:val="center"/>
                                </w:tcPr>
                                <w:p w14:paraId="4C1883DC"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hint="eastAsia"/>
                                    </w:rPr>
                                    <w:t>3</w:t>
                                  </w:r>
                                </w:p>
                              </w:tc>
                            </w:tr>
                            <w:tr w:rsidR="0050059F" w14:paraId="1FAB6EB5" w14:textId="77777777" w:rsidTr="00824CD6">
                              <w:trPr>
                                <w:trHeight w:val="255"/>
                                <w:jc w:val="center"/>
                              </w:trPr>
                              <w:tc>
                                <w:tcPr>
                                  <w:tcW w:w="430" w:type="dxa"/>
                                  <w:vAlign w:val="center"/>
                                </w:tcPr>
                                <w:p w14:paraId="5B49A3D7"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10</w:t>
                                  </w:r>
                                </w:p>
                              </w:tc>
                              <w:tc>
                                <w:tcPr>
                                  <w:tcW w:w="1613" w:type="dxa"/>
                                  <w:vAlign w:val="center"/>
                                </w:tcPr>
                                <w:p w14:paraId="331F57A2"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南港機廠</w:t>
                                  </w:r>
                                </w:p>
                              </w:tc>
                              <w:tc>
                                <w:tcPr>
                                  <w:tcW w:w="934" w:type="dxa"/>
                                  <w:vMerge/>
                                  <w:vAlign w:val="center"/>
                                </w:tcPr>
                                <w:p w14:paraId="5471A43D" w14:textId="77777777" w:rsidR="0050059F" w:rsidRPr="00C071C2" w:rsidRDefault="0050059F" w:rsidP="00824CD6">
                                  <w:pPr>
                                    <w:spacing w:line="240" w:lineRule="exact"/>
                                    <w:ind w:firstLine="480"/>
                                    <w:jc w:val="center"/>
                                    <w:rPr>
                                      <w:rFonts w:ascii="標楷體" w:eastAsia="標楷體" w:hAnsi="標楷體"/>
                                    </w:rPr>
                                  </w:pPr>
                                </w:p>
                              </w:tc>
                              <w:tc>
                                <w:tcPr>
                                  <w:tcW w:w="934" w:type="dxa"/>
                                  <w:vMerge/>
                                </w:tcPr>
                                <w:p w14:paraId="26B68F74" w14:textId="77777777" w:rsidR="0050059F" w:rsidRDefault="0050059F" w:rsidP="00824CD6">
                                  <w:pPr>
                                    <w:spacing w:line="240" w:lineRule="exact"/>
                                    <w:ind w:firstLine="432"/>
                                    <w:jc w:val="right"/>
                                    <w:rPr>
                                      <w:rFonts w:ascii="標楷體" w:eastAsia="標楷體" w:hAnsi="標楷體"/>
                                      <w:bCs/>
                                      <w:spacing w:val="-12"/>
                                    </w:rPr>
                                  </w:pPr>
                                </w:p>
                              </w:tc>
                              <w:tc>
                                <w:tcPr>
                                  <w:tcW w:w="633" w:type="dxa"/>
                                  <w:vAlign w:val="center"/>
                                </w:tcPr>
                                <w:p w14:paraId="44AA2012"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hint="eastAsia"/>
                                      <w:bCs/>
                                    </w:rPr>
                                    <w:t>3</w:t>
                                  </w:r>
                                </w:p>
                              </w:tc>
                              <w:tc>
                                <w:tcPr>
                                  <w:tcW w:w="1126" w:type="dxa"/>
                                  <w:tcBorders>
                                    <w:bottom w:val="single" w:sz="4" w:space="0" w:color="auto"/>
                                  </w:tcBorders>
                                  <w:vAlign w:val="center"/>
                                </w:tcPr>
                                <w:p w14:paraId="4D9D1E97" w14:textId="77777777" w:rsidR="0050059F" w:rsidRPr="00773D26" w:rsidRDefault="0050059F" w:rsidP="00824CD6">
                                  <w:pPr>
                                    <w:spacing w:line="240" w:lineRule="exact"/>
                                    <w:ind w:firstLine="448"/>
                                    <w:jc w:val="right"/>
                                    <w:rPr>
                                      <w:rFonts w:ascii="標楷體" w:eastAsia="標楷體" w:hAnsi="標楷體"/>
                                    </w:rPr>
                                  </w:pPr>
                                  <w:r w:rsidRPr="00773D26">
                                    <w:rPr>
                                      <w:rFonts w:ascii="標楷體" w:eastAsia="標楷體" w:hAnsi="標楷體" w:hint="eastAsia"/>
                                    </w:rPr>
                                    <w:t>2</w:t>
                                  </w:r>
                                </w:p>
                              </w:tc>
                            </w:tr>
                            <w:tr w:rsidR="0050059F" w14:paraId="66043C2F" w14:textId="77777777" w:rsidTr="00824CD6">
                              <w:trPr>
                                <w:trHeight w:val="58"/>
                                <w:jc w:val="center"/>
                              </w:trPr>
                              <w:tc>
                                <w:tcPr>
                                  <w:tcW w:w="5670" w:type="dxa"/>
                                  <w:gridSpan w:val="6"/>
                                  <w:tcBorders>
                                    <w:top w:val="nil"/>
                                    <w:left w:val="nil"/>
                                    <w:bottom w:val="nil"/>
                                    <w:right w:val="nil"/>
                                  </w:tcBorders>
                                </w:tcPr>
                                <w:p w14:paraId="0EC2E628" w14:textId="77777777" w:rsidR="0050059F" w:rsidRPr="00933221" w:rsidRDefault="0050059F" w:rsidP="00824CD6">
                                  <w:pPr>
                                    <w:spacing w:beforeLines="10" w:before="36" w:line="220" w:lineRule="exact"/>
                                    <w:ind w:leftChars="-50" w:left="-120"/>
                                    <w:jc w:val="both"/>
                                    <w:rPr>
                                      <w:rFonts w:ascii="標楷體" w:eastAsia="標楷體" w:hAnsi="標楷體"/>
                                      <w:spacing w:val="-4"/>
                                      <w:sz w:val="22"/>
                                    </w:rPr>
                                  </w:pPr>
                                  <w:r w:rsidRPr="00AD7128">
                                    <w:rPr>
                                      <w:rFonts w:ascii="標楷體" w:eastAsia="標楷體" w:hAnsi="標楷體" w:hint="eastAsia"/>
                                      <w:sz w:val="18"/>
                                      <w:szCs w:val="18"/>
                                    </w:rPr>
                                    <w:t>資料來源</w:t>
                                  </w:r>
                                  <w:r>
                                    <w:rPr>
                                      <w:rFonts w:ascii="標楷體" w:eastAsia="標楷體" w:hAnsi="標楷體" w:hint="eastAsia"/>
                                      <w:sz w:val="18"/>
                                      <w:szCs w:val="18"/>
                                    </w:rPr>
                                    <w:t>：</w:t>
                                  </w:r>
                                  <w:r w:rsidRPr="00AD7128">
                                    <w:rPr>
                                      <w:rFonts w:ascii="標楷體" w:eastAsia="標楷體" w:hAnsi="標楷體" w:hint="eastAsia"/>
                                      <w:sz w:val="18"/>
                                      <w:szCs w:val="18"/>
                                    </w:rPr>
                                    <w:t>整理自</w:t>
                                  </w:r>
                                  <w:r>
                                    <w:rPr>
                                      <w:rFonts w:ascii="標楷體" w:eastAsia="標楷體" w:hAnsi="標楷體" w:hint="eastAsia"/>
                                      <w:sz w:val="18"/>
                                      <w:szCs w:val="18"/>
                                    </w:rPr>
                                    <w:t>捷運公司提供資料</w:t>
                                  </w:r>
                                  <w:r w:rsidRPr="00AD7128">
                                    <w:rPr>
                                      <w:rFonts w:ascii="標楷體" w:eastAsia="標楷體" w:hAnsi="標楷體" w:hint="eastAsia"/>
                                      <w:sz w:val="18"/>
                                      <w:szCs w:val="18"/>
                                    </w:rPr>
                                    <w:t>。</w:t>
                                  </w:r>
                                </w:p>
                              </w:tc>
                            </w:tr>
                          </w:tbl>
                          <w:p w14:paraId="4B85C4FE" w14:textId="77777777" w:rsidR="0050059F" w:rsidRPr="0033673C" w:rsidRDefault="0050059F" w:rsidP="0050059F">
                            <w:pPr>
                              <w:spacing w:line="40" w:lineRule="exact"/>
                              <w:ind w:rightChars="-40" w:right="-96"/>
                              <w:jc w:val="both"/>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7BDB77" id="_x0000_s1163" type="#_x0000_t202" style="position:absolute;left:0;text-align:left;margin-left:204.1pt;margin-top:1.95pt;width:294.8pt;height:270.4pt;z-index:251784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" stroked="f">
                <v:textbox>
                  <w:txbxContent>
                    <w:tbl>
                      <w:tblPr>
                        <w:tblStyle w:val="a6"/>
                        <w:tblW w:w="5670" w:type="dxa"/>
                        <w:jc w:val="center"/>
                        <w:tblLook w:val="04A0" w:firstRow="1" w:lastRow="0" w:firstColumn="1" w:lastColumn="0" w:noHBand="0" w:noVBand="1"/>
                      </w:tblPr>
                      <w:tblGrid>
                        <w:gridCol w:w="430"/>
                        <w:gridCol w:w="1613"/>
                        <w:gridCol w:w="934"/>
                        <w:gridCol w:w="934"/>
                        <w:gridCol w:w="633"/>
                        <w:gridCol w:w="1126"/>
                      </w:tblGrid>
                      <w:tr w:rsidR="0050059F" w14:paraId="3A2865E3" w14:textId="77777777" w:rsidTr="00824CD6">
                        <w:trPr>
                          <w:trHeight w:val="275"/>
                          <w:jc w:val="center"/>
                        </w:trPr>
                        <w:tc>
                          <w:tcPr>
                            <w:tcW w:w="5670" w:type="dxa"/>
                            <w:gridSpan w:val="6"/>
                            <w:tcBorders>
                              <w:top w:val="nil"/>
                              <w:left w:val="nil"/>
                              <w:bottom w:val="nil"/>
                              <w:right w:val="nil"/>
                            </w:tcBorders>
                          </w:tcPr>
                          <w:p w14:paraId="20F034DA" w14:textId="77777777" w:rsidR="0050059F" w:rsidRPr="00773D26" w:rsidRDefault="0050059F" w:rsidP="004509BD">
                            <w:pPr>
                              <w:spacing w:line="260" w:lineRule="exact"/>
                              <w:ind w:leftChars="-43" w:left="558" w:hangingChars="275" w:hanging="661"/>
                              <w:jc w:val="both"/>
                              <w:rPr>
                                <w:rFonts w:ascii="標楷體" w:eastAsia="標楷體" w:hAnsi="標楷體"/>
                                <w:szCs w:val="24"/>
                              </w:rPr>
                            </w:pPr>
                            <w:r w:rsidRPr="0016229C">
                              <w:rPr>
                                <w:rFonts w:ascii="標楷體" w:eastAsia="標楷體" w:hAnsi="標楷體" w:hint="eastAsia"/>
                                <w:b/>
                                <w:sz w:val="24"/>
                                <w:szCs w:val="24"/>
                              </w:rPr>
                              <w:t>表6</w:t>
                            </w:r>
                            <w:r w:rsidRPr="00773D26">
                              <w:rPr>
                                <w:rFonts w:ascii="標楷體" w:eastAsia="標楷體" w:hAnsi="標楷體"/>
                                <w:b/>
                                <w:szCs w:val="24"/>
                              </w:rPr>
                              <w:t xml:space="preserve">  </w:t>
                            </w:r>
                            <w:r w:rsidRPr="004509BD">
                              <w:rPr>
                                <w:rFonts w:ascii="標楷體" w:eastAsia="標楷體" w:hAnsi="標楷體" w:hint="eastAsia"/>
                                <w:b/>
                                <w:sz w:val="24"/>
                                <w:szCs w:val="24"/>
                              </w:rPr>
                              <w:t>113年1月至8月</w:t>
                            </w:r>
                            <w:proofErr w:type="gramStart"/>
                            <w:r w:rsidRPr="004509BD">
                              <w:rPr>
                                <w:rFonts w:ascii="標楷體" w:eastAsia="標楷體" w:hAnsi="標楷體" w:hint="eastAsia"/>
                                <w:b/>
                                <w:sz w:val="24"/>
                                <w:szCs w:val="24"/>
                              </w:rPr>
                              <w:t>文湖線及</w:t>
                            </w:r>
                            <w:proofErr w:type="gramEnd"/>
                            <w:r w:rsidRPr="004509BD">
                              <w:rPr>
                                <w:rFonts w:ascii="標楷體" w:eastAsia="標楷體" w:hAnsi="標楷體" w:hint="eastAsia"/>
                                <w:b/>
                                <w:sz w:val="24"/>
                                <w:szCs w:val="24"/>
                              </w:rPr>
                              <w:t>板南線等部分捷運場站火警系統</w:t>
                            </w:r>
                            <w:proofErr w:type="gramStart"/>
                            <w:r w:rsidRPr="004509BD">
                              <w:rPr>
                                <w:rFonts w:ascii="標楷體" w:eastAsia="標楷體" w:hAnsi="標楷體" w:hint="eastAsia"/>
                                <w:b/>
                                <w:sz w:val="24"/>
                                <w:szCs w:val="24"/>
                              </w:rPr>
                              <w:t>重置後發生</w:t>
                            </w:r>
                            <w:proofErr w:type="gramEnd"/>
                            <w:r w:rsidRPr="004509BD">
                              <w:rPr>
                                <w:rFonts w:ascii="標楷體" w:eastAsia="標楷體" w:hAnsi="標楷體" w:hint="eastAsia"/>
                                <w:b/>
                                <w:sz w:val="24"/>
                                <w:szCs w:val="24"/>
                              </w:rPr>
                              <w:t>故障統計</w:t>
                            </w:r>
                          </w:p>
                        </w:tc>
                      </w:tr>
                      <w:tr w:rsidR="0050059F" w14:paraId="48444A88" w14:textId="77777777" w:rsidTr="00824CD6">
                        <w:trPr>
                          <w:trHeight w:val="275"/>
                          <w:jc w:val="center"/>
                        </w:trPr>
                        <w:tc>
                          <w:tcPr>
                            <w:tcW w:w="5670" w:type="dxa"/>
                            <w:gridSpan w:val="6"/>
                            <w:tcBorders>
                              <w:top w:val="nil"/>
                              <w:left w:val="nil"/>
                              <w:bottom w:val="nil"/>
                              <w:right w:val="nil"/>
                            </w:tcBorders>
                          </w:tcPr>
                          <w:p w14:paraId="3AD99560" w14:textId="77777777" w:rsidR="0050059F" w:rsidRPr="002D2CFA" w:rsidRDefault="0050059F" w:rsidP="00824CD6">
                            <w:pPr>
                              <w:spacing w:afterLines="10" w:after="36" w:line="240" w:lineRule="exact"/>
                              <w:ind w:rightChars="-25" w:right="-60" w:firstLine="346"/>
                              <w:jc w:val="right"/>
                              <w:rPr>
                                <w:rFonts w:ascii="標楷體" w:eastAsia="標楷體" w:hAnsi="標楷體"/>
                              </w:rPr>
                            </w:pPr>
                            <w:r w:rsidRPr="002D2CFA">
                              <w:rPr>
                                <w:rFonts w:ascii="標楷體" w:eastAsia="標楷體" w:hAnsi="標楷體" w:hint="eastAsia"/>
                              </w:rPr>
                              <w:t>單位：件</w:t>
                            </w:r>
                          </w:p>
                        </w:tc>
                      </w:tr>
                      <w:tr w:rsidR="0050059F" w14:paraId="01EB417A" w14:textId="77777777" w:rsidTr="00824CD6">
                        <w:trPr>
                          <w:trHeight w:val="255"/>
                          <w:jc w:val="center"/>
                        </w:trPr>
                        <w:tc>
                          <w:tcPr>
                            <w:tcW w:w="430" w:type="dxa"/>
                            <w:vMerge w:val="restart"/>
                            <w:tcBorders>
                              <w:top w:val="single" w:sz="4" w:space="0" w:color="auto"/>
                            </w:tcBorders>
                            <w:shd w:val="clear" w:color="auto" w:fill="auto"/>
                            <w:vAlign w:val="center"/>
                          </w:tcPr>
                          <w:p w14:paraId="7EEC2842"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項目</w:t>
                            </w:r>
                          </w:p>
                        </w:tc>
                        <w:tc>
                          <w:tcPr>
                            <w:tcW w:w="1613" w:type="dxa"/>
                            <w:vMerge w:val="restart"/>
                            <w:tcBorders>
                              <w:top w:val="single" w:sz="4" w:space="0" w:color="auto"/>
                            </w:tcBorders>
                            <w:shd w:val="clear" w:color="auto" w:fill="auto"/>
                            <w:vAlign w:val="center"/>
                          </w:tcPr>
                          <w:p w14:paraId="44D1588C"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 xml:space="preserve">站 </w:t>
                            </w:r>
                            <w:r w:rsidRPr="00C071C2">
                              <w:rPr>
                                <w:rFonts w:ascii="標楷體" w:eastAsia="標楷體" w:hAnsi="標楷體"/>
                                <w:spacing w:val="-4"/>
                              </w:rPr>
                              <w:t xml:space="preserve"> </w:t>
                            </w:r>
                            <w:r w:rsidRPr="00C071C2">
                              <w:rPr>
                                <w:rFonts w:ascii="標楷體" w:eastAsia="標楷體" w:hAnsi="標楷體" w:hint="eastAsia"/>
                                <w:spacing w:val="-4"/>
                              </w:rPr>
                              <w:t>別</w:t>
                            </w:r>
                          </w:p>
                        </w:tc>
                        <w:tc>
                          <w:tcPr>
                            <w:tcW w:w="1868" w:type="dxa"/>
                            <w:gridSpan w:val="2"/>
                            <w:tcBorders>
                              <w:top w:val="single" w:sz="4" w:space="0" w:color="auto"/>
                              <w:bottom w:val="single" w:sz="4" w:space="0" w:color="auto"/>
                            </w:tcBorders>
                            <w:shd w:val="clear" w:color="auto" w:fill="auto"/>
                            <w:vAlign w:val="center"/>
                          </w:tcPr>
                          <w:p w14:paraId="2E3ED458"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hint="eastAsia"/>
                                <w:spacing w:val="-4"/>
                              </w:rPr>
                              <w:t>火警系統重置</w:t>
                            </w:r>
                          </w:p>
                        </w:tc>
                        <w:tc>
                          <w:tcPr>
                            <w:tcW w:w="633" w:type="dxa"/>
                            <w:vMerge w:val="restart"/>
                            <w:tcBorders>
                              <w:top w:val="single" w:sz="4" w:space="0" w:color="auto"/>
                            </w:tcBorders>
                            <w:shd w:val="clear" w:color="auto" w:fill="auto"/>
                            <w:vAlign w:val="center"/>
                          </w:tcPr>
                          <w:p w14:paraId="3B64F382" w14:textId="77777777" w:rsidR="0050059F"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故障</w:t>
                            </w:r>
                          </w:p>
                          <w:p w14:paraId="2ADE9D44"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件</w:t>
                            </w:r>
                            <w:r w:rsidRPr="00C071C2">
                              <w:rPr>
                                <w:rFonts w:ascii="標楷體" w:eastAsia="標楷體" w:hAnsi="標楷體" w:hint="eastAsia"/>
                                <w:spacing w:val="-4"/>
                              </w:rPr>
                              <w:t>數</w:t>
                            </w:r>
                          </w:p>
                        </w:tc>
                        <w:tc>
                          <w:tcPr>
                            <w:tcW w:w="1126" w:type="dxa"/>
                            <w:vMerge w:val="restart"/>
                            <w:tcBorders>
                              <w:top w:val="single" w:sz="4" w:space="0" w:color="auto"/>
                            </w:tcBorders>
                            <w:shd w:val="clear" w:color="auto" w:fill="auto"/>
                            <w:vAlign w:val="center"/>
                          </w:tcPr>
                          <w:p w14:paraId="394407C7" w14:textId="77777777" w:rsidR="0050059F" w:rsidRPr="00773D26" w:rsidRDefault="0050059F" w:rsidP="00824CD6">
                            <w:pPr>
                              <w:spacing w:line="240" w:lineRule="exact"/>
                              <w:jc w:val="both"/>
                              <w:rPr>
                                <w:rFonts w:ascii="標楷體" w:eastAsia="標楷體" w:hAnsi="標楷體"/>
                                <w:spacing w:val="-10"/>
                              </w:rPr>
                            </w:pPr>
                            <w:r w:rsidRPr="00773D26">
                              <w:rPr>
                                <w:rFonts w:ascii="標楷體" w:eastAsia="標楷體" w:hAnsi="標楷體" w:hint="eastAsia"/>
                                <w:spacing w:val="-10"/>
                              </w:rPr>
                              <w:t>修復後3</w:t>
                            </w:r>
                            <w:r w:rsidRPr="00773D26">
                              <w:rPr>
                                <w:rFonts w:ascii="標楷體" w:eastAsia="標楷體" w:hAnsi="標楷體"/>
                                <w:spacing w:val="-10"/>
                              </w:rPr>
                              <w:t>0</w:t>
                            </w:r>
                            <w:r w:rsidRPr="00773D26">
                              <w:rPr>
                                <w:rFonts w:ascii="標楷體" w:eastAsia="標楷體" w:hAnsi="標楷體" w:hint="eastAsia"/>
                                <w:spacing w:val="-10"/>
                              </w:rPr>
                              <w:t>日內仍發生故障件數</w:t>
                            </w:r>
                          </w:p>
                        </w:tc>
                      </w:tr>
                      <w:tr w:rsidR="0050059F" w14:paraId="7F09304B" w14:textId="77777777" w:rsidTr="00824CD6">
                        <w:trPr>
                          <w:trHeight w:val="255"/>
                          <w:jc w:val="center"/>
                        </w:trPr>
                        <w:tc>
                          <w:tcPr>
                            <w:tcW w:w="430" w:type="dxa"/>
                            <w:vMerge/>
                            <w:shd w:val="clear" w:color="auto" w:fill="auto"/>
                            <w:vAlign w:val="center"/>
                          </w:tcPr>
                          <w:p w14:paraId="393B932D" w14:textId="77777777" w:rsidR="0050059F" w:rsidRPr="00C071C2" w:rsidRDefault="0050059F" w:rsidP="00824CD6">
                            <w:pPr>
                              <w:spacing w:line="240" w:lineRule="exact"/>
                              <w:jc w:val="center"/>
                              <w:rPr>
                                <w:rFonts w:ascii="標楷體" w:eastAsia="標楷體" w:hAnsi="標楷體"/>
                                <w:spacing w:val="-4"/>
                              </w:rPr>
                            </w:pPr>
                          </w:p>
                        </w:tc>
                        <w:tc>
                          <w:tcPr>
                            <w:tcW w:w="1613" w:type="dxa"/>
                            <w:vMerge/>
                            <w:shd w:val="clear" w:color="auto" w:fill="auto"/>
                            <w:vAlign w:val="center"/>
                          </w:tcPr>
                          <w:p w14:paraId="3D8A057C" w14:textId="77777777" w:rsidR="0050059F" w:rsidRPr="00C071C2" w:rsidRDefault="0050059F" w:rsidP="00824CD6">
                            <w:pPr>
                              <w:spacing w:line="240" w:lineRule="exact"/>
                              <w:jc w:val="center"/>
                              <w:rPr>
                                <w:rFonts w:ascii="標楷體" w:eastAsia="標楷體" w:hAnsi="標楷體"/>
                                <w:spacing w:val="-4"/>
                              </w:rPr>
                            </w:pPr>
                          </w:p>
                        </w:tc>
                        <w:tc>
                          <w:tcPr>
                            <w:tcW w:w="934" w:type="dxa"/>
                            <w:tcBorders>
                              <w:top w:val="single" w:sz="4" w:space="0" w:color="auto"/>
                              <w:bottom w:val="single" w:sz="4" w:space="0" w:color="auto"/>
                            </w:tcBorders>
                            <w:shd w:val="clear" w:color="auto" w:fill="auto"/>
                            <w:vAlign w:val="center"/>
                          </w:tcPr>
                          <w:p w14:paraId="7301323F" w14:textId="77777777" w:rsidR="0050059F" w:rsidRDefault="0050059F" w:rsidP="00824CD6">
                            <w:pPr>
                              <w:spacing w:line="240" w:lineRule="exact"/>
                              <w:jc w:val="center"/>
                              <w:rPr>
                                <w:rFonts w:ascii="標楷體" w:eastAsia="標楷體" w:hAnsi="標楷體"/>
                                <w:spacing w:val="-4"/>
                              </w:rPr>
                            </w:pPr>
                            <w:r>
                              <w:rPr>
                                <w:rFonts w:ascii="標楷體" w:eastAsia="標楷體" w:hAnsi="標楷體" w:hint="eastAsia"/>
                                <w:spacing w:val="-4"/>
                              </w:rPr>
                              <w:t>驗收</w:t>
                            </w:r>
                          </w:p>
                          <w:p w14:paraId="0FF190AD" w14:textId="77777777" w:rsidR="0050059F" w:rsidRDefault="0050059F" w:rsidP="00824CD6">
                            <w:pPr>
                              <w:spacing w:line="240" w:lineRule="exact"/>
                              <w:jc w:val="center"/>
                              <w:rPr>
                                <w:rFonts w:ascii="標楷體" w:eastAsia="標楷體" w:hAnsi="標楷體"/>
                                <w:spacing w:val="-4"/>
                              </w:rPr>
                            </w:pPr>
                            <w:r>
                              <w:rPr>
                                <w:rFonts w:ascii="標楷體" w:eastAsia="標楷體" w:hAnsi="標楷體" w:hint="eastAsia"/>
                                <w:spacing w:val="-4"/>
                              </w:rPr>
                              <w:t>合格日</w:t>
                            </w:r>
                          </w:p>
                        </w:tc>
                        <w:tc>
                          <w:tcPr>
                            <w:tcW w:w="934" w:type="dxa"/>
                            <w:tcBorders>
                              <w:top w:val="single" w:sz="4" w:space="0" w:color="auto"/>
                              <w:bottom w:val="single" w:sz="4" w:space="0" w:color="auto"/>
                            </w:tcBorders>
                            <w:vAlign w:val="center"/>
                          </w:tcPr>
                          <w:p w14:paraId="41480501" w14:textId="77777777" w:rsidR="0050059F" w:rsidRDefault="0050059F" w:rsidP="00824CD6">
                            <w:pPr>
                              <w:spacing w:line="240" w:lineRule="exact"/>
                              <w:jc w:val="center"/>
                              <w:rPr>
                                <w:rFonts w:ascii="標楷體" w:eastAsia="標楷體" w:hAnsi="標楷體"/>
                                <w:spacing w:val="-4"/>
                              </w:rPr>
                            </w:pPr>
                            <w:r>
                              <w:rPr>
                                <w:rFonts w:ascii="標楷體" w:eastAsia="標楷體" w:hAnsi="標楷體" w:hint="eastAsia"/>
                                <w:spacing w:val="-4"/>
                              </w:rPr>
                              <w:t>故障</w:t>
                            </w:r>
                          </w:p>
                          <w:p w14:paraId="02F4CE22" w14:textId="77777777" w:rsidR="0050059F" w:rsidRDefault="0050059F" w:rsidP="00824CD6">
                            <w:pPr>
                              <w:spacing w:line="240" w:lineRule="exact"/>
                              <w:jc w:val="center"/>
                              <w:rPr>
                                <w:rFonts w:ascii="標楷體" w:eastAsia="標楷體" w:hAnsi="標楷體"/>
                                <w:spacing w:val="-4"/>
                              </w:rPr>
                            </w:pPr>
                            <w:r>
                              <w:rPr>
                                <w:rFonts w:ascii="標楷體" w:eastAsia="標楷體" w:hAnsi="標楷體" w:hint="eastAsia"/>
                                <w:spacing w:val="-4"/>
                              </w:rPr>
                              <w:t>時間</w:t>
                            </w:r>
                          </w:p>
                        </w:tc>
                        <w:tc>
                          <w:tcPr>
                            <w:tcW w:w="633" w:type="dxa"/>
                            <w:vMerge/>
                            <w:shd w:val="clear" w:color="auto" w:fill="auto"/>
                            <w:vAlign w:val="center"/>
                          </w:tcPr>
                          <w:p w14:paraId="0494AEDE" w14:textId="77777777" w:rsidR="0050059F" w:rsidRPr="00C071C2" w:rsidRDefault="0050059F" w:rsidP="00824CD6">
                            <w:pPr>
                              <w:spacing w:line="240" w:lineRule="exact"/>
                              <w:jc w:val="center"/>
                              <w:rPr>
                                <w:rFonts w:ascii="標楷體" w:eastAsia="標楷體" w:hAnsi="標楷體"/>
                                <w:spacing w:val="-4"/>
                              </w:rPr>
                            </w:pPr>
                          </w:p>
                        </w:tc>
                        <w:tc>
                          <w:tcPr>
                            <w:tcW w:w="1126" w:type="dxa"/>
                            <w:vMerge/>
                            <w:shd w:val="clear" w:color="auto" w:fill="auto"/>
                            <w:vAlign w:val="center"/>
                          </w:tcPr>
                          <w:p w14:paraId="57053D30" w14:textId="77777777" w:rsidR="0050059F" w:rsidRPr="000B2277" w:rsidRDefault="0050059F" w:rsidP="00824CD6">
                            <w:pPr>
                              <w:spacing w:line="240" w:lineRule="exact"/>
                              <w:jc w:val="both"/>
                              <w:rPr>
                                <w:rFonts w:ascii="標楷體" w:eastAsia="標楷體" w:hAnsi="標楷體"/>
                                <w:spacing w:val="-10"/>
                              </w:rPr>
                            </w:pPr>
                          </w:p>
                        </w:tc>
                      </w:tr>
                      <w:tr w:rsidR="0050059F" w:rsidRPr="006D6EB3" w14:paraId="051EDBC6" w14:textId="77777777" w:rsidTr="00824CD6">
                        <w:trPr>
                          <w:trHeight w:val="255"/>
                          <w:jc w:val="center"/>
                        </w:trPr>
                        <w:tc>
                          <w:tcPr>
                            <w:tcW w:w="2043" w:type="dxa"/>
                            <w:gridSpan w:val="2"/>
                            <w:vAlign w:val="center"/>
                          </w:tcPr>
                          <w:p w14:paraId="1E8EA44F" w14:textId="77777777" w:rsidR="0050059F" w:rsidRPr="00C071C2" w:rsidRDefault="0050059F" w:rsidP="00824CD6">
                            <w:pPr>
                              <w:spacing w:line="240" w:lineRule="exact"/>
                              <w:jc w:val="center"/>
                              <w:rPr>
                                <w:rFonts w:ascii="標楷體" w:eastAsia="標楷體" w:hAnsi="標楷體"/>
                                <w:b/>
                                <w:spacing w:val="-4"/>
                              </w:rPr>
                            </w:pPr>
                            <w:r w:rsidRPr="00C071C2">
                              <w:rPr>
                                <w:rFonts w:ascii="標楷體" w:eastAsia="標楷體" w:hAnsi="標楷體" w:hint="eastAsia"/>
                                <w:b/>
                                <w:spacing w:val="-4"/>
                              </w:rPr>
                              <w:t xml:space="preserve">合 </w:t>
                            </w:r>
                            <w:r w:rsidRPr="00C071C2">
                              <w:rPr>
                                <w:rFonts w:ascii="標楷體" w:eastAsia="標楷體" w:hAnsi="標楷體"/>
                                <w:b/>
                                <w:spacing w:val="-4"/>
                              </w:rPr>
                              <w:t xml:space="preserve">  </w:t>
                            </w:r>
                            <w:r w:rsidRPr="00C071C2">
                              <w:rPr>
                                <w:rFonts w:ascii="標楷體" w:eastAsia="標楷體" w:hAnsi="標楷體" w:hint="eastAsia"/>
                                <w:b/>
                                <w:spacing w:val="-4"/>
                              </w:rPr>
                              <w:t>計</w:t>
                            </w:r>
                          </w:p>
                        </w:tc>
                        <w:tc>
                          <w:tcPr>
                            <w:tcW w:w="1868" w:type="dxa"/>
                            <w:gridSpan w:val="2"/>
                            <w:tcBorders>
                              <w:bottom w:val="single" w:sz="4" w:space="0" w:color="auto"/>
                              <w:tl2br w:val="single" w:sz="4" w:space="0" w:color="auto"/>
                            </w:tcBorders>
                            <w:vAlign w:val="center"/>
                          </w:tcPr>
                          <w:p w14:paraId="6142364D" w14:textId="77777777" w:rsidR="0050059F" w:rsidRDefault="0050059F" w:rsidP="00824CD6">
                            <w:pPr>
                              <w:spacing w:line="240" w:lineRule="exact"/>
                              <w:jc w:val="right"/>
                              <w:rPr>
                                <w:rFonts w:ascii="標楷體" w:eastAsia="標楷體" w:hAnsi="標楷體"/>
                                <w:b/>
                                <w:spacing w:val="-12"/>
                              </w:rPr>
                            </w:pPr>
                          </w:p>
                        </w:tc>
                        <w:tc>
                          <w:tcPr>
                            <w:tcW w:w="633" w:type="dxa"/>
                            <w:vAlign w:val="center"/>
                          </w:tcPr>
                          <w:p w14:paraId="442A0C60" w14:textId="77777777" w:rsidR="0050059F" w:rsidRPr="00773D26" w:rsidRDefault="0050059F" w:rsidP="00824CD6">
                            <w:pPr>
                              <w:spacing w:line="240" w:lineRule="exact"/>
                              <w:jc w:val="right"/>
                              <w:rPr>
                                <w:rFonts w:ascii="標楷體" w:eastAsia="標楷體" w:hAnsi="標楷體"/>
                                <w:b/>
                              </w:rPr>
                            </w:pPr>
                            <w:r w:rsidRPr="00773D26">
                              <w:rPr>
                                <w:rFonts w:ascii="標楷體" w:eastAsia="標楷體" w:hAnsi="標楷體"/>
                                <w:b/>
                              </w:rPr>
                              <w:t>51</w:t>
                            </w:r>
                          </w:p>
                        </w:tc>
                        <w:tc>
                          <w:tcPr>
                            <w:tcW w:w="1126" w:type="dxa"/>
                            <w:vAlign w:val="center"/>
                          </w:tcPr>
                          <w:p w14:paraId="1C29A800" w14:textId="77777777" w:rsidR="0050059F" w:rsidRPr="00773D26" w:rsidRDefault="0050059F" w:rsidP="00824CD6">
                            <w:pPr>
                              <w:spacing w:line="240" w:lineRule="exact"/>
                              <w:jc w:val="right"/>
                              <w:rPr>
                                <w:rFonts w:ascii="標楷體" w:eastAsia="標楷體" w:hAnsi="標楷體"/>
                                <w:b/>
                              </w:rPr>
                            </w:pPr>
                            <w:r w:rsidRPr="00773D26">
                              <w:rPr>
                                <w:rFonts w:ascii="標楷體" w:eastAsia="標楷體" w:hAnsi="標楷體"/>
                                <w:b/>
                              </w:rPr>
                              <w:t>31</w:t>
                            </w:r>
                          </w:p>
                        </w:tc>
                      </w:tr>
                      <w:tr w:rsidR="0050059F" w14:paraId="7796A17E" w14:textId="77777777" w:rsidTr="00824CD6">
                        <w:trPr>
                          <w:trHeight w:val="255"/>
                          <w:jc w:val="center"/>
                        </w:trPr>
                        <w:tc>
                          <w:tcPr>
                            <w:tcW w:w="2043" w:type="dxa"/>
                            <w:gridSpan w:val="2"/>
                            <w:vAlign w:val="center"/>
                          </w:tcPr>
                          <w:p w14:paraId="0BE1F142" w14:textId="77777777" w:rsidR="0050059F" w:rsidRPr="00C071C2" w:rsidRDefault="0050059F" w:rsidP="00824CD6">
                            <w:pPr>
                              <w:spacing w:line="240" w:lineRule="exact"/>
                              <w:ind w:firstLineChars="200" w:firstLine="400"/>
                              <w:rPr>
                                <w:rFonts w:ascii="標楷體" w:eastAsia="標楷體" w:hAnsi="標楷體"/>
                              </w:rPr>
                            </w:pPr>
                            <w:proofErr w:type="gramStart"/>
                            <w:r>
                              <w:rPr>
                                <w:rFonts w:ascii="標楷體" w:eastAsia="標楷體" w:hAnsi="標楷體" w:hint="eastAsia"/>
                              </w:rPr>
                              <w:t>文湖線小計</w:t>
                            </w:r>
                            <w:proofErr w:type="gramEnd"/>
                          </w:p>
                        </w:tc>
                        <w:tc>
                          <w:tcPr>
                            <w:tcW w:w="1868" w:type="dxa"/>
                            <w:gridSpan w:val="2"/>
                            <w:tcBorders>
                              <w:tl2br w:val="single" w:sz="4" w:space="0" w:color="auto"/>
                            </w:tcBorders>
                            <w:vAlign w:val="center"/>
                          </w:tcPr>
                          <w:p w14:paraId="75F11889"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3D473C60"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hint="eastAsia"/>
                                <w:bCs/>
                              </w:rPr>
                              <w:t>2</w:t>
                            </w:r>
                            <w:r w:rsidRPr="00773D26">
                              <w:rPr>
                                <w:rFonts w:ascii="標楷體" w:eastAsia="標楷體" w:hAnsi="標楷體"/>
                                <w:bCs/>
                              </w:rPr>
                              <w:t>8</w:t>
                            </w:r>
                          </w:p>
                        </w:tc>
                        <w:tc>
                          <w:tcPr>
                            <w:tcW w:w="1126" w:type="dxa"/>
                            <w:vAlign w:val="center"/>
                          </w:tcPr>
                          <w:p w14:paraId="70E40B69"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hint="eastAsia"/>
                              </w:rPr>
                              <w:t>1</w:t>
                            </w:r>
                            <w:r w:rsidRPr="00773D26">
                              <w:rPr>
                                <w:rFonts w:ascii="標楷體" w:eastAsia="標楷體" w:hAnsi="標楷體"/>
                              </w:rPr>
                              <w:t>6</w:t>
                            </w:r>
                          </w:p>
                        </w:tc>
                      </w:tr>
                      <w:tr w:rsidR="0050059F" w14:paraId="3287ECD1" w14:textId="77777777" w:rsidTr="00824CD6">
                        <w:trPr>
                          <w:trHeight w:val="255"/>
                          <w:jc w:val="center"/>
                        </w:trPr>
                        <w:tc>
                          <w:tcPr>
                            <w:tcW w:w="430" w:type="dxa"/>
                            <w:vAlign w:val="center"/>
                          </w:tcPr>
                          <w:p w14:paraId="68BE63C5"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1</w:t>
                            </w:r>
                          </w:p>
                        </w:tc>
                        <w:tc>
                          <w:tcPr>
                            <w:tcW w:w="1613" w:type="dxa"/>
                            <w:vAlign w:val="center"/>
                          </w:tcPr>
                          <w:p w14:paraId="6B06664A"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東湖站</w:t>
                            </w:r>
                          </w:p>
                        </w:tc>
                        <w:tc>
                          <w:tcPr>
                            <w:tcW w:w="934" w:type="dxa"/>
                            <w:vMerge w:val="restart"/>
                            <w:vAlign w:val="center"/>
                          </w:tcPr>
                          <w:p w14:paraId="6F8F0A09" w14:textId="77777777" w:rsidR="0050059F" w:rsidRPr="00773D26" w:rsidRDefault="0050059F" w:rsidP="00824CD6">
                            <w:pPr>
                              <w:spacing w:line="240" w:lineRule="exact"/>
                              <w:jc w:val="center"/>
                              <w:rPr>
                                <w:rFonts w:ascii="標楷體" w:eastAsia="標楷體" w:hAnsi="標楷體"/>
                                <w:spacing w:val="-10"/>
                              </w:rPr>
                            </w:pPr>
                            <w:r w:rsidRPr="00773D26">
                              <w:rPr>
                                <w:rFonts w:ascii="標楷體" w:eastAsia="標楷體" w:hAnsi="標楷體"/>
                                <w:spacing w:val="-10"/>
                              </w:rPr>
                              <w:t>112</w:t>
                            </w:r>
                            <w:r w:rsidRPr="00773D26">
                              <w:rPr>
                                <w:rFonts w:ascii="標楷體" w:eastAsia="標楷體" w:hAnsi="標楷體" w:hint="eastAsia"/>
                                <w:spacing w:val="-10"/>
                              </w:rPr>
                              <w:t>年</w:t>
                            </w:r>
                          </w:p>
                          <w:p w14:paraId="5D80DD80" w14:textId="77777777" w:rsidR="0050059F" w:rsidRPr="00A6693B" w:rsidRDefault="0050059F" w:rsidP="00824CD6">
                            <w:pPr>
                              <w:spacing w:line="240" w:lineRule="exact"/>
                              <w:jc w:val="center"/>
                              <w:rPr>
                                <w:rFonts w:ascii="標楷體" w:eastAsia="標楷體" w:hAnsi="標楷體"/>
                                <w:spacing w:val="-26"/>
                              </w:rPr>
                            </w:pPr>
                            <w:r w:rsidRPr="00A6693B">
                              <w:rPr>
                                <w:rFonts w:ascii="標楷體" w:eastAsia="標楷體" w:hAnsi="標楷體"/>
                                <w:spacing w:val="-26"/>
                              </w:rPr>
                              <w:t>12</w:t>
                            </w:r>
                            <w:r w:rsidRPr="00A6693B">
                              <w:rPr>
                                <w:rFonts w:ascii="標楷體" w:eastAsia="標楷體" w:hAnsi="標楷體" w:hint="eastAsia"/>
                                <w:spacing w:val="-26"/>
                              </w:rPr>
                              <w:t>月</w:t>
                            </w:r>
                            <w:r w:rsidRPr="00A6693B">
                              <w:rPr>
                                <w:rFonts w:ascii="標楷體" w:eastAsia="標楷體" w:hAnsi="標楷體"/>
                                <w:spacing w:val="-26"/>
                              </w:rPr>
                              <w:t>12</w:t>
                            </w:r>
                            <w:r w:rsidRPr="00A6693B">
                              <w:rPr>
                                <w:rFonts w:ascii="標楷體" w:eastAsia="標楷體" w:hAnsi="標楷體" w:hint="eastAsia"/>
                                <w:spacing w:val="-26"/>
                              </w:rPr>
                              <w:t>日</w:t>
                            </w:r>
                          </w:p>
                        </w:tc>
                        <w:tc>
                          <w:tcPr>
                            <w:tcW w:w="934" w:type="dxa"/>
                            <w:vMerge w:val="restart"/>
                            <w:vAlign w:val="center"/>
                          </w:tcPr>
                          <w:p w14:paraId="33BE566F" w14:textId="77777777" w:rsidR="0050059F" w:rsidRPr="00773D26" w:rsidRDefault="0050059F" w:rsidP="00824CD6">
                            <w:pPr>
                              <w:spacing w:line="240" w:lineRule="exact"/>
                              <w:jc w:val="center"/>
                              <w:rPr>
                                <w:rFonts w:ascii="標楷體" w:eastAsia="標楷體" w:hAnsi="標楷體"/>
                                <w:spacing w:val="-10"/>
                              </w:rPr>
                            </w:pPr>
                            <w:r w:rsidRPr="00773D26">
                              <w:rPr>
                                <w:rFonts w:ascii="標楷體" w:eastAsia="標楷體" w:hAnsi="標楷體"/>
                                <w:spacing w:val="-10"/>
                              </w:rPr>
                              <w:t>113</w:t>
                            </w:r>
                            <w:r w:rsidRPr="00773D26">
                              <w:rPr>
                                <w:rFonts w:ascii="標楷體" w:eastAsia="標楷體" w:hAnsi="標楷體" w:hint="eastAsia"/>
                                <w:spacing w:val="-10"/>
                              </w:rPr>
                              <w:t>年</w:t>
                            </w:r>
                          </w:p>
                          <w:p w14:paraId="2806BF7C" w14:textId="77777777" w:rsidR="0050059F" w:rsidRDefault="0050059F" w:rsidP="00824CD6">
                            <w:pPr>
                              <w:spacing w:line="240" w:lineRule="exact"/>
                              <w:jc w:val="center"/>
                              <w:rPr>
                                <w:rFonts w:ascii="標楷體" w:eastAsia="標楷體" w:hAnsi="標楷體"/>
                                <w:bCs/>
                                <w:spacing w:val="-12"/>
                              </w:rPr>
                            </w:pPr>
                            <w:r w:rsidRPr="00A6693B">
                              <w:rPr>
                                <w:rFonts w:ascii="標楷體" w:eastAsia="標楷體" w:hAnsi="標楷體"/>
                                <w:spacing w:val="-26"/>
                              </w:rPr>
                              <w:t>1</w:t>
                            </w:r>
                            <w:r w:rsidRPr="00A6693B">
                              <w:rPr>
                                <w:rFonts w:ascii="標楷體" w:eastAsia="標楷體" w:hAnsi="標楷體" w:hint="eastAsia"/>
                                <w:spacing w:val="-26"/>
                              </w:rPr>
                              <w:t>月</w:t>
                            </w:r>
                            <w:r>
                              <w:rPr>
                                <w:rFonts w:ascii="標楷體" w:eastAsia="標楷體" w:hAnsi="標楷體" w:hint="eastAsia"/>
                                <w:spacing w:val="-26"/>
                              </w:rPr>
                              <w:t>至8月</w:t>
                            </w:r>
                          </w:p>
                        </w:tc>
                        <w:tc>
                          <w:tcPr>
                            <w:tcW w:w="633" w:type="dxa"/>
                            <w:vAlign w:val="center"/>
                          </w:tcPr>
                          <w:p w14:paraId="25ECC5C0"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9</w:t>
                            </w:r>
                          </w:p>
                        </w:tc>
                        <w:tc>
                          <w:tcPr>
                            <w:tcW w:w="1126" w:type="dxa"/>
                            <w:vAlign w:val="center"/>
                          </w:tcPr>
                          <w:p w14:paraId="076B1817"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4</w:t>
                            </w:r>
                          </w:p>
                        </w:tc>
                      </w:tr>
                      <w:tr w:rsidR="0050059F" w14:paraId="18493380" w14:textId="77777777" w:rsidTr="00824CD6">
                        <w:trPr>
                          <w:trHeight w:val="255"/>
                          <w:jc w:val="center"/>
                        </w:trPr>
                        <w:tc>
                          <w:tcPr>
                            <w:tcW w:w="430" w:type="dxa"/>
                            <w:vAlign w:val="center"/>
                          </w:tcPr>
                          <w:p w14:paraId="2394EC30"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2</w:t>
                            </w:r>
                          </w:p>
                        </w:tc>
                        <w:tc>
                          <w:tcPr>
                            <w:tcW w:w="1613" w:type="dxa"/>
                            <w:vAlign w:val="center"/>
                          </w:tcPr>
                          <w:p w14:paraId="2335B43F"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港墘站</w:t>
                            </w:r>
                          </w:p>
                        </w:tc>
                        <w:tc>
                          <w:tcPr>
                            <w:tcW w:w="934" w:type="dxa"/>
                            <w:vMerge/>
                            <w:vAlign w:val="center"/>
                          </w:tcPr>
                          <w:p w14:paraId="5E50A150" w14:textId="77777777" w:rsidR="0050059F" w:rsidRPr="00C071C2" w:rsidRDefault="0050059F" w:rsidP="00824CD6">
                            <w:pPr>
                              <w:spacing w:line="240" w:lineRule="exact"/>
                              <w:jc w:val="center"/>
                              <w:rPr>
                                <w:rFonts w:ascii="標楷體" w:eastAsia="標楷體" w:hAnsi="標楷體"/>
                              </w:rPr>
                            </w:pPr>
                          </w:p>
                        </w:tc>
                        <w:tc>
                          <w:tcPr>
                            <w:tcW w:w="934" w:type="dxa"/>
                            <w:vMerge/>
                          </w:tcPr>
                          <w:p w14:paraId="56495E64"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57B7047C"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7</w:t>
                            </w:r>
                          </w:p>
                        </w:tc>
                        <w:tc>
                          <w:tcPr>
                            <w:tcW w:w="1126" w:type="dxa"/>
                            <w:vAlign w:val="center"/>
                          </w:tcPr>
                          <w:p w14:paraId="2333E0F1"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4</w:t>
                            </w:r>
                          </w:p>
                        </w:tc>
                      </w:tr>
                      <w:tr w:rsidR="0050059F" w14:paraId="3D97A671" w14:textId="77777777" w:rsidTr="00824CD6">
                        <w:trPr>
                          <w:trHeight w:val="255"/>
                          <w:jc w:val="center"/>
                        </w:trPr>
                        <w:tc>
                          <w:tcPr>
                            <w:tcW w:w="430" w:type="dxa"/>
                            <w:vAlign w:val="center"/>
                          </w:tcPr>
                          <w:p w14:paraId="4B4986F2"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3</w:t>
                            </w:r>
                          </w:p>
                        </w:tc>
                        <w:tc>
                          <w:tcPr>
                            <w:tcW w:w="1613" w:type="dxa"/>
                            <w:vAlign w:val="center"/>
                          </w:tcPr>
                          <w:p w14:paraId="5ECADCC3" w14:textId="77777777" w:rsidR="0050059F" w:rsidRPr="00C071C2" w:rsidRDefault="0050059F" w:rsidP="00824CD6">
                            <w:pPr>
                              <w:spacing w:line="240" w:lineRule="exact"/>
                              <w:rPr>
                                <w:rFonts w:ascii="標楷體" w:eastAsia="標楷體" w:hAnsi="標楷體"/>
                              </w:rPr>
                            </w:pPr>
                            <w:proofErr w:type="gramStart"/>
                            <w:r w:rsidRPr="00C071C2">
                              <w:rPr>
                                <w:rFonts w:ascii="標楷體" w:eastAsia="標楷體" w:hAnsi="標楷體" w:hint="eastAsia"/>
                              </w:rPr>
                              <w:t>葫洲站</w:t>
                            </w:r>
                            <w:proofErr w:type="gramEnd"/>
                          </w:p>
                        </w:tc>
                        <w:tc>
                          <w:tcPr>
                            <w:tcW w:w="934" w:type="dxa"/>
                            <w:vMerge/>
                            <w:vAlign w:val="center"/>
                          </w:tcPr>
                          <w:p w14:paraId="2783FF6E" w14:textId="77777777" w:rsidR="0050059F" w:rsidRPr="00C071C2" w:rsidRDefault="0050059F" w:rsidP="00824CD6">
                            <w:pPr>
                              <w:spacing w:line="240" w:lineRule="exact"/>
                              <w:jc w:val="center"/>
                              <w:rPr>
                                <w:rFonts w:ascii="標楷體" w:eastAsia="標楷體" w:hAnsi="標楷體"/>
                              </w:rPr>
                            </w:pPr>
                          </w:p>
                        </w:tc>
                        <w:tc>
                          <w:tcPr>
                            <w:tcW w:w="934" w:type="dxa"/>
                            <w:vMerge/>
                          </w:tcPr>
                          <w:p w14:paraId="0DEAE998"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08101C67"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5</w:t>
                            </w:r>
                          </w:p>
                        </w:tc>
                        <w:tc>
                          <w:tcPr>
                            <w:tcW w:w="1126" w:type="dxa"/>
                            <w:vAlign w:val="center"/>
                          </w:tcPr>
                          <w:p w14:paraId="6D1E4706"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4</w:t>
                            </w:r>
                          </w:p>
                        </w:tc>
                      </w:tr>
                      <w:tr w:rsidR="0050059F" w14:paraId="464319D4" w14:textId="77777777" w:rsidTr="00824CD6">
                        <w:trPr>
                          <w:trHeight w:val="255"/>
                          <w:jc w:val="center"/>
                        </w:trPr>
                        <w:tc>
                          <w:tcPr>
                            <w:tcW w:w="430" w:type="dxa"/>
                            <w:vAlign w:val="center"/>
                          </w:tcPr>
                          <w:p w14:paraId="7DD9213A"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4</w:t>
                            </w:r>
                          </w:p>
                        </w:tc>
                        <w:tc>
                          <w:tcPr>
                            <w:tcW w:w="1613" w:type="dxa"/>
                            <w:vAlign w:val="center"/>
                          </w:tcPr>
                          <w:p w14:paraId="0DDCA8A8"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文德站</w:t>
                            </w:r>
                          </w:p>
                        </w:tc>
                        <w:tc>
                          <w:tcPr>
                            <w:tcW w:w="934" w:type="dxa"/>
                            <w:vMerge/>
                            <w:vAlign w:val="center"/>
                          </w:tcPr>
                          <w:p w14:paraId="653EEECD" w14:textId="77777777" w:rsidR="0050059F" w:rsidRPr="00C071C2" w:rsidRDefault="0050059F" w:rsidP="00824CD6">
                            <w:pPr>
                              <w:spacing w:line="240" w:lineRule="exact"/>
                              <w:jc w:val="center"/>
                              <w:rPr>
                                <w:rFonts w:ascii="標楷體" w:eastAsia="標楷體" w:hAnsi="標楷體"/>
                              </w:rPr>
                            </w:pPr>
                          </w:p>
                        </w:tc>
                        <w:tc>
                          <w:tcPr>
                            <w:tcW w:w="934" w:type="dxa"/>
                            <w:vMerge/>
                          </w:tcPr>
                          <w:p w14:paraId="3A5C0A09"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77F9D3C2"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5</w:t>
                            </w:r>
                          </w:p>
                        </w:tc>
                        <w:tc>
                          <w:tcPr>
                            <w:tcW w:w="1126" w:type="dxa"/>
                            <w:vAlign w:val="center"/>
                          </w:tcPr>
                          <w:p w14:paraId="463DA72C"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2</w:t>
                            </w:r>
                          </w:p>
                        </w:tc>
                      </w:tr>
                      <w:tr w:rsidR="0050059F" w14:paraId="4D63A2CA" w14:textId="77777777" w:rsidTr="00824CD6">
                        <w:trPr>
                          <w:trHeight w:val="255"/>
                          <w:jc w:val="center"/>
                        </w:trPr>
                        <w:tc>
                          <w:tcPr>
                            <w:tcW w:w="430" w:type="dxa"/>
                            <w:vAlign w:val="center"/>
                          </w:tcPr>
                          <w:p w14:paraId="1742A180" w14:textId="77777777" w:rsidR="0050059F" w:rsidRPr="00C071C2" w:rsidRDefault="0050059F" w:rsidP="00824CD6">
                            <w:pPr>
                              <w:spacing w:line="240" w:lineRule="exact"/>
                              <w:jc w:val="center"/>
                              <w:rPr>
                                <w:rFonts w:ascii="標楷體" w:eastAsia="標楷體" w:hAnsi="標楷體"/>
                                <w:spacing w:val="-4"/>
                              </w:rPr>
                            </w:pPr>
                            <w:r w:rsidRPr="00C071C2">
                              <w:rPr>
                                <w:rFonts w:ascii="標楷體" w:eastAsia="標楷體" w:hAnsi="標楷體" w:hint="eastAsia"/>
                                <w:spacing w:val="-4"/>
                              </w:rPr>
                              <w:t>5</w:t>
                            </w:r>
                          </w:p>
                        </w:tc>
                        <w:tc>
                          <w:tcPr>
                            <w:tcW w:w="1613" w:type="dxa"/>
                            <w:vAlign w:val="center"/>
                          </w:tcPr>
                          <w:p w14:paraId="723A69EA" w14:textId="77777777" w:rsidR="0050059F" w:rsidRPr="00773D26" w:rsidRDefault="0050059F" w:rsidP="00824CD6">
                            <w:pPr>
                              <w:spacing w:line="240" w:lineRule="exact"/>
                              <w:rPr>
                                <w:rFonts w:ascii="標楷體" w:eastAsia="標楷體" w:hAnsi="標楷體"/>
                                <w:spacing w:val="-2"/>
                              </w:rPr>
                            </w:pPr>
                            <w:r w:rsidRPr="00773D26">
                              <w:rPr>
                                <w:rFonts w:ascii="標楷體" w:eastAsia="標楷體" w:hAnsi="標楷體" w:hint="eastAsia"/>
                                <w:spacing w:val="-2"/>
                              </w:rPr>
                              <w:t>南港軟體園區站</w:t>
                            </w:r>
                          </w:p>
                        </w:tc>
                        <w:tc>
                          <w:tcPr>
                            <w:tcW w:w="934" w:type="dxa"/>
                            <w:vMerge/>
                            <w:tcBorders>
                              <w:bottom w:val="single" w:sz="4" w:space="0" w:color="auto"/>
                            </w:tcBorders>
                            <w:vAlign w:val="center"/>
                          </w:tcPr>
                          <w:p w14:paraId="45FE1B9C" w14:textId="77777777" w:rsidR="0050059F" w:rsidRPr="00C071C2" w:rsidRDefault="0050059F" w:rsidP="00824CD6">
                            <w:pPr>
                              <w:spacing w:line="240" w:lineRule="exact"/>
                              <w:jc w:val="center"/>
                              <w:rPr>
                                <w:rFonts w:ascii="標楷體" w:eastAsia="標楷體" w:hAnsi="標楷體"/>
                              </w:rPr>
                            </w:pPr>
                          </w:p>
                        </w:tc>
                        <w:tc>
                          <w:tcPr>
                            <w:tcW w:w="934" w:type="dxa"/>
                            <w:vMerge/>
                            <w:tcBorders>
                              <w:bottom w:val="single" w:sz="4" w:space="0" w:color="auto"/>
                            </w:tcBorders>
                          </w:tcPr>
                          <w:p w14:paraId="40761533"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0D182417"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2</w:t>
                            </w:r>
                          </w:p>
                        </w:tc>
                        <w:tc>
                          <w:tcPr>
                            <w:tcW w:w="1126" w:type="dxa"/>
                            <w:vAlign w:val="center"/>
                          </w:tcPr>
                          <w:p w14:paraId="722D42AC"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2</w:t>
                            </w:r>
                          </w:p>
                        </w:tc>
                      </w:tr>
                      <w:tr w:rsidR="0050059F" w14:paraId="17E6C892" w14:textId="77777777" w:rsidTr="00824CD6">
                        <w:trPr>
                          <w:trHeight w:val="255"/>
                          <w:jc w:val="center"/>
                        </w:trPr>
                        <w:tc>
                          <w:tcPr>
                            <w:tcW w:w="2043" w:type="dxa"/>
                            <w:gridSpan w:val="2"/>
                            <w:vAlign w:val="center"/>
                          </w:tcPr>
                          <w:p w14:paraId="02690537" w14:textId="77777777" w:rsidR="0050059F" w:rsidRPr="00C071C2" w:rsidRDefault="0050059F" w:rsidP="00824CD6">
                            <w:pPr>
                              <w:spacing w:line="240" w:lineRule="exact"/>
                              <w:ind w:firstLineChars="200" w:firstLine="400"/>
                              <w:rPr>
                                <w:rFonts w:ascii="標楷體" w:eastAsia="標楷體" w:hAnsi="標楷體"/>
                              </w:rPr>
                            </w:pPr>
                            <w:r>
                              <w:rPr>
                                <w:rFonts w:ascii="標楷體" w:eastAsia="標楷體" w:hAnsi="標楷體" w:hint="eastAsia"/>
                              </w:rPr>
                              <w:t>板南線小計</w:t>
                            </w:r>
                          </w:p>
                        </w:tc>
                        <w:tc>
                          <w:tcPr>
                            <w:tcW w:w="1868" w:type="dxa"/>
                            <w:gridSpan w:val="2"/>
                            <w:tcBorders>
                              <w:tl2br w:val="single" w:sz="4" w:space="0" w:color="auto"/>
                            </w:tcBorders>
                            <w:vAlign w:val="center"/>
                          </w:tcPr>
                          <w:p w14:paraId="11F9BCB1"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34C87E23"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hint="eastAsia"/>
                                <w:bCs/>
                              </w:rPr>
                              <w:t>2</w:t>
                            </w:r>
                            <w:r w:rsidRPr="00773D26">
                              <w:rPr>
                                <w:rFonts w:ascii="標楷體" w:eastAsia="標楷體" w:hAnsi="標楷體"/>
                                <w:bCs/>
                              </w:rPr>
                              <w:t>3</w:t>
                            </w:r>
                          </w:p>
                        </w:tc>
                        <w:tc>
                          <w:tcPr>
                            <w:tcW w:w="1126" w:type="dxa"/>
                            <w:vAlign w:val="center"/>
                          </w:tcPr>
                          <w:p w14:paraId="0A9BD92A"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hint="eastAsia"/>
                              </w:rPr>
                              <w:t>1</w:t>
                            </w:r>
                            <w:r w:rsidRPr="00773D26">
                              <w:rPr>
                                <w:rFonts w:ascii="標楷體" w:eastAsia="標楷體" w:hAnsi="標楷體"/>
                              </w:rPr>
                              <w:t>5</w:t>
                            </w:r>
                          </w:p>
                        </w:tc>
                      </w:tr>
                      <w:tr w:rsidR="0050059F" w14:paraId="1317978C" w14:textId="77777777" w:rsidTr="00824CD6">
                        <w:trPr>
                          <w:trHeight w:val="255"/>
                          <w:jc w:val="center"/>
                        </w:trPr>
                        <w:tc>
                          <w:tcPr>
                            <w:tcW w:w="430" w:type="dxa"/>
                            <w:vAlign w:val="center"/>
                          </w:tcPr>
                          <w:p w14:paraId="0BA9583E"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6</w:t>
                            </w:r>
                          </w:p>
                        </w:tc>
                        <w:tc>
                          <w:tcPr>
                            <w:tcW w:w="1613" w:type="dxa"/>
                            <w:vAlign w:val="center"/>
                          </w:tcPr>
                          <w:p w14:paraId="7AAAF5C5"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國父紀念館站</w:t>
                            </w:r>
                          </w:p>
                        </w:tc>
                        <w:tc>
                          <w:tcPr>
                            <w:tcW w:w="934" w:type="dxa"/>
                            <w:vMerge w:val="restart"/>
                            <w:vAlign w:val="center"/>
                          </w:tcPr>
                          <w:p w14:paraId="0BA39010" w14:textId="77777777" w:rsidR="0050059F" w:rsidRPr="00773D26" w:rsidRDefault="0050059F" w:rsidP="00824CD6">
                            <w:pPr>
                              <w:spacing w:line="240" w:lineRule="exact"/>
                              <w:jc w:val="center"/>
                              <w:rPr>
                                <w:rFonts w:ascii="標楷體" w:eastAsia="標楷體" w:hAnsi="標楷體"/>
                                <w:spacing w:val="-10"/>
                              </w:rPr>
                            </w:pPr>
                            <w:r w:rsidRPr="00773D26">
                              <w:rPr>
                                <w:rFonts w:ascii="標楷體" w:eastAsia="標楷體" w:hAnsi="標楷體"/>
                                <w:spacing w:val="-10"/>
                              </w:rPr>
                              <w:t>113</w:t>
                            </w:r>
                            <w:r w:rsidRPr="00773D26">
                              <w:rPr>
                                <w:rFonts w:ascii="標楷體" w:eastAsia="標楷體" w:hAnsi="標楷體" w:hint="eastAsia"/>
                                <w:spacing w:val="-10"/>
                              </w:rPr>
                              <w:t>年</w:t>
                            </w:r>
                          </w:p>
                          <w:p w14:paraId="1CDA7547" w14:textId="77777777" w:rsidR="0050059F" w:rsidRPr="00C071C2" w:rsidRDefault="0050059F" w:rsidP="00824CD6">
                            <w:pPr>
                              <w:spacing w:line="240" w:lineRule="exact"/>
                              <w:jc w:val="center"/>
                              <w:rPr>
                                <w:rFonts w:ascii="標楷體" w:eastAsia="標楷體" w:hAnsi="標楷體"/>
                              </w:rPr>
                            </w:pPr>
                            <w:r>
                              <w:rPr>
                                <w:rFonts w:ascii="標楷體" w:eastAsia="標楷體" w:hAnsi="標楷體" w:hint="eastAsia"/>
                                <w:spacing w:val="-26"/>
                              </w:rPr>
                              <w:t>6</w:t>
                            </w:r>
                            <w:r w:rsidRPr="00A6693B">
                              <w:rPr>
                                <w:rFonts w:ascii="標楷體" w:eastAsia="標楷體" w:hAnsi="標楷體" w:hint="eastAsia"/>
                                <w:spacing w:val="-26"/>
                              </w:rPr>
                              <w:t>月</w:t>
                            </w:r>
                            <w:r w:rsidRPr="00A6693B">
                              <w:rPr>
                                <w:rFonts w:ascii="標楷體" w:eastAsia="標楷體" w:hAnsi="標楷體"/>
                                <w:spacing w:val="-26"/>
                              </w:rPr>
                              <w:t>1</w:t>
                            </w:r>
                            <w:r>
                              <w:rPr>
                                <w:rFonts w:ascii="標楷體" w:eastAsia="標楷體" w:hAnsi="標楷體"/>
                                <w:spacing w:val="-26"/>
                              </w:rPr>
                              <w:t>1</w:t>
                            </w:r>
                            <w:r w:rsidRPr="00A6693B">
                              <w:rPr>
                                <w:rFonts w:ascii="標楷體" w:eastAsia="標楷體" w:hAnsi="標楷體" w:hint="eastAsia"/>
                                <w:spacing w:val="-26"/>
                              </w:rPr>
                              <w:t>日</w:t>
                            </w:r>
                          </w:p>
                        </w:tc>
                        <w:tc>
                          <w:tcPr>
                            <w:tcW w:w="934" w:type="dxa"/>
                            <w:vMerge w:val="restart"/>
                            <w:vAlign w:val="center"/>
                          </w:tcPr>
                          <w:p w14:paraId="03D1F8DE" w14:textId="77777777" w:rsidR="0050059F" w:rsidRPr="00773D26" w:rsidRDefault="0050059F" w:rsidP="00824CD6">
                            <w:pPr>
                              <w:spacing w:line="240" w:lineRule="exact"/>
                              <w:jc w:val="center"/>
                              <w:rPr>
                                <w:rFonts w:ascii="標楷體" w:eastAsia="標楷體" w:hAnsi="標楷體"/>
                                <w:spacing w:val="-10"/>
                              </w:rPr>
                            </w:pPr>
                            <w:r w:rsidRPr="00773D26">
                              <w:rPr>
                                <w:rFonts w:ascii="標楷體" w:eastAsia="標楷體" w:hAnsi="標楷體"/>
                                <w:spacing w:val="-10"/>
                              </w:rPr>
                              <w:t>113</w:t>
                            </w:r>
                            <w:r w:rsidRPr="00773D26">
                              <w:rPr>
                                <w:rFonts w:ascii="標楷體" w:eastAsia="標楷體" w:hAnsi="標楷體" w:hint="eastAsia"/>
                                <w:spacing w:val="-10"/>
                              </w:rPr>
                              <w:t>年</w:t>
                            </w:r>
                          </w:p>
                          <w:p w14:paraId="2945087C" w14:textId="77777777" w:rsidR="0050059F" w:rsidRDefault="0050059F" w:rsidP="00824CD6">
                            <w:pPr>
                              <w:spacing w:line="240" w:lineRule="exact"/>
                              <w:jc w:val="center"/>
                              <w:rPr>
                                <w:rFonts w:ascii="標楷體" w:eastAsia="標楷體" w:hAnsi="標楷體"/>
                                <w:bCs/>
                                <w:spacing w:val="-12"/>
                              </w:rPr>
                            </w:pPr>
                            <w:r>
                              <w:rPr>
                                <w:rFonts w:ascii="標楷體" w:eastAsia="標楷體" w:hAnsi="標楷體" w:hint="eastAsia"/>
                                <w:spacing w:val="-26"/>
                              </w:rPr>
                              <w:t>6</w:t>
                            </w:r>
                            <w:r w:rsidRPr="00A6693B">
                              <w:rPr>
                                <w:rFonts w:ascii="標楷體" w:eastAsia="標楷體" w:hAnsi="標楷體" w:hint="eastAsia"/>
                                <w:spacing w:val="-26"/>
                              </w:rPr>
                              <w:t>月</w:t>
                            </w:r>
                            <w:r>
                              <w:rPr>
                                <w:rFonts w:ascii="標楷體" w:eastAsia="標楷體" w:hAnsi="標楷體" w:hint="eastAsia"/>
                                <w:spacing w:val="-26"/>
                              </w:rPr>
                              <w:t>至8月</w:t>
                            </w:r>
                          </w:p>
                        </w:tc>
                        <w:tc>
                          <w:tcPr>
                            <w:tcW w:w="633" w:type="dxa"/>
                            <w:vAlign w:val="center"/>
                          </w:tcPr>
                          <w:p w14:paraId="58633A7D"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2</w:t>
                            </w:r>
                          </w:p>
                        </w:tc>
                        <w:tc>
                          <w:tcPr>
                            <w:tcW w:w="1126" w:type="dxa"/>
                            <w:vAlign w:val="center"/>
                          </w:tcPr>
                          <w:p w14:paraId="71C7A526"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hint="eastAsia"/>
                              </w:rPr>
                              <w:t>－</w:t>
                            </w:r>
                          </w:p>
                        </w:tc>
                      </w:tr>
                      <w:tr w:rsidR="0050059F" w14:paraId="22F951CC" w14:textId="77777777" w:rsidTr="00824CD6">
                        <w:trPr>
                          <w:trHeight w:val="255"/>
                          <w:jc w:val="center"/>
                        </w:trPr>
                        <w:tc>
                          <w:tcPr>
                            <w:tcW w:w="430" w:type="dxa"/>
                            <w:vAlign w:val="center"/>
                          </w:tcPr>
                          <w:p w14:paraId="0B1D8957"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7</w:t>
                            </w:r>
                          </w:p>
                        </w:tc>
                        <w:tc>
                          <w:tcPr>
                            <w:tcW w:w="1613" w:type="dxa"/>
                            <w:vAlign w:val="center"/>
                          </w:tcPr>
                          <w:p w14:paraId="072A79EB"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昆陽站</w:t>
                            </w:r>
                          </w:p>
                        </w:tc>
                        <w:tc>
                          <w:tcPr>
                            <w:tcW w:w="934" w:type="dxa"/>
                            <w:vMerge/>
                            <w:vAlign w:val="center"/>
                          </w:tcPr>
                          <w:p w14:paraId="0393DF67" w14:textId="77777777" w:rsidR="0050059F" w:rsidRPr="00C071C2" w:rsidRDefault="0050059F" w:rsidP="00824CD6">
                            <w:pPr>
                              <w:spacing w:line="240" w:lineRule="exact"/>
                              <w:jc w:val="center"/>
                              <w:rPr>
                                <w:rFonts w:ascii="標楷體" w:eastAsia="標楷體" w:hAnsi="標楷體"/>
                              </w:rPr>
                            </w:pPr>
                          </w:p>
                        </w:tc>
                        <w:tc>
                          <w:tcPr>
                            <w:tcW w:w="934" w:type="dxa"/>
                            <w:vMerge/>
                          </w:tcPr>
                          <w:p w14:paraId="5AEE1A47"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7B7307E8"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4</w:t>
                            </w:r>
                          </w:p>
                        </w:tc>
                        <w:tc>
                          <w:tcPr>
                            <w:tcW w:w="1126" w:type="dxa"/>
                            <w:vAlign w:val="center"/>
                          </w:tcPr>
                          <w:p w14:paraId="070341A0"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3</w:t>
                            </w:r>
                          </w:p>
                        </w:tc>
                      </w:tr>
                      <w:tr w:rsidR="0050059F" w14:paraId="4349AAA8" w14:textId="77777777" w:rsidTr="00824CD6">
                        <w:trPr>
                          <w:trHeight w:val="255"/>
                          <w:jc w:val="center"/>
                        </w:trPr>
                        <w:tc>
                          <w:tcPr>
                            <w:tcW w:w="430" w:type="dxa"/>
                            <w:vAlign w:val="center"/>
                          </w:tcPr>
                          <w:p w14:paraId="51C3BB33"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8</w:t>
                            </w:r>
                          </w:p>
                        </w:tc>
                        <w:tc>
                          <w:tcPr>
                            <w:tcW w:w="1613" w:type="dxa"/>
                            <w:vAlign w:val="center"/>
                          </w:tcPr>
                          <w:p w14:paraId="5CF1874A" w14:textId="77777777" w:rsidR="0050059F" w:rsidRPr="00C071C2" w:rsidRDefault="0050059F" w:rsidP="00824CD6">
                            <w:pPr>
                              <w:spacing w:line="240" w:lineRule="exact"/>
                              <w:rPr>
                                <w:rFonts w:ascii="標楷體" w:eastAsia="標楷體" w:hAnsi="標楷體"/>
                              </w:rPr>
                            </w:pPr>
                            <w:proofErr w:type="gramStart"/>
                            <w:r w:rsidRPr="00C071C2">
                              <w:rPr>
                                <w:rFonts w:ascii="標楷體" w:eastAsia="標楷體" w:hAnsi="標楷體" w:hint="eastAsia"/>
                              </w:rPr>
                              <w:t>永春站</w:t>
                            </w:r>
                            <w:proofErr w:type="gramEnd"/>
                          </w:p>
                        </w:tc>
                        <w:tc>
                          <w:tcPr>
                            <w:tcW w:w="934" w:type="dxa"/>
                            <w:vMerge/>
                            <w:vAlign w:val="center"/>
                          </w:tcPr>
                          <w:p w14:paraId="38E01413" w14:textId="77777777" w:rsidR="0050059F" w:rsidRPr="00C071C2" w:rsidRDefault="0050059F" w:rsidP="00824CD6">
                            <w:pPr>
                              <w:spacing w:line="240" w:lineRule="exact"/>
                              <w:jc w:val="center"/>
                              <w:rPr>
                                <w:rFonts w:ascii="標楷體" w:eastAsia="標楷體" w:hAnsi="標楷體"/>
                              </w:rPr>
                            </w:pPr>
                          </w:p>
                        </w:tc>
                        <w:tc>
                          <w:tcPr>
                            <w:tcW w:w="934" w:type="dxa"/>
                            <w:vMerge/>
                          </w:tcPr>
                          <w:p w14:paraId="076EEFDA"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45F43498"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bCs/>
                              </w:rPr>
                              <w:t>9</w:t>
                            </w:r>
                          </w:p>
                        </w:tc>
                        <w:tc>
                          <w:tcPr>
                            <w:tcW w:w="1126" w:type="dxa"/>
                            <w:vAlign w:val="center"/>
                          </w:tcPr>
                          <w:p w14:paraId="4492801D"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rPr>
                              <w:t>7</w:t>
                            </w:r>
                          </w:p>
                        </w:tc>
                      </w:tr>
                      <w:tr w:rsidR="0050059F" w14:paraId="63875EB8" w14:textId="77777777" w:rsidTr="00824CD6">
                        <w:trPr>
                          <w:trHeight w:val="255"/>
                          <w:jc w:val="center"/>
                        </w:trPr>
                        <w:tc>
                          <w:tcPr>
                            <w:tcW w:w="430" w:type="dxa"/>
                            <w:vAlign w:val="center"/>
                          </w:tcPr>
                          <w:p w14:paraId="7C24CBDD"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9</w:t>
                            </w:r>
                          </w:p>
                        </w:tc>
                        <w:tc>
                          <w:tcPr>
                            <w:tcW w:w="1613" w:type="dxa"/>
                            <w:vAlign w:val="center"/>
                          </w:tcPr>
                          <w:p w14:paraId="2AADDF83"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後山</w:t>
                            </w:r>
                            <w:proofErr w:type="gramStart"/>
                            <w:r w:rsidRPr="00C071C2">
                              <w:rPr>
                                <w:rFonts w:ascii="標楷體" w:eastAsia="標楷體" w:hAnsi="標楷體" w:hint="eastAsia"/>
                              </w:rPr>
                              <w:t>埤</w:t>
                            </w:r>
                            <w:proofErr w:type="gramEnd"/>
                            <w:r w:rsidRPr="00C071C2">
                              <w:rPr>
                                <w:rFonts w:ascii="標楷體" w:eastAsia="標楷體" w:hAnsi="標楷體" w:hint="eastAsia"/>
                              </w:rPr>
                              <w:t>站</w:t>
                            </w:r>
                          </w:p>
                        </w:tc>
                        <w:tc>
                          <w:tcPr>
                            <w:tcW w:w="934" w:type="dxa"/>
                            <w:vMerge/>
                            <w:vAlign w:val="center"/>
                          </w:tcPr>
                          <w:p w14:paraId="6B6472BD" w14:textId="77777777" w:rsidR="0050059F" w:rsidRPr="00C071C2" w:rsidRDefault="0050059F" w:rsidP="00824CD6">
                            <w:pPr>
                              <w:spacing w:line="240" w:lineRule="exact"/>
                              <w:jc w:val="center"/>
                              <w:rPr>
                                <w:rFonts w:ascii="標楷體" w:eastAsia="標楷體" w:hAnsi="標楷體"/>
                              </w:rPr>
                            </w:pPr>
                          </w:p>
                        </w:tc>
                        <w:tc>
                          <w:tcPr>
                            <w:tcW w:w="934" w:type="dxa"/>
                            <w:vMerge/>
                          </w:tcPr>
                          <w:p w14:paraId="0792A7D0" w14:textId="77777777" w:rsidR="0050059F" w:rsidRDefault="0050059F" w:rsidP="00824CD6">
                            <w:pPr>
                              <w:spacing w:line="240" w:lineRule="exact"/>
                              <w:jc w:val="right"/>
                              <w:rPr>
                                <w:rFonts w:ascii="標楷體" w:eastAsia="標楷體" w:hAnsi="標楷體"/>
                                <w:bCs/>
                                <w:spacing w:val="-12"/>
                              </w:rPr>
                            </w:pPr>
                          </w:p>
                        </w:tc>
                        <w:tc>
                          <w:tcPr>
                            <w:tcW w:w="633" w:type="dxa"/>
                            <w:vAlign w:val="center"/>
                          </w:tcPr>
                          <w:p w14:paraId="203C8073"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hint="eastAsia"/>
                                <w:bCs/>
                              </w:rPr>
                              <w:t>5</w:t>
                            </w:r>
                          </w:p>
                        </w:tc>
                        <w:tc>
                          <w:tcPr>
                            <w:tcW w:w="1126" w:type="dxa"/>
                            <w:tcBorders>
                              <w:bottom w:val="single" w:sz="4" w:space="0" w:color="auto"/>
                            </w:tcBorders>
                            <w:vAlign w:val="center"/>
                          </w:tcPr>
                          <w:p w14:paraId="4C1883DC" w14:textId="77777777" w:rsidR="0050059F" w:rsidRPr="00773D26" w:rsidRDefault="0050059F" w:rsidP="00824CD6">
                            <w:pPr>
                              <w:spacing w:line="240" w:lineRule="exact"/>
                              <w:jc w:val="right"/>
                              <w:rPr>
                                <w:rFonts w:ascii="標楷體" w:eastAsia="標楷體" w:hAnsi="標楷體"/>
                              </w:rPr>
                            </w:pPr>
                            <w:r w:rsidRPr="00773D26">
                              <w:rPr>
                                <w:rFonts w:ascii="標楷體" w:eastAsia="標楷體" w:hAnsi="標楷體" w:hint="eastAsia"/>
                              </w:rPr>
                              <w:t>3</w:t>
                            </w:r>
                          </w:p>
                        </w:tc>
                      </w:tr>
                      <w:tr w:rsidR="0050059F" w14:paraId="1FAB6EB5" w14:textId="77777777" w:rsidTr="00824CD6">
                        <w:trPr>
                          <w:trHeight w:val="255"/>
                          <w:jc w:val="center"/>
                        </w:trPr>
                        <w:tc>
                          <w:tcPr>
                            <w:tcW w:w="430" w:type="dxa"/>
                            <w:vAlign w:val="center"/>
                          </w:tcPr>
                          <w:p w14:paraId="5B49A3D7" w14:textId="77777777" w:rsidR="0050059F" w:rsidRPr="00C071C2" w:rsidRDefault="0050059F" w:rsidP="00824CD6">
                            <w:pPr>
                              <w:spacing w:line="240" w:lineRule="exact"/>
                              <w:jc w:val="center"/>
                              <w:rPr>
                                <w:rFonts w:ascii="標楷體" w:eastAsia="標楷體" w:hAnsi="標楷體"/>
                                <w:spacing w:val="-4"/>
                              </w:rPr>
                            </w:pPr>
                            <w:r>
                              <w:rPr>
                                <w:rFonts w:ascii="標楷體" w:eastAsia="標楷體" w:hAnsi="標楷體"/>
                                <w:spacing w:val="-4"/>
                              </w:rPr>
                              <w:t>10</w:t>
                            </w:r>
                          </w:p>
                        </w:tc>
                        <w:tc>
                          <w:tcPr>
                            <w:tcW w:w="1613" w:type="dxa"/>
                            <w:vAlign w:val="center"/>
                          </w:tcPr>
                          <w:p w14:paraId="331F57A2" w14:textId="77777777" w:rsidR="0050059F" w:rsidRPr="00C071C2" w:rsidRDefault="0050059F" w:rsidP="00824CD6">
                            <w:pPr>
                              <w:spacing w:line="240" w:lineRule="exact"/>
                              <w:rPr>
                                <w:rFonts w:ascii="標楷體" w:eastAsia="標楷體" w:hAnsi="標楷體"/>
                              </w:rPr>
                            </w:pPr>
                            <w:r w:rsidRPr="00C071C2">
                              <w:rPr>
                                <w:rFonts w:ascii="標楷體" w:eastAsia="標楷體" w:hAnsi="標楷體" w:hint="eastAsia"/>
                              </w:rPr>
                              <w:t>南港機廠</w:t>
                            </w:r>
                          </w:p>
                        </w:tc>
                        <w:tc>
                          <w:tcPr>
                            <w:tcW w:w="934" w:type="dxa"/>
                            <w:vMerge/>
                            <w:vAlign w:val="center"/>
                          </w:tcPr>
                          <w:p w14:paraId="5471A43D" w14:textId="77777777" w:rsidR="0050059F" w:rsidRPr="00C071C2" w:rsidRDefault="0050059F" w:rsidP="00824CD6">
                            <w:pPr>
                              <w:spacing w:line="240" w:lineRule="exact"/>
                              <w:ind w:firstLine="480"/>
                              <w:jc w:val="center"/>
                              <w:rPr>
                                <w:rFonts w:ascii="標楷體" w:eastAsia="標楷體" w:hAnsi="標楷體"/>
                              </w:rPr>
                            </w:pPr>
                          </w:p>
                        </w:tc>
                        <w:tc>
                          <w:tcPr>
                            <w:tcW w:w="934" w:type="dxa"/>
                            <w:vMerge/>
                          </w:tcPr>
                          <w:p w14:paraId="26B68F74" w14:textId="77777777" w:rsidR="0050059F" w:rsidRDefault="0050059F" w:rsidP="00824CD6">
                            <w:pPr>
                              <w:spacing w:line="240" w:lineRule="exact"/>
                              <w:ind w:firstLine="432"/>
                              <w:jc w:val="right"/>
                              <w:rPr>
                                <w:rFonts w:ascii="標楷體" w:eastAsia="標楷體" w:hAnsi="標楷體"/>
                                <w:bCs/>
                                <w:spacing w:val="-12"/>
                              </w:rPr>
                            </w:pPr>
                          </w:p>
                        </w:tc>
                        <w:tc>
                          <w:tcPr>
                            <w:tcW w:w="633" w:type="dxa"/>
                            <w:vAlign w:val="center"/>
                          </w:tcPr>
                          <w:p w14:paraId="44AA2012" w14:textId="77777777" w:rsidR="0050059F" w:rsidRPr="00773D26" w:rsidRDefault="0050059F" w:rsidP="00824CD6">
                            <w:pPr>
                              <w:spacing w:line="240" w:lineRule="exact"/>
                              <w:jc w:val="right"/>
                              <w:rPr>
                                <w:rFonts w:ascii="標楷體" w:eastAsia="標楷體" w:hAnsi="標楷體"/>
                                <w:bCs/>
                              </w:rPr>
                            </w:pPr>
                            <w:r w:rsidRPr="00773D26">
                              <w:rPr>
                                <w:rFonts w:ascii="標楷體" w:eastAsia="標楷體" w:hAnsi="標楷體" w:hint="eastAsia"/>
                                <w:bCs/>
                              </w:rPr>
                              <w:t>3</w:t>
                            </w:r>
                          </w:p>
                        </w:tc>
                        <w:tc>
                          <w:tcPr>
                            <w:tcW w:w="1126" w:type="dxa"/>
                            <w:tcBorders>
                              <w:bottom w:val="single" w:sz="4" w:space="0" w:color="auto"/>
                            </w:tcBorders>
                            <w:vAlign w:val="center"/>
                          </w:tcPr>
                          <w:p w14:paraId="4D9D1E97" w14:textId="77777777" w:rsidR="0050059F" w:rsidRPr="00773D26" w:rsidRDefault="0050059F" w:rsidP="00824CD6">
                            <w:pPr>
                              <w:spacing w:line="240" w:lineRule="exact"/>
                              <w:ind w:firstLine="448"/>
                              <w:jc w:val="right"/>
                              <w:rPr>
                                <w:rFonts w:ascii="標楷體" w:eastAsia="標楷體" w:hAnsi="標楷體"/>
                              </w:rPr>
                            </w:pPr>
                            <w:r w:rsidRPr="00773D26">
                              <w:rPr>
                                <w:rFonts w:ascii="標楷體" w:eastAsia="標楷體" w:hAnsi="標楷體" w:hint="eastAsia"/>
                              </w:rPr>
                              <w:t>2</w:t>
                            </w:r>
                          </w:p>
                        </w:tc>
                      </w:tr>
                      <w:tr w:rsidR="0050059F" w14:paraId="66043C2F" w14:textId="77777777" w:rsidTr="00824CD6">
                        <w:trPr>
                          <w:trHeight w:val="58"/>
                          <w:jc w:val="center"/>
                        </w:trPr>
                        <w:tc>
                          <w:tcPr>
                            <w:tcW w:w="5670" w:type="dxa"/>
                            <w:gridSpan w:val="6"/>
                            <w:tcBorders>
                              <w:top w:val="nil"/>
                              <w:left w:val="nil"/>
                              <w:bottom w:val="nil"/>
                              <w:right w:val="nil"/>
                            </w:tcBorders>
                          </w:tcPr>
                          <w:p w14:paraId="0EC2E628" w14:textId="77777777" w:rsidR="0050059F" w:rsidRPr="00933221" w:rsidRDefault="0050059F" w:rsidP="00824CD6">
                            <w:pPr>
                              <w:spacing w:beforeLines="10" w:before="36" w:line="220" w:lineRule="exact"/>
                              <w:ind w:leftChars="-50" w:left="-120"/>
                              <w:jc w:val="both"/>
                              <w:rPr>
                                <w:rFonts w:ascii="標楷體" w:eastAsia="標楷體" w:hAnsi="標楷體"/>
                                <w:spacing w:val="-4"/>
                                <w:sz w:val="22"/>
                              </w:rPr>
                            </w:pPr>
                            <w:r w:rsidRPr="00AD7128">
                              <w:rPr>
                                <w:rFonts w:ascii="標楷體" w:eastAsia="標楷體" w:hAnsi="標楷體" w:hint="eastAsia"/>
                                <w:sz w:val="18"/>
                                <w:szCs w:val="18"/>
                              </w:rPr>
                              <w:t>資料來源</w:t>
                            </w:r>
                            <w:r>
                              <w:rPr>
                                <w:rFonts w:ascii="標楷體" w:eastAsia="標楷體" w:hAnsi="標楷體" w:hint="eastAsia"/>
                                <w:sz w:val="18"/>
                                <w:szCs w:val="18"/>
                              </w:rPr>
                              <w:t>：</w:t>
                            </w:r>
                            <w:r w:rsidRPr="00AD7128">
                              <w:rPr>
                                <w:rFonts w:ascii="標楷體" w:eastAsia="標楷體" w:hAnsi="標楷體" w:hint="eastAsia"/>
                                <w:sz w:val="18"/>
                                <w:szCs w:val="18"/>
                              </w:rPr>
                              <w:t>整理自</w:t>
                            </w:r>
                            <w:r>
                              <w:rPr>
                                <w:rFonts w:ascii="標楷體" w:eastAsia="標楷體" w:hAnsi="標楷體" w:hint="eastAsia"/>
                                <w:sz w:val="18"/>
                                <w:szCs w:val="18"/>
                              </w:rPr>
                              <w:t>捷運公司提供資料</w:t>
                            </w:r>
                            <w:r w:rsidRPr="00AD7128">
                              <w:rPr>
                                <w:rFonts w:ascii="標楷體" w:eastAsia="標楷體" w:hAnsi="標楷體" w:hint="eastAsia"/>
                                <w:sz w:val="18"/>
                                <w:szCs w:val="18"/>
                              </w:rPr>
                              <w:t>。</w:t>
                            </w:r>
                          </w:p>
                        </w:tc>
                      </w:tr>
                    </w:tbl>
                    <w:p w14:paraId="4B85C4FE" w14:textId="77777777" w:rsidR="0050059F" w:rsidRPr="0033673C" w:rsidRDefault="0050059F" w:rsidP="0050059F">
                      <w:pPr>
                        <w:spacing w:line="40" w:lineRule="exact"/>
                        <w:ind w:rightChars="-40" w:right="-96"/>
                        <w:jc w:val="both"/>
                        <w:rPr>
                          <w:rFonts w:ascii="標楷體" w:eastAsia="標楷體" w:hAnsi="標楷體"/>
                          <w:sz w:val="18"/>
                          <w:szCs w:val="18"/>
                        </w:rPr>
                      </w:pPr>
                    </w:p>
                  </w:txbxContent>
                </v:textbox>
                <w10:wrap type="square" anchorx="margin"/>
              </v:shape>
            </w:pict>
          </mc:Fallback>
        </mc:AlternateContent>
      </w:r>
      <w:r w:rsidRPr="00177770">
        <w:rPr>
          <w:rFonts w:ascii="標楷體" w:eastAsia="標楷體" w:hAnsi="標楷體" w:cs="Times New Roman" w:hint="eastAsia"/>
        </w:rPr>
        <w:t>仍未能穩定發揮警報功能，經函請檢討改善。據復：已由捷運公司針對火警系統</w:t>
      </w:r>
      <w:proofErr w:type="gramStart"/>
      <w:r w:rsidRPr="00177770">
        <w:rPr>
          <w:rFonts w:ascii="標楷體" w:eastAsia="標楷體" w:hAnsi="標楷體" w:cs="Times New Roman" w:hint="eastAsia"/>
        </w:rPr>
        <w:t>甫</w:t>
      </w:r>
      <w:proofErr w:type="gramEnd"/>
      <w:r w:rsidRPr="00177770">
        <w:rPr>
          <w:rFonts w:ascii="標楷體" w:eastAsia="標楷體" w:hAnsi="標楷體" w:cs="Times New Roman" w:hint="eastAsia"/>
        </w:rPr>
        <w:t>重置完成後仍發生故障情形，依環境（滲漏水、潮濕及粉塵）、人員（施工、旅客誤觸）及暫態性異常等主要態樣，</w:t>
      </w:r>
      <w:proofErr w:type="gramStart"/>
      <w:r w:rsidRPr="00177770">
        <w:rPr>
          <w:rFonts w:ascii="標楷體" w:eastAsia="標楷體" w:hAnsi="標楷體" w:cs="Times New Roman" w:hint="eastAsia"/>
        </w:rPr>
        <w:t>研</w:t>
      </w:r>
      <w:proofErr w:type="gramEnd"/>
      <w:r w:rsidRPr="00177770">
        <w:rPr>
          <w:rFonts w:ascii="標楷體" w:eastAsia="標楷體" w:hAnsi="標楷體" w:cs="Times New Roman" w:hint="eastAsia"/>
        </w:rPr>
        <w:t>擬加強人員勤前教育及宣導，且就環境所造成故障，檢視火警設備位置，檢討移動及補強加裝防水罩設施，並請廠商精進改善施作工法，另後續再發生暫態性異常，需量測確認迴路絶緣值，如低於標準值，即抽換更新迴路，以免發生暫態性異常。</w:t>
      </w:r>
    </w:p>
    <w:p w14:paraId="77A8B6F4" w14:textId="77777777" w:rsidR="0050059F" w:rsidRPr="00177770" w:rsidRDefault="0050059F" w:rsidP="00556236">
      <w:pPr>
        <w:overflowPunct w:val="0"/>
        <w:spacing w:beforeLines="30" w:before="108" w:line="440" w:lineRule="exact"/>
        <w:ind w:firstLineChars="100" w:firstLine="280"/>
        <w:jc w:val="both"/>
        <w:outlineLvl w:val="3"/>
        <w:rPr>
          <w:rFonts w:ascii="標楷體" w:eastAsia="標楷體" w:hAnsi="標楷體"/>
          <w:b/>
          <w:sz w:val="28"/>
          <w:szCs w:val="32"/>
        </w:rPr>
      </w:pPr>
      <w:bookmarkStart w:id="114" w:name="_Hlk168584400"/>
      <w:r w:rsidRPr="00177770">
        <w:rPr>
          <w:rFonts w:ascii="標楷體" w:eastAsia="標楷體" w:hAnsi="標楷體" w:hint="eastAsia"/>
          <w:b/>
          <w:sz w:val="28"/>
          <w:szCs w:val="32"/>
        </w:rPr>
        <w:t>（五）推動</w:t>
      </w:r>
      <w:proofErr w:type="gramStart"/>
      <w:r w:rsidRPr="00177770">
        <w:rPr>
          <w:rFonts w:ascii="標楷體" w:eastAsia="標楷體" w:hAnsi="標楷體" w:hint="eastAsia"/>
          <w:b/>
          <w:sz w:val="28"/>
          <w:szCs w:val="32"/>
        </w:rPr>
        <w:t>臺</w:t>
      </w:r>
      <w:proofErr w:type="gramEnd"/>
      <w:r w:rsidRPr="00177770">
        <w:rPr>
          <w:rFonts w:ascii="標楷體" w:eastAsia="標楷體" w:hAnsi="標楷體" w:hint="eastAsia"/>
          <w:b/>
          <w:sz w:val="28"/>
          <w:szCs w:val="32"/>
        </w:rPr>
        <w:t>北都會區大眾捷運系統環狀線</w:t>
      </w:r>
      <w:proofErr w:type="gramStart"/>
      <w:r w:rsidRPr="00177770">
        <w:rPr>
          <w:rFonts w:ascii="標楷體" w:eastAsia="標楷體" w:hAnsi="標楷體" w:hint="eastAsia"/>
          <w:b/>
          <w:sz w:val="28"/>
          <w:szCs w:val="32"/>
        </w:rPr>
        <w:t>北環段及南環段暨周邊</w:t>
      </w:r>
      <w:proofErr w:type="gramEnd"/>
      <w:r w:rsidRPr="00177770">
        <w:rPr>
          <w:rFonts w:ascii="標楷體" w:eastAsia="標楷體" w:hAnsi="標楷體" w:hint="eastAsia"/>
          <w:b/>
          <w:sz w:val="28"/>
          <w:szCs w:val="32"/>
        </w:rPr>
        <w:t>土地開發計畫，</w:t>
      </w:r>
      <w:proofErr w:type="gramStart"/>
      <w:r w:rsidRPr="00177770">
        <w:rPr>
          <w:rFonts w:ascii="標楷體" w:eastAsia="標楷體" w:hAnsi="標楷體" w:hint="eastAsia"/>
          <w:b/>
          <w:sz w:val="28"/>
          <w:szCs w:val="32"/>
        </w:rPr>
        <w:t>間有部分</w:t>
      </w:r>
      <w:proofErr w:type="gramEnd"/>
      <w:r w:rsidRPr="00177770">
        <w:rPr>
          <w:rFonts w:ascii="標楷體" w:eastAsia="標楷體" w:hAnsi="標楷體" w:hint="eastAsia"/>
          <w:b/>
          <w:sz w:val="28"/>
          <w:szCs w:val="32"/>
        </w:rPr>
        <w:t>區段標</w:t>
      </w:r>
      <w:r>
        <w:rPr>
          <w:rFonts w:ascii="標楷體" w:eastAsia="標楷體" w:hAnsi="標楷體" w:hint="eastAsia"/>
          <w:b/>
          <w:sz w:val="28"/>
          <w:szCs w:val="32"/>
        </w:rPr>
        <w:t>改變</w:t>
      </w:r>
      <w:r w:rsidRPr="00177770">
        <w:rPr>
          <w:rFonts w:ascii="標楷體" w:eastAsia="標楷體" w:hAnsi="標楷體" w:hint="eastAsia"/>
          <w:b/>
          <w:sz w:val="28"/>
          <w:szCs w:val="28"/>
        </w:rPr>
        <w:t>營建</w:t>
      </w:r>
      <w:r w:rsidRPr="00177770">
        <w:rPr>
          <w:rFonts w:ascii="標楷體" w:eastAsia="標楷體" w:hAnsi="標楷體" w:hint="eastAsia"/>
          <w:b/>
          <w:sz w:val="28"/>
          <w:szCs w:val="32"/>
        </w:rPr>
        <w:t>剩餘土</w:t>
      </w:r>
      <w:proofErr w:type="gramStart"/>
      <w:r w:rsidRPr="00177770">
        <w:rPr>
          <w:rFonts w:ascii="標楷體" w:eastAsia="標楷體" w:hAnsi="標楷體" w:hint="eastAsia"/>
          <w:b/>
          <w:sz w:val="28"/>
          <w:szCs w:val="32"/>
        </w:rPr>
        <w:t>石方運棄</w:t>
      </w:r>
      <w:r>
        <w:rPr>
          <w:rFonts w:ascii="標楷體" w:eastAsia="標楷體" w:hAnsi="標楷體" w:hint="eastAsia"/>
          <w:b/>
          <w:sz w:val="28"/>
          <w:szCs w:val="32"/>
        </w:rPr>
        <w:t>方式</w:t>
      </w:r>
      <w:proofErr w:type="gramEnd"/>
      <w:r>
        <w:rPr>
          <w:rFonts w:ascii="全字庫正宋體" w:eastAsia="全字庫正宋體" w:hAnsi="全字庫正宋體" w:cs="全字庫正宋體" w:hint="eastAsia"/>
          <w:b/>
          <w:sz w:val="28"/>
          <w:szCs w:val="32"/>
        </w:rPr>
        <w:t>，</w:t>
      </w:r>
      <w:r>
        <w:rPr>
          <w:rFonts w:ascii="標楷體" w:eastAsia="標楷體" w:hAnsi="標楷體" w:hint="eastAsia"/>
          <w:b/>
          <w:sz w:val="28"/>
          <w:szCs w:val="32"/>
        </w:rPr>
        <w:t>仍以</w:t>
      </w:r>
      <w:r w:rsidRPr="00177770">
        <w:rPr>
          <w:rFonts w:ascii="標楷體" w:eastAsia="標楷體" w:hAnsi="標楷體" w:hint="eastAsia"/>
          <w:b/>
          <w:sz w:val="28"/>
          <w:szCs w:val="32"/>
        </w:rPr>
        <w:t>原契約</w:t>
      </w:r>
      <w:r>
        <w:rPr>
          <w:rFonts w:ascii="標楷體" w:eastAsia="標楷體" w:hAnsi="標楷體" w:hint="eastAsia"/>
          <w:b/>
          <w:sz w:val="28"/>
          <w:szCs w:val="32"/>
        </w:rPr>
        <w:t>較高單價計付</w:t>
      </w:r>
      <w:r w:rsidRPr="00177770">
        <w:rPr>
          <w:rFonts w:ascii="標楷體" w:eastAsia="標楷體" w:hAnsi="標楷體" w:hint="eastAsia"/>
          <w:b/>
          <w:sz w:val="28"/>
          <w:szCs w:val="32"/>
        </w:rPr>
        <w:t>處理</w:t>
      </w:r>
      <w:r>
        <w:rPr>
          <w:rFonts w:ascii="標楷體" w:eastAsia="標楷體" w:hAnsi="標楷體" w:hint="eastAsia"/>
          <w:b/>
          <w:sz w:val="28"/>
          <w:szCs w:val="32"/>
        </w:rPr>
        <w:t>費用</w:t>
      </w:r>
      <w:r>
        <w:rPr>
          <w:rFonts w:ascii="全字庫正宋體" w:eastAsia="全字庫正宋體" w:hAnsi="全字庫正宋體" w:cs="全字庫正宋體" w:hint="eastAsia"/>
          <w:b/>
          <w:sz w:val="28"/>
          <w:szCs w:val="32"/>
        </w:rPr>
        <w:t>，</w:t>
      </w:r>
      <w:proofErr w:type="gramStart"/>
      <w:r w:rsidRPr="00177770">
        <w:rPr>
          <w:rFonts w:ascii="標楷體" w:eastAsia="標楷體" w:hAnsi="標楷體" w:hint="eastAsia"/>
          <w:b/>
          <w:sz w:val="28"/>
          <w:szCs w:val="32"/>
        </w:rPr>
        <w:t>致溢付</w:t>
      </w:r>
      <w:proofErr w:type="gramEnd"/>
      <w:r w:rsidRPr="00177770">
        <w:rPr>
          <w:rFonts w:ascii="標楷體" w:eastAsia="標楷體" w:hAnsi="標楷體" w:hint="eastAsia"/>
          <w:b/>
          <w:sz w:val="28"/>
          <w:szCs w:val="32"/>
        </w:rPr>
        <w:t>價金，及機電標之土建工程招標期程</w:t>
      </w:r>
      <w:proofErr w:type="gramStart"/>
      <w:r w:rsidRPr="00177770">
        <w:rPr>
          <w:rFonts w:ascii="標楷體" w:eastAsia="標楷體" w:hAnsi="標楷體" w:hint="eastAsia"/>
          <w:b/>
          <w:sz w:val="28"/>
          <w:szCs w:val="32"/>
        </w:rPr>
        <w:t>延後致原</w:t>
      </w:r>
      <w:proofErr w:type="gramEnd"/>
      <w:r w:rsidRPr="00177770">
        <w:rPr>
          <w:rFonts w:ascii="標楷體" w:eastAsia="標楷體" w:hAnsi="標楷體" w:hint="eastAsia"/>
          <w:b/>
          <w:sz w:val="28"/>
          <w:szCs w:val="32"/>
        </w:rPr>
        <w:t>契約時程規範不符</w:t>
      </w:r>
      <w:proofErr w:type="gramStart"/>
      <w:r w:rsidRPr="00177770">
        <w:rPr>
          <w:rFonts w:ascii="標楷體" w:eastAsia="標楷體" w:hAnsi="標楷體" w:hint="eastAsia"/>
          <w:b/>
          <w:sz w:val="28"/>
          <w:szCs w:val="32"/>
        </w:rPr>
        <w:t>實際，</w:t>
      </w:r>
      <w:proofErr w:type="gramEnd"/>
      <w:r w:rsidRPr="00177770">
        <w:rPr>
          <w:rFonts w:ascii="標楷體" w:eastAsia="標楷體" w:hAnsi="標楷體" w:hint="eastAsia"/>
          <w:b/>
          <w:sz w:val="28"/>
          <w:szCs w:val="32"/>
        </w:rPr>
        <w:t>並衍生鉅額管理費用支出風險等情事，</w:t>
      </w:r>
      <w:proofErr w:type="gramStart"/>
      <w:r w:rsidRPr="00177770">
        <w:rPr>
          <w:rFonts w:ascii="標楷體" w:eastAsia="標楷體" w:hAnsi="標楷體" w:hint="eastAsia"/>
          <w:b/>
          <w:sz w:val="28"/>
          <w:szCs w:val="32"/>
        </w:rPr>
        <w:t>均待檢討</w:t>
      </w:r>
      <w:proofErr w:type="gramEnd"/>
      <w:r w:rsidRPr="00177770">
        <w:rPr>
          <w:rFonts w:ascii="標楷體" w:eastAsia="標楷體" w:hAnsi="標楷體" w:hint="eastAsia"/>
          <w:b/>
          <w:sz w:val="28"/>
          <w:szCs w:val="32"/>
        </w:rPr>
        <w:t>改善。</w:t>
      </w:r>
    </w:p>
    <w:bookmarkEnd w:id="114"/>
    <w:p w14:paraId="60E2C40E" w14:textId="77777777" w:rsidR="00556236" w:rsidRDefault="0050059F" w:rsidP="00556236">
      <w:pPr>
        <w:overflowPunct w:val="0"/>
        <w:spacing w:beforeLines="10" w:before="36" w:line="410" w:lineRule="exact"/>
        <w:ind w:firstLineChars="200" w:firstLine="480"/>
        <w:jc w:val="both"/>
        <w:outlineLvl w:val="3"/>
        <w:rPr>
          <w:rFonts w:ascii="標楷體" w:eastAsia="標楷體" w:hAnsi="標楷體" w:cs="標楷體"/>
          <w:bCs/>
          <w:szCs w:val="32"/>
        </w:rPr>
      </w:pPr>
      <w:r w:rsidRPr="00177770">
        <w:rPr>
          <w:rFonts w:ascii="標楷體" w:eastAsia="標楷體" w:hAnsi="標楷體" w:cs="標楷體" w:hint="eastAsia"/>
          <w:bCs/>
          <w:szCs w:val="32"/>
        </w:rPr>
        <w:t>捷運工程局為推動</w:t>
      </w:r>
      <w:proofErr w:type="gramStart"/>
      <w:r w:rsidRPr="00177770">
        <w:rPr>
          <w:rFonts w:ascii="標楷體" w:eastAsia="標楷體" w:hAnsi="標楷體" w:cs="標楷體" w:hint="eastAsia"/>
          <w:bCs/>
          <w:szCs w:val="32"/>
        </w:rPr>
        <w:t>臺</w:t>
      </w:r>
      <w:proofErr w:type="gramEnd"/>
      <w:r w:rsidRPr="00177770">
        <w:rPr>
          <w:rFonts w:ascii="標楷體" w:eastAsia="標楷體" w:hAnsi="標楷體" w:cs="標楷體" w:hint="eastAsia"/>
          <w:bCs/>
          <w:szCs w:val="32"/>
        </w:rPr>
        <w:t>北都會區大眾捷運系統環狀線</w:t>
      </w:r>
      <w:proofErr w:type="gramStart"/>
      <w:r w:rsidRPr="00177770">
        <w:rPr>
          <w:rFonts w:ascii="標楷體" w:eastAsia="標楷體" w:hAnsi="標楷體" w:cs="標楷體" w:hint="eastAsia"/>
          <w:bCs/>
          <w:szCs w:val="32"/>
        </w:rPr>
        <w:t>北環段及南環段暨周邊</w:t>
      </w:r>
      <w:proofErr w:type="gramEnd"/>
      <w:r w:rsidRPr="00177770">
        <w:rPr>
          <w:rFonts w:ascii="標楷體" w:eastAsia="標楷體" w:hAnsi="標楷體" w:cs="標楷體" w:hint="eastAsia"/>
          <w:bCs/>
          <w:szCs w:val="32"/>
        </w:rPr>
        <w:t>土地開發計畫，報經行政院於108年5月核定規劃報告，總工程經費為1,369億餘元，預定完工期程為117年9月；</w:t>
      </w:r>
      <w:proofErr w:type="gramStart"/>
      <w:r w:rsidRPr="00177770">
        <w:rPr>
          <w:rFonts w:ascii="標楷體" w:eastAsia="標楷體" w:hAnsi="標楷體" w:cs="標楷體" w:hint="eastAsia"/>
          <w:bCs/>
          <w:szCs w:val="32"/>
        </w:rPr>
        <w:t>嗣</w:t>
      </w:r>
      <w:proofErr w:type="gramEnd"/>
      <w:r w:rsidRPr="00177770">
        <w:rPr>
          <w:rFonts w:ascii="標楷體" w:eastAsia="標楷體" w:hAnsi="標楷體" w:cs="標楷體" w:hint="eastAsia"/>
          <w:bCs/>
          <w:szCs w:val="32"/>
        </w:rPr>
        <w:t>因營建材料上漲及勞工短缺等因素，原計畫工程經費及期程已無法滿足招標及施工階段需求，捷運工程局於112年2月啟動修正計畫作業，第1次修正計畫於113年11月獲行政院核定，總工程經費調增為1,798億餘元，預定完工期程調整為120年6月。捷運工程局於113年12月底前陸續辦理完成8個土建區段標及1個機電標之工程採購招（決）標作業，經抽查其中「</w:t>
      </w:r>
      <w:proofErr w:type="gramStart"/>
      <w:r w:rsidRPr="00177770">
        <w:rPr>
          <w:rFonts w:ascii="標楷體" w:eastAsia="標楷體" w:hAnsi="標楷體" w:cs="標楷體" w:hint="eastAsia"/>
          <w:bCs/>
          <w:szCs w:val="32"/>
        </w:rPr>
        <w:t>臺</w:t>
      </w:r>
      <w:proofErr w:type="gramEnd"/>
      <w:r w:rsidRPr="00177770">
        <w:rPr>
          <w:rFonts w:ascii="標楷體" w:eastAsia="標楷體" w:hAnsi="標楷體" w:cs="標楷體" w:hint="eastAsia"/>
          <w:bCs/>
          <w:szCs w:val="32"/>
        </w:rPr>
        <w:t>北都會區大眾捷運系統環狀線南環段</w:t>
      </w:r>
      <w:r w:rsidRPr="00177770">
        <w:rPr>
          <w:rFonts w:ascii="標楷體" w:eastAsia="標楷體" w:hAnsi="標楷體" w:cs="標楷體"/>
          <w:bCs/>
          <w:szCs w:val="32"/>
        </w:rPr>
        <w:t>CF670A區段標工程</w:t>
      </w:r>
      <w:r w:rsidRPr="00177770">
        <w:rPr>
          <w:rFonts w:ascii="標楷體" w:eastAsia="標楷體" w:hAnsi="標楷體" w:cs="標楷體" w:hint="eastAsia"/>
          <w:bCs/>
          <w:szCs w:val="32"/>
        </w:rPr>
        <w:t>」</w:t>
      </w:r>
      <w:proofErr w:type="gramStart"/>
      <w:r w:rsidRPr="00177770">
        <w:rPr>
          <w:rFonts w:ascii="標楷體" w:eastAsia="標楷體" w:hAnsi="標楷體" w:cs="標楷體" w:hint="eastAsia"/>
          <w:bCs/>
          <w:szCs w:val="32"/>
        </w:rPr>
        <w:t>（</w:t>
      </w:r>
      <w:proofErr w:type="gramEnd"/>
      <w:r w:rsidRPr="00177770">
        <w:rPr>
          <w:rFonts w:ascii="標楷體" w:eastAsia="標楷體" w:hAnsi="標楷體" w:cs="標楷體" w:hint="eastAsia"/>
          <w:bCs/>
          <w:szCs w:val="32"/>
        </w:rPr>
        <w:t>下稱</w:t>
      </w:r>
      <w:r w:rsidRPr="00177770">
        <w:rPr>
          <w:rFonts w:ascii="標楷體" w:eastAsia="標楷體" w:hAnsi="標楷體" w:cs="標楷體"/>
          <w:bCs/>
          <w:szCs w:val="32"/>
        </w:rPr>
        <w:t>CF670A區段標</w:t>
      </w:r>
      <w:r w:rsidRPr="00177770">
        <w:rPr>
          <w:rFonts w:ascii="標楷體" w:eastAsia="標楷體" w:hAnsi="標楷體" w:cs="標楷體" w:hint="eastAsia"/>
          <w:bCs/>
          <w:szCs w:val="32"/>
        </w:rPr>
        <w:t>；契約金額</w:t>
      </w:r>
      <w:r w:rsidRPr="00177770">
        <w:rPr>
          <w:rFonts w:ascii="標楷體" w:eastAsia="標楷體" w:hAnsi="標楷體" w:cs="標楷體"/>
          <w:bCs/>
          <w:szCs w:val="32"/>
        </w:rPr>
        <w:t>88</w:t>
      </w:r>
      <w:r w:rsidRPr="00177770">
        <w:rPr>
          <w:rFonts w:ascii="標楷體" w:eastAsia="標楷體" w:hAnsi="標楷體" w:cs="標楷體" w:hint="eastAsia"/>
          <w:bCs/>
          <w:szCs w:val="32"/>
        </w:rPr>
        <w:t>億</w:t>
      </w:r>
      <w:r w:rsidRPr="00177770">
        <w:rPr>
          <w:rFonts w:ascii="標楷體" w:eastAsia="標楷體" w:hAnsi="標楷體" w:cs="標楷體"/>
          <w:bCs/>
          <w:szCs w:val="32"/>
        </w:rPr>
        <w:t>3,809</w:t>
      </w:r>
      <w:r w:rsidRPr="00177770">
        <w:rPr>
          <w:rFonts w:ascii="標楷體" w:eastAsia="標楷體" w:hAnsi="標楷體" w:cs="標楷體" w:hint="eastAsia"/>
          <w:bCs/>
          <w:szCs w:val="32"/>
        </w:rPr>
        <w:t>萬餘元</w:t>
      </w:r>
      <w:proofErr w:type="gramStart"/>
      <w:r w:rsidRPr="00177770">
        <w:rPr>
          <w:rFonts w:ascii="標楷體" w:eastAsia="標楷體" w:hAnsi="標楷體" w:cs="標楷體" w:hint="eastAsia"/>
          <w:bCs/>
          <w:szCs w:val="32"/>
        </w:rPr>
        <w:t>）</w:t>
      </w:r>
      <w:proofErr w:type="gramEnd"/>
      <w:r w:rsidRPr="00177770">
        <w:rPr>
          <w:rFonts w:ascii="標楷體" w:eastAsia="標楷體" w:hAnsi="標楷體" w:cs="標楷體" w:hint="eastAsia"/>
          <w:bCs/>
          <w:szCs w:val="32"/>
        </w:rPr>
        <w:t>、「環狀線</w:t>
      </w:r>
      <w:proofErr w:type="gramStart"/>
      <w:r w:rsidRPr="00177770">
        <w:rPr>
          <w:rFonts w:ascii="標楷體" w:eastAsia="標楷體" w:hAnsi="標楷體" w:cs="標楷體" w:hint="eastAsia"/>
          <w:bCs/>
          <w:szCs w:val="32"/>
        </w:rPr>
        <w:t>北環段</w:t>
      </w:r>
      <w:proofErr w:type="gramEnd"/>
      <w:r w:rsidRPr="00177770">
        <w:rPr>
          <w:rFonts w:ascii="標楷體" w:eastAsia="標楷體" w:hAnsi="標楷體" w:cs="標楷體"/>
          <w:bCs/>
          <w:szCs w:val="32"/>
        </w:rPr>
        <w:t>Y19（不含）~Y20（含）土建及水電環控區段標工程</w:t>
      </w:r>
      <w:r w:rsidRPr="00177770">
        <w:rPr>
          <w:rFonts w:ascii="標楷體" w:eastAsia="標楷體" w:hAnsi="標楷體" w:cs="標楷體" w:hint="eastAsia"/>
          <w:bCs/>
          <w:szCs w:val="32"/>
        </w:rPr>
        <w:t>」</w:t>
      </w:r>
      <w:proofErr w:type="gramStart"/>
      <w:r w:rsidRPr="00177770">
        <w:rPr>
          <w:rFonts w:ascii="標楷體" w:eastAsia="標楷體" w:hAnsi="標楷體" w:cs="標楷體" w:hint="eastAsia"/>
          <w:bCs/>
          <w:szCs w:val="32"/>
        </w:rPr>
        <w:t>（</w:t>
      </w:r>
      <w:proofErr w:type="gramEnd"/>
      <w:r w:rsidRPr="00177770">
        <w:rPr>
          <w:rFonts w:ascii="標楷體" w:eastAsia="標楷體" w:hAnsi="標楷體" w:cs="標楷體" w:hint="eastAsia"/>
          <w:bCs/>
          <w:szCs w:val="32"/>
        </w:rPr>
        <w:t>下稱CF680A區段標；契約金額</w:t>
      </w:r>
      <w:r w:rsidRPr="00177770">
        <w:rPr>
          <w:rFonts w:ascii="標楷體" w:eastAsia="標楷體" w:hAnsi="標楷體" w:cs="標楷體"/>
          <w:bCs/>
          <w:szCs w:val="32"/>
        </w:rPr>
        <w:t>148</w:t>
      </w:r>
      <w:r w:rsidRPr="00177770">
        <w:rPr>
          <w:rFonts w:ascii="標楷體" w:eastAsia="標楷體" w:hAnsi="標楷體" w:cs="標楷體" w:hint="eastAsia"/>
          <w:bCs/>
          <w:szCs w:val="32"/>
        </w:rPr>
        <w:t>億</w:t>
      </w:r>
      <w:r w:rsidRPr="00177770">
        <w:rPr>
          <w:rFonts w:ascii="標楷體" w:eastAsia="標楷體" w:hAnsi="標楷體" w:cs="標楷體"/>
          <w:bCs/>
          <w:szCs w:val="32"/>
        </w:rPr>
        <w:t>3,100</w:t>
      </w:r>
      <w:r w:rsidRPr="00177770">
        <w:rPr>
          <w:rFonts w:ascii="標楷體" w:eastAsia="標楷體" w:hAnsi="標楷體" w:cs="標楷體" w:hint="eastAsia"/>
          <w:bCs/>
          <w:szCs w:val="32"/>
        </w:rPr>
        <w:t>萬元</w:t>
      </w:r>
      <w:proofErr w:type="gramStart"/>
      <w:r w:rsidRPr="00177770">
        <w:rPr>
          <w:rFonts w:ascii="標楷體" w:eastAsia="標楷體" w:hAnsi="標楷體" w:cs="標楷體" w:hint="eastAsia"/>
          <w:bCs/>
          <w:szCs w:val="32"/>
        </w:rPr>
        <w:t>）</w:t>
      </w:r>
      <w:proofErr w:type="gramEnd"/>
      <w:r w:rsidRPr="00177770">
        <w:rPr>
          <w:rFonts w:ascii="標楷體" w:eastAsia="標楷體" w:hAnsi="標楷體" w:cs="標楷體" w:hint="eastAsia"/>
          <w:bCs/>
          <w:szCs w:val="32"/>
        </w:rPr>
        <w:t>及「CF620/CF627/CF621</w:t>
      </w:r>
      <w:proofErr w:type="gramStart"/>
      <w:r w:rsidRPr="00177770">
        <w:rPr>
          <w:rFonts w:ascii="標楷體" w:eastAsia="標楷體" w:hAnsi="標楷體" w:cs="標楷體" w:hint="eastAsia"/>
          <w:bCs/>
          <w:szCs w:val="32"/>
        </w:rPr>
        <w:t>臺</w:t>
      </w:r>
      <w:proofErr w:type="gramEnd"/>
      <w:r w:rsidRPr="00177770">
        <w:rPr>
          <w:rFonts w:ascii="標楷體" w:eastAsia="標楷體" w:hAnsi="標楷體" w:cs="標楷體" w:hint="eastAsia"/>
          <w:bCs/>
          <w:szCs w:val="32"/>
        </w:rPr>
        <w:t>北捷運環狀線</w:t>
      </w:r>
      <w:proofErr w:type="gramStart"/>
      <w:r w:rsidRPr="00177770">
        <w:rPr>
          <w:rFonts w:ascii="標楷體" w:eastAsia="標楷體" w:hAnsi="標楷體" w:cs="標楷體" w:hint="eastAsia"/>
          <w:bCs/>
          <w:szCs w:val="32"/>
        </w:rPr>
        <w:t>北環段及</w:t>
      </w:r>
      <w:proofErr w:type="gramEnd"/>
      <w:r w:rsidRPr="00177770">
        <w:rPr>
          <w:rFonts w:ascii="標楷體" w:eastAsia="標楷體" w:hAnsi="標楷體" w:cs="標楷體" w:hint="eastAsia"/>
          <w:bCs/>
          <w:szCs w:val="32"/>
        </w:rPr>
        <w:t>南環段機電系統、自動收費系統及軌道工程」</w:t>
      </w:r>
      <w:proofErr w:type="gramStart"/>
      <w:r w:rsidRPr="00177770">
        <w:rPr>
          <w:rFonts w:ascii="標楷體" w:eastAsia="標楷體" w:hAnsi="標楷體" w:cs="標楷體" w:hint="eastAsia"/>
          <w:bCs/>
          <w:szCs w:val="32"/>
        </w:rPr>
        <w:t>（</w:t>
      </w:r>
      <w:proofErr w:type="gramEnd"/>
      <w:r w:rsidRPr="00177770">
        <w:rPr>
          <w:rFonts w:ascii="標楷體" w:eastAsia="標楷體" w:hAnsi="標楷體" w:cs="標楷體" w:hint="eastAsia"/>
          <w:bCs/>
          <w:szCs w:val="32"/>
        </w:rPr>
        <w:t>下稱機電標；契約金額164億3</w:t>
      </w:r>
      <w:r w:rsidRPr="00177770">
        <w:rPr>
          <w:rFonts w:ascii="標楷體" w:eastAsia="標楷體" w:hAnsi="標楷體" w:cs="標楷體"/>
          <w:bCs/>
          <w:szCs w:val="32"/>
        </w:rPr>
        <w:t>,</w:t>
      </w:r>
      <w:r w:rsidRPr="00177770">
        <w:rPr>
          <w:rFonts w:ascii="標楷體" w:eastAsia="標楷體" w:hAnsi="標楷體" w:cs="標楷體" w:hint="eastAsia"/>
          <w:bCs/>
          <w:szCs w:val="32"/>
        </w:rPr>
        <w:t>843萬餘元</w:t>
      </w:r>
      <w:proofErr w:type="gramStart"/>
      <w:r w:rsidRPr="00177770">
        <w:rPr>
          <w:rFonts w:ascii="標楷體" w:eastAsia="標楷體" w:hAnsi="標楷體" w:cs="標楷體" w:hint="eastAsia"/>
          <w:bCs/>
          <w:szCs w:val="32"/>
        </w:rPr>
        <w:t>）</w:t>
      </w:r>
      <w:proofErr w:type="gramEnd"/>
      <w:r w:rsidRPr="00177770">
        <w:rPr>
          <w:rFonts w:ascii="標楷體" w:eastAsia="標楷體" w:hAnsi="標楷體" w:cs="標楷體" w:hint="eastAsia"/>
          <w:bCs/>
          <w:szCs w:val="32"/>
        </w:rPr>
        <w:t>等3案執行情形，核有：1</w:t>
      </w:r>
      <w:r w:rsidRPr="00177770">
        <w:rPr>
          <w:rFonts w:ascii="標楷體" w:eastAsia="標楷體" w:hAnsi="標楷體" w:cs="標楷體"/>
          <w:bCs/>
          <w:szCs w:val="32"/>
        </w:rPr>
        <w:t>.</w:t>
      </w:r>
      <w:r w:rsidRPr="00177770">
        <w:rPr>
          <w:rFonts w:ascii="標楷體" w:eastAsia="標楷體" w:hAnsi="標楷體" w:cs="標楷體" w:hint="eastAsia"/>
          <w:bCs/>
          <w:szCs w:val="32"/>
        </w:rPr>
        <w:t>CF670A區段標針對基地內舊建物拆除之營建廢棄物處理部分，契約規劃以營建混合物</w:t>
      </w:r>
      <w:proofErr w:type="gramStart"/>
      <w:r w:rsidRPr="00177770">
        <w:rPr>
          <w:rFonts w:ascii="標楷體" w:eastAsia="標楷體" w:hAnsi="標楷體" w:cs="標楷體" w:hint="eastAsia"/>
          <w:bCs/>
          <w:szCs w:val="32"/>
        </w:rPr>
        <w:t>方式運棄</w:t>
      </w:r>
      <w:proofErr w:type="gramEnd"/>
      <w:r w:rsidRPr="00177770">
        <w:rPr>
          <w:rFonts w:ascii="標楷體" w:eastAsia="標楷體" w:hAnsi="標楷體" w:cs="標楷體" w:hint="eastAsia"/>
          <w:bCs/>
          <w:szCs w:val="32"/>
        </w:rPr>
        <w:t>，契約單價為每立方公尺2</w:t>
      </w:r>
      <w:r w:rsidRPr="00177770">
        <w:rPr>
          <w:rFonts w:ascii="標楷體" w:eastAsia="標楷體" w:hAnsi="標楷體" w:cs="標楷體"/>
          <w:bCs/>
          <w:szCs w:val="32"/>
        </w:rPr>
        <w:t>,</w:t>
      </w:r>
      <w:r w:rsidRPr="00177770">
        <w:rPr>
          <w:rFonts w:ascii="標楷體" w:eastAsia="標楷體" w:hAnsi="標楷體" w:cs="標楷體" w:hint="eastAsia"/>
          <w:bCs/>
          <w:szCs w:val="32"/>
        </w:rPr>
        <w:t>152元；惟承商實際辦理建物拆除後，係將產出之營建剩餘土石方（下稱餘方）歸屬於</w:t>
      </w:r>
      <w:r w:rsidRPr="00177770">
        <w:rPr>
          <w:rFonts w:ascii="標楷體" w:eastAsia="標楷體" w:hAnsi="標楷體" w:cs="標楷體"/>
          <w:bCs/>
          <w:szCs w:val="32"/>
        </w:rPr>
        <w:t>B5類</w:t>
      </w:r>
      <w:r w:rsidRPr="00177770">
        <w:rPr>
          <w:rFonts w:ascii="標楷體" w:eastAsia="標楷體" w:hAnsi="標楷體" w:cs="標楷體" w:hint="eastAsia"/>
          <w:bCs/>
          <w:szCs w:val="32"/>
        </w:rPr>
        <w:t>（磚塊或混凝土塊）並送往</w:t>
      </w:r>
      <w:proofErr w:type="gramStart"/>
      <w:r w:rsidRPr="00177770">
        <w:rPr>
          <w:rFonts w:ascii="標楷體" w:eastAsia="標楷體" w:hAnsi="標楷體" w:cs="標楷體" w:hint="eastAsia"/>
          <w:bCs/>
          <w:szCs w:val="32"/>
        </w:rPr>
        <w:t>臺北港運棄</w:t>
      </w:r>
      <w:proofErr w:type="gramEnd"/>
      <w:r w:rsidRPr="00177770">
        <w:rPr>
          <w:rFonts w:ascii="標楷體" w:eastAsia="標楷體" w:hAnsi="標楷體" w:cs="標楷體" w:hint="eastAsia"/>
          <w:bCs/>
          <w:szCs w:val="32"/>
        </w:rPr>
        <w:t>，契約單價為每立方公尺811元，兩者存有價差，卻仍以原營建混合物處理單價辦理估驗計價，增加公</w:t>
      </w:r>
      <w:proofErr w:type="gramStart"/>
      <w:r w:rsidRPr="00177770">
        <w:rPr>
          <w:rFonts w:ascii="標楷體" w:eastAsia="標楷體" w:hAnsi="標楷體" w:cs="標楷體" w:hint="eastAsia"/>
          <w:bCs/>
          <w:szCs w:val="32"/>
        </w:rPr>
        <w:t>帑</w:t>
      </w:r>
      <w:proofErr w:type="gramEnd"/>
      <w:r w:rsidRPr="00177770">
        <w:rPr>
          <w:rFonts w:ascii="標楷體" w:eastAsia="標楷體" w:hAnsi="標楷體" w:cs="標楷體" w:hint="eastAsia"/>
          <w:bCs/>
          <w:szCs w:val="32"/>
        </w:rPr>
        <w:t>支出逾千萬元；2</w:t>
      </w:r>
      <w:r w:rsidRPr="00177770">
        <w:rPr>
          <w:rFonts w:ascii="標楷體" w:eastAsia="標楷體" w:hAnsi="標楷體" w:cs="標楷體"/>
          <w:bCs/>
          <w:szCs w:val="32"/>
        </w:rPr>
        <w:t>.</w:t>
      </w:r>
      <w:r w:rsidRPr="00177770">
        <w:rPr>
          <w:rFonts w:ascii="標楷體" w:eastAsia="標楷體" w:hAnsi="標楷體" w:hint="eastAsia"/>
        </w:rPr>
        <w:t xml:space="preserve"> </w:t>
      </w:r>
      <w:r w:rsidRPr="00177770">
        <w:rPr>
          <w:rFonts w:ascii="標楷體" w:eastAsia="標楷體" w:hAnsi="標楷體" w:cs="標楷體" w:hint="eastAsia"/>
          <w:bCs/>
          <w:szCs w:val="32"/>
        </w:rPr>
        <w:t>CF680A區段標部分原契約規劃</w:t>
      </w:r>
      <w:proofErr w:type="gramStart"/>
      <w:r w:rsidRPr="00177770">
        <w:rPr>
          <w:rFonts w:ascii="標楷體" w:eastAsia="標楷體" w:hAnsi="標楷體" w:cs="標楷體" w:hint="eastAsia"/>
          <w:bCs/>
          <w:szCs w:val="32"/>
        </w:rPr>
        <w:t>採遠運</w:t>
      </w:r>
      <w:proofErr w:type="gramEnd"/>
      <w:r w:rsidRPr="00177770">
        <w:rPr>
          <w:rFonts w:ascii="標楷體" w:eastAsia="標楷體" w:hAnsi="標楷體" w:cs="標楷體" w:hint="eastAsia"/>
          <w:bCs/>
          <w:szCs w:val="32"/>
        </w:rPr>
        <w:t>處理之餘方，契約單價為每立方公尺741元，惟實際係運往</w:t>
      </w:r>
      <w:proofErr w:type="gramStart"/>
      <w:r w:rsidRPr="00177770">
        <w:rPr>
          <w:rFonts w:ascii="標楷體" w:eastAsia="標楷體" w:hAnsi="標楷體" w:cs="標楷體" w:hint="eastAsia"/>
          <w:bCs/>
          <w:szCs w:val="32"/>
        </w:rPr>
        <w:t>臺</w:t>
      </w:r>
      <w:proofErr w:type="gramEnd"/>
      <w:r w:rsidRPr="00177770">
        <w:rPr>
          <w:rFonts w:ascii="標楷體" w:eastAsia="標楷體" w:hAnsi="標楷體" w:cs="標楷體" w:hint="eastAsia"/>
          <w:bCs/>
          <w:szCs w:val="32"/>
        </w:rPr>
        <w:t>北港收容，其契約單價為每立方公尺570元，仍按較高之契約</w:t>
      </w:r>
    </w:p>
    <w:p w14:paraId="1E7FA2EF" w14:textId="045235B3" w:rsidR="0050059F" w:rsidRPr="00177770" w:rsidRDefault="0050059F" w:rsidP="00556236">
      <w:pPr>
        <w:overflowPunct w:val="0"/>
        <w:spacing w:line="410" w:lineRule="exact"/>
        <w:jc w:val="both"/>
        <w:outlineLvl w:val="3"/>
        <w:rPr>
          <w:rFonts w:ascii="標楷體" w:eastAsia="標楷體" w:hAnsi="標楷體"/>
        </w:rPr>
      </w:pPr>
      <w:r w:rsidRPr="00177770">
        <w:rPr>
          <w:rFonts w:ascii="標楷體" w:eastAsia="標楷體" w:hAnsi="標楷體" w:cs="標楷體" w:hint="eastAsia"/>
          <w:bCs/>
          <w:szCs w:val="32"/>
        </w:rPr>
        <w:lastRenderedPageBreak/>
        <w:t>工項單價（每立方公尺</w:t>
      </w:r>
      <w:r w:rsidRPr="00177770">
        <w:rPr>
          <w:rFonts w:ascii="標楷體" w:eastAsia="標楷體" w:hAnsi="標楷體" w:cs="標楷體"/>
          <w:bCs/>
          <w:szCs w:val="32"/>
        </w:rPr>
        <w:t>741元）</w:t>
      </w:r>
      <w:r w:rsidRPr="00177770">
        <w:rPr>
          <w:rFonts w:ascii="標楷體" w:eastAsia="標楷體" w:hAnsi="標楷體" w:cs="標楷體" w:hint="eastAsia"/>
          <w:bCs/>
          <w:szCs w:val="32"/>
        </w:rPr>
        <w:t>計付餘方處理費用，存有溢付餘方處理費用情形；3</w:t>
      </w:r>
      <w:r w:rsidRPr="00177770">
        <w:rPr>
          <w:rFonts w:ascii="標楷體" w:eastAsia="標楷體" w:hAnsi="標楷體" w:cs="標楷體"/>
          <w:bCs/>
          <w:szCs w:val="32"/>
        </w:rPr>
        <w:t>.</w:t>
      </w:r>
      <w:proofErr w:type="gramStart"/>
      <w:r w:rsidRPr="00177770">
        <w:rPr>
          <w:rFonts w:ascii="標楷體" w:eastAsia="標楷體" w:hAnsi="標楷體" w:cs="標楷體" w:hint="eastAsia"/>
          <w:bCs/>
          <w:szCs w:val="32"/>
        </w:rPr>
        <w:t>機電標原計畫</w:t>
      </w:r>
      <w:proofErr w:type="gramEnd"/>
      <w:r w:rsidRPr="00177770">
        <w:rPr>
          <w:rFonts w:ascii="標楷體" w:eastAsia="標楷體" w:hAnsi="標楷體" w:cs="標楷體" w:hint="eastAsia"/>
          <w:bCs/>
          <w:szCs w:val="32"/>
        </w:rPr>
        <w:t>土建工程預計於110年9至12月間完成招標，並於116年12月施作完成；</w:t>
      </w:r>
      <w:proofErr w:type="gramStart"/>
      <w:r w:rsidRPr="00177770">
        <w:rPr>
          <w:rFonts w:ascii="標楷體" w:eastAsia="標楷體" w:hAnsi="標楷體" w:cs="標楷體" w:hint="eastAsia"/>
          <w:bCs/>
          <w:szCs w:val="32"/>
        </w:rPr>
        <w:t>嗣</w:t>
      </w:r>
      <w:proofErr w:type="gramEnd"/>
      <w:r w:rsidRPr="00177770">
        <w:rPr>
          <w:rFonts w:ascii="標楷體" w:eastAsia="標楷體" w:hAnsi="標楷體" w:cs="標楷體" w:hint="eastAsia"/>
          <w:bCs/>
          <w:szCs w:val="32"/>
        </w:rPr>
        <w:t>土建工程區段標歷經多次招標流標後，遲至113年12月始完成最後1件區段標（CF670標）工程之招決標作業，其土建區段標實際招標作業期程，與原計畫相較已大幅延後，惟</w:t>
      </w:r>
      <w:proofErr w:type="gramStart"/>
      <w:r w:rsidRPr="00177770">
        <w:rPr>
          <w:rFonts w:ascii="標楷體" w:eastAsia="標楷體" w:hAnsi="標楷體" w:cs="標楷體" w:hint="eastAsia"/>
          <w:bCs/>
          <w:szCs w:val="32"/>
        </w:rPr>
        <w:t>機電標原契約</w:t>
      </w:r>
      <w:proofErr w:type="gramEnd"/>
      <w:r w:rsidRPr="00177770">
        <w:rPr>
          <w:rFonts w:ascii="標楷體" w:eastAsia="標楷體" w:hAnsi="標楷體" w:cs="標楷體" w:hint="eastAsia"/>
          <w:bCs/>
          <w:szCs w:val="32"/>
        </w:rPr>
        <w:t>之里程碑及進場時程規範，未按各土建區段標決標時程進行調整，不符實際管理需求，</w:t>
      </w:r>
      <w:proofErr w:type="gramStart"/>
      <w:r w:rsidRPr="00177770">
        <w:rPr>
          <w:rFonts w:ascii="標楷體" w:eastAsia="標楷體" w:hAnsi="標楷體" w:cs="標楷體" w:hint="eastAsia"/>
          <w:bCs/>
          <w:szCs w:val="32"/>
        </w:rPr>
        <w:t>允待檢討</w:t>
      </w:r>
      <w:proofErr w:type="gramEnd"/>
      <w:r w:rsidRPr="00177770">
        <w:rPr>
          <w:rFonts w:ascii="標楷體" w:eastAsia="標楷體" w:hAnsi="標楷體" w:cs="標楷體" w:hint="eastAsia"/>
          <w:bCs/>
          <w:szCs w:val="32"/>
        </w:rPr>
        <w:t>現行各階段管制里程碑及期程，並就未來因計畫期程展延可能衍生廠商依契約規定請求增加管理費用妥為因應，以降低公</w:t>
      </w:r>
      <w:proofErr w:type="gramStart"/>
      <w:r w:rsidRPr="00177770">
        <w:rPr>
          <w:rFonts w:ascii="標楷體" w:eastAsia="標楷體" w:hAnsi="標楷體" w:cs="標楷體" w:hint="eastAsia"/>
          <w:bCs/>
          <w:szCs w:val="32"/>
        </w:rPr>
        <w:t>帑</w:t>
      </w:r>
      <w:proofErr w:type="gramEnd"/>
      <w:r w:rsidRPr="00177770">
        <w:rPr>
          <w:rFonts w:ascii="標楷體" w:eastAsia="標楷體" w:hAnsi="標楷體" w:cs="標楷體" w:hint="eastAsia"/>
          <w:bCs/>
          <w:szCs w:val="32"/>
        </w:rPr>
        <w:t>支出之財務風險，經函請檢討改善。據復：1.該局第二區工程處將核實檢討現場實際施作項目與單價分析表編列之差異，並依程序辦理契約變更，以符實際執行情形；2.該局第一區工程處對於履約階段改送往</w:t>
      </w:r>
      <w:proofErr w:type="gramStart"/>
      <w:r w:rsidRPr="00177770">
        <w:rPr>
          <w:rFonts w:ascii="標楷體" w:eastAsia="標楷體" w:hAnsi="標楷體" w:cs="標楷體" w:hint="eastAsia"/>
          <w:bCs/>
          <w:szCs w:val="32"/>
        </w:rPr>
        <w:t>臺北港運棄之</w:t>
      </w:r>
      <w:proofErr w:type="gramEnd"/>
      <w:r w:rsidRPr="00177770">
        <w:rPr>
          <w:rFonts w:ascii="標楷體" w:eastAsia="標楷體" w:hAnsi="標楷體" w:cs="標楷體" w:hint="eastAsia"/>
          <w:bCs/>
          <w:szCs w:val="32"/>
        </w:rPr>
        <w:t>工項而溢付廠商之餘方處理費用，將清查估算價差，依契約規定檢討後核實予以追回，另後續就餘方運往</w:t>
      </w:r>
      <w:proofErr w:type="gramStart"/>
      <w:r w:rsidRPr="00177770">
        <w:rPr>
          <w:rFonts w:ascii="標楷體" w:eastAsia="標楷體" w:hAnsi="標楷體" w:cs="標楷體" w:hint="eastAsia"/>
          <w:bCs/>
          <w:szCs w:val="32"/>
        </w:rPr>
        <w:t>臺</w:t>
      </w:r>
      <w:proofErr w:type="gramEnd"/>
      <w:r w:rsidRPr="00177770">
        <w:rPr>
          <w:rFonts w:ascii="標楷體" w:eastAsia="標楷體" w:hAnsi="標楷體" w:cs="標楷體" w:hint="eastAsia"/>
          <w:bCs/>
          <w:szCs w:val="32"/>
        </w:rPr>
        <w:t>北港之工項，核實辦理計價並落實監督；3.該局後續將配合土建工程各區段標執行進度，分階段調整機電設備生產時程，以符合工程實際情況，並減少因設備生產過早衍生之倉儲費用；另將參酌過往訴訟案例及實務經驗，協調各土建工程區段標儘早提供機電標進場施工，並針對契約內不受土建工程影響之</w:t>
      </w:r>
      <w:proofErr w:type="gramStart"/>
      <w:r w:rsidRPr="00177770">
        <w:rPr>
          <w:rFonts w:ascii="標楷體" w:eastAsia="標楷體" w:hAnsi="標楷體" w:cs="標楷體" w:hint="eastAsia"/>
          <w:bCs/>
          <w:szCs w:val="32"/>
        </w:rPr>
        <w:t>南北環段電</w:t>
      </w:r>
      <w:proofErr w:type="gramEnd"/>
      <w:r w:rsidRPr="00177770">
        <w:rPr>
          <w:rFonts w:ascii="標楷體" w:eastAsia="標楷體" w:hAnsi="標楷體" w:cs="標楷體" w:hint="eastAsia"/>
          <w:bCs/>
          <w:szCs w:val="32"/>
        </w:rPr>
        <w:t>聯車工程等項目，持續推動執行，期減少因工期展延所衍生之管理費用。</w:t>
      </w:r>
    </w:p>
    <w:p w14:paraId="219A5AB5" w14:textId="77777777" w:rsidR="0050059F" w:rsidRPr="00177770" w:rsidRDefault="0050059F" w:rsidP="0050059F">
      <w:pPr>
        <w:overflowPunct w:val="0"/>
        <w:spacing w:before="60" w:after="60" w:line="440" w:lineRule="exact"/>
        <w:ind w:firstLineChars="100" w:firstLine="280"/>
        <w:jc w:val="both"/>
        <w:outlineLvl w:val="3"/>
        <w:rPr>
          <w:rFonts w:ascii="標楷體" w:eastAsia="標楷體" w:hAnsi="標楷體"/>
          <w:b/>
          <w:sz w:val="28"/>
          <w:szCs w:val="32"/>
        </w:rPr>
      </w:pPr>
      <w:r w:rsidRPr="00177770">
        <w:rPr>
          <w:rFonts w:ascii="標楷體" w:eastAsia="標楷體" w:hAnsi="標楷體" w:hint="eastAsia"/>
          <w:b/>
          <w:sz w:val="28"/>
          <w:szCs w:val="32"/>
        </w:rPr>
        <w:t>（六）為</w:t>
      </w:r>
      <w:r w:rsidRPr="00177770">
        <w:rPr>
          <w:rFonts w:ascii="標楷體" w:eastAsia="標楷體" w:hAnsi="標楷體"/>
          <w:b/>
          <w:sz w:val="28"/>
          <w:szCs w:val="32"/>
        </w:rPr>
        <w:t>延伸</w:t>
      </w:r>
      <w:proofErr w:type="gramStart"/>
      <w:r w:rsidRPr="00177770">
        <w:rPr>
          <w:rFonts w:ascii="標楷體" w:eastAsia="標楷體" w:hAnsi="標楷體" w:hint="eastAsia"/>
          <w:b/>
          <w:sz w:val="28"/>
          <w:szCs w:val="32"/>
        </w:rPr>
        <w:t>臺</w:t>
      </w:r>
      <w:proofErr w:type="gramEnd"/>
      <w:r w:rsidRPr="00177770">
        <w:rPr>
          <w:rFonts w:ascii="標楷體" w:eastAsia="標楷體" w:hAnsi="標楷體" w:hint="eastAsia"/>
          <w:b/>
          <w:sz w:val="28"/>
          <w:szCs w:val="32"/>
        </w:rPr>
        <w:t>北捷運</w:t>
      </w:r>
      <w:r w:rsidRPr="00177770">
        <w:rPr>
          <w:rFonts w:ascii="標楷體" w:eastAsia="標楷體" w:hAnsi="標楷體"/>
          <w:b/>
          <w:sz w:val="28"/>
          <w:szCs w:val="32"/>
        </w:rPr>
        <w:t>路網及創造地區發展</w:t>
      </w:r>
      <w:r w:rsidRPr="00177770">
        <w:rPr>
          <w:rFonts w:ascii="標楷體" w:eastAsia="標楷體" w:hAnsi="標楷體" w:hint="eastAsia"/>
          <w:b/>
          <w:sz w:val="28"/>
          <w:szCs w:val="32"/>
        </w:rPr>
        <w:t>，辦理</w:t>
      </w:r>
      <w:proofErr w:type="gramStart"/>
      <w:r w:rsidRPr="00177770">
        <w:rPr>
          <w:rFonts w:ascii="標楷體" w:eastAsia="標楷體" w:hAnsi="標楷體" w:hint="eastAsia"/>
          <w:b/>
          <w:sz w:val="28"/>
          <w:szCs w:val="32"/>
        </w:rPr>
        <w:t>臺</w:t>
      </w:r>
      <w:proofErr w:type="gramEnd"/>
      <w:r w:rsidRPr="00177770">
        <w:rPr>
          <w:rFonts w:ascii="標楷體" w:eastAsia="標楷體" w:hAnsi="標楷體" w:hint="eastAsia"/>
          <w:b/>
          <w:sz w:val="28"/>
          <w:szCs w:val="32"/>
        </w:rPr>
        <w:t>北都會區大眾捷運系統信義線</w:t>
      </w:r>
      <w:proofErr w:type="gramStart"/>
      <w:r w:rsidRPr="00177770">
        <w:rPr>
          <w:rFonts w:ascii="標楷體" w:eastAsia="標楷體" w:hAnsi="標楷體" w:hint="eastAsia"/>
          <w:b/>
          <w:sz w:val="28"/>
          <w:szCs w:val="32"/>
        </w:rPr>
        <w:t>東延段計畫</w:t>
      </w:r>
      <w:proofErr w:type="gramEnd"/>
      <w:r w:rsidRPr="00177770">
        <w:rPr>
          <w:rFonts w:ascii="標楷體" w:eastAsia="標楷體" w:hAnsi="標楷體" w:hint="eastAsia"/>
          <w:b/>
          <w:sz w:val="28"/>
          <w:szCs w:val="32"/>
        </w:rPr>
        <w:t>，惟工程契約未參照採購法主管機關契約範本進行修訂致</w:t>
      </w:r>
      <w:proofErr w:type="gramStart"/>
      <w:r w:rsidRPr="00177770">
        <w:rPr>
          <w:rFonts w:ascii="標楷體" w:eastAsia="標楷體" w:hAnsi="標楷體" w:hint="eastAsia"/>
          <w:b/>
          <w:sz w:val="28"/>
          <w:szCs w:val="32"/>
        </w:rPr>
        <w:t>增物調費用</w:t>
      </w:r>
      <w:proofErr w:type="gramEnd"/>
      <w:r w:rsidRPr="00177770">
        <w:rPr>
          <w:rFonts w:ascii="標楷體" w:eastAsia="標楷體" w:hAnsi="標楷體" w:hint="eastAsia"/>
          <w:b/>
          <w:sz w:val="28"/>
          <w:szCs w:val="32"/>
        </w:rPr>
        <w:t>支出，且因發生重大職災事件，</w:t>
      </w:r>
      <w:proofErr w:type="gramStart"/>
      <w:r w:rsidRPr="00177770">
        <w:rPr>
          <w:rFonts w:ascii="標楷體" w:eastAsia="標楷體" w:hAnsi="標楷體" w:hint="eastAsia"/>
          <w:b/>
          <w:sz w:val="28"/>
          <w:szCs w:val="32"/>
        </w:rPr>
        <w:t>衍致子</w:t>
      </w:r>
      <w:proofErr w:type="gramEnd"/>
      <w:r w:rsidRPr="00177770">
        <w:rPr>
          <w:rFonts w:ascii="標楷體" w:eastAsia="標楷體" w:hAnsi="標楷體" w:hint="eastAsia"/>
          <w:b/>
          <w:sz w:val="28"/>
          <w:szCs w:val="32"/>
        </w:rPr>
        <w:t>施工標進度落後，</w:t>
      </w:r>
      <w:proofErr w:type="gramStart"/>
      <w:r w:rsidRPr="00177770">
        <w:rPr>
          <w:rFonts w:ascii="標楷體" w:eastAsia="標楷體" w:hAnsi="標楷體" w:hint="eastAsia"/>
          <w:b/>
          <w:sz w:val="28"/>
          <w:szCs w:val="32"/>
        </w:rPr>
        <w:t>另損鄰</w:t>
      </w:r>
      <w:proofErr w:type="gramEnd"/>
      <w:r w:rsidRPr="00177770">
        <w:rPr>
          <w:rFonts w:ascii="標楷體" w:eastAsia="標楷體" w:hAnsi="標楷體" w:hint="eastAsia"/>
          <w:b/>
          <w:sz w:val="28"/>
          <w:szCs w:val="32"/>
        </w:rPr>
        <w:t>案件之修繕處理控管作業未</w:t>
      </w:r>
      <w:proofErr w:type="gramStart"/>
      <w:r w:rsidRPr="00177770">
        <w:rPr>
          <w:rFonts w:ascii="標楷體" w:eastAsia="標楷體" w:hAnsi="標楷體" w:hint="eastAsia"/>
          <w:b/>
          <w:sz w:val="28"/>
          <w:szCs w:val="32"/>
        </w:rPr>
        <w:t>臻</w:t>
      </w:r>
      <w:proofErr w:type="gramEnd"/>
      <w:r w:rsidRPr="00177770">
        <w:rPr>
          <w:rFonts w:ascii="標楷體" w:eastAsia="標楷體" w:hAnsi="標楷體" w:hint="eastAsia"/>
          <w:b/>
          <w:sz w:val="28"/>
          <w:szCs w:val="32"/>
        </w:rPr>
        <w:t>周妥等情，</w:t>
      </w:r>
      <w:proofErr w:type="gramStart"/>
      <w:r w:rsidRPr="00177770">
        <w:rPr>
          <w:rFonts w:ascii="標楷體" w:eastAsia="標楷體" w:hAnsi="標楷體" w:hint="eastAsia"/>
          <w:b/>
          <w:sz w:val="28"/>
          <w:szCs w:val="32"/>
        </w:rPr>
        <w:t>允待檢討</w:t>
      </w:r>
      <w:proofErr w:type="gramEnd"/>
      <w:r w:rsidRPr="00177770">
        <w:rPr>
          <w:rFonts w:ascii="標楷體" w:eastAsia="標楷體" w:hAnsi="標楷體" w:hint="eastAsia"/>
          <w:b/>
          <w:sz w:val="28"/>
          <w:szCs w:val="32"/>
        </w:rPr>
        <w:t>改善。</w:t>
      </w:r>
    </w:p>
    <w:bookmarkStart w:id="115" w:name="_Hlk135830505"/>
    <w:p w14:paraId="399687DA" w14:textId="77777777" w:rsidR="0050059F" w:rsidRPr="00177770" w:rsidRDefault="0050059F" w:rsidP="0050059F">
      <w:pPr>
        <w:overflowPunct w:val="0"/>
        <w:spacing w:line="420" w:lineRule="exact"/>
        <w:ind w:firstLineChars="200" w:firstLine="480"/>
        <w:jc w:val="both"/>
        <w:outlineLvl w:val="3"/>
        <w:rPr>
          <w:rFonts w:ascii="標楷體" w:eastAsia="標楷體" w:hAnsi="標楷體"/>
          <w:noProof/>
          <w:kern w:val="0"/>
          <w:shd w:val="pct15" w:color="auto" w:fill="FFFFFF"/>
        </w:rPr>
      </w:pPr>
      <w:r w:rsidRPr="00177770">
        <w:rPr>
          <w:rFonts w:ascii="標楷體" w:eastAsia="標楷體" w:hAnsi="標楷體"/>
          <w:noProof/>
          <w:kern w:val="0"/>
        </w:rPr>
        <mc:AlternateContent>
          <mc:Choice Requires="wps">
            <w:drawing>
              <wp:anchor distT="45720" distB="45720" distL="114300" distR="114300" simplePos="0" relativeHeight="251779072" behindDoc="0" locked="0" layoutInCell="1" allowOverlap="1" wp14:anchorId="2FBD296C" wp14:editId="06EACE3C">
                <wp:simplePos x="0" y="0"/>
                <wp:positionH relativeFrom="column">
                  <wp:posOffset>2581275</wp:posOffset>
                </wp:positionH>
                <wp:positionV relativeFrom="paragraph">
                  <wp:posOffset>1116330</wp:posOffset>
                </wp:positionV>
                <wp:extent cx="3804920" cy="2016760"/>
                <wp:effectExtent l="0" t="0" r="5080" b="2540"/>
                <wp:wrapSquare wrapText="bothSides"/>
                <wp:docPr id="10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4920" cy="2016760"/>
                        </a:xfrm>
                        <a:prstGeom prst="rect">
                          <a:avLst/>
                        </a:prstGeom>
                        <a:solidFill>
                          <a:srgbClr val="FFFFFF"/>
                        </a:solidFill>
                        <a:ln w="9525">
                          <a:noFill/>
                          <a:miter lim="800000"/>
                          <a:headEnd/>
                          <a:tailEnd/>
                        </a:ln>
                      </wps:spPr>
                      <wps:txbx>
                        <w:txbxContent>
                          <w:p w14:paraId="57B6114C" w14:textId="77777777" w:rsidR="0050059F" w:rsidRPr="00AB0E85" w:rsidRDefault="0050059F" w:rsidP="0050059F">
                            <w:pPr>
                              <w:spacing w:line="260" w:lineRule="exact"/>
                              <w:jc w:val="center"/>
                              <w:rPr>
                                <w:rFonts w:ascii="標楷體" w:eastAsia="標楷體" w:hAnsi="標楷體"/>
                                <w:b/>
                                <w:szCs w:val="24"/>
                              </w:rPr>
                            </w:pPr>
                            <w:r>
                              <w:rPr>
                                <w:rFonts w:ascii="標楷體" w:eastAsia="標楷體" w:hAnsi="標楷體" w:hint="eastAsia"/>
                                <w:b/>
                                <w:color w:val="000000" w:themeColor="text1"/>
                              </w:rPr>
                              <w:t>圖1</w:t>
                            </w:r>
                            <w:r>
                              <w:rPr>
                                <w:rFonts w:ascii="標楷體" w:eastAsia="標楷體" w:hAnsi="標楷體"/>
                                <w:b/>
                                <w:color w:val="000000" w:themeColor="text1"/>
                              </w:rPr>
                              <w:t xml:space="preserve">  </w:t>
                            </w:r>
                            <w:r>
                              <w:rPr>
                                <w:rFonts w:ascii="標楷體" w:eastAsia="標楷體" w:hAnsi="標楷體" w:hint="eastAsia"/>
                                <w:b/>
                                <w:color w:val="000000" w:themeColor="text1"/>
                              </w:rPr>
                              <w:t>捷運信義線</w:t>
                            </w:r>
                            <w:proofErr w:type="gramStart"/>
                            <w:r>
                              <w:rPr>
                                <w:rFonts w:ascii="標楷體" w:eastAsia="標楷體" w:hAnsi="標楷體" w:hint="eastAsia"/>
                                <w:b/>
                                <w:color w:val="000000" w:themeColor="text1"/>
                              </w:rPr>
                              <w:t>東延段路線</w:t>
                            </w:r>
                            <w:proofErr w:type="gramEnd"/>
                            <w:r w:rsidRPr="00A608BA">
                              <w:rPr>
                                <w:rFonts w:ascii="標楷體" w:eastAsia="標楷體" w:hAnsi="標楷體" w:hint="eastAsia"/>
                                <w:b/>
                                <w:color w:val="000000" w:themeColor="text1"/>
                              </w:rPr>
                              <w:t>示意圖</w:t>
                            </w:r>
                          </w:p>
                          <w:p w14:paraId="7EC27682" w14:textId="77777777" w:rsidR="0050059F" w:rsidRDefault="0050059F" w:rsidP="0050059F">
                            <w:r w:rsidRPr="008D1934">
                              <w:rPr>
                                <w:rFonts w:ascii="標楷體" w:hAnsi="標楷體"/>
                                <w:noProof/>
                              </w:rPr>
                              <w:drawing>
                                <wp:inline distT="0" distB="0" distL="0" distR="0" wp14:anchorId="66ED785C" wp14:editId="3F2F57E2">
                                  <wp:extent cx="3644265" cy="1518920"/>
                                  <wp:effectExtent l="0" t="0" r="0" b="5080"/>
                                  <wp:docPr id="2003185544" name="圖片 200318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a:extLst>
                                              <a:ext uri="{28A0092B-C50C-407E-A947-70E740481C1C}">
                                                <a14:useLocalDpi xmlns:a14="http://schemas.microsoft.com/office/drawing/2010/main" val="0"/>
                                              </a:ext>
                                            </a:extLst>
                                          </a:blip>
                                          <a:srcRect b="4051"/>
                                          <a:stretch/>
                                        </pic:blipFill>
                                        <pic:spPr bwMode="auto">
                                          <a:xfrm>
                                            <a:off x="0" y="0"/>
                                            <a:ext cx="3691446" cy="1538585"/>
                                          </a:xfrm>
                                          <a:prstGeom prst="rect">
                                            <a:avLst/>
                                          </a:prstGeom>
                                          <a:noFill/>
                                          <a:ln>
                                            <a:noFill/>
                                          </a:ln>
                                          <a:extLst>
                                            <a:ext uri="{53640926-AAD7-44D8-BBD7-CCE9431645EC}">
                                              <a14:shadowObscured xmlns:a14="http://schemas.microsoft.com/office/drawing/2010/main"/>
                                            </a:ext>
                                          </a:extLst>
                                        </pic:spPr>
                                      </pic:pic>
                                    </a:graphicData>
                                  </a:graphic>
                                </wp:inline>
                              </w:drawing>
                            </w:r>
                          </w:p>
                          <w:p w14:paraId="05495AA2" w14:textId="77777777" w:rsidR="0050059F" w:rsidRPr="00D407D7" w:rsidRDefault="0050059F" w:rsidP="0050059F">
                            <w:pPr>
                              <w:spacing w:line="0" w:lineRule="atLeast"/>
                              <w:ind w:firstLineChars="150" w:firstLine="270"/>
                              <w:rPr>
                                <w:rFonts w:ascii="標楷體" w:eastAsia="標楷體" w:hAnsi="標楷體"/>
                                <w:sz w:val="18"/>
                                <w:szCs w:val="18"/>
                              </w:rPr>
                            </w:pPr>
                            <w:r w:rsidRPr="00C2590F">
                              <w:rPr>
                                <w:rFonts w:ascii="標楷體" w:eastAsia="標楷體" w:hAnsi="標楷體" w:hint="eastAsia"/>
                                <w:sz w:val="18"/>
                                <w:szCs w:val="18"/>
                              </w:rPr>
                              <w:t>圖片</w:t>
                            </w:r>
                            <w:r w:rsidRPr="00C2590F">
                              <w:rPr>
                                <w:rFonts w:ascii="標楷體" w:eastAsia="標楷體" w:hAnsi="標楷體"/>
                                <w:sz w:val="18"/>
                                <w:szCs w:val="18"/>
                              </w:rPr>
                              <w:t>來</w:t>
                            </w:r>
                            <w:r w:rsidRPr="00C2590F">
                              <w:rPr>
                                <w:rFonts w:ascii="標楷體" w:eastAsia="標楷體" w:hAnsi="標楷體" w:hint="eastAsia"/>
                                <w:sz w:val="18"/>
                                <w:szCs w:val="18"/>
                              </w:rPr>
                              <w:t>源：</w:t>
                            </w:r>
                            <w:r>
                              <w:rPr>
                                <w:rFonts w:ascii="標楷體" w:eastAsia="標楷體" w:hAnsi="標楷體" w:hint="eastAsia"/>
                                <w:sz w:val="18"/>
                                <w:szCs w:val="18"/>
                              </w:rPr>
                              <w:t>擷取</w:t>
                            </w:r>
                            <w:r w:rsidRPr="00D407D7">
                              <w:rPr>
                                <w:rFonts w:ascii="標楷體" w:eastAsia="標楷體" w:hAnsi="標楷體" w:hint="eastAsia"/>
                                <w:sz w:val="18"/>
                                <w:szCs w:val="18"/>
                              </w:rPr>
                              <w:t>自捷運工程</w:t>
                            </w:r>
                            <w:proofErr w:type="gramStart"/>
                            <w:r w:rsidRPr="00D407D7">
                              <w:rPr>
                                <w:rFonts w:ascii="標楷體" w:eastAsia="標楷體" w:hAnsi="標楷體" w:hint="eastAsia"/>
                                <w:sz w:val="18"/>
                                <w:szCs w:val="18"/>
                              </w:rPr>
                              <w:t>局官網</w:t>
                            </w:r>
                            <w:proofErr w:type="gramEnd"/>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BD296C" id="_x0000_s1164" type="#_x0000_t202" style="position:absolute;left:0;text-align:left;margin-left:203.25pt;margin-top:87.9pt;width:299.6pt;height:158.8pt;z-index:251779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" stroked="f">
                <v:textbox>
                  <w:txbxContent>
                    <w:p w14:paraId="57B6114C" w14:textId="77777777" w:rsidR="0050059F" w:rsidRPr="00AB0E85" w:rsidRDefault="0050059F" w:rsidP="0050059F">
                      <w:pPr>
                        <w:spacing w:line="260" w:lineRule="exact"/>
                        <w:jc w:val="center"/>
                        <w:rPr>
                          <w:rFonts w:ascii="標楷體" w:eastAsia="標楷體" w:hAnsi="標楷體"/>
                          <w:b/>
                          <w:szCs w:val="24"/>
                        </w:rPr>
                      </w:pPr>
                      <w:r>
                        <w:rPr>
                          <w:rFonts w:ascii="標楷體" w:eastAsia="標楷體" w:hAnsi="標楷體" w:hint="eastAsia"/>
                          <w:b/>
                          <w:color w:val="000000" w:themeColor="text1"/>
                        </w:rPr>
                        <w:t>圖1</w:t>
                      </w:r>
                      <w:r>
                        <w:rPr>
                          <w:rFonts w:ascii="標楷體" w:eastAsia="標楷體" w:hAnsi="標楷體"/>
                          <w:b/>
                          <w:color w:val="000000" w:themeColor="text1"/>
                        </w:rPr>
                        <w:t xml:space="preserve">  </w:t>
                      </w:r>
                      <w:r>
                        <w:rPr>
                          <w:rFonts w:ascii="標楷體" w:eastAsia="標楷體" w:hAnsi="標楷體" w:hint="eastAsia"/>
                          <w:b/>
                          <w:color w:val="000000" w:themeColor="text1"/>
                        </w:rPr>
                        <w:t>捷運信義線</w:t>
                      </w:r>
                      <w:proofErr w:type="gramStart"/>
                      <w:r>
                        <w:rPr>
                          <w:rFonts w:ascii="標楷體" w:eastAsia="標楷體" w:hAnsi="標楷體" w:hint="eastAsia"/>
                          <w:b/>
                          <w:color w:val="000000" w:themeColor="text1"/>
                        </w:rPr>
                        <w:t>東延段路線</w:t>
                      </w:r>
                      <w:proofErr w:type="gramEnd"/>
                      <w:r w:rsidRPr="00A608BA">
                        <w:rPr>
                          <w:rFonts w:ascii="標楷體" w:eastAsia="標楷體" w:hAnsi="標楷體" w:hint="eastAsia"/>
                          <w:b/>
                          <w:color w:val="000000" w:themeColor="text1"/>
                        </w:rPr>
                        <w:t>示意圖</w:t>
                      </w:r>
                    </w:p>
                    <w:p w14:paraId="7EC27682" w14:textId="77777777" w:rsidR="0050059F" w:rsidRDefault="0050059F" w:rsidP="0050059F">
                      <w:r w:rsidRPr="008D1934">
                        <w:rPr>
                          <w:rFonts w:ascii="標楷體" w:hAnsi="標楷體"/>
                          <w:noProof/>
                        </w:rPr>
                        <w:drawing>
                          <wp:inline distT="0" distB="0" distL="0" distR="0" wp14:anchorId="66ED785C" wp14:editId="3F2F57E2">
                            <wp:extent cx="3644265" cy="1518920"/>
                            <wp:effectExtent l="0" t="0" r="0" b="5080"/>
                            <wp:docPr id="2003185544" name="圖片 200318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4">
                                      <a:extLst>
                                        <a:ext uri="{28A0092B-C50C-407E-A947-70E740481C1C}">
                                          <a14:useLocalDpi xmlns:a14="http://schemas.microsoft.com/office/drawing/2010/main" val="0"/>
                                        </a:ext>
                                      </a:extLst>
                                    </a:blip>
                                    <a:srcRect b="4051"/>
                                    <a:stretch/>
                                  </pic:blipFill>
                                  <pic:spPr bwMode="auto">
                                    <a:xfrm>
                                      <a:off x="0" y="0"/>
                                      <a:ext cx="3691446" cy="1538585"/>
                                    </a:xfrm>
                                    <a:prstGeom prst="rect">
                                      <a:avLst/>
                                    </a:prstGeom>
                                    <a:noFill/>
                                    <a:ln>
                                      <a:noFill/>
                                    </a:ln>
                                    <a:extLst>
                                      <a:ext uri="{53640926-AAD7-44D8-BBD7-CCE9431645EC}">
                                        <a14:shadowObscured xmlns:a14="http://schemas.microsoft.com/office/drawing/2010/main"/>
                                      </a:ext>
                                    </a:extLst>
                                  </pic:spPr>
                                </pic:pic>
                              </a:graphicData>
                            </a:graphic>
                          </wp:inline>
                        </w:drawing>
                      </w:r>
                    </w:p>
                    <w:p w14:paraId="05495AA2" w14:textId="77777777" w:rsidR="0050059F" w:rsidRPr="00D407D7" w:rsidRDefault="0050059F" w:rsidP="0050059F">
                      <w:pPr>
                        <w:spacing w:line="0" w:lineRule="atLeast"/>
                        <w:ind w:firstLineChars="150" w:firstLine="270"/>
                        <w:rPr>
                          <w:rFonts w:ascii="標楷體" w:eastAsia="標楷體" w:hAnsi="標楷體"/>
                          <w:sz w:val="18"/>
                          <w:szCs w:val="18"/>
                        </w:rPr>
                      </w:pPr>
                      <w:r w:rsidRPr="00C2590F">
                        <w:rPr>
                          <w:rFonts w:ascii="標楷體" w:eastAsia="標楷體" w:hAnsi="標楷體" w:hint="eastAsia"/>
                          <w:sz w:val="18"/>
                          <w:szCs w:val="18"/>
                        </w:rPr>
                        <w:t>圖片</w:t>
                      </w:r>
                      <w:r w:rsidRPr="00C2590F">
                        <w:rPr>
                          <w:rFonts w:ascii="標楷體" w:eastAsia="標楷體" w:hAnsi="標楷體"/>
                          <w:sz w:val="18"/>
                          <w:szCs w:val="18"/>
                        </w:rPr>
                        <w:t>來</w:t>
                      </w:r>
                      <w:r w:rsidRPr="00C2590F">
                        <w:rPr>
                          <w:rFonts w:ascii="標楷體" w:eastAsia="標楷體" w:hAnsi="標楷體" w:hint="eastAsia"/>
                          <w:sz w:val="18"/>
                          <w:szCs w:val="18"/>
                        </w:rPr>
                        <w:t>源：</w:t>
                      </w:r>
                      <w:r>
                        <w:rPr>
                          <w:rFonts w:ascii="標楷體" w:eastAsia="標楷體" w:hAnsi="標楷體" w:hint="eastAsia"/>
                          <w:sz w:val="18"/>
                          <w:szCs w:val="18"/>
                        </w:rPr>
                        <w:t>擷取</w:t>
                      </w:r>
                      <w:r w:rsidRPr="00D407D7">
                        <w:rPr>
                          <w:rFonts w:ascii="標楷體" w:eastAsia="標楷體" w:hAnsi="標楷體" w:hint="eastAsia"/>
                          <w:sz w:val="18"/>
                          <w:szCs w:val="18"/>
                        </w:rPr>
                        <w:t>自捷運工程</w:t>
                      </w:r>
                      <w:proofErr w:type="gramStart"/>
                      <w:r w:rsidRPr="00D407D7">
                        <w:rPr>
                          <w:rFonts w:ascii="標楷體" w:eastAsia="標楷體" w:hAnsi="標楷體" w:hint="eastAsia"/>
                          <w:sz w:val="18"/>
                          <w:szCs w:val="18"/>
                        </w:rPr>
                        <w:t>局官網</w:t>
                      </w:r>
                      <w:proofErr w:type="gramEnd"/>
                      <w:r>
                        <w:rPr>
                          <w:rFonts w:ascii="標楷體" w:eastAsia="標楷體" w:hAnsi="標楷體" w:hint="eastAsia"/>
                          <w:sz w:val="18"/>
                          <w:szCs w:val="18"/>
                        </w:rPr>
                        <w:t>。</w:t>
                      </w:r>
                    </w:p>
                  </w:txbxContent>
                </v:textbox>
                <w10:wrap type="square"/>
              </v:shape>
            </w:pict>
          </mc:Fallback>
        </mc:AlternateContent>
      </w:r>
      <w:bookmarkEnd w:id="115"/>
      <w:r w:rsidRPr="00177770">
        <w:rPr>
          <w:rFonts w:ascii="標楷體" w:eastAsia="標楷體" w:hAnsi="標楷體" w:hint="eastAsia"/>
          <w:noProof/>
        </w:rPr>
        <w:t>捷運工程局為</w:t>
      </w:r>
      <w:r w:rsidRPr="00177770">
        <w:rPr>
          <w:rFonts w:ascii="標楷體" w:eastAsia="標楷體" w:hAnsi="標楷體"/>
          <w:noProof/>
        </w:rPr>
        <w:t>延伸</w:t>
      </w:r>
      <w:r w:rsidRPr="00177770">
        <w:rPr>
          <w:rFonts w:ascii="標楷體" w:eastAsia="標楷體" w:hAnsi="標楷體" w:hint="eastAsia"/>
          <w:noProof/>
        </w:rPr>
        <w:t>臺北捷運</w:t>
      </w:r>
      <w:r w:rsidRPr="00177770">
        <w:rPr>
          <w:rFonts w:ascii="標楷體" w:eastAsia="標楷體" w:hAnsi="標楷體"/>
          <w:noProof/>
        </w:rPr>
        <w:t>路網及創造地區發展，</w:t>
      </w:r>
      <w:r w:rsidRPr="00177770">
        <w:rPr>
          <w:rFonts w:ascii="標楷體" w:eastAsia="標楷體" w:hAnsi="標楷體" w:hint="eastAsia"/>
          <w:noProof/>
        </w:rPr>
        <w:t>辦理臺北都會區大眾捷運系統信義線東延段計畫，</w:t>
      </w:r>
      <w:r w:rsidRPr="00177770">
        <w:rPr>
          <w:rFonts w:ascii="標楷體" w:eastAsia="標楷體" w:hAnsi="標楷體"/>
          <w:noProof/>
        </w:rPr>
        <w:t>路線方案係接續捷運信義線象山站（</w:t>
      </w:r>
      <w:r w:rsidRPr="00177770">
        <w:rPr>
          <w:rFonts w:ascii="標楷體" w:eastAsia="標楷體" w:hAnsi="標楷體" w:cs="標楷體"/>
          <w:bCs/>
          <w:szCs w:val="32"/>
        </w:rPr>
        <w:t>R05</w:t>
      </w:r>
      <w:r w:rsidRPr="00177770">
        <w:rPr>
          <w:rFonts w:ascii="標楷體" w:eastAsia="標楷體" w:hAnsi="標楷體"/>
          <w:noProof/>
        </w:rPr>
        <w:t>）尾軌東端，以高運量地下化向東延伸，沿信義路六段至福德街廣慈博愛園區前增設橫渡線及R03車站</w:t>
      </w:r>
      <w:r w:rsidRPr="00177770">
        <w:rPr>
          <w:rFonts w:ascii="標楷體" w:eastAsia="標楷體" w:hAnsi="標楷體" w:cs="細明體" w:hint="eastAsia"/>
          <w:kern w:val="0"/>
        </w:rPr>
        <w:t>（取名廣慈／奉天宮站</w:t>
      </w:r>
      <w:r w:rsidRPr="00177770">
        <w:rPr>
          <w:rFonts w:ascii="標楷體" w:eastAsia="標楷體" w:hAnsi="標楷體" w:cs="細明體"/>
          <w:kern w:val="0"/>
        </w:rPr>
        <w:t>）</w:t>
      </w:r>
      <w:r w:rsidRPr="00177770">
        <w:rPr>
          <w:rFonts w:ascii="標楷體" w:eastAsia="標楷體" w:hAnsi="標楷體"/>
          <w:noProof/>
        </w:rPr>
        <w:t>，並自</w:t>
      </w:r>
      <w:r w:rsidRPr="00177770">
        <w:rPr>
          <w:rFonts w:ascii="標楷體" w:eastAsia="標楷體" w:hAnsi="標楷體" w:hint="eastAsia"/>
          <w:noProof/>
        </w:rPr>
        <w:t>該</w:t>
      </w:r>
      <w:r w:rsidRPr="00177770">
        <w:rPr>
          <w:rFonts w:ascii="標楷體" w:eastAsia="標楷體" w:hAnsi="標楷體"/>
          <w:noProof/>
        </w:rPr>
        <w:t>站以東起沿福德街、中坡南路以潛盾機</w:t>
      </w:r>
      <w:r w:rsidRPr="00177770">
        <w:rPr>
          <w:rFonts w:ascii="標楷體" w:eastAsia="標楷體" w:hAnsi="標楷體" w:hint="eastAsia"/>
          <w:noProof/>
        </w:rPr>
        <w:t>鑽掘</w:t>
      </w:r>
      <w:r w:rsidRPr="00177770">
        <w:rPr>
          <w:rFonts w:ascii="標楷體" w:eastAsia="標楷體" w:hAnsi="標楷體"/>
          <w:noProof/>
        </w:rPr>
        <w:t>隧道至玉成公園止</w:t>
      </w:r>
      <w:r w:rsidRPr="00177770">
        <w:rPr>
          <w:rFonts w:ascii="標楷體" w:eastAsia="標楷體" w:hAnsi="標楷體" w:hint="eastAsia"/>
          <w:noProof/>
        </w:rPr>
        <w:t>，全長約</w:t>
      </w:r>
      <w:r w:rsidRPr="00177770">
        <w:rPr>
          <w:rFonts w:ascii="標楷體" w:eastAsia="標楷體" w:hAnsi="標楷體"/>
          <w:noProof/>
        </w:rPr>
        <w:t>1.4公里</w:t>
      </w:r>
      <w:r w:rsidRPr="00177770">
        <w:rPr>
          <w:rFonts w:ascii="標楷體" w:eastAsia="標楷體" w:hAnsi="標楷體" w:hint="eastAsia"/>
          <w:noProof/>
        </w:rPr>
        <w:t>（圖1）；本</w:t>
      </w:r>
      <w:r w:rsidRPr="00177770">
        <w:rPr>
          <w:rFonts w:ascii="標楷體" w:eastAsia="標楷體" w:hAnsi="標楷體"/>
          <w:noProof/>
        </w:rPr>
        <w:t>計畫</w:t>
      </w:r>
      <w:r w:rsidRPr="00177770">
        <w:rPr>
          <w:rFonts w:ascii="標楷體" w:eastAsia="標楷體" w:hAnsi="標楷體" w:hint="eastAsia"/>
          <w:noProof/>
        </w:rPr>
        <w:t>以</w:t>
      </w:r>
      <w:r w:rsidRPr="00177770">
        <w:rPr>
          <w:rFonts w:ascii="標楷體" w:eastAsia="標楷體" w:hAnsi="標楷體"/>
          <w:noProof/>
        </w:rPr>
        <w:t>114年底工程實質完工</w:t>
      </w:r>
      <w:r w:rsidRPr="00177770">
        <w:rPr>
          <w:rFonts w:ascii="標楷體" w:eastAsia="標楷體" w:hAnsi="標楷體" w:hint="eastAsia"/>
          <w:noProof/>
        </w:rPr>
        <w:t>為</w:t>
      </w:r>
      <w:r w:rsidRPr="00177770">
        <w:rPr>
          <w:rFonts w:ascii="標楷體" w:eastAsia="標楷體" w:hAnsi="標楷體"/>
          <w:noProof/>
          <w:kern w:val="0"/>
        </w:rPr>
        <w:t>目標</w:t>
      </w:r>
      <w:r w:rsidRPr="00177770">
        <w:rPr>
          <w:rFonts w:ascii="標楷體" w:eastAsia="標楷體" w:hAnsi="標楷體" w:hint="eastAsia"/>
          <w:noProof/>
        </w:rPr>
        <w:t>，完工</w:t>
      </w:r>
      <w:r w:rsidRPr="00177770">
        <w:rPr>
          <w:rFonts w:ascii="標楷體" w:eastAsia="標楷體" w:hAnsi="標楷體"/>
          <w:noProof/>
        </w:rPr>
        <w:t>後俟穩定性測試、模擬演練及初履勘通過後，始得通車營運</w:t>
      </w:r>
      <w:r w:rsidRPr="00177770">
        <w:rPr>
          <w:rFonts w:ascii="標楷體" w:eastAsia="標楷體" w:hAnsi="標楷體" w:hint="eastAsia"/>
          <w:noProof/>
        </w:rPr>
        <w:t>，並</w:t>
      </w:r>
      <w:r w:rsidRPr="00177770">
        <w:rPr>
          <w:rFonts w:ascii="標楷體" w:eastAsia="標楷體" w:hAnsi="標楷體"/>
          <w:noProof/>
        </w:rPr>
        <w:t>進行營運可靠度、維修度驗證及相關竣工驗收等作業共約需1.5年，計畫期程</w:t>
      </w:r>
      <w:r w:rsidRPr="00177770">
        <w:rPr>
          <w:rFonts w:ascii="標楷體" w:eastAsia="標楷體" w:hAnsi="標楷體" w:hint="eastAsia"/>
          <w:noProof/>
        </w:rPr>
        <w:t>至</w:t>
      </w:r>
      <w:r w:rsidRPr="00177770">
        <w:rPr>
          <w:rFonts w:ascii="標楷體" w:eastAsia="標楷體" w:hAnsi="標楷體"/>
          <w:noProof/>
        </w:rPr>
        <w:t>116年6月底止</w:t>
      </w:r>
      <w:r w:rsidRPr="00177770">
        <w:rPr>
          <w:rFonts w:ascii="標楷體" w:eastAsia="標楷體" w:hAnsi="標楷體" w:hint="eastAsia"/>
          <w:noProof/>
        </w:rPr>
        <w:t>；計畫總經費為</w:t>
      </w:r>
      <w:r w:rsidRPr="00177770">
        <w:rPr>
          <w:rFonts w:ascii="標楷體" w:eastAsia="標楷體" w:hAnsi="標楷體"/>
          <w:noProof/>
        </w:rPr>
        <w:t>93</w:t>
      </w:r>
      <w:r w:rsidRPr="00177770">
        <w:rPr>
          <w:rFonts w:ascii="標楷體" w:eastAsia="標楷體" w:hAnsi="標楷體" w:hint="eastAsia"/>
          <w:noProof/>
        </w:rPr>
        <w:t>億6</w:t>
      </w:r>
      <w:r w:rsidRPr="00177770">
        <w:rPr>
          <w:rFonts w:ascii="標楷體" w:eastAsia="標楷體" w:hAnsi="標楷體"/>
          <w:noProof/>
        </w:rPr>
        <w:t>,979</w:t>
      </w:r>
      <w:r w:rsidRPr="00177770">
        <w:rPr>
          <w:rFonts w:ascii="標楷體" w:eastAsia="標楷體" w:hAnsi="標楷體" w:hint="eastAsia"/>
          <w:noProof/>
        </w:rPr>
        <w:t>萬餘元</w:t>
      </w:r>
      <w:r w:rsidRPr="00177770">
        <w:rPr>
          <w:rFonts w:ascii="標楷體" w:eastAsia="標楷體" w:hAnsi="標楷體" w:hint="eastAsia"/>
          <w:noProof/>
          <w:kern w:val="0"/>
        </w:rPr>
        <w:t>。經查執行情形，核有下列事項：</w:t>
      </w:r>
    </w:p>
    <w:p w14:paraId="56F36D2D" w14:textId="77777777" w:rsidR="009B7C5F" w:rsidRDefault="0050059F" w:rsidP="00556236">
      <w:pPr>
        <w:overflowPunct w:val="0"/>
        <w:spacing w:beforeLines="30" w:before="108" w:line="400" w:lineRule="exact"/>
        <w:ind w:firstLineChars="200" w:firstLine="480"/>
        <w:jc w:val="both"/>
        <w:outlineLvl w:val="3"/>
        <w:rPr>
          <w:rFonts w:ascii="標楷體" w:eastAsia="標楷體" w:hAnsi="標楷體"/>
        </w:rPr>
      </w:pPr>
      <w:r w:rsidRPr="00177770">
        <w:rPr>
          <w:rFonts w:ascii="標楷體" w:eastAsia="標楷體" w:hAnsi="標楷體" w:hint="eastAsia"/>
          <w:b/>
          <w:bCs/>
          <w:noProof/>
          <w:kern w:val="0"/>
        </w:rPr>
        <w:t>1</w:t>
      </w:r>
      <w:r w:rsidRPr="00177770">
        <w:rPr>
          <w:rFonts w:ascii="標楷體" w:eastAsia="標楷體" w:hAnsi="標楷體"/>
          <w:b/>
          <w:bCs/>
          <w:noProof/>
          <w:kern w:val="0"/>
        </w:rPr>
        <w:t>.</w:t>
      </w:r>
      <w:r w:rsidRPr="00177770">
        <w:rPr>
          <w:rFonts w:ascii="標楷體" w:eastAsia="標楷體" w:hAnsi="標楷體" w:hint="eastAsia"/>
          <w:b/>
          <w:bCs/>
        </w:rPr>
        <w:t>辦理捷運工程所採用契約之一般條款，未參照採購法主管機關所頒契約範本，將檢（試）驗費、審查費、文書作業費、調查費、協調費、製圖</w:t>
      </w:r>
      <w:proofErr w:type="gramStart"/>
      <w:r w:rsidRPr="00177770">
        <w:rPr>
          <w:rFonts w:ascii="標楷體" w:eastAsia="標楷體" w:hAnsi="標楷體" w:hint="eastAsia"/>
          <w:b/>
          <w:bCs/>
        </w:rPr>
        <w:t>費等納為</w:t>
      </w:r>
      <w:proofErr w:type="gramEnd"/>
      <w:r w:rsidRPr="00177770">
        <w:rPr>
          <w:rFonts w:ascii="標楷體" w:eastAsia="標楷體" w:hAnsi="標楷體" w:hint="eastAsia"/>
          <w:b/>
          <w:bCs/>
        </w:rPr>
        <w:t>不予計算</w:t>
      </w:r>
      <w:proofErr w:type="gramStart"/>
      <w:r w:rsidRPr="00177770">
        <w:rPr>
          <w:rFonts w:ascii="標楷體" w:eastAsia="標楷體" w:hAnsi="標楷體" w:hint="eastAsia"/>
          <w:b/>
          <w:bCs/>
        </w:rPr>
        <w:t>物調費</w:t>
      </w:r>
      <w:proofErr w:type="gramEnd"/>
      <w:r w:rsidRPr="00177770">
        <w:rPr>
          <w:rFonts w:ascii="標楷體" w:eastAsia="標楷體" w:hAnsi="標楷體" w:hint="eastAsia"/>
          <w:b/>
          <w:bCs/>
        </w:rPr>
        <w:t>之項目，致物價指數攀升時，</w:t>
      </w:r>
      <w:proofErr w:type="gramStart"/>
      <w:r w:rsidRPr="00177770">
        <w:rPr>
          <w:rFonts w:ascii="標楷體" w:eastAsia="標楷體" w:hAnsi="標楷體" w:hint="eastAsia"/>
          <w:b/>
          <w:bCs/>
        </w:rPr>
        <w:t>增加物調費用</w:t>
      </w:r>
      <w:proofErr w:type="gramEnd"/>
      <w:r w:rsidRPr="00177770">
        <w:rPr>
          <w:rFonts w:ascii="標楷體" w:eastAsia="標楷體" w:hAnsi="標楷體" w:hint="eastAsia"/>
          <w:b/>
          <w:bCs/>
        </w:rPr>
        <w:t>支出：</w:t>
      </w:r>
      <w:r w:rsidRPr="00177770">
        <w:rPr>
          <w:rFonts w:ascii="標楷體" w:eastAsia="標楷體" w:hAnsi="標楷體" w:hint="eastAsia"/>
        </w:rPr>
        <w:t>依政府採購法（下稱採購法）第</w:t>
      </w:r>
      <w:r w:rsidRPr="00177770">
        <w:rPr>
          <w:rFonts w:ascii="標楷體" w:eastAsia="標楷體" w:hAnsi="標楷體"/>
        </w:rPr>
        <w:t>63</w:t>
      </w:r>
      <w:r w:rsidRPr="00177770">
        <w:rPr>
          <w:rFonts w:ascii="標楷體" w:eastAsia="標楷體" w:hAnsi="標楷體" w:hint="eastAsia"/>
        </w:rPr>
        <w:t>條第</w:t>
      </w:r>
      <w:r w:rsidRPr="00177770">
        <w:rPr>
          <w:rFonts w:ascii="標楷體" w:eastAsia="標楷體" w:hAnsi="標楷體"/>
        </w:rPr>
        <w:t>1</w:t>
      </w:r>
      <w:r w:rsidRPr="00177770">
        <w:rPr>
          <w:rFonts w:ascii="標楷體" w:eastAsia="標楷體" w:hAnsi="標楷體" w:hint="eastAsia"/>
        </w:rPr>
        <w:t>項規定略</w:t>
      </w:r>
      <w:proofErr w:type="gramStart"/>
      <w:r w:rsidRPr="00177770">
        <w:rPr>
          <w:rFonts w:ascii="標楷體" w:eastAsia="標楷體" w:hAnsi="標楷體" w:hint="eastAsia"/>
        </w:rPr>
        <w:t>以</w:t>
      </w:r>
      <w:proofErr w:type="gramEnd"/>
      <w:r w:rsidRPr="00177770">
        <w:rPr>
          <w:rFonts w:ascii="標楷體" w:eastAsia="標楷體" w:hAnsi="標楷體" w:hint="eastAsia"/>
        </w:rPr>
        <w:t>，各類</w:t>
      </w:r>
      <w:proofErr w:type="gramStart"/>
      <w:r w:rsidRPr="00177770">
        <w:rPr>
          <w:rFonts w:ascii="標楷體" w:eastAsia="標楷體" w:hAnsi="標楷體" w:hint="eastAsia"/>
        </w:rPr>
        <w:t>採</w:t>
      </w:r>
      <w:proofErr w:type="gramEnd"/>
    </w:p>
    <w:p w14:paraId="5EE69594" w14:textId="48509866" w:rsidR="0050059F" w:rsidRPr="00177770" w:rsidRDefault="0050059F" w:rsidP="009B7C5F">
      <w:pPr>
        <w:overflowPunct w:val="0"/>
        <w:spacing w:beforeLines="30" w:before="108" w:line="400" w:lineRule="exact"/>
        <w:jc w:val="both"/>
        <w:outlineLvl w:val="3"/>
        <w:rPr>
          <w:rFonts w:ascii="標楷體" w:eastAsia="標楷體" w:hAnsi="標楷體"/>
          <w:noProof/>
          <w:kern w:val="0"/>
        </w:rPr>
      </w:pPr>
      <w:r w:rsidRPr="00177770">
        <w:rPr>
          <w:rFonts w:ascii="標楷體" w:eastAsia="標楷體" w:hAnsi="標楷體" w:hint="eastAsia"/>
        </w:rPr>
        <w:lastRenderedPageBreak/>
        <w:t>購契約以採用主管機關訂定之範本為原則。另依採購法主管機關行政院公共工程委員會（下稱工程會）所訂頒公共工程施工綱要規範第</w:t>
      </w:r>
      <w:r w:rsidRPr="00177770">
        <w:rPr>
          <w:rFonts w:ascii="標楷體" w:eastAsia="標楷體" w:hAnsi="標楷體"/>
        </w:rPr>
        <w:t>00700</w:t>
      </w:r>
      <w:r w:rsidRPr="00177770">
        <w:rPr>
          <w:rFonts w:ascii="標楷體" w:eastAsia="標楷體" w:hAnsi="標楷體" w:hint="eastAsia"/>
        </w:rPr>
        <w:t>篇之一般條款</w:t>
      </w:r>
      <w:r w:rsidRPr="00177770">
        <w:rPr>
          <w:rFonts w:ascii="標楷體" w:eastAsia="標楷體" w:hAnsi="標楷體"/>
        </w:rPr>
        <w:t>S、S.2「</w:t>
      </w:r>
      <w:r w:rsidRPr="00177770">
        <w:rPr>
          <w:rFonts w:ascii="標楷體" w:eastAsia="標楷體" w:hAnsi="標楷體" w:hint="eastAsia"/>
        </w:rPr>
        <w:t>工程費按物價指數調整</w:t>
      </w:r>
      <w:r w:rsidRPr="00177770">
        <w:rPr>
          <w:rFonts w:ascii="標楷體" w:eastAsia="標楷體" w:hAnsi="標楷體"/>
        </w:rPr>
        <w:t>」</w:t>
      </w:r>
      <w:r w:rsidRPr="00177770">
        <w:rPr>
          <w:rFonts w:ascii="標楷體" w:eastAsia="標楷體" w:hAnsi="標楷體" w:hint="eastAsia"/>
        </w:rPr>
        <w:t>規定略</w:t>
      </w:r>
      <w:proofErr w:type="gramStart"/>
      <w:r w:rsidRPr="00177770">
        <w:rPr>
          <w:rFonts w:ascii="標楷體" w:eastAsia="標楷體" w:hAnsi="標楷體" w:hint="eastAsia"/>
        </w:rPr>
        <w:t>以</w:t>
      </w:r>
      <w:proofErr w:type="gramEnd"/>
      <w:r w:rsidRPr="00177770">
        <w:rPr>
          <w:rFonts w:ascii="標楷體" w:eastAsia="標楷體" w:hAnsi="標楷體" w:hint="eastAsia"/>
        </w:rPr>
        <w:t>，如契約內訂有工程費按物價指數調整之規定，應參照工程會最新版本之工程採購契約範本第5條契約價金之給付條件及相關</w:t>
      </w:r>
      <w:proofErr w:type="gramStart"/>
      <w:r w:rsidRPr="00177770">
        <w:rPr>
          <w:rFonts w:ascii="標楷體" w:eastAsia="標楷體" w:hAnsi="標楷體" w:hint="eastAsia"/>
        </w:rPr>
        <w:t>解釋函訂定</w:t>
      </w:r>
      <w:proofErr w:type="gramEnd"/>
      <w:r w:rsidRPr="00177770">
        <w:rPr>
          <w:rFonts w:ascii="標楷體" w:eastAsia="標楷體" w:hAnsi="標楷體" w:hint="eastAsia"/>
        </w:rPr>
        <w:t>調整方式。又依工程會工程採購契約範本第</w:t>
      </w:r>
      <w:r w:rsidRPr="00177770">
        <w:rPr>
          <w:rFonts w:ascii="標楷體" w:eastAsia="標楷體" w:hAnsi="標楷體"/>
        </w:rPr>
        <w:t>5</w:t>
      </w:r>
      <w:r w:rsidRPr="00177770">
        <w:rPr>
          <w:rFonts w:ascii="標楷體" w:eastAsia="標楷體" w:hAnsi="標楷體" w:hint="eastAsia"/>
        </w:rPr>
        <w:t>條第</w:t>
      </w:r>
      <w:r w:rsidRPr="00177770">
        <w:rPr>
          <w:rFonts w:ascii="標楷體" w:eastAsia="標楷體" w:hAnsi="標楷體"/>
        </w:rPr>
        <w:t>1</w:t>
      </w:r>
      <w:r w:rsidRPr="00177770">
        <w:rPr>
          <w:rFonts w:ascii="標楷體" w:eastAsia="標楷體" w:hAnsi="標楷體" w:hint="eastAsia"/>
        </w:rPr>
        <w:t>款第</w:t>
      </w:r>
      <w:r w:rsidRPr="00177770">
        <w:rPr>
          <w:rFonts w:ascii="標楷體" w:eastAsia="標楷體" w:hAnsi="標楷體"/>
        </w:rPr>
        <w:t>7</w:t>
      </w:r>
      <w:r w:rsidRPr="00177770">
        <w:rPr>
          <w:rFonts w:ascii="標楷體" w:eastAsia="標楷體" w:hAnsi="標楷體" w:hint="eastAsia"/>
        </w:rPr>
        <w:t>目規定略</w:t>
      </w:r>
      <w:proofErr w:type="gramStart"/>
      <w:r w:rsidRPr="00177770">
        <w:rPr>
          <w:rFonts w:ascii="標楷體" w:eastAsia="標楷體" w:hAnsi="標楷體" w:hint="eastAsia"/>
        </w:rPr>
        <w:t>以</w:t>
      </w:r>
      <w:proofErr w:type="gramEnd"/>
      <w:r w:rsidRPr="00177770">
        <w:rPr>
          <w:rFonts w:ascii="標楷體" w:eastAsia="標楷體" w:hAnsi="標楷體" w:hint="eastAsia"/>
        </w:rPr>
        <w:t>，規費、規劃費、設計費、土地及權利費用、法律費用、管理費、保險費、利潤、利息、稅雜費、訓練費、檢</w:t>
      </w:r>
      <w:r w:rsidRPr="00177770">
        <w:rPr>
          <w:rFonts w:ascii="標楷體" w:eastAsia="標楷體" w:hAnsi="標楷體"/>
        </w:rPr>
        <w:t>（</w:t>
      </w:r>
      <w:r w:rsidRPr="00177770">
        <w:rPr>
          <w:rFonts w:ascii="標楷體" w:eastAsia="標楷體" w:hAnsi="標楷體" w:hint="eastAsia"/>
        </w:rPr>
        <w:t>試</w:t>
      </w:r>
      <w:r w:rsidRPr="00177770">
        <w:rPr>
          <w:rFonts w:ascii="標楷體" w:eastAsia="標楷體" w:hAnsi="標楷體"/>
        </w:rPr>
        <w:t>）</w:t>
      </w:r>
      <w:r w:rsidRPr="00177770">
        <w:rPr>
          <w:rFonts w:ascii="標楷體" w:eastAsia="標楷體" w:hAnsi="標楷體" w:hint="eastAsia"/>
        </w:rPr>
        <w:t>驗費、審查費、土地及房屋租金、文書作業費、調查費、協調費、製圖費、攝影費等不予依物價指數調整契約價金。</w:t>
      </w:r>
      <w:proofErr w:type="gramStart"/>
      <w:r w:rsidRPr="00177770">
        <w:rPr>
          <w:rFonts w:ascii="標楷體" w:eastAsia="標楷體" w:hAnsi="標楷體" w:hint="eastAsia"/>
        </w:rPr>
        <w:t>惟</w:t>
      </w:r>
      <w:proofErr w:type="gramEnd"/>
      <w:r w:rsidRPr="00177770">
        <w:rPr>
          <w:rFonts w:ascii="標楷體" w:eastAsia="標楷體" w:hAnsi="標楷體" w:hint="eastAsia"/>
          <w:noProof/>
        </w:rPr>
        <w:t>捷運工程局</w:t>
      </w:r>
      <w:r w:rsidRPr="00177770">
        <w:rPr>
          <w:rFonts w:ascii="標楷體" w:eastAsia="標楷體" w:hAnsi="標楷體" w:hint="eastAsia"/>
        </w:rPr>
        <w:t>及所屬第二區工程處（下稱二工處）所使用工程契約之一般條款</w:t>
      </w:r>
      <w:r w:rsidRPr="00177770">
        <w:rPr>
          <w:rFonts w:ascii="標楷體" w:eastAsia="標楷體" w:hAnsi="標楷體"/>
        </w:rPr>
        <w:t>S、S.2</w:t>
      </w:r>
      <w:r w:rsidRPr="00177770">
        <w:rPr>
          <w:rFonts w:ascii="標楷體" w:eastAsia="標楷體" w:hAnsi="標楷體" w:hint="eastAsia"/>
        </w:rPr>
        <w:t>，未參照前揭工程會訂頒工程採購契約範本第</w:t>
      </w:r>
      <w:r w:rsidRPr="00177770">
        <w:rPr>
          <w:rFonts w:ascii="標楷體" w:eastAsia="標楷體" w:hAnsi="標楷體"/>
        </w:rPr>
        <w:t>5條第1款第7目</w:t>
      </w:r>
      <w:r w:rsidRPr="00177770">
        <w:rPr>
          <w:rFonts w:ascii="標楷體" w:eastAsia="標楷體" w:hAnsi="標楷體" w:hint="eastAsia"/>
        </w:rPr>
        <w:t>規定，將檢（試）驗費、審查費、文書作業費、調查費、協調費、製圖</w:t>
      </w:r>
      <w:proofErr w:type="gramStart"/>
      <w:r w:rsidRPr="00177770">
        <w:rPr>
          <w:rFonts w:ascii="標楷體" w:eastAsia="標楷體" w:hAnsi="標楷體" w:hint="eastAsia"/>
        </w:rPr>
        <w:t>費等納為</w:t>
      </w:r>
      <w:proofErr w:type="gramEnd"/>
      <w:r w:rsidRPr="00177770">
        <w:rPr>
          <w:rFonts w:ascii="標楷體" w:eastAsia="標楷體" w:hAnsi="標楷體" w:hint="eastAsia"/>
        </w:rPr>
        <w:t>不予依物價指數調整契約價金之項目，未符採購法第</w:t>
      </w:r>
      <w:r w:rsidRPr="00177770">
        <w:rPr>
          <w:rFonts w:ascii="標楷體" w:eastAsia="標楷體" w:hAnsi="標楷體"/>
        </w:rPr>
        <w:t>63</w:t>
      </w:r>
      <w:r w:rsidRPr="00177770">
        <w:rPr>
          <w:rFonts w:ascii="標楷體" w:eastAsia="標楷體" w:hAnsi="標楷體" w:hint="eastAsia"/>
        </w:rPr>
        <w:t>條第</w:t>
      </w:r>
      <w:r w:rsidRPr="00177770">
        <w:rPr>
          <w:rFonts w:ascii="標楷體" w:eastAsia="標楷體" w:hAnsi="標楷體"/>
        </w:rPr>
        <w:t>1</w:t>
      </w:r>
      <w:r w:rsidRPr="00177770">
        <w:rPr>
          <w:rFonts w:ascii="標楷體" w:eastAsia="標楷體" w:hAnsi="標楷體" w:hint="eastAsia"/>
        </w:rPr>
        <w:t>項有關各類採購契約以採用主管機關訂定範本為原則之規定；且近年物價指數持續攀升，致二工處所辦理信義線</w:t>
      </w:r>
      <w:proofErr w:type="gramStart"/>
      <w:r w:rsidRPr="00177770">
        <w:rPr>
          <w:rFonts w:ascii="標楷體" w:eastAsia="標楷體" w:hAnsi="標楷體" w:hint="eastAsia"/>
        </w:rPr>
        <w:t>東延段計畫</w:t>
      </w:r>
      <w:proofErr w:type="gramEnd"/>
      <w:r w:rsidRPr="00177770">
        <w:rPr>
          <w:rFonts w:ascii="標楷體" w:eastAsia="標楷體" w:hAnsi="標楷體" w:hint="eastAsia"/>
        </w:rPr>
        <w:t>中之</w:t>
      </w:r>
      <w:r w:rsidRPr="00177770">
        <w:rPr>
          <w:rFonts w:ascii="標楷體" w:eastAsia="標楷體" w:hAnsi="標楷體"/>
        </w:rPr>
        <w:t>CR580C</w:t>
      </w:r>
      <w:proofErr w:type="gramStart"/>
      <w:r w:rsidRPr="00177770">
        <w:rPr>
          <w:rFonts w:ascii="標楷體" w:eastAsia="標楷體" w:hAnsi="標楷體" w:hint="eastAsia"/>
        </w:rPr>
        <w:t>區段標內</w:t>
      </w:r>
      <w:proofErr w:type="gramEnd"/>
      <w:r w:rsidRPr="00177770">
        <w:rPr>
          <w:rFonts w:ascii="標楷體" w:eastAsia="標楷體" w:hAnsi="標楷體"/>
        </w:rPr>
        <w:t>CR285標（土建工程）</w:t>
      </w:r>
      <w:r w:rsidRPr="00177770">
        <w:rPr>
          <w:rFonts w:ascii="標楷體" w:eastAsia="標楷體" w:hAnsi="標楷體" w:hint="eastAsia"/>
        </w:rPr>
        <w:t>，依該處提供累積至</w:t>
      </w:r>
      <w:proofErr w:type="gramStart"/>
      <w:r w:rsidRPr="00177770">
        <w:rPr>
          <w:rFonts w:ascii="標楷體" w:eastAsia="標楷體" w:hAnsi="標楷體" w:hint="eastAsia"/>
        </w:rPr>
        <w:t>第</w:t>
      </w:r>
      <w:r w:rsidRPr="00177770">
        <w:rPr>
          <w:rFonts w:ascii="標楷體" w:eastAsia="標楷體" w:hAnsi="標楷體"/>
        </w:rPr>
        <w:t>92</w:t>
      </w:r>
      <w:r w:rsidRPr="00177770">
        <w:rPr>
          <w:rFonts w:ascii="標楷體" w:eastAsia="標楷體" w:hAnsi="標楷體" w:hint="eastAsia"/>
        </w:rPr>
        <w:t>次估</w:t>
      </w:r>
      <w:proofErr w:type="gramEnd"/>
      <w:r w:rsidRPr="00177770">
        <w:rPr>
          <w:rFonts w:ascii="標楷體" w:eastAsia="標楷體" w:hAnsi="標楷體" w:hint="eastAsia"/>
        </w:rPr>
        <w:t>驗計價（估驗至</w:t>
      </w:r>
      <w:r w:rsidRPr="00177770">
        <w:rPr>
          <w:rFonts w:ascii="標楷體" w:eastAsia="標楷體" w:hAnsi="標楷體"/>
        </w:rPr>
        <w:t>113年6</w:t>
      </w:r>
      <w:r w:rsidRPr="00177770">
        <w:rPr>
          <w:rFonts w:ascii="標楷體" w:eastAsia="標楷體" w:hAnsi="標楷體" w:hint="eastAsia"/>
        </w:rPr>
        <w:t>月底），已支付施工廠商相關協調、管理、書圖製作送審等項目之物價調整款約</w:t>
      </w:r>
      <w:r w:rsidRPr="00177770">
        <w:rPr>
          <w:rFonts w:ascii="標楷體" w:eastAsia="標楷體" w:hAnsi="標楷體"/>
        </w:rPr>
        <w:t>719</w:t>
      </w:r>
      <w:r w:rsidRPr="00177770">
        <w:rPr>
          <w:rFonts w:ascii="標楷體" w:eastAsia="標楷體" w:hAnsi="標楷體" w:hint="eastAsia"/>
        </w:rPr>
        <w:t>萬餘元，經函請檢討改善。據復：</w:t>
      </w:r>
      <w:r w:rsidRPr="00177770">
        <w:rPr>
          <w:rFonts w:ascii="標楷體" w:eastAsia="標楷體" w:hAnsi="標楷體" w:hint="eastAsia"/>
          <w:noProof/>
          <w:kern w:val="0"/>
        </w:rPr>
        <w:t>業於113年10月22日函知所屬單位，於後續辦理新標案招標時，工程契約</w:t>
      </w:r>
      <w:r w:rsidRPr="00177770">
        <w:rPr>
          <w:rFonts w:ascii="標楷體" w:eastAsia="標楷體" w:hAnsi="標楷體" w:hint="eastAsia"/>
        </w:rPr>
        <w:t>之一般條款</w:t>
      </w:r>
      <w:r w:rsidRPr="00177770">
        <w:rPr>
          <w:rFonts w:ascii="標楷體" w:eastAsia="標楷體" w:hAnsi="標楷體"/>
        </w:rPr>
        <w:t>S、</w:t>
      </w:r>
      <w:r w:rsidRPr="00177770">
        <w:rPr>
          <w:rFonts w:ascii="標楷體" w:eastAsia="標楷體" w:hAnsi="標楷體" w:hint="eastAsia"/>
          <w:noProof/>
          <w:kern w:val="0"/>
        </w:rPr>
        <w:t>S.2條「工程費按物價指數調整」，參照臺北市政府訂頒「臺北市政府工程採購物價指數調整計算規定」第5條第3項第2款，增列物調款計算應扣除檢（試）驗費、審查費、文書作業費、調查費、協調費、製圖費等項目之規定，並納入招標文件一般條款補充規定。</w:t>
      </w:r>
    </w:p>
    <w:p w14:paraId="4F05315F" w14:textId="77777777" w:rsidR="0050059F" w:rsidRPr="00177770" w:rsidRDefault="0050059F" w:rsidP="00556236">
      <w:pPr>
        <w:overflowPunct w:val="0"/>
        <w:spacing w:beforeLines="50" w:before="180" w:line="440" w:lineRule="exact"/>
        <w:ind w:firstLineChars="200" w:firstLine="480"/>
        <w:jc w:val="both"/>
        <w:outlineLvl w:val="3"/>
        <w:rPr>
          <w:rFonts w:ascii="標楷體" w:eastAsia="標楷體" w:hAnsi="標楷體"/>
        </w:rPr>
      </w:pPr>
      <w:r w:rsidRPr="00177770">
        <w:rPr>
          <w:rFonts w:ascii="標楷體" w:eastAsia="標楷體" w:hAnsi="標楷體"/>
          <w:b/>
          <w:bCs/>
        </w:rPr>
        <w:t>2.CR580C</w:t>
      </w:r>
      <w:r w:rsidRPr="00177770">
        <w:rPr>
          <w:rFonts w:ascii="標楷體" w:eastAsia="標楷體" w:hAnsi="標楷體" w:hint="eastAsia"/>
          <w:b/>
          <w:bCs/>
        </w:rPr>
        <w:t>區段標施工過程發生重大職災事件，造成部分工區停復工，影響機房完成及移交時程，</w:t>
      </w:r>
      <w:proofErr w:type="gramStart"/>
      <w:r w:rsidRPr="00177770">
        <w:rPr>
          <w:rFonts w:ascii="標楷體" w:eastAsia="標楷體" w:hAnsi="標楷體" w:hint="eastAsia"/>
          <w:b/>
          <w:bCs/>
        </w:rPr>
        <w:t>並衍致號誌</w:t>
      </w:r>
      <w:proofErr w:type="gramEnd"/>
      <w:r w:rsidRPr="00177770">
        <w:rPr>
          <w:rFonts w:ascii="標楷體" w:eastAsia="標楷體" w:hAnsi="標楷體" w:hint="eastAsia"/>
          <w:b/>
          <w:bCs/>
        </w:rPr>
        <w:t>、供電及通訊系統等子施工標施工進度落後：</w:t>
      </w:r>
      <w:r w:rsidRPr="00177770">
        <w:rPr>
          <w:rFonts w:ascii="標楷體" w:eastAsia="標楷體" w:hAnsi="標楷體" w:hint="eastAsia"/>
        </w:rPr>
        <w:t>信義線</w:t>
      </w:r>
      <w:proofErr w:type="gramStart"/>
      <w:r w:rsidRPr="00177770">
        <w:rPr>
          <w:rFonts w:ascii="標楷體" w:eastAsia="標楷體" w:hAnsi="標楷體" w:hint="eastAsia"/>
        </w:rPr>
        <w:t>東延段計畫</w:t>
      </w:r>
      <w:proofErr w:type="gramEnd"/>
      <w:r w:rsidRPr="00177770">
        <w:rPr>
          <w:rFonts w:ascii="標楷體" w:eastAsia="標楷體" w:hAnsi="標楷體" w:hint="eastAsia"/>
        </w:rPr>
        <w:t>中之</w:t>
      </w:r>
      <w:r w:rsidRPr="00177770">
        <w:rPr>
          <w:rFonts w:ascii="標楷體" w:eastAsia="標楷體" w:hAnsi="標楷體"/>
        </w:rPr>
        <w:t>CR580C</w:t>
      </w:r>
      <w:r w:rsidRPr="00177770">
        <w:rPr>
          <w:rFonts w:ascii="標楷體" w:eastAsia="標楷體" w:hAnsi="標楷體" w:hint="eastAsia"/>
        </w:rPr>
        <w:t>區段標自</w:t>
      </w:r>
      <w:r w:rsidRPr="00177770">
        <w:rPr>
          <w:rFonts w:ascii="標楷體" w:eastAsia="標楷體" w:hAnsi="標楷體"/>
        </w:rPr>
        <w:t>105年</w:t>
      </w:r>
      <w:r w:rsidRPr="00177770">
        <w:rPr>
          <w:rFonts w:ascii="標楷體" w:eastAsia="標楷體" w:hAnsi="標楷體" w:hint="eastAsia"/>
        </w:rPr>
        <w:t>1</w:t>
      </w:r>
      <w:r w:rsidRPr="00177770">
        <w:rPr>
          <w:rFonts w:ascii="標楷體" w:eastAsia="標楷體" w:hAnsi="標楷體"/>
        </w:rPr>
        <w:t>0月17日</w:t>
      </w:r>
      <w:r w:rsidRPr="00177770">
        <w:rPr>
          <w:rFonts w:ascii="標楷體" w:eastAsia="標楷體" w:hAnsi="標楷體" w:hint="eastAsia"/>
        </w:rPr>
        <w:t>開工，施工期間於</w:t>
      </w:r>
      <w:r w:rsidRPr="00177770">
        <w:rPr>
          <w:rFonts w:ascii="標楷體" w:eastAsia="標楷體" w:hAnsi="標楷體"/>
        </w:rPr>
        <w:t>112</w:t>
      </w:r>
      <w:r w:rsidRPr="00177770">
        <w:rPr>
          <w:rFonts w:ascii="標楷體" w:eastAsia="標楷體" w:hAnsi="標楷體" w:hint="eastAsia"/>
        </w:rPr>
        <w:t>年</w:t>
      </w:r>
      <w:r w:rsidRPr="00177770">
        <w:rPr>
          <w:rFonts w:ascii="標楷體" w:eastAsia="標楷體" w:hAnsi="標楷體"/>
        </w:rPr>
        <w:t>12</w:t>
      </w:r>
      <w:r w:rsidRPr="00177770">
        <w:rPr>
          <w:rFonts w:ascii="標楷體" w:eastAsia="標楷體" w:hAnsi="標楷體" w:hint="eastAsia"/>
        </w:rPr>
        <w:t>月</w:t>
      </w:r>
      <w:r w:rsidRPr="00177770">
        <w:rPr>
          <w:rFonts w:ascii="標楷體" w:eastAsia="標楷體" w:hAnsi="標楷體"/>
        </w:rPr>
        <w:t>12</w:t>
      </w:r>
      <w:r w:rsidRPr="00177770">
        <w:rPr>
          <w:rFonts w:ascii="標楷體" w:eastAsia="標楷體" w:hAnsi="標楷體" w:hint="eastAsia"/>
        </w:rPr>
        <w:t>日發生施工人員墜落災害致死之重大職災事件，經臺北市勞動檢查處（下稱</w:t>
      </w:r>
      <w:proofErr w:type="gramStart"/>
      <w:r w:rsidRPr="00177770">
        <w:rPr>
          <w:rFonts w:ascii="標楷體" w:eastAsia="標楷體" w:hAnsi="標楷體" w:hint="eastAsia"/>
        </w:rPr>
        <w:t>勞</w:t>
      </w:r>
      <w:proofErr w:type="gramEnd"/>
      <w:r w:rsidRPr="00177770">
        <w:rPr>
          <w:rFonts w:ascii="標楷體" w:eastAsia="標楷體" w:hAnsi="標楷體" w:hint="eastAsia"/>
        </w:rPr>
        <w:t>檢處）同日派員實施勞動檢查結果，責令該區段標</w:t>
      </w:r>
      <w:r w:rsidRPr="00177770">
        <w:rPr>
          <w:rFonts w:ascii="標楷體" w:eastAsia="標楷體" w:hAnsi="標楷體"/>
        </w:rPr>
        <w:t>R03</w:t>
      </w:r>
      <w:r w:rsidRPr="00177770">
        <w:rPr>
          <w:rFonts w:ascii="標楷體" w:eastAsia="標楷體" w:hAnsi="標楷體" w:hint="eastAsia"/>
        </w:rPr>
        <w:t>車站穿堂層及設備層自同日</w:t>
      </w:r>
      <w:r w:rsidRPr="00177770">
        <w:rPr>
          <w:rFonts w:ascii="標楷體" w:eastAsia="標楷體" w:hAnsi="標楷體"/>
        </w:rPr>
        <w:t>11</w:t>
      </w:r>
      <w:r w:rsidRPr="00177770">
        <w:rPr>
          <w:rFonts w:ascii="標楷體" w:eastAsia="標楷體" w:hAnsi="標楷體" w:hint="eastAsia"/>
        </w:rPr>
        <w:t>時</w:t>
      </w:r>
      <w:r w:rsidRPr="00177770">
        <w:rPr>
          <w:rFonts w:ascii="標楷體" w:eastAsia="標楷體" w:hAnsi="標楷體"/>
        </w:rPr>
        <w:t>45</w:t>
      </w:r>
      <w:r w:rsidRPr="00177770">
        <w:rPr>
          <w:rFonts w:ascii="標楷體" w:eastAsia="標楷體" w:hAnsi="標楷體" w:hint="eastAsia"/>
        </w:rPr>
        <w:t>分開始停工，後經施工廠商辦理改善及申請復工，</w:t>
      </w:r>
      <w:proofErr w:type="gramStart"/>
      <w:r w:rsidRPr="00177770">
        <w:rPr>
          <w:rFonts w:ascii="標楷體" w:eastAsia="標楷體" w:hAnsi="標楷體" w:hint="eastAsia"/>
        </w:rPr>
        <w:t>勞</w:t>
      </w:r>
      <w:proofErr w:type="gramEnd"/>
      <w:r w:rsidRPr="00177770">
        <w:rPr>
          <w:rFonts w:ascii="標楷體" w:eastAsia="標楷體" w:hAnsi="標楷體" w:hint="eastAsia"/>
        </w:rPr>
        <w:t>檢處同意自</w:t>
      </w:r>
      <w:r w:rsidRPr="00177770">
        <w:rPr>
          <w:rFonts w:ascii="標楷體" w:eastAsia="標楷體" w:hAnsi="標楷體"/>
        </w:rPr>
        <w:t>113</w:t>
      </w:r>
      <w:r w:rsidRPr="00177770">
        <w:rPr>
          <w:rFonts w:ascii="標楷體" w:eastAsia="標楷體" w:hAnsi="標楷體" w:hint="eastAsia"/>
        </w:rPr>
        <w:t>年</w:t>
      </w:r>
      <w:r w:rsidRPr="00177770">
        <w:rPr>
          <w:rFonts w:ascii="標楷體" w:eastAsia="標楷體" w:hAnsi="標楷體"/>
        </w:rPr>
        <w:t>3月1日10</w:t>
      </w:r>
      <w:r w:rsidRPr="00177770">
        <w:rPr>
          <w:rFonts w:ascii="標楷體" w:eastAsia="標楷體" w:hAnsi="標楷體" w:hint="eastAsia"/>
        </w:rPr>
        <w:t>時</w:t>
      </w:r>
      <w:r w:rsidRPr="00177770">
        <w:rPr>
          <w:rFonts w:ascii="標楷體" w:eastAsia="標楷體" w:hAnsi="標楷體"/>
        </w:rPr>
        <w:t>40</w:t>
      </w:r>
      <w:r w:rsidRPr="00177770">
        <w:rPr>
          <w:rFonts w:ascii="標楷體" w:eastAsia="標楷體" w:hAnsi="標楷體" w:hint="eastAsia"/>
        </w:rPr>
        <w:t>分起復工，惟因停工期間約</w:t>
      </w:r>
      <w:r w:rsidRPr="00177770">
        <w:rPr>
          <w:rFonts w:ascii="標楷體" w:eastAsia="標楷體" w:hAnsi="標楷體"/>
        </w:rPr>
        <w:t>2個月餘</w:t>
      </w:r>
      <w:r w:rsidRPr="00177770">
        <w:rPr>
          <w:rFonts w:ascii="標楷體" w:eastAsia="標楷體" w:hAnsi="標楷體" w:hint="eastAsia"/>
        </w:rPr>
        <w:t>，</w:t>
      </w:r>
      <w:r w:rsidRPr="00177770">
        <w:rPr>
          <w:rFonts w:ascii="標楷體" w:eastAsia="標楷體" w:hAnsi="標楷體"/>
        </w:rPr>
        <w:t>間接影響</w:t>
      </w:r>
      <w:r w:rsidRPr="00177770">
        <w:rPr>
          <w:rFonts w:ascii="標楷體" w:eastAsia="標楷體" w:hAnsi="標楷體" w:hint="eastAsia"/>
        </w:rPr>
        <w:t>位於車站穿堂層及設備層之機房施作進度及其移交予相關子施工標時程，</w:t>
      </w:r>
      <w:proofErr w:type="gramStart"/>
      <w:r w:rsidRPr="00177770">
        <w:rPr>
          <w:rFonts w:ascii="標楷體" w:eastAsia="標楷體" w:hAnsi="標楷體" w:hint="eastAsia"/>
        </w:rPr>
        <w:t>並衍致</w:t>
      </w:r>
      <w:proofErr w:type="gramEnd"/>
      <w:r w:rsidRPr="00177770">
        <w:rPr>
          <w:rFonts w:ascii="標楷體" w:eastAsia="標楷體" w:hAnsi="標楷體" w:hint="eastAsia"/>
        </w:rPr>
        <w:t>信義線</w:t>
      </w:r>
      <w:proofErr w:type="gramStart"/>
      <w:r w:rsidRPr="00177770">
        <w:rPr>
          <w:rFonts w:ascii="標楷體" w:eastAsia="標楷體" w:hAnsi="標楷體" w:hint="eastAsia"/>
        </w:rPr>
        <w:t>東延段計畫</w:t>
      </w:r>
      <w:proofErr w:type="gramEnd"/>
      <w:r w:rsidRPr="00177770">
        <w:rPr>
          <w:rFonts w:ascii="標楷體" w:eastAsia="標楷體" w:hAnsi="標楷體" w:hint="eastAsia"/>
        </w:rPr>
        <w:t>中之</w:t>
      </w:r>
      <w:r w:rsidRPr="00177770">
        <w:rPr>
          <w:rFonts w:ascii="標楷體" w:eastAsia="標楷體" w:hAnsi="標楷體"/>
        </w:rPr>
        <w:t>CR380E</w:t>
      </w:r>
      <w:r w:rsidRPr="00177770">
        <w:rPr>
          <w:rFonts w:ascii="標楷體" w:eastAsia="標楷體" w:hAnsi="標楷體" w:hint="eastAsia"/>
        </w:rPr>
        <w:t>標（水電環控工程</w:t>
      </w:r>
      <w:r w:rsidRPr="00177770">
        <w:rPr>
          <w:rFonts w:ascii="標楷體" w:eastAsia="標楷體" w:hAnsi="標楷體"/>
        </w:rPr>
        <w:t>）、CR382A</w:t>
      </w:r>
      <w:r w:rsidRPr="00177770">
        <w:rPr>
          <w:rFonts w:ascii="標楷體" w:eastAsia="標楷體" w:hAnsi="標楷體" w:hint="eastAsia"/>
        </w:rPr>
        <w:t>標（號</w:t>
      </w:r>
      <w:proofErr w:type="gramStart"/>
      <w:r w:rsidRPr="00177770">
        <w:rPr>
          <w:rFonts w:ascii="標楷體" w:eastAsia="標楷體" w:hAnsi="標楷體" w:hint="eastAsia"/>
        </w:rPr>
        <w:t>誌</w:t>
      </w:r>
      <w:proofErr w:type="gramEnd"/>
      <w:r w:rsidRPr="00177770">
        <w:rPr>
          <w:rFonts w:ascii="標楷體" w:eastAsia="標楷體" w:hAnsi="標楷體" w:hint="eastAsia"/>
        </w:rPr>
        <w:t>系統工程）、</w:t>
      </w:r>
      <w:r w:rsidRPr="00177770">
        <w:rPr>
          <w:rFonts w:ascii="標楷體" w:eastAsia="標楷體" w:hAnsi="標楷體"/>
        </w:rPr>
        <w:t>CR383A</w:t>
      </w:r>
      <w:r w:rsidRPr="00177770">
        <w:rPr>
          <w:rFonts w:ascii="標楷體" w:eastAsia="標楷體" w:hAnsi="標楷體" w:hint="eastAsia"/>
        </w:rPr>
        <w:t>標（供電系統工程）及</w:t>
      </w:r>
      <w:r w:rsidRPr="00177770">
        <w:rPr>
          <w:rFonts w:ascii="標楷體" w:eastAsia="標楷體" w:hAnsi="標楷體"/>
        </w:rPr>
        <w:t>CR385A</w:t>
      </w:r>
      <w:r w:rsidRPr="00177770">
        <w:rPr>
          <w:rFonts w:ascii="標楷體" w:eastAsia="標楷體" w:hAnsi="標楷體" w:hint="eastAsia"/>
        </w:rPr>
        <w:t>標（通訊系統工程）等</w:t>
      </w:r>
      <w:r w:rsidRPr="00177770">
        <w:rPr>
          <w:rFonts w:ascii="標楷體" w:eastAsia="標楷體" w:hAnsi="標楷體"/>
        </w:rPr>
        <w:t>4件子施工標</w:t>
      </w:r>
      <w:r w:rsidRPr="00177770">
        <w:rPr>
          <w:rFonts w:ascii="標楷體" w:eastAsia="標楷體" w:hAnsi="標楷體" w:hint="eastAsia"/>
        </w:rPr>
        <w:t>，截至1</w:t>
      </w:r>
      <w:r w:rsidRPr="00177770">
        <w:rPr>
          <w:rFonts w:ascii="標楷體" w:eastAsia="標楷體" w:hAnsi="標楷體"/>
        </w:rPr>
        <w:t>13</w:t>
      </w:r>
      <w:r w:rsidRPr="00177770">
        <w:rPr>
          <w:rFonts w:ascii="標楷體" w:eastAsia="標楷體" w:hAnsi="標楷體" w:hint="eastAsia"/>
        </w:rPr>
        <w:t>年8月</w:t>
      </w:r>
      <w:r w:rsidRPr="00177770">
        <w:rPr>
          <w:rFonts w:ascii="標楷體" w:eastAsia="標楷體" w:hAnsi="標楷體"/>
        </w:rPr>
        <w:t>施工進度分別落後2.49</w:t>
      </w:r>
      <w:r w:rsidRPr="00177770">
        <w:rPr>
          <w:rFonts w:ascii="標楷體" w:eastAsia="標楷體" w:hAnsi="標楷體" w:hint="eastAsia"/>
        </w:rPr>
        <w:t>％、</w:t>
      </w:r>
      <w:r w:rsidRPr="00177770">
        <w:rPr>
          <w:rFonts w:ascii="標楷體" w:eastAsia="標楷體" w:hAnsi="標楷體"/>
        </w:rPr>
        <w:t>1.37</w:t>
      </w:r>
      <w:r w:rsidRPr="00177770">
        <w:rPr>
          <w:rFonts w:ascii="標楷體" w:eastAsia="標楷體" w:hAnsi="標楷體" w:hint="eastAsia"/>
        </w:rPr>
        <w:t>％、</w:t>
      </w:r>
      <w:r w:rsidRPr="00177770">
        <w:rPr>
          <w:rFonts w:ascii="標楷體" w:eastAsia="標楷體" w:hAnsi="標楷體"/>
        </w:rPr>
        <w:t>2.33</w:t>
      </w:r>
      <w:r w:rsidRPr="00177770">
        <w:rPr>
          <w:rFonts w:ascii="標楷體" w:eastAsia="標楷體" w:hAnsi="標楷體" w:hint="eastAsia"/>
        </w:rPr>
        <w:t>％及</w:t>
      </w:r>
      <w:r w:rsidRPr="00177770">
        <w:rPr>
          <w:rFonts w:ascii="標楷體" w:eastAsia="標楷體" w:hAnsi="標楷體"/>
        </w:rPr>
        <w:t>7.95</w:t>
      </w:r>
      <w:r w:rsidRPr="00177770">
        <w:rPr>
          <w:rFonts w:ascii="標楷體" w:eastAsia="標楷體" w:hAnsi="標楷體" w:hint="eastAsia"/>
        </w:rPr>
        <w:t>％，經函請加強落實工地安全管理作業，並</w:t>
      </w:r>
      <w:proofErr w:type="gramStart"/>
      <w:r w:rsidRPr="00177770">
        <w:rPr>
          <w:rFonts w:ascii="標楷體" w:eastAsia="標楷體" w:hAnsi="標楷體" w:hint="eastAsia"/>
        </w:rPr>
        <w:t>研</w:t>
      </w:r>
      <w:proofErr w:type="gramEnd"/>
      <w:r w:rsidRPr="00177770">
        <w:rPr>
          <w:rFonts w:ascii="標楷體" w:eastAsia="標楷體" w:hAnsi="標楷體" w:hint="eastAsia"/>
        </w:rPr>
        <w:t>謀趲趕工進對策。據復：</w:t>
      </w:r>
      <w:r w:rsidRPr="00177770">
        <w:rPr>
          <w:rFonts w:ascii="標楷體" w:eastAsia="標楷體" w:hAnsi="標楷體"/>
          <w:noProof/>
          <w:kern w:val="0"/>
        </w:rPr>
        <w:t>二工處每月持續召開</w:t>
      </w:r>
      <w:r w:rsidRPr="00177770">
        <w:rPr>
          <w:rFonts w:ascii="標楷體" w:eastAsia="標楷體" w:hAnsi="標楷體" w:hint="eastAsia"/>
          <w:noProof/>
          <w:kern w:val="0"/>
        </w:rPr>
        <w:t>進度檢討會，並與</w:t>
      </w:r>
      <w:r w:rsidRPr="00177770">
        <w:rPr>
          <w:rFonts w:ascii="標楷體" w:eastAsia="標楷體" w:hAnsi="標楷體" w:hint="eastAsia"/>
          <w:noProof/>
        </w:rPr>
        <w:t>捷運工程局</w:t>
      </w:r>
      <w:r w:rsidRPr="00177770">
        <w:rPr>
          <w:rFonts w:ascii="標楷體" w:eastAsia="標楷體" w:hAnsi="標楷體" w:hint="eastAsia"/>
          <w:noProof/>
          <w:kern w:val="0"/>
        </w:rPr>
        <w:t>機電系統工程處共同召開施工界面協調會議，督導土建施工廠商採分層分區移交機房供關連廠商進場施工，且水電、環控、電扶梯、供電、號誌、通訊等施工工項已進場辦理設備安裝工作，朝114年底完工目標趕工；另為避免再發生重大職災事件，已邀集勞檢處辦理降災觀摩會</w:t>
      </w:r>
      <w:r w:rsidRPr="00177770">
        <w:rPr>
          <w:rFonts w:ascii="標楷體" w:eastAsia="標楷體" w:hAnsi="標楷體"/>
          <w:noProof/>
          <w:kern w:val="0"/>
        </w:rPr>
        <w:t>或</w:t>
      </w:r>
      <w:r w:rsidRPr="00177770">
        <w:rPr>
          <w:rFonts w:ascii="標楷體" w:eastAsia="標楷體" w:hAnsi="標楷體" w:hint="eastAsia"/>
          <w:noProof/>
          <w:kern w:val="0"/>
        </w:rPr>
        <w:t>研討會，每季擇一施工標辦理聯合稽查會議，</w:t>
      </w:r>
      <w:r w:rsidRPr="00177770">
        <w:rPr>
          <w:rFonts w:ascii="標楷體" w:eastAsia="標楷體" w:hAnsi="標楷體"/>
          <w:noProof/>
          <w:kern w:val="0"/>
        </w:rPr>
        <w:t>以</w:t>
      </w:r>
      <w:r w:rsidRPr="00177770">
        <w:rPr>
          <w:rFonts w:ascii="標楷體" w:eastAsia="標楷體" w:hAnsi="標楷體" w:hint="eastAsia"/>
          <w:noProof/>
          <w:kern w:val="0"/>
        </w:rPr>
        <w:t>加強或改進安衛設施，降低意外事故</w:t>
      </w:r>
      <w:r w:rsidRPr="00177770">
        <w:rPr>
          <w:rFonts w:ascii="標楷體" w:eastAsia="標楷體" w:hAnsi="標楷體"/>
          <w:noProof/>
          <w:kern w:val="0"/>
        </w:rPr>
        <w:t>發生</w:t>
      </w:r>
      <w:r w:rsidRPr="00177770">
        <w:rPr>
          <w:rFonts w:ascii="標楷體" w:eastAsia="標楷體" w:hAnsi="標楷體" w:hint="eastAsia"/>
          <w:noProof/>
          <w:kern w:val="0"/>
        </w:rPr>
        <w:t>頻率。</w:t>
      </w:r>
    </w:p>
    <w:p w14:paraId="1543E4DA" w14:textId="77777777" w:rsidR="0050059F" w:rsidRPr="00177770" w:rsidRDefault="0050059F" w:rsidP="0050059F">
      <w:pPr>
        <w:overflowPunct w:val="0"/>
        <w:spacing w:line="420" w:lineRule="exact"/>
        <w:ind w:firstLineChars="200" w:firstLine="480"/>
        <w:jc w:val="both"/>
        <w:outlineLvl w:val="3"/>
        <w:rPr>
          <w:rFonts w:ascii="標楷體" w:eastAsia="標楷體" w:hAnsi="標楷體"/>
        </w:rPr>
      </w:pPr>
      <w:r w:rsidRPr="00177770">
        <w:rPr>
          <w:rFonts w:ascii="標楷體" w:eastAsia="標楷體" w:hAnsi="標楷體"/>
          <w:noProof/>
        </w:rPr>
        <w:lastRenderedPageBreak/>
        <mc:AlternateContent>
          <mc:Choice Requires="wps">
            <w:drawing>
              <wp:anchor distT="45720" distB="45720" distL="114300" distR="114300" simplePos="0" relativeHeight="251780096" behindDoc="0" locked="0" layoutInCell="1" allowOverlap="1" wp14:anchorId="78F67789" wp14:editId="2254B543">
                <wp:simplePos x="0" y="0"/>
                <wp:positionH relativeFrom="margin">
                  <wp:posOffset>1737995</wp:posOffset>
                </wp:positionH>
                <wp:positionV relativeFrom="paragraph">
                  <wp:posOffset>1695450</wp:posOffset>
                </wp:positionV>
                <wp:extent cx="4576445" cy="1666240"/>
                <wp:effectExtent l="0" t="0" r="0" b="0"/>
                <wp:wrapSquare wrapText="bothSides"/>
                <wp:docPr id="106" name="文字方塊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6445" cy="1666240"/>
                        </a:xfrm>
                        <a:prstGeom prst="rect">
                          <a:avLst/>
                        </a:prstGeom>
                        <a:solidFill>
                          <a:srgbClr val="FFFFFF"/>
                        </a:solidFill>
                        <a:ln w="9525">
                          <a:noFill/>
                          <a:miter lim="800000"/>
                          <a:headEnd/>
                          <a:tailEnd/>
                        </a:ln>
                      </wps:spPr>
                      <wps:txbx>
                        <w:txbxContent>
                          <w:p w14:paraId="164B599D" w14:textId="77777777" w:rsidR="0050059F" w:rsidRPr="00926DED" w:rsidRDefault="0050059F" w:rsidP="0050059F">
                            <w:pPr>
                              <w:overflowPunct w:val="0"/>
                              <w:snapToGrid w:val="0"/>
                              <w:spacing w:afterLines="20" w:after="72" w:line="260" w:lineRule="exact"/>
                              <w:jc w:val="center"/>
                              <w:rPr>
                                <w:rFonts w:ascii="標楷體" w:eastAsia="標楷體" w:hAnsi="標楷體"/>
                                <w:b/>
                                <w:bCs/>
                                <w:szCs w:val="24"/>
                              </w:rPr>
                            </w:pPr>
                            <w:r w:rsidRPr="00926DED">
                              <w:rPr>
                                <w:rFonts w:ascii="標楷體" w:eastAsia="標楷體" w:hAnsi="標楷體" w:hint="eastAsia"/>
                                <w:b/>
                                <w:bCs/>
                                <w:noProof/>
                                <w:kern w:val="0"/>
                                <w:szCs w:val="24"/>
                              </w:rPr>
                              <w:t>表</w:t>
                            </w:r>
                            <w:r>
                              <w:rPr>
                                <w:rFonts w:ascii="標楷體" w:eastAsia="標楷體" w:hAnsi="標楷體" w:hint="eastAsia"/>
                                <w:b/>
                                <w:bCs/>
                                <w:noProof/>
                                <w:kern w:val="0"/>
                                <w:szCs w:val="24"/>
                              </w:rPr>
                              <w:t>7</w:t>
                            </w:r>
                            <w:r w:rsidRPr="00926DED">
                              <w:rPr>
                                <w:rFonts w:ascii="標楷體" w:eastAsia="標楷體" w:hAnsi="標楷體"/>
                                <w:b/>
                                <w:bCs/>
                                <w:noProof/>
                                <w:kern w:val="0"/>
                                <w:szCs w:val="24"/>
                              </w:rPr>
                              <w:t xml:space="preserve"> </w:t>
                            </w:r>
                            <w:r w:rsidRPr="00926DED">
                              <w:rPr>
                                <w:rFonts w:ascii="標楷體" w:eastAsia="標楷體" w:hAnsi="標楷體" w:hint="eastAsia"/>
                                <w:b/>
                                <w:bCs/>
                                <w:noProof/>
                                <w:kern w:val="0"/>
                                <w:szCs w:val="24"/>
                              </w:rPr>
                              <w:t xml:space="preserve"> </w:t>
                            </w:r>
                            <w:r w:rsidRPr="00926DED">
                              <w:rPr>
                                <w:rFonts w:ascii="標楷體" w:eastAsia="標楷體" w:hAnsi="標楷體"/>
                                <w:b/>
                                <w:bCs/>
                              </w:rPr>
                              <w:t>CR580C</w:t>
                            </w:r>
                            <w:r w:rsidRPr="00926DED">
                              <w:rPr>
                                <w:rFonts w:ascii="標楷體" w:eastAsia="標楷體" w:hAnsi="標楷體" w:hint="eastAsia"/>
                                <w:b/>
                                <w:bCs/>
                              </w:rPr>
                              <w:t>區段標中</w:t>
                            </w:r>
                            <w:r w:rsidRPr="00926DED">
                              <w:rPr>
                                <w:rFonts w:ascii="標楷體" w:eastAsia="標楷體" w:hAnsi="標楷體"/>
                                <w:b/>
                                <w:bCs/>
                              </w:rPr>
                              <w:t>CR</w:t>
                            </w:r>
                            <w:r w:rsidRPr="00926DED">
                              <w:rPr>
                                <w:rFonts w:ascii="標楷體" w:eastAsia="標楷體" w:hAnsi="標楷體" w:hint="eastAsia"/>
                                <w:b/>
                                <w:bCs/>
                              </w:rPr>
                              <w:t>285標</w:t>
                            </w:r>
                            <w:r w:rsidRPr="00926DED">
                              <w:rPr>
                                <w:rFonts w:ascii="標楷體" w:eastAsia="標楷體" w:hAnsi="標楷體" w:hint="eastAsia"/>
                                <w:b/>
                                <w:bCs/>
                                <w:szCs w:val="24"/>
                              </w:rPr>
                              <w:t>施工造成損鄰事件統計</w:t>
                            </w:r>
                          </w:p>
                          <w:p w14:paraId="63B98DB6" w14:textId="77777777" w:rsidR="0050059F" w:rsidRDefault="0050059F" w:rsidP="0050059F">
                            <w:pPr>
                              <w:spacing w:afterLines="10" w:after="36" w:line="220" w:lineRule="exact"/>
                              <w:jc w:val="right"/>
                              <w:rPr>
                                <w:rFonts w:ascii="標楷體" w:eastAsia="標楷體" w:hAnsi="標楷體"/>
                                <w:sz w:val="20"/>
                              </w:rPr>
                            </w:pPr>
                            <w:r>
                              <w:rPr>
                                <w:rFonts w:ascii="標楷體" w:eastAsia="標楷體" w:hAnsi="標楷體" w:hint="eastAsia"/>
                                <w:sz w:val="20"/>
                              </w:rPr>
                              <w:t>單</w:t>
                            </w:r>
                            <w:r w:rsidRPr="00812B53">
                              <w:rPr>
                                <w:rFonts w:ascii="標楷體" w:eastAsia="標楷體" w:hAnsi="標楷體" w:hint="eastAsia"/>
                                <w:sz w:val="20"/>
                              </w:rPr>
                              <w:t>位：件</w:t>
                            </w:r>
                          </w:p>
                          <w:tbl>
                            <w:tblPr>
                              <w:tblStyle w:val="a6"/>
                              <w:tblW w:w="6941" w:type="dxa"/>
                              <w:tblInd w:w="-5" w:type="dxa"/>
                              <w:tblLook w:val="04A0" w:firstRow="1" w:lastRow="0" w:firstColumn="1" w:lastColumn="0" w:noHBand="0" w:noVBand="1"/>
                            </w:tblPr>
                            <w:tblGrid>
                              <w:gridCol w:w="1698"/>
                              <w:gridCol w:w="568"/>
                              <w:gridCol w:w="568"/>
                              <w:gridCol w:w="568"/>
                              <w:gridCol w:w="568"/>
                              <w:gridCol w:w="568"/>
                              <w:gridCol w:w="568"/>
                              <w:gridCol w:w="568"/>
                              <w:gridCol w:w="568"/>
                              <w:gridCol w:w="699"/>
                            </w:tblGrid>
                            <w:tr w:rsidR="0050059F" w14:paraId="62EC5209" w14:textId="77777777" w:rsidTr="00824CD6">
                              <w:trPr>
                                <w:trHeight w:val="312"/>
                              </w:trPr>
                              <w:tc>
                                <w:tcPr>
                                  <w:tcW w:w="1696" w:type="dxa"/>
                                  <w:vAlign w:val="center"/>
                                </w:tcPr>
                                <w:p w14:paraId="607E695D"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年 度</w:t>
                                  </w:r>
                                </w:p>
                              </w:tc>
                              <w:tc>
                                <w:tcPr>
                                  <w:tcW w:w="567" w:type="dxa"/>
                                  <w:vAlign w:val="center"/>
                                </w:tcPr>
                                <w:p w14:paraId="6C9D045A"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06</w:t>
                                  </w:r>
                                </w:p>
                              </w:tc>
                              <w:tc>
                                <w:tcPr>
                                  <w:tcW w:w="567" w:type="dxa"/>
                                  <w:vAlign w:val="center"/>
                                </w:tcPr>
                                <w:p w14:paraId="5EBCDC4A"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07</w:t>
                                  </w:r>
                                </w:p>
                              </w:tc>
                              <w:tc>
                                <w:tcPr>
                                  <w:tcW w:w="567" w:type="dxa"/>
                                  <w:vAlign w:val="center"/>
                                </w:tcPr>
                                <w:p w14:paraId="0E5BFCCB"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08</w:t>
                                  </w:r>
                                </w:p>
                              </w:tc>
                              <w:tc>
                                <w:tcPr>
                                  <w:tcW w:w="567" w:type="dxa"/>
                                  <w:vAlign w:val="center"/>
                                </w:tcPr>
                                <w:p w14:paraId="79FDBF86"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09</w:t>
                                  </w:r>
                                </w:p>
                              </w:tc>
                              <w:tc>
                                <w:tcPr>
                                  <w:tcW w:w="567" w:type="dxa"/>
                                  <w:vAlign w:val="center"/>
                                </w:tcPr>
                                <w:p w14:paraId="16A97856"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10</w:t>
                                  </w:r>
                                </w:p>
                              </w:tc>
                              <w:tc>
                                <w:tcPr>
                                  <w:tcW w:w="567" w:type="dxa"/>
                                  <w:vAlign w:val="center"/>
                                </w:tcPr>
                                <w:p w14:paraId="7E7A2A12"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11</w:t>
                                  </w:r>
                                </w:p>
                              </w:tc>
                              <w:tc>
                                <w:tcPr>
                                  <w:tcW w:w="567" w:type="dxa"/>
                                  <w:vAlign w:val="center"/>
                                </w:tcPr>
                                <w:p w14:paraId="2FACE289"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12</w:t>
                                  </w:r>
                                </w:p>
                              </w:tc>
                              <w:tc>
                                <w:tcPr>
                                  <w:tcW w:w="567" w:type="dxa"/>
                                  <w:vAlign w:val="center"/>
                                </w:tcPr>
                                <w:p w14:paraId="167B6E20"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13</w:t>
                                  </w:r>
                                </w:p>
                              </w:tc>
                              <w:tc>
                                <w:tcPr>
                                  <w:tcW w:w="698" w:type="dxa"/>
                                  <w:vAlign w:val="center"/>
                                </w:tcPr>
                                <w:p w14:paraId="183C78A0" w14:textId="77777777" w:rsidR="0050059F" w:rsidRPr="005F5CCA" w:rsidRDefault="0050059F" w:rsidP="00824CD6">
                                  <w:pPr>
                                    <w:pStyle w:val="a4"/>
                                    <w:overflowPunct w:val="0"/>
                                    <w:snapToGrid w:val="0"/>
                                    <w:spacing w:line="240" w:lineRule="exact"/>
                                    <w:ind w:leftChars="0" w:left="0"/>
                                    <w:jc w:val="center"/>
                                    <w:rPr>
                                      <w:rFonts w:ascii="標楷體" w:eastAsia="標楷體" w:hAnsi="標楷體"/>
                                      <w:noProof/>
                                    </w:rPr>
                                  </w:pPr>
                                  <w:r w:rsidRPr="005F5CCA">
                                    <w:rPr>
                                      <w:rFonts w:ascii="標楷體" w:eastAsia="標楷體" w:hAnsi="標楷體" w:hint="eastAsia"/>
                                      <w:noProof/>
                                    </w:rPr>
                                    <w:t>合計</w:t>
                                  </w:r>
                                </w:p>
                              </w:tc>
                            </w:tr>
                            <w:tr w:rsidR="0050059F" w14:paraId="0FCA8BAF" w14:textId="77777777" w:rsidTr="00824CD6">
                              <w:trPr>
                                <w:trHeight w:val="312"/>
                              </w:trPr>
                              <w:tc>
                                <w:tcPr>
                                  <w:tcW w:w="1696" w:type="dxa"/>
                                  <w:vAlign w:val="center"/>
                                </w:tcPr>
                                <w:p w14:paraId="1F142127" w14:textId="77777777" w:rsidR="0050059F" w:rsidRPr="005F5CCA" w:rsidRDefault="0050059F" w:rsidP="00824CD6">
                                  <w:pPr>
                                    <w:pStyle w:val="a4"/>
                                    <w:overflowPunct w:val="0"/>
                                    <w:snapToGrid w:val="0"/>
                                    <w:spacing w:line="240" w:lineRule="exact"/>
                                    <w:ind w:leftChars="0" w:left="0"/>
                                    <w:jc w:val="center"/>
                                    <w:rPr>
                                      <w:rFonts w:ascii="標楷體" w:eastAsia="標楷體" w:hAnsi="標楷體"/>
                                      <w:b/>
                                      <w:bCs/>
                                      <w:noProof/>
                                    </w:rPr>
                                  </w:pPr>
                                  <w:r w:rsidRPr="005F5CCA">
                                    <w:rPr>
                                      <w:rFonts w:ascii="標楷體" w:eastAsia="標楷體" w:hAnsi="標楷體" w:hint="eastAsia"/>
                                      <w:b/>
                                      <w:bCs/>
                                      <w:noProof/>
                                    </w:rPr>
                                    <w:t>合</w:t>
                                  </w:r>
                                  <w:r>
                                    <w:rPr>
                                      <w:rFonts w:ascii="標楷體" w:eastAsia="標楷體" w:hAnsi="標楷體" w:hint="eastAsia"/>
                                      <w:b/>
                                      <w:bCs/>
                                      <w:noProof/>
                                    </w:rPr>
                                    <w:t xml:space="preserve"> </w:t>
                                  </w:r>
                                  <w:r w:rsidRPr="005F5CCA">
                                    <w:rPr>
                                      <w:rFonts w:ascii="標楷體" w:eastAsia="標楷體" w:hAnsi="標楷體" w:hint="eastAsia"/>
                                      <w:b/>
                                      <w:bCs/>
                                      <w:noProof/>
                                    </w:rPr>
                                    <w:t>計</w:t>
                                  </w:r>
                                </w:p>
                              </w:tc>
                              <w:tc>
                                <w:tcPr>
                                  <w:tcW w:w="567" w:type="dxa"/>
                                  <w:vAlign w:val="center"/>
                                </w:tcPr>
                                <w:p w14:paraId="62488EA3"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4</w:t>
                                  </w:r>
                                  <w:r w:rsidRPr="005F5CCA">
                                    <w:rPr>
                                      <w:rFonts w:ascii="標楷體" w:eastAsia="標楷體" w:hAnsi="標楷體"/>
                                      <w:b/>
                                      <w:bCs/>
                                      <w:noProof/>
                                    </w:rPr>
                                    <w:t>5</w:t>
                                  </w:r>
                                </w:p>
                              </w:tc>
                              <w:tc>
                                <w:tcPr>
                                  <w:tcW w:w="567" w:type="dxa"/>
                                  <w:vAlign w:val="center"/>
                                </w:tcPr>
                                <w:p w14:paraId="1494E945"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4</w:t>
                                  </w:r>
                                  <w:r w:rsidRPr="005F5CCA">
                                    <w:rPr>
                                      <w:rFonts w:ascii="標楷體" w:eastAsia="標楷體" w:hAnsi="標楷體"/>
                                      <w:b/>
                                      <w:bCs/>
                                      <w:noProof/>
                                    </w:rPr>
                                    <w:t>7</w:t>
                                  </w:r>
                                </w:p>
                              </w:tc>
                              <w:tc>
                                <w:tcPr>
                                  <w:tcW w:w="567" w:type="dxa"/>
                                  <w:vAlign w:val="center"/>
                                </w:tcPr>
                                <w:p w14:paraId="2FC5BEAE"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2</w:t>
                                  </w:r>
                                  <w:r w:rsidRPr="005F5CCA">
                                    <w:rPr>
                                      <w:rFonts w:ascii="標楷體" w:eastAsia="標楷體" w:hAnsi="標楷體"/>
                                      <w:b/>
                                      <w:bCs/>
                                      <w:noProof/>
                                    </w:rPr>
                                    <w:t>7</w:t>
                                  </w:r>
                                </w:p>
                              </w:tc>
                              <w:tc>
                                <w:tcPr>
                                  <w:tcW w:w="567" w:type="dxa"/>
                                  <w:vAlign w:val="center"/>
                                </w:tcPr>
                                <w:p w14:paraId="5030DF0B"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4</w:t>
                                  </w:r>
                                  <w:r w:rsidRPr="005F5CCA">
                                    <w:rPr>
                                      <w:rFonts w:ascii="標楷體" w:eastAsia="標楷體" w:hAnsi="標楷體"/>
                                      <w:b/>
                                      <w:bCs/>
                                      <w:noProof/>
                                    </w:rPr>
                                    <w:t>9</w:t>
                                  </w:r>
                                </w:p>
                              </w:tc>
                              <w:tc>
                                <w:tcPr>
                                  <w:tcW w:w="567" w:type="dxa"/>
                                  <w:vAlign w:val="center"/>
                                </w:tcPr>
                                <w:p w14:paraId="7DE98DEC"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2</w:t>
                                  </w:r>
                                  <w:r w:rsidRPr="005F5CCA">
                                    <w:rPr>
                                      <w:rFonts w:ascii="標楷體" w:eastAsia="標楷體" w:hAnsi="標楷體"/>
                                      <w:b/>
                                      <w:bCs/>
                                      <w:noProof/>
                                    </w:rPr>
                                    <w:t>2</w:t>
                                  </w:r>
                                </w:p>
                              </w:tc>
                              <w:tc>
                                <w:tcPr>
                                  <w:tcW w:w="567" w:type="dxa"/>
                                  <w:vAlign w:val="center"/>
                                </w:tcPr>
                                <w:p w14:paraId="03F68A47"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1</w:t>
                                  </w:r>
                                  <w:r w:rsidRPr="005F5CCA">
                                    <w:rPr>
                                      <w:rFonts w:ascii="標楷體" w:eastAsia="標楷體" w:hAnsi="標楷體"/>
                                      <w:b/>
                                      <w:bCs/>
                                      <w:noProof/>
                                    </w:rPr>
                                    <w:t>8</w:t>
                                  </w:r>
                                </w:p>
                              </w:tc>
                              <w:tc>
                                <w:tcPr>
                                  <w:tcW w:w="567" w:type="dxa"/>
                                  <w:vAlign w:val="center"/>
                                </w:tcPr>
                                <w:p w14:paraId="24237CDE"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2</w:t>
                                  </w:r>
                                  <w:r w:rsidRPr="005F5CCA">
                                    <w:rPr>
                                      <w:rFonts w:ascii="標楷體" w:eastAsia="標楷體" w:hAnsi="標楷體"/>
                                      <w:b/>
                                      <w:bCs/>
                                      <w:noProof/>
                                    </w:rPr>
                                    <w:t>0</w:t>
                                  </w:r>
                                </w:p>
                              </w:tc>
                              <w:tc>
                                <w:tcPr>
                                  <w:tcW w:w="567" w:type="dxa"/>
                                  <w:vAlign w:val="center"/>
                                </w:tcPr>
                                <w:p w14:paraId="007A1789"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1</w:t>
                                  </w:r>
                                  <w:r w:rsidRPr="005F5CCA">
                                    <w:rPr>
                                      <w:rFonts w:ascii="標楷體" w:eastAsia="標楷體" w:hAnsi="標楷體"/>
                                      <w:b/>
                                      <w:bCs/>
                                      <w:noProof/>
                                    </w:rPr>
                                    <w:t>0</w:t>
                                  </w:r>
                                </w:p>
                              </w:tc>
                              <w:tc>
                                <w:tcPr>
                                  <w:tcW w:w="698" w:type="dxa"/>
                                  <w:vAlign w:val="center"/>
                                </w:tcPr>
                                <w:p w14:paraId="66E58FCD"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2</w:t>
                                  </w:r>
                                  <w:r w:rsidRPr="005F5CCA">
                                    <w:rPr>
                                      <w:rFonts w:ascii="標楷體" w:eastAsia="標楷體" w:hAnsi="標楷體"/>
                                      <w:b/>
                                      <w:bCs/>
                                      <w:noProof/>
                                    </w:rPr>
                                    <w:t>38</w:t>
                                  </w:r>
                                </w:p>
                              </w:tc>
                            </w:tr>
                            <w:tr w:rsidR="0050059F" w14:paraId="3FAC7CE2" w14:textId="77777777" w:rsidTr="00824CD6">
                              <w:trPr>
                                <w:trHeight w:val="312"/>
                              </w:trPr>
                              <w:tc>
                                <w:tcPr>
                                  <w:tcW w:w="1696" w:type="dxa"/>
                                  <w:vAlign w:val="center"/>
                                </w:tcPr>
                                <w:p w14:paraId="685D8034" w14:textId="77777777" w:rsidR="0050059F" w:rsidRPr="003F6A26" w:rsidRDefault="0050059F" w:rsidP="00824CD6">
                                  <w:pPr>
                                    <w:pStyle w:val="a4"/>
                                    <w:overflowPunct w:val="0"/>
                                    <w:snapToGrid w:val="0"/>
                                    <w:spacing w:line="240" w:lineRule="exact"/>
                                    <w:ind w:leftChars="0" w:left="0"/>
                                    <w:jc w:val="both"/>
                                    <w:rPr>
                                      <w:rFonts w:ascii="標楷體" w:eastAsia="標楷體" w:hAnsi="標楷體"/>
                                      <w:noProof/>
                                    </w:rPr>
                                  </w:pPr>
                                  <w:r>
                                    <w:rPr>
                                      <w:rFonts w:ascii="標楷體" w:eastAsia="標楷體" w:hAnsi="標楷體" w:hint="eastAsia"/>
                                      <w:noProof/>
                                    </w:rPr>
                                    <w:t>已修繕完成結案</w:t>
                                  </w:r>
                                </w:p>
                              </w:tc>
                              <w:tc>
                                <w:tcPr>
                                  <w:tcW w:w="567" w:type="dxa"/>
                                  <w:vAlign w:val="center"/>
                                </w:tcPr>
                                <w:p w14:paraId="660C3D9B"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2</w:t>
                                  </w:r>
                                  <w:r>
                                    <w:rPr>
                                      <w:rFonts w:ascii="標楷體" w:eastAsia="標楷體" w:hAnsi="標楷體"/>
                                      <w:noProof/>
                                    </w:rPr>
                                    <w:t>1</w:t>
                                  </w:r>
                                </w:p>
                              </w:tc>
                              <w:tc>
                                <w:tcPr>
                                  <w:tcW w:w="567" w:type="dxa"/>
                                  <w:vAlign w:val="center"/>
                                </w:tcPr>
                                <w:p w14:paraId="7EA440AA"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2</w:t>
                                  </w:r>
                                  <w:r>
                                    <w:rPr>
                                      <w:rFonts w:ascii="標楷體" w:eastAsia="標楷體" w:hAnsi="標楷體"/>
                                      <w:noProof/>
                                    </w:rPr>
                                    <w:t>1</w:t>
                                  </w:r>
                                </w:p>
                              </w:tc>
                              <w:tc>
                                <w:tcPr>
                                  <w:tcW w:w="567" w:type="dxa"/>
                                  <w:vAlign w:val="center"/>
                                </w:tcPr>
                                <w:p w14:paraId="7E51C665"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1</w:t>
                                  </w:r>
                                </w:p>
                              </w:tc>
                              <w:tc>
                                <w:tcPr>
                                  <w:tcW w:w="567" w:type="dxa"/>
                                  <w:vAlign w:val="center"/>
                                </w:tcPr>
                                <w:p w14:paraId="22350EA6"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0</w:t>
                                  </w:r>
                                </w:p>
                              </w:tc>
                              <w:tc>
                                <w:tcPr>
                                  <w:tcW w:w="567" w:type="dxa"/>
                                  <w:vAlign w:val="center"/>
                                </w:tcPr>
                                <w:p w14:paraId="687FB6D1"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0</w:t>
                                  </w:r>
                                </w:p>
                              </w:tc>
                              <w:tc>
                                <w:tcPr>
                                  <w:tcW w:w="567" w:type="dxa"/>
                                  <w:vAlign w:val="center"/>
                                </w:tcPr>
                                <w:p w14:paraId="069558D4"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1</w:t>
                                  </w:r>
                                </w:p>
                              </w:tc>
                              <w:tc>
                                <w:tcPr>
                                  <w:tcW w:w="567" w:type="dxa"/>
                                  <w:vAlign w:val="center"/>
                                </w:tcPr>
                                <w:p w14:paraId="2A7D7BE2"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2</w:t>
                                  </w:r>
                                </w:p>
                              </w:tc>
                              <w:tc>
                                <w:tcPr>
                                  <w:tcW w:w="567" w:type="dxa"/>
                                  <w:vAlign w:val="center"/>
                                </w:tcPr>
                                <w:p w14:paraId="2B064FCA"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6</w:t>
                                  </w:r>
                                </w:p>
                              </w:tc>
                              <w:tc>
                                <w:tcPr>
                                  <w:tcW w:w="698" w:type="dxa"/>
                                  <w:vAlign w:val="center"/>
                                </w:tcPr>
                                <w:p w14:paraId="2C2FC530"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noProof/>
                                    </w:rPr>
                                  </w:pPr>
                                  <w:r w:rsidRPr="005F5CCA">
                                    <w:rPr>
                                      <w:rFonts w:ascii="標楷體" w:eastAsia="標楷體" w:hAnsi="標楷體" w:hint="eastAsia"/>
                                      <w:noProof/>
                                    </w:rPr>
                                    <w:t>1</w:t>
                                  </w:r>
                                  <w:r w:rsidRPr="005F5CCA">
                                    <w:rPr>
                                      <w:rFonts w:ascii="標楷體" w:eastAsia="標楷體" w:hAnsi="標楷體"/>
                                      <w:noProof/>
                                    </w:rPr>
                                    <w:t>02</w:t>
                                  </w:r>
                                </w:p>
                              </w:tc>
                            </w:tr>
                            <w:tr w:rsidR="0050059F" w14:paraId="1F8E20C6" w14:textId="77777777" w:rsidTr="00824CD6">
                              <w:trPr>
                                <w:trHeight w:val="312"/>
                              </w:trPr>
                              <w:tc>
                                <w:tcPr>
                                  <w:tcW w:w="1696" w:type="dxa"/>
                                  <w:vAlign w:val="center"/>
                                </w:tcPr>
                                <w:p w14:paraId="573FB7A7" w14:textId="77777777" w:rsidR="0050059F" w:rsidRPr="003F6A26" w:rsidRDefault="0050059F" w:rsidP="00824CD6">
                                  <w:pPr>
                                    <w:pStyle w:val="a4"/>
                                    <w:overflowPunct w:val="0"/>
                                    <w:snapToGrid w:val="0"/>
                                    <w:spacing w:line="240" w:lineRule="exact"/>
                                    <w:ind w:leftChars="0" w:left="0"/>
                                    <w:jc w:val="both"/>
                                    <w:rPr>
                                      <w:rFonts w:ascii="標楷體" w:eastAsia="標楷體" w:hAnsi="標楷體"/>
                                      <w:noProof/>
                                    </w:rPr>
                                  </w:pPr>
                                  <w:r>
                                    <w:rPr>
                                      <w:rFonts w:ascii="標楷體" w:eastAsia="標楷體" w:hAnsi="標楷體" w:hint="eastAsia"/>
                                      <w:noProof/>
                                    </w:rPr>
                                    <w:t>民眾願自行處理</w:t>
                                  </w:r>
                                </w:p>
                              </w:tc>
                              <w:tc>
                                <w:tcPr>
                                  <w:tcW w:w="567" w:type="dxa"/>
                                  <w:vAlign w:val="center"/>
                                </w:tcPr>
                                <w:p w14:paraId="42755B6F"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3</w:t>
                                  </w:r>
                                </w:p>
                              </w:tc>
                              <w:tc>
                                <w:tcPr>
                                  <w:tcW w:w="567" w:type="dxa"/>
                                  <w:vAlign w:val="center"/>
                                </w:tcPr>
                                <w:p w14:paraId="2B417C08"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4</w:t>
                                  </w:r>
                                </w:p>
                              </w:tc>
                              <w:tc>
                                <w:tcPr>
                                  <w:tcW w:w="567" w:type="dxa"/>
                                  <w:vAlign w:val="center"/>
                                </w:tcPr>
                                <w:p w14:paraId="0A3FF60F"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6</w:t>
                                  </w:r>
                                </w:p>
                              </w:tc>
                              <w:tc>
                                <w:tcPr>
                                  <w:tcW w:w="567" w:type="dxa"/>
                                  <w:vAlign w:val="center"/>
                                </w:tcPr>
                                <w:p w14:paraId="52CF44F0"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9</w:t>
                                  </w:r>
                                </w:p>
                              </w:tc>
                              <w:tc>
                                <w:tcPr>
                                  <w:tcW w:w="567" w:type="dxa"/>
                                  <w:vAlign w:val="center"/>
                                </w:tcPr>
                                <w:p w14:paraId="74947A75"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6</w:t>
                                  </w:r>
                                </w:p>
                              </w:tc>
                              <w:tc>
                                <w:tcPr>
                                  <w:tcW w:w="567" w:type="dxa"/>
                                  <w:vAlign w:val="center"/>
                                </w:tcPr>
                                <w:p w14:paraId="7F2AE172"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sidRPr="00773D26">
                                    <w:rPr>
                                      <w:rFonts w:ascii="標楷體" w:eastAsia="標楷體" w:hAnsi="標楷體" w:hint="eastAsia"/>
                                    </w:rPr>
                                    <w:t>－</w:t>
                                  </w:r>
                                </w:p>
                              </w:tc>
                              <w:tc>
                                <w:tcPr>
                                  <w:tcW w:w="567" w:type="dxa"/>
                                  <w:vAlign w:val="center"/>
                                </w:tcPr>
                                <w:p w14:paraId="2B17D7DD"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sidRPr="00773D26">
                                    <w:rPr>
                                      <w:rFonts w:ascii="標楷體" w:eastAsia="標楷體" w:hAnsi="標楷體" w:hint="eastAsia"/>
                                    </w:rPr>
                                    <w:t>－</w:t>
                                  </w:r>
                                </w:p>
                              </w:tc>
                              <w:tc>
                                <w:tcPr>
                                  <w:tcW w:w="567" w:type="dxa"/>
                                  <w:vAlign w:val="center"/>
                                </w:tcPr>
                                <w:p w14:paraId="4CC10018"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p>
                              </w:tc>
                              <w:tc>
                                <w:tcPr>
                                  <w:tcW w:w="698" w:type="dxa"/>
                                  <w:vAlign w:val="center"/>
                                </w:tcPr>
                                <w:p w14:paraId="232D6526"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noProof/>
                                    </w:rPr>
                                  </w:pPr>
                                  <w:r w:rsidRPr="005F5CCA">
                                    <w:rPr>
                                      <w:rFonts w:ascii="標楷體" w:eastAsia="標楷體" w:hAnsi="標楷體" w:hint="eastAsia"/>
                                      <w:noProof/>
                                    </w:rPr>
                                    <w:t>4</w:t>
                                  </w:r>
                                  <w:r w:rsidRPr="005F5CCA">
                                    <w:rPr>
                                      <w:rFonts w:ascii="標楷體" w:eastAsia="標楷體" w:hAnsi="標楷體"/>
                                      <w:noProof/>
                                    </w:rPr>
                                    <w:t>9</w:t>
                                  </w:r>
                                </w:p>
                              </w:tc>
                            </w:tr>
                            <w:tr w:rsidR="0050059F" w14:paraId="062E57CE" w14:textId="77777777" w:rsidTr="00824CD6">
                              <w:trPr>
                                <w:trHeight w:val="312"/>
                              </w:trPr>
                              <w:tc>
                                <w:tcPr>
                                  <w:tcW w:w="1696" w:type="dxa"/>
                                  <w:vAlign w:val="center"/>
                                </w:tcPr>
                                <w:p w14:paraId="2A8C07B9" w14:textId="77777777" w:rsidR="0050059F" w:rsidRPr="003F6A26" w:rsidRDefault="0050059F" w:rsidP="00824CD6">
                                  <w:pPr>
                                    <w:pStyle w:val="a4"/>
                                    <w:overflowPunct w:val="0"/>
                                    <w:snapToGrid w:val="0"/>
                                    <w:spacing w:line="240" w:lineRule="exact"/>
                                    <w:ind w:leftChars="0" w:left="0"/>
                                    <w:jc w:val="both"/>
                                    <w:rPr>
                                      <w:rFonts w:ascii="標楷體" w:eastAsia="標楷體" w:hAnsi="標楷體"/>
                                      <w:noProof/>
                                    </w:rPr>
                                  </w:pPr>
                                  <w:r>
                                    <w:rPr>
                                      <w:rFonts w:ascii="標楷體" w:eastAsia="標楷體" w:hAnsi="標楷體" w:hint="eastAsia"/>
                                      <w:noProof/>
                                    </w:rPr>
                                    <w:t>尚未結案</w:t>
                                  </w:r>
                                </w:p>
                              </w:tc>
                              <w:tc>
                                <w:tcPr>
                                  <w:tcW w:w="567" w:type="dxa"/>
                                  <w:vAlign w:val="center"/>
                                </w:tcPr>
                                <w:p w14:paraId="59111C19"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1</w:t>
                                  </w:r>
                                </w:p>
                              </w:tc>
                              <w:tc>
                                <w:tcPr>
                                  <w:tcW w:w="567" w:type="dxa"/>
                                  <w:vAlign w:val="center"/>
                                </w:tcPr>
                                <w:p w14:paraId="006FC766"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2</w:t>
                                  </w:r>
                                </w:p>
                              </w:tc>
                              <w:tc>
                                <w:tcPr>
                                  <w:tcW w:w="567" w:type="dxa"/>
                                  <w:vAlign w:val="center"/>
                                </w:tcPr>
                                <w:p w14:paraId="5B413F23"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0</w:t>
                                  </w:r>
                                </w:p>
                              </w:tc>
                              <w:tc>
                                <w:tcPr>
                                  <w:tcW w:w="567" w:type="dxa"/>
                                  <w:vAlign w:val="center"/>
                                </w:tcPr>
                                <w:p w14:paraId="71200C90"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3</w:t>
                                  </w:r>
                                  <w:r>
                                    <w:rPr>
                                      <w:rFonts w:ascii="標楷體" w:eastAsia="標楷體" w:hAnsi="標楷體"/>
                                      <w:noProof/>
                                    </w:rPr>
                                    <w:t>0</w:t>
                                  </w:r>
                                </w:p>
                              </w:tc>
                              <w:tc>
                                <w:tcPr>
                                  <w:tcW w:w="567" w:type="dxa"/>
                                  <w:vAlign w:val="center"/>
                                </w:tcPr>
                                <w:p w14:paraId="758ED65D"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6</w:t>
                                  </w:r>
                                </w:p>
                              </w:tc>
                              <w:tc>
                                <w:tcPr>
                                  <w:tcW w:w="567" w:type="dxa"/>
                                  <w:vAlign w:val="center"/>
                                </w:tcPr>
                                <w:p w14:paraId="03C296EA"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7</w:t>
                                  </w:r>
                                </w:p>
                              </w:tc>
                              <w:tc>
                                <w:tcPr>
                                  <w:tcW w:w="567" w:type="dxa"/>
                                  <w:vAlign w:val="center"/>
                                </w:tcPr>
                                <w:p w14:paraId="5B243C7D"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8</w:t>
                                  </w:r>
                                </w:p>
                              </w:tc>
                              <w:tc>
                                <w:tcPr>
                                  <w:tcW w:w="567" w:type="dxa"/>
                                  <w:vAlign w:val="center"/>
                                </w:tcPr>
                                <w:p w14:paraId="18316B11"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3</w:t>
                                  </w:r>
                                </w:p>
                              </w:tc>
                              <w:tc>
                                <w:tcPr>
                                  <w:tcW w:w="698" w:type="dxa"/>
                                  <w:vAlign w:val="center"/>
                                </w:tcPr>
                                <w:p w14:paraId="3AE534FB"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noProof/>
                                    </w:rPr>
                                  </w:pPr>
                                  <w:r w:rsidRPr="005F5CCA">
                                    <w:rPr>
                                      <w:rFonts w:ascii="標楷體" w:eastAsia="標楷體" w:hAnsi="標楷體" w:hint="eastAsia"/>
                                      <w:noProof/>
                                    </w:rPr>
                                    <w:t>8</w:t>
                                  </w:r>
                                  <w:r w:rsidRPr="005F5CCA">
                                    <w:rPr>
                                      <w:rFonts w:ascii="標楷體" w:eastAsia="標楷體" w:hAnsi="標楷體"/>
                                      <w:noProof/>
                                    </w:rPr>
                                    <w:t>7</w:t>
                                  </w:r>
                                </w:p>
                              </w:tc>
                            </w:tr>
                          </w:tbl>
                          <w:p w14:paraId="3AEB2C6A" w14:textId="77777777" w:rsidR="0050059F" w:rsidRPr="00926DED" w:rsidRDefault="0050059F" w:rsidP="0050059F">
                            <w:pPr>
                              <w:spacing w:beforeLines="10" w:before="36" w:line="240" w:lineRule="exact"/>
                              <w:rPr>
                                <w:rFonts w:ascii="標楷體" w:eastAsia="標楷體" w:hAnsi="標楷體"/>
                                <w:sz w:val="18"/>
                                <w:szCs w:val="18"/>
                              </w:rPr>
                            </w:pPr>
                            <w:r w:rsidRPr="00926DED">
                              <w:rPr>
                                <w:rFonts w:ascii="標楷體" w:eastAsia="標楷體" w:hAnsi="標楷體" w:hint="eastAsia"/>
                                <w:sz w:val="18"/>
                                <w:szCs w:val="18"/>
                              </w:rPr>
                              <w:t>資料來源：整理自</w:t>
                            </w:r>
                            <w:r w:rsidRPr="005C23FB">
                              <w:rPr>
                                <w:rFonts w:ascii="標楷體" w:eastAsia="標楷體" w:hAnsi="標楷體" w:hint="eastAsia"/>
                                <w:sz w:val="18"/>
                                <w:szCs w:val="18"/>
                              </w:rPr>
                              <w:t>捷運工程局</w:t>
                            </w:r>
                            <w:r w:rsidRPr="00926DED">
                              <w:rPr>
                                <w:rFonts w:ascii="標楷體" w:eastAsia="標楷體" w:hAnsi="標楷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F67789" id="文字方塊 106" o:spid="_x0000_s1165" type="#_x0000_t202" style="position:absolute;left:0;text-align:left;margin-left:136.85pt;margin-top:133.5pt;width:360.35pt;height:131.2pt;z-index:251780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" stroked="f">
                <v:textbox>
                  <w:txbxContent>
                    <w:p w14:paraId="164B599D" w14:textId="77777777" w:rsidR="0050059F" w:rsidRPr="00926DED" w:rsidRDefault="0050059F" w:rsidP="0050059F">
                      <w:pPr>
                        <w:overflowPunct w:val="0"/>
                        <w:snapToGrid w:val="0"/>
                        <w:spacing w:afterLines="20" w:after="72" w:line="260" w:lineRule="exact"/>
                        <w:jc w:val="center"/>
                        <w:rPr>
                          <w:rFonts w:ascii="標楷體" w:eastAsia="標楷體" w:hAnsi="標楷體"/>
                          <w:b/>
                          <w:bCs/>
                          <w:szCs w:val="24"/>
                        </w:rPr>
                      </w:pPr>
                      <w:r w:rsidRPr="00926DED">
                        <w:rPr>
                          <w:rFonts w:ascii="標楷體" w:eastAsia="標楷體" w:hAnsi="標楷體" w:hint="eastAsia"/>
                          <w:b/>
                          <w:bCs/>
                          <w:noProof/>
                          <w:kern w:val="0"/>
                          <w:szCs w:val="24"/>
                        </w:rPr>
                        <w:t>表</w:t>
                      </w:r>
                      <w:r>
                        <w:rPr>
                          <w:rFonts w:ascii="標楷體" w:eastAsia="標楷體" w:hAnsi="標楷體" w:hint="eastAsia"/>
                          <w:b/>
                          <w:bCs/>
                          <w:noProof/>
                          <w:kern w:val="0"/>
                          <w:szCs w:val="24"/>
                        </w:rPr>
                        <w:t>7</w:t>
                      </w:r>
                      <w:r w:rsidRPr="00926DED">
                        <w:rPr>
                          <w:rFonts w:ascii="標楷體" w:eastAsia="標楷體" w:hAnsi="標楷體"/>
                          <w:b/>
                          <w:bCs/>
                          <w:noProof/>
                          <w:kern w:val="0"/>
                          <w:szCs w:val="24"/>
                        </w:rPr>
                        <w:t xml:space="preserve"> </w:t>
                      </w:r>
                      <w:r w:rsidRPr="00926DED">
                        <w:rPr>
                          <w:rFonts w:ascii="標楷體" w:eastAsia="標楷體" w:hAnsi="標楷體" w:hint="eastAsia"/>
                          <w:b/>
                          <w:bCs/>
                          <w:noProof/>
                          <w:kern w:val="0"/>
                          <w:szCs w:val="24"/>
                        </w:rPr>
                        <w:t xml:space="preserve"> </w:t>
                      </w:r>
                      <w:r w:rsidRPr="00926DED">
                        <w:rPr>
                          <w:rFonts w:ascii="標楷體" w:eastAsia="標楷體" w:hAnsi="標楷體"/>
                          <w:b/>
                          <w:bCs/>
                        </w:rPr>
                        <w:t>CR580C</w:t>
                      </w:r>
                      <w:r w:rsidRPr="00926DED">
                        <w:rPr>
                          <w:rFonts w:ascii="標楷體" w:eastAsia="標楷體" w:hAnsi="標楷體" w:hint="eastAsia"/>
                          <w:b/>
                          <w:bCs/>
                        </w:rPr>
                        <w:t>區段標中</w:t>
                      </w:r>
                      <w:r w:rsidRPr="00926DED">
                        <w:rPr>
                          <w:rFonts w:ascii="標楷體" w:eastAsia="標楷體" w:hAnsi="標楷體"/>
                          <w:b/>
                          <w:bCs/>
                        </w:rPr>
                        <w:t>CR</w:t>
                      </w:r>
                      <w:r w:rsidRPr="00926DED">
                        <w:rPr>
                          <w:rFonts w:ascii="標楷體" w:eastAsia="標楷體" w:hAnsi="標楷體" w:hint="eastAsia"/>
                          <w:b/>
                          <w:bCs/>
                        </w:rPr>
                        <w:t>285標</w:t>
                      </w:r>
                      <w:r w:rsidRPr="00926DED">
                        <w:rPr>
                          <w:rFonts w:ascii="標楷體" w:eastAsia="標楷體" w:hAnsi="標楷體" w:hint="eastAsia"/>
                          <w:b/>
                          <w:bCs/>
                          <w:szCs w:val="24"/>
                        </w:rPr>
                        <w:t>施工造成損鄰事件統計</w:t>
                      </w:r>
                    </w:p>
                    <w:p w14:paraId="63B98DB6" w14:textId="77777777" w:rsidR="0050059F" w:rsidRDefault="0050059F" w:rsidP="0050059F">
                      <w:pPr>
                        <w:spacing w:afterLines="10" w:after="36" w:line="220" w:lineRule="exact"/>
                        <w:jc w:val="right"/>
                        <w:rPr>
                          <w:rFonts w:ascii="標楷體" w:eastAsia="標楷體" w:hAnsi="標楷體"/>
                          <w:sz w:val="20"/>
                        </w:rPr>
                      </w:pPr>
                      <w:r>
                        <w:rPr>
                          <w:rFonts w:ascii="標楷體" w:eastAsia="標楷體" w:hAnsi="標楷體" w:hint="eastAsia"/>
                          <w:sz w:val="20"/>
                        </w:rPr>
                        <w:t>單</w:t>
                      </w:r>
                      <w:r w:rsidRPr="00812B53">
                        <w:rPr>
                          <w:rFonts w:ascii="標楷體" w:eastAsia="標楷體" w:hAnsi="標楷體" w:hint="eastAsia"/>
                          <w:sz w:val="20"/>
                        </w:rPr>
                        <w:t>位：件</w:t>
                      </w:r>
                    </w:p>
                    <w:tbl>
                      <w:tblPr>
                        <w:tblStyle w:val="a6"/>
                        <w:tblW w:w="6941" w:type="dxa"/>
                        <w:tblInd w:w="-5" w:type="dxa"/>
                        <w:tblLook w:val="04A0" w:firstRow="1" w:lastRow="0" w:firstColumn="1" w:lastColumn="0" w:noHBand="0" w:noVBand="1"/>
                      </w:tblPr>
                      <w:tblGrid>
                        <w:gridCol w:w="1698"/>
                        <w:gridCol w:w="568"/>
                        <w:gridCol w:w="568"/>
                        <w:gridCol w:w="568"/>
                        <w:gridCol w:w="568"/>
                        <w:gridCol w:w="568"/>
                        <w:gridCol w:w="568"/>
                        <w:gridCol w:w="568"/>
                        <w:gridCol w:w="568"/>
                        <w:gridCol w:w="699"/>
                      </w:tblGrid>
                      <w:tr w:rsidR="0050059F" w14:paraId="62EC5209" w14:textId="77777777" w:rsidTr="00824CD6">
                        <w:trPr>
                          <w:trHeight w:val="312"/>
                        </w:trPr>
                        <w:tc>
                          <w:tcPr>
                            <w:tcW w:w="1696" w:type="dxa"/>
                            <w:vAlign w:val="center"/>
                          </w:tcPr>
                          <w:p w14:paraId="607E695D"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年 度</w:t>
                            </w:r>
                          </w:p>
                        </w:tc>
                        <w:tc>
                          <w:tcPr>
                            <w:tcW w:w="567" w:type="dxa"/>
                            <w:vAlign w:val="center"/>
                          </w:tcPr>
                          <w:p w14:paraId="6C9D045A"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06</w:t>
                            </w:r>
                          </w:p>
                        </w:tc>
                        <w:tc>
                          <w:tcPr>
                            <w:tcW w:w="567" w:type="dxa"/>
                            <w:vAlign w:val="center"/>
                          </w:tcPr>
                          <w:p w14:paraId="5EBCDC4A"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07</w:t>
                            </w:r>
                          </w:p>
                        </w:tc>
                        <w:tc>
                          <w:tcPr>
                            <w:tcW w:w="567" w:type="dxa"/>
                            <w:vAlign w:val="center"/>
                          </w:tcPr>
                          <w:p w14:paraId="0E5BFCCB"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08</w:t>
                            </w:r>
                          </w:p>
                        </w:tc>
                        <w:tc>
                          <w:tcPr>
                            <w:tcW w:w="567" w:type="dxa"/>
                            <w:vAlign w:val="center"/>
                          </w:tcPr>
                          <w:p w14:paraId="79FDBF86"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09</w:t>
                            </w:r>
                          </w:p>
                        </w:tc>
                        <w:tc>
                          <w:tcPr>
                            <w:tcW w:w="567" w:type="dxa"/>
                            <w:vAlign w:val="center"/>
                          </w:tcPr>
                          <w:p w14:paraId="16A97856"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10</w:t>
                            </w:r>
                          </w:p>
                        </w:tc>
                        <w:tc>
                          <w:tcPr>
                            <w:tcW w:w="567" w:type="dxa"/>
                            <w:vAlign w:val="center"/>
                          </w:tcPr>
                          <w:p w14:paraId="7E7A2A12"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11</w:t>
                            </w:r>
                          </w:p>
                        </w:tc>
                        <w:tc>
                          <w:tcPr>
                            <w:tcW w:w="567" w:type="dxa"/>
                            <w:vAlign w:val="center"/>
                          </w:tcPr>
                          <w:p w14:paraId="2FACE289"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12</w:t>
                            </w:r>
                          </w:p>
                        </w:tc>
                        <w:tc>
                          <w:tcPr>
                            <w:tcW w:w="567" w:type="dxa"/>
                            <w:vAlign w:val="center"/>
                          </w:tcPr>
                          <w:p w14:paraId="167B6E20" w14:textId="77777777" w:rsidR="0050059F" w:rsidRPr="003F6A26" w:rsidRDefault="0050059F" w:rsidP="00824CD6">
                            <w:pPr>
                              <w:pStyle w:val="a4"/>
                              <w:overflowPunct w:val="0"/>
                              <w:snapToGrid w:val="0"/>
                              <w:spacing w:line="240" w:lineRule="exact"/>
                              <w:ind w:leftChars="0" w:left="0"/>
                              <w:jc w:val="center"/>
                              <w:rPr>
                                <w:rFonts w:ascii="標楷體" w:eastAsia="標楷體" w:hAnsi="標楷體"/>
                                <w:noProof/>
                              </w:rPr>
                            </w:pPr>
                            <w:r>
                              <w:rPr>
                                <w:rFonts w:ascii="標楷體" w:eastAsia="標楷體" w:hAnsi="標楷體" w:hint="eastAsia"/>
                                <w:noProof/>
                              </w:rPr>
                              <w:t>1</w:t>
                            </w:r>
                            <w:r>
                              <w:rPr>
                                <w:rFonts w:ascii="標楷體" w:eastAsia="標楷體" w:hAnsi="標楷體"/>
                                <w:noProof/>
                              </w:rPr>
                              <w:t>13</w:t>
                            </w:r>
                          </w:p>
                        </w:tc>
                        <w:tc>
                          <w:tcPr>
                            <w:tcW w:w="698" w:type="dxa"/>
                            <w:vAlign w:val="center"/>
                          </w:tcPr>
                          <w:p w14:paraId="183C78A0" w14:textId="77777777" w:rsidR="0050059F" w:rsidRPr="005F5CCA" w:rsidRDefault="0050059F" w:rsidP="00824CD6">
                            <w:pPr>
                              <w:pStyle w:val="a4"/>
                              <w:overflowPunct w:val="0"/>
                              <w:snapToGrid w:val="0"/>
                              <w:spacing w:line="240" w:lineRule="exact"/>
                              <w:ind w:leftChars="0" w:left="0"/>
                              <w:jc w:val="center"/>
                              <w:rPr>
                                <w:rFonts w:ascii="標楷體" w:eastAsia="標楷體" w:hAnsi="標楷體"/>
                                <w:noProof/>
                              </w:rPr>
                            </w:pPr>
                            <w:r w:rsidRPr="005F5CCA">
                              <w:rPr>
                                <w:rFonts w:ascii="標楷體" w:eastAsia="標楷體" w:hAnsi="標楷體" w:hint="eastAsia"/>
                                <w:noProof/>
                              </w:rPr>
                              <w:t>合計</w:t>
                            </w:r>
                          </w:p>
                        </w:tc>
                      </w:tr>
                      <w:tr w:rsidR="0050059F" w14:paraId="0FCA8BAF" w14:textId="77777777" w:rsidTr="00824CD6">
                        <w:trPr>
                          <w:trHeight w:val="312"/>
                        </w:trPr>
                        <w:tc>
                          <w:tcPr>
                            <w:tcW w:w="1696" w:type="dxa"/>
                            <w:vAlign w:val="center"/>
                          </w:tcPr>
                          <w:p w14:paraId="1F142127" w14:textId="77777777" w:rsidR="0050059F" w:rsidRPr="005F5CCA" w:rsidRDefault="0050059F" w:rsidP="00824CD6">
                            <w:pPr>
                              <w:pStyle w:val="a4"/>
                              <w:overflowPunct w:val="0"/>
                              <w:snapToGrid w:val="0"/>
                              <w:spacing w:line="240" w:lineRule="exact"/>
                              <w:ind w:leftChars="0" w:left="0"/>
                              <w:jc w:val="center"/>
                              <w:rPr>
                                <w:rFonts w:ascii="標楷體" w:eastAsia="標楷體" w:hAnsi="標楷體"/>
                                <w:b/>
                                <w:bCs/>
                                <w:noProof/>
                              </w:rPr>
                            </w:pPr>
                            <w:r w:rsidRPr="005F5CCA">
                              <w:rPr>
                                <w:rFonts w:ascii="標楷體" w:eastAsia="標楷體" w:hAnsi="標楷體" w:hint="eastAsia"/>
                                <w:b/>
                                <w:bCs/>
                                <w:noProof/>
                              </w:rPr>
                              <w:t>合</w:t>
                            </w:r>
                            <w:r>
                              <w:rPr>
                                <w:rFonts w:ascii="標楷體" w:eastAsia="標楷體" w:hAnsi="標楷體" w:hint="eastAsia"/>
                                <w:b/>
                                <w:bCs/>
                                <w:noProof/>
                              </w:rPr>
                              <w:t xml:space="preserve"> </w:t>
                            </w:r>
                            <w:r w:rsidRPr="005F5CCA">
                              <w:rPr>
                                <w:rFonts w:ascii="標楷體" w:eastAsia="標楷體" w:hAnsi="標楷體" w:hint="eastAsia"/>
                                <w:b/>
                                <w:bCs/>
                                <w:noProof/>
                              </w:rPr>
                              <w:t>計</w:t>
                            </w:r>
                          </w:p>
                        </w:tc>
                        <w:tc>
                          <w:tcPr>
                            <w:tcW w:w="567" w:type="dxa"/>
                            <w:vAlign w:val="center"/>
                          </w:tcPr>
                          <w:p w14:paraId="62488EA3"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4</w:t>
                            </w:r>
                            <w:r w:rsidRPr="005F5CCA">
                              <w:rPr>
                                <w:rFonts w:ascii="標楷體" w:eastAsia="標楷體" w:hAnsi="標楷體"/>
                                <w:b/>
                                <w:bCs/>
                                <w:noProof/>
                              </w:rPr>
                              <w:t>5</w:t>
                            </w:r>
                          </w:p>
                        </w:tc>
                        <w:tc>
                          <w:tcPr>
                            <w:tcW w:w="567" w:type="dxa"/>
                            <w:vAlign w:val="center"/>
                          </w:tcPr>
                          <w:p w14:paraId="1494E945"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4</w:t>
                            </w:r>
                            <w:r w:rsidRPr="005F5CCA">
                              <w:rPr>
                                <w:rFonts w:ascii="標楷體" w:eastAsia="標楷體" w:hAnsi="標楷體"/>
                                <w:b/>
                                <w:bCs/>
                                <w:noProof/>
                              </w:rPr>
                              <w:t>7</w:t>
                            </w:r>
                          </w:p>
                        </w:tc>
                        <w:tc>
                          <w:tcPr>
                            <w:tcW w:w="567" w:type="dxa"/>
                            <w:vAlign w:val="center"/>
                          </w:tcPr>
                          <w:p w14:paraId="2FC5BEAE"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2</w:t>
                            </w:r>
                            <w:r w:rsidRPr="005F5CCA">
                              <w:rPr>
                                <w:rFonts w:ascii="標楷體" w:eastAsia="標楷體" w:hAnsi="標楷體"/>
                                <w:b/>
                                <w:bCs/>
                                <w:noProof/>
                              </w:rPr>
                              <w:t>7</w:t>
                            </w:r>
                          </w:p>
                        </w:tc>
                        <w:tc>
                          <w:tcPr>
                            <w:tcW w:w="567" w:type="dxa"/>
                            <w:vAlign w:val="center"/>
                          </w:tcPr>
                          <w:p w14:paraId="5030DF0B"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4</w:t>
                            </w:r>
                            <w:r w:rsidRPr="005F5CCA">
                              <w:rPr>
                                <w:rFonts w:ascii="標楷體" w:eastAsia="標楷體" w:hAnsi="標楷體"/>
                                <w:b/>
                                <w:bCs/>
                                <w:noProof/>
                              </w:rPr>
                              <w:t>9</w:t>
                            </w:r>
                          </w:p>
                        </w:tc>
                        <w:tc>
                          <w:tcPr>
                            <w:tcW w:w="567" w:type="dxa"/>
                            <w:vAlign w:val="center"/>
                          </w:tcPr>
                          <w:p w14:paraId="7DE98DEC"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2</w:t>
                            </w:r>
                            <w:r w:rsidRPr="005F5CCA">
                              <w:rPr>
                                <w:rFonts w:ascii="標楷體" w:eastAsia="標楷體" w:hAnsi="標楷體"/>
                                <w:b/>
                                <w:bCs/>
                                <w:noProof/>
                              </w:rPr>
                              <w:t>2</w:t>
                            </w:r>
                          </w:p>
                        </w:tc>
                        <w:tc>
                          <w:tcPr>
                            <w:tcW w:w="567" w:type="dxa"/>
                            <w:vAlign w:val="center"/>
                          </w:tcPr>
                          <w:p w14:paraId="03F68A47"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1</w:t>
                            </w:r>
                            <w:r w:rsidRPr="005F5CCA">
                              <w:rPr>
                                <w:rFonts w:ascii="標楷體" w:eastAsia="標楷體" w:hAnsi="標楷體"/>
                                <w:b/>
                                <w:bCs/>
                                <w:noProof/>
                              </w:rPr>
                              <w:t>8</w:t>
                            </w:r>
                          </w:p>
                        </w:tc>
                        <w:tc>
                          <w:tcPr>
                            <w:tcW w:w="567" w:type="dxa"/>
                            <w:vAlign w:val="center"/>
                          </w:tcPr>
                          <w:p w14:paraId="24237CDE"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2</w:t>
                            </w:r>
                            <w:r w:rsidRPr="005F5CCA">
                              <w:rPr>
                                <w:rFonts w:ascii="標楷體" w:eastAsia="標楷體" w:hAnsi="標楷體"/>
                                <w:b/>
                                <w:bCs/>
                                <w:noProof/>
                              </w:rPr>
                              <w:t>0</w:t>
                            </w:r>
                          </w:p>
                        </w:tc>
                        <w:tc>
                          <w:tcPr>
                            <w:tcW w:w="567" w:type="dxa"/>
                            <w:vAlign w:val="center"/>
                          </w:tcPr>
                          <w:p w14:paraId="007A1789"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1</w:t>
                            </w:r>
                            <w:r w:rsidRPr="005F5CCA">
                              <w:rPr>
                                <w:rFonts w:ascii="標楷體" w:eastAsia="標楷體" w:hAnsi="標楷體"/>
                                <w:b/>
                                <w:bCs/>
                                <w:noProof/>
                              </w:rPr>
                              <w:t>0</w:t>
                            </w:r>
                          </w:p>
                        </w:tc>
                        <w:tc>
                          <w:tcPr>
                            <w:tcW w:w="698" w:type="dxa"/>
                            <w:vAlign w:val="center"/>
                          </w:tcPr>
                          <w:p w14:paraId="66E58FCD"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b/>
                                <w:bCs/>
                                <w:noProof/>
                              </w:rPr>
                            </w:pPr>
                            <w:r w:rsidRPr="005F5CCA">
                              <w:rPr>
                                <w:rFonts w:ascii="標楷體" w:eastAsia="標楷體" w:hAnsi="標楷體" w:hint="eastAsia"/>
                                <w:b/>
                                <w:bCs/>
                                <w:noProof/>
                              </w:rPr>
                              <w:t>2</w:t>
                            </w:r>
                            <w:r w:rsidRPr="005F5CCA">
                              <w:rPr>
                                <w:rFonts w:ascii="標楷體" w:eastAsia="標楷體" w:hAnsi="標楷體"/>
                                <w:b/>
                                <w:bCs/>
                                <w:noProof/>
                              </w:rPr>
                              <w:t>38</w:t>
                            </w:r>
                          </w:p>
                        </w:tc>
                      </w:tr>
                      <w:tr w:rsidR="0050059F" w14:paraId="3FAC7CE2" w14:textId="77777777" w:rsidTr="00824CD6">
                        <w:trPr>
                          <w:trHeight w:val="312"/>
                        </w:trPr>
                        <w:tc>
                          <w:tcPr>
                            <w:tcW w:w="1696" w:type="dxa"/>
                            <w:vAlign w:val="center"/>
                          </w:tcPr>
                          <w:p w14:paraId="685D8034" w14:textId="77777777" w:rsidR="0050059F" w:rsidRPr="003F6A26" w:rsidRDefault="0050059F" w:rsidP="00824CD6">
                            <w:pPr>
                              <w:pStyle w:val="a4"/>
                              <w:overflowPunct w:val="0"/>
                              <w:snapToGrid w:val="0"/>
                              <w:spacing w:line="240" w:lineRule="exact"/>
                              <w:ind w:leftChars="0" w:left="0"/>
                              <w:jc w:val="both"/>
                              <w:rPr>
                                <w:rFonts w:ascii="標楷體" w:eastAsia="標楷體" w:hAnsi="標楷體"/>
                                <w:noProof/>
                              </w:rPr>
                            </w:pPr>
                            <w:r>
                              <w:rPr>
                                <w:rFonts w:ascii="標楷體" w:eastAsia="標楷體" w:hAnsi="標楷體" w:hint="eastAsia"/>
                                <w:noProof/>
                              </w:rPr>
                              <w:t>已修繕完成結案</w:t>
                            </w:r>
                          </w:p>
                        </w:tc>
                        <w:tc>
                          <w:tcPr>
                            <w:tcW w:w="567" w:type="dxa"/>
                            <w:vAlign w:val="center"/>
                          </w:tcPr>
                          <w:p w14:paraId="660C3D9B"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2</w:t>
                            </w:r>
                            <w:r>
                              <w:rPr>
                                <w:rFonts w:ascii="標楷體" w:eastAsia="標楷體" w:hAnsi="標楷體"/>
                                <w:noProof/>
                              </w:rPr>
                              <w:t>1</w:t>
                            </w:r>
                          </w:p>
                        </w:tc>
                        <w:tc>
                          <w:tcPr>
                            <w:tcW w:w="567" w:type="dxa"/>
                            <w:vAlign w:val="center"/>
                          </w:tcPr>
                          <w:p w14:paraId="7EA440AA"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2</w:t>
                            </w:r>
                            <w:r>
                              <w:rPr>
                                <w:rFonts w:ascii="標楷體" w:eastAsia="標楷體" w:hAnsi="標楷體"/>
                                <w:noProof/>
                              </w:rPr>
                              <w:t>1</w:t>
                            </w:r>
                          </w:p>
                        </w:tc>
                        <w:tc>
                          <w:tcPr>
                            <w:tcW w:w="567" w:type="dxa"/>
                            <w:vAlign w:val="center"/>
                          </w:tcPr>
                          <w:p w14:paraId="7E51C665"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1</w:t>
                            </w:r>
                          </w:p>
                        </w:tc>
                        <w:tc>
                          <w:tcPr>
                            <w:tcW w:w="567" w:type="dxa"/>
                            <w:vAlign w:val="center"/>
                          </w:tcPr>
                          <w:p w14:paraId="22350EA6"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0</w:t>
                            </w:r>
                          </w:p>
                        </w:tc>
                        <w:tc>
                          <w:tcPr>
                            <w:tcW w:w="567" w:type="dxa"/>
                            <w:vAlign w:val="center"/>
                          </w:tcPr>
                          <w:p w14:paraId="687FB6D1"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0</w:t>
                            </w:r>
                          </w:p>
                        </w:tc>
                        <w:tc>
                          <w:tcPr>
                            <w:tcW w:w="567" w:type="dxa"/>
                            <w:vAlign w:val="center"/>
                          </w:tcPr>
                          <w:p w14:paraId="069558D4"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1</w:t>
                            </w:r>
                          </w:p>
                        </w:tc>
                        <w:tc>
                          <w:tcPr>
                            <w:tcW w:w="567" w:type="dxa"/>
                            <w:vAlign w:val="center"/>
                          </w:tcPr>
                          <w:p w14:paraId="2A7D7BE2"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2</w:t>
                            </w:r>
                          </w:p>
                        </w:tc>
                        <w:tc>
                          <w:tcPr>
                            <w:tcW w:w="567" w:type="dxa"/>
                            <w:vAlign w:val="center"/>
                          </w:tcPr>
                          <w:p w14:paraId="2B064FCA"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6</w:t>
                            </w:r>
                          </w:p>
                        </w:tc>
                        <w:tc>
                          <w:tcPr>
                            <w:tcW w:w="698" w:type="dxa"/>
                            <w:vAlign w:val="center"/>
                          </w:tcPr>
                          <w:p w14:paraId="2C2FC530"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noProof/>
                              </w:rPr>
                            </w:pPr>
                            <w:r w:rsidRPr="005F5CCA">
                              <w:rPr>
                                <w:rFonts w:ascii="標楷體" w:eastAsia="標楷體" w:hAnsi="標楷體" w:hint="eastAsia"/>
                                <w:noProof/>
                              </w:rPr>
                              <w:t>1</w:t>
                            </w:r>
                            <w:r w:rsidRPr="005F5CCA">
                              <w:rPr>
                                <w:rFonts w:ascii="標楷體" w:eastAsia="標楷體" w:hAnsi="標楷體"/>
                                <w:noProof/>
                              </w:rPr>
                              <w:t>02</w:t>
                            </w:r>
                          </w:p>
                        </w:tc>
                      </w:tr>
                      <w:tr w:rsidR="0050059F" w14:paraId="1F8E20C6" w14:textId="77777777" w:rsidTr="00824CD6">
                        <w:trPr>
                          <w:trHeight w:val="312"/>
                        </w:trPr>
                        <w:tc>
                          <w:tcPr>
                            <w:tcW w:w="1696" w:type="dxa"/>
                            <w:vAlign w:val="center"/>
                          </w:tcPr>
                          <w:p w14:paraId="573FB7A7" w14:textId="77777777" w:rsidR="0050059F" w:rsidRPr="003F6A26" w:rsidRDefault="0050059F" w:rsidP="00824CD6">
                            <w:pPr>
                              <w:pStyle w:val="a4"/>
                              <w:overflowPunct w:val="0"/>
                              <w:snapToGrid w:val="0"/>
                              <w:spacing w:line="240" w:lineRule="exact"/>
                              <w:ind w:leftChars="0" w:left="0"/>
                              <w:jc w:val="both"/>
                              <w:rPr>
                                <w:rFonts w:ascii="標楷體" w:eastAsia="標楷體" w:hAnsi="標楷體"/>
                                <w:noProof/>
                              </w:rPr>
                            </w:pPr>
                            <w:r>
                              <w:rPr>
                                <w:rFonts w:ascii="標楷體" w:eastAsia="標楷體" w:hAnsi="標楷體" w:hint="eastAsia"/>
                                <w:noProof/>
                              </w:rPr>
                              <w:t>民眾願自行處理</w:t>
                            </w:r>
                          </w:p>
                        </w:tc>
                        <w:tc>
                          <w:tcPr>
                            <w:tcW w:w="567" w:type="dxa"/>
                            <w:vAlign w:val="center"/>
                          </w:tcPr>
                          <w:p w14:paraId="42755B6F"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3</w:t>
                            </w:r>
                          </w:p>
                        </w:tc>
                        <w:tc>
                          <w:tcPr>
                            <w:tcW w:w="567" w:type="dxa"/>
                            <w:vAlign w:val="center"/>
                          </w:tcPr>
                          <w:p w14:paraId="2B417C08"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4</w:t>
                            </w:r>
                          </w:p>
                        </w:tc>
                        <w:tc>
                          <w:tcPr>
                            <w:tcW w:w="567" w:type="dxa"/>
                            <w:vAlign w:val="center"/>
                          </w:tcPr>
                          <w:p w14:paraId="0A3FF60F"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6</w:t>
                            </w:r>
                          </w:p>
                        </w:tc>
                        <w:tc>
                          <w:tcPr>
                            <w:tcW w:w="567" w:type="dxa"/>
                            <w:vAlign w:val="center"/>
                          </w:tcPr>
                          <w:p w14:paraId="52CF44F0"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9</w:t>
                            </w:r>
                          </w:p>
                        </w:tc>
                        <w:tc>
                          <w:tcPr>
                            <w:tcW w:w="567" w:type="dxa"/>
                            <w:vAlign w:val="center"/>
                          </w:tcPr>
                          <w:p w14:paraId="74947A75"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6</w:t>
                            </w:r>
                          </w:p>
                        </w:tc>
                        <w:tc>
                          <w:tcPr>
                            <w:tcW w:w="567" w:type="dxa"/>
                            <w:vAlign w:val="center"/>
                          </w:tcPr>
                          <w:p w14:paraId="7F2AE172"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sidRPr="00773D26">
                              <w:rPr>
                                <w:rFonts w:ascii="標楷體" w:eastAsia="標楷體" w:hAnsi="標楷體" w:hint="eastAsia"/>
                              </w:rPr>
                              <w:t>－</w:t>
                            </w:r>
                          </w:p>
                        </w:tc>
                        <w:tc>
                          <w:tcPr>
                            <w:tcW w:w="567" w:type="dxa"/>
                            <w:vAlign w:val="center"/>
                          </w:tcPr>
                          <w:p w14:paraId="2B17D7DD"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sidRPr="00773D26">
                              <w:rPr>
                                <w:rFonts w:ascii="標楷體" w:eastAsia="標楷體" w:hAnsi="標楷體" w:hint="eastAsia"/>
                              </w:rPr>
                              <w:t>－</w:t>
                            </w:r>
                          </w:p>
                        </w:tc>
                        <w:tc>
                          <w:tcPr>
                            <w:tcW w:w="567" w:type="dxa"/>
                            <w:vAlign w:val="center"/>
                          </w:tcPr>
                          <w:p w14:paraId="4CC10018" w14:textId="77777777" w:rsidR="0050059F"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p>
                        </w:tc>
                        <w:tc>
                          <w:tcPr>
                            <w:tcW w:w="698" w:type="dxa"/>
                            <w:vAlign w:val="center"/>
                          </w:tcPr>
                          <w:p w14:paraId="232D6526"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noProof/>
                              </w:rPr>
                            </w:pPr>
                            <w:r w:rsidRPr="005F5CCA">
                              <w:rPr>
                                <w:rFonts w:ascii="標楷體" w:eastAsia="標楷體" w:hAnsi="標楷體" w:hint="eastAsia"/>
                                <w:noProof/>
                              </w:rPr>
                              <w:t>4</w:t>
                            </w:r>
                            <w:r w:rsidRPr="005F5CCA">
                              <w:rPr>
                                <w:rFonts w:ascii="標楷體" w:eastAsia="標楷體" w:hAnsi="標楷體"/>
                                <w:noProof/>
                              </w:rPr>
                              <w:t>9</w:t>
                            </w:r>
                          </w:p>
                        </w:tc>
                      </w:tr>
                      <w:tr w:rsidR="0050059F" w14:paraId="062E57CE" w14:textId="77777777" w:rsidTr="00824CD6">
                        <w:trPr>
                          <w:trHeight w:val="312"/>
                        </w:trPr>
                        <w:tc>
                          <w:tcPr>
                            <w:tcW w:w="1696" w:type="dxa"/>
                            <w:vAlign w:val="center"/>
                          </w:tcPr>
                          <w:p w14:paraId="2A8C07B9" w14:textId="77777777" w:rsidR="0050059F" w:rsidRPr="003F6A26" w:rsidRDefault="0050059F" w:rsidP="00824CD6">
                            <w:pPr>
                              <w:pStyle w:val="a4"/>
                              <w:overflowPunct w:val="0"/>
                              <w:snapToGrid w:val="0"/>
                              <w:spacing w:line="240" w:lineRule="exact"/>
                              <w:ind w:leftChars="0" w:left="0"/>
                              <w:jc w:val="both"/>
                              <w:rPr>
                                <w:rFonts w:ascii="標楷體" w:eastAsia="標楷體" w:hAnsi="標楷體"/>
                                <w:noProof/>
                              </w:rPr>
                            </w:pPr>
                            <w:r>
                              <w:rPr>
                                <w:rFonts w:ascii="標楷體" w:eastAsia="標楷體" w:hAnsi="標楷體" w:hint="eastAsia"/>
                                <w:noProof/>
                              </w:rPr>
                              <w:t>尚未結案</w:t>
                            </w:r>
                          </w:p>
                        </w:tc>
                        <w:tc>
                          <w:tcPr>
                            <w:tcW w:w="567" w:type="dxa"/>
                            <w:vAlign w:val="center"/>
                          </w:tcPr>
                          <w:p w14:paraId="59111C19"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1</w:t>
                            </w:r>
                          </w:p>
                        </w:tc>
                        <w:tc>
                          <w:tcPr>
                            <w:tcW w:w="567" w:type="dxa"/>
                            <w:vAlign w:val="center"/>
                          </w:tcPr>
                          <w:p w14:paraId="006FC766"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2</w:t>
                            </w:r>
                          </w:p>
                        </w:tc>
                        <w:tc>
                          <w:tcPr>
                            <w:tcW w:w="567" w:type="dxa"/>
                            <w:vAlign w:val="center"/>
                          </w:tcPr>
                          <w:p w14:paraId="5B413F23"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1</w:t>
                            </w:r>
                            <w:r>
                              <w:rPr>
                                <w:rFonts w:ascii="標楷體" w:eastAsia="標楷體" w:hAnsi="標楷體"/>
                                <w:noProof/>
                              </w:rPr>
                              <w:t>0</w:t>
                            </w:r>
                          </w:p>
                        </w:tc>
                        <w:tc>
                          <w:tcPr>
                            <w:tcW w:w="567" w:type="dxa"/>
                            <w:vAlign w:val="center"/>
                          </w:tcPr>
                          <w:p w14:paraId="71200C90"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3</w:t>
                            </w:r>
                            <w:r>
                              <w:rPr>
                                <w:rFonts w:ascii="標楷體" w:eastAsia="標楷體" w:hAnsi="標楷體"/>
                                <w:noProof/>
                              </w:rPr>
                              <w:t>0</w:t>
                            </w:r>
                          </w:p>
                        </w:tc>
                        <w:tc>
                          <w:tcPr>
                            <w:tcW w:w="567" w:type="dxa"/>
                            <w:vAlign w:val="center"/>
                          </w:tcPr>
                          <w:p w14:paraId="758ED65D"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6</w:t>
                            </w:r>
                          </w:p>
                        </w:tc>
                        <w:tc>
                          <w:tcPr>
                            <w:tcW w:w="567" w:type="dxa"/>
                            <w:vAlign w:val="center"/>
                          </w:tcPr>
                          <w:p w14:paraId="03C296EA"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7</w:t>
                            </w:r>
                          </w:p>
                        </w:tc>
                        <w:tc>
                          <w:tcPr>
                            <w:tcW w:w="567" w:type="dxa"/>
                            <w:vAlign w:val="center"/>
                          </w:tcPr>
                          <w:p w14:paraId="5B243C7D"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8</w:t>
                            </w:r>
                          </w:p>
                        </w:tc>
                        <w:tc>
                          <w:tcPr>
                            <w:tcW w:w="567" w:type="dxa"/>
                            <w:vAlign w:val="center"/>
                          </w:tcPr>
                          <w:p w14:paraId="18316B11" w14:textId="77777777" w:rsidR="0050059F" w:rsidRPr="003F6A26" w:rsidRDefault="0050059F" w:rsidP="00824CD6">
                            <w:pPr>
                              <w:pStyle w:val="a4"/>
                              <w:overflowPunct w:val="0"/>
                              <w:snapToGrid w:val="0"/>
                              <w:spacing w:line="240" w:lineRule="exact"/>
                              <w:ind w:leftChars="0" w:left="0"/>
                              <w:jc w:val="right"/>
                              <w:rPr>
                                <w:rFonts w:ascii="標楷體" w:eastAsia="標楷體" w:hAnsi="標楷體"/>
                                <w:noProof/>
                              </w:rPr>
                            </w:pPr>
                            <w:r>
                              <w:rPr>
                                <w:rFonts w:ascii="標楷體" w:eastAsia="標楷體" w:hAnsi="標楷體" w:hint="eastAsia"/>
                                <w:noProof/>
                              </w:rPr>
                              <w:t>3</w:t>
                            </w:r>
                          </w:p>
                        </w:tc>
                        <w:tc>
                          <w:tcPr>
                            <w:tcW w:w="698" w:type="dxa"/>
                            <w:vAlign w:val="center"/>
                          </w:tcPr>
                          <w:p w14:paraId="3AE534FB" w14:textId="77777777" w:rsidR="0050059F" w:rsidRPr="005F5CCA" w:rsidRDefault="0050059F" w:rsidP="00824CD6">
                            <w:pPr>
                              <w:pStyle w:val="a4"/>
                              <w:overflowPunct w:val="0"/>
                              <w:snapToGrid w:val="0"/>
                              <w:spacing w:line="240" w:lineRule="exact"/>
                              <w:ind w:leftChars="0" w:left="0"/>
                              <w:jc w:val="right"/>
                              <w:rPr>
                                <w:rFonts w:ascii="標楷體" w:eastAsia="標楷體" w:hAnsi="標楷體"/>
                                <w:noProof/>
                              </w:rPr>
                            </w:pPr>
                            <w:r w:rsidRPr="005F5CCA">
                              <w:rPr>
                                <w:rFonts w:ascii="標楷體" w:eastAsia="標楷體" w:hAnsi="標楷體" w:hint="eastAsia"/>
                                <w:noProof/>
                              </w:rPr>
                              <w:t>8</w:t>
                            </w:r>
                            <w:r w:rsidRPr="005F5CCA">
                              <w:rPr>
                                <w:rFonts w:ascii="標楷體" w:eastAsia="標楷體" w:hAnsi="標楷體"/>
                                <w:noProof/>
                              </w:rPr>
                              <w:t>7</w:t>
                            </w:r>
                          </w:p>
                        </w:tc>
                      </w:tr>
                    </w:tbl>
                    <w:p w14:paraId="3AEB2C6A" w14:textId="77777777" w:rsidR="0050059F" w:rsidRPr="00926DED" w:rsidRDefault="0050059F" w:rsidP="0050059F">
                      <w:pPr>
                        <w:spacing w:beforeLines="10" w:before="36" w:line="240" w:lineRule="exact"/>
                        <w:rPr>
                          <w:rFonts w:ascii="標楷體" w:eastAsia="標楷體" w:hAnsi="標楷體"/>
                          <w:sz w:val="18"/>
                          <w:szCs w:val="18"/>
                        </w:rPr>
                      </w:pPr>
                      <w:r w:rsidRPr="00926DED">
                        <w:rPr>
                          <w:rFonts w:ascii="標楷體" w:eastAsia="標楷體" w:hAnsi="標楷體" w:hint="eastAsia"/>
                          <w:sz w:val="18"/>
                          <w:szCs w:val="18"/>
                        </w:rPr>
                        <w:t>資料來源：整理自</w:t>
                      </w:r>
                      <w:r w:rsidRPr="005C23FB">
                        <w:rPr>
                          <w:rFonts w:ascii="標楷體" w:eastAsia="標楷體" w:hAnsi="標楷體" w:hint="eastAsia"/>
                          <w:sz w:val="18"/>
                          <w:szCs w:val="18"/>
                        </w:rPr>
                        <w:t>捷運工程局</w:t>
                      </w:r>
                      <w:r w:rsidRPr="00926DED">
                        <w:rPr>
                          <w:rFonts w:ascii="標楷體" w:eastAsia="標楷體" w:hAnsi="標楷體" w:hint="eastAsia"/>
                          <w:sz w:val="18"/>
                          <w:szCs w:val="18"/>
                        </w:rPr>
                        <w:t>提供資料。</w:t>
                      </w:r>
                    </w:p>
                  </w:txbxContent>
                </v:textbox>
                <w10:wrap type="square" anchorx="margin"/>
              </v:shape>
            </w:pict>
          </mc:Fallback>
        </mc:AlternateContent>
      </w:r>
      <w:r w:rsidRPr="00177770">
        <w:rPr>
          <w:rFonts w:ascii="標楷體" w:eastAsia="標楷體" w:hAnsi="標楷體" w:hint="eastAsia"/>
          <w:b/>
          <w:bCs/>
        </w:rPr>
        <w:t>3</w:t>
      </w:r>
      <w:r w:rsidRPr="00177770">
        <w:rPr>
          <w:rFonts w:ascii="標楷體" w:eastAsia="標楷體" w:hAnsi="標楷體"/>
          <w:b/>
          <w:bCs/>
        </w:rPr>
        <w:t>.CR580C</w:t>
      </w:r>
      <w:r w:rsidRPr="00177770">
        <w:rPr>
          <w:rFonts w:ascii="標楷體" w:eastAsia="標楷體" w:hAnsi="標楷體" w:hint="eastAsia"/>
          <w:b/>
          <w:bCs/>
        </w:rPr>
        <w:t>區段標中</w:t>
      </w:r>
      <w:r w:rsidRPr="00177770">
        <w:rPr>
          <w:rFonts w:ascii="標楷體" w:eastAsia="標楷體" w:hAnsi="標楷體"/>
          <w:b/>
          <w:bCs/>
        </w:rPr>
        <w:t>CR</w:t>
      </w:r>
      <w:r w:rsidRPr="00177770">
        <w:rPr>
          <w:rFonts w:ascii="標楷體" w:eastAsia="標楷體" w:hAnsi="標楷體" w:hint="eastAsia"/>
          <w:b/>
          <w:bCs/>
        </w:rPr>
        <w:t>285</w:t>
      </w:r>
      <w:proofErr w:type="gramStart"/>
      <w:r w:rsidRPr="00177770">
        <w:rPr>
          <w:rFonts w:ascii="標楷體" w:eastAsia="標楷體" w:hAnsi="標楷體" w:hint="eastAsia"/>
          <w:b/>
          <w:bCs/>
        </w:rPr>
        <w:t>標因</w:t>
      </w:r>
      <w:r w:rsidRPr="00177770">
        <w:rPr>
          <w:rFonts w:ascii="標楷體" w:eastAsia="標楷體" w:hAnsi="標楷體" w:hint="eastAsia"/>
          <w:b/>
          <w:szCs w:val="24"/>
        </w:rPr>
        <w:t>施工</w:t>
      </w:r>
      <w:proofErr w:type="gramEnd"/>
      <w:r w:rsidRPr="00177770">
        <w:rPr>
          <w:rFonts w:ascii="標楷體" w:eastAsia="標楷體" w:hAnsi="標楷體" w:hint="eastAsia"/>
          <w:b/>
          <w:szCs w:val="24"/>
        </w:rPr>
        <w:t>造成損鄰事件，惟對未結案待後續</w:t>
      </w:r>
      <w:proofErr w:type="gramStart"/>
      <w:r w:rsidRPr="00177770">
        <w:rPr>
          <w:rFonts w:ascii="標楷體" w:eastAsia="標楷體" w:hAnsi="標楷體" w:hint="eastAsia"/>
          <w:b/>
          <w:szCs w:val="24"/>
        </w:rPr>
        <w:t>修繕之損鄰</w:t>
      </w:r>
      <w:proofErr w:type="gramEnd"/>
      <w:r w:rsidRPr="00177770">
        <w:rPr>
          <w:rFonts w:ascii="標楷體" w:eastAsia="標楷體" w:hAnsi="標楷體" w:hint="eastAsia"/>
          <w:b/>
          <w:szCs w:val="24"/>
        </w:rPr>
        <w:t>案件，</w:t>
      </w:r>
      <w:proofErr w:type="gramStart"/>
      <w:r w:rsidRPr="00177770">
        <w:rPr>
          <w:rFonts w:ascii="標楷體" w:eastAsia="標楷體" w:hAnsi="標楷體" w:hint="eastAsia"/>
          <w:b/>
          <w:szCs w:val="24"/>
        </w:rPr>
        <w:t>未控管</w:t>
      </w:r>
      <w:proofErr w:type="gramEnd"/>
      <w:r w:rsidRPr="00177770">
        <w:rPr>
          <w:rFonts w:ascii="標楷體" w:eastAsia="標楷體" w:hAnsi="標楷體" w:hint="eastAsia"/>
          <w:b/>
          <w:szCs w:val="24"/>
        </w:rPr>
        <w:t>施工廠商應修復完成時程：</w:t>
      </w:r>
      <w:r w:rsidRPr="00177770">
        <w:rPr>
          <w:rFonts w:ascii="標楷體" w:eastAsia="標楷體" w:hAnsi="標楷體" w:hint="eastAsia"/>
        </w:rPr>
        <w:t>二工處辦理</w:t>
      </w:r>
      <w:r w:rsidRPr="00177770">
        <w:rPr>
          <w:rFonts w:ascii="標楷體" w:eastAsia="標楷體" w:hAnsi="標楷體"/>
          <w:bCs/>
        </w:rPr>
        <w:t>CR580C</w:t>
      </w:r>
      <w:r w:rsidRPr="00177770">
        <w:rPr>
          <w:rFonts w:ascii="標楷體" w:eastAsia="標楷體" w:hAnsi="標楷體" w:hint="eastAsia"/>
          <w:bCs/>
        </w:rPr>
        <w:t>區段標中</w:t>
      </w:r>
      <w:r w:rsidRPr="00177770">
        <w:rPr>
          <w:rFonts w:ascii="標楷體" w:eastAsia="標楷體" w:hAnsi="標楷體"/>
        </w:rPr>
        <w:t>CR285標（土建工程）</w:t>
      </w:r>
      <w:r w:rsidRPr="00177770">
        <w:rPr>
          <w:rFonts w:ascii="標楷體" w:eastAsia="標楷體" w:hAnsi="標楷體" w:hint="eastAsia"/>
        </w:rPr>
        <w:t>，為避免損鄰事件發生，已針對捷運沿線周邊建築物辦理指定保護建物作業，惟自</w:t>
      </w:r>
      <w:r w:rsidRPr="00177770">
        <w:rPr>
          <w:rFonts w:ascii="標楷體" w:eastAsia="標楷體" w:hAnsi="標楷體"/>
        </w:rPr>
        <w:t>105</w:t>
      </w:r>
      <w:r w:rsidRPr="00177770">
        <w:rPr>
          <w:rFonts w:ascii="標楷體" w:eastAsia="標楷體" w:hAnsi="標楷體" w:hint="eastAsia"/>
        </w:rPr>
        <w:t>年</w:t>
      </w:r>
      <w:r w:rsidRPr="00177770">
        <w:rPr>
          <w:rFonts w:ascii="標楷體" w:eastAsia="標楷體" w:hAnsi="標楷體"/>
        </w:rPr>
        <w:t>10</w:t>
      </w:r>
      <w:r w:rsidRPr="00177770">
        <w:rPr>
          <w:rFonts w:ascii="標楷體" w:eastAsia="標楷體" w:hAnsi="標楷體" w:hint="eastAsia"/>
        </w:rPr>
        <w:t>月</w:t>
      </w:r>
      <w:r w:rsidRPr="00177770">
        <w:rPr>
          <w:rFonts w:ascii="標楷體" w:eastAsia="標楷體" w:hAnsi="標楷體"/>
        </w:rPr>
        <w:t>17</w:t>
      </w:r>
      <w:r w:rsidRPr="00177770">
        <w:rPr>
          <w:rFonts w:ascii="標楷體" w:eastAsia="標楷體" w:hAnsi="標楷體" w:hint="eastAsia"/>
        </w:rPr>
        <w:t>日開工起至</w:t>
      </w:r>
      <w:r w:rsidRPr="00177770">
        <w:rPr>
          <w:rFonts w:ascii="標楷體" w:eastAsia="標楷體" w:hAnsi="標楷體"/>
        </w:rPr>
        <w:t>113</w:t>
      </w:r>
      <w:r w:rsidRPr="00177770">
        <w:rPr>
          <w:rFonts w:ascii="標楷體" w:eastAsia="標楷體" w:hAnsi="標楷體" w:hint="eastAsia"/>
        </w:rPr>
        <w:t>年</w:t>
      </w:r>
      <w:r w:rsidRPr="00177770">
        <w:rPr>
          <w:rFonts w:ascii="標楷體" w:eastAsia="標楷體" w:hAnsi="標楷體"/>
        </w:rPr>
        <w:t>8月15</w:t>
      </w:r>
      <w:r w:rsidRPr="00177770">
        <w:rPr>
          <w:rFonts w:ascii="標楷體" w:eastAsia="標楷體" w:hAnsi="標楷體" w:hint="eastAsia"/>
        </w:rPr>
        <w:t>日止之施工</w:t>
      </w:r>
      <w:proofErr w:type="gramStart"/>
      <w:r w:rsidRPr="00177770">
        <w:rPr>
          <w:rFonts w:ascii="標楷體" w:eastAsia="標楷體" w:hAnsi="標楷體" w:hint="eastAsia"/>
        </w:rPr>
        <w:t>期間，</w:t>
      </w:r>
      <w:proofErr w:type="gramEnd"/>
      <w:r w:rsidRPr="00177770">
        <w:rPr>
          <w:rFonts w:ascii="標楷體" w:eastAsia="標楷體" w:hAnsi="標楷體" w:hint="eastAsia"/>
        </w:rPr>
        <w:t>仍發生</w:t>
      </w:r>
      <w:proofErr w:type="gramStart"/>
      <w:r w:rsidRPr="00177770">
        <w:rPr>
          <w:rFonts w:ascii="標楷體" w:eastAsia="標楷體" w:hAnsi="標楷體"/>
        </w:rPr>
        <w:t>238</w:t>
      </w:r>
      <w:r w:rsidRPr="00177770">
        <w:rPr>
          <w:rFonts w:ascii="標楷體" w:eastAsia="標楷體" w:hAnsi="標楷體" w:hint="eastAsia"/>
        </w:rPr>
        <w:t>件損</w:t>
      </w:r>
      <w:proofErr w:type="gramEnd"/>
      <w:r w:rsidRPr="00177770">
        <w:rPr>
          <w:rFonts w:ascii="標楷體" w:eastAsia="標楷體" w:hAnsi="標楷體" w:hint="eastAsia"/>
        </w:rPr>
        <w:t>鄰事件，其中</w:t>
      </w:r>
      <w:r w:rsidRPr="00177770">
        <w:rPr>
          <w:rFonts w:ascii="標楷體" w:eastAsia="標楷體" w:hAnsi="標楷體"/>
        </w:rPr>
        <w:t>102</w:t>
      </w:r>
      <w:r w:rsidRPr="00177770">
        <w:rPr>
          <w:rFonts w:ascii="標楷體" w:eastAsia="標楷體" w:hAnsi="標楷體" w:hint="eastAsia"/>
        </w:rPr>
        <w:t>件已修繕完成、</w:t>
      </w:r>
      <w:r w:rsidRPr="00177770">
        <w:rPr>
          <w:rFonts w:ascii="標楷體" w:eastAsia="標楷體" w:hAnsi="標楷體"/>
        </w:rPr>
        <w:t>49</w:t>
      </w:r>
      <w:r w:rsidRPr="00177770">
        <w:rPr>
          <w:rFonts w:ascii="標楷體" w:eastAsia="標楷體" w:hAnsi="標楷體" w:hint="eastAsia"/>
        </w:rPr>
        <w:t>件民眾願自行處理，餘</w:t>
      </w:r>
      <w:r w:rsidRPr="00177770">
        <w:rPr>
          <w:rFonts w:ascii="標楷體" w:eastAsia="標楷體" w:hAnsi="標楷體"/>
        </w:rPr>
        <w:t>87</w:t>
      </w:r>
      <w:r w:rsidRPr="00177770">
        <w:rPr>
          <w:rFonts w:ascii="標楷體" w:eastAsia="標楷體" w:hAnsi="標楷體" w:hint="eastAsia"/>
        </w:rPr>
        <w:t>件則尚未結案待後續修繕；另查該</w:t>
      </w:r>
      <w:r w:rsidRPr="00177770">
        <w:rPr>
          <w:rFonts w:ascii="標楷體" w:eastAsia="標楷體" w:hAnsi="標楷體"/>
        </w:rPr>
        <w:t>87</w:t>
      </w:r>
      <w:r w:rsidRPr="00177770">
        <w:rPr>
          <w:rFonts w:ascii="標楷體" w:eastAsia="標楷體" w:hAnsi="標楷體" w:hint="eastAsia"/>
        </w:rPr>
        <w:t>件待後續修繕</w:t>
      </w:r>
      <w:proofErr w:type="gramStart"/>
      <w:r w:rsidRPr="00177770">
        <w:rPr>
          <w:rFonts w:ascii="標楷體" w:eastAsia="標楷體" w:hAnsi="標楷體" w:hint="eastAsia"/>
        </w:rPr>
        <w:t>之損鄰案</w:t>
      </w:r>
      <w:proofErr w:type="gramEnd"/>
      <w:r w:rsidRPr="00177770">
        <w:rPr>
          <w:rFonts w:ascii="標楷體" w:eastAsia="標楷體" w:hAnsi="標楷體" w:hint="eastAsia"/>
        </w:rPr>
        <w:t>，屬</w:t>
      </w:r>
      <w:r w:rsidRPr="00177770">
        <w:rPr>
          <w:rFonts w:ascii="標楷體" w:eastAsia="標楷體" w:hAnsi="標楷體"/>
        </w:rPr>
        <w:t>106</w:t>
      </w:r>
      <w:r w:rsidRPr="00177770">
        <w:rPr>
          <w:rFonts w:ascii="標楷體" w:eastAsia="標楷體" w:hAnsi="標楷體" w:hint="eastAsia"/>
        </w:rPr>
        <w:t>至</w:t>
      </w:r>
      <w:r w:rsidRPr="00177770">
        <w:rPr>
          <w:rFonts w:ascii="標楷體" w:eastAsia="標楷體" w:hAnsi="標楷體"/>
        </w:rPr>
        <w:t>113</w:t>
      </w:r>
      <w:r w:rsidRPr="00177770">
        <w:rPr>
          <w:rFonts w:ascii="標楷體" w:eastAsia="標楷體" w:hAnsi="標楷體" w:hint="eastAsia"/>
        </w:rPr>
        <w:t>年間各年反映者介於</w:t>
      </w:r>
      <w:r w:rsidRPr="00177770">
        <w:rPr>
          <w:rFonts w:ascii="標楷體" w:eastAsia="標楷體" w:hAnsi="標楷體"/>
        </w:rPr>
        <w:t>3</w:t>
      </w:r>
      <w:r w:rsidRPr="00177770">
        <w:rPr>
          <w:rFonts w:ascii="標楷體" w:eastAsia="標楷體" w:hAnsi="標楷體" w:hint="eastAsia"/>
        </w:rPr>
        <w:t>至3</w:t>
      </w:r>
      <w:r w:rsidRPr="00177770">
        <w:rPr>
          <w:rFonts w:ascii="標楷體" w:eastAsia="標楷體" w:hAnsi="標楷體"/>
        </w:rPr>
        <w:t>0件</w:t>
      </w:r>
      <w:r w:rsidRPr="00177770">
        <w:rPr>
          <w:rFonts w:ascii="標楷體" w:eastAsia="標楷體" w:hAnsi="標楷體" w:hint="eastAsia"/>
        </w:rPr>
        <w:t>不等（表7）。惟二工處針對前開8</w:t>
      </w:r>
      <w:r w:rsidRPr="00177770">
        <w:rPr>
          <w:rFonts w:ascii="標楷體" w:eastAsia="標楷體" w:hAnsi="標楷體"/>
        </w:rPr>
        <w:t>7</w:t>
      </w:r>
      <w:r w:rsidRPr="00177770">
        <w:rPr>
          <w:rFonts w:ascii="標楷體" w:eastAsia="標楷體" w:hAnsi="標楷體" w:hint="eastAsia"/>
        </w:rPr>
        <w:t>件未結案待後續</w:t>
      </w:r>
      <w:proofErr w:type="gramStart"/>
      <w:r w:rsidRPr="00177770">
        <w:rPr>
          <w:rFonts w:ascii="標楷體" w:eastAsia="標楷體" w:hAnsi="標楷體" w:hint="eastAsia"/>
        </w:rPr>
        <w:t>修繕之損鄰</w:t>
      </w:r>
      <w:proofErr w:type="gramEnd"/>
      <w:r w:rsidRPr="00177770">
        <w:rPr>
          <w:rFonts w:ascii="標楷體" w:eastAsia="標楷體" w:hAnsi="標楷體" w:hint="eastAsia"/>
        </w:rPr>
        <w:t>事件，尚未就施工廠商應修復完成時程進行管控，</w:t>
      </w:r>
      <w:proofErr w:type="gramStart"/>
      <w:r w:rsidRPr="00177770">
        <w:rPr>
          <w:rFonts w:ascii="標楷體" w:eastAsia="標楷體" w:hAnsi="標楷體" w:hint="eastAsia"/>
        </w:rPr>
        <w:t>舉如</w:t>
      </w:r>
      <w:r w:rsidRPr="00177770">
        <w:rPr>
          <w:rFonts w:ascii="標楷體" w:eastAsia="標楷體" w:hAnsi="標楷體"/>
        </w:rPr>
        <w:t>106</w:t>
      </w:r>
      <w:r w:rsidRPr="00177770">
        <w:rPr>
          <w:rFonts w:ascii="標楷體" w:eastAsia="標楷體" w:hAnsi="標楷體" w:hint="eastAsia"/>
        </w:rPr>
        <w:t>至</w:t>
      </w:r>
      <w:r w:rsidRPr="00177770">
        <w:rPr>
          <w:rFonts w:ascii="標楷體" w:eastAsia="標楷體" w:hAnsi="標楷體"/>
        </w:rPr>
        <w:t>109</w:t>
      </w:r>
      <w:proofErr w:type="gramEnd"/>
      <w:r w:rsidRPr="00177770">
        <w:rPr>
          <w:rFonts w:ascii="標楷體" w:eastAsia="標楷體" w:hAnsi="標楷體" w:hint="eastAsia"/>
        </w:rPr>
        <w:t>年間</w:t>
      </w:r>
      <w:proofErr w:type="gramStart"/>
      <w:r w:rsidRPr="00177770">
        <w:rPr>
          <w:rFonts w:ascii="標楷體" w:eastAsia="標楷體" w:hAnsi="標楷體"/>
        </w:rPr>
        <w:t>63</w:t>
      </w:r>
      <w:r w:rsidRPr="00177770">
        <w:rPr>
          <w:rFonts w:ascii="標楷體" w:eastAsia="標楷體" w:hAnsi="標楷體" w:hint="eastAsia"/>
        </w:rPr>
        <w:t>件損</w:t>
      </w:r>
      <w:proofErr w:type="gramEnd"/>
      <w:r w:rsidRPr="00177770">
        <w:rPr>
          <w:rFonts w:ascii="標楷體" w:eastAsia="標楷體" w:hAnsi="標楷體" w:hint="eastAsia"/>
        </w:rPr>
        <w:t>鄰事件中，約有</w:t>
      </w:r>
      <w:r w:rsidRPr="00177770">
        <w:rPr>
          <w:rFonts w:ascii="標楷體" w:eastAsia="標楷體" w:hAnsi="標楷體"/>
        </w:rPr>
        <w:t>40</w:t>
      </w:r>
      <w:r w:rsidRPr="00177770">
        <w:rPr>
          <w:rFonts w:ascii="標楷體" w:eastAsia="標楷體" w:hAnsi="標楷體" w:hint="eastAsia"/>
        </w:rPr>
        <w:t>件辦理情形為一次性修繕，惟該處並未管控施工廠商應完成修繕之時間；另有</w:t>
      </w:r>
      <w:proofErr w:type="gramStart"/>
      <w:r w:rsidRPr="00177770">
        <w:rPr>
          <w:rFonts w:ascii="標楷體" w:eastAsia="標楷體" w:hAnsi="標楷體"/>
        </w:rPr>
        <w:t>7件</w:t>
      </w:r>
      <w:r w:rsidRPr="00177770">
        <w:rPr>
          <w:rFonts w:ascii="標楷體" w:eastAsia="標楷體" w:hAnsi="標楷體" w:hint="eastAsia"/>
        </w:rPr>
        <w:t>損</w:t>
      </w:r>
      <w:proofErr w:type="gramEnd"/>
      <w:r w:rsidRPr="00177770">
        <w:rPr>
          <w:rFonts w:ascii="標楷體" w:eastAsia="標楷體" w:hAnsi="標楷體" w:hint="eastAsia"/>
        </w:rPr>
        <w:t>鄰事件，原預計連續壁施工完成後進行修復，惟該處於</w:t>
      </w:r>
      <w:r w:rsidRPr="00177770">
        <w:rPr>
          <w:rFonts w:ascii="標楷體" w:eastAsia="標楷體" w:hAnsi="標楷體"/>
        </w:rPr>
        <w:t>109</w:t>
      </w:r>
      <w:r w:rsidRPr="00177770">
        <w:rPr>
          <w:rFonts w:ascii="標楷體" w:eastAsia="標楷體" w:hAnsi="標楷體" w:hint="eastAsia"/>
        </w:rPr>
        <w:t>年完成連續壁後，截至</w:t>
      </w:r>
      <w:r w:rsidRPr="00177770">
        <w:rPr>
          <w:rFonts w:ascii="標楷體" w:eastAsia="標楷體" w:hAnsi="標楷體"/>
        </w:rPr>
        <w:t>113</w:t>
      </w:r>
      <w:r w:rsidRPr="00177770">
        <w:rPr>
          <w:rFonts w:ascii="標楷體" w:eastAsia="標楷體" w:hAnsi="標楷體" w:hint="eastAsia"/>
        </w:rPr>
        <w:t>年</w:t>
      </w:r>
      <w:r w:rsidRPr="00177770">
        <w:rPr>
          <w:rFonts w:ascii="標楷體" w:eastAsia="標楷體" w:hAnsi="標楷體"/>
        </w:rPr>
        <w:t>8月15</w:t>
      </w:r>
      <w:r w:rsidRPr="00177770">
        <w:rPr>
          <w:rFonts w:ascii="標楷體" w:eastAsia="標楷體" w:hAnsi="標楷體" w:hint="eastAsia"/>
        </w:rPr>
        <w:t>日止已約</w:t>
      </w:r>
      <w:r w:rsidRPr="00177770">
        <w:rPr>
          <w:rFonts w:ascii="標楷體" w:eastAsia="標楷體" w:hAnsi="標楷體"/>
        </w:rPr>
        <w:t>4年</w:t>
      </w:r>
      <w:r w:rsidRPr="00177770">
        <w:rPr>
          <w:rFonts w:ascii="標楷體" w:eastAsia="標楷體" w:hAnsi="標楷體" w:hint="eastAsia"/>
        </w:rPr>
        <w:t>，迄未完成修復及結案，經函請檢討改善</w:t>
      </w:r>
      <w:r w:rsidRPr="00177770">
        <w:rPr>
          <w:rFonts w:ascii="標楷體" w:eastAsia="標楷體" w:hAnsi="標楷體" w:hint="eastAsia"/>
          <w:noProof/>
          <w:kern w:val="0"/>
          <w:szCs w:val="24"/>
        </w:rPr>
        <w:t>。據復：二工處已</w:t>
      </w:r>
      <w:r w:rsidRPr="00177770">
        <w:rPr>
          <w:rFonts w:ascii="標楷體" w:eastAsia="標楷體" w:hAnsi="標楷體"/>
          <w:noProof/>
          <w:kern w:val="0"/>
          <w:szCs w:val="24"/>
        </w:rPr>
        <w:t>督</w:t>
      </w:r>
      <w:r w:rsidRPr="00177770">
        <w:rPr>
          <w:rFonts w:ascii="標楷體" w:eastAsia="標楷體" w:hAnsi="標楷體" w:hint="eastAsia"/>
          <w:noProof/>
          <w:kern w:val="0"/>
          <w:szCs w:val="24"/>
        </w:rPr>
        <w:t>促</w:t>
      </w:r>
      <w:r w:rsidRPr="00177770">
        <w:rPr>
          <w:rFonts w:ascii="標楷體" w:eastAsia="標楷體" w:hAnsi="標楷體"/>
          <w:noProof/>
          <w:kern w:val="0"/>
          <w:szCs w:val="24"/>
        </w:rPr>
        <w:t>施工廠商由專人負責處理鄰損案件，並針對住戶反映施工造成鄰房損壞部分或影響生活作息部分，立即安排修繕</w:t>
      </w:r>
      <w:r w:rsidRPr="00177770">
        <w:rPr>
          <w:rFonts w:ascii="標楷體" w:eastAsia="標楷體" w:hAnsi="標楷體" w:hint="eastAsia"/>
          <w:noProof/>
          <w:kern w:val="0"/>
          <w:szCs w:val="24"/>
        </w:rPr>
        <w:t>；</w:t>
      </w:r>
      <w:r w:rsidRPr="00177770">
        <w:rPr>
          <w:rFonts w:ascii="標楷體" w:eastAsia="標楷體" w:hAnsi="標楷體"/>
          <w:noProof/>
          <w:kern w:val="0"/>
          <w:szCs w:val="24"/>
        </w:rPr>
        <w:t>有關結案時效較長案件</w:t>
      </w:r>
      <w:r w:rsidRPr="00177770">
        <w:rPr>
          <w:rFonts w:ascii="標楷體" w:eastAsia="標楷體" w:hAnsi="標楷體" w:hint="eastAsia"/>
          <w:noProof/>
          <w:kern w:val="0"/>
          <w:szCs w:val="24"/>
        </w:rPr>
        <w:t>，</w:t>
      </w:r>
      <w:r w:rsidRPr="00177770">
        <w:rPr>
          <w:rFonts w:ascii="標楷體" w:eastAsia="標楷體" w:hAnsi="標楷體"/>
          <w:noProof/>
          <w:kern w:val="0"/>
          <w:szCs w:val="24"/>
        </w:rPr>
        <w:t>係住戶反映或經協調同意完工後再進行一次性修繕，</w:t>
      </w:r>
      <w:r w:rsidRPr="00177770">
        <w:rPr>
          <w:rFonts w:ascii="標楷體" w:eastAsia="標楷體" w:hAnsi="標楷體" w:hint="eastAsia"/>
          <w:noProof/>
          <w:kern w:val="0"/>
          <w:szCs w:val="24"/>
        </w:rPr>
        <w:t>已</w:t>
      </w:r>
      <w:r w:rsidRPr="00177770">
        <w:rPr>
          <w:rFonts w:ascii="標楷體" w:eastAsia="標楷體" w:hAnsi="標楷體"/>
          <w:noProof/>
          <w:kern w:val="0"/>
          <w:szCs w:val="24"/>
        </w:rPr>
        <w:t>列冊控管，後續將督導施工廠商加強管控損鄰事件之處理及列管，提升修復結案時效</w:t>
      </w:r>
      <w:r w:rsidRPr="00177770">
        <w:rPr>
          <w:rFonts w:ascii="標楷體" w:eastAsia="標楷體" w:hAnsi="標楷體" w:hint="eastAsia"/>
          <w:noProof/>
          <w:kern w:val="0"/>
          <w:szCs w:val="24"/>
        </w:rPr>
        <w:t>。</w:t>
      </w:r>
    </w:p>
    <w:p w14:paraId="68AF42C7" w14:textId="77777777" w:rsidR="0050059F" w:rsidRPr="00177770" w:rsidRDefault="0050059F" w:rsidP="0050059F">
      <w:pPr>
        <w:overflowPunct w:val="0"/>
        <w:spacing w:beforeLines="40" w:before="144" w:after="60" w:line="460" w:lineRule="exact"/>
        <w:ind w:firstLineChars="100" w:firstLine="280"/>
        <w:jc w:val="both"/>
        <w:outlineLvl w:val="3"/>
        <w:rPr>
          <w:rFonts w:ascii="標楷體" w:eastAsia="標楷體" w:hAnsi="標楷體"/>
          <w:b/>
          <w:sz w:val="28"/>
          <w:szCs w:val="32"/>
        </w:rPr>
      </w:pPr>
      <w:r w:rsidRPr="00177770">
        <w:rPr>
          <w:rFonts w:ascii="標楷體" w:eastAsia="標楷體" w:hAnsi="標楷體" w:hint="eastAsia"/>
          <w:b/>
          <w:sz w:val="28"/>
          <w:szCs w:val="32"/>
        </w:rPr>
        <w:t>（七）為利都市發展及大眾運輸系統之整合，並</w:t>
      </w:r>
      <w:proofErr w:type="gramStart"/>
      <w:r w:rsidRPr="00177770">
        <w:rPr>
          <w:rFonts w:ascii="標楷體" w:eastAsia="標楷體" w:hAnsi="標楷體" w:hint="eastAsia"/>
          <w:b/>
          <w:sz w:val="28"/>
          <w:szCs w:val="32"/>
        </w:rPr>
        <w:t>挹</w:t>
      </w:r>
      <w:proofErr w:type="gramEnd"/>
      <w:r w:rsidRPr="00177770">
        <w:rPr>
          <w:rFonts w:ascii="標楷體" w:eastAsia="標楷體" w:hAnsi="標楷體" w:hint="eastAsia"/>
          <w:b/>
          <w:sz w:val="28"/>
          <w:szCs w:val="32"/>
        </w:rPr>
        <w:t>注建設經費，規劃辦理捷運信義線</w:t>
      </w:r>
      <w:proofErr w:type="gramStart"/>
      <w:r w:rsidRPr="00177770">
        <w:rPr>
          <w:rFonts w:ascii="標楷體" w:eastAsia="標楷體" w:hAnsi="標楷體" w:hint="eastAsia"/>
          <w:b/>
          <w:sz w:val="28"/>
          <w:szCs w:val="32"/>
        </w:rPr>
        <w:t>東延段</w:t>
      </w:r>
      <w:proofErr w:type="gramEnd"/>
      <w:r w:rsidRPr="00177770">
        <w:rPr>
          <w:rFonts w:ascii="標楷體" w:eastAsia="標楷體" w:hAnsi="標楷體"/>
          <w:b/>
          <w:sz w:val="28"/>
          <w:szCs w:val="32"/>
        </w:rPr>
        <w:t>R03車站南側基地</w:t>
      </w:r>
      <w:r w:rsidRPr="00177770">
        <w:rPr>
          <w:rFonts w:ascii="標楷體" w:eastAsia="標楷體" w:hAnsi="標楷體" w:hint="eastAsia"/>
          <w:b/>
          <w:sz w:val="28"/>
          <w:szCs w:val="32"/>
        </w:rPr>
        <w:t>之土地開發</w:t>
      </w:r>
      <w:r w:rsidRPr="00177770">
        <w:rPr>
          <w:rFonts w:ascii="標楷體" w:eastAsia="標楷體" w:hAnsi="標楷體"/>
          <w:b/>
          <w:sz w:val="28"/>
          <w:szCs w:val="32"/>
        </w:rPr>
        <w:t>，</w:t>
      </w:r>
      <w:r w:rsidRPr="00177770">
        <w:rPr>
          <w:rFonts w:ascii="標楷體" w:eastAsia="標楷體" w:hAnsi="標楷體" w:hint="eastAsia"/>
          <w:b/>
          <w:sz w:val="28"/>
          <w:szCs w:val="32"/>
        </w:rPr>
        <w:t>惟未獲半數地主同意，且無法</w:t>
      </w:r>
      <w:r w:rsidRPr="00177770">
        <w:rPr>
          <w:rFonts w:ascii="標楷體" w:eastAsia="標楷體" w:hAnsi="標楷體"/>
          <w:b/>
          <w:sz w:val="28"/>
          <w:szCs w:val="32"/>
        </w:rPr>
        <w:t>以徵收方式取得用地辦理開發作業</w:t>
      </w:r>
      <w:r w:rsidRPr="00177770">
        <w:rPr>
          <w:rFonts w:ascii="標楷體" w:eastAsia="標楷體" w:hAnsi="標楷體" w:hint="eastAsia"/>
          <w:b/>
          <w:sz w:val="28"/>
          <w:szCs w:val="32"/>
        </w:rPr>
        <w:t>，影響計畫原訂自償率之達成，有待</w:t>
      </w:r>
      <w:proofErr w:type="gramStart"/>
      <w:r w:rsidRPr="00177770">
        <w:rPr>
          <w:rFonts w:ascii="標楷體" w:eastAsia="標楷體" w:hAnsi="標楷體" w:hint="eastAsia"/>
          <w:b/>
          <w:sz w:val="28"/>
          <w:szCs w:val="32"/>
        </w:rPr>
        <w:t>研謀妥處</w:t>
      </w:r>
      <w:proofErr w:type="gramEnd"/>
      <w:r w:rsidRPr="00177770">
        <w:rPr>
          <w:rFonts w:ascii="標楷體" w:eastAsia="標楷體" w:hAnsi="標楷體" w:hint="eastAsia"/>
          <w:b/>
          <w:sz w:val="28"/>
          <w:szCs w:val="32"/>
        </w:rPr>
        <w:t>。</w:t>
      </w:r>
    </w:p>
    <w:p w14:paraId="383C994E" w14:textId="77777777" w:rsidR="0050059F" w:rsidRDefault="0050059F" w:rsidP="0050059F">
      <w:pPr>
        <w:overflowPunct w:val="0"/>
        <w:spacing w:line="440" w:lineRule="exact"/>
        <w:ind w:firstLineChars="200" w:firstLine="480"/>
        <w:jc w:val="both"/>
        <w:outlineLvl w:val="3"/>
        <w:rPr>
          <w:rFonts w:ascii="標楷體" w:eastAsia="標楷體" w:hAnsi="標楷體" w:cs="標楷體"/>
          <w:bCs/>
          <w:szCs w:val="32"/>
        </w:rPr>
      </w:pPr>
      <w:r w:rsidRPr="00177770">
        <w:rPr>
          <w:rFonts w:ascii="標楷體" w:eastAsia="標楷體" w:hAnsi="標楷體" w:cs="標楷體"/>
          <w:bCs/>
          <w:szCs w:val="32"/>
        </w:rPr>
        <w:t>依交通部101年5月30日修訂發布實施之</w:t>
      </w:r>
      <w:r w:rsidRPr="00177770">
        <w:rPr>
          <w:rFonts w:ascii="標楷體" w:eastAsia="標楷體" w:hAnsi="標楷體" w:cs="標楷體" w:hint="eastAsia"/>
          <w:bCs/>
          <w:szCs w:val="32"/>
        </w:rPr>
        <w:t>「</w:t>
      </w:r>
      <w:r w:rsidRPr="00177770">
        <w:rPr>
          <w:rFonts w:ascii="標楷體" w:eastAsia="標楷體" w:hAnsi="標楷體" w:cs="標楷體"/>
          <w:bCs/>
          <w:szCs w:val="32"/>
        </w:rPr>
        <w:t>大眾捷運系統建設及周邊土地開發計畫申請與審查作業要點</w:t>
      </w:r>
      <w:r w:rsidRPr="00177770">
        <w:rPr>
          <w:rFonts w:ascii="標楷體" w:eastAsia="標楷體" w:hAnsi="標楷體" w:cs="標楷體" w:hint="eastAsia"/>
          <w:bCs/>
          <w:szCs w:val="32"/>
        </w:rPr>
        <w:t>」</w:t>
      </w:r>
      <w:r w:rsidRPr="00177770">
        <w:rPr>
          <w:rFonts w:ascii="標楷體" w:eastAsia="標楷體" w:hAnsi="標楷體" w:cs="標楷體"/>
          <w:bCs/>
          <w:szCs w:val="32"/>
        </w:rPr>
        <w:t>，要求地方積極將捷運沿線土地開發與增值效益，納入財務計畫一併考量，藉以</w:t>
      </w:r>
      <w:proofErr w:type="gramStart"/>
      <w:r w:rsidRPr="00177770">
        <w:rPr>
          <w:rFonts w:ascii="標楷體" w:eastAsia="標楷體" w:hAnsi="標楷體" w:cs="標楷體"/>
          <w:bCs/>
          <w:szCs w:val="32"/>
        </w:rPr>
        <w:t>挹</w:t>
      </w:r>
      <w:proofErr w:type="gramEnd"/>
      <w:r w:rsidRPr="00177770">
        <w:rPr>
          <w:rFonts w:ascii="標楷體" w:eastAsia="標楷體" w:hAnsi="標楷體" w:cs="標楷體"/>
          <w:bCs/>
          <w:szCs w:val="32"/>
        </w:rPr>
        <w:t>注建設經費</w:t>
      </w:r>
      <w:r w:rsidRPr="00177770">
        <w:rPr>
          <w:rFonts w:ascii="標楷體" w:eastAsia="標楷體" w:hAnsi="標楷體" w:cs="標楷體" w:hint="eastAsia"/>
          <w:bCs/>
          <w:szCs w:val="32"/>
        </w:rPr>
        <w:t>。捷運工程局考量都市發展及大眾運輸系統整合，並結合沿線都市更新及土地開發效益，辦理</w:t>
      </w:r>
      <w:proofErr w:type="gramStart"/>
      <w:r w:rsidRPr="00177770">
        <w:rPr>
          <w:rFonts w:ascii="標楷體" w:eastAsia="標楷體" w:hAnsi="標楷體" w:cs="標楷體" w:hint="eastAsia"/>
          <w:bCs/>
          <w:szCs w:val="32"/>
        </w:rPr>
        <w:t>臺</w:t>
      </w:r>
      <w:proofErr w:type="gramEnd"/>
      <w:r w:rsidRPr="00177770">
        <w:rPr>
          <w:rFonts w:ascii="標楷體" w:eastAsia="標楷體" w:hAnsi="標楷體" w:cs="標楷體" w:hint="eastAsia"/>
          <w:bCs/>
          <w:szCs w:val="32"/>
        </w:rPr>
        <w:t>北都會區大眾捷運系統信義線</w:t>
      </w:r>
      <w:proofErr w:type="gramStart"/>
      <w:r w:rsidRPr="00177770">
        <w:rPr>
          <w:rFonts w:ascii="標楷體" w:eastAsia="標楷體" w:hAnsi="標楷體" w:cs="標楷體" w:hint="eastAsia"/>
          <w:bCs/>
          <w:szCs w:val="32"/>
        </w:rPr>
        <w:t>東延段計畫</w:t>
      </w:r>
      <w:proofErr w:type="gramEnd"/>
      <w:r w:rsidRPr="00177770">
        <w:rPr>
          <w:rFonts w:ascii="標楷體" w:eastAsia="標楷體" w:hAnsi="標楷體" w:cs="標楷體" w:hint="eastAsia"/>
          <w:bCs/>
          <w:szCs w:val="32"/>
        </w:rPr>
        <w:t>（下稱信義線東延段計畫）時，規劃於</w:t>
      </w:r>
      <w:r w:rsidRPr="00177770">
        <w:rPr>
          <w:rFonts w:ascii="標楷體" w:eastAsia="標楷體" w:hAnsi="標楷體" w:cs="標楷體"/>
          <w:bCs/>
          <w:szCs w:val="32"/>
        </w:rPr>
        <w:t>R03車站</w:t>
      </w:r>
      <w:r w:rsidRPr="00177770">
        <w:rPr>
          <w:rFonts w:ascii="標楷體" w:eastAsia="標楷體" w:hAnsi="標楷體" w:cs="標楷體" w:hint="eastAsia"/>
          <w:bCs/>
          <w:szCs w:val="32"/>
        </w:rPr>
        <w:t>（取名廣慈／奉天宮站</w:t>
      </w:r>
      <w:r w:rsidRPr="00177770">
        <w:rPr>
          <w:rFonts w:ascii="標楷體" w:eastAsia="標楷體" w:hAnsi="標楷體" w:cs="標楷體"/>
          <w:bCs/>
          <w:szCs w:val="32"/>
        </w:rPr>
        <w:t>）南側</w:t>
      </w:r>
      <w:r w:rsidRPr="00177770">
        <w:rPr>
          <w:rFonts w:ascii="標楷體" w:eastAsia="標楷體" w:hAnsi="標楷體" w:cs="標楷體" w:hint="eastAsia"/>
          <w:bCs/>
          <w:szCs w:val="32"/>
        </w:rPr>
        <w:t>一處基地</w:t>
      </w:r>
      <w:r w:rsidRPr="00177770">
        <w:rPr>
          <w:rFonts w:ascii="標楷體" w:eastAsia="標楷體" w:hAnsi="標楷體" w:cs="標楷體"/>
          <w:bCs/>
          <w:szCs w:val="32"/>
        </w:rPr>
        <w:t>（下稱捷三）</w:t>
      </w:r>
      <w:r w:rsidRPr="00177770">
        <w:rPr>
          <w:rFonts w:ascii="標楷體" w:eastAsia="標楷體" w:hAnsi="標楷體" w:cs="標楷體" w:hint="eastAsia"/>
          <w:bCs/>
          <w:szCs w:val="32"/>
        </w:rPr>
        <w:t>進行土地開發。經查行政院於1</w:t>
      </w:r>
      <w:r w:rsidRPr="00177770">
        <w:rPr>
          <w:rFonts w:ascii="標楷體" w:eastAsia="標楷體" w:hAnsi="標楷體" w:cs="標楷體"/>
          <w:bCs/>
          <w:szCs w:val="32"/>
        </w:rPr>
        <w:t>12</w:t>
      </w:r>
      <w:r w:rsidRPr="00177770">
        <w:rPr>
          <w:rFonts w:ascii="標楷體" w:eastAsia="標楷體" w:hAnsi="標楷體" w:cs="標楷體" w:hint="eastAsia"/>
          <w:bCs/>
          <w:szCs w:val="32"/>
        </w:rPr>
        <w:t>年1</w:t>
      </w:r>
      <w:r w:rsidRPr="00177770">
        <w:rPr>
          <w:rFonts w:ascii="標楷體" w:eastAsia="標楷體" w:hAnsi="標楷體" w:cs="標楷體"/>
          <w:bCs/>
          <w:szCs w:val="32"/>
        </w:rPr>
        <w:t>0</w:t>
      </w:r>
      <w:r w:rsidRPr="00177770">
        <w:rPr>
          <w:rFonts w:ascii="標楷體" w:eastAsia="標楷體" w:hAnsi="標楷體" w:cs="標楷體" w:hint="eastAsia"/>
          <w:bCs/>
          <w:szCs w:val="32"/>
        </w:rPr>
        <w:t>月核定之信義線</w:t>
      </w:r>
      <w:proofErr w:type="gramStart"/>
      <w:r w:rsidRPr="00177770">
        <w:rPr>
          <w:rFonts w:ascii="標楷體" w:eastAsia="標楷體" w:hAnsi="標楷體" w:cs="標楷體" w:hint="eastAsia"/>
          <w:bCs/>
          <w:szCs w:val="32"/>
        </w:rPr>
        <w:t>東延段計畫</w:t>
      </w:r>
      <w:proofErr w:type="gramEnd"/>
      <w:r w:rsidRPr="00177770">
        <w:rPr>
          <w:rFonts w:ascii="標楷體" w:eastAsia="標楷體" w:hAnsi="標楷體" w:cs="標楷體" w:hint="eastAsia"/>
          <w:bCs/>
          <w:szCs w:val="32"/>
        </w:rPr>
        <w:t>第3次修正案，業於計畫經費調整載述</w:t>
      </w:r>
      <w:r w:rsidRPr="00177770">
        <w:rPr>
          <w:rFonts w:ascii="標楷體" w:eastAsia="標楷體" w:hAnsi="標楷體" w:cs="標楷體"/>
          <w:bCs/>
          <w:szCs w:val="32"/>
        </w:rPr>
        <w:t>，以行政院核定第</w:t>
      </w:r>
      <w:r w:rsidRPr="00177770">
        <w:rPr>
          <w:rFonts w:ascii="標楷體" w:eastAsia="標楷體" w:hAnsi="標楷體" w:cs="標楷體" w:hint="eastAsia"/>
          <w:bCs/>
          <w:szCs w:val="32"/>
        </w:rPr>
        <w:t>2</w:t>
      </w:r>
      <w:r w:rsidRPr="00177770">
        <w:rPr>
          <w:rFonts w:ascii="標楷體" w:eastAsia="標楷體" w:hAnsi="標楷體" w:cs="標楷體"/>
          <w:bCs/>
          <w:szCs w:val="32"/>
        </w:rPr>
        <w:t>次修正計畫之總經費93.69億元額度內支應</w:t>
      </w:r>
      <w:r w:rsidRPr="00177770">
        <w:rPr>
          <w:rFonts w:ascii="標楷體" w:eastAsia="標楷體" w:hAnsi="標楷體" w:cs="標楷體" w:hint="eastAsia"/>
          <w:bCs/>
          <w:szCs w:val="32"/>
        </w:rPr>
        <w:t>。另查信義線</w:t>
      </w:r>
      <w:proofErr w:type="gramStart"/>
      <w:r w:rsidRPr="00177770">
        <w:rPr>
          <w:rFonts w:ascii="標楷體" w:eastAsia="標楷體" w:hAnsi="標楷體" w:cs="標楷體" w:hint="eastAsia"/>
          <w:bCs/>
          <w:szCs w:val="32"/>
        </w:rPr>
        <w:t>東延段計畫</w:t>
      </w:r>
      <w:proofErr w:type="gramEnd"/>
      <w:r w:rsidRPr="00177770">
        <w:rPr>
          <w:rFonts w:ascii="標楷體" w:eastAsia="標楷體" w:hAnsi="標楷體" w:cs="標楷體" w:hint="eastAsia"/>
          <w:bCs/>
          <w:szCs w:val="32"/>
        </w:rPr>
        <w:t>第2次修正案核定本，業於財務計畫及自償率分析載述，</w:t>
      </w:r>
      <w:r w:rsidRPr="00177770">
        <w:rPr>
          <w:rFonts w:ascii="標楷體" w:eastAsia="標楷體" w:hAnsi="標楷體" w:cs="標楷體"/>
          <w:bCs/>
          <w:szCs w:val="32"/>
        </w:rPr>
        <w:t>將土地（聯合）開發效益及周邊土地開發淨效益（含增額容積價金）及租稅增額財源收入等外部效益金額納入計算自償率分析</w:t>
      </w:r>
      <w:bookmarkStart w:id="116" w:name="_Hlk181192834"/>
      <w:r w:rsidRPr="00177770">
        <w:rPr>
          <w:rFonts w:ascii="標楷體" w:eastAsia="標楷體" w:hAnsi="標楷體" w:cs="標楷體" w:hint="eastAsia"/>
          <w:bCs/>
          <w:szCs w:val="32"/>
        </w:rPr>
        <w:t>。經計算結果，</w:t>
      </w:r>
      <w:bookmarkEnd w:id="116"/>
      <w:r w:rsidRPr="00177770">
        <w:rPr>
          <w:rFonts w:ascii="標楷體" w:eastAsia="標楷體" w:hAnsi="標楷體" w:cs="標楷體" w:hint="eastAsia"/>
          <w:bCs/>
          <w:szCs w:val="32"/>
        </w:rPr>
        <w:t>本計畫案之總工程經費及現金淨流入折算成</w:t>
      </w:r>
      <w:proofErr w:type="gramStart"/>
      <w:r w:rsidRPr="00177770">
        <w:rPr>
          <w:rFonts w:ascii="標楷體" w:eastAsia="標楷體" w:hAnsi="標楷體" w:cs="標楷體" w:hint="eastAsia"/>
          <w:bCs/>
          <w:szCs w:val="32"/>
        </w:rPr>
        <w:t>1</w:t>
      </w:r>
      <w:r w:rsidRPr="00177770">
        <w:rPr>
          <w:rFonts w:ascii="標楷體" w:eastAsia="標楷體" w:hAnsi="標楷體" w:cs="標楷體"/>
          <w:bCs/>
          <w:szCs w:val="32"/>
        </w:rPr>
        <w:t>00</w:t>
      </w:r>
      <w:proofErr w:type="gramEnd"/>
      <w:r w:rsidRPr="00177770">
        <w:rPr>
          <w:rFonts w:ascii="標楷體" w:eastAsia="標楷體" w:hAnsi="標楷體" w:cs="標楷體" w:hint="eastAsia"/>
          <w:bCs/>
          <w:szCs w:val="32"/>
        </w:rPr>
        <w:t>年度現值，分別為</w:t>
      </w:r>
      <w:r w:rsidRPr="00177770">
        <w:rPr>
          <w:rFonts w:ascii="標楷體" w:eastAsia="標楷體" w:hAnsi="標楷體" w:cs="標楷體"/>
          <w:bCs/>
          <w:szCs w:val="32"/>
        </w:rPr>
        <w:t>73.83</w:t>
      </w:r>
      <w:r w:rsidRPr="00177770">
        <w:rPr>
          <w:rFonts w:ascii="標楷體" w:eastAsia="標楷體" w:hAnsi="標楷體" w:cs="標楷體" w:hint="eastAsia"/>
          <w:bCs/>
          <w:szCs w:val="32"/>
        </w:rPr>
        <w:t>億元及</w:t>
      </w:r>
      <w:r w:rsidRPr="00177770">
        <w:rPr>
          <w:rFonts w:ascii="標楷體" w:eastAsia="標楷體" w:hAnsi="標楷體" w:cs="標楷體"/>
          <w:bCs/>
          <w:szCs w:val="32"/>
        </w:rPr>
        <w:t>27.75</w:t>
      </w:r>
      <w:r w:rsidRPr="00177770">
        <w:rPr>
          <w:rFonts w:ascii="標楷體" w:eastAsia="標楷體" w:hAnsi="標楷體" w:cs="標楷體" w:hint="eastAsia"/>
          <w:bCs/>
          <w:szCs w:val="32"/>
        </w:rPr>
        <w:t>億元，自償率為3</w:t>
      </w:r>
      <w:r w:rsidRPr="00177770">
        <w:rPr>
          <w:rFonts w:ascii="標楷體" w:eastAsia="標楷體" w:hAnsi="標楷體" w:cs="標楷體"/>
          <w:bCs/>
          <w:szCs w:val="32"/>
        </w:rPr>
        <w:t>7.59</w:t>
      </w:r>
      <w:r w:rsidRPr="00177770">
        <w:rPr>
          <w:rFonts w:ascii="標楷體" w:eastAsia="標楷體" w:hAnsi="標楷體" w:cs="標楷體" w:hint="eastAsia"/>
          <w:bCs/>
          <w:szCs w:val="32"/>
        </w:rPr>
        <w:t>％，</w:t>
      </w:r>
      <w:proofErr w:type="gramStart"/>
      <w:r w:rsidRPr="00177770">
        <w:rPr>
          <w:rFonts w:ascii="標楷體" w:eastAsia="標楷體" w:hAnsi="標楷體" w:cs="標楷體" w:hint="eastAsia"/>
          <w:bCs/>
          <w:szCs w:val="32"/>
        </w:rPr>
        <w:t>其中</w:t>
      </w:r>
      <w:r w:rsidRPr="00177770">
        <w:rPr>
          <w:rFonts w:ascii="標楷體" w:eastAsia="標楷體" w:hAnsi="標楷體" w:cs="標楷體"/>
          <w:bCs/>
          <w:szCs w:val="32"/>
        </w:rPr>
        <w:t>捷</w:t>
      </w:r>
      <w:proofErr w:type="gramEnd"/>
      <w:r w:rsidRPr="00177770">
        <w:rPr>
          <w:rFonts w:ascii="標楷體" w:eastAsia="標楷體" w:hAnsi="標楷體" w:cs="標楷體"/>
          <w:bCs/>
          <w:szCs w:val="32"/>
        </w:rPr>
        <w:t>三土地（聯合）</w:t>
      </w:r>
      <w:r w:rsidRPr="00177770">
        <w:rPr>
          <w:rFonts w:ascii="標楷體" w:eastAsia="標楷體" w:hAnsi="標楷體" w:cs="標楷體" w:hint="eastAsia"/>
          <w:bCs/>
          <w:szCs w:val="32"/>
        </w:rPr>
        <w:t>開發效益可</w:t>
      </w:r>
      <w:proofErr w:type="gramStart"/>
      <w:r w:rsidRPr="00177770">
        <w:rPr>
          <w:rFonts w:ascii="標楷體" w:eastAsia="標楷體" w:hAnsi="標楷體" w:cs="標楷體" w:hint="eastAsia"/>
          <w:bCs/>
          <w:szCs w:val="32"/>
        </w:rPr>
        <w:t>挹</w:t>
      </w:r>
      <w:proofErr w:type="gramEnd"/>
      <w:r w:rsidRPr="00177770">
        <w:rPr>
          <w:rFonts w:ascii="標楷體" w:eastAsia="標楷體" w:hAnsi="標楷體" w:cs="標楷體" w:hint="eastAsia"/>
          <w:bCs/>
          <w:szCs w:val="32"/>
        </w:rPr>
        <w:t>注捷運建設金額為</w:t>
      </w:r>
      <w:r w:rsidRPr="00177770">
        <w:rPr>
          <w:rFonts w:ascii="標楷體" w:eastAsia="標楷體" w:hAnsi="標楷體" w:cs="標楷體"/>
          <w:bCs/>
          <w:szCs w:val="32"/>
        </w:rPr>
        <w:t>17.46億元（當年幣值）</w:t>
      </w:r>
      <w:r w:rsidRPr="00177770">
        <w:rPr>
          <w:rFonts w:ascii="標楷體" w:eastAsia="標楷體" w:hAnsi="標楷體" w:cs="標楷體" w:hint="eastAsia"/>
          <w:bCs/>
          <w:szCs w:val="32"/>
        </w:rPr>
        <w:t>。</w:t>
      </w:r>
      <w:proofErr w:type="gramStart"/>
      <w:r w:rsidRPr="00177770">
        <w:rPr>
          <w:rFonts w:ascii="標楷體" w:eastAsia="標楷體" w:hAnsi="標楷體" w:cs="標楷體" w:hint="eastAsia"/>
          <w:bCs/>
          <w:szCs w:val="32"/>
        </w:rPr>
        <w:t>惟查捷</w:t>
      </w:r>
      <w:proofErr w:type="gramEnd"/>
      <w:r w:rsidRPr="00177770">
        <w:rPr>
          <w:rFonts w:ascii="標楷體" w:eastAsia="標楷體" w:hAnsi="標楷體" w:cs="標楷體" w:hint="eastAsia"/>
          <w:bCs/>
          <w:szCs w:val="32"/>
        </w:rPr>
        <w:t>三土地</w:t>
      </w:r>
    </w:p>
    <w:p w14:paraId="26A1C65A" w14:textId="3364AC8E" w:rsidR="0050059F" w:rsidRPr="00177770" w:rsidRDefault="0050059F" w:rsidP="0050059F">
      <w:pPr>
        <w:overflowPunct w:val="0"/>
        <w:spacing w:line="440" w:lineRule="exact"/>
        <w:jc w:val="both"/>
        <w:outlineLvl w:val="3"/>
        <w:rPr>
          <w:rFonts w:ascii="標楷體" w:eastAsia="標楷體" w:hAnsi="標楷體"/>
          <w:noProof/>
          <w:kern w:val="0"/>
          <w:szCs w:val="24"/>
        </w:rPr>
      </w:pPr>
      <w:r w:rsidRPr="00177770">
        <w:rPr>
          <w:rFonts w:ascii="標楷體" w:eastAsia="標楷體" w:hAnsi="標楷體" w:cs="標楷體" w:hint="eastAsia"/>
          <w:bCs/>
          <w:szCs w:val="32"/>
        </w:rPr>
        <w:lastRenderedPageBreak/>
        <w:t>開發過程中，捷運工程</w:t>
      </w:r>
      <w:r w:rsidRPr="00177770">
        <w:rPr>
          <w:rFonts w:ascii="標楷體" w:eastAsia="標楷體" w:hAnsi="標楷體" w:cs="標楷體"/>
          <w:bCs/>
          <w:szCs w:val="32"/>
        </w:rPr>
        <w:t>局</w:t>
      </w:r>
      <w:r w:rsidRPr="00177770">
        <w:rPr>
          <w:rFonts w:ascii="標楷體" w:eastAsia="標楷體" w:hAnsi="標楷體" w:cs="標楷體" w:hint="eastAsia"/>
          <w:bCs/>
          <w:szCs w:val="32"/>
        </w:rPr>
        <w:t>雖</w:t>
      </w:r>
      <w:r w:rsidRPr="00177770">
        <w:rPr>
          <w:rFonts w:ascii="標楷體" w:eastAsia="標楷體" w:hAnsi="標楷體" w:cs="標楷體"/>
          <w:bCs/>
          <w:szCs w:val="32"/>
        </w:rPr>
        <w:t>數次拜訪</w:t>
      </w:r>
      <w:r w:rsidRPr="00177770">
        <w:rPr>
          <w:rFonts w:ascii="標楷體" w:eastAsia="標楷體" w:hAnsi="標楷體" w:cs="標楷體" w:hint="eastAsia"/>
          <w:bCs/>
          <w:szCs w:val="32"/>
        </w:rPr>
        <w:t>當地</w:t>
      </w:r>
      <w:r w:rsidRPr="00177770">
        <w:rPr>
          <w:rFonts w:ascii="標楷體" w:eastAsia="標楷體" w:hAnsi="標楷體" w:cs="標楷體"/>
          <w:bCs/>
          <w:szCs w:val="32"/>
        </w:rPr>
        <w:t>里長及地主，</w:t>
      </w:r>
      <w:r w:rsidRPr="00177770">
        <w:rPr>
          <w:rFonts w:ascii="標楷體" w:eastAsia="標楷體" w:hAnsi="標楷體" w:cs="標楷體" w:hint="eastAsia"/>
          <w:bCs/>
          <w:szCs w:val="32"/>
        </w:rPr>
        <w:t>以</w:t>
      </w:r>
      <w:r w:rsidRPr="00177770">
        <w:rPr>
          <w:rFonts w:ascii="標楷體" w:eastAsia="標楷體" w:hAnsi="標楷體" w:cs="標楷體"/>
          <w:bCs/>
          <w:szCs w:val="32"/>
        </w:rPr>
        <w:t>促進地主參加</w:t>
      </w:r>
      <w:r w:rsidRPr="00177770">
        <w:rPr>
          <w:rFonts w:ascii="標楷體" w:eastAsia="標楷體" w:hAnsi="標楷體" w:cs="標楷體" w:hint="eastAsia"/>
          <w:bCs/>
          <w:szCs w:val="32"/>
        </w:rPr>
        <w:t>土地開發</w:t>
      </w:r>
      <w:r w:rsidRPr="00177770">
        <w:rPr>
          <w:rFonts w:ascii="標楷體" w:eastAsia="標楷體" w:hAnsi="標楷體" w:cs="標楷體"/>
          <w:bCs/>
          <w:szCs w:val="32"/>
        </w:rPr>
        <w:t>意願，惟</w:t>
      </w:r>
      <w:r w:rsidRPr="00177770">
        <w:rPr>
          <w:rFonts w:ascii="標楷體" w:eastAsia="標楷體" w:hAnsi="標楷體" w:cs="標楷體" w:hint="eastAsia"/>
          <w:bCs/>
          <w:szCs w:val="32"/>
        </w:rPr>
        <w:t>部分</w:t>
      </w:r>
      <w:r w:rsidRPr="00177770">
        <w:rPr>
          <w:rFonts w:ascii="標楷體" w:eastAsia="標楷體" w:hAnsi="標楷體" w:cs="標楷體"/>
          <w:bCs/>
          <w:szCs w:val="32"/>
        </w:rPr>
        <w:t>地主表示</w:t>
      </w:r>
      <w:r w:rsidRPr="00177770">
        <w:rPr>
          <w:rFonts w:ascii="標楷體" w:eastAsia="標楷體" w:hAnsi="標楷體" w:cs="標楷體" w:hint="eastAsia"/>
          <w:bCs/>
          <w:szCs w:val="32"/>
        </w:rPr>
        <w:t>因建戶面積與對應持分土地面積分配權值之差異，</w:t>
      </w:r>
      <w:r w:rsidRPr="00177770">
        <w:rPr>
          <w:rFonts w:ascii="標楷體" w:eastAsia="標楷體" w:hAnsi="標楷體" w:cs="標楷體"/>
          <w:bCs/>
          <w:szCs w:val="32"/>
        </w:rPr>
        <w:t>無法達成調整共識</w:t>
      </w:r>
      <w:r w:rsidRPr="00177770">
        <w:rPr>
          <w:rFonts w:ascii="標楷體" w:eastAsia="標楷體" w:hAnsi="標楷體" w:cs="標楷體" w:hint="eastAsia"/>
          <w:bCs/>
          <w:szCs w:val="32"/>
        </w:rPr>
        <w:t>，致未達半數地主同意開發內容，且</w:t>
      </w:r>
      <w:r w:rsidRPr="00177770">
        <w:rPr>
          <w:rFonts w:ascii="標楷體" w:eastAsia="標楷體" w:hAnsi="標楷體" w:cs="標楷體"/>
          <w:bCs/>
          <w:szCs w:val="32"/>
        </w:rPr>
        <w:t>依據大法官釋字第732號解釋略</w:t>
      </w:r>
      <w:proofErr w:type="gramStart"/>
      <w:r w:rsidRPr="00177770">
        <w:rPr>
          <w:rFonts w:ascii="標楷體" w:eastAsia="標楷體" w:hAnsi="標楷體" w:cs="標楷體"/>
          <w:bCs/>
          <w:szCs w:val="32"/>
        </w:rPr>
        <w:t>以</w:t>
      </w:r>
      <w:proofErr w:type="gramEnd"/>
      <w:r w:rsidRPr="00177770">
        <w:rPr>
          <w:rFonts w:ascii="標楷體" w:eastAsia="標楷體" w:hAnsi="標楷體" w:cs="標楷體"/>
          <w:bCs/>
          <w:szCs w:val="32"/>
        </w:rPr>
        <w:t>：「…</w:t>
      </w:r>
      <w:proofErr w:type="gramStart"/>
      <w:r w:rsidRPr="00177770">
        <w:rPr>
          <w:rFonts w:ascii="標楷體" w:eastAsia="標楷體" w:hAnsi="標楷體" w:cs="標楷體"/>
          <w:bCs/>
          <w:szCs w:val="32"/>
        </w:rPr>
        <w:t>…</w:t>
      </w:r>
      <w:proofErr w:type="gramEnd"/>
      <w:r w:rsidRPr="00177770">
        <w:rPr>
          <w:rFonts w:ascii="標楷體" w:eastAsia="標楷體" w:hAnsi="標楷體" w:cs="標楷體"/>
          <w:bCs/>
          <w:szCs w:val="32"/>
        </w:rPr>
        <w:t>徵收非交通事業所必須之土地進行開發，並非達成土地資源有效利用、地區發展並利國家建設經費之取得目的所不得不</w:t>
      </w:r>
      <w:proofErr w:type="gramStart"/>
      <w:r w:rsidRPr="00177770">
        <w:rPr>
          <w:rFonts w:ascii="標楷體" w:eastAsia="標楷體" w:hAnsi="標楷體" w:cs="標楷體"/>
          <w:bCs/>
          <w:szCs w:val="32"/>
        </w:rPr>
        <w:t>採</w:t>
      </w:r>
      <w:proofErr w:type="gramEnd"/>
      <w:r w:rsidRPr="00177770">
        <w:rPr>
          <w:rFonts w:ascii="標楷體" w:eastAsia="標楷體" w:hAnsi="標楷體" w:cs="標楷體"/>
          <w:bCs/>
          <w:szCs w:val="32"/>
        </w:rPr>
        <w:t>之必要手段，且非侵害最小之方式。…</w:t>
      </w:r>
      <w:proofErr w:type="gramStart"/>
      <w:r w:rsidRPr="00177770">
        <w:rPr>
          <w:rFonts w:ascii="標楷體" w:eastAsia="標楷體" w:hAnsi="標楷體" w:cs="標楷體"/>
          <w:bCs/>
          <w:szCs w:val="32"/>
        </w:rPr>
        <w:t>…</w:t>
      </w:r>
      <w:proofErr w:type="gramEnd"/>
      <w:r w:rsidRPr="00177770">
        <w:rPr>
          <w:rFonts w:ascii="標楷體" w:eastAsia="標楷體" w:hAnsi="標楷體" w:cs="標楷體"/>
          <w:bCs/>
          <w:szCs w:val="32"/>
        </w:rPr>
        <w:t>。」</w:t>
      </w:r>
      <w:proofErr w:type="gramStart"/>
      <w:r w:rsidRPr="00177770">
        <w:rPr>
          <w:rFonts w:ascii="標楷體" w:eastAsia="標楷體" w:hAnsi="標楷體" w:cs="標楷體" w:hint="eastAsia"/>
          <w:bCs/>
          <w:szCs w:val="32"/>
        </w:rPr>
        <w:t>爰</w:t>
      </w:r>
      <w:proofErr w:type="gramEnd"/>
      <w:r w:rsidRPr="00177770">
        <w:rPr>
          <w:rFonts w:ascii="標楷體" w:eastAsia="標楷體" w:hAnsi="標楷體" w:cs="標楷體" w:hint="eastAsia"/>
          <w:bCs/>
          <w:szCs w:val="32"/>
        </w:rPr>
        <w:t>無法</w:t>
      </w:r>
      <w:r w:rsidRPr="00177770">
        <w:rPr>
          <w:rFonts w:ascii="標楷體" w:eastAsia="標楷體" w:hAnsi="標楷體" w:cs="標楷體"/>
          <w:bCs/>
          <w:szCs w:val="32"/>
        </w:rPr>
        <w:t>以徵收方式取得用地</w:t>
      </w:r>
      <w:proofErr w:type="gramStart"/>
      <w:r w:rsidRPr="00177770">
        <w:rPr>
          <w:rFonts w:ascii="標楷體" w:eastAsia="標楷體" w:hAnsi="標楷體" w:cs="標楷體" w:hint="eastAsia"/>
          <w:bCs/>
          <w:szCs w:val="32"/>
        </w:rPr>
        <w:t>賡</w:t>
      </w:r>
      <w:proofErr w:type="gramEnd"/>
      <w:r w:rsidRPr="00177770">
        <w:rPr>
          <w:rFonts w:ascii="標楷體" w:eastAsia="標楷體" w:hAnsi="標楷體" w:cs="標楷體"/>
          <w:bCs/>
          <w:szCs w:val="32"/>
        </w:rPr>
        <w:t>續辦理開發作業</w:t>
      </w:r>
      <w:r w:rsidRPr="00177770">
        <w:rPr>
          <w:rFonts w:ascii="標楷體" w:eastAsia="標楷體" w:hAnsi="標楷體" w:cs="標楷體" w:hint="eastAsia"/>
          <w:bCs/>
          <w:szCs w:val="32"/>
        </w:rPr>
        <w:t>，致開發計畫無法進行，原預估開發效益共</w:t>
      </w:r>
      <w:r w:rsidRPr="00177770">
        <w:rPr>
          <w:rFonts w:ascii="標楷體" w:eastAsia="標楷體" w:hAnsi="標楷體" w:cs="標楷體"/>
          <w:bCs/>
          <w:szCs w:val="32"/>
        </w:rPr>
        <w:t>17.46億元</w:t>
      </w:r>
      <w:r w:rsidRPr="00177770">
        <w:rPr>
          <w:rFonts w:ascii="標楷體" w:eastAsia="標楷體" w:hAnsi="標楷體" w:cs="標楷體" w:hint="eastAsia"/>
          <w:bCs/>
          <w:szCs w:val="32"/>
        </w:rPr>
        <w:t>（折算成</w:t>
      </w:r>
      <w:proofErr w:type="gramStart"/>
      <w:r w:rsidRPr="00177770">
        <w:rPr>
          <w:rFonts w:ascii="標楷體" w:eastAsia="標楷體" w:hAnsi="標楷體" w:cs="標楷體" w:hint="eastAsia"/>
          <w:bCs/>
          <w:szCs w:val="32"/>
        </w:rPr>
        <w:t>1</w:t>
      </w:r>
      <w:r w:rsidRPr="00177770">
        <w:rPr>
          <w:rFonts w:ascii="標楷體" w:eastAsia="標楷體" w:hAnsi="標楷體" w:cs="標楷體"/>
          <w:bCs/>
          <w:szCs w:val="32"/>
        </w:rPr>
        <w:t>00</w:t>
      </w:r>
      <w:proofErr w:type="gramEnd"/>
      <w:r w:rsidRPr="00177770">
        <w:rPr>
          <w:rFonts w:ascii="標楷體" w:eastAsia="標楷體" w:hAnsi="標楷體" w:cs="標楷體" w:hint="eastAsia"/>
          <w:bCs/>
          <w:szCs w:val="32"/>
        </w:rPr>
        <w:t>年度現值為1</w:t>
      </w:r>
      <w:r w:rsidRPr="00177770">
        <w:rPr>
          <w:rFonts w:ascii="標楷體" w:eastAsia="標楷體" w:hAnsi="標楷體" w:cs="標楷體"/>
          <w:bCs/>
          <w:szCs w:val="32"/>
        </w:rPr>
        <w:t>2.02</w:t>
      </w:r>
      <w:r w:rsidRPr="00177770">
        <w:rPr>
          <w:rFonts w:ascii="標楷體" w:eastAsia="標楷體" w:hAnsi="標楷體" w:cs="標楷體" w:hint="eastAsia"/>
          <w:bCs/>
          <w:szCs w:val="32"/>
        </w:rPr>
        <w:t>億元</w:t>
      </w:r>
      <w:r w:rsidRPr="00177770">
        <w:rPr>
          <w:rFonts w:ascii="標楷體" w:eastAsia="標楷體" w:hAnsi="標楷體" w:cs="標楷體"/>
          <w:bCs/>
          <w:szCs w:val="32"/>
        </w:rPr>
        <w:t>）</w:t>
      </w:r>
      <w:r w:rsidRPr="00177770">
        <w:rPr>
          <w:rFonts w:ascii="標楷體" w:eastAsia="標楷體" w:hAnsi="標楷體" w:cs="標楷體" w:hint="eastAsia"/>
          <w:bCs/>
          <w:szCs w:val="32"/>
        </w:rPr>
        <w:t>無法實現，信義線</w:t>
      </w:r>
      <w:proofErr w:type="gramStart"/>
      <w:r w:rsidRPr="00177770">
        <w:rPr>
          <w:rFonts w:ascii="標楷體" w:eastAsia="標楷體" w:hAnsi="標楷體" w:cs="標楷體" w:hint="eastAsia"/>
          <w:bCs/>
          <w:szCs w:val="32"/>
        </w:rPr>
        <w:t>東延段計畫</w:t>
      </w:r>
      <w:proofErr w:type="gramEnd"/>
      <w:r w:rsidRPr="00177770">
        <w:rPr>
          <w:rFonts w:ascii="標楷體" w:eastAsia="標楷體" w:hAnsi="標楷體" w:cs="標楷體" w:hint="eastAsia"/>
          <w:bCs/>
          <w:szCs w:val="32"/>
        </w:rPr>
        <w:t>自償率由3</w:t>
      </w:r>
      <w:r w:rsidRPr="00177770">
        <w:rPr>
          <w:rFonts w:ascii="標楷體" w:eastAsia="標楷體" w:hAnsi="標楷體" w:cs="標楷體"/>
          <w:bCs/>
          <w:szCs w:val="32"/>
        </w:rPr>
        <w:t>7.59</w:t>
      </w:r>
      <w:r w:rsidRPr="00177770">
        <w:rPr>
          <w:rFonts w:ascii="標楷體" w:eastAsia="標楷體" w:hAnsi="標楷體" w:cs="標楷體" w:hint="eastAsia"/>
          <w:bCs/>
          <w:szCs w:val="32"/>
        </w:rPr>
        <w:t>％降為2</w:t>
      </w:r>
      <w:r w:rsidRPr="00177770">
        <w:rPr>
          <w:rFonts w:ascii="標楷體" w:eastAsia="標楷體" w:hAnsi="標楷體" w:cs="標楷體"/>
          <w:bCs/>
          <w:szCs w:val="32"/>
        </w:rPr>
        <w:t>1.29</w:t>
      </w:r>
      <w:r w:rsidRPr="00177770">
        <w:rPr>
          <w:rFonts w:ascii="標楷體" w:eastAsia="標楷體" w:hAnsi="標楷體" w:cs="標楷體" w:hint="eastAsia"/>
          <w:bCs/>
          <w:szCs w:val="32"/>
        </w:rPr>
        <w:t>％，經函請</w:t>
      </w:r>
      <w:proofErr w:type="gramStart"/>
      <w:r w:rsidRPr="00177770">
        <w:rPr>
          <w:rFonts w:ascii="標楷體" w:eastAsia="標楷體" w:hAnsi="標楷體" w:cs="標楷體" w:hint="eastAsia"/>
          <w:bCs/>
          <w:szCs w:val="32"/>
        </w:rPr>
        <w:t>研謀妥處</w:t>
      </w:r>
      <w:proofErr w:type="gramEnd"/>
      <w:r w:rsidRPr="00177770">
        <w:rPr>
          <w:rFonts w:ascii="標楷體" w:eastAsia="標楷體" w:hAnsi="標楷體" w:cs="標楷體" w:hint="eastAsia"/>
          <w:bCs/>
          <w:szCs w:val="32"/>
        </w:rPr>
        <w:t>。據復：本計畫無法辦理捷三土地開發，用地費有剩餘，惟因本計畫實際預算需求經</w:t>
      </w:r>
      <w:proofErr w:type="gramStart"/>
      <w:r w:rsidRPr="00177770">
        <w:rPr>
          <w:rFonts w:ascii="標楷體" w:eastAsia="標楷體" w:hAnsi="標楷體" w:cs="標楷體" w:hint="eastAsia"/>
          <w:bCs/>
          <w:szCs w:val="32"/>
        </w:rPr>
        <w:t>檢討後顯有</w:t>
      </w:r>
      <w:proofErr w:type="gramEnd"/>
      <w:r w:rsidRPr="00177770">
        <w:rPr>
          <w:rFonts w:ascii="標楷體" w:eastAsia="標楷體" w:hAnsi="標楷體" w:cs="標楷體" w:hint="eastAsia"/>
          <w:bCs/>
          <w:szCs w:val="32"/>
        </w:rPr>
        <w:t>不足，後續將辦理第4次修正計畫送交通部核轉行政院核定後，再報請市議會辦理追加減預算，另減少約</w:t>
      </w:r>
      <w:r w:rsidRPr="00177770">
        <w:rPr>
          <w:rFonts w:ascii="標楷體" w:eastAsia="標楷體" w:hAnsi="標楷體" w:cs="標楷體"/>
          <w:bCs/>
          <w:szCs w:val="32"/>
        </w:rPr>
        <w:t>17</w:t>
      </w:r>
      <w:r w:rsidRPr="00177770">
        <w:rPr>
          <w:rFonts w:ascii="標楷體" w:eastAsia="標楷體" w:hAnsi="標楷體" w:cs="標楷體" w:hint="eastAsia"/>
          <w:bCs/>
          <w:szCs w:val="32"/>
        </w:rPr>
        <w:t>億元之自償性經費，後續將依「公共債務管理委員會審議規則」第</w:t>
      </w:r>
      <w:r w:rsidRPr="00177770">
        <w:rPr>
          <w:rFonts w:ascii="標楷體" w:eastAsia="標楷體" w:hAnsi="標楷體" w:cs="標楷體"/>
          <w:bCs/>
          <w:szCs w:val="32"/>
        </w:rPr>
        <w:t>4</w:t>
      </w:r>
      <w:r w:rsidRPr="00177770">
        <w:rPr>
          <w:rFonts w:ascii="標楷體" w:eastAsia="標楷體" w:hAnsi="標楷體" w:cs="標楷體" w:hint="eastAsia"/>
          <w:bCs/>
          <w:szCs w:val="32"/>
        </w:rPr>
        <w:t>條規定，</w:t>
      </w:r>
      <w:proofErr w:type="gramStart"/>
      <w:r w:rsidRPr="00177770">
        <w:rPr>
          <w:rFonts w:ascii="標楷體" w:eastAsia="標楷體" w:hAnsi="標楷體" w:cs="標楷體" w:hint="eastAsia"/>
          <w:bCs/>
          <w:szCs w:val="32"/>
        </w:rPr>
        <w:t>研</w:t>
      </w:r>
      <w:proofErr w:type="gramEnd"/>
      <w:r w:rsidRPr="00177770">
        <w:rPr>
          <w:rFonts w:ascii="標楷體" w:eastAsia="標楷體" w:hAnsi="標楷體" w:cs="標楷體" w:hint="eastAsia"/>
          <w:bCs/>
          <w:szCs w:val="32"/>
        </w:rPr>
        <w:t>擬信義線</w:t>
      </w:r>
      <w:proofErr w:type="gramStart"/>
      <w:r w:rsidRPr="00177770">
        <w:rPr>
          <w:rFonts w:ascii="標楷體" w:eastAsia="標楷體" w:hAnsi="標楷體" w:cs="標楷體" w:hint="eastAsia"/>
          <w:bCs/>
          <w:szCs w:val="32"/>
        </w:rPr>
        <w:t>東延段計畫</w:t>
      </w:r>
      <w:proofErr w:type="gramEnd"/>
      <w:r w:rsidRPr="00177770">
        <w:rPr>
          <w:rFonts w:ascii="標楷體" w:eastAsia="標楷體" w:hAnsi="標楷體" w:cs="標楷體" w:hint="eastAsia"/>
          <w:bCs/>
          <w:szCs w:val="32"/>
        </w:rPr>
        <w:t>自償性債務舉借及償還計畫之修正計畫，並提報臺北市公共債務管理委員會審議；又因應大法官釋字第</w:t>
      </w:r>
      <w:r w:rsidRPr="00177770">
        <w:rPr>
          <w:rFonts w:ascii="標楷體" w:eastAsia="標楷體" w:hAnsi="標楷體" w:cs="標楷體"/>
          <w:bCs/>
          <w:szCs w:val="32"/>
        </w:rPr>
        <w:t>732</w:t>
      </w:r>
      <w:r w:rsidRPr="00177770">
        <w:rPr>
          <w:rFonts w:ascii="標楷體" w:eastAsia="標楷體" w:hAnsi="標楷體" w:cs="標楷體" w:hint="eastAsia"/>
          <w:bCs/>
          <w:szCs w:val="32"/>
        </w:rPr>
        <w:t>號解釋，後續包括環狀線南、北</w:t>
      </w:r>
      <w:proofErr w:type="gramStart"/>
      <w:r w:rsidRPr="00177770">
        <w:rPr>
          <w:rFonts w:ascii="標楷體" w:eastAsia="標楷體" w:hAnsi="標楷體" w:cs="標楷體" w:hint="eastAsia"/>
          <w:bCs/>
          <w:szCs w:val="32"/>
        </w:rPr>
        <w:t>環段、東環段</w:t>
      </w:r>
      <w:proofErr w:type="gramEnd"/>
      <w:r w:rsidRPr="00177770">
        <w:rPr>
          <w:rFonts w:ascii="標楷體" w:eastAsia="標楷體" w:hAnsi="標楷體" w:cs="標楷體" w:hint="eastAsia"/>
          <w:bCs/>
          <w:szCs w:val="32"/>
        </w:rPr>
        <w:t>等之土地開發基地評選，有關建物、土地產權問題，及所有權人參與開發意願等相關因素，皆已納入審慎評估自償性財源實現之可行性。</w:t>
      </w:r>
    </w:p>
    <w:p w14:paraId="2743406A" w14:textId="77777777" w:rsidR="0050059F" w:rsidRPr="00177770" w:rsidRDefault="0050059F" w:rsidP="0050059F">
      <w:pPr>
        <w:overflowPunct w:val="0"/>
        <w:spacing w:beforeLines="50" w:before="180" w:after="60" w:line="470" w:lineRule="exact"/>
        <w:ind w:firstLineChars="100" w:firstLine="280"/>
        <w:jc w:val="both"/>
        <w:outlineLvl w:val="3"/>
        <w:rPr>
          <w:rFonts w:ascii="標楷體" w:eastAsia="標楷體" w:hAnsi="標楷體"/>
          <w:b/>
          <w:sz w:val="28"/>
          <w:szCs w:val="32"/>
        </w:rPr>
      </w:pPr>
      <w:r w:rsidRPr="00177770">
        <w:rPr>
          <w:rFonts w:ascii="標楷體" w:eastAsia="標楷體" w:hAnsi="標楷體" w:hint="eastAsia"/>
          <w:b/>
          <w:sz w:val="28"/>
          <w:szCs w:val="32"/>
        </w:rPr>
        <w:t>（八）</w:t>
      </w:r>
      <w:bookmarkStart w:id="117" w:name="_Hlk199672497"/>
      <w:r w:rsidRPr="00177770">
        <w:rPr>
          <w:rFonts w:ascii="標楷體" w:eastAsia="標楷體" w:hAnsi="標楷體" w:hint="eastAsia"/>
          <w:b/>
          <w:sz w:val="28"/>
          <w:szCs w:val="32"/>
        </w:rPr>
        <w:t>為加強公共工程營建剩餘土石方之交換利用，協助承商將捷運萬大線第一期等工程產出營建</w:t>
      </w:r>
      <w:r w:rsidRPr="00177770">
        <w:rPr>
          <w:rFonts w:ascii="標楷體" w:eastAsia="標楷體" w:hAnsi="標楷體" w:hint="eastAsia"/>
          <w:b/>
          <w:sz w:val="28"/>
          <w:szCs w:val="28"/>
        </w:rPr>
        <w:t>剩餘</w:t>
      </w:r>
      <w:r w:rsidRPr="00177770">
        <w:rPr>
          <w:rFonts w:ascii="標楷體" w:eastAsia="標楷體" w:hAnsi="標楷體" w:hint="eastAsia"/>
          <w:b/>
          <w:sz w:val="28"/>
          <w:szCs w:val="32"/>
        </w:rPr>
        <w:t>土石方交換至</w:t>
      </w:r>
      <w:proofErr w:type="gramStart"/>
      <w:r w:rsidRPr="00177770">
        <w:rPr>
          <w:rFonts w:ascii="標楷體" w:eastAsia="標楷體" w:hAnsi="標楷體" w:hint="eastAsia"/>
          <w:b/>
          <w:sz w:val="28"/>
          <w:szCs w:val="32"/>
        </w:rPr>
        <w:t>臺</w:t>
      </w:r>
      <w:proofErr w:type="gramEnd"/>
      <w:r w:rsidRPr="00177770">
        <w:rPr>
          <w:rFonts w:ascii="標楷體" w:eastAsia="標楷體" w:hAnsi="標楷體" w:hint="eastAsia"/>
          <w:b/>
          <w:sz w:val="28"/>
          <w:szCs w:val="32"/>
        </w:rPr>
        <w:t>北港收容，</w:t>
      </w:r>
      <w:proofErr w:type="gramStart"/>
      <w:r w:rsidRPr="00177770">
        <w:rPr>
          <w:rFonts w:ascii="標楷體" w:eastAsia="標楷體" w:hAnsi="標楷體" w:hint="eastAsia"/>
          <w:b/>
          <w:sz w:val="28"/>
          <w:szCs w:val="32"/>
        </w:rPr>
        <w:t>惟間有未</w:t>
      </w:r>
      <w:proofErr w:type="gramEnd"/>
      <w:r w:rsidRPr="00177770">
        <w:rPr>
          <w:rFonts w:ascii="標楷體" w:eastAsia="標楷體" w:hAnsi="標楷體" w:hint="eastAsia"/>
          <w:b/>
          <w:sz w:val="28"/>
          <w:szCs w:val="32"/>
        </w:rPr>
        <w:t>依規定計付土石方處理費用，</w:t>
      </w:r>
      <w:proofErr w:type="gramStart"/>
      <w:r w:rsidRPr="00177770">
        <w:rPr>
          <w:rFonts w:ascii="標楷體" w:eastAsia="標楷體" w:hAnsi="標楷體" w:hint="eastAsia"/>
          <w:b/>
          <w:sz w:val="28"/>
          <w:szCs w:val="32"/>
        </w:rPr>
        <w:t>致溢付承</w:t>
      </w:r>
      <w:proofErr w:type="gramEnd"/>
      <w:r w:rsidRPr="00177770">
        <w:rPr>
          <w:rFonts w:ascii="標楷體" w:eastAsia="標楷體" w:hAnsi="標楷體" w:hint="eastAsia"/>
          <w:b/>
          <w:sz w:val="28"/>
          <w:szCs w:val="32"/>
        </w:rPr>
        <w:t>商價金情事，有待</w:t>
      </w:r>
      <w:proofErr w:type="gramStart"/>
      <w:r w:rsidRPr="00177770">
        <w:rPr>
          <w:rFonts w:ascii="標楷體" w:eastAsia="標楷體" w:hAnsi="標楷體" w:hint="eastAsia"/>
          <w:b/>
          <w:sz w:val="28"/>
          <w:szCs w:val="32"/>
        </w:rPr>
        <w:t>檢討妥處</w:t>
      </w:r>
      <w:bookmarkEnd w:id="117"/>
      <w:proofErr w:type="gramEnd"/>
      <w:r w:rsidRPr="00177770">
        <w:rPr>
          <w:rFonts w:ascii="標楷體" w:eastAsia="標楷體" w:hAnsi="標楷體" w:hint="eastAsia"/>
          <w:b/>
          <w:sz w:val="28"/>
          <w:szCs w:val="32"/>
        </w:rPr>
        <w:t>。</w:t>
      </w:r>
    </w:p>
    <w:p w14:paraId="085A65E8" w14:textId="77777777" w:rsidR="0050059F" w:rsidRDefault="0050059F" w:rsidP="0050059F">
      <w:pPr>
        <w:overflowPunct w:val="0"/>
        <w:spacing w:beforeLines="20" w:before="72" w:line="440" w:lineRule="exact"/>
        <w:ind w:firstLineChars="200" w:firstLine="480"/>
        <w:jc w:val="both"/>
        <w:outlineLvl w:val="3"/>
        <w:rPr>
          <w:rFonts w:ascii="標楷體" w:eastAsia="標楷體" w:hAnsi="標楷體"/>
        </w:rPr>
      </w:pPr>
      <w:r w:rsidRPr="00177770">
        <w:rPr>
          <w:rFonts w:ascii="標楷體" w:eastAsia="標楷體" w:hAnsi="標楷體" w:hint="eastAsia"/>
        </w:rPr>
        <w:t>依內政部訂定「公共工程及公有建築工程營建剩餘土石方交換利用作業要點」第11點第1款規定，主辦機關應將土石方交換協調結果納入土石方資源處理或來源規劃構想，並依該規劃構想</w:t>
      </w:r>
      <w:proofErr w:type="gramStart"/>
      <w:r w:rsidRPr="00177770">
        <w:rPr>
          <w:rFonts w:ascii="標楷體" w:eastAsia="標楷體" w:hAnsi="標楷體" w:hint="eastAsia"/>
        </w:rPr>
        <w:t>覈</w:t>
      </w:r>
      <w:proofErr w:type="gramEnd"/>
      <w:r w:rsidRPr="00177770">
        <w:rPr>
          <w:rFonts w:ascii="標楷體" w:eastAsia="標楷體" w:hAnsi="標楷體" w:hint="eastAsia"/>
        </w:rPr>
        <w:t>實編列土石方開挖、處理、運輸、購置、</w:t>
      </w:r>
      <w:proofErr w:type="gramStart"/>
      <w:r w:rsidRPr="00177770">
        <w:rPr>
          <w:rFonts w:ascii="標楷體" w:eastAsia="標楷體" w:hAnsi="標楷體" w:hint="eastAsia"/>
        </w:rPr>
        <w:t>夯實等</w:t>
      </w:r>
      <w:proofErr w:type="gramEnd"/>
      <w:r w:rsidRPr="00177770">
        <w:rPr>
          <w:rFonts w:ascii="標楷體" w:eastAsia="標楷體" w:hAnsi="標楷體" w:hint="eastAsia"/>
        </w:rPr>
        <w:t>相關費用，依實際處理數量計價。臺北市政府（下稱市府）於109年6月15日以</w:t>
      </w:r>
      <w:proofErr w:type="gramStart"/>
      <w:r w:rsidRPr="00177770">
        <w:rPr>
          <w:rFonts w:ascii="標楷體" w:eastAsia="標楷體" w:hAnsi="標楷體" w:hint="eastAsia"/>
        </w:rPr>
        <w:t>府授工土字第1093011281號函頒「</w:t>
      </w:r>
      <w:proofErr w:type="gramEnd"/>
      <w:r w:rsidRPr="00177770">
        <w:rPr>
          <w:rFonts w:ascii="標楷體" w:eastAsia="標楷體" w:hAnsi="標楷體" w:hint="eastAsia"/>
        </w:rPr>
        <w:t>臺北市政府各機關辦理公共工程營建剩餘資源交換作業流程」（下稱交換作業流程），其附註5.</w:t>
      </w:r>
      <w:r>
        <w:rPr>
          <w:rFonts w:ascii="標楷體" w:eastAsia="標楷體" w:hAnsi="標楷體" w:hint="eastAsia"/>
        </w:rPr>
        <w:t>（</w:t>
      </w:r>
      <w:r w:rsidRPr="00177770">
        <w:rPr>
          <w:rFonts w:ascii="標楷體" w:eastAsia="標楷體" w:hAnsi="標楷體" w:hint="eastAsia"/>
        </w:rPr>
        <w:t>1</w:t>
      </w:r>
      <w:r>
        <w:rPr>
          <w:rFonts w:ascii="標楷體" w:eastAsia="標楷體" w:hAnsi="標楷體" w:hint="eastAsia"/>
        </w:rPr>
        <w:t>）</w:t>
      </w:r>
      <w:r w:rsidRPr="00177770">
        <w:rPr>
          <w:rFonts w:ascii="標楷體" w:eastAsia="標楷體" w:hAnsi="標楷體" w:hint="eastAsia"/>
        </w:rPr>
        <w:t>規定，主辦機關辦理土石方交換時，</w:t>
      </w:r>
      <w:r w:rsidRPr="00177770">
        <w:rPr>
          <w:rFonts w:ascii="標楷體" w:eastAsia="標楷體" w:hAnsi="標楷體" w:cs="標楷體" w:hint="eastAsia"/>
          <w:bCs/>
          <w:szCs w:val="32"/>
        </w:rPr>
        <w:t>出土</w:t>
      </w:r>
      <w:r w:rsidRPr="00177770">
        <w:rPr>
          <w:rFonts w:ascii="標楷體" w:eastAsia="標楷體" w:hAnsi="標楷體" w:hint="eastAsia"/>
        </w:rPr>
        <w:t>機關應</w:t>
      </w:r>
      <w:proofErr w:type="gramStart"/>
      <w:r w:rsidRPr="00177770">
        <w:rPr>
          <w:rFonts w:ascii="標楷體" w:eastAsia="標楷體" w:hAnsi="標楷體" w:hint="eastAsia"/>
        </w:rPr>
        <w:t>依需土</w:t>
      </w:r>
      <w:proofErr w:type="gramEnd"/>
      <w:r w:rsidRPr="00177770">
        <w:rPr>
          <w:rFonts w:ascii="標楷體" w:eastAsia="標楷體" w:hAnsi="標楷體" w:hint="eastAsia"/>
        </w:rPr>
        <w:t>機關公告之處理費用</w:t>
      </w:r>
      <w:proofErr w:type="gramStart"/>
      <w:r w:rsidRPr="00177770">
        <w:rPr>
          <w:rFonts w:ascii="標楷體" w:eastAsia="標楷體" w:hAnsi="標楷體" w:hint="eastAsia"/>
        </w:rPr>
        <w:t>覈</w:t>
      </w:r>
      <w:proofErr w:type="gramEnd"/>
      <w:r w:rsidRPr="00177770">
        <w:rPr>
          <w:rFonts w:ascii="標楷體" w:eastAsia="標楷體" w:hAnsi="標楷體" w:hint="eastAsia"/>
        </w:rPr>
        <w:t>實編列，不加計</w:t>
      </w:r>
      <w:proofErr w:type="gramStart"/>
      <w:r w:rsidRPr="00177770">
        <w:rPr>
          <w:rFonts w:ascii="標楷體" w:eastAsia="標楷體" w:hAnsi="標楷體" w:hint="eastAsia"/>
        </w:rPr>
        <w:t>稅什費</w:t>
      </w:r>
      <w:proofErr w:type="gramEnd"/>
      <w:r w:rsidRPr="00177770">
        <w:rPr>
          <w:rFonts w:ascii="標楷體" w:eastAsia="標楷體" w:hAnsi="標楷體" w:hint="eastAsia"/>
        </w:rPr>
        <w:t>。捷運工程局暨所屬工程處近年多將辦理工程所產出之土石方，協助承商透過營建剩餘土石方交換利用機制交換至新北市八里區「</w:t>
      </w:r>
      <w:proofErr w:type="gramStart"/>
      <w:r w:rsidRPr="00177770">
        <w:rPr>
          <w:rFonts w:ascii="標楷體" w:eastAsia="標楷體" w:hAnsi="標楷體" w:hint="eastAsia"/>
        </w:rPr>
        <w:t>臺</w:t>
      </w:r>
      <w:proofErr w:type="gramEnd"/>
      <w:r w:rsidRPr="00177770">
        <w:rPr>
          <w:rFonts w:ascii="標楷體" w:eastAsia="標楷體" w:hAnsi="標楷體" w:hint="eastAsia"/>
        </w:rPr>
        <w:t>北商港物流倉儲區填海造地計畫</w:t>
      </w:r>
      <w:proofErr w:type="gramStart"/>
      <w:r w:rsidRPr="00177770">
        <w:rPr>
          <w:rFonts w:ascii="標楷體" w:eastAsia="標楷體" w:hAnsi="標楷體" w:hint="eastAsia"/>
        </w:rPr>
        <w:t>第二期造地</w:t>
      </w:r>
      <w:proofErr w:type="gramEnd"/>
      <w:r w:rsidRPr="00177770">
        <w:rPr>
          <w:rFonts w:ascii="標楷體" w:eastAsia="標楷體" w:hAnsi="標楷體" w:hint="eastAsia"/>
        </w:rPr>
        <w:t>工程」（下稱</w:t>
      </w:r>
      <w:proofErr w:type="gramStart"/>
      <w:r w:rsidRPr="00177770">
        <w:rPr>
          <w:rFonts w:ascii="標楷體" w:eastAsia="標楷體" w:hAnsi="標楷體" w:hint="eastAsia"/>
        </w:rPr>
        <w:t>臺</w:t>
      </w:r>
      <w:proofErr w:type="gramEnd"/>
      <w:r w:rsidRPr="00177770">
        <w:rPr>
          <w:rFonts w:ascii="標楷體" w:eastAsia="標楷體" w:hAnsi="標楷體" w:hint="eastAsia"/>
        </w:rPr>
        <w:t>北港）收容，再由</w:t>
      </w:r>
      <w:proofErr w:type="gramStart"/>
      <w:r w:rsidRPr="00177770">
        <w:rPr>
          <w:rFonts w:ascii="標楷體" w:eastAsia="標楷體" w:hAnsi="標楷體" w:hint="eastAsia"/>
        </w:rPr>
        <w:t>承商按施工</w:t>
      </w:r>
      <w:proofErr w:type="gramEnd"/>
      <w:r w:rsidRPr="00177770">
        <w:rPr>
          <w:rFonts w:ascii="標楷體" w:eastAsia="標楷體" w:hAnsi="標楷體" w:hint="eastAsia"/>
        </w:rPr>
        <w:t>實際情形辦理出土作業，依「</w:t>
      </w:r>
      <w:proofErr w:type="gramStart"/>
      <w:r w:rsidRPr="00177770">
        <w:rPr>
          <w:rFonts w:ascii="標楷體" w:eastAsia="標楷體" w:hAnsi="標楷體" w:hint="eastAsia"/>
        </w:rPr>
        <w:t>臺</w:t>
      </w:r>
      <w:proofErr w:type="gramEnd"/>
      <w:r w:rsidRPr="00177770">
        <w:rPr>
          <w:rFonts w:ascii="標楷體" w:eastAsia="標楷體" w:hAnsi="標楷體" w:hint="eastAsia"/>
        </w:rPr>
        <w:t>北港收容公共工程營建剩餘土石方作業規定」訂</w:t>
      </w:r>
      <w:proofErr w:type="gramStart"/>
      <w:r w:rsidRPr="00177770">
        <w:rPr>
          <w:rFonts w:ascii="標楷體" w:eastAsia="標楷體" w:hAnsi="標楷體" w:hint="eastAsia"/>
        </w:rPr>
        <w:t>定收土</w:t>
      </w:r>
      <w:proofErr w:type="gramEnd"/>
      <w:r w:rsidRPr="00177770">
        <w:rPr>
          <w:rFonts w:ascii="標楷體" w:eastAsia="標楷體" w:hAnsi="標楷體" w:hint="eastAsia"/>
        </w:rPr>
        <w:t>作業所收取之土方管理費率（內含5％營業稅）繳納費用予</w:t>
      </w:r>
      <w:proofErr w:type="gramStart"/>
      <w:r w:rsidRPr="00177770">
        <w:rPr>
          <w:rFonts w:ascii="標楷體" w:eastAsia="標楷體" w:hAnsi="標楷體" w:hint="eastAsia"/>
        </w:rPr>
        <w:t>臺</w:t>
      </w:r>
      <w:proofErr w:type="gramEnd"/>
      <w:r w:rsidRPr="00177770">
        <w:rPr>
          <w:rFonts w:ascii="標楷體" w:eastAsia="標楷體" w:hAnsi="標楷體" w:hint="eastAsia"/>
        </w:rPr>
        <w:t>北港管理單位。經查辦理營建剩餘土石方交換至</w:t>
      </w:r>
      <w:proofErr w:type="gramStart"/>
      <w:r w:rsidRPr="00177770">
        <w:rPr>
          <w:rFonts w:ascii="標楷體" w:eastAsia="標楷體" w:hAnsi="標楷體" w:hint="eastAsia"/>
        </w:rPr>
        <w:t>臺</w:t>
      </w:r>
      <w:proofErr w:type="gramEnd"/>
      <w:r w:rsidRPr="00177770">
        <w:rPr>
          <w:rFonts w:ascii="標楷體" w:eastAsia="標楷體" w:hAnsi="標楷體" w:hint="eastAsia"/>
        </w:rPr>
        <w:t>北港收容之計價情形，核有：1.第一區工程處辦理「</w:t>
      </w:r>
      <w:proofErr w:type="gramStart"/>
      <w:r w:rsidRPr="00177770">
        <w:rPr>
          <w:rFonts w:ascii="標楷體" w:eastAsia="標楷體" w:hAnsi="標楷體" w:hint="eastAsia"/>
        </w:rPr>
        <w:t>臺</w:t>
      </w:r>
      <w:proofErr w:type="gramEnd"/>
      <w:r w:rsidRPr="00177770">
        <w:rPr>
          <w:rFonts w:ascii="標楷體" w:eastAsia="標楷體" w:hAnsi="標楷體" w:hint="eastAsia"/>
        </w:rPr>
        <w:t>北都會區大眾捷運系統萬大-中和-樹林線</w:t>
      </w:r>
      <w:r>
        <w:rPr>
          <w:rFonts w:ascii="標楷體" w:eastAsia="標楷體" w:hAnsi="標楷體" w:hint="eastAsia"/>
        </w:rPr>
        <w:t>（</w:t>
      </w:r>
      <w:r w:rsidRPr="00177770">
        <w:rPr>
          <w:rFonts w:ascii="標楷體" w:eastAsia="標楷體" w:hAnsi="標楷體" w:hint="eastAsia"/>
        </w:rPr>
        <w:t>第一期工程</w:t>
      </w:r>
      <w:r>
        <w:rPr>
          <w:rFonts w:ascii="標楷體" w:eastAsia="標楷體" w:hAnsi="標楷體" w:hint="eastAsia"/>
        </w:rPr>
        <w:t>）</w:t>
      </w:r>
      <w:r w:rsidRPr="00177770">
        <w:rPr>
          <w:rFonts w:ascii="標楷體" w:eastAsia="標楷體" w:hAnsi="標楷體" w:hint="eastAsia"/>
        </w:rPr>
        <w:t>」（下稱捷運萬大線第一期工程）等數項工程產出營建剩餘土石方交換至</w:t>
      </w:r>
      <w:proofErr w:type="gramStart"/>
      <w:r w:rsidRPr="00177770">
        <w:rPr>
          <w:rFonts w:ascii="標楷體" w:eastAsia="標楷體" w:hAnsi="標楷體" w:hint="eastAsia"/>
        </w:rPr>
        <w:t>臺</w:t>
      </w:r>
      <w:proofErr w:type="gramEnd"/>
      <w:r w:rsidRPr="00177770">
        <w:rPr>
          <w:rFonts w:ascii="標楷體" w:eastAsia="標楷體" w:hAnsi="標楷體" w:hint="eastAsia"/>
        </w:rPr>
        <w:t>北港收容之計價作業，於市府109年6月15日訂頒交換作業流程後，按契約編列之</w:t>
      </w:r>
      <w:proofErr w:type="gramStart"/>
      <w:r w:rsidRPr="00177770">
        <w:rPr>
          <w:rFonts w:ascii="標楷體" w:eastAsia="標楷體" w:hAnsi="標楷體" w:hint="eastAsia"/>
        </w:rPr>
        <w:t>臺</w:t>
      </w:r>
      <w:proofErr w:type="gramEnd"/>
      <w:r w:rsidRPr="00177770">
        <w:rPr>
          <w:rFonts w:ascii="標楷體" w:eastAsia="標楷體" w:hAnsi="標楷體" w:hint="eastAsia"/>
        </w:rPr>
        <w:t>北港土方管理費（不含5％營業稅）計價並支付承商時，加</w:t>
      </w:r>
      <w:proofErr w:type="gramStart"/>
      <w:r w:rsidRPr="00177770">
        <w:rPr>
          <w:rFonts w:ascii="標楷體" w:eastAsia="標楷體" w:hAnsi="標楷體" w:hint="eastAsia"/>
        </w:rPr>
        <w:t>計前揭臺</w:t>
      </w:r>
      <w:proofErr w:type="gramEnd"/>
      <w:r w:rsidRPr="00177770">
        <w:rPr>
          <w:rFonts w:ascii="標楷體" w:eastAsia="標楷體" w:hAnsi="標楷體" w:hint="eastAsia"/>
        </w:rPr>
        <w:t>北港土方管理費之「管理利潤、工程保險費及</w:t>
      </w:r>
      <w:proofErr w:type="gramStart"/>
      <w:r w:rsidRPr="00177770">
        <w:rPr>
          <w:rFonts w:ascii="標楷體" w:eastAsia="標楷體" w:hAnsi="標楷體" w:hint="eastAsia"/>
        </w:rPr>
        <w:t>稅什費</w:t>
      </w:r>
      <w:proofErr w:type="gramEnd"/>
      <w:r w:rsidRPr="00177770">
        <w:rPr>
          <w:rFonts w:ascii="標楷體" w:eastAsia="標楷體" w:hAnsi="標楷體" w:hint="eastAsia"/>
        </w:rPr>
        <w:t>」（下稱利什費），該等加計費</w:t>
      </w:r>
      <w:proofErr w:type="gramStart"/>
      <w:r w:rsidRPr="00177770">
        <w:rPr>
          <w:rFonts w:ascii="標楷體" w:eastAsia="標楷體" w:hAnsi="標楷體" w:hint="eastAsia"/>
        </w:rPr>
        <w:t>用經減去臺</w:t>
      </w:r>
      <w:proofErr w:type="gramEnd"/>
      <w:r w:rsidRPr="00177770">
        <w:rPr>
          <w:rFonts w:ascii="標楷體" w:eastAsia="標楷體" w:hAnsi="標楷體" w:hint="eastAsia"/>
        </w:rPr>
        <w:t>北港管理單位公</w:t>
      </w:r>
    </w:p>
    <w:p w14:paraId="5A0AF48E" w14:textId="200C064C" w:rsidR="0050059F" w:rsidRPr="00177770" w:rsidRDefault="0050059F" w:rsidP="0050059F">
      <w:pPr>
        <w:overflowPunct w:val="0"/>
        <w:spacing w:line="430" w:lineRule="exact"/>
        <w:jc w:val="both"/>
        <w:outlineLvl w:val="3"/>
        <w:rPr>
          <w:rFonts w:ascii="標楷體" w:eastAsia="標楷體" w:hAnsi="標楷體"/>
        </w:rPr>
      </w:pPr>
      <w:r w:rsidRPr="00177770">
        <w:rPr>
          <w:rFonts w:ascii="標楷體" w:eastAsia="標楷體" w:hAnsi="標楷體" w:hint="eastAsia"/>
          <w:noProof/>
          <w:lang w:val="zh-TW"/>
        </w:rPr>
        <w:lastRenderedPageBreak/>
        <mc:AlternateContent>
          <mc:Choice Requires="wps">
            <w:drawing>
              <wp:anchor distT="0" distB="0" distL="114300" distR="114300" simplePos="0" relativeHeight="251785216" behindDoc="1" locked="0" layoutInCell="1" allowOverlap="1" wp14:anchorId="26BA93CC" wp14:editId="5EC4C563">
                <wp:simplePos x="0" y="0"/>
                <wp:positionH relativeFrom="column">
                  <wp:posOffset>2047149</wp:posOffset>
                </wp:positionH>
                <wp:positionV relativeFrom="paragraph">
                  <wp:posOffset>42908</wp:posOffset>
                </wp:positionV>
                <wp:extent cx="4305300" cy="3101975"/>
                <wp:effectExtent l="0" t="0" r="0" b="3175"/>
                <wp:wrapTight wrapText="bothSides">
                  <wp:wrapPolygon edited="0">
                    <wp:start x="0" y="0"/>
                    <wp:lineTo x="0" y="21489"/>
                    <wp:lineTo x="21504" y="21489"/>
                    <wp:lineTo x="21504" y="0"/>
                    <wp:lineTo x="0" y="0"/>
                  </wp:wrapPolygon>
                </wp:wrapTight>
                <wp:docPr id="107" name="文字方塊 107"/>
                <wp:cNvGraphicFramePr/>
                <a:graphic xmlns:a="http://schemas.openxmlformats.org/drawingml/2006/main">
                  <a:graphicData uri="http://schemas.microsoft.com/office/word/2010/wordprocessingShape">
                    <wps:wsp>
                      <wps:cNvSpPr txBox="1"/>
                      <wps:spPr>
                        <a:xfrm>
                          <a:off x="0" y="0"/>
                          <a:ext cx="4305300" cy="3101975"/>
                        </a:xfrm>
                        <a:prstGeom prst="rect">
                          <a:avLst/>
                        </a:prstGeom>
                        <a:solidFill>
                          <a:schemeClr val="lt1"/>
                        </a:solidFill>
                        <a:ln w="6350">
                          <a:noFill/>
                        </a:ln>
                      </wps:spPr>
                      <wps:txbx>
                        <w:txbxContent>
                          <w:p w14:paraId="6C5239FF" w14:textId="77777777" w:rsidR="0050059F" w:rsidRDefault="0050059F" w:rsidP="0050059F">
                            <w:pPr>
                              <w:pStyle w:val="a4"/>
                              <w:overflowPunct w:val="0"/>
                              <w:snapToGrid w:val="0"/>
                              <w:spacing w:afterLines="20" w:after="72" w:line="260" w:lineRule="exact"/>
                              <w:ind w:leftChars="0" w:left="0"/>
                              <w:jc w:val="center"/>
                              <w:rPr>
                                <w:rFonts w:ascii="標楷體" w:eastAsia="標楷體" w:hAnsi="標楷體"/>
                                <w:b/>
                              </w:rPr>
                            </w:pPr>
                            <w:r w:rsidRPr="00891329">
                              <w:rPr>
                                <w:rFonts w:ascii="標楷體" w:eastAsia="標楷體" w:hAnsi="標楷體" w:hint="eastAsia"/>
                                <w:b/>
                              </w:rPr>
                              <w:t>表</w:t>
                            </w:r>
                            <w:r>
                              <w:rPr>
                                <w:rFonts w:ascii="標楷體" w:eastAsia="標楷體" w:hAnsi="標楷體" w:hint="eastAsia"/>
                                <w:b/>
                              </w:rPr>
                              <w:t>8　捷運工程</w:t>
                            </w:r>
                            <w:proofErr w:type="gramStart"/>
                            <w:r>
                              <w:rPr>
                                <w:rFonts w:ascii="標楷體" w:eastAsia="標楷體" w:hAnsi="標楷體" w:hint="eastAsia"/>
                                <w:b/>
                              </w:rPr>
                              <w:t>局溢付承商臺</w:t>
                            </w:r>
                            <w:proofErr w:type="gramEnd"/>
                            <w:r>
                              <w:rPr>
                                <w:rFonts w:ascii="標楷體" w:eastAsia="標楷體" w:hAnsi="標楷體" w:hint="eastAsia"/>
                                <w:b/>
                              </w:rPr>
                              <w:t>北港土方管理費所生利什費明細</w:t>
                            </w:r>
                          </w:p>
                          <w:p w14:paraId="2987DBCE" w14:textId="77777777" w:rsidR="0050059F" w:rsidRPr="00AB2776" w:rsidRDefault="0050059F" w:rsidP="0050059F">
                            <w:pPr>
                              <w:spacing w:afterLines="10" w:after="36" w:line="240" w:lineRule="exact"/>
                              <w:jc w:val="right"/>
                              <w:rPr>
                                <w:rFonts w:ascii="標楷體" w:eastAsia="標楷體" w:hAnsi="標楷體" w:cs="標楷體"/>
                                <w:color w:val="000000"/>
                                <w:sz w:val="20"/>
                              </w:rPr>
                            </w:pPr>
                            <w:r w:rsidRPr="00653B29">
                              <w:rPr>
                                <w:rFonts w:ascii="標楷體" w:eastAsia="標楷體" w:hAnsi="標楷體" w:cs="標楷體" w:hint="eastAsia"/>
                                <w:color w:val="000000"/>
                                <w:sz w:val="20"/>
                              </w:rPr>
                              <w:t>單位：新臺幣千元</w:t>
                            </w:r>
                          </w:p>
                          <w:tbl>
                            <w:tblPr>
                              <w:tblStyle w:val="a6"/>
                              <w:tblW w:w="6521" w:type="dxa"/>
                              <w:tblInd w:w="-5" w:type="dxa"/>
                              <w:tblLook w:val="04A0" w:firstRow="1" w:lastRow="0" w:firstColumn="1" w:lastColumn="0" w:noHBand="0" w:noVBand="1"/>
                            </w:tblPr>
                            <w:tblGrid>
                              <w:gridCol w:w="426"/>
                              <w:gridCol w:w="829"/>
                              <w:gridCol w:w="3707"/>
                              <w:gridCol w:w="1559"/>
                            </w:tblGrid>
                            <w:tr w:rsidR="0050059F" w14:paraId="26E4E570" w14:textId="77777777" w:rsidTr="00824CD6">
                              <w:tc>
                                <w:tcPr>
                                  <w:tcW w:w="426" w:type="dxa"/>
                                  <w:vAlign w:val="center"/>
                                </w:tcPr>
                                <w:p w14:paraId="5C084487"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rPr>
                                    <w:t>項次</w:t>
                                  </w:r>
                                </w:p>
                              </w:tc>
                              <w:tc>
                                <w:tcPr>
                                  <w:tcW w:w="829" w:type="dxa"/>
                                  <w:vAlign w:val="center"/>
                                </w:tcPr>
                                <w:p w14:paraId="4439CEF4" w14:textId="77777777" w:rsidR="0050059F"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主辦</w:t>
                                  </w:r>
                                </w:p>
                                <w:p w14:paraId="78C52D4B"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機關</w:t>
                                  </w:r>
                                </w:p>
                              </w:tc>
                              <w:tc>
                                <w:tcPr>
                                  <w:tcW w:w="3707" w:type="dxa"/>
                                  <w:vAlign w:val="center"/>
                                </w:tcPr>
                                <w:p w14:paraId="3F67A177"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工程標號/名稱</w:t>
                                  </w:r>
                                </w:p>
                              </w:tc>
                              <w:tc>
                                <w:tcPr>
                                  <w:tcW w:w="1559" w:type="dxa"/>
                                  <w:vAlign w:val="center"/>
                                </w:tcPr>
                                <w:p w14:paraId="05AA1898" w14:textId="77777777" w:rsidR="0050059F" w:rsidRDefault="0050059F" w:rsidP="00824CD6">
                                  <w:pPr>
                                    <w:widowControl/>
                                    <w:kinsoku w:val="0"/>
                                    <w:overflowPunct w:val="0"/>
                                    <w:spacing w:line="240" w:lineRule="exact"/>
                                    <w:jc w:val="center"/>
                                    <w:rPr>
                                      <w:rFonts w:ascii="標楷體" w:eastAsia="標楷體" w:hAnsi="標楷體"/>
                                    </w:rPr>
                                  </w:pPr>
                                  <w:r>
                                    <w:rPr>
                                      <w:rFonts w:ascii="標楷體" w:eastAsia="標楷體" w:hAnsi="標楷體" w:hint="eastAsia"/>
                                    </w:rPr>
                                    <w:t>應</w:t>
                                  </w:r>
                                  <w:proofErr w:type="gramStart"/>
                                  <w:r>
                                    <w:rPr>
                                      <w:rFonts w:ascii="標楷體" w:eastAsia="標楷體" w:hAnsi="標楷體" w:hint="eastAsia"/>
                                    </w:rPr>
                                    <w:t>扣回之溢</w:t>
                                  </w:r>
                                  <w:proofErr w:type="gramEnd"/>
                                  <w:r>
                                    <w:rPr>
                                      <w:rFonts w:ascii="標楷體" w:eastAsia="標楷體" w:hAnsi="標楷體" w:hint="eastAsia"/>
                                    </w:rPr>
                                    <w:t>付</w:t>
                                  </w:r>
                                </w:p>
                                <w:p w14:paraId="697E21D5"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rPr>
                                    <w:t>金額</w:t>
                                  </w:r>
                                </w:p>
                              </w:tc>
                            </w:tr>
                            <w:tr w:rsidR="0050059F" w14:paraId="12A405FF" w14:textId="77777777" w:rsidTr="00824CD6">
                              <w:trPr>
                                <w:trHeight w:hRule="exact" w:val="312"/>
                              </w:trPr>
                              <w:tc>
                                <w:tcPr>
                                  <w:tcW w:w="4962" w:type="dxa"/>
                                  <w:gridSpan w:val="3"/>
                                  <w:vAlign w:val="center"/>
                                </w:tcPr>
                                <w:p w14:paraId="3642B33C" w14:textId="77777777" w:rsidR="0050059F" w:rsidRPr="001C2B9F" w:rsidRDefault="0050059F" w:rsidP="00824CD6">
                                  <w:pPr>
                                    <w:widowControl/>
                                    <w:kinsoku w:val="0"/>
                                    <w:overflowPunct w:val="0"/>
                                    <w:spacing w:line="240" w:lineRule="exact"/>
                                    <w:jc w:val="center"/>
                                    <w:rPr>
                                      <w:rFonts w:ascii="標楷體" w:eastAsia="標楷體" w:hAnsi="標楷體"/>
                                      <w:b/>
                                      <w:bCs/>
                                    </w:rPr>
                                  </w:pPr>
                                  <w:r w:rsidRPr="001C2B9F">
                                    <w:rPr>
                                      <w:rFonts w:ascii="標楷體" w:eastAsia="標楷體" w:hAnsi="標楷體" w:hint="eastAsia"/>
                                      <w:b/>
                                      <w:bCs/>
                                      <w:spacing w:val="400"/>
                                      <w:fitText w:val="1200" w:id="-707059712"/>
                                    </w:rPr>
                                    <w:t>合</w:t>
                                  </w:r>
                                  <w:r w:rsidRPr="001C2B9F">
                                    <w:rPr>
                                      <w:rFonts w:ascii="標楷體" w:eastAsia="標楷體" w:hAnsi="標楷體" w:hint="eastAsia"/>
                                      <w:b/>
                                      <w:bCs/>
                                      <w:fitText w:val="1200" w:id="-707059712"/>
                                    </w:rPr>
                                    <w:t>計</w:t>
                                  </w:r>
                                </w:p>
                              </w:tc>
                              <w:tc>
                                <w:tcPr>
                                  <w:tcW w:w="1559" w:type="dxa"/>
                                  <w:vAlign w:val="center"/>
                                </w:tcPr>
                                <w:p w14:paraId="37E2CB74" w14:textId="77777777" w:rsidR="0050059F" w:rsidRPr="001C2B9F" w:rsidRDefault="0050059F" w:rsidP="00824CD6">
                                  <w:pPr>
                                    <w:widowControl/>
                                    <w:kinsoku w:val="0"/>
                                    <w:overflowPunct w:val="0"/>
                                    <w:spacing w:line="240" w:lineRule="exact"/>
                                    <w:jc w:val="right"/>
                                    <w:rPr>
                                      <w:rFonts w:ascii="標楷體" w:eastAsia="標楷體" w:hAnsi="標楷體"/>
                                      <w:b/>
                                      <w:bCs/>
                                    </w:rPr>
                                  </w:pPr>
                                  <w:r w:rsidRPr="001C2B9F">
                                    <w:rPr>
                                      <w:rFonts w:ascii="標楷體" w:eastAsia="標楷體" w:hAnsi="標楷體" w:hint="eastAsia"/>
                                      <w:b/>
                                      <w:bCs/>
                                    </w:rPr>
                                    <w:t>1</w:t>
                                  </w:r>
                                  <w:r w:rsidRPr="001C2B9F">
                                    <w:rPr>
                                      <w:rFonts w:ascii="標楷體" w:eastAsia="標楷體" w:hAnsi="標楷體"/>
                                      <w:b/>
                                      <w:bCs/>
                                    </w:rPr>
                                    <w:t>9</w:t>
                                  </w:r>
                                  <w:r w:rsidRPr="001C2B9F">
                                    <w:rPr>
                                      <w:rFonts w:ascii="標楷體" w:eastAsia="標楷體" w:hAnsi="標楷體" w:hint="eastAsia"/>
                                      <w:b/>
                                      <w:bCs/>
                                    </w:rPr>
                                    <w:t>,</w:t>
                                  </w:r>
                                  <w:r w:rsidRPr="001C2B9F">
                                    <w:rPr>
                                      <w:rFonts w:ascii="標楷體" w:eastAsia="標楷體" w:hAnsi="標楷體"/>
                                      <w:b/>
                                      <w:bCs/>
                                    </w:rPr>
                                    <w:t>304</w:t>
                                  </w:r>
                                </w:p>
                              </w:tc>
                            </w:tr>
                            <w:tr w:rsidR="0050059F" w14:paraId="6FCE0E9F" w14:textId="77777777" w:rsidTr="00824CD6">
                              <w:trPr>
                                <w:trHeight w:hRule="exact" w:val="284"/>
                              </w:trPr>
                              <w:tc>
                                <w:tcPr>
                                  <w:tcW w:w="426" w:type="dxa"/>
                                  <w:vAlign w:val="center"/>
                                </w:tcPr>
                                <w:p w14:paraId="3986CDD8"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1</w:t>
                                  </w:r>
                                </w:p>
                              </w:tc>
                              <w:tc>
                                <w:tcPr>
                                  <w:tcW w:w="829" w:type="dxa"/>
                                  <w:vMerge w:val="restart"/>
                                  <w:vAlign w:val="center"/>
                                </w:tcPr>
                                <w:p w14:paraId="0393B8E1"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第一區工程處</w:t>
                                  </w:r>
                                </w:p>
                              </w:tc>
                              <w:tc>
                                <w:tcPr>
                                  <w:tcW w:w="3707" w:type="dxa"/>
                                  <w:vAlign w:val="center"/>
                                </w:tcPr>
                                <w:p w14:paraId="5528484F"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hint="eastAsia"/>
                                    </w:rPr>
                                    <w:t>CQ870區段標/</w:t>
                                  </w:r>
                                  <w:r>
                                    <w:rPr>
                                      <w:rFonts w:ascii="標楷體" w:eastAsia="標楷體" w:hAnsi="標楷體" w:hint="eastAsia"/>
                                    </w:rPr>
                                    <w:t>捷運</w:t>
                                  </w:r>
                                  <w:r w:rsidRPr="00E65578">
                                    <w:rPr>
                                      <w:rFonts w:ascii="標楷體" w:eastAsia="標楷體" w:hAnsi="標楷體" w:hint="eastAsia"/>
                                    </w:rPr>
                                    <w:t>萬大</w:t>
                                  </w:r>
                                  <w:r>
                                    <w:rPr>
                                      <w:rFonts w:ascii="標楷體" w:eastAsia="標楷體" w:hAnsi="標楷體" w:hint="eastAsia"/>
                                    </w:rPr>
                                    <w:t>線</w:t>
                                  </w:r>
                                  <w:r w:rsidRPr="00E65578">
                                    <w:rPr>
                                      <w:rFonts w:ascii="標楷體" w:eastAsia="標楷體" w:hAnsi="標楷體" w:hint="eastAsia"/>
                                    </w:rPr>
                                    <w:t>第一期工程</w:t>
                                  </w:r>
                                </w:p>
                              </w:tc>
                              <w:tc>
                                <w:tcPr>
                                  <w:tcW w:w="1559" w:type="dxa"/>
                                  <w:vAlign w:val="center"/>
                                </w:tcPr>
                                <w:p w14:paraId="056ADDDD"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7,785</w:t>
                                  </w:r>
                                </w:p>
                              </w:tc>
                            </w:tr>
                            <w:tr w:rsidR="0050059F" w14:paraId="1DA598B1" w14:textId="77777777" w:rsidTr="00824CD6">
                              <w:trPr>
                                <w:trHeight w:hRule="exact" w:val="284"/>
                              </w:trPr>
                              <w:tc>
                                <w:tcPr>
                                  <w:tcW w:w="426" w:type="dxa"/>
                                  <w:vAlign w:val="center"/>
                                </w:tcPr>
                                <w:p w14:paraId="4F13D176"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2</w:t>
                                  </w:r>
                                </w:p>
                              </w:tc>
                              <w:tc>
                                <w:tcPr>
                                  <w:tcW w:w="829" w:type="dxa"/>
                                  <w:vMerge/>
                                  <w:vAlign w:val="center"/>
                                </w:tcPr>
                                <w:p w14:paraId="465784B1"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268A5890"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hint="eastAsia"/>
                                    </w:rPr>
                                    <w:t>CQ860區段標/</w:t>
                                  </w:r>
                                  <w:r>
                                    <w:rPr>
                                      <w:rFonts w:ascii="標楷體" w:eastAsia="標楷體" w:hAnsi="標楷體" w:hint="eastAsia"/>
                                    </w:rPr>
                                    <w:t>捷運</w:t>
                                  </w:r>
                                  <w:r w:rsidRPr="00E65578">
                                    <w:rPr>
                                      <w:rFonts w:ascii="標楷體" w:eastAsia="標楷體" w:hAnsi="標楷體" w:hint="eastAsia"/>
                                    </w:rPr>
                                    <w:t>萬大線第一期工程</w:t>
                                  </w:r>
                                </w:p>
                              </w:tc>
                              <w:tc>
                                <w:tcPr>
                                  <w:tcW w:w="1559" w:type="dxa"/>
                                  <w:vAlign w:val="center"/>
                                </w:tcPr>
                                <w:p w14:paraId="2474531F"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4,837</w:t>
                                  </w:r>
                                </w:p>
                              </w:tc>
                            </w:tr>
                            <w:tr w:rsidR="0050059F" w14:paraId="3269DE9B" w14:textId="77777777" w:rsidTr="00824CD6">
                              <w:trPr>
                                <w:trHeight w:hRule="exact" w:val="567"/>
                              </w:trPr>
                              <w:tc>
                                <w:tcPr>
                                  <w:tcW w:w="426" w:type="dxa"/>
                                  <w:vAlign w:val="center"/>
                                </w:tcPr>
                                <w:p w14:paraId="74DF7C43"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3</w:t>
                                  </w:r>
                                </w:p>
                              </w:tc>
                              <w:tc>
                                <w:tcPr>
                                  <w:tcW w:w="829" w:type="dxa"/>
                                  <w:vMerge/>
                                  <w:vAlign w:val="center"/>
                                </w:tcPr>
                                <w:p w14:paraId="3CAF1EDC"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253FB5F7"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hint="eastAsia"/>
                                    </w:rPr>
                                    <w:t>IZ0001/臺北市立美術館典藏庫房新建暨南進門改善統包工程</w:t>
                                  </w:r>
                                </w:p>
                              </w:tc>
                              <w:tc>
                                <w:tcPr>
                                  <w:tcW w:w="1559" w:type="dxa"/>
                                  <w:vAlign w:val="center"/>
                                </w:tcPr>
                                <w:p w14:paraId="1834889E"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263</w:t>
                                  </w:r>
                                </w:p>
                              </w:tc>
                            </w:tr>
                            <w:tr w:rsidR="0050059F" w14:paraId="24E73740" w14:textId="77777777" w:rsidTr="00824CD6">
                              <w:trPr>
                                <w:trHeight w:val="483"/>
                              </w:trPr>
                              <w:tc>
                                <w:tcPr>
                                  <w:tcW w:w="426" w:type="dxa"/>
                                  <w:vAlign w:val="center"/>
                                </w:tcPr>
                                <w:p w14:paraId="228DA58B"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4</w:t>
                                  </w:r>
                                </w:p>
                              </w:tc>
                              <w:tc>
                                <w:tcPr>
                                  <w:tcW w:w="829" w:type="dxa"/>
                                  <w:vMerge/>
                                  <w:vAlign w:val="center"/>
                                </w:tcPr>
                                <w:p w14:paraId="2F14990B"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444002C7"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hint="eastAsia"/>
                                    </w:rPr>
                                    <w:t>CQ861標/</w:t>
                                  </w:r>
                                  <w:r>
                                    <w:rPr>
                                      <w:rFonts w:ascii="標楷體" w:eastAsia="標楷體" w:hAnsi="標楷體" w:hint="eastAsia"/>
                                    </w:rPr>
                                    <w:t>捷運</w:t>
                                  </w:r>
                                  <w:r w:rsidRPr="00E65578">
                                    <w:rPr>
                                      <w:rFonts w:ascii="標楷體" w:eastAsia="標楷體" w:hAnsi="標楷體" w:hint="eastAsia"/>
                                    </w:rPr>
                                    <w:t>萬大線第一期工程LG06車站土建工程</w:t>
                                  </w:r>
                                </w:p>
                              </w:tc>
                              <w:tc>
                                <w:tcPr>
                                  <w:tcW w:w="1559" w:type="dxa"/>
                                  <w:vAlign w:val="center"/>
                                </w:tcPr>
                                <w:p w14:paraId="66B76694"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205</w:t>
                                  </w:r>
                                </w:p>
                              </w:tc>
                            </w:tr>
                            <w:tr w:rsidR="0050059F" w14:paraId="40E10270" w14:textId="77777777" w:rsidTr="00824CD6">
                              <w:trPr>
                                <w:trHeight w:hRule="exact" w:val="284"/>
                              </w:trPr>
                              <w:tc>
                                <w:tcPr>
                                  <w:tcW w:w="426" w:type="dxa"/>
                                  <w:vAlign w:val="center"/>
                                </w:tcPr>
                                <w:p w14:paraId="553F52EA"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5</w:t>
                                  </w:r>
                                </w:p>
                              </w:tc>
                              <w:tc>
                                <w:tcPr>
                                  <w:tcW w:w="829" w:type="dxa"/>
                                  <w:vMerge w:val="restart"/>
                                  <w:vAlign w:val="center"/>
                                </w:tcPr>
                                <w:p w14:paraId="795CAB7A"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第二區工程處</w:t>
                                  </w:r>
                                </w:p>
                              </w:tc>
                              <w:tc>
                                <w:tcPr>
                                  <w:tcW w:w="3707" w:type="dxa"/>
                                  <w:vAlign w:val="center"/>
                                </w:tcPr>
                                <w:p w14:paraId="732B6AAB"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rPr>
                                    <w:t>CQ840區段標/</w:t>
                                  </w:r>
                                  <w:r>
                                    <w:rPr>
                                      <w:rFonts w:ascii="標楷體" w:eastAsia="標楷體" w:hAnsi="標楷體" w:hint="eastAsia"/>
                                    </w:rPr>
                                    <w:t>捷運</w:t>
                                  </w:r>
                                  <w:r w:rsidRPr="00E65578">
                                    <w:rPr>
                                      <w:rFonts w:ascii="標楷體" w:eastAsia="標楷體" w:hAnsi="標楷體"/>
                                    </w:rPr>
                                    <w:t>萬大線第一期工程</w:t>
                                  </w:r>
                                </w:p>
                              </w:tc>
                              <w:tc>
                                <w:tcPr>
                                  <w:tcW w:w="1559" w:type="dxa"/>
                                  <w:vAlign w:val="center"/>
                                </w:tcPr>
                                <w:p w14:paraId="63A80BFE"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2,934</w:t>
                                  </w:r>
                                </w:p>
                              </w:tc>
                            </w:tr>
                            <w:tr w:rsidR="0050059F" w14:paraId="7E7F673A" w14:textId="77777777" w:rsidTr="00824CD6">
                              <w:trPr>
                                <w:trHeight w:hRule="exact" w:val="284"/>
                              </w:trPr>
                              <w:tc>
                                <w:tcPr>
                                  <w:tcW w:w="426" w:type="dxa"/>
                                  <w:vAlign w:val="center"/>
                                </w:tcPr>
                                <w:p w14:paraId="1327637F"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6</w:t>
                                  </w:r>
                                </w:p>
                              </w:tc>
                              <w:tc>
                                <w:tcPr>
                                  <w:tcW w:w="829" w:type="dxa"/>
                                  <w:vMerge/>
                                  <w:vAlign w:val="center"/>
                                </w:tcPr>
                                <w:p w14:paraId="6920CCAF"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2A5955B4"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rPr>
                                    <w:t>CR285標/</w:t>
                                  </w:r>
                                  <w:r>
                                    <w:rPr>
                                      <w:rFonts w:ascii="標楷體" w:eastAsia="標楷體" w:hAnsi="標楷體" w:hint="eastAsia"/>
                                    </w:rPr>
                                    <w:t>捷運</w:t>
                                  </w:r>
                                  <w:r w:rsidRPr="007261DA">
                                    <w:rPr>
                                      <w:rFonts w:ascii="標楷體" w:eastAsia="標楷體" w:hAnsi="標楷體" w:hint="eastAsia"/>
                                    </w:rPr>
                                    <w:t>信義線</w:t>
                                  </w:r>
                                  <w:proofErr w:type="gramStart"/>
                                  <w:r w:rsidRPr="007261DA">
                                    <w:rPr>
                                      <w:rFonts w:ascii="標楷體" w:eastAsia="標楷體" w:hAnsi="標楷體" w:hint="eastAsia"/>
                                    </w:rPr>
                                    <w:t>東延段</w:t>
                                  </w:r>
                                  <w:proofErr w:type="gramEnd"/>
                                </w:p>
                              </w:tc>
                              <w:tc>
                                <w:tcPr>
                                  <w:tcW w:w="1559" w:type="dxa"/>
                                  <w:vAlign w:val="center"/>
                                </w:tcPr>
                                <w:p w14:paraId="4039A518"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2,471</w:t>
                                  </w:r>
                                </w:p>
                              </w:tc>
                            </w:tr>
                            <w:tr w:rsidR="0050059F" w14:paraId="4DBFACE6" w14:textId="77777777" w:rsidTr="00824CD6">
                              <w:trPr>
                                <w:trHeight w:hRule="exact" w:val="284"/>
                              </w:trPr>
                              <w:tc>
                                <w:tcPr>
                                  <w:tcW w:w="426" w:type="dxa"/>
                                  <w:vAlign w:val="center"/>
                                </w:tcPr>
                                <w:p w14:paraId="78A81048"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7</w:t>
                                  </w:r>
                                </w:p>
                              </w:tc>
                              <w:tc>
                                <w:tcPr>
                                  <w:tcW w:w="829" w:type="dxa"/>
                                  <w:vMerge/>
                                  <w:vAlign w:val="center"/>
                                </w:tcPr>
                                <w:p w14:paraId="62858FDE"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38ED1F46"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rPr>
                                    <w:t>CQ851標/</w:t>
                                  </w:r>
                                  <w:r>
                                    <w:rPr>
                                      <w:rFonts w:ascii="標楷體" w:eastAsia="標楷體" w:hAnsi="標楷體" w:hint="eastAsia"/>
                                    </w:rPr>
                                    <w:t>捷運</w:t>
                                  </w:r>
                                  <w:r w:rsidRPr="00E65578">
                                    <w:rPr>
                                      <w:rFonts w:ascii="標楷體" w:eastAsia="標楷體" w:hAnsi="標楷體"/>
                                    </w:rPr>
                                    <w:t>萬大線第一期工程</w:t>
                                  </w:r>
                                </w:p>
                              </w:tc>
                              <w:tc>
                                <w:tcPr>
                                  <w:tcW w:w="1559" w:type="dxa"/>
                                  <w:vAlign w:val="center"/>
                                </w:tcPr>
                                <w:p w14:paraId="7BD5A248"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399</w:t>
                                  </w:r>
                                </w:p>
                              </w:tc>
                            </w:tr>
                            <w:tr w:rsidR="0050059F" w14:paraId="6B2D50E1" w14:textId="77777777" w:rsidTr="00824CD6">
                              <w:trPr>
                                <w:trHeight w:hRule="exact" w:val="284"/>
                              </w:trPr>
                              <w:tc>
                                <w:tcPr>
                                  <w:tcW w:w="426" w:type="dxa"/>
                                  <w:vAlign w:val="center"/>
                                </w:tcPr>
                                <w:p w14:paraId="4D58E06D"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8</w:t>
                                  </w:r>
                                </w:p>
                              </w:tc>
                              <w:tc>
                                <w:tcPr>
                                  <w:tcW w:w="829" w:type="dxa"/>
                                  <w:vMerge/>
                                  <w:vAlign w:val="center"/>
                                </w:tcPr>
                                <w:p w14:paraId="65A68C83"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41697267"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rPr>
                                    <w:t>CQ850區段標/</w:t>
                                  </w:r>
                                  <w:r>
                                    <w:rPr>
                                      <w:rFonts w:ascii="標楷體" w:eastAsia="標楷體" w:hAnsi="標楷體" w:hint="eastAsia"/>
                                    </w:rPr>
                                    <w:t>捷運</w:t>
                                  </w:r>
                                  <w:r w:rsidRPr="00E65578">
                                    <w:rPr>
                                      <w:rFonts w:ascii="標楷體" w:eastAsia="標楷體" w:hAnsi="標楷體"/>
                                    </w:rPr>
                                    <w:t>萬大線第一期工程</w:t>
                                  </w:r>
                                </w:p>
                              </w:tc>
                              <w:tc>
                                <w:tcPr>
                                  <w:tcW w:w="1559" w:type="dxa"/>
                                  <w:vAlign w:val="center"/>
                                </w:tcPr>
                                <w:p w14:paraId="0556BA14"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227</w:t>
                                  </w:r>
                                </w:p>
                              </w:tc>
                            </w:tr>
                            <w:tr w:rsidR="0050059F" w14:paraId="1C9A77D3" w14:textId="77777777" w:rsidTr="00824CD6">
                              <w:trPr>
                                <w:trHeight w:hRule="exact" w:val="284"/>
                              </w:trPr>
                              <w:tc>
                                <w:tcPr>
                                  <w:tcW w:w="426" w:type="dxa"/>
                                  <w:vAlign w:val="center"/>
                                </w:tcPr>
                                <w:p w14:paraId="4484A9BF"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9</w:t>
                                  </w:r>
                                </w:p>
                              </w:tc>
                              <w:tc>
                                <w:tcPr>
                                  <w:tcW w:w="829" w:type="dxa"/>
                                  <w:vMerge/>
                                  <w:vAlign w:val="center"/>
                                </w:tcPr>
                                <w:p w14:paraId="3070CE58"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72A8C428"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rPr>
                                    <w:t>CQ851B標/</w:t>
                                  </w:r>
                                  <w:r>
                                    <w:rPr>
                                      <w:rFonts w:ascii="標楷體" w:eastAsia="標楷體" w:hAnsi="標楷體" w:hint="eastAsia"/>
                                    </w:rPr>
                                    <w:t>捷運</w:t>
                                  </w:r>
                                  <w:r w:rsidRPr="00E65578">
                                    <w:rPr>
                                      <w:rFonts w:ascii="標楷體" w:eastAsia="標楷體" w:hAnsi="標楷體"/>
                                    </w:rPr>
                                    <w:t>萬大線第一期工程</w:t>
                                  </w:r>
                                </w:p>
                              </w:tc>
                              <w:tc>
                                <w:tcPr>
                                  <w:tcW w:w="1559" w:type="dxa"/>
                                  <w:vAlign w:val="center"/>
                                </w:tcPr>
                                <w:p w14:paraId="4F7A2997"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178</w:t>
                                  </w:r>
                                </w:p>
                              </w:tc>
                            </w:tr>
                          </w:tbl>
                          <w:p w14:paraId="6CF397B1" w14:textId="77777777" w:rsidR="0050059F" w:rsidRDefault="0050059F" w:rsidP="0050059F">
                            <w:pPr>
                              <w:spacing w:beforeLines="10" w:before="36" w:line="240" w:lineRule="exact"/>
                            </w:pPr>
                            <w:r w:rsidRPr="00CF1ADF">
                              <w:rPr>
                                <w:rFonts w:ascii="標楷體" w:eastAsia="標楷體" w:hAnsi="標楷體" w:hint="eastAsia"/>
                                <w:sz w:val="18"/>
                                <w:szCs w:val="18"/>
                              </w:rPr>
                              <w:t>資料來源：整理自捷運工程局提供資料。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BA93CC" id="文字方塊 107" o:spid="_x0000_s1166" type="#_x0000_t202" style="position:absolute;left:0;text-align:left;margin-left:161.2pt;margin-top:3.4pt;width:339pt;height:244.25pt;z-index:-25153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" fillcolor="white [3201]" stroked="f" strokeweight=".5pt">
                <v:textbox>
                  <w:txbxContent>
                    <w:p w14:paraId="6C5239FF" w14:textId="77777777" w:rsidR="0050059F" w:rsidRDefault="0050059F" w:rsidP="0050059F">
                      <w:pPr>
                        <w:pStyle w:val="a4"/>
                        <w:overflowPunct w:val="0"/>
                        <w:snapToGrid w:val="0"/>
                        <w:spacing w:afterLines="20" w:after="72" w:line="260" w:lineRule="exact"/>
                        <w:ind w:leftChars="0" w:left="0"/>
                        <w:jc w:val="center"/>
                        <w:rPr>
                          <w:rFonts w:ascii="標楷體" w:eastAsia="標楷體" w:hAnsi="標楷體"/>
                          <w:b/>
                        </w:rPr>
                      </w:pPr>
                      <w:r w:rsidRPr="00891329">
                        <w:rPr>
                          <w:rFonts w:ascii="標楷體" w:eastAsia="標楷體" w:hAnsi="標楷體" w:hint="eastAsia"/>
                          <w:b/>
                        </w:rPr>
                        <w:t>表</w:t>
                      </w:r>
                      <w:r>
                        <w:rPr>
                          <w:rFonts w:ascii="標楷體" w:eastAsia="標楷體" w:hAnsi="標楷體" w:hint="eastAsia"/>
                          <w:b/>
                        </w:rPr>
                        <w:t>8　捷運工程</w:t>
                      </w:r>
                      <w:proofErr w:type="gramStart"/>
                      <w:r>
                        <w:rPr>
                          <w:rFonts w:ascii="標楷體" w:eastAsia="標楷體" w:hAnsi="標楷體" w:hint="eastAsia"/>
                          <w:b/>
                        </w:rPr>
                        <w:t>局溢付承商臺</w:t>
                      </w:r>
                      <w:proofErr w:type="gramEnd"/>
                      <w:r>
                        <w:rPr>
                          <w:rFonts w:ascii="標楷體" w:eastAsia="標楷體" w:hAnsi="標楷體" w:hint="eastAsia"/>
                          <w:b/>
                        </w:rPr>
                        <w:t>北港土方管理費所生利什費明細</w:t>
                      </w:r>
                    </w:p>
                    <w:p w14:paraId="2987DBCE" w14:textId="77777777" w:rsidR="0050059F" w:rsidRPr="00AB2776" w:rsidRDefault="0050059F" w:rsidP="0050059F">
                      <w:pPr>
                        <w:spacing w:afterLines="10" w:after="36" w:line="240" w:lineRule="exact"/>
                        <w:jc w:val="right"/>
                        <w:rPr>
                          <w:rFonts w:ascii="標楷體" w:eastAsia="標楷體" w:hAnsi="標楷體" w:cs="標楷體"/>
                          <w:color w:val="000000"/>
                          <w:sz w:val="20"/>
                        </w:rPr>
                      </w:pPr>
                      <w:r w:rsidRPr="00653B29">
                        <w:rPr>
                          <w:rFonts w:ascii="標楷體" w:eastAsia="標楷體" w:hAnsi="標楷體" w:cs="標楷體" w:hint="eastAsia"/>
                          <w:color w:val="000000"/>
                          <w:sz w:val="20"/>
                        </w:rPr>
                        <w:t>單位：新臺幣千元</w:t>
                      </w:r>
                    </w:p>
                    <w:tbl>
                      <w:tblPr>
                        <w:tblStyle w:val="a6"/>
                        <w:tblW w:w="6521" w:type="dxa"/>
                        <w:tblInd w:w="-5" w:type="dxa"/>
                        <w:tblLook w:val="04A0" w:firstRow="1" w:lastRow="0" w:firstColumn="1" w:lastColumn="0" w:noHBand="0" w:noVBand="1"/>
                      </w:tblPr>
                      <w:tblGrid>
                        <w:gridCol w:w="426"/>
                        <w:gridCol w:w="829"/>
                        <w:gridCol w:w="3707"/>
                        <w:gridCol w:w="1559"/>
                      </w:tblGrid>
                      <w:tr w:rsidR="0050059F" w14:paraId="26E4E570" w14:textId="77777777" w:rsidTr="00824CD6">
                        <w:tc>
                          <w:tcPr>
                            <w:tcW w:w="426" w:type="dxa"/>
                            <w:vAlign w:val="center"/>
                          </w:tcPr>
                          <w:p w14:paraId="5C084487"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rPr>
                              <w:t>項次</w:t>
                            </w:r>
                          </w:p>
                        </w:tc>
                        <w:tc>
                          <w:tcPr>
                            <w:tcW w:w="829" w:type="dxa"/>
                            <w:vAlign w:val="center"/>
                          </w:tcPr>
                          <w:p w14:paraId="4439CEF4" w14:textId="77777777" w:rsidR="0050059F"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主辦</w:t>
                            </w:r>
                          </w:p>
                          <w:p w14:paraId="78C52D4B"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機關</w:t>
                            </w:r>
                          </w:p>
                        </w:tc>
                        <w:tc>
                          <w:tcPr>
                            <w:tcW w:w="3707" w:type="dxa"/>
                            <w:vAlign w:val="center"/>
                          </w:tcPr>
                          <w:p w14:paraId="3F67A177"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工程標號/名稱</w:t>
                            </w:r>
                          </w:p>
                        </w:tc>
                        <w:tc>
                          <w:tcPr>
                            <w:tcW w:w="1559" w:type="dxa"/>
                            <w:vAlign w:val="center"/>
                          </w:tcPr>
                          <w:p w14:paraId="05AA1898" w14:textId="77777777" w:rsidR="0050059F" w:rsidRDefault="0050059F" w:rsidP="00824CD6">
                            <w:pPr>
                              <w:widowControl/>
                              <w:kinsoku w:val="0"/>
                              <w:overflowPunct w:val="0"/>
                              <w:spacing w:line="240" w:lineRule="exact"/>
                              <w:jc w:val="center"/>
                              <w:rPr>
                                <w:rFonts w:ascii="標楷體" w:eastAsia="標楷體" w:hAnsi="標楷體"/>
                              </w:rPr>
                            </w:pPr>
                            <w:r>
                              <w:rPr>
                                <w:rFonts w:ascii="標楷體" w:eastAsia="標楷體" w:hAnsi="標楷體" w:hint="eastAsia"/>
                              </w:rPr>
                              <w:t>應</w:t>
                            </w:r>
                            <w:proofErr w:type="gramStart"/>
                            <w:r>
                              <w:rPr>
                                <w:rFonts w:ascii="標楷體" w:eastAsia="標楷體" w:hAnsi="標楷體" w:hint="eastAsia"/>
                              </w:rPr>
                              <w:t>扣回之溢</w:t>
                            </w:r>
                            <w:proofErr w:type="gramEnd"/>
                            <w:r>
                              <w:rPr>
                                <w:rFonts w:ascii="標楷體" w:eastAsia="標楷體" w:hAnsi="標楷體" w:hint="eastAsia"/>
                              </w:rPr>
                              <w:t>付</w:t>
                            </w:r>
                          </w:p>
                          <w:p w14:paraId="697E21D5"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rPr>
                              <w:t>金額</w:t>
                            </w:r>
                          </w:p>
                        </w:tc>
                      </w:tr>
                      <w:tr w:rsidR="0050059F" w14:paraId="12A405FF" w14:textId="77777777" w:rsidTr="00824CD6">
                        <w:trPr>
                          <w:trHeight w:hRule="exact" w:val="312"/>
                        </w:trPr>
                        <w:tc>
                          <w:tcPr>
                            <w:tcW w:w="4962" w:type="dxa"/>
                            <w:gridSpan w:val="3"/>
                            <w:vAlign w:val="center"/>
                          </w:tcPr>
                          <w:p w14:paraId="3642B33C" w14:textId="77777777" w:rsidR="0050059F" w:rsidRPr="001C2B9F" w:rsidRDefault="0050059F" w:rsidP="00824CD6">
                            <w:pPr>
                              <w:widowControl/>
                              <w:kinsoku w:val="0"/>
                              <w:overflowPunct w:val="0"/>
                              <w:spacing w:line="240" w:lineRule="exact"/>
                              <w:jc w:val="center"/>
                              <w:rPr>
                                <w:rFonts w:ascii="標楷體" w:eastAsia="標楷體" w:hAnsi="標楷體"/>
                                <w:b/>
                                <w:bCs/>
                              </w:rPr>
                            </w:pPr>
                            <w:r w:rsidRPr="001C2B9F">
                              <w:rPr>
                                <w:rFonts w:ascii="標楷體" w:eastAsia="標楷體" w:hAnsi="標楷體" w:hint="eastAsia"/>
                                <w:b/>
                                <w:bCs/>
                                <w:spacing w:val="400"/>
                                <w:fitText w:val="1200" w:id="-707059712"/>
                              </w:rPr>
                              <w:t>合</w:t>
                            </w:r>
                            <w:r w:rsidRPr="001C2B9F">
                              <w:rPr>
                                <w:rFonts w:ascii="標楷體" w:eastAsia="標楷體" w:hAnsi="標楷體" w:hint="eastAsia"/>
                                <w:b/>
                                <w:bCs/>
                                <w:fitText w:val="1200" w:id="-707059712"/>
                              </w:rPr>
                              <w:t>計</w:t>
                            </w:r>
                          </w:p>
                        </w:tc>
                        <w:tc>
                          <w:tcPr>
                            <w:tcW w:w="1559" w:type="dxa"/>
                            <w:vAlign w:val="center"/>
                          </w:tcPr>
                          <w:p w14:paraId="37E2CB74" w14:textId="77777777" w:rsidR="0050059F" w:rsidRPr="001C2B9F" w:rsidRDefault="0050059F" w:rsidP="00824CD6">
                            <w:pPr>
                              <w:widowControl/>
                              <w:kinsoku w:val="0"/>
                              <w:overflowPunct w:val="0"/>
                              <w:spacing w:line="240" w:lineRule="exact"/>
                              <w:jc w:val="right"/>
                              <w:rPr>
                                <w:rFonts w:ascii="標楷體" w:eastAsia="標楷體" w:hAnsi="標楷體"/>
                                <w:b/>
                                <w:bCs/>
                              </w:rPr>
                            </w:pPr>
                            <w:r w:rsidRPr="001C2B9F">
                              <w:rPr>
                                <w:rFonts w:ascii="標楷體" w:eastAsia="標楷體" w:hAnsi="標楷體" w:hint="eastAsia"/>
                                <w:b/>
                                <w:bCs/>
                              </w:rPr>
                              <w:t>1</w:t>
                            </w:r>
                            <w:r w:rsidRPr="001C2B9F">
                              <w:rPr>
                                <w:rFonts w:ascii="標楷體" w:eastAsia="標楷體" w:hAnsi="標楷體"/>
                                <w:b/>
                                <w:bCs/>
                              </w:rPr>
                              <w:t>9</w:t>
                            </w:r>
                            <w:r w:rsidRPr="001C2B9F">
                              <w:rPr>
                                <w:rFonts w:ascii="標楷體" w:eastAsia="標楷體" w:hAnsi="標楷體" w:hint="eastAsia"/>
                                <w:b/>
                                <w:bCs/>
                              </w:rPr>
                              <w:t>,</w:t>
                            </w:r>
                            <w:r w:rsidRPr="001C2B9F">
                              <w:rPr>
                                <w:rFonts w:ascii="標楷體" w:eastAsia="標楷體" w:hAnsi="標楷體"/>
                                <w:b/>
                                <w:bCs/>
                              </w:rPr>
                              <w:t>304</w:t>
                            </w:r>
                          </w:p>
                        </w:tc>
                      </w:tr>
                      <w:tr w:rsidR="0050059F" w14:paraId="6FCE0E9F" w14:textId="77777777" w:rsidTr="00824CD6">
                        <w:trPr>
                          <w:trHeight w:hRule="exact" w:val="284"/>
                        </w:trPr>
                        <w:tc>
                          <w:tcPr>
                            <w:tcW w:w="426" w:type="dxa"/>
                            <w:vAlign w:val="center"/>
                          </w:tcPr>
                          <w:p w14:paraId="3986CDD8"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1</w:t>
                            </w:r>
                          </w:p>
                        </w:tc>
                        <w:tc>
                          <w:tcPr>
                            <w:tcW w:w="829" w:type="dxa"/>
                            <w:vMerge w:val="restart"/>
                            <w:vAlign w:val="center"/>
                          </w:tcPr>
                          <w:p w14:paraId="0393B8E1"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第一區工程處</w:t>
                            </w:r>
                          </w:p>
                        </w:tc>
                        <w:tc>
                          <w:tcPr>
                            <w:tcW w:w="3707" w:type="dxa"/>
                            <w:vAlign w:val="center"/>
                          </w:tcPr>
                          <w:p w14:paraId="5528484F"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hint="eastAsia"/>
                              </w:rPr>
                              <w:t>CQ870區段標/</w:t>
                            </w:r>
                            <w:r>
                              <w:rPr>
                                <w:rFonts w:ascii="標楷體" w:eastAsia="標楷體" w:hAnsi="標楷體" w:hint="eastAsia"/>
                              </w:rPr>
                              <w:t>捷運</w:t>
                            </w:r>
                            <w:r w:rsidRPr="00E65578">
                              <w:rPr>
                                <w:rFonts w:ascii="標楷體" w:eastAsia="標楷體" w:hAnsi="標楷體" w:hint="eastAsia"/>
                              </w:rPr>
                              <w:t>萬大</w:t>
                            </w:r>
                            <w:r>
                              <w:rPr>
                                <w:rFonts w:ascii="標楷體" w:eastAsia="標楷體" w:hAnsi="標楷體" w:hint="eastAsia"/>
                              </w:rPr>
                              <w:t>線</w:t>
                            </w:r>
                            <w:r w:rsidRPr="00E65578">
                              <w:rPr>
                                <w:rFonts w:ascii="標楷體" w:eastAsia="標楷體" w:hAnsi="標楷體" w:hint="eastAsia"/>
                              </w:rPr>
                              <w:t>第一期工程</w:t>
                            </w:r>
                          </w:p>
                        </w:tc>
                        <w:tc>
                          <w:tcPr>
                            <w:tcW w:w="1559" w:type="dxa"/>
                            <w:vAlign w:val="center"/>
                          </w:tcPr>
                          <w:p w14:paraId="056ADDDD"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7,785</w:t>
                            </w:r>
                          </w:p>
                        </w:tc>
                      </w:tr>
                      <w:tr w:rsidR="0050059F" w14:paraId="1DA598B1" w14:textId="77777777" w:rsidTr="00824CD6">
                        <w:trPr>
                          <w:trHeight w:hRule="exact" w:val="284"/>
                        </w:trPr>
                        <w:tc>
                          <w:tcPr>
                            <w:tcW w:w="426" w:type="dxa"/>
                            <w:vAlign w:val="center"/>
                          </w:tcPr>
                          <w:p w14:paraId="4F13D176"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2</w:t>
                            </w:r>
                          </w:p>
                        </w:tc>
                        <w:tc>
                          <w:tcPr>
                            <w:tcW w:w="829" w:type="dxa"/>
                            <w:vMerge/>
                            <w:vAlign w:val="center"/>
                          </w:tcPr>
                          <w:p w14:paraId="465784B1"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268A5890"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hint="eastAsia"/>
                              </w:rPr>
                              <w:t>CQ860區段標/</w:t>
                            </w:r>
                            <w:r>
                              <w:rPr>
                                <w:rFonts w:ascii="標楷體" w:eastAsia="標楷體" w:hAnsi="標楷體" w:hint="eastAsia"/>
                              </w:rPr>
                              <w:t>捷運</w:t>
                            </w:r>
                            <w:r w:rsidRPr="00E65578">
                              <w:rPr>
                                <w:rFonts w:ascii="標楷體" w:eastAsia="標楷體" w:hAnsi="標楷體" w:hint="eastAsia"/>
                              </w:rPr>
                              <w:t>萬大線第一期工程</w:t>
                            </w:r>
                          </w:p>
                        </w:tc>
                        <w:tc>
                          <w:tcPr>
                            <w:tcW w:w="1559" w:type="dxa"/>
                            <w:vAlign w:val="center"/>
                          </w:tcPr>
                          <w:p w14:paraId="2474531F"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4,837</w:t>
                            </w:r>
                          </w:p>
                        </w:tc>
                      </w:tr>
                      <w:tr w:rsidR="0050059F" w14:paraId="3269DE9B" w14:textId="77777777" w:rsidTr="00824CD6">
                        <w:trPr>
                          <w:trHeight w:hRule="exact" w:val="567"/>
                        </w:trPr>
                        <w:tc>
                          <w:tcPr>
                            <w:tcW w:w="426" w:type="dxa"/>
                            <w:vAlign w:val="center"/>
                          </w:tcPr>
                          <w:p w14:paraId="74DF7C43"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3</w:t>
                            </w:r>
                          </w:p>
                        </w:tc>
                        <w:tc>
                          <w:tcPr>
                            <w:tcW w:w="829" w:type="dxa"/>
                            <w:vMerge/>
                            <w:vAlign w:val="center"/>
                          </w:tcPr>
                          <w:p w14:paraId="3CAF1EDC"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253FB5F7"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hint="eastAsia"/>
                              </w:rPr>
                              <w:t>IZ0001/臺北市立美術館典藏庫房新建暨南進門改善統包工程</w:t>
                            </w:r>
                          </w:p>
                        </w:tc>
                        <w:tc>
                          <w:tcPr>
                            <w:tcW w:w="1559" w:type="dxa"/>
                            <w:vAlign w:val="center"/>
                          </w:tcPr>
                          <w:p w14:paraId="1834889E"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263</w:t>
                            </w:r>
                          </w:p>
                        </w:tc>
                      </w:tr>
                      <w:tr w:rsidR="0050059F" w14:paraId="24E73740" w14:textId="77777777" w:rsidTr="00824CD6">
                        <w:trPr>
                          <w:trHeight w:val="483"/>
                        </w:trPr>
                        <w:tc>
                          <w:tcPr>
                            <w:tcW w:w="426" w:type="dxa"/>
                            <w:vAlign w:val="center"/>
                          </w:tcPr>
                          <w:p w14:paraId="228DA58B"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4</w:t>
                            </w:r>
                          </w:p>
                        </w:tc>
                        <w:tc>
                          <w:tcPr>
                            <w:tcW w:w="829" w:type="dxa"/>
                            <w:vMerge/>
                            <w:vAlign w:val="center"/>
                          </w:tcPr>
                          <w:p w14:paraId="2F14990B"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444002C7"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hint="eastAsia"/>
                              </w:rPr>
                              <w:t>CQ861標/</w:t>
                            </w:r>
                            <w:r>
                              <w:rPr>
                                <w:rFonts w:ascii="標楷體" w:eastAsia="標楷體" w:hAnsi="標楷體" w:hint="eastAsia"/>
                              </w:rPr>
                              <w:t>捷運</w:t>
                            </w:r>
                            <w:r w:rsidRPr="00E65578">
                              <w:rPr>
                                <w:rFonts w:ascii="標楷體" w:eastAsia="標楷體" w:hAnsi="標楷體" w:hint="eastAsia"/>
                              </w:rPr>
                              <w:t>萬大線第一期工程LG06車站土建工程</w:t>
                            </w:r>
                          </w:p>
                        </w:tc>
                        <w:tc>
                          <w:tcPr>
                            <w:tcW w:w="1559" w:type="dxa"/>
                            <w:vAlign w:val="center"/>
                          </w:tcPr>
                          <w:p w14:paraId="66B76694"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205</w:t>
                            </w:r>
                          </w:p>
                        </w:tc>
                      </w:tr>
                      <w:tr w:rsidR="0050059F" w14:paraId="40E10270" w14:textId="77777777" w:rsidTr="00824CD6">
                        <w:trPr>
                          <w:trHeight w:hRule="exact" w:val="284"/>
                        </w:trPr>
                        <w:tc>
                          <w:tcPr>
                            <w:tcW w:w="426" w:type="dxa"/>
                            <w:vAlign w:val="center"/>
                          </w:tcPr>
                          <w:p w14:paraId="553F52EA"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5</w:t>
                            </w:r>
                          </w:p>
                        </w:tc>
                        <w:tc>
                          <w:tcPr>
                            <w:tcW w:w="829" w:type="dxa"/>
                            <w:vMerge w:val="restart"/>
                            <w:vAlign w:val="center"/>
                          </w:tcPr>
                          <w:p w14:paraId="795CAB7A"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第二區工程處</w:t>
                            </w:r>
                          </w:p>
                        </w:tc>
                        <w:tc>
                          <w:tcPr>
                            <w:tcW w:w="3707" w:type="dxa"/>
                            <w:vAlign w:val="center"/>
                          </w:tcPr>
                          <w:p w14:paraId="732B6AAB"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rPr>
                              <w:t>CQ840區段標/</w:t>
                            </w:r>
                            <w:r>
                              <w:rPr>
                                <w:rFonts w:ascii="標楷體" w:eastAsia="標楷體" w:hAnsi="標楷體" w:hint="eastAsia"/>
                              </w:rPr>
                              <w:t>捷運</w:t>
                            </w:r>
                            <w:r w:rsidRPr="00E65578">
                              <w:rPr>
                                <w:rFonts w:ascii="標楷體" w:eastAsia="標楷體" w:hAnsi="標楷體"/>
                              </w:rPr>
                              <w:t>萬大線第一期工程</w:t>
                            </w:r>
                          </w:p>
                        </w:tc>
                        <w:tc>
                          <w:tcPr>
                            <w:tcW w:w="1559" w:type="dxa"/>
                            <w:vAlign w:val="center"/>
                          </w:tcPr>
                          <w:p w14:paraId="63A80BFE"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2,934</w:t>
                            </w:r>
                          </w:p>
                        </w:tc>
                      </w:tr>
                      <w:tr w:rsidR="0050059F" w14:paraId="7E7F673A" w14:textId="77777777" w:rsidTr="00824CD6">
                        <w:trPr>
                          <w:trHeight w:hRule="exact" w:val="284"/>
                        </w:trPr>
                        <w:tc>
                          <w:tcPr>
                            <w:tcW w:w="426" w:type="dxa"/>
                            <w:vAlign w:val="center"/>
                          </w:tcPr>
                          <w:p w14:paraId="1327637F"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6</w:t>
                            </w:r>
                          </w:p>
                        </w:tc>
                        <w:tc>
                          <w:tcPr>
                            <w:tcW w:w="829" w:type="dxa"/>
                            <w:vMerge/>
                            <w:vAlign w:val="center"/>
                          </w:tcPr>
                          <w:p w14:paraId="6920CCAF"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2A5955B4"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rPr>
                              <w:t>CR285標/</w:t>
                            </w:r>
                            <w:r>
                              <w:rPr>
                                <w:rFonts w:ascii="標楷體" w:eastAsia="標楷體" w:hAnsi="標楷體" w:hint="eastAsia"/>
                              </w:rPr>
                              <w:t>捷運</w:t>
                            </w:r>
                            <w:r w:rsidRPr="007261DA">
                              <w:rPr>
                                <w:rFonts w:ascii="標楷體" w:eastAsia="標楷體" w:hAnsi="標楷體" w:hint="eastAsia"/>
                              </w:rPr>
                              <w:t>信義線</w:t>
                            </w:r>
                            <w:proofErr w:type="gramStart"/>
                            <w:r w:rsidRPr="007261DA">
                              <w:rPr>
                                <w:rFonts w:ascii="標楷體" w:eastAsia="標楷體" w:hAnsi="標楷體" w:hint="eastAsia"/>
                              </w:rPr>
                              <w:t>東延段</w:t>
                            </w:r>
                            <w:proofErr w:type="gramEnd"/>
                          </w:p>
                        </w:tc>
                        <w:tc>
                          <w:tcPr>
                            <w:tcW w:w="1559" w:type="dxa"/>
                            <w:vAlign w:val="center"/>
                          </w:tcPr>
                          <w:p w14:paraId="4039A518"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2,471</w:t>
                            </w:r>
                          </w:p>
                        </w:tc>
                      </w:tr>
                      <w:tr w:rsidR="0050059F" w14:paraId="4DBFACE6" w14:textId="77777777" w:rsidTr="00824CD6">
                        <w:trPr>
                          <w:trHeight w:hRule="exact" w:val="284"/>
                        </w:trPr>
                        <w:tc>
                          <w:tcPr>
                            <w:tcW w:w="426" w:type="dxa"/>
                            <w:vAlign w:val="center"/>
                          </w:tcPr>
                          <w:p w14:paraId="78A81048"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7</w:t>
                            </w:r>
                          </w:p>
                        </w:tc>
                        <w:tc>
                          <w:tcPr>
                            <w:tcW w:w="829" w:type="dxa"/>
                            <w:vMerge/>
                            <w:vAlign w:val="center"/>
                          </w:tcPr>
                          <w:p w14:paraId="62858FDE"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38ED1F46"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rPr>
                              <w:t>CQ851標/</w:t>
                            </w:r>
                            <w:r>
                              <w:rPr>
                                <w:rFonts w:ascii="標楷體" w:eastAsia="標楷體" w:hAnsi="標楷體" w:hint="eastAsia"/>
                              </w:rPr>
                              <w:t>捷運</w:t>
                            </w:r>
                            <w:r w:rsidRPr="00E65578">
                              <w:rPr>
                                <w:rFonts w:ascii="標楷體" w:eastAsia="標楷體" w:hAnsi="標楷體"/>
                              </w:rPr>
                              <w:t>萬大線第一期工程</w:t>
                            </w:r>
                          </w:p>
                        </w:tc>
                        <w:tc>
                          <w:tcPr>
                            <w:tcW w:w="1559" w:type="dxa"/>
                            <w:vAlign w:val="center"/>
                          </w:tcPr>
                          <w:p w14:paraId="7BD5A248"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399</w:t>
                            </w:r>
                          </w:p>
                        </w:tc>
                      </w:tr>
                      <w:tr w:rsidR="0050059F" w14:paraId="6B2D50E1" w14:textId="77777777" w:rsidTr="00824CD6">
                        <w:trPr>
                          <w:trHeight w:hRule="exact" w:val="284"/>
                        </w:trPr>
                        <w:tc>
                          <w:tcPr>
                            <w:tcW w:w="426" w:type="dxa"/>
                            <w:vAlign w:val="center"/>
                          </w:tcPr>
                          <w:p w14:paraId="4D58E06D"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8</w:t>
                            </w:r>
                          </w:p>
                        </w:tc>
                        <w:tc>
                          <w:tcPr>
                            <w:tcW w:w="829" w:type="dxa"/>
                            <w:vMerge/>
                            <w:vAlign w:val="center"/>
                          </w:tcPr>
                          <w:p w14:paraId="65A68C83"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41697267"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rPr>
                              <w:t>CQ850區段標/</w:t>
                            </w:r>
                            <w:r>
                              <w:rPr>
                                <w:rFonts w:ascii="標楷體" w:eastAsia="標楷體" w:hAnsi="標楷體" w:hint="eastAsia"/>
                              </w:rPr>
                              <w:t>捷運</w:t>
                            </w:r>
                            <w:r w:rsidRPr="00E65578">
                              <w:rPr>
                                <w:rFonts w:ascii="標楷體" w:eastAsia="標楷體" w:hAnsi="標楷體"/>
                              </w:rPr>
                              <w:t>萬大線第一期工程</w:t>
                            </w:r>
                          </w:p>
                        </w:tc>
                        <w:tc>
                          <w:tcPr>
                            <w:tcW w:w="1559" w:type="dxa"/>
                            <w:vAlign w:val="center"/>
                          </w:tcPr>
                          <w:p w14:paraId="0556BA14"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227</w:t>
                            </w:r>
                          </w:p>
                        </w:tc>
                      </w:tr>
                      <w:tr w:rsidR="0050059F" w14:paraId="1C9A77D3" w14:textId="77777777" w:rsidTr="00824CD6">
                        <w:trPr>
                          <w:trHeight w:hRule="exact" w:val="284"/>
                        </w:trPr>
                        <w:tc>
                          <w:tcPr>
                            <w:tcW w:w="426" w:type="dxa"/>
                            <w:vAlign w:val="center"/>
                          </w:tcPr>
                          <w:p w14:paraId="4484A9BF" w14:textId="77777777" w:rsidR="0050059F" w:rsidRPr="00E65578" w:rsidRDefault="0050059F" w:rsidP="00824CD6">
                            <w:pPr>
                              <w:widowControl/>
                              <w:kinsoku w:val="0"/>
                              <w:overflowPunct w:val="0"/>
                              <w:spacing w:line="240" w:lineRule="exact"/>
                              <w:jc w:val="center"/>
                              <w:rPr>
                                <w:rFonts w:ascii="標楷體" w:eastAsia="標楷體" w:hAnsi="標楷體"/>
                              </w:rPr>
                            </w:pPr>
                            <w:r w:rsidRPr="00E65578">
                              <w:rPr>
                                <w:rFonts w:ascii="標楷體" w:eastAsia="標楷體" w:hAnsi="標楷體" w:hint="eastAsia"/>
                              </w:rPr>
                              <w:t>9</w:t>
                            </w:r>
                          </w:p>
                        </w:tc>
                        <w:tc>
                          <w:tcPr>
                            <w:tcW w:w="829" w:type="dxa"/>
                            <w:vMerge/>
                            <w:vAlign w:val="center"/>
                          </w:tcPr>
                          <w:p w14:paraId="3070CE58" w14:textId="77777777" w:rsidR="0050059F" w:rsidRPr="00E65578" w:rsidRDefault="0050059F" w:rsidP="00824CD6">
                            <w:pPr>
                              <w:widowControl/>
                              <w:kinsoku w:val="0"/>
                              <w:overflowPunct w:val="0"/>
                              <w:spacing w:line="240" w:lineRule="exact"/>
                              <w:jc w:val="center"/>
                              <w:rPr>
                                <w:rFonts w:ascii="標楷體" w:eastAsia="標楷體" w:hAnsi="標楷體"/>
                              </w:rPr>
                            </w:pPr>
                          </w:p>
                        </w:tc>
                        <w:tc>
                          <w:tcPr>
                            <w:tcW w:w="3707" w:type="dxa"/>
                            <w:vAlign w:val="center"/>
                          </w:tcPr>
                          <w:p w14:paraId="72A8C428" w14:textId="77777777" w:rsidR="0050059F" w:rsidRPr="00E65578" w:rsidRDefault="0050059F" w:rsidP="00824CD6">
                            <w:pPr>
                              <w:widowControl/>
                              <w:kinsoku w:val="0"/>
                              <w:overflowPunct w:val="0"/>
                              <w:spacing w:line="240" w:lineRule="exact"/>
                              <w:jc w:val="both"/>
                              <w:rPr>
                                <w:rFonts w:ascii="標楷體" w:eastAsia="標楷體" w:hAnsi="標楷體"/>
                              </w:rPr>
                            </w:pPr>
                            <w:r w:rsidRPr="00E65578">
                              <w:rPr>
                                <w:rFonts w:ascii="標楷體" w:eastAsia="標楷體" w:hAnsi="標楷體"/>
                              </w:rPr>
                              <w:t>CQ851B標/</w:t>
                            </w:r>
                            <w:r>
                              <w:rPr>
                                <w:rFonts w:ascii="標楷體" w:eastAsia="標楷體" w:hAnsi="標楷體" w:hint="eastAsia"/>
                              </w:rPr>
                              <w:t>捷運</w:t>
                            </w:r>
                            <w:r w:rsidRPr="00E65578">
                              <w:rPr>
                                <w:rFonts w:ascii="標楷體" w:eastAsia="標楷體" w:hAnsi="標楷體"/>
                              </w:rPr>
                              <w:t>萬大線第一期工程</w:t>
                            </w:r>
                          </w:p>
                        </w:tc>
                        <w:tc>
                          <w:tcPr>
                            <w:tcW w:w="1559" w:type="dxa"/>
                            <w:vAlign w:val="center"/>
                          </w:tcPr>
                          <w:p w14:paraId="4F7A2997" w14:textId="77777777" w:rsidR="0050059F" w:rsidRPr="00E65578" w:rsidRDefault="0050059F" w:rsidP="00824CD6">
                            <w:pPr>
                              <w:widowControl/>
                              <w:kinsoku w:val="0"/>
                              <w:overflowPunct w:val="0"/>
                              <w:spacing w:line="240" w:lineRule="exact"/>
                              <w:jc w:val="right"/>
                              <w:rPr>
                                <w:rFonts w:ascii="標楷體" w:eastAsia="標楷體" w:hAnsi="標楷體"/>
                              </w:rPr>
                            </w:pPr>
                            <w:r w:rsidRPr="00E65578">
                              <w:rPr>
                                <w:rFonts w:ascii="標楷體" w:eastAsia="標楷體" w:hAnsi="標楷體"/>
                              </w:rPr>
                              <w:t>178</w:t>
                            </w:r>
                          </w:p>
                        </w:tc>
                      </w:tr>
                    </w:tbl>
                    <w:p w14:paraId="6CF397B1" w14:textId="77777777" w:rsidR="0050059F" w:rsidRDefault="0050059F" w:rsidP="0050059F">
                      <w:pPr>
                        <w:spacing w:beforeLines="10" w:before="36" w:line="240" w:lineRule="exact"/>
                      </w:pPr>
                      <w:r w:rsidRPr="00CF1ADF">
                        <w:rPr>
                          <w:rFonts w:ascii="標楷體" w:eastAsia="標楷體" w:hAnsi="標楷體" w:hint="eastAsia"/>
                          <w:sz w:val="18"/>
                          <w:szCs w:val="18"/>
                        </w:rPr>
                        <w:t>資料來源：整理自捷運工程局提供資料。</w:t>
                      </w:r>
                    </w:p>
                  </w:txbxContent>
                </v:textbox>
                <w10:wrap type="tight"/>
              </v:shape>
            </w:pict>
          </mc:Fallback>
        </mc:AlternateContent>
      </w:r>
      <w:r w:rsidRPr="00177770">
        <w:rPr>
          <w:rFonts w:ascii="標楷體" w:eastAsia="標楷體" w:hAnsi="標楷體" w:hint="eastAsia"/>
        </w:rPr>
        <w:t>告費率應含之營業稅5％後，已有增加</w:t>
      </w:r>
      <w:proofErr w:type="gramStart"/>
      <w:r w:rsidRPr="00177770">
        <w:rPr>
          <w:rFonts w:ascii="標楷體" w:eastAsia="標楷體" w:hAnsi="標楷體" w:hint="eastAsia"/>
        </w:rPr>
        <w:t>臺</w:t>
      </w:r>
      <w:proofErr w:type="gramEnd"/>
      <w:r w:rsidRPr="00177770">
        <w:rPr>
          <w:rFonts w:ascii="標楷體" w:eastAsia="標楷體" w:hAnsi="標楷體" w:hint="eastAsia"/>
        </w:rPr>
        <w:t>北港土方管理費所生</w:t>
      </w:r>
      <w:proofErr w:type="gramStart"/>
      <w:r w:rsidRPr="00177770">
        <w:rPr>
          <w:rFonts w:ascii="標楷體" w:eastAsia="標楷體" w:hAnsi="標楷體" w:hint="eastAsia"/>
        </w:rPr>
        <w:t>利什費</w:t>
      </w:r>
      <w:proofErr w:type="gramEnd"/>
      <w:r w:rsidRPr="00177770">
        <w:rPr>
          <w:rFonts w:ascii="標楷體" w:eastAsia="標楷體" w:hAnsi="標楷體" w:hint="eastAsia"/>
        </w:rPr>
        <w:t>之額外公</w:t>
      </w:r>
      <w:proofErr w:type="gramStart"/>
      <w:r w:rsidRPr="00177770">
        <w:rPr>
          <w:rFonts w:ascii="標楷體" w:eastAsia="標楷體" w:hAnsi="標楷體" w:hint="eastAsia"/>
        </w:rPr>
        <w:t>帑</w:t>
      </w:r>
      <w:proofErr w:type="gramEnd"/>
      <w:r w:rsidRPr="00177770">
        <w:rPr>
          <w:rFonts w:ascii="標楷體" w:eastAsia="標楷體" w:hAnsi="標楷體" w:hint="eastAsia"/>
        </w:rPr>
        <w:t>支出情事，核與市府訂頒交換作業流程規定不符，且</w:t>
      </w:r>
      <w:proofErr w:type="gramStart"/>
      <w:r w:rsidRPr="00177770">
        <w:rPr>
          <w:rFonts w:ascii="標楷體" w:eastAsia="標楷體" w:hAnsi="標楷體" w:hint="eastAsia"/>
        </w:rPr>
        <w:t>溢付承商</w:t>
      </w:r>
      <w:proofErr w:type="gramEnd"/>
      <w:r w:rsidRPr="00177770">
        <w:rPr>
          <w:rFonts w:ascii="標楷體" w:eastAsia="標楷體" w:hAnsi="標楷體" w:hint="eastAsia"/>
        </w:rPr>
        <w:t>價金；2.第一區工程處辦理捷運萬大線第一期工程CQ870區段標工程，協助廠商將</w:t>
      </w:r>
      <w:bookmarkStart w:id="118" w:name="_Hlk199236960"/>
      <w:r w:rsidRPr="00177770">
        <w:rPr>
          <w:rFonts w:ascii="標楷體" w:eastAsia="標楷體" w:hAnsi="標楷體" w:hint="eastAsia"/>
        </w:rPr>
        <w:t>營建剩餘土石方</w:t>
      </w:r>
      <w:bookmarkEnd w:id="118"/>
      <w:r w:rsidRPr="00177770">
        <w:rPr>
          <w:rFonts w:ascii="標楷體" w:eastAsia="標楷體" w:hAnsi="標楷體" w:hint="eastAsia"/>
        </w:rPr>
        <w:t>由運往一般</w:t>
      </w:r>
      <w:proofErr w:type="gramStart"/>
      <w:r w:rsidRPr="00177770">
        <w:rPr>
          <w:rFonts w:ascii="標楷體" w:eastAsia="標楷體" w:hAnsi="標楷體" w:hint="eastAsia"/>
        </w:rPr>
        <w:t>土資場</w:t>
      </w:r>
      <w:proofErr w:type="gramEnd"/>
      <w:r w:rsidRPr="00177770">
        <w:rPr>
          <w:rFonts w:ascii="標楷體" w:eastAsia="標楷體" w:hAnsi="標楷體" w:hint="eastAsia"/>
        </w:rPr>
        <w:t>變更至</w:t>
      </w:r>
      <w:proofErr w:type="gramStart"/>
      <w:r w:rsidRPr="00177770">
        <w:rPr>
          <w:rFonts w:ascii="標楷體" w:eastAsia="標楷體" w:hAnsi="標楷體" w:hint="eastAsia"/>
        </w:rPr>
        <w:t>臺</w:t>
      </w:r>
      <w:proofErr w:type="gramEnd"/>
      <w:r w:rsidRPr="00177770">
        <w:rPr>
          <w:rFonts w:ascii="標楷體" w:eastAsia="標楷體" w:hAnsi="標楷體" w:hint="eastAsia"/>
        </w:rPr>
        <w:t>北港收容，並以契約變更扣減相關工項剩餘土石方處理單價差額，惟部分涉及變更之工項仍按原契約單價估驗計價，</w:t>
      </w:r>
      <w:proofErr w:type="gramStart"/>
      <w:r w:rsidRPr="00177770">
        <w:rPr>
          <w:rFonts w:ascii="標楷體" w:eastAsia="標楷體" w:hAnsi="標楷體" w:hint="eastAsia"/>
        </w:rPr>
        <w:t>致溢付</w:t>
      </w:r>
      <w:proofErr w:type="gramEnd"/>
      <w:r w:rsidRPr="00177770">
        <w:rPr>
          <w:rFonts w:ascii="標楷體" w:eastAsia="標楷體" w:hAnsi="標楷體" w:hint="eastAsia"/>
        </w:rPr>
        <w:t>工程價款等情事，經函請</w:t>
      </w:r>
      <w:proofErr w:type="gramStart"/>
      <w:r w:rsidRPr="00177770">
        <w:rPr>
          <w:rFonts w:ascii="標楷體" w:eastAsia="標楷體" w:hAnsi="標楷體" w:hint="eastAsia"/>
        </w:rPr>
        <w:t>檢討妥處</w:t>
      </w:r>
      <w:proofErr w:type="gramEnd"/>
      <w:r w:rsidRPr="00177770">
        <w:rPr>
          <w:rFonts w:ascii="標楷體" w:eastAsia="標楷體" w:hAnsi="標楷體" w:hint="eastAsia"/>
        </w:rPr>
        <w:t>。據復：1.經捷運工程局清查所屬各工程處於市府109年6月15日訂頒交換作業流程後，應追回溢</w:t>
      </w:r>
      <w:proofErr w:type="gramStart"/>
      <w:r w:rsidRPr="00177770">
        <w:rPr>
          <w:rFonts w:ascii="標楷體" w:eastAsia="標楷體" w:hAnsi="標楷體" w:hint="eastAsia"/>
        </w:rPr>
        <w:t>付承商臺</w:t>
      </w:r>
      <w:proofErr w:type="gramEnd"/>
      <w:r w:rsidRPr="00177770">
        <w:rPr>
          <w:rFonts w:ascii="標楷體" w:eastAsia="標楷體" w:hAnsi="標楷體" w:hint="eastAsia"/>
        </w:rPr>
        <w:t>北港土方管理費所生</w:t>
      </w:r>
      <w:proofErr w:type="gramStart"/>
      <w:r w:rsidRPr="00177770">
        <w:rPr>
          <w:rFonts w:ascii="標楷體" w:eastAsia="標楷體" w:hAnsi="標楷體" w:hint="eastAsia"/>
        </w:rPr>
        <w:t>利什費</w:t>
      </w:r>
      <w:proofErr w:type="gramEnd"/>
      <w:r w:rsidRPr="00177770">
        <w:rPr>
          <w:rFonts w:ascii="標楷體" w:eastAsia="標楷體" w:hAnsi="標楷體" w:hint="eastAsia"/>
        </w:rPr>
        <w:t>情形者計有9案，應追回</w:t>
      </w:r>
      <w:proofErr w:type="gramStart"/>
      <w:r w:rsidRPr="00177770">
        <w:rPr>
          <w:rFonts w:ascii="標楷體" w:eastAsia="標楷體" w:hAnsi="標楷體" w:hint="eastAsia"/>
        </w:rPr>
        <w:t>溢</w:t>
      </w:r>
      <w:proofErr w:type="gramEnd"/>
      <w:r w:rsidRPr="00177770">
        <w:rPr>
          <w:rFonts w:ascii="標楷體" w:eastAsia="標楷體" w:hAnsi="標楷體" w:hint="eastAsia"/>
        </w:rPr>
        <w:t>付款金額合計1,930萬餘元（表8），後續於承商申請給付工程尾款、辦理契約變更或於工程完工結算</w:t>
      </w:r>
      <w:proofErr w:type="gramStart"/>
      <w:r w:rsidRPr="00177770">
        <w:rPr>
          <w:rFonts w:ascii="標楷體" w:eastAsia="標楷體" w:hAnsi="標楷體" w:hint="eastAsia"/>
        </w:rPr>
        <w:t>時追扣</w:t>
      </w:r>
      <w:proofErr w:type="gramEnd"/>
      <w:r w:rsidRPr="00177770">
        <w:rPr>
          <w:rFonts w:ascii="標楷體" w:eastAsia="標楷體" w:hAnsi="標楷體" w:hint="eastAsia"/>
        </w:rPr>
        <w:t>；2.第一區工程處已自承商後續估驗計價款，</w:t>
      </w:r>
      <w:proofErr w:type="gramStart"/>
      <w:r w:rsidRPr="00177770">
        <w:rPr>
          <w:rFonts w:ascii="標楷體" w:eastAsia="標楷體" w:hAnsi="標楷體" w:hint="eastAsia"/>
        </w:rPr>
        <w:t>補扣回</w:t>
      </w:r>
      <w:proofErr w:type="gramEnd"/>
      <w:r w:rsidRPr="00177770">
        <w:rPr>
          <w:rFonts w:ascii="標楷體" w:eastAsia="標楷體" w:hAnsi="標楷體" w:hint="eastAsia"/>
        </w:rPr>
        <w:t>捷運萬大線第一期工程CQ870區段標（含各子標）工程剩餘土石方變更至</w:t>
      </w:r>
      <w:proofErr w:type="gramStart"/>
      <w:r w:rsidRPr="00177770">
        <w:rPr>
          <w:rFonts w:ascii="標楷體" w:eastAsia="標楷體" w:hAnsi="標楷體" w:hint="eastAsia"/>
        </w:rPr>
        <w:t>臺</w:t>
      </w:r>
      <w:proofErr w:type="gramEnd"/>
      <w:r w:rsidRPr="00177770">
        <w:rPr>
          <w:rFonts w:ascii="標楷體" w:eastAsia="標楷體" w:hAnsi="標楷體" w:hint="eastAsia"/>
        </w:rPr>
        <w:t>北港收容之相關工項差價款項計1,116萬餘元，後續於估驗計價作業時辦理</w:t>
      </w:r>
      <w:proofErr w:type="gramStart"/>
      <w:r w:rsidRPr="00177770">
        <w:rPr>
          <w:rFonts w:ascii="標楷體" w:eastAsia="標楷體" w:hAnsi="標楷體" w:hint="eastAsia"/>
        </w:rPr>
        <w:t>差價扣回事宜</w:t>
      </w:r>
      <w:proofErr w:type="gramEnd"/>
      <w:r w:rsidRPr="00177770">
        <w:rPr>
          <w:rFonts w:ascii="標楷體" w:eastAsia="標楷體" w:hAnsi="標楷體" w:hint="eastAsia"/>
        </w:rPr>
        <w:t>，避免類此情事再次發生。</w:t>
      </w:r>
    </w:p>
    <w:p w14:paraId="7154C173" w14:textId="77777777" w:rsidR="0050059F" w:rsidRPr="00177770" w:rsidRDefault="0050059F" w:rsidP="0050059F">
      <w:pPr>
        <w:overflowPunct w:val="0"/>
        <w:spacing w:before="60" w:after="60" w:line="440" w:lineRule="exact"/>
        <w:jc w:val="both"/>
        <w:outlineLvl w:val="2"/>
        <w:rPr>
          <w:rFonts w:ascii="標楷體" w:eastAsia="標楷體" w:hAnsi="標楷體"/>
          <w:b/>
          <w:sz w:val="32"/>
          <w:szCs w:val="32"/>
        </w:rPr>
      </w:pPr>
      <w:r w:rsidRPr="00177770">
        <w:rPr>
          <w:rFonts w:ascii="標楷體" w:eastAsia="標楷體" w:hAnsi="標楷體" w:hint="eastAsia"/>
          <w:b/>
          <w:sz w:val="32"/>
          <w:szCs w:val="32"/>
        </w:rPr>
        <w:t>五、</w:t>
      </w:r>
      <w:proofErr w:type="gramStart"/>
      <w:r w:rsidRPr="00177770">
        <w:rPr>
          <w:rFonts w:ascii="標楷體" w:eastAsia="標楷體" w:hAnsi="標楷體" w:hint="eastAsia"/>
          <w:b/>
          <w:sz w:val="32"/>
          <w:szCs w:val="32"/>
        </w:rPr>
        <w:t>112</w:t>
      </w:r>
      <w:proofErr w:type="gramEnd"/>
      <w:r w:rsidRPr="00177770">
        <w:rPr>
          <w:rFonts w:ascii="標楷體" w:eastAsia="標楷體" w:hAnsi="標楷體" w:hint="eastAsia"/>
          <w:b/>
          <w:sz w:val="32"/>
          <w:szCs w:val="32"/>
        </w:rPr>
        <w:t>年度重要審核意見追蹤查核情形</w:t>
      </w:r>
    </w:p>
    <w:p w14:paraId="5B8E5F1F" w14:textId="77777777" w:rsidR="0050059F" w:rsidRPr="00177770" w:rsidRDefault="0050059F" w:rsidP="0050059F">
      <w:pPr>
        <w:overflowPunct w:val="0"/>
        <w:spacing w:before="60" w:after="60" w:line="420" w:lineRule="exact"/>
        <w:ind w:firstLineChars="200" w:firstLine="480"/>
        <w:jc w:val="both"/>
        <w:rPr>
          <w:rFonts w:ascii="標楷體" w:eastAsia="標楷體" w:hAnsi="標楷體"/>
          <w:b/>
          <w:sz w:val="16"/>
        </w:rPr>
      </w:pPr>
      <w:r w:rsidRPr="00177770">
        <w:rPr>
          <w:rFonts w:ascii="標楷體" w:eastAsia="標楷體" w:hAnsi="標楷體" w:cs="DFKaiShu-SB-Estd-BF" w:hint="eastAsia"/>
          <w:kern w:val="0"/>
          <w:szCs w:val="24"/>
        </w:rPr>
        <w:t>本處於</w:t>
      </w:r>
      <w:proofErr w:type="gramStart"/>
      <w:r w:rsidRPr="00177770">
        <w:rPr>
          <w:rFonts w:ascii="標楷體" w:eastAsia="標楷體" w:hAnsi="標楷體" w:cs="DFKaiShu-SB-Estd-BF"/>
          <w:kern w:val="0"/>
          <w:szCs w:val="24"/>
        </w:rPr>
        <w:t>11</w:t>
      </w:r>
      <w:r w:rsidRPr="00177770">
        <w:rPr>
          <w:rFonts w:ascii="標楷體" w:eastAsia="標楷體" w:hAnsi="標楷體" w:cs="DFKaiShu-SB-Estd-BF" w:hint="eastAsia"/>
          <w:kern w:val="0"/>
          <w:szCs w:val="24"/>
        </w:rPr>
        <w:t>2</w:t>
      </w:r>
      <w:proofErr w:type="gramEnd"/>
      <w:r w:rsidRPr="00177770">
        <w:rPr>
          <w:rFonts w:ascii="標楷體" w:eastAsia="標楷體" w:hAnsi="標楷體" w:cs="DFKaiShu-SB-Estd-BF" w:hint="eastAsia"/>
          <w:kern w:val="0"/>
          <w:szCs w:val="24"/>
        </w:rPr>
        <w:t>年度審核</w:t>
      </w:r>
      <w:r w:rsidRPr="00177770">
        <w:rPr>
          <w:rFonts w:ascii="標楷體" w:eastAsia="標楷體" w:hAnsi="標楷體" w:hint="eastAsia"/>
          <w:szCs w:val="28"/>
        </w:rPr>
        <w:t>報告</w:t>
      </w:r>
      <w:r w:rsidRPr="00177770">
        <w:rPr>
          <w:rFonts w:ascii="標楷體" w:eastAsia="標楷體" w:hAnsi="標楷體" w:cs="DFKaiShu-SB-Estd-BF" w:hint="eastAsia"/>
          <w:kern w:val="0"/>
          <w:szCs w:val="24"/>
        </w:rPr>
        <w:t>內列重要審核意見</w:t>
      </w:r>
      <w:r w:rsidRPr="00177770">
        <w:rPr>
          <w:rFonts w:ascii="標楷體" w:eastAsia="標楷體" w:hAnsi="標楷體" w:cs="DFKaiShu-SB-Estd-BF"/>
          <w:kern w:val="0"/>
          <w:szCs w:val="24"/>
        </w:rPr>
        <w:t>5</w:t>
      </w:r>
      <w:r w:rsidRPr="00177770">
        <w:rPr>
          <w:rFonts w:ascii="標楷體" w:eastAsia="標楷體" w:hAnsi="標楷體" w:cs="DFKaiShu-SB-Estd-BF" w:hint="eastAsia"/>
          <w:kern w:val="0"/>
          <w:szCs w:val="24"/>
        </w:rPr>
        <w:t>項，經</w:t>
      </w:r>
      <w:proofErr w:type="gramStart"/>
      <w:r w:rsidRPr="00177770">
        <w:rPr>
          <w:rFonts w:ascii="標楷體" w:eastAsia="標楷體" w:hAnsi="標楷體" w:cs="DFKaiShu-SB-Estd-BF" w:hint="eastAsia"/>
          <w:kern w:val="0"/>
          <w:szCs w:val="24"/>
        </w:rPr>
        <w:t>賡</w:t>
      </w:r>
      <w:proofErr w:type="gramEnd"/>
      <w:r w:rsidRPr="00177770">
        <w:rPr>
          <w:rFonts w:ascii="標楷體" w:eastAsia="標楷體" w:hAnsi="標楷體" w:cs="DFKaiShu-SB-Estd-BF" w:hint="eastAsia"/>
          <w:kern w:val="0"/>
          <w:szCs w:val="24"/>
        </w:rPr>
        <w:t>續追蹤查核實際辦理結果，均已</w:t>
      </w:r>
      <w:proofErr w:type="gramStart"/>
      <w:r w:rsidRPr="00177770">
        <w:rPr>
          <w:rFonts w:ascii="標楷體" w:eastAsia="標楷體" w:hAnsi="標楷體" w:cs="DFKaiShu-SB-Estd-BF" w:hint="eastAsia"/>
          <w:kern w:val="0"/>
          <w:szCs w:val="24"/>
        </w:rPr>
        <w:t>研</w:t>
      </w:r>
      <w:proofErr w:type="gramEnd"/>
      <w:r w:rsidRPr="00177770">
        <w:rPr>
          <w:rFonts w:ascii="標楷體" w:eastAsia="標楷體" w:hAnsi="標楷體" w:cs="DFKaiShu-SB-Estd-BF" w:hint="eastAsia"/>
          <w:kern w:val="0"/>
          <w:szCs w:val="24"/>
        </w:rPr>
        <w:t>謀改善或依改善措施持續辦理（表9）。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797"/>
        <w:gridCol w:w="2126"/>
      </w:tblGrid>
      <w:tr w:rsidR="0050059F" w:rsidRPr="00177770" w14:paraId="6D1F83DA" w14:textId="77777777" w:rsidTr="00824CD6">
        <w:trPr>
          <w:trHeight w:val="441"/>
          <w:jc w:val="center"/>
        </w:trPr>
        <w:tc>
          <w:tcPr>
            <w:tcW w:w="5000" w:type="pct"/>
            <w:gridSpan w:val="2"/>
            <w:tcBorders>
              <w:top w:val="nil"/>
              <w:left w:val="nil"/>
              <w:bottom w:val="single" w:sz="4" w:space="0" w:color="auto"/>
              <w:right w:val="nil"/>
            </w:tcBorders>
            <w:shd w:val="clear" w:color="auto" w:fill="auto"/>
            <w:vAlign w:val="center"/>
          </w:tcPr>
          <w:p w14:paraId="7FE41C52" w14:textId="77777777" w:rsidR="0050059F" w:rsidRPr="00177770" w:rsidRDefault="0050059F" w:rsidP="00824CD6">
            <w:pPr>
              <w:widowControl/>
              <w:overflowPunct w:val="0"/>
              <w:spacing w:before="60" w:after="60" w:line="400" w:lineRule="exact"/>
              <w:jc w:val="center"/>
              <w:rPr>
                <w:rFonts w:ascii="標楷體" w:eastAsia="標楷體" w:hAnsi="標楷體"/>
                <w:sz w:val="20"/>
              </w:rPr>
            </w:pPr>
            <w:r w:rsidRPr="00177770">
              <w:rPr>
                <w:rFonts w:ascii="標楷體" w:eastAsia="標楷體" w:hAnsi="標楷體" w:hint="eastAsia"/>
                <w:b/>
              </w:rPr>
              <w:t xml:space="preserve">表9　</w:t>
            </w:r>
            <w:proofErr w:type="gramStart"/>
            <w:r w:rsidRPr="00177770">
              <w:rPr>
                <w:rFonts w:ascii="標楷體" w:eastAsia="標楷體" w:hAnsi="標楷體" w:hint="eastAsia"/>
                <w:b/>
              </w:rPr>
              <w:t>1</w:t>
            </w:r>
            <w:r w:rsidRPr="00177770">
              <w:rPr>
                <w:rFonts w:ascii="標楷體" w:eastAsia="標楷體" w:hAnsi="標楷體"/>
                <w:b/>
              </w:rPr>
              <w:t>1</w:t>
            </w:r>
            <w:r w:rsidRPr="00177770">
              <w:rPr>
                <w:rFonts w:ascii="標楷體" w:eastAsia="標楷體" w:hAnsi="標楷體" w:hint="eastAsia"/>
                <w:b/>
              </w:rPr>
              <w:t>2</w:t>
            </w:r>
            <w:proofErr w:type="gramEnd"/>
            <w:r w:rsidRPr="00177770">
              <w:rPr>
                <w:rFonts w:ascii="標楷體" w:eastAsia="標楷體" w:hAnsi="標楷體" w:hint="eastAsia"/>
                <w:b/>
              </w:rPr>
              <w:t>年度審核報告所列捷運工程局主管重要審核意見覆核辦理情形</w:t>
            </w:r>
          </w:p>
        </w:tc>
      </w:tr>
      <w:tr w:rsidR="0050059F" w:rsidRPr="00177770" w14:paraId="167BCF05" w14:textId="77777777" w:rsidTr="00824CD6">
        <w:trPr>
          <w:trHeight w:val="327"/>
          <w:jc w:val="center"/>
        </w:trPr>
        <w:tc>
          <w:tcPr>
            <w:tcW w:w="3929" w:type="pct"/>
            <w:tcBorders>
              <w:top w:val="single" w:sz="4" w:space="0" w:color="auto"/>
              <w:bottom w:val="single" w:sz="4" w:space="0" w:color="auto"/>
            </w:tcBorders>
            <w:shd w:val="clear" w:color="auto" w:fill="auto"/>
            <w:vAlign w:val="center"/>
          </w:tcPr>
          <w:p w14:paraId="6D122B04" w14:textId="77777777" w:rsidR="0050059F" w:rsidRPr="00177770" w:rsidRDefault="0050059F" w:rsidP="00824CD6">
            <w:pPr>
              <w:widowControl/>
              <w:overflowPunct w:val="0"/>
              <w:spacing w:line="240" w:lineRule="exact"/>
              <w:jc w:val="center"/>
              <w:rPr>
                <w:rFonts w:ascii="標楷體" w:eastAsia="標楷體" w:hAnsi="標楷體"/>
                <w:sz w:val="20"/>
              </w:rPr>
            </w:pPr>
            <w:r w:rsidRPr="00177770">
              <w:rPr>
                <w:rFonts w:ascii="標楷體" w:eastAsia="標楷體" w:hAnsi="標楷體"/>
                <w:sz w:val="20"/>
              </w:rPr>
              <w:t>重要審核意見標題</w:t>
            </w:r>
          </w:p>
        </w:tc>
        <w:tc>
          <w:tcPr>
            <w:tcW w:w="1071" w:type="pct"/>
            <w:tcBorders>
              <w:top w:val="single" w:sz="4" w:space="0" w:color="auto"/>
              <w:bottom w:val="single" w:sz="4" w:space="0" w:color="auto"/>
            </w:tcBorders>
            <w:shd w:val="clear" w:color="auto" w:fill="auto"/>
            <w:vAlign w:val="center"/>
          </w:tcPr>
          <w:p w14:paraId="6D093D26" w14:textId="77777777" w:rsidR="0050059F" w:rsidRPr="00177770" w:rsidRDefault="0050059F" w:rsidP="00824CD6">
            <w:pPr>
              <w:widowControl/>
              <w:overflowPunct w:val="0"/>
              <w:spacing w:line="240" w:lineRule="exact"/>
              <w:jc w:val="center"/>
              <w:rPr>
                <w:rFonts w:ascii="標楷體" w:eastAsia="標楷體" w:hAnsi="標楷體"/>
                <w:sz w:val="20"/>
              </w:rPr>
            </w:pPr>
            <w:r w:rsidRPr="00177770">
              <w:rPr>
                <w:rFonts w:ascii="標楷體" w:eastAsia="標楷體" w:hAnsi="標楷體"/>
                <w:sz w:val="20"/>
              </w:rPr>
              <w:t>說明</w:t>
            </w:r>
          </w:p>
        </w:tc>
      </w:tr>
      <w:tr w:rsidR="0050059F" w:rsidRPr="00177770" w14:paraId="02EC5C17" w14:textId="77777777" w:rsidTr="00824CD6">
        <w:trPr>
          <w:trHeight w:val="397"/>
          <w:jc w:val="center"/>
        </w:trPr>
        <w:tc>
          <w:tcPr>
            <w:tcW w:w="3929" w:type="pct"/>
            <w:tcBorders>
              <w:right w:val="nil"/>
            </w:tcBorders>
            <w:shd w:val="clear" w:color="auto" w:fill="auto"/>
            <w:vAlign w:val="center"/>
          </w:tcPr>
          <w:p w14:paraId="26C1C22B" w14:textId="77777777" w:rsidR="0050059F" w:rsidRPr="00177770" w:rsidRDefault="0050059F" w:rsidP="00824CD6">
            <w:pPr>
              <w:widowControl/>
              <w:overflowPunct w:val="0"/>
              <w:spacing w:line="240" w:lineRule="exact"/>
              <w:ind w:left="32" w:hangingChars="16" w:hanging="32"/>
              <w:jc w:val="both"/>
              <w:rPr>
                <w:rFonts w:ascii="標楷體" w:eastAsia="標楷體" w:hAnsi="標楷體"/>
                <w:b/>
                <w:sz w:val="20"/>
              </w:rPr>
            </w:pPr>
            <w:r w:rsidRPr="00177770">
              <w:rPr>
                <w:rFonts w:ascii="標楷體" w:eastAsia="標楷體" w:hAnsi="標楷體" w:hint="eastAsia"/>
                <w:b/>
                <w:sz w:val="20"/>
              </w:rPr>
              <w:t>已</w:t>
            </w:r>
            <w:proofErr w:type="gramStart"/>
            <w:r w:rsidRPr="00177770">
              <w:rPr>
                <w:rFonts w:ascii="標楷體" w:eastAsia="標楷體" w:hAnsi="標楷體" w:hint="eastAsia"/>
                <w:b/>
                <w:sz w:val="20"/>
              </w:rPr>
              <w:t>研</w:t>
            </w:r>
            <w:proofErr w:type="gramEnd"/>
            <w:r w:rsidRPr="00177770">
              <w:rPr>
                <w:rFonts w:ascii="標楷體" w:eastAsia="標楷體" w:hAnsi="標楷體" w:hint="eastAsia"/>
                <w:b/>
                <w:sz w:val="20"/>
              </w:rPr>
              <w:t>謀改善或依改善措施持續辦理</w:t>
            </w:r>
          </w:p>
        </w:tc>
        <w:tc>
          <w:tcPr>
            <w:tcW w:w="1071" w:type="pct"/>
            <w:tcBorders>
              <w:left w:val="nil"/>
              <w:bottom w:val="single" w:sz="4" w:space="0" w:color="auto"/>
            </w:tcBorders>
            <w:shd w:val="clear" w:color="auto" w:fill="auto"/>
            <w:vAlign w:val="center"/>
          </w:tcPr>
          <w:p w14:paraId="7242ACCE" w14:textId="77777777" w:rsidR="0050059F" w:rsidRPr="00177770" w:rsidRDefault="0050059F" w:rsidP="00824CD6">
            <w:pPr>
              <w:widowControl/>
              <w:overflowPunct w:val="0"/>
              <w:spacing w:line="240" w:lineRule="exact"/>
              <w:jc w:val="both"/>
              <w:rPr>
                <w:rFonts w:ascii="標楷體" w:eastAsia="標楷體" w:hAnsi="標楷體"/>
                <w:sz w:val="20"/>
              </w:rPr>
            </w:pPr>
          </w:p>
        </w:tc>
      </w:tr>
      <w:tr w:rsidR="0050059F" w:rsidRPr="00177770" w14:paraId="299BB688" w14:textId="77777777" w:rsidTr="00824CD6">
        <w:trPr>
          <w:trHeight w:val="227"/>
          <w:jc w:val="center"/>
        </w:trPr>
        <w:tc>
          <w:tcPr>
            <w:tcW w:w="3929" w:type="pct"/>
            <w:shd w:val="clear" w:color="auto" w:fill="auto"/>
            <w:vAlign w:val="center"/>
          </w:tcPr>
          <w:p w14:paraId="40959E92" w14:textId="77777777" w:rsidR="0050059F" w:rsidRPr="00177770" w:rsidRDefault="0050059F" w:rsidP="004509BD">
            <w:pPr>
              <w:widowControl/>
              <w:overflowPunct w:val="0"/>
              <w:spacing w:afterLines="10" w:after="36" w:line="280" w:lineRule="exact"/>
              <w:ind w:left="600" w:hangingChars="300" w:hanging="600"/>
              <w:jc w:val="both"/>
              <w:rPr>
                <w:rFonts w:ascii="標楷體" w:eastAsia="標楷體" w:hAnsi="標楷體"/>
                <w:snapToGrid w:val="0"/>
                <w:kern w:val="0"/>
                <w:sz w:val="20"/>
              </w:rPr>
            </w:pPr>
            <w:r w:rsidRPr="00177770">
              <w:rPr>
                <w:rFonts w:ascii="標楷體" w:eastAsia="標楷體" w:hAnsi="標楷體" w:hint="eastAsia"/>
                <w:snapToGrid w:val="0"/>
                <w:kern w:val="0"/>
                <w:sz w:val="20"/>
              </w:rPr>
              <w:t>（一）</w:t>
            </w:r>
            <w:r w:rsidRPr="004509BD">
              <w:rPr>
                <w:rFonts w:ascii="標楷體" w:eastAsia="標楷體" w:hAnsi="標楷體" w:hint="eastAsia"/>
                <w:snapToGrid w:val="0"/>
                <w:spacing w:val="2"/>
                <w:kern w:val="0"/>
                <w:sz w:val="20"/>
              </w:rPr>
              <w:t>因應電聯車錄影系統主要設備停產，辦理錄影系統重置，推動2年餘，執行進度尚落後62個百分點，有待檢討改善。</w:t>
            </w:r>
          </w:p>
        </w:tc>
        <w:tc>
          <w:tcPr>
            <w:tcW w:w="1071" w:type="pct"/>
            <w:vMerge w:val="restart"/>
            <w:tcBorders>
              <w:tl2br w:val="single" w:sz="4" w:space="0" w:color="auto"/>
            </w:tcBorders>
            <w:shd w:val="clear" w:color="auto" w:fill="auto"/>
          </w:tcPr>
          <w:p w14:paraId="46F11411" w14:textId="77777777" w:rsidR="0050059F" w:rsidRPr="00177770" w:rsidRDefault="0050059F" w:rsidP="00824CD6">
            <w:pPr>
              <w:widowControl/>
              <w:overflowPunct w:val="0"/>
              <w:spacing w:line="280" w:lineRule="exact"/>
              <w:jc w:val="both"/>
              <w:rPr>
                <w:rFonts w:ascii="標楷體" w:eastAsia="標楷體" w:hAnsi="標楷體"/>
                <w:sz w:val="20"/>
              </w:rPr>
            </w:pPr>
          </w:p>
        </w:tc>
      </w:tr>
      <w:tr w:rsidR="0050059F" w:rsidRPr="00177770" w14:paraId="3B1EFF8A" w14:textId="77777777" w:rsidTr="00824CD6">
        <w:trPr>
          <w:trHeight w:val="20"/>
          <w:jc w:val="center"/>
        </w:trPr>
        <w:tc>
          <w:tcPr>
            <w:tcW w:w="3929" w:type="pct"/>
            <w:shd w:val="clear" w:color="auto" w:fill="auto"/>
            <w:vAlign w:val="center"/>
          </w:tcPr>
          <w:p w14:paraId="55B63787" w14:textId="77777777" w:rsidR="0050059F" w:rsidRPr="00177770" w:rsidRDefault="0050059F" w:rsidP="004509BD">
            <w:pPr>
              <w:widowControl/>
              <w:overflowPunct w:val="0"/>
              <w:spacing w:afterLines="10" w:after="36" w:line="280" w:lineRule="exact"/>
              <w:ind w:left="600" w:hangingChars="300" w:hanging="600"/>
              <w:jc w:val="both"/>
              <w:rPr>
                <w:rFonts w:ascii="標楷體" w:eastAsia="標楷體" w:hAnsi="標楷體"/>
                <w:snapToGrid w:val="0"/>
                <w:kern w:val="0"/>
                <w:sz w:val="20"/>
              </w:rPr>
            </w:pPr>
            <w:r w:rsidRPr="00177770">
              <w:rPr>
                <w:rFonts w:ascii="標楷體" w:eastAsia="標楷體" w:hAnsi="標楷體" w:hint="eastAsia"/>
                <w:snapToGrid w:val="0"/>
                <w:kern w:val="0"/>
                <w:sz w:val="20"/>
              </w:rPr>
              <w:t>（二）</w:t>
            </w:r>
            <w:r w:rsidRPr="004509BD">
              <w:rPr>
                <w:rFonts w:ascii="標楷體" w:eastAsia="標楷體" w:hAnsi="標楷體" w:hint="eastAsia"/>
                <w:spacing w:val="2"/>
                <w:sz w:val="20"/>
              </w:rPr>
              <w:t>委託</w:t>
            </w:r>
            <w:r w:rsidRPr="004509BD">
              <w:rPr>
                <w:rFonts w:ascii="標楷體" w:eastAsia="標楷體" w:hAnsi="標楷體" w:hint="eastAsia"/>
                <w:snapToGrid w:val="0"/>
                <w:spacing w:val="2"/>
                <w:kern w:val="0"/>
                <w:sz w:val="20"/>
              </w:rPr>
              <w:t>捷運</w:t>
            </w:r>
            <w:r w:rsidRPr="004509BD">
              <w:rPr>
                <w:rFonts w:ascii="標楷體" w:eastAsia="標楷體" w:hAnsi="標楷體" w:hint="eastAsia"/>
                <w:spacing w:val="2"/>
                <w:sz w:val="20"/>
              </w:rPr>
              <w:t>公司辦理</w:t>
            </w:r>
            <w:proofErr w:type="gramStart"/>
            <w:r w:rsidRPr="004509BD">
              <w:rPr>
                <w:rFonts w:ascii="標楷體" w:eastAsia="標楷體" w:hAnsi="標楷體" w:hint="eastAsia"/>
                <w:spacing w:val="2"/>
                <w:sz w:val="20"/>
              </w:rPr>
              <w:t>洩</w:t>
            </w:r>
            <w:proofErr w:type="gramEnd"/>
            <w:r w:rsidRPr="004509BD">
              <w:rPr>
                <w:rFonts w:ascii="標楷體" w:eastAsia="標楷體" w:hAnsi="標楷體" w:hint="eastAsia"/>
                <w:spacing w:val="2"/>
                <w:sz w:val="20"/>
              </w:rPr>
              <w:t>波電纜重置，</w:t>
            </w:r>
            <w:proofErr w:type="gramStart"/>
            <w:r w:rsidRPr="004509BD">
              <w:rPr>
                <w:rFonts w:ascii="標楷體" w:eastAsia="標楷體" w:hAnsi="標楷體" w:hint="eastAsia"/>
                <w:spacing w:val="2"/>
                <w:sz w:val="20"/>
              </w:rPr>
              <w:t>間有未能</w:t>
            </w:r>
            <w:proofErr w:type="gramEnd"/>
            <w:r w:rsidRPr="004509BD">
              <w:rPr>
                <w:rFonts w:ascii="標楷體" w:eastAsia="標楷體" w:hAnsi="標楷體" w:hint="eastAsia"/>
                <w:spacing w:val="2"/>
                <w:sz w:val="20"/>
              </w:rPr>
              <w:t>掌握全線88區段應安置規格，</w:t>
            </w:r>
            <w:proofErr w:type="gramStart"/>
            <w:r w:rsidRPr="004509BD">
              <w:rPr>
                <w:rFonts w:ascii="標楷體" w:eastAsia="標楷體" w:hAnsi="標楷體" w:hint="eastAsia"/>
                <w:spacing w:val="2"/>
                <w:sz w:val="20"/>
              </w:rPr>
              <w:t>致施作</w:t>
            </w:r>
            <w:proofErr w:type="gramEnd"/>
            <w:r w:rsidRPr="004509BD">
              <w:rPr>
                <w:rFonts w:ascii="標楷體" w:eastAsia="標楷體" w:hAnsi="標楷體" w:hint="eastAsia"/>
                <w:spacing w:val="2"/>
                <w:sz w:val="20"/>
              </w:rPr>
              <w:t>2年僅完成10區段，並有18區段尚未執行或未通過品質測試前，即</w:t>
            </w:r>
            <w:proofErr w:type="gramStart"/>
            <w:r w:rsidRPr="004509BD">
              <w:rPr>
                <w:rFonts w:ascii="標楷體" w:eastAsia="標楷體" w:hAnsi="標楷體" w:hint="eastAsia"/>
                <w:spacing w:val="2"/>
                <w:sz w:val="20"/>
              </w:rPr>
              <w:t>逕</w:t>
            </w:r>
            <w:proofErr w:type="gramEnd"/>
            <w:r w:rsidRPr="004509BD">
              <w:rPr>
                <w:rFonts w:ascii="標楷體" w:eastAsia="標楷體" w:hAnsi="標楷體" w:hint="eastAsia"/>
                <w:spacing w:val="2"/>
                <w:sz w:val="20"/>
              </w:rPr>
              <w:t>付部分價款，均有待檢討改善。</w:t>
            </w:r>
          </w:p>
        </w:tc>
        <w:tc>
          <w:tcPr>
            <w:tcW w:w="1071" w:type="pct"/>
            <w:vMerge/>
            <w:tcBorders>
              <w:tl2br w:val="single" w:sz="4" w:space="0" w:color="auto"/>
            </w:tcBorders>
            <w:shd w:val="clear" w:color="auto" w:fill="auto"/>
          </w:tcPr>
          <w:p w14:paraId="4A7D11C1" w14:textId="77777777" w:rsidR="0050059F" w:rsidRPr="00177770" w:rsidRDefault="0050059F" w:rsidP="00824CD6">
            <w:pPr>
              <w:widowControl/>
              <w:overflowPunct w:val="0"/>
              <w:spacing w:line="280" w:lineRule="exact"/>
              <w:jc w:val="both"/>
              <w:rPr>
                <w:rFonts w:ascii="標楷體" w:eastAsia="標楷體" w:hAnsi="標楷體"/>
                <w:sz w:val="20"/>
              </w:rPr>
            </w:pPr>
          </w:p>
        </w:tc>
      </w:tr>
      <w:tr w:rsidR="0050059F" w:rsidRPr="00177770" w14:paraId="04C73C6F" w14:textId="77777777" w:rsidTr="00824CD6">
        <w:trPr>
          <w:trHeight w:val="20"/>
          <w:jc w:val="center"/>
        </w:trPr>
        <w:tc>
          <w:tcPr>
            <w:tcW w:w="3929" w:type="pct"/>
            <w:shd w:val="clear" w:color="auto" w:fill="auto"/>
            <w:vAlign w:val="center"/>
          </w:tcPr>
          <w:p w14:paraId="2F3E3696" w14:textId="77777777" w:rsidR="0050059F" w:rsidRPr="00177770" w:rsidRDefault="0050059F" w:rsidP="004509BD">
            <w:pPr>
              <w:widowControl/>
              <w:overflowPunct w:val="0"/>
              <w:spacing w:afterLines="10" w:after="36" w:line="280" w:lineRule="exact"/>
              <w:ind w:left="600" w:hangingChars="300" w:hanging="600"/>
              <w:jc w:val="both"/>
              <w:rPr>
                <w:rFonts w:ascii="標楷體" w:eastAsia="標楷體" w:hAnsi="標楷體"/>
                <w:snapToGrid w:val="0"/>
                <w:kern w:val="0"/>
                <w:sz w:val="20"/>
              </w:rPr>
            </w:pPr>
            <w:r w:rsidRPr="00177770">
              <w:rPr>
                <w:rFonts w:ascii="標楷體" w:eastAsia="標楷體" w:hAnsi="標楷體" w:hint="eastAsia"/>
                <w:snapToGrid w:val="0"/>
                <w:kern w:val="0"/>
                <w:sz w:val="20"/>
              </w:rPr>
              <w:t>（三）</w:t>
            </w:r>
            <w:r w:rsidRPr="004509BD">
              <w:rPr>
                <w:rFonts w:ascii="標楷體" w:eastAsia="標楷體" w:hAnsi="標楷體" w:hint="eastAsia"/>
                <w:snapToGrid w:val="0"/>
                <w:spacing w:val="4"/>
                <w:kern w:val="0"/>
                <w:sz w:val="20"/>
              </w:rPr>
              <w:t>辦理萬大線第一期工程計畫，尚有</w:t>
            </w:r>
            <w:proofErr w:type="gramStart"/>
            <w:r w:rsidRPr="004509BD">
              <w:rPr>
                <w:rFonts w:ascii="標楷體" w:eastAsia="標楷體" w:hAnsi="標楷體" w:hint="eastAsia"/>
                <w:snapToGrid w:val="0"/>
                <w:spacing w:val="4"/>
                <w:kern w:val="0"/>
                <w:sz w:val="20"/>
              </w:rPr>
              <w:t>部分聯開基地</w:t>
            </w:r>
            <w:proofErr w:type="gramEnd"/>
            <w:r w:rsidRPr="004509BD">
              <w:rPr>
                <w:rFonts w:ascii="標楷體" w:eastAsia="標楷體" w:hAnsi="標楷體" w:hint="eastAsia"/>
                <w:snapToGrid w:val="0"/>
                <w:spacing w:val="4"/>
                <w:kern w:val="0"/>
                <w:sz w:val="20"/>
              </w:rPr>
              <w:t>未徵得投資人，墊款金額達12億餘元，或捷運施工區域廠商未落實交通維持等情，有待檢討改善。</w:t>
            </w:r>
          </w:p>
        </w:tc>
        <w:tc>
          <w:tcPr>
            <w:tcW w:w="1071" w:type="pct"/>
            <w:vMerge/>
            <w:tcBorders>
              <w:tl2br w:val="single" w:sz="4" w:space="0" w:color="auto"/>
            </w:tcBorders>
            <w:shd w:val="clear" w:color="auto" w:fill="auto"/>
          </w:tcPr>
          <w:p w14:paraId="00C0F016" w14:textId="77777777" w:rsidR="0050059F" w:rsidRPr="00177770" w:rsidRDefault="0050059F" w:rsidP="00824CD6">
            <w:pPr>
              <w:widowControl/>
              <w:overflowPunct w:val="0"/>
              <w:spacing w:line="280" w:lineRule="exact"/>
              <w:jc w:val="both"/>
              <w:rPr>
                <w:rFonts w:ascii="標楷體" w:eastAsia="標楷體" w:hAnsi="標楷體"/>
                <w:sz w:val="20"/>
              </w:rPr>
            </w:pPr>
          </w:p>
        </w:tc>
      </w:tr>
      <w:tr w:rsidR="0050059F" w:rsidRPr="00177770" w14:paraId="075A2A35" w14:textId="77777777" w:rsidTr="00824CD6">
        <w:trPr>
          <w:trHeight w:val="20"/>
          <w:jc w:val="center"/>
        </w:trPr>
        <w:tc>
          <w:tcPr>
            <w:tcW w:w="3929" w:type="pct"/>
            <w:shd w:val="clear" w:color="auto" w:fill="auto"/>
            <w:vAlign w:val="center"/>
          </w:tcPr>
          <w:p w14:paraId="6A6629E4" w14:textId="77777777" w:rsidR="0050059F" w:rsidRPr="00177770" w:rsidRDefault="0050059F" w:rsidP="00824CD6">
            <w:pPr>
              <w:widowControl/>
              <w:overflowPunct w:val="0"/>
              <w:spacing w:afterLines="20" w:after="72" w:line="280" w:lineRule="exact"/>
              <w:ind w:left="570" w:hangingChars="285" w:hanging="570"/>
              <w:jc w:val="both"/>
              <w:rPr>
                <w:rFonts w:ascii="標楷體" w:eastAsia="標楷體" w:hAnsi="標楷體"/>
                <w:snapToGrid w:val="0"/>
                <w:kern w:val="0"/>
                <w:sz w:val="20"/>
              </w:rPr>
            </w:pPr>
            <w:r w:rsidRPr="00177770">
              <w:rPr>
                <w:rFonts w:ascii="標楷體" w:eastAsia="標楷體" w:hAnsi="標楷體" w:hint="eastAsia"/>
                <w:snapToGrid w:val="0"/>
                <w:kern w:val="0"/>
                <w:sz w:val="20"/>
              </w:rPr>
              <w:t>（四）辦理捷運聯合開發大樓出租，</w:t>
            </w:r>
            <w:proofErr w:type="gramStart"/>
            <w:r w:rsidRPr="00177770">
              <w:rPr>
                <w:rFonts w:ascii="標楷體" w:eastAsia="標楷體" w:hAnsi="標楷體" w:hint="eastAsia"/>
                <w:snapToGrid w:val="0"/>
                <w:kern w:val="0"/>
                <w:sz w:val="20"/>
              </w:rPr>
              <w:t>間有未</w:t>
            </w:r>
            <w:proofErr w:type="gramEnd"/>
            <w:r w:rsidRPr="00177770">
              <w:rPr>
                <w:rFonts w:ascii="標楷體" w:eastAsia="標楷體" w:hAnsi="標楷體" w:hint="eastAsia"/>
                <w:snapToGrid w:val="0"/>
                <w:kern w:val="0"/>
                <w:sz w:val="20"/>
              </w:rPr>
              <w:t>依約計算租金起始日情事，有待檢討改善。</w:t>
            </w:r>
          </w:p>
        </w:tc>
        <w:tc>
          <w:tcPr>
            <w:tcW w:w="1071" w:type="pct"/>
            <w:vMerge/>
            <w:tcBorders>
              <w:tl2br w:val="single" w:sz="4" w:space="0" w:color="auto"/>
            </w:tcBorders>
            <w:shd w:val="clear" w:color="auto" w:fill="auto"/>
          </w:tcPr>
          <w:p w14:paraId="6C6204AC" w14:textId="77777777" w:rsidR="0050059F" w:rsidRPr="00177770" w:rsidRDefault="0050059F" w:rsidP="00824CD6">
            <w:pPr>
              <w:widowControl/>
              <w:overflowPunct w:val="0"/>
              <w:spacing w:line="280" w:lineRule="exact"/>
              <w:jc w:val="both"/>
              <w:rPr>
                <w:rFonts w:ascii="標楷體" w:eastAsia="標楷體" w:hAnsi="標楷體"/>
                <w:sz w:val="20"/>
              </w:rPr>
            </w:pPr>
          </w:p>
        </w:tc>
      </w:tr>
      <w:tr w:rsidR="0050059F" w:rsidRPr="00177770" w14:paraId="308B5E52" w14:textId="77777777" w:rsidTr="00824CD6">
        <w:trPr>
          <w:trHeight w:val="20"/>
          <w:jc w:val="center"/>
        </w:trPr>
        <w:tc>
          <w:tcPr>
            <w:tcW w:w="3929" w:type="pct"/>
            <w:shd w:val="clear" w:color="auto" w:fill="auto"/>
            <w:vAlign w:val="center"/>
          </w:tcPr>
          <w:p w14:paraId="2911E023" w14:textId="77777777" w:rsidR="0050059F" w:rsidRPr="00177770" w:rsidRDefault="0050059F" w:rsidP="00824CD6">
            <w:pPr>
              <w:widowControl/>
              <w:overflowPunct w:val="0"/>
              <w:spacing w:afterLines="10" w:after="36" w:line="280" w:lineRule="exact"/>
              <w:ind w:left="570" w:hangingChars="285" w:hanging="570"/>
              <w:jc w:val="both"/>
              <w:rPr>
                <w:rFonts w:ascii="標楷體" w:eastAsia="標楷體" w:hAnsi="標楷體"/>
                <w:snapToGrid w:val="0"/>
                <w:kern w:val="0"/>
                <w:sz w:val="20"/>
              </w:rPr>
            </w:pPr>
            <w:r w:rsidRPr="00177770">
              <w:rPr>
                <w:rFonts w:ascii="標楷體" w:eastAsia="標楷體" w:hAnsi="標楷體" w:hint="eastAsia"/>
                <w:snapToGrid w:val="0"/>
                <w:kern w:val="0"/>
                <w:sz w:val="20"/>
              </w:rPr>
              <w:t>（五）為</w:t>
            </w:r>
            <w:proofErr w:type="gramStart"/>
            <w:r w:rsidRPr="00177770">
              <w:rPr>
                <w:rFonts w:ascii="標楷體" w:eastAsia="標楷體" w:hAnsi="標楷體" w:hint="eastAsia"/>
                <w:snapToGrid w:val="0"/>
                <w:kern w:val="0"/>
                <w:sz w:val="20"/>
              </w:rPr>
              <w:t>建構環型</w:t>
            </w:r>
            <w:proofErr w:type="gramEnd"/>
            <w:r w:rsidRPr="00177770">
              <w:rPr>
                <w:rFonts w:ascii="標楷體" w:eastAsia="標楷體" w:hAnsi="標楷體" w:hint="eastAsia"/>
                <w:snapToGrid w:val="0"/>
                <w:kern w:val="0"/>
                <w:sz w:val="20"/>
              </w:rPr>
              <w:t>路網串連</w:t>
            </w:r>
            <w:proofErr w:type="gramStart"/>
            <w:r w:rsidRPr="00177770">
              <w:rPr>
                <w:rFonts w:ascii="標楷體" w:eastAsia="標楷體" w:hAnsi="標楷體" w:hint="eastAsia"/>
                <w:snapToGrid w:val="0"/>
                <w:kern w:val="0"/>
                <w:sz w:val="20"/>
              </w:rPr>
              <w:t>臺</w:t>
            </w:r>
            <w:proofErr w:type="gramEnd"/>
            <w:r w:rsidRPr="00177770">
              <w:rPr>
                <w:rFonts w:ascii="標楷體" w:eastAsia="標楷體" w:hAnsi="標楷體" w:hint="eastAsia"/>
                <w:snapToGrid w:val="0"/>
                <w:kern w:val="0"/>
                <w:sz w:val="20"/>
              </w:rPr>
              <w:t>北都會區捷運路線，辦理捷運環狀線</w:t>
            </w:r>
            <w:proofErr w:type="gramStart"/>
            <w:r w:rsidRPr="00177770">
              <w:rPr>
                <w:rFonts w:ascii="標楷體" w:eastAsia="標楷體" w:hAnsi="標楷體" w:hint="eastAsia"/>
                <w:snapToGrid w:val="0"/>
                <w:kern w:val="0"/>
                <w:sz w:val="20"/>
              </w:rPr>
              <w:t>北環段</w:t>
            </w:r>
            <w:proofErr w:type="gramEnd"/>
            <w:r w:rsidRPr="00177770">
              <w:rPr>
                <w:rFonts w:ascii="標楷體" w:eastAsia="標楷體" w:hAnsi="標楷體"/>
                <w:snapToGrid w:val="0"/>
                <w:kern w:val="0"/>
                <w:sz w:val="20"/>
              </w:rPr>
              <w:t>CF680C區段標工程</w:t>
            </w:r>
            <w:r w:rsidRPr="00177770">
              <w:rPr>
                <w:rFonts w:ascii="標楷體" w:eastAsia="標楷體" w:hAnsi="標楷體" w:hint="eastAsia"/>
                <w:snapToGrid w:val="0"/>
                <w:kern w:val="0"/>
                <w:sz w:val="20"/>
              </w:rPr>
              <w:t>，惟工程執行期間未配合鑽掘泥漿</w:t>
            </w:r>
            <w:proofErr w:type="gramStart"/>
            <w:r w:rsidRPr="00177770">
              <w:rPr>
                <w:rFonts w:ascii="標楷體" w:eastAsia="標楷體" w:hAnsi="標楷體" w:hint="eastAsia"/>
                <w:snapToGrid w:val="0"/>
                <w:kern w:val="0"/>
                <w:sz w:val="20"/>
              </w:rPr>
              <w:t>實際運棄方式</w:t>
            </w:r>
            <w:proofErr w:type="gramEnd"/>
            <w:r w:rsidRPr="00177770">
              <w:rPr>
                <w:rFonts w:ascii="標楷體" w:eastAsia="標楷體" w:hAnsi="標楷體" w:hint="eastAsia"/>
                <w:snapToGrid w:val="0"/>
                <w:kern w:val="0"/>
                <w:sz w:val="20"/>
              </w:rPr>
              <w:t>調整契約價金，有待檢討改善。</w:t>
            </w:r>
          </w:p>
        </w:tc>
        <w:tc>
          <w:tcPr>
            <w:tcW w:w="1071" w:type="pct"/>
            <w:vMerge/>
            <w:tcBorders>
              <w:tl2br w:val="single" w:sz="4" w:space="0" w:color="auto"/>
            </w:tcBorders>
            <w:shd w:val="clear" w:color="auto" w:fill="auto"/>
          </w:tcPr>
          <w:p w14:paraId="2DD070FD" w14:textId="77777777" w:rsidR="0050059F" w:rsidRPr="00177770" w:rsidRDefault="0050059F" w:rsidP="00824CD6">
            <w:pPr>
              <w:widowControl/>
              <w:overflowPunct w:val="0"/>
              <w:spacing w:line="280" w:lineRule="exact"/>
              <w:jc w:val="both"/>
              <w:rPr>
                <w:rFonts w:ascii="標楷體" w:eastAsia="標楷體" w:hAnsi="標楷體"/>
                <w:sz w:val="20"/>
              </w:rPr>
            </w:pPr>
          </w:p>
        </w:tc>
      </w:tr>
    </w:tbl>
    <w:p w14:paraId="24857C6F" w14:textId="62277DA5" w:rsidR="002A2BD6" w:rsidRPr="00E81DE0" w:rsidRDefault="002A2BD6" w:rsidP="0050059F">
      <w:pPr>
        <w:widowControl/>
        <w:rPr>
          <w:rFonts w:ascii="標楷體" w:eastAsia="標楷體" w:hAnsi="標楷體" w:cs="Times New Roman"/>
          <w:b/>
          <w:kern w:val="0"/>
          <w:sz w:val="36"/>
          <w:szCs w:val="36"/>
        </w:rPr>
      </w:pPr>
      <w:r>
        <w:rPr>
          <w:rFonts w:ascii="標楷體" w:eastAsia="標楷體" w:hAnsi="標楷體"/>
          <w:b/>
          <w:color w:val="000000" w:themeColor="text1"/>
          <w:sz w:val="28"/>
          <w:szCs w:val="28"/>
        </w:rPr>
        <w:br w:type="page"/>
      </w:r>
      <w:r w:rsidRPr="00E81DE0">
        <w:rPr>
          <w:rFonts w:ascii="標楷體" w:eastAsia="標楷體" w:hAnsi="標楷體" w:cs="Times New Roman" w:hint="eastAsia"/>
          <w:b/>
          <w:kern w:val="0"/>
          <w:sz w:val="36"/>
          <w:szCs w:val="36"/>
        </w:rPr>
        <w:lastRenderedPageBreak/>
        <w:t>貳拾</w:t>
      </w:r>
      <w:r>
        <w:rPr>
          <w:rFonts w:ascii="標楷體" w:eastAsia="標楷體" w:hAnsi="標楷體" w:cs="Times New Roman" w:hint="eastAsia"/>
          <w:b/>
          <w:kern w:val="0"/>
          <w:sz w:val="36"/>
          <w:szCs w:val="36"/>
        </w:rPr>
        <w:t>陸</w:t>
      </w:r>
      <w:r w:rsidRPr="00E81DE0">
        <w:rPr>
          <w:rFonts w:ascii="標楷體" w:eastAsia="標楷體" w:hAnsi="標楷體" w:cs="Times New Roman" w:hint="eastAsia"/>
          <w:b/>
          <w:kern w:val="0"/>
          <w:sz w:val="36"/>
          <w:szCs w:val="36"/>
        </w:rPr>
        <w:t>、</w:t>
      </w:r>
      <w:r>
        <w:rPr>
          <w:rFonts w:ascii="標楷體" w:eastAsia="標楷體" w:hAnsi="標楷體" w:cs="Times New Roman" w:hint="eastAsia"/>
          <w:b/>
          <w:kern w:val="0"/>
          <w:sz w:val="36"/>
          <w:szCs w:val="36"/>
        </w:rPr>
        <w:t>青年</w:t>
      </w:r>
      <w:r w:rsidRPr="00E81DE0">
        <w:rPr>
          <w:rFonts w:ascii="標楷體" w:eastAsia="標楷體" w:hAnsi="標楷體" w:cs="Times New Roman" w:hint="eastAsia"/>
          <w:b/>
          <w:kern w:val="0"/>
          <w:sz w:val="36"/>
          <w:szCs w:val="36"/>
        </w:rPr>
        <w:t>局主管</w:t>
      </w:r>
    </w:p>
    <w:p w14:paraId="30036E64" w14:textId="77777777" w:rsidR="002A2BD6" w:rsidRPr="00E81DE0" w:rsidRDefault="002A2BD6" w:rsidP="002A2BD6">
      <w:pPr>
        <w:spacing w:beforeLines="50" w:before="180" w:line="420" w:lineRule="exact"/>
        <w:ind w:firstLineChars="200" w:firstLine="480"/>
        <w:jc w:val="both"/>
        <w:rPr>
          <w:rFonts w:ascii="標楷體" w:eastAsia="標楷體" w:hAnsi="標楷體" w:cs="Times New Roman"/>
          <w:kern w:val="0"/>
          <w:szCs w:val="24"/>
        </w:rPr>
      </w:pPr>
      <w:r>
        <w:rPr>
          <w:rFonts w:ascii="標楷體" w:eastAsia="標楷體" w:hAnsi="標楷體" w:cs="Times New Roman" w:hint="eastAsia"/>
          <w:kern w:val="0"/>
          <w:szCs w:val="24"/>
        </w:rPr>
        <w:t>青年</w:t>
      </w:r>
      <w:r w:rsidRPr="00E81DE0">
        <w:rPr>
          <w:rFonts w:ascii="標楷體" w:eastAsia="標楷體" w:hAnsi="標楷體" w:cs="Times New Roman" w:hint="eastAsia"/>
          <w:kern w:val="0"/>
          <w:szCs w:val="24"/>
        </w:rPr>
        <w:t>局主管僅</w:t>
      </w:r>
      <w:r w:rsidRPr="00977739">
        <w:rPr>
          <w:rFonts w:ascii="標楷體" w:eastAsia="標楷體" w:hAnsi="標楷體" w:cs="Times New Roman" w:hint="eastAsia"/>
          <w:spacing w:val="-2"/>
          <w:kern w:val="0"/>
          <w:szCs w:val="24"/>
        </w:rPr>
        <w:t>青年局</w:t>
      </w:r>
      <w:r w:rsidRPr="00977739">
        <w:rPr>
          <w:rFonts w:ascii="標楷體" w:eastAsia="標楷體" w:hAnsi="標楷體" w:cs="Times New Roman"/>
          <w:spacing w:val="-2"/>
          <w:kern w:val="0"/>
          <w:szCs w:val="24"/>
        </w:rPr>
        <w:t>1</w:t>
      </w:r>
      <w:r w:rsidRPr="00977739">
        <w:rPr>
          <w:rFonts w:ascii="標楷體" w:eastAsia="標楷體" w:hAnsi="標楷體" w:cs="Times New Roman" w:hint="eastAsia"/>
          <w:spacing w:val="-2"/>
          <w:kern w:val="0"/>
          <w:szCs w:val="24"/>
        </w:rPr>
        <w:t>個機關</w:t>
      </w:r>
      <w:r w:rsidRPr="00977739">
        <w:rPr>
          <w:rFonts w:ascii="Arial" w:hAnsi="Arial" w:cs="Arial" w:hint="eastAsia"/>
          <w:color w:val="1A1A1A"/>
          <w:spacing w:val="-2"/>
          <w:shd w:val="clear" w:color="auto" w:fill="FAFAFA"/>
        </w:rPr>
        <w:t>，</w:t>
      </w:r>
      <w:r w:rsidRPr="00977739">
        <w:rPr>
          <w:rFonts w:ascii="標楷體" w:eastAsia="標楷體" w:hAnsi="標楷體" w:cs="Times New Roman" w:hint="eastAsia"/>
          <w:spacing w:val="-2"/>
          <w:kern w:val="0"/>
          <w:szCs w:val="24"/>
        </w:rPr>
        <w:t>掌理臺北市青年政策、</w:t>
      </w:r>
      <w:proofErr w:type="gramStart"/>
      <w:r w:rsidRPr="00977739">
        <w:rPr>
          <w:rFonts w:ascii="標楷體" w:eastAsia="標楷體" w:hAnsi="標楷體" w:cs="Times New Roman" w:hint="eastAsia"/>
          <w:spacing w:val="-2"/>
          <w:kern w:val="0"/>
          <w:szCs w:val="24"/>
        </w:rPr>
        <w:t>研</w:t>
      </w:r>
      <w:proofErr w:type="gramEnd"/>
      <w:r w:rsidRPr="00977739">
        <w:rPr>
          <w:rFonts w:ascii="標楷體" w:eastAsia="標楷體" w:hAnsi="標楷體" w:cs="Times New Roman" w:hint="eastAsia"/>
          <w:spacing w:val="-2"/>
          <w:kern w:val="0"/>
          <w:szCs w:val="24"/>
        </w:rPr>
        <w:t>擬青年國際發展及青年職</w:t>
      </w:r>
      <w:proofErr w:type="gramStart"/>
      <w:r w:rsidRPr="00977739">
        <w:rPr>
          <w:rFonts w:ascii="標楷體" w:eastAsia="標楷體" w:hAnsi="標楷體" w:cs="Times New Roman" w:hint="eastAsia"/>
          <w:spacing w:val="-2"/>
          <w:kern w:val="0"/>
          <w:szCs w:val="24"/>
        </w:rPr>
        <w:t>涯</w:t>
      </w:r>
      <w:proofErr w:type="gramEnd"/>
      <w:r w:rsidRPr="00977739">
        <w:rPr>
          <w:rFonts w:ascii="標楷體" w:eastAsia="標楷體" w:hAnsi="標楷體" w:cs="Times New Roman" w:hint="eastAsia"/>
          <w:spacing w:val="-2"/>
          <w:kern w:val="0"/>
          <w:szCs w:val="24"/>
        </w:rPr>
        <w:t>發展策略等業務。臺北市議會於113年1月31日第14屆第3次臨時大會第4次會議三讀審議通過，臺北市政府於113年4月18日以</w:t>
      </w:r>
      <w:proofErr w:type="gramStart"/>
      <w:r w:rsidRPr="00977739">
        <w:rPr>
          <w:rFonts w:ascii="標楷體" w:eastAsia="標楷體" w:hAnsi="標楷體" w:cs="Times New Roman" w:hint="eastAsia"/>
          <w:spacing w:val="-2"/>
          <w:kern w:val="0"/>
          <w:szCs w:val="24"/>
        </w:rPr>
        <w:t>府法綜字</w:t>
      </w:r>
      <w:proofErr w:type="gramEnd"/>
      <w:r w:rsidRPr="00977739">
        <w:rPr>
          <w:rFonts w:ascii="標楷體" w:eastAsia="標楷體" w:hAnsi="標楷體" w:cs="Times New Roman" w:hint="eastAsia"/>
          <w:spacing w:val="-2"/>
          <w:kern w:val="0"/>
          <w:szCs w:val="24"/>
        </w:rPr>
        <w:t>第1133016034號令訂定發布「臺北市政府青年局組織規程」及編制表，113年6月1日成立臺北市政府青年局。茲將</w:t>
      </w:r>
      <w:proofErr w:type="gramStart"/>
      <w:r w:rsidRPr="00977739">
        <w:rPr>
          <w:rFonts w:ascii="標楷體" w:eastAsia="標楷體" w:hAnsi="標楷體" w:cs="Times New Roman" w:hint="eastAsia"/>
          <w:spacing w:val="-2"/>
          <w:kern w:val="0"/>
          <w:szCs w:val="24"/>
        </w:rPr>
        <w:t>113</w:t>
      </w:r>
      <w:proofErr w:type="gramEnd"/>
      <w:r w:rsidRPr="00977739">
        <w:rPr>
          <w:rFonts w:ascii="標楷體" w:eastAsia="標楷體" w:hAnsi="標楷體" w:cs="Times New Roman" w:hint="eastAsia"/>
          <w:spacing w:val="-2"/>
          <w:kern w:val="0"/>
          <w:szCs w:val="24"/>
        </w:rPr>
        <w:t>年度決算審核結果說明如次：</w:t>
      </w:r>
    </w:p>
    <w:p w14:paraId="0EAEB16C" w14:textId="77777777" w:rsidR="002A2BD6" w:rsidRPr="00E81DE0" w:rsidRDefault="002A2BD6" w:rsidP="002A2BD6">
      <w:pPr>
        <w:spacing w:beforeLines="30" w:before="108" w:afterLines="30" w:after="108" w:line="420" w:lineRule="exact"/>
        <w:ind w:leftChars="100" w:left="240"/>
        <w:jc w:val="both"/>
        <w:rPr>
          <w:rFonts w:ascii="標楷體" w:eastAsia="標楷體" w:hAnsi="標楷體" w:cs="Times New Roman"/>
          <w:b/>
          <w:kern w:val="0"/>
          <w:sz w:val="28"/>
          <w:szCs w:val="28"/>
        </w:rPr>
      </w:pPr>
      <w:r>
        <w:rPr>
          <w:rFonts w:ascii="標楷體" w:eastAsia="標楷體" w:hAnsi="標楷體" w:cs="Times New Roman"/>
          <w:b/>
          <w:kern w:val="0"/>
          <w:sz w:val="28"/>
          <w:szCs w:val="28"/>
        </w:rPr>
        <w:t>（</w:t>
      </w:r>
      <w:r w:rsidRPr="00E81DE0">
        <w:rPr>
          <w:rFonts w:ascii="標楷體" w:eastAsia="標楷體" w:hAnsi="標楷體" w:cs="Times New Roman" w:hint="eastAsia"/>
          <w:b/>
          <w:kern w:val="0"/>
          <w:sz w:val="28"/>
          <w:szCs w:val="28"/>
        </w:rPr>
        <w:t>一</w:t>
      </w:r>
      <w:r>
        <w:rPr>
          <w:rFonts w:ascii="標楷體" w:eastAsia="標楷體" w:hAnsi="標楷體" w:cs="Times New Roman"/>
          <w:b/>
          <w:kern w:val="0"/>
          <w:sz w:val="28"/>
          <w:szCs w:val="28"/>
        </w:rPr>
        <w:t>）</w:t>
      </w:r>
      <w:r w:rsidRPr="00E81DE0">
        <w:rPr>
          <w:rFonts w:ascii="標楷體" w:eastAsia="標楷體" w:hAnsi="標楷體" w:cs="Times New Roman" w:hint="eastAsia"/>
          <w:b/>
          <w:kern w:val="0"/>
          <w:sz w:val="28"/>
          <w:szCs w:val="28"/>
        </w:rPr>
        <w:t>計畫實施之查核</w:t>
      </w:r>
    </w:p>
    <w:p w14:paraId="5ED92D76" w14:textId="77777777" w:rsidR="002A2BD6" w:rsidRPr="00946C8B" w:rsidRDefault="002A2BD6" w:rsidP="002A2BD6">
      <w:pPr>
        <w:spacing w:line="420" w:lineRule="exact"/>
        <w:ind w:firstLineChars="200" w:firstLine="480"/>
        <w:jc w:val="both"/>
        <w:rPr>
          <w:rFonts w:ascii="標楷體" w:eastAsia="標楷體" w:hAnsi="標楷體" w:cs="Times New Roman"/>
          <w:kern w:val="0"/>
          <w:szCs w:val="24"/>
        </w:rPr>
      </w:pPr>
      <w:r w:rsidRPr="00946C8B">
        <w:rPr>
          <w:rFonts w:ascii="標楷體" w:eastAsia="標楷體" w:hAnsi="標楷體" w:cs="Times New Roman" w:hint="eastAsia"/>
          <w:kern w:val="0"/>
          <w:szCs w:val="24"/>
        </w:rPr>
        <w:t>業務計畫4項，下分工作計畫5項，包括促進青年參與公共事務，打造青年發聲平</w:t>
      </w:r>
      <w:proofErr w:type="gramStart"/>
      <w:r>
        <w:rPr>
          <w:rFonts w:ascii="標楷體" w:eastAsia="標楷體" w:hAnsi="標楷體" w:cs="Times New Roman" w:hint="eastAsia"/>
          <w:kern w:val="0"/>
          <w:szCs w:val="24"/>
        </w:rPr>
        <w:t>臺</w:t>
      </w:r>
      <w:proofErr w:type="gramEnd"/>
      <w:r w:rsidRPr="00946C8B">
        <w:rPr>
          <w:rFonts w:ascii="標楷體" w:eastAsia="標楷體" w:hAnsi="標楷體" w:cs="Times New Roman" w:hint="eastAsia"/>
          <w:kern w:val="0"/>
          <w:szCs w:val="24"/>
        </w:rPr>
        <w:t>、辦理青年多元培力課程及活動、推動「臺北市政府促進青年國際發展補助要點」，協助青年參與國際事務、推動職</w:t>
      </w:r>
      <w:proofErr w:type="gramStart"/>
      <w:r w:rsidRPr="00946C8B">
        <w:rPr>
          <w:rFonts w:ascii="標楷體" w:eastAsia="標楷體" w:hAnsi="標楷體" w:cs="Times New Roman" w:hint="eastAsia"/>
          <w:kern w:val="0"/>
          <w:szCs w:val="24"/>
        </w:rPr>
        <w:t>涯</w:t>
      </w:r>
      <w:proofErr w:type="gramEnd"/>
      <w:r w:rsidRPr="00946C8B">
        <w:rPr>
          <w:rFonts w:ascii="標楷體" w:eastAsia="標楷體" w:hAnsi="標楷體" w:cs="Times New Roman" w:hint="eastAsia"/>
          <w:kern w:val="0"/>
          <w:szCs w:val="24"/>
        </w:rPr>
        <w:t>發展全方位服務</w:t>
      </w:r>
      <w:r>
        <w:rPr>
          <w:rFonts w:ascii="標楷體" w:eastAsia="標楷體" w:hAnsi="標楷體" w:cs="Times New Roman" w:hint="eastAsia"/>
          <w:kern w:val="0"/>
          <w:szCs w:val="24"/>
        </w:rPr>
        <w:t>，</w:t>
      </w:r>
      <w:r w:rsidRPr="00946C8B">
        <w:rPr>
          <w:rFonts w:ascii="標楷體" w:eastAsia="標楷體" w:hAnsi="標楷體" w:cs="Times New Roman" w:hint="eastAsia"/>
          <w:kern w:val="0"/>
          <w:szCs w:val="24"/>
        </w:rPr>
        <w:t>及提供青年創業支持與輔導資源等重要施政項目，</w:t>
      </w:r>
      <w:proofErr w:type="gramStart"/>
      <w:r w:rsidRPr="00946C8B">
        <w:rPr>
          <w:rFonts w:ascii="標楷體" w:eastAsia="標楷體" w:hAnsi="標楷體" w:cs="Times New Roman" w:hint="eastAsia"/>
          <w:kern w:val="0"/>
          <w:szCs w:val="24"/>
        </w:rPr>
        <w:t>均已執行</w:t>
      </w:r>
      <w:proofErr w:type="gramEnd"/>
      <w:r w:rsidRPr="00946C8B">
        <w:rPr>
          <w:rFonts w:ascii="標楷體" w:eastAsia="標楷體" w:hAnsi="標楷體" w:cs="Times New Roman" w:hint="eastAsia"/>
          <w:kern w:val="0"/>
          <w:szCs w:val="24"/>
        </w:rPr>
        <w:t>完成。</w:t>
      </w:r>
    </w:p>
    <w:p w14:paraId="4CB1EEAB" w14:textId="77777777" w:rsidR="002A2BD6" w:rsidRPr="00946C8B" w:rsidRDefault="002A2BD6" w:rsidP="002A2BD6">
      <w:pPr>
        <w:spacing w:beforeLines="30" w:before="108" w:afterLines="30" w:after="108" w:line="420" w:lineRule="exact"/>
        <w:ind w:leftChars="100" w:left="240"/>
        <w:jc w:val="both"/>
        <w:rPr>
          <w:rFonts w:ascii="標楷體" w:eastAsia="標楷體" w:hAnsi="標楷體" w:cs="Times New Roman"/>
          <w:b/>
          <w:kern w:val="0"/>
          <w:sz w:val="28"/>
          <w:szCs w:val="28"/>
        </w:rPr>
      </w:pPr>
      <w:r w:rsidRPr="00946C8B">
        <w:rPr>
          <w:rFonts w:ascii="標楷體" w:eastAsia="標楷體" w:hAnsi="標楷體" w:cs="Times New Roman"/>
          <w:b/>
          <w:kern w:val="0"/>
          <w:sz w:val="28"/>
          <w:szCs w:val="28"/>
        </w:rPr>
        <w:t>（</w:t>
      </w:r>
      <w:r w:rsidRPr="00946C8B">
        <w:rPr>
          <w:rFonts w:ascii="標楷體" w:eastAsia="標楷體" w:hAnsi="標楷體" w:cs="Times New Roman" w:hint="eastAsia"/>
          <w:b/>
          <w:kern w:val="0"/>
          <w:sz w:val="28"/>
          <w:szCs w:val="28"/>
        </w:rPr>
        <w:t>二</w:t>
      </w:r>
      <w:r w:rsidRPr="00946C8B">
        <w:rPr>
          <w:rFonts w:ascii="標楷體" w:eastAsia="標楷體" w:hAnsi="標楷體" w:cs="Times New Roman"/>
          <w:b/>
          <w:kern w:val="0"/>
          <w:sz w:val="28"/>
          <w:szCs w:val="28"/>
        </w:rPr>
        <w:t>）</w:t>
      </w:r>
      <w:r w:rsidRPr="00946C8B">
        <w:rPr>
          <w:rFonts w:ascii="標楷體" w:eastAsia="標楷體" w:hAnsi="標楷體" w:cs="Times New Roman" w:hint="eastAsia"/>
          <w:b/>
          <w:kern w:val="0"/>
          <w:sz w:val="28"/>
          <w:szCs w:val="28"/>
        </w:rPr>
        <w:t>預算執行之審核</w:t>
      </w:r>
    </w:p>
    <w:p w14:paraId="611DF80D" w14:textId="77777777" w:rsidR="002A2BD6" w:rsidRDefault="002A2BD6" w:rsidP="002A2BD6">
      <w:pPr>
        <w:spacing w:line="420" w:lineRule="exact"/>
        <w:ind w:firstLineChars="200" w:firstLine="480"/>
        <w:jc w:val="both"/>
        <w:rPr>
          <w:rFonts w:ascii="標楷體" w:eastAsia="標楷體" w:hAnsi="標楷體"/>
          <w:kern w:val="0"/>
          <w:szCs w:val="24"/>
        </w:rPr>
      </w:pPr>
      <w:r>
        <w:rPr>
          <w:rFonts w:ascii="標楷體" w:eastAsia="標楷體" w:hAnsi="標楷體" w:hint="eastAsia"/>
          <w:kern w:val="0"/>
          <w:szCs w:val="24"/>
        </w:rPr>
        <w:t>1.</w:t>
      </w:r>
      <w:proofErr w:type="gramStart"/>
      <w:r>
        <w:rPr>
          <w:rFonts w:ascii="標楷體" w:eastAsia="標楷體" w:hAnsi="標楷體" w:hint="eastAsia"/>
          <w:kern w:val="0"/>
          <w:szCs w:val="24"/>
        </w:rPr>
        <w:t>歲入原未編列</w:t>
      </w:r>
      <w:proofErr w:type="gramEnd"/>
      <w:r>
        <w:rPr>
          <w:rFonts w:ascii="標楷體" w:eastAsia="標楷體" w:hAnsi="標楷體" w:hint="eastAsia"/>
          <w:kern w:val="0"/>
          <w:szCs w:val="24"/>
        </w:rPr>
        <w:t>預算數，經追加預算1,539萬元，決算審核結果，修正增列實現數43萬餘元，係增列場地租借廠商使用費收入；審定實現數1,642萬餘元，較預算增加103萬餘元（6.70％），主要係場地設施使用費較預計增加。</w:t>
      </w:r>
    </w:p>
    <w:p w14:paraId="55C1F412" w14:textId="77777777" w:rsidR="002A2BD6" w:rsidRPr="00A129F7" w:rsidRDefault="002A2BD6" w:rsidP="002A2BD6">
      <w:pPr>
        <w:spacing w:line="420" w:lineRule="exact"/>
        <w:ind w:firstLineChars="200" w:firstLine="480"/>
        <w:jc w:val="both"/>
        <w:rPr>
          <w:rFonts w:ascii="標楷體" w:eastAsia="標楷體" w:hAnsi="標楷體"/>
          <w:kern w:val="0"/>
          <w:szCs w:val="24"/>
        </w:rPr>
      </w:pPr>
      <w:r>
        <w:rPr>
          <w:rFonts w:ascii="標楷體" w:eastAsia="標楷體" w:hAnsi="標楷體" w:hint="eastAsia"/>
          <w:kern w:val="0"/>
          <w:szCs w:val="24"/>
        </w:rPr>
        <w:t>2.歲</w:t>
      </w:r>
      <w:proofErr w:type="gramStart"/>
      <w:r>
        <w:rPr>
          <w:rFonts w:ascii="標楷體" w:eastAsia="標楷體" w:hAnsi="標楷體" w:hint="eastAsia"/>
          <w:kern w:val="0"/>
          <w:szCs w:val="24"/>
        </w:rPr>
        <w:t>出原未編列</w:t>
      </w:r>
      <w:proofErr w:type="gramEnd"/>
      <w:r>
        <w:rPr>
          <w:rFonts w:ascii="標楷體" w:eastAsia="標楷體" w:hAnsi="標楷體" w:hint="eastAsia"/>
          <w:kern w:val="0"/>
          <w:szCs w:val="24"/>
        </w:rPr>
        <w:t>預算數，經追加預算1億1</w:t>
      </w:r>
      <w:r>
        <w:rPr>
          <w:rFonts w:ascii="標楷體" w:eastAsia="標楷體" w:hAnsi="標楷體"/>
          <w:kern w:val="0"/>
          <w:szCs w:val="24"/>
        </w:rPr>
        <w:t>,</w:t>
      </w:r>
      <w:r>
        <w:rPr>
          <w:rFonts w:ascii="標楷體" w:eastAsia="標楷體" w:hAnsi="標楷體" w:hint="eastAsia"/>
          <w:kern w:val="0"/>
          <w:szCs w:val="24"/>
        </w:rPr>
        <w:t>988萬餘元，並因</w:t>
      </w:r>
      <w:r w:rsidRPr="00750F16">
        <w:rPr>
          <w:rFonts w:ascii="標楷體" w:eastAsia="標楷體" w:hAnsi="標楷體" w:hint="eastAsia"/>
          <w:kern w:val="0"/>
          <w:szCs w:val="24"/>
        </w:rPr>
        <w:t>推動青年公共參與及多元培力</w:t>
      </w:r>
      <w:r>
        <w:rPr>
          <w:rFonts w:ascii="標楷體" w:eastAsia="標楷體" w:hAnsi="標楷體" w:hint="eastAsia"/>
          <w:kern w:val="0"/>
          <w:szCs w:val="24"/>
        </w:rPr>
        <w:t>與發展</w:t>
      </w:r>
      <w:r w:rsidRPr="00750F16">
        <w:rPr>
          <w:rFonts w:ascii="標楷體" w:eastAsia="標楷體" w:hAnsi="標楷體" w:hint="eastAsia"/>
          <w:kern w:val="0"/>
          <w:szCs w:val="24"/>
        </w:rPr>
        <w:t>、青年國際發展與體驗交流、青年職</w:t>
      </w:r>
      <w:proofErr w:type="gramStart"/>
      <w:r w:rsidRPr="00750F16">
        <w:rPr>
          <w:rFonts w:ascii="標楷體" w:eastAsia="標楷體" w:hAnsi="標楷體" w:hint="eastAsia"/>
          <w:kern w:val="0"/>
          <w:szCs w:val="24"/>
        </w:rPr>
        <w:t>涯</w:t>
      </w:r>
      <w:proofErr w:type="gramEnd"/>
      <w:r w:rsidRPr="00750F16">
        <w:rPr>
          <w:rFonts w:ascii="標楷體" w:eastAsia="標楷體" w:hAnsi="標楷體" w:hint="eastAsia"/>
          <w:kern w:val="0"/>
          <w:szCs w:val="24"/>
        </w:rPr>
        <w:t>與創業</w:t>
      </w:r>
      <w:r>
        <w:rPr>
          <w:rFonts w:ascii="標楷體" w:eastAsia="標楷體" w:hAnsi="標楷體" w:hint="eastAsia"/>
          <w:kern w:val="0"/>
          <w:szCs w:val="24"/>
        </w:rPr>
        <w:t>支援</w:t>
      </w:r>
      <w:r w:rsidRPr="00750F16">
        <w:rPr>
          <w:rFonts w:ascii="標楷體" w:eastAsia="標楷體" w:hAnsi="標楷體" w:hint="eastAsia"/>
          <w:kern w:val="0"/>
          <w:szCs w:val="24"/>
        </w:rPr>
        <w:t>等相關業務</w:t>
      </w:r>
      <w:r>
        <w:rPr>
          <w:rFonts w:ascii="標楷體" w:eastAsia="標楷體" w:hAnsi="標楷體" w:hint="eastAsia"/>
          <w:kern w:val="0"/>
          <w:szCs w:val="24"/>
        </w:rPr>
        <w:t>所需經費</w:t>
      </w:r>
      <w:proofErr w:type="gramStart"/>
      <w:r>
        <w:rPr>
          <w:rFonts w:ascii="標楷體" w:eastAsia="標楷體" w:hAnsi="標楷體" w:hint="eastAsia"/>
          <w:kern w:val="0"/>
          <w:szCs w:val="24"/>
        </w:rPr>
        <w:t>不敷等事由</w:t>
      </w:r>
      <w:proofErr w:type="gramEnd"/>
      <w:r>
        <w:rPr>
          <w:rFonts w:ascii="標楷體" w:eastAsia="標楷體" w:hAnsi="標楷體" w:hint="eastAsia"/>
          <w:kern w:val="0"/>
          <w:szCs w:val="24"/>
        </w:rPr>
        <w:t>，經動支第二預備金4,801萬餘元，及因人事費不足申請動支各類員工待遇準備873萬餘元，合計1億7,663萬餘元，決算審核結果，修正減列實現數54萬餘元，</w:t>
      </w:r>
      <w:proofErr w:type="gramStart"/>
      <w:r>
        <w:rPr>
          <w:rFonts w:ascii="標楷體" w:eastAsia="標楷體" w:hAnsi="標楷體" w:hint="eastAsia"/>
          <w:kern w:val="0"/>
          <w:szCs w:val="24"/>
        </w:rPr>
        <w:t>係減列</w:t>
      </w:r>
      <w:proofErr w:type="gramEnd"/>
      <w:r>
        <w:rPr>
          <w:rFonts w:ascii="標楷體" w:eastAsia="標楷體" w:hAnsi="標楷體" w:hint="eastAsia"/>
          <w:kern w:val="0"/>
          <w:szCs w:val="24"/>
        </w:rPr>
        <w:t>應由租借房地使用單位分攤之水電費</w:t>
      </w:r>
      <w:r w:rsidRPr="00C7313B">
        <w:rPr>
          <w:rFonts w:ascii="標楷體" w:eastAsia="標楷體" w:hAnsi="標楷體"/>
          <w:kern w:val="0"/>
          <w:szCs w:val="24"/>
        </w:rPr>
        <w:t>；審定實現數1億6,570萬餘元（93.81％），預算賸餘1,092萬餘元（6.19％），</w:t>
      </w:r>
      <w:r w:rsidRPr="003547DF">
        <w:rPr>
          <w:rFonts w:ascii="標楷體" w:eastAsia="標楷體" w:hAnsi="標楷體"/>
          <w:kern w:val="0"/>
          <w:szCs w:val="24"/>
        </w:rPr>
        <w:t>主要係</w:t>
      </w:r>
      <w:r w:rsidRPr="003547DF">
        <w:rPr>
          <w:rFonts w:ascii="標楷體" w:eastAsia="標楷體" w:hAnsi="標楷體" w:hint="eastAsia"/>
          <w:kern w:val="0"/>
          <w:szCs w:val="24"/>
        </w:rPr>
        <w:t>辦理青年發展相關補助計畫經費賸餘</w:t>
      </w:r>
      <w:r w:rsidRPr="003547DF">
        <w:rPr>
          <w:rFonts w:ascii="標楷體" w:eastAsia="標楷體" w:hAnsi="標楷體"/>
          <w:kern w:val="0"/>
          <w:szCs w:val="24"/>
        </w:rPr>
        <w:t>。</w:t>
      </w:r>
    </w:p>
    <w:p w14:paraId="0CBD3F38" w14:textId="77777777" w:rsidR="002A2BD6" w:rsidRPr="00CD245A" w:rsidRDefault="002A2BD6" w:rsidP="00795725">
      <w:pPr>
        <w:overflowPunct w:val="0"/>
        <w:autoSpaceDE w:val="0"/>
        <w:autoSpaceDN w:val="0"/>
        <w:adjustRightInd w:val="0"/>
        <w:spacing w:beforeLines="35" w:before="126" w:afterLines="30" w:after="108" w:line="420" w:lineRule="exact"/>
        <w:ind w:firstLineChars="100" w:firstLine="280"/>
        <w:jc w:val="both"/>
        <w:rPr>
          <w:rFonts w:ascii="標楷體" w:eastAsia="標楷體" w:hAnsi="標楷體" w:cs="DFKaiShu-SB-Estd-BF"/>
          <w:b/>
          <w:color w:val="000000" w:themeColor="text1"/>
          <w:sz w:val="28"/>
          <w:szCs w:val="28"/>
        </w:rPr>
      </w:pPr>
      <w:r w:rsidRPr="00CD245A">
        <w:rPr>
          <w:rFonts w:ascii="標楷體" w:eastAsia="標楷體" w:hAnsi="標楷體" w:cs="DFKaiShu-SB-Estd-BF" w:hint="eastAsia"/>
          <w:b/>
          <w:color w:val="000000" w:themeColor="text1"/>
          <w:sz w:val="28"/>
          <w:szCs w:val="28"/>
        </w:rPr>
        <w:t>（</w:t>
      </w:r>
      <w:r>
        <w:rPr>
          <w:rFonts w:ascii="標楷體" w:eastAsia="標楷體" w:hAnsi="標楷體" w:cs="DFKaiShu-SB-Estd-BF" w:hint="eastAsia"/>
          <w:b/>
          <w:color w:val="000000" w:themeColor="text1"/>
          <w:sz w:val="28"/>
          <w:szCs w:val="28"/>
        </w:rPr>
        <w:t>三</w:t>
      </w:r>
      <w:r w:rsidRPr="00CD245A">
        <w:rPr>
          <w:rFonts w:ascii="標楷體" w:eastAsia="標楷體" w:hAnsi="標楷體" w:cs="DFKaiShu-SB-Estd-BF" w:hint="eastAsia"/>
          <w:b/>
          <w:color w:val="000000" w:themeColor="text1"/>
          <w:sz w:val="28"/>
          <w:szCs w:val="28"/>
        </w:rPr>
        <w:t>）</w:t>
      </w:r>
      <w:r>
        <w:rPr>
          <w:rFonts w:ascii="標楷體" w:eastAsia="標楷體" w:hAnsi="標楷體" w:cs="DFKaiShu-SB-Estd-BF" w:hint="eastAsia"/>
          <w:b/>
          <w:color w:val="000000" w:themeColor="text1"/>
          <w:sz w:val="28"/>
          <w:szCs w:val="28"/>
        </w:rPr>
        <w:t>重要審核意見</w:t>
      </w:r>
    </w:p>
    <w:p w14:paraId="532EF14E" w14:textId="77777777" w:rsidR="002A2BD6" w:rsidRPr="009E382E" w:rsidRDefault="002A2BD6" w:rsidP="009A5C88">
      <w:pPr>
        <w:overflowPunct w:val="0"/>
        <w:spacing w:beforeLines="50" w:before="180" w:after="40" w:line="440" w:lineRule="exact"/>
        <w:ind w:firstLineChars="200" w:firstLine="561"/>
        <w:jc w:val="both"/>
        <w:outlineLvl w:val="1"/>
        <w:rPr>
          <w:rFonts w:ascii="標楷體" w:eastAsia="標楷體" w:hAnsi="標楷體" w:cs="新細明體"/>
          <w:b/>
          <w:color w:val="000000" w:themeColor="text1"/>
          <w:kern w:val="0"/>
          <w:sz w:val="28"/>
          <w:szCs w:val="28"/>
        </w:rPr>
      </w:pPr>
      <w:r>
        <w:rPr>
          <w:rFonts w:ascii="標楷體" w:eastAsia="標楷體" w:hAnsi="標楷體" w:cs="新細明體"/>
          <w:b/>
          <w:color w:val="000000" w:themeColor="text1"/>
          <w:kern w:val="0"/>
          <w:sz w:val="28"/>
          <w:szCs w:val="28"/>
        </w:rPr>
        <w:t>1</w:t>
      </w:r>
      <w:r w:rsidRPr="002F2550">
        <w:rPr>
          <w:rFonts w:ascii="標楷體" w:eastAsia="標楷體" w:hAnsi="標楷體" w:cs="新細明體"/>
          <w:b/>
          <w:color w:val="000000" w:themeColor="text1"/>
          <w:kern w:val="0"/>
          <w:sz w:val="28"/>
          <w:szCs w:val="28"/>
        </w:rPr>
        <w:t>.</w:t>
      </w:r>
      <w:bookmarkStart w:id="119" w:name="_Hlk199841021"/>
      <w:r w:rsidRPr="00EE3EDF">
        <w:rPr>
          <w:rFonts w:ascii="標楷體" w:eastAsia="標楷體" w:hAnsi="標楷體" w:cs="新細明體" w:hint="eastAsia"/>
          <w:b/>
          <w:color w:val="000000" w:themeColor="text1"/>
          <w:kern w:val="0"/>
          <w:sz w:val="28"/>
          <w:szCs w:val="28"/>
        </w:rPr>
        <w:t>為協助青年職</w:t>
      </w:r>
      <w:proofErr w:type="gramStart"/>
      <w:r w:rsidRPr="00EE3EDF">
        <w:rPr>
          <w:rFonts w:ascii="標楷體" w:eastAsia="標楷體" w:hAnsi="標楷體" w:cs="新細明體" w:hint="eastAsia"/>
          <w:b/>
          <w:color w:val="000000" w:themeColor="text1"/>
          <w:kern w:val="0"/>
          <w:sz w:val="28"/>
          <w:szCs w:val="28"/>
        </w:rPr>
        <w:t>涯</w:t>
      </w:r>
      <w:proofErr w:type="gramEnd"/>
      <w:r w:rsidRPr="00EE3EDF">
        <w:rPr>
          <w:rFonts w:ascii="標楷體" w:eastAsia="標楷體" w:hAnsi="標楷體" w:cs="新細明體" w:hint="eastAsia"/>
          <w:b/>
          <w:color w:val="000000" w:themeColor="text1"/>
          <w:kern w:val="0"/>
          <w:sz w:val="28"/>
          <w:szCs w:val="28"/>
        </w:rPr>
        <w:t>成長，</w:t>
      </w:r>
      <w:r>
        <w:rPr>
          <w:rFonts w:ascii="標楷體" w:eastAsia="標楷體" w:hAnsi="標楷體" w:cs="新細明體" w:hint="eastAsia"/>
          <w:b/>
          <w:color w:val="000000" w:themeColor="text1"/>
          <w:kern w:val="0"/>
          <w:sz w:val="28"/>
          <w:szCs w:val="28"/>
        </w:rPr>
        <w:t>委託經營</w:t>
      </w:r>
      <w:proofErr w:type="gramStart"/>
      <w:r w:rsidRPr="00EE3EDF">
        <w:rPr>
          <w:rFonts w:ascii="標楷體" w:eastAsia="標楷體" w:hAnsi="標楷體" w:cs="新細明體" w:hint="eastAsia"/>
          <w:b/>
          <w:color w:val="000000" w:themeColor="text1"/>
          <w:kern w:val="0"/>
          <w:sz w:val="28"/>
          <w:szCs w:val="28"/>
        </w:rPr>
        <w:t>臺</w:t>
      </w:r>
      <w:proofErr w:type="gramEnd"/>
      <w:r w:rsidRPr="00EE3EDF">
        <w:rPr>
          <w:rFonts w:ascii="標楷體" w:eastAsia="標楷體" w:hAnsi="標楷體" w:cs="新細明體" w:hint="eastAsia"/>
          <w:b/>
          <w:color w:val="000000" w:themeColor="text1"/>
          <w:kern w:val="0"/>
          <w:sz w:val="28"/>
          <w:szCs w:val="28"/>
        </w:rPr>
        <w:t>北青年職</w:t>
      </w:r>
      <w:proofErr w:type="gramStart"/>
      <w:r w:rsidRPr="00EE3EDF">
        <w:rPr>
          <w:rFonts w:ascii="標楷體" w:eastAsia="標楷體" w:hAnsi="標楷體" w:cs="新細明體" w:hint="eastAsia"/>
          <w:b/>
          <w:color w:val="000000" w:themeColor="text1"/>
          <w:kern w:val="0"/>
          <w:sz w:val="28"/>
          <w:szCs w:val="28"/>
        </w:rPr>
        <w:t>涯</w:t>
      </w:r>
      <w:proofErr w:type="gramEnd"/>
      <w:r w:rsidRPr="00EE3EDF">
        <w:rPr>
          <w:rFonts w:ascii="標楷體" w:eastAsia="標楷體" w:hAnsi="標楷體" w:cs="新細明體" w:hint="eastAsia"/>
          <w:b/>
          <w:color w:val="000000" w:themeColor="text1"/>
          <w:kern w:val="0"/>
          <w:sz w:val="28"/>
          <w:szCs w:val="28"/>
        </w:rPr>
        <w:t>發展中心</w:t>
      </w:r>
      <w:r>
        <w:rPr>
          <w:rFonts w:ascii="標楷體" w:eastAsia="標楷體" w:hAnsi="標楷體" w:cs="新細明體" w:hint="eastAsia"/>
          <w:b/>
          <w:color w:val="000000" w:themeColor="text1"/>
          <w:kern w:val="0"/>
          <w:sz w:val="28"/>
          <w:szCs w:val="28"/>
        </w:rPr>
        <w:t>，持續</w:t>
      </w:r>
      <w:r w:rsidRPr="00EE3EDF">
        <w:rPr>
          <w:rFonts w:ascii="標楷體" w:eastAsia="標楷體" w:hAnsi="標楷體" w:cs="新細明體" w:hint="eastAsia"/>
          <w:b/>
          <w:color w:val="000000" w:themeColor="text1"/>
          <w:kern w:val="0"/>
          <w:sz w:val="28"/>
          <w:szCs w:val="28"/>
        </w:rPr>
        <w:t>提供多元職</w:t>
      </w:r>
      <w:proofErr w:type="gramStart"/>
      <w:r w:rsidRPr="00EE3EDF">
        <w:rPr>
          <w:rFonts w:ascii="標楷體" w:eastAsia="標楷體" w:hAnsi="標楷體" w:cs="新細明體" w:hint="eastAsia"/>
          <w:b/>
          <w:color w:val="000000" w:themeColor="text1"/>
          <w:kern w:val="0"/>
          <w:sz w:val="28"/>
          <w:szCs w:val="28"/>
        </w:rPr>
        <w:t>涯</w:t>
      </w:r>
      <w:proofErr w:type="gramEnd"/>
      <w:r w:rsidRPr="00EE3EDF">
        <w:rPr>
          <w:rFonts w:ascii="標楷體" w:eastAsia="標楷體" w:hAnsi="標楷體" w:cs="新細明體" w:hint="eastAsia"/>
          <w:b/>
          <w:color w:val="000000" w:themeColor="text1"/>
          <w:kern w:val="0"/>
          <w:sz w:val="28"/>
          <w:szCs w:val="28"/>
        </w:rPr>
        <w:t>發展服務</w:t>
      </w:r>
      <w:r>
        <w:rPr>
          <w:rFonts w:ascii="標楷體" w:eastAsia="標楷體" w:hAnsi="標楷體" w:cs="新細明體" w:hint="eastAsia"/>
          <w:b/>
          <w:color w:val="000000" w:themeColor="text1"/>
          <w:kern w:val="0"/>
          <w:sz w:val="28"/>
          <w:szCs w:val="28"/>
        </w:rPr>
        <w:t>及相關補助</w:t>
      </w:r>
      <w:r w:rsidRPr="00EE3EDF">
        <w:rPr>
          <w:rFonts w:ascii="標楷體" w:eastAsia="標楷體" w:hAnsi="標楷體" w:cs="新細明體" w:hint="eastAsia"/>
          <w:b/>
          <w:color w:val="000000" w:themeColor="text1"/>
          <w:kern w:val="0"/>
          <w:sz w:val="28"/>
          <w:szCs w:val="28"/>
        </w:rPr>
        <w:t>，</w:t>
      </w:r>
      <w:proofErr w:type="gramStart"/>
      <w:r w:rsidRPr="00EE3EDF">
        <w:rPr>
          <w:rFonts w:ascii="標楷體" w:eastAsia="標楷體" w:hAnsi="標楷體" w:cs="新細明體" w:hint="eastAsia"/>
          <w:b/>
          <w:color w:val="000000" w:themeColor="text1"/>
          <w:kern w:val="0"/>
          <w:sz w:val="28"/>
          <w:szCs w:val="28"/>
        </w:rPr>
        <w:t>惟核有</w:t>
      </w:r>
      <w:proofErr w:type="gramEnd"/>
      <w:r w:rsidRPr="00EE3EDF">
        <w:rPr>
          <w:rFonts w:ascii="標楷體" w:eastAsia="標楷體" w:hAnsi="標楷體" w:cs="新細明體" w:hint="eastAsia"/>
          <w:b/>
          <w:color w:val="000000" w:themeColor="text1"/>
          <w:kern w:val="0"/>
          <w:sz w:val="28"/>
          <w:szCs w:val="28"/>
        </w:rPr>
        <w:t>辦理職</w:t>
      </w:r>
      <w:proofErr w:type="gramStart"/>
      <w:r w:rsidRPr="00EE3EDF">
        <w:rPr>
          <w:rFonts w:ascii="標楷體" w:eastAsia="標楷體" w:hAnsi="標楷體" w:cs="新細明體" w:hint="eastAsia"/>
          <w:b/>
          <w:color w:val="000000" w:themeColor="text1"/>
          <w:kern w:val="0"/>
          <w:sz w:val="28"/>
          <w:szCs w:val="28"/>
        </w:rPr>
        <w:t>涯</w:t>
      </w:r>
      <w:proofErr w:type="gramEnd"/>
      <w:r w:rsidRPr="00EE3EDF">
        <w:rPr>
          <w:rFonts w:ascii="標楷體" w:eastAsia="標楷體" w:hAnsi="標楷體" w:cs="新細明體" w:hint="eastAsia"/>
          <w:b/>
          <w:color w:val="000000" w:themeColor="text1"/>
          <w:kern w:val="0"/>
          <w:sz w:val="28"/>
          <w:szCs w:val="28"/>
        </w:rPr>
        <w:t>發展評估個案後續追蹤與關懷服務</w:t>
      </w:r>
      <w:r w:rsidRPr="00EE3EDF">
        <w:rPr>
          <w:rFonts w:ascii="標楷體" w:eastAsia="標楷體" w:hAnsi="標楷體" w:cs="新細明體"/>
          <w:b/>
          <w:color w:val="000000" w:themeColor="text1"/>
          <w:kern w:val="0"/>
          <w:sz w:val="28"/>
          <w:szCs w:val="28"/>
        </w:rPr>
        <w:t>未</w:t>
      </w:r>
      <w:proofErr w:type="gramStart"/>
      <w:r w:rsidRPr="00EE3EDF">
        <w:rPr>
          <w:rFonts w:ascii="標楷體" w:eastAsia="標楷體" w:hAnsi="標楷體" w:cs="新細明體" w:hint="eastAsia"/>
          <w:b/>
          <w:color w:val="000000" w:themeColor="text1"/>
          <w:kern w:val="0"/>
          <w:sz w:val="28"/>
          <w:szCs w:val="28"/>
        </w:rPr>
        <w:t>臻</w:t>
      </w:r>
      <w:proofErr w:type="gramEnd"/>
      <w:r w:rsidRPr="00EE3EDF">
        <w:rPr>
          <w:rFonts w:ascii="標楷體" w:eastAsia="標楷體" w:hAnsi="標楷體" w:cs="新細明體" w:hint="eastAsia"/>
          <w:b/>
          <w:color w:val="000000" w:themeColor="text1"/>
          <w:kern w:val="0"/>
          <w:sz w:val="28"/>
          <w:szCs w:val="28"/>
        </w:rPr>
        <w:t>周妥落實，或結合企業開發實習職缺成效仍低，或與學校合作開辦職前先修班</w:t>
      </w:r>
      <w:r>
        <w:rPr>
          <w:rFonts w:ascii="標楷體" w:eastAsia="標楷體" w:hAnsi="標楷體" w:cs="新細明體" w:hint="eastAsia"/>
          <w:b/>
          <w:color w:val="000000" w:themeColor="text1"/>
          <w:kern w:val="0"/>
          <w:sz w:val="28"/>
          <w:szCs w:val="28"/>
        </w:rPr>
        <w:t>之合作對象普及</w:t>
      </w:r>
      <w:r w:rsidRPr="00EE3EDF">
        <w:rPr>
          <w:rFonts w:ascii="標楷體" w:eastAsia="標楷體" w:hAnsi="標楷體" w:cs="新細明體" w:hint="eastAsia"/>
          <w:b/>
          <w:color w:val="000000" w:themeColor="text1"/>
          <w:kern w:val="0"/>
          <w:sz w:val="28"/>
          <w:szCs w:val="28"/>
        </w:rPr>
        <w:t>率不足，或</w:t>
      </w:r>
      <w:r>
        <w:rPr>
          <w:rFonts w:ascii="標楷體" w:eastAsia="標楷體" w:hAnsi="標楷體" w:cs="新細明體" w:hint="eastAsia"/>
          <w:b/>
          <w:color w:val="000000" w:themeColor="text1"/>
          <w:kern w:val="0"/>
          <w:sz w:val="28"/>
          <w:szCs w:val="28"/>
        </w:rPr>
        <w:t>核發青年交通運具補助人次未如預期</w:t>
      </w:r>
      <w:r w:rsidRPr="00EE3EDF">
        <w:rPr>
          <w:rFonts w:ascii="標楷體" w:eastAsia="標楷體" w:hAnsi="標楷體" w:cs="新細明體" w:hint="eastAsia"/>
          <w:b/>
          <w:color w:val="000000" w:themeColor="text1"/>
          <w:kern w:val="0"/>
          <w:sz w:val="28"/>
          <w:szCs w:val="28"/>
        </w:rPr>
        <w:t>等情，有待檢討改善</w:t>
      </w:r>
      <w:bookmarkEnd w:id="119"/>
      <w:r>
        <w:rPr>
          <w:rFonts w:ascii="標楷體" w:eastAsia="標楷體" w:hAnsi="標楷體" w:cs="新細明體" w:hint="eastAsia"/>
          <w:b/>
          <w:color w:val="000000" w:themeColor="text1"/>
          <w:kern w:val="0"/>
          <w:sz w:val="28"/>
          <w:szCs w:val="28"/>
        </w:rPr>
        <w:t>。</w:t>
      </w:r>
    </w:p>
    <w:p w14:paraId="25284B27" w14:textId="77777777" w:rsidR="009A5C88" w:rsidRDefault="002A2BD6" w:rsidP="00D60636">
      <w:pPr>
        <w:spacing w:beforeLines="20" w:before="72" w:line="420" w:lineRule="exact"/>
        <w:ind w:firstLineChars="200" w:firstLine="480"/>
        <w:jc w:val="both"/>
        <w:rPr>
          <w:rFonts w:ascii="標楷體" w:eastAsia="標楷體" w:hAnsi="標楷體" w:cs="新細明體"/>
          <w:color w:val="000000" w:themeColor="text1"/>
          <w:kern w:val="0"/>
          <w:szCs w:val="24"/>
        </w:rPr>
      </w:pPr>
      <w:r w:rsidRPr="00844B7B">
        <w:rPr>
          <w:rFonts w:ascii="標楷體" w:eastAsia="標楷體" w:hAnsi="標楷體" w:cs="新細明體" w:hint="eastAsia"/>
          <w:color w:val="000000" w:themeColor="text1"/>
          <w:kern w:val="0"/>
          <w:szCs w:val="24"/>
        </w:rPr>
        <w:t>青年局為因應臺北市就業服務處自113年7月起將「</w:t>
      </w:r>
      <w:proofErr w:type="gramStart"/>
      <w:r w:rsidRPr="00844B7B">
        <w:rPr>
          <w:rFonts w:ascii="標楷體" w:eastAsia="標楷體" w:hAnsi="標楷體" w:cs="新細明體" w:hint="eastAsia"/>
          <w:color w:val="000000" w:themeColor="text1"/>
          <w:kern w:val="0"/>
          <w:szCs w:val="24"/>
        </w:rPr>
        <w:t>臺</w:t>
      </w:r>
      <w:proofErr w:type="gramEnd"/>
      <w:r w:rsidRPr="00844B7B">
        <w:rPr>
          <w:rFonts w:ascii="標楷體" w:eastAsia="標楷體" w:hAnsi="標楷體" w:cs="新細明體" w:hint="eastAsia"/>
          <w:color w:val="000000" w:themeColor="text1"/>
          <w:kern w:val="0"/>
          <w:szCs w:val="24"/>
        </w:rPr>
        <w:t>北青年職</w:t>
      </w:r>
      <w:proofErr w:type="gramStart"/>
      <w:r w:rsidRPr="00844B7B">
        <w:rPr>
          <w:rFonts w:ascii="標楷體" w:eastAsia="標楷體" w:hAnsi="標楷體" w:cs="新細明體" w:hint="eastAsia"/>
          <w:color w:val="000000" w:themeColor="text1"/>
          <w:kern w:val="0"/>
          <w:szCs w:val="24"/>
        </w:rPr>
        <w:t>涯</w:t>
      </w:r>
      <w:proofErr w:type="gramEnd"/>
      <w:r w:rsidRPr="00844B7B">
        <w:rPr>
          <w:rFonts w:ascii="標楷體" w:eastAsia="標楷體" w:hAnsi="標楷體" w:cs="新細明體" w:hint="eastAsia"/>
          <w:color w:val="000000" w:themeColor="text1"/>
          <w:kern w:val="0"/>
          <w:szCs w:val="24"/>
        </w:rPr>
        <w:t>發展中心</w:t>
      </w:r>
      <w:r>
        <w:rPr>
          <w:rFonts w:ascii="標楷體" w:eastAsia="標楷體" w:hAnsi="標楷體" w:cs="新細明體" w:hint="eastAsia"/>
          <w:color w:val="000000" w:themeColor="text1"/>
          <w:kern w:val="0"/>
          <w:szCs w:val="24"/>
        </w:rPr>
        <w:t>－</w:t>
      </w:r>
      <w:r w:rsidRPr="00844B7B">
        <w:rPr>
          <w:rFonts w:ascii="標楷體" w:eastAsia="標楷體" w:hAnsi="標楷體" w:cs="新細明體" w:hint="eastAsia"/>
          <w:color w:val="000000" w:themeColor="text1"/>
          <w:kern w:val="0"/>
          <w:szCs w:val="24"/>
        </w:rPr>
        <w:t>Taipei Youth Salon」</w:t>
      </w:r>
      <w:r>
        <w:rPr>
          <w:rFonts w:ascii="標楷體" w:eastAsia="標楷體" w:hAnsi="標楷體" w:cs="新細明體" w:hint="eastAsia"/>
          <w:color w:val="000000" w:themeColor="text1"/>
          <w:kern w:val="0"/>
          <w:szCs w:val="24"/>
        </w:rPr>
        <w:t>（</w:t>
      </w:r>
      <w:r w:rsidRPr="00844B7B">
        <w:rPr>
          <w:rFonts w:ascii="標楷體" w:eastAsia="標楷體" w:hAnsi="標楷體" w:cs="新細明體" w:hint="eastAsia"/>
          <w:color w:val="000000" w:themeColor="text1"/>
          <w:kern w:val="0"/>
          <w:szCs w:val="24"/>
        </w:rPr>
        <w:t>下稱TYS</w:t>
      </w:r>
      <w:r>
        <w:rPr>
          <w:rFonts w:ascii="標楷體" w:eastAsia="標楷體" w:hAnsi="標楷體" w:cs="新細明體" w:hint="eastAsia"/>
          <w:color w:val="000000" w:themeColor="text1"/>
          <w:kern w:val="0"/>
          <w:szCs w:val="24"/>
        </w:rPr>
        <w:t>）</w:t>
      </w:r>
      <w:r w:rsidRPr="00844B7B">
        <w:rPr>
          <w:rFonts w:ascii="標楷體" w:eastAsia="標楷體" w:hAnsi="標楷體" w:cs="新細明體" w:hint="eastAsia"/>
          <w:color w:val="000000" w:themeColor="text1"/>
          <w:kern w:val="0"/>
          <w:szCs w:val="24"/>
        </w:rPr>
        <w:t>業務移撥至該局執行需要，於</w:t>
      </w:r>
      <w:proofErr w:type="gramStart"/>
      <w:r w:rsidRPr="00844B7B">
        <w:rPr>
          <w:rFonts w:ascii="標楷體" w:eastAsia="標楷體" w:hAnsi="標楷體" w:cs="新細明體" w:hint="eastAsia"/>
          <w:color w:val="000000" w:themeColor="text1"/>
          <w:kern w:val="0"/>
          <w:szCs w:val="24"/>
        </w:rPr>
        <w:t>113</w:t>
      </w:r>
      <w:proofErr w:type="gramEnd"/>
      <w:r w:rsidRPr="00844B7B">
        <w:rPr>
          <w:rFonts w:ascii="標楷體" w:eastAsia="標楷體" w:hAnsi="標楷體" w:cs="新細明體" w:hint="eastAsia"/>
          <w:color w:val="000000" w:themeColor="text1"/>
          <w:kern w:val="0"/>
          <w:szCs w:val="24"/>
        </w:rPr>
        <w:t>年度辦理追加預算732萬餘元，與原勞務採購案廠商辦理後續擴充採購事宜，</w:t>
      </w:r>
      <w:proofErr w:type="gramStart"/>
      <w:r w:rsidRPr="00844B7B">
        <w:rPr>
          <w:rFonts w:ascii="標楷體" w:eastAsia="標楷體" w:hAnsi="標楷體" w:cs="新細明體" w:hint="eastAsia"/>
          <w:color w:val="000000" w:themeColor="text1"/>
          <w:kern w:val="0"/>
          <w:szCs w:val="24"/>
        </w:rPr>
        <w:t>賡</w:t>
      </w:r>
      <w:proofErr w:type="gramEnd"/>
      <w:r w:rsidRPr="00844B7B">
        <w:rPr>
          <w:rFonts w:ascii="標楷體" w:eastAsia="標楷體" w:hAnsi="標楷體" w:cs="新細明體" w:hint="eastAsia"/>
          <w:color w:val="000000" w:themeColor="text1"/>
          <w:kern w:val="0"/>
          <w:szCs w:val="24"/>
        </w:rPr>
        <w:t>續提供青年有關職</w:t>
      </w:r>
      <w:proofErr w:type="gramStart"/>
      <w:r w:rsidRPr="00844B7B">
        <w:rPr>
          <w:rFonts w:ascii="標楷體" w:eastAsia="標楷體" w:hAnsi="標楷體" w:cs="新細明體" w:hint="eastAsia"/>
          <w:color w:val="000000" w:themeColor="text1"/>
          <w:kern w:val="0"/>
          <w:szCs w:val="24"/>
        </w:rPr>
        <w:t>涯</w:t>
      </w:r>
      <w:proofErr w:type="gramEnd"/>
      <w:r w:rsidRPr="00844B7B">
        <w:rPr>
          <w:rFonts w:ascii="標楷體" w:eastAsia="標楷體" w:hAnsi="標楷體" w:cs="新細明體" w:hint="eastAsia"/>
          <w:color w:val="000000" w:themeColor="text1"/>
          <w:kern w:val="0"/>
          <w:szCs w:val="24"/>
        </w:rPr>
        <w:t>發展評估、職場體驗實習及職</w:t>
      </w:r>
      <w:proofErr w:type="gramStart"/>
      <w:r w:rsidRPr="00844B7B">
        <w:rPr>
          <w:rFonts w:ascii="標楷體" w:eastAsia="標楷體" w:hAnsi="標楷體" w:cs="新細明體" w:hint="eastAsia"/>
          <w:color w:val="000000" w:themeColor="text1"/>
          <w:kern w:val="0"/>
          <w:szCs w:val="24"/>
        </w:rPr>
        <w:t>涯</w:t>
      </w:r>
      <w:proofErr w:type="gramEnd"/>
      <w:r w:rsidRPr="00844B7B">
        <w:rPr>
          <w:rFonts w:ascii="標楷體" w:eastAsia="標楷體" w:hAnsi="標楷體" w:cs="新細明體" w:hint="eastAsia"/>
          <w:color w:val="000000" w:themeColor="text1"/>
          <w:kern w:val="0"/>
          <w:szCs w:val="24"/>
        </w:rPr>
        <w:t>成長支持等服務至113年底止，以協助青年完成職前準備、順利銜接職場</w:t>
      </w:r>
      <w:r>
        <w:rPr>
          <w:rFonts w:ascii="標楷體" w:eastAsia="標楷體" w:hAnsi="標楷體" w:cs="新細明體" w:hint="eastAsia"/>
          <w:color w:val="000000" w:themeColor="text1"/>
          <w:kern w:val="0"/>
          <w:szCs w:val="24"/>
        </w:rPr>
        <w:t>。</w:t>
      </w:r>
      <w:r w:rsidRPr="00BF433A">
        <w:rPr>
          <w:rFonts w:ascii="標楷體" w:eastAsia="標楷體" w:hAnsi="標楷體" w:cs="新細明體" w:hint="eastAsia"/>
          <w:color w:val="000000" w:themeColor="text1"/>
          <w:kern w:val="0"/>
          <w:szCs w:val="24"/>
        </w:rPr>
        <w:t>另為鼓勵臺北市15歲以上未滿30歲之青年積極接受該局職前準備服務，</w:t>
      </w:r>
      <w:proofErr w:type="gramStart"/>
      <w:r w:rsidRPr="00BF433A">
        <w:rPr>
          <w:rFonts w:ascii="標楷體" w:eastAsia="標楷體" w:hAnsi="標楷體" w:cs="新細明體" w:hint="eastAsia"/>
          <w:color w:val="000000" w:themeColor="text1"/>
          <w:kern w:val="0"/>
          <w:szCs w:val="24"/>
        </w:rPr>
        <w:t>113年度</w:t>
      </w:r>
      <w:r>
        <w:rPr>
          <w:rFonts w:ascii="標楷體" w:eastAsia="標楷體" w:hAnsi="標楷體" w:cs="新細明體" w:hint="eastAsia"/>
          <w:color w:val="000000" w:themeColor="text1"/>
          <w:kern w:val="0"/>
          <w:szCs w:val="24"/>
        </w:rPr>
        <w:t>匡列</w:t>
      </w:r>
      <w:r w:rsidRPr="00BF433A">
        <w:rPr>
          <w:rFonts w:ascii="標楷體" w:eastAsia="標楷體" w:hAnsi="標楷體" w:cs="新細明體" w:hint="eastAsia"/>
          <w:color w:val="000000" w:themeColor="text1"/>
          <w:kern w:val="0"/>
          <w:szCs w:val="24"/>
        </w:rPr>
        <w:t>預算</w:t>
      </w:r>
      <w:proofErr w:type="gramEnd"/>
      <w:r>
        <w:rPr>
          <w:rFonts w:ascii="標楷體" w:eastAsia="標楷體" w:hAnsi="標楷體" w:cs="新細明體" w:hint="eastAsia"/>
          <w:color w:val="000000" w:themeColor="text1"/>
          <w:kern w:val="0"/>
          <w:szCs w:val="24"/>
        </w:rPr>
        <w:t>1</w:t>
      </w:r>
      <w:r>
        <w:rPr>
          <w:rFonts w:ascii="標楷體" w:eastAsia="標楷體" w:hAnsi="標楷體" w:cs="新細明體"/>
          <w:color w:val="000000" w:themeColor="text1"/>
          <w:kern w:val="0"/>
          <w:szCs w:val="24"/>
        </w:rPr>
        <w:t>,</w:t>
      </w:r>
      <w:r>
        <w:rPr>
          <w:rFonts w:ascii="標楷體" w:eastAsia="標楷體" w:hAnsi="標楷體" w:cs="新細明體" w:hint="eastAsia"/>
          <w:color w:val="000000" w:themeColor="text1"/>
          <w:kern w:val="0"/>
          <w:szCs w:val="24"/>
        </w:rPr>
        <w:t>100</w:t>
      </w:r>
      <w:r w:rsidRPr="00BF433A">
        <w:rPr>
          <w:rFonts w:ascii="標楷體" w:eastAsia="標楷體" w:hAnsi="標楷體" w:cs="新細明體" w:hint="eastAsia"/>
          <w:color w:val="000000" w:themeColor="text1"/>
          <w:kern w:val="0"/>
          <w:szCs w:val="24"/>
        </w:rPr>
        <w:t>萬</w:t>
      </w:r>
      <w:r>
        <w:rPr>
          <w:rFonts w:ascii="標楷體" w:eastAsia="標楷體" w:hAnsi="標楷體" w:cs="新細明體" w:hint="eastAsia"/>
          <w:color w:val="000000" w:themeColor="text1"/>
          <w:kern w:val="0"/>
          <w:szCs w:val="24"/>
        </w:rPr>
        <w:t>餘</w:t>
      </w:r>
      <w:r w:rsidRPr="00BF433A">
        <w:rPr>
          <w:rFonts w:ascii="標楷體" w:eastAsia="標楷體" w:hAnsi="標楷體" w:cs="新細明體" w:hint="eastAsia"/>
          <w:color w:val="000000" w:themeColor="text1"/>
          <w:kern w:val="0"/>
          <w:szCs w:val="24"/>
        </w:rPr>
        <w:t>元，推動「共</w:t>
      </w:r>
    </w:p>
    <w:p w14:paraId="4AEC0C63" w14:textId="4CDFC9C8" w:rsidR="002A2BD6" w:rsidRPr="003B01C8" w:rsidRDefault="002A2BD6" w:rsidP="003B4CBD">
      <w:pPr>
        <w:spacing w:line="410" w:lineRule="exact"/>
        <w:jc w:val="both"/>
        <w:rPr>
          <w:rFonts w:ascii="標楷體" w:eastAsia="標楷體" w:hAnsi="標楷體" w:cs="新細明體"/>
          <w:color w:val="000000" w:themeColor="text1"/>
          <w:kern w:val="0"/>
          <w:szCs w:val="24"/>
        </w:rPr>
      </w:pPr>
      <w:proofErr w:type="gramStart"/>
      <w:r w:rsidRPr="00BF433A">
        <w:rPr>
          <w:rFonts w:ascii="標楷體" w:eastAsia="標楷體" w:hAnsi="標楷體" w:cs="新細明體" w:hint="eastAsia"/>
          <w:color w:val="000000" w:themeColor="text1"/>
          <w:kern w:val="0"/>
          <w:szCs w:val="24"/>
        </w:rPr>
        <w:lastRenderedPageBreak/>
        <w:t>享運具</w:t>
      </w:r>
      <w:proofErr w:type="gramEnd"/>
      <w:r w:rsidRPr="00BF433A">
        <w:rPr>
          <w:rFonts w:ascii="標楷體" w:eastAsia="標楷體" w:hAnsi="標楷體" w:cs="新細明體" w:hint="eastAsia"/>
          <w:color w:val="000000" w:themeColor="text1"/>
          <w:kern w:val="0"/>
          <w:szCs w:val="24"/>
        </w:rPr>
        <w:t>（機車）時數</w:t>
      </w:r>
      <w:proofErr w:type="gramStart"/>
      <w:r w:rsidRPr="00BF433A">
        <w:rPr>
          <w:rFonts w:ascii="標楷體" w:eastAsia="標楷體" w:hAnsi="標楷體" w:cs="新細明體" w:hint="eastAsia"/>
          <w:color w:val="000000" w:themeColor="text1"/>
          <w:kern w:val="0"/>
          <w:szCs w:val="24"/>
        </w:rPr>
        <w:t>券</w:t>
      </w:r>
      <w:proofErr w:type="gramEnd"/>
      <w:r w:rsidRPr="00BF433A">
        <w:rPr>
          <w:rFonts w:ascii="標楷體" w:eastAsia="標楷體" w:hAnsi="標楷體" w:cs="新細明體" w:hint="eastAsia"/>
          <w:color w:val="000000" w:themeColor="text1"/>
          <w:kern w:val="0"/>
          <w:szCs w:val="24"/>
        </w:rPr>
        <w:t>／折價</w:t>
      </w:r>
      <w:proofErr w:type="gramStart"/>
      <w:r w:rsidRPr="00BF433A">
        <w:rPr>
          <w:rFonts w:ascii="標楷體" w:eastAsia="標楷體" w:hAnsi="標楷體" w:cs="新細明體" w:hint="eastAsia"/>
          <w:color w:val="000000" w:themeColor="text1"/>
          <w:kern w:val="0"/>
          <w:szCs w:val="24"/>
        </w:rPr>
        <w:t>券</w:t>
      </w:r>
      <w:proofErr w:type="gramEnd"/>
      <w:r w:rsidRPr="00BF433A">
        <w:rPr>
          <w:rFonts w:ascii="標楷體" w:eastAsia="標楷體" w:hAnsi="標楷體" w:cs="新細明體" w:hint="eastAsia"/>
          <w:color w:val="000000" w:themeColor="text1"/>
          <w:kern w:val="0"/>
          <w:szCs w:val="24"/>
        </w:rPr>
        <w:t>暨大眾運輸工具補助計畫2.0」</w:t>
      </w:r>
      <w:r>
        <w:rPr>
          <w:rFonts w:ascii="標楷體" w:eastAsia="標楷體" w:hAnsi="標楷體" w:cs="新細明體" w:hint="eastAsia"/>
          <w:color w:val="000000" w:themeColor="text1"/>
          <w:kern w:val="0"/>
          <w:szCs w:val="24"/>
        </w:rPr>
        <w:t>（</w:t>
      </w:r>
      <w:r w:rsidRPr="00BF433A">
        <w:rPr>
          <w:rFonts w:ascii="標楷體" w:eastAsia="標楷體" w:hAnsi="標楷體" w:cs="新細明體" w:hint="eastAsia"/>
          <w:color w:val="000000" w:themeColor="text1"/>
          <w:kern w:val="0"/>
          <w:szCs w:val="24"/>
        </w:rPr>
        <w:t>下稱交通運具補助計畫2.0</w:t>
      </w:r>
      <w:r>
        <w:rPr>
          <w:rFonts w:ascii="標楷體" w:eastAsia="標楷體" w:hAnsi="標楷體" w:cs="新細明體" w:hint="eastAsia"/>
          <w:color w:val="000000" w:themeColor="text1"/>
          <w:kern w:val="0"/>
          <w:szCs w:val="24"/>
        </w:rPr>
        <w:t>）</w:t>
      </w:r>
      <w:r w:rsidRPr="00BF433A">
        <w:rPr>
          <w:rFonts w:ascii="標楷體" w:eastAsia="標楷體" w:hAnsi="標楷體" w:cs="新細明體" w:hint="eastAsia"/>
          <w:color w:val="000000" w:themeColor="text1"/>
          <w:kern w:val="0"/>
          <w:szCs w:val="24"/>
        </w:rPr>
        <w:t>，</w:t>
      </w:r>
      <w:r>
        <w:rPr>
          <w:rFonts w:ascii="標楷體" w:eastAsia="標楷體" w:hAnsi="標楷體" w:cs="新細明體" w:hint="eastAsia"/>
          <w:color w:val="000000" w:themeColor="text1"/>
          <w:kern w:val="0"/>
          <w:szCs w:val="24"/>
        </w:rPr>
        <w:t>及</w:t>
      </w:r>
      <w:r w:rsidRPr="00BF433A">
        <w:rPr>
          <w:rFonts w:ascii="標楷體" w:eastAsia="標楷體" w:hAnsi="標楷體" w:cs="新細明體" w:hint="eastAsia"/>
          <w:color w:val="000000" w:themeColor="text1"/>
          <w:kern w:val="0"/>
          <w:szCs w:val="24"/>
        </w:rPr>
        <w:t>「青年實習津貼計畫」，提供設籍臺北市青年</w:t>
      </w:r>
      <w:r>
        <w:rPr>
          <w:rFonts w:ascii="標楷體" w:eastAsia="標楷體" w:hAnsi="標楷體" w:cs="新細明體" w:hint="eastAsia"/>
          <w:color w:val="000000" w:themeColor="text1"/>
          <w:kern w:val="0"/>
          <w:szCs w:val="24"/>
        </w:rPr>
        <w:t>價值1,200元之交通運具補助或</w:t>
      </w:r>
      <w:r w:rsidRPr="00BF433A">
        <w:rPr>
          <w:rFonts w:ascii="標楷體" w:eastAsia="標楷體" w:hAnsi="標楷體" w:cs="新細明體" w:hint="eastAsia"/>
          <w:color w:val="000000" w:themeColor="text1"/>
          <w:kern w:val="0"/>
          <w:szCs w:val="24"/>
        </w:rPr>
        <w:t>每人每月5</w:t>
      </w:r>
      <w:r>
        <w:rPr>
          <w:rFonts w:ascii="標楷體" w:eastAsia="標楷體" w:hAnsi="標楷體" w:cs="新細明體" w:hint="eastAsia"/>
          <w:color w:val="000000" w:themeColor="text1"/>
          <w:kern w:val="0"/>
          <w:szCs w:val="24"/>
        </w:rPr>
        <w:t>千</w:t>
      </w:r>
      <w:r w:rsidRPr="00BF433A">
        <w:rPr>
          <w:rFonts w:ascii="標楷體" w:eastAsia="標楷體" w:hAnsi="標楷體" w:cs="新細明體" w:hint="eastAsia"/>
          <w:color w:val="000000" w:themeColor="text1"/>
          <w:kern w:val="0"/>
          <w:szCs w:val="24"/>
        </w:rPr>
        <w:t>元之實習津貼，期協助臺北市待業及就學實習青年減輕求職期間交通及生活負擔壓力。經查</w:t>
      </w:r>
      <w:r>
        <w:rPr>
          <w:rFonts w:ascii="標楷體" w:eastAsia="標楷體" w:hAnsi="標楷體" w:cs="新細明體" w:hint="eastAsia"/>
          <w:color w:val="000000" w:themeColor="text1"/>
          <w:kern w:val="0"/>
          <w:szCs w:val="24"/>
        </w:rPr>
        <w:t>該局</w:t>
      </w:r>
      <w:r w:rsidRPr="00BF433A">
        <w:rPr>
          <w:rFonts w:ascii="標楷體" w:eastAsia="標楷體" w:hAnsi="標楷體" w:cs="新細明體" w:hint="eastAsia"/>
          <w:color w:val="000000" w:themeColor="text1"/>
          <w:kern w:val="0"/>
          <w:szCs w:val="24"/>
        </w:rPr>
        <w:t>執行</w:t>
      </w:r>
      <w:r>
        <w:rPr>
          <w:rFonts w:ascii="標楷體" w:eastAsia="標楷體" w:hAnsi="標楷體" w:cs="新細明體" w:hint="eastAsia"/>
          <w:color w:val="000000" w:themeColor="text1"/>
          <w:kern w:val="0"/>
          <w:szCs w:val="24"/>
        </w:rPr>
        <w:t>前開業務</w:t>
      </w:r>
      <w:r w:rsidRPr="00BF433A">
        <w:rPr>
          <w:rFonts w:ascii="標楷體" w:eastAsia="標楷體" w:hAnsi="標楷體" w:cs="新細明體" w:hint="eastAsia"/>
          <w:color w:val="000000" w:themeColor="text1"/>
          <w:kern w:val="0"/>
          <w:szCs w:val="24"/>
        </w:rPr>
        <w:t>情形，核有：</w:t>
      </w:r>
      <w:r>
        <w:rPr>
          <w:rFonts w:ascii="標楷體" w:eastAsia="標楷體" w:hAnsi="標楷體" w:cs="新細明體" w:hint="eastAsia"/>
          <w:color w:val="000000" w:themeColor="text1"/>
          <w:kern w:val="0"/>
          <w:szCs w:val="24"/>
        </w:rPr>
        <w:t>（1）</w:t>
      </w:r>
      <w:r w:rsidRPr="00367C8F">
        <w:rPr>
          <w:rFonts w:ascii="標楷體" w:eastAsia="標楷體" w:hAnsi="標楷體" w:cs="新細明體" w:hint="eastAsia"/>
          <w:color w:val="000000" w:themeColor="text1"/>
          <w:kern w:val="0"/>
          <w:szCs w:val="24"/>
        </w:rPr>
        <w:t>TYS</w:t>
      </w:r>
      <w:proofErr w:type="gramStart"/>
      <w:r w:rsidRPr="00367C8F">
        <w:rPr>
          <w:rFonts w:ascii="標楷體" w:eastAsia="標楷體" w:hAnsi="標楷體" w:cs="新細明體" w:hint="eastAsia"/>
          <w:color w:val="000000" w:themeColor="text1"/>
          <w:kern w:val="0"/>
          <w:szCs w:val="24"/>
        </w:rPr>
        <w:t>委營廠商</w:t>
      </w:r>
      <w:proofErr w:type="gramEnd"/>
      <w:r w:rsidRPr="00367C8F">
        <w:rPr>
          <w:rFonts w:ascii="標楷體" w:eastAsia="標楷體" w:hAnsi="標楷體" w:cs="新細明體" w:hint="eastAsia"/>
          <w:color w:val="000000" w:themeColor="text1"/>
          <w:kern w:val="0"/>
          <w:szCs w:val="24"/>
        </w:rPr>
        <w:t>113年7至12月辦理青年職</w:t>
      </w:r>
      <w:proofErr w:type="gramStart"/>
      <w:r w:rsidRPr="00367C8F">
        <w:rPr>
          <w:rFonts w:ascii="標楷體" w:eastAsia="標楷體" w:hAnsi="標楷體" w:cs="新細明體" w:hint="eastAsia"/>
          <w:color w:val="000000" w:themeColor="text1"/>
          <w:kern w:val="0"/>
          <w:szCs w:val="24"/>
        </w:rPr>
        <w:t>涯</w:t>
      </w:r>
      <w:proofErr w:type="gramEnd"/>
      <w:r w:rsidRPr="00367C8F">
        <w:rPr>
          <w:rFonts w:ascii="標楷體" w:eastAsia="標楷體" w:hAnsi="標楷體" w:cs="新細明體" w:hint="eastAsia"/>
          <w:color w:val="000000" w:themeColor="text1"/>
          <w:kern w:val="0"/>
          <w:szCs w:val="24"/>
        </w:rPr>
        <w:t>諮詢服務個案後續追蹤與</w:t>
      </w:r>
      <w:r w:rsidRPr="00FB2687">
        <w:rPr>
          <w:rFonts w:ascii="標楷體" w:eastAsia="標楷體" w:hAnsi="標楷體" w:cs="新細明體" w:hint="eastAsia"/>
          <w:color w:val="000000" w:themeColor="text1"/>
          <w:kern w:val="0"/>
          <w:szCs w:val="24"/>
        </w:rPr>
        <w:t>關懷作業情形，</w:t>
      </w:r>
      <w:proofErr w:type="gramStart"/>
      <w:r w:rsidRPr="00FB2687">
        <w:rPr>
          <w:rFonts w:ascii="標楷體" w:eastAsia="標楷體" w:hAnsi="標楷體" w:cs="新細明體" w:hint="eastAsia"/>
          <w:color w:val="000000" w:themeColor="text1"/>
          <w:kern w:val="0"/>
          <w:szCs w:val="24"/>
        </w:rPr>
        <w:t>間有逾</w:t>
      </w:r>
      <w:proofErr w:type="gramEnd"/>
      <w:r w:rsidRPr="00FB2687">
        <w:rPr>
          <w:rFonts w:ascii="標楷體" w:eastAsia="標楷體" w:hAnsi="標楷體" w:cs="新細明體" w:hint="eastAsia"/>
          <w:color w:val="000000" w:themeColor="text1"/>
          <w:kern w:val="0"/>
          <w:szCs w:val="24"/>
        </w:rPr>
        <w:t>規定</w:t>
      </w:r>
      <w:r w:rsidRPr="00367C8F">
        <w:rPr>
          <w:rFonts w:ascii="標楷體" w:eastAsia="標楷體" w:hAnsi="標楷體" w:cs="新細明體" w:hint="eastAsia"/>
          <w:color w:val="000000" w:themeColor="text1"/>
          <w:kern w:val="0"/>
          <w:szCs w:val="24"/>
        </w:rPr>
        <w:t>期限</w:t>
      </w:r>
      <w:r>
        <w:rPr>
          <w:rFonts w:ascii="標楷體" w:eastAsia="標楷體" w:hAnsi="標楷體" w:cs="新細明體" w:hint="eastAsia"/>
          <w:color w:val="000000" w:themeColor="text1"/>
          <w:kern w:val="0"/>
          <w:szCs w:val="24"/>
        </w:rPr>
        <w:t>（</w:t>
      </w:r>
      <w:r w:rsidRPr="00367C8F">
        <w:rPr>
          <w:rFonts w:ascii="標楷體" w:eastAsia="標楷體" w:hAnsi="標楷體" w:cs="新細明體" w:hint="eastAsia"/>
          <w:color w:val="000000" w:themeColor="text1"/>
          <w:kern w:val="0"/>
          <w:szCs w:val="24"/>
        </w:rPr>
        <w:t>3個月</w:t>
      </w:r>
      <w:r>
        <w:rPr>
          <w:rFonts w:ascii="標楷體" w:eastAsia="標楷體" w:hAnsi="標楷體" w:cs="新細明體" w:hint="eastAsia"/>
          <w:color w:val="000000" w:themeColor="text1"/>
          <w:kern w:val="0"/>
          <w:szCs w:val="24"/>
        </w:rPr>
        <w:t>）</w:t>
      </w:r>
      <w:r w:rsidRPr="00367C8F">
        <w:rPr>
          <w:rFonts w:ascii="標楷體" w:eastAsia="標楷體" w:hAnsi="標楷體" w:cs="新細明體" w:hint="eastAsia"/>
          <w:color w:val="000000" w:themeColor="text1"/>
          <w:kern w:val="0"/>
          <w:szCs w:val="24"/>
        </w:rPr>
        <w:t>始進行服務個案後續追蹤與關懷服務，或經追蹤聯繫個案未果，</w:t>
      </w:r>
      <w:r>
        <w:rPr>
          <w:rFonts w:ascii="標楷體" w:eastAsia="標楷體" w:hAnsi="標楷體" w:cs="新細明體" w:hint="eastAsia"/>
          <w:color w:val="000000" w:themeColor="text1"/>
          <w:kern w:val="0"/>
          <w:szCs w:val="24"/>
        </w:rPr>
        <w:t>卻</w:t>
      </w:r>
      <w:r w:rsidRPr="00367C8F">
        <w:rPr>
          <w:rFonts w:ascii="標楷體" w:eastAsia="標楷體" w:hAnsi="標楷體" w:cs="新細明體" w:hint="eastAsia"/>
          <w:color w:val="000000" w:themeColor="text1"/>
          <w:kern w:val="0"/>
          <w:szCs w:val="24"/>
        </w:rPr>
        <w:t>無續處作為</w:t>
      </w:r>
      <w:r>
        <w:rPr>
          <w:rFonts w:ascii="標楷體" w:eastAsia="標楷體" w:hAnsi="標楷體" w:cs="新細明體" w:hint="eastAsia"/>
          <w:color w:val="000000" w:themeColor="text1"/>
          <w:kern w:val="0"/>
          <w:szCs w:val="24"/>
        </w:rPr>
        <w:t>等情</w:t>
      </w:r>
      <w:r w:rsidRPr="00367C8F">
        <w:rPr>
          <w:rFonts w:ascii="標楷體" w:eastAsia="標楷體" w:hAnsi="標楷體" w:cs="新細明體" w:hint="eastAsia"/>
          <w:color w:val="000000" w:themeColor="text1"/>
          <w:kern w:val="0"/>
          <w:szCs w:val="24"/>
        </w:rPr>
        <w:t>，無法確保每一受服務</w:t>
      </w:r>
      <w:proofErr w:type="gramStart"/>
      <w:r w:rsidRPr="00367C8F">
        <w:rPr>
          <w:rFonts w:ascii="標楷體" w:eastAsia="標楷體" w:hAnsi="標楷體" w:cs="新細明體" w:hint="eastAsia"/>
          <w:color w:val="000000" w:themeColor="text1"/>
          <w:kern w:val="0"/>
          <w:szCs w:val="24"/>
        </w:rPr>
        <w:t>對象均能及時</w:t>
      </w:r>
      <w:proofErr w:type="gramEnd"/>
      <w:r w:rsidRPr="00367C8F">
        <w:rPr>
          <w:rFonts w:ascii="標楷體" w:eastAsia="標楷體" w:hAnsi="標楷體" w:cs="新細明體" w:hint="eastAsia"/>
          <w:color w:val="000000" w:themeColor="text1"/>
          <w:kern w:val="0"/>
          <w:szCs w:val="24"/>
        </w:rPr>
        <w:t>或持續獲得職</w:t>
      </w:r>
      <w:proofErr w:type="gramStart"/>
      <w:r w:rsidRPr="00367C8F">
        <w:rPr>
          <w:rFonts w:ascii="標楷體" w:eastAsia="標楷體" w:hAnsi="標楷體" w:cs="新細明體" w:hint="eastAsia"/>
          <w:color w:val="000000" w:themeColor="text1"/>
          <w:kern w:val="0"/>
          <w:szCs w:val="24"/>
        </w:rPr>
        <w:t>涯</w:t>
      </w:r>
      <w:proofErr w:type="gramEnd"/>
      <w:r w:rsidRPr="00367C8F">
        <w:rPr>
          <w:rFonts w:ascii="標楷體" w:eastAsia="標楷體" w:hAnsi="標楷體" w:cs="新細明體" w:hint="eastAsia"/>
          <w:color w:val="000000" w:themeColor="text1"/>
          <w:kern w:val="0"/>
          <w:szCs w:val="24"/>
        </w:rPr>
        <w:t>輔導與支持服務；或辦理個案追蹤服務工作後，未依規定註明該次服務性質為「追蹤關懷」案件，或未載明追蹤日期，或未載明後續追蹤結果，影響該項服務工作紀錄之完整性，不利於案件後續追蹤管制考核之遂行</w:t>
      </w:r>
      <w:r>
        <w:rPr>
          <w:rFonts w:ascii="標楷體" w:eastAsia="標楷體" w:hAnsi="標楷體" w:cs="新細明體" w:hint="eastAsia"/>
          <w:color w:val="000000" w:themeColor="text1"/>
          <w:kern w:val="0"/>
          <w:szCs w:val="24"/>
        </w:rPr>
        <w:t>；（2）</w:t>
      </w:r>
      <w:proofErr w:type="gramStart"/>
      <w:r w:rsidRPr="00367C8F">
        <w:rPr>
          <w:rFonts w:ascii="標楷體" w:eastAsia="標楷體" w:hAnsi="標楷體" w:cs="新細明體" w:hint="eastAsia"/>
          <w:color w:val="000000" w:themeColor="text1"/>
          <w:kern w:val="0"/>
          <w:szCs w:val="24"/>
        </w:rPr>
        <w:t>113</w:t>
      </w:r>
      <w:proofErr w:type="gramEnd"/>
      <w:r w:rsidRPr="00367C8F">
        <w:rPr>
          <w:rFonts w:ascii="標楷體" w:eastAsia="標楷體" w:hAnsi="標楷體" w:cs="新細明體" w:hint="eastAsia"/>
          <w:color w:val="000000" w:themeColor="text1"/>
          <w:kern w:val="0"/>
          <w:szCs w:val="24"/>
        </w:rPr>
        <w:t>年度TYS辦理青年職場體驗實習計畫，與44家企業合作，提供155種職務類別及2,916個實習職缺名額，並上</w:t>
      </w:r>
      <w:proofErr w:type="gramStart"/>
      <w:r w:rsidRPr="00367C8F">
        <w:rPr>
          <w:rFonts w:ascii="標楷體" w:eastAsia="標楷體" w:hAnsi="標楷體" w:cs="新細明體" w:hint="eastAsia"/>
          <w:color w:val="000000" w:themeColor="text1"/>
          <w:kern w:val="0"/>
          <w:szCs w:val="24"/>
        </w:rPr>
        <w:t>架至線上</w:t>
      </w:r>
      <w:proofErr w:type="gramEnd"/>
      <w:r w:rsidRPr="00367C8F">
        <w:rPr>
          <w:rFonts w:ascii="標楷體" w:eastAsia="標楷體" w:hAnsi="標楷體" w:cs="新細明體" w:hint="eastAsia"/>
          <w:color w:val="000000" w:themeColor="text1"/>
          <w:kern w:val="0"/>
          <w:szCs w:val="24"/>
        </w:rPr>
        <w:t>實習平</w:t>
      </w:r>
      <w:proofErr w:type="gramStart"/>
      <w:r w:rsidRPr="00367C8F">
        <w:rPr>
          <w:rFonts w:ascii="標楷體" w:eastAsia="標楷體" w:hAnsi="標楷體" w:cs="新細明體" w:hint="eastAsia"/>
          <w:color w:val="000000" w:themeColor="text1"/>
          <w:kern w:val="0"/>
          <w:szCs w:val="24"/>
        </w:rPr>
        <w:t>臺</w:t>
      </w:r>
      <w:proofErr w:type="gramEnd"/>
      <w:r w:rsidRPr="00367C8F">
        <w:rPr>
          <w:rFonts w:ascii="標楷體" w:eastAsia="標楷體" w:hAnsi="標楷體" w:cs="新細明體" w:hint="eastAsia"/>
          <w:color w:val="000000" w:themeColor="text1"/>
          <w:kern w:val="0"/>
          <w:szCs w:val="24"/>
        </w:rPr>
        <w:t>，另於113年10至12月辦理5場次企業參訪活動，以促進青年與企業實習媒合機會，惟尚未能滿足青年透過實習制度積累專業職能需求或尋職習慣，致與企業合作開發實習職缺乏人問津或舉辦參訪活動參與率低落</w:t>
      </w:r>
      <w:r>
        <w:rPr>
          <w:rFonts w:ascii="標楷體" w:eastAsia="標楷體" w:hAnsi="標楷體" w:cs="新細明體" w:hint="eastAsia"/>
          <w:color w:val="000000" w:themeColor="text1"/>
          <w:kern w:val="0"/>
          <w:szCs w:val="24"/>
        </w:rPr>
        <w:t>情況</w:t>
      </w:r>
      <w:r w:rsidRPr="00367C8F">
        <w:rPr>
          <w:rFonts w:ascii="標楷體" w:eastAsia="標楷體" w:hAnsi="標楷體" w:cs="新細明體" w:hint="eastAsia"/>
          <w:color w:val="000000" w:themeColor="text1"/>
          <w:kern w:val="0"/>
          <w:szCs w:val="24"/>
        </w:rPr>
        <w:t>；</w:t>
      </w:r>
      <w:r>
        <w:rPr>
          <w:rFonts w:ascii="標楷體" w:eastAsia="標楷體" w:hAnsi="標楷體" w:cs="新細明體" w:hint="eastAsia"/>
          <w:color w:val="000000" w:themeColor="text1"/>
          <w:kern w:val="0"/>
          <w:szCs w:val="24"/>
        </w:rPr>
        <w:t>（</w:t>
      </w:r>
      <w:r w:rsidRPr="00367C8F">
        <w:rPr>
          <w:rFonts w:ascii="標楷體" w:eastAsia="標楷體" w:hAnsi="標楷體" w:cs="新細明體" w:hint="eastAsia"/>
          <w:color w:val="000000" w:themeColor="text1"/>
          <w:kern w:val="0"/>
          <w:szCs w:val="24"/>
        </w:rPr>
        <w:t>3</w:t>
      </w:r>
      <w:r>
        <w:rPr>
          <w:rFonts w:ascii="標楷體" w:eastAsia="標楷體" w:hAnsi="標楷體" w:cs="新細明體" w:hint="eastAsia"/>
          <w:color w:val="000000" w:themeColor="text1"/>
          <w:kern w:val="0"/>
          <w:szCs w:val="24"/>
        </w:rPr>
        <w:t>）T</w:t>
      </w:r>
      <w:r>
        <w:rPr>
          <w:rFonts w:ascii="標楷體" w:eastAsia="標楷體" w:hAnsi="標楷體" w:cs="新細明體"/>
          <w:color w:val="000000" w:themeColor="text1"/>
          <w:kern w:val="0"/>
          <w:szCs w:val="24"/>
        </w:rPr>
        <w:t>YS</w:t>
      </w:r>
      <w:r w:rsidRPr="00367C8F">
        <w:rPr>
          <w:rFonts w:ascii="標楷體" w:eastAsia="標楷體" w:hAnsi="標楷體" w:cs="新細明體" w:hint="eastAsia"/>
          <w:color w:val="000000" w:themeColor="text1"/>
          <w:kern w:val="0"/>
          <w:szCs w:val="24"/>
        </w:rPr>
        <w:t>為加強青年職前準備能力，</w:t>
      </w:r>
      <w:proofErr w:type="gramStart"/>
      <w:r>
        <w:rPr>
          <w:rFonts w:ascii="標楷體" w:eastAsia="標楷體" w:hAnsi="標楷體" w:cs="新細明體" w:hint="eastAsia"/>
          <w:color w:val="000000" w:themeColor="text1"/>
          <w:kern w:val="0"/>
          <w:szCs w:val="24"/>
        </w:rPr>
        <w:t>113</w:t>
      </w:r>
      <w:proofErr w:type="gramEnd"/>
      <w:r>
        <w:rPr>
          <w:rFonts w:ascii="標楷體" w:eastAsia="標楷體" w:hAnsi="標楷體" w:cs="新細明體" w:hint="eastAsia"/>
          <w:color w:val="000000" w:themeColor="text1"/>
          <w:kern w:val="0"/>
          <w:szCs w:val="24"/>
        </w:rPr>
        <w:t>年度7至12月規劃</w:t>
      </w:r>
      <w:r w:rsidRPr="00367C8F">
        <w:rPr>
          <w:rFonts w:ascii="標楷體" w:eastAsia="標楷體" w:hAnsi="標楷體" w:cs="新細明體" w:hint="eastAsia"/>
          <w:color w:val="000000" w:themeColor="text1"/>
          <w:kern w:val="0"/>
          <w:szCs w:val="24"/>
        </w:rPr>
        <w:t>與北臺灣</w:t>
      </w:r>
      <w:r>
        <w:rPr>
          <w:rFonts w:ascii="標楷體" w:eastAsia="標楷體" w:hAnsi="標楷體" w:cs="新細明體" w:hint="eastAsia"/>
          <w:color w:val="000000" w:themeColor="text1"/>
          <w:kern w:val="0"/>
          <w:szCs w:val="24"/>
        </w:rPr>
        <w:t>24所</w:t>
      </w:r>
      <w:r w:rsidRPr="00367C8F">
        <w:rPr>
          <w:rFonts w:ascii="標楷體" w:eastAsia="標楷體" w:hAnsi="標楷體" w:cs="新細明體" w:hint="eastAsia"/>
          <w:color w:val="000000" w:themeColor="text1"/>
          <w:kern w:val="0"/>
          <w:szCs w:val="24"/>
        </w:rPr>
        <w:t>大</w:t>
      </w:r>
      <w:r>
        <w:rPr>
          <w:rFonts w:ascii="標楷體" w:eastAsia="標楷體" w:hAnsi="標楷體" w:cs="新細明體" w:hint="eastAsia"/>
          <w:color w:val="000000" w:themeColor="text1"/>
          <w:kern w:val="0"/>
          <w:szCs w:val="24"/>
        </w:rPr>
        <w:t>專</w:t>
      </w:r>
      <w:r w:rsidRPr="00367C8F">
        <w:rPr>
          <w:rFonts w:ascii="標楷體" w:eastAsia="標楷體" w:hAnsi="標楷體" w:cs="新細明體" w:hint="eastAsia"/>
          <w:color w:val="000000" w:themeColor="text1"/>
          <w:kern w:val="0"/>
          <w:szCs w:val="24"/>
        </w:rPr>
        <w:t>院校及臺北市各公私立高中</w:t>
      </w:r>
      <w:r>
        <w:rPr>
          <w:rFonts w:ascii="標楷體" w:eastAsia="標楷體" w:hAnsi="標楷體" w:cs="新細明體" w:hint="eastAsia"/>
          <w:color w:val="000000" w:themeColor="text1"/>
          <w:kern w:val="0"/>
          <w:szCs w:val="24"/>
        </w:rPr>
        <w:t>（</w:t>
      </w:r>
      <w:r w:rsidRPr="00367C8F">
        <w:rPr>
          <w:rFonts w:ascii="標楷體" w:eastAsia="標楷體" w:hAnsi="標楷體" w:cs="新細明體" w:hint="eastAsia"/>
          <w:color w:val="000000" w:themeColor="text1"/>
          <w:kern w:val="0"/>
          <w:szCs w:val="24"/>
        </w:rPr>
        <w:t>職</w:t>
      </w:r>
      <w:r>
        <w:rPr>
          <w:rFonts w:ascii="標楷體" w:eastAsia="標楷體" w:hAnsi="標楷體" w:cs="新細明體" w:hint="eastAsia"/>
          <w:color w:val="000000" w:themeColor="text1"/>
          <w:kern w:val="0"/>
          <w:szCs w:val="24"/>
        </w:rPr>
        <w:t>）</w:t>
      </w:r>
      <w:r w:rsidRPr="00367C8F">
        <w:rPr>
          <w:rFonts w:ascii="標楷體" w:eastAsia="標楷體" w:hAnsi="標楷體" w:cs="新細明體" w:hint="eastAsia"/>
          <w:color w:val="000000" w:themeColor="text1"/>
          <w:kern w:val="0"/>
          <w:szCs w:val="24"/>
        </w:rPr>
        <w:t>學校合作辦理職前先修班服務</w:t>
      </w:r>
      <w:r>
        <w:rPr>
          <w:rFonts w:ascii="標楷體" w:eastAsia="標楷體" w:hAnsi="標楷體" w:cs="新細明體" w:hint="eastAsia"/>
          <w:color w:val="000000" w:themeColor="text1"/>
          <w:kern w:val="0"/>
          <w:szCs w:val="24"/>
        </w:rPr>
        <w:t>共28場次，</w:t>
      </w:r>
      <w:r w:rsidRPr="00367C8F">
        <w:rPr>
          <w:rFonts w:ascii="標楷體" w:eastAsia="標楷體" w:hAnsi="標楷體" w:cs="新細明體" w:hint="eastAsia"/>
          <w:color w:val="000000" w:themeColor="text1"/>
          <w:kern w:val="0"/>
          <w:szCs w:val="24"/>
        </w:rPr>
        <w:t>惟執行結果，逾半數場次係集中在實踐大學等3所長期合作學校辦理，且高中</w:t>
      </w:r>
      <w:r>
        <w:rPr>
          <w:rFonts w:ascii="標楷體" w:eastAsia="標楷體" w:hAnsi="標楷體" w:cs="新細明體" w:hint="eastAsia"/>
          <w:color w:val="000000" w:themeColor="text1"/>
          <w:kern w:val="0"/>
          <w:szCs w:val="24"/>
        </w:rPr>
        <w:t>（</w:t>
      </w:r>
      <w:r w:rsidRPr="00367C8F">
        <w:rPr>
          <w:rFonts w:ascii="標楷體" w:eastAsia="標楷體" w:hAnsi="標楷體" w:cs="新細明體" w:hint="eastAsia"/>
          <w:color w:val="000000" w:themeColor="text1"/>
          <w:kern w:val="0"/>
          <w:szCs w:val="24"/>
        </w:rPr>
        <w:t>職</w:t>
      </w:r>
      <w:r>
        <w:rPr>
          <w:rFonts w:ascii="標楷體" w:eastAsia="標楷體" w:hAnsi="標楷體" w:cs="新細明體" w:hint="eastAsia"/>
          <w:color w:val="000000" w:themeColor="text1"/>
          <w:kern w:val="0"/>
          <w:szCs w:val="24"/>
        </w:rPr>
        <w:t>）</w:t>
      </w:r>
      <w:r w:rsidRPr="00367C8F">
        <w:rPr>
          <w:rFonts w:ascii="標楷體" w:eastAsia="標楷體" w:hAnsi="標楷體" w:cs="新細明體" w:hint="eastAsia"/>
          <w:color w:val="000000" w:themeColor="text1"/>
          <w:kern w:val="0"/>
          <w:szCs w:val="24"/>
        </w:rPr>
        <w:t>部分僅有南港高工等2所學校參與合作推廣，該方案合作對象普及率猶有不足；另查TYS於</w:t>
      </w:r>
      <w:proofErr w:type="gramStart"/>
      <w:r w:rsidRPr="00367C8F">
        <w:rPr>
          <w:rFonts w:ascii="標楷體" w:eastAsia="標楷體" w:hAnsi="標楷體" w:cs="新細明體" w:hint="eastAsia"/>
          <w:color w:val="000000" w:themeColor="text1"/>
          <w:kern w:val="0"/>
          <w:szCs w:val="24"/>
        </w:rPr>
        <w:t>113</w:t>
      </w:r>
      <w:proofErr w:type="gramEnd"/>
      <w:r w:rsidRPr="00367C8F">
        <w:rPr>
          <w:rFonts w:ascii="標楷體" w:eastAsia="標楷體" w:hAnsi="標楷體" w:cs="新細明體" w:hint="eastAsia"/>
          <w:color w:val="000000" w:themeColor="text1"/>
          <w:kern w:val="0"/>
          <w:szCs w:val="24"/>
        </w:rPr>
        <w:t>年度辦理該方案過程中，並未將相關服務資訊公告於該局官方網站，各界不易</w:t>
      </w:r>
      <w:proofErr w:type="gramStart"/>
      <w:r w:rsidRPr="00367C8F">
        <w:rPr>
          <w:rFonts w:ascii="標楷體" w:eastAsia="標楷體" w:hAnsi="標楷體" w:cs="新細明體" w:hint="eastAsia"/>
          <w:color w:val="000000" w:themeColor="text1"/>
          <w:kern w:val="0"/>
          <w:szCs w:val="24"/>
        </w:rPr>
        <w:t>查找及利用</w:t>
      </w:r>
      <w:proofErr w:type="gramEnd"/>
      <w:r w:rsidRPr="00367C8F">
        <w:rPr>
          <w:rFonts w:ascii="標楷體" w:eastAsia="標楷體" w:hAnsi="標楷體" w:cs="新細明體" w:hint="eastAsia"/>
          <w:color w:val="000000" w:themeColor="text1"/>
          <w:kern w:val="0"/>
          <w:szCs w:val="24"/>
        </w:rPr>
        <w:t>該就業服務資源；</w:t>
      </w:r>
      <w:r>
        <w:rPr>
          <w:rFonts w:ascii="標楷體" w:eastAsia="標楷體" w:hAnsi="標楷體" w:cs="新細明體" w:hint="eastAsia"/>
          <w:color w:val="000000" w:themeColor="text1"/>
          <w:kern w:val="0"/>
          <w:szCs w:val="24"/>
        </w:rPr>
        <w:t>（</w:t>
      </w:r>
      <w:r w:rsidRPr="00367C8F">
        <w:rPr>
          <w:rFonts w:ascii="標楷體" w:eastAsia="標楷體" w:hAnsi="標楷體" w:cs="新細明體" w:hint="eastAsia"/>
          <w:color w:val="000000" w:themeColor="text1"/>
          <w:kern w:val="0"/>
          <w:szCs w:val="24"/>
        </w:rPr>
        <w:t>4</w:t>
      </w:r>
      <w:r>
        <w:rPr>
          <w:rFonts w:ascii="標楷體" w:eastAsia="標楷體" w:hAnsi="標楷體" w:cs="新細明體" w:hint="eastAsia"/>
          <w:color w:val="000000" w:themeColor="text1"/>
          <w:kern w:val="0"/>
          <w:szCs w:val="24"/>
        </w:rPr>
        <w:t>）</w:t>
      </w:r>
      <w:proofErr w:type="gramStart"/>
      <w:r w:rsidRPr="00367C8F">
        <w:rPr>
          <w:rFonts w:ascii="標楷體" w:eastAsia="標楷體" w:hAnsi="標楷體" w:cs="新細明體" w:hint="eastAsia"/>
          <w:color w:val="000000" w:themeColor="text1"/>
          <w:kern w:val="0"/>
          <w:szCs w:val="24"/>
        </w:rPr>
        <w:t>113</w:t>
      </w:r>
      <w:proofErr w:type="gramEnd"/>
      <w:r w:rsidRPr="00367C8F">
        <w:rPr>
          <w:rFonts w:ascii="標楷體" w:eastAsia="標楷體" w:hAnsi="標楷體" w:cs="新細明體" w:hint="eastAsia"/>
          <w:color w:val="000000" w:themeColor="text1"/>
          <w:kern w:val="0"/>
          <w:szCs w:val="24"/>
        </w:rPr>
        <w:t>年度</w:t>
      </w:r>
      <w:r>
        <w:rPr>
          <w:rFonts w:ascii="標楷體" w:eastAsia="標楷體" w:hAnsi="標楷體" w:cs="新細明體" w:hint="eastAsia"/>
          <w:color w:val="000000" w:themeColor="text1"/>
          <w:kern w:val="0"/>
          <w:szCs w:val="24"/>
        </w:rPr>
        <w:t>辦理</w:t>
      </w:r>
      <w:r w:rsidRPr="00367C8F">
        <w:rPr>
          <w:rFonts w:ascii="標楷體" w:eastAsia="標楷體" w:hAnsi="標楷體" w:cs="新細明體" w:hint="eastAsia"/>
          <w:color w:val="000000" w:themeColor="text1"/>
          <w:kern w:val="0"/>
          <w:szCs w:val="24"/>
        </w:rPr>
        <w:t>交通運具補助計畫2.0</w:t>
      </w:r>
      <w:r>
        <w:rPr>
          <w:rFonts w:ascii="標楷體" w:eastAsia="標楷體" w:hAnsi="標楷體" w:cs="新細明體" w:hint="eastAsia"/>
          <w:color w:val="000000" w:themeColor="text1"/>
          <w:kern w:val="0"/>
          <w:szCs w:val="24"/>
        </w:rPr>
        <w:t>結果</w:t>
      </w:r>
      <w:r w:rsidRPr="00367C8F">
        <w:rPr>
          <w:rFonts w:ascii="標楷體" w:eastAsia="標楷體" w:hAnsi="標楷體" w:cs="新細明體" w:hint="eastAsia"/>
          <w:color w:val="000000" w:themeColor="text1"/>
          <w:kern w:val="0"/>
          <w:szCs w:val="24"/>
        </w:rPr>
        <w:t>，實際受理並通過審查者僅1,414人次，</w:t>
      </w:r>
      <w:proofErr w:type="gramStart"/>
      <w:r w:rsidRPr="00367C8F">
        <w:rPr>
          <w:rFonts w:ascii="標楷體" w:eastAsia="標楷體" w:hAnsi="標楷體" w:cs="新細明體" w:hint="eastAsia"/>
          <w:color w:val="000000" w:themeColor="text1"/>
          <w:kern w:val="0"/>
          <w:szCs w:val="24"/>
        </w:rPr>
        <w:t>占原預估</w:t>
      </w:r>
      <w:proofErr w:type="gramEnd"/>
      <w:r w:rsidRPr="00367C8F">
        <w:rPr>
          <w:rFonts w:ascii="標楷體" w:eastAsia="標楷體" w:hAnsi="標楷體" w:cs="新細明體" w:hint="eastAsia"/>
          <w:color w:val="000000" w:themeColor="text1"/>
          <w:kern w:val="0"/>
          <w:szCs w:val="24"/>
        </w:rPr>
        <w:t>發放</w:t>
      </w:r>
      <w:r>
        <w:rPr>
          <w:rFonts w:ascii="標楷體" w:eastAsia="標楷體" w:hAnsi="標楷體" w:cs="新細明體" w:hint="eastAsia"/>
          <w:color w:val="000000" w:themeColor="text1"/>
          <w:kern w:val="0"/>
          <w:szCs w:val="24"/>
        </w:rPr>
        <w:t>4,</w:t>
      </w:r>
      <w:r>
        <w:rPr>
          <w:rFonts w:ascii="標楷體" w:eastAsia="標楷體" w:hAnsi="標楷體" w:cs="新細明體"/>
          <w:color w:val="000000" w:themeColor="text1"/>
          <w:kern w:val="0"/>
          <w:szCs w:val="24"/>
        </w:rPr>
        <w:t>375</w:t>
      </w:r>
      <w:r w:rsidRPr="00367C8F">
        <w:rPr>
          <w:rFonts w:ascii="標楷體" w:eastAsia="標楷體" w:hAnsi="標楷體" w:cs="新細明體" w:hint="eastAsia"/>
          <w:color w:val="000000" w:themeColor="text1"/>
          <w:kern w:val="0"/>
          <w:szCs w:val="24"/>
        </w:rPr>
        <w:t>人次</w:t>
      </w:r>
      <w:r>
        <w:rPr>
          <w:rFonts w:ascii="標楷體" w:eastAsia="標楷體" w:hAnsi="標楷體" w:cs="新細明體" w:hint="eastAsia"/>
          <w:color w:val="000000" w:themeColor="text1"/>
          <w:kern w:val="0"/>
          <w:szCs w:val="24"/>
        </w:rPr>
        <w:t>之</w:t>
      </w:r>
      <w:r w:rsidRPr="00367C8F">
        <w:rPr>
          <w:rFonts w:ascii="標楷體" w:eastAsia="標楷體" w:hAnsi="標楷體" w:cs="新細明體" w:hint="eastAsia"/>
          <w:color w:val="000000" w:themeColor="text1"/>
          <w:kern w:val="0"/>
          <w:szCs w:val="24"/>
        </w:rPr>
        <w:t>32.32％，比率</w:t>
      </w:r>
      <w:r>
        <w:rPr>
          <w:rFonts w:ascii="標楷體" w:eastAsia="標楷體" w:hAnsi="標楷體" w:cs="新細明體" w:hint="eastAsia"/>
          <w:color w:val="000000" w:themeColor="text1"/>
          <w:kern w:val="0"/>
          <w:szCs w:val="24"/>
        </w:rPr>
        <w:t>仍</w:t>
      </w:r>
      <w:r w:rsidRPr="00367C8F">
        <w:rPr>
          <w:rFonts w:ascii="標楷體" w:eastAsia="標楷體" w:hAnsi="標楷體" w:cs="新細明體" w:hint="eastAsia"/>
          <w:color w:val="000000" w:themeColor="text1"/>
          <w:kern w:val="0"/>
          <w:szCs w:val="24"/>
        </w:rPr>
        <w:t>低，且通過審查者，有</w:t>
      </w:r>
      <w:proofErr w:type="gramStart"/>
      <w:r w:rsidRPr="00367C8F">
        <w:rPr>
          <w:rFonts w:ascii="標楷體" w:eastAsia="標楷體" w:hAnsi="標楷體" w:cs="新細明體" w:hint="eastAsia"/>
          <w:color w:val="000000" w:themeColor="text1"/>
          <w:kern w:val="0"/>
          <w:szCs w:val="24"/>
        </w:rPr>
        <w:t>1成</w:t>
      </w:r>
      <w:proofErr w:type="gramEnd"/>
      <w:r w:rsidRPr="00367C8F">
        <w:rPr>
          <w:rFonts w:ascii="標楷體" w:eastAsia="標楷體" w:hAnsi="標楷體" w:cs="新細明體" w:hint="eastAsia"/>
          <w:color w:val="000000" w:themeColor="text1"/>
          <w:kern w:val="0"/>
          <w:szCs w:val="24"/>
        </w:rPr>
        <w:t>7未依規定親領補助金，致實際執行數僅140萬餘元，占預算數</w:t>
      </w:r>
      <w:r>
        <w:rPr>
          <w:rFonts w:ascii="標楷體" w:eastAsia="標楷體" w:hAnsi="標楷體" w:cs="新細明體" w:hint="eastAsia"/>
          <w:color w:val="000000" w:themeColor="text1"/>
          <w:kern w:val="0"/>
          <w:szCs w:val="24"/>
        </w:rPr>
        <w:t>525萬元</w:t>
      </w:r>
      <w:r w:rsidRPr="00367C8F">
        <w:rPr>
          <w:rFonts w:ascii="標楷體" w:eastAsia="標楷體" w:hAnsi="標楷體" w:cs="新細明體" w:hint="eastAsia"/>
          <w:color w:val="000000" w:themeColor="text1"/>
          <w:kern w:val="0"/>
          <w:szCs w:val="24"/>
        </w:rPr>
        <w:t>之26.81％；復查</w:t>
      </w:r>
      <w:proofErr w:type="gramStart"/>
      <w:r>
        <w:rPr>
          <w:rFonts w:ascii="標楷體" w:eastAsia="標楷體" w:hAnsi="標楷體" w:cs="新細明體" w:hint="eastAsia"/>
          <w:color w:val="000000" w:themeColor="text1"/>
          <w:kern w:val="0"/>
          <w:szCs w:val="24"/>
        </w:rPr>
        <w:t>113</w:t>
      </w:r>
      <w:proofErr w:type="gramEnd"/>
      <w:r>
        <w:rPr>
          <w:rFonts w:ascii="標楷體" w:eastAsia="標楷體" w:hAnsi="標楷體" w:cs="新細明體" w:hint="eastAsia"/>
          <w:color w:val="000000" w:themeColor="text1"/>
          <w:kern w:val="0"/>
          <w:szCs w:val="24"/>
        </w:rPr>
        <w:t>年度</w:t>
      </w:r>
      <w:r w:rsidRPr="00367C8F">
        <w:rPr>
          <w:rFonts w:ascii="標楷體" w:eastAsia="標楷體" w:hAnsi="標楷體" w:cs="新細明體" w:hint="eastAsia"/>
          <w:color w:val="000000" w:themeColor="text1"/>
          <w:kern w:val="0"/>
          <w:szCs w:val="24"/>
        </w:rPr>
        <w:t>「青年實習津貼計畫」補助對象亦屬交通</w:t>
      </w:r>
      <w:r>
        <w:rPr>
          <w:rFonts w:ascii="標楷體" w:eastAsia="標楷體" w:hAnsi="標楷體" w:cs="新細明體" w:hint="eastAsia"/>
          <w:color w:val="000000" w:themeColor="text1"/>
          <w:kern w:val="0"/>
          <w:szCs w:val="24"/>
        </w:rPr>
        <w:t>運具</w:t>
      </w:r>
      <w:r w:rsidRPr="00367C8F">
        <w:rPr>
          <w:rFonts w:ascii="標楷體" w:eastAsia="標楷體" w:hAnsi="標楷體" w:cs="新細明體" w:hint="eastAsia"/>
          <w:color w:val="000000" w:themeColor="text1"/>
          <w:kern w:val="0"/>
          <w:szCs w:val="24"/>
        </w:rPr>
        <w:t>補助計畫2.0補助對象，惟領取實習津貼者</w:t>
      </w:r>
      <w:r>
        <w:rPr>
          <w:rFonts w:ascii="標楷體" w:eastAsia="標楷體" w:hAnsi="標楷體" w:cs="新細明體" w:hint="eastAsia"/>
          <w:color w:val="000000" w:themeColor="text1"/>
          <w:kern w:val="0"/>
          <w:szCs w:val="24"/>
        </w:rPr>
        <w:t>之</w:t>
      </w:r>
      <w:r w:rsidRPr="00367C8F">
        <w:rPr>
          <w:rFonts w:ascii="標楷體" w:eastAsia="標楷體" w:hAnsi="標楷體" w:cs="新細明體" w:hint="eastAsia"/>
          <w:color w:val="000000" w:themeColor="text1"/>
          <w:kern w:val="0"/>
          <w:szCs w:val="24"/>
        </w:rPr>
        <w:t>454人</w:t>
      </w:r>
      <w:r>
        <w:rPr>
          <w:rFonts w:ascii="標楷體" w:eastAsia="標楷體" w:hAnsi="標楷體" w:cs="新細明體" w:hint="eastAsia"/>
          <w:color w:val="000000" w:themeColor="text1"/>
          <w:kern w:val="0"/>
          <w:szCs w:val="24"/>
        </w:rPr>
        <w:t>中</w:t>
      </w:r>
      <w:r w:rsidRPr="00367C8F">
        <w:rPr>
          <w:rFonts w:ascii="標楷體" w:eastAsia="標楷體" w:hAnsi="標楷體" w:cs="新細明體" w:hint="eastAsia"/>
          <w:color w:val="000000" w:themeColor="text1"/>
          <w:kern w:val="0"/>
          <w:szCs w:val="24"/>
        </w:rPr>
        <w:t>，僅</w:t>
      </w:r>
      <w:r>
        <w:rPr>
          <w:rFonts w:ascii="標楷體" w:eastAsia="標楷體" w:hAnsi="標楷體" w:cs="新細明體" w:hint="eastAsia"/>
          <w:color w:val="000000" w:themeColor="text1"/>
          <w:kern w:val="0"/>
          <w:szCs w:val="24"/>
        </w:rPr>
        <w:t>有</w:t>
      </w:r>
      <w:r w:rsidRPr="00367C8F">
        <w:rPr>
          <w:rFonts w:ascii="標楷體" w:eastAsia="標楷體" w:hAnsi="標楷體" w:cs="新細明體" w:hint="eastAsia"/>
          <w:color w:val="000000" w:themeColor="text1"/>
          <w:kern w:val="0"/>
          <w:szCs w:val="24"/>
        </w:rPr>
        <w:t>114人曾同時申請交通運具補助金，占25.11％，顯示</w:t>
      </w:r>
      <w:r>
        <w:rPr>
          <w:rFonts w:ascii="標楷體" w:eastAsia="標楷體" w:hAnsi="標楷體" w:cs="新細明體" w:hint="eastAsia"/>
          <w:color w:val="000000" w:themeColor="text1"/>
          <w:kern w:val="0"/>
          <w:szCs w:val="24"/>
        </w:rPr>
        <w:t>部分</w:t>
      </w:r>
      <w:r w:rsidRPr="00367C8F">
        <w:rPr>
          <w:rFonts w:ascii="標楷體" w:eastAsia="標楷體" w:hAnsi="標楷體" w:cs="新細明體" w:hint="eastAsia"/>
          <w:color w:val="000000" w:themeColor="text1"/>
          <w:kern w:val="0"/>
          <w:szCs w:val="24"/>
        </w:rPr>
        <w:t>青年未能全面掌握政府相關就業補助資源等情事，經函請檢討改善。據復</w:t>
      </w:r>
      <w:r>
        <w:rPr>
          <w:rFonts w:ascii="標楷體" w:eastAsia="標楷體" w:hAnsi="標楷體" w:cs="新細明體" w:hint="eastAsia"/>
          <w:color w:val="000000" w:themeColor="text1"/>
          <w:kern w:val="0"/>
          <w:szCs w:val="24"/>
        </w:rPr>
        <w:t>：（1）</w:t>
      </w:r>
      <w:r w:rsidRPr="003B01C8">
        <w:rPr>
          <w:rFonts w:ascii="標楷體" w:eastAsia="標楷體" w:hAnsi="標楷體" w:cs="新細明體" w:hint="eastAsia"/>
          <w:color w:val="000000" w:themeColor="text1"/>
          <w:kern w:val="0"/>
          <w:szCs w:val="24"/>
        </w:rPr>
        <w:t>已檢討目前追蹤關懷流程，並建立追蹤管考機制，包括透過每季舉辦諮詢員工作交流會議，檢視個案追蹤關懷服務情形，並</w:t>
      </w:r>
      <w:proofErr w:type="gramStart"/>
      <w:r w:rsidRPr="003B01C8">
        <w:rPr>
          <w:rFonts w:ascii="標楷體" w:eastAsia="標楷體" w:hAnsi="標楷體" w:cs="新細明體" w:hint="eastAsia"/>
          <w:color w:val="000000" w:themeColor="text1"/>
          <w:kern w:val="0"/>
          <w:szCs w:val="24"/>
        </w:rPr>
        <w:t>要求委營廠商</w:t>
      </w:r>
      <w:proofErr w:type="gramEnd"/>
      <w:r w:rsidRPr="003B01C8">
        <w:rPr>
          <w:rFonts w:ascii="標楷體" w:eastAsia="標楷體" w:hAnsi="標楷體" w:cs="新細明體" w:hint="eastAsia"/>
          <w:color w:val="000000" w:themeColor="text1"/>
          <w:kern w:val="0"/>
          <w:szCs w:val="24"/>
        </w:rPr>
        <w:t>每月將相關資料納入經費核銷文件，及建置諮詢</w:t>
      </w:r>
      <w:r w:rsidRPr="003B4CBD">
        <w:rPr>
          <w:rFonts w:ascii="標楷體" w:eastAsia="標楷體" w:hAnsi="標楷體" w:cs="新細明體" w:hint="eastAsia"/>
          <w:color w:val="000000" w:themeColor="text1"/>
          <w:spacing w:val="2"/>
          <w:kern w:val="0"/>
          <w:szCs w:val="24"/>
        </w:rPr>
        <w:t>員個案管理登載機制，提升服務人員登載紀錄之便利性及一致性等，以利掌握個案服務全貌；</w:t>
      </w:r>
      <w:r>
        <w:rPr>
          <w:rFonts w:ascii="標楷體" w:eastAsia="標楷體" w:hAnsi="標楷體" w:cs="新細明體" w:hint="eastAsia"/>
          <w:color w:val="000000" w:themeColor="text1"/>
          <w:kern w:val="0"/>
          <w:szCs w:val="24"/>
        </w:rPr>
        <w:t>（</w:t>
      </w:r>
      <w:r w:rsidRPr="003B01C8">
        <w:rPr>
          <w:rFonts w:ascii="標楷體" w:eastAsia="標楷體" w:hAnsi="標楷體" w:cs="新細明體" w:hint="eastAsia"/>
          <w:color w:val="000000" w:themeColor="text1"/>
          <w:kern w:val="0"/>
          <w:szCs w:val="24"/>
        </w:rPr>
        <w:t>2</w:t>
      </w:r>
      <w:r>
        <w:rPr>
          <w:rFonts w:ascii="標楷體" w:eastAsia="標楷體" w:hAnsi="標楷體" w:cs="新細明體" w:hint="eastAsia"/>
          <w:color w:val="000000" w:themeColor="text1"/>
          <w:kern w:val="0"/>
          <w:szCs w:val="24"/>
        </w:rPr>
        <w:t>）</w:t>
      </w:r>
      <w:r w:rsidRPr="003B01C8">
        <w:rPr>
          <w:rFonts w:ascii="標楷體" w:eastAsia="標楷體" w:hAnsi="標楷體" w:cs="新細明體" w:hint="eastAsia"/>
          <w:color w:val="000000" w:themeColor="text1"/>
          <w:kern w:val="0"/>
          <w:szCs w:val="24"/>
        </w:rPr>
        <w:t>除</w:t>
      </w:r>
      <w:r>
        <w:rPr>
          <w:rFonts w:ascii="標楷體" w:eastAsia="標楷體" w:hAnsi="標楷體" w:cs="新細明體" w:hint="eastAsia"/>
          <w:color w:val="000000" w:themeColor="text1"/>
          <w:kern w:val="0"/>
          <w:szCs w:val="24"/>
        </w:rPr>
        <w:t>將</w:t>
      </w:r>
      <w:r w:rsidRPr="003B01C8">
        <w:rPr>
          <w:rFonts w:ascii="標楷體" w:eastAsia="標楷體" w:hAnsi="標楷體" w:cs="新細明體" w:hint="eastAsia"/>
          <w:color w:val="000000" w:themeColor="text1"/>
          <w:kern w:val="0"/>
          <w:szCs w:val="24"/>
        </w:rPr>
        <w:t>持續透過舉辦實體實習徵才媒合會</w:t>
      </w:r>
      <w:r>
        <w:rPr>
          <w:rFonts w:ascii="標楷體" w:eastAsia="標楷體" w:hAnsi="標楷體" w:cs="新細明體" w:hint="eastAsia"/>
          <w:color w:val="000000" w:themeColor="text1"/>
          <w:kern w:val="0"/>
          <w:szCs w:val="24"/>
        </w:rPr>
        <w:t>，</w:t>
      </w:r>
      <w:r w:rsidRPr="003B01C8">
        <w:rPr>
          <w:rFonts w:ascii="標楷體" w:eastAsia="標楷體" w:hAnsi="標楷體" w:cs="新細明體" w:hint="eastAsia"/>
          <w:color w:val="000000" w:themeColor="text1"/>
          <w:kern w:val="0"/>
          <w:szCs w:val="24"/>
        </w:rPr>
        <w:t>與民間合辦職</w:t>
      </w:r>
      <w:proofErr w:type="gramStart"/>
      <w:r w:rsidRPr="003B01C8">
        <w:rPr>
          <w:rFonts w:ascii="標楷體" w:eastAsia="標楷體" w:hAnsi="標楷體" w:cs="新細明體" w:hint="eastAsia"/>
          <w:color w:val="000000" w:themeColor="text1"/>
          <w:kern w:val="0"/>
          <w:szCs w:val="24"/>
        </w:rPr>
        <w:t>涯</w:t>
      </w:r>
      <w:proofErr w:type="gramEnd"/>
      <w:r w:rsidRPr="003B01C8">
        <w:rPr>
          <w:rFonts w:ascii="標楷體" w:eastAsia="標楷體" w:hAnsi="標楷體" w:cs="新細明體" w:hint="eastAsia"/>
          <w:color w:val="000000" w:themeColor="text1"/>
          <w:kern w:val="0"/>
          <w:szCs w:val="24"/>
        </w:rPr>
        <w:t>博覽會或與學校實習專案合作等，以創造職場實習媒合機會外，另為因應當前青年</w:t>
      </w:r>
      <w:proofErr w:type="gramStart"/>
      <w:r w:rsidRPr="003B01C8">
        <w:rPr>
          <w:rFonts w:ascii="標楷體" w:eastAsia="標楷體" w:hAnsi="標楷體" w:cs="新細明體" w:hint="eastAsia"/>
          <w:color w:val="000000" w:themeColor="text1"/>
          <w:kern w:val="0"/>
          <w:szCs w:val="24"/>
        </w:rPr>
        <w:t>查找職缺</w:t>
      </w:r>
      <w:proofErr w:type="gramEnd"/>
      <w:r w:rsidRPr="003B01C8">
        <w:rPr>
          <w:rFonts w:ascii="標楷體" w:eastAsia="標楷體" w:hAnsi="標楷體" w:cs="新細明體" w:hint="eastAsia"/>
          <w:color w:val="000000" w:themeColor="text1"/>
          <w:kern w:val="0"/>
          <w:szCs w:val="24"/>
        </w:rPr>
        <w:t>習慣，將與民間人力招募平</w:t>
      </w:r>
      <w:proofErr w:type="gramStart"/>
      <w:r w:rsidRPr="003B01C8">
        <w:rPr>
          <w:rFonts w:ascii="標楷體" w:eastAsia="標楷體" w:hAnsi="標楷體" w:cs="新細明體" w:hint="eastAsia"/>
          <w:color w:val="000000" w:themeColor="text1"/>
          <w:kern w:val="0"/>
          <w:szCs w:val="24"/>
        </w:rPr>
        <w:t>臺</w:t>
      </w:r>
      <w:proofErr w:type="gramEnd"/>
      <w:r w:rsidRPr="003B01C8">
        <w:rPr>
          <w:rFonts w:ascii="標楷體" w:eastAsia="標楷體" w:hAnsi="標楷體" w:cs="新細明體" w:hint="eastAsia"/>
          <w:color w:val="000000" w:themeColor="text1"/>
          <w:kern w:val="0"/>
          <w:szCs w:val="24"/>
        </w:rPr>
        <w:t>合作，推廣企業實習機會</w:t>
      </w:r>
      <w:r>
        <w:rPr>
          <w:rFonts w:ascii="標楷體" w:eastAsia="標楷體" w:hAnsi="標楷體" w:cs="新細明體" w:hint="eastAsia"/>
          <w:color w:val="000000" w:themeColor="text1"/>
          <w:kern w:val="0"/>
          <w:szCs w:val="24"/>
        </w:rPr>
        <w:t>，並</w:t>
      </w:r>
      <w:r w:rsidRPr="003B01C8">
        <w:rPr>
          <w:rFonts w:ascii="標楷體" w:eastAsia="標楷體" w:hAnsi="標楷體" w:cs="新細明體" w:hint="eastAsia"/>
          <w:color w:val="000000" w:themeColor="text1"/>
          <w:kern w:val="0"/>
          <w:szCs w:val="24"/>
        </w:rPr>
        <w:t>與國內百大企業或世界500強之企業合作參訪活動，以提升學生參與計畫意願；</w:t>
      </w:r>
      <w:r>
        <w:rPr>
          <w:rFonts w:ascii="標楷體" w:eastAsia="標楷體" w:hAnsi="標楷體" w:cs="新細明體" w:hint="eastAsia"/>
          <w:color w:val="000000" w:themeColor="text1"/>
          <w:kern w:val="0"/>
          <w:szCs w:val="24"/>
        </w:rPr>
        <w:t>（</w:t>
      </w:r>
      <w:r w:rsidRPr="003B01C8">
        <w:rPr>
          <w:rFonts w:ascii="標楷體" w:eastAsia="標楷體" w:hAnsi="標楷體" w:cs="新細明體" w:hint="eastAsia"/>
          <w:color w:val="000000" w:themeColor="text1"/>
          <w:kern w:val="0"/>
          <w:szCs w:val="24"/>
        </w:rPr>
        <w:t>3</w:t>
      </w:r>
      <w:r>
        <w:rPr>
          <w:rFonts w:ascii="標楷體" w:eastAsia="標楷體" w:hAnsi="標楷體" w:cs="新細明體"/>
          <w:color w:val="000000" w:themeColor="text1"/>
          <w:kern w:val="0"/>
          <w:szCs w:val="24"/>
        </w:rPr>
        <w:t>）</w:t>
      </w:r>
      <w:r w:rsidRPr="003B01C8">
        <w:rPr>
          <w:rFonts w:ascii="標楷體" w:eastAsia="標楷體" w:hAnsi="標楷體" w:cs="新細明體" w:hint="eastAsia"/>
          <w:color w:val="000000" w:themeColor="text1"/>
          <w:kern w:val="0"/>
          <w:szCs w:val="24"/>
        </w:rPr>
        <w:t>持續向校方推廣職前先修班服務，以提升服務普及性，惟考量TYS服務量能有限，高中職與大專院校入校服務比重將根據應屆畢業初入職場新鮮人需求調整；另已將</w:t>
      </w:r>
      <w:r>
        <w:rPr>
          <w:rFonts w:ascii="標楷體" w:eastAsia="標楷體" w:hAnsi="標楷體" w:cs="新細明體" w:hint="eastAsia"/>
          <w:color w:val="000000" w:themeColor="text1"/>
          <w:kern w:val="0"/>
          <w:szCs w:val="24"/>
        </w:rPr>
        <w:t>職</w:t>
      </w:r>
      <w:r w:rsidRPr="00443D87">
        <w:rPr>
          <w:rFonts w:ascii="標楷體" w:eastAsia="標楷體" w:hAnsi="標楷體" w:cs="新細明體" w:hint="eastAsia"/>
          <w:color w:val="000000" w:themeColor="text1"/>
          <w:spacing w:val="-2"/>
          <w:kern w:val="0"/>
          <w:szCs w:val="24"/>
        </w:rPr>
        <w:t>前先修班</w:t>
      </w:r>
      <w:r w:rsidRPr="003B4CBD">
        <w:rPr>
          <w:rFonts w:ascii="標楷體" w:eastAsia="標楷體" w:hAnsi="標楷體" w:cs="新細明體" w:hint="eastAsia"/>
          <w:color w:val="000000" w:themeColor="text1"/>
          <w:kern w:val="0"/>
          <w:szCs w:val="24"/>
        </w:rPr>
        <w:t>服務資訊公告於該局官方網站「</w:t>
      </w:r>
      <w:proofErr w:type="gramStart"/>
      <w:r w:rsidRPr="003B4CBD">
        <w:rPr>
          <w:rFonts w:ascii="標楷體" w:eastAsia="標楷體" w:hAnsi="標楷體" w:cs="新細明體" w:hint="eastAsia"/>
          <w:color w:val="000000" w:themeColor="text1"/>
          <w:kern w:val="0"/>
          <w:szCs w:val="24"/>
        </w:rPr>
        <w:t>臺</w:t>
      </w:r>
      <w:proofErr w:type="gramEnd"/>
      <w:r w:rsidRPr="003B4CBD">
        <w:rPr>
          <w:rFonts w:ascii="標楷體" w:eastAsia="標楷體" w:hAnsi="標楷體" w:cs="新細明體" w:hint="eastAsia"/>
          <w:color w:val="000000" w:themeColor="text1"/>
          <w:kern w:val="0"/>
          <w:szCs w:val="24"/>
        </w:rPr>
        <w:t>北青年職</w:t>
      </w:r>
      <w:proofErr w:type="gramStart"/>
      <w:r w:rsidRPr="003B4CBD">
        <w:rPr>
          <w:rFonts w:ascii="標楷體" w:eastAsia="標楷體" w:hAnsi="標楷體" w:cs="新細明體" w:hint="eastAsia"/>
          <w:color w:val="000000" w:themeColor="text1"/>
          <w:kern w:val="0"/>
          <w:szCs w:val="24"/>
        </w:rPr>
        <w:t>涯</w:t>
      </w:r>
      <w:proofErr w:type="gramEnd"/>
      <w:r w:rsidRPr="003B4CBD">
        <w:rPr>
          <w:rFonts w:ascii="標楷體" w:eastAsia="標楷體" w:hAnsi="標楷體" w:cs="新細明體" w:hint="eastAsia"/>
          <w:color w:val="000000" w:themeColor="text1"/>
          <w:kern w:val="0"/>
          <w:szCs w:val="24"/>
        </w:rPr>
        <w:t>發展中心（TYS）」介紹專區，以提升服務可見性；</w:t>
      </w:r>
      <w:r w:rsidRPr="00443D87">
        <w:rPr>
          <w:rFonts w:ascii="標楷體" w:eastAsia="標楷體" w:hAnsi="標楷體" w:cs="新細明體" w:hint="eastAsia"/>
          <w:color w:val="000000" w:themeColor="text1"/>
          <w:spacing w:val="-2"/>
          <w:kern w:val="0"/>
          <w:szCs w:val="24"/>
        </w:rPr>
        <w:t>（</w:t>
      </w:r>
      <w:r w:rsidRPr="00443D87">
        <w:rPr>
          <w:rFonts w:ascii="標楷體" w:eastAsia="標楷體" w:hAnsi="標楷體" w:cs="新細明體"/>
          <w:color w:val="000000" w:themeColor="text1"/>
          <w:spacing w:val="-2"/>
          <w:kern w:val="0"/>
          <w:szCs w:val="24"/>
        </w:rPr>
        <w:t>4）</w:t>
      </w:r>
      <w:r w:rsidRPr="00443D87">
        <w:rPr>
          <w:rFonts w:ascii="標楷體" w:eastAsia="標楷體" w:hAnsi="標楷體" w:cs="新細明體" w:hint="eastAsia"/>
          <w:color w:val="000000" w:themeColor="text1"/>
          <w:spacing w:val="-2"/>
          <w:kern w:val="0"/>
          <w:szCs w:val="24"/>
        </w:rPr>
        <w:t>已衡酌</w:t>
      </w:r>
      <w:proofErr w:type="gramStart"/>
      <w:r w:rsidRPr="00443D87">
        <w:rPr>
          <w:rFonts w:ascii="標楷體" w:eastAsia="標楷體" w:hAnsi="標楷體" w:cs="新細明體" w:hint="eastAsia"/>
          <w:color w:val="000000" w:themeColor="text1"/>
          <w:spacing w:val="-2"/>
          <w:kern w:val="0"/>
          <w:szCs w:val="24"/>
        </w:rPr>
        <w:t>113</w:t>
      </w:r>
      <w:proofErr w:type="gramEnd"/>
      <w:r w:rsidRPr="00443D87">
        <w:rPr>
          <w:rFonts w:ascii="標楷體" w:eastAsia="標楷體" w:hAnsi="標楷體" w:cs="新細明體" w:hint="eastAsia"/>
          <w:color w:val="000000" w:themeColor="text1"/>
          <w:spacing w:val="-2"/>
          <w:kern w:val="0"/>
          <w:szCs w:val="24"/>
        </w:rPr>
        <w:t>年度實際受理交通運具補助申請情形</w:t>
      </w:r>
      <w:r w:rsidRPr="00AE406A">
        <w:rPr>
          <w:rFonts w:ascii="標楷體" w:eastAsia="標楷體" w:hAnsi="標楷體" w:cs="新細明體" w:hint="eastAsia"/>
          <w:color w:val="000000" w:themeColor="text1"/>
          <w:spacing w:val="-2"/>
          <w:kern w:val="0"/>
          <w:szCs w:val="24"/>
        </w:rPr>
        <w:t>編列</w:t>
      </w:r>
      <w:proofErr w:type="gramStart"/>
      <w:r w:rsidRPr="00AE406A">
        <w:rPr>
          <w:rFonts w:ascii="標楷體" w:eastAsia="標楷體" w:hAnsi="標楷體" w:cs="新細明體" w:hint="eastAsia"/>
          <w:color w:val="000000" w:themeColor="text1"/>
          <w:spacing w:val="-2"/>
          <w:kern w:val="0"/>
          <w:szCs w:val="24"/>
        </w:rPr>
        <w:t>114</w:t>
      </w:r>
      <w:proofErr w:type="gramEnd"/>
      <w:r w:rsidRPr="00AE406A">
        <w:rPr>
          <w:rFonts w:ascii="標楷體" w:eastAsia="標楷體" w:hAnsi="標楷體" w:cs="新細明體" w:hint="eastAsia"/>
          <w:color w:val="000000" w:themeColor="text1"/>
          <w:spacing w:val="-2"/>
          <w:kern w:val="0"/>
          <w:szCs w:val="24"/>
        </w:rPr>
        <w:t>年度相關預算，並與臺北市政府勞動局所屬各就業服務站</w:t>
      </w:r>
      <w:proofErr w:type="gramStart"/>
      <w:r w:rsidRPr="00AE406A">
        <w:rPr>
          <w:rFonts w:ascii="標楷體" w:eastAsia="標楷體" w:hAnsi="標楷體" w:cs="新細明體" w:hint="eastAsia"/>
          <w:color w:val="000000" w:themeColor="text1"/>
          <w:spacing w:val="-2"/>
          <w:kern w:val="0"/>
          <w:szCs w:val="24"/>
        </w:rPr>
        <w:t>併</w:t>
      </w:r>
      <w:proofErr w:type="gramEnd"/>
      <w:r w:rsidRPr="00AE406A">
        <w:rPr>
          <w:rFonts w:ascii="標楷體" w:eastAsia="標楷體" w:hAnsi="標楷體" w:cs="新細明體" w:hint="eastAsia"/>
          <w:color w:val="000000" w:themeColor="text1"/>
          <w:spacing w:val="-2"/>
          <w:kern w:val="0"/>
          <w:szCs w:val="24"/>
        </w:rPr>
        <w:t>同受理及協助發放該項補助，另將加強向申請實習津貼計畫之學生推廣及協助申辦交通運具補助，以提升該計畫執行成效。</w:t>
      </w:r>
    </w:p>
    <w:p w14:paraId="5CA3FDA4" w14:textId="77777777" w:rsidR="002A2BD6" w:rsidRPr="00857652" w:rsidRDefault="002A2BD6" w:rsidP="002A2BD6">
      <w:pPr>
        <w:overflowPunct w:val="0"/>
        <w:spacing w:before="60" w:after="40" w:line="420" w:lineRule="exact"/>
        <w:ind w:firstLineChars="200" w:firstLine="561"/>
        <w:jc w:val="both"/>
        <w:outlineLvl w:val="1"/>
        <w:rPr>
          <w:rFonts w:ascii="標楷體" w:eastAsia="標楷體" w:hAnsi="標楷體"/>
          <w:b/>
          <w:sz w:val="28"/>
          <w:szCs w:val="28"/>
        </w:rPr>
      </w:pPr>
      <w:r>
        <w:rPr>
          <w:rFonts w:ascii="標楷體" w:eastAsia="標楷體" w:hAnsi="標楷體" w:hint="eastAsia"/>
          <w:b/>
          <w:sz w:val="28"/>
          <w:szCs w:val="28"/>
        </w:rPr>
        <w:lastRenderedPageBreak/>
        <w:t>2.持續</w:t>
      </w:r>
      <w:r w:rsidRPr="00E10757">
        <w:rPr>
          <w:rFonts w:ascii="標楷體" w:eastAsia="標楷體" w:hAnsi="標楷體" w:hint="eastAsia"/>
          <w:b/>
          <w:sz w:val="28"/>
          <w:szCs w:val="28"/>
        </w:rPr>
        <w:t>辦理</w:t>
      </w:r>
      <w:r>
        <w:rPr>
          <w:rFonts w:ascii="標楷體" w:eastAsia="標楷體" w:hAnsi="標楷體" w:hint="eastAsia"/>
          <w:b/>
          <w:sz w:val="28"/>
          <w:szCs w:val="28"/>
        </w:rPr>
        <w:t>青年</w:t>
      </w:r>
      <w:r w:rsidRPr="00E10757">
        <w:rPr>
          <w:rFonts w:ascii="標楷體" w:eastAsia="標楷體" w:hAnsi="標楷體" w:hint="eastAsia"/>
          <w:b/>
          <w:sz w:val="28"/>
          <w:szCs w:val="28"/>
        </w:rPr>
        <w:t>國際交流及相關補助</w:t>
      </w:r>
      <w:r>
        <w:rPr>
          <w:rFonts w:ascii="標楷體" w:eastAsia="標楷體" w:hAnsi="標楷體" w:hint="eastAsia"/>
          <w:b/>
          <w:sz w:val="28"/>
          <w:szCs w:val="28"/>
        </w:rPr>
        <w:t>計畫，助青年與國際接軌</w:t>
      </w:r>
      <w:r w:rsidRPr="00E10757">
        <w:rPr>
          <w:rFonts w:ascii="標楷體" w:eastAsia="標楷體" w:hAnsi="標楷體" w:hint="eastAsia"/>
          <w:b/>
          <w:sz w:val="28"/>
          <w:szCs w:val="28"/>
        </w:rPr>
        <w:t>，</w:t>
      </w:r>
      <w:proofErr w:type="gramStart"/>
      <w:r>
        <w:rPr>
          <w:rFonts w:ascii="標楷體" w:eastAsia="標楷體" w:hAnsi="標楷體" w:hint="eastAsia"/>
          <w:b/>
          <w:sz w:val="28"/>
          <w:szCs w:val="28"/>
        </w:rPr>
        <w:t>惟</w:t>
      </w:r>
      <w:r w:rsidRPr="00E10757">
        <w:rPr>
          <w:rFonts w:ascii="標楷體" w:eastAsia="標楷體" w:hAnsi="標楷體" w:hint="eastAsia"/>
          <w:b/>
          <w:sz w:val="28"/>
          <w:szCs w:val="28"/>
        </w:rPr>
        <w:t>遲未</w:t>
      </w:r>
      <w:proofErr w:type="gramEnd"/>
      <w:r>
        <w:rPr>
          <w:rFonts w:ascii="標楷體" w:eastAsia="標楷體" w:hAnsi="標楷體" w:hint="eastAsia"/>
          <w:b/>
          <w:sz w:val="28"/>
          <w:szCs w:val="28"/>
        </w:rPr>
        <w:t>修正</w:t>
      </w:r>
      <w:r w:rsidRPr="00E10757">
        <w:rPr>
          <w:rFonts w:ascii="標楷體" w:eastAsia="標楷體" w:hAnsi="標楷體" w:hint="eastAsia"/>
          <w:b/>
          <w:sz w:val="28"/>
          <w:szCs w:val="28"/>
        </w:rPr>
        <w:t>完成青年留學生就學</w:t>
      </w:r>
      <w:r w:rsidRPr="00EF11A9">
        <w:rPr>
          <w:rFonts w:ascii="標楷體" w:eastAsia="標楷體" w:hAnsi="標楷體" w:cs="新細明體" w:hint="eastAsia"/>
          <w:b/>
          <w:color w:val="000000" w:themeColor="text1"/>
          <w:kern w:val="0"/>
          <w:sz w:val="28"/>
          <w:szCs w:val="28"/>
        </w:rPr>
        <w:t>貸款</w:t>
      </w:r>
      <w:r w:rsidRPr="00E10757">
        <w:rPr>
          <w:rFonts w:ascii="標楷體" w:eastAsia="標楷體" w:hAnsi="標楷體" w:hint="eastAsia"/>
          <w:b/>
          <w:sz w:val="28"/>
          <w:szCs w:val="28"/>
        </w:rPr>
        <w:t>補助辦法，且部分補助計畫執行情形，</w:t>
      </w:r>
      <w:proofErr w:type="gramStart"/>
      <w:r w:rsidRPr="00E10757">
        <w:rPr>
          <w:rFonts w:ascii="標楷體" w:eastAsia="標楷體" w:hAnsi="標楷體" w:hint="eastAsia"/>
          <w:b/>
          <w:sz w:val="28"/>
          <w:szCs w:val="28"/>
        </w:rPr>
        <w:t>間有申請</w:t>
      </w:r>
      <w:proofErr w:type="gramEnd"/>
      <w:r w:rsidRPr="00E10757">
        <w:rPr>
          <w:rFonts w:ascii="標楷體" w:eastAsia="標楷體" w:hAnsi="標楷體" w:hint="eastAsia"/>
          <w:b/>
          <w:sz w:val="28"/>
          <w:szCs w:val="28"/>
        </w:rPr>
        <w:t>案件未如預期，或未落實遞補機制，或舉辦文化交流時數不足等情，均有待檢討改善</w:t>
      </w:r>
      <w:r w:rsidRPr="00857652">
        <w:rPr>
          <w:rFonts w:ascii="標楷體" w:eastAsia="標楷體" w:hAnsi="標楷體" w:hint="eastAsia"/>
          <w:b/>
          <w:sz w:val="28"/>
          <w:szCs w:val="28"/>
        </w:rPr>
        <w:t>。</w:t>
      </w:r>
    </w:p>
    <w:p w14:paraId="0D770CD7" w14:textId="2B345944" w:rsidR="002A2BD6" w:rsidRDefault="002A2BD6" w:rsidP="004347AB">
      <w:pPr>
        <w:spacing w:beforeLines="30" w:before="108" w:line="420" w:lineRule="exact"/>
        <w:ind w:firstLineChars="200" w:firstLine="472"/>
        <w:jc w:val="both"/>
        <w:rPr>
          <w:rFonts w:ascii="標楷體" w:eastAsia="標楷體" w:hAnsi="標楷體"/>
          <w:spacing w:val="-2"/>
        </w:rPr>
      </w:pPr>
      <w:r w:rsidRPr="009E1555">
        <w:rPr>
          <w:rFonts w:ascii="標楷體" w:eastAsia="標楷體" w:hAnsi="標楷體" w:hint="eastAsia"/>
          <w:spacing w:val="-2"/>
        </w:rPr>
        <w:t>青年局為促進臺北市青年國際發展，提升青年國際參與度，</w:t>
      </w:r>
      <w:proofErr w:type="gramStart"/>
      <w:r w:rsidRPr="009E1555">
        <w:rPr>
          <w:rFonts w:ascii="標楷體" w:eastAsia="標楷體" w:hAnsi="標楷體" w:hint="eastAsia"/>
          <w:spacing w:val="-2"/>
        </w:rPr>
        <w:t>113年度匡列預算</w:t>
      </w:r>
      <w:proofErr w:type="gramEnd"/>
      <w:r w:rsidRPr="009E1555">
        <w:rPr>
          <w:rFonts w:ascii="標楷體" w:eastAsia="標楷體" w:hAnsi="標楷體" w:hint="eastAsia"/>
          <w:spacing w:val="-2"/>
        </w:rPr>
        <w:t>6,601萬餘元，</w:t>
      </w:r>
      <w:r>
        <w:rPr>
          <w:rFonts w:ascii="標楷體" w:eastAsia="標楷體" w:hAnsi="標楷體" w:hint="eastAsia"/>
          <w:spacing w:val="-2"/>
        </w:rPr>
        <w:t>持續</w:t>
      </w:r>
      <w:r w:rsidRPr="009E1555">
        <w:rPr>
          <w:rFonts w:ascii="標楷體" w:eastAsia="標楷體" w:hAnsi="標楷體" w:hint="eastAsia"/>
          <w:spacing w:val="-2"/>
        </w:rPr>
        <w:t>辦理青年留學生就學貸款利息補助、海外實習、</w:t>
      </w:r>
      <w:proofErr w:type="gramStart"/>
      <w:r w:rsidRPr="009E1555">
        <w:rPr>
          <w:rFonts w:ascii="標楷體" w:eastAsia="標楷體" w:hAnsi="標楷體" w:hint="eastAsia"/>
          <w:spacing w:val="-2"/>
        </w:rPr>
        <w:t>海外志</w:t>
      </w:r>
      <w:proofErr w:type="gramEnd"/>
      <w:r w:rsidRPr="009E1555">
        <w:rPr>
          <w:rFonts w:ascii="標楷體" w:eastAsia="標楷體" w:hAnsi="標楷體" w:hint="eastAsia"/>
          <w:spacing w:val="-2"/>
        </w:rPr>
        <w:t>工、姊妹市青年來</w:t>
      </w:r>
      <w:proofErr w:type="gramStart"/>
      <w:r w:rsidRPr="009E1555">
        <w:rPr>
          <w:rFonts w:ascii="標楷體" w:eastAsia="標楷體" w:hAnsi="標楷體" w:hint="eastAsia"/>
          <w:spacing w:val="-2"/>
        </w:rPr>
        <w:t>臺</w:t>
      </w:r>
      <w:proofErr w:type="gramEnd"/>
      <w:r w:rsidRPr="009E1555">
        <w:rPr>
          <w:rFonts w:ascii="標楷體" w:eastAsia="標楷體" w:hAnsi="標楷體" w:hint="eastAsia"/>
          <w:spacing w:val="-2"/>
        </w:rPr>
        <w:t>學習中文等計畫。經查執行情形，核有：</w:t>
      </w:r>
      <w:r>
        <w:rPr>
          <w:rFonts w:ascii="標楷體" w:eastAsia="標楷體" w:hAnsi="標楷體" w:hint="eastAsia"/>
          <w:spacing w:val="-2"/>
        </w:rPr>
        <w:t>（</w:t>
      </w:r>
      <w:r w:rsidRPr="009E1555">
        <w:rPr>
          <w:rFonts w:ascii="標楷體" w:eastAsia="標楷體" w:hAnsi="標楷體" w:hint="eastAsia"/>
          <w:spacing w:val="-2"/>
        </w:rPr>
        <w:t>1</w:t>
      </w:r>
      <w:r>
        <w:rPr>
          <w:rFonts w:ascii="標楷體" w:eastAsia="標楷體" w:hAnsi="標楷體" w:hint="eastAsia"/>
          <w:spacing w:val="-2"/>
        </w:rPr>
        <w:t>）</w:t>
      </w:r>
      <w:r w:rsidRPr="009E1555">
        <w:rPr>
          <w:rFonts w:ascii="標楷體" w:eastAsia="標楷體" w:hAnsi="標楷體" w:hint="eastAsia"/>
          <w:spacing w:val="-2"/>
        </w:rPr>
        <w:t>該局自113年6月接辦臺北市青年留學免息貸款方案後，</w:t>
      </w:r>
      <w:r>
        <w:rPr>
          <w:rFonts w:ascii="標楷體" w:eastAsia="標楷體" w:hAnsi="標楷體" w:hint="eastAsia"/>
          <w:spacing w:val="-2"/>
        </w:rPr>
        <w:t>已針對現行補助辦法進行通盤檢討及修訂，</w:t>
      </w:r>
      <w:r w:rsidRPr="009E1555">
        <w:rPr>
          <w:rFonts w:ascii="標楷體" w:eastAsia="標楷體" w:hAnsi="標楷體" w:hint="eastAsia"/>
          <w:spacing w:val="-2"/>
        </w:rPr>
        <w:t>並於114年2月8日簽奉核定</w:t>
      </w:r>
      <w:r>
        <w:rPr>
          <w:rFonts w:ascii="標楷體" w:eastAsia="標楷體" w:hAnsi="標楷體" w:hint="eastAsia"/>
          <w:spacing w:val="-2"/>
        </w:rPr>
        <w:t>，</w:t>
      </w:r>
      <w:r w:rsidRPr="009E1555">
        <w:rPr>
          <w:rFonts w:ascii="標楷體" w:eastAsia="標楷體" w:hAnsi="標楷體" w:hint="eastAsia"/>
          <w:spacing w:val="-2"/>
        </w:rPr>
        <w:t>自</w:t>
      </w:r>
      <w:proofErr w:type="gramStart"/>
      <w:r w:rsidRPr="009E1555">
        <w:rPr>
          <w:rFonts w:ascii="標楷體" w:eastAsia="標楷體" w:hAnsi="標楷體" w:hint="eastAsia"/>
          <w:spacing w:val="-2"/>
        </w:rPr>
        <w:t>114</w:t>
      </w:r>
      <w:proofErr w:type="gramEnd"/>
      <w:r w:rsidRPr="009E1555">
        <w:rPr>
          <w:rFonts w:ascii="標楷體" w:eastAsia="標楷體" w:hAnsi="標楷體" w:hint="eastAsia"/>
          <w:spacing w:val="-2"/>
        </w:rPr>
        <w:t>年度起將碩士學位及專技證照留學貸款額度由100萬元調升至120萬元，博士學位留學貸款額度由200萬元調升至250萬元，惟截至114年3月底止，</w:t>
      </w:r>
      <w:r>
        <w:rPr>
          <w:rFonts w:ascii="標楷體" w:eastAsia="標楷體" w:hAnsi="標楷體" w:hint="eastAsia"/>
          <w:spacing w:val="-2"/>
        </w:rPr>
        <w:t>因尚</w:t>
      </w:r>
      <w:r w:rsidRPr="009E1555">
        <w:rPr>
          <w:rFonts w:ascii="標楷體" w:eastAsia="標楷體" w:hAnsi="標楷體" w:hint="eastAsia"/>
          <w:spacing w:val="-2"/>
        </w:rPr>
        <w:t>未完成相關法制程序，</w:t>
      </w:r>
      <w:r>
        <w:rPr>
          <w:rFonts w:ascii="標楷體" w:eastAsia="標楷體" w:hAnsi="標楷體" w:hint="eastAsia"/>
          <w:spacing w:val="-2"/>
        </w:rPr>
        <w:t>仍無法落實推動</w:t>
      </w:r>
      <w:r w:rsidRPr="009E1555">
        <w:rPr>
          <w:rFonts w:ascii="標楷體" w:eastAsia="標楷體" w:hAnsi="標楷體" w:hint="eastAsia"/>
          <w:spacing w:val="-2"/>
        </w:rPr>
        <w:t>留學貸款申貸額度提高</w:t>
      </w:r>
      <w:r>
        <w:rPr>
          <w:rFonts w:ascii="標楷體" w:eastAsia="標楷體" w:hAnsi="標楷體" w:hint="eastAsia"/>
          <w:spacing w:val="-2"/>
        </w:rPr>
        <w:t>政策</w:t>
      </w:r>
      <w:r w:rsidRPr="009E1555">
        <w:rPr>
          <w:rFonts w:ascii="標楷體" w:eastAsia="標楷體" w:hAnsi="標楷體" w:hint="eastAsia"/>
          <w:spacing w:val="-2"/>
        </w:rPr>
        <w:t>；</w:t>
      </w:r>
      <w:r>
        <w:rPr>
          <w:rFonts w:ascii="標楷體" w:eastAsia="標楷體" w:hAnsi="標楷體" w:hint="eastAsia"/>
          <w:spacing w:val="-2"/>
        </w:rPr>
        <w:t>（</w:t>
      </w:r>
      <w:r w:rsidRPr="009E1555">
        <w:rPr>
          <w:rFonts w:ascii="標楷體" w:eastAsia="標楷體" w:hAnsi="標楷體" w:hint="eastAsia"/>
          <w:spacing w:val="-2"/>
        </w:rPr>
        <w:t>2</w:t>
      </w:r>
      <w:r>
        <w:rPr>
          <w:rFonts w:ascii="標楷體" w:eastAsia="標楷體" w:hAnsi="標楷體" w:hint="eastAsia"/>
          <w:spacing w:val="-2"/>
        </w:rPr>
        <w:t>）該局</w:t>
      </w:r>
      <w:r w:rsidRPr="009E1555">
        <w:rPr>
          <w:rFonts w:ascii="標楷體" w:eastAsia="標楷體" w:hAnsi="標楷體" w:hint="eastAsia"/>
          <w:spacing w:val="-2"/>
        </w:rPr>
        <w:t>為激勵青年參與國際事務，提升青年國際競爭優勢，於113年9月訂頒臺北市政府促進青年國際發展補助要點，並於113年10月8日至11月30日受理申請補助</w:t>
      </w:r>
      <w:r>
        <w:rPr>
          <w:rFonts w:ascii="標楷體" w:eastAsia="標楷體" w:hAnsi="標楷體" w:hint="eastAsia"/>
          <w:spacing w:val="-2"/>
        </w:rPr>
        <w:t>案件，鼓勵</w:t>
      </w:r>
      <w:r w:rsidRPr="009E1555">
        <w:rPr>
          <w:rFonts w:ascii="標楷體" w:eastAsia="標楷體" w:hAnsi="標楷體" w:hint="eastAsia"/>
          <w:spacing w:val="-2"/>
        </w:rPr>
        <w:t>臺北市青年出國參加展演、競賽等國際活動，每案補助2至20萬元不等，惟</w:t>
      </w:r>
      <w:r>
        <w:rPr>
          <w:rFonts w:ascii="標楷體" w:eastAsia="標楷體" w:hAnsi="標楷體" w:hint="eastAsia"/>
          <w:spacing w:val="-2"/>
        </w:rPr>
        <w:t>執行結果，</w:t>
      </w:r>
      <w:r w:rsidRPr="009E1555">
        <w:rPr>
          <w:rFonts w:ascii="標楷體" w:eastAsia="標楷體" w:hAnsi="標楷體" w:hint="eastAsia"/>
          <w:spacing w:val="-2"/>
        </w:rPr>
        <w:t>因</w:t>
      </w:r>
      <w:r>
        <w:rPr>
          <w:rFonts w:ascii="標楷體" w:eastAsia="標楷體" w:hAnsi="標楷體" w:hint="eastAsia"/>
          <w:spacing w:val="-2"/>
        </w:rPr>
        <w:t>受該計畫</w:t>
      </w:r>
      <w:r w:rsidRPr="009E1555">
        <w:rPr>
          <w:rFonts w:ascii="標楷體" w:eastAsia="標楷體" w:hAnsi="標楷體" w:hint="eastAsia"/>
          <w:spacing w:val="-2"/>
        </w:rPr>
        <w:t>未及早規劃執行，且</w:t>
      </w:r>
      <w:r>
        <w:rPr>
          <w:rFonts w:ascii="標楷體" w:eastAsia="標楷體" w:hAnsi="標楷體" w:hint="eastAsia"/>
          <w:spacing w:val="-2"/>
        </w:rPr>
        <w:t>部分</w:t>
      </w:r>
      <w:r w:rsidRPr="009E1555">
        <w:rPr>
          <w:rFonts w:ascii="標楷體" w:eastAsia="標楷體" w:hAnsi="標楷體" w:hint="eastAsia"/>
          <w:spacing w:val="-2"/>
        </w:rPr>
        <w:t>國際</w:t>
      </w:r>
      <w:r>
        <w:rPr>
          <w:rFonts w:ascii="標楷體" w:eastAsia="標楷體" w:hAnsi="標楷體" w:hint="eastAsia"/>
          <w:spacing w:val="-2"/>
        </w:rPr>
        <w:t>賽事（</w:t>
      </w:r>
      <w:r w:rsidRPr="009E1555">
        <w:rPr>
          <w:rFonts w:ascii="標楷體" w:eastAsia="標楷體" w:hAnsi="標楷體" w:hint="eastAsia"/>
          <w:spacing w:val="-2"/>
        </w:rPr>
        <w:t>活動</w:t>
      </w:r>
      <w:r>
        <w:rPr>
          <w:rFonts w:ascii="標楷體" w:eastAsia="標楷體" w:hAnsi="標楷體" w:hint="eastAsia"/>
          <w:spacing w:val="-2"/>
        </w:rPr>
        <w:t>）多</w:t>
      </w:r>
      <w:r w:rsidRPr="009E1555">
        <w:rPr>
          <w:rFonts w:ascii="標楷體" w:eastAsia="標楷體" w:hAnsi="標楷體" w:hint="eastAsia"/>
          <w:spacing w:val="-2"/>
        </w:rPr>
        <w:t>於前3</w:t>
      </w:r>
      <w:proofErr w:type="gramStart"/>
      <w:r w:rsidRPr="009E1555">
        <w:rPr>
          <w:rFonts w:ascii="標楷體" w:eastAsia="標楷體" w:hAnsi="標楷體" w:hint="eastAsia"/>
          <w:spacing w:val="-2"/>
        </w:rPr>
        <w:t>季</w:t>
      </w:r>
      <w:r>
        <w:rPr>
          <w:rFonts w:ascii="標楷體" w:eastAsia="標楷體" w:hAnsi="標楷體" w:hint="eastAsia"/>
          <w:spacing w:val="-2"/>
        </w:rPr>
        <w:t>辦畢</w:t>
      </w:r>
      <w:proofErr w:type="gramEnd"/>
      <w:r w:rsidRPr="009E1555">
        <w:rPr>
          <w:rFonts w:ascii="標楷體" w:eastAsia="標楷體" w:hAnsi="標楷體" w:hint="eastAsia"/>
          <w:spacing w:val="-2"/>
        </w:rPr>
        <w:t>，致申請情形不如預期，最終僅補助10案，核銷金額66萬餘元，</w:t>
      </w:r>
      <w:r>
        <w:rPr>
          <w:rFonts w:ascii="標楷體" w:eastAsia="標楷體" w:hAnsi="標楷體" w:hint="eastAsia"/>
          <w:spacing w:val="-2"/>
        </w:rPr>
        <w:t>占預算數100萬元之</w:t>
      </w:r>
      <w:r w:rsidRPr="009E1555">
        <w:rPr>
          <w:rFonts w:ascii="標楷體" w:eastAsia="標楷體" w:hAnsi="標楷體" w:hint="eastAsia"/>
          <w:spacing w:val="-2"/>
        </w:rPr>
        <w:t>66.22％</w:t>
      </w:r>
      <w:r>
        <w:rPr>
          <w:rFonts w:ascii="標楷體" w:eastAsia="標楷體" w:hAnsi="標楷體" w:hint="eastAsia"/>
          <w:spacing w:val="-2"/>
        </w:rPr>
        <w:t>，</w:t>
      </w:r>
      <w:r w:rsidRPr="009E1555">
        <w:rPr>
          <w:rFonts w:ascii="標楷體" w:eastAsia="標楷體" w:hAnsi="標楷體" w:hint="eastAsia"/>
          <w:spacing w:val="-2"/>
        </w:rPr>
        <w:t>且查其中有7案，核銷金額33萬餘元，係由該局主動聯繫</w:t>
      </w:r>
      <w:r>
        <w:rPr>
          <w:rFonts w:ascii="標楷體" w:eastAsia="標楷體" w:hAnsi="標楷體" w:hint="eastAsia"/>
          <w:spacing w:val="-2"/>
        </w:rPr>
        <w:t>已參與賽事（活動）之個人或團體</w:t>
      </w:r>
      <w:r w:rsidRPr="009E1555">
        <w:rPr>
          <w:rFonts w:ascii="標楷體" w:eastAsia="標楷體" w:hAnsi="標楷體" w:hint="eastAsia"/>
          <w:spacing w:val="-2"/>
        </w:rPr>
        <w:t>提出申請，致有未於活動辦理前7個工作日提出申請，或於活動結束後始提出申請，與補助程序未合；</w:t>
      </w:r>
      <w:r>
        <w:rPr>
          <w:rFonts w:ascii="標楷體" w:eastAsia="標楷體" w:hAnsi="標楷體" w:hint="eastAsia"/>
          <w:spacing w:val="-2"/>
        </w:rPr>
        <w:t>（</w:t>
      </w:r>
      <w:r w:rsidRPr="009E1555">
        <w:rPr>
          <w:rFonts w:ascii="標楷體" w:eastAsia="標楷體" w:hAnsi="標楷體" w:hint="eastAsia"/>
          <w:spacing w:val="-2"/>
        </w:rPr>
        <w:t>3</w:t>
      </w:r>
      <w:r>
        <w:rPr>
          <w:rFonts w:ascii="標楷體" w:eastAsia="標楷體" w:hAnsi="標楷體" w:hint="eastAsia"/>
          <w:spacing w:val="-2"/>
        </w:rPr>
        <w:t>）</w:t>
      </w:r>
      <w:r w:rsidRPr="009E1555">
        <w:rPr>
          <w:rFonts w:ascii="標楷體" w:eastAsia="標楷體" w:hAnsi="標楷體" w:hint="eastAsia"/>
          <w:spacing w:val="-2"/>
        </w:rPr>
        <w:t>臺北市政府為推動城市外交，鼓勵外國人來臺北市學習中文，於89年3月訂定臺北市促進國際交流補助外國人學習中文要點，</w:t>
      </w:r>
      <w:r>
        <w:rPr>
          <w:rFonts w:ascii="標楷體" w:eastAsia="標楷體" w:hAnsi="標楷體" w:hint="eastAsia"/>
          <w:spacing w:val="-2"/>
        </w:rPr>
        <w:t>青年</w:t>
      </w:r>
      <w:r w:rsidRPr="009E1555">
        <w:rPr>
          <w:rFonts w:ascii="標楷體" w:eastAsia="標楷體" w:hAnsi="標楷體" w:hint="eastAsia"/>
          <w:spacing w:val="-2"/>
        </w:rPr>
        <w:t>局於1</w:t>
      </w:r>
      <w:r w:rsidRPr="009E1555">
        <w:rPr>
          <w:rFonts w:ascii="標楷體" w:eastAsia="標楷體" w:hAnsi="標楷體"/>
          <w:spacing w:val="-2"/>
        </w:rPr>
        <w:t>13</w:t>
      </w:r>
      <w:r w:rsidRPr="009E1555">
        <w:rPr>
          <w:rFonts w:ascii="標楷體" w:eastAsia="標楷體" w:hAnsi="標楷體" w:hint="eastAsia"/>
          <w:spacing w:val="-2"/>
        </w:rPr>
        <w:t>年6月</w:t>
      </w:r>
      <w:r>
        <w:rPr>
          <w:rFonts w:ascii="標楷體" w:eastAsia="標楷體" w:hAnsi="標楷體" w:hint="eastAsia"/>
          <w:spacing w:val="-2"/>
        </w:rPr>
        <w:t>承</w:t>
      </w:r>
      <w:r w:rsidRPr="009E1555">
        <w:rPr>
          <w:rFonts w:ascii="標楷體" w:eastAsia="標楷體" w:hAnsi="標楷體" w:hint="eastAsia"/>
          <w:spacing w:val="-2"/>
        </w:rPr>
        <w:t>接</w:t>
      </w:r>
      <w:r>
        <w:rPr>
          <w:rFonts w:ascii="標楷體" w:eastAsia="標楷體" w:hAnsi="標楷體" w:hint="eastAsia"/>
          <w:spacing w:val="-2"/>
        </w:rPr>
        <w:t>該</w:t>
      </w:r>
      <w:r w:rsidRPr="009E1555">
        <w:rPr>
          <w:rFonts w:ascii="標楷體" w:eastAsia="標楷體" w:hAnsi="標楷體" w:hint="eastAsia"/>
          <w:spacing w:val="-2"/>
        </w:rPr>
        <w:t>項業務及相關經費115萬元</w:t>
      </w:r>
      <w:r>
        <w:rPr>
          <w:rFonts w:ascii="標楷體" w:eastAsia="標楷體" w:hAnsi="標楷體" w:hint="eastAsia"/>
          <w:spacing w:val="-2"/>
        </w:rPr>
        <w:t>後</w:t>
      </w:r>
      <w:r w:rsidRPr="009E1555">
        <w:rPr>
          <w:rFonts w:ascii="標楷體" w:eastAsia="標楷體" w:hAnsi="標楷體" w:hint="eastAsia"/>
          <w:spacing w:val="-2"/>
        </w:rPr>
        <w:t>，預計於113年9月至114年2月期間補助10位學生每人每月新臺幣2萬5,000元，惟因該局未能及早掌握正取學生報到資訊或未規範渠等聲明放棄受獎資格期限，實際僅補助8位學生，尚有備取1人未獲遞補，損及學生受獎權益，並浪費補助預算資源</w:t>
      </w:r>
      <w:r>
        <w:rPr>
          <w:rFonts w:ascii="標楷體" w:eastAsia="標楷體" w:hAnsi="標楷體" w:hint="eastAsia"/>
          <w:spacing w:val="-2"/>
        </w:rPr>
        <w:t>；</w:t>
      </w:r>
      <w:proofErr w:type="gramStart"/>
      <w:r w:rsidRPr="009E1555">
        <w:rPr>
          <w:rFonts w:ascii="標楷體" w:eastAsia="標楷體" w:hAnsi="標楷體" w:hint="eastAsia"/>
          <w:spacing w:val="-2"/>
        </w:rPr>
        <w:t>另查依113年</w:t>
      </w:r>
      <w:proofErr w:type="gramEnd"/>
      <w:r w:rsidRPr="009E1555">
        <w:rPr>
          <w:rFonts w:ascii="標楷體" w:eastAsia="標楷體" w:hAnsi="標楷體" w:hint="eastAsia"/>
          <w:spacing w:val="-2"/>
        </w:rPr>
        <w:t>臺北市促進國際交流補助外國人學習中文申請表規範，</w:t>
      </w:r>
      <w:r>
        <w:rPr>
          <w:rFonts w:ascii="標楷體" w:eastAsia="標楷體" w:hAnsi="標楷體" w:hint="eastAsia"/>
          <w:spacing w:val="-2"/>
        </w:rPr>
        <w:t>前開8位</w:t>
      </w:r>
      <w:r w:rsidRPr="009E1555">
        <w:rPr>
          <w:rFonts w:ascii="標楷體" w:eastAsia="標楷體" w:hAnsi="標楷體" w:hint="eastAsia"/>
          <w:spacing w:val="-2"/>
        </w:rPr>
        <w:t>受獎學生均承諾願意參加市政府安排之24小時文化服務活動，</w:t>
      </w:r>
      <w:r>
        <w:rPr>
          <w:rFonts w:ascii="標楷體" w:eastAsia="標楷體" w:hAnsi="標楷體" w:hint="eastAsia"/>
          <w:spacing w:val="-2"/>
        </w:rPr>
        <w:t>又</w:t>
      </w:r>
      <w:r w:rsidRPr="009E1555">
        <w:rPr>
          <w:rFonts w:ascii="標楷體" w:eastAsia="標楷體" w:hAnsi="標楷體" w:hint="eastAsia"/>
          <w:spacing w:val="-2"/>
        </w:rPr>
        <w:t>青年局</w:t>
      </w:r>
      <w:r>
        <w:rPr>
          <w:rFonts w:ascii="標楷體" w:eastAsia="標楷體" w:hAnsi="標楷體" w:hint="eastAsia"/>
          <w:spacing w:val="-2"/>
        </w:rPr>
        <w:t>已</w:t>
      </w:r>
      <w:r w:rsidRPr="009E1555">
        <w:rPr>
          <w:rFonts w:ascii="標楷體" w:eastAsia="標楷體" w:hAnsi="標楷體" w:hint="eastAsia"/>
          <w:spacing w:val="-2"/>
        </w:rPr>
        <w:t>於113年10月至114年2月期間辦理4場文化服務活動並邀請受獎學生參與，</w:t>
      </w:r>
      <w:proofErr w:type="gramStart"/>
      <w:r w:rsidRPr="009E1555">
        <w:rPr>
          <w:rFonts w:ascii="標楷體" w:eastAsia="標楷體" w:hAnsi="標楷體" w:hint="eastAsia"/>
          <w:spacing w:val="-2"/>
        </w:rPr>
        <w:t>惟總時</w:t>
      </w:r>
      <w:proofErr w:type="gramEnd"/>
      <w:r w:rsidRPr="009E1555">
        <w:rPr>
          <w:rFonts w:ascii="標楷體" w:eastAsia="標楷體" w:hAnsi="標楷體" w:hint="eastAsia"/>
          <w:spacing w:val="-2"/>
        </w:rPr>
        <w:t>數不到7小時，尚未達受獎學生承諾參與時數24小時之</w:t>
      </w:r>
      <w:proofErr w:type="gramStart"/>
      <w:r w:rsidRPr="009E1555">
        <w:rPr>
          <w:rFonts w:ascii="標楷體" w:eastAsia="標楷體" w:hAnsi="標楷體" w:hint="eastAsia"/>
          <w:spacing w:val="-2"/>
        </w:rPr>
        <w:t>3成</w:t>
      </w:r>
      <w:proofErr w:type="gramEnd"/>
      <w:r w:rsidRPr="009E1555">
        <w:rPr>
          <w:rFonts w:ascii="標楷體" w:eastAsia="標楷體" w:hAnsi="標楷體" w:hint="eastAsia"/>
          <w:spacing w:val="-2"/>
        </w:rPr>
        <w:t>，</w:t>
      </w:r>
      <w:proofErr w:type="gramStart"/>
      <w:r w:rsidRPr="009E1555">
        <w:rPr>
          <w:rFonts w:ascii="標楷體" w:eastAsia="標楷體" w:hAnsi="標楷體" w:hint="eastAsia"/>
          <w:spacing w:val="-2"/>
        </w:rPr>
        <w:t>且間有受獎</w:t>
      </w:r>
      <w:proofErr w:type="gramEnd"/>
      <w:r w:rsidRPr="009E1555">
        <w:rPr>
          <w:rFonts w:ascii="標楷體" w:eastAsia="標楷體" w:hAnsi="標楷體" w:hint="eastAsia"/>
          <w:spacing w:val="-2"/>
        </w:rPr>
        <w:t>學生未</w:t>
      </w:r>
      <w:r>
        <w:rPr>
          <w:rFonts w:ascii="標楷體" w:eastAsia="標楷體" w:hAnsi="標楷體" w:hint="eastAsia"/>
          <w:spacing w:val="-2"/>
        </w:rPr>
        <w:t>依規定</w:t>
      </w:r>
      <w:r w:rsidRPr="009E1555">
        <w:rPr>
          <w:rFonts w:ascii="標楷體" w:eastAsia="標楷體" w:hAnsi="標楷體" w:hint="eastAsia"/>
          <w:spacing w:val="-2"/>
        </w:rPr>
        <w:t>出席活動等情事，經函請檢討改善。據復：</w:t>
      </w:r>
      <w:r>
        <w:rPr>
          <w:rFonts w:ascii="標楷體" w:eastAsia="標楷體" w:hAnsi="標楷體" w:hint="eastAsia"/>
          <w:spacing w:val="-2"/>
        </w:rPr>
        <w:t>（</w:t>
      </w:r>
      <w:r w:rsidRPr="009E1555">
        <w:rPr>
          <w:rFonts w:ascii="標楷體" w:eastAsia="標楷體" w:hAnsi="標楷體" w:hint="eastAsia"/>
          <w:spacing w:val="-2"/>
        </w:rPr>
        <w:t>1</w:t>
      </w:r>
      <w:r>
        <w:rPr>
          <w:rFonts w:ascii="標楷體" w:eastAsia="標楷體" w:hAnsi="標楷體" w:hint="eastAsia"/>
          <w:spacing w:val="-2"/>
        </w:rPr>
        <w:t>）</w:t>
      </w:r>
      <w:r w:rsidRPr="009E1555">
        <w:rPr>
          <w:rFonts w:ascii="標楷體" w:eastAsia="標楷體" w:hAnsi="標楷體" w:hint="eastAsia"/>
          <w:spacing w:val="-2"/>
        </w:rPr>
        <w:t>已於114年5月</w:t>
      </w:r>
      <w:r>
        <w:rPr>
          <w:rFonts w:ascii="標楷體" w:eastAsia="標楷體" w:hAnsi="標楷體" w:hint="eastAsia"/>
          <w:spacing w:val="-2"/>
        </w:rPr>
        <w:t>依</w:t>
      </w:r>
      <w:r w:rsidRPr="009E1555">
        <w:rPr>
          <w:rFonts w:ascii="標楷體" w:eastAsia="標楷體" w:hAnsi="標楷體" w:hint="eastAsia"/>
          <w:spacing w:val="-2"/>
        </w:rPr>
        <w:t>臺北市政府法務局建議，</w:t>
      </w:r>
      <w:r>
        <w:rPr>
          <w:rFonts w:ascii="標楷體" w:eastAsia="標楷體" w:hAnsi="標楷體" w:hint="eastAsia"/>
          <w:spacing w:val="-2"/>
        </w:rPr>
        <w:t>修正補助辦法草案內容，並函請該業務原主辦機關臺北市政府教育局</w:t>
      </w:r>
      <w:proofErr w:type="gramStart"/>
      <w:r>
        <w:rPr>
          <w:rFonts w:ascii="標楷體" w:eastAsia="標楷體" w:hAnsi="標楷體" w:hint="eastAsia"/>
          <w:spacing w:val="-2"/>
        </w:rPr>
        <w:t>踐行</w:t>
      </w:r>
      <w:proofErr w:type="gramEnd"/>
      <w:r>
        <w:rPr>
          <w:rFonts w:ascii="標楷體" w:eastAsia="標楷體" w:hAnsi="標楷體" w:hint="eastAsia"/>
          <w:spacing w:val="-2"/>
        </w:rPr>
        <w:t>後續修法程序，未來</w:t>
      </w:r>
      <w:r w:rsidRPr="009E1555">
        <w:rPr>
          <w:rFonts w:ascii="標楷體" w:eastAsia="標楷體" w:hAnsi="標楷體" w:hint="eastAsia"/>
          <w:spacing w:val="-2"/>
        </w:rPr>
        <w:t>將持續與相關機關密切溝通，</w:t>
      </w:r>
      <w:r>
        <w:rPr>
          <w:rFonts w:ascii="標楷體" w:eastAsia="標楷體" w:hAnsi="標楷體" w:hint="eastAsia"/>
          <w:spacing w:val="-2"/>
        </w:rPr>
        <w:t>儘速</w:t>
      </w:r>
      <w:r w:rsidRPr="009E1555">
        <w:rPr>
          <w:rFonts w:ascii="標楷體" w:eastAsia="標楷體" w:hAnsi="標楷體" w:hint="eastAsia"/>
          <w:spacing w:val="-2"/>
        </w:rPr>
        <w:t>完成修法</w:t>
      </w:r>
      <w:r>
        <w:rPr>
          <w:rFonts w:ascii="標楷體" w:eastAsia="標楷體" w:hAnsi="標楷體" w:hint="eastAsia"/>
          <w:spacing w:val="-2"/>
        </w:rPr>
        <w:t>作業，以支持青年赴海外就學</w:t>
      </w:r>
      <w:r w:rsidRPr="009E1555">
        <w:rPr>
          <w:rFonts w:ascii="標楷體" w:eastAsia="標楷體" w:hAnsi="標楷體" w:hint="eastAsia"/>
          <w:spacing w:val="-2"/>
        </w:rPr>
        <w:t>；</w:t>
      </w:r>
      <w:r>
        <w:rPr>
          <w:rFonts w:ascii="標楷體" w:eastAsia="標楷體" w:hAnsi="標楷體" w:hint="eastAsia"/>
          <w:spacing w:val="-2"/>
        </w:rPr>
        <w:t>（</w:t>
      </w:r>
      <w:r w:rsidRPr="009E1555">
        <w:rPr>
          <w:rFonts w:ascii="標楷體" w:eastAsia="標楷體" w:hAnsi="標楷體" w:hint="eastAsia"/>
          <w:spacing w:val="-2"/>
        </w:rPr>
        <w:t>2</w:t>
      </w:r>
      <w:r>
        <w:rPr>
          <w:rFonts w:ascii="標楷體" w:eastAsia="標楷體" w:hAnsi="標楷體" w:hint="eastAsia"/>
          <w:spacing w:val="-2"/>
        </w:rPr>
        <w:t>）</w:t>
      </w:r>
      <w:r w:rsidRPr="009E1555">
        <w:rPr>
          <w:rFonts w:ascii="標楷體" w:eastAsia="標楷體" w:hAnsi="標楷體" w:hint="eastAsia"/>
          <w:spacing w:val="-2"/>
        </w:rPr>
        <w:t>業已調整推動策略，於114年1月14日公告新年度補助申請事宜，並函知臺北市公私立高中職、全國大專院校，另寄送573份補助宣傳海報予潛在申請團隊與周知相關利害關係人，截至114年4月底止，已受理59件申請，申請金額達217萬餘元；</w:t>
      </w:r>
      <w:r>
        <w:rPr>
          <w:rFonts w:ascii="標楷體" w:eastAsia="標楷體" w:hAnsi="標楷體" w:hint="eastAsia"/>
          <w:spacing w:val="-2"/>
        </w:rPr>
        <w:t>（</w:t>
      </w:r>
      <w:r w:rsidRPr="009E1555">
        <w:rPr>
          <w:rFonts w:ascii="標楷體" w:eastAsia="標楷體" w:hAnsi="標楷體" w:hint="eastAsia"/>
          <w:spacing w:val="-2"/>
        </w:rPr>
        <w:t>3</w:t>
      </w:r>
      <w:r>
        <w:rPr>
          <w:rFonts w:ascii="標楷體" w:eastAsia="標楷體" w:hAnsi="標楷體" w:hint="eastAsia"/>
          <w:spacing w:val="-2"/>
        </w:rPr>
        <w:t>）</w:t>
      </w:r>
      <w:r w:rsidRPr="009E1555">
        <w:rPr>
          <w:rFonts w:ascii="標楷體" w:eastAsia="標楷體" w:hAnsi="標楷體" w:hint="eastAsia"/>
          <w:spacing w:val="-2"/>
        </w:rPr>
        <w:t>將加強與受獎學生及語文中心之聯繫，以</w:t>
      </w:r>
      <w:r>
        <w:rPr>
          <w:rFonts w:ascii="標楷體" w:eastAsia="標楷體" w:hAnsi="標楷體" w:hint="eastAsia"/>
          <w:spacing w:val="-2"/>
        </w:rPr>
        <w:t>確實</w:t>
      </w:r>
      <w:r w:rsidRPr="009E1555">
        <w:rPr>
          <w:rFonts w:ascii="標楷體" w:eastAsia="標楷體" w:hAnsi="標楷體" w:hint="eastAsia"/>
          <w:spacing w:val="-2"/>
        </w:rPr>
        <w:t>掌握受獎學生來</w:t>
      </w:r>
      <w:proofErr w:type="gramStart"/>
      <w:r w:rsidRPr="009E1555">
        <w:rPr>
          <w:rFonts w:ascii="標楷體" w:eastAsia="標楷體" w:hAnsi="標楷體" w:hint="eastAsia"/>
          <w:spacing w:val="-2"/>
        </w:rPr>
        <w:t>臺</w:t>
      </w:r>
      <w:proofErr w:type="gramEnd"/>
      <w:r w:rsidRPr="009E1555">
        <w:rPr>
          <w:rFonts w:ascii="標楷體" w:eastAsia="標楷體" w:hAnsi="標楷體" w:hint="eastAsia"/>
          <w:spacing w:val="-2"/>
        </w:rPr>
        <w:t>時間及學校註冊狀況，並</w:t>
      </w:r>
      <w:r>
        <w:rPr>
          <w:rFonts w:ascii="標楷體" w:eastAsia="標楷體" w:hAnsi="標楷體" w:hint="eastAsia"/>
          <w:spacing w:val="-2"/>
        </w:rPr>
        <w:t>將</w:t>
      </w:r>
      <w:r w:rsidRPr="009E1555">
        <w:rPr>
          <w:rFonts w:ascii="標楷體" w:eastAsia="標楷體" w:hAnsi="標楷體" w:hint="eastAsia"/>
          <w:spacing w:val="-2"/>
        </w:rPr>
        <w:t>規</w:t>
      </w:r>
      <w:r>
        <w:rPr>
          <w:rFonts w:ascii="標楷體" w:eastAsia="標楷體" w:hAnsi="標楷體" w:hint="eastAsia"/>
          <w:spacing w:val="-2"/>
        </w:rPr>
        <w:t>範</w:t>
      </w:r>
      <w:r w:rsidRPr="009E1555">
        <w:rPr>
          <w:rFonts w:ascii="標楷體" w:eastAsia="標楷體" w:hAnsi="標楷體" w:hint="eastAsia"/>
          <w:spacing w:val="-2"/>
        </w:rPr>
        <w:t>受獎學生應於</w:t>
      </w:r>
      <w:proofErr w:type="gramStart"/>
      <w:r w:rsidRPr="009E1555">
        <w:rPr>
          <w:rFonts w:ascii="標楷體" w:eastAsia="標楷體" w:hAnsi="標楷體" w:hint="eastAsia"/>
          <w:spacing w:val="-2"/>
        </w:rPr>
        <w:t>ㄧ週</w:t>
      </w:r>
      <w:proofErr w:type="gramEnd"/>
      <w:r w:rsidRPr="009E1555">
        <w:rPr>
          <w:rFonts w:ascii="標楷體" w:eastAsia="標楷體" w:hAnsi="標楷體" w:hint="eastAsia"/>
          <w:spacing w:val="-2"/>
        </w:rPr>
        <w:t>內回覆放棄聲明與否，以利同步進行遞補事宜；另將加強文化服務活動內容，以提高受獎學生與</w:t>
      </w:r>
      <w:proofErr w:type="gramStart"/>
      <w:r w:rsidRPr="009E1555">
        <w:rPr>
          <w:rFonts w:ascii="標楷體" w:eastAsia="標楷體" w:hAnsi="標楷體" w:hint="eastAsia"/>
          <w:spacing w:val="-2"/>
        </w:rPr>
        <w:t>臺</w:t>
      </w:r>
      <w:proofErr w:type="gramEnd"/>
      <w:r w:rsidRPr="009E1555">
        <w:rPr>
          <w:rFonts w:ascii="標楷體" w:eastAsia="標楷體" w:hAnsi="標楷體" w:hint="eastAsia"/>
          <w:spacing w:val="-2"/>
        </w:rPr>
        <w:t>北青年跨文化交流活動之次數，並落實要求受獎學生參與及提早約定出席時間，</w:t>
      </w:r>
      <w:r>
        <w:rPr>
          <w:rFonts w:ascii="標楷體" w:eastAsia="標楷體" w:hAnsi="標楷體" w:hint="eastAsia"/>
          <w:spacing w:val="-2"/>
        </w:rPr>
        <w:t>以</w:t>
      </w:r>
      <w:r w:rsidRPr="009E1555">
        <w:rPr>
          <w:rFonts w:ascii="標楷體" w:eastAsia="標楷體" w:hAnsi="標楷體" w:hint="eastAsia"/>
          <w:spacing w:val="-2"/>
        </w:rPr>
        <w:t>確保</w:t>
      </w:r>
      <w:r>
        <w:rPr>
          <w:rFonts w:ascii="標楷體" w:eastAsia="標楷體" w:hAnsi="標楷體" w:hint="eastAsia"/>
          <w:spacing w:val="-2"/>
        </w:rPr>
        <w:t>學生皆能</w:t>
      </w:r>
      <w:r w:rsidRPr="009E1555">
        <w:rPr>
          <w:rFonts w:ascii="標楷體" w:eastAsia="標楷體" w:hAnsi="標楷體" w:hint="eastAsia"/>
          <w:spacing w:val="-2"/>
        </w:rPr>
        <w:t>達到足夠之交流時數。</w:t>
      </w:r>
      <w:r>
        <w:rPr>
          <w:rFonts w:ascii="標楷體" w:eastAsia="標楷體" w:hAnsi="標楷體"/>
          <w:spacing w:val="-2"/>
        </w:rPr>
        <w:br w:type="page"/>
      </w:r>
    </w:p>
    <w:p w14:paraId="01B5FBCC" w14:textId="77777777" w:rsidR="002A2BD6" w:rsidRPr="006C2459" w:rsidRDefault="002A2BD6" w:rsidP="002A2BD6">
      <w:pPr>
        <w:overflowPunct w:val="0"/>
        <w:spacing w:line="520" w:lineRule="exact"/>
        <w:rPr>
          <w:rFonts w:ascii="標楷體" w:eastAsia="標楷體" w:hAnsi="標楷體" w:cs="Times New Roman"/>
          <w:b/>
          <w:sz w:val="36"/>
          <w:szCs w:val="36"/>
        </w:rPr>
      </w:pPr>
      <w:r w:rsidRPr="006C2459">
        <w:rPr>
          <w:rFonts w:ascii="標楷體" w:eastAsia="標楷體" w:hAnsi="標楷體" w:cs="Times New Roman" w:hint="eastAsia"/>
          <w:b/>
          <w:sz w:val="36"/>
          <w:szCs w:val="36"/>
        </w:rPr>
        <w:lastRenderedPageBreak/>
        <w:t>貳拾</w:t>
      </w:r>
      <w:r>
        <w:rPr>
          <w:rFonts w:ascii="標楷體" w:eastAsia="標楷體" w:hAnsi="標楷體" w:cs="Times New Roman" w:hint="eastAsia"/>
          <w:b/>
          <w:sz w:val="36"/>
          <w:szCs w:val="36"/>
        </w:rPr>
        <w:t>柒</w:t>
      </w:r>
      <w:r w:rsidRPr="006C2459">
        <w:rPr>
          <w:rFonts w:ascii="標楷體" w:eastAsia="標楷體" w:hAnsi="標楷體" w:cs="Times New Roman" w:hint="eastAsia"/>
          <w:b/>
          <w:sz w:val="36"/>
          <w:szCs w:val="36"/>
        </w:rPr>
        <w:t>、</w:t>
      </w:r>
      <w:proofErr w:type="gramStart"/>
      <w:r w:rsidRPr="006C2459">
        <w:rPr>
          <w:rFonts w:ascii="標楷體" w:eastAsia="標楷體" w:hAnsi="標楷體" w:cs="Times New Roman" w:hint="eastAsia"/>
          <w:b/>
          <w:sz w:val="36"/>
          <w:szCs w:val="36"/>
        </w:rPr>
        <w:t>統籌支撥科目</w:t>
      </w:r>
      <w:proofErr w:type="gramEnd"/>
    </w:p>
    <w:p w14:paraId="3D89605B" w14:textId="77777777" w:rsidR="002A2BD6" w:rsidRPr="006C2459" w:rsidRDefault="002A2BD6" w:rsidP="00FE7F93">
      <w:pPr>
        <w:overflowPunct w:val="0"/>
        <w:spacing w:beforeLines="20" w:before="72" w:line="500" w:lineRule="exact"/>
        <w:ind w:firstLineChars="200" w:firstLine="480"/>
        <w:jc w:val="both"/>
        <w:rPr>
          <w:rFonts w:ascii="標楷體" w:eastAsia="標楷體" w:hAnsi="Times New Roman" w:cs="Times New Roman"/>
          <w:szCs w:val="24"/>
        </w:rPr>
      </w:pPr>
      <w:proofErr w:type="gramStart"/>
      <w:r w:rsidRPr="006C2459">
        <w:rPr>
          <w:rFonts w:ascii="標楷體" w:eastAsia="標楷體" w:hAnsi="Times New Roman" w:cs="Times New Roman" w:hint="eastAsia"/>
          <w:szCs w:val="24"/>
        </w:rPr>
        <w:t>統籌支撥科目</w:t>
      </w:r>
      <w:proofErr w:type="gramEnd"/>
      <w:r w:rsidRPr="006C2459">
        <w:rPr>
          <w:rFonts w:ascii="標楷體" w:eastAsia="標楷體" w:hAnsi="Times New Roman" w:cs="Times New Roman" w:hint="eastAsia"/>
          <w:szCs w:val="24"/>
        </w:rPr>
        <w:t>包括公務人員退休及撫</w:t>
      </w:r>
      <w:proofErr w:type="gramStart"/>
      <w:r w:rsidRPr="006C2459">
        <w:rPr>
          <w:rFonts w:ascii="標楷體" w:eastAsia="標楷體" w:hAnsi="Times New Roman" w:cs="Times New Roman" w:hint="eastAsia"/>
          <w:szCs w:val="24"/>
        </w:rPr>
        <w:t>卹</w:t>
      </w:r>
      <w:proofErr w:type="gramEnd"/>
      <w:r w:rsidRPr="006C2459">
        <w:rPr>
          <w:rFonts w:ascii="標楷體" w:eastAsia="標楷體" w:hAnsi="Times New Roman" w:cs="Times New Roman" w:hint="eastAsia"/>
          <w:szCs w:val="24"/>
        </w:rPr>
        <w:t>給付、公務人員各項補助及慰問金、災害準備金及各類員工待遇準備等業務。茲將</w:t>
      </w:r>
      <w:proofErr w:type="gramStart"/>
      <w:r w:rsidRPr="006C2459">
        <w:rPr>
          <w:rFonts w:ascii="標楷體" w:eastAsia="標楷體" w:hAnsi="Times New Roman" w:cs="Times New Roman" w:hint="eastAsia"/>
          <w:szCs w:val="24"/>
        </w:rPr>
        <w:t>11</w:t>
      </w:r>
      <w:r>
        <w:rPr>
          <w:rFonts w:ascii="標楷體" w:eastAsia="標楷體" w:hAnsi="Times New Roman" w:cs="Times New Roman" w:hint="eastAsia"/>
          <w:szCs w:val="24"/>
        </w:rPr>
        <w:t>3</w:t>
      </w:r>
      <w:proofErr w:type="gramEnd"/>
      <w:r w:rsidRPr="006C2459">
        <w:rPr>
          <w:rFonts w:ascii="標楷體" w:eastAsia="標楷體" w:hAnsi="Times New Roman" w:cs="Times New Roman" w:hint="eastAsia"/>
          <w:szCs w:val="24"/>
        </w:rPr>
        <w:t>年度決算審核結果說明如次：</w:t>
      </w:r>
    </w:p>
    <w:p w14:paraId="5A425315" w14:textId="77777777" w:rsidR="002A2BD6" w:rsidRPr="006C2459" w:rsidRDefault="002A2BD6" w:rsidP="004347AB">
      <w:pPr>
        <w:overflowPunct w:val="0"/>
        <w:spacing w:beforeLines="50" w:before="180" w:afterLines="50" w:after="180" w:line="520" w:lineRule="exact"/>
        <w:ind w:firstLineChars="100" w:firstLine="280"/>
        <w:jc w:val="both"/>
        <w:rPr>
          <w:rFonts w:ascii="標楷體" w:eastAsia="標楷體" w:hAnsi="標楷體" w:cs="Times New Roman"/>
          <w:b/>
          <w:sz w:val="28"/>
          <w:szCs w:val="28"/>
        </w:rPr>
      </w:pPr>
      <w:r w:rsidRPr="006C2459">
        <w:rPr>
          <w:rFonts w:ascii="標楷體" w:eastAsia="標楷體" w:hAnsi="標楷體" w:cs="Times New Roman" w:hint="eastAsia"/>
          <w:b/>
          <w:sz w:val="28"/>
          <w:szCs w:val="28"/>
        </w:rPr>
        <w:t>（一）計畫實施之查核</w:t>
      </w:r>
    </w:p>
    <w:p w14:paraId="3D7A3D2C" w14:textId="77777777" w:rsidR="002A2BD6" w:rsidRPr="006C2459" w:rsidRDefault="002A2BD6" w:rsidP="004347AB">
      <w:pPr>
        <w:overflowPunct w:val="0"/>
        <w:spacing w:line="500" w:lineRule="exact"/>
        <w:ind w:firstLineChars="200" w:firstLine="480"/>
        <w:jc w:val="both"/>
        <w:rPr>
          <w:rFonts w:ascii="標楷體" w:eastAsia="標楷體" w:hAnsi="標楷體" w:cs="Times New Roman"/>
          <w:szCs w:val="24"/>
        </w:rPr>
      </w:pPr>
      <w:r w:rsidRPr="006C2459">
        <w:rPr>
          <w:rFonts w:ascii="標楷體" w:eastAsia="標楷體" w:hAnsi="Times New Roman" w:cs="Times New Roman" w:hint="eastAsia"/>
          <w:szCs w:val="24"/>
        </w:rPr>
        <w:t>業務計畫</w:t>
      </w:r>
      <w:r>
        <w:rPr>
          <w:rFonts w:ascii="標楷體" w:eastAsia="標楷體" w:hAnsi="Times New Roman" w:cs="Times New Roman" w:hint="eastAsia"/>
          <w:szCs w:val="24"/>
        </w:rPr>
        <w:t>4</w:t>
      </w:r>
      <w:r w:rsidRPr="006C2459">
        <w:rPr>
          <w:rFonts w:ascii="標楷體" w:eastAsia="標楷體" w:hAnsi="Times New Roman" w:cs="Times New Roman" w:hint="eastAsia"/>
          <w:szCs w:val="24"/>
        </w:rPr>
        <w:t>項，下分工作計畫</w:t>
      </w:r>
      <w:r w:rsidRPr="006C2459">
        <w:rPr>
          <w:rFonts w:ascii="標楷體" w:eastAsia="標楷體" w:hAnsi="Times New Roman" w:cs="Times New Roman"/>
          <w:szCs w:val="24"/>
        </w:rPr>
        <w:t>5</w:t>
      </w:r>
      <w:r w:rsidRPr="006C2459">
        <w:rPr>
          <w:rFonts w:ascii="標楷體" w:eastAsia="標楷體" w:hAnsi="Times New Roman" w:cs="Times New Roman" w:hint="eastAsia"/>
          <w:szCs w:val="24"/>
        </w:rPr>
        <w:t>項，已執行完成者</w:t>
      </w:r>
      <w:r w:rsidRPr="006C2459">
        <w:rPr>
          <w:rFonts w:ascii="標楷體" w:eastAsia="標楷體" w:hAnsi="Times New Roman" w:cs="Times New Roman"/>
          <w:szCs w:val="24"/>
        </w:rPr>
        <w:t>4</w:t>
      </w:r>
      <w:r w:rsidRPr="006C2459">
        <w:rPr>
          <w:rFonts w:ascii="標楷體" w:eastAsia="標楷體" w:hAnsi="Times New Roman" w:cs="Times New Roman" w:hint="eastAsia"/>
          <w:szCs w:val="24"/>
        </w:rPr>
        <w:t>項，尚在執行者1項，</w:t>
      </w:r>
      <w:r w:rsidRPr="006C2459">
        <w:rPr>
          <w:rFonts w:ascii="標楷體" w:eastAsia="標楷體" w:hAnsi="標楷體" w:cs="Times New Roman" w:hint="eastAsia"/>
          <w:szCs w:val="24"/>
        </w:rPr>
        <w:t>主要係災害準備金支應</w:t>
      </w:r>
      <w:r>
        <w:rPr>
          <w:rFonts w:ascii="標楷體" w:eastAsia="標楷體" w:hAnsi="標楷體" w:cs="Times New Roman" w:hint="eastAsia"/>
          <w:szCs w:val="24"/>
        </w:rPr>
        <w:t>工務局公園路燈工程管理處各區管理所所</w:t>
      </w:r>
      <w:proofErr w:type="gramStart"/>
      <w:r>
        <w:rPr>
          <w:rFonts w:ascii="標楷體" w:eastAsia="標楷體" w:hAnsi="標楷體" w:cs="Times New Roman" w:hint="eastAsia"/>
          <w:szCs w:val="24"/>
        </w:rPr>
        <w:t>轄</w:t>
      </w:r>
      <w:proofErr w:type="gramEnd"/>
      <w:r>
        <w:rPr>
          <w:rFonts w:ascii="標楷體" w:eastAsia="標楷體" w:hAnsi="標楷體" w:cs="Times New Roman" w:hint="eastAsia"/>
          <w:szCs w:val="24"/>
        </w:rPr>
        <w:t>天然災害搶修預約等工程，契約期程跨年度</w:t>
      </w:r>
      <w:r w:rsidRPr="006C2459">
        <w:rPr>
          <w:rFonts w:ascii="標楷體" w:eastAsia="標楷體" w:hAnsi="標楷體" w:cs="Times New Roman" w:hint="eastAsia"/>
          <w:szCs w:val="24"/>
        </w:rPr>
        <w:t>，</w:t>
      </w:r>
      <w:r>
        <w:rPr>
          <w:rFonts w:ascii="標楷體" w:eastAsia="標楷體" w:hAnsi="標楷體" w:cs="Times New Roman" w:hint="eastAsia"/>
          <w:szCs w:val="24"/>
        </w:rPr>
        <w:t>須</w:t>
      </w:r>
      <w:r w:rsidRPr="006C2459">
        <w:rPr>
          <w:rFonts w:ascii="標楷體" w:eastAsia="標楷體" w:hAnsi="標楷體" w:cs="Times New Roman" w:hint="eastAsia"/>
          <w:szCs w:val="24"/>
        </w:rPr>
        <w:t>保留繼續執行</w:t>
      </w:r>
      <w:r w:rsidRPr="006C2459">
        <w:rPr>
          <w:rFonts w:ascii="標楷體" w:eastAsia="標楷體" w:hAnsi="標楷體" w:cs="Times New Roman"/>
          <w:szCs w:val="24"/>
        </w:rPr>
        <w:t>。</w:t>
      </w:r>
    </w:p>
    <w:p w14:paraId="15899415" w14:textId="77777777" w:rsidR="002A2BD6" w:rsidRPr="006C2459" w:rsidRDefault="002A2BD6" w:rsidP="004347AB">
      <w:pPr>
        <w:overflowPunct w:val="0"/>
        <w:spacing w:beforeLines="50" w:before="180" w:afterLines="50" w:after="180" w:line="520" w:lineRule="exact"/>
        <w:ind w:firstLineChars="100" w:firstLine="280"/>
        <w:jc w:val="both"/>
        <w:rPr>
          <w:rFonts w:ascii="標楷體" w:eastAsia="標楷體" w:hAnsi="標楷體" w:cs="Times New Roman"/>
          <w:b/>
          <w:sz w:val="28"/>
          <w:szCs w:val="28"/>
        </w:rPr>
      </w:pPr>
      <w:r w:rsidRPr="006C2459">
        <w:rPr>
          <w:rFonts w:ascii="標楷體" w:eastAsia="標楷體" w:hAnsi="標楷體" w:cs="Times New Roman" w:hint="eastAsia"/>
          <w:b/>
          <w:sz w:val="28"/>
          <w:szCs w:val="28"/>
        </w:rPr>
        <w:t>（二）預算執行之審核</w:t>
      </w:r>
    </w:p>
    <w:p w14:paraId="5A02ADF6" w14:textId="77777777" w:rsidR="002A2BD6" w:rsidRPr="004347AB" w:rsidRDefault="002A2BD6" w:rsidP="004347AB">
      <w:pPr>
        <w:overflowPunct w:val="0"/>
        <w:spacing w:line="500" w:lineRule="exact"/>
        <w:ind w:firstLineChars="200" w:firstLine="496"/>
        <w:jc w:val="both"/>
        <w:rPr>
          <w:rFonts w:ascii="標楷體" w:eastAsia="標楷體" w:hAnsi="Times New Roman" w:cs="Times New Roman"/>
          <w:spacing w:val="4"/>
          <w:szCs w:val="24"/>
        </w:rPr>
      </w:pPr>
      <w:r w:rsidRPr="004347AB">
        <w:rPr>
          <w:rFonts w:ascii="標楷體" w:eastAsia="標楷體" w:hAnsi="Times New Roman" w:cs="Times New Roman" w:hint="eastAsia"/>
          <w:spacing w:val="4"/>
          <w:szCs w:val="24"/>
        </w:rPr>
        <w:t>1.歲出原編列預算數91億2</w:t>
      </w:r>
      <w:r w:rsidRPr="004347AB">
        <w:rPr>
          <w:rFonts w:ascii="標楷體" w:eastAsia="標楷體" w:hAnsi="Times New Roman" w:cs="Times New Roman"/>
          <w:spacing w:val="4"/>
          <w:szCs w:val="24"/>
        </w:rPr>
        <w:t>,</w:t>
      </w:r>
      <w:r w:rsidRPr="004347AB">
        <w:rPr>
          <w:rFonts w:ascii="標楷體" w:eastAsia="標楷體" w:hAnsi="Times New Roman" w:cs="Times New Roman" w:hint="eastAsia"/>
          <w:spacing w:val="4"/>
          <w:szCs w:val="24"/>
        </w:rPr>
        <w:t>057萬餘元</w:t>
      </w:r>
      <w:r w:rsidRPr="004347AB">
        <w:rPr>
          <w:rFonts w:ascii="標楷體" w:eastAsia="標楷體" w:hAnsi="標楷體" w:cs="Times New Roman" w:hint="eastAsia"/>
          <w:spacing w:val="4"/>
          <w:szCs w:val="24"/>
        </w:rPr>
        <w:t>，經追加預算3億9</w:t>
      </w:r>
      <w:r w:rsidRPr="004347AB">
        <w:rPr>
          <w:rFonts w:ascii="標楷體" w:eastAsia="標楷體" w:hAnsi="標楷體" w:cs="Times New Roman"/>
          <w:spacing w:val="4"/>
          <w:szCs w:val="24"/>
        </w:rPr>
        <w:t>,</w:t>
      </w:r>
      <w:r w:rsidRPr="004347AB">
        <w:rPr>
          <w:rFonts w:ascii="標楷體" w:eastAsia="標楷體" w:hAnsi="標楷體" w:cs="Times New Roman" w:hint="eastAsia"/>
          <w:spacing w:val="4"/>
          <w:szCs w:val="24"/>
        </w:rPr>
        <w:t>719萬元，並核撥各類員工待遇準備6億7</w:t>
      </w:r>
      <w:r w:rsidRPr="004347AB">
        <w:rPr>
          <w:rFonts w:ascii="標楷體" w:eastAsia="標楷體" w:hAnsi="標楷體" w:cs="Times New Roman"/>
          <w:spacing w:val="4"/>
          <w:szCs w:val="24"/>
        </w:rPr>
        <w:t>,</w:t>
      </w:r>
      <w:r w:rsidRPr="004347AB">
        <w:rPr>
          <w:rFonts w:ascii="標楷體" w:eastAsia="標楷體" w:hAnsi="標楷體" w:cs="Times New Roman" w:hint="eastAsia"/>
          <w:spacing w:val="4"/>
          <w:szCs w:val="24"/>
        </w:rPr>
        <w:t>969萬餘元，合計</w:t>
      </w:r>
      <w:r w:rsidRPr="004347AB">
        <w:rPr>
          <w:rFonts w:ascii="標楷體" w:eastAsia="標楷體" w:hAnsi="Times New Roman" w:cs="Times New Roman"/>
          <w:spacing w:val="4"/>
          <w:szCs w:val="24"/>
        </w:rPr>
        <w:t>8</w:t>
      </w:r>
      <w:r w:rsidRPr="004347AB">
        <w:rPr>
          <w:rFonts w:ascii="標楷體" w:eastAsia="標楷體" w:hAnsi="Times New Roman" w:cs="Times New Roman" w:hint="eastAsia"/>
          <w:spacing w:val="4"/>
          <w:szCs w:val="24"/>
        </w:rPr>
        <w:t>8億3</w:t>
      </w:r>
      <w:r w:rsidRPr="004347AB">
        <w:rPr>
          <w:rFonts w:ascii="標楷體" w:eastAsia="標楷體" w:hAnsi="Times New Roman" w:cs="Times New Roman"/>
          <w:spacing w:val="4"/>
          <w:szCs w:val="24"/>
        </w:rPr>
        <w:t>,</w:t>
      </w:r>
      <w:r w:rsidRPr="004347AB">
        <w:rPr>
          <w:rFonts w:ascii="標楷體" w:eastAsia="標楷體" w:hAnsi="Times New Roman" w:cs="Times New Roman" w:hint="eastAsia"/>
          <w:spacing w:val="4"/>
          <w:szCs w:val="24"/>
        </w:rPr>
        <w:t>807萬餘元，決算審核結果，審定實現數66億7</w:t>
      </w:r>
      <w:r w:rsidRPr="004347AB">
        <w:rPr>
          <w:rFonts w:ascii="標楷體" w:eastAsia="標楷體" w:hAnsi="Times New Roman" w:cs="Times New Roman"/>
          <w:spacing w:val="4"/>
          <w:szCs w:val="24"/>
        </w:rPr>
        <w:t>,</w:t>
      </w:r>
      <w:r w:rsidRPr="004347AB">
        <w:rPr>
          <w:rFonts w:ascii="標楷體" w:eastAsia="標楷體" w:hAnsi="Times New Roman" w:cs="Times New Roman" w:hint="eastAsia"/>
          <w:spacing w:val="4"/>
          <w:szCs w:val="24"/>
        </w:rPr>
        <w:t>995萬餘元（75</w:t>
      </w:r>
      <w:r w:rsidRPr="004347AB">
        <w:rPr>
          <w:rFonts w:ascii="標楷體" w:eastAsia="標楷體" w:hAnsi="Times New Roman" w:cs="Times New Roman"/>
          <w:spacing w:val="4"/>
          <w:szCs w:val="24"/>
        </w:rPr>
        <w:t>.</w:t>
      </w:r>
      <w:r w:rsidRPr="004347AB">
        <w:rPr>
          <w:rFonts w:ascii="標楷體" w:eastAsia="標楷體" w:hAnsi="Times New Roman" w:cs="Times New Roman" w:hint="eastAsia"/>
          <w:spacing w:val="4"/>
          <w:szCs w:val="24"/>
        </w:rPr>
        <w:t>58％），應付保留數1億4</w:t>
      </w:r>
      <w:r w:rsidRPr="004347AB">
        <w:rPr>
          <w:rFonts w:ascii="標楷體" w:eastAsia="標楷體" w:hAnsi="Times New Roman" w:cs="Times New Roman"/>
          <w:spacing w:val="4"/>
          <w:szCs w:val="24"/>
        </w:rPr>
        <w:t>,157</w:t>
      </w:r>
      <w:r w:rsidRPr="004347AB">
        <w:rPr>
          <w:rFonts w:ascii="標楷體" w:eastAsia="標楷體" w:hAnsi="Times New Roman" w:cs="Times New Roman" w:hint="eastAsia"/>
          <w:spacing w:val="4"/>
          <w:szCs w:val="24"/>
        </w:rPr>
        <w:t>萬餘元（1</w:t>
      </w:r>
      <w:r w:rsidRPr="004347AB">
        <w:rPr>
          <w:rFonts w:ascii="標楷體" w:eastAsia="標楷體" w:hAnsi="Times New Roman" w:cs="Times New Roman"/>
          <w:spacing w:val="4"/>
          <w:szCs w:val="24"/>
        </w:rPr>
        <w:t>.</w:t>
      </w:r>
      <w:r w:rsidRPr="004347AB">
        <w:rPr>
          <w:rFonts w:ascii="標楷體" w:eastAsia="標楷體" w:hAnsi="Times New Roman" w:cs="Times New Roman" w:hint="eastAsia"/>
          <w:spacing w:val="4"/>
          <w:szCs w:val="24"/>
        </w:rPr>
        <w:t>60％</w:t>
      </w:r>
      <w:r w:rsidRPr="004347AB">
        <w:rPr>
          <w:rFonts w:ascii="標楷體" w:eastAsia="標楷體" w:hAnsi="標楷體" w:cs="Times New Roman" w:hint="eastAsia"/>
          <w:spacing w:val="4"/>
          <w:szCs w:val="24"/>
        </w:rPr>
        <w:t>）</w:t>
      </w:r>
      <w:r w:rsidRPr="004347AB">
        <w:rPr>
          <w:rFonts w:ascii="標楷體" w:eastAsia="標楷體" w:hAnsi="Times New Roman" w:cs="Times New Roman" w:hint="eastAsia"/>
          <w:spacing w:val="4"/>
          <w:szCs w:val="24"/>
        </w:rPr>
        <w:t>，保留原因詳「（一）計畫實施之查核」說明；合計決算審定數為68億2</w:t>
      </w:r>
      <w:r w:rsidRPr="004347AB">
        <w:rPr>
          <w:rFonts w:ascii="標楷體" w:eastAsia="標楷體" w:hAnsi="Times New Roman" w:cs="Times New Roman"/>
          <w:spacing w:val="4"/>
          <w:szCs w:val="24"/>
        </w:rPr>
        <w:t>,</w:t>
      </w:r>
      <w:r w:rsidRPr="004347AB">
        <w:rPr>
          <w:rFonts w:ascii="標楷體" w:eastAsia="標楷體" w:hAnsi="Times New Roman" w:cs="Times New Roman" w:hint="eastAsia"/>
          <w:spacing w:val="4"/>
          <w:szCs w:val="24"/>
        </w:rPr>
        <w:t>153萬餘元，預算賸餘20億1</w:t>
      </w:r>
      <w:r w:rsidRPr="004347AB">
        <w:rPr>
          <w:rFonts w:ascii="標楷體" w:eastAsia="標楷體" w:hAnsi="Times New Roman" w:cs="Times New Roman"/>
          <w:spacing w:val="4"/>
          <w:szCs w:val="24"/>
        </w:rPr>
        <w:t>,</w:t>
      </w:r>
      <w:r w:rsidRPr="004347AB">
        <w:rPr>
          <w:rFonts w:ascii="標楷體" w:eastAsia="標楷體" w:hAnsi="Times New Roman" w:cs="Times New Roman" w:hint="eastAsia"/>
          <w:spacing w:val="4"/>
          <w:szCs w:val="24"/>
        </w:rPr>
        <w:t>653萬餘元（22</w:t>
      </w:r>
      <w:r w:rsidRPr="004347AB">
        <w:rPr>
          <w:rFonts w:ascii="標楷體" w:eastAsia="標楷體" w:hAnsi="Times New Roman" w:cs="Times New Roman"/>
          <w:spacing w:val="4"/>
          <w:szCs w:val="24"/>
        </w:rPr>
        <w:t>.</w:t>
      </w:r>
      <w:r w:rsidRPr="004347AB">
        <w:rPr>
          <w:rFonts w:ascii="標楷體" w:eastAsia="標楷體" w:hAnsi="Times New Roman" w:cs="Times New Roman" w:hint="eastAsia"/>
          <w:spacing w:val="4"/>
          <w:szCs w:val="24"/>
        </w:rPr>
        <w:t>82％），主要係按實際業務需要支付之賸餘。</w:t>
      </w:r>
    </w:p>
    <w:p w14:paraId="33D8A962" w14:textId="77777777" w:rsidR="002A2BD6" w:rsidRPr="004347AB" w:rsidRDefault="002A2BD6" w:rsidP="004347AB">
      <w:pPr>
        <w:overflowPunct w:val="0"/>
        <w:spacing w:line="500" w:lineRule="exact"/>
        <w:ind w:firstLineChars="200" w:firstLine="496"/>
        <w:jc w:val="both"/>
        <w:rPr>
          <w:rFonts w:ascii="標楷體" w:eastAsia="標楷體" w:hAnsi="標楷體" w:cs="Times New Roman"/>
          <w:spacing w:val="4"/>
          <w:szCs w:val="24"/>
        </w:rPr>
      </w:pPr>
      <w:r w:rsidRPr="004347AB">
        <w:rPr>
          <w:rFonts w:ascii="標楷體" w:eastAsia="標楷體" w:hAnsi="Times New Roman" w:cs="Times New Roman" w:hint="eastAsia"/>
          <w:spacing w:val="4"/>
          <w:szCs w:val="24"/>
        </w:rPr>
        <w:t>2.以前年度歲出轉入數計516萬餘元，決算審核結果，審定實現數464萬餘元（89</w:t>
      </w:r>
      <w:r w:rsidRPr="004347AB">
        <w:rPr>
          <w:rFonts w:ascii="標楷體" w:eastAsia="標楷體" w:hAnsi="Times New Roman" w:cs="Times New Roman"/>
          <w:spacing w:val="4"/>
          <w:szCs w:val="24"/>
        </w:rPr>
        <w:t>.</w:t>
      </w:r>
      <w:r w:rsidRPr="004347AB">
        <w:rPr>
          <w:rFonts w:ascii="標楷體" w:eastAsia="標楷體" w:hAnsi="Times New Roman" w:cs="Times New Roman" w:hint="eastAsia"/>
          <w:spacing w:val="4"/>
          <w:szCs w:val="24"/>
        </w:rPr>
        <w:t>86％）；減免（註銷）數13萬餘元（2</w:t>
      </w:r>
      <w:r w:rsidRPr="004347AB">
        <w:rPr>
          <w:rFonts w:ascii="標楷體" w:eastAsia="標楷體" w:hAnsi="Times New Roman" w:cs="Times New Roman"/>
          <w:spacing w:val="4"/>
          <w:szCs w:val="24"/>
        </w:rPr>
        <w:t>.</w:t>
      </w:r>
      <w:r w:rsidRPr="004347AB">
        <w:rPr>
          <w:rFonts w:ascii="標楷體" w:eastAsia="標楷體" w:hAnsi="Times New Roman" w:cs="Times New Roman" w:hint="eastAsia"/>
          <w:spacing w:val="4"/>
          <w:szCs w:val="24"/>
        </w:rPr>
        <w:t>56％），</w:t>
      </w:r>
      <w:r w:rsidRPr="004347AB">
        <w:rPr>
          <w:rFonts w:ascii="標楷體" w:eastAsia="標楷體" w:hAnsi="標楷體" w:cs="Times New Roman" w:hint="eastAsia"/>
          <w:spacing w:val="4"/>
          <w:szCs w:val="24"/>
        </w:rPr>
        <w:t>係工務局新建工程處辦理南京西路道路塌陷事件搶修及復原工程之結餘；應付保留數39萬餘元（7.57％），係工務局新建工程處辦理南京西路道路塌陷事件搶修及復原工程委託設計及監造服務費，尚待配合工程驗收後付款，須保留繼續執行。</w:t>
      </w:r>
    </w:p>
    <w:p w14:paraId="2375ADBB" w14:textId="77777777" w:rsidR="00FD63E8" w:rsidRPr="00954C7B" w:rsidRDefault="00FD63E8" w:rsidP="004347AB">
      <w:pPr>
        <w:overflowPunct w:val="0"/>
        <w:spacing w:before="300" w:after="60" w:line="400" w:lineRule="exact"/>
        <w:rPr>
          <w:rFonts w:ascii="標楷體" w:eastAsia="標楷體" w:hAnsi="標楷體"/>
          <w:b/>
          <w:color w:val="000000" w:themeColor="text1"/>
          <w:sz w:val="36"/>
          <w:szCs w:val="36"/>
        </w:rPr>
      </w:pPr>
      <w:r w:rsidRPr="00954C7B">
        <w:rPr>
          <w:rFonts w:ascii="標楷體" w:eastAsia="標楷體" w:hAnsi="標楷體" w:hint="eastAsia"/>
          <w:b/>
          <w:color w:val="000000" w:themeColor="text1"/>
          <w:sz w:val="36"/>
          <w:szCs w:val="36"/>
        </w:rPr>
        <w:t>貳拾</w:t>
      </w:r>
      <w:r>
        <w:rPr>
          <w:rFonts w:ascii="標楷體" w:eastAsia="標楷體" w:hAnsi="標楷體" w:hint="eastAsia"/>
          <w:b/>
          <w:color w:val="000000" w:themeColor="text1"/>
          <w:sz w:val="36"/>
          <w:szCs w:val="36"/>
        </w:rPr>
        <w:t>捌</w:t>
      </w:r>
      <w:r w:rsidRPr="00954C7B">
        <w:rPr>
          <w:rFonts w:ascii="標楷體" w:eastAsia="標楷體" w:hAnsi="標楷體" w:hint="eastAsia"/>
          <w:b/>
          <w:color w:val="000000" w:themeColor="text1"/>
          <w:sz w:val="36"/>
          <w:szCs w:val="36"/>
        </w:rPr>
        <w:t>、第二</w:t>
      </w:r>
      <w:r w:rsidRPr="00446E0F">
        <w:rPr>
          <w:rFonts w:ascii="標楷體" w:eastAsia="標楷體" w:hAnsi="標楷體" w:hint="eastAsia"/>
          <w:b/>
          <w:sz w:val="36"/>
          <w:szCs w:val="36"/>
        </w:rPr>
        <w:t>預備金</w:t>
      </w:r>
    </w:p>
    <w:p w14:paraId="74969BB3" w14:textId="77777777" w:rsidR="00FD63E8" w:rsidRPr="00954C7B" w:rsidRDefault="00FD63E8" w:rsidP="00FE7F93">
      <w:pPr>
        <w:overflowPunct w:val="0"/>
        <w:spacing w:beforeLines="60" w:before="216" w:afterLines="50" w:after="180" w:line="520" w:lineRule="exact"/>
        <w:ind w:firstLineChars="100" w:firstLine="280"/>
        <w:jc w:val="both"/>
        <w:rPr>
          <w:rFonts w:ascii="標楷體" w:eastAsia="標楷體" w:hAnsi="標楷體"/>
          <w:b/>
          <w:color w:val="000000" w:themeColor="text1"/>
          <w:sz w:val="28"/>
          <w:szCs w:val="36"/>
        </w:rPr>
      </w:pPr>
      <w:r w:rsidRPr="00954C7B">
        <w:rPr>
          <w:rFonts w:ascii="標楷體" w:eastAsia="標楷體" w:hAnsi="標楷體" w:hint="eastAsia"/>
          <w:b/>
          <w:color w:val="000000" w:themeColor="text1"/>
          <w:sz w:val="28"/>
          <w:szCs w:val="36"/>
        </w:rPr>
        <w:t>（一）預算</w:t>
      </w:r>
      <w:r w:rsidRPr="004347AB">
        <w:rPr>
          <w:rFonts w:ascii="標楷體" w:eastAsia="標楷體" w:hAnsi="標楷體" w:cs="Times New Roman" w:hint="eastAsia"/>
          <w:b/>
          <w:sz w:val="28"/>
          <w:szCs w:val="28"/>
        </w:rPr>
        <w:t>執行</w:t>
      </w:r>
      <w:r w:rsidRPr="00954C7B">
        <w:rPr>
          <w:rFonts w:ascii="標楷體" w:eastAsia="標楷體" w:hAnsi="標楷體" w:hint="eastAsia"/>
          <w:b/>
          <w:color w:val="000000" w:themeColor="text1"/>
          <w:sz w:val="28"/>
          <w:szCs w:val="36"/>
        </w:rPr>
        <w:t>之審核</w:t>
      </w:r>
    </w:p>
    <w:p w14:paraId="2074B0D5" w14:textId="77777777" w:rsidR="00FE7F93" w:rsidRDefault="00FD63E8" w:rsidP="00FE7F93">
      <w:pPr>
        <w:pStyle w:val="05"/>
        <w:spacing w:before="0" w:beforeAutospacing="0" w:after="0" w:afterAutospacing="0" w:line="506" w:lineRule="exact"/>
        <w:ind w:firstLine="488"/>
        <w:rPr>
          <w:color w:val="000000" w:themeColor="text1"/>
          <w:spacing w:val="2"/>
        </w:rPr>
      </w:pPr>
      <w:r w:rsidRPr="004347AB">
        <w:rPr>
          <w:rFonts w:hint="eastAsia"/>
          <w:color w:val="000000" w:themeColor="text1"/>
          <w:spacing w:val="2"/>
        </w:rPr>
        <w:t>第二預備金預算數7億4,000萬元，計有臺北市政府主管等</w:t>
      </w:r>
      <w:r w:rsidRPr="004347AB">
        <w:rPr>
          <w:color w:val="000000" w:themeColor="text1"/>
          <w:spacing w:val="2"/>
        </w:rPr>
        <w:t>1</w:t>
      </w:r>
      <w:r w:rsidRPr="004347AB">
        <w:rPr>
          <w:rFonts w:hint="eastAsia"/>
          <w:color w:val="000000" w:themeColor="text1"/>
          <w:spacing w:val="2"/>
        </w:rPr>
        <w:t>3個主管機關，依預算法第96條</w:t>
      </w:r>
      <w:proofErr w:type="gramStart"/>
      <w:r w:rsidRPr="004347AB">
        <w:rPr>
          <w:rFonts w:hint="eastAsia"/>
          <w:color w:val="000000" w:themeColor="text1"/>
          <w:spacing w:val="2"/>
        </w:rPr>
        <w:t>準</w:t>
      </w:r>
      <w:proofErr w:type="gramEnd"/>
      <w:r w:rsidRPr="004347AB">
        <w:rPr>
          <w:rFonts w:hint="eastAsia"/>
          <w:color w:val="000000" w:themeColor="text1"/>
          <w:spacing w:val="2"/>
        </w:rPr>
        <w:t>用第70條各款規定申請動支，經臺北市政府核准動支4</w:t>
      </w:r>
      <w:r w:rsidRPr="004347AB">
        <w:rPr>
          <w:rFonts w:hAnsi="標楷體" w:hint="eastAsia"/>
          <w:bCs/>
          <w:color w:val="000000" w:themeColor="text1"/>
          <w:spacing w:val="2"/>
        </w:rPr>
        <w:t>億4</w:t>
      </w:r>
      <w:r w:rsidRPr="004347AB">
        <w:rPr>
          <w:rFonts w:hAnsi="標楷體"/>
          <w:bCs/>
          <w:color w:val="000000" w:themeColor="text1"/>
          <w:spacing w:val="2"/>
        </w:rPr>
        <w:t>,</w:t>
      </w:r>
      <w:r w:rsidRPr="004347AB">
        <w:rPr>
          <w:rFonts w:hAnsi="標楷體" w:hint="eastAsia"/>
          <w:bCs/>
          <w:color w:val="000000" w:themeColor="text1"/>
          <w:spacing w:val="2"/>
        </w:rPr>
        <w:t>806萬餘元（60.55％</w:t>
      </w:r>
      <w:r w:rsidRPr="004347AB">
        <w:rPr>
          <w:rFonts w:hint="eastAsia"/>
          <w:color w:val="000000" w:themeColor="text1"/>
          <w:spacing w:val="2"/>
        </w:rPr>
        <w:t>），未</w:t>
      </w:r>
      <w:proofErr w:type="gramStart"/>
      <w:r w:rsidRPr="004347AB">
        <w:rPr>
          <w:rFonts w:hint="eastAsia"/>
          <w:color w:val="000000" w:themeColor="text1"/>
          <w:spacing w:val="2"/>
        </w:rPr>
        <w:t>動支數2億</w:t>
      </w:r>
      <w:proofErr w:type="gramEnd"/>
      <w:r w:rsidRPr="004347AB">
        <w:rPr>
          <w:rFonts w:hint="eastAsia"/>
          <w:color w:val="000000" w:themeColor="text1"/>
          <w:spacing w:val="2"/>
        </w:rPr>
        <w:t>9,193萬餘元（39.45％）。臺北市政府各機關申請核准動支第二預備金之總額，占年度歲出決算審定數1</w:t>
      </w:r>
      <w:r w:rsidRPr="004347AB">
        <w:rPr>
          <w:color w:val="000000" w:themeColor="text1"/>
          <w:spacing w:val="2"/>
        </w:rPr>
        <w:t>,</w:t>
      </w:r>
      <w:r w:rsidRPr="004347AB">
        <w:rPr>
          <w:rFonts w:hint="eastAsia"/>
          <w:color w:val="000000" w:themeColor="text1"/>
          <w:spacing w:val="2"/>
        </w:rPr>
        <w:t>983億6</w:t>
      </w:r>
      <w:r w:rsidRPr="004347AB">
        <w:rPr>
          <w:color w:val="000000" w:themeColor="text1"/>
          <w:spacing w:val="2"/>
        </w:rPr>
        <w:t>,</w:t>
      </w:r>
      <w:r w:rsidRPr="004347AB">
        <w:rPr>
          <w:rFonts w:hint="eastAsia"/>
          <w:color w:val="000000" w:themeColor="text1"/>
          <w:spacing w:val="2"/>
        </w:rPr>
        <w:t>932萬餘元之</w:t>
      </w:r>
      <w:r w:rsidRPr="004347AB">
        <w:rPr>
          <w:color w:val="000000" w:themeColor="text1"/>
          <w:spacing w:val="2"/>
        </w:rPr>
        <w:t>0.23</w:t>
      </w:r>
      <w:r w:rsidRPr="004347AB">
        <w:rPr>
          <w:rFonts w:hint="eastAsia"/>
          <w:color w:val="000000" w:themeColor="text1"/>
          <w:spacing w:val="2"/>
        </w:rPr>
        <w:t>％，動支</w:t>
      </w:r>
      <w:proofErr w:type="gramStart"/>
      <w:r w:rsidRPr="004347AB">
        <w:rPr>
          <w:rFonts w:hint="eastAsia"/>
          <w:color w:val="000000" w:themeColor="text1"/>
          <w:spacing w:val="2"/>
        </w:rPr>
        <w:t>數額均經併入</w:t>
      </w:r>
      <w:proofErr w:type="gramEnd"/>
      <w:r w:rsidRPr="004347AB">
        <w:rPr>
          <w:rFonts w:hint="eastAsia"/>
          <w:color w:val="000000" w:themeColor="text1"/>
          <w:spacing w:val="2"/>
        </w:rPr>
        <w:t>各機關年度預算配合相關計畫執行，臺北市政府並依預算法第</w:t>
      </w:r>
      <w:r w:rsidRPr="004347AB">
        <w:rPr>
          <w:color w:val="000000" w:themeColor="text1"/>
          <w:spacing w:val="2"/>
        </w:rPr>
        <w:t>70</w:t>
      </w:r>
      <w:r w:rsidRPr="004347AB">
        <w:rPr>
          <w:rFonts w:hint="eastAsia"/>
          <w:color w:val="000000" w:themeColor="text1"/>
          <w:spacing w:val="2"/>
        </w:rPr>
        <w:t>條規定編具第二預備金動支數額表，於</w:t>
      </w:r>
      <w:r w:rsidRPr="004347AB">
        <w:rPr>
          <w:color w:val="000000" w:themeColor="text1"/>
          <w:spacing w:val="2"/>
        </w:rPr>
        <w:t>11</w:t>
      </w:r>
      <w:r w:rsidRPr="004347AB">
        <w:rPr>
          <w:rFonts w:hint="eastAsia"/>
          <w:color w:val="000000" w:themeColor="text1"/>
          <w:spacing w:val="2"/>
        </w:rPr>
        <w:t>4</w:t>
      </w:r>
    </w:p>
    <w:p w14:paraId="50E007C7" w14:textId="127B54E6" w:rsidR="00FD63E8" w:rsidRPr="004347AB" w:rsidRDefault="00FD63E8" w:rsidP="00D214F9">
      <w:pPr>
        <w:pStyle w:val="05"/>
        <w:spacing w:before="0" w:beforeAutospacing="0" w:after="0" w:afterAutospacing="0" w:line="520" w:lineRule="exact"/>
        <w:ind w:firstLineChars="0" w:firstLine="0"/>
        <w:rPr>
          <w:color w:val="000000" w:themeColor="text1"/>
          <w:spacing w:val="2"/>
        </w:rPr>
      </w:pPr>
      <w:r w:rsidRPr="004347AB">
        <w:rPr>
          <w:rFonts w:hint="eastAsia"/>
          <w:color w:val="000000" w:themeColor="text1"/>
          <w:spacing w:val="2"/>
        </w:rPr>
        <w:lastRenderedPageBreak/>
        <w:t>年</w:t>
      </w:r>
      <w:r w:rsidRPr="004347AB">
        <w:rPr>
          <w:color w:val="000000" w:themeColor="text1"/>
          <w:spacing w:val="2"/>
        </w:rPr>
        <w:t>3</w:t>
      </w:r>
      <w:r w:rsidRPr="004347AB">
        <w:rPr>
          <w:rFonts w:hint="eastAsia"/>
          <w:color w:val="000000" w:themeColor="text1"/>
          <w:spacing w:val="2"/>
        </w:rPr>
        <w:t>月19日以</w:t>
      </w:r>
      <w:proofErr w:type="gramStart"/>
      <w:r w:rsidRPr="004347AB">
        <w:rPr>
          <w:color w:val="000000" w:themeColor="text1"/>
          <w:spacing w:val="2"/>
        </w:rPr>
        <w:t>府授主公預字</w:t>
      </w:r>
      <w:proofErr w:type="gramEnd"/>
      <w:r w:rsidRPr="004347AB">
        <w:rPr>
          <w:color w:val="000000" w:themeColor="text1"/>
          <w:spacing w:val="2"/>
        </w:rPr>
        <w:t>第</w:t>
      </w:r>
      <w:r w:rsidRPr="004347AB">
        <w:rPr>
          <w:rFonts w:hint="eastAsia"/>
          <w:color w:val="000000" w:themeColor="text1"/>
          <w:spacing w:val="2"/>
        </w:rPr>
        <w:t>11430024081</w:t>
      </w:r>
      <w:r w:rsidRPr="004347AB">
        <w:rPr>
          <w:color w:val="000000" w:themeColor="text1"/>
          <w:spacing w:val="2"/>
        </w:rPr>
        <w:t>號</w:t>
      </w:r>
      <w:r w:rsidRPr="004347AB">
        <w:rPr>
          <w:rFonts w:hint="eastAsia"/>
          <w:color w:val="000000" w:themeColor="text1"/>
          <w:spacing w:val="2"/>
        </w:rPr>
        <w:t>函送請臺北市議會審議。動支事由主要有：文山區公所辦理文山區行政中心外牆修繕及檢測所需經費；殯葬管理處辦理第一殯儀館拆除整地綠化工程、館區聯外道路通車增派義交協勤所需經費不敷，及大安區黎元停車場基地改建為禮儀服務園區可行性研究、</w:t>
      </w:r>
      <w:proofErr w:type="gramStart"/>
      <w:r w:rsidRPr="004347AB">
        <w:rPr>
          <w:rFonts w:hint="eastAsia"/>
          <w:color w:val="000000" w:themeColor="text1"/>
          <w:spacing w:val="2"/>
        </w:rPr>
        <w:t>充實景行樓</w:t>
      </w:r>
      <w:proofErr w:type="gramEnd"/>
      <w:r w:rsidRPr="004347AB">
        <w:rPr>
          <w:rFonts w:hint="eastAsia"/>
          <w:color w:val="000000" w:themeColor="text1"/>
          <w:spacing w:val="2"/>
        </w:rPr>
        <w:t>設施設備所需經費；教育局辦理113學年度第1學期</w:t>
      </w:r>
      <w:proofErr w:type="gramStart"/>
      <w:r w:rsidRPr="004347AB">
        <w:rPr>
          <w:rFonts w:hint="eastAsia"/>
          <w:color w:val="000000" w:themeColor="text1"/>
          <w:spacing w:val="2"/>
        </w:rPr>
        <w:t>高中職免學費</w:t>
      </w:r>
      <w:proofErr w:type="gramEnd"/>
      <w:r w:rsidRPr="004347AB">
        <w:rPr>
          <w:rFonts w:hint="eastAsia"/>
          <w:color w:val="000000" w:themeColor="text1"/>
          <w:spacing w:val="2"/>
        </w:rPr>
        <w:t>、建教合作專班及實用技能學程學生補助、高國中小女性生理用品補助計畫所需經費不敷；產業發展局辦理「臺北市中小企業融資貸款」信用保證基金專款業務、商業處辦理「大巨蛋歡慶聖誕跨年YA」活動所需經費；衛生下水道工程處支應迪化污水處理廠營運電費、公園路燈工程管理處辦理「優質公園公廁推動計畫」、因應路燈及公園維護業務電費調漲、內湖區堤頂大道與瑞光路358巷口開設之路樹遷移案、新建工程處辦理內湖區堤頂大道與瑞光路358巷口開設與削減中央分隔島所需經費不敷，及大地工程處設置指南宮區域「景觀休憩平</w:t>
      </w:r>
      <w:proofErr w:type="gramStart"/>
      <w:r w:rsidRPr="004347AB">
        <w:rPr>
          <w:rFonts w:hint="eastAsia"/>
          <w:color w:val="000000" w:themeColor="text1"/>
          <w:spacing w:val="2"/>
        </w:rPr>
        <w:t>臺</w:t>
      </w:r>
      <w:proofErr w:type="gramEnd"/>
      <w:r w:rsidRPr="004347AB">
        <w:rPr>
          <w:rFonts w:hint="eastAsia"/>
          <w:color w:val="000000" w:themeColor="text1"/>
          <w:spacing w:val="2"/>
        </w:rPr>
        <w:t>」所需經費；交通局辦理「爭取2029智慧運輸世界大會主辦權之競標工作案」及後續參展暨出訪拜會亞太會員國等事宜所需經費；警察局辦理大同區民權西路102巷21號等36戶宿舍拆除工程所需經費；衛生局成立「</w:t>
      </w:r>
      <w:proofErr w:type="gramStart"/>
      <w:r w:rsidRPr="004347AB">
        <w:rPr>
          <w:rFonts w:hint="eastAsia"/>
          <w:color w:val="000000" w:themeColor="text1"/>
          <w:spacing w:val="2"/>
        </w:rPr>
        <w:t>食因性</w:t>
      </w:r>
      <w:proofErr w:type="gramEnd"/>
      <w:r w:rsidRPr="004347AB">
        <w:rPr>
          <w:rFonts w:hint="eastAsia"/>
          <w:color w:val="000000" w:themeColor="text1"/>
          <w:spacing w:val="2"/>
        </w:rPr>
        <w:t>疾病檢驗組」，增購檢驗用分析儀器及實驗室設備所需經費；建築管理工程處辦理「臺北市開挖中建築工地每月委託四大公會檢查」所需經費不敷；文化局及市立文獻館辦理「</w:t>
      </w:r>
      <w:proofErr w:type="gramStart"/>
      <w:r w:rsidRPr="004347AB">
        <w:rPr>
          <w:rFonts w:hint="eastAsia"/>
          <w:color w:val="000000" w:themeColor="text1"/>
          <w:spacing w:val="2"/>
        </w:rPr>
        <w:t>臺北建</w:t>
      </w:r>
      <w:proofErr w:type="gramEnd"/>
      <w:r w:rsidRPr="004347AB">
        <w:rPr>
          <w:rFonts w:hint="eastAsia"/>
          <w:color w:val="000000" w:themeColor="text1"/>
          <w:spacing w:val="2"/>
        </w:rPr>
        <w:t>城140週年系列活動案」所需經費不敷；觀光傳播局辦理「中華民國各界慶祝113年國慶晚會」及支應活動場地費所需經費；體育局核撥「113年全民運動會」臺北市代表隊績優運動選手、有功教練及有功體育團體獎勵金、績優運動選手訓練補助金、辦理轄管運動場地修繕工程所需經費不敷，及核撥2024年第3屆世界12強棒球錦標賽中華隊獎勵金、</w:t>
      </w:r>
      <w:proofErr w:type="gramStart"/>
      <w:r w:rsidRPr="004347AB">
        <w:rPr>
          <w:rFonts w:hint="eastAsia"/>
          <w:color w:val="000000" w:themeColor="text1"/>
          <w:spacing w:val="2"/>
        </w:rPr>
        <w:t>設置迎星碼頭淋浴間及景觀</w:t>
      </w:r>
      <w:proofErr w:type="gramEnd"/>
      <w:r w:rsidRPr="004347AB">
        <w:rPr>
          <w:rFonts w:hint="eastAsia"/>
          <w:color w:val="000000" w:themeColor="text1"/>
          <w:spacing w:val="2"/>
        </w:rPr>
        <w:t>廁所</w:t>
      </w:r>
      <w:proofErr w:type="gramStart"/>
      <w:r w:rsidRPr="004347AB">
        <w:rPr>
          <w:rFonts w:hint="eastAsia"/>
          <w:color w:val="000000" w:themeColor="text1"/>
          <w:spacing w:val="2"/>
        </w:rPr>
        <w:t>所</w:t>
      </w:r>
      <w:proofErr w:type="gramEnd"/>
      <w:r w:rsidRPr="004347AB">
        <w:rPr>
          <w:rFonts w:hint="eastAsia"/>
          <w:color w:val="000000" w:themeColor="text1"/>
          <w:spacing w:val="2"/>
        </w:rPr>
        <w:t>需經費；青年局支應勞務委外等行政業務、該局大樓電費所需經費不敷，及推動青年公共參與及多元培力與發展、青年國際發展與體驗交流、青年職</w:t>
      </w:r>
      <w:proofErr w:type="gramStart"/>
      <w:r w:rsidRPr="004347AB">
        <w:rPr>
          <w:rFonts w:hint="eastAsia"/>
          <w:color w:val="000000" w:themeColor="text1"/>
          <w:spacing w:val="2"/>
        </w:rPr>
        <w:t>涯</w:t>
      </w:r>
      <w:proofErr w:type="gramEnd"/>
      <w:r w:rsidRPr="004347AB">
        <w:rPr>
          <w:rFonts w:hint="eastAsia"/>
          <w:color w:val="000000" w:themeColor="text1"/>
          <w:spacing w:val="2"/>
        </w:rPr>
        <w:t>與創業支援等青年相關業務、建置青年一站式服務網站及青年職</w:t>
      </w:r>
      <w:proofErr w:type="gramStart"/>
      <w:r w:rsidRPr="004347AB">
        <w:rPr>
          <w:rFonts w:hint="eastAsia"/>
          <w:color w:val="000000" w:themeColor="text1"/>
          <w:spacing w:val="2"/>
        </w:rPr>
        <w:t>涯</w:t>
      </w:r>
      <w:proofErr w:type="gramEnd"/>
      <w:r w:rsidRPr="004347AB">
        <w:rPr>
          <w:rFonts w:hint="eastAsia"/>
          <w:color w:val="000000" w:themeColor="text1"/>
          <w:spacing w:val="2"/>
        </w:rPr>
        <w:t>支援相關系統平</w:t>
      </w:r>
      <w:proofErr w:type="gramStart"/>
      <w:r w:rsidRPr="004347AB">
        <w:rPr>
          <w:rFonts w:hint="eastAsia"/>
          <w:color w:val="000000" w:themeColor="text1"/>
          <w:spacing w:val="2"/>
        </w:rPr>
        <w:t>臺</w:t>
      </w:r>
      <w:proofErr w:type="gramEnd"/>
      <w:r w:rsidRPr="004347AB">
        <w:rPr>
          <w:rFonts w:hint="eastAsia"/>
          <w:color w:val="000000" w:themeColor="text1"/>
          <w:spacing w:val="2"/>
        </w:rPr>
        <w:t>、辦理辦公空間規劃設計案、設置</w:t>
      </w:r>
      <w:proofErr w:type="gramStart"/>
      <w:r w:rsidRPr="004347AB">
        <w:rPr>
          <w:rFonts w:hint="eastAsia"/>
          <w:color w:val="000000" w:themeColor="text1"/>
          <w:spacing w:val="2"/>
        </w:rPr>
        <w:t>青職培</w:t>
      </w:r>
      <w:proofErr w:type="gramEnd"/>
      <w:r w:rsidRPr="004347AB">
        <w:rPr>
          <w:rFonts w:hint="eastAsia"/>
          <w:color w:val="000000" w:themeColor="text1"/>
          <w:spacing w:val="2"/>
        </w:rPr>
        <w:t>力基地等據點可行性評估所需經費。</w:t>
      </w:r>
    </w:p>
    <w:p w14:paraId="3D9750E8" w14:textId="77777777" w:rsidR="00FD63E8" w:rsidRPr="00954C7B" w:rsidRDefault="00FD63E8" w:rsidP="00FE7F93">
      <w:pPr>
        <w:overflowPunct w:val="0"/>
        <w:spacing w:beforeLines="60" w:before="216" w:afterLines="60" w:after="216" w:line="520" w:lineRule="exact"/>
        <w:ind w:firstLineChars="100" w:firstLine="280"/>
        <w:jc w:val="both"/>
        <w:rPr>
          <w:rFonts w:ascii="標楷體" w:eastAsia="標楷體" w:hAnsi="標楷體"/>
          <w:b/>
          <w:color w:val="0033CC"/>
          <w:sz w:val="28"/>
          <w:szCs w:val="36"/>
        </w:rPr>
      </w:pPr>
      <w:r w:rsidRPr="0059696B">
        <w:rPr>
          <w:rFonts w:ascii="標楷體" w:eastAsia="標楷體" w:hAnsi="標楷體" w:hint="eastAsia"/>
          <w:b/>
          <w:color w:val="000000" w:themeColor="text1"/>
          <w:sz w:val="28"/>
          <w:szCs w:val="36"/>
        </w:rPr>
        <w:t>（二）</w:t>
      </w:r>
      <w:proofErr w:type="gramStart"/>
      <w:r w:rsidRPr="0059696B">
        <w:rPr>
          <w:rFonts w:ascii="標楷體" w:eastAsia="標楷體" w:hAnsi="標楷體" w:hint="eastAsia"/>
          <w:b/>
          <w:color w:val="000000" w:themeColor="text1"/>
          <w:sz w:val="28"/>
          <w:szCs w:val="36"/>
        </w:rPr>
        <w:t>11</w:t>
      </w:r>
      <w:r>
        <w:rPr>
          <w:rFonts w:ascii="標楷體" w:eastAsia="標楷體" w:hAnsi="標楷體" w:hint="eastAsia"/>
          <w:b/>
          <w:color w:val="000000" w:themeColor="text1"/>
          <w:sz w:val="28"/>
          <w:szCs w:val="36"/>
        </w:rPr>
        <w:t>2</w:t>
      </w:r>
      <w:proofErr w:type="gramEnd"/>
      <w:r w:rsidRPr="0059696B">
        <w:rPr>
          <w:rFonts w:ascii="標楷體" w:eastAsia="標楷體" w:hAnsi="標楷體"/>
          <w:b/>
          <w:color w:val="000000" w:themeColor="text1"/>
          <w:sz w:val="28"/>
          <w:szCs w:val="36"/>
        </w:rPr>
        <w:t>年度重要審核</w:t>
      </w:r>
      <w:r w:rsidRPr="004347AB">
        <w:rPr>
          <w:rFonts w:ascii="標楷體" w:eastAsia="標楷體" w:hAnsi="標楷體" w:cs="Times New Roman"/>
          <w:b/>
          <w:sz w:val="28"/>
          <w:szCs w:val="28"/>
        </w:rPr>
        <w:t>意見</w:t>
      </w:r>
      <w:r w:rsidRPr="0059696B">
        <w:rPr>
          <w:rFonts w:ascii="標楷體" w:eastAsia="標楷體" w:hAnsi="標楷體"/>
          <w:b/>
          <w:color w:val="000000" w:themeColor="text1"/>
          <w:sz w:val="28"/>
          <w:szCs w:val="36"/>
        </w:rPr>
        <w:t xml:space="preserve">追蹤查核情形 </w:t>
      </w:r>
    </w:p>
    <w:p w14:paraId="1DE61334" w14:textId="41A34930" w:rsidR="00487D96" w:rsidRPr="004347AB" w:rsidRDefault="00FD63E8" w:rsidP="00FE7F93">
      <w:pPr>
        <w:pStyle w:val="05"/>
        <w:spacing w:before="0" w:beforeAutospacing="0" w:after="0" w:afterAutospacing="0" w:line="520" w:lineRule="exact"/>
        <w:ind w:firstLine="496"/>
        <w:rPr>
          <w:rFonts w:hAnsi="標楷體"/>
          <w:spacing w:val="4"/>
        </w:rPr>
      </w:pPr>
      <w:r w:rsidRPr="004347AB">
        <w:rPr>
          <w:color w:val="000000" w:themeColor="text1"/>
          <w:spacing w:val="4"/>
        </w:rPr>
        <w:t>本</w:t>
      </w:r>
      <w:r w:rsidRPr="004347AB">
        <w:rPr>
          <w:rFonts w:hint="eastAsia"/>
          <w:color w:val="000000" w:themeColor="text1"/>
          <w:spacing w:val="4"/>
        </w:rPr>
        <w:t>處</w:t>
      </w:r>
      <w:r w:rsidRPr="004347AB">
        <w:rPr>
          <w:color w:val="000000" w:themeColor="text1"/>
          <w:spacing w:val="4"/>
        </w:rPr>
        <w:t>於</w:t>
      </w:r>
      <w:proofErr w:type="gramStart"/>
      <w:r w:rsidRPr="004347AB">
        <w:rPr>
          <w:rFonts w:hint="eastAsia"/>
          <w:color w:val="000000" w:themeColor="text1"/>
          <w:spacing w:val="4"/>
        </w:rPr>
        <w:t>112</w:t>
      </w:r>
      <w:proofErr w:type="gramEnd"/>
      <w:r w:rsidRPr="004347AB">
        <w:rPr>
          <w:color w:val="000000" w:themeColor="text1"/>
          <w:spacing w:val="4"/>
        </w:rPr>
        <w:t>年度審核報告內列相關重要審核意見，</w:t>
      </w:r>
      <w:bookmarkStart w:id="120" w:name="_Hlk137480439"/>
      <w:r w:rsidRPr="004347AB">
        <w:rPr>
          <w:rFonts w:hint="eastAsia"/>
          <w:color w:val="000000" w:themeColor="text1"/>
          <w:spacing w:val="4"/>
        </w:rPr>
        <w:t>計有</w:t>
      </w:r>
      <w:bookmarkEnd w:id="120"/>
      <w:r w:rsidRPr="004347AB">
        <w:rPr>
          <w:color w:val="000000" w:themeColor="text1"/>
          <w:spacing w:val="4"/>
        </w:rPr>
        <w:t>本年度第二預備金</w:t>
      </w:r>
      <w:proofErr w:type="gramStart"/>
      <w:r w:rsidRPr="004347AB">
        <w:rPr>
          <w:color w:val="000000" w:themeColor="text1"/>
          <w:spacing w:val="4"/>
        </w:rPr>
        <w:t>動支數多</w:t>
      </w:r>
      <w:proofErr w:type="gramEnd"/>
      <w:r w:rsidRPr="004347AB">
        <w:rPr>
          <w:color w:val="000000" w:themeColor="text1"/>
          <w:spacing w:val="4"/>
        </w:rPr>
        <w:t>已執行，惟以前年度保留</w:t>
      </w:r>
      <w:proofErr w:type="gramStart"/>
      <w:r w:rsidRPr="004347AB">
        <w:rPr>
          <w:color w:val="000000" w:themeColor="text1"/>
          <w:spacing w:val="4"/>
        </w:rPr>
        <w:t>數間有仍</w:t>
      </w:r>
      <w:proofErr w:type="gramEnd"/>
      <w:r w:rsidRPr="004347AB">
        <w:rPr>
          <w:color w:val="000000" w:themeColor="text1"/>
          <w:spacing w:val="4"/>
        </w:rPr>
        <w:t>未執行完竣，須繼續保留者，有待督促檢討改善</w:t>
      </w:r>
      <w:r w:rsidRPr="004347AB">
        <w:rPr>
          <w:rFonts w:hint="eastAsia"/>
          <w:color w:val="000000" w:themeColor="text1"/>
          <w:spacing w:val="4"/>
        </w:rPr>
        <w:t>1項</w:t>
      </w:r>
      <w:r w:rsidRPr="004347AB">
        <w:rPr>
          <w:color w:val="000000" w:themeColor="text1"/>
          <w:spacing w:val="4"/>
        </w:rPr>
        <w:t>，經</w:t>
      </w:r>
      <w:proofErr w:type="gramStart"/>
      <w:r w:rsidRPr="004347AB">
        <w:rPr>
          <w:color w:val="000000" w:themeColor="text1"/>
          <w:spacing w:val="4"/>
        </w:rPr>
        <w:t>賡</w:t>
      </w:r>
      <w:proofErr w:type="gramEnd"/>
      <w:r w:rsidRPr="004347AB">
        <w:rPr>
          <w:color w:val="000000" w:themeColor="text1"/>
          <w:spacing w:val="4"/>
        </w:rPr>
        <w:t>續追蹤查核實際辦理結果，已</w:t>
      </w:r>
      <w:r w:rsidRPr="004347AB">
        <w:rPr>
          <w:rFonts w:hint="eastAsia"/>
          <w:color w:val="000000" w:themeColor="text1"/>
          <w:spacing w:val="4"/>
        </w:rPr>
        <w:t>依改善措施持續辦理</w:t>
      </w:r>
      <w:r w:rsidRPr="004347AB">
        <w:rPr>
          <w:color w:val="000000" w:themeColor="text1"/>
          <w:spacing w:val="4"/>
        </w:rPr>
        <w:t>。</w:t>
      </w:r>
    </w:p>
    <w:sectPr w:rsidR="00487D96" w:rsidRPr="004347AB" w:rsidSect="005A7C75">
      <w:footerReference w:type="even" r:id="rId85"/>
      <w:footerReference w:type="default" r:id="rId86"/>
      <w:pgSz w:w="11906" w:h="16838" w:code="9"/>
      <w:pgMar w:top="1418" w:right="991" w:bottom="1418" w:left="992"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F5F79E" w14:textId="77777777" w:rsidR="00DC0A8F" w:rsidRDefault="00DC0A8F" w:rsidP="009E3F78">
      <w:r>
        <w:separator/>
      </w:r>
    </w:p>
  </w:endnote>
  <w:endnote w:type="continuationSeparator" w:id="0">
    <w:p w14:paraId="1FCAA53B" w14:textId="77777777" w:rsidR="00DC0A8F" w:rsidRDefault="00DC0A8F" w:rsidP="009E3F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華康楷書體W5">
    <w:altName w:val="微軟正黑體"/>
    <w:charset w:val="88"/>
    <w:family w:val="modern"/>
    <w:pitch w:val="fixed"/>
    <w:sig w:usb0="80000001" w:usb1="28091800" w:usb2="00000016" w:usb3="00000000" w:csb0="00100000" w:csb1="00000000"/>
  </w:font>
  <w:font w:name="華康儷中黑">
    <w:charset w:val="88"/>
    <w:family w:val="modern"/>
    <w:pitch w:val="fixed"/>
    <w:sig w:usb0="80000001" w:usb1="28091800" w:usb2="00000016" w:usb3="00000000" w:csb0="00100000"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DE"/>
    <w:family w:val="swiss"/>
    <w:pitch w:val="variable"/>
    <w:sig w:usb0="81000003" w:usb1="00000000" w:usb2="00000000" w:usb3="00000000" w:csb0="00010001" w:csb1="00000000"/>
  </w:font>
  <w:font w:name="DFKaiShu-SB-Estd-BF">
    <w:altName w:val="Microsoft YaHei"/>
    <w:panose1 w:val="00000000000000000000"/>
    <w:charset w:val="88"/>
    <w:family w:val="auto"/>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Malgun Gothic Semilight"/>
    <w:panose1 w:val="020B0604020202020204"/>
    <w:charset w:val="88"/>
    <w:family w:val="swiss"/>
    <w:pitch w:val="variable"/>
    <w:sig w:usb0="F7FFAFFF" w:usb1="E9DFFFFF" w:usb2="0000003F" w:usb3="00000000" w:csb0="003F01FF" w:csb1="00000000"/>
  </w:font>
  <w:font w:name="Shonar Bangla">
    <w:charset w:val="00"/>
    <w:family w:val="roman"/>
    <w:pitch w:val="variable"/>
    <w:sig w:usb0="00010003" w:usb1="00000000" w:usb2="00000000" w:usb3="00000000" w:csb0="00000001" w:csb1="00000000"/>
  </w:font>
  <w:font w:name="全字庫正楷體">
    <w:panose1 w:val="03000500000000000000"/>
    <w:charset w:val="88"/>
    <w:family w:val="script"/>
    <w:pitch w:val="variable"/>
    <w:sig w:usb0="F7FFAEFF" w:usb1="E9DFFFFF" w:usb2="081BFFFF" w:usb3="00000000" w:csb0="003F00FF" w:csb1="00000000"/>
  </w:font>
  <w:font w:name="全字庫正宋體">
    <w:panose1 w:val="02020300000000000000"/>
    <w:charset w:val="88"/>
    <w:family w:val="roman"/>
    <w:pitch w:val="variable"/>
    <w:sig w:usb0="F7FFAEFF" w:usb1="E9DFFFFF" w:usb2="681FFFFF" w:usb3="00000000" w:csb0="003F00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03CE5" w14:textId="77777777" w:rsidR="00172CEC" w:rsidRDefault="0064514E" w:rsidP="009E3F78">
    <w:pPr>
      <w:pStyle w:val="af0"/>
      <w:jc w:val="center"/>
    </w:pPr>
    <w:sdt>
      <w:sdtPr>
        <w:id w:val="-2083902918"/>
        <w:docPartObj>
          <w:docPartGallery w:val="Page Numbers (Bottom of Page)"/>
          <w:docPartUnique/>
        </w:docPartObj>
      </w:sdtPr>
      <w:sdtEndPr>
        <w:rPr>
          <w:sz w:val="24"/>
          <w:szCs w:val="24"/>
        </w:rPr>
      </w:sdtEndPr>
      <w:sdtContent>
        <w:r w:rsidR="00172CEC" w:rsidRPr="00E8656C">
          <w:rPr>
            <w:rFonts w:ascii="標楷體" w:eastAsia="標楷體" w:hAnsi="標楷體" w:hint="eastAsia"/>
            <w:sz w:val="24"/>
            <w:szCs w:val="24"/>
          </w:rPr>
          <w:t>乙</w:t>
        </w:r>
        <w:r w:rsidR="00172CEC">
          <w:rPr>
            <w:rFonts w:ascii="標楷體" w:eastAsia="標楷體" w:hAnsi="標楷體" w:hint="eastAsia"/>
            <w:sz w:val="24"/>
            <w:szCs w:val="24"/>
          </w:rPr>
          <w:t>－</w:t>
        </w:r>
        <w:r w:rsidR="00172CEC" w:rsidRPr="00191BC6">
          <w:rPr>
            <w:rFonts w:ascii="標楷體" w:eastAsia="標楷體" w:hAnsi="標楷體"/>
            <w:sz w:val="24"/>
            <w:szCs w:val="24"/>
          </w:rPr>
          <w:fldChar w:fldCharType="begin"/>
        </w:r>
        <w:r w:rsidR="00172CEC" w:rsidRPr="00191BC6">
          <w:rPr>
            <w:rFonts w:ascii="標楷體" w:eastAsia="標楷體" w:hAnsi="標楷體"/>
            <w:sz w:val="24"/>
            <w:szCs w:val="24"/>
          </w:rPr>
          <w:instrText>PAGE   \* MERGEFORMAT</w:instrText>
        </w:r>
        <w:r w:rsidR="00172CEC" w:rsidRPr="00191BC6">
          <w:rPr>
            <w:rFonts w:ascii="標楷體" w:eastAsia="標楷體" w:hAnsi="標楷體"/>
            <w:sz w:val="24"/>
            <w:szCs w:val="24"/>
          </w:rPr>
          <w:fldChar w:fldCharType="separate"/>
        </w:r>
        <w:r w:rsidR="00172CEC" w:rsidRPr="00191BC6">
          <w:rPr>
            <w:rFonts w:ascii="標楷體" w:eastAsia="標楷體" w:hAnsi="標楷體"/>
            <w:sz w:val="24"/>
            <w:szCs w:val="24"/>
          </w:rPr>
          <w:t>1</w:t>
        </w:r>
        <w:r w:rsidR="00172CEC" w:rsidRPr="00191BC6">
          <w:rPr>
            <w:rFonts w:ascii="標楷體" w:eastAsia="標楷體" w:hAnsi="標楷體"/>
            <w:sz w:val="24"/>
            <w:szCs w:val="24"/>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0D55C" w14:textId="77777777" w:rsidR="00172CEC" w:rsidRPr="00191BC6" w:rsidRDefault="0064514E" w:rsidP="009E3F78">
    <w:pPr>
      <w:pStyle w:val="af0"/>
      <w:jc w:val="center"/>
      <w:rPr>
        <w:sz w:val="24"/>
        <w:szCs w:val="24"/>
      </w:rPr>
    </w:pPr>
    <w:sdt>
      <w:sdtPr>
        <w:id w:val="-121001226"/>
        <w:docPartObj>
          <w:docPartGallery w:val="Page Numbers (Bottom of Page)"/>
          <w:docPartUnique/>
        </w:docPartObj>
      </w:sdtPr>
      <w:sdtEndPr>
        <w:rPr>
          <w:sz w:val="24"/>
          <w:szCs w:val="24"/>
        </w:rPr>
      </w:sdtEndPr>
      <w:sdtContent>
        <w:r w:rsidR="00172CEC" w:rsidRPr="00E8656C">
          <w:rPr>
            <w:rFonts w:ascii="標楷體" w:eastAsia="標楷體" w:hAnsi="標楷體" w:hint="eastAsia"/>
            <w:sz w:val="24"/>
            <w:szCs w:val="24"/>
          </w:rPr>
          <w:t>乙</w:t>
        </w:r>
        <w:r w:rsidR="00172CEC">
          <w:rPr>
            <w:rFonts w:ascii="標楷體" w:eastAsia="標楷體" w:hAnsi="標楷體" w:hint="eastAsia"/>
            <w:sz w:val="24"/>
            <w:szCs w:val="24"/>
          </w:rPr>
          <w:t>－</w:t>
        </w:r>
        <w:r w:rsidR="00172CEC" w:rsidRPr="00191BC6">
          <w:rPr>
            <w:rFonts w:ascii="標楷體" w:eastAsia="標楷體" w:hAnsi="標楷體"/>
            <w:sz w:val="24"/>
            <w:szCs w:val="24"/>
          </w:rPr>
          <w:fldChar w:fldCharType="begin"/>
        </w:r>
        <w:r w:rsidR="00172CEC" w:rsidRPr="00191BC6">
          <w:rPr>
            <w:rFonts w:ascii="標楷體" w:eastAsia="標楷體" w:hAnsi="標楷體"/>
            <w:sz w:val="24"/>
            <w:szCs w:val="24"/>
          </w:rPr>
          <w:instrText>PAGE   \* MERGEFORMAT</w:instrText>
        </w:r>
        <w:r w:rsidR="00172CEC" w:rsidRPr="00191BC6">
          <w:rPr>
            <w:rFonts w:ascii="標楷體" w:eastAsia="標楷體" w:hAnsi="標楷體"/>
            <w:sz w:val="24"/>
            <w:szCs w:val="24"/>
          </w:rPr>
          <w:fldChar w:fldCharType="separate"/>
        </w:r>
        <w:r w:rsidR="00172CEC" w:rsidRPr="00191BC6">
          <w:rPr>
            <w:rFonts w:ascii="標楷體" w:eastAsia="標楷體" w:hAnsi="標楷體"/>
            <w:sz w:val="24"/>
            <w:szCs w:val="24"/>
          </w:rPr>
          <w:t>1</w:t>
        </w:r>
        <w:r w:rsidR="00172CEC" w:rsidRPr="00191BC6">
          <w:rPr>
            <w:rFonts w:ascii="標楷體" w:eastAsia="標楷體" w:hAnsi="標楷體"/>
            <w:sz w:val="24"/>
            <w:szCs w:val="24"/>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64CFE6" w14:textId="77777777" w:rsidR="00DC0A8F" w:rsidRDefault="00DC0A8F" w:rsidP="009E3F78">
      <w:r>
        <w:separator/>
      </w:r>
    </w:p>
  </w:footnote>
  <w:footnote w:type="continuationSeparator" w:id="0">
    <w:p w14:paraId="48A89244" w14:textId="77777777" w:rsidR="00DC0A8F" w:rsidRDefault="00DC0A8F" w:rsidP="009E3F7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A328E38C"/>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031208F3"/>
    <w:multiLevelType w:val="hybridMultilevel"/>
    <w:tmpl w:val="F75C2784"/>
    <w:lvl w:ilvl="0" w:tplc="A5F66BCC">
      <w:start w:val="1"/>
      <w:numFmt w:val="decimal"/>
      <w:suff w:val="nothing"/>
      <w:lvlText w:val="(%1)"/>
      <w:lvlJc w:val="left"/>
      <w:pPr>
        <w:ind w:left="1332" w:hanging="48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2" w15:restartNumberingAfterBreak="0">
    <w:nsid w:val="120D20BA"/>
    <w:multiLevelType w:val="hybridMultilevel"/>
    <w:tmpl w:val="BF709BBC"/>
    <w:lvl w:ilvl="0" w:tplc="0246B538">
      <w:start w:val="1"/>
      <w:numFmt w:val="decimal"/>
      <w:lvlText w:val="%1."/>
      <w:lvlJc w:val="left"/>
      <w:pPr>
        <w:ind w:left="1001" w:hanging="36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 w15:restartNumberingAfterBreak="0">
    <w:nsid w:val="140E010C"/>
    <w:multiLevelType w:val="multilevel"/>
    <w:tmpl w:val="8A3231B4"/>
    <w:lvl w:ilvl="0">
      <w:start w:val="1"/>
      <w:numFmt w:val="taiwaneseCountingThousand"/>
      <w:suff w:val="nothing"/>
      <w:lvlText w:val="%1、"/>
      <w:lvlJc w:val="left"/>
      <w:pPr>
        <w:ind w:left="1692" w:hanging="699"/>
      </w:pPr>
      <w:rPr>
        <w:rFonts w:ascii="標楷體" w:eastAsia="標楷體" w:cs="Times New Roman" w:hint="eastAsia"/>
        <w:b w:val="0"/>
        <w:i w:val="0"/>
        <w:snapToGrid/>
        <w:spacing w:val="0"/>
        <w:w w:val="100"/>
        <w:position w:val="0"/>
        <w:sz w:val="32"/>
      </w:rPr>
    </w:lvl>
    <w:lvl w:ilvl="1">
      <w:start w:val="1"/>
      <w:numFmt w:val="taiwaneseCountingThousand"/>
      <w:pStyle w:val="2"/>
      <w:suff w:val="nothing"/>
      <w:lvlText w:val="(%2)"/>
      <w:lvlJc w:val="left"/>
      <w:pPr>
        <w:ind w:left="1045" w:hanging="697"/>
      </w:pPr>
      <w:rPr>
        <w:rFonts w:ascii="標楷體" w:eastAsia="標楷體" w:cs="Times New Roman" w:hint="eastAsia"/>
        <w:b w:val="0"/>
        <w:i w:val="0"/>
        <w:snapToGrid/>
        <w:spacing w:val="0"/>
        <w:w w:val="100"/>
        <w:position w:val="0"/>
        <w:sz w:val="32"/>
      </w:rPr>
    </w:lvl>
    <w:lvl w:ilvl="2">
      <w:start w:val="1"/>
      <w:numFmt w:val="taiwaneseCountingThousand"/>
      <w:suff w:val="nothing"/>
      <w:lvlText w:val="(%3)"/>
      <w:lvlJc w:val="left"/>
      <w:pPr>
        <w:ind w:left="1393" w:hanging="697"/>
      </w:pPr>
      <w:rPr>
        <w:rFonts w:ascii="標楷體" w:eastAsia="標楷體" w:cs="Times New Roman" w:hint="eastAsia"/>
        <w:b w:val="0"/>
        <w:i w:val="0"/>
        <w:spacing w:val="0"/>
        <w:w w:val="100"/>
        <w:position w:val="0"/>
        <w:sz w:val="32"/>
      </w:rPr>
    </w:lvl>
    <w:lvl w:ilvl="3">
      <w:start w:val="1"/>
      <w:numFmt w:val="decimalFullWidth"/>
      <w:suff w:val="nothing"/>
      <w:lvlText w:val="%4、"/>
      <w:lvlJc w:val="left"/>
      <w:pPr>
        <w:ind w:left="1741" w:hanging="698"/>
      </w:pPr>
      <w:rPr>
        <w:rFonts w:ascii="標楷體" w:eastAsia="標楷體" w:cs="Times New Roman" w:hint="eastAsia"/>
        <w:b w:val="0"/>
        <w:i w:val="0"/>
        <w:spacing w:val="0"/>
        <w:w w:val="100"/>
        <w:position w:val="0"/>
        <w:sz w:val="32"/>
      </w:rPr>
    </w:lvl>
    <w:lvl w:ilvl="4">
      <w:start w:val="1"/>
      <w:numFmt w:val="decimalFullWidth"/>
      <w:suff w:val="nothing"/>
      <w:lvlText w:val="(%5)"/>
      <w:lvlJc w:val="left"/>
      <w:pPr>
        <w:ind w:left="2094" w:hanging="700"/>
      </w:pPr>
      <w:rPr>
        <w:rFonts w:ascii="標楷體" w:eastAsia="標楷體" w:cs="Times New Roman" w:hint="eastAsia"/>
        <w:b w:val="0"/>
        <w:i w:val="0"/>
        <w:snapToGrid/>
        <w:spacing w:val="0"/>
        <w:w w:val="100"/>
        <w:position w:val="0"/>
        <w:sz w:val="32"/>
      </w:rPr>
    </w:lvl>
    <w:lvl w:ilvl="5">
      <w:start w:val="1"/>
      <w:numFmt w:val="decimalFullWidth"/>
      <w:suff w:val="nothing"/>
      <w:lvlText w:val="&lt;%6&gt;"/>
      <w:lvlJc w:val="left"/>
      <w:pPr>
        <w:ind w:left="2441" w:hanging="697"/>
      </w:pPr>
      <w:rPr>
        <w:rFonts w:ascii="標楷體" w:eastAsia="標楷體" w:cs="Times New Roman" w:hint="eastAsia"/>
        <w:b w:val="0"/>
        <w:i w:val="0"/>
        <w:snapToGrid/>
        <w:spacing w:val="0"/>
        <w:w w:val="100"/>
        <w:position w:val="0"/>
        <w:sz w:val="32"/>
      </w:rPr>
    </w:lvl>
    <w:lvl w:ilvl="6">
      <w:start w:val="1"/>
      <w:numFmt w:val="bullet"/>
      <w:suff w:val="nothing"/>
      <w:lvlText w:val="․"/>
      <w:lvlJc w:val="left"/>
      <w:pPr>
        <w:ind w:left="2445" w:hanging="353"/>
      </w:pPr>
      <w:rPr>
        <w:rFonts w:ascii="標楷體" w:eastAsia="標楷體" w:hint="eastAsia"/>
        <w:b w:val="0"/>
        <w:i w:val="0"/>
        <w:snapToGrid/>
        <w:spacing w:val="0"/>
        <w:w w:val="100"/>
        <w:position w:val="0"/>
        <w:sz w:val="32"/>
      </w:rPr>
    </w:lvl>
    <w:lvl w:ilvl="7">
      <w:start w:val="1"/>
      <w:numFmt w:val="bullet"/>
      <w:suff w:val="nothing"/>
      <w:lvlText w:val="◇"/>
      <w:lvlJc w:val="left"/>
      <w:pPr>
        <w:ind w:left="2787" w:hanging="349"/>
      </w:pPr>
      <w:rPr>
        <w:rFonts w:ascii="標楷體" w:eastAsia="標楷體" w:hint="eastAsia"/>
        <w:b w:val="0"/>
        <w:i w:val="0"/>
        <w:snapToGrid/>
        <w:spacing w:val="0"/>
        <w:w w:val="100"/>
        <w:position w:val="0"/>
        <w:sz w:val="32"/>
      </w:rPr>
    </w:lvl>
    <w:lvl w:ilvl="8">
      <w:start w:val="1"/>
      <w:numFmt w:val="decimal"/>
      <w:lvlText w:val="%1.%2.%3.%4.%5.%6.%7.%8.%9"/>
      <w:lvlJc w:val="left"/>
      <w:pPr>
        <w:tabs>
          <w:tab w:val="num" w:pos="6195"/>
        </w:tabs>
        <w:ind w:left="5015" w:hanging="1700"/>
      </w:pPr>
      <w:rPr>
        <w:rFonts w:cs="Times New Roman" w:hint="eastAsia"/>
      </w:rPr>
    </w:lvl>
  </w:abstractNum>
  <w:abstractNum w:abstractNumId="4" w15:restartNumberingAfterBreak="0">
    <w:nsid w:val="166F4A62"/>
    <w:multiLevelType w:val="hybridMultilevel"/>
    <w:tmpl w:val="9E166220"/>
    <w:lvl w:ilvl="0" w:tplc="938034C4">
      <w:start w:val="1"/>
      <w:numFmt w:val="taiwaneseCountingThousand"/>
      <w:suff w:val="space"/>
      <w:lvlText w:val="(%1)"/>
      <w:lvlJc w:val="left"/>
      <w:pPr>
        <w:ind w:left="510" w:hanging="230"/>
      </w:pPr>
      <w:rPr>
        <w:rFonts w:hint="eastAsia"/>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5" w15:restartNumberingAfterBreak="0">
    <w:nsid w:val="16E04C0B"/>
    <w:multiLevelType w:val="hybridMultilevel"/>
    <w:tmpl w:val="41A24546"/>
    <w:lvl w:ilvl="0" w:tplc="F8E87EFA">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D435CF7"/>
    <w:multiLevelType w:val="multilevel"/>
    <w:tmpl w:val="62A4CA3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32216FD"/>
    <w:multiLevelType w:val="hybridMultilevel"/>
    <w:tmpl w:val="3418F13C"/>
    <w:lvl w:ilvl="0" w:tplc="09E4CBD8">
      <w:start w:val="1"/>
      <w:numFmt w:val="bullet"/>
      <w:lvlText w:val=""/>
      <w:lvlJc w:val="left"/>
      <w:pPr>
        <w:tabs>
          <w:tab w:val="num" w:pos="720"/>
        </w:tabs>
        <w:ind w:left="720" w:hanging="360"/>
      </w:pPr>
      <w:rPr>
        <w:rFonts w:ascii="Wingdings" w:hAnsi="Wingdings" w:hint="default"/>
      </w:rPr>
    </w:lvl>
    <w:lvl w:ilvl="1" w:tplc="997A4FA4" w:tentative="1">
      <w:start w:val="1"/>
      <w:numFmt w:val="bullet"/>
      <w:lvlText w:val=""/>
      <w:lvlJc w:val="left"/>
      <w:pPr>
        <w:tabs>
          <w:tab w:val="num" w:pos="1440"/>
        </w:tabs>
        <w:ind w:left="1440" w:hanging="360"/>
      </w:pPr>
      <w:rPr>
        <w:rFonts w:ascii="Wingdings" w:hAnsi="Wingdings" w:hint="default"/>
      </w:rPr>
    </w:lvl>
    <w:lvl w:ilvl="2" w:tplc="B09E314A" w:tentative="1">
      <w:start w:val="1"/>
      <w:numFmt w:val="bullet"/>
      <w:lvlText w:val=""/>
      <w:lvlJc w:val="left"/>
      <w:pPr>
        <w:tabs>
          <w:tab w:val="num" w:pos="2160"/>
        </w:tabs>
        <w:ind w:left="2160" w:hanging="360"/>
      </w:pPr>
      <w:rPr>
        <w:rFonts w:ascii="Wingdings" w:hAnsi="Wingdings" w:hint="default"/>
      </w:rPr>
    </w:lvl>
    <w:lvl w:ilvl="3" w:tplc="3D5C618A" w:tentative="1">
      <w:start w:val="1"/>
      <w:numFmt w:val="bullet"/>
      <w:lvlText w:val=""/>
      <w:lvlJc w:val="left"/>
      <w:pPr>
        <w:tabs>
          <w:tab w:val="num" w:pos="2880"/>
        </w:tabs>
        <w:ind w:left="2880" w:hanging="360"/>
      </w:pPr>
      <w:rPr>
        <w:rFonts w:ascii="Wingdings" w:hAnsi="Wingdings" w:hint="default"/>
      </w:rPr>
    </w:lvl>
    <w:lvl w:ilvl="4" w:tplc="795639DA" w:tentative="1">
      <w:start w:val="1"/>
      <w:numFmt w:val="bullet"/>
      <w:lvlText w:val=""/>
      <w:lvlJc w:val="left"/>
      <w:pPr>
        <w:tabs>
          <w:tab w:val="num" w:pos="3600"/>
        </w:tabs>
        <w:ind w:left="3600" w:hanging="360"/>
      </w:pPr>
      <w:rPr>
        <w:rFonts w:ascii="Wingdings" w:hAnsi="Wingdings" w:hint="default"/>
      </w:rPr>
    </w:lvl>
    <w:lvl w:ilvl="5" w:tplc="B994D27E" w:tentative="1">
      <w:start w:val="1"/>
      <w:numFmt w:val="bullet"/>
      <w:lvlText w:val=""/>
      <w:lvlJc w:val="left"/>
      <w:pPr>
        <w:tabs>
          <w:tab w:val="num" w:pos="4320"/>
        </w:tabs>
        <w:ind w:left="4320" w:hanging="360"/>
      </w:pPr>
      <w:rPr>
        <w:rFonts w:ascii="Wingdings" w:hAnsi="Wingdings" w:hint="default"/>
      </w:rPr>
    </w:lvl>
    <w:lvl w:ilvl="6" w:tplc="C92E7400" w:tentative="1">
      <w:start w:val="1"/>
      <w:numFmt w:val="bullet"/>
      <w:lvlText w:val=""/>
      <w:lvlJc w:val="left"/>
      <w:pPr>
        <w:tabs>
          <w:tab w:val="num" w:pos="5040"/>
        </w:tabs>
        <w:ind w:left="5040" w:hanging="360"/>
      </w:pPr>
      <w:rPr>
        <w:rFonts w:ascii="Wingdings" w:hAnsi="Wingdings" w:hint="default"/>
      </w:rPr>
    </w:lvl>
    <w:lvl w:ilvl="7" w:tplc="BA980B58" w:tentative="1">
      <w:start w:val="1"/>
      <w:numFmt w:val="bullet"/>
      <w:lvlText w:val=""/>
      <w:lvlJc w:val="left"/>
      <w:pPr>
        <w:tabs>
          <w:tab w:val="num" w:pos="5760"/>
        </w:tabs>
        <w:ind w:left="5760" w:hanging="360"/>
      </w:pPr>
      <w:rPr>
        <w:rFonts w:ascii="Wingdings" w:hAnsi="Wingdings" w:hint="default"/>
      </w:rPr>
    </w:lvl>
    <w:lvl w:ilvl="8" w:tplc="72DAB4F0"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E804A1"/>
    <w:multiLevelType w:val="hybridMultilevel"/>
    <w:tmpl w:val="41A24546"/>
    <w:lvl w:ilvl="0" w:tplc="F8E87EFA">
      <w:start w:val="1"/>
      <w:numFmt w:val="decimal"/>
      <w:lvlText w:val="%1."/>
      <w:lvlJc w:val="left"/>
      <w:pPr>
        <w:ind w:left="480" w:hanging="480"/>
      </w:pPr>
      <w:rPr>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2FE06ED9"/>
    <w:multiLevelType w:val="hybridMultilevel"/>
    <w:tmpl w:val="39C49F06"/>
    <w:lvl w:ilvl="0" w:tplc="C8920A1C">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31EA20CC"/>
    <w:multiLevelType w:val="hybridMultilevel"/>
    <w:tmpl w:val="9EF6C0AC"/>
    <w:lvl w:ilvl="0" w:tplc="E8BE57CC">
      <w:start w:val="1"/>
      <w:numFmt w:val="taiwaneseCountingThousand"/>
      <w:lvlText w:val="(%1)"/>
      <w:lvlJc w:val="left"/>
      <w:pPr>
        <w:ind w:left="1000" w:hanging="72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1" w15:restartNumberingAfterBreak="0">
    <w:nsid w:val="32BE70FF"/>
    <w:multiLevelType w:val="hybridMultilevel"/>
    <w:tmpl w:val="36388060"/>
    <w:lvl w:ilvl="0" w:tplc="FFFFFFFF">
      <w:start w:val="1"/>
      <w:numFmt w:val="taiwaneseCountingThousand"/>
      <w:pStyle w:val="11"/>
      <w:lvlText w:val="%1、"/>
      <w:lvlJc w:val="left"/>
      <w:pPr>
        <w:tabs>
          <w:tab w:val="num" w:pos="1210"/>
        </w:tabs>
        <w:ind w:left="1210" w:hanging="720"/>
      </w:pPr>
      <w:rPr>
        <w:rFonts w:hint="eastAsia"/>
      </w:rPr>
    </w:lvl>
    <w:lvl w:ilvl="1" w:tplc="FFFFFFFF">
      <w:start w:val="1"/>
      <w:numFmt w:val="taiwaneseCountingThousand"/>
      <w:lvlText w:val="（%2）"/>
      <w:lvlJc w:val="left"/>
      <w:pPr>
        <w:tabs>
          <w:tab w:val="num" w:pos="1800"/>
        </w:tabs>
        <w:ind w:left="1800" w:hanging="1080"/>
      </w:pPr>
      <w:rPr>
        <w:rFonts w:hint="default"/>
      </w:rPr>
    </w:lvl>
    <w:lvl w:ilvl="2" w:tplc="70B2BB16">
      <w:start w:val="1"/>
      <w:numFmt w:val="taiwaneseCountingThousand"/>
      <w:lvlText w:val="(%3)"/>
      <w:lvlJc w:val="left"/>
      <w:pPr>
        <w:tabs>
          <w:tab w:val="num" w:pos="2550"/>
        </w:tabs>
        <w:ind w:left="2550" w:hanging="1350"/>
      </w:pPr>
      <w:rPr>
        <w:rFonts w:hint="eastAsia"/>
        <w:color w:val="FF0000"/>
      </w:rPr>
    </w:lvl>
    <w:lvl w:ilvl="3" w:tplc="FFFFFFFF">
      <w:start w:val="1"/>
      <w:numFmt w:val="decimal"/>
      <w:lvlText w:val="%4."/>
      <w:lvlJc w:val="left"/>
      <w:pPr>
        <w:tabs>
          <w:tab w:val="num" w:pos="2160"/>
        </w:tabs>
        <w:ind w:left="2160" w:hanging="480"/>
      </w:pPr>
    </w:lvl>
    <w:lvl w:ilvl="4" w:tplc="FFFFFFFF" w:tentative="1">
      <w:start w:val="1"/>
      <w:numFmt w:val="ideographTraditional"/>
      <w:lvlText w:val="%5、"/>
      <w:lvlJc w:val="left"/>
      <w:pPr>
        <w:tabs>
          <w:tab w:val="num" w:pos="2640"/>
        </w:tabs>
        <w:ind w:left="2640" w:hanging="480"/>
      </w:pPr>
    </w:lvl>
    <w:lvl w:ilvl="5" w:tplc="FFFFFFFF" w:tentative="1">
      <w:start w:val="1"/>
      <w:numFmt w:val="lowerRoman"/>
      <w:lvlText w:val="%6."/>
      <w:lvlJc w:val="right"/>
      <w:pPr>
        <w:tabs>
          <w:tab w:val="num" w:pos="3120"/>
        </w:tabs>
        <w:ind w:left="3120" w:hanging="480"/>
      </w:pPr>
    </w:lvl>
    <w:lvl w:ilvl="6" w:tplc="FFFFFFFF">
      <w:start w:val="1"/>
      <w:numFmt w:val="decimal"/>
      <w:lvlText w:val="%7."/>
      <w:lvlJc w:val="left"/>
      <w:pPr>
        <w:tabs>
          <w:tab w:val="num" w:pos="3600"/>
        </w:tabs>
        <w:ind w:left="3600" w:hanging="480"/>
      </w:pPr>
    </w:lvl>
    <w:lvl w:ilvl="7" w:tplc="FFFFFFFF" w:tentative="1">
      <w:start w:val="1"/>
      <w:numFmt w:val="ideographTraditional"/>
      <w:lvlText w:val="%8、"/>
      <w:lvlJc w:val="left"/>
      <w:pPr>
        <w:tabs>
          <w:tab w:val="num" w:pos="4080"/>
        </w:tabs>
        <w:ind w:left="4080" w:hanging="480"/>
      </w:pPr>
    </w:lvl>
    <w:lvl w:ilvl="8" w:tplc="FFFFFFFF" w:tentative="1">
      <w:start w:val="1"/>
      <w:numFmt w:val="lowerRoman"/>
      <w:lvlText w:val="%9."/>
      <w:lvlJc w:val="right"/>
      <w:pPr>
        <w:tabs>
          <w:tab w:val="num" w:pos="4560"/>
        </w:tabs>
        <w:ind w:left="4560" w:hanging="480"/>
      </w:pPr>
    </w:lvl>
  </w:abstractNum>
  <w:abstractNum w:abstractNumId="12" w15:restartNumberingAfterBreak="0">
    <w:nsid w:val="33BA2E62"/>
    <w:multiLevelType w:val="hybridMultilevel"/>
    <w:tmpl w:val="4BEE5962"/>
    <w:lvl w:ilvl="0" w:tplc="62FCBD8E">
      <w:start w:val="1"/>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39570B99"/>
    <w:multiLevelType w:val="hybridMultilevel"/>
    <w:tmpl w:val="A212001C"/>
    <w:lvl w:ilvl="0" w:tplc="64A0BED6">
      <w:start w:val="1"/>
      <w:numFmt w:val="decimal"/>
      <w:lvlText w:val="%1."/>
      <w:lvlJc w:val="left"/>
      <w:pPr>
        <w:ind w:left="802" w:hanging="360"/>
      </w:pPr>
      <w:rPr>
        <w:rFonts w:eastAsia="標楷體" w:hint="default"/>
        <w:b/>
        <w:sz w:val="24"/>
      </w:rPr>
    </w:lvl>
    <w:lvl w:ilvl="1" w:tplc="04090019" w:tentative="1">
      <w:start w:val="1"/>
      <w:numFmt w:val="ideographTraditional"/>
      <w:lvlText w:val="%2、"/>
      <w:lvlJc w:val="left"/>
      <w:pPr>
        <w:ind w:left="1402" w:hanging="480"/>
      </w:pPr>
    </w:lvl>
    <w:lvl w:ilvl="2" w:tplc="0409001B" w:tentative="1">
      <w:start w:val="1"/>
      <w:numFmt w:val="lowerRoman"/>
      <w:lvlText w:val="%3."/>
      <w:lvlJc w:val="right"/>
      <w:pPr>
        <w:ind w:left="1882" w:hanging="480"/>
      </w:pPr>
    </w:lvl>
    <w:lvl w:ilvl="3" w:tplc="0409000F" w:tentative="1">
      <w:start w:val="1"/>
      <w:numFmt w:val="decimal"/>
      <w:lvlText w:val="%4."/>
      <w:lvlJc w:val="left"/>
      <w:pPr>
        <w:ind w:left="2362" w:hanging="480"/>
      </w:pPr>
    </w:lvl>
    <w:lvl w:ilvl="4" w:tplc="04090019" w:tentative="1">
      <w:start w:val="1"/>
      <w:numFmt w:val="ideographTraditional"/>
      <w:lvlText w:val="%5、"/>
      <w:lvlJc w:val="left"/>
      <w:pPr>
        <w:ind w:left="2842" w:hanging="480"/>
      </w:pPr>
    </w:lvl>
    <w:lvl w:ilvl="5" w:tplc="0409001B" w:tentative="1">
      <w:start w:val="1"/>
      <w:numFmt w:val="lowerRoman"/>
      <w:lvlText w:val="%6."/>
      <w:lvlJc w:val="right"/>
      <w:pPr>
        <w:ind w:left="3322" w:hanging="480"/>
      </w:pPr>
    </w:lvl>
    <w:lvl w:ilvl="6" w:tplc="0409000F" w:tentative="1">
      <w:start w:val="1"/>
      <w:numFmt w:val="decimal"/>
      <w:lvlText w:val="%7."/>
      <w:lvlJc w:val="left"/>
      <w:pPr>
        <w:ind w:left="3802" w:hanging="480"/>
      </w:pPr>
    </w:lvl>
    <w:lvl w:ilvl="7" w:tplc="04090019" w:tentative="1">
      <w:start w:val="1"/>
      <w:numFmt w:val="ideographTraditional"/>
      <w:lvlText w:val="%8、"/>
      <w:lvlJc w:val="left"/>
      <w:pPr>
        <w:ind w:left="4282" w:hanging="480"/>
      </w:pPr>
    </w:lvl>
    <w:lvl w:ilvl="8" w:tplc="0409001B" w:tentative="1">
      <w:start w:val="1"/>
      <w:numFmt w:val="lowerRoman"/>
      <w:lvlText w:val="%9."/>
      <w:lvlJc w:val="right"/>
      <w:pPr>
        <w:ind w:left="4762" w:hanging="480"/>
      </w:pPr>
    </w:lvl>
  </w:abstractNum>
  <w:abstractNum w:abstractNumId="14" w15:restartNumberingAfterBreak="0">
    <w:nsid w:val="398843C6"/>
    <w:multiLevelType w:val="hybridMultilevel"/>
    <w:tmpl w:val="82264F50"/>
    <w:lvl w:ilvl="0" w:tplc="161210DC">
      <w:start w:val="1"/>
      <w:numFmt w:val="bullet"/>
      <w:lvlText w:val=""/>
      <w:lvlJc w:val="left"/>
      <w:pPr>
        <w:tabs>
          <w:tab w:val="num" w:pos="720"/>
        </w:tabs>
        <w:ind w:left="720" w:hanging="360"/>
      </w:pPr>
      <w:rPr>
        <w:rFonts w:ascii="Wingdings" w:hAnsi="Wingdings" w:hint="default"/>
      </w:rPr>
    </w:lvl>
    <w:lvl w:ilvl="1" w:tplc="4992E000" w:tentative="1">
      <w:start w:val="1"/>
      <w:numFmt w:val="bullet"/>
      <w:lvlText w:val=""/>
      <w:lvlJc w:val="left"/>
      <w:pPr>
        <w:tabs>
          <w:tab w:val="num" w:pos="1440"/>
        </w:tabs>
        <w:ind w:left="1440" w:hanging="360"/>
      </w:pPr>
      <w:rPr>
        <w:rFonts w:ascii="Wingdings" w:hAnsi="Wingdings" w:hint="default"/>
      </w:rPr>
    </w:lvl>
    <w:lvl w:ilvl="2" w:tplc="0FD01824" w:tentative="1">
      <w:start w:val="1"/>
      <w:numFmt w:val="bullet"/>
      <w:lvlText w:val=""/>
      <w:lvlJc w:val="left"/>
      <w:pPr>
        <w:tabs>
          <w:tab w:val="num" w:pos="2160"/>
        </w:tabs>
        <w:ind w:left="2160" w:hanging="360"/>
      </w:pPr>
      <w:rPr>
        <w:rFonts w:ascii="Wingdings" w:hAnsi="Wingdings" w:hint="default"/>
      </w:rPr>
    </w:lvl>
    <w:lvl w:ilvl="3" w:tplc="74E4CC7E" w:tentative="1">
      <w:start w:val="1"/>
      <w:numFmt w:val="bullet"/>
      <w:lvlText w:val=""/>
      <w:lvlJc w:val="left"/>
      <w:pPr>
        <w:tabs>
          <w:tab w:val="num" w:pos="2880"/>
        </w:tabs>
        <w:ind w:left="2880" w:hanging="360"/>
      </w:pPr>
      <w:rPr>
        <w:rFonts w:ascii="Wingdings" w:hAnsi="Wingdings" w:hint="default"/>
      </w:rPr>
    </w:lvl>
    <w:lvl w:ilvl="4" w:tplc="A3BCF7B4" w:tentative="1">
      <w:start w:val="1"/>
      <w:numFmt w:val="bullet"/>
      <w:lvlText w:val=""/>
      <w:lvlJc w:val="left"/>
      <w:pPr>
        <w:tabs>
          <w:tab w:val="num" w:pos="3600"/>
        </w:tabs>
        <w:ind w:left="3600" w:hanging="360"/>
      </w:pPr>
      <w:rPr>
        <w:rFonts w:ascii="Wingdings" w:hAnsi="Wingdings" w:hint="default"/>
      </w:rPr>
    </w:lvl>
    <w:lvl w:ilvl="5" w:tplc="62966AF4" w:tentative="1">
      <w:start w:val="1"/>
      <w:numFmt w:val="bullet"/>
      <w:lvlText w:val=""/>
      <w:lvlJc w:val="left"/>
      <w:pPr>
        <w:tabs>
          <w:tab w:val="num" w:pos="4320"/>
        </w:tabs>
        <w:ind w:left="4320" w:hanging="360"/>
      </w:pPr>
      <w:rPr>
        <w:rFonts w:ascii="Wingdings" w:hAnsi="Wingdings" w:hint="default"/>
      </w:rPr>
    </w:lvl>
    <w:lvl w:ilvl="6" w:tplc="6FE65998" w:tentative="1">
      <w:start w:val="1"/>
      <w:numFmt w:val="bullet"/>
      <w:lvlText w:val=""/>
      <w:lvlJc w:val="left"/>
      <w:pPr>
        <w:tabs>
          <w:tab w:val="num" w:pos="5040"/>
        </w:tabs>
        <w:ind w:left="5040" w:hanging="360"/>
      </w:pPr>
      <w:rPr>
        <w:rFonts w:ascii="Wingdings" w:hAnsi="Wingdings" w:hint="default"/>
      </w:rPr>
    </w:lvl>
    <w:lvl w:ilvl="7" w:tplc="A2C2880A" w:tentative="1">
      <w:start w:val="1"/>
      <w:numFmt w:val="bullet"/>
      <w:lvlText w:val=""/>
      <w:lvlJc w:val="left"/>
      <w:pPr>
        <w:tabs>
          <w:tab w:val="num" w:pos="5760"/>
        </w:tabs>
        <w:ind w:left="5760" w:hanging="360"/>
      </w:pPr>
      <w:rPr>
        <w:rFonts w:ascii="Wingdings" w:hAnsi="Wingdings" w:hint="default"/>
      </w:rPr>
    </w:lvl>
    <w:lvl w:ilvl="8" w:tplc="85E2A02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AB8687F"/>
    <w:multiLevelType w:val="hybridMultilevel"/>
    <w:tmpl w:val="806ADE9C"/>
    <w:lvl w:ilvl="0" w:tplc="FCC6DD04">
      <w:start w:val="1"/>
      <w:numFmt w:val="decimal"/>
      <w:suff w:val="nothing"/>
      <w:lvlText w:val="%1."/>
      <w:lvlJc w:val="left"/>
      <w:pPr>
        <w:ind w:left="454" w:hanging="174"/>
      </w:pPr>
      <w:rPr>
        <w:rFonts w:hint="eastAsia"/>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16" w15:restartNumberingAfterBreak="0">
    <w:nsid w:val="3EE46E39"/>
    <w:multiLevelType w:val="singleLevel"/>
    <w:tmpl w:val="9A6CC3A8"/>
    <w:lvl w:ilvl="0">
      <w:start w:val="1"/>
      <w:numFmt w:val="ideographLegalTraditional"/>
      <w:pStyle w:val="4"/>
      <w:lvlText w:val="%1、"/>
      <w:lvlJc w:val="left"/>
      <w:pPr>
        <w:tabs>
          <w:tab w:val="num" w:pos="570"/>
        </w:tabs>
        <w:ind w:left="570" w:hanging="570"/>
      </w:pPr>
      <w:rPr>
        <w:rFonts w:hint="eastAsia"/>
      </w:rPr>
    </w:lvl>
  </w:abstractNum>
  <w:abstractNum w:abstractNumId="17" w15:restartNumberingAfterBreak="0">
    <w:nsid w:val="415E049A"/>
    <w:multiLevelType w:val="hybridMultilevel"/>
    <w:tmpl w:val="953EE66E"/>
    <w:lvl w:ilvl="0" w:tplc="DBB44384">
      <w:start w:val="2"/>
      <w:numFmt w:val="bullet"/>
      <w:lvlText w:val="-"/>
      <w:lvlJc w:val="left"/>
      <w:pPr>
        <w:ind w:left="360" w:hanging="360"/>
      </w:pPr>
      <w:rPr>
        <w:rFonts w:ascii="標楷體" w:eastAsia="標楷體" w:hAnsi="標楷體" w:cstheme="minorBidi"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457907DA"/>
    <w:multiLevelType w:val="hybridMultilevel"/>
    <w:tmpl w:val="E1CE1CEA"/>
    <w:lvl w:ilvl="0" w:tplc="CFC2C388">
      <w:start w:val="1"/>
      <w:numFmt w:val="taiwaneseCountingThousand"/>
      <w:lvlText w:val="(%1)"/>
      <w:lvlJc w:val="left"/>
      <w:pPr>
        <w:ind w:left="381" w:hanging="405"/>
      </w:pPr>
      <w:rPr>
        <w:rFonts w:hint="default"/>
      </w:rPr>
    </w:lvl>
    <w:lvl w:ilvl="1" w:tplc="04090019" w:tentative="1">
      <w:start w:val="1"/>
      <w:numFmt w:val="ideographTraditional"/>
      <w:lvlText w:val="%2、"/>
      <w:lvlJc w:val="left"/>
      <w:pPr>
        <w:ind w:left="936" w:hanging="480"/>
      </w:pPr>
    </w:lvl>
    <w:lvl w:ilvl="2" w:tplc="0409001B" w:tentative="1">
      <w:start w:val="1"/>
      <w:numFmt w:val="lowerRoman"/>
      <w:lvlText w:val="%3."/>
      <w:lvlJc w:val="right"/>
      <w:pPr>
        <w:ind w:left="1416" w:hanging="480"/>
      </w:pPr>
    </w:lvl>
    <w:lvl w:ilvl="3" w:tplc="0409000F" w:tentative="1">
      <w:start w:val="1"/>
      <w:numFmt w:val="decimal"/>
      <w:lvlText w:val="%4."/>
      <w:lvlJc w:val="left"/>
      <w:pPr>
        <w:ind w:left="1896" w:hanging="480"/>
      </w:pPr>
    </w:lvl>
    <w:lvl w:ilvl="4" w:tplc="04090019" w:tentative="1">
      <w:start w:val="1"/>
      <w:numFmt w:val="ideographTraditional"/>
      <w:lvlText w:val="%5、"/>
      <w:lvlJc w:val="left"/>
      <w:pPr>
        <w:ind w:left="2376" w:hanging="480"/>
      </w:pPr>
    </w:lvl>
    <w:lvl w:ilvl="5" w:tplc="0409001B" w:tentative="1">
      <w:start w:val="1"/>
      <w:numFmt w:val="lowerRoman"/>
      <w:lvlText w:val="%6."/>
      <w:lvlJc w:val="right"/>
      <w:pPr>
        <w:ind w:left="2856" w:hanging="480"/>
      </w:pPr>
    </w:lvl>
    <w:lvl w:ilvl="6" w:tplc="0409000F" w:tentative="1">
      <w:start w:val="1"/>
      <w:numFmt w:val="decimal"/>
      <w:lvlText w:val="%7."/>
      <w:lvlJc w:val="left"/>
      <w:pPr>
        <w:ind w:left="3336" w:hanging="480"/>
      </w:pPr>
    </w:lvl>
    <w:lvl w:ilvl="7" w:tplc="04090019" w:tentative="1">
      <w:start w:val="1"/>
      <w:numFmt w:val="ideographTraditional"/>
      <w:lvlText w:val="%8、"/>
      <w:lvlJc w:val="left"/>
      <w:pPr>
        <w:ind w:left="3816" w:hanging="480"/>
      </w:pPr>
    </w:lvl>
    <w:lvl w:ilvl="8" w:tplc="0409001B" w:tentative="1">
      <w:start w:val="1"/>
      <w:numFmt w:val="lowerRoman"/>
      <w:lvlText w:val="%9."/>
      <w:lvlJc w:val="right"/>
      <w:pPr>
        <w:ind w:left="4296" w:hanging="480"/>
      </w:pPr>
    </w:lvl>
  </w:abstractNum>
  <w:abstractNum w:abstractNumId="20" w15:restartNumberingAfterBreak="0">
    <w:nsid w:val="46B25EF1"/>
    <w:multiLevelType w:val="hybridMultilevel"/>
    <w:tmpl w:val="A718B9B6"/>
    <w:lvl w:ilvl="0" w:tplc="D084EE90">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1" w15:restartNumberingAfterBreak="0">
    <w:nsid w:val="46E347ED"/>
    <w:multiLevelType w:val="hybridMultilevel"/>
    <w:tmpl w:val="38989188"/>
    <w:lvl w:ilvl="0" w:tplc="70ACEA0A">
      <w:start w:val="1"/>
      <w:numFmt w:val="taiwaneseCountingThousand"/>
      <w:lvlText w:val="%1、"/>
      <w:lvlJc w:val="left"/>
      <w:pPr>
        <w:ind w:left="1858" w:hanging="1290"/>
      </w:pPr>
    </w:lvl>
    <w:lvl w:ilvl="1" w:tplc="04090019">
      <w:start w:val="1"/>
      <w:numFmt w:val="ideographTraditional"/>
      <w:lvlText w:val="%2、"/>
      <w:lvlJc w:val="left"/>
      <w:pPr>
        <w:ind w:left="1528" w:hanging="480"/>
      </w:pPr>
    </w:lvl>
    <w:lvl w:ilvl="2" w:tplc="0409001B">
      <w:start w:val="1"/>
      <w:numFmt w:val="lowerRoman"/>
      <w:lvlText w:val="%3."/>
      <w:lvlJc w:val="right"/>
      <w:pPr>
        <w:ind w:left="2008" w:hanging="480"/>
      </w:pPr>
    </w:lvl>
    <w:lvl w:ilvl="3" w:tplc="0409000F">
      <w:start w:val="1"/>
      <w:numFmt w:val="decimal"/>
      <w:lvlText w:val="%4."/>
      <w:lvlJc w:val="left"/>
      <w:pPr>
        <w:ind w:left="2488" w:hanging="480"/>
      </w:pPr>
    </w:lvl>
    <w:lvl w:ilvl="4" w:tplc="04090019">
      <w:start w:val="1"/>
      <w:numFmt w:val="ideographTraditional"/>
      <w:lvlText w:val="%5、"/>
      <w:lvlJc w:val="left"/>
      <w:pPr>
        <w:ind w:left="2968" w:hanging="480"/>
      </w:pPr>
    </w:lvl>
    <w:lvl w:ilvl="5" w:tplc="0409001B">
      <w:start w:val="1"/>
      <w:numFmt w:val="lowerRoman"/>
      <w:lvlText w:val="%6."/>
      <w:lvlJc w:val="right"/>
      <w:pPr>
        <w:ind w:left="3448" w:hanging="480"/>
      </w:pPr>
    </w:lvl>
    <w:lvl w:ilvl="6" w:tplc="0409000F">
      <w:start w:val="1"/>
      <w:numFmt w:val="decimal"/>
      <w:lvlText w:val="%7."/>
      <w:lvlJc w:val="left"/>
      <w:pPr>
        <w:ind w:left="3928" w:hanging="480"/>
      </w:pPr>
    </w:lvl>
    <w:lvl w:ilvl="7" w:tplc="04090019">
      <w:start w:val="1"/>
      <w:numFmt w:val="ideographTraditional"/>
      <w:lvlText w:val="%8、"/>
      <w:lvlJc w:val="left"/>
      <w:pPr>
        <w:ind w:left="4408" w:hanging="480"/>
      </w:pPr>
    </w:lvl>
    <w:lvl w:ilvl="8" w:tplc="0409001B">
      <w:start w:val="1"/>
      <w:numFmt w:val="lowerRoman"/>
      <w:lvlText w:val="%9."/>
      <w:lvlJc w:val="right"/>
      <w:pPr>
        <w:ind w:left="4888" w:hanging="480"/>
      </w:pPr>
    </w:lvl>
  </w:abstractNum>
  <w:abstractNum w:abstractNumId="22" w15:restartNumberingAfterBreak="0">
    <w:nsid w:val="48A10B55"/>
    <w:multiLevelType w:val="hybridMultilevel"/>
    <w:tmpl w:val="DA4C4950"/>
    <w:lvl w:ilvl="0" w:tplc="F4E6AB6C">
      <w:start w:val="1"/>
      <w:numFmt w:val="decimal"/>
      <w:suff w:val="nothing"/>
      <w:lvlText w:val="%1."/>
      <w:lvlJc w:val="left"/>
      <w:pPr>
        <w:ind w:left="9553" w:hanging="480"/>
      </w:pPr>
      <w:rPr>
        <w:rFonts w:ascii="標楷體" w:eastAsia="標楷體" w:hAnsi="標楷體" w:hint="eastAsia"/>
        <w:b w:val="0"/>
        <w:sz w:val="32"/>
        <w:szCs w:val="32"/>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23" w15:restartNumberingAfterBreak="0">
    <w:nsid w:val="51921ABE"/>
    <w:multiLevelType w:val="hybridMultilevel"/>
    <w:tmpl w:val="7AB86A6C"/>
    <w:lvl w:ilvl="0" w:tplc="31FC0464">
      <w:start w:val="1"/>
      <w:numFmt w:val="taiwaneseCountingThousand"/>
      <w:lvlText w:val="(%1)"/>
      <w:lvlJc w:val="left"/>
      <w:pPr>
        <w:ind w:left="480" w:hanging="480"/>
      </w:pPr>
      <w:rPr>
        <w:rFonts w:hint="eastAsia"/>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57D55939"/>
    <w:multiLevelType w:val="hybridMultilevel"/>
    <w:tmpl w:val="87A2CAF4"/>
    <w:lvl w:ilvl="0" w:tplc="AB0C5C8C">
      <w:start w:val="1"/>
      <w:numFmt w:val="ideographLegalTraditional"/>
      <w:pStyle w:val="A"/>
      <w:lvlText w:val="%1、"/>
      <w:lvlJc w:val="left"/>
      <w:pPr>
        <w:tabs>
          <w:tab w:val="num" w:pos="720"/>
        </w:tabs>
        <w:ind w:left="720" w:hanging="720"/>
      </w:pPr>
      <w:rPr>
        <w:rFonts w:hint="default"/>
        <w:lang w:val="en-US"/>
      </w:rPr>
    </w:lvl>
    <w:lvl w:ilvl="1" w:tplc="61266240">
      <w:start w:val="1"/>
      <w:numFmt w:val="taiwaneseCountingThousand"/>
      <w:pStyle w:val="B"/>
      <w:lvlText w:val="%2、"/>
      <w:lvlJc w:val="left"/>
      <w:pPr>
        <w:tabs>
          <w:tab w:val="num" w:pos="7667"/>
        </w:tabs>
        <w:ind w:left="7667" w:hanging="720"/>
      </w:pPr>
      <w:rPr>
        <w:rFonts w:hint="default"/>
        <w:lang w:val="en-US"/>
      </w:rPr>
    </w:lvl>
    <w:lvl w:ilvl="2" w:tplc="DEB2F16A">
      <w:start w:val="1"/>
      <w:numFmt w:val="decimal"/>
      <w:lvlText w:val="%3."/>
      <w:lvlJc w:val="left"/>
      <w:pPr>
        <w:tabs>
          <w:tab w:val="num" w:pos="1320"/>
        </w:tabs>
        <w:ind w:left="1320" w:hanging="360"/>
      </w:pPr>
      <w:rPr>
        <w:rFonts w:hAnsi="標楷體" w:cs="Times New Roman" w:hint="default"/>
      </w:rPr>
    </w:lvl>
    <w:lvl w:ilvl="3" w:tplc="94B67D72">
      <w:start w:val="1"/>
      <w:numFmt w:val="taiwaneseCountingThousand"/>
      <w:lvlText w:val="（%4）"/>
      <w:lvlJc w:val="left"/>
      <w:pPr>
        <w:tabs>
          <w:tab w:val="num" w:pos="2250"/>
        </w:tabs>
        <w:ind w:left="2250" w:hanging="810"/>
      </w:pPr>
      <w:rPr>
        <w:rFonts w:hint="eastAsia"/>
        <w:b w:val="0"/>
        <w:strike w:val="0"/>
        <w:color w:val="auto"/>
        <w:lang w:val="en-US"/>
      </w:rPr>
    </w:lvl>
    <w:lvl w:ilvl="4" w:tplc="E9948E32">
      <w:start w:val="1"/>
      <w:numFmt w:val="decimal"/>
      <w:lvlText w:val="%5."/>
      <w:lvlJc w:val="left"/>
      <w:pPr>
        <w:ind w:left="2280" w:hanging="360"/>
      </w:pPr>
      <w:rPr>
        <w:rFonts w:hint="default"/>
      </w:rPr>
    </w:lvl>
    <w:lvl w:ilvl="5" w:tplc="E9226C0C">
      <w:start w:val="1"/>
      <w:numFmt w:val="decimal"/>
      <w:lvlText w:val="(%6)"/>
      <w:lvlJc w:val="left"/>
      <w:pPr>
        <w:ind w:left="3120" w:hanging="720"/>
      </w:pPr>
      <w:rPr>
        <w:rFonts w:hint="default"/>
      </w:r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 w15:restartNumberingAfterBreak="0">
    <w:nsid w:val="5A7E63F7"/>
    <w:multiLevelType w:val="hybridMultilevel"/>
    <w:tmpl w:val="856AD570"/>
    <w:lvl w:ilvl="0" w:tplc="61E89B76">
      <w:start w:val="1"/>
      <w:numFmt w:val="decimal"/>
      <w:lvlText w:val="%1."/>
      <w:lvlJc w:val="left"/>
      <w:pPr>
        <w:ind w:left="840" w:hanging="360"/>
      </w:pPr>
      <w:rPr>
        <w:rFonts w:hAnsi="Times New Roman"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6" w15:restartNumberingAfterBreak="0">
    <w:nsid w:val="5DAD0682"/>
    <w:multiLevelType w:val="hybridMultilevel"/>
    <w:tmpl w:val="DD409AB2"/>
    <w:lvl w:ilvl="0" w:tplc="F3E2B1AE">
      <w:start w:val="1"/>
      <w:numFmt w:val="decimal"/>
      <w:lvlText w:val="%1."/>
      <w:lvlJc w:val="left"/>
      <w:pPr>
        <w:ind w:left="1000" w:hanging="360"/>
      </w:pPr>
      <w:rPr>
        <w:rFonts w:hAnsi="標楷體" w:hint="default"/>
        <w:color w:val="000000"/>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27" w15:restartNumberingAfterBreak="0">
    <w:nsid w:val="69CF6875"/>
    <w:multiLevelType w:val="hybridMultilevel"/>
    <w:tmpl w:val="E18687DA"/>
    <w:lvl w:ilvl="0" w:tplc="1568821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6AD54946"/>
    <w:multiLevelType w:val="hybridMultilevel"/>
    <w:tmpl w:val="FF0C3C88"/>
    <w:lvl w:ilvl="0" w:tplc="40F45158">
      <w:start w:val="1"/>
      <w:numFmt w:val="decimal"/>
      <w:lvlText w:val="%1."/>
      <w:lvlJc w:val="left"/>
      <w:pPr>
        <w:ind w:left="794" w:hanging="360"/>
      </w:pPr>
      <w:rPr>
        <w:rFonts w:ascii="標楷體" w:eastAsia="標楷體" w:hAnsi="標楷體" w:hint="default"/>
        <w:b/>
      </w:rPr>
    </w:lvl>
    <w:lvl w:ilvl="1" w:tplc="04090019" w:tentative="1">
      <w:start w:val="1"/>
      <w:numFmt w:val="ideographTraditional"/>
      <w:lvlText w:val="%2、"/>
      <w:lvlJc w:val="left"/>
      <w:pPr>
        <w:ind w:left="1394" w:hanging="480"/>
      </w:pPr>
    </w:lvl>
    <w:lvl w:ilvl="2" w:tplc="0409001B" w:tentative="1">
      <w:start w:val="1"/>
      <w:numFmt w:val="lowerRoman"/>
      <w:lvlText w:val="%3."/>
      <w:lvlJc w:val="right"/>
      <w:pPr>
        <w:ind w:left="1874" w:hanging="480"/>
      </w:pPr>
    </w:lvl>
    <w:lvl w:ilvl="3" w:tplc="0409000F" w:tentative="1">
      <w:start w:val="1"/>
      <w:numFmt w:val="decimal"/>
      <w:lvlText w:val="%4."/>
      <w:lvlJc w:val="left"/>
      <w:pPr>
        <w:ind w:left="2354" w:hanging="480"/>
      </w:pPr>
    </w:lvl>
    <w:lvl w:ilvl="4" w:tplc="04090019" w:tentative="1">
      <w:start w:val="1"/>
      <w:numFmt w:val="ideographTraditional"/>
      <w:lvlText w:val="%5、"/>
      <w:lvlJc w:val="left"/>
      <w:pPr>
        <w:ind w:left="2834" w:hanging="480"/>
      </w:pPr>
    </w:lvl>
    <w:lvl w:ilvl="5" w:tplc="0409001B" w:tentative="1">
      <w:start w:val="1"/>
      <w:numFmt w:val="lowerRoman"/>
      <w:lvlText w:val="%6."/>
      <w:lvlJc w:val="right"/>
      <w:pPr>
        <w:ind w:left="3314" w:hanging="480"/>
      </w:pPr>
    </w:lvl>
    <w:lvl w:ilvl="6" w:tplc="0409000F" w:tentative="1">
      <w:start w:val="1"/>
      <w:numFmt w:val="decimal"/>
      <w:lvlText w:val="%7."/>
      <w:lvlJc w:val="left"/>
      <w:pPr>
        <w:ind w:left="3794" w:hanging="480"/>
      </w:pPr>
    </w:lvl>
    <w:lvl w:ilvl="7" w:tplc="04090019" w:tentative="1">
      <w:start w:val="1"/>
      <w:numFmt w:val="ideographTraditional"/>
      <w:lvlText w:val="%8、"/>
      <w:lvlJc w:val="left"/>
      <w:pPr>
        <w:ind w:left="4274" w:hanging="480"/>
      </w:pPr>
    </w:lvl>
    <w:lvl w:ilvl="8" w:tplc="0409001B" w:tentative="1">
      <w:start w:val="1"/>
      <w:numFmt w:val="lowerRoman"/>
      <w:lvlText w:val="%9."/>
      <w:lvlJc w:val="right"/>
      <w:pPr>
        <w:ind w:left="4754" w:hanging="480"/>
      </w:pPr>
    </w:lvl>
  </w:abstractNum>
  <w:abstractNum w:abstractNumId="29" w15:restartNumberingAfterBreak="0">
    <w:nsid w:val="6C9E3DE4"/>
    <w:multiLevelType w:val="hybridMultilevel"/>
    <w:tmpl w:val="B422E87A"/>
    <w:lvl w:ilvl="0" w:tplc="0EDA27B6">
      <w:start w:val="1"/>
      <w:numFmt w:val="decimal"/>
      <w:lvlText w:val="%1."/>
      <w:lvlJc w:val="left"/>
      <w:pPr>
        <w:ind w:left="1001" w:hanging="36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0" w15:restartNumberingAfterBreak="0">
    <w:nsid w:val="6D7C7B7F"/>
    <w:multiLevelType w:val="hybridMultilevel"/>
    <w:tmpl w:val="F816EBB0"/>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71616AA0"/>
    <w:multiLevelType w:val="hybridMultilevel"/>
    <w:tmpl w:val="63E012DE"/>
    <w:lvl w:ilvl="0" w:tplc="F484F7EA">
      <w:start w:val="1"/>
      <w:numFmt w:val="taiwaneseCountingThousand"/>
      <w:lvlText w:val="(%1)"/>
      <w:lvlJc w:val="left"/>
      <w:pPr>
        <w:ind w:left="319" w:hanging="360"/>
      </w:pPr>
      <w:rPr>
        <w:rFonts w:hint="default"/>
      </w:rPr>
    </w:lvl>
    <w:lvl w:ilvl="1" w:tplc="04090019" w:tentative="1">
      <w:start w:val="1"/>
      <w:numFmt w:val="ideographTraditional"/>
      <w:lvlText w:val="%2、"/>
      <w:lvlJc w:val="left"/>
      <w:pPr>
        <w:ind w:left="919" w:hanging="480"/>
      </w:pPr>
    </w:lvl>
    <w:lvl w:ilvl="2" w:tplc="0409001B" w:tentative="1">
      <w:start w:val="1"/>
      <w:numFmt w:val="lowerRoman"/>
      <w:lvlText w:val="%3."/>
      <w:lvlJc w:val="right"/>
      <w:pPr>
        <w:ind w:left="1399" w:hanging="480"/>
      </w:pPr>
    </w:lvl>
    <w:lvl w:ilvl="3" w:tplc="0409000F" w:tentative="1">
      <w:start w:val="1"/>
      <w:numFmt w:val="decimal"/>
      <w:lvlText w:val="%4."/>
      <w:lvlJc w:val="left"/>
      <w:pPr>
        <w:ind w:left="1879" w:hanging="480"/>
      </w:pPr>
    </w:lvl>
    <w:lvl w:ilvl="4" w:tplc="04090019" w:tentative="1">
      <w:start w:val="1"/>
      <w:numFmt w:val="ideographTraditional"/>
      <w:lvlText w:val="%5、"/>
      <w:lvlJc w:val="left"/>
      <w:pPr>
        <w:ind w:left="2359" w:hanging="480"/>
      </w:pPr>
    </w:lvl>
    <w:lvl w:ilvl="5" w:tplc="0409001B" w:tentative="1">
      <w:start w:val="1"/>
      <w:numFmt w:val="lowerRoman"/>
      <w:lvlText w:val="%6."/>
      <w:lvlJc w:val="right"/>
      <w:pPr>
        <w:ind w:left="2839" w:hanging="480"/>
      </w:pPr>
    </w:lvl>
    <w:lvl w:ilvl="6" w:tplc="0409000F" w:tentative="1">
      <w:start w:val="1"/>
      <w:numFmt w:val="decimal"/>
      <w:lvlText w:val="%7."/>
      <w:lvlJc w:val="left"/>
      <w:pPr>
        <w:ind w:left="3319" w:hanging="480"/>
      </w:pPr>
    </w:lvl>
    <w:lvl w:ilvl="7" w:tplc="04090019" w:tentative="1">
      <w:start w:val="1"/>
      <w:numFmt w:val="ideographTraditional"/>
      <w:lvlText w:val="%8、"/>
      <w:lvlJc w:val="left"/>
      <w:pPr>
        <w:ind w:left="3799" w:hanging="480"/>
      </w:pPr>
    </w:lvl>
    <w:lvl w:ilvl="8" w:tplc="0409001B" w:tentative="1">
      <w:start w:val="1"/>
      <w:numFmt w:val="lowerRoman"/>
      <w:lvlText w:val="%9."/>
      <w:lvlJc w:val="right"/>
      <w:pPr>
        <w:ind w:left="4279" w:hanging="480"/>
      </w:pPr>
    </w:lvl>
  </w:abstractNum>
  <w:abstractNum w:abstractNumId="32" w15:restartNumberingAfterBreak="0">
    <w:nsid w:val="72370A67"/>
    <w:multiLevelType w:val="hybridMultilevel"/>
    <w:tmpl w:val="C80293C6"/>
    <w:lvl w:ilvl="0" w:tplc="15E8B412">
      <w:start w:val="1"/>
      <w:numFmt w:val="decimal"/>
      <w:suff w:val="nothing"/>
      <w:lvlText w:val="(%1)"/>
      <w:lvlJc w:val="left"/>
      <w:pPr>
        <w:ind w:left="1332"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15:restartNumberingAfterBreak="0">
    <w:nsid w:val="73C52238"/>
    <w:multiLevelType w:val="hybridMultilevel"/>
    <w:tmpl w:val="E18687DA"/>
    <w:lvl w:ilvl="0" w:tplc="1568821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4" w15:restartNumberingAfterBreak="0">
    <w:nsid w:val="74BF2383"/>
    <w:multiLevelType w:val="hybridMultilevel"/>
    <w:tmpl w:val="CC1011CA"/>
    <w:lvl w:ilvl="0" w:tplc="DC7ABD40">
      <w:start w:val="1"/>
      <w:numFmt w:val="taiwaneseCountingThousand"/>
      <w:pStyle w:val="C"/>
      <w:lvlText w:val="%1、"/>
      <w:lvlJc w:val="left"/>
      <w:pPr>
        <w:tabs>
          <w:tab w:val="num" w:pos="1288"/>
        </w:tabs>
        <w:ind w:left="1288"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5" w15:restartNumberingAfterBreak="0">
    <w:nsid w:val="77AE0FA5"/>
    <w:multiLevelType w:val="hybridMultilevel"/>
    <w:tmpl w:val="543E3458"/>
    <w:lvl w:ilvl="0" w:tplc="4A76EA24">
      <w:start w:val="1"/>
      <w:numFmt w:val="taiwaneseCountingThousand"/>
      <w:lvlText w:val="%1、"/>
      <w:lvlJc w:val="left"/>
      <w:pPr>
        <w:ind w:left="862" w:hanging="720"/>
      </w:pPr>
      <w:rPr>
        <w:rFonts w:cs="Arial" w:hint="default"/>
        <w:b/>
      </w:rPr>
    </w:lvl>
    <w:lvl w:ilvl="1" w:tplc="7E867378">
      <w:start w:val="1"/>
      <w:numFmt w:val="taiwaneseCountingThousand"/>
      <w:lvlText w:val="(%2)"/>
      <w:lvlJc w:val="left"/>
      <w:pPr>
        <w:ind w:left="960" w:hanging="480"/>
      </w:pPr>
      <w:rPr>
        <w:rFonts w:ascii="標楷體" w:eastAsia="標楷體" w:hAnsi="標楷體" w:hint="eastAsia"/>
        <w:b w:val="0"/>
        <w:sz w:val="32"/>
        <w:szCs w:val="32"/>
      </w:rPr>
    </w:lvl>
    <w:lvl w:ilvl="2" w:tplc="6B900E48">
      <w:start w:val="1"/>
      <w:numFmt w:val="decimal"/>
      <w:lvlText w:val="%3、"/>
      <w:lvlJc w:val="right"/>
      <w:pPr>
        <w:ind w:left="1440" w:hanging="480"/>
      </w:pPr>
      <w:rPr>
        <w:rFonts w:hint="eastAsia"/>
        <w:b w:val="0"/>
      </w:rPr>
    </w:lvl>
    <w:lvl w:ilvl="3" w:tplc="58260ED4">
      <w:start w:val="1"/>
      <w:numFmt w:val="decimal"/>
      <w:lvlText w:val="%4、"/>
      <w:lvlJc w:val="left"/>
      <w:pPr>
        <w:ind w:left="1920" w:hanging="480"/>
      </w:pPr>
      <w:rPr>
        <w:rFonts w:hint="eastAsia"/>
        <w:b w:val="0"/>
      </w:rPr>
    </w:lvl>
    <w:lvl w:ilvl="4" w:tplc="872043D8">
      <w:start w:val="1"/>
      <w:numFmt w:val="decimal"/>
      <w:lvlText w:val="（%5）"/>
      <w:lvlJc w:val="left"/>
      <w:pPr>
        <w:ind w:left="2400" w:hanging="480"/>
      </w:pPr>
      <w:rPr>
        <w:rFonts w:hint="eastAsia"/>
        <w:lang w:val="en-US"/>
      </w:rPr>
    </w:lvl>
    <w:lvl w:ilvl="5" w:tplc="921E3120">
      <w:start w:val="1"/>
      <w:numFmt w:val="decimal"/>
      <w:lvlText w:val="%6."/>
      <w:lvlJc w:val="left"/>
      <w:pPr>
        <w:ind w:left="2760" w:hanging="360"/>
      </w:pPr>
      <w:rPr>
        <w:rFonts w:hint="default"/>
      </w:r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7DDE0F7D"/>
    <w:multiLevelType w:val="hybridMultilevel"/>
    <w:tmpl w:val="24D0A6C6"/>
    <w:lvl w:ilvl="0" w:tplc="1618FFF6">
      <w:start w:val="1"/>
      <w:numFmt w:val="taiwaneseCountingThousand"/>
      <w:lvlText w:val="(%1)"/>
      <w:lvlJc w:val="left"/>
      <w:pPr>
        <w:ind w:left="1931" w:hanging="129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7" w15:restartNumberingAfterBreak="0">
    <w:nsid w:val="7E8D36D1"/>
    <w:multiLevelType w:val="hybridMultilevel"/>
    <w:tmpl w:val="70A86CEA"/>
    <w:lvl w:ilvl="0" w:tplc="2AF8C594">
      <w:start w:val="1"/>
      <w:numFmt w:val="taiwaneseCountingThousand"/>
      <w:lvlText w:val="(%1)"/>
      <w:lvlJc w:val="left"/>
      <w:pPr>
        <w:ind w:left="1931" w:hanging="129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num w:numId="1">
    <w:abstractNumId w:val="9"/>
  </w:num>
  <w:num w:numId="2">
    <w:abstractNumId w:val="12"/>
  </w:num>
  <w:num w:numId="3">
    <w:abstractNumId w:val="15"/>
  </w:num>
  <w:num w:numId="4">
    <w:abstractNumId w:val="3"/>
  </w:num>
  <w:num w:numId="5">
    <w:abstractNumId w:val="6"/>
  </w:num>
  <w:num w:numId="6">
    <w:abstractNumId w:val="8"/>
  </w:num>
  <w:num w:numId="7">
    <w:abstractNumId w:val="5"/>
  </w:num>
  <w:num w:numId="8">
    <w:abstractNumId w:val="34"/>
  </w:num>
  <w:num w:numId="9">
    <w:abstractNumId w:val="16"/>
  </w:num>
  <w:num w:numId="10">
    <w:abstractNumId w:val="27"/>
  </w:num>
  <w:num w:numId="11">
    <w:abstractNumId w:val="37"/>
  </w:num>
  <w:num w:numId="12">
    <w:abstractNumId w:val="36"/>
  </w:num>
  <w:num w:numId="1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29"/>
  </w:num>
  <w:num w:numId="16">
    <w:abstractNumId w:val="17"/>
  </w:num>
  <w:num w:numId="17">
    <w:abstractNumId w:val="33"/>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lvlOverride w:ilvl="8">
      <w:startOverride w:val="1"/>
    </w:lvlOverride>
  </w:num>
  <w:num w:numId="19">
    <w:abstractNumId w:val="0"/>
  </w:num>
  <w:num w:numId="2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lvlOverride w:ilvl="0">
      <w:startOverride w:val="1"/>
    </w:lvlOverride>
  </w:num>
  <w:num w:numId="22">
    <w:abstractNumId w:val="10"/>
  </w:num>
  <w:num w:numId="23">
    <w:abstractNumId w:val="18"/>
  </w:num>
  <w:num w:numId="24">
    <w:abstractNumId w:val="2"/>
  </w:num>
  <w:num w:numId="25">
    <w:abstractNumId w:val="26"/>
  </w:num>
  <w:num w:numId="26">
    <w:abstractNumId w:val="7"/>
  </w:num>
  <w:num w:numId="27">
    <w:abstractNumId w:val="14"/>
  </w:num>
  <w:num w:numId="28">
    <w:abstractNumId w:val="19"/>
  </w:num>
  <w:num w:numId="29">
    <w:abstractNumId w:val="24"/>
  </w:num>
  <w:num w:numId="30">
    <w:abstractNumId w:val="11"/>
  </w:num>
  <w:num w:numId="31">
    <w:abstractNumId w:val="35"/>
  </w:num>
  <w:num w:numId="32">
    <w:abstractNumId w:val="25"/>
  </w:num>
  <w:num w:numId="33">
    <w:abstractNumId w:val="31"/>
  </w:num>
  <w:num w:numId="34">
    <w:abstractNumId w:val="4"/>
  </w:num>
  <w:num w:numId="35">
    <w:abstractNumId w:val="13"/>
  </w:num>
  <w:num w:numId="36">
    <w:abstractNumId w:val="28"/>
  </w:num>
  <w:num w:numId="37">
    <w:abstractNumId w:val="30"/>
  </w:num>
  <w:num w:numId="38">
    <w:abstractNumId w:val="23"/>
  </w:num>
  <w:num w:numId="39">
    <w:abstractNumId w:val="32"/>
  </w:num>
  <w:num w:numId="40">
    <w:abstractNumId w:val="1"/>
  </w:num>
  <w:num w:numId="41">
    <w:abstractNumId w:val="22"/>
  </w:num>
  <w:num w:numId="4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mirrorMargins/>
  <w:bordersDoNotSurroundHeader/>
  <w:bordersDoNotSurroundFooter/>
  <w:hideSpellingErrors/>
  <w:hideGrammaticalErrors/>
  <w:proofState w:spelling="clean" w:grammar="clean"/>
  <w:defaultTabStop w:val="480"/>
  <w:evenAndOddHeaders/>
  <w:displayHorizontalDrawingGridEvery w:val="0"/>
  <w:displayVerticalDrawingGridEvery w:val="2"/>
  <w:characterSpacingControl w:val="compressPunctuation"/>
  <w:hdrShapeDefaults>
    <o:shapedefaults v:ext="edit" spidmax="3891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0C15"/>
    <w:rsid w:val="00001E4B"/>
    <w:rsid w:val="0000669C"/>
    <w:rsid w:val="00010ACF"/>
    <w:rsid w:val="00010AFB"/>
    <w:rsid w:val="00012DEB"/>
    <w:rsid w:val="00015016"/>
    <w:rsid w:val="00016580"/>
    <w:rsid w:val="00017460"/>
    <w:rsid w:val="0002032B"/>
    <w:rsid w:val="000217A5"/>
    <w:rsid w:val="00023121"/>
    <w:rsid w:val="000231F0"/>
    <w:rsid w:val="00023821"/>
    <w:rsid w:val="00023B50"/>
    <w:rsid w:val="00024366"/>
    <w:rsid w:val="00025E8C"/>
    <w:rsid w:val="0003173E"/>
    <w:rsid w:val="0003194C"/>
    <w:rsid w:val="00032184"/>
    <w:rsid w:val="00034729"/>
    <w:rsid w:val="00037F5E"/>
    <w:rsid w:val="000404C8"/>
    <w:rsid w:val="000422E0"/>
    <w:rsid w:val="00043037"/>
    <w:rsid w:val="00045755"/>
    <w:rsid w:val="00045B59"/>
    <w:rsid w:val="00046CAA"/>
    <w:rsid w:val="000500DD"/>
    <w:rsid w:val="000526E0"/>
    <w:rsid w:val="000539F9"/>
    <w:rsid w:val="0005400C"/>
    <w:rsid w:val="0005457A"/>
    <w:rsid w:val="0005545C"/>
    <w:rsid w:val="0005578D"/>
    <w:rsid w:val="00055DD3"/>
    <w:rsid w:val="0005728B"/>
    <w:rsid w:val="00060E0B"/>
    <w:rsid w:val="00061302"/>
    <w:rsid w:val="00062CF6"/>
    <w:rsid w:val="000645C0"/>
    <w:rsid w:val="000653A9"/>
    <w:rsid w:val="0006613C"/>
    <w:rsid w:val="00066D5E"/>
    <w:rsid w:val="00067D4D"/>
    <w:rsid w:val="000715BB"/>
    <w:rsid w:val="000738AC"/>
    <w:rsid w:val="00076D5B"/>
    <w:rsid w:val="000776EE"/>
    <w:rsid w:val="0008022D"/>
    <w:rsid w:val="00082E90"/>
    <w:rsid w:val="000832CB"/>
    <w:rsid w:val="000854DC"/>
    <w:rsid w:val="00086DC1"/>
    <w:rsid w:val="00087784"/>
    <w:rsid w:val="000A0270"/>
    <w:rsid w:val="000A08A2"/>
    <w:rsid w:val="000A0E22"/>
    <w:rsid w:val="000A1A14"/>
    <w:rsid w:val="000A3F4E"/>
    <w:rsid w:val="000A5717"/>
    <w:rsid w:val="000A7611"/>
    <w:rsid w:val="000B1438"/>
    <w:rsid w:val="000B4C7D"/>
    <w:rsid w:val="000B6E11"/>
    <w:rsid w:val="000B6E53"/>
    <w:rsid w:val="000B74DF"/>
    <w:rsid w:val="000B76D7"/>
    <w:rsid w:val="000C1837"/>
    <w:rsid w:val="000C1857"/>
    <w:rsid w:val="000C490D"/>
    <w:rsid w:val="000C4C29"/>
    <w:rsid w:val="000D6C08"/>
    <w:rsid w:val="000E0822"/>
    <w:rsid w:val="000E3F25"/>
    <w:rsid w:val="000E3F45"/>
    <w:rsid w:val="000E4E99"/>
    <w:rsid w:val="000E6863"/>
    <w:rsid w:val="000F10A6"/>
    <w:rsid w:val="000F51E0"/>
    <w:rsid w:val="000F6CA2"/>
    <w:rsid w:val="00106745"/>
    <w:rsid w:val="00106DB7"/>
    <w:rsid w:val="001103D3"/>
    <w:rsid w:val="00111CD6"/>
    <w:rsid w:val="00113ACD"/>
    <w:rsid w:val="0011436C"/>
    <w:rsid w:val="001171B7"/>
    <w:rsid w:val="0012445C"/>
    <w:rsid w:val="00127BD9"/>
    <w:rsid w:val="00130A3A"/>
    <w:rsid w:val="00131F98"/>
    <w:rsid w:val="00132440"/>
    <w:rsid w:val="00132818"/>
    <w:rsid w:val="001334C7"/>
    <w:rsid w:val="00133F4C"/>
    <w:rsid w:val="00134E8A"/>
    <w:rsid w:val="001357DA"/>
    <w:rsid w:val="0013652D"/>
    <w:rsid w:val="001430DA"/>
    <w:rsid w:val="0014541C"/>
    <w:rsid w:val="0014550D"/>
    <w:rsid w:val="00150FF2"/>
    <w:rsid w:val="00153492"/>
    <w:rsid w:val="00153B57"/>
    <w:rsid w:val="001545DC"/>
    <w:rsid w:val="00154E24"/>
    <w:rsid w:val="0016072E"/>
    <w:rsid w:val="00160A8E"/>
    <w:rsid w:val="001613F0"/>
    <w:rsid w:val="0016153A"/>
    <w:rsid w:val="00161DA4"/>
    <w:rsid w:val="0016229C"/>
    <w:rsid w:val="00162464"/>
    <w:rsid w:val="00163CE0"/>
    <w:rsid w:val="00164A20"/>
    <w:rsid w:val="00164DBD"/>
    <w:rsid w:val="00166067"/>
    <w:rsid w:val="00170FDA"/>
    <w:rsid w:val="0017194E"/>
    <w:rsid w:val="0017257C"/>
    <w:rsid w:val="00172CEC"/>
    <w:rsid w:val="00175425"/>
    <w:rsid w:val="001758B4"/>
    <w:rsid w:val="00176BF5"/>
    <w:rsid w:val="00176FD6"/>
    <w:rsid w:val="00184270"/>
    <w:rsid w:val="0018438C"/>
    <w:rsid w:val="0018511D"/>
    <w:rsid w:val="0018513C"/>
    <w:rsid w:val="00185EEE"/>
    <w:rsid w:val="001917DB"/>
    <w:rsid w:val="00191BC6"/>
    <w:rsid w:val="00196B4A"/>
    <w:rsid w:val="001A0799"/>
    <w:rsid w:val="001A2C17"/>
    <w:rsid w:val="001A43B0"/>
    <w:rsid w:val="001A4A28"/>
    <w:rsid w:val="001A4D78"/>
    <w:rsid w:val="001A642D"/>
    <w:rsid w:val="001A6D0A"/>
    <w:rsid w:val="001A6F39"/>
    <w:rsid w:val="001B01B0"/>
    <w:rsid w:val="001B1E3C"/>
    <w:rsid w:val="001B3116"/>
    <w:rsid w:val="001B661F"/>
    <w:rsid w:val="001B6DFF"/>
    <w:rsid w:val="001C1C0B"/>
    <w:rsid w:val="001C47EC"/>
    <w:rsid w:val="001C4B9F"/>
    <w:rsid w:val="001C51AA"/>
    <w:rsid w:val="001D29D3"/>
    <w:rsid w:val="001D2AC8"/>
    <w:rsid w:val="001D3D49"/>
    <w:rsid w:val="001D469F"/>
    <w:rsid w:val="001E370A"/>
    <w:rsid w:val="001E3967"/>
    <w:rsid w:val="001E5481"/>
    <w:rsid w:val="001F607D"/>
    <w:rsid w:val="001F60CA"/>
    <w:rsid w:val="001F6B2C"/>
    <w:rsid w:val="001F79CD"/>
    <w:rsid w:val="0020019E"/>
    <w:rsid w:val="00200DCC"/>
    <w:rsid w:val="00202D8D"/>
    <w:rsid w:val="00204CEA"/>
    <w:rsid w:val="00205ACB"/>
    <w:rsid w:val="00211CE3"/>
    <w:rsid w:val="002123DE"/>
    <w:rsid w:val="00213A31"/>
    <w:rsid w:val="00214217"/>
    <w:rsid w:val="00215F86"/>
    <w:rsid w:val="0021733C"/>
    <w:rsid w:val="0022023A"/>
    <w:rsid w:val="00222FF9"/>
    <w:rsid w:val="002235B0"/>
    <w:rsid w:val="00224FF0"/>
    <w:rsid w:val="002262AE"/>
    <w:rsid w:val="00227BD2"/>
    <w:rsid w:val="0023124E"/>
    <w:rsid w:val="00232023"/>
    <w:rsid w:val="002345B0"/>
    <w:rsid w:val="00234636"/>
    <w:rsid w:val="00237551"/>
    <w:rsid w:val="002401DA"/>
    <w:rsid w:val="00240CF9"/>
    <w:rsid w:val="00243881"/>
    <w:rsid w:val="00244B12"/>
    <w:rsid w:val="00245276"/>
    <w:rsid w:val="002469FA"/>
    <w:rsid w:val="00250DAA"/>
    <w:rsid w:val="00261FCB"/>
    <w:rsid w:val="00263453"/>
    <w:rsid w:val="00263AFF"/>
    <w:rsid w:val="00263DEC"/>
    <w:rsid w:val="00271FF1"/>
    <w:rsid w:val="00274626"/>
    <w:rsid w:val="0027530C"/>
    <w:rsid w:val="002762C0"/>
    <w:rsid w:val="002801ED"/>
    <w:rsid w:val="002843A1"/>
    <w:rsid w:val="00285CAA"/>
    <w:rsid w:val="00292EF6"/>
    <w:rsid w:val="002945D4"/>
    <w:rsid w:val="00294EC2"/>
    <w:rsid w:val="00295FF1"/>
    <w:rsid w:val="0029756E"/>
    <w:rsid w:val="002A0BA0"/>
    <w:rsid w:val="002A2BD6"/>
    <w:rsid w:val="002A4D1E"/>
    <w:rsid w:val="002A6ED1"/>
    <w:rsid w:val="002A7A15"/>
    <w:rsid w:val="002B0C69"/>
    <w:rsid w:val="002B32DB"/>
    <w:rsid w:val="002C3965"/>
    <w:rsid w:val="002C4577"/>
    <w:rsid w:val="002D2DED"/>
    <w:rsid w:val="002D5F75"/>
    <w:rsid w:val="002D7350"/>
    <w:rsid w:val="002E0562"/>
    <w:rsid w:val="002E31A7"/>
    <w:rsid w:val="002E7322"/>
    <w:rsid w:val="002F0729"/>
    <w:rsid w:val="002F0C58"/>
    <w:rsid w:val="002F4CF1"/>
    <w:rsid w:val="002F5773"/>
    <w:rsid w:val="002F655D"/>
    <w:rsid w:val="002F6FD6"/>
    <w:rsid w:val="002F6FE3"/>
    <w:rsid w:val="002F723A"/>
    <w:rsid w:val="0030026F"/>
    <w:rsid w:val="00300ED6"/>
    <w:rsid w:val="00302B1B"/>
    <w:rsid w:val="003060F8"/>
    <w:rsid w:val="00306EAE"/>
    <w:rsid w:val="003077DD"/>
    <w:rsid w:val="00307C53"/>
    <w:rsid w:val="00310D0F"/>
    <w:rsid w:val="00313D92"/>
    <w:rsid w:val="00314635"/>
    <w:rsid w:val="00315E84"/>
    <w:rsid w:val="003217A3"/>
    <w:rsid w:val="00323817"/>
    <w:rsid w:val="00324A48"/>
    <w:rsid w:val="00325772"/>
    <w:rsid w:val="00326B6F"/>
    <w:rsid w:val="0033093A"/>
    <w:rsid w:val="00336735"/>
    <w:rsid w:val="003374B1"/>
    <w:rsid w:val="003423D1"/>
    <w:rsid w:val="0034278D"/>
    <w:rsid w:val="00343A55"/>
    <w:rsid w:val="00343BE6"/>
    <w:rsid w:val="003518EE"/>
    <w:rsid w:val="00352E24"/>
    <w:rsid w:val="0035618B"/>
    <w:rsid w:val="003566B0"/>
    <w:rsid w:val="00357097"/>
    <w:rsid w:val="00364743"/>
    <w:rsid w:val="00365115"/>
    <w:rsid w:val="00365895"/>
    <w:rsid w:val="0037214A"/>
    <w:rsid w:val="003731AC"/>
    <w:rsid w:val="003744C4"/>
    <w:rsid w:val="00374C1D"/>
    <w:rsid w:val="00375F2B"/>
    <w:rsid w:val="00382203"/>
    <w:rsid w:val="00382D29"/>
    <w:rsid w:val="0038465C"/>
    <w:rsid w:val="0038474E"/>
    <w:rsid w:val="003849C2"/>
    <w:rsid w:val="00384A1F"/>
    <w:rsid w:val="00385965"/>
    <w:rsid w:val="00387BDB"/>
    <w:rsid w:val="00387CD1"/>
    <w:rsid w:val="003918A0"/>
    <w:rsid w:val="00391B4C"/>
    <w:rsid w:val="003923C2"/>
    <w:rsid w:val="00394556"/>
    <w:rsid w:val="00397E7C"/>
    <w:rsid w:val="003A3165"/>
    <w:rsid w:val="003A37E9"/>
    <w:rsid w:val="003A3E5A"/>
    <w:rsid w:val="003A582D"/>
    <w:rsid w:val="003B18E2"/>
    <w:rsid w:val="003B3082"/>
    <w:rsid w:val="003B4CBD"/>
    <w:rsid w:val="003B5753"/>
    <w:rsid w:val="003B66E5"/>
    <w:rsid w:val="003B68B7"/>
    <w:rsid w:val="003B77D0"/>
    <w:rsid w:val="003B78AB"/>
    <w:rsid w:val="003C03C2"/>
    <w:rsid w:val="003C059E"/>
    <w:rsid w:val="003C41F7"/>
    <w:rsid w:val="003C53FE"/>
    <w:rsid w:val="003C6578"/>
    <w:rsid w:val="003C6918"/>
    <w:rsid w:val="003D0200"/>
    <w:rsid w:val="003D07C8"/>
    <w:rsid w:val="003D1A34"/>
    <w:rsid w:val="003E1813"/>
    <w:rsid w:val="003E1851"/>
    <w:rsid w:val="003E1D02"/>
    <w:rsid w:val="003E344F"/>
    <w:rsid w:val="003E37F7"/>
    <w:rsid w:val="003E4263"/>
    <w:rsid w:val="003E54F2"/>
    <w:rsid w:val="003E5A40"/>
    <w:rsid w:val="003E73C3"/>
    <w:rsid w:val="003F038E"/>
    <w:rsid w:val="003F20A8"/>
    <w:rsid w:val="003F2EE6"/>
    <w:rsid w:val="003F5613"/>
    <w:rsid w:val="00402006"/>
    <w:rsid w:val="00403461"/>
    <w:rsid w:val="0040355F"/>
    <w:rsid w:val="00405D87"/>
    <w:rsid w:val="00406878"/>
    <w:rsid w:val="00411B9C"/>
    <w:rsid w:val="0041673E"/>
    <w:rsid w:val="00422442"/>
    <w:rsid w:val="004228D7"/>
    <w:rsid w:val="00423C7C"/>
    <w:rsid w:val="0042438E"/>
    <w:rsid w:val="004262D2"/>
    <w:rsid w:val="00426552"/>
    <w:rsid w:val="00427E47"/>
    <w:rsid w:val="00427EF7"/>
    <w:rsid w:val="00432984"/>
    <w:rsid w:val="004347AB"/>
    <w:rsid w:val="004354A2"/>
    <w:rsid w:val="00435D7E"/>
    <w:rsid w:val="00436738"/>
    <w:rsid w:val="0043700D"/>
    <w:rsid w:val="00442304"/>
    <w:rsid w:val="0044363E"/>
    <w:rsid w:val="004445DE"/>
    <w:rsid w:val="00445017"/>
    <w:rsid w:val="00446B55"/>
    <w:rsid w:val="004509BD"/>
    <w:rsid w:val="00452635"/>
    <w:rsid w:val="004535E7"/>
    <w:rsid w:val="004540DD"/>
    <w:rsid w:val="004551F8"/>
    <w:rsid w:val="00456D3A"/>
    <w:rsid w:val="00461B2A"/>
    <w:rsid w:val="00463899"/>
    <w:rsid w:val="00464B21"/>
    <w:rsid w:val="004654B1"/>
    <w:rsid w:val="00470058"/>
    <w:rsid w:val="00471629"/>
    <w:rsid w:val="00473DFF"/>
    <w:rsid w:val="004762B9"/>
    <w:rsid w:val="0047647C"/>
    <w:rsid w:val="004777D2"/>
    <w:rsid w:val="0048033B"/>
    <w:rsid w:val="00481F36"/>
    <w:rsid w:val="004870BC"/>
    <w:rsid w:val="00487923"/>
    <w:rsid w:val="00487D96"/>
    <w:rsid w:val="00490115"/>
    <w:rsid w:val="0049029A"/>
    <w:rsid w:val="00491265"/>
    <w:rsid w:val="00495ED5"/>
    <w:rsid w:val="00496E74"/>
    <w:rsid w:val="00496E9E"/>
    <w:rsid w:val="00497593"/>
    <w:rsid w:val="004A0B9C"/>
    <w:rsid w:val="004A5D13"/>
    <w:rsid w:val="004A7458"/>
    <w:rsid w:val="004B0E9F"/>
    <w:rsid w:val="004B0EDC"/>
    <w:rsid w:val="004B22E5"/>
    <w:rsid w:val="004B480D"/>
    <w:rsid w:val="004B6214"/>
    <w:rsid w:val="004C1F46"/>
    <w:rsid w:val="004C263B"/>
    <w:rsid w:val="004C38E2"/>
    <w:rsid w:val="004D0EB7"/>
    <w:rsid w:val="004D1565"/>
    <w:rsid w:val="004D19E8"/>
    <w:rsid w:val="004D21C9"/>
    <w:rsid w:val="004E1C95"/>
    <w:rsid w:val="004E3C9F"/>
    <w:rsid w:val="004E4276"/>
    <w:rsid w:val="004E430B"/>
    <w:rsid w:val="004E57E6"/>
    <w:rsid w:val="004E6127"/>
    <w:rsid w:val="004E77ED"/>
    <w:rsid w:val="004E7B77"/>
    <w:rsid w:val="004E7EF3"/>
    <w:rsid w:val="004F0875"/>
    <w:rsid w:val="004F1C11"/>
    <w:rsid w:val="004F3186"/>
    <w:rsid w:val="004F354E"/>
    <w:rsid w:val="004F524B"/>
    <w:rsid w:val="004F5C86"/>
    <w:rsid w:val="004F6D52"/>
    <w:rsid w:val="004F7920"/>
    <w:rsid w:val="0050059F"/>
    <w:rsid w:val="005037B7"/>
    <w:rsid w:val="00503AFF"/>
    <w:rsid w:val="00513D64"/>
    <w:rsid w:val="00520386"/>
    <w:rsid w:val="00520C05"/>
    <w:rsid w:val="00520D58"/>
    <w:rsid w:val="00522022"/>
    <w:rsid w:val="00522329"/>
    <w:rsid w:val="005236F9"/>
    <w:rsid w:val="00526F3D"/>
    <w:rsid w:val="0053237A"/>
    <w:rsid w:val="0053250D"/>
    <w:rsid w:val="0053302E"/>
    <w:rsid w:val="00536D76"/>
    <w:rsid w:val="00537427"/>
    <w:rsid w:val="005405B6"/>
    <w:rsid w:val="005417EB"/>
    <w:rsid w:val="00544A45"/>
    <w:rsid w:val="00544F6E"/>
    <w:rsid w:val="00550659"/>
    <w:rsid w:val="00551DFD"/>
    <w:rsid w:val="0055221B"/>
    <w:rsid w:val="00552CAC"/>
    <w:rsid w:val="00553180"/>
    <w:rsid w:val="00554A80"/>
    <w:rsid w:val="00555849"/>
    <w:rsid w:val="00556236"/>
    <w:rsid w:val="0056173F"/>
    <w:rsid w:val="005661C7"/>
    <w:rsid w:val="005668F3"/>
    <w:rsid w:val="0057329F"/>
    <w:rsid w:val="00573DC3"/>
    <w:rsid w:val="00573E1E"/>
    <w:rsid w:val="005828B3"/>
    <w:rsid w:val="00586265"/>
    <w:rsid w:val="00587227"/>
    <w:rsid w:val="00590070"/>
    <w:rsid w:val="005901A7"/>
    <w:rsid w:val="00590E56"/>
    <w:rsid w:val="00592A10"/>
    <w:rsid w:val="00592FCC"/>
    <w:rsid w:val="00593F7F"/>
    <w:rsid w:val="00595036"/>
    <w:rsid w:val="005954A6"/>
    <w:rsid w:val="0059575F"/>
    <w:rsid w:val="005960F5"/>
    <w:rsid w:val="0059642C"/>
    <w:rsid w:val="00597420"/>
    <w:rsid w:val="00597BA9"/>
    <w:rsid w:val="005A14A4"/>
    <w:rsid w:val="005A4859"/>
    <w:rsid w:val="005A7C75"/>
    <w:rsid w:val="005B024E"/>
    <w:rsid w:val="005B2F30"/>
    <w:rsid w:val="005B6040"/>
    <w:rsid w:val="005B73B0"/>
    <w:rsid w:val="005C2FA5"/>
    <w:rsid w:val="005D009F"/>
    <w:rsid w:val="005D095B"/>
    <w:rsid w:val="005D1043"/>
    <w:rsid w:val="005D4C48"/>
    <w:rsid w:val="005D553A"/>
    <w:rsid w:val="005D646C"/>
    <w:rsid w:val="005D742F"/>
    <w:rsid w:val="005E1B61"/>
    <w:rsid w:val="005E575C"/>
    <w:rsid w:val="005E5CAA"/>
    <w:rsid w:val="005E7522"/>
    <w:rsid w:val="005F0305"/>
    <w:rsid w:val="005F0451"/>
    <w:rsid w:val="005F1AB5"/>
    <w:rsid w:val="005F25C7"/>
    <w:rsid w:val="005F2B6B"/>
    <w:rsid w:val="005F399C"/>
    <w:rsid w:val="005F4A66"/>
    <w:rsid w:val="005F4B9E"/>
    <w:rsid w:val="005F51F3"/>
    <w:rsid w:val="005F740F"/>
    <w:rsid w:val="006005EB"/>
    <w:rsid w:val="00600DD6"/>
    <w:rsid w:val="00600F1E"/>
    <w:rsid w:val="00604143"/>
    <w:rsid w:val="00606D4C"/>
    <w:rsid w:val="0061217A"/>
    <w:rsid w:val="00615340"/>
    <w:rsid w:val="006168C6"/>
    <w:rsid w:val="0061791B"/>
    <w:rsid w:val="00625897"/>
    <w:rsid w:val="00631021"/>
    <w:rsid w:val="006327C8"/>
    <w:rsid w:val="00642FD0"/>
    <w:rsid w:val="0064514E"/>
    <w:rsid w:val="00647309"/>
    <w:rsid w:val="006501C5"/>
    <w:rsid w:val="00650993"/>
    <w:rsid w:val="00652A5F"/>
    <w:rsid w:val="00654CAD"/>
    <w:rsid w:val="006550CC"/>
    <w:rsid w:val="006578BA"/>
    <w:rsid w:val="00660AF8"/>
    <w:rsid w:val="00661162"/>
    <w:rsid w:val="00662682"/>
    <w:rsid w:val="006634C0"/>
    <w:rsid w:val="006664E9"/>
    <w:rsid w:val="006669F7"/>
    <w:rsid w:val="0066744A"/>
    <w:rsid w:val="0066757A"/>
    <w:rsid w:val="006723F8"/>
    <w:rsid w:val="00675019"/>
    <w:rsid w:val="00676BA0"/>
    <w:rsid w:val="00677044"/>
    <w:rsid w:val="00677678"/>
    <w:rsid w:val="0068272E"/>
    <w:rsid w:val="00682BF3"/>
    <w:rsid w:val="00683AB8"/>
    <w:rsid w:val="00687B3E"/>
    <w:rsid w:val="00691937"/>
    <w:rsid w:val="00691A90"/>
    <w:rsid w:val="00693785"/>
    <w:rsid w:val="006945A8"/>
    <w:rsid w:val="00694A07"/>
    <w:rsid w:val="00695349"/>
    <w:rsid w:val="0069656E"/>
    <w:rsid w:val="00696D0C"/>
    <w:rsid w:val="00697915"/>
    <w:rsid w:val="006A2555"/>
    <w:rsid w:val="006A2F2C"/>
    <w:rsid w:val="006A2F8D"/>
    <w:rsid w:val="006A3895"/>
    <w:rsid w:val="006A5358"/>
    <w:rsid w:val="006A6E44"/>
    <w:rsid w:val="006A7F0C"/>
    <w:rsid w:val="006B053A"/>
    <w:rsid w:val="006B1544"/>
    <w:rsid w:val="006B1A20"/>
    <w:rsid w:val="006B29E8"/>
    <w:rsid w:val="006B59C3"/>
    <w:rsid w:val="006B6995"/>
    <w:rsid w:val="006C0C15"/>
    <w:rsid w:val="006C2B5B"/>
    <w:rsid w:val="006C399C"/>
    <w:rsid w:val="006C3A02"/>
    <w:rsid w:val="006C3D78"/>
    <w:rsid w:val="006C4AF5"/>
    <w:rsid w:val="006C56E1"/>
    <w:rsid w:val="006D5524"/>
    <w:rsid w:val="006D5691"/>
    <w:rsid w:val="006D58A8"/>
    <w:rsid w:val="006D609A"/>
    <w:rsid w:val="006D73F5"/>
    <w:rsid w:val="006D759C"/>
    <w:rsid w:val="006E003D"/>
    <w:rsid w:val="006E471F"/>
    <w:rsid w:val="006E4897"/>
    <w:rsid w:val="006E4F78"/>
    <w:rsid w:val="006E5319"/>
    <w:rsid w:val="006E5D2E"/>
    <w:rsid w:val="006E5FA0"/>
    <w:rsid w:val="006F0826"/>
    <w:rsid w:val="006F1C53"/>
    <w:rsid w:val="006F6417"/>
    <w:rsid w:val="006F69C9"/>
    <w:rsid w:val="00700A1C"/>
    <w:rsid w:val="007035B2"/>
    <w:rsid w:val="00703DB0"/>
    <w:rsid w:val="007057C7"/>
    <w:rsid w:val="00705963"/>
    <w:rsid w:val="00711183"/>
    <w:rsid w:val="007122EB"/>
    <w:rsid w:val="007127A4"/>
    <w:rsid w:val="00713069"/>
    <w:rsid w:val="00713908"/>
    <w:rsid w:val="00714E08"/>
    <w:rsid w:val="00716494"/>
    <w:rsid w:val="0071699B"/>
    <w:rsid w:val="007173E3"/>
    <w:rsid w:val="0072102A"/>
    <w:rsid w:val="007214CC"/>
    <w:rsid w:val="00724513"/>
    <w:rsid w:val="0073099F"/>
    <w:rsid w:val="00731140"/>
    <w:rsid w:val="00733C71"/>
    <w:rsid w:val="00734A65"/>
    <w:rsid w:val="007351A0"/>
    <w:rsid w:val="0073532B"/>
    <w:rsid w:val="00735E56"/>
    <w:rsid w:val="00742576"/>
    <w:rsid w:val="00742ABE"/>
    <w:rsid w:val="007451EA"/>
    <w:rsid w:val="00745448"/>
    <w:rsid w:val="00745AAA"/>
    <w:rsid w:val="0074646F"/>
    <w:rsid w:val="00751614"/>
    <w:rsid w:val="00752BB3"/>
    <w:rsid w:val="00756948"/>
    <w:rsid w:val="00762070"/>
    <w:rsid w:val="007634F6"/>
    <w:rsid w:val="00763CC4"/>
    <w:rsid w:val="0076429B"/>
    <w:rsid w:val="00764697"/>
    <w:rsid w:val="00764701"/>
    <w:rsid w:val="00766A48"/>
    <w:rsid w:val="007702E4"/>
    <w:rsid w:val="007732A0"/>
    <w:rsid w:val="0077491B"/>
    <w:rsid w:val="00774B19"/>
    <w:rsid w:val="00776AC6"/>
    <w:rsid w:val="007832DE"/>
    <w:rsid w:val="00784352"/>
    <w:rsid w:val="00785108"/>
    <w:rsid w:val="00786B8E"/>
    <w:rsid w:val="007922E2"/>
    <w:rsid w:val="00795725"/>
    <w:rsid w:val="007960C0"/>
    <w:rsid w:val="007961F0"/>
    <w:rsid w:val="00797ADC"/>
    <w:rsid w:val="007A0EFD"/>
    <w:rsid w:val="007A14CA"/>
    <w:rsid w:val="007A4556"/>
    <w:rsid w:val="007A5F33"/>
    <w:rsid w:val="007A6E5F"/>
    <w:rsid w:val="007B08B5"/>
    <w:rsid w:val="007B1694"/>
    <w:rsid w:val="007B1B13"/>
    <w:rsid w:val="007B1FB7"/>
    <w:rsid w:val="007B44C4"/>
    <w:rsid w:val="007B55DF"/>
    <w:rsid w:val="007B5AF7"/>
    <w:rsid w:val="007B67DC"/>
    <w:rsid w:val="007B70B7"/>
    <w:rsid w:val="007C0007"/>
    <w:rsid w:val="007C0816"/>
    <w:rsid w:val="007C1E0E"/>
    <w:rsid w:val="007C74B2"/>
    <w:rsid w:val="007C7A00"/>
    <w:rsid w:val="007D064F"/>
    <w:rsid w:val="007D1E59"/>
    <w:rsid w:val="007D29EA"/>
    <w:rsid w:val="007D5E21"/>
    <w:rsid w:val="007D70E9"/>
    <w:rsid w:val="007E1C35"/>
    <w:rsid w:val="007E289E"/>
    <w:rsid w:val="007E5A07"/>
    <w:rsid w:val="007F0BFA"/>
    <w:rsid w:val="007F0E91"/>
    <w:rsid w:val="007F13AA"/>
    <w:rsid w:val="007F38D7"/>
    <w:rsid w:val="0080164A"/>
    <w:rsid w:val="008027D6"/>
    <w:rsid w:val="00806885"/>
    <w:rsid w:val="00807D43"/>
    <w:rsid w:val="008116E3"/>
    <w:rsid w:val="00813022"/>
    <w:rsid w:val="0081324C"/>
    <w:rsid w:val="00815553"/>
    <w:rsid w:val="00822705"/>
    <w:rsid w:val="008240E0"/>
    <w:rsid w:val="00824CD6"/>
    <w:rsid w:val="00826ADA"/>
    <w:rsid w:val="0082777F"/>
    <w:rsid w:val="00833179"/>
    <w:rsid w:val="00833C4D"/>
    <w:rsid w:val="00835BCD"/>
    <w:rsid w:val="00836F45"/>
    <w:rsid w:val="0084374D"/>
    <w:rsid w:val="00843A6D"/>
    <w:rsid w:val="008461E4"/>
    <w:rsid w:val="008466B3"/>
    <w:rsid w:val="00847A3A"/>
    <w:rsid w:val="008563FE"/>
    <w:rsid w:val="00856905"/>
    <w:rsid w:val="00862969"/>
    <w:rsid w:val="008645C2"/>
    <w:rsid w:val="00864BE6"/>
    <w:rsid w:val="00864DB7"/>
    <w:rsid w:val="00865838"/>
    <w:rsid w:val="00865C44"/>
    <w:rsid w:val="00866AC7"/>
    <w:rsid w:val="00870502"/>
    <w:rsid w:val="00872935"/>
    <w:rsid w:val="00874B71"/>
    <w:rsid w:val="008774F9"/>
    <w:rsid w:val="008865CC"/>
    <w:rsid w:val="0089089B"/>
    <w:rsid w:val="008925EB"/>
    <w:rsid w:val="00894643"/>
    <w:rsid w:val="0089576E"/>
    <w:rsid w:val="008977C7"/>
    <w:rsid w:val="008A000F"/>
    <w:rsid w:val="008A1DEB"/>
    <w:rsid w:val="008A3435"/>
    <w:rsid w:val="008A3DC7"/>
    <w:rsid w:val="008A5B80"/>
    <w:rsid w:val="008A6A0C"/>
    <w:rsid w:val="008B0664"/>
    <w:rsid w:val="008B0A24"/>
    <w:rsid w:val="008B173B"/>
    <w:rsid w:val="008B1FB5"/>
    <w:rsid w:val="008B3E45"/>
    <w:rsid w:val="008B44D6"/>
    <w:rsid w:val="008B567C"/>
    <w:rsid w:val="008B651A"/>
    <w:rsid w:val="008B713D"/>
    <w:rsid w:val="008B7553"/>
    <w:rsid w:val="008C0BA5"/>
    <w:rsid w:val="008C15E1"/>
    <w:rsid w:val="008C2471"/>
    <w:rsid w:val="008C5008"/>
    <w:rsid w:val="008C5D34"/>
    <w:rsid w:val="008C610B"/>
    <w:rsid w:val="008C6198"/>
    <w:rsid w:val="008C7525"/>
    <w:rsid w:val="008D23C8"/>
    <w:rsid w:val="008D24A4"/>
    <w:rsid w:val="008D351E"/>
    <w:rsid w:val="008D40F4"/>
    <w:rsid w:val="008E1E74"/>
    <w:rsid w:val="008E1E9B"/>
    <w:rsid w:val="008E3880"/>
    <w:rsid w:val="008E3AC7"/>
    <w:rsid w:val="008F1CDD"/>
    <w:rsid w:val="008F25A6"/>
    <w:rsid w:val="008F3F5F"/>
    <w:rsid w:val="008F421B"/>
    <w:rsid w:val="008F4701"/>
    <w:rsid w:val="008F4C9B"/>
    <w:rsid w:val="008F515A"/>
    <w:rsid w:val="00902B73"/>
    <w:rsid w:val="00903D2F"/>
    <w:rsid w:val="00904C52"/>
    <w:rsid w:val="00906EF5"/>
    <w:rsid w:val="009073B3"/>
    <w:rsid w:val="009104E4"/>
    <w:rsid w:val="00910BED"/>
    <w:rsid w:val="009112A4"/>
    <w:rsid w:val="0091256B"/>
    <w:rsid w:val="0091609B"/>
    <w:rsid w:val="0091645F"/>
    <w:rsid w:val="0091750D"/>
    <w:rsid w:val="0092103B"/>
    <w:rsid w:val="00922E76"/>
    <w:rsid w:val="00925E63"/>
    <w:rsid w:val="009269EB"/>
    <w:rsid w:val="00930F3D"/>
    <w:rsid w:val="00931375"/>
    <w:rsid w:val="009317DC"/>
    <w:rsid w:val="00931CCD"/>
    <w:rsid w:val="00931D9D"/>
    <w:rsid w:val="00931E37"/>
    <w:rsid w:val="00933116"/>
    <w:rsid w:val="00934073"/>
    <w:rsid w:val="00934213"/>
    <w:rsid w:val="00951A63"/>
    <w:rsid w:val="00952613"/>
    <w:rsid w:val="00952955"/>
    <w:rsid w:val="00952B4A"/>
    <w:rsid w:val="00952D58"/>
    <w:rsid w:val="009542B1"/>
    <w:rsid w:val="00957AD9"/>
    <w:rsid w:val="00962806"/>
    <w:rsid w:val="00962A5E"/>
    <w:rsid w:val="00964CC9"/>
    <w:rsid w:val="00966326"/>
    <w:rsid w:val="00966E99"/>
    <w:rsid w:val="009706AA"/>
    <w:rsid w:val="009707F2"/>
    <w:rsid w:val="009713AF"/>
    <w:rsid w:val="0097274D"/>
    <w:rsid w:val="00972787"/>
    <w:rsid w:val="0097331E"/>
    <w:rsid w:val="00973853"/>
    <w:rsid w:val="00973A01"/>
    <w:rsid w:val="00977838"/>
    <w:rsid w:val="00983879"/>
    <w:rsid w:val="009900E9"/>
    <w:rsid w:val="00990380"/>
    <w:rsid w:val="00991648"/>
    <w:rsid w:val="00994109"/>
    <w:rsid w:val="009972A1"/>
    <w:rsid w:val="009A0016"/>
    <w:rsid w:val="009A0267"/>
    <w:rsid w:val="009A11B5"/>
    <w:rsid w:val="009A1215"/>
    <w:rsid w:val="009A332C"/>
    <w:rsid w:val="009A363E"/>
    <w:rsid w:val="009A4071"/>
    <w:rsid w:val="009A5C88"/>
    <w:rsid w:val="009B0211"/>
    <w:rsid w:val="009B46E9"/>
    <w:rsid w:val="009B6B75"/>
    <w:rsid w:val="009B77D8"/>
    <w:rsid w:val="009B7C5F"/>
    <w:rsid w:val="009C26CB"/>
    <w:rsid w:val="009C2F4E"/>
    <w:rsid w:val="009C3257"/>
    <w:rsid w:val="009C4E03"/>
    <w:rsid w:val="009C753A"/>
    <w:rsid w:val="009C7D8E"/>
    <w:rsid w:val="009D0DEC"/>
    <w:rsid w:val="009D0DFF"/>
    <w:rsid w:val="009D14AB"/>
    <w:rsid w:val="009D154C"/>
    <w:rsid w:val="009D1D55"/>
    <w:rsid w:val="009D3238"/>
    <w:rsid w:val="009D6409"/>
    <w:rsid w:val="009E13B2"/>
    <w:rsid w:val="009E2187"/>
    <w:rsid w:val="009E2B4F"/>
    <w:rsid w:val="009E385C"/>
    <w:rsid w:val="009E3F78"/>
    <w:rsid w:val="009E464C"/>
    <w:rsid w:val="009E7F38"/>
    <w:rsid w:val="009F2087"/>
    <w:rsid w:val="009F3C88"/>
    <w:rsid w:val="009F4050"/>
    <w:rsid w:val="009F5BB4"/>
    <w:rsid w:val="00A00D50"/>
    <w:rsid w:val="00A019A7"/>
    <w:rsid w:val="00A03FBC"/>
    <w:rsid w:val="00A06B8C"/>
    <w:rsid w:val="00A071DC"/>
    <w:rsid w:val="00A10788"/>
    <w:rsid w:val="00A10A82"/>
    <w:rsid w:val="00A10E9B"/>
    <w:rsid w:val="00A12A88"/>
    <w:rsid w:val="00A14D19"/>
    <w:rsid w:val="00A2386D"/>
    <w:rsid w:val="00A2648A"/>
    <w:rsid w:val="00A3419C"/>
    <w:rsid w:val="00A40219"/>
    <w:rsid w:val="00A40EA7"/>
    <w:rsid w:val="00A411C8"/>
    <w:rsid w:val="00A41E76"/>
    <w:rsid w:val="00A4243E"/>
    <w:rsid w:val="00A435F4"/>
    <w:rsid w:val="00A45D18"/>
    <w:rsid w:val="00A47543"/>
    <w:rsid w:val="00A47B3E"/>
    <w:rsid w:val="00A47D4E"/>
    <w:rsid w:val="00A47D83"/>
    <w:rsid w:val="00A5449A"/>
    <w:rsid w:val="00A558D7"/>
    <w:rsid w:val="00A565B4"/>
    <w:rsid w:val="00A57854"/>
    <w:rsid w:val="00A608F4"/>
    <w:rsid w:val="00A62C28"/>
    <w:rsid w:val="00A63929"/>
    <w:rsid w:val="00A66D4E"/>
    <w:rsid w:val="00A66E75"/>
    <w:rsid w:val="00A70A08"/>
    <w:rsid w:val="00A71B5B"/>
    <w:rsid w:val="00A75B4D"/>
    <w:rsid w:val="00A778C8"/>
    <w:rsid w:val="00A80A66"/>
    <w:rsid w:val="00A80E99"/>
    <w:rsid w:val="00A83B6C"/>
    <w:rsid w:val="00A84569"/>
    <w:rsid w:val="00A85180"/>
    <w:rsid w:val="00A858C7"/>
    <w:rsid w:val="00A8594A"/>
    <w:rsid w:val="00A87349"/>
    <w:rsid w:val="00A96669"/>
    <w:rsid w:val="00AA0D8B"/>
    <w:rsid w:val="00AA176E"/>
    <w:rsid w:val="00AA18D9"/>
    <w:rsid w:val="00AB270E"/>
    <w:rsid w:val="00AB4CF9"/>
    <w:rsid w:val="00AB5B4D"/>
    <w:rsid w:val="00AB6C18"/>
    <w:rsid w:val="00AC1ED7"/>
    <w:rsid w:val="00AC33AA"/>
    <w:rsid w:val="00AC6C73"/>
    <w:rsid w:val="00AD1316"/>
    <w:rsid w:val="00AD1524"/>
    <w:rsid w:val="00AD1E18"/>
    <w:rsid w:val="00AD27DB"/>
    <w:rsid w:val="00AD7A4F"/>
    <w:rsid w:val="00AE00FE"/>
    <w:rsid w:val="00AE147C"/>
    <w:rsid w:val="00AE192D"/>
    <w:rsid w:val="00AE7F6E"/>
    <w:rsid w:val="00AF066A"/>
    <w:rsid w:val="00AF0804"/>
    <w:rsid w:val="00AF1F62"/>
    <w:rsid w:val="00AF5AA2"/>
    <w:rsid w:val="00B01D29"/>
    <w:rsid w:val="00B0312D"/>
    <w:rsid w:val="00B04BF0"/>
    <w:rsid w:val="00B074AF"/>
    <w:rsid w:val="00B07622"/>
    <w:rsid w:val="00B117F5"/>
    <w:rsid w:val="00B12214"/>
    <w:rsid w:val="00B12532"/>
    <w:rsid w:val="00B1612D"/>
    <w:rsid w:val="00B16C88"/>
    <w:rsid w:val="00B205E3"/>
    <w:rsid w:val="00B22C9F"/>
    <w:rsid w:val="00B231D1"/>
    <w:rsid w:val="00B23387"/>
    <w:rsid w:val="00B240D0"/>
    <w:rsid w:val="00B2423B"/>
    <w:rsid w:val="00B27DC1"/>
    <w:rsid w:val="00B30A45"/>
    <w:rsid w:val="00B33DC9"/>
    <w:rsid w:val="00B406A4"/>
    <w:rsid w:val="00B40F0E"/>
    <w:rsid w:val="00B418C5"/>
    <w:rsid w:val="00B42480"/>
    <w:rsid w:val="00B455BB"/>
    <w:rsid w:val="00B4742E"/>
    <w:rsid w:val="00B474B8"/>
    <w:rsid w:val="00B543B5"/>
    <w:rsid w:val="00B55B8E"/>
    <w:rsid w:val="00B560D6"/>
    <w:rsid w:val="00B57B92"/>
    <w:rsid w:val="00B60E5B"/>
    <w:rsid w:val="00B619A0"/>
    <w:rsid w:val="00B66083"/>
    <w:rsid w:val="00B6651F"/>
    <w:rsid w:val="00B66D10"/>
    <w:rsid w:val="00B6725B"/>
    <w:rsid w:val="00B71182"/>
    <w:rsid w:val="00B747CC"/>
    <w:rsid w:val="00B75DA2"/>
    <w:rsid w:val="00B8091B"/>
    <w:rsid w:val="00B83FCB"/>
    <w:rsid w:val="00B9064D"/>
    <w:rsid w:val="00B926E9"/>
    <w:rsid w:val="00B92A88"/>
    <w:rsid w:val="00B93AC9"/>
    <w:rsid w:val="00B94306"/>
    <w:rsid w:val="00B97B1A"/>
    <w:rsid w:val="00B97F77"/>
    <w:rsid w:val="00BA0995"/>
    <w:rsid w:val="00BA1161"/>
    <w:rsid w:val="00BA2237"/>
    <w:rsid w:val="00BA7463"/>
    <w:rsid w:val="00BB017A"/>
    <w:rsid w:val="00BB1576"/>
    <w:rsid w:val="00BB6491"/>
    <w:rsid w:val="00BC0981"/>
    <w:rsid w:val="00BC0FCE"/>
    <w:rsid w:val="00BC171C"/>
    <w:rsid w:val="00BC1AE8"/>
    <w:rsid w:val="00BC3717"/>
    <w:rsid w:val="00BC3AD4"/>
    <w:rsid w:val="00BC5E37"/>
    <w:rsid w:val="00BC70CF"/>
    <w:rsid w:val="00BD0A61"/>
    <w:rsid w:val="00BD14DA"/>
    <w:rsid w:val="00BD1670"/>
    <w:rsid w:val="00BD2030"/>
    <w:rsid w:val="00BD3CC6"/>
    <w:rsid w:val="00BD541A"/>
    <w:rsid w:val="00BE00C5"/>
    <w:rsid w:val="00BE01A0"/>
    <w:rsid w:val="00BE1519"/>
    <w:rsid w:val="00BE292F"/>
    <w:rsid w:val="00BE30C9"/>
    <w:rsid w:val="00BE64A2"/>
    <w:rsid w:val="00BE6D46"/>
    <w:rsid w:val="00BE7C70"/>
    <w:rsid w:val="00BF1000"/>
    <w:rsid w:val="00BF3264"/>
    <w:rsid w:val="00BF3F16"/>
    <w:rsid w:val="00BF5309"/>
    <w:rsid w:val="00BF5666"/>
    <w:rsid w:val="00C0210B"/>
    <w:rsid w:val="00C042BD"/>
    <w:rsid w:val="00C072DE"/>
    <w:rsid w:val="00C10ECA"/>
    <w:rsid w:val="00C16DA5"/>
    <w:rsid w:val="00C16E11"/>
    <w:rsid w:val="00C21F53"/>
    <w:rsid w:val="00C254C1"/>
    <w:rsid w:val="00C25DC6"/>
    <w:rsid w:val="00C26D3E"/>
    <w:rsid w:val="00C276E1"/>
    <w:rsid w:val="00C32834"/>
    <w:rsid w:val="00C335C3"/>
    <w:rsid w:val="00C338AB"/>
    <w:rsid w:val="00C33BB3"/>
    <w:rsid w:val="00C34C24"/>
    <w:rsid w:val="00C35CDE"/>
    <w:rsid w:val="00C40A10"/>
    <w:rsid w:val="00C40CDE"/>
    <w:rsid w:val="00C430FB"/>
    <w:rsid w:val="00C45035"/>
    <w:rsid w:val="00C45490"/>
    <w:rsid w:val="00C56975"/>
    <w:rsid w:val="00C57C8D"/>
    <w:rsid w:val="00C6278F"/>
    <w:rsid w:val="00C63ED7"/>
    <w:rsid w:val="00C646BE"/>
    <w:rsid w:val="00C66BFE"/>
    <w:rsid w:val="00C716A0"/>
    <w:rsid w:val="00C716A4"/>
    <w:rsid w:val="00C73234"/>
    <w:rsid w:val="00C74081"/>
    <w:rsid w:val="00C80E58"/>
    <w:rsid w:val="00C83B92"/>
    <w:rsid w:val="00C858E0"/>
    <w:rsid w:val="00C91760"/>
    <w:rsid w:val="00C962A6"/>
    <w:rsid w:val="00C97A3D"/>
    <w:rsid w:val="00CA06DB"/>
    <w:rsid w:val="00CA111D"/>
    <w:rsid w:val="00CA1457"/>
    <w:rsid w:val="00CA1FAD"/>
    <w:rsid w:val="00CA2F82"/>
    <w:rsid w:val="00CA5CE7"/>
    <w:rsid w:val="00CB147A"/>
    <w:rsid w:val="00CB21F5"/>
    <w:rsid w:val="00CB5795"/>
    <w:rsid w:val="00CB5CD1"/>
    <w:rsid w:val="00CB7F03"/>
    <w:rsid w:val="00CC1CD5"/>
    <w:rsid w:val="00CC28D4"/>
    <w:rsid w:val="00CC3137"/>
    <w:rsid w:val="00CC5AFC"/>
    <w:rsid w:val="00CC62DD"/>
    <w:rsid w:val="00CC67BE"/>
    <w:rsid w:val="00CD0339"/>
    <w:rsid w:val="00CD168F"/>
    <w:rsid w:val="00CD1AC4"/>
    <w:rsid w:val="00CD6F9D"/>
    <w:rsid w:val="00CE0BF2"/>
    <w:rsid w:val="00CE13E2"/>
    <w:rsid w:val="00CE2B12"/>
    <w:rsid w:val="00CE2EFE"/>
    <w:rsid w:val="00CE3837"/>
    <w:rsid w:val="00CE4AFC"/>
    <w:rsid w:val="00CE4DB8"/>
    <w:rsid w:val="00CE633D"/>
    <w:rsid w:val="00CE672D"/>
    <w:rsid w:val="00CE6B24"/>
    <w:rsid w:val="00CF0317"/>
    <w:rsid w:val="00CF1B20"/>
    <w:rsid w:val="00CF4A72"/>
    <w:rsid w:val="00CF5354"/>
    <w:rsid w:val="00CF6EED"/>
    <w:rsid w:val="00CF6FB6"/>
    <w:rsid w:val="00CF7970"/>
    <w:rsid w:val="00D03DD1"/>
    <w:rsid w:val="00D07E83"/>
    <w:rsid w:val="00D105F9"/>
    <w:rsid w:val="00D11277"/>
    <w:rsid w:val="00D11B65"/>
    <w:rsid w:val="00D11E97"/>
    <w:rsid w:val="00D1544C"/>
    <w:rsid w:val="00D168FF"/>
    <w:rsid w:val="00D17CE7"/>
    <w:rsid w:val="00D20165"/>
    <w:rsid w:val="00D214F9"/>
    <w:rsid w:val="00D21763"/>
    <w:rsid w:val="00D22986"/>
    <w:rsid w:val="00D24AFD"/>
    <w:rsid w:val="00D24D3D"/>
    <w:rsid w:val="00D24EA8"/>
    <w:rsid w:val="00D32007"/>
    <w:rsid w:val="00D32570"/>
    <w:rsid w:val="00D3461B"/>
    <w:rsid w:val="00D34717"/>
    <w:rsid w:val="00D35228"/>
    <w:rsid w:val="00D35BBF"/>
    <w:rsid w:val="00D372F1"/>
    <w:rsid w:val="00D5096A"/>
    <w:rsid w:val="00D51423"/>
    <w:rsid w:val="00D537EA"/>
    <w:rsid w:val="00D54B42"/>
    <w:rsid w:val="00D55018"/>
    <w:rsid w:val="00D60636"/>
    <w:rsid w:val="00D72F81"/>
    <w:rsid w:val="00D73DBA"/>
    <w:rsid w:val="00D74004"/>
    <w:rsid w:val="00D74D81"/>
    <w:rsid w:val="00D7569E"/>
    <w:rsid w:val="00D75A34"/>
    <w:rsid w:val="00D76EFB"/>
    <w:rsid w:val="00D81BE0"/>
    <w:rsid w:val="00D83BA4"/>
    <w:rsid w:val="00D843E5"/>
    <w:rsid w:val="00D84AFC"/>
    <w:rsid w:val="00D91A04"/>
    <w:rsid w:val="00D930A0"/>
    <w:rsid w:val="00D935CC"/>
    <w:rsid w:val="00D96C8D"/>
    <w:rsid w:val="00DA1A1C"/>
    <w:rsid w:val="00DA4047"/>
    <w:rsid w:val="00DA45E7"/>
    <w:rsid w:val="00DA760F"/>
    <w:rsid w:val="00DA79C3"/>
    <w:rsid w:val="00DB011A"/>
    <w:rsid w:val="00DB07BF"/>
    <w:rsid w:val="00DB1C68"/>
    <w:rsid w:val="00DB2473"/>
    <w:rsid w:val="00DB24CB"/>
    <w:rsid w:val="00DB28B7"/>
    <w:rsid w:val="00DB69CF"/>
    <w:rsid w:val="00DC0A25"/>
    <w:rsid w:val="00DC0A8F"/>
    <w:rsid w:val="00DC126D"/>
    <w:rsid w:val="00DC170B"/>
    <w:rsid w:val="00DC1975"/>
    <w:rsid w:val="00DC1BE5"/>
    <w:rsid w:val="00DC2027"/>
    <w:rsid w:val="00DC34F2"/>
    <w:rsid w:val="00DC3EAD"/>
    <w:rsid w:val="00DC72A8"/>
    <w:rsid w:val="00DD0713"/>
    <w:rsid w:val="00DD1562"/>
    <w:rsid w:val="00DE01DB"/>
    <w:rsid w:val="00DE1CFA"/>
    <w:rsid w:val="00DE393C"/>
    <w:rsid w:val="00DE64FF"/>
    <w:rsid w:val="00DE78EB"/>
    <w:rsid w:val="00DF08FF"/>
    <w:rsid w:val="00DF1D49"/>
    <w:rsid w:val="00DF4839"/>
    <w:rsid w:val="00DF5F46"/>
    <w:rsid w:val="00DF7815"/>
    <w:rsid w:val="00E016A8"/>
    <w:rsid w:val="00E01DF9"/>
    <w:rsid w:val="00E02DD3"/>
    <w:rsid w:val="00E045D2"/>
    <w:rsid w:val="00E066BB"/>
    <w:rsid w:val="00E129CB"/>
    <w:rsid w:val="00E145B4"/>
    <w:rsid w:val="00E20C4B"/>
    <w:rsid w:val="00E21345"/>
    <w:rsid w:val="00E232C4"/>
    <w:rsid w:val="00E26193"/>
    <w:rsid w:val="00E355FB"/>
    <w:rsid w:val="00E36CCA"/>
    <w:rsid w:val="00E37C06"/>
    <w:rsid w:val="00E41CBE"/>
    <w:rsid w:val="00E42B11"/>
    <w:rsid w:val="00E4652D"/>
    <w:rsid w:val="00E47B10"/>
    <w:rsid w:val="00E5166A"/>
    <w:rsid w:val="00E55A96"/>
    <w:rsid w:val="00E55BB6"/>
    <w:rsid w:val="00E642A2"/>
    <w:rsid w:val="00E64891"/>
    <w:rsid w:val="00E70353"/>
    <w:rsid w:val="00E71CAA"/>
    <w:rsid w:val="00E72978"/>
    <w:rsid w:val="00E72BBA"/>
    <w:rsid w:val="00E8453C"/>
    <w:rsid w:val="00E85AC8"/>
    <w:rsid w:val="00E9737B"/>
    <w:rsid w:val="00E97663"/>
    <w:rsid w:val="00EA04BC"/>
    <w:rsid w:val="00EA4209"/>
    <w:rsid w:val="00EA5DCB"/>
    <w:rsid w:val="00EB3CDA"/>
    <w:rsid w:val="00EB43C2"/>
    <w:rsid w:val="00EB4F76"/>
    <w:rsid w:val="00EB5275"/>
    <w:rsid w:val="00EB63A8"/>
    <w:rsid w:val="00EB716F"/>
    <w:rsid w:val="00EC1C63"/>
    <w:rsid w:val="00EC3872"/>
    <w:rsid w:val="00EC3F80"/>
    <w:rsid w:val="00EC497B"/>
    <w:rsid w:val="00EC763B"/>
    <w:rsid w:val="00ED0425"/>
    <w:rsid w:val="00ED0EB2"/>
    <w:rsid w:val="00ED650B"/>
    <w:rsid w:val="00ED685D"/>
    <w:rsid w:val="00ED737C"/>
    <w:rsid w:val="00ED75C9"/>
    <w:rsid w:val="00EE0035"/>
    <w:rsid w:val="00EE113F"/>
    <w:rsid w:val="00EE1535"/>
    <w:rsid w:val="00EE26FB"/>
    <w:rsid w:val="00EE46CA"/>
    <w:rsid w:val="00EE4FC2"/>
    <w:rsid w:val="00EE504E"/>
    <w:rsid w:val="00EE6085"/>
    <w:rsid w:val="00EE697A"/>
    <w:rsid w:val="00EE6FAF"/>
    <w:rsid w:val="00EE76C7"/>
    <w:rsid w:val="00EE7738"/>
    <w:rsid w:val="00EF2330"/>
    <w:rsid w:val="00EF4411"/>
    <w:rsid w:val="00EF51A4"/>
    <w:rsid w:val="00EF79CC"/>
    <w:rsid w:val="00F002BC"/>
    <w:rsid w:val="00F01D09"/>
    <w:rsid w:val="00F0367E"/>
    <w:rsid w:val="00F05D26"/>
    <w:rsid w:val="00F07F8D"/>
    <w:rsid w:val="00F10683"/>
    <w:rsid w:val="00F12554"/>
    <w:rsid w:val="00F132E7"/>
    <w:rsid w:val="00F1456A"/>
    <w:rsid w:val="00F159FD"/>
    <w:rsid w:val="00F16845"/>
    <w:rsid w:val="00F16EA0"/>
    <w:rsid w:val="00F1753C"/>
    <w:rsid w:val="00F17DD1"/>
    <w:rsid w:val="00F20F2A"/>
    <w:rsid w:val="00F21446"/>
    <w:rsid w:val="00F21FCC"/>
    <w:rsid w:val="00F22656"/>
    <w:rsid w:val="00F227E4"/>
    <w:rsid w:val="00F241B6"/>
    <w:rsid w:val="00F305F8"/>
    <w:rsid w:val="00F31F92"/>
    <w:rsid w:val="00F328A0"/>
    <w:rsid w:val="00F32CAC"/>
    <w:rsid w:val="00F37407"/>
    <w:rsid w:val="00F406A4"/>
    <w:rsid w:val="00F410B1"/>
    <w:rsid w:val="00F4397C"/>
    <w:rsid w:val="00F43E66"/>
    <w:rsid w:val="00F445C1"/>
    <w:rsid w:val="00F45EB4"/>
    <w:rsid w:val="00F47A08"/>
    <w:rsid w:val="00F47E9A"/>
    <w:rsid w:val="00F50226"/>
    <w:rsid w:val="00F55C18"/>
    <w:rsid w:val="00F574C2"/>
    <w:rsid w:val="00F60121"/>
    <w:rsid w:val="00F623D4"/>
    <w:rsid w:val="00F64D77"/>
    <w:rsid w:val="00F66517"/>
    <w:rsid w:val="00F67ECA"/>
    <w:rsid w:val="00F71730"/>
    <w:rsid w:val="00F7284F"/>
    <w:rsid w:val="00F80F7B"/>
    <w:rsid w:val="00F811A0"/>
    <w:rsid w:val="00F82670"/>
    <w:rsid w:val="00F834BF"/>
    <w:rsid w:val="00F83707"/>
    <w:rsid w:val="00F848C0"/>
    <w:rsid w:val="00F84B9A"/>
    <w:rsid w:val="00F86326"/>
    <w:rsid w:val="00F86E8E"/>
    <w:rsid w:val="00F92F38"/>
    <w:rsid w:val="00F93878"/>
    <w:rsid w:val="00F957AC"/>
    <w:rsid w:val="00F97978"/>
    <w:rsid w:val="00FA0A75"/>
    <w:rsid w:val="00FA490D"/>
    <w:rsid w:val="00FA59DF"/>
    <w:rsid w:val="00FB1A25"/>
    <w:rsid w:val="00FB1A40"/>
    <w:rsid w:val="00FB22BF"/>
    <w:rsid w:val="00FB25CC"/>
    <w:rsid w:val="00FB2681"/>
    <w:rsid w:val="00FB6617"/>
    <w:rsid w:val="00FC1796"/>
    <w:rsid w:val="00FC448C"/>
    <w:rsid w:val="00FC5E25"/>
    <w:rsid w:val="00FD1508"/>
    <w:rsid w:val="00FD3789"/>
    <w:rsid w:val="00FD63E8"/>
    <w:rsid w:val="00FD7CB7"/>
    <w:rsid w:val="00FE3588"/>
    <w:rsid w:val="00FE4DCB"/>
    <w:rsid w:val="00FE7F93"/>
    <w:rsid w:val="00FF222C"/>
    <w:rsid w:val="00FF4330"/>
    <w:rsid w:val="00FF66C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435E636F"/>
  <w15:chartTrackingRefBased/>
  <w15:docId w15:val="{3CB634F6-2C6C-4ABB-858B-60BAF3D53E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487D96"/>
    <w:pPr>
      <w:widowControl w:val="0"/>
    </w:pPr>
  </w:style>
  <w:style w:type="paragraph" w:styleId="1">
    <w:name w:val="heading 1"/>
    <w:basedOn w:val="a0"/>
    <w:next w:val="a0"/>
    <w:link w:val="10"/>
    <w:qFormat/>
    <w:rsid w:val="00BD14DA"/>
    <w:pPr>
      <w:keepNext/>
      <w:spacing w:before="180" w:after="180" w:line="720" w:lineRule="auto"/>
      <w:outlineLvl w:val="0"/>
    </w:pPr>
    <w:rPr>
      <w:rFonts w:ascii="Cambria" w:eastAsia="新細明體" w:hAnsi="Cambria" w:cs="Times New Roman"/>
      <w:b/>
      <w:bCs/>
      <w:kern w:val="52"/>
      <w:sz w:val="52"/>
      <w:szCs w:val="52"/>
    </w:rPr>
  </w:style>
  <w:style w:type="paragraph" w:styleId="2">
    <w:name w:val="heading 2"/>
    <w:aliases w:val="節,節1,一,1.1節"/>
    <w:basedOn w:val="a0"/>
    <w:link w:val="20"/>
    <w:qFormat/>
    <w:rsid w:val="00BD14DA"/>
    <w:pPr>
      <w:numPr>
        <w:ilvl w:val="1"/>
        <w:numId w:val="4"/>
      </w:numPr>
      <w:jc w:val="both"/>
      <w:outlineLvl w:val="1"/>
    </w:pPr>
    <w:rPr>
      <w:rFonts w:ascii="標楷體" w:eastAsia="標楷體" w:hAnsi="Arial" w:cs="Times New Roman"/>
      <w:bCs/>
      <w:kern w:val="0"/>
      <w:sz w:val="32"/>
      <w:szCs w:val="48"/>
    </w:rPr>
  </w:style>
  <w:style w:type="paragraph" w:styleId="3">
    <w:name w:val="heading 3"/>
    <w:basedOn w:val="a0"/>
    <w:next w:val="a0"/>
    <w:link w:val="30"/>
    <w:unhideWhenUsed/>
    <w:qFormat/>
    <w:rsid w:val="00BD14DA"/>
    <w:pPr>
      <w:keepNext/>
      <w:spacing w:line="720" w:lineRule="auto"/>
      <w:outlineLvl w:val="2"/>
    </w:pPr>
    <w:rPr>
      <w:rFonts w:asciiTheme="majorHAnsi" w:eastAsiaTheme="majorEastAsia" w:hAnsiTheme="majorHAnsi" w:cstheme="majorBidi"/>
      <w:b/>
      <w:bCs/>
      <w:sz w:val="36"/>
      <w:szCs w:val="36"/>
    </w:rPr>
  </w:style>
  <w:style w:type="paragraph" w:styleId="40">
    <w:name w:val="heading 4"/>
    <w:basedOn w:val="a0"/>
    <w:next w:val="a0"/>
    <w:link w:val="41"/>
    <w:qFormat/>
    <w:rsid w:val="00BD14DA"/>
    <w:pPr>
      <w:keepNext/>
      <w:adjustRightInd w:val="0"/>
      <w:spacing w:line="720" w:lineRule="atLeast"/>
      <w:ind w:left="1700" w:hanging="425"/>
      <w:textAlignment w:val="baseline"/>
      <w:outlineLvl w:val="3"/>
    </w:pPr>
    <w:rPr>
      <w:rFonts w:ascii="Arial" w:eastAsia="新細明體" w:hAnsi="Arial" w:cs="Times New Roman"/>
      <w:kern w:val="0"/>
      <w:sz w:val="36"/>
      <w:szCs w:val="20"/>
    </w:rPr>
  </w:style>
  <w:style w:type="paragraph" w:styleId="5">
    <w:name w:val="heading 5"/>
    <w:basedOn w:val="a0"/>
    <w:next w:val="a0"/>
    <w:link w:val="50"/>
    <w:unhideWhenUsed/>
    <w:qFormat/>
    <w:rsid w:val="00BD14DA"/>
    <w:pPr>
      <w:keepNext/>
      <w:spacing w:line="720" w:lineRule="auto"/>
      <w:ind w:leftChars="200" w:left="200"/>
      <w:outlineLvl w:val="4"/>
    </w:pPr>
    <w:rPr>
      <w:rFonts w:ascii="Cambria" w:eastAsia="新細明體" w:hAnsi="Cambria" w:cs="Times New Roman"/>
      <w:b/>
      <w:bCs/>
      <w:sz w:val="36"/>
      <w:szCs w:val="36"/>
    </w:rPr>
  </w:style>
  <w:style w:type="paragraph" w:styleId="6">
    <w:name w:val="heading 6"/>
    <w:basedOn w:val="a0"/>
    <w:next w:val="a0"/>
    <w:link w:val="60"/>
    <w:qFormat/>
    <w:rsid w:val="00BD14DA"/>
    <w:pPr>
      <w:keepNext/>
      <w:adjustRightInd w:val="0"/>
      <w:spacing w:line="720" w:lineRule="atLeast"/>
      <w:ind w:left="2550" w:hanging="425"/>
      <w:textAlignment w:val="baseline"/>
      <w:outlineLvl w:val="5"/>
    </w:pPr>
    <w:rPr>
      <w:rFonts w:ascii="Arial" w:eastAsia="新細明體" w:hAnsi="Arial" w:cs="Times New Roman"/>
      <w:kern w:val="0"/>
      <w:sz w:val="36"/>
      <w:szCs w:val="20"/>
    </w:rPr>
  </w:style>
  <w:style w:type="paragraph" w:styleId="7">
    <w:name w:val="heading 7"/>
    <w:basedOn w:val="a0"/>
    <w:next w:val="a0"/>
    <w:link w:val="70"/>
    <w:qFormat/>
    <w:rsid w:val="00BD14DA"/>
    <w:pPr>
      <w:keepNext/>
      <w:adjustRightInd w:val="0"/>
      <w:spacing w:line="720" w:lineRule="atLeast"/>
      <w:ind w:left="2975" w:hanging="425"/>
      <w:textAlignment w:val="baseline"/>
      <w:outlineLvl w:val="6"/>
    </w:pPr>
    <w:rPr>
      <w:rFonts w:ascii="Arial" w:eastAsia="新細明體" w:hAnsi="Arial" w:cs="Times New Roman"/>
      <w:b/>
      <w:kern w:val="0"/>
      <w:sz w:val="36"/>
      <w:szCs w:val="20"/>
    </w:rPr>
  </w:style>
  <w:style w:type="paragraph" w:styleId="8">
    <w:name w:val="heading 8"/>
    <w:basedOn w:val="a0"/>
    <w:next w:val="a0"/>
    <w:link w:val="80"/>
    <w:qFormat/>
    <w:rsid w:val="00BD14DA"/>
    <w:pPr>
      <w:keepNext/>
      <w:adjustRightInd w:val="0"/>
      <w:spacing w:line="720" w:lineRule="atLeast"/>
      <w:ind w:left="3400" w:hanging="425"/>
      <w:textAlignment w:val="baseline"/>
      <w:outlineLvl w:val="7"/>
    </w:pPr>
    <w:rPr>
      <w:rFonts w:ascii="Arial" w:eastAsia="新細明體" w:hAnsi="Arial" w:cs="Times New Roman"/>
      <w:kern w:val="0"/>
      <w:sz w:val="36"/>
      <w:szCs w:val="20"/>
    </w:rPr>
  </w:style>
  <w:style w:type="paragraph" w:styleId="9">
    <w:name w:val="heading 9"/>
    <w:basedOn w:val="a0"/>
    <w:next w:val="a0"/>
    <w:link w:val="90"/>
    <w:qFormat/>
    <w:rsid w:val="00BD14DA"/>
    <w:pPr>
      <w:keepNext/>
      <w:adjustRightInd w:val="0"/>
      <w:spacing w:line="720" w:lineRule="atLeast"/>
      <w:ind w:left="3825" w:hanging="425"/>
      <w:textAlignment w:val="baseline"/>
      <w:outlineLvl w:val="8"/>
    </w:pPr>
    <w:rPr>
      <w:rFonts w:ascii="Arial" w:eastAsia="新細明體" w:hAnsi="Arial" w:cs="Times New Roman"/>
      <w:kern w:val="0"/>
      <w:sz w:val="36"/>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Web">
    <w:name w:val="Normal (Web)"/>
    <w:basedOn w:val="a0"/>
    <w:uiPriority w:val="99"/>
    <w:unhideWhenUsed/>
    <w:rsid w:val="0047647C"/>
    <w:pPr>
      <w:widowControl/>
      <w:spacing w:before="100" w:beforeAutospacing="1" w:after="100" w:afterAutospacing="1"/>
    </w:pPr>
    <w:rPr>
      <w:rFonts w:ascii="新細明體" w:eastAsia="新細明體" w:hAnsi="新細明體" w:cs="新細明體"/>
      <w:kern w:val="0"/>
      <w:szCs w:val="24"/>
    </w:rPr>
  </w:style>
  <w:style w:type="paragraph" w:styleId="a4">
    <w:name w:val="List Paragraph"/>
    <w:basedOn w:val="a0"/>
    <w:link w:val="a5"/>
    <w:uiPriority w:val="34"/>
    <w:qFormat/>
    <w:rsid w:val="00B30A45"/>
    <w:pPr>
      <w:ind w:leftChars="200" w:left="480"/>
    </w:pPr>
    <w:rPr>
      <w:rFonts w:ascii="Times New Roman" w:eastAsia="新細明體" w:hAnsi="Times New Roman" w:cs="Times New Roman"/>
      <w:szCs w:val="24"/>
    </w:rPr>
  </w:style>
  <w:style w:type="paragraph" w:customStyle="1" w:styleId="02">
    <w:name w:val="02壹貳参"/>
    <w:qFormat/>
    <w:rsid w:val="00B30A45"/>
    <w:pPr>
      <w:suppressAutoHyphens/>
      <w:overflowPunct w:val="0"/>
      <w:spacing w:before="100" w:beforeAutospacing="1" w:after="100" w:afterAutospacing="1"/>
      <w:jc w:val="both"/>
      <w:outlineLvl w:val="1"/>
    </w:pPr>
    <w:rPr>
      <w:rFonts w:ascii="標楷體" w:eastAsia="標楷體" w:hAnsi="標楷體" w:cs="Times New Roman"/>
      <w:b/>
      <w:sz w:val="34"/>
      <w:szCs w:val="34"/>
    </w:rPr>
  </w:style>
  <w:style w:type="paragraph" w:customStyle="1" w:styleId="04">
    <w:name w:val="04乙篇(一)(二)(三)"/>
    <w:qFormat/>
    <w:rsid w:val="00B30A45"/>
    <w:pPr>
      <w:suppressAutoHyphens/>
      <w:overflowPunct w:val="0"/>
      <w:spacing w:before="240" w:line="460" w:lineRule="exact"/>
      <w:ind w:firstLineChars="100" w:firstLine="100"/>
      <w:jc w:val="both"/>
    </w:pPr>
    <w:rPr>
      <w:rFonts w:ascii="標楷體" w:eastAsia="標楷體" w:hAnsi="Times New Roman" w:cs="Times New Roman"/>
      <w:b/>
      <w:sz w:val="28"/>
      <w:szCs w:val="24"/>
    </w:rPr>
  </w:style>
  <w:style w:type="paragraph" w:customStyle="1" w:styleId="05">
    <w:name w:val="05乙篇內文"/>
    <w:qFormat/>
    <w:rsid w:val="00B30A45"/>
    <w:pPr>
      <w:overflowPunct w:val="0"/>
      <w:spacing w:before="100" w:beforeAutospacing="1" w:after="100" w:afterAutospacing="1" w:line="460" w:lineRule="exact"/>
      <w:ind w:firstLineChars="200" w:firstLine="200"/>
      <w:jc w:val="both"/>
    </w:pPr>
    <w:rPr>
      <w:rFonts w:ascii="標楷體" w:eastAsia="標楷體" w:hAnsi="Times New Roman" w:cs="Times New Roman"/>
      <w:szCs w:val="24"/>
    </w:rPr>
  </w:style>
  <w:style w:type="table" w:styleId="a6">
    <w:name w:val="Table Grid"/>
    <w:basedOn w:val="a2"/>
    <w:uiPriority w:val="39"/>
    <w:qFormat/>
    <w:rsid w:val="00B30A4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內文(乙篇)"/>
    <w:basedOn w:val="a0"/>
    <w:uiPriority w:val="99"/>
    <w:rsid w:val="00B30A45"/>
    <w:pPr>
      <w:widowControl/>
      <w:overflowPunct w:val="0"/>
      <w:spacing w:before="240" w:after="240" w:line="460" w:lineRule="exact"/>
      <w:ind w:firstLineChars="200" w:firstLine="200"/>
      <w:jc w:val="both"/>
    </w:pPr>
    <w:rPr>
      <w:rFonts w:ascii="標楷體" w:eastAsia="標楷體" w:hAnsi="Times New Roman" w:cs="Times New Roman"/>
      <w:color w:val="000000" w:themeColor="text1"/>
      <w:szCs w:val="24"/>
    </w:rPr>
  </w:style>
  <w:style w:type="character" w:customStyle="1" w:styleId="a5">
    <w:name w:val="清單段落 字元"/>
    <w:link w:val="a4"/>
    <w:uiPriority w:val="34"/>
    <w:locked/>
    <w:rsid w:val="00B30A45"/>
    <w:rPr>
      <w:rFonts w:ascii="Times New Roman" w:eastAsia="新細明體" w:hAnsi="Times New Roman" w:cs="Times New Roman"/>
      <w:szCs w:val="24"/>
    </w:rPr>
  </w:style>
  <w:style w:type="table" w:customStyle="1" w:styleId="19">
    <w:name w:val="表格格線19"/>
    <w:basedOn w:val="a2"/>
    <w:next w:val="a6"/>
    <w:uiPriority w:val="39"/>
    <w:rsid w:val="00B30A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578BA"/>
    <w:pPr>
      <w:widowControl w:val="0"/>
      <w:autoSpaceDE w:val="0"/>
      <w:autoSpaceDN w:val="0"/>
      <w:adjustRightInd w:val="0"/>
    </w:pPr>
    <w:rPr>
      <w:rFonts w:ascii="標楷體" w:eastAsia="標楷體" w:cs="標楷體"/>
      <w:color w:val="000000"/>
      <w:kern w:val="0"/>
      <w:szCs w:val="24"/>
    </w:rPr>
  </w:style>
  <w:style w:type="paragraph" w:customStyle="1" w:styleId="a8">
    <w:name w:val="決算第三冊標題內文"/>
    <w:basedOn w:val="a9"/>
    <w:link w:val="aa"/>
    <w:rsid w:val="006578BA"/>
    <w:pPr>
      <w:spacing w:line="440" w:lineRule="exact"/>
      <w:ind w:firstLine="510"/>
      <w:jc w:val="both"/>
    </w:pPr>
    <w:rPr>
      <w:rFonts w:ascii="標楷體" w:eastAsia="標楷體" w:cs="Times New Roman"/>
      <w:szCs w:val="20"/>
    </w:rPr>
  </w:style>
  <w:style w:type="character" w:customStyle="1" w:styleId="aa">
    <w:name w:val="決算第三冊標題內文 字元"/>
    <w:basedOn w:val="a1"/>
    <w:link w:val="a8"/>
    <w:rsid w:val="006578BA"/>
    <w:rPr>
      <w:rFonts w:ascii="標楷體" w:eastAsia="標楷體" w:hAnsi="Courier New" w:cs="Times New Roman"/>
      <w:szCs w:val="20"/>
    </w:rPr>
  </w:style>
  <w:style w:type="paragraph" w:styleId="a9">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內文壹,一般文字 字元 字元 字元"/>
    <w:basedOn w:val="a0"/>
    <w:link w:val="ab"/>
    <w:unhideWhenUsed/>
    <w:rsid w:val="006578BA"/>
    <w:rPr>
      <w:rFonts w:ascii="細明體" w:eastAsia="細明體" w:hAnsi="Courier New" w:cs="Courier New"/>
    </w:rPr>
  </w:style>
  <w:style w:type="character" w:customStyle="1" w:styleId="ab">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
    <w:basedOn w:val="a1"/>
    <w:link w:val="a9"/>
    <w:rsid w:val="006578BA"/>
    <w:rPr>
      <w:rFonts w:ascii="細明體" w:eastAsia="細明體" w:hAnsi="Courier New" w:cs="Courier New"/>
    </w:rPr>
  </w:style>
  <w:style w:type="table" w:customStyle="1" w:styleId="27">
    <w:name w:val="表格格線27"/>
    <w:basedOn w:val="a2"/>
    <w:next w:val="a6"/>
    <w:uiPriority w:val="39"/>
    <w:rsid w:val="00694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2"/>
    <w:next w:val="a6"/>
    <w:uiPriority w:val="39"/>
    <w:rsid w:val="00694A07"/>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議會質詢用小標題"/>
    <w:basedOn w:val="a0"/>
    <w:rsid w:val="00694A07"/>
    <w:pPr>
      <w:spacing w:line="500" w:lineRule="exact"/>
      <w:jc w:val="both"/>
    </w:pPr>
    <w:rPr>
      <w:rFonts w:ascii="標楷體" w:eastAsia="標楷體" w:hAnsi="標楷體" w:cs="Times New Roman"/>
      <w:sz w:val="32"/>
      <w:szCs w:val="20"/>
    </w:rPr>
  </w:style>
  <w:style w:type="table" w:customStyle="1" w:styleId="36">
    <w:name w:val="表格格線36"/>
    <w:basedOn w:val="a2"/>
    <w:next w:val="a6"/>
    <w:uiPriority w:val="39"/>
    <w:qFormat/>
    <w:rsid w:val="00694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1"/>
    <w:unhideWhenUsed/>
    <w:rsid w:val="00694A07"/>
    <w:rPr>
      <w:sz w:val="18"/>
      <w:szCs w:val="18"/>
    </w:rPr>
  </w:style>
  <w:style w:type="paragraph" w:styleId="ae">
    <w:name w:val="header"/>
    <w:basedOn w:val="a0"/>
    <w:link w:val="af"/>
    <w:uiPriority w:val="99"/>
    <w:unhideWhenUsed/>
    <w:rsid w:val="009E3F78"/>
    <w:pPr>
      <w:tabs>
        <w:tab w:val="center" w:pos="4153"/>
        <w:tab w:val="right" w:pos="8306"/>
      </w:tabs>
      <w:snapToGrid w:val="0"/>
    </w:pPr>
    <w:rPr>
      <w:sz w:val="20"/>
      <w:szCs w:val="20"/>
    </w:rPr>
  </w:style>
  <w:style w:type="character" w:customStyle="1" w:styleId="af">
    <w:name w:val="頁首 字元"/>
    <w:basedOn w:val="a1"/>
    <w:link w:val="ae"/>
    <w:uiPriority w:val="99"/>
    <w:rsid w:val="009E3F78"/>
    <w:rPr>
      <w:sz w:val="20"/>
      <w:szCs w:val="20"/>
    </w:rPr>
  </w:style>
  <w:style w:type="paragraph" w:styleId="af0">
    <w:name w:val="footer"/>
    <w:basedOn w:val="a0"/>
    <w:link w:val="af1"/>
    <w:uiPriority w:val="99"/>
    <w:unhideWhenUsed/>
    <w:rsid w:val="009E3F78"/>
    <w:pPr>
      <w:tabs>
        <w:tab w:val="center" w:pos="4153"/>
        <w:tab w:val="right" w:pos="8306"/>
      </w:tabs>
      <w:snapToGrid w:val="0"/>
    </w:pPr>
    <w:rPr>
      <w:sz w:val="20"/>
      <w:szCs w:val="20"/>
    </w:rPr>
  </w:style>
  <w:style w:type="character" w:customStyle="1" w:styleId="af1">
    <w:name w:val="頁尾 字元"/>
    <w:basedOn w:val="a1"/>
    <w:link w:val="af0"/>
    <w:uiPriority w:val="99"/>
    <w:rsid w:val="009E3F78"/>
    <w:rPr>
      <w:sz w:val="20"/>
      <w:szCs w:val="20"/>
    </w:rPr>
  </w:style>
  <w:style w:type="table" w:customStyle="1" w:styleId="110">
    <w:name w:val="表格格線11"/>
    <w:basedOn w:val="a2"/>
    <w:uiPriority w:val="59"/>
    <w:rsid w:val="00490115"/>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2"/>
    <w:uiPriority w:val="39"/>
    <w:qFormat/>
    <w:rsid w:val="00E4652D"/>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2"/>
    <w:basedOn w:val="a2"/>
    <w:uiPriority w:val="59"/>
    <w:rsid w:val="00983879"/>
    <w:rPr>
      <w:rFonts w:ascii="Calibri" w:eastAsia="新細明體"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2"/>
    <w:uiPriority w:val="59"/>
    <w:rsid w:val="00983879"/>
    <w:rPr>
      <w:rFonts w:ascii="Calibri" w:eastAsia="新細明體" w:hAnsi="Calibri"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表格格線1"/>
    <w:basedOn w:val="a2"/>
    <w:next w:val="a6"/>
    <w:uiPriority w:val="39"/>
    <w:qFormat/>
    <w:rsid w:val="007B1694"/>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
    <w:basedOn w:val="a2"/>
    <w:uiPriority w:val="39"/>
    <w:rsid w:val="007B1694"/>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表格格線40"/>
    <w:basedOn w:val="a2"/>
    <w:uiPriority w:val="39"/>
    <w:qFormat/>
    <w:rsid w:val="007B1694"/>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表格格線47"/>
    <w:basedOn w:val="a2"/>
    <w:uiPriority w:val="39"/>
    <w:qFormat/>
    <w:rsid w:val="007B1694"/>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表格格線48"/>
    <w:basedOn w:val="a2"/>
    <w:rsid w:val="007B1694"/>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Body Text"/>
    <w:basedOn w:val="a0"/>
    <w:link w:val="af3"/>
    <w:unhideWhenUsed/>
    <w:rsid w:val="00200DCC"/>
    <w:pPr>
      <w:spacing w:after="120"/>
    </w:pPr>
  </w:style>
  <w:style w:type="character" w:customStyle="1" w:styleId="af3">
    <w:name w:val="本文 字元"/>
    <w:basedOn w:val="a1"/>
    <w:link w:val="af2"/>
    <w:rsid w:val="00200DCC"/>
  </w:style>
  <w:style w:type="table" w:customStyle="1" w:styleId="130">
    <w:name w:val="表格格線13"/>
    <w:basedOn w:val="a2"/>
    <w:next w:val="a6"/>
    <w:uiPriority w:val="59"/>
    <w:rsid w:val="00200D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k">
    <w:name w:val="一.ok"/>
    <w:basedOn w:val="a0"/>
    <w:rsid w:val="00200DCC"/>
    <w:pPr>
      <w:snapToGrid w:val="0"/>
      <w:spacing w:line="480" w:lineRule="exact"/>
      <w:ind w:leftChars="100" w:left="320" w:firstLineChars="50" w:firstLine="160"/>
      <w:jc w:val="both"/>
    </w:pPr>
    <w:rPr>
      <w:rFonts w:ascii="標楷體" w:eastAsia="標楷體" w:hAnsi="標楷體" w:cs="Times New Roman"/>
      <w:color w:val="000000"/>
      <w:sz w:val="32"/>
      <w:szCs w:val="32"/>
    </w:rPr>
  </w:style>
  <w:style w:type="table" w:customStyle="1" w:styleId="35">
    <w:name w:val="表格格線35"/>
    <w:basedOn w:val="a2"/>
    <w:next w:val="a6"/>
    <w:uiPriority w:val="39"/>
    <w:qFormat/>
    <w:rsid w:val="00200DC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2"/>
    <w:next w:val="a6"/>
    <w:uiPriority w:val="39"/>
    <w:qFormat/>
    <w:rsid w:val="00A9666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表格格線63"/>
    <w:basedOn w:val="a2"/>
    <w:next w:val="a6"/>
    <w:uiPriority w:val="39"/>
    <w:rsid w:val="00A9666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格格線114"/>
    <w:basedOn w:val="a2"/>
    <w:next w:val="a6"/>
    <w:uiPriority w:val="39"/>
    <w:rsid w:val="00DB2473"/>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1"/>
    <w:link w:val="1"/>
    <w:rsid w:val="00BD14DA"/>
    <w:rPr>
      <w:rFonts w:ascii="Cambria" w:eastAsia="新細明體" w:hAnsi="Cambria" w:cs="Times New Roman"/>
      <w:b/>
      <w:bCs/>
      <w:kern w:val="52"/>
      <w:sz w:val="52"/>
      <w:szCs w:val="52"/>
    </w:rPr>
  </w:style>
  <w:style w:type="character" w:customStyle="1" w:styleId="20">
    <w:name w:val="標題 2 字元"/>
    <w:aliases w:val="節 字元,節1 字元,一 字元,1.1節 字元"/>
    <w:basedOn w:val="a1"/>
    <w:link w:val="2"/>
    <w:rsid w:val="00BD14DA"/>
    <w:rPr>
      <w:rFonts w:ascii="標楷體" w:eastAsia="標楷體" w:hAnsi="Arial" w:cs="Times New Roman"/>
      <w:bCs/>
      <w:kern w:val="0"/>
      <w:sz w:val="32"/>
      <w:szCs w:val="48"/>
    </w:rPr>
  </w:style>
  <w:style w:type="character" w:customStyle="1" w:styleId="30">
    <w:name w:val="標題 3 字元"/>
    <w:basedOn w:val="a1"/>
    <w:link w:val="3"/>
    <w:rsid w:val="00BD14DA"/>
    <w:rPr>
      <w:rFonts w:asciiTheme="majorHAnsi" w:eastAsiaTheme="majorEastAsia" w:hAnsiTheme="majorHAnsi" w:cstheme="majorBidi"/>
      <w:b/>
      <w:bCs/>
      <w:sz w:val="36"/>
      <w:szCs w:val="36"/>
    </w:rPr>
  </w:style>
  <w:style w:type="character" w:customStyle="1" w:styleId="41">
    <w:name w:val="標題 4 字元"/>
    <w:basedOn w:val="a1"/>
    <w:link w:val="40"/>
    <w:rsid w:val="00BD14DA"/>
    <w:rPr>
      <w:rFonts w:ascii="Arial" w:eastAsia="新細明體" w:hAnsi="Arial" w:cs="Times New Roman"/>
      <w:kern w:val="0"/>
      <w:sz w:val="36"/>
      <w:szCs w:val="20"/>
    </w:rPr>
  </w:style>
  <w:style w:type="character" w:customStyle="1" w:styleId="50">
    <w:name w:val="標題 5 字元"/>
    <w:basedOn w:val="a1"/>
    <w:link w:val="5"/>
    <w:rsid w:val="00BD14DA"/>
    <w:rPr>
      <w:rFonts w:ascii="Cambria" w:eastAsia="新細明體" w:hAnsi="Cambria" w:cs="Times New Roman"/>
      <w:b/>
      <w:bCs/>
      <w:sz w:val="36"/>
      <w:szCs w:val="36"/>
    </w:rPr>
  </w:style>
  <w:style w:type="character" w:customStyle="1" w:styleId="60">
    <w:name w:val="標題 6 字元"/>
    <w:basedOn w:val="a1"/>
    <w:link w:val="6"/>
    <w:rsid w:val="00BD14DA"/>
    <w:rPr>
      <w:rFonts w:ascii="Arial" w:eastAsia="新細明體" w:hAnsi="Arial" w:cs="Times New Roman"/>
      <w:kern w:val="0"/>
      <w:sz w:val="36"/>
      <w:szCs w:val="20"/>
    </w:rPr>
  </w:style>
  <w:style w:type="character" w:customStyle="1" w:styleId="70">
    <w:name w:val="標題 7 字元"/>
    <w:basedOn w:val="a1"/>
    <w:link w:val="7"/>
    <w:rsid w:val="00BD14DA"/>
    <w:rPr>
      <w:rFonts w:ascii="Arial" w:eastAsia="新細明體" w:hAnsi="Arial" w:cs="Times New Roman"/>
      <w:b/>
      <w:kern w:val="0"/>
      <w:sz w:val="36"/>
      <w:szCs w:val="20"/>
    </w:rPr>
  </w:style>
  <w:style w:type="character" w:customStyle="1" w:styleId="80">
    <w:name w:val="標題 8 字元"/>
    <w:basedOn w:val="a1"/>
    <w:link w:val="8"/>
    <w:rsid w:val="00BD14DA"/>
    <w:rPr>
      <w:rFonts w:ascii="Arial" w:eastAsia="新細明體" w:hAnsi="Arial" w:cs="Times New Roman"/>
      <w:kern w:val="0"/>
      <w:sz w:val="36"/>
      <w:szCs w:val="20"/>
    </w:rPr>
  </w:style>
  <w:style w:type="character" w:customStyle="1" w:styleId="90">
    <w:name w:val="標題 9 字元"/>
    <w:basedOn w:val="a1"/>
    <w:link w:val="9"/>
    <w:rsid w:val="00BD14DA"/>
    <w:rPr>
      <w:rFonts w:ascii="Arial" w:eastAsia="新細明體" w:hAnsi="Arial" w:cs="Times New Roman"/>
      <w:kern w:val="0"/>
      <w:sz w:val="36"/>
      <w:szCs w:val="20"/>
    </w:rPr>
  </w:style>
  <w:style w:type="paragraph" w:styleId="af4">
    <w:name w:val="Note Heading"/>
    <w:basedOn w:val="a0"/>
    <w:next w:val="a0"/>
    <w:link w:val="af5"/>
    <w:uiPriority w:val="99"/>
    <w:unhideWhenUsed/>
    <w:rsid w:val="00BD14DA"/>
    <w:pPr>
      <w:widowControl/>
      <w:jc w:val="center"/>
    </w:pPr>
    <w:rPr>
      <w:rFonts w:ascii="標楷體" w:eastAsia="標楷體" w:hAnsi="標楷體" w:cs="新細明體"/>
      <w:kern w:val="0"/>
      <w:sz w:val="18"/>
      <w:szCs w:val="18"/>
    </w:rPr>
  </w:style>
  <w:style w:type="character" w:customStyle="1" w:styleId="af5">
    <w:name w:val="註釋標題 字元"/>
    <w:basedOn w:val="a1"/>
    <w:link w:val="af4"/>
    <w:uiPriority w:val="99"/>
    <w:rsid w:val="00BD14DA"/>
    <w:rPr>
      <w:rFonts w:ascii="標楷體" w:eastAsia="標楷體" w:hAnsi="標楷體" w:cs="新細明體"/>
      <w:kern w:val="0"/>
      <w:sz w:val="18"/>
      <w:szCs w:val="18"/>
    </w:rPr>
  </w:style>
  <w:style w:type="table" w:customStyle="1" w:styleId="621">
    <w:name w:val="表格格線621"/>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3"/>
    <w:basedOn w:val="a2"/>
    <w:next w:val="a6"/>
    <w:uiPriority w:val="5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2"/>
    <w:next w:val="a6"/>
    <w:uiPriority w:val="5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2"/>
    <w:next w:val="a6"/>
    <w:uiPriority w:val="59"/>
    <w:qFormat/>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格格線34"/>
    <w:basedOn w:val="a2"/>
    <w:next w:val="a6"/>
    <w:uiPriority w:val="39"/>
    <w:rsid w:val="00BD14DA"/>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page number"/>
    <w:basedOn w:val="a1"/>
    <w:rsid w:val="00BD14DA"/>
  </w:style>
  <w:style w:type="paragraph" w:styleId="af7">
    <w:name w:val="caption"/>
    <w:basedOn w:val="a0"/>
    <w:next w:val="a0"/>
    <w:uiPriority w:val="99"/>
    <w:qFormat/>
    <w:rsid w:val="00BD14DA"/>
    <w:rPr>
      <w:rFonts w:ascii="Times New Roman" w:eastAsia="新細明體" w:hAnsi="Times New Roman" w:cs="Times New Roman"/>
      <w:sz w:val="20"/>
      <w:szCs w:val="20"/>
    </w:rPr>
  </w:style>
  <w:style w:type="table" w:customStyle="1" w:styleId="43">
    <w:name w:val="表格格線43"/>
    <w:basedOn w:val="a2"/>
    <w:next w:val="a6"/>
    <w:uiPriority w:val="5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表格格線14"/>
    <w:basedOn w:val="a2"/>
    <w:next w:val="a6"/>
    <w:uiPriority w:val="39"/>
    <w:qFormat/>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
    <w:name w:val="標題 11"/>
    <w:basedOn w:val="a0"/>
    <w:next w:val="a0"/>
    <w:uiPriority w:val="9"/>
    <w:qFormat/>
    <w:rsid w:val="00BD14DA"/>
    <w:pPr>
      <w:keepNext/>
      <w:spacing w:before="180" w:after="180" w:line="720" w:lineRule="auto"/>
      <w:outlineLvl w:val="0"/>
    </w:pPr>
    <w:rPr>
      <w:rFonts w:ascii="Cambria" w:eastAsia="新細明體" w:hAnsi="Cambria" w:cs="Times New Roman"/>
      <w:b/>
      <w:bCs/>
      <w:kern w:val="52"/>
      <w:sz w:val="52"/>
      <w:szCs w:val="52"/>
    </w:rPr>
  </w:style>
  <w:style w:type="numbering" w:customStyle="1" w:styleId="15">
    <w:name w:val="無清單1"/>
    <w:next w:val="a3"/>
    <w:uiPriority w:val="99"/>
    <w:semiHidden/>
    <w:unhideWhenUsed/>
    <w:rsid w:val="00BD14DA"/>
  </w:style>
  <w:style w:type="paragraph" w:customStyle="1" w:styleId="01">
    <w:name w:val="01總決算甲乙丙"/>
    <w:qFormat/>
    <w:rsid w:val="00BD14DA"/>
    <w:pPr>
      <w:suppressAutoHyphens/>
      <w:overflowPunct w:val="0"/>
      <w:spacing w:before="100" w:beforeAutospacing="1" w:after="100" w:afterAutospacing="1"/>
      <w:jc w:val="center"/>
      <w:outlineLvl w:val="0"/>
    </w:pPr>
    <w:rPr>
      <w:rFonts w:ascii="標楷體" w:eastAsia="標楷體" w:hAnsi="Times New Roman" w:cs="Times New Roman"/>
      <w:b/>
      <w:bCs/>
      <w:sz w:val="40"/>
      <w:szCs w:val="40"/>
    </w:rPr>
  </w:style>
  <w:style w:type="paragraph" w:customStyle="1" w:styleId="03">
    <w:name w:val="03乙篇一二三"/>
    <w:qFormat/>
    <w:rsid w:val="00BD14DA"/>
    <w:pPr>
      <w:suppressAutoHyphens/>
      <w:overflowPunct w:val="0"/>
      <w:spacing w:before="100" w:beforeAutospacing="1" w:after="100" w:afterAutospacing="1" w:line="460" w:lineRule="exact"/>
      <w:jc w:val="both"/>
      <w:outlineLvl w:val="2"/>
    </w:pPr>
    <w:rPr>
      <w:rFonts w:ascii="標楷體" w:eastAsia="標楷體" w:hAnsi="Times New Roman" w:cs="Times New Roman"/>
      <w:b/>
      <w:sz w:val="28"/>
      <w:szCs w:val="24"/>
    </w:rPr>
  </w:style>
  <w:style w:type="paragraph" w:customStyle="1" w:styleId="06123">
    <w:name w:val="06乙篇123"/>
    <w:qFormat/>
    <w:rsid w:val="00BD14DA"/>
    <w:pPr>
      <w:suppressAutoHyphens/>
      <w:overflowPunct w:val="0"/>
      <w:spacing w:before="100" w:beforeAutospacing="1" w:after="100" w:afterAutospacing="1" w:line="460" w:lineRule="exact"/>
      <w:ind w:firstLineChars="200" w:firstLine="200"/>
      <w:jc w:val="both"/>
    </w:pPr>
    <w:rPr>
      <w:rFonts w:ascii="標楷體" w:eastAsia="標楷體" w:hAnsi="Times New Roman" w:cs="Times New Roman"/>
      <w:szCs w:val="24"/>
    </w:rPr>
  </w:style>
  <w:style w:type="paragraph" w:customStyle="1" w:styleId="07123">
    <w:name w:val="07乙篇(1)(2)(3)"/>
    <w:qFormat/>
    <w:rsid w:val="00BD14DA"/>
    <w:pPr>
      <w:suppressAutoHyphens/>
      <w:overflowPunct w:val="0"/>
      <w:spacing w:before="100" w:beforeAutospacing="1" w:after="100" w:afterAutospacing="1" w:line="460" w:lineRule="exact"/>
      <w:ind w:firstLineChars="300" w:firstLine="300"/>
      <w:jc w:val="both"/>
    </w:pPr>
    <w:rPr>
      <w:rFonts w:ascii="標楷體" w:eastAsia="標楷體" w:hAnsi="標楷體" w:cs="Times New Roman"/>
      <w:szCs w:val="24"/>
    </w:rPr>
  </w:style>
  <w:style w:type="paragraph" w:styleId="af8">
    <w:name w:val="Document Map"/>
    <w:basedOn w:val="a0"/>
    <w:link w:val="af9"/>
    <w:uiPriority w:val="99"/>
    <w:semiHidden/>
    <w:unhideWhenUsed/>
    <w:rsid w:val="00BD14DA"/>
    <w:rPr>
      <w:rFonts w:ascii="新細明體" w:eastAsia="新細明體" w:hAnsi="Times New Roman" w:cs="Times New Roman"/>
      <w:sz w:val="18"/>
      <w:szCs w:val="18"/>
    </w:rPr>
  </w:style>
  <w:style w:type="character" w:customStyle="1" w:styleId="af9">
    <w:name w:val="文件引導模式 字元"/>
    <w:basedOn w:val="a1"/>
    <w:link w:val="af8"/>
    <w:uiPriority w:val="99"/>
    <w:semiHidden/>
    <w:rsid w:val="00BD14DA"/>
    <w:rPr>
      <w:rFonts w:ascii="新細明體" w:eastAsia="新細明體" w:hAnsi="Times New Roman" w:cs="Times New Roman"/>
      <w:sz w:val="18"/>
      <w:szCs w:val="18"/>
    </w:rPr>
  </w:style>
  <w:style w:type="table" w:customStyle="1" w:styleId="42">
    <w:name w:val="表格格線4"/>
    <w:basedOn w:val="a2"/>
    <w:next w:val="a6"/>
    <w:uiPriority w:val="3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註解方塊文字1"/>
    <w:basedOn w:val="a0"/>
    <w:next w:val="afa"/>
    <w:link w:val="afb"/>
    <w:uiPriority w:val="99"/>
    <w:semiHidden/>
    <w:unhideWhenUsed/>
    <w:rsid w:val="00BD14DA"/>
    <w:rPr>
      <w:rFonts w:ascii="Cambria" w:eastAsia="新細明體" w:hAnsi="Cambria" w:cs="Times New Roman"/>
      <w:sz w:val="18"/>
      <w:szCs w:val="18"/>
    </w:rPr>
  </w:style>
  <w:style w:type="character" w:customStyle="1" w:styleId="afb">
    <w:name w:val="註解方塊文字 字元"/>
    <w:basedOn w:val="a1"/>
    <w:link w:val="16"/>
    <w:uiPriority w:val="99"/>
    <w:rsid w:val="00BD14DA"/>
    <w:rPr>
      <w:rFonts w:ascii="Cambria" w:eastAsia="新細明體" w:hAnsi="Cambria" w:cs="Times New Roman"/>
      <w:sz w:val="18"/>
      <w:szCs w:val="18"/>
    </w:rPr>
  </w:style>
  <w:style w:type="character" w:customStyle="1" w:styleId="A-">
    <w:name w:val="A-內文"/>
    <w:rsid w:val="00BD14DA"/>
  </w:style>
  <w:style w:type="paragraph" w:customStyle="1" w:styleId="afc">
    <w:name w:val="(一)本文"/>
    <w:basedOn w:val="af2"/>
    <w:rsid w:val="00BD14DA"/>
    <w:pPr>
      <w:autoSpaceDE w:val="0"/>
      <w:autoSpaceDN w:val="0"/>
      <w:snapToGrid w:val="0"/>
      <w:spacing w:after="0" w:line="240" w:lineRule="atLeast"/>
      <w:ind w:left="851" w:firstLine="567"/>
      <w:jc w:val="both"/>
    </w:pPr>
    <w:rPr>
      <w:rFonts w:ascii="標楷體" w:eastAsia="標楷體" w:hAnsi="Times New Roman" w:cs="Times New Roman"/>
      <w:sz w:val="28"/>
      <w:szCs w:val="20"/>
    </w:rPr>
  </w:style>
  <w:style w:type="table" w:customStyle="1" w:styleId="211">
    <w:name w:val="表格格線211"/>
    <w:basedOn w:val="a2"/>
    <w:next w:val="a6"/>
    <w:uiPriority w:val="5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0"/>
    <w:link w:val="HTML0"/>
    <w:uiPriority w:val="99"/>
    <w:rsid w:val="00BD14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Courier New" w:cs="Times New Roman"/>
      <w:kern w:val="0"/>
      <w:szCs w:val="24"/>
    </w:rPr>
  </w:style>
  <w:style w:type="character" w:customStyle="1" w:styleId="HTML0">
    <w:name w:val="HTML 預設格式 字元"/>
    <w:basedOn w:val="a1"/>
    <w:link w:val="HTML"/>
    <w:uiPriority w:val="99"/>
    <w:rsid w:val="00BD14DA"/>
    <w:rPr>
      <w:rFonts w:ascii="細明體" w:eastAsia="細明體" w:hAnsi="Courier New" w:cs="Times New Roman"/>
      <w:kern w:val="0"/>
      <w:szCs w:val="24"/>
    </w:rPr>
  </w:style>
  <w:style w:type="paragraph" w:customStyle="1" w:styleId="17">
    <w:name w:val="乙篇主文 字元 字元1"/>
    <w:basedOn w:val="a0"/>
    <w:link w:val="18"/>
    <w:rsid w:val="00BD14DA"/>
    <w:pPr>
      <w:spacing w:line="400" w:lineRule="exact"/>
      <w:ind w:firstLineChars="200" w:firstLine="200"/>
      <w:jc w:val="both"/>
    </w:pPr>
    <w:rPr>
      <w:rFonts w:ascii="標楷體" w:eastAsia="標楷體" w:hAnsi="Times New Roman" w:cs="Times New Roman"/>
      <w:spacing w:val="-20"/>
      <w:szCs w:val="24"/>
    </w:rPr>
  </w:style>
  <w:style w:type="character" w:customStyle="1" w:styleId="18">
    <w:name w:val="乙篇主文 字元 字元 字元1"/>
    <w:basedOn w:val="a1"/>
    <w:link w:val="17"/>
    <w:rsid w:val="00BD14DA"/>
    <w:rPr>
      <w:rFonts w:ascii="標楷體" w:eastAsia="標楷體" w:hAnsi="Times New Roman" w:cs="Times New Roman"/>
      <w:spacing w:val="-20"/>
      <w:szCs w:val="24"/>
    </w:rPr>
  </w:style>
  <w:style w:type="paragraph" w:customStyle="1" w:styleId="afd">
    <w:name w:val="單元"/>
    <w:basedOn w:val="a0"/>
    <w:rsid w:val="00BD14DA"/>
    <w:pPr>
      <w:snapToGrid w:val="0"/>
      <w:ind w:rightChars="100" w:right="100"/>
      <w:jc w:val="right"/>
    </w:pPr>
    <w:rPr>
      <w:rFonts w:ascii="標楷體" w:eastAsia="標楷體" w:hAnsi="Arial Narrow" w:cs="Times New Roman"/>
      <w:w w:val="95"/>
      <w:sz w:val="20"/>
      <w:szCs w:val="20"/>
    </w:rPr>
  </w:style>
  <w:style w:type="paragraph" w:customStyle="1" w:styleId="afe">
    <w:name w:val="括號一二三"/>
    <w:basedOn w:val="a0"/>
    <w:uiPriority w:val="99"/>
    <w:rsid w:val="00BD14DA"/>
    <w:pPr>
      <w:spacing w:line="360" w:lineRule="auto"/>
      <w:ind w:firstLine="624"/>
      <w:jc w:val="both"/>
    </w:pPr>
    <w:rPr>
      <w:rFonts w:ascii="標楷體" w:eastAsia="標楷體" w:hAnsi="Times New Roman" w:cs="Times New Roman"/>
      <w:b/>
      <w:spacing w:val="-20"/>
      <w:sz w:val="28"/>
      <w:szCs w:val="20"/>
    </w:rPr>
  </w:style>
  <w:style w:type="paragraph" w:customStyle="1" w:styleId="aff">
    <w:name w:val="表頭"/>
    <w:basedOn w:val="a0"/>
    <w:rsid w:val="00BD14DA"/>
    <w:pPr>
      <w:ind w:leftChars="30" w:left="30" w:rightChars="30" w:right="30"/>
      <w:jc w:val="distribute"/>
    </w:pPr>
    <w:rPr>
      <w:rFonts w:ascii="華康楷書體W5" w:eastAsia="標楷體" w:hAnsi="Times New Roman" w:cs="Times New Roman"/>
      <w:sz w:val="20"/>
      <w:szCs w:val="20"/>
    </w:rPr>
  </w:style>
  <w:style w:type="paragraph" w:customStyle="1" w:styleId="1-1">
    <w:name w:val="表格欄1-1主管"/>
    <w:basedOn w:val="a0"/>
    <w:rsid w:val="00BD14DA"/>
    <w:pPr>
      <w:jc w:val="distribute"/>
    </w:pPr>
    <w:rPr>
      <w:rFonts w:ascii="Times New Roman" w:eastAsia="標楷體" w:hAnsi="Times New Roman" w:cs="新細明體"/>
      <w:b/>
      <w:sz w:val="20"/>
      <w:szCs w:val="20"/>
    </w:rPr>
  </w:style>
  <w:style w:type="character" w:customStyle="1" w:styleId="aff0">
    <w:name w:val="本文 字元 字元 字元"/>
    <w:basedOn w:val="a1"/>
    <w:rsid w:val="00BD14DA"/>
    <w:rPr>
      <w:rFonts w:ascii="標楷體" w:eastAsia="標楷體" w:hAnsi="標楷體" w:hint="eastAsia"/>
      <w:kern w:val="2"/>
      <w:sz w:val="32"/>
      <w:lang w:val="en-US" w:eastAsia="zh-TW" w:bidi="ar-SA"/>
    </w:rPr>
  </w:style>
  <w:style w:type="paragraph" w:customStyle="1" w:styleId="32">
    <w:name w:val="表格欄3數字"/>
    <w:basedOn w:val="a0"/>
    <w:rsid w:val="00BD14DA"/>
    <w:pPr>
      <w:jc w:val="right"/>
    </w:pPr>
    <w:rPr>
      <w:rFonts w:ascii="細明體" w:eastAsia="細明體" w:hAnsi="Arial" w:cs="Times New Roman"/>
      <w:bCs/>
      <w:w w:val="90"/>
      <w:sz w:val="18"/>
      <w:szCs w:val="20"/>
    </w:rPr>
  </w:style>
  <w:style w:type="table" w:customStyle="1" w:styleId="310">
    <w:name w:val="表格格線3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內文1"/>
    <w:basedOn w:val="a0"/>
    <w:rsid w:val="00BD14DA"/>
    <w:pPr>
      <w:spacing w:before="100" w:beforeAutospacing="1" w:after="100" w:afterAutospacing="1" w:line="500" w:lineRule="exact"/>
      <w:ind w:left="357" w:firstLineChars="188" w:firstLine="602"/>
      <w:jc w:val="both"/>
    </w:pPr>
    <w:rPr>
      <w:rFonts w:ascii="標楷體" w:eastAsia="標楷體" w:hAnsi="Times New Roman" w:cs="Times New Roman"/>
      <w:sz w:val="32"/>
      <w:szCs w:val="20"/>
    </w:rPr>
  </w:style>
  <w:style w:type="character" w:customStyle="1" w:styleId="112">
    <w:name w:val="標題1. 字元1"/>
    <w:basedOn w:val="a1"/>
    <w:rsid w:val="00BD14DA"/>
    <w:rPr>
      <w:rFonts w:ascii="標楷體" w:eastAsia="標楷體" w:cs="新細明體"/>
      <w:bCs/>
      <w:kern w:val="2"/>
      <w:sz w:val="24"/>
      <w:szCs w:val="24"/>
      <w:lang w:val="en-US" w:eastAsia="zh-TW" w:bidi="ar-SA"/>
    </w:rPr>
  </w:style>
  <w:style w:type="paragraph" w:customStyle="1" w:styleId="C">
    <w:name w:val="標題C"/>
    <w:basedOn w:val="a0"/>
    <w:uiPriority w:val="99"/>
    <w:rsid w:val="00BD14DA"/>
    <w:pPr>
      <w:numPr>
        <w:numId w:val="8"/>
      </w:numPr>
      <w:spacing w:line="560" w:lineRule="exact"/>
      <w:jc w:val="both"/>
    </w:pPr>
    <w:rPr>
      <w:rFonts w:ascii="標楷體" w:eastAsia="標楷體" w:hAnsi="標楷體" w:cs="Arial"/>
      <w:color w:val="000000"/>
      <w:sz w:val="32"/>
      <w:szCs w:val="24"/>
    </w:rPr>
  </w:style>
  <w:style w:type="table" w:customStyle="1" w:styleId="411">
    <w:name w:val="表格格線411"/>
    <w:basedOn w:val="a2"/>
    <w:next w:val="a6"/>
    <w:uiPriority w:val="5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2"/>
    <w:next w:val="a6"/>
    <w:uiPriority w:val="5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1">
    <w:name w:val="標題壹"/>
    <w:basedOn w:val="a0"/>
    <w:uiPriority w:val="99"/>
    <w:rsid w:val="00BD14DA"/>
    <w:pPr>
      <w:widowControl/>
      <w:spacing w:before="120" w:line="520" w:lineRule="exact"/>
      <w:ind w:left="308"/>
      <w:jc w:val="both"/>
      <w:outlineLvl w:val="0"/>
    </w:pPr>
    <w:rPr>
      <w:rFonts w:ascii="標楷體" w:eastAsia="標楷體" w:hAnsi="Times New Roman" w:cs="Times New Roman"/>
      <w:b/>
      <w:kern w:val="0"/>
      <w:sz w:val="32"/>
      <w:szCs w:val="20"/>
    </w:rPr>
  </w:style>
  <w:style w:type="paragraph" w:customStyle="1" w:styleId="aff2">
    <w:name w:val="壹貳參"/>
    <w:basedOn w:val="05"/>
    <w:uiPriority w:val="99"/>
    <w:qFormat/>
    <w:rsid w:val="00BD14DA"/>
    <w:pPr>
      <w:spacing w:before="240" w:beforeAutospacing="0" w:after="240" w:afterAutospacing="0" w:line="520" w:lineRule="exact"/>
      <w:ind w:firstLineChars="0" w:firstLine="0"/>
      <w:jc w:val="left"/>
    </w:pPr>
    <w:rPr>
      <w:color w:val="000000"/>
      <w:sz w:val="36"/>
    </w:rPr>
  </w:style>
  <w:style w:type="paragraph" w:customStyle="1" w:styleId="4">
    <w:name w:val="樣式4"/>
    <w:basedOn w:val="a0"/>
    <w:autoRedefine/>
    <w:rsid w:val="00BD14DA"/>
    <w:pPr>
      <w:numPr>
        <w:numId w:val="9"/>
      </w:numPr>
      <w:spacing w:before="120" w:after="120" w:line="440" w:lineRule="exact"/>
      <w:ind w:left="573" w:hanging="573"/>
      <w:jc w:val="both"/>
    </w:pPr>
    <w:rPr>
      <w:rFonts w:ascii="標楷體" w:eastAsia="標楷體" w:hAnsi="Times New Roman" w:cs="Times New Roman"/>
      <w:b/>
      <w:spacing w:val="10"/>
      <w:sz w:val="28"/>
      <w:szCs w:val="20"/>
    </w:rPr>
  </w:style>
  <w:style w:type="paragraph" w:styleId="aff3">
    <w:name w:val="annotation text"/>
    <w:basedOn w:val="a0"/>
    <w:link w:val="aff4"/>
    <w:rsid w:val="00BD14DA"/>
    <w:rPr>
      <w:rFonts w:ascii="Times New Roman" w:eastAsia="新細明體" w:hAnsi="Times New Roman" w:cs="Times New Roman"/>
      <w:szCs w:val="20"/>
    </w:rPr>
  </w:style>
  <w:style w:type="character" w:customStyle="1" w:styleId="aff4">
    <w:name w:val="註解文字 字元"/>
    <w:basedOn w:val="a1"/>
    <w:link w:val="aff3"/>
    <w:rsid w:val="00BD14DA"/>
    <w:rPr>
      <w:rFonts w:ascii="Times New Roman" w:eastAsia="新細明體" w:hAnsi="Times New Roman" w:cs="Times New Roman"/>
      <w:szCs w:val="20"/>
    </w:rPr>
  </w:style>
  <w:style w:type="paragraph" w:styleId="aff5">
    <w:name w:val="Date"/>
    <w:basedOn w:val="a0"/>
    <w:next w:val="a0"/>
    <w:link w:val="aff6"/>
    <w:uiPriority w:val="99"/>
    <w:rsid w:val="00BD14DA"/>
    <w:pPr>
      <w:jc w:val="right"/>
    </w:pPr>
    <w:rPr>
      <w:rFonts w:ascii="Times New Roman" w:eastAsia="標楷體" w:hAnsi="Times New Roman" w:cs="Times New Roman"/>
      <w:sz w:val="20"/>
      <w:szCs w:val="20"/>
    </w:rPr>
  </w:style>
  <w:style w:type="character" w:customStyle="1" w:styleId="aff6">
    <w:name w:val="日期 字元"/>
    <w:basedOn w:val="a1"/>
    <w:link w:val="aff5"/>
    <w:uiPriority w:val="99"/>
    <w:rsid w:val="00BD14DA"/>
    <w:rPr>
      <w:rFonts w:ascii="Times New Roman" w:eastAsia="標楷體" w:hAnsi="Times New Roman" w:cs="Times New Roman"/>
      <w:sz w:val="20"/>
      <w:szCs w:val="20"/>
    </w:rPr>
  </w:style>
  <w:style w:type="paragraph" w:customStyle="1" w:styleId="aff7">
    <w:name w:val="甲乙丙"/>
    <w:basedOn w:val="a0"/>
    <w:uiPriority w:val="99"/>
    <w:rsid w:val="00BD14DA"/>
    <w:pPr>
      <w:spacing w:after="360" w:line="360" w:lineRule="auto"/>
      <w:jc w:val="center"/>
    </w:pPr>
    <w:rPr>
      <w:rFonts w:ascii="標楷體" w:eastAsia="標楷體" w:hAnsi="Times New Roman" w:cs="Times New Roman"/>
      <w:b/>
      <w:spacing w:val="-10"/>
      <w:sz w:val="40"/>
      <w:szCs w:val="20"/>
    </w:rPr>
  </w:style>
  <w:style w:type="paragraph" w:customStyle="1" w:styleId="aff8">
    <w:name w:val="一二三"/>
    <w:basedOn w:val="aff2"/>
    <w:uiPriority w:val="99"/>
    <w:rsid w:val="00BD14DA"/>
    <w:pPr>
      <w:widowControl w:val="0"/>
      <w:overflowPunct/>
      <w:spacing w:before="0" w:after="120" w:line="360" w:lineRule="auto"/>
    </w:pPr>
    <w:rPr>
      <w:color w:val="auto"/>
      <w:spacing w:val="-10"/>
      <w:sz w:val="32"/>
      <w:szCs w:val="20"/>
    </w:rPr>
  </w:style>
  <w:style w:type="paragraph" w:customStyle="1" w:styleId="123">
    <w:name w:val="123"/>
    <w:basedOn w:val="afe"/>
    <w:uiPriority w:val="99"/>
    <w:rsid w:val="00BD14DA"/>
    <w:pPr>
      <w:ind w:firstLine="425"/>
    </w:pPr>
    <w:rPr>
      <w:b w:val="0"/>
      <w:spacing w:val="-10"/>
      <w:sz w:val="24"/>
    </w:rPr>
  </w:style>
  <w:style w:type="paragraph" w:customStyle="1" w:styleId="1230">
    <w:name w:val="括號123"/>
    <w:basedOn w:val="123"/>
    <w:uiPriority w:val="99"/>
    <w:rsid w:val="00BD14DA"/>
    <w:pPr>
      <w:ind w:firstLine="624"/>
    </w:pPr>
  </w:style>
  <w:style w:type="paragraph" w:customStyle="1" w:styleId="1231">
    <w:name w:val="圓圈123"/>
    <w:basedOn w:val="1230"/>
    <w:uiPriority w:val="99"/>
    <w:rsid w:val="00BD14DA"/>
    <w:pPr>
      <w:ind w:firstLine="1008"/>
    </w:pPr>
  </w:style>
  <w:style w:type="paragraph" w:customStyle="1" w:styleId="aff9">
    <w:name w:val="表格字"/>
    <w:basedOn w:val="a0"/>
    <w:uiPriority w:val="99"/>
    <w:rsid w:val="00BD14DA"/>
    <w:pPr>
      <w:spacing w:line="240" w:lineRule="exact"/>
      <w:ind w:left="369" w:right="57" w:hanging="369"/>
      <w:jc w:val="both"/>
    </w:pPr>
    <w:rPr>
      <w:rFonts w:ascii="標楷體" w:eastAsia="標楷體" w:hAnsi="Times New Roman" w:cs="Times New Roman"/>
      <w:sz w:val="20"/>
      <w:szCs w:val="20"/>
    </w:rPr>
  </w:style>
  <w:style w:type="paragraph" w:customStyle="1" w:styleId="1b">
    <w:name w:val="樣式1"/>
    <w:basedOn w:val="a0"/>
    <w:link w:val="1c"/>
    <w:autoRedefine/>
    <w:qFormat/>
    <w:rsid w:val="00BD14DA"/>
    <w:pPr>
      <w:spacing w:line="460" w:lineRule="exact"/>
      <w:ind w:firstLine="567"/>
      <w:jc w:val="both"/>
    </w:pPr>
    <w:rPr>
      <w:rFonts w:ascii="標楷體" w:eastAsia="標楷體" w:hAnsi="Times New Roman" w:cs="Times New Roman"/>
      <w:sz w:val="28"/>
      <w:szCs w:val="20"/>
    </w:rPr>
  </w:style>
  <w:style w:type="paragraph" w:customStyle="1" w:styleId="22">
    <w:name w:val="樣式2"/>
    <w:basedOn w:val="a0"/>
    <w:autoRedefine/>
    <w:rsid w:val="00BD14DA"/>
    <w:pPr>
      <w:spacing w:after="120" w:line="240" w:lineRule="atLeast"/>
      <w:jc w:val="both"/>
    </w:pPr>
    <w:rPr>
      <w:rFonts w:ascii="標楷體" w:eastAsia="標楷體" w:hAnsi="標楷體" w:cs="Times New Roman"/>
      <w:spacing w:val="20"/>
      <w:sz w:val="16"/>
      <w:szCs w:val="16"/>
    </w:rPr>
  </w:style>
  <w:style w:type="paragraph" w:customStyle="1" w:styleId="33">
    <w:name w:val="樣式3"/>
    <w:basedOn w:val="a0"/>
    <w:autoRedefine/>
    <w:uiPriority w:val="99"/>
    <w:rsid w:val="00BD14DA"/>
    <w:pPr>
      <w:spacing w:before="120" w:after="120" w:line="460" w:lineRule="exact"/>
      <w:jc w:val="both"/>
    </w:pPr>
    <w:rPr>
      <w:rFonts w:ascii="Times New Roman" w:eastAsia="新細明體" w:hAnsi="Times New Roman" w:cs="Times New Roman"/>
      <w:b/>
      <w:spacing w:val="20"/>
      <w:sz w:val="28"/>
      <w:szCs w:val="20"/>
    </w:rPr>
  </w:style>
  <w:style w:type="paragraph" w:customStyle="1" w:styleId="52">
    <w:name w:val="樣式5"/>
    <w:basedOn w:val="a0"/>
    <w:autoRedefine/>
    <w:uiPriority w:val="99"/>
    <w:rsid w:val="00BD14DA"/>
    <w:pPr>
      <w:spacing w:before="60" w:after="60" w:line="440" w:lineRule="exact"/>
      <w:ind w:left="567" w:hanging="567"/>
      <w:jc w:val="both"/>
    </w:pPr>
    <w:rPr>
      <w:rFonts w:ascii="新細明體" w:eastAsia="新細明體" w:hAnsi="Times New Roman" w:cs="Times New Roman"/>
      <w:b/>
      <w:spacing w:val="20"/>
      <w:szCs w:val="20"/>
    </w:rPr>
  </w:style>
  <w:style w:type="paragraph" w:customStyle="1" w:styleId="61">
    <w:name w:val="樣式6"/>
    <w:basedOn w:val="a0"/>
    <w:autoRedefine/>
    <w:uiPriority w:val="99"/>
    <w:rsid w:val="00BD14DA"/>
    <w:pPr>
      <w:spacing w:line="440" w:lineRule="exact"/>
      <w:ind w:firstLine="510"/>
      <w:jc w:val="both"/>
    </w:pPr>
    <w:rPr>
      <w:rFonts w:ascii="標楷體" w:eastAsia="標楷體" w:hAnsi="Times New Roman" w:cs="Times New Roman"/>
      <w:szCs w:val="20"/>
    </w:rPr>
  </w:style>
  <w:style w:type="paragraph" w:customStyle="1" w:styleId="71">
    <w:name w:val="樣式7"/>
    <w:basedOn w:val="a0"/>
    <w:autoRedefine/>
    <w:uiPriority w:val="99"/>
    <w:rsid w:val="00BD14DA"/>
    <w:pPr>
      <w:spacing w:before="60" w:after="60" w:line="440" w:lineRule="exact"/>
      <w:ind w:firstLine="510"/>
      <w:jc w:val="both"/>
    </w:pPr>
    <w:rPr>
      <w:rFonts w:ascii="新細明體" w:eastAsia="新細明體" w:hAnsi="Times New Roman" w:cs="Times New Roman"/>
      <w:b/>
      <w:spacing w:val="20"/>
      <w:sz w:val="22"/>
      <w:szCs w:val="20"/>
    </w:rPr>
  </w:style>
  <w:style w:type="paragraph" w:customStyle="1" w:styleId="81">
    <w:name w:val="樣式8"/>
    <w:basedOn w:val="a0"/>
    <w:autoRedefine/>
    <w:uiPriority w:val="99"/>
    <w:rsid w:val="00BD14DA"/>
    <w:pPr>
      <w:spacing w:line="440" w:lineRule="exact"/>
      <w:ind w:left="935" w:hanging="425"/>
      <w:jc w:val="both"/>
    </w:pPr>
    <w:rPr>
      <w:rFonts w:ascii="Times New Roman" w:eastAsia="新細明體" w:hAnsi="Times New Roman" w:cs="Times New Roman"/>
      <w:b/>
      <w:spacing w:val="14"/>
      <w:sz w:val="22"/>
      <w:szCs w:val="20"/>
    </w:rPr>
  </w:style>
  <w:style w:type="paragraph" w:styleId="affa">
    <w:name w:val="List Bullet"/>
    <w:basedOn w:val="a0"/>
    <w:autoRedefine/>
    <w:uiPriority w:val="99"/>
    <w:rsid w:val="00BD14DA"/>
    <w:pPr>
      <w:spacing w:line="240" w:lineRule="exact"/>
      <w:ind w:right="57"/>
      <w:jc w:val="right"/>
    </w:pPr>
    <w:rPr>
      <w:rFonts w:ascii="Times New Roman" w:eastAsia="標楷體" w:hAnsi="Times New Roman" w:cs="Times New Roman"/>
      <w:sz w:val="20"/>
      <w:szCs w:val="20"/>
    </w:rPr>
  </w:style>
  <w:style w:type="paragraph" w:customStyle="1" w:styleId="10035cm01cm">
    <w:name w:val="樣式 標楷體 10 點 粗體 分散對齊 左:  0.35 cm 右:  0.1 cm"/>
    <w:basedOn w:val="a0"/>
    <w:uiPriority w:val="99"/>
    <w:rsid w:val="00BD14DA"/>
    <w:pPr>
      <w:ind w:left="200" w:right="57"/>
      <w:jc w:val="distribute"/>
    </w:pPr>
    <w:rPr>
      <w:rFonts w:ascii="標楷體" w:eastAsia="標楷體" w:hAnsi="Times New Roman" w:cs="新細明體"/>
      <w:b/>
      <w:bCs/>
      <w:sz w:val="20"/>
      <w:szCs w:val="20"/>
    </w:rPr>
  </w:style>
  <w:style w:type="paragraph" w:customStyle="1" w:styleId="1-10">
    <w:name w:val="欄1-1"/>
    <w:basedOn w:val="a0"/>
    <w:uiPriority w:val="99"/>
    <w:rsid w:val="00BD14DA"/>
    <w:pPr>
      <w:spacing w:beforeLines="20" w:afterLines="20"/>
      <w:jc w:val="distribute"/>
    </w:pPr>
    <w:rPr>
      <w:rFonts w:ascii="Times New Roman" w:eastAsia="華康儷中黑" w:hAnsi="Times New Roman" w:cs="Times New Roman"/>
      <w:spacing w:val="6"/>
      <w:sz w:val="21"/>
      <w:szCs w:val="20"/>
    </w:rPr>
  </w:style>
  <w:style w:type="paragraph" w:customStyle="1" w:styleId="affb">
    <w:name w:val="標題一、"/>
    <w:basedOn w:val="a0"/>
    <w:uiPriority w:val="99"/>
    <w:rsid w:val="00BD14DA"/>
    <w:pPr>
      <w:spacing w:beforeLines="20" w:afterLines="20" w:line="400" w:lineRule="exact"/>
      <w:ind w:leftChars="100" w:left="310" w:hangingChars="210" w:hanging="210"/>
      <w:jc w:val="both"/>
    </w:pPr>
    <w:rPr>
      <w:rFonts w:ascii="Times New Roman" w:eastAsia="標楷體" w:hAnsi="Times New Roman" w:cs="新細明體"/>
      <w:bCs/>
      <w:sz w:val="32"/>
      <w:szCs w:val="32"/>
    </w:rPr>
  </w:style>
  <w:style w:type="paragraph" w:customStyle="1" w:styleId="1-3">
    <w:name w:val="欄1-3"/>
    <w:basedOn w:val="a0"/>
    <w:uiPriority w:val="99"/>
    <w:rsid w:val="00BD14DA"/>
    <w:pPr>
      <w:spacing w:beforeLines="20" w:afterLines="20"/>
      <w:ind w:leftChars="150" w:left="150"/>
      <w:jc w:val="right"/>
    </w:pPr>
    <w:rPr>
      <w:rFonts w:ascii="Times New Roman" w:eastAsia="華康楷書體W5" w:hAnsi="Times New Roman" w:cs="Times New Roman"/>
      <w:spacing w:val="10"/>
      <w:sz w:val="19"/>
      <w:szCs w:val="20"/>
    </w:rPr>
  </w:style>
  <w:style w:type="paragraph" w:customStyle="1" w:styleId="2-">
    <w:name w:val="欄2-數字"/>
    <w:basedOn w:val="a0"/>
    <w:uiPriority w:val="99"/>
    <w:rsid w:val="00BD14DA"/>
    <w:pPr>
      <w:spacing w:beforeLines="20" w:afterLines="20"/>
      <w:ind w:leftChars="10" w:left="24" w:rightChars="10" w:right="24"/>
      <w:jc w:val="right"/>
    </w:pPr>
    <w:rPr>
      <w:rFonts w:ascii="Times New Roman" w:eastAsia="華康楷書體W5" w:hAnsi="Times New Roman" w:cs="Times New Roman"/>
      <w:spacing w:val="-6"/>
      <w:w w:val="85"/>
      <w:sz w:val="20"/>
      <w:szCs w:val="20"/>
    </w:rPr>
  </w:style>
  <w:style w:type="paragraph" w:customStyle="1" w:styleId="affc">
    <w:name w:val="標題[甲、乙、丙]"/>
    <w:basedOn w:val="1"/>
    <w:uiPriority w:val="99"/>
    <w:qFormat/>
    <w:rsid w:val="00BD14DA"/>
  </w:style>
  <w:style w:type="paragraph" w:customStyle="1" w:styleId="affd">
    <w:name w:val="壹、貳、参"/>
    <w:uiPriority w:val="99"/>
    <w:qFormat/>
    <w:rsid w:val="00BD14DA"/>
    <w:pPr>
      <w:jc w:val="both"/>
    </w:pPr>
    <w:rPr>
      <w:rFonts w:ascii="Cambria" w:eastAsia="標楷體" w:hAnsi="Cambria" w:cs="Times New Roman"/>
      <w:b/>
      <w:bCs/>
      <w:kern w:val="52"/>
      <w:sz w:val="36"/>
      <w:szCs w:val="52"/>
    </w:rPr>
  </w:style>
  <w:style w:type="paragraph" w:customStyle="1" w:styleId="affe">
    <w:name w:val="內紋"/>
    <w:basedOn w:val="a0"/>
    <w:uiPriority w:val="99"/>
    <w:qFormat/>
    <w:rsid w:val="00BD14DA"/>
    <w:pPr>
      <w:widowControl/>
      <w:spacing w:line="460" w:lineRule="exact"/>
      <w:ind w:firstLineChars="200" w:firstLine="200"/>
      <w:jc w:val="both"/>
    </w:pPr>
    <w:rPr>
      <w:rFonts w:ascii="標楷體" w:eastAsia="標楷體" w:hAnsi="標楷體" w:cs="標楷體"/>
      <w:bCs/>
      <w:kern w:val="52"/>
      <w:szCs w:val="52"/>
    </w:rPr>
  </w:style>
  <w:style w:type="numbering" w:customStyle="1" w:styleId="113">
    <w:name w:val="無清單11"/>
    <w:next w:val="a3"/>
    <w:uiPriority w:val="99"/>
    <w:semiHidden/>
    <w:unhideWhenUsed/>
    <w:rsid w:val="00BD14DA"/>
  </w:style>
  <w:style w:type="numbering" w:customStyle="1" w:styleId="23">
    <w:name w:val="無清單2"/>
    <w:next w:val="a3"/>
    <w:uiPriority w:val="99"/>
    <w:semiHidden/>
    <w:unhideWhenUsed/>
    <w:rsid w:val="00BD14DA"/>
  </w:style>
  <w:style w:type="paragraph" w:customStyle="1" w:styleId="afff">
    <w:name w:val="一、二、三"/>
    <w:uiPriority w:val="99"/>
    <w:qFormat/>
    <w:rsid w:val="00BD14DA"/>
    <w:rPr>
      <w:rFonts w:ascii="Cambria" w:eastAsia="標楷體" w:hAnsi="Cambria" w:cs="Times New Roman"/>
      <w:b/>
      <w:bCs/>
      <w:kern w:val="52"/>
      <w:sz w:val="32"/>
      <w:szCs w:val="52"/>
    </w:rPr>
  </w:style>
  <w:style w:type="paragraph" w:customStyle="1" w:styleId="afff0">
    <w:name w:val="(一)、(二)"/>
    <w:uiPriority w:val="99"/>
    <w:qFormat/>
    <w:rsid w:val="00BD14DA"/>
    <w:pPr>
      <w:ind w:firstLineChars="100" w:firstLine="100"/>
    </w:pPr>
    <w:rPr>
      <w:rFonts w:ascii="Cambria" w:eastAsia="標楷體" w:hAnsi="Cambria" w:cs="Times New Roman"/>
      <w:b/>
      <w:bCs/>
      <w:kern w:val="52"/>
      <w:sz w:val="28"/>
      <w:szCs w:val="52"/>
    </w:rPr>
  </w:style>
  <w:style w:type="character" w:customStyle="1" w:styleId="word12">
    <w:name w:val="word12"/>
    <w:rsid w:val="00BD14DA"/>
    <w:rPr>
      <w:sz w:val="24"/>
      <w:szCs w:val="24"/>
    </w:rPr>
  </w:style>
  <w:style w:type="paragraph" w:customStyle="1" w:styleId="xl32">
    <w:name w:val="xl32"/>
    <w:basedOn w:val="a0"/>
    <w:uiPriority w:val="99"/>
    <w:rsid w:val="00BD14DA"/>
    <w:pPr>
      <w:widowControl/>
      <w:pBdr>
        <w:top w:val="single" w:sz="4" w:space="0" w:color="auto"/>
        <w:left w:val="single" w:sz="4" w:space="0" w:color="auto"/>
        <w:bottom w:val="single" w:sz="8" w:space="0" w:color="auto"/>
        <w:right w:val="single" w:sz="8" w:space="0" w:color="auto"/>
      </w:pBdr>
      <w:spacing w:before="100" w:beforeAutospacing="1" w:after="100" w:afterAutospacing="1"/>
    </w:pPr>
    <w:rPr>
      <w:rFonts w:ascii="標楷體" w:eastAsia="標楷體" w:hAnsi="Times New Roman" w:cs="Times New Roman" w:hint="eastAsia"/>
      <w:kern w:val="0"/>
      <w:szCs w:val="24"/>
    </w:rPr>
  </w:style>
  <w:style w:type="paragraph" w:customStyle="1" w:styleId="afff1">
    <w:name w:val="說明"/>
    <w:basedOn w:val="a0"/>
    <w:uiPriority w:val="99"/>
    <w:rsid w:val="00BD14DA"/>
    <w:pPr>
      <w:wordWrap w:val="0"/>
      <w:snapToGrid w:val="0"/>
      <w:ind w:left="567" w:hanging="567"/>
    </w:pPr>
    <w:rPr>
      <w:rFonts w:ascii="Times New Roman" w:eastAsia="標楷體" w:hAnsi="Times New Roman" w:cs="Times New Roman"/>
      <w:sz w:val="32"/>
      <w:szCs w:val="20"/>
    </w:rPr>
  </w:style>
  <w:style w:type="paragraph" w:customStyle="1" w:styleId="afff2">
    <w:name w:val="乙篇(壹貳參)"/>
    <w:basedOn w:val="02"/>
    <w:uiPriority w:val="99"/>
    <w:rsid w:val="00BD14DA"/>
    <w:rPr>
      <w:sz w:val="36"/>
      <w:szCs w:val="36"/>
    </w:rPr>
  </w:style>
  <w:style w:type="paragraph" w:styleId="afff3">
    <w:name w:val="footnote text"/>
    <w:aliases w:val="註腳文字 字元 字元,註腳文字1, 字元,字元"/>
    <w:basedOn w:val="a0"/>
    <w:link w:val="afff4"/>
    <w:uiPriority w:val="99"/>
    <w:rsid w:val="00BD14DA"/>
    <w:pPr>
      <w:snapToGrid w:val="0"/>
    </w:pPr>
    <w:rPr>
      <w:rFonts w:ascii="Times New Roman" w:eastAsia="新細明體" w:hAnsi="Times New Roman" w:cs="Times New Roman"/>
      <w:sz w:val="20"/>
      <w:szCs w:val="20"/>
    </w:rPr>
  </w:style>
  <w:style w:type="character" w:customStyle="1" w:styleId="afff4">
    <w:name w:val="註腳文字 字元"/>
    <w:aliases w:val="註腳文字 字元 字元 字元,註腳文字1 字元, 字元 字元,字元 字元"/>
    <w:basedOn w:val="a1"/>
    <w:link w:val="afff3"/>
    <w:uiPriority w:val="99"/>
    <w:rsid w:val="00BD14DA"/>
    <w:rPr>
      <w:rFonts w:ascii="Times New Roman" w:eastAsia="新細明體" w:hAnsi="Times New Roman" w:cs="Times New Roman"/>
      <w:sz w:val="20"/>
      <w:szCs w:val="20"/>
    </w:rPr>
  </w:style>
  <w:style w:type="character" w:styleId="afff5">
    <w:name w:val="footnote reference"/>
    <w:aliases w:val="FR,Ref,de nota al pie,註腳內容,Error-Fußnotenzeichen5,Error-Fußnotenzeichen6,Error-Fußnotenzeichen3"/>
    <w:uiPriority w:val="99"/>
    <w:qFormat/>
    <w:rsid w:val="00BD14DA"/>
    <w:rPr>
      <w:vertAlign w:val="superscript"/>
    </w:rPr>
  </w:style>
  <w:style w:type="paragraph" w:customStyle="1" w:styleId="1d">
    <w:name w:val="註解主旨1"/>
    <w:basedOn w:val="aff3"/>
    <w:next w:val="aff3"/>
    <w:uiPriority w:val="99"/>
    <w:semiHidden/>
    <w:unhideWhenUsed/>
    <w:rsid w:val="00BD14DA"/>
    <w:rPr>
      <w:rFonts w:ascii="Calibri" w:hAnsi="Calibri"/>
      <w:b/>
      <w:bCs/>
      <w:szCs w:val="22"/>
    </w:rPr>
  </w:style>
  <w:style w:type="character" w:customStyle="1" w:styleId="afff6">
    <w:name w:val="註解主旨 字元"/>
    <w:basedOn w:val="aff4"/>
    <w:link w:val="afff7"/>
    <w:rsid w:val="00BD14DA"/>
    <w:rPr>
      <w:rFonts w:ascii="Calibri" w:eastAsia="新細明體" w:hAnsi="Calibri" w:cs="Times New Roman"/>
      <w:b/>
      <w:bCs/>
      <w:szCs w:val="20"/>
    </w:rPr>
  </w:style>
  <w:style w:type="paragraph" w:customStyle="1" w:styleId="1e">
    <w:name w:val="標題1."/>
    <w:basedOn w:val="a0"/>
    <w:rsid w:val="00BD14DA"/>
    <w:pPr>
      <w:spacing w:line="400" w:lineRule="exact"/>
      <w:ind w:firstLineChars="450" w:firstLine="450"/>
      <w:jc w:val="both"/>
    </w:pPr>
    <w:rPr>
      <w:rFonts w:ascii="標楷體" w:eastAsia="標楷體" w:hAnsi="Times New Roman" w:cs="新細明體"/>
      <w:bCs/>
      <w:szCs w:val="24"/>
    </w:rPr>
  </w:style>
  <w:style w:type="character" w:customStyle="1" w:styleId="1f">
    <w:name w:val="超連結1"/>
    <w:basedOn w:val="a1"/>
    <w:unhideWhenUsed/>
    <w:rsid w:val="00BD14DA"/>
    <w:rPr>
      <w:color w:val="0000FF"/>
      <w:u w:val="single"/>
    </w:rPr>
  </w:style>
  <w:style w:type="paragraph" w:customStyle="1" w:styleId="afff8">
    <w:name w:val="標題一"/>
    <w:basedOn w:val="a0"/>
    <w:rsid w:val="00BD14DA"/>
    <w:pPr>
      <w:widowControl/>
      <w:spacing w:before="120" w:line="520" w:lineRule="exact"/>
      <w:ind w:left="1288" w:hanging="644"/>
      <w:jc w:val="both"/>
      <w:outlineLvl w:val="0"/>
    </w:pPr>
    <w:rPr>
      <w:rFonts w:ascii="標楷體" w:eastAsia="標楷體" w:hAnsi="Times New Roman" w:cs="Times New Roman"/>
      <w:kern w:val="0"/>
      <w:sz w:val="32"/>
      <w:szCs w:val="20"/>
    </w:rPr>
  </w:style>
  <w:style w:type="paragraph" w:customStyle="1" w:styleId="afff9">
    <w:name w:val="大項"/>
    <w:basedOn w:val="a0"/>
    <w:rsid w:val="00BD14DA"/>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 w:type="paragraph" w:customStyle="1" w:styleId="afffa">
    <w:name w:val="副本"/>
    <w:basedOn w:val="37"/>
    <w:uiPriority w:val="99"/>
    <w:rsid w:val="00BD14DA"/>
    <w:pPr>
      <w:snapToGrid w:val="0"/>
      <w:spacing w:after="0" w:line="300" w:lineRule="exact"/>
      <w:ind w:leftChars="0" w:left="720" w:hanging="720"/>
    </w:pPr>
    <w:rPr>
      <w:rFonts w:ascii="Arial" w:eastAsia="標楷體" w:hAnsi="Arial"/>
      <w:sz w:val="24"/>
      <w:szCs w:val="24"/>
    </w:rPr>
  </w:style>
  <w:style w:type="paragraph" w:styleId="37">
    <w:name w:val="Body Text Indent 3"/>
    <w:basedOn w:val="a0"/>
    <w:link w:val="38"/>
    <w:unhideWhenUsed/>
    <w:rsid w:val="00BD14DA"/>
    <w:pPr>
      <w:spacing w:after="120"/>
      <w:ind w:leftChars="200" w:left="480"/>
    </w:pPr>
    <w:rPr>
      <w:rFonts w:ascii="Times New Roman" w:eastAsia="新細明體" w:hAnsi="Times New Roman" w:cs="Times New Roman"/>
      <w:sz w:val="16"/>
      <w:szCs w:val="16"/>
    </w:rPr>
  </w:style>
  <w:style w:type="character" w:customStyle="1" w:styleId="38">
    <w:name w:val="本文縮排 3 字元"/>
    <w:basedOn w:val="a1"/>
    <w:link w:val="37"/>
    <w:rsid w:val="00BD14DA"/>
    <w:rPr>
      <w:rFonts w:ascii="Times New Roman" w:eastAsia="新細明體" w:hAnsi="Times New Roman" w:cs="Times New Roman"/>
      <w:sz w:val="16"/>
      <w:szCs w:val="16"/>
    </w:rPr>
  </w:style>
  <w:style w:type="paragraph" w:customStyle="1" w:styleId="24">
    <w:name w:val="內文2"/>
    <w:uiPriority w:val="99"/>
    <w:rsid w:val="00BD14DA"/>
    <w:pPr>
      <w:widowControl w:val="0"/>
    </w:pPr>
    <w:rPr>
      <w:rFonts w:ascii="Times New Roman" w:eastAsia="新細明體" w:hAnsi="Times New Roman" w:cs="Times New Roman"/>
      <w:szCs w:val="24"/>
    </w:rPr>
  </w:style>
  <w:style w:type="paragraph" w:customStyle="1" w:styleId="39">
    <w:name w:val="內文3"/>
    <w:uiPriority w:val="99"/>
    <w:rsid w:val="00BD14DA"/>
    <w:pPr>
      <w:widowControl w:val="0"/>
      <w:suppressAutoHyphens/>
      <w:textAlignment w:val="baseline"/>
    </w:pPr>
    <w:rPr>
      <w:rFonts w:ascii="Times New Roman" w:eastAsia="新細明體" w:hAnsi="Times New Roman" w:cs="Times New Roman"/>
      <w:kern w:val="3"/>
      <w:szCs w:val="24"/>
    </w:rPr>
  </w:style>
  <w:style w:type="paragraph" w:customStyle="1" w:styleId="44">
    <w:name w:val="內文4"/>
    <w:uiPriority w:val="99"/>
    <w:rsid w:val="00BD14DA"/>
    <w:pPr>
      <w:widowControl w:val="0"/>
    </w:pPr>
    <w:rPr>
      <w:rFonts w:ascii="Times New Roman" w:eastAsia="新細明體" w:hAnsi="Times New Roman" w:cs="Times New Roman"/>
      <w:szCs w:val="24"/>
    </w:rPr>
  </w:style>
  <w:style w:type="paragraph" w:customStyle="1" w:styleId="55">
    <w:name w:val="內文5"/>
    <w:uiPriority w:val="99"/>
    <w:rsid w:val="00BD14DA"/>
    <w:pPr>
      <w:widowControl w:val="0"/>
      <w:suppressAutoHyphens/>
      <w:textAlignment w:val="baseline"/>
    </w:pPr>
    <w:rPr>
      <w:rFonts w:ascii="Times New Roman" w:eastAsia="新細明體" w:hAnsi="Times New Roman" w:cs="Times New Roman"/>
      <w:kern w:val="3"/>
      <w:szCs w:val="24"/>
    </w:rPr>
  </w:style>
  <w:style w:type="paragraph" w:customStyle="1" w:styleId="62">
    <w:name w:val="內文6"/>
    <w:uiPriority w:val="99"/>
    <w:rsid w:val="00BD14DA"/>
    <w:pPr>
      <w:widowControl w:val="0"/>
    </w:pPr>
    <w:rPr>
      <w:rFonts w:ascii="Times New Roman" w:eastAsia="新細明體" w:hAnsi="Times New Roman" w:cs="Times New Roman"/>
      <w:szCs w:val="24"/>
    </w:rPr>
  </w:style>
  <w:style w:type="paragraph" w:customStyle="1" w:styleId="92">
    <w:name w:val="樣式9"/>
    <w:basedOn w:val="04"/>
    <w:uiPriority w:val="99"/>
    <w:rsid w:val="00BD14DA"/>
  </w:style>
  <w:style w:type="character" w:customStyle="1" w:styleId="1f0">
    <w:name w:val="已查閱的超連結1"/>
    <w:basedOn w:val="a1"/>
    <w:uiPriority w:val="99"/>
    <w:semiHidden/>
    <w:unhideWhenUsed/>
    <w:rsid w:val="00BD14DA"/>
    <w:rPr>
      <w:color w:val="800080"/>
      <w:u w:val="single"/>
    </w:rPr>
  </w:style>
  <w:style w:type="character" w:customStyle="1" w:styleId="212">
    <w:name w:val="標題 2 字元1"/>
    <w:aliases w:val="節 字元1,節1 字元1,一 字元1,1.1節 字元1"/>
    <w:basedOn w:val="a1"/>
    <w:semiHidden/>
    <w:rsid w:val="00BD14DA"/>
    <w:rPr>
      <w:rFonts w:ascii="Cambria" w:eastAsia="新細明體" w:hAnsi="Cambria" w:cs="Times New Roman"/>
      <w:b/>
      <w:bCs/>
      <w:kern w:val="2"/>
      <w:sz w:val="48"/>
      <w:szCs w:val="48"/>
    </w:rPr>
  </w:style>
  <w:style w:type="paragraph" w:styleId="afffb">
    <w:name w:val="Body Text Indent"/>
    <w:basedOn w:val="a0"/>
    <w:link w:val="afffc"/>
    <w:unhideWhenUsed/>
    <w:rsid w:val="00BD14DA"/>
    <w:pPr>
      <w:spacing w:after="120"/>
      <w:ind w:leftChars="200" w:left="480"/>
    </w:pPr>
    <w:rPr>
      <w:rFonts w:ascii="Times New Roman" w:eastAsia="新細明體" w:hAnsi="Times New Roman" w:cs="Times New Roman"/>
      <w:szCs w:val="24"/>
    </w:rPr>
  </w:style>
  <w:style w:type="character" w:customStyle="1" w:styleId="afffc">
    <w:name w:val="本文縮排 字元"/>
    <w:basedOn w:val="a1"/>
    <w:link w:val="afffb"/>
    <w:rsid w:val="00BD14DA"/>
    <w:rPr>
      <w:rFonts w:ascii="Times New Roman" w:eastAsia="新細明體" w:hAnsi="Times New Roman" w:cs="Times New Roman"/>
      <w:szCs w:val="24"/>
    </w:rPr>
  </w:style>
  <w:style w:type="character" w:customStyle="1" w:styleId="1f1">
    <w:name w:val="純文字 字元1"/>
    <w:aliases w:val="一般文字 字元 字元1,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2"/>
    <w:basedOn w:val="a1"/>
    <w:semiHidden/>
    <w:rsid w:val="00BD14DA"/>
    <w:rPr>
      <w:rFonts w:ascii="細明體" w:eastAsia="細明體" w:hAnsi="Courier New" w:cs="Courier New"/>
      <w:kern w:val="2"/>
      <w:sz w:val="24"/>
      <w:szCs w:val="24"/>
    </w:rPr>
  </w:style>
  <w:style w:type="character" w:customStyle="1" w:styleId="1c">
    <w:name w:val="樣式1 字元"/>
    <w:link w:val="1b"/>
    <w:locked/>
    <w:rsid w:val="00BD14DA"/>
    <w:rPr>
      <w:rFonts w:ascii="標楷體" w:eastAsia="標楷體" w:hAnsi="Times New Roman" w:cs="Times New Roman"/>
      <w:sz w:val="28"/>
      <w:szCs w:val="20"/>
    </w:rPr>
  </w:style>
  <w:style w:type="table" w:customStyle="1" w:styleId="64">
    <w:name w:val="表格格線6"/>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Placeholder Text"/>
    <w:basedOn w:val="a1"/>
    <w:uiPriority w:val="99"/>
    <w:semiHidden/>
    <w:rsid w:val="00BD14DA"/>
    <w:rPr>
      <w:color w:val="808080"/>
    </w:rPr>
  </w:style>
  <w:style w:type="paragraph" w:customStyle="1" w:styleId="25">
    <w:name w:val="報標2"/>
    <w:uiPriority w:val="99"/>
    <w:rsid w:val="00BD14DA"/>
    <w:pPr>
      <w:spacing w:line="520" w:lineRule="exact"/>
      <w:outlineLvl w:val="1"/>
    </w:pPr>
    <w:rPr>
      <w:rFonts w:ascii="標楷體" w:eastAsia="標楷體" w:hAnsi="標楷體" w:cs="標楷體"/>
      <w:b/>
      <w:bCs/>
      <w:color w:val="000000"/>
      <w:kern w:val="52"/>
      <w:sz w:val="32"/>
      <w:szCs w:val="32"/>
    </w:rPr>
  </w:style>
  <w:style w:type="table" w:customStyle="1" w:styleId="-11">
    <w:name w:val="淺色網底 - 輔色 11"/>
    <w:basedOn w:val="a2"/>
    <w:uiPriority w:val="60"/>
    <w:rsid w:val="00BD14DA"/>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3">
    <w:name w:val="表格格線7"/>
    <w:basedOn w:val="a2"/>
    <w:next w:val="a6"/>
    <w:uiPriority w:val="5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Balloon Text"/>
    <w:basedOn w:val="a0"/>
    <w:link w:val="1f2"/>
    <w:uiPriority w:val="99"/>
    <w:unhideWhenUsed/>
    <w:rsid w:val="00BD14DA"/>
    <w:rPr>
      <w:rFonts w:asciiTheme="majorHAnsi" w:eastAsiaTheme="majorEastAsia" w:hAnsiTheme="majorHAnsi" w:cstheme="majorBidi"/>
      <w:sz w:val="18"/>
      <w:szCs w:val="18"/>
    </w:rPr>
  </w:style>
  <w:style w:type="character" w:customStyle="1" w:styleId="1f2">
    <w:name w:val="註解方塊文字 字元1"/>
    <w:basedOn w:val="a1"/>
    <w:link w:val="afa"/>
    <w:uiPriority w:val="99"/>
    <w:rsid w:val="00BD14DA"/>
    <w:rPr>
      <w:rFonts w:asciiTheme="majorHAnsi" w:eastAsiaTheme="majorEastAsia" w:hAnsiTheme="majorHAnsi" w:cstheme="majorBidi"/>
      <w:sz w:val="18"/>
      <w:szCs w:val="18"/>
    </w:rPr>
  </w:style>
  <w:style w:type="character" w:customStyle="1" w:styleId="115">
    <w:name w:val="標題 1 字元1"/>
    <w:basedOn w:val="a1"/>
    <w:uiPriority w:val="9"/>
    <w:rsid w:val="00BD14DA"/>
    <w:rPr>
      <w:rFonts w:asciiTheme="majorHAnsi" w:eastAsiaTheme="majorEastAsia" w:hAnsiTheme="majorHAnsi" w:cstheme="majorBidi"/>
      <w:b/>
      <w:bCs/>
      <w:kern w:val="52"/>
      <w:sz w:val="52"/>
      <w:szCs w:val="52"/>
    </w:rPr>
  </w:style>
  <w:style w:type="paragraph" w:styleId="afff7">
    <w:name w:val="annotation subject"/>
    <w:basedOn w:val="aff3"/>
    <w:next w:val="aff3"/>
    <w:link w:val="afff6"/>
    <w:unhideWhenUsed/>
    <w:rsid w:val="00BD14DA"/>
    <w:rPr>
      <w:rFonts w:ascii="Calibri" w:hAnsi="Calibri"/>
      <w:b/>
      <w:bCs/>
    </w:rPr>
  </w:style>
  <w:style w:type="character" w:customStyle="1" w:styleId="1f3">
    <w:name w:val="註解主旨 字元1"/>
    <w:basedOn w:val="aff4"/>
    <w:uiPriority w:val="99"/>
    <w:semiHidden/>
    <w:rsid w:val="00BD14DA"/>
    <w:rPr>
      <w:rFonts w:ascii="Times New Roman" w:eastAsia="新細明體" w:hAnsi="Times New Roman" w:cs="Times New Roman"/>
      <w:b/>
      <w:bCs/>
      <w:szCs w:val="20"/>
    </w:rPr>
  </w:style>
  <w:style w:type="character" w:styleId="afffe">
    <w:name w:val="Hyperlink"/>
    <w:basedOn w:val="a1"/>
    <w:uiPriority w:val="99"/>
    <w:unhideWhenUsed/>
    <w:rsid w:val="00BD14DA"/>
    <w:rPr>
      <w:color w:val="0563C1" w:themeColor="hyperlink"/>
      <w:u w:val="single"/>
    </w:rPr>
  </w:style>
  <w:style w:type="character" w:styleId="affff">
    <w:name w:val="FollowedHyperlink"/>
    <w:basedOn w:val="a1"/>
    <w:uiPriority w:val="99"/>
    <w:unhideWhenUsed/>
    <w:rsid w:val="00BD14DA"/>
    <w:rPr>
      <w:color w:val="954F72" w:themeColor="followedHyperlink"/>
      <w:u w:val="single"/>
    </w:rPr>
  </w:style>
  <w:style w:type="table" w:customStyle="1" w:styleId="281">
    <w:name w:val="表格格線281"/>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表格格線8"/>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2"/>
    <w:next w:val="a6"/>
    <w:uiPriority w:val="5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2"/>
    <w:next w:val="a6"/>
    <w:uiPriority w:val="5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2"/>
    <w:next w:val="a6"/>
    <w:uiPriority w:val="5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2"/>
    <w:next w:val="a6"/>
    <w:uiPriority w:val="5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2"/>
    <w:next w:val="a6"/>
    <w:uiPriority w:val="3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9"/>
    <w:basedOn w:val="a2"/>
    <w:next w:val="a6"/>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2"/>
    <w:next w:val="a6"/>
    <w:uiPriority w:val="3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2"/>
    <w:next w:val="a6"/>
    <w:uiPriority w:val="3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2"/>
    <w:next w:val="a6"/>
    <w:uiPriority w:val="5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2"/>
    <w:next w:val="a6"/>
    <w:uiPriority w:val="5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6"/>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2"/>
    <w:next w:val="a6"/>
    <w:uiPriority w:val="39"/>
    <w:qFormat/>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格格線28"/>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0">
    <w:name w:val="內文範本"/>
    <w:basedOn w:val="a0"/>
    <w:link w:val="affff1"/>
    <w:qFormat/>
    <w:rsid w:val="00BD14DA"/>
    <w:pPr>
      <w:spacing w:beforeLines="50" w:before="180" w:line="520" w:lineRule="exact"/>
      <w:ind w:leftChars="250" w:left="250" w:firstLineChars="200" w:firstLine="200"/>
      <w:jc w:val="both"/>
    </w:pPr>
    <w:rPr>
      <w:rFonts w:ascii="標楷體" w:eastAsia="標楷體" w:hAnsi="標楷體"/>
      <w:sz w:val="32"/>
      <w:szCs w:val="32"/>
    </w:rPr>
  </w:style>
  <w:style w:type="character" w:customStyle="1" w:styleId="affff1">
    <w:name w:val="內文範本 字元"/>
    <w:basedOn w:val="a1"/>
    <w:link w:val="affff0"/>
    <w:rsid w:val="00BD14DA"/>
    <w:rPr>
      <w:rFonts w:ascii="標楷體" w:eastAsia="標楷體" w:hAnsi="標楷體"/>
      <w:sz w:val="32"/>
      <w:szCs w:val="32"/>
    </w:rPr>
  </w:style>
  <w:style w:type="paragraph" w:customStyle="1" w:styleId="affff2">
    <w:name w:val="標題壹、"/>
    <w:basedOn w:val="a0"/>
    <w:rsid w:val="00BD14DA"/>
    <w:pPr>
      <w:spacing w:line="360" w:lineRule="auto"/>
      <w:jc w:val="both"/>
    </w:pPr>
    <w:rPr>
      <w:rFonts w:ascii="Times New Roman" w:eastAsia="標楷體" w:hAnsi="Times New Roman" w:cs="新細明體"/>
      <w:b/>
      <w:bCs/>
      <w:sz w:val="36"/>
      <w:szCs w:val="36"/>
    </w:rPr>
  </w:style>
  <w:style w:type="paragraph" w:customStyle="1" w:styleId="affff3">
    <w:name w:val="標題（一）"/>
    <w:basedOn w:val="a0"/>
    <w:rsid w:val="00BD14DA"/>
    <w:pPr>
      <w:spacing w:beforeLines="20" w:afterLines="20" w:line="400" w:lineRule="exact"/>
      <w:ind w:firstLineChars="200" w:firstLine="200"/>
      <w:jc w:val="both"/>
    </w:pPr>
    <w:rPr>
      <w:rFonts w:ascii="Times New Roman" w:eastAsia="標楷體" w:hAnsi="Times New Roman" w:cs="新細明體"/>
      <w:b/>
      <w:bCs/>
      <w:sz w:val="28"/>
      <w:szCs w:val="28"/>
    </w:rPr>
  </w:style>
  <w:style w:type="paragraph" w:customStyle="1" w:styleId="affff4">
    <w:name w:val="乙篇主文"/>
    <w:basedOn w:val="a0"/>
    <w:rsid w:val="00BD14DA"/>
    <w:pPr>
      <w:spacing w:line="400" w:lineRule="exact"/>
      <w:ind w:firstLineChars="200" w:firstLine="200"/>
      <w:jc w:val="both"/>
    </w:pPr>
    <w:rPr>
      <w:rFonts w:ascii="標楷體" w:eastAsia="標楷體" w:hAnsi="Times New Roman" w:cs="Times New Roman"/>
      <w:szCs w:val="24"/>
    </w:rPr>
  </w:style>
  <w:style w:type="character" w:customStyle="1" w:styleId="affff5">
    <w:name w:val="乙篇主文 字元"/>
    <w:basedOn w:val="a1"/>
    <w:locked/>
    <w:rsid w:val="00BD14DA"/>
    <w:rPr>
      <w:rFonts w:ascii="標楷體" w:eastAsia="標楷體"/>
      <w:kern w:val="2"/>
      <w:sz w:val="24"/>
      <w:szCs w:val="24"/>
      <w:lang w:val="en-US" w:eastAsia="zh-TW" w:bidi="ar-SA"/>
    </w:rPr>
  </w:style>
  <w:style w:type="paragraph" w:customStyle="1" w:styleId="1-2">
    <w:name w:val="表格欄1-2"/>
    <w:basedOn w:val="a0"/>
    <w:rsid w:val="00BD14DA"/>
    <w:pPr>
      <w:ind w:firstLineChars="100" w:firstLine="100"/>
      <w:jc w:val="distribute"/>
    </w:pPr>
    <w:rPr>
      <w:rFonts w:ascii="Times New Roman" w:eastAsia="標楷體" w:hAnsi="Times New Roman" w:cs="新細明體"/>
      <w:b/>
      <w:sz w:val="20"/>
      <w:szCs w:val="18"/>
    </w:rPr>
  </w:style>
  <w:style w:type="character" w:customStyle="1" w:styleId="1-20">
    <w:name w:val="表格欄1-2 字元"/>
    <w:basedOn w:val="a1"/>
    <w:locked/>
    <w:rsid w:val="00BD14DA"/>
    <w:rPr>
      <w:rFonts w:eastAsia="標楷體" w:cs="新細明體"/>
      <w:b/>
      <w:kern w:val="2"/>
      <w:szCs w:val="18"/>
      <w:lang w:val="en-US" w:eastAsia="zh-TW" w:bidi="ar-SA"/>
    </w:rPr>
  </w:style>
  <w:style w:type="paragraph" w:customStyle="1" w:styleId="1-32">
    <w:name w:val="表格欄1-3退2"/>
    <w:basedOn w:val="a0"/>
    <w:rsid w:val="00BD14DA"/>
    <w:pPr>
      <w:ind w:rightChars="10" w:right="10" w:firstLineChars="200" w:firstLine="200"/>
      <w:jc w:val="distribute"/>
    </w:pPr>
    <w:rPr>
      <w:rFonts w:ascii="Times New Roman" w:eastAsia="標楷體" w:hAnsi="Times New Roman" w:cs="新細明體"/>
      <w:sz w:val="18"/>
      <w:szCs w:val="18"/>
    </w:rPr>
  </w:style>
  <w:style w:type="character" w:customStyle="1" w:styleId="1-11">
    <w:name w:val="表格欄1-1主管 字元"/>
    <w:basedOn w:val="a1"/>
    <w:locked/>
    <w:rsid w:val="00BD14DA"/>
    <w:rPr>
      <w:rFonts w:eastAsia="標楷體" w:cs="新細明體"/>
      <w:b/>
      <w:kern w:val="2"/>
      <w:lang w:val="en-US" w:eastAsia="zh-TW" w:bidi="ar-SA"/>
    </w:rPr>
  </w:style>
  <w:style w:type="character" w:customStyle="1" w:styleId="1-320">
    <w:name w:val="表格欄1-3退2 字元"/>
    <w:basedOn w:val="a1"/>
    <w:locked/>
    <w:rsid w:val="00BD14DA"/>
    <w:rPr>
      <w:rFonts w:eastAsia="標楷體" w:cs="新細明體"/>
      <w:kern w:val="2"/>
      <w:sz w:val="18"/>
      <w:szCs w:val="18"/>
      <w:lang w:val="en-US" w:eastAsia="zh-TW" w:bidi="ar-SA"/>
    </w:rPr>
  </w:style>
  <w:style w:type="paragraph" w:customStyle="1" w:styleId="affff6">
    <w:name w:val="跨頁標頭"/>
    <w:basedOn w:val="a0"/>
    <w:rsid w:val="00BD14DA"/>
    <w:pPr>
      <w:spacing w:afterLines="50"/>
      <w:jc w:val="right"/>
    </w:pPr>
    <w:rPr>
      <w:rFonts w:ascii="華康楷書體W5" w:eastAsia="華康楷書體W5" w:hAnsi="Times New Roman" w:cs="Times New Roman"/>
      <w:b/>
      <w:spacing w:val="60"/>
      <w:sz w:val="30"/>
      <w:szCs w:val="20"/>
      <w:u w:val="single"/>
    </w:rPr>
  </w:style>
  <w:style w:type="paragraph" w:customStyle="1" w:styleId="affff7">
    <w:name w:val="單元 字元"/>
    <w:basedOn w:val="a0"/>
    <w:rsid w:val="00BD14DA"/>
    <w:pPr>
      <w:snapToGrid w:val="0"/>
      <w:ind w:rightChars="100" w:right="100"/>
      <w:jc w:val="right"/>
    </w:pPr>
    <w:rPr>
      <w:rFonts w:ascii="標楷體" w:eastAsia="標楷體" w:hAnsi="Arial Narrow" w:cs="Times New Roman"/>
      <w:w w:val="95"/>
      <w:sz w:val="20"/>
      <w:szCs w:val="20"/>
    </w:rPr>
  </w:style>
  <w:style w:type="character" w:customStyle="1" w:styleId="affff8">
    <w:name w:val="單元 字元 字元"/>
    <w:basedOn w:val="a1"/>
    <w:locked/>
    <w:rsid w:val="00BD14DA"/>
    <w:rPr>
      <w:rFonts w:ascii="標楷體" w:eastAsia="標楷體" w:hAnsi="Arial Narrow"/>
      <w:w w:val="95"/>
      <w:kern w:val="2"/>
      <w:lang w:val="en-US" w:eastAsia="zh-TW" w:bidi="ar-SA"/>
    </w:rPr>
  </w:style>
  <w:style w:type="paragraph" w:customStyle="1" w:styleId="45">
    <w:name w:val="欄4（原因分析）"/>
    <w:basedOn w:val="a0"/>
    <w:rsid w:val="00BD14DA"/>
    <w:pPr>
      <w:jc w:val="both"/>
    </w:pPr>
    <w:rPr>
      <w:rFonts w:ascii="標楷體" w:eastAsia="標楷體" w:hAnsi="Times New Roman" w:cs="新細明體"/>
      <w:w w:val="90"/>
      <w:sz w:val="18"/>
      <w:szCs w:val="18"/>
    </w:rPr>
  </w:style>
  <w:style w:type="paragraph" w:customStyle="1" w:styleId="affff9">
    <w:name w:val="甲篇內文"/>
    <w:basedOn w:val="affff4"/>
    <w:rsid w:val="00BD14DA"/>
    <w:pPr>
      <w:spacing w:line="460" w:lineRule="exact"/>
    </w:pPr>
    <w:rPr>
      <w:sz w:val="28"/>
      <w:szCs w:val="28"/>
    </w:rPr>
  </w:style>
  <w:style w:type="character" w:customStyle="1" w:styleId="affffa">
    <w:name w:val="甲篇內文 字元"/>
    <w:basedOn w:val="affff5"/>
    <w:locked/>
    <w:rsid w:val="00BD14DA"/>
    <w:rPr>
      <w:rFonts w:ascii="標楷體" w:eastAsia="標楷體"/>
      <w:kern w:val="2"/>
      <w:sz w:val="28"/>
      <w:szCs w:val="28"/>
      <w:lang w:val="en-US" w:eastAsia="zh-TW" w:bidi="ar-SA"/>
    </w:rPr>
  </w:style>
  <w:style w:type="paragraph" w:customStyle="1" w:styleId="1f4">
    <w:name w:val="表說1."/>
    <w:basedOn w:val="a0"/>
    <w:rsid w:val="00BD14DA"/>
    <w:pPr>
      <w:spacing w:line="400" w:lineRule="exact"/>
      <w:jc w:val="both"/>
    </w:pPr>
    <w:rPr>
      <w:rFonts w:ascii="標楷體" w:eastAsia="標楷體" w:hAnsi="Times New Roman" w:cs="新細明體"/>
      <w:szCs w:val="24"/>
    </w:rPr>
  </w:style>
  <w:style w:type="paragraph" w:customStyle="1" w:styleId="affffb">
    <w:name w:val="小計"/>
    <w:basedOn w:val="1-2"/>
    <w:rsid w:val="00BD14DA"/>
    <w:pPr>
      <w:ind w:leftChars="250" w:left="250" w:rightChars="100" w:right="100" w:firstLineChars="0" w:firstLine="0"/>
    </w:pPr>
    <w:rPr>
      <w:sz w:val="18"/>
    </w:rPr>
  </w:style>
  <w:style w:type="paragraph" w:customStyle="1" w:styleId="221">
    <w:name w:val="二、2行宋體退2"/>
    <w:basedOn w:val="a0"/>
    <w:rsid w:val="00BD14DA"/>
    <w:pPr>
      <w:ind w:leftChars="150" w:left="360" w:rightChars="10" w:right="10"/>
      <w:jc w:val="both"/>
    </w:pPr>
    <w:rPr>
      <w:rFonts w:ascii="Times New Roman" w:eastAsia="標楷體" w:hAnsi="Times New Roman" w:cs="新細明體"/>
      <w:spacing w:val="-8"/>
      <w:sz w:val="18"/>
      <w:szCs w:val="18"/>
    </w:rPr>
  </w:style>
  <w:style w:type="character" w:customStyle="1" w:styleId="222">
    <w:name w:val="二、2行宋體退2 字元"/>
    <w:basedOn w:val="a1"/>
    <w:locked/>
    <w:rsid w:val="00BD14DA"/>
    <w:rPr>
      <w:rFonts w:eastAsia="標楷體" w:cs="新細明體"/>
      <w:spacing w:val="-8"/>
      <w:kern w:val="2"/>
      <w:sz w:val="18"/>
      <w:szCs w:val="18"/>
      <w:lang w:val="en-US" w:eastAsia="zh-TW" w:bidi="ar-SA"/>
    </w:rPr>
  </w:style>
  <w:style w:type="paragraph" w:customStyle="1" w:styleId="1f5">
    <w:name w:val="標題(1)"/>
    <w:basedOn w:val="1e"/>
    <w:rsid w:val="00BD14DA"/>
    <w:pPr>
      <w:ind w:firstLineChars="550" w:firstLine="550"/>
    </w:pPr>
  </w:style>
  <w:style w:type="paragraph" w:customStyle="1" w:styleId="1232">
    <w:name w:val="內文123"/>
    <w:rsid w:val="00BD14DA"/>
    <w:pPr>
      <w:overflowPunct w:val="0"/>
      <w:spacing w:line="400" w:lineRule="exact"/>
      <w:ind w:firstLineChars="450" w:firstLine="450"/>
      <w:jc w:val="both"/>
    </w:pPr>
    <w:rPr>
      <w:rFonts w:ascii="標楷體" w:eastAsia="標楷體" w:hAnsi="Times New Roman" w:cs="Times New Roman"/>
      <w:szCs w:val="20"/>
    </w:rPr>
  </w:style>
  <w:style w:type="paragraph" w:customStyle="1" w:styleId="213">
    <w:name w:val="二、2行黑體退1"/>
    <w:basedOn w:val="a0"/>
    <w:rsid w:val="00BD14DA"/>
    <w:pPr>
      <w:ind w:leftChars="80" w:left="192"/>
      <w:jc w:val="both"/>
    </w:pPr>
    <w:rPr>
      <w:rFonts w:ascii="Times New Roman" w:eastAsia="標楷體" w:hAnsi="Times New Roman" w:cs="新細明體"/>
      <w:b/>
      <w:spacing w:val="-4"/>
      <w:sz w:val="20"/>
      <w:szCs w:val="20"/>
    </w:rPr>
  </w:style>
  <w:style w:type="character" w:customStyle="1" w:styleId="1f6">
    <w:name w:val="標題（一） 字元1"/>
    <w:basedOn w:val="a1"/>
    <w:locked/>
    <w:rsid w:val="00BD14DA"/>
    <w:rPr>
      <w:rFonts w:eastAsia="標楷體" w:cs="新細明體"/>
      <w:b/>
      <w:bCs/>
      <w:kern w:val="2"/>
      <w:sz w:val="28"/>
      <w:szCs w:val="28"/>
      <w:lang w:val="en-US" w:eastAsia="zh-TW" w:bidi="ar-SA"/>
    </w:rPr>
  </w:style>
  <w:style w:type="table" w:customStyle="1" w:styleId="1100">
    <w:name w:val="表格格線110"/>
    <w:basedOn w:val="a2"/>
    <w:next w:val="a6"/>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表格格線44"/>
    <w:basedOn w:val="a2"/>
    <w:next w:val="a6"/>
    <w:uiPriority w:val="5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無清單21"/>
    <w:next w:val="a3"/>
    <w:uiPriority w:val="99"/>
    <w:semiHidden/>
    <w:unhideWhenUsed/>
    <w:rsid w:val="00BD14DA"/>
  </w:style>
  <w:style w:type="paragraph" w:styleId="affffc">
    <w:name w:val="Salutation"/>
    <w:basedOn w:val="a0"/>
    <w:next w:val="a0"/>
    <w:link w:val="affffd"/>
    <w:uiPriority w:val="99"/>
    <w:unhideWhenUsed/>
    <w:rsid w:val="00BD14DA"/>
    <w:rPr>
      <w:rFonts w:ascii="標楷體" w:eastAsia="標楷體" w:hAnsi="標楷體" w:cs="Times New Roman"/>
      <w:szCs w:val="24"/>
    </w:rPr>
  </w:style>
  <w:style w:type="character" w:customStyle="1" w:styleId="affffd">
    <w:name w:val="問候 字元"/>
    <w:basedOn w:val="a1"/>
    <w:link w:val="affffc"/>
    <w:uiPriority w:val="99"/>
    <w:rsid w:val="00BD14DA"/>
    <w:rPr>
      <w:rFonts w:ascii="標楷體" w:eastAsia="標楷體" w:hAnsi="標楷體" w:cs="Times New Roman"/>
      <w:szCs w:val="24"/>
    </w:rPr>
  </w:style>
  <w:style w:type="paragraph" w:styleId="affffe">
    <w:name w:val="Closing"/>
    <w:basedOn w:val="a0"/>
    <w:link w:val="afffff"/>
    <w:unhideWhenUsed/>
    <w:rsid w:val="00BD14DA"/>
    <w:pPr>
      <w:ind w:left="4252"/>
    </w:pPr>
    <w:rPr>
      <w:rFonts w:ascii="標楷體" w:eastAsia="標楷體" w:hAnsi="標楷體" w:cs="Times New Roman"/>
      <w:szCs w:val="24"/>
    </w:rPr>
  </w:style>
  <w:style w:type="character" w:customStyle="1" w:styleId="afffff">
    <w:name w:val="結語 字元"/>
    <w:basedOn w:val="a1"/>
    <w:link w:val="affffe"/>
    <w:rsid w:val="00BD14DA"/>
    <w:rPr>
      <w:rFonts w:ascii="標楷體" w:eastAsia="標楷體" w:hAnsi="標楷體" w:cs="Times New Roman"/>
      <w:szCs w:val="24"/>
    </w:rPr>
  </w:style>
  <w:style w:type="paragraph" w:customStyle="1" w:styleId="511">
    <w:name w:val="標題 51"/>
    <w:basedOn w:val="a0"/>
    <w:next w:val="a0"/>
    <w:uiPriority w:val="9"/>
    <w:semiHidden/>
    <w:unhideWhenUsed/>
    <w:rsid w:val="00BD14DA"/>
    <w:pPr>
      <w:keepNext/>
      <w:spacing w:line="720" w:lineRule="auto"/>
      <w:ind w:leftChars="200" w:left="200"/>
      <w:outlineLvl w:val="4"/>
    </w:pPr>
    <w:rPr>
      <w:rFonts w:ascii="Cambria" w:eastAsia="新細明體" w:hAnsi="Cambria" w:cs="Times New Roman"/>
      <w:b/>
      <w:bCs/>
      <w:sz w:val="36"/>
      <w:szCs w:val="36"/>
    </w:rPr>
  </w:style>
  <w:style w:type="table" w:customStyle="1" w:styleId="122">
    <w:name w:val="表格格線122"/>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2"/>
    <w:next w:val="a6"/>
    <w:uiPriority w:val="5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標題A"/>
    <w:basedOn w:val="a0"/>
    <w:rsid w:val="00BD14DA"/>
    <w:pPr>
      <w:numPr>
        <w:numId w:val="29"/>
      </w:numPr>
      <w:spacing w:beforeLines="50" w:before="180" w:line="560" w:lineRule="exact"/>
    </w:pPr>
    <w:rPr>
      <w:rFonts w:ascii="標楷體" w:eastAsia="標楷體" w:hAnsi="標楷體" w:cs="Arial"/>
      <w:color w:val="000000"/>
      <w:sz w:val="32"/>
      <w:szCs w:val="24"/>
    </w:rPr>
  </w:style>
  <w:style w:type="paragraph" w:customStyle="1" w:styleId="B">
    <w:name w:val="標題B"/>
    <w:basedOn w:val="a0"/>
    <w:rsid w:val="00BD14DA"/>
    <w:pPr>
      <w:numPr>
        <w:ilvl w:val="1"/>
        <w:numId w:val="29"/>
      </w:numPr>
      <w:spacing w:line="560" w:lineRule="exact"/>
    </w:pPr>
    <w:rPr>
      <w:rFonts w:ascii="標楷體" w:eastAsia="標楷體" w:hAnsi="標楷體" w:cs="Arial"/>
      <w:color w:val="000000"/>
      <w:sz w:val="32"/>
      <w:szCs w:val="24"/>
    </w:rPr>
  </w:style>
  <w:style w:type="paragraph" w:customStyle="1" w:styleId="afffff0">
    <w:name w:val="標題(一)"/>
    <w:basedOn w:val="a0"/>
    <w:qFormat/>
    <w:rsid w:val="00BD14DA"/>
    <w:pPr>
      <w:overflowPunct w:val="0"/>
      <w:spacing w:line="520" w:lineRule="exact"/>
      <w:ind w:leftChars="250" w:left="450" w:hangingChars="200" w:hanging="200"/>
      <w:jc w:val="both"/>
    </w:pPr>
    <w:rPr>
      <w:rFonts w:ascii="標楷體" w:eastAsia="標楷體" w:hAnsi="標楷體" w:cs="Times New Roman"/>
      <w:sz w:val="32"/>
      <w:szCs w:val="32"/>
    </w:rPr>
  </w:style>
  <w:style w:type="table" w:customStyle="1" w:styleId="710">
    <w:name w:val="表格格線7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Strong"/>
    <w:basedOn w:val="a1"/>
    <w:uiPriority w:val="22"/>
    <w:qFormat/>
    <w:rsid w:val="00BD14DA"/>
    <w:rPr>
      <w:b/>
      <w:bCs/>
    </w:rPr>
  </w:style>
  <w:style w:type="character" w:customStyle="1" w:styleId="512">
    <w:name w:val="標題 5 字元1"/>
    <w:basedOn w:val="a1"/>
    <w:uiPriority w:val="9"/>
    <w:semiHidden/>
    <w:rsid w:val="00BD14DA"/>
    <w:rPr>
      <w:rFonts w:asciiTheme="majorHAnsi" w:eastAsiaTheme="majorEastAsia" w:hAnsiTheme="majorHAnsi" w:cstheme="majorBidi"/>
      <w:b/>
      <w:bCs/>
      <w:sz w:val="36"/>
      <w:szCs w:val="36"/>
    </w:rPr>
  </w:style>
  <w:style w:type="paragraph" w:styleId="afffff2">
    <w:name w:val="Block Text"/>
    <w:basedOn w:val="a0"/>
    <w:rsid w:val="00BD14DA"/>
    <w:pPr>
      <w:adjustRightInd w:val="0"/>
      <w:spacing w:before="120" w:afterLines="100" w:line="600" w:lineRule="exact"/>
      <w:ind w:left="329" w:right="301"/>
      <w:jc w:val="center"/>
      <w:textAlignment w:val="baseline"/>
    </w:pPr>
    <w:rPr>
      <w:rFonts w:ascii="標楷體" w:eastAsia="標楷體" w:hAnsi="標楷體" w:cs="Times New Roman"/>
      <w:b/>
      <w:kern w:val="0"/>
      <w:sz w:val="40"/>
      <w:szCs w:val="20"/>
    </w:rPr>
  </w:style>
  <w:style w:type="numbering" w:customStyle="1" w:styleId="3a">
    <w:name w:val="無清單3"/>
    <w:next w:val="a3"/>
    <w:uiPriority w:val="99"/>
    <w:semiHidden/>
    <w:unhideWhenUsed/>
    <w:rsid w:val="00BD14DA"/>
  </w:style>
  <w:style w:type="table" w:customStyle="1" w:styleId="1311">
    <w:name w:val="表格格線1311"/>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表格格線232"/>
    <w:basedOn w:val="a2"/>
    <w:next w:val="a6"/>
    <w:uiPriority w:val="5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無清單12"/>
    <w:next w:val="a3"/>
    <w:uiPriority w:val="99"/>
    <w:semiHidden/>
    <w:unhideWhenUsed/>
    <w:rsid w:val="00BD14DA"/>
  </w:style>
  <w:style w:type="numbering" w:customStyle="1" w:styleId="223">
    <w:name w:val="無清單22"/>
    <w:next w:val="a3"/>
    <w:uiPriority w:val="99"/>
    <w:semiHidden/>
    <w:unhideWhenUsed/>
    <w:rsid w:val="00BD14DA"/>
  </w:style>
  <w:style w:type="table" w:customStyle="1" w:styleId="-111">
    <w:name w:val="淺色網底 - 輔色 111"/>
    <w:basedOn w:val="a2"/>
    <w:uiPriority w:val="60"/>
    <w:rsid w:val="00BD14DA"/>
    <w:rPr>
      <w:rFonts w:ascii="Times New Roman" w:eastAsia="新細明體" w:hAnsi="Times New Roman" w:cs="Times New Roman"/>
      <w:color w:val="2F5496" w:themeColor="accent1" w:themeShade="BF"/>
      <w:kern w:val="0"/>
      <w:sz w:val="20"/>
      <w:szCs w:val="20"/>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styleId="2a">
    <w:name w:val="toc 2"/>
    <w:basedOn w:val="a0"/>
    <w:next w:val="a0"/>
    <w:autoRedefine/>
    <w:uiPriority w:val="39"/>
    <w:unhideWhenUsed/>
    <w:rsid w:val="00BD14DA"/>
    <w:pPr>
      <w:ind w:leftChars="200" w:left="480"/>
    </w:pPr>
    <w:rPr>
      <w:rFonts w:ascii="Times New Roman" w:eastAsia="新細明體" w:hAnsi="Times New Roman" w:cs="Times New Roman"/>
      <w:szCs w:val="24"/>
    </w:rPr>
  </w:style>
  <w:style w:type="paragraph" w:styleId="3b">
    <w:name w:val="toc 3"/>
    <w:basedOn w:val="a0"/>
    <w:next w:val="a0"/>
    <w:autoRedefine/>
    <w:uiPriority w:val="39"/>
    <w:unhideWhenUsed/>
    <w:rsid w:val="00BD14DA"/>
    <w:pPr>
      <w:ind w:leftChars="400" w:left="960"/>
    </w:pPr>
    <w:rPr>
      <w:rFonts w:ascii="Times New Roman" w:eastAsia="新細明體" w:hAnsi="Times New Roman" w:cs="Times New Roman"/>
      <w:szCs w:val="24"/>
    </w:rPr>
  </w:style>
  <w:style w:type="paragraph" w:styleId="1f7">
    <w:name w:val="toc 1"/>
    <w:basedOn w:val="a0"/>
    <w:next w:val="a0"/>
    <w:autoRedefine/>
    <w:uiPriority w:val="39"/>
    <w:unhideWhenUsed/>
    <w:rsid w:val="00BD14DA"/>
  </w:style>
  <w:style w:type="paragraph" w:styleId="46">
    <w:name w:val="toc 4"/>
    <w:basedOn w:val="a0"/>
    <w:next w:val="a0"/>
    <w:autoRedefine/>
    <w:uiPriority w:val="39"/>
    <w:unhideWhenUsed/>
    <w:rsid w:val="00BD14DA"/>
    <w:pPr>
      <w:ind w:leftChars="600" w:left="1440"/>
    </w:pPr>
  </w:style>
  <w:style w:type="paragraph" w:styleId="56">
    <w:name w:val="toc 5"/>
    <w:basedOn w:val="a0"/>
    <w:next w:val="a0"/>
    <w:autoRedefine/>
    <w:uiPriority w:val="39"/>
    <w:unhideWhenUsed/>
    <w:rsid w:val="00BD14DA"/>
    <w:pPr>
      <w:ind w:leftChars="800" w:left="1920"/>
    </w:pPr>
  </w:style>
  <w:style w:type="paragraph" w:styleId="65">
    <w:name w:val="toc 6"/>
    <w:basedOn w:val="a0"/>
    <w:next w:val="a0"/>
    <w:autoRedefine/>
    <w:uiPriority w:val="39"/>
    <w:unhideWhenUsed/>
    <w:rsid w:val="00BD14DA"/>
    <w:pPr>
      <w:ind w:leftChars="1000" w:left="2400"/>
    </w:pPr>
  </w:style>
  <w:style w:type="paragraph" w:styleId="74">
    <w:name w:val="toc 7"/>
    <w:basedOn w:val="a0"/>
    <w:next w:val="a0"/>
    <w:autoRedefine/>
    <w:uiPriority w:val="39"/>
    <w:unhideWhenUsed/>
    <w:rsid w:val="00BD14DA"/>
    <w:pPr>
      <w:ind w:leftChars="1200" w:left="2880"/>
    </w:pPr>
  </w:style>
  <w:style w:type="paragraph" w:styleId="83">
    <w:name w:val="toc 8"/>
    <w:basedOn w:val="a0"/>
    <w:next w:val="a0"/>
    <w:autoRedefine/>
    <w:uiPriority w:val="39"/>
    <w:unhideWhenUsed/>
    <w:rsid w:val="00BD14DA"/>
    <w:pPr>
      <w:ind w:leftChars="1400" w:left="3360"/>
    </w:pPr>
  </w:style>
  <w:style w:type="paragraph" w:styleId="93">
    <w:name w:val="toc 9"/>
    <w:basedOn w:val="a0"/>
    <w:next w:val="a0"/>
    <w:autoRedefine/>
    <w:uiPriority w:val="39"/>
    <w:unhideWhenUsed/>
    <w:rsid w:val="00BD14DA"/>
    <w:pPr>
      <w:ind w:leftChars="1600" w:left="3840"/>
    </w:pPr>
  </w:style>
  <w:style w:type="numbering" w:customStyle="1" w:styleId="49">
    <w:name w:val="無清單4"/>
    <w:next w:val="a3"/>
    <w:uiPriority w:val="99"/>
    <w:semiHidden/>
    <w:unhideWhenUsed/>
    <w:rsid w:val="00BD14DA"/>
  </w:style>
  <w:style w:type="table" w:customStyle="1" w:styleId="1411">
    <w:name w:val="表格格線1411"/>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2"/>
    <w:next w:val="a6"/>
    <w:uiPriority w:val="5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表格格線511"/>
    <w:basedOn w:val="a2"/>
    <w:next w:val="a6"/>
    <w:uiPriority w:val="5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無清單13"/>
    <w:next w:val="a3"/>
    <w:uiPriority w:val="99"/>
    <w:semiHidden/>
    <w:unhideWhenUsed/>
    <w:rsid w:val="00BD14DA"/>
  </w:style>
  <w:style w:type="numbering" w:customStyle="1" w:styleId="233">
    <w:name w:val="無清單23"/>
    <w:next w:val="a3"/>
    <w:uiPriority w:val="99"/>
    <w:semiHidden/>
    <w:unhideWhenUsed/>
    <w:rsid w:val="00BD14DA"/>
  </w:style>
  <w:style w:type="table" w:customStyle="1" w:styleId="610">
    <w:name w:val="表格格線6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淺色網底 - 輔色 112"/>
    <w:basedOn w:val="a2"/>
    <w:uiPriority w:val="60"/>
    <w:rsid w:val="00BD14DA"/>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11">
    <w:name w:val="表格格線711"/>
    <w:basedOn w:val="a2"/>
    <w:next w:val="a6"/>
    <w:uiPriority w:val="5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
    <w:name w:val="無清單5"/>
    <w:next w:val="a3"/>
    <w:uiPriority w:val="99"/>
    <w:semiHidden/>
    <w:unhideWhenUsed/>
    <w:rsid w:val="00BD14DA"/>
  </w:style>
  <w:style w:type="table" w:customStyle="1" w:styleId="101">
    <w:name w:val="表格格線101"/>
    <w:basedOn w:val="a2"/>
    <w:next w:val="a6"/>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表格格線251"/>
    <w:basedOn w:val="a2"/>
    <w:next w:val="a6"/>
    <w:uiPriority w:val="5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表格格線52"/>
    <w:basedOn w:val="a2"/>
    <w:next w:val="a6"/>
    <w:uiPriority w:val="3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無清單14"/>
    <w:next w:val="a3"/>
    <w:uiPriority w:val="99"/>
    <w:semiHidden/>
    <w:unhideWhenUsed/>
    <w:rsid w:val="00BD14DA"/>
  </w:style>
  <w:style w:type="numbering" w:customStyle="1" w:styleId="242">
    <w:name w:val="無清單24"/>
    <w:next w:val="a3"/>
    <w:uiPriority w:val="99"/>
    <w:semiHidden/>
    <w:unhideWhenUsed/>
    <w:rsid w:val="00BD14DA"/>
  </w:style>
  <w:style w:type="table" w:customStyle="1" w:styleId="620">
    <w:name w:val="表格格線62"/>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淺色網底 - 輔色 113"/>
    <w:basedOn w:val="a2"/>
    <w:uiPriority w:val="60"/>
    <w:rsid w:val="00BD14DA"/>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810">
    <w:name w:val="表格格線8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表格格線9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表格格線101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
    <w:name w:val="無清單6"/>
    <w:next w:val="a3"/>
    <w:uiPriority w:val="99"/>
    <w:semiHidden/>
    <w:unhideWhenUsed/>
    <w:rsid w:val="00BD14DA"/>
  </w:style>
  <w:style w:type="table" w:customStyle="1" w:styleId="181">
    <w:name w:val="表格格線181"/>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表格格線261"/>
    <w:basedOn w:val="a2"/>
    <w:next w:val="a6"/>
    <w:uiPriority w:val="5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無清單15"/>
    <w:next w:val="a3"/>
    <w:uiPriority w:val="99"/>
    <w:semiHidden/>
    <w:unhideWhenUsed/>
    <w:rsid w:val="00BD14DA"/>
  </w:style>
  <w:style w:type="numbering" w:customStyle="1" w:styleId="252">
    <w:name w:val="無清單25"/>
    <w:next w:val="a3"/>
    <w:uiPriority w:val="99"/>
    <w:semiHidden/>
    <w:unhideWhenUsed/>
    <w:rsid w:val="00BD14DA"/>
  </w:style>
  <w:style w:type="table" w:customStyle="1" w:styleId="-114">
    <w:name w:val="淺色網底 - 輔色 114"/>
    <w:basedOn w:val="a2"/>
    <w:uiPriority w:val="60"/>
    <w:rsid w:val="00BD14DA"/>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311">
    <w:name w:val="無清單31"/>
    <w:next w:val="a3"/>
    <w:uiPriority w:val="99"/>
    <w:semiHidden/>
    <w:unhideWhenUsed/>
    <w:rsid w:val="00BD14DA"/>
  </w:style>
  <w:style w:type="paragraph" w:customStyle="1" w:styleId="Afffff3">
    <w:name w:val="A(一)"/>
    <w:basedOn w:val="a0"/>
    <w:rsid w:val="00BD14DA"/>
    <w:pPr>
      <w:tabs>
        <w:tab w:val="center" w:pos="4153"/>
        <w:tab w:val="right" w:pos="8306"/>
      </w:tabs>
      <w:snapToGrid w:val="0"/>
      <w:spacing w:line="520" w:lineRule="exact"/>
      <w:ind w:leftChars="200" w:left="1283" w:hangingChars="201" w:hanging="643"/>
      <w:jc w:val="both"/>
    </w:pPr>
    <w:rPr>
      <w:rFonts w:ascii="標楷體" w:eastAsia="標楷體" w:hAnsi="標楷體" w:cs="新細明體"/>
      <w:snapToGrid w:val="0"/>
      <w:color w:val="000000"/>
      <w:kern w:val="0"/>
      <w:sz w:val="32"/>
      <w:szCs w:val="20"/>
    </w:rPr>
  </w:style>
  <w:style w:type="paragraph" w:customStyle="1" w:styleId="A10">
    <w:name w:val="A  1."/>
    <w:basedOn w:val="a0"/>
    <w:rsid w:val="00BD14DA"/>
    <w:pPr>
      <w:tabs>
        <w:tab w:val="center" w:pos="4153"/>
        <w:tab w:val="right" w:pos="8306"/>
      </w:tabs>
      <w:snapToGrid w:val="0"/>
      <w:spacing w:line="520" w:lineRule="exact"/>
      <w:ind w:leftChars="346" w:left="1107" w:rightChars="-13" w:right="-42"/>
      <w:jc w:val="both"/>
    </w:pPr>
    <w:rPr>
      <w:rFonts w:ascii="標楷體" w:eastAsia="標楷體" w:hAnsi="標楷體" w:cs="新細明體"/>
      <w:snapToGrid w:val="0"/>
      <w:color w:val="000000"/>
      <w:kern w:val="0"/>
      <w:sz w:val="32"/>
      <w:szCs w:val="20"/>
    </w:rPr>
  </w:style>
  <w:style w:type="paragraph" w:customStyle="1" w:styleId="afffff4">
    <w:name w:val="標題一內文"/>
    <w:basedOn w:val="af2"/>
    <w:link w:val="afffff5"/>
    <w:rsid w:val="00BD14DA"/>
    <w:pPr>
      <w:spacing w:after="0" w:line="520" w:lineRule="exact"/>
      <w:ind w:left="1320" w:right="204"/>
      <w:jc w:val="both"/>
    </w:pPr>
    <w:rPr>
      <w:rFonts w:ascii="標楷體" w:eastAsia="標楷體" w:hAnsi="Times New Roman" w:cs="Times New Roman"/>
      <w:sz w:val="32"/>
      <w:szCs w:val="20"/>
    </w:rPr>
  </w:style>
  <w:style w:type="character" w:customStyle="1" w:styleId="afffff5">
    <w:name w:val="標題一內文 字元"/>
    <w:link w:val="afffff4"/>
    <w:rsid w:val="00BD14DA"/>
    <w:rPr>
      <w:rFonts w:ascii="標楷體" w:eastAsia="標楷體" w:hAnsi="Times New Roman" w:cs="Times New Roman"/>
      <w:sz w:val="32"/>
      <w:szCs w:val="20"/>
    </w:rPr>
  </w:style>
  <w:style w:type="paragraph" w:customStyle="1" w:styleId="afffff6">
    <w:name w:val="乙.一"/>
    <w:basedOn w:val="af0"/>
    <w:rsid w:val="00BD14DA"/>
    <w:pPr>
      <w:spacing w:line="480" w:lineRule="atLeast"/>
      <w:ind w:right="-40" w:firstLine="284"/>
      <w:jc w:val="both"/>
    </w:pPr>
    <w:rPr>
      <w:rFonts w:ascii="標楷體" w:eastAsia="標楷體" w:hAnsi="標楷體" w:cs="Times New Roman"/>
      <w:b/>
      <w:snapToGrid w:val="0"/>
      <w:color w:val="000000"/>
      <w:kern w:val="0"/>
      <w:sz w:val="32"/>
    </w:rPr>
  </w:style>
  <w:style w:type="paragraph" w:customStyle="1" w:styleId="1f8">
    <w:name w:val="內文 1.()"/>
    <w:basedOn w:val="afffff6"/>
    <w:rsid w:val="00BD14DA"/>
    <w:pPr>
      <w:spacing w:line="240" w:lineRule="atLeast"/>
      <w:ind w:leftChars="399" w:left="1680" w:rightChars="-13" w:right="-42" w:hangingChars="126" w:hanging="403"/>
    </w:pPr>
    <w:rPr>
      <w:b w:val="0"/>
      <w:szCs w:val="32"/>
    </w:rPr>
  </w:style>
  <w:style w:type="paragraph" w:customStyle="1" w:styleId="Final126pt">
    <w:name w:val="Final(1)樣式 標楷體 行距:  固定行高 26 pt"/>
    <w:basedOn w:val="a0"/>
    <w:link w:val="Final126pt0"/>
    <w:rsid w:val="00BD14DA"/>
    <w:pPr>
      <w:spacing w:line="520" w:lineRule="exact"/>
      <w:ind w:leftChars="194" w:left="621"/>
    </w:pPr>
    <w:rPr>
      <w:rFonts w:ascii="標楷體" w:eastAsia="標楷體" w:hAnsi="標楷體" w:cs="新細明體"/>
      <w:sz w:val="32"/>
      <w:szCs w:val="20"/>
    </w:rPr>
  </w:style>
  <w:style w:type="character" w:customStyle="1" w:styleId="Final126pt0">
    <w:name w:val="Final(1)樣式 標楷體 行距:  固定行高 26 pt 字元"/>
    <w:link w:val="Final126pt"/>
    <w:rsid w:val="00BD14DA"/>
    <w:rPr>
      <w:rFonts w:ascii="標楷體" w:eastAsia="標楷體" w:hAnsi="標楷體" w:cs="新細明體"/>
      <w:sz w:val="32"/>
      <w:szCs w:val="20"/>
    </w:rPr>
  </w:style>
  <w:style w:type="paragraph" w:customStyle="1" w:styleId="Final">
    <w:name w:val="Final (一)"/>
    <w:basedOn w:val="a0"/>
    <w:rsid w:val="00BD14DA"/>
    <w:pPr>
      <w:snapToGrid w:val="0"/>
      <w:spacing w:line="520" w:lineRule="exact"/>
      <w:ind w:leftChars="267" w:left="1494" w:hangingChars="200" w:hanging="640"/>
      <w:jc w:val="both"/>
    </w:pPr>
    <w:rPr>
      <w:rFonts w:ascii="標楷體" w:eastAsia="標楷體" w:hAnsi="標楷體" w:cs="新細明體"/>
      <w:snapToGrid w:val="0"/>
      <w:color w:val="000000"/>
      <w:kern w:val="0"/>
      <w:sz w:val="32"/>
      <w:szCs w:val="20"/>
    </w:rPr>
  </w:style>
  <w:style w:type="table" w:customStyle="1" w:styleId="730">
    <w:name w:val="表格格線73"/>
    <w:basedOn w:val="a2"/>
    <w:next w:val="a6"/>
    <w:uiPriority w:val="5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7">
    <w:name w:val="內文一"/>
    <w:basedOn w:val="a0"/>
    <w:rsid w:val="00BD14DA"/>
    <w:pPr>
      <w:spacing w:line="600" w:lineRule="exact"/>
      <w:ind w:leftChars="200" w:left="200" w:firstLineChars="200" w:firstLine="200"/>
      <w:jc w:val="both"/>
    </w:pPr>
    <w:rPr>
      <w:rFonts w:ascii="Times New Roman" w:eastAsia="標楷體" w:hAnsi="Times New Roman" w:cs="Times New Roman"/>
      <w:sz w:val="28"/>
      <w:szCs w:val="20"/>
    </w:rPr>
  </w:style>
  <w:style w:type="table" w:customStyle="1" w:styleId="1110">
    <w:name w:val="表格格線111"/>
    <w:basedOn w:val="a2"/>
    <w:next w:val="a6"/>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8">
    <w:name w:val="表凸一"/>
    <w:basedOn w:val="a0"/>
    <w:rsid w:val="00BD14DA"/>
    <w:pPr>
      <w:kinsoku w:val="0"/>
      <w:ind w:left="277" w:right="28" w:hanging="249"/>
    </w:pPr>
    <w:rPr>
      <w:rFonts w:ascii="Times New Roman" w:eastAsia="標楷體" w:hAnsi="Times New Roman" w:cs="Times New Roman"/>
      <w:spacing w:val="4"/>
      <w:szCs w:val="20"/>
    </w:rPr>
  </w:style>
  <w:style w:type="character" w:customStyle="1" w:styleId="st1">
    <w:name w:val="st1"/>
    <w:basedOn w:val="a1"/>
    <w:rsid w:val="00BD14DA"/>
  </w:style>
  <w:style w:type="paragraph" w:styleId="2b">
    <w:name w:val="Body Text Indent 2"/>
    <w:basedOn w:val="a0"/>
    <w:link w:val="2c"/>
    <w:rsid w:val="00BD14DA"/>
    <w:pPr>
      <w:spacing w:line="480" w:lineRule="exact"/>
      <w:ind w:left="851"/>
      <w:jc w:val="both"/>
    </w:pPr>
    <w:rPr>
      <w:rFonts w:ascii="Times New Roman" w:eastAsia="標楷體" w:hAnsi="Times New Roman" w:cs="Times New Roman"/>
      <w:sz w:val="32"/>
      <w:szCs w:val="20"/>
    </w:rPr>
  </w:style>
  <w:style w:type="character" w:customStyle="1" w:styleId="2c">
    <w:name w:val="本文縮排 2 字元"/>
    <w:basedOn w:val="a1"/>
    <w:link w:val="2b"/>
    <w:rsid w:val="00BD14DA"/>
    <w:rPr>
      <w:rFonts w:ascii="Times New Roman" w:eastAsia="標楷體" w:hAnsi="Times New Roman" w:cs="Times New Roman"/>
      <w:sz w:val="32"/>
      <w:szCs w:val="20"/>
    </w:rPr>
  </w:style>
  <w:style w:type="paragraph" w:styleId="afffff9">
    <w:name w:val="Normal Indent"/>
    <w:basedOn w:val="a0"/>
    <w:rsid w:val="00BD14DA"/>
    <w:pPr>
      <w:ind w:left="480"/>
    </w:pPr>
    <w:rPr>
      <w:rFonts w:ascii="Times New Roman" w:eastAsia="新細明體" w:hAnsi="Times New Roman" w:cs="Times New Roman"/>
      <w:szCs w:val="20"/>
    </w:rPr>
  </w:style>
  <w:style w:type="paragraph" w:customStyle="1" w:styleId="afffffa">
    <w:name w:val="粗標"/>
    <w:basedOn w:val="a0"/>
    <w:rsid w:val="00BD14DA"/>
    <w:pPr>
      <w:autoSpaceDE w:val="0"/>
      <w:autoSpaceDN w:val="0"/>
      <w:spacing w:line="480" w:lineRule="exact"/>
      <w:ind w:left="1389" w:hanging="1389"/>
      <w:jc w:val="both"/>
    </w:pPr>
    <w:rPr>
      <w:rFonts w:ascii="Times New Roman" w:eastAsia="標楷體" w:hAnsi="Times New Roman" w:cs="Times New Roman"/>
      <w:b/>
      <w:sz w:val="28"/>
      <w:szCs w:val="20"/>
    </w:rPr>
  </w:style>
  <w:style w:type="paragraph" w:customStyle="1" w:styleId="11">
    <w:name w:val="內文11"/>
    <w:basedOn w:val="a0"/>
    <w:rsid w:val="00BD14DA"/>
    <w:pPr>
      <w:numPr>
        <w:numId w:val="30"/>
      </w:numPr>
      <w:tabs>
        <w:tab w:val="clear" w:pos="1210"/>
      </w:tabs>
      <w:spacing w:line="520" w:lineRule="exact"/>
      <w:ind w:left="966" w:firstLineChars="212" w:firstLine="594"/>
      <w:jc w:val="both"/>
    </w:pPr>
    <w:rPr>
      <w:rFonts w:ascii="標楷體" w:eastAsia="標楷體" w:hAnsi="標楷體" w:cs="Times New Roman"/>
      <w:sz w:val="28"/>
      <w:szCs w:val="20"/>
    </w:rPr>
  </w:style>
  <w:style w:type="paragraph" w:customStyle="1" w:styleId="2d">
    <w:name w:val="標題2"/>
    <w:basedOn w:val="a0"/>
    <w:rsid w:val="00BD14DA"/>
    <w:pPr>
      <w:spacing w:line="520" w:lineRule="exact"/>
      <w:ind w:left="1444" w:hanging="480"/>
      <w:jc w:val="both"/>
    </w:pPr>
    <w:rPr>
      <w:rFonts w:ascii="標楷體" w:eastAsia="標楷體" w:hAnsi="標楷體" w:cs="Times New Roman"/>
      <w:sz w:val="28"/>
      <w:szCs w:val="20"/>
    </w:rPr>
  </w:style>
  <w:style w:type="paragraph" w:customStyle="1" w:styleId="1f9">
    <w:name w:val="字元 字元1 字元 字元 字元 字元 字元 字元 字元 字元 字元 字元 字元 字元 字元"/>
    <w:basedOn w:val="a0"/>
    <w:rsid w:val="00BD14DA"/>
    <w:pPr>
      <w:widowControl/>
      <w:spacing w:after="160" w:line="240" w:lineRule="exact"/>
    </w:pPr>
    <w:rPr>
      <w:rFonts w:ascii="Verdana" w:eastAsia="新細明體" w:hAnsi="Verdana" w:cs="Times New Roman"/>
      <w:kern w:val="0"/>
      <w:sz w:val="20"/>
      <w:szCs w:val="20"/>
      <w:lang w:val="en-GB" w:eastAsia="en-US"/>
    </w:rPr>
  </w:style>
  <w:style w:type="paragraph" w:customStyle="1" w:styleId="1fa">
    <w:name w:val="字元 字元1 字元 字元 字元 字元 字元 字元 字元 字元 字元 字元 字元 字元 字元 字元 字元 字元 字元 字元 字元"/>
    <w:basedOn w:val="a0"/>
    <w:rsid w:val="00BD14DA"/>
    <w:pPr>
      <w:widowControl/>
      <w:spacing w:after="160" w:line="240" w:lineRule="exact"/>
    </w:pPr>
    <w:rPr>
      <w:rFonts w:ascii="Verdana" w:eastAsia="新細明體" w:hAnsi="Verdana" w:cs="Times New Roman"/>
      <w:kern w:val="0"/>
      <w:sz w:val="20"/>
      <w:szCs w:val="20"/>
      <w:lang w:val="en-GB" w:eastAsia="en-US"/>
    </w:rPr>
  </w:style>
  <w:style w:type="paragraph" w:customStyle="1" w:styleId="1fb">
    <w:name w:val="字元 字元1 字元 字元 字元 字元 字元 字元 字元 字元 字元 字元 字元 字元 字元 字元 字元 字元 字元 字元 字元 字元 字元 字元 字元 字元 字元"/>
    <w:basedOn w:val="a0"/>
    <w:rsid w:val="00BD14DA"/>
    <w:pPr>
      <w:widowControl/>
      <w:spacing w:after="160" w:line="240" w:lineRule="exact"/>
    </w:pPr>
    <w:rPr>
      <w:rFonts w:ascii="Verdana" w:eastAsia="新細明體" w:hAnsi="Verdana" w:cs="Times New Roman"/>
      <w:kern w:val="0"/>
      <w:sz w:val="20"/>
      <w:szCs w:val="20"/>
      <w:lang w:val="en-GB" w:eastAsia="en-US"/>
    </w:rPr>
  </w:style>
  <w:style w:type="paragraph" w:customStyle="1" w:styleId="116">
    <w:name w:val="字元 字元1 字元 字元 字元 字元 字元 字元 字元 字元 字元 字元 字元 字元 字元 字元 字元 字元 字元 字元 字元 字元 字元 字元 字元 字元 字元 字元 字元 字元 字元 字元1 字元"/>
    <w:basedOn w:val="a0"/>
    <w:rsid w:val="00BD14DA"/>
    <w:pPr>
      <w:widowControl/>
      <w:spacing w:after="160" w:line="240" w:lineRule="exact"/>
    </w:pPr>
    <w:rPr>
      <w:rFonts w:ascii="Verdana" w:eastAsia="新細明體" w:hAnsi="Verdana" w:cs="Times New Roman"/>
      <w:kern w:val="0"/>
      <w:sz w:val="20"/>
      <w:szCs w:val="20"/>
      <w:lang w:val="en-GB" w:eastAsia="en-US"/>
    </w:rPr>
  </w:style>
  <w:style w:type="paragraph" w:customStyle="1" w:styleId="1fc">
    <w:name w:val="字元 字元1 字元 字元 字元 字元 字元 字元 字元 字元 字元 字元 字元 字元 字元 字元 字元 字元 字元 字元 字元 字元 字元 字元 字元 字元 字元 字元 字元 字元 字元 字元 字元 字元 字元 字元"/>
    <w:basedOn w:val="a0"/>
    <w:rsid w:val="00BD14DA"/>
    <w:pPr>
      <w:widowControl/>
      <w:spacing w:after="160" w:line="240" w:lineRule="exact"/>
    </w:pPr>
    <w:rPr>
      <w:rFonts w:ascii="Verdana" w:eastAsia="新細明體" w:hAnsi="Verdana" w:cs="Times New Roman"/>
      <w:kern w:val="0"/>
      <w:sz w:val="20"/>
      <w:szCs w:val="20"/>
      <w:lang w:val="en-GB" w:eastAsia="en-US"/>
    </w:rPr>
  </w:style>
  <w:style w:type="character" w:customStyle="1" w:styleId="cuhtmleditfont1">
    <w:name w:val="cuhtmleditfont1"/>
    <w:basedOn w:val="a1"/>
    <w:rsid w:val="00BD14DA"/>
  </w:style>
  <w:style w:type="table" w:customStyle="1" w:styleId="201">
    <w:name w:val="表格格線201"/>
    <w:basedOn w:val="a2"/>
    <w:next w:val="a6"/>
    <w:uiPriority w:val="39"/>
    <w:qFormat/>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
    <w:name w:val="無清單7"/>
    <w:next w:val="a3"/>
    <w:uiPriority w:val="99"/>
    <w:semiHidden/>
    <w:unhideWhenUsed/>
    <w:rsid w:val="00BD14DA"/>
  </w:style>
  <w:style w:type="table" w:customStyle="1" w:styleId="300">
    <w:name w:val="表格格線30"/>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無清單16"/>
    <w:next w:val="a3"/>
    <w:uiPriority w:val="99"/>
    <w:semiHidden/>
    <w:unhideWhenUsed/>
    <w:rsid w:val="00BD14DA"/>
  </w:style>
  <w:style w:type="table" w:customStyle="1" w:styleId="2100">
    <w:name w:val="表格格線210"/>
    <w:basedOn w:val="a2"/>
    <w:next w:val="a6"/>
    <w:uiPriority w:val="3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無清單26"/>
    <w:next w:val="a3"/>
    <w:uiPriority w:val="99"/>
    <w:semiHidden/>
    <w:unhideWhenUsed/>
    <w:rsid w:val="00BD14DA"/>
  </w:style>
  <w:style w:type="table" w:customStyle="1" w:styleId="1120">
    <w:name w:val="表格格線112"/>
    <w:basedOn w:val="a2"/>
    <w:next w:val="a6"/>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表格格線45"/>
    <w:basedOn w:val="a2"/>
    <w:next w:val="a6"/>
    <w:uiPriority w:val="5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無清單111"/>
    <w:next w:val="a3"/>
    <w:uiPriority w:val="99"/>
    <w:semiHidden/>
    <w:unhideWhenUsed/>
    <w:rsid w:val="00BD14DA"/>
  </w:style>
  <w:style w:type="numbering" w:customStyle="1" w:styleId="2110">
    <w:name w:val="無清單211"/>
    <w:next w:val="a3"/>
    <w:uiPriority w:val="99"/>
    <w:semiHidden/>
    <w:unhideWhenUsed/>
    <w:rsid w:val="00BD14DA"/>
  </w:style>
  <w:style w:type="table" w:customStyle="1" w:styleId="-115">
    <w:name w:val="淺色網底 - 輔色 115"/>
    <w:basedOn w:val="a2"/>
    <w:uiPriority w:val="60"/>
    <w:rsid w:val="00BD14DA"/>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233">
    <w:name w:val="表格格線123"/>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表格格線222"/>
    <w:basedOn w:val="a2"/>
    <w:next w:val="a6"/>
    <w:uiPriority w:val="5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表格格線74"/>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無清單32"/>
    <w:next w:val="a3"/>
    <w:uiPriority w:val="99"/>
    <w:semiHidden/>
    <w:unhideWhenUsed/>
    <w:rsid w:val="00BD14DA"/>
  </w:style>
  <w:style w:type="table" w:customStyle="1" w:styleId="1320">
    <w:name w:val="表格格線132"/>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表格格線233"/>
    <w:basedOn w:val="a2"/>
    <w:next w:val="a6"/>
    <w:uiPriority w:val="5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無清單121"/>
    <w:next w:val="a3"/>
    <w:uiPriority w:val="99"/>
    <w:semiHidden/>
    <w:unhideWhenUsed/>
    <w:rsid w:val="00BD14DA"/>
  </w:style>
  <w:style w:type="numbering" w:customStyle="1" w:styleId="2211">
    <w:name w:val="無清單221"/>
    <w:next w:val="a3"/>
    <w:uiPriority w:val="99"/>
    <w:semiHidden/>
    <w:unhideWhenUsed/>
    <w:rsid w:val="00BD14DA"/>
  </w:style>
  <w:style w:type="table" w:customStyle="1" w:styleId="-1111">
    <w:name w:val="淺色網底 - 輔色 1111"/>
    <w:basedOn w:val="a2"/>
    <w:uiPriority w:val="60"/>
    <w:rsid w:val="00BD14DA"/>
    <w:rPr>
      <w:rFonts w:ascii="Times New Roman" w:eastAsia="新細明體" w:hAnsi="Times New Roman" w:cs="Times New Roman"/>
      <w:color w:val="2F5496" w:themeColor="accent1" w:themeShade="BF"/>
      <w:kern w:val="0"/>
      <w:sz w:val="20"/>
      <w:szCs w:val="20"/>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numbering" w:customStyle="1" w:styleId="412">
    <w:name w:val="無清單41"/>
    <w:next w:val="a3"/>
    <w:uiPriority w:val="99"/>
    <w:semiHidden/>
    <w:unhideWhenUsed/>
    <w:rsid w:val="00BD14DA"/>
  </w:style>
  <w:style w:type="table" w:customStyle="1" w:styleId="920">
    <w:name w:val="表格格線92"/>
    <w:basedOn w:val="a2"/>
    <w:next w:val="a6"/>
    <w:uiPriority w:val="3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表格格線242"/>
    <w:basedOn w:val="a2"/>
    <w:next w:val="a6"/>
    <w:uiPriority w:val="5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表格格線31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表格格線512"/>
    <w:basedOn w:val="a2"/>
    <w:next w:val="a6"/>
    <w:uiPriority w:val="5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無清單131"/>
    <w:next w:val="a3"/>
    <w:uiPriority w:val="99"/>
    <w:semiHidden/>
    <w:unhideWhenUsed/>
    <w:rsid w:val="00BD14DA"/>
  </w:style>
  <w:style w:type="numbering" w:customStyle="1" w:styleId="2310">
    <w:name w:val="無清單231"/>
    <w:next w:val="a3"/>
    <w:uiPriority w:val="99"/>
    <w:semiHidden/>
    <w:unhideWhenUsed/>
    <w:rsid w:val="00BD14DA"/>
  </w:style>
  <w:style w:type="table" w:customStyle="1" w:styleId="611">
    <w:name w:val="表格格線61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淺色網底 - 輔色 1121"/>
    <w:basedOn w:val="a2"/>
    <w:uiPriority w:val="60"/>
    <w:rsid w:val="00BD14DA"/>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12">
    <w:name w:val="表格格線712"/>
    <w:basedOn w:val="a2"/>
    <w:next w:val="a6"/>
    <w:uiPriority w:val="5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無清單51"/>
    <w:next w:val="a3"/>
    <w:uiPriority w:val="99"/>
    <w:semiHidden/>
    <w:unhideWhenUsed/>
    <w:rsid w:val="00BD14DA"/>
  </w:style>
  <w:style w:type="table" w:customStyle="1" w:styleId="102">
    <w:name w:val="表格格線102"/>
    <w:basedOn w:val="a2"/>
    <w:next w:val="a6"/>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表格格線252"/>
    <w:basedOn w:val="a2"/>
    <w:next w:val="a6"/>
    <w:uiPriority w:val="5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表格格線322"/>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表格格線421"/>
    <w:basedOn w:val="a2"/>
    <w:next w:val="a6"/>
    <w:uiPriority w:val="5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2"/>
    <w:next w:val="a6"/>
    <w:uiPriority w:val="3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無清單141"/>
    <w:next w:val="a3"/>
    <w:uiPriority w:val="99"/>
    <w:semiHidden/>
    <w:unhideWhenUsed/>
    <w:rsid w:val="00BD14DA"/>
  </w:style>
  <w:style w:type="numbering" w:customStyle="1" w:styleId="2410">
    <w:name w:val="無清單241"/>
    <w:next w:val="a3"/>
    <w:uiPriority w:val="99"/>
    <w:semiHidden/>
    <w:unhideWhenUsed/>
    <w:rsid w:val="00BD14DA"/>
  </w:style>
  <w:style w:type="table" w:customStyle="1" w:styleId="-1131">
    <w:name w:val="淺色網底 - 輔色 1131"/>
    <w:basedOn w:val="a2"/>
    <w:uiPriority w:val="60"/>
    <w:rsid w:val="00BD14DA"/>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21">
    <w:name w:val="表格格線72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表格格線81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表格格線91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表格格線1012"/>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a2"/>
    <w:next w:val="a6"/>
    <w:uiPriority w:val="3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表格格線172"/>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無清單61"/>
    <w:next w:val="a3"/>
    <w:uiPriority w:val="99"/>
    <w:semiHidden/>
    <w:unhideWhenUsed/>
    <w:rsid w:val="00BD14DA"/>
  </w:style>
  <w:style w:type="table" w:customStyle="1" w:styleId="182">
    <w:name w:val="表格格線182"/>
    <w:basedOn w:val="a2"/>
    <w:uiPriority w:val="5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表格格線262"/>
    <w:basedOn w:val="a2"/>
    <w:next w:val="a6"/>
    <w:uiPriority w:val="5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無清單151"/>
    <w:next w:val="a3"/>
    <w:uiPriority w:val="99"/>
    <w:semiHidden/>
    <w:unhideWhenUsed/>
    <w:rsid w:val="00BD14DA"/>
  </w:style>
  <w:style w:type="numbering" w:customStyle="1" w:styleId="2510">
    <w:name w:val="無清單251"/>
    <w:next w:val="a3"/>
    <w:uiPriority w:val="99"/>
    <w:semiHidden/>
    <w:unhideWhenUsed/>
    <w:rsid w:val="00BD14DA"/>
  </w:style>
  <w:style w:type="table" w:customStyle="1" w:styleId="-1141">
    <w:name w:val="淺色網底 - 輔色 1141"/>
    <w:basedOn w:val="a2"/>
    <w:uiPriority w:val="60"/>
    <w:rsid w:val="00BD14DA"/>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3111">
    <w:name w:val="無清單311"/>
    <w:next w:val="a3"/>
    <w:uiPriority w:val="99"/>
    <w:semiHidden/>
    <w:unhideWhenUsed/>
    <w:rsid w:val="00BD14DA"/>
  </w:style>
  <w:style w:type="table" w:customStyle="1" w:styleId="731">
    <w:name w:val="表格格線731"/>
    <w:basedOn w:val="a2"/>
    <w:next w:val="a6"/>
    <w:uiPriority w:val="5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表格格線1111"/>
    <w:basedOn w:val="a2"/>
    <w:next w:val="a6"/>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表格格線202"/>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表格格線271"/>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新標題四"/>
    <w:basedOn w:val="a0"/>
    <w:qFormat/>
    <w:rsid w:val="00BD14DA"/>
    <w:pPr>
      <w:spacing w:line="600" w:lineRule="exact"/>
      <w:ind w:leftChars="600" w:left="750" w:hangingChars="150" w:hanging="150"/>
      <w:jc w:val="both"/>
    </w:pPr>
    <w:rPr>
      <w:rFonts w:ascii="標楷體" w:eastAsia="標楷體" w:hAnsi="標楷體" w:cs="Times New Roman"/>
      <w:sz w:val="32"/>
      <w:szCs w:val="20"/>
    </w:rPr>
  </w:style>
  <w:style w:type="paragraph" w:customStyle="1" w:styleId="3c">
    <w:name w:val="標題3"/>
    <w:basedOn w:val="a0"/>
    <w:link w:val="3d"/>
    <w:qFormat/>
    <w:rsid w:val="00BD14DA"/>
    <w:pPr>
      <w:spacing w:beforeLines="50" w:before="180" w:line="520" w:lineRule="exact"/>
      <w:ind w:left="640" w:hangingChars="200" w:hanging="640"/>
      <w:jc w:val="both"/>
      <w:outlineLvl w:val="1"/>
    </w:pPr>
    <w:rPr>
      <w:rFonts w:ascii="標楷體" w:eastAsia="標楷體" w:hAnsi="標楷體"/>
      <w:sz w:val="32"/>
      <w:szCs w:val="32"/>
    </w:rPr>
  </w:style>
  <w:style w:type="character" w:customStyle="1" w:styleId="3d">
    <w:name w:val="標題3 字元"/>
    <w:basedOn w:val="a1"/>
    <w:link w:val="3c"/>
    <w:rsid w:val="00BD14DA"/>
    <w:rPr>
      <w:rFonts w:ascii="標楷體" w:eastAsia="標楷體" w:hAnsi="標楷體"/>
      <w:sz w:val="32"/>
      <w:szCs w:val="32"/>
    </w:rPr>
  </w:style>
  <w:style w:type="table" w:customStyle="1" w:styleId="2120">
    <w:name w:val="表格格線212"/>
    <w:basedOn w:val="a2"/>
    <w:next w:val="a6"/>
    <w:uiPriority w:val="39"/>
    <w:rsid w:val="00BD14DA"/>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a2"/>
    <w:next w:val="a6"/>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表格格線39"/>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表格格線713"/>
    <w:basedOn w:val="a2"/>
    <w:next w:val="a6"/>
    <w:uiPriority w:val="39"/>
    <w:rsid w:val="00BD14DA"/>
    <w:rPr>
      <w:rFonts w:ascii="Calibri" w:eastAsia="新細明體" w:hAnsi="Calibri" w:cs="Cordia Ne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c">
    <w:name w:val="外框內容"/>
    <w:basedOn w:val="a0"/>
    <w:qFormat/>
    <w:rsid w:val="00BD14DA"/>
    <w:pPr>
      <w:suppressAutoHyphens/>
    </w:pPr>
    <w:rPr>
      <w:rFonts w:ascii="Times New Roman" w:eastAsia="新細明體" w:hAnsi="Times New Roman" w:cs="Times New Roman"/>
      <w:szCs w:val="20"/>
    </w:rPr>
  </w:style>
  <w:style w:type="table" w:customStyle="1" w:styleId="1141">
    <w:name w:val="表格格線1141"/>
    <w:basedOn w:val="a2"/>
    <w:uiPriority w:val="3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表格格線117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表格格線391"/>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表格格線213"/>
    <w:basedOn w:val="a2"/>
    <w:next w:val="a6"/>
    <w:uiPriority w:val="5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2"/>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表格格線392"/>
    <w:basedOn w:val="a2"/>
    <w:next w:val="a6"/>
    <w:uiPriority w:val="39"/>
    <w:rsid w:val="00BD14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表格格線361"/>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表格格線441"/>
    <w:basedOn w:val="a2"/>
    <w:next w:val="a6"/>
    <w:uiPriority w:val="3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2"/>
    <w:next w:val="a6"/>
    <w:uiPriority w:val="59"/>
    <w:rsid w:val="00BD14DA"/>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2">
    <w:name w:val="表格格線302"/>
    <w:basedOn w:val="a2"/>
    <w:next w:val="a6"/>
    <w:uiPriority w:val="59"/>
    <w:rsid w:val="00BD14DA"/>
    <w:rPr>
      <w:rFonts w:ascii="Times New Roman" w:eastAsia="新細明體" w:hAnsi="Times New Roman" w:cs="Times New Roman"/>
      <w:kern w:val="0"/>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表格格線442"/>
    <w:basedOn w:val="a2"/>
    <w:next w:val="a6"/>
    <w:uiPriority w:val="3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表格格線1511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表格格線38"/>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表格格線46"/>
    <w:basedOn w:val="a2"/>
    <w:next w:val="a6"/>
    <w:uiPriority w:val="39"/>
    <w:qFormat/>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a2"/>
    <w:uiPriority w:val="39"/>
    <w:rsid w:val="00BD14D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表格格線151111"/>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表格格線151112"/>
    <w:basedOn w:val="a2"/>
    <w:next w:val="a6"/>
    <w:uiPriority w:val="39"/>
    <w:rsid w:val="00BD14DA"/>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表格格線120"/>
    <w:basedOn w:val="a2"/>
    <w:next w:val="a6"/>
    <w:uiPriority w:val="39"/>
    <w:rsid w:val="00BD14D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
    <w:name w:val="無清單8"/>
    <w:next w:val="a3"/>
    <w:uiPriority w:val="99"/>
    <w:semiHidden/>
    <w:unhideWhenUsed/>
    <w:rsid w:val="00774B19"/>
  </w:style>
  <w:style w:type="table" w:customStyle="1" w:styleId="192">
    <w:name w:val="表格格線192"/>
    <w:basedOn w:val="a2"/>
    <w:next w:val="a6"/>
    <w:uiPriority w:val="3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表格格線431"/>
    <w:basedOn w:val="a2"/>
    <w:next w:val="a6"/>
    <w:uiPriority w:val="5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表格格線49"/>
    <w:basedOn w:val="a2"/>
    <w:next w:val="a6"/>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a2"/>
    <w:next w:val="a6"/>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表格格線214"/>
    <w:basedOn w:val="a2"/>
    <w:next w:val="a6"/>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表格格線310"/>
    <w:basedOn w:val="a2"/>
    <w:next w:val="a6"/>
    <w:uiPriority w:val="3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無清單17"/>
    <w:next w:val="a3"/>
    <w:uiPriority w:val="99"/>
    <w:semiHidden/>
    <w:unhideWhenUsed/>
    <w:rsid w:val="00774B19"/>
  </w:style>
  <w:style w:type="table" w:customStyle="1" w:styleId="4100">
    <w:name w:val="表格格線410"/>
    <w:basedOn w:val="a2"/>
    <w:next w:val="a6"/>
    <w:uiPriority w:val="3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表格格線215"/>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表格格線312"/>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表格格線412"/>
    <w:basedOn w:val="a2"/>
    <w:next w:val="a6"/>
    <w:uiPriority w:val="5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表格格線55"/>
    <w:basedOn w:val="a2"/>
    <w:next w:val="a6"/>
    <w:uiPriority w:val="5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無清單112"/>
    <w:next w:val="a3"/>
    <w:uiPriority w:val="99"/>
    <w:semiHidden/>
    <w:unhideWhenUsed/>
    <w:rsid w:val="00774B19"/>
  </w:style>
  <w:style w:type="numbering" w:customStyle="1" w:styleId="270">
    <w:name w:val="無清單27"/>
    <w:next w:val="a3"/>
    <w:uiPriority w:val="99"/>
    <w:semiHidden/>
    <w:unhideWhenUsed/>
    <w:rsid w:val="00774B19"/>
  </w:style>
  <w:style w:type="table" w:customStyle="1" w:styleId="640">
    <w:name w:val="表格格線64"/>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淺色網底 - 輔色 116"/>
    <w:basedOn w:val="a2"/>
    <w:uiPriority w:val="60"/>
    <w:rsid w:val="00774B19"/>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50">
    <w:name w:val="表格格線75"/>
    <w:basedOn w:val="a2"/>
    <w:next w:val="a6"/>
    <w:uiPriority w:val="5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表格格線272"/>
    <w:basedOn w:val="a2"/>
    <w:next w:val="a6"/>
    <w:uiPriority w:val="3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表格格線2811"/>
    <w:basedOn w:val="a2"/>
    <w:next w:val="a6"/>
    <w:uiPriority w:val="3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表格格線83"/>
    <w:basedOn w:val="a2"/>
    <w:next w:val="a6"/>
    <w:uiPriority w:val="3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表格格線93"/>
    <w:basedOn w:val="a2"/>
    <w:next w:val="a6"/>
    <w:uiPriority w:val="3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a2"/>
    <w:next w:val="a6"/>
    <w:uiPriority w:val="5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a2"/>
    <w:next w:val="a6"/>
    <w:uiPriority w:val="5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表格格線531"/>
    <w:basedOn w:val="a2"/>
    <w:next w:val="a6"/>
    <w:uiPriority w:val="5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
    <w:name w:val="表格格線103"/>
    <w:basedOn w:val="a2"/>
    <w:next w:val="a6"/>
    <w:uiPriority w:val="3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表格格線422"/>
    <w:basedOn w:val="a2"/>
    <w:next w:val="a6"/>
    <w:uiPriority w:val="5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表格格線513"/>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a2"/>
    <w:next w:val="a6"/>
    <w:uiPriority w:val="3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表格格線162"/>
    <w:basedOn w:val="a2"/>
    <w:next w:val="a6"/>
    <w:uiPriority w:val="3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表格格線291"/>
    <w:basedOn w:val="a2"/>
    <w:next w:val="a6"/>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表格格線173"/>
    <w:basedOn w:val="a2"/>
    <w:next w:val="a6"/>
    <w:uiPriority w:val="3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a2"/>
    <w:next w:val="a6"/>
    <w:uiPriority w:val="3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表格格線183"/>
    <w:basedOn w:val="a2"/>
    <w:next w:val="a6"/>
    <w:uiPriority w:val="5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表格格線203"/>
    <w:basedOn w:val="a2"/>
    <w:next w:val="a6"/>
    <w:uiPriority w:val="3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表格格線323"/>
    <w:basedOn w:val="a2"/>
    <w:next w:val="a6"/>
    <w:uiPriority w:val="5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表格格線223"/>
    <w:basedOn w:val="a2"/>
    <w:next w:val="a6"/>
    <w:uiPriority w:val="3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表格格線234"/>
    <w:basedOn w:val="a2"/>
    <w:next w:val="a6"/>
    <w:uiPriority w:val="3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表格格線243"/>
    <w:basedOn w:val="a2"/>
    <w:next w:val="a6"/>
    <w:uiPriority w:val="3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表格格線253"/>
    <w:basedOn w:val="a2"/>
    <w:next w:val="a6"/>
    <w:uiPriority w:val="3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表格格線263"/>
    <w:basedOn w:val="a2"/>
    <w:next w:val="a6"/>
    <w:uiPriority w:val="3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表格格線2311"/>
    <w:basedOn w:val="a2"/>
    <w:next w:val="a6"/>
    <w:uiPriority w:val="39"/>
    <w:qFormat/>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表格格線282"/>
    <w:basedOn w:val="a2"/>
    <w:next w:val="a6"/>
    <w:uiPriority w:val="3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表格格線1101"/>
    <w:basedOn w:val="a2"/>
    <w:next w:val="a6"/>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表格格線33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表格格線443"/>
    <w:basedOn w:val="a2"/>
    <w:next w:val="a6"/>
    <w:uiPriority w:val="5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無清單212"/>
    <w:next w:val="a3"/>
    <w:uiPriority w:val="99"/>
    <w:semiHidden/>
    <w:unhideWhenUsed/>
    <w:rsid w:val="00774B19"/>
  </w:style>
  <w:style w:type="table" w:customStyle="1" w:styleId="1221">
    <w:name w:val="表格格線1221"/>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表格格線2211"/>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表格格線714"/>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
    <w:name w:val="無清單33"/>
    <w:next w:val="a3"/>
    <w:uiPriority w:val="99"/>
    <w:semiHidden/>
    <w:unhideWhenUsed/>
    <w:rsid w:val="00774B19"/>
  </w:style>
  <w:style w:type="table" w:customStyle="1" w:styleId="1312">
    <w:name w:val="表格格線1312"/>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表格格線2321"/>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無清單122"/>
    <w:next w:val="a3"/>
    <w:uiPriority w:val="99"/>
    <w:semiHidden/>
    <w:unhideWhenUsed/>
    <w:rsid w:val="00774B19"/>
  </w:style>
  <w:style w:type="numbering" w:customStyle="1" w:styleId="2221">
    <w:name w:val="無清單222"/>
    <w:next w:val="a3"/>
    <w:uiPriority w:val="99"/>
    <w:semiHidden/>
    <w:unhideWhenUsed/>
    <w:rsid w:val="00774B19"/>
  </w:style>
  <w:style w:type="table" w:customStyle="1" w:styleId="-1112">
    <w:name w:val="淺色網底 - 輔色 1112"/>
    <w:basedOn w:val="a2"/>
    <w:uiPriority w:val="60"/>
    <w:rsid w:val="00774B19"/>
    <w:rPr>
      <w:rFonts w:ascii="Times New Roman" w:eastAsia="新細明體" w:hAnsi="Times New Roman" w:cs="Times New Roman"/>
      <w:color w:val="2E74B5"/>
      <w:kern w:val="0"/>
      <w:sz w:val="20"/>
      <w:szCs w:val="20"/>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numbering" w:customStyle="1" w:styleId="423">
    <w:name w:val="無清單42"/>
    <w:next w:val="a3"/>
    <w:uiPriority w:val="99"/>
    <w:semiHidden/>
    <w:unhideWhenUsed/>
    <w:rsid w:val="00774B19"/>
  </w:style>
  <w:style w:type="table" w:customStyle="1" w:styleId="1412">
    <w:name w:val="表格格線1412"/>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表格格線2411"/>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表格格線5111"/>
    <w:basedOn w:val="a2"/>
    <w:next w:val="a6"/>
    <w:uiPriority w:val="5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無清單132"/>
    <w:next w:val="a3"/>
    <w:uiPriority w:val="99"/>
    <w:semiHidden/>
    <w:unhideWhenUsed/>
    <w:rsid w:val="00774B19"/>
  </w:style>
  <w:style w:type="numbering" w:customStyle="1" w:styleId="2320">
    <w:name w:val="無清單232"/>
    <w:next w:val="a3"/>
    <w:uiPriority w:val="99"/>
    <w:semiHidden/>
    <w:unhideWhenUsed/>
    <w:rsid w:val="00774B19"/>
  </w:style>
  <w:style w:type="table" w:customStyle="1" w:styleId="6120">
    <w:name w:val="表格格線612"/>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淺色網底 - 輔色 1122"/>
    <w:basedOn w:val="a2"/>
    <w:uiPriority w:val="60"/>
    <w:rsid w:val="00774B19"/>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111">
    <w:name w:val="表格格線7111"/>
    <w:basedOn w:val="a2"/>
    <w:next w:val="a6"/>
    <w:uiPriority w:val="5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無清單52"/>
    <w:next w:val="a3"/>
    <w:uiPriority w:val="99"/>
    <w:semiHidden/>
    <w:unhideWhenUsed/>
    <w:rsid w:val="00774B19"/>
  </w:style>
  <w:style w:type="table" w:customStyle="1" w:styleId="1013">
    <w:name w:val="表格格線1013"/>
    <w:basedOn w:val="a2"/>
    <w:next w:val="a6"/>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表格格線1521"/>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表格格線2511"/>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表格格線321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0">
    <w:name w:val="表格格線522"/>
    <w:basedOn w:val="a2"/>
    <w:next w:val="a6"/>
    <w:uiPriority w:val="3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無清單142"/>
    <w:next w:val="a3"/>
    <w:uiPriority w:val="99"/>
    <w:semiHidden/>
    <w:unhideWhenUsed/>
    <w:rsid w:val="00774B19"/>
  </w:style>
  <w:style w:type="numbering" w:customStyle="1" w:styleId="2421">
    <w:name w:val="無清單242"/>
    <w:next w:val="a3"/>
    <w:uiPriority w:val="99"/>
    <w:semiHidden/>
    <w:unhideWhenUsed/>
    <w:rsid w:val="00774B19"/>
  </w:style>
  <w:style w:type="table" w:customStyle="1" w:styleId="622">
    <w:name w:val="表格格線622"/>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淺色網底 - 輔色 1132"/>
    <w:basedOn w:val="a2"/>
    <w:uiPriority w:val="60"/>
    <w:rsid w:val="00774B19"/>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22">
    <w:name w:val="表格格線722"/>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表格格線812"/>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表格格線912"/>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表格格線1011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表格格線1711"/>
    <w:basedOn w:val="a2"/>
    <w:next w:val="a6"/>
    <w:uiPriority w:val="3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3">
    <w:name w:val="無清單62"/>
    <w:next w:val="a3"/>
    <w:uiPriority w:val="99"/>
    <w:semiHidden/>
    <w:unhideWhenUsed/>
    <w:rsid w:val="00774B19"/>
  </w:style>
  <w:style w:type="table" w:customStyle="1" w:styleId="1811">
    <w:name w:val="表格格線1811"/>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表格格線2611"/>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0">
    <w:name w:val="無清單152"/>
    <w:next w:val="a3"/>
    <w:uiPriority w:val="99"/>
    <w:semiHidden/>
    <w:unhideWhenUsed/>
    <w:rsid w:val="00774B19"/>
  </w:style>
  <w:style w:type="numbering" w:customStyle="1" w:styleId="2521">
    <w:name w:val="無清單252"/>
    <w:next w:val="a3"/>
    <w:uiPriority w:val="99"/>
    <w:semiHidden/>
    <w:unhideWhenUsed/>
    <w:rsid w:val="00774B19"/>
  </w:style>
  <w:style w:type="table" w:customStyle="1" w:styleId="-1142">
    <w:name w:val="淺色網底 - 輔色 1142"/>
    <w:basedOn w:val="a2"/>
    <w:uiPriority w:val="60"/>
    <w:rsid w:val="00774B19"/>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3120">
    <w:name w:val="無清單312"/>
    <w:next w:val="a3"/>
    <w:uiPriority w:val="99"/>
    <w:semiHidden/>
    <w:unhideWhenUsed/>
    <w:rsid w:val="00774B19"/>
  </w:style>
  <w:style w:type="table" w:customStyle="1" w:styleId="732">
    <w:name w:val="表格格線732"/>
    <w:basedOn w:val="a2"/>
    <w:next w:val="a6"/>
    <w:uiPriority w:val="5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a2"/>
    <w:next w:val="a6"/>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表格格線2011"/>
    <w:basedOn w:val="a2"/>
    <w:next w:val="a6"/>
    <w:uiPriority w:val="3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5">
    <w:name w:val="無清單71"/>
    <w:next w:val="a3"/>
    <w:uiPriority w:val="99"/>
    <w:semiHidden/>
    <w:unhideWhenUsed/>
    <w:rsid w:val="00774B19"/>
  </w:style>
  <w:style w:type="table" w:customStyle="1" w:styleId="303">
    <w:name w:val="表格格線303"/>
    <w:basedOn w:val="a2"/>
    <w:next w:val="a6"/>
    <w:uiPriority w:val="3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無清單161"/>
    <w:next w:val="a3"/>
    <w:uiPriority w:val="99"/>
    <w:semiHidden/>
    <w:unhideWhenUsed/>
    <w:rsid w:val="00774B19"/>
  </w:style>
  <w:style w:type="table" w:customStyle="1" w:styleId="2101">
    <w:name w:val="表格格線2101"/>
    <w:basedOn w:val="a2"/>
    <w:next w:val="a6"/>
    <w:uiPriority w:val="3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0">
    <w:name w:val="無清單261"/>
    <w:next w:val="a3"/>
    <w:uiPriority w:val="99"/>
    <w:semiHidden/>
    <w:unhideWhenUsed/>
    <w:rsid w:val="00774B19"/>
  </w:style>
  <w:style w:type="table" w:customStyle="1" w:styleId="11210">
    <w:name w:val="表格格線1121"/>
    <w:basedOn w:val="a2"/>
    <w:next w:val="a6"/>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表格格線2111"/>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表格格線34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表格格線451"/>
    <w:basedOn w:val="a2"/>
    <w:next w:val="a6"/>
    <w:uiPriority w:val="5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表格格線541"/>
    <w:basedOn w:val="a2"/>
    <w:next w:val="a6"/>
    <w:uiPriority w:val="5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無清單1111"/>
    <w:next w:val="a3"/>
    <w:uiPriority w:val="99"/>
    <w:semiHidden/>
    <w:unhideWhenUsed/>
    <w:rsid w:val="00774B19"/>
  </w:style>
  <w:style w:type="numbering" w:customStyle="1" w:styleId="21110">
    <w:name w:val="無清單2111"/>
    <w:next w:val="a3"/>
    <w:uiPriority w:val="99"/>
    <w:semiHidden/>
    <w:unhideWhenUsed/>
    <w:rsid w:val="00774B19"/>
  </w:style>
  <w:style w:type="table" w:customStyle="1" w:styleId="631">
    <w:name w:val="表格格線63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淺色網底 - 輔色 1151"/>
    <w:basedOn w:val="a2"/>
    <w:uiPriority w:val="60"/>
    <w:rsid w:val="00774B19"/>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12310">
    <w:name w:val="表格格線1231"/>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表格格線2221"/>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表格格線74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表格格線821"/>
    <w:basedOn w:val="a2"/>
    <w:next w:val="a6"/>
    <w:uiPriority w:val="39"/>
    <w:qFormat/>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無清單321"/>
    <w:next w:val="a3"/>
    <w:uiPriority w:val="99"/>
    <w:semiHidden/>
    <w:unhideWhenUsed/>
    <w:rsid w:val="00774B19"/>
  </w:style>
  <w:style w:type="table" w:customStyle="1" w:styleId="13210">
    <w:name w:val="表格格線1321"/>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表格格線2331"/>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無清單1211"/>
    <w:next w:val="a3"/>
    <w:uiPriority w:val="99"/>
    <w:semiHidden/>
    <w:unhideWhenUsed/>
    <w:rsid w:val="00774B19"/>
  </w:style>
  <w:style w:type="numbering" w:customStyle="1" w:styleId="22111">
    <w:name w:val="無清單2211"/>
    <w:next w:val="a3"/>
    <w:uiPriority w:val="99"/>
    <w:semiHidden/>
    <w:unhideWhenUsed/>
    <w:rsid w:val="00774B19"/>
  </w:style>
  <w:style w:type="table" w:customStyle="1" w:styleId="-11111">
    <w:name w:val="淺色網底 - 輔色 11111"/>
    <w:basedOn w:val="a2"/>
    <w:uiPriority w:val="60"/>
    <w:rsid w:val="00774B19"/>
    <w:rPr>
      <w:rFonts w:ascii="Times New Roman" w:eastAsia="新細明體" w:hAnsi="Times New Roman" w:cs="Times New Roman"/>
      <w:color w:val="2E74B5"/>
      <w:kern w:val="0"/>
      <w:sz w:val="20"/>
      <w:szCs w:val="20"/>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numbering" w:customStyle="1" w:styleId="4110">
    <w:name w:val="無清單411"/>
    <w:next w:val="a3"/>
    <w:uiPriority w:val="99"/>
    <w:semiHidden/>
    <w:unhideWhenUsed/>
    <w:rsid w:val="00774B19"/>
  </w:style>
  <w:style w:type="table" w:customStyle="1" w:styleId="921">
    <w:name w:val="表格格線921"/>
    <w:basedOn w:val="a2"/>
    <w:next w:val="a6"/>
    <w:uiPriority w:val="3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表格格線1421"/>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0">
    <w:name w:val="表格格線2421"/>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表格格線311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表格格線4111"/>
    <w:basedOn w:val="a2"/>
    <w:next w:val="a6"/>
    <w:uiPriority w:val="5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表格格線5121"/>
    <w:basedOn w:val="a2"/>
    <w:next w:val="a6"/>
    <w:uiPriority w:val="5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0">
    <w:name w:val="無清單1311"/>
    <w:next w:val="a3"/>
    <w:uiPriority w:val="99"/>
    <w:semiHidden/>
    <w:unhideWhenUsed/>
    <w:rsid w:val="00774B19"/>
  </w:style>
  <w:style w:type="numbering" w:customStyle="1" w:styleId="23110">
    <w:name w:val="無清單2311"/>
    <w:next w:val="a3"/>
    <w:uiPriority w:val="99"/>
    <w:semiHidden/>
    <w:unhideWhenUsed/>
    <w:rsid w:val="00774B19"/>
  </w:style>
  <w:style w:type="table" w:customStyle="1" w:styleId="6111">
    <w:name w:val="表格格線611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淺色網底 - 輔色 11211"/>
    <w:basedOn w:val="a2"/>
    <w:uiPriority w:val="60"/>
    <w:rsid w:val="00774B19"/>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121">
    <w:name w:val="表格格線7121"/>
    <w:basedOn w:val="a2"/>
    <w:next w:val="a6"/>
    <w:uiPriority w:val="5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2">
    <w:name w:val="無清單511"/>
    <w:next w:val="a3"/>
    <w:uiPriority w:val="99"/>
    <w:semiHidden/>
    <w:unhideWhenUsed/>
    <w:rsid w:val="00774B19"/>
  </w:style>
  <w:style w:type="table" w:customStyle="1" w:styleId="1021">
    <w:name w:val="表格格線1021"/>
    <w:basedOn w:val="a2"/>
    <w:next w:val="a6"/>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1"/>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0">
    <w:name w:val="表格格線2521"/>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表格格線322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表格格線4211"/>
    <w:basedOn w:val="a2"/>
    <w:next w:val="a6"/>
    <w:uiPriority w:val="5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表格格線5211"/>
    <w:basedOn w:val="a2"/>
    <w:next w:val="a6"/>
    <w:uiPriority w:val="3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無清單1411"/>
    <w:next w:val="a3"/>
    <w:uiPriority w:val="99"/>
    <w:semiHidden/>
    <w:unhideWhenUsed/>
    <w:rsid w:val="00774B19"/>
  </w:style>
  <w:style w:type="numbering" w:customStyle="1" w:styleId="24110">
    <w:name w:val="無清單2411"/>
    <w:next w:val="a3"/>
    <w:uiPriority w:val="99"/>
    <w:semiHidden/>
    <w:unhideWhenUsed/>
    <w:rsid w:val="00774B19"/>
  </w:style>
  <w:style w:type="table" w:customStyle="1" w:styleId="6211">
    <w:name w:val="表格格線621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淺色網底 - 輔色 11311"/>
    <w:basedOn w:val="a2"/>
    <w:uiPriority w:val="60"/>
    <w:rsid w:val="00774B19"/>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7211">
    <w:name w:val="表格格線721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
    <w:name w:val="表格格線811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表格格線911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1">
    <w:name w:val="表格格線10121"/>
    <w:basedOn w:val="a2"/>
    <w:next w:val="a6"/>
    <w:uiPriority w:val="39"/>
    <w:rsid w:val="00774B1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表格格線1611"/>
    <w:basedOn w:val="a2"/>
    <w:next w:val="a6"/>
    <w:uiPriority w:val="3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表格格線1721"/>
    <w:basedOn w:val="a2"/>
    <w:next w:val="a6"/>
    <w:uiPriority w:val="3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0">
    <w:name w:val="無清單611"/>
    <w:next w:val="a3"/>
    <w:uiPriority w:val="99"/>
    <w:semiHidden/>
    <w:unhideWhenUsed/>
    <w:rsid w:val="00774B19"/>
  </w:style>
  <w:style w:type="table" w:customStyle="1" w:styleId="1821">
    <w:name w:val="表格格線1821"/>
    <w:basedOn w:val="a2"/>
    <w:uiPriority w:val="59"/>
    <w:rsid w:val="00774B19"/>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表格格線2621"/>
    <w:basedOn w:val="a2"/>
    <w:next w:val="a6"/>
    <w:uiPriority w:val="59"/>
    <w:rsid w:val="00774B19"/>
    <w:pPr>
      <w:jc w:val="center"/>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0">
    <w:name w:val="無清單1511"/>
    <w:next w:val="a3"/>
    <w:uiPriority w:val="99"/>
    <w:semiHidden/>
    <w:unhideWhenUsed/>
    <w:rsid w:val="00774B19"/>
  </w:style>
  <w:style w:type="numbering" w:customStyle="1" w:styleId="25110">
    <w:name w:val="無清單2511"/>
    <w:next w:val="a3"/>
    <w:uiPriority w:val="99"/>
    <w:semiHidden/>
    <w:unhideWhenUsed/>
    <w:rsid w:val="00774B19"/>
  </w:style>
  <w:style w:type="table" w:customStyle="1" w:styleId="-11411">
    <w:name w:val="淺色網底 - 輔色 11411"/>
    <w:basedOn w:val="a2"/>
    <w:uiPriority w:val="60"/>
    <w:rsid w:val="00774B19"/>
    <w:rPr>
      <w:rFonts w:ascii="Times New Roman" w:eastAsia="新細明體" w:hAnsi="Times New Roman" w:cs="Times New Roman"/>
      <w:color w:val="365F91"/>
      <w:kern w:val="0"/>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numbering" w:customStyle="1" w:styleId="31111">
    <w:name w:val="無清單3111"/>
    <w:next w:val="a3"/>
    <w:uiPriority w:val="99"/>
    <w:semiHidden/>
    <w:unhideWhenUsed/>
    <w:rsid w:val="00774B19"/>
  </w:style>
  <w:style w:type="table" w:customStyle="1" w:styleId="7311">
    <w:name w:val="表格格線7311"/>
    <w:basedOn w:val="a2"/>
    <w:next w:val="a6"/>
    <w:uiPriority w:val="59"/>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0">
    <w:name w:val="表格格線11111"/>
    <w:basedOn w:val="a2"/>
    <w:next w:val="a6"/>
    <w:rsid w:val="00774B1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2"/>
    <w:next w:val="a6"/>
    <w:uiPriority w:val="3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表格格線2021"/>
    <w:basedOn w:val="a2"/>
    <w:next w:val="a6"/>
    <w:uiPriority w:val="3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表格格線2711"/>
    <w:basedOn w:val="a2"/>
    <w:next w:val="a6"/>
    <w:uiPriority w:val="39"/>
    <w:rsid w:val="00774B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表格格線50"/>
    <w:basedOn w:val="a2"/>
    <w:next w:val="a6"/>
    <w:uiPriority w:val="39"/>
    <w:qFormat/>
    <w:rsid w:val="00EA5DC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d">
    <w:name w:val="No Spacing"/>
    <w:uiPriority w:val="1"/>
    <w:qFormat/>
    <w:rsid w:val="000832CB"/>
    <w:pPr>
      <w:widowControl w:val="0"/>
    </w:pPr>
  </w:style>
  <w:style w:type="paragraph" w:customStyle="1" w:styleId="afffffe">
    <w:name w:val="查核事項"/>
    <w:basedOn w:val="a0"/>
    <w:link w:val="affffff"/>
    <w:qFormat/>
    <w:rsid w:val="004551F8"/>
    <w:pPr>
      <w:overflowPunct w:val="0"/>
      <w:spacing w:line="540" w:lineRule="exact"/>
      <w:ind w:leftChars="100" w:left="280"/>
      <w:jc w:val="both"/>
      <w:outlineLvl w:val="1"/>
    </w:pPr>
    <w:rPr>
      <w:rFonts w:ascii="標楷體" w:eastAsia="標楷體" w:hAnsi="標楷體" w:cs="Times New Roman"/>
      <w:b/>
      <w:bCs/>
      <w:snapToGrid w:val="0"/>
      <w:kern w:val="0"/>
      <w:sz w:val="32"/>
      <w:szCs w:val="32"/>
    </w:rPr>
  </w:style>
  <w:style w:type="character" w:customStyle="1" w:styleId="affffff">
    <w:name w:val="查核事項 字元"/>
    <w:basedOn w:val="a1"/>
    <w:link w:val="afffffe"/>
    <w:rsid w:val="004551F8"/>
    <w:rPr>
      <w:rFonts w:ascii="標楷體" w:eastAsia="標楷體" w:hAnsi="標楷體" w:cs="Times New Roman"/>
      <w:b/>
      <w:bCs/>
      <w:snapToGrid w:val="0"/>
      <w:kern w:val="0"/>
      <w:sz w:val="32"/>
      <w:szCs w:val="32"/>
    </w:rPr>
  </w:style>
  <w:style w:type="paragraph" w:customStyle="1" w:styleId="3e">
    <w:name w:val="報告標題 3"/>
    <w:basedOn w:val="a0"/>
    <w:rsid w:val="00CC5AFC"/>
    <w:pPr>
      <w:keepNext/>
      <w:jc w:val="both"/>
      <w:outlineLvl w:val="2"/>
    </w:pPr>
    <w:rPr>
      <w:rFonts w:ascii="Times New Roman" w:eastAsia="標楷體" w:hAnsi="Times New Roman" w:cs="Times New Roman"/>
      <w:kern w:val="16"/>
      <w:sz w:val="32"/>
      <w:szCs w:val="20"/>
    </w:rPr>
  </w:style>
  <w:style w:type="table" w:customStyle="1" w:styleId="216">
    <w:name w:val="表格格線216"/>
    <w:basedOn w:val="a2"/>
    <w:uiPriority w:val="39"/>
    <w:rsid w:val="00D74004"/>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表格格線56"/>
    <w:basedOn w:val="a2"/>
    <w:next w:val="a6"/>
    <w:uiPriority w:val="39"/>
    <w:rsid w:val="004E7E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表格格線57"/>
    <w:basedOn w:val="a2"/>
    <w:next w:val="a6"/>
    <w:uiPriority w:val="39"/>
    <w:rsid w:val="005D09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
    <w:name w:val="表格格線58"/>
    <w:basedOn w:val="a2"/>
    <w:next w:val="a6"/>
    <w:uiPriority w:val="39"/>
    <w:rsid w:val="00FA0A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90289">
      <w:bodyDiv w:val="1"/>
      <w:marLeft w:val="0"/>
      <w:marRight w:val="0"/>
      <w:marTop w:val="0"/>
      <w:marBottom w:val="0"/>
      <w:divBdr>
        <w:top w:val="none" w:sz="0" w:space="0" w:color="auto"/>
        <w:left w:val="none" w:sz="0" w:space="0" w:color="auto"/>
        <w:bottom w:val="none" w:sz="0" w:space="0" w:color="auto"/>
        <w:right w:val="none" w:sz="0" w:space="0" w:color="auto"/>
      </w:divBdr>
    </w:div>
    <w:div w:id="87628857">
      <w:bodyDiv w:val="1"/>
      <w:marLeft w:val="0"/>
      <w:marRight w:val="0"/>
      <w:marTop w:val="0"/>
      <w:marBottom w:val="0"/>
      <w:divBdr>
        <w:top w:val="none" w:sz="0" w:space="0" w:color="auto"/>
        <w:left w:val="none" w:sz="0" w:space="0" w:color="auto"/>
        <w:bottom w:val="none" w:sz="0" w:space="0" w:color="auto"/>
        <w:right w:val="none" w:sz="0" w:space="0" w:color="auto"/>
      </w:divBdr>
    </w:div>
    <w:div w:id="182323367">
      <w:bodyDiv w:val="1"/>
      <w:marLeft w:val="0"/>
      <w:marRight w:val="0"/>
      <w:marTop w:val="0"/>
      <w:marBottom w:val="0"/>
      <w:divBdr>
        <w:top w:val="none" w:sz="0" w:space="0" w:color="auto"/>
        <w:left w:val="none" w:sz="0" w:space="0" w:color="auto"/>
        <w:bottom w:val="none" w:sz="0" w:space="0" w:color="auto"/>
        <w:right w:val="none" w:sz="0" w:space="0" w:color="auto"/>
      </w:divBdr>
    </w:div>
    <w:div w:id="322976764">
      <w:bodyDiv w:val="1"/>
      <w:marLeft w:val="0"/>
      <w:marRight w:val="0"/>
      <w:marTop w:val="0"/>
      <w:marBottom w:val="0"/>
      <w:divBdr>
        <w:top w:val="none" w:sz="0" w:space="0" w:color="auto"/>
        <w:left w:val="none" w:sz="0" w:space="0" w:color="auto"/>
        <w:bottom w:val="none" w:sz="0" w:space="0" w:color="auto"/>
        <w:right w:val="none" w:sz="0" w:space="0" w:color="auto"/>
      </w:divBdr>
    </w:div>
    <w:div w:id="357895863">
      <w:bodyDiv w:val="1"/>
      <w:marLeft w:val="0"/>
      <w:marRight w:val="0"/>
      <w:marTop w:val="0"/>
      <w:marBottom w:val="0"/>
      <w:divBdr>
        <w:top w:val="none" w:sz="0" w:space="0" w:color="auto"/>
        <w:left w:val="none" w:sz="0" w:space="0" w:color="auto"/>
        <w:bottom w:val="none" w:sz="0" w:space="0" w:color="auto"/>
        <w:right w:val="none" w:sz="0" w:space="0" w:color="auto"/>
      </w:divBdr>
    </w:div>
    <w:div w:id="369110858">
      <w:bodyDiv w:val="1"/>
      <w:marLeft w:val="0"/>
      <w:marRight w:val="0"/>
      <w:marTop w:val="0"/>
      <w:marBottom w:val="0"/>
      <w:divBdr>
        <w:top w:val="none" w:sz="0" w:space="0" w:color="auto"/>
        <w:left w:val="none" w:sz="0" w:space="0" w:color="auto"/>
        <w:bottom w:val="none" w:sz="0" w:space="0" w:color="auto"/>
        <w:right w:val="none" w:sz="0" w:space="0" w:color="auto"/>
      </w:divBdr>
    </w:div>
    <w:div w:id="453137032">
      <w:bodyDiv w:val="1"/>
      <w:marLeft w:val="0"/>
      <w:marRight w:val="0"/>
      <w:marTop w:val="0"/>
      <w:marBottom w:val="0"/>
      <w:divBdr>
        <w:top w:val="none" w:sz="0" w:space="0" w:color="auto"/>
        <w:left w:val="none" w:sz="0" w:space="0" w:color="auto"/>
        <w:bottom w:val="none" w:sz="0" w:space="0" w:color="auto"/>
        <w:right w:val="none" w:sz="0" w:space="0" w:color="auto"/>
      </w:divBdr>
    </w:div>
    <w:div w:id="699743174">
      <w:bodyDiv w:val="1"/>
      <w:marLeft w:val="0"/>
      <w:marRight w:val="0"/>
      <w:marTop w:val="0"/>
      <w:marBottom w:val="0"/>
      <w:divBdr>
        <w:top w:val="none" w:sz="0" w:space="0" w:color="auto"/>
        <w:left w:val="none" w:sz="0" w:space="0" w:color="auto"/>
        <w:bottom w:val="none" w:sz="0" w:space="0" w:color="auto"/>
        <w:right w:val="none" w:sz="0" w:space="0" w:color="auto"/>
      </w:divBdr>
    </w:div>
    <w:div w:id="737366805">
      <w:bodyDiv w:val="1"/>
      <w:marLeft w:val="0"/>
      <w:marRight w:val="0"/>
      <w:marTop w:val="0"/>
      <w:marBottom w:val="0"/>
      <w:divBdr>
        <w:top w:val="none" w:sz="0" w:space="0" w:color="auto"/>
        <w:left w:val="none" w:sz="0" w:space="0" w:color="auto"/>
        <w:bottom w:val="none" w:sz="0" w:space="0" w:color="auto"/>
        <w:right w:val="none" w:sz="0" w:space="0" w:color="auto"/>
      </w:divBdr>
    </w:div>
    <w:div w:id="763455829">
      <w:bodyDiv w:val="1"/>
      <w:marLeft w:val="0"/>
      <w:marRight w:val="0"/>
      <w:marTop w:val="0"/>
      <w:marBottom w:val="0"/>
      <w:divBdr>
        <w:top w:val="none" w:sz="0" w:space="0" w:color="auto"/>
        <w:left w:val="none" w:sz="0" w:space="0" w:color="auto"/>
        <w:bottom w:val="none" w:sz="0" w:space="0" w:color="auto"/>
        <w:right w:val="none" w:sz="0" w:space="0" w:color="auto"/>
      </w:divBdr>
    </w:div>
    <w:div w:id="1097095834">
      <w:bodyDiv w:val="1"/>
      <w:marLeft w:val="0"/>
      <w:marRight w:val="0"/>
      <w:marTop w:val="0"/>
      <w:marBottom w:val="0"/>
      <w:divBdr>
        <w:top w:val="none" w:sz="0" w:space="0" w:color="auto"/>
        <w:left w:val="none" w:sz="0" w:space="0" w:color="auto"/>
        <w:bottom w:val="none" w:sz="0" w:space="0" w:color="auto"/>
        <w:right w:val="none" w:sz="0" w:space="0" w:color="auto"/>
      </w:divBdr>
    </w:div>
    <w:div w:id="1151167750">
      <w:bodyDiv w:val="1"/>
      <w:marLeft w:val="0"/>
      <w:marRight w:val="0"/>
      <w:marTop w:val="0"/>
      <w:marBottom w:val="0"/>
      <w:divBdr>
        <w:top w:val="none" w:sz="0" w:space="0" w:color="auto"/>
        <w:left w:val="none" w:sz="0" w:space="0" w:color="auto"/>
        <w:bottom w:val="none" w:sz="0" w:space="0" w:color="auto"/>
        <w:right w:val="none" w:sz="0" w:space="0" w:color="auto"/>
      </w:divBdr>
    </w:div>
    <w:div w:id="1235311321">
      <w:bodyDiv w:val="1"/>
      <w:marLeft w:val="0"/>
      <w:marRight w:val="0"/>
      <w:marTop w:val="0"/>
      <w:marBottom w:val="0"/>
      <w:divBdr>
        <w:top w:val="none" w:sz="0" w:space="0" w:color="auto"/>
        <w:left w:val="none" w:sz="0" w:space="0" w:color="auto"/>
        <w:bottom w:val="none" w:sz="0" w:space="0" w:color="auto"/>
        <w:right w:val="none" w:sz="0" w:space="0" w:color="auto"/>
      </w:divBdr>
    </w:div>
    <w:div w:id="1245604230">
      <w:bodyDiv w:val="1"/>
      <w:marLeft w:val="0"/>
      <w:marRight w:val="0"/>
      <w:marTop w:val="0"/>
      <w:marBottom w:val="0"/>
      <w:divBdr>
        <w:top w:val="none" w:sz="0" w:space="0" w:color="auto"/>
        <w:left w:val="none" w:sz="0" w:space="0" w:color="auto"/>
        <w:bottom w:val="none" w:sz="0" w:space="0" w:color="auto"/>
        <w:right w:val="none" w:sz="0" w:space="0" w:color="auto"/>
      </w:divBdr>
    </w:div>
    <w:div w:id="1327366533">
      <w:bodyDiv w:val="1"/>
      <w:marLeft w:val="0"/>
      <w:marRight w:val="0"/>
      <w:marTop w:val="0"/>
      <w:marBottom w:val="0"/>
      <w:divBdr>
        <w:top w:val="none" w:sz="0" w:space="0" w:color="auto"/>
        <w:left w:val="none" w:sz="0" w:space="0" w:color="auto"/>
        <w:bottom w:val="none" w:sz="0" w:space="0" w:color="auto"/>
        <w:right w:val="none" w:sz="0" w:space="0" w:color="auto"/>
      </w:divBdr>
    </w:div>
    <w:div w:id="1344433989">
      <w:bodyDiv w:val="1"/>
      <w:marLeft w:val="0"/>
      <w:marRight w:val="0"/>
      <w:marTop w:val="0"/>
      <w:marBottom w:val="0"/>
      <w:divBdr>
        <w:top w:val="none" w:sz="0" w:space="0" w:color="auto"/>
        <w:left w:val="none" w:sz="0" w:space="0" w:color="auto"/>
        <w:bottom w:val="none" w:sz="0" w:space="0" w:color="auto"/>
        <w:right w:val="none" w:sz="0" w:space="0" w:color="auto"/>
      </w:divBdr>
    </w:div>
    <w:div w:id="1352417991">
      <w:bodyDiv w:val="1"/>
      <w:marLeft w:val="0"/>
      <w:marRight w:val="0"/>
      <w:marTop w:val="0"/>
      <w:marBottom w:val="0"/>
      <w:divBdr>
        <w:top w:val="none" w:sz="0" w:space="0" w:color="auto"/>
        <w:left w:val="none" w:sz="0" w:space="0" w:color="auto"/>
        <w:bottom w:val="none" w:sz="0" w:space="0" w:color="auto"/>
        <w:right w:val="none" w:sz="0" w:space="0" w:color="auto"/>
      </w:divBdr>
    </w:div>
    <w:div w:id="1516068969">
      <w:bodyDiv w:val="1"/>
      <w:marLeft w:val="0"/>
      <w:marRight w:val="0"/>
      <w:marTop w:val="0"/>
      <w:marBottom w:val="0"/>
      <w:divBdr>
        <w:top w:val="none" w:sz="0" w:space="0" w:color="auto"/>
        <w:left w:val="none" w:sz="0" w:space="0" w:color="auto"/>
        <w:bottom w:val="none" w:sz="0" w:space="0" w:color="auto"/>
        <w:right w:val="none" w:sz="0" w:space="0" w:color="auto"/>
      </w:divBdr>
    </w:div>
    <w:div w:id="1578898582">
      <w:bodyDiv w:val="1"/>
      <w:marLeft w:val="0"/>
      <w:marRight w:val="0"/>
      <w:marTop w:val="0"/>
      <w:marBottom w:val="0"/>
      <w:divBdr>
        <w:top w:val="none" w:sz="0" w:space="0" w:color="auto"/>
        <w:left w:val="none" w:sz="0" w:space="0" w:color="auto"/>
        <w:bottom w:val="none" w:sz="0" w:space="0" w:color="auto"/>
        <w:right w:val="none" w:sz="0" w:space="0" w:color="auto"/>
      </w:divBdr>
    </w:div>
    <w:div w:id="1633049934">
      <w:bodyDiv w:val="1"/>
      <w:marLeft w:val="0"/>
      <w:marRight w:val="0"/>
      <w:marTop w:val="0"/>
      <w:marBottom w:val="0"/>
      <w:divBdr>
        <w:top w:val="none" w:sz="0" w:space="0" w:color="auto"/>
        <w:left w:val="none" w:sz="0" w:space="0" w:color="auto"/>
        <w:bottom w:val="none" w:sz="0" w:space="0" w:color="auto"/>
        <w:right w:val="none" w:sz="0" w:space="0" w:color="auto"/>
      </w:divBdr>
    </w:div>
    <w:div w:id="1788115741">
      <w:bodyDiv w:val="1"/>
      <w:marLeft w:val="0"/>
      <w:marRight w:val="0"/>
      <w:marTop w:val="0"/>
      <w:marBottom w:val="0"/>
      <w:divBdr>
        <w:top w:val="none" w:sz="0" w:space="0" w:color="auto"/>
        <w:left w:val="none" w:sz="0" w:space="0" w:color="auto"/>
        <w:bottom w:val="none" w:sz="0" w:space="0" w:color="auto"/>
        <w:right w:val="none" w:sz="0" w:space="0" w:color="auto"/>
      </w:divBdr>
    </w:div>
    <w:div w:id="1859275925">
      <w:bodyDiv w:val="1"/>
      <w:marLeft w:val="0"/>
      <w:marRight w:val="0"/>
      <w:marTop w:val="0"/>
      <w:marBottom w:val="0"/>
      <w:divBdr>
        <w:top w:val="none" w:sz="0" w:space="0" w:color="auto"/>
        <w:left w:val="none" w:sz="0" w:space="0" w:color="auto"/>
        <w:bottom w:val="none" w:sz="0" w:space="0" w:color="auto"/>
        <w:right w:val="none" w:sz="0" w:space="0" w:color="auto"/>
      </w:divBdr>
    </w:div>
    <w:div w:id="1911041940">
      <w:bodyDiv w:val="1"/>
      <w:marLeft w:val="0"/>
      <w:marRight w:val="0"/>
      <w:marTop w:val="0"/>
      <w:marBottom w:val="0"/>
      <w:divBdr>
        <w:top w:val="none" w:sz="0" w:space="0" w:color="auto"/>
        <w:left w:val="none" w:sz="0" w:space="0" w:color="auto"/>
        <w:bottom w:val="none" w:sz="0" w:space="0" w:color="auto"/>
        <w:right w:val="none" w:sz="0" w:space="0" w:color="auto"/>
      </w:divBdr>
    </w:div>
    <w:div w:id="2068919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0.png"/><Relationship Id="rId21" Type="http://schemas.openxmlformats.org/officeDocument/2006/relationships/chart" Target="charts/chart4.xml"/><Relationship Id="rId42" Type="http://schemas.openxmlformats.org/officeDocument/2006/relationships/image" Target="media/image17.jpeg"/><Relationship Id="rId47" Type="http://schemas.openxmlformats.org/officeDocument/2006/relationships/image" Target="media/image200.wmf"/><Relationship Id="rId63" Type="http://schemas.openxmlformats.org/officeDocument/2006/relationships/chart" Target="charts/chart10.xml"/><Relationship Id="rId68" Type="http://schemas.openxmlformats.org/officeDocument/2006/relationships/chart" Target="charts/chart12.xml"/><Relationship Id="rId84" Type="http://schemas.openxmlformats.org/officeDocument/2006/relationships/image" Target="media/image290.png"/><Relationship Id="rId16" Type="http://schemas.openxmlformats.org/officeDocument/2006/relationships/image" Target="media/image6.png"/><Relationship Id="rId11" Type="http://schemas.openxmlformats.org/officeDocument/2006/relationships/image" Target="media/image2.png"/><Relationship Id="rId32" Type="http://schemas.openxmlformats.org/officeDocument/2006/relationships/image" Target="media/image11.jpeg"/><Relationship Id="rId37" Type="http://schemas.openxmlformats.org/officeDocument/2006/relationships/image" Target="media/image140.jpg"/><Relationship Id="rId53" Type="http://schemas.openxmlformats.org/officeDocument/2006/relationships/chart" Target="charts/chart6.xml"/><Relationship Id="rId58" Type="http://schemas.openxmlformats.org/officeDocument/2006/relationships/image" Target="media/image24.png"/><Relationship Id="rId74" Type="http://schemas.openxmlformats.org/officeDocument/2006/relationships/chart" Target="charts/chart15.xml"/><Relationship Id="rId79" Type="http://schemas.openxmlformats.org/officeDocument/2006/relationships/image" Target="media/image27.png"/><Relationship Id="rId5" Type="http://schemas.openxmlformats.org/officeDocument/2006/relationships/webSettings" Target="webSettings.xml"/><Relationship Id="rId19" Type="http://schemas.openxmlformats.org/officeDocument/2006/relationships/chart" Target="charts/chart3.xml"/><Relationship Id="rId14" Type="http://schemas.openxmlformats.org/officeDocument/2006/relationships/image" Target="media/image5.png"/><Relationship Id="rId22" Type="http://schemas.openxmlformats.org/officeDocument/2006/relationships/chart" Target="charts/chart5.xml"/><Relationship Id="rId27" Type="http://schemas.openxmlformats.org/officeDocument/2006/relationships/image" Target="media/image80.jpeg"/><Relationship Id="rId30" Type="http://schemas.openxmlformats.org/officeDocument/2006/relationships/image" Target="media/image10.png"/><Relationship Id="rId35" Type="http://schemas.openxmlformats.org/officeDocument/2006/relationships/image" Target="media/image14.jpg"/><Relationship Id="rId43" Type="http://schemas.openxmlformats.org/officeDocument/2006/relationships/image" Target="media/image18.jpeg"/><Relationship Id="rId48" Type="http://schemas.openxmlformats.org/officeDocument/2006/relationships/image" Target="media/image21.png"/><Relationship Id="rId56" Type="http://schemas.openxmlformats.org/officeDocument/2006/relationships/chart" Target="charts/chart8.xml"/><Relationship Id="rId64" Type="http://schemas.openxmlformats.org/officeDocument/2006/relationships/chart" Target="charts/chart11.xml"/><Relationship Id="rId69" Type="http://schemas.openxmlformats.org/officeDocument/2006/relationships/chart" Target="charts/chart13.xml"/><Relationship Id="rId77" Type="http://schemas.openxmlformats.org/officeDocument/2006/relationships/image" Target="media/image26.png"/><Relationship Id="rId8" Type="http://schemas.openxmlformats.org/officeDocument/2006/relationships/chart" Target="charts/chart1.xml"/><Relationship Id="rId51" Type="http://schemas.openxmlformats.org/officeDocument/2006/relationships/image" Target="media/image230.png"/><Relationship Id="rId72" Type="http://schemas.openxmlformats.org/officeDocument/2006/relationships/chart" Target="charts/chart14.xml"/><Relationship Id="rId80" Type="http://schemas.openxmlformats.org/officeDocument/2006/relationships/image" Target="media/image270.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Microsoft_Excel_Chart.xls"/><Relationship Id="rId25" Type="http://schemas.openxmlformats.org/officeDocument/2006/relationships/image" Target="media/image8.jpeg"/><Relationship Id="rId33" Type="http://schemas.openxmlformats.org/officeDocument/2006/relationships/image" Target="media/image12.jpeg"/><Relationship Id="rId38" Type="http://schemas.openxmlformats.org/officeDocument/2006/relationships/image" Target="media/image15.png"/><Relationship Id="rId46" Type="http://schemas.openxmlformats.org/officeDocument/2006/relationships/image" Target="media/image20.wmf"/><Relationship Id="rId59" Type="http://schemas.openxmlformats.org/officeDocument/2006/relationships/image" Target="media/image240.png"/><Relationship Id="rId67" Type="http://schemas.openxmlformats.org/officeDocument/2006/relationships/chart" Target="charts/chart12.xml"/><Relationship Id="rId20" Type="http://schemas.openxmlformats.org/officeDocument/2006/relationships/chart" Target="charts/chart4.xml"/><Relationship Id="rId41" Type="http://schemas.openxmlformats.org/officeDocument/2006/relationships/image" Target="media/image17.emf"/><Relationship Id="rId54" Type="http://schemas.openxmlformats.org/officeDocument/2006/relationships/chart" Target="charts/chart7.xml"/><Relationship Id="rId62" Type="http://schemas.openxmlformats.org/officeDocument/2006/relationships/chart" Target="charts/chart10.xml"/><Relationship Id="rId70" Type="http://schemas.openxmlformats.org/officeDocument/2006/relationships/chart" Target="charts/chart13.xml"/><Relationship Id="rId75" Type="http://schemas.openxmlformats.org/officeDocument/2006/relationships/chart" Target="charts/chart16.xml"/><Relationship Id="rId83" Type="http://schemas.openxmlformats.org/officeDocument/2006/relationships/image" Target="media/image29.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chart" Target="charts/chart5.xml"/><Relationship Id="rId28" Type="http://schemas.openxmlformats.org/officeDocument/2006/relationships/image" Target="media/image9.wmf"/><Relationship Id="rId36" Type="http://schemas.openxmlformats.org/officeDocument/2006/relationships/image" Target="media/image130.jpeg"/><Relationship Id="rId49" Type="http://schemas.openxmlformats.org/officeDocument/2006/relationships/image" Target="media/image22.png"/><Relationship Id="rId57" Type="http://schemas.openxmlformats.org/officeDocument/2006/relationships/chart" Target="charts/chart8.xml"/><Relationship Id="rId10" Type="http://schemas.openxmlformats.org/officeDocument/2006/relationships/image" Target="media/image10.wmf"/><Relationship Id="rId31" Type="http://schemas.openxmlformats.org/officeDocument/2006/relationships/image" Target="media/image100.png"/><Relationship Id="rId44" Type="http://schemas.openxmlformats.org/officeDocument/2006/relationships/image" Target="media/image18.wmf"/><Relationship Id="rId52" Type="http://schemas.openxmlformats.org/officeDocument/2006/relationships/chart" Target="charts/chart6.xml"/><Relationship Id="rId60" Type="http://schemas.openxmlformats.org/officeDocument/2006/relationships/chart" Target="charts/chart9.xml"/><Relationship Id="rId65" Type="http://schemas.openxmlformats.org/officeDocument/2006/relationships/image" Target="media/image25.png"/><Relationship Id="rId73" Type="http://schemas.openxmlformats.org/officeDocument/2006/relationships/chart" Target="charts/chart15.xml"/><Relationship Id="rId78" Type="http://schemas.openxmlformats.org/officeDocument/2006/relationships/image" Target="media/image260.png"/><Relationship Id="rId81" Type="http://schemas.openxmlformats.org/officeDocument/2006/relationships/image" Target="media/image28.jpeg"/><Relationship Id="rId8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wmf"/><Relationship Id="rId13" Type="http://schemas.openxmlformats.org/officeDocument/2006/relationships/image" Target="media/image4.png"/><Relationship Id="rId18" Type="http://schemas.openxmlformats.org/officeDocument/2006/relationships/chart" Target="charts/chart3.xml"/><Relationship Id="rId39" Type="http://schemas.openxmlformats.org/officeDocument/2006/relationships/image" Target="media/image16.png"/><Relationship Id="rId34" Type="http://schemas.openxmlformats.org/officeDocument/2006/relationships/image" Target="media/image13.jpeg"/><Relationship Id="rId50" Type="http://schemas.openxmlformats.org/officeDocument/2006/relationships/image" Target="media/image23.png"/><Relationship Id="rId55" Type="http://schemas.openxmlformats.org/officeDocument/2006/relationships/chart" Target="charts/chart7.xml"/><Relationship Id="rId76" Type="http://schemas.openxmlformats.org/officeDocument/2006/relationships/chart" Target="charts/chart16.xml"/><Relationship Id="rId7" Type="http://schemas.openxmlformats.org/officeDocument/2006/relationships/endnotes" Target="endnotes.xml"/><Relationship Id="rId71" Type="http://schemas.openxmlformats.org/officeDocument/2006/relationships/chart" Target="charts/chart14.xml"/><Relationship Id="rId2" Type="http://schemas.openxmlformats.org/officeDocument/2006/relationships/numbering" Target="numbering.xml"/><Relationship Id="rId29" Type="http://schemas.openxmlformats.org/officeDocument/2006/relationships/image" Target="media/image90.wmf"/><Relationship Id="rId24" Type="http://schemas.openxmlformats.org/officeDocument/2006/relationships/image" Target="media/image7.png"/><Relationship Id="rId40" Type="http://schemas.openxmlformats.org/officeDocument/2006/relationships/image" Target="media/image16.emf"/><Relationship Id="rId45" Type="http://schemas.openxmlformats.org/officeDocument/2006/relationships/image" Target="media/image19.wmf"/><Relationship Id="rId66" Type="http://schemas.openxmlformats.org/officeDocument/2006/relationships/image" Target="media/image250.png"/><Relationship Id="rId87" Type="http://schemas.openxmlformats.org/officeDocument/2006/relationships/fontTable" Target="fontTable.xml"/><Relationship Id="rId61" Type="http://schemas.openxmlformats.org/officeDocument/2006/relationships/chart" Target="charts/chart9.xml"/><Relationship Id="rId82" Type="http://schemas.openxmlformats.org/officeDocument/2006/relationships/image" Target="media/image280.jpeg"/></Relationships>
</file>

<file path=word/charts/_rels/chart1.xml.rels><?xml version="1.0" encoding="UTF-8" standalone="yes"?>
<Relationships xmlns="http://schemas.openxmlformats.org/package/2006/relationships"><Relationship Id="rId3" Type="http://schemas.openxmlformats.org/officeDocument/2006/relationships/oleObject" Target="file:///G:\00-114.1&#36001;&#25277;\114.1&#32317;&#26371;\&#23529;&#26680;\113&#25910;&#25903;&#20998;&#26512;.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6.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4.xml"/><Relationship Id="rId4" Type="http://schemas.openxmlformats.org/officeDocument/2006/relationships/package" Target="../embeddings/Microsoft_Excel_Worksheet7.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8.xlsx"/></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9.xlsx"/><Relationship Id="rId1" Type="http://schemas.openxmlformats.org/officeDocument/2006/relationships/themeOverride" Target="../theme/themeOverride7.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6.xml"/><Relationship Id="rId4" Type="http://schemas.openxmlformats.org/officeDocument/2006/relationships/package" Target="../embeddings/Microsoft_Excel_Worksheet10.xlsx"/></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7.xml"/></Relationships>
</file>

<file path=word/charts/_rels/chart16.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chartUserShapes" Target="../drawings/drawing8.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D:\&#20844;&#21209;&#36039;&#26009;\1.&#25277;&#26597;&#35336;&#30059;\114-1\&#36001;&#25919;&#23616;\&#22577;&#21578;\&#20661;&#21209;&#20184;&#24687;\&#20661;&#21209;&#21033;&#24687;&#22294;.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3.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2.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3.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yjliang\Downloads\111&#33267;113&#24180;&#24230;(&#25130;&#33267;10&#26376;&#24213;&#27490;)APP&#19979;&#36617;&#27425;&#25976;.xlsx" TargetMode="External"/><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nSpc>
                <a:spcPct val="100000"/>
              </a:lnSpc>
              <a:spcBef>
                <a:spcPts val="0"/>
              </a:spcBef>
              <a:spcAft>
                <a:spcPts val="0"/>
              </a:spcAft>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baseline="0">
                <a:solidFill>
                  <a:sysClr val="windowText" lastClr="000000"/>
                </a:solidFill>
                <a:latin typeface="標楷體" panose="03000509000000000000" pitchFamily="65" charset="-120"/>
                <a:ea typeface="標楷體" panose="03000509000000000000" pitchFamily="65" charset="-120"/>
              </a:rPr>
              <a:t>圖</a:t>
            </a:r>
            <a:r>
              <a:rPr lang="en-US" altLang="zh-TW" sz="1200" b="1" baseline="0">
                <a:solidFill>
                  <a:sysClr val="windowText" lastClr="000000"/>
                </a:solidFill>
                <a:latin typeface="標楷體" panose="03000509000000000000" pitchFamily="65" charset="-120"/>
                <a:ea typeface="標楷體" panose="03000509000000000000" pitchFamily="65" charset="-120"/>
              </a:rPr>
              <a:t>1  109</a:t>
            </a:r>
            <a:r>
              <a:rPr lang="zh-TW" altLang="en-US" sz="1200" b="1" baseline="0">
                <a:solidFill>
                  <a:sysClr val="windowText" lastClr="000000"/>
                </a:solidFill>
                <a:latin typeface="標楷體" panose="03000509000000000000" pitchFamily="65" charset="-120"/>
                <a:ea typeface="標楷體" panose="03000509000000000000" pitchFamily="65" charset="-120"/>
              </a:rPr>
              <a:t>至</a:t>
            </a:r>
            <a:r>
              <a:rPr lang="en-US" altLang="zh-TW" sz="1200" b="1" baseline="0">
                <a:solidFill>
                  <a:sysClr val="windowText" lastClr="000000"/>
                </a:solidFill>
                <a:latin typeface="標楷體" panose="03000509000000000000" pitchFamily="65" charset="-120"/>
                <a:ea typeface="標楷體" panose="03000509000000000000" pitchFamily="65" charset="-120"/>
              </a:rPr>
              <a:t>113</a:t>
            </a:r>
            <a:r>
              <a:rPr lang="zh-TW" altLang="en-US" sz="1200" b="1" baseline="0">
                <a:solidFill>
                  <a:sysClr val="windowText" lastClr="000000"/>
                </a:solidFill>
                <a:latin typeface="標楷體" panose="03000509000000000000" pitchFamily="65" charset="-120"/>
                <a:ea typeface="標楷體" panose="03000509000000000000" pitchFamily="65" charset="-120"/>
              </a:rPr>
              <a:t>年度賦稅依存度</a:t>
            </a:r>
          </a:p>
        </c:rich>
      </c:tx>
      <c:layout>
        <c:manualLayout>
          <c:xMode val="edge"/>
          <c:yMode val="edge"/>
          <c:x val="0.22496511599104987"/>
          <c:y val="3.1615290990834348E-3"/>
        </c:manualLayout>
      </c:layout>
      <c:overlay val="0"/>
      <c:spPr>
        <a:noFill/>
        <a:ln>
          <a:noFill/>
        </a:ln>
        <a:effectLst/>
      </c:spPr>
      <c:txPr>
        <a:bodyPr rot="0" spcFirstLastPara="1" vertOverflow="ellipsis" vert="horz" wrap="square" anchor="ctr" anchorCtr="1"/>
        <a:lstStyle/>
        <a:p>
          <a:pPr>
            <a:lnSpc>
              <a:spcPct val="100000"/>
            </a:lnSpc>
            <a:spcBef>
              <a:spcPts val="0"/>
            </a:spcBef>
            <a:spcAft>
              <a:spcPts val="0"/>
            </a:spcAft>
            <a:defRPr sz="12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2599759405074365"/>
          <c:y val="0.13173491421412217"/>
          <c:w val="0.80165293783535208"/>
          <c:h val="0.66933455873220893"/>
        </c:manualLayout>
      </c:layout>
      <c:lineChart>
        <c:grouping val="standard"/>
        <c:varyColors val="0"/>
        <c:ser>
          <c:idx val="0"/>
          <c:order val="0"/>
          <c:tx>
            <c:strRef>
              <c:f>稅課收入!$B$31</c:f>
              <c:strCache>
                <c:ptCount val="1"/>
                <c:pt idx="0">
                  <c:v>賦稅依存度</c:v>
                </c:pt>
              </c:strCache>
            </c:strRef>
          </c:tx>
          <c:spPr>
            <a:ln w="28575" cap="rnd">
              <a:solidFill>
                <a:schemeClr val="accent1"/>
              </a:solidFill>
              <a:round/>
            </a:ln>
            <a:effectLst/>
          </c:spPr>
          <c:marker>
            <c:symbol val="none"/>
          </c:marker>
          <c:dLbls>
            <c:dLbl>
              <c:idx val="0"/>
              <c:layout>
                <c:manualLayout>
                  <c:x val="-5.4924935920908094E-2"/>
                  <c:y val="-6.0114217012323466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1351153423654339"/>
                      <c:h val="6.6125638713555757E-2"/>
                    </c:manualLayout>
                  </c15:layout>
                </c:ext>
                <c:ext xmlns:c16="http://schemas.microsoft.com/office/drawing/2014/chart" uri="{C3380CC4-5D6E-409C-BE32-E72D297353CC}">
                  <c16:uniqueId val="{00000000-F23F-4BE3-AB8F-218A315B99BA}"/>
                </c:ext>
              </c:extLst>
            </c:dLbl>
            <c:dLbl>
              <c:idx val="1"/>
              <c:layout>
                <c:manualLayout>
                  <c:x val="-4.3607075330193999E-2"/>
                  <c:y val="7.51696655302327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23F-4BE3-AB8F-218A315B99BA}"/>
                </c:ext>
              </c:extLst>
            </c:dLbl>
            <c:dLbl>
              <c:idx val="2"/>
              <c:layout>
                <c:manualLayout>
                  <c:x val="-8.4218116566257661E-2"/>
                  <c:y val="-8.98735686430363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23F-4BE3-AB8F-218A315B99BA}"/>
                </c:ext>
              </c:extLst>
            </c:dLbl>
            <c:dLbl>
              <c:idx val="3"/>
              <c:layout>
                <c:manualLayout>
                  <c:x val="-4.7222352186752733E-2"/>
                  <c:y val="8.1061638213176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23F-4BE3-AB8F-218A315B99BA}"/>
                </c:ext>
              </c:extLst>
            </c:dLbl>
            <c:dLbl>
              <c:idx val="4"/>
              <c:layout>
                <c:manualLayout>
                  <c:x val="-5.1527327871153598E-2"/>
                  <c:y val="9.28940112769815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23F-4BE3-AB8F-218A315B99B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稅課收入!$A$32:$A$36</c:f>
              <c:numCache>
                <c:formatCode>General</c:formatCode>
                <c:ptCount val="5"/>
                <c:pt idx="0">
                  <c:v>109</c:v>
                </c:pt>
                <c:pt idx="1">
                  <c:v>110</c:v>
                </c:pt>
                <c:pt idx="2">
                  <c:v>111</c:v>
                </c:pt>
                <c:pt idx="3">
                  <c:v>112</c:v>
                </c:pt>
                <c:pt idx="4">
                  <c:v>113</c:v>
                </c:pt>
              </c:numCache>
            </c:numRef>
          </c:cat>
          <c:val>
            <c:numRef>
              <c:f>稅課收入!$B$32:$B$36</c:f>
              <c:numCache>
                <c:formatCode>0.00</c:formatCode>
                <c:ptCount val="5"/>
                <c:pt idx="0">
                  <c:v>75.730273990114298</c:v>
                </c:pt>
                <c:pt idx="1">
                  <c:v>74.806729276249413</c:v>
                </c:pt>
                <c:pt idx="2">
                  <c:v>75.547533580583092</c:v>
                </c:pt>
                <c:pt idx="3">
                  <c:v>82.333674309902378</c:v>
                </c:pt>
                <c:pt idx="4">
                  <c:v>81.411507536386623</c:v>
                </c:pt>
              </c:numCache>
            </c:numRef>
          </c:val>
          <c:smooth val="0"/>
          <c:extLst>
            <c:ext xmlns:c16="http://schemas.microsoft.com/office/drawing/2014/chart" uri="{C3380CC4-5D6E-409C-BE32-E72D297353CC}">
              <c16:uniqueId val="{00000005-F23F-4BE3-AB8F-218A315B99BA}"/>
            </c:ext>
          </c:extLst>
        </c:ser>
        <c:dLbls>
          <c:showLegendKey val="0"/>
          <c:showVal val="0"/>
          <c:showCatName val="0"/>
          <c:showSerName val="0"/>
          <c:showPercent val="0"/>
          <c:showBubbleSize val="0"/>
        </c:dLbls>
        <c:smooth val="0"/>
        <c:axId val="156231871"/>
        <c:axId val="771322015"/>
      </c:lineChart>
      <c:catAx>
        <c:axId val="156231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71322015"/>
        <c:crosses val="autoZero"/>
        <c:auto val="1"/>
        <c:lblAlgn val="ctr"/>
        <c:lblOffset val="100"/>
        <c:noMultiLvlLbl val="0"/>
      </c:catAx>
      <c:valAx>
        <c:axId val="77132201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6231871"/>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solidFill>
                  <a:sysClr val="windowText" lastClr="000000"/>
                </a:solidFill>
              </a:rPr>
              <a:t>圖</a:t>
            </a:r>
            <a:r>
              <a:rPr lang="en-US" sz="1200" b="1">
                <a:solidFill>
                  <a:sysClr val="windowText" lastClr="000000"/>
                </a:solidFill>
              </a:rPr>
              <a:t>1 105</a:t>
            </a:r>
            <a:r>
              <a:rPr lang="zh-TW" sz="1200" b="1">
                <a:solidFill>
                  <a:sysClr val="windowText" lastClr="000000"/>
                </a:solidFill>
              </a:rPr>
              <a:t>至</a:t>
            </a:r>
            <a:r>
              <a:rPr lang="en-US" sz="1200" b="1">
                <a:solidFill>
                  <a:sysClr val="windowText" lastClr="000000"/>
                </a:solidFill>
              </a:rPr>
              <a:t>113</a:t>
            </a:r>
            <a:r>
              <a:rPr lang="zh-TW" sz="1200" b="1">
                <a:solidFill>
                  <a:sysClr val="windowText" lastClr="000000"/>
                </a:solidFill>
              </a:rPr>
              <a:t>年度</a:t>
            </a:r>
            <a:r>
              <a:rPr lang="zh-TW" altLang="en-US" sz="1200" b="1">
                <a:solidFill>
                  <a:sysClr val="windowText" lastClr="000000"/>
                </a:solidFill>
              </a:rPr>
              <a:t>居家醫療服務</a:t>
            </a:r>
            <a:r>
              <a:rPr lang="zh-TW" sz="1200" b="1">
                <a:solidFill>
                  <a:sysClr val="windowText" lastClr="000000"/>
                </a:solidFill>
              </a:rPr>
              <a:t>收案情形</a:t>
            </a:r>
          </a:p>
        </c:rich>
      </c:tx>
      <c:layout>
        <c:manualLayout>
          <c:xMode val="edge"/>
          <c:yMode val="edge"/>
          <c:x val="0.2360345825368711"/>
          <c:y val="3.7914691943127965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lineChart>
        <c:grouping val="standard"/>
        <c:varyColors val="0"/>
        <c:ser>
          <c:idx val="1"/>
          <c:order val="0"/>
          <c:tx>
            <c:strRef>
              <c:f>工作表1!$A$2</c:f>
              <c:strCache>
                <c:ptCount val="1"/>
                <c:pt idx="0">
                  <c:v>實際值</c:v>
                </c:pt>
              </c:strCache>
            </c:strRef>
          </c:tx>
          <c:spPr>
            <a:ln w="12700" cap="flat" cmpd="sng" algn="ctr">
              <a:solidFill>
                <a:schemeClr val="dk1"/>
              </a:solidFill>
              <a:prstDash val="solid"/>
              <a:round/>
            </a:ln>
            <a:effectLst/>
          </c:spPr>
          <c:marker>
            <c:symbol val="circle"/>
            <c:size val="5"/>
            <c:spPr>
              <a:solidFill>
                <a:schemeClr val="lt1"/>
              </a:solidFill>
              <a:ln w="22225" cap="flat" cmpd="sng" algn="ctr">
                <a:solidFill>
                  <a:schemeClr val="dk1"/>
                </a:solidFill>
                <a:prstDash val="solid"/>
              </a:ln>
              <a:effectLst/>
            </c:spPr>
          </c:marker>
          <c:cat>
            <c:strRef>
              <c:f>工作表1!$B$1:$J$1</c:f>
              <c:strCache>
                <c:ptCount val="9"/>
                <c:pt idx="0">
                  <c:v>105</c:v>
                </c:pt>
                <c:pt idx="1">
                  <c:v>106</c:v>
                </c:pt>
                <c:pt idx="2">
                  <c:v>107</c:v>
                </c:pt>
                <c:pt idx="3">
                  <c:v>108</c:v>
                </c:pt>
                <c:pt idx="4">
                  <c:v>109</c:v>
                </c:pt>
                <c:pt idx="5">
                  <c:v>110</c:v>
                </c:pt>
                <c:pt idx="6">
                  <c:v>111</c:v>
                </c:pt>
                <c:pt idx="7">
                  <c:v>112</c:v>
                </c:pt>
                <c:pt idx="8">
                  <c:v>113</c:v>
                </c:pt>
              </c:strCache>
            </c:strRef>
          </c:cat>
          <c:val>
            <c:numRef>
              <c:f>工作表1!$B$2:$J$2</c:f>
              <c:numCache>
                <c:formatCode>_-* #,##0_-;\-* #,##0_-;_-* "-"??_-;_-@_-</c:formatCode>
                <c:ptCount val="9"/>
                <c:pt idx="0">
                  <c:v>1629</c:v>
                </c:pt>
                <c:pt idx="1">
                  <c:v>2312</c:v>
                </c:pt>
                <c:pt idx="2">
                  <c:v>2656</c:v>
                </c:pt>
                <c:pt idx="3">
                  <c:v>2609</c:v>
                </c:pt>
                <c:pt idx="4" formatCode="#,##0">
                  <c:v>2359</c:v>
                </c:pt>
                <c:pt idx="5" formatCode="#,##0">
                  <c:v>2031</c:v>
                </c:pt>
                <c:pt idx="6" formatCode="#,##0">
                  <c:v>1849</c:v>
                </c:pt>
                <c:pt idx="7" formatCode="#,##0">
                  <c:v>1619</c:v>
                </c:pt>
                <c:pt idx="8" formatCode="#,##0">
                  <c:v>1517</c:v>
                </c:pt>
              </c:numCache>
            </c:numRef>
          </c:val>
          <c:smooth val="0"/>
          <c:extLst>
            <c:ext xmlns:c16="http://schemas.microsoft.com/office/drawing/2014/chart" uri="{C3380CC4-5D6E-409C-BE32-E72D297353CC}">
              <c16:uniqueId val="{00000000-8D48-4BCF-A29E-140B85B037CB}"/>
            </c:ext>
          </c:extLst>
        </c:ser>
        <c:dLbls>
          <c:showLegendKey val="0"/>
          <c:showVal val="0"/>
          <c:showCatName val="0"/>
          <c:showSerName val="0"/>
          <c:showPercent val="0"/>
          <c:showBubbleSize val="0"/>
        </c:dLbls>
        <c:marker val="1"/>
        <c:smooth val="0"/>
        <c:axId val="278221760"/>
        <c:axId val="278224672"/>
      </c:lineChart>
      <c:catAx>
        <c:axId val="278221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278224672"/>
        <c:crosses val="autoZero"/>
        <c:auto val="1"/>
        <c:lblAlgn val="ctr"/>
        <c:lblOffset val="100"/>
        <c:noMultiLvlLbl val="0"/>
      </c:catAx>
      <c:valAx>
        <c:axId val="278224672"/>
        <c:scaling>
          <c:orientation val="minMax"/>
        </c:scaling>
        <c:delete val="0"/>
        <c:axPos val="l"/>
        <c:majorGridlines>
          <c:spPr>
            <a:ln w="9525" cap="flat" cmpd="sng" algn="ctr">
              <a:solidFill>
                <a:schemeClr val="tx1">
                  <a:lumMod val="15000"/>
                  <a:lumOff val="85000"/>
                </a:schemeClr>
              </a:solidFill>
              <a:round/>
            </a:ln>
            <a:effectLst/>
          </c:spPr>
        </c:majorGridlines>
        <c:numFmt formatCode="#,##0_);\(#,##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7822176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zh-TW" sz="1200" b="1" i="0" baseline="0" dirty="0">
                <a:effectLst/>
              </a:rPr>
              <a:t>圖</a:t>
            </a:r>
            <a:r>
              <a:rPr lang="en-US" altLang="zh-TW" sz="1200" b="1" i="0" baseline="0" dirty="0">
                <a:effectLst/>
              </a:rPr>
              <a:t>1</a:t>
            </a:r>
            <a:r>
              <a:rPr lang="zh-TW" altLang="zh-TW" sz="1200" b="1" i="0" baseline="0" dirty="0">
                <a:effectLst/>
              </a:rPr>
              <a:t>　臺北市用電情形</a:t>
            </a:r>
            <a:endParaRPr lang="zh-TW" altLang="zh-TW" sz="1200" dirty="0">
              <a:effectLst/>
            </a:endParaRPr>
          </a:p>
        </c:rich>
      </c:tx>
      <c:layout>
        <c:manualLayout>
          <c:xMode val="edge"/>
          <c:yMode val="edge"/>
          <c:x val="0.38370253201363125"/>
          <c:y val="1.5503875968992248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027074052966422"/>
          <c:y val="0.16378395471650381"/>
          <c:w val="0.80618569650728666"/>
          <c:h val="0.6278157236159434"/>
        </c:manualLayout>
      </c:layout>
      <c:barChart>
        <c:barDir val="col"/>
        <c:grouping val="clustered"/>
        <c:varyColors val="0"/>
        <c:ser>
          <c:idx val="0"/>
          <c:order val="0"/>
          <c:tx>
            <c:strRef>
              <c:f>工作表1!$B$1</c:f>
              <c:strCache>
                <c:ptCount val="1"/>
                <c:pt idx="0">
                  <c:v>臺北市</c:v>
                </c:pt>
              </c:strCache>
            </c:strRef>
          </c:tx>
          <c:spPr>
            <a:pattFill prst="smGrid">
              <a:fgClr>
                <a:schemeClr val="accent1"/>
              </a:fgClr>
              <a:bgClr>
                <a:schemeClr val="bg1"/>
              </a:bgClr>
            </a:pattFill>
            <a:ln>
              <a:solidFill>
                <a:schemeClr val="accent1"/>
              </a:solidFill>
            </a:ln>
            <a:effectLst/>
          </c:spPr>
          <c:invertIfNegative val="0"/>
          <c:dLbls>
            <c:dLbl>
              <c:idx val="0"/>
              <c:layout>
                <c:manualLayout>
                  <c:x val="-5.729100483608997E-17"/>
                  <c:y val="-2.0887153315199094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E93-4937-8729-D27EF3B6CA06}"/>
                </c:ext>
              </c:extLst>
            </c:dLbl>
            <c:dLbl>
              <c:idx val="1"/>
              <c:layout>
                <c:manualLayout>
                  <c:x val="0"/>
                  <c:y val="1.75746924428822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E93-4937-8729-D27EF3B6CA06}"/>
                </c:ext>
              </c:extLst>
            </c:dLbl>
            <c:dLbl>
              <c:idx val="2"/>
              <c:layout>
                <c:manualLayout>
                  <c:x val="0"/>
                  <c:y val="1.82289989283286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E93-4937-8729-D27EF3B6CA06}"/>
                </c:ext>
              </c:extLst>
            </c:dLbl>
            <c:dLbl>
              <c:idx val="4"/>
              <c:layout>
                <c:manualLayout>
                  <c:x val="-1.1458200967217994E-16"/>
                  <c:y val="1.13931243302053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E93-4937-8729-D27EF3B6CA06}"/>
                </c:ext>
              </c:extLst>
            </c:dLbl>
            <c:dLbl>
              <c:idx val="5"/>
              <c:layout>
                <c:manualLayout>
                  <c:x val="0"/>
                  <c:y val="1.36717491962464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E93-4937-8729-D27EF3B6CA06}"/>
                </c:ext>
              </c:extLst>
            </c:dLbl>
            <c:dLbl>
              <c:idx val="7"/>
              <c:layout>
                <c:manualLayout>
                  <c:x val="-4.1502386387217262E-3"/>
                  <c:y val="1.46455770357352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E93-4937-8729-D27EF3B6CA06}"/>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工作表1!$A$2:$A$10</c:f>
              <c:numCache>
                <c:formatCode>General</c:formatCode>
                <c:ptCount val="9"/>
                <c:pt idx="0">
                  <c:v>105</c:v>
                </c:pt>
                <c:pt idx="1">
                  <c:v>106</c:v>
                </c:pt>
                <c:pt idx="2">
                  <c:v>107</c:v>
                </c:pt>
                <c:pt idx="3">
                  <c:v>108</c:v>
                </c:pt>
                <c:pt idx="4">
                  <c:v>109</c:v>
                </c:pt>
                <c:pt idx="5">
                  <c:v>110</c:v>
                </c:pt>
                <c:pt idx="6">
                  <c:v>111</c:v>
                </c:pt>
                <c:pt idx="7">
                  <c:v>112</c:v>
                </c:pt>
                <c:pt idx="8">
                  <c:v>113</c:v>
                </c:pt>
              </c:numCache>
            </c:numRef>
          </c:cat>
          <c:val>
            <c:numRef>
              <c:f>工作表1!$B$2:$B$10</c:f>
              <c:numCache>
                <c:formatCode>#,##0</c:formatCode>
                <c:ptCount val="9"/>
                <c:pt idx="0">
                  <c:v>15936</c:v>
                </c:pt>
                <c:pt idx="1">
                  <c:v>15809</c:v>
                </c:pt>
                <c:pt idx="2">
                  <c:v>15643</c:v>
                </c:pt>
                <c:pt idx="3">
                  <c:v>15548</c:v>
                </c:pt>
                <c:pt idx="4">
                  <c:v>15556</c:v>
                </c:pt>
                <c:pt idx="5">
                  <c:v>15441</c:v>
                </c:pt>
                <c:pt idx="6">
                  <c:v>15262</c:v>
                </c:pt>
                <c:pt idx="7">
                  <c:v>15110</c:v>
                </c:pt>
                <c:pt idx="8">
                  <c:v>15294</c:v>
                </c:pt>
              </c:numCache>
            </c:numRef>
          </c:val>
          <c:extLst>
            <c:ext xmlns:c16="http://schemas.microsoft.com/office/drawing/2014/chart" uri="{C3380CC4-5D6E-409C-BE32-E72D297353CC}">
              <c16:uniqueId val="{00000006-FE93-4937-8729-D27EF3B6CA06}"/>
            </c:ext>
          </c:extLst>
        </c:ser>
        <c:dLbls>
          <c:showLegendKey val="0"/>
          <c:showVal val="0"/>
          <c:showCatName val="0"/>
          <c:showSerName val="0"/>
          <c:showPercent val="0"/>
          <c:showBubbleSize val="0"/>
        </c:dLbls>
        <c:gapWidth val="219"/>
        <c:axId val="458616696"/>
        <c:axId val="458619048"/>
      </c:barChart>
      <c:lineChart>
        <c:grouping val="standard"/>
        <c:varyColors val="0"/>
        <c:ser>
          <c:idx val="1"/>
          <c:order val="1"/>
          <c:tx>
            <c:strRef>
              <c:f>工作表1!$C$1</c:f>
              <c:strCache>
                <c:ptCount val="1"/>
                <c:pt idx="0">
                  <c:v>占各市縣合計比率</c:v>
                </c:pt>
              </c:strCache>
            </c:strRef>
          </c:tx>
          <c:spPr>
            <a:ln w="28575" cap="rnd">
              <a:solidFill>
                <a:schemeClr val="accent2"/>
              </a:solidFill>
              <a:round/>
            </a:ln>
            <a:effectLst/>
          </c:spPr>
          <c:marker>
            <c:symbol val="diamond"/>
            <c:size val="10"/>
            <c:spPr>
              <a:solidFill>
                <a:schemeClr val="accent2"/>
              </a:solidFill>
              <a:ln w="9525">
                <a:solidFill>
                  <a:schemeClr val="accent2"/>
                </a:solidFill>
              </a:ln>
              <a:effectLst/>
            </c:spPr>
          </c:marker>
          <c:dLbls>
            <c:dLbl>
              <c:idx val="0"/>
              <c:layout>
                <c:manualLayout>
                  <c:x val="-4.0850929637115549E-2"/>
                  <c:y val="-5.3543768364631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E93-4937-8729-D27EF3B6CA06}"/>
                </c:ext>
              </c:extLst>
            </c:dLbl>
            <c:dLbl>
              <c:idx val="2"/>
              <c:layout>
                <c:manualLayout>
                  <c:x val="-3.1281249999999997E-2"/>
                  <c:y val="-4.10152475887394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E93-4937-8729-D27EF3B6CA06}"/>
                </c:ext>
              </c:extLst>
            </c:dLbl>
            <c:dLbl>
              <c:idx val="3"/>
              <c:layout>
                <c:manualLayout>
                  <c:x val="-3.2843749999999998E-2"/>
                  <c:y val="-3.19007481245751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E93-4937-8729-D27EF3B6CA06}"/>
                </c:ext>
              </c:extLst>
            </c:dLbl>
            <c:dLbl>
              <c:idx val="4"/>
              <c:layout>
                <c:manualLayout>
                  <c:x val="-4.3123243272582067E-2"/>
                  <c:y val="-7.58649209546481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E93-4937-8729-D27EF3B6CA06}"/>
                </c:ext>
              </c:extLst>
            </c:dLbl>
            <c:dLbl>
              <c:idx val="5"/>
              <c:layout>
                <c:manualLayout>
                  <c:x val="-1.3644154617630671E-2"/>
                  <c:y val="-1.6441101716415607E-2"/>
                </c:manualLayout>
              </c:layout>
              <c:numFmt formatCode="#,##0.00_);[Red]\(#,##0.00\)" sourceLinked="0"/>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8.0404664606797571E-2"/>
                      <c:h val="4.4948313798209322E-2"/>
                    </c:manualLayout>
                  </c15:layout>
                </c:ext>
                <c:ext xmlns:c16="http://schemas.microsoft.com/office/drawing/2014/chart" uri="{C3380CC4-5D6E-409C-BE32-E72D297353CC}">
                  <c16:uniqueId val="{0000000B-FE93-4937-8729-D27EF3B6CA06}"/>
                </c:ext>
              </c:extLst>
            </c:dLbl>
            <c:dLbl>
              <c:idx val="6"/>
              <c:layout>
                <c:manualLayout>
                  <c:x val="1.7429368330411283E-3"/>
                  <c:y val="3.12086867876137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E93-4937-8729-D27EF3B6CA06}"/>
                </c:ext>
              </c:extLst>
            </c:dLbl>
            <c:dLbl>
              <c:idx val="8"/>
              <c:layout>
                <c:manualLayout>
                  <c:x val="-5.9499800338842432E-3"/>
                  <c:y val="5.6811939205272336E-3"/>
                </c:manualLayout>
              </c:layout>
              <c:dLblPos val="r"/>
              <c:showLegendKey val="0"/>
              <c:showVal val="1"/>
              <c:showCatName val="0"/>
              <c:showSerName val="0"/>
              <c:showPercent val="0"/>
              <c:showBubbleSize val="0"/>
              <c:extLst>
                <c:ext xmlns:c15="http://schemas.microsoft.com/office/drawing/2012/chart" uri="{CE6537A1-D6FC-4f65-9D91-7224C49458BB}">
                  <c15:layout>
                    <c:manualLayout>
                      <c:w val="5.1285081240768096E-2"/>
                      <c:h val="6.2015503875968991E-2"/>
                    </c:manualLayout>
                  </c15:layout>
                </c:ext>
                <c:ext xmlns:c16="http://schemas.microsoft.com/office/drawing/2014/chart" uri="{C3380CC4-5D6E-409C-BE32-E72D297353CC}">
                  <c16:uniqueId val="{0000000D-FE93-4937-8729-D27EF3B6CA06}"/>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工作表1!$A$2:$A$10</c:f>
              <c:numCache>
                <c:formatCode>General</c:formatCode>
                <c:ptCount val="9"/>
                <c:pt idx="0">
                  <c:v>105</c:v>
                </c:pt>
                <c:pt idx="1">
                  <c:v>106</c:v>
                </c:pt>
                <c:pt idx="2">
                  <c:v>107</c:v>
                </c:pt>
                <c:pt idx="3">
                  <c:v>108</c:v>
                </c:pt>
                <c:pt idx="4">
                  <c:v>109</c:v>
                </c:pt>
                <c:pt idx="5">
                  <c:v>110</c:v>
                </c:pt>
                <c:pt idx="6">
                  <c:v>111</c:v>
                </c:pt>
                <c:pt idx="7">
                  <c:v>112</c:v>
                </c:pt>
                <c:pt idx="8">
                  <c:v>113</c:v>
                </c:pt>
              </c:numCache>
            </c:numRef>
          </c:cat>
          <c:val>
            <c:numRef>
              <c:f>工作表1!$C$2:$C$10</c:f>
              <c:numCache>
                <c:formatCode>General</c:formatCode>
                <c:ptCount val="9"/>
                <c:pt idx="0">
                  <c:v>7.69</c:v>
                </c:pt>
                <c:pt idx="1">
                  <c:v>7.47</c:v>
                </c:pt>
                <c:pt idx="2">
                  <c:v>7.28</c:v>
                </c:pt>
                <c:pt idx="3">
                  <c:v>7.26</c:v>
                </c:pt>
                <c:pt idx="4">
                  <c:v>7.06</c:v>
                </c:pt>
                <c:pt idx="5">
                  <c:v>6.68</c:v>
                </c:pt>
                <c:pt idx="6">
                  <c:v>6.59</c:v>
                </c:pt>
                <c:pt idx="7">
                  <c:v>6.68</c:v>
                </c:pt>
                <c:pt idx="8">
                  <c:v>6.59</c:v>
                </c:pt>
              </c:numCache>
            </c:numRef>
          </c:val>
          <c:smooth val="0"/>
          <c:extLst>
            <c:ext xmlns:c16="http://schemas.microsoft.com/office/drawing/2014/chart" uri="{C3380CC4-5D6E-409C-BE32-E72D297353CC}">
              <c16:uniqueId val="{0000000E-FE93-4937-8729-D27EF3B6CA06}"/>
            </c:ext>
          </c:extLst>
        </c:ser>
        <c:dLbls>
          <c:showLegendKey val="0"/>
          <c:showVal val="0"/>
          <c:showCatName val="0"/>
          <c:showSerName val="0"/>
          <c:showPercent val="0"/>
          <c:showBubbleSize val="0"/>
        </c:dLbls>
        <c:marker val="1"/>
        <c:smooth val="0"/>
        <c:axId val="458617088"/>
        <c:axId val="458617480"/>
      </c:lineChart>
      <c:catAx>
        <c:axId val="458616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58619048"/>
        <c:crosses val="autoZero"/>
        <c:auto val="1"/>
        <c:lblAlgn val="ctr"/>
        <c:lblOffset val="100"/>
        <c:noMultiLvlLbl val="0"/>
      </c:catAx>
      <c:valAx>
        <c:axId val="458619048"/>
        <c:scaling>
          <c:orientation val="minMax"/>
          <c:max val="16200"/>
          <c:min val="146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58616696"/>
        <c:crosses val="autoZero"/>
        <c:crossBetween val="between"/>
        <c:majorUnit val="200"/>
      </c:valAx>
      <c:valAx>
        <c:axId val="458617480"/>
        <c:scaling>
          <c:orientation val="minMax"/>
          <c:max val="7.8"/>
          <c:min val="6"/>
        </c:scaling>
        <c:delete val="0"/>
        <c:axPos val="r"/>
        <c:numFmt formatCode="#,##0.00_);[Red]\(#,##0.0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58617088"/>
        <c:crosses val="max"/>
        <c:crossBetween val="between"/>
        <c:majorUnit val="0.2"/>
      </c:valAx>
      <c:catAx>
        <c:axId val="458617088"/>
        <c:scaling>
          <c:orientation val="minMax"/>
        </c:scaling>
        <c:delete val="1"/>
        <c:axPos val="b"/>
        <c:numFmt formatCode="General" sourceLinked="1"/>
        <c:majorTickMark val="none"/>
        <c:minorTickMark val="none"/>
        <c:tickLblPos val="nextTo"/>
        <c:crossAx val="458617480"/>
        <c:crosses val="autoZero"/>
        <c:auto val="1"/>
        <c:lblAlgn val="ctr"/>
        <c:lblOffset val="100"/>
        <c:noMultiLvlLbl val="0"/>
      </c:catAx>
      <c:spPr>
        <a:noFill/>
        <a:ln>
          <a:noFill/>
        </a:ln>
        <a:effectLst/>
      </c:spPr>
    </c:plotArea>
    <c:legend>
      <c:legendPos val="b"/>
      <c:layout>
        <c:manualLayout>
          <c:xMode val="edge"/>
          <c:yMode val="edge"/>
          <c:x val="0.57736780101076279"/>
          <c:y val="0.13187384968794541"/>
          <c:w val="0.28862981668690046"/>
          <c:h val="0.1192968676613639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603104212860309"/>
          <c:y val="0.15781935315936749"/>
          <c:w val="0.60991305410548735"/>
          <c:h val="0.44625040671568944"/>
        </c:manualLayout>
      </c:layout>
      <c:barChart>
        <c:barDir val="col"/>
        <c:grouping val="clustered"/>
        <c:varyColors val="0"/>
        <c:ser>
          <c:idx val="0"/>
          <c:order val="0"/>
          <c:tx>
            <c:strRef>
              <c:f>工作表1!$A$2</c:f>
              <c:strCache>
                <c:ptCount val="1"/>
                <c:pt idx="0">
                  <c:v>執行經費</c:v>
                </c:pt>
              </c:strCache>
            </c:strRef>
          </c:tx>
          <c:spPr>
            <a:pattFill prst="horzBrick">
              <a:fgClr>
                <a:schemeClr val="accent2"/>
              </a:fgClr>
              <a:bgClr>
                <a:schemeClr val="bg1"/>
              </a:bgClr>
            </a:pattFill>
            <a:ln>
              <a:solidFill>
                <a:schemeClr val="bg1"/>
              </a:solidFill>
            </a:ln>
            <a:effectLst/>
          </c:spPr>
          <c:invertIfNegative val="0"/>
          <c:cat>
            <c:strRef>
              <c:f>工作表1!$B$1:$D$1</c:f>
              <c:strCache>
                <c:ptCount val="3"/>
                <c:pt idx="0">
                  <c:v>111</c:v>
                </c:pt>
                <c:pt idx="1">
                  <c:v>112</c:v>
                </c:pt>
                <c:pt idx="2">
                  <c:v>113</c:v>
                </c:pt>
              </c:strCache>
            </c:strRef>
          </c:cat>
          <c:val>
            <c:numRef>
              <c:f>工作表1!$B$2:$D$2</c:f>
              <c:numCache>
                <c:formatCode>#,##0</c:formatCode>
                <c:ptCount val="3"/>
                <c:pt idx="0">
                  <c:v>7252</c:v>
                </c:pt>
                <c:pt idx="1">
                  <c:v>7292</c:v>
                </c:pt>
                <c:pt idx="2">
                  <c:v>7525</c:v>
                </c:pt>
              </c:numCache>
            </c:numRef>
          </c:val>
          <c:extLst>
            <c:ext xmlns:c16="http://schemas.microsoft.com/office/drawing/2014/chart" uri="{C3380CC4-5D6E-409C-BE32-E72D297353CC}">
              <c16:uniqueId val="{00000000-E1CE-4884-B8E8-9112B9D317EC}"/>
            </c:ext>
          </c:extLst>
        </c:ser>
        <c:dLbls>
          <c:showLegendKey val="0"/>
          <c:showVal val="0"/>
          <c:showCatName val="0"/>
          <c:showSerName val="0"/>
          <c:showPercent val="0"/>
          <c:showBubbleSize val="0"/>
        </c:dLbls>
        <c:gapWidth val="219"/>
        <c:axId val="952925263"/>
        <c:axId val="533345695"/>
      </c:barChart>
      <c:lineChart>
        <c:grouping val="standard"/>
        <c:varyColors val="0"/>
        <c:ser>
          <c:idx val="1"/>
          <c:order val="1"/>
          <c:tx>
            <c:strRef>
              <c:f>工作表1!$A$3</c:f>
              <c:strCache>
                <c:ptCount val="1"/>
                <c:pt idx="0">
                  <c:v>參與人次</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工作表1!$B$1:$D$1</c:f>
              <c:strCache>
                <c:ptCount val="3"/>
                <c:pt idx="0">
                  <c:v>111</c:v>
                </c:pt>
                <c:pt idx="1">
                  <c:v>112</c:v>
                </c:pt>
                <c:pt idx="2">
                  <c:v>113</c:v>
                </c:pt>
              </c:strCache>
            </c:strRef>
          </c:cat>
          <c:val>
            <c:numRef>
              <c:f>工作表1!$B$3:$D$3</c:f>
              <c:numCache>
                <c:formatCode>_-* #,##0_-;\-* #,##0_-;_-* "-"??_-;_-@_-</c:formatCode>
                <c:ptCount val="3"/>
                <c:pt idx="0">
                  <c:v>33800</c:v>
                </c:pt>
                <c:pt idx="1">
                  <c:v>54736</c:v>
                </c:pt>
                <c:pt idx="2">
                  <c:v>10178</c:v>
                </c:pt>
              </c:numCache>
            </c:numRef>
          </c:val>
          <c:smooth val="0"/>
          <c:extLst>
            <c:ext xmlns:c16="http://schemas.microsoft.com/office/drawing/2014/chart" uri="{C3380CC4-5D6E-409C-BE32-E72D297353CC}">
              <c16:uniqueId val="{00000001-E1CE-4884-B8E8-9112B9D317EC}"/>
            </c:ext>
          </c:extLst>
        </c:ser>
        <c:dLbls>
          <c:showLegendKey val="0"/>
          <c:showVal val="0"/>
          <c:showCatName val="0"/>
          <c:showSerName val="0"/>
          <c:showPercent val="0"/>
          <c:showBubbleSize val="0"/>
        </c:dLbls>
        <c:marker val="1"/>
        <c:smooth val="0"/>
        <c:axId val="1015062239"/>
        <c:axId val="1240461071"/>
      </c:lineChart>
      <c:catAx>
        <c:axId val="952925263"/>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年度</a:t>
                </a:r>
              </a:p>
            </c:rich>
          </c:tx>
          <c:layout>
            <c:manualLayout>
              <c:xMode val="edge"/>
              <c:yMode val="edge"/>
              <c:x val="0.90666666666666662"/>
              <c:y val="0.594220081993883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33345695"/>
        <c:crosses val="autoZero"/>
        <c:auto val="1"/>
        <c:lblAlgn val="ctr"/>
        <c:lblOffset val="100"/>
        <c:noMultiLvlLbl val="0"/>
      </c:catAx>
      <c:valAx>
        <c:axId val="533345695"/>
        <c:scaling>
          <c:orientation val="minMax"/>
          <c:max val="9000"/>
          <c:min val="0"/>
        </c:scaling>
        <c:delete val="0"/>
        <c:axPos val="l"/>
        <c:majorGridlines>
          <c:spPr>
            <a:ln w="6350" cap="flat" cmpd="sng" algn="ctr">
              <a:solidFill>
                <a:sysClr val="window" lastClr="FFFFFF">
                  <a:lumMod val="50000"/>
                </a:sysClr>
              </a:solidFill>
              <a:round/>
            </a:ln>
            <a:effectLst/>
          </c:spPr>
        </c:majorGridlines>
        <c:minorGridlines>
          <c:spPr>
            <a:ln w="9525" cap="flat" cmpd="sng" algn="ctr">
              <a:noFill/>
              <a:round/>
            </a:ln>
            <a:effectLst/>
          </c:spPr>
        </c:min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t>千元</a:t>
                </a:r>
              </a:p>
            </c:rich>
          </c:tx>
          <c:layout>
            <c:manualLayout>
              <c:xMode val="edge"/>
              <c:yMode val="edge"/>
              <c:x val="0.1540779527559055"/>
              <c:y val="7.0996290752912087E-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952925263"/>
        <c:crosses val="autoZero"/>
        <c:crossBetween val="between"/>
        <c:majorUnit val="3000"/>
        <c:minorUnit val="500"/>
      </c:valAx>
      <c:valAx>
        <c:axId val="1240461071"/>
        <c:scaling>
          <c:orientation val="minMax"/>
          <c:max val="60000"/>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15062239"/>
        <c:crosses val="max"/>
        <c:crossBetween val="between"/>
        <c:majorUnit val="20000"/>
        <c:minorUnit val="5000"/>
      </c:valAx>
      <c:catAx>
        <c:axId val="1015062239"/>
        <c:scaling>
          <c:orientation val="minMax"/>
        </c:scaling>
        <c:delete val="1"/>
        <c:axPos val="b"/>
        <c:title>
          <c:tx>
            <c:rich>
              <a:bodyPr rot="0" spcFirstLastPara="1" vertOverflow="ellipsis" vert="horz" wrap="square" anchor="ctr" anchorCtr="1"/>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人次</a:t>
                </a:r>
                <a:endParaRPr lang="zh-TW"/>
              </a:p>
            </c:rich>
          </c:tx>
          <c:layout>
            <c:manualLayout>
              <c:xMode val="edge"/>
              <c:yMode val="edge"/>
              <c:x val="0.88821338582677167"/>
              <c:y val="1.2668705667989848E-2"/>
            </c:manualLayout>
          </c:layout>
          <c:overlay val="0"/>
          <c:spPr>
            <a:noFill/>
            <a:ln>
              <a:noFill/>
            </a:ln>
            <a:effectLst/>
          </c:spPr>
          <c:txPr>
            <a:bodyPr rot="0" spcFirstLastPara="1" vertOverflow="ellipsis" vert="horz" wrap="square" anchor="ctr" anchorCtr="1"/>
            <a:lstStyle/>
            <a:p>
              <a:pPr algn="l">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crossAx val="1240461071"/>
        <c:crosses val="autoZero"/>
        <c:auto val="1"/>
        <c:lblAlgn val="ctr"/>
        <c:lblOffset val="100"/>
        <c:noMultiLvlLbl val="0"/>
      </c:catAx>
      <c:dTable>
        <c:showHorzBorder val="1"/>
        <c:showVertBorder val="1"/>
        <c:showOutline val="1"/>
        <c:showKeys val="1"/>
        <c:spPr>
          <a:noFill/>
          <a:ln w="6350" cap="flat" cmpd="sng" algn="ctr">
            <a:solidFill>
              <a:sysClr val="window" lastClr="FFFFFF">
                <a:lumMod val="50000"/>
              </a:sys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w="6350">
          <a:solidFill>
            <a:sysClr val="window" lastClr="FFFFFF">
              <a:lumMod val="50000"/>
            </a:sys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lnSpc>
          <a:spcPts val="1200"/>
        </a:lnSpc>
        <a:defRPr baseline="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sz="1800" b="1" i="0" u="none" strike="noStrike" kern="1200" baseline="0">
                <a:solidFill>
                  <a:sysClr val="windowText" lastClr="000000"/>
                </a:solidFill>
                <a:latin typeface="+mn-lt"/>
                <a:ea typeface="+mn-ea"/>
                <a:cs typeface="+mn-cs"/>
              </a:defRPr>
            </a:pPr>
            <a:r>
              <a:rPr lang="zh-TW" altLang="zh-TW" sz="900" b="0">
                <a:effectLst/>
                <a:latin typeface="標楷體" panose="03000509000000000000" pitchFamily="65" charset="-120"/>
                <a:ea typeface="標楷體" panose="03000509000000000000" pitchFamily="65" charset="-120"/>
              </a:rPr>
              <a:t>資料來源：整理自文化局提供資料。</a:t>
            </a:r>
          </a:p>
        </c:rich>
      </c:tx>
      <c:layout>
        <c:manualLayout>
          <c:xMode val="edge"/>
          <c:yMode val="edge"/>
          <c:x val="6.528480496164518E-3"/>
          <c:y val="0.86583924349881791"/>
        </c:manualLayout>
      </c:layout>
      <c:overlay val="0"/>
    </c:title>
    <c:autoTitleDeleted val="0"/>
    <c:plotArea>
      <c:layout>
        <c:manualLayout>
          <c:layoutTarget val="inner"/>
          <c:xMode val="edge"/>
          <c:yMode val="edge"/>
          <c:x val="1.4038289281083213E-2"/>
          <c:y val="0.12620762830178142"/>
          <c:w val="0.89734709797475742"/>
          <c:h val="0.65724763128013253"/>
        </c:manualLayout>
      </c:layout>
      <c:ofPieChart>
        <c:ofPieType val="pie"/>
        <c:varyColors val="0"/>
        <c:ser>
          <c:idx val="0"/>
          <c:order val="0"/>
          <c:tx>
            <c:strRef>
              <c:f>工作表1!$B$1</c:f>
              <c:strCache>
                <c:ptCount val="1"/>
                <c:pt idx="0">
                  <c:v>案件數</c:v>
                </c:pt>
              </c:strCache>
            </c:strRef>
          </c:tx>
          <c:spPr>
            <a:pattFill prst="ltUpDiag">
              <a:fgClr>
                <a:schemeClr val="accent1"/>
              </a:fgClr>
              <a:bgClr>
                <a:schemeClr val="accent1">
                  <a:lumMod val="20000"/>
                  <a:lumOff val="80000"/>
                </a:schemeClr>
              </a:bgClr>
            </a:pattFill>
            <a:ln w="19050">
              <a:solidFill>
                <a:schemeClr val="lt1"/>
              </a:solidFill>
            </a:ln>
            <a:effectLst>
              <a:innerShdw blurRad="114300">
                <a:schemeClr val="accent1"/>
              </a:innerShdw>
            </a:effectLst>
          </c:spPr>
          <c:dPt>
            <c:idx val="0"/>
            <c:bubble3D val="0"/>
            <c:extLst>
              <c:ext xmlns:c16="http://schemas.microsoft.com/office/drawing/2014/chart" uri="{C3380CC4-5D6E-409C-BE32-E72D297353CC}">
                <c16:uniqueId val="{00000000-781B-4CC4-95E3-62E5869C8FF1}"/>
              </c:ext>
            </c:extLst>
          </c:dPt>
          <c:dPt>
            <c:idx val="1"/>
            <c:bubble3D val="0"/>
            <c:spPr>
              <a:gradFill flip="none" rotWithShape="1">
                <a:gsLst>
                  <a:gs pos="0">
                    <a:schemeClr val="accent3">
                      <a:lumMod val="5000"/>
                      <a:lumOff val="95000"/>
                    </a:schemeClr>
                  </a:gs>
                  <a:gs pos="74000">
                    <a:schemeClr val="accent3">
                      <a:lumMod val="45000"/>
                      <a:lumOff val="55000"/>
                    </a:schemeClr>
                  </a:gs>
                  <a:gs pos="83000">
                    <a:schemeClr val="accent3">
                      <a:lumMod val="45000"/>
                      <a:lumOff val="55000"/>
                    </a:schemeClr>
                  </a:gs>
                  <a:gs pos="100000">
                    <a:schemeClr val="accent3">
                      <a:lumMod val="30000"/>
                      <a:lumOff val="70000"/>
                    </a:schemeClr>
                  </a:gs>
                </a:gsLst>
                <a:lin ang="5400000" scaled="1"/>
                <a:tileRect/>
              </a:gradFill>
              <a:ln w="19050">
                <a:solidFill>
                  <a:schemeClr val="lt1"/>
                </a:solidFill>
              </a:ln>
              <a:effectLst>
                <a:innerShdw blurRad="114300">
                  <a:schemeClr val="accent1"/>
                </a:innerShdw>
              </a:effectLst>
            </c:spPr>
            <c:extLst>
              <c:ext xmlns:c16="http://schemas.microsoft.com/office/drawing/2014/chart" uri="{C3380CC4-5D6E-409C-BE32-E72D297353CC}">
                <c16:uniqueId val="{00000002-781B-4CC4-95E3-62E5869C8FF1}"/>
              </c:ext>
            </c:extLst>
          </c:dPt>
          <c:dPt>
            <c:idx val="2"/>
            <c:bubble3D val="0"/>
            <c:extLst>
              <c:ext xmlns:c16="http://schemas.microsoft.com/office/drawing/2014/chart" uri="{C3380CC4-5D6E-409C-BE32-E72D297353CC}">
                <c16:uniqueId val="{00000003-781B-4CC4-95E3-62E5869C8FF1}"/>
              </c:ext>
            </c:extLst>
          </c:dPt>
          <c:dPt>
            <c:idx val="3"/>
            <c:bubble3D val="0"/>
            <c:spPr>
              <a:pattFill prst="plaid">
                <a:fgClr>
                  <a:schemeClr val="tx2">
                    <a:lumMod val="60000"/>
                    <a:lumOff val="40000"/>
                  </a:schemeClr>
                </a:fgClr>
                <a:bgClr>
                  <a:schemeClr val="bg1"/>
                </a:bgClr>
              </a:pattFill>
              <a:ln w="19050">
                <a:solidFill>
                  <a:schemeClr val="lt1"/>
                </a:solidFill>
              </a:ln>
              <a:effectLst>
                <a:innerShdw blurRad="114300">
                  <a:schemeClr val="accent1"/>
                </a:innerShdw>
              </a:effectLst>
            </c:spPr>
            <c:extLst>
              <c:ext xmlns:c16="http://schemas.microsoft.com/office/drawing/2014/chart" uri="{C3380CC4-5D6E-409C-BE32-E72D297353CC}">
                <c16:uniqueId val="{00000005-781B-4CC4-95E3-62E5869C8FF1}"/>
              </c:ext>
            </c:extLst>
          </c:dPt>
          <c:dPt>
            <c:idx val="4"/>
            <c:bubble3D val="0"/>
            <c:spPr>
              <a:pattFill prst="horzBrick">
                <a:fgClr>
                  <a:schemeClr val="tx2">
                    <a:lumMod val="60000"/>
                    <a:lumOff val="40000"/>
                  </a:schemeClr>
                </a:fgClr>
                <a:bgClr>
                  <a:schemeClr val="bg1"/>
                </a:bgClr>
              </a:pattFill>
              <a:ln w="19050">
                <a:solidFill>
                  <a:schemeClr val="lt1"/>
                </a:solidFill>
              </a:ln>
              <a:effectLst>
                <a:innerShdw blurRad="114300">
                  <a:schemeClr val="accent1"/>
                </a:innerShdw>
              </a:effectLst>
            </c:spPr>
            <c:extLst>
              <c:ext xmlns:c16="http://schemas.microsoft.com/office/drawing/2014/chart" uri="{C3380CC4-5D6E-409C-BE32-E72D297353CC}">
                <c16:uniqueId val="{00000007-781B-4CC4-95E3-62E5869C8FF1}"/>
              </c:ext>
            </c:extLst>
          </c:dPt>
          <c:dLbls>
            <c:dLbl>
              <c:idx val="0"/>
              <c:layout>
                <c:manualLayout>
                  <c:x val="-8.5099437058647656E-2"/>
                  <c:y val="2.316715426481469E-2"/>
                </c:manualLayout>
              </c:layout>
              <c:tx>
                <c:rich>
                  <a:bodyPr rot="0" spcFirstLastPara="1" vertOverflow="ellipsis" wrap="square" lIns="38100" tIns="19050" rIns="38100" bIns="19050" anchor="ctr" anchorCtr="1">
                    <a:spAutoFit/>
                  </a:bodyPr>
                  <a:lstStyle/>
                  <a:p>
                    <a:pPr>
                      <a:lnSpc>
                        <a:spcPts val="1200"/>
                      </a:lnSpc>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spc="0" baseline="0"/>
                      <a:t>已裁罰案件</a:t>
                    </a:r>
                  </a:p>
                  <a:p>
                    <a:pPr>
                      <a:lnSpc>
                        <a:spcPts val="1200"/>
                      </a:lnSpc>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spc="-100" baseline="0"/>
                      <a:t> </a:t>
                    </a:r>
                    <a:r>
                      <a:rPr lang="zh-TW" altLang="en-US"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1000" spc="-100" baseline="0"/>
                      <a:t>86</a:t>
                    </a:r>
                    <a:r>
                      <a:rPr lang="zh-TW" altLang="en-US" sz="1000" spc="-100" baseline="0"/>
                      <a:t>件，</a:t>
                    </a:r>
                    <a:r>
                      <a:rPr lang="en-US" altLang="zh-TW" sz="1000" spc="-100" baseline="0"/>
                      <a:t>1.48</a:t>
                    </a:r>
                    <a:r>
                      <a:rPr lang="zh-TW" altLang="en-US" sz="1000" spc="-100" baseline="0">
                        <a:latin typeface="標楷體" panose="03000509000000000000" pitchFamily="65" charset="-120"/>
                        <a:ea typeface="標楷體" panose="03000509000000000000" pitchFamily="65" charset="-120"/>
                      </a:rPr>
                      <a:t>％</a:t>
                    </a:r>
                    <a:r>
                      <a:rPr lang="zh-TW" altLang="en-US"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000" spc="-100" baseline="0"/>
                  </a:p>
                </c:rich>
              </c:tx>
              <c:numFmt formatCode="0.00%" sourceLinked="0"/>
              <c:spPr>
                <a:noFill/>
                <a:ln>
                  <a:noFill/>
                </a:ln>
                <a:effectLst/>
              </c:spPr>
              <c:dLblPos val="bestFit"/>
              <c:showLegendKey val="0"/>
              <c:showVal val="1"/>
              <c:showCatName val="0"/>
              <c:showSerName val="0"/>
              <c:showPercent val="1"/>
              <c:showBubbleSize val="0"/>
              <c:extLst>
                <c:ext xmlns:c15="http://schemas.microsoft.com/office/drawing/2012/chart" uri="{CE6537A1-D6FC-4f65-9D91-7224C49458BB}">
                  <c15:layout>
                    <c:manualLayout>
                      <c:w val="0.28914274870477763"/>
                      <c:h val="0.18842740911288272"/>
                    </c:manualLayout>
                  </c15:layout>
                  <c15:showDataLabelsRange val="0"/>
                </c:ext>
                <c:ext xmlns:c16="http://schemas.microsoft.com/office/drawing/2014/chart" uri="{C3380CC4-5D6E-409C-BE32-E72D297353CC}">
                  <c16:uniqueId val="{00000000-781B-4CC4-95E3-62E5869C8FF1}"/>
                </c:ext>
              </c:extLst>
            </c:dLbl>
            <c:dLbl>
              <c:idx val="1"/>
              <c:layout>
                <c:manualLayout>
                  <c:x val="9.7481008932966129E-2"/>
                  <c:y val="1.7300729696022039E-2"/>
                </c:manualLayout>
              </c:layout>
              <c:tx>
                <c:rich>
                  <a:bodyPr rot="0" spcFirstLastPara="1" vertOverflow="ellipsis" wrap="square" lIns="38100" tIns="19050" rIns="38100" bIns="19050" anchor="ctr" anchorCtr="0">
                    <a:noAutofit/>
                  </a:bodyPr>
                  <a:lstStyle/>
                  <a:p>
                    <a:pPr algn="just" hangingPunct="0">
                      <a:lnSpc>
                        <a:spcPts val="1200"/>
                      </a:lnSpc>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spc="-100" baseline="0">
                        <a:solidFill>
                          <a:sysClr val="windowText" lastClr="000000"/>
                        </a:solidFill>
                      </a:rPr>
                      <a:t>因資料不全已結案者</a:t>
                    </a:r>
                    <a:r>
                      <a:rPr lang="zh-TW" altLang="en-US" sz="1000" b="0" i="0" u="none" strike="noStrike" kern="1200" spc="-13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1000" spc="-130" baseline="0">
                        <a:solidFill>
                          <a:sysClr val="windowText" lastClr="000000"/>
                        </a:solidFill>
                      </a:rPr>
                      <a:t>4,565</a:t>
                    </a:r>
                    <a:r>
                      <a:rPr lang="zh-TW" altLang="en-US" sz="1000" spc="-130" baseline="0">
                        <a:solidFill>
                          <a:sysClr val="windowText" lastClr="000000"/>
                        </a:solidFill>
                      </a:rPr>
                      <a:t>件，</a:t>
                    </a:r>
                    <a:r>
                      <a:rPr lang="en-US" altLang="zh-TW" sz="1000" spc="-130" baseline="0">
                        <a:solidFill>
                          <a:sysClr val="windowText" lastClr="000000"/>
                        </a:solidFill>
                      </a:rPr>
                      <a:t>78.48</a:t>
                    </a:r>
                    <a:r>
                      <a:rPr lang="zh-TW" altLang="en-US" sz="1000" spc="-130" baseline="0">
                        <a:solidFill>
                          <a:sysClr val="windowText" lastClr="000000"/>
                        </a:solidFill>
                        <a:latin typeface="標楷體" panose="03000509000000000000" pitchFamily="65" charset="-120"/>
                        <a:ea typeface="標楷體" panose="03000509000000000000" pitchFamily="65" charset="-120"/>
                      </a:rPr>
                      <a:t>％</a:t>
                    </a:r>
                    <a:r>
                      <a:rPr lang="zh-TW" altLang="en-US" sz="1000" spc="-130" baseline="0">
                        <a:solidFill>
                          <a:sysClr val="windowText" lastClr="000000"/>
                        </a:solidFill>
                      </a:rPr>
                      <a:t> </a:t>
                    </a:r>
                    <a:r>
                      <a:rPr lang="zh-TW" altLang="en-US" sz="1000" b="0" i="0" u="none" strike="noStrike" kern="1200" spc="-13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000" spc="-130" baseline="0">
                      <a:solidFill>
                        <a:sysClr val="windowText" lastClr="000000"/>
                      </a:solidFill>
                    </a:endParaRPr>
                  </a:p>
                </c:rich>
              </c:tx>
              <c:numFmt formatCode="0.00%" sourceLinked="0"/>
              <c:spPr>
                <a:noFill/>
                <a:ln>
                  <a:noFill/>
                </a:ln>
                <a:effectLst/>
              </c:spPr>
              <c:dLblPos val="bestFit"/>
              <c:showLegendKey val="0"/>
              <c:showVal val="1"/>
              <c:showCatName val="0"/>
              <c:showSerName val="0"/>
              <c:showPercent val="1"/>
              <c:showBubbleSize val="0"/>
              <c:extLst>
                <c:ext xmlns:c15="http://schemas.microsoft.com/office/drawing/2012/chart" uri="{CE6537A1-D6FC-4f65-9D91-7224C49458BB}">
                  <c15:spPr xmlns:c15="http://schemas.microsoft.com/office/drawing/2012/chart">
                    <a:prstGeom prst="rect">
                      <a:avLst/>
                    </a:prstGeom>
                  </c15:spPr>
                  <c15:layout>
                    <c:manualLayout>
                      <c:w val="0.16941391941391942"/>
                      <c:h val="0.37636003956478736"/>
                    </c:manualLayout>
                  </c15:layout>
                  <c15:showDataLabelsRange val="0"/>
                </c:ext>
                <c:ext xmlns:c16="http://schemas.microsoft.com/office/drawing/2014/chart" uri="{C3380CC4-5D6E-409C-BE32-E72D297353CC}">
                  <c16:uniqueId val="{00000002-781B-4CC4-95E3-62E5869C8FF1}"/>
                </c:ext>
              </c:extLst>
            </c:dLbl>
            <c:dLbl>
              <c:idx val="2"/>
              <c:layout>
                <c:manualLayout>
                  <c:x val="0.31282563688026011"/>
                  <c:y val="0.33718587703132852"/>
                </c:manualLayout>
              </c:layout>
              <c:tx>
                <c:rich>
                  <a:bodyPr rot="0" spcFirstLastPara="1" vertOverflow="overflow" horzOverflow="overflow" wrap="square" lIns="38100" tIns="19050" rIns="38100" bIns="19050" anchor="ctr" anchorCtr="0">
                    <a:noAutofit/>
                  </a:bodyPr>
                  <a:lstStyle/>
                  <a:p>
                    <a:pPr algn="just" hangingPunct="0">
                      <a:lnSpc>
                        <a:spcPts val="1000"/>
                      </a:lnSpc>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i="0" u="none" strike="noStrike" kern="1200" spc="-130" baseline="0">
                        <a:solidFill>
                          <a:sysClr val="windowText" lastClr="000000"/>
                        </a:solidFill>
                      </a:rPr>
                      <a:t>距檢舉日或活動日已逾</a:t>
                    </a:r>
                    <a:r>
                      <a:rPr lang="en-US" altLang="zh-TW" sz="1000" b="0" i="0" u="none" strike="noStrike" kern="1200" spc="-130" baseline="0">
                        <a:solidFill>
                          <a:sysClr val="windowText" lastClr="000000"/>
                        </a:solidFill>
                      </a:rPr>
                      <a:t>3</a:t>
                    </a:r>
                    <a:r>
                      <a:rPr lang="zh-TW" altLang="en-US" sz="1000" b="0" i="0" u="none" strike="noStrike" kern="1200" spc="-130" baseline="0">
                        <a:solidFill>
                          <a:sysClr val="windowText" lastClr="000000"/>
                        </a:solidFill>
                      </a:rPr>
                      <a:t>個月、未滿</a:t>
                    </a:r>
                    <a:r>
                      <a:rPr lang="en-US" altLang="zh-TW" sz="1000" b="0" i="0" u="none" strike="noStrike" kern="1200" spc="-130" baseline="0">
                        <a:solidFill>
                          <a:sysClr val="windowText" lastClr="000000"/>
                        </a:solidFill>
                      </a:rPr>
                      <a:t>6</a:t>
                    </a:r>
                    <a:r>
                      <a:rPr lang="zh-TW" altLang="en-US" sz="1000" b="0" i="0" u="none" strike="noStrike" kern="1200" spc="-130" baseline="0">
                        <a:solidFill>
                          <a:sysClr val="windowText" lastClr="000000"/>
                        </a:solidFill>
                      </a:rPr>
                      <a:t>個月者</a:t>
                    </a:r>
                    <a:r>
                      <a:rPr lang="zh-TW" altLang="en-US"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1000" b="0" i="0" u="none" strike="noStrike" kern="1200" spc="-50" baseline="0">
                        <a:solidFill>
                          <a:sysClr val="windowText" lastClr="000000"/>
                        </a:solidFill>
                      </a:rPr>
                      <a:t>962</a:t>
                    </a:r>
                    <a:r>
                      <a:rPr lang="zh-TW" altLang="en-US" sz="1000" b="0" i="0" u="none" strike="noStrike" kern="1200" spc="-50" baseline="0">
                        <a:solidFill>
                          <a:sysClr val="windowText" lastClr="000000"/>
                        </a:solidFill>
                      </a:rPr>
                      <a:t>件，</a:t>
                    </a:r>
                    <a:r>
                      <a:rPr lang="en-US" altLang="zh-TW" sz="1000" b="0" i="0" u="none" strike="noStrike" kern="1200" spc="-50" baseline="0">
                        <a:solidFill>
                          <a:sysClr val="windowText" lastClr="000000"/>
                        </a:solidFill>
                      </a:rPr>
                      <a:t>82.50</a:t>
                    </a:r>
                    <a:r>
                      <a:rPr lang="zh-TW" altLang="en-US" sz="1000" b="0" i="0" u="none" strike="noStrike" kern="1200" spc="-50" baseline="0">
                        <a:solidFill>
                          <a:sysClr val="windowText" lastClr="000000"/>
                        </a:solidFill>
                        <a:latin typeface="標楷體" panose="03000509000000000000" pitchFamily="65" charset="-120"/>
                        <a:ea typeface="標楷體" panose="03000509000000000000" pitchFamily="65" charset="-120"/>
                      </a:rPr>
                      <a:t>％</a:t>
                    </a:r>
                    <a:r>
                      <a:rPr lang="zh-TW" altLang="en-US"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000" spc="-50" baseline="0">
                      <a:solidFill>
                        <a:sysClr val="windowText" lastClr="000000"/>
                      </a:solidFill>
                    </a:endParaRPr>
                  </a:p>
                </c:rich>
              </c:tx>
              <c:numFmt formatCode="0.00%" sourceLinked="0"/>
              <c:spPr>
                <a:noFill/>
                <a:ln>
                  <a:noFill/>
                </a:ln>
                <a:effectLst/>
              </c:spPr>
              <c:dLblPos val="bestFit"/>
              <c:showLegendKey val="0"/>
              <c:showVal val="1"/>
              <c:showCatName val="0"/>
              <c:showSerName val="0"/>
              <c:showPercent val="1"/>
              <c:showBubbleSize val="0"/>
              <c:extLst>
                <c:ext xmlns:c15="http://schemas.microsoft.com/office/drawing/2012/chart" uri="{CE6537A1-D6FC-4f65-9D91-7224C49458BB}">
                  <c15:layout>
                    <c:manualLayout>
                      <c:w val="0.30798389171941737"/>
                      <c:h val="0.19535098006366222"/>
                    </c:manualLayout>
                  </c15:layout>
                  <c15:showDataLabelsRange val="0"/>
                </c:ext>
                <c:ext xmlns:c16="http://schemas.microsoft.com/office/drawing/2014/chart" uri="{C3380CC4-5D6E-409C-BE32-E72D297353CC}">
                  <c16:uniqueId val="{00000003-781B-4CC4-95E3-62E5869C8FF1}"/>
                </c:ext>
              </c:extLst>
            </c:dLbl>
            <c:dLbl>
              <c:idx val="3"/>
              <c:layout>
                <c:manualLayout>
                  <c:x val="-5.0404881452818233E-2"/>
                  <c:y val="-0.34667192531784591"/>
                </c:manualLayout>
              </c:layout>
              <c:tx>
                <c:rich>
                  <a:bodyPr rot="0" spcFirstLastPara="1" vertOverflow="overflow" horzOverflow="overflow" wrap="square" lIns="38100" tIns="19050" rIns="38100" bIns="19050" anchor="ctr" anchorCtr="0">
                    <a:noAutofit/>
                  </a:bodyPr>
                  <a:lstStyle/>
                  <a:p>
                    <a:pPr algn="dist">
                      <a:lnSpc>
                        <a:spcPts val="1100"/>
                      </a:lnSpc>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kern="1300" spc="-100" baseline="0">
                        <a:solidFill>
                          <a:sysClr val="windowText" lastClr="000000"/>
                        </a:solidFill>
                      </a:rPr>
                      <a:t>距檢舉日或活動日已逾</a:t>
                    </a:r>
                    <a:r>
                      <a:rPr lang="en-US" altLang="zh-TW" sz="1000" kern="1300" spc="-100" baseline="0">
                        <a:solidFill>
                          <a:sysClr val="windowText" lastClr="000000"/>
                        </a:solidFill>
                      </a:rPr>
                      <a:t>6</a:t>
                    </a:r>
                    <a:r>
                      <a:rPr lang="zh-TW" altLang="en-US" sz="1000" kern="1300" spc="-100" baseline="0">
                        <a:solidFill>
                          <a:sysClr val="windowText" lastClr="000000"/>
                        </a:solidFill>
                      </a:rPr>
                      <a:t>個月者</a:t>
                    </a:r>
                  </a:p>
                  <a:p>
                    <a:pPr algn="dist">
                      <a:lnSpc>
                        <a:spcPts val="1100"/>
                      </a:lnSpc>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1000" kern="1300" spc="-170" baseline="0">
                        <a:solidFill>
                          <a:sysClr val="windowText" lastClr="000000"/>
                        </a:solidFill>
                      </a:rPr>
                      <a:t>(204</a:t>
                    </a:r>
                    <a:r>
                      <a:rPr lang="zh-TW" altLang="en-US" sz="1000" kern="1300" spc="-170" baseline="0">
                        <a:solidFill>
                          <a:sysClr val="windowText" lastClr="000000"/>
                        </a:solidFill>
                      </a:rPr>
                      <a:t>件，</a:t>
                    </a:r>
                    <a:r>
                      <a:rPr lang="en-US" altLang="zh-TW" sz="1000" kern="1300" spc="-170" baseline="0">
                        <a:solidFill>
                          <a:sysClr val="windowText" lastClr="000000"/>
                        </a:solidFill>
                      </a:rPr>
                      <a:t>17.50</a:t>
                    </a:r>
                    <a:r>
                      <a:rPr lang="zh-TW" altLang="en-US" sz="1000" kern="1300" spc="-170" baseline="0">
                        <a:solidFill>
                          <a:sysClr val="windowText" lastClr="000000"/>
                        </a:solidFill>
                        <a:latin typeface="標楷體" panose="03000509000000000000" pitchFamily="65" charset="-120"/>
                        <a:ea typeface="標楷體" panose="03000509000000000000" pitchFamily="65" charset="-120"/>
                      </a:rPr>
                      <a:t>％</a:t>
                    </a:r>
                    <a:r>
                      <a:rPr lang="zh-TW" altLang="en-US" sz="1000" b="0" i="0" u="none" strike="noStrike" kern="1300" spc="-170" baseline="0">
                        <a:solidFill>
                          <a:sysClr val="windowText" lastClr="000000"/>
                        </a:solidFill>
                        <a:latin typeface="標楷體" panose="03000509000000000000" pitchFamily="65" charset="-120"/>
                        <a:ea typeface="標楷體" panose="03000509000000000000" pitchFamily="65" charset="-120"/>
                        <a:cs typeface="+mn-cs"/>
                      </a:rPr>
                      <a:t>）</a:t>
                    </a:r>
                    <a:r>
                      <a:rPr lang="zh-TW" altLang="en-US" kern="1300" spc="-100" baseline="0">
                        <a:solidFill>
                          <a:sysClr val="windowText" lastClr="000000"/>
                        </a:solidFill>
                      </a:rPr>
                      <a:t> </a:t>
                    </a:r>
                  </a:p>
                </c:rich>
              </c:tx>
              <c:numFmt formatCode="0.00%" sourceLinked="0"/>
              <c:spPr>
                <a:noFill/>
                <a:ln>
                  <a:noFill/>
                </a:ln>
                <a:effectLst/>
              </c:spPr>
              <c:dLblPos val="bestFit"/>
              <c:showLegendKey val="0"/>
              <c:showVal val="1"/>
              <c:showCatName val="0"/>
              <c:showSerName val="0"/>
              <c:showPercent val="1"/>
              <c:showBubbleSize val="0"/>
              <c:extLst>
                <c:ext xmlns:c15="http://schemas.microsoft.com/office/drawing/2012/chart" uri="{CE6537A1-D6FC-4f65-9D91-7224C49458BB}">
                  <c15:layout>
                    <c:manualLayout>
                      <c:w val="0.23476326488600691"/>
                      <c:h val="0.21661720476429802"/>
                    </c:manualLayout>
                  </c15:layout>
                  <c15:showDataLabelsRange val="0"/>
                </c:ext>
                <c:ext xmlns:c16="http://schemas.microsoft.com/office/drawing/2014/chart" uri="{C3380CC4-5D6E-409C-BE32-E72D297353CC}">
                  <c16:uniqueId val="{00000005-781B-4CC4-95E3-62E5869C8FF1}"/>
                </c:ext>
              </c:extLst>
            </c:dLbl>
            <c:dLbl>
              <c:idx val="4"/>
              <c:layout>
                <c:manualLayout>
                  <c:x val="-4.0423631557235426E-2"/>
                  <c:y val="1.5989091789058281E-2"/>
                </c:manualLayout>
              </c:layout>
              <c:tx>
                <c:rich>
                  <a:bodyPr rot="0" spcFirstLastPara="1" vertOverflow="ellipsis" wrap="square" lIns="38100" tIns="19050" rIns="38100" bIns="19050" anchor="ctr" anchorCtr="0">
                    <a:noAutofit/>
                  </a:bodyPr>
                  <a:lstStyle/>
                  <a:p>
                    <a:pPr algn="ctr" hangingPunct="0">
                      <a:lnSpc>
                        <a:spcPts val="1200"/>
                      </a:lnSpc>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spc="0" baseline="0"/>
                      <a:t>調查中</a:t>
                    </a:r>
                    <a:r>
                      <a:rPr lang="zh-TW" altLang="en-US" sz="1000" b="0" i="0" u="none" strike="noStrike" kern="1200" spc="-11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1000" spc="-110" baseline="0"/>
                      <a:t>1,166</a:t>
                    </a:r>
                    <a:r>
                      <a:rPr lang="zh-TW" altLang="en-US" sz="1000" spc="-110" baseline="0"/>
                      <a:t>件，</a:t>
                    </a:r>
                    <a:r>
                      <a:rPr lang="en-US" altLang="zh-TW" sz="1000" spc="-110" baseline="0"/>
                      <a:t>20.04</a:t>
                    </a:r>
                    <a:r>
                      <a:rPr lang="zh-TW" altLang="en-US" sz="1000" spc="-110" baseline="0">
                        <a:latin typeface="標楷體" panose="03000509000000000000" pitchFamily="65" charset="-120"/>
                        <a:ea typeface="標楷體" panose="03000509000000000000" pitchFamily="65" charset="-120"/>
                      </a:rPr>
                      <a:t>％</a:t>
                    </a:r>
                    <a:r>
                      <a:rPr lang="zh-TW" altLang="en-US" sz="1000" b="0" i="0" u="none" strike="noStrike" kern="1200" spc="-110" baseline="0">
                        <a:solidFill>
                          <a:sysClr val="windowText" lastClr="000000"/>
                        </a:solidFill>
                        <a:latin typeface="標楷體" panose="03000509000000000000" pitchFamily="65" charset="-120"/>
                        <a:ea typeface="標楷體" panose="03000509000000000000" pitchFamily="65" charset="-120"/>
                        <a:cs typeface="+mn-cs"/>
                      </a:rPr>
                      <a:t>）</a:t>
                    </a:r>
                    <a:endParaRPr lang="zh-TW" altLang="en-US" sz="1000" spc="-110" baseline="0"/>
                  </a:p>
                </c:rich>
              </c:tx>
              <c:numFmt formatCode="0.00%" sourceLinked="0"/>
              <c:spPr>
                <a:noFill/>
                <a:ln>
                  <a:noFill/>
                </a:ln>
                <a:effectLst/>
              </c:spPr>
              <c:dLblPos val="bestFit"/>
              <c:showLegendKey val="0"/>
              <c:showVal val="1"/>
              <c:showCatName val="0"/>
              <c:showSerName val="0"/>
              <c:showPercent val="1"/>
              <c:showBubbleSize val="0"/>
              <c:extLst>
                <c:ext xmlns:c15="http://schemas.microsoft.com/office/drawing/2012/chart" uri="{CE6537A1-D6FC-4f65-9D91-7224C49458BB}">
                  <c15:layout>
                    <c:manualLayout>
                      <c:w val="0.20133114175156047"/>
                      <c:h val="0.26036559259879749"/>
                    </c:manualLayout>
                  </c15:layout>
                  <c15:showDataLabelsRange val="0"/>
                </c:ext>
                <c:ext xmlns:c16="http://schemas.microsoft.com/office/drawing/2014/chart" uri="{C3380CC4-5D6E-409C-BE32-E72D297353CC}">
                  <c16:uniqueId val="{00000007-781B-4CC4-95E3-62E5869C8FF1}"/>
                </c:ext>
              </c:extLst>
            </c:dLbl>
            <c:numFmt formatCode="0.00%" sourceLinked="0"/>
            <c:spPr>
              <a:noFill/>
              <a:ln>
                <a:noFill/>
              </a:ln>
              <a:effectLst/>
            </c:spPr>
            <c:txPr>
              <a:bodyPr rot="0" spcFirstLastPara="1" vertOverflow="ellipsis"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工作表1!$A$2:$A$5</c:f>
              <c:strCache>
                <c:ptCount val="4"/>
                <c:pt idx="0">
                  <c:v>行政裁處案件</c:v>
                </c:pt>
                <c:pt idx="1">
                  <c:v>資料不全結案案件</c:v>
                </c:pt>
                <c:pt idx="2">
                  <c:v>距檢舉或活動時程未滿6個月未辦結</c:v>
                </c:pt>
                <c:pt idx="3">
                  <c:v>距檢舉或活動時程超過6個月仍未辦結</c:v>
                </c:pt>
              </c:strCache>
            </c:strRef>
          </c:cat>
          <c:val>
            <c:numRef>
              <c:f>工作表1!$B$2:$B$5</c:f>
              <c:numCache>
                <c:formatCode>General</c:formatCode>
                <c:ptCount val="4"/>
                <c:pt idx="0">
                  <c:v>86</c:v>
                </c:pt>
                <c:pt idx="1">
                  <c:v>4565</c:v>
                </c:pt>
                <c:pt idx="2">
                  <c:v>962</c:v>
                </c:pt>
                <c:pt idx="3">
                  <c:v>204</c:v>
                </c:pt>
              </c:numCache>
            </c:numRef>
          </c:val>
          <c:extLst>
            <c:ext xmlns:c16="http://schemas.microsoft.com/office/drawing/2014/chart" uri="{C3380CC4-5D6E-409C-BE32-E72D297353CC}">
              <c16:uniqueId val="{00000008-781B-4CC4-95E3-62E5869C8FF1}"/>
            </c:ext>
          </c:extLst>
        </c:ser>
        <c:dLbls>
          <c:dLblPos val="bestFit"/>
          <c:showLegendKey val="0"/>
          <c:showVal val="1"/>
          <c:showCatName val="0"/>
          <c:showSerName val="0"/>
          <c:showPercent val="0"/>
          <c:showBubbleSize val="0"/>
          <c:showLeaderLines val="1"/>
        </c:dLbls>
        <c:gapWidth val="100"/>
        <c:splitType val="cust"/>
        <c:custSplit>
          <c:secondPiePt val="2"/>
          <c:secondPiePt val="3"/>
        </c:custSplit>
        <c:secondPieSize val="63"/>
        <c:serLines>
          <c:spPr>
            <a:ln w="9525">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zh-TW" sz="1200" b="1" i="0" baseline="0" dirty="0">
                <a:solidFill>
                  <a:schemeClr val="tx1"/>
                </a:solidFill>
                <a:effectLst/>
                <a:latin typeface="標楷體" panose="03000509000000000000" pitchFamily="65" charset="-120"/>
                <a:ea typeface="標楷體" panose="03000509000000000000" pitchFamily="65" charset="-120"/>
              </a:rPr>
              <a:t>圖</a:t>
            </a:r>
            <a:r>
              <a:rPr lang="en-US" altLang="zh-TW" sz="1200" b="1" i="0" baseline="0" dirty="0">
                <a:solidFill>
                  <a:schemeClr val="tx1"/>
                </a:solidFill>
                <a:effectLst/>
                <a:latin typeface="標楷體" panose="03000509000000000000" pitchFamily="65" charset="-120"/>
                <a:ea typeface="標楷體" panose="03000509000000000000" pitchFamily="65" charset="-120"/>
              </a:rPr>
              <a:t>1</a:t>
            </a:r>
            <a:r>
              <a:rPr lang="zh-TW" altLang="zh-TW" sz="1200" b="1" i="0" baseline="0" dirty="0">
                <a:solidFill>
                  <a:schemeClr val="tx1"/>
                </a:solidFill>
                <a:effectLst/>
                <a:latin typeface="標楷體" panose="03000509000000000000" pitchFamily="65" charset="-120"/>
                <a:ea typeface="標楷體" panose="03000509000000000000" pitchFamily="65" charset="-120"/>
              </a:rPr>
              <a:t>　地籍異動即時通服務申辦情形</a:t>
            </a:r>
            <a:endParaRPr lang="zh-TW" altLang="zh-TW" sz="1200" dirty="0">
              <a:solidFill>
                <a:schemeClr val="tx1"/>
              </a:solidFill>
              <a:effectLst/>
              <a:latin typeface="標楷體" panose="03000509000000000000" pitchFamily="65" charset="-120"/>
              <a:ea typeface="標楷體" panose="03000509000000000000" pitchFamily="65" charset="-120"/>
            </a:endParaRPr>
          </a:p>
        </c:rich>
      </c:tx>
      <c:layout>
        <c:manualLayout>
          <c:xMode val="edge"/>
          <c:yMode val="edge"/>
          <c:x val="0.19693217905772828"/>
          <c:y val="5.3762306860963643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5561508476770558"/>
          <c:y val="0.24144415281423157"/>
          <c:w val="0.79046577111935368"/>
          <c:h val="0.65346724992709249"/>
        </c:manualLayout>
      </c:layout>
      <c:lineChart>
        <c:grouping val="standard"/>
        <c:varyColors val="0"/>
        <c:ser>
          <c:idx val="0"/>
          <c:order val="0"/>
          <c:tx>
            <c:strRef>
              <c:f>工作表1!$B$1</c:f>
              <c:strCache>
                <c:ptCount val="1"/>
                <c:pt idx="0">
                  <c:v>件數</c:v>
                </c:pt>
              </c:strCache>
            </c:strRef>
          </c:tx>
          <c:spPr>
            <a:ln w="44450" cap="rnd">
              <a:solidFill>
                <a:schemeClr val="accent1"/>
              </a:solidFill>
              <a:round/>
            </a:ln>
            <a:effectLst/>
          </c:spPr>
          <c:marker>
            <c:symbol val="circle"/>
            <c:size val="9"/>
            <c:spPr>
              <a:solidFill>
                <a:schemeClr val="accent1"/>
              </a:solidFill>
              <a:ln w="9525" cap="sq">
                <a:solidFill>
                  <a:schemeClr val="accent1"/>
                </a:solidFill>
              </a:ln>
              <a:effectLst/>
            </c:spPr>
          </c:marker>
          <c:dLbls>
            <c:dLbl>
              <c:idx val="0"/>
              <c:layout>
                <c:manualLayout>
                  <c:x val="-1.9109497420217919E-2"/>
                  <c:y val="4.47678040244969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2FE-4850-A90A-F335238A638F}"/>
                </c:ext>
              </c:extLst>
            </c:dLbl>
            <c:dLbl>
              <c:idx val="2"/>
              <c:layout>
                <c:manualLayout>
                  <c:x val="-6.4972291228740681E-2"/>
                  <c:y val="7.11111111111111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2FE-4850-A90A-F335238A638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工作表1!$B$2:$B$4</c:f>
              <c:numCache>
                <c:formatCode>_-* #,##0_-;\-* #,##0_-;_-* "-"??_-;_-@_-</c:formatCode>
                <c:ptCount val="3"/>
                <c:pt idx="0">
                  <c:v>3385</c:v>
                </c:pt>
                <c:pt idx="1">
                  <c:v>4118</c:v>
                </c:pt>
                <c:pt idx="2">
                  <c:v>26166</c:v>
                </c:pt>
              </c:numCache>
            </c:numRef>
          </c:val>
          <c:smooth val="0"/>
          <c:extLst>
            <c:ext xmlns:c16="http://schemas.microsoft.com/office/drawing/2014/chart" uri="{C3380CC4-5D6E-409C-BE32-E72D297353CC}">
              <c16:uniqueId val="{00000002-B2FE-4850-A90A-F335238A638F}"/>
            </c:ext>
          </c:extLst>
        </c:ser>
        <c:dLbls>
          <c:showLegendKey val="0"/>
          <c:showVal val="1"/>
          <c:showCatName val="0"/>
          <c:showSerName val="0"/>
          <c:showPercent val="0"/>
          <c:showBubbleSize val="0"/>
        </c:dLbls>
        <c:marker val="1"/>
        <c:smooth val="0"/>
        <c:axId val="1273339183"/>
        <c:axId val="1274302623"/>
      </c:lineChart>
      <c:catAx>
        <c:axId val="12733391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74302623"/>
        <c:crossesAt val="0"/>
        <c:auto val="1"/>
        <c:lblAlgn val="ctr"/>
        <c:lblOffset val="100"/>
        <c:noMultiLvlLbl val="0"/>
      </c:catAx>
      <c:valAx>
        <c:axId val="1274302623"/>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73339183"/>
        <c:crosses val="autoZero"/>
        <c:crossBetween val="between"/>
        <c:majorUnit val="10000"/>
      </c:valAx>
      <c:spPr>
        <a:noFill/>
        <a:ln>
          <a:solidFill>
            <a:schemeClr val="bg2">
              <a:lumMod val="90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zh-TW" sz="1200" b="1" i="0" baseline="0" dirty="0">
                <a:solidFill>
                  <a:schemeClr val="tx1"/>
                </a:solidFill>
                <a:effectLst/>
                <a:latin typeface="標楷體" panose="03000509000000000000" pitchFamily="65" charset="-120"/>
                <a:ea typeface="標楷體" panose="03000509000000000000" pitchFamily="65" charset="-120"/>
              </a:rPr>
              <a:t>圖</a:t>
            </a:r>
            <a:r>
              <a:rPr lang="en-US" altLang="zh-TW" sz="1200" b="1" i="0" baseline="0" dirty="0">
                <a:solidFill>
                  <a:schemeClr val="tx1"/>
                </a:solidFill>
                <a:effectLst/>
                <a:latin typeface="標楷體" panose="03000509000000000000" pitchFamily="65" charset="-120"/>
                <a:ea typeface="標楷體" panose="03000509000000000000" pitchFamily="65" charset="-120"/>
              </a:rPr>
              <a:t>2</a:t>
            </a:r>
            <a:r>
              <a:rPr lang="zh-TW" altLang="zh-TW" sz="1200" b="1" i="0" baseline="0" dirty="0">
                <a:solidFill>
                  <a:schemeClr val="tx1"/>
                </a:solidFill>
                <a:effectLst/>
                <a:latin typeface="標楷體" panose="03000509000000000000" pitchFamily="65" charset="-120"/>
                <a:ea typeface="標楷體" panose="03000509000000000000" pitchFamily="65" charset="-120"/>
              </a:rPr>
              <a:t>　</a:t>
            </a:r>
            <a:r>
              <a:rPr lang="zh-TW" altLang="en-US" sz="1200" b="1" i="0" baseline="0" dirty="0">
                <a:solidFill>
                  <a:schemeClr val="tx1"/>
                </a:solidFill>
                <a:effectLst/>
                <a:latin typeface="標楷體" panose="03000509000000000000" pitchFamily="65" charset="-120"/>
                <a:ea typeface="標楷體" panose="03000509000000000000" pitchFamily="65" charset="-120"/>
              </a:rPr>
              <a:t>地籍謄本申請住址隱匿</a:t>
            </a:r>
            <a:r>
              <a:rPr lang="zh-TW" altLang="zh-TW" sz="1200" b="1" i="0" baseline="0" dirty="0">
                <a:solidFill>
                  <a:schemeClr val="tx1"/>
                </a:solidFill>
                <a:effectLst/>
                <a:latin typeface="標楷體" panose="03000509000000000000" pitchFamily="65" charset="-120"/>
                <a:ea typeface="標楷體" panose="03000509000000000000" pitchFamily="65" charset="-120"/>
              </a:rPr>
              <a:t>情形</a:t>
            </a:r>
            <a:endParaRPr lang="zh-TW" altLang="zh-TW" sz="1200" dirty="0">
              <a:solidFill>
                <a:schemeClr val="tx1"/>
              </a:solidFill>
              <a:effectLst/>
              <a:latin typeface="標楷體" panose="03000509000000000000" pitchFamily="65" charset="-120"/>
              <a:ea typeface="標楷體" panose="03000509000000000000" pitchFamily="65" charset="-120"/>
            </a:endParaRPr>
          </a:p>
        </c:rich>
      </c:tx>
      <c:layout>
        <c:manualLayout>
          <c:xMode val="edge"/>
          <c:yMode val="edge"/>
          <c:x val="0.21108233893443731"/>
          <c:y val="3.7914691943127965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5561508476770558"/>
          <c:y val="0.23738082786424378"/>
          <c:w val="0.74557560973560522"/>
          <c:h val="0.65753064777099313"/>
        </c:manualLayout>
      </c:layout>
      <c:barChart>
        <c:barDir val="col"/>
        <c:grouping val="clustered"/>
        <c:varyColors val="0"/>
        <c:ser>
          <c:idx val="0"/>
          <c:order val="0"/>
          <c:tx>
            <c:strRef>
              <c:f>工作表1!$B$1</c:f>
              <c:strCache>
                <c:ptCount val="1"/>
                <c:pt idx="0">
                  <c:v>件數</c:v>
                </c:pt>
              </c:strCache>
            </c:strRef>
          </c:tx>
          <c:spPr>
            <a:pattFill prst="narVert">
              <a:fgClr>
                <a:schemeClr val="accent2"/>
              </a:fgClr>
              <a:bgClr>
                <a:schemeClr val="bg1"/>
              </a:bgClr>
            </a:pattFill>
            <a:ln w="44450">
              <a:noFill/>
            </a:ln>
            <a:effectLst/>
          </c:spPr>
          <c:invertIfNegative val="0"/>
          <c:dLbls>
            <c:dLbl>
              <c:idx val="0"/>
              <c:layout>
                <c:manualLayout>
                  <c:x val="-4.445862963500787E-17"/>
                  <c:y val="3.88418046697636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20D-4665-8872-84AEB9AA814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工作表1!$B$2:$B$4</c:f>
              <c:numCache>
                <c:formatCode>_-* #,##0_-;\-* #,##0_-;_-* "-"??_-;_-@_-</c:formatCode>
                <c:ptCount val="3"/>
                <c:pt idx="0">
                  <c:v>12016</c:v>
                </c:pt>
                <c:pt idx="1">
                  <c:v>14539</c:v>
                </c:pt>
                <c:pt idx="2">
                  <c:v>30475</c:v>
                </c:pt>
              </c:numCache>
            </c:numRef>
          </c:val>
          <c:extLst>
            <c:ext xmlns:c16="http://schemas.microsoft.com/office/drawing/2014/chart" uri="{C3380CC4-5D6E-409C-BE32-E72D297353CC}">
              <c16:uniqueId val="{00000001-320D-4665-8872-84AEB9AA814E}"/>
            </c:ext>
          </c:extLst>
        </c:ser>
        <c:dLbls>
          <c:showLegendKey val="0"/>
          <c:showVal val="1"/>
          <c:showCatName val="0"/>
          <c:showSerName val="0"/>
          <c:showPercent val="0"/>
          <c:showBubbleSize val="0"/>
        </c:dLbls>
        <c:gapWidth val="219"/>
        <c:axId val="1273339183"/>
        <c:axId val="1274302623"/>
      </c:barChart>
      <c:catAx>
        <c:axId val="12733391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74302623"/>
        <c:crossesAt val="0"/>
        <c:auto val="1"/>
        <c:lblAlgn val="ctr"/>
        <c:lblOffset val="100"/>
        <c:noMultiLvlLbl val="0"/>
      </c:catAx>
      <c:valAx>
        <c:axId val="1274302623"/>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73339183"/>
        <c:crosses val="autoZero"/>
        <c:crossBetween val="between"/>
        <c:majorUnit val="10000"/>
      </c:valAx>
      <c:spPr>
        <a:noFill/>
        <a:ln>
          <a:solidFill>
            <a:schemeClr val="bg2">
              <a:lumMod val="90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dirty="0">
                <a:solidFill>
                  <a:schemeClr val="tx1"/>
                </a:solidFill>
                <a:latin typeface="標楷體" panose="03000509000000000000" pitchFamily="65" charset="-120"/>
                <a:ea typeface="標楷體" panose="03000509000000000000" pitchFamily="65" charset="-120"/>
              </a:rPr>
              <a:t>圖</a:t>
            </a:r>
            <a:r>
              <a:rPr lang="en-US" altLang="zh-TW" sz="1200" b="1" dirty="0">
                <a:solidFill>
                  <a:schemeClr val="tx1"/>
                </a:solidFill>
                <a:latin typeface="標楷體" panose="03000509000000000000" pitchFamily="65" charset="-120"/>
                <a:ea typeface="標楷體" panose="03000509000000000000" pitchFamily="65" charset="-120"/>
              </a:rPr>
              <a:t>3</a:t>
            </a:r>
            <a:r>
              <a:rPr lang="zh-TW" altLang="en-US" sz="1200" b="1" dirty="0">
                <a:solidFill>
                  <a:schemeClr val="tx1"/>
                </a:solidFill>
                <a:latin typeface="標楷體" panose="03000509000000000000" pitchFamily="65" charset="-120"/>
                <a:ea typeface="標楷體" panose="03000509000000000000" pitchFamily="65" charset="-120"/>
              </a:rPr>
              <a:t>　土地登記案件申辦情形　</a:t>
            </a:r>
          </a:p>
        </c:rich>
      </c:tx>
      <c:layout>
        <c:manualLayout>
          <c:xMode val="edge"/>
          <c:yMode val="edge"/>
          <c:x val="0.28369077306733159"/>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6.9015624999999997E-2"/>
          <c:y val="0.20982135282706685"/>
          <c:w val="0.7202528673055093"/>
          <c:h val="0.58047200057742776"/>
        </c:manualLayout>
      </c:layout>
      <c:barChart>
        <c:barDir val="col"/>
        <c:grouping val="clustered"/>
        <c:varyColors val="0"/>
        <c:ser>
          <c:idx val="0"/>
          <c:order val="0"/>
          <c:tx>
            <c:strRef>
              <c:f>工作表1!$B$1</c:f>
              <c:strCache>
                <c:ptCount val="1"/>
                <c:pt idx="0">
                  <c:v>總件數</c:v>
                </c:pt>
              </c:strCache>
            </c:strRef>
          </c:tx>
          <c:spPr>
            <a:pattFill prst="narVert">
              <a:fgClr>
                <a:schemeClr val="accent1">
                  <a:lumMod val="40000"/>
                  <a:lumOff val="60000"/>
                </a:schemeClr>
              </a:fgClr>
              <a:bgClr>
                <a:schemeClr val="bg1"/>
              </a:bgClr>
            </a:pattFill>
            <a:ln>
              <a:solidFill>
                <a:schemeClr val="accent1">
                  <a:lumMod val="60000"/>
                  <a:lumOff val="40000"/>
                </a:scheme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工作表1!$B$2:$B$4</c:f>
              <c:numCache>
                <c:formatCode>#,##0</c:formatCode>
                <c:ptCount val="3"/>
                <c:pt idx="0">
                  <c:v>178053</c:v>
                </c:pt>
                <c:pt idx="1">
                  <c:v>233831</c:v>
                </c:pt>
                <c:pt idx="2">
                  <c:v>243387</c:v>
                </c:pt>
              </c:numCache>
            </c:numRef>
          </c:val>
          <c:extLst>
            <c:ext xmlns:c16="http://schemas.microsoft.com/office/drawing/2014/chart" uri="{C3380CC4-5D6E-409C-BE32-E72D297353CC}">
              <c16:uniqueId val="{00000000-42BE-429E-A756-A6769B490D55}"/>
            </c:ext>
          </c:extLst>
        </c:ser>
        <c:dLbls>
          <c:dLblPos val="outEnd"/>
          <c:showLegendKey val="0"/>
          <c:showVal val="1"/>
          <c:showCatName val="0"/>
          <c:showSerName val="0"/>
          <c:showPercent val="0"/>
          <c:showBubbleSize val="0"/>
        </c:dLbls>
        <c:gapWidth val="219"/>
        <c:axId val="1620444591"/>
        <c:axId val="1819625167"/>
      </c:barChart>
      <c:lineChart>
        <c:grouping val="standard"/>
        <c:varyColors val="0"/>
        <c:ser>
          <c:idx val="1"/>
          <c:order val="1"/>
          <c:tx>
            <c:strRef>
              <c:f>工作表1!$C$1</c:f>
              <c:strCache>
                <c:ptCount val="1"/>
                <c:pt idx="0">
                  <c:v>線上申辦件數</c:v>
                </c:pt>
              </c:strCache>
            </c:strRef>
          </c:tx>
          <c:spPr>
            <a:ln w="28575" cap="rnd">
              <a:solidFill>
                <a:schemeClr val="accent2"/>
              </a:solidFill>
              <a:round/>
            </a:ln>
            <a:effectLst/>
          </c:spPr>
          <c:marker>
            <c:symbol val="diamond"/>
            <c:size val="10"/>
            <c:spPr>
              <a:solidFill>
                <a:schemeClr val="accent2"/>
              </a:solidFill>
              <a:ln w="9525">
                <a:solidFill>
                  <a:schemeClr val="accent2"/>
                </a:solidFill>
              </a:ln>
              <a:effectLst/>
            </c:spPr>
          </c:marker>
          <c:dLbls>
            <c:dLbl>
              <c:idx val="0"/>
              <c:layout>
                <c:manualLayout>
                  <c:x val="3.2812500000000001E-2"/>
                  <c:y val="-1.64062489907574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2BE-429E-A756-A6769B490D55}"/>
                </c:ext>
              </c:extLst>
            </c:dLbl>
            <c:dLbl>
              <c:idx val="1"/>
              <c:layout>
                <c:manualLayout>
                  <c:x val="3.4375000000000003E-2"/>
                  <c:y val="-2.10937487024022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2BE-429E-A756-A6769B490D55}"/>
                </c:ext>
              </c:extLst>
            </c:dLbl>
            <c:dLbl>
              <c:idx val="2"/>
              <c:layout>
                <c:manualLayout>
                  <c:x val="2.8872700139415241E-3"/>
                  <c:y val="-1.17188878361160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2BE-429E-A756-A6769B490D5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工作表1!$C$2:$C$4</c:f>
              <c:numCache>
                <c:formatCode>#,##0</c:formatCode>
                <c:ptCount val="3"/>
                <c:pt idx="0">
                  <c:v>4601</c:v>
                </c:pt>
                <c:pt idx="1">
                  <c:v>2768</c:v>
                </c:pt>
                <c:pt idx="2">
                  <c:v>1293</c:v>
                </c:pt>
              </c:numCache>
            </c:numRef>
          </c:val>
          <c:smooth val="0"/>
          <c:extLst>
            <c:ext xmlns:c16="http://schemas.microsoft.com/office/drawing/2014/chart" uri="{C3380CC4-5D6E-409C-BE32-E72D297353CC}">
              <c16:uniqueId val="{00000004-42BE-429E-A756-A6769B490D55}"/>
            </c:ext>
          </c:extLst>
        </c:ser>
        <c:dLbls>
          <c:showLegendKey val="0"/>
          <c:showVal val="0"/>
          <c:showCatName val="0"/>
          <c:showSerName val="0"/>
          <c:showPercent val="0"/>
          <c:showBubbleSize val="0"/>
        </c:dLbls>
        <c:marker val="1"/>
        <c:smooth val="0"/>
        <c:axId val="719107599"/>
        <c:axId val="752734271"/>
      </c:lineChart>
      <c:catAx>
        <c:axId val="7191075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52734271"/>
        <c:crosses val="autoZero"/>
        <c:auto val="1"/>
        <c:lblAlgn val="ctr"/>
        <c:lblOffset val="100"/>
        <c:noMultiLvlLbl val="0"/>
      </c:catAx>
      <c:valAx>
        <c:axId val="752734271"/>
        <c:scaling>
          <c:orientation val="minMax"/>
          <c:max val="50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19107599"/>
        <c:crosses val="autoZero"/>
        <c:crossBetween val="between"/>
        <c:majorUnit val="10000"/>
      </c:valAx>
      <c:valAx>
        <c:axId val="1819625167"/>
        <c:scaling>
          <c:orientation val="minMax"/>
          <c:max val="250000"/>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620444591"/>
        <c:crosses val="max"/>
        <c:crossBetween val="between"/>
      </c:valAx>
      <c:catAx>
        <c:axId val="1620444591"/>
        <c:scaling>
          <c:orientation val="minMax"/>
        </c:scaling>
        <c:delete val="1"/>
        <c:axPos val="b"/>
        <c:numFmt formatCode="General" sourceLinked="1"/>
        <c:majorTickMark val="out"/>
        <c:minorTickMark val="none"/>
        <c:tickLblPos val="nextTo"/>
        <c:crossAx val="1819625167"/>
        <c:crosses val="autoZero"/>
        <c:auto val="1"/>
        <c:lblAlgn val="ctr"/>
        <c:lblOffset val="100"/>
        <c:noMultiLvlLbl val="0"/>
      </c:catAx>
      <c:spPr>
        <a:noFill/>
        <a:ln>
          <a:noFill/>
        </a:ln>
        <a:effectLst/>
      </c:spPr>
    </c:plotArea>
    <c:legend>
      <c:legendPos val="b"/>
      <c:layout>
        <c:manualLayout>
          <c:xMode val="edge"/>
          <c:yMode val="edge"/>
          <c:x val="0.20537684659741723"/>
          <c:y val="0.88104464120408188"/>
          <c:w val="0.72997820409605907"/>
          <c:h val="0.114095032726718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3248491699260865E-2"/>
          <c:y val="7.3844185860582764E-2"/>
          <c:w val="0.76461721461615695"/>
          <c:h val="0.74736350852273248"/>
        </c:manualLayout>
      </c:layout>
      <c:barChart>
        <c:barDir val="col"/>
        <c:grouping val="clustered"/>
        <c:varyColors val="0"/>
        <c:ser>
          <c:idx val="0"/>
          <c:order val="0"/>
          <c:tx>
            <c:strRef>
              <c:f>工作表1!$B$1</c:f>
              <c:strCache>
                <c:ptCount val="1"/>
                <c:pt idx="0">
                  <c:v>應申報數</c:v>
                </c:pt>
              </c:strCache>
            </c:strRef>
          </c:tx>
          <c:spPr>
            <a:solidFill>
              <a:schemeClr val="bg2"/>
            </a:solid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110</c:v>
                </c:pt>
                <c:pt idx="1">
                  <c:v>111</c:v>
                </c:pt>
                <c:pt idx="2">
                  <c:v>112</c:v>
                </c:pt>
              </c:numCache>
            </c:numRef>
          </c:cat>
          <c:val>
            <c:numRef>
              <c:f>工作表1!$B$2:$B$4</c:f>
              <c:numCache>
                <c:formatCode>General</c:formatCode>
                <c:ptCount val="3"/>
                <c:pt idx="0">
                  <c:v>319</c:v>
                </c:pt>
                <c:pt idx="1">
                  <c:v>319</c:v>
                </c:pt>
                <c:pt idx="2">
                  <c:v>320</c:v>
                </c:pt>
              </c:numCache>
            </c:numRef>
          </c:val>
          <c:extLst>
            <c:ext xmlns:c16="http://schemas.microsoft.com/office/drawing/2014/chart" uri="{C3380CC4-5D6E-409C-BE32-E72D297353CC}">
              <c16:uniqueId val="{00000000-94E0-40A6-89D7-1A887E26E3E6}"/>
            </c:ext>
          </c:extLst>
        </c:ser>
        <c:ser>
          <c:idx val="1"/>
          <c:order val="1"/>
          <c:tx>
            <c:strRef>
              <c:f>工作表1!$C$1</c:f>
              <c:strCache>
                <c:ptCount val="1"/>
                <c:pt idx="0">
                  <c:v>報核數</c:v>
                </c:pt>
              </c:strCache>
            </c:strRef>
          </c:tx>
          <c:spPr>
            <a:pattFill prst="smConfetti">
              <a:fgClr>
                <a:schemeClr val="bg1">
                  <a:lumMod val="95000"/>
                </a:schemeClr>
              </a:fgClr>
              <a:bgClr>
                <a:schemeClr val="bg1"/>
              </a:bgClr>
            </a:pattFill>
            <a:ln>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110</c:v>
                </c:pt>
                <c:pt idx="1">
                  <c:v>111</c:v>
                </c:pt>
                <c:pt idx="2">
                  <c:v>112</c:v>
                </c:pt>
              </c:numCache>
            </c:numRef>
          </c:cat>
          <c:val>
            <c:numRef>
              <c:f>工作表1!$C$2:$C$4</c:f>
              <c:numCache>
                <c:formatCode>General</c:formatCode>
                <c:ptCount val="3"/>
                <c:pt idx="0">
                  <c:v>318</c:v>
                </c:pt>
                <c:pt idx="1">
                  <c:v>316</c:v>
                </c:pt>
                <c:pt idx="2">
                  <c:v>292</c:v>
                </c:pt>
              </c:numCache>
            </c:numRef>
          </c:val>
          <c:extLst>
            <c:ext xmlns:c16="http://schemas.microsoft.com/office/drawing/2014/chart" uri="{C3380CC4-5D6E-409C-BE32-E72D297353CC}">
              <c16:uniqueId val="{00000001-94E0-40A6-89D7-1A887E26E3E6}"/>
            </c:ext>
          </c:extLst>
        </c:ser>
        <c:dLbls>
          <c:showLegendKey val="0"/>
          <c:showVal val="0"/>
          <c:showCatName val="0"/>
          <c:showSerName val="0"/>
          <c:showPercent val="0"/>
          <c:showBubbleSize val="0"/>
        </c:dLbls>
        <c:gapWidth val="100"/>
        <c:overlap val="-27"/>
        <c:axId val="662431296"/>
        <c:axId val="662432960"/>
      </c:barChart>
      <c:lineChart>
        <c:grouping val="standard"/>
        <c:varyColors val="0"/>
        <c:ser>
          <c:idx val="2"/>
          <c:order val="2"/>
          <c:tx>
            <c:strRef>
              <c:f>工作表1!$D$1</c:f>
              <c:strCache>
                <c:ptCount val="1"/>
                <c:pt idx="0">
                  <c:v>報核率</c:v>
                </c:pt>
              </c:strCache>
            </c:strRef>
          </c:tx>
          <c:spPr>
            <a:ln w="28575" cap="rnd">
              <a:solidFill>
                <a:schemeClr val="accent3"/>
              </a:solidFill>
              <a:round/>
            </a:ln>
            <a:effectLst/>
          </c:spPr>
          <c:marker>
            <c:symbol val="circle"/>
            <c:size val="5"/>
            <c:spPr>
              <a:solidFill>
                <a:schemeClr val="bg2">
                  <a:lumMod val="75000"/>
                </a:schemeClr>
              </a:solidFill>
              <a:ln w="9525">
                <a:solidFill>
                  <a:schemeClr val="tx1"/>
                </a:solidFill>
              </a:ln>
              <a:effectLst/>
            </c:spPr>
          </c:marker>
          <c:dLbls>
            <c:dLbl>
              <c:idx val="0"/>
              <c:layout>
                <c:manualLayout>
                  <c:x val="-5.5496212317307225E-2"/>
                  <c:y val="-4.35706135027291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4E0-40A6-89D7-1A887E26E3E6}"/>
                </c:ext>
              </c:extLst>
            </c:dLbl>
            <c:dLbl>
              <c:idx val="1"/>
              <c:layout>
                <c:manualLayout>
                  <c:x val="-6.2380690502320257E-2"/>
                  <c:y val="-5.10607833588929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4E0-40A6-89D7-1A887E26E3E6}"/>
                </c:ext>
              </c:extLst>
            </c:dLbl>
            <c:dLbl>
              <c:idx val="2"/>
              <c:layout>
                <c:manualLayout>
                  <c:x val="-6.2380690502320257E-2"/>
                  <c:y val="-8.79828762891843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4E0-40A6-89D7-1A887E26E3E6}"/>
                </c:ext>
              </c:extLst>
            </c:dLbl>
            <c:spPr>
              <a:noFill/>
              <a:ln>
                <a:noFill/>
              </a:ln>
              <a:effectLst/>
            </c:spPr>
            <c:txPr>
              <a:bodyPr rot="0" spcFirstLastPara="1" vertOverflow="ellipsis" horzOverflow="clip" vert="horz" wrap="square" lIns="0" tIns="0" rIns="0" bIns="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工作表1!$B$1:$D$1</c:f>
              <c:strCache>
                <c:ptCount val="3"/>
                <c:pt idx="0">
                  <c:v>應申報數</c:v>
                </c:pt>
                <c:pt idx="1">
                  <c:v>報核數</c:v>
                </c:pt>
                <c:pt idx="2">
                  <c:v>報核率</c:v>
                </c:pt>
              </c:strCache>
            </c:strRef>
          </c:cat>
          <c:val>
            <c:numRef>
              <c:f>工作表1!$D$2:$D$4</c:f>
              <c:numCache>
                <c:formatCode>General</c:formatCode>
                <c:ptCount val="3"/>
                <c:pt idx="0">
                  <c:v>99.69</c:v>
                </c:pt>
                <c:pt idx="1">
                  <c:v>99.06</c:v>
                </c:pt>
                <c:pt idx="2">
                  <c:v>91.25</c:v>
                </c:pt>
              </c:numCache>
            </c:numRef>
          </c:val>
          <c:smooth val="0"/>
          <c:extLst>
            <c:ext xmlns:c16="http://schemas.microsoft.com/office/drawing/2014/chart" uri="{C3380CC4-5D6E-409C-BE32-E72D297353CC}">
              <c16:uniqueId val="{00000005-94E0-40A6-89D7-1A887E26E3E6}"/>
            </c:ext>
          </c:extLst>
        </c:ser>
        <c:dLbls>
          <c:showLegendKey val="0"/>
          <c:showVal val="0"/>
          <c:showCatName val="0"/>
          <c:showSerName val="0"/>
          <c:showPercent val="0"/>
          <c:showBubbleSize val="0"/>
        </c:dLbls>
        <c:marker val="1"/>
        <c:smooth val="0"/>
        <c:axId val="662427552"/>
        <c:axId val="662403424"/>
      </c:lineChart>
      <c:catAx>
        <c:axId val="66243129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2432960"/>
        <c:crosses val="autoZero"/>
        <c:auto val="1"/>
        <c:lblAlgn val="ctr"/>
        <c:lblOffset val="100"/>
        <c:noMultiLvlLbl val="0"/>
      </c:catAx>
      <c:valAx>
        <c:axId val="662432960"/>
        <c:scaling>
          <c:orientation val="minMax"/>
        </c:scaling>
        <c:delete val="0"/>
        <c:axPos val="l"/>
        <c:majorGridlines>
          <c:spPr>
            <a:ln w="9525" cap="flat" cmpd="sng" algn="ctr">
              <a:solidFill>
                <a:schemeClr val="bg1">
                  <a:lumMod val="75000"/>
                </a:schemeClr>
              </a:solidFill>
              <a:round/>
            </a:ln>
            <a:effectLst/>
          </c:spPr>
        </c:majorGridlines>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2431296"/>
        <c:crosses val="autoZero"/>
        <c:crossBetween val="between"/>
      </c:valAx>
      <c:valAx>
        <c:axId val="662403424"/>
        <c:scaling>
          <c:orientation val="minMax"/>
          <c:max val="100"/>
          <c:min val="50"/>
        </c:scaling>
        <c:delete val="0"/>
        <c:axPos val="r"/>
        <c:numFmt formatCode="#,##0.00_);[Red]\(#,##0.0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662427552"/>
        <c:crosses val="max"/>
        <c:crossBetween val="between"/>
      </c:valAx>
      <c:catAx>
        <c:axId val="662427552"/>
        <c:scaling>
          <c:orientation val="minMax"/>
        </c:scaling>
        <c:delete val="1"/>
        <c:axPos val="b"/>
        <c:numFmt formatCode="General" sourceLinked="1"/>
        <c:majorTickMark val="out"/>
        <c:minorTickMark val="none"/>
        <c:tickLblPos val="nextTo"/>
        <c:crossAx val="662403424"/>
        <c:crosses val="autoZero"/>
        <c:auto val="1"/>
        <c:lblAlgn val="ctr"/>
        <c:lblOffset val="100"/>
        <c:noMultiLvlLbl val="0"/>
      </c:catAx>
      <c:spPr>
        <a:noFill/>
        <a:ln>
          <a:noFill/>
        </a:ln>
        <a:effectLst/>
      </c:spPr>
    </c:plotArea>
    <c:legend>
      <c:legendPos val="b"/>
      <c:layout>
        <c:manualLayout>
          <c:xMode val="edge"/>
          <c:yMode val="edge"/>
          <c:x val="5.8402711195071247E-2"/>
          <c:y val="0.89890920219577075"/>
          <c:w val="0.79694038557607227"/>
          <c:h val="7.3394688816769152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86898717752397"/>
          <c:y val="0.21352241629013025"/>
          <c:w val="0.6167769784172662"/>
          <c:h val="0.44404341476266401"/>
        </c:manualLayout>
      </c:layout>
      <c:barChart>
        <c:barDir val="col"/>
        <c:grouping val="clustered"/>
        <c:varyColors val="0"/>
        <c:ser>
          <c:idx val="0"/>
          <c:order val="0"/>
          <c:tx>
            <c:strRef>
              <c:f>畫圖版!$Q$16</c:f>
              <c:strCache>
                <c:ptCount val="1"/>
                <c:pt idx="0">
                  <c:v>預算數</c:v>
                </c:pt>
              </c:strCache>
            </c:strRef>
          </c:tx>
          <c:spPr>
            <a:pattFill prst="wdDnDiag">
              <a:fgClr>
                <a:schemeClr val="accent6">
                  <a:lumMod val="75000"/>
                </a:schemeClr>
              </a:fgClr>
              <a:bgClr>
                <a:schemeClr val="bg1"/>
              </a:bgClr>
            </a:pattFill>
            <a:ln>
              <a:noFill/>
            </a:ln>
            <a:effectLst/>
          </c:spPr>
          <c:invertIfNegative val="0"/>
          <c:dLbls>
            <c:delete val="1"/>
          </c:dLbls>
          <c:cat>
            <c:numRef>
              <c:f>畫圖版!$P$17:$P$21</c:f>
              <c:numCache>
                <c:formatCode>General</c:formatCode>
                <c:ptCount val="5"/>
                <c:pt idx="0">
                  <c:v>109</c:v>
                </c:pt>
                <c:pt idx="1">
                  <c:v>110</c:v>
                </c:pt>
                <c:pt idx="2">
                  <c:v>111</c:v>
                </c:pt>
                <c:pt idx="3">
                  <c:v>112</c:v>
                </c:pt>
                <c:pt idx="4">
                  <c:v>113</c:v>
                </c:pt>
              </c:numCache>
            </c:numRef>
          </c:cat>
          <c:val>
            <c:numRef>
              <c:f>畫圖版!$Q$17:$Q$21</c:f>
              <c:numCache>
                <c:formatCode>#,##0_ </c:formatCode>
                <c:ptCount val="5"/>
                <c:pt idx="0">
                  <c:v>784000</c:v>
                </c:pt>
                <c:pt idx="1">
                  <c:v>703425</c:v>
                </c:pt>
                <c:pt idx="2">
                  <c:v>471695</c:v>
                </c:pt>
                <c:pt idx="3">
                  <c:v>854200</c:v>
                </c:pt>
                <c:pt idx="4">
                  <c:v>1225920</c:v>
                </c:pt>
              </c:numCache>
            </c:numRef>
          </c:val>
          <c:extLst>
            <c:ext xmlns:c16="http://schemas.microsoft.com/office/drawing/2014/chart" uri="{C3380CC4-5D6E-409C-BE32-E72D297353CC}">
              <c16:uniqueId val="{00000000-8A46-4171-BA23-901642891E91}"/>
            </c:ext>
          </c:extLst>
        </c:ser>
        <c:ser>
          <c:idx val="1"/>
          <c:order val="1"/>
          <c:tx>
            <c:strRef>
              <c:f>畫圖版!$R$16</c:f>
              <c:strCache>
                <c:ptCount val="1"/>
                <c:pt idx="0">
                  <c:v>決算數</c:v>
                </c:pt>
              </c:strCache>
            </c:strRef>
          </c:tx>
          <c:spPr>
            <a:pattFill prst="plaid">
              <a:fgClr>
                <a:srgbClr val="0070C0"/>
              </a:fgClr>
              <a:bgClr>
                <a:schemeClr val="bg1"/>
              </a:bgClr>
            </a:pattFill>
            <a:ln>
              <a:noFill/>
            </a:ln>
            <a:effectLst/>
          </c:spPr>
          <c:invertIfNegative val="0"/>
          <c:dLbls>
            <c:delete val="1"/>
          </c:dLbls>
          <c:cat>
            <c:numRef>
              <c:f>畫圖版!$P$17:$P$21</c:f>
              <c:numCache>
                <c:formatCode>General</c:formatCode>
                <c:ptCount val="5"/>
                <c:pt idx="0">
                  <c:v>109</c:v>
                </c:pt>
                <c:pt idx="1">
                  <c:v>110</c:v>
                </c:pt>
                <c:pt idx="2">
                  <c:v>111</c:v>
                </c:pt>
                <c:pt idx="3">
                  <c:v>112</c:v>
                </c:pt>
                <c:pt idx="4">
                  <c:v>113</c:v>
                </c:pt>
              </c:numCache>
            </c:numRef>
          </c:cat>
          <c:val>
            <c:numRef>
              <c:f>畫圖版!$R$17:$R$21</c:f>
              <c:numCache>
                <c:formatCode>_-* #,##0_-;\-* #,##0_-;_-* "-"??_-;_-@_-</c:formatCode>
                <c:ptCount val="5"/>
                <c:pt idx="0">
                  <c:v>515806</c:v>
                </c:pt>
                <c:pt idx="1">
                  <c:v>438011</c:v>
                </c:pt>
                <c:pt idx="2">
                  <c:v>471695</c:v>
                </c:pt>
                <c:pt idx="3">
                  <c:v>535941</c:v>
                </c:pt>
                <c:pt idx="4">
                  <c:v>408010</c:v>
                </c:pt>
              </c:numCache>
            </c:numRef>
          </c:val>
          <c:extLst>
            <c:ext xmlns:c16="http://schemas.microsoft.com/office/drawing/2014/chart" uri="{C3380CC4-5D6E-409C-BE32-E72D297353CC}">
              <c16:uniqueId val="{00000001-8A46-4171-BA23-901642891E91}"/>
            </c:ext>
          </c:extLst>
        </c:ser>
        <c:dLbls>
          <c:showLegendKey val="0"/>
          <c:showVal val="1"/>
          <c:showCatName val="0"/>
          <c:showSerName val="0"/>
          <c:showPercent val="0"/>
          <c:showBubbleSize val="0"/>
        </c:dLbls>
        <c:gapWidth val="219"/>
        <c:overlap val="-27"/>
        <c:axId val="1044838944"/>
        <c:axId val="1217640064"/>
      </c:barChart>
      <c:lineChart>
        <c:grouping val="standard"/>
        <c:varyColors val="0"/>
        <c:ser>
          <c:idx val="2"/>
          <c:order val="2"/>
          <c:tx>
            <c:strRef>
              <c:f>畫圖版!$S$16</c:f>
              <c:strCache>
                <c:ptCount val="1"/>
                <c:pt idx="0">
                  <c:v>預算執行率</c:v>
                </c:pt>
              </c:strCache>
            </c:strRef>
          </c:tx>
          <c:spPr>
            <a:ln w="34925" cap="rnd">
              <a:solidFill>
                <a:schemeClr val="accent4"/>
              </a:solidFill>
              <a:miter lim="800000"/>
            </a:ln>
            <a:effectLst/>
          </c:spPr>
          <c:marker>
            <c:symbol val="diamond"/>
            <c:size val="8"/>
            <c:spPr>
              <a:solidFill>
                <a:schemeClr val="accent2">
                  <a:lumMod val="60000"/>
                  <a:lumOff val="40000"/>
                </a:schemeClr>
              </a:solidFill>
              <a:ln w="9525">
                <a:solidFill>
                  <a:schemeClr val="accent3"/>
                </a:solidFill>
              </a:ln>
              <a:effectLst/>
            </c:spPr>
          </c:marker>
          <c:dPt>
            <c:idx val="4"/>
            <c:marker>
              <c:symbol val="diamond"/>
              <c:size val="8"/>
              <c:spPr>
                <a:solidFill>
                  <a:schemeClr val="accent2">
                    <a:lumMod val="60000"/>
                    <a:lumOff val="40000"/>
                  </a:schemeClr>
                </a:solidFill>
                <a:ln w="9525">
                  <a:solidFill>
                    <a:schemeClr val="accent3"/>
                  </a:solidFill>
                </a:ln>
                <a:effectLst/>
              </c:spPr>
            </c:marker>
            <c:bubble3D val="0"/>
            <c:spPr>
              <a:ln w="41275" cap="rnd">
                <a:solidFill>
                  <a:schemeClr val="accent4"/>
                </a:solidFill>
                <a:miter lim="800000"/>
              </a:ln>
              <a:effectLst/>
            </c:spPr>
            <c:extLst>
              <c:ext xmlns:c16="http://schemas.microsoft.com/office/drawing/2014/chart" uri="{C3380CC4-5D6E-409C-BE32-E72D297353CC}">
                <c16:uniqueId val="{00000003-8A46-4171-BA23-901642891E91}"/>
              </c:ext>
            </c:extLst>
          </c:dPt>
          <c:dLbls>
            <c:delete val="1"/>
          </c:dLbls>
          <c:cat>
            <c:numRef>
              <c:f>畫圖版!$P$17:$P$21</c:f>
              <c:numCache>
                <c:formatCode>General</c:formatCode>
                <c:ptCount val="5"/>
                <c:pt idx="0">
                  <c:v>109</c:v>
                </c:pt>
                <c:pt idx="1">
                  <c:v>110</c:v>
                </c:pt>
                <c:pt idx="2">
                  <c:v>111</c:v>
                </c:pt>
                <c:pt idx="3">
                  <c:v>112</c:v>
                </c:pt>
                <c:pt idx="4">
                  <c:v>113</c:v>
                </c:pt>
              </c:numCache>
            </c:numRef>
          </c:cat>
          <c:val>
            <c:numRef>
              <c:f>畫圖版!$S$17:$S$21</c:f>
              <c:numCache>
                <c:formatCode>0.00_ </c:formatCode>
                <c:ptCount val="5"/>
                <c:pt idx="0">
                  <c:v>65.790000000000006</c:v>
                </c:pt>
                <c:pt idx="1">
                  <c:v>62.27</c:v>
                </c:pt>
                <c:pt idx="2">
                  <c:v>100</c:v>
                </c:pt>
                <c:pt idx="3">
                  <c:v>62.74</c:v>
                </c:pt>
                <c:pt idx="4">
                  <c:v>33.28</c:v>
                </c:pt>
              </c:numCache>
            </c:numRef>
          </c:val>
          <c:smooth val="0"/>
          <c:extLst>
            <c:ext xmlns:c16="http://schemas.microsoft.com/office/drawing/2014/chart" uri="{C3380CC4-5D6E-409C-BE32-E72D297353CC}">
              <c16:uniqueId val="{00000004-8A46-4171-BA23-901642891E91}"/>
            </c:ext>
          </c:extLst>
        </c:ser>
        <c:dLbls>
          <c:showLegendKey val="0"/>
          <c:showVal val="1"/>
          <c:showCatName val="0"/>
          <c:showSerName val="0"/>
          <c:showPercent val="0"/>
          <c:showBubbleSize val="0"/>
        </c:dLbls>
        <c:marker val="1"/>
        <c:smooth val="0"/>
        <c:axId val="1044841744"/>
        <c:axId val="1217640480"/>
      </c:lineChart>
      <c:catAx>
        <c:axId val="104483894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年度</a:t>
                </a:r>
              </a:p>
            </c:rich>
          </c:tx>
          <c:layout>
            <c:manualLayout>
              <c:xMode val="edge"/>
              <c:yMode val="edge"/>
              <c:x val="0.86479798055835755"/>
              <c:y val="0.6862057668323375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217640064"/>
        <c:crosses val="autoZero"/>
        <c:auto val="1"/>
        <c:lblAlgn val="ctr"/>
        <c:lblOffset val="100"/>
        <c:noMultiLvlLbl val="0"/>
      </c:catAx>
      <c:valAx>
        <c:axId val="1217640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千元</a:t>
                </a:r>
              </a:p>
            </c:rich>
          </c:tx>
          <c:layout>
            <c:manualLayout>
              <c:xMode val="edge"/>
              <c:yMode val="edge"/>
              <c:x val="0.12107911710504272"/>
              <c:y val="0.1019729820502295"/>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44838944"/>
        <c:crosses val="autoZero"/>
        <c:crossBetween val="between"/>
      </c:valAx>
      <c:valAx>
        <c:axId val="1217640480"/>
        <c:scaling>
          <c:orientation val="minMax"/>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百分比</a:t>
                </a:r>
              </a:p>
            </c:rich>
          </c:tx>
          <c:layout>
            <c:manualLayout>
              <c:xMode val="edge"/>
              <c:yMode val="edge"/>
              <c:x val="0.85740115597252475"/>
              <c:y val="9.7041086688808453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44841744"/>
        <c:crosses val="max"/>
        <c:crossBetween val="between"/>
      </c:valAx>
      <c:catAx>
        <c:axId val="1044841744"/>
        <c:scaling>
          <c:orientation val="minMax"/>
        </c:scaling>
        <c:delete val="1"/>
        <c:axPos val="b"/>
        <c:numFmt formatCode="General" sourceLinked="1"/>
        <c:majorTickMark val="none"/>
        <c:minorTickMark val="none"/>
        <c:tickLblPos val="nextTo"/>
        <c:crossAx val="1217640480"/>
        <c:crosses val="autoZero"/>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0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3055555555555558E-2"/>
          <c:y val="0.23406283818493784"/>
          <c:w val="0.88611111111111107"/>
          <c:h val="0.71612821086011302"/>
        </c:manualLayout>
      </c:layout>
      <c:pie3DChart>
        <c:varyColors val="1"/>
        <c:ser>
          <c:idx val="0"/>
          <c:order val="0"/>
          <c:spPr>
            <a:ln>
              <a:solidFill>
                <a:schemeClr val="tx1"/>
              </a:solidFill>
            </a:ln>
          </c:spPr>
          <c:explosion val="1"/>
          <c:dPt>
            <c:idx val="0"/>
            <c:bubble3D val="0"/>
            <c:spPr>
              <a:pattFill prst="trellis">
                <a:fgClr>
                  <a:schemeClr val="accent5">
                    <a:lumMod val="40000"/>
                    <a:lumOff val="60000"/>
                  </a:schemeClr>
                </a:fgClr>
                <a:bgClr>
                  <a:schemeClr val="bg1"/>
                </a:bgClr>
              </a:pattFill>
              <a:ln w="9525">
                <a:solidFill>
                  <a:schemeClr val="tx1"/>
                </a:solidFill>
              </a:ln>
              <a:effectLst>
                <a:outerShdw blurRad="88900" sx="102000" sy="102000" algn="ctr" rotWithShape="0">
                  <a:prstClr val="black">
                    <a:alpha val="10000"/>
                  </a:prstClr>
                </a:outerShdw>
              </a:effectLst>
              <a:scene3d>
                <a:camera prst="orthographicFront"/>
                <a:lightRig rig="threePt" dir="t"/>
              </a:scene3d>
              <a:sp3d contourW="9525">
                <a:bevelT w="127000" h="127000"/>
                <a:bevelB w="127000" h="127000"/>
                <a:contourClr>
                  <a:schemeClr val="tx1"/>
                </a:contourClr>
              </a:sp3d>
            </c:spPr>
            <c:extLst>
              <c:ext xmlns:c16="http://schemas.microsoft.com/office/drawing/2014/chart" uri="{C3380CC4-5D6E-409C-BE32-E72D297353CC}">
                <c16:uniqueId val="{00000001-35DE-4E5B-8583-8615447846DA}"/>
              </c:ext>
            </c:extLst>
          </c:dPt>
          <c:dPt>
            <c:idx val="1"/>
            <c:bubble3D val="0"/>
            <c:spPr>
              <a:pattFill prst="shingle">
                <a:fgClr>
                  <a:schemeClr val="accent2">
                    <a:lumMod val="40000"/>
                    <a:lumOff val="60000"/>
                  </a:schemeClr>
                </a:fgClr>
                <a:bgClr>
                  <a:schemeClr val="bg1"/>
                </a:bgClr>
              </a:pattFill>
              <a:ln w="9525">
                <a:solidFill>
                  <a:schemeClr val="tx1"/>
                </a:solidFill>
              </a:ln>
              <a:effectLst>
                <a:outerShdw blurRad="88900" sx="102000" sy="102000" algn="ctr" rotWithShape="0">
                  <a:prstClr val="black">
                    <a:alpha val="10000"/>
                  </a:prstClr>
                </a:outerShdw>
              </a:effectLst>
              <a:scene3d>
                <a:camera prst="orthographicFront"/>
                <a:lightRig rig="threePt" dir="t"/>
              </a:scene3d>
              <a:sp3d contourW="9525">
                <a:bevelT w="127000" h="127000"/>
                <a:bevelB w="127000" h="127000"/>
                <a:contourClr>
                  <a:schemeClr val="tx1"/>
                </a:contourClr>
              </a:sp3d>
            </c:spPr>
            <c:extLst>
              <c:ext xmlns:c16="http://schemas.microsoft.com/office/drawing/2014/chart" uri="{C3380CC4-5D6E-409C-BE32-E72D297353CC}">
                <c16:uniqueId val="{00000003-35DE-4E5B-8583-8615447846DA}"/>
              </c:ext>
            </c:extLst>
          </c:dPt>
          <c:dPt>
            <c:idx val="2"/>
            <c:bubble3D val="0"/>
            <c:spPr>
              <a:pattFill prst="narVert">
                <a:fgClr>
                  <a:schemeClr val="accent4">
                    <a:lumMod val="60000"/>
                    <a:lumOff val="40000"/>
                  </a:schemeClr>
                </a:fgClr>
                <a:bgClr>
                  <a:schemeClr val="bg1"/>
                </a:bgClr>
              </a:pattFill>
              <a:ln>
                <a:solidFill>
                  <a:schemeClr val="tx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tx1"/>
                </a:contourClr>
              </a:sp3d>
            </c:spPr>
            <c:extLst>
              <c:ext xmlns:c16="http://schemas.microsoft.com/office/drawing/2014/chart" uri="{C3380CC4-5D6E-409C-BE32-E72D297353CC}">
                <c16:uniqueId val="{00000005-35DE-4E5B-8583-8615447846DA}"/>
              </c:ext>
            </c:extLst>
          </c:dPt>
          <c:dPt>
            <c:idx val="3"/>
            <c:bubble3D val="0"/>
            <c:spPr>
              <a:pattFill prst="pct5">
                <a:fgClr>
                  <a:schemeClr val="accent1"/>
                </a:fgClr>
                <a:bgClr>
                  <a:schemeClr val="bg1"/>
                </a:bgClr>
              </a:pattFill>
              <a:ln>
                <a:solidFill>
                  <a:schemeClr val="tx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tx1"/>
                </a:contourClr>
              </a:sp3d>
            </c:spPr>
            <c:extLst>
              <c:ext xmlns:c16="http://schemas.microsoft.com/office/drawing/2014/chart" uri="{C3380CC4-5D6E-409C-BE32-E72D297353CC}">
                <c16:uniqueId val="{00000007-35DE-4E5B-8583-8615447846DA}"/>
              </c:ext>
            </c:extLst>
          </c:dPt>
          <c:dPt>
            <c:idx val="4"/>
            <c:bubble3D val="0"/>
            <c:spPr>
              <a:pattFill prst="dkVert">
                <a:fgClr>
                  <a:schemeClr val="accent6">
                    <a:lumMod val="40000"/>
                    <a:lumOff val="60000"/>
                  </a:schemeClr>
                </a:fgClr>
                <a:bgClr>
                  <a:schemeClr val="bg1"/>
                </a:bgClr>
              </a:pattFill>
              <a:ln>
                <a:solidFill>
                  <a:schemeClr val="tx1"/>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tx1"/>
                </a:contourClr>
              </a:sp3d>
            </c:spPr>
            <c:extLst>
              <c:ext xmlns:c16="http://schemas.microsoft.com/office/drawing/2014/chart" uri="{C3380CC4-5D6E-409C-BE32-E72D297353CC}">
                <c16:uniqueId val="{00000009-35DE-4E5B-8583-8615447846DA}"/>
              </c:ext>
            </c:extLst>
          </c:dPt>
          <c:dLbls>
            <c:dLbl>
              <c:idx val="0"/>
              <c:layout>
                <c:manualLayout>
                  <c:x val="-0.16282037822195308"/>
                  <c:y val="-0.21111126326600479"/>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9379B674-C569-4FF4-958B-14594991F91D}"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r>
                      <a:rPr lang="en-US" altLang="zh-TW" b="0" baseline="0"/>
                      <a:t>37.74</a:t>
                    </a:r>
                    <a:r>
                      <a:rPr lang="zh-TW" altLang="en-US" b="0" baseline="0"/>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35DE-4E5B-8583-8615447846DA}"/>
                </c:ext>
              </c:extLst>
            </c:dLbl>
            <c:dLbl>
              <c:idx val="1"/>
              <c:layout>
                <c:manualLayout>
                  <c:x val="0.15714274177266299"/>
                  <c:y val="1.4561223325345201E-3"/>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62490ECA-3ECB-4F77-B20D-4B20721EDD20}"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r>
                      <a:rPr lang="en-US" altLang="zh-TW" b="0" baseline="0"/>
                      <a:t>20.97</a:t>
                    </a:r>
                    <a:r>
                      <a:rPr lang="zh-TW" altLang="en-US" b="0" baseline="0"/>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35DE-4E5B-8583-8615447846DA}"/>
                </c:ext>
              </c:extLst>
            </c:dLbl>
            <c:dLbl>
              <c:idx val="2"/>
              <c:layout>
                <c:manualLayout>
                  <c:x val="0.12888902348744868"/>
                  <c:y val="0.15249435124957206"/>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9514687B-A7CB-4760-B300-EEA2AA5EFDA6}"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b="0"/>
                  </a:p>
                  <a:p>
                    <a:pPr>
                      <a:defRPr b="0">
                        <a:solidFill>
                          <a:sysClr val="windowText" lastClr="000000"/>
                        </a:solidFill>
                        <a:latin typeface="標楷體" panose="03000509000000000000" pitchFamily="65" charset="-120"/>
                        <a:ea typeface="標楷體" panose="03000509000000000000" pitchFamily="65" charset="-120"/>
                      </a:defRPr>
                    </a:pPr>
                    <a:r>
                      <a:rPr lang="zh-TW" altLang="en-US" b="0" baseline="0"/>
                      <a:t> </a:t>
                    </a:r>
                    <a:r>
                      <a:rPr lang="en-US" altLang="zh-TW" b="0" baseline="0"/>
                      <a:t>20.45</a:t>
                    </a:r>
                    <a:r>
                      <a:rPr lang="zh-TW" altLang="en-US" b="0" baseline="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1012100410525605"/>
                      <c:h val="0.2647203012666895"/>
                    </c:manualLayout>
                  </c15:layout>
                  <c15:dlblFieldTable/>
                  <c15:showDataLabelsRange val="0"/>
                </c:ext>
                <c:ext xmlns:c16="http://schemas.microsoft.com/office/drawing/2014/chart" uri="{C3380CC4-5D6E-409C-BE32-E72D297353CC}">
                  <c16:uniqueId val="{00000005-35DE-4E5B-8583-8615447846DA}"/>
                </c:ext>
              </c:extLst>
            </c:dLbl>
            <c:dLbl>
              <c:idx val="3"/>
              <c:layout>
                <c:manualLayout>
                  <c:x val="-0.14073951143762281"/>
                  <c:y val="4.0643843432614402E-2"/>
                </c:manualLayout>
              </c:layout>
              <c:tx>
                <c:rich>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baseline="0"/>
                      <a:t>分期繳納未徵案件 </a:t>
                    </a:r>
                    <a:r>
                      <a:rPr lang="en-US" altLang="zh-TW" b="0" baseline="0"/>
                      <a:t>10.96</a:t>
                    </a:r>
                    <a:r>
                      <a:rPr lang="zh-TW" altLang="en-US" b="0" baseline="0"/>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19956529196226711"/>
                      <c:h val="0.26868861448029302"/>
                    </c:manualLayout>
                  </c15:layout>
                  <c15:showDataLabelsRange val="0"/>
                </c:ext>
                <c:ext xmlns:c16="http://schemas.microsoft.com/office/drawing/2014/chart" uri="{C3380CC4-5D6E-409C-BE32-E72D297353CC}">
                  <c16:uniqueId val="{00000007-35DE-4E5B-8583-8615447846DA}"/>
                </c:ext>
              </c:extLst>
            </c:dLbl>
            <c:dLbl>
              <c:idx val="4"/>
              <c:layout>
                <c:manualLayout>
                  <c:x val="-3.9363034532116654E-2"/>
                  <c:y val="1.0321315253074516E-3"/>
                </c:manualLayout>
              </c:layout>
              <c:tx>
                <c:rich>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EEE092A1-B14F-4B72-967E-5BEE10BA157B}"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r>
                      <a:rPr lang="en-US" altLang="zh-TW" b="0" baseline="0"/>
                      <a:t>9.88</a:t>
                    </a:r>
                    <a:r>
                      <a:rPr lang="zh-TW" altLang="en-US" b="0" baseline="0"/>
                      <a:t>％</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35DE-4E5B-8583-8615447846DA}"/>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工作表1!$A$2:$A$6</c:f>
              <c:strCache>
                <c:ptCount val="5"/>
                <c:pt idx="0">
                  <c:v>取得執行憑證案件</c:v>
                </c:pt>
                <c:pt idx="1">
                  <c:v>移送執行未結案件</c:v>
                </c:pt>
                <c:pt idx="2">
                  <c:v>未逾限繳日案件</c:v>
                </c:pt>
                <c:pt idx="3">
                  <c:v>分期繳納未徵數</c:v>
                </c:pt>
                <c:pt idx="4">
                  <c:v>其他案件</c:v>
                </c:pt>
              </c:strCache>
            </c:strRef>
          </c:cat>
          <c:val>
            <c:numRef>
              <c:f>工作表1!$B$2:$B$6</c:f>
              <c:numCache>
                <c:formatCode>0.00%</c:formatCode>
                <c:ptCount val="5"/>
                <c:pt idx="0">
                  <c:v>0.37736682740050964</c:v>
                </c:pt>
                <c:pt idx="1">
                  <c:v>0.20972967739310081</c:v>
                </c:pt>
                <c:pt idx="2">
                  <c:v>0.20452907051146998</c:v>
                </c:pt>
                <c:pt idx="3">
                  <c:v>0.10957369039433566</c:v>
                </c:pt>
                <c:pt idx="4">
                  <c:v>9.8800734300583865E-2</c:v>
                </c:pt>
              </c:numCache>
            </c:numRef>
          </c:val>
          <c:extLst>
            <c:ext xmlns:c16="http://schemas.microsoft.com/office/drawing/2014/chart" uri="{C3380CC4-5D6E-409C-BE32-E72D297353CC}">
              <c16:uniqueId val="{0000000A-35DE-4E5B-8583-8615447846DA}"/>
            </c:ext>
          </c:extLst>
        </c:ser>
        <c:dLbls>
          <c:dLblPos val="outEnd"/>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l" eaLnBrk="0">
              <a:spcAft>
                <a:spcPts val="600"/>
              </a:spcAft>
              <a:defRPr sz="1200" b="1" i="0" u="none" strike="noStrike" kern="1200" spc="-1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sz="1200" b="1" spc="0" baseline="0">
                <a:solidFill>
                  <a:sysClr val="windowText" lastClr="000000"/>
                </a:solidFill>
                <a:latin typeface="標楷體" panose="03000509000000000000" pitchFamily="65" charset="-120"/>
                <a:ea typeface="標楷體" panose="03000509000000000000" pitchFamily="65" charset="-120"/>
              </a:rPr>
              <a:t>圖</a:t>
            </a:r>
            <a:r>
              <a:rPr lang="en-US" sz="1200" b="1" spc="0" baseline="0">
                <a:solidFill>
                  <a:sysClr val="windowText" lastClr="000000"/>
                </a:solidFill>
                <a:latin typeface="標楷體" panose="03000509000000000000" pitchFamily="65" charset="-120"/>
                <a:ea typeface="標楷體" panose="03000509000000000000" pitchFamily="65" charset="-120"/>
              </a:rPr>
              <a:t>1</a:t>
            </a:r>
            <a:r>
              <a:rPr lang="zh-TW" altLang="en-US" sz="1200" b="1" spc="0" baseline="0">
                <a:solidFill>
                  <a:sysClr val="windowText" lastClr="000000"/>
                </a:solidFill>
                <a:latin typeface="標楷體" panose="03000509000000000000" pitchFamily="65" charset="-120"/>
                <a:ea typeface="標楷體" panose="03000509000000000000" pitchFamily="65" charset="-120"/>
              </a:rPr>
              <a:t>　</a:t>
            </a:r>
            <a:r>
              <a:rPr lang="zh-TW" sz="1200" b="1" spc="0" baseline="0">
                <a:solidFill>
                  <a:sysClr val="windowText" lastClr="000000"/>
                </a:solidFill>
                <a:latin typeface="標楷體" panose="03000509000000000000" pitchFamily="65" charset="-120"/>
                <a:ea typeface="標楷體" panose="03000509000000000000" pitchFamily="65" charset="-120"/>
              </a:rPr>
              <a:t>臺北市立國中小代理教師兼任導師情形</a:t>
            </a:r>
          </a:p>
        </c:rich>
      </c:tx>
      <c:layout>
        <c:manualLayout>
          <c:xMode val="edge"/>
          <c:yMode val="edge"/>
          <c:x val="0.16188652259695896"/>
          <c:y val="9.7302086603042303E-3"/>
        </c:manualLayout>
      </c:layout>
      <c:overlay val="0"/>
      <c:spPr>
        <a:noFill/>
        <a:ln>
          <a:noFill/>
        </a:ln>
        <a:effectLst/>
      </c:spPr>
      <c:txPr>
        <a:bodyPr rot="0" spcFirstLastPara="1" vertOverflow="ellipsis" vert="horz" wrap="square" anchor="ctr" anchorCtr="1"/>
        <a:lstStyle/>
        <a:p>
          <a:pPr algn="l" eaLnBrk="0">
            <a:spcAft>
              <a:spcPts val="600"/>
            </a:spcAft>
            <a:defRPr sz="1200" b="1" i="0" u="none" strike="noStrike" kern="1200" spc="-1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8123482228272869"/>
          <c:y val="0.22819863802012025"/>
          <c:w val="0.78005120935225558"/>
          <c:h val="0.33342816880714338"/>
        </c:manualLayout>
      </c:layout>
      <c:barChart>
        <c:barDir val="col"/>
        <c:grouping val="clustered"/>
        <c:varyColors val="0"/>
        <c:ser>
          <c:idx val="0"/>
          <c:order val="0"/>
          <c:tx>
            <c:strRef>
              <c:f>工作表1!$B$1</c:f>
              <c:strCache>
                <c:ptCount val="1"/>
                <c:pt idx="0">
                  <c:v>111學年度</c:v>
                </c:pt>
              </c:strCache>
            </c:strRef>
          </c:tx>
          <c:spPr>
            <a:pattFill prst="wdDnDiag">
              <a:fgClr>
                <a:sysClr val="windowText" lastClr="000000"/>
              </a:fgClr>
              <a:bgClr>
                <a:schemeClr val="bg1"/>
              </a:bgClr>
            </a:pattFill>
            <a:ln>
              <a:noFill/>
            </a:ln>
            <a:effectLst/>
          </c:spPr>
          <c:invertIfNegative val="0"/>
          <c:dLbls>
            <c:delete val="1"/>
          </c:dLbls>
          <c:cat>
            <c:strRef>
              <c:f>工作表1!$A$2:$A$5</c:f>
              <c:strCache>
                <c:ptCount val="4"/>
                <c:pt idx="0">
                  <c:v>國小代理導師占比</c:v>
                </c:pt>
                <c:pt idx="1">
                  <c:v>國小代理導師占班級數比率</c:v>
                </c:pt>
                <c:pt idx="2">
                  <c:v>國中代理導師占比</c:v>
                </c:pt>
                <c:pt idx="3">
                  <c:v>國中代理導師占班級數比率</c:v>
                </c:pt>
              </c:strCache>
            </c:strRef>
          </c:cat>
          <c:val>
            <c:numRef>
              <c:f>工作表1!$B$2:$B$5</c:f>
              <c:numCache>
                <c:formatCode>0.00</c:formatCode>
                <c:ptCount val="4"/>
                <c:pt idx="0">
                  <c:v>45.580276608538782</c:v>
                </c:pt>
                <c:pt idx="1">
                  <c:v>13.94920868605079</c:v>
                </c:pt>
                <c:pt idx="2">
                  <c:v>7.7619663648124186</c:v>
                </c:pt>
                <c:pt idx="3">
                  <c:v>3.1628887717448602</c:v>
                </c:pt>
              </c:numCache>
            </c:numRef>
          </c:val>
          <c:extLst>
            <c:ext xmlns:c16="http://schemas.microsoft.com/office/drawing/2014/chart" uri="{C3380CC4-5D6E-409C-BE32-E72D297353CC}">
              <c16:uniqueId val="{00000000-CBCC-4043-BC9B-F7A3CF98F9AB}"/>
            </c:ext>
          </c:extLst>
        </c:ser>
        <c:ser>
          <c:idx val="1"/>
          <c:order val="1"/>
          <c:tx>
            <c:strRef>
              <c:f>工作表1!$C$1</c:f>
              <c:strCache>
                <c:ptCount val="1"/>
                <c:pt idx="0">
                  <c:v>112學年度</c:v>
                </c:pt>
              </c:strCache>
            </c:strRef>
          </c:tx>
          <c:spPr>
            <a:pattFill prst="pct40">
              <a:fgClr>
                <a:sysClr val="windowText" lastClr="000000"/>
              </a:fgClr>
              <a:bgClr>
                <a:schemeClr val="bg1"/>
              </a:bgClr>
            </a:pattFill>
            <a:ln>
              <a:noFill/>
            </a:ln>
            <a:effectLst/>
          </c:spPr>
          <c:invertIfNegative val="0"/>
          <c:dLbls>
            <c:delete val="1"/>
          </c:dLbls>
          <c:cat>
            <c:strRef>
              <c:f>工作表1!$A$2:$A$5</c:f>
              <c:strCache>
                <c:ptCount val="4"/>
                <c:pt idx="0">
                  <c:v>國小代理導師占比</c:v>
                </c:pt>
                <c:pt idx="1">
                  <c:v>國小代理導師占班級數比率</c:v>
                </c:pt>
                <c:pt idx="2">
                  <c:v>國中代理導師占比</c:v>
                </c:pt>
                <c:pt idx="3">
                  <c:v>國中代理導師占班級數比率</c:v>
                </c:pt>
              </c:strCache>
            </c:strRef>
          </c:cat>
          <c:val>
            <c:numRef>
              <c:f>工作表1!$C$2:$C$5</c:f>
              <c:numCache>
                <c:formatCode>0.00</c:formatCode>
                <c:ptCount val="4"/>
                <c:pt idx="0">
                  <c:v>48.056537102473499</c:v>
                </c:pt>
                <c:pt idx="1">
                  <c:v>14.96423986796259</c:v>
                </c:pt>
                <c:pt idx="2">
                  <c:v>8.7071240105540895</c:v>
                </c:pt>
                <c:pt idx="3">
                  <c:v>3.5087719298245612</c:v>
                </c:pt>
              </c:numCache>
            </c:numRef>
          </c:val>
          <c:extLst>
            <c:ext xmlns:c16="http://schemas.microsoft.com/office/drawing/2014/chart" uri="{C3380CC4-5D6E-409C-BE32-E72D297353CC}">
              <c16:uniqueId val="{00000001-CBCC-4043-BC9B-F7A3CF98F9AB}"/>
            </c:ext>
          </c:extLst>
        </c:ser>
        <c:ser>
          <c:idx val="2"/>
          <c:order val="2"/>
          <c:tx>
            <c:strRef>
              <c:f>工作表1!$D$1</c:f>
              <c:strCache>
                <c:ptCount val="1"/>
                <c:pt idx="0">
                  <c:v>113學年度</c:v>
                </c:pt>
              </c:strCache>
            </c:strRef>
          </c:tx>
          <c:spPr>
            <a:solidFill>
              <a:schemeClr val="accent3"/>
            </a:solidFill>
            <a:ln>
              <a:noFill/>
            </a:ln>
            <a:effectLst/>
          </c:spPr>
          <c:invertIfNegative val="0"/>
          <c:dLbls>
            <c:delete val="1"/>
          </c:dLbls>
          <c:cat>
            <c:strRef>
              <c:f>工作表1!$A$2:$A$5</c:f>
              <c:strCache>
                <c:ptCount val="4"/>
                <c:pt idx="0">
                  <c:v>國小代理導師占比</c:v>
                </c:pt>
                <c:pt idx="1">
                  <c:v>國小代理導師占班級數比率</c:v>
                </c:pt>
                <c:pt idx="2">
                  <c:v>國中代理導師占比</c:v>
                </c:pt>
                <c:pt idx="3">
                  <c:v>國中代理導師占班級數比率</c:v>
                </c:pt>
              </c:strCache>
            </c:strRef>
          </c:cat>
          <c:val>
            <c:numRef>
              <c:f>工作表1!$D$2:$D$5</c:f>
              <c:numCache>
                <c:formatCode>0.00</c:formatCode>
                <c:ptCount val="4"/>
                <c:pt idx="0">
                  <c:v>47.875713379835126</c:v>
                </c:pt>
                <c:pt idx="1">
                  <c:v>14.062208977463214</c:v>
                </c:pt>
                <c:pt idx="2">
                  <c:v>9.3601895734597154</c:v>
                </c:pt>
                <c:pt idx="3">
                  <c:v>4.1188738269030241</c:v>
                </c:pt>
              </c:numCache>
            </c:numRef>
          </c:val>
          <c:extLst>
            <c:ext xmlns:c16="http://schemas.microsoft.com/office/drawing/2014/chart" uri="{C3380CC4-5D6E-409C-BE32-E72D297353CC}">
              <c16:uniqueId val="{00000002-CBCC-4043-BC9B-F7A3CF98F9AB}"/>
            </c:ext>
          </c:extLst>
        </c:ser>
        <c:dLbls>
          <c:dLblPos val="outEnd"/>
          <c:showLegendKey val="0"/>
          <c:showVal val="1"/>
          <c:showCatName val="0"/>
          <c:showSerName val="0"/>
          <c:showPercent val="0"/>
          <c:showBubbleSize val="0"/>
        </c:dLbls>
        <c:gapWidth val="424"/>
        <c:overlap val="-13"/>
        <c:axId val="5106927"/>
        <c:axId val="161636991"/>
      </c:barChart>
      <c:catAx>
        <c:axId val="5106927"/>
        <c:scaling>
          <c:orientation val="minMax"/>
        </c:scaling>
        <c:delete val="0"/>
        <c:axPos val="b"/>
        <c:title>
          <c:tx>
            <c:rich>
              <a:bodyPr rot="0" spcFirstLastPara="1" vertOverflow="ellipsis" vert="horz" wrap="square" anchor="ctr" anchorCtr="1"/>
              <a:lstStyle/>
              <a:p>
                <a:pPr marL="0" marR="0" lvl="0" indent="0" algn="l" defTabSz="914400" rtl="0" eaLnBrk="1" fontAlgn="auto" latinLnBrk="0" hangingPunct="1">
                  <a:lnSpc>
                    <a:spcPct val="100000"/>
                  </a:lnSpc>
                  <a:spcBef>
                    <a:spcPts val="0"/>
                  </a:spcBef>
                  <a:spcAft>
                    <a:spcPts val="0"/>
                  </a:spcAft>
                  <a:buClrTx/>
                  <a:buSzTx/>
                  <a:buFontTx/>
                  <a:buNone/>
                  <a:tabLst/>
                  <a:defRPr sz="1000" b="0" i="0" u="none" strike="noStrike" kern="1200" spc="-100" baseline="0">
                    <a:solidFill>
                      <a:sysClr val="windowText" lastClr="000000">
                        <a:lumMod val="65000"/>
                        <a:lumOff val="35000"/>
                      </a:sysClr>
                    </a:solidFill>
                    <a:latin typeface="標楷體" panose="03000509000000000000" pitchFamily="65" charset="-120"/>
                    <a:ea typeface="標楷體" panose="03000509000000000000" pitchFamily="65" charset="-120"/>
                    <a:cs typeface="+mn-cs"/>
                  </a:defRPr>
                </a:pPr>
                <a:r>
                  <a:rPr lang="zh-TW" altLang="zh-TW" sz="900">
                    <a:solidFill>
                      <a:sysClr val="windowText" lastClr="000000"/>
                    </a:solidFill>
                    <a:effectLst/>
                  </a:rPr>
                  <a:t>資料來源：整理自教育局提供資料。</a:t>
                </a:r>
              </a:p>
            </c:rich>
          </c:tx>
          <c:layout>
            <c:manualLayout>
              <c:xMode val="edge"/>
              <c:yMode val="edge"/>
              <c:x val="2.7399053883374019E-2"/>
              <c:y val="0.89991518235793044"/>
            </c:manualLayout>
          </c:layout>
          <c:overlay val="0"/>
          <c:spPr>
            <a:noFill/>
            <a:ln>
              <a:noFill/>
            </a:ln>
            <a:effectLst/>
          </c:spPr>
          <c:txPr>
            <a:bodyPr rot="0" spcFirstLastPara="1" vertOverflow="ellipsis" vert="horz" wrap="square" anchor="ctr" anchorCtr="1"/>
            <a:lstStyle/>
            <a:p>
              <a:pPr marL="0" marR="0" lvl="0" indent="0" algn="l" defTabSz="914400" rtl="0" eaLnBrk="1" fontAlgn="auto" latinLnBrk="0" hangingPunct="1">
                <a:lnSpc>
                  <a:spcPct val="100000"/>
                </a:lnSpc>
                <a:spcBef>
                  <a:spcPts val="0"/>
                </a:spcBef>
                <a:spcAft>
                  <a:spcPts val="0"/>
                </a:spcAft>
                <a:buClrTx/>
                <a:buSzTx/>
                <a:buFontTx/>
                <a:buNone/>
                <a:tabLst/>
                <a:defRPr sz="1000" b="0" i="0" u="none" strike="noStrike" kern="1200" spc="-100" baseline="0">
                  <a:solidFill>
                    <a:sysClr val="windowText" lastClr="000000">
                      <a:lumMod val="65000"/>
                      <a:lumOff val="35000"/>
                    </a:sys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spc="-1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1636991"/>
        <c:crosses val="autoZero"/>
        <c:auto val="1"/>
        <c:lblAlgn val="ctr"/>
        <c:lblOffset val="100"/>
        <c:noMultiLvlLbl val="0"/>
      </c:catAx>
      <c:valAx>
        <c:axId val="161636991"/>
        <c:scaling>
          <c:orientation val="minMax"/>
          <c:max val="60"/>
          <c:min val="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vert="eaVert"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a:t>
                </a:r>
              </a:p>
            </c:rich>
          </c:tx>
          <c:layout>
            <c:manualLayout>
              <c:xMode val="edge"/>
              <c:yMode val="edge"/>
              <c:x val="0.13117065855170584"/>
              <c:y val="0.10596817891402252"/>
            </c:manualLayout>
          </c:layout>
          <c:overlay val="0"/>
          <c:spPr>
            <a:noFill/>
            <a:ln>
              <a:noFill/>
            </a:ln>
            <a:effectLst/>
          </c:spPr>
          <c:txPr>
            <a:bodyPr rot="0" spcFirstLastPara="1" vertOverflow="ellipsis" vert="eaVert"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0\)" sourceLinked="0"/>
        <c:majorTickMark val="none"/>
        <c:minorTickMark val="none"/>
        <c:tickLblPos val="nextTo"/>
        <c:spPr>
          <a:noFill/>
          <a:ln w="3175">
            <a:solidFill>
              <a:srgbClr val="E7E6E6"/>
            </a:solidFill>
          </a:ln>
          <a:effectLst/>
        </c:spPr>
        <c:txPr>
          <a:bodyPr rot="0" spcFirstLastPara="1" vertOverflow="ellipsis" wrap="square" anchor="b" anchorCtr="0"/>
          <a:lstStyle/>
          <a:p>
            <a:pPr algn="just">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106927"/>
        <c:crosses val="autoZero"/>
        <c:crossBetween val="between"/>
        <c:majorUnit val="20"/>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hangingPunct="0">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nchor="ctr" anchorCtr="0"/>
    <a:lstStyle/>
    <a:p>
      <a:pPr>
        <a:lnSpc>
          <a:spcPts val="600"/>
        </a:lnSpc>
        <a:spcBef>
          <a:spcPts val="0"/>
        </a:spcBef>
        <a:defRPr spc="-100" baseline="0">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134113974834892"/>
          <c:y val="2.5774491892719655E-2"/>
          <c:w val="0.80336515260433206"/>
          <c:h val="0.70419698216149029"/>
        </c:manualLayout>
      </c:layout>
      <c:barChart>
        <c:barDir val="bar"/>
        <c:grouping val="percentStacked"/>
        <c:varyColors val="0"/>
        <c:ser>
          <c:idx val="0"/>
          <c:order val="0"/>
          <c:tx>
            <c:strRef>
              <c:f>工作表1!$B$1</c:f>
              <c:strCache>
                <c:ptCount val="1"/>
                <c:pt idx="0">
                  <c:v>未滿45歲占率</c:v>
                </c:pt>
              </c:strCache>
            </c:strRef>
          </c:tx>
          <c:spPr>
            <a:solidFill>
              <a:srgbClr val="5B9BD5">
                <a:lumMod val="50000"/>
              </a:srgbClr>
            </a:solidFill>
            <a:ln>
              <a:noFill/>
            </a:ln>
            <a:effectLst/>
          </c:spPr>
          <c:invertIfNegative val="0"/>
          <c:dLbls>
            <c:dLbl>
              <c:idx val="0"/>
              <c:layout>
                <c:manualLayout>
                  <c:x val="0"/>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850-4680-800B-B6130CDFF0B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50" baseline="0">
                    <a:solidFill>
                      <a:schemeClr val="bg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113年8月底</c:v>
                </c:pt>
                <c:pt idx="1">
                  <c:v>112年底</c:v>
                </c:pt>
                <c:pt idx="2">
                  <c:v>111年底</c:v>
                </c:pt>
              </c:strCache>
            </c:strRef>
          </c:cat>
          <c:val>
            <c:numRef>
              <c:f>工作表1!$B$2:$B$4</c:f>
              <c:numCache>
                <c:formatCode>0.00_);[Red]\(0.00\)</c:formatCode>
                <c:ptCount val="3"/>
                <c:pt idx="0">
                  <c:v>7.6923076923076925</c:v>
                </c:pt>
                <c:pt idx="1">
                  <c:v>6.7961165048543686</c:v>
                </c:pt>
                <c:pt idx="2">
                  <c:v>6.666666666666667</c:v>
                </c:pt>
              </c:numCache>
            </c:numRef>
          </c:val>
          <c:extLst>
            <c:ext xmlns:c16="http://schemas.microsoft.com/office/drawing/2014/chart" uri="{C3380CC4-5D6E-409C-BE32-E72D297353CC}">
              <c16:uniqueId val="{00000001-B850-4680-800B-B6130CDFF0BE}"/>
            </c:ext>
          </c:extLst>
        </c:ser>
        <c:ser>
          <c:idx val="1"/>
          <c:order val="1"/>
          <c:tx>
            <c:strRef>
              <c:f>工作表1!$C$1</c:f>
              <c:strCache>
                <c:ptCount val="1"/>
                <c:pt idx="0">
                  <c:v>45歲-未滿55歲占率</c:v>
                </c:pt>
              </c:strCache>
            </c:strRef>
          </c:tx>
          <c:spPr>
            <a:pattFill prst="smGrid">
              <a:fgClr>
                <a:srgbClr val="5B9BD5"/>
              </a:fgClr>
              <a:bgClr>
                <a:sysClr val="window" lastClr="FFFFFF"/>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113年8月底</c:v>
                </c:pt>
                <c:pt idx="1">
                  <c:v>112年底</c:v>
                </c:pt>
                <c:pt idx="2">
                  <c:v>111年底</c:v>
                </c:pt>
              </c:strCache>
            </c:strRef>
          </c:cat>
          <c:val>
            <c:numRef>
              <c:f>工作表1!$C$2:$C$4</c:f>
              <c:numCache>
                <c:formatCode>0.00_);[Red]\(0.00\)</c:formatCode>
                <c:ptCount val="3"/>
                <c:pt idx="0">
                  <c:v>19.230769230769234</c:v>
                </c:pt>
                <c:pt idx="1">
                  <c:v>22.330097087378643</c:v>
                </c:pt>
                <c:pt idx="2">
                  <c:v>25.833333333333336</c:v>
                </c:pt>
              </c:numCache>
            </c:numRef>
          </c:val>
          <c:extLst>
            <c:ext xmlns:c16="http://schemas.microsoft.com/office/drawing/2014/chart" uri="{C3380CC4-5D6E-409C-BE32-E72D297353CC}">
              <c16:uniqueId val="{00000002-B850-4680-800B-B6130CDFF0BE}"/>
            </c:ext>
          </c:extLst>
        </c:ser>
        <c:ser>
          <c:idx val="2"/>
          <c:order val="2"/>
          <c:tx>
            <c:strRef>
              <c:f>工作表1!$D$1</c:f>
              <c:strCache>
                <c:ptCount val="1"/>
                <c:pt idx="0">
                  <c:v>55歲-未滿65歲占率</c:v>
                </c:pt>
              </c:strCache>
            </c:strRef>
          </c:tx>
          <c:spPr>
            <a:pattFill prst="pct75">
              <a:fgClr>
                <a:srgbClr val="5B9BD5"/>
              </a:fgClr>
              <a:bgClr>
                <a:sysClr val="window" lastClr="FFFFFF"/>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113年8月底</c:v>
                </c:pt>
                <c:pt idx="1">
                  <c:v>112年底</c:v>
                </c:pt>
                <c:pt idx="2">
                  <c:v>111年底</c:v>
                </c:pt>
              </c:strCache>
            </c:strRef>
          </c:cat>
          <c:val>
            <c:numRef>
              <c:f>工作表1!$D$2:$D$4</c:f>
              <c:numCache>
                <c:formatCode>0.00_);[Red]\(0.00\)</c:formatCode>
                <c:ptCount val="3"/>
                <c:pt idx="0">
                  <c:v>56.410256410256409</c:v>
                </c:pt>
                <c:pt idx="1">
                  <c:v>57.28155339805825</c:v>
                </c:pt>
                <c:pt idx="2">
                  <c:v>53.333333333333336</c:v>
                </c:pt>
              </c:numCache>
            </c:numRef>
          </c:val>
          <c:extLst>
            <c:ext xmlns:c16="http://schemas.microsoft.com/office/drawing/2014/chart" uri="{C3380CC4-5D6E-409C-BE32-E72D297353CC}">
              <c16:uniqueId val="{00000003-B850-4680-800B-B6130CDFF0BE}"/>
            </c:ext>
          </c:extLst>
        </c:ser>
        <c:ser>
          <c:idx val="3"/>
          <c:order val="3"/>
          <c:tx>
            <c:strRef>
              <c:f>工作表1!$E$1</c:f>
              <c:strCache>
                <c:ptCount val="1"/>
                <c:pt idx="0">
                  <c:v>65歲-70歲以上占率</c:v>
                </c:pt>
              </c:strCache>
            </c:strRef>
          </c:tx>
          <c:spPr>
            <a:pattFill prst="dashHorz">
              <a:fgClr>
                <a:srgbClr val="5B9BD5"/>
              </a:fgClr>
              <a:bgClr>
                <a:sysClr val="window" lastClr="FFFFFF"/>
              </a:bgClr>
            </a:patt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113年8月底</c:v>
                </c:pt>
                <c:pt idx="1">
                  <c:v>112年底</c:v>
                </c:pt>
                <c:pt idx="2">
                  <c:v>111年底</c:v>
                </c:pt>
              </c:strCache>
            </c:strRef>
          </c:cat>
          <c:val>
            <c:numRef>
              <c:f>工作表1!$E$2:$E$4</c:f>
              <c:numCache>
                <c:formatCode>0.00_ </c:formatCode>
                <c:ptCount val="3"/>
                <c:pt idx="0">
                  <c:v>16.6666666666667</c:v>
                </c:pt>
                <c:pt idx="1">
                  <c:v>13.592233009708737</c:v>
                </c:pt>
                <c:pt idx="2">
                  <c:v>14.166666666666666</c:v>
                </c:pt>
              </c:numCache>
            </c:numRef>
          </c:val>
          <c:extLst>
            <c:ext xmlns:c16="http://schemas.microsoft.com/office/drawing/2014/chart" uri="{C3380CC4-5D6E-409C-BE32-E72D297353CC}">
              <c16:uniqueId val="{00000004-B850-4680-800B-B6130CDFF0BE}"/>
            </c:ext>
          </c:extLst>
        </c:ser>
        <c:dLbls>
          <c:dLblPos val="ctr"/>
          <c:showLegendKey val="0"/>
          <c:showVal val="1"/>
          <c:showCatName val="0"/>
          <c:showSerName val="0"/>
          <c:showPercent val="0"/>
          <c:showBubbleSize val="0"/>
        </c:dLbls>
        <c:gapWidth val="182"/>
        <c:overlap val="100"/>
        <c:axId val="1874495712"/>
        <c:axId val="1881475760"/>
      </c:barChart>
      <c:catAx>
        <c:axId val="1874495712"/>
        <c:scaling>
          <c:orientation val="minMax"/>
        </c:scaling>
        <c:delete val="0"/>
        <c:axPos val="l"/>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spc="-1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81475760"/>
        <c:crosses val="autoZero"/>
        <c:auto val="1"/>
        <c:lblAlgn val="ctr"/>
        <c:lblOffset val="100"/>
        <c:noMultiLvlLbl val="0"/>
      </c:catAx>
      <c:valAx>
        <c:axId val="188147576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74495712"/>
        <c:crosses val="autoZero"/>
        <c:crossBetween val="between"/>
      </c:valAx>
      <c:spPr>
        <a:noFill/>
        <a:ln>
          <a:solidFill>
            <a:schemeClr val="bg1"/>
          </a:solidFill>
        </a:ln>
        <a:effectLst/>
      </c:spPr>
    </c:plotArea>
    <c:legend>
      <c:legendPos val="b"/>
      <c:layout>
        <c:manualLayout>
          <c:xMode val="edge"/>
          <c:yMode val="edge"/>
          <c:x val="3.9489468915535696E-2"/>
          <c:y val="0.85272669331173401"/>
          <c:w val="0.9249169435215947"/>
          <c:h val="0.14253374578177727"/>
        </c:manualLayout>
      </c:layout>
      <c:overlay val="0"/>
      <c:spPr>
        <a:noFill/>
        <a:ln>
          <a:noFill/>
        </a:ln>
        <a:effectLst/>
      </c:spPr>
      <c:txPr>
        <a:bodyPr rot="0" spcFirstLastPara="1" vertOverflow="ellipsis" vert="horz" wrap="square" anchor="ctr" anchorCtr="1"/>
        <a:lstStyle/>
        <a:p>
          <a:pPr>
            <a:defRPr sz="1000" b="0" i="0" u="none" strike="noStrike" kern="1200" spc="-9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754538319366019"/>
          <c:y val="0.15174021216097988"/>
          <c:w val="0.56718679336147859"/>
          <c:h val="0.39299905220180809"/>
        </c:manualLayout>
      </c:layout>
      <c:barChart>
        <c:barDir val="col"/>
        <c:grouping val="clustered"/>
        <c:varyColors val="0"/>
        <c:ser>
          <c:idx val="1"/>
          <c:order val="1"/>
          <c:tx>
            <c:strRef>
              <c:f>工作表1!$A$3</c:f>
              <c:strCache>
                <c:ptCount val="1"/>
                <c:pt idx="0">
                  <c:v>家庭托顧資源布建</c:v>
                </c:pt>
              </c:strCache>
            </c:strRef>
          </c:tx>
          <c:spPr>
            <a:solidFill>
              <a:schemeClr val="accent3"/>
            </a:solidFill>
            <a:ln>
              <a:noFill/>
            </a:ln>
            <a:effectLst/>
          </c:spPr>
          <c:invertIfNegative val="0"/>
          <c:cat>
            <c:strRef>
              <c:f>工作表1!$B$1:$D$1</c:f>
              <c:strCache>
                <c:ptCount val="3"/>
                <c:pt idx="0">
                  <c:v>111年底</c:v>
                </c:pt>
                <c:pt idx="1">
                  <c:v>112年底</c:v>
                </c:pt>
                <c:pt idx="2">
                  <c:v>113年8月底</c:v>
                </c:pt>
              </c:strCache>
            </c:strRef>
          </c:cat>
          <c:val>
            <c:numRef>
              <c:f>工作表1!$B$3:$D$3</c:f>
              <c:numCache>
                <c:formatCode>General</c:formatCode>
                <c:ptCount val="3"/>
                <c:pt idx="0">
                  <c:v>6</c:v>
                </c:pt>
                <c:pt idx="1">
                  <c:v>7</c:v>
                </c:pt>
                <c:pt idx="2">
                  <c:v>7</c:v>
                </c:pt>
              </c:numCache>
            </c:numRef>
          </c:val>
          <c:extLst>
            <c:ext xmlns:c16="http://schemas.microsoft.com/office/drawing/2014/chart" uri="{C3380CC4-5D6E-409C-BE32-E72D297353CC}">
              <c16:uniqueId val="{00000000-34A6-4239-9531-1DC8A621B51D}"/>
            </c:ext>
          </c:extLst>
        </c:ser>
        <c:ser>
          <c:idx val="3"/>
          <c:order val="3"/>
          <c:tx>
            <c:strRef>
              <c:f>工作表1!$A$5</c:f>
              <c:strCache>
                <c:ptCount val="1"/>
                <c:pt idx="0">
                  <c:v>團體家屋資源布建</c:v>
                </c:pt>
              </c:strCache>
            </c:strRef>
          </c:tx>
          <c:spPr>
            <a:pattFill prst="dkVert">
              <a:fgClr>
                <a:schemeClr val="tx2">
                  <a:lumMod val="40000"/>
                  <a:lumOff val="60000"/>
                </a:schemeClr>
              </a:fgClr>
              <a:bgClr>
                <a:schemeClr val="bg1"/>
              </a:bgClr>
            </a:pattFill>
            <a:ln>
              <a:noFill/>
            </a:ln>
            <a:effectLst/>
          </c:spPr>
          <c:invertIfNegative val="0"/>
          <c:cat>
            <c:strRef>
              <c:f>工作表1!$B$1:$D$1</c:f>
              <c:strCache>
                <c:ptCount val="3"/>
                <c:pt idx="0">
                  <c:v>111年底</c:v>
                </c:pt>
                <c:pt idx="1">
                  <c:v>112年底</c:v>
                </c:pt>
                <c:pt idx="2">
                  <c:v>113年8月底</c:v>
                </c:pt>
              </c:strCache>
            </c:strRef>
          </c:cat>
          <c:val>
            <c:numRef>
              <c:f>工作表1!$B$5:$D$5</c:f>
              <c:numCache>
                <c:formatCode>General</c:formatCode>
                <c:ptCount val="3"/>
                <c:pt idx="0">
                  <c:v>2</c:v>
                </c:pt>
                <c:pt idx="1">
                  <c:v>1</c:v>
                </c:pt>
                <c:pt idx="2">
                  <c:v>1</c:v>
                </c:pt>
              </c:numCache>
            </c:numRef>
          </c:val>
          <c:extLst>
            <c:ext xmlns:c16="http://schemas.microsoft.com/office/drawing/2014/chart" uri="{C3380CC4-5D6E-409C-BE32-E72D297353CC}">
              <c16:uniqueId val="{00000001-34A6-4239-9531-1DC8A621B51D}"/>
            </c:ext>
          </c:extLst>
        </c:ser>
        <c:dLbls>
          <c:showLegendKey val="0"/>
          <c:showVal val="0"/>
          <c:showCatName val="0"/>
          <c:showSerName val="0"/>
          <c:showPercent val="0"/>
          <c:showBubbleSize val="0"/>
        </c:dLbls>
        <c:gapWidth val="219"/>
        <c:axId val="2040710559"/>
        <c:axId val="2027797039"/>
      </c:barChart>
      <c:lineChart>
        <c:grouping val="standard"/>
        <c:varyColors val="0"/>
        <c:ser>
          <c:idx val="0"/>
          <c:order val="0"/>
          <c:tx>
            <c:strRef>
              <c:f>工作表1!$A$2</c:f>
              <c:strCache>
                <c:ptCount val="1"/>
                <c:pt idx="0">
                  <c:v>家庭托顧服務人數</c:v>
                </c:pt>
              </c:strCache>
            </c:strRef>
          </c:tx>
          <c:spPr>
            <a:ln w="28575" cap="rnd">
              <a:solidFill>
                <a:schemeClr val="accent1"/>
              </a:solidFill>
              <a:round/>
            </a:ln>
            <a:effectLst/>
          </c:spPr>
          <c:marker>
            <c:symbol val="circle"/>
            <c:size val="5"/>
            <c:spPr>
              <a:solidFill>
                <a:schemeClr val="tx1"/>
              </a:solidFill>
              <a:ln w="9525">
                <a:solidFill>
                  <a:schemeClr val="tx1"/>
                </a:solidFill>
              </a:ln>
              <a:effectLst/>
            </c:spPr>
          </c:marker>
          <c:dPt>
            <c:idx val="1"/>
            <c:marker>
              <c:symbol val="circle"/>
              <c:size val="5"/>
              <c:spPr>
                <a:solidFill>
                  <a:schemeClr val="tx1"/>
                </a:solidFill>
                <a:ln w="9525">
                  <a:solidFill>
                    <a:schemeClr val="tx1"/>
                  </a:solidFill>
                </a:ln>
                <a:effectLst/>
              </c:spPr>
            </c:marker>
            <c:bubble3D val="0"/>
            <c:spPr>
              <a:ln w="28575" cap="rnd">
                <a:solidFill>
                  <a:schemeClr val="tx1"/>
                </a:solidFill>
                <a:round/>
              </a:ln>
              <a:effectLst/>
            </c:spPr>
            <c:extLst>
              <c:ext xmlns:c16="http://schemas.microsoft.com/office/drawing/2014/chart" uri="{C3380CC4-5D6E-409C-BE32-E72D297353CC}">
                <c16:uniqueId val="{00000003-34A6-4239-9531-1DC8A621B51D}"/>
              </c:ext>
            </c:extLst>
          </c:dPt>
          <c:dPt>
            <c:idx val="2"/>
            <c:marker>
              <c:symbol val="circle"/>
              <c:size val="5"/>
              <c:spPr>
                <a:solidFill>
                  <a:schemeClr val="tx1"/>
                </a:solidFill>
                <a:ln w="9525">
                  <a:solidFill>
                    <a:schemeClr val="tx1"/>
                  </a:solidFill>
                </a:ln>
                <a:effectLst/>
              </c:spPr>
            </c:marker>
            <c:bubble3D val="0"/>
            <c:spPr>
              <a:ln w="28575" cap="rnd">
                <a:solidFill>
                  <a:schemeClr val="tx1"/>
                </a:solidFill>
                <a:round/>
              </a:ln>
              <a:effectLst/>
            </c:spPr>
            <c:extLst>
              <c:ext xmlns:c16="http://schemas.microsoft.com/office/drawing/2014/chart" uri="{C3380CC4-5D6E-409C-BE32-E72D297353CC}">
                <c16:uniqueId val="{00000005-34A6-4239-9531-1DC8A621B51D}"/>
              </c:ext>
            </c:extLst>
          </c:dPt>
          <c:cat>
            <c:strRef>
              <c:f>工作表1!$B$1:$D$1</c:f>
              <c:strCache>
                <c:ptCount val="3"/>
                <c:pt idx="0">
                  <c:v>111年底</c:v>
                </c:pt>
                <c:pt idx="1">
                  <c:v>112年底</c:v>
                </c:pt>
                <c:pt idx="2">
                  <c:v>113年8月底</c:v>
                </c:pt>
              </c:strCache>
            </c:strRef>
          </c:cat>
          <c:val>
            <c:numRef>
              <c:f>工作表1!$B$2:$D$2</c:f>
              <c:numCache>
                <c:formatCode>General</c:formatCode>
                <c:ptCount val="3"/>
                <c:pt idx="0">
                  <c:v>29</c:v>
                </c:pt>
                <c:pt idx="1">
                  <c:v>25</c:v>
                </c:pt>
                <c:pt idx="2">
                  <c:v>23</c:v>
                </c:pt>
              </c:numCache>
            </c:numRef>
          </c:val>
          <c:smooth val="0"/>
          <c:extLst>
            <c:ext xmlns:c16="http://schemas.microsoft.com/office/drawing/2014/chart" uri="{C3380CC4-5D6E-409C-BE32-E72D297353CC}">
              <c16:uniqueId val="{00000006-34A6-4239-9531-1DC8A621B51D}"/>
            </c:ext>
          </c:extLst>
        </c:ser>
        <c:ser>
          <c:idx val="2"/>
          <c:order val="2"/>
          <c:tx>
            <c:strRef>
              <c:f>工作表1!$A$4</c:f>
              <c:strCache>
                <c:ptCount val="1"/>
                <c:pt idx="0">
                  <c:v>團體家屋服務人數</c:v>
                </c:pt>
              </c:strCache>
            </c:strRef>
          </c:tx>
          <c:spPr>
            <a:ln w="28575" cap="rnd">
              <a:solidFill>
                <a:schemeClr val="tx1"/>
              </a:solidFill>
              <a:round/>
            </a:ln>
            <a:effectLst/>
          </c:spPr>
          <c:marker>
            <c:symbol val="triangle"/>
            <c:size val="5"/>
            <c:spPr>
              <a:solidFill>
                <a:schemeClr val="tx1"/>
              </a:solidFill>
              <a:ln w="9525">
                <a:solidFill>
                  <a:schemeClr val="tx1"/>
                </a:solidFill>
              </a:ln>
              <a:effectLst/>
            </c:spPr>
          </c:marker>
          <c:dPt>
            <c:idx val="0"/>
            <c:marker>
              <c:symbol val="triangle"/>
              <c:size val="5"/>
              <c:spPr>
                <a:solidFill>
                  <a:schemeClr val="tx1"/>
                </a:solidFill>
                <a:ln w="9525">
                  <a:solidFill>
                    <a:schemeClr val="tx1"/>
                  </a:solidFill>
                </a:ln>
                <a:effectLst/>
              </c:spPr>
            </c:marker>
            <c:bubble3D val="0"/>
            <c:extLst>
              <c:ext xmlns:c16="http://schemas.microsoft.com/office/drawing/2014/chart" uri="{C3380CC4-5D6E-409C-BE32-E72D297353CC}">
                <c16:uniqueId val="{00000007-34A6-4239-9531-1DC8A621B51D}"/>
              </c:ext>
            </c:extLst>
          </c:dPt>
          <c:dPt>
            <c:idx val="1"/>
            <c:marker>
              <c:symbol val="triangle"/>
              <c:size val="5"/>
              <c:spPr>
                <a:solidFill>
                  <a:schemeClr val="tx1"/>
                </a:solidFill>
                <a:ln w="9525">
                  <a:solidFill>
                    <a:schemeClr val="tx1"/>
                  </a:solidFill>
                </a:ln>
                <a:effectLst/>
              </c:spPr>
            </c:marker>
            <c:bubble3D val="0"/>
            <c:extLst>
              <c:ext xmlns:c16="http://schemas.microsoft.com/office/drawing/2014/chart" uri="{C3380CC4-5D6E-409C-BE32-E72D297353CC}">
                <c16:uniqueId val="{00000008-34A6-4239-9531-1DC8A621B51D}"/>
              </c:ext>
            </c:extLst>
          </c:dPt>
          <c:dPt>
            <c:idx val="2"/>
            <c:marker>
              <c:symbol val="triangle"/>
              <c:size val="5"/>
              <c:spPr>
                <a:solidFill>
                  <a:schemeClr val="tx1"/>
                </a:solidFill>
                <a:ln w="9525">
                  <a:solidFill>
                    <a:schemeClr val="tx1"/>
                  </a:solidFill>
                </a:ln>
                <a:effectLst/>
              </c:spPr>
            </c:marker>
            <c:bubble3D val="0"/>
            <c:extLst>
              <c:ext xmlns:c16="http://schemas.microsoft.com/office/drawing/2014/chart" uri="{C3380CC4-5D6E-409C-BE32-E72D297353CC}">
                <c16:uniqueId val="{00000009-34A6-4239-9531-1DC8A621B51D}"/>
              </c:ext>
            </c:extLst>
          </c:dPt>
          <c:cat>
            <c:strRef>
              <c:f>工作表1!$B$1:$D$1</c:f>
              <c:strCache>
                <c:ptCount val="3"/>
                <c:pt idx="0">
                  <c:v>111年底</c:v>
                </c:pt>
                <c:pt idx="1">
                  <c:v>112年底</c:v>
                </c:pt>
                <c:pt idx="2">
                  <c:v>113年8月底</c:v>
                </c:pt>
              </c:strCache>
            </c:strRef>
          </c:cat>
          <c:val>
            <c:numRef>
              <c:f>工作表1!$B$4:$D$4</c:f>
              <c:numCache>
                <c:formatCode>General</c:formatCode>
                <c:ptCount val="3"/>
                <c:pt idx="0">
                  <c:v>32</c:v>
                </c:pt>
                <c:pt idx="1">
                  <c:v>9</c:v>
                </c:pt>
                <c:pt idx="2">
                  <c:v>9</c:v>
                </c:pt>
              </c:numCache>
            </c:numRef>
          </c:val>
          <c:smooth val="0"/>
          <c:extLst>
            <c:ext xmlns:c16="http://schemas.microsoft.com/office/drawing/2014/chart" uri="{C3380CC4-5D6E-409C-BE32-E72D297353CC}">
              <c16:uniqueId val="{0000000A-34A6-4239-9531-1DC8A621B51D}"/>
            </c:ext>
          </c:extLst>
        </c:ser>
        <c:dLbls>
          <c:showLegendKey val="0"/>
          <c:showVal val="0"/>
          <c:showCatName val="0"/>
          <c:showSerName val="0"/>
          <c:showPercent val="0"/>
          <c:showBubbleSize val="0"/>
        </c:dLbls>
        <c:marker val="1"/>
        <c:smooth val="0"/>
        <c:axId val="2018302927"/>
        <c:axId val="2027755855"/>
      </c:lineChart>
      <c:catAx>
        <c:axId val="20183029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標楷體" panose="03000509000000000000" pitchFamily="65" charset="-120"/>
                <a:cs typeface="+mn-cs"/>
              </a:defRPr>
            </a:pPr>
            <a:endParaRPr lang="zh-TW"/>
          </a:p>
        </c:txPr>
        <c:crossAx val="2027755855"/>
        <c:crosses val="autoZero"/>
        <c:auto val="1"/>
        <c:lblAlgn val="ctr"/>
        <c:lblOffset val="100"/>
        <c:noMultiLvlLbl val="0"/>
      </c:catAx>
      <c:valAx>
        <c:axId val="2027755855"/>
        <c:scaling>
          <c:orientation val="minMax"/>
        </c:scaling>
        <c:delete val="0"/>
        <c:axPos val="l"/>
        <c:majorGridlines>
          <c:spPr>
            <a:ln w="6350" cap="flat" cmpd="sng" algn="ctr">
              <a:solidFill>
                <a:schemeClr val="tx1">
                  <a:lumMod val="15000"/>
                  <a:lumOff val="85000"/>
                </a:schemeClr>
              </a:solidFill>
              <a:round/>
            </a:ln>
            <a:effectLst/>
          </c:spPr>
        </c:majorGridlines>
        <c:title>
          <c:tx>
            <c:rich>
              <a:bodyPr rot="0" spcFirstLastPara="1" vertOverflow="ellipsis" wrap="square" anchor="ctr" anchorCtr="0"/>
              <a:lstStyle/>
              <a:p>
                <a:pPr>
                  <a:defRPr sz="1000" b="0" i="0" u="none" strike="noStrike" kern="1200" baseline="0">
                    <a:solidFill>
                      <a:schemeClr val="tx1">
                        <a:lumMod val="65000"/>
                        <a:lumOff val="35000"/>
                      </a:schemeClr>
                    </a:solidFill>
                    <a:latin typeface="+mn-lt"/>
                    <a:ea typeface="標楷體" panose="03000509000000000000" pitchFamily="65" charset="-120"/>
                    <a:cs typeface="+mn-cs"/>
                  </a:defRPr>
                </a:pPr>
                <a:r>
                  <a:rPr lang="zh-TW" altLang="en-US">
                    <a:solidFill>
                      <a:schemeClr val="tx1"/>
                    </a:solidFill>
                  </a:rPr>
                  <a:t>人</a:t>
                </a:r>
              </a:p>
            </c:rich>
          </c:tx>
          <c:layout>
            <c:manualLayout>
              <c:xMode val="edge"/>
              <c:yMode val="edge"/>
              <c:x val="0.30776107581398648"/>
              <c:y val="2.8765687565504829E-2"/>
            </c:manualLayout>
          </c:layout>
          <c:overlay val="0"/>
          <c:spPr>
            <a:noFill/>
            <a:ln>
              <a:noFill/>
            </a:ln>
            <a:effectLst/>
          </c:spPr>
          <c:txPr>
            <a:bodyPr rot="0" spcFirstLastPara="1" vertOverflow="ellipsis" wrap="square" anchor="ctr" anchorCtr="0"/>
            <a:lstStyle/>
            <a:p>
              <a:pPr>
                <a:defRPr sz="1000" b="0" i="0" u="none" strike="noStrike" kern="1200" baseline="0">
                  <a:solidFill>
                    <a:schemeClr val="tx1">
                      <a:lumMod val="65000"/>
                      <a:lumOff val="35000"/>
                    </a:schemeClr>
                  </a:solidFill>
                  <a:latin typeface="+mn-lt"/>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18302927"/>
        <c:crosses val="autoZero"/>
        <c:crossBetween val="between"/>
        <c:majorUnit val="10"/>
      </c:valAx>
      <c:valAx>
        <c:axId val="2027797039"/>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40710559"/>
        <c:crosses val="max"/>
        <c:crossBetween val="between"/>
        <c:majorUnit val="2"/>
      </c:valAx>
      <c:catAx>
        <c:axId val="2040710559"/>
        <c:scaling>
          <c:orientation val="minMax"/>
        </c:scaling>
        <c:delete val="1"/>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標楷體" panose="03000509000000000000" pitchFamily="65" charset="-120"/>
                    <a:cs typeface="+mn-cs"/>
                  </a:defRPr>
                </a:pPr>
                <a:r>
                  <a:rPr lang="zh-TW" altLang="en-US" baseline="0">
                    <a:solidFill>
                      <a:sysClr val="windowText" lastClr="000000"/>
                    </a:solidFill>
                  </a:rPr>
                  <a:t>家</a:t>
                </a:r>
              </a:p>
            </c:rich>
          </c:tx>
          <c:layout>
            <c:manualLayout>
              <c:xMode val="edge"/>
              <c:yMode val="edge"/>
              <c:x val="0.93920971381216267"/>
              <c:y val="3.293515358361774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標楷體" panose="03000509000000000000" pitchFamily="65" charset="-120"/>
                  <a:cs typeface="+mn-cs"/>
                </a:defRPr>
              </a:pPr>
              <a:endParaRPr lang="zh-TW"/>
            </a:p>
          </c:txPr>
        </c:title>
        <c:numFmt formatCode="General" sourceLinked="1"/>
        <c:majorTickMark val="none"/>
        <c:minorTickMark val="none"/>
        <c:tickLblPos val="nextTo"/>
        <c:crossAx val="2027797039"/>
        <c:crosses val="autoZero"/>
        <c:auto val="1"/>
        <c:lblAlgn val="ctr"/>
        <c:lblOffset val="100"/>
        <c:noMultiLvlLbl val="0"/>
      </c:catAx>
      <c:dTable>
        <c:showHorzBorder val="1"/>
        <c:showVertBorder val="1"/>
        <c:showOutline val="1"/>
        <c:showKeys val="1"/>
        <c:spPr>
          <a:noFill/>
          <a:ln w="317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w="6350">
          <a:solidFill>
            <a:schemeClr val="tx1"/>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baseline="0">
          <a:ea typeface="標楷體" panose="03000509000000000000" pitchFamily="65" charset="-120"/>
        </a:defRPr>
      </a:pPr>
      <a:endParaRPr lang="zh-TW"/>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6685606925480616E-2"/>
          <c:y val="0.22687266887691673"/>
          <c:w val="0.85679090113735779"/>
          <c:h val="0.63973934292696188"/>
        </c:manualLayout>
      </c:layout>
      <c:lineChart>
        <c:grouping val="standard"/>
        <c:varyColors val="0"/>
        <c:ser>
          <c:idx val="0"/>
          <c:order val="0"/>
          <c:tx>
            <c:strRef>
              <c:f>工作表1!$B$1</c:f>
              <c:strCache>
                <c:ptCount val="1"/>
                <c:pt idx="0">
                  <c:v>15至24歲</c:v>
                </c:pt>
              </c:strCache>
            </c:strRef>
          </c:tx>
          <c:spPr>
            <a:ln w="12670">
              <a:solidFill>
                <a:srgbClr val="FF0000"/>
              </a:solidFill>
              <a:prstDash val="solid"/>
            </a:ln>
          </c:spPr>
          <c:marker>
            <c:symbol val="triangle"/>
            <c:size val="5"/>
            <c:spPr>
              <a:solidFill>
                <a:srgbClr val="F79646"/>
              </a:solidFill>
              <a:ln>
                <a:solidFill>
                  <a:srgbClr val="FF0000"/>
                </a:solidFill>
                <a:prstDash val="solid"/>
              </a:ln>
            </c:spPr>
          </c:marker>
          <c:dLbls>
            <c:dLbl>
              <c:idx val="0"/>
              <c:numFmt formatCode="#,##0.0_);[Red]\(#,##0.0\)" sourceLinked="0"/>
              <c:spPr>
                <a:noFill/>
                <a:ln w="25341">
                  <a:noFill/>
                </a:ln>
              </c:spPr>
              <c:txPr>
                <a:bodyPr rot="0" spcFirstLastPara="1" vertOverflow="ellipsis" vert="horz" wrap="square" lIns="38100" tIns="19050" rIns="38100" bIns="19050" anchor="ctr" anchorCtr="1">
                  <a:sp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extLst>
                <c:ext xmlns:c16="http://schemas.microsoft.com/office/drawing/2014/chart" uri="{C3380CC4-5D6E-409C-BE32-E72D297353CC}">
                  <c16:uniqueId val="{00000000-E21C-4DF0-B6FB-28C4ECC93C57}"/>
                </c:ext>
              </c:extLst>
            </c:dLbl>
            <c:numFmt formatCode="@" sourceLinked="0"/>
            <c:spPr>
              <a:noFill/>
              <a:ln w="25341">
                <a:noFill/>
              </a:ln>
            </c:spPr>
            <c:txPr>
              <a:bodyPr rot="0" spcFirstLastPara="1" vertOverflow="ellipsis" vert="horz" wrap="square" lIns="38100" tIns="19050" rIns="38100" bIns="19050" anchor="ctr" anchorCtr="1">
                <a:spAutoFit/>
              </a:bodyPr>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111</c:v>
                </c:pt>
                <c:pt idx="1">
                  <c:v>112</c:v>
                </c:pt>
                <c:pt idx="2">
                  <c:v>113</c:v>
                </c:pt>
              </c:numCache>
            </c:numRef>
          </c:cat>
          <c:val>
            <c:numRef>
              <c:f>工作表1!$B$2:$B$4</c:f>
              <c:numCache>
                <c:formatCode>0.0_ </c:formatCode>
                <c:ptCount val="3"/>
                <c:pt idx="0">
                  <c:v>14</c:v>
                </c:pt>
                <c:pt idx="1">
                  <c:v>14.8</c:v>
                </c:pt>
                <c:pt idx="2">
                  <c:v>14.6</c:v>
                </c:pt>
              </c:numCache>
            </c:numRef>
          </c:val>
          <c:smooth val="0"/>
          <c:extLst>
            <c:ext xmlns:c16="http://schemas.microsoft.com/office/drawing/2014/chart" uri="{C3380CC4-5D6E-409C-BE32-E72D297353CC}">
              <c16:uniqueId val="{00000001-E21C-4DF0-B6FB-28C4ECC93C57}"/>
            </c:ext>
          </c:extLst>
        </c:ser>
        <c:ser>
          <c:idx val="2"/>
          <c:order val="1"/>
          <c:tx>
            <c:strRef>
              <c:f>工作表1!$C$1</c:f>
              <c:strCache>
                <c:ptCount val="1"/>
                <c:pt idx="0">
                  <c:v>25至29歲</c:v>
                </c:pt>
              </c:strCache>
            </c:strRef>
          </c:tx>
          <c:spPr>
            <a:ln w="22173" cap="rnd">
              <a:solidFill>
                <a:srgbClr val="00B0F0"/>
              </a:solidFill>
              <a:round/>
            </a:ln>
            <a:effectLst/>
          </c:spPr>
          <c:marker>
            <c:symbol val="square"/>
            <c:size val="5"/>
            <c:spPr>
              <a:solidFill>
                <a:schemeClr val="accent4"/>
              </a:solidFill>
              <a:ln w="9503">
                <a:solidFill>
                  <a:srgbClr val="00B0F0"/>
                </a:solidFill>
                <a:round/>
              </a:ln>
              <a:effectLst/>
            </c:spPr>
          </c:marker>
          <c:dLbls>
            <c:dLbl>
              <c:idx val="0"/>
              <c:layout>
                <c:manualLayout>
                  <c:x val="-2.4444162063398386E-17"/>
                  <c:y val="4.245841283491440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21C-4DF0-B6FB-28C4ECC93C57}"/>
                </c:ext>
              </c:extLst>
            </c:dLbl>
            <c:dLbl>
              <c:idx val="1"/>
              <c:layout>
                <c:manualLayout>
                  <c:x val="-2.287034120734908E-3"/>
                  <c:y val="6.21636971146523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21C-4DF0-B6FB-28C4ECC93C57}"/>
                </c:ext>
              </c:extLst>
            </c:dLbl>
            <c:dLbl>
              <c:idx val="2"/>
              <c:layout>
                <c:manualLayout>
                  <c:x val="-2.2870211549456915E-2"/>
                  <c:y val="6.99588477366254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21C-4DF0-B6FB-28C4ECC93C57}"/>
                </c:ext>
              </c:extLst>
            </c:dLbl>
            <c:dLbl>
              <c:idx val="3"/>
              <c:layout>
                <c:manualLayout>
                  <c:x val="-8.3856473630869248E-17"/>
                  <c:y val="3.29218106995884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21C-4DF0-B6FB-28C4ECC93C57}"/>
                </c:ext>
              </c:extLst>
            </c:dLbl>
            <c:dLbl>
              <c:idx val="4"/>
              <c:layout>
                <c:manualLayout>
                  <c:x val="-2.2870211549456832E-3"/>
                  <c:y val="3.29218106995884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21C-4DF0-B6FB-28C4ECC93C57}"/>
                </c:ext>
              </c:extLst>
            </c:dLbl>
            <c:spPr>
              <a:noFill/>
              <a:ln w="25341">
                <a:noFill/>
              </a:ln>
            </c:spPr>
            <c:txPr>
              <a:bodyPr rot="0" spcFirstLastPara="1" vertOverflow="ellipsis" vert="horz"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111</c:v>
                </c:pt>
                <c:pt idx="1">
                  <c:v>112</c:v>
                </c:pt>
                <c:pt idx="2">
                  <c:v>113</c:v>
                </c:pt>
              </c:numCache>
            </c:numRef>
          </c:cat>
          <c:val>
            <c:numRef>
              <c:f>工作表1!$C$2:$C$4</c:f>
              <c:numCache>
                <c:formatCode>0.0_ </c:formatCode>
                <c:ptCount val="3"/>
                <c:pt idx="0">
                  <c:v>7.5</c:v>
                </c:pt>
                <c:pt idx="1">
                  <c:v>7.2</c:v>
                </c:pt>
                <c:pt idx="2">
                  <c:v>7.6</c:v>
                </c:pt>
              </c:numCache>
            </c:numRef>
          </c:val>
          <c:smooth val="0"/>
          <c:extLst>
            <c:ext xmlns:c16="http://schemas.microsoft.com/office/drawing/2014/chart" uri="{C3380CC4-5D6E-409C-BE32-E72D297353CC}">
              <c16:uniqueId val="{00000007-E21C-4DF0-B6FB-28C4ECC93C57}"/>
            </c:ext>
          </c:extLst>
        </c:ser>
        <c:ser>
          <c:idx val="3"/>
          <c:order val="2"/>
          <c:tx>
            <c:strRef>
              <c:f>工作表1!$D$1</c:f>
              <c:strCache>
                <c:ptCount val="1"/>
                <c:pt idx="0">
                  <c:v>整體</c:v>
                </c:pt>
              </c:strCache>
            </c:strRef>
          </c:tx>
          <c:spPr>
            <a:ln w="22173" cap="rnd">
              <a:solidFill>
                <a:srgbClr val="00B050"/>
              </a:solidFill>
              <a:round/>
            </a:ln>
            <a:effectLst/>
          </c:spPr>
          <c:marker>
            <c:symbol val="star"/>
            <c:size val="5"/>
            <c:spPr>
              <a:noFill/>
              <a:ln w="9503">
                <a:solidFill>
                  <a:srgbClr val="00B050"/>
                </a:solidFill>
                <a:round/>
              </a:ln>
              <a:effectLst/>
            </c:spPr>
          </c:marker>
          <c:dLbls>
            <c:dLbl>
              <c:idx val="0"/>
              <c:layout>
                <c:manualLayout>
                  <c:x val="6.8610272100411334E-3"/>
                  <c:y val="5.01947782842934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21C-4DF0-B6FB-28C4ECC93C57}"/>
                </c:ext>
              </c:extLst>
            </c:dLbl>
            <c:dLbl>
              <c:idx val="1"/>
              <c:layout>
                <c:manualLayout>
                  <c:x val="0"/>
                  <c:y val="5.01947782842932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21C-4DF0-B6FB-28C4ECC93C57}"/>
                </c:ext>
              </c:extLst>
            </c:dLbl>
            <c:dLbl>
              <c:idx val="2"/>
              <c:layout>
                <c:manualLayout>
                  <c:x val="2.2869220883429339E-3"/>
                  <c:y val="3.70368835474513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21C-4DF0-B6FB-28C4ECC93C57}"/>
                </c:ext>
              </c:extLst>
            </c:dLbl>
            <c:dLbl>
              <c:idx val="3"/>
              <c:layout>
                <c:manualLayout>
                  <c:x val="-8.3856473630869248E-17"/>
                  <c:y val="3.70370370370370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21C-4DF0-B6FB-28C4ECC93C57}"/>
                </c:ext>
              </c:extLst>
            </c:dLbl>
            <c:dLbl>
              <c:idx val="4"/>
              <c:layout>
                <c:manualLayout>
                  <c:x val="8.3856473630869248E-17"/>
                  <c:y val="4.11522633744855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21C-4DF0-B6FB-28C4ECC93C57}"/>
                </c:ext>
              </c:extLst>
            </c:dLbl>
            <c:spPr>
              <a:noFill/>
              <a:ln w="25341">
                <a:noFill/>
              </a:ln>
            </c:spPr>
            <c:txPr>
              <a:bodyPr rot="0" spcFirstLastPara="1" vertOverflow="ellipsis" vert="horz"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111</c:v>
                </c:pt>
                <c:pt idx="1">
                  <c:v>112</c:v>
                </c:pt>
                <c:pt idx="2">
                  <c:v>113</c:v>
                </c:pt>
              </c:numCache>
            </c:numRef>
          </c:cat>
          <c:val>
            <c:numRef>
              <c:f>工作表1!$D$2:$D$4</c:f>
              <c:numCache>
                <c:formatCode>0.0_ </c:formatCode>
                <c:ptCount val="3"/>
                <c:pt idx="0">
                  <c:v>3.7</c:v>
                </c:pt>
                <c:pt idx="1">
                  <c:v>3.5</c:v>
                </c:pt>
                <c:pt idx="2">
                  <c:v>3.5</c:v>
                </c:pt>
              </c:numCache>
            </c:numRef>
          </c:val>
          <c:smooth val="0"/>
          <c:extLst>
            <c:ext xmlns:c16="http://schemas.microsoft.com/office/drawing/2014/chart" uri="{C3380CC4-5D6E-409C-BE32-E72D297353CC}">
              <c16:uniqueId val="{0000000D-E21C-4DF0-B6FB-28C4ECC93C57}"/>
            </c:ext>
          </c:extLst>
        </c:ser>
        <c:dLbls>
          <c:showLegendKey val="0"/>
          <c:showVal val="0"/>
          <c:showCatName val="0"/>
          <c:showSerName val="0"/>
          <c:showPercent val="0"/>
          <c:showBubbleSize val="0"/>
        </c:dLbls>
        <c:marker val="1"/>
        <c:smooth val="0"/>
        <c:axId val="1669253679"/>
        <c:axId val="1"/>
      </c:lineChart>
      <c:catAx>
        <c:axId val="1669253679"/>
        <c:scaling>
          <c:orientation val="minMax"/>
        </c:scaling>
        <c:delete val="0"/>
        <c:axPos val="b"/>
        <c:title>
          <c:tx>
            <c:rich>
              <a:bodyPr/>
              <a:lstStyle/>
              <a:p>
                <a:pPr>
                  <a:defRPr sz="998" b="0" i="0" u="none" strike="noStrike" baseline="0">
                    <a:solidFill>
                      <a:srgbClr val="000000"/>
                    </a:solidFill>
                    <a:latin typeface="標楷體"/>
                    <a:ea typeface="標楷體"/>
                    <a:cs typeface="標楷體"/>
                  </a:defRPr>
                </a:pPr>
                <a:r>
                  <a:rPr lang="zh-TW" altLang="en-US"/>
                  <a:t>年度</a:t>
                </a:r>
              </a:p>
            </c:rich>
          </c:tx>
          <c:layout>
            <c:manualLayout>
              <c:xMode val="edge"/>
              <c:yMode val="edge"/>
              <c:x val="0.87236570428696414"/>
              <c:y val="0.89462909241607957"/>
            </c:manualLayout>
          </c:layout>
          <c:overlay val="0"/>
          <c:spPr>
            <a:noFill/>
            <a:ln w="25341">
              <a:noFill/>
            </a:ln>
          </c:spPr>
        </c:title>
        <c:numFmt formatCode="General" sourceLinked="1"/>
        <c:majorTickMark val="none"/>
        <c:minorTickMark val="none"/>
        <c:tickLblPos val="nextTo"/>
        <c:spPr>
          <a:noFill/>
          <a:ln w="9503" cap="flat" cmpd="sng" algn="ctr">
            <a:solidFill>
              <a:schemeClr val="tx1">
                <a:lumMod val="15000"/>
                <a:lumOff val="85000"/>
              </a:schemeClr>
            </a:solidFill>
            <a:round/>
          </a:ln>
          <a:effectLst/>
        </c:spPr>
        <c:txPr>
          <a:bodyPr rot="0" spcFirstLastPara="1" vertOverflow="ellipsis" wrap="square" anchor="ctr" anchorCtr="1"/>
          <a:lstStyle/>
          <a:p>
            <a:pPr>
              <a:defRPr sz="998" b="0" i="0" u="none" strike="noStrike" kern="1200" cap="all" spc="120" normalizeH="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100"/>
        <c:noMultiLvlLbl val="0"/>
      </c:catAx>
      <c:valAx>
        <c:axId val="1"/>
        <c:scaling>
          <c:orientation val="minMax"/>
        </c:scaling>
        <c:delete val="0"/>
        <c:axPos val="l"/>
        <c:majorGridlines>
          <c:spPr>
            <a:ln w="9503" cap="flat" cmpd="sng" algn="ctr">
              <a:solidFill>
                <a:schemeClr val="tx1">
                  <a:lumMod val="15000"/>
                  <a:lumOff val="85000"/>
                </a:schemeClr>
              </a:solidFill>
              <a:round/>
            </a:ln>
            <a:effectLst/>
          </c:spPr>
        </c:majorGridlines>
        <c:title>
          <c:tx>
            <c:rich>
              <a:bodyPr rot="0" vert="horz"/>
              <a:lstStyle/>
              <a:p>
                <a:pPr algn="ctr">
                  <a:defRPr sz="998" b="0" i="0" u="none" strike="noStrike" baseline="0">
                    <a:solidFill>
                      <a:srgbClr val="333333"/>
                    </a:solidFill>
                    <a:latin typeface="標楷體"/>
                    <a:ea typeface="標楷體"/>
                    <a:cs typeface="標楷體"/>
                  </a:defRPr>
                </a:pPr>
                <a:r>
                  <a:rPr lang="zh-TW" altLang="en-US"/>
                  <a:t>％</a:t>
                </a:r>
              </a:p>
            </c:rich>
          </c:tx>
          <c:layout>
            <c:manualLayout>
              <c:xMode val="edge"/>
              <c:yMode val="edge"/>
              <c:x val="3.0346861157682543E-2"/>
              <c:y val="6.2268441773725654E-2"/>
            </c:manualLayout>
          </c:layout>
          <c:overlay val="0"/>
          <c:spPr>
            <a:noFill/>
            <a:ln w="25341">
              <a:noFill/>
            </a:ln>
          </c:spPr>
        </c:title>
        <c:numFmt formatCode="@" sourceLinked="0"/>
        <c:majorTickMark val="none"/>
        <c:minorTickMark val="none"/>
        <c:tickLblPos val="nextTo"/>
        <c:spPr>
          <a:noFill/>
          <a:ln w="9503" cap="flat" cmpd="sng" algn="ctr">
            <a:solidFill>
              <a:schemeClr val="dk1">
                <a:lumMod val="15000"/>
                <a:lumOff val="85000"/>
              </a:schemeClr>
            </a:solidFill>
            <a:round/>
          </a:ln>
          <a:effectLst/>
        </c:spPr>
        <c:txPr>
          <a:bodyPr rot="-60000000" spcFirstLastPara="1" vertOverflow="ellipsis" vert="horz" wrap="square" anchor="ctr" anchorCtr="1"/>
          <a:lstStyle/>
          <a:p>
            <a:pPr>
              <a:defRPr sz="998"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1669253679"/>
        <c:crosses val="autoZero"/>
        <c:crossBetween val="between"/>
      </c:valAx>
      <c:spPr>
        <a:noFill/>
        <a:ln>
          <a:solidFill>
            <a:schemeClr val="bg1">
              <a:lumMod val="85000"/>
            </a:schemeClr>
          </a:solidFill>
        </a:ln>
        <a:effectLst/>
      </c:spPr>
    </c:plotArea>
    <c:legend>
      <c:legendPos val="r"/>
      <c:layout>
        <c:manualLayout>
          <c:xMode val="edge"/>
          <c:yMode val="edge"/>
          <c:x val="0.19023126251720604"/>
          <c:y val="7.1959179444674684E-2"/>
          <c:w val="0.6585002185414478"/>
          <c:h val="0.10880829015544041"/>
        </c:manualLayout>
      </c:layout>
      <c:overlay val="0"/>
      <c:spPr>
        <a:noFill/>
        <a:ln w="25341">
          <a:noFill/>
        </a:ln>
      </c:spPr>
      <c:txPr>
        <a:bodyPr rot="0" spcFirstLastPara="1" vertOverflow="ellipsis" vert="horz" wrap="square" anchor="ctr" anchorCtr="1"/>
        <a:lstStyle/>
        <a:p>
          <a:pPr>
            <a:defRPr sz="998"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lt1"/>
    </a:solidFill>
    <a:ln>
      <a:noFill/>
    </a:ln>
    <a:effectLst/>
  </c:spPr>
  <c:txPr>
    <a:bodyPr/>
    <a:lstStyle/>
    <a:p>
      <a:pPr>
        <a:lnSpc>
          <a:spcPts val="1000"/>
        </a:lnSpc>
        <a:defRPr>
          <a:ln>
            <a:noFill/>
          </a:ln>
        </a:defRPr>
      </a:pPr>
      <a:endParaRPr lang="zh-TW"/>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615325523333973"/>
          <c:y val="8.4097859327217125E-2"/>
          <c:w val="0.7986028423276359"/>
          <c:h val="0.7606774783885959"/>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工作表2!$G$9:$G$13</c:f>
              <c:numCache>
                <c:formatCode>General</c:formatCode>
                <c:ptCount val="5"/>
                <c:pt idx="0">
                  <c:v>109</c:v>
                </c:pt>
                <c:pt idx="1">
                  <c:v>110</c:v>
                </c:pt>
                <c:pt idx="2">
                  <c:v>111</c:v>
                </c:pt>
                <c:pt idx="3">
                  <c:v>112</c:v>
                </c:pt>
                <c:pt idx="4">
                  <c:v>113</c:v>
                </c:pt>
              </c:numCache>
            </c:numRef>
          </c:cat>
          <c:val>
            <c:numRef>
              <c:f>工作表2!$H$9:$H$13</c:f>
              <c:numCache>
                <c:formatCode>#,##0</c:formatCode>
                <c:ptCount val="5"/>
                <c:pt idx="0">
                  <c:v>41435</c:v>
                </c:pt>
                <c:pt idx="1">
                  <c:v>38627</c:v>
                </c:pt>
                <c:pt idx="2">
                  <c:v>38685</c:v>
                </c:pt>
                <c:pt idx="3">
                  <c:v>31994</c:v>
                </c:pt>
                <c:pt idx="4">
                  <c:v>23798</c:v>
                </c:pt>
              </c:numCache>
            </c:numRef>
          </c:val>
          <c:extLst>
            <c:ext xmlns:c16="http://schemas.microsoft.com/office/drawing/2014/chart" uri="{C3380CC4-5D6E-409C-BE32-E72D297353CC}">
              <c16:uniqueId val="{00000000-F476-433B-B03F-349553B90A7C}"/>
            </c:ext>
          </c:extLst>
        </c:ser>
        <c:dLbls>
          <c:showLegendKey val="0"/>
          <c:showVal val="0"/>
          <c:showCatName val="0"/>
          <c:showSerName val="0"/>
          <c:showPercent val="0"/>
          <c:showBubbleSize val="0"/>
        </c:dLbls>
        <c:gapWidth val="219"/>
        <c:overlap val="-27"/>
        <c:axId val="1947917295"/>
        <c:axId val="1947918959"/>
      </c:barChart>
      <c:catAx>
        <c:axId val="19479172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47918959"/>
        <c:crosses val="autoZero"/>
        <c:auto val="1"/>
        <c:lblAlgn val="ctr"/>
        <c:lblOffset val="100"/>
        <c:noMultiLvlLbl val="0"/>
      </c:catAx>
      <c:valAx>
        <c:axId val="1947918959"/>
        <c:scaling>
          <c:orientation val="minMax"/>
          <c:max val="5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47917295"/>
        <c:crosses val="autoZero"/>
        <c:crossBetween val="between"/>
        <c:majorUnit val="1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0.86417</cdr:x>
      <cdr:y>0.80157</cdr:y>
    </cdr:from>
    <cdr:to>
      <cdr:x>0.9911</cdr:x>
      <cdr:y>0.90329</cdr:y>
    </cdr:to>
    <cdr:sp macro="" textlink="">
      <cdr:nvSpPr>
        <cdr:cNvPr id="2" name="文字方塊 1"/>
        <cdr:cNvSpPr txBox="1"/>
      </cdr:nvSpPr>
      <cdr:spPr>
        <a:xfrm xmlns:a="http://schemas.openxmlformats.org/drawingml/2006/main">
          <a:off x="3139946" y="1613523"/>
          <a:ext cx="461196" cy="20475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0.01627</cdr:x>
      <cdr:y>0</cdr:y>
    </cdr:from>
    <cdr:to>
      <cdr:x>0.09927</cdr:x>
      <cdr:y>0.12667</cdr:y>
    </cdr:to>
    <cdr:sp macro="" textlink="">
      <cdr:nvSpPr>
        <cdr:cNvPr id="3" name="文字方塊 2"/>
        <cdr:cNvSpPr txBox="1"/>
      </cdr:nvSpPr>
      <cdr:spPr>
        <a:xfrm xmlns:a="http://schemas.openxmlformats.org/drawingml/2006/main">
          <a:off x="59116" y="-7767735"/>
          <a:ext cx="301578" cy="2549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100"/>
            <a:t>％</a:t>
          </a:r>
        </a:p>
      </cdr:txBody>
    </cdr:sp>
  </cdr:relSizeAnchor>
  <cdr:relSizeAnchor xmlns:cdr="http://schemas.openxmlformats.org/drawingml/2006/chartDrawing">
    <cdr:from>
      <cdr:x>0.00275</cdr:x>
      <cdr:y>0.89268</cdr:y>
    </cdr:from>
    <cdr:to>
      <cdr:x>1</cdr:x>
      <cdr:y>1</cdr:y>
    </cdr:to>
    <cdr:sp macro="" textlink="">
      <cdr:nvSpPr>
        <cdr:cNvPr id="4" name="文字方塊 3"/>
        <cdr:cNvSpPr txBox="1"/>
      </cdr:nvSpPr>
      <cdr:spPr>
        <a:xfrm xmlns:a="http://schemas.openxmlformats.org/drawingml/2006/main">
          <a:off x="9992" y="1713599"/>
          <a:ext cx="3623478" cy="20600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just">
            <a:lnSpc>
              <a:spcPts val="1000"/>
            </a:lnSpc>
          </a:pPr>
          <a:r>
            <a:rPr lang="zh-TW" altLang="en-US" sz="900" baseline="0">
              <a:effectLst/>
              <a:latin typeface="標楷體" panose="03000509000000000000" pitchFamily="65" charset="-120"/>
              <a:ea typeface="標楷體" panose="03000509000000000000" pitchFamily="65" charset="-120"/>
              <a:cs typeface="+mn-cs"/>
            </a:rPr>
            <a:t>資料來源：整理自歷年審核報告。</a:t>
          </a:r>
          <a:endParaRPr lang="zh-TW" altLang="en-US" sz="900" baseline="0">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0.34214</cdr:x>
      <cdr:y>0.00451</cdr:y>
    </cdr:from>
    <cdr:to>
      <cdr:x>0.9522</cdr:x>
      <cdr:y>0.10384</cdr:y>
    </cdr:to>
    <cdr:sp macro="" textlink="">
      <cdr:nvSpPr>
        <cdr:cNvPr id="2" name="文字方塊 1"/>
        <cdr:cNvSpPr txBox="1"/>
      </cdr:nvSpPr>
      <cdr:spPr>
        <a:xfrm xmlns:a="http://schemas.openxmlformats.org/drawingml/2006/main">
          <a:off x="1727200" y="12700"/>
          <a:ext cx="3079750" cy="279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a:t>
          </a:r>
          <a:r>
            <a:rPr lang="zh-TW" altLang="en-US" sz="1200" b="1">
              <a:latin typeface="標楷體" panose="03000509000000000000" pitchFamily="65" charset="-120"/>
              <a:ea typeface="標楷體" panose="03000509000000000000" pitchFamily="65" charset="-120"/>
            </a:rPr>
            <a:t> 債務付息執行情形</a:t>
          </a:r>
        </a:p>
      </cdr:txBody>
    </cdr:sp>
  </cdr:relSizeAnchor>
</c:userShapes>
</file>

<file path=word/drawings/drawing3.xml><?xml version="1.0" encoding="utf-8"?>
<c:userShapes xmlns:c="http://schemas.openxmlformats.org/drawingml/2006/chart">
  <cdr:relSizeAnchor xmlns:cdr="http://schemas.openxmlformats.org/drawingml/2006/chartDrawing">
    <cdr:from>
      <cdr:x>0.07521</cdr:x>
      <cdr:y>0.01561</cdr:y>
    </cdr:from>
    <cdr:to>
      <cdr:x>0.99459</cdr:x>
      <cdr:y>0.14041</cdr:y>
    </cdr:to>
    <cdr:sp macro="" textlink="">
      <cdr:nvSpPr>
        <cdr:cNvPr id="2" name="文字方塊 1"/>
        <cdr:cNvSpPr txBox="1"/>
      </cdr:nvSpPr>
      <cdr:spPr>
        <a:xfrm xmlns:a="http://schemas.openxmlformats.org/drawingml/2006/main">
          <a:off x="279400" y="34187"/>
          <a:ext cx="3415270" cy="27341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2</a:t>
          </a:r>
          <a:r>
            <a:rPr lang="zh-TW" altLang="en-US" sz="1200" b="1">
              <a:latin typeface="標楷體" panose="03000509000000000000" pitchFamily="65" charset="-120"/>
              <a:ea typeface="標楷體" panose="03000509000000000000" pitchFamily="65" charset="-120"/>
            </a:rPr>
            <a:t>　</a:t>
          </a:r>
          <a:r>
            <a:rPr lang="zh-TW" altLang="en-US" sz="1200" b="1" spc="-70" baseline="0">
              <a:latin typeface="標楷體" panose="03000509000000000000" pitchFamily="65" charset="-120"/>
              <a:ea typeface="標楷體" panose="03000509000000000000" pitchFamily="65" charset="-120"/>
            </a:rPr>
            <a:t>截至</a:t>
          </a:r>
          <a:r>
            <a:rPr lang="en-US" altLang="zh-TW" sz="1200" b="1" spc="-70" baseline="0">
              <a:latin typeface="標楷體" panose="03000509000000000000" pitchFamily="65" charset="-120"/>
              <a:ea typeface="標楷體" panose="03000509000000000000" pitchFamily="65" charset="-120"/>
            </a:rPr>
            <a:t>113</a:t>
          </a:r>
          <a:r>
            <a:rPr lang="zh-TW" altLang="en-US" sz="1200" b="1" spc="-70" baseline="0">
              <a:latin typeface="標楷體" panose="03000509000000000000" pitchFamily="65" charset="-120"/>
              <a:ea typeface="標楷體" panose="03000509000000000000" pitchFamily="65" charset="-120"/>
            </a:rPr>
            <a:t>年</a:t>
          </a:r>
          <a:r>
            <a:rPr lang="en-US" altLang="zh-TW" sz="1200" b="1" spc="-70" baseline="0">
              <a:latin typeface="標楷體" panose="03000509000000000000" pitchFamily="65" charset="-120"/>
              <a:ea typeface="標楷體" panose="03000509000000000000" pitchFamily="65" charset="-120"/>
            </a:rPr>
            <a:t>8</a:t>
          </a:r>
          <a:r>
            <a:rPr lang="zh-TW" altLang="en-US" sz="1200" b="1" spc="-70" baseline="0">
              <a:latin typeface="標楷體" panose="03000509000000000000" pitchFamily="65" charset="-120"/>
              <a:ea typeface="標楷體" panose="03000509000000000000" pitchFamily="65" charset="-120"/>
            </a:rPr>
            <a:t>月底止欠稅未徵案件金額占比</a:t>
          </a:r>
          <a:endParaRPr lang="zh-TW" altLang="en-US" sz="1100" b="1" spc="-70" baseline="0">
            <a:latin typeface="標楷體" panose="03000509000000000000" pitchFamily="65" charset="-120"/>
            <a:ea typeface="標楷體" panose="03000509000000000000" pitchFamily="65"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0.00599</cdr:x>
      <cdr:y>0.06262</cdr:y>
    </cdr:from>
    <cdr:to>
      <cdr:x>0.07985</cdr:x>
      <cdr:y>0.13792</cdr:y>
    </cdr:to>
    <cdr:sp macro="" textlink="">
      <cdr:nvSpPr>
        <cdr:cNvPr id="2" name="文字方塊 1"/>
        <cdr:cNvSpPr txBox="1"/>
      </cdr:nvSpPr>
      <cdr:spPr>
        <a:xfrm xmlns:a="http://schemas.openxmlformats.org/drawingml/2006/main">
          <a:off x="38637" y="205181"/>
          <a:ext cx="476281" cy="246728"/>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gn="l"/>
          <a:r>
            <a:rPr lang="zh-TW" altLang="en-US" sz="1000" dirty="0">
              <a:latin typeface="標楷體" panose="03000509000000000000" pitchFamily="65" charset="-120"/>
              <a:ea typeface="標楷體" panose="03000509000000000000" pitchFamily="65" charset="-120"/>
            </a:rPr>
            <a:t>百萬度</a:t>
          </a:r>
        </a:p>
      </cdr:txBody>
    </cdr:sp>
  </cdr:relSizeAnchor>
  <cdr:relSizeAnchor xmlns:cdr="http://schemas.openxmlformats.org/drawingml/2006/chartDrawing">
    <cdr:from>
      <cdr:x>0.8875</cdr:x>
      <cdr:y>0.07038</cdr:y>
    </cdr:from>
    <cdr:to>
      <cdr:x>1</cdr:x>
      <cdr:y>0.23913</cdr:y>
    </cdr:to>
    <cdr:sp macro="" textlink="">
      <cdr:nvSpPr>
        <cdr:cNvPr id="3" name="文字方塊 2"/>
        <cdr:cNvSpPr txBox="1"/>
      </cdr:nvSpPr>
      <cdr:spPr>
        <a:xfrm xmlns:a="http://schemas.openxmlformats.org/drawingml/2006/main">
          <a:off x="7213600" y="381346"/>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dirty="0"/>
        </a:p>
      </cdr:txBody>
    </cdr:sp>
  </cdr:relSizeAnchor>
  <cdr:relSizeAnchor xmlns:cdr="http://schemas.openxmlformats.org/drawingml/2006/chartDrawing">
    <cdr:from>
      <cdr:x>0.91602</cdr:x>
      <cdr:y>0.06792</cdr:y>
    </cdr:from>
    <cdr:to>
      <cdr:x>0.95864</cdr:x>
      <cdr:y>0.13554</cdr:y>
    </cdr:to>
    <cdr:sp macro="" textlink="">
      <cdr:nvSpPr>
        <cdr:cNvPr id="4" name="文字方塊 3"/>
        <cdr:cNvSpPr txBox="1"/>
      </cdr:nvSpPr>
      <cdr:spPr>
        <a:xfrm xmlns:a="http://schemas.openxmlformats.org/drawingml/2006/main">
          <a:off x="5906885" y="214783"/>
          <a:ext cx="274839" cy="21384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dirty="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0.87597</cdr:x>
      <cdr:y>0.79069</cdr:y>
    </cdr:from>
    <cdr:to>
      <cdr:x>0.96012</cdr:x>
      <cdr:y>0.86741</cdr:y>
    </cdr:to>
    <cdr:sp macro="" textlink="">
      <cdr:nvSpPr>
        <cdr:cNvPr id="5" name="文字方塊 4"/>
        <cdr:cNvSpPr txBox="1"/>
      </cdr:nvSpPr>
      <cdr:spPr>
        <a:xfrm xmlns:a="http://schemas.openxmlformats.org/drawingml/2006/main">
          <a:off x="5648627" y="2590785"/>
          <a:ext cx="542635" cy="2513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dirty="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0.00886</cdr:x>
      <cdr:y>0.87297</cdr:y>
    </cdr:from>
    <cdr:to>
      <cdr:x>0.58861</cdr:x>
      <cdr:y>0.9593</cdr:y>
    </cdr:to>
    <cdr:sp macro="" textlink="">
      <cdr:nvSpPr>
        <cdr:cNvPr id="7" name="文字方塊 6">
          <a:extLst xmlns:a="http://schemas.openxmlformats.org/drawingml/2006/main">
            <a:ext uri="{FF2B5EF4-FFF2-40B4-BE49-F238E27FC236}">
              <a16:creationId xmlns:a16="http://schemas.microsoft.com/office/drawing/2014/main" id="{ABA81465-05FA-462C-AFDF-AFD5D4CB0523}"/>
            </a:ext>
          </a:extLst>
        </cdr:cNvPr>
        <cdr:cNvSpPr txBox="1"/>
      </cdr:nvSpPr>
      <cdr:spPr>
        <a:xfrm xmlns:a="http://schemas.openxmlformats.org/drawingml/2006/main">
          <a:off x="57150" y="2860371"/>
          <a:ext cx="3738473" cy="28288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a:lnSpc>
              <a:spcPts val="1200"/>
            </a:lnSpc>
          </a:pPr>
          <a:r>
            <a:rPr lang="zh-TW" altLang="en-US" sz="900" dirty="0">
              <a:latin typeface="標楷體" panose="03000509000000000000" pitchFamily="65" charset="-120"/>
              <a:ea typeface="標楷體" panose="03000509000000000000" pitchFamily="65" charset="-120"/>
            </a:rPr>
            <a:t>資料來源：整理自台電公司各縣市售電資訊網頁。</a:t>
          </a:r>
        </a:p>
      </cdr:txBody>
    </cdr:sp>
  </cdr:relSizeAnchor>
</c:userShapes>
</file>

<file path=word/drawings/drawing5.xml><?xml version="1.0" encoding="utf-8"?>
<c:userShapes xmlns:c="http://schemas.openxmlformats.org/drawingml/2006/chart">
  <cdr:relSizeAnchor xmlns:cdr="http://schemas.openxmlformats.org/drawingml/2006/chartDrawing">
    <cdr:from>
      <cdr:x>0.84418</cdr:x>
      <cdr:y>0.2246</cdr:y>
    </cdr:from>
    <cdr:to>
      <cdr:x>0.86794</cdr:x>
      <cdr:y>0.40561</cdr:y>
    </cdr:to>
    <cdr:cxnSp macro="">
      <cdr:nvCxnSpPr>
        <cdr:cNvPr id="3" name="接點: 肘形 2"/>
        <cdr:cNvCxnSpPr/>
      </cdr:nvCxnSpPr>
      <cdr:spPr>
        <a:xfrm xmlns:a="http://schemas.openxmlformats.org/drawingml/2006/main" rot="5400000" flipH="1" flipV="1">
          <a:off x="3136164" y="630881"/>
          <a:ext cx="388962" cy="92441"/>
        </a:xfrm>
        <a:prstGeom xmlns:a="http://schemas.openxmlformats.org/drawingml/2006/main" prst="bentConnector3">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cdr:x>
      <cdr:y>0.06617</cdr:y>
    </cdr:from>
    <cdr:to>
      <cdr:x>0.09281</cdr:x>
      <cdr:y>0.15857</cdr:y>
    </cdr:to>
    <cdr:sp macro="" textlink="">
      <cdr:nvSpPr>
        <cdr:cNvPr id="2" name="文字方塊 1">
          <a:extLst xmlns:a="http://schemas.openxmlformats.org/drawingml/2006/main">
            <a:ext uri="{FF2B5EF4-FFF2-40B4-BE49-F238E27FC236}">
              <a16:creationId xmlns:a16="http://schemas.microsoft.com/office/drawing/2014/main" id="{74C0057D-9FB4-4195-8C73-91DC050FA38C}"/>
            </a:ext>
          </a:extLst>
        </cdr:cNvPr>
        <cdr:cNvSpPr txBox="1"/>
      </cdr:nvSpPr>
      <cdr:spPr>
        <a:xfrm xmlns:a="http://schemas.openxmlformats.org/drawingml/2006/main">
          <a:off x="0" y="141806"/>
          <a:ext cx="308403" cy="1980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dirty="0">
              <a:latin typeface="標楷體" panose="03000509000000000000" pitchFamily="65" charset="-120"/>
              <a:ea typeface="標楷體" panose="03000509000000000000" pitchFamily="65" charset="-120"/>
            </a:rPr>
            <a:t>件數</a:t>
          </a:r>
        </a:p>
      </cdr:txBody>
    </cdr:sp>
  </cdr:relSizeAnchor>
  <cdr:relSizeAnchor xmlns:cdr="http://schemas.openxmlformats.org/drawingml/2006/chartDrawing">
    <cdr:from>
      <cdr:x>0.87214</cdr:x>
      <cdr:y>0.89252</cdr:y>
    </cdr:from>
    <cdr:to>
      <cdr:x>0.94146</cdr:x>
      <cdr:y>0.93854</cdr:y>
    </cdr:to>
    <cdr:sp macro="" textlink="">
      <cdr:nvSpPr>
        <cdr:cNvPr id="3" name="文字方塊 1">
          <a:extLst xmlns:a="http://schemas.openxmlformats.org/drawingml/2006/main">
            <a:ext uri="{FF2B5EF4-FFF2-40B4-BE49-F238E27FC236}">
              <a16:creationId xmlns:a16="http://schemas.microsoft.com/office/drawing/2014/main" id="{2F4D7982-0151-45F8-AC5E-2F500D7302ED}"/>
            </a:ext>
          </a:extLst>
        </cdr:cNvPr>
        <cdr:cNvSpPr txBox="1"/>
      </cdr:nvSpPr>
      <cdr:spPr>
        <a:xfrm xmlns:a="http://schemas.openxmlformats.org/drawingml/2006/main">
          <a:off x="2924102" y="1878767"/>
          <a:ext cx="232416" cy="9687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dirty="0">
              <a:latin typeface="標楷體" panose="03000509000000000000" pitchFamily="65" charset="-120"/>
              <a:ea typeface="標楷體" panose="03000509000000000000" pitchFamily="65" charset="-120"/>
            </a:rPr>
            <a:t>年度</a:t>
          </a:r>
        </a:p>
      </cdr:txBody>
    </cdr:sp>
  </cdr:relSizeAnchor>
</c:userShapes>
</file>

<file path=word/drawings/drawing7.xml><?xml version="1.0" encoding="utf-8"?>
<c:userShapes xmlns:c="http://schemas.openxmlformats.org/drawingml/2006/chart">
  <cdr:relSizeAnchor xmlns:cdr="http://schemas.openxmlformats.org/drawingml/2006/chartDrawing">
    <cdr:from>
      <cdr:x>0.01004</cdr:x>
      <cdr:y>0.03946</cdr:y>
    </cdr:from>
    <cdr:to>
      <cdr:x>0.10285</cdr:x>
      <cdr:y>0.13186</cdr:y>
    </cdr:to>
    <cdr:sp macro="" textlink="">
      <cdr:nvSpPr>
        <cdr:cNvPr id="2" name="文字方塊 1">
          <a:extLst xmlns:a="http://schemas.openxmlformats.org/drawingml/2006/main">
            <a:ext uri="{FF2B5EF4-FFF2-40B4-BE49-F238E27FC236}">
              <a16:creationId xmlns:a16="http://schemas.microsoft.com/office/drawing/2014/main" id="{74C0057D-9FB4-4195-8C73-91DC050FA38C}"/>
            </a:ext>
          </a:extLst>
        </cdr:cNvPr>
        <cdr:cNvSpPr txBox="1"/>
      </cdr:nvSpPr>
      <cdr:spPr>
        <a:xfrm xmlns:a="http://schemas.openxmlformats.org/drawingml/2006/main">
          <a:off x="35834" y="84487"/>
          <a:ext cx="331388" cy="19784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dirty="0">
              <a:latin typeface="標楷體" panose="03000509000000000000" pitchFamily="65" charset="-120"/>
              <a:ea typeface="標楷體" panose="03000509000000000000" pitchFamily="65" charset="-120"/>
            </a:rPr>
            <a:t>件數</a:t>
          </a:r>
        </a:p>
      </cdr:txBody>
    </cdr:sp>
  </cdr:relSizeAnchor>
  <cdr:relSizeAnchor xmlns:cdr="http://schemas.openxmlformats.org/drawingml/2006/chartDrawing">
    <cdr:from>
      <cdr:x>0.81221</cdr:x>
      <cdr:y>0.89294</cdr:y>
    </cdr:from>
    <cdr:to>
      <cdr:x>0.88153</cdr:x>
      <cdr:y>0.93896</cdr:y>
    </cdr:to>
    <cdr:sp macro="" textlink="">
      <cdr:nvSpPr>
        <cdr:cNvPr id="3" name="文字方塊 1">
          <a:extLst xmlns:a="http://schemas.openxmlformats.org/drawingml/2006/main">
            <a:ext uri="{FF2B5EF4-FFF2-40B4-BE49-F238E27FC236}">
              <a16:creationId xmlns:a16="http://schemas.microsoft.com/office/drawing/2014/main" id="{2F4D7982-0151-45F8-AC5E-2F500D7302ED}"/>
            </a:ext>
          </a:extLst>
        </cdr:cNvPr>
        <cdr:cNvSpPr txBox="1"/>
      </cdr:nvSpPr>
      <cdr:spPr>
        <a:xfrm xmlns:a="http://schemas.openxmlformats.org/drawingml/2006/main">
          <a:off x="3001678" y="1794618"/>
          <a:ext cx="256186" cy="9249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dirty="0">
              <a:latin typeface="標楷體" panose="03000509000000000000" pitchFamily="65" charset="-120"/>
              <a:ea typeface="標楷體" panose="03000509000000000000" pitchFamily="65" charset="-120"/>
            </a:rPr>
            <a:t>年度</a:t>
          </a:r>
        </a:p>
      </cdr:txBody>
    </cdr:sp>
  </cdr:relSizeAnchor>
</c:userShapes>
</file>

<file path=word/drawings/drawing8.xml><?xml version="1.0" encoding="utf-8"?>
<c:userShapes xmlns:c="http://schemas.openxmlformats.org/drawingml/2006/chart">
  <cdr:relSizeAnchor xmlns:cdr="http://schemas.openxmlformats.org/drawingml/2006/chartDrawing">
    <cdr:from>
      <cdr:x>0.44375</cdr:x>
      <cdr:y>0.41562</cdr:y>
    </cdr:from>
    <cdr:to>
      <cdr:x>0.55625</cdr:x>
      <cdr:y>0.58437</cdr:y>
    </cdr:to>
    <cdr:sp macro="" textlink="">
      <cdr:nvSpPr>
        <cdr:cNvPr id="2" name="文字方塊 1">
          <a:extLst xmlns:a="http://schemas.openxmlformats.org/drawingml/2006/main">
            <a:ext uri="{FF2B5EF4-FFF2-40B4-BE49-F238E27FC236}">
              <a16:creationId xmlns:a16="http://schemas.microsoft.com/office/drawing/2014/main" id="{F36F068C-C5AB-4ABA-9FCA-2B56CB40136C}"/>
            </a:ext>
          </a:extLst>
        </cdr:cNvPr>
        <cdr:cNvSpPr txBox="1"/>
      </cdr:nvSpPr>
      <cdr:spPr>
        <a:xfrm xmlns:a="http://schemas.openxmlformats.org/drawingml/2006/main">
          <a:off x="3606800" y="2252133"/>
          <a:ext cx="914400" cy="914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dirty="0"/>
        </a:p>
      </cdr:txBody>
    </cdr:sp>
  </cdr:relSizeAnchor>
  <cdr:relSizeAnchor xmlns:cdr="http://schemas.openxmlformats.org/drawingml/2006/chartDrawing">
    <cdr:from>
      <cdr:x>0</cdr:x>
      <cdr:y>0.07054</cdr:y>
    </cdr:from>
    <cdr:to>
      <cdr:x>0.21446</cdr:x>
      <cdr:y>0.19917</cdr:y>
    </cdr:to>
    <cdr:sp macro="" textlink="">
      <cdr:nvSpPr>
        <cdr:cNvPr id="3" name="文字方塊 2">
          <a:extLst xmlns:a="http://schemas.openxmlformats.org/drawingml/2006/main">
            <a:ext uri="{FF2B5EF4-FFF2-40B4-BE49-F238E27FC236}">
              <a16:creationId xmlns:a16="http://schemas.microsoft.com/office/drawing/2014/main" id="{7322C9E5-7C0E-426B-81AF-441908EB9C6A}"/>
            </a:ext>
          </a:extLst>
        </cdr:cNvPr>
        <cdr:cNvSpPr txBox="1"/>
      </cdr:nvSpPr>
      <cdr:spPr>
        <a:xfrm xmlns:a="http://schemas.openxmlformats.org/drawingml/2006/main">
          <a:off x="-2990850" y="161925"/>
          <a:ext cx="819150" cy="2952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dirty="0">
              <a:latin typeface="標楷體" panose="03000509000000000000" pitchFamily="65" charset="-120"/>
              <a:ea typeface="標楷體" panose="03000509000000000000" pitchFamily="65" charset="-120"/>
            </a:rPr>
            <a:t>線上件數</a:t>
          </a:r>
        </a:p>
      </cdr:txBody>
    </cdr:sp>
  </cdr:relSizeAnchor>
  <cdr:relSizeAnchor xmlns:cdr="http://schemas.openxmlformats.org/drawingml/2006/chartDrawing">
    <cdr:from>
      <cdr:x>0.7706</cdr:x>
      <cdr:y>0.79714</cdr:y>
    </cdr:from>
    <cdr:to>
      <cdr:x>0.94518</cdr:x>
      <cdr:y>0.92531</cdr:y>
    </cdr:to>
    <cdr:sp macro="" textlink="">
      <cdr:nvSpPr>
        <cdr:cNvPr id="4" name="文字方塊 1">
          <a:extLst xmlns:a="http://schemas.openxmlformats.org/drawingml/2006/main">
            <a:ext uri="{FF2B5EF4-FFF2-40B4-BE49-F238E27FC236}">
              <a16:creationId xmlns:a16="http://schemas.microsoft.com/office/drawing/2014/main" id="{1D2441CD-E70E-4718-8B55-2C19EDE4F6E1}"/>
            </a:ext>
          </a:extLst>
        </cdr:cNvPr>
        <cdr:cNvSpPr txBox="1"/>
      </cdr:nvSpPr>
      <cdr:spPr>
        <a:xfrm xmlns:a="http://schemas.openxmlformats.org/drawingml/2006/main">
          <a:off x="2943330" y="1829855"/>
          <a:ext cx="666813" cy="29421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dirty="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0.83022</cdr:x>
      <cdr:y>0.04979</cdr:y>
    </cdr:from>
    <cdr:to>
      <cdr:x>1</cdr:x>
      <cdr:y>0.19917</cdr:y>
    </cdr:to>
    <cdr:sp macro="" textlink="">
      <cdr:nvSpPr>
        <cdr:cNvPr id="5" name="文字方塊 1">
          <a:extLst xmlns:a="http://schemas.openxmlformats.org/drawingml/2006/main">
            <a:ext uri="{FF2B5EF4-FFF2-40B4-BE49-F238E27FC236}">
              <a16:creationId xmlns:a16="http://schemas.microsoft.com/office/drawing/2014/main" id="{6C2406F0-BB8F-4662-86BB-49EE6D86B4B2}"/>
            </a:ext>
          </a:extLst>
        </cdr:cNvPr>
        <cdr:cNvSpPr txBox="1"/>
      </cdr:nvSpPr>
      <cdr:spPr>
        <a:xfrm xmlns:a="http://schemas.openxmlformats.org/drawingml/2006/main">
          <a:off x="3171046" y="114300"/>
          <a:ext cx="648479" cy="34289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dirty="0">
              <a:latin typeface="標楷體" panose="03000509000000000000" pitchFamily="65" charset="-120"/>
              <a:ea typeface="標楷體" panose="03000509000000000000" pitchFamily="65" charset="-120"/>
            </a:rPr>
            <a:t>總件數</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A382E8-55FD-4334-8A38-77D35F3784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196</Pages>
  <Words>31022</Words>
  <Characters>176826</Characters>
  <Application>Microsoft Office Word</Application>
  <DocSecurity>0</DocSecurity>
  <Lines>1473</Lines>
  <Paragraphs>414</Paragraphs>
  <ScaleCrop>false</ScaleCrop>
  <Company/>
  <LinksUpToDate>false</LinksUpToDate>
  <CharactersWithSpaces>207434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余謹如</dc:creator>
  <cp:keywords/>
  <dc:description/>
  <cp:lastModifiedBy>唐思齊</cp:lastModifiedBy>
  <cp:revision>2</cp:revision>
  <cp:lastPrinted>2025-07-18T03:36:00Z</cp:lastPrinted>
  <dcterms:created xsi:type="dcterms:W3CDTF">2025-07-18T03:44:00Z</dcterms:created>
  <dcterms:modified xsi:type="dcterms:W3CDTF">2025-07-18T03:44:00Z</dcterms:modified>
</cp:coreProperties>
</file>